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C2DA0" w:rsidRPr="00C6274F" w14:paraId="75A12C31" w14:textId="77777777" w:rsidTr="00DF2A13">
        <w:trPr>
          <w:trHeight w:val="844"/>
        </w:trPr>
        <w:tc>
          <w:tcPr>
            <w:tcW w:w="976" w:type="dxa"/>
            <w:tcBorders>
              <w:bottom w:val="single" w:sz="12" w:space="0" w:color="auto"/>
            </w:tcBorders>
          </w:tcPr>
          <w:p w14:paraId="7FAB6447" w14:textId="77777777" w:rsidR="009C2DA0" w:rsidRPr="00EA775A" w:rsidRDefault="009C2DA0" w:rsidP="00DF2A13">
            <w:pPr>
              <w:rPr>
                <w:kern w:val="22"/>
              </w:rPr>
            </w:pPr>
            <w:r w:rsidRPr="00EA775A">
              <w:rPr>
                <w:noProof/>
                <w:kern w:val="22"/>
              </w:rPr>
              <w:drawing>
                <wp:anchor distT="0" distB="0" distL="114300" distR="114300" simplePos="0" relativeHeight="251660288" behindDoc="0" locked="0" layoutInCell="1" allowOverlap="1" wp14:anchorId="39739EF0" wp14:editId="23A54245">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6D32E808" w14:textId="77777777" w:rsidR="009C2DA0" w:rsidRPr="00EA775A" w:rsidRDefault="009C2DA0" w:rsidP="00DF2A13">
            <w:pPr>
              <w:rPr>
                <w:kern w:val="22"/>
              </w:rPr>
            </w:pPr>
            <w:r w:rsidRPr="00EA775A">
              <w:rPr>
                <w:noProof/>
              </w:rPr>
              <w:drawing>
                <wp:anchor distT="0" distB="0" distL="114300" distR="114300" simplePos="0" relativeHeight="251659264" behindDoc="0" locked="0" layoutInCell="1" allowOverlap="1" wp14:anchorId="15EC05D2" wp14:editId="1AA7F7F9">
                  <wp:simplePos x="0" y="0"/>
                  <wp:positionH relativeFrom="column">
                    <wp:posOffset>-121303</wp:posOffset>
                  </wp:positionH>
                  <wp:positionV relativeFrom="page">
                    <wp:posOffset>-77403</wp:posOffset>
                  </wp:positionV>
                  <wp:extent cx="941011" cy="59338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54FC7F01" w14:textId="77777777" w:rsidR="009C2DA0" w:rsidRPr="00EA775A" w:rsidRDefault="009C2DA0" w:rsidP="00DF2A13">
            <w:pPr>
              <w:jc w:val="right"/>
              <w:rPr>
                <w:rFonts w:ascii="Arial" w:hAnsi="Arial" w:cs="Arial"/>
                <w:b/>
                <w:kern w:val="22"/>
                <w:sz w:val="32"/>
                <w:szCs w:val="32"/>
              </w:rPr>
            </w:pPr>
            <w:r w:rsidRPr="00EA775A">
              <w:rPr>
                <w:rFonts w:ascii="Arial" w:hAnsi="Arial" w:cs="Arial"/>
                <w:b/>
                <w:kern w:val="22"/>
                <w:sz w:val="32"/>
                <w:szCs w:val="32"/>
              </w:rPr>
              <w:t>CBD</w:t>
            </w:r>
          </w:p>
        </w:tc>
      </w:tr>
    </w:tbl>
    <w:tbl>
      <w:tblPr>
        <w:tblW w:w="10350" w:type="dxa"/>
        <w:tblInd w:w="-459" w:type="dxa"/>
        <w:tblBorders>
          <w:bottom w:val="single" w:sz="36" w:space="0" w:color="000000"/>
        </w:tblBorders>
        <w:tblLayout w:type="fixed"/>
        <w:tblLook w:val="04A0" w:firstRow="1" w:lastRow="0" w:firstColumn="1" w:lastColumn="0" w:noHBand="0" w:noVBand="1"/>
      </w:tblPr>
      <w:tblGrid>
        <w:gridCol w:w="6228"/>
        <w:gridCol w:w="1144"/>
        <w:gridCol w:w="2978"/>
      </w:tblGrid>
      <w:tr w:rsidR="009C2DA0" w:rsidRPr="00C6274F" w14:paraId="33D09B80" w14:textId="77777777" w:rsidTr="00DF2A13">
        <w:trPr>
          <w:trHeight w:val="1693"/>
        </w:trPr>
        <w:tc>
          <w:tcPr>
            <w:tcW w:w="6228" w:type="dxa"/>
            <w:tcBorders>
              <w:top w:val="nil"/>
              <w:left w:val="nil"/>
              <w:bottom w:val="single" w:sz="36" w:space="0" w:color="000000"/>
              <w:right w:val="nil"/>
            </w:tcBorders>
          </w:tcPr>
          <w:p w14:paraId="4329440B" w14:textId="77777777" w:rsidR="009C2DA0" w:rsidRPr="009C2DA0" w:rsidRDefault="009C2DA0" w:rsidP="009C2DA0">
            <w:pPr>
              <w:suppressLineNumbers/>
              <w:suppressAutoHyphens/>
              <w:kinsoku w:val="0"/>
              <w:overflowPunct w:val="0"/>
              <w:autoSpaceDE w:val="0"/>
              <w:autoSpaceDN w:val="0"/>
              <w:spacing w:after="0" w:line="240" w:lineRule="auto"/>
              <w:rPr>
                <w:rFonts w:ascii="Times New Roman" w:hAnsi="Times New Roman"/>
                <w:snapToGrid w:val="0"/>
                <w:kern w:val="22"/>
              </w:rPr>
            </w:pPr>
            <w:r w:rsidRPr="009C2DA0">
              <w:rPr>
                <w:rFonts w:ascii="Times New Roman" w:hAnsi="Times New Roman"/>
                <w:noProof/>
                <w:kern w:val="22"/>
                <w:lang w:eastAsia="es-ES"/>
              </w:rPr>
              <w:drawing>
                <wp:inline distT="0" distB="0" distL="0" distR="0" wp14:anchorId="38E0C527" wp14:editId="21F83DC4">
                  <wp:extent cx="2886075" cy="10763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1144" w:type="dxa"/>
            <w:tcBorders>
              <w:top w:val="nil"/>
              <w:left w:val="nil"/>
              <w:bottom w:val="single" w:sz="36" w:space="0" w:color="000000"/>
              <w:right w:val="nil"/>
            </w:tcBorders>
          </w:tcPr>
          <w:p w14:paraId="212437BC" w14:textId="77777777" w:rsidR="009C2DA0" w:rsidRPr="009C2DA0" w:rsidRDefault="009C2DA0" w:rsidP="009C2DA0">
            <w:pPr>
              <w:pStyle w:val="Header"/>
              <w:suppressLineNumbers/>
              <w:tabs>
                <w:tab w:val="left" w:pos="720"/>
              </w:tabs>
              <w:suppressAutoHyphens/>
              <w:kinsoku w:val="0"/>
              <w:overflowPunct w:val="0"/>
              <w:autoSpaceDE w:val="0"/>
              <w:autoSpaceDN w:val="0"/>
              <w:spacing w:before="0" w:after="0"/>
              <w:rPr>
                <w:b/>
                <w:snapToGrid w:val="0"/>
                <w:kern w:val="22"/>
                <w:szCs w:val="22"/>
              </w:rPr>
            </w:pPr>
          </w:p>
        </w:tc>
        <w:tc>
          <w:tcPr>
            <w:tcW w:w="2978" w:type="dxa"/>
            <w:tcBorders>
              <w:top w:val="nil"/>
              <w:left w:val="nil"/>
              <w:bottom w:val="single" w:sz="36" w:space="0" w:color="000000"/>
              <w:right w:val="nil"/>
            </w:tcBorders>
          </w:tcPr>
          <w:p w14:paraId="057AE3B1" w14:textId="77777777" w:rsidR="009C2DA0" w:rsidRPr="009C2DA0" w:rsidRDefault="009C2DA0" w:rsidP="009C2DA0">
            <w:pPr>
              <w:suppressLineNumbers/>
              <w:suppressAutoHyphens/>
              <w:kinsoku w:val="0"/>
              <w:overflowPunct w:val="0"/>
              <w:autoSpaceDE w:val="0"/>
              <w:autoSpaceDN w:val="0"/>
              <w:spacing w:after="0" w:line="240" w:lineRule="auto"/>
              <w:ind w:left="63"/>
              <w:rPr>
                <w:rFonts w:ascii="Times New Roman" w:hAnsi="Times New Roman"/>
                <w:snapToGrid w:val="0"/>
                <w:kern w:val="22"/>
                <w:lang w:val="es-ES"/>
              </w:rPr>
            </w:pPr>
            <w:r w:rsidRPr="009C2DA0">
              <w:rPr>
                <w:rFonts w:ascii="Times New Roman" w:hAnsi="Times New Roman"/>
                <w:snapToGrid w:val="0"/>
                <w:kern w:val="22"/>
                <w:lang w:val="es-ES"/>
              </w:rPr>
              <w:t>Distr.</w:t>
            </w:r>
          </w:p>
          <w:p w14:paraId="567DC036" w14:textId="77777777" w:rsidR="009C2DA0" w:rsidRPr="009C2DA0" w:rsidRDefault="009C2DA0" w:rsidP="009C2DA0">
            <w:pPr>
              <w:suppressLineNumbers/>
              <w:suppressAutoHyphens/>
              <w:kinsoku w:val="0"/>
              <w:overflowPunct w:val="0"/>
              <w:autoSpaceDE w:val="0"/>
              <w:autoSpaceDN w:val="0"/>
              <w:spacing w:after="0" w:line="240" w:lineRule="auto"/>
              <w:ind w:left="63"/>
              <w:rPr>
                <w:rFonts w:ascii="Times New Roman" w:hAnsi="Times New Roman"/>
                <w:snapToGrid w:val="0"/>
                <w:kern w:val="22"/>
                <w:lang w:val="es-ES"/>
              </w:rPr>
            </w:pPr>
            <w:r w:rsidRPr="009C2DA0">
              <w:rPr>
                <w:rFonts w:ascii="Times New Roman" w:hAnsi="Times New Roman"/>
                <w:snapToGrid w:val="0"/>
                <w:kern w:val="22"/>
                <w:lang w:val="es-ES"/>
              </w:rPr>
              <w:t>GENERAL</w:t>
            </w:r>
          </w:p>
          <w:p w14:paraId="3143B953" w14:textId="77777777" w:rsidR="009C2DA0" w:rsidRPr="009C2DA0" w:rsidRDefault="009C2DA0" w:rsidP="009C2DA0">
            <w:pPr>
              <w:suppressLineNumbers/>
              <w:suppressAutoHyphens/>
              <w:kinsoku w:val="0"/>
              <w:overflowPunct w:val="0"/>
              <w:autoSpaceDE w:val="0"/>
              <w:autoSpaceDN w:val="0"/>
              <w:spacing w:after="0" w:line="240" w:lineRule="auto"/>
              <w:ind w:left="63"/>
              <w:rPr>
                <w:rFonts w:ascii="Times New Roman" w:hAnsi="Times New Roman"/>
                <w:snapToGrid w:val="0"/>
                <w:kern w:val="22"/>
                <w:lang w:val="es-ES"/>
              </w:rPr>
            </w:pPr>
          </w:p>
          <w:sdt>
            <w:sdtPr>
              <w:rPr>
                <w:rFonts w:ascii="Times New Roman" w:hAnsi="Times New Roman"/>
                <w:snapToGrid w:val="0"/>
                <w:kern w:val="22"/>
                <w:lang w:val="es-ES"/>
              </w:rPr>
              <w:alias w:val="Subject"/>
              <w:tag w:val=""/>
              <w:id w:val="-571272966"/>
              <w:placeholder>
                <w:docPart w:val="063AB0BFAAE044E3B8CBD574D1E58BA0"/>
              </w:placeholder>
              <w:dataBinding w:prefixMappings="xmlns:ns0='http://purl.org/dc/elements/1.1/' xmlns:ns1='http://schemas.openxmlformats.org/package/2006/metadata/core-properties' " w:xpath="/ns1:coreProperties[1]/ns0:subject[1]" w:storeItemID="{6C3C8BC8-F283-45AE-878A-BAB7291924A1}"/>
              <w:text/>
            </w:sdtPr>
            <w:sdtEndPr/>
            <w:sdtContent>
              <w:p w14:paraId="0E29799A" w14:textId="4042A623" w:rsidR="009C2DA0" w:rsidRPr="009C2DA0" w:rsidRDefault="009C2DA0" w:rsidP="009C2DA0">
                <w:pPr>
                  <w:suppressLineNumbers/>
                  <w:suppressAutoHyphens/>
                  <w:kinsoku w:val="0"/>
                  <w:overflowPunct w:val="0"/>
                  <w:autoSpaceDE w:val="0"/>
                  <w:autoSpaceDN w:val="0"/>
                  <w:spacing w:after="0" w:line="240" w:lineRule="auto"/>
                  <w:ind w:left="63"/>
                  <w:rPr>
                    <w:rFonts w:ascii="Times New Roman" w:hAnsi="Times New Roman"/>
                    <w:snapToGrid w:val="0"/>
                    <w:kern w:val="22"/>
                    <w:lang w:val="es-ES"/>
                  </w:rPr>
                </w:pPr>
                <w:r>
                  <w:rPr>
                    <w:rFonts w:ascii="Times New Roman" w:hAnsi="Times New Roman"/>
                    <w:snapToGrid w:val="0"/>
                    <w:kern w:val="22"/>
                    <w:lang w:val="es-ES"/>
                  </w:rPr>
                  <w:t>CBD/SBSTTA/24/INF/19</w:t>
                </w:r>
              </w:p>
            </w:sdtContent>
          </w:sdt>
          <w:p w14:paraId="682AB141" w14:textId="77777777" w:rsidR="009C2DA0" w:rsidRPr="009C2DA0" w:rsidRDefault="009C2DA0" w:rsidP="009C2DA0">
            <w:pPr>
              <w:suppressLineNumbers/>
              <w:suppressAutoHyphens/>
              <w:kinsoku w:val="0"/>
              <w:overflowPunct w:val="0"/>
              <w:autoSpaceDE w:val="0"/>
              <w:autoSpaceDN w:val="0"/>
              <w:spacing w:after="0" w:line="240" w:lineRule="auto"/>
              <w:ind w:left="63"/>
              <w:rPr>
                <w:rFonts w:ascii="Times New Roman" w:hAnsi="Times New Roman"/>
                <w:snapToGrid w:val="0"/>
                <w:kern w:val="22"/>
              </w:rPr>
            </w:pPr>
            <w:r w:rsidRPr="009C2DA0">
              <w:rPr>
                <w:rFonts w:ascii="Times New Roman" w:hAnsi="Times New Roman"/>
                <w:snapToGrid w:val="0"/>
                <w:kern w:val="22"/>
              </w:rPr>
              <w:t>15 December 2020</w:t>
            </w:r>
          </w:p>
          <w:p w14:paraId="48DF002D" w14:textId="77777777" w:rsidR="009C2DA0" w:rsidRPr="009C2DA0" w:rsidRDefault="009C2DA0" w:rsidP="009C2DA0">
            <w:pPr>
              <w:suppressLineNumbers/>
              <w:suppressAutoHyphens/>
              <w:kinsoku w:val="0"/>
              <w:overflowPunct w:val="0"/>
              <w:autoSpaceDE w:val="0"/>
              <w:autoSpaceDN w:val="0"/>
              <w:spacing w:after="0" w:line="240" w:lineRule="auto"/>
              <w:ind w:left="63"/>
              <w:rPr>
                <w:rFonts w:ascii="Times New Roman" w:hAnsi="Times New Roman"/>
                <w:snapToGrid w:val="0"/>
                <w:kern w:val="22"/>
              </w:rPr>
            </w:pPr>
          </w:p>
          <w:p w14:paraId="2E1697F7" w14:textId="77777777" w:rsidR="009C2DA0" w:rsidRPr="009C2DA0" w:rsidRDefault="009C2DA0" w:rsidP="009C2DA0">
            <w:pPr>
              <w:suppressLineNumbers/>
              <w:suppressAutoHyphens/>
              <w:kinsoku w:val="0"/>
              <w:overflowPunct w:val="0"/>
              <w:autoSpaceDE w:val="0"/>
              <w:autoSpaceDN w:val="0"/>
              <w:spacing w:after="0" w:line="240" w:lineRule="auto"/>
              <w:ind w:left="63"/>
              <w:rPr>
                <w:rFonts w:ascii="Times New Roman" w:hAnsi="Times New Roman"/>
                <w:snapToGrid w:val="0"/>
                <w:kern w:val="22"/>
                <w:u w:val="single"/>
              </w:rPr>
            </w:pPr>
            <w:r w:rsidRPr="009C2DA0">
              <w:rPr>
                <w:rFonts w:ascii="Times New Roman" w:hAnsi="Times New Roman"/>
                <w:snapToGrid w:val="0"/>
                <w:kern w:val="22"/>
              </w:rPr>
              <w:t>ENGLISH ONLY</w:t>
            </w:r>
          </w:p>
        </w:tc>
      </w:tr>
    </w:tbl>
    <w:bookmarkStart w:id="0" w:name="Meeting"/>
    <w:p w14:paraId="64EA3CE3" w14:textId="77777777" w:rsidR="009C2DA0" w:rsidRPr="00EA775A" w:rsidRDefault="00B6010A" w:rsidP="009C2DA0">
      <w:pPr>
        <w:pStyle w:val="meetingname"/>
        <w:suppressLineNumbers/>
        <w:suppressAutoHyphens/>
        <w:kinsoku w:val="0"/>
        <w:overflowPunct w:val="0"/>
        <w:autoSpaceDE w:val="0"/>
        <w:autoSpaceDN w:val="0"/>
        <w:ind w:right="4207"/>
        <w:rPr>
          <w:snapToGrid w:val="0"/>
          <w:kern w:val="22"/>
          <w:szCs w:val="22"/>
        </w:rPr>
      </w:pPr>
      <w:sdt>
        <w:sdtPr>
          <w:rPr>
            <w:snapToGrid w:val="0"/>
            <w:kern w:val="22"/>
            <w:szCs w:val="22"/>
          </w:rPr>
          <w:alias w:val="Meeting"/>
          <w:tag w:val="Meeting"/>
          <w:id w:val="1412045910"/>
          <w:placeholder>
            <w:docPart w:val="ACD92C77615A4E07B3508B45DC08D168"/>
          </w:placeholder>
          <w:text/>
        </w:sdtPr>
        <w:sdtEndPr/>
        <w:sdtContent>
          <w:r w:rsidR="009C2DA0" w:rsidRPr="0062410D">
            <w:rPr>
              <w:snapToGrid w:val="0"/>
              <w:kern w:val="22"/>
              <w:szCs w:val="22"/>
            </w:rPr>
            <w:t>SUBSIDIARY BODY ON SCIENTIFIC, TECHNICAL AND TECHNOLOGICAL ADVICE</w:t>
          </w:r>
        </w:sdtContent>
      </w:sdt>
      <w:bookmarkEnd w:id="0"/>
    </w:p>
    <w:p w14:paraId="092EC3EF" w14:textId="77777777" w:rsidR="009C2DA0" w:rsidRPr="009C2DA0" w:rsidRDefault="009C2DA0" w:rsidP="009C2DA0">
      <w:pPr>
        <w:suppressLineNumbers/>
        <w:suppressAutoHyphens/>
        <w:kinsoku w:val="0"/>
        <w:overflowPunct w:val="0"/>
        <w:autoSpaceDE w:val="0"/>
        <w:autoSpaceDN w:val="0"/>
        <w:spacing w:after="0" w:line="240" w:lineRule="auto"/>
        <w:ind w:right="4542"/>
        <w:rPr>
          <w:rFonts w:ascii="Times New Roman" w:hAnsi="Times New Roman"/>
          <w:snapToGrid w:val="0"/>
          <w:kern w:val="22"/>
          <w:lang w:eastAsia="nb-NO"/>
        </w:rPr>
      </w:pPr>
      <w:r w:rsidRPr="009C2DA0">
        <w:rPr>
          <w:rFonts w:ascii="Times New Roman" w:hAnsi="Times New Roman"/>
          <w:snapToGrid w:val="0"/>
          <w:kern w:val="22"/>
          <w:lang w:eastAsia="nb-NO"/>
        </w:rPr>
        <w:t>Twenty-fourth meeting</w:t>
      </w:r>
    </w:p>
    <w:p w14:paraId="621F57C7" w14:textId="63DC1BCE" w:rsidR="009C2DA0" w:rsidRPr="009C2DA0" w:rsidRDefault="009C2DA0" w:rsidP="009C2DA0">
      <w:pPr>
        <w:suppressLineNumbers/>
        <w:suppressAutoHyphens/>
        <w:kinsoku w:val="0"/>
        <w:overflowPunct w:val="0"/>
        <w:autoSpaceDE w:val="0"/>
        <w:autoSpaceDN w:val="0"/>
        <w:spacing w:after="0" w:line="240" w:lineRule="auto"/>
        <w:ind w:right="4542"/>
        <w:rPr>
          <w:rFonts w:ascii="Times New Roman" w:hAnsi="Times New Roman"/>
          <w:snapToGrid w:val="0"/>
          <w:kern w:val="22"/>
          <w:lang w:eastAsia="nb-NO"/>
        </w:rPr>
      </w:pPr>
      <w:r>
        <w:rPr>
          <w:rFonts w:ascii="Times New Roman" w:hAnsi="Times New Roman"/>
          <w:snapToGrid w:val="0"/>
          <w:kern w:val="22"/>
          <w:lang w:eastAsia="nb-NO"/>
        </w:rPr>
        <w:t>Online, 3 May – 9 June 2021</w:t>
      </w:r>
    </w:p>
    <w:p w14:paraId="677750B9" w14:textId="77777777" w:rsidR="009C2DA0" w:rsidRPr="009C2DA0" w:rsidRDefault="009C2DA0" w:rsidP="009C2DA0">
      <w:pPr>
        <w:suppressLineNumbers/>
        <w:suppressAutoHyphens/>
        <w:kinsoku w:val="0"/>
        <w:overflowPunct w:val="0"/>
        <w:autoSpaceDE w:val="0"/>
        <w:autoSpaceDN w:val="0"/>
        <w:spacing w:after="0" w:line="240" w:lineRule="auto"/>
        <w:ind w:right="4542"/>
        <w:rPr>
          <w:rFonts w:ascii="Times New Roman" w:hAnsi="Times New Roman"/>
          <w:snapToGrid w:val="0"/>
          <w:kern w:val="22"/>
          <w:lang w:eastAsia="nb-NO"/>
        </w:rPr>
      </w:pPr>
      <w:r w:rsidRPr="009C2DA0">
        <w:rPr>
          <w:rFonts w:ascii="Times New Roman" w:hAnsi="Times New Roman"/>
          <w:snapToGrid w:val="0"/>
          <w:kern w:val="22"/>
          <w:lang w:eastAsia="nb-NO"/>
        </w:rPr>
        <w:t>Item 4 of the provisional agenda</w:t>
      </w:r>
      <w:r w:rsidRPr="009C2DA0">
        <w:rPr>
          <w:rStyle w:val="FootnoteReference"/>
          <w:rFonts w:ascii="Times New Roman" w:hAnsi="Times New Roman"/>
          <w:snapToGrid w:val="0"/>
          <w:kern w:val="22"/>
          <w:lang w:eastAsia="nb-NO"/>
        </w:rPr>
        <w:footnoteReference w:customMarkFollows="1" w:id="2"/>
        <w:t>*</w:t>
      </w:r>
    </w:p>
    <w:p w14:paraId="6760A478" w14:textId="1CB2F6B7" w:rsidR="009C2DA0" w:rsidRPr="00E857D9" w:rsidRDefault="00E94ABF" w:rsidP="009C2DA0">
      <w:pPr>
        <w:pStyle w:val="Heading1"/>
        <w:suppressLineNumbers/>
        <w:tabs>
          <w:tab w:val="clear" w:pos="720"/>
        </w:tabs>
        <w:suppressAutoHyphens/>
        <w:kinsoku w:val="0"/>
        <w:overflowPunct w:val="0"/>
        <w:autoSpaceDE w:val="0"/>
        <w:autoSpaceDN w:val="0"/>
        <w:rPr>
          <w:snapToGrid w:val="0"/>
          <w:kern w:val="22"/>
          <w:szCs w:val="22"/>
        </w:rPr>
      </w:pPr>
      <w:r w:rsidRPr="00E94ABF">
        <w:rPr>
          <w:rFonts w:ascii="Times New Roman Bold" w:hAnsi="Times New Roman Bold" w:cs="Times New Roman Bold"/>
          <w:bCs/>
          <w:snapToGrid w:val="0"/>
          <w:kern w:val="22"/>
        </w:rPr>
        <w:t>UPDATE OF THE TECHNICAL SERIES ON SYNTHETIC BIOLOGY</w:t>
      </w:r>
    </w:p>
    <w:p w14:paraId="01927294" w14:textId="77777777" w:rsidR="009C2DA0" w:rsidRPr="00EA775A" w:rsidRDefault="009C2DA0" w:rsidP="009C2DA0">
      <w:pPr>
        <w:pStyle w:val="Heading1"/>
        <w:numPr>
          <w:ilvl w:val="0"/>
          <w:numId w:val="239"/>
        </w:numPr>
        <w:tabs>
          <w:tab w:val="clear" w:pos="720"/>
          <w:tab w:val="left" w:pos="426"/>
        </w:tabs>
        <w:spacing w:before="120"/>
        <w:ind w:left="0" w:firstLine="0"/>
        <w:rPr>
          <w:kern w:val="22"/>
        </w:rPr>
      </w:pPr>
      <w:r w:rsidRPr="00EA775A">
        <w:rPr>
          <w:kern w:val="22"/>
        </w:rPr>
        <w:t>Introduction</w:t>
      </w:r>
    </w:p>
    <w:p w14:paraId="6A424937" w14:textId="77777777" w:rsidR="009C2DA0" w:rsidRPr="00EA775A" w:rsidRDefault="009C2DA0" w:rsidP="009C2DA0">
      <w:pPr>
        <w:pStyle w:val="Para1"/>
        <w:numPr>
          <w:ilvl w:val="0"/>
          <w:numId w:val="240"/>
        </w:numPr>
        <w:tabs>
          <w:tab w:val="clear" w:pos="360"/>
        </w:tabs>
        <w:rPr>
          <w:snapToGrid w:val="0"/>
          <w:kern w:val="22"/>
        </w:rPr>
      </w:pPr>
      <w:r w:rsidRPr="00EA775A">
        <w:rPr>
          <w:snapToGrid w:val="0"/>
          <w:kern w:val="22"/>
        </w:rPr>
        <w:t xml:space="preserve">In decision </w:t>
      </w:r>
      <w:hyperlink r:id="rId14" w:history="1">
        <w:r w:rsidRPr="00EA775A">
          <w:rPr>
            <w:rStyle w:val="Hyperlink"/>
            <w:snapToGrid w:val="0"/>
            <w:kern w:val="22"/>
          </w:rPr>
          <w:t>14/19</w:t>
        </w:r>
      </w:hyperlink>
      <w:r w:rsidRPr="00EA775A">
        <w:rPr>
          <w:snapToGrid w:val="0"/>
          <w:kern w:val="22"/>
        </w:rPr>
        <w:t xml:space="preserve">, the Conference of the Parties requests the Executive Secretary, subject to the availability of resources to, among other things, update the </w:t>
      </w:r>
      <w:bookmarkStart w:id="1" w:name="_Hlk59014182"/>
      <w:r w:rsidRPr="00EA775A">
        <w:rPr>
          <w:snapToGrid w:val="0"/>
          <w:kern w:val="22"/>
        </w:rPr>
        <w:t>Technical Series on Synthetic Biology for consideration by the Subsidiary Body on Scientific, Technical and Technological Advice based on the peer review of scientific information and other relevant information.</w:t>
      </w:r>
    </w:p>
    <w:bookmarkEnd w:id="1"/>
    <w:p w14:paraId="0BFFBEB1" w14:textId="77777777" w:rsidR="009C2DA0" w:rsidRPr="00EA775A" w:rsidRDefault="009C2DA0" w:rsidP="009C2DA0">
      <w:pPr>
        <w:pStyle w:val="Para1"/>
        <w:numPr>
          <w:ilvl w:val="0"/>
          <w:numId w:val="240"/>
        </w:numPr>
        <w:tabs>
          <w:tab w:val="clear" w:pos="360"/>
        </w:tabs>
        <w:rPr>
          <w:snapToGrid w:val="0"/>
          <w:kern w:val="22"/>
          <w:lang w:val="en-GB"/>
        </w:rPr>
      </w:pPr>
      <w:r w:rsidRPr="00EA775A">
        <w:rPr>
          <w:snapToGrid w:val="0"/>
          <w:kern w:val="22"/>
          <w:lang w:val="en-GB"/>
        </w:rPr>
        <w:t>The present document provides information on the process carried out by the Secretariat towards this end.</w:t>
      </w:r>
    </w:p>
    <w:p w14:paraId="6D4346F8" w14:textId="77777777" w:rsidR="009C2DA0" w:rsidRPr="00EA775A" w:rsidRDefault="009C2DA0" w:rsidP="009C2DA0">
      <w:pPr>
        <w:pStyle w:val="Heading1"/>
        <w:numPr>
          <w:ilvl w:val="0"/>
          <w:numId w:val="239"/>
        </w:numPr>
        <w:tabs>
          <w:tab w:val="clear" w:pos="720"/>
          <w:tab w:val="left" w:pos="426"/>
        </w:tabs>
        <w:spacing w:before="120"/>
        <w:ind w:left="0" w:firstLine="0"/>
        <w:rPr>
          <w:kern w:val="22"/>
        </w:rPr>
      </w:pPr>
      <w:r w:rsidRPr="00EA775A">
        <w:rPr>
          <w:kern w:val="22"/>
        </w:rPr>
        <w:t>Background and the process</w:t>
      </w:r>
    </w:p>
    <w:p w14:paraId="49067A8D" w14:textId="77777777" w:rsidR="009C2DA0" w:rsidRPr="00EA775A" w:rsidRDefault="009C2DA0" w:rsidP="009C2DA0">
      <w:pPr>
        <w:pStyle w:val="Para1"/>
        <w:numPr>
          <w:ilvl w:val="0"/>
          <w:numId w:val="240"/>
        </w:numPr>
        <w:tabs>
          <w:tab w:val="clear" w:pos="360"/>
        </w:tabs>
        <w:rPr>
          <w:snapToGrid w:val="0"/>
          <w:kern w:val="22"/>
          <w:lang w:val="en-GB"/>
        </w:rPr>
      </w:pPr>
      <w:r w:rsidRPr="00EA775A">
        <w:rPr>
          <w:snapToGrid w:val="0"/>
          <w:kern w:val="22"/>
          <w:lang w:val="en-GB"/>
        </w:rPr>
        <w:t xml:space="preserve">In </w:t>
      </w:r>
      <w:r w:rsidRPr="00EA775A">
        <w:rPr>
          <w:snapToGrid w:val="0"/>
          <w:kern w:val="22"/>
        </w:rPr>
        <w:t xml:space="preserve">decision </w:t>
      </w:r>
      <w:hyperlink r:id="rId15" w:history="1">
        <w:r w:rsidRPr="00EA775A">
          <w:rPr>
            <w:rStyle w:val="Hyperlink"/>
            <w:snapToGrid w:val="0"/>
            <w:kern w:val="22"/>
          </w:rPr>
          <w:t>X/13</w:t>
        </w:r>
      </w:hyperlink>
      <w:r w:rsidRPr="00EA775A">
        <w:rPr>
          <w:snapToGrid w:val="0"/>
          <w:kern w:val="22"/>
        </w:rPr>
        <w:t xml:space="preserve">, the Conference of the Parties invited Parties, other Governments and relevant organizations to submit information on, inter alia, synthetic biology for consideration by the Subsidiary Body on Scientific, Technical and Technological Advice, in accordance with the procedures outlined in decision </w:t>
      </w:r>
      <w:hyperlink r:id="rId16" w:history="1">
        <w:r w:rsidRPr="00EA775A">
          <w:rPr>
            <w:rStyle w:val="Hyperlink"/>
            <w:snapToGrid w:val="0"/>
            <w:kern w:val="22"/>
          </w:rPr>
          <w:t>IX/29</w:t>
        </w:r>
      </w:hyperlink>
      <w:r w:rsidRPr="00EA775A">
        <w:rPr>
          <w:snapToGrid w:val="0"/>
          <w:kern w:val="22"/>
        </w:rPr>
        <w:t xml:space="preserve">. Following the consideration of information on synthetic biology by the Subsidiary Body at its sixteenth meeting, the Conference of the Parties, in decision </w:t>
      </w:r>
      <w:hyperlink r:id="rId17" w:history="1">
        <w:r w:rsidRPr="00EA775A">
          <w:rPr>
            <w:rStyle w:val="Hyperlink"/>
            <w:snapToGrid w:val="0"/>
            <w:kern w:val="22"/>
          </w:rPr>
          <w:t>XI/11</w:t>
        </w:r>
      </w:hyperlink>
      <w:r w:rsidRPr="00EA775A">
        <w:rPr>
          <w:snapToGrid w:val="0"/>
          <w:kern w:val="22"/>
        </w:rPr>
        <w:t xml:space="preserve">, requested the Executive Secretary to, inter alia, invite additional information on the subject, compile and synthesize this information and to consider possible gaps and overlaps with the applicable provisions of the Convention, its Protocols and other relevant agreements. A synthesis of this information was to be prepared, peer reviewed and subsequently considered by the Subsidiary Body on Scientific, Technical and technological Advice. The resulting documents, </w:t>
      </w:r>
      <w:hyperlink r:id="rId18" w:history="1">
        <w:r w:rsidRPr="00EA775A">
          <w:rPr>
            <w:rStyle w:val="Hyperlink"/>
            <w:snapToGrid w:val="0"/>
            <w:kern w:val="22"/>
          </w:rPr>
          <w:t>UNEP/CBD/SBSTTA/18/INF/3</w:t>
        </w:r>
      </w:hyperlink>
      <w:r w:rsidRPr="00EA775A">
        <w:rPr>
          <w:snapToGrid w:val="0"/>
          <w:kern w:val="22"/>
        </w:rPr>
        <w:t xml:space="preserve"> and </w:t>
      </w:r>
      <w:hyperlink r:id="rId19" w:history="1">
        <w:r w:rsidRPr="00EA775A">
          <w:rPr>
            <w:rStyle w:val="Hyperlink"/>
            <w:snapToGrid w:val="0"/>
            <w:kern w:val="22"/>
          </w:rPr>
          <w:t>INF/4</w:t>
        </w:r>
      </w:hyperlink>
      <w:r w:rsidRPr="00EA775A">
        <w:rPr>
          <w:snapToGrid w:val="0"/>
          <w:kern w:val="22"/>
        </w:rPr>
        <w:t xml:space="preserve">, were made available to the </w:t>
      </w:r>
      <w:r w:rsidRPr="00EC1123">
        <w:rPr>
          <w:kern w:val="22"/>
        </w:rPr>
        <w:t>Subsidiary Body</w:t>
      </w:r>
      <w:r>
        <w:rPr>
          <w:kern w:val="22"/>
        </w:rPr>
        <w:t xml:space="preserve"> at its </w:t>
      </w:r>
      <w:r w:rsidRPr="00EA775A">
        <w:rPr>
          <w:snapToGrid w:val="0"/>
          <w:kern w:val="22"/>
        </w:rPr>
        <w:t xml:space="preserve">eighteenth meeting. On the basis of the comments made at the eighteenth meeting of the Subsidiary Body and additional comments provided through a peer-review process that took place in July and August 2014, the documents were revised and issued as information documents for consideration by the Conference of the Parties </w:t>
      </w:r>
      <w:r>
        <w:rPr>
          <w:kern w:val="22"/>
        </w:rPr>
        <w:t>at its</w:t>
      </w:r>
      <w:r w:rsidRPr="00045D19">
        <w:rPr>
          <w:kern w:val="22"/>
        </w:rPr>
        <w:t xml:space="preserve"> </w:t>
      </w:r>
      <w:r w:rsidRPr="00F33077">
        <w:rPr>
          <w:kern w:val="22"/>
        </w:rPr>
        <w:t xml:space="preserve">twelfth meeting </w:t>
      </w:r>
      <w:r w:rsidRPr="00EA775A">
        <w:rPr>
          <w:snapToGrid w:val="0"/>
          <w:kern w:val="22"/>
        </w:rPr>
        <w:t>(</w:t>
      </w:r>
      <w:hyperlink r:id="rId20" w:history="1">
        <w:r w:rsidRPr="00EA775A">
          <w:rPr>
            <w:rStyle w:val="Hyperlink"/>
            <w:snapToGrid w:val="0"/>
            <w:kern w:val="22"/>
          </w:rPr>
          <w:t>UNEP/CBD/COP/12/INF/11</w:t>
        </w:r>
      </w:hyperlink>
      <w:r w:rsidRPr="00EA775A">
        <w:rPr>
          <w:snapToGrid w:val="0"/>
          <w:kern w:val="22"/>
        </w:rPr>
        <w:t xml:space="preserve"> and </w:t>
      </w:r>
      <w:hyperlink r:id="rId21" w:history="1">
        <w:r w:rsidRPr="00EA775A">
          <w:rPr>
            <w:rStyle w:val="Hyperlink"/>
            <w:snapToGrid w:val="0"/>
            <w:kern w:val="22"/>
          </w:rPr>
          <w:t>INF/12</w:t>
        </w:r>
      </w:hyperlink>
      <w:r w:rsidRPr="00EA775A">
        <w:rPr>
          <w:snapToGrid w:val="0"/>
          <w:kern w:val="22"/>
        </w:rPr>
        <w:t xml:space="preserve">). The document </w:t>
      </w:r>
      <w:r>
        <w:rPr>
          <w:kern w:val="22"/>
        </w:rPr>
        <w:t>“</w:t>
      </w:r>
      <w:r w:rsidRPr="00EA775A">
        <w:rPr>
          <w:snapToGrid w:val="0"/>
          <w:kern w:val="22"/>
        </w:rPr>
        <w:t>Technical Series N</w:t>
      </w:r>
      <w:r>
        <w:rPr>
          <w:kern w:val="22"/>
        </w:rPr>
        <w:t>o</w:t>
      </w:r>
      <w:r w:rsidRPr="00EA775A">
        <w:rPr>
          <w:snapToGrid w:val="0"/>
          <w:kern w:val="22"/>
        </w:rPr>
        <w:t>.</w:t>
      </w:r>
      <w:r>
        <w:rPr>
          <w:kern w:val="22"/>
        </w:rPr>
        <w:t> </w:t>
      </w:r>
      <w:r w:rsidRPr="00EA775A">
        <w:rPr>
          <w:snapToGrid w:val="0"/>
          <w:kern w:val="22"/>
        </w:rPr>
        <w:t>82</w:t>
      </w:r>
      <w:r>
        <w:rPr>
          <w:kern w:val="22"/>
        </w:rPr>
        <w:t>,</w:t>
      </w:r>
      <w:r w:rsidRPr="00EA775A">
        <w:rPr>
          <w:snapToGrid w:val="0"/>
          <w:kern w:val="22"/>
        </w:rPr>
        <w:t xml:space="preserve"> Synthetic Biology</w:t>
      </w:r>
      <w:r>
        <w:rPr>
          <w:kern w:val="22"/>
        </w:rPr>
        <w:t>”</w:t>
      </w:r>
      <w:r w:rsidRPr="00EA775A">
        <w:rPr>
          <w:rStyle w:val="FootnoteReference"/>
          <w:snapToGrid w:val="0"/>
          <w:kern w:val="22"/>
        </w:rPr>
        <w:footnoteReference w:id="3"/>
      </w:r>
      <w:r w:rsidRPr="00EA775A">
        <w:rPr>
          <w:snapToGrid w:val="0"/>
          <w:kern w:val="22"/>
        </w:rPr>
        <w:t xml:space="preserve"> represents the text from the two information documents submitted to the Conference of the Parties, with minor editorial corrections, and was issued in 2015 as part of the </w:t>
      </w:r>
      <w:r w:rsidRPr="00EA775A">
        <w:rPr>
          <w:i/>
          <w:snapToGrid w:val="0"/>
          <w:kern w:val="22"/>
        </w:rPr>
        <w:t>CBD Technical Series</w:t>
      </w:r>
      <w:r w:rsidRPr="00EA775A">
        <w:rPr>
          <w:snapToGrid w:val="0"/>
          <w:kern w:val="22"/>
        </w:rPr>
        <w:t xml:space="preserve"> to support the work of the Ad Hoc Technical Expert Group </w:t>
      </w:r>
      <w:r w:rsidRPr="00FB45FE">
        <w:rPr>
          <w:kern w:val="22"/>
        </w:rPr>
        <w:t>on Synthetic Biology</w:t>
      </w:r>
      <w:r>
        <w:rPr>
          <w:kern w:val="22"/>
        </w:rPr>
        <w:t>,</w:t>
      </w:r>
      <w:r w:rsidRPr="00FB45FE">
        <w:rPr>
          <w:kern w:val="22"/>
        </w:rPr>
        <w:t xml:space="preserve"> </w:t>
      </w:r>
      <w:r w:rsidRPr="00EA775A">
        <w:rPr>
          <w:snapToGrid w:val="0"/>
          <w:kern w:val="22"/>
        </w:rPr>
        <w:t xml:space="preserve">established in decision </w:t>
      </w:r>
      <w:hyperlink r:id="rId22" w:history="1">
        <w:r w:rsidRPr="00EA775A">
          <w:rPr>
            <w:rStyle w:val="Hyperlink"/>
            <w:snapToGrid w:val="0"/>
            <w:kern w:val="22"/>
          </w:rPr>
          <w:t>XII/24</w:t>
        </w:r>
      </w:hyperlink>
      <w:r w:rsidRPr="00EA775A">
        <w:rPr>
          <w:snapToGrid w:val="0"/>
          <w:kern w:val="22"/>
        </w:rPr>
        <w:t>.</w:t>
      </w:r>
    </w:p>
    <w:p w14:paraId="189840C7" w14:textId="77777777" w:rsidR="009C2DA0" w:rsidRDefault="009C2DA0" w:rsidP="009C2DA0">
      <w:pPr>
        <w:pStyle w:val="Para1"/>
        <w:numPr>
          <w:ilvl w:val="0"/>
          <w:numId w:val="240"/>
        </w:numPr>
        <w:tabs>
          <w:tab w:val="clear" w:pos="360"/>
        </w:tabs>
        <w:rPr>
          <w:kern w:val="22"/>
        </w:rPr>
      </w:pPr>
      <w:r w:rsidRPr="00EA775A">
        <w:rPr>
          <w:kern w:val="22"/>
        </w:rPr>
        <w:t xml:space="preserve">The document </w:t>
      </w:r>
      <w:r>
        <w:rPr>
          <w:kern w:val="22"/>
        </w:rPr>
        <w:t>“</w:t>
      </w:r>
      <w:r w:rsidRPr="00EA775A">
        <w:rPr>
          <w:kern w:val="22"/>
        </w:rPr>
        <w:t>Technical Series N</w:t>
      </w:r>
      <w:r>
        <w:rPr>
          <w:kern w:val="22"/>
        </w:rPr>
        <w:t>o</w:t>
      </w:r>
      <w:r w:rsidRPr="00EA775A">
        <w:rPr>
          <w:kern w:val="22"/>
        </w:rPr>
        <w:t>.</w:t>
      </w:r>
      <w:r>
        <w:rPr>
          <w:kern w:val="22"/>
        </w:rPr>
        <w:t> </w:t>
      </w:r>
      <w:r w:rsidRPr="00EA775A">
        <w:rPr>
          <w:kern w:val="22"/>
        </w:rPr>
        <w:t>82</w:t>
      </w:r>
      <w:r>
        <w:rPr>
          <w:kern w:val="22"/>
        </w:rPr>
        <w:t>,</w:t>
      </w:r>
      <w:r w:rsidRPr="00EA775A">
        <w:rPr>
          <w:kern w:val="22"/>
        </w:rPr>
        <w:t xml:space="preserve"> Synthetic Biology</w:t>
      </w:r>
      <w:r>
        <w:rPr>
          <w:kern w:val="22"/>
        </w:rPr>
        <w:t>”</w:t>
      </w:r>
      <w:r w:rsidRPr="00EA775A">
        <w:rPr>
          <w:kern w:val="22"/>
        </w:rPr>
        <w:t xml:space="preserve"> consists of two parts:</w:t>
      </w:r>
    </w:p>
    <w:p w14:paraId="23F9C5B2" w14:textId="77777777" w:rsidR="009C2DA0" w:rsidRDefault="009C2DA0" w:rsidP="009C2DA0">
      <w:pPr>
        <w:pStyle w:val="Para1"/>
        <w:ind w:firstLine="720"/>
        <w:rPr>
          <w:kern w:val="22"/>
        </w:rPr>
      </w:pPr>
      <w:r w:rsidRPr="00EA775A">
        <w:rPr>
          <w:kern w:val="22"/>
        </w:rPr>
        <w:t>Part I: Potential positive and negative impacts of components, organisms and products resulting from synthetic biology techniques on the conservation and sustainable use of biodiversity, and associated social, economic and cultural considerations;</w:t>
      </w:r>
    </w:p>
    <w:p w14:paraId="4022085E" w14:textId="77777777" w:rsidR="009C2DA0" w:rsidRPr="00EA775A" w:rsidRDefault="009C2DA0" w:rsidP="009C2DA0">
      <w:pPr>
        <w:pStyle w:val="Para1"/>
        <w:ind w:firstLine="720"/>
        <w:rPr>
          <w:snapToGrid w:val="0"/>
          <w:kern w:val="22"/>
          <w:lang w:val="en-GB"/>
        </w:rPr>
      </w:pPr>
      <w:r w:rsidRPr="00EA775A">
        <w:rPr>
          <w:snapToGrid w:val="0"/>
          <w:kern w:val="22"/>
        </w:rPr>
        <w:lastRenderedPageBreak/>
        <w:t xml:space="preserve">Part II: Possible gaps and overlaps with the applicable provisions of the </w:t>
      </w:r>
      <w:r>
        <w:rPr>
          <w:kern w:val="22"/>
        </w:rPr>
        <w:t>C</w:t>
      </w:r>
      <w:r w:rsidRPr="00EA775A">
        <w:rPr>
          <w:snapToGrid w:val="0"/>
          <w:kern w:val="22"/>
        </w:rPr>
        <w:t>onvention, its protocols and other relevant agreements related to components, organisms and products resulting from synthetic biology techniques.</w:t>
      </w:r>
    </w:p>
    <w:p w14:paraId="74A7DBA8" w14:textId="77777777" w:rsidR="009C2DA0" w:rsidRPr="009C2DA0" w:rsidRDefault="009C2DA0" w:rsidP="009C2DA0">
      <w:pPr>
        <w:pStyle w:val="Para1"/>
        <w:numPr>
          <w:ilvl w:val="0"/>
          <w:numId w:val="240"/>
        </w:numPr>
        <w:tabs>
          <w:tab w:val="clear" w:pos="360"/>
        </w:tabs>
        <w:rPr>
          <w:snapToGrid w:val="0"/>
          <w:kern w:val="22"/>
        </w:rPr>
      </w:pPr>
      <w:r w:rsidRPr="00EA775A">
        <w:rPr>
          <w:snapToGrid w:val="0"/>
          <w:kern w:val="22"/>
        </w:rPr>
        <w:t xml:space="preserve">In 2018, through decision 14/19, the Conference of the Parties requested the Executive Secretary to update the </w:t>
      </w:r>
      <w:r w:rsidRPr="00EA775A">
        <w:rPr>
          <w:i/>
          <w:snapToGrid w:val="0"/>
          <w:kern w:val="22"/>
        </w:rPr>
        <w:t>Technical Series</w:t>
      </w:r>
      <w:r w:rsidRPr="00EA775A">
        <w:rPr>
          <w:snapToGrid w:val="0"/>
          <w:kern w:val="22"/>
        </w:rPr>
        <w:t xml:space="preserve"> on </w:t>
      </w:r>
      <w:r>
        <w:rPr>
          <w:kern w:val="22"/>
        </w:rPr>
        <w:t>s</w:t>
      </w:r>
      <w:r w:rsidRPr="00EA775A">
        <w:rPr>
          <w:snapToGrid w:val="0"/>
          <w:kern w:val="22"/>
        </w:rPr>
        <w:t xml:space="preserve">ynthetic </w:t>
      </w:r>
      <w:r>
        <w:rPr>
          <w:kern w:val="22"/>
        </w:rPr>
        <w:t>b</w:t>
      </w:r>
      <w:r w:rsidRPr="00EA775A">
        <w:rPr>
          <w:snapToGrid w:val="0"/>
          <w:kern w:val="22"/>
        </w:rPr>
        <w:t xml:space="preserve">iology for consideration by the Subsidiary Body on Scientific, Technical and Technological Advice based on the peer review of scientific information and other relevant </w:t>
      </w:r>
      <w:r w:rsidRPr="009C2DA0">
        <w:rPr>
          <w:snapToGrid w:val="0"/>
          <w:kern w:val="22"/>
        </w:rPr>
        <w:t>information.</w:t>
      </w:r>
    </w:p>
    <w:p w14:paraId="66A2B03E" w14:textId="77777777" w:rsidR="009C2DA0" w:rsidRPr="009C2DA0" w:rsidRDefault="009C2DA0" w:rsidP="009C2DA0">
      <w:pPr>
        <w:pStyle w:val="Para1"/>
        <w:numPr>
          <w:ilvl w:val="0"/>
          <w:numId w:val="240"/>
        </w:numPr>
        <w:tabs>
          <w:tab w:val="clear" w:pos="360"/>
        </w:tabs>
        <w:rPr>
          <w:snapToGrid w:val="0"/>
          <w:kern w:val="22"/>
        </w:rPr>
      </w:pPr>
      <w:r w:rsidRPr="009C2DA0">
        <w:rPr>
          <w:snapToGrid w:val="0"/>
          <w:kern w:val="22"/>
        </w:rPr>
        <w:t xml:space="preserve">Based on the above, and with financial support from the Governments of Austria and the Netherlands, the Secretariat started the process of updating the </w:t>
      </w:r>
      <w:r w:rsidRPr="009C2DA0">
        <w:rPr>
          <w:i/>
          <w:iCs/>
          <w:snapToGrid w:val="0"/>
          <w:kern w:val="22"/>
        </w:rPr>
        <w:t>Technical S</w:t>
      </w:r>
      <w:r w:rsidRPr="009C2DA0">
        <w:rPr>
          <w:i/>
          <w:snapToGrid w:val="0"/>
          <w:kern w:val="22"/>
        </w:rPr>
        <w:t>eries</w:t>
      </w:r>
      <w:r w:rsidRPr="009C2DA0">
        <w:rPr>
          <w:snapToGrid w:val="0"/>
          <w:kern w:val="22"/>
        </w:rPr>
        <w:t xml:space="preserve"> in November 2020</w:t>
      </w:r>
      <w:r w:rsidRPr="009C2DA0">
        <w:rPr>
          <w:kern w:val="22"/>
        </w:rPr>
        <w:t xml:space="preserve">, </w:t>
      </w:r>
      <w:r w:rsidRPr="009C2DA0">
        <w:rPr>
          <w:snapToGrid w:val="0"/>
          <w:kern w:val="22"/>
        </w:rPr>
        <w:t>in collaboration with the International Centre for Genetic Engineering and Biotechnology (ICGEB).</w:t>
      </w:r>
    </w:p>
    <w:p w14:paraId="0A50303D" w14:textId="77777777" w:rsidR="009C2DA0" w:rsidRPr="009C2DA0" w:rsidRDefault="009C2DA0" w:rsidP="009C2DA0">
      <w:pPr>
        <w:pStyle w:val="Para1"/>
        <w:numPr>
          <w:ilvl w:val="0"/>
          <w:numId w:val="240"/>
        </w:numPr>
        <w:tabs>
          <w:tab w:val="clear" w:pos="360"/>
        </w:tabs>
        <w:rPr>
          <w:snapToGrid w:val="0"/>
          <w:kern w:val="22"/>
        </w:rPr>
      </w:pPr>
      <w:r w:rsidRPr="009C2DA0">
        <w:rPr>
          <w:snapToGrid w:val="0"/>
          <w:kern w:val="22"/>
        </w:rPr>
        <w:t xml:space="preserve">The update of the document will be carried out on </w:t>
      </w:r>
      <w:r w:rsidRPr="009C2DA0">
        <w:rPr>
          <w:kern w:val="22"/>
        </w:rPr>
        <w:t xml:space="preserve">the basis of </w:t>
      </w:r>
      <w:r w:rsidRPr="009C2DA0">
        <w:rPr>
          <w:snapToGrid w:val="0"/>
          <w:kern w:val="22"/>
        </w:rPr>
        <w:t>scientific peer-reviewed information, as well as other relevant information. New information and references will be added to the various sections to illustrate the latest developments on synthetic biology, as well as the most recent discussions on the topic by other relevant organizations and initiatives. The update will also be used to improve the document flow whenever possible.</w:t>
      </w:r>
    </w:p>
    <w:p w14:paraId="41575559" w14:textId="77777777" w:rsidR="009C2DA0" w:rsidRPr="009C2DA0" w:rsidRDefault="009C2DA0" w:rsidP="009C2DA0">
      <w:pPr>
        <w:pStyle w:val="Para1"/>
        <w:numPr>
          <w:ilvl w:val="0"/>
          <w:numId w:val="240"/>
        </w:numPr>
        <w:tabs>
          <w:tab w:val="clear" w:pos="360"/>
        </w:tabs>
        <w:rPr>
          <w:kern w:val="22"/>
        </w:rPr>
      </w:pPr>
      <w:r w:rsidRPr="009C2DA0">
        <w:rPr>
          <w:snapToGrid w:val="0"/>
          <w:kern w:val="22"/>
        </w:rPr>
        <w:t xml:space="preserve">The first draft of the updated </w:t>
      </w:r>
      <w:r w:rsidRPr="009C2DA0">
        <w:rPr>
          <w:i/>
          <w:snapToGrid w:val="0"/>
          <w:kern w:val="22"/>
        </w:rPr>
        <w:t>Technical Series</w:t>
      </w:r>
      <w:r w:rsidRPr="009C2DA0">
        <w:rPr>
          <w:snapToGrid w:val="0"/>
          <w:kern w:val="22"/>
        </w:rPr>
        <w:t xml:space="preserve"> </w:t>
      </w:r>
      <w:r w:rsidRPr="009C2DA0">
        <w:rPr>
          <w:kern w:val="22"/>
        </w:rPr>
        <w:t>is contained in the</w:t>
      </w:r>
      <w:r w:rsidRPr="009C2DA0">
        <w:rPr>
          <w:snapToGrid w:val="0"/>
          <w:kern w:val="22"/>
        </w:rPr>
        <w:t xml:space="preserve"> annex </w:t>
      </w:r>
      <w:r w:rsidRPr="009C2DA0">
        <w:rPr>
          <w:kern w:val="22"/>
        </w:rPr>
        <w:t>below</w:t>
      </w:r>
      <w:r w:rsidRPr="009C2DA0">
        <w:rPr>
          <w:snapToGrid w:val="0"/>
          <w:kern w:val="22"/>
        </w:rPr>
        <w:t xml:space="preserve">. The draft has not been edited and is currently </w:t>
      </w:r>
      <w:r w:rsidRPr="009C2DA0">
        <w:rPr>
          <w:kern w:val="22"/>
        </w:rPr>
        <w:t xml:space="preserve">the </w:t>
      </w:r>
      <w:r w:rsidRPr="009C2DA0">
        <w:rPr>
          <w:snapToGrid w:val="0"/>
          <w:kern w:val="22"/>
        </w:rPr>
        <w:t xml:space="preserve">subject of a peer-review process </w:t>
      </w:r>
      <w:r w:rsidRPr="009C2DA0">
        <w:rPr>
          <w:kern w:val="22"/>
        </w:rPr>
        <w:t xml:space="preserve">at the following webpage: </w:t>
      </w:r>
      <w:r w:rsidRPr="009C2DA0">
        <w:t>https://bch.cbd.int/synbio/peer_review/</w:t>
      </w:r>
      <w:r w:rsidRPr="009C2DA0">
        <w:rPr>
          <w:kern w:val="22"/>
        </w:rPr>
        <w:t>.</w:t>
      </w:r>
    </w:p>
    <w:p w14:paraId="4E721238" w14:textId="77777777" w:rsidR="009C2DA0" w:rsidRPr="00EA775A" w:rsidRDefault="009C2DA0" w:rsidP="009C2DA0">
      <w:pPr>
        <w:pStyle w:val="ListParagraph"/>
        <w:ind w:left="0"/>
        <w:rPr>
          <w:kern w:val="22"/>
        </w:rPr>
      </w:pPr>
    </w:p>
    <w:p w14:paraId="0931D4D9" w14:textId="77777777" w:rsidR="009C2DA0" w:rsidRPr="00EA775A" w:rsidRDefault="009C2DA0" w:rsidP="009C2DA0">
      <w:pPr>
        <w:pStyle w:val="ListParagraph"/>
        <w:ind w:left="0"/>
        <w:rPr>
          <w:kern w:val="22"/>
        </w:rPr>
      </w:pPr>
    </w:p>
    <w:p w14:paraId="57BF4EE4" w14:textId="77777777" w:rsidR="009C2DA0" w:rsidRPr="009C2DA0" w:rsidRDefault="009C2DA0" w:rsidP="009C2DA0">
      <w:pPr>
        <w:pStyle w:val="ListParagraph"/>
        <w:spacing w:before="120" w:after="120"/>
        <w:ind w:left="0"/>
        <w:contextualSpacing w:val="0"/>
        <w:jc w:val="center"/>
        <w:rPr>
          <w:rFonts w:ascii="Times New Roman" w:hAnsi="Times New Roman"/>
          <w:kern w:val="22"/>
        </w:rPr>
      </w:pPr>
      <w:r w:rsidRPr="009C2DA0">
        <w:rPr>
          <w:rFonts w:ascii="Times New Roman" w:hAnsi="Times New Roman"/>
          <w:kern w:val="22"/>
        </w:rPr>
        <w:t xml:space="preserve">Annex. Draft </w:t>
      </w:r>
      <w:r w:rsidRPr="009C2DA0">
        <w:rPr>
          <w:rFonts w:ascii="Times New Roman" w:hAnsi="Times New Roman"/>
          <w:snapToGrid w:val="0"/>
          <w:kern w:val="22"/>
        </w:rPr>
        <w:t>u</w:t>
      </w:r>
      <w:r w:rsidRPr="009C2DA0">
        <w:rPr>
          <w:rFonts w:ascii="Times New Roman" w:hAnsi="Times New Roman"/>
          <w:kern w:val="22"/>
        </w:rPr>
        <w:t xml:space="preserve">pdated Technical Series </w:t>
      </w:r>
      <w:r w:rsidRPr="009C2DA0">
        <w:rPr>
          <w:rFonts w:ascii="Times New Roman" w:hAnsi="Times New Roman"/>
          <w:snapToGrid w:val="0"/>
          <w:kern w:val="22"/>
        </w:rPr>
        <w:t>“Synthetic Biology</w:t>
      </w:r>
      <w:r w:rsidRPr="009C2DA0">
        <w:rPr>
          <w:rFonts w:ascii="Times New Roman" w:hAnsi="Times New Roman"/>
          <w:kern w:val="22"/>
        </w:rPr>
        <w:t>”</w:t>
      </w:r>
    </w:p>
    <w:p w14:paraId="6142544C" w14:textId="77777777" w:rsidR="009C2DA0" w:rsidRPr="00EA775A" w:rsidRDefault="009C2DA0" w:rsidP="009C2DA0">
      <w:pPr>
        <w:spacing w:before="120" w:after="120"/>
        <w:rPr>
          <w:kern w:val="22"/>
        </w:rPr>
      </w:pPr>
    </w:p>
    <w:p w14:paraId="39E8F7B5" w14:textId="54CF729F" w:rsidR="009C2DA0" w:rsidRPr="00EA775A" w:rsidRDefault="009C2DA0" w:rsidP="009C2DA0">
      <w:pPr>
        <w:pStyle w:val="ListParagraph"/>
        <w:spacing w:before="120" w:after="120"/>
        <w:ind w:left="0"/>
        <w:contextualSpacing w:val="0"/>
        <w:rPr>
          <w:kern w:val="22"/>
        </w:rPr>
        <w:sectPr w:rsidR="009C2DA0" w:rsidRPr="00EA775A" w:rsidSect="00EA775A">
          <w:headerReference w:type="even" r:id="rId23"/>
          <w:pgSz w:w="11907" w:h="16840" w:code="9"/>
          <w:pgMar w:top="567" w:right="1440" w:bottom="1134" w:left="1440" w:header="567" w:footer="720" w:gutter="0"/>
          <w:cols w:space="720"/>
          <w:titlePg/>
          <w:docGrid w:linePitch="360"/>
        </w:sectPr>
      </w:pPr>
    </w:p>
    <w:p w14:paraId="542D0637" w14:textId="77777777" w:rsidR="009C2DA0" w:rsidRDefault="009C2DA0" w:rsidP="00507EE7">
      <w:pPr>
        <w:spacing w:after="0"/>
        <w:rPr>
          <w:rFonts w:ascii="Times New Roman" w:hAnsi="Times New Roman"/>
          <w:lang w:eastAsia="ar-SA"/>
        </w:rPr>
      </w:pPr>
      <w:r>
        <w:rPr>
          <w:rFonts w:ascii="Times New Roman" w:hAnsi="Times New Roman"/>
          <w:lang w:eastAsia="ar-SA"/>
        </w:rPr>
        <w:lastRenderedPageBreak/>
        <w:br w:type="page"/>
      </w:r>
    </w:p>
    <w:p w14:paraId="64C48242" w14:textId="3DADEB6A" w:rsidR="00507EE7" w:rsidRPr="00636DD0" w:rsidRDefault="00507EE7" w:rsidP="00507EE7">
      <w:pPr>
        <w:spacing w:after="0"/>
        <w:rPr>
          <w:rFonts w:ascii="Times New Roman" w:hAnsi="Times New Roman"/>
          <w:lang w:eastAsia="ar-SA"/>
        </w:rPr>
      </w:pPr>
      <w:r w:rsidRPr="00636DD0">
        <w:rPr>
          <w:rFonts w:ascii="Times New Roman" w:hAnsi="Times New Roman"/>
          <w:lang w:eastAsia="ar-SA"/>
        </w:rPr>
        <w:lastRenderedPageBreak/>
        <w:t xml:space="preserve">Secretariat of the </w:t>
      </w:r>
      <w:r>
        <w:tab/>
      </w:r>
      <w:r>
        <w:tab/>
      </w:r>
      <w:r w:rsidRPr="00636DD0">
        <w:rPr>
          <w:rFonts w:ascii="Times New Roman" w:hAnsi="Times New Roman"/>
          <w:lang w:eastAsia="ar-SA"/>
        </w:rPr>
        <w:t>CBD Technical Series No. 82</w:t>
      </w:r>
      <w:r>
        <w:tab/>
      </w:r>
    </w:p>
    <w:p w14:paraId="594191A0" w14:textId="77777777" w:rsidR="00507EE7" w:rsidRPr="00636DD0" w:rsidRDefault="00507EE7" w:rsidP="00507EE7">
      <w:pPr>
        <w:spacing w:after="0"/>
        <w:rPr>
          <w:rFonts w:ascii="Times New Roman" w:hAnsi="Times New Roman"/>
          <w:lang w:eastAsia="ar-SA"/>
        </w:rPr>
      </w:pPr>
      <w:r w:rsidRPr="00636DD0">
        <w:rPr>
          <w:rFonts w:ascii="Times New Roman" w:hAnsi="Times New Roman"/>
          <w:lang w:eastAsia="ar-SA"/>
        </w:rPr>
        <w:t>Convention on</w:t>
      </w:r>
    </w:p>
    <w:p w14:paraId="074FE4FC" w14:textId="77777777" w:rsidR="00507EE7" w:rsidRPr="00636DD0" w:rsidRDefault="00507EE7" w:rsidP="00507EE7">
      <w:pPr>
        <w:spacing w:after="0"/>
        <w:rPr>
          <w:rFonts w:ascii="Times New Roman" w:hAnsi="Times New Roman"/>
          <w:sz w:val="24"/>
          <w:szCs w:val="24"/>
          <w:lang w:eastAsia="ar-SA"/>
        </w:rPr>
      </w:pPr>
      <w:r w:rsidRPr="00636DD0">
        <w:rPr>
          <w:rFonts w:ascii="Times New Roman" w:hAnsi="Times New Roman"/>
          <w:lang w:eastAsia="ar-SA"/>
        </w:rPr>
        <w:t>Biological Diversity</w:t>
      </w:r>
    </w:p>
    <w:p w14:paraId="49D83C2D" w14:textId="77777777" w:rsidR="00507EE7" w:rsidRPr="00636DD0" w:rsidRDefault="00507EE7" w:rsidP="00507EE7">
      <w:pPr>
        <w:tabs>
          <w:tab w:val="left" w:pos="6804"/>
        </w:tabs>
        <w:rPr>
          <w:rFonts w:ascii="Times New Roman" w:hAnsi="Times New Roman"/>
          <w:sz w:val="200"/>
          <w:szCs w:val="200"/>
          <w:lang w:eastAsia="ar-SA"/>
        </w:rPr>
      </w:pPr>
      <w:r w:rsidRPr="00636DD0">
        <w:rPr>
          <w:rFonts w:ascii="Times New Roman" w:hAnsi="Times New Roman"/>
          <w:lang w:eastAsia="ar-SA"/>
        </w:rPr>
        <w:tab/>
      </w:r>
      <w:r w:rsidRPr="00636DD0">
        <w:rPr>
          <w:rFonts w:ascii="Times New Roman" w:hAnsi="Times New Roman"/>
          <w:sz w:val="200"/>
          <w:szCs w:val="200"/>
          <w:lang w:eastAsia="ar-SA"/>
        </w:rPr>
        <w:t>82</w:t>
      </w:r>
    </w:p>
    <w:p w14:paraId="672A6659" w14:textId="77777777" w:rsidR="00507EE7" w:rsidRPr="00636DD0" w:rsidRDefault="00507EE7" w:rsidP="00507EE7">
      <w:pPr>
        <w:rPr>
          <w:rFonts w:ascii="Times New Roman" w:hAnsi="Times New Roman"/>
          <w:lang w:eastAsia="ar-SA"/>
        </w:rPr>
      </w:pPr>
    </w:p>
    <w:p w14:paraId="7EB759CB" w14:textId="77777777" w:rsidR="00507EE7" w:rsidRPr="00636DD0" w:rsidRDefault="00507EE7" w:rsidP="00507EE7">
      <w:pPr>
        <w:ind w:left="4536"/>
        <w:rPr>
          <w:rFonts w:ascii="Times New Roman" w:hAnsi="Times New Roman"/>
          <w:b/>
          <w:lang w:eastAsia="ar-SA"/>
        </w:rPr>
      </w:pPr>
      <w:r w:rsidRPr="00636DD0">
        <w:rPr>
          <w:rFonts w:ascii="Times New Roman" w:hAnsi="Times New Roman"/>
          <w:b/>
          <w:lang w:eastAsia="ar-SA"/>
        </w:rPr>
        <w:t>SYNTHETIC BIOLOGY</w:t>
      </w:r>
    </w:p>
    <w:p w14:paraId="70A23134" w14:textId="77777777" w:rsidR="00BF1F1A" w:rsidRDefault="00BF1F1A" w:rsidP="00507EE7">
      <w:pPr>
        <w:jc w:val="center"/>
        <w:rPr>
          <w:rFonts w:ascii="Times New Roman" w:hAnsi="Times New Roman"/>
        </w:rPr>
      </w:pPr>
    </w:p>
    <w:p w14:paraId="0A37501D" w14:textId="32FEB63E" w:rsidR="00507EE7" w:rsidRPr="00636DD0" w:rsidRDefault="00507EE7" w:rsidP="00507EE7">
      <w:pPr>
        <w:jc w:val="center"/>
        <w:rPr>
          <w:rFonts w:ascii="Times New Roman" w:hAnsi="Times New Roman"/>
          <w:lang w:eastAsia="ar-SA"/>
        </w:rPr>
      </w:pPr>
      <w:r w:rsidRPr="00636DD0">
        <w:rPr>
          <w:rFonts w:ascii="Times New Roman" w:hAnsi="Times New Roman"/>
          <w:lang w:eastAsia="ar-SA"/>
        </w:rPr>
        <w:br w:type="page"/>
      </w:r>
    </w:p>
    <w:p w14:paraId="7DD94C23" w14:textId="45796CF2" w:rsidR="00BD1CE0" w:rsidRPr="00636DD0" w:rsidRDefault="00BD1CE0" w:rsidP="00E767FC">
      <w:pPr>
        <w:pStyle w:val="Pa0"/>
        <w:rPr>
          <w:rFonts w:ascii="Times New Roman" w:eastAsia="Times New Roman" w:hAnsi="Times New Roman"/>
          <w:b/>
          <w:caps/>
          <w:kern w:val="1"/>
          <w:lang w:val="en-GB" w:eastAsia="ar-SA"/>
        </w:rPr>
      </w:pPr>
      <w:r w:rsidRPr="00636DD0">
        <w:rPr>
          <w:rFonts w:ascii="Times New Roman" w:eastAsia="Times New Roman" w:hAnsi="Times New Roman"/>
          <w:b/>
          <w:caps/>
          <w:kern w:val="1"/>
          <w:lang w:val="en-GB" w:eastAsia="ar-SA"/>
        </w:rPr>
        <w:lastRenderedPageBreak/>
        <w:t>Foreword</w:t>
      </w:r>
    </w:p>
    <w:p w14:paraId="72A3D3EC" w14:textId="77777777" w:rsidR="00FE2AF4" w:rsidRPr="00636DD0" w:rsidRDefault="00FE2AF4" w:rsidP="00FE2AF4">
      <w:pPr>
        <w:rPr>
          <w:rFonts w:ascii="Times New Roman" w:hAnsi="Times New Roman"/>
          <w:lang w:eastAsia="ar-SA"/>
        </w:rPr>
      </w:pPr>
    </w:p>
    <w:p w14:paraId="0D0B940D" w14:textId="66105144" w:rsidR="000E0DFC" w:rsidRPr="00636DD0" w:rsidRDefault="00E0344D" w:rsidP="000E0DFC">
      <w:pPr>
        <w:autoSpaceDE w:val="0"/>
        <w:autoSpaceDN w:val="0"/>
        <w:adjustRightInd w:val="0"/>
        <w:spacing w:after="0" w:line="201" w:lineRule="atLeast"/>
        <w:rPr>
          <w:rFonts w:ascii="Times New Roman" w:hAnsi="Times New Roman"/>
          <w:sz w:val="20"/>
          <w:szCs w:val="20"/>
          <w:lang w:eastAsia="en-CA"/>
        </w:rPr>
      </w:pPr>
      <w:r>
        <w:rPr>
          <w:rFonts w:ascii="Times New Roman" w:eastAsia="Times New Roman" w:hAnsi="Times New Roman"/>
          <w:lang w:eastAsia="en-CA"/>
        </w:rPr>
        <w:t>To be added by SCBD at a later stage.</w:t>
      </w:r>
    </w:p>
    <w:p w14:paraId="0E27B00A" w14:textId="77777777" w:rsidR="000E0DFC" w:rsidRPr="00636DD0" w:rsidRDefault="000E0DFC" w:rsidP="000E0DFC">
      <w:pPr>
        <w:autoSpaceDE w:val="0"/>
        <w:autoSpaceDN w:val="0"/>
        <w:adjustRightInd w:val="0"/>
        <w:spacing w:after="0" w:line="201" w:lineRule="atLeast"/>
        <w:rPr>
          <w:rFonts w:ascii="Times New Roman" w:hAnsi="Times New Roman"/>
          <w:sz w:val="20"/>
          <w:szCs w:val="20"/>
          <w:lang w:eastAsia="en-CA"/>
        </w:rPr>
      </w:pPr>
    </w:p>
    <w:p w14:paraId="60061E4C" w14:textId="77777777" w:rsidR="000E0DFC" w:rsidRPr="00636DD0" w:rsidRDefault="000E0DFC" w:rsidP="000E0DFC">
      <w:pPr>
        <w:autoSpaceDE w:val="0"/>
        <w:autoSpaceDN w:val="0"/>
        <w:adjustRightInd w:val="0"/>
        <w:spacing w:after="0" w:line="201" w:lineRule="atLeast"/>
        <w:rPr>
          <w:rFonts w:ascii="Times New Roman" w:hAnsi="Times New Roman"/>
          <w:sz w:val="24"/>
          <w:szCs w:val="24"/>
          <w:lang w:eastAsia="en-CA"/>
        </w:rPr>
      </w:pPr>
    </w:p>
    <w:p w14:paraId="44EAFD9C" w14:textId="77777777" w:rsidR="00FE2AF4" w:rsidRPr="00636DD0" w:rsidRDefault="00FE2AF4" w:rsidP="00FE2AF4">
      <w:pPr>
        <w:rPr>
          <w:lang w:eastAsia="ar-SA"/>
        </w:rPr>
      </w:pPr>
    </w:p>
    <w:p w14:paraId="75AD3C46" w14:textId="77777777" w:rsidR="004250AF" w:rsidRDefault="004250AF" w:rsidP="004250AF">
      <w:pPr>
        <w:keepNext/>
        <w:tabs>
          <w:tab w:val="left" w:pos="720"/>
        </w:tabs>
        <w:spacing w:before="240" w:after="120" w:line="240" w:lineRule="auto"/>
        <w:outlineLvl w:val="0"/>
        <w:rPr>
          <w:rFonts w:ascii="Times New Roman" w:eastAsia="Times New Roman" w:hAnsi="Times New Roman"/>
          <w:b/>
          <w:caps/>
          <w:kern w:val="1"/>
          <w:lang w:eastAsia="ar-SA"/>
        </w:rPr>
        <w:sectPr w:rsidR="004250AF" w:rsidSect="009C2DA0">
          <w:footerReference w:type="default" r:id="rId24"/>
          <w:footerReference w:type="first" r:id="rId25"/>
          <w:pgSz w:w="11906" w:h="16838" w:code="9"/>
          <w:pgMar w:top="561" w:right="1440" w:bottom="1140" w:left="1440" w:header="459" w:footer="720" w:gutter="0"/>
          <w:pgNumType w:start="1"/>
          <w:cols w:space="720"/>
          <w:titlePg/>
          <w:docGrid w:linePitch="600" w:charSpace="36864"/>
        </w:sectPr>
      </w:pPr>
    </w:p>
    <w:p w14:paraId="2E0A6F91" w14:textId="38635683" w:rsidR="00AF4738" w:rsidRPr="00636DD0" w:rsidRDefault="006D0C84" w:rsidP="006D0C84">
      <w:pPr>
        <w:keepNext/>
        <w:tabs>
          <w:tab w:val="left" w:pos="720"/>
        </w:tabs>
        <w:spacing w:before="240" w:after="120" w:line="240" w:lineRule="auto"/>
        <w:jc w:val="center"/>
        <w:outlineLvl w:val="0"/>
        <w:rPr>
          <w:rFonts w:ascii="Times New Roman" w:eastAsia="Times New Roman" w:hAnsi="Times New Roman"/>
          <w:b/>
          <w:caps/>
          <w:kern w:val="1"/>
          <w:szCs w:val="24"/>
          <w:lang w:eastAsia="ar-SA"/>
        </w:rPr>
      </w:pPr>
      <w:bookmarkStart w:id="2" w:name="_Toc70112652"/>
      <w:bookmarkStart w:id="3" w:name="_Toc70685674"/>
      <w:r w:rsidRPr="00636DD0">
        <w:rPr>
          <w:rFonts w:ascii="Times New Roman" w:eastAsia="Times New Roman" w:hAnsi="Times New Roman"/>
          <w:b/>
          <w:caps/>
          <w:kern w:val="1"/>
          <w:szCs w:val="24"/>
          <w:lang w:eastAsia="ar-SA"/>
        </w:rPr>
        <w:lastRenderedPageBreak/>
        <w:t>Background</w:t>
      </w:r>
      <w:bookmarkEnd w:id="2"/>
      <w:bookmarkEnd w:id="3"/>
    </w:p>
    <w:p w14:paraId="665292B9" w14:textId="4EBBA64F" w:rsidR="00CE3861" w:rsidRPr="00636DD0" w:rsidRDefault="00CE3861" w:rsidP="00CE3861">
      <w:pPr>
        <w:spacing w:before="240" w:after="120" w:line="240" w:lineRule="auto"/>
        <w:jc w:val="both"/>
        <w:rPr>
          <w:rFonts w:ascii="Times New Roman" w:eastAsia="Times New Roman" w:hAnsi="Times New Roman"/>
          <w:kern w:val="1"/>
          <w:lang w:eastAsia="ar-SA"/>
        </w:rPr>
      </w:pPr>
      <w:r w:rsidRPr="00636DD0">
        <w:rPr>
          <w:rFonts w:ascii="Times New Roman" w:eastAsia="Times New Roman" w:hAnsi="Times New Roman"/>
          <w:kern w:val="1"/>
          <w:lang w:eastAsia="ar-SA"/>
        </w:rPr>
        <w:t xml:space="preserve">In decision X/13, the Conference of the Parties invited Parties, other Governments and relevant organizations to submit information on, </w:t>
      </w:r>
      <w:r w:rsidRPr="00636DD0">
        <w:rPr>
          <w:rFonts w:ascii="Times New Roman" w:eastAsia="Times New Roman" w:hAnsi="Times New Roman"/>
          <w:i/>
          <w:iCs/>
          <w:kern w:val="1"/>
          <w:lang w:eastAsia="ar-SA"/>
        </w:rPr>
        <w:t>inter alia</w:t>
      </w:r>
      <w:r w:rsidRPr="00636DD0">
        <w:rPr>
          <w:rFonts w:ascii="Times New Roman" w:eastAsia="Times New Roman" w:hAnsi="Times New Roman"/>
          <w:kern w:val="1"/>
          <w:lang w:eastAsia="ar-SA"/>
        </w:rPr>
        <w:t xml:space="preserve">, synthetic biology for consideration </w:t>
      </w:r>
      <w:r w:rsidR="005200E7" w:rsidRPr="00636DD0">
        <w:rPr>
          <w:rFonts w:ascii="Times New Roman" w:eastAsia="Times New Roman" w:hAnsi="Times New Roman"/>
          <w:kern w:val="1"/>
          <w:lang w:eastAsia="ar-SA"/>
        </w:rPr>
        <w:t>by</w:t>
      </w:r>
      <w:r w:rsidRPr="00636DD0">
        <w:rPr>
          <w:rFonts w:ascii="Times New Roman" w:eastAsia="Times New Roman" w:hAnsi="Times New Roman"/>
          <w:kern w:val="1"/>
          <w:lang w:eastAsia="ar-SA"/>
        </w:rPr>
        <w:t xml:space="preserve"> the Subsidiary Body on Scientific, Technical and Technological Advice (SBSTTA), in accordance with the procedures outlined in </w:t>
      </w:r>
      <w:hyperlink r:id="rId26" w:history="1">
        <w:r w:rsidRPr="00636DD0">
          <w:rPr>
            <w:rFonts w:ascii="Times New Roman" w:eastAsia="Times New Roman" w:hAnsi="Times New Roman"/>
            <w:kern w:val="1"/>
            <w:lang w:eastAsia="ar-SA"/>
          </w:rPr>
          <w:t>decision IX/29</w:t>
        </w:r>
      </w:hyperlink>
      <w:r w:rsidRPr="00636DD0">
        <w:rPr>
          <w:rFonts w:ascii="Times New Roman" w:eastAsia="Times New Roman" w:hAnsi="Times New Roman"/>
          <w:kern w:val="1"/>
          <w:lang w:eastAsia="ar-SA"/>
        </w:rPr>
        <w:t xml:space="preserve">, while applying the precautionary approach to the field release of synthetic life, cell or genome into the environment. </w:t>
      </w:r>
    </w:p>
    <w:p w14:paraId="5CD90DC4" w14:textId="05289AAD" w:rsidR="00E45744" w:rsidRDefault="00CE3861" w:rsidP="00E45744">
      <w:pPr>
        <w:spacing w:before="240" w:after="120" w:line="240" w:lineRule="auto"/>
        <w:jc w:val="both"/>
        <w:rPr>
          <w:rFonts w:ascii="Times New Roman" w:eastAsia="Times New Roman" w:hAnsi="Times New Roman"/>
          <w:kern w:val="1"/>
          <w:lang w:eastAsia="ar-SA"/>
        </w:rPr>
      </w:pPr>
      <w:r w:rsidRPr="00636DD0">
        <w:rPr>
          <w:rFonts w:ascii="Times New Roman" w:eastAsia="Times New Roman" w:hAnsi="Times New Roman"/>
          <w:kern w:val="1"/>
          <w:lang w:eastAsia="ar-SA"/>
        </w:rPr>
        <w:t xml:space="preserve">Following the consideration of information on synthetic biology </w:t>
      </w:r>
      <w:r w:rsidR="10A29EEA" w:rsidRPr="00636DD0">
        <w:rPr>
          <w:rFonts w:ascii="Times New Roman" w:eastAsia="Times New Roman" w:hAnsi="Times New Roman"/>
          <w:kern w:val="1"/>
          <w:lang w:eastAsia="ar-SA"/>
        </w:rPr>
        <w:t>during</w:t>
      </w:r>
      <w:r w:rsidRPr="00636DD0">
        <w:rPr>
          <w:rFonts w:ascii="Times New Roman" w:eastAsia="Times New Roman" w:hAnsi="Times New Roman"/>
          <w:kern w:val="1"/>
          <w:lang w:eastAsia="ar-SA"/>
        </w:rPr>
        <w:t xml:space="preserve"> the </w:t>
      </w:r>
      <w:r w:rsidR="005E15BB" w:rsidRPr="00636DD0">
        <w:rPr>
          <w:rFonts w:ascii="Times New Roman" w:eastAsia="Times New Roman" w:hAnsi="Times New Roman"/>
          <w:lang w:eastAsia="ar-SA"/>
        </w:rPr>
        <w:t xml:space="preserve">sixteenth meeting of the </w:t>
      </w:r>
      <w:r w:rsidRPr="00636DD0">
        <w:rPr>
          <w:rFonts w:ascii="Times New Roman" w:eastAsia="Times New Roman" w:hAnsi="Times New Roman"/>
          <w:kern w:val="1"/>
          <w:lang w:eastAsia="ar-SA"/>
        </w:rPr>
        <w:t>SBSTTA</w:t>
      </w:r>
      <w:r w:rsidR="005C2A3A" w:rsidRPr="00636DD0">
        <w:rPr>
          <w:rFonts w:ascii="Times New Roman" w:eastAsia="Times New Roman" w:hAnsi="Times New Roman"/>
          <w:lang w:eastAsia="ar-SA"/>
        </w:rPr>
        <w:t>,</w:t>
      </w:r>
      <w:r w:rsidR="00851C3E" w:rsidRPr="00636DD0">
        <w:rPr>
          <w:rFonts w:ascii="Times New Roman" w:eastAsia="Times New Roman" w:hAnsi="Times New Roman"/>
          <w:lang w:eastAsia="ar-SA"/>
        </w:rPr>
        <w:t xml:space="preserve"> </w:t>
      </w:r>
      <w:r w:rsidRPr="00636DD0">
        <w:rPr>
          <w:rFonts w:ascii="Times New Roman" w:eastAsia="Times New Roman" w:hAnsi="Times New Roman"/>
          <w:kern w:val="1"/>
          <w:lang w:eastAsia="ar-SA"/>
        </w:rPr>
        <w:t>the Conference of the Parties, in decision XI/11,</w:t>
      </w:r>
      <w:r w:rsidR="00132DF2" w:rsidRPr="00636DD0">
        <w:t xml:space="preserve"> </w:t>
      </w:r>
      <w:r w:rsidR="00AB597F" w:rsidRPr="00636DD0">
        <w:rPr>
          <w:rFonts w:ascii="Times New Roman" w:eastAsia="Times New Roman" w:hAnsi="Times New Roman"/>
          <w:lang w:eastAsia="ar-SA"/>
        </w:rPr>
        <w:t>n</w:t>
      </w:r>
      <w:r w:rsidR="00132DF2" w:rsidRPr="00636DD0">
        <w:rPr>
          <w:rFonts w:ascii="Times New Roman" w:eastAsia="Times New Roman" w:hAnsi="Times New Roman"/>
          <w:lang w:eastAsia="ar-SA"/>
        </w:rPr>
        <w:t>oting</w:t>
      </w:r>
      <w:r w:rsidR="00AB597F" w:rsidRPr="00636DD0">
        <w:rPr>
          <w:rFonts w:ascii="Times New Roman" w:eastAsia="Times New Roman" w:hAnsi="Times New Roman"/>
          <w:lang w:eastAsia="ar-SA"/>
        </w:rPr>
        <w:t xml:space="preserve"> </w:t>
      </w:r>
      <w:r w:rsidR="00132DF2" w:rsidRPr="00636DD0">
        <w:rPr>
          <w:rFonts w:ascii="Times New Roman" w:eastAsia="Times New Roman" w:hAnsi="Times New Roman"/>
          <w:lang w:eastAsia="ar-SA"/>
        </w:rPr>
        <w:t>the need to consider the potential positive and negative impacts of components, organisms and products resulting from synthetic biology techniques on the conservation and sustainable use of biodiversity, request</w:t>
      </w:r>
      <w:r w:rsidR="00AB597F" w:rsidRPr="00636DD0">
        <w:rPr>
          <w:rFonts w:ascii="Times New Roman" w:eastAsia="Times New Roman" w:hAnsi="Times New Roman"/>
          <w:lang w:eastAsia="ar-SA"/>
        </w:rPr>
        <w:t xml:space="preserve">ed </w:t>
      </w:r>
      <w:r w:rsidR="00132DF2" w:rsidRPr="00636DD0">
        <w:rPr>
          <w:rFonts w:ascii="Times New Roman" w:eastAsia="Times New Roman" w:hAnsi="Times New Roman"/>
          <w:lang w:eastAsia="ar-SA"/>
        </w:rPr>
        <w:t xml:space="preserve">the Executive Secretary </w:t>
      </w:r>
      <w:r w:rsidR="00AB597F" w:rsidRPr="00636DD0">
        <w:rPr>
          <w:rFonts w:ascii="Times New Roman" w:eastAsia="Times New Roman" w:hAnsi="Times New Roman"/>
          <w:lang w:eastAsia="ar-SA"/>
        </w:rPr>
        <w:t>to i</w:t>
      </w:r>
      <w:r w:rsidR="00132DF2" w:rsidRPr="00636DD0">
        <w:rPr>
          <w:rFonts w:ascii="Times New Roman" w:eastAsia="Times New Roman" w:hAnsi="Times New Roman"/>
          <w:lang w:eastAsia="ar-SA"/>
        </w:rPr>
        <w:t xml:space="preserve">nvite </w:t>
      </w:r>
      <w:r w:rsidR="00A15116" w:rsidRPr="00636DD0">
        <w:rPr>
          <w:rFonts w:ascii="Times New Roman" w:eastAsia="Times New Roman" w:hAnsi="Times New Roman"/>
          <w:lang w:eastAsia="ar-SA"/>
        </w:rPr>
        <w:t>the submission of</w:t>
      </w:r>
      <w:r w:rsidR="00132DF2" w:rsidRPr="00636DD0">
        <w:rPr>
          <w:rFonts w:ascii="Times New Roman" w:eastAsia="Times New Roman" w:hAnsi="Times New Roman"/>
          <w:lang w:eastAsia="ar-SA"/>
        </w:rPr>
        <w:t xml:space="preserve"> additional relevant information </w:t>
      </w:r>
      <w:r w:rsidR="00A15116" w:rsidRPr="00636DD0">
        <w:rPr>
          <w:rFonts w:ascii="Times New Roman" w:eastAsia="Times New Roman" w:hAnsi="Times New Roman"/>
          <w:lang w:eastAsia="ar-SA"/>
        </w:rPr>
        <w:t>on this matter</w:t>
      </w:r>
      <w:r w:rsidR="002B5BD6" w:rsidRPr="00636DD0">
        <w:rPr>
          <w:rFonts w:ascii="Times New Roman" w:eastAsia="Times New Roman" w:hAnsi="Times New Roman"/>
          <w:lang w:eastAsia="ar-SA"/>
        </w:rPr>
        <w:t xml:space="preserve"> in a compiled and synthesised manner</w:t>
      </w:r>
      <w:r w:rsidR="00EB6ABE" w:rsidRPr="00636DD0">
        <w:rPr>
          <w:rFonts w:ascii="Times New Roman" w:eastAsia="Times New Roman" w:hAnsi="Times New Roman"/>
          <w:lang w:eastAsia="ar-SA"/>
        </w:rPr>
        <w:t xml:space="preserve">. The Secretariat was also requested to consider </w:t>
      </w:r>
      <w:r w:rsidR="00EB6ABE" w:rsidRPr="00636DD0">
        <w:rPr>
          <w:rFonts w:ascii="Times New Roman" w:eastAsia="Cambria" w:hAnsi="Times New Roman"/>
          <w:lang w:eastAsia="ar-SA"/>
        </w:rPr>
        <w:t xml:space="preserve">possible gaps and overlaps with the applicable provisions of the Convention, its Protocols and other relevant agreements. A synthesis of this information was </w:t>
      </w:r>
      <w:r w:rsidR="00C63DCB" w:rsidRPr="00636DD0">
        <w:rPr>
          <w:rFonts w:ascii="Times New Roman" w:eastAsia="Cambria" w:hAnsi="Times New Roman"/>
          <w:lang w:eastAsia="ar-SA"/>
        </w:rPr>
        <w:t>thus</w:t>
      </w:r>
      <w:r w:rsidR="00EB6ABE" w:rsidRPr="00636DD0">
        <w:rPr>
          <w:rFonts w:ascii="Times New Roman" w:eastAsia="Cambria" w:hAnsi="Times New Roman"/>
          <w:lang w:eastAsia="ar-SA"/>
        </w:rPr>
        <w:t xml:space="preserve"> prepared, peer</w:t>
      </w:r>
      <w:r w:rsidR="0437227C" w:rsidRPr="00636DD0">
        <w:rPr>
          <w:rFonts w:ascii="Times New Roman" w:eastAsia="Cambria" w:hAnsi="Times New Roman"/>
          <w:lang w:eastAsia="ar-SA"/>
        </w:rPr>
        <w:t>-</w:t>
      </w:r>
      <w:r w:rsidR="00EB6ABE" w:rsidRPr="00636DD0">
        <w:rPr>
          <w:rFonts w:ascii="Times New Roman" w:eastAsia="Cambria" w:hAnsi="Times New Roman"/>
          <w:lang w:eastAsia="ar-SA"/>
        </w:rPr>
        <w:t>reviewed and subsequently considered by the eighteenth meeting of the SBSTTA</w:t>
      </w:r>
      <w:r w:rsidRPr="00636DD0" w:rsidDel="00EB6ABE">
        <w:rPr>
          <w:rFonts w:ascii="Times New Roman" w:eastAsia="Cambria" w:hAnsi="Times New Roman"/>
          <w:lang w:eastAsia="ar-SA"/>
        </w:rPr>
        <w:t>.</w:t>
      </w:r>
      <w:r w:rsidRPr="00636DD0">
        <w:rPr>
          <w:rFonts w:ascii="Times New Roman" w:eastAsia="Times New Roman" w:hAnsi="Times New Roman"/>
          <w:kern w:val="1"/>
          <w:lang w:eastAsia="ar-SA"/>
        </w:rPr>
        <w:t xml:space="preserve"> </w:t>
      </w:r>
      <w:r w:rsidR="00FF71B7" w:rsidRPr="00636DD0">
        <w:rPr>
          <w:rFonts w:ascii="Times New Roman" w:eastAsia="Times New Roman" w:hAnsi="Times New Roman"/>
          <w:kern w:val="1"/>
          <w:lang w:eastAsia="ar-SA"/>
        </w:rPr>
        <w:t>T</w:t>
      </w:r>
      <w:r w:rsidRPr="00636DD0">
        <w:rPr>
          <w:rFonts w:ascii="Times New Roman" w:eastAsia="Times New Roman" w:hAnsi="Times New Roman"/>
          <w:kern w:val="1"/>
          <w:lang w:eastAsia="ar-SA"/>
        </w:rPr>
        <w:t xml:space="preserve">he documents were </w:t>
      </w:r>
      <w:r w:rsidR="00FF71B7" w:rsidRPr="00636DD0">
        <w:rPr>
          <w:rFonts w:ascii="Times New Roman" w:eastAsia="Times New Roman" w:hAnsi="Times New Roman"/>
          <w:kern w:val="1"/>
          <w:lang w:eastAsia="ar-SA"/>
        </w:rPr>
        <w:t>then further</w:t>
      </w:r>
      <w:r w:rsidRPr="00636DD0">
        <w:rPr>
          <w:rFonts w:ascii="Times New Roman" w:eastAsia="Times New Roman" w:hAnsi="Times New Roman"/>
          <w:kern w:val="1"/>
          <w:lang w:eastAsia="ar-SA"/>
        </w:rPr>
        <w:t xml:space="preserve"> revi</w:t>
      </w:r>
      <w:r w:rsidR="005200E7" w:rsidRPr="00636DD0">
        <w:rPr>
          <w:rFonts w:ascii="Times New Roman" w:eastAsia="Times New Roman" w:hAnsi="Times New Roman"/>
          <w:kern w:val="1"/>
          <w:lang w:eastAsia="ar-SA"/>
        </w:rPr>
        <w:t>se</w:t>
      </w:r>
      <w:r w:rsidRPr="00636DD0">
        <w:rPr>
          <w:rFonts w:ascii="Times New Roman" w:eastAsia="Times New Roman" w:hAnsi="Times New Roman"/>
          <w:kern w:val="1"/>
          <w:lang w:eastAsia="ar-SA"/>
        </w:rPr>
        <w:t xml:space="preserve">d </w:t>
      </w:r>
      <w:r w:rsidR="00053288" w:rsidRPr="00636DD0">
        <w:rPr>
          <w:rFonts w:ascii="Times New Roman" w:eastAsia="Times New Roman" w:hAnsi="Times New Roman"/>
          <w:kern w:val="1"/>
          <w:lang w:eastAsia="ar-SA"/>
        </w:rPr>
        <w:t xml:space="preserve">on the basis of </w:t>
      </w:r>
      <w:r w:rsidR="00413BA4" w:rsidRPr="00636DD0">
        <w:rPr>
          <w:rFonts w:ascii="Times New Roman" w:eastAsia="Times New Roman" w:hAnsi="Times New Roman"/>
          <w:kern w:val="1"/>
          <w:lang w:eastAsia="ar-SA"/>
        </w:rPr>
        <w:t>comment</w:t>
      </w:r>
      <w:r w:rsidR="00BE7E6F" w:rsidRPr="00636DD0">
        <w:rPr>
          <w:rFonts w:ascii="Times New Roman" w:eastAsia="Times New Roman" w:hAnsi="Times New Roman"/>
          <w:kern w:val="1"/>
          <w:lang w:eastAsia="ar-SA"/>
        </w:rPr>
        <w:t xml:space="preserve">s from </w:t>
      </w:r>
      <w:r w:rsidR="005942D9" w:rsidRPr="00636DD0">
        <w:rPr>
          <w:rFonts w:ascii="Times New Roman" w:eastAsia="Times New Roman" w:hAnsi="Times New Roman"/>
          <w:kern w:val="1"/>
          <w:lang w:eastAsia="ar-SA"/>
        </w:rPr>
        <w:t>the SBSTTA and peer review process,</w:t>
      </w:r>
      <w:r w:rsidR="00BE7E6F" w:rsidRPr="00636DD0">
        <w:rPr>
          <w:rFonts w:ascii="Times New Roman" w:eastAsia="Times New Roman" w:hAnsi="Times New Roman"/>
          <w:kern w:val="1"/>
          <w:lang w:eastAsia="ar-SA"/>
        </w:rPr>
        <w:t xml:space="preserve"> </w:t>
      </w:r>
      <w:r w:rsidRPr="00636DD0">
        <w:rPr>
          <w:rFonts w:ascii="Times New Roman" w:eastAsia="Times New Roman" w:hAnsi="Times New Roman"/>
          <w:kern w:val="1"/>
          <w:lang w:eastAsia="ar-SA"/>
        </w:rPr>
        <w:t xml:space="preserve">and </w:t>
      </w:r>
      <w:r w:rsidR="00D14878">
        <w:rPr>
          <w:rFonts w:ascii="Times New Roman" w:eastAsia="Times New Roman" w:hAnsi="Times New Roman"/>
          <w:kern w:val="1"/>
          <w:lang w:eastAsia="ar-SA"/>
        </w:rPr>
        <w:t xml:space="preserve">submitted </w:t>
      </w:r>
      <w:r w:rsidR="0067688B">
        <w:rPr>
          <w:rFonts w:ascii="Times New Roman" w:eastAsia="Times New Roman" w:hAnsi="Times New Roman"/>
          <w:kern w:val="1"/>
          <w:lang w:eastAsia="ar-SA"/>
        </w:rPr>
        <w:t xml:space="preserve">for </w:t>
      </w:r>
      <w:r w:rsidRPr="00636DD0">
        <w:rPr>
          <w:rFonts w:ascii="Times New Roman" w:eastAsia="Times New Roman" w:hAnsi="Times New Roman"/>
          <w:kern w:val="1"/>
          <w:lang w:eastAsia="ar-SA"/>
        </w:rPr>
        <w:t>consideration by the twelfth meeting of the Conference of the Parties to the Convention on Biological Diversity</w:t>
      </w:r>
      <w:r w:rsidRPr="00636DD0" w:rsidDel="00CE3861">
        <w:rPr>
          <w:rFonts w:ascii="Times New Roman" w:eastAsia="Times New Roman" w:hAnsi="Times New Roman"/>
          <w:kern w:val="1"/>
          <w:lang w:eastAsia="ar-SA"/>
        </w:rPr>
        <w:t>.</w:t>
      </w:r>
      <w:r w:rsidRPr="00636DD0">
        <w:rPr>
          <w:rFonts w:ascii="Times New Roman" w:eastAsia="Times New Roman" w:hAnsi="Times New Roman"/>
          <w:kern w:val="1"/>
          <w:lang w:eastAsia="ar-SA"/>
        </w:rPr>
        <w:t xml:space="preserve"> </w:t>
      </w:r>
      <w:r w:rsidR="00E45744">
        <w:rPr>
          <w:rFonts w:ascii="Times New Roman" w:eastAsia="Times New Roman" w:hAnsi="Times New Roman"/>
          <w:kern w:val="1"/>
          <w:lang w:eastAsia="ar-SA"/>
        </w:rPr>
        <w:t xml:space="preserve">The documents were then </w:t>
      </w:r>
      <w:r w:rsidR="00E45744" w:rsidRPr="2846787A">
        <w:rPr>
          <w:rFonts w:ascii="Times New Roman" w:eastAsia="Times New Roman" w:hAnsi="Times New Roman"/>
          <w:kern w:val="1"/>
          <w:lang w:eastAsia="ar-SA"/>
        </w:rPr>
        <w:t xml:space="preserve">issued as </w:t>
      </w:r>
      <w:r w:rsidR="00E45744">
        <w:rPr>
          <w:rFonts w:ascii="Times New Roman" w:eastAsia="Times New Roman" w:hAnsi="Times New Roman"/>
          <w:kern w:val="1"/>
          <w:lang w:eastAsia="ar-SA"/>
        </w:rPr>
        <w:t xml:space="preserve">CBD </w:t>
      </w:r>
      <w:r w:rsidR="00E45744" w:rsidRPr="625692F6">
        <w:rPr>
          <w:rFonts w:ascii="Times New Roman" w:eastAsia="Times New Roman" w:hAnsi="Times New Roman"/>
          <w:lang w:eastAsia="ar-SA"/>
        </w:rPr>
        <w:t xml:space="preserve">Technical Series on Synthetic Biology </w:t>
      </w:r>
      <w:r w:rsidR="00E45744">
        <w:rPr>
          <w:rFonts w:ascii="Times New Roman" w:eastAsia="Times New Roman" w:hAnsi="Times New Roman"/>
          <w:lang w:eastAsia="ar-SA"/>
        </w:rPr>
        <w:t>82 edition in 2015</w:t>
      </w:r>
      <w:r w:rsidR="00E45744" w:rsidRPr="2846787A" w:rsidDel="00CE3861">
        <w:rPr>
          <w:rFonts w:ascii="Times New Roman" w:eastAsia="Times New Roman" w:hAnsi="Times New Roman"/>
          <w:kern w:val="1"/>
          <w:lang w:eastAsia="ar-SA"/>
        </w:rPr>
        <w:t>.</w:t>
      </w:r>
      <w:r w:rsidR="00E45744" w:rsidRPr="2846787A">
        <w:rPr>
          <w:rFonts w:ascii="Times New Roman" w:eastAsia="Times New Roman" w:hAnsi="Times New Roman"/>
          <w:kern w:val="1"/>
          <w:lang w:eastAsia="ar-SA"/>
        </w:rPr>
        <w:t xml:space="preserve"> </w:t>
      </w:r>
    </w:p>
    <w:p w14:paraId="78009CB0" w14:textId="1C44E27C" w:rsidR="00AF4738" w:rsidRPr="00636DD0" w:rsidRDefault="00A6392F" w:rsidP="007F78BF">
      <w:pPr>
        <w:spacing w:before="240" w:after="120" w:line="240" w:lineRule="auto"/>
        <w:jc w:val="both"/>
        <w:rPr>
          <w:rFonts w:ascii="Times New Roman" w:eastAsia="Times New Roman" w:hAnsi="Times New Roman"/>
          <w:bCs/>
          <w:iCs/>
          <w:kern w:val="1"/>
          <w:lang w:eastAsia="ar-SA"/>
        </w:rPr>
      </w:pPr>
      <w:r>
        <w:rPr>
          <w:rFonts w:ascii="Times New Roman" w:eastAsia="Times New Roman" w:hAnsi="Times New Roman"/>
          <w:kern w:val="1"/>
          <w:lang w:eastAsia="ar-SA"/>
        </w:rPr>
        <w:t xml:space="preserve">In 2018, through </w:t>
      </w:r>
      <w:r w:rsidR="00E45744" w:rsidRPr="00636DD0">
        <w:rPr>
          <w:rFonts w:ascii="Times New Roman" w:eastAsia="Times New Roman" w:hAnsi="Times New Roman"/>
          <w:lang w:eastAsia="ar-SA"/>
        </w:rPr>
        <w:t xml:space="preserve">decision 14/19 </w:t>
      </w:r>
      <w:r>
        <w:rPr>
          <w:rFonts w:ascii="Times New Roman" w:eastAsia="Times New Roman" w:hAnsi="Times New Roman"/>
          <w:lang w:eastAsia="ar-SA"/>
        </w:rPr>
        <w:t>p</w:t>
      </w:r>
      <w:r w:rsidR="000D6F88" w:rsidRPr="00636DD0">
        <w:rPr>
          <w:rFonts w:ascii="Times New Roman" w:eastAsia="Times New Roman" w:hAnsi="Times New Roman"/>
          <w:lang w:eastAsia="ar-SA"/>
        </w:rPr>
        <w:t xml:space="preserve">aragraph 17 (c) </w:t>
      </w:r>
      <w:r w:rsidR="00E45744">
        <w:rPr>
          <w:rFonts w:ascii="Times New Roman" w:eastAsia="Times New Roman" w:hAnsi="Times New Roman"/>
          <w:lang w:eastAsia="ar-SA"/>
        </w:rPr>
        <w:t>the COP</w:t>
      </w:r>
      <w:r w:rsidR="001E5207" w:rsidRPr="00636DD0" w:rsidDel="00A6392F">
        <w:rPr>
          <w:rFonts w:ascii="Times New Roman" w:eastAsia="Times New Roman" w:hAnsi="Times New Roman"/>
          <w:lang w:eastAsia="ar-SA"/>
        </w:rPr>
        <w:t xml:space="preserve"> </w:t>
      </w:r>
      <w:r w:rsidR="001E5207" w:rsidRPr="00636DD0">
        <w:rPr>
          <w:rFonts w:ascii="Times New Roman" w:eastAsia="Times New Roman" w:hAnsi="Times New Roman"/>
          <w:lang w:eastAsia="ar-SA"/>
        </w:rPr>
        <w:t>requ</w:t>
      </w:r>
      <w:r w:rsidR="00D4433D">
        <w:rPr>
          <w:rFonts w:ascii="Times New Roman" w:eastAsia="Times New Roman" w:hAnsi="Times New Roman"/>
          <w:lang w:eastAsia="ar-SA"/>
        </w:rPr>
        <w:t>ested</w:t>
      </w:r>
      <w:r w:rsidR="001E5207" w:rsidRPr="00636DD0">
        <w:rPr>
          <w:rFonts w:ascii="Times New Roman" w:eastAsia="Times New Roman" w:hAnsi="Times New Roman"/>
          <w:lang w:eastAsia="ar-SA"/>
        </w:rPr>
        <w:t xml:space="preserve"> </w:t>
      </w:r>
      <w:r w:rsidR="001D6C70">
        <w:rPr>
          <w:rFonts w:ascii="Times New Roman" w:eastAsia="Times New Roman" w:hAnsi="Times New Roman"/>
          <w:lang w:eastAsia="ar-SA"/>
        </w:rPr>
        <w:t>the Executive Secretary t</w:t>
      </w:r>
      <w:r w:rsidR="001D6C70" w:rsidRPr="00EB0417">
        <w:rPr>
          <w:rFonts w:ascii="Times New Roman" w:eastAsia="Times New Roman" w:hAnsi="Times New Roman"/>
          <w:lang w:eastAsia="ar-SA"/>
        </w:rPr>
        <w:t>o update the Technical Series on Synthetic Biology for consideration by the Subsidiary Body on Scientific, Technical and Technological Advice based on the peer review of scientific information and other relevant information</w:t>
      </w:r>
      <w:r w:rsidR="001D6C70">
        <w:rPr>
          <w:rFonts w:ascii="Times New Roman" w:eastAsia="Times New Roman" w:hAnsi="Times New Roman"/>
          <w:lang w:eastAsia="ar-SA"/>
        </w:rPr>
        <w:t>; request that</w:t>
      </w:r>
      <w:r w:rsidR="001D6C70" w:rsidRPr="00636DD0">
        <w:rPr>
          <w:rFonts w:ascii="Times New Roman" w:eastAsia="Times New Roman" w:hAnsi="Times New Roman"/>
          <w:lang w:eastAsia="ar-SA"/>
        </w:rPr>
        <w:t xml:space="preserve"> </w:t>
      </w:r>
      <w:r w:rsidR="00A6611D" w:rsidRPr="00636DD0">
        <w:rPr>
          <w:rFonts w:ascii="Times New Roman" w:eastAsia="Times New Roman" w:hAnsi="Times New Roman"/>
          <w:lang w:eastAsia="ar-SA"/>
        </w:rPr>
        <w:t xml:space="preserve">the present </w:t>
      </w:r>
      <w:r w:rsidR="003422A8" w:rsidRPr="00636DD0">
        <w:rPr>
          <w:rFonts w:ascii="Times New Roman" w:eastAsia="Times New Roman" w:hAnsi="Times New Roman"/>
          <w:lang w:eastAsia="ar-SA"/>
        </w:rPr>
        <w:t>edition attempts to address</w:t>
      </w:r>
      <w:r w:rsidR="00851C3E" w:rsidRPr="00636DD0">
        <w:rPr>
          <w:rFonts w:ascii="Times New Roman" w:eastAsia="Times New Roman" w:hAnsi="Times New Roman"/>
          <w:lang w:eastAsia="ar-SA"/>
        </w:rPr>
        <w:t>.</w:t>
      </w:r>
    </w:p>
    <w:p w14:paraId="79CCAD17" w14:textId="77777777" w:rsidR="00CE3861" w:rsidRPr="00636DD0" w:rsidRDefault="00CE3861" w:rsidP="00CE3861">
      <w:pPr>
        <w:keepNext/>
        <w:tabs>
          <w:tab w:val="left" w:pos="720"/>
        </w:tabs>
        <w:spacing w:before="240" w:after="120" w:line="240" w:lineRule="auto"/>
        <w:jc w:val="center"/>
        <w:outlineLvl w:val="0"/>
        <w:rPr>
          <w:rFonts w:ascii="Times New Roman" w:eastAsia="Times New Roman" w:hAnsi="Times New Roman"/>
          <w:b/>
          <w:caps/>
          <w:kern w:val="1"/>
          <w:szCs w:val="24"/>
          <w:lang w:eastAsia="ar-SA"/>
        </w:rPr>
      </w:pPr>
      <w:bookmarkStart w:id="4" w:name="_Toc70112653"/>
      <w:bookmarkStart w:id="5" w:name="_Toc70685675"/>
      <w:r w:rsidRPr="00636DD0">
        <w:rPr>
          <w:rFonts w:ascii="Times New Roman" w:eastAsia="Times New Roman" w:hAnsi="Times New Roman"/>
          <w:b/>
          <w:caps/>
          <w:kern w:val="1"/>
          <w:szCs w:val="24"/>
          <w:lang w:eastAsia="ar-SA"/>
        </w:rPr>
        <w:t>Acknowledgements</w:t>
      </w:r>
      <w:bookmarkEnd w:id="4"/>
      <w:bookmarkEnd w:id="5"/>
    </w:p>
    <w:p w14:paraId="4101652C" w14:textId="4B37CC58" w:rsidR="004539A5" w:rsidRPr="00636DD0" w:rsidRDefault="00CE3861" w:rsidP="00A33525">
      <w:pPr>
        <w:spacing w:before="240" w:after="120" w:line="240" w:lineRule="auto"/>
        <w:jc w:val="both"/>
        <w:rPr>
          <w:lang w:eastAsia="ar-SA"/>
        </w:rPr>
      </w:pPr>
      <w:r w:rsidRPr="00636DD0">
        <w:rPr>
          <w:rFonts w:ascii="Times New Roman" w:eastAsia="Times New Roman" w:hAnsi="Times New Roman"/>
          <w:kern w:val="1"/>
          <w:lang w:eastAsia="ar-SA"/>
        </w:rPr>
        <w:t>The technical work underlying this document was supported by a grant from the Government</w:t>
      </w:r>
      <w:r w:rsidR="1E6683F4" w:rsidRPr="00636DD0">
        <w:rPr>
          <w:rFonts w:ascii="Times New Roman" w:eastAsia="Times New Roman" w:hAnsi="Times New Roman"/>
          <w:lang w:eastAsia="ar-SA"/>
        </w:rPr>
        <w:t>s</w:t>
      </w:r>
      <w:r w:rsidRPr="00636DD0">
        <w:rPr>
          <w:rFonts w:ascii="Times New Roman" w:eastAsia="Times New Roman" w:hAnsi="Times New Roman"/>
          <w:kern w:val="1"/>
          <w:lang w:eastAsia="ar-SA"/>
        </w:rPr>
        <w:t xml:space="preserve"> of </w:t>
      </w:r>
      <w:r w:rsidR="008D6D0A" w:rsidRPr="00636DD0">
        <w:rPr>
          <w:rFonts w:ascii="Times New Roman" w:eastAsia="Times New Roman" w:hAnsi="Times New Roman"/>
          <w:lang w:eastAsia="ar-SA"/>
        </w:rPr>
        <w:t>Austria</w:t>
      </w:r>
      <w:r w:rsidR="2AFC5980" w:rsidRPr="00636DD0">
        <w:rPr>
          <w:rFonts w:ascii="Times New Roman" w:eastAsia="Times New Roman" w:hAnsi="Times New Roman"/>
          <w:kern w:val="1"/>
          <w:lang w:eastAsia="ar-SA"/>
        </w:rPr>
        <w:t xml:space="preserve"> </w:t>
      </w:r>
      <w:r w:rsidR="363F1988" w:rsidRPr="00636DD0">
        <w:rPr>
          <w:rFonts w:ascii="Times New Roman" w:eastAsia="Times New Roman" w:hAnsi="Times New Roman"/>
          <w:lang w:eastAsia="ar-SA"/>
        </w:rPr>
        <w:t>a</w:t>
      </w:r>
      <w:r w:rsidR="3571B2D8" w:rsidRPr="00636DD0">
        <w:rPr>
          <w:rFonts w:ascii="Times New Roman" w:eastAsia="Times New Roman" w:hAnsi="Times New Roman"/>
          <w:lang w:eastAsia="ar-SA"/>
        </w:rPr>
        <w:t>nd the Netherlands</w:t>
      </w:r>
      <w:r w:rsidR="351D1084" w:rsidRPr="00636DD0">
        <w:rPr>
          <w:rFonts w:ascii="Times New Roman" w:eastAsia="Times New Roman" w:hAnsi="Times New Roman"/>
          <w:lang w:eastAsia="ar-SA"/>
        </w:rPr>
        <w:t>.</w:t>
      </w:r>
    </w:p>
    <w:p w14:paraId="167C1025" w14:textId="77777777" w:rsidR="00FE0D36" w:rsidRPr="00636DD0" w:rsidRDefault="004539A5" w:rsidP="00FE0D36">
      <w:pPr>
        <w:keepNext/>
        <w:tabs>
          <w:tab w:val="left" w:pos="720"/>
        </w:tabs>
        <w:spacing w:before="240" w:after="120" w:line="240" w:lineRule="auto"/>
        <w:jc w:val="center"/>
        <w:outlineLvl w:val="0"/>
        <w:rPr>
          <w:rFonts w:ascii="Times New Roman" w:eastAsia="Times New Roman" w:hAnsi="Times New Roman"/>
          <w:b/>
          <w:caps/>
          <w:kern w:val="1"/>
          <w:lang w:eastAsia="ar-SA"/>
        </w:rPr>
      </w:pPr>
      <w:r w:rsidRPr="00636DD0">
        <w:rPr>
          <w:rFonts w:ascii="Times New Roman" w:eastAsia="Times New Roman" w:hAnsi="Times New Roman"/>
          <w:b/>
          <w:caps/>
          <w:kern w:val="1"/>
          <w:lang w:eastAsia="ar-SA"/>
        </w:rPr>
        <w:br w:type="page"/>
      </w:r>
      <w:bookmarkStart w:id="6" w:name="_Toc70685676"/>
      <w:r w:rsidR="00FE0D36" w:rsidRPr="096FDC60">
        <w:rPr>
          <w:rFonts w:ascii="Times New Roman" w:eastAsia="Times New Roman" w:hAnsi="Times New Roman"/>
          <w:b/>
          <w:caps/>
          <w:lang w:eastAsia="ar-SA"/>
        </w:rPr>
        <w:lastRenderedPageBreak/>
        <w:t>CONTENTS</w:t>
      </w:r>
      <w:bookmarkEnd w:id="6"/>
    </w:p>
    <w:sdt>
      <w:sdtPr>
        <w:rPr>
          <w:rFonts w:asciiTheme="majorBidi" w:eastAsia="Times New Roman" w:hAnsiTheme="majorBidi" w:cs="Times New Roman"/>
          <w:caps/>
          <w:color w:val="auto"/>
          <w:kern w:val="1"/>
          <w:sz w:val="22"/>
          <w:szCs w:val="24"/>
          <w:lang w:val="en-GB" w:eastAsia="ar-SA"/>
        </w:rPr>
        <w:id w:val="-1620370952"/>
        <w:docPartObj>
          <w:docPartGallery w:val="Table of Contents"/>
          <w:docPartUnique/>
        </w:docPartObj>
      </w:sdtPr>
      <w:sdtEndPr/>
      <w:sdtContent>
        <w:p w14:paraId="33A72C08" w14:textId="77777777" w:rsidR="008C342E" w:rsidRPr="00AF305B" w:rsidRDefault="008C342E" w:rsidP="008C342E">
          <w:pPr>
            <w:pStyle w:val="TOCHeading"/>
            <w:spacing w:before="0" w:after="100"/>
            <w:rPr>
              <w:rFonts w:asciiTheme="majorBidi" w:hAnsiTheme="majorBidi"/>
            </w:rPr>
          </w:pPr>
        </w:p>
        <w:p w14:paraId="2F50F005" w14:textId="77777777" w:rsidR="008C342E" w:rsidRPr="00AF305B" w:rsidRDefault="008C342E" w:rsidP="008C342E">
          <w:pPr>
            <w:pStyle w:val="TOC1"/>
            <w:spacing w:before="0" w:after="100" w:line="259" w:lineRule="auto"/>
            <w:rPr>
              <w:rFonts w:asciiTheme="majorBidi" w:hAnsiTheme="majorBidi" w:cstheme="majorBidi"/>
            </w:rPr>
          </w:pPr>
          <w:r w:rsidRPr="00AF305B">
            <w:rPr>
              <w:rFonts w:asciiTheme="majorBidi" w:hAnsiTheme="majorBidi" w:cstheme="majorBidi"/>
              <w:b/>
              <w:bCs/>
            </w:rPr>
            <w:t>BACKGROUND</w:t>
          </w:r>
          <w:r w:rsidRPr="00AF305B">
            <w:rPr>
              <w:rFonts w:asciiTheme="majorBidi" w:hAnsiTheme="majorBidi" w:cstheme="majorBidi"/>
            </w:rPr>
            <w:ptab w:relativeTo="margin" w:alignment="right" w:leader="dot"/>
          </w:r>
          <w:r w:rsidRPr="0071310E">
            <w:rPr>
              <w:rFonts w:asciiTheme="majorBidi" w:hAnsiTheme="majorBidi" w:cstheme="majorBidi"/>
            </w:rPr>
            <w:t>1</w:t>
          </w:r>
        </w:p>
        <w:p w14:paraId="4F14C3BC" w14:textId="20EC1FF4" w:rsidR="008C342E" w:rsidRPr="00AF305B" w:rsidRDefault="008C342E" w:rsidP="008C342E">
          <w:pPr>
            <w:pStyle w:val="TOC1"/>
            <w:spacing w:before="0" w:after="100" w:line="259" w:lineRule="auto"/>
            <w:rPr>
              <w:rFonts w:asciiTheme="majorBidi" w:hAnsiTheme="majorBidi" w:cstheme="majorBidi"/>
            </w:rPr>
          </w:pPr>
          <w:r w:rsidRPr="00AF305B">
            <w:rPr>
              <w:rFonts w:asciiTheme="majorBidi" w:hAnsiTheme="majorBidi" w:cstheme="majorBidi"/>
              <w:b/>
              <w:bCs/>
            </w:rPr>
            <w:t>ACKNOWLEDGEMENTS</w:t>
          </w:r>
          <w:r w:rsidRPr="00AF305B">
            <w:rPr>
              <w:rFonts w:asciiTheme="majorBidi" w:hAnsiTheme="majorBidi" w:cstheme="majorBidi"/>
            </w:rPr>
            <w:ptab w:relativeTo="margin" w:alignment="right" w:leader="dot"/>
          </w:r>
          <w:r w:rsidR="00FE3FB5">
            <w:rPr>
              <w:rFonts w:asciiTheme="majorBidi" w:hAnsiTheme="majorBidi" w:cstheme="majorBidi"/>
            </w:rPr>
            <w:t>1</w:t>
          </w:r>
        </w:p>
        <w:p w14:paraId="6AA5EDEB" w14:textId="1A2B1201" w:rsidR="008C342E" w:rsidRPr="00AF305B" w:rsidRDefault="008C342E" w:rsidP="008C342E">
          <w:pPr>
            <w:pStyle w:val="TOC1"/>
            <w:spacing w:before="0" w:after="100" w:line="259" w:lineRule="auto"/>
            <w:rPr>
              <w:rFonts w:asciiTheme="majorBidi" w:hAnsiTheme="majorBidi" w:cstheme="majorBidi"/>
              <w:b/>
              <w:bCs/>
            </w:rPr>
          </w:pPr>
          <w:r w:rsidRPr="00AF305B">
            <w:rPr>
              <w:rFonts w:asciiTheme="majorBidi" w:hAnsiTheme="majorBidi" w:cstheme="majorBidi"/>
              <w:b/>
              <w:bCs/>
            </w:rPr>
            <w:t>CONTENTS</w:t>
          </w:r>
          <w:r w:rsidRPr="00AF305B">
            <w:rPr>
              <w:rFonts w:asciiTheme="majorBidi" w:hAnsiTheme="majorBidi" w:cstheme="majorBidi"/>
            </w:rPr>
            <w:ptab w:relativeTo="margin" w:alignment="right" w:leader="dot"/>
          </w:r>
          <w:r w:rsidR="00FE3FB5">
            <w:rPr>
              <w:rFonts w:asciiTheme="majorBidi" w:hAnsiTheme="majorBidi" w:cstheme="majorBidi"/>
            </w:rPr>
            <w:t>2</w:t>
          </w:r>
        </w:p>
        <w:p w14:paraId="7AA53C6A" w14:textId="1D627E31" w:rsidR="008C342E" w:rsidRPr="00AF305B" w:rsidRDefault="008C342E" w:rsidP="008C342E">
          <w:pPr>
            <w:pStyle w:val="TOC1"/>
            <w:numPr>
              <w:ilvl w:val="0"/>
              <w:numId w:val="237"/>
            </w:numPr>
            <w:spacing w:before="0" w:after="100" w:line="259" w:lineRule="auto"/>
            <w:jc w:val="left"/>
            <w:rPr>
              <w:rFonts w:asciiTheme="majorBidi" w:hAnsiTheme="majorBidi" w:cstheme="majorBidi"/>
              <w:b/>
              <w:bCs/>
            </w:rPr>
          </w:pPr>
          <w:r w:rsidRPr="00AF305B">
            <w:rPr>
              <w:rFonts w:asciiTheme="majorBidi" w:hAnsiTheme="majorBidi" w:cstheme="majorBidi"/>
              <w:b/>
              <w:bCs/>
            </w:rPr>
            <w:t>EXECUTIVE SUMMARY</w:t>
          </w:r>
          <w:r w:rsidRPr="00AF305B">
            <w:rPr>
              <w:rFonts w:asciiTheme="majorBidi" w:hAnsiTheme="majorBidi" w:cstheme="majorBidi"/>
            </w:rPr>
            <w:ptab w:relativeTo="margin" w:alignment="right" w:leader="dot"/>
          </w:r>
          <w:r w:rsidR="00FE3FB5">
            <w:rPr>
              <w:rFonts w:asciiTheme="majorBidi" w:hAnsiTheme="majorBidi" w:cstheme="majorBidi"/>
            </w:rPr>
            <w:t>8</w:t>
          </w:r>
        </w:p>
        <w:p w14:paraId="300BABDD" w14:textId="51D579B9" w:rsidR="008C342E" w:rsidRPr="00AF305B" w:rsidRDefault="008C342E" w:rsidP="008C342E">
          <w:pPr>
            <w:pStyle w:val="TOC1"/>
            <w:numPr>
              <w:ilvl w:val="0"/>
              <w:numId w:val="237"/>
            </w:numPr>
            <w:spacing w:before="0" w:after="100" w:line="259" w:lineRule="auto"/>
            <w:jc w:val="left"/>
            <w:rPr>
              <w:rFonts w:asciiTheme="majorBidi" w:hAnsiTheme="majorBidi" w:cstheme="majorBidi"/>
              <w:b/>
              <w:bCs/>
            </w:rPr>
          </w:pPr>
          <w:r w:rsidRPr="00AF305B">
            <w:rPr>
              <w:rFonts w:asciiTheme="majorBidi" w:hAnsiTheme="majorBidi" w:cstheme="majorBidi"/>
              <w:b/>
              <w:bCs/>
            </w:rPr>
            <w:t>SCOPE AND METHODS</w:t>
          </w:r>
          <w:r w:rsidRPr="00AF305B">
            <w:rPr>
              <w:rFonts w:asciiTheme="majorBidi" w:hAnsiTheme="majorBidi" w:cstheme="majorBidi"/>
            </w:rPr>
            <w:ptab w:relativeTo="margin" w:alignment="right" w:leader="dot"/>
          </w:r>
          <w:r w:rsidR="00FE3FB5">
            <w:rPr>
              <w:rFonts w:asciiTheme="majorBidi" w:hAnsiTheme="majorBidi" w:cstheme="majorBidi"/>
            </w:rPr>
            <w:t>1</w:t>
          </w:r>
          <w:r w:rsidR="00D760DE">
            <w:rPr>
              <w:rFonts w:asciiTheme="majorBidi" w:hAnsiTheme="majorBidi" w:cstheme="majorBidi"/>
            </w:rPr>
            <w:t>5</w:t>
          </w:r>
        </w:p>
        <w:p w14:paraId="4ACD12C7" w14:textId="64E3CC6B" w:rsidR="008C342E" w:rsidRDefault="008C342E" w:rsidP="008C342E">
          <w:pPr>
            <w:pStyle w:val="TOC1"/>
            <w:numPr>
              <w:ilvl w:val="0"/>
              <w:numId w:val="237"/>
            </w:numPr>
            <w:spacing w:before="0" w:after="100" w:line="259" w:lineRule="auto"/>
            <w:jc w:val="left"/>
            <w:rPr>
              <w:rFonts w:asciiTheme="majorBidi" w:hAnsiTheme="majorBidi" w:cstheme="majorBidi"/>
              <w:b/>
              <w:bCs/>
            </w:rPr>
          </w:pPr>
          <w:r w:rsidRPr="00AF305B">
            <w:rPr>
              <w:rFonts w:asciiTheme="majorBidi" w:hAnsiTheme="majorBidi" w:cstheme="majorBidi"/>
              <w:b/>
              <w:bCs/>
            </w:rPr>
            <w:t>TECHNICAL BACKGROUND ON SYNTHETIC BIOLOGY</w:t>
          </w:r>
          <w:r w:rsidRPr="00AF305B">
            <w:rPr>
              <w:rFonts w:asciiTheme="majorBidi" w:hAnsiTheme="majorBidi" w:cstheme="majorBidi"/>
            </w:rPr>
            <w:ptab w:relativeTo="margin" w:alignment="right" w:leader="dot"/>
          </w:r>
          <w:r w:rsidR="00FE3FB5">
            <w:rPr>
              <w:rFonts w:asciiTheme="majorBidi" w:hAnsiTheme="majorBidi" w:cstheme="majorBidi"/>
            </w:rPr>
            <w:t>16</w:t>
          </w:r>
        </w:p>
        <w:p w14:paraId="38563FCC" w14:textId="6F111890" w:rsidR="008C342E" w:rsidRDefault="008C342E" w:rsidP="008C342E">
          <w:pPr>
            <w:pStyle w:val="TOC2"/>
            <w:numPr>
              <w:ilvl w:val="0"/>
              <w:numId w:val="238"/>
            </w:numPr>
            <w:tabs>
              <w:tab w:val="clear" w:pos="9356"/>
            </w:tabs>
            <w:spacing w:before="0" w:after="100" w:line="259" w:lineRule="auto"/>
            <w:jc w:val="left"/>
            <w:rPr>
              <w:rFonts w:asciiTheme="majorBidi" w:hAnsiTheme="majorBidi" w:cstheme="majorBidi"/>
            </w:rPr>
          </w:pPr>
          <w:r>
            <w:rPr>
              <w:rFonts w:asciiTheme="majorBidi" w:hAnsiTheme="majorBidi" w:cstheme="majorBidi"/>
            </w:rPr>
            <w:t>Supporting Technologies and Tools</w:t>
          </w:r>
          <w:r w:rsidRPr="00AF305B">
            <w:rPr>
              <w:rFonts w:asciiTheme="majorBidi" w:hAnsiTheme="majorBidi" w:cstheme="majorBidi"/>
            </w:rPr>
            <w:ptab w:relativeTo="margin" w:alignment="right" w:leader="dot"/>
          </w:r>
          <w:r w:rsidR="00FE3FB5">
            <w:rPr>
              <w:rFonts w:asciiTheme="majorBidi" w:hAnsiTheme="majorBidi" w:cstheme="majorBidi"/>
            </w:rPr>
            <w:t>16</w:t>
          </w:r>
        </w:p>
        <w:p w14:paraId="5FDA5757" w14:textId="497F86AF" w:rsidR="008C342E" w:rsidRDefault="008C342E" w:rsidP="008C342E">
          <w:pPr>
            <w:pStyle w:val="TOC3"/>
            <w:spacing w:before="0" w:after="100" w:line="259" w:lineRule="auto"/>
            <w:ind w:left="720" w:firstLine="360"/>
            <w:rPr>
              <w:rFonts w:asciiTheme="majorBidi" w:hAnsiTheme="majorBidi" w:cstheme="majorBidi"/>
            </w:rPr>
          </w:pPr>
          <w:r>
            <w:rPr>
              <w:rFonts w:asciiTheme="majorBidi" w:hAnsiTheme="majorBidi" w:cstheme="majorBidi"/>
            </w:rPr>
            <w:t>1.1. Chemical synthesis of DNA</w:t>
          </w:r>
          <w:r w:rsidRPr="00AF305B">
            <w:rPr>
              <w:rFonts w:asciiTheme="majorBidi" w:hAnsiTheme="majorBidi" w:cstheme="majorBidi"/>
            </w:rPr>
            <w:ptab w:relativeTo="margin" w:alignment="right" w:leader="dot"/>
          </w:r>
          <w:r w:rsidR="00FE3FB5">
            <w:rPr>
              <w:rFonts w:asciiTheme="majorBidi" w:hAnsiTheme="majorBidi" w:cstheme="majorBidi"/>
            </w:rPr>
            <w:t>1</w:t>
          </w:r>
          <w:r w:rsidR="00592D03">
            <w:rPr>
              <w:rFonts w:asciiTheme="majorBidi" w:hAnsiTheme="majorBidi" w:cstheme="majorBidi"/>
            </w:rPr>
            <w:t>7</w:t>
          </w:r>
        </w:p>
        <w:p w14:paraId="56558377" w14:textId="0F2957EB" w:rsidR="008C342E" w:rsidRPr="00AF305B" w:rsidRDefault="008C342E" w:rsidP="008C342E">
          <w:pPr>
            <w:pStyle w:val="TOC3"/>
            <w:spacing w:before="0" w:after="100" w:line="259" w:lineRule="auto"/>
            <w:ind w:left="806" w:firstLine="274"/>
            <w:rPr>
              <w:rFonts w:asciiTheme="majorBidi" w:hAnsiTheme="majorBidi" w:cstheme="majorBidi"/>
            </w:rPr>
          </w:pPr>
          <w:r>
            <w:rPr>
              <w:rFonts w:asciiTheme="majorBidi" w:hAnsiTheme="majorBidi" w:cstheme="majorBidi"/>
            </w:rPr>
            <w:t>1.2. Directed evolution</w:t>
          </w:r>
          <w:r w:rsidRPr="00AF305B">
            <w:rPr>
              <w:rFonts w:asciiTheme="majorBidi" w:hAnsiTheme="majorBidi" w:cstheme="majorBidi"/>
            </w:rPr>
            <w:ptab w:relativeTo="margin" w:alignment="right" w:leader="dot"/>
          </w:r>
          <w:r w:rsidR="00FE3FB5">
            <w:rPr>
              <w:rFonts w:asciiTheme="majorBidi" w:hAnsiTheme="majorBidi" w:cstheme="majorBidi"/>
            </w:rPr>
            <w:t>1</w:t>
          </w:r>
          <w:r w:rsidR="00DC317C">
            <w:rPr>
              <w:rFonts w:asciiTheme="majorBidi" w:hAnsiTheme="majorBidi" w:cstheme="majorBidi"/>
            </w:rPr>
            <w:t>8</w:t>
          </w:r>
        </w:p>
        <w:p w14:paraId="29A1446C" w14:textId="1C007C3B" w:rsidR="008C342E" w:rsidRPr="00AF305B" w:rsidRDefault="008C342E" w:rsidP="008C342E">
          <w:pPr>
            <w:pStyle w:val="TOC3"/>
            <w:spacing w:before="0" w:after="100" w:line="259" w:lineRule="auto"/>
            <w:ind w:left="806" w:firstLine="274"/>
            <w:rPr>
              <w:rFonts w:asciiTheme="majorBidi" w:hAnsiTheme="majorBidi" w:cstheme="majorBidi"/>
            </w:rPr>
          </w:pPr>
          <w:r>
            <w:rPr>
              <w:rFonts w:asciiTheme="majorBidi" w:hAnsiTheme="majorBidi" w:cstheme="majorBidi"/>
            </w:rPr>
            <w:t>1.3. Genome editing</w:t>
          </w:r>
          <w:r w:rsidRPr="00AF305B">
            <w:rPr>
              <w:rFonts w:asciiTheme="majorBidi" w:hAnsiTheme="majorBidi" w:cstheme="majorBidi"/>
            </w:rPr>
            <w:ptab w:relativeTo="margin" w:alignment="right" w:leader="dot"/>
          </w:r>
          <w:r w:rsidR="00FE3FB5">
            <w:rPr>
              <w:rFonts w:asciiTheme="majorBidi" w:hAnsiTheme="majorBidi" w:cstheme="majorBidi"/>
            </w:rPr>
            <w:t>1</w:t>
          </w:r>
          <w:r w:rsidR="00592D03">
            <w:rPr>
              <w:rFonts w:asciiTheme="majorBidi" w:hAnsiTheme="majorBidi" w:cstheme="majorBidi"/>
            </w:rPr>
            <w:t>8</w:t>
          </w:r>
        </w:p>
        <w:p w14:paraId="2ACAB50F" w14:textId="03CA9386" w:rsidR="008C342E" w:rsidRPr="00AF305B" w:rsidRDefault="008C342E" w:rsidP="008C342E">
          <w:pPr>
            <w:pStyle w:val="TOC3"/>
            <w:spacing w:before="0" w:after="100" w:line="259" w:lineRule="auto"/>
            <w:ind w:left="806" w:firstLine="274"/>
            <w:rPr>
              <w:rFonts w:asciiTheme="majorBidi" w:hAnsiTheme="majorBidi" w:cstheme="majorBidi"/>
            </w:rPr>
          </w:pPr>
          <w:r>
            <w:rPr>
              <w:rFonts w:asciiTheme="majorBidi" w:hAnsiTheme="majorBidi" w:cstheme="majorBidi"/>
            </w:rPr>
            <w:t>1.4. Engineered gene drives</w:t>
          </w:r>
          <w:r w:rsidRPr="00AF305B">
            <w:rPr>
              <w:rFonts w:asciiTheme="majorBidi" w:hAnsiTheme="majorBidi" w:cstheme="majorBidi"/>
            </w:rPr>
            <w:ptab w:relativeTo="margin" w:alignment="right" w:leader="dot"/>
          </w:r>
          <w:r w:rsidR="00FE3FB5">
            <w:rPr>
              <w:rFonts w:asciiTheme="majorBidi" w:hAnsiTheme="majorBidi" w:cstheme="majorBidi"/>
            </w:rPr>
            <w:t>1</w:t>
          </w:r>
          <w:r w:rsidR="00592D03">
            <w:rPr>
              <w:rFonts w:asciiTheme="majorBidi" w:hAnsiTheme="majorBidi" w:cstheme="majorBidi"/>
            </w:rPr>
            <w:t>9</w:t>
          </w:r>
        </w:p>
        <w:p w14:paraId="3D90C16A" w14:textId="3A512EA5" w:rsidR="008C342E" w:rsidRPr="00AF305B" w:rsidRDefault="008C342E" w:rsidP="008C342E">
          <w:pPr>
            <w:pStyle w:val="TOC3"/>
            <w:spacing w:before="0" w:after="100" w:line="259" w:lineRule="auto"/>
            <w:ind w:left="806" w:firstLine="274"/>
            <w:rPr>
              <w:rFonts w:asciiTheme="majorBidi" w:hAnsiTheme="majorBidi" w:cstheme="majorBidi"/>
            </w:rPr>
          </w:pPr>
          <w:r>
            <w:rPr>
              <w:rFonts w:asciiTheme="majorBidi" w:hAnsiTheme="majorBidi" w:cstheme="majorBidi"/>
            </w:rPr>
            <w:t>1.5. RNA-based tools</w:t>
          </w:r>
          <w:r w:rsidRPr="00AF305B">
            <w:rPr>
              <w:rFonts w:asciiTheme="majorBidi" w:hAnsiTheme="majorBidi" w:cstheme="majorBidi"/>
            </w:rPr>
            <w:ptab w:relativeTo="margin" w:alignment="right" w:leader="dot"/>
          </w:r>
          <w:r w:rsidR="00592D03">
            <w:rPr>
              <w:rFonts w:asciiTheme="majorBidi" w:hAnsiTheme="majorBidi" w:cstheme="majorBidi"/>
            </w:rPr>
            <w:t>20</w:t>
          </w:r>
        </w:p>
        <w:p w14:paraId="7558C57D" w14:textId="155F1A74" w:rsidR="008C342E" w:rsidRPr="00AF305B" w:rsidRDefault="008C342E" w:rsidP="008C342E">
          <w:pPr>
            <w:pStyle w:val="TOC3"/>
            <w:spacing w:before="0" w:after="100" w:line="259" w:lineRule="auto"/>
            <w:ind w:left="806" w:firstLine="274"/>
            <w:rPr>
              <w:rFonts w:asciiTheme="majorBidi" w:hAnsiTheme="majorBidi" w:cstheme="majorBidi"/>
            </w:rPr>
          </w:pPr>
          <w:r>
            <w:rPr>
              <w:rFonts w:asciiTheme="majorBidi" w:hAnsiTheme="majorBidi" w:cstheme="majorBidi"/>
            </w:rPr>
            <w:t>1.6. Artificial Intelligence and Machine Learning</w:t>
          </w:r>
          <w:r w:rsidRPr="00AF305B">
            <w:rPr>
              <w:rFonts w:asciiTheme="majorBidi" w:hAnsiTheme="majorBidi" w:cstheme="majorBidi"/>
            </w:rPr>
            <w:ptab w:relativeTo="margin" w:alignment="right" w:leader="dot"/>
          </w:r>
          <w:r w:rsidR="00FE3FB5">
            <w:rPr>
              <w:rFonts w:asciiTheme="majorBidi" w:hAnsiTheme="majorBidi" w:cstheme="majorBidi"/>
            </w:rPr>
            <w:t>2</w:t>
          </w:r>
          <w:r w:rsidR="00592D03">
            <w:rPr>
              <w:rFonts w:asciiTheme="majorBidi" w:hAnsiTheme="majorBidi" w:cstheme="majorBidi"/>
            </w:rPr>
            <w:t>1</w:t>
          </w:r>
        </w:p>
        <w:p w14:paraId="699D3F46" w14:textId="515AFB11" w:rsidR="008C342E" w:rsidRDefault="008C342E" w:rsidP="008C342E">
          <w:pPr>
            <w:pStyle w:val="TOC3"/>
            <w:spacing w:before="0" w:after="100" w:line="259" w:lineRule="auto"/>
            <w:ind w:left="806" w:firstLine="274"/>
            <w:rPr>
              <w:rFonts w:asciiTheme="majorBidi" w:hAnsiTheme="majorBidi" w:cstheme="majorBidi"/>
            </w:rPr>
          </w:pPr>
          <w:r>
            <w:rPr>
              <w:rFonts w:asciiTheme="majorBidi" w:hAnsiTheme="majorBidi" w:cstheme="majorBidi"/>
            </w:rPr>
            <w:t>1.7. Biofoundries</w:t>
          </w:r>
          <w:r w:rsidRPr="00AF305B">
            <w:rPr>
              <w:rFonts w:asciiTheme="majorBidi" w:hAnsiTheme="majorBidi" w:cstheme="majorBidi"/>
            </w:rPr>
            <w:ptab w:relativeTo="margin" w:alignment="right" w:leader="dot"/>
          </w:r>
          <w:r w:rsidR="00FE3FB5">
            <w:rPr>
              <w:rFonts w:asciiTheme="majorBidi" w:hAnsiTheme="majorBidi" w:cstheme="majorBidi"/>
            </w:rPr>
            <w:t>2</w:t>
          </w:r>
          <w:r w:rsidR="00592D03">
            <w:rPr>
              <w:rFonts w:asciiTheme="majorBidi" w:hAnsiTheme="majorBidi" w:cstheme="majorBidi"/>
            </w:rPr>
            <w:t>2</w:t>
          </w:r>
        </w:p>
        <w:p w14:paraId="50914BCD" w14:textId="566FC3DE" w:rsidR="008C342E" w:rsidRPr="00AF305B" w:rsidRDefault="008C342E" w:rsidP="008C342E">
          <w:pPr>
            <w:pStyle w:val="TOC3"/>
            <w:spacing w:before="0" w:after="100" w:line="259" w:lineRule="auto"/>
            <w:ind w:left="806" w:firstLine="274"/>
            <w:rPr>
              <w:rFonts w:asciiTheme="majorBidi" w:hAnsiTheme="majorBidi" w:cstheme="majorBidi"/>
            </w:rPr>
          </w:pPr>
          <w:r>
            <w:rPr>
              <w:rFonts w:asciiTheme="majorBidi" w:hAnsiTheme="majorBidi" w:cstheme="majorBidi"/>
            </w:rPr>
            <w:t>1.8. BioBricks</w:t>
          </w:r>
          <w:r w:rsidRPr="00AF305B">
            <w:rPr>
              <w:rFonts w:asciiTheme="majorBidi" w:hAnsiTheme="majorBidi" w:cstheme="majorBidi"/>
            </w:rPr>
            <w:ptab w:relativeTo="margin" w:alignment="right" w:leader="dot"/>
          </w:r>
          <w:r w:rsidR="00FE3FB5">
            <w:rPr>
              <w:rFonts w:asciiTheme="majorBidi" w:hAnsiTheme="majorBidi" w:cstheme="majorBidi"/>
            </w:rPr>
            <w:t>22</w:t>
          </w:r>
        </w:p>
        <w:p w14:paraId="7115DC79" w14:textId="0C9568F4" w:rsidR="008C342E" w:rsidRDefault="008C342E" w:rsidP="008C342E">
          <w:pPr>
            <w:pStyle w:val="TOC2"/>
            <w:numPr>
              <w:ilvl w:val="0"/>
              <w:numId w:val="238"/>
            </w:numPr>
            <w:tabs>
              <w:tab w:val="clear" w:pos="9356"/>
            </w:tabs>
            <w:spacing w:before="0" w:after="100" w:line="259" w:lineRule="auto"/>
            <w:jc w:val="left"/>
            <w:rPr>
              <w:rFonts w:asciiTheme="majorBidi" w:hAnsiTheme="majorBidi" w:cstheme="majorBidi"/>
            </w:rPr>
          </w:pPr>
          <w:r w:rsidRPr="00AF305B">
            <w:rPr>
              <w:rFonts w:asciiTheme="majorBidi" w:hAnsiTheme="majorBidi" w:cstheme="majorBidi"/>
            </w:rPr>
            <w:t>Areas of Synthetic Biology Research</w:t>
          </w:r>
          <w:r w:rsidRPr="00AF305B">
            <w:rPr>
              <w:rFonts w:asciiTheme="majorBidi" w:hAnsiTheme="majorBidi" w:cstheme="majorBidi"/>
            </w:rPr>
            <w:ptab w:relativeTo="margin" w:alignment="right" w:leader="dot"/>
          </w:r>
          <w:r w:rsidR="00FE3FB5">
            <w:rPr>
              <w:rFonts w:asciiTheme="majorBidi" w:hAnsiTheme="majorBidi" w:cstheme="majorBidi"/>
            </w:rPr>
            <w:t>2</w:t>
          </w:r>
          <w:r w:rsidR="00592D03">
            <w:rPr>
              <w:rFonts w:asciiTheme="majorBidi" w:hAnsiTheme="majorBidi" w:cstheme="majorBidi"/>
            </w:rPr>
            <w:t>3</w:t>
          </w:r>
        </w:p>
        <w:p w14:paraId="6EB80876" w14:textId="11D27BD5" w:rsidR="008C342E" w:rsidRDefault="008C342E" w:rsidP="008C342E">
          <w:pPr>
            <w:spacing w:after="100" w:line="259" w:lineRule="auto"/>
            <w:ind w:left="360" w:firstLine="720"/>
            <w:rPr>
              <w:rFonts w:asciiTheme="majorBidi" w:hAnsiTheme="majorBidi" w:cstheme="majorBidi"/>
            </w:rPr>
          </w:pPr>
          <w:r>
            <w:rPr>
              <w:rFonts w:asciiTheme="majorBidi" w:hAnsiTheme="majorBidi" w:cstheme="majorBidi"/>
            </w:rPr>
            <w:t xml:space="preserve">2.1. </w:t>
          </w:r>
          <w:r w:rsidRPr="00091D25">
            <w:rPr>
              <w:rFonts w:asciiTheme="majorBidi" w:hAnsiTheme="majorBidi" w:cstheme="majorBidi"/>
            </w:rPr>
            <w:t>DNA- and RNA-based circuits</w:t>
          </w:r>
          <w:r w:rsidRPr="00AF305B">
            <w:rPr>
              <w:rFonts w:asciiTheme="majorBidi" w:hAnsiTheme="majorBidi" w:cstheme="majorBidi"/>
            </w:rPr>
            <w:ptab w:relativeTo="margin" w:alignment="right" w:leader="dot"/>
          </w:r>
          <w:r w:rsidR="00FE3FB5">
            <w:rPr>
              <w:rFonts w:asciiTheme="majorBidi" w:hAnsiTheme="majorBidi" w:cstheme="majorBidi"/>
            </w:rPr>
            <w:t>2</w:t>
          </w:r>
          <w:r w:rsidR="00592D03">
            <w:rPr>
              <w:rFonts w:asciiTheme="majorBidi" w:hAnsiTheme="majorBidi" w:cstheme="majorBidi"/>
            </w:rPr>
            <w:t>3</w:t>
          </w:r>
        </w:p>
        <w:p w14:paraId="25299679" w14:textId="45B9F042" w:rsidR="008C342E" w:rsidRPr="00091D25" w:rsidRDefault="008C342E" w:rsidP="008C342E">
          <w:pPr>
            <w:spacing w:after="100" w:line="259" w:lineRule="auto"/>
            <w:ind w:left="360" w:firstLine="720"/>
          </w:pPr>
          <w:r>
            <w:rPr>
              <w:rFonts w:asciiTheme="majorBidi" w:hAnsiTheme="majorBidi" w:cstheme="majorBidi"/>
            </w:rPr>
            <w:t>2.2. Protein engineering</w:t>
          </w:r>
          <w:r w:rsidRPr="00AF305B">
            <w:rPr>
              <w:rFonts w:asciiTheme="majorBidi" w:hAnsiTheme="majorBidi" w:cstheme="majorBidi"/>
            </w:rPr>
            <w:ptab w:relativeTo="margin" w:alignment="right" w:leader="dot"/>
          </w:r>
          <w:r w:rsidR="00FE3FB5">
            <w:rPr>
              <w:rFonts w:asciiTheme="majorBidi" w:hAnsiTheme="majorBidi" w:cstheme="majorBidi"/>
            </w:rPr>
            <w:t>2</w:t>
          </w:r>
          <w:r w:rsidR="00592D03">
            <w:rPr>
              <w:rFonts w:asciiTheme="majorBidi" w:hAnsiTheme="majorBidi" w:cstheme="majorBidi"/>
            </w:rPr>
            <w:t>4</w:t>
          </w:r>
        </w:p>
        <w:p w14:paraId="477E6052" w14:textId="282AC16A" w:rsidR="008C342E" w:rsidRPr="00091D25" w:rsidRDefault="008C342E" w:rsidP="008C342E">
          <w:pPr>
            <w:spacing w:after="100" w:line="259" w:lineRule="auto"/>
            <w:ind w:left="360" w:firstLine="720"/>
          </w:pPr>
          <w:r>
            <w:rPr>
              <w:rFonts w:asciiTheme="majorBidi" w:hAnsiTheme="majorBidi" w:cstheme="majorBidi"/>
            </w:rPr>
            <w:t>2.3. Metabolic pathway engineering</w:t>
          </w:r>
          <w:r w:rsidRPr="00AF305B">
            <w:rPr>
              <w:rFonts w:asciiTheme="majorBidi" w:hAnsiTheme="majorBidi" w:cstheme="majorBidi"/>
            </w:rPr>
            <w:ptab w:relativeTo="margin" w:alignment="right" w:leader="dot"/>
          </w:r>
          <w:r w:rsidR="00FE3FB5">
            <w:rPr>
              <w:rFonts w:asciiTheme="majorBidi" w:hAnsiTheme="majorBidi" w:cstheme="majorBidi"/>
            </w:rPr>
            <w:t>2</w:t>
          </w:r>
          <w:r w:rsidR="00072E79">
            <w:rPr>
              <w:rFonts w:asciiTheme="majorBidi" w:hAnsiTheme="majorBidi" w:cstheme="majorBidi"/>
            </w:rPr>
            <w:t>5</w:t>
          </w:r>
        </w:p>
        <w:p w14:paraId="564204C0" w14:textId="4DA9E93C" w:rsidR="008C342E" w:rsidRPr="00091D25" w:rsidRDefault="008C342E" w:rsidP="008C342E">
          <w:pPr>
            <w:spacing w:after="100" w:line="259" w:lineRule="auto"/>
            <w:ind w:left="360" w:firstLine="720"/>
          </w:pPr>
          <w:r>
            <w:rPr>
              <w:rFonts w:asciiTheme="majorBidi" w:hAnsiTheme="majorBidi" w:cstheme="majorBidi"/>
            </w:rPr>
            <w:t>2.4. Genome-level engineering</w:t>
          </w:r>
          <w:r w:rsidRPr="00AF305B">
            <w:rPr>
              <w:rFonts w:asciiTheme="majorBidi" w:hAnsiTheme="majorBidi" w:cstheme="majorBidi"/>
            </w:rPr>
            <w:ptab w:relativeTo="margin" w:alignment="right" w:leader="dot"/>
          </w:r>
          <w:r w:rsidR="00FE3FB5">
            <w:rPr>
              <w:rFonts w:asciiTheme="majorBidi" w:hAnsiTheme="majorBidi" w:cstheme="majorBidi"/>
            </w:rPr>
            <w:t>2</w:t>
          </w:r>
          <w:r w:rsidR="00072E79">
            <w:rPr>
              <w:rFonts w:asciiTheme="majorBidi" w:hAnsiTheme="majorBidi" w:cstheme="majorBidi"/>
            </w:rPr>
            <w:t>6</w:t>
          </w:r>
        </w:p>
        <w:p w14:paraId="3DBD2738" w14:textId="70D8DCFD" w:rsidR="008C342E" w:rsidRPr="00091D25" w:rsidRDefault="008C342E" w:rsidP="008C342E">
          <w:pPr>
            <w:spacing w:after="100" w:line="259" w:lineRule="auto"/>
            <w:ind w:left="360" w:firstLine="720"/>
          </w:pPr>
          <w:r>
            <w:rPr>
              <w:rFonts w:asciiTheme="majorBidi" w:hAnsiTheme="majorBidi" w:cstheme="majorBidi"/>
            </w:rPr>
            <w:t>2.5. Protocell or minimal cell construction</w:t>
          </w:r>
          <w:r w:rsidRPr="00AF305B">
            <w:rPr>
              <w:rFonts w:asciiTheme="majorBidi" w:hAnsiTheme="majorBidi" w:cstheme="majorBidi"/>
            </w:rPr>
            <w:ptab w:relativeTo="margin" w:alignment="right" w:leader="dot"/>
          </w:r>
          <w:r w:rsidR="00FE3FB5">
            <w:rPr>
              <w:rFonts w:asciiTheme="majorBidi" w:hAnsiTheme="majorBidi" w:cstheme="majorBidi"/>
            </w:rPr>
            <w:t>2</w:t>
          </w:r>
          <w:r w:rsidR="00072E79">
            <w:rPr>
              <w:rFonts w:asciiTheme="majorBidi" w:hAnsiTheme="majorBidi" w:cstheme="majorBidi"/>
            </w:rPr>
            <w:t>7</w:t>
          </w:r>
        </w:p>
        <w:p w14:paraId="1C9677A5" w14:textId="64252678" w:rsidR="008C342E" w:rsidRPr="00091D25" w:rsidRDefault="008C342E" w:rsidP="008C342E">
          <w:pPr>
            <w:spacing w:after="100" w:line="259" w:lineRule="auto"/>
            <w:ind w:left="360" w:firstLine="720"/>
          </w:pPr>
          <w:r>
            <w:rPr>
              <w:rFonts w:asciiTheme="majorBidi" w:hAnsiTheme="majorBidi" w:cstheme="majorBidi"/>
            </w:rPr>
            <w:t>2.6. Xenobiology</w:t>
          </w:r>
          <w:r w:rsidRPr="00AF305B">
            <w:rPr>
              <w:rFonts w:asciiTheme="majorBidi" w:hAnsiTheme="majorBidi" w:cstheme="majorBidi"/>
            </w:rPr>
            <w:ptab w:relativeTo="margin" w:alignment="right" w:leader="dot"/>
          </w:r>
          <w:r w:rsidR="00FE3FB5">
            <w:rPr>
              <w:rFonts w:asciiTheme="majorBidi" w:hAnsiTheme="majorBidi" w:cstheme="majorBidi"/>
            </w:rPr>
            <w:t>2</w:t>
          </w:r>
          <w:r w:rsidR="00072E79">
            <w:rPr>
              <w:rFonts w:asciiTheme="majorBidi" w:hAnsiTheme="majorBidi" w:cstheme="majorBidi"/>
            </w:rPr>
            <w:t>7</w:t>
          </w:r>
        </w:p>
        <w:p w14:paraId="5378C8C9" w14:textId="74FBDEE5" w:rsidR="008C342E" w:rsidRDefault="008C342E" w:rsidP="008C342E">
          <w:pPr>
            <w:spacing w:after="100" w:line="259" w:lineRule="auto"/>
            <w:ind w:left="360" w:firstLine="720"/>
            <w:rPr>
              <w:rFonts w:asciiTheme="majorBidi" w:hAnsiTheme="majorBidi" w:cstheme="majorBidi"/>
            </w:rPr>
          </w:pPr>
          <w:r>
            <w:rPr>
              <w:rFonts w:asciiTheme="majorBidi" w:hAnsiTheme="majorBidi" w:cstheme="majorBidi"/>
            </w:rPr>
            <w:t>2.7. Cell-free systems</w:t>
          </w:r>
          <w:r w:rsidRPr="00AF305B">
            <w:rPr>
              <w:rFonts w:asciiTheme="majorBidi" w:hAnsiTheme="majorBidi" w:cstheme="majorBidi"/>
            </w:rPr>
            <w:ptab w:relativeTo="margin" w:alignment="right" w:leader="dot"/>
          </w:r>
          <w:r w:rsidR="00FE3FB5">
            <w:rPr>
              <w:rFonts w:asciiTheme="majorBidi" w:hAnsiTheme="majorBidi" w:cstheme="majorBidi"/>
            </w:rPr>
            <w:t>2</w:t>
          </w:r>
          <w:r w:rsidR="00072E79">
            <w:rPr>
              <w:rFonts w:asciiTheme="majorBidi" w:hAnsiTheme="majorBidi" w:cstheme="majorBidi"/>
            </w:rPr>
            <w:t>8</w:t>
          </w:r>
        </w:p>
        <w:p w14:paraId="5BBBAAAC" w14:textId="6C48084C" w:rsidR="008C342E" w:rsidRDefault="008C342E" w:rsidP="008C342E">
          <w:pPr>
            <w:pStyle w:val="TOC2"/>
            <w:numPr>
              <w:ilvl w:val="0"/>
              <w:numId w:val="238"/>
            </w:numPr>
            <w:tabs>
              <w:tab w:val="clear" w:pos="9356"/>
            </w:tabs>
            <w:spacing w:before="0" w:after="100" w:line="259" w:lineRule="auto"/>
            <w:jc w:val="left"/>
            <w:rPr>
              <w:rFonts w:asciiTheme="majorBidi" w:hAnsiTheme="majorBidi" w:cstheme="majorBidi"/>
            </w:rPr>
          </w:pPr>
          <w:r>
            <w:rPr>
              <w:rFonts w:asciiTheme="majorBidi" w:hAnsiTheme="majorBidi" w:cstheme="majorBidi"/>
            </w:rPr>
            <w:t>Applications and Products of</w:t>
          </w:r>
          <w:r w:rsidRPr="00AF305B">
            <w:rPr>
              <w:rFonts w:asciiTheme="majorBidi" w:hAnsiTheme="majorBidi" w:cstheme="majorBidi"/>
            </w:rPr>
            <w:t xml:space="preserve"> Synthetic Biology</w:t>
          </w:r>
          <w:r w:rsidRPr="00AF305B">
            <w:rPr>
              <w:rFonts w:asciiTheme="majorBidi" w:hAnsiTheme="majorBidi" w:cstheme="majorBidi"/>
            </w:rPr>
            <w:ptab w:relativeTo="margin" w:alignment="right" w:leader="dot"/>
          </w:r>
          <w:r w:rsidR="00FE3FB5">
            <w:rPr>
              <w:rFonts w:asciiTheme="majorBidi" w:hAnsiTheme="majorBidi" w:cstheme="majorBidi"/>
            </w:rPr>
            <w:t>2</w:t>
          </w:r>
          <w:r w:rsidR="00072E79">
            <w:rPr>
              <w:rFonts w:asciiTheme="majorBidi" w:hAnsiTheme="majorBidi" w:cstheme="majorBidi"/>
            </w:rPr>
            <w:t>9</w:t>
          </w:r>
        </w:p>
        <w:p w14:paraId="498F78A7" w14:textId="0A6232C1" w:rsidR="008C342E" w:rsidRDefault="008C342E" w:rsidP="008C342E">
          <w:pPr>
            <w:pStyle w:val="ListParagraph"/>
            <w:spacing w:after="100" w:line="259" w:lineRule="auto"/>
            <w:ind w:left="1080"/>
            <w:contextualSpacing w:val="0"/>
            <w:rPr>
              <w:rFonts w:asciiTheme="majorBidi" w:hAnsiTheme="majorBidi" w:cstheme="majorBidi"/>
            </w:rPr>
          </w:pPr>
          <w:r>
            <w:rPr>
              <w:rFonts w:asciiTheme="majorBidi" w:hAnsiTheme="majorBidi" w:cstheme="majorBidi"/>
            </w:rPr>
            <w:t>3</w:t>
          </w:r>
          <w:r w:rsidRPr="00091D25">
            <w:rPr>
              <w:rFonts w:asciiTheme="majorBidi" w:hAnsiTheme="majorBidi" w:cstheme="majorBidi"/>
            </w:rPr>
            <w:t>.</w:t>
          </w:r>
          <w:r>
            <w:rPr>
              <w:rFonts w:asciiTheme="majorBidi" w:hAnsiTheme="majorBidi" w:cstheme="majorBidi"/>
            </w:rPr>
            <w:t>1.</w:t>
          </w:r>
          <w:r w:rsidRPr="00091D25">
            <w:rPr>
              <w:rFonts w:asciiTheme="majorBidi" w:hAnsiTheme="majorBidi" w:cstheme="majorBidi"/>
            </w:rPr>
            <w:t xml:space="preserve"> </w:t>
          </w:r>
          <w:r>
            <w:rPr>
              <w:rFonts w:asciiTheme="majorBidi" w:hAnsiTheme="majorBidi" w:cstheme="majorBidi"/>
            </w:rPr>
            <w:t>Synthetic biology applications in unmanaged or wild settings</w:t>
          </w:r>
          <w:r w:rsidRPr="00AF305B">
            <w:ptab w:relativeTo="margin" w:alignment="right" w:leader="dot"/>
          </w:r>
          <w:r w:rsidR="00FE3FB5">
            <w:rPr>
              <w:rFonts w:asciiTheme="majorBidi" w:hAnsiTheme="majorBidi" w:cstheme="majorBidi"/>
            </w:rPr>
            <w:t>29</w:t>
          </w:r>
        </w:p>
        <w:p w14:paraId="2014754A" w14:textId="3565634E"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3.1.1. Commercially available</w:t>
          </w:r>
          <w:r w:rsidRPr="00AF305B">
            <w:rPr>
              <w:rFonts w:asciiTheme="majorBidi" w:hAnsiTheme="majorBidi" w:cstheme="majorBidi"/>
            </w:rPr>
            <w:ptab w:relativeTo="margin" w:alignment="right" w:leader="dot"/>
          </w:r>
          <w:r w:rsidR="00FE3FB5">
            <w:rPr>
              <w:rFonts w:asciiTheme="majorBidi" w:hAnsiTheme="majorBidi" w:cstheme="majorBidi"/>
            </w:rPr>
            <w:t>29</w:t>
          </w:r>
        </w:p>
        <w:p w14:paraId="4BE44A76" w14:textId="3010EFF6"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3.1.2. Advanced development</w:t>
          </w:r>
          <w:r w:rsidRPr="00AF305B">
            <w:rPr>
              <w:rFonts w:asciiTheme="majorBidi" w:hAnsiTheme="majorBidi" w:cstheme="majorBidi"/>
            </w:rPr>
            <w:ptab w:relativeTo="margin" w:alignment="right" w:leader="dot"/>
          </w:r>
          <w:r w:rsidR="00FE3FB5">
            <w:rPr>
              <w:rFonts w:asciiTheme="majorBidi" w:hAnsiTheme="majorBidi" w:cstheme="majorBidi"/>
            </w:rPr>
            <w:t>29</w:t>
          </w:r>
        </w:p>
        <w:p w14:paraId="10095BA6" w14:textId="05576E3C"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3.1.3. Research</w:t>
          </w:r>
          <w:r w:rsidRPr="00AF305B">
            <w:rPr>
              <w:rFonts w:asciiTheme="majorBidi" w:hAnsiTheme="majorBidi" w:cstheme="majorBidi"/>
            </w:rPr>
            <w:ptab w:relativeTo="margin" w:alignment="right" w:leader="dot"/>
          </w:r>
          <w:r w:rsidR="00072E79">
            <w:rPr>
              <w:rFonts w:asciiTheme="majorBidi" w:hAnsiTheme="majorBidi" w:cstheme="majorBidi"/>
            </w:rPr>
            <w:t>30</w:t>
          </w:r>
        </w:p>
        <w:p w14:paraId="520DAD6B" w14:textId="79989FEB" w:rsidR="008C342E" w:rsidRDefault="008C342E" w:rsidP="008C342E">
          <w:pPr>
            <w:spacing w:after="100" w:line="259" w:lineRule="auto"/>
            <w:ind w:left="720" w:firstLine="360"/>
            <w:rPr>
              <w:rFonts w:asciiTheme="majorBidi" w:hAnsiTheme="majorBidi" w:cstheme="majorBidi"/>
            </w:rPr>
          </w:pPr>
          <w:r>
            <w:rPr>
              <w:rFonts w:asciiTheme="majorBidi" w:hAnsiTheme="majorBidi" w:cstheme="majorBidi"/>
            </w:rPr>
            <w:t>3</w:t>
          </w:r>
          <w:r w:rsidRPr="00091D25">
            <w:rPr>
              <w:rFonts w:asciiTheme="majorBidi" w:hAnsiTheme="majorBidi" w:cstheme="majorBidi"/>
            </w:rPr>
            <w:t>.</w:t>
          </w:r>
          <w:r>
            <w:rPr>
              <w:rFonts w:asciiTheme="majorBidi" w:hAnsiTheme="majorBidi" w:cstheme="majorBidi"/>
            </w:rPr>
            <w:t>2.</w:t>
          </w:r>
          <w:r w:rsidRPr="00091D25">
            <w:rPr>
              <w:rFonts w:asciiTheme="majorBidi" w:hAnsiTheme="majorBidi" w:cstheme="majorBidi"/>
            </w:rPr>
            <w:t xml:space="preserve"> </w:t>
          </w:r>
          <w:r>
            <w:rPr>
              <w:rFonts w:asciiTheme="majorBidi" w:hAnsiTheme="majorBidi" w:cstheme="majorBidi"/>
            </w:rPr>
            <w:t>Synthetic biology applications in semi-managed, managed, or urban settings</w:t>
          </w:r>
          <w:r w:rsidRPr="00AF305B">
            <w:ptab w:relativeTo="margin" w:alignment="right" w:leader="dot"/>
          </w:r>
          <w:r w:rsidR="001535C0">
            <w:rPr>
              <w:rFonts w:asciiTheme="majorBidi" w:hAnsiTheme="majorBidi" w:cstheme="majorBidi"/>
            </w:rPr>
            <w:t>3</w:t>
          </w:r>
          <w:r w:rsidR="00072E79">
            <w:rPr>
              <w:rFonts w:asciiTheme="majorBidi" w:hAnsiTheme="majorBidi" w:cstheme="majorBidi"/>
            </w:rPr>
            <w:t>1</w:t>
          </w:r>
        </w:p>
        <w:p w14:paraId="71C2D1F6" w14:textId="6A0316D7"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3.2.1. Commercially available</w:t>
          </w:r>
          <w:r w:rsidRPr="00AF305B">
            <w:rPr>
              <w:rFonts w:asciiTheme="majorBidi" w:hAnsiTheme="majorBidi" w:cstheme="majorBidi"/>
            </w:rPr>
            <w:ptab w:relativeTo="margin" w:alignment="right" w:leader="dot"/>
          </w:r>
          <w:r w:rsidR="001535C0">
            <w:rPr>
              <w:rFonts w:asciiTheme="majorBidi" w:hAnsiTheme="majorBidi" w:cstheme="majorBidi"/>
            </w:rPr>
            <w:t>3</w:t>
          </w:r>
          <w:r w:rsidR="00072E79">
            <w:rPr>
              <w:rFonts w:asciiTheme="majorBidi" w:hAnsiTheme="majorBidi" w:cstheme="majorBidi"/>
            </w:rPr>
            <w:t>1</w:t>
          </w:r>
        </w:p>
        <w:p w14:paraId="59FDC061" w14:textId="0AD06BA3"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3.2.2. Advanced development</w:t>
          </w:r>
          <w:r w:rsidRPr="00AF305B">
            <w:rPr>
              <w:rFonts w:asciiTheme="majorBidi" w:hAnsiTheme="majorBidi" w:cstheme="majorBidi"/>
            </w:rPr>
            <w:ptab w:relativeTo="margin" w:alignment="right" w:leader="dot"/>
          </w:r>
          <w:r w:rsidR="001535C0">
            <w:rPr>
              <w:rFonts w:asciiTheme="majorBidi" w:hAnsiTheme="majorBidi" w:cstheme="majorBidi"/>
            </w:rPr>
            <w:t>31</w:t>
          </w:r>
        </w:p>
        <w:p w14:paraId="76CA265F" w14:textId="3F4A05AF"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3.2.3. Research</w:t>
          </w:r>
          <w:r w:rsidRPr="00AF305B">
            <w:rPr>
              <w:rFonts w:asciiTheme="majorBidi" w:hAnsiTheme="majorBidi" w:cstheme="majorBidi"/>
            </w:rPr>
            <w:ptab w:relativeTo="margin" w:alignment="right" w:leader="dot"/>
          </w:r>
          <w:r w:rsidR="001535C0">
            <w:rPr>
              <w:rFonts w:asciiTheme="majorBidi" w:hAnsiTheme="majorBidi" w:cstheme="majorBidi"/>
            </w:rPr>
            <w:t>3</w:t>
          </w:r>
          <w:r w:rsidR="00935414">
            <w:rPr>
              <w:rFonts w:asciiTheme="majorBidi" w:hAnsiTheme="majorBidi" w:cstheme="majorBidi"/>
            </w:rPr>
            <w:t>3</w:t>
          </w:r>
        </w:p>
        <w:p w14:paraId="442F023F" w14:textId="09AAFB28" w:rsidR="008C342E" w:rsidRDefault="008C342E" w:rsidP="008C342E">
          <w:pPr>
            <w:spacing w:after="100" w:line="259" w:lineRule="auto"/>
            <w:ind w:left="720" w:firstLine="360"/>
            <w:rPr>
              <w:rFonts w:asciiTheme="majorBidi" w:hAnsiTheme="majorBidi" w:cstheme="majorBidi"/>
            </w:rPr>
          </w:pPr>
          <w:r>
            <w:rPr>
              <w:rFonts w:asciiTheme="majorBidi" w:hAnsiTheme="majorBidi" w:cstheme="majorBidi"/>
            </w:rPr>
            <w:t>3</w:t>
          </w:r>
          <w:r w:rsidRPr="00091D25">
            <w:rPr>
              <w:rFonts w:asciiTheme="majorBidi" w:hAnsiTheme="majorBidi" w:cstheme="majorBidi"/>
            </w:rPr>
            <w:t>.</w:t>
          </w:r>
          <w:r>
            <w:rPr>
              <w:rFonts w:asciiTheme="majorBidi" w:hAnsiTheme="majorBidi" w:cstheme="majorBidi"/>
            </w:rPr>
            <w:t>3.</w:t>
          </w:r>
          <w:r w:rsidRPr="00091D25">
            <w:rPr>
              <w:rFonts w:asciiTheme="majorBidi" w:hAnsiTheme="majorBidi" w:cstheme="majorBidi"/>
            </w:rPr>
            <w:t xml:space="preserve"> </w:t>
          </w:r>
          <w:r>
            <w:rPr>
              <w:rFonts w:asciiTheme="majorBidi" w:hAnsiTheme="majorBidi" w:cstheme="majorBidi"/>
            </w:rPr>
            <w:t>Synthetic biology applications in containment, industrial processes, or laboratory settings</w:t>
          </w:r>
          <w:r w:rsidRPr="00AF305B">
            <w:ptab w:relativeTo="margin" w:alignment="right" w:leader="dot"/>
          </w:r>
          <w:r w:rsidR="001535C0">
            <w:rPr>
              <w:rFonts w:asciiTheme="majorBidi" w:hAnsiTheme="majorBidi" w:cstheme="majorBidi"/>
            </w:rPr>
            <w:t>34</w:t>
          </w:r>
        </w:p>
        <w:p w14:paraId="5A760EEA" w14:textId="4C4D5209"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3.3.1. Commercially available</w:t>
          </w:r>
          <w:r w:rsidRPr="00AF305B">
            <w:rPr>
              <w:rFonts w:asciiTheme="majorBidi" w:hAnsiTheme="majorBidi" w:cstheme="majorBidi"/>
            </w:rPr>
            <w:ptab w:relativeTo="margin" w:alignment="right" w:leader="dot"/>
          </w:r>
          <w:r w:rsidR="001535C0">
            <w:rPr>
              <w:rFonts w:asciiTheme="majorBidi" w:hAnsiTheme="majorBidi" w:cstheme="majorBidi"/>
            </w:rPr>
            <w:t>34</w:t>
          </w:r>
        </w:p>
        <w:p w14:paraId="7E2713A6" w14:textId="5842B8EB"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3.3.2. Advanced development</w:t>
          </w:r>
          <w:r w:rsidRPr="00AF305B">
            <w:rPr>
              <w:rFonts w:asciiTheme="majorBidi" w:hAnsiTheme="majorBidi" w:cstheme="majorBidi"/>
            </w:rPr>
            <w:ptab w:relativeTo="margin" w:alignment="right" w:leader="dot"/>
          </w:r>
          <w:r w:rsidR="001535C0">
            <w:rPr>
              <w:rFonts w:asciiTheme="majorBidi" w:hAnsiTheme="majorBidi" w:cstheme="majorBidi"/>
            </w:rPr>
            <w:t>3</w:t>
          </w:r>
          <w:r w:rsidR="00935414">
            <w:rPr>
              <w:rFonts w:asciiTheme="majorBidi" w:hAnsiTheme="majorBidi" w:cstheme="majorBidi"/>
            </w:rPr>
            <w:t>7</w:t>
          </w:r>
        </w:p>
        <w:p w14:paraId="3C29D60B" w14:textId="76177998"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3.3.3. Research</w:t>
          </w:r>
          <w:r w:rsidRPr="00AF305B">
            <w:rPr>
              <w:rFonts w:asciiTheme="majorBidi" w:hAnsiTheme="majorBidi" w:cstheme="majorBidi"/>
            </w:rPr>
            <w:ptab w:relativeTo="margin" w:alignment="right" w:leader="dot"/>
          </w:r>
          <w:r w:rsidR="001535C0">
            <w:rPr>
              <w:rFonts w:asciiTheme="majorBidi" w:hAnsiTheme="majorBidi" w:cstheme="majorBidi"/>
            </w:rPr>
            <w:t>3</w:t>
          </w:r>
          <w:r w:rsidR="00935414">
            <w:rPr>
              <w:rFonts w:asciiTheme="majorBidi" w:hAnsiTheme="majorBidi" w:cstheme="majorBidi"/>
            </w:rPr>
            <w:t>8</w:t>
          </w:r>
        </w:p>
        <w:p w14:paraId="2C053EE3" w14:textId="586A9ECA" w:rsidR="008C342E" w:rsidRDefault="008C342E" w:rsidP="008C342E">
          <w:pPr>
            <w:spacing w:after="100" w:line="259" w:lineRule="auto"/>
            <w:ind w:left="720" w:firstLine="360"/>
            <w:rPr>
              <w:rFonts w:asciiTheme="majorBidi" w:hAnsiTheme="majorBidi" w:cstheme="majorBidi"/>
            </w:rPr>
          </w:pPr>
          <w:r>
            <w:rPr>
              <w:rFonts w:asciiTheme="majorBidi" w:hAnsiTheme="majorBidi" w:cstheme="majorBidi"/>
            </w:rPr>
            <w:lastRenderedPageBreak/>
            <w:t>3</w:t>
          </w:r>
          <w:r w:rsidRPr="00091D25">
            <w:rPr>
              <w:rFonts w:asciiTheme="majorBidi" w:hAnsiTheme="majorBidi" w:cstheme="majorBidi"/>
            </w:rPr>
            <w:t>.</w:t>
          </w:r>
          <w:r>
            <w:rPr>
              <w:rFonts w:asciiTheme="majorBidi" w:hAnsiTheme="majorBidi" w:cstheme="majorBidi"/>
            </w:rPr>
            <w:t>4.</w:t>
          </w:r>
          <w:r w:rsidRPr="00091D25">
            <w:rPr>
              <w:rFonts w:asciiTheme="majorBidi" w:hAnsiTheme="majorBidi" w:cstheme="majorBidi"/>
            </w:rPr>
            <w:t xml:space="preserve"> </w:t>
          </w:r>
          <w:r>
            <w:rPr>
              <w:rFonts w:asciiTheme="majorBidi" w:hAnsiTheme="majorBidi" w:cstheme="majorBidi"/>
            </w:rPr>
            <w:t>Changes in Synthetic Biology applications and products since 2015</w:t>
          </w:r>
          <w:r w:rsidRPr="00AF305B">
            <w:ptab w:relativeTo="margin" w:alignment="right" w:leader="dot"/>
          </w:r>
          <w:r w:rsidR="00935414">
            <w:rPr>
              <w:rFonts w:asciiTheme="majorBidi" w:hAnsiTheme="majorBidi" w:cstheme="majorBidi"/>
            </w:rPr>
            <w:t>40</w:t>
          </w:r>
        </w:p>
        <w:p w14:paraId="604A4A9A" w14:textId="14D9EDB0" w:rsidR="008C342E" w:rsidRDefault="008C342E" w:rsidP="008C342E">
          <w:pPr>
            <w:pStyle w:val="TOC1"/>
            <w:numPr>
              <w:ilvl w:val="0"/>
              <w:numId w:val="237"/>
            </w:numPr>
            <w:spacing w:before="0" w:after="100" w:line="259" w:lineRule="auto"/>
            <w:jc w:val="left"/>
            <w:rPr>
              <w:rFonts w:asciiTheme="majorBidi" w:hAnsiTheme="majorBidi" w:cstheme="majorBidi"/>
              <w:b/>
              <w:bCs/>
            </w:rPr>
          </w:pPr>
          <w:r>
            <w:rPr>
              <w:rFonts w:asciiTheme="majorBidi" w:hAnsiTheme="majorBidi" w:cstheme="majorBidi"/>
              <w:b/>
              <w:bCs/>
            </w:rPr>
            <w:t>POTENTIAL IMPACTS OF COMPONENTS, ORGANISMS AND PRODUCTS RESULTING FROM</w:t>
          </w:r>
          <w:r w:rsidRPr="00AF305B">
            <w:rPr>
              <w:rFonts w:asciiTheme="majorBidi" w:hAnsiTheme="majorBidi" w:cstheme="majorBidi"/>
              <w:b/>
              <w:bCs/>
            </w:rPr>
            <w:t xml:space="preserve"> SYNTHETIC BIOLOGY</w:t>
          </w:r>
          <w:r w:rsidRPr="00AF305B">
            <w:rPr>
              <w:rFonts w:asciiTheme="majorBidi" w:hAnsiTheme="majorBidi" w:cstheme="majorBidi"/>
            </w:rPr>
            <w:ptab w:relativeTo="margin" w:alignment="right" w:leader="dot"/>
          </w:r>
          <w:r w:rsidR="001535C0">
            <w:rPr>
              <w:rFonts w:asciiTheme="majorBidi" w:hAnsiTheme="majorBidi" w:cstheme="majorBidi"/>
            </w:rPr>
            <w:t>40</w:t>
          </w:r>
        </w:p>
        <w:p w14:paraId="1D1CE25E" w14:textId="17A75D1D" w:rsidR="008C342E" w:rsidRDefault="008C342E" w:rsidP="008C342E">
          <w:pPr>
            <w:pStyle w:val="TOC2"/>
            <w:numPr>
              <w:ilvl w:val="0"/>
              <w:numId w:val="238"/>
            </w:numPr>
            <w:tabs>
              <w:tab w:val="clear" w:pos="9356"/>
            </w:tabs>
            <w:spacing w:before="0" w:after="100" w:line="259" w:lineRule="auto"/>
            <w:jc w:val="left"/>
            <w:rPr>
              <w:rFonts w:asciiTheme="majorBidi" w:hAnsiTheme="majorBidi" w:cstheme="majorBidi"/>
            </w:rPr>
          </w:pPr>
          <w:r>
            <w:rPr>
              <w:rFonts w:asciiTheme="majorBidi" w:hAnsiTheme="majorBidi" w:cstheme="majorBidi"/>
            </w:rPr>
            <w:t>Applications of</w:t>
          </w:r>
          <w:r w:rsidRPr="00AF305B">
            <w:rPr>
              <w:rFonts w:asciiTheme="majorBidi" w:hAnsiTheme="majorBidi" w:cstheme="majorBidi"/>
            </w:rPr>
            <w:t xml:space="preserve"> Synthetic Biology</w:t>
          </w:r>
          <w:r>
            <w:rPr>
              <w:rFonts w:asciiTheme="majorBidi" w:hAnsiTheme="majorBidi" w:cstheme="majorBidi"/>
            </w:rPr>
            <w:t xml:space="preserve"> and Their Potential Impacts on the Conservation and Sustainable Use of Biological Diversity</w:t>
          </w:r>
          <w:r w:rsidRPr="00AF305B">
            <w:rPr>
              <w:rFonts w:asciiTheme="majorBidi" w:hAnsiTheme="majorBidi" w:cstheme="majorBidi"/>
            </w:rPr>
            <w:ptab w:relativeTo="margin" w:alignment="right" w:leader="dot"/>
          </w:r>
          <w:r w:rsidR="001535C0">
            <w:rPr>
              <w:rFonts w:asciiTheme="majorBidi" w:hAnsiTheme="majorBidi" w:cstheme="majorBidi"/>
            </w:rPr>
            <w:t>4</w:t>
          </w:r>
          <w:r w:rsidR="00CA1724">
            <w:rPr>
              <w:rFonts w:asciiTheme="majorBidi" w:hAnsiTheme="majorBidi" w:cstheme="majorBidi"/>
            </w:rPr>
            <w:t>1</w:t>
          </w:r>
        </w:p>
        <w:p w14:paraId="7825039E" w14:textId="18632D95" w:rsidR="008C342E" w:rsidRDefault="008C342E" w:rsidP="008C342E">
          <w:pPr>
            <w:pStyle w:val="ListParagraph"/>
            <w:spacing w:after="100" w:line="259" w:lineRule="auto"/>
            <w:ind w:left="1080"/>
            <w:contextualSpacing w:val="0"/>
            <w:rPr>
              <w:rFonts w:asciiTheme="majorBidi" w:hAnsiTheme="majorBidi" w:cstheme="majorBidi"/>
            </w:rPr>
          </w:pPr>
          <w:r>
            <w:rPr>
              <w:rFonts w:asciiTheme="majorBidi" w:hAnsiTheme="majorBidi" w:cstheme="majorBidi"/>
            </w:rPr>
            <w:t>4</w:t>
          </w:r>
          <w:r w:rsidRPr="00091D25">
            <w:rPr>
              <w:rFonts w:asciiTheme="majorBidi" w:hAnsiTheme="majorBidi" w:cstheme="majorBidi"/>
            </w:rPr>
            <w:t>.</w:t>
          </w:r>
          <w:r>
            <w:rPr>
              <w:rFonts w:asciiTheme="majorBidi" w:hAnsiTheme="majorBidi" w:cstheme="majorBidi"/>
            </w:rPr>
            <w:t>1.</w:t>
          </w:r>
          <w:r w:rsidRPr="00091D25">
            <w:rPr>
              <w:rFonts w:asciiTheme="majorBidi" w:hAnsiTheme="majorBidi" w:cstheme="majorBidi"/>
            </w:rPr>
            <w:t xml:space="preserve"> </w:t>
          </w:r>
          <w:r>
            <w:rPr>
              <w:rFonts w:asciiTheme="majorBidi" w:hAnsiTheme="majorBidi" w:cstheme="majorBidi"/>
            </w:rPr>
            <w:t>Species elimination, suppression or displacement</w:t>
          </w:r>
          <w:r w:rsidRPr="00AF305B">
            <w:ptab w:relativeTo="margin" w:alignment="right" w:leader="dot"/>
          </w:r>
          <w:r w:rsidR="001535C0">
            <w:rPr>
              <w:rFonts w:asciiTheme="majorBidi" w:hAnsiTheme="majorBidi" w:cstheme="majorBidi"/>
            </w:rPr>
            <w:t>41</w:t>
          </w:r>
        </w:p>
        <w:p w14:paraId="3F08AB93" w14:textId="0D11FCDE" w:rsidR="008C342E" w:rsidRDefault="008C342E" w:rsidP="008C342E">
          <w:pPr>
            <w:spacing w:after="100" w:line="259" w:lineRule="auto"/>
            <w:ind w:left="360" w:firstLine="720"/>
            <w:rPr>
              <w:rFonts w:asciiTheme="majorBidi" w:hAnsiTheme="majorBidi" w:cstheme="majorBidi"/>
            </w:rPr>
          </w:pPr>
          <w:r w:rsidRPr="001C7D53">
            <w:rPr>
              <w:rFonts w:asciiTheme="majorBidi" w:hAnsiTheme="majorBidi" w:cstheme="majorBidi"/>
            </w:rPr>
            <w:t>4.</w:t>
          </w:r>
          <w:r>
            <w:rPr>
              <w:rFonts w:asciiTheme="majorBidi" w:hAnsiTheme="majorBidi" w:cstheme="majorBidi"/>
            </w:rPr>
            <w:t>2</w:t>
          </w:r>
          <w:r w:rsidRPr="001C7D53">
            <w:rPr>
              <w:rFonts w:asciiTheme="majorBidi" w:hAnsiTheme="majorBidi" w:cstheme="majorBidi"/>
            </w:rPr>
            <w:t xml:space="preserve">. </w:t>
          </w:r>
          <w:r>
            <w:rPr>
              <w:rFonts w:asciiTheme="majorBidi" w:hAnsiTheme="majorBidi" w:cstheme="majorBidi"/>
            </w:rPr>
            <w:t>Improved agricultural performance</w:t>
          </w:r>
          <w:r w:rsidRPr="00AF305B">
            <w:ptab w:relativeTo="margin" w:alignment="right" w:leader="dot"/>
          </w:r>
          <w:r w:rsidR="001535C0">
            <w:rPr>
              <w:rFonts w:asciiTheme="majorBidi" w:hAnsiTheme="majorBidi" w:cstheme="majorBidi"/>
            </w:rPr>
            <w:t>4</w:t>
          </w:r>
          <w:r w:rsidR="00CA1724">
            <w:rPr>
              <w:rFonts w:asciiTheme="majorBidi" w:hAnsiTheme="majorBidi" w:cstheme="majorBidi"/>
            </w:rPr>
            <w:t>4</w:t>
          </w:r>
        </w:p>
        <w:p w14:paraId="4AAB04E3" w14:textId="5D212163" w:rsidR="008C342E" w:rsidRDefault="008C342E" w:rsidP="008C342E">
          <w:pPr>
            <w:pStyle w:val="ListParagraph"/>
            <w:spacing w:after="100" w:line="259" w:lineRule="auto"/>
            <w:ind w:left="1080"/>
            <w:contextualSpacing w:val="0"/>
            <w:rPr>
              <w:rFonts w:asciiTheme="majorBidi" w:hAnsiTheme="majorBidi" w:cstheme="majorBidi"/>
            </w:rPr>
          </w:pPr>
          <w:r>
            <w:rPr>
              <w:rFonts w:asciiTheme="majorBidi" w:hAnsiTheme="majorBidi" w:cstheme="majorBidi"/>
            </w:rPr>
            <w:t>4</w:t>
          </w:r>
          <w:r w:rsidRPr="00091D25">
            <w:rPr>
              <w:rFonts w:asciiTheme="majorBidi" w:hAnsiTheme="majorBidi" w:cstheme="majorBidi"/>
            </w:rPr>
            <w:t>.</w:t>
          </w:r>
          <w:r>
            <w:rPr>
              <w:rFonts w:asciiTheme="majorBidi" w:hAnsiTheme="majorBidi" w:cstheme="majorBidi"/>
            </w:rPr>
            <w:t>3.</w:t>
          </w:r>
          <w:r w:rsidRPr="00091D25">
            <w:rPr>
              <w:rFonts w:asciiTheme="majorBidi" w:hAnsiTheme="majorBidi" w:cstheme="majorBidi"/>
            </w:rPr>
            <w:t xml:space="preserve"> </w:t>
          </w:r>
          <w:r>
            <w:rPr>
              <w:rFonts w:asciiTheme="majorBidi" w:hAnsiTheme="majorBidi" w:cstheme="majorBidi"/>
            </w:rPr>
            <w:t>Climate change and environmental solutions</w:t>
          </w:r>
          <w:r w:rsidRPr="00AF305B">
            <w:ptab w:relativeTo="margin" w:alignment="right" w:leader="dot"/>
          </w:r>
          <w:r w:rsidR="001535C0">
            <w:rPr>
              <w:rFonts w:asciiTheme="majorBidi" w:hAnsiTheme="majorBidi" w:cstheme="majorBidi"/>
            </w:rPr>
            <w:t>4</w:t>
          </w:r>
          <w:r w:rsidR="00CA1724">
            <w:rPr>
              <w:rFonts w:asciiTheme="majorBidi" w:hAnsiTheme="majorBidi" w:cstheme="majorBidi"/>
            </w:rPr>
            <w:t>5</w:t>
          </w:r>
        </w:p>
        <w:p w14:paraId="1DE7542E" w14:textId="4809592A" w:rsidR="008C342E" w:rsidRPr="007B2ECC" w:rsidRDefault="008C342E" w:rsidP="008C342E">
          <w:pPr>
            <w:spacing w:after="100" w:line="259" w:lineRule="auto"/>
            <w:ind w:left="360" w:firstLine="720"/>
            <w:rPr>
              <w:rFonts w:asciiTheme="majorBidi" w:hAnsiTheme="majorBidi" w:cstheme="majorBidi"/>
            </w:rPr>
          </w:pPr>
          <w:r w:rsidRPr="007B2ECC">
            <w:rPr>
              <w:rFonts w:asciiTheme="majorBidi" w:hAnsiTheme="majorBidi" w:cstheme="majorBidi"/>
            </w:rPr>
            <w:t>4.</w:t>
          </w:r>
          <w:r>
            <w:rPr>
              <w:rFonts w:asciiTheme="majorBidi" w:hAnsiTheme="majorBidi" w:cstheme="majorBidi"/>
            </w:rPr>
            <w:t>4</w:t>
          </w:r>
          <w:r w:rsidRPr="007B2ECC">
            <w:rPr>
              <w:rFonts w:asciiTheme="majorBidi" w:hAnsiTheme="majorBidi" w:cstheme="majorBidi"/>
            </w:rPr>
            <w:t xml:space="preserve">. </w:t>
          </w:r>
          <w:r>
            <w:rPr>
              <w:rFonts w:asciiTheme="majorBidi" w:hAnsiTheme="majorBidi" w:cstheme="majorBidi"/>
            </w:rPr>
            <w:t>Replacement of natural materials</w:t>
          </w:r>
          <w:r w:rsidRPr="00AF305B">
            <w:ptab w:relativeTo="margin" w:alignment="right" w:leader="dot"/>
          </w:r>
          <w:r w:rsidR="001535C0">
            <w:rPr>
              <w:rFonts w:asciiTheme="majorBidi" w:hAnsiTheme="majorBidi" w:cstheme="majorBidi"/>
            </w:rPr>
            <w:t>4</w:t>
          </w:r>
          <w:r w:rsidR="00CA1724">
            <w:rPr>
              <w:rFonts w:asciiTheme="majorBidi" w:hAnsiTheme="majorBidi" w:cstheme="majorBidi"/>
            </w:rPr>
            <w:t>7</w:t>
          </w:r>
        </w:p>
        <w:p w14:paraId="4E9528C6" w14:textId="16FC44A5" w:rsidR="008C342E" w:rsidRDefault="008C342E" w:rsidP="008C342E">
          <w:pPr>
            <w:spacing w:after="100" w:line="259" w:lineRule="auto"/>
            <w:ind w:firstLine="720"/>
            <w:rPr>
              <w:rFonts w:asciiTheme="majorBidi" w:hAnsiTheme="majorBidi" w:cstheme="majorBidi"/>
            </w:rPr>
          </w:pPr>
          <w:r w:rsidRPr="00AC7854">
            <w:rPr>
              <w:rFonts w:asciiTheme="majorBidi" w:hAnsiTheme="majorBidi" w:cstheme="majorBidi"/>
            </w:rPr>
            <w:t>5. Social, Economic and Cultural Concerns from Applications of Synthetic Biology</w:t>
          </w:r>
          <w:r w:rsidRPr="00AF305B">
            <w:ptab w:relativeTo="margin" w:alignment="right" w:leader="dot"/>
          </w:r>
          <w:r w:rsidR="007116DC">
            <w:rPr>
              <w:rFonts w:asciiTheme="majorBidi" w:hAnsiTheme="majorBidi" w:cstheme="majorBidi"/>
            </w:rPr>
            <w:t>47</w:t>
          </w:r>
        </w:p>
        <w:p w14:paraId="4B4A1962" w14:textId="2785EC20" w:rsidR="008C342E" w:rsidRDefault="008C342E" w:rsidP="008C342E">
          <w:pPr>
            <w:pStyle w:val="ListParagraph"/>
            <w:spacing w:after="100" w:line="259" w:lineRule="auto"/>
            <w:ind w:left="1080"/>
            <w:contextualSpacing w:val="0"/>
            <w:rPr>
              <w:rFonts w:asciiTheme="majorBidi" w:hAnsiTheme="majorBidi" w:cstheme="majorBidi"/>
            </w:rPr>
          </w:pPr>
          <w:r>
            <w:rPr>
              <w:rFonts w:asciiTheme="majorBidi" w:hAnsiTheme="majorBidi" w:cstheme="majorBidi"/>
            </w:rPr>
            <w:t>5</w:t>
          </w:r>
          <w:r w:rsidRPr="00091D25">
            <w:rPr>
              <w:rFonts w:asciiTheme="majorBidi" w:hAnsiTheme="majorBidi" w:cstheme="majorBidi"/>
            </w:rPr>
            <w:t>.</w:t>
          </w:r>
          <w:r>
            <w:rPr>
              <w:rFonts w:asciiTheme="majorBidi" w:hAnsiTheme="majorBidi" w:cstheme="majorBidi"/>
            </w:rPr>
            <w:t>1.</w:t>
          </w:r>
          <w:r w:rsidRPr="00091D25">
            <w:rPr>
              <w:rFonts w:asciiTheme="majorBidi" w:hAnsiTheme="majorBidi" w:cstheme="majorBidi"/>
            </w:rPr>
            <w:t xml:space="preserve"> </w:t>
          </w:r>
          <w:r>
            <w:rPr>
              <w:rFonts w:asciiTheme="majorBidi" w:hAnsiTheme="majorBidi" w:cstheme="majorBidi"/>
            </w:rPr>
            <w:t>Societal concerns</w:t>
          </w:r>
          <w:r w:rsidRPr="00AF305B">
            <w:ptab w:relativeTo="margin" w:alignment="right" w:leader="dot"/>
          </w:r>
          <w:r w:rsidR="007116DC">
            <w:rPr>
              <w:rFonts w:asciiTheme="majorBidi" w:hAnsiTheme="majorBidi" w:cstheme="majorBidi"/>
            </w:rPr>
            <w:t>4</w:t>
          </w:r>
          <w:r w:rsidR="00CA1724">
            <w:rPr>
              <w:rFonts w:asciiTheme="majorBidi" w:hAnsiTheme="majorBidi" w:cstheme="majorBidi"/>
            </w:rPr>
            <w:t>8</w:t>
          </w:r>
        </w:p>
        <w:p w14:paraId="74BC9C31" w14:textId="05BEF994"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 xml:space="preserve">5.1.1. </w:t>
          </w:r>
          <w:r w:rsidRPr="00F4046A">
            <w:rPr>
              <w:rFonts w:asciiTheme="majorBidi" w:hAnsiTheme="majorBidi" w:cstheme="majorBidi"/>
            </w:rPr>
            <w:t xml:space="preserve">Incorporating societal concerns into regulatory decision-making </w:t>
          </w:r>
          <w:r w:rsidRPr="00AF305B">
            <w:rPr>
              <w:rFonts w:asciiTheme="majorBidi" w:hAnsiTheme="majorBidi" w:cstheme="majorBidi"/>
            </w:rPr>
            <w:ptab w:relativeTo="margin" w:alignment="right" w:leader="dot"/>
          </w:r>
          <w:r w:rsidR="007116DC">
            <w:rPr>
              <w:rFonts w:asciiTheme="majorBidi" w:hAnsiTheme="majorBidi" w:cstheme="majorBidi"/>
            </w:rPr>
            <w:t>4</w:t>
          </w:r>
          <w:r w:rsidR="00CA1724">
            <w:rPr>
              <w:rFonts w:asciiTheme="majorBidi" w:hAnsiTheme="majorBidi" w:cstheme="majorBidi"/>
            </w:rPr>
            <w:t>8</w:t>
          </w:r>
        </w:p>
        <w:p w14:paraId="02C0EA9B" w14:textId="697316C6"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 xml:space="preserve">5.1.2. </w:t>
          </w:r>
          <w:r w:rsidRPr="002202FE">
            <w:rPr>
              <w:rFonts w:asciiTheme="majorBidi" w:hAnsiTheme="majorBidi" w:cstheme="majorBidi"/>
            </w:rPr>
            <w:t>Indigenous Peoples and Local Communities (IPLCs) and community engagement</w:t>
          </w:r>
          <w:r w:rsidRPr="00F4046A">
            <w:rPr>
              <w:rFonts w:asciiTheme="majorBidi" w:hAnsiTheme="majorBidi" w:cstheme="majorBidi"/>
            </w:rPr>
            <w:t xml:space="preserve"> </w:t>
          </w:r>
          <w:r w:rsidRPr="00AF305B">
            <w:rPr>
              <w:rFonts w:asciiTheme="majorBidi" w:hAnsiTheme="majorBidi" w:cstheme="majorBidi"/>
            </w:rPr>
            <w:ptab w:relativeTo="margin" w:alignment="right" w:leader="dot"/>
          </w:r>
          <w:r w:rsidR="007116DC">
            <w:rPr>
              <w:rFonts w:asciiTheme="majorBidi" w:hAnsiTheme="majorBidi" w:cstheme="majorBidi"/>
            </w:rPr>
            <w:t>4</w:t>
          </w:r>
          <w:r w:rsidR="00CA1724">
            <w:rPr>
              <w:rFonts w:asciiTheme="majorBidi" w:hAnsiTheme="majorBidi" w:cstheme="majorBidi"/>
            </w:rPr>
            <w:t>9</w:t>
          </w:r>
        </w:p>
        <w:p w14:paraId="3DF4F7E1" w14:textId="7A251DFF" w:rsidR="008C342E" w:rsidRDefault="008C342E" w:rsidP="008C342E">
          <w:pPr>
            <w:pStyle w:val="ListParagraph"/>
            <w:spacing w:after="100" w:line="259" w:lineRule="auto"/>
            <w:ind w:left="1080"/>
            <w:contextualSpacing w:val="0"/>
            <w:rPr>
              <w:rFonts w:asciiTheme="majorBidi" w:hAnsiTheme="majorBidi" w:cstheme="majorBidi"/>
            </w:rPr>
          </w:pPr>
          <w:r>
            <w:rPr>
              <w:rFonts w:asciiTheme="majorBidi" w:hAnsiTheme="majorBidi" w:cstheme="majorBidi"/>
            </w:rPr>
            <w:t>5</w:t>
          </w:r>
          <w:r w:rsidRPr="00091D25">
            <w:rPr>
              <w:rFonts w:asciiTheme="majorBidi" w:hAnsiTheme="majorBidi" w:cstheme="majorBidi"/>
            </w:rPr>
            <w:t>.</w:t>
          </w:r>
          <w:r>
            <w:rPr>
              <w:rFonts w:asciiTheme="majorBidi" w:hAnsiTheme="majorBidi" w:cstheme="majorBidi"/>
            </w:rPr>
            <w:t>2.</w:t>
          </w:r>
          <w:r w:rsidRPr="00091D25">
            <w:rPr>
              <w:rFonts w:asciiTheme="majorBidi" w:hAnsiTheme="majorBidi" w:cstheme="majorBidi"/>
            </w:rPr>
            <w:t xml:space="preserve"> </w:t>
          </w:r>
          <w:r>
            <w:rPr>
              <w:rFonts w:asciiTheme="majorBidi" w:hAnsiTheme="majorBidi" w:cstheme="majorBidi"/>
            </w:rPr>
            <w:t>Economic concerns</w:t>
          </w:r>
          <w:r w:rsidRPr="00AF305B">
            <w:ptab w:relativeTo="margin" w:alignment="right" w:leader="dot"/>
          </w:r>
          <w:r w:rsidR="007116DC">
            <w:rPr>
              <w:rFonts w:asciiTheme="majorBidi" w:hAnsiTheme="majorBidi" w:cstheme="majorBidi"/>
            </w:rPr>
            <w:t>5</w:t>
          </w:r>
          <w:r w:rsidR="00CA1724">
            <w:rPr>
              <w:rFonts w:asciiTheme="majorBidi" w:hAnsiTheme="majorBidi" w:cstheme="majorBidi"/>
            </w:rPr>
            <w:t>1</w:t>
          </w:r>
        </w:p>
        <w:p w14:paraId="79D635B9" w14:textId="06E57207"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5.2.1. International trade</w:t>
          </w:r>
          <w:r w:rsidRPr="00F4046A">
            <w:rPr>
              <w:rFonts w:asciiTheme="majorBidi" w:hAnsiTheme="majorBidi" w:cstheme="majorBidi"/>
            </w:rPr>
            <w:t xml:space="preserve"> </w:t>
          </w:r>
          <w:r w:rsidRPr="00AF305B">
            <w:rPr>
              <w:rFonts w:asciiTheme="majorBidi" w:hAnsiTheme="majorBidi" w:cstheme="majorBidi"/>
            </w:rPr>
            <w:ptab w:relativeTo="margin" w:alignment="right" w:leader="dot"/>
          </w:r>
          <w:r w:rsidR="007116DC">
            <w:rPr>
              <w:rFonts w:asciiTheme="majorBidi" w:hAnsiTheme="majorBidi" w:cstheme="majorBidi"/>
            </w:rPr>
            <w:t>5</w:t>
          </w:r>
          <w:r w:rsidR="00CA1724">
            <w:rPr>
              <w:rFonts w:asciiTheme="majorBidi" w:hAnsiTheme="majorBidi" w:cstheme="majorBidi"/>
            </w:rPr>
            <w:t>1</w:t>
          </w:r>
        </w:p>
        <w:p w14:paraId="29D7F9E3" w14:textId="598EB473"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5.2.2. Production of analogues of naturally occurring molecules</w:t>
          </w:r>
          <w:r w:rsidRPr="00F4046A">
            <w:rPr>
              <w:rFonts w:asciiTheme="majorBidi" w:hAnsiTheme="majorBidi" w:cstheme="majorBidi"/>
            </w:rPr>
            <w:t xml:space="preserve"> </w:t>
          </w:r>
          <w:r w:rsidRPr="00AF305B">
            <w:rPr>
              <w:rFonts w:asciiTheme="majorBidi" w:hAnsiTheme="majorBidi" w:cstheme="majorBidi"/>
            </w:rPr>
            <w:ptab w:relativeTo="margin" w:alignment="right" w:leader="dot"/>
          </w:r>
          <w:r w:rsidR="007116DC">
            <w:rPr>
              <w:rFonts w:asciiTheme="majorBidi" w:hAnsiTheme="majorBidi" w:cstheme="majorBidi"/>
            </w:rPr>
            <w:t>5</w:t>
          </w:r>
          <w:r w:rsidR="00CA1724">
            <w:rPr>
              <w:rFonts w:asciiTheme="majorBidi" w:hAnsiTheme="majorBidi" w:cstheme="majorBidi"/>
            </w:rPr>
            <w:t>1</w:t>
          </w:r>
        </w:p>
        <w:p w14:paraId="5D9A40B8" w14:textId="6550265C" w:rsidR="008C342E" w:rsidRDefault="008C342E" w:rsidP="008C342E">
          <w:pPr>
            <w:pStyle w:val="ListParagraph"/>
            <w:spacing w:after="100" w:line="259" w:lineRule="auto"/>
            <w:ind w:left="1080"/>
            <w:contextualSpacing w:val="0"/>
            <w:rPr>
              <w:rFonts w:asciiTheme="majorBidi" w:hAnsiTheme="majorBidi" w:cstheme="majorBidi"/>
            </w:rPr>
          </w:pPr>
          <w:r>
            <w:rPr>
              <w:rFonts w:asciiTheme="majorBidi" w:hAnsiTheme="majorBidi" w:cstheme="majorBidi"/>
            </w:rPr>
            <w:t>5</w:t>
          </w:r>
          <w:r w:rsidRPr="00091D25">
            <w:rPr>
              <w:rFonts w:asciiTheme="majorBidi" w:hAnsiTheme="majorBidi" w:cstheme="majorBidi"/>
            </w:rPr>
            <w:t>.</w:t>
          </w:r>
          <w:r>
            <w:rPr>
              <w:rFonts w:asciiTheme="majorBidi" w:hAnsiTheme="majorBidi" w:cstheme="majorBidi"/>
            </w:rPr>
            <w:t>3.</w:t>
          </w:r>
          <w:r w:rsidRPr="00091D25">
            <w:rPr>
              <w:rFonts w:asciiTheme="majorBidi" w:hAnsiTheme="majorBidi" w:cstheme="majorBidi"/>
            </w:rPr>
            <w:t xml:space="preserve"> </w:t>
          </w:r>
          <w:r>
            <w:rPr>
              <w:rFonts w:asciiTheme="majorBidi" w:hAnsiTheme="majorBidi" w:cstheme="majorBidi"/>
            </w:rPr>
            <w:t>Ethical concerns</w:t>
          </w:r>
          <w:r w:rsidRPr="00AF305B">
            <w:ptab w:relativeTo="margin" w:alignment="right" w:leader="dot"/>
          </w:r>
          <w:r w:rsidR="007116DC">
            <w:rPr>
              <w:rFonts w:asciiTheme="majorBidi" w:hAnsiTheme="majorBidi" w:cstheme="majorBidi"/>
            </w:rPr>
            <w:t>5</w:t>
          </w:r>
          <w:r w:rsidR="00CA1724">
            <w:rPr>
              <w:rFonts w:asciiTheme="majorBidi" w:hAnsiTheme="majorBidi" w:cstheme="majorBidi"/>
            </w:rPr>
            <w:t>2</w:t>
          </w:r>
        </w:p>
        <w:p w14:paraId="01B1C916" w14:textId="7D67412D" w:rsidR="008C342E" w:rsidRPr="00D66514" w:rsidRDefault="008C342E" w:rsidP="008C342E">
          <w:pPr>
            <w:spacing w:after="100" w:line="259" w:lineRule="auto"/>
            <w:ind w:left="360" w:firstLine="720"/>
            <w:rPr>
              <w:rFonts w:asciiTheme="majorBidi" w:hAnsiTheme="majorBidi" w:cstheme="majorBidi"/>
            </w:rPr>
          </w:pPr>
          <w:r w:rsidRPr="00D66514">
            <w:rPr>
              <w:rFonts w:asciiTheme="majorBidi" w:hAnsiTheme="majorBidi" w:cstheme="majorBidi"/>
            </w:rPr>
            <w:t>5.</w:t>
          </w:r>
          <w:r>
            <w:rPr>
              <w:rFonts w:asciiTheme="majorBidi" w:hAnsiTheme="majorBidi" w:cstheme="majorBidi"/>
            </w:rPr>
            <w:t>4</w:t>
          </w:r>
          <w:r w:rsidRPr="00D66514">
            <w:rPr>
              <w:rFonts w:asciiTheme="majorBidi" w:hAnsiTheme="majorBidi" w:cstheme="majorBidi"/>
            </w:rPr>
            <w:t xml:space="preserve">. </w:t>
          </w:r>
          <w:r>
            <w:rPr>
              <w:rFonts w:asciiTheme="majorBidi" w:hAnsiTheme="majorBidi" w:cstheme="majorBidi"/>
            </w:rPr>
            <w:t>Concerns arising from dual</w:t>
          </w:r>
          <w:r w:rsidR="00701982">
            <w:rPr>
              <w:rFonts w:asciiTheme="majorBidi" w:hAnsiTheme="majorBidi" w:cstheme="majorBidi"/>
            </w:rPr>
            <w:t>-</w:t>
          </w:r>
          <w:r>
            <w:rPr>
              <w:rFonts w:asciiTheme="majorBidi" w:hAnsiTheme="majorBidi" w:cstheme="majorBidi"/>
            </w:rPr>
            <w:t>use</w:t>
          </w:r>
          <w:r w:rsidRPr="00AF305B">
            <w:ptab w:relativeTo="margin" w:alignment="right" w:leader="dot"/>
          </w:r>
          <w:r w:rsidR="007116DC">
            <w:rPr>
              <w:rFonts w:asciiTheme="majorBidi" w:hAnsiTheme="majorBidi" w:cstheme="majorBidi"/>
            </w:rPr>
            <w:t>5</w:t>
          </w:r>
          <w:r w:rsidR="00CA1724">
            <w:rPr>
              <w:rFonts w:asciiTheme="majorBidi" w:hAnsiTheme="majorBidi" w:cstheme="majorBidi"/>
            </w:rPr>
            <w:t>4</w:t>
          </w:r>
        </w:p>
        <w:p w14:paraId="1C7BF63C" w14:textId="0F014870" w:rsidR="008C342E" w:rsidRPr="00AC7854" w:rsidRDefault="008C342E" w:rsidP="008C342E">
          <w:pPr>
            <w:spacing w:after="100" w:line="259" w:lineRule="auto"/>
            <w:ind w:firstLine="720"/>
            <w:rPr>
              <w:rFonts w:asciiTheme="majorBidi" w:hAnsiTheme="majorBidi" w:cstheme="majorBidi"/>
            </w:rPr>
          </w:pPr>
          <w:r>
            <w:rPr>
              <w:rFonts w:asciiTheme="majorBidi" w:hAnsiTheme="majorBidi" w:cstheme="majorBidi"/>
            </w:rPr>
            <w:t>6</w:t>
          </w:r>
          <w:r w:rsidRPr="00AC7854">
            <w:rPr>
              <w:rFonts w:asciiTheme="majorBidi" w:hAnsiTheme="majorBidi" w:cstheme="majorBidi"/>
            </w:rPr>
            <w:t xml:space="preserve">. </w:t>
          </w:r>
          <w:r>
            <w:rPr>
              <w:rFonts w:asciiTheme="majorBidi" w:hAnsiTheme="majorBidi" w:cstheme="majorBidi"/>
            </w:rPr>
            <w:t>General Biosafety</w:t>
          </w:r>
          <w:r w:rsidRPr="00AC7854">
            <w:rPr>
              <w:rFonts w:asciiTheme="majorBidi" w:hAnsiTheme="majorBidi" w:cstheme="majorBidi"/>
            </w:rPr>
            <w:t xml:space="preserve"> Concerns </w:t>
          </w:r>
          <w:r>
            <w:rPr>
              <w:rFonts w:asciiTheme="majorBidi" w:hAnsiTheme="majorBidi" w:cstheme="majorBidi"/>
            </w:rPr>
            <w:t>Associated with</w:t>
          </w:r>
          <w:r w:rsidRPr="00AC7854">
            <w:rPr>
              <w:rFonts w:asciiTheme="majorBidi" w:hAnsiTheme="majorBidi" w:cstheme="majorBidi"/>
            </w:rPr>
            <w:t xml:space="preserve"> Synthetic Biology</w:t>
          </w:r>
          <w:r>
            <w:rPr>
              <w:rFonts w:asciiTheme="majorBidi" w:hAnsiTheme="majorBidi" w:cstheme="majorBidi"/>
            </w:rPr>
            <w:t xml:space="preserve"> Applications</w:t>
          </w:r>
          <w:r w:rsidRPr="00AF305B">
            <w:ptab w:relativeTo="margin" w:alignment="right" w:leader="dot"/>
          </w:r>
          <w:r w:rsidR="00432AFD">
            <w:rPr>
              <w:rFonts w:asciiTheme="majorBidi" w:hAnsiTheme="majorBidi" w:cstheme="majorBidi"/>
            </w:rPr>
            <w:t>5</w:t>
          </w:r>
          <w:r w:rsidR="00CA1724">
            <w:rPr>
              <w:rFonts w:asciiTheme="majorBidi" w:hAnsiTheme="majorBidi" w:cstheme="majorBidi"/>
            </w:rPr>
            <w:t>6</w:t>
          </w:r>
        </w:p>
        <w:p w14:paraId="5AA219D7" w14:textId="4F168D05" w:rsidR="008C342E" w:rsidRDefault="008C342E" w:rsidP="008C342E">
          <w:pPr>
            <w:pStyle w:val="ListParagraph"/>
            <w:spacing w:after="100" w:line="259" w:lineRule="auto"/>
            <w:ind w:left="1080"/>
            <w:contextualSpacing w:val="0"/>
            <w:rPr>
              <w:rFonts w:asciiTheme="majorBidi" w:hAnsiTheme="majorBidi" w:cstheme="majorBidi"/>
            </w:rPr>
          </w:pPr>
          <w:r>
            <w:rPr>
              <w:rFonts w:asciiTheme="majorBidi" w:hAnsiTheme="majorBidi" w:cstheme="majorBidi"/>
            </w:rPr>
            <w:t>6</w:t>
          </w:r>
          <w:r w:rsidRPr="00091D25">
            <w:rPr>
              <w:rFonts w:asciiTheme="majorBidi" w:hAnsiTheme="majorBidi" w:cstheme="majorBidi"/>
            </w:rPr>
            <w:t>.</w:t>
          </w:r>
          <w:r>
            <w:rPr>
              <w:rFonts w:asciiTheme="majorBidi" w:hAnsiTheme="majorBidi" w:cstheme="majorBidi"/>
            </w:rPr>
            <w:t>1.</w:t>
          </w:r>
          <w:r w:rsidRPr="00091D25">
            <w:rPr>
              <w:rFonts w:asciiTheme="majorBidi" w:hAnsiTheme="majorBidi" w:cstheme="majorBidi"/>
            </w:rPr>
            <w:t xml:space="preserve"> </w:t>
          </w:r>
          <w:r>
            <w:rPr>
              <w:rFonts w:asciiTheme="majorBidi" w:hAnsiTheme="majorBidi" w:cstheme="majorBidi"/>
            </w:rPr>
            <w:t>Adequacy of risk assessment methodologies</w:t>
          </w:r>
          <w:r w:rsidRPr="00AF305B">
            <w:ptab w:relativeTo="margin" w:alignment="right" w:leader="dot"/>
          </w:r>
          <w:r w:rsidR="00432AFD">
            <w:rPr>
              <w:rFonts w:asciiTheme="majorBidi" w:hAnsiTheme="majorBidi" w:cstheme="majorBidi"/>
            </w:rPr>
            <w:t>56</w:t>
          </w:r>
        </w:p>
        <w:p w14:paraId="17C626DF" w14:textId="02CEB183"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6.1.1. Engineered gene drives</w:t>
          </w:r>
          <w:r w:rsidRPr="00F4046A">
            <w:rPr>
              <w:rFonts w:asciiTheme="majorBidi" w:hAnsiTheme="majorBidi" w:cstheme="majorBidi"/>
            </w:rPr>
            <w:t xml:space="preserve"> </w:t>
          </w:r>
          <w:r w:rsidRPr="00AF305B">
            <w:rPr>
              <w:rFonts w:asciiTheme="majorBidi" w:hAnsiTheme="majorBidi" w:cstheme="majorBidi"/>
            </w:rPr>
            <w:ptab w:relativeTo="margin" w:alignment="right" w:leader="dot"/>
          </w:r>
          <w:r w:rsidR="00432AFD">
            <w:rPr>
              <w:rFonts w:asciiTheme="majorBidi" w:hAnsiTheme="majorBidi" w:cstheme="majorBidi"/>
            </w:rPr>
            <w:t>57</w:t>
          </w:r>
        </w:p>
        <w:p w14:paraId="27CE03B8" w14:textId="05A074DB"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6.1.2. Genome editing</w:t>
          </w:r>
          <w:r w:rsidRPr="00F4046A">
            <w:rPr>
              <w:rFonts w:asciiTheme="majorBidi" w:hAnsiTheme="majorBidi" w:cstheme="majorBidi"/>
            </w:rPr>
            <w:t xml:space="preserve"> </w:t>
          </w:r>
          <w:r w:rsidRPr="00AF305B">
            <w:rPr>
              <w:rFonts w:asciiTheme="majorBidi" w:hAnsiTheme="majorBidi" w:cstheme="majorBidi"/>
            </w:rPr>
            <w:ptab w:relativeTo="margin" w:alignment="right" w:leader="dot"/>
          </w:r>
          <w:r w:rsidR="00432AFD">
            <w:rPr>
              <w:rFonts w:asciiTheme="majorBidi" w:hAnsiTheme="majorBidi" w:cstheme="majorBidi"/>
            </w:rPr>
            <w:t>58</w:t>
          </w:r>
        </w:p>
        <w:p w14:paraId="257160FE" w14:textId="36B7F8A0"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6.1.3. RNA-based technologies</w:t>
          </w:r>
          <w:r w:rsidRPr="00F4046A">
            <w:rPr>
              <w:rFonts w:asciiTheme="majorBidi" w:hAnsiTheme="majorBidi" w:cstheme="majorBidi"/>
            </w:rPr>
            <w:t xml:space="preserve"> </w:t>
          </w:r>
          <w:r w:rsidRPr="00AF305B">
            <w:rPr>
              <w:rFonts w:asciiTheme="majorBidi" w:hAnsiTheme="majorBidi" w:cstheme="majorBidi"/>
            </w:rPr>
            <w:ptab w:relativeTo="margin" w:alignment="right" w:leader="dot"/>
          </w:r>
          <w:r w:rsidR="00A35091">
            <w:rPr>
              <w:rFonts w:asciiTheme="majorBidi" w:hAnsiTheme="majorBidi" w:cstheme="majorBidi"/>
            </w:rPr>
            <w:t>60</w:t>
          </w:r>
        </w:p>
        <w:p w14:paraId="09A2BE21" w14:textId="3CADF416" w:rsidR="008C342E" w:rsidRDefault="008C342E" w:rsidP="008C342E">
          <w:pPr>
            <w:pStyle w:val="ListParagraph"/>
            <w:spacing w:after="100" w:line="259" w:lineRule="auto"/>
            <w:ind w:left="1080"/>
            <w:contextualSpacing w:val="0"/>
            <w:rPr>
              <w:rFonts w:asciiTheme="majorBidi" w:hAnsiTheme="majorBidi" w:cstheme="majorBidi"/>
            </w:rPr>
          </w:pPr>
          <w:r>
            <w:rPr>
              <w:rFonts w:asciiTheme="majorBidi" w:hAnsiTheme="majorBidi" w:cstheme="majorBidi"/>
            </w:rPr>
            <w:t>6</w:t>
          </w:r>
          <w:r w:rsidRPr="00091D25">
            <w:rPr>
              <w:rFonts w:asciiTheme="majorBidi" w:hAnsiTheme="majorBidi" w:cstheme="majorBidi"/>
            </w:rPr>
            <w:t>.</w:t>
          </w:r>
          <w:r>
            <w:rPr>
              <w:rFonts w:asciiTheme="majorBidi" w:hAnsiTheme="majorBidi" w:cstheme="majorBidi"/>
            </w:rPr>
            <w:t>2.</w:t>
          </w:r>
          <w:r w:rsidRPr="00091D25">
            <w:rPr>
              <w:rFonts w:asciiTheme="majorBidi" w:hAnsiTheme="majorBidi" w:cstheme="majorBidi"/>
            </w:rPr>
            <w:t xml:space="preserve"> </w:t>
          </w:r>
          <w:r>
            <w:rPr>
              <w:rFonts w:asciiTheme="majorBidi" w:hAnsiTheme="majorBidi" w:cstheme="majorBidi"/>
            </w:rPr>
            <w:t>Mitigation and management strategies</w:t>
          </w:r>
          <w:r w:rsidRPr="00AF305B">
            <w:ptab w:relativeTo="margin" w:alignment="right" w:leader="dot"/>
          </w:r>
          <w:r w:rsidR="00432AFD">
            <w:rPr>
              <w:rFonts w:asciiTheme="majorBidi" w:hAnsiTheme="majorBidi" w:cstheme="majorBidi"/>
            </w:rPr>
            <w:t>6</w:t>
          </w:r>
          <w:r w:rsidR="00A35091">
            <w:rPr>
              <w:rFonts w:asciiTheme="majorBidi" w:hAnsiTheme="majorBidi" w:cstheme="majorBidi"/>
            </w:rPr>
            <w:t>1</w:t>
          </w:r>
        </w:p>
        <w:p w14:paraId="4364A0E6" w14:textId="7007AE8C"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6.2.1. Removing unwanted inserted sequences</w:t>
          </w:r>
          <w:r w:rsidRPr="00F4046A">
            <w:rPr>
              <w:rFonts w:asciiTheme="majorBidi" w:hAnsiTheme="majorBidi" w:cstheme="majorBidi"/>
            </w:rPr>
            <w:t xml:space="preserve"> </w:t>
          </w:r>
          <w:r w:rsidRPr="00AF305B">
            <w:rPr>
              <w:rFonts w:asciiTheme="majorBidi" w:hAnsiTheme="majorBidi" w:cstheme="majorBidi"/>
            </w:rPr>
            <w:ptab w:relativeTo="margin" w:alignment="right" w:leader="dot"/>
          </w:r>
          <w:r w:rsidRPr="00AF305B">
            <w:rPr>
              <w:rFonts w:asciiTheme="majorBidi" w:hAnsiTheme="majorBidi" w:cstheme="majorBidi"/>
            </w:rPr>
            <w:t>6</w:t>
          </w:r>
          <w:r w:rsidR="00432AFD">
            <w:rPr>
              <w:rFonts w:asciiTheme="majorBidi" w:hAnsiTheme="majorBidi" w:cstheme="majorBidi"/>
            </w:rPr>
            <w:t>1</w:t>
          </w:r>
        </w:p>
        <w:p w14:paraId="067D7824" w14:textId="75040DBE"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6.2.2. Use of lethality and synthetic resistance</w:t>
          </w:r>
          <w:r w:rsidRPr="00F4046A">
            <w:rPr>
              <w:rFonts w:asciiTheme="majorBidi" w:hAnsiTheme="majorBidi" w:cstheme="majorBidi"/>
            </w:rPr>
            <w:t xml:space="preserve"> </w:t>
          </w:r>
          <w:r w:rsidRPr="00AF305B">
            <w:rPr>
              <w:rFonts w:asciiTheme="majorBidi" w:hAnsiTheme="majorBidi" w:cstheme="majorBidi"/>
            </w:rPr>
            <w:ptab w:relativeTo="margin" w:alignment="right" w:leader="dot"/>
          </w:r>
          <w:r w:rsidRPr="00AF305B">
            <w:rPr>
              <w:rFonts w:asciiTheme="majorBidi" w:hAnsiTheme="majorBidi" w:cstheme="majorBidi"/>
            </w:rPr>
            <w:t>6</w:t>
          </w:r>
          <w:r w:rsidR="00A35091">
            <w:rPr>
              <w:rFonts w:asciiTheme="majorBidi" w:hAnsiTheme="majorBidi" w:cstheme="majorBidi"/>
            </w:rPr>
            <w:t>2</w:t>
          </w:r>
        </w:p>
        <w:p w14:paraId="1676B5BA" w14:textId="329BA48B"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6.2.3. Genetic biocontainment approaches</w:t>
          </w:r>
          <w:r w:rsidRPr="00F4046A">
            <w:rPr>
              <w:rFonts w:asciiTheme="majorBidi" w:hAnsiTheme="majorBidi" w:cstheme="majorBidi"/>
            </w:rPr>
            <w:t xml:space="preserve"> </w:t>
          </w:r>
          <w:r w:rsidRPr="00AF305B">
            <w:rPr>
              <w:rFonts w:asciiTheme="majorBidi" w:hAnsiTheme="majorBidi" w:cstheme="majorBidi"/>
            </w:rPr>
            <w:ptab w:relativeTo="margin" w:alignment="right" w:leader="dot"/>
          </w:r>
          <w:r w:rsidRPr="00AF305B">
            <w:rPr>
              <w:rFonts w:asciiTheme="majorBidi" w:hAnsiTheme="majorBidi" w:cstheme="majorBidi"/>
            </w:rPr>
            <w:t>6</w:t>
          </w:r>
          <w:r w:rsidR="00A35091">
            <w:rPr>
              <w:rFonts w:asciiTheme="majorBidi" w:hAnsiTheme="majorBidi" w:cstheme="majorBidi"/>
            </w:rPr>
            <w:t>2</w:t>
          </w:r>
        </w:p>
        <w:p w14:paraId="63266055" w14:textId="7263FD99"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6.2.4. Post-release removal of synthetic biology applications</w:t>
          </w:r>
          <w:r w:rsidRPr="00AF305B">
            <w:rPr>
              <w:rFonts w:asciiTheme="majorBidi" w:hAnsiTheme="majorBidi" w:cstheme="majorBidi"/>
            </w:rPr>
            <w:ptab w:relativeTo="margin" w:alignment="right" w:leader="dot"/>
          </w:r>
          <w:r w:rsidRPr="00AF305B">
            <w:rPr>
              <w:rFonts w:asciiTheme="majorBidi" w:hAnsiTheme="majorBidi" w:cstheme="majorBidi"/>
            </w:rPr>
            <w:t>6</w:t>
          </w:r>
          <w:r w:rsidR="00A35091">
            <w:rPr>
              <w:rFonts w:asciiTheme="majorBidi" w:hAnsiTheme="majorBidi" w:cstheme="majorBidi"/>
            </w:rPr>
            <w:t>3</w:t>
          </w:r>
        </w:p>
        <w:p w14:paraId="524A8CD2" w14:textId="305A9E15"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6.2.5. Detection and identification of synthetic biology organisms</w:t>
          </w:r>
          <w:r w:rsidRPr="00AF305B">
            <w:rPr>
              <w:rFonts w:asciiTheme="majorBidi" w:hAnsiTheme="majorBidi" w:cstheme="majorBidi"/>
            </w:rPr>
            <w:ptab w:relativeTo="margin" w:alignment="right" w:leader="dot"/>
          </w:r>
          <w:r w:rsidRPr="00AF305B">
            <w:rPr>
              <w:rFonts w:asciiTheme="majorBidi" w:hAnsiTheme="majorBidi" w:cstheme="majorBidi"/>
            </w:rPr>
            <w:t>6</w:t>
          </w:r>
          <w:r w:rsidR="00A35091">
            <w:rPr>
              <w:rFonts w:asciiTheme="majorBidi" w:hAnsiTheme="majorBidi" w:cstheme="majorBidi"/>
            </w:rPr>
            <w:t>4</w:t>
          </w:r>
        </w:p>
        <w:p w14:paraId="11093C5E" w14:textId="0E4438E7" w:rsidR="008C342E" w:rsidRDefault="008C342E" w:rsidP="008C342E">
          <w:pPr>
            <w:pStyle w:val="TOC1"/>
            <w:numPr>
              <w:ilvl w:val="0"/>
              <w:numId w:val="237"/>
            </w:numPr>
            <w:spacing w:before="0" w:after="100" w:line="259" w:lineRule="auto"/>
            <w:jc w:val="left"/>
            <w:rPr>
              <w:rFonts w:asciiTheme="majorBidi" w:hAnsiTheme="majorBidi" w:cstheme="majorBidi"/>
              <w:b/>
              <w:bCs/>
            </w:rPr>
          </w:pPr>
          <w:r w:rsidRPr="00AF305B">
            <w:rPr>
              <w:rFonts w:asciiTheme="majorBidi" w:hAnsiTheme="majorBidi" w:cstheme="majorBidi"/>
              <w:b/>
              <w:bCs/>
            </w:rPr>
            <w:t>SYNTHETIC BIOLOGY</w:t>
          </w:r>
          <w:r>
            <w:rPr>
              <w:rFonts w:asciiTheme="majorBidi" w:hAnsiTheme="majorBidi" w:cstheme="majorBidi"/>
              <w:b/>
              <w:bCs/>
            </w:rPr>
            <w:t xml:space="preserve"> GOVERNANCE AND REGULATORY PERSPECTIVES</w:t>
          </w:r>
          <w:r w:rsidRPr="00AF305B">
            <w:rPr>
              <w:rFonts w:asciiTheme="majorBidi" w:hAnsiTheme="majorBidi" w:cstheme="majorBidi"/>
            </w:rPr>
            <w:ptab w:relativeTo="margin" w:alignment="right" w:leader="dot"/>
          </w:r>
          <w:r w:rsidR="00432AFD">
            <w:rPr>
              <w:rFonts w:asciiTheme="majorBidi" w:hAnsiTheme="majorBidi" w:cstheme="majorBidi"/>
            </w:rPr>
            <w:t>6</w:t>
          </w:r>
          <w:r w:rsidR="00A35091">
            <w:rPr>
              <w:rFonts w:asciiTheme="majorBidi" w:hAnsiTheme="majorBidi" w:cstheme="majorBidi"/>
            </w:rPr>
            <w:t>5</w:t>
          </w:r>
        </w:p>
        <w:p w14:paraId="2A5DA117" w14:textId="59DFCD70" w:rsidR="008C342E" w:rsidRPr="007E365C" w:rsidRDefault="008C342E" w:rsidP="008C342E">
          <w:pPr>
            <w:pStyle w:val="ListParagraph"/>
            <w:spacing w:after="100" w:line="259" w:lineRule="auto"/>
            <w:contextualSpacing w:val="0"/>
            <w:rPr>
              <w:rFonts w:asciiTheme="majorBidi" w:hAnsiTheme="majorBidi" w:cstheme="majorBidi"/>
            </w:rPr>
          </w:pPr>
          <w:r>
            <w:rPr>
              <w:rFonts w:asciiTheme="majorBidi" w:hAnsiTheme="majorBidi" w:cstheme="majorBidi"/>
            </w:rPr>
            <w:t>7</w:t>
          </w:r>
          <w:r w:rsidRPr="007E365C">
            <w:rPr>
              <w:rFonts w:asciiTheme="majorBidi" w:hAnsiTheme="majorBidi" w:cstheme="majorBidi"/>
            </w:rPr>
            <w:t xml:space="preserve">. </w:t>
          </w:r>
          <w:r>
            <w:rPr>
              <w:rFonts w:asciiTheme="majorBidi" w:hAnsiTheme="majorBidi" w:cstheme="majorBidi"/>
            </w:rPr>
            <w:t>The Governance and Regulation of</w:t>
          </w:r>
          <w:r w:rsidRPr="007E365C">
            <w:rPr>
              <w:rFonts w:asciiTheme="majorBidi" w:hAnsiTheme="majorBidi" w:cstheme="majorBidi"/>
            </w:rPr>
            <w:t xml:space="preserve"> Synthetic Biology</w:t>
          </w:r>
          <w:r w:rsidRPr="00AF305B">
            <w:ptab w:relativeTo="margin" w:alignment="right" w:leader="dot"/>
          </w:r>
          <w:r w:rsidRPr="007E365C">
            <w:rPr>
              <w:rFonts w:asciiTheme="majorBidi" w:hAnsiTheme="majorBidi" w:cstheme="majorBidi"/>
            </w:rPr>
            <w:t>6</w:t>
          </w:r>
          <w:r w:rsidR="00A35091">
            <w:rPr>
              <w:rFonts w:asciiTheme="majorBidi" w:hAnsiTheme="majorBidi" w:cstheme="majorBidi"/>
            </w:rPr>
            <w:t>5</w:t>
          </w:r>
        </w:p>
        <w:p w14:paraId="64F9B902" w14:textId="18470420" w:rsidR="008C342E" w:rsidRPr="00F60B3D" w:rsidRDefault="008C342E" w:rsidP="008C342E">
          <w:pPr>
            <w:spacing w:after="100" w:line="259" w:lineRule="auto"/>
            <w:ind w:left="720" w:firstLine="360"/>
            <w:rPr>
              <w:rFonts w:asciiTheme="majorBidi" w:hAnsiTheme="majorBidi" w:cstheme="majorBidi"/>
            </w:rPr>
          </w:pPr>
          <w:r>
            <w:rPr>
              <w:rFonts w:asciiTheme="majorBidi" w:hAnsiTheme="majorBidi" w:cstheme="majorBidi"/>
            </w:rPr>
            <w:t>7</w:t>
          </w:r>
          <w:r w:rsidRPr="00F60B3D">
            <w:rPr>
              <w:rFonts w:asciiTheme="majorBidi" w:hAnsiTheme="majorBidi" w:cstheme="majorBidi"/>
            </w:rPr>
            <w:t xml:space="preserve">.1. </w:t>
          </w:r>
          <w:r>
            <w:rPr>
              <w:rFonts w:asciiTheme="majorBidi" w:hAnsiTheme="majorBidi" w:cstheme="majorBidi"/>
            </w:rPr>
            <w:t>Current regulatory practices and approaches related to synthetic biology</w:t>
          </w:r>
          <w:r w:rsidRPr="00AF305B">
            <w:ptab w:relativeTo="margin" w:alignment="right" w:leader="dot"/>
          </w:r>
          <w:r w:rsidRPr="00F60B3D">
            <w:rPr>
              <w:rFonts w:asciiTheme="majorBidi" w:hAnsiTheme="majorBidi" w:cstheme="majorBidi"/>
            </w:rPr>
            <w:t>6</w:t>
          </w:r>
          <w:r w:rsidR="00A35091">
            <w:rPr>
              <w:rFonts w:asciiTheme="majorBidi" w:hAnsiTheme="majorBidi" w:cstheme="majorBidi"/>
            </w:rPr>
            <w:t>5</w:t>
          </w:r>
        </w:p>
        <w:p w14:paraId="5B3B70C5" w14:textId="3ED52028"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7.1.1. Genome editing</w:t>
          </w:r>
          <w:r w:rsidRPr="00F4046A">
            <w:rPr>
              <w:rFonts w:asciiTheme="majorBidi" w:hAnsiTheme="majorBidi" w:cstheme="majorBidi"/>
            </w:rPr>
            <w:t xml:space="preserve"> </w:t>
          </w:r>
          <w:r w:rsidRPr="00AF305B">
            <w:rPr>
              <w:rFonts w:asciiTheme="majorBidi" w:hAnsiTheme="majorBidi" w:cstheme="majorBidi"/>
            </w:rPr>
            <w:ptab w:relativeTo="margin" w:alignment="right" w:leader="dot"/>
          </w:r>
          <w:r w:rsidRPr="00AF305B">
            <w:rPr>
              <w:rFonts w:asciiTheme="majorBidi" w:hAnsiTheme="majorBidi" w:cstheme="majorBidi"/>
            </w:rPr>
            <w:t>6</w:t>
          </w:r>
          <w:r w:rsidR="009A007A">
            <w:rPr>
              <w:rFonts w:asciiTheme="majorBidi" w:hAnsiTheme="majorBidi" w:cstheme="majorBidi"/>
            </w:rPr>
            <w:t>5</w:t>
          </w:r>
        </w:p>
        <w:p w14:paraId="126216C0" w14:textId="3DD830FC"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7.1.2. Engineered gene drives</w:t>
          </w:r>
          <w:r w:rsidRPr="00F4046A">
            <w:rPr>
              <w:rFonts w:asciiTheme="majorBidi" w:hAnsiTheme="majorBidi" w:cstheme="majorBidi"/>
            </w:rPr>
            <w:t xml:space="preserve"> </w:t>
          </w:r>
          <w:r w:rsidRPr="00AF305B">
            <w:rPr>
              <w:rFonts w:asciiTheme="majorBidi" w:hAnsiTheme="majorBidi" w:cstheme="majorBidi"/>
            </w:rPr>
            <w:ptab w:relativeTo="margin" w:alignment="right" w:leader="dot"/>
          </w:r>
          <w:r w:rsidRPr="00AF305B">
            <w:rPr>
              <w:rFonts w:asciiTheme="majorBidi" w:hAnsiTheme="majorBidi" w:cstheme="majorBidi"/>
            </w:rPr>
            <w:t>6</w:t>
          </w:r>
          <w:r w:rsidR="00A5192F">
            <w:rPr>
              <w:rFonts w:asciiTheme="majorBidi" w:hAnsiTheme="majorBidi" w:cstheme="majorBidi"/>
            </w:rPr>
            <w:t>7</w:t>
          </w:r>
        </w:p>
        <w:p w14:paraId="580F8DC7" w14:textId="3A311FD9"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7.1.3. RNA-based technolog</w:t>
          </w:r>
          <w:r w:rsidR="00701982">
            <w:rPr>
              <w:rFonts w:asciiTheme="majorBidi" w:hAnsiTheme="majorBidi" w:cstheme="majorBidi"/>
            </w:rPr>
            <w:t>y</w:t>
          </w:r>
          <w:r w:rsidRPr="00AF305B">
            <w:rPr>
              <w:rFonts w:asciiTheme="majorBidi" w:hAnsiTheme="majorBidi" w:cstheme="majorBidi"/>
            </w:rPr>
            <w:ptab w:relativeTo="margin" w:alignment="right" w:leader="dot"/>
          </w:r>
          <w:r w:rsidRPr="00AF305B">
            <w:rPr>
              <w:rFonts w:asciiTheme="majorBidi" w:hAnsiTheme="majorBidi" w:cstheme="majorBidi"/>
            </w:rPr>
            <w:t>6</w:t>
          </w:r>
          <w:r w:rsidR="009A007A">
            <w:rPr>
              <w:rFonts w:asciiTheme="majorBidi" w:hAnsiTheme="majorBidi" w:cstheme="majorBidi"/>
            </w:rPr>
            <w:t>7</w:t>
          </w:r>
        </w:p>
        <w:p w14:paraId="67BEF6D0" w14:textId="7950C844" w:rsidR="008C342E" w:rsidRPr="00F60B3D" w:rsidRDefault="008C342E" w:rsidP="008C342E">
          <w:pPr>
            <w:spacing w:after="100" w:line="259" w:lineRule="auto"/>
            <w:ind w:left="720" w:firstLine="360"/>
            <w:rPr>
              <w:rFonts w:asciiTheme="majorBidi" w:hAnsiTheme="majorBidi" w:cstheme="majorBidi"/>
            </w:rPr>
          </w:pPr>
          <w:r>
            <w:rPr>
              <w:rFonts w:asciiTheme="majorBidi" w:hAnsiTheme="majorBidi" w:cstheme="majorBidi"/>
            </w:rPr>
            <w:t>7</w:t>
          </w:r>
          <w:r w:rsidRPr="00F60B3D">
            <w:rPr>
              <w:rFonts w:asciiTheme="majorBidi" w:hAnsiTheme="majorBidi" w:cstheme="majorBidi"/>
            </w:rPr>
            <w:t>.</w:t>
          </w:r>
          <w:r>
            <w:rPr>
              <w:rFonts w:asciiTheme="majorBidi" w:hAnsiTheme="majorBidi" w:cstheme="majorBidi"/>
            </w:rPr>
            <w:t>2</w:t>
          </w:r>
          <w:r w:rsidRPr="00F60B3D">
            <w:rPr>
              <w:rFonts w:asciiTheme="majorBidi" w:hAnsiTheme="majorBidi" w:cstheme="majorBidi"/>
            </w:rPr>
            <w:t xml:space="preserve">. </w:t>
          </w:r>
          <w:r>
            <w:rPr>
              <w:rFonts w:asciiTheme="majorBidi" w:hAnsiTheme="majorBidi" w:cstheme="majorBidi"/>
            </w:rPr>
            <w:t>The scope of national regulatory frameworks and their wider implications</w:t>
          </w:r>
          <w:r w:rsidRPr="00AF305B">
            <w:ptab w:relativeTo="margin" w:alignment="right" w:leader="dot"/>
          </w:r>
          <w:r w:rsidRPr="00F60B3D">
            <w:rPr>
              <w:rFonts w:asciiTheme="majorBidi" w:hAnsiTheme="majorBidi" w:cstheme="majorBidi"/>
            </w:rPr>
            <w:t>6</w:t>
          </w:r>
          <w:r w:rsidR="00A5192F">
            <w:rPr>
              <w:rFonts w:asciiTheme="majorBidi" w:hAnsiTheme="majorBidi" w:cstheme="majorBidi"/>
            </w:rPr>
            <w:t>8</w:t>
          </w:r>
        </w:p>
        <w:p w14:paraId="240F7C81" w14:textId="1480C88E" w:rsidR="008C342E" w:rsidRPr="00F60B3D" w:rsidRDefault="008C342E" w:rsidP="008C342E">
          <w:pPr>
            <w:spacing w:after="100" w:line="259" w:lineRule="auto"/>
            <w:ind w:left="720" w:firstLine="360"/>
            <w:rPr>
              <w:rFonts w:asciiTheme="majorBidi" w:hAnsiTheme="majorBidi" w:cstheme="majorBidi"/>
            </w:rPr>
          </w:pPr>
          <w:r>
            <w:rPr>
              <w:rFonts w:asciiTheme="majorBidi" w:hAnsiTheme="majorBidi" w:cstheme="majorBidi"/>
            </w:rPr>
            <w:t>7</w:t>
          </w:r>
          <w:r w:rsidRPr="00F60B3D">
            <w:rPr>
              <w:rFonts w:asciiTheme="majorBidi" w:hAnsiTheme="majorBidi" w:cstheme="majorBidi"/>
            </w:rPr>
            <w:t>.</w:t>
          </w:r>
          <w:r>
            <w:rPr>
              <w:rFonts w:asciiTheme="majorBidi" w:hAnsiTheme="majorBidi" w:cstheme="majorBidi"/>
            </w:rPr>
            <w:t>3</w:t>
          </w:r>
          <w:r w:rsidRPr="00F60B3D">
            <w:rPr>
              <w:rFonts w:asciiTheme="majorBidi" w:hAnsiTheme="majorBidi" w:cstheme="majorBidi"/>
            </w:rPr>
            <w:t xml:space="preserve">. </w:t>
          </w:r>
          <w:r>
            <w:rPr>
              <w:rFonts w:asciiTheme="majorBidi" w:hAnsiTheme="majorBidi" w:cstheme="majorBidi"/>
            </w:rPr>
            <w:t>Self-Regulation by the scientific community &amp; moratoria</w:t>
          </w:r>
          <w:r w:rsidRPr="00AF305B">
            <w:ptab w:relativeTo="margin" w:alignment="right" w:leader="dot"/>
          </w:r>
          <w:r w:rsidRPr="00F60B3D">
            <w:rPr>
              <w:rFonts w:asciiTheme="majorBidi" w:hAnsiTheme="majorBidi" w:cstheme="majorBidi"/>
            </w:rPr>
            <w:t>6</w:t>
          </w:r>
          <w:r w:rsidR="009A007A">
            <w:rPr>
              <w:rFonts w:asciiTheme="majorBidi" w:hAnsiTheme="majorBidi" w:cstheme="majorBidi"/>
            </w:rPr>
            <w:t>9</w:t>
          </w:r>
        </w:p>
        <w:p w14:paraId="01282CC5" w14:textId="212E761C"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7.3.1. Asilomar Declaration</w:t>
          </w:r>
          <w:r w:rsidRPr="00AF305B">
            <w:rPr>
              <w:rFonts w:asciiTheme="majorBidi" w:hAnsiTheme="majorBidi" w:cstheme="majorBidi"/>
            </w:rPr>
            <w:ptab w:relativeTo="margin" w:alignment="right" w:leader="dot"/>
          </w:r>
          <w:r w:rsidR="00A5192F">
            <w:rPr>
              <w:rFonts w:asciiTheme="majorBidi" w:hAnsiTheme="majorBidi" w:cstheme="majorBidi"/>
            </w:rPr>
            <w:t>70</w:t>
          </w:r>
        </w:p>
        <w:p w14:paraId="7D4A351D" w14:textId="32140538"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7.3.2. Post-Asilomar calls for moratoria</w:t>
          </w:r>
          <w:r w:rsidRPr="00F4046A">
            <w:rPr>
              <w:rFonts w:asciiTheme="majorBidi" w:hAnsiTheme="majorBidi" w:cstheme="majorBidi"/>
            </w:rPr>
            <w:t xml:space="preserve"> </w:t>
          </w:r>
          <w:r w:rsidRPr="00AF305B">
            <w:rPr>
              <w:rFonts w:asciiTheme="majorBidi" w:hAnsiTheme="majorBidi" w:cstheme="majorBidi"/>
            </w:rPr>
            <w:ptab w:relativeTo="margin" w:alignment="right" w:leader="dot"/>
          </w:r>
          <w:r w:rsidR="00A5192F">
            <w:rPr>
              <w:rFonts w:asciiTheme="majorBidi" w:hAnsiTheme="majorBidi" w:cstheme="majorBidi"/>
            </w:rPr>
            <w:t>70</w:t>
          </w:r>
        </w:p>
        <w:p w14:paraId="22E4988B" w14:textId="697FFCC0"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lastRenderedPageBreak/>
            <w:t>7.3.3. International Gene Synthesis Consortium (IGSC)</w:t>
          </w:r>
          <w:r w:rsidRPr="00AF305B">
            <w:rPr>
              <w:rFonts w:asciiTheme="majorBidi" w:hAnsiTheme="majorBidi" w:cstheme="majorBidi"/>
            </w:rPr>
            <w:ptab w:relativeTo="margin" w:alignment="right" w:leader="dot"/>
          </w:r>
          <w:r w:rsidR="009A007A">
            <w:rPr>
              <w:rFonts w:asciiTheme="majorBidi" w:hAnsiTheme="majorBidi" w:cstheme="majorBidi"/>
            </w:rPr>
            <w:t>7</w:t>
          </w:r>
          <w:r w:rsidR="00A5192F">
            <w:rPr>
              <w:rFonts w:asciiTheme="majorBidi" w:hAnsiTheme="majorBidi" w:cstheme="majorBidi"/>
            </w:rPr>
            <w:t>1</w:t>
          </w:r>
        </w:p>
        <w:p w14:paraId="36BCC704" w14:textId="7F8738F4"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7.3.4. iGEM</w:t>
          </w:r>
          <w:r w:rsidRPr="00AF305B">
            <w:rPr>
              <w:rFonts w:asciiTheme="majorBidi" w:hAnsiTheme="majorBidi" w:cstheme="majorBidi"/>
            </w:rPr>
            <w:ptab w:relativeTo="margin" w:alignment="right" w:leader="dot"/>
          </w:r>
          <w:r w:rsidR="009A007A">
            <w:rPr>
              <w:rFonts w:asciiTheme="majorBidi" w:hAnsiTheme="majorBidi" w:cstheme="majorBidi"/>
            </w:rPr>
            <w:t>7</w:t>
          </w:r>
          <w:r w:rsidR="00A5192F">
            <w:rPr>
              <w:rFonts w:asciiTheme="majorBidi" w:hAnsiTheme="majorBidi" w:cstheme="majorBidi"/>
            </w:rPr>
            <w:t>2</w:t>
          </w:r>
        </w:p>
        <w:p w14:paraId="032BB8FA" w14:textId="2F4B6CC9" w:rsidR="008C342E" w:rsidRPr="00F60B3D" w:rsidRDefault="008C342E" w:rsidP="008C342E">
          <w:pPr>
            <w:spacing w:after="100" w:line="259" w:lineRule="auto"/>
            <w:ind w:left="720" w:firstLine="360"/>
            <w:rPr>
              <w:rFonts w:asciiTheme="majorBidi" w:hAnsiTheme="majorBidi" w:cstheme="majorBidi"/>
            </w:rPr>
          </w:pPr>
          <w:r>
            <w:rPr>
              <w:rFonts w:asciiTheme="majorBidi" w:hAnsiTheme="majorBidi" w:cstheme="majorBidi"/>
            </w:rPr>
            <w:t>7</w:t>
          </w:r>
          <w:r w:rsidRPr="00F60B3D">
            <w:rPr>
              <w:rFonts w:asciiTheme="majorBidi" w:hAnsiTheme="majorBidi" w:cstheme="majorBidi"/>
            </w:rPr>
            <w:t>.</w:t>
          </w:r>
          <w:r>
            <w:rPr>
              <w:rFonts w:asciiTheme="majorBidi" w:hAnsiTheme="majorBidi" w:cstheme="majorBidi"/>
            </w:rPr>
            <w:t>4</w:t>
          </w:r>
          <w:r w:rsidRPr="00F60B3D">
            <w:rPr>
              <w:rFonts w:asciiTheme="majorBidi" w:hAnsiTheme="majorBidi" w:cstheme="majorBidi"/>
            </w:rPr>
            <w:t xml:space="preserve">. </w:t>
          </w:r>
          <w:r>
            <w:rPr>
              <w:rFonts w:asciiTheme="majorBidi" w:hAnsiTheme="majorBidi" w:cstheme="majorBidi"/>
            </w:rPr>
            <w:t>Intellectual property considerations related to biodiversity</w:t>
          </w:r>
          <w:r w:rsidRPr="00AF305B">
            <w:ptab w:relativeTo="margin" w:alignment="right" w:leader="dot"/>
          </w:r>
          <w:r w:rsidR="009A007A">
            <w:rPr>
              <w:rFonts w:asciiTheme="majorBidi" w:hAnsiTheme="majorBidi" w:cstheme="majorBidi"/>
            </w:rPr>
            <w:t>72</w:t>
          </w:r>
        </w:p>
        <w:p w14:paraId="3F63FE1A" w14:textId="12A49427" w:rsidR="008C342E" w:rsidRPr="007E365C" w:rsidRDefault="008C342E" w:rsidP="008C342E">
          <w:pPr>
            <w:pStyle w:val="ListParagraph"/>
            <w:spacing w:after="100" w:line="259" w:lineRule="auto"/>
            <w:contextualSpacing w:val="0"/>
            <w:rPr>
              <w:rFonts w:asciiTheme="majorBidi" w:hAnsiTheme="majorBidi" w:cstheme="majorBidi"/>
            </w:rPr>
          </w:pPr>
          <w:r>
            <w:rPr>
              <w:rFonts w:asciiTheme="majorBidi" w:hAnsiTheme="majorBidi" w:cstheme="majorBidi"/>
            </w:rPr>
            <w:t>8</w:t>
          </w:r>
          <w:r w:rsidRPr="007E365C">
            <w:rPr>
              <w:rFonts w:asciiTheme="majorBidi" w:hAnsiTheme="majorBidi" w:cstheme="majorBidi"/>
            </w:rPr>
            <w:t xml:space="preserve">. </w:t>
          </w:r>
          <w:r>
            <w:rPr>
              <w:rFonts w:asciiTheme="majorBidi" w:hAnsiTheme="majorBidi" w:cstheme="majorBidi"/>
            </w:rPr>
            <w:t>Potential Implications of the Convention and its Protocols on the Governance of Synthetic Biology</w:t>
          </w:r>
          <w:r w:rsidRPr="00AF305B">
            <w:ptab w:relativeTo="margin" w:alignment="right" w:leader="dot"/>
          </w:r>
          <w:r w:rsidR="00910116">
            <w:rPr>
              <w:rFonts w:asciiTheme="majorBidi" w:hAnsiTheme="majorBidi" w:cstheme="majorBidi"/>
            </w:rPr>
            <w:t>7</w:t>
          </w:r>
          <w:r w:rsidR="00A5192F">
            <w:rPr>
              <w:rFonts w:asciiTheme="majorBidi" w:hAnsiTheme="majorBidi" w:cstheme="majorBidi"/>
            </w:rPr>
            <w:t>4</w:t>
          </w:r>
        </w:p>
        <w:p w14:paraId="7A17F686" w14:textId="4425516A" w:rsidR="008C342E" w:rsidRPr="00F60B3D" w:rsidRDefault="008C342E" w:rsidP="008C342E">
          <w:pPr>
            <w:spacing w:after="100" w:line="259" w:lineRule="auto"/>
            <w:ind w:left="720" w:firstLine="360"/>
            <w:rPr>
              <w:rFonts w:asciiTheme="majorBidi" w:hAnsiTheme="majorBidi" w:cstheme="majorBidi"/>
            </w:rPr>
          </w:pPr>
          <w:r>
            <w:rPr>
              <w:rFonts w:asciiTheme="majorBidi" w:hAnsiTheme="majorBidi" w:cstheme="majorBidi"/>
            </w:rPr>
            <w:t>8</w:t>
          </w:r>
          <w:r w:rsidRPr="00F60B3D">
            <w:rPr>
              <w:rFonts w:asciiTheme="majorBidi" w:hAnsiTheme="majorBidi" w:cstheme="majorBidi"/>
            </w:rPr>
            <w:t>.</w:t>
          </w:r>
          <w:r>
            <w:rPr>
              <w:rFonts w:asciiTheme="majorBidi" w:hAnsiTheme="majorBidi" w:cstheme="majorBidi"/>
            </w:rPr>
            <w:t>1</w:t>
          </w:r>
          <w:r w:rsidRPr="00F60B3D">
            <w:rPr>
              <w:rFonts w:asciiTheme="majorBidi" w:hAnsiTheme="majorBidi" w:cstheme="majorBidi"/>
            </w:rPr>
            <w:t xml:space="preserve">. </w:t>
          </w:r>
          <w:r>
            <w:rPr>
              <w:rFonts w:asciiTheme="majorBidi" w:hAnsiTheme="majorBidi" w:cstheme="majorBidi"/>
            </w:rPr>
            <w:t>Convention on Biological Diversity</w:t>
          </w:r>
          <w:r w:rsidRPr="00AF305B">
            <w:ptab w:relativeTo="margin" w:alignment="right" w:leader="dot"/>
          </w:r>
          <w:r w:rsidR="00910116">
            <w:rPr>
              <w:rFonts w:asciiTheme="majorBidi" w:hAnsiTheme="majorBidi" w:cstheme="majorBidi"/>
            </w:rPr>
            <w:t>7</w:t>
          </w:r>
          <w:r w:rsidR="00A5192F">
            <w:rPr>
              <w:rFonts w:asciiTheme="majorBidi" w:hAnsiTheme="majorBidi" w:cstheme="majorBidi"/>
            </w:rPr>
            <w:t>4</w:t>
          </w:r>
        </w:p>
        <w:p w14:paraId="045963AD" w14:textId="34B476B4"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8.1.1. Objectives of the Convention on Biological Diversity</w:t>
          </w:r>
          <w:r w:rsidRPr="00AF305B">
            <w:rPr>
              <w:rFonts w:asciiTheme="majorBidi" w:hAnsiTheme="majorBidi" w:cstheme="majorBidi"/>
            </w:rPr>
            <w:ptab w:relativeTo="margin" w:alignment="right" w:leader="dot"/>
          </w:r>
          <w:r w:rsidR="00910116">
            <w:rPr>
              <w:rFonts w:asciiTheme="majorBidi" w:hAnsiTheme="majorBidi" w:cstheme="majorBidi"/>
            </w:rPr>
            <w:t>7</w:t>
          </w:r>
          <w:r w:rsidR="00A5192F">
            <w:rPr>
              <w:rFonts w:asciiTheme="majorBidi" w:hAnsiTheme="majorBidi" w:cstheme="majorBidi"/>
            </w:rPr>
            <w:t>4</w:t>
          </w:r>
        </w:p>
        <w:p w14:paraId="74519406" w14:textId="6B894CAC"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8.1.2. Principle of the Convention (Article 3)</w:t>
          </w:r>
          <w:r w:rsidRPr="00AF305B">
            <w:rPr>
              <w:rFonts w:asciiTheme="majorBidi" w:hAnsiTheme="majorBidi" w:cstheme="majorBidi"/>
            </w:rPr>
            <w:ptab w:relativeTo="margin" w:alignment="right" w:leader="dot"/>
          </w:r>
          <w:r w:rsidR="00910116">
            <w:rPr>
              <w:rFonts w:asciiTheme="majorBidi" w:hAnsiTheme="majorBidi" w:cstheme="majorBidi"/>
            </w:rPr>
            <w:t>74</w:t>
          </w:r>
        </w:p>
        <w:p w14:paraId="78A8A283" w14:textId="52162BBA"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 xml:space="preserve">8.1.3. </w:t>
          </w:r>
          <w:r w:rsidRPr="00416244">
            <w:rPr>
              <w:rFonts w:asciiTheme="majorBidi" w:hAnsiTheme="majorBidi" w:cstheme="majorBidi"/>
            </w:rPr>
            <w:t>Impact assessment and minimising adverse impacts (Article 14.1(a) and (b))</w:t>
          </w:r>
          <w:r w:rsidRPr="00AF305B">
            <w:rPr>
              <w:rFonts w:asciiTheme="majorBidi" w:hAnsiTheme="majorBidi" w:cstheme="majorBidi"/>
            </w:rPr>
            <w:ptab w:relativeTo="margin" w:alignment="right" w:leader="dot"/>
          </w:r>
          <w:r w:rsidR="00910116">
            <w:rPr>
              <w:rFonts w:asciiTheme="majorBidi" w:hAnsiTheme="majorBidi" w:cstheme="majorBidi"/>
            </w:rPr>
            <w:t>74</w:t>
          </w:r>
        </w:p>
        <w:p w14:paraId="786F7100" w14:textId="4EEB50A2"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 xml:space="preserve">8.1.4. </w:t>
          </w:r>
          <w:r w:rsidRPr="00F5612E">
            <w:rPr>
              <w:rFonts w:asciiTheme="majorBidi" w:hAnsiTheme="majorBidi" w:cstheme="majorBidi"/>
            </w:rPr>
            <w:t>Biosafety provisions associated with LMOs (Article 8(g) and 19(4))</w:t>
          </w:r>
          <w:r w:rsidRPr="00AF305B">
            <w:rPr>
              <w:rFonts w:asciiTheme="majorBidi" w:hAnsiTheme="majorBidi" w:cstheme="majorBidi"/>
            </w:rPr>
            <w:ptab w:relativeTo="margin" w:alignment="right" w:leader="dot"/>
          </w:r>
          <w:r w:rsidR="00910116">
            <w:rPr>
              <w:rFonts w:asciiTheme="majorBidi" w:hAnsiTheme="majorBidi" w:cstheme="majorBidi"/>
            </w:rPr>
            <w:t>7</w:t>
          </w:r>
          <w:r w:rsidR="00BC257B">
            <w:rPr>
              <w:rFonts w:asciiTheme="majorBidi" w:hAnsiTheme="majorBidi" w:cstheme="majorBidi"/>
            </w:rPr>
            <w:t>5</w:t>
          </w:r>
        </w:p>
        <w:p w14:paraId="664EFF1D" w14:textId="5A52B230" w:rsidR="008C342E" w:rsidRPr="001C7D53" w:rsidRDefault="008C342E" w:rsidP="008C342E">
          <w:pPr>
            <w:spacing w:after="100" w:line="259" w:lineRule="auto"/>
            <w:ind w:left="1440"/>
            <w:rPr>
              <w:rFonts w:asciiTheme="majorBidi" w:hAnsiTheme="majorBidi" w:cstheme="majorBidi"/>
            </w:rPr>
          </w:pPr>
          <w:r>
            <w:rPr>
              <w:rFonts w:asciiTheme="majorBidi" w:hAnsiTheme="majorBidi" w:cstheme="majorBidi"/>
            </w:rPr>
            <w:t xml:space="preserve">8.1.5. </w:t>
          </w:r>
          <w:r w:rsidRPr="000A3552">
            <w:rPr>
              <w:rFonts w:asciiTheme="majorBidi" w:hAnsiTheme="majorBidi" w:cstheme="majorBidi"/>
            </w:rPr>
            <w:t>Access to Genetic Resources and Benefit-Sharing arising from their Utilization (Article 15)</w:t>
          </w:r>
          <w:r w:rsidRPr="00AF305B">
            <w:rPr>
              <w:rFonts w:asciiTheme="majorBidi" w:hAnsiTheme="majorBidi" w:cstheme="majorBidi"/>
            </w:rPr>
            <w:ptab w:relativeTo="margin" w:alignment="right" w:leader="dot"/>
          </w:r>
          <w:r w:rsidR="00910116">
            <w:rPr>
              <w:rFonts w:asciiTheme="majorBidi" w:hAnsiTheme="majorBidi" w:cstheme="majorBidi"/>
            </w:rPr>
            <w:t>7</w:t>
          </w:r>
          <w:r w:rsidR="00BC257B">
            <w:rPr>
              <w:rFonts w:asciiTheme="majorBidi" w:hAnsiTheme="majorBidi" w:cstheme="majorBidi"/>
            </w:rPr>
            <w:t>7</w:t>
          </w:r>
        </w:p>
        <w:p w14:paraId="7F9DEDF2" w14:textId="3413B70A"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 xml:space="preserve">8.1.6. </w:t>
          </w:r>
          <w:r w:rsidRPr="00B30871">
            <w:rPr>
              <w:rFonts w:asciiTheme="majorBidi" w:hAnsiTheme="majorBidi" w:cstheme="majorBidi"/>
            </w:rPr>
            <w:t>Technology Transfer and Cooperation (Articles 16-19)</w:t>
          </w:r>
          <w:r w:rsidRPr="00AF305B">
            <w:rPr>
              <w:rFonts w:asciiTheme="majorBidi" w:hAnsiTheme="majorBidi" w:cstheme="majorBidi"/>
            </w:rPr>
            <w:ptab w:relativeTo="margin" w:alignment="right" w:leader="dot"/>
          </w:r>
          <w:r w:rsidR="00910116">
            <w:rPr>
              <w:rFonts w:asciiTheme="majorBidi" w:hAnsiTheme="majorBidi" w:cstheme="majorBidi"/>
            </w:rPr>
            <w:t>7</w:t>
          </w:r>
          <w:r w:rsidR="00BC257B">
            <w:rPr>
              <w:rFonts w:asciiTheme="majorBidi" w:hAnsiTheme="majorBidi" w:cstheme="majorBidi"/>
            </w:rPr>
            <w:t>9</w:t>
          </w:r>
        </w:p>
        <w:p w14:paraId="68BE6B20" w14:textId="0E3C4DE0" w:rsidR="008C342E" w:rsidRPr="001C7D53" w:rsidRDefault="008C342E" w:rsidP="008C342E">
          <w:pPr>
            <w:spacing w:after="100" w:line="259" w:lineRule="auto"/>
            <w:ind w:left="1440"/>
            <w:rPr>
              <w:rFonts w:asciiTheme="majorBidi" w:hAnsiTheme="majorBidi" w:cstheme="majorBidi"/>
            </w:rPr>
          </w:pPr>
          <w:r>
            <w:rPr>
              <w:rFonts w:asciiTheme="majorBidi" w:hAnsiTheme="majorBidi" w:cstheme="majorBidi"/>
            </w:rPr>
            <w:t xml:space="preserve">8.1.7. </w:t>
          </w:r>
          <w:r w:rsidRPr="004B4859">
            <w:rPr>
              <w:rFonts w:asciiTheme="majorBidi" w:hAnsiTheme="majorBidi" w:cstheme="majorBidi"/>
            </w:rPr>
            <w:t>Provisions related to Indigenous People</w:t>
          </w:r>
          <w:r w:rsidR="00064417">
            <w:rPr>
              <w:rFonts w:asciiTheme="majorBidi" w:hAnsiTheme="majorBidi" w:cstheme="majorBidi"/>
            </w:rPr>
            <w:t>s</w:t>
          </w:r>
          <w:r w:rsidRPr="004B4859">
            <w:rPr>
              <w:rFonts w:asciiTheme="majorBidi" w:hAnsiTheme="majorBidi" w:cstheme="majorBidi"/>
            </w:rPr>
            <w:t xml:space="preserve"> and Local Communities (Articles 8(j) and 10(c))</w:t>
          </w:r>
          <w:r w:rsidRPr="00AF305B">
            <w:rPr>
              <w:rFonts w:asciiTheme="majorBidi" w:hAnsiTheme="majorBidi" w:cstheme="majorBidi"/>
            </w:rPr>
            <w:ptab w:relativeTo="margin" w:alignment="right" w:leader="dot"/>
          </w:r>
          <w:r w:rsidR="00BC257B">
            <w:rPr>
              <w:rFonts w:asciiTheme="majorBidi" w:hAnsiTheme="majorBidi" w:cstheme="majorBidi"/>
            </w:rPr>
            <w:t>80</w:t>
          </w:r>
        </w:p>
        <w:p w14:paraId="6C20A189" w14:textId="7DEF69BE"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 xml:space="preserve">8.1.8. </w:t>
          </w:r>
          <w:r w:rsidRPr="00061CE6">
            <w:rPr>
              <w:rFonts w:asciiTheme="majorBidi" w:hAnsiTheme="majorBidi" w:cstheme="majorBidi"/>
            </w:rPr>
            <w:t xml:space="preserve">Decisions of the Conference of the Parties referring to synthetic biology </w:t>
          </w:r>
          <w:r w:rsidRPr="00AF305B">
            <w:rPr>
              <w:rFonts w:asciiTheme="majorBidi" w:hAnsiTheme="majorBidi" w:cstheme="majorBidi"/>
            </w:rPr>
            <w:ptab w:relativeTo="margin" w:alignment="right" w:leader="dot"/>
          </w:r>
          <w:r w:rsidR="00910116">
            <w:rPr>
              <w:rFonts w:asciiTheme="majorBidi" w:hAnsiTheme="majorBidi" w:cstheme="majorBidi"/>
            </w:rPr>
            <w:t>8</w:t>
          </w:r>
          <w:r w:rsidR="00BC257B">
            <w:rPr>
              <w:rFonts w:asciiTheme="majorBidi" w:hAnsiTheme="majorBidi" w:cstheme="majorBidi"/>
            </w:rPr>
            <w:t>1</w:t>
          </w:r>
        </w:p>
        <w:p w14:paraId="3AE1E8B9" w14:textId="1AD15ADA" w:rsidR="008C342E" w:rsidRPr="00F60B3D" w:rsidRDefault="008C342E" w:rsidP="008C342E">
          <w:pPr>
            <w:spacing w:after="100" w:line="259" w:lineRule="auto"/>
            <w:ind w:left="720" w:firstLine="360"/>
            <w:rPr>
              <w:rFonts w:asciiTheme="majorBidi" w:hAnsiTheme="majorBidi" w:cstheme="majorBidi"/>
            </w:rPr>
          </w:pPr>
          <w:r>
            <w:rPr>
              <w:rFonts w:asciiTheme="majorBidi" w:hAnsiTheme="majorBidi" w:cstheme="majorBidi"/>
            </w:rPr>
            <w:t>8</w:t>
          </w:r>
          <w:r w:rsidRPr="00F60B3D">
            <w:rPr>
              <w:rFonts w:asciiTheme="majorBidi" w:hAnsiTheme="majorBidi" w:cstheme="majorBidi"/>
            </w:rPr>
            <w:t>.</w:t>
          </w:r>
          <w:r>
            <w:rPr>
              <w:rFonts w:asciiTheme="majorBidi" w:hAnsiTheme="majorBidi" w:cstheme="majorBidi"/>
            </w:rPr>
            <w:t>2</w:t>
          </w:r>
          <w:r w:rsidRPr="00F60B3D">
            <w:rPr>
              <w:rFonts w:asciiTheme="majorBidi" w:hAnsiTheme="majorBidi" w:cstheme="majorBidi"/>
            </w:rPr>
            <w:t xml:space="preserve">. </w:t>
          </w:r>
          <w:r>
            <w:rPr>
              <w:rFonts w:asciiTheme="majorBidi" w:hAnsiTheme="majorBidi" w:cstheme="majorBidi"/>
            </w:rPr>
            <w:t>Cartagena Protocol on Biosafety</w:t>
          </w:r>
          <w:r w:rsidRPr="00AF305B">
            <w:ptab w:relativeTo="margin" w:alignment="right" w:leader="dot"/>
          </w:r>
          <w:r w:rsidR="003968EA">
            <w:rPr>
              <w:rFonts w:asciiTheme="majorBidi" w:hAnsiTheme="majorBidi" w:cstheme="majorBidi"/>
            </w:rPr>
            <w:t>8</w:t>
          </w:r>
          <w:r w:rsidR="00BC257B">
            <w:rPr>
              <w:rFonts w:asciiTheme="majorBidi" w:hAnsiTheme="majorBidi" w:cstheme="majorBidi"/>
            </w:rPr>
            <w:t>3</w:t>
          </w:r>
        </w:p>
        <w:p w14:paraId="07A9E70A" w14:textId="7DABE285"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 xml:space="preserve">8.2.1. </w:t>
          </w:r>
          <w:r w:rsidRPr="008A5331">
            <w:rPr>
              <w:rFonts w:asciiTheme="majorBidi" w:hAnsiTheme="majorBidi" w:cstheme="majorBidi"/>
            </w:rPr>
            <w:t xml:space="preserve">LMOs and components, organisms and products of synthetic biology </w:t>
          </w:r>
          <w:r w:rsidRPr="00AF305B">
            <w:rPr>
              <w:rFonts w:asciiTheme="majorBidi" w:hAnsiTheme="majorBidi" w:cstheme="majorBidi"/>
            </w:rPr>
            <w:ptab w:relativeTo="margin" w:alignment="right" w:leader="dot"/>
          </w:r>
          <w:r w:rsidR="003968EA">
            <w:rPr>
              <w:rFonts w:asciiTheme="majorBidi" w:hAnsiTheme="majorBidi" w:cstheme="majorBidi"/>
            </w:rPr>
            <w:t>8</w:t>
          </w:r>
          <w:r w:rsidR="00BC257B">
            <w:rPr>
              <w:rFonts w:asciiTheme="majorBidi" w:hAnsiTheme="majorBidi" w:cstheme="majorBidi"/>
            </w:rPr>
            <w:t>3</w:t>
          </w:r>
        </w:p>
        <w:p w14:paraId="1C111857" w14:textId="07ACF9EA" w:rsidR="008C342E" w:rsidRDefault="008C342E" w:rsidP="008C342E">
          <w:pPr>
            <w:spacing w:after="100" w:line="259" w:lineRule="auto"/>
            <w:ind w:left="1440"/>
            <w:rPr>
              <w:rFonts w:asciiTheme="majorBidi" w:hAnsiTheme="majorBidi" w:cstheme="majorBidi"/>
            </w:rPr>
          </w:pPr>
          <w:r>
            <w:rPr>
              <w:rFonts w:asciiTheme="majorBidi" w:hAnsiTheme="majorBidi" w:cstheme="majorBidi"/>
            </w:rPr>
            <w:t xml:space="preserve">8.2.2. </w:t>
          </w:r>
          <w:r w:rsidRPr="00692281">
            <w:rPr>
              <w:rFonts w:asciiTheme="majorBidi" w:hAnsiTheme="majorBidi" w:cstheme="majorBidi"/>
            </w:rPr>
            <w:t xml:space="preserve">Key provisions of the Cartagena Protocol governing LMOs and related exemptions and exclusions </w:t>
          </w:r>
          <w:r w:rsidRPr="00AF305B">
            <w:rPr>
              <w:rFonts w:asciiTheme="majorBidi" w:hAnsiTheme="majorBidi" w:cstheme="majorBidi"/>
            </w:rPr>
            <w:ptab w:relativeTo="margin" w:alignment="right" w:leader="dot"/>
          </w:r>
          <w:r w:rsidR="003968EA">
            <w:rPr>
              <w:rFonts w:asciiTheme="majorBidi" w:hAnsiTheme="majorBidi" w:cstheme="majorBidi"/>
            </w:rPr>
            <w:t>8</w:t>
          </w:r>
          <w:r w:rsidR="00BC257B">
            <w:rPr>
              <w:rFonts w:asciiTheme="majorBidi" w:hAnsiTheme="majorBidi" w:cstheme="majorBidi"/>
            </w:rPr>
            <w:t>6</w:t>
          </w:r>
        </w:p>
        <w:p w14:paraId="56DF93CD" w14:textId="64524A69"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 xml:space="preserve">8.2.3. </w:t>
          </w:r>
          <w:r w:rsidRPr="002B5452">
            <w:rPr>
              <w:rFonts w:asciiTheme="majorBidi" w:hAnsiTheme="majorBidi" w:cstheme="majorBidi"/>
            </w:rPr>
            <w:t>Other relevant provisions of the Protocol</w:t>
          </w:r>
          <w:r w:rsidRPr="00AF305B">
            <w:rPr>
              <w:rFonts w:asciiTheme="majorBidi" w:hAnsiTheme="majorBidi" w:cstheme="majorBidi"/>
            </w:rPr>
            <w:ptab w:relativeTo="margin" w:alignment="right" w:leader="dot"/>
          </w:r>
          <w:r w:rsidR="00BC257B">
            <w:rPr>
              <w:rFonts w:asciiTheme="majorBidi" w:hAnsiTheme="majorBidi" w:cstheme="majorBidi"/>
            </w:rPr>
            <w:t>90</w:t>
          </w:r>
        </w:p>
        <w:p w14:paraId="5A360347" w14:textId="73297414" w:rsidR="008C342E" w:rsidRPr="00F60B3D" w:rsidRDefault="008C342E" w:rsidP="008C342E">
          <w:pPr>
            <w:spacing w:after="100" w:line="259" w:lineRule="auto"/>
            <w:ind w:left="1080"/>
            <w:rPr>
              <w:rFonts w:asciiTheme="majorBidi" w:hAnsiTheme="majorBidi" w:cstheme="majorBidi"/>
            </w:rPr>
          </w:pPr>
          <w:r>
            <w:rPr>
              <w:rFonts w:asciiTheme="majorBidi" w:hAnsiTheme="majorBidi" w:cstheme="majorBidi"/>
            </w:rPr>
            <w:t>8</w:t>
          </w:r>
          <w:r w:rsidRPr="00F60B3D">
            <w:rPr>
              <w:rFonts w:asciiTheme="majorBidi" w:hAnsiTheme="majorBidi" w:cstheme="majorBidi"/>
            </w:rPr>
            <w:t>.</w:t>
          </w:r>
          <w:r>
            <w:rPr>
              <w:rFonts w:asciiTheme="majorBidi" w:hAnsiTheme="majorBidi" w:cstheme="majorBidi"/>
            </w:rPr>
            <w:t>3</w:t>
          </w:r>
          <w:r w:rsidRPr="00F60B3D">
            <w:rPr>
              <w:rFonts w:asciiTheme="majorBidi" w:hAnsiTheme="majorBidi" w:cstheme="majorBidi"/>
            </w:rPr>
            <w:t xml:space="preserve">. </w:t>
          </w:r>
          <w:r w:rsidRPr="00495E8D">
            <w:rPr>
              <w:rFonts w:asciiTheme="majorBidi" w:hAnsiTheme="majorBidi" w:cstheme="majorBidi"/>
            </w:rPr>
            <w:t>Nagoya – Kuala Lumpur Supplementary Protocol on Liability and Redress to the Cartagena Protocol on Biosafety</w:t>
          </w:r>
          <w:r w:rsidRPr="00AF305B">
            <w:ptab w:relativeTo="margin" w:alignment="right" w:leader="dot"/>
          </w:r>
          <w:r w:rsidR="003968EA">
            <w:rPr>
              <w:rFonts w:asciiTheme="majorBidi" w:hAnsiTheme="majorBidi" w:cstheme="majorBidi"/>
            </w:rPr>
            <w:t>9</w:t>
          </w:r>
          <w:r w:rsidR="00BC257B">
            <w:rPr>
              <w:rFonts w:asciiTheme="majorBidi" w:hAnsiTheme="majorBidi" w:cstheme="majorBidi"/>
            </w:rPr>
            <w:t>1</w:t>
          </w:r>
        </w:p>
        <w:p w14:paraId="65289288" w14:textId="02A2E2CF" w:rsidR="008C342E" w:rsidRPr="007E365C" w:rsidRDefault="008C342E" w:rsidP="008C342E">
          <w:pPr>
            <w:spacing w:after="100" w:line="259" w:lineRule="auto"/>
            <w:ind w:left="1080"/>
          </w:pPr>
          <w:r>
            <w:rPr>
              <w:rFonts w:asciiTheme="majorBidi" w:hAnsiTheme="majorBidi" w:cstheme="majorBidi"/>
            </w:rPr>
            <w:t>8</w:t>
          </w:r>
          <w:r w:rsidRPr="00F60B3D">
            <w:rPr>
              <w:rFonts w:asciiTheme="majorBidi" w:hAnsiTheme="majorBidi" w:cstheme="majorBidi"/>
            </w:rPr>
            <w:t>.</w:t>
          </w:r>
          <w:r>
            <w:rPr>
              <w:rFonts w:asciiTheme="majorBidi" w:hAnsiTheme="majorBidi" w:cstheme="majorBidi"/>
            </w:rPr>
            <w:t>4</w:t>
          </w:r>
          <w:r w:rsidRPr="00F60B3D">
            <w:rPr>
              <w:rFonts w:asciiTheme="majorBidi" w:hAnsiTheme="majorBidi" w:cstheme="majorBidi"/>
            </w:rPr>
            <w:t xml:space="preserve">. </w:t>
          </w:r>
          <w:r w:rsidRPr="00B07E01">
            <w:rPr>
              <w:rFonts w:asciiTheme="majorBidi" w:hAnsiTheme="majorBidi" w:cstheme="majorBidi"/>
            </w:rPr>
            <w:t>Nagoya Protocol on Access to Genetic Resources and the Fair and Equitable Sharing of Benefits Arising from their Utilization to the Convention on Biological Diversity.</w:t>
          </w:r>
          <w:r w:rsidRPr="00AF305B">
            <w:ptab w:relativeTo="margin" w:alignment="right" w:leader="dot"/>
          </w:r>
          <w:r w:rsidR="003968EA">
            <w:rPr>
              <w:rFonts w:asciiTheme="majorBidi" w:hAnsiTheme="majorBidi" w:cstheme="majorBidi"/>
            </w:rPr>
            <w:t>92</w:t>
          </w:r>
        </w:p>
        <w:p w14:paraId="608A6025" w14:textId="7B13ECC7"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 xml:space="preserve">8.4.1. </w:t>
          </w:r>
          <w:r w:rsidRPr="005C4124">
            <w:rPr>
              <w:rFonts w:asciiTheme="majorBidi" w:hAnsiTheme="majorBidi" w:cstheme="majorBidi"/>
            </w:rPr>
            <w:t>Synthetic biology and the "utilization of genetic resources</w:t>
          </w:r>
          <w:r>
            <w:rPr>
              <w:rFonts w:asciiTheme="majorBidi" w:hAnsiTheme="majorBidi" w:cstheme="majorBidi"/>
            </w:rPr>
            <w:t>”</w:t>
          </w:r>
          <w:r w:rsidRPr="00AF305B">
            <w:rPr>
              <w:rFonts w:asciiTheme="majorBidi" w:hAnsiTheme="majorBidi" w:cstheme="majorBidi"/>
            </w:rPr>
            <w:ptab w:relativeTo="margin" w:alignment="right" w:leader="dot"/>
          </w:r>
          <w:r w:rsidR="003968EA">
            <w:rPr>
              <w:rFonts w:asciiTheme="majorBidi" w:hAnsiTheme="majorBidi" w:cstheme="majorBidi"/>
            </w:rPr>
            <w:t>9</w:t>
          </w:r>
          <w:r w:rsidR="00751051">
            <w:rPr>
              <w:rFonts w:asciiTheme="majorBidi" w:hAnsiTheme="majorBidi" w:cstheme="majorBidi"/>
            </w:rPr>
            <w:t>3</w:t>
          </w:r>
        </w:p>
        <w:p w14:paraId="37974522" w14:textId="3E648AC9" w:rsidR="008C342E" w:rsidRDefault="008C342E" w:rsidP="008C342E">
          <w:pPr>
            <w:spacing w:after="100" w:line="259" w:lineRule="auto"/>
            <w:ind w:left="1440"/>
            <w:rPr>
              <w:rFonts w:asciiTheme="majorBidi" w:hAnsiTheme="majorBidi" w:cstheme="majorBidi"/>
            </w:rPr>
          </w:pPr>
          <w:r>
            <w:rPr>
              <w:rFonts w:asciiTheme="majorBidi" w:hAnsiTheme="majorBidi" w:cstheme="majorBidi"/>
            </w:rPr>
            <w:t xml:space="preserve">8.4.2. </w:t>
          </w:r>
          <w:r w:rsidRPr="00D51F17">
            <w:rPr>
              <w:rFonts w:asciiTheme="majorBidi" w:hAnsiTheme="majorBidi" w:cstheme="majorBidi"/>
            </w:rPr>
            <w:t>Benefit-sharing and the degree of modification of genetic resources</w:t>
          </w:r>
          <w:r w:rsidRPr="00AF305B">
            <w:rPr>
              <w:rFonts w:asciiTheme="majorBidi" w:hAnsiTheme="majorBidi" w:cstheme="majorBidi"/>
            </w:rPr>
            <w:ptab w:relativeTo="margin" w:alignment="right" w:leader="dot"/>
          </w:r>
          <w:r w:rsidR="003968EA">
            <w:rPr>
              <w:rFonts w:asciiTheme="majorBidi" w:hAnsiTheme="majorBidi" w:cstheme="majorBidi"/>
            </w:rPr>
            <w:t>9</w:t>
          </w:r>
          <w:r w:rsidR="00751051">
            <w:rPr>
              <w:rFonts w:asciiTheme="majorBidi" w:hAnsiTheme="majorBidi" w:cstheme="majorBidi"/>
            </w:rPr>
            <w:t>3</w:t>
          </w:r>
        </w:p>
        <w:p w14:paraId="4143ED16" w14:textId="04A07BCD"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 xml:space="preserve">8.4.3. </w:t>
          </w:r>
          <w:r w:rsidRPr="008A2389">
            <w:rPr>
              <w:rFonts w:asciiTheme="majorBidi" w:hAnsiTheme="majorBidi" w:cstheme="majorBidi"/>
            </w:rPr>
            <w:t>Derivatives and synthetic biology</w:t>
          </w:r>
          <w:r w:rsidRPr="00AF305B">
            <w:rPr>
              <w:rFonts w:asciiTheme="majorBidi" w:hAnsiTheme="majorBidi" w:cstheme="majorBidi"/>
            </w:rPr>
            <w:ptab w:relativeTo="margin" w:alignment="right" w:leader="dot"/>
          </w:r>
          <w:r w:rsidR="003968EA">
            <w:rPr>
              <w:rFonts w:asciiTheme="majorBidi" w:hAnsiTheme="majorBidi" w:cstheme="majorBidi"/>
            </w:rPr>
            <w:t>9</w:t>
          </w:r>
          <w:r w:rsidR="00751051">
            <w:rPr>
              <w:rFonts w:asciiTheme="majorBidi" w:hAnsiTheme="majorBidi" w:cstheme="majorBidi"/>
            </w:rPr>
            <w:t>4</w:t>
          </w:r>
        </w:p>
        <w:p w14:paraId="65EB469F" w14:textId="4C249F68" w:rsidR="008C342E" w:rsidRPr="00F60B3D" w:rsidRDefault="008C342E" w:rsidP="008C342E">
          <w:pPr>
            <w:spacing w:after="100" w:line="259" w:lineRule="auto"/>
            <w:ind w:left="720"/>
            <w:rPr>
              <w:rFonts w:asciiTheme="majorBidi" w:hAnsiTheme="majorBidi" w:cstheme="majorBidi"/>
            </w:rPr>
          </w:pPr>
          <w:r>
            <w:rPr>
              <w:rFonts w:asciiTheme="majorBidi" w:hAnsiTheme="majorBidi" w:cstheme="majorBidi"/>
            </w:rPr>
            <w:t>9</w:t>
          </w:r>
          <w:r w:rsidRPr="00F60B3D">
            <w:rPr>
              <w:rFonts w:asciiTheme="majorBidi" w:hAnsiTheme="majorBidi" w:cstheme="majorBidi"/>
            </w:rPr>
            <w:t xml:space="preserve">. </w:t>
          </w:r>
          <w:bookmarkStart w:id="7" w:name="_Hlk70859647"/>
          <w:r w:rsidRPr="00835C13">
            <w:rPr>
              <w:rFonts w:asciiTheme="majorBidi" w:hAnsiTheme="majorBidi" w:cstheme="majorBidi"/>
            </w:rPr>
            <w:t>Other Relevant International Rules and Regulatory Practices, Processes and Initiatives with Implications for the Governance of Synthetic Biology</w:t>
          </w:r>
          <w:bookmarkEnd w:id="7"/>
          <w:r w:rsidRPr="00AF305B">
            <w:ptab w:relativeTo="margin" w:alignment="right" w:leader="dot"/>
          </w:r>
          <w:r w:rsidR="003968EA">
            <w:rPr>
              <w:rFonts w:asciiTheme="majorBidi" w:hAnsiTheme="majorBidi" w:cstheme="majorBidi"/>
            </w:rPr>
            <w:t>9</w:t>
          </w:r>
          <w:r w:rsidR="00751051">
            <w:rPr>
              <w:rFonts w:asciiTheme="majorBidi" w:hAnsiTheme="majorBidi" w:cstheme="majorBidi"/>
            </w:rPr>
            <w:t>4</w:t>
          </w:r>
        </w:p>
        <w:p w14:paraId="0E01359B" w14:textId="0AAE139B" w:rsidR="008C342E" w:rsidRPr="00F60B3D" w:rsidRDefault="008C342E" w:rsidP="008C342E">
          <w:pPr>
            <w:spacing w:after="100" w:line="259" w:lineRule="auto"/>
            <w:ind w:left="720" w:firstLine="360"/>
            <w:rPr>
              <w:rFonts w:asciiTheme="majorBidi" w:hAnsiTheme="majorBidi" w:cstheme="majorBidi"/>
            </w:rPr>
          </w:pPr>
          <w:r>
            <w:rPr>
              <w:rFonts w:asciiTheme="majorBidi" w:hAnsiTheme="majorBidi" w:cstheme="majorBidi"/>
            </w:rPr>
            <w:t>9</w:t>
          </w:r>
          <w:r w:rsidRPr="00F60B3D">
            <w:rPr>
              <w:rFonts w:asciiTheme="majorBidi" w:hAnsiTheme="majorBidi" w:cstheme="majorBidi"/>
            </w:rPr>
            <w:t>.</w:t>
          </w:r>
          <w:r>
            <w:rPr>
              <w:rFonts w:asciiTheme="majorBidi" w:hAnsiTheme="majorBidi" w:cstheme="majorBidi"/>
            </w:rPr>
            <w:t>1</w:t>
          </w:r>
          <w:r w:rsidRPr="00F60B3D">
            <w:rPr>
              <w:rFonts w:asciiTheme="majorBidi" w:hAnsiTheme="majorBidi" w:cstheme="majorBidi"/>
            </w:rPr>
            <w:t xml:space="preserve">. </w:t>
          </w:r>
          <w:r>
            <w:rPr>
              <w:rFonts w:asciiTheme="majorBidi" w:hAnsiTheme="majorBidi" w:cstheme="majorBidi"/>
            </w:rPr>
            <w:t>Overview</w:t>
          </w:r>
          <w:r w:rsidRPr="00AF305B">
            <w:ptab w:relativeTo="margin" w:alignment="right" w:leader="dot"/>
          </w:r>
          <w:r w:rsidR="003968EA">
            <w:rPr>
              <w:rFonts w:asciiTheme="majorBidi" w:hAnsiTheme="majorBidi" w:cstheme="majorBidi"/>
            </w:rPr>
            <w:t>9</w:t>
          </w:r>
          <w:r w:rsidR="00751051">
            <w:rPr>
              <w:rFonts w:asciiTheme="majorBidi" w:hAnsiTheme="majorBidi" w:cstheme="majorBidi"/>
            </w:rPr>
            <w:t>4</w:t>
          </w:r>
        </w:p>
        <w:p w14:paraId="5F7227BD" w14:textId="5DC12FB8" w:rsidR="008C342E" w:rsidRPr="00F60B3D" w:rsidRDefault="008C342E" w:rsidP="008C342E">
          <w:pPr>
            <w:spacing w:after="100" w:line="259" w:lineRule="auto"/>
            <w:ind w:left="720" w:firstLine="360"/>
            <w:rPr>
              <w:rFonts w:asciiTheme="majorBidi" w:hAnsiTheme="majorBidi" w:cstheme="majorBidi"/>
            </w:rPr>
          </w:pPr>
          <w:r>
            <w:rPr>
              <w:rFonts w:asciiTheme="majorBidi" w:hAnsiTheme="majorBidi" w:cstheme="majorBidi"/>
            </w:rPr>
            <w:t>9</w:t>
          </w:r>
          <w:r w:rsidRPr="00F60B3D">
            <w:rPr>
              <w:rFonts w:asciiTheme="majorBidi" w:hAnsiTheme="majorBidi" w:cstheme="majorBidi"/>
            </w:rPr>
            <w:t>.</w:t>
          </w:r>
          <w:r>
            <w:rPr>
              <w:rFonts w:asciiTheme="majorBidi" w:hAnsiTheme="majorBidi" w:cstheme="majorBidi"/>
            </w:rPr>
            <w:t>2</w:t>
          </w:r>
          <w:r w:rsidRPr="00F60B3D">
            <w:rPr>
              <w:rFonts w:asciiTheme="majorBidi" w:hAnsiTheme="majorBidi" w:cstheme="majorBidi"/>
            </w:rPr>
            <w:t xml:space="preserve">. </w:t>
          </w:r>
          <w:r w:rsidRPr="00AD2173">
            <w:rPr>
              <w:rFonts w:asciiTheme="majorBidi" w:hAnsiTheme="majorBidi" w:cstheme="majorBidi"/>
            </w:rPr>
            <w:t>International laws, processes and initiatives with a substantive program of work addressing synthetic biology</w:t>
          </w:r>
          <w:r w:rsidRPr="00AF305B">
            <w:ptab w:relativeTo="margin" w:alignment="right" w:leader="dot"/>
          </w:r>
          <w:r w:rsidR="003968EA">
            <w:rPr>
              <w:rFonts w:asciiTheme="majorBidi" w:hAnsiTheme="majorBidi" w:cstheme="majorBidi"/>
            </w:rPr>
            <w:t>9</w:t>
          </w:r>
          <w:r w:rsidR="00751051">
            <w:rPr>
              <w:rFonts w:asciiTheme="majorBidi" w:hAnsiTheme="majorBidi" w:cstheme="majorBidi"/>
            </w:rPr>
            <w:t>6</w:t>
          </w:r>
        </w:p>
        <w:p w14:paraId="396B72D9" w14:textId="48C5F126"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 xml:space="preserve">9.2.1. </w:t>
          </w:r>
          <w:r w:rsidRPr="005A6737">
            <w:rPr>
              <w:rFonts w:asciiTheme="majorBidi" w:hAnsiTheme="majorBidi" w:cstheme="majorBidi"/>
            </w:rPr>
            <w:t>World Health Organization (WHO)</w:t>
          </w:r>
          <w:r w:rsidRPr="00AF305B">
            <w:rPr>
              <w:rFonts w:asciiTheme="majorBidi" w:hAnsiTheme="majorBidi" w:cstheme="majorBidi"/>
            </w:rPr>
            <w:ptab w:relativeTo="margin" w:alignment="right" w:leader="dot"/>
          </w:r>
          <w:r w:rsidR="00E25C1D">
            <w:rPr>
              <w:rFonts w:asciiTheme="majorBidi" w:hAnsiTheme="majorBidi" w:cstheme="majorBidi"/>
            </w:rPr>
            <w:t>9</w:t>
          </w:r>
          <w:r w:rsidR="00751051">
            <w:rPr>
              <w:rFonts w:asciiTheme="majorBidi" w:hAnsiTheme="majorBidi" w:cstheme="majorBidi"/>
            </w:rPr>
            <w:t>6</w:t>
          </w:r>
        </w:p>
        <w:p w14:paraId="6A21CBF7" w14:textId="270174CC" w:rsidR="008C342E" w:rsidRDefault="008C342E" w:rsidP="008C342E">
          <w:pPr>
            <w:spacing w:after="100" w:line="259" w:lineRule="auto"/>
            <w:ind w:left="1440"/>
            <w:rPr>
              <w:rFonts w:asciiTheme="majorBidi" w:hAnsiTheme="majorBidi" w:cstheme="majorBidi"/>
            </w:rPr>
          </w:pPr>
          <w:r>
            <w:rPr>
              <w:rFonts w:asciiTheme="majorBidi" w:hAnsiTheme="majorBidi" w:cstheme="majorBidi"/>
            </w:rPr>
            <w:t xml:space="preserve">9.2.2. </w:t>
          </w:r>
          <w:r w:rsidRPr="00625E6C">
            <w:rPr>
              <w:rFonts w:asciiTheme="majorBidi" w:hAnsiTheme="majorBidi" w:cstheme="majorBidi"/>
            </w:rPr>
            <w:t xml:space="preserve">Convention on International Trade in Endangered Species of Wild Fauna and Flora </w:t>
          </w:r>
          <w:r w:rsidRPr="00AF305B">
            <w:rPr>
              <w:rFonts w:asciiTheme="majorBidi" w:hAnsiTheme="majorBidi" w:cstheme="majorBidi"/>
            </w:rPr>
            <w:ptab w:relativeTo="margin" w:alignment="right" w:leader="dot"/>
          </w:r>
          <w:r w:rsidR="00E25C1D">
            <w:rPr>
              <w:rFonts w:asciiTheme="majorBidi" w:hAnsiTheme="majorBidi" w:cstheme="majorBidi"/>
            </w:rPr>
            <w:t>100</w:t>
          </w:r>
        </w:p>
        <w:p w14:paraId="2D9ABA78" w14:textId="45CFEFA4" w:rsidR="008C342E" w:rsidRDefault="008C342E" w:rsidP="008C342E">
          <w:pPr>
            <w:spacing w:after="100" w:line="259" w:lineRule="auto"/>
            <w:ind w:left="720" w:firstLine="720"/>
            <w:rPr>
              <w:rFonts w:asciiTheme="majorBidi" w:hAnsiTheme="majorBidi" w:cstheme="majorBidi"/>
            </w:rPr>
          </w:pPr>
          <w:r>
            <w:rPr>
              <w:rFonts w:asciiTheme="majorBidi" w:hAnsiTheme="majorBidi" w:cstheme="majorBidi"/>
            </w:rPr>
            <w:t xml:space="preserve">9.2.3. </w:t>
          </w:r>
          <w:r w:rsidRPr="007A7D61">
            <w:rPr>
              <w:rFonts w:asciiTheme="majorBidi" w:hAnsiTheme="majorBidi" w:cstheme="majorBidi"/>
            </w:rPr>
            <w:t>International Union for Conservation</w:t>
          </w:r>
          <w:r w:rsidR="00064417">
            <w:rPr>
              <w:rFonts w:asciiTheme="majorBidi" w:hAnsiTheme="majorBidi" w:cstheme="majorBidi"/>
            </w:rPr>
            <w:t xml:space="preserve"> of Nature</w:t>
          </w:r>
          <w:r w:rsidRPr="00AF305B">
            <w:rPr>
              <w:rFonts w:asciiTheme="majorBidi" w:hAnsiTheme="majorBidi" w:cstheme="majorBidi"/>
            </w:rPr>
            <w:ptab w:relativeTo="margin" w:alignment="right" w:leader="dot"/>
          </w:r>
          <w:r w:rsidR="00E25C1D">
            <w:rPr>
              <w:rFonts w:asciiTheme="majorBidi" w:hAnsiTheme="majorBidi" w:cstheme="majorBidi"/>
            </w:rPr>
            <w:t>10</w:t>
          </w:r>
          <w:r w:rsidR="00751051">
            <w:rPr>
              <w:rFonts w:asciiTheme="majorBidi" w:hAnsiTheme="majorBidi" w:cstheme="majorBidi"/>
            </w:rPr>
            <w:t>2</w:t>
          </w:r>
        </w:p>
        <w:p w14:paraId="23F04B1D" w14:textId="77343609" w:rsidR="008C342E" w:rsidRPr="00F60B3D" w:rsidRDefault="008C342E" w:rsidP="008C342E">
          <w:pPr>
            <w:spacing w:after="100" w:line="259" w:lineRule="auto"/>
            <w:ind w:left="720" w:firstLine="360"/>
            <w:rPr>
              <w:rFonts w:asciiTheme="majorBidi" w:hAnsiTheme="majorBidi" w:cstheme="majorBidi"/>
            </w:rPr>
          </w:pPr>
          <w:r>
            <w:rPr>
              <w:rFonts w:asciiTheme="majorBidi" w:hAnsiTheme="majorBidi" w:cstheme="majorBidi"/>
            </w:rPr>
            <w:t>9</w:t>
          </w:r>
          <w:r w:rsidRPr="00F60B3D">
            <w:rPr>
              <w:rFonts w:asciiTheme="majorBidi" w:hAnsiTheme="majorBidi" w:cstheme="majorBidi"/>
            </w:rPr>
            <w:t>.</w:t>
          </w:r>
          <w:r>
            <w:rPr>
              <w:rFonts w:asciiTheme="majorBidi" w:hAnsiTheme="majorBidi" w:cstheme="majorBidi"/>
            </w:rPr>
            <w:t>3</w:t>
          </w:r>
          <w:r w:rsidRPr="00F60B3D">
            <w:rPr>
              <w:rFonts w:asciiTheme="majorBidi" w:hAnsiTheme="majorBidi" w:cstheme="majorBidi"/>
            </w:rPr>
            <w:t xml:space="preserve">. </w:t>
          </w:r>
          <w:r w:rsidRPr="00E45C7C">
            <w:rPr>
              <w:rFonts w:asciiTheme="majorBidi" w:hAnsiTheme="majorBidi" w:cstheme="majorBidi"/>
            </w:rPr>
            <w:t>Other International laws, processes, and initiatives with potential implications for the governance of synthetic biology</w:t>
          </w:r>
          <w:r w:rsidRPr="00AF305B">
            <w:ptab w:relativeTo="margin" w:alignment="right" w:leader="dot"/>
          </w:r>
          <w:r w:rsidR="00E25C1D">
            <w:rPr>
              <w:rFonts w:asciiTheme="majorBidi" w:hAnsiTheme="majorBidi" w:cstheme="majorBidi"/>
            </w:rPr>
            <w:t>103</w:t>
          </w:r>
        </w:p>
        <w:p w14:paraId="547E4FE1" w14:textId="38688E5C"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9.3.1. Risk of harm</w:t>
          </w:r>
          <w:r w:rsidRPr="00AF305B">
            <w:rPr>
              <w:rFonts w:asciiTheme="majorBidi" w:hAnsiTheme="majorBidi" w:cstheme="majorBidi"/>
            </w:rPr>
            <w:ptab w:relativeTo="margin" w:alignment="right" w:leader="dot"/>
          </w:r>
          <w:r w:rsidR="00E25C1D">
            <w:rPr>
              <w:rFonts w:asciiTheme="majorBidi" w:hAnsiTheme="majorBidi" w:cstheme="majorBidi"/>
            </w:rPr>
            <w:t>103</w:t>
          </w:r>
        </w:p>
        <w:p w14:paraId="0CCB5B5C" w14:textId="2A7C5BD6" w:rsidR="008C342E" w:rsidRDefault="008C342E" w:rsidP="008C342E">
          <w:pPr>
            <w:spacing w:after="100" w:line="259" w:lineRule="auto"/>
            <w:ind w:left="1440"/>
            <w:rPr>
              <w:rFonts w:asciiTheme="majorBidi" w:hAnsiTheme="majorBidi" w:cstheme="majorBidi"/>
            </w:rPr>
          </w:pPr>
          <w:r>
            <w:rPr>
              <w:rFonts w:asciiTheme="majorBidi" w:hAnsiTheme="majorBidi" w:cstheme="majorBidi"/>
            </w:rPr>
            <w:t xml:space="preserve">9.3.2. </w:t>
          </w:r>
          <w:r w:rsidRPr="005402B8">
            <w:rPr>
              <w:rFonts w:asciiTheme="majorBidi" w:hAnsiTheme="majorBidi" w:cstheme="majorBidi"/>
            </w:rPr>
            <w:t>Free, Prior and Informed Consent of Indigenous People and Local Communities</w:t>
          </w:r>
          <w:r w:rsidRPr="00AF305B">
            <w:rPr>
              <w:rFonts w:asciiTheme="majorBidi" w:hAnsiTheme="majorBidi" w:cstheme="majorBidi"/>
            </w:rPr>
            <w:ptab w:relativeTo="margin" w:alignment="right" w:leader="dot"/>
          </w:r>
          <w:r w:rsidR="00E25C1D">
            <w:rPr>
              <w:rFonts w:asciiTheme="majorBidi" w:hAnsiTheme="majorBidi" w:cstheme="majorBidi"/>
            </w:rPr>
            <w:t>11</w:t>
          </w:r>
          <w:r w:rsidR="00751051">
            <w:rPr>
              <w:rFonts w:asciiTheme="majorBidi" w:hAnsiTheme="majorBidi" w:cstheme="majorBidi"/>
            </w:rPr>
            <w:t>1</w:t>
          </w:r>
        </w:p>
        <w:p w14:paraId="707C8C1F" w14:textId="3584F3AA"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lastRenderedPageBreak/>
            <w:t xml:space="preserve">9.3.3. </w:t>
          </w:r>
          <w:r w:rsidRPr="00187693">
            <w:rPr>
              <w:rFonts w:asciiTheme="majorBidi" w:hAnsiTheme="majorBidi" w:cstheme="majorBidi"/>
            </w:rPr>
            <w:t>Access &amp; Benefit Sharing</w:t>
          </w:r>
          <w:r w:rsidRPr="00AF305B">
            <w:rPr>
              <w:rFonts w:asciiTheme="majorBidi" w:hAnsiTheme="majorBidi" w:cstheme="majorBidi"/>
            </w:rPr>
            <w:ptab w:relativeTo="margin" w:alignment="right" w:leader="dot"/>
          </w:r>
          <w:r w:rsidR="00E25C1D">
            <w:rPr>
              <w:rFonts w:asciiTheme="majorBidi" w:hAnsiTheme="majorBidi" w:cstheme="majorBidi"/>
            </w:rPr>
            <w:t>11</w:t>
          </w:r>
          <w:r w:rsidR="00751051">
            <w:rPr>
              <w:rFonts w:asciiTheme="majorBidi" w:hAnsiTheme="majorBidi" w:cstheme="majorBidi"/>
            </w:rPr>
            <w:t>2</w:t>
          </w:r>
        </w:p>
        <w:p w14:paraId="751867D6" w14:textId="1F9C4EBE" w:rsidR="008C342E" w:rsidRPr="00F60B3D" w:rsidRDefault="008C342E" w:rsidP="008C342E">
          <w:pPr>
            <w:spacing w:after="100" w:line="259" w:lineRule="auto"/>
            <w:ind w:left="1080"/>
            <w:rPr>
              <w:rFonts w:asciiTheme="majorBidi" w:hAnsiTheme="majorBidi" w:cstheme="majorBidi"/>
            </w:rPr>
          </w:pPr>
          <w:r>
            <w:rPr>
              <w:rFonts w:asciiTheme="majorBidi" w:hAnsiTheme="majorBidi" w:cstheme="majorBidi"/>
            </w:rPr>
            <w:t>9</w:t>
          </w:r>
          <w:r w:rsidRPr="00F60B3D">
            <w:rPr>
              <w:rFonts w:asciiTheme="majorBidi" w:hAnsiTheme="majorBidi" w:cstheme="majorBidi"/>
            </w:rPr>
            <w:t>.</w:t>
          </w:r>
          <w:r>
            <w:rPr>
              <w:rFonts w:asciiTheme="majorBidi" w:hAnsiTheme="majorBidi" w:cstheme="majorBidi"/>
            </w:rPr>
            <w:t>4</w:t>
          </w:r>
          <w:r w:rsidRPr="00F60B3D">
            <w:rPr>
              <w:rFonts w:asciiTheme="majorBidi" w:hAnsiTheme="majorBidi" w:cstheme="majorBidi"/>
            </w:rPr>
            <w:t xml:space="preserve">. </w:t>
          </w:r>
          <w:r w:rsidRPr="00B304D4">
            <w:rPr>
              <w:rFonts w:asciiTheme="majorBidi" w:hAnsiTheme="majorBidi" w:cstheme="majorBidi"/>
            </w:rPr>
            <w:t>Other International laws, processes and initiatives which are relevant to the objectives of the CBD</w:t>
          </w:r>
          <w:r w:rsidRPr="00AF305B">
            <w:ptab w:relativeTo="margin" w:alignment="right" w:leader="dot"/>
          </w:r>
          <w:r w:rsidR="00E25C1D">
            <w:rPr>
              <w:rFonts w:asciiTheme="majorBidi" w:hAnsiTheme="majorBidi" w:cstheme="majorBidi"/>
            </w:rPr>
            <w:t>11</w:t>
          </w:r>
          <w:r w:rsidR="00751051">
            <w:rPr>
              <w:rFonts w:asciiTheme="majorBidi" w:hAnsiTheme="majorBidi" w:cstheme="majorBidi"/>
            </w:rPr>
            <w:t>6</w:t>
          </w:r>
        </w:p>
        <w:p w14:paraId="44547035" w14:textId="01AF5A5D" w:rsidR="008C342E" w:rsidRPr="001C7D53" w:rsidRDefault="008C342E" w:rsidP="008C342E">
          <w:pPr>
            <w:spacing w:after="100" w:line="259" w:lineRule="auto"/>
            <w:ind w:left="720" w:firstLine="720"/>
            <w:rPr>
              <w:rFonts w:asciiTheme="majorBidi" w:hAnsiTheme="majorBidi" w:cstheme="majorBidi"/>
            </w:rPr>
          </w:pPr>
          <w:r>
            <w:rPr>
              <w:rFonts w:asciiTheme="majorBidi" w:hAnsiTheme="majorBidi" w:cstheme="majorBidi"/>
            </w:rPr>
            <w:t>9.4.1. Intellectual Property</w:t>
          </w:r>
          <w:r w:rsidRPr="00AF305B">
            <w:rPr>
              <w:rFonts w:asciiTheme="majorBidi" w:hAnsiTheme="majorBidi" w:cstheme="majorBidi"/>
            </w:rPr>
            <w:ptab w:relativeTo="margin" w:alignment="right" w:leader="dot"/>
          </w:r>
          <w:r w:rsidR="00E25C1D">
            <w:rPr>
              <w:rFonts w:asciiTheme="majorBidi" w:hAnsiTheme="majorBidi" w:cstheme="majorBidi"/>
            </w:rPr>
            <w:t>11</w:t>
          </w:r>
          <w:r w:rsidR="00751051">
            <w:rPr>
              <w:rFonts w:asciiTheme="majorBidi" w:hAnsiTheme="majorBidi" w:cstheme="majorBidi"/>
            </w:rPr>
            <w:t>6</w:t>
          </w:r>
        </w:p>
        <w:p w14:paraId="766177A5" w14:textId="2F8288CA" w:rsidR="008C342E" w:rsidRDefault="008C342E" w:rsidP="008C342E">
          <w:pPr>
            <w:spacing w:after="100" w:line="259" w:lineRule="auto"/>
            <w:ind w:left="1440"/>
            <w:rPr>
              <w:rFonts w:asciiTheme="majorBidi" w:hAnsiTheme="majorBidi" w:cstheme="majorBidi"/>
            </w:rPr>
          </w:pPr>
          <w:r>
            <w:rPr>
              <w:rFonts w:asciiTheme="majorBidi" w:hAnsiTheme="majorBidi" w:cstheme="majorBidi"/>
            </w:rPr>
            <w:t>9.4.2. Commerce and Trade</w:t>
          </w:r>
          <w:r w:rsidRPr="00AF305B">
            <w:rPr>
              <w:rFonts w:asciiTheme="majorBidi" w:hAnsiTheme="majorBidi" w:cstheme="majorBidi"/>
            </w:rPr>
            <w:ptab w:relativeTo="margin" w:alignment="right" w:leader="dot"/>
          </w:r>
          <w:r w:rsidR="00E25C1D">
            <w:rPr>
              <w:rFonts w:asciiTheme="majorBidi" w:hAnsiTheme="majorBidi" w:cstheme="majorBidi"/>
            </w:rPr>
            <w:t>1</w:t>
          </w:r>
          <w:r w:rsidR="00751051">
            <w:rPr>
              <w:rFonts w:asciiTheme="majorBidi" w:hAnsiTheme="majorBidi" w:cstheme="majorBidi"/>
            </w:rPr>
            <w:t>20</w:t>
          </w:r>
        </w:p>
        <w:p w14:paraId="1437DF58" w14:textId="6BFA0DAA" w:rsidR="008C342E" w:rsidRDefault="008C342E" w:rsidP="008C342E">
          <w:pPr>
            <w:pStyle w:val="TOC1"/>
            <w:numPr>
              <w:ilvl w:val="0"/>
              <w:numId w:val="237"/>
            </w:numPr>
            <w:spacing w:before="0" w:after="100" w:line="259" w:lineRule="auto"/>
            <w:jc w:val="left"/>
            <w:rPr>
              <w:rFonts w:asciiTheme="majorBidi" w:hAnsiTheme="majorBidi" w:cstheme="majorBidi"/>
              <w:b/>
              <w:bCs/>
            </w:rPr>
          </w:pPr>
          <w:r>
            <w:rPr>
              <w:rFonts w:asciiTheme="majorBidi" w:hAnsiTheme="majorBidi" w:cstheme="majorBidi"/>
              <w:b/>
              <w:bCs/>
            </w:rPr>
            <w:t>OBSERVATIONS, ANALYSES AND CONCLUSIONS</w:t>
          </w:r>
          <w:r w:rsidRPr="00AF305B">
            <w:rPr>
              <w:rFonts w:asciiTheme="majorBidi" w:hAnsiTheme="majorBidi" w:cstheme="majorBidi"/>
            </w:rPr>
            <w:ptab w:relativeTo="margin" w:alignment="right" w:leader="dot"/>
          </w:r>
          <w:r w:rsidR="00E25C1D">
            <w:rPr>
              <w:rFonts w:asciiTheme="majorBidi" w:hAnsiTheme="majorBidi" w:cstheme="majorBidi"/>
            </w:rPr>
            <w:t>125</w:t>
          </w:r>
        </w:p>
        <w:p w14:paraId="3E7FE3BF" w14:textId="3958F5B3" w:rsidR="008C342E" w:rsidRPr="00B84AE8" w:rsidRDefault="008C342E" w:rsidP="008C342E">
          <w:pPr>
            <w:pStyle w:val="TOC1"/>
            <w:spacing w:before="0" w:after="100" w:line="259" w:lineRule="auto"/>
            <w:ind w:firstLine="0"/>
            <w:rPr>
              <w:rFonts w:asciiTheme="majorBidi" w:hAnsiTheme="majorBidi" w:cstheme="majorBidi"/>
              <w:b/>
              <w:bCs/>
            </w:rPr>
          </w:pPr>
          <w:r w:rsidRPr="00B84AE8">
            <w:rPr>
              <w:rFonts w:asciiTheme="majorBidi" w:hAnsiTheme="majorBidi" w:cstheme="majorBidi"/>
            </w:rPr>
            <w:t xml:space="preserve">10. </w:t>
          </w:r>
          <w:r w:rsidRPr="004352CA">
            <w:rPr>
              <w:rFonts w:asciiTheme="majorBidi" w:hAnsiTheme="majorBidi" w:cstheme="majorBidi"/>
              <w:caps w:val="0"/>
              <w:kern w:val="22"/>
            </w:rPr>
            <w:t>Challenges, Gaps and/or Overlaps associated with synthetic biology governance</w:t>
          </w:r>
          <w:r w:rsidRPr="00AF305B">
            <w:ptab w:relativeTo="margin" w:alignment="right" w:leader="dot"/>
          </w:r>
          <w:r w:rsidR="00E25C1D">
            <w:rPr>
              <w:rFonts w:asciiTheme="majorBidi" w:hAnsiTheme="majorBidi" w:cstheme="majorBidi"/>
            </w:rPr>
            <w:t>12</w:t>
          </w:r>
          <w:r w:rsidR="00850C51">
            <w:rPr>
              <w:rFonts w:asciiTheme="majorBidi" w:hAnsiTheme="majorBidi" w:cstheme="majorBidi"/>
            </w:rPr>
            <w:t>6</w:t>
          </w:r>
        </w:p>
        <w:p w14:paraId="4B50F9BE" w14:textId="5704BB6B" w:rsidR="008C342E" w:rsidRPr="00F60B3D" w:rsidRDefault="008C342E" w:rsidP="008C342E">
          <w:pPr>
            <w:spacing w:after="100" w:line="259" w:lineRule="auto"/>
            <w:ind w:left="1080"/>
            <w:rPr>
              <w:rFonts w:asciiTheme="majorBidi" w:hAnsiTheme="majorBidi" w:cstheme="majorBidi"/>
            </w:rPr>
          </w:pPr>
          <w:r>
            <w:rPr>
              <w:rFonts w:asciiTheme="majorBidi" w:hAnsiTheme="majorBidi" w:cstheme="majorBidi"/>
            </w:rPr>
            <w:t>10</w:t>
          </w:r>
          <w:r w:rsidRPr="00F60B3D">
            <w:rPr>
              <w:rFonts w:asciiTheme="majorBidi" w:hAnsiTheme="majorBidi" w:cstheme="majorBidi"/>
            </w:rPr>
            <w:t>.</w:t>
          </w:r>
          <w:r>
            <w:rPr>
              <w:rFonts w:asciiTheme="majorBidi" w:hAnsiTheme="majorBidi" w:cstheme="majorBidi"/>
            </w:rPr>
            <w:t>1</w:t>
          </w:r>
          <w:r w:rsidRPr="00F60B3D">
            <w:rPr>
              <w:rFonts w:asciiTheme="majorBidi" w:hAnsiTheme="majorBidi" w:cstheme="majorBidi"/>
            </w:rPr>
            <w:t xml:space="preserve">. </w:t>
          </w:r>
          <w:r>
            <w:rPr>
              <w:rFonts w:asciiTheme="majorBidi" w:hAnsiTheme="majorBidi" w:cstheme="majorBidi"/>
            </w:rPr>
            <w:t>Risk of harm</w:t>
          </w:r>
          <w:r w:rsidRPr="00AF305B">
            <w:ptab w:relativeTo="margin" w:alignment="right" w:leader="dot"/>
          </w:r>
          <w:r w:rsidR="00E25C1D">
            <w:rPr>
              <w:rFonts w:asciiTheme="majorBidi" w:hAnsiTheme="majorBidi" w:cstheme="majorBidi"/>
            </w:rPr>
            <w:t>12</w:t>
          </w:r>
          <w:r w:rsidR="00850C51">
            <w:rPr>
              <w:rFonts w:asciiTheme="majorBidi" w:hAnsiTheme="majorBidi" w:cstheme="majorBidi"/>
            </w:rPr>
            <w:t>7</w:t>
          </w:r>
        </w:p>
        <w:p w14:paraId="7C89C250" w14:textId="17873BCC" w:rsidR="008C342E" w:rsidRPr="00F60B3D" w:rsidRDefault="008C342E" w:rsidP="008C342E">
          <w:pPr>
            <w:spacing w:after="100" w:line="259" w:lineRule="auto"/>
            <w:ind w:left="1080"/>
            <w:rPr>
              <w:rFonts w:asciiTheme="majorBidi" w:hAnsiTheme="majorBidi" w:cstheme="majorBidi"/>
            </w:rPr>
          </w:pPr>
          <w:r>
            <w:rPr>
              <w:rFonts w:asciiTheme="majorBidi" w:hAnsiTheme="majorBidi" w:cstheme="majorBidi"/>
            </w:rPr>
            <w:t>10</w:t>
          </w:r>
          <w:r w:rsidRPr="00F60B3D">
            <w:rPr>
              <w:rFonts w:asciiTheme="majorBidi" w:hAnsiTheme="majorBidi" w:cstheme="majorBidi"/>
            </w:rPr>
            <w:t>.</w:t>
          </w:r>
          <w:r>
            <w:rPr>
              <w:rFonts w:asciiTheme="majorBidi" w:hAnsiTheme="majorBidi" w:cstheme="majorBidi"/>
            </w:rPr>
            <w:t>2</w:t>
          </w:r>
          <w:r w:rsidRPr="00F60B3D">
            <w:rPr>
              <w:rFonts w:asciiTheme="majorBidi" w:hAnsiTheme="majorBidi" w:cstheme="majorBidi"/>
            </w:rPr>
            <w:t xml:space="preserve">. </w:t>
          </w:r>
          <w:r>
            <w:rPr>
              <w:rFonts w:asciiTheme="majorBidi" w:hAnsiTheme="majorBidi" w:cstheme="majorBidi"/>
            </w:rPr>
            <w:t>Conservation</w:t>
          </w:r>
          <w:r w:rsidRPr="00AF305B">
            <w:ptab w:relativeTo="margin" w:alignment="right" w:leader="dot"/>
          </w:r>
          <w:r w:rsidR="00524B86">
            <w:rPr>
              <w:rFonts w:asciiTheme="majorBidi" w:hAnsiTheme="majorBidi" w:cstheme="majorBidi"/>
            </w:rPr>
            <w:t>12</w:t>
          </w:r>
          <w:r w:rsidR="00850C51">
            <w:rPr>
              <w:rFonts w:asciiTheme="majorBidi" w:hAnsiTheme="majorBidi" w:cstheme="majorBidi"/>
            </w:rPr>
            <w:t>8</w:t>
          </w:r>
        </w:p>
        <w:p w14:paraId="4BF08487" w14:textId="32005F9D" w:rsidR="008C342E" w:rsidRPr="00F60B3D" w:rsidRDefault="008C342E" w:rsidP="008C342E">
          <w:pPr>
            <w:spacing w:after="100" w:line="259" w:lineRule="auto"/>
            <w:ind w:left="1080"/>
            <w:rPr>
              <w:rFonts w:asciiTheme="majorBidi" w:hAnsiTheme="majorBidi" w:cstheme="majorBidi"/>
            </w:rPr>
          </w:pPr>
          <w:r>
            <w:rPr>
              <w:rFonts w:asciiTheme="majorBidi" w:hAnsiTheme="majorBidi" w:cstheme="majorBidi"/>
            </w:rPr>
            <w:t>10</w:t>
          </w:r>
          <w:r w:rsidRPr="00F60B3D">
            <w:rPr>
              <w:rFonts w:asciiTheme="majorBidi" w:hAnsiTheme="majorBidi" w:cstheme="majorBidi"/>
            </w:rPr>
            <w:t>.</w:t>
          </w:r>
          <w:r>
            <w:rPr>
              <w:rFonts w:asciiTheme="majorBidi" w:hAnsiTheme="majorBidi" w:cstheme="majorBidi"/>
            </w:rPr>
            <w:t>3</w:t>
          </w:r>
          <w:r w:rsidRPr="00F60B3D">
            <w:rPr>
              <w:rFonts w:asciiTheme="majorBidi" w:hAnsiTheme="majorBidi" w:cstheme="majorBidi"/>
            </w:rPr>
            <w:t xml:space="preserve">. </w:t>
          </w:r>
          <w:r>
            <w:rPr>
              <w:rFonts w:asciiTheme="majorBidi" w:hAnsiTheme="majorBidi" w:cstheme="majorBidi"/>
            </w:rPr>
            <w:t>Access and benefit-sharing</w:t>
          </w:r>
          <w:r w:rsidRPr="00AF305B">
            <w:ptab w:relativeTo="margin" w:alignment="right" w:leader="dot"/>
          </w:r>
          <w:r w:rsidR="00524B86">
            <w:rPr>
              <w:rFonts w:asciiTheme="majorBidi" w:hAnsiTheme="majorBidi" w:cstheme="majorBidi"/>
            </w:rPr>
            <w:t>128</w:t>
          </w:r>
        </w:p>
        <w:p w14:paraId="6519067B" w14:textId="3A79B44E" w:rsidR="008C342E" w:rsidRPr="00F60B3D" w:rsidRDefault="008C342E" w:rsidP="008C342E">
          <w:pPr>
            <w:spacing w:after="100" w:line="259" w:lineRule="auto"/>
            <w:ind w:left="1080"/>
            <w:rPr>
              <w:rFonts w:asciiTheme="majorBidi" w:hAnsiTheme="majorBidi" w:cstheme="majorBidi"/>
            </w:rPr>
          </w:pPr>
          <w:r>
            <w:rPr>
              <w:rFonts w:asciiTheme="majorBidi" w:hAnsiTheme="majorBidi" w:cstheme="majorBidi"/>
            </w:rPr>
            <w:t>10</w:t>
          </w:r>
          <w:r w:rsidRPr="00F60B3D">
            <w:rPr>
              <w:rFonts w:asciiTheme="majorBidi" w:hAnsiTheme="majorBidi" w:cstheme="majorBidi"/>
            </w:rPr>
            <w:t>.</w:t>
          </w:r>
          <w:r>
            <w:rPr>
              <w:rFonts w:asciiTheme="majorBidi" w:hAnsiTheme="majorBidi" w:cstheme="majorBidi"/>
            </w:rPr>
            <w:t>4</w:t>
          </w:r>
          <w:r w:rsidRPr="00F60B3D">
            <w:rPr>
              <w:rFonts w:asciiTheme="majorBidi" w:hAnsiTheme="majorBidi" w:cstheme="majorBidi"/>
            </w:rPr>
            <w:t xml:space="preserve">. </w:t>
          </w:r>
          <w:r>
            <w:rPr>
              <w:rFonts w:asciiTheme="majorBidi" w:hAnsiTheme="majorBidi" w:cstheme="majorBidi"/>
            </w:rPr>
            <w:t>Commerce and trade</w:t>
          </w:r>
          <w:r w:rsidRPr="00AF305B">
            <w:ptab w:relativeTo="margin" w:alignment="right" w:leader="dot"/>
          </w:r>
          <w:r w:rsidR="00524B86">
            <w:rPr>
              <w:rFonts w:asciiTheme="majorBidi" w:hAnsiTheme="majorBidi" w:cstheme="majorBidi"/>
            </w:rPr>
            <w:t>12</w:t>
          </w:r>
          <w:r w:rsidR="00850C51">
            <w:rPr>
              <w:rFonts w:asciiTheme="majorBidi" w:hAnsiTheme="majorBidi" w:cstheme="majorBidi"/>
            </w:rPr>
            <w:t>9</w:t>
          </w:r>
        </w:p>
        <w:p w14:paraId="0C1A9BEA" w14:textId="239EEC0B" w:rsidR="008C342E" w:rsidRPr="00F60B3D" w:rsidRDefault="008C342E" w:rsidP="008C342E">
          <w:pPr>
            <w:spacing w:after="100" w:line="259" w:lineRule="auto"/>
            <w:ind w:left="1080"/>
            <w:rPr>
              <w:rFonts w:asciiTheme="majorBidi" w:hAnsiTheme="majorBidi" w:cstheme="majorBidi"/>
            </w:rPr>
          </w:pPr>
          <w:r>
            <w:rPr>
              <w:rFonts w:asciiTheme="majorBidi" w:hAnsiTheme="majorBidi" w:cstheme="majorBidi"/>
            </w:rPr>
            <w:t>10</w:t>
          </w:r>
          <w:r w:rsidRPr="00F60B3D">
            <w:rPr>
              <w:rFonts w:asciiTheme="majorBidi" w:hAnsiTheme="majorBidi" w:cstheme="majorBidi"/>
            </w:rPr>
            <w:t>.</w:t>
          </w:r>
          <w:r>
            <w:rPr>
              <w:rFonts w:asciiTheme="majorBidi" w:hAnsiTheme="majorBidi" w:cstheme="majorBidi"/>
            </w:rPr>
            <w:t>5</w:t>
          </w:r>
          <w:r w:rsidRPr="00F60B3D">
            <w:rPr>
              <w:rFonts w:asciiTheme="majorBidi" w:hAnsiTheme="majorBidi" w:cstheme="majorBidi"/>
            </w:rPr>
            <w:t xml:space="preserve">. </w:t>
          </w:r>
          <w:r w:rsidRPr="00842390">
            <w:rPr>
              <w:rFonts w:asciiTheme="majorBidi" w:hAnsiTheme="majorBidi" w:cstheme="majorBidi"/>
            </w:rPr>
            <w:t>The state of knowledge associated with tools, technologies and applications of synthetic biology</w:t>
          </w:r>
          <w:r w:rsidRPr="00AF305B">
            <w:ptab w:relativeTo="margin" w:alignment="right" w:leader="dot"/>
          </w:r>
          <w:r w:rsidR="00524B86">
            <w:rPr>
              <w:rFonts w:asciiTheme="majorBidi" w:hAnsiTheme="majorBidi" w:cstheme="majorBidi"/>
            </w:rPr>
            <w:t>12</w:t>
          </w:r>
          <w:r w:rsidR="00850C51">
            <w:rPr>
              <w:rFonts w:asciiTheme="majorBidi" w:hAnsiTheme="majorBidi" w:cstheme="majorBidi"/>
            </w:rPr>
            <w:t>9</w:t>
          </w:r>
        </w:p>
        <w:p w14:paraId="73DC23D1" w14:textId="46D4AA3F" w:rsidR="008C342E" w:rsidRPr="00F60B3D" w:rsidRDefault="008C342E" w:rsidP="008C342E">
          <w:pPr>
            <w:spacing w:after="100" w:line="259" w:lineRule="auto"/>
            <w:ind w:left="1080"/>
            <w:rPr>
              <w:rFonts w:asciiTheme="majorBidi" w:hAnsiTheme="majorBidi" w:cstheme="majorBidi"/>
            </w:rPr>
          </w:pPr>
          <w:r>
            <w:rPr>
              <w:rFonts w:asciiTheme="majorBidi" w:hAnsiTheme="majorBidi" w:cstheme="majorBidi"/>
            </w:rPr>
            <w:t>10</w:t>
          </w:r>
          <w:r w:rsidRPr="00F60B3D">
            <w:rPr>
              <w:rFonts w:asciiTheme="majorBidi" w:hAnsiTheme="majorBidi" w:cstheme="majorBidi"/>
            </w:rPr>
            <w:t>.</w:t>
          </w:r>
          <w:r>
            <w:rPr>
              <w:rFonts w:asciiTheme="majorBidi" w:hAnsiTheme="majorBidi" w:cstheme="majorBidi"/>
            </w:rPr>
            <w:t>6</w:t>
          </w:r>
          <w:r w:rsidRPr="00F60B3D">
            <w:rPr>
              <w:rFonts w:asciiTheme="majorBidi" w:hAnsiTheme="majorBidi" w:cstheme="majorBidi"/>
            </w:rPr>
            <w:t xml:space="preserve">. </w:t>
          </w:r>
          <w:r w:rsidRPr="003938B9">
            <w:rPr>
              <w:rFonts w:asciiTheme="majorBidi" w:hAnsiTheme="majorBidi" w:cstheme="majorBidi"/>
            </w:rPr>
            <w:t>International governance: social, economic and cultural concerns</w:t>
          </w:r>
          <w:r w:rsidRPr="00AF305B">
            <w:ptab w:relativeTo="margin" w:alignment="right" w:leader="dot"/>
          </w:r>
          <w:r w:rsidR="00524B86">
            <w:rPr>
              <w:rFonts w:asciiTheme="majorBidi" w:hAnsiTheme="majorBidi" w:cstheme="majorBidi"/>
            </w:rPr>
            <w:t>1</w:t>
          </w:r>
          <w:r w:rsidR="00850C51">
            <w:rPr>
              <w:rFonts w:asciiTheme="majorBidi" w:hAnsiTheme="majorBidi" w:cstheme="majorBidi"/>
            </w:rPr>
            <w:t>30</w:t>
          </w:r>
        </w:p>
        <w:p w14:paraId="5F56F186" w14:textId="35CA4C78" w:rsidR="008C342E" w:rsidRPr="00F60B3D" w:rsidRDefault="008C342E" w:rsidP="008C342E">
          <w:pPr>
            <w:spacing w:after="100" w:line="259" w:lineRule="auto"/>
            <w:ind w:left="1080"/>
            <w:rPr>
              <w:rFonts w:asciiTheme="majorBidi" w:hAnsiTheme="majorBidi" w:cstheme="majorBidi"/>
            </w:rPr>
          </w:pPr>
          <w:r>
            <w:rPr>
              <w:rFonts w:asciiTheme="majorBidi" w:hAnsiTheme="majorBidi" w:cstheme="majorBidi"/>
            </w:rPr>
            <w:t>10</w:t>
          </w:r>
          <w:r w:rsidRPr="00F60B3D">
            <w:rPr>
              <w:rFonts w:asciiTheme="majorBidi" w:hAnsiTheme="majorBidi" w:cstheme="majorBidi"/>
            </w:rPr>
            <w:t>.</w:t>
          </w:r>
          <w:r>
            <w:rPr>
              <w:rFonts w:asciiTheme="majorBidi" w:hAnsiTheme="majorBidi" w:cstheme="majorBidi"/>
            </w:rPr>
            <w:t>7</w:t>
          </w:r>
          <w:r w:rsidRPr="00F60B3D">
            <w:rPr>
              <w:rFonts w:asciiTheme="majorBidi" w:hAnsiTheme="majorBidi" w:cstheme="majorBidi"/>
            </w:rPr>
            <w:t xml:space="preserve">. </w:t>
          </w:r>
          <w:r w:rsidRPr="00FC3059">
            <w:rPr>
              <w:rFonts w:asciiTheme="majorBidi" w:hAnsiTheme="majorBidi" w:cstheme="majorBidi"/>
            </w:rPr>
            <w:t>Implementation of regulatory frameworks</w:t>
          </w:r>
          <w:r w:rsidRPr="00AF305B">
            <w:ptab w:relativeTo="margin" w:alignment="right" w:leader="dot"/>
          </w:r>
          <w:r w:rsidR="00524B86">
            <w:rPr>
              <w:rFonts w:asciiTheme="majorBidi" w:hAnsiTheme="majorBidi" w:cstheme="majorBidi"/>
            </w:rPr>
            <w:t>13</w:t>
          </w:r>
          <w:r w:rsidR="00850C51">
            <w:rPr>
              <w:rFonts w:asciiTheme="majorBidi" w:hAnsiTheme="majorBidi" w:cstheme="majorBidi"/>
            </w:rPr>
            <w:t>1</w:t>
          </w:r>
        </w:p>
        <w:p w14:paraId="257C9166" w14:textId="23E5A513" w:rsidR="008C342E" w:rsidRDefault="008C342E" w:rsidP="002B1E0D">
          <w:pPr>
            <w:pStyle w:val="TOC1"/>
            <w:spacing w:before="0" w:after="100" w:line="259" w:lineRule="auto"/>
            <w:ind w:firstLine="0"/>
            <w:rPr>
              <w:rFonts w:asciiTheme="majorBidi" w:hAnsiTheme="majorBidi" w:cstheme="majorBidi"/>
              <w:b/>
              <w:bCs/>
            </w:rPr>
          </w:pPr>
          <w:r w:rsidRPr="00B84AE8">
            <w:rPr>
              <w:rFonts w:asciiTheme="majorBidi" w:hAnsiTheme="majorBidi" w:cstheme="majorBidi"/>
            </w:rPr>
            <w:t>1</w:t>
          </w:r>
          <w:r>
            <w:rPr>
              <w:rFonts w:asciiTheme="majorBidi" w:hAnsiTheme="majorBidi" w:cstheme="majorBidi"/>
            </w:rPr>
            <w:t>1</w:t>
          </w:r>
          <w:r w:rsidRPr="00B84AE8">
            <w:rPr>
              <w:rFonts w:asciiTheme="majorBidi" w:hAnsiTheme="majorBidi" w:cstheme="majorBidi"/>
            </w:rPr>
            <w:t xml:space="preserve">. </w:t>
          </w:r>
          <w:r w:rsidR="004352CA">
            <w:rPr>
              <w:rFonts w:asciiTheme="majorBidi" w:hAnsiTheme="majorBidi" w:cstheme="majorBidi"/>
              <w:caps w:val="0"/>
              <w:kern w:val="22"/>
            </w:rPr>
            <w:t>C</w:t>
          </w:r>
          <w:r w:rsidR="00241BF7">
            <w:rPr>
              <w:rFonts w:asciiTheme="majorBidi" w:hAnsiTheme="majorBidi" w:cstheme="majorBidi"/>
              <w:caps w:val="0"/>
              <w:kern w:val="22"/>
            </w:rPr>
            <w:t>onclusions</w:t>
          </w:r>
          <w:r w:rsidRPr="00AF305B">
            <w:ptab w:relativeTo="margin" w:alignment="right" w:leader="dot"/>
          </w:r>
          <w:r w:rsidR="00524B86">
            <w:rPr>
              <w:rFonts w:asciiTheme="majorBidi" w:hAnsiTheme="majorBidi" w:cstheme="majorBidi"/>
            </w:rPr>
            <w:t>132</w:t>
          </w:r>
        </w:p>
        <w:p w14:paraId="4F145801" w14:textId="77777777" w:rsidR="00CA5753" w:rsidRDefault="008C342E" w:rsidP="00CA5753">
          <w:pPr>
            <w:pStyle w:val="TOC1"/>
            <w:spacing w:before="0" w:after="100" w:line="259" w:lineRule="auto"/>
            <w:ind w:left="0" w:firstLine="0"/>
            <w:rPr>
              <w:rFonts w:asciiTheme="majorBidi" w:hAnsiTheme="majorBidi"/>
            </w:rPr>
          </w:pPr>
          <w:r>
            <w:rPr>
              <w:rFonts w:asciiTheme="majorBidi" w:hAnsiTheme="majorBidi" w:cstheme="majorBidi"/>
              <w:b/>
              <w:bCs/>
            </w:rPr>
            <w:t>BIBLIOGRAPHIC REFERENCES</w:t>
          </w:r>
          <w:r w:rsidRPr="00AF305B">
            <w:rPr>
              <w:rFonts w:asciiTheme="majorBidi" w:hAnsiTheme="majorBidi" w:cstheme="majorBidi"/>
            </w:rPr>
            <w:ptab w:relativeTo="margin" w:alignment="right" w:leader="dot"/>
          </w:r>
          <w:r w:rsidR="00524B86">
            <w:rPr>
              <w:rFonts w:asciiTheme="majorBidi" w:hAnsiTheme="majorBidi" w:cstheme="majorBidi"/>
            </w:rPr>
            <w:t>13</w:t>
          </w:r>
          <w:r w:rsidR="00850C51">
            <w:rPr>
              <w:rFonts w:asciiTheme="majorBidi" w:hAnsiTheme="majorBidi" w:cstheme="majorBidi"/>
            </w:rPr>
            <w:t>6</w:t>
          </w:r>
        </w:p>
      </w:sdtContent>
    </w:sdt>
    <w:p w14:paraId="0C6E7C99" w14:textId="301C772A" w:rsidR="00F3413B" w:rsidRPr="00CA5753" w:rsidRDefault="00F3413B" w:rsidP="00CA5753">
      <w:pPr>
        <w:pStyle w:val="TOC1"/>
        <w:spacing w:before="0" w:after="100" w:line="259" w:lineRule="auto"/>
        <w:ind w:left="0" w:firstLine="0"/>
        <w:rPr>
          <w:rFonts w:asciiTheme="majorBidi" w:hAnsiTheme="majorBidi" w:cstheme="majorBidi"/>
          <w:b/>
          <w:bCs/>
          <w:lang w:eastAsia="en-US"/>
        </w:rPr>
      </w:pPr>
      <w:r>
        <w:rPr>
          <w:b/>
          <w:bCs/>
        </w:rPr>
        <w:br w:type="page"/>
      </w:r>
    </w:p>
    <w:p w14:paraId="3298CE75" w14:textId="4345480C" w:rsidR="00DC64EE" w:rsidRPr="009735A5" w:rsidRDefault="00F3413B" w:rsidP="00DC64EE">
      <w:pPr>
        <w:spacing w:before="120" w:after="120" w:line="240" w:lineRule="auto"/>
        <w:jc w:val="both"/>
        <w:rPr>
          <w:rFonts w:ascii="Times New Roman" w:eastAsia="Times New Roman" w:hAnsi="Times New Roman"/>
          <w:b/>
          <w:bCs/>
          <w:kern w:val="1"/>
          <w:szCs w:val="24"/>
          <w:lang w:eastAsia="ar-SA"/>
        </w:rPr>
      </w:pPr>
      <w:r w:rsidRPr="009735A5">
        <w:rPr>
          <w:rFonts w:ascii="Times New Roman" w:eastAsia="Times New Roman" w:hAnsi="Times New Roman"/>
          <w:b/>
          <w:bCs/>
          <w:kern w:val="1"/>
          <w:szCs w:val="24"/>
          <w:lang w:eastAsia="ar-SA"/>
        </w:rPr>
        <w:lastRenderedPageBreak/>
        <w:t>ABBREVIATIONS AND ACRONYMS</w:t>
      </w:r>
    </w:p>
    <w:tbl>
      <w:tblPr>
        <w:tblW w:w="9360" w:type="dxa"/>
        <w:tblLook w:val="04A0" w:firstRow="1" w:lastRow="0" w:firstColumn="1" w:lastColumn="0" w:noHBand="0" w:noVBand="1"/>
      </w:tblPr>
      <w:tblGrid>
        <w:gridCol w:w="1701"/>
        <w:gridCol w:w="7659"/>
      </w:tblGrid>
      <w:tr w:rsidR="00DC64EE" w:rsidRPr="00DC64EE" w14:paraId="1C9C4FAF" w14:textId="77777777" w:rsidTr="008D724C">
        <w:trPr>
          <w:trHeight w:val="288"/>
        </w:trPr>
        <w:tc>
          <w:tcPr>
            <w:tcW w:w="1701" w:type="dxa"/>
            <w:tcBorders>
              <w:top w:val="nil"/>
              <w:left w:val="nil"/>
              <w:bottom w:val="nil"/>
              <w:right w:val="nil"/>
            </w:tcBorders>
            <w:shd w:val="clear" w:color="auto" w:fill="auto"/>
            <w:noWrap/>
            <w:vAlign w:val="bottom"/>
            <w:hideMark/>
          </w:tcPr>
          <w:p w14:paraId="7C255793"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3D</w:t>
            </w:r>
          </w:p>
        </w:tc>
        <w:tc>
          <w:tcPr>
            <w:tcW w:w="7659" w:type="dxa"/>
            <w:tcBorders>
              <w:top w:val="nil"/>
              <w:left w:val="nil"/>
              <w:bottom w:val="nil"/>
              <w:right w:val="nil"/>
            </w:tcBorders>
            <w:shd w:val="clear" w:color="auto" w:fill="auto"/>
            <w:noWrap/>
            <w:vAlign w:val="bottom"/>
            <w:hideMark/>
          </w:tcPr>
          <w:p w14:paraId="3F9D9CFC" w14:textId="4534C99D"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Three</w:t>
            </w:r>
            <w:r w:rsidR="005602AD" w:rsidRPr="008D724C">
              <w:rPr>
                <w:rFonts w:ascii="Times New Roman" w:eastAsia="Times New Roman" w:hAnsi="Times New Roman"/>
                <w:color w:val="000000"/>
                <w:lang w:eastAsia="zh-CN"/>
              </w:rPr>
              <w:t>-</w:t>
            </w:r>
            <w:r w:rsidRPr="008D724C">
              <w:rPr>
                <w:rFonts w:ascii="Times New Roman" w:eastAsia="Times New Roman" w:hAnsi="Times New Roman"/>
                <w:color w:val="000000"/>
                <w:lang w:eastAsia="zh-CN"/>
              </w:rPr>
              <w:t>dimension</w:t>
            </w:r>
          </w:p>
        </w:tc>
      </w:tr>
      <w:tr w:rsidR="00DC64EE" w:rsidRPr="00DC64EE" w14:paraId="34335391" w14:textId="77777777" w:rsidTr="008D724C">
        <w:trPr>
          <w:trHeight w:val="288"/>
        </w:trPr>
        <w:tc>
          <w:tcPr>
            <w:tcW w:w="1701" w:type="dxa"/>
            <w:tcBorders>
              <w:top w:val="nil"/>
              <w:left w:val="nil"/>
              <w:bottom w:val="nil"/>
              <w:right w:val="nil"/>
            </w:tcBorders>
            <w:shd w:val="clear" w:color="auto" w:fill="auto"/>
            <w:noWrap/>
            <w:vAlign w:val="bottom"/>
            <w:hideMark/>
          </w:tcPr>
          <w:p w14:paraId="33A9A1C6" w14:textId="60249B2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A</w:t>
            </w:r>
            <w:r w:rsidR="00E62203" w:rsidRPr="008D724C">
              <w:rPr>
                <w:rFonts w:ascii="Times New Roman" w:eastAsia="Times New Roman" w:hAnsi="Times New Roman"/>
                <w:color w:val="000000"/>
                <w:lang w:eastAsia="zh-CN"/>
              </w:rPr>
              <w:t>, C, G, T</w:t>
            </w:r>
          </w:p>
        </w:tc>
        <w:tc>
          <w:tcPr>
            <w:tcW w:w="7659" w:type="dxa"/>
            <w:tcBorders>
              <w:top w:val="nil"/>
              <w:left w:val="nil"/>
              <w:bottom w:val="nil"/>
              <w:right w:val="nil"/>
            </w:tcBorders>
            <w:shd w:val="clear" w:color="auto" w:fill="auto"/>
            <w:noWrap/>
            <w:vAlign w:val="bottom"/>
            <w:hideMark/>
          </w:tcPr>
          <w:p w14:paraId="0DB0016C" w14:textId="68DFE25A"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Adenine</w:t>
            </w:r>
            <w:r w:rsidR="00E62203" w:rsidRPr="008D724C">
              <w:rPr>
                <w:rFonts w:ascii="Times New Roman" w:eastAsia="Times New Roman" w:hAnsi="Times New Roman"/>
                <w:color w:val="000000"/>
                <w:lang w:eastAsia="zh-CN"/>
              </w:rPr>
              <w:t>, cytosine, guanine, thymine</w:t>
            </w:r>
          </w:p>
        </w:tc>
      </w:tr>
      <w:tr w:rsidR="00DC64EE" w:rsidRPr="00DC64EE" w14:paraId="59F4AFE3" w14:textId="77777777" w:rsidTr="008D724C">
        <w:trPr>
          <w:trHeight w:val="288"/>
        </w:trPr>
        <w:tc>
          <w:tcPr>
            <w:tcW w:w="1701" w:type="dxa"/>
            <w:tcBorders>
              <w:top w:val="nil"/>
              <w:left w:val="nil"/>
              <w:bottom w:val="nil"/>
              <w:right w:val="nil"/>
            </w:tcBorders>
            <w:shd w:val="clear" w:color="auto" w:fill="auto"/>
            <w:noWrap/>
            <w:vAlign w:val="bottom"/>
            <w:hideMark/>
          </w:tcPr>
          <w:p w14:paraId="3019B885"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ABNJ</w:t>
            </w:r>
          </w:p>
        </w:tc>
        <w:tc>
          <w:tcPr>
            <w:tcW w:w="7659" w:type="dxa"/>
            <w:tcBorders>
              <w:top w:val="nil"/>
              <w:left w:val="nil"/>
              <w:bottom w:val="nil"/>
              <w:right w:val="nil"/>
            </w:tcBorders>
            <w:shd w:val="clear" w:color="auto" w:fill="auto"/>
            <w:noWrap/>
            <w:vAlign w:val="bottom"/>
            <w:hideMark/>
          </w:tcPr>
          <w:p w14:paraId="65C88DCC" w14:textId="7280B021"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Areas beyon</w:t>
            </w:r>
            <w:r w:rsidR="004B66DD" w:rsidRPr="008D724C">
              <w:rPr>
                <w:rFonts w:ascii="Times New Roman" w:eastAsia="Times New Roman" w:hAnsi="Times New Roman"/>
                <w:color w:val="000000"/>
                <w:lang w:eastAsia="zh-CN"/>
              </w:rPr>
              <w:t>d</w:t>
            </w:r>
            <w:r w:rsidRPr="008D724C">
              <w:rPr>
                <w:rFonts w:ascii="Times New Roman" w:eastAsia="Times New Roman" w:hAnsi="Times New Roman"/>
                <w:color w:val="000000"/>
                <w:lang w:eastAsia="zh-CN"/>
              </w:rPr>
              <w:t xml:space="preserve"> national </w:t>
            </w:r>
            <w:r w:rsidR="004B66DD" w:rsidRPr="008D724C">
              <w:rPr>
                <w:rFonts w:ascii="Times New Roman" w:eastAsia="Times New Roman" w:hAnsi="Times New Roman"/>
                <w:color w:val="000000"/>
                <w:lang w:eastAsia="zh-CN"/>
              </w:rPr>
              <w:t>jurisdiction</w:t>
            </w:r>
          </w:p>
        </w:tc>
      </w:tr>
      <w:tr w:rsidR="00DC64EE" w:rsidRPr="00DC64EE" w14:paraId="72A109F3" w14:textId="77777777" w:rsidTr="008D724C">
        <w:trPr>
          <w:trHeight w:val="288"/>
        </w:trPr>
        <w:tc>
          <w:tcPr>
            <w:tcW w:w="1701" w:type="dxa"/>
            <w:tcBorders>
              <w:top w:val="nil"/>
              <w:left w:val="nil"/>
              <w:bottom w:val="nil"/>
              <w:right w:val="nil"/>
            </w:tcBorders>
            <w:shd w:val="clear" w:color="auto" w:fill="auto"/>
            <w:noWrap/>
            <w:vAlign w:val="bottom"/>
            <w:hideMark/>
          </w:tcPr>
          <w:p w14:paraId="1B0C7D12"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ABS</w:t>
            </w:r>
          </w:p>
        </w:tc>
        <w:tc>
          <w:tcPr>
            <w:tcW w:w="7659" w:type="dxa"/>
            <w:tcBorders>
              <w:top w:val="nil"/>
              <w:left w:val="nil"/>
              <w:bottom w:val="nil"/>
              <w:right w:val="nil"/>
            </w:tcBorders>
            <w:shd w:val="clear" w:color="auto" w:fill="auto"/>
            <w:noWrap/>
            <w:vAlign w:val="bottom"/>
            <w:hideMark/>
          </w:tcPr>
          <w:p w14:paraId="4926DAB4"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Access and benefit-sharing</w:t>
            </w:r>
          </w:p>
        </w:tc>
      </w:tr>
      <w:tr w:rsidR="00DC64EE" w:rsidRPr="00DC64EE" w14:paraId="42D40A66" w14:textId="77777777" w:rsidTr="008D724C">
        <w:trPr>
          <w:trHeight w:val="288"/>
        </w:trPr>
        <w:tc>
          <w:tcPr>
            <w:tcW w:w="1701" w:type="dxa"/>
            <w:tcBorders>
              <w:top w:val="nil"/>
              <w:left w:val="nil"/>
              <w:bottom w:val="nil"/>
              <w:right w:val="nil"/>
            </w:tcBorders>
            <w:shd w:val="clear" w:color="auto" w:fill="auto"/>
            <w:noWrap/>
            <w:vAlign w:val="bottom"/>
            <w:hideMark/>
          </w:tcPr>
          <w:p w14:paraId="270791F6"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AHTEG</w:t>
            </w:r>
          </w:p>
        </w:tc>
        <w:tc>
          <w:tcPr>
            <w:tcW w:w="7659" w:type="dxa"/>
            <w:tcBorders>
              <w:top w:val="nil"/>
              <w:left w:val="nil"/>
              <w:bottom w:val="nil"/>
              <w:right w:val="nil"/>
            </w:tcBorders>
            <w:shd w:val="clear" w:color="auto" w:fill="auto"/>
            <w:noWrap/>
            <w:vAlign w:val="bottom"/>
            <w:hideMark/>
          </w:tcPr>
          <w:p w14:paraId="68774662"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Ad Hoc Technical Expert Group</w:t>
            </w:r>
          </w:p>
        </w:tc>
      </w:tr>
      <w:tr w:rsidR="00DC64EE" w:rsidRPr="00DC64EE" w14:paraId="3E2F9C1C" w14:textId="77777777" w:rsidTr="008D724C">
        <w:trPr>
          <w:trHeight w:val="288"/>
        </w:trPr>
        <w:tc>
          <w:tcPr>
            <w:tcW w:w="1701" w:type="dxa"/>
            <w:tcBorders>
              <w:top w:val="nil"/>
              <w:left w:val="nil"/>
              <w:bottom w:val="nil"/>
              <w:right w:val="nil"/>
            </w:tcBorders>
            <w:shd w:val="clear" w:color="auto" w:fill="auto"/>
            <w:noWrap/>
            <w:vAlign w:val="bottom"/>
            <w:hideMark/>
          </w:tcPr>
          <w:p w14:paraId="5B9FBB00"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AHTEG-RARM</w:t>
            </w:r>
          </w:p>
        </w:tc>
        <w:tc>
          <w:tcPr>
            <w:tcW w:w="7659" w:type="dxa"/>
            <w:tcBorders>
              <w:top w:val="nil"/>
              <w:left w:val="nil"/>
              <w:bottom w:val="nil"/>
              <w:right w:val="nil"/>
            </w:tcBorders>
            <w:shd w:val="clear" w:color="auto" w:fill="auto"/>
            <w:noWrap/>
            <w:vAlign w:val="bottom"/>
            <w:hideMark/>
          </w:tcPr>
          <w:p w14:paraId="19D5E7F0"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Ad Hoc Technical Expert Group on Risk Assessment and Risk Management</w:t>
            </w:r>
          </w:p>
        </w:tc>
      </w:tr>
      <w:tr w:rsidR="00DC64EE" w:rsidRPr="00DC64EE" w14:paraId="28C8E95C" w14:textId="77777777" w:rsidTr="008D724C">
        <w:trPr>
          <w:trHeight w:val="288"/>
        </w:trPr>
        <w:tc>
          <w:tcPr>
            <w:tcW w:w="1701" w:type="dxa"/>
            <w:tcBorders>
              <w:top w:val="nil"/>
              <w:left w:val="nil"/>
              <w:bottom w:val="nil"/>
              <w:right w:val="nil"/>
            </w:tcBorders>
            <w:shd w:val="clear" w:color="auto" w:fill="auto"/>
            <w:noWrap/>
            <w:vAlign w:val="bottom"/>
            <w:hideMark/>
          </w:tcPr>
          <w:p w14:paraId="4384A14F"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AIA</w:t>
            </w:r>
          </w:p>
        </w:tc>
        <w:tc>
          <w:tcPr>
            <w:tcW w:w="7659" w:type="dxa"/>
            <w:tcBorders>
              <w:top w:val="nil"/>
              <w:left w:val="nil"/>
              <w:bottom w:val="nil"/>
              <w:right w:val="nil"/>
            </w:tcBorders>
            <w:shd w:val="clear" w:color="auto" w:fill="auto"/>
            <w:noWrap/>
            <w:vAlign w:val="bottom"/>
            <w:hideMark/>
          </w:tcPr>
          <w:p w14:paraId="522D23F2" w14:textId="4DF1D83A"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Advanced informed agreement</w:t>
            </w:r>
          </w:p>
        </w:tc>
      </w:tr>
      <w:tr w:rsidR="00DC64EE" w:rsidRPr="00DC64EE" w14:paraId="7A5D5321" w14:textId="77777777" w:rsidTr="008D724C">
        <w:trPr>
          <w:trHeight w:val="288"/>
        </w:trPr>
        <w:tc>
          <w:tcPr>
            <w:tcW w:w="1701" w:type="dxa"/>
            <w:tcBorders>
              <w:top w:val="nil"/>
              <w:left w:val="nil"/>
              <w:bottom w:val="nil"/>
              <w:right w:val="nil"/>
            </w:tcBorders>
            <w:shd w:val="clear" w:color="auto" w:fill="auto"/>
            <w:noWrap/>
            <w:vAlign w:val="bottom"/>
            <w:hideMark/>
          </w:tcPr>
          <w:p w14:paraId="3EAD3E39"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BBNJ</w:t>
            </w:r>
          </w:p>
        </w:tc>
        <w:tc>
          <w:tcPr>
            <w:tcW w:w="7659" w:type="dxa"/>
            <w:tcBorders>
              <w:top w:val="nil"/>
              <w:left w:val="nil"/>
              <w:bottom w:val="nil"/>
              <w:right w:val="nil"/>
            </w:tcBorders>
            <w:shd w:val="clear" w:color="auto" w:fill="auto"/>
            <w:noWrap/>
            <w:vAlign w:val="bottom"/>
            <w:hideMark/>
          </w:tcPr>
          <w:p w14:paraId="1738D558" w14:textId="02DDC804"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 xml:space="preserve">Biodiversity beyond national </w:t>
            </w:r>
            <w:r w:rsidR="002D11C3" w:rsidRPr="008D724C">
              <w:rPr>
                <w:rFonts w:ascii="Times New Roman" w:eastAsia="Times New Roman" w:hAnsi="Times New Roman"/>
                <w:color w:val="000000"/>
                <w:lang w:eastAsia="zh-CN"/>
              </w:rPr>
              <w:t>jurisdiction</w:t>
            </w:r>
          </w:p>
        </w:tc>
      </w:tr>
      <w:tr w:rsidR="00DC64EE" w:rsidRPr="00DC64EE" w14:paraId="5FE1C94F" w14:textId="77777777" w:rsidTr="008D724C">
        <w:trPr>
          <w:trHeight w:val="288"/>
        </w:trPr>
        <w:tc>
          <w:tcPr>
            <w:tcW w:w="1701" w:type="dxa"/>
            <w:tcBorders>
              <w:top w:val="nil"/>
              <w:left w:val="nil"/>
              <w:bottom w:val="nil"/>
              <w:right w:val="nil"/>
            </w:tcBorders>
            <w:shd w:val="clear" w:color="auto" w:fill="auto"/>
            <w:noWrap/>
            <w:vAlign w:val="bottom"/>
            <w:hideMark/>
          </w:tcPr>
          <w:p w14:paraId="694B01BC"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BCH</w:t>
            </w:r>
          </w:p>
        </w:tc>
        <w:tc>
          <w:tcPr>
            <w:tcW w:w="7659" w:type="dxa"/>
            <w:tcBorders>
              <w:top w:val="nil"/>
              <w:left w:val="nil"/>
              <w:bottom w:val="nil"/>
              <w:right w:val="nil"/>
            </w:tcBorders>
            <w:shd w:val="clear" w:color="auto" w:fill="auto"/>
            <w:noWrap/>
            <w:vAlign w:val="bottom"/>
            <w:hideMark/>
          </w:tcPr>
          <w:p w14:paraId="7D8E8719"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Biosafety Clearing-House</w:t>
            </w:r>
          </w:p>
        </w:tc>
      </w:tr>
      <w:tr w:rsidR="00DC64EE" w:rsidRPr="00DC64EE" w14:paraId="7376F851" w14:textId="77777777" w:rsidTr="008D724C">
        <w:trPr>
          <w:trHeight w:val="288"/>
        </w:trPr>
        <w:tc>
          <w:tcPr>
            <w:tcW w:w="1701" w:type="dxa"/>
            <w:tcBorders>
              <w:top w:val="nil"/>
              <w:left w:val="nil"/>
              <w:bottom w:val="nil"/>
              <w:right w:val="nil"/>
            </w:tcBorders>
            <w:shd w:val="clear" w:color="auto" w:fill="auto"/>
            <w:noWrap/>
            <w:vAlign w:val="bottom"/>
            <w:hideMark/>
          </w:tcPr>
          <w:p w14:paraId="73F4C605"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bp</w:t>
            </w:r>
          </w:p>
        </w:tc>
        <w:tc>
          <w:tcPr>
            <w:tcW w:w="7659" w:type="dxa"/>
            <w:tcBorders>
              <w:top w:val="nil"/>
              <w:left w:val="nil"/>
              <w:bottom w:val="nil"/>
              <w:right w:val="nil"/>
            </w:tcBorders>
            <w:shd w:val="clear" w:color="auto" w:fill="auto"/>
            <w:noWrap/>
            <w:vAlign w:val="bottom"/>
            <w:hideMark/>
          </w:tcPr>
          <w:p w14:paraId="105DA45B" w14:textId="76C164F3" w:rsidR="00DC64EE" w:rsidRPr="008D724C" w:rsidRDefault="00474BD6"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B</w:t>
            </w:r>
            <w:r w:rsidR="00DC64EE" w:rsidRPr="008D724C">
              <w:rPr>
                <w:rFonts w:ascii="Times New Roman" w:eastAsia="Times New Roman" w:hAnsi="Times New Roman"/>
                <w:color w:val="000000"/>
                <w:lang w:eastAsia="zh-CN"/>
              </w:rPr>
              <w:t>asepair</w:t>
            </w:r>
          </w:p>
        </w:tc>
      </w:tr>
      <w:tr w:rsidR="00DC64EE" w:rsidRPr="00DC64EE" w14:paraId="18853D54" w14:textId="77777777" w:rsidTr="008D724C">
        <w:trPr>
          <w:trHeight w:val="288"/>
        </w:trPr>
        <w:tc>
          <w:tcPr>
            <w:tcW w:w="1701" w:type="dxa"/>
            <w:tcBorders>
              <w:top w:val="nil"/>
              <w:left w:val="nil"/>
              <w:bottom w:val="nil"/>
              <w:right w:val="nil"/>
            </w:tcBorders>
            <w:shd w:val="clear" w:color="auto" w:fill="auto"/>
            <w:noWrap/>
            <w:vAlign w:val="bottom"/>
            <w:hideMark/>
          </w:tcPr>
          <w:p w14:paraId="362143A5"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BWC</w:t>
            </w:r>
          </w:p>
        </w:tc>
        <w:tc>
          <w:tcPr>
            <w:tcW w:w="7659" w:type="dxa"/>
            <w:tcBorders>
              <w:top w:val="nil"/>
              <w:left w:val="nil"/>
              <w:bottom w:val="nil"/>
              <w:right w:val="nil"/>
            </w:tcBorders>
            <w:shd w:val="clear" w:color="auto" w:fill="auto"/>
            <w:noWrap/>
            <w:vAlign w:val="bottom"/>
            <w:hideMark/>
          </w:tcPr>
          <w:p w14:paraId="352CF379"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Biological Weapons Convention</w:t>
            </w:r>
          </w:p>
        </w:tc>
      </w:tr>
      <w:tr w:rsidR="00DC64EE" w:rsidRPr="00DC64EE" w14:paraId="022D82E5" w14:textId="77777777" w:rsidTr="008D724C">
        <w:trPr>
          <w:trHeight w:val="288"/>
        </w:trPr>
        <w:tc>
          <w:tcPr>
            <w:tcW w:w="1701" w:type="dxa"/>
            <w:tcBorders>
              <w:top w:val="nil"/>
              <w:left w:val="nil"/>
              <w:bottom w:val="nil"/>
              <w:right w:val="nil"/>
            </w:tcBorders>
            <w:shd w:val="clear" w:color="auto" w:fill="auto"/>
            <w:noWrap/>
            <w:vAlign w:val="bottom"/>
            <w:hideMark/>
          </w:tcPr>
          <w:p w14:paraId="3EA2814F"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CATCHA</w:t>
            </w:r>
          </w:p>
        </w:tc>
        <w:tc>
          <w:tcPr>
            <w:tcW w:w="7659" w:type="dxa"/>
            <w:tcBorders>
              <w:top w:val="nil"/>
              <w:left w:val="nil"/>
              <w:bottom w:val="nil"/>
              <w:right w:val="nil"/>
            </w:tcBorders>
            <w:shd w:val="clear" w:color="auto" w:fill="auto"/>
            <w:noWrap/>
            <w:vAlign w:val="bottom"/>
            <w:hideMark/>
          </w:tcPr>
          <w:p w14:paraId="7B4787B1"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Cas9-triggered chain ablation</w:t>
            </w:r>
          </w:p>
        </w:tc>
      </w:tr>
      <w:tr w:rsidR="00DC64EE" w:rsidRPr="00DC64EE" w14:paraId="70EFDA95" w14:textId="77777777" w:rsidTr="008D724C">
        <w:trPr>
          <w:trHeight w:val="288"/>
        </w:trPr>
        <w:tc>
          <w:tcPr>
            <w:tcW w:w="1701" w:type="dxa"/>
            <w:tcBorders>
              <w:top w:val="nil"/>
              <w:left w:val="nil"/>
              <w:bottom w:val="nil"/>
              <w:right w:val="nil"/>
            </w:tcBorders>
            <w:shd w:val="clear" w:color="auto" w:fill="auto"/>
            <w:noWrap/>
            <w:vAlign w:val="bottom"/>
            <w:hideMark/>
          </w:tcPr>
          <w:p w14:paraId="27034CC1"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CBD</w:t>
            </w:r>
          </w:p>
        </w:tc>
        <w:tc>
          <w:tcPr>
            <w:tcW w:w="7659" w:type="dxa"/>
            <w:tcBorders>
              <w:top w:val="nil"/>
              <w:left w:val="nil"/>
              <w:bottom w:val="nil"/>
              <w:right w:val="nil"/>
            </w:tcBorders>
            <w:shd w:val="clear" w:color="auto" w:fill="auto"/>
            <w:noWrap/>
            <w:vAlign w:val="bottom"/>
            <w:hideMark/>
          </w:tcPr>
          <w:p w14:paraId="44A45F7B"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Convention on Biological Diversity</w:t>
            </w:r>
          </w:p>
        </w:tc>
      </w:tr>
      <w:tr w:rsidR="00DC64EE" w:rsidRPr="00DC64EE" w14:paraId="003CBDD9" w14:textId="77777777" w:rsidTr="008D724C">
        <w:trPr>
          <w:trHeight w:val="288"/>
        </w:trPr>
        <w:tc>
          <w:tcPr>
            <w:tcW w:w="1701" w:type="dxa"/>
            <w:tcBorders>
              <w:top w:val="nil"/>
              <w:left w:val="nil"/>
              <w:bottom w:val="nil"/>
              <w:right w:val="nil"/>
            </w:tcBorders>
            <w:shd w:val="clear" w:color="auto" w:fill="auto"/>
            <w:noWrap/>
            <w:vAlign w:val="bottom"/>
            <w:hideMark/>
          </w:tcPr>
          <w:p w14:paraId="3CA16B5C"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CFS</w:t>
            </w:r>
          </w:p>
        </w:tc>
        <w:tc>
          <w:tcPr>
            <w:tcW w:w="7659" w:type="dxa"/>
            <w:tcBorders>
              <w:top w:val="nil"/>
              <w:left w:val="nil"/>
              <w:bottom w:val="nil"/>
              <w:right w:val="nil"/>
            </w:tcBorders>
            <w:shd w:val="clear" w:color="auto" w:fill="auto"/>
            <w:noWrap/>
            <w:vAlign w:val="bottom"/>
            <w:hideMark/>
          </w:tcPr>
          <w:p w14:paraId="17A06B30" w14:textId="70C839E2" w:rsidR="00DC64EE" w:rsidRPr="008D724C" w:rsidRDefault="00474BD6"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C</w:t>
            </w:r>
            <w:r w:rsidR="00DC64EE" w:rsidRPr="008D724C">
              <w:rPr>
                <w:rFonts w:ascii="Times New Roman" w:eastAsia="Times New Roman" w:hAnsi="Times New Roman"/>
                <w:color w:val="000000"/>
                <w:lang w:eastAsia="zh-CN"/>
              </w:rPr>
              <w:t>ell-free systems</w:t>
            </w:r>
          </w:p>
        </w:tc>
      </w:tr>
      <w:tr w:rsidR="00DC64EE" w:rsidRPr="00DC64EE" w14:paraId="37248D22" w14:textId="77777777" w:rsidTr="008D724C">
        <w:trPr>
          <w:trHeight w:val="288"/>
        </w:trPr>
        <w:tc>
          <w:tcPr>
            <w:tcW w:w="1701" w:type="dxa"/>
            <w:tcBorders>
              <w:top w:val="nil"/>
              <w:left w:val="nil"/>
              <w:bottom w:val="nil"/>
              <w:right w:val="nil"/>
            </w:tcBorders>
            <w:shd w:val="clear" w:color="auto" w:fill="auto"/>
            <w:noWrap/>
            <w:vAlign w:val="bottom"/>
            <w:hideMark/>
          </w:tcPr>
          <w:p w14:paraId="354BE428"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CHACR</w:t>
            </w:r>
          </w:p>
        </w:tc>
        <w:tc>
          <w:tcPr>
            <w:tcW w:w="7659" w:type="dxa"/>
            <w:tcBorders>
              <w:top w:val="nil"/>
              <w:left w:val="nil"/>
              <w:bottom w:val="nil"/>
              <w:right w:val="nil"/>
            </w:tcBorders>
            <w:shd w:val="clear" w:color="auto" w:fill="auto"/>
            <w:noWrap/>
            <w:vAlign w:val="bottom"/>
            <w:hideMark/>
          </w:tcPr>
          <w:p w14:paraId="3B7CA075" w14:textId="51D39D54" w:rsidR="00DC64EE" w:rsidRPr="008D724C" w:rsidRDefault="00474BD6"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C</w:t>
            </w:r>
            <w:r w:rsidR="00DC64EE" w:rsidRPr="008D724C">
              <w:rPr>
                <w:rFonts w:ascii="Times New Roman" w:eastAsia="Times New Roman" w:hAnsi="Times New Roman"/>
                <w:color w:val="000000"/>
                <w:lang w:eastAsia="zh-CN"/>
              </w:rPr>
              <w:t>onstruct hitchhiking on the autocatalytic chain reaction</w:t>
            </w:r>
          </w:p>
        </w:tc>
      </w:tr>
      <w:tr w:rsidR="00DC64EE" w:rsidRPr="00DC64EE" w14:paraId="592DA484" w14:textId="77777777" w:rsidTr="008D724C">
        <w:trPr>
          <w:trHeight w:val="288"/>
        </w:trPr>
        <w:tc>
          <w:tcPr>
            <w:tcW w:w="1701" w:type="dxa"/>
            <w:tcBorders>
              <w:top w:val="nil"/>
              <w:left w:val="nil"/>
              <w:bottom w:val="nil"/>
              <w:right w:val="nil"/>
            </w:tcBorders>
            <w:shd w:val="clear" w:color="auto" w:fill="auto"/>
            <w:noWrap/>
            <w:hideMark/>
          </w:tcPr>
          <w:p w14:paraId="10472905"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CITES</w:t>
            </w:r>
          </w:p>
        </w:tc>
        <w:tc>
          <w:tcPr>
            <w:tcW w:w="7659" w:type="dxa"/>
            <w:tcBorders>
              <w:top w:val="nil"/>
              <w:left w:val="nil"/>
              <w:bottom w:val="nil"/>
              <w:right w:val="nil"/>
            </w:tcBorders>
            <w:shd w:val="clear" w:color="auto" w:fill="auto"/>
            <w:noWrap/>
            <w:vAlign w:val="bottom"/>
            <w:hideMark/>
          </w:tcPr>
          <w:p w14:paraId="14FD6C3A"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Convention on the International trade in Endangered Species of Wild Fauna and Flora</w:t>
            </w:r>
          </w:p>
        </w:tc>
      </w:tr>
      <w:tr w:rsidR="00DC64EE" w:rsidRPr="00DC64EE" w14:paraId="4BAF5915" w14:textId="77777777" w:rsidTr="008D724C">
        <w:trPr>
          <w:trHeight w:val="288"/>
        </w:trPr>
        <w:tc>
          <w:tcPr>
            <w:tcW w:w="1701" w:type="dxa"/>
            <w:tcBorders>
              <w:top w:val="nil"/>
              <w:left w:val="nil"/>
              <w:bottom w:val="nil"/>
              <w:right w:val="nil"/>
            </w:tcBorders>
            <w:shd w:val="clear" w:color="auto" w:fill="auto"/>
            <w:noWrap/>
            <w:vAlign w:val="bottom"/>
            <w:hideMark/>
          </w:tcPr>
          <w:p w14:paraId="470D45AD"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COP</w:t>
            </w:r>
          </w:p>
        </w:tc>
        <w:tc>
          <w:tcPr>
            <w:tcW w:w="7659" w:type="dxa"/>
            <w:tcBorders>
              <w:top w:val="nil"/>
              <w:left w:val="nil"/>
              <w:bottom w:val="nil"/>
              <w:right w:val="nil"/>
            </w:tcBorders>
            <w:shd w:val="clear" w:color="auto" w:fill="auto"/>
            <w:noWrap/>
            <w:vAlign w:val="bottom"/>
            <w:hideMark/>
          </w:tcPr>
          <w:p w14:paraId="6336E300"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Conference of the Parties</w:t>
            </w:r>
          </w:p>
        </w:tc>
      </w:tr>
      <w:tr w:rsidR="00DC64EE" w:rsidRPr="00DC64EE" w14:paraId="67C13E1A" w14:textId="77777777" w:rsidTr="008D724C">
        <w:trPr>
          <w:trHeight w:val="288"/>
        </w:trPr>
        <w:tc>
          <w:tcPr>
            <w:tcW w:w="1701" w:type="dxa"/>
            <w:tcBorders>
              <w:top w:val="nil"/>
              <w:left w:val="nil"/>
              <w:bottom w:val="nil"/>
              <w:right w:val="nil"/>
            </w:tcBorders>
            <w:shd w:val="clear" w:color="auto" w:fill="auto"/>
            <w:noWrap/>
            <w:vAlign w:val="bottom"/>
            <w:hideMark/>
          </w:tcPr>
          <w:p w14:paraId="20F94B8E"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CRISPR</w:t>
            </w:r>
          </w:p>
        </w:tc>
        <w:tc>
          <w:tcPr>
            <w:tcW w:w="7659" w:type="dxa"/>
            <w:tcBorders>
              <w:top w:val="nil"/>
              <w:left w:val="nil"/>
              <w:bottom w:val="nil"/>
              <w:right w:val="nil"/>
            </w:tcBorders>
            <w:shd w:val="clear" w:color="auto" w:fill="auto"/>
            <w:noWrap/>
            <w:vAlign w:val="bottom"/>
            <w:hideMark/>
          </w:tcPr>
          <w:p w14:paraId="16D440A9"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Clustered regularly interspaced palindromic repeats</w:t>
            </w:r>
          </w:p>
        </w:tc>
      </w:tr>
      <w:tr w:rsidR="00DC64EE" w:rsidRPr="00DC64EE" w14:paraId="383E2E3C" w14:textId="77777777" w:rsidTr="008D724C">
        <w:trPr>
          <w:trHeight w:val="288"/>
        </w:trPr>
        <w:tc>
          <w:tcPr>
            <w:tcW w:w="1701" w:type="dxa"/>
            <w:tcBorders>
              <w:top w:val="nil"/>
              <w:left w:val="nil"/>
              <w:bottom w:val="nil"/>
              <w:right w:val="nil"/>
            </w:tcBorders>
            <w:shd w:val="clear" w:color="auto" w:fill="auto"/>
            <w:noWrap/>
            <w:vAlign w:val="bottom"/>
            <w:hideMark/>
          </w:tcPr>
          <w:p w14:paraId="7B7859D0"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DARPA</w:t>
            </w:r>
          </w:p>
        </w:tc>
        <w:tc>
          <w:tcPr>
            <w:tcW w:w="7659" w:type="dxa"/>
            <w:tcBorders>
              <w:top w:val="nil"/>
              <w:left w:val="nil"/>
              <w:bottom w:val="nil"/>
              <w:right w:val="nil"/>
            </w:tcBorders>
            <w:shd w:val="clear" w:color="auto" w:fill="auto"/>
            <w:noWrap/>
            <w:vAlign w:val="bottom"/>
            <w:hideMark/>
          </w:tcPr>
          <w:p w14:paraId="531A6FC1" w14:textId="327E56FC" w:rsidR="00DC64EE" w:rsidRPr="008D724C" w:rsidRDefault="00BA5EB1"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Defense</w:t>
            </w:r>
            <w:r w:rsidR="00DC64EE" w:rsidRPr="008D724C">
              <w:rPr>
                <w:rFonts w:ascii="Times New Roman" w:eastAsia="Times New Roman" w:hAnsi="Times New Roman"/>
                <w:color w:val="000000"/>
                <w:lang w:eastAsia="zh-CN"/>
              </w:rPr>
              <w:t xml:space="preserve"> Advanced Research Projects Agency </w:t>
            </w:r>
          </w:p>
        </w:tc>
      </w:tr>
      <w:tr w:rsidR="00DC64EE" w:rsidRPr="00DC64EE" w14:paraId="1CA751F4" w14:textId="77777777" w:rsidTr="008D724C">
        <w:trPr>
          <w:trHeight w:val="288"/>
        </w:trPr>
        <w:tc>
          <w:tcPr>
            <w:tcW w:w="1701" w:type="dxa"/>
            <w:tcBorders>
              <w:top w:val="nil"/>
              <w:left w:val="nil"/>
              <w:bottom w:val="nil"/>
              <w:right w:val="nil"/>
            </w:tcBorders>
            <w:shd w:val="clear" w:color="auto" w:fill="auto"/>
            <w:noWrap/>
            <w:vAlign w:val="bottom"/>
            <w:hideMark/>
          </w:tcPr>
          <w:p w14:paraId="44807595"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DBTL</w:t>
            </w:r>
          </w:p>
        </w:tc>
        <w:tc>
          <w:tcPr>
            <w:tcW w:w="7659" w:type="dxa"/>
            <w:tcBorders>
              <w:top w:val="nil"/>
              <w:left w:val="nil"/>
              <w:bottom w:val="nil"/>
              <w:right w:val="nil"/>
            </w:tcBorders>
            <w:shd w:val="clear" w:color="auto" w:fill="auto"/>
            <w:noWrap/>
            <w:vAlign w:val="bottom"/>
            <w:hideMark/>
          </w:tcPr>
          <w:p w14:paraId="0F2BC167"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Design Build Test Learn</w:t>
            </w:r>
          </w:p>
        </w:tc>
      </w:tr>
      <w:tr w:rsidR="00DC64EE" w:rsidRPr="00DC64EE" w14:paraId="0FF2E3F1" w14:textId="77777777" w:rsidTr="008D724C">
        <w:trPr>
          <w:trHeight w:val="288"/>
        </w:trPr>
        <w:tc>
          <w:tcPr>
            <w:tcW w:w="1701" w:type="dxa"/>
            <w:tcBorders>
              <w:top w:val="nil"/>
              <w:left w:val="nil"/>
              <w:bottom w:val="nil"/>
              <w:right w:val="nil"/>
            </w:tcBorders>
            <w:shd w:val="clear" w:color="auto" w:fill="auto"/>
            <w:noWrap/>
            <w:vAlign w:val="bottom"/>
            <w:hideMark/>
          </w:tcPr>
          <w:p w14:paraId="59FFC6B2"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DIYbio</w:t>
            </w:r>
          </w:p>
        </w:tc>
        <w:tc>
          <w:tcPr>
            <w:tcW w:w="7659" w:type="dxa"/>
            <w:tcBorders>
              <w:top w:val="nil"/>
              <w:left w:val="nil"/>
              <w:bottom w:val="nil"/>
              <w:right w:val="nil"/>
            </w:tcBorders>
            <w:shd w:val="clear" w:color="auto" w:fill="auto"/>
            <w:noWrap/>
            <w:vAlign w:val="bottom"/>
            <w:hideMark/>
          </w:tcPr>
          <w:p w14:paraId="44767853"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Do-it-yourself biology</w:t>
            </w:r>
          </w:p>
        </w:tc>
      </w:tr>
      <w:tr w:rsidR="00DC64EE" w:rsidRPr="00DC64EE" w14:paraId="68943AE8" w14:textId="77777777" w:rsidTr="008D724C">
        <w:trPr>
          <w:trHeight w:val="288"/>
        </w:trPr>
        <w:tc>
          <w:tcPr>
            <w:tcW w:w="1701" w:type="dxa"/>
            <w:tcBorders>
              <w:top w:val="nil"/>
              <w:left w:val="nil"/>
              <w:bottom w:val="nil"/>
              <w:right w:val="nil"/>
            </w:tcBorders>
            <w:shd w:val="clear" w:color="auto" w:fill="auto"/>
            <w:noWrap/>
            <w:vAlign w:val="bottom"/>
            <w:hideMark/>
          </w:tcPr>
          <w:p w14:paraId="741F5B94"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DNA</w:t>
            </w:r>
          </w:p>
        </w:tc>
        <w:tc>
          <w:tcPr>
            <w:tcW w:w="7659" w:type="dxa"/>
            <w:tcBorders>
              <w:top w:val="nil"/>
              <w:left w:val="nil"/>
              <w:bottom w:val="nil"/>
              <w:right w:val="nil"/>
            </w:tcBorders>
            <w:shd w:val="clear" w:color="auto" w:fill="auto"/>
            <w:noWrap/>
            <w:vAlign w:val="bottom"/>
            <w:hideMark/>
          </w:tcPr>
          <w:p w14:paraId="72094475"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Deoxyribonucleic acid</w:t>
            </w:r>
          </w:p>
        </w:tc>
      </w:tr>
      <w:tr w:rsidR="00DC64EE" w:rsidRPr="00DC64EE" w14:paraId="54CDB829" w14:textId="77777777" w:rsidTr="008D724C">
        <w:trPr>
          <w:trHeight w:val="288"/>
        </w:trPr>
        <w:tc>
          <w:tcPr>
            <w:tcW w:w="1701" w:type="dxa"/>
            <w:tcBorders>
              <w:top w:val="nil"/>
              <w:left w:val="nil"/>
              <w:bottom w:val="nil"/>
              <w:right w:val="nil"/>
            </w:tcBorders>
            <w:shd w:val="clear" w:color="auto" w:fill="auto"/>
            <w:noWrap/>
            <w:vAlign w:val="bottom"/>
            <w:hideMark/>
          </w:tcPr>
          <w:p w14:paraId="19A4C09B"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DSI</w:t>
            </w:r>
          </w:p>
        </w:tc>
        <w:tc>
          <w:tcPr>
            <w:tcW w:w="7659" w:type="dxa"/>
            <w:tcBorders>
              <w:top w:val="nil"/>
              <w:left w:val="nil"/>
              <w:bottom w:val="nil"/>
              <w:right w:val="nil"/>
            </w:tcBorders>
            <w:shd w:val="clear" w:color="auto" w:fill="auto"/>
            <w:noWrap/>
            <w:vAlign w:val="bottom"/>
            <w:hideMark/>
          </w:tcPr>
          <w:p w14:paraId="607DCA7B"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Digital sequence information</w:t>
            </w:r>
          </w:p>
        </w:tc>
      </w:tr>
      <w:tr w:rsidR="00DC64EE" w:rsidRPr="00DC64EE" w14:paraId="581D4532" w14:textId="77777777" w:rsidTr="008D724C">
        <w:trPr>
          <w:trHeight w:val="288"/>
        </w:trPr>
        <w:tc>
          <w:tcPr>
            <w:tcW w:w="1701" w:type="dxa"/>
            <w:tcBorders>
              <w:top w:val="nil"/>
              <w:left w:val="nil"/>
              <w:bottom w:val="nil"/>
              <w:right w:val="nil"/>
            </w:tcBorders>
            <w:shd w:val="clear" w:color="auto" w:fill="auto"/>
            <w:noWrap/>
            <w:vAlign w:val="bottom"/>
            <w:hideMark/>
          </w:tcPr>
          <w:p w14:paraId="731ED0D0"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dsRNA</w:t>
            </w:r>
          </w:p>
        </w:tc>
        <w:tc>
          <w:tcPr>
            <w:tcW w:w="7659" w:type="dxa"/>
            <w:tcBorders>
              <w:top w:val="nil"/>
              <w:left w:val="nil"/>
              <w:bottom w:val="nil"/>
              <w:right w:val="nil"/>
            </w:tcBorders>
            <w:shd w:val="clear" w:color="auto" w:fill="auto"/>
            <w:noWrap/>
            <w:vAlign w:val="bottom"/>
            <w:hideMark/>
          </w:tcPr>
          <w:p w14:paraId="003DA631" w14:textId="33DBBF3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Double stra</w:t>
            </w:r>
            <w:r w:rsidR="00BA5EB1" w:rsidRPr="008D724C">
              <w:rPr>
                <w:rFonts w:ascii="Times New Roman" w:eastAsia="Times New Roman" w:hAnsi="Times New Roman"/>
                <w:color w:val="000000"/>
                <w:lang w:eastAsia="zh-CN"/>
              </w:rPr>
              <w:t>n</w:t>
            </w:r>
            <w:r w:rsidRPr="008D724C">
              <w:rPr>
                <w:rFonts w:ascii="Times New Roman" w:eastAsia="Times New Roman" w:hAnsi="Times New Roman"/>
                <w:color w:val="000000"/>
                <w:lang w:eastAsia="zh-CN"/>
              </w:rPr>
              <w:t>ded RNA</w:t>
            </w:r>
          </w:p>
        </w:tc>
      </w:tr>
      <w:tr w:rsidR="00DC64EE" w:rsidRPr="00DC64EE" w14:paraId="744862E3" w14:textId="77777777" w:rsidTr="008D724C">
        <w:trPr>
          <w:trHeight w:val="288"/>
        </w:trPr>
        <w:tc>
          <w:tcPr>
            <w:tcW w:w="1701" w:type="dxa"/>
            <w:tcBorders>
              <w:top w:val="nil"/>
              <w:left w:val="nil"/>
              <w:bottom w:val="nil"/>
              <w:right w:val="nil"/>
            </w:tcBorders>
            <w:shd w:val="clear" w:color="auto" w:fill="auto"/>
            <w:noWrap/>
            <w:vAlign w:val="bottom"/>
            <w:hideMark/>
          </w:tcPr>
          <w:p w14:paraId="75F46D1F"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e-CHACR</w:t>
            </w:r>
          </w:p>
        </w:tc>
        <w:tc>
          <w:tcPr>
            <w:tcW w:w="7659" w:type="dxa"/>
            <w:tcBorders>
              <w:top w:val="nil"/>
              <w:left w:val="nil"/>
              <w:bottom w:val="nil"/>
              <w:right w:val="nil"/>
            </w:tcBorders>
            <w:shd w:val="clear" w:color="auto" w:fill="auto"/>
            <w:noWrap/>
            <w:vAlign w:val="bottom"/>
            <w:hideMark/>
          </w:tcPr>
          <w:p w14:paraId="3D0B444F" w14:textId="21F525A3" w:rsidR="00DC64EE" w:rsidRPr="008D724C" w:rsidRDefault="005602AD"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E</w:t>
            </w:r>
            <w:r w:rsidR="00DC64EE" w:rsidRPr="008D724C">
              <w:rPr>
                <w:rFonts w:ascii="Times New Roman" w:eastAsia="Times New Roman" w:hAnsi="Times New Roman"/>
                <w:color w:val="000000"/>
                <w:lang w:eastAsia="zh-CN"/>
              </w:rPr>
              <w:t>rasing construct hitchhiking on the autocatalytic chain reaction</w:t>
            </w:r>
          </w:p>
        </w:tc>
      </w:tr>
      <w:tr w:rsidR="00DC64EE" w:rsidRPr="00DC64EE" w14:paraId="37521DD6" w14:textId="77777777" w:rsidTr="008D724C">
        <w:trPr>
          <w:trHeight w:val="288"/>
        </w:trPr>
        <w:tc>
          <w:tcPr>
            <w:tcW w:w="1701" w:type="dxa"/>
            <w:tcBorders>
              <w:top w:val="nil"/>
              <w:left w:val="nil"/>
              <w:bottom w:val="nil"/>
              <w:right w:val="nil"/>
            </w:tcBorders>
            <w:shd w:val="clear" w:color="auto" w:fill="auto"/>
            <w:noWrap/>
            <w:vAlign w:val="bottom"/>
            <w:hideMark/>
          </w:tcPr>
          <w:p w14:paraId="180696A7"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ENMOD</w:t>
            </w:r>
          </w:p>
        </w:tc>
        <w:tc>
          <w:tcPr>
            <w:tcW w:w="7659" w:type="dxa"/>
            <w:tcBorders>
              <w:top w:val="nil"/>
              <w:left w:val="nil"/>
              <w:bottom w:val="nil"/>
              <w:right w:val="nil"/>
            </w:tcBorders>
            <w:shd w:val="clear" w:color="auto" w:fill="auto"/>
            <w:noWrap/>
            <w:vAlign w:val="bottom"/>
            <w:hideMark/>
          </w:tcPr>
          <w:p w14:paraId="4FCE45A1"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Environmental Modification Convention</w:t>
            </w:r>
          </w:p>
        </w:tc>
      </w:tr>
      <w:tr w:rsidR="00DC64EE" w:rsidRPr="00DC64EE" w14:paraId="787E7652" w14:textId="77777777" w:rsidTr="008D724C">
        <w:trPr>
          <w:trHeight w:val="288"/>
        </w:trPr>
        <w:tc>
          <w:tcPr>
            <w:tcW w:w="1701" w:type="dxa"/>
            <w:tcBorders>
              <w:top w:val="nil"/>
              <w:left w:val="nil"/>
              <w:bottom w:val="nil"/>
              <w:right w:val="nil"/>
            </w:tcBorders>
            <w:shd w:val="clear" w:color="auto" w:fill="auto"/>
            <w:noWrap/>
            <w:vAlign w:val="bottom"/>
            <w:hideMark/>
          </w:tcPr>
          <w:p w14:paraId="644F673E"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ERACR</w:t>
            </w:r>
          </w:p>
        </w:tc>
        <w:tc>
          <w:tcPr>
            <w:tcW w:w="7659" w:type="dxa"/>
            <w:tcBorders>
              <w:top w:val="nil"/>
              <w:left w:val="nil"/>
              <w:bottom w:val="nil"/>
              <w:right w:val="nil"/>
            </w:tcBorders>
            <w:shd w:val="clear" w:color="auto" w:fill="auto"/>
            <w:noWrap/>
            <w:vAlign w:val="bottom"/>
            <w:hideMark/>
          </w:tcPr>
          <w:p w14:paraId="5538A0D2"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Element reversing the autocatalytic chain reaction</w:t>
            </w:r>
          </w:p>
        </w:tc>
      </w:tr>
      <w:tr w:rsidR="00DC64EE" w:rsidRPr="00DC64EE" w14:paraId="4FB98957" w14:textId="77777777" w:rsidTr="008D724C">
        <w:trPr>
          <w:trHeight w:val="288"/>
        </w:trPr>
        <w:tc>
          <w:tcPr>
            <w:tcW w:w="1701" w:type="dxa"/>
            <w:tcBorders>
              <w:top w:val="nil"/>
              <w:left w:val="nil"/>
              <w:bottom w:val="nil"/>
              <w:right w:val="nil"/>
            </w:tcBorders>
            <w:shd w:val="clear" w:color="auto" w:fill="auto"/>
            <w:noWrap/>
            <w:vAlign w:val="bottom"/>
            <w:hideMark/>
          </w:tcPr>
          <w:p w14:paraId="268E266B"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EU</w:t>
            </w:r>
          </w:p>
        </w:tc>
        <w:tc>
          <w:tcPr>
            <w:tcW w:w="7659" w:type="dxa"/>
            <w:tcBorders>
              <w:top w:val="nil"/>
              <w:left w:val="nil"/>
              <w:bottom w:val="nil"/>
              <w:right w:val="nil"/>
            </w:tcBorders>
            <w:shd w:val="clear" w:color="auto" w:fill="auto"/>
            <w:noWrap/>
            <w:vAlign w:val="bottom"/>
            <w:hideMark/>
          </w:tcPr>
          <w:p w14:paraId="3664AFD0"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European Union</w:t>
            </w:r>
          </w:p>
        </w:tc>
      </w:tr>
      <w:tr w:rsidR="00DC64EE" w:rsidRPr="00DC64EE" w14:paraId="3DD7B4DB" w14:textId="77777777" w:rsidTr="008D724C">
        <w:trPr>
          <w:trHeight w:val="288"/>
        </w:trPr>
        <w:tc>
          <w:tcPr>
            <w:tcW w:w="1701" w:type="dxa"/>
            <w:tcBorders>
              <w:top w:val="nil"/>
              <w:left w:val="nil"/>
              <w:bottom w:val="nil"/>
              <w:right w:val="nil"/>
            </w:tcBorders>
            <w:shd w:val="clear" w:color="auto" w:fill="auto"/>
            <w:noWrap/>
            <w:vAlign w:val="bottom"/>
            <w:hideMark/>
          </w:tcPr>
          <w:p w14:paraId="1BD6B316"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FAO</w:t>
            </w:r>
          </w:p>
        </w:tc>
        <w:tc>
          <w:tcPr>
            <w:tcW w:w="7659" w:type="dxa"/>
            <w:tcBorders>
              <w:top w:val="nil"/>
              <w:left w:val="nil"/>
              <w:bottom w:val="nil"/>
              <w:right w:val="nil"/>
            </w:tcBorders>
            <w:shd w:val="clear" w:color="auto" w:fill="auto"/>
            <w:noWrap/>
            <w:vAlign w:val="bottom"/>
            <w:hideMark/>
          </w:tcPr>
          <w:p w14:paraId="16A11CB9" w14:textId="04DD5DB8"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Food and Agr</w:t>
            </w:r>
            <w:r w:rsidR="00BA5EB1" w:rsidRPr="008D724C">
              <w:rPr>
                <w:rFonts w:ascii="Times New Roman" w:eastAsia="Times New Roman" w:hAnsi="Times New Roman"/>
                <w:color w:val="000000"/>
                <w:lang w:eastAsia="zh-CN"/>
              </w:rPr>
              <w:t>i</w:t>
            </w:r>
            <w:r w:rsidRPr="008D724C">
              <w:rPr>
                <w:rFonts w:ascii="Times New Roman" w:eastAsia="Times New Roman" w:hAnsi="Times New Roman"/>
                <w:color w:val="000000"/>
                <w:lang w:eastAsia="zh-CN"/>
              </w:rPr>
              <w:t>culture Organization of the United Nations</w:t>
            </w:r>
          </w:p>
        </w:tc>
      </w:tr>
      <w:tr w:rsidR="00DC64EE" w:rsidRPr="00DC64EE" w14:paraId="6F545B8F" w14:textId="77777777" w:rsidTr="008D724C">
        <w:trPr>
          <w:trHeight w:val="288"/>
        </w:trPr>
        <w:tc>
          <w:tcPr>
            <w:tcW w:w="1701" w:type="dxa"/>
            <w:tcBorders>
              <w:top w:val="nil"/>
              <w:left w:val="nil"/>
              <w:bottom w:val="nil"/>
              <w:right w:val="nil"/>
            </w:tcBorders>
            <w:shd w:val="clear" w:color="auto" w:fill="auto"/>
            <w:noWrap/>
            <w:vAlign w:val="bottom"/>
            <w:hideMark/>
          </w:tcPr>
          <w:p w14:paraId="6D62B14F"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GATT</w:t>
            </w:r>
          </w:p>
        </w:tc>
        <w:tc>
          <w:tcPr>
            <w:tcW w:w="7659" w:type="dxa"/>
            <w:tcBorders>
              <w:top w:val="nil"/>
              <w:left w:val="nil"/>
              <w:bottom w:val="nil"/>
              <w:right w:val="nil"/>
            </w:tcBorders>
            <w:shd w:val="clear" w:color="auto" w:fill="auto"/>
            <w:noWrap/>
            <w:vAlign w:val="bottom"/>
            <w:hideMark/>
          </w:tcPr>
          <w:p w14:paraId="7E3917D6"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General Agreement on Tariffs and Trade</w:t>
            </w:r>
          </w:p>
        </w:tc>
      </w:tr>
      <w:tr w:rsidR="00DC64EE" w:rsidRPr="00DC64EE" w14:paraId="59894252" w14:textId="77777777" w:rsidTr="008D724C">
        <w:trPr>
          <w:trHeight w:val="288"/>
        </w:trPr>
        <w:tc>
          <w:tcPr>
            <w:tcW w:w="1701" w:type="dxa"/>
            <w:tcBorders>
              <w:top w:val="nil"/>
              <w:left w:val="nil"/>
              <w:bottom w:val="nil"/>
              <w:right w:val="nil"/>
            </w:tcBorders>
            <w:shd w:val="clear" w:color="auto" w:fill="auto"/>
            <w:noWrap/>
            <w:vAlign w:val="bottom"/>
            <w:hideMark/>
          </w:tcPr>
          <w:p w14:paraId="33262AC1"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GMO</w:t>
            </w:r>
          </w:p>
        </w:tc>
        <w:tc>
          <w:tcPr>
            <w:tcW w:w="7659" w:type="dxa"/>
            <w:tcBorders>
              <w:top w:val="nil"/>
              <w:left w:val="nil"/>
              <w:bottom w:val="nil"/>
              <w:right w:val="nil"/>
            </w:tcBorders>
            <w:shd w:val="clear" w:color="auto" w:fill="auto"/>
            <w:noWrap/>
            <w:vAlign w:val="bottom"/>
            <w:hideMark/>
          </w:tcPr>
          <w:p w14:paraId="5A430E52"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Genetically modified organism</w:t>
            </w:r>
          </w:p>
        </w:tc>
      </w:tr>
      <w:tr w:rsidR="00DC64EE" w:rsidRPr="00DC64EE" w14:paraId="55287B44" w14:textId="77777777" w:rsidTr="008D724C">
        <w:trPr>
          <w:trHeight w:val="288"/>
        </w:trPr>
        <w:tc>
          <w:tcPr>
            <w:tcW w:w="1701" w:type="dxa"/>
            <w:tcBorders>
              <w:top w:val="nil"/>
              <w:left w:val="nil"/>
              <w:bottom w:val="nil"/>
              <w:right w:val="nil"/>
            </w:tcBorders>
            <w:shd w:val="clear" w:color="auto" w:fill="auto"/>
            <w:noWrap/>
            <w:vAlign w:val="bottom"/>
            <w:hideMark/>
          </w:tcPr>
          <w:p w14:paraId="01C2182A"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gRNA</w:t>
            </w:r>
          </w:p>
        </w:tc>
        <w:tc>
          <w:tcPr>
            <w:tcW w:w="7659" w:type="dxa"/>
            <w:tcBorders>
              <w:top w:val="nil"/>
              <w:left w:val="nil"/>
              <w:bottom w:val="nil"/>
              <w:right w:val="nil"/>
            </w:tcBorders>
            <w:shd w:val="clear" w:color="auto" w:fill="auto"/>
            <w:noWrap/>
            <w:vAlign w:val="bottom"/>
            <w:hideMark/>
          </w:tcPr>
          <w:p w14:paraId="0E25A49B" w14:textId="3E9E9D66" w:rsidR="00DC64EE" w:rsidRPr="008D724C" w:rsidRDefault="005602AD"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G</w:t>
            </w:r>
            <w:r w:rsidR="00DC64EE" w:rsidRPr="008D724C">
              <w:rPr>
                <w:rFonts w:ascii="Times New Roman" w:eastAsia="Times New Roman" w:hAnsi="Times New Roman"/>
                <w:color w:val="000000"/>
                <w:lang w:eastAsia="zh-CN"/>
              </w:rPr>
              <w:t>uide RNA</w:t>
            </w:r>
          </w:p>
        </w:tc>
      </w:tr>
      <w:tr w:rsidR="00DC64EE" w:rsidRPr="00DC64EE" w14:paraId="29898752" w14:textId="77777777" w:rsidTr="008D724C">
        <w:trPr>
          <w:trHeight w:val="288"/>
        </w:trPr>
        <w:tc>
          <w:tcPr>
            <w:tcW w:w="1701" w:type="dxa"/>
            <w:tcBorders>
              <w:top w:val="nil"/>
              <w:left w:val="nil"/>
              <w:bottom w:val="nil"/>
              <w:right w:val="nil"/>
            </w:tcBorders>
            <w:shd w:val="clear" w:color="auto" w:fill="auto"/>
            <w:noWrap/>
            <w:vAlign w:val="bottom"/>
            <w:hideMark/>
          </w:tcPr>
          <w:p w14:paraId="0D0DCFF3"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GURT</w:t>
            </w:r>
          </w:p>
        </w:tc>
        <w:tc>
          <w:tcPr>
            <w:tcW w:w="7659" w:type="dxa"/>
            <w:tcBorders>
              <w:top w:val="nil"/>
              <w:left w:val="nil"/>
              <w:bottom w:val="nil"/>
              <w:right w:val="nil"/>
            </w:tcBorders>
            <w:shd w:val="clear" w:color="auto" w:fill="auto"/>
            <w:noWrap/>
            <w:vAlign w:val="bottom"/>
            <w:hideMark/>
          </w:tcPr>
          <w:p w14:paraId="65EF547F"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Genetic-use restriction technology</w:t>
            </w:r>
          </w:p>
        </w:tc>
      </w:tr>
      <w:tr w:rsidR="00DC64EE" w:rsidRPr="00DC64EE" w14:paraId="7E3CF3B6" w14:textId="77777777" w:rsidTr="008D724C">
        <w:trPr>
          <w:trHeight w:val="288"/>
        </w:trPr>
        <w:tc>
          <w:tcPr>
            <w:tcW w:w="1701" w:type="dxa"/>
            <w:tcBorders>
              <w:top w:val="nil"/>
              <w:left w:val="nil"/>
              <w:bottom w:val="nil"/>
              <w:right w:val="nil"/>
            </w:tcBorders>
            <w:shd w:val="clear" w:color="auto" w:fill="auto"/>
            <w:noWrap/>
            <w:vAlign w:val="bottom"/>
            <w:hideMark/>
          </w:tcPr>
          <w:p w14:paraId="1C191FF2"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HEGAA</w:t>
            </w:r>
          </w:p>
        </w:tc>
        <w:tc>
          <w:tcPr>
            <w:tcW w:w="7659" w:type="dxa"/>
            <w:tcBorders>
              <w:top w:val="nil"/>
              <w:left w:val="nil"/>
              <w:bottom w:val="nil"/>
              <w:right w:val="nil"/>
            </w:tcBorders>
            <w:shd w:val="clear" w:color="auto" w:fill="auto"/>
            <w:noWrap/>
            <w:vAlign w:val="bottom"/>
            <w:hideMark/>
          </w:tcPr>
          <w:p w14:paraId="0AEB4183" w14:textId="09923A1B" w:rsidR="00DC64EE" w:rsidRPr="008D724C" w:rsidRDefault="005602AD"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H</w:t>
            </w:r>
            <w:r w:rsidR="00DC64EE" w:rsidRPr="008D724C">
              <w:rPr>
                <w:rFonts w:ascii="Times New Roman" w:eastAsia="Times New Roman" w:hAnsi="Times New Roman"/>
                <w:color w:val="000000"/>
                <w:lang w:eastAsia="zh-CN"/>
              </w:rPr>
              <w:t>orizontal environmental genetic alteration agent</w:t>
            </w:r>
          </w:p>
        </w:tc>
      </w:tr>
      <w:tr w:rsidR="00DC64EE" w:rsidRPr="00DC64EE" w14:paraId="030D2266" w14:textId="77777777" w:rsidTr="008D724C">
        <w:trPr>
          <w:trHeight w:val="288"/>
        </w:trPr>
        <w:tc>
          <w:tcPr>
            <w:tcW w:w="1701" w:type="dxa"/>
            <w:tcBorders>
              <w:top w:val="nil"/>
              <w:left w:val="nil"/>
              <w:bottom w:val="nil"/>
              <w:right w:val="nil"/>
            </w:tcBorders>
            <w:shd w:val="clear" w:color="auto" w:fill="auto"/>
            <w:noWrap/>
            <w:vAlign w:val="bottom"/>
            <w:hideMark/>
          </w:tcPr>
          <w:p w14:paraId="035E8502"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IAG</w:t>
            </w:r>
          </w:p>
        </w:tc>
        <w:tc>
          <w:tcPr>
            <w:tcW w:w="7659" w:type="dxa"/>
            <w:tcBorders>
              <w:top w:val="nil"/>
              <w:left w:val="nil"/>
              <w:bottom w:val="nil"/>
              <w:right w:val="nil"/>
            </w:tcBorders>
            <w:shd w:val="clear" w:color="auto" w:fill="auto"/>
            <w:noWrap/>
            <w:vAlign w:val="bottom"/>
            <w:hideMark/>
          </w:tcPr>
          <w:p w14:paraId="5C2142D1"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Independent advisory group</w:t>
            </w:r>
          </w:p>
        </w:tc>
      </w:tr>
      <w:tr w:rsidR="00DC64EE" w:rsidRPr="00DC64EE" w14:paraId="6712164E" w14:textId="77777777" w:rsidTr="008D724C">
        <w:trPr>
          <w:trHeight w:val="288"/>
        </w:trPr>
        <w:tc>
          <w:tcPr>
            <w:tcW w:w="1701" w:type="dxa"/>
            <w:tcBorders>
              <w:top w:val="nil"/>
              <w:left w:val="nil"/>
              <w:bottom w:val="nil"/>
              <w:right w:val="nil"/>
            </w:tcBorders>
            <w:shd w:val="clear" w:color="auto" w:fill="auto"/>
            <w:noWrap/>
            <w:vAlign w:val="bottom"/>
            <w:hideMark/>
          </w:tcPr>
          <w:p w14:paraId="29ED47B2"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IAS</w:t>
            </w:r>
          </w:p>
        </w:tc>
        <w:tc>
          <w:tcPr>
            <w:tcW w:w="7659" w:type="dxa"/>
            <w:tcBorders>
              <w:top w:val="nil"/>
              <w:left w:val="nil"/>
              <w:bottom w:val="nil"/>
              <w:right w:val="nil"/>
            </w:tcBorders>
            <w:shd w:val="clear" w:color="auto" w:fill="auto"/>
            <w:noWrap/>
            <w:vAlign w:val="bottom"/>
            <w:hideMark/>
          </w:tcPr>
          <w:p w14:paraId="0EE44AB1"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Invasive alien species</w:t>
            </w:r>
          </w:p>
        </w:tc>
      </w:tr>
      <w:tr w:rsidR="00DC64EE" w:rsidRPr="00DC64EE" w14:paraId="477D5FAF" w14:textId="77777777" w:rsidTr="008D724C">
        <w:trPr>
          <w:trHeight w:val="288"/>
        </w:trPr>
        <w:tc>
          <w:tcPr>
            <w:tcW w:w="1701" w:type="dxa"/>
            <w:tcBorders>
              <w:top w:val="nil"/>
              <w:left w:val="nil"/>
              <w:bottom w:val="nil"/>
              <w:right w:val="nil"/>
            </w:tcBorders>
            <w:shd w:val="clear" w:color="auto" w:fill="auto"/>
            <w:noWrap/>
            <w:vAlign w:val="bottom"/>
            <w:hideMark/>
          </w:tcPr>
          <w:p w14:paraId="3BEE9C68"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ICSWGSB</w:t>
            </w:r>
          </w:p>
        </w:tc>
        <w:tc>
          <w:tcPr>
            <w:tcW w:w="7659" w:type="dxa"/>
            <w:tcBorders>
              <w:top w:val="nil"/>
              <w:left w:val="nil"/>
              <w:bottom w:val="nil"/>
              <w:right w:val="nil"/>
            </w:tcBorders>
            <w:shd w:val="clear" w:color="auto" w:fill="auto"/>
            <w:noWrap/>
            <w:vAlign w:val="bottom"/>
            <w:hideMark/>
          </w:tcPr>
          <w:p w14:paraId="4BF3151A" w14:textId="46BAC74D"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 xml:space="preserve">International </w:t>
            </w:r>
            <w:r w:rsidR="00474BD6" w:rsidRPr="008D724C">
              <w:rPr>
                <w:rFonts w:ascii="Times New Roman" w:eastAsia="Times New Roman" w:hAnsi="Times New Roman"/>
                <w:color w:val="000000"/>
                <w:lang w:eastAsia="zh-CN"/>
              </w:rPr>
              <w:t>C</w:t>
            </w:r>
            <w:r w:rsidRPr="008D724C">
              <w:rPr>
                <w:rFonts w:ascii="Times New Roman" w:eastAsia="Times New Roman" w:hAnsi="Times New Roman"/>
                <w:color w:val="000000"/>
                <w:lang w:eastAsia="zh-CN"/>
              </w:rPr>
              <w:t xml:space="preserve">ivil </w:t>
            </w:r>
            <w:r w:rsidR="00474BD6" w:rsidRPr="008D724C">
              <w:rPr>
                <w:rFonts w:ascii="Times New Roman" w:eastAsia="Times New Roman" w:hAnsi="Times New Roman"/>
                <w:color w:val="000000"/>
                <w:lang w:eastAsia="zh-CN"/>
              </w:rPr>
              <w:t>S</w:t>
            </w:r>
            <w:r w:rsidRPr="008D724C">
              <w:rPr>
                <w:rFonts w:ascii="Times New Roman" w:eastAsia="Times New Roman" w:hAnsi="Times New Roman"/>
                <w:color w:val="000000"/>
                <w:lang w:eastAsia="zh-CN"/>
              </w:rPr>
              <w:t xml:space="preserve">ociety </w:t>
            </w:r>
            <w:r w:rsidR="00474BD6" w:rsidRPr="008D724C">
              <w:rPr>
                <w:rFonts w:ascii="Times New Roman" w:eastAsia="Times New Roman" w:hAnsi="Times New Roman"/>
                <w:color w:val="000000"/>
                <w:lang w:eastAsia="zh-CN"/>
              </w:rPr>
              <w:t>W</w:t>
            </w:r>
            <w:r w:rsidRPr="008D724C">
              <w:rPr>
                <w:rFonts w:ascii="Times New Roman" w:eastAsia="Times New Roman" w:hAnsi="Times New Roman"/>
                <w:color w:val="000000"/>
                <w:lang w:eastAsia="zh-CN"/>
              </w:rPr>
              <w:t xml:space="preserve">orking </w:t>
            </w:r>
            <w:r w:rsidR="00474BD6" w:rsidRPr="008D724C">
              <w:rPr>
                <w:rFonts w:ascii="Times New Roman" w:eastAsia="Times New Roman" w:hAnsi="Times New Roman"/>
                <w:color w:val="000000"/>
                <w:lang w:eastAsia="zh-CN"/>
              </w:rPr>
              <w:t>G</w:t>
            </w:r>
            <w:r w:rsidRPr="008D724C">
              <w:rPr>
                <w:rFonts w:ascii="Times New Roman" w:eastAsia="Times New Roman" w:hAnsi="Times New Roman"/>
                <w:color w:val="000000"/>
                <w:lang w:eastAsia="zh-CN"/>
              </w:rPr>
              <w:t xml:space="preserve">roup on </w:t>
            </w:r>
            <w:r w:rsidR="00474BD6" w:rsidRPr="008D724C">
              <w:rPr>
                <w:rFonts w:ascii="Times New Roman" w:eastAsia="Times New Roman" w:hAnsi="Times New Roman"/>
                <w:color w:val="000000"/>
                <w:lang w:eastAsia="zh-CN"/>
              </w:rPr>
              <w:t>S</w:t>
            </w:r>
            <w:r w:rsidRPr="008D724C">
              <w:rPr>
                <w:rFonts w:ascii="Times New Roman" w:eastAsia="Times New Roman" w:hAnsi="Times New Roman"/>
                <w:color w:val="000000"/>
                <w:lang w:eastAsia="zh-CN"/>
              </w:rPr>
              <w:t xml:space="preserve">ynthetic </w:t>
            </w:r>
            <w:r w:rsidR="00474BD6" w:rsidRPr="008D724C">
              <w:rPr>
                <w:rFonts w:ascii="Times New Roman" w:eastAsia="Times New Roman" w:hAnsi="Times New Roman"/>
                <w:color w:val="000000"/>
                <w:lang w:eastAsia="zh-CN"/>
              </w:rPr>
              <w:t>B</w:t>
            </w:r>
            <w:r w:rsidRPr="008D724C">
              <w:rPr>
                <w:rFonts w:ascii="Times New Roman" w:eastAsia="Times New Roman" w:hAnsi="Times New Roman"/>
                <w:color w:val="000000"/>
                <w:lang w:eastAsia="zh-CN"/>
              </w:rPr>
              <w:t>iology</w:t>
            </w:r>
          </w:p>
        </w:tc>
      </w:tr>
      <w:tr w:rsidR="00DC64EE" w:rsidRPr="00DC64EE" w14:paraId="5CA1A367" w14:textId="77777777" w:rsidTr="008D724C">
        <w:trPr>
          <w:trHeight w:val="288"/>
        </w:trPr>
        <w:tc>
          <w:tcPr>
            <w:tcW w:w="1701" w:type="dxa"/>
            <w:tcBorders>
              <w:top w:val="nil"/>
              <w:left w:val="nil"/>
              <w:bottom w:val="nil"/>
              <w:right w:val="nil"/>
            </w:tcBorders>
            <w:shd w:val="clear" w:color="auto" w:fill="auto"/>
            <w:noWrap/>
            <w:vAlign w:val="bottom"/>
            <w:hideMark/>
          </w:tcPr>
          <w:p w14:paraId="0586673D" w14:textId="77777777" w:rsidR="00DC64EE"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IGC</w:t>
            </w:r>
          </w:p>
          <w:p w14:paraId="2FCCA33A" w14:textId="0164726D" w:rsidR="00564532" w:rsidRPr="008D724C" w:rsidRDefault="00564532" w:rsidP="00DC64EE">
            <w:pPr>
              <w:spacing w:after="0" w:line="240" w:lineRule="auto"/>
              <w:rPr>
                <w:rFonts w:ascii="Times New Roman" w:eastAsia="Times New Roman" w:hAnsi="Times New Roman"/>
                <w:color w:val="000000"/>
                <w:lang w:eastAsia="zh-CN"/>
              </w:rPr>
            </w:pPr>
          </w:p>
        </w:tc>
        <w:tc>
          <w:tcPr>
            <w:tcW w:w="7659" w:type="dxa"/>
            <w:tcBorders>
              <w:top w:val="nil"/>
              <w:left w:val="nil"/>
              <w:bottom w:val="nil"/>
              <w:right w:val="nil"/>
            </w:tcBorders>
            <w:shd w:val="clear" w:color="auto" w:fill="auto"/>
            <w:noWrap/>
            <w:vAlign w:val="bottom"/>
            <w:hideMark/>
          </w:tcPr>
          <w:p w14:paraId="589EBC10"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 xml:space="preserve">Intergovernmental Committee on Intellectual Property and Genetic Resources, Traditional Knowledge and Folklore </w:t>
            </w:r>
          </w:p>
        </w:tc>
      </w:tr>
      <w:tr w:rsidR="00DC64EE" w:rsidRPr="00DC64EE" w14:paraId="5E93BE23" w14:textId="77777777" w:rsidTr="008D724C">
        <w:trPr>
          <w:trHeight w:val="288"/>
        </w:trPr>
        <w:tc>
          <w:tcPr>
            <w:tcW w:w="1701" w:type="dxa"/>
            <w:tcBorders>
              <w:top w:val="nil"/>
              <w:left w:val="nil"/>
              <w:bottom w:val="nil"/>
              <w:right w:val="nil"/>
            </w:tcBorders>
            <w:shd w:val="clear" w:color="auto" w:fill="auto"/>
            <w:noWrap/>
            <w:vAlign w:val="bottom"/>
            <w:hideMark/>
          </w:tcPr>
          <w:p w14:paraId="40068E58"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iGEM</w:t>
            </w:r>
          </w:p>
        </w:tc>
        <w:tc>
          <w:tcPr>
            <w:tcW w:w="7659" w:type="dxa"/>
            <w:tcBorders>
              <w:top w:val="nil"/>
              <w:left w:val="nil"/>
              <w:bottom w:val="nil"/>
              <w:right w:val="nil"/>
            </w:tcBorders>
            <w:shd w:val="clear" w:color="auto" w:fill="auto"/>
            <w:noWrap/>
            <w:vAlign w:val="bottom"/>
            <w:hideMark/>
          </w:tcPr>
          <w:p w14:paraId="568F9D56" w14:textId="4468F994"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 xml:space="preserve">International </w:t>
            </w:r>
            <w:r w:rsidR="005602AD" w:rsidRPr="008D724C">
              <w:rPr>
                <w:rFonts w:ascii="Times New Roman" w:eastAsia="Times New Roman" w:hAnsi="Times New Roman"/>
                <w:color w:val="000000"/>
                <w:lang w:eastAsia="zh-CN"/>
              </w:rPr>
              <w:t>G</w:t>
            </w:r>
            <w:r w:rsidRPr="008D724C">
              <w:rPr>
                <w:rFonts w:ascii="Times New Roman" w:eastAsia="Times New Roman" w:hAnsi="Times New Roman"/>
                <w:color w:val="000000"/>
                <w:lang w:eastAsia="zh-CN"/>
              </w:rPr>
              <w:t xml:space="preserve">enetically </w:t>
            </w:r>
            <w:r w:rsidR="005602AD" w:rsidRPr="008D724C">
              <w:rPr>
                <w:rFonts w:ascii="Times New Roman" w:eastAsia="Times New Roman" w:hAnsi="Times New Roman"/>
                <w:color w:val="000000"/>
                <w:lang w:eastAsia="zh-CN"/>
              </w:rPr>
              <w:t>E</w:t>
            </w:r>
            <w:r w:rsidRPr="008D724C">
              <w:rPr>
                <w:rFonts w:ascii="Times New Roman" w:eastAsia="Times New Roman" w:hAnsi="Times New Roman"/>
                <w:color w:val="000000"/>
                <w:lang w:eastAsia="zh-CN"/>
              </w:rPr>
              <w:t xml:space="preserve">ngineered </w:t>
            </w:r>
            <w:r w:rsidR="005602AD" w:rsidRPr="008D724C">
              <w:rPr>
                <w:rFonts w:ascii="Times New Roman" w:eastAsia="Times New Roman" w:hAnsi="Times New Roman"/>
                <w:color w:val="000000"/>
                <w:lang w:eastAsia="zh-CN"/>
              </w:rPr>
              <w:t>M</w:t>
            </w:r>
            <w:r w:rsidRPr="008D724C">
              <w:rPr>
                <w:rFonts w:ascii="Times New Roman" w:eastAsia="Times New Roman" w:hAnsi="Times New Roman"/>
                <w:color w:val="000000"/>
                <w:lang w:eastAsia="zh-CN"/>
              </w:rPr>
              <w:t>achine</w:t>
            </w:r>
          </w:p>
        </w:tc>
      </w:tr>
      <w:tr w:rsidR="00DC64EE" w:rsidRPr="00DC64EE" w14:paraId="03864C85" w14:textId="77777777" w:rsidTr="008D724C">
        <w:trPr>
          <w:trHeight w:val="288"/>
        </w:trPr>
        <w:tc>
          <w:tcPr>
            <w:tcW w:w="1701" w:type="dxa"/>
            <w:tcBorders>
              <w:top w:val="nil"/>
              <w:left w:val="nil"/>
              <w:bottom w:val="nil"/>
              <w:right w:val="nil"/>
            </w:tcBorders>
            <w:shd w:val="clear" w:color="auto" w:fill="auto"/>
            <w:noWrap/>
            <w:vAlign w:val="bottom"/>
            <w:hideMark/>
          </w:tcPr>
          <w:p w14:paraId="64F23302"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IGSC</w:t>
            </w:r>
          </w:p>
        </w:tc>
        <w:tc>
          <w:tcPr>
            <w:tcW w:w="7659" w:type="dxa"/>
            <w:tcBorders>
              <w:top w:val="nil"/>
              <w:left w:val="nil"/>
              <w:bottom w:val="nil"/>
              <w:right w:val="nil"/>
            </w:tcBorders>
            <w:shd w:val="clear" w:color="auto" w:fill="auto"/>
            <w:noWrap/>
            <w:vAlign w:val="bottom"/>
            <w:hideMark/>
          </w:tcPr>
          <w:p w14:paraId="3A9BBBF4"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International Gene Synthesis Consortium</w:t>
            </w:r>
          </w:p>
        </w:tc>
      </w:tr>
      <w:tr w:rsidR="00DC64EE" w:rsidRPr="00DC64EE" w14:paraId="2783DFED" w14:textId="77777777" w:rsidTr="008D724C">
        <w:trPr>
          <w:trHeight w:val="288"/>
        </w:trPr>
        <w:tc>
          <w:tcPr>
            <w:tcW w:w="1701" w:type="dxa"/>
            <w:tcBorders>
              <w:top w:val="nil"/>
              <w:left w:val="nil"/>
              <w:bottom w:val="nil"/>
              <w:right w:val="nil"/>
            </w:tcBorders>
            <w:shd w:val="clear" w:color="auto" w:fill="auto"/>
            <w:noWrap/>
            <w:vAlign w:val="bottom"/>
            <w:hideMark/>
          </w:tcPr>
          <w:p w14:paraId="52324BBA"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IP</w:t>
            </w:r>
          </w:p>
        </w:tc>
        <w:tc>
          <w:tcPr>
            <w:tcW w:w="7659" w:type="dxa"/>
            <w:tcBorders>
              <w:top w:val="nil"/>
              <w:left w:val="nil"/>
              <w:bottom w:val="nil"/>
              <w:right w:val="nil"/>
            </w:tcBorders>
            <w:shd w:val="clear" w:color="auto" w:fill="auto"/>
            <w:noWrap/>
            <w:vAlign w:val="bottom"/>
            <w:hideMark/>
          </w:tcPr>
          <w:p w14:paraId="6E900E5C"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Intellectual property</w:t>
            </w:r>
          </w:p>
        </w:tc>
      </w:tr>
      <w:tr w:rsidR="00DC64EE" w:rsidRPr="00DC64EE" w14:paraId="6ECD446D" w14:textId="77777777" w:rsidTr="008D724C">
        <w:trPr>
          <w:trHeight w:val="288"/>
        </w:trPr>
        <w:tc>
          <w:tcPr>
            <w:tcW w:w="1701" w:type="dxa"/>
            <w:tcBorders>
              <w:top w:val="nil"/>
              <w:left w:val="nil"/>
              <w:bottom w:val="nil"/>
              <w:right w:val="nil"/>
            </w:tcBorders>
            <w:shd w:val="clear" w:color="auto" w:fill="auto"/>
            <w:noWrap/>
            <w:vAlign w:val="bottom"/>
            <w:hideMark/>
          </w:tcPr>
          <w:p w14:paraId="09324E5C" w14:textId="317FFCBD"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IPLC</w:t>
            </w:r>
            <w:r w:rsidR="003114C3">
              <w:rPr>
                <w:rFonts w:ascii="Times New Roman" w:eastAsia="Times New Roman" w:hAnsi="Times New Roman"/>
                <w:color w:val="000000"/>
                <w:lang w:eastAsia="zh-CN"/>
              </w:rPr>
              <w:t>s</w:t>
            </w:r>
          </w:p>
        </w:tc>
        <w:tc>
          <w:tcPr>
            <w:tcW w:w="7659" w:type="dxa"/>
            <w:tcBorders>
              <w:top w:val="nil"/>
              <w:left w:val="nil"/>
              <w:bottom w:val="nil"/>
              <w:right w:val="nil"/>
            </w:tcBorders>
            <w:shd w:val="clear" w:color="auto" w:fill="auto"/>
            <w:noWrap/>
            <w:vAlign w:val="bottom"/>
            <w:hideMark/>
          </w:tcPr>
          <w:p w14:paraId="69F4C8EE"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Indigenous Peoples and Local Communities</w:t>
            </w:r>
          </w:p>
        </w:tc>
      </w:tr>
      <w:tr w:rsidR="00DC64EE" w:rsidRPr="00DC64EE" w14:paraId="103F2266" w14:textId="77777777" w:rsidTr="008D724C">
        <w:trPr>
          <w:trHeight w:val="288"/>
        </w:trPr>
        <w:tc>
          <w:tcPr>
            <w:tcW w:w="1701" w:type="dxa"/>
            <w:tcBorders>
              <w:top w:val="nil"/>
              <w:left w:val="nil"/>
              <w:bottom w:val="nil"/>
              <w:right w:val="nil"/>
            </w:tcBorders>
            <w:shd w:val="clear" w:color="auto" w:fill="auto"/>
            <w:noWrap/>
            <w:vAlign w:val="bottom"/>
            <w:hideMark/>
          </w:tcPr>
          <w:p w14:paraId="1BA58B63" w14:textId="52AA807D" w:rsidR="003A3724" w:rsidRDefault="003A3724" w:rsidP="00DC64EE">
            <w:pPr>
              <w:spacing w:after="0" w:line="240" w:lineRule="auto"/>
              <w:rPr>
                <w:rFonts w:ascii="Times New Roman" w:eastAsia="Times New Roman" w:hAnsi="Times New Roman"/>
                <w:color w:val="000000"/>
                <w:lang w:eastAsia="zh-CN"/>
              </w:rPr>
            </w:pPr>
            <w:r w:rsidRPr="003A3724">
              <w:rPr>
                <w:rFonts w:ascii="Times New Roman" w:eastAsia="Times New Roman" w:hAnsi="Times New Roman"/>
                <w:color w:val="000000"/>
                <w:lang w:eastAsia="zh-CN"/>
              </w:rPr>
              <w:t>IPPC</w:t>
            </w:r>
          </w:p>
          <w:p w14:paraId="53C6EE00"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ITPGRFA</w:t>
            </w:r>
          </w:p>
        </w:tc>
        <w:tc>
          <w:tcPr>
            <w:tcW w:w="7659" w:type="dxa"/>
            <w:tcBorders>
              <w:top w:val="nil"/>
              <w:left w:val="nil"/>
              <w:bottom w:val="nil"/>
              <w:right w:val="nil"/>
            </w:tcBorders>
            <w:shd w:val="clear" w:color="auto" w:fill="auto"/>
            <w:noWrap/>
            <w:vAlign w:val="bottom"/>
            <w:hideMark/>
          </w:tcPr>
          <w:p w14:paraId="2C724433" w14:textId="7935CF73" w:rsidR="003A3724" w:rsidRDefault="003A3724" w:rsidP="00DC64EE">
            <w:pPr>
              <w:spacing w:after="0" w:line="240" w:lineRule="auto"/>
              <w:rPr>
                <w:rFonts w:ascii="Times New Roman" w:eastAsia="Times New Roman" w:hAnsi="Times New Roman"/>
                <w:color w:val="000000"/>
                <w:lang w:eastAsia="zh-CN"/>
              </w:rPr>
            </w:pPr>
            <w:r>
              <w:rPr>
                <w:rFonts w:ascii="Times New Roman" w:eastAsia="Times New Roman" w:hAnsi="Times New Roman"/>
                <w:color w:val="000000"/>
                <w:lang w:eastAsia="zh-CN"/>
              </w:rPr>
              <w:t xml:space="preserve">International </w:t>
            </w:r>
            <w:r w:rsidR="003B1C04">
              <w:rPr>
                <w:rFonts w:ascii="Times New Roman" w:eastAsia="Times New Roman" w:hAnsi="Times New Roman"/>
                <w:color w:val="000000"/>
                <w:lang w:eastAsia="zh-CN"/>
              </w:rPr>
              <w:t>Plant Protection Convention</w:t>
            </w:r>
          </w:p>
          <w:p w14:paraId="11A55F21"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International Treaty on Plant Genetic Resources for Food and Agriculture</w:t>
            </w:r>
          </w:p>
        </w:tc>
      </w:tr>
      <w:tr w:rsidR="00DC64EE" w:rsidRPr="00DC64EE" w14:paraId="61F59D80" w14:textId="77777777" w:rsidTr="008D724C">
        <w:trPr>
          <w:trHeight w:val="288"/>
        </w:trPr>
        <w:tc>
          <w:tcPr>
            <w:tcW w:w="1701" w:type="dxa"/>
            <w:tcBorders>
              <w:top w:val="nil"/>
              <w:left w:val="nil"/>
              <w:bottom w:val="nil"/>
              <w:right w:val="nil"/>
            </w:tcBorders>
            <w:shd w:val="clear" w:color="auto" w:fill="auto"/>
            <w:noWrap/>
            <w:vAlign w:val="bottom"/>
            <w:hideMark/>
          </w:tcPr>
          <w:p w14:paraId="61175960"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IUCN</w:t>
            </w:r>
          </w:p>
        </w:tc>
        <w:tc>
          <w:tcPr>
            <w:tcW w:w="7659" w:type="dxa"/>
            <w:tcBorders>
              <w:top w:val="nil"/>
              <w:left w:val="nil"/>
              <w:bottom w:val="nil"/>
              <w:right w:val="nil"/>
            </w:tcBorders>
            <w:shd w:val="clear" w:color="auto" w:fill="auto"/>
            <w:noWrap/>
            <w:vAlign w:val="bottom"/>
            <w:hideMark/>
          </w:tcPr>
          <w:p w14:paraId="57CCAC2A"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International Union for Conservation of Nature</w:t>
            </w:r>
          </w:p>
        </w:tc>
      </w:tr>
      <w:tr w:rsidR="00DC64EE" w:rsidRPr="00DC64EE" w14:paraId="7B20DF5A" w14:textId="77777777" w:rsidTr="008D724C">
        <w:trPr>
          <w:trHeight w:val="288"/>
        </w:trPr>
        <w:tc>
          <w:tcPr>
            <w:tcW w:w="1701" w:type="dxa"/>
            <w:tcBorders>
              <w:top w:val="nil"/>
              <w:left w:val="nil"/>
              <w:bottom w:val="nil"/>
              <w:right w:val="nil"/>
            </w:tcBorders>
            <w:shd w:val="clear" w:color="auto" w:fill="auto"/>
            <w:noWrap/>
            <w:vAlign w:val="bottom"/>
            <w:hideMark/>
          </w:tcPr>
          <w:p w14:paraId="26A813F7"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LMO</w:t>
            </w:r>
          </w:p>
        </w:tc>
        <w:tc>
          <w:tcPr>
            <w:tcW w:w="7659" w:type="dxa"/>
            <w:tcBorders>
              <w:top w:val="nil"/>
              <w:left w:val="nil"/>
              <w:bottom w:val="nil"/>
              <w:right w:val="nil"/>
            </w:tcBorders>
            <w:shd w:val="clear" w:color="auto" w:fill="auto"/>
            <w:noWrap/>
            <w:vAlign w:val="bottom"/>
            <w:hideMark/>
          </w:tcPr>
          <w:p w14:paraId="1912A3C1" w14:textId="29362051" w:rsidR="00DC64EE" w:rsidRPr="008D724C" w:rsidRDefault="005602AD"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L</w:t>
            </w:r>
            <w:r w:rsidR="00DC64EE" w:rsidRPr="008D724C">
              <w:rPr>
                <w:rFonts w:ascii="Times New Roman" w:eastAsia="Times New Roman" w:hAnsi="Times New Roman"/>
                <w:color w:val="000000"/>
                <w:lang w:eastAsia="zh-CN"/>
              </w:rPr>
              <w:t>iving modified organism</w:t>
            </w:r>
          </w:p>
        </w:tc>
      </w:tr>
      <w:tr w:rsidR="00DC64EE" w:rsidRPr="00DC64EE" w14:paraId="59CFEC24" w14:textId="77777777" w:rsidTr="008D724C">
        <w:trPr>
          <w:trHeight w:val="288"/>
        </w:trPr>
        <w:tc>
          <w:tcPr>
            <w:tcW w:w="1701" w:type="dxa"/>
            <w:tcBorders>
              <w:top w:val="nil"/>
              <w:left w:val="nil"/>
              <w:bottom w:val="nil"/>
              <w:right w:val="nil"/>
            </w:tcBorders>
            <w:shd w:val="clear" w:color="auto" w:fill="auto"/>
            <w:noWrap/>
            <w:vAlign w:val="bottom"/>
            <w:hideMark/>
          </w:tcPr>
          <w:p w14:paraId="37258166"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LMO-FFP</w:t>
            </w:r>
          </w:p>
        </w:tc>
        <w:tc>
          <w:tcPr>
            <w:tcW w:w="7659" w:type="dxa"/>
            <w:tcBorders>
              <w:top w:val="nil"/>
              <w:left w:val="nil"/>
              <w:bottom w:val="nil"/>
              <w:right w:val="nil"/>
            </w:tcBorders>
            <w:shd w:val="clear" w:color="auto" w:fill="auto"/>
            <w:noWrap/>
            <w:vAlign w:val="bottom"/>
            <w:hideMark/>
          </w:tcPr>
          <w:p w14:paraId="34E1E9B7" w14:textId="55FE17BC" w:rsidR="00DC64EE" w:rsidRPr="008D724C" w:rsidRDefault="005602AD"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L</w:t>
            </w:r>
            <w:r w:rsidR="00DC64EE" w:rsidRPr="008D724C">
              <w:rPr>
                <w:rFonts w:ascii="Times New Roman" w:eastAsia="Times New Roman" w:hAnsi="Times New Roman"/>
                <w:color w:val="000000"/>
                <w:lang w:eastAsia="zh-CN"/>
              </w:rPr>
              <w:t>iving modified organism for food, feed and processing</w:t>
            </w:r>
          </w:p>
        </w:tc>
      </w:tr>
      <w:tr w:rsidR="00DC64EE" w:rsidRPr="00DC64EE" w14:paraId="43D7A4B2" w14:textId="77777777" w:rsidTr="008D724C">
        <w:trPr>
          <w:trHeight w:val="288"/>
        </w:trPr>
        <w:tc>
          <w:tcPr>
            <w:tcW w:w="1701" w:type="dxa"/>
            <w:tcBorders>
              <w:top w:val="nil"/>
              <w:left w:val="nil"/>
              <w:bottom w:val="nil"/>
              <w:right w:val="nil"/>
            </w:tcBorders>
            <w:shd w:val="clear" w:color="auto" w:fill="auto"/>
            <w:noWrap/>
            <w:vAlign w:val="bottom"/>
            <w:hideMark/>
          </w:tcPr>
          <w:p w14:paraId="26EAABB4"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miRNA</w:t>
            </w:r>
          </w:p>
        </w:tc>
        <w:tc>
          <w:tcPr>
            <w:tcW w:w="7659" w:type="dxa"/>
            <w:tcBorders>
              <w:top w:val="nil"/>
              <w:left w:val="nil"/>
              <w:bottom w:val="nil"/>
              <w:right w:val="nil"/>
            </w:tcBorders>
            <w:shd w:val="clear" w:color="auto" w:fill="auto"/>
            <w:noWrap/>
            <w:vAlign w:val="bottom"/>
            <w:hideMark/>
          </w:tcPr>
          <w:p w14:paraId="13C9E80B" w14:textId="5363F861" w:rsidR="00DC64EE" w:rsidRPr="008D724C" w:rsidRDefault="005602AD"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M</w:t>
            </w:r>
            <w:r w:rsidR="00DC64EE" w:rsidRPr="008D724C">
              <w:rPr>
                <w:rFonts w:ascii="Times New Roman" w:eastAsia="Times New Roman" w:hAnsi="Times New Roman"/>
                <w:color w:val="000000"/>
                <w:lang w:eastAsia="zh-CN"/>
              </w:rPr>
              <w:t>icroRNA</w:t>
            </w:r>
          </w:p>
        </w:tc>
      </w:tr>
      <w:tr w:rsidR="00DC64EE" w:rsidRPr="00DC64EE" w14:paraId="701663AE" w14:textId="77777777" w:rsidTr="008D724C">
        <w:trPr>
          <w:trHeight w:val="288"/>
        </w:trPr>
        <w:tc>
          <w:tcPr>
            <w:tcW w:w="1701" w:type="dxa"/>
            <w:tcBorders>
              <w:top w:val="nil"/>
              <w:left w:val="nil"/>
              <w:bottom w:val="nil"/>
              <w:right w:val="nil"/>
            </w:tcBorders>
            <w:shd w:val="clear" w:color="auto" w:fill="auto"/>
            <w:noWrap/>
            <w:vAlign w:val="bottom"/>
            <w:hideMark/>
          </w:tcPr>
          <w:p w14:paraId="42D60B11"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lastRenderedPageBreak/>
              <w:t>MN</w:t>
            </w:r>
          </w:p>
        </w:tc>
        <w:tc>
          <w:tcPr>
            <w:tcW w:w="7659" w:type="dxa"/>
            <w:tcBorders>
              <w:top w:val="nil"/>
              <w:left w:val="nil"/>
              <w:bottom w:val="nil"/>
              <w:right w:val="nil"/>
            </w:tcBorders>
            <w:shd w:val="clear" w:color="auto" w:fill="auto"/>
            <w:noWrap/>
            <w:vAlign w:val="bottom"/>
            <w:hideMark/>
          </w:tcPr>
          <w:p w14:paraId="2873732E" w14:textId="54F9D80C" w:rsidR="00DC64EE" w:rsidRPr="008D724C" w:rsidRDefault="005602AD"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M</w:t>
            </w:r>
            <w:r w:rsidR="00DC64EE" w:rsidRPr="008D724C">
              <w:rPr>
                <w:rFonts w:ascii="Times New Roman" w:eastAsia="Times New Roman" w:hAnsi="Times New Roman"/>
                <w:color w:val="000000"/>
                <w:lang w:eastAsia="zh-CN"/>
              </w:rPr>
              <w:t>eganuclease</w:t>
            </w:r>
          </w:p>
        </w:tc>
      </w:tr>
      <w:tr w:rsidR="00DC64EE" w:rsidRPr="00DC64EE" w14:paraId="7B732371" w14:textId="77777777" w:rsidTr="008D724C">
        <w:trPr>
          <w:trHeight w:val="288"/>
        </w:trPr>
        <w:tc>
          <w:tcPr>
            <w:tcW w:w="1701" w:type="dxa"/>
            <w:tcBorders>
              <w:top w:val="nil"/>
              <w:left w:val="nil"/>
              <w:bottom w:val="nil"/>
              <w:right w:val="nil"/>
            </w:tcBorders>
            <w:shd w:val="clear" w:color="auto" w:fill="auto"/>
            <w:noWrap/>
            <w:vAlign w:val="bottom"/>
            <w:hideMark/>
          </w:tcPr>
          <w:p w14:paraId="25FAFE5A"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NASEM</w:t>
            </w:r>
          </w:p>
        </w:tc>
        <w:tc>
          <w:tcPr>
            <w:tcW w:w="7659" w:type="dxa"/>
            <w:tcBorders>
              <w:top w:val="nil"/>
              <w:left w:val="nil"/>
              <w:bottom w:val="nil"/>
              <w:right w:val="nil"/>
            </w:tcBorders>
            <w:shd w:val="clear" w:color="auto" w:fill="auto"/>
            <w:noWrap/>
            <w:vAlign w:val="bottom"/>
            <w:hideMark/>
          </w:tcPr>
          <w:p w14:paraId="28FC8B27"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National Academies of Sciences, Engineering and Medicine</w:t>
            </w:r>
          </w:p>
        </w:tc>
      </w:tr>
      <w:tr w:rsidR="00DC64EE" w:rsidRPr="00DC64EE" w14:paraId="656AEBCF" w14:textId="77777777" w:rsidTr="008D724C">
        <w:trPr>
          <w:trHeight w:val="288"/>
        </w:trPr>
        <w:tc>
          <w:tcPr>
            <w:tcW w:w="1701" w:type="dxa"/>
            <w:tcBorders>
              <w:top w:val="nil"/>
              <w:left w:val="nil"/>
              <w:bottom w:val="nil"/>
              <w:right w:val="nil"/>
            </w:tcBorders>
            <w:shd w:val="clear" w:color="auto" w:fill="auto"/>
            <w:noWrap/>
            <w:vAlign w:val="bottom"/>
            <w:hideMark/>
          </w:tcPr>
          <w:p w14:paraId="0B23A2CF"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NGO</w:t>
            </w:r>
          </w:p>
        </w:tc>
        <w:tc>
          <w:tcPr>
            <w:tcW w:w="7659" w:type="dxa"/>
            <w:tcBorders>
              <w:top w:val="nil"/>
              <w:left w:val="nil"/>
              <w:bottom w:val="nil"/>
              <w:right w:val="nil"/>
            </w:tcBorders>
            <w:shd w:val="clear" w:color="auto" w:fill="auto"/>
            <w:noWrap/>
            <w:vAlign w:val="bottom"/>
            <w:hideMark/>
          </w:tcPr>
          <w:p w14:paraId="7129A34E" w14:textId="187B19FF"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 xml:space="preserve">Non-governmental </w:t>
            </w:r>
            <w:r w:rsidR="007D42ED" w:rsidRPr="008D724C">
              <w:rPr>
                <w:rFonts w:ascii="Times New Roman" w:eastAsia="Times New Roman" w:hAnsi="Times New Roman"/>
                <w:color w:val="000000"/>
                <w:lang w:eastAsia="zh-CN"/>
              </w:rPr>
              <w:t>organi</w:t>
            </w:r>
            <w:r w:rsidR="007D42ED">
              <w:rPr>
                <w:rFonts w:ascii="Times New Roman" w:eastAsia="Times New Roman" w:hAnsi="Times New Roman"/>
                <w:color w:val="000000"/>
                <w:lang w:eastAsia="zh-CN"/>
              </w:rPr>
              <w:t>s</w:t>
            </w:r>
            <w:r w:rsidR="007D42ED" w:rsidRPr="008D724C">
              <w:rPr>
                <w:rFonts w:ascii="Times New Roman" w:eastAsia="Times New Roman" w:hAnsi="Times New Roman"/>
                <w:color w:val="000000"/>
                <w:lang w:eastAsia="zh-CN"/>
              </w:rPr>
              <w:t>ation</w:t>
            </w:r>
          </w:p>
        </w:tc>
      </w:tr>
      <w:tr w:rsidR="00DC64EE" w:rsidRPr="00DC64EE" w14:paraId="60E36CDA" w14:textId="77777777" w:rsidTr="008D724C">
        <w:trPr>
          <w:trHeight w:val="288"/>
        </w:trPr>
        <w:tc>
          <w:tcPr>
            <w:tcW w:w="1701" w:type="dxa"/>
            <w:tcBorders>
              <w:top w:val="nil"/>
              <w:left w:val="nil"/>
              <w:bottom w:val="nil"/>
              <w:right w:val="nil"/>
            </w:tcBorders>
            <w:shd w:val="clear" w:color="auto" w:fill="auto"/>
            <w:noWrap/>
            <w:vAlign w:val="bottom"/>
            <w:hideMark/>
          </w:tcPr>
          <w:p w14:paraId="51E5436F"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nt</w:t>
            </w:r>
          </w:p>
        </w:tc>
        <w:tc>
          <w:tcPr>
            <w:tcW w:w="7659" w:type="dxa"/>
            <w:tcBorders>
              <w:top w:val="nil"/>
              <w:left w:val="nil"/>
              <w:bottom w:val="nil"/>
              <w:right w:val="nil"/>
            </w:tcBorders>
            <w:shd w:val="clear" w:color="auto" w:fill="auto"/>
            <w:noWrap/>
            <w:vAlign w:val="bottom"/>
            <w:hideMark/>
          </w:tcPr>
          <w:p w14:paraId="6358CDFE" w14:textId="74B287CF" w:rsidR="00DC64EE" w:rsidRPr="008D724C" w:rsidRDefault="005602AD"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N</w:t>
            </w:r>
            <w:r w:rsidR="00DC64EE" w:rsidRPr="008D724C">
              <w:rPr>
                <w:rFonts w:ascii="Times New Roman" w:eastAsia="Times New Roman" w:hAnsi="Times New Roman"/>
                <w:color w:val="000000"/>
                <w:lang w:eastAsia="zh-CN"/>
              </w:rPr>
              <w:t>ucleotide</w:t>
            </w:r>
          </w:p>
        </w:tc>
      </w:tr>
      <w:tr w:rsidR="00DC64EE" w:rsidRPr="00DC64EE" w14:paraId="19B48D87" w14:textId="77777777" w:rsidTr="008D724C">
        <w:trPr>
          <w:trHeight w:val="288"/>
        </w:trPr>
        <w:tc>
          <w:tcPr>
            <w:tcW w:w="1701" w:type="dxa"/>
            <w:tcBorders>
              <w:top w:val="nil"/>
              <w:left w:val="nil"/>
              <w:bottom w:val="nil"/>
              <w:right w:val="nil"/>
            </w:tcBorders>
            <w:shd w:val="clear" w:color="auto" w:fill="auto"/>
            <w:noWrap/>
            <w:vAlign w:val="bottom"/>
            <w:hideMark/>
          </w:tcPr>
          <w:p w14:paraId="0FD3D066"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ODM</w:t>
            </w:r>
          </w:p>
        </w:tc>
        <w:tc>
          <w:tcPr>
            <w:tcW w:w="7659" w:type="dxa"/>
            <w:tcBorders>
              <w:top w:val="nil"/>
              <w:left w:val="nil"/>
              <w:bottom w:val="nil"/>
              <w:right w:val="nil"/>
            </w:tcBorders>
            <w:shd w:val="clear" w:color="auto" w:fill="auto"/>
            <w:noWrap/>
            <w:vAlign w:val="bottom"/>
            <w:hideMark/>
          </w:tcPr>
          <w:p w14:paraId="4BEE8D6E" w14:textId="2A9DA682" w:rsidR="00DC64EE" w:rsidRPr="008D724C" w:rsidRDefault="005602AD"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O</w:t>
            </w:r>
            <w:r w:rsidR="00DC64EE" w:rsidRPr="008D724C">
              <w:rPr>
                <w:rFonts w:ascii="Times New Roman" w:eastAsia="Times New Roman" w:hAnsi="Times New Roman"/>
                <w:color w:val="000000"/>
                <w:lang w:eastAsia="zh-CN"/>
              </w:rPr>
              <w:t>ligonucleotide-directed mutagenesis</w:t>
            </w:r>
          </w:p>
        </w:tc>
      </w:tr>
      <w:tr w:rsidR="00DC64EE" w:rsidRPr="00DC64EE" w14:paraId="7D29DA27" w14:textId="77777777" w:rsidTr="008D724C">
        <w:trPr>
          <w:trHeight w:val="288"/>
        </w:trPr>
        <w:tc>
          <w:tcPr>
            <w:tcW w:w="1701" w:type="dxa"/>
            <w:tcBorders>
              <w:top w:val="nil"/>
              <w:left w:val="nil"/>
              <w:bottom w:val="nil"/>
              <w:right w:val="nil"/>
            </w:tcBorders>
            <w:shd w:val="clear" w:color="auto" w:fill="auto"/>
            <w:noWrap/>
            <w:vAlign w:val="bottom"/>
            <w:hideMark/>
          </w:tcPr>
          <w:p w14:paraId="3EA64258"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OECD</w:t>
            </w:r>
          </w:p>
        </w:tc>
        <w:tc>
          <w:tcPr>
            <w:tcW w:w="7659" w:type="dxa"/>
            <w:tcBorders>
              <w:top w:val="nil"/>
              <w:left w:val="nil"/>
              <w:bottom w:val="nil"/>
              <w:right w:val="nil"/>
            </w:tcBorders>
            <w:shd w:val="clear" w:color="auto" w:fill="auto"/>
            <w:noWrap/>
            <w:vAlign w:val="bottom"/>
            <w:hideMark/>
          </w:tcPr>
          <w:p w14:paraId="0B4BFCB1" w14:textId="2305C05C" w:rsidR="00DC64EE" w:rsidRPr="008D724C" w:rsidRDefault="005602AD"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Organization</w:t>
            </w:r>
            <w:r w:rsidR="00DC64EE" w:rsidRPr="008D724C">
              <w:rPr>
                <w:rFonts w:ascii="Times New Roman" w:eastAsia="Times New Roman" w:hAnsi="Times New Roman"/>
                <w:color w:val="000000"/>
                <w:lang w:eastAsia="zh-CN"/>
              </w:rPr>
              <w:t xml:space="preserve"> for Economic Co-operation and Development</w:t>
            </w:r>
          </w:p>
        </w:tc>
      </w:tr>
      <w:tr w:rsidR="00DC64EE" w:rsidRPr="00DC64EE" w14:paraId="42A18761" w14:textId="77777777" w:rsidTr="008D724C">
        <w:trPr>
          <w:trHeight w:val="288"/>
        </w:trPr>
        <w:tc>
          <w:tcPr>
            <w:tcW w:w="1701" w:type="dxa"/>
            <w:tcBorders>
              <w:top w:val="nil"/>
              <w:left w:val="nil"/>
              <w:bottom w:val="nil"/>
              <w:right w:val="nil"/>
            </w:tcBorders>
            <w:shd w:val="clear" w:color="auto" w:fill="auto"/>
            <w:noWrap/>
            <w:vAlign w:val="bottom"/>
            <w:hideMark/>
          </w:tcPr>
          <w:p w14:paraId="49A311CA"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OIE</w:t>
            </w:r>
          </w:p>
        </w:tc>
        <w:tc>
          <w:tcPr>
            <w:tcW w:w="7659" w:type="dxa"/>
            <w:tcBorders>
              <w:top w:val="nil"/>
              <w:left w:val="nil"/>
              <w:bottom w:val="nil"/>
              <w:right w:val="nil"/>
            </w:tcBorders>
            <w:shd w:val="clear" w:color="auto" w:fill="auto"/>
            <w:noWrap/>
            <w:vAlign w:val="bottom"/>
            <w:hideMark/>
          </w:tcPr>
          <w:p w14:paraId="0FEE4389"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World Organization for Animal Health</w:t>
            </w:r>
          </w:p>
        </w:tc>
      </w:tr>
      <w:tr w:rsidR="00DC64EE" w:rsidRPr="00DC64EE" w14:paraId="7D49E16D" w14:textId="77777777" w:rsidTr="008D724C">
        <w:trPr>
          <w:trHeight w:val="288"/>
        </w:trPr>
        <w:tc>
          <w:tcPr>
            <w:tcW w:w="1701" w:type="dxa"/>
            <w:tcBorders>
              <w:top w:val="nil"/>
              <w:left w:val="nil"/>
              <w:bottom w:val="nil"/>
              <w:right w:val="nil"/>
            </w:tcBorders>
            <w:shd w:val="clear" w:color="auto" w:fill="auto"/>
            <w:noWrap/>
            <w:vAlign w:val="bottom"/>
            <w:hideMark/>
          </w:tcPr>
          <w:p w14:paraId="283AB5EE" w14:textId="46FA9529" w:rsidR="00C0615E" w:rsidRDefault="00C113C3" w:rsidP="00DC64EE">
            <w:pPr>
              <w:spacing w:after="0" w:line="240" w:lineRule="auto"/>
              <w:rPr>
                <w:rFonts w:ascii="Times New Roman" w:eastAsia="Times New Roman" w:hAnsi="Times New Roman"/>
                <w:color w:val="000000"/>
                <w:lang w:eastAsia="zh-CN"/>
              </w:rPr>
            </w:pPr>
            <w:r>
              <w:rPr>
                <w:rFonts w:ascii="Times New Roman" w:eastAsia="Times New Roman" w:hAnsi="Times New Roman"/>
                <w:color w:val="000000"/>
                <w:lang w:eastAsia="zh-CN"/>
              </w:rPr>
              <w:t>OPCW</w:t>
            </w:r>
            <w:r w:rsidR="00E64190">
              <w:rPr>
                <w:rFonts w:ascii="Times New Roman" w:eastAsia="Times New Roman" w:hAnsi="Times New Roman"/>
                <w:color w:val="000000"/>
                <w:lang w:eastAsia="zh-CN"/>
              </w:rPr>
              <w:tab/>
            </w:r>
          </w:p>
          <w:p w14:paraId="49D37F4F" w14:textId="167BD8D9"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PCR</w:t>
            </w:r>
          </w:p>
        </w:tc>
        <w:tc>
          <w:tcPr>
            <w:tcW w:w="7659" w:type="dxa"/>
            <w:tcBorders>
              <w:top w:val="nil"/>
              <w:left w:val="nil"/>
              <w:bottom w:val="nil"/>
              <w:right w:val="nil"/>
            </w:tcBorders>
            <w:shd w:val="clear" w:color="auto" w:fill="auto"/>
            <w:noWrap/>
            <w:vAlign w:val="bottom"/>
            <w:hideMark/>
          </w:tcPr>
          <w:p w14:paraId="51C7E931" w14:textId="6365739A" w:rsidR="00DC64EE" w:rsidRPr="008D724C" w:rsidRDefault="005602AD"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P</w:t>
            </w:r>
            <w:r w:rsidR="00DC64EE" w:rsidRPr="008D724C">
              <w:rPr>
                <w:rFonts w:ascii="Times New Roman" w:eastAsia="Times New Roman" w:hAnsi="Times New Roman"/>
                <w:color w:val="000000"/>
                <w:lang w:eastAsia="zh-CN"/>
              </w:rPr>
              <w:t>olymerase chain reaction</w:t>
            </w:r>
          </w:p>
        </w:tc>
      </w:tr>
      <w:tr w:rsidR="00DC64EE" w:rsidRPr="00DC64EE" w14:paraId="6C6D69BE" w14:textId="77777777" w:rsidTr="008D724C">
        <w:trPr>
          <w:trHeight w:val="288"/>
        </w:trPr>
        <w:tc>
          <w:tcPr>
            <w:tcW w:w="1701" w:type="dxa"/>
            <w:tcBorders>
              <w:top w:val="nil"/>
              <w:left w:val="nil"/>
              <w:bottom w:val="nil"/>
              <w:right w:val="nil"/>
            </w:tcBorders>
            <w:shd w:val="clear" w:color="auto" w:fill="auto"/>
            <w:noWrap/>
            <w:vAlign w:val="bottom"/>
            <w:hideMark/>
          </w:tcPr>
          <w:p w14:paraId="165A10A1"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PGRFA</w:t>
            </w:r>
          </w:p>
        </w:tc>
        <w:tc>
          <w:tcPr>
            <w:tcW w:w="7659" w:type="dxa"/>
            <w:tcBorders>
              <w:top w:val="nil"/>
              <w:left w:val="nil"/>
              <w:bottom w:val="nil"/>
              <w:right w:val="nil"/>
            </w:tcBorders>
            <w:shd w:val="clear" w:color="auto" w:fill="auto"/>
            <w:noWrap/>
            <w:vAlign w:val="bottom"/>
            <w:hideMark/>
          </w:tcPr>
          <w:p w14:paraId="183CB80C"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Plant genetic resources for food and agriculture</w:t>
            </w:r>
          </w:p>
        </w:tc>
      </w:tr>
      <w:tr w:rsidR="00DC64EE" w:rsidRPr="00DC64EE" w14:paraId="6292E31C" w14:textId="77777777" w:rsidTr="008D724C">
        <w:trPr>
          <w:trHeight w:val="288"/>
        </w:trPr>
        <w:tc>
          <w:tcPr>
            <w:tcW w:w="1701" w:type="dxa"/>
            <w:tcBorders>
              <w:top w:val="nil"/>
              <w:left w:val="nil"/>
              <w:bottom w:val="nil"/>
              <w:right w:val="nil"/>
            </w:tcBorders>
            <w:shd w:val="clear" w:color="auto" w:fill="auto"/>
            <w:noWrap/>
            <w:vAlign w:val="bottom"/>
            <w:hideMark/>
          </w:tcPr>
          <w:p w14:paraId="3C7E7F81"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PIP</w:t>
            </w:r>
          </w:p>
        </w:tc>
        <w:tc>
          <w:tcPr>
            <w:tcW w:w="7659" w:type="dxa"/>
            <w:tcBorders>
              <w:top w:val="nil"/>
              <w:left w:val="nil"/>
              <w:bottom w:val="nil"/>
              <w:right w:val="nil"/>
            </w:tcBorders>
            <w:shd w:val="clear" w:color="auto" w:fill="auto"/>
            <w:noWrap/>
            <w:vAlign w:val="bottom"/>
            <w:hideMark/>
          </w:tcPr>
          <w:p w14:paraId="5BEE5DD7"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Pandemic Influenza Preparedness</w:t>
            </w:r>
          </w:p>
        </w:tc>
      </w:tr>
      <w:tr w:rsidR="00DC64EE" w:rsidRPr="00DC64EE" w14:paraId="330CB86E" w14:textId="77777777" w:rsidTr="008D724C">
        <w:trPr>
          <w:trHeight w:val="288"/>
        </w:trPr>
        <w:tc>
          <w:tcPr>
            <w:tcW w:w="1701" w:type="dxa"/>
            <w:tcBorders>
              <w:top w:val="nil"/>
              <w:left w:val="nil"/>
              <w:bottom w:val="nil"/>
              <w:right w:val="nil"/>
            </w:tcBorders>
            <w:shd w:val="clear" w:color="auto" w:fill="auto"/>
            <w:noWrap/>
            <w:vAlign w:val="bottom"/>
            <w:hideMark/>
          </w:tcPr>
          <w:p w14:paraId="381F997D"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R&amp;D</w:t>
            </w:r>
          </w:p>
        </w:tc>
        <w:tc>
          <w:tcPr>
            <w:tcW w:w="7659" w:type="dxa"/>
            <w:tcBorders>
              <w:top w:val="nil"/>
              <w:left w:val="nil"/>
              <w:bottom w:val="nil"/>
              <w:right w:val="nil"/>
            </w:tcBorders>
            <w:shd w:val="clear" w:color="auto" w:fill="auto"/>
            <w:noWrap/>
            <w:vAlign w:val="bottom"/>
            <w:hideMark/>
          </w:tcPr>
          <w:p w14:paraId="2F5034F7"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Research and development</w:t>
            </w:r>
          </w:p>
        </w:tc>
      </w:tr>
      <w:tr w:rsidR="00DC64EE" w:rsidRPr="00DC64EE" w14:paraId="1D9EDAB7" w14:textId="77777777" w:rsidTr="008D724C">
        <w:trPr>
          <w:trHeight w:val="288"/>
        </w:trPr>
        <w:tc>
          <w:tcPr>
            <w:tcW w:w="1701" w:type="dxa"/>
            <w:tcBorders>
              <w:top w:val="nil"/>
              <w:left w:val="nil"/>
              <w:bottom w:val="nil"/>
              <w:right w:val="nil"/>
            </w:tcBorders>
            <w:shd w:val="clear" w:color="auto" w:fill="auto"/>
            <w:noWrap/>
            <w:vAlign w:val="bottom"/>
            <w:hideMark/>
          </w:tcPr>
          <w:p w14:paraId="0A0C1F7E" w14:textId="41A6C5FD"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R</w:t>
            </w:r>
            <w:r w:rsidR="002A6D82">
              <w:rPr>
                <w:rFonts w:ascii="Times New Roman" w:eastAsia="Times New Roman" w:hAnsi="Times New Roman"/>
                <w:color w:val="000000"/>
                <w:lang w:eastAsia="zh-CN"/>
              </w:rPr>
              <w:t>d</w:t>
            </w:r>
            <w:r w:rsidRPr="008D724C">
              <w:rPr>
                <w:rFonts w:ascii="Times New Roman" w:eastAsia="Times New Roman" w:hAnsi="Times New Roman"/>
                <w:color w:val="000000"/>
                <w:lang w:eastAsia="zh-CN"/>
              </w:rPr>
              <w:t>DM</w:t>
            </w:r>
          </w:p>
        </w:tc>
        <w:tc>
          <w:tcPr>
            <w:tcW w:w="7659" w:type="dxa"/>
            <w:tcBorders>
              <w:top w:val="nil"/>
              <w:left w:val="nil"/>
              <w:bottom w:val="nil"/>
              <w:right w:val="nil"/>
            </w:tcBorders>
            <w:shd w:val="clear" w:color="auto" w:fill="auto"/>
            <w:noWrap/>
            <w:vAlign w:val="bottom"/>
            <w:hideMark/>
          </w:tcPr>
          <w:p w14:paraId="0E20DBD9"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RNA-directed DNA methylation</w:t>
            </w:r>
          </w:p>
        </w:tc>
      </w:tr>
      <w:tr w:rsidR="00DC64EE" w:rsidRPr="00DC64EE" w14:paraId="464EFCA9" w14:textId="77777777" w:rsidTr="008D724C">
        <w:trPr>
          <w:trHeight w:val="288"/>
        </w:trPr>
        <w:tc>
          <w:tcPr>
            <w:tcW w:w="1701" w:type="dxa"/>
            <w:tcBorders>
              <w:top w:val="nil"/>
              <w:left w:val="nil"/>
              <w:bottom w:val="nil"/>
              <w:right w:val="nil"/>
            </w:tcBorders>
            <w:shd w:val="clear" w:color="auto" w:fill="auto"/>
            <w:noWrap/>
            <w:vAlign w:val="bottom"/>
            <w:hideMark/>
          </w:tcPr>
          <w:p w14:paraId="723971DF"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RIDL</w:t>
            </w:r>
          </w:p>
        </w:tc>
        <w:tc>
          <w:tcPr>
            <w:tcW w:w="7659" w:type="dxa"/>
            <w:tcBorders>
              <w:top w:val="nil"/>
              <w:left w:val="nil"/>
              <w:bottom w:val="nil"/>
              <w:right w:val="nil"/>
            </w:tcBorders>
            <w:shd w:val="clear" w:color="auto" w:fill="auto"/>
            <w:noWrap/>
            <w:vAlign w:val="bottom"/>
            <w:hideMark/>
          </w:tcPr>
          <w:p w14:paraId="20D27E96"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Release of insects with a dominant lethal</w:t>
            </w:r>
          </w:p>
        </w:tc>
      </w:tr>
      <w:tr w:rsidR="00DC64EE" w:rsidRPr="00DC64EE" w14:paraId="184E16F8" w14:textId="77777777" w:rsidTr="008D724C">
        <w:trPr>
          <w:trHeight w:val="288"/>
        </w:trPr>
        <w:tc>
          <w:tcPr>
            <w:tcW w:w="1701" w:type="dxa"/>
            <w:tcBorders>
              <w:top w:val="nil"/>
              <w:left w:val="nil"/>
              <w:bottom w:val="nil"/>
              <w:right w:val="nil"/>
            </w:tcBorders>
            <w:shd w:val="clear" w:color="auto" w:fill="auto"/>
            <w:noWrap/>
            <w:vAlign w:val="bottom"/>
            <w:hideMark/>
          </w:tcPr>
          <w:p w14:paraId="5F3FB3C3"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RNA</w:t>
            </w:r>
          </w:p>
        </w:tc>
        <w:tc>
          <w:tcPr>
            <w:tcW w:w="7659" w:type="dxa"/>
            <w:tcBorders>
              <w:top w:val="nil"/>
              <w:left w:val="nil"/>
              <w:bottom w:val="nil"/>
              <w:right w:val="nil"/>
            </w:tcBorders>
            <w:shd w:val="clear" w:color="auto" w:fill="auto"/>
            <w:noWrap/>
            <w:vAlign w:val="bottom"/>
            <w:hideMark/>
          </w:tcPr>
          <w:p w14:paraId="29E02DE9"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Ribonucleic acid</w:t>
            </w:r>
          </w:p>
        </w:tc>
      </w:tr>
      <w:tr w:rsidR="00DC64EE" w:rsidRPr="00DC64EE" w14:paraId="55016D61" w14:textId="77777777" w:rsidTr="008D724C">
        <w:trPr>
          <w:trHeight w:val="288"/>
        </w:trPr>
        <w:tc>
          <w:tcPr>
            <w:tcW w:w="1701" w:type="dxa"/>
            <w:tcBorders>
              <w:top w:val="nil"/>
              <w:left w:val="nil"/>
              <w:bottom w:val="nil"/>
              <w:right w:val="nil"/>
            </w:tcBorders>
            <w:shd w:val="clear" w:color="auto" w:fill="auto"/>
            <w:noWrap/>
            <w:vAlign w:val="bottom"/>
            <w:hideMark/>
          </w:tcPr>
          <w:p w14:paraId="06D3DAF9"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RNAi</w:t>
            </w:r>
          </w:p>
        </w:tc>
        <w:tc>
          <w:tcPr>
            <w:tcW w:w="7659" w:type="dxa"/>
            <w:tcBorders>
              <w:top w:val="nil"/>
              <w:left w:val="nil"/>
              <w:bottom w:val="nil"/>
              <w:right w:val="nil"/>
            </w:tcBorders>
            <w:shd w:val="clear" w:color="auto" w:fill="auto"/>
            <w:noWrap/>
            <w:vAlign w:val="bottom"/>
            <w:hideMark/>
          </w:tcPr>
          <w:p w14:paraId="088442C0"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RNA interference</w:t>
            </w:r>
          </w:p>
        </w:tc>
      </w:tr>
      <w:tr w:rsidR="00DC64EE" w:rsidRPr="00DC64EE" w14:paraId="50C75BEB" w14:textId="77777777" w:rsidTr="008D724C">
        <w:trPr>
          <w:trHeight w:val="288"/>
        </w:trPr>
        <w:tc>
          <w:tcPr>
            <w:tcW w:w="1701" w:type="dxa"/>
            <w:tcBorders>
              <w:top w:val="nil"/>
              <w:left w:val="nil"/>
              <w:bottom w:val="nil"/>
              <w:right w:val="nil"/>
            </w:tcBorders>
            <w:shd w:val="clear" w:color="auto" w:fill="auto"/>
            <w:noWrap/>
            <w:vAlign w:val="bottom"/>
            <w:hideMark/>
          </w:tcPr>
          <w:p w14:paraId="32CE13D5"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SBSTTA</w:t>
            </w:r>
          </w:p>
        </w:tc>
        <w:tc>
          <w:tcPr>
            <w:tcW w:w="7659" w:type="dxa"/>
            <w:tcBorders>
              <w:top w:val="nil"/>
              <w:left w:val="nil"/>
              <w:bottom w:val="nil"/>
              <w:right w:val="nil"/>
            </w:tcBorders>
            <w:shd w:val="clear" w:color="auto" w:fill="auto"/>
            <w:noWrap/>
            <w:vAlign w:val="bottom"/>
            <w:hideMark/>
          </w:tcPr>
          <w:p w14:paraId="26DB93F1"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Subsidiary Body on Scientific, Technical and Technological Advice</w:t>
            </w:r>
          </w:p>
        </w:tc>
      </w:tr>
      <w:tr w:rsidR="00DC64EE" w:rsidRPr="00DC64EE" w14:paraId="3B65DCDD" w14:textId="77777777" w:rsidTr="008D724C">
        <w:trPr>
          <w:trHeight w:val="288"/>
        </w:trPr>
        <w:tc>
          <w:tcPr>
            <w:tcW w:w="1701" w:type="dxa"/>
            <w:tcBorders>
              <w:top w:val="nil"/>
              <w:left w:val="nil"/>
              <w:bottom w:val="nil"/>
              <w:right w:val="nil"/>
            </w:tcBorders>
            <w:shd w:val="clear" w:color="auto" w:fill="auto"/>
            <w:noWrap/>
            <w:vAlign w:val="bottom"/>
            <w:hideMark/>
          </w:tcPr>
          <w:p w14:paraId="0B1E1845"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SDN</w:t>
            </w:r>
          </w:p>
        </w:tc>
        <w:tc>
          <w:tcPr>
            <w:tcW w:w="7659" w:type="dxa"/>
            <w:tcBorders>
              <w:top w:val="nil"/>
              <w:left w:val="nil"/>
              <w:bottom w:val="nil"/>
              <w:right w:val="nil"/>
            </w:tcBorders>
            <w:shd w:val="clear" w:color="auto" w:fill="auto"/>
            <w:noWrap/>
            <w:vAlign w:val="bottom"/>
            <w:hideMark/>
          </w:tcPr>
          <w:p w14:paraId="1C95D700"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Site-directed nuclease</w:t>
            </w:r>
          </w:p>
        </w:tc>
      </w:tr>
      <w:tr w:rsidR="00DC64EE" w:rsidRPr="00DC64EE" w14:paraId="6843BAE9" w14:textId="77777777" w:rsidTr="008D724C">
        <w:trPr>
          <w:trHeight w:val="288"/>
        </w:trPr>
        <w:tc>
          <w:tcPr>
            <w:tcW w:w="1701" w:type="dxa"/>
            <w:tcBorders>
              <w:top w:val="nil"/>
              <w:left w:val="nil"/>
              <w:bottom w:val="nil"/>
              <w:right w:val="nil"/>
            </w:tcBorders>
            <w:shd w:val="clear" w:color="auto" w:fill="auto"/>
            <w:noWrap/>
            <w:vAlign w:val="bottom"/>
            <w:hideMark/>
          </w:tcPr>
          <w:p w14:paraId="4DD6D729"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siRNA</w:t>
            </w:r>
          </w:p>
        </w:tc>
        <w:tc>
          <w:tcPr>
            <w:tcW w:w="7659" w:type="dxa"/>
            <w:tcBorders>
              <w:top w:val="nil"/>
              <w:left w:val="nil"/>
              <w:bottom w:val="nil"/>
              <w:right w:val="nil"/>
            </w:tcBorders>
            <w:shd w:val="clear" w:color="auto" w:fill="auto"/>
            <w:noWrap/>
            <w:vAlign w:val="bottom"/>
            <w:hideMark/>
          </w:tcPr>
          <w:p w14:paraId="460927AC" w14:textId="235C9110" w:rsidR="00DC64EE" w:rsidRPr="008D724C" w:rsidRDefault="007C7150"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S</w:t>
            </w:r>
            <w:r w:rsidR="00DC64EE" w:rsidRPr="008D724C">
              <w:rPr>
                <w:rFonts w:ascii="Times New Roman" w:eastAsia="Times New Roman" w:hAnsi="Times New Roman"/>
                <w:color w:val="000000"/>
                <w:lang w:eastAsia="zh-CN"/>
              </w:rPr>
              <w:t>mall interfering RNA</w:t>
            </w:r>
          </w:p>
        </w:tc>
      </w:tr>
      <w:tr w:rsidR="00DC64EE" w:rsidRPr="00DC64EE" w14:paraId="7D796FD0" w14:textId="77777777" w:rsidTr="008D724C">
        <w:trPr>
          <w:trHeight w:val="288"/>
        </w:trPr>
        <w:tc>
          <w:tcPr>
            <w:tcW w:w="1701" w:type="dxa"/>
            <w:tcBorders>
              <w:top w:val="nil"/>
              <w:left w:val="nil"/>
              <w:bottom w:val="nil"/>
              <w:right w:val="nil"/>
            </w:tcBorders>
            <w:shd w:val="clear" w:color="auto" w:fill="auto"/>
            <w:noWrap/>
            <w:vAlign w:val="bottom"/>
            <w:hideMark/>
          </w:tcPr>
          <w:p w14:paraId="09667D26"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SPS</w:t>
            </w:r>
          </w:p>
        </w:tc>
        <w:tc>
          <w:tcPr>
            <w:tcW w:w="7659" w:type="dxa"/>
            <w:tcBorders>
              <w:top w:val="nil"/>
              <w:left w:val="nil"/>
              <w:bottom w:val="nil"/>
              <w:right w:val="nil"/>
            </w:tcBorders>
            <w:shd w:val="clear" w:color="auto" w:fill="auto"/>
            <w:noWrap/>
            <w:vAlign w:val="bottom"/>
            <w:hideMark/>
          </w:tcPr>
          <w:p w14:paraId="3BDBE1FD"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Sanitary and Phytosanitary Standards</w:t>
            </w:r>
          </w:p>
        </w:tc>
      </w:tr>
      <w:tr w:rsidR="00DC64EE" w:rsidRPr="00DC64EE" w14:paraId="6B03F186" w14:textId="77777777" w:rsidTr="008D724C">
        <w:trPr>
          <w:trHeight w:val="288"/>
        </w:trPr>
        <w:tc>
          <w:tcPr>
            <w:tcW w:w="1701" w:type="dxa"/>
            <w:tcBorders>
              <w:top w:val="nil"/>
              <w:left w:val="nil"/>
              <w:bottom w:val="nil"/>
              <w:right w:val="nil"/>
            </w:tcBorders>
            <w:shd w:val="clear" w:color="auto" w:fill="auto"/>
            <w:noWrap/>
            <w:vAlign w:val="bottom"/>
            <w:hideMark/>
          </w:tcPr>
          <w:p w14:paraId="36C374A6"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sRNA</w:t>
            </w:r>
          </w:p>
        </w:tc>
        <w:tc>
          <w:tcPr>
            <w:tcW w:w="7659" w:type="dxa"/>
            <w:tcBorders>
              <w:top w:val="nil"/>
              <w:left w:val="nil"/>
              <w:bottom w:val="nil"/>
              <w:right w:val="nil"/>
            </w:tcBorders>
            <w:shd w:val="clear" w:color="auto" w:fill="auto"/>
            <w:noWrap/>
            <w:vAlign w:val="bottom"/>
            <w:hideMark/>
          </w:tcPr>
          <w:p w14:paraId="035EE857" w14:textId="0A4A90D1" w:rsidR="00DC64EE" w:rsidRPr="008D724C" w:rsidRDefault="005602AD"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S</w:t>
            </w:r>
            <w:r w:rsidR="00DC64EE" w:rsidRPr="008D724C">
              <w:rPr>
                <w:rFonts w:ascii="Times New Roman" w:eastAsia="Times New Roman" w:hAnsi="Times New Roman"/>
                <w:color w:val="000000"/>
                <w:lang w:eastAsia="zh-CN"/>
              </w:rPr>
              <w:t>mall RNA</w:t>
            </w:r>
          </w:p>
        </w:tc>
      </w:tr>
      <w:tr w:rsidR="00DC64EE" w:rsidRPr="00DC64EE" w14:paraId="60BDD7F5" w14:textId="77777777" w:rsidTr="008D724C">
        <w:trPr>
          <w:trHeight w:val="288"/>
        </w:trPr>
        <w:tc>
          <w:tcPr>
            <w:tcW w:w="1701" w:type="dxa"/>
            <w:tcBorders>
              <w:top w:val="nil"/>
              <w:left w:val="nil"/>
              <w:bottom w:val="nil"/>
              <w:right w:val="nil"/>
            </w:tcBorders>
            <w:shd w:val="clear" w:color="auto" w:fill="auto"/>
            <w:noWrap/>
            <w:vAlign w:val="bottom"/>
            <w:hideMark/>
          </w:tcPr>
          <w:p w14:paraId="11558A0F"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SSA</w:t>
            </w:r>
          </w:p>
        </w:tc>
        <w:tc>
          <w:tcPr>
            <w:tcW w:w="7659" w:type="dxa"/>
            <w:tcBorders>
              <w:top w:val="nil"/>
              <w:left w:val="nil"/>
              <w:bottom w:val="nil"/>
              <w:right w:val="nil"/>
            </w:tcBorders>
            <w:shd w:val="clear" w:color="auto" w:fill="auto"/>
            <w:noWrap/>
            <w:vAlign w:val="bottom"/>
            <w:hideMark/>
          </w:tcPr>
          <w:p w14:paraId="199E15FA"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Semi-synthetic artemisinin</w:t>
            </w:r>
          </w:p>
        </w:tc>
      </w:tr>
      <w:tr w:rsidR="00DC64EE" w:rsidRPr="00DC64EE" w14:paraId="4DBA8680" w14:textId="77777777" w:rsidTr="008D724C">
        <w:trPr>
          <w:trHeight w:val="288"/>
        </w:trPr>
        <w:tc>
          <w:tcPr>
            <w:tcW w:w="1701" w:type="dxa"/>
            <w:tcBorders>
              <w:top w:val="nil"/>
              <w:left w:val="nil"/>
              <w:bottom w:val="nil"/>
              <w:right w:val="nil"/>
            </w:tcBorders>
            <w:shd w:val="clear" w:color="auto" w:fill="auto"/>
            <w:noWrap/>
            <w:vAlign w:val="bottom"/>
            <w:hideMark/>
          </w:tcPr>
          <w:p w14:paraId="6E12BE6C"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SWG</w:t>
            </w:r>
          </w:p>
        </w:tc>
        <w:tc>
          <w:tcPr>
            <w:tcW w:w="7659" w:type="dxa"/>
            <w:tcBorders>
              <w:top w:val="nil"/>
              <w:left w:val="nil"/>
              <w:bottom w:val="nil"/>
              <w:right w:val="nil"/>
            </w:tcBorders>
            <w:shd w:val="clear" w:color="auto" w:fill="auto"/>
            <w:noWrap/>
            <w:vAlign w:val="bottom"/>
            <w:hideMark/>
          </w:tcPr>
          <w:p w14:paraId="60202F11"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Scientific working group</w:t>
            </w:r>
          </w:p>
        </w:tc>
      </w:tr>
      <w:tr w:rsidR="00DC64EE" w:rsidRPr="00DC64EE" w14:paraId="5F073570" w14:textId="77777777" w:rsidTr="008D724C">
        <w:trPr>
          <w:trHeight w:val="288"/>
        </w:trPr>
        <w:tc>
          <w:tcPr>
            <w:tcW w:w="1701" w:type="dxa"/>
            <w:tcBorders>
              <w:top w:val="nil"/>
              <w:left w:val="nil"/>
              <w:bottom w:val="nil"/>
              <w:right w:val="nil"/>
            </w:tcBorders>
            <w:shd w:val="clear" w:color="auto" w:fill="auto"/>
            <w:noWrap/>
            <w:vAlign w:val="bottom"/>
            <w:hideMark/>
          </w:tcPr>
          <w:p w14:paraId="47D92562"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TRIPS</w:t>
            </w:r>
          </w:p>
        </w:tc>
        <w:tc>
          <w:tcPr>
            <w:tcW w:w="7659" w:type="dxa"/>
            <w:tcBorders>
              <w:top w:val="nil"/>
              <w:left w:val="nil"/>
              <w:bottom w:val="nil"/>
              <w:right w:val="nil"/>
            </w:tcBorders>
            <w:shd w:val="clear" w:color="auto" w:fill="auto"/>
            <w:noWrap/>
            <w:vAlign w:val="bottom"/>
            <w:hideMark/>
          </w:tcPr>
          <w:p w14:paraId="707BF8DD"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Trade Related Aspects of Intellectual Property Rights</w:t>
            </w:r>
          </w:p>
        </w:tc>
      </w:tr>
      <w:tr w:rsidR="00DC64EE" w:rsidRPr="00DC64EE" w14:paraId="5903FB18" w14:textId="77777777" w:rsidTr="008D724C">
        <w:trPr>
          <w:trHeight w:val="288"/>
        </w:trPr>
        <w:tc>
          <w:tcPr>
            <w:tcW w:w="1701" w:type="dxa"/>
            <w:tcBorders>
              <w:top w:val="nil"/>
              <w:left w:val="nil"/>
              <w:bottom w:val="nil"/>
              <w:right w:val="nil"/>
            </w:tcBorders>
            <w:shd w:val="clear" w:color="auto" w:fill="auto"/>
            <w:noWrap/>
            <w:vAlign w:val="bottom"/>
            <w:hideMark/>
          </w:tcPr>
          <w:p w14:paraId="3299ECF8"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TXTL</w:t>
            </w:r>
          </w:p>
        </w:tc>
        <w:tc>
          <w:tcPr>
            <w:tcW w:w="7659" w:type="dxa"/>
            <w:tcBorders>
              <w:top w:val="nil"/>
              <w:left w:val="nil"/>
              <w:bottom w:val="nil"/>
              <w:right w:val="nil"/>
            </w:tcBorders>
            <w:shd w:val="clear" w:color="auto" w:fill="auto"/>
            <w:noWrap/>
            <w:vAlign w:val="bottom"/>
            <w:hideMark/>
          </w:tcPr>
          <w:p w14:paraId="5624B36B" w14:textId="7DBC56EB" w:rsidR="00DC64EE" w:rsidRPr="008D724C" w:rsidRDefault="005602AD"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T</w:t>
            </w:r>
            <w:r w:rsidR="00DC64EE" w:rsidRPr="008D724C">
              <w:rPr>
                <w:rFonts w:ascii="Times New Roman" w:eastAsia="Times New Roman" w:hAnsi="Times New Roman"/>
                <w:color w:val="000000"/>
                <w:lang w:eastAsia="zh-CN"/>
              </w:rPr>
              <w:t>ranscription-translation</w:t>
            </w:r>
          </w:p>
        </w:tc>
      </w:tr>
      <w:tr w:rsidR="00DC64EE" w:rsidRPr="00DC64EE" w14:paraId="4801AB32" w14:textId="77777777" w:rsidTr="008D724C">
        <w:trPr>
          <w:trHeight w:val="288"/>
        </w:trPr>
        <w:tc>
          <w:tcPr>
            <w:tcW w:w="1701" w:type="dxa"/>
            <w:tcBorders>
              <w:top w:val="nil"/>
              <w:left w:val="nil"/>
              <w:bottom w:val="nil"/>
              <w:right w:val="nil"/>
            </w:tcBorders>
            <w:shd w:val="clear" w:color="auto" w:fill="auto"/>
            <w:noWrap/>
            <w:vAlign w:val="bottom"/>
            <w:hideMark/>
          </w:tcPr>
          <w:p w14:paraId="08C49ECA"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UAA</w:t>
            </w:r>
          </w:p>
        </w:tc>
        <w:tc>
          <w:tcPr>
            <w:tcW w:w="7659" w:type="dxa"/>
            <w:tcBorders>
              <w:top w:val="nil"/>
              <w:left w:val="nil"/>
              <w:bottom w:val="nil"/>
              <w:right w:val="nil"/>
            </w:tcBorders>
            <w:shd w:val="clear" w:color="auto" w:fill="auto"/>
            <w:noWrap/>
            <w:vAlign w:val="bottom"/>
            <w:hideMark/>
          </w:tcPr>
          <w:p w14:paraId="7A0C6167" w14:textId="0EB3423E" w:rsidR="00DC64EE" w:rsidRPr="008D724C" w:rsidRDefault="005602AD"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U</w:t>
            </w:r>
            <w:r w:rsidR="00DC64EE" w:rsidRPr="008D724C">
              <w:rPr>
                <w:rFonts w:ascii="Times New Roman" w:eastAsia="Times New Roman" w:hAnsi="Times New Roman"/>
                <w:color w:val="000000"/>
                <w:lang w:eastAsia="zh-CN"/>
              </w:rPr>
              <w:t>nnatural amino acid</w:t>
            </w:r>
          </w:p>
        </w:tc>
      </w:tr>
      <w:tr w:rsidR="00DC64EE" w:rsidRPr="00DC64EE" w14:paraId="0974DEDC" w14:textId="77777777" w:rsidTr="008D724C">
        <w:trPr>
          <w:trHeight w:val="288"/>
        </w:trPr>
        <w:tc>
          <w:tcPr>
            <w:tcW w:w="1701" w:type="dxa"/>
            <w:tcBorders>
              <w:top w:val="nil"/>
              <w:left w:val="nil"/>
              <w:bottom w:val="nil"/>
              <w:right w:val="nil"/>
            </w:tcBorders>
            <w:shd w:val="clear" w:color="auto" w:fill="auto"/>
            <w:noWrap/>
            <w:vAlign w:val="bottom"/>
            <w:hideMark/>
          </w:tcPr>
          <w:p w14:paraId="031183E5"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UK</w:t>
            </w:r>
          </w:p>
        </w:tc>
        <w:tc>
          <w:tcPr>
            <w:tcW w:w="7659" w:type="dxa"/>
            <w:tcBorders>
              <w:top w:val="nil"/>
              <w:left w:val="nil"/>
              <w:bottom w:val="nil"/>
              <w:right w:val="nil"/>
            </w:tcBorders>
            <w:shd w:val="clear" w:color="auto" w:fill="auto"/>
            <w:noWrap/>
            <w:vAlign w:val="bottom"/>
            <w:hideMark/>
          </w:tcPr>
          <w:p w14:paraId="51FD9CCA"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United Kingdom of Great Britain and Northern Ireland</w:t>
            </w:r>
          </w:p>
        </w:tc>
      </w:tr>
      <w:tr w:rsidR="00DC64EE" w:rsidRPr="00DC64EE" w14:paraId="0EBFCD46" w14:textId="77777777" w:rsidTr="008D724C">
        <w:trPr>
          <w:trHeight w:val="288"/>
        </w:trPr>
        <w:tc>
          <w:tcPr>
            <w:tcW w:w="1701" w:type="dxa"/>
            <w:tcBorders>
              <w:top w:val="nil"/>
              <w:left w:val="nil"/>
              <w:bottom w:val="nil"/>
              <w:right w:val="nil"/>
            </w:tcBorders>
            <w:shd w:val="clear" w:color="auto" w:fill="auto"/>
            <w:noWrap/>
            <w:vAlign w:val="bottom"/>
            <w:hideMark/>
          </w:tcPr>
          <w:p w14:paraId="6396507F"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UNCLOS</w:t>
            </w:r>
          </w:p>
        </w:tc>
        <w:tc>
          <w:tcPr>
            <w:tcW w:w="7659" w:type="dxa"/>
            <w:tcBorders>
              <w:top w:val="nil"/>
              <w:left w:val="nil"/>
              <w:bottom w:val="nil"/>
              <w:right w:val="nil"/>
            </w:tcBorders>
            <w:shd w:val="clear" w:color="auto" w:fill="auto"/>
            <w:noWrap/>
            <w:vAlign w:val="bottom"/>
            <w:hideMark/>
          </w:tcPr>
          <w:p w14:paraId="189B0948"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United Nations Convention on the Law of the Sea</w:t>
            </w:r>
          </w:p>
        </w:tc>
      </w:tr>
      <w:tr w:rsidR="00DC64EE" w:rsidRPr="00DC64EE" w14:paraId="47D515A2" w14:textId="77777777" w:rsidTr="008D724C">
        <w:trPr>
          <w:trHeight w:val="288"/>
        </w:trPr>
        <w:tc>
          <w:tcPr>
            <w:tcW w:w="1701" w:type="dxa"/>
            <w:tcBorders>
              <w:top w:val="nil"/>
              <w:left w:val="nil"/>
              <w:bottom w:val="nil"/>
              <w:right w:val="nil"/>
            </w:tcBorders>
            <w:shd w:val="clear" w:color="auto" w:fill="auto"/>
            <w:noWrap/>
            <w:vAlign w:val="bottom"/>
            <w:hideMark/>
          </w:tcPr>
          <w:p w14:paraId="6F32C028"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UNDRIP</w:t>
            </w:r>
          </w:p>
        </w:tc>
        <w:tc>
          <w:tcPr>
            <w:tcW w:w="7659" w:type="dxa"/>
            <w:tcBorders>
              <w:top w:val="nil"/>
              <w:left w:val="nil"/>
              <w:bottom w:val="nil"/>
              <w:right w:val="nil"/>
            </w:tcBorders>
            <w:shd w:val="clear" w:color="auto" w:fill="auto"/>
            <w:noWrap/>
            <w:vAlign w:val="bottom"/>
            <w:hideMark/>
          </w:tcPr>
          <w:p w14:paraId="0902B48C"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United Nations Declaration on the Rights of Indigenous Peoples</w:t>
            </w:r>
          </w:p>
        </w:tc>
      </w:tr>
      <w:tr w:rsidR="00DC64EE" w:rsidRPr="00DC64EE" w14:paraId="69A99033" w14:textId="77777777" w:rsidTr="008D724C">
        <w:trPr>
          <w:trHeight w:val="288"/>
        </w:trPr>
        <w:tc>
          <w:tcPr>
            <w:tcW w:w="1701" w:type="dxa"/>
            <w:tcBorders>
              <w:top w:val="nil"/>
              <w:left w:val="nil"/>
              <w:bottom w:val="nil"/>
              <w:right w:val="nil"/>
            </w:tcBorders>
            <w:shd w:val="clear" w:color="auto" w:fill="auto"/>
            <w:noWrap/>
            <w:vAlign w:val="bottom"/>
            <w:hideMark/>
          </w:tcPr>
          <w:p w14:paraId="54ABB939"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UNESCO</w:t>
            </w:r>
          </w:p>
        </w:tc>
        <w:tc>
          <w:tcPr>
            <w:tcW w:w="7659" w:type="dxa"/>
            <w:tcBorders>
              <w:top w:val="nil"/>
              <w:left w:val="nil"/>
              <w:bottom w:val="nil"/>
              <w:right w:val="nil"/>
            </w:tcBorders>
            <w:shd w:val="clear" w:color="auto" w:fill="auto"/>
            <w:noWrap/>
            <w:vAlign w:val="bottom"/>
            <w:hideMark/>
          </w:tcPr>
          <w:p w14:paraId="5AEDA396"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United Nations Educational, Scientific and Cultural Organization</w:t>
            </w:r>
          </w:p>
        </w:tc>
      </w:tr>
      <w:tr w:rsidR="00DC64EE" w:rsidRPr="00DC64EE" w14:paraId="04C6B972" w14:textId="77777777" w:rsidTr="008D724C">
        <w:trPr>
          <w:trHeight w:val="288"/>
        </w:trPr>
        <w:tc>
          <w:tcPr>
            <w:tcW w:w="1701" w:type="dxa"/>
            <w:tcBorders>
              <w:top w:val="nil"/>
              <w:left w:val="nil"/>
              <w:bottom w:val="nil"/>
              <w:right w:val="nil"/>
            </w:tcBorders>
            <w:shd w:val="clear" w:color="auto" w:fill="auto"/>
            <w:noWrap/>
            <w:vAlign w:val="bottom"/>
            <w:hideMark/>
          </w:tcPr>
          <w:p w14:paraId="290DE525"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UPOV</w:t>
            </w:r>
          </w:p>
        </w:tc>
        <w:tc>
          <w:tcPr>
            <w:tcW w:w="7659" w:type="dxa"/>
            <w:tcBorders>
              <w:top w:val="nil"/>
              <w:left w:val="nil"/>
              <w:bottom w:val="nil"/>
              <w:right w:val="nil"/>
            </w:tcBorders>
            <w:shd w:val="clear" w:color="auto" w:fill="auto"/>
            <w:noWrap/>
            <w:vAlign w:val="bottom"/>
            <w:hideMark/>
          </w:tcPr>
          <w:p w14:paraId="151C9682"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 xml:space="preserve">International Convention for the Protection of New Varieties of Plants </w:t>
            </w:r>
          </w:p>
        </w:tc>
      </w:tr>
      <w:tr w:rsidR="00DC64EE" w:rsidRPr="00DC64EE" w14:paraId="1E047D97" w14:textId="77777777" w:rsidTr="008D724C">
        <w:trPr>
          <w:trHeight w:val="288"/>
        </w:trPr>
        <w:tc>
          <w:tcPr>
            <w:tcW w:w="1701" w:type="dxa"/>
            <w:tcBorders>
              <w:top w:val="nil"/>
              <w:left w:val="nil"/>
              <w:bottom w:val="nil"/>
              <w:right w:val="nil"/>
            </w:tcBorders>
            <w:shd w:val="clear" w:color="auto" w:fill="auto"/>
            <w:noWrap/>
            <w:vAlign w:val="bottom"/>
            <w:hideMark/>
          </w:tcPr>
          <w:p w14:paraId="56C4F113"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USA</w:t>
            </w:r>
          </w:p>
        </w:tc>
        <w:tc>
          <w:tcPr>
            <w:tcW w:w="7659" w:type="dxa"/>
            <w:tcBorders>
              <w:top w:val="nil"/>
              <w:left w:val="nil"/>
              <w:bottom w:val="nil"/>
              <w:right w:val="nil"/>
            </w:tcBorders>
            <w:shd w:val="clear" w:color="auto" w:fill="auto"/>
            <w:noWrap/>
            <w:vAlign w:val="bottom"/>
            <w:hideMark/>
          </w:tcPr>
          <w:p w14:paraId="5C615B9D"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United States of America</w:t>
            </w:r>
          </w:p>
        </w:tc>
      </w:tr>
      <w:tr w:rsidR="00DC64EE" w:rsidRPr="00DC64EE" w14:paraId="74D7C014" w14:textId="77777777" w:rsidTr="008D724C">
        <w:trPr>
          <w:trHeight w:val="288"/>
        </w:trPr>
        <w:tc>
          <w:tcPr>
            <w:tcW w:w="1701" w:type="dxa"/>
            <w:tcBorders>
              <w:top w:val="nil"/>
              <w:left w:val="nil"/>
              <w:bottom w:val="nil"/>
              <w:right w:val="nil"/>
            </w:tcBorders>
            <w:shd w:val="clear" w:color="auto" w:fill="auto"/>
            <w:noWrap/>
            <w:vAlign w:val="bottom"/>
            <w:hideMark/>
          </w:tcPr>
          <w:p w14:paraId="2D52BE62"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VBD</w:t>
            </w:r>
          </w:p>
        </w:tc>
        <w:tc>
          <w:tcPr>
            <w:tcW w:w="7659" w:type="dxa"/>
            <w:tcBorders>
              <w:top w:val="nil"/>
              <w:left w:val="nil"/>
              <w:bottom w:val="nil"/>
              <w:right w:val="nil"/>
            </w:tcBorders>
            <w:shd w:val="clear" w:color="auto" w:fill="auto"/>
            <w:noWrap/>
            <w:vAlign w:val="bottom"/>
            <w:hideMark/>
          </w:tcPr>
          <w:p w14:paraId="5A5E75BD"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Vector-borne disease</w:t>
            </w:r>
          </w:p>
        </w:tc>
      </w:tr>
      <w:tr w:rsidR="00DC64EE" w:rsidRPr="00DC64EE" w14:paraId="50631120" w14:textId="77777777" w:rsidTr="008D724C">
        <w:trPr>
          <w:trHeight w:val="288"/>
        </w:trPr>
        <w:tc>
          <w:tcPr>
            <w:tcW w:w="1701" w:type="dxa"/>
            <w:tcBorders>
              <w:top w:val="nil"/>
              <w:left w:val="nil"/>
              <w:bottom w:val="nil"/>
              <w:right w:val="nil"/>
            </w:tcBorders>
            <w:shd w:val="clear" w:color="auto" w:fill="auto"/>
            <w:noWrap/>
            <w:vAlign w:val="bottom"/>
            <w:hideMark/>
          </w:tcPr>
          <w:p w14:paraId="13F0B91A"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WHO</w:t>
            </w:r>
          </w:p>
        </w:tc>
        <w:tc>
          <w:tcPr>
            <w:tcW w:w="7659" w:type="dxa"/>
            <w:tcBorders>
              <w:top w:val="nil"/>
              <w:left w:val="nil"/>
              <w:bottom w:val="nil"/>
              <w:right w:val="nil"/>
            </w:tcBorders>
            <w:shd w:val="clear" w:color="auto" w:fill="auto"/>
            <w:noWrap/>
            <w:vAlign w:val="bottom"/>
            <w:hideMark/>
          </w:tcPr>
          <w:p w14:paraId="14F9DB69"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World Health Organization</w:t>
            </w:r>
          </w:p>
        </w:tc>
      </w:tr>
      <w:tr w:rsidR="00DC64EE" w:rsidRPr="00DC64EE" w14:paraId="3EB6CECA" w14:textId="77777777" w:rsidTr="008D724C">
        <w:trPr>
          <w:trHeight w:val="288"/>
        </w:trPr>
        <w:tc>
          <w:tcPr>
            <w:tcW w:w="1701" w:type="dxa"/>
            <w:tcBorders>
              <w:top w:val="nil"/>
              <w:left w:val="nil"/>
              <w:bottom w:val="nil"/>
              <w:right w:val="nil"/>
            </w:tcBorders>
            <w:shd w:val="clear" w:color="auto" w:fill="auto"/>
            <w:noWrap/>
            <w:vAlign w:val="bottom"/>
            <w:hideMark/>
          </w:tcPr>
          <w:p w14:paraId="0394EB7E"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WIPO</w:t>
            </w:r>
          </w:p>
        </w:tc>
        <w:tc>
          <w:tcPr>
            <w:tcW w:w="7659" w:type="dxa"/>
            <w:tcBorders>
              <w:top w:val="nil"/>
              <w:left w:val="nil"/>
              <w:bottom w:val="nil"/>
              <w:right w:val="nil"/>
            </w:tcBorders>
            <w:shd w:val="clear" w:color="auto" w:fill="auto"/>
            <w:noWrap/>
            <w:vAlign w:val="bottom"/>
            <w:hideMark/>
          </w:tcPr>
          <w:p w14:paraId="031B05B6" w14:textId="54300C1A"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 xml:space="preserve">World </w:t>
            </w:r>
            <w:r w:rsidR="00066524" w:rsidRPr="008D724C">
              <w:rPr>
                <w:rFonts w:ascii="Times New Roman" w:eastAsia="Times New Roman" w:hAnsi="Times New Roman"/>
                <w:color w:val="000000"/>
                <w:lang w:eastAsia="zh-CN"/>
              </w:rPr>
              <w:t>Intellectual Property Organization</w:t>
            </w:r>
          </w:p>
        </w:tc>
      </w:tr>
      <w:tr w:rsidR="00DC64EE" w:rsidRPr="00DC64EE" w14:paraId="3571F439" w14:textId="77777777" w:rsidTr="008D724C">
        <w:trPr>
          <w:trHeight w:val="288"/>
        </w:trPr>
        <w:tc>
          <w:tcPr>
            <w:tcW w:w="1701" w:type="dxa"/>
            <w:tcBorders>
              <w:top w:val="nil"/>
              <w:left w:val="nil"/>
              <w:bottom w:val="nil"/>
              <w:right w:val="nil"/>
            </w:tcBorders>
            <w:shd w:val="clear" w:color="auto" w:fill="auto"/>
            <w:noWrap/>
            <w:vAlign w:val="bottom"/>
            <w:hideMark/>
          </w:tcPr>
          <w:p w14:paraId="0627F3A8"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WTO</w:t>
            </w:r>
          </w:p>
        </w:tc>
        <w:tc>
          <w:tcPr>
            <w:tcW w:w="7659" w:type="dxa"/>
            <w:tcBorders>
              <w:top w:val="nil"/>
              <w:left w:val="nil"/>
              <w:bottom w:val="nil"/>
              <w:right w:val="nil"/>
            </w:tcBorders>
            <w:shd w:val="clear" w:color="auto" w:fill="auto"/>
            <w:noWrap/>
            <w:vAlign w:val="bottom"/>
            <w:hideMark/>
          </w:tcPr>
          <w:p w14:paraId="45BB1719"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World Trade Organization</w:t>
            </w:r>
          </w:p>
        </w:tc>
      </w:tr>
      <w:tr w:rsidR="00DC64EE" w:rsidRPr="00DC64EE" w14:paraId="10ACA019" w14:textId="77777777" w:rsidTr="008D724C">
        <w:trPr>
          <w:trHeight w:val="288"/>
        </w:trPr>
        <w:tc>
          <w:tcPr>
            <w:tcW w:w="1701" w:type="dxa"/>
            <w:tcBorders>
              <w:top w:val="nil"/>
              <w:left w:val="nil"/>
              <w:bottom w:val="nil"/>
              <w:right w:val="nil"/>
            </w:tcBorders>
            <w:shd w:val="clear" w:color="auto" w:fill="auto"/>
            <w:noWrap/>
            <w:vAlign w:val="bottom"/>
            <w:hideMark/>
          </w:tcPr>
          <w:p w14:paraId="6FB2F5E3"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XNA</w:t>
            </w:r>
          </w:p>
        </w:tc>
        <w:tc>
          <w:tcPr>
            <w:tcW w:w="7659" w:type="dxa"/>
            <w:tcBorders>
              <w:top w:val="nil"/>
              <w:left w:val="nil"/>
              <w:bottom w:val="nil"/>
              <w:right w:val="nil"/>
            </w:tcBorders>
            <w:shd w:val="clear" w:color="auto" w:fill="auto"/>
            <w:noWrap/>
            <w:vAlign w:val="bottom"/>
            <w:hideMark/>
          </w:tcPr>
          <w:p w14:paraId="3F8FF4BC" w14:textId="305186A1" w:rsidR="00DC64EE" w:rsidRPr="008D724C" w:rsidRDefault="005602AD"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X</w:t>
            </w:r>
            <w:r w:rsidR="00DC64EE" w:rsidRPr="008D724C">
              <w:rPr>
                <w:rFonts w:ascii="Times New Roman" w:eastAsia="Times New Roman" w:hAnsi="Times New Roman"/>
                <w:color w:val="000000"/>
                <w:lang w:eastAsia="zh-CN"/>
              </w:rPr>
              <w:t>enonucleic acid</w:t>
            </w:r>
          </w:p>
        </w:tc>
      </w:tr>
      <w:tr w:rsidR="00DC64EE" w:rsidRPr="00DC64EE" w14:paraId="335EEB1D" w14:textId="77777777" w:rsidTr="008D724C">
        <w:trPr>
          <w:trHeight w:val="288"/>
        </w:trPr>
        <w:tc>
          <w:tcPr>
            <w:tcW w:w="1701" w:type="dxa"/>
            <w:tcBorders>
              <w:top w:val="nil"/>
              <w:left w:val="nil"/>
              <w:bottom w:val="nil"/>
              <w:right w:val="nil"/>
            </w:tcBorders>
            <w:shd w:val="clear" w:color="auto" w:fill="auto"/>
            <w:noWrap/>
            <w:vAlign w:val="bottom"/>
            <w:hideMark/>
          </w:tcPr>
          <w:p w14:paraId="4986A3B7"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ZFN</w:t>
            </w:r>
          </w:p>
        </w:tc>
        <w:tc>
          <w:tcPr>
            <w:tcW w:w="7659" w:type="dxa"/>
            <w:tcBorders>
              <w:top w:val="nil"/>
              <w:left w:val="nil"/>
              <w:bottom w:val="nil"/>
              <w:right w:val="nil"/>
            </w:tcBorders>
            <w:shd w:val="clear" w:color="auto" w:fill="auto"/>
            <w:noWrap/>
            <w:vAlign w:val="bottom"/>
            <w:hideMark/>
          </w:tcPr>
          <w:p w14:paraId="4D438C01" w14:textId="77777777" w:rsidR="00DC64EE" w:rsidRPr="008D724C" w:rsidRDefault="00DC64EE" w:rsidP="00DC64EE">
            <w:pPr>
              <w:spacing w:after="0" w:line="240" w:lineRule="auto"/>
              <w:rPr>
                <w:rFonts w:ascii="Times New Roman" w:eastAsia="Times New Roman" w:hAnsi="Times New Roman"/>
                <w:color w:val="000000"/>
                <w:lang w:eastAsia="zh-CN"/>
              </w:rPr>
            </w:pPr>
            <w:r w:rsidRPr="008D724C">
              <w:rPr>
                <w:rFonts w:ascii="Times New Roman" w:eastAsia="Times New Roman" w:hAnsi="Times New Roman"/>
                <w:color w:val="000000"/>
                <w:lang w:eastAsia="zh-CN"/>
              </w:rPr>
              <w:t>Zinc finger nuclease</w:t>
            </w:r>
          </w:p>
        </w:tc>
      </w:tr>
    </w:tbl>
    <w:p w14:paraId="33E1D817" w14:textId="6F0A6F5B" w:rsidR="00DC64EE" w:rsidRDefault="00DC64EE" w:rsidP="00DC64EE">
      <w:pPr>
        <w:spacing w:before="120" w:after="120" w:line="240" w:lineRule="auto"/>
        <w:jc w:val="both"/>
        <w:rPr>
          <w:rFonts w:ascii="Times New Roman" w:eastAsia="Times New Roman" w:hAnsi="Times New Roman"/>
          <w:kern w:val="1"/>
          <w:lang w:eastAsia="ar-SA"/>
        </w:rPr>
      </w:pPr>
    </w:p>
    <w:p w14:paraId="3CF2D8B6" w14:textId="7A2BB8A7" w:rsidR="00DC64EE" w:rsidRPr="00A268DA" w:rsidRDefault="00DC64EE" w:rsidP="00DC64EE">
      <w:pPr>
        <w:spacing w:before="120" w:after="120" w:line="240" w:lineRule="auto"/>
        <w:jc w:val="both"/>
        <w:rPr>
          <w:rFonts w:ascii="Times New Roman" w:eastAsia="Times New Roman" w:hAnsi="Times New Roman"/>
          <w:kern w:val="1"/>
          <w:szCs w:val="24"/>
          <w:lang w:eastAsia="ar-SA"/>
        </w:rPr>
        <w:sectPr w:rsidR="00DC64EE" w:rsidRPr="00A268DA" w:rsidSect="00C42AA3">
          <w:footerReference w:type="default" r:id="rId27"/>
          <w:headerReference w:type="first" r:id="rId28"/>
          <w:footerReference w:type="first" r:id="rId29"/>
          <w:pgSz w:w="11906" w:h="16838" w:code="9"/>
          <w:pgMar w:top="562" w:right="1440" w:bottom="1138" w:left="1440" w:header="461" w:footer="720" w:gutter="0"/>
          <w:pgNumType w:start="1"/>
          <w:cols w:space="720"/>
          <w:titlePg/>
          <w:docGrid w:linePitch="600" w:charSpace="36864"/>
        </w:sectPr>
      </w:pPr>
    </w:p>
    <w:p w14:paraId="2664F4B3" w14:textId="11446C74" w:rsidR="00A268DA" w:rsidRPr="00A268DA" w:rsidRDefault="00A268DA" w:rsidP="001F7682">
      <w:pPr>
        <w:pStyle w:val="Heading1"/>
        <w:numPr>
          <w:ilvl w:val="0"/>
          <w:numId w:val="144"/>
        </w:numPr>
        <w:tabs>
          <w:tab w:val="clear" w:pos="720"/>
        </w:tabs>
        <w:ind w:left="0" w:firstLine="0"/>
      </w:pPr>
      <w:bookmarkStart w:id="8" w:name="_Toc388339305"/>
      <w:bookmarkStart w:id="9" w:name="_Toc398726466"/>
      <w:bookmarkStart w:id="10" w:name="_Toc70112655"/>
      <w:bookmarkStart w:id="11" w:name="_Toc70685677"/>
      <w:r w:rsidRPr="36140518">
        <w:lastRenderedPageBreak/>
        <w:t>Executive Summary</w:t>
      </w:r>
      <w:bookmarkEnd w:id="8"/>
      <w:bookmarkEnd w:id="9"/>
      <w:bookmarkEnd w:id="10"/>
      <w:bookmarkEnd w:id="11"/>
    </w:p>
    <w:p w14:paraId="33AF0568" w14:textId="3601CC64" w:rsidR="00644F06" w:rsidRDefault="000B2BD4" w:rsidP="00407C65">
      <w:pPr>
        <w:spacing w:after="120" w:line="240" w:lineRule="auto"/>
        <w:jc w:val="both"/>
        <w:rPr>
          <w:rFonts w:ascii="Times New Roman" w:hAnsi="Times New Roman"/>
          <w:b/>
          <w:bCs/>
          <w:i/>
          <w:iCs/>
        </w:rPr>
      </w:pPr>
      <w:bookmarkStart w:id="12" w:name="_Toc388339306"/>
      <w:bookmarkStart w:id="13" w:name="_Ref398726103"/>
      <w:bookmarkStart w:id="14" w:name="_Toc398726467"/>
      <w:r w:rsidRPr="000B2BD4">
        <w:rPr>
          <w:rFonts w:ascii="Times New Roman" w:hAnsi="Times New Roman"/>
        </w:rPr>
        <w:t>Synthetic biology has been described as a further development and new dimension of modern biotechnology that combines science, technology and engineering to facilitate and accelerate the understanding, design, redesign, manufacture and/or modification of genetic materials, living organisms and biological systems</w:t>
      </w:r>
      <w:r w:rsidR="00393F1E">
        <w:rPr>
          <w:rFonts w:ascii="Times New Roman" w:hAnsi="Times New Roman"/>
        </w:rPr>
        <w:t xml:space="preserve"> </w:t>
      </w:r>
      <w:r w:rsidR="00393F1E">
        <w:rPr>
          <w:rFonts w:ascii="Times New Roman" w:hAnsi="Times New Roman"/>
        </w:rPr>
        <w:fldChar w:fldCharType="begin" w:fldLock="1"/>
      </w:r>
      <w:r w:rsidR="00E627F8">
        <w:rPr>
          <w:rFonts w:ascii="Times New Roman" w:hAnsi="Times New Roman"/>
        </w:rPr>
        <w:instrText>ADDIN CSL_CITATION {"citationItems":[{"id":"ITEM-1","itemData":{"author":[{"dropping-particle":"","family":"Secretariat of the Convention on Biological Diversity","given":"","non-dropping-particle":"","parse-names":false,"suffix":""}],"id":"ITEM-1","issued":{"date-parts":[["2015"]]},"page":"19","title":"Report of the Ad Hoc Technical Expert Group on Synthetic Biology","type":"article"},"uris":["http://www.mendeley.com/documents/?uuid=cf2840a9-2b9e-4937-bb8f-607ee2d9469f"]}],"mendeley":{"formattedCitation":"(Secretariat of the Convention on Biological Diversity, 2015a)","manualFormatting":"(SCBD, 2015a)","plainTextFormattedCitation":"(Secretariat of the Convention on Biological Diversity, 2015a)","previouslyFormattedCitation":"(Secretariat of the Convention on Biological Diversity, 2015a)"},"properties":{"noteIndex":0},"schema":"https://github.com/citation-style-language/schema/raw/master/csl-citation.json"}</w:instrText>
      </w:r>
      <w:r w:rsidR="00393F1E">
        <w:rPr>
          <w:rFonts w:ascii="Times New Roman" w:hAnsi="Times New Roman"/>
        </w:rPr>
        <w:fldChar w:fldCharType="separate"/>
      </w:r>
      <w:r w:rsidR="00393F1E" w:rsidRPr="00393F1E">
        <w:rPr>
          <w:rFonts w:ascii="Times New Roman" w:hAnsi="Times New Roman"/>
          <w:noProof/>
        </w:rPr>
        <w:t>(S</w:t>
      </w:r>
      <w:r w:rsidR="00BF5DC3">
        <w:rPr>
          <w:rFonts w:ascii="Times New Roman" w:hAnsi="Times New Roman"/>
          <w:noProof/>
        </w:rPr>
        <w:t>CBD</w:t>
      </w:r>
      <w:r w:rsidR="00393F1E" w:rsidRPr="00393F1E">
        <w:rPr>
          <w:rFonts w:ascii="Times New Roman" w:hAnsi="Times New Roman"/>
          <w:noProof/>
        </w:rPr>
        <w:t>, 2015a)</w:t>
      </w:r>
      <w:r w:rsidR="00393F1E">
        <w:rPr>
          <w:rFonts w:ascii="Times New Roman" w:hAnsi="Times New Roman"/>
        </w:rPr>
        <w:fldChar w:fldCharType="end"/>
      </w:r>
      <w:r w:rsidRPr="000B2BD4">
        <w:rPr>
          <w:rFonts w:ascii="Times New Roman" w:hAnsi="Times New Roman"/>
        </w:rPr>
        <w:t xml:space="preserve">. As the discipline continues </w:t>
      </w:r>
      <w:r w:rsidR="00966ED4">
        <w:rPr>
          <w:rFonts w:ascii="Times New Roman" w:hAnsi="Times New Roman"/>
        </w:rPr>
        <w:t xml:space="preserve">to </w:t>
      </w:r>
      <w:r w:rsidR="00140A28">
        <w:rPr>
          <w:rFonts w:ascii="Times New Roman" w:hAnsi="Times New Roman"/>
        </w:rPr>
        <w:t>advance</w:t>
      </w:r>
      <w:r w:rsidRPr="000B2BD4">
        <w:rPr>
          <w:rFonts w:ascii="Times New Roman" w:hAnsi="Times New Roman"/>
        </w:rPr>
        <w:t xml:space="preserve"> rapidly and expand beyond the confines of the laboratory, the potential of synthetic biology carries hopes and aspirations to address a multitude of global challenges</w:t>
      </w:r>
      <w:r w:rsidR="00F8168D" w:rsidRPr="00F8168D">
        <w:t xml:space="preserve"> </w:t>
      </w:r>
      <w:r w:rsidR="00F8168D" w:rsidRPr="00F8168D">
        <w:rPr>
          <w:rFonts w:ascii="Times New Roman" w:hAnsi="Times New Roman"/>
        </w:rPr>
        <w:t>related to food, health and the environment, among others, but also concerns about potential risks including those associated to biodiversity</w:t>
      </w:r>
      <w:r w:rsidR="00F8168D">
        <w:rPr>
          <w:rFonts w:ascii="Times New Roman" w:hAnsi="Times New Roman"/>
        </w:rPr>
        <w:t>.</w:t>
      </w:r>
    </w:p>
    <w:p w14:paraId="787941D9" w14:textId="6335BDC1" w:rsidR="00E0344D" w:rsidRPr="00E0344D" w:rsidRDefault="00E0344D" w:rsidP="00C245DA">
      <w:pPr>
        <w:spacing w:after="120" w:line="240" w:lineRule="auto"/>
        <w:jc w:val="both"/>
        <w:rPr>
          <w:rFonts w:ascii="Times New Roman" w:hAnsi="Times New Roman"/>
        </w:rPr>
      </w:pPr>
      <w:r w:rsidRPr="00E0344D">
        <w:rPr>
          <w:rFonts w:ascii="Times New Roman" w:hAnsi="Times New Roman"/>
        </w:rPr>
        <w:t>Synthetic biology relies on a suite of supporting technologies and tools, some of which are also used in genetic engineering.</w:t>
      </w:r>
      <w:r w:rsidR="0029399D">
        <w:rPr>
          <w:rFonts w:ascii="Times New Roman" w:hAnsi="Times New Roman"/>
        </w:rPr>
        <w:t xml:space="preserve"> </w:t>
      </w:r>
      <w:r w:rsidRPr="00E0344D">
        <w:rPr>
          <w:rFonts w:ascii="Times New Roman" w:hAnsi="Times New Roman"/>
        </w:rPr>
        <w:t xml:space="preserve"> </w:t>
      </w:r>
      <w:r w:rsidR="0029399D">
        <w:rPr>
          <w:rFonts w:ascii="Times New Roman" w:hAnsi="Times New Roman"/>
        </w:rPr>
        <w:t>T</w:t>
      </w:r>
      <w:r w:rsidRPr="00E0344D">
        <w:rPr>
          <w:rFonts w:ascii="Times New Roman" w:hAnsi="Times New Roman"/>
        </w:rPr>
        <w:t>he emergence of several sophisticated technologies has greatly impacted the sector in the last years. As a consequence, the number of applications, especially</w:t>
      </w:r>
      <w:r w:rsidR="00F8168D">
        <w:rPr>
          <w:rFonts w:ascii="Times New Roman" w:hAnsi="Times New Roman"/>
        </w:rPr>
        <w:t xml:space="preserve"> those that make use of</w:t>
      </w:r>
      <w:r w:rsidRPr="00E0344D">
        <w:rPr>
          <w:rFonts w:ascii="Times New Roman" w:hAnsi="Times New Roman"/>
        </w:rPr>
        <w:t xml:space="preserve"> genome editing technology, has increased exponentially and has led to advances in plant and animal engineering, personalised medicine, and clinical therapeutics. Particularly, CRISPR-Cas technology is having impacts in agriculture, especially in increasing plant yield, quality, disease resistance and herbicide resistance, breeding, and accelerated domestication. Moreover, </w:t>
      </w:r>
      <w:r w:rsidR="00607A1B">
        <w:rPr>
          <w:rFonts w:ascii="Times New Roman" w:hAnsi="Times New Roman"/>
        </w:rPr>
        <w:t xml:space="preserve">technologies such as </w:t>
      </w:r>
      <w:r w:rsidRPr="00E0344D">
        <w:rPr>
          <w:rFonts w:ascii="Times New Roman" w:hAnsi="Times New Roman"/>
        </w:rPr>
        <w:t>engineered gene drives can now potentially be applied to a wide variety of organisms as a tool to spread traits throughout a population. These tools and areas of research have led to a range of synthetic biology applications that can be categorised by their intended use in: (i)</w:t>
      </w:r>
      <w:r w:rsidR="00707453">
        <w:rPr>
          <w:rFonts w:ascii="Times New Roman" w:hAnsi="Times New Roman"/>
        </w:rPr>
        <w:t xml:space="preserve"> </w:t>
      </w:r>
      <w:r w:rsidR="00F8168D">
        <w:rPr>
          <w:rFonts w:ascii="Times New Roman" w:hAnsi="Times New Roman"/>
        </w:rPr>
        <w:t>contained, industrial, or laboratory settings</w:t>
      </w:r>
      <w:r w:rsidRPr="00E0344D">
        <w:rPr>
          <w:rFonts w:ascii="Times New Roman" w:hAnsi="Times New Roman"/>
        </w:rPr>
        <w:t xml:space="preserve">, (ii) semi-managed, managed, or urban settings, or (iii) </w:t>
      </w:r>
      <w:r w:rsidR="00F8168D">
        <w:rPr>
          <w:rFonts w:ascii="Times New Roman" w:hAnsi="Times New Roman"/>
        </w:rPr>
        <w:t>unmanaged or wild settings</w:t>
      </w:r>
      <w:r w:rsidRPr="00E0344D">
        <w:rPr>
          <w:rFonts w:ascii="Times New Roman" w:hAnsi="Times New Roman"/>
        </w:rPr>
        <w:t xml:space="preserve">. Amongst each of these categories, several products are being commercialised, or are in </w:t>
      </w:r>
      <w:r w:rsidR="00CD2602">
        <w:rPr>
          <w:rFonts w:ascii="Times New Roman" w:hAnsi="Times New Roman"/>
        </w:rPr>
        <w:t>a research and</w:t>
      </w:r>
      <w:r w:rsidR="00036626">
        <w:rPr>
          <w:rFonts w:ascii="Times New Roman" w:hAnsi="Times New Roman"/>
        </w:rPr>
        <w:t xml:space="preserve"> </w:t>
      </w:r>
      <w:r w:rsidRPr="00E0344D">
        <w:rPr>
          <w:rFonts w:ascii="Times New Roman" w:hAnsi="Times New Roman"/>
        </w:rPr>
        <w:t>development</w:t>
      </w:r>
      <w:r w:rsidR="00036626">
        <w:rPr>
          <w:rFonts w:ascii="Times New Roman" w:hAnsi="Times New Roman"/>
        </w:rPr>
        <w:t xml:space="preserve"> </w:t>
      </w:r>
      <w:r w:rsidRPr="00E0344D">
        <w:rPr>
          <w:rFonts w:ascii="Times New Roman" w:hAnsi="Times New Roman"/>
        </w:rPr>
        <w:t>stage</w:t>
      </w:r>
      <w:r w:rsidR="006E66ED">
        <w:rPr>
          <w:rFonts w:ascii="Times New Roman" w:hAnsi="Times New Roman"/>
        </w:rPr>
        <w:t>.</w:t>
      </w:r>
    </w:p>
    <w:p w14:paraId="550AFF73" w14:textId="409A8C0D" w:rsidR="00C60A4C" w:rsidRPr="00145CD5" w:rsidRDefault="008F50E3" w:rsidP="00675A50">
      <w:pPr>
        <w:spacing w:after="120" w:line="240" w:lineRule="auto"/>
        <w:jc w:val="both"/>
        <w:rPr>
          <w:rFonts w:ascii="Times New Roman" w:hAnsi="Times New Roman"/>
        </w:rPr>
      </w:pPr>
      <w:r>
        <w:rPr>
          <w:rFonts w:ascii="Times New Roman" w:hAnsi="Times New Roman"/>
        </w:rPr>
        <w:t>A</w:t>
      </w:r>
      <w:r w:rsidRPr="00E0344D">
        <w:rPr>
          <w:rFonts w:ascii="Times New Roman" w:hAnsi="Times New Roman"/>
        </w:rPr>
        <w:t>lthough synthetic biology is often referred to as a single discipline, the numerous areas of synthetic biology research represent a wide array of potential impacts</w:t>
      </w:r>
      <w:r>
        <w:rPr>
          <w:rFonts w:ascii="Times New Roman" w:hAnsi="Times New Roman"/>
        </w:rPr>
        <w:t xml:space="preserve">, some of which are complex in </w:t>
      </w:r>
      <w:r w:rsidRPr="002823A5">
        <w:rPr>
          <w:rFonts w:asciiTheme="majorBidi" w:hAnsiTheme="majorBidi" w:cstheme="majorBidi"/>
        </w:rPr>
        <w:t>nature</w:t>
      </w:r>
      <w:r w:rsidR="00675A50" w:rsidRPr="002823A5">
        <w:rPr>
          <w:rFonts w:asciiTheme="majorBidi" w:eastAsiaTheme="minorEastAsia" w:hAnsiTheme="majorBidi" w:cstheme="majorBidi"/>
          <w:lang w:eastAsia="zh-CN"/>
        </w:rPr>
        <w:t xml:space="preserve"> and as a result, </w:t>
      </w:r>
      <w:r w:rsidR="00675A50" w:rsidRPr="002823A5" w:rsidDel="007C3240">
        <w:rPr>
          <w:rFonts w:asciiTheme="majorBidi" w:hAnsiTheme="majorBidi" w:cstheme="majorBidi"/>
        </w:rPr>
        <w:t xml:space="preserve">there is a continuing need to acquire further data and knowledge to support the </w:t>
      </w:r>
      <w:r w:rsidR="00675A50" w:rsidRPr="002823A5">
        <w:rPr>
          <w:rFonts w:asciiTheme="majorBidi" w:hAnsiTheme="majorBidi" w:cstheme="majorBidi"/>
        </w:rPr>
        <w:t>discussions about potential impacts</w:t>
      </w:r>
      <w:r w:rsidRPr="002823A5">
        <w:rPr>
          <w:rFonts w:asciiTheme="majorBidi" w:hAnsiTheme="majorBidi" w:cstheme="majorBidi"/>
        </w:rPr>
        <w:t xml:space="preserve">. </w:t>
      </w:r>
      <w:r w:rsidR="00364519" w:rsidRPr="002823A5">
        <w:rPr>
          <w:rFonts w:asciiTheme="majorBidi" w:hAnsiTheme="majorBidi" w:cstheme="majorBidi"/>
        </w:rPr>
        <w:t>The use of synthetic biology triggers a wide variety of views related to risks and</w:t>
      </w:r>
      <w:r w:rsidR="00364519" w:rsidRPr="00364519">
        <w:rPr>
          <w:rFonts w:ascii="Times New Roman" w:hAnsi="Times New Roman"/>
        </w:rPr>
        <w:t xml:space="preserve"> benefits, moral and ethical values, along with broader issues such as socio-economic aspects</w:t>
      </w:r>
      <w:r w:rsidR="0023488F">
        <w:rPr>
          <w:rFonts w:ascii="Times New Roman" w:hAnsi="Times New Roman"/>
        </w:rPr>
        <w:t>.</w:t>
      </w:r>
      <w:r w:rsidR="00AA3F51">
        <w:rPr>
          <w:rFonts w:ascii="Times New Roman" w:hAnsi="Times New Roman"/>
        </w:rPr>
        <w:t xml:space="preserve"> </w:t>
      </w:r>
      <w:r w:rsidR="00A00A63" w:rsidRPr="00E0344D">
        <w:rPr>
          <w:rFonts w:ascii="Times New Roman" w:hAnsi="Times New Roman"/>
        </w:rPr>
        <w:t xml:space="preserve"> </w:t>
      </w:r>
      <w:r w:rsidR="00192306">
        <w:rPr>
          <w:rFonts w:ascii="Times New Roman" w:hAnsi="Times New Roman"/>
        </w:rPr>
        <w:t>Therefore</w:t>
      </w:r>
      <w:r w:rsidR="00187CE7">
        <w:rPr>
          <w:rFonts w:ascii="Times New Roman" w:hAnsi="Times New Roman"/>
        </w:rPr>
        <w:t>, a</w:t>
      </w:r>
      <w:r w:rsidR="00A06505">
        <w:rPr>
          <w:rFonts w:ascii="Times New Roman" w:hAnsi="Times New Roman"/>
        </w:rPr>
        <w:t xml:space="preserve"> s</w:t>
      </w:r>
      <w:r w:rsidR="00A06505" w:rsidRPr="00E0344D">
        <w:rPr>
          <w:rFonts w:ascii="Times New Roman" w:hAnsi="Times New Roman"/>
        </w:rPr>
        <w:t xml:space="preserve">cience-based assessment of </w:t>
      </w:r>
      <w:r w:rsidR="00A06505">
        <w:rPr>
          <w:rFonts w:ascii="Times New Roman" w:hAnsi="Times New Roman"/>
        </w:rPr>
        <w:t xml:space="preserve">any potential </w:t>
      </w:r>
      <w:r w:rsidR="00A06505" w:rsidRPr="00E0344D">
        <w:rPr>
          <w:rFonts w:ascii="Times New Roman" w:hAnsi="Times New Roman"/>
        </w:rPr>
        <w:t xml:space="preserve">impact is seen as part of a wider decision-making activity; one that evaluates such economic, political, moral, and ethical concerns alongside </w:t>
      </w:r>
      <w:r w:rsidR="00F8168D">
        <w:rPr>
          <w:rFonts w:ascii="Times New Roman" w:hAnsi="Times New Roman"/>
        </w:rPr>
        <w:t xml:space="preserve">a </w:t>
      </w:r>
      <w:r w:rsidR="00A06505" w:rsidRPr="00E0344D">
        <w:rPr>
          <w:rFonts w:ascii="Times New Roman" w:hAnsi="Times New Roman"/>
        </w:rPr>
        <w:t xml:space="preserve">scientific </w:t>
      </w:r>
      <w:r w:rsidR="00F8168D">
        <w:rPr>
          <w:rFonts w:ascii="Times New Roman" w:hAnsi="Times New Roman"/>
        </w:rPr>
        <w:t>analysis</w:t>
      </w:r>
      <w:r w:rsidR="00A06505" w:rsidRPr="00E0344D">
        <w:rPr>
          <w:rFonts w:ascii="Times New Roman" w:hAnsi="Times New Roman"/>
        </w:rPr>
        <w:t xml:space="preserve"> of </w:t>
      </w:r>
      <w:r w:rsidR="00F8168D">
        <w:rPr>
          <w:rFonts w:ascii="Times New Roman" w:hAnsi="Times New Roman"/>
        </w:rPr>
        <w:t xml:space="preserve">the expected or potential </w:t>
      </w:r>
      <w:r w:rsidR="00A06505" w:rsidRPr="00E0344D">
        <w:rPr>
          <w:rFonts w:ascii="Times New Roman" w:hAnsi="Times New Roman"/>
        </w:rPr>
        <w:t>changes that would result from using technology</w:t>
      </w:r>
      <w:r w:rsidR="00D935AF">
        <w:rPr>
          <w:rFonts w:ascii="Times New Roman" w:hAnsi="Times New Roman"/>
        </w:rPr>
        <w:t xml:space="preserve">. </w:t>
      </w:r>
      <w:r w:rsidR="00932218">
        <w:rPr>
          <w:rFonts w:ascii="Times New Roman" w:hAnsi="Times New Roman"/>
        </w:rPr>
        <w:t xml:space="preserve">It is </w:t>
      </w:r>
      <w:r w:rsidR="00205A72">
        <w:rPr>
          <w:rFonts w:ascii="Times New Roman" w:hAnsi="Times New Roman"/>
        </w:rPr>
        <w:t>also</w:t>
      </w:r>
      <w:r w:rsidR="00932218">
        <w:rPr>
          <w:rFonts w:ascii="Times New Roman" w:hAnsi="Times New Roman"/>
        </w:rPr>
        <w:t xml:space="preserve"> important to </w:t>
      </w:r>
      <w:r w:rsidR="00A67FD3">
        <w:rPr>
          <w:rFonts w:ascii="Times New Roman" w:hAnsi="Times New Roman"/>
        </w:rPr>
        <w:t>stress that</w:t>
      </w:r>
      <w:r w:rsidR="00205A72">
        <w:rPr>
          <w:rFonts w:ascii="Times New Roman" w:hAnsi="Times New Roman"/>
        </w:rPr>
        <w:t xml:space="preserve"> due to the diverse nature of </w:t>
      </w:r>
      <w:r w:rsidR="00AC36FF">
        <w:rPr>
          <w:rFonts w:ascii="Times New Roman" w:hAnsi="Times New Roman"/>
        </w:rPr>
        <w:t xml:space="preserve">the potential impacts, they </w:t>
      </w:r>
      <w:r w:rsidR="00993A7E">
        <w:rPr>
          <w:rFonts w:ascii="Times New Roman" w:hAnsi="Times New Roman"/>
        </w:rPr>
        <w:t xml:space="preserve">cannot be generalised for all synthetic biology applications, </w:t>
      </w:r>
      <w:r w:rsidR="00C60A4C">
        <w:rPr>
          <w:rFonts w:ascii="Times New Roman" w:hAnsi="Times New Roman"/>
        </w:rPr>
        <w:t>and they</w:t>
      </w:r>
      <w:r w:rsidR="00C62DE8">
        <w:rPr>
          <w:rFonts w:ascii="Times New Roman" w:hAnsi="Times New Roman"/>
        </w:rPr>
        <w:t xml:space="preserve"> </w:t>
      </w:r>
      <w:r w:rsidR="00E0344D" w:rsidRPr="00E0344D">
        <w:rPr>
          <w:rFonts w:ascii="Times New Roman" w:hAnsi="Times New Roman"/>
        </w:rPr>
        <w:t>should, by necessity, be considered on a case-by-case basis.</w:t>
      </w:r>
      <w:r w:rsidR="0084211B">
        <w:rPr>
          <w:rFonts w:ascii="Times New Roman" w:hAnsi="Times New Roman"/>
        </w:rPr>
        <w:t xml:space="preserve"> </w:t>
      </w:r>
      <w:r w:rsidR="003B7200">
        <w:rPr>
          <w:rFonts w:ascii="Times New Roman" w:hAnsi="Times New Roman"/>
        </w:rPr>
        <w:t>In this light,</w:t>
      </w:r>
      <w:r w:rsidR="003667A9" w:rsidRPr="003667A9">
        <w:rPr>
          <w:rFonts w:ascii="Times New Roman" w:hAnsi="Times New Roman"/>
        </w:rPr>
        <w:t xml:space="preserve"> </w:t>
      </w:r>
      <w:r w:rsidR="003667A9">
        <w:rPr>
          <w:rFonts w:ascii="Times New Roman" w:hAnsi="Times New Roman"/>
        </w:rPr>
        <w:t>as</w:t>
      </w:r>
      <w:r w:rsidR="003667A9" w:rsidRPr="00E0344D">
        <w:rPr>
          <w:rFonts w:ascii="Times New Roman" w:hAnsi="Times New Roman"/>
        </w:rPr>
        <w:t xml:space="preserve"> synthetic biology applications approach commercial deployment and potential environmental release, this is bringing challenges to building consensus on how they are to be regulated, either under the same regimes as classical genetic engineering albeit with adaptations, or under new regimes yet to emerge. </w:t>
      </w:r>
      <w:r w:rsidR="003667A9">
        <w:rPr>
          <w:rFonts w:ascii="Times New Roman" w:hAnsi="Times New Roman"/>
        </w:rPr>
        <w:t>At a n</w:t>
      </w:r>
      <w:r w:rsidR="003667A9" w:rsidRPr="009E0973">
        <w:rPr>
          <w:rFonts w:ascii="Times New Roman" w:hAnsi="Times New Roman"/>
        </w:rPr>
        <w:t xml:space="preserve">ational and regional </w:t>
      </w:r>
      <w:r w:rsidR="003667A9">
        <w:rPr>
          <w:rFonts w:ascii="Times New Roman" w:hAnsi="Times New Roman"/>
        </w:rPr>
        <w:t xml:space="preserve">levels, </w:t>
      </w:r>
      <w:r w:rsidR="003667A9" w:rsidRPr="009E0973">
        <w:rPr>
          <w:rFonts w:ascii="Times New Roman" w:hAnsi="Times New Roman"/>
        </w:rPr>
        <w:t>regulatory frameworks are developing at different rates and with differing perspectives with respect to synthetic biology governance</w:t>
      </w:r>
      <w:r w:rsidR="003667A9">
        <w:rPr>
          <w:rFonts w:ascii="Times New Roman" w:hAnsi="Times New Roman"/>
        </w:rPr>
        <w:t xml:space="preserve">. At an international level, the range of actors potentially involved in synthetic biology governance has grown and is likely to continue to grow in light of the cross-cutting nature of the matter. </w:t>
      </w:r>
    </w:p>
    <w:p w14:paraId="2E8C96E3" w14:textId="6DCD9668" w:rsidR="00E0344D" w:rsidRPr="00E0344D" w:rsidRDefault="007662C6" w:rsidP="00675A50">
      <w:pPr>
        <w:spacing w:after="120" w:line="240" w:lineRule="auto"/>
        <w:jc w:val="both"/>
        <w:rPr>
          <w:rFonts w:ascii="Times New Roman" w:hAnsi="Times New Roman"/>
        </w:rPr>
      </w:pPr>
      <w:r>
        <w:rPr>
          <w:rFonts w:ascii="Times New Roman" w:hAnsi="Times New Roman"/>
        </w:rPr>
        <w:t>Currently</w:t>
      </w:r>
      <w:r w:rsidR="00853904">
        <w:rPr>
          <w:rFonts w:ascii="Times New Roman" w:hAnsi="Times New Roman"/>
        </w:rPr>
        <w:t>, t</w:t>
      </w:r>
      <w:r w:rsidR="00853904" w:rsidRPr="00E0344D">
        <w:rPr>
          <w:rFonts w:ascii="Times New Roman" w:hAnsi="Times New Roman"/>
        </w:rPr>
        <w:t xml:space="preserve">he governance of synthetic </w:t>
      </w:r>
      <w:r w:rsidR="00853904" w:rsidRPr="007267C3">
        <w:rPr>
          <w:rFonts w:ascii="Times New Roman" w:hAnsi="Times New Roman"/>
        </w:rPr>
        <w:t xml:space="preserve">biology </w:t>
      </w:r>
      <w:r w:rsidR="00C0598D" w:rsidRPr="007267C3">
        <w:rPr>
          <w:rFonts w:ascii="Times New Roman" w:hAnsi="Times New Roman"/>
        </w:rPr>
        <w:t xml:space="preserve">is </w:t>
      </w:r>
      <w:r w:rsidR="00C964B7" w:rsidRPr="007267C3">
        <w:rPr>
          <w:rFonts w:ascii="Times New Roman" w:hAnsi="Times New Roman"/>
        </w:rPr>
        <w:t>supported</w:t>
      </w:r>
      <w:r w:rsidR="00853904" w:rsidRPr="007267C3">
        <w:rPr>
          <w:rFonts w:ascii="Times New Roman" w:hAnsi="Times New Roman"/>
        </w:rPr>
        <w:t xml:space="preserve"> by</w:t>
      </w:r>
      <w:r w:rsidR="007267C3">
        <w:rPr>
          <w:rFonts w:ascii="Times New Roman" w:hAnsi="Times New Roman"/>
        </w:rPr>
        <w:t xml:space="preserve"> </w:t>
      </w:r>
      <w:r w:rsidR="00853904" w:rsidRPr="00E0344D">
        <w:rPr>
          <w:rFonts w:ascii="Times New Roman" w:hAnsi="Times New Roman"/>
        </w:rPr>
        <w:t xml:space="preserve">a range of international laws, processes, and initiatives, considering a number </w:t>
      </w:r>
      <w:r w:rsidR="00853904">
        <w:rPr>
          <w:rFonts w:ascii="Times New Roman" w:hAnsi="Times New Roman"/>
        </w:rPr>
        <w:t xml:space="preserve">of </w:t>
      </w:r>
      <w:r w:rsidR="00853904" w:rsidRPr="00E0344D">
        <w:rPr>
          <w:rFonts w:ascii="Times New Roman" w:hAnsi="Times New Roman"/>
        </w:rPr>
        <w:t>factor</w:t>
      </w:r>
      <w:r w:rsidR="00853904">
        <w:rPr>
          <w:rFonts w:ascii="Times New Roman" w:hAnsi="Times New Roman"/>
        </w:rPr>
        <w:t>s</w:t>
      </w:r>
      <w:r w:rsidR="00853904" w:rsidRPr="00E0344D">
        <w:rPr>
          <w:rFonts w:ascii="Times New Roman" w:hAnsi="Times New Roman"/>
        </w:rPr>
        <w:t xml:space="preserve"> including the products and processes involved, the purpose for which they are applied, and the </w:t>
      </w:r>
      <w:r w:rsidR="00853904">
        <w:rPr>
          <w:rFonts w:ascii="Times New Roman" w:hAnsi="Times New Roman"/>
        </w:rPr>
        <w:t xml:space="preserve">transboundary </w:t>
      </w:r>
      <w:r w:rsidR="00853904" w:rsidRPr="00E0344D">
        <w:rPr>
          <w:rFonts w:ascii="Times New Roman" w:hAnsi="Times New Roman"/>
        </w:rPr>
        <w:t>implications of their use</w:t>
      </w:r>
      <w:r w:rsidR="00853904">
        <w:rPr>
          <w:rFonts w:ascii="Times New Roman" w:hAnsi="Times New Roman"/>
        </w:rPr>
        <w:t>.</w:t>
      </w:r>
      <w:r>
        <w:rPr>
          <w:rFonts w:ascii="Times New Roman" w:hAnsi="Times New Roman"/>
        </w:rPr>
        <w:t xml:space="preserve"> </w:t>
      </w:r>
      <w:r w:rsidR="00E0344D" w:rsidRPr="001B21EE">
        <w:rPr>
          <w:rFonts w:ascii="Times New Roman" w:hAnsi="Times New Roman"/>
        </w:rPr>
        <w:t xml:space="preserve">However, </w:t>
      </w:r>
      <w:r w:rsidR="00440475" w:rsidRPr="001B21EE">
        <w:rPr>
          <w:rFonts w:ascii="Times New Roman" w:hAnsi="Times New Roman"/>
        </w:rPr>
        <w:t xml:space="preserve">this fragmented landscape at the international </w:t>
      </w:r>
      <w:r w:rsidR="00440475" w:rsidRPr="002823A5">
        <w:rPr>
          <w:rFonts w:ascii="Times New Roman" w:hAnsi="Times New Roman"/>
        </w:rPr>
        <w:t>level,</w:t>
      </w:r>
      <w:r w:rsidR="00675A50" w:rsidRPr="002823A5">
        <w:rPr>
          <w:rFonts w:ascii="Times New Roman" w:hAnsi="Times New Roman"/>
        </w:rPr>
        <w:t xml:space="preserve"> creates a complex scenario with the potential</w:t>
      </w:r>
      <w:r w:rsidR="00440475" w:rsidRPr="002823A5">
        <w:rPr>
          <w:rFonts w:ascii="Times New Roman" w:hAnsi="Times New Roman"/>
        </w:rPr>
        <w:t xml:space="preserve"> for regulatory gaps and areas of convergence</w:t>
      </w:r>
      <w:r w:rsidR="00675A50" w:rsidRPr="002823A5">
        <w:rPr>
          <w:rFonts w:ascii="Times New Roman" w:hAnsi="Times New Roman"/>
        </w:rPr>
        <w:t xml:space="preserve"> to develop</w:t>
      </w:r>
      <w:r w:rsidR="00E0344D" w:rsidRPr="002823A5">
        <w:rPr>
          <w:rFonts w:ascii="Times New Roman" w:hAnsi="Times New Roman"/>
        </w:rPr>
        <w:t>.</w:t>
      </w:r>
      <w:r w:rsidR="00764BDB" w:rsidRPr="002823A5">
        <w:rPr>
          <w:rFonts w:ascii="Times New Roman" w:hAnsi="Times New Roman"/>
        </w:rPr>
        <w:t xml:space="preserve"> </w:t>
      </w:r>
      <w:r w:rsidR="001B21EE" w:rsidRPr="002823A5">
        <w:rPr>
          <w:rFonts w:ascii="Times New Roman" w:hAnsi="Times New Roman"/>
        </w:rPr>
        <w:t xml:space="preserve">Calls for improved governance of synthetic biology, including addressing gaps in the international legal and regulatory frameworks, place significant emphasis on the need to better address challenges that go beyond the scientific areas, and call to also consider societal, economic, and ethical dimensions. Enhanced regulatory oversight addressing these dimensions appears desirable to promote public trust and acceptance, however, the international laws, processes and initiatives analysed appear ill-equipped to address several of these dimensions. </w:t>
      </w:r>
      <w:r w:rsidR="00764BDB" w:rsidRPr="002823A5">
        <w:rPr>
          <w:rFonts w:ascii="Times New Roman" w:hAnsi="Times New Roman"/>
        </w:rPr>
        <w:t>With over a decade of substantive decision-making addressing synthetic biology</w:t>
      </w:r>
      <w:r w:rsidR="001D7C59" w:rsidRPr="002823A5">
        <w:rPr>
          <w:rFonts w:ascii="Times New Roman" w:hAnsi="Times New Roman"/>
        </w:rPr>
        <w:t>,</w:t>
      </w:r>
      <w:r w:rsidR="00764BDB" w:rsidRPr="002823A5">
        <w:rPr>
          <w:rFonts w:ascii="Times New Roman" w:hAnsi="Times New Roman"/>
        </w:rPr>
        <w:t xml:space="preserve"> the C</w:t>
      </w:r>
      <w:r w:rsidR="0063096A" w:rsidRPr="002823A5">
        <w:rPr>
          <w:rFonts w:ascii="Times New Roman" w:hAnsi="Times New Roman"/>
        </w:rPr>
        <w:t>onvention on Biological Diversity</w:t>
      </w:r>
      <w:r w:rsidR="00764BDB" w:rsidRPr="00E0344D">
        <w:rPr>
          <w:rFonts w:ascii="Times New Roman" w:hAnsi="Times New Roman"/>
        </w:rPr>
        <w:t xml:space="preserve"> </w:t>
      </w:r>
      <w:r w:rsidR="00764BDB">
        <w:rPr>
          <w:rFonts w:ascii="Times New Roman" w:hAnsi="Times New Roman"/>
        </w:rPr>
        <w:t xml:space="preserve">has </w:t>
      </w:r>
      <w:r w:rsidR="00764BDB" w:rsidRPr="00556838">
        <w:rPr>
          <w:rFonts w:ascii="Times New Roman" w:hAnsi="Times New Roman"/>
        </w:rPr>
        <w:t xml:space="preserve">emerged as </w:t>
      </w:r>
      <w:r w:rsidR="009817E5">
        <w:rPr>
          <w:rFonts w:ascii="Times New Roman" w:hAnsi="Times New Roman"/>
        </w:rPr>
        <w:t>an important</w:t>
      </w:r>
      <w:r w:rsidR="00764BDB" w:rsidRPr="00556838">
        <w:rPr>
          <w:rFonts w:ascii="Times New Roman" w:hAnsi="Times New Roman"/>
        </w:rPr>
        <w:t xml:space="preserve"> </w:t>
      </w:r>
      <w:r w:rsidR="00764BDB" w:rsidRPr="00556838">
        <w:rPr>
          <w:rFonts w:ascii="Times New Roman" w:hAnsi="Times New Roman"/>
        </w:rPr>
        <w:lastRenderedPageBreak/>
        <w:t>international</w:t>
      </w:r>
      <w:r w:rsidR="00764BDB" w:rsidRPr="00E0344D">
        <w:rPr>
          <w:rFonts w:ascii="Times New Roman" w:hAnsi="Times New Roman"/>
        </w:rPr>
        <w:t xml:space="preserve"> forum </w:t>
      </w:r>
      <w:r w:rsidR="00764BDB">
        <w:rPr>
          <w:rFonts w:ascii="Times New Roman" w:hAnsi="Times New Roman"/>
        </w:rPr>
        <w:t xml:space="preserve">currently </w:t>
      </w:r>
      <w:r w:rsidR="00764BDB" w:rsidRPr="009868F5">
        <w:rPr>
          <w:rFonts w:ascii="Times New Roman" w:hAnsi="Times New Roman"/>
        </w:rPr>
        <w:t xml:space="preserve">deliberating the </w:t>
      </w:r>
      <w:r w:rsidR="00764BDB">
        <w:rPr>
          <w:rFonts w:ascii="Times New Roman" w:hAnsi="Times New Roman"/>
        </w:rPr>
        <w:t>potential impact</w:t>
      </w:r>
      <w:r w:rsidR="005E0DA4">
        <w:rPr>
          <w:rFonts w:ascii="Times New Roman" w:hAnsi="Times New Roman"/>
        </w:rPr>
        <w:t>s</w:t>
      </w:r>
      <w:r w:rsidR="00764BDB" w:rsidRPr="009868F5">
        <w:rPr>
          <w:rFonts w:ascii="Times New Roman" w:hAnsi="Times New Roman"/>
        </w:rPr>
        <w:t xml:space="preserve"> of synthetic biology</w:t>
      </w:r>
      <w:r w:rsidR="00764BDB">
        <w:rPr>
          <w:rFonts w:ascii="Times New Roman" w:hAnsi="Times New Roman"/>
        </w:rPr>
        <w:t xml:space="preserve"> </w:t>
      </w:r>
      <w:r w:rsidR="005E0DA4">
        <w:rPr>
          <w:rFonts w:ascii="Times New Roman" w:hAnsi="Times New Roman"/>
        </w:rPr>
        <w:t>and its regulation,</w:t>
      </w:r>
      <w:r w:rsidR="00764BDB">
        <w:rPr>
          <w:rFonts w:ascii="Times New Roman" w:hAnsi="Times New Roman"/>
        </w:rPr>
        <w:t xml:space="preserve"> particularly as </w:t>
      </w:r>
      <w:r w:rsidR="005E0DA4">
        <w:rPr>
          <w:rFonts w:ascii="Times New Roman" w:hAnsi="Times New Roman"/>
        </w:rPr>
        <w:t>they</w:t>
      </w:r>
      <w:r w:rsidR="00764BDB">
        <w:rPr>
          <w:rFonts w:ascii="Times New Roman" w:hAnsi="Times New Roman"/>
        </w:rPr>
        <w:t xml:space="preserve"> relate to biodiversity and biosafety</w:t>
      </w:r>
      <w:r w:rsidR="00E0344D" w:rsidRPr="009868F5">
        <w:rPr>
          <w:rFonts w:ascii="Times New Roman" w:hAnsi="Times New Roman"/>
        </w:rPr>
        <w:t xml:space="preserve">. </w:t>
      </w:r>
    </w:p>
    <w:p w14:paraId="62855602" w14:textId="2A221E7D" w:rsidR="00E0344D" w:rsidRPr="00E0344D" w:rsidRDefault="00E0344D" w:rsidP="00350E85">
      <w:pPr>
        <w:spacing w:after="120" w:line="240" w:lineRule="auto"/>
        <w:jc w:val="both"/>
        <w:rPr>
          <w:rFonts w:ascii="Times New Roman" w:hAnsi="Times New Roman"/>
        </w:rPr>
      </w:pPr>
      <w:r w:rsidRPr="00E0344D">
        <w:rPr>
          <w:rFonts w:ascii="Times New Roman" w:hAnsi="Times New Roman"/>
        </w:rPr>
        <w:t>There is a recognised need to first better integrate and coordinate governance of synthetic biology, and secondly</w:t>
      </w:r>
      <w:r w:rsidR="0032739D">
        <w:rPr>
          <w:rFonts w:ascii="Times New Roman" w:hAnsi="Times New Roman"/>
        </w:rPr>
        <w:t xml:space="preserve">, </w:t>
      </w:r>
      <w:r w:rsidRPr="00E0344D">
        <w:rPr>
          <w:rFonts w:ascii="Times New Roman" w:hAnsi="Times New Roman"/>
        </w:rPr>
        <w:t xml:space="preserve">to expand the focus of governance beyond the focus on </w:t>
      </w:r>
      <w:r w:rsidR="001B21EE" w:rsidRPr="002823A5">
        <w:rPr>
          <w:rFonts w:ascii="Times New Roman" w:hAnsi="Times New Roman"/>
        </w:rPr>
        <w:t xml:space="preserve">biosafety, </w:t>
      </w:r>
      <w:r w:rsidRPr="002823A5">
        <w:rPr>
          <w:rFonts w:ascii="Times New Roman" w:hAnsi="Times New Roman"/>
        </w:rPr>
        <w:t>human health and the environment to a more holistic approach that also encompasses social impact, ethical principles, and elements of social justice</w:t>
      </w:r>
      <w:r w:rsidR="0032739D" w:rsidRPr="002823A5">
        <w:rPr>
          <w:rFonts w:ascii="Times New Roman" w:hAnsi="Times New Roman"/>
        </w:rPr>
        <w:t>,</w:t>
      </w:r>
      <w:r w:rsidR="0032739D" w:rsidRPr="002823A5">
        <w:t xml:space="preserve"> </w:t>
      </w:r>
      <w:r w:rsidR="0032739D" w:rsidRPr="002823A5">
        <w:rPr>
          <w:rFonts w:ascii="Times New Roman" w:hAnsi="Times New Roman"/>
        </w:rPr>
        <w:t>in accordance with national circumstances</w:t>
      </w:r>
      <w:r w:rsidRPr="002823A5">
        <w:rPr>
          <w:rFonts w:ascii="Times New Roman" w:hAnsi="Times New Roman"/>
        </w:rPr>
        <w:t>. To avoid unintended irreversible environmental damage and associated geopolitical</w:t>
      </w:r>
      <w:r w:rsidR="002154BF" w:rsidRPr="002823A5">
        <w:rPr>
          <w:rFonts w:ascii="Times New Roman" w:hAnsi="Times New Roman"/>
        </w:rPr>
        <w:t xml:space="preserve"> </w:t>
      </w:r>
      <w:r w:rsidR="00E85208" w:rsidRPr="002823A5">
        <w:rPr>
          <w:rFonts w:ascii="Times New Roman" w:hAnsi="Times New Roman"/>
        </w:rPr>
        <w:t>challenges</w:t>
      </w:r>
      <w:r w:rsidRPr="002823A5">
        <w:rPr>
          <w:rFonts w:ascii="Times New Roman" w:hAnsi="Times New Roman"/>
        </w:rPr>
        <w:t>, innovative</w:t>
      </w:r>
      <w:r w:rsidRPr="00A65AE1">
        <w:rPr>
          <w:rFonts w:ascii="Times New Roman" w:hAnsi="Times New Roman"/>
        </w:rPr>
        <w:t xml:space="preserve"> research guidelines, governance methods, integration with social sciences, and engagement with communities are needed. As we think about </w:t>
      </w:r>
      <w:r w:rsidR="00CD273C" w:rsidRPr="00A65AE1">
        <w:rPr>
          <w:rFonts w:ascii="Times New Roman" w:hAnsi="Times New Roman"/>
        </w:rPr>
        <w:t>advancing</w:t>
      </w:r>
      <w:r w:rsidRPr="00A65AE1">
        <w:rPr>
          <w:rFonts w:ascii="Times New Roman" w:hAnsi="Times New Roman"/>
        </w:rPr>
        <w:t xml:space="preserve"> </w:t>
      </w:r>
      <w:r w:rsidRPr="00E0344D">
        <w:rPr>
          <w:rFonts w:ascii="Times New Roman" w:hAnsi="Times New Roman"/>
        </w:rPr>
        <w:t>synthetic biology into the future, the challenge is integrating the scientific freedom that allows research and product development to move ahead while acting responsibly and in a manner that embraces ethical, legal, and larger societal values.</w:t>
      </w:r>
    </w:p>
    <w:p w14:paraId="22C63F21" w14:textId="2745B166" w:rsidR="006A47A9" w:rsidRPr="00E0344D" w:rsidRDefault="002F6FD5" w:rsidP="00F8168D">
      <w:pPr>
        <w:spacing w:after="120" w:line="240" w:lineRule="auto"/>
        <w:jc w:val="both"/>
        <w:rPr>
          <w:rFonts w:ascii="Times New Roman" w:hAnsi="Times New Roman"/>
        </w:rPr>
      </w:pPr>
      <w:r>
        <w:rPr>
          <w:rFonts w:ascii="Times New Roman" w:hAnsi="Times New Roman"/>
        </w:rPr>
        <w:t>Th</w:t>
      </w:r>
      <w:r w:rsidR="001F7682">
        <w:rPr>
          <w:rFonts w:ascii="Times New Roman" w:hAnsi="Times New Roman"/>
        </w:rPr>
        <w:t>i</w:t>
      </w:r>
      <w:r w:rsidR="006A47A9" w:rsidRPr="00E0344D">
        <w:rPr>
          <w:rFonts w:ascii="Times New Roman" w:hAnsi="Times New Roman"/>
        </w:rPr>
        <w:t xml:space="preserve">s document is an update of the CBD Technical Series </w:t>
      </w:r>
      <w:r w:rsidR="006A47A9">
        <w:rPr>
          <w:rFonts w:ascii="Times New Roman" w:hAnsi="Times New Roman"/>
        </w:rPr>
        <w:t xml:space="preserve">No. </w:t>
      </w:r>
      <w:r w:rsidR="006A47A9" w:rsidRPr="00E0344D">
        <w:rPr>
          <w:rFonts w:ascii="Times New Roman" w:hAnsi="Times New Roman"/>
        </w:rPr>
        <w:t xml:space="preserve">82 on Synthetic Biology </w:t>
      </w:r>
      <w:r w:rsidR="00C845A7">
        <w:rPr>
          <w:rFonts w:ascii="Times New Roman" w:hAnsi="Times New Roman"/>
        </w:rPr>
        <w:fldChar w:fldCharType="begin" w:fldLock="1"/>
      </w:r>
      <w:r w:rsidR="00AF4E11">
        <w:rPr>
          <w:rFonts w:ascii="Times New Roman" w:hAnsi="Times New Roman"/>
        </w:rPr>
        <w:instrText>ADDIN CSL_CITATION {"citationItems":[{"id":"ITEM-1","itemData":{"author":[{"dropping-particle":"","family":"Secretariat of the Convention on Biological Diversity","given":"","non-dropping-particle":"","parse-names":false,"suffix":""}],"edition":"Technical","id":"ITEM-1","issued":{"date-parts":[["2015"]]},"number-of-pages":"118","publisher-place":"Montreal, Canada","title":"Synthetic Biology","type":"book"},"uris":["http://www.mendeley.com/documents/?uuid=c4fc9927-edae-4e83-b581-190a59b0c1ed"]}],"mendeley":{"formattedCitation":"(Secretariat of the Convention on Biological Diversity, 2015c)","manualFormatting":"(2015)","plainTextFormattedCitation":"(Secretariat of the Convention on Biological Diversity, 2015c)","previouslyFormattedCitation":"(Secretariat of the Convention on Biological Diversity, 2015c)"},"properties":{"noteIndex":0},"schema":"https://github.com/citation-style-language/schema/raw/master/csl-citation.json"}</w:instrText>
      </w:r>
      <w:r w:rsidR="00C845A7">
        <w:rPr>
          <w:rFonts w:ascii="Times New Roman" w:hAnsi="Times New Roman"/>
        </w:rPr>
        <w:fldChar w:fldCharType="separate"/>
      </w:r>
      <w:r w:rsidR="002B6496">
        <w:rPr>
          <w:rFonts w:ascii="Times New Roman" w:hAnsi="Times New Roman"/>
          <w:noProof/>
        </w:rPr>
        <w:t>(</w:t>
      </w:r>
      <w:r w:rsidR="00C845A7" w:rsidRPr="00C845A7">
        <w:rPr>
          <w:rFonts w:ascii="Times New Roman" w:hAnsi="Times New Roman"/>
          <w:noProof/>
        </w:rPr>
        <w:t>2015)</w:t>
      </w:r>
      <w:r w:rsidR="00C845A7">
        <w:rPr>
          <w:rFonts w:ascii="Times New Roman" w:hAnsi="Times New Roman"/>
        </w:rPr>
        <w:fldChar w:fldCharType="end"/>
      </w:r>
      <w:r w:rsidR="006A47A9" w:rsidRPr="00E0344D">
        <w:rPr>
          <w:rFonts w:ascii="Times New Roman" w:hAnsi="Times New Roman"/>
        </w:rPr>
        <w:t xml:space="preserve">. </w:t>
      </w:r>
    </w:p>
    <w:p w14:paraId="304178DF" w14:textId="77777777" w:rsidR="00E0344D" w:rsidRPr="00E0344D" w:rsidRDefault="00E0344D" w:rsidP="00E0344D">
      <w:pPr>
        <w:spacing w:after="120" w:line="240" w:lineRule="auto"/>
        <w:jc w:val="both"/>
        <w:rPr>
          <w:rFonts w:ascii="Times New Roman" w:hAnsi="Times New Roman"/>
        </w:rPr>
      </w:pPr>
    </w:p>
    <w:p w14:paraId="120EB311" w14:textId="0560B926" w:rsidR="00407C65" w:rsidRDefault="00932921" w:rsidP="00E0344D">
      <w:pPr>
        <w:spacing w:after="120" w:line="240" w:lineRule="auto"/>
        <w:jc w:val="both"/>
        <w:rPr>
          <w:rFonts w:ascii="Times New Roman" w:hAnsi="Times New Roman"/>
          <w:b/>
          <w:i/>
          <w:iCs/>
        </w:rPr>
      </w:pPr>
      <w:r w:rsidRPr="00E0344D">
        <w:rPr>
          <w:rFonts w:ascii="Times New Roman" w:hAnsi="Times New Roman"/>
          <w:b/>
          <w:i/>
          <w:iCs/>
        </w:rPr>
        <w:t>KEY MESSAGES</w:t>
      </w:r>
    </w:p>
    <w:p w14:paraId="36C21B43" w14:textId="28DDF839" w:rsidR="00951023" w:rsidRDefault="00A80E86" w:rsidP="002C217A">
      <w:pPr>
        <w:spacing w:after="120" w:line="240" w:lineRule="auto"/>
        <w:contextualSpacing/>
        <w:jc w:val="both"/>
        <w:rPr>
          <w:rFonts w:ascii="Times New Roman" w:hAnsi="Times New Roman"/>
          <w:i/>
        </w:rPr>
      </w:pPr>
      <w:r w:rsidRPr="00AA5438">
        <w:rPr>
          <w:rFonts w:ascii="Times New Roman" w:hAnsi="Times New Roman"/>
          <w:i/>
        </w:rPr>
        <w:t xml:space="preserve">The </w:t>
      </w:r>
      <w:r w:rsidR="002C217A">
        <w:rPr>
          <w:rFonts w:ascii="Times New Roman" w:hAnsi="Times New Roman"/>
          <w:i/>
        </w:rPr>
        <w:t xml:space="preserve">current </w:t>
      </w:r>
      <w:r w:rsidRPr="00AA5438">
        <w:rPr>
          <w:rFonts w:ascii="Times New Roman" w:hAnsi="Times New Roman"/>
          <w:i/>
        </w:rPr>
        <w:t>state of synthetic biolo</w:t>
      </w:r>
      <w:r w:rsidR="00586ECA" w:rsidRPr="00AA5438">
        <w:rPr>
          <w:rFonts w:ascii="Times New Roman" w:hAnsi="Times New Roman"/>
          <w:i/>
        </w:rPr>
        <w:t>gy</w:t>
      </w:r>
    </w:p>
    <w:p w14:paraId="5B9B6AFE" w14:textId="77777777" w:rsidR="008B21A1" w:rsidRPr="00AA5438" w:rsidRDefault="008B21A1" w:rsidP="002C217A">
      <w:pPr>
        <w:spacing w:after="120" w:line="240" w:lineRule="auto"/>
        <w:contextualSpacing/>
        <w:jc w:val="both"/>
        <w:rPr>
          <w:rFonts w:ascii="Times New Roman" w:hAnsi="Times New Roman"/>
          <w:bCs/>
          <w:i/>
          <w:iCs/>
        </w:rPr>
      </w:pPr>
    </w:p>
    <w:p w14:paraId="45D75185" w14:textId="3BBF03FD" w:rsidR="008B1273" w:rsidRPr="007B0282" w:rsidRDefault="008B1273" w:rsidP="008B1273">
      <w:pPr>
        <w:numPr>
          <w:ilvl w:val="0"/>
          <w:numId w:val="228"/>
        </w:numPr>
        <w:spacing w:after="120" w:line="240" w:lineRule="auto"/>
        <w:ind w:left="284" w:hanging="284"/>
        <w:contextualSpacing/>
        <w:jc w:val="both"/>
        <w:rPr>
          <w:rFonts w:ascii="Times New Roman" w:hAnsi="Times New Roman"/>
          <w:b/>
          <w:bCs/>
        </w:rPr>
      </w:pPr>
      <w:r w:rsidRPr="007B0282">
        <w:rPr>
          <w:rFonts w:ascii="Times New Roman" w:hAnsi="Times New Roman"/>
          <w:b/>
          <w:bCs/>
        </w:rPr>
        <w:t>Synthetic biology is a cross-cutting and rapidly advancing discipline</w:t>
      </w:r>
      <w:r>
        <w:rPr>
          <w:rFonts w:ascii="Times New Roman" w:hAnsi="Times New Roman"/>
          <w:b/>
          <w:bCs/>
        </w:rPr>
        <w:t xml:space="preserve"> that has gained great attention due to its increasing relevance</w:t>
      </w:r>
      <w:r w:rsidR="00F8168D">
        <w:rPr>
          <w:rFonts w:ascii="Times New Roman" w:hAnsi="Times New Roman"/>
          <w:b/>
          <w:bCs/>
        </w:rPr>
        <w:t xml:space="preserve"> to the environment, food and health among other global challenges</w:t>
      </w:r>
      <w:r w:rsidRPr="007B0282">
        <w:rPr>
          <w:rFonts w:ascii="Times New Roman" w:hAnsi="Times New Roman"/>
          <w:b/>
          <w:bCs/>
        </w:rPr>
        <w:t>.</w:t>
      </w:r>
    </w:p>
    <w:p w14:paraId="4C11BD13" w14:textId="39FAC2D9" w:rsidR="00E0344D" w:rsidRDefault="008B1273" w:rsidP="008F6B23">
      <w:pPr>
        <w:spacing w:after="120" w:line="240" w:lineRule="auto"/>
        <w:ind w:left="270"/>
        <w:jc w:val="both"/>
        <w:rPr>
          <w:rFonts w:ascii="Times New Roman" w:hAnsi="Times New Roman"/>
        </w:rPr>
      </w:pPr>
      <w:r w:rsidRPr="007B0282">
        <w:rPr>
          <w:rFonts w:ascii="Times New Roman" w:hAnsi="Times New Roman"/>
        </w:rPr>
        <w:t>The international discussions about synthetic biology have come to the forefront and are now much more visible and have drawn attention from a wide range of actors.</w:t>
      </w:r>
      <w:r w:rsidR="00CA4CE1">
        <w:rPr>
          <w:rFonts w:ascii="Times New Roman" w:hAnsi="Times New Roman"/>
        </w:rPr>
        <w:t xml:space="preserve"> </w:t>
      </w:r>
      <w:r w:rsidR="00363A1B">
        <w:rPr>
          <w:rFonts w:ascii="Times New Roman" w:hAnsi="Times New Roman"/>
        </w:rPr>
        <w:t>However, d</w:t>
      </w:r>
      <w:r w:rsidR="00DF37FA" w:rsidRPr="008A2393">
        <w:rPr>
          <w:rFonts w:ascii="Times New Roman" w:hAnsi="Times New Roman"/>
        </w:rPr>
        <w:t xml:space="preserve">ivergent views </w:t>
      </w:r>
      <w:r w:rsidR="00631F87">
        <w:rPr>
          <w:rFonts w:ascii="Times New Roman" w:hAnsi="Times New Roman"/>
        </w:rPr>
        <w:t>on what is considered “synthetic biology”</w:t>
      </w:r>
      <w:r w:rsidR="00DF37FA" w:rsidRPr="008A2393">
        <w:rPr>
          <w:rFonts w:ascii="Times New Roman" w:hAnsi="Times New Roman"/>
        </w:rPr>
        <w:t xml:space="preserve"> pose challenges at various levels that </w:t>
      </w:r>
      <w:r w:rsidR="00DF37FA">
        <w:rPr>
          <w:rFonts w:ascii="Times New Roman" w:hAnsi="Times New Roman"/>
        </w:rPr>
        <w:t>range</w:t>
      </w:r>
      <w:r w:rsidR="00DF37FA" w:rsidRPr="008A2393">
        <w:rPr>
          <w:rFonts w:ascii="Times New Roman" w:hAnsi="Times New Roman"/>
        </w:rPr>
        <w:t xml:space="preserve"> from the governance of the issue to more specific aspects such as </w:t>
      </w:r>
      <w:r w:rsidR="000F5BFF">
        <w:rPr>
          <w:rFonts w:ascii="Times New Roman" w:hAnsi="Times New Roman"/>
        </w:rPr>
        <w:t>challenges</w:t>
      </w:r>
      <w:r w:rsidR="00DF37FA" w:rsidRPr="008A2393">
        <w:rPr>
          <w:rFonts w:ascii="Times New Roman" w:hAnsi="Times New Roman"/>
        </w:rPr>
        <w:t xml:space="preserve"> in applying transboundary movements </w:t>
      </w:r>
      <w:r w:rsidR="000F5BFF" w:rsidRPr="008A2393">
        <w:rPr>
          <w:rFonts w:ascii="Times New Roman" w:hAnsi="Times New Roman"/>
        </w:rPr>
        <w:t>requirements</w:t>
      </w:r>
      <w:r w:rsidR="00A44574">
        <w:rPr>
          <w:rFonts w:ascii="Times New Roman" w:hAnsi="Times New Roman"/>
        </w:rPr>
        <w:t>,</w:t>
      </w:r>
      <w:r w:rsidR="000F5BFF" w:rsidRPr="008A2393">
        <w:rPr>
          <w:rFonts w:ascii="Times New Roman" w:hAnsi="Times New Roman"/>
        </w:rPr>
        <w:t xml:space="preserve"> </w:t>
      </w:r>
      <w:r w:rsidR="00DF37FA" w:rsidRPr="008A2393">
        <w:rPr>
          <w:rFonts w:ascii="Times New Roman" w:hAnsi="Times New Roman"/>
        </w:rPr>
        <w:t>for instance those of the Cartagena Protocol</w:t>
      </w:r>
      <w:r w:rsidR="00A44574">
        <w:rPr>
          <w:rFonts w:ascii="Times New Roman" w:hAnsi="Times New Roman"/>
        </w:rPr>
        <w:t>,</w:t>
      </w:r>
      <w:r w:rsidR="00DF37FA" w:rsidRPr="008A2393" w:rsidDel="00D8229D">
        <w:rPr>
          <w:rFonts w:ascii="Times New Roman" w:hAnsi="Times New Roman"/>
        </w:rPr>
        <w:t xml:space="preserve"> </w:t>
      </w:r>
      <w:r w:rsidR="00DF37FA" w:rsidRPr="008A2393">
        <w:rPr>
          <w:rFonts w:ascii="Times New Roman" w:hAnsi="Times New Roman"/>
        </w:rPr>
        <w:t>due to</w:t>
      </w:r>
      <w:r w:rsidR="00DF37FA">
        <w:rPr>
          <w:rFonts w:ascii="Times New Roman" w:hAnsi="Times New Roman"/>
        </w:rPr>
        <w:t xml:space="preserve"> </w:t>
      </w:r>
      <w:r w:rsidR="00DF37FA" w:rsidRPr="008A2393">
        <w:rPr>
          <w:rFonts w:ascii="Times New Roman" w:hAnsi="Times New Roman"/>
        </w:rPr>
        <w:t>the inability to identify some synthetic biology products, asynchronous authorisations on trade</w:t>
      </w:r>
      <w:r w:rsidR="00DF37FA" w:rsidRPr="001E563F">
        <w:rPr>
          <w:rFonts w:ascii="Times New Roman" w:hAnsi="Times New Roman"/>
        </w:rPr>
        <w:t>, among</w:t>
      </w:r>
      <w:r w:rsidR="00DF37FA">
        <w:rPr>
          <w:rFonts w:ascii="Times New Roman" w:hAnsi="Times New Roman"/>
        </w:rPr>
        <w:t>st</w:t>
      </w:r>
      <w:r w:rsidR="00DF37FA" w:rsidRPr="001E563F">
        <w:rPr>
          <w:rFonts w:ascii="Times New Roman" w:hAnsi="Times New Roman"/>
        </w:rPr>
        <w:t xml:space="preserve"> others</w:t>
      </w:r>
      <w:r w:rsidR="00DF37FA" w:rsidRPr="008A2393">
        <w:rPr>
          <w:rFonts w:ascii="Times New Roman" w:hAnsi="Times New Roman"/>
        </w:rPr>
        <w:t>.</w:t>
      </w:r>
      <w:r w:rsidR="00D855A9" w:rsidRPr="00D855A9">
        <w:t xml:space="preserve"> </w:t>
      </w:r>
      <w:r w:rsidR="00D855A9" w:rsidRPr="00D855A9">
        <w:rPr>
          <w:rFonts w:ascii="Times New Roman" w:hAnsi="Times New Roman"/>
        </w:rPr>
        <w:t>In addition, now that products of synthetic biology are commercially available or in advance stages of research and development, this is bringing challenges to building consensus on whether and how they are to be regulated, either under the same regimes (i.e</w:t>
      </w:r>
      <w:r w:rsidR="002823A5">
        <w:rPr>
          <w:rFonts w:ascii="Times New Roman" w:hAnsi="Times New Roman"/>
        </w:rPr>
        <w:t>.</w:t>
      </w:r>
      <w:r w:rsidR="00D855A9" w:rsidRPr="00D855A9">
        <w:rPr>
          <w:rFonts w:ascii="Times New Roman" w:hAnsi="Times New Roman"/>
        </w:rPr>
        <w:t xml:space="preserve"> those used for classical genetic engineering) albeit with adaptations, or under new regimes. The current debate also echoes similar views expressed at the emergence of classical genetic engineering where developments were considered inherently risky by some, or not presenting any unique or novel risks by others. If discussions to date are anything to go by, those likely to fall under regulation will be subject to a thorough analysis of their different potential impacts on biodiversity-related issues as well as cultural, social, ethical and economic considerations.</w:t>
      </w:r>
    </w:p>
    <w:p w14:paraId="3B96ABB1" w14:textId="1FAE8899" w:rsidR="008135EA" w:rsidRPr="008135EA" w:rsidRDefault="008135EA" w:rsidP="008135EA">
      <w:pPr>
        <w:numPr>
          <w:ilvl w:val="0"/>
          <w:numId w:val="228"/>
        </w:numPr>
        <w:spacing w:after="120" w:line="240" w:lineRule="auto"/>
        <w:ind w:left="284" w:hanging="284"/>
        <w:contextualSpacing/>
        <w:jc w:val="both"/>
        <w:rPr>
          <w:rFonts w:ascii="Times New Roman" w:hAnsi="Times New Roman"/>
          <w:b/>
          <w:bCs/>
        </w:rPr>
      </w:pPr>
      <w:r w:rsidRPr="008135EA">
        <w:rPr>
          <w:rFonts w:ascii="Times New Roman" w:hAnsi="Times New Roman"/>
          <w:b/>
          <w:bCs/>
        </w:rPr>
        <w:t>The potential of the synthetic biology toolbox is boundless, and so are the opportunities for synthetic biology to have an impact in an unprecedented manner.</w:t>
      </w:r>
    </w:p>
    <w:p w14:paraId="4C1F8961" w14:textId="7357561E" w:rsidR="008135EA" w:rsidRPr="00A44574" w:rsidRDefault="008135EA" w:rsidP="008135EA">
      <w:pPr>
        <w:spacing w:after="120" w:line="240" w:lineRule="auto"/>
        <w:ind w:left="270"/>
        <w:jc w:val="both"/>
        <w:rPr>
          <w:rFonts w:ascii="Times New Roman" w:hAnsi="Times New Roman"/>
        </w:rPr>
      </w:pPr>
      <w:r w:rsidRPr="008135EA">
        <w:rPr>
          <w:rFonts w:ascii="Times New Roman" w:hAnsi="Times New Roman"/>
        </w:rPr>
        <w:t>Synthetic biology’s rapid development can be seen in the numerous applications that have reached the market and those that are under research and development. Some of these applications directly target global challenges such as climate change by for instance aiming at increasing the resilience of species to climate change (i.e</w:t>
      </w:r>
      <w:r>
        <w:rPr>
          <w:rFonts w:ascii="Times New Roman" w:hAnsi="Times New Roman"/>
        </w:rPr>
        <w:t>.</w:t>
      </w:r>
      <w:r w:rsidRPr="008135EA">
        <w:rPr>
          <w:rFonts w:ascii="Times New Roman" w:hAnsi="Times New Roman"/>
        </w:rPr>
        <w:t xml:space="preserve"> in corals), or in designing “next generation” biofuels. Similarly, synthetic biology applications are also targeting the replacement of natural materials to take pressure of wild populations, as is the case of the production of recombinant Factor C (rFC) from synthetic horseshoe crab blood, synthetic rhinoceros horns and squalene, each of which could reduce or remove the need to exploit wild species. Applications containing engineered gene drives are being designed to modify, suppress or eradicate populations of various target species. The development of applications based on engineered gene drives targeting invasive alien species, human disease vectors and agricultural pests are currently under development. There are also a wide range of synthetic biology products that are currently on the market for various uses, such as such as semi-synthetic artemisinin, squalene, vanillin, shikimic acid, and select fragrances and flavours. These are only some of the many examples of synthetic biology applications that are having and could have an impact in an unprecedented manner.</w:t>
      </w:r>
    </w:p>
    <w:p w14:paraId="5F8F5EE3" w14:textId="56ADEE8F" w:rsidR="00E0344D" w:rsidRPr="00E0344D" w:rsidRDefault="00E0344D" w:rsidP="00405458">
      <w:pPr>
        <w:numPr>
          <w:ilvl w:val="0"/>
          <w:numId w:val="228"/>
        </w:numPr>
        <w:spacing w:after="0" w:line="240" w:lineRule="auto"/>
        <w:ind w:left="270" w:hanging="270"/>
        <w:contextualSpacing/>
        <w:jc w:val="both"/>
        <w:rPr>
          <w:rFonts w:ascii="Times New Roman" w:hAnsi="Times New Roman"/>
          <w:b/>
          <w:bCs/>
        </w:rPr>
      </w:pPr>
      <w:r w:rsidRPr="00E0344D">
        <w:rPr>
          <w:rFonts w:ascii="Times New Roman" w:hAnsi="Times New Roman"/>
          <w:b/>
          <w:bCs/>
        </w:rPr>
        <w:lastRenderedPageBreak/>
        <w:t xml:space="preserve">The value of the synthetic biology market has increased exponentially. </w:t>
      </w:r>
    </w:p>
    <w:p w14:paraId="682AB300" w14:textId="578E596B" w:rsidR="006D3371" w:rsidRDefault="00E0344D" w:rsidP="001D2852">
      <w:pPr>
        <w:pStyle w:val="ListParagraph"/>
        <w:spacing w:after="120" w:line="240" w:lineRule="auto"/>
        <w:ind w:left="284"/>
        <w:contextualSpacing w:val="0"/>
        <w:jc w:val="both"/>
        <w:rPr>
          <w:rFonts w:ascii="Times New Roman" w:hAnsi="Times New Roman"/>
        </w:rPr>
      </w:pPr>
      <w:r w:rsidRPr="00E0344D">
        <w:rPr>
          <w:rFonts w:ascii="Times New Roman" w:hAnsi="Times New Roman"/>
        </w:rPr>
        <w:t xml:space="preserve">While </w:t>
      </w:r>
      <w:r w:rsidR="00F8168D">
        <w:rPr>
          <w:rFonts w:ascii="Times New Roman" w:hAnsi="Times New Roman"/>
        </w:rPr>
        <w:t xml:space="preserve">some </w:t>
      </w:r>
      <w:r w:rsidRPr="00E0344D">
        <w:rPr>
          <w:rFonts w:ascii="Times New Roman" w:hAnsi="Times New Roman"/>
        </w:rPr>
        <w:t xml:space="preserve">research in synthetic biology </w:t>
      </w:r>
      <w:r w:rsidR="00F8168D">
        <w:rPr>
          <w:rFonts w:ascii="Times New Roman" w:hAnsi="Times New Roman"/>
        </w:rPr>
        <w:t>is focused on promoting</w:t>
      </w:r>
      <w:r w:rsidRPr="00E0344D">
        <w:rPr>
          <w:rFonts w:ascii="Times New Roman" w:hAnsi="Times New Roman"/>
        </w:rPr>
        <w:t xml:space="preserve"> a greater understanding of the essential functions of genomes, most of the research is focused on commercial and industrial applications. The global synthetic biology market was estimated to be valued at USD 6.8 billion in 2020 and is projected to grow at a </w:t>
      </w:r>
      <w:r w:rsidR="00F8168D">
        <w:rPr>
          <w:rFonts w:ascii="Times New Roman" w:hAnsi="Times New Roman"/>
        </w:rPr>
        <w:t>c</w:t>
      </w:r>
      <w:r w:rsidRPr="00E0344D">
        <w:rPr>
          <w:rFonts w:ascii="Times New Roman" w:hAnsi="Times New Roman"/>
        </w:rPr>
        <w:t xml:space="preserve">ompound </w:t>
      </w:r>
      <w:r w:rsidR="00F8168D">
        <w:rPr>
          <w:rFonts w:ascii="Times New Roman" w:hAnsi="Times New Roman"/>
        </w:rPr>
        <w:t>a</w:t>
      </w:r>
      <w:r w:rsidRPr="00E0344D">
        <w:rPr>
          <w:rFonts w:ascii="Times New Roman" w:hAnsi="Times New Roman"/>
        </w:rPr>
        <w:t xml:space="preserve">nnual </w:t>
      </w:r>
      <w:r w:rsidR="00F8168D">
        <w:rPr>
          <w:rFonts w:ascii="Times New Roman" w:hAnsi="Times New Roman"/>
        </w:rPr>
        <w:t>g</w:t>
      </w:r>
      <w:r w:rsidRPr="00E0344D">
        <w:rPr>
          <w:rFonts w:ascii="Times New Roman" w:hAnsi="Times New Roman"/>
        </w:rPr>
        <w:t xml:space="preserve">rowth </w:t>
      </w:r>
      <w:r w:rsidR="00F8168D">
        <w:rPr>
          <w:rFonts w:ascii="Times New Roman" w:hAnsi="Times New Roman"/>
        </w:rPr>
        <w:t>r</w:t>
      </w:r>
      <w:r w:rsidRPr="00E0344D">
        <w:rPr>
          <w:rFonts w:ascii="Times New Roman" w:hAnsi="Times New Roman"/>
        </w:rPr>
        <w:t>ate of 23.9 % during the period of 2020 - 2025</w:t>
      </w:r>
      <w:r w:rsidRPr="0041274C">
        <w:rPr>
          <w:rFonts w:ascii="Times New Roman" w:hAnsi="Times New Roman"/>
        </w:rPr>
        <w:t>.</w:t>
      </w:r>
      <w:r w:rsidRPr="00E0344D">
        <w:rPr>
          <w:rFonts w:ascii="Times New Roman" w:hAnsi="Times New Roman"/>
        </w:rPr>
        <w:t xml:space="preserve"> This can be attributed to the rising demand for </w:t>
      </w:r>
      <w:r w:rsidR="0028511A">
        <w:rPr>
          <w:rFonts w:ascii="Times New Roman" w:hAnsi="Times New Roman"/>
        </w:rPr>
        <w:t>products</w:t>
      </w:r>
      <w:r w:rsidR="00B734A3">
        <w:rPr>
          <w:rFonts w:ascii="Times New Roman" w:hAnsi="Times New Roman"/>
        </w:rPr>
        <w:t>, especially</w:t>
      </w:r>
      <w:r w:rsidRPr="003C70B7">
        <w:rPr>
          <w:rFonts w:ascii="Times New Roman" w:hAnsi="Times New Roman"/>
        </w:rPr>
        <w:t xml:space="preserve"> </w:t>
      </w:r>
      <w:r w:rsidR="00FF11A9">
        <w:rPr>
          <w:rFonts w:ascii="Times New Roman" w:hAnsi="Times New Roman"/>
        </w:rPr>
        <w:t>those produced in contain</w:t>
      </w:r>
      <w:r w:rsidR="00997D93">
        <w:rPr>
          <w:rFonts w:ascii="Times New Roman" w:hAnsi="Times New Roman"/>
        </w:rPr>
        <w:t>ment</w:t>
      </w:r>
      <w:r w:rsidR="00A60ACF">
        <w:rPr>
          <w:rFonts w:ascii="Times New Roman" w:hAnsi="Times New Roman"/>
        </w:rPr>
        <w:t xml:space="preserve"> e.g.</w:t>
      </w:r>
      <w:r w:rsidR="00FF11A9">
        <w:rPr>
          <w:rFonts w:ascii="Times New Roman" w:hAnsi="Times New Roman"/>
        </w:rPr>
        <w:t xml:space="preserve"> </w:t>
      </w:r>
      <w:r w:rsidRPr="00E0344D">
        <w:rPr>
          <w:rFonts w:ascii="Times New Roman" w:hAnsi="Times New Roman"/>
        </w:rPr>
        <w:t>synthetic DNA, synthetic RNA, and oligonucleotides across various industries, as well as the increasing use of engineering technologies for manipulating complex genomes, the increasing development of therapeutics, and the increasing technological advances in CRISPR-toolbox.</w:t>
      </w:r>
      <w:r w:rsidR="00C53A3B">
        <w:rPr>
          <w:rFonts w:ascii="Times New Roman" w:hAnsi="Times New Roman"/>
        </w:rPr>
        <w:t xml:space="preserve"> </w:t>
      </w:r>
    </w:p>
    <w:p w14:paraId="746E3A75" w14:textId="1F07559C" w:rsidR="00E0344D" w:rsidRPr="00E0344D" w:rsidRDefault="00B9737A" w:rsidP="00405458">
      <w:pPr>
        <w:numPr>
          <w:ilvl w:val="0"/>
          <w:numId w:val="228"/>
        </w:numPr>
        <w:spacing w:after="0" w:line="240" w:lineRule="auto"/>
        <w:ind w:left="270" w:hanging="300"/>
        <w:contextualSpacing/>
        <w:jc w:val="both"/>
        <w:rPr>
          <w:rFonts w:ascii="Times New Roman" w:hAnsi="Times New Roman"/>
          <w:b/>
          <w:bCs/>
        </w:rPr>
      </w:pPr>
      <w:r>
        <w:rPr>
          <w:rFonts w:ascii="Times New Roman" w:hAnsi="Times New Roman"/>
          <w:b/>
          <w:bCs/>
        </w:rPr>
        <w:t xml:space="preserve">Supporting </w:t>
      </w:r>
      <w:r w:rsidR="00E0344D" w:rsidRPr="00E0344D">
        <w:rPr>
          <w:rFonts w:ascii="Times New Roman" w:hAnsi="Times New Roman"/>
          <w:b/>
          <w:bCs/>
        </w:rPr>
        <w:t>technologies</w:t>
      </w:r>
      <w:r>
        <w:rPr>
          <w:rFonts w:ascii="Times New Roman" w:hAnsi="Times New Roman"/>
          <w:b/>
          <w:bCs/>
        </w:rPr>
        <w:t xml:space="preserve"> and tools</w:t>
      </w:r>
      <w:r w:rsidR="00E0344D" w:rsidRPr="00E0344D">
        <w:rPr>
          <w:rFonts w:ascii="Times New Roman" w:hAnsi="Times New Roman"/>
          <w:b/>
          <w:bCs/>
        </w:rPr>
        <w:t xml:space="preserve"> have rapidly evolved, spawning even more types and numbers of applications, to the extent that synthetic biology is essentially ubiquitous in life science </w:t>
      </w:r>
    </w:p>
    <w:p w14:paraId="43C59ED4" w14:textId="4A2190C3" w:rsidR="00E0344D" w:rsidRDefault="00E0344D" w:rsidP="001D2852">
      <w:pPr>
        <w:pStyle w:val="ListParagraph"/>
        <w:spacing w:after="120" w:line="240" w:lineRule="auto"/>
        <w:ind w:left="284"/>
        <w:jc w:val="both"/>
        <w:rPr>
          <w:rFonts w:ascii="Times New Roman" w:hAnsi="Times New Roman"/>
        </w:rPr>
      </w:pPr>
      <w:r w:rsidRPr="00E0344D">
        <w:rPr>
          <w:rFonts w:ascii="Times New Roman" w:hAnsi="Times New Roman"/>
        </w:rPr>
        <w:t>Synthetic biology relies on a suite of supporting technologies and tools that enable the engineering</w:t>
      </w:r>
      <w:r w:rsidR="00117169">
        <w:rPr>
          <w:rFonts w:ascii="Times New Roman" w:hAnsi="Times New Roman"/>
        </w:rPr>
        <w:t xml:space="preserve"> and creation</w:t>
      </w:r>
      <w:r w:rsidRPr="00E0344D">
        <w:rPr>
          <w:rFonts w:ascii="Times New Roman" w:hAnsi="Times New Roman"/>
        </w:rPr>
        <w:t xml:space="preserve"> of biological components. These tools </w:t>
      </w:r>
      <w:r w:rsidR="00EC51D9">
        <w:rPr>
          <w:rFonts w:ascii="Times New Roman" w:hAnsi="Times New Roman"/>
        </w:rPr>
        <w:t xml:space="preserve">could </w:t>
      </w:r>
      <w:r w:rsidRPr="00E0344D">
        <w:rPr>
          <w:rFonts w:ascii="Times New Roman" w:hAnsi="Times New Roman"/>
        </w:rPr>
        <w:t xml:space="preserve">include DNA synthesis, directed evolution, genome editing, engineered gene drives, RNA interference, artificial intelligence, machine learning, biofoundries, and BioBricks. Synthetic biology also covers several areas of research such as nucleic acid-based circuits, protein engineering, metabolic pathway engineering, genome level engineering, protocell construction, xenobiology, and cell-free systems. </w:t>
      </w:r>
      <w:r w:rsidR="008A0D48">
        <w:rPr>
          <w:rFonts w:ascii="Times New Roman" w:hAnsi="Times New Roman"/>
        </w:rPr>
        <w:t>This creates a</w:t>
      </w:r>
      <w:r w:rsidR="003B32EA">
        <w:rPr>
          <w:rFonts w:ascii="Times New Roman" w:hAnsi="Times New Roman"/>
        </w:rPr>
        <w:t xml:space="preserve"> complex and rich scenario for developing new applications and products. </w:t>
      </w:r>
      <w:r w:rsidR="006B3A9D">
        <w:rPr>
          <w:rFonts w:ascii="Times New Roman" w:hAnsi="Times New Roman"/>
        </w:rPr>
        <w:t xml:space="preserve">However, the pace of development of some of these disciplines is not </w:t>
      </w:r>
      <w:r w:rsidR="00172A1D">
        <w:rPr>
          <w:rFonts w:ascii="Times New Roman" w:hAnsi="Times New Roman"/>
        </w:rPr>
        <w:t>uniform and as such,</w:t>
      </w:r>
      <w:r w:rsidR="006B3A9D">
        <w:rPr>
          <w:rFonts w:ascii="Times New Roman" w:hAnsi="Times New Roman"/>
        </w:rPr>
        <w:t xml:space="preserve"> </w:t>
      </w:r>
      <w:r w:rsidRPr="00E0344D">
        <w:rPr>
          <w:rFonts w:ascii="Times New Roman" w:hAnsi="Times New Roman"/>
        </w:rPr>
        <w:t>the degree of maturity</w:t>
      </w:r>
      <w:r w:rsidR="006F69D9">
        <w:rPr>
          <w:rFonts w:ascii="Times New Roman" w:hAnsi="Times New Roman"/>
        </w:rPr>
        <w:t xml:space="preserve"> of </w:t>
      </w:r>
      <w:r w:rsidRPr="00E0344D">
        <w:rPr>
          <w:rFonts w:ascii="Times New Roman" w:hAnsi="Times New Roman"/>
        </w:rPr>
        <w:t>plant synthetic biology is lagging bacterial, yeast and mammalian systems, where these approaches are already reshaping fundamental research and the biotechnology or biopharmaceutics industries.</w:t>
      </w:r>
      <w:r w:rsidR="00D814B7">
        <w:rPr>
          <w:rFonts w:ascii="Times New Roman" w:hAnsi="Times New Roman"/>
        </w:rPr>
        <w:t xml:space="preserve"> </w:t>
      </w:r>
    </w:p>
    <w:p w14:paraId="45A0A3AF" w14:textId="77777777" w:rsidR="008F2158" w:rsidRDefault="008F2158" w:rsidP="001D2852">
      <w:pPr>
        <w:pStyle w:val="ListParagraph"/>
        <w:spacing w:after="120" w:line="240" w:lineRule="auto"/>
        <w:ind w:left="284"/>
        <w:jc w:val="both"/>
        <w:rPr>
          <w:rFonts w:ascii="Times New Roman" w:hAnsi="Times New Roman"/>
        </w:rPr>
      </w:pPr>
    </w:p>
    <w:p w14:paraId="33AC20B5" w14:textId="67F14359" w:rsidR="008F2158" w:rsidRPr="00FF5A75" w:rsidRDefault="008F2158" w:rsidP="003D38FF">
      <w:pPr>
        <w:pStyle w:val="ListParagraph"/>
        <w:numPr>
          <w:ilvl w:val="0"/>
          <w:numId w:val="228"/>
        </w:numPr>
        <w:spacing w:after="120" w:line="240" w:lineRule="auto"/>
        <w:ind w:left="270" w:hanging="270"/>
        <w:rPr>
          <w:rFonts w:ascii="Times New Roman" w:hAnsi="Times New Roman"/>
        </w:rPr>
      </w:pPr>
      <w:r w:rsidRPr="003D38FF">
        <w:rPr>
          <w:rFonts w:ascii="Times New Roman" w:hAnsi="Times New Roman"/>
          <w:b/>
          <w:bCs/>
        </w:rPr>
        <w:t>Despite its potentially global deployment, research and development in synthetic biology mostly occurs in a limited number of countries</w:t>
      </w:r>
      <w:r w:rsidRPr="00837816">
        <w:rPr>
          <w:rFonts w:ascii="Times New Roman" w:hAnsi="Times New Roman"/>
        </w:rPr>
        <w:t xml:space="preserve"> </w:t>
      </w:r>
    </w:p>
    <w:p w14:paraId="231972E4" w14:textId="7F662A7B" w:rsidR="008F2158" w:rsidRDefault="008F2158" w:rsidP="008F2158">
      <w:pPr>
        <w:pStyle w:val="ListParagraph"/>
        <w:spacing w:after="120" w:line="240" w:lineRule="auto"/>
        <w:ind w:left="284"/>
        <w:jc w:val="both"/>
        <w:rPr>
          <w:rFonts w:ascii="Times New Roman" w:hAnsi="Times New Roman"/>
        </w:rPr>
      </w:pPr>
      <w:r w:rsidRPr="008F2158">
        <w:rPr>
          <w:rFonts w:ascii="Times New Roman" w:hAnsi="Times New Roman"/>
        </w:rPr>
        <w:t xml:space="preserve">By 2017, more than 25,000 authors at 3700 organisations located in 79 countries had contributed to the synthetic biology research. Since 1980, 13050 papers on synthetic biology have been published; with the USA, UK, Germany, China, and France leading the number of publications. Other sites of major research include Japan, Switzerland, Italy, Spain, and Canada. </w:t>
      </w:r>
      <w:r w:rsidR="00245985">
        <w:rPr>
          <w:rFonts w:ascii="Times New Roman" w:hAnsi="Times New Roman"/>
        </w:rPr>
        <w:t xml:space="preserve">There </w:t>
      </w:r>
      <w:r w:rsidR="009B4D74">
        <w:rPr>
          <w:rFonts w:ascii="Times New Roman" w:hAnsi="Times New Roman"/>
        </w:rPr>
        <w:t>were</w:t>
      </w:r>
      <w:r w:rsidR="00245985">
        <w:rPr>
          <w:rFonts w:ascii="Times New Roman" w:hAnsi="Times New Roman"/>
        </w:rPr>
        <w:t xml:space="preserve"> a</w:t>
      </w:r>
      <w:r w:rsidRPr="008F2158">
        <w:rPr>
          <w:rFonts w:ascii="Times New Roman" w:hAnsi="Times New Roman"/>
        </w:rPr>
        <w:t xml:space="preserve"> reported 2800 sponsors of such global research. Despite the global spread of research sponsors, the authors reported a concentration amongst a subset of funding agencies. A cluster of top 20 global sponsors of synthetic biology research were recognised in 70.6% of the synthetic biology articles. This cluster included six funders from the USA, three from China, two for Canada, Germany, Japan, the UK, and the EU each one, and one from South Korea. The great majority of funders in the top 50 are public research councils or government agencies.</w:t>
      </w:r>
    </w:p>
    <w:p w14:paraId="5002DA82" w14:textId="77777777" w:rsidR="001966BB" w:rsidRDefault="001966BB" w:rsidP="008F2158">
      <w:pPr>
        <w:pStyle w:val="ListParagraph"/>
        <w:spacing w:after="120" w:line="240" w:lineRule="auto"/>
        <w:ind w:left="284"/>
        <w:jc w:val="both"/>
        <w:rPr>
          <w:rFonts w:ascii="Times New Roman" w:hAnsi="Times New Roman"/>
        </w:rPr>
      </w:pPr>
    </w:p>
    <w:p w14:paraId="57111809" w14:textId="0A69A33E" w:rsidR="001966BB" w:rsidRPr="003D38FF" w:rsidRDefault="000426CB" w:rsidP="008F2158">
      <w:pPr>
        <w:pStyle w:val="ListParagraph"/>
        <w:spacing w:after="120" w:line="240" w:lineRule="auto"/>
        <w:ind w:left="284"/>
        <w:jc w:val="both"/>
        <w:rPr>
          <w:rFonts w:ascii="Times New Roman" w:hAnsi="Times New Roman"/>
          <w:i/>
        </w:rPr>
      </w:pPr>
      <w:r w:rsidRPr="003D38FF">
        <w:rPr>
          <w:rFonts w:ascii="Times New Roman" w:hAnsi="Times New Roman"/>
          <w:i/>
        </w:rPr>
        <w:t>Poten</w:t>
      </w:r>
      <w:r w:rsidR="00C315ED" w:rsidRPr="003D38FF">
        <w:rPr>
          <w:rFonts w:ascii="Times New Roman" w:hAnsi="Times New Roman"/>
          <w:i/>
        </w:rPr>
        <w:t>tial impacts from synthetic biology</w:t>
      </w:r>
    </w:p>
    <w:p w14:paraId="0F6AFC77" w14:textId="5760AE87" w:rsidR="00E0344D" w:rsidRPr="00E0344D" w:rsidRDefault="00D9495C" w:rsidP="003D38FF">
      <w:pPr>
        <w:numPr>
          <w:ilvl w:val="0"/>
          <w:numId w:val="228"/>
        </w:numPr>
        <w:spacing w:after="0" w:line="240" w:lineRule="auto"/>
        <w:ind w:left="270" w:hanging="270"/>
        <w:contextualSpacing/>
        <w:jc w:val="both"/>
        <w:rPr>
          <w:rFonts w:ascii="Times New Roman" w:hAnsi="Times New Roman"/>
          <w:b/>
          <w:bCs/>
        </w:rPr>
      </w:pPr>
      <w:r>
        <w:rPr>
          <w:rFonts w:ascii="Times New Roman" w:hAnsi="Times New Roman"/>
          <w:b/>
          <w:bCs/>
        </w:rPr>
        <w:t>Synthetic biology p</w:t>
      </w:r>
      <w:r w:rsidR="00E0344D" w:rsidRPr="00E0344D">
        <w:rPr>
          <w:rFonts w:ascii="Times New Roman" w:hAnsi="Times New Roman"/>
          <w:b/>
          <w:bCs/>
        </w:rPr>
        <w:t>roducts designed for use in managed, semi-managed and urban situations attract the greatest attention as those are the ones that the public at large will have greatest interactions</w:t>
      </w:r>
      <w:r w:rsidR="00A570A4">
        <w:rPr>
          <w:rFonts w:ascii="Times New Roman" w:hAnsi="Times New Roman"/>
          <w:b/>
          <w:bCs/>
        </w:rPr>
        <w:t xml:space="preserve"> with</w:t>
      </w:r>
      <w:r w:rsidR="00E0344D" w:rsidRPr="00E0344D">
        <w:rPr>
          <w:rFonts w:ascii="Times New Roman" w:hAnsi="Times New Roman"/>
          <w:b/>
          <w:bCs/>
        </w:rPr>
        <w:t>.</w:t>
      </w:r>
    </w:p>
    <w:p w14:paraId="166425B8" w14:textId="481D01E4" w:rsidR="00E0344D" w:rsidRDefault="00E0344D" w:rsidP="008A380F">
      <w:pPr>
        <w:pStyle w:val="ListParagraph"/>
        <w:spacing w:after="120" w:line="240" w:lineRule="auto"/>
        <w:ind w:left="284"/>
        <w:contextualSpacing w:val="0"/>
        <w:jc w:val="both"/>
        <w:rPr>
          <w:rFonts w:ascii="Times New Roman" w:hAnsi="Times New Roman"/>
        </w:rPr>
      </w:pPr>
      <w:r w:rsidRPr="00E0344D">
        <w:rPr>
          <w:rFonts w:ascii="Times New Roman" w:hAnsi="Times New Roman"/>
        </w:rPr>
        <w:t xml:space="preserve">Synthetic biology has provided an unprecedented toolbox for tailoring organisms for new applications and products. Most of these applications of synthetic biology engineer microbes to produce alternatives to naturally occurring molecules within </w:t>
      </w:r>
      <w:r w:rsidR="003D0AD0">
        <w:rPr>
          <w:rFonts w:ascii="Times New Roman" w:hAnsi="Times New Roman"/>
        </w:rPr>
        <w:t xml:space="preserve">contained </w:t>
      </w:r>
      <w:r w:rsidRPr="00E0344D">
        <w:rPr>
          <w:rFonts w:ascii="Times New Roman" w:hAnsi="Times New Roman"/>
        </w:rPr>
        <w:t xml:space="preserve">industrial or laboratory settings, although the range of host organism is changing rapidly. Currently, of those synthetic biology products that are commercially available </w:t>
      </w:r>
      <w:r w:rsidR="00475BFD">
        <w:rPr>
          <w:rFonts w:ascii="Times New Roman" w:hAnsi="Times New Roman"/>
        </w:rPr>
        <w:t xml:space="preserve">and </w:t>
      </w:r>
      <w:r w:rsidRPr="00E0344D">
        <w:rPr>
          <w:rFonts w:ascii="Times New Roman" w:hAnsi="Times New Roman"/>
        </w:rPr>
        <w:t>intended for use in semi-managed, managed, or urban settings, there are two genome edited crops, self-limiting insects, and biological nitrogen fertiliser based on engineered bacteria It is expected that some other genome edited organisms</w:t>
      </w:r>
      <w:r w:rsidR="00EC16C9">
        <w:rPr>
          <w:rFonts w:ascii="Times New Roman" w:hAnsi="Times New Roman"/>
        </w:rPr>
        <w:t xml:space="preserve"> </w:t>
      </w:r>
      <w:r w:rsidR="00E07884">
        <w:rPr>
          <w:rFonts w:ascii="Times New Roman" w:hAnsi="Times New Roman"/>
        </w:rPr>
        <w:t>and</w:t>
      </w:r>
      <w:r w:rsidR="00EC16C9">
        <w:rPr>
          <w:rFonts w:ascii="Times New Roman" w:hAnsi="Times New Roman"/>
        </w:rPr>
        <w:t xml:space="preserve"> potentially those containing engineered gene drives</w:t>
      </w:r>
      <w:r w:rsidRPr="00E0344D">
        <w:rPr>
          <w:rFonts w:ascii="Times New Roman" w:hAnsi="Times New Roman"/>
        </w:rPr>
        <w:t xml:space="preserve"> </w:t>
      </w:r>
      <w:r w:rsidR="00EC16C9">
        <w:rPr>
          <w:rFonts w:ascii="Times New Roman" w:hAnsi="Times New Roman"/>
        </w:rPr>
        <w:t>could</w:t>
      </w:r>
      <w:r w:rsidR="00EC16C9" w:rsidRPr="00E0344D">
        <w:rPr>
          <w:rFonts w:ascii="Times New Roman" w:hAnsi="Times New Roman"/>
        </w:rPr>
        <w:t xml:space="preserve"> </w:t>
      </w:r>
      <w:r w:rsidRPr="00E0344D">
        <w:rPr>
          <w:rFonts w:ascii="Times New Roman" w:hAnsi="Times New Roman"/>
        </w:rPr>
        <w:t xml:space="preserve">reach the market </w:t>
      </w:r>
      <w:r w:rsidR="00EC16C9">
        <w:rPr>
          <w:rFonts w:ascii="Times New Roman" w:hAnsi="Times New Roman"/>
        </w:rPr>
        <w:t>in a f</w:t>
      </w:r>
      <w:r w:rsidR="00821F29">
        <w:rPr>
          <w:rFonts w:ascii="Times New Roman" w:hAnsi="Times New Roman"/>
        </w:rPr>
        <w:t>ew years</w:t>
      </w:r>
      <w:r w:rsidRPr="00E0344D">
        <w:rPr>
          <w:rFonts w:ascii="Times New Roman" w:hAnsi="Times New Roman"/>
        </w:rPr>
        <w:t>. On the other hand, synthetic biology products intended for unmanaged or wild settings remain in an early stage of research</w:t>
      </w:r>
      <w:r w:rsidR="00BE0B1A">
        <w:rPr>
          <w:rFonts w:ascii="Times New Roman" w:hAnsi="Times New Roman"/>
        </w:rPr>
        <w:t>.</w:t>
      </w:r>
      <w:r w:rsidR="004D29AF">
        <w:rPr>
          <w:rFonts w:ascii="Times New Roman" w:hAnsi="Times New Roman"/>
        </w:rPr>
        <w:t xml:space="preserve"> </w:t>
      </w:r>
      <w:r w:rsidRPr="00E0344D">
        <w:rPr>
          <w:rFonts w:ascii="Times New Roman" w:hAnsi="Times New Roman"/>
        </w:rPr>
        <w:t>Table 1 provides a summary of the synthetic biology applications</w:t>
      </w:r>
      <w:r w:rsidR="003D38FF">
        <w:rPr>
          <w:rFonts w:ascii="Times New Roman" w:hAnsi="Times New Roman"/>
        </w:rPr>
        <w:t xml:space="preserve"> </w:t>
      </w:r>
      <w:r w:rsidR="00757785">
        <w:rPr>
          <w:rFonts w:ascii="Times New Roman" w:hAnsi="Times New Roman"/>
        </w:rPr>
        <w:t xml:space="preserve">categorised </w:t>
      </w:r>
      <w:r w:rsidRPr="00E0344D">
        <w:rPr>
          <w:rFonts w:ascii="Times New Roman" w:hAnsi="Times New Roman"/>
        </w:rPr>
        <w:t xml:space="preserve">by their intended use and their level of development. </w:t>
      </w:r>
      <w:r w:rsidR="00821F29">
        <w:rPr>
          <w:rFonts w:ascii="Times New Roman" w:hAnsi="Times New Roman"/>
        </w:rPr>
        <w:t xml:space="preserve">Synthetic biology is therefore moving out of the laboratory environment towards </w:t>
      </w:r>
      <w:r w:rsidR="003E2638">
        <w:rPr>
          <w:rFonts w:ascii="Times New Roman" w:hAnsi="Times New Roman"/>
        </w:rPr>
        <w:t>other settings where interaction between people and biodiversity with these applications will be more common.</w:t>
      </w:r>
    </w:p>
    <w:p w14:paraId="4A8EA480" w14:textId="77777777" w:rsidR="003D6686" w:rsidRPr="00E0344D" w:rsidRDefault="003D6686" w:rsidP="003D38FF">
      <w:pPr>
        <w:numPr>
          <w:ilvl w:val="0"/>
          <w:numId w:val="228"/>
        </w:numPr>
        <w:spacing w:after="0" w:line="240" w:lineRule="auto"/>
        <w:ind w:left="270" w:hanging="300"/>
        <w:contextualSpacing/>
        <w:jc w:val="both"/>
        <w:rPr>
          <w:rFonts w:ascii="Times New Roman" w:hAnsi="Times New Roman"/>
          <w:b/>
          <w:bCs/>
        </w:rPr>
      </w:pPr>
      <w:r w:rsidRPr="00E0344D">
        <w:rPr>
          <w:rFonts w:ascii="Times New Roman" w:hAnsi="Times New Roman"/>
          <w:b/>
          <w:bCs/>
        </w:rPr>
        <w:lastRenderedPageBreak/>
        <w:t xml:space="preserve">As </w:t>
      </w:r>
      <w:r>
        <w:rPr>
          <w:rFonts w:ascii="Times New Roman" w:hAnsi="Times New Roman"/>
          <w:b/>
          <w:bCs/>
        </w:rPr>
        <w:t>only a</w:t>
      </w:r>
      <w:r w:rsidRPr="00E0344D">
        <w:rPr>
          <w:rFonts w:ascii="Times New Roman" w:hAnsi="Times New Roman"/>
          <w:b/>
          <w:bCs/>
        </w:rPr>
        <w:t xml:space="preserve"> few synthetic biology applications </w:t>
      </w:r>
      <w:r>
        <w:rPr>
          <w:rFonts w:ascii="Times New Roman" w:hAnsi="Times New Roman"/>
          <w:b/>
          <w:bCs/>
        </w:rPr>
        <w:t>developed for direct use in the environment have been commercialised</w:t>
      </w:r>
      <w:r w:rsidRPr="00E0344D">
        <w:rPr>
          <w:rFonts w:ascii="Times New Roman" w:hAnsi="Times New Roman"/>
          <w:b/>
          <w:bCs/>
        </w:rPr>
        <w:t>, relatively little “real world” data has been collected</w:t>
      </w:r>
      <w:r>
        <w:rPr>
          <w:rFonts w:ascii="Times New Roman" w:hAnsi="Times New Roman"/>
          <w:b/>
          <w:bCs/>
        </w:rPr>
        <w:t xml:space="preserve"> concerning their potential impacts</w:t>
      </w:r>
      <w:r w:rsidRPr="00E0344D">
        <w:rPr>
          <w:rFonts w:ascii="Times New Roman" w:hAnsi="Times New Roman"/>
          <w:b/>
          <w:bCs/>
        </w:rPr>
        <w:t>.</w:t>
      </w:r>
    </w:p>
    <w:p w14:paraId="7AEFB5AB" w14:textId="1E094330" w:rsidR="003D6686" w:rsidRPr="00861888" w:rsidRDefault="003D6686" w:rsidP="00861888">
      <w:pPr>
        <w:pStyle w:val="ListParagraph"/>
        <w:spacing w:after="120" w:line="240" w:lineRule="auto"/>
        <w:ind w:left="284"/>
        <w:contextualSpacing w:val="0"/>
        <w:jc w:val="both"/>
      </w:pPr>
      <w:r w:rsidRPr="00E0344D">
        <w:rPr>
          <w:rFonts w:ascii="Times New Roman" w:hAnsi="Times New Roman"/>
        </w:rPr>
        <w:t xml:space="preserve">The range of potential impacts </w:t>
      </w:r>
      <w:r>
        <w:rPr>
          <w:rFonts w:ascii="Times New Roman" w:hAnsi="Times New Roman"/>
        </w:rPr>
        <w:t xml:space="preserve">of </w:t>
      </w:r>
      <w:r w:rsidRPr="00A15300">
        <w:rPr>
          <w:rFonts w:ascii="Times New Roman" w:hAnsi="Times New Roman"/>
        </w:rPr>
        <w:t xml:space="preserve">synthetic biology applications </w:t>
      </w:r>
      <w:r w:rsidRPr="00E0344D">
        <w:rPr>
          <w:rFonts w:ascii="Times New Roman" w:hAnsi="Times New Roman"/>
        </w:rPr>
        <w:t xml:space="preserve">on the conservation and sustainable use of biodiversity remains largely hypothetical/speculative </w:t>
      </w:r>
      <w:r>
        <w:rPr>
          <w:rFonts w:ascii="Times New Roman" w:hAnsi="Times New Roman"/>
        </w:rPr>
        <w:t xml:space="preserve">due to the limited number of commercial products developed specifically for use in the environment </w:t>
      </w:r>
      <w:r w:rsidR="00F8168D">
        <w:rPr>
          <w:rFonts w:ascii="Times New Roman" w:hAnsi="Times New Roman"/>
        </w:rPr>
        <w:t xml:space="preserve">that </w:t>
      </w:r>
      <w:r>
        <w:rPr>
          <w:rFonts w:ascii="Times New Roman" w:hAnsi="Times New Roman"/>
        </w:rPr>
        <w:t>are currently available</w:t>
      </w:r>
      <w:r w:rsidRPr="0041274C">
        <w:rPr>
          <w:rFonts w:ascii="Times New Roman" w:hAnsi="Times New Roman"/>
        </w:rPr>
        <w:t xml:space="preserve">. </w:t>
      </w:r>
      <w:r>
        <w:rPr>
          <w:rFonts w:ascii="Times New Roman" w:hAnsi="Times New Roman"/>
        </w:rPr>
        <w:t>Thus, the discussions on potential impacts have been</w:t>
      </w:r>
      <w:r w:rsidRPr="00E0344D">
        <w:rPr>
          <w:rFonts w:ascii="Times New Roman" w:hAnsi="Times New Roman"/>
        </w:rPr>
        <w:t xml:space="preserve"> informed mostly by previous experience with </w:t>
      </w:r>
      <w:r>
        <w:rPr>
          <w:rFonts w:ascii="Times New Roman" w:hAnsi="Times New Roman"/>
        </w:rPr>
        <w:t>L</w:t>
      </w:r>
      <w:r w:rsidRPr="00E0344D">
        <w:rPr>
          <w:rFonts w:ascii="Times New Roman" w:hAnsi="Times New Roman"/>
        </w:rPr>
        <w:t xml:space="preserve">MOs and associated concerns. This is bringing challenges to arriving at consensus on </w:t>
      </w:r>
      <w:r w:rsidR="0089342A">
        <w:rPr>
          <w:rFonts w:ascii="Times New Roman" w:hAnsi="Times New Roman"/>
        </w:rPr>
        <w:t>whether</w:t>
      </w:r>
      <w:r w:rsidR="00CE6CC3">
        <w:rPr>
          <w:rFonts w:ascii="Times New Roman" w:hAnsi="Times New Roman"/>
        </w:rPr>
        <w:t xml:space="preserve"> synthetic biology applications </w:t>
      </w:r>
      <w:r w:rsidR="00F82336">
        <w:rPr>
          <w:rFonts w:ascii="Times New Roman" w:hAnsi="Times New Roman"/>
        </w:rPr>
        <w:t xml:space="preserve">are to be </w:t>
      </w:r>
      <w:r w:rsidR="002567C7">
        <w:rPr>
          <w:rFonts w:ascii="Times New Roman" w:hAnsi="Times New Roman"/>
        </w:rPr>
        <w:t xml:space="preserve">assessed, and </w:t>
      </w:r>
      <w:r w:rsidRPr="00E0344D">
        <w:rPr>
          <w:rFonts w:ascii="Times New Roman" w:hAnsi="Times New Roman"/>
        </w:rPr>
        <w:t>regulated under the same regime</w:t>
      </w:r>
      <w:r w:rsidR="00BA7939">
        <w:rPr>
          <w:rFonts w:ascii="Times New Roman" w:hAnsi="Times New Roman"/>
        </w:rPr>
        <w:t>, w</w:t>
      </w:r>
      <w:r w:rsidRPr="00E0344D">
        <w:rPr>
          <w:rFonts w:ascii="Times New Roman" w:hAnsi="Times New Roman"/>
        </w:rPr>
        <w:t xml:space="preserve">hich itself is beginning to adapt to </w:t>
      </w:r>
      <w:r>
        <w:rPr>
          <w:rFonts w:ascii="Times New Roman" w:hAnsi="Times New Roman"/>
        </w:rPr>
        <w:t>these</w:t>
      </w:r>
      <w:r w:rsidRPr="00E0344D">
        <w:rPr>
          <w:rFonts w:ascii="Times New Roman" w:hAnsi="Times New Roman"/>
        </w:rPr>
        <w:t xml:space="preserve"> applications</w:t>
      </w:r>
      <w:r>
        <w:rPr>
          <w:rFonts w:ascii="Times New Roman" w:hAnsi="Times New Roman"/>
        </w:rPr>
        <w:t>.</w:t>
      </w:r>
      <w:r w:rsidR="00DD10F1">
        <w:rPr>
          <w:rFonts w:ascii="Times New Roman" w:hAnsi="Times New Roman"/>
        </w:rPr>
        <w:t xml:space="preserve"> </w:t>
      </w:r>
    </w:p>
    <w:p w14:paraId="29BE98AF" w14:textId="77777777" w:rsidR="00145C4B" w:rsidRPr="00E0344D" w:rsidRDefault="00145C4B" w:rsidP="00214582">
      <w:pPr>
        <w:numPr>
          <w:ilvl w:val="0"/>
          <w:numId w:val="228"/>
        </w:numPr>
        <w:spacing w:after="0" w:line="240" w:lineRule="auto"/>
        <w:ind w:left="270" w:hanging="300"/>
        <w:contextualSpacing/>
        <w:jc w:val="both"/>
        <w:rPr>
          <w:rFonts w:ascii="Times New Roman" w:hAnsi="Times New Roman"/>
          <w:b/>
          <w:bCs/>
        </w:rPr>
      </w:pPr>
      <w:r w:rsidRPr="00E0344D">
        <w:rPr>
          <w:rFonts w:ascii="Times New Roman" w:hAnsi="Times New Roman"/>
          <w:b/>
        </w:rPr>
        <w:t>Many of the impacts that were originally expected were overly simplistic in nature, with latest experience demonstrating that the situation is far more nuanced and with multiple factors adding to the complexity.</w:t>
      </w:r>
    </w:p>
    <w:p w14:paraId="2DEA3D8A" w14:textId="1F364D8E" w:rsidR="003110D8" w:rsidRDefault="00145C4B" w:rsidP="00013FBA">
      <w:pPr>
        <w:pStyle w:val="ListParagraph"/>
        <w:spacing w:after="0" w:line="240" w:lineRule="auto"/>
        <w:ind w:left="288"/>
        <w:contextualSpacing w:val="0"/>
        <w:jc w:val="both"/>
        <w:rPr>
          <w:rFonts w:ascii="Times New Roman" w:hAnsi="Times New Roman"/>
        </w:rPr>
      </w:pPr>
      <w:r w:rsidRPr="0041274C">
        <w:rPr>
          <w:rFonts w:ascii="Times New Roman" w:hAnsi="Times New Roman"/>
        </w:rPr>
        <w:t xml:space="preserve">For example, the replacement of natural products with products resulting from synthetic biology could lessen the pressure on natural habitats but could also disrupt </w:t>
      </w:r>
      <w:r w:rsidRPr="003C70B7">
        <w:rPr>
          <w:rFonts w:ascii="Times New Roman" w:hAnsi="Times New Roman"/>
          <w:i/>
        </w:rPr>
        <w:t>in situ</w:t>
      </w:r>
      <w:r w:rsidRPr="005E1D5E">
        <w:rPr>
          <w:rFonts w:ascii="Times New Roman" w:hAnsi="Times New Roman"/>
        </w:rPr>
        <w:t xml:space="preserve"> c</w:t>
      </w:r>
      <w:r w:rsidRPr="005745D7">
        <w:rPr>
          <w:rFonts w:ascii="Times New Roman" w:hAnsi="Times New Roman"/>
        </w:rPr>
        <w:t>onservation projects</w:t>
      </w:r>
      <w:r w:rsidRPr="005D7AB9">
        <w:rPr>
          <w:rFonts w:ascii="Times New Roman" w:hAnsi="Times New Roman"/>
        </w:rPr>
        <w:t>. There may be the need to consider creating rules for specimens produced from synthetic or cultured DNA as the demand for them could not only lead to an increase in the demand for (illegal) natural specimens</w:t>
      </w:r>
      <w:r w:rsidR="00C26DE7">
        <w:rPr>
          <w:rFonts w:ascii="Times New Roman" w:hAnsi="Times New Roman"/>
        </w:rPr>
        <w:t>,</w:t>
      </w:r>
      <w:r w:rsidRPr="005D7AB9">
        <w:rPr>
          <w:rFonts w:ascii="Times New Roman" w:hAnsi="Times New Roman"/>
        </w:rPr>
        <w:t xml:space="preserve"> but they could</w:t>
      </w:r>
      <w:r w:rsidRPr="00774506">
        <w:rPr>
          <w:rFonts w:ascii="Times New Roman" w:hAnsi="Times New Roman"/>
        </w:rPr>
        <w:t xml:space="preserve"> also be mixed with (illegal) natural specimens. The displacement of some of the natural products (i.e. naturally occurring molecules obtained from plants) can also potentially ease negative pressures on wild or cultivated species, but it can also displace cultivation practices, often in topical and sub-tropical regions. If not handled sensitively, this therefore may bring them into conflict with, or displace, those naturally sourced products which underpin the livelihoods and fragile economies of smallholder producers. Similar situations and examples could be cited for other synthetic biology applications. This complex web of potential interactions derived from the use of synthetic biology applications in various scenarios is therefore adding to the challenges of assessing the potential impacts that could be associated with their use.</w:t>
      </w:r>
    </w:p>
    <w:p w14:paraId="0149F544" w14:textId="77777777" w:rsidR="00013FBA" w:rsidRPr="00013FBA" w:rsidRDefault="00013FBA" w:rsidP="00013FBA">
      <w:pPr>
        <w:pStyle w:val="ListParagraph"/>
        <w:spacing w:after="0" w:line="240" w:lineRule="auto"/>
        <w:ind w:left="288"/>
        <w:contextualSpacing w:val="0"/>
        <w:jc w:val="both"/>
        <w:rPr>
          <w:rFonts w:ascii="Times New Roman" w:hAnsi="Times New Roman"/>
        </w:rPr>
      </w:pPr>
    </w:p>
    <w:p w14:paraId="68B30CB2" w14:textId="5C6807D1" w:rsidR="00993327" w:rsidRPr="00214582" w:rsidRDefault="00EC337F" w:rsidP="00E2735F">
      <w:pPr>
        <w:pStyle w:val="ListParagraph"/>
        <w:spacing w:after="120" w:line="240" w:lineRule="auto"/>
        <w:ind w:left="284"/>
        <w:jc w:val="both"/>
        <w:rPr>
          <w:rFonts w:ascii="Times New Roman" w:hAnsi="Times New Roman"/>
          <w:i/>
        </w:rPr>
      </w:pPr>
      <w:r w:rsidRPr="00214582">
        <w:rPr>
          <w:rFonts w:ascii="Times New Roman" w:hAnsi="Times New Roman"/>
          <w:i/>
        </w:rPr>
        <w:t>Communication</w:t>
      </w:r>
      <w:r w:rsidR="006C75B9">
        <w:rPr>
          <w:rFonts w:ascii="Times New Roman" w:hAnsi="Times New Roman"/>
          <w:i/>
          <w:iCs/>
        </w:rPr>
        <w:t>, engagement</w:t>
      </w:r>
      <w:r w:rsidRPr="00214582">
        <w:rPr>
          <w:rFonts w:ascii="Times New Roman" w:hAnsi="Times New Roman"/>
          <w:i/>
        </w:rPr>
        <w:t xml:space="preserve"> and transparency </w:t>
      </w:r>
    </w:p>
    <w:p w14:paraId="743CE262" w14:textId="77777777" w:rsidR="0032410C" w:rsidRDefault="0032410C" w:rsidP="00E2735F">
      <w:pPr>
        <w:numPr>
          <w:ilvl w:val="0"/>
          <w:numId w:val="228"/>
        </w:numPr>
        <w:spacing w:after="0" w:line="240" w:lineRule="auto"/>
        <w:ind w:left="270" w:hanging="270"/>
        <w:contextualSpacing/>
        <w:jc w:val="both"/>
        <w:rPr>
          <w:rFonts w:ascii="Times New Roman" w:hAnsi="Times New Roman"/>
          <w:b/>
        </w:rPr>
      </w:pPr>
      <w:r>
        <w:rPr>
          <w:rFonts w:ascii="Times New Roman" w:hAnsi="Times New Roman"/>
          <w:b/>
        </w:rPr>
        <w:t>E</w:t>
      </w:r>
      <w:r w:rsidRPr="00BD6D9B">
        <w:rPr>
          <w:rFonts w:ascii="Times New Roman" w:hAnsi="Times New Roman"/>
          <w:b/>
        </w:rPr>
        <w:t>arly community engagement in synthetic biology research is key for transparency</w:t>
      </w:r>
      <w:r>
        <w:rPr>
          <w:rFonts w:ascii="Times New Roman" w:hAnsi="Times New Roman"/>
          <w:b/>
        </w:rPr>
        <w:t>.</w:t>
      </w:r>
    </w:p>
    <w:p w14:paraId="59C1A0A6" w14:textId="254515E7" w:rsidR="0032410C" w:rsidRDefault="0032410C" w:rsidP="0032410C">
      <w:pPr>
        <w:pStyle w:val="ListParagraph"/>
        <w:spacing w:after="120" w:line="240" w:lineRule="auto"/>
        <w:ind w:left="284"/>
        <w:jc w:val="both"/>
        <w:rPr>
          <w:rFonts w:ascii="Times New Roman" w:hAnsi="Times New Roman"/>
          <w:color w:val="000000" w:themeColor="text1"/>
          <w:lang w:eastAsia="ar-SA"/>
        </w:rPr>
      </w:pPr>
      <w:r w:rsidRPr="0041274C">
        <w:rPr>
          <w:rFonts w:ascii="Times New Roman" w:hAnsi="Times New Roman"/>
        </w:rPr>
        <w:t>Recognising the global nature of synthetic biology applications</w:t>
      </w:r>
      <w:r w:rsidRPr="003C70B7">
        <w:rPr>
          <w:rFonts w:ascii="Times New Roman" w:hAnsi="Times New Roman"/>
        </w:rPr>
        <w:t xml:space="preserve"> and the </w:t>
      </w:r>
      <w:r w:rsidRPr="00774506">
        <w:rPr>
          <w:rFonts w:ascii="Times New Roman" w:hAnsi="Times New Roman"/>
        </w:rPr>
        <w:t xml:space="preserve">fact that local communities are most likely to be impacted first, </w:t>
      </w:r>
      <w:r w:rsidRPr="00774506">
        <w:rPr>
          <w:rFonts w:ascii="Times New Roman" w:hAnsi="Times New Roman"/>
          <w:color w:val="000000" w:themeColor="text1"/>
          <w:lang w:eastAsia="ar-SA"/>
        </w:rPr>
        <w:t>it would be advantageous to communicate concepts of new applications prior to large investments of time and resources (e.g. construction, testing and release). Early engagement with IPLCs could provide opportunities to better inform the public and potentially impacted communities and allow for discussions related to potential benefits, potential risks, and concerns. Sufficiently broad and inclusive discussions could in turn improve public trust through the development of safety measures and policies, as well as assisting with the full and effective participation of IPLCs. Further, since most research and development of synthetic biology applications occur</w:t>
      </w:r>
      <w:r>
        <w:rPr>
          <w:rFonts w:ascii="Times New Roman" w:hAnsi="Times New Roman"/>
          <w:color w:val="000000" w:themeColor="text1"/>
          <w:lang w:eastAsia="ar-SA"/>
        </w:rPr>
        <w:t>s</w:t>
      </w:r>
      <w:r w:rsidRPr="00774506">
        <w:rPr>
          <w:rFonts w:ascii="Times New Roman" w:hAnsi="Times New Roman"/>
          <w:color w:val="000000" w:themeColor="text1"/>
          <w:lang w:eastAsia="ar-SA"/>
        </w:rPr>
        <w:t xml:space="preserve"> in</w:t>
      </w:r>
      <w:r>
        <w:rPr>
          <w:rFonts w:ascii="Times New Roman" w:hAnsi="Times New Roman"/>
          <w:color w:val="000000" w:themeColor="text1"/>
          <w:lang w:eastAsia="ar-SA"/>
        </w:rPr>
        <w:t xml:space="preserve"> relatively few countries</w:t>
      </w:r>
      <w:r w:rsidRPr="0041274C">
        <w:rPr>
          <w:rFonts w:ascii="Times New Roman" w:hAnsi="Times New Roman"/>
          <w:color w:val="000000" w:themeColor="text1"/>
          <w:lang w:eastAsia="ar-SA"/>
        </w:rPr>
        <w:t xml:space="preserve">, outreach and engagement </w:t>
      </w:r>
      <w:r>
        <w:rPr>
          <w:rFonts w:ascii="Times New Roman" w:hAnsi="Times New Roman"/>
          <w:color w:val="000000" w:themeColor="text1"/>
          <w:lang w:eastAsia="ar-SA"/>
        </w:rPr>
        <w:t xml:space="preserve">with intended recipient communities </w:t>
      </w:r>
      <w:r w:rsidRPr="0041274C">
        <w:rPr>
          <w:rFonts w:ascii="Times New Roman" w:hAnsi="Times New Roman"/>
          <w:color w:val="000000" w:themeColor="text1"/>
          <w:lang w:eastAsia="ar-SA"/>
        </w:rPr>
        <w:t xml:space="preserve">will be important </w:t>
      </w:r>
      <w:r w:rsidRPr="003C70B7">
        <w:rPr>
          <w:rFonts w:ascii="Times New Roman" w:hAnsi="Times New Roman"/>
          <w:color w:val="000000" w:themeColor="text1"/>
          <w:lang w:eastAsia="ar-SA"/>
        </w:rPr>
        <w:t>when considering deployment in other</w:t>
      </w:r>
      <w:r w:rsidRPr="005E1D5E">
        <w:rPr>
          <w:rFonts w:ascii="Times New Roman" w:hAnsi="Times New Roman"/>
          <w:color w:val="000000" w:themeColor="text1"/>
          <w:lang w:eastAsia="ar-SA"/>
        </w:rPr>
        <w:t xml:space="preserve"> </w:t>
      </w:r>
      <w:r w:rsidRPr="00210CEF">
        <w:rPr>
          <w:rFonts w:ascii="Times New Roman" w:hAnsi="Times New Roman"/>
          <w:color w:val="000000" w:themeColor="text1"/>
          <w:lang w:eastAsia="ar-SA"/>
        </w:rPr>
        <w:t>geographical locations</w:t>
      </w:r>
      <w:r>
        <w:rPr>
          <w:rFonts w:ascii="Times New Roman" w:hAnsi="Times New Roman"/>
          <w:color w:val="000000" w:themeColor="text1"/>
          <w:lang w:eastAsia="ar-SA"/>
        </w:rPr>
        <w:t>,</w:t>
      </w:r>
      <w:r w:rsidRPr="0041274C">
        <w:rPr>
          <w:rFonts w:ascii="Times New Roman" w:hAnsi="Times New Roman"/>
          <w:color w:val="000000" w:themeColor="text1"/>
          <w:lang w:eastAsia="ar-SA"/>
        </w:rPr>
        <w:t xml:space="preserve"> </w:t>
      </w:r>
      <w:r>
        <w:rPr>
          <w:rFonts w:ascii="Times New Roman" w:hAnsi="Times New Roman"/>
          <w:color w:val="000000" w:themeColor="text1"/>
          <w:lang w:eastAsia="ar-SA"/>
        </w:rPr>
        <w:t xml:space="preserve">especially </w:t>
      </w:r>
      <w:r w:rsidRPr="0041274C">
        <w:rPr>
          <w:rFonts w:ascii="Times New Roman" w:hAnsi="Times New Roman"/>
          <w:color w:val="000000" w:themeColor="text1"/>
          <w:lang w:eastAsia="ar-SA"/>
        </w:rPr>
        <w:t>as there</w:t>
      </w:r>
      <w:r w:rsidRPr="003C70B7">
        <w:rPr>
          <w:rFonts w:ascii="Times New Roman" w:hAnsi="Times New Roman"/>
          <w:color w:val="000000" w:themeColor="text1"/>
          <w:lang w:eastAsia="ar-SA"/>
        </w:rPr>
        <w:t xml:space="preserve"> </w:t>
      </w:r>
      <w:r>
        <w:rPr>
          <w:rFonts w:ascii="Times New Roman" w:hAnsi="Times New Roman"/>
          <w:color w:val="000000" w:themeColor="text1"/>
          <w:lang w:eastAsia="ar-SA"/>
        </w:rPr>
        <w:t>may</w:t>
      </w:r>
      <w:r w:rsidRPr="003C70B7">
        <w:rPr>
          <w:rFonts w:ascii="Times New Roman" w:hAnsi="Times New Roman"/>
          <w:color w:val="000000" w:themeColor="text1"/>
          <w:lang w:eastAsia="ar-SA"/>
        </w:rPr>
        <w:t xml:space="preserve"> be a</w:t>
      </w:r>
      <w:r w:rsidRPr="005E1D5E">
        <w:rPr>
          <w:rFonts w:ascii="Times New Roman" w:hAnsi="Times New Roman"/>
          <w:color w:val="000000" w:themeColor="text1"/>
          <w:lang w:eastAsia="ar-SA"/>
        </w:rPr>
        <w:t xml:space="preserve"> </w:t>
      </w:r>
      <w:r w:rsidRPr="005745D7">
        <w:rPr>
          <w:rFonts w:ascii="Times New Roman" w:hAnsi="Times New Roman"/>
          <w:color w:val="000000" w:themeColor="text1"/>
          <w:lang w:eastAsia="ar-SA"/>
        </w:rPr>
        <w:t xml:space="preserve">need for further building of </w:t>
      </w:r>
      <w:r w:rsidRPr="00210CEF">
        <w:rPr>
          <w:rFonts w:ascii="Times New Roman" w:hAnsi="Times New Roman"/>
          <w:color w:val="000000" w:themeColor="text1"/>
          <w:lang w:eastAsia="ar-SA"/>
        </w:rPr>
        <w:t>local regulatory capabilities</w:t>
      </w:r>
      <w:r w:rsidRPr="0041274C">
        <w:rPr>
          <w:rFonts w:ascii="Times New Roman" w:hAnsi="Times New Roman"/>
          <w:color w:val="000000" w:themeColor="text1"/>
          <w:lang w:eastAsia="ar-SA"/>
        </w:rPr>
        <w:t>.</w:t>
      </w:r>
    </w:p>
    <w:p w14:paraId="6665F41D" w14:textId="77777777" w:rsidR="00C10D24" w:rsidRDefault="00C10D24" w:rsidP="0032410C">
      <w:pPr>
        <w:pStyle w:val="ListParagraph"/>
        <w:spacing w:after="120" w:line="240" w:lineRule="auto"/>
        <w:ind w:left="284"/>
        <w:jc w:val="both"/>
        <w:rPr>
          <w:rFonts w:ascii="Times New Roman" w:hAnsi="Times New Roman"/>
          <w:color w:val="000000" w:themeColor="text1"/>
          <w:lang w:eastAsia="ar-SA"/>
        </w:rPr>
      </w:pPr>
    </w:p>
    <w:p w14:paraId="3DBF500B" w14:textId="5013131E" w:rsidR="00A55231" w:rsidRPr="00C10D24" w:rsidRDefault="00A55231" w:rsidP="00C10D24">
      <w:pPr>
        <w:pStyle w:val="ListParagraph"/>
        <w:numPr>
          <w:ilvl w:val="0"/>
          <w:numId w:val="228"/>
        </w:numPr>
        <w:spacing w:after="0" w:line="240" w:lineRule="auto"/>
        <w:ind w:left="360"/>
        <w:jc w:val="both"/>
        <w:rPr>
          <w:rFonts w:ascii="Times New Roman" w:hAnsi="Times New Roman"/>
          <w:b/>
        </w:rPr>
      </w:pPr>
      <w:r w:rsidRPr="00C10D24">
        <w:rPr>
          <w:rFonts w:ascii="Times New Roman" w:hAnsi="Times New Roman"/>
          <w:b/>
        </w:rPr>
        <w:t xml:space="preserve">Greater public </w:t>
      </w:r>
      <w:r w:rsidR="00501023" w:rsidRPr="00C10D24">
        <w:rPr>
          <w:rFonts w:ascii="Times New Roman" w:hAnsi="Times New Roman"/>
          <w:b/>
        </w:rPr>
        <w:t xml:space="preserve">engagement </w:t>
      </w:r>
      <w:r w:rsidRPr="00C10D24">
        <w:rPr>
          <w:rFonts w:ascii="Times New Roman" w:hAnsi="Times New Roman"/>
          <w:b/>
        </w:rPr>
        <w:t>in regulatory decision-making is needed to ensure that regulatory practice best meets societal expectations/desires/goals.</w:t>
      </w:r>
    </w:p>
    <w:p w14:paraId="4FB04A8A" w14:textId="1FD5B256" w:rsidR="00A55231" w:rsidRPr="001758D9" w:rsidRDefault="00A55231" w:rsidP="001758D9">
      <w:pPr>
        <w:pStyle w:val="ListParagraph"/>
        <w:spacing w:after="120" w:line="240" w:lineRule="auto"/>
        <w:ind w:left="284"/>
        <w:jc w:val="both"/>
        <w:rPr>
          <w:rFonts w:ascii="Times New Roman" w:hAnsi="Times New Roman"/>
        </w:rPr>
      </w:pPr>
      <w:r w:rsidRPr="0041274C">
        <w:rPr>
          <w:rFonts w:ascii="Times New Roman" w:hAnsi="Times New Roman"/>
        </w:rPr>
        <w:t xml:space="preserve">Regulatory decision-making on activities involving synthetic biology products requires more than just a crucially important assessment of characterised risks and potential prescribed risk management </w:t>
      </w:r>
      <w:r w:rsidRPr="003C70B7">
        <w:rPr>
          <w:rFonts w:ascii="Times New Roman" w:hAnsi="Times New Roman"/>
        </w:rPr>
        <w:t xml:space="preserve">strategies, as the degree to which a risk is acceptable is a social construct, as are the guiding policy goals. Neither can be determined purely scientifically and should instead be informed through consultation with a broad set of stakeholders, including </w:t>
      </w:r>
      <w:r w:rsidRPr="005E1D5E">
        <w:rPr>
          <w:rFonts w:ascii="Times New Roman" w:hAnsi="Times New Roman"/>
        </w:rPr>
        <w:t xml:space="preserve">the populations likely to be impacted most. For emerging technologies, especially synthetic biology, that affect the global commons, there has been a call for concepts and applications to be published in advance of construction, testing, and release. This </w:t>
      </w:r>
      <w:r w:rsidRPr="005745D7">
        <w:rPr>
          <w:rFonts w:ascii="Times New Roman" w:hAnsi="Times New Roman"/>
        </w:rPr>
        <w:t xml:space="preserve">lead time would enable a public discussion of environmental and security concerns, research into areas of </w:t>
      </w:r>
      <w:r w:rsidRPr="005745D7">
        <w:rPr>
          <w:rFonts w:ascii="Times New Roman" w:hAnsi="Times New Roman"/>
        </w:rPr>
        <w:lastRenderedPageBreak/>
        <w:t>uncertainty, and the development and testing of biosafety features. It would also allow any necessary adaptation of regulations and conventions in lig</w:t>
      </w:r>
      <w:r w:rsidRPr="005D7AB9">
        <w:rPr>
          <w:rFonts w:ascii="Times New Roman" w:hAnsi="Times New Roman"/>
        </w:rPr>
        <w:t>ht of emerging information on benefits, risks, policy gaps, and, more importantly, it would allow broadly inclusive and well-informed public discussion to determine if, when, and how some applications should be used. The importance of participatory decision-making and public acceptance is increasingly being recognised, particularly related to the free prior informed consent (F</w:t>
      </w:r>
      <w:r w:rsidRPr="00774506">
        <w:rPr>
          <w:rFonts w:ascii="Times New Roman" w:hAnsi="Times New Roman"/>
        </w:rPr>
        <w:t>PIC) of Indigenous Peoples and Local Communities (IPLCs) concerning the environmental release of engineered gene drives.</w:t>
      </w:r>
    </w:p>
    <w:p w14:paraId="6EF6A437" w14:textId="11A375C6" w:rsidR="00D056EF" w:rsidRPr="00D056EF" w:rsidRDefault="00A1730C" w:rsidP="00D341D0">
      <w:pPr>
        <w:numPr>
          <w:ilvl w:val="0"/>
          <w:numId w:val="228"/>
        </w:numPr>
        <w:spacing w:after="0" w:line="240" w:lineRule="auto"/>
        <w:ind w:left="360"/>
        <w:contextualSpacing/>
        <w:jc w:val="both"/>
        <w:rPr>
          <w:rFonts w:ascii="Times New Roman" w:hAnsi="Times New Roman"/>
          <w:b/>
          <w:bCs/>
        </w:rPr>
      </w:pPr>
      <w:r w:rsidRPr="00E0344D">
        <w:rPr>
          <w:rFonts w:ascii="Times New Roman" w:hAnsi="Times New Roman"/>
          <w:b/>
          <w:bCs/>
        </w:rPr>
        <w:t>Biosecurity risks arising from synthetic biology</w:t>
      </w:r>
      <w:r w:rsidR="00D056EF" w:rsidRPr="00D056EF">
        <w:rPr>
          <w:rFonts w:ascii="Times New Roman" w:hAnsi="Times New Roman"/>
          <w:b/>
          <w:bCs/>
        </w:rPr>
        <w:t xml:space="preserve"> could be mitigated through improved transparency, communication and self-regulation.</w:t>
      </w:r>
    </w:p>
    <w:p w14:paraId="345E3A7F" w14:textId="46597667" w:rsidR="00A1730C" w:rsidRPr="007204D5" w:rsidRDefault="00A1730C" w:rsidP="008F6B23">
      <w:pPr>
        <w:spacing w:after="0" w:line="240" w:lineRule="auto"/>
        <w:ind w:left="284"/>
        <w:contextualSpacing/>
        <w:jc w:val="both"/>
        <w:rPr>
          <w:rFonts w:ascii="Times New Roman" w:hAnsi="Times New Roman"/>
        </w:rPr>
      </w:pPr>
      <w:r w:rsidRPr="00EE4781">
        <w:rPr>
          <w:rFonts w:ascii="Times New Roman" w:hAnsi="Times New Roman"/>
        </w:rPr>
        <w:t>“Dual use” concerns raised by synthetic biology, whereby research with legitimate scientific purpose may be misused to pose a biologic threat to public health and/or national security, threatens to undermine public c</w:t>
      </w:r>
      <w:r w:rsidRPr="0029221A">
        <w:rPr>
          <w:rFonts w:ascii="Times New Roman" w:hAnsi="Times New Roman"/>
        </w:rPr>
        <w:t>onfidenc</w:t>
      </w:r>
      <w:r w:rsidRPr="003C3D4B">
        <w:rPr>
          <w:rFonts w:ascii="Times New Roman" w:hAnsi="Times New Roman"/>
        </w:rPr>
        <w:t xml:space="preserve">e and must be appropriately addressed. The “DIY Bio” community in particular has raised concerns regarding oversight and containment. They have been </w:t>
      </w:r>
      <w:r w:rsidRPr="00FE5AC2">
        <w:rPr>
          <w:rFonts w:ascii="Times New Roman" w:hAnsi="Times New Roman"/>
        </w:rPr>
        <w:t>proactive about biosecurity and biosecurity education</w:t>
      </w:r>
      <w:r w:rsidRPr="00F32244">
        <w:rPr>
          <w:rFonts w:ascii="Times New Roman" w:hAnsi="Times New Roman"/>
        </w:rPr>
        <w:t xml:space="preserve">, but concerns persist as to what other amateurs working in synthetic biology may be able to do in low tech laboratory settings. One way to reduce biosecurity concerns in synthetic biology is to make sure that biosecurity is given more prominent support and that research into improvements in biosecurity is specifically funded. </w:t>
      </w:r>
      <w:r w:rsidRPr="00CE1462">
        <w:rPr>
          <w:rFonts w:ascii="Times New Roman" w:hAnsi="Times New Roman"/>
        </w:rPr>
        <w:t>Another is for scientists to appropriately communicate work that may lower barriers to biological weapons development. Researchers working on projects with potential dual-use applications need to communicate</w:t>
      </w:r>
      <w:r w:rsidRPr="007204D5">
        <w:rPr>
          <w:rFonts w:ascii="Times New Roman" w:hAnsi="Times New Roman"/>
        </w:rPr>
        <w:t xml:space="preserve"> that the potential risks have been carefully considered and that the research was sufficiently important to pursue in the public interest. Additionally, self-regulation may also play an important role in assuring biosecurity, such as the screening protocols implemented by DNA synthesis companies to prevent orders of potentially dangerous genetic materials.</w:t>
      </w:r>
    </w:p>
    <w:p w14:paraId="3A268651" w14:textId="1FBF5FDE" w:rsidR="001758D9" w:rsidRPr="001758D9" w:rsidRDefault="003826D0" w:rsidP="001758D9">
      <w:pPr>
        <w:pStyle w:val="ListParagraph"/>
        <w:spacing w:after="0" w:line="240" w:lineRule="auto"/>
        <w:ind w:left="284"/>
        <w:contextualSpacing w:val="0"/>
        <w:jc w:val="both"/>
        <w:rPr>
          <w:rFonts w:ascii="Times New Roman" w:hAnsi="Times New Roman"/>
        </w:rPr>
      </w:pPr>
      <w:r>
        <w:rPr>
          <w:rFonts w:ascii="Times New Roman" w:hAnsi="Times New Roman"/>
        </w:rPr>
        <w:t xml:space="preserve">of those </w:t>
      </w:r>
      <w:r w:rsidR="00A14D73">
        <w:rPr>
          <w:rFonts w:ascii="Times New Roman" w:hAnsi="Times New Roman"/>
        </w:rPr>
        <w:t xml:space="preserve">countries </w:t>
      </w:r>
      <w:r w:rsidR="00DE0EA9">
        <w:rPr>
          <w:rFonts w:ascii="Times New Roman" w:hAnsi="Times New Roman"/>
        </w:rPr>
        <w:t>form the basis of</w:t>
      </w:r>
      <w:r w:rsidR="00456D57">
        <w:rPr>
          <w:rFonts w:ascii="Times New Roman" w:hAnsi="Times New Roman"/>
        </w:rPr>
        <w:t xml:space="preserve"> </w:t>
      </w:r>
      <w:r w:rsidR="00C821A3">
        <w:rPr>
          <w:rFonts w:ascii="Times New Roman" w:hAnsi="Times New Roman"/>
        </w:rPr>
        <w:t>discussions</w:t>
      </w:r>
      <w:r w:rsidR="003E39D4">
        <w:rPr>
          <w:rFonts w:ascii="Times New Roman" w:hAnsi="Times New Roman"/>
        </w:rPr>
        <w:t xml:space="preserve"> </w:t>
      </w:r>
      <w:r w:rsidR="00DE0EA9">
        <w:rPr>
          <w:rFonts w:ascii="Times New Roman" w:hAnsi="Times New Roman"/>
        </w:rPr>
        <w:t xml:space="preserve">aimed at </w:t>
      </w:r>
      <w:r w:rsidR="00122C61">
        <w:rPr>
          <w:rFonts w:ascii="Times New Roman" w:hAnsi="Times New Roman"/>
        </w:rPr>
        <w:t xml:space="preserve">reaching a consensus at the </w:t>
      </w:r>
      <w:r w:rsidR="000331E9">
        <w:rPr>
          <w:rFonts w:ascii="Times New Roman" w:hAnsi="Times New Roman"/>
        </w:rPr>
        <w:t>internation</w:t>
      </w:r>
      <w:r w:rsidR="009E1677">
        <w:rPr>
          <w:rFonts w:ascii="Times New Roman" w:hAnsi="Times New Roman"/>
        </w:rPr>
        <w:t>a</w:t>
      </w:r>
      <w:r w:rsidR="00122C61">
        <w:rPr>
          <w:rFonts w:ascii="Times New Roman" w:hAnsi="Times New Roman"/>
        </w:rPr>
        <w:t>l level</w:t>
      </w:r>
      <w:r w:rsidR="00E13854">
        <w:rPr>
          <w:rFonts w:ascii="Times New Roman" w:hAnsi="Times New Roman"/>
        </w:rPr>
        <w:t>.</w:t>
      </w:r>
    </w:p>
    <w:p w14:paraId="66078023" w14:textId="77777777" w:rsidR="001758D9" w:rsidRDefault="001758D9" w:rsidP="00E2735F">
      <w:pPr>
        <w:pStyle w:val="ListParagraph"/>
        <w:spacing w:after="0" w:line="240" w:lineRule="auto"/>
        <w:ind w:left="288"/>
        <w:jc w:val="both"/>
        <w:rPr>
          <w:rFonts w:ascii="Times New Roman" w:hAnsi="Times New Roman"/>
          <w:i/>
          <w:iCs/>
        </w:rPr>
      </w:pPr>
    </w:p>
    <w:p w14:paraId="07196519" w14:textId="1694E819" w:rsidR="001758D9" w:rsidRDefault="00C85A60" w:rsidP="00E2735F">
      <w:pPr>
        <w:pStyle w:val="ListParagraph"/>
        <w:spacing w:after="0" w:line="240" w:lineRule="auto"/>
        <w:ind w:left="288"/>
        <w:jc w:val="both"/>
        <w:rPr>
          <w:rFonts w:ascii="Times New Roman" w:hAnsi="Times New Roman"/>
          <w:i/>
          <w:iCs/>
        </w:rPr>
      </w:pPr>
      <w:r w:rsidRPr="00D341D0">
        <w:rPr>
          <w:rFonts w:ascii="Times New Roman" w:hAnsi="Times New Roman"/>
          <w:i/>
          <w:iCs/>
        </w:rPr>
        <w:t>Synthetic biology regulation and governance</w:t>
      </w:r>
    </w:p>
    <w:p w14:paraId="6998D348" w14:textId="77777777" w:rsidR="00E2735F" w:rsidRPr="00E2735F" w:rsidRDefault="00E2735F" w:rsidP="00E2735F">
      <w:pPr>
        <w:pStyle w:val="ListParagraph"/>
        <w:spacing w:after="0" w:line="240" w:lineRule="auto"/>
        <w:ind w:left="288"/>
        <w:jc w:val="both"/>
        <w:rPr>
          <w:rFonts w:ascii="Times New Roman" w:hAnsi="Times New Roman"/>
          <w:i/>
          <w:iCs/>
        </w:rPr>
      </w:pPr>
    </w:p>
    <w:p w14:paraId="0E696A5D" w14:textId="382C2B87" w:rsidR="002119E0" w:rsidRPr="00210CEF" w:rsidRDefault="00DD3728" w:rsidP="00E2735F">
      <w:pPr>
        <w:pStyle w:val="ListParagraph"/>
        <w:numPr>
          <w:ilvl w:val="0"/>
          <w:numId w:val="228"/>
        </w:numPr>
        <w:tabs>
          <w:tab w:val="left" w:pos="360"/>
        </w:tabs>
        <w:spacing w:after="0" w:line="240" w:lineRule="auto"/>
        <w:ind w:left="270" w:hanging="270"/>
        <w:jc w:val="both"/>
        <w:rPr>
          <w:rFonts w:ascii="Times New Roman" w:hAnsi="Times New Roman"/>
          <w:b/>
          <w:bCs/>
        </w:rPr>
      </w:pPr>
      <w:r>
        <w:rPr>
          <w:rFonts w:ascii="Times New Roman" w:hAnsi="Times New Roman"/>
          <w:b/>
          <w:bCs/>
        </w:rPr>
        <w:t>For</w:t>
      </w:r>
      <w:r w:rsidR="002119E0" w:rsidRPr="00210CEF">
        <w:rPr>
          <w:rFonts w:ascii="Times New Roman" w:hAnsi="Times New Roman"/>
          <w:b/>
          <w:bCs/>
        </w:rPr>
        <w:t xml:space="preserve"> synthetic biology </w:t>
      </w:r>
      <w:r>
        <w:rPr>
          <w:rFonts w:ascii="Times New Roman" w:hAnsi="Times New Roman"/>
          <w:b/>
          <w:bCs/>
        </w:rPr>
        <w:t xml:space="preserve">to </w:t>
      </w:r>
      <w:r w:rsidR="002119E0" w:rsidRPr="00210CEF">
        <w:rPr>
          <w:rFonts w:ascii="Times New Roman" w:hAnsi="Times New Roman"/>
          <w:b/>
          <w:bCs/>
        </w:rPr>
        <w:t xml:space="preserve">live up to its perceived potential, </w:t>
      </w:r>
      <w:r w:rsidR="002E027C">
        <w:rPr>
          <w:rFonts w:ascii="Times New Roman" w:hAnsi="Times New Roman"/>
          <w:b/>
          <w:bCs/>
        </w:rPr>
        <w:t>an enabling policy and regulatory environment is needed</w:t>
      </w:r>
      <w:r w:rsidR="00F26D9E">
        <w:rPr>
          <w:rFonts w:ascii="Times New Roman" w:hAnsi="Times New Roman"/>
          <w:b/>
          <w:bCs/>
        </w:rPr>
        <w:t xml:space="preserve">. </w:t>
      </w:r>
    </w:p>
    <w:p w14:paraId="67B948F2" w14:textId="6F64F22C" w:rsidR="00A33A60" w:rsidRDefault="007543C0" w:rsidP="00E2735F">
      <w:pPr>
        <w:pStyle w:val="ListParagraph"/>
        <w:spacing w:after="0" w:line="240" w:lineRule="auto"/>
        <w:ind w:left="284"/>
        <w:contextualSpacing w:val="0"/>
        <w:jc w:val="both"/>
        <w:rPr>
          <w:rFonts w:ascii="Times New Roman" w:hAnsi="Times New Roman"/>
        </w:rPr>
      </w:pPr>
      <w:r w:rsidRPr="00C10D24">
        <w:rPr>
          <w:rFonts w:ascii="Times New Roman" w:hAnsi="Times New Roman"/>
        </w:rPr>
        <w:t xml:space="preserve">Due to its </w:t>
      </w:r>
      <w:r w:rsidR="004C7F17" w:rsidRPr="00C10D24">
        <w:rPr>
          <w:rFonts w:ascii="Times New Roman" w:hAnsi="Times New Roman"/>
        </w:rPr>
        <w:t>interdisciplinary</w:t>
      </w:r>
      <w:r w:rsidRPr="00C10D24">
        <w:rPr>
          <w:rFonts w:ascii="Times New Roman" w:hAnsi="Times New Roman"/>
        </w:rPr>
        <w:t xml:space="preserve"> nature, s</w:t>
      </w:r>
      <w:r w:rsidR="004C7F17" w:rsidRPr="00C10D24">
        <w:rPr>
          <w:rFonts w:ascii="Times New Roman" w:hAnsi="Times New Roman"/>
        </w:rPr>
        <w:t>ynthetic biology presents particular challenges for the regulatory syste</w:t>
      </w:r>
      <w:r w:rsidRPr="00C10D24">
        <w:rPr>
          <w:rFonts w:ascii="Times New Roman" w:hAnsi="Times New Roman"/>
        </w:rPr>
        <w:t>m</w:t>
      </w:r>
      <w:r w:rsidR="002A2FC1">
        <w:rPr>
          <w:rFonts w:ascii="Times New Roman" w:hAnsi="Times New Roman"/>
        </w:rPr>
        <w:t xml:space="preserve"> as </w:t>
      </w:r>
      <w:r w:rsidR="002119E0" w:rsidRPr="00210CEF">
        <w:rPr>
          <w:rFonts w:ascii="Times New Roman" w:hAnsi="Times New Roman"/>
        </w:rPr>
        <w:t>application</w:t>
      </w:r>
      <w:r w:rsidR="002119E0">
        <w:rPr>
          <w:rFonts w:ascii="Times New Roman" w:hAnsi="Times New Roman"/>
        </w:rPr>
        <w:t>s of synthetic biology have the potential to</w:t>
      </w:r>
      <w:r w:rsidR="002119E0" w:rsidRPr="003C70B7">
        <w:rPr>
          <w:rFonts w:ascii="Times New Roman" w:hAnsi="Times New Roman"/>
        </w:rPr>
        <w:t xml:space="preserve"> accelerate the pace of technolog</w:t>
      </w:r>
      <w:r w:rsidR="002119E0" w:rsidRPr="005E1D5E">
        <w:rPr>
          <w:rFonts w:ascii="Times New Roman" w:hAnsi="Times New Roman"/>
        </w:rPr>
        <w:t xml:space="preserve">ical development across multiple sectors, with the promise </w:t>
      </w:r>
      <w:r w:rsidR="002119E0">
        <w:rPr>
          <w:rFonts w:ascii="Times New Roman" w:hAnsi="Times New Roman"/>
        </w:rPr>
        <w:t>of</w:t>
      </w:r>
      <w:r w:rsidR="002119E0" w:rsidRPr="00210CEF">
        <w:rPr>
          <w:rFonts w:ascii="Times New Roman" w:hAnsi="Times New Roman"/>
        </w:rPr>
        <w:t xml:space="preserve"> help</w:t>
      </w:r>
      <w:r w:rsidR="002119E0">
        <w:rPr>
          <w:rFonts w:ascii="Times New Roman" w:hAnsi="Times New Roman"/>
        </w:rPr>
        <w:t>ing to</w:t>
      </w:r>
      <w:r w:rsidR="002119E0" w:rsidRPr="005E1D5E">
        <w:rPr>
          <w:rFonts w:ascii="Times New Roman" w:hAnsi="Times New Roman"/>
        </w:rPr>
        <w:t xml:space="preserve"> solve some of humanities greatest challenges this century. To </w:t>
      </w:r>
      <w:r w:rsidR="002119E0" w:rsidRPr="00D341D0">
        <w:rPr>
          <w:rFonts w:ascii="Times New Roman" w:hAnsi="Times New Roman"/>
        </w:rPr>
        <w:t>harness such benefits</w:t>
      </w:r>
      <w:r w:rsidR="002119E0" w:rsidRPr="00E33D9A">
        <w:rPr>
          <w:rFonts w:ascii="Times New Roman" w:hAnsi="Times New Roman"/>
        </w:rPr>
        <w:t>,</w:t>
      </w:r>
      <w:r w:rsidR="002119E0" w:rsidRPr="005745D7">
        <w:rPr>
          <w:rFonts w:ascii="Times New Roman" w:hAnsi="Times New Roman"/>
        </w:rPr>
        <w:t xml:space="preserve"> much will depend upon wh</w:t>
      </w:r>
      <w:r w:rsidR="002119E0" w:rsidRPr="005D7AB9">
        <w:rPr>
          <w:rFonts w:ascii="Times New Roman" w:hAnsi="Times New Roman"/>
        </w:rPr>
        <w:t>ether an enabling policy and regulatory environment is in place</w:t>
      </w:r>
      <w:r w:rsidR="00BB42F7">
        <w:rPr>
          <w:rFonts w:ascii="Times New Roman" w:hAnsi="Times New Roman"/>
        </w:rPr>
        <w:t xml:space="preserve"> to </w:t>
      </w:r>
      <w:r w:rsidR="00BA3D13">
        <w:rPr>
          <w:rFonts w:ascii="Times New Roman" w:hAnsi="Times New Roman"/>
        </w:rPr>
        <w:t>maximise</w:t>
      </w:r>
      <w:r w:rsidR="004F11C5">
        <w:rPr>
          <w:rFonts w:ascii="Times New Roman" w:hAnsi="Times New Roman"/>
        </w:rPr>
        <w:t xml:space="preserve"> potential</w:t>
      </w:r>
      <w:r w:rsidR="00BA3D13">
        <w:rPr>
          <w:rFonts w:ascii="Times New Roman" w:hAnsi="Times New Roman"/>
        </w:rPr>
        <w:t xml:space="preserve"> </w:t>
      </w:r>
      <w:r w:rsidR="004F11C5">
        <w:rPr>
          <w:rFonts w:ascii="Times New Roman" w:hAnsi="Times New Roman"/>
        </w:rPr>
        <w:t>benefits while minimizing any potential risks</w:t>
      </w:r>
      <w:r w:rsidR="00ED0148">
        <w:rPr>
          <w:rFonts w:ascii="Times New Roman" w:hAnsi="Times New Roman"/>
        </w:rPr>
        <w:t>.</w:t>
      </w:r>
      <w:r w:rsidR="00D341D0">
        <w:rPr>
          <w:rFonts w:ascii="Times New Roman" w:hAnsi="Times New Roman"/>
        </w:rPr>
        <w:t xml:space="preserve"> </w:t>
      </w:r>
      <w:r w:rsidR="00C55DA6" w:rsidRPr="00ED0148">
        <w:rPr>
          <w:rFonts w:ascii="Times New Roman" w:hAnsi="Times New Roman"/>
        </w:rPr>
        <w:t>Often, international and national regulatory regimes tend to focus on biosafety risks rather than a more holistic approach that takes into account a range of public interest issues related to the biosecurity, ethics, societal, cultural and economic implications of synthetic biology more broadly, as well as potential benefits related to biodiversity conservation and sustainable use</w:t>
      </w:r>
      <w:r w:rsidR="00C434EC">
        <w:rPr>
          <w:rFonts w:ascii="Times New Roman" w:hAnsi="Times New Roman"/>
        </w:rPr>
        <w:t xml:space="preserve">. In this sense, </w:t>
      </w:r>
      <w:r w:rsidR="00C434EC" w:rsidRPr="00C434EC">
        <w:rPr>
          <w:rFonts w:ascii="Times New Roman" w:hAnsi="Times New Roman"/>
        </w:rPr>
        <w:t>a new paradigm for regulating synthetic biology applications is needed that looks beyond just biosafety</w:t>
      </w:r>
      <w:r w:rsidR="00C434EC">
        <w:rPr>
          <w:rFonts w:ascii="Times New Roman" w:hAnsi="Times New Roman"/>
        </w:rPr>
        <w:t>.</w:t>
      </w:r>
    </w:p>
    <w:p w14:paraId="70C16181" w14:textId="77777777" w:rsidR="00A22070" w:rsidRPr="00B97384" w:rsidRDefault="00A22070" w:rsidP="00E2735F">
      <w:pPr>
        <w:pStyle w:val="ListParagraph"/>
        <w:spacing w:after="0" w:line="240" w:lineRule="auto"/>
        <w:ind w:left="284"/>
        <w:contextualSpacing w:val="0"/>
        <w:jc w:val="both"/>
      </w:pPr>
    </w:p>
    <w:p w14:paraId="4A3062C0" w14:textId="77777777" w:rsidR="00A33A60" w:rsidRPr="001E563F" w:rsidRDefault="00A33A60" w:rsidP="00A22070">
      <w:pPr>
        <w:pStyle w:val="ListParagraph"/>
        <w:numPr>
          <w:ilvl w:val="0"/>
          <w:numId w:val="228"/>
        </w:numPr>
        <w:tabs>
          <w:tab w:val="left" w:pos="360"/>
        </w:tabs>
        <w:spacing w:after="0" w:line="240" w:lineRule="auto"/>
        <w:ind w:left="270" w:hanging="270"/>
        <w:jc w:val="both"/>
        <w:rPr>
          <w:rFonts w:ascii="Times New Roman" w:hAnsi="Times New Roman"/>
          <w:b/>
        </w:rPr>
      </w:pPr>
      <w:r w:rsidRPr="001E563F">
        <w:rPr>
          <w:rFonts w:ascii="Times New Roman" w:hAnsi="Times New Roman"/>
          <w:b/>
          <w:bCs/>
        </w:rPr>
        <w:t>Better understanding on what to expect in terms of developments will play a key role in he</w:t>
      </w:r>
      <w:r>
        <w:rPr>
          <w:rFonts w:ascii="Times New Roman" w:hAnsi="Times New Roman"/>
          <w:b/>
          <w:bCs/>
        </w:rPr>
        <w:t>l</w:t>
      </w:r>
      <w:r w:rsidRPr="001E563F">
        <w:rPr>
          <w:rFonts w:ascii="Times New Roman" w:hAnsi="Times New Roman"/>
          <w:b/>
          <w:bCs/>
        </w:rPr>
        <w:t>ping regulatory systems to cope-up with the fast pace of development of synthetic biology.</w:t>
      </w:r>
    </w:p>
    <w:p w14:paraId="5632C34A" w14:textId="45C68960" w:rsidR="00A22070" w:rsidRDefault="00A33A60" w:rsidP="00A22070">
      <w:pPr>
        <w:pStyle w:val="ListParagraph"/>
        <w:spacing w:after="120" w:line="240" w:lineRule="auto"/>
        <w:ind w:left="284"/>
        <w:jc w:val="both"/>
        <w:rPr>
          <w:rFonts w:ascii="Times New Roman" w:hAnsi="Times New Roman"/>
        </w:rPr>
      </w:pPr>
      <w:r>
        <w:rPr>
          <w:rFonts w:ascii="Times New Roman" w:hAnsi="Times New Roman"/>
        </w:rPr>
        <w:t>C</w:t>
      </w:r>
      <w:r w:rsidRPr="009E6019">
        <w:rPr>
          <w:rFonts w:ascii="Times New Roman" w:hAnsi="Times New Roman"/>
        </w:rPr>
        <w:t xml:space="preserve">onsidering the fast pace of development of synthetic biology, and the challenge for regulatory regimes to cope with potential new applications, an early screening of what is under research and development and </w:t>
      </w:r>
      <w:r>
        <w:rPr>
          <w:rFonts w:ascii="Times New Roman" w:hAnsi="Times New Roman"/>
        </w:rPr>
        <w:t xml:space="preserve">their </w:t>
      </w:r>
      <w:r w:rsidRPr="009E6019">
        <w:rPr>
          <w:rFonts w:ascii="Times New Roman" w:hAnsi="Times New Roman"/>
        </w:rPr>
        <w:t>commerciali</w:t>
      </w:r>
      <w:r>
        <w:rPr>
          <w:rFonts w:ascii="Times New Roman" w:hAnsi="Times New Roman"/>
        </w:rPr>
        <w:t>s</w:t>
      </w:r>
      <w:r w:rsidRPr="009E6019">
        <w:rPr>
          <w:rFonts w:ascii="Times New Roman" w:hAnsi="Times New Roman"/>
        </w:rPr>
        <w:t>ation perspectives w</w:t>
      </w:r>
      <w:r>
        <w:rPr>
          <w:rFonts w:ascii="Times New Roman" w:hAnsi="Times New Roman"/>
        </w:rPr>
        <w:t>ill</w:t>
      </w:r>
      <w:r w:rsidRPr="009E6019">
        <w:rPr>
          <w:rFonts w:ascii="Times New Roman" w:hAnsi="Times New Roman"/>
        </w:rPr>
        <w:t xml:space="preserve"> be critical in providing timely information for countries and organisations to react and adapt if necessary.</w:t>
      </w:r>
    </w:p>
    <w:p w14:paraId="6C90F6EC" w14:textId="77777777" w:rsidR="00A22070" w:rsidRPr="00A22070" w:rsidRDefault="00A22070" w:rsidP="00A22070">
      <w:pPr>
        <w:pStyle w:val="ListParagraph"/>
        <w:spacing w:after="120" w:line="240" w:lineRule="auto"/>
        <w:ind w:left="284"/>
        <w:jc w:val="both"/>
        <w:rPr>
          <w:rFonts w:ascii="Times New Roman" w:hAnsi="Times New Roman"/>
        </w:rPr>
      </w:pPr>
    </w:p>
    <w:p w14:paraId="1DFF3EE0" w14:textId="5678978D" w:rsidR="003D0EA6" w:rsidRPr="001E563F" w:rsidRDefault="003D0EA6" w:rsidP="00A22070">
      <w:pPr>
        <w:pStyle w:val="ListParagraph"/>
        <w:numPr>
          <w:ilvl w:val="0"/>
          <w:numId w:val="228"/>
        </w:numPr>
        <w:tabs>
          <w:tab w:val="left" w:pos="360"/>
        </w:tabs>
        <w:spacing w:after="0" w:line="240" w:lineRule="auto"/>
        <w:ind w:left="270" w:hanging="270"/>
        <w:jc w:val="both"/>
        <w:rPr>
          <w:rFonts w:ascii="Times New Roman" w:hAnsi="Times New Roman"/>
          <w:b/>
        </w:rPr>
      </w:pPr>
      <w:r>
        <w:rPr>
          <w:rFonts w:ascii="Times New Roman" w:hAnsi="Times New Roman"/>
          <w:b/>
        </w:rPr>
        <w:t>Most r</w:t>
      </w:r>
      <w:r w:rsidR="00ED5F32">
        <w:rPr>
          <w:rFonts w:ascii="Times New Roman" w:hAnsi="Times New Roman"/>
          <w:b/>
        </w:rPr>
        <w:t>egulatory mechanism</w:t>
      </w:r>
      <w:r>
        <w:rPr>
          <w:rFonts w:ascii="Times New Roman" w:hAnsi="Times New Roman"/>
          <w:b/>
        </w:rPr>
        <w:t>s</w:t>
      </w:r>
      <w:r w:rsidR="003937D0">
        <w:rPr>
          <w:rFonts w:ascii="Times New Roman" w:hAnsi="Times New Roman"/>
          <w:b/>
        </w:rPr>
        <w:t xml:space="preserve"> were developed before</w:t>
      </w:r>
      <w:r w:rsidR="007D48BC" w:rsidRPr="007D48BC">
        <w:rPr>
          <w:rFonts w:ascii="Times New Roman" w:hAnsi="Times New Roman"/>
          <w:b/>
        </w:rPr>
        <w:t xml:space="preserve"> the term synthetic biology became widely used</w:t>
      </w:r>
      <w:r w:rsidR="0052032E">
        <w:rPr>
          <w:rFonts w:ascii="Times New Roman" w:hAnsi="Times New Roman"/>
          <w:b/>
        </w:rPr>
        <w:t xml:space="preserve"> </w:t>
      </w:r>
      <w:r w:rsidR="0052032E" w:rsidRPr="0052032E">
        <w:rPr>
          <w:rFonts w:ascii="Times New Roman" w:hAnsi="Times New Roman"/>
          <w:b/>
          <w:lang w:val="en-US"/>
        </w:rPr>
        <w:t>and may need updating to address</w:t>
      </w:r>
      <w:r w:rsidR="006726D2">
        <w:rPr>
          <w:rFonts w:ascii="Times New Roman" w:hAnsi="Times New Roman"/>
          <w:b/>
          <w:lang w:val="en-US"/>
        </w:rPr>
        <w:t xml:space="preserve"> </w:t>
      </w:r>
      <w:r w:rsidR="0052032E" w:rsidRPr="0052032E">
        <w:rPr>
          <w:rFonts w:ascii="Times New Roman" w:hAnsi="Times New Roman"/>
          <w:b/>
          <w:lang w:val="en-US"/>
        </w:rPr>
        <w:t>synthetic biology</w:t>
      </w:r>
      <w:r w:rsidR="00BD67C0">
        <w:rPr>
          <w:rFonts w:ascii="Times New Roman" w:hAnsi="Times New Roman"/>
          <w:b/>
          <w:lang w:val="en-US"/>
        </w:rPr>
        <w:t>.</w:t>
      </w:r>
    </w:p>
    <w:p w14:paraId="1F4EE64A" w14:textId="0379FBA4" w:rsidR="004B31DB" w:rsidRDefault="001B612F" w:rsidP="00D341D0">
      <w:pPr>
        <w:pStyle w:val="ListParagraph"/>
        <w:spacing w:after="120" w:line="240" w:lineRule="auto"/>
        <w:ind w:left="284" w:hanging="14"/>
        <w:jc w:val="both"/>
        <w:rPr>
          <w:rFonts w:ascii="Times New Roman" w:hAnsi="Times New Roman"/>
          <w:bCs/>
        </w:rPr>
      </w:pPr>
      <w:r>
        <w:rPr>
          <w:rFonts w:ascii="Times New Roman" w:hAnsi="Times New Roman"/>
          <w:bCs/>
        </w:rPr>
        <w:t>S</w:t>
      </w:r>
      <w:r w:rsidR="00B7771A">
        <w:rPr>
          <w:rFonts w:ascii="Times New Roman" w:hAnsi="Times New Roman"/>
          <w:bCs/>
        </w:rPr>
        <w:t xml:space="preserve">ynthetic biology </w:t>
      </w:r>
      <w:r>
        <w:rPr>
          <w:rFonts w:ascii="Times New Roman" w:hAnsi="Times New Roman"/>
          <w:bCs/>
        </w:rPr>
        <w:t>is</w:t>
      </w:r>
      <w:r w:rsidR="00B7771A">
        <w:rPr>
          <w:rFonts w:ascii="Times New Roman" w:hAnsi="Times New Roman"/>
          <w:bCs/>
        </w:rPr>
        <w:t xml:space="preserve"> a new discipline</w:t>
      </w:r>
      <w:r w:rsidR="00E25444">
        <w:rPr>
          <w:rFonts w:ascii="Times New Roman" w:hAnsi="Times New Roman"/>
          <w:bCs/>
        </w:rPr>
        <w:t xml:space="preserve"> that combines many technical areas, tools and approaches, </w:t>
      </w:r>
      <w:r w:rsidR="002A1775">
        <w:rPr>
          <w:rFonts w:ascii="Times New Roman" w:hAnsi="Times New Roman"/>
          <w:bCs/>
        </w:rPr>
        <w:t xml:space="preserve">therefore </w:t>
      </w:r>
      <w:r w:rsidR="00E25444">
        <w:rPr>
          <w:rFonts w:ascii="Times New Roman" w:hAnsi="Times New Roman"/>
          <w:bCs/>
        </w:rPr>
        <w:t>most of th</w:t>
      </w:r>
      <w:r w:rsidR="008A7A36">
        <w:rPr>
          <w:rFonts w:ascii="Times New Roman" w:hAnsi="Times New Roman"/>
          <w:bCs/>
        </w:rPr>
        <w:t>ese regulatory mechanisms</w:t>
      </w:r>
      <w:r w:rsidR="007D48BC" w:rsidRPr="001E563F">
        <w:rPr>
          <w:rFonts w:ascii="Times New Roman" w:hAnsi="Times New Roman"/>
          <w:bCs/>
        </w:rPr>
        <w:t xml:space="preserve"> were not </w:t>
      </w:r>
      <w:r w:rsidR="00AF1371">
        <w:rPr>
          <w:rFonts w:ascii="Times New Roman" w:hAnsi="Times New Roman"/>
        </w:rPr>
        <w:t>developed</w:t>
      </w:r>
      <w:r w:rsidR="00AF1371" w:rsidRPr="005E1D5E">
        <w:rPr>
          <w:rFonts w:ascii="Times New Roman" w:hAnsi="Times New Roman"/>
        </w:rPr>
        <w:t xml:space="preserve"> </w:t>
      </w:r>
      <w:r w:rsidR="007D48BC" w:rsidRPr="001E563F">
        <w:rPr>
          <w:rFonts w:ascii="Times New Roman" w:hAnsi="Times New Roman"/>
          <w:bCs/>
        </w:rPr>
        <w:t xml:space="preserve">with the </w:t>
      </w:r>
      <w:r w:rsidR="000A32D4">
        <w:rPr>
          <w:rFonts w:ascii="Times New Roman" w:hAnsi="Times New Roman"/>
        </w:rPr>
        <w:t xml:space="preserve">necessary </w:t>
      </w:r>
      <w:r w:rsidR="007D48BC" w:rsidRPr="001E563F">
        <w:rPr>
          <w:rFonts w:ascii="Times New Roman" w:hAnsi="Times New Roman"/>
          <w:bCs/>
        </w:rPr>
        <w:t xml:space="preserve">scope and scale </w:t>
      </w:r>
      <w:r w:rsidR="007D48BC" w:rsidRPr="001E563F">
        <w:rPr>
          <w:rFonts w:ascii="Times New Roman" w:hAnsi="Times New Roman"/>
          <w:bCs/>
        </w:rPr>
        <w:lastRenderedPageBreak/>
        <w:t xml:space="preserve">that some of the potential impacts of synthetic biology may </w:t>
      </w:r>
      <w:r w:rsidR="00314185">
        <w:rPr>
          <w:rFonts w:ascii="Times New Roman" w:hAnsi="Times New Roman"/>
        </w:rPr>
        <w:t>present</w:t>
      </w:r>
      <w:r w:rsidR="0022459E" w:rsidRPr="005745D7">
        <w:rPr>
          <w:rFonts w:ascii="Times New Roman" w:hAnsi="Times New Roman"/>
        </w:rPr>
        <w:t>.</w:t>
      </w:r>
      <w:r w:rsidR="0022459E">
        <w:rPr>
          <w:rFonts w:ascii="Times New Roman" w:hAnsi="Times New Roman"/>
          <w:bCs/>
        </w:rPr>
        <w:t xml:space="preserve"> </w:t>
      </w:r>
      <w:r w:rsidR="000F5998">
        <w:rPr>
          <w:rFonts w:ascii="Times New Roman" w:hAnsi="Times New Roman"/>
          <w:bCs/>
        </w:rPr>
        <w:t xml:space="preserve">This is a challenge not only under the Convention and its Protocols but for other regulatory frameworks. </w:t>
      </w:r>
    </w:p>
    <w:p w14:paraId="5F570A99" w14:textId="6146DEB7" w:rsidR="0022459E" w:rsidRDefault="001D7D79" w:rsidP="00D341D0">
      <w:pPr>
        <w:pStyle w:val="ListParagraph"/>
        <w:spacing w:after="120" w:line="240" w:lineRule="auto"/>
        <w:ind w:left="284" w:hanging="14"/>
        <w:jc w:val="both"/>
        <w:rPr>
          <w:rFonts w:ascii="Times New Roman" w:hAnsi="Times New Roman"/>
        </w:rPr>
      </w:pPr>
      <w:r>
        <w:rPr>
          <w:rFonts w:ascii="Times New Roman" w:hAnsi="Times New Roman"/>
          <w:bCs/>
        </w:rPr>
        <w:t>T</w:t>
      </w:r>
      <w:r w:rsidR="00425A5B">
        <w:rPr>
          <w:rFonts w:ascii="Times New Roman" w:hAnsi="Times New Roman"/>
          <w:bCs/>
        </w:rPr>
        <w:t xml:space="preserve">he developments in synthetic biology will put even greater pressure on those developing countries that </w:t>
      </w:r>
      <w:r w:rsidR="00E22934">
        <w:rPr>
          <w:rFonts w:ascii="Times New Roman" w:hAnsi="Times New Roman"/>
          <w:bCs/>
        </w:rPr>
        <w:t xml:space="preserve">have not yet developed national biosafety frameworks for conventional LMOs. These systems will have to develop/evolve to </w:t>
      </w:r>
      <w:r w:rsidR="00970E2F">
        <w:rPr>
          <w:rFonts w:ascii="Times New Roman" w:hAnsi="Times New Roman"/>
          <w:bCs/>
        </w:rPr>
        <w:t>already include some of these complex elements. This will require a concerted effort</w:t>
      </w:r>
      <w:r w:rsidR="005A0AEF">
        <w:rPr>
          <w:rFonts w:ascii="Times New Roman" w:hAnsi="Times New Roman"/>
          <w:bCs/>
        </w:rPr>
        <w:t xml:space="preserve"> </w:t>
      </w:r>
      <w:r w:rsidR="00970E2F">
        <w:rPr>
          <w:rFonts w:ascii="Times New Roman" w:hAnsi="Times New Roman"/>
          <w:bCs/>
        </w:rPr>
        <w:t xml:space="preserve">from all stakeholders to adapt existing </w:t>
      </w:r>
      <w:r w:rsidR="00002455">
        <w:rPr>
          <w:rFonts w:ascii="Times New Roman" w:hAnsi="Times New Roman"/>
          <w:bCs/>
        </w:rPr>
        <w:t>frameworks in order to “future-proof” them for synthetic biology applications</w:t>
      </w:r>
      <w:r w:rsidR="00002455" w:rsidRPr="00774506">
        <w:rPr>
          <w:rFonts w:ascii="Times New Roman" w:hAnsi="Times New Roman"/>
        </w:rPr>
        <w:t>.</w:t>
      </w:r>
      <w:r w:rsidR="00F706B8" w:rsidRPr="00774506">
        <w:rPr>
          <w:rFonts w:ascii="Times New Roman" w:hAnsi="Times New Roman"/>
        </w:rPr>
        <w:t xml:space="preserve"> </w:t>
      </w:r>
    </w:p>
    <w:p w14:paraId="76DB04E5" w14:textId="77777777" w:rsidR="00A22070" w:rsidRPr="001E563F" w:rsidRDefault="00A22070" w:rsidP="00D341D0">
      <w:pPr>
        <w:pStyle w:val="ListParagraph"/>
        <w:spacing w:after="120" w:line="240" w:lineRule="auto"/>
        <w:ind w:left="284" w:hanging="14"/>
        <w:jc w:val="both"/>
      </w:pPr>
    </w:p>
    <w:p w14:paraId="08FF3E33" w14:textId="781F178A" w:rsidR="00E0344D" w:rsidRPr="00E0344D" w:rsidRDefault="00E0344D" w:rsidP="00A22070">
      <w:pPr>
        <w:pStyle w:val="ListParagraph"/>
        <w:numPr>
          <w:ilvl w:val="0"/>
          <w:numId w:val="228"/>
        </w:numPr>
        <w:tabs>
          <w:tab w:val="left" w:pos="360"/>
        </w:tabs>
        <w:spacing w:after="0" w:line="240" w:lineRule="auto"/>
        <w:ind w:left="270" w:hanging="270"/>
        <w:jc w:val="both"/>
        <w:rPr>
          <w:rFonts w:ascii="Times New Roman" w:hAnsi="Times New Roman"/>
          <w:b/>
        </w:rPr>
      </w:pPr>
      <w:r w:rsidRPr="00E0344D">
        <w:rPr>
          <w:rFonts w:ascii="Times New Roman" w:hAnsi="Times New Roman"/>
          <w:b/>
        </w:rPr>
        <w:t>International governance and regulation associated with synthetic biology is complex</w:t>
      </w:r>
      <w:r w:rsidR="00096FC1">
        <w:rPr>
          <w:rFonts w:ascii="Times New Roman" w:hAnsi="Times New Roman"/>
          <w:b/>
        </w:rPr>
        <w:t xml:space="preserve"> and would benefit from a coordinated and cooperative approach</w:t>
      </w:r>
      <w:r w:rsidRPr="00E0344D">
        <w:rPr>
          <w:rFonts w:ascii="Times New Roman" w:hAnsi="Times New Roman"/>
          <w:b/>
        </w:rPr>
        <w:t>.</w:t>
      </w:r>
    </w:p>
    <w:p w14:paraId="7742050F" w14:textId="003453C1" w:rsidR="00087925" w:rsidRDefault="00A05C07" w:rsidP="00E87C60">
      <w:pPr>
        <w:pStyle w:val="ListParagraph"/>
        <w:spacing w:after="120" w:line="240" w:lineRule="auto"/>
        <w:ind w:left="284"/>
        <w:contextualSpacing w:val="0"/>
        <w:jc w:val="both"/>
        <w:rPr>
          <w:rFonts w:ascii="Times New Roman" w:hAnsi="Times New Roman"/>
        </w:rPr>
      </w:pPr>
      <w:r w:rsidRPr="00A05C07">
        <w:rPr>
          <w:rFonts w:ascii="Times New Roman" w:hAnsi="Times New Roman"/>
        </w:rPr>
        <w:t xml:space="preserve">Considering the broad scope </w:t>
      </w:r>
      <w:r>
        <w:rPr>
          <w:rFonts w:ascii="Times New Roman" w:hAnsi="Times New Roman"/>
        </w:rPr>
        <w:t xml:space="preserve">of not only </w:t>
      </w:r>
      <w:r w:rsidRPr="00A05C07">
        <w:rPr>
          <w:rFonts w:ascii="Times New Roman" w:hAnsi="Times New Roman"/>
        </w:rPr>
        <w:t xml:space="preserve">synthetic biology research, </w:t>
      </w:r>
      <w:r>
        <w:rPr>
          <w:rFonts w:ascii="Times New Roman" w:hAnsi="Times New Roman"/>
        </w:rPr>
        <w:t>but also</w:t>
      </w:r>
      <w:r w:rsidRPr="00A05C07">
        <w:rPr>
          <w:rFonts w:ascii="Times New Roman" w:hAnsi="Times New Roman"/>
        </w:rPr>
        <w:t xml:space="preserve"> the potential impacts of its products and applications, it is no</w:t>
      </w:r>
      <w:r w:rsidR="00113EB0">
        <w:rPr>
          <w:rFonts w:ascii="Times New Roman" w:hAnsi="Times New Roman"/>
        </w:rPr>
        <w:t>t</w:t>
      </w:r>
      <w:r w:rsidRPr="00A05C07">
        <w:rPr>
          <w:rFonts w:ascii="Times New Roman" w:hAnsi="Times New Roman"/>
        </w:rPr>
        <w:t xml:space="preserve"> surpris</w:t>
      </w:r>
      <w:r w:rsidR="00113EB0">
        <w:rPr>
          <w:rFonts w:ascii="Times New Roman" w:hAnsi="Times New Roman"/>
        </w:rPr>
        <w:t>ing</w:t>
      </w:r>
      <w:r w:rsidRPr="00A05C07">
        <w:rPr>
          <w:rFonts w:ascii="Times New Roman" w:hAnsi="Times New Roman"/>
        </w:rPr>
        <w:t xml:space="preserve"> that no international treaty framework </w:t>
      </w:r>
      <w:r w:rsidR="00113EB0">
        <w:rPr>
          <w:rFonts w:ascii="Times New Roman" w:hAnsi="Times New Roman"/>
        </w:rPr>
        <w:t>n</w:t>
      </w:r>
      <w:r w:rsidRPr="00A05C07">
        <w:rPr>
          <w:rFonts w:ascii="Times New Roman" w:hAnsi="Times New Roman"/>
        </w:rPr>
        <w:t xml:space="preserve">or institutions </w:t>
      </w:r>
      <w:r>
        <w:rPr>
          <w:rFonts w:ascii="Times New Roman" w:hAnsi="Times New Roman"/>
        </w:rPr>
        <w:t>exist</w:t>
      </w:r>
      <w:r w:rsidRPr="00A05C07">
        <w:rPr>
          <w:rFonts w:ascii="Times New Roman" w:hAnsi="Times New Roman"/>
        </w:rPr>
        <w:t xml:space="preserve"> with a sufficient mandate to regulate</w:t>
      </w:r>
      <w:r w:rsidR="004E19EA">
        <w:rPr>
          <w:rFonts w:ascii="Times New Roman" w:hAnsi="Times New Roman"/>
        </w:rPr>
        <w:t xml:space="preserve"> </w:t>
      </w:r>
      <w:r w:rsidRPr="00A05C07">
        <w:rPr>
          <w:rFonts w:ascii="Times New Roman" w:hAnsi="Times New Roman"/>
        </w:rPr>
        <w:t>the full spectrum of possible synthetic biology activities or impacts</w:t>
      </w:r>
      <w:r w:rsidR="004E19EA">
        <w:rPr>
          <w:rFonts w:ascii="Times New Roman" w:hAnsi="Times New Roman"/>
        </w:rPr>
        <w:t>.</w:t>
      </w:r>
      <w:r w:rsidRPr="00A05C07" w:rsidDel="00A05C07">
        <w:rPr>
          <w:rFonts w:ascii="Times New Roman" w:hAnsi="Times New Roman"/>
        </w:rPr>
        <w:t xml:space="preserve"> </w:t>
      </w:r>
      <w:r w:rsidR="004E19EA">
        <w:rPr>
          <w:rFonts w:ascii="Times New Roman" w:hAnsi="Times New Roman"/>
        </w:rPr>
        <w:t xml:space="preserve">A </w:t>
      </w:r>
      <w:r w:rsidR="00523492">
        <w:rPr>
          <w:rFonts w:ascii="Times New Roman" w:hAnsi="Times New Roman"/>
        </w:rPr>
        <w:t>fragmented</w:t>
      </w:r>
      <w:r w:rsidR="00523492" w:rsidRPr="00E0344D">
        <w:rPr>
          <w:rFonts w:ascii="Times New Roman" w:hAnsi="Times New Roman"/>
        </w:rPr>
        <w:t xml:space="preserve"> </w:t>
      </w:r>
      <w:r w:rsidR="00E0344D" w:rsidRPr="00E0344D">
        <w:rPr>
          <w:rFonts w:ascii="Times New Roman" w:hAnsi="Times New Roman"/>
        </w:rPr>
        <w:t>landscape of international instruments, regimes and initiatives have potential implications for the governance of synthetic biology products and applications. This international patchwork spans biodiversity, biosafety, biosecurity, health, F</w:t>
      </w:r>
      <w:r w:rsidR="000C4B16">
        <w:rPr>
          <w:rFonts w:ascii="Times New Roman" w:hAnsi="Times New Roman"/>
        </w:rPr>
        <w:t>P</w:t>
      </w:r>
      <w:r w:rsidR="00E0344D" w:rsidRPr="00E0344D">
        <w:rPr>
          <w:rFonts w:ascii="Times New Roman" w:hAnsi="Times New Roman"/>
        </w:rPr>
        <w:t>I</w:t>
      </w:r>
      <w:r w:rsidR="000C4B16">
        <w:rPr>
          <w:rFonts w:ascii="Times New Roman" w:hAnsi="Times New Roman"/>
        </w:rPr>
        <w:t>C</w:t>
      </w:r>
      <w:r w:rsidR="00E0344D" w:rsidRPr="00E0344D">
        <w:rPr>
          <w:rFonts w:ascii="Times New Roman" w:hAnsi="Times New Roman"/>
        </w:rPr>
        <w:t>, access and benefit sharing, intellectual property, commerce and trade</w:t>
      </w:r>
      <w:r w:rsidR="00E17400">
        <w:rPr>
          <w:rFonts w:ascii="Times New Roman" w:hAnsi="Times New Roman"/>
        </w:rPr>
        <w:t xml:space="preserve"> among</w:t>
      </w:r>
      <w:r w:rsidR="008A5B74">
        <w:rPr>
          <w:rFonts w:ascii="Times New Roman" w:hAnsi="Times New Roman"/>
        </w:rPr>
        <w:t>st</w:t>
      </w:r>
      <w:r w:rsidR="00E17400">
        <w:rPr>
          <w:rFonts w:ascii="Times New Roman" w:hAnsi="Times New Roman"/>
        </w:rPr>
        <w:t xml:space="preserve"> others</w:t>
      </w:r>
      <w:r w:rsidR="00E0344D" w:rsidRPr="00E0344D">
        <w:rPr>
          <w:rFonts w:ascii="Times New Roman" w:hAnsi="Times New Roman"/>
        </w:rPr>
        <w:t xml:space="preserve">. </w:t>
      </w:r>
      <w:r w:rsidR="00E0344D" w:rsidRPr="003C3D4B">
        <w:rPr>
          <w:rFonts w:ascii="Times New Roman" w:hAnsi="Times New Roman"/>
        </w:rPr>
        <w:t>As the primary forum deliberating the governance of synthetic biology applications and products in relation to potential impacts on biodiversity-related issues</w:t>
      </w:r>
      <w:r w:rsidR="00E0344D" w:rsidRPr="00F32244">
        <w:rPr>
          <w:rFonts w:ascii="Times New Roman" w:hAnsi="Times New Roman"/>
        </w:rPr>
        <w:t xml:space="preserve">, </w:t>
      </w:r>
      <w:r w:rsidR="00E0344D" w:rsidRPr="00D341D0">
        <w:rPr>
          <w:rFonts w:ascii="Times New Roman" w:hAnsi="Times New Roman"/>
        </w:rPr>
        <w:t xml:space="preserve">the </w:t>
      </w:r>
      <w:r w:rsidR="0083767E">
        <w:rPr>
          <w:rFonts w:ascii="Times New Roman" w:hAnsi="Times New Roman"/>
        </w:rPr>
        <w:t>framework</w:t>
      </w:r>
      <w:r w:rsidR="0083767E" w:rsidRPr="00D341D0">
        <w:rPr>
          <w:rFonts w:ascii="Times New Roman" w:hAnsi="Times New Roman"/>
        </w:rPr>
        <w:t xml:space="preserve"> </w:t>
      </w:r>
      <w:r w:rsidR="00E0344D" w:rsidRPr="00D341D0">
        <w:rPr>
          <w:rFonts w:ascii="Times New Roman" w:hAnsi="Times New Roman"/>
        </w:rPr>
        <w:t xml:space="preserve">of the CBD provides unique opportunities for hosting discussions aimed at improving coordination </w:t>
      </w:r>
      <w:r w:rsidR="00D207E9" w:rsidRPr="00D341D0">
        <w:rPr>
          <w:rFonts w:ascii="Times New Roman" w:hAnsi="Times New Roman"/>
        </w:rPr>
        <w:t xml:space="preserve">and addressing </w:t>
      </w:r>
      <w:r w:rsidR="00D26279" w:rsidRPr="00D341D0">
        <w:rPr>
          <w:rFonts w:ascii="Times New Roman" w:hAnsi="Times New Roman"/>
        </w:rPr>
        <w:t>challenges</w:t>
      </w:r>
      <w:r w:rsidR="00FF3073" w:rsidRPr="00D341D0">
        <w:rPr>
          <w:rFonts w:ascii="Times New Roman" w:hAnsi="Times New Roman"/>
        </w:rPr>
        <w:t xml:space="preserve"> </w:t>
      </w:r>
      <w:r w:rsidR="00D207E9" w:rsidRPr="00D341D0">
        <w:rPr>
          <w:rFonts w:ascii="Times New Roman" w:hAnsi="Times New Roman"/>
        </w:rPr>
        <w:t xml:space="preserve">and </w:t>
      </w:r>
      <w:r w:rsidR="00952F39" w:rsidRPr="00D341D0">
        <w:rPr>
          <w:rFonts w:ascii="Times New Roman" w:hAnsi="Times New Roman"/>
        </w:rPr>
        <w:t>cooperation opportunities</w:t>
      </w:r>
      <w:r w:rsidR="00D207E9" w:rsidRPr="00D341D0">
        <w:rPr>
          <w:rFonts w:ascii="Times New Roman" w:hAnsi="Times New Roman"/>
        </w:rPr>
        <w:t xml:space="preserve"> which are apparent </w:t>
      </w:r>
      <w:r w:rsidR="00E0344D" w:rsidRPr="00D341D0">
        <w:rPr>
          <w:rFonts w:ascii="Times New Roman" w:hAnsi="Times New Roman"/>
        </w:rPr>
        <w:t>in the governance of synthetic biology</w:t>
      </w:r>
      <w:r w:rsidR="00E0344D" w:rsidRPr="003C3D4B">
        <w:rPr>
          <w:rFonts w:ascii="Times New Roman" w:hAnsi="Times New Roman"/>
        </w:rPr>
        <w:t xml:space="preserve"> without the need to invent/create </w:t>
      </w:r>
      <w:r w:rsidR="00E0344D" w:rsidRPr="00FE5AC2">
        <w:rPr>
          <w:rFonts w:ascii="Times New Roman" w:hAnsi="Times New Roman"/>
        </w:rPr>
        <w:t>another series of fora</w:t>
      </w:r>
      <w:r w:rsidR="00E0344D" w:rsidRPr="00F32244">
        <w:rPr>
          <w:rFonts w:ascii="Times New Roman" w:hAnsi="Times New Roman"/>
        </w:rPr>
        <w:t>.</w:t>
      </w:r>
      <w:r w:rsidR="00087925" w:rsidRPr="00D341D0">
        <w:rPr>
          <w:rFonts w:ascii="Times New Roman" w:hAnsi="Times New Roman"/>
        </w:rPr>
        <w:t xml:space="preserve"> In addition, </w:t>
      </w:r>
      <w:r w:rsidR="00087925" w:rsidRPr="003C3D4B">
        <w:rPr>
          <w:rFonts w:ascii="Times New Roman" w:hAnsi="Times New Roman"/>
        </w:rPr>
        <w:t>t</w:t>
      </w:r>
      <w:r w:rsidR="00087925" w:rsidRPr="00FE5AC2">
        <w:rPr>
          <w:rFonts w:ascii="Times New Roman" w:hAnsi="Times New Roman"/>
        </w:rPr>
        <w:t xml:space="preserve">he cross-cutting nature of synthetic biology added to its broadness as a discipline, are important factors to consider </w:t>
      </w:r>
      <w:r w:rsidR="00717C6B" w:rsidRPr="00F32244">
        <w:rPr>
          <w:rFonts w:ascii="Times New Roman" w:hAnsi="Times New Roman"/>
        </w:rPr>
        <w:t xml:space="preserve">in </w:t>
      </w:r>
      <w:r w:rsidR="00087925" w:rsidRPr="00F32244">
        <w:rPr>
          <w:rFonts w:ascii="Times New Roman" w:hAnsi="Times New Roman"/>
        </w:rPr>
        <w:t xml:space="preserve">any potential scenario towards its governance and regulation. </w:t>
      </w:r>
      <w:r w:rsidR="00B6708D" w:rsidRPr="00F32244">
        <w:rPr>
          <w:rFonts w:ascii="Times New Roman" w:hAnsi="Times New Roman"/>
        </w:rPr>
        <w:t>I</w:t>
      </w:r>
      <w:r w:rsidR="00087925" w:rsidRPr="00CE1462">
        <w:rPr>
          <w:rFonts w:ascii="Times New Roman" w:hAnsi="Times New Roman"/>
        </w:rPr>
        <w:t>t is unlikel</w:t>
      </w:r>
      <w:r w:rsidR="00087925" w:rsidRPr="00F2164F">
        <w:rPr>
          <w:rFonts w:ascii="Times New Roman" w:hAnsi="Times New Roman"/>
        </w:rPr>
        <w:t>y that a single entity will have the necessary set of tools (e.g</w:t>
      </w:r>
      <w:r w:rsidR="005D3A7A" w:rsidRPr="00F2164F">
        <w:rPr>
          <w:rFonts w:ascii="Times New Roman" w:hAnsi="Times New Roman"/>
        </w:rPr>
        <w:t>.</w:t>
      </w:r>
      <w:r w:rsidR="00087925" w:rsidRPr="00F2164F">
        <w:rPr>
          <w:rFonts w:ascii="Times New Roman" w:hAnsi="Times New Roman"/>
        </w:rPr>
        <w:t xml:space="preserve"> mandate, capacity, knowledge, etc</w:t>
      </w:r>
      <w:r w:rsidR="005D3A7A" w:rsidRPr="00F2164F">
        <w:rPr>
          <w:rFonts w:ascii="Times New Roman" w:hAnsi="Times New Roman"/>
        </w:rPr>
        <w:t>.</w:t>
      </w:r>
      <w:r w:rsidR="00087925" w:rsidRPr="00F2164F">
        <w:rPr>
          <w:rFonts w:ascii="Times New Roman" w:hAnsi="Times New Roman"/>
        </w:rPr>
        <w:t xml:space="preserve">) to have a meaningful impact. </w:t>
      </w:r>
      <w:r w:rsidR="00B6708D" w:rsidRPr="00F2164F">
        <w:rPr>
          <w:rFonts w:ascii="Times New Roman" w:hAnsi="Times New Roman"/>
        </w:rPr>
        <w:t>Therefore, aspects</w:t>
      </w:r>
      <w:r w:rsidR="00087925" w:rsidRPr="00F2164F">
        <w:rPr>
          <w:rFonts w:ascii="Times New Roman" w:hAnsi="Times New Roman"/>
        </w:rPr>
        <w:t xml:space="preserve"> such as </w:t>
      </w:r>
      <w:r w:rsidR="00087925" w:rsidRPr="00D341D0">
        <w:rPr>
          <w:rFonts w:ascii="Times New Roman" w:hAnsi="Times New Roman"/>
        </w:rPr>
        <w:t>coordination, cooperation, capacity-buildin</w:t>
      </w:r>
      <w:r w:rsidR="00A66926" w:rsidRPr="00D341D0">
        <w:rPr>
          <w:rFonts w:ascii="Times New Roman" w:hAnsi="Times New Roman"/>
        </w:rPr>
        <w:t>g</w:t>
      </w:r>
      <w:r w:rsidR="002F6430" w:rsidRPr="00D341D0">
        <w:rPr>
          <w:rFonts w:ascii="Times New Roman" w:hAnsi="Times New Roman"/>
        </w:rPr>
        <w:t xml:space="preserve">, </w:t>
      </w:r>
      <w:r w:rsidR="00087925" w:rsidRPr="00D341D0">
        <w:rPr>
          <w:rFonts w:ascii="Times New Roman" w:hAnsi="Times New Roman"/>
        </w:rPr>
        <w:t>knowledge</w:t>
      </w:r>
      <w:r w:rsidR="005D3A7A" w:rsidRPr="00D341D0">
        <w:rPr>
          <w:rFonts w:ascii="Times New Roman" w:hAnsi="Times New Roman"/>
        </w:rPr>
        <w:t>-</w:t>
      </w:r>
      <w:r w:rsidR="00087925" w:rsidRPr="00D341D0">
        <w:rPr>
          <w:rFonts w:ascii="Times New Roman" w:hAnsi="Times New Roman"/>
        </w:rPr>
        <w:t>sharing</w:t>
      </w:r>
      <w:r w:rsidR="00087925" w:rsidRPr="003C3D4B">
        <w:rPr>
          <w:rFonts w:ascii="Times New Roman" w:hAnsi="Times New Roman"/>
        </w:rPr>
        <w:t xml:space="preserve"> </w:t>
      </w:r>
      <w:r w:rsidR="002F6430" w:rsidRPr="00D341D0">
        <w:rPr>
          <w:rFonts w:ascii="Times New Roman" w:hAnsi="Times New Roman"/>
        </w:rPr>
        <w:t>and communication</w:t>
      </w:r>
      <w:r w:rsidR="002F6430" w:rsidRPr="003C3D4B">
        <w:rPr>
          <w:rFonts w:ascii="Times New Roman" w:hAnsi="Times New Roman"/>
        </w:rPr>
        <w:t xml:space="preserve"> </w:t>
      </w:r>
      <w:r w:rsidR="00087925" w:rsidRPr="00FE5AC2">
        <w:rPr>
          <w:rFonts w:ascii="Times New Roman" w:hAnsi="Times New Roman"/>
        </w:rPr>
        <w:t xml:space="preserve">are of paramount importance. The governance of synthetic biology </w:t>
      </w:r>
      <w:r w:rsidR="00156731" w:rsidRPr="00F32244">
        <w:rPr>
          <w:rFonts w:ascii="Times New Roman" w:hAnsi="Times New Roman"/>
        </w:rPr>
        <w:t>can</w:t>
      </w:r>
      <w:r w:rsidR="00087925" w:rsidRPr="00F32244">
        <w:rPr>
          <w:rFonts w:ascii="Times New Roman" w:hAnsi="Times New Roman"/>
        </w:rPr>
        <w:t>not advance if the approach towards it is narrow or if it lacks the support of the various entities and stakeholders who play a key role in its development, potential regulation and potential use.</w:t>
      </w:r>
    </w:p>
    <w:p w14:paraId="774EAB35" w14:textId="77777777" w:rsidR="009C0C5A" w:rsidRPr="00D341D0" w:rsidRDefault="009C0C5A" w:rsidP="009C0C5A">
      <w:pPr>
        <w:pStyle w:val="ListParagraph"/>
        <w:numPr>
          <w:ilvl w:val="0"/>
          <w:numId w:val="228"/>
        </w:numPr>
        <w:tabs>
          <w:tab w:val="left" w:pos="360"/>
        </w:tabs>
        <w:spacing w:after="0" w:line="240" w:lineRule="auto"/>
        <w:ind w:left="270" w:hanging="270"/>
        <w:jc w:val="both"/>
        <w:rPr>
          <w:rFonts w:ascii="Times New Roman" w:hAnsi="Times New Roman"/>
          <w:b/>
          <w:bCs/>
        </w:rPr>
      </w:pPr>
      <w:r w:rsidRPr="00D341D0">
        <w:rPr>
          <w:rFonts w:ascii="Times New Roman" w:hAnsi="Times New Roman"/>
          <w:b/>
          <w:bCs/>
        </w:rPr>
        <w:t xml:space="preserve">National and regional regulatory frameworks are developing at different rates and with differing perspectives with respect to synthetic biology governance. </w:t>
      </w:r>
    </w:p>
    <w:p w14:paraId="200AFD47" w14:textId="77777777" w:rsidR="009C0C5A" w:rsidRDefault="009C0C5A" w:rsidP="009C0C5A">
      <w:pPr>
        <w:spacing w:after="0" w:line="240" w:lineRule="auto"/>
        <w:ind w:left="284"/>
        <w:jc w:val="both"/>
        <w:rPr>
          <w:rFonts w:ascii="Times New Roman" w:hAnsi="Times New Roman"/>
        </w:rPr>
      </w:pPr>
      <w:r w:rsidRPr="00F0798E">
        <w:rPr>
          <w:rFonts w:ascii="Times New Roman" w:hAnsi="Times New Roman"/>
        </w:rPr>
        <w:t xml:space="preserve">This </w:t>
      </w:r>
      <w:r w:rsidRPr="006C3D9A">
        <w:rPr>
          <w:rFonts w:ascii="Times New Roman" w:hAnsi="Times New Roman"/>
        </w:rPr>
        <w:t xml:space="preserve">fragmented landscape creates a complex scenario at the international level, with the potential for regulatory gaps and </w:t>
      </w:r>
      <w:r w:rsidRPr="00524BB1">
        <w:rPr>
          <w:rFonts w:ascii="Times New Roman" w:hAnsi="Times New Roman"/>
        </w:rPr>
        <w:t>areas</w:t>
      </w:r>
      <w:r w:rsidRPr="00424855">
        <w:rPr>
          <w:rFonts w:ascii="Times New Roman" w:hAnsi="Times New Roman"/>
        </w:rPr>
        <w:t xml:space="preserve"> </w:t>
      </w:r>
      <w:r w:rsidRPr="0061405B">
        <w:rPr>
          <w:rFonts w:ascii="Times New Roman" w:hAnsi="Times New Roman"/>
        </w:rPr>
        <w:t xml:space="preserve">of convergence to develop. This is further exacerbated by the large number of near-market applications, and as such, there is a growing urgency </w:t>
      </w:r>
      <w:r w:rsidRPr="0005492E">
        <w:rPr>
          <w:rFonts w:ascii="Times New Roman" w:hAnsi="Times New Roman"/>
        </w:rPr>
        <w:t xml:space="preserve">to discuss the evolution of a more cohesive international regulatory environment. </w:t>
      </w:r>
      <w:r w:rsidRPr="0005492E">
        <w:rPr>
          <w:rFonts w:asciiTheme="majorBidi" w:hAnsiTheme="majorBidi" w:cstheme="majorBidi"/>
        </w:rPr>
        <w:t>Moreover,</w:t>
      </w:r>
      <w:r>
        <w:t xml:space="preserve"> </w:t>
      </w:r>
      <w:r w:rsidRPr="00F0798E">
        <w:rPr>
          <w:rFonts w:ascii="Times New Roman" w:hAnsi="Times New Roman"/>
        </w:rPr>
        <w:t>a</w:t>
      </w:r>
      <w:r w:rsidRPr="006C3D9A">
        <w:rPr>
          <w:rFonts w:ascii="Times New Roman" w:hAnsi="Times New Roman"/>
        </w:rPr>
        <w:t xml:space="preserve">s synthetic biology will continue to grow in relevance and importance due to the opportunities that it offers towards solving global challenges, it is </w:t>
      </w:r>
      <w:r w:rsidRPr="0005492E">
        <w:rPr>
          <w:rFonts w:ascii="Times New Roman" w:hAnsi="Times New Roman"/>
        </w:rPr>
        <w:t>imperative that resources are available concurrently for research and development, and for the development and or adaptation of regulatory systems that could provide the needed safety that should accompany any potential use.</w:t>
      </w:r>
    </w:p>
    <w:p w14:paraId="4B31BF3D" w14:textId="77777777" w:rsidR="00F2164F" w:rsidRPr="00D341D0" w:rsidRDefault="00F2164F" w:rsidP="008F6B23">
      <w:pPr>
        <w:pStyle w:val="ListParagraph"/>
        <w:spacing w:after="120" w:line="240" w:lineRule="auto"/>
        <w:ind w:left="284"/>
        <w:contextualSpacing w:val="0"/>
        <w:jc w:val="both"/>
        <w:rPr>
          <w:rFonts w:ascii="Times New Roman" w:hAnsi="Times New Roman"/>
        </w:rPr>
      </w:pPr>
    </w:p>
    <w:p w14:paraId="3C777DF6" w14:textId="4DDE3651" w:rsidR="00E0344D" w:rsidRPr="00E0344D" w:rsidRDefault="00E0344D" w:rsidP="00E0344D">
      <w:pPr>
        <w:rPr>
          <w:rFonts w:ascii="Times New Roman" w:hAnsi="Times New Roman"/>
        </w:rPr>
      </w:pPr>
      <w:r w:rsidRPr="00E0344D">
        <w:rPr>
          <w:rFonts w:ascii="Times New Roman" w:hAnsi="Times New Roman"/>
        </w:rPr>
        <w:t xml:space="preserve">Table 1. Applications of </w:t>
      </w:r>
      <w:r w:rsidR="00710649" w:rsidRPr="00E0344D">
        <w:rPr>
          <w:rFonts w:ascii="Times New Roman" w:hAnsi="Times New Roman"/>
        </w:rPr>
        <w:t>synthetic biology</w:t>
      </w:r>
      <w:r w:rsidR="00BD1EA8">
        <w:rPr>
          <w:rFonts w:ascii="Times New Roman" w:hAnsi="Times New Roman"/>
        </w:rPr>
        <w:t>, categorised</w:t>
      </w:r>
      <w:r w:rsidRPr="00E0344D">
        <w:rPr>
          <w:rFonts w:ascii="Times New Roman" w:hAnsi="Times New Roman"/>
        </w:rPr>
        <w:t xml:space="preserve"> by </w:t>
      </w:r>
      <w:r w:rsidR="00BD1EA8">
        <w:rPr>
          <w:rFonts w:ascii="Times New Roman" w:hAnsi="Times New Roman"/>
        </w:rPr>
        <w:t>their</w:t>
      </w:r>
      <w:r w:rsidR="00BD1EA8" w:rsidRPr="00E0344D">
        <w:rPr>
          <w:rFonts w:ascii="Times New Roman" w:hAnsi="Times New Roman"/>
        </w:rPr>
        <w:t xml:space="preserve"> </w:t>
      </w:r>
      <w:r w:rsidRPr="00E0344D">
        <w:rPr>
          <w:rFonts w:ascii="Times New Roman" w:hAnsi="Times New Roman"/>
        </w:rPr>
        <w:t>intended use and degree of development</w:t>
      </w:r>
      <w:r w:rsidR="009675E9">
        <w:rPr>
          <w:rFonts w:ascii="Times New Roman" w:hAnsi="Times New Roman"/>
        </w:rPr>
        <w:t>.</w:t>
      </w:r>
    </w:p>
    <w:tbl>
      <w:tblPr>
        <w:tblStyle w:val="PlainTable2"/>
        <w:tblW w:w="9356" w:type="dxa"/>
        <w:tblLook w:val="04A0" w:firstRow="1" w:lastRow="0" w:firstColumn="1" w:lastColumn="0" w:noHBand="0" w:noVBand="1"/>
      </w:tblPr>
      <w:tblGrid>
        <w:gridCol w:w="2339"/>
        <w:gridCol w:w="2339"/>
        <w:gridCol w:w="2339"/>
        <w:gridCol w:w="2339"/>
      </w:tblGrid>
      <w:tr w:rsidR="00F34AF8" w:rsidRPr="00E0344D" w14:paraId="1A01ACA7" w14:textId="03C6C20A" w:rsidTr="00C73C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9" w:type="dxa"/>
          </w:tcPr>
          <w:p w14:paraId="4F282D8B" w14:textId="77777777" w:rsidR="00F34AF8" w:rsidRPr="00E0344D" w:rsidRDefault="00F34AF8" w:rsidP="002B2A28">
            <w:pPr>
              <w:spacing w:after="0" w:line="240" w:lineRule="auto"/>
              <w:rPr>
                <w:rFonts w:ascii="Times New Roman" w:hAnsi="Times New Roman"/>
              </w:rPr>
            </w:pPr>
            <w:r w:rsidRPr="00E0344D">
              <w:rPr>
                <w:rFonts w:ascii="Times New Roman" w:hAnsi="Times New Roman"/>
              </w:rPr>
              <w:t>Intended use</w:t>
            </w:r>
          </w:p>
        </w:tc>
        <w:tc>
          <w:tcPr>
            <w:tcW w:w="2339" w:type="dxa"/>
          </w:tcPr>
          <w:p w14:paraId="0DDE08BB" w14:textId="77777777" w:rsidR="00F34AF8" w:rsidRPr="00E0344D" w:rsidRDefault="00F34AF8" w:rsidP="002B2A2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E0344D">
              <w:rPr>
                <w:rFonts w:ascii="Times New Roman" w:hAnsi="Times New Roman"/>
              </w:rPr>
              <w:t>Research</w:t>
            </w:r>
          </w:p>
        </w:tc>
        <w:tc>
          <w:tcPr>
            <w:tcW w:w="2339" w:type="dxa"/>
          </w:tcPr>
          <w:p w14:paraId="4A56C323" w14:textId="2BE8CB1B" w:rsidR="00F34AF8" w:rsidRPr="002B2A28" w:rsidRDefault="00F34AF8" w:rsidP="002B2A2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E0344D">
              <w:rPr>
                <w:rFonts w:ascii="Times New Roman" w:hAnsi="Times New Roman"/>
              </w:rPr>
              <w:t>Advanced development</w:t>
            </w:r>
          </w:p>
        </w:tc>
        <w:tc>
          <w:tcPr>
            <w:tcW w:w="2339" w:type="dxa"/>
          </w:tcPr>
          <w:p w14:paraId="7B0EB92B" w14:textId="146EBB57" w:rsidR="00F34AF8" w:rsidRPr="007B5CD0" w:rsidRDefault="00F34AF8" w:rsidP="002B2A2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C73CBE">
              <w:rPr>
                <w:rFonts w:ascii="Times New Roman" w:hAnsi="Times New Roman" w:cs="Times New Roman"/>
              </w:rPr>
              <w:t>Commercially available</w:t>
            </w:r>
          </w:p>
        </w:tc>
      </w:tr>
      <w:tr w:rsidR="00D85669" w:rsidRPr="00E0344D" w14:paraId="5B4D403D" w14:textId="77777777" w:rsidTr="00D856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9" w:type="dxa"/>
          </w:tcPr>
          <w:p w14:paraId="3C2A2245" w14:textId="77777777" w:rsidR="00D85669" w:rsidRPr="00E0344D" w:rsidRDefault="00D85669" w:rsidP="00F34762">
            <w:pPr>
              <w:spacing w:after="0" w:line="240" w:lineRule="auto"/>
              <w:rPr>
                <w:rFonts w:ascii="Times New Roman" w:hAnsi="Times New Roman"/>
              </w:rPr>
            </w:pPr>
            <w:r w:rsidRPr="00E0344D">
              <w:rPr>
                <w:rFonts w:ascii="Times New Roman" w:hAnsi="Times New Roman"/>
              </w:rPr>
              <w:t>Containment, industrial processes, or laboratory settings</w:t>
            </w:r>
          </w:p>
        </w:tc>
        <w:tc>
          <w:tcPr>
            <w:tcW w:w="2339" w:type="dxa"/>
          </w:tcPr>
          <w:p w14:paraId="3771843D"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Development of protocells and minimal cells for basic research.</w:t>
            </w:r>
          </w:p>
          <w:p w14:paraId="18EAE377"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 xml:space="preserve">Applications to produce non-native nucleotides and amino acids inside the cell </w:t>
            </w:r>
            <w:r w:rsidRPr="00E0344D">
              <w:rPr>
                <w:rFonts w:ascii="Times New Roman" w:hAnsi="Times New Roman"/>
              </w:rPr>
              <w:lastRenderedPageBreak/>
              <w:t>for basic research and production of pharmaceuticals.</w:t>
            </w:r>
          </w:p>
          <w:p w14:paraId="062514C4"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Re-creation of an extinct infectious horsepox virus from chemically synthesised DNA fragments.</w:t>
            </w:r>
          </w:p>
          <w:p w14:paraId="579A5016"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Genetically engineered bio-containment systems within the cell.</w:t>
            </w:r>
          </w:p>
          <w:p w14:paraId="55FF2E43"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Digital information storage using DNA molecules.</w:t>
            </w:r>
          </w:p>
          <w:p w14:paraId="399EAB1D"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Synthetic biosensing circuits and biosensors.</w:t>
            </w:r>
          </w:p>
        </w:tc>
        <w:tc>
          <w:tcPr>
            <w:tcW w:w="2339" w:type="dxa"/>
          </w:tcPr>
          <w:p w14:paraId="17174B28"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lastRenderedPageBreak/>
              <w:t>Cyanobacteria production platforms in contained environmental facilities.</w:t>
            </w:r>
          </w:p>
          <w:p w14:paraId="73AB0C47"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Bio-fabricated wildlife products.</w:t>
            </w:r>
          </w:p>
          <w:p w14:paraId="0402FC54"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lastRenderedPageBreak/>
              <w:t xml:space="preserve"> Cultured leather products.</w:t>
            </w:r>
          </w:p>
          <w:p w14:paraId="0196D1CD"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Plant-based vaccines</w:t>
            </w:r>
          </w:p>
          <w:p w14:paraId="11FB4A31"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Engineered phages as anti-microbials.</w:t>
            </w:r>
          </w:p>
          <w:p w14:paraId="7059ED6D"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Engineered probiotics for the production and in vivo delivery of medicines.</w:t>
            </w:r>
          </w:p>
        </w:tc>
        <w:tc>
          <w:tcPr>
            <w:tcW w:w="2339" w:type="dxa"/>
          </w:tcPr>
          <w:p w14:paraId="44F659B5"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lastRenderedPageBreak/>
              <w:t>Biopharma.</w:t>
            </w:r>
          </w:p>
          <w:p w14:paraId="39DC5497"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Carbon recycling.</w:t>
            </w:r>
          </w:p>
          <w:p w14:paraId="54A5E48B"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Fabric.</w:t>
            </w:r>
          </w:p>
          <w:p w14:paraId="7B3D9178"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Cosmetic and fragrances.</w:t>
            </w:r>
          </w:p>
          <w:p w14:paraId="040294CB" w14:textId="77777777" w:rsidR="00D85669" w:rsidRPr="00E0344D"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Food and food ingredients.</w:t>
            </w:r>
          </w:p>
          <w:p w14:paraId="7212EE4F" w14:textId="77777777" w:rsidR="00D85669" w:rsidRPr="007B5CD0" w:rsidRDefault="00D85669" w:rsidP="00F34762">
            <w:pPr>
              <w:numPr>
                <w:ilvl w:val="0"/>
                <w:numId w:val="214"/>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344D">
              <w:rPr>
                <w:rFonts w:ascii="Times New Roman" w:hAnsi="Times New Roman"/>
              </w:rPr>
              <w:lastRenderedPageBreak/>
              <w:t>Part, devices, and systems.</w:t>
            </w:r>
          </w:p>
        </w:tc>
      </w:tr>
      <w:tr w:rsidR="00D85669" w:rsidRPr="00E0344D" w14:paraId="2CD43681" w14:textId="77777777" w:rsidTr="00D85669">
        <w:tc>
          <w:tcPr>
            <w:cnfStyle w:val="001000000000" w:firstRow="0" w:lastRow="0" w:firstColumn="1" w:lastColumn="0" w:oddVBand="0" w:evenVBand="0" w:oddHBand="0" w:evenHBand="0" w:firstRowFirstColumn="0" w:firstRowLastColumn="0" w:lastRowFirstColumn="0" w:lastRowLastColumn="0"/>
            <w:tcW w:w="2339" w:type="dxa"/>
          </w:tcPr>
          <w:p w14:paraId="3425CC56" w14:textId="77777777" w:rsidR="00D85669" w:rsidRPr="00E0344D" w:rsidRDefault="00D85669" w:rsidP="00F34762">
            <w:pPr>
              <w:spacing w:after="0" w:line="240" w:lineRule="auto"/>
              <w:rPr>
                <w:rFonts w:ascii="Times New Roman" w:hAnsi="Times New Roman"/>
              </w:rPr>
            </w:pPr>
            <w:r w:rsidRPr="00E0344D">
              <w:rPr>
                <w:rFonts w:ascii="Times New Roman" w:hAnsi="Times New Roman"/>
              </w:rPr>
              <w:lastRenderedPageBreak/>
              <w:t>Semi-managed, managed, or urban settings</w:t>
            </w:r>
          </w:p>
        </w:tc>
        <w:tc>
          <w:tcPr>
            <w:tcW w:w="2339" w:type="dxa"/>
          </w:tcPr>
          <w:p w14:paraId="291CC06E" w14:textId="77777777" w:rsidR="00D85669" w:rsidRPr="00E0344D" w:rsidRDefault="00D85669" w:rsidP="00F34762">
            <w:pPr>
              <w:numPr>
                <w:ilvl w:val="0"/>
                <w:numId w:val="213"/>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0344D">
              <w:rPr>
                <w:rFonts w:ascii="Times New Roman" w:hAnsi="Times New Roman"/>
              </w:rPr>
              <w:t>Genetically engineered nitrogen-fixing bacteria and other genetically engineered bacteria for agriculture.</w:t>
            </w:r>
          </w:p>
          <w:p w14:paraId="4F0F16D9" w14:textId="77777777" w:rsidR="00D85669" w:rsidRPr="00E0344D" w:rsidRDefault="00D85669" w:rsidP="00F34762">
            <w:pPr>
              <w:numPr>
                <w:ilvl w:val="0"/>
                <w:numId w:val="213"/>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0344D">
              <w:rPr>
                <w:rFonts w:ascii="Times New Roman" w:hAnsi="Times New Roman"/>
              </w:rPr>
              <w:t>Insect delivery of modified viruses for the modification of crops (horizontal environmental genetic alteration agents [HEGAAs]) for biodefence and agriculture.</w:t>
            </w:r>
          </w:p>
          <w:p w14:paraId="10EC6956" w14:textId="77777777" w:rsidR="00D85669" w:rsidRPr="00E0344D" w:rsidRDefault="00D85669" w:rsidP="00F34762">
            <w:pPr>
              <w:numPr>
                <w:ilvl w:val="0"/>
                <w:numId w:val="213"/>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0344D">
              <w:rPr>
                <w:rFonts w:ascii="Times New Roman" w:hAnsi="Times New Roman"/>
              </w:rPr>
              <w:t>Projects for the de-extinction of extinct animals.</w:t>
            </w:r>
          </w:p>
          <w:p w14:paraId="5891CE4D" w14:textId="77777777" w:rsidR="00D85669" w:rsidRPr="00E0344D" w:rsidRDefault="00D85669" w:rsidP="00F34762">
            <w:pPr>
              <w:numPr>
                <w:ilvl w:val="0"/>
                <w:numId w:val="213"/>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0344D">
              <w:rPr>
                <w:rFonts w:ascii="Times New Roman" w:hAnsi="Times New Roman"/>
              </w:rPr>
              <w:t>Transient modification of agricultural plants through RNAi spray or nanomaterials.</w:t>
            </w:r>
          </w:p>
          <w:p w14:paraId="6CA43371" w14:textId="77777777" w:rsidR="00D85669" w:rsidRPr="00E0344D" w:rsidRDefault="00D85669" w:rsidP="00F34762">
            <w:pPr>
              <w:numPr>
                <w:ilvl w:val="0"/>
                <w:numId w:val="213"/>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0344D">
              <w:rPr>
                <w:rFonts w:ascii="Times New Roman" w:hAnsi="Times New Roman"/>
              </w:rPr>
              <w:t>Genetically engineered plants to produce recombinant polyclonal antibodies against snake venom toxins.</w:t>
            </w:r>
          </w:p>
        </w:tc>
        <w:tc>
          <w:tcPr>
            <w:tcW w:w="2339" w:type="dxa"/>
          </w:tcPr>
          <w:p w14:paraId="72565D39" w14:textId="77777777" w:rsidR="00D85669" w:rsidRPr="00E0344D" w:rsidRDefault="00D85669" w:rsidP="00F34762">
            <w:pPr>
              <w:numPr>
                <w:ilvl w:val="0"/>
                <w:numId w:val="213"/>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0344D">
              <w:rPr>
                <w:rFonts w:ascii="Times New Roman" w:hAnsi="Times New Roman"/>
              </w:rPr>
              <w:t>Genome edited crop plants and farm animals.</w:t>
            </w:r>
          </w:p>
          <w:p w14:paraId="7643588D" w14:textId="77777777" w:rsidR="00D85669" w:rsidRPr="00E0344D" w:rsidRDefault="00D85669" w:rsidP="00F34762">
            <w:pPr>
              <w:numPr>
                <w:ilvl w:val="0"/>
                <w:numId w:val="213"/>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0344D">
              <w:rPr>
                <w:rFonts w:ascii="Times New Roman" w:hAnsi="Times New Roman"/>
              </w:rPr>
              <w:t>Engineered gene drives in mosquitoes for control of vector-borne diseases.</w:t>
            </w:r>
          </w:p>
          <w:p w14:paraId="10A91B60" w14:textId="77777777" w:rsidR="00D85669" w:rsidRPr="00E0344D" w:rsidRDefault="00D85669" w:rsidP="00F34762">
            <w:pPr>
              <w:numPr>
                <w:ilvl w:val="0"/>
                <w:numId w:val="213"/>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0344D">
              <w:rPr>
                <w:rFonts w:ascii="Times New Roman" w:hAnsi="Times New Roman"/>
              </w:rPr>
              <w:t>Engineered gene drive for an agricultural pest.</w:t>
            </w:r>
          </w:p>
          <w:p w14:paraId="428BF8FB" w14:textId="77777777" w:rsidR="00D85669" w:rsidRPr="00E0344D" w:rsidRDefault="00D85669" w:rsidP="00F34762">
            <w:pPr>
              <w:numPr>
                <w:ilvl w:val="0"/>
                <w:numId w:val="213"/>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0344D">
              <w:rPr>
                <w:rFonts w:ascii="Times New Roman" w:hAnsi="Times New Roman"/>
              </w:rPr>
              <w:t>Genetically engineered bio-containment systems in mosquitoes.</w:t>
            </w:r>
          </w:p>
          <w:p w14:paraId="0EDB9D7D" w14:textId="77777777" w:rsidR="00D85669" w:rsidRPr="00E0344D" w:rsidRDefault="00D85669" w:rsidP="00F34762">
            <w:pPr>
              <w:numPr>
                <w:ilvl w:val="0"/>
                <w:numId w:val="213"/>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0344D">
              <w:rPr>
                <w:rFonts w:ascii="Times New Roman" w:hAnsi="Times New Roman"/>
              </w:rPr>
              <w:t>Genetically engineered sorghum to produce a new synthetic protein to improve the digestibility in food and feed.</w:t>
            </w:r>
          </w:p>
          <w:p w14:paraId="1A3571E5" w14:textId="77777777" w:rsidR="00D85669" w:rsidRPr="002B2A28" w:rsidRDefault="00D85669" w:rsidP="00F34762">
            <w:pPr>
              <w:numPr>
                <w:ilvl w:val="0"/>
                <w:numId w:val="213"/>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0344D">
              <w:rPr>
                <w:rFonts w:ascii="Times New Roman" w:hAnsi="Times New Roman"/>
              </w:rPr>
              <w:t>Genetically engineered oilseed rape to enhance resource use efficiency of existing cropland.</w:t>
            </w:r>
          </w:p>
        </w:tc>
        <w:tc>
          <w:tcPr>
            <w:tcW w:w="2339" w:type="dxa"/>
          </w:tcPr>
          <w:p w14:paraId="0F5F1B7C" w14:textId="77777777" w:rsidR="00D85669" w:rsidRDefault="00D85669" w:rsidP="00F34762">
            <w:pPr>
              <w:numPr>
                <w:ilvl w:val="0"/>
                <w:numId w:val="213"/>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7A8F">
              <w:rPr>
                <w:rFonts w:ascii="Times New Roman" w:hAnsi="Times New Roman" w:cs="Times New Roman"/>
              </w:rPr>
              <w:t>Genome edited soya bean and oilseed rape.</w:t>
            </w:r>
          </w:p>
          <w:p w14:paraId="4EAE2DDA" w14:textId="77777777" w:rsidR="00D85669" w:rsidRDefault="00D85669" w:rsidP="00F34762">
            <w:pPr>
              <w:numPr>
                <w:ilvl w:val="0"/>
                <w:numId w:val="213"/>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00F8D">
              <w:rPr>
                <w:rFonts w:ascii="Times New Roman" w:hAnsi="Times New Roman" w:cs="Times New Roman"/>
              </w:rPr>
              <w:t>Self-limiting insects.</w:t>
            </w:r>
          </w:p>
          <w:p w14:paraId="0B21DAD1" w14:textId="77777777" w:rsidR="00D85669" w:rsidRPr="007B5CD0" w:rsidRDefault="00D85669" w:rsidP="00F34762">
            <w:pPr>
              <w:numPr>
                <w:ilvl w:val="0"/>
                <w:numId w:val="213"/>
              </w:numPr>
              <w:spacing w:after="0"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0344D">
              <w:rPr>
                <w:rFonts w:ascii="Times New Roman" w:hAnsi="Times New Roman"/>
              </w:rPr>
              <w:t>Biological nitrogen fertiliser based on engineered bacteria.</w:t>
            </w:r>
          </w:p>
        </w:tc>
      </w:tr>
      <w:tr w:rsidR="00F34AF8" w:rsidRPr="00E0344D" w14:paraId="01039CF0" w14:textId="45C9CDBD" w:rsidTr="00C73C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9" w:type="dxa"/>
          </w:tcPr>
          <w:p w14:paraId="4D49376B" w14:textId="77777777" w:rsidR="00F34AF8" w:rsidRPr="00E0344D" w:rsidRDefault="00F34AF8" w:rsidP="002B2A28">
            <w:pPr>
              <w:spacing w:after="0" w:line="240" w:lineRule="auto"/>
              <w:rPr>
                <w:rFonts w:ascii="Times New Roman" w:hAnsi="Times New Roman"/>
              </w:rPr>
            </w:pPr>
            <w:r w:rsidRPr="00E0344D">
              <w:rPr>
                <w:rFonts w:ascii="Times New Roman" w:hAnsi="Times New Roman"/>
              </w:rPr>
              <w:t>Unmanaged or wild settings</w:t>
            </w:r>
          </w:p>
        </w:tc>
        <w:tc>
          <w:tcPr>
            <w:tcW w:w="2339" w:type="dxa"/>
          </w:tcPr>
          <w:p w14:paraId="1F7885C6" w14:textId="77777777" w:rsidR="00F34AF8" w:rsidRPr="00E0344D" w:rsidRDefault="00F34AF8" w:rsidP="002B2A28">
            <w:pPr>
              <w:numPr>
                <w:ilvl w:val="0"/>
                <w:numId w:val="212"/>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 xml:space="preserve">Genetically engineered bacteria for environmental applications, such as </w:t>
            </w:r>
            <w:r w:rsidRPr="00E0344D">
              <w:rPr>
                <w:rFonts w:ascii="Times New Roman" w:hAnsi="Times New Roman"/>
              </w:rPr>
              <w:lastRenderedPageBreak/>
              <w:t>bioremediation, biodegradation and biomining.</w:t>
            </w:r>
          </w:p>
          <w:p w14:paraId="6DB0B32D" w14:textId="77777777" w:rsidR="00F34AF8" w:rsidRPr="00E0344D" w:rsidRDefault="00F34AF8" w:rsidP="002B2A28">
            <w:pPr>
              <w:numPr>
                <w:ilvl w:val="0"/>
                <w:numId w:val="212"/>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Conservation purposes and control of vector-borne disease.</w:t>
            </w:r>
          </w:p>
          <w:p w14:paraId="2ED6C9AC" w14:textId="77777777" w:rsidR="00F34AF8" w:rsidRPr="00E0344D" w:rsidRDefault="00F34AF8" w:rsidP="002B2A28">
            <w:pPr>
              <w:numPr>
                <w:ilvl w:val="0"/>
                <w:numId w:val="212"/>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t>Improving the resilience of wild animal and plant populations</w:t>
            </w:r>
          </w:p>
        </w:tc>
        <w:tc>
          <w:tcPr>
            <w:tcW w:w="2339" w:type="dxa"/>
          </w:tcPr>
          <w:p w14:paraId="44AE177E" w14:textId="1CC49D02" w:rsidR="00F34AF8" w:rsidRPr="002B2A28" w:rsidRDefault="00F34AF8" w:rsidP="002B2A28">
            <w:pPr>
              <w:numPr>
                <w:ilvl w:val="0"/>
                <w:numId w:val="212"/>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0344D">
              <w:rPr>
                <w:rFonts w:ascii="Times New Roman" w:hAnsi="Times New Roman"/>
              </w:rPr>
              <w:lastRenderedPageBreak/>
              <w:t>No information</w:t>
            </w:r>
          </w:p>
        </w:tc>
        <w:tc>
          <w:tcPr>
            <w:tcW w:w="2339" w:type="dxa"/>
          </w:tcPr>
          <w:p w14:paraId="69E6A2B9" w14:textId="2946438D" w:rsidR="00F34AF8" w:rsidRPr="007B5CD0" w:rsidRDefault="00F34AF8" w:rsidP="002B2A28">
            <w:pPr>
              <w:numPr>
                <w:ilvl w:val="0"/>
                <w:numId w:val="212"/>
              </w:num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73CBE">
              <w:rPr>
                <w:rFonts w:ascii="Times New Roman" w:hAnsi="Times New Roman" w:cs="Times New Roman"/>
              </w:rPr>
              <w:t>No information</w:t>
            </w:r>
          </w:p>
        </w:tc>
      </w:tr>
    </w:tbl>
    <w:p w14:paraId="2956EC71" w14:textId="77777777" w:rsidR="00E0344D" w:rsidRPr="00E0344D" w:rsidRDefault="00E0344D" w:rsidP="00E0344D">
      <w:pPr>
        <w:spacing w:after="120" w:line="240" w:lineRule="auto"/>
        <w:jc w:val="both"/>
        <w:rPr>
          <w:rFonts w:ascii="Times New Roman" w:hAnsi="Times New Roman"/>
        </w:rPr>
      </w:pPr>
    </w:p>
    <w:p w14:paraId="33B744B1" w14:textId="4B8D43C5" w:rsidR="00A268DA" w:rsidRPr="00A268DA" w:rsidRDefault="00F67CD4" w:rsidP="00F67CD4">
      <w:pPr>
        <w:keepNext/>
        <w:spacing w:before="240" w:after="240" w:line="240" w:lineRule="auto"/>
        <w:jc w:val="center"/>
        <w:outlineLvl w:val="0"/>
        <w:rPr>
          <w:rFonts w:ascii="Times New Roman" w:eastAsia="Times New Roman" w:hAnsi="Times New Roman"/>
          <w:b/>
          <w:caps/>
          <w:kern w:val="1"/>
          <w:lang w:eastAsia="ar-SA"/>
        </w:rPr>
      </w:pPr>
      <w:bookmarkStart w:id="15" w:name="_Toc70112656"/>
      <w:bookmarkStart w:id="16" w:name="_Toc70685678"/>
      <w:r>
        <w:rPr>
          <w:rFonts w:ascii="Times New Roman" w:eastAsia="Times New Roman" w:hAnsi="Times New Roman"/>
          <w:b/>
          <w:caps/>
          <w:kern w:val="1"/>
          <w:szCs w:val="24"/>
          <w:lang w:eastAsia="ar-SA"/>
        </w:rPr>
        <w:t>B.</w:t>
      </w:r>
      <w:r w:rsidR="00AF4794">
        <w:rPr>
          <w:rFonts w:ascii="Times New Roman" w:eastAsia="Times New Roman" w:hAnsi="Times New Roman"/>
          <w:b/>
          <w:caps/>
          <w:kern w:val="1"/>
          <w:szCs w:val="24"/>
          <w:lang w:eastAsia="ar-SA"/>
        </w:rPr>
        <w:tab/>
      </w:r>
      <w:r w:rsidR="0089772D" w:rsidRPr="003E7CA3">
        <w:rPr>
          <w:rFonts w:ascii="Times New Roman" w:eastAsia="Times New Roman" w:hAnsi="Times New Roman"/>
          <w:b/>
          <w:iCs/>
          <w:kern w:val="1"/>
          <w:lang w:eastAsia="ar-SA"/>
        </w:rPr>
        <w:t>SCOPE AND METHODS</w:t>
      </w:r>
      <w:bookmarkEnd w:id="12"/>
      <w:bookmarkEnd w:id="13"/>
      <w:bookmarkEnd w:id="14"/>
      <w:bookmarkEnd w:id="15"/>
      <w:bookmarkEnd w:id="16"/>
    </w:p>
    <w:p w14:paraId="29BCC1EE" w14:textId="5F0A3716" w:rsidR="00A268DA" w:rsidRDefault="00A268DA" w:rsidP="004E3007">
      <w:pPr>
        <w:spacing w:before="240" w:after="120" w:line="240" w:lineRule="auto"/>
        <w:jc w:val="both"/>
        <w:rPr>
          <w:rFonts w:ascii="Times New Roman" w:eastAsia="Times New Roman" w:hAnsi="Times New Roman"/>
          <w:iCs/>
          <w:color w:val="000000"/>
          <w:kern w:val="1"/>
          <w:lang w:eastAsia="ar-SA"/>
        </w:rPr>
      </w:pPr>
      <w:r w:rsidRPr="00A268DA">
        <w:rPr>
          <w:rFonts w:ascii="Times New Roman" w:eastAsia="Times New Roman" w:hAnsi="Times New Roman"/>
          <w:bCs/>
          <w:iCs/>
          <w:kern w:val="1"/>
          <w:lang w:eastAsia="ar-SA"/>
        </w:rPr>
        <w:t>Synthetic biology falls within the scope of biotechnology, as defined by the Convention on Biological Diversity</w:t>
      </w:r>
      <w:r w:rsidR="0019116A">
        <w:rPr>
          <w:rFonts w:ascii="Times New Roman" w:eastAsia="Times New Roman" w:hAnsi="Times New Roman"/>
          <w:bCs/>
          <w:iCs/>
          <w:kern w:val="1"/>
          <w:lang w:eastAsia="ar-SA"/>
        </w:rPr>
        <w:t xml:space="preserve"> </w:t>
      </w:r>
      <w:r w:rsidR="00AF4E11">
        <w:rPr>
          <w:rFonts w:ascii="Times New Roman" w:eastAsia="Times New Roman" w:hAnsi="Times New Roman"/>
          <w:bCs/>
          <w:iCs/>
          <w:kern w:val="1"/>
          <w:lang w:eastAsia="ar-SA"/>
        </w:rPr>
        <w:fldChar w:fldCharType="begin" w:fldLock="1"/>
      </w:r>
      <w:r w:rsidR="00BF5DC3">
        <w:rPr>
          <w:rFonts w:ascii="Times New Roman" w:eastAsia="Times New Roman" w:hAnsi="Times New Roman"/>
          <w:bCs/>
          <w:iCs/>
          <w:kern w:val="1"/>
          <w:lang w:eastAsia="ar-SA"/>
        </w:rPr>
        <w:instrText>ADDIN CSL_CITATION {"citationItems":[{"id":"ITEM-1","itemData":{"author":[{"dropping-particle":"","family":"United Nations","given":"","non-dropping-particle":"","parse-names":false,"suffix":""}],"id":"ITEM-1","issued":{"date-parts":[["1992"]]},"title":"Convention on Biological Diversity","type":"article"},"uris":["http://www.mendeley.com/documents/?uuid=bbbc7b37-0ca1-4da2-a0d2-c56af84482cc"]}],"mendeley":{"formattedCitation":"(United Nations, 1992)","plainTextFormattedCitation":"(United Nations, 1992)","previouslyFormattedCitation":"(United Nations, 1992)"},"properties":{"noteIndex":0},"schema":"https://github.com/citation-style-language/schema/raw/master/csl-citation.json"}</w:instrText>
      </w:r>
      <w:r w:rsidR="00AF4E11">
        <w:rPr>
          <w:rFonts w:ascii="Times New Roman" w:eastAsia="Times New Roman" w:hAnsi="Times New Roman"/>
          <w:bCs/>
          <w:iCs/>
          <w:kern w:val="1"/>
          <w:lang w:eastAsia="ar-SA"/>
        </w:rPr>
        <w:fldChar w:fldCharType="separate"/>
      </w:r>
      <w:r w:rsidR="00AF4E11" w:rsidRPr="00AF4E11">
        <w:rPr>
          <w:rFonts w:ascii="Times New Roman" w:eastAsia="Times New Roman" w:hAnsi="Times New Roman"/>
          <w:bCs/>
          <w:iCs/>
          <w:noProof/>
          <w:kern w:val="1"/>
          <w:lang w:eastAsia="ar-SA"/>
        </w:rPr>
        <w:t>(United Nations, 1992)</w:t>
      </w:r>
      <w:r w:rsidR="00AF4E11">
        <w:rPr>
          <w:rFonts w:ascii="Times New Roman" w:eastAsia="Times New Roman" w:hAnsi="Times New Roman"/>
          <w:bCs/>
          <w:iCs/>
          <w:kern w:val="1"/>
          <w:lang w:eastAsia="ar-SA"/>
        </w:rPr>
        <w:fldChar w:fldCharType="end"/>
      </w:r>
      <w:r w:rsidR="0019116A">
        <w:rPr>
          <w:rFonts w:ascii="Times New Roman" w:eastAsia="Times New Roman" w:hAnsi="Times New Roman"/>
          <w:iCs/>
          <w:kern w:val="1"/>
          <w:lang w:eastAsia="ar-SA"/>
        </w:rPr>
        <w:t xml:space="preserve"> </w:t>
      </w:r>
      <w:r w:rsidRPr="00A268DA">
        <w:rPr>
          <w:rFonts w:ascii="Times New Roman" w:eastAsia="Times New Roman" w:hAnsi="Times New Roman"/>
          <w:bCs/>
          <w:iCs/>
          <w:kern w:val="1"/>
          <w:lang w:eastAsia="ar-SA"/>
        </w:rPr>
        <w:t xml:space="preserve">i.e. </w:t>
      </w:r>
      <w:r w:rsidRPr="0019116A">
        <w:rPr>
          <w:rFonts w:ascii="Times New Roman" w:eastAsia="Times New Roman" w:hAnsi="Times New Roman"/>
          <w:bCs/>
          <w:iCs/>
          <w:kern w:val="1"/>
          <w:lang w:eastAsia="ar-SA"/>
        </w:rPr>
        <w:t>“</w:t>
      </w:r>
      <w:r w:rsidRPr="001837E9">
        <w:rPr>
          <w:rFonts w:ascii="Times New Roman" w:eastAsia="Times New Roman" w:hAnsi="Times New Roman"/>
          <w:i/>
          <w:kern w:val="1"/>
          <w:lang w:eastAsia="ar-SA"/>
        </w:rPr>
        <w:t>... any technological application that uses biological systems, living organisms, or derivatives thereof, to make or modify products or processes for specific use.</w:t>
      </w:r>
      <w:r w:rsidRPr="00A268DA">
        <w:rPr>
          <w:rFonts w:ascii="Times New Roman" w:eastAsia="Times New Roman" w:hAnsi="Times New Roman"/>
          <w:bCs/>
          <w:iCs/>
          <w:kern w:val="1"/>
          <w:lang w:eastAsia="ar-SA"/>
        </w:rPr>
        <w:t>”</w:t>
      </w:r>
      <w:r w:rsidRPr="00A268DA">
        <w:rPr>
          <w:rFonts w:ascii="Times New Roman" w:eastAsia="Times New Roman" w:hAnsi="Times New Roman"/>
          <w:iCs/>
          <w:kern w:val="1"/>
          <w:lang w:eastAsia="ar-SA"/>
        </w:rPr>
        <w:t xml:space="preserve"> Synthetic biology methodologies and techniques share various degrees of overlap with those of “modern biotechnology” and</w:t>
      </w:r>
      <w:r w:rsidRPr="00A268DA">
        <w:rPr>
          <w:rFonts w:ascii="Times New Roman" w:eastAsia="Times New Roman" w:hAnsi="Times New Roman"/>
          <w:iCs/>
          <w:color w:val="000000"/>
          <w:kern w:val="1"/>
          <w:lang w:eastAsia="ar-SA"/>
        </w:rPr>
        <w:t>, in particular, the “</w:t>
      </w:r>
      <w:r w:rsidRPr="001837E9">
        <w:rPr>
          <w:rFonts w:ascii="Times New Roman" w:eastAsia="Times New Roman" w:hAnsi="Times New Roman"/>
          <w:i/>
          <w:color w:val="000000"/>
          <w:kern w:val="1"/>
          <w:lang w:eastAsia="ar-SA"/>
        </w:rPr>
        <w:t xml:space="preserve">application of </w:t>
      </w:r>
      <w:r w:rsidRPr="0019116A">
        <w:rPr>
          <w:rFonts w:ascii="Times New Roman" w:eastAsia="Times New Roman" w:hAnsi="Times New Roman"/>
          <w:i/>
          <w:color w:val="000000"/>
          <w:kern w:val="1"/>
          <w:lang w:eastAsia="ar-SA"/>
        </w:rPr>
        <w:t>in vitro</w:t>
      </w:r>
      <w:r w:rsidRPr="007651C5">
        <w:rPr>
          <w:rFonts w:ascii="Times New Roman" w:eastAsia="Times New Roman" w:hAnsi="Times New Roman"/>
          <w:i/>
          <w:color w:val="000000"/>
          <w:kern w:val="1"/>
          <w:lang w:eastAsia="ar-SA"/>
        </w:rPr>
        <w:t xml:space="preserve"> nucleic acid techniques […] that overcome natural physiological reproductive or recombination barriers and that are not techniques used in traditional breeding and selection</w:t>
      </w:r>
      <w:r w:rsidRPr="00A268DA">
        <w:rPr>
          <w:rFonts w:ascii="Times New Roman" w:eastAsia="Times New Roman" w:hAnsi="Times New Roman"/>
          <w:iCs/>
          <w:color w:val="000000"/>
          <w:kern w:val="1"/>
          <w:lang w:eastAsia="ar-SA"/>
        </w:rPr>
        <w:t>” as defined in the Cartagena Protocol on Biosafety</w:t>
      </w:r>
      <w:r w:rsidR="0019116A">
        <w:rPr>
          <w:rFonts w:ascii="Times New Roman" w:eastAsia="Times New Roman" w:hAnsi="Times New Roman"/>
          <w:iCs/>
          <w:color w:val="000000"/>
          <w:kern w:val="1"/>
          <w:lang w:eastAsia="ar-SA"/>
        </w:rPr>
        <w:t xml:space="preserve"> </w:t>
      </w:r>
      <w:r w:rsidR="007651C5">
        <w:rPr>
          <w:rFonts w:ascii="Times New Roman" w:eastAsia="Times New Roman" w:hAnsi="Times New Roman"/>
          <w:color w:val="000000"/>
          <w:kern w:val="1"/>
          <w:lang w:eastAsia="ar-SA"/>
        </w:rPr>
        <w:fldChar w:fldCharType="begin" w:fldLock="1"/>
      </w:r>
      <w:r w:rsidR="008F6A90">
        <w:rPr>
          <w:rFonts w:ascii="Times New Roman" w:eastAsia="Times New Roman" w:hAnsi="Times New Roman"/>
          <w:color w:val="000000"/>
          <w:kern w:val="1"/>
          <w:lang w:eastAsia="ar-SA"/>
        </w:rPr>
        <w:instrText>ADDIN CSL_CITATION {"citationItems":[{"id":"ITEM-1","itemData":{"ISBN":"9280719246","author":[{"dropping-particle":"","family":"Secretariat of the Convention on Biological Diversity","given":"","non-dropping-particle":"","parse-names":false,"suffix":""}],"id":"ITEM-1","issued":{"date-parts":[["2000"]]},"publisher-place":"Montreal","title":"Cartagena Protocol on Biosafety to the Convention on Biological Diversity. Text and Annexes","type":"report"},"uris":["http://www.mendeley.com/documents/?uuid=580d2c1b-0b52-43e9-98cb-d69b4f2c79c9"]}],"mendeley":{"formattedCitation":"(Secretariat of the Convention on Biological Diversity, 2000)","plainTextFormattedCitation":"(Secretariat of the Convention on Biological Diversity, 2000)","previouslyFormattedCitation":"(Secretariat of the Convention on Biological Diversity, 2000)"},"properties":{"noteIndex":0},"schema":"https://github.com/citation-style-language/schema/raw/master/csl-citation.json"}</w:instrText>
      </w:r>
      <w:r w:rsidR="007651C5">
        <w:rPr>
          <w:rFonts w:ascii="Times New Roman" w:eastAsia="Times New Roman" w:hAnsi="Times New Roman"/>
          <w:color w:val="000000"/>
          <w:kern w:val="1"/>
          <w:lang w:eastAsia="ar-SA"/>
        </w:rPr>
        <w:fldChar w:fldCharType="separate"/>
      </w:r>
      <w:r w:rsidR="006C228B" w:rsidRPr="006C228B">
        <w:rPr>
          <w:rFonts w:ascii="Times New Roman" w:eastAsia="Times New Roman" w:hAnsi="Times New Roman"/>
          <w:noProof/>
          <w:color w:val="000000"/>
          <w:kern w:val="1"/>
          <w:lang w:eastAsia="ar-SA"/>
        </w:rPr>
        <w:t>(Secretariat of the Convention on Biological Diversity, 2000)</w:t>
      </w:r>
      <w:r w:rsidR="007651C5">
        <w:rPr>
          <w:rFonts w:ascii="Times New Roman" w:eastAsia="Times New Roman" w:hAnsi="Times New Roman"/>
          <w:color w:val="000000"/>
          <w:kern w:val="1"/>
          <w:lang w:eastAsia="ar-SA"/>
        </w:rPr>
        <w:fldChar w:fldCharType="end"/>
      </w:r>
      <w:r w:rsidRPr="00A268DA">
        <w:rPr>
          <w:rFonts w:ascii="Times New Roman" w:eastAsia="Times New Roman" w:hAnsi="Times New Roman"/>
          <w:color w:val="000000"/>
          <w:kern w:val="1"/>
          <w:lang w:eastAsia="ar-SA"/>
        </w:rPr>
        <w:t>.</w:t>
      </w:r>
    </w:p>
    <w:p w14:paraId="027AF743" w14:textId="6714DE29" w:rsidR="00A87811" w:rsidRDefault="00A87811" w:rsidP="004E3007">
      <w:pPr>
        <w:spacing w:before="240" w:after="120" w:line="240" w:lineRule="auto"/>
        <w:jc w:val="both"/>
        <w:rPr>
          <w:rFonts w:ascii="Times New Roman" w:eastAsia="Times New Roman" w:hAnsi="Times New Roman"/>
          <w:kern w:val="1"/>
          <w:lang w:eastAsia="ar-SA"/>
        </w:rPr>
      </w:pPr>
      <w:r w:rsidRPr="3613C1BA">
        <w:rPr>
          <w:rFonts w:ascii="Times New Roman" w:eastAsia="Times New Roman" w:hAnsi="Times New Roman"/>
          <w:kern w:val="1"/>
          <w:lang w:eastAsia="ar-SA"/>
        </w:rPr>
        <w:t xml:space="preserve">While there is no internationally agreed definition of “synthetic biology”, in decision XIII/17, paragraph 4, the Conference of the Parties </w:t>
      </w:r>
      <w:r w:rsidR="000B6DFC" w:rsidRPr="3613C1BA">
        <w:rPr>
          <w:rFonts w:ascii="Times New Roman" w:eastAsia="Times New Roman" w:hAnsi="Times New Roman"/>
          <w:lang w:eastAsia="ar-SA"/>
        </w:rPr>
        <w:t xml:space="preserve">(COP) </w:t>
      </w:r>
      <w:r w:rsidRPr="3613C1BA">
        <w:rPr>
          <w:rFonts w:ascii="Times New Roman" w:eastAsia="Times New Roman" w:hAnsi="Times New Roman"/>
          <w:kern w:val="1"/>
          <w:lang w:eastAsia="ar-SA"/>
        </w:rPr>
        <w:t xml:space="preserve">acknowledges that the outcome of the work of the Ad Hoc Technical Expert Group </w:t>
      </w:r>
      <w:r w:rsidR="0070755D" w:rsidRPr="3613C1BA">
        <w:rPr>
          <w:rFonts w:ascii="Times New Roman" w:eastAsia="Times New Roman" w:hAnsi="Times New Roman"/>
          <w:lang w:eastAsia="ar-SA"/>
        </w:rPr>
        <w:t>(AHTEG)</w:t>
      </w:r>
      <w:r w:rsidR="00BE14DA" w:rsidRPr="3613C1BA">
        <w:rPr>
          <w:rFonts w:ascii="Times New Roman" w:eastAsia="Times New Roman" w:hAnsi="Times New Roman"/>
          <w:lang w:eastAsia="ar-SA"/>
        </w:rPr>
        <w:t xml:space="preserve"> </w:t>
      </w:r>
      <w:r w:rsidRPr="3613C1BA">
        <w:rPr>
          <w:rFonts w:ascii="Times New Roman" w:eastAsia="Times New Roman" w:hAnsi="Times New Roman"/>
          <w:kern w:val="1"/>
          <w:lang w:eastAsia="ar-SA"/>
        </w:rPr>
        <w:t>on Synthetic Biology on the operational definition is “</w:t>
      </w:r>
      <w:r w:rsidRPr="00C847CA">
        <w:rPr>
          <w:rFonts w:ascii="Times New Roman" w:eastAsia="Times New Roman" w:hAnsi="Times New Roman"/>
          <w:i/>
          <w:kern w:val="1"/>
          <w:lang w:eastAsia="ar-SA"/>
        </w:rPr>
        <w:t xml:space="preserve">synthetic biology is a further development and new dimension of modern biotechnology that combines science, technology and engineering to facilitate and accelerate the understanding, design, redesign, manufacture and/or modification of genetic </w:t>
      </w:r>
      <w:r w:rsidRPr="3613C1BA">
        <w:rPr>
          <w:rFonts w:ascii="Times New Roman" w:eastAsia="Times New Roman" w:hAnsi="Times New Roman"/>
          <w:kern w:val="1"/>
          <w:lang w:eastAsia="ar-SA"/>
        </w:rPr>
        <w:t>materials</w:t>
      </w:r>
      <w:r w:rsidRPr="00C847CA">
        <w:rPr>
          <w:rFonts w:ascii="Times New Roman" w:eastAsia="Times New Roman" w:hAnsi="Times New Roman"/>
          <w:i/>
          <w:kern w:val="1"/>
          <w:lang w:eastAsia="ar-SA"/>
        </w:rPr>
        <w:t>, living organisms and biological systems</w:t>
      </w:r>
      <w:r w:rsidRPr="3613C1BA">
        <w:rPr>
          <w:rFonts w:ascii="Times New Roman" w:eastAsia="Times New Roman" w:hAnsi="Times New Roman"/>
          <w:kern w:val="1"/>
          <w:lang w:eastAsia="ar-SA"/>
        </w:rPr>
        <w:t>”, and considered it useful as a starting point for the purpose of facilitating scientific and technical deliberations under the Convention and its Protocols.</w:t>
      </w:r>
      <w:r w:rsidR="5C5177C9" w:rsidRPr="3613C1BA">
        <w:rPr>
          <w:rFonts w:ascii="Times New Roman" w:eastAsia="Times New Roman" w:hAnsi="Times New Roman"/>
          <w:kern w:val="1"/>
          <w:lang w:eastAsia="ar-SA"/>
        </w:rPr>
        <w:t xml:space="preserve"> </w:t>
      </w:r>
    </w:p>
    <w:p w14:paraId="031FA7D5" w14:textId="6FA462DF" w:rsidR="00003CEC" w:rsidRDefault="000E7344" w:rsidP="005475F6">
      <w:pPr>
        <w:spacing w:before="240" w:after="120" w:line="240" w:lineRule="auto"/>
        <w:jc w:val="both"/>
        <w:rPr>
          <w:rFonts w:ascii="Times New Roman" w:eastAsia="Times New Roman" w:hAnsi="Times New Roman"/>
          <w:kern w:val="1"/>
          <w:lang w:eastAsia="ar-SA"/>
        </w:rPr>
      </w:pPr>
      <w:r>
        <w:rPr>
          <w:rFonts w:ascii="Times New Roman" w:eastAsia="Times New Roman" w:hAnsi="Times New Roman"/>
          <w:kern w:val="1"/>
          <w:lang w:eastAsia="ar-SA"/>
        </w:rPr>
        <w:t>Acknow</w:t>
      </w:r>
      <w:r w:rsidR="00C94390">
        <w:rPr>
          <w:rFonts w:ascii="Times New Roman" w:eastAsia="Times New Roman" w:hAnsi="Times New Roman"/>
          <w:kern w:val="1"/>
          <w:lang w:eastAsia="ar-SA"/>
        </w:rPr>
        <w:t>ledging that</w:t>
      </w:r>
      <w:r w:rsidR="00005B45" w:rsidRPr="3613C1BA">
        <w:rPr>
          <w:rFonts w:ascii="Times New Roman" w:eastAsia="Times New Roman" w:hAnsi="Times New Roman"/>
          <w:kern w:val="1"/>
          <w:lang w:eastAsia="ar-SA"/>
        </w:rPr>
        <w:t xml:space="preserve"> there are different views </w:t>
      </w:r>
      <w:r w:rsidR="00C94390">
        <w:rPr>
          <w:rFonts w:ascii="Times New Roman" w:eastAsia="Times New Roman" w:hAnsi="Times New Roman"/>
          <w:kern w:val="1"/>
          <w:lang w:eastAsia="ar-SA"/>
        </w:rPr>
        <w:t>c</w:t>
      </w:r>
      <w:r w:rsidR="00005B45" w:rsidRPr="3613C1BA">
        <w:rPr>
          <w:rFonts w:ascii="Times New Roman" w:eastAsia="Times New Roman" w:hAnsi="Times New Roman"/>
          <w:kern w:val="1"/>
          <w:lang w:eastAsia="ar-SA"/>
        </w:rPr>
        <w:t>on</w:t>
      </w:r>
      <w:r w:rsidR="00C94390">
        <w:rPr>
          <w:rFonts w:ascii="Times New Roman" w:eastAsia="Times New Roman" w:hAnsi="Times New Roman"/>
          <w:kern w:val="1"/>
          <w:lang w:eastAsia="ar-SA"/>
        </w:rPr>
        <w:t>cerning</w:t>
      </w:r>
      <w:r w:rsidR="00005B45" w:rsidRPr="3613C1BA">
        <w:rPr>
          <w:rFonts w:ascii="Times New Roman" w:eastAsia="Times New Roman" w:hAnsi="Times New Roman"/>
          <w:kern w:val="1"/>
          <w:lang w:eastAsia="ar-SA"/>
        </w:rPr>
        <w:t xml:space="preserve"> wh</w:t>
      </w:r>
      <w:r w:rsidR="00C94390">
        <w:rPr>
          <w:rFonts w:ascii="Times New Roman" w:eastAsia="Times New Roman" w:hAnsi="Times New Roman"/>
          <w:kern w:val="1"/>
          <w:lang w:eastAsia="ar-SA"/>
        </w:rPr>
        <w:t>ich</w:t>
      </w:r>
      <w:r w:rsidR="00005B45" w:rsidRPr="3613C1BA">
        <w:rPr>
          <w:rFonts w:ascii="Times New Roman" w:eastAsia="Times New Roman" w:hAnsi="Times New Roman"/>
          <w:kern w:val="1"/>
          <w:lang w:eastAsia="ar-SA"/>
        </w:rPr>
        <w:t xml:space="preserve"> </w:t>
      </w:r>
      <w:r w:rsidR="00C94390">
        <w:rPr>
          <w:rFonts w:ascii="Times New Roman" w:eastAsia="Times New Roman" w:hAnsi="Times New Roman"/>
          <w:kern w:val="1"/>
          <w:lang w:eastAsia="ar-SA"/>
        </w:rPr>
        <w:t xml:space="preserve">techniques </w:t>
      </w:r>
      <w:r w:rsidR="00005B45" w:rsidRPr="3613C1BA">
        <w:rPr>
          <w:rFonts w:ascii="Times New Roman" w:eastAsia="Times New Roman" w:hAnsi="Times New Roman"/>
          <w:kern w:val="1"/>
          <w:lang w:eastAsia="ar-SA"/>
        </w:rPr>
        <w:t xml:space="preserve">fall under the </w:t>
      </w:r>
      <w:r w:rsidR="00F73D0D" w:rsidRPr="3613C1BA">
        <w:rPr>
          <w:rFonts w:ascii="Times New Roman" w:eastAsia="Times New Roman" w:hAnsi="Times New Roman"/>
          <w:kern w:val="1"/>
          <w:lang w:eastAsia="ar-SA"/>
        </w:rPr>
        <w:t xml:space="preserve">above </w:t>
      </w:r>
      <w:r w:rsidR="00005B45" w:rsidRPr="3613C1BA">
        <w:rPr>
          <w:rFonts w:ascii="Times New Roman" w:eastAsia="Times New Roman" w:hAnsi="Times New Roman"/>
          <w:kern w:val="1"/>
          <w:lang w:eastAsia="ar-SA"/>
        </w:rPr>
        <w:t>definition of synthetic biology</w:t>
      </w:r>
      <w:r w:rsidR="00005B45" w:rsidRPr="3613C1BA" w:rsidDel="001315D3">
        <w:rPr>
          <w:rFonts w:ascii="Times New Roman" w:eastAsia="Times New Roman" w:hAnsi="Times New Roman"/>
          <w:kern w:val="1"/>
          <w:lang w:eastAsia="ar-SA"/>
        </w:rPr>
        <w:t xml:space="preserve">, </w:t>
      </w:r>
      <w:r w:rsidR="00005B45" w:rsidRPr="3613C1BA">
        <w:rPr>
          <w:rFonts w:ascii="Times New Roman" w:eastAsia="Times New Roman" w:hAnsi="Times New Roman"/>
          <w:kern w:val="1"/>
          <w:lang w:eastAsia="ar-SA"/>
        </w:rPr>
        <w:t xml:space="preserve">the authors recognise that </w:t>
      </w:r>
      <w:r w:rsidR="00DC2C01" w:rsidRPr="3613C1BA">
        <w:rPr>
          <w:rFonts w:ascii="Times New Roman" w:eastAsia="Times New Roman" w:hAnsi="Times New Roman"/>
          <w:kern w:val="1"/>
          <w:lang w:eastAsia="ar-SA"/>
        </w:rPr>
        <w:t xml:space="preserve">some of the </w:t>
      </w:r>
      <w:r w:rsidR="00DC2C01" w:rsidRPr="00EB2EB3">
        <w:rPr>
          <w:rFonts w:ascii="Times New Roman" w:eastAsia="Times New Roman" w:hAnsi="Times New Roman"/>
          <w:kern w:val="1"/>
          <w:lang w:eastAsia="ar-SA"/>
        </w:rPr>
        <w:t>processes or products</w:t>
      </w:r>
      <w:r w:rsidR="00DC2C01" w:rsidRPr="3613C1BA">
        <w:rPr>
          <w:rFonts w:ascii="Times New Roman" w:eastAsia="Times New Roman" w:hAnsi="Times New Roman"/>
          <w:kern w:val="1"/>
          <w:lang w:eastAsia="ar-SA"/>
        </w:rPr>
        <w:t xml:space="preserve"> described </w:t>
      </w:r>
      <w:r w:rsidR="004356BB" w:rsidRPr="3613C1BA">
        <w:rPr>
          <w:rFonts w:ascii="Times New Roman" w:eastAsia="Times New Roman" w:hAnsi="Times New Roman"/>
          <w:lang w:eastAsia="ar-SA"/>
        </w:rPr>
        <w:t>i</w:t>
      </w:r>
      <w:r w:rsidR="00DC2C01" w:rsidRPr="3613C1BA">
        <w:rPr>
          <w:rFonts w:ascii="Times New Roman" w:eastAsia="Times New Roman" w:hAnsi="Times New Roman"/>
          <w:kern w:val="1"/>
          <w:lang w:eastAsia="ar-SA"/>
        </w:rPr>
        <w:t xml:space="preserve">n this document may </w:t>
      </w:r>
      <w:r w:rsidR="00B17565">
        <w:rPr>
          <w:rFonts w:ascii="Times New Roman" w:eastAsia="Times New Roman" w:hAnsi="Times New Roman"/>
          <w:kern w:val="1"/>
          <w:lang w:eastAsia="ar-SA"/>
        </w:rPr>
        <w:t xml:space="preserve">not be </w:t>
      </w:r>
      <w:r w:rsidR="008F469D">
        <w:rPr>
          <w:rFonts w:ascii="Times New Roman" w:eastAsia="Times New Roman" w:hAnsi="Times New Roman"/>
          <w:kern w:val="1"/>
          <w:lang w:eastAsia="ar-SA"/>
        </w:rPr>
        <w:t xml:space="preserve">considered </w:t>
      </w:r>
      <w:r w:rsidR="00D87723">
        <w:rPr>
          <w:rFonts w:ascii="Times New Roman" w:eastAsia="Times New Roman" w:hAnsi="Times New Roman"/>
          <w:kern w:val="1"/>
          <w:lang w:eastAsia="ar-SA"/>
        </w:rPr>
        <w:t>as synthetic biology approaches</w:t>
      </w:r>
      <w:r w:rsidR="008E1CDE">
        <w:rPr>
          <w:rFonts w:ascii="Times New Roman" w:eastAsia="Times New Roman" w:hAnsi="Times New Roman"/>
          <w:kern w:val="1"/>
          <w:lang w:eastAsia="ar-SA"/>
        </w:rPr>
        <w:t xml:space="preserve"> and applications</w:t>
      </w:r>
      <w:r w:rsidR="0003230D">
        <w:rPr>
          <w:rFonts w:ascii="Times New Roman" w:eastAsia="Times New Roman" w:hAnsi="Times New Roman"/>
          <w:kern w:val="1"/>
          <w:lang w:eastAsia="ar-SA"/>
        </w:rPr>
        <w:t xml:space="preserve"> by all read</w:t>
      </w:r>
      <w:r w:rsidR="00D12B57">
        <w:rPr>
          <w:rFonts w:ascii="Times New Roman" w:eastAsia="Times New Roman" w:hAnsi="Times New Roman"/>
          <w:kern w:val="1"/>
          <w:lang w:eastAsia="ar-SA"/>
        </w:rPr>
        <w:t>ers</w:t>
      </w:r>
      <w:r w:rsidR="008E1CDE">
        <w:rPr>
          <w:rFonts w:ascii="Times New Roman" w:eastAsia="Times New Roman" w:hAnsi="Times New Roman"/>
          <w:kern w:val="1"/>
          <w:lang w:eastAsia="ar-SA"/>
        </w:rPr>
        <w:t xml:space="preserve">, however the broadest interpretation has been </w:t>
      </w:r>
      <w:r w:rsidR="004B3340">
        <w:rPr>
          <w:rFonts w:ascii="Times New Roman" w:eastAsia="Times New Roman" w:hAnsi="Times New Roman"/>
          <w:kern w:val="1"/>
          <w:lang w:eastAsia="ar-SA"/>
        </w:rPr>
        <w:t xml:space="preserve">made in order to </w:t>
      </w:r>
      <w:r w:rsidR="00BB3545">
        <w:rPr>
          <w:rFonts w:ascii="Times New Roman" w:eastAsia="Times New Roman" w:hAnsi="Times New Roman"/>
          <w:kern w:val="1"/>
          <w:lang w:eastAsia="ar-SA"/>
        </w:rPr>
        <w:t xml:space="preserve">be as </w:t>
      </w:r>
      <w:r w:rsidR="004B3340">
        <w:rPr>
          <w:rFonts w:ascii="Times New Roman" w:eastAsia="Times New Roman" w:hAnsi="Times New Roman"/>
          <w:kern w:val="1"/>
          <w:lang w:eastAsia="ar-SA"/>
        </w:rPr>
        <w:t>inclu</w:t>
      </w:r>
      <w:r w:rsidR="00BB3545">
        <w:rPr>
          <w:rFonts w:ascii="Times New Roman" w:eastAsia="Times New Roman" w:hAnsi="Times New Roman"/>
          <w:kern w:val="1"/>
          <w:lang w:eastAsia="ar-SA"/>
        </w:rPr>
        <w:t xml:space="preserve">sive </w:t>
      </w:r>
      <w:r w:rsidR="004B3340">
        <w:rPr>
          <w:rFonts w:ascii="Times New Roman" w:eastAsia="Times New Roman" w:hAnsi="Times New Roman"/>
          <w:kern w:val="1"/>
          <w:lang w:eastAsia="ar-SA"/>
        </w:rPr>
        <w:t xml:space="preserve">as </w:t>
      </w:r>
      <w:r w:rsidR="00BB3545">
        <w:rPr>
          <w:rFonts w:ascii="Times New Roman" w:eastAsia="Times New Roman" w:hAnsi="Times New Roman"/>
          <w:kern w:val="1"/>
          <w:lang w:eastAsia="ar-SA"/>
        </w:rPr>
        <w:t>possible</w:t>
      </w:r>
      <w:r w:rsidR="00056548">
        <w:rPr>
          <w:rFonts w:ascii="Times New Roman" w:eastAsia="Times New Roman" w:hAnsi="Times New Roman"/>
          <w:kern w:val="1"/>
          <w:lang w:eastAsia="ar-SA"/>
        </w:rPr>
        <w:t xml:space="preserve"> whilst at the same time not </w:t>
      </w:r>
      <w:r w:rsidR="00F61D96">
        <w:rPr>
          <w:rFonts w:ascii="Times New Roman" w:eastAsia="Times New Roman" w:hAnsi="Times New Roman"/>
          <w:kern w:val="1"/>
          <w:lang w:eastAsia="ar-SA"/>
        </w:rPr>
        <w:t xml:space="preserve">championing </w:t>
      </w:r>
      <w:r w:rsidR="00E37B0E">
        <w:rPr>
          <w:rFonts w:ascii="Times New Roman" w:eastAsia="Times New Roman" w:hAnsi="Times New Roman"/>
          <w:kern w:val="1"/>
          <w:lang w:eastAsia="ar-SA"/>
        </w:rPr>
        <w:t xml:space="preserve">this </w:t>
      </w:r>
      <w:r w:rsidR="008E2AA6">
        <w:rPr>
          <w:rFonts w:ascii="Times New Roman" w:eastAsia="Times New Roman" w:hAnsi="Times New Roman"/>
          <w:kern w:val="1"/>
          <w:lang w:eastAsia="ar-SA"/>
        </w:rPr>
        <w:t xml:space="preserve">interpretation as </w:t>
      </w:r>
      <w:r w:rsidR="007E6F1D">
        <w:rPr>
          <w:rFonts w:ascii="Times New Roman" w:eastAsia="Times New Roman" w:hAnsi="Times New Roman"/>
          <w:kern w:val="1"/>
          <w:lang w:eastAsia="ar-SA"/>
        </w:rPr>
        <w:t xml:space="preserve">being </w:t>
      </w:r>
      <w:r w:rsidR="002D7278">
        <w:rPr>
          <w:rFonts w:ascii="Times New Roman" w:eastAsia="Times New Roman" w:hAnsi="Times New Roman"/>
          <w:kern w:val="1"/>
          <w:lang w:eastAsia="ar-SA"/>
        </w:rPr>
        <w:t>definitive</w:t>
      </w:r>
      <w:r w:rsidR="00DC2C01" w:rsidRPr="3613C1BA">
        <w:rPr>
          <w:rFonts w:ascii="Times New Roman" w:eastAsia="Times New Roman" w:hAnsi="Times New Roman"/>
          <w:kern w:val="1"/>
          <w:lang w:eastAsia="ar-SA"/>
        </w:rPr>
        <w:t>.</w:t>
      </w:r>
      <w:r w:rsidR="00AB6792" w:rsidRPr="36140518">
        <w:rPr>
          <w:rFonts w:ascii="Times New Roman" w:eastAsia="Times New Roman" w:hAnsi="Times New Roman"/>
          <w:lang w:eastAsia="ar-SA"/>
        </w:rPr>
        <w:t xml:space="preserve"> </w:t>
      </w:r>
      <w:r w:rsidR="00F5792C">
        <w:rPr>
          <w:rFonts w:ascii="Times New Roman" w:eastAsia="Times New Roman" w:hAnsi="Times New Roman"/>
          <w:lang w:eastAsia="ar-SA"/>
        </w:rPr>
        <w:t>T</w:t>
      </w:r>
      <w:r w:rsidR="008D777E">
        <w:rPr>
          <w:rFonts w:ascii="Times New Roman" w:eastAsia="Times New Roman" w:hAnsi="Times New Roman"/>
          <w:lang w:eastAsia="ar-SA"/>
        </w:rPr>
        <w:t xml:space="preserve">he </w:t>
      </w:r>
      <w:r w:rsidR="00494918">
        <w:rPr>
          <w:rFonts w:ascii="Times New Roman" w:eastAsia="Times New Roman" w:hAnsi="Times New Roman"/>
          <w:lang w:eastAsia="ar-SA"/>
        </w:rPr>
        <w:t xml:space="preserve">authors have </w:t>
      </w:r>
      <w:r w:rsidR="00837283">
        <w:rPr>
          <w:rFonts w:ascii="Times New Roman" w:eastAsia="Times New Roman" w:hAnsi="Times New Roman"/>
          <w:lang w:eastAsia="ar-SA"/>
        </w:rPr>
        <w:t xml:space="preserve">also </w:t>
      </w:r>
      <w:r w:rsidR="00494918">
        <w:rPr>
          <w:rFonts w:ascii="Times New Roman" w:eastAsia="Times New Roman" w:hAnsi="Times New Roman"/>
          <w:lang w:eastAsia="ar-SA"/>
        </w:rPr>
        <w:t xml:space="preserve">attempted to </w:t>
      </w:r>
      <w:r w:rsidR="004F0FCC">
        <w:rPr>
          <w:rFonts w:ascii="Times New Roman" w:eastAsia="Times New Roman" w:hAnsi="Times New Roman"/>
          <w:lang w:eastAsia="ar-SA"/>
        </w:rPr>
        <w:t>achieve th</w:t>
      </w:r>
      <w:r w:rsidR="00494918">
        <w:rPr>
          <w:rFonts w:ascii="Times New Roman" w:eastAsia="Times New Roman" w:hAnsi="Times New Roman"/>
          <w:lang w:eastAsia="ar-SA"/>
        </w:rPr>
        <w:t xml:space="preserve">e </w:t>
      </w:r>
      <w:r w:rsidR="00F5792C">
        <w:rPr>
          <w:rFonts w:ascii="Times New Roman" w:eastAsia="Times New Roman" w:hAnsi="Times New Roman"/>
          <w:lang w:eastAsia="ar-SA"/>
        </w:rPr>
        <w:t xml:space="preserve">same degree of </w:t>
      </w:r>
      <w:r w:rsidR="00494918">
        <w:rPr>
          <w:rFonts w:ascii="Times New Roman" w:eastAsia="Times New Roman" w:hAnsi="Times New Roman"/>
          <w:lang w:eastAsia="ar-SA"/>
        </w:rPr>
        <w:t>inclusiv</w:t>
      </w:r>
      <w:r w:rsidR="00F5792C">
        <w:rPr>
          <w:rFonts w:ascii="Times New Roman" w:eastAsia="Times New Roman" w:hAnsi="Times New Roman"/>
          <w:lang w:eastAsia="ar-SA"/>
        </w:rPr>
        <w:t>ity</w:t>
      </w:r>
      <w:r w:rsidR="00494918">
        <w:rPr>
          <w:rFonts w:ascii="Times New Roman" w:eastAsia="Times New Roman" w:hAnsi="Times New Roman"/>
          <w:lang w:eastAsia="ar-SA"/>
        </w:rPr>
        <w:t xml:space="preserve"> </w:t>
      </w:r>
      <w:r w:rsidR="009C4116">
        <w:rPr>
          <w:rFonts w:ascii="Times New Roman" w:eastAsia="Times New Roman" w:hAnsi="Times New Roman"/>
          <w:lang w:eastAsia="ar-SA"/>
        </w:rPr>
        <w:t xml:space="preserve">when </w:t>
      </w:r>
      <w:r w:rsidR="00494918">
        <w:rPr>
          <w:rFonts w:ascii="Times New Roman" w:eastAsia="Times New Roman" w:hAnsi="Times New Roman"/>
          <w:lang w:eastAsia="ar-SA"/>
        </w:rPr>
        <w:t xml:space="preserve">presenting </w:t>
      </w:r>
      <w:r w:rsidR="00EC3331">
        <w:rPr>
          <w:rFonts w:ascii="Times New Roman" w:eastAsia="Times New Roman" w:hAnsi="Times New Roman"/>
          <w:lang w:eastAsia="ar-SA"/>
        </w:rPr>
        <w:t xml:space="preserve">the numerous published perspectives </w:t>
      </w:r>
      <w:r w:rsidR="00B34A6F">
        <w:rPr>
          <w:rFonts w:ascii="Times New Roman" w:eastAsia="Times New Roman" w:hAnsi="Times New Roman"/>
          <w:lang w:eastAsia="ar-SA"/>
        </w:rPr>
        <w:t xml:space="preserve">concerning individual synthetic biology applications </w:t>
      </w:r>
      <w:r w:rsidR="00FE508B">
        <w:rPr>
          <w:rFonts w:ascii="Times New Roman" w:eastAsia="Times New Roman" w:hAnsi="Times New Roman"/>
          <w:lang w:eastAsia="ar-SA"/>
        </w:rPr>
        <w:t>and the sector</w:t>
      </w:r>
      <w:r w:rsidR="004F0FCC">
        <w:rPr>
          <w:rFonts w:ascii="Times New Roman" w:eastAsia="Times New Roman" w:hAnsi="Times New Roman"/>
          <w:lang w:eastAsia="ar-SA"/>
        </w:rPr>
        <w:t xml:space="preserve"> as a whole.</w:t>
      </w:r>
      <w:r w:rsidR="00FE508B">
        <w:rPr>
          <w:rFonts w:ascii="Times New Roman" w:eastAsia="Times New Roman" w:hAnsi="Times New Roman"/>
          <w:lang w:eastAsia="ar-SA"/>
        </w:rPr>
        <w:t xml:space="preserve"> </w:t>
      </w:r>
      <w:r w:rsidR="008D777E">
        <w:rPr>
          <w:rFonts w:ascii="Times New Roman" w:eastAsia="Times New Roman" w:hAnsi="Times New Roman"/>
          <w:lang w:eastAsia="ar-SA"/>
        </w:rPr>
        <w:t xml:space="preserve"> </w:t>
      </w:r>
    </w:p>
    <w:p w14:paraId="18FD9708" w14:textId="6CCCEEB5" w:rsidR="00272052" w:rsidRDefault="33492185" w:rsidP="36140518">
      <w:pPr>
        <w:spacing w:before="240" w:after="120" w:line="240" w:lineRule="auto"/>
        <w:jc w:val="both"/>
        <w:rPr>
          <w:rFonts w:ascii="Times New Roman" w:eastAsia="Times New Roman" w:hAnsi="Times New Roman"/>
          <w:lang w:eastAsia="ar-SA"/>
        </w:rPr>
      </w:pPr>
      <w:r w:rsidRPr="69BA3794">
        <w:rPr>
          <w:rFonts w:ascii="Times New Roman" w:eastAsia="Times New Roman" w:hAnsi="Times New Roman"/>
          <w:lang w:eastAsia="ar-SA"/>
        </w:rPr>
        <w:t>T</w:t>
      </w:r>
      <w:r w:rsidR="1548B2AF" w:rsidRPr="69BA3794">
        <w:rPr>
          <w:rFonts w:ascii="Times New Roman" w:eastAsia="Times New Roman" w:hAnsi="Times New Roman"/>
          <w:lang w:eastAsia="ar-SA"/>
        </w:rPr>
        <w:t>o remain true to decision 14/19</w:t>
      </w:r>
      <w:r w:rsidR="4135888B" w:rsidRPr="69BA3794">
        <w:rPr>
          <w:rFonts w:ascii="Times New Roman" w:eastAsia="Times New Roman" w:hAnsi="Times New Roman"/>
          <w:lang w:eastAsia="ar-SA"/>
        </w:rPr>
        <w:t>,</w:t>
      </w:r>
      <w:r w:rsidR="1548B2AF" w:rsidRPr="69BA3794">
        <w:rPr>
          <w:rFonts w:ascii="Times New Roman" w:eastAsia="Times New Roman" w:hAnsi="Times New Roman"/>
          <w:lang w:eastAsia="ar-SA"/>
        </w:rPr>
        <w:t xml:space="preserve"> </w:t>
      </w:r>
      <w:r w:rsidR="25A2D3D5" w:rsidRPr="69BA3794">
        <w:rPr>
          <w:rFonts w:ascii="Times New Roman" w:eastAsia="Times New Roman" w:hAnsi="Times New Roman"/>
          <w:lang w:eastAsia="ar-SA"/>
        </w:rPr>
        <w:t>w</w:t>
      </w:r>
      <w:r w:rsidR="3B0BF581" w:rsidRPr="69BA3794">
        <w:rPr>
          <w:rFonts w:ascii="Times New Roman" w:eastAsia="Times New Roman" w:hAnsi="Times New Roman"/>
          <w:lang w:eastAsia="ar-SA"/>
        </w:rPr>
        <w:t>henever possible</w:t>
      </w:r>
      <w:r w:rsidR="797A9DC0" w:rsidRPr="69BA3794">
        <w:rPr>
          <w:rFonts w:ascii="Times New Roman" w:eastAsia="Times New Roman" w:hAnsi="Times New Roman"/>
          <w:lang w:eastAsia="ar-SA"/>
        </w:rPr>
        <w:t xml:space="preserve"> </w:t>
      </w:r>
      <w:r w:rsidR="00460B30" w:rsidRPr="69BA3794">
        <w:rPr>
          <w:rFonts w:ascii="Times New Roman" w:eastAsia="Times New Roman" w:hAnsi="Times New Roman"/>
          <w:lang w:eastAsia="ar-SA"/>
        </w:rPr>
        <w:t xml:space="preserve">the </w:t>
      </w:r>
      <w:r w:rsidR="266C59AF" w:rsidRPr="69BA3794">
        <w:rPr>
          <w:rFonts w:ascii="Times New Roman" w:eastAsia="Times New Roman" w:hAnsi="Times New Roman"/>
          <w:lang w:eastAsia="ar-SA"/>
        </w:rPr>
        <w:t>original</w:t>
      </w:r>
      <w:r w:rsidR="00460B30" w:rsidRPr="69BA3794">
        <w:rPr>
          <w:rFonts w:ascii="Times New Roman" w:eastAsia="Times New Roman" w:hAnsi="Times New Roman"/>
          <w:lang w:eastAsia="ar-SA"/>
        </w:rPr>
        <w:t xml:space="preserve"> structure and outline was</w:t>
      </w:r>
      <w:r w:rsidR="003A6078" w:rsidRPr="69BA3794">
        <w:rPr>
          <w:rFonts w:ascii="Times New Roman" w:eastAsia="Times New Roman" w:hAnsi="Times New Roman"/>
          <w:lang w:eastAsia="ar-SA"/>
        </w:rPr>
        <w:t xml:space="preserve"> </w:t>
      </w:r>
      <w:r w:rsidR="391A5A07" w:rsidRPr="69BA3794">
        <w:rPr>
          <w:rFonts w:ascii="Times New Roman" w:eastAsia="Times New Roman" w:hAnsi="Times New Roman"/>
          <w:lang w:eastAsia="ar-SA"/>
        </w:rPr>
        <w:t xml:space="preserve">maintained and </w:t>
      </w:r>
      <w:r w:rsidR="00460B30" w:rsidRPr="69BA3794">
        <w:rPr>
          <w:rFonts w:ascii="Times New Roman" w:eastAsia="Times New Roman" w:hAnsi="Times New Roman"/>
          <w:lang w:eastAsia="ar-SA"/>
        </w:rPr>
        <w:t>update</w:t>
      </w:r>
      <w:r w:rsidR="368BDF0B" w:rsidRPr="69BA3794">
        <w:rPr>
          <w:rFonts w:ascii="Times New Roman" w:eastAsia="Times New Roman" w:hAnsi="Times New Roman"/>
          <w:lang w:eastAsia="ar-SA"/>
        </w:rPr>
        <w:t>d</w:t>
      </w:r>
      <w:r w:rsidR="00592226" w:rsidRPr="69BA3794">
        <w:rPr>
          <w:rFonts w:ascii="Times New Roman" w:eastAsia="Times New Roman" w:hAnsi="Times New Roman"/>
          <w:lang w:eastAsia="ar-SA"/>
        </w:rPr>
        <w:t xml:space="preserve"> </w:t>
      </w:r>
      <w:r w:rsidR="0D660BC0" w:rsidRPr="69BA3794">
        <w:rPr>
          <w:rFonts w:ascii="Times New Roman" w:eastAsia="Times New Roman" w:hAnsi="Times New Roman"/>
          <w:lang w:eastAsia="ar-SA"/>
        </w:rPr>
        <w:t>instead of</w:t>
      </w:r>
      <w:r w:rsidR="00592226" w:rsidRPr="69BA3794">
        <w:rPr>
          <w:rFonts w:ascii="Times New Roman" w:eastAsia="Times New Roman" w:hAnsi="Times New Roman"/>
          <w:lang w:eastAsia="ar-SA"/>
        </w:rPr>
        <w:t xml:space="preserve"> </w:t>
      </w:r>
      <w:r w:rsidR="00460B30" w:rsidRPr="69BA3794">
        <w:rPr>
          <w:rFonts w:ascii="Times New Roman" w:eastAsia="Times New Roman" w:hAnsi="Times New Roman"/>
          <w:lang w:eastAsia="ar-SA"/>
        </w:rPr>
        <w:t>creat</w:t>
      </w:r>
      <w:r w:rsidR="11026827" w:rsidRPr="69BA3794">
        <w:rPr>
          <w:rFonts w:ascii="Times New Roman" w:eastAsia="Times New Roman" w:hAnsi="Times New Roman"/>
          <w:lang w:eastAsia="ar-SA"/>
        </w:rPr>
        <w:t>ing</w:t>
      </w:r>
      <w:r w:rsidR="00460B30" w:rsidRPr="69BA3794">
        <w:rPr>
          <w:rFonts w:ascii="Times New Roman" w:eastAsia="Times New Roman" w:hAnsi="Times New Roman"/>
          <w:lang w:eastAsia="ar-SA"/>
        </w:rPr>
        <w:t xml:space="preserve"> a completely different </w:t>
      </w:r>
      <w:r w:rsidR="00A703B2" w:rsidRPr="69BA3794">
        <w:rPr>
          <w:rFonts w:ascii="Times New Roman" w:eastAsia="Times New Roman" w:hAnsi="Times New Roman"/>
          <w:lang w:eastAsia="ar-SA"/>
        </w:rPr>
        <w:t xml:space="preserve">document. It is however important to note that </w:t>
      </w:r>
      <w:r w:rsidR="1FF00EC5" w:rsidRPr="69BA3794">
        <w:rPr>
          <w:rFonts w:ascii="Times New Roman" w:eastAsia="Times New Roman" w:hAnsi="Times New Roman"/>
          <w:lang w:eastAsia="ar-SA"/>
        </w:rPr>
        <w:t xml:space="preserve">during the updating, </w:t>
      </w:r>
      <w:r w:rsidR="79F35C27" w:rsidRPr="69BA3794">
        <w:rPr>
          <w:rFonts w:ascii="Times New Roman" w:eastAsia="Times New Roman" w:hAnsi="Times New Roman"/>
          <w:lang w:eastAsia="ar-SA"/>
        </w:rPr>
        <w:t xml:space="preserve">in order to </w:t>
      </w:r>
      <w:r w:rsidR="284DC685" w:rsidRPr="69BA3794">
        <w:rPr>
          <w:rFonts w:ascii="Times New Roman" w:eastAsia="Times New Roman" w:hAnsi="Times New Roman"/>
          <w:lang w:eastAsia="ar-SA"/>
        </w:rPr>
        <w:t xml:space="preserve">adequately </w:t>
      </w:r>
      <w:r w:rsidR="79F35C27" w:rsidRPr="69BA3794">
        <w:rPr>
          <w:rFonts w:ascii="Times New Roman" w:eastAsia="Times New Roman" w:hAnsi="Times New Roman"/>
          <w:lang w:eastAsia="ar-SA"/>
        </w:rPr>
        <w:t xml:space="preserve">cover the </w:t>
      </w:r>
      <w:r w:rsidR="0062231D">
        <w:rPr>
          <w:rFonts w:ascii="Times New Roman" w:eastAsia="Times New Roman" w:hAnsi="Times New Roman"/>
          <w:lang w:eastAsia="ar-SA"/>
        </w:rPr>
        <w:t xml:space="preserve">magnitude of </w:t>
      </w:r>
      <w:r w:rsidR="6C50DDD6" w:rsidRPr="69BA3794">
        <w:rPr>
          <w:rFonts w:ascii="Times New Roman" w:eastAsia="Times New Roman" w:hAnsi="Times New Roman"/>
          <w:lang w:eastAsia="ar-SA"/>
        </w:rPr>
        <w:t xml:space="preserve">recent </w:t>
      </w:r>
      <w:r w:rsidR="79F35C27" w:rsidRPr="69BA3794">
        <w:rPr>
          <w:rFonts w:ascii="Times New Roman" w:eastAsia="Times New Roman" w:hAnsi="Times New Roman"/>
          <w:lang w:eastAsia="ar-SA"/>
        </w:rPr>
        <w:t>changes in the field of synthetic biology</w:t>
      </w:r>
      <w:r w:rsidR="004806DC" w:rsidRPr="69BA3794">
        <w:rPr>
          <w:rFonts w:ascii="Times New Roman" w:eastAsia="Times New Roman" w:hAnsi="Times New Roman"/>
          <w:lang w:eastAsia="ar-SA"/>
        </w:rPr>
        <w:t xml:space="preserve"> </w:t>
      </w:r>
      <w:r w:rsidR="16544BDF" w:rsidRPr="69BA3794">
        <w:rPr>
          <w:rFonts w:ascii="Times New Roman" w:eastAsia="Times New Roman" w:hAnsi="Times New Roman"/>
          <w:lang w:eastAsia="ar-SA"/>
        </w:rPr>
        <w:t xml:space="preserve">such that these </w:t>
      </w:r>
      <w:r w:rsidR="75114400" w:rsidRPr="69BA3794">
        <w:rPr>
          <w:rFonts w:ascii="Times New Roman" w:eastAsia="Times New Roman" w:hAnsi="Times New Roman"/>
          <w:lang w:eastAsia="ar-SA"/>
        </w:rPr>
        <w:t>a</w:t>
      </w:r>
      <w:r w:rsidR="16544BDF" w:rsidRPr="69BA3794">
        <w:rPr>
          <w:rFonts w:ascii="Times New Roman" w:eastAsia="Times New Roman" w:hAnsi="Times New Roman"/>
          <w:lang w:eastAsia="ar-SA"/>
        </w:rPr>
        <w:t>re the main focus of the document,</w:t>
      </w:r>
      <w:r w:rsidR="79F35C27" w:rsidRPr="69BA3794">
        <w:rPr>
          <w:rFonts w:ascii="Times New Roman" w:eastAsia="Times New Roman" w:hAnsi="Times New Roman"/>
          <w:lang w:eastAsia="ar-SA"/>
        </w:rPr>
        <w:t xml:space="preserve"> </w:t>
      </w:r>
      <w:r w:rsidR="1FF00EC5" w:rsidRPr="69BA3794">
        <w:rPr>
          <w:rFonts w:ascii="Times New Roman" w:eastAsia="Times New Roman" w:hAnsi="Times New Roman"/>
          <w:lang w:eastAsia="ar-SA"/>
        </w:rPr>
        <w:t xml:space="preserve">not only was </w:t>
      </w:r>
      <w:r w:rsidR="0068473D" w:rsidRPr="69BA3794">
        <w:rPr>
          <w:rFonts w:ascii="Times New Roman" w:eastAsia="Times New Roman" w:hAnsi="Times New Roman"/>
          <w:lang w:eastAsia="ar-SA"/>
        </w:rPr>
        <w:t>information added</w:t>
      </w:r>
      <w:r w:rsidR="492BC205" w:rsidRPr="69BA3794">
        <w:rPr>
          <w:rFonts w:ascii="Times New Roman" w:eastAsia="Times New Roman" w:hAnsi="Times New Roman"/>
          <w:lang w:eastAsia="ar-SA"/>
        </w:rPr>
        <w:t xml:space="preserve">, </w:t>
      </w:r>
      <w:r w:rsidR="102A99E3" w:rsidRPr="69BA3794">
        <w:rPr>
          <w:rFonts w:ascii="Times New Roman" w:eastAsia="Times New Roman" w:hAnsi="Times New Roman"/>
          <w:lang w:eastAsia="ar-SA"/>
        </w:rPr>
        <w:t xml:space="preserve">but </w:t>
      </w:r>
      <w:r w:rsidR="00922D70">
        <w:rPr>
          <w:rFonts w:ascii="Times New Roman" w:eastAsia="Times New Roman" w:hAnsi="Times New Roman"/>
          <w:lang w:eastAsia="ar-SA"/>
        </w:rPr>
        <w:t xml:space="preserve">tracts of </w:t>
      </w:r>
      <w:r w:rsidR="102A99E3" w:rsidRPr="69BA3794">
        <w:rPr>
          <w:rFonts w:ascii="Times New Roman" w:eastAsia="Times New Roman" w:hAnsi="Times New Roman"/>
          <w:lang w:eastAsia="ar-SA"/>
        </w:rPr>
        <w:t>original</w:t>
      </w:r>
      <w:r w:rsidR="3AE85FCC" w:rsidRPr="69BA3794">
        <w:rPr>
          <w:rFonts w:ascii="Times New Roman" w:eastAsia="Times New Roman" w:hAnsi="Times New Roman"/>
          <w:lang w:eastAsia="ar-SA"/>
        </w:rPr>
        <w:t xml:space="preserve"> text from the </w:t>
      </w:r>
      <w:r w:rsidR="0C48C801" w:rsidRPr="69BA3794">
        <w:rPr>
          <w:rFonts w:ascii="Times New Roman" w:eastAsia="Times New Roman" w:hAnsi="Times New Roman"/>
          <w:lang w:eastAsia="ar-SA"/>
        </w:rPr>
        <w:t>82</w:t>
      </w:r>
      <w:r w:rsidR="3AE85FCC" w:rsidRPr="69BA3794">
        <w:rPr>
          <w:rFonts w:ascii="Times New Roman" w:eastAsia="Times New Roman" w:hAnsi="Times New Roman"/>
          <w:lang w:eastAsia="ar-SA"/>
        </w:rPr>
        <w:t xml:space="preserve"> version w</w:t>
      </w:r>
      <w:r w:rsidR="00922D70">
        <w:rPr>
          <w:rFonts w:ascii="Times New Roman" w:eastAsia="Times New Roman" w:hAnsi="Times New Roman"/>
          <w:lang w:eastAsia="ar-SA"/>
        </w:rPr>
        <w:t>ere</w:t>
      </w:r>
      <w:r w:rsidR="3AE85FCC" w:rsidRPr="69BA3794">
        <w:rPr>
          <w:rFonts w:ascii="Times New Roman" w:eastAsia="Times New Roman" w:hAnsi="Times New Roman"/>
          <w:lang w:eastAsia="ar-SA"/>
        </w:rPr>
        <w:t xml:space="preserve"> also </w:t>
      </w:r>
      <w:r w:rsidR="492BC205" w:rsidRPr="69BA3794">
        <w:rPr>
          <w:rFonts w:ascii="Times New Roman" w:eastAsia="Times New Roman" w:hAnsi="Times New Roman"/>
          <w:lang w:eastAsia="ar-SA"/>
        </w:rPr>
        <w:t>condensed</w:t>
      </w:r>
      <w:r w:rsidR="0068473D" w:rsidRPr="69BA3794">
        <w:rPr>
          <w:rFonts w:ascii="Times New Roman" w:eastAsia="Times New Roman" w:hAnsi="Times New Roman"/>
          <w:lang w:eastAsia="ar-SA"/>
        </w:rPr>
        <w:t xml:space="preserve"> </w:t>
      </w:r>
      <w:r w:rsidR="001B275D" w:rsidRPr="69BA3794">
        <w:rPr>
          <w:rFonts w:ascii="Times New Roman" w:eastAsia="Times New Roman" w:hAnsi="Times New Roman"/>
          <w:lang w:eastAsia="ar-SA"/>
        </w:rPr>
        <w:t>or</w:t>
      </w:r>
      <w:r w:rsidR="0068473D" w:rsidRPr="69BA3794">
        <w:rPr>
          <w:rFonts w:ascii="Times New Roman" w:eastAsia="Times New Roman" w:hAnsi="Times New Roman"/>
          <w:lang w:eastAsia="ar-SA"/>
        </w:rPr>
        <w:t xml:space="preserve"> removed</w:t>
      </w:r>
      <w:r w:rsidR="00305C4B">
        <w:rPr>
          <w:rFonts w:ascii="Times New Roman" w:eastAsia="Times New Roman" w:hAnsi="Times New Roman"/>
          <w:lang w:eastAsia="ar-SA"/>
        </w:rPr>
        <w:t xml:space="preserve"> if now out-dated or surpassed by more recent developments or information</w:t>
      </w:r>
      <w:r w:rsidR="0233CDE4" w:rsidRPr="69BA3794">
        <w:rPr>
          <w:rFonts w:ascii="Times New Roman" w:eastAsia="Times New Roman" w:hAnsi="Times New Roman"/>
          <w:lang w:eastAsia="ar-SA"/>
        </w:rPr>
        <w:t>.</w:t>
      </w:r>
    </w:p>
    <w:p w14:paraId="52D9CD20" w14:textId="1402572D" w:rsidR="00BA4DA8" w:rsidRDefault="00EB06E9" w:rsidP="00FA4E5B">
      <w:pPr>
        <w:spacing w:before="240" w:after="120" w:line="240" w:lineRule="auto"/>
        <w:jc w:val="both"/>
        <w:rPr>
          <w:rFonts w:ascii="Times New Roman" w:eastAsia="Times New Roman" w:hAnsi="Times New Roman"/>
          <w:lang w:eastAsia="ar-SA"/>
        </w:rPr>
      </w:pPr>
      <w:r>
        <w:rPr>
          <w:rFonts w:ascii="Times New Roman" w:eastAsia="Times New Roman" w:hAnsi="Times New Roman"/>
          <w:lang w:eastAsia="ar-SA"/>
        </w:rPr>
        <w:t xml:space="preserve">Understanding </w:t>
      </w:r>
      <w:r w:rsidR="004A4D3F">
        <w:rPr>
          <w:rFonts w:ascii="Times New Roman" w:eastAsia="Times New Roman" w:hAnsi="Times New Roman"/>
          <w:lang w:eastAsia="ar-SA"/>
        </w:rPr>
        <w:t xml:space="preserve">that </w:t>
      </w:r>
      <w:r>
        <w:rPr>
          <w:rFonts w:ascii="Times New Roman" w:eastAsia="Times New Roman" w:hAnsi="Times New Roman"/>
          <w:lang w:eastAsia="ar-SA"/>
        </w:rPr>
        <w:t>the</w:t>
      </w:r>
      <w:r w:rsidR="004A4D3F">
        <w:rPr>
          <w:rFonts w:ascii="Times New Roman" w:eastAsia="Times New Roman" w:hAnsi="Times New Roman"/>
          <w:lang w:eastAsia="ar-SA"/>
        </w:rPr>
        <w:t>re had been an</w:t>
      </w:r>
      <w:r>
        <w:rPr>
          <w:rFonts w:ascii="Times New Roman" w:eastAsia="Times New Roman" w:hAnsi="Times New Roman"/>
          <w:lang w:eastAsia="ar-SA"/>
        </w:rPr>
        <w:t xml:space="preserve"> </w:t>
      </w:r>
      <w:r w:rsidRPr="007E7021">
        <w:rPr>
          <w:rFonts w:ascii="Times New Roman" w:eastAsia="Times New Roman" w:hAnsi="Times New Roman"/>
          <w:lang w:eastAsia="ar-SA"/>
        </w:rPr>
        <w:t>explosion</w:t>
      </w:r>
      <w:r>
        <w:rPr>
          <w:rFonts w:ascii="Times New Roman" w:eastAsia="Times New Roman" w:hAnsi="Times New Roman"/>
          <w:lang w:eastAsia="ar-SA"/>
        </w:rPr>
        <w:t xml:space="preserve"> of activity that ha</w:t>
      </w:r>
      <w:r w:rsidR="00A47D78">
        <w:rPr>
          <w:rFonts w:ascii="Times New Roman" w:eastAsia="Times New Roman" w:hAnsi="Times New Roman"/>
          <w:lang w:eastAsia="ar-SA"/>
        </w:rPr>
        <w:t>d</w:t>
      </w:r>
      <w:r>
        <w:rPr>
          <w:rFonts w:ascii="Times New Roman" w:eastAsia="Times New Roman" w:hAnsi="Times New Roman"/>
          <w:lang w:eastAsia="ar-SA"/>
        </w:rPr>
        <w:t xml:space="preserve"> </w:t>
      </w:r>
      <w:r w:rsidR="00B1074D">
        <w:rPr>
          <w:rFonts w:ascii="Times New Roman" w:eastAsia="Times New Roman" w:hAnsi="Times New Roman"/>
          <w:lang w:eastAsia="ar-SA"/>
        </w:rPr>
        <w:t xml:space="preserve">occurred </w:t>
      </w:r>
      <w:r w:rsidR="00C34ED1">
        <w:rPr>
          <w:rFonts w:ascii="Times New Roman" w:eastAsia="Times New Roman" w:hAnsi="Times New Roman"/>
          <w:lang w:eastAsia="ar-SA"/>
        </w:rPr>
        <w:t xml:space="preserve">under the auspices of “synthetic biology” </w:t>
      </w:r>
      <w:r w:rsidR="00CB2B38">
        <w:rPr>
          <w:rFonts w:ascii="Times New Roman" w:eastAsia="Times New Roman" w:hAnsi="Times New Roman"/>
          <w:lang w:eastAsia="ar-SA"/>
        </w:rPr>
        <w:t>in the last five years</w:t>
      </w:r>
      <w:r w:rsidR="00343512">
        <w:rPr>
          <w:rFonts w:ascii="Times New Roman" w:eastAsia="Times New Roman" w:hAnsi="Times New Roman"/>
          <w:lang w:eastAsia="ar-SA"/>
        </w:rPr>
        <w:t xml:space="preserve">, the search for </w:t>
      </w:r>
      <w:r w:rsidR="00A47D78">
        <w:rPr>
          <w:rFonts w:ascii="Times New Roman" w:eastAsia="Times New Roman" w:hAnsi="Times New Roman"/>
          <w:lang w:eastAsia="ar-SA"/>
        </w:rPr>
        <w:t xml:space="preserve">relevant </w:t>
      </w:r>
      <w:r w:rsidR="007E5BF7">
        <w:rPr>
          <w:rFonts w:ascii="Times New Roman" w:eastAsia="Times New Roman" w:hAnsi="Times New Roman"/>
          <w:lang w:eastAsia="ar-SA"/>
        </w:rPr>
        <w:t>publis</w:t>
      </w:r>
      <w:r w:rsidR="00CD4FBC">
        <w:rPr>
          <w:rFonts w:ascii="Times New Roman" w:eastAsia="Times New Roman" w:hAnsi="Times New Roman"/>
          <w:lang w:eastAsia="ar-SA"/>
        </w:rPr>
        <w:t xml:space="preserve">hed literature </w:t>
      </w:r>
      <w:r w:rsidR="00DF10A0">
        <w:rPr>
          <w:rFonts w:ascii="Times New Roman" w:eastAsia="Times New Roman" w:hAnsi="Times New Roman"/>
          <w:lang w:eastAsia="ar-SA"/>
        </w:rPr>
        <w:t>was cast as wide as possible</w:t>
      </w:r>
      <w:r w:rsidR="00A47D78">
        <w:rPr>
          <w:rFonts w:ascii="Times New Roman" w:eastAsia="Times New Roman" w:hAnsi="Times New Roman"/>
          <w:lang w:eastAsia="ar-SA"/>
        </w:rPr>
        <w:t xml:space="preserve">. </w:t>
      </w:r>
      <w:r w:rsidR="000B3C69" w:rsidRPr="36140518">
        <w:rPr>
          <w:rFonts w:ascii="Times New Roman" w:eastAsia="Times New Roman" w:hAnsi="Times New Roman"/>
          <w:lang w:eastAsia="ar-SA"/>
        </w:rPr>
        <w:t xml:space="preserve">The </w:t>
      </w:r>
      <w:r w:rsidR="14447B9C" w:rsidRPr="36140518">
        <w:rPr>
          <w:rFonts w:ascii="Times New Roman" w:eastAsia="Times New Roman" w:hAnsi="Times New Roman"/>
          <w:lang w:eastAsia="ar-SA"/>
        </w:rPr>
        <w:t>first tranche of i</w:t>
      </w:r>
      <w:r w:rsidR="4E815257" w:rsidRPr="36140518">
        <w:rPr>
          <w:rFonts w:ascii="Times New Roman" w:eastAsia="Times New Roman" w:hAnsi="Times New Roman"/>
          <w:lang w:eastAsia="ar-SA"/>
        </w:rPr>
        <w:t>nformation</w:t>
      </w:r>
      <w:r w:rsidR="7B77DA64" w:rsidRPr="36140518">
        <w:rPr>
          <w:rFonts w:ascii="Times New Roman" w:eastAsia="Times New Roman" w:hAnsi="Times New Roman"/>
          <w:lang w:eastAsia="ar-SA"/>
        </w:rPr>
        <w:t xml:space="preserve"> </w:t>
      </w:r>
      <w:r w:rsidR="1260DFD9" w:rsidRPr="36140518" w:rsidDel="009C167E">
        <w:rPr>
          <w:rFonts w:ascii="Times New Roman" w:eastAsia="Times New Roman" w:hAnsi="Times New Roman"/>
          <w:lang w:eastAsia="ar-SA"/>
        </w:rPr>
        <w:t xml:space="preserve">to </w:t>
      </w:r>
      <w:r w:rsidR="000B3C69" w:rsidRPr="7FAB6764">
        <w:rPr>
          <w:rFonts w:ascii="Times New Roman" w:eastAsia="Times New Roman" w:hAnsi="Times New Roman"/>
          <w:lang w:eastAsia="ar-SA"/>
        </w:rPr>
        <w:t xml:space="preserve">update </w:t>
      </w:r>
      <w:r w:rsidR="00800DF2">
        <w:rPr>
          <w:rFonts w:ascii="Times New Roman" w:eastAsia="Times New Roman" w:hAnsi="Times New Roman"/>
          <w:lang w:eastAsia="ar-SA"/>
        </w:rPr>
        <w:t>the document</w:t>
      </w:r>
      <w:r w:rsidR="000B3C69" w:rsidRPr="7FAB6764">
        <w:rPr>
          <w:rFonts w:ascii="Times New Roman" w:eastAsia="Times New Roman" w:hAnsi="Times New Roman"/>
          <w:lang w:eastAsia="ar-SA"/>
        </w:rPr>
        <w:t xml:space="preserve"> was</w:t>
      </w:r>
      <w:r w:rsidR="006960C4">
        <w:rPr>
          <w:rFonts w:ascii="Times New Roman" w:eastAsia="Times New Roman" w:hAnsi="Times New Roman"/>
          <w:lang w:eastAsia="ar-SA"/>
        </w:rPr>
        <w:t xml:space="preserve"> taken from the list of bibliographic references issued by the Secretariat as an information document for the 24</w:t>
      </w:r>
      <w:r w:rsidR="006960C4" w:rsidRPr="00806D31">
        <w:rPr>
          <w:rFonts w:ascii="Times New Roman" w:eastAsia="Times New Roman" w:hAnsi="Times New Roman"/>
          <w:vertAlign w:val="superscript"/>
          <w:lang w:eastAsia="ar-SA"/>
        </w:rPr>
        <w:t>th</w:t>
      </w:r>
      <w:r w:rsidR="006960C4">
        <w:rPr>
          <w:rFonts w:ascii="Times New Roman" w:eastAsia="Times New Roman" w:hAnsi="Times New Roman"/>
          <w:lang w:eastAsia="ar-SA"/>
        </w:rPr>
        <w:t xml:space="preserve"> meeting of the Subsidiary Body </w:t>
      </w:r>
      <w:r w:rsidR="006960C4">
        <w:rPr>
          <w:rFonts w:ascii="Times New Roman" w:eastAsia="Times New Roman" w:hAnsi="Times New Roman"/>
          <w:lang w:eastAsia="ar-SA"/>
        </w:rPr>
        <w:lastRenderedPageBreak/>
        <w:t xml:space="preserve">on Scientific, Technical and </w:t>
      </w:r>
      <w:r w:rsidR="00011FA0">
        <w:rPr>
          <w:rFonts w:ascii="Times New Roman" w:eastAsia="Times New Roman" w:hAnsi="Times New Roman"/>
          <w:lang w:eastAsia="ar-SA"/>
        </w:rPr>
        <w:t>T</w:t>
      </w:r>
      <w:r w:rsidR="006960C4">
        <w:rPr>
          <w:rFonts w:ascii="Times New Roman" w:eastAsia="Times New Roman" w:hAnsi="Times New Roman"/>
          <w:lang w:eastAsia="ar-SA"/>
        </w:rPr>
        <w:t>echnological Advice (SBSTTA)</w:t>
      </w:r>
      <w:r w:rsidR="006960C4">
        <w:rPr>
          <w:rStyle w:val="FootnoteReference"/>
          <w:rFonts w:ascii="Times New Roman" w:eastAsia="Times New Roman" w:hAnsi="Times New Roman"/>
          <w:lang w:eastAsia="ar-SA"/>
        </w:rPr>
        <w:footnoteReference w:id="4"/>
      </w:r>
      <w:r w:rsidR="006960C4">
        <w:rPr>
          <w:rFonts w:ascii="Times New Roman" w:eastAsia="Times New Roman" w:hAnsi="Times New Roman"/>
          <w:lang w:eastAsia="ar-SA"/>
        </w:rPr>
        <w:t>.</w:t>
      </w:r>
      <w:r w:rsidR="082883EA" w:rsidRPr="36140518">
        <w:rPr>
          <w:rFonts w:ascii="Times New Roman" w:eastAsia="Times New Roman" w:hAnsi="Times New Roman"/>
          <w:lang w:eastAsia="ar-SA"/>
        </w:rPr>
        <w:t xml:space="preserve"> This </w:t>
      </w:r>
      <w:r w:rsidR="40EAB812" w:rsidRPr="36140518">
        <w:rPr>
          <w:rFonts w:ascii="Times New Roman" w:eastAsia="Times New Roman" w:hAnsi="Times New Roman"/>
          <w:lang w:eastAsia="ar-SA"/>
        </w:rPr>
        <w:t xml:space="preserve">list of references </w:t>
      </w:r>
      <w:r w:rsidR="4F5C9BC5" w:rsidRPr="36140518">
        <w:rPr>
          <w:rFonts w:ascii="Times New Roman" w:eastAsia="Times New Roman" w:hAnsi="Times New Roman"/>
          <w:lang w:eastAsia="ar-SA"/>
        </w:rPr>
        <w:t xml:space="preserve">itself </w:t>
      </w:r>
      <w:r w:rsidR="082883EA" w:rsidRPr="36140518">
        <w:rPr>
          <w:rFonts w:ascii="Times New Roman" w:eastAsia="Times New Roman" w:hAnsi="Times New Roman"/>
          <w:lang w:eastAsia="ar-SA"/>
        </w:rPr>
        <w:t xml:space="preserve">was then </w:t>
      </w:r>
      <w:r w:rsidR="5090A561" w:rsidRPr="36140518">
        <w:rPr>
          <w:rFonts w:ascii="Times New Roman" w:eastAsia="Times New Roman" w:hAnsi="Times New Roman"/>
          <w:lang w:eastAsia="ar-SA"/>
        </w:rPr>
        <w:t>updat</w:t>
      </w:r>
      <w:r w:rsidR="082883EA" w:rsidRPr="36140518">
        <w:rPr>
          <w:rFonts w:ascii="Times New Roman" w:eastAsia="Times New Roman" w:hAnsi="Times New Roman"/>
          <w:lang w:eastAsia="ar-SA"/>
        </w:rPr>
        <w:t>ed</w:t>
      </w:r>
      <w:r w:rsidR="000B3C69" w:rsidRPr="7FAB6764">
        <w:rPr>
          <w:rFonts w:ascii="Times New Roman" w:eastAsia="Times New Roman" w:hAnsi="Times New Roman"/>
          <w:lang w:eastAsia="ar-SA"/>
        </w:rPr>
        <w:t xml:space="preserve"> </w:t>
      </w:r>
      <w:r w:rsidR="7A87038B" w:rsidRPr="36140518">
        <w:rPr>
          <w:rFonts w:ascii="Times New Roman" w:eastAsia="Times New Roman" w:hAnsi="Times New Roman"/>
          <w:lang w:eastAsia="ar-SA"/>
        </w:rPr>
        <w:t>during the last quarter of 2020</w:t>
      </w:r>
      <w:r w:rsidR="000B3C69" w:rsidRPr="36140518">
        <w:rPr>
          <w:rFonts w:ascii="Times New Roman" w:eastAsia="Times New Roman" w:hAnsi="Times New Roman"/>
          <w:lang w:eastAsia="ar-SA"/>
        </w:rPr>
        <w:t xml:space="preserve"> </w:t>
      </w:r>
      <w:r w:rsidR="003A4451">
        <w:rPr>
          <w:rFonts w:ascii="Times New Roman" w:eastAsia="Times New Roman" w:hAnsi="Times New Roman"/>
          <w:lang w:eastAsia="ar-SA"/>
        </w:rPr>
        <w:t>and first quarter of 2021</w:t>
      </w:r>
      <w:r w:rsidR="00502B5D">
        <w:rPr>
          <w:rFonts w:ascii="Times New Roman" w:eastAsia="Times New Roman" w:hAnsi="Times New Roman"/>
          <w:lang w:eastAsia="ar-SA"/>
        </w:rPr>
        <w:t>,</w:t>
      </w:r>
      <w:r w:rsidR="003A4451">
        <w:rPr>
          <w:rFonts w:ascii="Times New Roman" w:eastAsia="Times New Roman" w:hAnsi="Times New Roman"/>
          <w:lang w:eastAsia="ar-SA"/>
        </w:rPr>
        <w:t xml:space="preserve"> </w:t>
      </w:r>
      <w:r w:rsidR="000B3C69" w:rsidRPr="7FAB6764">
        <w:rPr>
          <w:rFonts w:ascii="Times New Roman" w:eastAsia="Times New Roman" w:hAnsi="Times New Roman"/>
          <w:lang w:eastAsia="ar-SA"/>
        </w:rPr>
        <w:t xml:space="preserve">primarily through </w:t>
      </w:r>
      <w:r w:rsidR="00555AB6" w:rsidRPr="7FAB6764">
        <w:rPr>
          <w:rFonts w:ascii="Times New Roman" w:eastAsia="Times New Roman" w:hAnsi="Times New Roman"/>
          <w:lang w:eastAsia="ar-SA"/>
        </w:rPr>
        <w:t>a bibliographic search</w:t>
      </w:r>
      <w:r w:rsidR="000B3C69" w:rsidRPr="7FAB6764">
        <w:rPr>
          <w:rFonts w:ascii="Times New Roman" w:eastAsia="Times New Roman" w:hAnsi="Times New Roman"/>
          <w:lang w:eastAsia="ar-SA"/>
        </w:rPr>
        <w:t xml:space="preserve"> </w:t>
      </w:r>
      <w:r w:rsidR="00555AB6" w:rsidRPr="7FAB6764">
        <w:rPr>
          <w:rFonts w:ascii="Times New Roman" w:eastAsia="Times New Roman" w:hAnsi="Times New Roman"/>
          <w:lang w:eastAsia="ar-SA"/>
        </w:rPr>
        <w:t>of</w:t>
      </w:r>
      <w:r w:rsidR="0832319E" w:rsidRPr="36140518">
        <w:rPr>
          <w:rFonts w:ascii="Times New Roman" w:eastAsia="Times New Roman" w:hAnsi="Times New Roman"/>
          <w:lang w:eastAsia="ar-SA"/>
        </w:rPr>
        <w:t xml:space="preserve"> </w:t>
      </w:r>
      <w:r w:rsidR="6812E13B" w:rsidRPr="36140518">
        <w:rPr>
          <w:rFonts w:ascii="Times New Roman" w:eastAsia="Times New Roman" w:hAnsi="Times New Roman"/>
          <w:lang w:eastAsia="ar-SA"/>
        </w:rPr>
        <w:t xml:space="preserve">databases of both </w:t>
      </w:r>
      <w:r w:rsidR="002D75F9" w:rsidRPr="7FAB6764">
        <w:rPr>
          <w:rFonts w:ascii="Times New Roman" w:eastAsia="Times New Roman" w:hAnsi="Times New Roman"/>
          <w:lang w:eastAsia="ar-SA"/>
        </w:rPr>
        <w:t>p</w:t>
      </w:r>
      <w:r w:rsidR="00D921CE" w:rsidRPr="7FAB6764">
        <w:rPr>
          <w:rFonts w:ascii="Times New Roman" w:eastAsia="Times New Roman" w:hAnsi="Times New Roman"/>
          <w:lang w:eastAsia="ar-SA"/>
        </w:rPr>
        <w:t>eer review literature</w:t>
      </w:r>
      <w:r w:rsidR="3E992913" w:rsidRPr="36140518">
        <w:rPr>
          <w:rFonts w:ascii="Times New Roman" w:eastAsia="Times New Roman" w:hAnsi="Times New Roman"/>
          <w:lang w:eastAsia="ar-SA"/>
        </w:rPr>
        <w:t xml:space="preserve"> and “grey literature”</w:t>
      </w:r>
      <w:r w:rsidR="00203FA3" w:rsidRPr="36140518">
        <w:rPr>
          <w:rFonts w:ascii="Times New Roman" w:eastAsia="Times New Roman" w:hAnsi="Times New Roman"/>
          <w:lang w:eastAsia="ar-SA"/>
        </w:rPr>
        <w:t xml:space="preserve"> published since 2015</w:t>
      </w:r>
      <w:r w:rsidR="3E992913" w:rsidRPr="36140518">
        <w:rPr>
          <w:rFonts w:ascii="Times New Roman" w:eastAsia="Times New Roman" w:hAnsi="Times New Roman"/>
          <w:lang w:eastAsia="ar-SA"/>
        </w:rPr>
        <w:t xml:space="preserve"> i.e. literature produced </w:t>
      </w:r>
      <w:r w:rsidR="00CD2C44">
        <w:rPr>
          <w:rFonts w:ascii="Times New Roman" w:eastAsia="Times New Roman" w:hAnsi="Times New Roman"/>
          <w:lang w:eastAsia="ar-SA"/>
        </w:rPr>
        <w:t>at</w:t>
      </w:r>
      <w:r w:rsidR="00CD2C44" w:rsidRPr="36140518">
        <w:rPr>
          <w:rFonts w:ascii="Times New Roman" w:eastAsia="Times New Roman" w:hAnsi="Times New Roman"/>
          <w:lang w:eastAsia="ar-SA"/>
        </w:rPr>
        <w:t xml:space="preserve"> </w:t>
      </w:r>
      <w:r w:rsidR="3E992913" w:rsidRPr="36140518">
        <w:rPr>
          <w:rFonts w:ascii="Times New Roman" w:eastAsia="Times New Roman" w:hAnsi="Times New Roman"/>
          <w:lang w:eastAsia="ar-SA"/>
        </w:rPr>
        <w:t>all levels of government, academi</w:t>
      </w:r>
      <w:r w:rsidR="001E125D">
        <w:rPr>
          <w:rFonts w:ascii="Times New Roman" w:eastAsia="Times New Roman" w:hAnsi="Times New Roman"/>
          <w:lang w:eastAsia="ar-SA"/>
        </w:rPr>
        <w:t>a</w:t>
      </w:r>
      <w:r w:rsidR="3E992913" w:rsidRPr="36140518">
        <w:rPr>
          <w:rFonts w:ascii="Times New Roman" w:eastAsia="Times New Roman" w:hAnsi="Times New Roman"/>
          <w:lang w:eastAsia="ar-SA"/>
        </w:rPr>
        <w:t>, business and industry in print and electronic formats</w:t>
      </w:r>
      <w:r w:rsidR="735AA7FB" w:rsidRPr="36140518">
        <w:rPr>
          <w:rFonts w:ascii="Times New Roman" w:eastAsia="Times New Roman" w:hAnsi="Times New Roman"/>
          <w:lang w:eastAsia="ar-SA"/>
        </w:rPr>
        <w:t>.</w:t>
      </w:r>
      <w:r w:rsidR="00555AB6" w:rsidRPr="6161FBC4">
        <w:rPr>
          <w:rFonts w:ascii="Times New Roman" w:eastAsia="Times New Roman" w:hAnsi="Times New Roman"/>
          <w:lang w:eastAsia="ar-SA"/>
        </w:rPr>
        <w:t xml:space="preserve"> </w:t>
      </w:r>
      <w:r w:rsidR="14083563" w:rsidRPr="36140518">
        <w:rPr>
          <w:rFonts w:ascii="Times New Roman" w:eastAsia="Times New Roman" w:hAnsi="Times New Roman"/>
          <w:lang w:eastAsia="ar-SA"/>
        </w:rPr>
        <w:t>Of pri</w:t>
      </w:r>
      <w:r w:rsidR="05905747" w:rsidRPr="36140518">
        <w:rPr>
          <w:rFonts w:ascii="Times New Roman" w:eastAsia="Times New Roman" w:hAnsi="Times New Roman"/>
          <w:lang w:eastAsia="ar-SA"/>
        </w:rPr>
        <w:t>macy</w:t>
      </w:r>
      <w:r w:rsidR="14083563" w:rsidRPr="36140518">
        <w:rPr>
          <w:rFonts w:ascii="Times New Roman" w:eastAsia="Times New Roman" w:hAnsi="Times New Roman"/>
          <w:lang w:eastAsia="ar-SA"/>
        </w:rPr>
        <w:t xml:space="preserve"> amongst the latter were</w:t>
      </w:r>
      <w:r w:rsidR="00555AB6" w:rsidRPr="36140518">
        <w:rPr>
          <w:rFonts w:ascii="Times New Roman" w:eastAsia="Times New Roman" w:hAnsi="Times New Roman"/>
          <w:lang w:eastAsia="ar-SA"/>
        </w:rPr>
        <w:t xml:space="preserve"> </w:t>
      </w:r>
      <w:r w:rsidR="00555AB6" w:rsidRPr="7FAB6764">
        <w:rPr>
          <w:rFonts w:ascii="Times New Roman" w:eastAsia="Times New Roman" w:hAnsi="Times New Roman"/>
          <w:lang w:eastAsia="ar-SA"/>
        </w:rPr>
        <w:t>documents</w:t>
      </w:r>
      <w:r w:rsidR="00963731">
        <w:rPr>
          <w:rFonts w:ascii="Times New Roman" w:eastAsia="Times New Roman" w:hAnsi="Times New Roman"/>
          <w:lang w:eastAsia="ar-SA"/>
        </w:rPr>
        <w:t xml:space="preserve"> from the Conference of the Parties  and Conference of the Parties serving as the Meeting of the Parties of the Cartagena Protocol (MOP)</w:t>
      </w:r>
      <w:r w:rsidR="00963731" w:rsidRPr="69BA3794">
        <w:rPr>
          <w:rFonts w:ascii="Times New Roman" w:eastAsia="Times New Roman" w:hAnsi="Times New Roman"/>
          <w:lang w:eastAsia="ar-SA"/>
        </w:rPr>
        <w:t>,</w:t>
      </w:r>
      <w:r w:rsidR="00325656">
        <w:rPr>
          <w:rFonts w:ascii="Times New Roman" w:eastAsia="Times New Roman" w:hAnsi="Times New Roman"/>
          <w:lang w:eastAsia="ar-SA"/>
        </w:rPr>
        <w:t xml:space="preserve"> </w:t>
      </w:r>
      <w:r w:rsidR="00555AB6" w:rsidRPr="7FAB6764">
        <w:rPr>
          <w:rFonts w:ascii="Times New Roman" w:eastAsia="Times New Roman" w:hAnsi="Times New Roman"/>
          <w:lang w:eastAsia="ar-SA"/>
        </w:rPr>
        <w:t>such as</w:t>
      </w:r>
      <w:r w:rsidR="11C30181" w:rsidRPr="36140518" w:rsidDel="00963731">
        <w:rPr>
          <w:rFonts w:ascii="Times New Roman" w:eastAsia="Times New Roman" w:hAnsi="Times New Roman"/>
          <w:lang w:eastAsia="ar-SA"/>
        </w:rPr>
        <w:t xml:space="preserve"> </w:t>
      </w:r>
      <w:r w:rsidR="00555AB6" w:rsidRPr="7FAB6764">
        <w:rPr>
          <w:rFonts w:ascii="Times New Roman" w:eastAsia="Times New Roman" w:hAnsi="Times New Roman"/>
          <w:lang w:eastAsia="ar-SA"/>
        </w:rPr>
        <w:t xml:space="preserve">reports of the </w:t>
      </w:r>
      <w:r w:rsidR="00E12646">
        <w:rPr>
          <w:rFonts w:ascii="Times New Roman" w:eastAsia="Times New Roman" w:hAnsi="Times New Roman"/>
          <w:lang w:eastAsia="ar-SA"/>
        </w:rPr>
        <w:t>A</w:t>
      </w:r>
      <w:r w:rsidR="00294C41">
        <w:rPr>
          <w:rFonts w:ascii="Times New Roman" w:eastAsia="Times New Roman" w:hAnsi="Times New Roman"/>
          <w:lang w:eastAsia="ar-SA"/>
        </w:rPr>
        <w:t>d</w:t>
      </w:r>
      <w:r w:rsidR="00E12646">
        <w:rPr>
          <w:rFonts w:ascii="Times New Roman" w:eastAsia="Times New Roman" w:hAnsi="Times New Roman"/>
          <w:lang w:eastAsia="ar-SA"/>
        </w:rPr>
        <w:t xml:space="preserve"> </w:t>
      </w:r>
      <w:r w:rsidR="00294C41">
        <w:rPr>
          <w:rFonts w:ascii="Times New Roman" w:eastAsia="Times New Roman" w:hAnsi="Times New Roman"/>
          <w:lang w:eastAsia="ar-SA"/>
        </w:rPr>
        <w:t>H</w:t>
      </w:r>
      <w:r w:rsidR="00E12646">
        <w:rPr>
          <w:rFonts w:ascii="Times New Roman" w:eastAsia="Times New Roman" w:hAnsi="Times New Roman"/>
          <w:lang w:eastAsia="ar-SA"/>
        </w:rPr>
        <w:t>oc Technical Expert Groups (</w:t>
      </w:r>
      <w:r w:rsidR="4E7D1A0C" w:rsidRPr="36140518">
        <w:rPr>
          <w:rFonts w:ascii="Times New Roman" w:eastAsia="Times New Roman" w:hAnsi="Times New Roman"/>
          <w:lang w:eastAsia="ar-SA"/>
        </w:rPr>
        <w:t>AHTEG</w:t>
      </w:r>
      <w:r w:rsidR="00555AB6">
        <w:rPr>
          <w:rFonts w:ascii="Times New Roman" w:eastAsia="Times New Roman" w:hAnsi="Times New Roman"/>
          <w:lang w:eastAsia="ar-SA"/>
        </w:rPr>
        <w:t>s</w:t>
      </w:r>
      <w:r w:rsidR="00E12646">
        <w:rPr>
          <w:rFonts w:ascii="Times New Roman" w:eastAsia="Times New Roman" w:hAnsi="Times New Roman"/>
          <w:lang w:eastAsia="ar-SA"/>
        </w:rPr>
        <w:t>)</w:t>
      </w:r>
      <w:r w:rsidR="00555AB6" w:rsidRPr="7FAB6764">
        <w:rPr>
          <w:rFonts w:ascii="Times New Roman" w:eastAsia="Times New Roman" w:hAnsi="Times New Roman"/>
          <w:lang w:eastAsia="ar-SA"/>
        </w:rPr>
        <w:t xml:space="preserve"> and relevant decisions</w:t>
      </w:r>
      <w:r w:rsidR="00746357" w:rsidRPr="36140518">
        <w:rPr>
          <w:rFonts w:ascii="Times New Roman" w:eastAsia="Times New Roman" w:hAnsi="Times New Roman"/>
          <w:lang w:eastAsia="ar-SA"/>
        </w:rPr>
        <w:t xml:space="preserve">, </w:t>
      </w:r>
      <w:r w:rsidR="6AFA6F93" w:rsidRPr="36140518">
        <w:rPr>
          <w:rFonts w:ascii="Times New Roman" w:eastAsia="Times New Roman" w:hAnsi="Times New Roman"/>
          <w:lang w:eastAsia="ar-SA"/>
        </w:rPr>
        <w:t xml:space="preserve">as well as </w:t>
      </w:r>
      <w:r w:rsidR="62FD7283" w:rsidRPr="36140518">
        <w:rPr>
          <w:rFonts w:ascii="Times New Roman" w:eastAsia="Times New Roman" w:hAnsi="Times New Roman"/>
          <w:lang w:eastAsia="ar-SA"/>
        </w:rPr>
        <w:t>publications</w:t>
      </w:r>
      <w:r w:rsidR="00011FA0">
        <w:rPr>
          <w:rFonts w:ascii="Times New Roman" w:eastAsia="Times New Roman" w:hAnsi="Times New Roman"/>
          <w:lang w:eastAsia="ar-SA"/>
        </w:rPr>
        <w:t xml:space="preserve">, </w:t>
      </w:r>
      <w:r w:rsidR="62FD7283" w:rsidRPr="36140518">
        <w:rPr>
          <w:rFonts w:ascii="Times New Roman" w:eastAsia="Times New Roman" w:hAnsi="Times New Roman"/>
          <w:lang w:eastAsia="ar-SA"/>
        </w:rPr>
        <w:t>guidance and opinions from regulatory authorities</w:t>
      </w:r>
      <w:r w:rsidR="430D764F" w:rsidRPr="36140518">
        <w:rPr>
          <w:rFonts w:ascii="Times New Roman" w:eastAsia="Times New Roman" w:hAnsi="Times New Roman"/>
          <w:lang w:eastAsia="ar-SA"/>
        </w:rPr>
        <w:t xml:space="preserve">. Together, these were supplemented with </w:t>
      </w:r>
      <w:r w:rsidR="00DE0096">
        <w:rPr>
          <w:rFonts w:ascii="Times New Roman" w:eastAsia="Times New Roman" w:hAnsi="Times New Roman"/>
          <w:lang w:eastAsia="ar-SA"/>
        </w:rPr>
        <w:t xml:space="preserve">information from </w:t>
      </w:r>
      <w:r w:rsidR="003B5A0A">
        <w:rPr>
          <w:rFonts w:ascii="Times New Roman" w:eastAsia="Times New Roman" w:hAnsi="Times New Roman"/>
          <w:lang w:eastAsia="ar-SA"/>
        </w:rPr>
        <w:t xml:space="preserve">websites and publications of </w:t>
      </w:r>
      <w:r w:rsidR="00DE0096">
        <w:rPr>
          <w:rFonts w:ascii="Times New Roman" w:eastAsia="Times New Roman" w:hAnsi="Times New Roman"/>
          <w:lang w:eastAsia="ar-SA"/>
        </w:rPr>
        <w:t>other organi</w:t>
      </w:r>
      <w:r w:rsidR="00D5755D">
        <w:rPr>
          <w:rFonts w:ascii="Times New Roman" w:eastAsia="Times New Roman" w:hAnsi="Times New Roman"/>
          <w:lang w:eastAsia="ar-SA"/>
        </w:rPr>
        <w:t>s</w:t>
      </w:r>
      <w:r w:rsidR="00DE0096">
        <w:rPr>
          <w:rFonts w:ascii="Times New Roman" w:eastAsia="Times New Roman" w:hAnsi="Times New Roman"/>
          <w:lang w:eastAsia="ar-SA"/>
        </w:rPr>
        <w:t>ations</w:t>
      </w:r>
      <w:r w:rsidR="00210F21">
        <w:rPr>
          <w:rFonts w:ascii="Times New Roman" w:eastAsia="Times New Roman" w:hAnsi="Times New Roman"/>
          <w:lang w:eastAsia="ar-SA"/>
        </w:rPr>
        <w:t>, especially those entities mandated to implement the i</w:t>
      </w:r>
      <w:r w:rsidR="00210F21" w:rsidRPr="00210F21">
        <w:rPr>
          <w:rFonts w:ascii="Times New Roman" w:eastAsia="Times New Roman" w:hAnsi="Times New Roman"/>
          <w:lang w:eastAsia="ar-SA"/>
        </w:rPr>
        <w:t>nternational laws, processes and initiatives</w:t>
      </w:r>
      <w:r w:rsidR="00210F21">
        <w:rPr>
          <w:rFonts w:ascii="Times New Roman" w:eastAsia="Times New Roman" w:hAnsi="Times New Roman"/>
          <w:lang w:eastAsia="ar-SA"/>
        </w:rPr>
        <w:t xml:space="preserve"> listed in Section 9</w:t>
      </w:r>
      <w:r w:rsidR="004F0A92">
        <w:rPr>
          <w:rFonts w:ascii="Times New Roman" w:eastAsia="Times New Roman" w:hAnsi="Times New Roman"/>
          <w:lang w:eastAsia="ar-SA"/>
        </w:rPr>
        <w:t xml:space="preserve"> and those </w:t>
      </w:r>
      <w:r w:rsidR="00914ECF">
        <w:rPr>
          <w:rFonts w:ascii="Times New Roman" w:eastAsia="Times New Roman" w:hAnsi="Times New Roman"/>
          <w:lang w:eastAsia="ar-SA"/>
        </w:rPr>
        <w:t xml:space="preserve">civil society organisations </w:t>
      </w:r>
      <w:r w:rsidR="00474070">
        <w:rPr>
          <w:rFonts w:ascii="Times New Roman" w:eastAsia="Times New Roman" w:hAnsi="Times New Roman"/>
          <w:lang w:eastAsia="ar-SA"/>
        </w:rPr>
        <w:t xml:space="preserve">with </w:t>
      </w:r>
      <w:r w:rsidR="00914ECF">
        <w:rPr>
          <w:rFonts w:ascii="Times New Roman" w:eastAsia="Times New Roman" w:hAnsi="Times New Roman"/>
          <w:lang w:eastAsia="ar-SA"/>
        </w:rPr>
        <w:t xml:space="preserve">a prominent </w:t>
      </w:r>
      <w:r w:rsidR="0009738B">
        <w:rPr>
          <w:rFonts w:ascii="Times New Roman" w:eastAsia="Times New Roman" w:hAnsi="Times New Roman"/>
          <w:lang w:eastAsia="ar-SA"/>
        </w:rPr>
        <w:t xml:space="preserve">focus on synthetic biology </w:t>
      </w:r>
      <w:r w:rsidR="00B54BB1">
        <w:rPr>
          <w:rFonts w:ascii="Times New Roman" w:eastAsia="Times New Roman" w:hAnsi="Times New Roman"/>
          <w:lang w:eastAsia="ar-SA"/>
        </w:rPr>
        <w:t xml:space="preserve">impacts on </w:t>
      </w:r>
      <w:r w:rsidR="00B3587C">
        <w:rPr>
          <w:rFonts w:ascii="Times New Roman" w:eastAsia="Times New Roman" w:hAnsi="Times New Roman"/>
          <w:lang w:eastAsia="ar-SA"/>
        </w:rPr>
        <w:t xml:space="preserve">the </w:t>
      </w:r>
      <w:r w:rsidR="00B54BB1">
        <w:rPr>
          <w:rFonts w:ascii="Times New Roman" w:eastAsia="Times New Roman" w:hAnsi="Times New Roman"/>
          <w:lang w:eastAsia="ar-SA"/>
        </w:rPr>
        <w:t>conservation</w:t>
      </w:r>
      <w:r w:rsidR="00B77FA8">
        <w:rPr>
          <w:rFonts w:ascii="Times New Roman" w:eastAsia="Times New Roman" w:hAnsi="Times New Roman"/>
          <w:lang w:eastAsia="ar-SA"/>
        </w:rPr>
        <w:t xml:space="preserve"> and sustainable use of biological diversity</w:t>
      </w:r>
      <w:r w:rsidR="00654EEA">
        <w:rPr>
          <w:rFonts w:ascii="Times New Roman" w:eastAsia="Times New Roman" w:hAnsi="Times New Roman"/>
          <w:lang w:eastAsia="ar-SA"/>
        </w:rPr>
        <w:t>.</w:t>
      </w:r>
      <w:r w:rsidR="00D1556D">
        <w:rPr>
          <w:rFonts w:ascii="Times New Roman" w:eastAsia="Times New Roman" w:hAnsi="Times New Roman"/>
          <w:lang w:eastAsia="ar-SA"/>
        </w:rPr>
        <w:t xml:space="preserve"> S</w:t>
      </w:r>
      <w:r w:rsidR="00BA4DA8" w:rsidRPr="00BA4DA8">
        <w:rPr>
          <w:rFonts w:ascii="Times New Roman" w:eastAsia="Times New Roman" w:hAnsi="Times New Roman"/>
          <w:lang w:eastAsia="ar-SA"/>
        </w:rPr>
        <w:t xml:space="preserve">pecific elements </w:t>
      </w:r>
      <w:r w:rsidR="007D4D19">
        <w:rPr>
          <w:rFonts w:ascii="Times New Roman" w:eastAsia="Times New Roman" w:hAnsi="Times New Roman"/>
          <w:lang w:eastAsia="ar-SA"/>
        </w:rPr>
        <w:t>c</w:t>
      </w:r>
      <w:r w:rsidR="00BA4DA8" w:rsidRPr="00BA4DA8">
        <w:rPr>
          <w:rFonts w:ascii="Times New Roman" w:eastAsia="Times New Roman" w:hAnsi="Times New Roman"/>
          <w:lang w:eastAsia="ar-SA"/>
        </w:rPr>
        <w:t>on</w:t>
      </w:r>
      <w:r w:rsidR="007D4D19">
        <w:rPr>
          <w:rFonts w:ascii="Times New Roman" w:eastAsia="Times New Roman" w:hAnsi="Times New Roman"/>
          <w:lang w:eastAsia="ar-SA"/>
        </w:rPr>
        <w:t>cerning</w:t>
      </w:r>
      <w:r w:rsidR="00BA4DA8" w:rsidRPr="00BA4DA8">
        <w:rPr>
          <w:rFonts w:ascii="Times New Roman" w:eastAsia="Times New Roman" w:hAnsi="Times New Roman"/>
          <w:lang w:eastAsia="ar-SA"/>
        </w:rPr>
        <w:t xml:space="preserve"> </w:t>
      </w:r>
      <w:r w:rsidR="001A6922" w:rsidRPr="001A6922">
        <w:rPr>
          <w:rFonts w:ascii="Times New Roman" w:eastAsia="Times New Roman" w:hAnsi="Times New Roman"/>
          <w:lang w:eastAsia="ar-SA"/>
        </w:rPr>
        <w:t>indigenous peoples and local communities</w:t>
      </w:r>
      <w:r w:rsidR="001A6922">
        <w:rPr>
          <w:rFonts w:ascii="Times New Roman" w:eastAsia="Times New Roman" w:hAnsi="Times New Roman"/>
          <w:lang w:eastAsia="ar-SA"/>
        </w:rPr>
        <w:t xml:space="preserve"> (</w:t>
      </w:r>
      <w:r w:rsidR="00BA4DA8" w:rsidRPr="00BA4DA8">
        <w:rPr>
          <w:rFonts w:ascii="Times New Roman" w:eastAsia="Times New Roman" w:hAnsi="Times New Roman"/>
          <w:lang w:eastAsia="ar-SA"/>
        </w:rPr>
        <w:t>IPLCs</w:t>
      </w:r>
      <w:r w:rsidR="001A6922">
        <w:rPr>
          <w:rFonts w:ascii="Times New Roman" w:eastAsia="Times New Roman" w:hAnsi="Times New Roman"/>
          <w:lang w:eastAsia="ar-SA"/>
        </w:rPr>
        <w:t>)</w:t>
      </w:r>
      <w:r w:rsidR="00D1556D">
        <w:rPr>
          <w:rFonts w:ascii="Times New Roman" w:eastAsia="Times New Roman" w:hAnsi="Times New Roman"/>
          <w:lang w:eastAsia="ar-SA"/>
        </w:rPr>
        <w:t xml:space="preserve">, including </w:t>
      </w:r>
      <w:r w:rsidR="00B91CB3">
        <w:rPr>
          <w:rFonts w:ascii="Times New Roman" w:eastAsia="Times New Roman" w:hAnsi="Times New Roman"/>
          <w:lang w:eastAsia="ar-SA"/>
        </w:rPr>
        <w:t>arguments representing IPLC views</w:t>
      </w:r>
      <w:r w:rsidR="00D1556D">
        <w:rPr>
          <w:rFonts w:ascii="Times New Roman" w:eastAsia="Times New Roman" w:hAnsi="Times New Roman"/>
          <w:lang w:eastAsia="ar-SA"/>
        </w:rPr>
        <w:t xml:space="preserve"> where mainly sourced</w:t>
      </w:r>
      <w:r w:rsidR="00B91CB3">
        <w:rPr>
          <w:rFonts w:ascii="Times New Roman" w:eastAsia="Times New Roman" w:hAnsi="Times New Roman"/>
          <w:lang w:eastAsia="ar-SA"/>
        </w:rPr>
        <w:t xml:space="preserve"> from AHTEG reports and other CBD documents</w:t>
      </w:r>
      <w:r w:rsidR="00BA4DA8" w:rsidRPr="00BA4DA8">
        <w:rPr>
          <w:rFonts w:ascii="Times New Roman" w:eastAsia="Times New Roman" w:hAnsi="Times New Roman"/>
          <w:lang w:eastAsia="ar-SA"/>
        </w:rPr>
        <w:t xml:space="preserve">.  </w:t>
      </w:r>
    </w:p>
    <w:p w14:paraId="2E038EE4" w14:textId="0F34CB8A" w:rsidR="36140518" w:rsidRDefault="00E451E0" w:rsidP="00FA4E5B">
      <w:pPr>
        <w:spacing w:before="240" w:after="120" w:line="240" w:lineRule="auto"/>
        <w:jc w:val="both"/>
        <w:rPr>
          <w:rFonts w:ascii="Times New Roman" w:eastAsia="Times New Roman" w:hAnsi="Times New Roman"/>
          <w:lang w:eastAsia="ar-SA"/>
        </w:rPr>
      </w:pPr>
      <w:r>
        <w:rPr>
          <w:rFonts w:ascii="Times New Roman" w:eastAsia="Times New Roman" w:hAnsi="Times New Roman"/>
          <w:lang w:eastAsia="ar-SA"/>
        </w:rPr>
        <w:t xml:space="preserve">It should </w:t>
      </w:r>
      <w:r w:rsidR="00AF474F">
        <w:rPr>
          <w:rFonts w:ascii="Times New Roman" w:eastAsia="Times New Roman" w:hAnsi="Times New Roman"/>
          <w:lang w:eastAsia="ar-SA"/>
        </w:rPr>
        <w:t>also</w:t>
      </w:r>
      <w:r>
        <w:rPr>
          <w:rFonts w:ascii="Times New Roman" w:eastAsia="Times New Roman" w:hAnsi="Times New Roman"/>
          <w:lang w:eastAsia="ar-SA"/>
        </w:rPr>
        <w:t xml:space="preserve"> be understood that the coverage </w:t>
      </w:r>
      <w:r w:rsidR="001B2085">
        <w:rPr>
          <w:rFonts w:ascii="Times New Roman" w:eastAsia="Times New Roman" w:hAnsi="Times New Roman"/>
          <w:lang w:eastAsia="ar-SA"/>
        </w:rPr>
        <w:t xml:space="preserve">of information </w:t>
      </w:r>
      <w:r w:rsidR="004A3B6A">
        <w:rPr>
          <w:rFonts w:ascii="Times New Roman" w:eastAsia="Times New Roman" w:hAnsi="Times New Roman"/>
          <w:lang w:eastAsia="ar-SA"/>
        </w:rPr>
        <w:t xml:space="preserve">used </w:t>
      </w:r>
      <w:r w:rsidR="002C2B8F">
        <w:rPr>
          <w:rFonts w:ascii="Times New Roman" w:eastAsia="Times New Roman" w:hAnsi="Times New Roman"/>
          <w:lang w:eastAsia="ar-SA"/>
        </w:rPr>
        <w:t>for</w:t>
      </w:r>
      <w:r w:rsidR="004A3B6A">
        <w:rPr>
          <w:rFonts w:ascii="Times New Roman" w:eastAsia="Times New Roman" w:hAnsi="Times New Roman"/>
          <w:lang w:eastAsia="ar-SA"/>
        </w:rPr>
        <w:t xml:space="preserve"> the</w:t>
      </w:r>
      <w:r w:rsidR="002C2B8F">
        <w:rPr>
          <w:rFonts w:ascii="Times New Roman" w:eastAsia="Times New Roman" w:hAnsi="Times New Roman"/>
          <w:lang w:eastAsia="ar-SA"/>
        </w:rPr>
        <w:t xml:space="preserve"> update is not </w:t>
      </w:r>
      <w:r w:rsidR="002C2B8F" w:rsidRPr="008805B8">
        <w:rPr>
          <w:rFonts w:ascii="Times New Roman" w:eastAsia="Times New Roman" w:hAnsi="Times New Roman"/>
        </w:rPr>
        <w:t>exhaustive</w:t>
      </w:r>
      <w:r w:rsidR="00B0465C">
        <w:rPr>
          <w:rFonts w:ascii="Times New Roman" w:eastAsia="Times New Roman" w:hAnsi="Times New Roman"/>
        </w:rPr>
        <w:t xml:space="preserve">. </w:t>
      </w:r>
      <w:r w:rsidR="0011607C">
        <w:rPr>
          <w:rFonts w:ascii="Times New Roman" w:eastAsia="Times New Roman" w:hAnsi="Times New Roman"/>
        </w:rPr>
        <w:t>Further,</w:t>
      </w:r>
      <w:r w:rsidR="4A6C5BD7" w:rsidDel="003321EC">
        <w:rPr>
          <w:rFonts w:ascii="Times New Roman" w:eastAsia="Times New Roman" w:hAnsi="Times New Roman"/>
        </w:rPr>
        <w:t xml:space="preserve"> </w:t>
      </w:r>
      <w:r w:rsidR="68C4695F" w:rsidRPr="00AB4B69">
        <w:rPr>
          <w:rFonts w:ascii="Times New Roman" w:eastAsia="Times New Roman" w:hAnsi="Times New Roman"/>
          <w:lang w:eastAsia="ar-SA"/>
        </w:rPr>
        <w:t xml:space="preserve">only </w:t>
      </w:r>
      <w:r w:rsidR="234D2D39" w:rsidRPr="00AB4B69">
        <w:rPr>
          <w:rFonts w:ascii="Times New Roman" w:eastAsia="Times New Roman" w:hAnsi="Times New Roman"/>
          <w:lang w:eastAsia="ar-SA"/>
        </w:rPr>
        <w:t xml:space="preserve">a small </w:t>
      </w:r>
      <w:r w:rsidR="00B47DD3">
        <w:rPr>
          <w:rFonts w:ascii="Times New Roman" w:eastAsia="Times New Roman" w:hAnsi="Times New Roman"/>
          <w:lang w:eastAsia="ar-SA"/>
        </w:rPr>
        <w:t>proportion</w:t>
      </w:r>
      <w:r w:rsidR="00B47DD3" w:rsidRPr="00AB4B69">
        <w:rPr>
          <w:rFonts w:ascii="Times New Roman" w:eastAsia="Times New Roman" w:hAnsi="Times New Roman"/>
          <w:lang w:eastAsia="ar-SA"/>
        </w:rPr>
        <w:t xml:space="preserve"> </w:t>
      </w:r>
      <w:r w:rsidR="234D2D39" w:rsidRPr="00AB4B69">
        <w:rPr>
          <w:rFonts w:ascii="Times New Roman" w:eastAsia="Times New Roman" w:hAnsi="Times New Roman"/>
          <w:lang w:eastAsia="ar-SA"/>
        </w:rPr>
        <w:t xml:space="preserve">of </w:t>
      </w:r>
      <w:r w:rsidR="000C4A24">
        <w:rPr>
          <w:rFonts w:ascii="Times New Roman" w:eastAsia="Times New Roman" w:hAnsi="Times New Roman"/>
          <w:lang w:eastAsia="ar-SA"/>
        </w:rPr>
        <w:t xml:space="preserve">the available </w:t>
      </w:r>
      <w:r w:rsidR="234D2D39" w:rsidRPr="00AB4B69">
        <w:rPr>
          <w:rFonts w:ascii="Times New Roman" w:eastAsia="Times New Roman" w:hAnsi="Times New Roman"/>
          <w:lang w:eastAsia="ar-SA"/>
        </w:rPr>
        <w:t>publications</w:t>
      </w:r>
      <w:r w:rsidR="00A45DF4">
        <w:rPr>
          <w:rFonts w:ascii="Times New Roman" w:eastAsia="Times New Roman" w:hAnsi="Times New Roman"/>
          <w:lang w:eastAsia="ar-SA"/>
        </w:rPr>
        <w:t xml:space="preserve"> and information</w:t>
      </w:r>
      <w:r w:rsidR="41A95247" w:rsidRPr="00AB4B69">
        <w:rPr>
          <w:rFonts w:ascii="Times New Roman" w:eastAsia="Times New Roman" w:hAnsi="Times New Roman"/>
          <w:lang w:eastAsia="ar-SA"/>
        </w:rPr>
        <w:t xml:space="preserve"> </w:t>
      </w:r>
      <w:r w:rsidR="12799661" w:rsidRPr="00AB4B69">
        <w:rPr>
          <w:rFonts w:ascii="Times New Roman" w:eastAsia="Times New Roman" w:hAnsi="Times New Roman"/>
          <w:lang w:eastAsia="ar-SA"/>
        </w:rPr>
        <w:t>analyse</w:t>
      </w:r>
      <w:r w:rsidR="00AF474F">
        <w:rPr>
          <w:rFonts w:ascii="Times New Roman" w:eastAsia="Times New Roman" w:hAnsi="Times New Roman"/>
          <w:lang w:eastAsia="ar-SA"/>
        </w:rPr>
        <w:t>d</w:t>
      </w:r>
      <w:r w:rsidR="234D2D39" w:rsidRPr="00AB4B69">
        <w:rPr>
          <w:rFonts w:ascii="Times New Roman" w:eastAsia="Times New Roman" w:hAnsi="Times New Roman"/>
          <w:lang w:eastAsia="ar-SA"/>
        </w:rPr>
        <w:t xml:space="preserve"> the existing </w:t>
      </w:r>
      <w:r w:rsidR="431083AD" w:rsidRPr="00AB4B69">
        <w:rPr>
          <w:rFonts w:ascii="Times New Roman" w:eastAsia="Times New Roman" w:hAnsi="Times New Roman"/>
          <w:lang w:eastAsia="ar-SA"/>
        </w:rPr>
        <w:t xml:space="preserve">international legal and </w:t>
      </w:r>
      <w:r w:rsidR="234D2D39" w:rsidRPr="00AB4B69">
        <w:rPr>
          <w:rFonts w:ascii="Times New Roman" w:eastAsia="Times New Roman" w:hAnsi="Times New Roman"/>
          <w:lang w:eastAsia="ar-SA"/>
        </w:rPr>
        <w:t>regulatory framework</w:t>
      </w:r>
      <w:r w:rsidR="00AF474F">
        <w:rPr>
          <w:rFonts w:ascii="Times New Roman" w:eastAsia="Times New Roman" w:hAnsi="Times New Roman"/>
          <w:lang w:eastAsia="ar-SA"/>
        </w:rPr>
        <w:t>s</w:t>
      </w:r>
      <w:r w:rsidR="00CE6FFF">
        <w:rPr>
          <w:rFonts w:ascii="Times New Roman" w:eastAsia="Times New Roman" w:hAnsi="Times New Roman"/>
          <w:lang w:eastAsia="ar-SA"/>
        </w:rPr>
        <w:t xml:space="preserve">, as well as </w:t>
      </w:r>
      <w:r w:rsidR="00D2348E">
        <w:rPr>
          <w:rFonts w:ascii="Times New Roman" w:eastAsia="Times New Roman" w:hAnsi="Times New Roman"/>
          <w:lang w:eastAsia="ar-SA"/>
        </w:rPr>
        <w:t xml:space="preserve">the extent of potential </w:t>
      </w:r>
      <w:r w:rsidR="00B8160D">
        <w:rPr>
          <w:rFonts w:ascii="Times New Roman" w:eastAsia="Times New Roman" w:hAnsi="Times New Roman"/>
          <w:lang w:eastAsia="ar-SA"/>
        </w:rPr>
        <w:t xml:space="preserve">impacts on </w:t>
      </w:r>
      <w:r w:rsidR="00E9027C">
        <w:rPr>
          <w:rFonts w:ascii="Times New Roman" w:eastAsia="Times New Roman" w:hAnsi="Times New Roman"/>
          <w:lang w:eastAsia="ar-SA"/>
        </w:rPr>
        <w:t>biodivers</w:t>
      </w:r>
      <w:r w:rsidR="00C31718">
        <w:rPr>
          <w:rFonts w:ascii="Times New Roman" w:eastAsia="Times New Roman" w:hAnsi="Times New Roman"/>
          <w:lang w:eastAsia="ar-SA"/>
        </w:rPr>
        <w:t>i</w:t>
      </w:r>
      <w:r w:rsidR="00E9027C">
        <w:rPr>
          <w:rFonts w:ascii="Times New Roman" w:eastAsia="Times New Roman" w:hAnsi="Times New Roman"/>
          <w:lang w:eastAsia="ar-SA"/>
        </w:rPr>
        <w:t>ty</w:t>
      </w:r>
      <w:r w:rsidR="000C4A24">
        <w:rPr>
          <w:rFonts w:ascii="Times New Roman" w:eastAsia="Times New Roman" w:hAnsi="Times New Roman"/>
          <w:lang w:eastAsia="ar-SA"/>
        </w:rPr>
        <w:t>,</w:t>
      </w:r>
      <w:r w:rsidR="234D2D39" w:rsidRPr="00AB4B69">
        <w:rPr>
          <w:rFonts w:ascii="Times New Roman" w:eastAsia="Times New Roman" w:hAnsi="Times New Roman"/>
          <w:lang w:eastAsia="ar-SA"/>
        </w:rPr>
        <w:t xml:space="preserve"> </w:t>
      </w:r>
      <w:r w:rsidR="00765B48">
        <w:rPr>
          <w:rFonts w:ascii="Times New Roman" w:eastAsia="Times New Roman" w:hAnsi="Times New Roman"/>
          <w:lang w:eastAsia="ar-SA"/>
        </w:rPr>
        <w:t>specifically</w:t>
      </w:r>
      <w:r w:rsidR="00765B48" w:rsidRPr="00AB4B69">
        <w:rPr>
          <w:rFonts w:ascii="Times New Roman" w:eastAsia="Times New Roman" w:hAnsi="Times New Roman"/>
          <w:lang w:eastAsia="ar-SA"/>
        </w:rPr>
        <w:t xml:space="preserve"> </w:t>
      </w:r>
      <w:r w:rsidR="407FC8F2" w:rsidRPr="00AB4B69">
        <w:rPr>
          <w:rFonts w:ascii="Times New Roman" w:eastAsia="Times New Roman" w:hAnsi="Times New Roman"/>
          <w:lang w:eastAsia="ar-SA"/>
        </w:rPr>
        <w:t xml:space="preserve">through the lens of </w:t>
      </w:r>
      <w:r w:rsidR="234D2D39" w:rsidRPr="00AB4B69">
        <w:rPr>
          <w:rFonts w:ascii="Times New Roman" w:eastAsia="Times New Roman" w:hAnsi="Times New Roman"/>
          <w:lang w:eastAsia="ar-SA"/>
        </w:rPr>
        <w:t>synthetic biology</w:t>
      </w:r>
      <w:r w:rsidR="00793255">
        <w:rPr>
          <w:rFonts w:ascii="Times New Roman" w:eastAsia="Times New Roman" w:hAnsi="Times New Roman"/>
          <w:lang w:eastAsia="ar-SA"/>
        </w:rPr>
        <w:t xml:space="preserve"> sector as a whole</w:t>
      </w:r>
      <w:r w:rsidR="004A2666">
        <w:rPr>
          <w:rFonts w:ascii="Times New Roman" w:eastAsia="Times New Roman" w:hAnsi="Times New Roman"/>
          <w:lang w:eastAsia="ar-SA"/>
        </w:rPr>
        <w:t xml:space="preserve">. </w:t>
      </w:r>
      <w:r w:rsidR="00274198">
        <w:rPr>
          <w:rFonts w:ascii="Times New Roman" w:eastAsia="Times New Roman" w:hAnsi="Times New Roman"/>
          <w:lang w:eastAsia="ar-SA"/>
        </w:rPr>
        <w:t>T</w:t>
      </w:r>
      <w:r w:rsidR="004F324F">
        <w:rPr>
          <w:rFonts w:ascii="Times New Roman" w:eastAsia="Times New Roman" w:hAnsi="Times New Roman"/>
          <w:lang w:eastAsia="ar-SA"/>
        </w:rPr>
        <w:t>he</w:t>
      </w:r>
      <w:r w:rsidR="05255778" w:rsidRPr="00303E04" w:rsidDel="00823C02">
        <w:rPr>
          <w:rFonts w:ascii="Times New Roman" w:eastAsia="Times New Roman" w:hAnsi="Times New Roman"/>
          <w:lang w:eastAsia="ar-SA"/>
        </w:rPr>
        <w:t xml:space="preserve"> </w:t>
      </w:r>
      <w:r w:rsidR="007F6736">
        <w:rPr>
          <w:rFonts w:ascii="Times New Roman" w:eastAsia="Times New Roman" w:hAnsi="Times New Roman"/>
          <w:lang w:eastAsia="ar-SA"/>
        </w:rPr>
        <w:t xml:space="preserve">authors </w:t>
      </w:r>
      <w:r w:rsidR="00290C5F">
        <w:rPr>
          <w:rFonts w:ascii="Times New Roman" w:eastAsia="Times New Roman" w:hAnsi="Times New Roman"/>
          <w:lang w:eastAsia="ar-SA"/>
        </w:rPr>
        <w:t xml:space="preserve">have </w:t>
      </w:r>
      <w:r w:rsidR="001C5D56">
        <w:rPr>
          <w:rFonts w:ascii="Times New Roman" w:eastAsia="Times New Roman" w:hAnsi="Times New Roman"/>
          <w:lang w:eastAsia="ar-SA"/>
        </w:rPr>
        <w:t xml:space="preserve">therefore </w:t>
      </w:r>
      <w:r w:rsidR="007F6736">
        <w:rPr>
          <w:rFonts w:ascii="Times New Roman" w:eastAsia="Times New Roman" w:hAnsi="Times New Roman"/>
          <w:lang w:eastAsia="ar-SA"/>
        </w:rPr>
        <w:t xml:space="preserve">attempted to </w:t>
      </w:r>
      <w:r w:rsidR="004F019D">
        <w:rPr>
          <w:rFonts w:ascii="Times New Roman" w:eastAsia="Times New Roman" w:hAnsi="Times New Roman"/>
          <w:lang w:eastAsia="ar-SA"/>
        </w:rPr>
        <w:t xml:space="preserve">exemplify </w:t>
      </w:r>
      <w:r w:rsidR="009A2560">
        <w:rPr>
          <w:rFonts w:ascii="Times New Roman" w:eastAsia="Times New Roman" w:hAnsi="Times New Roman"/>
          <w:lang w:eastAsia="ar-SA"/>
        </w:rPr>
        <w:t>the</w:t>
      </w:r>
      <w:r w:rsidR="000D780E">
        <w:rPr>
          <w:rFonts w:ascii="Times New Roman" w:eastAsia="Times New Roman" w:hAnsi="Times New Roman"/>
          <w:lang w:eastAsia="ar-SA"/>
        </w:rPr>
        <w:t xml:space="preserve"> </w:t>
      </w:r>
      <w:r w:rsidR="00AF474F">
        <w:rPr>
          <w:rFonts w:ascii="Times New Roman" w:eastAsia="Times New Roman" w:hAnsi="Times New Roman"/>
          <w:lang w:eastAsia="ar-SA"/>
        </w:rPr>
        <w:t>d</w:t>
      </w:r>
      <w:r w:rsidR="00120A70">
        <w:rPr>
          <w:rFonts w:ascii="Times New Roman" w:eastAsia="Times New Roman" w:hAnsi="Times New Roman"/>
          <w:lang w:eastAsia="ar-SA"/>
        </w:rPr>
        <w:t>iscuss</w:t>
      </w:r>
      <w:r w:rsidR="00AF474F">
        <w:rPr>
          <w:rFonts w:ascii="Times New Roman" w:eastAsia="Times New Roman" w:hAnsi="Times New Roman"/>
          <w:lang w:eastAsia="ar-SA"/>
        </w:rPr>
        <w:t xml:space="preserve">ed </w:t>
      </w:r>
      <w:r w:rsidR="00BD6E92">
        <w:rPr>
          <w:rFonts w:ascii="Times New Roman" w:eastAsia="Times New Roman" w:hAnsi="Times New Roman"/>
          <w:lang w:eastAsia="ar-SA"/>
        </w:rPr>
        <w:t xml:space="preserve">topics with actual examples, but this </w:t>
      </w:r>
      <w:r w:rsidR="001142C1">
        <w:rPr>
          <w:rFonts w:ascii="Times New Roman" w:eastAsia="Times New Roman" w:hAnsi="Times New Roman"/>
          <w:lang w:eastAsia="ar-SA"/>
        </w:rPr>
        <w:t>was not always possible</w:t>
      </w:r>
      <w:r w:rsidR="009A2560">
        <w:rPr>
          <w:rFonts w:ascii="Times New Roman" w:eastAsia="Times New Roman" w:hAnsi="Times New Roman"/>
          <w:lang w:eastAsia="ar-SA"/>
        </w:rPr>
        <w:t xml:space="preserve">, and </w:t>
      </w:r>
      <w:r w:rsidR="006E6EE2">
        <w:rPr>
          <w:rFonts w:ascii="Times New Roman" w:eastAsia="Times New Roman" w:hAnsi="Times New Roman"/>
          <w:lang w:eastAsia="ar-SA"/>
        </w:rPr>
        <w:t>therefore</w:t>
      </w:r>
      <w:r w:rsidR="00B44070">
        <w:rPr>
          <w:rFonts w:ascii="Times New Roman" w:eastAsia="Times New Roman" w:hAnsi="Times New Roman"/>
          <w:lang w:eastAsia="ar-SA"/>
        </w:rPr>
        <w:t>,</w:t>
      </w:r>
      <w:r w:rsidR="009A2560">
        <w:rPr>
          <w:rFonts w:ascii="Times New Roman" w:eastAsia="Times New Roman" w:hAnsi="Times New Roman"/>
          <w:lang w:eastAsia="ar-SA"/>
        </w:rPr>
        <w:t xml:space="preserve"> </w:t>
      </w:r>
      <w:r w:rsidR="00120A70">
        <w:rPr>
          <w:rFonts w:ascii="Times New Roman" w:eastAsia="Times New Roman" w:hAnsi="Times New Roman"/>
          <w:lang w:eastAsia="ar-SA"/>
        </w:rPr>
        <w:t xml:space="preserve">sections of more generalised </w:t>
      </w:r>
      <w:r w:rsidR="00E379E7">
        <w:rPr>
          <w:rFonts w:ascii="Times New Roman" w:eastAsia="Times New Roman" w:hAnsi="Times New Roman"/>
          <w:lang w:eastAsia="ar-SA"/>
        </w:rPr>
        <w:t xml:space="preserve">text </w:t>
      </w:r>
      <w:r w:rsidR="00347A22">
        <w:rPr>
          <w:rFonts w:ascii="Times New Roman" w:eastAsia="Times New Roman" w:hAnsi="Times New Roman"/>
          <w:lang w:eastAsia="ar-SA"/>
        </w:rPr>
        <w:t>ha</w:t>
      </w:r>
      <w:r w:rsidR="00E379E7">
        <w:rPr>
          <w:rFonts w:ascii="Times New Roman" w:eastAsia="Times New Roman" w:hAnsi="Times New Roman"/>
          <w:lang w:eastAsia="ar-SA"/>
        </w:rPr>
        <w:t>ve</w:t>
      </w:r>
      <w:r w:rsidR="00026728">
        <w:rPr>
          <w:rFonts w:ascii="Times New Roman" w:eastAsia="Times New Roman" w:hAnsi="Times New Roman"/>
          <w:lang w:eastAsia="ar-SA"/>
        </w:rPr>
        <w:t xml:space="preserve"> </w:t>
      </w:r>
      <w:r w:rsidR="00120A70">
        <w:rPr>
          <w:rFonts w:ascii="Times New Roman" w:eastAsia="Times New Roman" w:hAnsi="Times New Roman"/>
          <w:lang w:eastAsia="ar-SA"/>
        </w:rPr>
        <w:t>result</w:t>
      </w:r>
      <w:r w:rsidR="00347A22">
        <w:rPr>
          <w:rFonts w:ascii="Times New Roman" w:eastAsia="Times New Roman" w:hAnsi="Times New Roman"/>
          <w:lang w:eastAsia="ar-SA"/>
        </w:rPr>
        <w:t>ed</w:t>
      </w:r>
      <w:r w:rsidR="00026728">
        <w:rPr>
          <w:rFonts w:ascii="Times New Roman" w:eastAsia="Times New Roman" w:hAnsi="Times New Roman"/>
          <w:lang w:eastAsia="ar-SA"/>
        </w:rPr>
        <w:t>.</w:t>
      </w:r>
    </w:p>
    <w:p w14:paraId="5FB14843" w14:textId="38D7040F" w:rsidR="00A268DA" w:rsidRDefault="00356C23" w:rsidP="00804B7F">
      <w:pPr>
        <w:spacing w:before="240" w:after="120" w:line="240" w:lineRule="auto"/>
        <w:jc w:val="both"/>
        <w:rPr>
          <w:rFonts w:ascii="Times New Roman" w:eastAsia="Times New Roman" w:hAnsi="Times New Roman"/>
          <w:sz w:val="20"/>
          <w:szCs w:val="20"/>
          <w:lang w:eastAsia="ar-SA"/>
        </w:rPr>
      </w:pPr>
      <w:r>
        <w:rPr>
          <w:rFonts w:ascii="Times New Roman" w:eastAsia="Times New Roman" w:hAnsi="Times New Roman"/>
          <w:lang w:eastAsia="ar-SA"/>
        </w:rPr>
        <w:t xml:space="preserve">The </w:t>
      </w:r>
      <w:r w:rsidR="00952C05">
        <w:rPr>
          <w:rFonts w:ascii="Times New Roman" w:eastAsia="Times New Roman" w:hAnsi="Times New Roman"/>
          <w:lang w:eastAsia="ar-SA"/>
        </w:rPr>
        <w:t xml:space="preserve">update of </w:t>
      </w:r>
      <w:r w:rsidR="009E7AB3">
        <w:rPr>
          <w:rFonts w:ascii="Times New Roman" w:eastAsia="Times New Roman" w:hAnsi="Times New Roman"/>
          <w:lang w:eastAsia="ar-SA"/>
        </w:rPr>
        <w:t xml:space="preserve">the </w:t>
      </w:r>
      <w:r w:rsidR="008961B1">
        <w:rPr>
          <w:rFonts w:ascii="Times New Roman" w:eastAsia="Times New Roman" w:hAnsi="Times New Roman"/>
          <w:lang w:eastAsia="ar-SA"/>
        </w:rPr>
        <w:t>82 version of the document</w:t>
      </w:r>
      <w:r w:rsidR="0033007A">
        <w:rPr>
          <w:rFonts w:ascii="Times New Roman" w:eastAsia="Times New Roman" w:hAnsi="Times New Roman"/>
          <w:lang w:eastAsia="ar-SA"/>
        </w:rPr>
        <w:t xml:space="preserve"> has therefore been made on the basis of the </w:t>
      </w:r>
      <w:r w:rsidR="008961B1">
        <w:rPr>
          <w:rFonts w:ascii="Times New Roman" w:eastAsia="Times New Roman" w:hAnsi="Times New Roman"/>
          <w:lang w:eastAsia="ar-SA"/>
        </w:rPr>
        <w:t xml:space="preserve">above </w:t>
      </w:r>
      <w:r w:rsidR="0033007A">
        <w:rPr>
          <w:rFonts w:ascii="Times New Roman" w:eastAsia="Times New Roman" w:hAnsi="Times New Roman"/>
          <w:lang w:eastAsia="ar-SA"/>
        </w:rPr>
        <w:t>principles and bibliographic search</w:t>
      </w:r>
      <w:r w:rsidR="008961B1">
        <w:rPr>
          <w:rFonts w:ascii="Times New Roman" w:eastAsia="Times New Roman" w:hAnsi="Times New Roman"/>
          <w:lang w:eastAsia="ar-SA"/>
        </w:rPr>
        <w:t>es</w:t>
      </w:r>
      <w:r w:rsidR="0033007A">
        <w:rPr>
          <w:rFonts w:ascii="Times New Roman" w:eastAsia="Times New Roman" w:hAnsi="Times New Roman"/>
          <w:lang w:eastAsia="ar-SA"/>
        </w:rPr>
        <w:t xml:space="preserve">. In addition, </w:t>
      </w:r>
      <w:r w:rsidR="00BE18CB">
        <w:rPr>
          <w:rFonts w:ascii="Times New Roman" w:eastAsia="Times New Roman" w:hAnsi="Times New Roman"/>
          <w:lang w:eastAsia="ar-SA"/>
        </w:rPr>
        <w:t>Section</w:t>
      </w:r>
      <w:r w:rsidR="0033007A">
        <w:rPr>
          <w:rFonts w:ascii="Times New Roman" w:eastAsia="Times New Roman" w:hAnsi="Times New Roman"/>
          <w:lang w:eastAsia="ar-SA"/>
        </w:rPr>
        <w:t xml:space="preserve"> </w:t>
      </w:r>
      <w:r w:rsidR="00C37F45" w:rsidRPr="001A08A6">
        <w:rPr>
          <w:rFonts w:ascii="Times New Roman" w:eastAsia="Times New Roman" w:hAnsi="Times New Roman"/>
          <w:lang w:eastAsia="ar-SA"/>
        </w:rPr>
        <w:t>C</w:t>
      </w:r>
      <w:r w:rsidR="00C37F45" w:rsidRPr="00F95A6F">
        <w:rPr>
          <w:rFonts w:ascii="Times New Roman" w:eastAsia="Times New Roman" w:hAnsi="Times New Roman"/>
          <w:lang w:eastAsia="ar-SA"/>
        </w:rPr>
        <w:t xml:space="preserve"> </w:t>
      </w:r>
      <w:r w:rsidR="0033007A" w:rsidRPr="006E6EE2">
        <w:rPr>
          <w:rFonts w:ascii="Times New Roman" w:eastAsia="Times New Roman" w:hAnsi="Times New Roman"/>
          <w:lang w:eastAsia="ar-SA"/>
        </w:rPr>
        <w:t>(</w:t>
      </w:r>
      <w:r w:rsidR="00C37F45" w:rsidRPr="003E6EEF">
        <w:rPr>
          <w:rFonts w:ascii="Times New Roman" w:eastAsia="Times New Roman" w:hAnsi="Times New Roman"/>
          <w:lang w:eastAsia="ar-SA"/>
        </w:rPr>
        <w:t>T</w:t>
      </w:r>
      <w:r w:rsidRPr="00F95A6F">
        <w:rPr>
          <w:rFonts w:ascii="Times New Roman" w:eastAsia="Times New Roman" w:hAnsi="Times New Roman"/>
          <w:lang w:eastAsia="ar-SA"/>
        </w:rPr>
        <w:t xml:space="preserve">echnical </w:t>
      </w:r>
      <w:r w:rsidR="00141A66">
        <w:rPr>
          <w:rFonts w:ascii="Times New Roman" w:eastAsia="Times New Roman" w:hAnsi="Times New Roman"/>
          <w:lang w:eastAsia="ar-SA"/>
        </w:rPr>
        <w:t>B</w:t>
      </w:r>
      <w:r w:rsidR="00141A66" w:rsidRPr="00F95A6F">
        <w:rPr>
          <w:rFonts w:ascii="Times New Roman" w:eastAsia="Times New Roman" w:hAnsi="Times New Roman"/>
          <w:lang w:eastAsia="ar-SA"/>
        </w:rPr>
        <w:t>ackground</w:t>
      </w:r>
      <w:r w:rsidR="00C37F45">
        <w:rPr>
          <w:rFonts w:ascii="Times New Roman" w:eastAsia="Times New Roman" w:hAnsi="Times New Roman"/>
          <w:lang w:eastAsia="ar-SA"/>
        </w:rPr>
        <w:t xml:space="preserve"> on </w:t>
      </w:r>
      <w:r w:rsidR="00141A66">
        <w:rPr>
          <w:rFonts w:ascii="Times New Roman" w:eastAsia="Times New Roman" w:hAnsi="Times New Roman"/>
          <w:lang w:eastAsia="ar-SA"/>
        </w:rPr>
        <w:t>S</w:t>
      </w:r>
      <w:r w:rsidR="00C37F45">
        <w:rPr>
          <w:rFonts w:ascii="Times New Roman" w:eastAsia="Times New Roman" w:hAnsi="Times New Roman"/>
          <w:lang w:eastAsia="ar-SA"/>
        </w:rPr>
        <w:t xml:space="preserve">ynthetic </w:t>
      </w:r>
      <w:r w:rsidR="00141A66">
        <w:rPr>
          <w:rFonts w:ascii="Times New Roman" w:eastAsia="Times New Roman" w:hAnsi="Times New Roman"/>
          <w:lang w:eastAsia="ar-SA"/>
        </w:rPr>
        <w:t>B</w:t>
      </w:r>
      <w:r w:rsidR="00C37F45">
        <w:rPr>
          <w:rFonts w:ascii="Times New Roman" w:eastAsia="Times New Roman" w:hAnsi="Times New Roman"/>
          <w:lang w:eastAsia="ar-SA"/>
        </w:rPr>
        <w:t>iology</w:t>
      </w:r>
      <w:r w:rsidR="0033007A">
        <w:rPr>
          <w:rFonts w:ascii="Times New Roman" w:eastAsia="Times New Roman" w:hAnsi="Times New Roman"/>
          <w:lang w:eastAsia="ar-SA"/>
        </w:rPr>
        <w:t>)</w:t>
      </w:r>
      <w:r>
        <w:rPr>
          <w:rFonts w:ascii="Times New Roman" w:eastAsia="Times New Roman" w:hAnsi="Times New Roman"/>
          <w:lang w:eastAsia="ar-SA"/>
        </w:rPr>
        <w:t xml:space="preserve"> </w:t>
      </w:r>
      <w:r w:rsidR="00952C05">
        <w:rPr>
          <w:rFonts w:ascii="Times New Roman" w:eastAsia="Times New Roman" w:hAnsi="Times New Roman"/>
          <w:lang w:eastAsia="ar-SA"/>
        </w:rPr>
        <w:t>has</w:t>
      </w:r>
      <w:r w:rsidR="0002736E">
        <w:rPr>
          <w:rFonts w:ascii="Times New Roman" w:eastAsia="Times New Roman" w:hAnsi="Times New Roman"/>
          <w:lang w:eastAsia="ar-SA"/>
        </w:rPr>
        <w:t xml:space="preserve"> been updated </w:t>
      </w:r>
      <w:r w:rsidR="00A44170">
        <w:rPr>
          <w:rFonts w:ascii="Times New Roman" w:eastAsia="Times New Roman" w:hAnsi="Times New Roman"/>
          <w:lang w:eastAsia="ar-SA"/>
        </w:rPr>
        <w:t>considering the importance of differentiating between</w:t>
      </w:r>
      <w:r w:rsidR="009E6457">
        <w:rPr>
          <w:rFonts w:ascii="Times New Roman" w:eastAsia="Times New Roman" w:hAnsi="Times New Roman"/>
          <w:lang w:eastAsia="ar-SA"/>
        </w:rPr>
        <w:t xml:space="preserve"> the </w:t>
      </w:r>
      <w:r w:rsidR="0002736E">
        <w:rPr>
          <w:rFonts w:ascii="Times New Roman" w:eastAsia="Times New Roman" w:hAnsi="Times New Roman"/>
          <w:lang w:eastAsia="ar-SA"/>
        </w:rPr>
        <w:t>various</w:t>
      </w:r>
      <w:r w:rsidR="009E6457">
        <w:rPr>
          <w:rFonts w:ascii="Times New Roman" w:eastAsia="Times New Roman" w:hAnsi="Times New Roman"/>
          <w:lang w:eastAsia="ar-SA"/>
        </w:rPr>
        <w:t xml:space="preserve"> stages of </w:t>
      </w:r>
      <w:r w:rsidR="008172E0">
        <w:rPr>
          <w:rFonts w:ascii="Times New Roman" w:eastAsia="Times New Roman" w:hAnsi="Times New Roman"/>
          <w:lang w:eastAsia="ar-SA"/>
        </w:rPr>
        <w:t xml:space="preserve">applications </w:t>
      </w:r>
      <w:r w:rsidR="009E6457">
        <w:rPr>
          <w:rFonts w:ascii="Times New Roman" w:eastAsia="Times New Roman" w:hAnsi="Times New Roman"/>
          <w:lang w:eastAsia="ar-SA"/>
        </w:rPr>
        <w:t xml:space="preserve">and products of synthetic biology in the </w:t>
      </w:r>
      <w:r w:rsidR="00A3097A">
        <w:rPr>
          <w:rFonts w:ascii="Times New Roman" w:eastAsia="Times New Roman" w:hAnsi="Times New Roman"/>
          <w:lang w:eastAsia="ar-SA"/>
        </w:rPr>
        <w:t xml:space="preserve">development </w:t>
      </w:r>
      <w:r w:rsidR="009E6457">
        <w:rPr>
          <w:rFonts w:ascii="Times New Roman" w:eastAsia="Times New Roman" w:hAnsi="Times New Roman"/>
          <w:lang w:eastAsia="ar-SA"/>
        </w:rPr>
        <w:t>pipeline</w:t>
      </w:r>
      <w:r w:rsidR="0098497F">
        <w:rPr>
          <w:rFonts w:ascii="Times New Roman" w:eastAsia="Times New Roman" w:hAnsi="Times New Roman"/>
          <w:lang w:eastAsia="ar-SA"/>
        </w:rPr>
        <w:t>,</w:t>
      </w:r>
      <w:r w:rsidR="009E6457">
        <w:rPr>
          <w:rFonts w:ascii="Times New Roman" w:eastAsia="Times New Roman" w:hAnsi="Times New Roman"/>
          <w:lang w:eastAsia="ar-SA"/>
        </w:rPr>
        <w:t xml:space="preserve"> </w:t>
      </w:r>
      <w:r w:rsidR="00ED0951">
        <w:rPr>
          <w:rFonts w:ascii="Times New Roman" w:eastAsia="Times New Roman" w:hAnsi="Times New Roman"/>
          <w:lang w:eastAsia="ar-SA"/>
        </w:rPr>
        <w:t xml:space="preserve">from </w:t>
      </w:r>
      <w:r w:rsidR="009E6457">
        <w:rPr>
          <w:rFonts w:ascii="Times New Roman" w:eastAsia="Times New Roman" w:hAnsi="Times New Roman"/>
          <w:lang w:eastAsia="ar-SA"/>
        </w:rPr>
        <w:t xml:space="preserve">research </w:t>
      </w:r>
      <w:r w:rsidR="00ED0951">
        <w:rPr>
          <w:rFonts w:ascii="Times New Roman" w:eastAsia="Times New Roman" w:hAnsi="Times New Roman"/>
          <w:lang w:eastAsia="ar-SA"/>
        </w:rPr>
        <w:t xml:space="preserve">through to </w:t>
      </w:r>
      <w:r w:rsidR="009E6457">
        <w:rPr>
          <w:rFonts w:ascii="Times New Roman" w:eastAsia="Times New Roman" w:hAnsi="Times New Roman"/>
          <w:lang w:eastAsia="ar-SA"/>
        </w:rPr>
        <w:t>commercialisation</w:t>
      </w:r>
      <w:r w:rsidR="00625236">
        <w:rPr>
          <w:rFonts w:ascii="Times New Roman" w:eastAsia="Times New Roman" w:hAnsi="Times New Roman"/>
          <w:lang w:eastAsia="ar-SA"/>
        </w:rPr>
        <w:t xml:space="preserve">, </w:t>
      </w:r>
      <w:r w:rsidR="0098497F">
        <w:rPr>
          <w:rFonts w:ascii="Times New Roman" w:eastAsia="Times New Roman" w:hAnsi="Times New Roman"/>
          <w:lang w:eastAsia="ar-SA"/>
        </w:rPr>
        <w:t xml:space="preserve">and </w:t>
      </w:r>
      <w:r w:rsidR="00625236">
        <w:rPr>
          <w:rFonts w:ascii="Times New Roman" w:eastAsia="Times New Roman" w:hAnsi="Times New Roman"/>
          <w:lang w:eastAsia="ar-SA"/>
        </w:rPr>
        <w:t>is also anchored on the rational</w:t>
      </w:r>
      <w:r w:rsidR="0098497F">
        <w:rPr>
          <w:rFonts w:ascii="Times New Roman" w:eastAsia="Times New Roman" w:hAnsi="Times New Roman"/>
          <w:lang w:eastAsia="ar-SA"/>
        </w:rPr>
        <w:t>e</w:t>
      </w:r>
      <w:r w:rsidR="00625236">
        <w:rPr>
          <w:rFonts w:ascii="Times New Roman" w:eastAsia="Times New Roman" w:hAnsi="Times New Roman"/>
          <w:lang w:eastAsia="ar-SA"/>
        </w:rPr>
        <w:t xml:space="preserve"> used by the </w:t>
      </w:r>
      <w:r w:rsidR="00CD79F2">
        <w:rPr>
          <w:rFonts w:ascii="Times New Roman" w:eastAsia="Times New Roman" w:hAnsi="Times New Roman"/>
          <w:lang w:eastAsia="ar-SA"/>
        </w:rPr>
        <w:t>Synthetic Biology</w:t>
      </w:r>
      <w:r w:rsidR="00625236">
        <w:rPr>
          <w:rFonts w:ascii="Times New Roman" w:eastAsia="Times New Roman" w:hAnsi="Times New Roman"/>
          <w:lang w:eastAsia="ar-SA"/>
        </w:rPr>
        <w:t xml:space="preserve"> AHTEG </w:t>
      </w:r>
      <w:r w:rsidR="00CD79F2">
        <w:rPr>
          <w:rFonts w:ascii="Times New Roman" w:eastAsia="Times New Roman" w:hAnsi="Times New Roman"/>
          <w:lang w:eastAsia="ar-SA"/>
        </w:rPr>
        <w:t>i</w:t>
      </w:r>
      <w:r w:rsidR="00625236">
        <w:rPr>
          <w:rFonts w:ascii="Times New Roman" w:eastAsia="Times New Roman" w:hAnsi="Times New Roman"/>
          <w:lang w:eastAsia="ar-SA"/>
        </w:rPr>
        <w:t>n its report from 2019</w:t>
      </w:r>
      <w:r w:rsidR="00BF5DC3">
        <w:rPr>
          <w:rFonts w:ascii="Times New Roman" w:eastAsia="Times New Roman" w:hAnsi="Times New Roman"/>
          <w:lang w:eastAsia="ar-SA"/>
        </w:rPr>
        <w:t xml:space="preserve"> </w:t>
      </w:r>
      <w:r w:rsidR="00BF5DC3">
        <w:rPr>
          <w:rFonts w:ascii="Times New Roman" w:eastAsia="Times New Roman" w:hAnsi="Times New Roman"/>
          <w:lang w:eastAsia="ar-SA"/>
        </w:rPr>
        <w:fldChar w:fldCharType="begin" w:fldLock="1"/>
      </w:r>
      <w:r w:rsidR="00A048BC">
        <w:rPr>
          <w:rFonts w:ascii="Times New Roman" w:eastAsia="Times New Roman" w:hAnsi="Times New Roman"/>
          <w:lang w:eastAsia="ar-SA"/>
        </w:rPr>
        <w:instrText>ADDIN CSL_CITATION {"citationItems":[{"id":"ITEM-1","itemData":{"author":[{"dropping-particle":"","family":"Secretariat of the Convention on Biological Diversity","given":"","non-dropping-particle":"","parse-names":false,"suffix":""}],"id":"ITEM-1","issued":{"date-parts":[["2019"]]},"number-of-pages":"19","publisher-place":"Montreal, Canada","title":"Report of the Ad Hoc Technical Expert Group on Synthetic Biology, Montreal, Canada, 4-7 June 2019","type":"report"},"uris":["http://www.mendeley.com/documents/?uuid=c3cba8ae-2d61-4d31-be28-dfec1d940b66"]}],"mendeley":{"formattedCitation":"(Secretariat of the Convention on Biological Diversity, 2019b)","manualFormatting":"(SCBD, 2019)","plainTextFormattedCitation":"(Secretariat of the Convention on Biological Diversity, 2019b)","previouslyFormattedCitation":"(Secretariat of the Convention on Biological Diversity, 2019b)"},"properties":{"noteIndex":0},"schema":"https://github.com/citation-style-language/schema/raw/master/csl-citation.json"}</w:instrText>
      </w:r>
      <w:r w:rsidR="00BF5DC3">
        <w:rPr>
          <w:rFonts w:ascii="Times New Roman" w:eastAsia="Times New Roman" w:hAnsi="Times New Roman"/>
          <w:lang w:eastAsia="ar-SA"/>
        </w:rPr>
        <w:fldChar w:fldCharType="separate"/>
      </w:r>
      <w:r w:rsidR="00BF5DC3" w:rsidRPr="00BF5DC3">
        <w:rPr>
          <w:rFonts w:ascii="Times New Roman" w:eastAsia="Times New Roman" w:hAnsi="Times New Roman"/>
          <w:noProof/>
          <w:lang w:eastAsia="ar-SA"/>
        </w:rPr>
        <w:t>(S</w:t>
      </w:r>
      <w:r w:rsidR="00BF5DC3">
        <w:rPr>
          <w:rFonts w:ascii="Times New Roman" w:eastAsia="Times New Roman" w:hAnsi="Times New Roman"/>
          <w:noProof/>
          <w:lang w:eastAsia="ar-SA"/>
        </w:rPr>
        <w:t>CBD</w:t>
      </w:r>
      <w:r w:rsidR="00BF5DC3" w:rsidRPr="00BF5DC3">
        <w:rPr>
          <w:rFonts w:ascii="Times New Roman" w:eastAsia="Times New Roman" w:hAnsi="Times New Roman"/>
          <w:noProof/>
          <w:lang w:eastAsia="ar-SA"/>
        </w:rPr>
        <w:t>, 2019)</w:t>
      </w:r>
      <w:r w:rsidR="00BF5DC3">
        <w:rPr>
          <w:rFonts w:ascii="Times New Roman" w:eastAsia="Times New Roman" w:hAnsi="Times New Roman"/>
          <w:lang w:eastAsia="ar-SA"/>
        </w:rPr>
        <w:fldChar w:fldCharType="end"/>
      </w:r>
      <w:r w:rsidR="00625236">
        <w:rPr>
          <w:rFonts w:ascii="Times New Roman" w:eastAsia="Times New Roman" w:hAnsi="Times New Roman"/>
          <w:lang w:eastAsia="ar-SA"/>
        </w:rPr>
        <w:t xml:space="preserve">. </w:t>
      </w:r>
      <w:r w:rsidR="00C31201">
        <w:rPr>
          <w:rFonts w:ascii="Times New Roman" w:eastAsia="Times New Roman" w:hAnsi="Times New Roman"/>
          <w:lang w:eastAsia="ar-SA"/>
        </w:rPr>
        <w:t xml:space="preserve">For </w:t>
      </w:r>
      <w:r w:rsidR="006D273F">
        <w:rPr>
          <w:rFonts w:ascii="Times New Roman" w:eastAsia="Times New Roman" w:hAnsi="Times New Roman"/>
          <w:lang w:eastAsia="ar-SA"/>
        </w:rPr>
        <w:t>Section</w:t>
      </w:r>
      <w:r w:rsidR="00C31201">
        <w:rPr>
          <w:rFonts w:ascii="Times New Roman" w:eastAsia="Times New Roman" w:hAnsi="Times New Roman"/>
          <w:lang w:eastAsia="ar-SA"/>
        </w:rPr>
        <w:t xml:space="preserve"> </w:t>
      </w:r>
      <w:r w:rsidR="006D273F">
        <w:rPr>
          <w:rFonts w:ascii="Times New Roman" w:eastAsia="Times New Roman" w:hAnsi="Times New Roman"/>
          <w:lang w:eastAsia="ar-SA"/>
        </w:rPr>
        <w:t xml:space="preserve">D </w:t>
      </w:r>
      <w:r w:rsidR="00C31201">
        <w:rPr>
          <w:rFonts w:ascii="Times New Roman" w:eastAsia="Times New Roman" w:hAnsi="Times New Roman"/>
          <w:lang w:eastAsia="ar-SA"/>
        </w:rPr>
        <w:t>(</w:t>
      </w:r>
      <w:r w:rsidR="006D273F">
        <w:rPr>
          <w:rFonts w:ascii="Times New Roman" w:eastAsia="Times New Roman" w:hAnsi="Times New Roman"/>
          <w:lang w:eastAsia="ar-SA"/>
        </w:rPr>
        <w:t>Potential i</w:t>
      </w:r>
      <w:r w:rsidR="00C31201">
        <w:rPr>
          <w:rFonts w:ascii="Times New Roman" w:eastAsia="Times New Roman" w:hAnsi="Times New Roman"/>
          <w:lang w:eastAsia="ar-SA"/>
        </w:rPr>
        <w:t xml:space="preserve">mpacts of </w:t>
      </w:r>
      <w:r w:rsidR="003D0AD1">
        <w:rPr>
          <w:rFonts w:ascii="Times New Roman" w:eastAsia="Times New Roman" w:hAnsi="Times New Roman"/>
          <w:lang w:eastAsia="ar-SA"/>
        </w:rPr>
        <w:t xml:space="preserve">on the </w:t>
      </w:r>
      <w:r w:rsidR="00141A66">
        <w:rPr>
          <w:rFonts w:ascii="Times New Roman" w:eastAsia="Times New Roman" w:hAnsi="Times New Roman"/>
          <w:lang w:eastAsia="ar-SA"/>
        </w:rPr>
        <w:t>C</w:t>
      </w:r>
      <w:r w:rsidR="003D0AD1">
        <w:rPr>
          <w:rFonts w:ascii="Times New Roman" w:eastAsia="Times New Roman" w:hAnsi="Times New Roman"/>
          <w:lang w:eastAsia="ar-SA"/>
        </w:rPr>
        <w:t xml:space="preserve">onservation and </w:t>
      </w:r>
      <w:r w:rsidR="00141A66">
        <w:rPr>
          <w:rFonts w:ascii="Times New Roman" w:eastAsia="Times New Roman" w:hAnsi="Times New Roman"/>
          <w:lang w:eastAsia="ar-SA"/>
        </w:rPr>
        <w:t>S</w:t>
      </w:r>
      <w:r w:rsidR="003D0AD1">
        <w:rPr>
          <w:rFonts w:ascii="Times New Roman" w:eastAsia="Times New Roman" w:hAnsi="Times New Roman"/>
          <w:lang w:eastAsia="ar-SA"/>
        </w:rPr>
        <w:t xml:space="preserve">ustainable </w:t>
      </w:r>
      <w:r w:rsidR="00141A66">
        <w:rPr>
          <w:rFonts w:ascii="Times New Roman" w:eastAsia="Times New Roman" w:hAnsi="Times New Roman"/>
          <w:lang w:eastAsia="ar-SA"/>
        </w:rPr>
        <w:t>U</w:t>
      </w:r>
      <w:r w:rsidR="003D0AD1">
        <w:rPr>
          <w:rFonts w:ascii="Times New Roman" w:eastAsia="Times New Roman" w:hAnsi="Times New Roman"/>
          <w:lang w:eastAsia="ar-SA"/>
        </w:rPr>
        <w:t xml:space="preserve">se of </w:t>
      </w:r>
      <w:r w:rsidR="00141A66">
        <w:rPr>
          <w:rFonts w:ascii="Times New Roman" w:eastAsia="Times New Roman" w:hAnsi="Times New Roman"/>
          <w:lang w:eastAsia="ar-SA"/>
        </w:rPr>
        <w:t>B</w:t>
      </w:r>
      <w:r w:rsidR="003D0AD1">
        <w:rPr>
          <w:rFonts w:ascii="Times New Roman" w:eastAsia="Times New Roman" w:hAnsi="Times New Roman"/>
          <w:lang w:eastAsia="ar-SA"/>
        </w:rPr>
        <w:t xml:space="preserve">iological </w:t>
      </w:r>
      <w:r w:rsidR="00141A66">
        <w:rPr>
          <w:rFonts w:ascii="Times New Roman" w:eastAsia="Times New Roman" w:hAnsi="Times New Roman"/>
          <w:lang w:eastAsia="ar-SA"/>
        </w:rPr>
        <w:t>D</w:t>
      </w:r>
      <w:r w:rsidR="003D0AD1">
        <w:rPr>
          <w:rFonts w:ascii="Times New Roman" w:eastAsia="Times New Roman" w:hAnsi="Times New Roman"/>
          <w:lang w:eastAsia="ar-SA"/>
        </w:rPr>
        <w:t>iversity</w:t>
      </w:r>
      <w:r w:rsidR="00C31201">
        <w:rPr>
          <w:rFonts w:ascii="Times New Roman" w:eastAsia="Times New Roman" w:hAnsi="Times New Roman"/>
          <w:lang w:eastAsia="ar-SA"/>
        </w:rPr>
        <w:t xml:space="preserve">) the update was made </w:t>
      </w:r>
      <w:r w:rsidR="00B90ADE">
        <w:rPr>
          <w:rFonts w:ascii="Times New Roman" w:eastAsia="Times New Roman" w:hAnsi="Times New Roman"/>
          <w:lang w:eastAsia="ar-SA"/>
        </w:rPr>
        <w:t xml:space="preserve">considering that impacts cannot be generalised, and therefore, they should be </w:t>
      </w:r>
      <w:r w:rsidR="00B9145B">
        <w:rPr>
          <w:rFonts w:ascii="Times New Roman" w:eastAsia="Times New Roman" w:hAnsi="Times New Roman"/>
          <w:lang w:eastAsia="ar-SA"/>
        </w:rPr>
        <w:t>consider</w:t>
      </w:r>
      <w:r w:rsidR="00C925C9">
        <w:rPr>
          <w:rFonts w:ascii="Times New Roman" w:eastAsia="Times New Roman" w:hAnsi="Times New Roman"/>
          <w:lang w:eastAsia="ar-SA"/>
        </w:rPr>
        <w:t>ed</w:t>
      </w:r>
      <w:r w:rsidR="00B9145B">
        <w:rPr>
          <w:rFonts w:ascii="Times New Roman" w:eastAsia="Times New Roman" w:hAnsi="Times New Roman"/>
          <w:lang w:eastAsia="ar-SA"/>
        </w:rPr>
        <w:t xml:space="preserve"> on a case-by-case basis and linked</w:t>
      </w:r>
      <w:r w:rsidR="00B90ADE">
        <w:rPr>
          <w:rFonts w:ascii="Times New Roman" w:eastAsia="Times New Roman" w:hAnsi="Times New Roman"/>
          <w:lang w:eastAsia="ar-SA"/>
        </w:rPr>
        <w:t xml:space="preserve"> to specific applications. </w:t>
      </w:r>
      <w:r w:rsidR="00C925C9">
        <w:rPr>
          <w:rFonts w:ascii="Times New Roman" w:eastAsia="Times New Roman" w:hAnsi="Times New Roman"/>
          <w:lang w:eastAsia="ar-SA"/>
        </w:rPr>
        <w:t>In</w:t>
      </w:r>
      <w:r w:rsidR="00B90ADE">
        <w:rPr>
          <w:rFonts w:ascii="Times New Roman" w:eastAsia="Times New Roman" w:hAnsi="Times New Roman"/>
          <w:lang w:eastAsia="ar-SA"/>
        </w:rPr>
        <w:t xml:space="preserve"> this light, the </w:t>
      </w:r>
      <w:r w:rsidR="00046496">
        <w:rPr>
          <w:rFonts w:ascii="Times New Roman" w:eastAsia="Times New Roman" w:hAnsi="Times New Roman"/>
          <w:lang w:eastAsia="ar-SA"/>
        </w:rPr>
        <w:t>section was drafted considering specific examples of synthetic biology applications</w:t>
      </w:r>
      <w:r w:rsidR="004775B3">
        <w:rPr>
          <w:rFonts w:ascii="Times New Roman" w:eastAsia="Times New Roman" w:hAnsi="Times New Roman"/>
          <w:lang w:eastAsia="ar-SA"/>
        </w:rPr>
        <w:t xml:space="preserve"> when</w:t>
      </w:r>
      <w:r w:rsidR="00392B60">
        <w:rPr>
          <w:rFonts w:ascii="Times New Roman" w:eastAsia="Times New Roman" w:hAnsi="Times New Roman"/>
          <w:lang w:eastAsia="ar-SA"/>
        </w:rPr>
        <w:t>ever</w:t>
      </w:r>
      <w:r w:rsidR="004775B3">
        <w:rPr>
          <w:rFonts w:ascii="Times New Roman" w:eastAsia="Times New Roman" w:hAnsi="Times New Roman"/>
          <w:lang w:eastAsia="ar-SA"/>
        </w:rPr>
        <w:t xml:space="preserve"> possible</w:t>
      </w:r>
      <w:r w:rsidR="00046496">
        <w:rPr>
          <w:rFonts w:ascii="Times New Roman" w:eastAsia="Times New Roman" w:hAnsi="Times New Roman"/>
          <w:lang w:eastAsia="ar-SA"/>
        </w:rPr>
        <w:t xml:space="preserve">. In doing so, </w:t>
      </w:r>
      <w:r w:rsidR="00462A8D">
        <w:rPr>
          <w:rFonts w:ascii="Times New Roman" w:eastAsia="Times New Roman" w:hAnsi="Times New Roman"/>
          <w:lang w:eastAsia="ar-SA"/>
        </w:rPr>
        <w:t xml:space="preserve">the authors prioritised examples from applications that are </w:t>
      </w:r>
      <w:r w:rsidR="00B06157">
        <w:rPr>
          <w:rFonts w:ascii="Times New Roman" w:eastAsia="Times New Roman" w:hAnsi="Times New Roman"/>
          <w:lang w:eastAsia="ar-SA"/>
        </w:rPr>
        <w:t xml:space="preserve">either </w:t>
      </w:r>
      <w:r w:rsidR="00462A8D">
        <w:rPr>
          <w:rFonts w:ascii="Times New Roman" w:eastAsia="Times New Roman" w:hAnsi="Times New Roman"/>
          <w:lang w:eastAsia="ar-SA"/>
        </w:rPr>
        <w:t>in advance state</w:t>
      </w:r>
      <w:r w:rsidR="00F9765F">
        <w:rPr>
          <w:rFonts w:ascii="Times New Roman" w:eastAsia="Times New Roman" w:hAnsi="Times New Roman"/>
          <w:lang w:eastAsia="ar-SA"/>
        </w:rPr>
        <w:t>s</w:t>
      </w:r>
      <w:r w:rsidR="00462A8D">
        <w:rPr>
          <w:rFonts w:ascii="Times New Roman" w:eastAsia="Times New Roman" w:hAnsi="Times New Roman"/>
          <w:lang w:eastAsia="ar-SA"/>
        </w:rPr>
        <w:t xml:space="preserve"> of research, </w:t>
      </w:r>
      <w:r w:rsidR="00F9765F">
        <w:rPr>
          <w:rFonts w:ascii="Times New Roman" w:eastAsia="Times New Roman" w:hAnsi="Times New Roman"/>
          <w:lang w:eastAsia="ar-SA"/>
        </w:rPr>
        <w:t>are</w:t>
      </w:r>
      <w:r w:rsidR="00462A8D">
        <w:rPr>
          <w:rFonts w:ascii="Times New Roman" w:eastAsia="Times New Roman" w:hAnsi="Times New Roman"/>
          <w:lang w:eastAsia="ar-SA"/>
        </w:rPr>
        <w:t xml:space="preserve"> commercialised, or that have received significant international attention</w:t>
      </w:r>
      <w:r w:rsidR="005B61FA">
        <w:rPr>
          <w:rFonts w:ascii="Times New Roman" w:eastAsia="Times New Roman" w:hAnsi="Times New Roman"/>
          <w:lang w:eastAsia="ar-SA"/>
        </w:rPr>
        <w:t xml:space="preserve"> either through publications and literature, or through discussions at international fora (i.e</w:t>
      </w:r>
      <w:r w:rsidR="00F9765F">
        <w:rPr>
          <w:rFonts w:ascii="Times New Roman" w:eastAsia="Times New Roman" w:hAnsi="Times New Roman"/>
          <w:lang w:eastAsia="ar-SA"/>
        </w:rPr>
        <w:t>.</w:t>
      </w:r>
      <w:r w:rsidR="005B61FA">
        <w:rPr>
          <w:rFonts w:ascii="Times New Roman" w:eastAsia="Times New Roman" w:hAnsi="Times New Roman"/>
          <w:lang w:eastAsia="ar-SA"/>
        </w:rPr>
        <w:t xml:space="preserve"> CBD </w:t>
      </w:r>
      <w:r w:rsidR="00E54411">
        <w:rPr>
          <w:rFonts w:ascii="Times New Roman" w:eastAsia="Times New Roman" w:hAnsi="Times New Roman"/>
          <w:lang w:eastAsia="ar-SA"/>
        </w:rPr>
        <w:t>and other international meetings). It is therefore important to note that</w:t>
      </w:r>
      <w:r w:rsidR="009174E3">
        <w:rPr>
          <w:rFonts w:ascii="Times New Roman" w:eastAsia="Times New Roman" w:hAnsi="Times New Roman"/>
          <w:lang w:eastAsia="ar-SA"/>
        </w:rPr>
        <w:t xml:space="preserve"> this section is not meant to be an exhaustive list of potential impacts for </w:t>
      </w:r>
      <w:r w:rsidR="00F9765F">
        <w:rPr>
          <w:rFonts w:ascii="Times New Roman" w:eastAsia="Times New Roman" w:hAnsi="Times New Roman"/>
          <w:lang w:eastAsia="ar-SA"/>
        </w:rPr>
        <w:t>every</w:t>
      </w:r>
      <w:r w:rsidR="009174E3">
        <w:rPr>
          <w:rFonts w:ascii="Times New Roman" w:eastAsia="Times New Roman" w:hAnsi="Times New Roman"/>
          <w:lang w:eastAsia="ar-SA"/>
        </w:rPr>
        <w:t xml:space="preserve"> application of synthetic biology</w:t>
      </w:r>
      <w:r w:rsidR="0058191C">
        <w:rPr>
          <w:rFonts w:ascii="Times New Roman" w:eastAsia="Times New Roman" w:hAnsi="Times New Roman"/>
          <w:lang w:eastAsia="ar-SA"/>
        </w:rPr>
        <w:t>.</w:t>
      </w:r>
      <w:r w:rsidR="00CD6B2B" w:rsidRPr="00CD6B2B">
        <w:rPr>
          <w:rFonts w:ascii="Times New Roman" w:eastAsia="Times New Roman" w:hAnsi="Times New Roman"/>
          <w:lang w:eastAsia="ar-SA"/>
        </w:rPr>
        <w:t xml:space="preserve"> </w:t>
      </w:r>
      <w:r w:rsidR="005D53F6">
        <w:rPr>
          <w:rFonts w:ascii="Times New Roman" w:eastAsia="Times New Roman" w:hAnsi="Times New Roman"/>
          <w:lang w:eastAsia="ar-SA"/>
        </w:rPr>
        <w:t xml:space="preserve"> </w:t>
      </w:r>
      <w:r w:rsidR="00CD6B2B" w:rsidRPr="00CD6B2B">
        <w:rPr>
          <w:rFonts w:ascii="Times New Roman" w:eastAsia="Times New Roman" w:hAnsi="Times New Roman"/>
          <w:lang w:eastAsia="ar-SA"/>
        </w:rPr>
        <w:t xml:space="preserve">The update of this section was also done considering that potential impacts could either </w:t>
      </w:r>
      <w:r w:rsidR="00F632F8" w:rsidRPr="00CD6B2B">
        <w:rPr>
          <w:rFonts w:ascii="Times New Roman" w:eastAsia="Times New Roman" w:hAnsi="Times New Roman"/>
          <w:lang w:eastAsia="ar-SA"/>
        </w:rPr>
        <w:t xml:space="preserve">be </w:t>
      </w:r>
      <w:r w:rsidR="00CD6B2B" w:rsidRPr="00CD6B2B">
        <w:rPr>
          <w:rFonts w:ascii="Times New Roman" w:eastAsia="Times New Roman" w:hAnsi="Times New Roman"/>
          <w:lang w:eastAsia="ar-SA"/>
        </w:rPr>
        <w:t>directly related to the conservation and sustainable use of biological diversity</w:t>
      </w:r>
      <w:r w:rsidR="00CD6B2B">
        <w:rPr>
          <w:rFonts w:ascii="Times New Roman" w:eastAsia="Times New Roman" w:hAnsi="Times New Roman"/>
          <w:lang w:eastAsia="ar-SA"/>
        </w:rPr>
        <w:t xml:space="preserve"> </w:t>
      </w:r>
      <w:r w:rsidR="00CD6B2B" w:rsidRPr="00F632F8">
        <w:rPr>
          <w:rFonts w:ascii="Times New Roman" w:eastAsia="Times New Roman" w:hAnsi="Times New Roman"/>
          <w:lang w:eastAsia="ar-SA"/>
        </w:rPr>
        <w:t>and/or to socio-economic and cultural considerations</w:t>
      </w:r>
      <w:r w:rsidR="009174E3">
        <w:rPr>
          <w:rFonts w:ascii="Times New Roman" w:eastAsia="Times New Roman" w:hAnsi="Times New Roman"/>
          <w:lang w:eastAsia="ar-SA"/>
        </w:rPr>
        <w:t>.</w:t>
      </w:r>
      <w:r w:rsidR="008A4F18">
        <w:rPr>
          <w:rFonts w:ascii="Times New Roman" w:eastAsia="Times New Roman" w:hAnsi="Times New Roman"/>
          <w:lang w:eastAsia="ar-SA"/>
        </w:rPr>
        <w:t xml:space="preserve"> </w:t>
      </w:r>
      <w:r w:rsidR="00A4352C">
        <w:rPr>
          <w:rFonts w:ascii="Times New Roman" w:eastAsia="Times New Roman" w:hAnsi="Times New Roman"/>
          <w:lang w:eastAsia="ar-SA"/>
        </w:rPr>
        <w:t xml:space="preserve">Section </w:t>
      </w:r>
      <w:r w:rsidR="00391DFB">
        <w:rPr>
          <w:rFonts w:ascii="Times New Roman" w:eastAsia="Times New Roman" w:hAnsi="Times New Roman"/>
          <w:lang w:eastAsia="ar-SA"/>
        </w:rPr>
        <w:t xml:space="preserve">E </w:t>
      </w:r>
      <w:r w:rsidR="00A4352C">
        <w:rPr>
          <w:rFonts w:ascii="Times New Roman" w:eastAsia="Times New Roman" w:hAnsi="Times New Roman"/>
          <w:lang w:eastAsia="ar-SA"/>
        </w:rPr>
        <w:t>(</w:t>
      </w:r>
      <w:r w:rsidR="00FE4D06">
        <w:rPr>
          <w:rFonts w:ascii="Times New Roman" w:eastAsia="Times New Roman" w:hAnsi="Times New Roman"/>
          <w:lang w:eastAsia="ar-SA"/>
        </w:rPr>
        <w:t>Synthetic Biology Governance and Regulatory Perspectives</w:t>
      </w:r>
      <w:r w:rsidR="00A4352C">
        <w:rPr>
          <w:rFonts w:ascii="Times New Roman" w:eastAsia="Times New Roman" w:hAnsi="Times New Roman"/>
          <w:lang w:eastAsia="ar-SA"/>
        </w:rPr>
        <w:t>)</w:t>
      </w:r>
      <w:r w:rsidR="00890794">
        <w:rPr>
          <w:rFonts w:ascii="Times New Roman" w:eastAsia="Times New Roman" w:hAnsi="Times New Roman"/>
          <w:lang w:eastAsia="ar-SA"/>
        </w:rPr>
        <w:t xml:space="preserve"> was </w:t>
      </w:r>
      <w:r w:rsidR="00753F32">
        <w:rPr>
          <w:rFonts w:ascii="Times New Roman" w:eastAsia="Times New Roman" w:hAnsi="Times New Roman"/>
          <w:lang w:eastAsia="ar-SA"/>
        </w:rPr>
        <w:t xml:space="preserve">updated </w:t>
      </w:r>
      <w:r w:rsidR="00EE3CF1">
        <w:rPr>
          <w:rFonts w:ascii="Times New Roman" w:eastAsia="Times New Roman" w:hAnsi="Times New Roman"/>
          <w:lang w:eastAsia="ar-SA"/>
        </w:rPr>
        <w:t>acknowledging the</w:t>
      </w:r>
      <w:r w:rsidR="00753F32">
        <w:rPr>
          <w:rFonts w:ascii="Times New Roman" w:eastAsia="Times New Roman" w:hAnsi="Times New Roman"/>
          <w:lang w:eastAsia="ar-SA"/>
        </w:rPr>
        <w:t xml:space="preserve"> </w:t>
      </w:r>
      <w:r w:rsidR="001D7D19">
        <w:rPr>
          <w:rFonts w:ascii="Times New Roman" w:eastAsia="Times New Roman" w:hAnsi="Times New Roman"/>
          <w:lang w:eastAsia="ar-SA"/>
        </w:rPr>
        <w:t xml:space="preserve">many </w:t>
      </w:r>
      <w:r w:rsidR="00753F32">
        <w:rPr>
          <w:rFonts w:ascii="Times New Roman" w:eastAsia="Times New Roman" w:hAnsi="Times New Roman"/>
          <w:lang w:eastAsia="ar-SA"/>
        </w:rPr>
        <w:t>international organisations and initiatives</w:t>
      </w:r>
      <w:r w:rsidR="001D7D19">
        <w:rPr>
          <w:rFonts w:ascii="Times New Roman" w:eastAsia="Times New Roman" w:hAnsi="Times New Roman"/>
          <w:lang w:eastAsia="ar-SA"/>
        </w:rPr>
        <w:t>, including the CBD and its Protocols,</w:t>
      </w:r>
      <w:r w:rsidR="00753F32">
        <w:rPr>
          <w:rFonts w:ascii="Times New Roman" w:eastAsia="Times New Roman" w:hAnsi="Times New Roman"/>
          <w:lang w:eastAsia="ar-SA"/>
        </w:rPr>
        <w:t xml:space="preserve"> that are discussing synthetic biology. </w:t>
      </w:r>
      <w:r w:rsidR="001D7D19">
        <w:rPr>
          <w:rFonts w:ascii="Times New Roman" w:eastAsia="Times New Roman" w:hAnsi="Times New Roman"/>
          <w:lang w:eastAsia="ar-SA"/>
        </w:rPr>
        <w:t>To this end</w:t>
      </w:r>
      <w:r w:rsidR="00753F32">
        <w:rPr>
          <w:rFonts w:ascii="Times New Roman" w:eastAsia="Times New Roman" w:hAnsi="Times New Roman"/>
          <w:lang w:eastAsia="ar-SA"/>
        </w:rPr>
        <w:t xml:space="preserve">, </w:t>
      </w:r>
      <w:r w:rsidR="001D7D19">
        <w:rPr>
          <w:rFonts w:ascii="Times New Roman" w:eastAsia="Times New Roman" w:hAnsi="Times New Roman"/>
          <w:lang w:eastAsia="ar-SA"/>
        </w:rPr>
        <w:t xml:space="preserve">again, </w:t>
      </w:r>
      <w:r w:rsidR="00753F32">
        <w:rPr>
          <w:rFonts w:ascii="Times New Roman" w:eastAsia="Times New Roman" w:hAnsi="Times New Roman"/>
          <w:lang w:eastAsia="ar-SA"/>
        </w:rPr>
        <w:t>the update is not meant to be an exhaustive list of initiative</w:t>
      </w:r>
      <w:r w:rsidR="00B54FCC">
        <w:rPr>
          <w:rFonts w:ascii="Times New Roman" w:eastAsia="Times New Roman" w:hAnsi="Times New Roman"/>
          <w:lang w:eastAsia="ar-SA"/>
        </w:rPr>
        <w:t>s</w:t>
      </w:r>
      <w:r w:rsidR="00753F32">
        <w:rPr>
          <w:rFonts w:ascii="Times New Roman" w:eastAsia="Times New Roman" w:hAnsi="Times New Roman"/>
          <w:lang w:eastAsia="ar-SA"/>
        </w:rPr>
        <w:t xml:space="preserve"> or organisation</w:t>
      </w:r>
      <w:r w:rsidR="00B54FCC">
        <w:rPr>
          <w:rFonts w:ascii="Times New Roman" w:eastAsia="Times New Roman" w:hAnsi="Times New Roman"/>
          <w:lang w:eastAsia="ar-SA"/>
        </w:rPr>
        <w:t>s</w:t>
      </w:r>
      <w:r w:rsidR="00753F32">
        <w:rPr>
          <w:rFonts w:ascii="Times New Roman" w:eastAsia="Times New Roman" w:hAnsi="Times New Roman"/>
          <w:lang w:eastAsia="ar-SA"/>
        </w:rPr>
        <w:t xml:space="preserve"> that </w:t>
      </w:r>
      <w:r w:rsidR="00B54FCC">
        <w:rPr>
          <w:rFonts w:ascii="Times New Roman" w:eastAsia="Times New Roman" w:hAnsi="Times New Roman"/>
          <w:lang w:eastAsia="ar-SA"/>
        </w:rPr>
        <w:t xml:space="preserve">are </w:t>
      </w:r>
      <w:r w:rsidR="00753F32">
        <w:rPr>
          <w:rFonts w:ascii="Times New Roman" w:eastAsia="Times New Roman" w:hAnsi="Times New Roman"/>
          <w:lang w:eastAsia="ar-SA"/>
        </w:rPr>
        <w:t xml:space="preserve">engaged </w:t>
      </w:r>
      <w:r w:rsidR="00B54FCC">
        <w:rPr>
          <w:rFonts w:ascii="Times New Roman" w:eastAsia="Times New Roman" w:hAnsi="Times New Roman"/>
          <w:lang w:eastAsia="ar-SA"/>
        </w:rPr>
        <w:t>i</w:t>
      </w:r>
      <w:r w:rsidR="00753F32">
        <w:rPr>
          <w:rFonts w:ascii="Times New Roman" w:eastAsia="Times New Roman" w:hAnsi="Times New Roman"/>
          <w:lang w:eastAsia="ar-SA"/>
        </w:rPr>
        <w:t xml:space="preserve">n </w:t>
      </w:r>
      <w:r w:rsidR="004430B9">
        <w:rPr>
          <w:rFonts w:ascii="Times New Roman" w:eastAsia="Times New Roman" w:hAnsi="Times New Roman"/>
          <w:lang w:eastAsia="ar-SA"/>
        </w:rPr>
        <w:t xml:space="preserve">discussions </w:t>
      </w:r>
      <w:r w:rsidR="00753F32">
        <w:rPr>
          <w:rFonts w:ascii="Times New Roman" w:eastAsia="Times New Roman" w:hAnsi="Times New Roman"/>
          <w:lang w:eastAsia="ar-SA"/>
        </w:rPr>
        <w:t xml:space="preserve">on synthetic biology or </w:t>
      </w:r>
      <w:r w:rsidR="004430B9">
        <w:rPr>
          <w:rFonts w:ascii="Times New Roman" w:eastAsia="Times New Roman" w:hAnsi="Times New Roman"/>
          <w:lang w:eastAsia="ar-SA"/>
        </w:rPr>
        <w:t xml:space="preserve">which have </w:t>
      </w:r>
      <w:r w:rsidR="00753F32">
        <w:rPr>
          <w:rFonts w:ascii="Times New Roman" w:eastAsia="Times New Roman" w:hAnsi="Times New Roman"/>
          <w:lang w:eastAsia="ar-SA"/>
        </w:rPr>
        <w:t>programme</w:t>
      </w:r>
      <w:r w:rsidR="004430B9">
        <w:rPr>
          <w:rFonts w:ascii="Times New Roman" w:eastAsia="Times New Roman" w:hAnsi="Times New Roman"/>
          <w:lang w:eastAsia="ar-SA"/>
        </w:rPr>
        <w:t>s</w:t>
      </w:r>
      <w:r w:rsidR="00753F32">
        <w:rPr>
          <w:rFonts w:ascii="Times New Roman" w:eastAsia="Times New Roman" w:hAnsi="Times New Roman"/>
          <w:lang w:eastAsia="ar-SA"/>
        </w:rPr>
        <w:t xml:space="preserve"> of work </w:t>
      </w:r>
      <w:r w:rsidR="00E96F1D">
        <w:rPr>
          <w:rFonts w:ascii="Times New Roman" w:eastAsia="Times New Roman" w:hAnsi="Times New Roman"/>
          <w:lang w:eastAsia="ar-SA"/>
        </w:rPr>
        <w:t xml:space="preserve">which </w:t>
      </w:r>
      <w:r w:rsidR="00753F32">
        <w:rPr>
          <w:rFonts w:ascii="Times New Roman" w:eastAsia="Times New Roman" w:hAnsi="Times New Roman"/>
          <w:lang w:eastAsia="ar-SA"/>
        </w:rPr>
        <w:t>consider aspects related to synthetic biology</w:t>
      </w:r>
      <w:r w:rsidR="00E96F1D">
        <w:rPr>
          <w:rFonts w:ascii="Times New Roman" w:eastAsia="Times New Roman" w:hAnsi="Times New Roman"/>
          <w:lang w:eastAsia="ar-SA"/>
        </w:rPr>
        <w:t>. In doing so</w:t>
      </w:r>
      <w:r w:rsidR="00117F33">
        <w:rPr>
          <w:rFonts w:ascii="Times New Roman" w:eastAsia="Times New Roman" w:hAnsi="Times New Roman"/>
          <w:lang w:eastAsia="ar-SA"/>
        </w:rPr>
        <w:t>,</w:t>
      </w:r>
      <w:r w:rsidR="00BA49D4">
        <w:rPr>
          <w:rFonts w:ascii="Times New Roman" w:eastAsia="Times New Roman" w:hAnsi="Times New Roman"/>
          <w:lang w:eastAsia="ar-SA"/>
        </w:rPr>
        <w:t xml:space="preserve"> the update </w:t>
      </w:r>
      <w:r w:rsidR="00AA1984">
        <w:rPr>
          <w:rFonts w:ascii="Times New Roman" w:eastAsia="Times New Roman" w:hAnsi="Times New Roman"/>
          <w:lang w:eastAsia="ar-SA"/>
        </w:rPr>
        <w:t xml:space="preserve">prioritised </w:t>
      </w:r>
      <w:r w:rsidR="00EE3CF1">
        <w:rPr>
          <w:rFonts w:ascii="Times New Roman" w:eastAsia="Times New Roman" w:hAnsi="Times New Roman"/>
          <w:lang w:eastAsia="ar-SA"/>
        </w:rPr>
        <w:t xml:space="preserve">the </w:t>
      </w:r>
      <w:r w:rsidR="00AA1984">
        <w:rPr>
          <w:rFonts w:ascii="Times New Roman" w:eastAsia="Times New Roman" w:hAnsi="Times New Roman"/>
          <w:lang w:eastAsia="ar-SA"/>
        </w:rPr>
        <w:t>inclu</w:t>
      </w:r>
      <w:r w:rsidR="00EE3CF1">
        <w:rPr>
          <w:rFonts w:ascii="Times New Roman" w:eastAsia="Times New Roman" w:hAnsi="Times New Roman"/>
          <w:lang w:eastAsia="ar-SA"/>
        </w:rPr>
        <w:t>sion of</w:t>
      </w:r>
      <w:r w:rsidR="00AA1984">
        <w:rPr>
          <w:rFonts w:ascii="Times New Roman" w:eastAsia="Times New Roman" w:hAnsi="Times New Roman"/>
          <w:lang w:eastAsia="ar-SA"/>
        </w:rPr>
        <w:t xml:space="preserve"> information on international initiatives and did not consider </w:t>
      </w:r>
      <w:r w:rsidR="00EE3CF1">
        <w:rPr>
          <w:rFonts w:ascii="Times New Roman" w:eastAsia="Times New Roman" w:hAnsi="Times New Roman"/>
          <w:lang w:eastAsia="ar-SA"/>
        </w:rPr>
        <w:t xml:space="preserve">those of a more </w:t>
      </w:r>
      <w:r w:rsidR="00AA1984">
        <w:rPr>
          <w:rFonts w:ascii="Times New Roman" w:eastAsia="Times New Roman" w:hAnsi="Times New Roman"/>
          <w:lang w:eastAsia="ar-SA"/>
        </w:rPr>
        <w:t xml:space="preserve">regional or national </w:t>
      </w:r>
      <w:r w:rsidR="00EE3CF1">
        <w:rPr>
          <w:rFonts w:ascii="Times New Roman" w:eastAsia="Times New Roman" w:hAnsi="Times New Roman"/>
          <w:lang w:eastAsia="ar-SA"/>
        </w:rPr>
        <w:t>nature</w:t>
      </w:r>
      <w:r w:rsidR="00AA1984">
        <w:rPr>
          <w:rFonts w:ascii="Times New Roman" w:eastAsia="Times New Roman" w:hAnsi="Times New Roman"/>
          <w:lang w:eastAsia="ar-SA"/>
        </w:rPr>
        <w:t>.</w:t>
      </w:r>
    </w:p>
    <w:p w14:paraId="00F13386" w14:textId="074BD8D8" w:rsidR="00980ED6" w:rsidRPr="003014C7" w:rsidRDefault="000C2329" w:rsidP="00344517">
      <w:pPr>
        <w:pStyle w:val="Heading1"/>
        <w:rPr>
          <w:b w:val="0"/>
          <w:sz w:val="20"/>
          <w:szCs w:val="20"/>
          <w:lang w:val="en-GB"/>
        </w:rPr>
      </w:pPr>
      <w:bookmarkStart w:id="17" w:name="_Toc70112657"/>
      <w:bookmarkStart w:id="18" w:name="_Toc70685679"/>
      <w:r w:rsidRPr="00472F0F">
        <w:t>C</w:t>
      </w:r>
      <w:r w:rsidR="00A7296D" w:rsidRPr="00472F0F">
        <w:t>.</w:t>
      </w:r>
      <w:r w:rsidR="00344517" w:rsidRPr="00472F0F">
        <w:tab/>
      </w:r>
      <w:r w:rsidR="00980ED6" w:rsidRPr="00472F0F">
        <w:t xml:space="preserve">TECHNICAL BACKGROUND </w:t>
      </w:r>
      <w:r w:rsidR="00357A5C" w:rsidRPr="00995857">
        <w:rPr>
          <w:lang w:val="en-GB"/>
        </w:rPr>
        <w:t>ON</w:t>
      </w:r>
      <w:r w:rsidR="00980ED6" w:rsidRPr="00995857">
        <w:rPr>
          <w:lang w:val="en-GB"/>
        </w:rPr>
        <w:t xml:space="preserve"> SYNTHETIC BIOLOGY</w:t>
      </w:r>
      <w:bookmarkEnd w:id="17"/>
      <w:bookmarkEnd w:id="18"/>
    </w:p>
    <w:p w14:paraId="2B2DB352" w14:textId="3FB614E9" w:rsidR="00A268DA" w:rsidRPr="004A31DA" w:rsidRDefault="000E757A" w:rsidP="0010279B">
      <w:pPr>
        <w:pStyle w:val="Heading2"/>
        <w:spacing w:before="240"/>
        <w:rPr>
          <w:rFonts w:cs="Calibri"/>
          <w:color w:val="000000"/>
          <w:lang w:val="en-US"/>
        </w:rPr>
      </w:pPr>
      <w:r w:rsidRPr="564F7D90">
        <w:rPr>
          <w:lang w:val="en-GB"/>
        </w:rPr>
        <w:fldChar w:fldCharType="begin" w:fldLock="1"/>
      </w:r>
      <w:r w:rsidR="008F6A90">
        <w:rPr>
          <w:lang w:val="en-GB"/>
        </w:rPr>
        <w:instrText xml:space="preserve">ADDIN CSL_CITATION {"citationItems":[{"id":"ITEM-1","itemData":{"DOI":"10.1042/BST20190349","ISSN":"14708752","PMID":"32077472","abstract":"Since the beginning of the 21st Century, synthetic biology has established itself as an effective technological approach to design and engineer biological systems. Whilst research and investment continues to develop the understanding, control and engineering infrastructural platforms necessary to tackle ever more challenging systems - and to increase the precision, robustness, speed and affordability of existing solutions - hundreds of start-up companies, predominantly in the US and UK, are already translating learnings and potential applications into commercially viable tools, services and products. Start-ups and SMEs have been the predominant channel for synthetic biology commercialisation to date, facilitating rapid response to changing societal interests and market pull arising from increasing awareness of health and global sustainability issues. Private investment in start-ups across the US and UK is increasing rapidly and now totals over $12bn. Health-related biotechnology applications have dominated the commercialisation of products to date, but significant opportunities for the production of bio-derived materials and chemicals, including consumer products, are now being developed. Synthetic biology start-ups developing tools and services account for between 10% (in the UK) and </w:instrText>
      </w:r>
      <w:r w:rsidR="008F6A90">
        <w:rPr>
          <w:rFonts w:ascii="Cambria Math" w:hAnsi="Cambria Math" w:cs="Cambria Math"/>
          <w:lang w:val="en-GB"/>
        </w:rPr>
        <w:instrText>∼</w:instrText>
      </w:r>
      <w:r w:rsidR="008F6A90">
        <w:rPr>
          <w:lang w:val="en-GB"/>
        </w:rPr>
        <w:instrText xml:space="preserve">25% (in the US) of private investment activity. Around 20% of synthetic biology start-ups address industrial biotechnology targets, but currently, only attract </w:instrText>
      </w:r>
      <w:r w:rsidR="008F6A90">
        <w:rPr>
          <w:rFonts w:ascii="Cambria Math" w:hAnsi="Cambria Math" w:cs="Cambria Math"/>
          <w:lang w:val="en-GB"/>
        </w:rPr>
        <w:instrText>∼</w:instrText>
      </w:r>
      <w:r w:rsidR="008F6A90">
        <w:rPr>
          <w:lang w:val="en-GB"/>
        </w:rPr>
        <w:instrText>11% private investment. Adopting a more networked approach - linking specialists, infrastructure and ongoing research to de-risk the economic challenges of scale-up and supported by an effective long-term funding strategy - is set to transform the impact of synthetic biology and industrial biotechnology in the bioeconomy.","author":[{"dropping-particle":"","family":"Clarke","given":"Lionel","non-dropping-particle":"","parse-names":false,"suffix":""},{"dropping-particle":"","family":"Kitney","given":"Richard","non-dropping-particle":"","parse-names":false,"suffix":""}],"container-title":"Biochemical Society Transactions","id":"ITEM-1","issue":"1","issued":{"date-parts":[["2020"]]},"page":"113-122","publisher":"Portland Press Ltd","title":"Developing synthetic biology for industrial biotechnology applications","type":"article","volume":"48"},"uris":["http://www.mendeley.com/documents/?uuid=c04deee7-4d34-4d3d-b1fd-f8e0ff0f94a0"]}],"mendeley":{"formattedCitation":"(Clarke &amp; Kitney, 2020)","plainTextFormattedCitation":"(Clarke &amp; Kitney, 2020)","previouslyFormattedCitation":"(Clarke &amp; Kitney, 2020)"},"properties":{"noteIndex":0},"schema":"https://github.com/citation-style-language/schema/raw/master/csl-citation.json"}</w:instrText>
      </w:r>
      <w:r w:rsidRPr="564F7D90">
        <w:rPr>
          <w:lang w:val="en-GB"/>
        </w:rPr>
        <w:fldChar w:fldCharType="end"/>
      </w:r>
      <w:bookmarkStart w:id="19" w:name="_Toc388339308"/>
      <w:bookmarkStart w:id="20" w:name="_Toc70112658"/>
      <w:bookmarkStart w:id="21" w:name="_Toc70685680"/>
      <w:r w:rsidR="00A7296D">
        <w:rPr>
          <w:lang w:val="en-US"/>
        </w:rPr>
        <w:t>1</w:t>
      </w:r>
      <w:r w:rsidR="00CB2492" w:rsidRPr="00167573">
        <w:t xml:space="preserve">. </w:t>
      </w:r>
      <w:r w:rsidR="00A268DA" w:rsidRPr="00167573">
        <w:t xml:space="preserve">Supporting </w:t>
      </w:r>
      <w:r w:rsidR="0025571B" w:rsidRPr="00167573">
        <w:t xml:space="preserve">Technologies </w:t>
      </w:r>
      <w:r w:rsidR="0025571B">
        <w:rPr>
          <w:lang w:val="en-US"/>
        </w:rPr>
        <w:t>a</w:t>
      </w:r>
      <w:r w:rsidR="0025571B" w:rsidRPr="00167573">
        <w:t>nd Tools</w:t>
      </w:r>
      <w:r w:rsidR="004A31DA">
        <w:rPr>
          <w:lang w:val="en-US"/>
        </w:rPr>
        <w:t>.</w:t>
      </w:r>
      <w:bookmarkEnd w:id="19"/>
      <w:bookmarkEnd w:id="20"/>
      <w:bookmarkEnd w:id="21"/>
    </w:p>
    <w:p w14:paraId="04760BC3" w14:textId="1AFA95F2" w:rsidR="00952AB0" w:rsidRDefault="00A268DA" w:rsidP="5EEA41E0">
      <w:pPr>
        <w:spacing w:before="120" w:after="120" w:line="240" w:lineRule="auto"/>
        <w:jc w:val="both"/>
        <w:rPr>
          <w:rFonts w:ascii="Times New Roman" w:hAnsi="Times New Roman"/>
          <w:color w:val="000000"/>
          <w:kern w:val="1"/>
          <w:lang w:eastAsia="ar-SA"/>
        </w:rPr>
      </w:pPr>
      <w:r w:rsidRPr="487919B7">
        <w:rPr>
          <w:rFonts w:ascii="Times New Roman" w:hAnsi="Times New Roman"/>
          <w:color w:val="000000"/>
          <w:kern w:val="1"/>
          <w:lang w:eastAsia="ar-SA"/>
        </w:rPr>
        <w:t>Synthetic biology relies on a suite of supporting technologies</w:t>
      </w:r>
      <w:r w:rsidR="7249A1E9" w:rsidRPr="487919B7">
        <w:rPr>
          <w:rFonts w:ascii="Times New Roman" w:hAnsi="Times New Roman"/>
          <w:color w:val="000000"/>
          <w:kern w:val="1"/>
          <w:lang w:eastAsia="ar-SA"/>
        </w:rPr>
        <w:t xml:space="preserve"> and tools</w:t>
      </w:r>
      <w:r w:rsidRPr="487919B7">
        <w:rPr>
          <w:rFonts w:ascii="Times New Roman" w:hAnsi="Times New Roman"/>
          <w:color w:val="000000"/>
          <w:kern w:val="1"/>
          <w:lang w:eastAsia="ar-SA"/>
        </w:rPr>
        <w:t xml:space="preserve">, which are also used in genetic engineering, that have become dramatically faster and less expensive since the 1990s </w:t>
      </w:r>
      <w:r w:rsidR="00B53EA2">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{"citationItems":[{"id":"ITEM-1","itemData":{"author":[{"dropping-particle":"","family":"The Royal Academy of Engineering","given":"","non-dropping-particle":"","parse-names":false,"suffix":""}],"id":"ITEM-1","issued":{"date-parts":[["2009"]]},"publisher-place":"London, UK","title":"Synthetic Biology: scope, applications and implications","type":"report"},"uris":["http://www.mendeley.com/documents/?uuid=695b4b59-9ae0-455f-8ce0-ba6220a774b5"]},{"id":"ITEM-2","itemData":{"DOI":"10.3389/fbioe.2019.00175","ISSN":"2296-4185","author":[{"dropping-particle":"","family":"Karoui","given":"Meriem","non-dropping-particle":"El","parse-names":false,"suffix":""},{"dropping-particle":"","family":"Hoyos-Flight","given":"Monica","non-dropping-particle":"","parse-names":false,"suffix":""},{"dropping-particle":"","family":"Fletcher","given":"Liz","non-dropping-particle":"","parse-names":false,"suffix":""}],"container-title":"Frontiers in Bioengineering and Biotechnology","id":"ITEM-2","issued":{"date-parts":[["2019","8","7"]]},"title":"Future Trends in Synthetic Biology—A Report","type":"article-journal","volume":"7"},"uris":["http://www.mendeley.com/documents/?uuid=efd23a29-9e0a-4b56-b43d-137d4d68e02a"]}],"mendeley":{"formattedCitation":"(El Karoui et al., 2019; The Royal Academy of Engineering, 2009)","plainTextFormattedCitation":"(El Karoui et al., 2019; The Royal Academy of Engineering, 2009)","previouslyFormattedCitation":"(El Karoui et al., 2019; The Royal Academy of Engineering, 2009)"},"properties":{"noteIndex":0},"schema":"https://github.com/citation-style-language/schema/raw/master/csl-citation.json"}</w:instrText>
      </w:r>
      <w:r w:rsidR="00B53EA2">
        <w:rPr>
          <w:rFonts w:ascii="Times New Roman" w:hAnsi="Times New Roman"/>
          <w:color w:val="000000"/>
          <w:kern w:val="1"/>
          <w:lang w:eastAsia="ar-SA"/>
        </w:rPr>
        <w:fldChar w:fldCharType="separate"/>
      </w:r>
      <w:r w:rsidR="008F6A90" w:rsidRPr="008F6A90">
        <w:rPr>
          <w:rFonts w:ascii="Times New Roman" w:hAnsi="Times New Roman"/>
          <w:noProof/>
          <w:color w:val="000000"/>
          <w:kern w:val="1"/>
          <w:lang w:eastAsia="ar-SA"/>
        </w:rPr>
        <w:t xml:space="preserve">(El Karoui et al., </w:t>
      </w:r>
      <w:r w:rsidR="008F6A90" w:rsidRPr="008F6A90">
        <w:rPr>
          <w:rFonts w:ascii="Times New Roman" w:hAnsi="Times New Roman"/>
          <w:noProof/>
          <w:color w:val="000000"/>
          <w:kern w:val="1"/>
          <w:lang w:eastAsia="ar-SA"/>
        </w:rPr>
        <w:lastRenderedPageBreak/>
        <w:t>2019; The Royal Academy of Engineering, 2009)</w:t>
      </w:r>
      <w:r w:rsidR="00B53EA2">
        <w:rPr>
          <w:rFonts w:ascii="Times New Roman" w:hAnsi="Times New Roman"/>
          <w:color w:val="000000"/>
          <w:kern w:val="1"/>
          <w:lang w:eastAsia="ar-SA"/>
        </w:rPr>
        <w:fldChar w:fldCharType="end"/>
      </w:r>
      <w:r w:rsidRPr="487919B7">
        <w:rPr>
          <w:rFonts w:ascii="Times New Roman" w:hAnsi="Times New Roman"/>
          <w:color w:val="000000"/>
          <w:kern w:val="1"/>
          <w:lang w:eastAsia="ar-SA"/>
        </w:rPr>
        <w:t xml:space="preserve">. </w:t>
      </w:r>
      <w:r w:rsidRPr="00A268DA">
        <w:rPr>
          <w:rFonts w:ascii="Times New Roman" w:hAnsi="Times New Roman"/>
          <w:color w:val="000000"/>
          <w:kern w:val="1"/>
          <w:lang w:eastAsia="ar-SA"/>
        </w:rPr>
        <w:t xml:space="preserve">Computational </w:t>
      </w:r>
      <w:r w:rsidR="00FC6C89" w:rsidRPr="00A268DA">
        <w:rPr>
          <w:rFonts w:ascii="Times New Roman" w:hAnsi="Times New Roman"/>
          <w:color w:val="000000"/>
          <w:kern w:val="1"/>
          <w:lang w:eastAsia="ar-SA"/>
        </w:rPr>
        <w:t>modelling</w:t>
      </w:r>
      <w:r w:rsidRPr="00A268DA">
        <w:rPr>
          <w:rFonts w:ascii="Times New Roman" w:hAnsi="Times New Roman"/>
          <w:color w:val="000000"/>
          <w:kern w:val="1"/>
          <w:lang w:eastAsia="ar-SA"/>
        </w:rPr>
        <w:t xml:space="preserve"> and the connected fields of bioinformatics and information sciences have </w:t>
      </w:r>
      <w:r w:rsidR="00FC6C89" w:rsidRPr="00A268DA">
        <w:rPr>
          <w:rFonts w:ascii="Times New Roman" w:hAnsi="Times New Roman"/>
          <w:color w:val="000000"/>
          <w:kern w:val="1"/>
          <w:lang w:eastAsia="ar-SA"/>
        </w:rPr>
        <w:t>catalysed</w:t>
      </w:r>
      <w:r w:rsidRPr="00A268DA">
        <w:rPr>
          <w:rFonts w:ascii="Times New Roman" w:hAnsi="Times New Roman"/>
          <w:color w:val="000000"/>
          <w:kern w:val="1"/>
          <w:lang w:eastAsia="ar-SA"/>
        </w:rPr>
        <w:t xml:space="preserve"> synthetic biology research by making simulation possible and </w:t>
      </w:r>
      <w:r w:rsidRPr="7FAB6764">
        <w:rPr>
          <w:rFonts w:ascii="Times New Roman" w:hAnsi="Times New Roman"/>
          <w:i/>
          <w:color w:val="000000"/>
          <w:kern w:val="1"/>
          <w:lang w:eastAsia="ar-SA"/>
        </w:rPr>
        <w:t>in silico</w:t>
      </w:r>
      <w:r w:rsidRPr="00A268DA">
        <w:rPr>
          <w:rFonts w:ascii="Times New Roman" w:hAnsi="Times New Roman"/>
          <w:color w:val="000000"/>
          <w:kern w:val="1"/>
          <w:lang w:eastAsia="ar-SA"/>
        </w:rPr>
        <w:t xml:space="preserve"> testing of biological systems </w:t>
      </w:r>
      <w:r w:rsidR="00DB2438">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{"citationItems":[{"id":"ITEM-1","itemData":{"DOI":"10.1038/msb.2012.66","ISSN":"1744-4292","author":[{"dropping-particle":"","family":"Esvelt","given":"Kevin M","non-dropping-particle":"","parse-names":false,"suffix":""},{"dropping-particle":"","family":"Wang","given":"Harris H","non-dropping-particle":"","parse-names":false,"suffix":""}],"container-title":"Molecular Systems Biology","id":"ITEM-1","issue":"1","issued":{"date-parts":[["2013","1","22"]]},"page":"641","title":"Genome‐scale engineering for systems and synthetic biology","type":"article-journal","volume":"9"},"uris":["http://www.mendeley.com/documents/?uuid=98132fed-10a8-4e4e-ac2a-484b956ea23a"]}],"mendeley":{"formattedCitation":"(K. M. Esvelt &amp; Wang, 2013)","manualFormatting":"(Esvelt &amp; Wang, 2013)","plainTextFormattedCitation":"(K. M. Esvelt &amp; Wang, 2013)","previouslyFormattedCitation":"(K. M. Esvelt &amp; Wang, 2013)"},"properties":{"noteIndex":0},"schema":"https://github.com/citation-style-language/schema/raw/master/csl-citation.json"}</w:instrText>
      </w:r>
      <w:r w:rsidR="00DB2438">
        <w:rPr>
          <w:rFonts w:ascii="Times New Roman" w:hAnsi="Times New Roman"/>
          <w:color w:val="000000"/>
          <w:kern w:val="1"/>
          <w:lang w:eastAsia="ar-SA"/>
        </w:rPr>
        <w:fldChar w:fldCharType="separate"/>
      </w:r>
      <w:r w:rsidR="005D0A46" w:rsidRPr="005D0A46">
        <w:rPr>
          <w:rFonts w:ascii="Times New Roman" w:hAnsi="Times New Roman"/>
          <w:noProof/>
          <w:color w:val="000000"/>
          <w:kern w:val="1"/>
          <w:lang w:eastAsia="ar-SA"/>
        </w:rPr>
        <w:t>(Esvelt &amp; Wang, 2013)</w:t>
      </w:r>
      <w:r w:rsidR="00DB2438">
        <w:rPr>
          <w:rFonts w:ascii="Times New Roman" w:hAnsi="Times New Roman"/>
          <w:color w:val="000000"/>
          <w:kern w:val="1"/>
          <w:lang w:eastAsia="ar-SA"/>
        </w:rPr>
        <w:fldChar w:fldCharType="end"/>
      </w:r>
      <w:r w:rsidRPr="00A268DA">
        <w:rPr>
          <w:rFonts w:ascii="Times New Roman" w:hAnsi="Times New Roman"/>
          <w:color w:val="000000"/>
          <w:kern w:val="1"/>
          <w:lang w:eastAsia="ar-SA"/>
        </w:rPr>
        <w:t xml:space="preserve">. </w:t>
      </w:r>
      <w:r w:rsidRPr="487919B7">
        <w:rPr>
          <w:rFonts w:ascii="Times New Roman" w:hAnsi="Times New Roman"/>
          <w:color w:val="000000"/>
          <w:kern w:val="1"/>
          <w:lang w:eastAsia="ar-SA"/>
        </w:rPr>
        <w:t xml:space="preserve">The ability to sequence DNA is key to all areas of synthetic biology research. Scientists have been able to sequence and </w:t>
      </w:r>
      <w:r w:rsidR="00FC6C89" w:rsidRPr="487919B7">
        <w:rPr>
          <w:rFonts w:ascii="Times New Roman" w:hAnsi="Times New Roman"/>
          <w:color w:val="000000"/>
          <w:kern w:val="1"/>
          <w:lang w:eastAsia="ar-SA"/>
        </w:rPr>
        <w:t>analyse</w:t>
      </w:r>
      <w:r w:rsidRPr="487919B7">
        <w:rPr>
          <w:rFonts w:ascii="Times New Roman" w:hAnsi="Times New Roman"/>
          <w:color w:val="000000"/>
          <w:kern w:val="1"/>
          <w:lang w:eastAsia="ar-SA"/>
        </w:rPr>
        <w:t xml:space="preserve"> DNA since the 1970s, but high-throughput next generation sequencing methods and computer programmes make it possible to read longer lengths of DNA at much faster speeds for less money, often by aligning short sequences of overlapping stretches of DNA through computer analysis</w:t>
      </w:r>
      <w:r w:rsidR="00526327">
        <w:rPr>
          <w:rFonts w:ascii="Times New Roman" w:hAnsi="Times New Roman"/>
          <w:color w:val="000000"/>
          <w:kern w:val="1"/>
          <w:lang w:eastAsia="ar-SA"/>
        </w:rPr>
        <w:t xml:space="preserve"> </w:t>
      </w:r>
      <w:r w:rsidR="00603B3D">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{"citationItems":[{"id":"ITEM-1","itemData":{"author":[{"dropping-particle":"","family":"The Royal Academy of Engineering","given":"","non-dropping-particle":"","parse-names":false,"suffix":""}],"id":"ITEM-1","issued":{"date-parts":[["2009"]]},"publisher-place":"London, UK","title":"Synthetic Biology: scope, applications and implications","type":"report"},"uris":["http://www.mendeley.com/documents/?uuid=695b4b59-9ae0-455f-8ce0-ba6220a774b5"]}],"mendeley":{"formattedCitation":"(The Royal Academy of Engineering, 2009)","manualFormatting":"(RAE, 2009)","plainTextFormattedCitation":"(The Royal Academy of Engineering, 2009)","previouslyFormattedCitation":"(The Royal Academy of Engineering, 2009)"},"properties":{"noteIndex":0},"schema":"https://github.com/citation-style-language/schema/raw/master/csl-citation.json"}</w:instrText>
      </w:r>
      <w:r w:rsidR="00603B3D">
        <w:rPr>
          <w:rFonts w:ascii="Times New Roman" w:hAnsi="Times New Roman"/>
          <w:color w:val="000000"/>
          <w:kern w:val="1"/>
          <w:lang w:eastAsia="ar-SA"/>
        </w:rPr>
        <w:fldChar w:fldCharType="separate"/>
      </w:r>
      <w:r w:rsidR="00603B3D" w:rsidRPr="00007318">
        <w:rPr>
          <w:rFonts w:ascii="Times New Roman" w:hAnsi="Times New Roman"/>
          <w:noProof/>
          <w:color w:val="000000"/>
          <w:kern w:val="1"/>
          <w:lang w:eastAsia="ar-SA"/>
        </w:rPr>
        <w:t>(</w:t>
      </w:r>
      <w:r w:rsidR="009D22D7">
        <w:rPr>
          <w:rFonts w:ascii="Times New Roman" w:hAnsi="Times New Roman"/>
          <w:noProof/>
          <w:color w:val="000000"/>
          <w:kern w:val="1"/>
          <w:lang w:eastAsia="ar-SA"/>
        </w:rPr>
        <w:t>RAE</w:t>
      </w:r>
      <w:r w:rsidR="00603B3D" w:rsidRPr="00007318">
        <w:rPr>
          <w:rFonts w:ascii="Times New Roman" w:hAnsi="Times New Roman"/>
          <w:noProof/>
          <w:color w:val="000000"/>
          <w:kern w:val="1"/>
          <w:lang w:eastAsia="ar-SA"/>
        </w:rPr>
        <w:t>, 2009)</w:t>
      </w:r>
      <w:r w:rsidR="00603B3D">
        <w:rPr>
          <w:rFonts w:ascii="Times New Roman" w:hAnsi="Times New Roman"/>
          <w:color w:val="000000"/>
          <w:kern w:val="1"/>
          <w:lang w:eastAsia="ar-SA"/>
        </w:rPr>
        <w:fldChar w:fldCharType="end"/>
      </w:r>
      <w:r w:rsidRPr="487919B7">
        <w:rPr>
          <w:rFonts w:ascii="Times New Roman" w:hAnsi="Times New Roman"/>
          <w:color w:val="000000"/>
          <w:kern w:val="1"/>
          <w:lang w:eastAsia="ar-SA"/>
        </w:rPr>
        <w:t>.</w:t>
      </w:r>
      <w:r w:rsidR="00474F5C">
        <w:rPr>
          <w:rFonts w:ascii="Times New Roman" w:hAnsi="Times New Roman"/>
          <w:color w:val="000000"/>
          <w:kern w:val="1"/>
          <w:lang w:eastAsia="ar-SA"/>
        </w:rPr>
        <w:t xml:space="preserve"> </w:t>
      </w:r>
    </w:p>
    <w:p w14:paraId="4A71C8C6" w14:textId="77311059" w:rsidR="00952AB0" w:rsidRDefault="00952AB0" w:rsidP="5EEA41E0">
      <w:pPr>
        <w:spacing w:before="120" w:after="120" w:line="240" w:lineRule="auto"/>
        <w:jc w:val="both"/>
        <w:rPr>
          <w:rFonts w:ascii="Times New Roman" w:hAnsi="Times New Roman"/>
          <w:color w:val="000000"/>
          <w:kern w:val="1"/>
          <w:lang w:eastAsia="ar-SA"/>
        </w:rPr>
      </w:pPr>
      <w:r w:rsidRPr="00952AB0">
        <w:rPr>
          <w:rFonts w:ascii="Times New Roman" w:hAnsi="Times New Roman"/>
          <w:color w:val="000000"/>
          <w:kern w:val="1"/>
          <w:lang w:eastAsia="ar-SA"/>
        </w:rPr>
        <w:t xml:space="preserve">By 2017, more than 25,000 authors at 3700 organisations located in 79 countries had contributed to the synthetic biology research </w:t>
      </w:r>
      <w:r w:rsidR="003D111A">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{"citationItems":[{"id":"ITEM-1","itemData":{"DOI":"10.1007/s11192-017-2452-5","ISSN":"15882861","abstract":"Synthetic biology is an emerging domain that combines biological and engineering concepts and which has seen rapid growth in research, innovation, and policy interest in recent years. This paper contributes to efforts to delineate this emerging domain by presenting a newly constructed bibliometric definition of synthetic biology. Our approach is dimensioned from a core set of papers in synthetic biology, using procedures to obtain benchmark synthetic biology publication records, extract keywords from these benchmark records, and refine the keywords, supplemented with articles published in dedicated synthetic biology journals. We compare our search strategy with other recent bibliometric approaches to define synthetic biology, using a common source of publication data for the period from 2000 to 2015. The paper details the rapid growth and international spread of research in synthetic biology in recent years, demonstrates that diverse research disciplines are contributing to the multidisciplinary development of synthetic biology research, and visualizes this by profiling synthetic biology research on the map of science. We further show the roles of a relatively concentrated set of research sponsors in funding the growth and trajectories of synthetic biology. In addition to discussing these analyses, the paper notes limitations and suggests lines for further work.","author":[{"dropping-particle":"","family":"Shapira","given":"Philip","non-dropping-particle":"","parse-names":false,"suffix":""},{"dropping-particle":"","family":"Kwon","given":"Seokbeom","non-dropping-particle":"","parse-names":false,"suffix":""},{"dropping-particle":"","family":"Youtie","given":"Jan","non-dropping-particle":"","parse-names":false,"suffix":""}],"container-title":"Scientometrics","id":"ITEM-1","issue":"3","issued":{"date-parts":[["2017","9"]]},"page":"1439-1469","publisher":"Springer Netherlands","title":"Tracking the emergence of synthetic biology","type":"article-journal","volume":"112"},"uris":["http://www.mendeley.com/documents/?uuid=3fe75e04-7942-4959-91ba-2f9238d88373"]}],"mendeley":{"formattedCitation":"(Shapira et al., 2017)","plainTextFormattedCitation":"(Shapira et al., 2017)","previouslyFormattedCitation":"(Shapira et al., 2017)"},"properties":{"noteIndex":0},"schema":"https://github.com/citation-style-language/schema/raw/master/csl-citation.json"}</w:instrText>
      </w:r>
      <w:r w:rsidR="003D111A">
        <w:rPr>
          <w:rFonts w:ascii="Times New Roman" w:hAnsi="Times New Roman"/>
          <w:color w:val="000000"/>
          <w:kern w:val="1"/>
          <w:lang w:eastAsia="ar-SA"/>
        </w:rPr>
        <w:fldChar w:fldCharType="separate"/>
      </w:r>
      <w:r w:rsidR="00204229" w:rsidRPr="00204229">
        <w:rPr>
          <w:rFonts w:ascii="Times New Roman" w:hAnsi="Times New Roman"/>
          <w:noProof/>
          <w:color w:val="000000"/>
          <w:kern w:val="1"/>
          <w:lang w:eastAsia="ar-SA"/>
        </w:rPr>
        <w:t>(Shapira et al., 2017)</w:t>
      </w:r>
      <w:r w:rsidR="003D111A">
        <w:rPr>
          <w:rFonts w:ascii="Times New Roman" w:hAnsi="Times New Roman"/>
          <w:color w:val="000000"/>
          <w:kern w:val="1"/>
          <w:lang w:eastAsia="ar-SA"/>
        </w:rPr>
        <w:fldChar w:fldCharType="end"/>
      </w:r>
      <w:r w:rsidRPr="00952AB0">
        <w:rPr>
          <w:rFonts w:ascii="Times New Roman" w:hAnsi="Times New Roman"/>
          <w:color w:val="000000"/>
          <w:kern w:val="1"/>
          <w:lang w:eastAsia="ar-SA"/>
        </w:rPr>
        <w:t xml:space="preserve">. Since 1980, 13050 papers on synthetic biology have been published; with the USA, UK, Germany, China, and France leading the number of publications </w:t>
      </w:r>
      <w:r w:rsidR="00A96A21">
        <w:rPr>
          <w:rFonts w:ascii="Times New Roman" w:hAnsi="Times New Roman"/>
          <w:color w:val="000000"/>
          <w:kern w:val="1"/>
          <w:lang w:eastAsia="ar-SA"/>
        </w:rPr>
        <w:fldChar w:fldCharType="begin" w:fldLock="1"/>
      </w:r>
      <w:r w:rsidR="00455994">
        <w:rPr>
          <w:rFonts w:ascii="Times New Roman" w:hAnsi="Times New Roman"/>
          <w:color w:val="000000"/>
          <w:kern w:val="1"/>
          <w:lang w:eastAsia="ar-SA"/>
        </w:rPr>
        <w:instrText>ADDIN CSL_CITATION {"citationItems":[{"id":"ITEM-1","itemData":{"DOI":"10.1038/s41893-019-0270-x","ISSN":"2398-9629","author":[{"dropping-particle":"","family":"French","given":"K. E.","non-dropping-particle":"","parse-names":false,"suffix":""}],"container-title":"Nature Sustainability","id":"ITEM-1","issue":"4","issued":{"date-parts":[["2019","4","9"]]},"page":"250-252","title":"Harnessing synthetic biology for sustainable development","type":"article-journal","volume":"2"},"uris":["http://www.mendeley.com/documents/?uuid=de7dbc9e-ec7c-4d71-8b85-eb3e497793c2"]},{"id":"ITEM-2","itemData":{"DOI":"10.1007/s11192-017-2452-5","ISSN":"15882861","abstract":"Synthetic biology is an emerging domain that combines biological and engineering concepts and which has seen rapid growth in research, innovation, and policy interest in recent years. This paper contributes to efforts to delineate this emerging domain by presenting a newly constructed bibliometric definition of synthetic biology. Our approach is dimensioned from a core set of papers in synthetic biology, using procedures to obtain benchmark synthetic biology publication records, extract keywords from these benchmark records, and refine the keywords, supplemented with articles published in dedicated synthetic biology journals. We compare our search strategy with other recent bibliometric approaches to define synthetic biology, using a common source of publication data for the period from 2000 to 2015. The paper details the rapid growth and international spread of research in synthetic biology in recent years, demonstrates that diverse research disciplines are contributing to the multidisciplinary development of synthetic biology research, and visualizes this by profiling synthetic biology research on the map of science. We further show the roles of a relatively concentrated set of research sponsors in funding the growth and trajectories of synthetic biology. In addition to discussing these analyses, the paper notes limitations and suggests lines for further work.","author":[{"dropping-particle":"","family":"Shapira","given":"Philip","non-dropping-particle":"","parse-names":false,"suffix":""},{"dropping-particle":"","family":"Kwon","given":"Seokbeom","non-dropping-particle":"","parse-names":false,"suffix":""},{"dropping-particle":"","family":"Youtie","given":"Jan","non-dropping-particle":"","parse-names":false,"suffix":""}],"container-title":"Scientometrics","id":"ITEM-2","issue":"3","issued":{"date-parts":[["2017","9"]]},"page":"1439-1469","publisher":"Springer Netherlands","title":"Tracking the emergence of synthetic biology","type":"article-journal","volume":"112"},"uris":["http://www.mendeley.com/documents/?uuid=3fe75e04-7942-4959-91ba-2f9238d88373"]}],"mendeley":{"formattedCitation":"(K. E. French, 2019; Shapira et al., 2017)","plainTextFormattedCitation":"(K. E. French, 2019; Shapira et al., 2017)","previouslyFormattedCitation":"(K. E. French, 2019; Shapira et al., 2017)"},"properties":{"noteIndex":0},"schema":"https://github.com/citation-style-language/schema/raw/master/csl-citation.json"}</w:instrText>
      </w:r>
      <w:r w:rsidR="00A96A21">
        <w:rPr>
          <w:rFonts w:ascii="Times New Roman" w:hAnsi="Times New Roman"/>
          <w:color w:val="000000"/>
          <w:kern w:val="1"/>
          <w:lang w:eastAsia="ar-SA"/>
        </w:rPr>
        <w:fldChar w:fldCharType="separate"/>
      </w:r>
      <w:r w:rsidR="00855898" w:rsidRPr="00855898">
        <w:rPr>
          <w:rFonts w:ascii="Times New Roman" w:hAnsi="Times New Roman"/>
          <w:noProof/>
          <w:color w:val="000000"/>
          <w:kern w:val="1"/>
          <w:lang w:eastAsia="ar-SA"/>
        </w:rPr>
        <w:t>(K. E. French, 2019; Shapira et al., 2017)</w:t>
      </w:r>
      <w:r w:rsidR="00A96A21">
        <w:rPr>
          <w:rFonts w:ascii="Times New Roman" w:hAnsi="Times New Roman"/>
          <w:color w:val="000000"/>
          <w:kern w:val="1"/>
          <w:lang w:eastAsia="ar-SA"/>
        </w:rPr>
        <w:fldChar w:fldCharType="end"/>
      </w:r>
      <w:r w:rsidRPr="00952AB0">
        <w:rPr>
          <w:rFonts w:ascii="Times New Roman" w:hAnsi="Times New Roman"/>
          <w:color w:val="000000"/>
          <w:kern w:val="1"/>
          <w:lang w:eastAsia="ar-SA"/>
        </w:rPr>
        <w:t xml:space="preserve">. Other sites of major research include Japan, Switzerland, Italy, Spain, and Canada </w:t>
      </w:r>
      <w:r w:rsidR="00FD2E0B">
        <w:rPr>
          <w:rFonts w:ascii="Times New Roman" w:hAnsi="Times New Roman"/>
          <w:color w:val="000000"/>
          <w:kern w:val="1"/>
          <w:lang w:eastAsia="ar-SA"/>
        </w:rPr>
        <w:fldChar w:fldCharType="begin" w:fldLock="1"/>
      </w:r>
      <w:r w:rsidR="00427FB1">
        <w:rPr>
          <w:rFonts w:ascii="Times New Roman" w:hAnsi="Times New Roman"/>
          <w:color w:val="000000"/>
          <w:kern w:val="1"/>
          <w:lang w:eastAsia="ar-SA"/>
        </w:rPr>
        <w:instrText>ADDIN CSL_CITATION {"citationItems":[{"id":"ITEM-1","itemData":{"DOI":"10.1038/s41893-019-0270-x","ISSN":"2398-9629","author":[{"dropping-particle":"","family":"French","given":"K. E.","non-dropping-particle":"","parse-names":false,"suffix":""}],"container-title":"Nature Sustainability","id":"ITEM-1","issue":"4","issued":{"date-parts":[["2019","4","9"]]},"page":"250-252","title":"Harnessing synthetic biology for sustainable development","type":"article-journal","volume":"2"},"uris":["http://www.mendeley.com/documents/?uuid=de7dbc9e-ec7c-4d71-8b85-eb3e497793c2"]}],"mendeley":{"formattedCitation":"(K. E. French, 2019)","manualFormatting":"(French, 2019)","plainTextFormattedCitation":"(K. E. French, 2019)","previouslyFormattedCitation":"(K. E. French, 2019)"},"properties":{"noteIndex":0},"schema":"https://github.com/citation-style-language/schema/raw/master/csl-citation.json"}</w:instrText>
      </w:r>
      <w:r w:rsidR="00FD2E0B">
        <w:rPr>
          <w:rFonts w:ascii="Times New Roman" w:hAnsi="Times New Roman"/>
          <w:color w:val="000000"/>
          <w:kern w:val="1"/>
          <w:lang w:eastAsia="ar-SA"/>
        </w:rPr>
        <w:fldChar w:fldCharType="separate"/>
      </w:r>
      <w:r w:rsidR="00855898" w:rsidRPr="00855898">
        <w:rPr>
          <w:rFonts w:ascii="Times New Roman" w:hAnsi="Times New Roman"/>
          <w:noProof/>
          <w:color w:val="000000"/>
          <w:kern w:val="1"/>
          <w:lang w:eastAsia="ar-SA"/>
        </w:rPr>
        <w:t>(French, 2019)</w:t>
      </w:r>
      <w:r w:rsidR="00FD2E0B">
        <w:rPr>
          <w:rFonts w:ascii="Times New Roman" w:hAnsi="Times New Roman"/>
          <w:color w:val="000000"/>
          <w:kern w:val="1"/>
          <w:lang w:eastAsia="ar-SA"/>
        </w:rPr>
        <w:fldChar w:fldCharType="end"/>
      </w:r>
      <w:r w:rsidRPr="00952AB0">
        <w:rPr>
          <w:rFonts w:ascii="Times New Roman" w:hAnsi="Times New Roman"/>
          <w:color w:val="000000"/>
          <w:kern w:val="1"/>
          <w:lang w:eastAsia="ar-SA"/>
        </w:rPr>
        <w:t>. Shapira et al. (</w:t>
      </w:r>
      <w:r w:rsidR="00BF5DC3">
        <w:rPr>
          <w:rFonts w:ascii="Times New Roman" w:hAnsi="Times New Roman"/>
          <w:color w:val="000000"/>
          <w:kern w:val="1"/>
          <w:lang w:eastAsia="ar-SA"/>
        </w:rPr>
        <w:fldChar w:fldCharType="begin" w:fldLock="1"/>
      </w:r>
      <w:r w:rsidR="00BF5DC3">
        <w:rPr>
          <w:rFonts w:ascii="Times New Roman" w:hAnsi="Times New Roman"/>
          <w:color w:val="000000"/>
          <w:kern w:val="1"/>
          <w:lang w:eastAsia="ar-SA"/>
        </w:rPr>
        <w:instrText>ADDIN CSL_CITATION {"citationItems":[{"id":"ITEM-1","itemData":{"DOI":"10.1007/s11192-017-2452-5","ISSN":"15882861","abstract":"Synthetic biology is an emerging domain that combines biological and engineering concepts and which has seen rapid growth in research, innovation, and policy interest in recent years. This paper contributes to efforts to delineate this emerging domain by presenting a newly constructed bibliometric definition of synthetic biology. Our approach is dimensioned from a core set of papers in synthetic biology, using procedures to obtain benchmark synthetic biology publication records, extract keywords from these benchmark records, and refine the keywords, supplemented with articles published in dedicated synthetic biology journals. We compare our search strategy with other recent bibliometric approaches to define synthetic biology, using a common source of publication data for the period from 2000 to 2015. The paper details the rapid growth and international spread of research in synthetic biology in recent years, demonstrates that diverse research disciplines are contributing to the multidisciplinary development of synthetic biology research, and visualizes this by profiling synthetic biology research on the map of science. We further show the roles of a relatively concentrated set of research sponsors in funding the growth and trajectories of synthetic biology. In addition to discussing these analyses, the paper notes limitations and suggests lines for further work.","author":[{"dropping-particle":"","family":"Shapira","given":"Philip","non-dropping-particle":"","parse-names":false,"suffix":""},{"dropping-particle":"","family":"Kwon","given":"Seokbeom","non-dropping-particle":"","parse-names":false,"suffix":""},{"dropping-particle":"","family":"Youtie","given":"Jan","non-dropping-particle":"","parse-names":false,"suffix":""}],"container-title":"Scientometrics","id":"ITEM-1","issue":"3","issued":{"date-parts":[["2017","9"]]},"page":"1439-1469","publisher":"Springer Netherlands","title":"Tracking the emergence of synthetic biology","type":"article-journal","volume":"112"},"uris":["http://www.mendeley.com/documents/?uuid=3fe75e04-7942-4959-91ba-2f9238d88373"]}],"mendeley":{"formattedCitation":"(Shapira et al., 2017)","manualFormatting":"2017)","plainTextFormattedCitation":"(Shapira et al., 2017)","previouslyFormattedCitation":"(Shapira et al., 2017)"},"properties":{"noteIndex":0},"schema":"https://github.com/citation-style-language/schema/raw/master/csl-citation.json"}</w:instrText>
      </w:r>
      <w:r w:rsidR="00BF5DC3">
        <w:rPr>
          <w:rFonts w:ascii="Times New Roman" w:hAnsi="Times New Roman"/>
          <w:color w:val="000000"/>
          <w:kern w:val="1"/>
          <w:lang w:eastAsia="ar-SA"/>
        </w:rPr>
        <w:fldChar w:fldCharType="separate"/>
      </w:r>
      <w:r w:rsidR="00BF5DC3" w:rsidRPr="00204229">
        <w:rPr>
          <w:rFonts w:ascii="Times New Roman" w:hAnsi="Times New Roman"/>
          <w:noProof/>
          <w:color w:val="000000"/>
          <w:kern w:val="1"/>
          <w:lang w:eastAsia="ar-SA"/>
        </w:rPr>
        <w:t>2017)</w:t>
      </w:r>
      <w:r w:rsidR="00BF5DC3">
        <w:rPr>
          <w:rFonts w:ascii="Times New Roman" w:hAnsi="Times New Roman"/>
          <w:color w:val="000000"/>
          <w:kern w:val="1"/>
          <w:lang w:eastAsia="ar-SA"/>
        </w:rPr>
        <w:fldChar w:fldCharType="end"/>
      </w:r>
      <w:r w:rsidRPr="00952AB0">
        <w:rPr>
          <w:rFonts w:ascii="Times New Roman" w:hAnsi="Times New Roman"/>
          <w:color w:val="000000"/>
          <w:kern w:val="1"/>
          <w:lang w:eastAsia="ar-SA"/>
        </w:rPr>
        <w:t xml:space="preserve"> reported 2800 sponsors of such global research. Despite the global spread of research sponsors, the authors reported a concentration amongst a subset of funding agencies. A cluster of top 20 global sponsors of synthetic biology research were recognised in 70.6% of the synthetic biology articles. This cluster included six funders from the USA, three from China, two for Canada, Germany, Japan, the UK, and the EU each one, and one from South Korea. The great majority of funders in the top 50 are public research councils or government agencies </w:t>
      </w:r>
      <w:r w:rsidR="00BF5DC3">
        <w:rPr>
          <w:rFonts w:ascii="Times New Roman" w:hAnsi="Times New Roman"/>
          <w:color w:val="000000"/>
          <w:kern w:val="1"/>
          <w:lang w:eastAsia="ar-SA"/>
        </w:rPr>
        <w:fldChar w:fldCharType="begin" w:fldLock="1"/>
      </w:r>
      <w:r w:rsidR="00BF5DC3">
        <w:rPr>
          <w:rFonts w:ascii="Times New Roman" w:hAnsi="Times New Roman"/>
          <w:color w:val="000000"/>
          <w:kern w:val="1"/>
          <w:lang w:eastAsia="ar-SA"/>
        </w:rPr>
        <w:instrText>ADDIN CSL_CITATION {"citationItems":[{"id":"ITEM-1","itemData":{"DOI":"10.1007/s11192-017-2452-5","ISSN":"15882861","abstract":"Synthetic biology is an emerging domain that combines biological and engineering concepts and which has seen rapid growth in research, innovation, and policy interest in recent years. This paper contributes to efforts to delineate this emerging domain by presenting a newly constructed bibliometric definition of synthetic biology. Our approach is dimensioned from a core set of papers in synthetic biology, using procedures to obtain benchmark synthetic biology publication records, extract keywords from these benchmark records, and refine the keywords, supplemented with articles published in dedicated synthetic biology journals. We compare our search strategy with other recent bibliometric approaches to define synthetic biology, using a common source of publication data for the period from 2000 to 2015. The paper details the rapid growth and international spread of research in synthetic biology in recent years, demonstrates that diverse research disciplines are contributing to the multidisciplinary development of synthetic biology research, and visualizes this by profiling synthetic biology research on the map of science. We further show the roles of a relatively concentrated set of research sponsors in funding the growth and trajectories of synthetic biology. In addition to discussing these analyses, the paper notes limitations and suggests lines for further work.","author":[{"dropping-particle":"","family":"Shapira","given":"Philip","non-dropping-particle":"","parse-names":false,"suffix":""},{"dropping-particle":"","family":"Kwon","given":"Seokbeom","non-dropping-particle":"","parse-names":false,"suffix":""},{"dropping-particle":"","family":"Youtie","given":"Jan","non-dropping-particle":"","parse-names":false,"suffix":""}],"container-title":"Scientometrics","id":"ITEM-1","issue":"3","issued":{"date-parts":[["2017","9"]]},"page":"1439-1469","publisher":"Springer Netherlands","title":"Tracking the emergence of synthetic biology","type":"article-journal","volume":"112"},"uris":["http://www.mendeley.com/documents/?uuid=3fe75e04-7942-4959-91ba-2f9238d88373"]}],"mendeley":{"formattedCitation":"(Shapira et al., 2017)","plainTextFormattedCitation":"(Shapira et al., 2017)","previouslyFormattedCitation":"(Shapira et al., 2017)"},"properties":{"noteIndex":0},"schema":"https://github.com/citation-style-language/schema/raw/master/csl-citation.json"}</w:instrText>
      </w:r>
      <w:r w:rsidR="00BF5DC3">
        <w:rPr>
          <w:rFonts w:ascii="Times New Roman" w:hAnsi="Times New Roman"/>
          <w:color w:val="000000"/>
          <w:kern w:val="1"/>
          <w:lang w:eastAsia="ar-SA"/>
        </w:rPr>
        <w:fldChar w:fldCharType="separate"/>
      </w:r>
      <w:r w:rsidR="00BF5DC3" w:rsidRPr="00204229">
        <w:rPr>
          <w:rFonts w:ascii="Times New Roman" w:hAnsi="Times New Roman"/>
          <w:noProof/>
          <w:color w:val="000000"/>
          <w:kern w:val="1"/>
          <w:lang w:eastAsia="ar-SA"/>
        </w:rPr>
        <w:t>(Shapira et al., 2017)</w:t>
      </w:r>
      <w:r w:rsidR="00BF5DC3">
        <w:rPr>
          <w:rFonts w:ascii="Times New Roman" w:hAnsi="Times New Roman"/>
          <w:color w:val="000000"/>
          <w:kern w:val="1"/>
          <w:lang w:eastAsia="ar-SA"/>
        </w:rPr>
        <w:fldChar w:fldCharType="end"/>
      </w:r>
      <w:r w:rsidR="00D511F5" w:rsidRPr="00D511F5">
        <w:rPr>
          <w:rFonts w:ascii="Times New Roman" w:hAnsi="Times New Roman"/>
          <w:color w:val="000000"/>
          <w:kern w:val="1"/>
          <w:lang w:eastAsia="ar-SA"/>
        </w:rPr>
        <w:t>. Fuel</w:t>
      </w:r>
      <w:r w:rsidR="00114B10">
        <w:rPr>
          <w:rFonts w:ascii="Times New Roman" w:hAnsi="Times New Roman"/>
          <w:color w:val="000000"/>
          <w:kern w:val="1"/>
          <w:lang w:eastAsia="ar-SA"/>
        </w:rPr>
        <w:t>l</w:t>
      </w:r>
      <w:r w:rsidR="00D511F5" w:rsidRPr="00D511F5">
        <w:rPr>
          <w:rFonts w:ascii="Times New Roman" w:hAnsi="Times New Roman"/>
          <w:color w:val="000000"/>
          <w:kern w:val="1"/>
          <w:lang w:eastAsia="ar-SA"/>
        </w:rPr>
        <w:t xml:space="preserve">ed by the raising R&amp;D activities, the synthetic biology market has experienced significant growth in the past decade </w:t>
      </w:r>
      <w:r w:rsidR="00A559A0">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{"citationItems":[{"id":"ITEM-1","itemData":{"DOI":"10.1038/s41467-020-19092-2","ISSN":"20411723","PMID":"33057059","abstract":"Synthetic biology is among the most hyped research topics this century, and in 2010 it entered its teenage years. But rather than these being a problematic time, we've seen synthetic biology blossom and deliver many new technologies and landmark achievements. In 2020 synthetic biology turned 20 years old. It's first decade saw some impressive research papers, lots of visionary thinking and unprecedented excitement, but its second decade-from 2010 to 2020-was when the hype really needed to be replaced by some real achievements. So how has it done? The decade got off to a great start. Looking back at 2010, the biggest synthetic biology story of the year was the complete synthesis of a working bacterial genome by a team at the J. Craig Venter Institute (JCVI) 1. A landmark achievement that showed that DNA synthesis and DNA assembly could be scaled to megabase size, delivering on some of the biggest ambitions from the start of the century. However, just scaling DNA construction would not be enough to deliver the field's many other ambitions. 2010 also saw the publication of 'Five Hard Truths for Synthetic Biology' a critical article that examined how the lack of progress on engineering ambitions was slowing efforts to deliver on promises of reliability, standardisation and automated design 2. These were indeed problems for the field, and were highlighted in one of the first synthetic biology papers in Nature Communications which showed a robust genetic logic gate failing when moved into different E. coli strains 3. Could hard biological problems such as context, noise, burden and cross-reactivity really be solved to allow us to engineer cells like we wire-up electronic circuits? Well thanks to a lot of challenging technical biology and biological engineering work undertaken by many in the field, but especially MIT's Chris Voigt, the answer to this was yes. In 2016 Nielsen et al., published Cello, a remarkable end-to-end computer aided design system for logic circuit construction in E. coli 4. Of all the papers in the last decade, this is probably the most satisfying for hardcore synthetic biologists as it realises so much of the promised engineering of biology and does so through standardisation, characterisation and automated design. It's no coincidence that in the years preceding this paper Voigt's team worked tirelessly on delivering so many other foundational papers on E. coli synthetic biology, giving us algorithmic design of genetic parts, and profess…","author":[{"dropping-particle":"","family":"Meng","given":"Fankang","non-dropping-particle":"","parse-names":false,"suffix":""},{"dropping-particle":"","family":"Ellis","given":"Tom","non-dropping-particle":"","parse-names":false,"suffix":""}],"container-title":"Nature Communications","id":"ITEM-1","issue":"1","issued":{"date-parts":[["2020","12"]]},"page":"1-4","publisher":"Nature Research","title":"The second decade of synthetic biology: 2010–2020","type":"article","volume":"11"},"uris":["http://www.mendeley.com/documents/?uuid=cef45cc1-8828-4158-97cd-970b969786c4"]}],"mendeley":{"formattedCitation":"(F. Meng &amp; Ellis, 2020)","manualFormatting":"(Meng &amp; Ellis, 2020)","plainTextFormattedCitation":"(F. Meng &amp; Ellis, 2020)","previouslyFormattedCitation":"(F. Meng &amp; Ellis, 2020)"},"properties":{"noteIndex":0},"schema":"https://github.com/citation-style-language/schema/raw/master/csl-citation.json"}</w:instrText>
      </w:r>
      <w:r w:rsidR="00A559A0">
        <w:rPr>
          <w:rFonts w:ascii="Times New Roman" w:hAnsi="Times New Roman"/>
          <w:color w:val="000000"/>
          <w:kern w:val="1"/>
          <w:lang w:eastAsia="ar-SA"/>
        </w:rPr>
        <w:fldChar w:fldCharType="separate"/>
      </w:r>
      <w:r w:rsidR="004833D2" w:rsidRPr="004833D2">
        <w:rPr>
          <w:rFonts w:ascii="Times New Roman" w:hAnsi="Times New Roman"/>
          <w:noProof/>
          <w:color w:val="000000"/>
          <w:kern w:val="1"/>
          <w:lang w:eastAsia="ar-SA"/>
        </w:rPr>
        <w:t>(Meng &amp; Ellis, 2020)</w:t>
      </w:r>
      <w:r w:rsidR="00A559A0">
        <w:rPr>
          <w:rFonts w:ascii="Times New Roman" w:hAnsi="Times New Roman"/>
          <w:color w:val="000000"/>
          <w:kern w:val="1"/>
          <w:lang w:eastAsia="ar-SA"/>
        </w:rPr>
        <w:fldChar w:fldCharType="end"/>
      </w:r>
      <w:r w:rsidR="00D511F5" w:rsidRPr="00D511F5">
        <w:rPr>
          <w:rFonts w:ascii="Times New Roman" w:hAnsi="Times New Roman"/>
          <w:color w:val="000000"/>
          <w:kern w:val="1"/>
          <w:lang w:eastAsia="ar-SA"/>
        </w:rPr>
        <w:t>. The global synthetic biology market is estimated to be valued at USD 6.8 billion in 2020 and is projected to grow at a Compound Annual Growth Rate of 23.9% during the period of 2020 to 2025</w:t>
      </w:r>
      <w:r w:rsidR="005E3964">
        <w:rPr>
          <w:rStyle w:val="FootnoteReference"/>
          <w:rFonts w:ascii="Times New Roman" w:hAnsi="Times New Roman"/>
          <w:color w:val="000000"/>
          <w:kern w:val="1"/>
          <w:lang w:eastAsia="ar-SA"/>
        </w:rPr>
        <w:footnoteReference w:id="5"/>
      </w:r>
      <w:r w:rsidR="00D511F5" w:rsidRPr="00D511F5">
        <w:rPr>
          <w:rFonts w:ascii="Times New Roman" w:hAnsi="Times New Roman"/>
          <w:color w:val="000000"/>
          <w:kern w:val="1"/>
          <w:lang w:eastAsia="ar-SA"/>
        </w:rPr>
        <w:t>.</w:t>
      </w:r>
    </w:p>
    <w:p w14:paraId="0D233298" w14:textId="46DA9422" w:rsidR="5EEA41E0" w:rsidRDefault="00E6523B" w:rsidP="5EEA41E0">
      <w:pPr>
        <w:spacing w:before="120" w:after="120" w:line="240" w:lineRule="auto"/>
        <w:jc w:val="both"/>
        <w:rPr>
          <w:rFonts w:ascii="Times New Roman" w:hAnsi="Times New Roman"/>
          <w:color w:val="000000" w:themeColor="text1"/>
          <w:lang w:eastAsia="ar-SA"/>
        </w:rPr>
      </w:pPr>
      <w:r>
        <w:rPr>
          <w:rFonts w:ascii="Times New Roman" w:hAnsi="Times New Roman"/>
          <w:color w:val="000000"/>
          <w:kern w:val="1"/>
          <w:lang w:eastAsia="ar-SA"/>
        </w:rPr>
        <w:t>Similar</w:t>
      </w:r>
      <w:r w:rsidR="0000758A">
        <w:rPr>
          <w:rFonts w:ascii="Times New Roman" w:hAnsi="Times New Roman"/>
          <w:color w:val="000000"/>
          <w:kern w:val="1"/>
          <w:lang w:eastAsia="ar-SA"/>
        </w:rPr>
        <w:t xml:space="preserve"> to the divergent views on what is considered synthetic biology, there could also be different views on what could be considered a supporting technology or tool. T</w:t>
      </w:r>
      <w:r w:rsidR="004F575E">
        <w:rPr>
          <w:rFonts w:ascii="Times New Roman" w:hAnsi="Times New Roman"/>
          <w:color w:val="000000"/>
          <w:kern w:val="1"/>
          <w:lang w:eastAsia="ar-SA"/>
        </w:rPr>
        <w:t>his section provides information on some of the more widely used tools</w:t>
      </w:r>
      <w:r>
        <w:rPr>
          <w:rFonts w:ascii="Times New Roman" w:hAnsi="Times New Roman"/>
          <w:color w:val="000000"/>
          <w:kern w:val="1"/>
          <w:lang w:eastAsia="ar-SA"/>
        </w:rPr>
        <w:t xml:space="preserve"> but is not meant to be an exhaustive list.</w:t>
      </w:r>
    </w:p>
    <w:p w14:paraId="0615133E" w14:textId="4069BE68" w:rsidR="0073734A" w:rsidRDefault="00CF0549" w:rsidP="00E727AF">
      <w:pPr>
        <w:pStyle w:val="Heading3"/>
      </w:pPr>
      <w:bookmarkStart w:id="22" w:name="_Toc70112659"/>
      <w:bookmarkStart w:id="23" w:name="_Toc70685681"/>
      <w:r>
        <w:rPr>
          <w:lang w:val="en-GB"/>
        </w:rPr>
        <w:t>1</w:t>
      </w:r>
      <w:r w:rsidR="00FE4D58" w:rsidRPr="008805B8">
        <w:rPr>
          <w:lang w:val="en-GB"/>
        </w:rPr>
        <w:t xml:space="preserve">.1. </w:t>
      </w:r>
      <w:r w:rsidR="0073734A">
        <w:t>Chemical syn</w:t>
      </w:r>
      <w:r w:rsidR="00377F66" w:rsidRPr="008805B8">
        <w:rPr>
          <w:lang w:val="en-GB"/>
        </w:rPr>
        <w:t>t</w:t>
      </w:r>
      <w:r w:rsidR="0073734A">
        <w:t>hesis of DNA</w:t>
      </w:r>
      <w:r w:rsidR="001770F1">
        <w:rPr>
          <w:lang w:val="en-US"/>
        </w:rPr>
        <w:t>.</w:t>
      </w:r>
      <w:bookmarkEnd w:id="22"/>
      <w:bookmarkEnd w:id="23"/>
      <w:r w:rsidR="0073734A">
        <w:t xml:space="preserve"> </w:t>
      </w:r>
    </w:p>
    <w:p w14:paraId="53977A1F" w14:textId="4118EA35" w:rsidR="00FB4ED2" w:rsidRPr="008805B8" w:rsidRDefault="00A268DA" w:rsidP="00684B53">
      <w:pPr>
        <w:suppressAutoHyphens/>
        <w:autoSpaceDE w:val="0"/>
        <w:spacing w:before="120" w:after="120" w:line="240" w:lineRule="auto"/>
        <w:jc w:val="both"/>
        <w:rPr>
          <w:rFonts w:ascii="Times New Roman" w:hAnsi="Times New Roman"/>
          <w:color w:val="000000"/>
          <w:kern w:val="1"/>
          <w:lang w:eastAsia="ar-SA"/>
        </w:rPr>
      </w:pPr>
      <w:r w:rsidRPr="6EB28D98">
        <w:rPr>
          <w:rFonts w:ascii="Times New Roman" w:hAnsi="Times New Roman"/>
          <w:color w:val="000000"/>
          <w:kern w:val="1"/>
          <w:lang w:eastAsia="ar-SA"/>
        </w:rPr>
        <w:t>The ability to chemically synthesi</w:t>
      </w:r>
      <w:r w:rsidR="00AB61B4">
        <w:rPr>
          <w:rFonts w:ascii="Times New Roman" w:hAnsi="Times New Roman"/>
          <w:color w:val="000000"/>
          <w:kern w:val="1"/>
          <w:lang w:eastAsia="ar-SA"/>
        </w:rPr>
        <w:t>s</w:t>
      </w:r>
      <w:r w:rsidRPr="6EB28D98">
        <w:rPr>
          <w:rFonts w:ascii="Times New Roman" w:hAnsi="Times New Roman"/>
          <w:color w:val="000000"/>
          <w:kern w:val="1"/>
          <w:lang w:eastAsia="ar-SA"/>
        </w:rPr>
        <w:t>e DNA dates to the early 1970s</w:t>
      </w:r>
      <w:r w:rsidR="00B22ED8">
        <w:rPr>
          <w:rFonts w:ascii="Times New Roman" w:hAnsi="Times New Roman"/>
          <w:color w:val="000000"/>
          <w:kern w:val="1"/>
          <w:lang w:eastAsia="ar-SA"/>
        </w:rPr>
        <w:t xml:space="preserve"> when a 77 </w:t>
      </w:r>
      <w:r w:rsidR="00D9287D">
        <w:rPr>
          <w:rFonts w:ascii="Times New Roman" w:hAnsi="Times New Roman"/>
          <w:color w:val="000000"/>
          <w:kern w:val="1"/>
          <w:lang w:eastAsia="ar-SA"/>
        </w:rPr>
        <w:t>base</w:t>
      </w:r>
      <w:r w:rsidR="00B826D6">
        <w:rPr>
          <w:rFonts w:ascii="Times New Roman" w:hAnsi="Times New Roman"/>
          <w:color w:val="000000"/>
          <w:kern w:val="1"/>
          <w:lang w:eastAsia="ar-SA"/>
        </w:rPr>
        <w:t xml:space="preserve"> </w:t>
      </w:r>
      <w:r w:rsidR="00D9287D">
        <w:rPr>
          <w:rFonts w:ascii="Times New Roman" w:hAnsi="Times New Roman"/>
          <w:color w:val="000000"/>
          <w:kern w:val="1"/>
          <w:lang w:eastAsia="ar-SA"/>
        </w:rPr>
        <w:t>pair (</w:t>
      </w:r>
      <w:r w:rsidR="00B22ED8">
        <w:rPr>
          <w:rFonts w:ascii="Times New Roman" w:hAnsi="Times New Roman"/>
          <w:color w:val="000000"/>
          <w:kern w:val="1"/>
          <w:lang w:eastAsia="ar-SA"/>
        </w:rPr>
        <w:t>bp</w:t>
      </w:r>
      <w:r w:rsidR="00D9287D">
        <w:rPr>
          <w:rFonts w:ascii="Times New Roman" w:hAnsi="Times New Roman"/>
          <w:color w:val="000000"/>
          <w:kern w:val="1"/>
          <w:lang w:eastAsia="ar-SA"/>
        </w:rPr>
        <w:t>)</w:t>
      </w:r>
      <w:r w:rsidR="00B22ED8">
        <w:rPr>
          <w:rFonts w:ascii="Times New Roman" w:hAnsi="Times New Roman"/>
          <w:color w:val="000000"/>
          <w:kern w:val="1"/>
          <w:lang w:eastAsia="ar-SA"/>
        </w:rPr>
        <w:t xml:space="preserve"> </w:t>
      </w:r>
      <w:r w:rsidR="00B22ED8" w:rsidRPr="00B22ED8">
        <w:rPr>
          <w:rFonts w:ascii="Times New Roman" w:hAnsi="Times New Roman"/>
          <w:color w:val="000000"/>
          <w:kern w:val="1"/>
          <w:lang w:eastAsia="ar-SA"/>
        </w:rPr>
        <w:t xml:space="preserve">double-stranded DNA </w:t>
      </w:r>
      <w:r w:rsidR="00B22ED8">
        <w:rPr>
          <w:rFonts w:ascii="Times New Roman" w:hAnsi="Times New Roman"/>
          <w:color w:val="000000"/>
          <w:kern w:val="1"/>
          <w:lang w:eastAsia="ar-SA"/>
        </w:rPr>
        <w:t xml:space="preserve">was </w:t>
      </w:r>
      <w:r w:rsidR="00B22ED8" w:rsidRPr="00B22ED8">
        <w:rPr>
          <w:rFonts w:ascii="Times New Roman" w:hAnsi="Times New Roman"/>
          <w:color w:val="000000"/>
          <w:kern w:val="1"/>
          <w:lang w:eastAsia="ar-SA"/>
        </w:rPr>
        <w:t>successfully synthesi</w:t>
      </w:r>
      <w:r w:rsidR="00815AF1">
        <w:rPr>
          <w:rFonts w:ascii="Times New Roman" w:hAnsi="Times New Roman"/>
          <w:color w:val="000000"/>
          <w:kern w:val="1"/>
          <w:lang w:eastAsia="ar-SA"/>
        </w:rPr>
        <w:t>s</w:t>
      </w:r>
      <w:r w:rsidR="00B22ED8" w:rsidRPr="00B22ED8">
        <w:rPr>
          <w:rFonts w:ascii="Times New Roman" w:hAnsi="Times New Roman"/>
          <w:color w:val="000000"/>
          <w:kern w:val="1"/>
          <w:lang w:eastAsia="ar-SA"/>
        </w:rPr>
        <w:t xml:space="preserve">ed </w:t>
      </w:r>
      <w:r w:rsidR="00780E76">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{"citationItems":[{"id":"ITEM-1","itemData":{"DOI":"10.1002/anie.201708741","ISSN":"15213773","PMID":"29078032","abstract":"Rapid technological advances enabling the construction of designer gene networks, biosynthetic pathways, and even entire genomes are moving the fields of genetics and genomics from descriptive to synthetic applications. Following the synthesis of small viral genomes, advances in DNA assembly and rewriting have enabled the hierarchical synthesis of bacterial genomes, such as Mycoplasma genitalium, as well as recoding of the Escherichia coli genome by reducing the number of codons from 64 to 57. The field has advanced to the point of synthesizing an entire eukaryotic genome. The Synthetic Yeast Genome Project (Sc2.0) is underway and aims to rewrite all 16 Saccharomyces cerevisiae chromosomes by 2018; to date, 6.5 chromosomes have been designed and synthesized. Using bottom-up assembly and applying genome-wide alterations will improve our understanding of genome structure and function. This approach will not only provide a platform for systematic studies of eukaryotic chromosomes but will also generate diverse “streamlined” strains that are potentially suitable for medical and industrial applications. Herein, we review the current state of synthetic genome research and discuss potential applications of this emerging technology.","author":[{"dropping-particle":"","family":"Wang","given":"Lianrong","non-dropping-particle":"","parse-names":false,"suffix":""},{"dropping-particle":"","family":"Jiang","given":"Susu","non-dropping-particle":"","parse-names":false,"suffix":""},{"dropping-particle":"","family":"Chen","given":"Chao","non-dropping-particle":"","parse-names":false,"suffix":""},{"dropping-particle":"","family":"He","given":"Wei","non-dropping-particle":"","parse-names":false,"suffix":""},{"dropping-particle":"","family":"Wu","given":"Xiaolin","non-dropping-particle":"","parse-names":false,"suffix":""},{"dropping-particle":"","family":"Wang","given":"Fei","non-dropping-particle":"","parse-names":false,"suffix":""},{"dropping-particle":"","family":"Tong","given":"Tong","non-dropping-particle":"","parse-names":false,"suffix":""},{"dropping-particle":"","family":"Zou","given":"Xuan","non-dropping-particle":"","parse-names":false,"suffix":""},{"dropping-particle":"","family":"Li","given":"Zhiqiang","non-dropping-particle":"","parse-names":false,"suffix":""},{"dropping-particle":"","family":"Luo","given":"Jie","non-dropping-particle":"","parse-names":false,"suffix":""},{"dropping-particle":"","family":"Deng","given":"Zixin","non-dropping-particle":"","parse-names":false,"suffix":""},{"dropping-particle":"","family":"Chen","given":"Shi","non-dropping-particle":"","parse-names":false,"suffix":""}],"container-title":"Angewandte Chemie - International Edition","id":"ITEM-1","issue":"7","issued":{"date-parts":[["2018"]]},"page":"1748-1756","title":"Synthetic Genomics: From DNA Synthesis to Genome Design","type":"article-journal","volume":"57"},"uris":["http://www.mendeley.com/documents/?uuid=be176ebf-f033-4ea1-b17b-a860027b8f37"]}],"mendeley":{"formattedCitation":"(L. Wang et al., 2018)","manualFormatting":"(Wang et al., 2018)","plainTextFormattedCitation":"(L. Wang et al., 2018)","previouslyFormattedCitation":"(L. Wang et al., 2018)"},"properties":{"noteIndex":0},"schema":"https://github.com/citation-style-language/schema/raw/master/csl-citation.json"}</w:instrText>
      </w:r>
      <w:r w:rsidR="00780E76">
        <w:rPr>
          <w:rFonts w:ascii="Times New Roman" w:hAnsi="Times New Roman"/>
          <w:color w:val="000000"/>
          <w:kern w:val="1"/>
          <w:lang w:eastAsia="ar-SA"/>
        </w:rPr>
        <w:fldChar w:fldCharType="separate"/>
      </w:r>
      <w:r w:rsidR="00E64610" w:rsidRPr="00E64610">
        <w:rPr>
          <w:rFonts w:ascii="Times New Roman" w:hAnsi="Times New Roman"/>
          <w:noProof/>
          <w:color w:val="000000"/>
          <w:kern w:val="1"/>
          <w:lang w:eastAsia="ar-SA"/>
        </w:rPr>
        <w:t>(Wang et al., 2018)</w:t>
      </w:r>
      <w:r w:rsidR="00780E76">
        <w:rPr>
          <w:rFonts w:ascii="Times New Roman" w:hAnsi="Times New Roman"/>
          <w:color w:val="000000"/>
          <w:kern w:val="1"/>
          <w:lang w:eastAsia="ar-SA"/>
        </w:rPr>
        <w:fldChar w:fldCharType="end"/>
      </w:r>
      <w:r w:rsidRPr="6EB28D98">
        <w:rPr>
          <w:rFonts w:ascii="Times New Roman" w:hAnsi="Times New Roman"/>
          <w:color w:val="000000"/>
          <w:kern w:val="1"/>
          <w:lang w:eastAsia="ar-SA"/>
        </w:rPr>
        <w:t>. The introduction of automated DNA synthesis machines has saved time and effort on the part of researchers using synthesi</w:t>
      </w:r>
      <w:r w:rsidR="597810F4" w:rsidRPr="6EB28D98">
        <w:rPr>
          <w:rFonts w:ascii="Times New Roman" w:hAnsi="Times New Roman"/>
          <w:color w:val="000000"/>
          <w:kern w:val="1"/>
          <w:lang w:eastAsia="ar-SA"/>
        </w:rPr>
        <w:t>s</w:t>
      </w:r>
      <w:r w:rsidRPr="6EB28D98">
        <w:rPr>
          <w:rFonts w:ascii="Times New Roman" w:hAnsi="Times New Roman"/>
          <w:color w:val="000000"/>
          <w:kern w:val="1"/>
          <w:lang w:eastAsia="ar-SA"/>
        </w:rPr>
        <w:t xml:space="preserve">ed DNA for experiments </w:t>
      </w:r>
      <w:r w:rsidR="00E727AF">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{"citationItems":[{"id":"ITEM-1","itemData":{"author":[{"dropping-particle":"","family":"Garfinkel","given":"Michele S.","non-dropping-particle":"","parse-names":false,"suffix":""},{"dropping-particle":"","family":"Friedman","given":"Robert M.","non-dropping-particle":"","parse-names":false,"suffix":""}],"container-title":"Future of International Environmental Law","editor":[{"dropping-particle":"","family":"Leary","given":"David","non-dropping-particle":"","parse-names":false,"suffix":""},{"dropping-particle":"","family":"Pisupati","given":"Balakrishna","non-dropping-particle":"","parse-names":false,"suffix":""}],"id":"ITEM-1","issued":{"date-parts":[["2010"]]},"page":"269-291","publisher-place":"New York, USA","title":"Synthetic biology and synthetic genomics","type":"chapter"},"uris":["http://www.mendeley.com/documents/?uuid=35851196-12ed-41a7-bdbf-f84c168ffe5a"]},{"id":"ITEM-2","itemData":{"DOI":"10.1007/978-90-481-2678-1_6","author":[{"dropping-particle":"","family":"Schmidt","given":"Markus","non-dropping-particle":"","parse-names":false,"suffix":""}],"container-title":"Synthetic Biology","id":"ITEM-2","issued":{"date-parts":[["2009"]]},"page":"81-100","publisher":"Springer Netherlands","publisher-place":"Dordrecht","title":"Do I Understand What I Can Create?","type":"chapter"},"uris":["http://www.mendeley.com/documents/?uuid=847092bd-64c9-48cb-a9d0-0d40c00b2af7"]}],"mendeley":{"formattedCitation":"(Garfinkel &amp; Friedman, 2010; Schmidt, 2009)","plainTextFormattedCitation":"(Garfinkel &amp; Friedman, 2010; Schmidt, 2009)","previouslyFormattedCitation":"(Garfinkel &amp; Friedman, 2010; Schmidt, 2009)"},"properties":{"noteIndex":0},"schema":"https://github.com/citation-style-language/schema/raw/master/csl-citation.json"}</w:instrText>
      </w:r>
      <w:r w:rsidR="00E727AF">
        <w:rPr>
          <w:rFonts w:ascii="Times New Roman" w:hAnsi="Times New Roman"/>
          <w:color w:val="000000"/>
          <w:kern w:val="1"/>
          <w:lang w:eastAsia="ar-SA"/>
        </w:rPr>
        <w:fldChar w:fldCharType="separate"/>
      </w:r>
      <w:r w:rsidR="00E727AF" w:rsidRPr="002B2A4C">
        <w:rPr>
          <w:rFonts w:ascii="Times New Roman" w:hAnsi="Times New Roman"/>
          <w:noProof/>
          <w:color w:val="000000"/>
          <w:kern w:val="1"/>
          <w:lang w:eastAsia="ar-SA"/>
        </w:rPr>
        <w:t>(Garfinkel &amp; Friedman, 2010; Schmidt, 2009)</w:t>
      </w:r>
      <w:r w:rsidR="00E727AF">
        <w:rPr>
          <w:rFonts w:ascii="Times New Roman" w:hAnsi="Times New Roman"/>
          <w:color w:val="000000"/>
          <w:kern w:val="1"/>
          <w:lang w:eastAsia="ar-SA"/>
        </w:rPr>
        <w:fldChar w:fldCharType="end"/>
      </w:r>
      <w:r w:rsidRPr="6EB28D98">
        <w:rPr>
          <w:rFonts w:ascii="Times New Roman" w:hAnsi="Times New Roman"/>
          <w:color w:val="000000"/>
          <w:kern w:val="1"/>
          <w:lang w:eastAsia="ar-SA"/>
        </w:rPr>
        <w:t xml:space="preserve">. Using proprietary techniques, machines can also create DNA strands up to the size of a gene, </w:t>
      </w:r>
      <w:r w:rsidR="00546C77" w:rsidRPr="6EB28D98">
        <w:rPr>
          <w:rFonts w:ascii="Times New Roman" w:hAnsi="Times New Roman"/>
          <w:color w:val="000000"/>
          <w:kern w:val="1"/>
          <w:lang w:eastAsia="ar-SA"/>
        </w:rPr>
        <w:t>hundreds,</w:t>
      </w:r>
      <w:r w:rsidRPr="6EB28D98">
        <w:rPr>
          <w:rFonts w:ascii="Times New Roman" w:hAnsi="Times New Roman"/>
          <w:color w:val="000000"/>
          <w:kern w:val="1"/>
          <w:lang w:eastAsia="ar-SA"/>
        </w:rPr>
        <w:t xml:space="preserve"> or thousands of base pairs in length. Techniques for DNA assembly have also advanced, with laboratories having developed various </w:t>
      </w:r>
      <w:r w:rsidRPr="6EB28D98">
        <w:rPr>
          <w:rFonts w:ascii="Times New Roman" w:hAnsi="Times New Roman"/>
          <w:i/>
          <w:color w:val="000000"/>
          <w:kern w:val="1"/>
          <w:lang w:eastAsia="ar-SA"/>
        </w:rPr>
        <w:t xml:space="preserve">in vivo </w:t>
      </w:r>
      <w:r w:rsidRPr="6EB28D98">
        <w:rPr>
          <w:rFonts w:ascii="Times New Roman" w:hAnsi="Times New Roman"/>
          <w:color w:val="000000"/>
          <w:kern w:val="1"/>
          <w:lang w:eastAsia="ar-SA"/>
        </w:rPr>
        <w:t xml:space="preserve">assembly systems by which genome-length DNA strands can be assembled at once within a cell </w:t>
      </w:r>
      <w:r w:rsidR="00387B86">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{"citationItems":[{"id":"ITEM-1","itemData":{"DOI":"10.1101/cshperspect.a023812","ISSN":"19430264","PMID":"28049645","abstract":"The chemical synthesis of DNA oligonucleotides and their assembly into synthons, genes, circuits, and even entire genomes by gene synthesis methods has become an enabling technology for modern molecular biology and enables the design, build, test, learn, and repeat cycle underpinning innovations in synthetic biology. In this perspective, we briefly review the techniques and technologies that enable the synthesis of DNA oligonucleotides and their assembly into larger DNA constructs with a focus on recent advancements that have sought to reduce synthesis cost and increase sequence fidelity. The development of lower-cost methods to produce high-quality synthetic DNAwill allow for the exploration of larger biological hypotheses by lowering the cost of use and help to close the DNA read–write cost gap.","author":[{"dropping-particle":"","family":"Hughes","given":"Randall A.","non-dropping-particle":"","parse-names":false,"suffix":""},{"dropping-particle":"","family":"Ellington","given":"Andrew D.","non-dropping-particle":"","parse-names":false,"suffix":""}],"container-title":"Cold Spring Harbor Perspectives in Biology","id":"ITEM-1","issue":"1","issued":{"date-parts":[["2017","1"]]},"publisher":"Cold Spring Harbor Laboratory Press","title":"Synthetic DNA synthesis and assembly: Putting the synthetic in synthetic biology","type":"article-journal","volume":"9"},"uris":["http://www.mendeley.com/documents/?uuid=36400724-afac-47a3-899f-635721cef644"]}],"mendeley":{"formattedCitation":"(Hughes &amp; Ellington, 2017)","plainTextFormattedCitation":"(Hughes &amp; Ellington, 2017)","previouslyFormattedCitation":"(Hughes &amp; Ellington, 2017)"},"properties":{"noteIndex":0},"schema":"https://github.com/citation-style-language/schema/raw/master/csl-citation.json"}</w:instrText>
      </w:r>
      <w:r w:rsidR="00387B86">
        <w:rPr>
          <w:rFonts w:ascii="Times New Roman" w:hAnsi="Times New Roman"/>
          <w:color w:val="000000"/>
          <w:kern w:val="1"/>
          <w:lang w:eastAsia="ar-SA"/>
        </w:rPr>
        <w:fldChar w:fldCharType="separate"/>
      </w:r>
      <w:r w:rsidR="00387B86" w:rsidRPr="002B2A4C">
        <w:rPr>
          <w:rFonts w:ascii="Times New Roman" w:hAnsi="Times New Roman"/>
          <w:noProof/>
          <w:color w:val="000000"/>
          <w:kern w:val="1"/>
          <w:lang w:eastAsia="ar-SA"/>
        </w:rPr>
        <w:t>(Hughes &amp; Ellington, 2017)</w:t>
      </w:r>
      <w:r w:rsidR="00387B86">
        <w:rPr>
          <w:rFonts w:ascii="Times New Roman" w:hAnsi="Times New Roman"/>
          <w:color w:val="000000"/>
          <w:kern w:val="1"/>
          <w:lang w:eastAsia="ar-SA"/>
        </w:rPr>
        <w:fldChar w:fldCharType="end"/>
      </w:r>
      <w:r w:rsidRPr="6EB28D98">
        <w:rPr>
          <w:rFonts w:ascii="Times New Roman" w:hAnsi="Times New Roman"/>
          <w:color w:val="000000"/>
          <w:kern w:val="1"/>
          <w:lang w:eastAsia="ar-SA"/>
        </w:rPr>
        <w:t>.</w:t>
      </w:r>
      <w:r w:rsidR="00C100AC">
        <w:rPr>
          <w:rFonts w:ascii="Times New Roman" w:hAnsi="Times New Roman"/>
          <w:color w:val="000000"/>
          <w:kern w:val="1"/>
          <w:lang w:eastAsia="ar-SA"/>
        </w:rPr>
        <w:t xml:space="preserve"> </w:t>
      </w:r>
      <w:r w:rsidR="00942687" w:rsidRPr="668E75B1">
        <w:rPr>
          <w:rFonts w:ascii="Times New Roman" w:hAnsi="Times New Roman"/>
          <w:color w:val="000000" w:themeColor="text1"/>
          <w:lang w:eastAsia="ar-SA"/>
        </w:rPr>
        <w:t>I</w:t>
      </w:r>
      <w:r w:rsidRPr="6EB28D98">
        <w:rPr>
          <w:rFonts w:ascii="Times New Roman" w:hAnsi="Times New Roman"/>
          <w:color w:val="000000"/>
          <w:kern w:val="1"/>
          <w:lang w:eastAsia="ar-SA"/>
        </w:rPr>
        <w:t xml:space="preserve">t is widely anticipated that tools for DNA synthesis will continue to dramatically drop in price and expand the size and reliability of production </w:t>
      </w:r>
      <w:r w:rsidR="002A59A0">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{"citationItems":[{"id":"ITEM-1","itemData":{"DOI":"10.1038/nrmicro.2015.24","ISSN":"17401534","PMID":"26876034","abstract":"Bacterial genomes encode the biosynthetic potential to produce hundreds of thousands of complex molecules with diverse applications, from medicine to agriculture and materials. Accessing these natural products promises to reinvigorate drug discovery pipelines and provide novel routes to synthesize complex chemicals. The pathways leading to the production of these molecules often comprise dozens of genes spanning large areas of the genome and are controlled by complex regulatory networks with some of the most interesting molecules being produced by non-model organisms. In this Review, we discuss how advances in synthetic biology-including novel DNA construction technologies, the use of genetic parts for the precise control of expression and for synthetic regulatory circuits-and multiplexed genome engineering can be used to optimize the design and synthesis of pathways that produce natural products.","author":[{"dropping-particle":"","family":"Smanski","given":"Michael J.","non-dropping-particle":"","parse-names":false,"suffix":""},{"dropping-particle":"","family":"Zhou","given":"Hui","non-dropping-particle":"","parse-names":false,"suffix":""},{"dropping-particle":"","family":"Claesen","given":"Jan","non-dropping-particle":"","parse-names":false,"suffix":""},{"dropping-particle":"","family":"Shen","given":"Ben","non-dropping-particle":"","parse-names":false,"suffix":""},{"dropping-particle":"","family":"Fischbach","given":"Michael A.","non-dropping-particle":"","parse-names":false,"suffix":""},{"dropping-particle":"","family":"Voigt","given":"Christopher A.","non-dropping-particle":"","parse-names":false,"suffix":""}],"container-title":"Nature Reviews Microbiology","id":"ITEM-1","issue":"3","issued":{"date-parts":[["2016","2"]]},"page":"135-149","publisher":"Nature Publishing Group","title":"Synthetic biology to access and expand nature's chemical diversity","type":"article","volume":"14"},"uris":["http://www.mendeley.com/documents/?uuid=c0ae5327-0401-38e7-a461-d5d4eb937bc3","http://www.mendeley.com/documents/?uuid=5d0b22ba-9589-4a6e-9296-f58f337bb4e3","http://www.mendeley.com/documents/?uuid=a91ca8a7-3428-4f62-8cc3-5200da87db91"]}],"mendeley":{"formattedCitation":"(Smanski et al., 2016)","plainTextFormattedCitation":"(Smanski et al., 2016)","previouslyFormattedCitation":"(Smanski et al., 2016)"},"properties":{"noteIndex":0},"schema":"https://github.com/citation-style-language/schema/raw/master/csl-citation.json"}</w:instrText>
      </w:r>
      <w:r w:rsidR="002A59A0">
        <w:rPr>
          <w:rFonts w:ascii="Times New Roman" w:hAnsi="Times New Roman"/>
          <w:color w:val="000000"/>
          <w:kern w:val="1"/>
          <w:lang w:eastAsia="ar-SA"/>
        </w:rPr>
        <w:fldChar w:fldCharType="separate"/>
      </w:r>
      <w:r w:rsidR="002A59A0" w:rsidRPr="002A59A0">
        <w:rPr>
          <w:rFonts w:ascii="Times New Roman" w:hAnsi="Times New Roman"/>
          <w:noProof/>
          <w:color w:val="000000"/>
          <w:kern w:val="1"/>
          <w:lang w:eastAsia="ar-SA"/>
        </w:rPr>
        <w:t>(Smanski et al., 2016)</w:t>
      </w:r>
      <w:r w:rsidR="002A59A0">
        <w:rPr>
          <w:rFonts w:ascii="Times New Roman" w:hAnsi="Times New Roman"/>
          <w:color w:val="000000"/>
          <w:kern w:val="1"/>
          <w:lang w:eastAsia="ar-SA"/>
        </w:rPr>
        <w:fldChar w:fldCharType="end"/>
      </w:r>
      <w:r w:rsidR="004A14D6" w:rsidRPr="004A14D6">
        <w:rPr>
          <w:rFonts w:ascii="Times New Roman" w:hAnsi="Times New Roman"/>
          <w:color w:val="000000"/>
          <w:kern w:val="1"/>
          <w:lang w:eastAsia="ar-SA"/>
        </w:rPr>
        <w:t xml:space="preserve">. The drop in cost for gene synthesis can mostly be attributed to new methods for printing thousands of oligonucleotides in parallel on chips and teaming this with next generation sequencing </w:t>
      </w:r>
      <w:r w:rsidR="00837B1D">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{"citationItems":[{"id":"ITEM-1","itemData":{"DOI":"10.1038/s41467-020-19092-2","ISSN":"20411723","PMID":"33057059","abstract":"Synthetic biology is among the most hyped research topics this century, and in 2010 it entered its teenage years. But rather than these being a problematic time, we've seen synthetic biology blossom and deliver many new technologies and landmark achievements. In 2020 synthetic biology turned 20 years old. It's first decade saw some impressive research papers, lots of visionary thinking and unprecedented excitement, but its second decade-from 2010 to 2020-was when the hype really needed to be replaced by some real achievements. So how has it done? The decade got off to a great start. Looking back at 2010, the biggest synthetic biology story of the year was the complete synthesis of a working bacterial genome by a team at the J. Craig Venter Institute (JCVI) 1. A landmark achievement that showed that DNA synthesis and DNA assembly could be scaled to megabase size, delivering on some of the biggest ambitions from the start of the century. However, just scaling DNA construction would not be enough to deliver the field's many other ambitions. 2010 also saw the publication of 'Five Hard Truths for Synthetic Biology' a critical article that examined how the lack of progress on engineering ambitions was slowing efforts to deliver on promises of reliability, standardisation and automated design 2. These were indeed problems for the field, and were highlighted in one of the first synthetic biology papers in Nature Communications which showed a robust genetic logic gate failing when moved into different E. coli strains 3. Could hard biological problems such as context, noise, burden and cross-reactivity really be solved to allow us to engineer cells like we wire-up electronic circuits? Well thanks to a lot of challenging technical biology and biological engineering work undertaken by many in the field, but especially MIT's Chris Voigt, the answer to this was yes. In 2016 Nielsen et al., published Cello, a remarkable end-to-end computer aided design system for logic circuit construction in E. coli 4. Of all the papers in the last decade, this is probably the most satisfying for hardcore synthetic biologists as it realises so much of the promised engineering of biology and does so through standardisation, characterisation and automated design. It's no coincidence that in the years preceding this paper Voigt's team worked tirelessly on delivering so many other foundational papers on E. coli synthetic biology, giving us algorithmic design of genetic parts, and profess…","author":[{"dropping-particle":"","family":"Meng","given":"Fankang","non-dropping-particle":"","parse-names":false,"suffix":""},{"dropping-particle":"","family":"Ellis","given":"Tom","non-dropping-particle":"","parse-names":false,"suffix":""}],"container-title":"Nature Communications","id":"ITEM-1","issue":"1","issued":{"date-parts":[["2020","12"]]},"page":"1-4","publisher":"Nature Research","title":"The second decade of synthetic biology: 2010–2020","type":"article","volume":"11"},"uris":["http://www.mendeley.com/documents/?uuid=cef45cc1-8828-4158-97cd-970b969786c4"]}],"mendeley":{"formattedCitation":"(F. Meng &amp; Ellis, 2020)","manualFormatting":"(Meng &amp; Ellis, 2020)","plainTextFormattedCitation":"(F. Meng &amp; Ellis, 2020)","previouslyFormattedCitation":"(F. Meng &amp; Ellis, 2020)"},"properties":{"noteIndex":0},"schema":"https://github.com/citation-style-language/schema/raw/master/csl-citation.json"}</w:instrText>
      </w:r>
      <w:r w:rsidR="00837B1D">
        <w:rPr>
          <w:rFonts w:ascii="Times New Roman" w:hAnsi="Times New Roman"/>
          <w:color w:val="000000"/>
          <w:kern w:val="1"/>
          <w:lang w:eastAsia="ar-SA"/>
        </w:rPr>
        <w:fldChar w:fldCharType="separate"/>
      </w:r>
      <w:r w:rsidR="00837B1D" w:rsidRPr="00163E3C">
        <w:rPr>
          <w:rFonts w:ascii="Times New Roman" w:hAnsi="Times New Roman"/>
          <w:noProof/>
          <w:color w:val="000000"/>
          <w:kern w:val="1"/>
          <w:lang w:eastAsia="ar-SA"/>
        </w:rPr>
        <w:t>(Meng &amp; Ellis, 2020)</w:t>
      </w:r>
      <w:r w:rsidR="00837B1D">
        <w:rPr>
          <w:rFonts w:ascii="Times New Roman" w:hAnsi="Times New Roman"/>
          <w:color w:val="000000"/>
          <w:kern w:val="1"/>
          <w:lang w:eastAsia="ar-SA"/>
        </w:rPr>
        <w:fldChar w:fldCharType="end"/>
      </w:r>
      <w:r w:rsidR="004A14D6" w:rsidRPr="004A14D6">
        <w:rPr>
          <w:rFonts w:ascii="Times New Roman" w:hAnsi="Times New Roman"/>
          <w:color w:val="000000"/>
          <w:kern w:val="1"/>
          <w:lang w:eastAsia="ar-SA"/>
        </w:rPr>
        <w:t>.</w:t>
      </w:r>
      <w:r w:rsidR="13B2705C">
        <w:rPr>
          <w:rFonts w:ascii="Times New Roman" w:hAnsi="Times New Roman"/>
          <w:color w:val="000000"/>
          <w:kern w:val="1"/>
          <w:lang w:eastAsia="ar-SA"/>
        </w:rPr>
        <w:t xml:space="preserve"> </w:t>
      </w:r>
    </w:p>
    <w:p w14:paraId="280F2947" w14:textId="29EBEA34" w:rsidR="00684B53" w:rsidRPr="00A268DA" w:rsidRDefault="00684B53" w:rsidP="008805B8">
      <w:pPr>
        <w:tabs>
          <w:tab w:val="left" w:pos="540"/>
        </w:tabs>
        <w:suppressAutoHyphens/>
        <w:autoSpaceDE w:val="0"/>
        <w:spacing w:before="120" w:after="120" w:line="240" w:lineRule="auto"/>
        <w:jc w:val="both"/>
        <w:rPr>
          <w:rFonts w:ascii="Times New Roman" w:hAnsi="Times New Roman"/>
          <w:color w:val="000000"/>
          <w:kern w:val="1"/>
          <w:lang w:eastAsia="ar-SA"/>
        </w:rPr>
      </w:pPr>
      <w:r w:rsidRPr="65A51B64">
        <w:rPr>
          <w:rFonts w:ascii="Times New Roman" w:eastAsia="Times New Roman" w:hAnsi="Times New Roman"/>
        </w:rPr>
        <w:t xml:space="preserve">Synthetic biology researchers and innovators depend upon DNA manufactured outside the cell using a technique known as phosphoramidite synthesis. This process, developed in 1981, entails multiple rounds of the stepwise assembly of chemically modified nucleotides </w:t>
      </w:r>
      <w:r w:rsidR="00F13DE5">
        <w:rPr>
          <w:rFonts w:ascii="Times New Roman" w:eastAsia="Times New Roman" w:hAnsi="Times New Roman"/>
        </w:rPr>
        <w:fldChar w:fldCharType="begin" w:fldLock="1"/>
      </w:r>
      <w:r w:rsidR="008F6A90">
        <w:rPr>
          <w:rFonts w:ascii="Times New Roman" w:eastAsia="Times New Roman" w:hAnsi="Times New Roman"/>
        </w:rPr>
        <w:instrText>ADDIN CSL_CITATION {"citationItems":[{"id":"ITEM-1","itemData":{"DOI":"10.1002/anie.201708741","ISSN":"15213773","PMID":"29078032","abstract":"Rapid technological advances enabling the construction of designer gene networks, biosynthetic pathways, and even entire genomes are moving the fields of genetics and genomics from descriptive to synthetic applications. Following the synthesis of small viral genomes, advances in DNA assembly and rewriting have enabled the hierarchical synthesis of bacterial genomes, such as Mycoplasma genitalium, as well as recoding of the Escherichia coli genome by reducing the number of codons from 64 to 57. The field has advanced to the point of synthesizing an entire eukaryotic genome. The Synthetic Yeast Genome Project (Sc2.0) is underway and aims to rewrite all 16 Saccharomyces cerevisiae chromosomes by 2018; to date, 6.5 chromosomes have been designed and synthesized. Using bottom-up assembly and applying genome-wide alterations will improve our understanding of genome structure and function. This approach will not only provide a platform for systematic studies of eukaryotic chromosomes but will also generate diverse “streamlined” strains that are potentially suitable for medical and industrial applications. Herein, we review the current state of synthetic genome research and discuss potential applications of this emerging technology.","author":[{"dropping-particle":"","family":"Wang","given":"Lianrong","non-dropping-particle":"","parse-names":false,"suffix":""},{"dropping-particle":"","family":"Jiang","given":"Susu","non-dropping-particle":"","parse-names":false,"suffix":""},{"dropping-particle":"","family":"Chen","given":"Chao","non-dropping-particle":"","parse-names":false,"suffix":""},{"dropping-particle":"","family":"He","given":"Wei","non-dropping-particle":"","parse-names":false,"suffix":""},{"dropping-particle":"","family":"Wu","given":"Xiaolin","non-dropping-particle":"","parse-names":false,"suffix":""},{"dropping-particle":"","family":"Wang","given":"Fei","non-dropping-particle":"","parse-names":false,"suffix":""},{"dropping-particle":"","family":"Tong","given":"Tong","non-dropping-particle":"","parse-names":false,"suffix":""},{"dropping-particle":"","family":"Zou","given":"Xuan","non-dropping-particle":"","parse-names":false,"suffix":""},{"dropping-particle":"","family":"Li","given":"Zhiqiang","non-dropping-particle":"","parse-names":false,"suffix":""},{"dropping-particle":"","family":"Luo","given":"Jie","non-dropping-particle":"","parse-names":false,"suffix":""},{"dropping-particle":"","family":"Deng","given":"Zixin","non-dropping-particle":"","parse-names":false,"suffix":""},{"dropping-particle":"","family":"Chen","given":"Shi","non-dropping-particle":"","parse-names":false,"suffix":""}],"container-title":"Angewandte Chemie - International Edition","id":"ITEM-1","issue":"7","issued":{"date-parts":[["2018"]]},"page":"1748-1756","title":"Synthetic Genomics: From DNA Synthesis to Genome Design","type":"article-journal","volume":"57"},"uris":["http://www.mendeley.com/documents/?uuid=be176ebf-f033-4ea1-b17b-a860027b8f37"]}],"mendeley":{"formattedCitation":"(L. Wang et al., 2018)","manualFormatting":"(Wang et al., 2018)","plainTextFormattedCitation":"(L. Wang et al., 2018)","previouslyFormattedCitation":"(L. Wang et al., 2018)"},"properties":{"noteIndex":0},"schema":"https://github.com/citation-style-language/schema/raw/master/csl-citation.json"}</w:instrText>
      </w:r>
      <w:r w:rsidR="00F13DE5">
        <w:rPr>
          <w:rFonts w:ascii="Times New Roman" w:eastAsia="Times New Roman" w:hAnsi="Times New Roman"/>
        </w:rPr>
        <w:fldChar w:fldCharType="separate"/>
      </w:r>
      <w:r w:rsidR="00E64610" w:rsidRPr="00E64610">
        <w:rPr>
          <w:rFonts w:ascii="Times New Roman" w:eastAsia="Times New Roman" w:hAnsi="Times New Roman"/>
          <w:noProof/>
        </w:rPr>
        <w:t>(Wang et al., 2018)</w:t>
      </w:r>
      <w:r w:rsidR="00F13DE5">
        <w:rPr>
          <w:rFonts w:ascii="Times New Roman" w:eastAsia="Times New Roman" w:hAnsi="Times New Roman"/>
        </w:rPr>
        <w:fldChar w:fldCharType="end"/>
      </w:r>
      <w:r w:rsidR="006E4FBE">
        <w:rPr>
          <w:rFonts w:ascii="Times New Roman" w:eastAsia="Times New Roman" w:hAnsi="Times New Roman"/>
        </w:rPr>
        <w:t>.</w:t>
      </w:r>
      <w:r w:rsidRPr="65A51B64">
        <w:rPr>
          <w:rFonts w:ascii="Times New Roman" w:eastAsia="Times New Roman" w:hAnsi="Times New Roman"/>
        </w:rPr>
        <w:t xml:space="preserve"> In the early days, molecular biology relied primarily on short DNA sequences, such as </w:t>
      </w:r>
      <w:r w:rsidR="00C8435D">
        <w:rPr>
          <w:rFonts w:ascii="Times New Roman" w:eastAsia="Times New Roman" w:hAnsi="Times New Roman"/>
        </w:rPr>
        <w:t>polymerase chain reaction (</w:t>
      </w:r>
      <w:r w:rsidRPr="65A51B64">
        <w:rPr>
          <w:rFonts w:ascii="Times New Roman" w:eastAsia="Times New Roman" w:hAnsi="Times New Roman"/>
        </w:rPr>
        <w:t>PCR</w:t>
      </w:r>
      <w:r w:rsidR="00C8435D">
        <w:rPr>
          <w:rFonts w:ascii="Times New Roman" w:eastAsia="Times New Roman" w:hAnsi="Times New Roman"/>
        </w:rPr>
        <w:t>)</w:t>
      </w:r>
      <w:r w:rsidRPr="65A51B64">
        <w:rPr>
          <w:rFonts w:ascii="Times New Roman" w:eastAsia="Times New Roman" w:hAnsi="Times New Roman"/>
        </w:rPr>
        <w:t xml:space="preserve"> primers or probes for molecular detection applications. Now, researchers can use synthetic DNA to assemble entire genes and even synthetic genomes</w:t>
      </w:r>
      <w:r w:rsidR="002B7743">
        <w:rPr>
          <w:rFonts w:ascii="Times New Roman" w:eastAsia="Times New Roman" w:hAnsi="Times New Roman"/>
        </w:rPr>
        <w:t xml:space="preserve"> </w:t>
      </w:r>
      <w:r w:rsidR="00D163E7">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{"citationItems":[{"id":"ITEM-1","itemData":{"DOI":"10.1101/cshperspect.a023812","ISSN":"19430264","PMID":"28049645","abstract":"The chemical synthesis of DNA oligonucleotides and their assembly into synthons, genes, circuits, and even entire genomes by gene synthesis methods has become an enabling technology for modern molecular biology and enables the design, build, test, learn, and repeat cycle underpinning innovations in synthetic biology. In this perspective, we briefly review the techniques and technologies that enable the synthesis of DNA oligonucleotides and their assembly into larger DNA constructs with a focus on recent advancements that have sought to reduce synthesis cost and increase sequence fidelity. The development of lower-cost methods to produce high-quality synthetic DNAwill allow for the exploration of larger biological hypotheses by lowering the cost of use and help to close the DNA read–write cost gap.","author":[{"dropping-particle":"","family":"Hughes","given":"Randall A.","non-dropping-particle":"","parse-names":false,"suffix":""},{"dropping-particle":"","family":"Ellington","given":"Andrew D.","non-dropping-particle":"","parse-names":false,"suffix":""}],"container-title":"Cold Spring Harbor Perspectives in Biology","id":"ITEM-1","issue":"1","issued":{"date-parts":[["2017","1"]]},"publisher":"Cold Spring Harbor Laboratory Press","title":"Synthetic DNA synthesis and assembly: Putting the synthetic in synthetic biology","type":"article-journal","volume":"9"},"uris":["http://www.mendeley.com/documents/?uuid=36400724-afac-47a3-899f-635721cef644"]}],"mendeley":{"formattedCitation":"(Hughes &amp; Ellington, 2017)","plainTextFormattedCitation":"(Hughes &amp; Ellington, 2017)","previouslyFormattedCitation":"(Hughes &amp; Ellington, 2017)"},"properties":{"noteIndex":0},"schema":"https://github.com/citation-style-language/schema/raw/master/csl-citation.json"}</w:instrText>
      </w:r>
      <w:r w:rsidR="00D163E7">
        <w:rPr>
          <w:rFonts w:ascii="Times New Roman" w:hAnsi="Times New Roman"/>
          <w:color w:val="000000"/>
          <w:kern w:val="1"/>
          <w:lang w:eastAsia="ar-SA"/>
        </w:rPr>
        <w:fldChar w:fldCharType="separate"/>
      </w:r>
      <w:r w:rsidR="00D163E7" w:rsidRPr="00D163E7">
        <w:rPr>
          <w:rFonts w:ascii="Times New Roman" w:hAnsi="Times New Roman"/>
          <w:noProof/>
          <w:color w:val="000000"/>
          <w:kern w:val="1"/>
          <w:lang w:eastAsia="ar-SA"/>
        </w:rPr>
        <w:t>(Hughes &amp; Ellington, 2017)</w:t>
      </w:r>
      <w:r w:rsidR="00D163E7">
        <w:rPr>
          <w:rFonts w:ascii="Times New Roman" w:hAnsi="Times New Roman"/>
          <w:color w:val="000000"/>
          <w:kern w:val="1"/>
          <w:lang w:eastAsia="ar-SA"/>
        </w:rPr>
        <w:fldChar w:fldCharType="end"/>
      </w:r>
      <w:r w:rsidRPr="65A51B64">
        <w:rPr>
          <w:rFonts w:ascii="Times New Roman" w:eastAsia="Times New Roman" w:hAnsi="Times New Roman"/>
        </w:rPr>
        <w:t>. However</w:t>
      </w:r>
      <w:r w:rsidRPr="6161FBC4">
        <w:rPr>
          <w:rFonts w:ascii="Times New Roman" w:eastAsia="Times New Roman" w:hAnsi="Times New Roman"/>
        </w:rPr>
        <w:t>,</w:t>
      </w:r>
      <w:r w:rsidRPr="65A51B64">
        <w:rPr>
          <w:rFonts w:ascii="Times New Roman" w:eastAsia="Times New Roman" w:hAnsi="Times New Roman"/>
        </w:rPr>
        <w:t xml:space="preserve"> such lengthy sequences are not possible by relying on the phosphoramidite process, where the efficiency of direct synthesis steadily drops with the DNA molecule length. </w:t>
      </w:r>
      <w:r w:rsidR="00A41D7E">
        <w:rPr>
          <w:rFonts w:ascii="Times New Roman" w:eastAsia="Times New Roman" w:hAnsi="Times New Roman"/>
        </w:rPr>
        <w:t xml:space="preserve">Oligonucleotides </w:t>
      </w:r>
      <w:r w:rsidR="009C14F1">
        <w:rPr>
          <w:rFonts w:ascii="Times New Roman" w:eastAsia="Times New Roman" w:hAnsi="Times New Roman"/>
        </w:rPr>
        <w:t xml:space="preserve">60-100 </w:t>
      </w:r>
      <w:r w:rsidR="00253477">
        <w:rPr>
          <w:rFonts w:ascii="Times New Roman" w:eastAsia="Times New Roman" w:hAnsi="Times New Roman"/>
        </w:rPr>
        <w:t>bp</w:t>
      </w:r>
      <w:r w:rsidR="009C14F1">
        <w:rPr>
          <w:rFonts w:ascii="Times New Roman" w:eastAsia="Times New Roman" w:hAnsi="Times New Roman"/>
        </w:rPr>
        <w:t xml:space="preserve"> </w:t>
      </w:r>
      <w:r w:rsidR="007B3512">
        <w:rPr>
          <w:rFonts w:ascii="Times New Roman" w:eastAsia="Times New Roman" w:hAnsi="Times New Roman"/>
        </w:rPr>
        <w:t>in length can be easily synthetised</w:t>
      </w:r>
      <w:r w:rsidR="00253477">
        <w:rPr>
          <w:rFonts w:ascii="Times New Roman" w:eastAsia="Times New Roman" w:hAnsi="Times New Roman"/>
        </w:rPr>
        <w:t xml:space="preserve">, but for fragments ranging 200-2000 bp, shorter oligonucleotides need to be assembled. For larger DNA assembly, cloning and enzymatic methods are usually employed </w:t>
      </w:r>
      <w:r w:rsidR="00776FC2">
        <w:rPr>
          <w:rFonts w:ascii="Times New Roman" w:eastAsia="Times New Roman" w:hAnsi="Times New Roman"/>
        </w:rPr>
        <w:fldChar w:fldCharType="begin" w:fldLock="1"/>
      </w:r>
      <w:r w:rsidR="008F6A90">
        <w:rPr>
          <w:rFonts w:ascii="Times New Roman" w:eastAsia="Times New Roman" w:hAnsi="Times New Roman"/>
        </w:rPr>
        <w:instrText>ADDIN CSL_CITATION {"citationItems":[{"id":"ITEM-1","itemData":{"DOI":"10.1038/nmeth.1318","ISSN":"1548-7091","author":[{"dropping-particle":"","family":"Gibson","given":"Daniel G","non-dropping-particle":"","parse-names":false,"suffix":""},{"dropping-particle":"","family":"Young","given":"Lei","non-dropping-particle":"","parse-names":false,"suffix":""},{"dropping-particle":"","family":"Chuang","given":"Ray-Yuan","non-dropping-particle":"","parse-names":false,"suffix":""},{"dropping-particle":"","family":"Venter","given":"J Craig","non-dropping-particle":"","parse-names":false,"suffix":""},{"dropping-particle":"","family":"Hutchison","given":"Clyde A","non-dropping-particle":"","parse-names":false,"suffix":""},{"dropping-particle":"","family":"Smith","given":"Hamilton O","non-dropping-particle":"","parse-names":false,"suffix":""}],"container-title":"Nature Methods","id":"ITEM-1","issue":"5","issued":{"date-parts":[["2009","5","12"]]},"page":"343-345","title":"Enzymatic assembly of DNA molecules up to several hundred kilobases","type":"article-journal","volume":"6"},"uris":["http://www.mendeley.com/documents/?uuid=c3490644-f59e-42c5-906a-9f7714bd1ee1"]}],"mendeley":{"formattedCitation":"(Daniel G Gibson et al., 2009)","manualFormatting":"(Gibson et al., 2009)","plainTextFormattedCitation":"(Daniel G Gibson et al., 2009)","previouslyFormattedCitation":"(Daniel G Gibson et al., 2009)"},"properties":{"noteIndex":0},"schema":"https://github.com/citation-style-language/schema/raw/master/csl-citation.json"}</w:instrText>
      </w:r>
      <w:r w:rsidR="00776FC2">
        <w:rPr>
          <w:rFonts w:ascii="Times New Roman" w:eastAsia="Times New Roman" w:hAnsi="Times New Roman"/>
        </w:rPr>
        <w:fldChar w:fldCharType="separate"/>
      </w:r>
      <w:r w:rsidR="00E56C1D" w:rsidRPr="00E56C1D">
        <w:rPr>
          <w:rFonts w:ascii="Times New Roman" w:eastAsia="Times New Roman" w:hAnsi="Times New Roman"/>
          <w:noProof/>
        </w:rPr>
        <w:t>(Gibson et al., 2009)</w:t>
      </w:r>
      <w:r w:rsidR="00776FC2">
        <w:rPr>
          <w:rFonts w:ascii="Times New Roman" w:eastAsia="Times New Roman" w:hAnsi="Times New Roman"/>
        </w:rPr>
        <w:fldChar w:fldCharType="end"/>
      </w:r>
      <w:r w:rsidR="00253477">
        <w:rPr>
          <w:rFonts w:ascii="Times New Roman" w:eastAsia="Times New Roman" w:hAnsi="Times New Roman"/>
        </w:rPr>
        <w:t>.</w:t>
      </w:r>
      <w:r w:rsidRPr="65A51B64">
        <w:rPr>
          <w:rFonts w:ascii="Times New Roman" w:eastAsia="Times New Roman" w:hAnsi="Times New Roman"/>
        </w:rPr>
        <w:t xml:space="preserve"> Several startup</w:t>
      </w:r>
      <w:r w:rsidR="00D77687">
        <w:rPr>
          <w:rFonts w:ascii="Times New Roman" w:eastAsia="Times New Roman" w:hAnsi="Times New Roman"/>
        </w:rPr>
        <w:t xml:space="preserve"> companie</w:t>
      </w:r>
      <w:r w:rsidRPr="65A51B64">
        <w:rPr>
          <w:rFonts w:ascii="Times New Roman" w:eastAsia="Times New Roman" w:hAnsi="Times New Roman"/>
        </w:rPr>
        <w:t xml:space="preserve">s are now pursuing the potential of enzymatic synthesis as a faster, even within a single </w:t>
      </w:r>
      <w:r w:rsidRPr="65A51B64">
        <w:rPr>
          <w:rFonts w:ascii="Times New Roman" w:eastAsia="Times New Roman" w:hAnsi="Times New Roman"/>
        </w:rPr>
        <w:lastRenderedPageBreak/>
        <w:t xml:space="preserve">day, and more efficient route to synthesise longer DNA sequences than is possible with traditional chemical means. Moreover, it is expected that in two or three years, the first </w:t>
      </w:r>
      <w:r w:rsidRPr="008805B8">
        <w:rPr>
          <w:rFonts w:ascii="Times New Roman" w:eastAsia="Times New Roman" w:hAnsi="Times New Roman"/>
        </w:rPr>
        <w:t>benchtop DNA printer</w:t>
      </w:r>
      <w:r w:rsidRPr="65A51B64">
        <w:rPr>
          <w:rFonts w:ascii="Times New Roman" w:eastAsia="Times New Roman" w:hAnsi="Times New Roman"/>
        </w:rPr>
        <w:t xml:space="preserve"> will be commercially available</w:t>
      </w:r>
      <w:r w:rsidR="004F4F32">
        <w:rPr>
          <w:rFonts w:ascii="Times New Roman" w:eastAsia="Times New Roman" w:hAnsi="Times New Roman"/>
        </w:rPr>
        <w:t xml:space="preserve"> </w:t>
      </w:r>
      <w:r w:rsidR="00DC7EE9">
        <w:rPr>
          <w:rFonts w:ascii="Times New Roman" w:eastAsia="Times New Roman" w:hAnsi="Times New Roman"/>
        </w:rPr>
        <w:fldChar w:fldCharType="begin" w:fldLock="1"/>
      </w:r>
      <w:r w:rsidR="008F6A90">
        <w:rPr>
          <w:rFonts w:ascii="Times New Roman" w:eastAsia="Times New Roman" w:hAnsi="Times New Roman"/>
        </w:rPr>
        <w:instrText>ADDIN CSL_CITATION {"citationItems":[{"id":"ITEM-1","itemData":{"DOI":"10.1038/s41587-020-0708-8","ISSN":"15461696","PMID":"33020637","author":[{"dropping-particle":"","family":"Michael Eisenstein","given":"","non-dropping-particle":"","parse-names":false,"suffix":""}],"container-title":"Nature biotechnology","id":"ITEM-1","issue":"10","issued":{"date-parts":[["2020","10"]]},"page":"1114","publisher":"NLM (Medline)","title":"Enzymatic DNA synthesis enters new phase","type":"article","volume":"38"},"uris":["http://www.mendeley.com/documents/?uuid=e6d16f2d-50d4-347f-a47f-f53b3ae27a2a","http://www.mendeley.com/documents/?uuid=6c0a720c-113f-43a0-80e4-2d76ce058bf4","http://www.mendeley.com/documents/?uuid=ade20c91-099e-4908-a4b7-df76ef2b4c16"]}],"mendeley":{"formattedCitation":"(Michael Eisenstein, 2020)","manualFormatting":"(Eisenstein, 2020)","plainTextFormattedCitation":"(Michael Eisenstein, 2020)","previouslyFormattedCitation":"(Michael Eisenstein, 2020)"},"properties":{"noteIndex":0},"schema":"https://github.com/citation-style-language/schema/raw/master/csl-citation.json"}</w:instrText>
      </w:r>
      <w:r w:rsidR="00DC7EE9">
        <w:rPr>
          <w:rFonts w:ascii="Times New Roman" w:eastAsia="Times New Roman" w:hAnsi="Times New Roman"/>
        </w:rPr>
        <w:fldChar w:fldCharType="separate"/>
      </w:r>
      <w:r w:rsidR="00DC7EE9" w:rsidRPr="00DC7EE9">
        <w:rPr>
          <w:rFonts w:ascii="Times New Roman" w:eastAsia="Times New Roman" w:hAnsi="Times New Roman"/>
          <w:noProof/>
        </w:rPr>
        <w:t>(Eisenstein, 2020)</w:t>
      </w:r>
      <w:r w:rsidR="00DC7EE9">
        <w:rPr>
          <w:rFonts w:ascii="Times New Roman" w:eastAsia="Times New Roman" w:hAnsi="Times New Roman"/>
        </w:rPr>
        <w:fldChar w:fldCharType="end"/>
      </w:r>
      <w:r w:rsidR="00B6723B">
        <w:rPr>
          <w:rFonts w:ascii="Times New Roman" w:eastAsia="Times New Roman" w:hAnsi="Times New Roman"/>
        </w:rPr>
        <w:t>.</w:t>
      </w:r>
    </w:p>
    <w:p w14:paraId="230CC27E" w14:textId="0A2DA59D" w:rsidR="00676827" w:rsidRPr="001770F1" w:rsidRDefault="00CF0549" w:rsidP="008805B8">
      <w:pPr>
        <w:pStyle w:val="Heading3"/>
        <w:rPr>
          <w:lang w:val="en-US"/>
        </w:rPr>
      </w:pPr>
      <w:bookmarkStart w:id="24" w:name="_Toc70112660"/>
      <w:bookmarkStart w:id="25" w:name="_Toc70685682"/>
      <w:r>
        <w:rPr>
          <w:lang w:val="en-US"/>
        </w:rPr>
        <w:t>1</w:t>
      </w:r>
      <w:r w:rsidR="00FE4D58" w:rsidRPr="008805B8">
        <w:rPr>
          <w:lang w:val="en-US"/>
        </w:rPr>
        <w:t xml:space="preserve">.2. </w:t>
      </w:r>
      <w:r w:rsidR="00676827">
        <w:t>Directed evolution</w:t>
      </w:r>
      <w:r w:rsidR="001770F1">
        <w:rPr>
          <w:lang w:val="en-US"/>
        </w:rPr>
        <w:t>.</w:t>
      </w:r>
      <w:bookmarkEnd w:id="24"/>
      <w:bookmarkEnd w:id="25"/>
    </w:p>
    <w:p w14:paraId="5D30A949" w14:textId="7264E4C2" w:rsidR="00A268DA" w:rsidRPr="00A268DA" w:rsidRDefault="00A268DA" w:rsidP="76F7D8A3">
      <w:pPr>
        <w:spacing w:before="120" w:after="120" w:line="240" w:lineRule="auto"/>
        <w:jc w:val="both"/>
        <w:rPr>
          <w:rFonts w:ascii="Times New Roman" w:eastAsia="Times New Roman" w:hAnsi="Times New Roman"/>
          <w:lang w:eastAsia="ar-SA"/>
        </w:rPr>
      </w:pPr>
      <w:r w:rsidRPr="487919B7">
        <w:rPr>
          <w:rFonts w:ascii="Times New Roman" w:eastAsia="Times New Roman" w:hAnsi="Times New Roman"/>
          <w:kern w:val="1"/>
          <w:lang w:eastAsia="ar-SA"/>
        </w:rPr>
        <w:t>Directed evolution is a supporting biotechnology method often employed for synthetic biology</w:t>
      </w:r>
      <w:r w:rsidR="369E0D16" w:rsidRPr="324E335E">
        <w:rPr>
          <w:rFonts w:ascii="Times New Roman" w:eastAsia="Times New Roman" w:hAnsi="Times New Roman"/>
          <w:lang w:eastAsia="ar-SA"/>
        </w:rPr>
        <w:t>, consisting of iterative rounds of mutagenesis and screening or selection on the genome scale</w:t>
      </w:r>
      <w:r w:rsidRPr="487919B7">
        <w:rPr>
          <w:rFonts w:ascii="Times New Roman" w:eastAsia="Times New Roman" w:hAnsi="Times New Roman"/>
          <w:kern w:val="1"/>
          <w:lang w:eastAsia="ar-SA"/>
        </w:rPr>
        <w:t xml:space="preserve"> </w:t>
      </w:r>
      <w:r w:rsidR="00E627F8">
        <w:rPr>
          <w:rFonts w:ascii="Times New Roman" w:eastAsia="Times New Roman" w:hAnsi="Times New Roman"/>
          <w:kern w:val="1"/>
          <w:lang w:eastAsia="ar-SA"/>
        </w:rPr>
        <w:fldChar w:fldCharType="begin" w:fldLock="1"/>
      </w:r>
      <w:r w:rsidR="00FA6D05">
        <w:rPr>
          <w:rFonts w:ascii="Times New Roman" w:eastAsia="Times New Roman" w:hAnsi="Times New Roman"/>
          <w:kern w:val="1"/>
          <w:lang w:eastAsia="ar-SA"/>
        </w:rPr>
        <w:instrText>ADDIN CSL_CITATION {"citationItems":[{"id":"ITEM-1","itemData":{"DOI":"10.1007/s11693-015-9184-8","ISSN":"18725333","abstract":"The genome engineering toolkit has expanded significantly in recent years, allowing us to study the functions of genes in cellular networks and assist in over-production of proteins, drugs, chemicals and biofuels. Multiplex automated genome engineering (MAGE) has been recently developed and gained more scientific interest towards strain engineering. MAGE is a simple, rapid and efficient tool for manipulating genes simultaneously in multiple loci, assigning genetic codes and integrating non-natural amino acids. MAGE can be further expanded towards the engineering of fast, robust and over-producing strains for chemicals, drugs and biofuels at industrial scales.","author":[{"dropping-particle":"","family":"Singh","given":"Vijai","non-dropping-particle":"","parse-names":false,"suffix":""},{"dropping-particle":"","family":"Braddick","given":"Darren","non-dropping-particle":"","parse-names":false,"suffix":""}],"container-title":"Systems and Synthetic Biology","id":"ITEM-1","issue":"Suppl 1","issued":{"date-parts":[["2015","12"]]},"page":"1-9","publisher":"Springer Netherlands","title":"Recent advances and versatility of MAGE towards industrial applications","type":"article","volume":"9"},"uris":["http://www.mendeley.com/documents/?uuid=13190bd6-dadd-4891-8c76-a0044c3369f1"]}],"mendeley":{"formattedCitation":"(V. Singh &amp; Braddick, 2015)","plainTextFormattedCitation":"(V. Singh &amp; Braddick, 2015)","previouslyFormattedCitation":"(V. Singh &amp; Braddick, 2015)"},"properties":{"noteIndex":0},"schema":"https://github.com/citation-style-language/schema/raw/master/csl-citation.json"}</w:instrText>
      </w:r>
      <w:r w:rsidR="00E627F8">
        <w:rPr>
          <w:rFonts w:ascii="Times New Roman" w:eastAsia="Times New Roman" w:hAnsi="Times New Roman"/>
          <w:kern w:val="1"/>
          <w:lang w:eastAsia="ar-SA"/>
        </w:rPr>
        <w:fldChar w:fldCharType="separate"/>
      </w:r>
      <w:r w:rsidR="001655FB" w:rsidRPr="001655FB">
        <w:rPr>
          <w:rFonts w:ascii="Times New Roman" w:eastAsia="Times New Roman" w:hAnsi="Times New Roman"/>
          <w:noProof/>
          <w:kern w:val="1"/>
          <w:lang w:eastAsia="ar-SA"/>
        </w:rPr>
        <w:t>(V. Singh &amp; Braddick, 2015)</w:t>
      </w:r>
      <w:r w:rsidR="00E627F8">
        <w:rPr>
          <w:rFonts w:ascii="Times New Roman" w:eastAsia="Times New Roman" w:hAnsi="Times New Roman"/>
          <w:kern w:val="1"/>
          <w:lang w:eastAsia="ar-SA"/>
        </w:rPr>
        <w:fldChar w:fldCharType="end"/>
      </w:r>
      <w:r w:rsidRPr="487919B7">
        <w:rPr>
          <w:rFonts w:ascii="Times New Roman" w:eastAsia="Times New Roman" w:hAnsi="Times New Roman"/>
          <w:kern w:val="1"/>
          <w:lang w:eastAsia="ar-SA"/>
        </w:rPr>
        <w:t>. Researchers create a range of variations in a biological entity and apply selective pressure to them with the goal of identifying those with desired properties. This can be done</w:t>
      </w:r>
      <w:r w:rsidRPr="324E335E">
        <w:rPr>
          <w:rFonts w:ascii="Times New Roman" w:eastAsia="Times New Roman" w:hAnsi="Times New Roman"/>
          <w:lang w:eastAsia="ar-SA"/>
        </w:rPr>
        <w:t xml:space="preserve"> </w:t>
      </w:r>
      <w:r w:rsidR="4916FBFF" w:rsidRPr="324E335E">
        <w:rPr>
          <w:rFonts w:ascii="Times New Roman" w:eastAsia="Times New Roman" w:hAnsi="Times New Roman"/>
          <w:lang w:eastAsia="ar-SA"/>
        </w:rPr>
        <w:t xml:space="preserve">in two </w:t>
      </w:r>
      <w:r w:rsidR="00000766">
        <w:rPr>
          <w:rFonts w:ascii="Times New Roman" w:eastAsia="Times New Roman" w:hAnsi="Times New Roman"/>
          <w:lang w:eastAsia="ar-SA"/>
        </w:rPr>
        <w:t>ways</w:t>
      </w:r>
      <w:r w:rsidR="4916FBFF" w:rsidRPr="324E335E">
        <w:rPr>
          <w:rFonts w:ascii="Times New Roman" w:eastAsia="Times New Roman" w:hAnsi="Times New Roman"/>
          <w:lang w:eastAsia="ar-SA"/>
        </w:rPr>
        <w:t>: random and targeted</w:t>
      </w:r>
      <w:r w:rsidR="1FA2EE50" w:rsidRPr="487919B7">
        <w:rPr>
          <w:rFonts w:ascii="Times New Roman" w:eastAsia="Times New Roman" w:hAnsi="Times New Roman"/>
          <w:kern w:val="1"/>
          <w:lang w:eastAsia="ar-SA"/>
        </w:rPr>
        <w:t xml:space="preserve"> (</w:t>
      </w:r>
      <w:r w:rsidR="003B4C32">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{"citationItems":[{"id":"ITEM-1","itemData":{"DOI":"10.1016/j.copbio.2020.06.012","ISSN":"18790429","PMID":"32721868","abstract":"Microorganisms have been increasingly explored as microbial cell factories for production of fuels, chemicals, drugs, and materials. Among the various metabolic engineering strategies, directed genome evolution has emerged as one of the most powerful tools to unlock the full biosynthetic potential of microorganisms. Here we summarize the directed genome evolution strategies that have been developed in recent years, including adaptive laboratory evolution and various targeted genome-scale engineering strategies, and discuss their applications in basic and applied biological research.","author":[{"dropping-particle":"","family":"Cao","given":"Mingfeng","non-dropping-particle":"","parse-names":false,"suffix":""},{"dropping-particle":"","family":"Tran","given":"Vinh G.","non-dropping-particle":"","parse-names":false,"suffix":""},{"dropping-particle":"","family":"Zhao","given":"Huimin","non-dropping-particle":"","parse-names":false,"suffix":""}],"container-title":"Current Opinion in Biotechnology","id":"ITEM-1","issued":{"date-parts":[["2020","12"]]},"page":"95-104","publisher":"Elsevier Ltd","title":"Unlocking nature's biosynthetic potential by directed genome evolution","type":"article","volume":"66"},"uris":["http://www.mendeley.com/documents/?uuid=292958da-b7dd-432b-98a3-15ad5d551522"]}],"mendeley":{"formattedCitation":"(Cao et al., 2020)","manualFormatting":"Cao et al., 2020","plainTextFormattedCitation":"(Cao et al., 2020)","previouslyFormattedCitation":"(Cao et al., 2020)"},"properties":{"noteIndex":0},"schema":"https://github.com/citation-style-language/schema/raw/master/csl-citation.json"}</w:instrText>
      </w:r>
      <w:r w:rsidR="003B4C32">
        <w:rPr>
          <w:rFonts w:ascii="Times New Roman" w:eastAsia="Times New Roman" w:hAnsi="Times New Roman"/>
          <w:lang w:eastAsia="ar-SA"/>
        </w:rPr>
        <w:fldChar w:fldCharType="separate"/>
      </w:r>
      <w:r w:rsidR="003B4C32" w:rsidRPr="003B4C32">
        <w:rPr>
          <w:rFonts w:ascii="Times New Roman" w:eastAsia="Times New Roman" w:hAnsi="Times New Roman"/>
          <w:noProof/>
          <w:lang w:eastAsia="ar-SA"/>
        </w:rPr>
        <w:t>Cao et al., 2020</w:t>
      </w:r>
      <w:r w:rsidR="003B4C32">
        <w:rPr>
          <w:rFonts w:ascii="Times New Roman" w:eastAsia="Times New Roman" w:hAnsi="Times New Roman"/>
          <w:lang w:eastAsia="ar-SA"/>
        </w:rPr>
        <w:fldChar w:fldCharType="end"/>
      </w:r>
      <w:r w:rsidR="1FA2EE50" w:rsidRPr="487919B7">
        <w:rPr>
          <w:rFonts w:ascii="Times New Roman" w:eastAsia="Times New Roman" w:hAnsi="Times New Roman"/>
          <w:kern w:val="1"/>
          <w:lang w:eastAsia="ar-SA"/>
        </w:rPr>
        <w:t>).</w:t>
      </w:r>
      <w:r w:rsidRPr="487919B7">
        <w:rPr>
          <w:rFonts w:ascii="Times New Roman" w:eastAsia="Times New Roman" w:hAnsi="Times New Roman"/>
          <w:kern w:val="1"/>
          <w:lang w:eastAsia="ar-SA"/>
        </w:rPr>
        <w:t xml:space="preserve"> Various tools can be used to create the variations. </w:t>
      </w:r>
      <w:r w:rsidR="1131B64D" w:rsidRPr="324E335E">
        <w:rPr>
          <w:rFonts w:ascii="Times New Roman" w:eastAsia="Times New Roman" w:hAnsi="Times New Roman"/>
          <w:lang w:eastAsia="ar-SA"/>
        </w:rPr>
        <w:t xml:space="preserve">For random direct genome evolution, the </w:t>
      </w:r>
      <w:r w:rsidR="326375D6" w:rsidRPr="324E335E">
        <w:rPr>
          <w:rFonts w:ascii="Times New Roman" w:eastAsia="Times New Roman" w:hAnsi="Times New Roman"/>
          <w:lang w:eastAsia="ar-SA"/>
        </w:rPr>
        <w:t xml:space="preserve">tools </w:t>
      </w:r>
      <w:r w:rsidR="00E15825" w:rsidRPr="324E335E">
        <w:rPr>
          <w:rFonts w:ascii="Times New Roman" w:eastAsia="Times New Roman" w:hAnsi="Times New Roman"/>
          <w:lang w:eastAsia="ar-SA"/>
        </w:rPr>
        <w:t xml:space="preserve">used </w:t>
      </w:r>
      <w:r w:rsidR="326375D6" w:rsidRPr="324E335E">
        <w:rPr>
          <w:rFonts w:ascii="Times New Roman" w:eastAsia="Times New Roman" w:hAnsi="Times New Roman"/>
          <w:lang w:eastAsia="ar-SA"/>
        </w:rPr>
        <w:t xml:space="preserve">are </w:t>
      </w:r>
      <w:r w:rsidR="79A6066A" w:rsidRPr="324E335E">
        <w:rPr>
          <w:rFonts w:ascii="Times New Roman" w:eastAsia="Times New Roman" w:hAnsi="Times New Roman"/>
          <w:lang w:eastAsia="ar-SA"/>
        </w:rPr>
        <w:t xml:space="preserve">mainly </w:t>
      </w:r>
      <w:r w:rsidR="326375D6" w:rsidRPr="324E335E">
        <w:rPr>
          <w:rFonts w:ascii="Times New Roman" w:eastAsia="Times New Roman" w:hAnsi="Times New Roman"/>
          <w:lang w:eastAsia="ar-SA"/>
        </w:rPr>
        <w:t>related to growth</w:t>
      </w:r>
      <w:r w:rsidR="1B040E34" w:rsidRPr="324E335E">
        <w:rPr>
          <w:rFonts w:ascii="Times New Roman" w:eastAsia="Times New Roman" w:hAnsi="Times New Roman"/>
          <w:lang w:eastAsia="ar-SA"/>
        </w:rPr>
        <w:t xml:space="preserve"> conditions and</w:t>
      </w:r>
      <w:r w:rsidR="326375D6" w:rsidRPr="324E335E">
        <w:rPr>
          <w:rFonts w:ascii="Times New Roman" w:eastAsia="Times New Roman" w:hAnsi="Times New Roman"/>
          <w:lang w:eastAsia="ar-SA"/>
        </w:rPr>
        <w:t xml:space="preserve"> tolerance</w:t>
      </w:r>
      <w:r w:rsidR="2AD0BCA5" w:rsidRPr="324E335E">
        <w:rPr>
          <w:rFonts w:ascii="Times New Roman" w:eastAsia="Times New Roman" w:hAnsi="Times New Roman"/>
          <w:lang w:eastAsia="ar-SA"/>
        </w:rPr>
        <w:t xml:space="preserve"> to chemicals. For targeted directed genome evolution, the current tools </w:t>
      </w:r>
      <w:r w:rsidR="00E15825" w:rsidRPr="324E335E">
        <w:rPr>
          <w:rFonts w:ascii="Times New Roman" w:eastAsia="Times New Roman" w:hAnsi="Times New Roman"/>
          <w:lang w:eastAsia="ar-SA"/>
        </w:rPr>
        <w:t xml:space="preserve">used </w:t>
      </w:r>
      <w:r w:rsidR="2AD0BCA5" w:rsidRPr="324E335E">
        <w:rPr>
          <w:rFonts w:ascii="Times New Roman" w:eastAsia="Times New Roman" w:hAnsi="Times New Roman"/>
          <w:lang w:eastAsia="ar-SA"/>
        </w:rPr>
        <w:t>are based on oligo</w:t>
      </w:r>
      <w:r w:rsidR="00740B05">
        <w:rPr>
          <w:rFonts w:ascii="Times New Roman" w:eastAsia="Times New Roman" w:hAnsi="Times New Roman"/>
          <w:lang w:eastAsia="ar-SA"/>
        </w:rPr>
        <w:t>nucleotide</w:t>
      </w:r>
      <w:r w:rsidR="2AD0BCA5" w:rsidRPr="324E335E">
        <w:rPr>
          <w:rFonts w:ascii="Times New Roman" w:eastAsia="Times New Roman" w:hAnsi="Times New Roman"/>
          <w:lang w:eastAsia="ar-SA"/>
        </w:rPr>
        <w:t>s, RNA,</w:t>
      </w:r>
      <w:r w:rsidR="654173A9" w:rsidRPr="324E335E">
        <w:rPr>
          <w:rFonts w:ascii="Times New Roman" w:eastAsia="Times New Roman" w:hAnsi="Times New Roman"/>
          <w:lang w:eastAsia="ar-SA"/>
        </w:rPr>
        <w:t xml:space="preserve"> </w:t>
      </w:r>
      <w:r w:rsidR="005B3330" w:rsidRPr="167E2C68">
        <w:rPr>
          <w:rFonts w:ascii="Times New Roman" w:eastAsia="Times New Roman" w:hAnsi="Times New Roman"/>
          <w:kern w:val="1"/>
          <w:lang w:eastAsia="ar-SA"/>
        </w:rPr>
        <w:t xml:space="preserve">clustered regularly interspaced short palindromic repeats </w:t>
      </w:r>
      <w:r w:rsidR="005B3330">
        <w:rPr>
          <w:rFonts w:ascii="Times New Roman" w:eastAsia="Times New Roman" w:hAnsi="Times New Roman"/>
          <w:kern w:val="1"/>
          <w:lang w:eastAsia="ar-SA"/>
        </w:rPr>
        <w:t>(</w:t>
      </w:r>
      <w:r w:rsidR="654173A9" w:rsidRPr="324E335E">
        <w:rPr>
          <w:rFonts w:ascii="Times New Roman" w:eastAsia="Times New Roman" w:hAnsi="Times New Roman"/>
          <w:lang w:eastAsia="ar-SA"/>
        </w:rPr>
        <w:t>CRISPR</w:t>
      </w:r>
      <w:r w:rsidR="005B3330">
        <w:rPr>
          <w:rFonts w:ascii="Times New Roman" w:eastAsia="Times New Roman" w:hAnsi="Times New Roman"/>
          <w:lang w:eastAsia="ar-SA"/>
        </w:rPr>
        <w:t>)</w:t>
      </w:r>
      <w:r w:rsidR="654173A9" w:rsidRPr="324E335E">
        <w:rPr>
          <w:rFonts w:ascii="Times New Roman" w:eastAsia="Times New Roman" w:hAnsi="Times New Roman"/>
          <w:lang w:eastAsia="ar-SA"/>
        </w:rPr>
        <w:t xml:space="preserve"> and recombinases </w:t>
      </w:r>
      <w:r w:rsidR="00B11E82" w:rsidRPr="00121D97">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{"citationItems":[{"id":"ITEM-1","itemData":{"DOI":"10.1016/j.copbio.2020.06.012","ISSN":"18790429","PMID":"32721868","abstract":"Microorganisms have been increasingly explored as microbial cell factories for production of fuels, chemicals, drugs, and materials. Among the various metabolic engineering strategies, directed genome evolution has emerged as one of the most powerful tools to unlock the full biosynthetic potential of microorganisms. Here we summarize the directed genome evolution strategies that have been developed in recent years, including adaptive laboratory evolution and various targeted genome-scale engineering strategies, and discuss their applications in basic and applied biological research.","author":[{"dropping-particle":"","family":"Cao","given":"Mingfeng","non-dropping-particle":"","parse-names":false,"suffix":""},{"dropping-particle":"","family":"Tran","given":"Vinh G.","non-dropping-particle":"","parse-names":false,"suffix":""},{"dropping-particle":"","family":"Zhao","given":"Huimin","non-dropping-particle":"","parse-names":false,"suffix":""}],"container-title":"Current Opinion in Biotechnology","id":"ITEM-1","issued":{"date-parts":[["2020","12"]]},"page":"95-104","publisher":"Elsevier Ltd","title":"Unlocking nature's biosynthetic potential by directed genome evolution","type":"article","volume":"66"},"uris":["http://www.mendeley.com/documents/?uuid=292958da-b7dd-432b-98a3-15ad5d551522"]}],"mendeley":{"formattedCitation":"(Cao et al., 2020)","plainTextFormattedCitation":"(Cao et al., 2020)","previouslyFormattedCitation":"(Cao et al., 2020)"},"properties":{"noteIndex":0},"schema":"https://github.com/citation-style-language/schema/raw/master/csl-citation.json"}</w:instrText>
      </w:r>
      <w:r w:rsidR="00B11E82" w:rsidRPr="00121D97">
        <w:rPr>
          <w:rFonts w:ascii="Times New Roman" w:eastAsia="Times New Roman" w:hAnsi="Times New Roman"/>
          <w:lang w:eastAsia="ar-SA"/>
        </w:rPr>
        <w:fldChar w:fldCharType="separate"/>
      </w:r>
      <w:r w:rsidR="00B11E82" w:rsidRPr="00B11E82">
        <w:rPr>
          <w:rFonts w:ascii="Times New Roman" w:eastAsia="Times New Roman" w:hAnsi="Times New Roman"/>
          <w:noProof/>
          <w:lang w:eastAsia="ar-SA"/>
        </w:rPr>
        <w:t>(Cao et al., 2020)</w:t>
      </w:r>
      <w:r w:rsidR="00B11E82" w:rsidRPr="00121D97">
        <w:rPr>
          <w:rFonts w:ascii="Times New Roman" w:eastAsia="Times New Roman" w:hAnsi="Times New Roman"/>
          <w:lang w:eastAsia="ar-SA"/>
        </w:rPr>
        <w:fldChar w:fldCharType="end"/>
      </w:r>
      <w:r w:rsidRPr="487919B7">
        <w:rPr>
          <w:rFonts w:ascii="Times New Roman" w:eastAsia="Times New Roman" w:hAnsi="Times New Roman"/>
          <w:kern w:val="1"/>
          <w:lang w:eastAsia="ar-SA"/>
        </w:rPr>
        <w:t xml:space="preserve">. </w:t>
      </w:r>
      <w:r w:rsidR="42BAE50F" w:rsidRPr="324E335E">
        <w:rPr>
          <w:rFonts w:ascii="Times New Roman" w:eastAsia="Times New Roman" w:hAnsi="Times New Roman"/>
          <w:lang w:eastAsia="ar-SA"/>
        </w:rPr>
        <w:t xml:space="preserve">A </w:t>
      </w:r>
      <w:r w:rsidR="3981E94A" w:rsidRPr="324E335E">
        <w:rPr>
          <w:rFonts w:ascii="Times New Roman" w:eastAsia="Times New Roman" w:hAnsi="Times New Roman"/>
          <w:lang w:eastAsia="ar-SA"/>
        </w:rPr>
        <w:t>technology called multiplex automated genome engineering</w:t>
      </w:r>
      <w:r w:rsidR="4ADB96C4" w:rsidRPr="324E335E">
        <w:rPr>
          <w:rFonts w:ascii="Times New Roman" w:eastAsia="Times New Roman" w:hAnsi="Times New Roman"/>
          <w:lang w:eastAsia="ar-SA"/>
        </w:rPr>
        <w:t xml:space="preserve">, developed by </w:t>
      </w:r>
      <w:r w:rsidR="00E64610">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{"citationItems":[{"id":"ITEM-1","itemData":{"DOI":"10.1038/nature08187","ISSN":"0028-0836","author":[{"dropping-particle":"","family":"Wang","given":"Harris H.","non-dropping-particle":"","parse-names":false,"suffix":""},{"dropping-particle":"","family":"Isaacs","given":"Farren J.","non-dropping-particle":"","parse-names":false,"suffix":""},{"dropping-particle":"","family":"Carr","given":"Peter A.","non-dropping-particle":"","parse-names":false,"suffix":""},{"dropping-particle":"","family":"Sun","given":"Zachary Z.","non-dropping-particle":"","parse-names":false,"suffix":""},{"dropping-particle":"","family":"Xu","given":"George","non-dropping-particle":"","parse-names":false,"suffix":""},{"dropping-particle":"","family":"Forest","given":"Craig R.","non-dropping-particle":"","parse-names":false,"suffix":""},{"dropping-particle":"","family":"Church","given":"George M.","non-dropping-particle":"","parse-names":false,"suffix":""}],"container-title":"Nature","id":"ITEM-1","issue":"7257","issued":{"date-parts":[["2009","8","13"]]},"page":"894-898","title":"Programming cells by multiplex genome engineering and accelerated evolution","type":"article-journal","volume":"460"},"uris":["http://www.mendeley.com/documents/?uuid=6cf4627e-9051-433b-aef3-4364177a2c67"]}],"mendeley":{"formattedCitation":"(H. H. Wang et al., 2009)","manualFormatting":"(Wang et al., 2009)","plainTextFormattedCitation":"(H. H. Wang et al., 2009)","previouslyFormattedCitation":"(H. H. Wang et al., 2009)"},"properties":{"noteIndex":0},"schema":"https://github.com/citation-style-language/schema/raw/master/csl-citation.json"}</w:instrText>
      </w:r>
      <w:r w:rsidR="00E64610">
        <w:rPr>
          <w:rFonts w:ascii="Times New Roman" w:eastAsia="Times New Roman" w:hAnsi="Times New Roman"/>
          <w:lang w:eastAsia="ar-SA"/>
        </w:rPr>
        <w:fldChar w:fldCharType="separate"/>
      </w:r>
      <w:r w:rsidR="00E64610" w:rsidRPr="00E64610">
        <w:rPr>
          <w:rFonts w:ascii="Times New Roman" w:eastAsia="Times New Roman" w:hAnsi="Times New Roman"/>
          <w:noProof/>
          <w:lang w:eastAsia="ar-SA"/>
        </w:rPr>
        <w:t>(Wang et al., 2009)</w:t>
      </w:r>
      <w:r w:rsidR="00E64610">
        <w:rPr>
          <w:rFonts w:ascii="Times New Roman" w:eastAsia="Times New Roman" w:hAnsi="Times New Roman"/>
          <w:lang w:eastAsia="ar-SA"/>
        </w:rPr>
        <w:fldChar w:fldCharType="end"/>
      </w:r>
      <w:r w:rsidR="4ADB96C4" w:rsidRPr="324E335E">
        <w:rPr>
          <w:rFonts w:ascii="Times New Roman" w:eastAsia="Times New Roman" w:hAnsi="Times New Roman"/>
          <w:lang w:eastAsia="ar-SA"/>
        </w:rPr>
        <w:t xml:space="preserve">, </w:t>
      </w:r>
      <w:r w:rsidR="1FD423CF" w:rsidRPr="324E335E">
        <w:rPr>
          <w:rFonts w:ascii="Times New Roman" w:eastAsia="Times New Roman" w:hAnsi="Times New Roman"/>
          <w:lang w:eastAsia="ar-SA"/>
        </w:rPr>
        <w:t>constituted</w:t>
      </w:r>
      <w:r w:rsidR="4ADB96C4" w:rsidRPr="324E335E">
        <w:rPr>
          <w:rFonts w:ascii="Times New Roman" w:eastAsia="Times New Roman" w:hAnsi="Times New Roman"/>
          <w:lang w:eastAsia="ar-SA"/>
        </w:rPr>
        <w:t xml:space="preserve"> </w:t>
      </w:r>
      <w:r w:rsidR="7214412B" w:rsidRPr="324E335E">
        <w:rPr>
          <w:rFonts w:ascii="Times New Roman" w:eastAsia="Times New Roman" w:hAnsi="Times New Roman"/>
          <w:lang w:eastAsia="ar-SA"/>
        </w:rPr>
        <w:t>an efficient tool for genome modifications simultaneously in multiple loci</w:t>
      </w:r>
      <w:r w:rsidR="342F3FB6" w:rsidRPr="324E335E">
        <w:rPr>
          <w:rFonts w:ascii="Times New Roman" w:eastAsia="Times New Roman" w:hAnsi="Times New Roman"/>
          <w:lang w:eastAsia="ar-SA"/>
        </w:rPr>
        <w:t>.</w:t>
      </w:r>
      <w:r w:rsidR="1799AB62" w:rsidRPr="324E335E">
        <w:rPr>
          <w:rFonts w:ascii="Times New Roman" w:eastAsia="Times New Roman" w:hAnsi="Times New Roman"/>
          <w:lang w:eastAsia="ar-SA"/>
        </w:rPr>
        <w:t xml:space="preserve"> </w:t>
      </w:r>
      <w:r w:rsidR="27C2352B" w:rsidRPr="324E335E">
        <w:rPr>
          <w:rFonts w:ascii="Times New Roman" w:eastAsia="Times New Roman" w:hAnsi="Times New Roman"/>
          <w:lang w:eastAsia="ar-SA"/>
        </w:rPr>
        <w:t>It was</w:t>
      </w:r>
      <w:r w:rsidR="1799AB62" w:rsidRPr="324E335E">
        <w:rPr>
          <w:rFonts w:ascii="Times New Roman" w:eastAsia="Times New Roman" w:hAnsi="Times New Roman"/>
          <w:lang w:eastAsia="ar-SA"/>
        </w:rPr>
        <w:t xml:space="preserve"> implemented in a range of applications</w:t>
      </w:r>
      <w:r w:rsidR="00B59497" w:rsidRPr="324E335E">
        <w:rPr>
          <w:rFonts w:ascii="Times New Roman" w:eastAsia="Times New Roman" w:hAnsi="Times New Roman"/>
          <w:lang w:eastAsia="ar-SA"/>
        </w:rPr>
        <w:t xml:space="preserve"> in bacteria</w:t>
      </w:r>
      <w:r w:rsidR="00E158D9">
        <w:rPr>
          <w:rFonts w:ascii="Times New Roman" w:eastAsia="Times New Roman" w:hAnsi="Times New Roman"/>
          <w:lang w:eastAsia="ar-SA"/>
        </w:rPr>
        <w:t>,</w:t>
      </w:r>
      <w:r w:rsidR="1799AB62" w:rsidRPr="324E335E">
        <w:rPr>
          <w:rFonts w:ascii="Times New Roman" w:eastAsia="Times New Roman" w:hAnsi="Times New Roman"/>
          <w:lang w:eastAsia="ar-SA"/>
        </w:rPr>
        <w:t xml:space="preserve"> such as changing the genetic code, </w:t>
      </w:r>
      <w:r w:rsidR="756DCDD6" w:rsidRPr="324E335E">
        <w:rPr>
          <w:rFonts w:ascii="Times New Roman" w:eastAsia="Times New Roman" w:hAnsi="Times New Roman"/>
          <w:lang w:eastAsia="ar-SA"/>
        </w:rPr>
        <w:t>or</w:t>
      </w:r>
      <w:r w:rsidR="09D26098" w:rsidRPr="324E335E">
        <w:rPr>
          <w:rFonts w:ascii="Times New Roman" w:eastAsia="Times New Roman" w:hAnsi="Times New Roman"/>
          <w:lang w:eastAsia="ar-SA"/>
        </w:rPr>
        <w:t xml:space="preserve"> the </w:t>
      </w:r>
      <w:r w:rsidR="406C228C" w:rsidRPr="324E335E">
        <w:rPr>
          <w:rFonts w:ascii="Times New Roman" w:eastAsia="Times New Roman" w:hAnsi="Times New Roman"/>
          <w:lang w:eastAsia="ar-SA"/>
        </w:rPr>
        <w:t>i</w:t>
      </w:r>
      <w:r w:rsidR="1799AB62" w:rsidRPr="324E335E">
        <w:rPr>
          <w:rFonts w:ascii="Times New Roman" w:eastAsia="Times New Roman" w:hAnsi="Times New Roman"/>
          <w:lang w:eastAsia="ar-SA"/>
        </w:rPr>
        <w:t>ncorporation of non-standard amino acids</w:t>
      </w:r>
      <w:r w:rsidR="2853A9DE" w:rsidRPr="324E335E">
        <w:rPr>
          <w:rFonts w:ascii="Times New Roman" w:eastAsia="Times New Roman" w:hAnsi="Times New Roman"/>
          <w:lang w:eastAsia="ar-SA"/>
        </w:rPr>
        <w:t xml:space="preserve"> </w:t>
      </w:r>
      <w:r w:rsidR="00E627F8">
        <w:rPr>
          <w:rFonts w:ascii="Times New Roman" w:eastAsia="Times New Roman" w:hAnsi="Times New Roman"/>
          <w:kern w:val="1"/>
          <w:lang w:eastAsia="ar-SA"/>
        </w:rPr>
        <w:fldChar w:fldCharType="begin" w:fldLock="1"/>
      </w:r>
      <w:r w:rsidR="00427FB1">
        <w:rPr>
          <w:rFonts w:ascii="Times New Roman" w:eastAsia="Times New Roman" w:hAnsi="Times New Roman"/>
          <w:kern w:val="1"/>
          <w:lang w:eastAsia="ar-SA"/>
        </w:rPr>
        <w:instrText>ADDIN CSL_CITATION {"citationItems":[{"id":"ITEM-1","itemData":{"DOI":"10.1007/s11693-015-9184-8","ISSN":"18725333","abstract":"The genome engineering toolkit has expanded significantly in recent years, allowing us to study the functions of genes in cellular networks and assist in over-production of proteins, drugs, chemicals and biofuels. Multiplex automated genome engineering (MAGE) has been recently developed and gained more scientific interest towards strain engineering. MAGE is a simple, rapid and efficient tool for manipulating genes simultaneously in multiple loci, assigning genetic codes and integrating non-natural amino acids. MAGE can be further expanded towards the engineering of fast, robust and over-producing strains for chemicals, drugs and biofuels at industrial scales.","author":[{"dropping-particle":"","family":"Singh","given":"Vijai","non-dropping-particle":"","parse-names":false,"suffix":""},{"dropping-particle":"","family":"Braddick","given":"Darren","non-dropping-particle":"","parse-names":false,"suffix":""}],"container-title":"Systems and Synthetic Biology","id":"ITEM-1","issue":"Suppl 1","issued":{"date-parts":[["2015","12"]]},"page":"1-9","publisher":"Springer Netherlands","title":"Recent advances and versatility of MAGE towards industrial applications","type":"article","volume":"9"},"uris":["http://www.mendeley.com/documents/?uuid=13190bd6-dadd-4891-8c76-a0044c3369f1"]}],"mendeley":{"formattedCitation":"(V. Singh &amp; Braddick, 2015)","manualFormatting":"(Singh &amp; Braddick, 2015)","plainTextFormattedCitation":"(V. Singh &amp; Braddick, 2015)","previouslyFormattedCitation":"(V. Singh &amp; Braddick, 2015)"},"properties":{"noteIndex":0},"schema":"https://github.com/citation-style-language/schema/raw/master/csl-citation.json"}</w:instrText>
      </w:r>
      <w:r w:rsidR="00E627F8">
        <w:rPr>
          <w:rFonts w:ascii="Times New Roman" w:eastAsia="Times New Roman" w:hAnsi="Times New Roman"/>
          <w:kern w:val="1"/>
          <w:lang w:eastAsia="ar-SA"/>
        </w:rPr>
        <w:fldChar w:fldCharType="separate"/>
      </w:r>
      <w:r w:rsidR="001655FB" w:rsidRPr="001655FB">
        <w:rPr>
          <w:rFonts w:ascii="Times New Roman" w:eastAsia="Times New Roman" w:hAnsi="Times New Roman"/>
          <w:noProof/>
          <w:kern w:val="1"/>
          <w:lang w:eastAsia="ar-SA"/>
        </w:rPr>
        <w:t>(Singh &amp; Braddick, 2015)</w:t>
      </w:r>
      <w:r w:rsidR="00E627F8">
        <w:rPr>
          <w:rFonts w:ascii="Times New Roman" w:eastAsia="Times New Roman" w:hAnsi="Times New Roman"/>
          <w:kern w:val="1"/>
          <w:lang w:eastAsia="ar-SA"/>
        </w:rPr>
        <w:fldChar w:fldCharType="end"/>
      </w:r>
      <w:r w:rsidR="1799AB62" w:rsidRPr="324E335E">
        <w:rPr>
          <w:rFonts w:ascii="Times New Roman" w:eastAsia="Times New Roman" w:hAnsi="Times New Roman"/>
          <w:lang w:eastAsia="ar-SA"/>
        </w:rPr>
        <w:t xml:space="preserve">. </w:t>
      </w:r>
      <w:r w:rsidR="0026375B">
        <w:rPr>
          <w:rFonts w:ascii="Times New Roman" w:eastAsia="Times New Roman" w:hAnsi="Times New Roman"/>
          <w:lang w:eastAsia="ar-SA"/>
        </w:rPr>
        <w:t>I</w:t>
      </w:r>
      <w:r w:rsidR="55166D13" w:rsidRPr="324E335E">
        <w:rPr>
          <w:rFonts w:ascii="Times New Roman" w:eastAsia="Times New Roman" w:hAnsi="Times New Roman"/>
          <w:lang w:eastAsia="ar-SA"/>
        </w:rPr>
        <w:t xml:space="preserve">t was </w:t>
      </w:r>
      <w:r w:rsidR="0026375B">
        <w:rPr>
          <w:rFonts w:ascii="Times New Roman" w:eastAsia="Times New Roman" w:hAnsi="Times New Roman"/>
          <w:lang w:eastAsia="ar-SA"/>
        </w:rPr>
        <w:t xml:space="preserve">also </w:t>
      </w:r>
      <w:r w:rsidR="55166D13" w:rsidRPr="324E335E">
        <w:rPr>
          <w:rFonts w:ascii="Times New Roman" w:eastAsia="Times New Roman" w:hAnsi="Times New Roman"/>
          <w:lang w:eastAsia="ar-SA"/>
        </w:rPr>
        <w:t xml:space="preserve">adapted to be applied in eukaryotic cells </w:t>
      </w:r>
      <w:r w:rsidR="0026375B">
        <w:rPr>
          <w:rFonts w:ascii="Times New Roman" w:eastAsia="Times New Roman" w:hAnsi="Times New Roman"/>
          <w:lang w:eastAsia="ar-SA"/>
        </w:rPr>
        <w:t xml:space="preserve">such </w:t>
      </w:r>
      <w:r w:rsidR="55166D13" w:rsidRPr="324E335E">
        <w:rPr>
          <w:rFonts w:ascii="Times New Roman" w:eastAsia="Times New Roman" w:hAnsi="Times New Roman"/>
          <w:lang w:eastAsia="ar-SA"/>
        </w:rPr>
        <w:t xml:space="preserve">as yeast </w:t>
      </w:r>
      <w:r w:rsidR="006059D1">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{"citationItems":[{"id":"ITEM-1","itemData":{"DOI":"10.1016/j.cell.2017.10.034","ISSN":"10974172","PMID":"29153834","abstract":"We describe a multiplex genome engineering technology in Saccharomyces cerevisiae based on annealing synthetic oligonucleotides at the lagging strand of DNA replication. The mechanism is independent of Rad51-directed homologous recombination and avoids the creation of double-strand DNA breaks, enabling precise chromosome modifications at single base-pair resolution with an efficiency of &gt;40%, without unintended mutagenic changes at the targeted genetic loci. We observed the simultaneous incorporation of up to 12 oligonucleotides with as many as 60 targeted mutations in one transformation. Iterative transformations of a complex pool of oligonucleotides rapidly produced large combinatorial genomic diversity &gt;105. This method was used to diversify a heterologous β-carotene biosynthetic pathway that produced genetic variants with precise mutations in promoters, genes, and terminators, leading to altered carotenoid levels. Our approach of engineering the conserved processes of DNA replication, repair, and recombination could be automated and establishes a general strategy for multiplex combinatorial genome engineering in eukaryotes. Replication forks can be co-opted to introduce multisite mutations in eukaryotic genomes without the need for DNA double-strand break.","author":[{"dropping-particle":"","family":"Barbieri","given":"Edward M.","non-dropping-particle":"","parse-names":false,"suffix":""},{"dropping-particle":"","family":"Muir","given":"Paul","non-dropping-particle":"","parse-names":false,"suffix":""},{"dropping-particle":"","family":"Akhuetie-Oni","given":"Benjamin O.","non-dropping-particle":"","parse-names":false,"suffix":""},{"dropping-particle":"","family":"Yellman","given":"Christopher M.","non-dropping-particle":"","parse-names":false,"suffix":""},{"dropping-particle":"","family":"Isaacs","given":"Farren J.","non-dropping-particle":"","parse-names":false,"suffix":""}],"container-title":"Cell","id":"ITEM-1","issue":"6","issued":{"date-parts":[["2017","11"]]},"page":"1453-1467.e13","publisher":"Cell Press","title":"Precise Editing at DNA Replication Forks Enables Multiplex Genome Engineering in Eukaryotes","type":"article-journal","volume":"171"},"uris":["http://www.mendeley.com/documents/?uuid=26c36c8b-a634-49bc-8beb-2e86e0a78de4"]}],"mendeley":{"formattedCitation":"(Barbieri et al., 2017)","plainTextFormattedCitation":"(Barbieri et al., 2017)","previouslyFormattedCitation":"(Barbieri et al., 2017)"},"properties":{"noteIndex":0},"schema":"https://github.com/citation-style-language/schema/raw/master/csl-citation.json"}</w:instrText>
      </w:r>
      <w:r w:rsidR="006059D1">
        <w:rPr>
          <w:rFonts w:ascii="Times New Roman" w:eastAsia="Times New Roman" w:hAnsi="Times New Roman"/>
          <w:lang w:eastAsia="ar-SA"/>
        </w:rPr>
        <w:fldChar w:fldCharType="separate"/>
      </w:r>
      <w:r w:rsidR="006059D1" w:rsidRPr="006059D1">
        <w:rPr>
          <w:rFonts w:ascii="Times New Roman" w:eastAsia="Times New Roman" w:hAnsi="Times New Roman"/>
          <w:noProof/>
          <w:lang w:eastAsia="ar-SA"/>
        </w:rPr>
        <w:t>(Barbieri et al., 2017)</w:t>
      </w:r>
      <w:r w:rsidR="006059D1">
        <w:rPr>
          <w:rFonts w:ascii="Times New Roman" w:eastAsia="Times New Roman" w:hAnsi="Times New Roman"/>
          <w:lang w:eastAsia="ar-SA"/>
        </w:rPr>
        <w:fldChar w:fldCharType="end"/>
      </w:r>
      <w:r w:rsidR="005F797B">
        <w:rPr>
          <w:rFonts w:ascii="Times New Roman" w:eastAsia="Times New Roman" w:hAnsi="Times New Roman"/>
          <w:lang w:eastAsia="ar-SA"/>
        </w:rPr>
        <w:t xml:space="preserve"> or mammalian cells </w:t>
      </w:r>
      <w:r w:rsidR="00E41299">
        <w:rPr>
          <w:rFonts w:ascii="Times New Roman" w:eastAsia="Times New Roman" w:hAnsi="Times New Roman"/>
          <w:lang w:eastAsia="ar-SA"/>
        </w:rPr>
        <w:fldChar w:fldCharType="begin" w:fldLock="1"/>
      </w:r>
      <w:r w:rsidR="008866EA">
        <w:rPr>
          <w:rFonts w:ascii="Times New Roman" w:eastAsia="Times New Roman" w:hAnsi="Times New Roman"/>
          <w:lang w:eastAsia="ar-SA"/>
        </w:rPr>
        <w:instrText>ADDIN CSL_CITATION {"citationItems":[{"id":"ITEM-1","itemData":{"DOI":"10.1016/j.cell.2019.07.036","ISSN":"00928674","PMID":"31280962","abstract":"(Cell 178, 748–761.e1–e17; July 25, 2019) In our recent article reporting a platform for directed evolution in mammalian cells, we inadvertently failed to cite a paper that also reports a method for evolving biomolecules in mammalian cells (Berman et al., 2018). We have corrected the online version of our paper to cite this work, and we apologize for the omission.","author":[{"dropping-particle":"","family":"English","given":"Justin G","non-dropping-particle":"","parse-names":false,"suffix":""},{"dropping-particle":"","family":"Olsen","given":"Reid H.J.","non-dropping-particle":"","parse-names":false,"suffix":""},{"dropping-particle":"","family":"Lansu","given":"Katherine","non-dropping-particle":"","parse-names":false,"suffix":""},{"dropping-particle":"","family":"Patel","given":"Michael","non-dropping-particle":"","parse-names":false,"suffix":""},{"dropping-particle":"","family":"White","given":"Karoline","non-dropping-particle":"","parse-names":false,"suffix":""},{"dropping-particle":"","family":"Cockrell","given":"Adam S","non-dropping-particle":"","parse-names":false,"suffix":""},{"dropping-particle":"","family":"Singh","given":"Darshan","non-dropping-particle":"","parse-names":false,"suffix":""},{"dropping-particle":"","family":"Strachan","given":"Ryan T","non-dropping-particle":"","parse-names":false,"suffix":""},{"dropping-particle":"","family":"Wacker","given":"Daniel","non-dropping-particle":"","parse-names":false,"suffix":""},{"dropping-particle":"","family":"Roth","given":"Bryan L","non-dropping-particle":"","parse-names":false,"suffix":""}],"container-title":"Cell","id":"ITEM-1","issue":"4","issued":{"date-parts":[["2019","8"]]},"page":"1030","publisher":"Cell Press","title":"VEGAS as a Platform for Facile Directed Evolution in Mammalian Cells","type":"article-journal","volume":"178"},"uris":["http://www.mendeley.com/documents/?uuid=726d7056-7904-4067-a876-25a87a160496"]}],"mendeley":{"formattedCitation":"(English et al., 2019)","plainTextFormattedCitation":"(English et al., 2019)","previouslyFormattedCitation":"(English et al., 2019)"},"properties":{"noteIndex":0},"schema":"https://github.com/citation-style-language/schema/raw/master/csl-citation.json"}</w:instrText>
      </w:r>
      <w:r w:rsidR="00E41299">
        <w:rPr>
          <w:rFonts w:ascii="Times New Roman" w:eastAsia="Times New Roman" w:hAnsi="Times New Roman"/>
          <w:lang w:eastAsia="ar-SA"/>
        </w:rPr>
        <w:fldChar w:fldCharType="separate"/>
      </w:r>
      <w:r w:rsidR="00E41299" w:rsidRPr="00E41299">
        <w:rPr>
          <w:rFonts w:ascii="Times New Roman" w:eastAsia="Times New Roman" w:hAnsi="Times New Roman"/>
          <w:noProof/>
          <w:lang w:eastAsia="ar-SA"/>
        </w:rPr>
        <w:t>(English et al., 2019)</w:t>
      </w:r>
      <w:r w:rsidR="00E41299">
        <w:rPr>
          <w:rFonts w:ascii="Times New Roman" w:eastAsia="Times New Roman" w:hAnsi="Times New Roman"/>
          <w:lang w:eastAsia="ar-SA"/>
        </w:rPr>
        <w:fldChar w:fldCharType="end"/>
      </w:r>
      <w:r w:rsidR="00B21E2E">
        <w:rPr>
          <w:rFonts w:ascii="Times New Roman" w:eastAsia="Times New Roman" w:hAnsi="Times New Roman"/>
          <w:lang w:eastAsia="ar-SA"/>
        </w:rPr>
        <w:t>,</w:t>
      </w:r>
      <w:r w:rsidR="5E790900" w:rsidRPr="324E335E">
        <w:rPr>
          <w:rFonts w:ascii="Times New Roman" w:eastAsia="Times New Roman" w:hAnsi="Times New Roman"/>
          <w:lang w:eastAsia="ar-SA"/>
        </w:rPr>
        <w:t xml:space="preserve"> however, several other less expensive and less lab</w:t>
      </w:r>
      <w:r w:rsidR="01E3FC63" w:rsidRPr="324E335E">
        <w:rPr>
          <w:rFonts w:ascii="Times New Roman" w:eastAsia="Times New Roman" w:hAnsi="Times New Roman"/>
          <w:lang w:eastAsia="ar-SA"/>
        </w:rPr>
        <w:t>orious</w:t>
      </w:r>
      <w:r w:rsidR="0026375B" w:rsidRPr="0026375B">
        <w:rPr>
          <w:rFonts w:ascii="Times New Roman" w:eastAsia="Times New Roman" w:hAnsi="Times New Roman"/>
          <w:lang w:eastAsia="ar-SA"/>
        </w:rPr>
        <w:t xml:space="preserve"> </w:t>
      </w:r>
      <w:r w:rsidR="0026375B" w:rsidRPr="324E335E">
        <w:rPr>
          <w:rFonts w:ascii="Times New Roman" w:eastAsia="Times New Roman" w:hAnsi="Times New Roman"/>
          <w:lang w:eastAsia="ar-SA"/>
        </w:rPr>
        <w:t>strategies</w:t>
      </w:r>
      <w:r w:rsidR="00AA7532" w:rsidRPr="324E335E">
        <w:rPr>
          <w:rFonts w:ascii="Times New Roman" w:eastAsia="Times New Roman" w:hAnsi="Times New Roman"/>
          <w:lang w:eastAsia="ar-SA"/>
        </w:rPr>
        <w:t xml:space="preserve">, </w:t>
      </w:r>
      <w:r w:rsidR="00AA7532">
        <w:rPr>
          <w:rFonts w:ascii="Times New Roman" w:eastAsia="Times New Roman" w:hAnsi="Times New Roman"/>
          <w:lang w:eastAsia="ar-SA"/>
        </w:rPr>
        <w:t>such</w:t>
      </w:r>
      <w:r w:rsidR="00AA7532" w:rsidRPr="324E335E">
        <w:rPr>
          <w:rFonts w:ascii="Times New Roman" w:eastAsia="Times New Roman" w:hAnsi="Times New Roman"/>
          <w:lang w:eastAsia="ar-SA"/>
        </w:rPr>
        <w:t xml:space="preserve"> as genome editing</w:t>
      </w:r>
      <w:r w:rsidR="00AA7532">
        <w:rPr>
          <w:rFonts w:ascii="Times New Roman" w:eastAsia="Times New Roman" w:hAnsi="Times New Roman"/>
          <w:lang w:eastAsia="ar-SA"/>
        </w:rPr>
        <w:t>,</w:t>
      </w:r>
      <w:r w:rsidR="5E790900" w:rsidRPr="324E335E">
        <w:rPr>
          <w:rFonts w:ascii="Times New Roman" w:eastAsia="Times New Roman" w:hAnsi="Times New Roman"/>
          <w:lang w:eastAsia="ar-SA"/>
        </w:rPr>
        <w:t xml:space="preserve"> were subsequently developed</w:t>
      </w:r>
      <w:r w:rsidR="7FB3A52D" w:rsidRPr="324E335E">
        <w:rPr>
          <w:rFonts w:ascii="Times New Roman" w:eastAsia="Times New Roman" w:hAnsi="Times New Roman"/>
          <w:lang w:eastAsia="ar-SA"/>
        </w:rPr>
        <w:t>.</w:t>
      </w:r>
    </w:p>
    <w:p w14:paraId="787553E5" w14:textId="143729DE" w:rsidR="00676827" w:rsidRPr="001770F1" w:rsidRDefault="00CF0549" w:rsidP="008805B8">
      <w:pPr>
        <w:pStyle w:val="Heading3"/>
      </w:pPr>
      <w:bookmarkStart w:id="26" w:name="_Toc70112661"/>
      <w:bookmarkStart w:id="27" w:name="_Toc70685683"/>
      <w:r>
        <w:rPr>
          <w:lang w:val="en-US"/>
        </w:rPr>
        <w:t>1</w:t>
      </w:r>
      <w:r w:rsidR="00FE4D58" w:rsidRPr="008805B8">
        <w:rPr>
          <w:lang w:val="en-US"/>
        </w:rPr>
        <w:t xml:space="preserve">.3. </w:t>
      </w:r>
      <w:r w:rsidR="00676827">
        <w:t>Genome editing</w:t>
      </w:r>
      <w:r w:rsidR="001770F1">
        <w:rPr>
          <w:lang w:val="en-US"/>
        </w:rPr>
        <w:t>.</w:t>
      </w:r>
      <w:bookmarkEnd w:id="26"/>
      <w:bookmarkEnd w:id="27"/>
    </w:p>
    <w:p w14:paraId="5299C6F2" w14:textId="080E706E" w:rsidR="007720DC" w:rsidRDefault="02DADC1B" w:rsidP="007720DC">
      <w:pPr>
        <w:spacing w:before="120" w:after="120" w:line="240" w:lineRule="auto"/>
        <w:jc w:val="both"/>
        <w:rPr>
          <w:rFonts w:ascii="Times New Roman" w:eastAsia="Times New Roman" w:hAnsi="Times New Roman"/>
          <w:lang w:eastAsia="ar-SA"/>
        </w:rPr>
      </w:pPr>
      <w:r w:rsidRPr="167E2C68">
        <w:rPr>
          <w:rFonts w:ascii="Times New Roman" w:eastAsia="Times New Roman" w:hAnsi="Times New Roman"/>
          <w:kern w:val="1"/>
          <w:lang w:eastAsia="ar-SA"/>
        </w:rPr>
        <w:t xml:space="preserve">Synthetic biology also employs techniques for </w:t>
      </w:r>
      <w:r w:rsidRPr="008805B8">
        <w:rPr>
          <w:rFonts w:ascii="Times New Roman" w:eastAsia="Times New Roman" w:hAnsi="Times New Roman"/>
          <w:kern w:val="1"/>
          <w:lang w:eastAsia="ar-SA"/>
        </w:rPr>
        <w:t>genome editing</w:t>
      </w:r>
      <w:r w:rsidRPr="00F1695C">
        <w:rPr>
          <w:rFonts w:ascii="Times New Roman" w:eastAsia="Times New Roman" w:hAnsi="Times New Roman"/>
          <w:kern w:val="1"/>
          <w:lang w:eastAsia="ar-SA"/>
        </w:rPr>
        <w:t xml:space="preserve"> </w:t>
      </w:r>
      <w:r w:rsidR="03A587F0" w:rsidRPr="008755DE">
        <w:rPr>
          <w:rFonts w:ascii="Times New Roman" w:eastAsia="Times New Roman" w:hAnsi="Times New Roman"/>
          <w:lang w:eastAsia="ar-SA"/>
        </w:rPr>
        <w:t>based</w:t>
      </w:r>
      <w:r w:rsidR="03A587F0" w:rsidRPr="68104893">
        <w:rPr>
          <w:rFonts w:ascii="Times New Roman" w:eastAsia="Times New Roman" w:hAnsi="Times New Roman"/>
          <w:lang w:eastAsia="ar-SA"/>
        </w:rPr>
        <w:t xml:space="preserve"> on </w:t>
      </w:r>
      <w:r w:rsidR="00741E88" w:rsidRPr="68104893">
        <w:rPr>
          <w:rFonts w:ascii="Times New Roman" w:eastAsia="Times New Roman" w:hAnsi="Times New Roman"/>
          <w:lang w:eastAsia="ar-SA"/>
        </w:rPr>
        <w:t>oligonucleotide-directed mutagenesis (ODM)</w:t>
      </w:r>
      <w:r w:rsidR="00741E88">
        <w:rPr>
          <w:rFonts w:ascii="Times New Roman" w:eastAsia="Times New Roman" w:hAnsi="Times New Roman"/>
          <w:lang w:eastAsia="ar-SA"/>
        </w:rPr>
        <w:t xml:space="preserve"> and </w:t>
      </w:r>
      <w:r w:rsidR="03A587F0" w:rsidRPr="68104893">
        <w:rPr>
          <w:rFonts w:ascii="Times New Roman" w:eastAsia="Times New Roman" w:hAnsi="Times New Roman"/>
          <w:lang w:eastAsia="ar-SA"/>
        </w:rPr>
        <w:t>variants of site</w:t>
      </w:r>
      <w:r w:rsidR="00380909">
        <w:rPr>
          <w:rFonts w:ascii="Times New Roman" w:eastAsia="Times New Roman" w:hAnsi="Times New Roman"/>
          <w:lang w:eastAsia="ar-SA"/>
        </w:rPr>
        <w:t>-</w:t>
      </w:r>
      <w:r w:rsidR="03A587F0" w:rsidRPr="68104893">
        <w:rPr>
          <w:rFonts w:ascii="Times New Roman" w:eastAsia="Times New Roman" w:hAnsi="Times New Roman"/>
          <w:lang w:eastAsia="ar-SA"/>
        </w:rPr>
        <w:t>directed nuclease (SDN) technologies</w:t>
      </w:r>
      <w:r w:rsidR="007720DC">
        <w:rPr>
          <w:rFonts w:ascii="Times New Roman" w:eastAsia="Times New Roman" w:hAnsi="Times New Roman"/>
          <w:lang w:eastAsia="ar-SA"/>
        </w:rPr>
        <w:t xml:space="preserve">. </w:t>
      </w:r>
      <w:r w:rsidR="004E5C80">
        <w:rPr>
          <w:rFonts w:ascii="Times New Roman" w:eastAsia="Times New Roman" w:hAnsi="Times New Roman"/>
          <w:lang w:eastAsia="ar-SA"/>
        </w:rPr>
        <w:t>C</w:t>
      </w:r>
      <w:r w:rsidR="007720DC" w:rsidRPr="06DD7B6A">
        <w:rPr>
          <w:rFonts w:ascii="Times New Roman" w:eastAsia="Times New Roman" w:hAnsi="Times New Roman"/>
          <w:lang w:eastAsia="ar-SA"/>
        </w:rPr>
        <w:t>hemically synthesised</w:t>
      </w:r>
      <w:r w:rsidR="007720DC" w:rsidRPr="09C2D2D2">
        <w:rPr>
          <w:rFonts w:ascii="Times New Roman" w:eastAsia="Times New Roman" w:hAnsi="Times New Roman"/>
          <w:lang w:eastAsia="ar-SA"/>
        </w:rPr>
        <w:t xml:space="preserve"> oligonucleotides </w:t>
      </w:r>
      <w:r w:rsidR="007720DC" w:rsidRPr="7F255D25">
        <w:rPr>
          <w:rFonts w:ascii="Times New Roman" w:eastAsia="Times New Roman" w:hAnsi="Times New Roman"/>
          <w:lang w:eastAsia="ar-SA"/>
        </w:rPr>
        <w:t xml:space="preserve">can be used </w:t>
      </w:r>
      <w:r w:rsidR="007720DC" w:rsidRPr="09C2D2D2">
        <w:rPr>
          <w:rFonts w:ascii="Times New Roman" w:eastAsia="Times New Roman" w:hAnsi="Times New Roman"/>
          <w:lang w:eastAsia="ar-SA"/>
        </w:rPr>
        <w:t xml:space="preserve">as a template for making targeted </w:t>
      </w:r>
      <w:r w:rsidR="007720DC" w:rsidRPr="23464162">
        <w:rPr>
          <w:rFonts w:ascii="Times New Roman" w:eastAsia="Times New Roman" w:hAnsi="Times New Roman"/>
          <w:lang w:eastAsia="ar-SA"/>
        </w:rPr>
        <w:t>genome changes</w:t>
      </w:r>
      <w:r w:rsidR="007720DC" w:rsidRPr="675AC9B9">
        <w:rPr>
          <w:rFonts w:ascii="Times New Roman" w:eastAsia="Times New Roman" w:hAnsi="Times New Roman"/>
          <w:lang w:eastAsia="ar-SA"/>
        </w:rPr>
        <w:t xml:space="preserve"> </w:t>
      </w:r>
      <w:r w:rsidR="007720DC">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{"citationItems":[{"id":"ITEM-1","itemData":{"DOI":"10.1111/pbi.12496","ISSN":"14677652","PMID":"26503400","abstract":"Differences in gene sequences, many of which are single nucleotide polymorphisms, underlie some of the most important traits in plants. With humanity facing significant challenges to increase global agricultural productivity, there is an urgent need to accelerate the development of these traits in plants. oligonucleotide-directed mutagenesis (ODM), one of the many tools of Cibus' Rapid Trait Development System (RTDS™) technology, offers a rapid, precise and non-transgenic breeding alternative for trait improvement in agriculture to address this urgent need. This review explores the application of ODM as a precision genome editing technology, with emphasis on using oligonucleotides to make targeted edits in plasmid, episomal and chromosomal DNA of bacterial, fungal, mammalian and plant systems. The process of employing ODM by way of RTDS technology has been improved in many ways by utilizing a fluorescence conversion system wherein a blue fluorescent protein (BFP) can be changed to a green fluorescent protein (GFP) by editing a single nucleotide of the BFP gene (CAC→TAC; H66 to Y66). For example, dependent on oligonucleotide length, applying oligonucleotide-mediated technology to target the BFP transgene in Arabidopsis thaliana protoplasts resulted in up to 0.05% precisely edited GFP loci. Here, the development of traits in commercially relevant plant varieties to improve crop performance by genome editing technologies such as ODM, and by extension RTDS, is reviewed.","author":[{"dropping-particle":"","family":"Sauer","given":"Noel J.","non-dropping-particle":"","parse-names":false,"suffix":""},{"dropping-particle":"","family":"Mozoruk","given":"Jerry","non-dropping-particle":"","parse-names":false,"suffix":""},{"dropping-particle":"","family":"Miller","given":"Ryan B.","non-dropping-particle":"","parse-names":false,"suffix":""},{"dropping-particle":"","family":"Warburg","given":"Zachary J.","non-dropping-particle":"","parse-names":false,"suffix":""},{"dropping-particle":"","family":"Walker","given":"Keith A.","non-dropping-particle":"","parse-names":false,"suffix":""},{"dropping-particle":"","family":"Beetham","given":"Peter R.","non-dropping-particle":"","parse-names":false,"suffix":""},{"dropping-particle":"","family":"Schöpke","given":"Christian R.","non-dropping-particle":"","parse-names":false,"suffix":""},{"dropping-particle":"","family":"Gocal","given":"Greg F.W.","non-dropping-particle":"","parse-names":false,"suffix":""}],"container-title":"Plant Biotechnology Journal","id":"ITEM-1","issue":"2","issued":{"date-parts":[["2016","2"]]},"page":"496-502","publisher":"Blackwell Publishing Ltd","title":"Oligonucleotide-directed mutagenesis for precision gene editing","type":"article-journal","volume":"14"},"uris":["http://www.mendeley.com/documents/?uuid=c1b56c2f-5359-4f3a-b1ad-ed04366f56f1"]}],"mendeley":{"formattedCitation":"(Sauer et al., 2016)","plainTextFormattedCitation":"(Sauer et al., 2016)","previouslyFormattedCitation":"(Sauer et al., 2016)"},"properties":{"noteIndex":0},"schema":"https://github.com/citation-style-language/schema/raw/master/csl-citation.json"}</w:instrText>
      </w:r>
      <w:r w:rsidR="007720DC">
        <w:rPr>
          <w:rFonts w:ascii="Times New Roman" w:eastAsia="Times New Roman" w:hAnsi="Times New Roman"/>
          <w:lang w:eastAsia="ar-SA"/>
        </w:rPr>
        <w:fldChar w:fldCharType="separate"/>
      </w:r>
      <w:r w:rsidR="007720DC" w:rsidRPr="00325330">
        <w:rPr>
          <w:rFonts w:ascii="Times New Roman" w:eastAsia="Times New Roman" w:hAnsi="Times New Roman"/>
          <w:noProof/>
          <w:lang w:eastAsia="ar-SA"/>
        </w:rPr>
        <w:t>(Sauer et al., 2016)</w:t>
      </w:r>
      <w:r w:rsidR="007720DC">
        <w:rPr>
          <w:rFonts w:ascii="Times New Roman" w:eastAsia="Times New Roman" w:hAnsi="Times New Roman"/>
          <w:lang w:eastAsia="ar-SA"/>
        </w:rPr>
        <w:fldChar w:fldCharType="end"/>
      </w:r>
      <w:r w:rsidR="007720DC" w:rsidRPr="7F255D25">
        <w:rPr>
          <w:rFonts w:ascii="Times New Roman" w:eastAsia="Times New Roman" w:hAnsi="Times New Roman"/>
          <w:lang w:eastAsia="ar-SA"/>
        </w:rPr>
        <w:t>. This technique,</w:t>
      </w:r>
      <w:r w:rsidR="007720DC" w:rsidRPr="675AC9B9">
        <w:rPr>
          <w:rFonts w:ascii="Times New Roman" w:eastAsia="Times New Roman" w:hAnsi="Times New Roman"/>
          <w:lang w:eastAsia="ar-SA"/>
        </w:rPr>
        <w:t xml:space="preserve"> </w:t>
      </w:r>
      <w:r w:rsidR="00570895">
        <w:rPr>
          <w:rFonts w:ascii="Times New Roman" w:eastAsia="Times New Roman" w:hAnsi="Times New Roman"/>
          <w:lang w:eastAsia="ar-SA"/>
        </w:rPr>
        <w:t>ODM</w:t>
      </w:r>
      <w:r w:rsidR="007720DC" w:rsidRPr="7F255D25">
        <w:rPr>
          <w:rFonts w:ascii="Times New Roman" w:eastAsia="Times New Roman" w:hAnsi="Times New Roman"/>
          <w:lang w:eastAsia="ar-SA"/>
        </w:rPr>
        <w:t xml:space="preserve">, has been successfully used to edit genes in bacteria </w:t>
      </w:r>
      <w:r w:rsidR="008866EA">
        <w:rPr>
          <w:rFonts w:ascii="Times New Roman" w:eastAsia="Times New Roman" w:hAnsi="Times New Roman"/>
          <w:lang w:eastAsia="ar-SA"/>
        </w:rPr>
        <w:fldChar w:fldCharType="begin" w:fldLock="1"/>
      </w:r>
      <w:r w:rsidR="00840FE7">
        <w:rPr>
          <w:rFonts w:ascii="Times New Roman" w:eastAsia="Times New Roman" w:hAnsi="Times New Roman"/>
          <w:lang w:eastAsia="ar-SA"/>
        </w:rPr>
        <w:instrText>ADDIN CSL_CITATION {"citationItems":[{"id":"ITEM-1","itemData":{"DOI":"10.1016/j.synbio.2020.04.001","ISSN":"2405805X","abstract":"Modular polyketide synthases (PKSs) are a multidomain megasynthase class of biosynthetic enzymes that have great promise for the development of new compounds, from new pharmaceuticals to high value commodity and specialty chemicals. Their colinear biosynthetic logic has been viewed as a promising platform for synthetic biology for decades. Due to this colinearity, domain swapping has long been used as a strategy to introduce molecular diversity. However, domain swapping often fails because it perturbs critical protein-protein interactions within the PKS. With our increased level of structural elucidation of PKSs, using judicious targeted mutations of individual residues is a more precise way to introduce molecular diversity with less potential for global disruption of the protein architecture. Here we review examples of targeted point mutagenesis to one or a few residues harbored within the PKS that alter domain specificity or selectivity, affect protein stability and interdomain communication, and promote more complex catalytic reactivity.","author":[{"dropping-particle":"","family":"Drufva","given":"Erin E","non-dropping-particle":"","parse-names":false,"suffix":""},{"dropping-particle":"","family":"Hix","given":"Elijah G","non-dropping-particle":"","parse-names":false,"suffix":""},{"dropping-particle":"","family":"Bailey","given":"Constance B","non-dropping-particle":"","parse-names":false,"suffix":""}],"container-title":"Synthetic and Systems Biotechnology","id":"ITEM-1","issue":"2","issued":{"date-parts":[["2020","6"]]},"page":"62-80","publisher":"KeAi Communications Co.","title":"Site directed mutagenesis as a precision tool to enable synthetic biology with engineered modular polyketide synthases","type":"article","volume":"5"},"uris":["http://www.mendeley.com/documents/?uuid=9e13264f-ec44-4716-b013-2a8135fe3890"]},{"id":"ITEM-2","itemData":{"DOI":"10.1111/j.1365-2958.2009.06976.x","ISSN":"0950382X","PMID":"19943907","abstract":"This report describes several key aspects of a novel form of RecA-independent homologous recombination. We found that synthetic single-stranded DNA oligonucleotides (oligos) introduced into bacteria by transformation can site-specifically recombine with bacterial chromosomes in the absence of any additional phage-encoded functions. Oligo recombination was tested in four genera of Gram-negative bacteria and in all cases evidence for recombination was apparent. The experiments presented here were designed with an eye towards learning to use oligo recombination in order to bootstrap identification and development of phage-encoded recombination systems for recombineering in a wide range of bacteria. The results show that oligo concentration and sequence have the greatest influence on recombination frequency, while oligo length was less important. Apart from the utility of oligo recombination, these findings also provide insights regarding the details of recombination mediated by phage-encoded functions. Establishing that oligos can recombine with bacterial genomes provides a link to similar observations of oligo recombination in archaea and eukaryotes suggesting the possibility that this process is evolutionary conserved. ©2009 Blackwell Publishing Ltd. No claim to original US government works.","author":[{"dropping-particle":"","family":"Swingle","given":"Bryan","non-dropping-particle":"","parse-names":false,"suffix":""},{"dropping-particle":"","family":"Markel","given":"Eric","non-dropping-particle":"","parse-names":false,"suffix":""},{"dropping-particle":"","family":"Costantino","given":"Nina","non-dropping-particle":"","parse-names":false,"suffix":""},{"dropping-particle":"","family":"Bubunenko","given":"Mikhail G","non-dropping-particle":"","parse-names":false,"suffix":""},{"dropping-particle":"","family":"Cartinhour","given":"Samuel","non-dropping-particle":"","parse-names":false,"suffix":""},{"dropping-particle":"","family":"Court","given":"Donald L","non-dropping-particle":"","parse-names":false,"suffix":""}],"container-title":"Molecular Microbiology","id":"ITEM-2","issue":"1","issued":{"date-parts":[["2010","1"]]},"page":"138-148","publisher":"NIH Public Access","title":"Oligonucleotide recombination in Gram-negative bacteria","type":"article-journal","volume":"75"},"uris":["http://www.mendeley.com/documents/?uuid=de0fb835-824b-4518-96d9-4ed0103daabf"]}],"mendeley":{"formattedCitation":"(Drufva et al., 2020; Swingle et al., 2010)","plainTextFormattedCitation":"(Drufva et al., 2020; Swingle et al., 2010)","previouslyFormattedCitation":"(Drufva et al., 2020; Swingle et al., 2010)"},"properties":{"noteIndex":0},"schema":"https://github.com/citation-style-language/schema/raw/master/csl-citation.json"}</w:instrText>
      </w:r>
      <w:r w:rsidR="008866EA">
        <w:rPr>
          <w:rFonts w:ascii="Times New Roman" w:eastAsia="Times New Roman" w:hAnsi="Times New Roman"/>
          <w:lang w:eastAsia="ar-SA"/>
        </w:rPr>
        <w:fldChar w:fldCharType="separate"/>
      </w:r>
      <w:r w:rsidR="008866EA" w:rsidRPr="008866EA">
        <w:rPr>
          <w:rFonts w:ascii="Times New Roman" w:eastAsia="Times New Roman" w:hAnsi="Times New Roman"/>
          <w:noProof/>
          <w:lang w:eastAsia="ar-SA"/>
        </w:rPr>
        <w:t>(Drufva et al., 2020; Swingle et al., 2010)</w:t>
      </w:r>
      <w:r w:rsidR="008866EA">
        <w:rPr>
          <w:rFonts w:ascii="Times New Roman" w:eastAsia="Times New Roman" w:hAnsi="Times New Roman"/>
          <w:lang w:eastAsia="ar-SA"/>
        </w:rPr>
        <w:fldChar w:fldCharType="end"/>
      </w:r>
      <w:r w:rsidR="007720DC" w:rsidRPr="7F255D25">
        <w:rPr>
          <w:rFonts w:ascii="Times New Roman" w:eastAsia="Times New Roman" w:hAnsi="Times New Roman"/>
          <w:lang w:eastAsia="ar-SA"/>
        </w:rPr>
        <w:t xml:space="preserve">, in plants to induce herbicide tolerance </w:t>
      </w:r>
      <w:r w:rsidR="000318E0">
        <w:rPr>
          <w:rFonts w:ascii="Times New Roman" w:eastAsia="Times New Roman" w:hAnsi="Times New Roman"/>
          <w:lang w:eastAsia="ar-SA"/>
        </w:rPr>
        <w:fldChar w:fldCharType="begin" w:fldLock="1"/>
      </w:r>
      <w:r w:rsidR="00F03C7A">
        <w:rPr>
          <w:rFonts w:ascii="Times New Roman" w:eastAsia="Times New Roman" w:hAnsi="Times New Roman"/>
          <w:lang w:eastAsia="ar-SA"/>
        </w:rPr>
        <w:instrText>ADDIN CSL_CITATION {"citationItems":[{"id":"ITEM-1","itemData":{"DOI":"10.1007/s00299-005-0098-x","ISSN":"07217714","PMID":"16404599","abstract":"Oligonucleotide-directed gene repair is a potential technique for agricultural trait modification in economically important crops. However, large variation in the repair frequencies among the scientific reports indicates that there are many factors influencing the repair process. We report here a transient assay system using GFP as a reporter for testing the efficiency of plasmid DNA repair in cultured wheat cells. This assay showed that osmotic medium supplemented with 2,4-D increased the oligo-targeting frequency, and that the repair of a point mutation was more efficient than repair of a single base deletion mutation in cultured scutellum cells of immature wheat embryos. This study provides the first evidence that oligonucleotide-directed mutagenesis is applicable to regenerable cultured wheat scutellum cells. © Springer-Verlag 2005.","author":[{"dropping-particle":"","family":"Dong","given":"Chongmei","non-dropping-particle":"","parse-names":false,"suffix":""},{"dropping-particle":"","family":"Beetham","given":"Peter","non-dropping-particle":"","parse-names":false,"suffix":""},{"dropping-particle":"","family":"Vincent","given":"Kate","non-dropping-particle":"","parse-names":false,"suffix":""},{"dropping-particle":"","family":"Sharp","given":"Peter","non-dropping-particle":"","parse-names":false,"suffix":""}],"container-title":"Plant Cell Reports","id":"ITEM-1","issue":"5","issued":{"date-parts":[["2006","5"]]},"page":"457-465","title":"Oligonucleotide-directed gene repair in wheat using a transient plasmid gene repair assay system","type":"article-journal","volume":"25"},"uris":["http://www.mendeley.com/documents/?uuid=536ba2c6-f875-3da4-868d-44fee312f3b1","http://www.mendeley.com/documents/?uuid=2b614930-38ff-4460-98f2-a39162fe19ea","http://www.mendeley.com/documents/?uuid=a26b3c39-a7e9-4cae-b19a-24f950e8f8ac"]},{"id":"ITEM-2","itemData":{"DOI":"10.3109/07388551.2015.1004521","ISSN":"15497801","PMID":"25641327","abstract":"Most of the genetically modified (GM) plants currently commercialized encompass a handful of crop species (soybean, corn, cotton and canola) with agronomic characters (traits) directed against some biotic stresses (pest resistance, herbicide tolerance or both) and created by multinational companies. The same crops with agronomic traits already on the market today will continue to be commercialized, but there will be also a wider range of species with combined traits. The timeframe anticipated for market release of the next biotech plants will not only depend on science progress in research and development (R&amp;D) in laboratories and fields, but also primarily on how demanding regulatory requirements are in countries where marketing approvals are pending. Regulatory constraints, including environmental and health impact assessments, have increased significantly in the past decades, delaying approvals and increasing their costs. This has sometimes discouraged public research entities and small and medium size plant breeding companies from using biotechnology and given preference to other technologies, not as stringently regulated. Nevertheless, R&amp;D programs are flourishing in developing countries, boosted by the necessity to meet the global challenges that are food security of a booming world population while mitigating climate change impacts. Biotechnology is an instrument at the service of these imperatives and a wide variety of plants are currently tested for their high yield despite biotic and abiotic stresses. Many plants with higher water or nitrogen use efficiency, tolerant to cold, salinity or water submergence are being developed. Food security is not only a question of quantity but also of quality of agricultural and food products, to be available and accessible for the ones who need it the most. Many biotech plants (especially staple food) are therefore being developed with nutritional traits, such as biofortification in vitamins and metals. The main international seed companies continue to be the largest investors in plant biotechnology R&amp;D, and often collaborate in the developing world with public institutions, private entities and philanthropic organizations. These partnerships are particularly present in Africa. In developed countries, plant biotechnology is also used for non-food purposes, such as the pharmaceutical, biofuel, starch, paper and textile industries. For example, plants are modified to specifically produce molecules with therape…","author":[{"dropping-particle":"","family":"Ricroch","given":"Agnès E","non-dropping-particle":"","parse-names":false,"suffix":""},{"dropping-particle":"","family":"Hénard-Damave","given":"Marie Cécile","non-dropping-particle":"","parse-names":false,"suffix":""}],"container-title":"Critical Reviews in Biotechnology","id":"ITEM-2","issue":"4","issued":{"date-parts":[["2016","7"]]},"page":"675-690","publisher":"Taylor and Francis Ltd","title":"Next biotech plants: new traits, crops, developers and technologies for addressing global challenges","type":"article","volume":"36"},"uris":["http://www.mendeley.com/documents/?uuid=b76dc4fc-3125-4953-9c4a-49ccbb92083b"]}],"mendeley":{"formattedCitation":"(Dong et al., 2006; Ricroch &amp; Hénard-Damave, 2016)","plainTextFormattedCitation":"(Dong et al., 2006; Ricroch &amp; Hénard-Damave, 2016)","previouslyFormattedCitation":"(Dong et al., 2006; Ricroch &amp; Hénard-Damave, 2016)"},"properties":{"noteIndex":0},"schema":"https://github.com/citation-style-language/schema/raw/master/csl-citation.json"}</w:instrText>
      </w:r>
      <w:r w:rsidR="000318E0">
        <w:rPr>
          <w:rFonts w:ascii="Times New Roman" w:eastAsia="Times New Roman" w:hAnsi="Times New Roman"/>
          <w:lang w:eastAsia="ar-SA"/>
        </w:rPr>
        <w:fldChar w:fldCharType="separate"/>
      </w:r>
      <w:r w:rsidR="00840FE7" w:rsidRPr="00840FE7">
        <w:rPr>
          <w:rFonts w:ascii="Times New Roman" w:eastAsia="Times New Roman" w:hAnsi="Times New Roman"/>
          <w:noProof/>
          <w:lang w:eastAsia="ar-SA"/>
        </w:rPr>
        <w:t>(Dong et al., 2006; Ricroch &amp; Hénard-Damave, 2016)</w:t>
      </w:r>
      <w:r w:rsidR="000318E0">
        <w:rPr>
          <w:rFonts w:ascii="Times New Roman" w:eastAsia="Times New Roman" w:hAnsi="Times New Roman"/>
          <w:lang w:eastAsia="ar-SA"/>
        </w:rPr>
        <w:fldChar w:fldCharType="end"/>
      </w:r>
      <w:r w:rsidR="00840FE7">
        <w:rPr>
          <w:rFonts w:ascii="Times New Roman" w:eastAsia="Times New Roman" w:hAnsi="Times New Roman"/>
          <w:lang w:eastAsia="ar-SA"/>
        </w:rPr>
        <w:t>a</w:t>
      </w:r>
      <w:r w:rsidR="007720DC" w:rsidRPr="7F255D25">
        <w:rPr>
          <w:rFonts w:ascii="Times New Roman" w:eastAsia="Times New Roman" w:hAnsi="Times New Roman"/>
          <w:lang w:eastAsia="ar-SA"/>
        </w:rPr>
        <w:t xml:space="preserve">nd in mammal cells </w:t>
      </w:r>
      <w:r w:rsidR="00F03C7A">
        <w:rPr>
          <w:rFonts w:ascii="Times New Roman" w:eastAsia="Times New Roman" w:hAnsi="Times New Roman"/>
          <w:lang w:eastAsia="ar-SA"/>
        </w:rPr>
        <w:fldChar w:fldCharType="begin" w:fldLock="1"/>
      </w:r>
      <w:r w:rsidR="005A1486">
        <w:rPr>
          <w:rFonts w:ascii="Times New Roman" w:eastAsia="Times New Roman" w:hAnsi="Times New Roman"/>
          <w:lang w:eastAsia="ar-SA"/>
        </w:rPr>
        <w:instrText>ADDIN CSL_CITATION {"citationItems":[{"id":"ITEM-1","itemData":{"DOI":"10.1093/nar/gkq589","ISSN":"0305-1048","author":[{"dropping-particle":"","family":"Aarts","given":"M.","non-dropping-particle":"","parse-names":false,"suffix":""},{"dropping-particle":"","family":"Riele","given":"H.","non-dropping-particle":"te","parse-names":false,"suffix":""}],"container-title":"Nucleic Acids Research","id":"ITEM-1","issue":"20","issued":{"date-parts":[["2010","11","1"]]},"page":"6956-6967","title":"Subtle gene modification in mouse ES cells: evidence for incorporation of unmodified oligonucleotides without induction of DNA damage","type":"article-journal","volume":"38"},"uris":["http://www.mendeley.com/documents/?uuid=3ba57351-3a6b-4031-8116-d998b22b4652"]},{"id":"ITEM-2","itemData":{"DOI":"10.1038/srep03791","ISSN":"2045-2322","author":[{"dropping-particle":"","family":"Strouse","given":"Bryan","non-dropping-particle":"","parse-names":false,"suffix":""},{"dropping-particle":"","family":"Bialk","given":"Pawel","non-dropping-particle":"","parse-names":false,"suffix":""},{"dropping-particle":"","family":"Niamat","given":"Rohina A.","non-dropping-particle":"","parse-names":false,"suffix":""},{"dropping-particle":"","family":"Rivera-Torres","given":"Natalia","non-dropping-particle":"","parse-names":false,"suffix":""},{"dropping-particle":"","family":"Kmiec","given":"Eric B.","non-dropping-particle":"","parse-names":false,"suffix":""}],"container-title":"Scientific Reports","id":"ITEM-2","issue":"1","issued":{"date-parts":[["2015","5","21"]]},"page":"3791","title":"Combinatorial gene editing in mammalian cells using ssODNs and TALENs","type":"article-journal","volume":"4"},"uris":["http://www.mendeley.com/documents/?uuid=e4d8d722-567d-4ef0-96f7-51d53faeb97e"]}],"mendeley":{"formattedCitation":"(Aarts &amp; te Riele, 2010; Strouse et al., 2015)","plainTextFormattedCitation":"(Aarts &amp; te Riele, 2010; Strouse et al., 2015)","previouslyFormattedCitation":"(Aarts &amp; te Riele, 2010; Strouse et al., 2015)"},"properties":{"noteIndex":0},"schema":"https://github.com/citation-style-language/schema/raw/master/csl-citation.json"}</w:instrText>
      </w:r>
      <w:r w:rsidR="00F03C7A">
        <w:rPr>
          <w:rFonts w:ascii="Times New Roman" w:eastAsia="Times New Roman" w:hAnsi="Times New Roman"/>
          <w:lang w:eastAsia="ar-SA"/>
        </w:rPr>
        <w:fldChar w:fldCharType="separate"/>
      </w:r>
      <w:r w:rsidR="00F03C7A" w:rsidRPr="00F03C7A">
        <w:rPr>
          <w:rFonts w:ascii="Times New Roman" w:eastAsia="Times New Roman" w:hAnsi="Times New Roman"/>
          <w:noProof/>
          <w:lang w:eastAsia="ar-SA"/>
        </w:rPr>
        <w:t>(Aarts &amp; te Riele, 2010; Strouse et al., 2015)</w:t>
      </w:r>
      <w:r w:rsidR="00F03C7A">
        <w:rPr>
          <w:rFonts w:ascii="Times New Roman" w:eastAsia="Times New Roman" w:hAnsi="Times New Roman"/>
          <w:lang w:eastAsia="ar-SA"/>
        </w:rPr>
        <w:fldChar w:fldCharType="end"/>
      </w:r>
      <w:r w:rsidR="007720DC" w:rsidRPr="7F255D25">
        <w:rPr>
          <w:rFonts w:ascii="Times New Roman" w:eastAsia="Times New Roman" w:hAnsi="Times New Roman"/>
          <w:lang w:eastAsia="ar-SA"/>
        </w:rPr>
        <w:t>.</w:t>
      </w:r>
    </w:p>
    <w:p w14:paraId="4E03EFDA" w14:textId="2B438B54" w:rsidR="00FC0109" w:rsidRPr="003531BC" w:rsidRDefault="005A58A2" w:rsidP="00FC0109">
      <w:pPr>
        <w:spacing w:before="120" w:after="120" w:line="240" w:lineRule="auto"/>
        <w:jc w:val="both"/>
        <w:rPr>
          <w:rFonts w:ascii="Times New Roman" w:eastAsia="Times New Roman" w:hAnsi="Times New Roman"/>
          <w:lang w:val="en-US" w:eastAsia="ar-SA"/>
        </w:rPr>
      </w:pPr>
      <w:r>
        <w:rPr>
          <w:rFonts w:ascii="Times New Roman" w:eastAsia="Times New Roman" w:hAnsi="Times New Roman"/>
          <w:lang w:eastAsia="ar-SA"/>
        </w:rPr>
        <w:t>SDN techniques include</w:t>
      </w:r>
      <w:r w:rsidR="02DADC1B" w:rsidRPr="167E2C68">
        <w:rPr>
          <w:rFonts w:ascii="Times New Roman" w:eastAsia="Times New Roman" w:hAnsi="Times New Roman"/>
          <w:kern w:val="1"/>
          <w:lang w:eastAsia="ar-SA"/>
        </w:rPr>
        <w:t xml:space="preserve"> </w:t>
      </w:r>
      <w:r w:rsidR="0EADC344" w:rsidRPr="7FCFE169">
        <w:rPr>
          <w:rFonts w:ascii="Times New Roman" w:eastAsia="Times New Roman" w:hAnsi="Times New Roman"/>
          <w:lang w:eastAsia="ar-SA"/>
        </w:rPr>
        <w:t>meganucleases</w:t>
      </w:r>
      <w:r w:rsidR="003D3CAD">
        <w:rPr>
          <w:rFonts w:ascii="Times New Roman" w:eastAsia="Times New Roman" w:hAnsi="Times New Roman"/>
          <w:lang w:eastAsia="ar-SA"/>
        </w:rPr>
        <w:t xml:space="preserve"> (MN)</w:t>
      </w:r>
      <w:r w:rsidR="0EADC344" w:rsidRPr="7FCFE169">
        <w:rPr>
          <w:rFonts w:ascii="Times New Roman" w:eastAsia="Times New Roman" w:hAnsi="Times New Roman"/>
          <w:lang w:eastAsia="ar-SA"/>
        </w:rPr>
        <w:t>,</w:t>
      </w:r>
      <w:r w:rsidR="02DADC1B" w:rsidRPr="7FCFE169">
        <w:rPr>
          <w:rFonts w:ascii="Times New Roman" w:eastAsia="Times New Roman" w:hAnsi="Times New Roman"/>
          <w:lang w:eastAsia="ar-SA"/>
        </w:rPr>
        <w:t xml:space="preserve"> </w:t>
      </w:r>
      <w:r w:rsidR="02DADC1B" w:rsidRPr="167E2C68">
        <w:rPr>
          <w:rFonts w:ascii="Times New Roman" w:eastAsia="Times New Roman" w:hAnsi="Times New Roman"/>
          <w:kern w:val="1"/>
          <w:lang w:eastAsia="ar-SA"/>
        </w:rPr>
        <w:t>zinc finger nucleases (ZFN), transcription activator-like effector nucleases (TALEN), and CRISPR</w:t>
      </w:r>
      <w:r w:rsidR="005660AD">
        <w:rPr>
          <w:rFonts w:ascii="Times New Roman" w:eastAsia="Times New Roman" w:hAnsi="Times New Roman"/>
          <w:kern w:val="1"/>
          <w:lang w:eastAsia="ar-SA"/>
        </w:rPr>
        <w:t>.</w:t>
      </w:r>
      <w:r w:rsidR="02DADC1B" w:rsidRPr="167E2C68">
        <w:rPr>
          <w:rFonts w:ascii="Times New Roman" w:eastAsia="Times New Roman" w:hAnsi="Times New Roman"/>
          <w:kern w:val="1"/>
          <w:lang w:eastAsia="ar-SA"/>
        </w:rPr>
        <w:t xml:space="preserve"> </w:t>
      </w:r>
      <w:r w:rsidR="003224BF">
        <w:rPr>
          <w:rFonts w:ascii="Times New Roman" w:eastAsia="Times New Roman" w:hAnsi="Times New Roman"/>
          <w:kern w:val="1"/>
          <w:lang w:eastAsia="ar-SA"/>
        </w:rPr>
        <w:t>These techniques</w:t>
      </w:r>
      <w:r w:rsidR="02DADC1B" w:rsidRPr="167E2C68">
        <w:rPr>
          <w:rFonts w:ascii="Times New Roman" w:eastAsia="Times New Roman" w:hAnsi="Times New Roman"/>
          <w:kern w:val="1"/>
          <w:lang w:eastAsia="ar-SA"/>
        </w:rPr>
        <w:t xml:space="preserve"> can be engineered to bind to DNA sequences in specific manners </w:t>
      </w:r>
      <w:r w:rsidR="00DF2E68">
        <w:rPr>
          <w:rFonts w:ascii="Times New Roman" w:eastAsia="Times New Roman" w:hAnsi="Times New Roman"/>
          <w:kern w:val="1"/>
          <w:lang w:eastAsia="ar-SA"/>
        </w:rPr>
        <w:fldChar w:fldCharType="begin" w:fldLock="1"/>
      </w:r>
      <w:r w:rsidR="001176F2">
        <w:rPr>
          <w:rFonts w:ascii="Times New Roman" w:eastAsia="Times New Roman" w:hAnsi="Times New Roman"/>
          <w:kern w:val="1"/>
          <w:lang w:eastAsia="ar-SA"/>
        </w:rPr>
        <w:instrText>ADDIN CSL_CITATION {"citationItems":[{"id":"ITEM-1","itemData":{"DOI":"10.1038/nbt.2684","ISSN":"1087-0156","author":[{"dropping-particle":"","family":"Carroll","given":"Dana","non-dropping-particle":"","parse-names":false,"suffix":""}],"container-title":"Nature Biotechnology","id":"ITEM-1","issue":"9","issued":{"date-parts":[["2013","9","10"]]},"page":"807-809","title":"Staying on target with CRISPR-Cas","type":"article-journal","volume":"31"},"uris":["http://www.mendeley.com/documents/?uuid=5f03bfab-9415-4b71-b0b3-94413f232d72"]},{"id":"ITEM-2","itemData":{"DOI":"10.1038/nrm3738","ISSN":"1471-0072","author":[{"dropping-particle":"","family":"Lienert","given":"Florian","non-dropping-particle":"","parse-names":false,"suffix":""},{"dropping-particle":"","family":"Lohmueller","given":"Jason J.","non-dropping-particle":"","parse-names":false,"suffix":""},{"dropping-particle":"","family":"Garg","given":"Abhishek","non-dropping-particle":"","parse-names":false,"suffix":""},{"dropping-particle":"","family":"Silver","given":"Pamela A.","non-dropping-particle":"","parse-names":false,"suffix":""}],"container-title":"Nature Reviews Molecular Cell Biology","id":"ITEM-2","issue":"2","issued":{"date-parts":[["2014","2","17"]]},"page":"95-107","title":"Synthetic biology in mammalian cells: next generation research tools and therapeutics","type":"article-journal","volume":"15"},"uris":["http://www.mendeley.com/documents/?uuid=7c659b3f-68b3-4c9d-9e84-fd08b01496a7"]},{"id":"ITEM-3","itemData":{"DOI":"10.1101/cshperspect.a023754","ISSN":"19430264","PMID":"27908936","abstract":"Targeted nucleases have provided researchers with the ability to manipulate virtually any genomic sequence, enabling the facile creation of isogenic cell lines and animal models for the study of human disease, and promoting exciting new possibilities for human gene therapy. Here we review three foundational technologies—clustered regularly interspaced short palindromic repeats (CRISPR)-CRISPR-associated protein 9 (Cas9), transcription activator- like effector nucleases (TALENs), and zinc-finger nucleases (ZFNs). We discuss the engineering advances that facilitated their development and highlight several achievements in genome engineering that were made possible by these tools. We also consider artificial transcription factors, illustrating howthis technology can complement targeted nucleases for synthetic biology and gene therapy.","author":[{"dropping-particle":"","family":"Gaj","given":"Thomas","non-dropping-particle":"","parse-names":false,"suffix":""},{"dropping-particle":"","family":"Sirk","given":"Shannon J","non-dropping-particle":"","parse-names":false,"suffix":""},{"dropping-particle":"","family":"Shui","given":"Sai Lan","non-dropping-particle":"","parse-names":false,"suffix":""},{"dropping-particle":"","family":"Liu","given":"Jia","non-dropping-particle":"","parse-names":false,"suffix":""}],"container-title":"Cold Spring Harbor Perspectives in Biology","id":"ITEM-3","issue":"12","issued":{"date-parts":[["2016"]]},"publisher":"Cold Spring Harbor Laboratory Press","title":"Genome-editing technologies: Principles and applications","type":"article-journal","volume":"8"},"uris":["http://www.mendeley.com/documents/?uuid=f3c7721c-8dbb-4ace-957d-766f9254a170"]}],"mendeley":{"formattedCitation":"(Carroll, 2013; Gaj et al., 2016; Lienert et al., 2014)","plainTextFormattedCitation":"(Carroll, 2013; Gaj et al., 2016; Lienert et al., 2014)","previouslyFormattedCitation":"(Carroll, 2013; Gaj et al., 2016; Lienert et al., 2014)"},"properties":{"noteIndex":0},"schema":"https://github.com/citation-style-language/schema/raw/master/csl-citation.json"}</w:instrText>
      </w:r>
      <w:r w:rsidR="00DF2E68">
        <w:rPr>
          <w:rFonts w:ascii="Times New Roman" w:eastAsia="Times New Roman" w:hAnsi="Times New Roman"/>
          <w:kern w:val="1"/>
          <w:lang w:eastAsia="ar-SA"/>
        </w:rPr>
        <w:fldChar w:fldCharType="separate"/>
      </w:r>
      <w:r w:rsidR="000D1EFF" w:rsidRPr="000D1EFF">
        <w:rPr>
          <w:rFonts w:ascii="Times New Roman" w:eastAsia="Times New Roman" w:hAnsi="Times New Roman"/>
          <w:noProof/>
          <w:kern w:val="1"/>
          <w:lang w:eastAsia="ar-SA"/>
        </w:rPr>
        <w:t>(Carroll, 2013; Gaj et al., 2016; Lienert et al., 2014)</w:t>
      </w:r>
      <w:r w:rsidR="00DF2E68">
        <w:rPr>
          <w:rFonts w:ascii="Times New Roman" w:eastAsia="Times New Roman" w:hAnsi="Times New Roman"/>
          <w:kern w:val="1"/>
          <w:lang w:eastAsia="ar-SA"/>
        </w:rPr>
        <w:fldChar w:fldCharType="end"/>
      </w:r>
      <w:r w:rsidR="02DADC1B" w:rsidRPr="625692F6">
        <w:rPr>
          <w:rFonts w:ascii="Times New Roman" w:eastAsia="Times New Roman" w:hAnsi="Times New Roman"/>
          <w:lang w:eastAsia="ar-SA"/>
        </w:rPr>
        <w:t xml:space="preserve">. </w:t>
      </w:r>
      <w:r w:rsidR="7E455DAC" w:rsidRPr="10B12CF3">
        <w:rPr>
          <w:rFonts w:ascii="Times New Roman" w:eastAsia="Times New Roman" w:hAnsi="Times New Roman"/>
          <w:lang w:eastAsia="ar-SA"/>
        </w:rPr>
        <w:t xml:space="preserve">Approaches using SDNs and ODM are applied to introduce random (SDN-1) or directed sequence changes (SDN-2 and ODM) at specific, predefined genomic loci. These approaches do not necessarily require the stable introduction of recombinant constructs into the </w:t>
      </w:r>
      <w:r w:rsidR="69F7E835" w:rsidRPr="10B12CF3">
        <w:rPr>
          <w:rFonts w:ascii="Times New Roman" w:eastAsia="Times New Roman" w:hAnsi="Times New Roman"/>
          <w:lang w:eastAsia="ar-SA"/>
        </w:rPr>
        <w:t>host organism</w:t>
      </w:r>
      <w:r w:rsidR="7E455DAC" w:rsidRPr="10B12CF3">
        <w:rPr>
          <w:rFonts w:ascii="Times New Roman" w:eastAsia="Times New Roman" w:hAnsi="Times New Roman"/>
          <w:lang w:eastAsia="ar-SA"/>
        </w:rPr>
        <w:t xml:space="preserve"> genome. ODM for example is directed by small-sized synthetic oligonucleotides, which are transiently introduced into the recipient cells and supposed to be degraded by the cellular metabolism. SDNs which facilitate genome editing can either be inserted into the genome of the target cell as a </w:t>
      </w:r>
      <w:r w:rsidR="00997E1A" w:rsidRPr="10B12CF3">
        <w:rPr>
          <w:rFonts w:ascii="Times New Roman" w:eastAsia="Times New Roman" w:hAnsi="Times New Roman"/>
          <w:lang w:eastAsia="ar-SA"/>
        </w:rPr>
        <w:t>transgene or</w:t>
      </w:r>
      <w:r w:rsidR="7E455DAC" w:rsidRPr="10B12CF3">
        <w:rPr>
          <w:rFonts w:ascii="Times New Roman" w:eastAsia="Times New Roman" w:hAnsi="Times New Roman"/>
          <w:lang w:eastAsia="ar-SA"/>
        </w:rPr>
        <w:t xml:space="preserve"> introduced into</w:t>
      </w:r>
      <w:r w:rsidR="1D963922" w:rsidRPr="10B12CF3">
        <w:rPr>
          <w:rFonts w:ascii="Times New Roman" w:eastAsia="Times New Roman" w:hAnsi="Times New Roman"/>
          <w:lang w:eastAsia="ar-SA"/>
        </w:rPr>
        <w:t xml:space="preserve"> </w:t>
      </w:r>
      <w:r w:rsidR="7E455DAC" w:rsidRPr="10B12CF3">
        <w:rPr>
          <w:rFonts w:ascii="Times New Roman" w:eastAsia="Times New Roman" w:hAnsi="Times New Roman"/>
          <w:lang w:eastAsia="ar-SA"/>
        </w:rPr>
        <w:t>target cells as functional (ribonucleo)proteins from transiently introduced DNA constructs. Some approaches for genome editing,</w:t>
      </w:r>
      <w:r w:rsidR="7B0AF5ED" w:rsidRPr="10B12CF3">
        <w:rPr>
          <w:rFonts w:ascii="Times New Roman" w:eastAsia="Times New Roman" w:hAnsi="Times New Roman"/>
          <w:lang w:eastAsia="ar-SA"/>
        </w:rPr>
        <w:t xml:space="preserve"> </w:t>
      </w:r>
      <w:r w:rsidR="7E455DAC" w:rsidRPr="10B12CF3">
        <w:rPr>
          <w:rFonts w:ascii="Times New Roman" w:eastAsia="Times New Roman" w:hAnsi="Times New Roman"/>
          <w:lang w:eastAsia="ar-SA"/>
        </w:rPr>
        <w:t>commonly referred to as SDN-3, facilitate the insertion of</w:t>
      </w:r>
      <w:r w:rsidR="3C9DCA41" w:rsidRPr="10B12CF3">
        <w:rPr>
          <w:rFonts w:ascii="Times New Roman" w:eastAsia="Times New Roman" w:hAnsi="Times New Roman"/>
          <w:lang w:eastAsia="ar-SA"/>
        </w:rPr>
        <w:t xml:space="preserve"> </w:t>
      </w:r>
      <w:r w:rsidR="7E455DAC" w:rsidRPr="10B12CF3">
        <w:rPr>
          <w:rFonts w:ascii="Times New Roman" w:eastAsia="Times New Roman" w:hAnsi="Times New Roman"/>
          <w:lang w:eastAsia="ar-SA"/>
        </w:rPr>
        <w:t xml:space="preserve">transgenic constructs at specific genomic locations. The respective </w:t>
      </w:r>
      <w:r w:rsidR="1B5857EE" w:rsidRPr="10B12CF3">
        <w:rPr>
          <w:rFonts w:ascii="Times New Roman" w:eastAsia="Times New Roman" w:hAnsi="Times New Roman"/>
          <w:lang w:eastAsia="ar-SA"/>
        </w:rPr>
        <w:t>changes and</w:t>
      </w:r>
      <w:r w:rsidR="7E455DAC" w:rsidRPr="10B12CF3">
        <w:rPr>
          <w:rFonts w:ascii="Times New Roman" w:eastAsia="Times New Roman" w:hAnsi="Times New Roman"/>
          <w:lang w:eastAsia="ar-SA"/>
        </w:rPr>
        <w:t xml:space="preserve"> transgenic insertions</w:t>
      </w:r>
      <w:r w:rsidR="581E904F" w:rsidRPr="10B12CF3">
        <w:rPr>
          <w:rFonts w:ascii="Times New Roman" w:eastAsia="Times New Roman" w:hAnsi="Times New Roman"/>
          <w:lang w:eastAsia="ar-SA"/>
        </w:rPr>
        <w:t xml:space="preserve"> </w:t>
      </w:r>
      <w:r w:rsidR="7E455DAC" w:rsidRPr="10B12CF3">
        <w:rPr>
          <w:rFonts w:ascii="Times New Roman" w:eastAsia="Times New Roman" w:hAnsi="Times New Roman"/>
          <w:lang w:eastAsia="ar-SA"/>
        </w:rPr>
        <w:t xml:space="preserve">present in the final </w:t>
      </w:r>
      <w:r w:rsidR="2C45FDD0" w:rsidRPr="10B12CF3">
        <w:rPr>
          <w:rFonts w:ascii="Times New Roman" w:eastAsia="Times New Roman" w:hAnsi="Times New Roman"/>
          <w:lang w:eastAsia="ar-SA"/>
        </w:rPr>
        <w:t>host organism</w:t>
      </w:r>
      <w:r w:rsidR="2C05A13E" w:rsidRPr="10B12CF3">
        <w:rPr>
          <w:rFonts w:ascii="Times New Roman" w:eastAsia="Times New Roman" w:hAnsi="Times New Roman"/>
          <w:lang w:eastAsia="ar-SA"/>
        </w:rPr>
        <w:t xml:space="preserve"> </w:t>
      </w:r>
      <w:r w:rsidR="7E455DAC" w:rsidRPr="10B12CF3">
        <w:rPr>
          <w:rFonts w:ascii="Times New Roman" w:eastAsia="Times New Roman" w:hAnsi="Times New Roman"/>
          <w:lang w:eastAsia="ar-SA"/>
        </w:rPr>
        <w:t>and are heritable</w:t>
      </w:r>
      <w:r w:rsidR="5BE0AFB4" w:rsidRPr="10B12CF3">
        <w:rPr>
          <w:rFonts w:ascii="Times New Roman" w:eastAsia="Times New Roman" w:hAnsi="Times New Roman"/>
          <w:lang w:eastAsia="ar-SA"/>
        </w:rPr>
        <w:t xml:space="preserve"> </w:t>
      </w:r>
      <w:r w:rsidR="00307CF3">
        <w:rPr>
          <w:rFonts w:ascii="Times New Roman" w:eastAsia="Times New Roman" w:hAnsi="Times New Roman"/>
          <w:lang w:eastAsia="ar-SA"/>
        </w:rPr>
        <w:fldChar w:fldCharType="begin" w:fldLock="1"/>
      </w:r>
      <w:r w:rsidR="00C10F2C">
        <w:rPr>
          <w:rFonts w:ascii="Times New Roman" w:eastAsia="Times New Roman" w:hAnsi="Times New Roman"/>
          <w:lang w:eastAsia="ar-SA"/>
        </w:rPr>
        <w:instrText>ADDIN CSL_CITATION {"citationItems":[{"id":"ITEM-1","itemData":{"DOI":"10.3389/fbioe.2019.00031","ISSN":"2296-4185","author":[{"dropping-particle":"","family":"Eckerstorfer","given":"Michael F.","non-dropping-particle":"","parse-names":false,"suffix":""},{"dropping-particle":"","family":"Heissenberger","given":"Andreas","non-dropping-particle":"","parse-names":false,"suffix":""},{"dropping-particle":"","family":"Reichenbecher","given":"Wolfram","non-dropping-particle":"","parse-names":false,"suffix":""},{"dropping-particle":"","family":"Steinbrecher","given":"Ricarda A.","non-dropping-particle":"","parse-names":false,"suffix":""},{"dropping-particle":"","family":"Waßmann","given":"Friedrich","non-dropping-particle":"","parse-names":false,"suffix":""}],"container-title":"Frontiers in Bioengineering and Biotechnology","id":"ITEM-1","issued":{"date-parts":[["2019","3","5"]]},"title":"An EU Perspective on Biosafety Considerations for Plants Developed by Genome Editing and Other New Genetic Modification Techniques (nGMs)","type":"article-journal","volume":"7"},"uris":["http://www.mendeley.com/documents/?uuid=5233418b-6373-4ef9-8516-d6ce277d2ce4"]}],"mendeley":{"formattedCitation":"(Eckerstorfer, Heissenberger, et al., 2019)","plainTextFormattedCitation":"(Eckerstorfer, Heissenberger, et al., 2019)","previouslyFormattedCitation":"(Eckerstorfer, Heissenberger, et al., 2019)"},"properties":{"noteIndex":0},"schema":"https://github.com/citation-style-language/schema/raw/master/csl-citation.json"}</w:instrText>
      </w:r>
      <w:r w:rsidR="00307CF3">
        <w:rPr>
          <w:rFonts w:ascii="Times New Roman" w:eastAsia="Times New Roman" w:hAnsi="Times New Roman"/>
          <w:lang w:eastAsia="ar-SA"/>
        </w:rPr>
        <w:fldChar w:fldCharType="separate"/>
      </w:r>
      <w:r w:rsidR="00006C3B" w:rsidRPr="00006C3B">
        <w:rPr>
          <w:rFonts w:ascii="Times New Roman" w:eastAsia="Times New Roman" w:hAnsi="Times New Roman"/>
          <w:noProof/>
          <w:lang w:eastAsia="ar-SA"/>
        </w:rPr>
        <w:t>(Eckerstorfer, Heissenberger, et al., 2019)</w:t>
      </w:r>
      <w:r w:rsidR="00307CF3">
        <w:rPr>
          <w:rFonts w:ascii="Times New Roman" w:eastAsia="Times New Roman" w:hAnsi="Times New Roman"/>
          <w:lang w:eastAsia="ar-SA"/>
        </w:rPr>
        <w:fldChar w:fldCharType="end"/>
      </w:r>
      <w:r w:rsidR="7E455DAC" w:rsidRPr="10B12CF3">
        <w:rPr>
          <w:rFonts w:ascii="Times New Roman" w:eastAsia="Times New Roman" w:hAnsi="Times New Roman"/>
          <w:lang w:eastAsia="ar-SA"/>
        </w:rPr>
        <w:t xml:space="preserve">. </w:t>
      </w:r>
      <w:r w:rsidR="00793E4C" w:rsidRPr="324E335E">
        <w:rPr>
          <w:rFonts w:ascii="Times New Roman" w:eastAsia="Times New Roman" w:hAnsi="Times New Roman"/>
          <w:lang w:eastAsia="ar-SA"/>
        </w:rPr>
        <w:t xml:space="preserve">ZFN, TALEN, and CRISPR have been used </w:t>
      </w:r>
      <w:r w:rsidR="00793E4C" w:rsidRPr="00ED00C6">
        <w:rPr>
          <w:rFonts w:ascii="Times New Roman" w:eastAsia="Times New Roman" w:hAnsi="Times New Roman"/>
          <w:i/>
          <w:lang w:eastAsia="ar-SA"/>
        </w:rPr>
        <w:t>ex vivo</w:t>
      </w:r>
      <w:r w:rsidR="00793E4C" w:rsidRPr="324E335E">
        <w:rPr>
          <w:rFonts w:ascii="Times New Roman" w:eastAsia="Times New Roman" w:hAnsi="Times New Roman"/>
          <w:lang w:eastAsia="ar-SA"/>
        </w:rPr>
        <w:t xml:space="preserve"> to edit prokaryotic and eukaryotic cells </w:t>
      </w:r>
      <w:r w:rsidR="008C7B3E">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10.3389/fpls.2019.00236","ISSN":"1664-462X","author":[{"dropping-particle":"","family":"Grohmann","given":"Lutz","non-dropping-particle":"","parse-names":false,"suffix":""},{"dropping-particle":"","family":"Keilwagen","given":"Jens","non-dropping-particle":"","parse-names":false,"suffix":""},{"dropping-particle":"","family":"Duensing","given":"Nina","non-dropping-particle":"","parse-names":false,"suffix":""},{"dropping-particle":"","family":"Dagand","given":"Emilie","non-dropping-particle":"","parse-names":false,"suffix":""},{"dropping-particle":"","family":"Hartung","given":"Frank","non-dropping-particle":"","parse-names":false,"suffix":""},{"dropping-particle":"","family":"Wilhelm","given":"Ralf","non-dropping-particle":"","parse-names":false,"suffix":""},{"dropping-particle":"","family":"Bendiek","given":"Joachim","non-dropping-particle":"","parse-names":false,"suffix":""},{"dropping-particle":"","family":"Sprink","given":"Thorben","non-dropping-particle":"","parse-names":false,"suffix":""}],"container-title":"Frontiers in Plant Science","id":"ITEM-1","issued":{"date-parts":[["2019","3","12"]]},"title":"Detection and Identification of Genome Editing in Plants: Challenges and Opportunities","type":"article-journal","volume":"10"},"uris":["http://www.mendeley.com/documents/?uuid=3ef28ffe-ae9e-4d07-9e8b-8a2ea23f1cc2"]}],"mendeley":{"formattedCitation":"(Grohmann et al., 2019)","plainTextFormattedCitation":"(Grohmann et al., 2019)","previouslyFormattedCitation":"(Grohmann et al., 2019)"},"properties":{"noteIndex":0},"schema":"https://github.com/citation-style-language/schema/raw/master/csl-citation.json"}</w:instrText>
      </w:r>
      <w:r w:rsidR="008C7B3E">
        <w:rPr>
          <w:rFonts w:ascii="Times New Roman" w:eastAsia="Times New Roman" w:hAnsi="Times New Roman"/>
          <w:lang w:eastAsia="ar-SA"/>
        </w:rPr>
        <w:fldChar w:fldCharType="separate"/>
      </w:r>
      <w:r w:rsidR="008C7B3E" w:rsidRPr="008C7B3E">
        <w:rPr>
          <w:rFonts w:ascii="Times New Roman" w:eastAsia="Times New Roman" w:hAnsi="Times New Roman"/>
          <w:noProof/>
          <w:lang w:eastAsia="ar-SA"/>
        </w:rPr>
        <w:t>(Grohmann et al., 2019)</w:t>
      </w:r>
      <w:r w:rsidR="008C7B3E">
        <w:rPr>
          <w:rFonts w:ascii="Times New Roman" w:eastAsia="Times New Roman" w:hAnsi="Times New Roman"/>
          <w:lang w:eastAsia="ar-SA"/>
        </w:rPr>
        <w:fldChar w:fldCharType="end"/>
      </w:r>
      <w:r w:rsidR="00793E4C" w:rsidRPr="324E335E">
        <w:rPr>
          <w:rFonts w:ascii="Times New Roman" w:eastAsia="Times New Roman" w:hAnsi="Times New Roman"/>
          <w:lang w:eastAsia="ar-SA"/>
        </w:rPr>
        <w:t xml:space="preserve">. </w:t>
      </w:r>
      <w:r w:rsidR="00FC0109" w:rsidRPr="625692F6">
        <w:rPr>
          <w:rFonts w:ascii="Times New Roman" w:eastAsia="Times New Roman" w:hAnsi="Times New Roman"/>
          <w:kern w:val="1"/>
          <w:lang w:eastAsia="ar-SA"/>
        </w:rPr>
        <w:t xml:space="preserve">TALENs </w:t>
      </w:r>
      <w:r w:rsidR="00FC0109" w:rsidRPr="324E335E">
        <w:rPr>
          <w:rFonts w:ascii="Times New Roman" w:eastAsia="Times New Roman" w:hAnsi="Times New Roman"/>
          <w:lang w:eastAsia="ar-SA"/>
        </w:rPr>
        <w:t xml:space="preserve">has been used to efficiently modify plant genomes </w:t>
      </w:r>
      <w:r w:rsidR="00FC0109">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{"citationItems":[{"id":"ITEM-1","itemData":{"DOI":"10.1104/pp.112.205179","ISSN":"00320889","PMID":"23124327","abstract":"The ability to precisely engineer plant genomes offers much potential for advancing basic and applied plant biology. Here, we describe methods for the targeted modification of plant genomes using transcription activator-like effector nucleases (TALENs). Methods were optimized using tobacco (Nicotiana tabacum) protoplasts and TALENs targeting the acetolactate synthase (ALS) gene. Optimal TALEN scaffolds were identified using a protoplast-based single-strand annealing assay in which TALEN cleavage creates a functional yellow fluorescent protein gene, enabling quantification of TALEN activity by flow cytometry. Single-strand annealing activity data for TALENs with different scaffolds correlated highly with their activity at endogenous targets, as measured by high-throughput DNA sequencing of polymerase chain reaction products encompassing the TALEN recognition sites. TALENs introduced targeted mutations in ALS in 30% of transformed cells, and the frequencies of targeted gene insertion approximated 14%. These efficiencies made it possible to recover genome modifications without selection or enrichment regimes: 32% of tobacco calli generated from protoplasts transformed with TALEN-encoding constructs had TALEN-induced mutations in ALS, and of 16 calli characterized in detail, all had mutations in one allele each of the duplicate ALS genes (SurA and SurB). In calli derived from cells treated with a TALEN and a 322-bp donor molecule differing by 6 bp from the ALS coding sequence, 4% showed evidence of targeted gene replacement. The optimized reagents implemented in plant protoplasts should be useful for targeted modification of cells from diverse plant species and using a variety of means for reagent delivery. © 2012 American Society of Plant Biologists. All Rights Reserved.","author":[{"dropping-particle":"","family":"Zhang","given":"Yong","non-dropping-particle":"","parse-names":false,"suffix":""},{"dropping-particle":"","family":"Zhang","given":"Feng","non-dropping-particle":"","parse-names":false,"suffix":""},{"dropping-particle":"","family":"Li","given":"Xiaohong","non-dropping-particle":"","parse-names":false,"suffix":""},{"dropping-particle":"","family":"Baller","given":"Joshua A.","non-dropping-particle":"","parse-names":false,"suffix":""},{"dropping-particle":"","family":"Qi","given":"Yiping","non-dropping-particle":"","parse-names":false,"suffix":""},{"dropping-particle":"","family":"Starker","given":"Colby G.","non-dropping-particle":"","parse-names":false,"suffix":""},{"dropping-particle":"","family":"Bogdanove","given":"Adam J.","non-dropping-particle":"","parse-names":false,"suffix":""},{"dropping-particle":"","family":"Voytas","given":"Daniel F.","non-dropping-particle":"","parse-names":false,"suffix":""}],"container-title":"Plant Physiology","id":"ITEM-1","issue":"1","issued":{"date-parts":[["2013","1"]]},"page":"20-27","publisher":"American Society of Plant Biologists","title":"Transcription activator-like effector nucleases enable efficient plant genome engineering","type":"article-journal","volume":"161"},"uris":["http://www.mendeley.com/documents/?uuid=37616453-83fe-4411-b565-348e283714a6"]}],"mendeley":{"formattedCitation":"(Yong Zhang et al., 2013)","manualFormatting":"(Zhang et al., 2013)","plainTextFormattedCitation":"(Yong Zhang et al., 2013)","previouslyFormattedCitation":"(Yong Zhang et al., 2013)"},"properties":{"noteIndex":0},"schema":"https://github.com/citation-style-language/schema/raw/master/csl-citation.json"}</w:instrText>
      </w:r>
      <w:r w:rsidR="00FC0109">
        <w:rPr>
          <w:rFonts w:ascii="Times New Roman" w:eastAsia="Times New Roman" w:hAnsi="Times New Roman"/>
          <w:lang w:eastAsia="ar-SA"/>
        </w:rPr>
        <w:fldChar w:fldCharType="separate"/>
      </w:r>
      <w:r w:rsidR="00FC0109" w:rsidRPr="00EB32BC">
        <w:rPr>
          <w:rFonts w:ascii="Times New Roman" w:eastAsia="Times New Roman" w:hAnsi="Times New Roman"/>
          <w:noProof/>
          <w:lang w:eastAsia="ar-SA"/>
        </w:rPr>
        <w:t>(Zhang et al., 2013)</w:t>
      </w:r>
      <w:r w:rsidR="00FC0109">
        <w:rPr>
          <w:rFonts w:ascii="Times New Roman" w:eastAsia="Times New Roman" w:hAnsi="Times New Roman"/>
          <w:lang w:eastAsia="ar-SA"/>
        </w:rPr>
        <w:fldChar w:fldCharType="end"/>
      </w:r>
      <w:r w:rsidR="00FC0109" w:rsidRPr="625692F6">
        <w:rPr>
          <w:rFonts w:ascii="Times New Roman" w:eastAsia="Times New Roman" w:hAnsi="Times New Roman"/>
          <w:kern w:val="1"/>
          <w:lang w:eastAsia="ar-SA"/>
        </w:rPr>
        <w:t xml:space="preserve">, for example, to create a mutation in rice aiming at increasing its resistance to the bacterial pathogen </w:t>
      </w:r>
      <w:r w:rsidR="00FC0109" w:rsidRPr="06DD7B6A">
        <w:rPr>
          <w:rFonts w:ascii="Times New Roman" w:eastAsia="Times New Roman" w:hAnsi="Times New Roman"/>
          <w:i/>
          <w:kern w:val="1"/>
          <w:lang w:eastAsia="ar-SA"/>
        </w:rPr>
        <w:t>Xanthomonas oryzae</w:t>
      </w:r>
      <w:r w:rsidR="00FC0109" w:rsidRPr="167E2C68">
        <w:rPr>
          <w:rFonts w:ascii="Times New Roman" w:eastAsia="Times New Roman" w:hAnsi="Times New Roman"/>
          <w:kern w:val="1"/>
          <w:lang w:eastAsia="ar-SA"/>
        </w:rPr>
        <w:t xml:space="preserve">, </w:t>
      </w:r>
      <w:r w:rsidR="006703B0">
        <w:rPr>
          <w:rFonts w:ascii="Times New Roman" w:eastAsia="Times New Roman" w:hAnsi="Times New Roman"/>
          <w:kern w:val="1"/>
          <w:lang w:eastAsia="ar-SA"/>
        </w:rPr>
        <w:fldChar w:fldCharType="begin" w:fldLock="1"/>
      </w:r>
      <w:r w:rsidR="00915828">
        <w:rPr>
          <w:rFonts w:ascii="Times New Roman" w:eastAsia="Times New Roman" w:hAnsi="Times New Roman"/>
          <w:kern w:val="1"/>
          <w:lang w:eastAsia="ar-SA"/>
        </w:rPr>
        <w:instrText>ADDIN CSL_CITATION {"citationItems":[{"id":"ITEM-1","itemData":{"DOI":"10.1038/nbt.2199","ISSN":"1087-0156","author":[{"dropping-particle":"","family":"Li","given":"Ting","non-dropping-particle":"","parse-names":false,"suffix":""},{"dropping-particle":"","family":"Liu","given":"Bo","non-dropping-particle":"","parse-names":false,"suffix":""},{"dropping-particle":"","family":"Spalding","given":"Martin H","non-dropping-particle":"","parse-names":false,"suffix":""},{"dropping-particle":"","family":"Weeks","given":"Donald P","non-dropping-particle":"","parse-names":false,"suffix":""},{"dropping-particle":"","family":"Yang","given":"Bing","non-dropping-particle":"","parse-names":false,"suffix":""}],"container-title":"Nature Biotechnology","id":"ITEM-1","issue":"5","issued":{"date-parts":[["2012","5","7"]]},"page":"390-392","title":"High-efficiency TALEN-based gene editing produces disease-resistant rice","type":"article-journal","volume":"30"},"uris":["http://www.mendeley.com/documents/?uuid=f20ba831-02a3-4d45-b772-7049aeccb1a4"]}],"mendeley":{"formattedCitation":"(T. Li et al., 2012)","plainTextFormattedCitation":"(T. Li et al., 2012)","previouslyFormattedCitation":"(T. Li et al., 2012)"},"properties":{"noteIndex":0},"schema":"https://github.com/citation-style-language/schema/raw/master/csl-citation.json"}</w:instrText>
      </w:r>
      <w:r w:rsidR="006703B0">
        <w:rPr>
          <w:rFonts w:ascii="Times New Roman" w:eastAsia="Times New Roman" w:hAnsi="Times New Roman"/>
          <w:kern w:val="1"/>
          <w:lang w:eastAsia="ar-SA"/>
        </w:rPr>
        <w:fldChar w:fldCharType="separate"/>
      </w:r>
      <w:r w:rsidR="00915828" w:rsidRPr="00915828">
        <w:rPr>
          <w:rFonts w:ascii="Times New Roman" w:eastAsia="Times New Roman" w:hAnsi="Times New Roman"/>
          <w:noProof/>
          <w:kern w:val="1"/>
          <w:lang w:eastAsia="ar-SA"/>
        </w:rPr>
        <w:t>(T. Li et al., 2012)</w:t>
      </w:r>
      <w:r w:rsidR="006703B0">
        <w:rPr>
          <w:rFonts w:ascii="Times New Roman" w:eastAsia="Times New Roman" w:hAnsi="Times New Roman"/>
          <w:kern w:val="1"/>
          <w:lang w:eastAsia="ar-SA"/>
        </w:rPr>
        <w:fldChar w:fldCharType="end"/>
      </w:r>
      <w:r w:rsidR="00A81520">
        <w:rPr>
          <w:rFonts w:ascii="Times New Roman" w:eastAsia="Times New Roman" w:hAnsi="Times New Roman"/>
          <w:i/>
          <w:lang w:eastAsia="ar-SA"/>
        </w:rPr>
        <w:t xml:space="preserve"> </w:t>
      </w:r>
      <w:r w:rsidR="00FC0109" w:rsidRPr="625692F6">
        <w:rPr>
          <w:rFonts w:ascii="Times New Roman" w:eastAsia="Times New Roman" w:hAnsi="Times New Roman"/>
          <w:lang w:eastAsia="ar-SA"/>
        </w:rPr>
        <w:t>or a soy</w:t>
      </w:r>
      <w:r w:rsidR="00A81520">
        <w:rPr>
          <w:rFonts w:ascii="Times New Roman" w:eastAsia="Times New Roman" w:hAnsi="Times New Roman"/>
          <w:lang w:eastAsia="ar-SA"/>
        </w:rPr>
        <w:t xml:space="preserve">a </w:t>
      </w:r>
      <w:r w:rsidR="00FC0109" w:rsidRPr="625692F6">
        <w:rPr>
          <w:rFonts w:ascii="Times New Roman" w:eastAsia="Times New Roman" w:hAnsi="Times New Roman"/>
          <w:lang w:eastAsia="ar-SA"/>
        </w:rPr>
        <w:t>bean with i</w:t>
      </w:r>
      <w:r w:rsidR="00FC0109" w:rsidRPr="324E335E">
        <w:rPr>
          <w:rFonts w:ascii="Times New Roman" w:eastAsia="Times New Roman" w:hAnsi="Times New Roman"/>
          <w:lang w:eastAsia="ar-SA"/>
        </w:rPr>
        <w:t xml:space="preserve">mproved oil quality </w:t>
      </w:r>
      <w:r w:rsidR="00FC0109">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{"citationItems":[{"id":"ITEM-1","itemData":{"DOI":"10.1111/pbi.12201","ISSN":"14677652","PMID":"24851712","abstract":"Soybean oil is high in polyunsaturated fats and is often partially hydrogenated to increase its shelf life and improve oxidative stability. The trans-fatty acids produced through hydrogenation pose a health threat. Soybean lines that are low in polyunsaturated fats were generated by introducing mutations in two fatty acid desaturase 2 genes (FAD2-1A and FAD2-1B), which in the seed convert the monounsaturated fat, oleic acid, to the polyunsaturated fat, linoleic acid. Transcription activator-like effector nucleases (TALENs) were engineered to recognize and cleave conserved DNA sequences in both genes. In four of 19 transgenic soybean lines expressing the TALENs, mutations in FAD2-1A and FAD2-1B were observed in DNA extracted from leaf tissue; three of the four lines transmitted heritable FAD2-1 mutations to the next generation. The fatty acid profile of the seed was dramatically changed in plants homozygous for mutations in both FAD2-1A and FAD2-1B: oleic acid increased from 20% to 80% and linoleic acid decreased from 50% to under 4%. Further, mutant plants were identified that lacked the TALEN transgene and only carried the targeted mutations. The ability to create a valuable trait in a single generation through targeted modification of a gene family demonstrates the power of TALENs for genome engineering and crop improvement. © 2014 Society for Experimental Biology, Association of Applied Biologists and John Wiley &amp; Sons Ltd.","author":[{"dropping-particle":"","family":"Haun","given":"William","non-dropping-particle":"","parse-names":false,"suffix":""},{"dropping-particle":"","family":"Coffman","given":"Andrew","non-dropping-particle":"","parse-names":false,"suffix":""},{"dropping-particle":"","family":"Clasen","given":"Benjamin M.","non-dropping-particle":"","parse-names":false,"suffix":""},{"dropping-particle":"","family":"Demorest","given":"Zachary L.","non-dropping-particle":"","parse-names":false,"suffix":""},{"dropping-particle":"","family":"Lowy","given":"Anita","non-dropping-particle":"","parse-names":false,"suffix":""},{"dropping-particle":"","family":"Ray","given":"Erin","non-dropping-particle":"","parse-names":false,"suffix":""},{"dropping-particle":"","family":"Retterath","given":"Adam","non-dropping-particle":"","parse-names":false,"suffix":""},{"dropping-particle":"","family":"Stoddard","given":"Thomas","non-dropping-particle":"","parse-names":false,"suffix":""},{"dropping-particle":"","family":"Juillerat","given":"Alexandre","non-dropping-particle":"","parse-names":false,"suffix":""},{"dropping-particle":"","family":"Cedrone","given":"Frederic","non-dropping-particle":"","parse-names":false,"suffix":""},{"dropping-particle":"","family":"Mathis","given":"Luc","non-dropping-particle":"","parse-names":false,"suffix":""},{"dropping-particle":"","family":"Voytas","given":"Daniel F.","non-dropping-particle":"","parse-names":false,"suffix":""},{"dropping-particle":"","family":"Zhang","given":"Feng","non-dropping-particle":"","parse-names":false,"suffix":""}],"container-title":"Plant Biotechnology Journal","id":"ITEM-1","issue":"7","issued":{"date-parts":[["2014","9"]]},"page":"934-940","publisher":"Blackwell Publishing Ltd","title":"Improved soybean oil quality by targeted mutagenesis of the fatty acid desaturase 2 gene family","type":"article-journal","volume":"12"},"uris":["http://www.mendeley.com/documents/?uuid=77c1fe71-ef86-4a49-9a6f-bf7a5df1b47a"]}],"mendeley":{"formattedCitation":"(Haun et al., 2014)","plainTextFormattedCitation":"(Haun et al., 2014)","previouslyFormattedCitation":"(Haun et al., 2014)"},"properties":{"noteIndex":0},"schema":"https://github.com/citation-style-language/schema/raw/master/csl-citation.json"}</w:instrText>
      </w:r>
      <w:r w:rsidR="00FC0109">
        <w:rPr>
          <w:rFonts w:ascii="Times New Roman" w:eastAsia="Times New Roman" w:hAnsi="Times New Roman"/>
          <w:lang w:eastAsia="ar-SA"/>
        </w:rPr>
        <w:fldChar w:fldCharType="separate"/>
      </w:r>
      <w:r w:rsidR="00FC0109" w:rsidRPr="00FC6A34">
        <w:rPr>
          <w:rFonts w:ascii="Times New Roman" w:eastAsia="Times New Roman" w:hAnsi="Times New Roman"/>
          <w:noProof/>
          <w:lang w:eastAsia="ar-SA"/>
        </w:rPr>
        <w:t>(Haun et al., 2014)</w:t>
      </w:r>
      <w:r w:rsidR="00FC0109">
        <w:rPr>
          <w:rFonts w:ascii="Times New Roman" w:eastAsia="Times New Roman" w:hAnsi="Times New Roman"/>
          <w:lang w:eastAsia="ar-SA"/>
        </w:rPr>
        <w:fldChar w:fldCharType="end"/>
      </w:r>
      <w:r w:rsidR="00FC0109" w:rsidRPr="625692F6">
        <w:rPr>
          <w:rFonts w:ascii="Times New Roman" w:eastAsia="Times New Roman" w:hAnsi="Times New Roman"/>
          <w:lang w:eastAsia="ar-SA"/>
        </w:rPr>
        <w:t xml:space="preserve">. </w:t>
      </w:r>
      <w:r w:rsidR="00FC0109" w:rsidRPr="324E335E">
        <w:rPr>
          <w:rFonts w:ascii="Times New Roman" w:eastAsia="Times New Roman" w:hAnsi="Times New Roman"/>
          <w:lang w:eastAsia="ar-SA"/>
        </w:rPr>
        <w:t>TALEN</w:t>
      </w:r>
      <w:r w:rsidR="00C43EF2">
        <w:rPr>
          <w:rFonts w:ascii="Times New Roman" w:eastAsia="Times New Roman" w:hAnsi="Times New Roman"/>
          <w:lang w:eastAsia="ar-SA"/>
        </w:rPr>
        <w:t>s</w:t>
      </w:r>
      <w:r w:rsidR="00FC0109" w:rsidRPr="324E335E">
        <w:rPr>
          <w:rFonts w:ascii="Times New Roman" w:eastAsia="Times New Roman" w:hAnsi="Times New Roman"/>
          <w:lang w:eastAsia="ar-SA"/>
        </w:rPr>
        <w:t xml:space="preserve"> </w:t>
      </w:r>
      <w:r w:rsidR="00C43EF2">
        <w:rPr>
          <w:rFonts w:ascii="Times New Roman" w:eastAsia="Times New Roman" w:hAnsi="Times New Roman"/>
          <w:lang w:eastAsia="ar-SA"/>
        </w:rPr>
        <w:t>are</w:t>
      </w:r>
      <w:r w:rsidR="00FC0109" w:rsidRPr="324E335E">
        <w:rPr>
          <w:rFonts w:ascii="Times New Roman" w:eastAsia="Times New Roman" w:hAnsi="Times New Roman"/>
          <w:lang w:eastAsia="ar-SA"/>
        </w:rPr>
        <w:t xml:space="preserve"> recogni</w:t>
      </w:r>
      <w:r w:rsidR="00FC0109">
        <w:rPr>
          <w:rFonts w:ascii="Times New Roman" w:eastAsia="Times New Roman" w:hAnsi="Times New Roman"/>
          <w:lang w:eastAsia="ar-SA"/>
        </w:rPr>
        <w:t>s</w:t>
      </w:r>
      <w:r w:rsidR="00FC0109" w:rsidRPr="324E335E">
        <w:rPr>
          <w:rFonts w:ascii="Times New Roman" w:eastAsia="Times New Roman" w:hAnsi="Times New Roman"/>
          <w:lang w:eastAsia="ar-SA"/>
        </w:rPr>
        <w:t xml:space="preserve">ed for </w:t>
      </w:r>
      <w:r w:rsidR="00B85D78">
        <w:rPr>
          <w:rFonts w:ascii="Times New Roman" w:eastAsia="Times New Roman" w:hAnsi="Times New Roman"/>
          <w:lang w:eastAsia="ar-SA"/>
        </w:rPr>
        <w:t>their</w:t>
      </w:r>
      <w:r w:rsidR="00FC0109" w:rsidRPr="324E335E">
        <w:rPr>
          <w:rFonts w:ascii="Times New Roman" w:eastAsia="Times New Roman" w:hAnsi="Times New Roman"/>
          <w:lang w:eastAsia="ar-SA"/>
        </w:rPr>
        <w:t xml:space="preserve"> high degree of precision and control</w:t>
      </w:r>
      <w:r w:rsidR="00FC0109">
        <w:rPr>
          <w:rFonts w:ascii="Times New Roman" w:eastAsia="Times New Roman" w:hAnsi="Times New Roman"/>
          <w:lang w:eastAsia="ar-SA"/>
        </w:rPr>
        <w:t>. Unlike</w:t>
      </w:r>
      <w:r w:rsidR="00FC0109" w:rsidRPr="324E335E">
        <w:rPr>
          <w:rFonts w:ascii="Times New Roman" w:eastAsia="Times New Roman" w:hAnsi="Times New Roman"/>
          <w:lang w:eastAsia="ar-SA"/>
        </w:rPr>
        <w:t xml:space="preserve"> CRISPR</w:t>
      </w:r>
      <w:r w:rsidR="00FC0109">
        <w:rPr>
          <w:rFonts w:ascii="Times New Roman" w:eastAsia="Times New Roman" w:hAnsi="Times New Roman"/>
          <w:lang w:eastAsia="ar-SA"/>
        </w:rPr>
        <w:t>-Cas that relies on DNA-RNA interaction as the m</w:t>
      </w:r>
      <w:r w:rsidR="00FC0109" w:rsidRPr="007B10AE">
        <w:rPr>
          <w:rFonts w:ascii="Times New Roman" w:eastAsia="Times New Roman" w:hAnsi="Times New Roman"/>
          <w:lang w:eastAsia="ar-SA"/>
        </w:rPr>
        <w:t>echanism of target DNA recognition</w:t>
      </w:r>
      <w:r w:rsidR="00FC0109">
        <w:rPr>
          <w:rFonts w:ascii="Times New Roman" w:eastAsia="Times New Roman" w:hAnsi="Times New Roman"/>
          <w:lang w:eastAsia="ar-SA"/>
        </w:rPr>
        <w:t>, TALEN relies</w:t>
      </w:r>
      <w:r w:rsidR="00FC0109" w:rsidRPr="324E335E">
        <w:rPr>
          <w:rFonts w:ascii="Times New Roman" w:eastAsia="Times New Roman" w:hAnsi="Times New Roman"/>
          <w:lang w:eastAsia="ar-SA"/>
        </w:rPr>
        <w:t xml:space="preserve"> </w:t>
      </w:r>
      <w:r w:rsidR="00FC0109">
        <w:rPr>
          <w:rFonts w:ascii="Times New Roman" w:eastAsia="Times New Roman" w:hAnsi="Times New Roman"/>
          <w:lang w:eastAsia="ar-SA"/>
        </w:rPr>
        <w:t>in DNA-protein interactions</w:t>
      </w:r>
      <w:r w:rsidR="006E60CC">
        <w:rPr>
          <w:rFonts w:ascii="Times New Roman" w:eastAsia="Times New Roman" w:hAnsi="Times New Roman"/>
          <w:lang w:eastAsia="ar-SA"/>
        </w:rPr>
        <w:t xml:space="preserve"> </w:t>
      </w:r>
      <w:r w:rsidR="001176F2">
        <w:rPr>
          <w:rFonts w:ascii="Times New Roman" w:eastAsia="Times New Roman" w:hAnsi="Times New Roman"/>
          <w:lang w:eastAsia="ar-SA"/>
        </w:rPr>
        <w:fldChar w:fldCharType="begin" w:fldLock="1"/>
      </w:r>
      <w:r w:rsidR="001176F2">
        <w:rPr>
          <w:rFonts w:ascii="Times New Roman" w:eastAsia="Times New Roman" w:hAnsi="Times New Roman"/>
          <w:lang w:eastAsia="ar-SA"/>
        </w:rPr>
        <w:instrText>ADDIN CSL_CITATION {"citationItems":[{"id":"ITEM-1","itemData":{"DOI":"10.1101/cshperspect.a023754","ISSN":"19430264","PMID":"27908936","abstract":"Targeted nucleases have provided researchers with the ability to manipulate virtually any genomic sequence, enabling the facile creation of isogenic cell lines and animal models for the study of human disease, and promoting exciting new possibilities for human gene therapy. Here we review three foundational technologies—clustered regularly interspaced short palindromic repeats (CRISPR)-CRISPR-associated protein 9 (Cas9), transcription activator- like effector nucleases (TALENs), and zinc-finger nucleases (ZFNs). We discuss the engineering advances that facilitated their development and highlight several achievements in genome engineering that were made possible by these tools. We also consider artificial transcription factors, illustrating howthis technology can complement targeted nucleases for synthetic biology and gene therapy.","author":[{"dropping-particle":"","family":"Gaj","given":"Thomas","non-dropping-particle":"","parse-names":false,"suffix":""},{"dropping-particle":"","family":"Sirk","given":"Shannon J","non-dropping-particle":"","parse-names":false,"suffix":""},{"dropping-particle":"","family":"Shui","given":"Sai Lan","non-dropping-particle":"","parse-names":false,"suffix":""},{"dropping-particle":"","family":"Liu","given":"Jia","non-dropping-particle":"","parse-names":false,"suffix":""}],"container-title":"Cold Spring Harbor Perspectives in Biology","id":"ITEM-1","issue":"12","issued":{"date-parts":[["2016"]]},"publisher":"Cold Spring Harbor Laboratory Press","title":"Genome-editing technologies: Principles and applications","type":"article-journal","volume":"8"},"uris":["http://www.mendeley.com/documents/?uuid=f3c7721c-8dbb-4ace-957d-766f9254a170"]},{"id":"ITEM-2","itemData":{"DOI":"10.1186/s43141-020-00078-y","ISSN":"20905920","abstract":"Background: Development of efficient strategies has always been one of the great perspectives for biotechnologists. During the last decade, genome editing of different organisms has been a fast advancing field and therefore has received a lot of attention from various researchers comprehensively reviewing latest achievements and offering opinions on future directions. This review presents a brief history, basic principles, advantages and disadvantages, as well as various aspects of each genome editing technology including the modes, applications, and challenges that face delivery of gene editing components. Main body: Genetic modification techniques cover a wide range of studies, including the generation of transgenic animals, functional analysis of genes, model development for diseases, or drug development. The delivery of certain proteins such as monoclonal antibodies, enzymes, and growth hormones has been suffering from several obstacles because of their large size. These difficulties encouraged scientists to explore alternative approaches, leading to the progress in gene editing. The distinguished efforts and enormous experimentation have now been able to introduce methodologies that can change the genetic constitution of the living cell. The genome editing strategies have evolved during the last three decades, and nowadays, four types of “programmable” nucleases are available in this field: meganucleases, zinc finger nucleases, transcription activator-like effector nucleases, and the clustered regularly interspaced short palindromic repeats (CRISPR)/CRISPR associated protein 9 (Cas9) (CRISPR/Cas-9) system. Each group has its own characteristics necessary for researchers to select the most suitable method for gene editing tool for a range of applications. Genome engineering/editing technology will revolutionize the creation of precisely manipulated genomes of cells or organisms in order to modify a specific characteristic. Of the potential applications are those in human health and agriculture. Introducing constructs into target cells or organisms is the key step in genome engineering. Conclusions: Despite the success already achieved, the genome editing techniques are still suffering certain difficulties. Challenges must be overcome before the full potential of genome editing can be realized.","author":[{"dropping-particle":"","family":"Khalil","given":"Ahmad M","non-dropping-particle":"","parse-names":false,"suffix":""}],"container-title":"Journal of Genetic Engineering and Biotechnology","id":"ITEM-2","issue":"1","issued":{"date-parts":[["2020","12"]]},"publisher":"Springer Science and Business Media Deutschland GmbH","title":"The genome editing revolution: review","type":"article","volume":"18"},"uris":["http://www.mendeley.com/documents/?uuid=25ab7a84-9724-4e41-b05a-5c9d0aa1879c"]}],"mendeley":{"formattedCitation":"(Gaj et al., 2016; A. M. Khalil, 2020)","manualFormatting":"(Gaj et al., 2016; Khalil, 2020)","plainTextFormattedCitation":"(Gaj et al., 2016; A. M. Khalil, 2020)","previouslyFormattedCitation":"(Gaj et al., 2016; A. M. Khalil, 2020)"},"properties":{"noteIndex":0},"schema":"https://github.com/citation-style-language/schema/raw/master/csl-citation.json"}</w:instrText>
      </w:r>
      <w:r w:rsidR="001176F2">
        <w:rPr>
          <w:rFonts w:ascii="Times New Roman" w:eastAsia="Times New Roman" w:hAnsi="Times New Roman"/>
          <w:lang w:eastAsia="ar-SA"/>
        </w:rPr>
        <w:fldChar w:fldCharType="separate"/>
      </w:r>
      <w:r w:rsidR="001176F2" w:rsidRPr="003531BC">
        <w:rPr>
          <w:rFonts w:ascii="Times New Roman" w:eastAsia="Times New Roman" w:hAnsi="Times New Roman"/>
          <w:noProof/>
          <w:lang w:val="en-US" w:eastAsia="ar-SA"/>
        </w:rPr>
        <w:t>(Gaj et al., 2016; Khalil, 2020)</w:t>
      </w:r>
      <w:r w:rsidR="001176F2">
        <w:rPr>
          <w:rFonts w:ascii="Times New Roman" w:eastAsia="Times New Roman" w:hAnsi="Times New Roman"/>
          <w:lang w:eastAsia="ar-SA"/>
        </w:rPr>
        <w:fldChar w:fldCharType="end"/>
      </w:r>
      <w:r w:rsidR="006E60CC" w:rsidRPr="003531BC">
        <w:rPr>
          <w:rFonts w:ascii="Times New Roman" w:eastAsia="Times New Roman" w:hAnsi="Times New Roman"/>
          <w:lang w:val="en-US" w:eastAsia="ar-SA"/>
        </w:rPr>
        <w:t>.</w:t>
      </w:r>
    </w:p>
    <w:p w14:paraId="65FDB5A3" w14:textId="23703424" w:rsidR="008F62C8" w:rsidRDefault="00793E4C" w:rsidP="06DD7B6A">
      <w:pPr>
        <w:spacing w:before="120" w:after="120" w:line="240" w:lineRule="auto"/>
        <w:jc w:val="both"/>
        <w:rPr>
          <w:rFonts w:ascii="Times New Roman" w:eastAsia="Times New Roman" w:hAnsi="Times New Roman"/>
          <w:lang w:eastAsia="ar-SA"/>
        </w:rPr>
      </w:pPr>
      <w:r w:rsidRPr="324E335E">
        <w:rPr>
          <w:rFonts w:ascii="Times New Roman" w:eastAsia="Times New Roman" w:hAnsi="Times New Roman"/>
          <w:lang w:eastAsia="ar-SA"/>
        </w:rPr>
        <w:t xml:space="preserve">An enormous increase of studies performing genome editing in crops has been reported, especially the </w:t>
      </w:r>
      <w:r w:rsidR="00782082">
        <w:rPr>
          <w:rFonts w:ascii="Times New Roman" w:eastAsia="Times New Roman" w:hAnsi="Times New Roman"/>
          <w:lang w:eastAsia="ar-SA"/>
        </w:rPr>
        <w:t>CRISPR-Cas</w:t>
      </w:r>
      <w:r w:rsidRPr="324E335E">
        <w:rPr>
          <w:rFonts w:ascii="Times New Roman" w:eastAsia="Times New Roman" w:hAnsi="Times New Roman"/>
          <w:lang w:eastAsia="ar-SA"/>
        </w:rPr>
        <w:t xml:space="preserve"> and related systems (e.g., base edit</w:t>
      </w:r>
      <w:r w:rsidR="00846CDF">
        <w:rPr>
          <w:rFonts w:ascii="Times New Roman" w:eastAsia="Times New Roman" w:hAnsi="Times New Roman"/>
          <w:lang w:eastAsia="ar-SA"/>
        </w:rPr>
        <w:t>ing</w:t>
      </w:r>
      <w:r w:rsidRPr="324E335E">
        <w:rPr>
          <w:rFonts w:ascii="Times New Roman" w:eastAsia="Times New Roman" w:hAnsi="Times New Roman"/>
          <w:lang w:eastAsia="ar-SA"/>
        </w:rPr>
        <w:t>) which have been used lately for almost all studies and a rising number of market-oriented traits have been addressed by genome editing.</w:t>
      </w:r>
      <w:r w:rsidR="7FD450DB" w:rsidRPr="68104893">
        <w:rPr>
          <w:rFonts w:ascii="Times New Roman" w:eastAsia="Times New Roman" w:hAnsi="Times New Roman"/>
          <w:lang w:eastAsia="ar-SA"/>
        </w:rPr>
        <w:t xml:space="preserve"> </w:t>
      </w:r>
      <w:r w:rsidR="00E00ADC" w:rsidRPr="00E00ADC">
        <w:rPr>
          <w:rFonts w:ascii="Times New Roman" w:eastAsia="Times New Roman" w:hAnsi="Times New Roman"/>
          <w:lang w:eastAsia="ar-SA"/>
        </w:rPr>
        <w:t xml:space="preserve">In less than a decade, the </w:t>
      </w:r>
      <w:r w:rsidR="001655ED">
        <w:rPr>
          <w:rFonts w:ascii="Times New Roman" w:eastAsia="Times New Roman" w:hAnsi="Times New Roman"/>
          <w:lang w:eastAsia="ar-SA"/>
        </w:rPr>
        <w:t xml:space="preserve">number of </w:t>
      </w:r>
      <w:r w:rsidR="00E00ADC" w:rsidRPr="00E00ADC">
        <w:rPr>
          <w:rFonts w:ascii="Times New Roman" w:eastAsia="Times New Roman" w:hAnsi="Times New Roman"/>
          <w:lang w:eastAsia="ar-SA"/>
        </w:rPr>
        <w:t xml:space="preserve">applications of this powerful technology </w:t>
      </w:r>
      <w:r w:rsidR="00E00ADC">
        <w:rPr>
          <w:rFonts w:ascii="Times New Roman" w:eastAsia="Times New Roman" w:hAnsi="Times New Roman"/>
          <w:lang w:eastAsia="ar-SA"/>
        </w:rPr>
        <w:t xml:space="preserve">(CRISPR-Cas) </w:t>
      </w:r>
      <w:r w:rsidR="00FB61DD" w:rsidRPr="002C51B1">
        <w:rPr>
          <w:rFonts w:ascii="Times New Roman" w:eastAsia="Times New Roman" w:hAnsi="Times New Roman"/>
          <w:lang w:eastAsia="ar-SA"/>
        </w:rPr>
        <w:t>ha</w:t>
      </w:r>
      <w:r w:rsidR="00FB61DD">
        <w:rPr>
          <w:rFonts w:ascii="Times New Roman" w:eastAsia="Times New Roman" w:hAnsi="Times New Roman"/>
          <w:lang w:eastAsia="ar-SA"/>
        </w:rPr>
        <w:t>s</w:t>
      </w:r>
      <w:r w:rsidR="00E00ADC" w:rsidRPr="002C51B1" w:rsidDel="001655ED">
        <w:rPr>
          <w:rFonts w:ascii="Times New Roman" w:eastAsia="Times New Roman" w:hAnsi="Times New Roman"/>
          <w:lang w:eastAsia="ar-SA"/>
        </w:rPr>
        <w:t xml:space="preserve"> </w:t>
      </w:r>
      <w:r w:rsidR="001655ED" w:rsidRPr="00FB61DD">
        <w:rPr>
          <w:rFonts w:ascii="Times New Roman" w:eastAsia="Times New Roman" w:hAnsi="Times New Roman"/>
          <w:lang w:eastAsia="ar-SA"/>
        </w:rPr>
        <w:t>increased expo</w:t>
      </w:r>
      <w:r w:rsidR="005438A5" w:rsidRPr="00FB61DD">
        <w:rPr>
          <w:rFonts w:ascii="Times New Roman" w:eastAsia="Times New Roman" w:hAnsi="Times New Roman"/>
          <w:lang w:eastAsia="ar-SA"/>
        </w:rPr>
        <w:t>nentially</w:t>
      </w:r>
      <w:r w:rsidR="001655ED" w:rsidRPr="002C51B1">
        <w:rPr>
          <w:rFonts w:ascii="Times New Roman" w:eastAsia="Times New Roman" w:hAnsi="Times New Roman"/>
          <w:lang w:eastAsia="ar-SA"/>
        </w:rPr>
        <w:t xml:space="preserve"> </w:t>
      </w:r>
      <w:r w:rsidR="00E00ADC" w:rsidRPr="002C51B1">
        <w:rPr>
          <w:rFonts w:ascii="Times New Roman" w:eastAsia="Times New Roman" w:hAnsi="Times New Roman"/>
          <w:lang w:eastAsia="ar-SA"/>
        </w:rPr>
        <w:t xml:space="preserve">worldwide </w:t>
      </w:r>
      <w:r w:rsidR="00E00ADC" w:rsidRPr="00E00ADC">
        <w:rPr>
          <w:rFonts w:ascii="Times New Roman" w:eastAsia="Times New Roman" w:hAnsi="Times New Roman"/>
          <w:lang w:eastAsia="ar-SA"/>
        </w:rPr>
        <w:t xml:space="preserve">and </w:t>
      </w:r>
      <w:r w:rsidR="00FB61DD" w:rsidRPr="00E00ADC">
        <w:rPr>
          <w:rFonts w:ascii="Times New Roman" w:eastAsia="Times New Roman" w:hAnsi="Times New Roman"/>
          <w:lang w:eastAsia="ar-SA"/>
        </w:rPr>
        <w:t>ha</w:t>
      </w:r>
      <w:r w:rsidR="00FB61DD">
        <w:rPr>
          <w:rFonts w:ascii="Times New Roman" w:eastAsia="Times New Roman" w:hAnsi="Times New Roman"/>
          <w:lang w:eastAsia="ar-SA"/>
        </w:rPr>
        <w:t>s</w:t>
      </w:r>
      <w:r w:rsidR="00E00ADC" w:rsidRPr="00E00ADC">
        <w:rPr>
          <w:rFonts w:ascii="Times New Roman" w:eastAsia="Times New Roman" w:hAnsi="Times New Roman"/>
          <w:lang w:eastAsia="ar-SA"/>
        </w:rPr>
        <w:t xml:space="preserve"> led to advances in plant and animal engineering, </w:t>
      </w:r>
      <w:r w:rsidR="00FB61DD" w:rsidRPr="00E00ADC">
        <w:rPr>
          <w:rFonts w:ascii="Times New Roman" w:eastAsia="Times New Roman" w:hAnsi="Times New Roman"/>
          <w:lang w:eastAsia="ar-SA"/>
        </w:rPr>
        <w:t>personali</w:t>
      </w:r>
      <w:r w:rsidR="00FB61DD">
        <w:rPr>
          <w:rFonts w:ascii="Times New Roman" w:eastAsia="Times New Roman" w:hAnsi="Times New Roman"/>
          <w:lang w:eastAsia="ar-SA"/>
        </w:rPr>
        <w:t>s</w:t>
      </w:r>
      <w:r w:rsidR="00FB61DD" w:rsidRPr="00E00ADC">
        <w:rPr>
          <w:rFonts w:ascii="Times New Roman" w:eastAsia="Times New Roman" w:hAnsi="Times New Roman"/>
          <w:lang w:eastAsia="ar-SA"/>
        </w:rPr>
        <w:t>ed</w:t>
      </w:r>
      <w:r w:rsidR="00E00ADC" w:rsidRPr="00E00ADC">
        <w:rPr>
          <w:rFonts w:ascii="Times New Roman" w:eastAsia="Times New Roman" w:hAnsi="Times New Roman"/>
          <w:lang w:eastAsia="ar-SA"/>
        </w:rPr>
        <w:t xml:space="preserve"> medicine and clinical therapeutics.</w:t>
      </w:r>
      <w:r w:rsidR="7FD450DB" w:rsidRPr="68104893" w:rsidDel="007B13B4">
        <w:rPr>
          <w:rFonts w:ascii="Times New Roman" w:eastAsia="Times New Roman" w:hAnsi="Times New Roman"/>
          <w:lang w:eastAsia="ar-SA"/>
        </w:rPr>
        <w:t xml:space="preserve"> </w:t>
      </w:r>
      <w:r w:rsidR="00FB61DD">
        <w:rPr>
          <w:rFonts w:ascii="Times New Roman" w:eastAsia="Times New Roman" w:hAnsi="Times New Roman"/>
          <w:lang w:eastAsia="ar-SA"/>
        </w:rPr>
        <w:lastRenderedPageBreak/>
        <w:t>Notably, t</w:t>
      </w:r>
      <w:r w:rsidR="00034CD7" w:rsidRPr="00034CD7">
        <w:rPr>
          <w:rFonts w:ascii="Times New Roman" w:eastAsia="Times New Roman" w:hAnsi="Times New Roman"/>
          <w:lang w:eastAsia="ar-SA"/>
        </w:rPr>
        <w:t>he 2020 Nobel Prize in Chemistry was awarded</w:t>
      </w:r>
      <w:r w:rsidR="00034CD7">
        <w:rPr>
          <w:rFonts w:ascii="Times New Roman" w:eastAsia="Times New Roman" w:hAnsi="Times New Roman"/>
          <w:lang w:eastAsia="ar-SA"/>
        </w:rPr>
        <w:t xml:space="preserve"> to </w:t>
      </w:r>
      <w:r w:rsidR="00C03BCA">
        <w:rPr>
          <w:rFonts w:ascii="Times New Roman" w:eastAsia="Times New Roman" w:hAnsi="Times New Roman"/>
          <w:lang w:eastAsia="ar-SA"/>
        </w:rPr>
        <w:t>developers</w:t>
      </w:r>
      <w:r w:rsidR="00034CD7">
        <w:rPr>
          <w:rFonts w:ascii="Times New Roman" w:eastAsia="Times New Roman" w:hAnsi="Times New Roman"/>
          <w:lang w:eastAsia="ar-SA"/>
        </w:rPr>
        <w:t xml:space="preserve"> of </w:t>
      </w:r>
      <w:r w:rsidR="00C03BCA">
        <w:rPr>
          <w:rFonts w:ascii="Times New Roman" w:eastAsia="Times New Roman" w:hAnsi="Times New Roman"/>
          <w:lang w:eastAsia="ar-SA"/>
        </w:rPr>
        <w:t xml:space="preserve">this tool </w:t>
      </w:r>
      <w:r w:rsidR="001176F2">
        <w:rPr>
          <w:rFonts w:ascii="Times New Roman" w:eastAsia="Times New Roman" w:hAnsi="Times New Roman"/>
          <w:lang w:eastAsia="ar-SA"/>
        </w:rPr>
        <w:fldChar w:fldCharType="begin" w:fldLock="1"/>
      </w:r>
      <w:r w:rsidR="00E13488">
        <w:rPr>
          <w:rFonts w:ascii="Times New Roman" w:eastAsia="Times New Roman" w:hAnsi="Times New Roman"/>
          <w:lang w:eastAsia="ar-SA"/>
        </w:rPr>
        <w:instrText>ADDIN CSL_CITATION {"citationItems":[{"id":"ITEM-1","itemData":{"DOI":"10.1172/JCI145214","ISSN":"0021-9738","PMID":"33201862","author":[{"dropping-particle":"","family":"Uyhazi","given":"Katherine E","non-dropping-particle":"","parse-names":false,"suffix":""},{"dropping-particle":"","family":"Bennett","given":"Jean","non-dropping-particle":"","parse-names":false,"suffix":""}],"container-title":"Journal of Clinical Investigation","id":"ITEM-1","issue":"1","issued":{"date-parts":[["2021","1","4"]]},"publisher":"American Society for Clinical Investigation","title":"A CRISPR view of the 2020 Nobel Prize in Chemistry","type":"article-journal","volume":"131"},"uris":["http://www.mendeley.com/documents/?uuid=990f23e6-000e-4d44-b00a-93372371c07c"]}],"mendeley":{"formattedCitation":"(Uyhazi &amp; Bennett, 2021)","plainTextFormattedCitation":"(Uyhazi &amp; Bennett, 2021)","previouslyFormattedCitation":"(Uyhazi &amp; Bennett, 2021)"},"properties":{"noteIndex":0},"schema":"https://github.com/citation-style-language/schema/raw/master/csl-citation.json"}</w:instrText>
      </w:r>
      <w:r w:rsidR="001176F2">
        <w:rPr>
          <w:rFonts w:ascii="Times New Roman" w:eastAsia="Times New Roman" w:hAnsi="Times New Roman"/>
          <w:lang w:eastAsia="ar-SA"/>
        </w:rPr>
        <w:fldChar w:fldCharType="separate"/>
      </w:r>
      <w:r w:rsidR="001176F2" w:rsidRPr="001176F2">
        <w:rPr>
          <w:rFonts w:ascii="Times New Roman" w:eastAsia="Times New Roman" w:hAnsi="Times New Roman"/>
          <w:noProof/>
          <w:lang w:eastAsia="ar-SA"/>
        </w:rPr>
        <w:t>(Uyhazi &amp; Bennett, 2021)</w:t>
      </w:r>
      <w:r w:rsidR="001176F2">
        <w:rPr>
          <w:rFonts w:ascii="Times New Roman" w:eastAsia="Times New Roman" w:hAnsi="Times New Roman"/>
          <w:lang w:eastAsia="ar-SA"/>
        </w:rPr>
        <w:fldChar w:fldCharType="end"/>
      </w:r>
      <w:r w:rsidR="00C03BCA">
        <w:rPr>
          <w:rFonts w:ascii="Times New Roman" w:eastAsia="Times New Roman" w:hAnsi="Times New Roman"/>
          <w:lang w:eastAsia="ar-SA"/>
        </w:rPr>
        <w:t>.</w:t>
      </w:r>
      <w:r w:rsidR="7FD450DB" w:rsidRPr="68104893" w:rsidDel="007B13B4">
        <w:rPr>
          <w:rFonts w:ascii="Times New Roman" w:eastAsia="Times New Roman" w:hAnsi="Times New Roman"/>
          <w:lang w:eastAsia="ar-SA"/>
        </w:rPr>
        <w:t xml:space="preserve"> </w:t>
      </w:r>
      <w:r w:rsidR="00266704">
        <w:rPr>
          <w:rFonts w:ascii="Times New Roman" w:eastAsia="Times New Roman" w:hAnsi="Times New Roman"/>
          <w:lang w:eastAsia="ar-SA"/>
        </w:rPr>
        <w:t>It is expected that</w:t>
      </w:r>
      <w:r w:rsidR="00BD6952">
        <w:rPr>
          <w:rFonts w:ascii="Times New Roman" w:eastAsia="Times New Roman" w:hAnsi="Times New Roman"/>
          <w:lang w:eastAsia="ar-SA"/>
        </w:rPr>
        <w:t xml:space="preserve"> t</w:t>
      </w:r>
      <w:r w:rsidR="004B053E">
        <w:rPr>
          <w:rFonts w:ascii="Times New Roman" w:eastAsia="Times New Roman" w:hAnsi="Times New Roman"/>
          <w:lang w:eastAsia="ar-SA"/>
        </w:rPr>
        <w:t xml:space="preserve">he advances </w:t>
      </w:r>
      <w:r w:rsidR="004B053E" w:rsidRPr="00F555FA">
        <w:rPr>
          <w:rFonts w:ascii="Times New Roman" w:eastAsia="Times New Roman" w:hAnsi="Times New Roman"/>
          <w:lang w:eastAsia="ar-SA"/>
        </w:rPr>
        <w:t xml:space="preserve">in CRISPR-toolbox </w:t>
      </w:r>
      <w:r w:rsidR="005A4293">
        <w:rPr>
          <w:rFonts w:ascii="Times New Roman" w:eastAsia="Times New Roman" w:hAnsi="Times New Roman"/>
          <w:lang w:eastAsia="ar-SA"/>
        </w:rPr>
        <w:t xml:space="preserve">register </w:t>
      </w:r>
      <w:r w:rsidR="008F62C8">
        <w:rPr>
          <w:rFonts w:ascii="Times New Roman" w:eastAsia="Times New Roman" w:hAnsi="Times New Roman"/>
          <w:lang w:eastAsia="ar-SA"/>
        </w:rPr>
        <w:t xml:space="preserve">a </w:t>
      </w:r>
      <w:r w:rsidR="008F62C8" w:rsidRPr="008F62C8">
        <w:rPr>
          <w:rFonts w:ascii="Times New Roman" w:eastAsia="Times New Roman" w:hAnsi="Times New Roman"/>
          <w:lang w:eastAsia="ar-SA"/>
        </w:rPr>
        <w:t>Compound Annual Growth Rate</w:t>
      </w:r>
      <w:r w:rsidR="008F62C8">
        <w:rPr>
          <w:rFonts w:ascii="Times New Roman" w:eastAsia="Times New Roman" w:hAnsi="Times New Roman"/>
          <w:lang w:eastAsia="ar-SA"/>
        </w:rPr>
        <w:t xml:space="preserve"> </w:t>
      </w:r>
      <w:r w:rsidR="00266704">
        <w:rPr>
          <w:rFonts w:ascii="Times New Roman" w:eastAsia="Times New Roman" w:hAnsi="Times New Roman"/>
          <w:lang w:eastAsia="ar-SA"/>
        </w:rPr>
        <w:t>of 18% in the period 2021-2025</w:t>
      </w:r>
      <w:r w:rsidR="00730132">
        <w:rPr>
          <w:rStyle w:val="FootnoteReference"/>
          <w:rFonts w:ascii="Times New Roman" w:eastAsia="Times New Roman" w:hAnsi="Times New Roman"/>
          <w:lang w:eastAsia="ar-SA"/>
        </w:rPr>
        <w:footnoteReference w:id="6"/>
      </w:r>
      <w:r w:rsidR="00266704">
        <w:rPr>
          <w:rFonts w:ascii="Times New Roman" w:eastAsia="Times New Roman" w:hAnsi="Times New Roman"/>
          <w:lang w:eastAsia="ar-SA"/>
        </w:rPr>
        <w:t>.</w:t>
      </w:r>
    </w:p>
    <w:p w14:paraId="0FA0FE6C" w14:textId="3FE10689" w:rsidR="005B4C2C" w:rsidRDefault="00FC7397" w:rsidP="639DEE14">
      <w:pPr>
        <w:spacing w:before="120" w:after="120" w:line="240" w:lineRule="auto"/>
        <w:jc w:val="both"/>
        <w:rPr>
          <w:rFonts w:ascii="Times New Roman" w:eastAsia="Times New Roman" w:hAnsi="Times New Roman"/>
          <w:lang w:eastAsia="ar-SA"/>
        </w:rPr>
      </w:pPr>
      <w:r w:rsidRPr="52068E83">
        <w:rPr>
          <w:rFonts w:ascii="Times New Roman" w:eastAsia="Times New Roman" w:hAnsi="Times New Roman"/>
          <w:lang w:eastAsia="ar-SA"/>
        </w:rPr>
        <w:t xml:space="preserve">CRISPR-Cas technology is having impacts in agriculture, especially in increasing plant yield, quality, disease resistance and herbicide resistance, breeding and accelerated domestication </w:t>
      </w:r>
      <w:r w:rsidR="001176F2">
        <w:rPr>
          <w:rFonts w:ascii="Times New Roman" w:eastAsia="Times New Roman" w:hAnsi="Times New Roman"/>
          <w:lang w:eastAsia="ar-SA"/>
        </w:rPr>
        <w:fldChar w:fldCharType="begin" w:fldLock="1"/>
      </w:r>
      <w:r w:rsidR="001176F2">
        <w:rPr>
          <w:rFonts w:ascii="Times New Roman" w:eastAsia="Times New Roman" w:hAnsi="Times New Roman"/>
          <w:lang w:eastAsia="ar-SA"/>
        </w:rPr>
        <w:instrText>ADDIN CSL_CITATION {"citationItems":[{"id":"ITEM-1","itemData":{"DOI":"10.1038/s41580-020-00288-9","ISSN":"14710080","PMID":"32973356","abstract":"The prokaryote-derived CRISPR–Cas genome editing technology has altered plant molecular biology beyond all expectations. Characterized by robustness and high target specificity and programmability, CRISPR–Cas allows precise genetic manipulation of crop species, which provides the opportunity to create germplasms with beneficial traits and to develop novel, more sustainable agricultural systems. Furthermore, the numerous emerging biotechnologies based on CRISPR–Cas platforms have expanded the toolbox of fundamental research and plant synthetic biology. In this Review, we first briefly describe gene editing by CRISPR–Cas, focusing on the newest, precise gene editing technologies such as base editing and prime editing. We then discuss the most important applications of CRISPR–Cas in increasing plant yield, quality, disease resistance and herbicide resistance, breeding and accelerated domestication. We also highlight the most recent breakthroughs in CRISPR–Cas-related plant biotechnologies, including CRISPR–Cas reagent delivery, gene regulation, multiplexed gene editing and mutagenesis and directed evolution technologies. Finally, we discuss prospective applications of this game-changing technology.","author":[{"dropping-particle":"","family":"Zhu","given":"Haocheng","non-dropping-particle":"","parse-names":false,"suffix":""},{"dropping-particle":"","family":"Li","given":"Chao","non-dropping-particle":"","parse-names":false,"suffix":""},{"dropping-particle":"","family":"Gao","given":"Caixia","non-dropping-particle":"","parse-names":false,"suffix":""}],"container-title":"Nature Reviews Molecular Cell Biology","id":"ITEM-1","issue":"11","issued":{"date-parts":[["2020"]]},"page":"661-677","publisher":"Springer US","title":"Applications of CRISPR–Cas in agriculture and plant biotechnology","type":"article-journal","volume":"21"},"uris":["http://www.mendeley.com/documents/?uuid=66073736-5261-42a6-b7a0-626dfbe64353"]}],"mendeley":{"formattedCitation":"(Zhu et al., 2020)","plainTextFormattedCitation":"(Zhu et al., 2020)","previouslyFormattedCitation":"(Zhu et al., 2020)"},"properties":{"noteIndex":0},"schema":"https://github.com/citation-style-language/schema/raw/master/csl-citation.json"}</w:instrText>
      </w:r>
      <w:r w:rsidR="001176F2">
        <w:rPr>
          <w:rFonts w:ascii="Times New Roman" w:eastAsia="Times New Roman" w:hAnsi="Times New Roman"/>
          <w:lang w:eastAsia="ar-SA"/>
        </w:rPr>
        <w:fldChar w:fldCharType="separate"/>
      </w:r>
      <w:r w:rsidR="001176F2" w:rsidRPr="001176F2">
        <w:rPr>
          <w:rFonts w:ascii="Times New Roman" w:eastAsia="Times New Roman" w:hAnsi="Times New Roman"/>
          <w:noProof/>
          <w:lang w:eastAsia="ar-SA"/>
        </w:rPr>
        <w:t>(Zhu et al., 2020)</w:t>
      </w:r>
      <w:r w:rsidR="001176F2">
        <w:rPr>
          <w:rFonts w:ascii="Times New Roman" w:eastAsia="Times New Roman" w:hAnsi="Times New Roman"/>
          <w:lang w:eastAsia="ar-SA"/>
        </w:rPr>
        <w:fldChar w:fldCharType="end"/>
      </w:r>
      <w:r w:rsidRPr="52068E83">
        <w:rPr>
          <w:rFonts w:ascii="Times New Roman" w:eastAsia="Times New Roman" w:hAnsi="Times New Roman"/>
          <w:lang w:eastAsia="ar-SA"/>
        </w:rPr>
        <w:t xml:space="preserve">. For instance, it is now possible to combine agronomically desirable traits with useful traits present in wild counterparts for </w:t>
      </w:r>
      <w:r w:rsidRPr="52068E83">
        <w:rPr>
          <w:rFonts w:ascii="Times New Roman" w:eastAsia="Times New Roman" w:hAnsi="Times New Roman"/>
          <w:i/>
          <w:lang w:eastAsia="ar-SA"/>
        </w:rPr>
        <w:t>de novo</w:t>
      </w:r>
      <w:r w:rsidRPr="52068E83">
        <w:rPr>
          <w:rFonts w:ascii="Times New Roman" w:eastAsia="Times New Roman" w:hAnsi="Times New Roman"/>
          <w:lang w:eastAsia="ar-SA"/>
        </w:rPr>
        <w:t xml:space="preserve"> domestication of plants, such as wild tomato </w:t>
      </w:r>
      <w:r w:rsidR="009432D7">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10.1038/nbt.4272","ISSN":"1087-0156","author":[{"dropping-particle":"","family":"Zsögön","given":"Agustin","non-dropping-particle":"","parse-names":false,"suffix":""},{"dropping-particle":"","family":"Čermák","given":"Tomáš","non-dropping-particle":"","parse-names":false,"suffix":""},{"dropping-particle":"","family":"Naves","given":"Emmanuel Rezende","non-dropping-particle":"","parse-names":false,"suffix":""},{"dropping-particle":"","family":"Notini","given":"Marcela Morato","non-dropping-particle":"","parse-names":false,"suffix":""},{"dropping-particle":"","family":"Edel","given":"Kai H","non-dropping-particle":"","parse-names":false,"suffix":""},{"dropping-particle":"","family":"Weinl","given":"Stefan","non-dropping-particle":"","parse-names":false,"suffix":""},{"dropping-particle":"","family":"Freschi","given":"Luciano","non-dropping-particle":"","parse-names":false,"suffix":""},{"dropping-particle":"","family":"Voytas","given":"Daniel F","non-dropping-particle":"","parse-names":false,"suffix":""},{"dropping-particle":"","family":"Kudla","given":"Jörg","non-dropping-particle":"","parse-names":false,"suffix":""},{"dropping-particle":"","family":"Peres","given":"Lázaro Eustáquio Pereira","non-dropping-particle":"","parse-names":false,"suffix":""}],"container-title":"Nature Biotechnology","id":"ITEM-1","issue":"12","issued":{"date-parts":[["2018","10","1"]]},"page":"1211-1216","title":"De novo domestication of wild tomato using genome editing","type":"article-journal","volume":"36"},"uris":["http://www.mendeley.com/documents/?uuid=3ea6b50e-bef4-40f8-a253-7b96448aaa51"]}],"mendeley":{"formattedCitation":"(Zsögön et al., 2018)","plainTextFormattedCitation":"(Zsögön et al., 2018)","previouslyFormattedCitation":"(Zsögön et al., 2018)"},"properties":{"noteIndex":0},"schema":"https://github.com/citation-style-language/schema/raw/master/csl-citation.json"}</w:instrText>
      </w:r>
      <w:r w:rsidR="009432D7">
        <w:rPr>
          <w:rFonts w:ascii="Times New Roman" w:eastAsia="Times New Roman" w:hAnsi="Times New Roman"/>
          <w:lang w:eastAsia="ar-SA"/>
        </w:rPr>
        <w:fldChar w:fldCharType="separate"/>
      </w:r>
      <w:r w:rsidR="009432D7" w:rsidRPr="009432D7">
        <w:rPr>
          <w:rFonts w:ascii="Times New Roman" w:eastAsia="Times New Roman" w:hAnsi="Times New Roman"/>
          <w:noProof/>
          <w:lang w:eastAsia="ar-SA"/>
        </w:rPr>
        <w:t>(Zsögön et al., 2018)</w:t>
      </w:r>
      <w:r w:rsidR="009432D7">
        <w:rPr>
          <w:rFonts w:ascii="Times New Roman" w:eastAsia="Times New Roman" w:hAnsi="Times New Roman"/>
          <w:lang w:eastAsia="ar-SA"/>
        </w:rPr>
        <w:fldChar w:fldCharType="end"/>
      </w:r>
      <w:r w:rsidR="00185A30">
        <w:rPr>
          <w:rFonts w:ascii="Times New Roman" w:eastAsia="Times New Roman" w:hAnsi="Times New Roman"/>
          <w:lang w:eastAsia="ar-SA"/>
        </w:rPr>
        <w:t xml:space="preserve"> </w:t>
      </w:r>
      <w:r w:rsidRPr="52068E83">
        <w:rPr>
          <w:rFonts w:ascii="Times New Roman" w:eastAsia="Times New Roman" w:hAnsi="Times New Roman"/>
          <w:lang w:eastAsia="ar-SA"/>
        </w:rPr>
        <w:t xml:space="preserve">or groundcherry </w:t>
      </w:r>
      <w:r w:rsidR="001A3C2A">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{"citationItems":[{"id":"ITEM-1","itemData":{"DOI":"10.1038/s41477-018-0259-x","ISSN":"2055-0278","author":[{"dropping-particle":"","family":"Lemmon","given":"Zachary H.","non-dropping-particle":"","parse-names":false,"suffix":""},{"dropping-particle":"","family":"Reem","given":"Nathan T.","non-dropping-particle":"","parse-names":false,"suffix":""},{"dropping-particle":"","family":"Dalrymple","given":"Justin","non-dropping-particle":"","parse-names":false,"suffix":""},{"dropping-particle":"","family":"Soyk","given":"Sebastian","non-dropping-particle":"","parse-names":false,"suffix":""},{"dropping-particle":"","family":"Swartwood","given":"Kerry E.","non-dropping-particle":"","parse-names":false,"suffix":""},{"dropping-particle":"","family":"Rodriguez-Leal","given":"Daniel","non-dropping-particle":"","parse-names":false,"suffix":""},{"dropping-particle":"","family":"Eck","given":"Joyce","non-dropping-particle":"Van","parse-names":false,"suffix":""},{"dropping-particle":"","family":"Lippman","given":"Zachary B.","non-dropping-particle":"","parse-names":false,"suffix":""}],"container-title":"Nature Plants","id":"ITEM-1","issue":"10","issued":{"date-parts":[["2018","10","1"]]},"page":"766-770","title":"Rapid improvement of domestication traits in an orphan crop by genome editing","type":"article-journal","volume":"4"},"uris":["http://www.mendeley.com/documents/?uuid=9420f45e-0da0-4bbc-8e45-b3ff4f6f10b5"]}],"mendeley":{"formattedCitation":"(Lemmon et al., 2018)","plainTextFormattedCitation":"(Lemmon et al., 2018)","previouslyFormattedCitation":"(Lemmon et al., 2018)"},"properties":{"noteIndex":0},"schema":"https://github.com/citation-style-language/schema/raw/master/csl-citation.json"}</w:instrText>
      </w:r>
      <w:r w:rsidR="001A3C2A">
        <w:rPr>
          <w:rFonts w:ascii="Times New Roman" w:eastAsia="Times New Roman" w:hAnsi="Times New Roman"/>
          <w:lang w:eastAsia="ar-SA"/>
        </w:rPr>
        <w:fldChar w:fldCharType="separate"/>
      </w:r>
      <w:r w:rsidR="001A3C2A" w:rsidRPr="001A3C2A">
        <w:rPr>
          <w:rFonts w:ascii="Times New Roman" w:eastAsia="Times New Roman" w:hAnsi="Times New Roman"/>
          <w:noProof/>
          <w:lang w:eastAsia="ar-SA"/>
        </w:rPr>
        <w:t>(Lemmon et al., 2018)</w:t>
      </w:r>
      <w:r w:rsidR="001A3C2A">
        <w:rPr>
          <w:rFonts w:ascii="Times New Roman" w:eastAsia="Times New Roman" w:hAnsi="Times New Roman"/>
          <w:lang w:eastAsia="ar-SA"/>
        </w:rPr>
        <w:fldChar w:fldCharType="end"/>
      </w:r>
      <w:r w:rsidRPr="52068E83">
        <w:rPr>
          <w:rFonts w:ascii="Times New Roman" w:eastAsia="Times New Roman" w:hAnsi="Times New Roman"/>
          <w:lang w:eastAsia="ar-SA"/>
        </w:rPr>
        <w:t>, using genome editing</w:t>
      </w:r>
      <w:r w:rsidR="000A036A" w:rsidRPr="52068E83">
        <w:rPr>
          <w:rFonts w:ascii="Times New Roman" w:eastAsia="Times New Roman" w:hAnsi="Times New Roman"/>
          <w:lang w:eastAsia="ar-SA"/>
        </w:rPr>
        <w:t>;</w:t>
      </w:r>
      <w:r w:rsidRPr="52068E83">
        <w:rPr>
          <w:rFonts w:ascii="Times New Roman" w:eastAsia="Times New Roman" w:hAnsi="Times New Roman"/>
          <w:lang w:eastAsia="ar-SA"/>
        </w:rPr>
        <w:t xml:space="preserve"> </w:t>
      </w:r>
      <w:r w:rsidR="000A036A" w:rsidRPr="52068E83">
        <w:rPr>
          <w:rFonts w:ascii="Times New Roman" w:eastAsia="Times New Roman" w:hAnsi="Times New Roman"/>
          <w:lang w:eastAsia="ar-SA"/>
        </w:rPr>
        <w:t>o</w:t>
      </w:r>
      <w:r w:rsidR="003876F1" w:rsidRPr="52068E83">
        <w:rPr>
          <w:rFonts w:ascii="Times New Roman" w:eastAsia="Times New Roman" w:hAnsi="Times New Roman"/>
          <w:lang w:eastAsia="ar-SA"/>
        </w:rPr>
        <w:t>r bre</w:t>
      </w:r>
      <w:r w:rsidR="00AD6B1B">
        <w:rPr>
          <w:rFonts w:ascii="Times New Roman" w:eastAsia="Times New Roman" w:hAnsi="Times New Roman"/>
          <w:lang w:eastAsia="ar-SA"/>
        </w:rPr>
        <w:t>e</w:t>
      </w:r>
      <w:r w:rsidR="003876F1" w:rsidRPr="52068E83">
        <w:rPr>
          <w:rFonts w:ascii="Times New Roman" w:eastAsia="Times New Roman" w:hAnsi="Times New Roman"/>
          <w:lang w:eastAsia="ar-SA"/>
        </w:rPr>
        <w:t>d plants to adapt them for urban agr</w:t>
      </w:r>
      <w:r w:rsidR="000702C1" w:rsidRPr="52068E83">
        <w:rPr>
          <w:rFonts w:ascii="Times New Roman" w:eastAsia="Times New Roman" w:hAnsi="Times New Roman"/>
          <w:lang w:eastAsia="ar-SA"/>
        </w:rPr>
        <w:t>i</w:t>
      </w:r>
      <w:r w:rsidR="003876F1" w:rsidRPr="52068E83">
        <w:rPr>
          <w:rFonts w:ascii="Times New Roman" w:eastAsia="Times New Roman" w:hAnsi="Times New Roman"/>
          <w:lang w:eastAsia="ar-SA"/>
        </w:rPr>
        <w:t xml:space="preserve">culture uses </w:t>
      </w:r>
      <w:r w:rsidR="001176F2">
        <w:rPr>
          <w:rFonts w:ascii="Times New Roman" w:eastAsia="Times New Roman" w:hAnsi="Times New Roman"/>
          <w:lang w:eastAsia="ar-SA"/>
        </w:rPr>
        <w:fldChar w:fldCharType="begin" w:fldLock="1"/>
      </w:r>
      <w:r w:rsidR="001176F2">
        <w:rPr>
          <w:rFonts w:ascii="Times New Roman" w:eastAsia="Times New Roman" w:hAnsi="Times New Roman"/>
          <w:lang w:eastAsia="ar-SA"/>
        </w:rPr>
        <w:instrText>ADDIN CSL_CITATION {"citationItems":[{"id":"ITEM-1","itemData":{"DOI":"10.1038/s41587-019-0361-2","ISSN":"15461696","PMID":"31873217","abstract":"Cultivation of crops in urban environments might reduce the environmental impact of food production1–4. However, lack of available land in cities and a need for rapid crop cycling, to yield quickly and continuously, mean that so far only lettuce and related ‘leafy green' vegetables are cultivated in urban farms5. New fruit varieties with architectures and yields suitable for urban farming have proven difficult to breed1,5. We identified a regulator of tomato stem length (SlER) and devised a trait-stacking strategy to combine mutations for condensed shoots, rapid flowering (SP5G) and precocious growth termination (SP). Application of our strategy using one-step CRISPR–Cas9 genome editing restructured vine-like tomato plants into compact, early yielding plants suitable for urban agriculture. Field data confirmed that yields were maintained, and we demonstrated cultivation in indoor farming systems. Targeting the same stem length regulator alone in groundcherry, another Solanaceae plant, also enabled engineering to a compact stature. Our approach can expand the repertoire of crops for urban agriculture.","author":[{"dropping-particle":"","family":"Kwon","given":"Choon Tak","non-dropping-particle":"","parse-names":false,"suffix":""},{"dropping-particle":"","family":"Heo","given":"Jung","non-dropping-particle":"","parse-names":false,"suffix":""},{"dropping-particle":"","family":"Lemmon","given":"Zachary H","non-dropping-particle":"","parse-names":false,"suffix":""},{"dropping-particle":"","family":"Capua","given":"Yossi","non-dropping-particle":"","parse-names":false,"suffix":""},{"dropping-particle":"","family":"Hutton","given":"Samuel F","non-dropping-particle":"","parse-names":false,"suffix":""},{"dropping-particle":"","family":"Eck","given":"Joyce","non-dropping-particle":"Van","parse-names":false,"suffix":""},{"dropping-particle":"","family":"Park","given":"Soon Ju","non-dropping-particle":"","parse-names":false,"suffix":""},{"dropping-particle":"","family":"Lippman","given":"Zachary B","non-dropping-particle":"","parse-names":false,"suffix":""}],"container-title":"Nature Biotechnology","id":"ITEM-1","issue":"2","issued":{"date-parts":[["2020","2"]]},"page":"182-188","publisher":"Nature Research","title":"Rapid customization of Solanaceae fruit crops for urban agriculture","type":"article-journal","volume":"38"},"uris":["http://www.mendeley.com/documents/?uuid=3fc2e8f3-ddd9-4dab-ae6b-659e38f581c8"]}],"mendeley":{"formattedCitation":"(Kwon et al., 2020)","plainTextFormattedCitation":"(Kwon et al., 2020)","previouslyFormattedCitation":"(Kwon et al., 2020)"},"properties":{"noteIndex":0},"schema":"https://github.com/citation-style-language/schema/raw/master/csl-citation.json"}</w:instrText>
      </w:r>
      <w:r w:rsidR="001176F2">
        <w:rPr>
          <w:rFonts w:ascii="Times New Roman" w:eastAsia="Times New Roman" w:hAnsi="Times New Roman"/>
          <w:lang w:eastAsia="ar-SA"/>
        </w:rPr>
        <w:fldChar w:fldCharType="separate"/>
      </w:r>
      <w:r w:rsidR="001176F2" w:rsidRPr="001176F2">
        <w:rPr>
          <w:rFonts w:ascii="Times New Roman" w:eastAsia="Times New Roman" w:hAnsi="Times New Roman"/>
          <w:noProof/>
          <w:lang w:eastAsia="ar-SA"/>
        </w:rPr>
        <w:t>(Kwon et al., 2020)</w:t>
      </w:r>
      <w:r w:rsidR="001176F2">
        <w:rPr>
          <w:rFonts w:ascii="Times New Roman" w:eastAsia="Times New Roman" w:hAnsi="Times New Roman"/>
          <w:lang w:eastAsia="ar-SA"/>
        </w:rPr>
        <w:fldChar w:fldCharType="end"/>
      </w:r>
      <w:r w:rsidR="003876F1" w:rsidRPr="52068E83">
        <w:rPr>
          <w:rFonts w:ascii="Times New Roman" w:eastAsia="Times New Roman" w:hAnsi="Times New Roman"/>
          <w:lang w:eastAsia="ar-SA"/>
        </w:rPr>
        <w:t>. CRISPR</w:t>
      </w:r>
      <w:r w:rsidRPr="52068E83">
        <w:rPr>
          <w:rFonts w:ascii="Times New Roman" w:eastAsia="Times New Roman" w:hAnsi="Times New Roman"/>
          <w:lang w:eastAsia="ar-SA"/>
        </w:rPr>
        <w:t xml:space="preserve"> tools </w:t>
      </w:r>
      <w:r w:rsidR="000E1174">
        <w:rPr>
          <w:rFonts w:ascii="Times New Roman" w:eastAsia="Times New Roman" w:hAnsi="Times New Roman"/>
          <w:lang w:eastAsia="ar-SA"/>
        </w:rPr>
        <w:t>can</w:t>
      </w:r>
      <w:r w:rsidRPr="52068E83">
        <w:rPr>
          <w:rFonts w:ascii="Times New Roman" w:eastAsia="Times New Roman" w:hAnsi="Times New Roman"/>
          <w:lang w:eastAsia="ar-SA"/>
        </w:rPr>
        <w:t xml:space="preserve"> also facilitate the precise control of plant chromosomal recombination </w:t>
      </w:r>
      <w:r w:rsidRPr="52068E83">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{"citationItems":[{"id":"ITEM-1","itemData":{"DOI":"10.1016/j.tplants.2019.12.017","ISSN":"13601385","PMID":"31959421","abstract":"Crossovers (COs), that drive genetic exchange between homologous chromosomes, are strongly biased toward subtelomeric regions in plant species. Manipulating the rate and positions of COs to increase the genetic variation accessible to breeders is a longstanding goal. Use of genome editing reagents that induce double-stranded breaks (DSBs) or modify the epigenome at desired sites of recombination, and manipulation of CO factors, are increasingly applicable approaches for achieving this goal. These strategies for ‘controlled recombination’ have potential to reduce the time and expense associated with traditional breeding, reveal currently inaccessible genetic diversity, and increase control over the inheritance of preferred haplotypes. Considerable challenges to address include translating knowledge from models to crop species and determining the best stages of the breeding cycle at which to control recombination.","author":[{"dropping-particle":"","family":"Taagen","given":"Ella","non-dropping-particle":"","parse-names":false,"suffix":""},{"dropping-particle":"","family":"Bogdanove","given":"Adam J.","non-dropping-particle":"","parse-names":false,"suffix":""},{"dropping-particle":"","family":"Sorrells","given":"Mark E.","non-dropping-particle":"","parse-names":false,"suffix":""}],"container-title":"Trends in Plant Science","id":"ITEM-1","issue":"5","issued":{"date-parts":[["2020","5"]]},"page":"455-465","publisher":"Elsevier Ltd","title":"Counting on Crossovers: Controlled Recombination for Plant Breeding","type":"article","volume":"25"},"uris":["http://www.mendeley.com/documents/?uuid=362a3655-48df-4707-a729-b9e1cdd64acc"]}],"mendeley":{"formattedCitation":"(Taagen et al., 2020)","plainTextFormattedCitation":"(Taagen et al., 2020)","previouslyFormattedCitation":"(Taagen et al., 2020)"},"properties":{"noteIndex":0},"schema":"https://github.com/citation-style-language/schema/raw/master/csl-citation.json"}</w:instrText>
      </w:r>
      <w:r w:rsidRPr="52068E83">
        <w:rPr>
          <w:rFonts w:ascii="Times New Roman" w:eastAsia="Times New Roman" w:hAnsi="Times New Roman"/>
          <w:lang w:eastAsia="ar-SA"/>
        </w:rPr>
        <w:fldChar w:fldCharType="separate"/>
      </w:r>
      <w:r w:rsidRPr="52068E83">
        <w:rPr>
          <w:rFonts w:ascii="Times New Roman" w:eastAsia="Times New Roman" w:hAnsi="Times New Roman"/>
          <w:noProof/>
          <w:lang w:eastAsia="ar-SA"/>
        </w:rPr>
        <w:t>(Taagen et al., 2020)</w:t>
      </w:r>
      <w:r w:rsidRPr="52068E83">
        <w:rPr>
          <w:rFonts w:ascii="Times New Roman" w:eastAsia="Times New Roman" w:hAnsi="Times New Roman"/>
          <w:lang w:eastAsia="ar-SA"/>
        </w:rPr>
        <w:fldChar w:fldCharType="end"/>
      </w:r>
      <w:r w:rsidRPr="52068E83">
        <w:rPr>
          <w:rFonts w:ascii="Times New Roman" w:eastAsia="Times New Roman" w:hAnsi="Times New Roman"/>
          <w:lang w:eastAsia="ar-SA"/>
        </w:rPr>
        <w:t xml:space="preserve">, thereby unlocking otherwise inaccessible genetic diversity. </w:t>
      </w:r>
      <w:r w:rsidR="005B4C2C" w:rsidRPr="52068E83">
        <w:rPr>
          <w:rFonts w:ascii="Times New Roman" w:eastAsia="Times New Roman" w:hAnsi="Times New Roman"/>
          <w:lang w:eastAsia="ar-SA"/>
        </w:rPr>
        <w:t>Next generation</w:t>
      </w:r>
      <w:r w:rsidRPr="52068E83">
        <w:rPr>
          <w:rFonts w:ascii="Times New Roman" w:eastAsia="Times New Roman" w:hAnsi="Times New Roman"/>
          <w:lang w:eastAsia="ar-SA"/>
        </w:rPr>
        <w:t xml:space="preserve"> of CRISPR-</w:t>
      </w:r>
      <w:r w:rsidR="005B4C2C" w:rsidRPr="52068E83">
        <w:rPr>
          <w:rFonts w:ascii="Times New Roman" w:eastAsia="Times New Roman" w:hAnsi="Times New Roman"/>
          <w:lang w:eastAsia="ar-SA"/>
        </w:rPr>
        <w:t>Cas technologies</w:t>
      </w:r>
      <w:r w:rsidRPr="52068E83">
        <w:rPr>
          <w:rFonts w:ascii="Times New Roman" w:eastAsia="Times New Roman" w:hAnsi="Times New Roman"/>
          <w:lang w:eastAsia="ar-SA"/>
        </w:rPr>
        <w:t xml:space="preserve"> and </w:t>
      </w:r>
      <w:r w:rsidR="005B4C2C" w:rsidRPr="52068E83">
        <w:rPr>
          <w:rFonts w:ascii="Times New Roman" w:eastAsia="Times New Roman" w:hAnsi="Times New Roman"/>
          <w:lang w:eastAsia="ar-SA"/>
        </w:rPr>
        <w:t xml:space="preserve">applications are already underway </w:t>
      </w:r>
      <w:r w:rsidR="001176F2">
        <w:rPr>
          <w:rFonts w:ascii="Times New Roman" w:eastAsia="Times New Roman" w:hAnsi="Times New Roman"/>
          <w:lang w:eastAsia="ar-SA"/>
        </w:rPr>
        <w:fldChar w:fldCharType="begin" w:fldLock="1"/>
      </w:r>
      <w:r w:rsidR="001176F2">
        <w:rPr>
          <w:rFonts w:ascii="Times New Roman" w:eastAsia="Times New Roman" w:hAnsi="Times New Roman"/>
          <w:lang w:eastAsia="ar-SA"/>
        </w:rPr>
        <w:instrText>ADDIN CSL_CITATION {"citationItems":[{"id":"ITEM-1","itemData":{"DOI":"10.1038/s41467-018-04252-2","ISSN":"2041-1723","author":[{"dropping-particle":"","family":"Adli","given":"Mazhar","non-dropping-particle":"","parse-names":false,"suffix":""}],"container-title":"Nature Communications","id":"ITEM-1","issue":"1","issued":{"date-parts":[["2018","12","15"]]},"page":"1911","title":"The CRISPR tool kit for genome editing and beyond","type":"article-journal","volume":"9"},"uris":["http://www.mendeley.com/documents/?uuid=767b385a-0f1f-45c2-afe4-75602ce3ed31"]},{"id":"ITEM-2","itemData":{"DOI":"10.1038/s41580-019-0131-5","ISSN":"14710080","PMID":"31147612","abstract":"The prokaryote-derived CRISPR–Cas genome editing systems have transformed our ability to manipulate, detect, image and annotate specific DNA and RNA sequences in living cells of diverse species. The ease of use and robustness of this technology have revolutionized genome editing for research ranging from fundamental science to translational medicine. Initial successes have inspired efforts to discover new systems for targeting and manipulating nucleic acids, including those from Cas9, Cas12, Cascade and Cas13 orthologues. Genome editing by CRISPR–Cas can utilize non-homologous end joining and homology-directed repair for DNA repair, as well as single-base editing enzymes. In addition to targeting DNA, CRISPR–Cas-based RNA-targeting tools are being developed for research, medicine and diagnostics. Nuclease-inactive and RNA-targeting Cas proteins have been fused to a plethora of effector proteins to regulate gene expression, epigenetic modifications and chromatin interactions. Collectively, the new advances are considerably improving our understanding of biological processes and are propelling CRISPR–Cas-based tools towards clinical use in gene and cell therapies.","author":[{"dropping-particle":"","family":"Pickar-Oliver","given":"Adrian","non-dropping-particle":"","parse-names":false,"suffix":""},{"dropping-particle":"","family":"Gersbach","given":"Charles A","non-dropping-particle":"","parse-names":false,"suffix":""}],"container-title":"Nature Reviews Molecular Cell Biology","id":"ITEM-2","issue":"8","issued":{"date-parts":[["2019","8"]]},"page":"490-507","publisher":"Nature Publishing Group","title":"The next generation of CRISPR–Cas technologies and applications","type":"article","volume":"20"},"uris":["http://www.mendeley.com/documents/?uuid=0bd8d549-512c-46f1-8598-b2c8509119bc"]}],"mendeley":{"formattedCitation":"(Adli, 2018; Pickar-Oliver &amp; Gersbach, 2019)","plainTextFormattedCitation":"(Adli, 2018; Pickar-Oliver &amp; Gersbach, 2019)","previouslyFormattedCitation":"(Adli, 2018; Pickar-Oliver &amp; Gersbach, 2019)"},"properties":{"noteIndex":0},"schema":"https://github.com/citation-style-language/schema/raw/master/csl-citation.json"}</w:instrText>
      </w:r>
      <w:r w:rsidR="001176F2">
        <w:rPr>
          <w:rFonts w:ascii="Times New Roman" w:eastAsia="Times New Roman" w:hAnsi="Times New Roman"/>
          <w:lang w:eastAsia="ar-SA"/>
        </w:rPr>
        <w:fldChar w:fldCharType="separate"/>
      </w:r>
      <w:r w:rsidR="001176F2" w:rsidRPr="001176F2">
        <w:rPr>
          <w:rFonts w:ascii="Times New Roman" w:eastAsia="Times New Roman" w:hAnsi="Times New Roman"/>
          <w:noProof/>
          <w:lang w:eastAsia="ar-SA"/>
        </w:rPr>
        <w:t>(Adli, 2018; Pickar-Oliver &amp; Gersbach, 2019)</w:t>
      </w:r>
      <w:r w:rsidR="001176F2">
        <w:rPr>
          <w:rFonts w:ascii="Times New Roman" w:eastAsia="Times New Roman" w:hAnsi="Times New Roman"/>
          <w:lang w:eastAsia="ar-SA"/>
        </w:rPr>
        <w:fldChar w:fldCharType="end"/>
      </w:r>
      <w:r w:rsidR="005B4C2C" w:rsidRPr="52068E83">
        <w:rPr>
          <w:rFonts w:ascii="Times New Roman" w:eastAsia="Times New Roman" w:hAnsi="Times New Roman"/>
          <w:lang w:eastAsia="ar-SA"/>
        </w:rPr>
        <w:t xml:space="preserve">, and coupled with other approaches, </w:t>
      </w:r>
      <w:r w:rsidR="00177BD5">
        <w:rPr>
          <w:rFonts w:ascii="Times New Roman" w:eastAsia="Times New Roman" w:hAnsi="Times New Roman"/>
          <w:lang w:eastAsia="ar-SA"/>
        </w:rPr>
        <w:t>e.g</w:t>
      </w:r>
      <w:r w:rsidR="005B4C2C" w:rsidRPr="52068E83">
        <w:rPr>
          <w:rFonts w:ascii="Times New Roman" w:eastAsia="Times New Roman" w:hAnsi="Times New Roman"/>
          <w:lang w:eastAsia="ar-SA"/>
        </w:rPr>
        <w:t xml:space="preserve">. haploid induction or </w:t>
      </w:r>
      <w:r w:rsidR="186E0580" w:rsidRPr="33EA2C0C">
        <w:rPr>
          <w:rFonts w:ascii="Times New Roman" w:eastAsia="Times New Roman" w:hAnsi="Times New Roman"/>
          <w:lang w:eastAsia="ar-SA"/>
        </w:rPr>
        <w:t>developme</w:t>
      </w:r>
      <w:r w:rsidR="606005E4" w:rsidRPr="33EA2C0C">
        <w:rPr>
          <w:rFonts w:ascii="Times New Roman" w:eastAsia="Times New Roman" w:hAnsi="Times New Roman"/>
          <w:lang w:eastAsia="ar-SA"/>
        </w:rPr>
        <w:t>n</w:t>
      </w:r>
      <w:r w:rsidR="186E0580" w:rsidRPr="33EA2C0C">
        <w:rPr>
          <w:rFonts w:ascii="Times New Roman" w:eastAsia="Times New Roman" w:hAnsi="Times New Roman"/>
          <w:lang w:eastAsia="ar-SA"/>
        </w:rPr>
        <w:t>tal</w:t>
      </w:r>
      <w:r w:rsidR="005B4C2C" w:rsidRPr="52068E83">
        <w:rPr>
          <w:rFonts w:ascii="Times New Roman" w:eastAsia="Times New Roman" w:hAnsi="Times New Roman"/>
          <w:lang w:eastAsia="ar-SA"/>
        </w:rPr>
        <w:t xml:space="preserve"> regulators, it could le</w:t>
      </w:r>
      <w:r w:rsidR="00F5651F">
        <w:rPr>
          <w:rFonts w:ascii="Times New Roman" w:eastAsia="Times New Roman" w:hAnsi="Times New Roman"/>
          <w:lang w:eastAsia="ar-SA"/>
        </w:rPr>
        <w:t>a</w:t>
      </w:r>
      <w:r w:rsidR="005B4C2C" w:rsidRPr="52068E83">
        <w:rPr>
          <w:rFonts w:ascii="Times New Roman" w:eastAsia="Times New Roman" w:hAnsi="Times New Roman"/>
          <w:lang w:eastAsia="ar-SA"/>
        </w:rPr>
        <w:t xml:space="preserve">d to a new generation of improved crops </w:t>
      </w:r>
      <w:r w:rsidR="001176F2">
        <w:rPr>
          <w:rFonts w:ascii="Times New Roman" w:eastAsia="Times New Roman" w:hAnsi="Times New Roman"/>
          <w:lang w:eastAsia="ar-SA"/>
        </w:rPr>
        <w:fldChar w:fldCharType="begin" w:fldLock="1"/>
      </w:r>
      <w:r w:rsidR="000E1878">
        <w:rPr>
          <w:rFonts w:ascii="Times New Roman" w:eastAsia="Times New Roman" w:hAnsi="Times New Roman"/>
          <w:lang w:eastAsia="ar-SA"/>
        </w:rPr>
        <w:instrText>ADDIN CSL_CITATION {"citationItems":[{"id":"ITEM-1","itemData":{"DOI":"10.1038/s41587-019-0038-x","ISSN":"1087-0156","author":[{"dropping-particle":"","family":"Kelliher","given":"Timothy","non-dropping-particle":"","parse-names":false,"suffix":""},{"dropping-particle":"","family":"Starr","given":"Dakota","non-dropping-particle":"","parse-names":false,"suffix":""},{"dropping-particle":"","family":"Su","given":"Xiujuan","non-dropping-particle":"","parse-names":false,"suffix":""},{"dropping-particle":"","family":"Tang","given":"Guozhu","non-dropping-particle":"","parse-names":false,"suffix":""},{"dropping-particle":"","family":"Chen","given":"Zhongying","non-dropping-particle":"","parse-names":false,"suffix":""},{"dropping-particle":"","family":"Carter","given":"Jared","non-dropping-particle":"","parse-names":false,"suffix":""},{"dropping-particle":"","family":"Wittich","given":"Peter E.","non-dropping-particle":"","parse-names":false,"suffix":""},{"dropping-particle":"","family":"Dong","given":"Shujie","non-dropping-particle":"","parse-names":false,"suffix":""},{"dropping-particle":"","family":"Green","given":"Julie","non-dropping-particle":"","parse-names":false,"suffix":""},{"dropping-particle":"","family":"Burch","given":"Erin","non-dropping-particle":"","parse-names":false,"suffix":""},{"dropping-particle":"","family":"McCuiston","given":"Jamie","non-dropping-particle":"","parse-names":false,"suffix":""},{"dropping-particle":"","family":"Gu","given":"Weining","non-dropping-particle":"","parse-names":false,"suffix":""},{"dropping-particle":"","family":"Sun","given":"Yuejin","non-dropping-particle":"","parse-names":false,"suffix":""},{"dropping-particle":"","family":"Strebe","given":"Tim","non-dropping-particle":"","parse-names":false,"suffix":""},{"dropping-particle":"","family":"Roberts","given":"James","non-dropping-particle":"","parse-names":false,"suffix":""},{"dropping-particle":"","family":"Bate","given":"Nic J.","non-dropping-particle":"","parse-names":false,"suffix":""},{"dropping-particle":"","family":"Que","given":"Qiudeng","non-dropping-particle":"","parse-names":false,"suffix":""}],"container-title":"Nature Biotechnology","id":"ITEM-1","issue":"3","issued":{"date-parts":[["2019","3","4"]]},"page":"287-292","title":"One-step genome editing of elite crop germplasm during haploid induction","type":"article-journal","volume":"37"},"uris":["http://www.mendeley.com/documents/?uuid=40c1ab82-7d2b-44f9-97ad-e56f73556e67"]},{"id":"ITEM-2","itemData":{"DOI":"10.1038/s41587-019-0337-2","ISSN":"1087-0156","author":[{"dropping-particle":"","family":"Maher","given":"Michael F.","non-dropping-particle":"","parse-names":false,"suffix":""},{"dropping-particle":"","family":"Nasti","given":"Ryan A.","non-dropping-particle":"","parse-names":false,"suffix":""},{"dropping-particle":"","family":"Vollbrecht","given":"Macy","non-dropping-particle":"","parse-names":false,"suffix":""},{"dropping-particle":"","family":"Starker","given":"Colby G.","non-dropping-particle":"","parse-names":false,"suffix":""},{"dropping-particle":"","family":"Clark","given":"Matthew D.","non-dropping-particle":"","parse-names":false,"suffix":""},{"dropping-particle":"","family":"Voytas","given":"Daniel F.","non-dropping-particle":"","parse-names":false,"suffix":""}],"container-title":"Nature Biotechnology","id":"ITEM-2","issue":"1","issued":{"date-parts":[["2020","1","16"]]},"page":"84-89","title":"Plant gene editing through de novo induction of meristems","type":"article-journal","volume":"38"},"uris":["http://www.mendeley.com/documents/?uuid=37e1c362-d0ae-4f35-90bc-ea8f3bf966e1"]}],"mendeley":{"formattedCitation":"(Kelliher et al., 2019; Maher et al., 2020)","plainTextFormattedCitation":"(Kelliher et al., 2019; Maher et al., 2020)","previouslyFormattedCitation":"(Kelliher et al., 2019; Maher et al., 2020)"},"properties":{"noteIndex":0},"schema":"https://github.com/citation-style-language/schema/raw/master/csl-citation.json"}</w:instrText>
      </w:r>
      <w:r w:rsidR="001176F2">
        <w:rPr>
          <w:rFonts w:ascii="Times New Roman" w:eastAsia="Times New Roman" w:hAnsi="Times New Roman"/>
          <w:lang w:eastAsia="ar-SA"/>
        </w:rPr>
        <w:fldChar w:fldCharType="separate"/>
      </w:r>
      <w:r w:rsidR="001176F2" w:rsidRPr="003531BC">
        <w:rPr>
          <w:rFonts w:ascii="Times New Roman" w:eastAsia="Times New Roman" w:hAnsi="Times New Roman"/>
          <w:noProof/>
          <w:lang w:val="en-US" w:eastAsia="ar-SA"/>
        </w:rPr>
        <w:t>(Kelliher et al., 2019; Maher et al., 2020)</w:t>
      </w:r>
      <w:r w:rsidR="001176F2">
        <w:rPr>
          <w:rFonts w:ascii="Times New Roman" w:eastAsia="Times New Roman" w:hAnsi="Times New Roman"/>
          <w:lang w:eastAsia="ar-SA"/>
        </w:rPr>
        <w:fldChar w:fldCharType="end"/>
      </w:r>
      <w:r w:rsidR="005B4C2C" w:rsidRPr="003531BC">
        <w:rPr>
          <w:rFonts w:ascii="Times New Roman" w:eastAsia="Times New Roman" w:hAnsi="Times New Roman"/>
          <w:lang w:val="en-US" w:eastAsia="ar-SA"/>
        </w:rPr>
        <w:t xml:space="preserve">. </w:t>
      </w:r>
      <w:r w:rsidRPr="52068E83">
        <w:rPr>
          <w:rFonts w:ascii="Times New Roman" w:eastAsia="Times New Roman" w:hAnsi="Times New Roman"/>
          <w:lang w:eastAsia="ar-SA"/>
        </w:rPr>
        <w:t>Even though a multitude of traits have since been edited, only a few CRISPR-based genome edited plants have reached the market so far</w:t>
      </w:r>
      <w:r w:rsidR="00B71052" w:rsidRPr="52068E83">
        <w:rPr>
          <w:rFonts w:ascii="Times New Roman" w:eastAsia="Times New Roman" w:hAnsi="Times New Roman"/>
          <w:lang w:eastAsia="ar-SA"/>
        </w:rPr>
        <w:t xml:space="preserve"> (see Section </w:t>
      </w:r>
      <w:r w:rsidR="00A3481E">
        <w:rPr>
          <w:rFonts w:ascii="Times New Roman" w:eastAsia="Times New Roman" w:hAnsi="Times New Roman"/>
          <w:lang w:eastAsia="ar-SA"/>
        </w:rPr>
        <w:t>3</w:t>
      </w:r>
      <w:r w:rsidR="00B71052" w:rsidRPr="52068E83">
        <w:rPr>
          <w:rFonts w:ascii="Times New Roman" w:eastAsia="Times New Roman" w:hAnsi="Times New Roman"/>
          <w:lang w:eastAsia="ar-SA"/>
        </w:rPr>
        <w:t>)</w:t>
      </w:r>
      <w:r w:rsidRPr="52068E83">
        <w:rPr>
          <w:rFonts w:ascii="Times New Roman" w:eastAsia="Times New Roman" w:hAnsi="Times New Roman"/>
          <w:lang w:eastAsia="ar-SA"/>
        </w:rPr>
        <w:t xml:space="preserve">, but more crops are in the development pipelines of various companies and may soon appear commercially </w:t>
      </w:r>
      <w:r w:rsidRPr="52068E83">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{"citationItems":[{"id":"ITEM-1","itemData":{"DOI":"10.3389/fpls.2020.586027","ISSN":"1664462X","abstract":"Products of genome editing as the most promising “New Plant Breeding Technology” (NPBT) have made the transition from the lab to the market in a short time. Globally, research activities employing genome editing are constantly expanding and more and more plants with market-oriented traits are being developed, while companies already released the first genome-edited crops to the market. Few countries, most of which are located in the Americas, have adapted legislations to these technologies or released guidelines supporting the use of genome editing. Other countries are debating the path to come either because there is no clarity on the legal classification or due consensus is hampered by a renewed GMO debate. In recent years (2017 - 2020), eight countries have introduced guidelines clarifying the legal status of genome edited products and many of those are actively committed to international harmonization of their policies. In this publication we give an overview on the current and potentially future international regulatory environment and an update on plants derived by genome editing with market oriented traits.","author":[{"dropping-particle":"","family":"Menz","given":"Jochen","non-dropping-particle":"","parse-names":false,"suffix":""},{"dropping-particle":"","family":"Modrzejewski","given":"Dominik","non-dropping-particle":"","parse-names":false,"suffix":""},{"dropping-particle":"","family":"Hartung","given":"Frank","non-dropping-particle":"","parse-names":false,"suffix":""},{"dropping-particle":"","family":"Wilhelm","given":"Ralf","non-dropping-particle":"","parse-names":false,"suffix":""},{"dropping-particle":"","family":"Sprink","given":"Thorben","non-dropping-particle":"","parse-names":false,"suffix":""}],"container-title":"Frontiers in Plant Science","id":"ITEM-1","issue":"October","issued":{"date-parts":[["2020"]]},"title":"Genome Edited Crops Touch the Market: A View on the Global Development and Regulatory Environment","type":"article-journal","volume":"11"},"uris":["http://www.mendeley.com/documents/?uuid=b19eeb8b-823a-47b4-a4a6-4df3cc472290"]},{"id":"ITEM-2","itemData":{"DOI":"10.9787/kjbs.2019.51.3.175","ISSN":"0250-3360","abstract":"Recently, several attempts have been undertaken to develop breeding technologies by combining new biotechnologies. Gene-editing technology is currently one of the most interesting areas. The plant breeding methods using this technique have the advantage of greatly improved accuracy and efficiency of the plant genetic correction compared with conventional breeding methods, which has raised expectations for the useful application of this technology as a cutting-edge breeding technology. Although not all countries around the world currently have established appropriate regulation policies on crops developed with gene-editing technology, the number of cases in which GMO regulations are not applied on a case-by-case basis according to the scientific background is growing. However, Korea has not yet established policies on which criteria should be applied to crops generated from the application of gene-editing technology. As the number of cases of crop development and commercialization using gene-editing technology is expected to increase in the near future, it will be necessary to prepare reasonable policies to support developers and seed industries in Korea to ensure harmonization with international regulatory policy trends.","author":[{"dropping-particle":"","family":"Park","given":"Soo-Chul","non-dropping-particle":"","parse-names":false,"suffix":""},{"dropping-particle":"","family":"Joung","given":"Young-Hee","non-dropping-particle":"","parse-names":false,"suffix":""},{"dropping-particle":"","family":"Kim","given":"Kyung-Min","non-dropping-particle":"","parse-names":false,"suffix":""},{"dropping-particle":"","family":"Kim","given":"Ju-Kon","non-dropping-particle":"","parse-names":false,"suffix":""},{"dropping-particle":"","family":"Koh","given":"Hee-Jong","non-dropping-particle":"","parse-names":false,"suffix":""}],"container-title":"Korean Journal of Breeding Science","id":"ITEM-2","issue":"3","issued":{"date-parts":[["2019","9"]]},"page":"175-183","publisher":"Korean Society of Breeding Science","title":"Gene-Edited Crops: Present Status and their Future","type":"article-journal","volume":"51"},"uris":["http://www.mendeley.com/documents/?uuid=cac8ae44-e63e-4e40-90b3-119273d09620"]}],"mendeley":{"formattedCitation":"(Menz et al., 2020; Park et al., 2019)","plainTextFormattedCitation":"(Menz et al., 2020; Park et al., 2019)","previouslyFormattedCitation":"(Menz et al., 2020; Park et al., 2019)"},"properties":{"noteIndex":0},"schema":"https://github.com/citation-style-language/schema/raw/master/csl-citation.json"}</w:instrText>
      </w:r>
      <w:r w:rsidRPr="52068E83">
        <w:rPr>
          <w:rFonts w:ascii="Times New Roman" w:eastAsia="Times New Roman" w:hAnsi="Times New Roman"/>
          <w:lang w:eastAsia="ar-SA"/>
        </w:rPr>
        <w:fldChar w:fldCharType="separate"/>
      </w:r>
      <w:r w:rsidRPr="52068E83">
        <w:rPr>
          <w:rFonts w:ascii="Times New Roman" w:eastAsia="Times New Roman" w:hAnsi="Times New Roman"/>
          <w:noProof/>
          <w:lang w:eastAsia="ar-SA"/>
        </w:rPr>
        <w:t>(Menz et al., 2020; Park et al., 2019)</w:t>
      </w:r>
      <w:r w:rsidRPr="52068E83">
        <w:rPr>
          <w:rFonts w:ascii="Times New Roman" w:eastAsia="Times New Roman" w:hAnsi="Times New Roman"/>
          <w:lang w:eastAsia="ar-SA"/>
        </w:rPr>
        <w:fldChar w:fldCharType="end"/>
      </w:r>
      <w:r w:rsidR="005B4C2C" w:rsidRPr="52068E83">
        <w:rPr>
          <w:rFonts w:ascii="Times New Roman" w:eastAsia="Times New Roman" w:hAnsi="Times New Roman"/>
          <w:lang w:eastAsia="ar-SA"/>
        </w:rPr>
        <w:t xml:space="preserve">. </w:t>
      </w:r>
    </w:p>
    <w:p w14:paraId="7563B35E" w14:textId="34CA65C0" w:rsidR="00AB058B" w:rsidRDefault="00EE703A" w:rsidP="04EE563C">
      <w:pPr>
        <w:spacing w:before="120" w:after="120" w:line="240" w:lineRule="auto"/>
        <w:jc w:val="both"/>
        <w:rPr>
          <w:rFonts w:ascii="Times New Roman" w:eastAsia="Times New Roman" w:hAnsi="Times New Roman"/>
          <w:lang w:eastAsia="ar-SA"/>
        </w:rPr>
      </w:pPr>
      <w:r w:rsidRPr="67FF05DC">
        <w:rPr>
          <w:rFonts w:ascii="Times New Roman" w:eastAsia="Times New Roman" w:hAnsi="Times New Roman"/>
          <w:lang w:eastAsia="ar-SA"/>
        </w:rPr>
        <w:t>Base editing is a newer genome editing approach that uses components from</w:t>
      </w:r>
      <w:r w:rsidR="00AC77E2">
        <w:rPr>
          <w:rFonts w:ascii="Times New Roman" w:eastAsia="Times New Roman" w:hAnsi="Times New Roman"/>
          <w:lang w:eastAsia="ar-SA"/>
        </w:rPr>
        <w:t xml:space="preserve"> </w:t>
      </w:r>
      <w:r w:rsidR="00AC77E2" w:rsidRPr="67FF05DC">
        <w:rPr>
          <w:rFonts w:ascii="Times New Roman" w:eastAsia="Times New Roman" w:hAnsi="Times New Roman"/>
          <w:lang w:eastAsia="ar-SA"/>
        </w:rPr>
        <w:t>CRISPR</w:t>
      </w:r>
      <w:r w:rsidRPr="67FF05DC">
        <w:rPr>
          <w:rFonts w:ascii="Times New Roman" w:eastAsia="Times New Roman" w:hAnsi="Times New Roman"/>
          <w:lang w:eastAsia="ar-SA"/>
        </w:rPr>
        <w:t xml:space="preserve"> </w:t>
      </w:r>
      <w:r w:rsidR="27787BC4" w:rsidRPr="68104893">
        <w:rPr>
          <w:rFonts w:ascii="Times New Roman" w:eastAsia="Times New Roman" w:hAnsi="Times New Roman"/>
          <w:lang w:eastAsia="ar-SA"/>
        </w:rPr>
        <w:t xml:space="preserve">systems together with other enzymes </w:t>
      </w:r>
      <w:r w:rsidR="000E1878">
        <w:rPr>
          <w:rFonts w:ascii="Times New Roman" w:eastAsia="Times New Roman" w:hAnsi="Times New Roman"/>
          <w:lang w:eastAsia="ar-SA"/>
        </w:rPr>
        <w:fldChar w:fldCharType="begin" w:fldLock="1"/>
      </w:r>
      <w:r w:rsidR="00D32737">
        <w:rPr>
          <w:rFonts w:ascii="Times New Roman" w:eastAsia="Times New Roman" w:hAnsi="Times New Roman"/>
          <w:lang w:eastAsia="ar-SA"/>
        </w:rPr>
        <w:instrText>ADDIN CSL_CITATION {"citationItems":[{"id":"ITEM-1","itemData":{"DOI":"10.1038/s41576-018-0059-1","ISSN":"14710064","PMID":"30323312","abstract":"RNA-guided programmable nucleases from CRISPR systems generate precise breaks in DNA or RNA at specified positions. In cells, this activity can lead to changes in DNA sequence or RNA transcript abundance. Base editing is a newer genome-editing approach that uses components from CRISPR systems together with other enzymes to directly install point mutations into cellular DNA or RNA without making double-stranded DNA breaks. DNA base editors comprise a catalytically disabled nuclease fused to a nucleobase deaminase enzyme and, in some cases, a DNA glycosylase inhibitor. RNA base editors achieve analogous changes using components that target RNA. Base editors directly convert one base or base pair into another, enabling the efficient installation of point mutations in non-dividing cells without generating excess undesired editing by-products. In this Review, we summarize base-editing strategies to generate specific and precise point mutations in genomic DNA and RNA, highlight recent developments that expand the scope, specificity, precision and in vivo delivery of base editors and discuss limitations and future directions of base editing for research and therapeutic applications.","author":[{"dropping-particle":"","family":"Rees","given":"Holly A","non-dropping-particle":"","parse-names":false,"suffix":""},{"dropping-particle":"","family":"Liu","given":"David R","non-dropping-particle":"","parse-names":false,"suffix":""}],"container-title":"Nature Reviews Genetics","id":"ITEM-1","issue":"12","issued":{"date-parts":[["2018","12"]]},"page":"770-788","publisher":"Nature Publishing Group","title":"Base editing: precision chemistry on the genome and transcriptome of living cells","type":"article","volume":"19"},"uris":["http://www.mendeley.com/documents/?uuid=b8506b88-24a6-47ad-9d77-01a76ffddd15"]}],"mendeley":{"formattedCitation":"(H. A. Rees &amp; Liu, 2018)","plainTextFormattedCitation":"(H. A. Rees &amp; Liu, 2018)","previouslyFormattedCitation":"(H. A. Rees &amp; Liu, 2018)"},"properties":{"noteIndex":0},"schema":"https://github.com/citation-style-language/schema/raw/master/csl-citation.json"}</w:instrText>
      </w:r>
      <w:r w:rsidR="000E1878">
        <w:rPr>
          <w:rFonts w:ascii="Times New Roman" w:eastAsia="Times New Roman" w:hAnsi="Times New Roman"/>
          <w:lang w:eastAsia="ar-SA"/>
        </w:rPr>
        <w:fldChar w:fldCharType="separate"/>
      </w:r>
      <w:r w:rsidR="00D32737" w:rsidRPr="00D32737">
        <w:rPr>
          <w:rFonts w:ascii="Times New Roman" w:eastAsia="Times New Roman" w:hAnsi="Times New Roman"/>
          <w:noProof/>
          <w:lang w:eastAsia="ar-SA"/>
        </w:rPr>
        <w:t>(H. A. Rees &amp; Liu, 2018)</w:t>
      </w:r>
      <w:r w:rsidR="000E1878">
        <w:rPr>
          <w:rFonts w:ascii="Times New Roman" w:eastAsia="Times New Roman" w:hAnsi="Times New Roman"/>
          <w:lang w:eastAsia="ar-SA"/>
        </w:rPr>
        <w:fldChar w:fldCharType="end"/>
      </w:r>
      <w:r w:rsidR="27787BC4" w:rsidRPr="68104893">
        <w:rPr>
          <w:rFonts w:ascii="Times New Roman" w:eastAsia="Times New Roman" w:hAnsi="Times New Roman"/>
          <w:lang w:eastAsia="ar-SA"/>
        </w:rPr>
        <w:t xml:space="preserve">. This technique precisely installs targeted point mutations without requiring double-stranded breaks or donor DNA templates, and without reliance on homology-directed repair. Two main classes of base editors have been developed to date: cytosine base editors, which catalyse the conversion of C/G base pairs to T/A base pairs; and adenine base editors, which catalyse A/T-to-G/C conversions </w:t>
      </w:r>
      <w:r w:rsidR="00947A60">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{"citationItems":[{"id":"ITEM-1","itemData":{"DOI":"10.1038/s41587-020-0561-9","ISSN":"15461696","PMID":"32572269","abstract":"The development of new CRISPR–Cas genome editing tools continues to drive major advances in the life sciences. Four classes of CRISPR–Cas-derived genome editing agents—nucleases, base editors, transposases/recombinases and prime editors—are currently available for modifying genomes in experimental systems. Some of these agents have also moved rapidly into the clinic. Each tool comes with its own capabilities and limitations, and major efforts have broadened their editing capabilities, expanded their targeting scope and improved editing specificity. We analyze key considerations when choosing genome editing agents and identify opportunities for future improvements and applications in basic research and therapeutics.","author":[{"dropping-particle":"V.","family":"Anzalone","given":"Andrew","non-dropping-particle":"","parse-names":false,"suffix":""},{"dropping-particle":"","family":"Koblan","given":"Luke W.","non-dropping-particle":"","parse-names":false,"suffix":""},{"dropping-particle":"","family":"Liu","given":"David R.","non-dropping-particle":"","parse-names":false,"suffix":""}],"container-title":"Nature Biotechnology","id":"ITEM-1","issue":"7","issued":{"date-parts":[["2020","7"]]},"page":"824-844","publisher":"Nature Research","title":"Genome editing with CRISPR–Cas nucleases, base editors, transposases and prime editors","type":"article","volume":"38"},"uris":["http://www.mendeley.com/documents/?uuid=53700f48-bc4b-4288-bcb4-315bcc3d4da5"]}],"mendeley":{"formattedCitation":"(Anzalone et al., 2020)","plainTextFormattedCitation":"(Anzalone et al., 2020)","previouslyFormattedCitation":"(Anzalone et al., 2020)"},"properties":{"noteIndex":0},"schema":"https://github.com/citation-style-language/schema/raw/master/csl-citation.json"}</w:instrText>
      </w:r>
      <w:r w:rsidR="00947A60">
        <w:rPr>
          <w:rFonts w:ascii="Times New Roman" w:eastAsia="Times New Roman" w:hAnsi="Times New Roman"/>
          <w:lang w:eastAsia="ar-SA"/>
        </w:rPr>
        <w:fldChar w:fldCharType="separate"/>
      </w:r>
      <w:r w:rsidR="00947A60" w:rsidRPr="00947A60">
        <w:rPr>
          <w:rFonts w:ascii="Times New Roman" w:eastAsia="Times New Roman" w:hAnsi="Times New Roman"/>
          <w:noProof/>
          <w:lang w:eastAsia="ar-SA"/>
        </w:rPr>
        <w:t>(Anzalone et al., 2020)</w:t>
      </w:r>
      <w:r w:rsidR="00947A60">
        <w:rPr>
          <w:rFonts w:ascii="Times New Roman" w:eastAsia="Times New Roman" w:hAnsi="Times New Roman"/>
          <w:lang w:eastAsia="ar-SA"/>
        </w:rPr>
        <w:fldChar w:fldCharType="end"/>
      </w:r>
      <w:r w:rsidR="27787BC4" w:rsidRPr="68104893">
        <w:rPr>
          <w:rFonts w:ascii="Times New Roman" w:eastAsia="Times New Roman" w:hAnsi="Times New Roman"/>
          <w:lang w:eastAsia="ar-SA"/>
        </w:rPr>
        <w:t>. Base editors have been applied in a variety of cell types and organisms, including animal models of human genetic diseases, to ins</w:t>
      </w:r>
      <w:r w:rsidR="006B1A72">
        <w:rPr>
          <w:rFonts w:ascii="Times New Roman" w:eastAsia="Times New Roman" w:hAnsi="Times New Roman"/>
          <w:lang w:eastAsia="ar-SA"/>
        </w:rPr>
        <w:t>ert</w:t>
      </w:r>
      <w:r w:rsidR="27787BC4" w:rsidRPr="68104893">
        <w:rPr>
          <w:rFonts w:ascii="Times New Roman" w:eastAsia="Times New Roman" w:hAnsi="Times New Roman"/>
          <w:lang w:eastAsia="ar-SA"/>
        </w:rPr>
        <w:t xml:space="preserve"> or revert transition point mutations </w:t>
      </w:r>
      <w:r w:rsidR="009378C0">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{"citationItems":[{"id":"ITEM-1","itemData":{"DOI":"10.1038/s41587-020-0561-9","ISSN":"15461696","PMID":"32572269","abstract":"The development of new CRISPR–Cas genome editing tools continues to drive major advances in the life sciences. Four classes of CRISPR–Cas-derived genome editing agents—nucleases, base editors, transposases/recombinases and prime editors—are currently available for modifying genomes in experimental systems. Some of these agents have also moved rapidly into the clinic. Each tool comes with its own capabilities and limitations, and major efforts have broadened their editing capabilities, expanded their targeting scope and improved editing specificity. We analyze key considerations when choosing genome editing agents and identify opportunities for future improvements and applications in basic research and therapeutics.","author":[{"dropping-particle":"V.","family":"Anzalone","given":"Andrew","non-dropping-particle":"","parse-names":false,"suffix":""},{"dropping-particle":"","family":"Koblan","given":"Luke W.","non-dropping-particle":"","parse-names":false,"suffix":""},{"dropping-particle":"","family":"Liu","given":"David R.","non-dropping-particle":"","parse-names":false,"suffix":""}],"container-title":"Nature Biotechnology","id":"ITEM-1","issue":"7","issued":{"date-parts":[["2020","7"]]},"page":"824-844","publisher":"Nature Research","title":"Genome editing with CRISPR–Cas nucleases, base editors, transposases and prime editors","type":"article","volume":"38"},"uris":["http://www.mendeley.com/documents/?uuid=53700f48-bc4b-4288-bcb4-315bcc3d4da5"]}],"mendeley":{"formattedCitation":"(Anzalone et al., 2020)","plainTextFormattedCitation":"(Anzalone et al., 2020)","previouslyFormattedCitation":"(Anzalone et al., 2020)"},"properties":{"noteIndex":0},"schema":"https://github.com/citation-style-language/schema/raw/master/csl-citation.json"}</w:instrText>
      </w:r>
      <w:r w:rsidR="009378C0">
        <w:rPr>
          <w:rFonts w:ascii="Times New Roman" w:eastAsia="Times New Roman" w:hAnsi="Times New Roman"/>
          <w:lang w:eastAsia="ar-SA"/>
        </w:rPr>
        <w:fldChar w:fldCharType="separate"/>
      </w:r>
      <w:r w:rsidR="009378C0" w:rsidRPr="009378C0">
        <w:rPr>
          <w:rFonts w:ascii="Times New Roman" w:eastAsia="Times New Roman" w:hAnsi="Times New Roman"/>
          <w:noProof/>
          <w:lang w:eastAsia="ar-SA"/>
        </w:rPr>
        <w:t>(Anzalone et al., 2020)</w:t>
      </w:r>
      <w:r w:rsidR="009378C0">
        <w:rPr>
          <w:rFonts w:ascii="Times New Roman" w:eastAsia="Times New Roman" w:hAnsi="Times New Roman"/>
          <w:lang w:eastAsia="ar-SA"/>
        </w:rPr>
        <w:fldChar w:fldCharType="end"/>
      </w:r>
      <w:r w:rsidR="27787BC4" w:rsidRPr="68104893">
        <w:rPr>
          <w:rFonts w:ascii="Times New Roman" w:eastAsia="Times New Roman" w:hAnsi="Times New Roman"/>
          <w:lang w:eastAsia="ar-SA"/>
        </w:rPr>
        <w:t>.</w:t>
      </w:r>
      <w:r w:rsidR="009C1624">
        <w:rPr>
          <w:rFonts w:ascii="Times New Roman" w:eastAsia="Times New Roman" w:hAnsi="Times New Roman"/>
          <w:lang w:eastAsia="ar-SA"/>
        </w:rPr>
        <w:t xml:space="preserve"> </w:t>
      </w:r>
      <w:r w:rsidR="009C1624" w:rsidRPr="009C1624">
        <w:rPr>
          <w:rFonts w:ascii="Times New Roman" w:eastAsia="Times New Roman" w:hAnsi="Times New Roman"/>
          <w:lang w:eastAsia="ar-SA"/>
        </w:rPr>
        <w:t>In addition, base editors originating from bacterial toxins have been applied to edit the genome of organelles, such as mitochondria, in a CRISPR-free manner</w:t>
      </w:r>
      <w:r w:rsidR="009C1624">
        <w:rPr>
          <w:rFonts w:ascii="Times New Roman" w:eastAsia="Times New Roman" w:hAnsi="Times New Roman"/>
          <w:lang w:eastAsia="ar-SA"/>
        </w:rPr>
        <w:t xml:space="preserve"> </w:t>
      </w:r>
      <w:r w:rsidR="00EE2715">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{"citationItems":[{"id":"ITEM-1","itemData":{"DOI":"10.1038/s41586-020-2477-4","ISBN":"4158602024774","ISSN":"14764687","PMID":"32641830","abstract":"Bacterial toxins represent a vast reservoir of biochemical diversity that can be repurposed for biomedical applications. Such proteins include a group of predicted interbacterial toxins of the deaminase superfamily, members of which have found application in gene-editing techniques1,2. Because previously described cytidine deaminases operate on single-stranded nucleic acids3, their use in base editing requires the unwinding of double-stranded DNA (dsDNA)—for example by a CRISPR–Cas9 system. Base editing within mitochondrial DNA (mtDNA), however, has thus far been hindered by challenges associated with the delivery of guide RNA into the mitochondria4. As a consequence, manipulation of mtDNA to date has been limited to the targeted destruction of the mitochondrial genome by designer nucleases9,10.Here we describe an interbacterial toxin, which we name DddA, that catalyses the deamination of cytidines within dsDNA. We engineered split-DddA halves that are non-toxic and inactive until brought together on target DNA by adjacently bound programmable DNA-binding proteins. Fusions of the split-DddA halves, transcription activator-like effector array proteins, and a uracil glycosylase inhibitor resulted in RNA-free DddA-derived cytosine base editors (DdCBEs) that catalyse C•G-to-T•A conversions in human mtDNA with high target specificity and product purity. We used DdCBEs to model a disease-associated mtDNA mutation in human cells, resulting in changes in respiration rates and oxidative phosphorylation. CRISPR-free DdCBEs enable the precise manipulation of mtDNA, rather than the elimination of mtDNA copies that results from its cleavage by targeted nucleases, with broad implications for the study and potential treatment of mitochondrial disorders.","author":[{"dropping-particle":"","family":"Mok","given":"Beverly Y.","non-dropping-particle":"","parse-names":false,"suffix":""},{"dropping-particle":"","family":"Moraes","given":"Marcos H.","non-dropping-particle":"de","parse-names":false,"suffix":""},{"dropping-particle":"","family":"Zeng","given":"Jun","non-dropping-particle":"","parse-names":false,"suffix":""},{"dropping-particle":"","family":"Bosch","given":"Dustin E.","non-dropping-particle":"","parse-names":false,"suffix":""},{"dropping-particle":"V.","family":"Kotrys","given":"Anna","non-dropping-particle":"","parse-names":false,"suffix":""},{"dropping-particle":"","family":"Raguram","given":"Aditya","non-dropping-particle":"","parse-names":false,"suffix":""},{"dropping-particle":"","family":"Hsu","given":"Fo Sheng","non-dropping-particle":"","parse-names":false,"suffix":""},{"dropping-particle":"","family":"Radey","given":"Matthew C.","non-dropping-particle":"","parse-names":false,"suffix":""},{"dropping-particle":"","family":"Peterson","given":"S. Brook","non-dropping-particle":"","parse-names":false,"suffix":""},{"dropping-particle":"","family":"Mootha","given":"Vamsi K.","non-dropping-particle":"","parse-names":false,"suffix":""},{"dropping-particle":"","family":"Mougous","given":"Joseph D.","non-dropping-particle":"","parse-names":false,"suffix":""},{"dropping-particle":"","family":"Liu","given":"David R.","non-dropping-particle":"","parse-names":false,"suffix":""}],"container-title":"Nature","id":"ITEM-1","issue":"7817","issued":{"date-parts":[["2020"]]},"page":"631-637","publisher":"Springer US","title":"A bacterial cytidine deaminase toxin enables CRISPR-free mitochondrial base editing","type":"article-journal","volume":"583"},"uris":["http://www.mendeley.com/documents/?uuid=19889285-282b-42a7-8b6b-1e438aff86b8","http://www.mendeley.com/documents/?uuid=45cae831-7f58-4304-bfd7-9c858b8e1872","http://www.mendeley.com/documents/?uuid=8ff2cd18-90c6-40e1-8d34-f77ac134e57e"]}],"mendeley":{"formattedCitation":"(Mok et al., 2020)","plainTextFormattedCitation":"(Mok et al., 2020)","previouslyFormattedCitation":"(Mok et al., 2020)"},"properties":{"noteIndex":0},"schema":"https://github.com/citation-style-language/schema/raw/master/csl-citation.json"}</w:instrText>
      </w:r>
      <w:r w:rsidR="00EE2715">
        <w:rPr>
          <w:rFonts w:ascii="Times New Roman" w:eastAsia="Times New Roman" w:hAnsi="Times New Roman"/>
          <w:lang w:eastAsia="ar-SA"/>
        </w:rPr>
        <w:fldChar w:fldCharType="separate"/>
      </w:r>
      <w:r w:rsidR="00EE2715" w:rsidRPr="00EE2715">
        <w:rPr>
          <w:rFonts w:ascii="Times New Roman" w:eastAsia="Times New Roman" w:hAnsi="Times New Roman"/>
          <w:noProof/>
          <w:lang w:eastAsia="ar-SA"/>
        </w:rPr>
        <w:t>(Mok et al., 2020)</w:t>
      </w:r>
      <w:r w:rsidR="00EE2715">
        <w:rPr>
          <w:rFonts w:ascii="Times New Roman" w:eastAsia="Times New Roman" w:hAnsi="Times New Roman"/>
          <w:lang w:eastAsia="ar-SA"/>
        </w:rPr>
        <w:fldChar w:fldCharType="end"/>
      </w:r>
      <w:r w:rsidR="009C1624">
        <w:rPr>
          <w:rFonts w:ascii="Times New Roman" w:eastAsia="Times New Roman" w:hAnsi="Times New Roman"/>
          <w:lang w:eastAsia="ar-SA"/>
        </w:rPr>
        <w:t>.</w:t>
      </w:r>
    </w:p>
    <w:p w14:paraId="5C5051B1" w14:textId="14E7B304" w:rsidR="00676827" w:rsidRPr="00E8523F" w:rsidRDefault="0068238E" w:rsidP="008805B8">
      <w:pPr>
        <w:pStyle w:val="Heading3"/>
      </w:pPr>
      <w:bookmarkStart w:id="28" w:name="_Toc70112662"/>
      <w:bookmarkStart w:id="29" w:name="_Toc70685684"/>
      <w:r>
        <w:rPr>
          <w:lang w:val="en-US"/>
        </w:rPr>
        <w:t>1</w:t>
      </w:r>
      <w:r w:rsidR="00FE4D58" w:rsidRPr="008805B8">
        <w:rPr>
          <w:lang w:val="en-US"/>
        </w:rPr>
        <w:t xml:space="preserve">.4. </w:t>
      </w:r>
      <w:r w:rsidR="00676827" w:rsidRPr="00375164">
        <w:t>Engineered gene drives</w:t>
      </w:r>
      <w:r w:rsidR="00E8523F">
        <w:rPr>
          <w:lang w:val="en-US"/>
        </w:rPr>
        <w:t>.</w:t>
      </w:r>
      <w:bookmarkEnd w:id="28"/>
      <w:bookmarkEnd w:id="29"/>
    </w:p>
    <w:p w14:paraId="22A06AEA" w14:textId="08EB3939" w:rsidR="00CB2479" w:rsidRPr="00875F6B" w:rsidRDefault="00F80163" w:rsidP="60A86203">
      <w:pPr>
        <w:spacing w:before="120" w:after="120" w:line="240" w:lineRule="auto"/>
        <w:jc w:val="both"/>
        <w:rPr>
          <w:rFonts w:ascii="Times New Roman" w:eastAsia="Times New Roman" w:hAnsi="Times New Roman"/>
        </w:rPr>
      </w:pPr>
      <w:r>
        <w:rPr>
          <w:rFonts w:ascii="Times New Roman" w:eastAsia="Times New Roman" w:hAnsi="Times New Roman"/>
          <w:lang w:eastAsia="ar-SA"/>
        </w:rPr>
        <w:t>A g</w:t>
      </w:r>
      <w:r w:rsidR="00BA0562" w:rsidRPr="1386BD8E">
        <w:rPr>
          <w:rFonts w:ascii="Times New Roman" w:eastAsia="Times New Roman" w:hAnsi="Times New Roman"/>
          <w:lang w:eastAsia="ar-SA"/>
        </w:rPr>
        <w:t xml:space="preserve">ene drive is a phenomenon in which selfish genetic elements </w:t>
      </w:r>
      <w:r w:rsidR="00F76498" w:rsidRPr="1386BD8E">
        <w:rPr>
          <w:rFonts w:ascii="Times New Roman" w:eastAsia="Times New Roman" w:hAnsi="Times New Roman"/>
          <w:lang w:eastAsia="ar-SA"/>
        </w:rPr>
        <w:t>circumvent Mendel’s laws of independent assortment and favour their own inheritance</w:t>
      </w:r>
      <w:r w:rsidR="000824CD" w:rsidRPr="1386BD8E">
        <w:rPr>
          <w:rFonts w:ascii="Times New Roman" w:eastAsia="Times New Roman" w:hAnsi="Times New Roman"/>
          <w:lang w:eastAsia="ar-SA"/>
        </w:rPr>
        <w:t xml:space="preserve"> </w:t>
      </w:r>
      <w:r w:rsidR="00A93EFB">
        <w:rPr>
          <w:rFonts w:ascii="Times New Roman" w:eastAsia="Times New Roman" w:hAnsi="Times New Roman"/>
          <w:lang w:eastAsia="ar-SA"/>
        </w:rPr>
        <w:fldChar w:fldCharType="begin" w:fldLock="1"/>
      </w:r>
      <w:r w:rsidR="00DB2816">
        <w:rPr>
          <w:rFonts w:ascii="Times New Roman" w:eastAsia="Times New Roman" w:hAnsi="Times New Roman"/>
          <w:lang w:eastAsia="ar-SA"/>
        </w:rPr>
        <w:instrText>ADDIN CSL_CITATION {"citationItems":[{"id":"ITEM-1","itemData":{"DOI":"10.1021/acschembio.7b01031","ISSN":"1554-8929","author":[{"dropping-particle":"","family":"Burt","given":"Austin","non-dropping-particle":"","parse-names":false,"suffix":""},{"dropping-particle":"","family":"Crisanti","given":"Andrea","non-dropping-particle":"","parse-names":false,"suffix":""}],"container-title":"ACS Chemical Biology","id":"ITEM-1","issue":"2","issued":{"date-parts":[["2018","2","16"]]},"page":"343-346","title":"Gene Drive: Evolved and Synthetic","type":"article-journal","volume":"13"},"uris":["http://www.mendeley.com/documents/?uuid=4e4c22ba-559b-436e-8633-7d932d2fd3e0"]}],"mendeley":{"formattedCitation":"(Burt &amp; Crisanti, 2018a)","manualFormatting":"(Burt &amp; Crisanti, 2018)","plainTextFormattedCitation":"(Burt &amp; Crisanti, 2018a)","previouslyFormattedCitation":"(Burt &amp; Crisanti, 2018a)"},"properties":{"noteIndex":0},"schema":"https://github.com/citation-style-language/schema/raw/master/csl-citation.json"}</w:instrText>
      </w:r>
      <w:r w:rsidR="00A93EFB">
        <w:rPr>
          <w:rFonts w:ascii="Times New Roman" w:eastAsia="Times New Roman" w:hAnsi="Times New Roman"/>
          <w:lang w:eastAsia="ar-SA"/>
        </w:rPr>
        <w:fldChar w:fldCharType="separate"/>
      </w:r>
      <w:r w:rsidR="007512BB" w:rsidRPr="007512BB">
        <w:rPr>
          <w:rFonts w:ascii="Times New Roman" w:eastAsia="Times New Roman" w:hAnsi="Times New Roman"/>
          <w:noProof/>
          <w:lang w:eastAsia="ar-SA"/>
        </w:rPr>
        <w:t>(Burt &amp; Crisanti, 2018)</w:t>
      </w:r>
      <w:r w:rsidR="00A93EFB">
        <w:rPr>
          <w:rFonts w:ascii="Times New Roman" w:eastAsia="Times New Roman" w:hAnsi="Times New Roman"/>
          <w:lang w:eastAsia="ar-SA"/>
        </w:rPr>
        <w:fldChar w:fldCharType="end"/>
      </w:r>
      <w:r w:rsidR="009A4D82" w:rsidRPr="1386BD8E">
        <w:rPr>
          <w:rFonts w:ascii="Times New Roman" w:eastAsia="Times New Roman" w:hAnsi="Times New Roman"/>
          <w:lang w:eastAsia="ar-SA"/>
        </w:rPr>
        <w:t xml:space="preserve">. </w:t>
      </w:r>
      <w:r w:rsidR="002564B8" w:rsidRPr="1386BD8E">
        <w:rPr>
          <w:rFonts w:ascii="Times New Roman" w:eastAsia="Times New Roman" w:hAnsi="Times New Roman"/>
          <w:lang w:eastAsia="ar-SA"/>
        </w:rPr>
        <w:t>T</w:t>
      </w:r>
      <w:r w:rsidR="009A4D82" w:rsidRPr="1386BD8E">
        <w:rPr>
          <w:rFonts w:ascii="Times New Roman" w:eastAsia="Times New Roman" w:hAnsi="Times New Roman"/>
          <w:lang w:eastAsia="ar-SA"/>
        </w:rPr>
        <w:t xml:space="preserve">ransposable elements, meiotic drive genes, homing endonuclease genes and </w:t>
      </w:r>
      <w:r w:rsidR="009A4D82" w:rsidRPr="1386BD8E">
        <w:rPr>
          <w:rFonts w:ascii="Times New Roman" w:eastAsia="Times New Roman" w:hAnsi="Times New Roman"/>
          <w:i/>
          <w:lang w:eastAsia="ar-SA"/>
        </w:rPr>
        <w:t>Wolbachia</w:t>
      </w:r>
      <w:r w:rsidR="009A4D82" w:rsidRPr="1386BD8E">
        <w:rPr>
          <w:rFonts w:ascii="Times New Roman" w:eastAsia="Times New Roman" w:hAnsi="Times New Roman"/>
          <w:lang w:eastAsia="ar-SA"/>
        </w:rPr>
        <w:t xml:space="preserve">, </w:t>
      </w:r>
      <w:r w:rsidR="00303B07" w:rsidRPr="1386BD8E">
        <w:rPr>
          <w:rFonts w:ascii="Times New Roman" w:eastAsia="Times New Roman" w:hAnsi="Times New Roman"/>
          <w:lang w:eastAsia="ar-SA"/>
        </w:rPr>
        <w:t>are examples of natural gene drive</w:t>
      </w:r>
      <w:r w:rsidR="00794B31">
        <w:rPr>
          <w:rFonts w:ascii="Times New Roman" w:eastAsia="Times New Roman" w:hAnsi="Times New Roman"/>
          <w:lang w:eastAsia="ar-SA"/>
        </w:rPr>
        <w:t xml:space="preserve"> </w:t>
      </w:r>
      <w:r w:rsidR="00303B07" w:rsidRPr="1386BD8E">
        <w:rPr>
          <w:rFonts w:ascii="Times New Roman" w:eastAsia="Times New Roman" w:hAnsi="Times New Roman"/>
          <w:lang w:eastAsia="ar-SA"/>
        </w:rPr>
        <w:t>s</w:t>
      </w:r>
      <w:r w:rsidR="00794B31">
        <w:rPr>
          <w:rFonts w:ascii="Times New Roman" w:eastAsia="Times New Roman" w:hAnsi="Times New Roman"/>
          <w:lang w:eastAsia="ar-SA"/>
        </w:rPr>
        <w:t>ystems</w:t>
      </w:r>
      <w:r w:rsidR="00303B07" w:rsidRPr="1386BD8E">
        <w:rPr>
          <w:rFonts w:ascii="Times New Roman" w:eastAsia="Times New Roman" w:hAnsi="Times New Roman"/>
          <w:lang w:eastAsia="ar-SA"/>
        </w:rPr>
        <w:t xml:space="preserve"> that </w:t>
      </w:r>
      <w:r w:rsidR="009A4D82" w:rsidRPr="1386BD8E">
        <w:rPr>
          <w:rFonts w:ascii="Times New Roman" w:eastAsia="Times New Roman" w:hAnsi="Times New Roman"/>
          <w:lang w:eastAsia="ar-SA"/>
        </w:rPr>
        <w:t>spread at the expense of their hosts</w:t>
      </w:r>
      <w:r w:rsidR="005D78A0" w:rsidRPr="1386BD8E">
        <w:rPr>
          <w:rFonts w:ascii="Times New Roman" w:eastAsia="Times New Roman" w:hAnsi="Times New Roman"/>
          <w:lang w:eastAsia="ar-SA"/>
        </w:rPr>
        <w:t xml:space="preserve"> </w:t>
      </w:r>
      <w:r w:rsidR="009465AF">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{"citationItems":[{"id":"ITEM-1","itemData":{"DOI":"10.1038/nrg1870","ISSN":"1471-0056","author":[{"dropping-particle":"","family":"Sinkins","given":"Steven P.","non-dropping-particle":"","parse-names":false,"suffix":""},{"dropping-particle":"","family":"Gould","given":"Fred","non-dropping-particle":"","parse-names":false,"suffix":""}],"container-title":"Nature Reviews Genetics","id":"ITEM-1","issue":"6","issued":{"date-parts":[["2006","6","9"]]},"page":"427-435","title":"Gene drive systems for insect disease vectors","type":"article-journal","volume":"7"},"uris":["http://www.mendeley.com/documents/?uuid=07c011ab-576b-4c33-9bbc-b1e17f7e3432"]}],"mendeley":{"formattedCitation":"(Sinkins &amp; Gould, 2006)","plainTextFormattedCitation":"(Sinkins &amp; Gould, 2006)","previouslyFormattedCitation":"(Sinkins &amp; Gould, 2006)"},"properties":{"noteIndex":0},"schema":"https://github.com/citation-style-language/schema/raw/master/csl-citation.json"}</w:instrText>
      </w:r>
      <w:r w:rsidR="009465AF">
        <w:rPr>
          <w:rFonts w:ascii="Times New Roman" w:eastAsia="Times New Roman" w:hAnsi="Times New Roman"/>
          <w:lang w:eastAsia="ar-SA"/>
        </w:rPr>
        <w:fldChar w:fldCharType="separate"/>
      </w:r>
      <w:r w:rsidR="009465AF" w:rsidRPr="009465AF">
        <w:rPr>
          <w:rFonts w:ascii="Times New Roman" w:eastAsia="Times New Roman" w:hAnsi="Times New Roman"/>
          <w:noProof/>
          <w:lang w:eastAsia="ar-SA"/>
        </w:rPr>
        <w:t>(Sinkins &amp; Gould, 2006)</w:t>
      </w:r>
      <w:r w:rsidR="009465AF">
        <w:rPr>
          <w:rFonts w:ascii="Times New Roman" w:eastAsia="Times New Roman" w:hAnsi="Times New Roman"/>
          <w:lang w:eastAsia="ar-SA"/>
        </w:rPr>
        <w:fldChar w:fldCharType="end"/>
      </w:r>
      <w:r w:rsidR="00303B07" w:rsidRPr="1386BD8E">
        <w:rPr>
          <w:rFonts w:ascii="Times New Roman" w:eastAsia="Times New Roman" w:hAnsi="Times New Roman"/>
          <w:lang w:eastAsia="ar-SA"/>
        </w:rPr>
        <w:t xml:space="preserve">. </w:t>
      </w:r>
      <w:r w:rsidR="00627FC7" w:rsidRPr="1386BD8E">
        <w:rPr>
          <w:rFonts w:ascii="Times New Roman" w:eastAsia="Times New Roman" w:hAnsi="Times New Roman"/>
        </w:rPr>
        <w:t>The potential application of these natural gene drive systems to suppress populations insects has been studied in field trials since the 1960s</w:t>
      </w:r>
      <w:r w:rsidR="006D442E" w:rsidRPr="1386BD8E">
        <w:rPr>
          <w:rFonts w:ascii="Times New Roman" w:eastAsia="Times New Roman" w:hAnsi="Times New Roman"/>
          <w:lang w:eastAsia="ar-SA"/>
        </w:rPr>
        <w:t xml:space="preserve">. </w:t>
      </w:r>
      <w:r w:rsidR="0015372F">
        <w:rPr>
          <w:rFonts w:ascii="Times New Roman" w:eastAsia="Times New Roman" w:hAnsi="Times New Roman"/>
          <w:lang w:eastAsia="ar-SA"/>
        </w:rPr>
        <w:t xml:space="preserve">However, in recent years, </w:t>
      </w:r>
      <w:r w:rsidR="00581EE6" w:rsidRPr="1386BD8E">
        <w:rPr>
          <w:rFonts w:ascii="Times New Roman" w:eastAsia="Times New Roman" w:hAnsi="Times New Roman"/>
          <w:lang w:eastAsia="ar-SA"/>
        </w:rPr>
        <w:t>e</w:t>
      </w:r>
      <w:r w:rsidR="4F99CC1F" w:rsidRPr="1386BD8E">
        <w:rPr>
          <w:rFonts w:ascii="Times New Roman" w:eastAsia="Times New Roman" w:hAnsi="Times New Roman"/>
          <w:lang w:eastAsia="ar-SA"/>
        </w:rPr>
        <w:t>ngineered gene drives</w:t>
      </w:r>
      <w:r w:rsidR="5A3977F4" w:rsidRPr="1386BD8E">
        <w:rPr>
          <w:rFonts w:ascii="Times New Roman" w:eastAsia="Times New Roman" w:hAnsi="Times New Roman"/>
        </w:rPr>
        <w:t xml:space="preserve"> </w:t>
      </w:r>
      <w:r w:rsidR="40F3CCC3" w:rsidRPr="1386BD8E">
        <w:rPr>
          <w:rFonts w:ascii="Times New Roman" w:eastAsia="Times New Roman" w:hAnsi="Times New Roman"/>
        </w:rPr>
        <w:t xml:space="preserve">have gained in prominence. </w:t>
      </w:r>
      <w:r w:rsidR="00816FEE" w:rsidRPr="1386BD8E">
        <w:rPr>
          <w:rFonts w:ascii="Times New Roman" w:eastAsia="Times New Roman" w:hAnsi="Times New Roman"/>
          <w:lang w:eastAsia="ar-SA"/>
        </w:rPr>
        <w:t>Like</w:t>
      </w:r>
      <w:r w:rsidR="044CD156" w:rsidRPr="1386BD8E">
        <w:rPr>
          <w:rFonts w:ascii="Times New Roman" w:eastAsia="Times New Roman" w:hAnsi="Times New Roman"/>
          <w:lang w:eastAsia="ar-SA"/>
        </w:rPr>
        <w:t xml:space="preserve"> the term “synthetic biology” under which it may fall, the term “gene drive” is most often used as if it were a single technology, but it is more accurate to consider each as a suite of approaches that can be tailored to the needs of specific applications.</w:t>
      </w:r>
      <w:r w:rsidR="044CD156" w:rsidRPr="1386BD8E">
        <w:rPr>
          <w:rFonts w:ascii="Times New Roman" w:eastAsia="Times New Roman" w:hAnsi="Times New Roman"/>
        </w:rPr>
        <w:t xml:space="preserve"> </w:t>
      </w:r>
      <w:r w:rsidR="4A08AA59" w:rsidRPr="1386BD8E">
        <w:rPr>
          <w:rFonts w:ascii="Times New Roman" w:eastAsia="Times New Roman" w:hAnsi="Times New Roman"/>
        </w:rPr>
        <w:t xml:space="preserve">Different mechanisms have been developed, but essentially </w:t>
      </w:r>
      <w:r w:rsidR="002301CD">
        <w:rPr>
          <w:rFonts w:ascii="Times New Roman" w:eastAsia="Times New Roman" w:hAnsi="Times New Roman"/>
        </w:rPr>
        <w:t xml:space="preserve">engineered </w:t>
      </w:r>
      <w:r w:rsidR="4A08AA59" w:rsidRPr="1386BD8E">
        <w:rPr>
          <w:rFonts w:ascii="Times New Roman" w:eastAsia="Times New Roman" w:hAnsi="Times New Roman"/>
        </w:rPr>
        <w:t xml:space="preserve">gene drives </w:t>
      </w:r>
      <w:r w:rsidR="5A3977F4" w:rsidRPr="1386BD8E">
        <w:rPr>
          <w:rFonts w:ascii="Times New Roman" w:eastAsia="Times New Roman" w:hAnsi="Times New Roman"/>
        </w:rPr>
        <w:t>are genetic elements that are inherited more frequently than expected</w:t>
      </w:r>
      <w:r w:rsidR="00A5581D">
        <w:rPr>
          <w:rFonts w:ascii="Times New Roman" w:eastAsia="Times New Roman" w:hAnsi="Times New Roman"/>
        </w:rPr>
        <w:t xml:space="preserve"> based on Mendel’s laws </w:t>
      </w:r>
      <w:r w:rsidR="008B66C4">
        <w:rPr>
          <w:rFonts w:ascii="Times New Roman" w:eastAsia="Times New Roman" w:hAnsi="Times New Roman"/>
        </w:rPr>
        <w:t>alone</w:t>
      </w:r>
      <w:r w:rsidR="5A3977F4" w:rsidRPr="1386BD8E">
        <w:rPr>
          <w:rFonts w:ascii="Times New Roman" w:eastAsia="Times New Roman" w:hAnsi="Times New Roman"/>
        </w:rPr>
        <w:t xml:space="preserve">. Usually, there is a 50% chance that a genetic element is present in the offspring of sexually reproducing organisms. </w:t>
      </w:r>
      <w:r w:rsidR="4A777303" w:rsidRPr="1386BD8E">
        <w:rPr>
          <w:rFonts w:ascii="Times New Roman" w:eastAsia="Times New Roman" w:hAnsi="Times New Roman"/>
        </w:rPr>
        <w:t xml:space="preserve">Each </w:t>
      </w:r>
      <w:r w:rsidR="66BBC4DB" w:rsidRPr="1386BD8E">
        <w:rPr>
          <w:rFonts w:ascii="Times New Roman" w:eastAsia="Times New Roman" w:hAnsi="Times New Roman"/>
        </w:rPr>
        <w:t>engineered</w:t>
      </w:r>
      <w:r w:rsidR="4A777303" w:rsidRPr="1386BD8E">
        <w:rPr>
          <w:rFonts w:ascii="Times New Roman" w:eastAsia="Times New Roman" w:hAnsi="Times New Roman"/>
        </w:rPr>
        <w:t xml:space="preserve"> g</w:t>
      </w:r>
      <w:r w:rsidR="5A3977F4" w:rsidRPr="1386BD8E">
        <w:rPr>
          <w:rFonts w:ascii="Times New Roman" w:eastAsia="Times New Roman" w:hAnsi="Times New Roman"/>
        </w:rPr>
        <w:t>ene drive, however, ha</w:t>
      </w:r>
      <w:r w:rsidR="7934E227" w:rsidRPr="1386BD8E">
        <w:rPr>
          <w:rFonts w:ascii="Times New Roman" w:eastAsia="Times New Roman" w:hAnsi="Times New Roman"/>
        </w:rPr>
        <w:t>s</w:t>
      </w:r>
      <w:r w:rsidR="5A3977F4" w:rsidRPr="1386BD8E">
        <w:rPr>
          <w:rFonts w:ascii="Times New Roman" w:eastAsia="Times New Roman" w:hAnsi="Times New Roman"/>
        </w:rPr>
        <w:t xml:space="preserve"> a </w:t>
      </w:r>
      <w:r w:rsidR="3FB000DF" w:rsidRPr="1386BD8E">
        <w:rPr>
          <w:rFonts w:ascii="Times New Roman" w:eastAsia="Times New Roman" w:hAnsi="Times New Roman"/>
        </w:rPr>
        <w:t xml:space="preserve">specific </w:t>
      </w:r>
      <w:r w:rsidR="5A3977F4" w:rsidRPr="1386BD8E">
        <w:rPr>
          <w:rFonts w:ascii="Times New Roman" w:eastAsia="Times New Roman" w:hAnsi="Times New Roman"/>
        </w:rPr>
        <w:t>mechanism that increases the frequency of their inheritance</w:t>
      </w:r>
      <w:r w:rsidR="001528DA" w:rsidRPr="1386BD8E">
        <w:rPr>
          <w:rFonts w:ascii="Times New Roman" w:eastAsia="Times New Roman" w:hAnsi="Times New Roman"/>
        </w:rPr>
        <w:t xml:space="preserve"> </w:t>
      </w:r>
      <w:r w:rsidR="00BA0562" w:rsidRPr="1386BD8E">
        <w:rPr>
          <w:rFonts w:ascii="Times New Roman" w:eastAsia="Times New Roman" w:hAnsi="Times New Roman"/>
        </w:rPr>
        <w:fldChar w:fldCharType="begin" w:fldLock="1"/>
      </w:r>
      <w:r w:rsidR="008F6A90">
        <w:rPr>
          <w:rFonts w:ascii="Times New Roman" w:eastAsia="Times New Roman" w:hAnsi="Times New Roman"/>
        </w:rPr>
        <w:instrText>ADDIN CSL_CITATION {"citationItems":[{"id":"ITEM-1","itemData":{"DOI":"10.1038/s41467-019-13977-7","ISSN":"2041-1723","author":[{"dropping-particle":"","family":"López Del Amo","given":"Víctor","non-dropping-particle":"","parse-names":false,"suffix":""},{"dropping-particle":"","family":"Bishop","given":"Alena L.","non-dropping-particle":"","parse-names":false,"suffix":""},{"dropping-particle":"","family":"Sánchez C.","given":"Héctor M.","non-dropping-particle":"","parse-names":false,"suffix":""},{"dropping-particle":"","family":"Bennett","given":"Jared B.","non-dropping-particle":"","parse-names":false,"suffix":""},{"dropping-particle":"","family":"Feng","given":"Xuechun","non-dropping-particle":"","parse-names":false,"suffix":""},{"dropping-particle":"","family":"Marshall","given":"John M.","non-dropping-particle":"","parse-names":false,"suffix":""},{"dropping-particle":"","family":"Bier","given":"Ethan","non-dropping-particle":"","parse-names":false,"suffix":""},{"dropping-particle":"","family":"Gantz","given":"Valentino M.","non-dropping-particle":"","parse-names":false,"suffix":""}],"container-title":"Nature Communications","id":"ITEM-1","issue":"1","issued":{"date-parts":[["2020","12","17"]]},"page":"352","title":"A transcomplementing gene drive provides a flexible platform for laboratory investigation and potential field deployment","type":"article-journal","volume":"11"},"uris":["http://www.mendeley.com/documents/?uuid=38778a88-3a85-4de3-b933-a4843ea2cc8b"]}],"mendeley":{"formattedCitation":"(López Del Amo et al., 2020)","plainTextFormattedCitation":"(López Del Amo et al., 2020)","previouslyFormattedCitation":"(López Del Amo et al., 2020)"},"properties":{"noteIndex":0},"schema":"https://github.com/citation-style-language/schema/raw/master/csl-citation.json"}</w:instrText>
      </w:r>
      <w:r w:rsidR="00BA0562" w:rsidRPr="1386BD8E">
        <w:rPr>
          <w:rFonts w:ascii="Times New Roman" w:eastAsia="Times New Roman" w:hAnsi="Times New Roman"/>
        </w:rPr>
        <w:fldChar w:fldCharType="separate"/>
      </w:r>
      <w:r w:rsidR="001528DA" w:rsidRPr="1386BD8E">
        <w:rPr>
          <w:rFonts w:ascii="Times New Roman" w:eastAsia="Times New Roman" w:hAnsi="Times New Roman"/>
          <w:noProof/>
        </w:rPr>
        <w:t>(López Del Amo et al., 2020)</w:t>
      </w:r>
      <w:r w:rsidR="00BA0562" w:rsidRPr="1386BD8E">
        <w:rPr>
          <w:rFonts w:ascii="Times New Roman" w:eastAsia="Times New Roman" w:hAnsi="Times New Roman"/>
        </w:rPr>
        <w:fldChar w:fldCharType="end"/>
      </w:r>
      <w:r w:rsidR="5A3977F4" w:rsidRPr="1386BD8E">
        <w:rPr>
          <w:rFonts w:ascii="Times New Roman" w:eastAsia="Times New Roman" w:hAnsi="Times New Roman"/>
        </w:rPr>
        <w:t xml:space="preserve">. </w:t>
      </w:r>
      <w:r w:rsidR="00627FC7" w:rsidRPr="1386BD8E">
        <w:rPr>
          <w:rFonts w:ascii="Times New Roman" w:eastAsia="Times New Roman" w:hAnsi="Times New Roman"/>
        </w:rPr>
        <w:t>Currently</w:t>
      </w:r>
      <w:r w:rsidR="5A3977F4" w:rsidRPr="1386BD8E">
        <w:rPr>
          <w:rFonts w:ascii="Times New Roman" w:eastAsia="Times New Roman" w:hAnsi="Times New Roman"/>
        </w:rPr>
        <w:t xml:space="preserve">, there is an increased interest in gene drives because of the possibilities </w:t>
      </w:r>
      <w:r w:rsidR="0067063F" w:rsidRPr="1386BD8E">
        <w:rPr>
          <w:rFonts w:ascii="Times New Roman" w:eastAsia="Times New Roman" w:hAnsi="Times New Roman"/>
        </w:rPr>
        <w:t xml:space="preserve">they </w:t>
      </w:r>
      <w:r w:rsidR="00B8402B" w:rsidRPr="1386BD8E">
        <w:rPr>
          <w:rFonts w:ascii="Times New Roman" w:eastAsia="Times New Roman" w:hAnsi="Times New Roman"/>
        </w:rPr>
        <w:t xml:space="preserve">offer when combined with </w:t>
      </w:r>
      <w:r w:rsidR="5A3977F4" w:rsidRPr="1386BD8E">
        <w:rPr>
          <w:rFonts w:ascii="Times New Roman" w:eastAsia="Times New Roman" w:hAnsi="Times New Roman"/>
        </w:rPr>
        <w:t>the CRISPR gen</w:t>
      </w:r>
      <w:r w:rsidR="00FA08AF" w:rsidRPr="1386BD8E">
        <w:rPr>
          <w:rFonts w:ascii="Times New Roman" w:eastAsia="Times New Roman" w:hAnsi="Times New Roman"/>
        </w:rPr>
        <w:t>ome</w:t>
      </w:r>
      <w:r w:rsidR="5A3977F4" w:rsidRPr="1386BD8E">
        <w:rPr>
          <w:rFonts w:ascii="Times New Roman" w:eastAsia="Times New Roman" w:hAnsi="Times New Roman"/>
        </w:rPr>
        <w:t xml:space="preserve"> editing technique</w:t>
      </w:r>
      <w:r w:rsidR="00881179" w:rsidRPr="1386BD8E">
        <w:rPr>
          <w:rFonts w:ascii="Times New Roman" w:eastAsia="Times New Roman" w:hAnsi="Times New Roman"/>
        </w:rPr>
        <w:t xml:space="preserve">, to the extent that these </w:t>
      </w:r>
      <w:r w:rsidR="00504912" w:rsidRPr="1386BD8E">
        <w:rPr>
          <w:rFonts w:ascii="Times New Roman" w:eastAsia="Times New Roman" w:hAnsi="Times New Roman"/>
        </w:rPr>
        <w:t xml:space="preserve">CRISPR-based </w:t>
      </w:r>
      <w:r w:rsidR="006876F5" w:rsidRPr="1386BD8E">
        <w:rPr>
          <w:rFonts w:ascii="Times New Roman" w:eastAsia="Times New Roman" w:hAnsi="Times New Roman"/>
        </w:rPr>
        <w:t xml:space="preserve">engineered </w:t>
      </w:r>
      <w:r w:rsidR="00504912" w:rsidRPr="1386BD8E">
        <w:rPr>
          <w:rFonts w:ascii="Times New Roman" w:eastAsia="Times New Roman" w:hAnsi="Times New Roman"/>
        </w:rPr>
        <w:t>gene drives can potentially be applied to a wide variety of organisms</w:t>
      </w:r>
      <w:r w:rsidR="00D32412" w:rsidRPr="1386BD8E">
        <w:rPr>
          <w:rFonts w:ascii="Times New Roman" w:eastAsia="Times New Roman" w:hAnsi="Times New Roman"/>
        </w:rPr>
        <w:t xml:space="preserve"> </w:t>
      </w:r>
      <w:r w:rsidR="00BA0562" w:rsidRPr="1386BD8E">
        <w:rPr>
          <w:rFonts w:ascii="Times New Roman" w:eastAsia="Times New Roman" w:hAnsi="Times New Roman"/>
        </w:rPr>
        <w:fldChar w:fldCharType="begin" w:fldLock="1"/>
      </w:r>
      <w:r w:rsidR="008F6A90">
        <w:rPr>
          <w:rFonts w:ascii="Times New Roman" w:eastAsia="Times New Roman" w:hAnsi="Times New Roman"/>
        </w:rPr>
        <w:instrText>ADDIN CSL_CITATION {"citationItems":[{"id":"ITEM-1","itemData":{"DOI":"10.1534/g3.120.401484","ISSN":"21601836","PMID":"32727921","abstract":"CRISPR-based homing gene drive is a genetic control technique aiming to modify or eradicate natural populations. This technique is based on the release of individuals carrying an engineered piece of DNA that can be preferentially inherited by the progeny. The development of countermeasures is important to control the spread of gene drives, should they result in unanticipated damages. One proposed countermeasure is the introduction of individuals carrying a brake construct that targets and inactivates the drive allele but leaves the wild-type allele unaffected. Here we develop models to investigate the efficiency of such brakes. We consider a variable population size and use a combination of analytical and numerical methods to determine the conditions where a brake can prevent the extinction of a population targeted by an eradication drive. We find that a brake is not guaranteed to prevent eradication and that characteristics of both the brake and the drive affect the likelihood of recovering the wild-type population. In particular, brakes that restore fitness are more efficient than brakes that do not. Our model also indicates that threshold-dependent drives (drives that can spread only when introduced above a threshold) are more amenable to control with a brake than drives that can spread from an arbitrary low introduction frequency (threshold-independent drives). Based on our results, we provide practical recommendations and discuss safety issues.","author":[{"dropping-particle":"","family":"Rode","given":"Nicolas O.","non-dropping-particle":"","parse-names":false,"suffix":""},{"dropping-particle":"","family":"Courtier-Orgogozo","given":"Virginie","non-dropping-particle":"","parse-names":false,"suffix":""},{"dropping-particle":"","family":"Débarre","given":"Florence","non-dropping-particle":"","parse-names":false,"suffix":""}],"container-title":"G3: Genes, Genomes, Genetics","id":"ITEM-1","issue":"9","issued":{"date-parts":[["2020","9"]]},"page":"3403-3415","publisher":"Genetics Society of America","title":"Can a population targeted by a CRISPR-based homing gene drive be rescued?","type":"article-journal","volume":"10"},"uris":["http://www.mendeley.com/documents/?uuid=897ccb39-43da-4c14-9a4e-f691f9cc4da6"]}],"mendeley":{"formattedCitation":"(Rode et al., 2020)","plainTextFormattedCitation":"(Rode et al., 2020)","previouslyFormattedCitation":"(Rode et al., 2020)"},"properties":{"noteIndex":0},"schema":"https://github.com/citation-style-language/schema/raw/master/csl-citation.json"}</w:instrText>
      </w:r>
      <w:r w:rsidR="00BA0562" w:rsidRPr="1386BD8E">
        <w:rPr>
          <w:rFonts w:ascii="Times New Roman" w:eastAsia="Times New Roman" w:hAnsi="Times New Roman"/>
        </w:rPr>
        <w:fldChar w:fldCharType="separate"/>
      </w:r>
      <w:r w:rsidR="000B4AE8" w:rsidRPr="1386BD8E">
        <w:rPr>
          <w:rFonts w:ascii="Times New Roman" w:eastAsia="Times New Roman" w:hAnsi="Times New Roman"/>
          <w:noProof/>
        </w:rPr>
        <w:t>(Rode et al., 2020)</w:t>
      </w:r>
      <w:r w:rsidR="00BA0562" w:rsidRPr="1386BD8E">
        <w:rPr>
          <w:rFonts w:ascii="Times New Roman" w:eastAsia="Times New Roman" w:hAnsi="Times New Roman"/>
        </w:rPr>
        <w:fldChar w:fldCharType="end"/>
      </w:r>
      <w:r w:rsidR="5A3977F4" w:rsidRPr="1386BD8E">
        <w:rPr>
          <w:rFonts w:ascii="Times New Roman" w:eastAsia="Times New Roman" w:hAnsi="Times New Roman"/>
        </w:rPr>
        <w:t xml:space="preserve">. These CRISPR gene drives are efficient tools to spread traits through a population: an individual carrying a CRISPR gene drive will produce offspring that all carry the gene drive </w:t>
      </w:r>
      <w:r w:rsidR="00BA0562" w:rsidRPr="1386BD8E">
        <w:rPr>
          <w:rFonts w:ascii="Times New Roman" w:eastAsia="Times New Roman" w:hAnsi="Times New Roman"/>
        </w:rPr>
        <w:fldChar w:fldCharType="begin" w:fldLock="1"/>
      </w:r>
      <w:r w:rsidR="00E00BAC">
        <w:rPr>
          <w:rFonts w:ascii="Times New Roman" w:eastAsia="Times New Roman" w:hAnsi="Times New Roman"/>
        </w:rPr>
        <w:instrText>ADDIN CSL_CITATION {"citationItems":[{"id":"ITEM-1","itemData":{"author":[{"dropping-particle":"","family":"Rüdelsheim","given":"Patrick","non-dropping-particle":"","parse-names":false,"suffix":""},{"dropping-particle":"","family":"Smets","given":"Greet","non-dropping-particle":"","parse-names":false,"suffix":""}],"id":"ITEM-1","issued":{"date-parts":[["2018"]]},"title":"Gene Drives: Experience with gene drive systems that may inform an environmental risk assessment","type":"report"},"uris":["http://www.mendeley.com/documents/?uuid=f7a1916d-3b2b-47a0-af68-f607cc9548e0"]}],"mendeley":{"formattedCitation":"(Patrick Rüdelsheim &amp; Smets, 2018)","plainTextFormattedCitation":"(Patrick Rüdelsheim &amp; Smets, 2018)","previouslyFormattedCitation":"(Patrick Rüdelsheim &amp; Smets, 2018)"},"properties":{"noteIndex":0},"schema":"https://github.com/citation-style-language/schema/raw/master/csl-citation.json"}</w:instrText>
      </w:r>
      <w:r w:rsidR="00BA0562" w:rsidRPr="1386BD8E">
        <w:rPr>
          <w:rFonts w:ascii="Times New Roman" w:eastAsia="Times New Roman" w:hAnsi="Times New Roman"/>
        </w:rPr>
        <w:fldChar w:fldCharType="separate"/>
      </w:r>
      <w:r w:rsidR="00E00BAC" w:rsidRPr="00E00BAC">
        <w:rPr>
          <w:rFonts w:ascii="Times New Roman" w:eastAsia="Times New Roman" w:hAnsi="Times New Roman"/>
          <w:noProof/>
        </w:rPr>
        <w:t>(Patrick Rüdelsheim &amp; Smets, 2018)</w:t>
      </w:r>
      <w:r w:rsidR="00BA0562" w:rsidRPr="1386BD8E">
        <w:rPr>
          <w:rFonts w:ascii="Times New Roman" w:eastAsia="Times New Roman" w:hAnsi="Times New Roman"/>
        </w:rPr>
        <w:fldChar w:fldCharType="end"/>
      </w:r>
      <w:r w:rsidR="5A3977F4" w:rsidRPr="1386BD8E">
        <w:rPr>
          <w:rFonts w:ascii="Times New Roman" w:eastAsia="Times New Roman" w:hAnsi="Times New Roman"/>
        </w:rPr>
        <w:t>.</w:t>
      </w:r>
    </w:p>
    <w:p w14:paraId="45ED2749" w14:textId="6E994203" w:rsidR="0058304D" w:rsidRPr="00CB2479" w:rsidRDefault="0036776A" w:rsidP="60A86203">
      <w:pPr>
        <w:spacing w:before="120" w:after="120" w:line="240" w:lineRule="auto"/>
        <w:jc w:val="both"/>
        <w:rPr>
          <w:rFonts w:ascii="Times New Roman" w:eastAsia="Times New Roman" w:hAnsi="Times New Roman"/>
          <w:lang w:eastAsia="ar-SA"/>
        </w:rPr>
      </w:pPr>
      <w:r w:rsidRPr="0036776A">
        <w:rPr>
          <w:rFonts w:ascii="Times New Roman" w:eastAsia="Times New Roman" w:hAnsi="Times New Roman"/>
          <w:lang w:eastAsia="ar-SA"/>
        </w:rPr>
        <w:t>Among</w:t>
      </w:r>
      <w:r>
        <w:rPr>
          <w:rFonts w:ascii="Times New Roman" w:eastAsia="Times New Roman" w:hAnsi="Times New Roman"/>
          <w:lang w:eastAsia="ar-SA"/>
        </w:rPr>
        <w:t xml:space="preserve">st the </w:t>
      </w:r>
      <w:r w:rsidR="007569D4">
        <w:rPr>
          <w:rFonts w:ascii="Times New Roman" w:eastAsia="Times New Roman" w:hAnsi="Times New Roman"/>
          <w:lang w:eastAsia="ar-SA"/>
        </w:rPr>
        <w:t>various CRISPR</w:t>
      </w:r>
      <w:r w:rsidR="00DD4FA9">
        <w:rPr>
          <w:rFonts w:ascii="Times New Roman" w:eastAsia="Times New Roman" w:hAnsi="Times New Roman"/>
          <w:lang w:eastAsia="ar-SA"/>
        </w:rPr>
        <w:t xml:space="preserve"> gene drives being developed </w:t>
      </w:r>
      <w:r w:rsidR="00D03EAC" w:rsidRPr="00D03EAC">
        <w:rPr>
          <w:rFonts w:ascii="Times New Roman" w:eastAsia="Times New Roman" w:hAnsi="Times New Roman"/>
          <w:lang w:eastAsia="ar-SA"/>
        </w:rPr>
        <w:t xml:space="preserve">(homing, split homing, translocation, X-shredder, killer-rescue, cleave-and-rescue and </w:t>
      </w:r>
      <w:r w:rsidR="00D13EA8">
        <w:rPr>
          <w:rFonts w:ascii="Times New Roman" w:eastAsia="Times New Roman" w:hAnsi="Times New Roman"/>
          <w:lang w:eastAsia="ar-SA"/>
        </w:rPr>
        <w:t>t</w:t>
      </w:r>
      <w:r w:rsidR="00D13EA8" w:rsidRPr="00D13EA8">
        <w:rPr>
          <w:rFonts w:ascii="Times New Roman" w:eastAsia="Times New Roman" w:hAnsi="Times New Roman"/>
          <w:lang w:eastAsia="ar-SA"/>
        </w:rPr>
        <w:t>oxin-</w:t>
      </w:r>
      <w:r w:rsidR="00D13EA8">
        <w:rPr>
          <w:rFonts w:ascii="Times New Roman" w:eastAsia="Times New Roman" w:hAnsi="Times New Roman"/>
          <w:lang w:eastAsia="ar-SA"/>
        </w:rPr>
        <w:t>a</w:t>
      </w:r>
      <w:r w:rsidR="00D13EA8" w:rsidRPr="00D13EA8">
        <w:rPr>
          <w:rFonts w:ascii="Times New Roman" w:eastAsia="Times New Roman" w:hAnsi="Times New Roman"/>
          <w:lang w:eastAsia="ar-SA"/>
        </w:rPr>
        <w:t xml:space="preserve">ntidote </w:t>
      </w:r>
      <w:r w:rsidR="00D13EA8">
        <w:rPr>
          <w:rFonts w:ascii="Times New Roman" w:eastAsia="Times New Roman" w:hAnsi="Times New Roman"/>
          <w:lang w:eastAsia="ar-SA"/>
        </w:rPr>
        <w:t>r</w:t>
      </w:r>
      <w:r w:rsidR="00D13EA8" w:rsidRPr="00D13EA8">
        <w:rPr>
          <w:rFonts w:ascii="Times New Roman" w:eastAsia="Times New Roman" w:hAnsi="Times New Roman"/>
          <w:lang w:eastAsia="ar-SA"/>
        </w:rPr>
        <w:t xml:space="preserve">ecessive </w:t>
      </w:r>
      <w:r w:rsidR="00D13EA8">
        <w:rPr>
          <w:rFonts w:ascii="Times New Roman" w:eastAsia="Times New Roman" w:hAnsi="Times New Roman"/>
          <w:lang w:eastAsia="ar-SA"/>
        </w:rPr>
        <w:t>e</w:t>
      </w:r>
      <w:r w:rsidR="00D13EA8" w:rsidRPr="00D13EA8">
        <w:rPr>
          <w:rFonts w:ascii="Times New Roman" w:eastAsia="Times New Roman" w:hAnsi="Times New Roman"/>
          <w:lang w:eastAsia="ar-SA"/>
        </w:rPr>
        <w:t>mbryo</w:t>
      </w:r>
      <w:r w:rsidR="00D03EAC" w:rsidRPr="00D03EAC">
        <w:rPr>
          <w:rFonts w:ascii="Times New Roman" w:eastAsia="Times New Roman" w:hAnsi="Times New Roman"/>
          <w:lang w:eastAsia="ar-SA"/>
        </w:rPr>
        <w:t xml:space="preserve"> gene drives</w:t>
      </w:r>
      <w:r w:rsidR="00777090">
        <w:rPr>
          <w:rFonts w:ascii="Times New Roman" w:eastAsia="Times New Roman" w:hAnsi="Times New Roman"/>
          <w:lang w:eastAsia="ar-SA"/>
        </w:rPr>
        <w:t>)</w:t>
      </w:r>
      <w:r w:rsidRPr="0036776A">
        <w:rPr>
          <w:rFonts w:ascii="Times New Roman" w:eastAsia="Times New Roman" w:hAnsi="Times New Roman"/>
          <w:lang w:eastAsia="ar-SA"/>
        </w:rPr>
        <w:t>, CRISPR-based homing gene drives are the most adaptable to new species and populations and the most advanced in terms of technological development</w:t>
      </w:r>
      <w:r w:rsidR="00777090">
        <w:rPr>
          <w:rFonts w:ascii="Times New Roman" w:eastAsia="Times New Roman" w:hAnsi="Times New Roman"/>
          <w:lang w:eastAsia="ar-SA"/>
        </w:rPr>
        <w:t xml:space="preserve"> (</w:t>
      </w:r>
      <w:r w:rsidR="00777090">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{"citationItems":[{"id":"ITEM-1","itemData":{"DOI":"10.1242/jeb.208181","ISSN":"00220949","PMID":"32034041","abstract":"Vector-borne diseases, such as dengue, Zika and malaria, are a major cause of morbidity and mortality worldwide. These diseases have proven difficult to control and currently available management tools are insufficient to eliminate them in many regions. Gene drives have the potential to revolutionize vector-borne disease control. This suite of technologies has advanced rapidly in recent years as a result of the availability of new, more efficient gene editing technologies. Gene drives can favorably bias the inheritance of a linked diseaserefractory gene, which could possibly be exploited (i) to generate a vector population incapable of transmitting disease or (ii) to disrupt an essential gene for viability or fertility, which could eventually eliminate a population. Importantly, gene drives vary in characteristics such as their transmission efficiency, confinability and reversibility, and their potential to develop resistance to the drive mechanism. Here, we discuss recent advancements in the gene drive field, and contrast the benefits and limitations of a variety of technologies, as well as approaches to overcome these limitations. We also discuss the current state of each gene drive technology and the technical considerations that need to be addressed on the pathway to field implementation. While there are still many obstacles to overcome, recent progress has brought us closer than ever before to geneticbased vector modification as a tool to support vector-borne disease elimination efforts worldwide.","author":[{"dropping-particle":"","family":"Raban","given":"Robyn R.","non-dropping-particle":"","parse-names":false,"suffix":""},{"dropping-particle":"","family":"Marshall","given":"John M.","non-dropping-particle":"","parse-names":false,"suffix":""},{"dropping-particle":"","family":"Akbari","given":"Omar S.","non-dropping-particle":"","parse-names":false,"suffix":""}],"container-title":"Journal of Experimental Biology","id":"ITEM-1","issue":"Suppl 1","issued":{"date-parts":[["2020","2"]]},"publisher":"Company of Biologists Ltd","title":"Progress towards engineering gene drives for population control","type":"article","volume":"223"},"uris":["http://www.mendeley.com/documents/?uuid=acd0f8bd-5572-4add-b7c0-d8a117f9c07b"]}],"mendeley":{"formattedCitation":"(Raban et al., 2020)","manualFormatting":"Raban et al., 2020)","plainTextFormattedCitation":"(Raban et al., 2020)","previouslyFormattedCitation":"(Raban et al., 2020)"},"properties":{"noteIndex":0},"schema":"https://github.com/citation-style-language/schema/raw/master/csl-citation.json"}</w:instrText>
      </w:r>
      <w:r w:rsidR="00777090">
        <w:rPr>
          <w:rFonts w:ascii="Times New Roman" w:eastAsia="Times New Roman" w:hAnsi="Times New Roman"/>
          <w:lang w:eastAsia="ar-SA"/>
        </w:rPr>
        <w:fldChar w:fldCharType="separate"/>
      </w:r>
      <w:r w:rsidR="00777090" w:rsidRPr="00FC130A">
        <w:rPr>
          <w:rFonts w:ascii="Times New Roman" w:eastAsia="Times New Roman" w:hAnsi="Times New Roman"/>
          <w:noProof/>
          <w:lang w:eastAsia="ar-SA"/>
        </w:rPr>
        <w:t>Raban et al., 2020)</w:t>
      </w:r>
      <w:r w:rsidR="00777090">
        <w:rPr>
          <w:rFonts w:ascii="Times New Roman" w:eastAsia="Times New Roman" w:hAnsi="Times New Roman"/>
          <w:lang w:eastAsia="ar-SA"/>
        </w:rPr>
        <w:fldChar w:fldCharType="end"/>
      </w:r>
      <w:r w:rsidRPr="0036776A">
        <w:rPr>
          <w:rFonts w:ascii="Times New Roman" w:eastAsia="Times New Roman" w:hAnsi="Times New Roman"/>
          <w:lang w:eastAsia="ar-SA"/>
        </w:rPr>
        <w:t xml:space="preserve">. They involve a piece of DNA that includes a guide </w:t>
      </w:r>
      <w:r w:rsidRPr="0036776A">
        <w:rPr>
          <w:rFonts w:ascii="Times New Roman" w:eastAsia="Times New Roman" w:hAnsi="Times New Roman"/>
          <w:lang w:eastAsia="ar-SA"/>
        </w:rPr>
        <w:lastRenderedPageBreak/>
        <w:t>RNA (gRNA) gene and a cas9 gene (encoding the Cas9 endonuclease). The gRNA is designed to recogni</w:t>
      </w:r>
      <w:r w:rsidR="00D50F25">
        <w:rPr>
          <w:rFonts w:ascii="Times New Roman" w:eastAsia="Times New Roman" w:hAnsi="Times New Roman"/>
          <w:lang w:eastAsia="ar-SA"/>
        </w:rPr>
        <w:t>s</w:t>
      </w:r>
      <w:r w:rsidRPr="0036776A">
        <w:rPr>
          <w:rFonts w:ascii="Times New Roman" w:eastAsia="Times New Roman" w:hAnsi="Times New Roman"/>
          <w:lang w:eastAsia="ar-SA"/>
        </w:rPr>
        <w:t>e a specific sequence in a wild-type chromosome, so that in heterozygotes carrying a drive allele and a wild-type allele, the Cas9-gRNA molecular complex will cut the wild-type chromosome at the target site. The resulting double-strand DNA break can then be repaired through homology-directed repair (also known as “gene conversion”), using the drive allele as a template, which is designed to harbo</w:t>
      </w:r>
      <w:r w:rsidR="00D50F25">
        <w:rPr>
          <w:rFonts w:ascii="Times New Roman" w:eastAsia="Times New Roman" w:hAnsi="Times New Roman"/>
          <w:lang w:eastAsia="ar-SA"/>
        </w:rPr>
        <w:t>u</w:t>
      </w:r>
      <w:r w:rsidRPr="0036776A">
        <w:rPr>
          <w:rFonts w:ascii="Times New Roman" w:eastAsia="Times New Roman" w:hAnsi="Times New Roman"/>
          <w:lang w:eastAsia="ar-SA"/>
        </w:rPr>
        <w:t>r sequences identical to the ones flanking the target site. Consequently, the drive allele is transmitted to the next generation at rates beyond those of regular Mendelian inheritance and, if its features allow it, will rapidly spread within the target population</w:t>
      </w:r>
      <w:r w:rsidR="00BA3726">
        <w:rPr>
          <w:rFonts w:ascii="Times New Roman" w:eastAsia="Times New Roman" w:hAnsi="Times New Roman"/>
          <w:lang w:eastAsia="ar-SA"/>
        </w:rPr>
        <w:t xml:space="preserve"> </w:t>
      </w:r>
      <w:r w:rsidR="00BA3726">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{"citationItems":[{"id":"ITEM-1","itemData":{"DOI":"10.1534/g3.120.401484","ISSN":"21601836","PMID":"32727921","abstract":"CRISPR-based homing gene drive is a genetic control technique aiming to modify or eradicate natural populations. This technique is based on the release of individuals carrying an engineered piece of DNA that can be preferentially inherited by the progeny. The development of countermeasures is important to control the spread of gene drives, should they result in unanticipated damages. One proposed countermeasure is the introduction of individuals carrying a brake construct that targets and inactivates the drive allele but leaves the wild-type allele unaffected. Here we develop models to investigate the efficiency of such brakes. We consider a variable population size and use a combination of analytical and numerical methods to determine the conditions where a brake can prevent the extinction of a population targeted by an eradication drive. We find that a brake is not guaranteed to prevent eradication and that characteristics of both the brake and the drive affect the likelihood of recovering the wild-type population. In particular, brakes that restore fitness are more efficient than brakes that do not. Our model also indicates that threshold-dependent drives (drives that can spread only when introduced above a threshold) are more amenable to control with a brake than drives that can spread from an arbitrary low introduction frequency (threshold-independent drives). Based on our results, we provide practical recommendations and discuss safety issues.","author":[{"dropping-particle":"","family":"Rode","given":"Nicolas O.","non-dropping-particle":"","parse-names":false,"suffix":""},{"dropping-particle":"","family":"Courtier-Orgogozo","given":"Virginie","non-dropping-particle":"","parse-names":false,"suffix":""},{"dropping-particle":"","family":"Débarre","given":"Florence","non-dropping-particle":"","parse-names":false,"suffix":""}],"container-title":"G3: Genes, Genomes, Genetics","id":"ITEM-1","issue":"9","issued":{"date-parts":[["2020","9"]]},"page":"3403-3415","publisher":"Genetics Society of America","title":"Can a population targeted by a CRISPR-based homing gene drive be rescued?","type":"article-journal","volume":"10"},"uris":["http://www.mendeley.com/documents/?uuid=897ccb39-43da-4c14-9a4e-f691f9cc4da6"]}],"mendeley":{"formattedCitation":"(Rode et al., 2020)","plainTextFormattedCitation":"(Rode et al., 2020)","previouslyFormattedCitation":"(Rode et al., 2020)"},"properties":{"noteIndex":0},"schema":"https://github.com/citation-style-language/schema/raw/master/csl-citation.json"}</w:instrText>
      </w:r>
      <w:r w:rsidR="00BA3726">
        <w:rPr>
          <w:rFonts w:ascii="Times New Roman" w:eastAsia="Times New Roman" w:hAnsi="Times New Roman"/>
          <w:lang w:eastAsia="ar-SA"/>
        </w:rPr>
        <w:fldChar w:fldCharType="separate"/>
      </w:r>
      <w:r w:rsidR="00BA3726" w:rsidRPr="00BA3726">
        <w:rPr>
          <w:rFonts w:ascii="Times New Roman" w:eastAsia="Times New Roman" w:hAnsi="Times New Roman"/>
          <w:noProof/>
          <w:lang w:eastAsia="ar-SA"/>
        </w:rPr>
        <w:t>(Rode et al., 2020)</w:t>
      </w:r>
      <w:r w:rsidR="00BA3726">
        <w:rPr>
          <w:rFonts w:ascii="Times New Roman" w:eastAsia="Times New Roman" w:hAnsi="Times New Roman"/>
          <w:lang w:eastAsia="ar-SA"/>
        </w:rPr>
        <w:fldChar w:fldCharType="end"/>
      </w:r>
      <w:r w:rsidRPr="0036776A">
        <w:rPr>
          <w:rFonts w:ascii="Times New Roman" w:eastAsia="Times New Roman" w:hAnsi="Times New Roman"/>
          <w:lang w:eastAsia="ar-SA"/>
        </w:rPr>
        <w:t>.</w:t>
      </w:r>
    </w:p>
    <w:p w14:paraId="1D34DD3A" w14:textId="7053CCA1" w:rsidR="00676827" w:rsidRPr="001D44DF" w:rsidRDefault="0068238E" w:rsidP="008805B8">
      <w:pPr>
        <w:pStyle w:val="Heading3"/>
      </w:pPr>
      <w:bookmarkStart w:id="30" w:name="_Toc70112663"/>
      <w:bookmarkStart w:id="31" w:name="_Toc70685685"/>
      <w:r>
        <w:rPr>
          <w:lang w:val="en-US"/>
        </w:rPr>
        <w:t>1</w:t>
      </w:r>
      <w:r w:rsidR="00FE4D58" w:rsidRPr="008805B8">
        <w:rPr>
          <w:lang w:val="en-US"/>
        </w:rPr>
        <w:t xml:space="preserve">.5. </w:t>
      </w:r>
      <w:r w:rsidR="00676827">
        <w:t>RNA</w:t>
      </w:r>
      <w:r w:rsidR="00214560" w:rsidRPr="008805B8">
        <w:rPr>
          <w:lang w:val="en-US"/>
        </w:rPr>
        <w:t xml:space="preserve">-based </w:t>
      </w:r>
      <w:r w:rsidR="00606BCB">
        <w:rPr>
          <w:lang w:val="en-US"/>
        </w:rPr>
        <w:t>tools</w:t>
      </w:r>
      <w:r w:rsidR="00E8523F">
        <w:rPr>
          <w:lang w:val="en-US"/>
        </w:rPr>
        <w:t>.</w:t>
      </w:r>
      <w:bookmarkEnd w:id="30"/>
      <w:bookmarkEnd w:id="31"/>
    </w:p>
    <w:p w14:paraId="2E792DF6" w14:textId="6351C7FA" w:rsidR="00E55636" w:rsidRPr="003531BC" w:rsidRDefault="00E55636" w:rsidP="00A85B12">
      <w:pPr>
        <w:spacing w:before="120" w:after="120" w:line="240" w:lineRule="auto"/>
        <w:jc w:val="both"/>
        <w:rPr>
          <w:rFonts w:ascii="Times New Roman" w:eastAsia="Times New Roman" w:hAnsi="Times New Roman"/>
          <w:lang w:val="en-US" w:eastAsia="ar-SA"/>
        </w:rPr>
      </w:pPr>
      <w:r w:rsidRPr="1386BD8E">
        <w:rPr>
          <w:rFonts w:ascii="Times New Roman" w:eastAsia="Times New Roman" w:hAnsi="Times New Roman"/>
          <w:lang w:eastAsia="ar-SA"/>
        </w:rPr>
        <w:t xml:space="preserve">RNA interference (RNAi) </w:t>
      </w:r>
      <w:r w:rsidR="00BE5A3F">
        <w:rPr>
          <w:rFonts w:ascii="Times New Roman" w:eastAsia="Times New Roman" w:hAnsi="Times New Roman"/>
          <w:lang w:eastAsia="ar-SA"/>
        </w:rPr>
        <w:t xml:space="preserve">is an intrinsic cellular mechanism present </w:t>
      </w:r>
      <w:r w:rsidR="00B904DE">
        <w:rPr>
          <w:rFonts w:ascii="Times New Roman" w:eastAsia="Times New Roman" w:hAnsi="Times New Roman"/>
          <w:lang w:eastAsia="ar-SA"/>
        </w:rPr>
        <w:t xml:space="preserve">almost </w:t>
      </w:r>
      <w:r w:rsidRPr="1386BD8E">
        <w:rPr>
          <w:rFonts w:ascii="Times New Roman" w:eastAsia="Times New Roman" w:hAnsi="Times New Roman"/>
          <w:lang w:eastAsia="ar-SA"/>
        </w:rPr>
        <w:t>all eukaryotic organisms</w:t>
      </w:r>
      <w:r w:rsidR="00E23AD4">
        <w:rPr>
          <w:rFonts w:ascii="Times New Roman" w:eastAsia="Times New Roman" w:hAnsi="Times New Roman"/>
          <w:lang w:eastAsia="ar-SA"/>
        </w:rPr>
        <w:t xml:space="preserve"> and leads to silencing of gene expression</w:t>
      </w:r>
      <w:r w:rsidR="00BE5A3F">
        <w:rPr>
          <w:rFonts w:ascii="Times New Roman" w:eastAsia="Times New Roman" w:hAnsi="Times New Roman"/>
          <w:lang w:eastAsia="ar-SA"/>
        </w:rPr>
        <w:t>.</w:t>
      </w:r>
      <w:r w:rsidR="00E23AD4">
        <w:rPr>
          <w:rFonts w:ascii="Times New Roman" w:eastAsia="Times New Roman" w:hAnsi="Times New Roman"/>
          <w:lang w:eastAsia="ar-SA"/>
        </w:rPr>
        <w:t xml:space="preserve"> </w:t>
      </w:r>
      <w:r w:rsidR="006E3FC6">
        <w:rPr>
          <w:rFonts w:ascii="Times New Roman" w:eastAsia="Times New Roman" w:hAnsi="Times New Roman"/>
          <w:lang w:eastAsia="ar-SA"/>
        </w:rPr>
        <w:t>Its d</w:t>
      </w:r>
      <w:r w:rsidR="00B809C5">
        <w:rPr>
          <w:rFonts w:ascii="Times New Roman" w:eastAsia="Times New Roman" w:hAnsi="Times New Roman"/>
          <w:lang w:eastAsia="ar-SA"/>
        </w:rPr>
        <w:t xml:space="preserve">iscovery and description in </w:t>
      </w:r>
      <w:r w:rsidR="00B809C5">
        <w:rPr>
          <w:rFonts w:ascii="Times New Roman" w:eastAsia="Times New Roman" w:hAnsi="Times New Roman"/>
          <w:i/>
          <w:iCs/>
          <w:lang w:eastAsia="ar-SA"/>
        </w:rPr>
        <w:t>Caenorhabditis elegans</w:t>
      </w:r>
      <w:r w:rsidR="00F64466">
        <w:rPr>
          <w:rFonts w:ascii="Times New Roman" w:eastAsia="Times New Roman" w:hAnsi="Times New Roman"/>
          <w:lang w:eastAsia="ar-SA"/>
        </w:rPr>
        <w:t xml:space="preserve"> </w:t>
      </w:r>
      <w:r w:rsidR="001F26AB">
        <w:rPr>
          <w:rFonts w:ascii="Times New Roman" w:eastAsia="Times New Roman" w:hAnsi="Times New Roman"/>
          <w:lang w:eastAsia="ar-SA"/>
        </w:rPr>
        <w:t>by</w:t>
      </w:r>
      <w:r w:rsidR="005D04F3">
        <w:rPr>
          <w:rFonts w:ascii="Times New Roman" w:eastAsia="Times New Roman" w:hAnsi="Times New Roman"/>
          <w:lang w:eastAsia="ar-SA"/>
        </w:rPr>
        <w:t xml:space="preserve"> Andrew</w:t>
      </w:r>
      <w:r w:rsidR="001F26AB">
        <w:rPr>
          <w:rFonts w:ascii="Times New Roman" w:eastAsia="Times New Roman" w:hAnsi="Times New Roman"/>
          <w:lang w:eastAsia="ar-SA"/>
        </w:rPr>
        <w:t xml:space="preserve"> Fire and Craig Mello </w:t>
      </w:r>
      <w:r w:rsidR="000E56C9">
        <w:rPr>
          <w:rFonts w:ascii="Times New Roman" w:eastAsia="Times New Roman" w:hAnsi="Times New Roman"/>
          <w:lang w:eastAsia="ar-SA"/>
        </w:rPr>
        <w:t xml:space="preserve">led to </w:t>
      </w:r>
      <w:r w:rsidR="00F528C0">
        <w:rPr>
          <w:rFonts w:ascii="Times New Roman" w:eastAsia="Times New Roman" w:hAnsi="Times New Roman"/>
          <w:lang w:eastAsia="ar-SA"/>
        </w:rPr>
        <w:t xml:space="preserve">the </w:t>
      </w:r>
      <w:r w:rsidR="00370258">
        <w:rPr>
          <w:rFonts w:ascii="Times New Roman" w:eastAsia="Times New Roman" w:hAnsi="Times New Roman"/>
          <w:lang w:eastAsia="ar-SA"/>
        </w:rPr>
        <w:t>2006</w:t>
      </w:r>
      <w:r w:rsidR="00F528C0">
        <w:rPr>
          <w:rFonts w:ascii="Times New Roman" w:eastAsia="Times New Roman" w:hAnsi="Times New Roman"/>
          <w:lang w:eastAsia="ar-SA"/>
        </w:rPr>
        <w:t xml:space="preserve"> </w:t>
      </w:r>
      <w:r w:rsidR="00370258">
        <w:rPr>
          <w:rFonts w:ascii="Times New Roman" w:eastAsia="Times New Roman" w:hAnsi="Times New Roman"/>
          <w:lang w:eastAsia="ar-SA"/>
        </w:rPr>
        <w:t xml:space="preserve">Nobel Prize </w:t>
      </w:r>
      <w:r w:rsidR="00F528C0">
        <w:rPr>
          <w:rFonts w:ascii="Times New Roman" w:eastAsia="Times New Roman" w:hAnsi="Times New Roman"/>
          <w:lang w:eastAsia="ar-SA"/>
        </w:rPr>
        <w:t>in</w:t>
      </w:r>
      <w:r w:rsidR="00370258">
        <w:rPr>
          <w:rFonts w:ascii="Times New Roman" w:eastAsia="Times New Roman" w:hAnsi="Times New Roman"/>
          <w:lang w:eastAsia="ar-SA"/>
        </w:rPr>
        <w:t xml:space="preserve"> Medicine</w:t>
      </w:r>
      <w:r w:rsidR="00370258">
        <w:rPr>
          <w:rFonts w:ascii="Times New Roman" w:eastAsia="Times New Roman" w:hAnsi="Times New Roman"/>
          <w:i/>
          <w:iCs/>
          <w:lang w:eastAsia="ar-SA"/>
        </w:rPr>
        <w:t xml:space="preserve"> </w:t>
      </w:r>
      <w:r w:rsidR="00E13488">
        <w:rPr>
          <w:rFonts w:ascii="Times New Roman" w:eastAsia="Times New Roman" w:hAnsi="Times New Roman"/>
          <w:i/>
          <w:iCs/>
          <w:lang w:eastAsia="ar-SA"/>
        </w:rPr>
        <w:fldChar w:fldCharType="begin" w:fldLock="1"/>
      </w:r>
      <w:r w:rsidR="00035D5A">
        <w:rPr>
          <w:rFonts w:ascii="Times New Roman" w:eastAsia="Times New Roman" w:hAnsi="Times New Roman"/>
          <w:i/>
          <w:iCs/>
          <w:lang w:eastAsia="ar-SA"/>
        </w:rPr>
        <w:instrText>ADDIN CSL_CITATION {"citationItems":[{"id":"ITEM-1","itemData":{"author":[{"dropping-particle":"","family":"Nobel Media AB","given":"","non-dropping-particle":"","parse-names":false,"suffix":""}],"id":"ITEM-1","issued":{"date-parts":[["2021"]]},"publisher":"NobelPrize.org","title":"The Nobel Prize in Physiology or Medicine 2006 - NobelPrize.org","type":"article"},"uris":["http://www.mendeley.com/documents/?uuid=badff93f-9eb5-3099-b184-c42da0a938c4"]}],"mendeley":{"formattedCitation":"(Nobel Media AB, 2021)","plainTextFormattedCitation":"(Nobel Media AB, 2021)","previouslyFormattedCitation":"(Nobel Media AB, 2021)"},"properties":{"noteIndex":0},"schema":"https://github.com/citation-style-language/schema/raw/master/csl-citation.json"}</w:instrText>
      </w:r>
      <w:r w:rsidR="00E13488">
        <w:rPr>
          <w:rFonts w:ascii="Times New Roman" w:eastAsia="Times New Roman" w:hAnsi="Times New Roman"/>
          <w:i/>
          <w:iCs/>
          <w:lang w:eastAsia="ar-SA"/>
        </w:rPr>
        <w:fldChar w:fldCharType="separate"/>
      </w:r>
      <w:r w:rsidR="00E13488" w:rsidRPr="00E13488">
        <w:rPr>
          <w:rFonts w:ascii="Times New Roman" w:eastAsia="Times New Roman" w:hAnsi="Times New Roman"/>
          <w:iCs/>
          <w:noProof/>
          <w:lang w:eastAsia="ar-SA"/>
        </w:rPr>
        <w:t>(Nobel Media AB, 2021)</w:t>
      </w:r>
      <w:r w:rsidR="00E13488">
        <w:rPr>
          <w:rFonts w:ascii="Times New Roman" w:eastAsia="Times New Roman" w:hAnsi="Times New Roman"/>
          <w:i/>
          <w:iCs/>
          <w:lang w:eastAsia="ar-SA"/>
        </w:rPr>
        <w:fldChar w:fldCharType="end"/>
      </w:r>
      <w:r w:rsidR="00EE5B56">
        <w:rPr>
          <w:rFonts w:ascii="Times New Roman" w:eastAsia="Times New Roman" w:hAnsi="Times New Roman"/>
          <w:lang w:eastAsia="ar-SA"/>
        </w:rPr>
        <w:t>.</w:t>
      </w:r>
      <w:r w:rsidR="00370258">
        <w:rPr>
          <w:rFonts w:ascii="Times New Roman" w:eastAsia="Times New Roman" w:hAnsi="Times New Roman"/>
          <w:lang w:eastAsia="ar-SA"/>
        </w:rPr>
        <w:t xml:space="preserve"> </w:t>
      </w:r>
      <w:r w:rsidR="00BE5A3F">
        <w:rPr>
          <w:rFonts w:ascii="Times New Roman" w:eastAsia="Times New Roman" w:hAnsi="Times New Roman"/>
          <w:lang w:eastAsia="ar-SA"/>
        </w:rPr>
        <w:t xml:space="preserve">The mechanism is triggered by the </w:t>
      </w:r>
      <w:r w:rsidR="00E23AD4">
        <w:rPr>
          <w:rFonts w:ascii="Times New Roman" w:eastAsia="Times New Roman" w:hAnsi="Times New Roman"/>
          <w:lang w:eastAsia="ar-SA"/>
        </w:rPr>
        <w:t xml:space="preserve">recognition </w:t>
      </w:r>
      <w:r w:rsidR="00BE5A3F">
        <w:rPr>
          <w:rFonts w:ascii="Times New Roman" w:eastAsia="Times New Roman" w:hAnsi="Times New Roman"/>
          <w:lang w:eastAsia="ar-SA"/>
        </w:rPr>
        <w:t>of d</w:t>
      </w:r>
      <w:r w:rsidR="00E23AD4">
        <w:rPr>
          <w:rFonts w:ascii="Times New Roman" w:eastAsia="Times New Roman" w:hAnsi="Times New Roman"/>
          <w:lang w:eastAsia="ar-SA"/>
        </w:rPr>
        <w:t xml:space="preserve">ouble stranded structures in </w:t>
      </w:r>
      <w:r w:rsidR="00BE5A3F">
        <w:rPr>
          <w:rFonts w:ascii="Times New Roman" w:eastAsia="Times New Roman" w:hAnsi="Times New Roman"/>
          <w:lang w:eastAsia="ar-SA"/>
        </w:rPr>
        <w:t>RNA</w:t>
      </w:r>
      <w:r w:rsidR="00E23AD4">
        <w:rPr>
          <w:rFonts w:ascii="Times New Roman" w:eastAsia="Times New Roman" w:hAnsi="Times New Roman"/>
          <w:lang w:eastAsia="ar-SA"/>
        </w:rPr>
        <w:t xml:space="preserve"> molecules</w:t>
      </w:r>
      <w:r w:rsidR="00843990">
        <w:rPr>
          <w:rFonts w:ascii="Times New Roman" w:eastAsia="Times New Roman" w:hAnsi="Times New Roman"/>
          <w:lang w:eastAsia="ar-SA"/>
        </w:rPr>
        <w:t xml:space="preserve"> </w:t>
      </w:r>
      <w:r w:rsidR="00561BE5">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{"citationItems":[{"id":"ITEM-1","itemData":{"DOI":"10.1146/annurev-micro-090816-093352","ISSN":"0066-4227","abstract":"RNA interference (RNAi) is a conserved eukaryotic mechanism that uses small RNA molecules to suppress gene expression through sequence-specific messenger RNA degradation, translational repression, or transcriptional inhibition. In filamentous fungi, the protective function of RNAi in the maintenance of genome integrity is well known. However, knowledge of the regulatory role of RNAi in fungi has had to wait until the recent identification of different endogenous small RNA classes, which are generated by distinct RNAi pathways. In addition, RNAi research on new fungal models has uncovered the role of small RNAs and RNAi pathways in the regulation of diverse biological functions. In this review, we give an up-to-date overview of the different classes of small RNAs and RNAi pathways in fungi and their roles in the defense of genome integrity and regulation of fungal physiology and development, as well as in the interaction of fungi with biotic and abiotic environments.","author":[{"dropping-particle":"","family":"Torres-Martínez","given":"Santiago","non-dropping-particle":"","parse-names":false,"suffix":""},{"dropping-particle":"","family":"Ruiz-Vázquez","given":"Rosa M.","non-dropping-particle":"","parse-names":false,"suffix":""}],"container-title":"Annual Review of Microbiology","id":"ITEM-1","issued":{"date-parts":[["2017"]]},"title":"The RNAi Universe in Fungi: A Varied Landscape of Small RNAs and Biological Functions","type":"article-journal"},"uris":["http://www.mendeley.com/documents/?uuid=9b68433c-3543-3686-96b5-1194cfa73c0a","http://www.mendeley.com/documents/?uuid=44998992-cc7a-4067-94b8-8e02bb4865ed","http://www.mendeley.com/documents/?uuid=0013b640-6738-47f1-82f4-9361733e8cf7"]}],"mendeley":{"formattedCitation":"(Torres-Martínez &amp; Ruiz-Vázquez, 2017)","plainTextFormattedCitation":"(Torres-Martínez &amp; Ruiz-Vázquez, 2017)","previouslyFormattedCitation":"(Torres-Martínez &amp; Ruiz-Vázquez, 2017)"},"properties":{"noteIndex":0},"schema":"https://github.com/citation-style-language/schema/raw/master/csl-citation.json"}</w:instrText>
      </w:r>
      <w:r w:rsidR="00561BE5">
        <w:rPr>
          <w:rFonts w:ascii="Times New Roman" w:eastAsia="Times New Roman" w:hAnsi="Times New Roman"/>
          <w:lang w:eastAsia="ar-SA"/>
        </w:rPr>
        <w:fldChar w:fldCharType="separate"/>
      </w:r>
      <w:r w:rsidR="00561BE5" w:rsidRPr="00561BE5">
        <w:rPr>
          <w:rFonts w:ascii="Times New Roman" w:eastAsia="Times New Roman" w:hAnsi="Times New Roman"/>
          <w:noProof/>
          <w:lang w:eastAsia="ar-SA"/>
        </w:rPr>
        <w:t>(Torres-Martínez &amp; Ruiz-Vázquez, 2017)</w:t>
      </w:r>
      <w:r w:rsidR="00561BE5">
        <w:rPr>
          <w:rFonts w:ascii="Times New Roman" w:eastAsia="Times New Roman" w:hAnsi="Times New Roman"/>
          <w:lang w:eastAsia="ar-SA"/>
        </w:rPr>
        <w:fldChar w:fldCharType="end"/>
      </w:r>
      <w:r w:rsidR="00E23AD4">
        <w:rPr>
          <w:rFonts w:ascii="Times New Roman" w:eastAsia="Times New Roman" w:hAnsi="Times New Roman"/>
          <w:lang w:eastAsia="ar-SA"/>
        </w:rPr>
        <w:t>. The cellular machinery processes the RNA into small RNA (sRNA)</w:t>
      </w:r>
      <w:r w:rsidR="00E23AD4">
        <w:rPr>
          <w:rStyle w:val="FootnoteReference"/>
          <w:rFonts w:eastAsia="Times New Roman"/>
          <w:lang w:eastAsia="ar-SA"/>
        </w:rPr>
        <w:footnoteReference w:id="7"/>
      </w:r>
      <w:r w:rsidR="00E23AD4">
        <w:rPr>
          <w:rFonts w:ascii="Times New Roman" w:eastAsia="Times New Roman" w:hAnsi="Times New Roman"/>
          <w:lang w:eastAsia="ar-SA"/>
        </w:rPr>
        <w:t xml:space="preserve"> molecules, which then act as a guide template to target RNA sequences with complementar</w:t>
      </w:r>
      <w:r w:rsidR="001F2E98">
        <w:rPr>
          <w:rFonts w:ascii="Times New Roman" w:eastAsia="Times New Roman" w:hAnsi="Times New Roman"/>
          <w:lang w:eastAsia="ar-SA"/>
        </w:rPr>
        <w:t>ity</w:t>
      </w:r>
      <w:r w:rsidR="00E23AD4">
        <w:rPr>
          <w:rFonts w:ascii="Times New Roman" w:eastAsia="Times New Roman" w:hAnsi="Times New Roman"/>
          <w:lang w:eastAsia="ar-SA"/>
        </w:rPr>
        <w:t xml:space="preserve"> within the host cell. Upon binding a sequence, silencing is achieved </w:t>
      </w:r>
      <w:r w:rsidR="001F2E98">
        <w:rPr>
          <w:rFonts w:ascii="Times New Roman" w:eastAsia="Times New Roman" w:hAnsi="Times New Roman"/>
          <w:lang w:eastAsia="ar-SA"/>
        </w:rPr>
        <w:t xml:space="preserve">through the </w:t>
      </w:r>
      <w:r w:rsidR="00E23AD4">
        <w:rPr>
          <w:rFonts w:ascii="Times New Roman" w:eastAsia="Times New Roman" w:hAnsi="Times New Roman"/>
          <w:lang w:eastAsia="ar-SA"/>
        </w:rPr>
        <w:t>degradation of the messenger RNA (mRNA), removal of the poly-adenylated tail, blocking ribosomal protein synthesis and/or epigenetic transcriptional repression. Naturally, RNAi protects cell</w:t>
      </w:r>
      <w:r w:rsidR="00302E7C">
        <w:rPr>
          <w:rFonts w:ascii="Times New Roman" w:eastAsia="Times New Roman" w:hAnsi="Times New Roman"/>
          <w:lang w:eastAsia="ar-SA"/>
        </w:rPr>
        <w:t>s</w:t>
      </w:r>
      <w:r w:rsidR="00E23AD4">
        <w:rPr>
          <w:rFonts w:ascii="Times New Roman" w:eastAsia="Times New Roman" w:hAnsi="Times New Roman"/>
          <w:lang w:eastAsia="ar-SA"/>
        </w:rPr>
        <w:t xml:space="preserve"> from double stranded RNA (dsRNA) viruses</w:t>
      </w:r>
      <w:r w:rsidR="00600A0A">
        <w:rPr>
          <w:rFonts w:ascii="Times New Roman" w:eastAsia="Times New Roman" w:hAnsi="Times New Roman"/>
          <w:lang w:eastAsia="ar-SA"/>
        </w:rPr>
        <w:t xml:space="preserve">, supresses transposons </w:t>
      </w:r>
      <w:r w:rsidR="00E23AD4">
        <w:rPr>
          <w:rFonts w:ascii="Times New Roman" w:eastAsia="Times New Roman" w:hAnsi="Times New Roman"/>
          <w:lang w:eastAsia="ar-SA"/>
        </w:rPr>
        <w:t xml:space="preserve">and allows for </w:t>
      </w:r>
      <w:r w:rsidR="00C93326">
        <w:rPr>
          <w:rFonts w:ascii="Times New Roman" w:eastAsia="Times New Roman" w:hAnsi="Times New Roman"/>
          <w:lang w:eastAsia="ar-SA"/>
        </w:rPr>
        <w:t>‘</w:t>
      </w:r>
      <w:r w:rsidR="00E23AD4">
        <w:rPr>
          <w:rFonts w:ascii="Times New Roman" w:eastAsia="Times New Roman" w:hAnsi="Times New Roman"/>
          <w:lang w:eastAsia="ar-SA"/>
        </w:rPr>
        <w:t>fine-tuning</w:t>
      </w:r>
      <w:r w:rsidR="00C93326">
        <w:rPr>
          <w:rFonts w:ascii="Times New Roman" w:eastAsia="Times New Roman" w:hAnsi="Times New Roman"/>
          <w:lang w:eastAsia="ar-SA"/>
        </w:rPr>
        <w:t>’</w:t>
      </w:r>
      <w:r w:rsidR="00E23AD4">
        <w:rPr>
          <w:rFonts w:ascii="Times New Roman" w:eastAsia="Times New Roman" w:hAnsi="Times New Roman"/>
          <w:lang w:eastAsia="ar-SA"/>
        </w:rPr>
        <w:t xml:space="preserve"> of gene expression through the</w:t>
      </w:r>
      <w:r w:rsidR="00A85B12">
        <w:rPr>
          <w:rFonts w:ascii="Times New Roman" w:eastAsia="Times New Roman" w:hAnsi="Times New Roman"/>
          <w:lang w:eastAsia="ar-SA"/>
        </w:rPr>
        <w:t xml:space="preserve"> endogenous</w:t>
      </w:r>
      <w:r w:rsidR="00E23AD4">
        <w:rPr>
          <w:rFonts w:ascii="Times New Roman" w:eastAsia="Times New Roman" w:hAnsi="Times New Roman"/>
          <w:lang w:eastAsia="ar-SA"/>
        </w:rPr>
        <w:t xml:space="preserve"> expression of hairpin-structured microRNA (miRNA)</w:t>
      </w:r>
      <w:r w:rsidR="00684CBA" w:rsidRPr="00684CBA">
        <w:rPr>
          <w:rFonts w:ascii="Times New Roman" w:eastAsia="Times New Roman" w:hAnsi="Times New Roman"/>
          <w:lang w:eastAsia="ar-SA"/>
        </w:rPr>
        <w:t xml:space="preserve"> </w:t>
      </w:r>
      <w:r w:rsidR="00472572">
        <w:rPr>
          <w:rFonts w:ascii="Times New Roman" w:eastAsia="Times New Roman" w:hAnsi="Times New Roman"/>
          <w:lang w:eastAsia="ar-SA"/>
        </w:rPr>
        <w:fldChar w:fldCharType="begin" w:fldLock="1"/>
      </w:r>
      <w:r w:rsidR="00B00C56">
        <w:rPr>
          <w:rFonts w:ascii="Times New Roman" w:eastAsia="Times New Roman" w:hAnsi="Times New Roman"/>
          <w:lang w:eastAsia="ar-SA"/>
        </w:rPr>
        <w:instrText>ADDIN CSL_CITATION {"citationItems":[{"id":"ITEM-1","itemData":{"DOI":"10.1002/ps.4813","ISSN":"15264998","PMID":"29194942","abstract":"Scientists have made significant progress in understanding and unraveling several aspects of double-stranded RNA (dsRNA)-mediated gene silencing during the last two decades. Now that the RNA interference (RNAi) mechanism is well understood, it is time to consider how to apply the acquired knowledge to agriculture and crop protection. Some RNAi-based products are already available for farmers and more are expected to reach the market soon. Tailor-made dsRNA as an active ingredient for biopesticide formulations is considered a raw material that can be used for diverse purposes, from pest control and bee protection against viruses to pesticide resistance management. The RNAi mechanism works at the messenger RNA (mRNA) level, exploiting a sequence-dependent mode of action, which makes it unique in potency and selectivity compared with conventional agrochemicals. Furthermore, the use of RNAi in crop protection can be achieved by employing plant-incorporated protectants through plant transformation, but also by non-transformative strategies such as the use of formulations of sprayable RNAs as direct control agents, resistance factor repressors or developmental disruptors. In this review, RNAi is presented in an agricultural context (discussing products that have been launched on the market or will soon be available), and we go beyond the classical presentation of successful examples of RNAi in pest-insect control and comprehensively explore its potential for the control of plant pathogens, nematodes and mites, and to fight against diseases and parasites in beneficial insects. Moreover, we also discuss its use as a repressor for the management of pesticide-resistant weeds and insects. Finally, this review reports on the advances in non-transformative dsRNA delivery and the production costs of dsRNA, and discusses environmental considerations. © 2017 Society of Chemical Industry.","author":[{"dropping-particle":"","family":"Zotti","given":"Moises","non-dropping-particle":"","parse-names":false,"suffix":""},{"dropping-particle":"","family":"Santos","given":"Ericmar Avila","non-dropping-particle":"dos","parse-names":false,"suffix":""},{"dropping-particle":"","family":"Cagliari","given":"Deise","non-dropping-particle":"","parse-names":false,"suffix":""},{"dropping-particle":"","family":"Christiaens","given":"Olivier","non-dropping-particle":"","parse-names":false,"suffix":""},{"dropping-particle":"","family":"Taning","given":"Clauvis Nji Tizi","non-dropping-particle":"","parse-names":false,"suffix":""},{"dropping-particle":"","family":"Smagghe","given":"Guy","non-dropping-particle":"","parse-names":false,"suffix":""}],"container-title":"Pest Management Science","id":"ITEM-1","issue":"6","issued":{"date-parts":[["2018"]]},"page":"1239-1250","title":"RNA interference technology in crop protection against arthropod pests, pathogens and nematodes","type":"article-journal","volume":"74"},"uris":["http://www.mendeley.com/documents/?uuid=c7989ac5-6aa8-49bd-8a89-df150cd6f1dd","http://www.mendeley.com/documents/?uuid=88b77055-e969-4394-9d06-dd439482a498","http://www.mendeley.com/documents/?uuid=01c7dc26-44b2-4632-b27f-d15ee6ea343b"]},{"id":"ITEM-2","itemData":{"DOI":"10.1016/j.tig.2019.12.001","ISSN":"13624555","PMID":"31952840","abstract":"In recent years it has become evident that RNA interference-related mechanisms can mediate the deposition and transgenerational inheritance of specific chromatin modifications in a truly epigenetic fashion. Rapid progress has been made in identifying the RNAi effector proteins and how they work together to confer long-lasting epigenetic responses, and initial studies hint at potential physiological relevance of such regulation. In this review, we highlight mechanistic studies in model organisms that advance our understanding of how small RNAs trigger long-lasting epigenetic changes in gene expression and we discuss observations that lend support for the idea that small RNAs might participate in mechanisms that trigger epigenetic gene expression changes in response to environmental cues and the effects these could have on population adaptation.","author":[{"dropping-particle":"","family":"Duempelmann","given":"Lea","non-dropping-particle":"","parse-names":false,"suffix":""},{"dropping-particle":"","family":"Skribbe","given":"Merle","non-dropping-particle":"","parse-names":false,"suffix":""},{"dropping-particle":"","family":"Bühler","given":"Marc","non-dropping-particle":"","parse-names":false,"suffix":""}],"container-title":"Trends in Genetics","id":"ITEM-2","issue":"3","issued":{"date-parts":[["2020"]]},"page":"203-214","publisher":"The Authors","title":"Small RNAs in the Transgenerational Inheritance of Epigenetic Information","type":"article-journal","volume":"36"},"uris":["http://www.mendeley.com/documents/?uuid=375d5eb2-e50e-4877-a1b5-865fd88a88b4"]},{"id":"ITEM-3","itemData":{"DOI":"10.1016/j.biotechadv.2019.107463","ISSN":"07349750","author":[{"dropping-particle":"","family":"Liu","given":"Shaoshuai","non-dropping-particle":"","parse-names":false,"suffix":""},{"dropping-particle":"","family":"Jaouannet","given":"Maelle","non-dropping-particle":"","parse-names":false,"suffix":""},{"dropping-particle":"","family":"Dempsey","given":"D'Maris Amick","non-dropping-particle":"","parse-names":false,"suffix":""},{"dropping-particle":"","family":"Imani","given":"Jafargholi","non-dropping-particle":"","parse-names":false,"suffix":""},{"dropping-particle":"","family":"Coustau","given":"Christine","non-dropping-particle":"","parse-names":false,"suffix":""},{"dropping-particle":"","family":"Kogel","given":"Karl-Heinz","non-dropping-particle":"","parse-names":false,"suffix":""}],"container-title":"Biotechnology Advances","id":"ITEM-3","issued":{"date-parts":[["2020","3"]]},"page":"107463","title":"RNA-based technologies for insect control in plant production","type":"article-journal","volume":"39"},"uris":["http://www.mendeley.com/documents/?uuid=e923f27f-499c-44d1-b8fa-76023d6afd97"]}],"mendeley":{"formattedCitation":"(Duempelmann et al., 2020; S. Liu et al., 2020; Zotti et al., 2018)","manualFormatting":"(Duempelmann et al., 2020; Liu et al., 2020; Zotti et al., 2018)","plainTextFormattedCitation":"(Duempelmann et al., 2020; S. Liu et al., 2020; Zotti et al., 2018)","previouslyFormattedCitation":"(Duempelmann et al., 2020; S. Liu et al., 2020; Zotti et al., 2018)"},"properties":{"noteIndex":0},"schema":"https://github.com/citation-style-language/schema/raw/master/csl-citation.json"}</w:instrText>
      </w:r>
      <w:r w:rsidR="00472572">
        <w:rPr>
          <w:rFonts w:ascii="Times New Roman" w:eastAsia="Times New Roman" w:hAnsi="Times New Roman"/>
          <w:lang w:eastAsia="ar-SA"/>
        </w:rPr>
        <w:fldChar w:fldCharType="separate"/>
      </w:r>
      <w:r w:rsidR="006F2EA5" w:rsidRPr="003531BC">
        <w:rPr>
          <w:rFonts w:ascii="Times New Roman" w:eastAsia="Times New Roman" w:hAnsi="Times New Roman"/>
          <w:noProof/>
          <w:lang w:val="en-US" w:eastAsia="ar-SA"/>
        </w:rPr>
        <w:t>(Duempelmann et al., 2020; Liu et al., 2020; Zotti et al., 2018)</w:t>
      </w:r>
      <w:r w:rsidR="00472572">
        <w:rPr>
          <w:rFonts w:ascii="Times New Roman" w:eastAsia="Times New Roman" w:hAnsi="Times New Roman"/>
          <w:lang w:eastAsia="ar-SA"/>
        </w:rPr>
        <w:fldChar w:fldCharType="end"/>
      </w:r>
      <w:r w:rsidR="00E23AD4" w:rsidRPr="003531BC">
        <w:rPr>
          <w:rFonts w:ascii="Times New Roman" w:eastAsia="Times New Roman" w:hAnsi="Times New Roman"/>
          <w:lang w:val="en-US" w:eastAsia="ar-SA"/>
        </w:rPr>
        <w:t>.</w:t>
      </w:r>
      <w:r w:rsidR="00932EEF" w:rsidRPr="003531BC">
        <w:rPr>
          <w:rFonts w:ascii="Times New Roman" w:eastAsia="Times New Roman" w:hAnsi="Times New Roman"/>
          <w:lang w:val="en-US" w:eastAsia="ar-SA"/>
        </w:rPr>
        <w:t xml:space="preserve"> </w:t>
      </w:r>
    </w:p>
    <w:p w14:paraId="603EDA5E" w14:textId="2A9B49B4" w:rsidR="00E55636" w:rsidRPr="006A52E3" w:rsidRDefault="00E23AD4" w:rsidP="006E50DD">
      <w:pPr>
        <w:spacing w:before="120" w:after="120" w:line="240" w:lineRule="auto"/>
        <w:jc w:val="both"/>
        <w:rPr>
          <w:rFonts w:ascii="Times New Roman" w:eastAsia="Times New Roman" w:hAnsi="Times New Roman"/>
          <w:lang w:val="da-DK" w:eastAsia="ar-SA"/>
        </w:rPr>
      </w:pPr>
      <w:r>
        <w:rPr>
          <w:rFonts w:ascii="Times New Roman" w:eastAsia="Times New Roman" w:hAnsi="Times New Roman"/>
          <w:lang w:eastAsia="ar-SA"/>
        </w:rPr>
        <w:t xml:space="preserve">With this understanding, the mechanism can </w:t>
      </w:r>
      <w:r w:rsidR="0093296D">
        <w:rPr>
          <w:rFonts w:ascii="Times New Roman" w:eastAsia="Times New Roman" w:hAnsi="Times New Roman"/>
          <w:lang w:eastAsia="ar-SA"/>
        </w:rPr>
        <w:t xml:space="preserve">be </w:t>
      </w:r>
      <w:r>
        <w:rPr>
          <w:rFonts w:ascii="Times New Roman" w:eastAsia="Times New Roman" w:hAnsi="Times New Roman"/>
          <w:lang w:eastAsia="ar-SA"/>
        </w:rPr>
        <w:t xml:space="preserve">exploited </w:t>
      </w:r>
      <w:r w:rsidR="00247E9C">
        <w:rPr>
          <w:rFonts w:ascii="Times New Roman" w:eastAsia="Times New Roman" w:hAnsi="Times New Roman"/>
          <w:lang w:eastAsia="ar-SA"/>
        </w:rPr>
        <w:t>using</w:t>
      </w:r>
      <w:r>
        <w:rPr>
          <w:rFonts w:ascii="Times New Roman" w:eastAsia="Times New Roman" w:hAnsi="Times New Roman"/>
          <w:lang w:eastAsia="ar-SA"/>
        </w:rPr>
        <w:t xml:space="preserve"> </w:t>
      </w:r>
      <w:r w:rsidR="00E55636" w:rsidRPr="1386BD8E">
        <w:rPr>
          <w:rFonts w:ascii="Times New Roman" w:eastAsia="Times New Roman" w:hAnsi="Times New Roman"/>
          <w:lang w:eastAsia="ar-SA"/>
        </w:rPr>
        <w:t xml:space="preserve">RNA expression constructs </w:t>
      </w:r>
      <w:r w:rsidR="00D20D71">
        <w:rPr>
          <w:rFonts w:ascii="Times New Roman" w:eastAsia="Times New Roman" w:hAnsi="Times New Roman"/>
          <w:lang w:eastAsia="ar-SA"/>
        </w:rPr>
        <w:t>(encoding anti-sense</w:t>
      </w:r>
      <w:r w:rsidR="00BB3E84">
        <w:rPr>
          <w:rFonts w:ascii="Times New Roman" w:eastAsia="Times New Roman" w:hAnsi="Times New Roman"/>
          <w:lang w:eastAsia="ar-SA"/>
        </w:rPr>
        <w:t>, dsRNA</w:t>
      </w:r>
      <w:r w:rsidR="00B904DE">
        <w:rPr>
          <w:rFonts w:ascii="Times New Roman" w:eastAsia="Times New Roman" w:hAnsi="Times New Roman"/>
          <w:lang w:eastAsia="ar-SA"/>
        </w:rPr>
        <w:t xml:space="preserve"> or</w:t>
      </w:r>
      <w:r w:rsidR="00D20D71">
        <w:rPr>
          <w:rFonts w:ascii="Times New Roman" w:eastAsia="Times New Roman" w:hAnsi="Times New Roman"/>
          <w:lang w:eastAsia="ar-SA"/>
        </w:rPr>
        <w:t xml:space="preserve"> hairpin RNA) </w:t>
      </w:r>
      <w:r w:rsidR="00E55636" w:rsidRPr="1386BD8E">
        <w:rPr>
          <w:rFonts w:ascii="Times New Roman" w:eastAsia="Times New Roman" w:hAnsi="Times New Roman"/>
          <w:lang w:eastAsia="ar-SA"/>
        </w:rPr>
        <w:t>delivered to plants as transgenes</w:t>
      </w:r>
      <w:r w:rsidR="00E55636">
        <w:rPr>
          <w:rFonts w:ascii="Times New Roman" w:eastAsia="Times New Roman" w:hAnsi="Times New Roman"/>
          <w:lang w:eastAsia="ar-SA"/>
        </w:rPr>
        <w:t>,</w:t>
      </w:r>
      <w:r w:rsidR="00E55636" w:rsidRPr="1386BD8E">
        <w:rPr>
          <w:rFonts w:ascii="Times New Roman" w:eastAsia="Times New Roman" w:hAnsi="Times New Roman"/>
          <w:lang w:eastAsia="ar-SA"/>
        </w:rPr>
        <w:t xml:space="preserve"> as a part of vir</w:t>
      </w:r>
      <w:r w:rsidR="00E55636">
        <w:rPr>
          <w:rFonts w:ascii="Times New Roman" w:eastAsia="Times New Roman" w:hAnsi="Times New Roman"/>
          <w:lang w:eastAsia="ar-SA"/>
        </w:rPr>
        <w:t>al</w:t>
      </w:r>
      <w:r w:rsidR="00E55636" w:rsidRPr="1386BD8E">
        <w:rPr>
          <w:rFonts w:ascii="Times New Roman" w:eastAsia="Times New Roman" w:hAnsi="Times New Roman"/>
          <w:lang w:eastAsia="ar-SA"/>
        </w:rPr>
        <w:t xml:space="preserve"> vectors</w:t>
      </w:r>
      <w:r w:rsidR="00E55636">
        <w:rPr>
          <w:rFonts w:ascii="Times New Roman" w:eastAsia="Times New Roman" w:hAnsi="Times New Roman"/>
          <w:lang w:eastAsia="ar-SA"/>
        </w:rPr>
        <w:t xml:space="preserve"> or as topical dsRNA sprays </w:t>
      </w:r>
      <w:r w:rsidR="00B00C56">
        <w:rPr>
          <w:rFonts w:ascii="Times New Roman" w:eastAsia="Times New Roman" w:hAnsi="Times New Roman"/>
          <w:lang w:eastAsia="ar-SA"/>
        </w:rPr>
        <w:fldChar w:fldCharType="begin" w:fldLock="1"/>
      </w:r>
      <w:r w:rsidR="00B00C56">
        <w:rPr>
          <w:rFonts w:ascii="Times New Roman" w:eastAsia="Times New Roman" w:hAnsi="Times New Roman"/>
          <w:lang w:eastAsia="ar-SA"/>
        </w:rPr>
        <w:instrText>ADDIN CSL_CITATION {"citationItems":[{"id":"ITEM-1","itemData":{"DOI":"10.1016/j.biotechadv.2019.107463","ISSN":"07349750","author":[{"dropping-particle":"","family":"Liu","given":"Shaoshuai","non-dropping-particle":"","parse-names":false,"suffix":""},{"dropping-particle":"","family":"Jaouannet","given":"Maelle","non-dropping-particle":"","parse-names":false,"suffix":""},{"dropping-particle":"","family":"Dempsey","given":"D'Maris Amick","non-dropping-particle":"","parse-names":false,"suffix":""},{"dropping-particle":"","family":"Imani","given":"Jafargholi","non-dropping-particle":"","parse-names":false,"suffix":""},{"dropping-particle":"","family":"Coustau","given":"Christine","non-dropping-particle":"","parse-names":false,"suffix":""},{"dropping-particle":"","family":"Kogel","given":"Karl-Heinz","non-dropping-particle":"","parse-names":false,"suffix":""}],"container-title":"Biotechnology Advances","id":"ITEM-1","issued":{"date-parts":[["2020","3"]]},"page":"107463","title":"RNA-based technologies for insect control in plant production","type":"article-journal","volume":"39"},"uris":["http://www.mendeley.com/documents/?uuid=e923f27f-499c-44d1-b8fa-76023d6afd97"]}],"mendeley":{"formattedCitation":"(S. Liu et al., 2020)","manualFormatting":"(Liu et al., 2020)","plainTextFormattedCitation":"(S. Liu et al., 2020)","previouslyFormattedCitation":"(S. Liu et al., 2020)"},"properties":{"noteIndex":0},"schema":"https://github.com/citation-style-language/schema/raw/master/csl-citation.json"}</w:instrText>
      </w:r>
      <w:r w:rsidR="00B00C56">
        <w:rPr>
          <w:rFonts w:ascii="Times New Roman" w:eastAsia="Times New Roman" w:hAnsi="Times New Roman"/>
          <w:lang w:eastAsia="ar-SA"/>
        </w:rPr>
        <w:fldChar w:fldCharType="separate"/>
      </w:r>
      <w:r w:rsidR="00B00C56" w:rsidRPr="00B00C56">
        <w:rPr>
          <w:rFonts w:ascii="Times New Roman" w:eastAsia="Times New Roman" w:hAnsi="Times New Roman"/>
          <w:noProof/>
          <w:lang w:eastAsia="ar-SA"/>
        </w:rPr>
        <w:t>(Liu et al., 2020)</w:t>
      </w:r>
      <w:r w:rsidR="00B00C56">
        <w:rPr>
          <w:rFonts w:ascii="Times New Roman" w:eastAsia="Times New Roman" w:hAnsi="Times New Roman"/>
          <w:lang w:eastAsia="ar-SA"/>
        </w:rPr>
        <w:fldChar w:fldCharType="end"/>
      </w:r>
      <w:r w:rsidR="00684CBA">
        <w:rPr>
          <w:rFonts w:ascii="Times New Roman" w:eastAsia="Times New Roman" w:hAnsi="Times New Roman"/>
          <w:lang w:eastAsia="ar-SA"/>
        </w:rPr>
        <w:t xml:space="preserve">. </w:t>
      </w:r>
      <w:r w:rsidR="00E55636">
        <w:rPr>
          <w:rFonts w:ascii="Times New Roman" w:eastAsia="Times New Roman" w:hAnsi="Times New Roman"/>
          <w:lang w:eastAsia="ar-SA"/>
        </w:rPr>
        <w:t>Th</w:t>
      </w:r>
      <w:r w:rsidR="00D20D71">
        <w:rPr>
          <w:rFonts w:ascii="Times New Roman" w:eastAsia="Times New Roman" w:hAnsi="Times New Roman"/>
          <w:lang w:eastAsia="ar-SA"/>
        </w:rPr>
        <w:t>us, these</w:t>
      </w:r>
      <w:r w:rsidR="00E55636">
        <w:rPr>
          <w:rFonts w:ascii="Times New Roman" w:eastAsia="Times New Roman" w:hAnsi="Times New Roman"/>
          <w:lang w:eastAsia="ar-SA"/>
        </w:rPr>
        <w:t xml:space="preserve"> methodologies are</w:t>
      </w:r>
      <w:r w:rsidR="00E55636" w:rsidRPr="1386BD8E">
        <w:rPr>
          <w:rFonts w:ascii="Times New Roman" w:eastAsia="Times New Roman" w:hAnsi="Times New Roman"/>
          <w:lang w:eastAsia="ar-SA"/>
        </w:rPr>
        <w:t xml:space="preserve"> intensively investigated to provide crop protection against arthropod pests</w:t>
      </w:r>
      <w:r w:rsidR="00E55636">
        <w:rPr>
          <w:rFonts w:ascii="Times New Roman" w:eastAsia="Times New Roman" w:hAnsi="Times New Roman"/>
          <w:lang w:eastAsia="ar-SA"/>
        </w:rPr>
        <w:t>,</w:t>
      </w:r>
      <w:r w:rsidR="00E55636" w:rsidRPr="1386BD8E">
        <w:rPr>
          <w:rFonts w:ascii="Times New Roman" w:eastAsia="Times New Roman" w:hAnsi="Times New Roman"/>
          <w:lang w:eastAsia="ar-SA"/>
        </w:rPr>
        <w:t xml:space="preserve"> nematodes </w:t>
      </w:r>
      <w:r w:rsidR="00B00C56">
        <w:rPr>
          <w:rFonts w:ascii="Times New Roman" w:eastAsia="Times New Roman" w:hAnsi="Times New Roman"/>
          <w:lang w:eastAsia="ar-SA"/>
        </w:rPr>
        <w:fldChar w:fldCharType="begin" w:fldLock="1"/>
      </w:r>
      <w:r w:rsidR="004128E3">
        <w:rPr>
          <w:rFonts w:ascii="Times New Roman" w:eastAsia="Times New Roman" w:hAnsi="Times New Roman"/>
          <w:lang w:eastAsia="ar-SA"/>
        </w:rPr>
        <w:instrText>ADDIN CSL_CITATION {"citationItems":[{"id":"ITEM-1","itemData":{"DOI":"10.1002/ps.4813","ISSN":"15264998","PMID":"29194942","abstract":"Scientists have made significant progress in understanding and unraveling several aspects of double-stranded RNA (dsRNA)-mediated gene silencing during the last two decades. Now that the RNA interference (RNAi) mechanism is well understood, it is time to consider how to apply the acquired knowledge to agriculture and crop protection. Some RNAi-based products are already available for farmers and more are expected to reach the market soon. Tailor-made dsRNA as an active ingredient for biopesticide formulations is considered a raw material that can be used for diverse purposes, from pest control and bee protection against viruses to pesticide resistance management. The RNAi mechanism works at the messenger RNA (mRNA) level, exploiting a sequence-dependent mode of action, which makes it unique in potency and selectivity compared with conventional agrochemicals. Furthermore, the use of RNAi in crop protection can be achieved by employing plant-incorporated protectants through plant transformation, but also by non-transformative strategies such as the use of formulations of sprayable RNAs as direct control agents, resistance factor repressors or developmental disruptors. In this review, RNAi is presented in an agricultural context (discussing products that have been launched on the market or will soon be available), and we go beyond the classical presentation of successful examples of RNAi in pest-insect control and comprehensively explore its potential for the control of plant pathogens, nematodes and mites, and to fight against diseases and parasites in beneficial insects. Moreover, we also discuss its use as a repressor for the management of pesticide-resistant weeds and insects. Finally, this review reports on the advances in non-transformative dsRNA delivery and the production costs of dsRNA, and discusses environmental considerations. © 2017 Society of Chemical Industry.","author":[{"dropping-particle":"","family":"Zotti","given":"Moises","non-dropping-particle":"","parse-names":false,"suffix":""},{"dropping-particle":"","family":"Santos","given":"Ericmar Avila","non-dropping-particle":"dos","parse-names":false,"suffix":""},{"dropping-particle":"","family":"Cagliari","given":"Deise","non-dropping-particle":"","parse-names":false,"suffix":""},{"dropping-particle":"","family":"Christiaens","given":"Olivier","non-dropping-particle":"","parse-names":false,"suffix":""},{"dropping-particle":"","family":"Taning","given":"Clauvis Nji Tizi","non-dropping-particle":"","parse-names":false,"suffix":""},{"dropping-particle":"","family":"Smagghe","given":"Guy","non-dropping-particle":"","parse-names":false,"suffix":""}],"container-title":"Pest Management Science","id":"ITEM-1","issue":"6","issued":{"date-parts":[["2018"]]},"page":"1239-1250","title":"RNA interference technology in crop protection against arthropod pests, pathogens and nematodes","type":"article-journal","volume":"74"},"uris":["http://www.mendeley.com/documents/?uuid=01c7dc26-44b2-4632-b27f-d15ee6ea343b"]}],"mendeley":{"formattedCitation":"(Zotti et al., 2018)","plainTextFormattedCitation":"(Zotti et al., 2018)","previouslyFormattedCitation":"(Zotti et al., 2018)"},"properties":{"noteIndex":0},"schema":"https://github.com/citation-style-language/schema/raw/master/csl-citation.json"}</w:instrText>
      </w:r>
      <w:r w:rsidR="00B00C56">
        <w:rPr>
          <w:rFonts w:ascii="Times New Roman" w:eastAsia="Times New Roman" w:hAnsi="Times New Roman"/>
          <w:lang w:eastAsia="ar-SA"/>
        </w:rPr>
        <w:fldChar w:fldCharType="separate"/>
      </w:r>
      <w:r w:rsidR="00B00C56" w:rsidRPr="003531BC">
        <w:rPr>
          <w:rFonts w:ascii="Times New Roman" w:eastAsia="Times New Roman" w:hAnsi="Times New Roman"/>
          <w:noProof/>
          <w:lang w:val="fr-CA" w:eastAsia="ar-SA"/>
        </w:rPr>
        <w:t>(Zotti et al., 2018)</w:t>
      </w:r>
      <w:r w:rsidR="00B00C56">
        <w:rPr>
          <w:rFonts w:ascii="Times New Roman" w:eastAsia="Times New Roman" w:hAnsi="Times New Roman"/>
          <w:lang w:eastAsia="ar-SA"/>
        </w:rPr>
        <w:fldChar w:fldCharType="end"/>
      </w:r>
      <w:r w:rsidR="00E55636" w:rsidRPr="003531BC">
        <w:rPr>
          <w:rFonts w:ascii="Times New Roman" w:eastAsia="Times New Roman" w:hAnsi="Times New Roman"/>
          <w:lang w:val="fr-CA" w:eastAsia="ar-SA"/>
        </w:rPr>
        <w:t xml:space="preserve">, viruses </w:t>
      </w:r>
      <w:r w:rsidR="004128E3">
        <w:rPr>
          <w:rFonts w:ascii="Times New Roman" w:eastAsia="Times New Roman" w:hAnsi="Times New Roman"/>
          <w:lang w:val="fr-CA" w:eastAsia="ar-SA"/>
        </w:rPr>
        <w:fldChar w:fldCharType="begin" w:fldLock="1"/>
      </w:r>
      <w:r w:rsidR="004128E3">
        <w:rPr>
          <w:rFonts w:ascii="Times New Roman" w:eastAsia="Times New Roman" w:hAnsi="Times New Roman"/>
          <w:lang w:val="fr-CA" w:eastAsia="ar-SA"/>
        </w:rPr>
        <w:instrText>ADDIN CSL_CITATION {"citationItems":[{"id":"ITEM-1","itemData":{"DOI":"10.3390/plants10010082","ISSN":"2223-7747","abstract":"In recent years, non-coding RNAs (ncRNAs) have gained unprecedented attention as new and crucial players in the regulation of numerous cellular processes and disease responses. In this review, we describe how diverse ncRNAs, including both small RNAs and long ncRNAs, may be used to engineer resistance against plant viruses. We discuss how double-stranded RNAs and small RNAs, such as artificial microRNAs and trans-acting small interfering RNAs, either produced in transgenic plants or delivered exogenously to non-transgenic plants, may constitute powerful RNA interference (RNAi)-based technology that can be exploited to control plant viruses. Additionally, we describe how RNA guided CRISPR-CAS gene-editing systems have been deployed to inhibit plant virus infections, and we provide a comparative analysis of RNAi approaches and CRISPR-Cas technology. The two main strategies for engineering virus resistance are also discussed, including direct targeting of viral DNA or RNA, or inactivation of plant host susceptibility genes. We also elaborate on the challenges that need to be overcome before such technologies can be broadly exploited for crop protection against viruses.","author":[{"dropping-particle":"","family":"Taliansky","given":"Michael","non-dropping-particle":"","parse-names":false,"suffix":""},{"dropping-particle":"","family":"Samarskaya","given":"Viktoria","non-dropping-particle":"","parse-names":false,"suffix":""},{"dropping-particle":"","family":"Zavriev","given":"Sergey K","non-dropping-particle":"","parse-names":false,"suffix":""},{"dropping-particle":"","family":"Fesenko","given":"Igor","non-dropping-particle":"","parse-names":false,"suffix":""},{"dropping-particle":"","family":"Kalinina","given":"Natalia O","non-dropping-particle":"","parse-names":false,"suffix":""},{"dropping-particle":"","family":"Love","given":"Andrew J","non-dropping-particle":"","parse-names":false,"suffix":""}],"container-title":"Plants","id":"ITEM-1","issue":"1","issued":{"date-parts":[["2021","1","2"]]},"page":"82","publisher":"MDPI AG","title":"RNA-Based Technologies for Engineering Plant Virus Resistance","type":"article-journal","volume":"10"},"uris":["http://www.mendeley.com/documents/?uuid=b3fe2259-4f2a-4447-8655-ab4f4139e5dd"]}],"mendeley":{"formattedCitation":"(Taliansky et al., 2021)","plainTextFormattedCitation":"(Taliansky et al., 2021)","previouslyFormattedCitation":"(Taliansky et al., 2021)"},"properties":{"noteIndex":0},"schema":"https://github.com/citation-style-language/schema/raw/master/csl-citation.json"}</w:instrText>
      </w:r>
      <w:r w:rsidR="004128E3">
        <w:rPr>
          <w:rFonts w:ascii="Times New Roman" w:eastAsia="Times New Roman" w:hAnsi="Times New Roman"/>
          <w:lang w:val="fr-CA" w:eastAsia="ar-SA"/>
        </w:rPr>
        <w:fldChar w:fldCharType="separate"/>
      </w:r>
      <w:r w:rsidR="004128E3" w:rsidRPr="004128E3">
        <w:rPr>
          <w:rFonts w:ascii="Times New Roman" w:eastAsia="Times New Roman" w:hAnsi="Times New Roman"/>
          <w:noProof/>
          <w:lang w:val="fr-CA" w:eastAsia="ar-SA"/>
        </w:rPr>
        <w:t>(Taliansky et al., 2021)</w:t>
      </w:r>
      <w:r w:rsidR="004128E3">
        <w:rPr>
          <w:rFonts w:ascii="Times New Roman" w:eastAsia="Times New Roman" w:hAnsi="Times New Roman"/>
          <w:lang w:val="fr-CA" w:eastAsia="ar-SA"/>
        </w:rPr>
        <w:fldChar w:fldCharType="end"/>
      </w:r>
      <w:r w:rsidR="00E55636" w:rsidRPr="003531BC">
        <w:rPr>
          <w:rFonts w:ascii="Times New Roman" w:eastAsia="Times New Roman" w:hAnsi="Times New Roman"/>
          <w:lang w:val="fr-CA" w:eastAsia="ar-SA"/>
        </w:rPr>
        <w:t xml:space="preserve"> and fungi </w:t>
      </w:r>
      <w:r w:rsidR="00E5068B">
        <w:rPr>
          <w:rFonts w:ascii="Times New Roman" w:eastAsia="Times New Roman" w:hAnsi="Times New Roman"/>
          <w:lang w:eastAsia="ar-SA"/>
        </w:rPr>
        <w:fldChar w:fldCharType="begin" w:fldLock="1"/>
      </w:r>
      <w:r w:rsidR="004128E3">
        <w:rPr>
          <w:rFonts w:ascii="Times New Roman" w:eastAsia="Times New Roman" w:hAnsi="Times New Roman"/>
          <w:lang w:val="fr-CA" w:eastAsia="ar-SA"/>
        </w:rPr>
        <w:instrText xml:space="preserve">ADDIN CSL_CITATION {"citationItems":[{"id":"ITEM-1","itemData":{"DOI":"10.1002/ps.4748","ISSN":"15264998","abstract":"Fusarium graminearum is a major fungal pathogen of cereals worldwide, causing seedling, stem base and floral diseases, including Fusarium head blight (FHB). In addition to yield and quality losses, FHB contaminates cereal grain with mycotoxins, including deoxynivalenol, which are harmful to human, animal and ecosystem health. Currently, FHB control is only partially effective due to several intractable problems. RNA interference (RNAi) is a natural mechanism that regulates gene expression. RNAi has been exploited in the development of new genomic tools that allow the targeted silencing of genes of interest in many eukaryotes. Host-induced gene silencing (HIGS) is a transgenic technology used to silence fungal genes in planta during attempted infection and thereby reduces disease levels. HIGS relies on the host plant's ability to produce mobile small interfering RNA molecules, generated from long double-stranded RNA, which are complementary to targeted fungal genes. These molecules are transferred from the plant to invading fungi via an uncharacterised mechanism, to cause gene silencing. Here, we describe recent advances in RNAi-mediated control of plant pathogenic fungi, highlighting the key advantages and disadvantages. We then discuss the developments and implications of combining HIGS with other methods of disease control. © 2017 The Authors. Pest Management Science published by John Wiley &amp; Sons Ltd on behalf of Society of Chemical Industry.","author":[{"dropping-particle":"","family":"Machado","given":"Ana Karla","non-dropping-particle":"","parse-names":false,"suffix":""},{"dropping-particle":"","family":"Brown","given":"Neil A.","non-dropping-particle":"","parse-names":false,"suffix":""},{"dropping-particle":"","family":"Urban","given":"Martin","non-dropping-particle":"","parse-names":false,"suffix":""},{"dropping-particle":"","family":"Kanyuka","given":"Kostya","non-dropping-particle":"","parse-names":false,"suffix":""},{"dropping-particle":"","family":"Hammond-Kosack","given":"Kim E.","non-dropping-particle":"","parse-names":false,"suffix":""}],"container-title":"Pest Management Science","id":"ITEM-1","issued":{"date-parts":[["2018"]]},"title":"RNAi as an emerging approach to control Fusarium head blight disease and mycotoxin contamination in cereals","type":"article"},"uris":["http://www.mendeley.com/documents/?uuid=dacf320a-081b-3cc6-8b73-c443559b3bbc","http://www.mendeley.com/documents/?uuid=58578599-df32-42c6-968f-04846fd80eab","http://www.mendeley.com/documents/?uuid=114415dd-8b1c-473f-9d43-e3ae2cb90603"]},{"id":"ITEM-2","itemData":{"DOI":"10.3389/fpls.2020.00051","ISSN":"1664-462X","abstract":"Sustainable agriculture relies on practices and technologies that combine effectiveness with a minimal environmental footprint. RNA interference (RNAi), a eukaryotic process in which transcript expression is reduced in a sequence-specific manner, can be co-opted for the control of plant pests and pathogens in a topical application system. Double stranded RNA, the key trigger molecule of RNAi, has been shown to provide protection without the need for integration of dsRNA-expressing constructs as transgenes. Consequently, development of RNA-based biopesticides is gaining momentum as a narrow-spectrum alternative to chemical-based control measures, with pests and pathogens targeted with accuracy and specificity. Limitations for a commercially viable product to overcome include stable delivery of the topically applied dsRNA and extension of the time period of protection. In addition to the research focus on delivery of dsRNA, development of regulatory frameworks, risk identification and establishing avoidance and mitigation strategies is key to widespread deployment of topical RNAi technologies. Once in place, these measures will provide the crop protection industry with the certainty necessary to expend resources on the development of innovative dsRNA based products. Readily evident risks to human health appear minimal, with multiple barriers to uptake and a long history of consumption of </w:instrText>
      </w:r>
      <w:r w:rsidR="004128E3" w:rsidRPr="003531BC">
        <w:rPr>
          <w:rFonts w:ascii="Times New Roman" w:eastAsia="Times New Roman" w:hAnsi="Times New Roman"/>
          <w:lang w:val="en-US" w:eastAsia="ar-SA"/>
        </w:rPr>
        <w:instrText>dsRNA from plant material. Unintended impacts to the environment are expected to be most apparent in species closely related to the target. Holistic design practices, which incorporate bioinformatics-based dsRNA selection along with experimental testing, represent important techniques for elimination of adverse impacts.","author":[{"dropping-particle":"","family":"Fletcher","given":"Stephen J","non-dropping-particle":"","parse-names":false,"suffix":""},{"dropping-particle":"","family":"Reeves","given":"Philip T","non-dropping-particle":"","parse-names":false,"suffix":""},{"dropping-particle":"","family":"Hoang","given":"Bao Tram","non-dropping-particle":"","parse-names":false,"suffix":""},{"dropping-particle":"","family":"Mitter","given":"Neena","non-dropping-particle":"","parse-names":false,"suffix":""}],"container-title":"Frontiers in Plant Science","id":"ITEM-2","issued":{"date-parts":[["2020","2"]]},"page":"51","publisher":"Frontiers Media SA","title":"A Perspective on RNAi-Based Biopesticides","type":"article-journal","volume":"11"},"uris":["http://www.mendeley.com/documents/?uuid=fffc4f16-a7cf-4f3a-9689-27b16467c353"]}],"mendeley":{"formattedCitation":"(Fletcher et al., 2020; Machado et al., 2018)","plainTextFormattedCitation":"(Fletcher et al., 2020; Machado et al., 2018)","previouslyFormattedCitation":"(Fletcher et al., 2020; Machado et al., 2018)"},"properties":{"noteIndex":0},"schema":"https://github.com/citation-style-language/schema/raw/master/csl-citation.json"}</w:instrText>
      </w:r>
      <w:r w:rsidR="00E5068B">
        <w:rPr>
          <w:rFonts w:ascii="Times New Roman" w:eastAsia="Times New Roman" w:hAnsi="Times New Roman"/>
          <w:lang w:eastAsia="ar-SA"/>
        </w:rPr>
        <w:fldChar w:fldCharType="separate"/>
      </w:r>
      <w:r w:rsidR="004128E3" w:rsidRPr="004128E3">
        <w:rPr>
          <w:rFonts w:ascii="Times New Roman" w:eastAsia="Times New Roman" w:hAnsi="Times New Roman"/>
          <w:noProof/>
          <w:lang w:eastAsia="ar-SA"/>
        </w:rPr>
        <w:t>(Fletcher et al., 2020; Machado et al., 2018)</w:t>
      </w:r>
      <w:r w:rsidR="00E5068B">
        <w:rPr>
          <w:rFonts w:ascii="Times New Roman" w:eastAsia="Times New Roman" w:hAnsi="Times New Roman"/>
          <w:lang w:eastAsia="ar-SA"/>
        </w:rPr>
        <w:fldChar w:fldCharType="end"/>
      </w:r>
      <w:r w:rsidR="00E55636" w:rsidRPr="1386BD8E">
        <w:rPr>
          <w:rFonts w:ascii="Times New Roman" w:eastAsia="Times New Roman" w:hAnsi="Times New Roman"/>
          <w:lang w:eastAsia="ar-SA"/>
        </w:rPr>
        <w:t xml:space="preserve">, as well as to improve nutritional content or avoid food waste </w:t>
      </w:r>
      <w:r w:rsidR="004128E3">
        <w:rPr>
          <w:rFonts w:ascii="Times New Roman" w:eastAsia="Times New Roman" w:hAnsi="Times New Roman"/>
          <w:lang w:eastAsia="ar-SA"/>
        </w:rPr>
        <w:fldChar w:fldCharType="begin" w:fldLock="1"/>
      </w:r>
      <w:r w:rsidR="004128E3">
        <w:rPr>
          <w:rFonts w:ascii="Times New Roman" w:eastAsia="Times New Roman" w:hAnsi="Times New Roman"/>
          <w:lang w:eastAsia="ar-SA"/>
        </w:rPr>
        <w:instrText>ADDIN CSL_CITATION {"citationItems":[{"id":"ITEM-1","itemData":{"DOI":"10.1007/s10340-020-01238-2","ISSN":"16124766","abstract":"RNA interference (RNAi) is being developed and exploited to improve plants by modifying endogenous gene expression as well as to target pest and pathogen genes both within plants (i.e. host-induced gene silencing) and/or as topical applications (e.g. spray-induced gene silencing). RNAi is a natural mechanism which can be exploited to make a major contribution towards integrated pest management and sustainable agricultural strategies needed worldwide to secure current and future food production. RNAi plants are being assessed and regulated using existing regulatory frameworks for GMO. However, there is an urgent need to develop appropriate science-based risk assessment procedures for topical RNAi applications within existing plant protection products legislation.","author":[{"dropping-particle":"","family":"Mezzetti","given":"Bruno","non-dropping-particle":"","parse-names":false,"suffix":""},{"dropping-particle":"","family":"Smagghe","given":"Guy","non-dropping-particle":"","parse-names":false,"suffix":""},{"dropping-particle":"","family":"Arpaia","given":"Salvatore","non-dropping-particle":"","parse-names":false,"suffix":""},{"dropping-particle":"","family":"Christiaens","given":"Olivier","non-dropping-particle":"","parse-names":false,"suffix":""},{"dropping-particle":"","family":"Dietz-Pfeilstetter","given":"Antje","non-dropping-particle":"","parse-names":false,"suffix":""},{"dropping-particle":"","family":"Jones","given":"Huw","non-dropping-particle":"","parse-names":false,"suffix":""},{"dropping-particle":"","family":"Kostov","given":"Kaloyan","non-dropping-particle":"","parse-names":false,"suffix":""},{"dropping-particle":"","family":"Sabbadini","given":"Silvia","non-dropping-particle":"","parse-names":false,"suffix":""},{"dropping-particle":"","family":"Opsahl-Sorteberg","given":"Hilde Gunn","non-dropping-particle":"","parse-names":false,"suffix":""},{"dropping-particle":"","family":"Ventura","given":"Vera","non-dropping-particle":"","parse-names":false,"suffix":""},{"dropping-particle":"","family":"Taning","given":"Clauvis Nji Tizi","non-dropping-particle":"","parse-names":false,"suffix":""},{"dropping-particle":"","family":"Sweet","given":"Jeremy","non-dropping-particle":"","parse-names":false,"suffix":""}],"container-title":"Journal of Pest Science","id":"ITEM-1","issue":"4","issued":{"date-parts":[["2020","9"]]},"page":"1125-1130","publisher":"Springer","title":"RNAi: What is its position in agriculture?","type":"article-journal","volume":"93"},"uris":["http://www.mendeley.com/documents/?uuid=00b2335d-e147-4c11-8ef2-72dcfb117bde"]}],"mendeley":{"formattedCitation":"(Mezzetti et al., 2020)","plainTextFormattedCitation":"(Mezzetti et al., 2020)","previouslyFormattedCitation":"(Mezzetti et al., 2020)"},"properties":{"noteIndex":0},"schema":"https://github.com/citation-style-language/schema/raw/master/csl-citation.json"}</w:instrText>
      </w:r>
      <w:r w:rsidR="004128E3">
        <w:rPr>
          <w:rFonts w:ascii="Times New Roman" w:eastAsia="Times New Roman" w:hAnsi="Times New Roman"/>
          <w:lang w:eastAsia="ar-SA"/>
        </w:rPr>
        <w:fldChar w:fldCharType="separate"/>
      </w:r>
      <w:r w:rsidR="004128E3" w:rsidRPr="004128E3">
        <w:rPr>
          <w:rFonts w:ascii="Times New Roman" w:eastAsia="Times New Roman" w:hAnsi="Times New Roman"/>
          <w:noProof/>
          <w:lang w:eastAsia="ar-SA"/>
        </w:rPr>
        <w:t>(Mezzetti et al., 2020)</w:t>
      </w:r>
      <w:r w:rsidR="004128E3">
        <w:rPr>
          <w:rFonts w:ascii="Times New Roman" w:eastAsia="Times New Roman" w:hAnsi="Times New Roman"/>
          <w:lang w:eastAsia="ar-SA"/>
        </w:rPr>
        <w:fldChar w:fldCharType="end"/>
      </w:r>
      <w:r w:rsidR="00E55636">
        <w:rPr>
          <w:rFonts w:ascii="Times New Roman" w:eastAsia="Times New Roman" w:hAnsi="Times New Roman"/>
          <w:lang w:eastAsia="ar-SA"/>
        </w:rPr>
        <w:t xml:space="preserve">. Due to the </w:t>
      </w:r>
      <w:r w:rsidR="00E55636" w:rsidRPr="00996CD8">
        <w:rPr>
          <w:rFonts w:ascii="Times New Roman" w:eastAsia="Times New Roman" w:hAnsi="Times New Roman"/>
          <w:lang w:eastAsia="ar-SA"/>
        </w:rPr>
        <w:t>sequence-specific mode of action</w:t>
      </w:r>
      <w:r w:rsidR="00E55636">
        <w:rPr>
          <w:rFonts w:ascii="Times New Roman" w:eastAsia="Times New Roman" w:hAnsi="Times New Roman"/>
          <w:lang w:eastAsia="ar-SA"/>
        </w:rPr>
        <w:t xml:space="preserve">, </w:t>
      </w:r>
      <w:r w:rsidR="00E55636" w:rsidRPr="00996CD8">
        <w:rPr>
          <w:rFonts w:ascii="Times New Roman" w:eastAsia="Times New Roman" w:hAnsi="Times New Roman"/>
          <w:lang w:eastAsia="ar-SA"/>
        </w:rPr>
        <w:t xml:space="preserve">molecules </w:t>
      </w:r>
      <w:r w:rsidR="00E55636">
        <w:rPr>
          <w:rFonts w:ascii="Times New Roman" w:eastAsia="SimSun" w:hAnsi="Times New Roman" w:cs="Calibri"/>
          <w:color w:val="000000" w:themeColor="text1"/>
          <w:lang w:eastAsia="hi-IN" w:bidi="hi-IN"/>
        </w:rPr>
        <w:t xml:space="preserve">can </w:t>
      </w:r>
      <w:r w:rsidR="00E55636" w:rsidRPr="00996CD8">
        <w:rPr>
          <w:rFonts w:ascii="Times New Roman" w:eastAsia="SimSun" w:hAnsi="Times New Roman" w:cs="Calibri"/>
          <w:color w:val="000000" w:themeColor="text1"/>
          <w:lang w:eastAsia="hi-IN" w:bidi="hi-IN"/>
        </w:rPr>
        <w:t xml:space="preserve">be designed to target the expression of </w:t>
      </w:r>
      <w:r w:rsidR="00E55636">
        <w:rPr>
          <w:rFonts w:ascii="Times New Roman" w:eastAsia="SimSun" w:hAnsi="Times New Roman" w:cs="Calibri"/>
          <w:color w:val="000000" w:themeColor="text1"/>
          <w:lang w:eastAsia="hi-IN" w:bidi="hi-IN"/>
        </w:rPr>
        <w:t xml:space="preserve">a </w:t>
      </w:r>
      <w:r w:rsidR="00E55636" w:rsidRPr="00996CD8">
        <w:rPr>
          <w:rFonts w:ascii="Times New Roman" w:eastAsia="SimSun" w:hAnsi="Times New Roman" w:cs="Calibri"/>
          <w:color w:val="000000" w:themeColor="text1"/>
          <w:lang w:eastAsia="hi-IN" w:bidi="hi-IN"/>
        </w:rPr>
        <w:t>single gene, gene famil</w:t>
      </w:r>
      <w:r w:rsidR="00E55636">
        <w:rPr>
          <w:rFonts w:ascii="Times New Roman" w:eastAsia="SimSun" w:hAnsi="Times New Roman" w:cs="Calibri"/>
          <w:color w:val="000000" w:themeColor="text1"/>
          <w:lang w:eastAsia="hi-IN" w:bidi="hi-IN"/>
        </w:rPr>
        <w:t>y</w:t>
      </w:r>
      <w:r w:rsidR="00E55636" w:rsidRPr="00996CD8">
        <w:rPr>
          <w:rFonts w:ascii="Times New Roman" w:eastAsia="SimSun" w:hAnsi="Times New Roman" w:cs="Calibri"/>
          <w:color w:val="000000" w:themeColor="text1"/>
          <w:lang w:eastAsia="hi-IN" w:bidi="hi-IN"/>
        </w:rPr>
        <w:t xml:space="preserve"> or multiple genes in parallel. </w:t>
      </w:r>
      <w:r w:rsidR="00E55636">
        <w:rPr>
          <w:rFonts w:ascii="Times New Roman" w:eastAsia="SimSun" w:hAnsi="Times New Roman" w:cs="Calibri"/>
          <w:color w:val="000000" w:themeColor="text1"/>
          <w:lang w:eastAsia="hi-IN" w:bidi="hi-IN"/>
        </w:rPr>
        <w:t xml:space="preserve">Additionally, molecules could theoretically be designed to be species-specific or have a broader action spectrum, as well as selected to provide </w:t>
      </w:r>
      <w:r w:rsidR="00E55636" w:rsidRPr="1386BD8E">
        <w:rPr>
          <w:rFonts w:ascii="Times New Roman" w:eastAsia="SimSun" w:hAnsi="Times New Roman" w:cs="Calibri"/>
          <w:color w:val="000000" w:themeColor="text1"/>
          <w:lang w:eastAsia="hi-IN" w:bidi="hi-IN"/>
        </w:rPr>
        <w:t>various outcomes ranging from sublethal to lethal effects</w:t>
      </w:r>
      <w:r w:rsidR="00DB5347">
        <w:rPr>
          <w:rFonts w:ascii="Times New Roman" w:eastAsia="SimSun" w:hAnsi="Times New Roman" w:cs="Calibri"/>
          <w:color w:val="000000" w:themeColor="text1"/>
          <w:lang w:eastAsia="hi-IN" w:bidi="hi-IN"/>
        </w:rPr>
        <w:t>, all</w:t>
      </w:r>
      <w:r w:rsidR="00E55636">
        <w:rPr>
          <w:rFonts w:ascii="Times New Roman" w:eastAsia="SimSun" w:hAnsi="Times New Roman" w:cs="Calibri"/>
          <w:color w:val="000000" w:themeColor="text1"/>
          <w:lang w:eastAsia="hi-IN" w:bidi="hi-IN"/>
        </w:rPr>
        <w:t xml:space="preserve"> depending on the sequence chosen</w:t>
      </w:r>
      <w:r w:rsidR="0093296D">
        <w:rPr>
          <w:rFonts w:ascii="Times New Roman" w:eastAsia="SimSun" w:hAnsi="Times New Roman" w:cs="Calibri"/>
          <w:color w:val="000000" w:themeColor="text1"/>
          <w:lang w:eastAsia="hi-IN" w:bidi="hi-IN"/>
        </w:rPr>
        <w:t xml:space="preserve"> </w:t>
      </w:r>
      <w:r w:rsidR="004128E3">
        <w:rPr>
          <w:rFonts w:ascii="Times New Roman" w:eastAsia="SimSun" w:hAnsi="Times New Roman" w:cs="Calibri"/>
          <w:color w:val="000000" w:themeColor="text1"/>
          <w:lang w:eastAsia="hi-IN" w:bidi="hi-IN"/>
        </w:rPr>
        <w:fldChar w:fldCharType="begin" w:fldLock="1"/>
      </w:r>
      <w:r w:rsidR="00CA6DED">
        <w:rPr>
          <w:rFonts w:ascii="Times New Roman" w:eastAsia="SimSun" w:hAnsi="Times New Roman" w:cs="Calibri"/>
          <w:color w:val="000000" w:themeColor="text1"/>
          <w:lang w:eastAsia="hi-IN" w:bidi="hi-IN"/>
        </w:rPr>
        <w:instrText>ADDIN CSL_CITATION {"citationItems":[{"id":"ITEM-1","itemData":{"DOI":"10.1007/s10340-020-01273-z","ISSN":"16124766","abstract":"Double-stranded RNA (dsRNA) designed to target genes in a sequence-specific manner can be valuable in pest control. However, in scenarios where a nontarget could be susceptible and is predicted to be exposed to insecticidal dsRNA in the environment, it is useful to understand possible gene silencing effects in the nontarget. In this study, a sequence complementarity-based approach was used to evaluate potential gene silencing effects in the bumblebee, Bombus terrestris, following oral exposure to a fusion dsRNA product (Ba-dsCOP-vg) specifically designed to target both alpha-coatomer (alphaCOP) and vitellogenin (vg) in the pest pollen beetle, Brassicogethes aeneus. The susceptibility of bumblebees to ingested dsRNA was first evaluated by feeding them with bumblebee-specific dsRNA (Bt-dsCOP-vg) (1 µg/µl) targeting its alphaCOP and vg. A respective 50% and 47% reduction in the transcripts of alphaCOP and vg at 96 h post exposure confirmed its susceptibility to the ingested dsRNA. Using computational tools, a pool of all possible continuous 22-nucleotide stretches from Ba-dsCOP-vg was generated and mapped to all potential off-target genes in the B. terrestris genome, with at least a 13-nt match within the 22-nt stretch. A set of criteria based on sequence complementarity was then used to select 24 potential off-targets for transcript analysis in bumblebees. Following ingestion of Ba-dsCOP-vg (1 µg/µl), no reduction was found in the transcript level for all off-targets, including an off-target with 20-continuous-nt matches. Our findings provide guidance to future risk analysis of dsRNA products and for risk assessments frameworks that incorporate sequence complementarity-based analysis for off-target predictions.","author":[{"dropping-particle":"","family":"Taning","given":"Clauvis Nji Tizi","non-dropping-particle":"","parse-names":false,"suffix":""},{"dropping-particle":"","family":"Gui","given":"Shunhua","non-dropping-particle":"","parse-names":false,"suffix":""},{"dropping-particle":"","family":"Schutter","given":"Kristof","non-dropping-particle":"De","parse-names":false,"suffix":""},{"dropping-particle":"","family":"Jahani","given":"Mona","non-dropping-particle":"","parse-names":false,"suffix":""},{"dropping-particle":"","family":"Castellanos","given":"Nathaly Lara","non-dropping-particle":"","parse-names":false,"suffix":""},{"dropping-particle":"","family":"Christiaens","given":"Olivier","non-dropping-particle":"","parse-names":false,"suffix":""},{"dropping-particle":"","family":"Smagghe","given":"Guy","non-dropping-particle":"","parse-names":false,"suffix":""}],"container-title":"Journal of Pest Science","id":"ITEM-1","issued":{"date-parts":[["2020","8"]]},"page":"1-17","publisher":"Springer","title":"A sequence complementarity-based approach for evaluating off-target transcript knockdown in Bombus terrestris, following ingestion of pest-specific dsRNA","type":"article-journal"},"uris":["http://www.mendeley.com/documents/?uuid=e03a3554-ea95-4e53-85b6-dea73b7393d4"]},{"id":"ITEM-2","itemData":{"DOI":"10.3389/fpls.2019.01319","ISSN":"1664462X","abstract":"Since the discovery of RNA interference (RNAi), scientists have made significant progress towards the development of this unique technology for crop protection. The RNAi mechanism works at the mRNA level by exploiting a sequence-dependent mode of action with high target specificity due to the design of complementary dsRNA molecules, allowing growers to target pests more precisely compared to conventional agrochemicals. The delivery of RNAi through transgenic plants is now a reality with some products currently in the market. Conversely, it is also expected that more RNA-based products reach the market as non-transformative alternatives. For instance, topically applied dsRNA/siRNA (SIGS – Spray Induced Gene Silencing) has attracted attention due to its feasibility and low cost compared to transgenic plants. Once on the leaf surface, dsRNAs can move directly to target pest cells (e.g., insects or pathogens) or can be taken up indirectly by plant cells to then be transferred into the pest cells. Water-soluble formulations containing pesticidal dsRNA provide alternatives, especially in some cases where plant transformation is not possible or takes years and cost millions to be developed (e.g., perennial crops). The ever-growing understanding of the RNAi mechanism and its limitations has allowed scientists to develop non-transgenic approaches such as trunk injection, soaking, and irrigation. While the technology has been considered promising for pest management, some issues such as RNAi efficiency, dsRNA degradation, environmental risk assessments, and resistance evolution still need to be addressed. Here, our main goal is to review some possible strategies for non-transgenic delivery systems, addressing important issues related to the use of this technology.","author":[{"dropping-particle":"","family":"Cagliari","given":"Deise","non-dropping-particle":"","parse-names":false,"suffix":""},{"dropping-particle":"","family":"Dias","given":"Naymã P","non-dropping-particle":"","parse-names":false,"suffix":""},{"dropping-particle":"","family":"Galdeano","given":"Diogo Manzano","non-dropping-particle":"","parse-names":false,"suffix":""},{"dropping-particle":"","family":"Santos","given":"Ericmar Ávila","non-dropping-particle":"dos","parse-names":false,"suffix":""},{"dropping-particle":"","family":"Smagghe","given":"Guy","non-dropping-particle":"","parse-names":false,"suffix":""},{"dropping-particle":"","family":"Zotti","given":"Moisés João","non-dropping-particle":"","parse-names":false,"suffix":""}],"container-title":"Frontiers in Plant Science","id":"ITEM-2","issued":{"date-parts":[["2019","10"]]},"publisher":"Frontiers Media S.A.","title":"Management of Pest Insects and Plant Diseases by Non-Transformative RNAi","type":"article","volume":"10"},"uris":["http://www.mendeley.com/documents/?uuid=fd8d10a3-6903-454e-b80d-832ead559d99"]}],"mendeley":{"formattedCitation":"(Cagliari et al., 2019a; Taning et al., 2020)","plainTextFormattedCitation":"(Cagliari et al., 2019a; Taning et al., 2020)","previouslyFormattedCitation":"(Cagliari et al., 2019a; Taning et al., 2020)"},"properties":{"noteIndex":0},"schema":"https://github.com/citation-style-language/schema/raw/master/csl-citation.json"}</w:instrText>
      </w:r>
      <w:r w:rsidR="004128E3">
        <w:rPr>
          <w:rFonts w:ascii="Times New Roman" w:eastAsia="SimSun" w:hAnsi="Times New Roman" w:cs="Calibri"/>
          <w:color w:val="000000" w:themeColor="text1"/>
          <w:lang w:eastAsia="hi-IN" w:bidi="hi-IN"/>
        </w:rPr>
        <w:fldChar w:fldCharType="separate"/>
      </w:r>
      <w:r w:rsidR="00937C2C" w:rsidRPr="00937C2C">
        <w:rPr>
          <w:rFonts w:ascii="Times New Roman" w:eastAsia="SimSun" w:hAnsi="Times New Roman" w:cs="Calibri"/>
          <w:noProof/>
          <w:color w:val="000000" w:themeColor="text1"/>
          <w:lang w:eastAsia="hi-IN" w:bidi="hi-IN"/>
        </w:rPr>
        <w:t>(Cagliari et al., 2019; Taning et al., 2020)</w:t>
      </w:r>
      <w:r w:rsidR="004128E3">
        <w:rPr>
          <w:rFonts w:ascii="Times New Roman" w:eastAsia="SimSun" w:hAnsi="Times New Roman" w:cs="Calibri"/>
          <w:color w:val="000000" w:themeColor="text1"/>
          <w:lang w:eastAsia="hi-IN" w:bidi="hi-IN"/>
        </w:rPr>
        <w:fldChar w:fldCharType="end"/>
      </w:r>
      <w:r w:rsidR="00825394" w:rsidRPr="0063608E">
        <w:rPr>
          <w:rFonts w:asciiTheme="majorBidi" w:eastAsia="SimSun" w:hAnsiTheme="majorBidi" w:cstheme="majorBidi"/>
          <w:color w:val="000000" w:themeColor="text1"/>
          <w:lang w:eastAsia="hi-IN" w:bidi="hi-IN"/>
        </w:rPr>
        <w:t xml:space="preserve">. </w:t>
      </w:r>
      <w:r w:rsidR="00E55636">
        <w:rPr>
          <w:rFonts w:ascii="Times New Roman" w:eastAsia="SimSun" w:hAnsi="Times New Roman" w:cs="Calibri"/>
          <w:color w:val="000000" w:themeColor="text1"/>
          <w:lang w:eastAsia="hi-IN" w:bidi="hi-IN"/>
        </w:rPr>
        <w:t xml:space="preserve">The increasingly available </w:t>
      </w:r>
      <w:r w:rsidR="00E55636">
        <w:rPr>
          <w:rFonts w:ascii="Times New Roman" w:eastAsia="SimSun" w:hAnsi="Times New Roman" w:cs="Calibri"/>
          <w:i/>
          <w:color w:val="000000" w:themeColor="text1"/>
          <w:lang w:eastAsia="hi-IN" w:bidi="hi-IN"/>
        </w:rPr>
        <w:t xml:space="preserve">in silico </w:t>
      </w:r>
      <w:r w:rsidR="00E55636">
        <w:rPr>
          <w:rFonts w:ascii="Times New Roman" w:eastAsia="SimSun" w:hAnsi="Times New Roman" w:cs="Calibri"/>
          <w:color w:val="000000" w:themeColor="text1"/>
          <w:lang w:eastAsia="hi-IN" w:bidi="hi-IN"/>
        </w:rPr>
        <w:t xml:space="preserve">tools and genomic sequence datasets have facilitated the design of more specific and efficient dsRNA molecules with potentially fewer or </w:t>
      </w:r>
      <w:r w:rsidR="00E55636" w:rsidRPr="00C5387F">
        <w:rPr>
          <w:rFonts w:ascii="Times New Roman" w:eastAsia="SimSun" w:hAnsi="Times New Roman" w:cs="Calibri"/>
          <w:color w:val="000000" w:themeColor="text1"/>
          <w:lang w:eastAsia="hi-IN" w:bidi="hi-IN"/>
        </w:rPr>
        <w:t>negligible off-target effects in non-target species</w:t>
      </w:r>
      <w:r w:rsidR="00E55636">
        <w:rPr>
          <w:rFonts w:ascii="Times New Roman" w:eastAsia="SimSun" w:hAnsi="Times New Roman" w:cs="Calibri"/>
          <w:color w:val="000000" w:themeColor="text1"/>
          <w:lang w:eastAsia="hi-IN" w:bidi="hi-IN"/>
        </w:rPr>
        <w:t xml:space="preserve"> or within host organisms (if applied as an RNA expression construct)</w:t>
      </w:r>
      <w:r w:rsidR="00FB1BE3">
        <w:rPr>
          <w:rFonts w:ascii="Times New Roman" w:eastAsia="SimSun" w:hAnsi="Times New Roman" w:cs="Calibri"/>
          <w:color w:val="000000" w:themeColor="text1"/>
          <w:lang w:eastAsia="hi-IN" w:bidi="hi-IN"/>
        </w:rPr>
        <w:t xml:space="preserve"> </w:t>
      </w:r>
      <w:r w:rsidR="00FB1BE3" w:rsidRPr="0063608E">
        <w:rPr>
          <w:rFonts w:asciiTheme="majorBidi" w:eastAsia="SimSun" w:hAnsiTheme="majorBidi" w:cstheme="majorBidi"/>
          <w:color w:val="000000" w:themeColor="text1"/>
          <w:lang w:eastAsia="hi-IN" w:bidi="hi-IN"/>
        </w:rPr>
        <w:fldChar w:fldCharType="begin" w:fldLock="1"/>
      </w:r>
      <w:r w:rsidR="005A597E">
        <w:rPr>
          <w:rFonts w:asciiTheme="majorBidi" w:eastAsia="SimSun" w:hAnsiTheme="majorBidi" w:cstheme="majorBidi"/>
          <w:color w:val="000000" w:themeColor="text1"/>
          <w:lang w:eastAsia="hi-IN" w:bidi="hi-IN"/>
        </w:rPr>
        <w:instrText>ADDIN CSL_CITATION {"citationItems":[{"id":"ITEM-1","itemData":{"DOI":"10.1016/j.yrtph.2016.08.001","ISSN":"10960295","PMID":"27494948","abstract":"MON 87411 maize, which expresses DvSnf7 RNA, was developed to provide an additional mode of action to confer protection against corn rootworm (Diabrotica spp.). A critical step in the registration of a genetically engineered crop with an insecticidal trait is performing an ecological risk assessment to evaluate the potential for adverse ecological effects. For MON 87411, an assessment plan was developed that met specific protection goals by characterizing the routes and levels of exposure, and testing representative functional taxa that would be directly or indirectly exposed in the environment. The potential for toxicity of DvSnf7 RNA was evaluated with a harmonized battery of non-target organisms (NTOs) that included invertebrate predators, parasitoids, pollinators, soil biota as well as aquatic and terrestrial vertebrate species. Laboratory tests evaluated ecologically relevant endpoints such as survival, growth, development, and reproduction and were of sufficient duration to assess the potential for adverse effects. No adverse effects were observed with any species tested at, or above, the maximum expected environmental concentration (MEEC). All margins of exposure for NTOs were &gt;10-fold the MEEC. Therefore, it is reasonable to conclude that exposure to DvSnf7 RNA, both directly and indirectly, is safe for NTOs at the expected field exposure levels.","author":[{"dropping-particle":"","family":"Bachman","given":"Pamela M.","non-dropping-particle":"","parse-names":false,"suffix":""},{"droppi</w:instrText>
      </w:r>
      <w:r w:rsidR="005A597E" w:rsidRPr="008F6B23">
        <w:rPr>
          <w:rFonts w:asciiTheme="majorBidi" w:eastAsia="SimSun" w:hAnsiTheme="majorBidi" w:cstheme="majorBidi"/>
          <w:color w:val="000000" w:themeColor="text1"/>
          <w:lang w:val="fr-FR" w:eastAsia="hi-IN" w:bidi="hi-IN"/>
        </w:rPr>
        <w:instrText>ng-particle":"","family":"Huizinga","given":"Kristin M.","non-dropping-particle":"","parse-names":false,"suffix":""},{"dropping-particle":"","family":"Jensen","given":"Peter D.","non-dropping-particle":"","parse-names":false,"suffix":""},{"dropping-particle":"","family":"Mueller","given":"Geoffrey","non-dropping-particle":"","parse-names":false,"suffix":""},{"dropping-particle":"","family":"Tan","given":"Jianguo","non-dropping-particle":"","parse-names":false,"suffix":""},{"dropping-particle":"","family":"Uffman","given":"Joshua P.","non-dropping-particle":"","parse-names":false,"suffix":""},{"dropping-particle":"","family":"Levine","given":"Steven L.","non-dropping-particle":"","parse-names":false,"suffix":""}],"container-title":"Regulatory Toxicology and Pharmacology","id":"ITEM-1","issued":{"date-parts":[["2016","11"]]},"page":"77-88","publisher":"Academic Press Inc.","title":"Ecological risk assessment for DvSnf7 RNA: A plant-incorporated protectant with targeted activity against western corn rootworm","type":"article-journal","volume":"81"},"uris":["http://www.mendeley.com/documents/?uuid=fe08ddd8-6e4e-4b38-b32e-24946e83b155"]}],"mendeley":{"formattedCitation":"(P. M. Bachman et al., 2016)","manualFormatting":"(Bachman et al., 2016","plainTextFormattedCitation":"(P. M. Bachman et al., 2016)","previouslyFormattedCitation":"(P. M. Bachman et al., 2016)"},"properties":{"noteIndex":0},"schema":"https://github.com/citation-style-language/schema/raw/master/csl-citation.json"}</w:instrText>
      </w:r>
      <w:r w:rsidR="00FB1BE3" w:rsidRPr="0063608E">
        <w:rPr>
          <w:rFonts w:asciiTheme="majorBidi" w:eastAsia="SimSun" w:hAnsiTheme="majorBidi" w:cstheme="majorBidi"/>
          <w:color w:val="000000" w:themeColor="text1"/>
          <w:lang w:eastAsia="hi-IN" w:bidi="hi-IN"/>
        </w:rPr>
        <w:fldChar w:fldCharType="separate"/>
      </w:r>
      <w:r w:rsidR="006C228B" w:rsidRPr="006A52E3">
        <w:rPr>
          <w:rFonts w:asciiTheme="majorBidi" w:eastAsia="SimSun" w:hAnsiTheme="majorBidi" w:cstheme="majorBidi"/>
          <w:noProof/>
          <w:color w:val="000000" w:themeColor="text1"/>
          <w:lang w:val="da-DK" w:eastAsia="hi-IN" w:bidi="hi-IN"/>
        </w:rPr>
        <w:t>(Bachman et al., 2016</w:t>
      </w:r>
      <w:r w:rsidR="00FB1BE3" w:rsidRPr="0063608E">
        <w:rPr>
          <w:rFonts w:asciiTheme="majorBidi" w:eastAsia="SimSun" w:hAnsiTheme="majorBidi" w:cstheme="majorBidi"/>
          <w:color w:val="000000" w:themeColor="text1"/>
          <w:lang w:eastAsia="hi-IN" w:bidi="hi-IN"/>
        </w:rPr>
        <w:fldChar w:fldCharType="end"/>
      </w:r>
      <w:r w:rsidR="000B6C80" w:rsidRPr="006A52E3">
        <w:rPr>
          <w:rFonts w:asciiTheme="majorBidi" w:eastAsia="SimSun" w:hAnsiTheme="majorBidi" w:cstheme="majorBidi"/>
          <w:color w:val="000000" w:themeColor="text1"/>
          <w:lang w:val="da-DK" w:eastAsia="hi-IN" w:bidi="hi-IN"/>
        </w:rPr>
        <w:t>;</w:t>
      </w:r>
      <w:r w:rsidR="00FB1BE3" w:rsidRPr="0063608E">
        <w:rPr>
          <w:rFonts w:asciiTheme="majorBidi" w:eastAsia="SimSun" w:hAnsiTheme="majorBidi" w:cstheme="majorBidi"/>
          <w:color w:val="000000" w:themeColor="text1"/>
          <w:lang w:eastAsia="hi-IN" w:bidi="hi-IN"/>
        </w:rPr>
        <w:fldChar w:fldCharType="begin" w:fldLock="1"/>
      </w:r>
      <w:r w:rsidR="008F6A90">
        <w:rPr>
          <w:rFonts w:asciiTheme="majorBidi" w:eastAsia="SimSun" w:hAnsiTheme="majorBidi" w:cstheme="majorBidi"/>
          <w:color w:val="000000" w:themeColor="text1"/>
          <w:lang w:val="da-DK" w:eastAsia="hi-IN" w:bidi="hi-IN"/>
        </w:rPr>
        <w:instrText>ADDIN CSL_CITATION {"citationItems":[{"id":"ITEM-1","itemData":{"DOI":"10.1007/s10340-020-01273-z","ISSN":"16124766","abstract":"Double-stranded RNA (dsRNA) designed to target genes in a sequence-specific manner can be valuable in pest control. However, in scenarios where a nontarget could be susceptible and is predicted to be exposed to insecticidal dsRNA in the environment, it is useful to understand possible gene silencing effects in the nontarget. In this study, a sequence complementarity-based approach was used to evaluate potential gene silencing effects in the bumblebee, Bombus terrestris, following oral exposure to a fusion dsRNA product (Ba-dsCOP-vg) specifically designed to target both alpha-coatomer (alphaCOP) and vitellogenin (vg) in the pest pollen beetle, Brassicogethes aeneus. The susceptibility of bumblebees to ingested dsRNA was first evaluated by feeding them with bumblebee-specific dsRNA (Bt-dsCOP-vg) (1 µg/µl) targeting its alphaCOP and vg. A respective 50% and 47% reduction in the transcripts of alphaCOP and vg at 96 h post exposure confirmed its susceptibility to the ingested dsRNA. Using computational tools, a pool of all possible continuous 22-nucleotide stretches from Ba-dsCOP-vg was generated and mapped to all potential off-target genes in the B. terrestris genome, with at least a 13-nt match within the 22-nt stretch. A set of criteria based on sequence complementarity was then used to select 24 potential off-targets for transcript analysis in bumblebees. Following ingestion of Ba-dsCOP-vg (1 µg/µl), no reduction was found in the transcript level for all off-targets, including an off-target with 20-continuous-nt matches. Our findings provide guidance to future risk analysis of dsRNA products and for risk assessments frameworks that incorporate sequence complementarity-based analysis for off-target predictions.","author":[{"dropping-particle":"","family":"Taning","given":"Clauvis Nji Tizi","non-dropping-particle":"","parse-names":false,"suffix":""},{"dropping-particle":"","family":"Gui","given":"Shunhua","non-dropping-particle":"","parse-names":false,"suffix":""},{"dropping-particle":"","family":"Schutter","given":"Kristof","non-dropping-particle":"De","parse-names":false,"suffix":""},{"dropping-particle":"","family":"Jahani","given":"Mona","non-dropping-particle":"","parse-names":false,"suffix":""},{"dropping-particle":"","family":"Castellanos","given":"Nathaly Lara","non-dropping-particle":"","parse-names":false,"suffix":""},{"dropping-particle":"","family":"Christiaens","given":"Olivier","non-dropping-particle":"","parse-names":false,"suffix":""},{"dropping-particle":"","family":"Smagghe","given":"Guy","non-dropping-particle":"","parse-names":false,"suffix":""}],"container-title":"Journal of Pest Science","id":"ITEM-1","issued":{"date-parts":[["2020","8"]]},"page":"1-17","publisher":"Springer","title":"A sequence complementarity-based approach for evaluating off-target transcript knockdown in Bombus terrestris, following ingestion of pest-specific dsRNA","type":"article-journal"},"uris":["http://www.mendeley.com/documents/?uuid=e03a3554-ea95-4e53-85b6-dea73b7393d4"]}],"mendeley":{"formattedCitation":"(Taning et al., 2020)","manualFormatting":" Taning et al., 2020)","plainTextFormattedCitation":"(Taning et al., 2020)","previouslyFormattedCitation":"(Taning et al., 2020)"},"properties":{"noteIndex":0},"schema":"https://github.com/citation-style-language/schema/raw/master/csl-citation.json"}</w:instrText>
      </w:r>
      <w:r w:rsidR="00FB1BE3" w:rsidRPr="0063608E">
        <w:rPr>
          <w:rFonts w:asciiTheme="majorBidi" w:eastAsia="SimSun" w:hAnsiTheme="majorBidi" w:cstheme="majorBidi"/>
          <w:color w:val="000000" w:themeColor="text1"/>
          <w:lang w:eastAsia="hi-IN" w:bidi="hi-IN"/>
        </w:rPr>
        <w:fldChar w:fldCharType="separate"/>
      </w:r>
      <w:r w:rsidR="00514FD3" w:rsidRPr="006A52E3">
        <w:rPr>
          <w:rFonts w:asciiTheme="majorBidi" w:eastAsia="SimSun" w:hAnsiTheme="majorBidi" w:cstheme="majorBidi"/>
          <w:noProof/>
          <w:color w:val="000000" w:themeColor="text1"/>
          <w:lang w:val="da-DK" w:eastAsia="hi-IN" w:bidi="hi-IN"/>
        </w:rPr>
        <w:t xml:space="preserve"> </w:t>
      </w:r>
      <w:r w:rsidR="006C228B" w:rsidRPr="006A52E3">
        <w:rPr>
          <w:rFonts w:asciiTheme="majorBidi" w:eastAsia="SimSun" w:hAnsiTheme="majorBidi" w:cstheme="majorBidi"/>
          <w:noProof/>
          <w:color w:val="000000" w:themeColor="text1"/>
          <w:lang w:val="da-DK" w:eastAsia="hi-IN" w:bidi="hi-IN"/>
        </w:rPr>
        <w:t>Taning et al., 2020)</w:t>
      </w:r>
      <w:r w:rsidR="00FB1BE3" w:rsidRPr="0063608E">
        <w:rPr>
          <w:rFonts w:asciiTheme="majorBidi" w:eastAsia="SimSun" w:hAnsiTheme="majorBidi" w:cstheme="majorBidi"/>
          <w:color w:val="000000" w:themeColor="text1"/>
          <w:lang w:eastAsia="hi-IN" w:bidi="hi-IN"/>
        </w:rPr>
        <w:fldChar w:fldCharType="end"/>
      </w:r>
      <w:r w:rsidR="00E55636" w:rsidRPr="006A52E3">
        <w:rPr>
          <w:rFonts w:asciiTheme="majorBidi" w:eastAsia="SimSun" w:hAnsiTheme="majorBidi" w:cstheme="majorBidi"/>
          <w:color w:val="000000" w:themeColor="text1"/>
          <w:lang w:val="da-DK" w:eastAsia="hi-IN" w:bidi="hi-IN"/>
        </w:rPr>
        <w:t>.</w:t>
      </w:r>
    </w:p>
    <w:p w14:paraId="161646AA" w14:textId="62B63EB9" w:rsidR="00E55636" w:rsidRPr="006D338E" w:rsidRDefault="00E55636" w:rsidP="006E50DD">
      <w:pPr>
        <w:spacing w:before="120" w:after="120" w:line="240" w:lineRule="auto"/>
        <w:jc w:val="both"/>
        <w:rPr>
          <w:rFonts w:ascii="Times New Roman" w:eastAsia="Times New Roman" w:hAnsi="Times New Roman"/>
          <w:lang w:eastAsia="ar-SA"/>
        </w:rPr>
      </w:pPr>
      <w:r w:rsidRPr="006A52E3">
        <w:rPr>
          <w:rFonts w:ascii="Times New Roman" w:eastAsia="Times New Roman" w:hAnsi="Times New Roman"/>
          <w:lang w:val="da-DK" w:eastAsia="ar-SA"/>
        </w:rPr>
        <w:t xml:space="preserve">Further, engineered synthetic miRNAs </w:t>
      </w:r>
      <w:r w:rsidR="00D431A5" w:rsidRPr="006A52E3">
        <w:rPr>
          <w:rFonts w:ascii="Times New Roman" w:eastAsia="Times New Roman" w:hAnsi="Times New Roman"/>
          <w:lang w:val="da-DK" w:eastAsia="ar-SA"/>
        </w:rPr>
        <w:t>can be deployed</w:t>
      </w:r>
      <w:r w:rsidR="00844697" w:rsidRPr="006A52E3">
        <w:rPr>
          <w:rFonts w:ascii="Times New Roman" w:eastAsia="Times New Roman" w:hAnsi="Times New Roman"/>
          <w:lang w:val="da-DK" w:eastAsia="ar-SA"/>
        </w:rPr>
        <w:t xml:space="preserve"> to act as regulators</w:t>
      </w:r>
      <w:r w:rsidR="00D431A5" w:rsidRPr="006A52E3">
        <w:rPr>
          <w:rFonts w:ascii="Times New Roman" w:eastAsia="Times New Roman" w:hAnsi="Times New Roman"/>
          <w:lang w:val="da-DK" w:eastAsia="ar-SA"/>
        </w:rPr>
        <w:t xml:space="preserve"> in gene circuits</w:t>
      </w:r>
      <w:r w:rsidR="001578D7" w:rsidRPr="006A52E3">
        <w:rPr>
          <w:rFonts w:ascii="Times New Roman" w:eastAsia="Times New Roman" w:hAnsi="Times New Roman"/>
          <w:lang w:val="da-DK" w:eastAsia="ar-SA"/>
        </w:rPr>
        <w:t xml:space="preserve"> </w:t>
      </w:r>
      <w:r w:rsidR="00DD4F6A">
        <w:rPr>
          <w:rFonts w:ascii="Times New Roman" w:eastAsia="Times New Roman" w:hAnsi="Times New Roman"/>
          <w:lang w:val="da-DK" w:eastAsia="ar-SA"/>
        </w:rPr>
        <w:t>when</w:t>
      </w:r>
      <w:r w:rsidR="007E03C2">
        <w:rPr>
          <w:rFonts w:ascii="Times New Roman" w:eastAsia="Times New Roman" w:hAnsi="Times New Roman"/>
          <w:lang w:val="da-DK" w:eastAsia="ar-SA"/>
        </w:rPr>
        <w:t xml:space="preserve"> </w:t>
      </w:r>
      <w:r w:rsidRPr="006A52E3">
        <w:rPr>
          <w:rFonts w:ascii="Times New Roman" w:eastAsia="Times New Roman" w:hAnsi="Times New Roman"/>
          <w:lang w:val="da-DK" w:eastAsia="ar-SA"/>
        </w:rPr>
        <w:t>artificially incorporated into logic gates as internal components to sense metabolite accumulation</w:t>
      </w:r>
      <w:r w:rsidR="00EE4D45" w:rsidRPr="006A52E3">
        <w:rPr>
          <w:rFonts w:ascii="Times New Roman" w:eastAsia="Times New Roman" w:hAnsi="Times New Roman"/>
          <w:lang w:val="da-DK" w:eastAsia="ar-SA"/>
        </w:rPr>
        <w:t>,</w:t>
      </w:r>
      <w:r w:rsidRPr="006A52E3">
        <w:rPr>
          <w:rFonts w:ascii="Times New Roman" w:eastAsia="Times New Roman" w:hAnsi="Times New Roman"/>
          <w:lang w:val="da-DK" w:eastAsia="ar-SA"/>
        </w:rPr>
        <w:t xml:space="preserve"> and control flux and product yield</w:t>
      </w:r>
      <w:r w:rsidR="00A8615B" w:rsidRPr="006A52E3">
        <w:rPr>
          <w:rFonts w:ascii="Times New Roman" w:eastAsia="Times New Roman" w:hAnsi="Times New Roman"/>
          <w:lang w:val="da-DK" w:eastAsia="ar-SA"/>
        </w:rPr>
        <w:t xml:space="preserve"> </w:t>
      </w:r>
      <w:r w:rsidR="00A8615B">
        <w:rPr>
          <w:rFonts w:ascii="Times New Roman" w:eastAsia="Times New Roman" w:hAnsi="Times New Roman"/>
          <w:lang w:eastAsia="ar-SA"/>
        </w:rPr>
        <w:fldChar w:fldCharType="begin" w:fldLock="1"/>
      </w:r>
      <w:r w:rsidR="008F6A90">
        <w:rPr>
          <w:rFonts w:ascii="Times New Roman" w:eastAsia="Times New Roman" w:hAnsi="Times New Roman"/>
          <w:lang w:val="da-DK" w:eastAsia="ar-SA"/>
        </w:rPr>
        <w:instrText>ADDIN CSL_CITATION {"citationItems":[{"id":"ITEM-1","itemData":{"DOI":"10.1038/s41540-017-0043-y","ISSN":"20567189","abstract":"MicroRNAs are a class of short, noncoding RNAs that are ubiquitous modulators of gene expression, with roles in development, homeostasis, and disease. Engineered microRNAs are now frequently used as regulatory modules in synthetic biology. Moreover, synthetic gene circuits equipped with engineered microRNA targets with perfect complementarity to endogenous microRNAs establish an interface with the endogenous milieu at the single-cell level. The function of engineered microRNAs and sensor systems is typically optimized through extensive trial-and-error. Here, using a combination of synthetic biology experimentation in human embryonic kidney cells and quantitative analysis, we investigate the relationship between input genetic template abundance, microRNA concentration, and output under microRNA control. We provide a framework that employs the complete operational landscape of a synthetic gene circuit and enables the stepwise development of mathematical models. We derive a phenomenological model that recapitulates experimentally observed nonlinearities and contains features that provide insight into the microRNA function at various abundances. Our work facilitates the characterization and engineering of multi-component genetic circuits and specifically points to new insights on the operation of microRNAs as mediators of endogenous information and regulators of gene expression in synthetic biology.","author":[{"dropping-particle":"","family":"Quarton","given":"Tyler","non-dropping-particle":"","parse-names":false,"suffix":""},{"dropping-particle":"","family":"Ehrhardt","given":"Kristina","non-dropping-particle":"","parse-names":false,"suffix":""},{"dropping-particle":"","family":"Lee","given":"James","non-dropping-particle":"","parse-names":false,"suffix":""},{"dropping-particle":"","family":"Kannan","given":"Srijaa","non-dropping-particle":"","parse-names":false,"suffix":""},{"dropping-particle":"","family":"Li","given":"Yi","non-dropping-particle":"","parse-names":false,"suffix":""},{"dropping-particle":"","family":"Ma","given":"Lan","non-dropping-particle":"","parse-names":false,"suffix":""},{"dropping-particle":"","family":"Bleris","given":"Leonidas","non-dropping-particle":"","parse-names":false,"suffix":""}],"container-title":"npj Systems Biology and Applications","id":"ITEM-1","issue":"1","issued":{"date-parts":[["2018","12"]]},"publisher":"Nature Publishing Group","title":"Mapping the operational landscape of microRNAs in synthetic gene circuits","type":"article-journal","volume":"4"},"uris":["http://www.mendeley.com/documents/?uuid=af2227f6-9df4-42d3-92f0-869d7e3cc3ca"]}],"mendeley":{"formattedCitation":"(Quarton et al., 2018)","plainTextFormattedCitation":"(Quarton et al., 2018)","previouslyFormattedCitation":"(Quarton et al., 2018)"},"properties":{"noteIndex":0},"schema":"https://github.com/citation-style-language/schema/raw/master/csl-citation.json"}</w:instrText>
      </w:r>
      <w:r w:rsidR="00A8615B">
        <w:rPr>
          <w:rFonts w:ascii="Times New Roman" w:eastAsia="Times New Roman" w:hAnsi="Times New Roman"/>
          <w:lang w:eastAsia="ar-SA"/>
        </w:rPr>
        <w:fldChar w:fldCharType="separate"/>
      </w:r>
      <w:r w:rsidR="00A8615B" w:rsidRPr="00253C92">
        <w:rPr>
          <w:rFonts w:ascii="Times New Roman" w:eastAsia="Times New Roman" w:hAnsi="Times New Roman"/>
          <w:noProof/>
          <w:lang w:eastAsia="ar-SA"/>
        </w:rPr>
        <w:t>(Quarton et al., 2018)</w:t>
      </w:r>
      <w:r w:rsidR="00A8615B">
        <w:rPr>
          <w:rFonts w:ascii="Times New Roman" w:eastAsia="Times New Roman" w:hAnsi="Times New Roman"/>
          <w:lang w:eastAsia="ar-SA"/>
        </w:rPr>
        <w:fldChar w:fldCharType="end"/>
      </w:r>
      <w:r>
        <w:rPr>
          <w:rFonts w:ascii="Times New Roman" w:eastAsia="Times New Roman" w:hAnsi="Times New Roman"/>
          <w:lang w:eastAsia="ar-SA"/>
        </w:rPr>
        <w:t>. E</w:t>
      </w:r>
      <w:r w:rsidRPr="6A681CA6">
        <w:rPr>
          <w:rFonts w:ascii="Times New Roman" w:eastAsia="Times New Roman" w:hAnsi="Times New Roman"/>
          <w:lang w:eastAsia="ar-SA"/>
        </w:rPr>
        <w:t>ndogenous miRNAs can</w:t>
      </w:r>
      <w:r>
        <w:rPr>
          <w:rFonts w:ascii="Times New Roman" w:eastAsia="Times New Roman" w:hAnsi="Times New Roman"/>
          <w:lang w:eastAsia="ar-SA"/>
        </w:rPr>
        <w:t xml:space="preserve"> also</w:t>
      </w:r>
      <w:r w:rsidRPr="6A681CA6">
        <w:rPr>
          <w:rFonts w:ascii="Times New Roman" w:eastAsia="Times New Roman" w:hAnsi="Times New Roman"/>
          <w:lang w:eastAsia="ar-SA"/>
        </w:rPr>
        <w:t xml:space="preserve"> be utili</w:t>
      </w:r>
      <w:r>
        <w:rPr>
          <w:rFonts w:ascii="Times New Roman" w:eastAsia="Times New Roman" w:hAnsi="Times New Roman"/>
          <w:lang w:eastAsia="ar-SA"/>
        </w:rPr>
        <w:t>s</w:t>
      </w:r>
      <w:r w:rsidRPr="6A681CA6">
        <w:rPr>
          <w:rFonts w:ascii="Times New Roman" w:eastAsia="Times New Roman" w:hAnsi="Times New Roman"/>
          <w:lang w:eastAsia="ar-SA"/>
        </w:rPr>
        <w:t xml:space="preserve">ed to sense specific cellular contexts as the input of circuits because of their highly biased cell type-specific expression patterns </w:t>
      </w:r>
      <w:r w:rsidR="000B0251">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{"citationItems":[{"id":"ITEM-1","itemData":{"DOI":"10.3390/ijms21010132","ISSN":"14220067","PMID":"31878193","abstract":"MicroRNAs (miRNAs) are approximately 22-nucleotide-long, small non-coding RNAs that post-transcriptionally regulate gene expression. The biogenesis of miRNAs involves multiple steps, including the transcription of primary miRNAs (pri-miRNAs), nuclear Drosha-mediated processing, cytoplasmic Dicer-mediated processing, and loading onto Argonaute (Ago) proteins. Further, miRNAs control diverse biological and pathological processes via the silencing of target mRNAs. This review summarizes recent findings regarding the quantitative aspects of miRNA homeostasis, including Drosha-mediated pri-miRNA processing, Ago-mediated asymmetric miRNA strand selection, and modifications of miRNA pathway components, as well as the roles of RNA modifications (epitranscriptomics), epigenetics, transcription factor circuits, and super-enhancers in miRNA regulation. These recent advances have facilitated a system-level understanding of miRNA networks, as well as the improvement of RNAi performance for both gene-specific targeting and genome-wide screening. The comprehensive understanding and modeling of miRNA biogenesis and function have been applied to the design of synthetic gene circuits. In addition, the relationships between miRNA genes and super-enhancers provide the molecular basis for the highly biased cell type-specific expression patterns of miRNAs and the evolution of miRNA–target connections, while highlighting the importance of alterations of super-enhancer-associated miRNAs in a variety of human diseases.","author":[{"dropping-particle":"","family":"Matsuyama","given":"Hironori","non-dropping-particle":"","parse-names":false,"suffix":""},{"dropping-particle":"","family":"Suzuki","given":"Hiroshi I.","non-dropping-particle":"","parse-names":false,"suffix":""}],"container-title":"International Journal of Molecular Sciences","id":"ITEM-1","issue":"1","issued":{"date-parts":[["2020","1"]]},"publisher":"MDPI AG","title":"Systems and synthetic microRNA biology: From biogenesis to disease pathogenesis","type":"article","volume":"21"},"uris":["http://www.mendeley.com/documents/?uuid=cc7cdeca-d326-4760-bdfe-6d7049c0670a"]},{"id":"ITEM-2","itemData":{"DOI":"10.1016/j.molcel.2011.08.023","ISSN":"10972765","PMID":"21925380","abstract":"RNA molecules play diverse functional roles in natural biological systems. There has been growing interest in designing synthetic RNA counterparts for programming biological function. The design of synthetic RNA molecules that exhibit diverse activities, including sensing, regulatory, information processing, and scaffolding activities, has highlighted the advantages of RNA as a programmable design substrate. Recent advances in implementing these engineered RNA molecules as key control elements in synthetic genetic networks are highlighting the functional relevance of this class of synthetic elements in programming cellular behaviors. © 2011 Elsevier Inc.","author":[{"dropping-particle":"","family":"Liang","given":"Joe C.","non-dropping-particle":"","parse-names":false,"suffix":""},{"dropping-particle":"","family":"Bloom","given":"Ryan J.","non-dropping-particle":"","parse-names":false,"suffix":""},{"dropping-particle":"","family":"Smolke","given":"Christina D.","non-dropping-particle":"","parse-names":false,"suffix":""}],"container-title":"Molecular Cell","id":"ITEM-2","issue":"6","issued":{"date-parts":[["2011","9"]]},"page":"915-926","publisher":"NIH Public Access","title":"Engineering Biological Systems with Synthetic RNA Molecules","type":"article","volume":"43"},"uris":["http://www.mendeley.com/documents/?uuid=98048e01-595d-4606-bbe4-13f90a31f7a7"]}],"mendeley":{"formattedCitation":"(J. C. Liang et al., 2011; Matsuyama &amp; Suzuki, 2020)","manualFormatting":"(Liang et al., 2011; Matsuyama &amp; Suzuki, 2020)","plainTextFormattedCitation":"(J. C. Liang et al., 2011; Matsuyama &amp; Suzuki, 2020)","previouslyFormattedCitation":"(J. C. Liang et al., 2011; Matsuyama &amp; Suzuki, 2020)"},"properties":{"noteIndex":0},"schema":"https://github.com/citation-style-language/schema/raw/master/csl-citation.json"}</w:instrText>
      </w:r>
      <w:r w:rsidR="000B0251">
        <w:rPr>
          <w:rFonts w:ascii="Times New Roman" w:eastAsia="Times New Roman" w:hAnsi="Times New Roman"/>
          <w:lang w:eastAsia="ar-SA"/>
        </w:rPr>
        <w:fldChar w:fldCharType="separate"/>
      </w:r>
      <w:r w:rsidR="005D7AB9" w:rsidRPr="005D7AB9">
        <w:rPr>
          <w:rFonts w:ascii="Times New Roman" w:eastAsia="Times New Roman" w:hAnsi="Times New Roman"/>
          <w:noProof/>
          <w:lang w:eastAsia="ar-SA"/>
        </w:rPr>
        <w:t>(Liang et al., 2011; Matsuyama &amp; Suzuki, 2020)</w:t>
      </w:r>
      <w:r w:rsidR="000B0251">
        <w:rPr>
          <w:rFonts w:ascii="Times New Roman" w:eastAsia="Times New Roman" w:hAnsi="Times New Roman"/>
          <w:lang w:eastAsia="ar-SA"/>
        </w:rPr>
        <w:fldChar w:fldCharType="end"/>
      </w:r>
      <w:r w:rsidRPr="00396AB7">
        <w:rPr>
          <w:rFonts w:ascii="Times New Roman" w:eastAsia="Times New Roman" w:hAnsi="Times New Roman"/>
          <w:lang w:eastAsia="ar-SA"/>
        </w:rPr>
        <w:t>. RNA-based controllers</w:t>
      </w:r>
      <w:r w:rsidR="006E50DD" w:rsidRPr="00396AB7">
        <w:rPr>
          <w:rFonts w:ascii="Times New Roman" w:eastAsia="Times New Roman" w:hAnsi="Times New Roman"/>
          <w:lang w:eastAsia="ar-SA"/>
        </w:rPr>
        <w:t xml:space="preserve"> (riboswitches – see below)</w:t>
      </w:r>
      <w:r w:rsidRPr="00396AB7">
        <w:rPr>
          <w:rFonts w:ascii="Times New Roman" w:eastAsia="Times New Roman" w:hAnsi="Times New Roman"/>
          <w:lang w:eastAsia="ar-SA"/>
        </w:rPr>
        <w:t xml:space="preserve"> have been integrated into engineered biological systems for applications spanning biosynthesis</w:t>
      </w:r>
      <w:r w:rsidR="006E50DD" w:rsidRPr="00396AB7">
        <w:rPr>
          <w:rFonts w:ascii="Times New Roman" w:eastAsia="Times New Roman" w:hAnsi="Times New Roman"/>
          <w:lang w:eastAsia="ar-SA"/>
        </w:rPr>
        <w:t>, metabolic engineering</w:t>
      </w:r>
      <w:r w:rsidRPr="00396AB7">
        <w:rPr>
          <w:rFonts w:ascii="Times New Roman" w:eastAsia="Times New Roman" w:hAnsi="Times New Roman"/>
          <w:lang w:eastAsia="ar-SA"/>
        </w:rPr>
        <w:t xml:space="preserve">, bioremediation, to health and medicine </w:t>
      </w:r>
      <w:r w:rsidR="00B156AF">
        <w:rPr>
          <w:rFonts w:ascii="Times New Roman" w:eastAsia="Times New Roman" w:hAnsi="Times New Roman"/>
          <w:lang w:eastAsia="ar-SA"/>
        </w:rPr>
        <w:fldChar w:fldCharType="begin" w:fldLock="1"/>
      </w:r>
      <w:r w:rsidR="00B156AF">
        <w:rPr>
          <w:rFonts w:ascii="Times New Roman" w:eastAsia="Times New Roman" w:hAnsi="Times New Roman"/>
          <w:lang w:eastAsia="ar-SA"/>
        </w:rPr>
        <w:instrText>ADDIN CSL_CITATION {"citationItems":[{"id":"ITEM-1","itemData":{"DOI":"10.1021/acssynbio.8b00213","ISSN":"21615063","PMID":"30092633","abstract":"Genetic circuits are composed of input, logic, and output parts. Construction of complex circuits for practical applications requires numerous tunable genetic parts. However, the limited diversity and complicated tuning methods used for the input parts hinders the scalability of genetic circuits. Therefore, a new type of input part is required that responds to diverse signals and enables easy tuning. Here, we developed RNA-protein hybrid input parts that combine a riboswitch and orthogonal transcriptional repressors. The hybrid inputs successfully regulated the transcription of an output in response to the input signal detected by the riboswitch and resulted in signal inversion because of the expression of transcriptional repressors. Dose-response parameters including fold-change and half-maximal effective concentration were easily modulated and amplified simply by changing the promoter strength. Furthermore, the hybrid input detected both exogenous and endogenous signals, indicating potential applications in metabolite sensing. This hybrid input part could be highly extensible considering the rich variety of components.","author":[{"dropping-particle":"","family":"Jang","given":"Sungyeon","non-dropping-particle":"","parse-names":false,"suffix":""},{"dropping-particle":"","family":"Jang","given":"Sungho","non-dropping-particle":"","parse-names":false,"suffix":""},{"dropping-particle":"","family":"Noh","given":"Myung Hyun","non-dropping-particle":"","parse-names":false,"suffix":""},{"dropping-particle":"","family":"Lim","given":"Hyun Gyu","non-dropping-particle":"","parse-names":false,"suffix":""},{"dropping-particle":"","family":"Jung","given":"Gyoo Yeol","non-dropping-particle":"","parse-names":false,"suffix":""}],"container-title":"ACS Synthetic Biology","id":"ITEM-1","issue":"9","issued":{"date-parts":[["2018"]]},"page":"2199-2204","publisher":"American Chemical Society","title":"Novel Hybrid Input Part Using Riboswitch and Transcriptional Repressor for Signal Inverting Amplifier","type":"article-journal","volume":"7"},"uris":["http://www.mendeley.com/documents/?uuid=ec12e8ba-42a6-43be-8732-30396ed7fd37"]},{"id":"ITEM-2","itemData":{"DOI":"10.1016/j.molcel.2011.08.023","ISSN":"10972765","PMID":"21925380","abstract":"RNA molecules play diverse functional roles in natural biological systems. There has been growing interest in designing synthetic RNA counterparts for programming biological function. The design of synthetic RNA molecules that exhibit diverse activities, including sensing, regulatory, information processing, and scaffolding activities, has highlighted the advantages of RNA as a programmable design substrate. Recent advances in implementing these engineered RNA molecules as key control elements in synthetic genetic networks are highlighting the functional relevance of this class of synthetic elements in programming cellular behaviors. © 2011 Elsevier Inc.","author":[{"dropping-particle":"","family":"Liang","given":"Joe C.","non-dropping-particle":"","parse-names":false,"suffix":""},{"dropping-particle":"","family":"Bloom","given":"Ryan J.","non-dropping-particle":"","parse-names":false,"suffix":""},{"dropping-particle":"","family":"Smolke","given":"Christina D.","non-dropping-particle":"","parse-names":false,"suffix":""}],"container-title":"Molecular Cell","id":"ITEM-2","issue":"6","issued":{"date-parts":[["2011","9"]]},"page":"915-926","publisher":"NIH Public Access","title":"Engineering Biological Systems with Synthetic RNA Molecules","type":"article","volume":"43"},"uris":["http://www.mendeley.com/documents/?uuid=98048e01-595d-4606-bbe4-13f90a31f7a7"]}],"mendeley":{"formattedCitation":"(S. Jang et al., 2018; J. C. Liang et al., 2011)","manualFormatting":"(Jang et al., 2018; Liang et al., 2011)","plainTextFormattedCitation":"(S. Jang et al., 2018; J. C. Liang et al., 2011)","previouslyFormattedCitation":"(S. Jang et al., 2018; J. C. Liang et al., 2011)"},"properties":{"noteIndex":0},"schema":"https://github.com/citation-style-language/schema/raw/master/csl-citation.json"}</w:instrText>
      </w:r>
      <w:r w:rsidR="00B156AF">
        <w:rPr>
          <w:rFonts w:ascii="Times New Roman" w:eastAsia="Times New Roman" w:hAnsi="Times New Roman"/>
          <w:lang w:eastAsia="ar-SA"/>
        </w:rPr>
        <w:fldChar w:fldCharType="separate"/>
      </w:r>
      <w:r w:rsidR="00B156AF" w:rsidRPr="00B156AF">
        <w:rPr>
          <w:rFonts w:ascii="Times New Roman" w:eastAsia="Times New Roman" w:hAnsi="Times New Roman"/>
          <w:noProof/>
          <w:lang w:eastAsia="ar-SA"/>
        </w:rPr>
        <w:t>(Jang et al., 2018; Liang et al., 2011)</w:t>
      </w:r>
      <w:r w:rsidR="00B156AF">
        <w:rPr>
          <w:rFonts w:ascii="Times New Roman" w:eastAsia="Times New Roman" w:hAnsi="Times New Roman"/>
          <w:lang w:eastAsia="ar-SA"/>
        </w:rPr>
        <w:fldChar w:fldCharType="end"/>
      </w:r>
      <w:r w:rsidR="00B156AF">
        <w:rPr>
          <w:rFonts w:ascii="Times New Roman" w:eastAsia="Times New Roman" w:hAnsi="Times New Roman"/>
          <w:lang w:eastAsia="ar-SA"/>
        </w:rPr>
        <w:t>.</w:t>
      </w:r>
      <w:r w:rsidR="00F05007" w:rsidRPr="00B156AF">
        <w:rPr>
          <w:rFonts w:ascii="Times New Roman" w:eastAsia="Times New Roman" w:hAnsi="Times New Roman"/>
          <w:lang w:val="en-US" w:eastAsia="ar-SA"/>
        </w:rPr>
        <w:t xml:space="preserve"> Similarly, </w:t>
      </w:r>
      <w:r w:rsidR="00810F5C" w:rsidRPr="00B156AF">
        <w:rPr>
          <w:rFonts w:ascii="Times New Roman" w:eastAsia="Times New Roman" w:hAnsi="Times New Roman"/>
          <w:lang w:val="en-US" w:eastAsia="ar-SA"/>
        </w:rPr>
        <w:t>natural</w:t>
      </w:r>
      <w:r w:rsidR="00247E9C" w:rsidRPr="00B156AF">
        <w:rPr>
          <w:rFonts w:ascii="Times New Roman" w:eastAsia="Times New Roman" w:hAnsi="Times New Roman"/>
          <w:lang w:val="en-US" w:eastAsia="ar-SA"/>
        </w:rPr>
        <w:t>,</w:t>
      </w:r>
      <w:r w:rsidR="00810F5C" w:rsidRPr="00B156AF">
        <w:rPr>
          <w:rFonts w:ascii="Times New Roman" w:eastAsia="Times New Roman" w:hAnsi="Times New Roman"/>
          <w:lang w:val="en-US" w:eastAsia="ar-SA"/>
        </w:rPr>
        <w:t xml:space="preserve"> and engineered miRNAs </w:t>
      </w:r>
      <w:r w:rsidR="00AA6485" w:rsidRPr="00B156AF">
        <w:rPr>
          <w:rFonts w:ascii="Times New Roman" w:eastAsia="Times New Roman" w:hAnsi="Times New Roman"/>
          <w:lang w:val="en-US" w:eastAsia="ar-SA"/>
        </w:rPr>
        <w:t xml:space="preserve">have </w:t>
      </w:r>
      <w:r w:rsidR="00907DB8" w:rsidRPr="00B156AF">
        <w:rPr>
          <w:rFonts w:ascii="Times New Roman" w:eastAsia="Times New Roman" w:hAnsi="Times New Roman"/>
          <w:lang w:val="en-US" w:eastAsia="ar-SA"/>
        </w:rPr>
        <w:t>also</w:t>
      </w:r>
      <w:r w:rsidR="00AA6485" w:rsidRPr="00B156AF">
        <w:rPr>
          <w:rFonts w:ascii="Times New Roman" w:eastAsia="Times New Roman" w:hAnsi="Times New Roman"/>
          <w:lang w:val="en-US" w:eastAsia="ar-SA"/>
        </w:rPr>
        <w:t xml:space="preserve"> been applied to modulate and improve </w:t>
      </w:r>
      <w:r w:rsidR="00F05007" w:rsidRPr="00B156AF">
        <w:rPr>
          <w:rFonts w:ascii="Times New Roman" w:eastAsia="Times New Roman" w:hAnsi="Times New Roman"/>
          <w:lang w:val="en-US" w:eastAsia="ar-SA"/>
        </w:rPr>
        <w:t>plant responses to biotic and abiotic stresses</w:t>
      </w:r>
      <w:r w:rsidR="00AA6485" w:rsidRPr="00B156AF">
        <w:rPr>
          <w:rFonts w:ascii="Times New Roman" w:eastAsia="Times New Roman" w:hAnsi="Times New Roman"/>
          <w:lang w:val="en-US" w:eastAsia="ar-SA"/>
        </w:rPr>
        <w:t xml:space="preserve"> </w:t>
      </w:r>
      <w:r w:rsidR="00695A59">
        <w:rPr>
          <w:rFonts w:ascii="Times New Roman" w:eastAsia="Times New Roman" w:hAnsi="Times New Roman"/>
          <w:lang w:eastAsia="ar-SA"/>
        </w:rPr>
        <w:fldChar w:fldCharType="begin" w:fldLock="1"/>
      </w:r>
      <w:r w:rsidR="00695A59" w:rsidRPr="00B156AF">
        <w:rPr>
          <w:rFonts w:ascii="Times New Roman" w:eastAsia="Times New Roman" w:hAnsi="Times New Roman"/>
          <w:lang w:val="en-US" w:eastAsia="ar-SA"/>
        </w:rPr>
        <w:instrText>ADDIN CSL_CITATION {"citationItems":[{"id":"ITEM-1","itemData":{"DOI":"10.1111/pbi.13116","ISSN":"1467-7644","abstract":"MicroRNAs (miRNAs) modulate the abundance and spatial–temporal accumulation of target mRNAs and indirectly regulate several plant processes. Transcriptional regulation of the genes encoding miRNAs (MIR genes) can be activated by numerous transcription factors, which themselves are regulated by other miRNAs. Fine-tuning of MIR genes or miRNAs is a powerful biotechnological strategy to improve tolerance to abiotic or biotic stresses in crops of economic importance. Current approaches for miRNA fine-tuning are based on the down- or up-regulation of MIR gene transcription and the use of genetic engineering tools to manipulate the final concentration of these miRNAs in the cytoplasm. Transgenesis, cisgenesis, intragenesis, artificial MIR genes, endogenous and artificial target mimicry, MIR genes editing using Meganucleases, ZNF proteins, TALENs and CRISPR/Cas9 or CRISPR/Cpf1, CRISPR/dCas9 or dCpf1, CRISPR13a, topical delivery of miRNAs and epigenetic memory have been successfully explored to MIR gene or miRNA modulation and improve agronomic traits in several model or crop plants. However, advantages and drawbacks of each of these new biotechnological tools (NBTs) are still not well understood. In this review, we provide a brie</w:instrText>
      </w:r>
      <w:r w:rsidR="00695A59">
        <w:rPr>
          <w:rFonts w:ascii="Times New Roman" w:eastAsia="Times New Roman" w:hAnsi="Times New Roman"/>
          <w:lang w:eastAsia="ar-SA"/>
        </w:rPr>
        <w:instrText>f overview of the biogenesis and role of miRNAs in response to abiotic or biotic stresses, we present critically the main NBTs used for the manipulation of MIR genes and miRNAs, we show current efforts and findings with the MIR genes and miRNAs modulation in plants, and we summarize the advantages and drawbacks of these NBTs and provide some alternatives to overcome. Finally, challenges and future perspectives to miRNA modulating in important crops are also discussed.","author":[{"dropping-particle":"","family":"Basso","given":"Marcos Fernando","non-dropping-particle":"","parse-names":false,"suffix":""},{"dropping-particle":"","family":"Ferreira","given":"Paulo Cavalcanti Gomes","non-dropping-particle":"","parse-names":false,"suffix":""},{"dropping-particle":"","family":"Kobayashi","given":"Adilson Kenji","non-dropping-particle":"","parse-names":false,"suffix":""},{"dropping-particle":"","family":"Harmon","given":"Frank G","non-dropping-particle":"","parse-names":false,"suffix":""},{"dropping-particle":"","family":"Nepomuceno","given":"Alexandre Lima","non-dropping-particle":"","parse-names":false,"suffix":""},{"dropping-particle":"","family":"Molinari","given":"Hugo Bruno Correa","non-dropping-particle":"","parse-names":false,"suffix":""},{"dropping-particle":"","family":"Grossi‐de‐Sa","given":"Maria Fatima","non-dropping-particle":"","parse-names":false,"suffix":""}],"container-title":"Plant Biotechnology Journal","id":"ITEM-1","issue":"8","issued":{"date-parts":[["2019","8"]]},"page":"1482-1500","publisher":"Blackwell Publishing Ltd","title":"Micro &lt;scp&gt;RNA&lt;/scp&gt;s and new biotechnological tools for its modulation and improving stress tolerance in plants","type":"article-journal","volume":"17"},"uris":["http://www.mendeley.com/documents/?uuid=59eb92cf-42cf-4a15-b2b8-7fb8d0ff0ba8"]}],"mendeley":{"formattedCitation":"(Basso et al., 2019)","plainTextFormattedCitation":"(Basso et al., 2019)","previouslyFormattedCitation":"(Basso et al., 2019)"},"properties":{"noteIndex":0},"schema":"https://github.com/citation-style-language/schema/raw/master/csl-citation.json"}</w:instrText>
      </w:r>
      <w:r w:rsidR="00695A59">
        <w:rPr>
          <w:rFonts w:ascii="Times New Roman" w:eastAsia="Times New Roman" w:hAnsi="Times New Roman"/>
          <w:lang w:eastAsia="ar-SA"/>
        </w:rPr>
        <w:fldChar w:fldCharType="separate"/>
      </w:r>
      <w:r w:rsidR="00695A59" w:rsidRPr="00695A59">
        <w:rPr>
          <w:rFonts w:ascii="Times New Roman" w:eastAsia="Times New Roman" w:hAnsi="Times New Roman"/>
          <w:noProof/>
          <w:lang w:eastAsia="ar-SA"/>
        </w:rPr>
        <w:t>(Basso et al., 2019)</w:t>
      </w:r>
      <w:r w:rsidR="00695A59">
        <w:rPr>
          <w:rFonts w:ascii="Times New Roman" w:eastAsia="Times New Roman" w:hAnsi="Times New Roman"/>
          <w:lang w:eastAsia="ar-SA"/>
        </w:rPr>
        <w:fldChar w:fldCharType="end"/>
      </w:r>
      <w:r w:rsidR="00496B1D">
        <w:rPr>
          <w:rFonts w:ascii="Times New Roman" w:eastAsia="Times New Roman" w:hAnsi="Times New Roman"/>
          <w:lang w:eastAsia="ar-SA"/>
        </w:rPr>
        <w:t>.</w:t>
      </w:r>
    </w:p>
    <w:p w14:paraId="6FA1AF50" w14:textId="6BE64096" w:rsidR="00E55636" w:rsidDel="00C31464" w:rsidRDefault="00E55636" w:rsidP="00E55636">
      <w:pPr>
        <w:spacing w:before="120" w:after="120" w:line="240" w:lineRule="auto"/>
        <w:jc w:val="both"/>
        <w:rPr>
          <w:rFonts w:ascii="Times New Roman" w:eastAsia="Times New Roman" w:hAnsi="Times New Roman"/>
          <w:lang w:eastAsia="ar-SA"/>
        </w:rPr>
      </w:pPr>
      <w:r>
        <w:rPr>
          <w:rFonts w:ascii="Times New Roman" w:eastAsia="Times New Roman" w:hAnsi="Times New Roman"/>
          <w:lang w:eastAsia="ar-SA"/>
        </w:rPr>
        <w:t>Although p</w:t>
      </w:r>
      <w:r w:rsidDel="00C31464">
        <w:rPr>
          <w:rFonts w:ascii="Times New Roman" w:eastAsia="Times New Roman" w:hAnsi="Times New Roman"/>
          <w:lang w:eastAsia="ar-SA"/>
        </w:rPr>
        <w:t>rokaryotes do not possess RNAi machinery</w:t>
      </w:r>
      <w:r>
        <w:rPr>
          <w:rFonts w:ascii="Times New Roman" w:eastAsia="Times New Roman" w:hAnsi="Times New Roman"/>
          <w:lang w:eastAsia="ar-SA"/>
        </w:rPr>
        <w:t>, bacteria and archaea instead use s</w:t>
      </w:r>
      <w:r w:rsidRPr="00EA30D8" w:rsidDel="00C31464">
        <w:rPr>
          <w:rFonts w:ascii="Times New Roman" w:eastAsia="Times New Roman" w:hAnsi="Times New Roman"/>
          <w:lang w:eastAsia="ar-SA"/>
        </w:rPr>
        <w:t>RNAs</w:t>
      </w:r>
      <w:r>
        <w:rPr>
          <w:rFonts w:ascii="Times New Roman" w:eastAsia="Times New Roman" w:hAnsi="Times New Roman"/>
          <w:lang w:eastAsia="ar-SA"/>
        </w:rPr>
        <w:t xml:space="preserve"> </w:t>
      </w:r>
      <w:r w:rsidR="00771F8B">
        <w:rPr>
          <w:rFonts w:ascii="Times New Roman" w:eastAsia="Times New Roman" w:hAnsi="Times New Roman"/>
          <w:lang w:eastAsia="ar-SA"/>
        </w:rPr>
        <w:t>(~</w:t>
      </w:r>
      <w:r w:rsidR="00F56469">
        <w:rPr>
          <w:rFonts w:ascii="Times New Roman" w:eastAsia="Times New Roman" w:hAnsi="Times New Roman"/>
          <w:lang w:eastAsia="ar-SA"/>
        </w:rPr>
        <w:t>5</w:t>
      </w:r>
      <w:r w:rsidR="00C5611F">
        <w:rPr>
          <w:rFonts w:ascii="Times New Roman" w:eastAsia="Times New Roman" w:hAnsi="Times New Roman"/>
          <w:lang w:eastAsia="ar-SA"/>
        </w:rPr>
        <w:t>0</w:t>
      </w:r>
      <w:r w:rsidR="00771F8B">
        <w:rPr>
          <w:rFonts w:ascii="Times New Roman" w:eastAsia="Times New Roman" w:hAnsi="Times New Roman"/>
          <w:lang w:eastAsia="ar-SA"/>
        </w:rPr>
        <w:t xml:space="preserve"> to </w:t>
      </w:r>
      <w:r w:rsidR="008D094B">
        <w:rPr>
          <w:rFonts w:ascii="Times New Roman" w:eastAsia="Times New Roman" w:hAnsi="Times New Roman"/>
          <w:lang w:eastAsia="ar-SA"/>
        </w:rPr>
        <w:t>2</w:t>
      </w:r>
      <w:r w:rsidR="00AA46E8">
        <w:rPr>
          <w:rFonts w:ascii="Times New Roman" w:eastAsia="Times New Roman" w:hAnsi="Times New Roman"/>
          <w:lang w:eastAsia="ar-SA"/>
        </w:rPr>
        <w:t>00 nt in size</w:t>
      </w:r>
      <w:r w:rsidR="00771F8B">
        <w:rPr>
          <w:rFonts w:ascii="Times New Roman" w:eastAsia="Times New Roman" w:hAnsi="Times New Roman"/>
          <w:lang w:eastAsia="ar-SA"/>
        </w:rPr>
        <w:t>)</w:t>
      </w:r>
      <w:r w:rsidR="00AA46E8">
        <w:rPr>
          <w:rFonts w:ascii="Times New Roman" w:eastAsia="Times New Roman" w:hAnsi="Times New Roman"/>
          <w:lang w:eastAsia="ar-SA"/>
        </w:rPr>
        <w:t xml:space="preserve"> </w:t>
      </w:r>
      <w:r>
        <w:rPr>
          <w:rFonts w:ascii="Times New Roman" w:eastAsia="Times New Roman" w:hAnsi="Times New Roman"/>
          <w:lang w:eastAsia="ar-SA"/>
        </w:rPr>
        <w:t xml:space="preserve">to </w:t>
      </w:r>
      <w:r w:rsidRPr="00EA30D8" w:rsidDel="00C31464">
        <w:rPr>
          <w:rFonts w:ascii="Times New Roman" w:eastAsia="Times New Roman" w:hAnsi="Times New Roman"/>
          <w:lang w:eastAsia="ar-SA"/>
        </w:rPr>
        <w:t xml:space="preserve">regulate complex networks through antisense interactions with target mRNAs </w:t>
      </w:r>
      <w:r w:rsidRPr="00E767FC" w:rsidDel="00C31464">
        <w:rPr>
          <w:rFonts w:ascii="Times New Roman" w:eastAsia="Times New Roman" w:hAnsi="Times New Roman"/>
          <w:i/>
          <w:iCs/>
          <w:lang w:eastAsia="ar-SA"/>
        </w:rPr>
        <w:t>in trans</w:t>
      </w:r>
      <w:r w:rsidRPr="00EA30D8" w:rsidDel="00C31464">
        <w:rPr>
          <w:rFonts w:ascii="Times New Roman" w:eastAsia="Times New Roman" w:hAnsi="Times New Roman"/>
          <w:lang w:eastAsia="ar-SA"/>
        </w:rPr>
        <w:t xml:space="preserve">, </w:t>
      </w:r>
      <w:r w:rsidRPr="00EA30D8" w:rsidDel="00C31464">
        <w:rPr>
          <w:rFonts w:ascii="Times New Roman" w:eastAsia="Times New Roman" w:hAnsi="Times New Roman"/>
          <w:lang w:eastAsia="ar-SA"/>
        </w:rPr>
        <w:lastRenderedPageBreak/>
        <w:t>and riboswitches</w:t>
      </w:r>
      <w:r w:rsidR="0055402F">
        <w:rPr>
          <w:rStyle w:val="FootnoteReference"/>
          <w:rFonts w:ascii="Times New Roman" w:eastAsia="Times New Roman" w:hAnsi="Times New Roman"/>
          <w:lang w:eastAsia="ar-SA"/>
        </w:rPr>
        <w:footnoteReference w:id="8"/>
      </w:r>
      <w:r w:rsidR="00B14658">
        <w:rPr>
          <w:rFonts w:ascii="Times New Roman" w:eastAsia="Times New Roman" w:hAnsi="Times New Roman"/>
          <w:lang w:eastAsia="ar-SA"/>
        </w:rPr>
        <w:t>, which</w:t>
      </w:r>
      <w:r>
        <w:rPr>
          <w:rFonts w:ascii="Times New Roman" w:eastAsia="Times New Roman" w:hAnsi="Times New Roman"/>
          <w:lang w:eastAsia="ar-SA"/>
        </w:rPr>
        <w:t xml:space="preserve"> act</w:t>
      </w:r>
      <w:r w:rsidRPr="00EA30D8" w:rsidDel="00C31464">
        <w:rPr>
          <w:rFonts w:ascii="Times New Roman" w:eastAsia="Times New Roman" w:hAnsi="Times New Roman"/>
          <w:lang w:eastAsia="ar-SA"/>
        </w:rPr>
        <w:t xml:space="preserve"> </w:t>
      </w:r>
      <w:r>
        <w:rPr>
          <w:rFonts w:ascii="Times New Roman" w:eastAsia="Times New Roman" w:hAnsi="Times New Roman"/>
          <w:i/>
          <w:iCs/>
          <w:lang w:eastAsia="ar-SA"/>
        </w:rPr>
        <w:t>in cis</w:t>
      </w:r>
      <w:r w:rsidR="00B14658">
        <w:rPr>
          <w:rFonts w:ascii="Times New Roman" w:eastAsia="Times New Roman" w:hAnsi="Times New Roman"/>
          <w:lang w:eastAsia="ar-SA"/>
        </w:rPr>
        <w:t>,</w:t>
      </w:r>
      <w:r>
        <w:rPr>
          <w:rFonts w:ascii="Times New Roman" w:eastAsia="Times New Roman" w:hAnsi="Times New Roman"/>
          <w:i/>
          <w:iCs/>
          <w:lang w:eastAsia="ar-SA"/>
        </w:rPr>
        <w:t xml:space="preserve"> </w:t>
      </w:r>
      <w:r>
        <w:rPr>
          <w:rFonts w:ascii="Times New Roman" w:eastAsia="Times New Roman" w:hAnsi="Times New Roman"/>
          <w:lang w:eastAsia="ar-SA"/>
        </w:rPr>
        <w:t xml:space="preserve">to </w:t>
      </w:r>
      <w:r w:rsidRPr="00EA30D8" w:rsidDel="00C31464">
        <w:rPr>
          <w:rFonts w:ascii="Times New Roman" w:eastAsia="Times New Roman" w:hAnsi="Times New Roman"/>
          <w:lang w:eastAsia="ar-SA"/>
        </w:rPr>
        <w:t xml:space="preserve">regulate gene expression </w:t>
      </w:r>
      <w:r w:rsidR="00695A59">
        <w:rPr>
          <w:rFonts w:ascii="Times New Roman" w:eastAsia="Times New Roman" w:hAnsi="Times New Roman"/>
          <w:lang w:eastAsia="ar-SA"/>
        </w:rPr>
        <w:fldChar w:fldCharType="begin" w:fldLock="1"/>
      </w:r>
      <w:r w:rsidR="00D33E20">
        <w:rPr>
          <w:rFonts w:ascii="Times New Roman" w:eastAsia="Times New Roman" w:hAnsi="Times New Roman"/>
          <w:lang w:eastAsia="ar-SA"/>
        </w:rPr>
        <w:instrText>ADDIN CSL_CITATION {"citationItems":[{"id":"ITEM-1","itemData":{"DOI":"10.1128/microbiolspec.rwr-0007-2017","ISSN":"2165-0497","PMID":"29932045","abstract":"In bacteria and archaea, small RNAs (sRNAs) regulate complex networks through antisense interactions with target mRNAs in trans, and riboswitches regulate gene expression in cis based on the ability to bind small-molecule ligands. Although our understanding and characterization of these two important regulatory RNA classes is far from complete, these RNA-based mechanisms have proven useful for a wide variety of synthetic biology applications. Besides classic and contemporary applications in the realm of metabolic engineering and orthogonal gene control, this review also covers newer applications of regulatory RNAs as biosensors, logic gates, and tools to determine RNA-RNA interactions. A separate section focuses on critical insights gained and challenges posed by fundamental studies of sRNAs and riboswitches that should aid future development of synthetic regulatory RNAs.","author":[{"dropping-particle":"","family":"Villa","given":"Jordan K","non-dropping-particle":"","parse-names":false,"suffix":""},{"dropping-particle":"","family":"Su","given":"Yichi","non-dropping-particle":"","parse-names":false,"suffix":""},{"dropping-particle":"","family":"Contreras","given":"Lydia M","non-dropping-particle":"","parse-names":false,"suffix":""},{"dropping-particle":"","family":"Hammond","given":"Ming C","non-dropping-particle":"","parse-names":false,"suffix":""}],"container-title":"Regulating with RNA in Bacteria and Archaea","id":"ITEM-1","issue":"3","issued":{"date-parts":[["2018","6"]]},"page":"527-545","publisher":"American Society of Microbiology","title":"Synthetic Biology of Small RNAs and Riboswitches","type":"chapter","volume":"6"},"uris":["http://www.mendeley.com/documents/?uuid=0b5cb265-fff3-4607-aac6-1f5ede2a0d09"]},{"id":"ITEM-2","itemData":{"DOI":"10.1016/bs.adgen.2015.05.001","ISBN":"9780128036945","ISSN":"00652660","PMID":"26296935","abstract":"Small RNAs are ubiquitously present regulators in all kingdoms of life. Most bacterial and archaeal small RNAs (sRNAs) act by antisense mechanisms on multiple target mRNAs, thereby globally affecting essentially any conceivable trait-stress responses, adaptive metabolic changes, virulence etc. The sRNAs display many distinct mechanisms of action, most of them through effects on target mRNA translation and/or stability, and helper proteins like Hfq often play key roles. Recent data highlight the interplay between posttranscriptional control by sRNAs and transcription factor-mediated transcriptional control, and cross talk through mutual regulation of regulators. Based on the properties that distinguish sRNA-type from transcription factors-type. control, we begin to glimpse why sRNAs have evolved as a second, essential layer of gene regulation. This review will discuss the prevalence of sRNAs, who they are, what biological roles they play, and how they carry out their functions. ©2015 Elsevier Inc.","author":[{"dropping-particle":"","family":"Wagner","given":"E Gerhart H","non-dropping-particle":"","parse-names":false,"suffix":""},{"dropping-particle":"","family":"Romby","given":"Pascale","non-dropping-particle":"","parse-names":false,"suffix":""}],"container-title":"Advances in Genetics","id":"ITEM-2","issued":{"date-parts":[["2015"]]},"number-of-pages":"133-208","publisher":"Elsevier Ltd","title":"Small RNAs in Bacteria and Archaea: Who They Are, What They Do, and How They Do It","type":"book","volume":"90"},"uris":["http://www.mendeley.com/documents/?uuid=dd0af99e-eeb2-494a-ae67-e1210a4df816"]}],"mendeley":{"formattedCitation":"(Villa et al., 2018; Wagner &amp; Romby, 2015)","plainTextFormattedCitation":"(Villa et al., 2018; Wagner &amp; Romby, 2015)","previouslyFormattedCitation":"(Villa et al., 2018; Wagner &amp; Romby, 2015)"},"properties":{"noteIndex":0},"schema":"https://github.com/citation-style-language/schema/raw/master/csl-citation.json"}</w:instrText>
      </w:r>
      <w:r w:rsidR="00695A59">
        <w:rPr>
          <w:rFonts w:ascii="Times New Roman" w:eastAsia="Times New Roman" w:hAnsi="Times New Roman"/>
          <w:lang w:eastAsia="ar-SA"/>
        </w:rPr>
        <w:fldChar w:fldCharType="separate"/>
      </w:r>
      <w:r w:rsidR="00695A59" w:rsidRPr="00B156AF">
        <w:rPr>
          <w:rFonts w:ascii="Times New Roman" w:eastAsia="Times New Roman" w:hAnsi="Times New Roman"/>
          <w:noProof/>
          <w:lang w:val="en-US" w:eastAsia="ar-SA"/>
        </w:rPr>
        <w:t>(Villa et al., 2018; Wagner &amp; Romby, 2015)</w:t>
      </w:r>
      <w:r w:rsidR="00695A59">
        <w:rPr>
          <w:rFonts w:ascii="Times New Roman" w:eastAsia="Times New Roman" w:hAnsi="Times New Roman"/>
          <w:lang w:eastAsia="ar-SA"/>
        </w:rPr>
        <w:fldChar w:fldCharType="end"/>
      </w:r>
      <w:r w:rsidRPr="00B156AF" w:rsidDel="00C31464">
        <w:rPr>
          <w:rFonts w:ascii="Times New Roman" w:eastAsia="Times New Roman" w:hAnsi="Times New Roman"/>
          <w:lang w:val="en-US" w:eastAsia="ar-SA"/>
        </w:rPr>
        <w:t xml:space="preserve">. </w:t>
      </w:r>
      <w:r>
        <w:rPr>
          <w:rFonts w:ascii="Times New Roman" w:eastAsia="Times New Roman" w:hAnsi="Times New Roman"/>
          <w:lang w:eastAsia="ar-SA"/>
        </w:rPr>
        <w:t xml:space="preserve">Thus, </w:t>
      </w:r>
      <w:r w:rsidRPr="005D3BC0" w:rsidDel="00C31464">
        <w:rPr>
          <w:rFonts w:ascii="Times New Roman" w:eastAsia="Times New Roman" w:hAnsi="Times New Roman"/>
          <w:lang w:eastAsia="ar-SA"/>
        </w:rPr>
        <w:t>a</w:t>
      </w:r>
      <w:r>
        <w:rPr>
          <w:rFonts w:ascii="Times New Roman" w:eastAsia="Times New Roman" w:hAnsi="Times New Roman"/>
          <w:lang w:eastAsia="ar-SA"/>
        </w:rPr>
        <w:t xml:space="preserve"> </w:t>
      </w:r>
      <w:r w:rsidDel="00C31464">
        <w:rPr>
          <w:rFonts w:ascii="Times New Roman" w:eastAsia="Times New Roman" w:hAnsi="Times New Roman"/>
          <w:lang w:eastAsia="ar-SA"/>
        </w:rPr>
        <w:t>s</w:t>
      </w:r>
      <w:r w:rsidRPr="005D3BC0" w:rsidDel="00C31464">
        <w:rPr>
          <w:rFonts w:ascii="Times New Roman" w:eastAsia="Times New Roman" w:hAnsi="Times New Roman"/>
          <w:lang w:eastAsia="ar-SA"/>
        </w:rPr>
        <w:t>ynthetic sRNA can be designed to bind and regulate desired mRNA targets</w:t>
      </w:r>
      <w:r>
        <w:rPr>
          <w:rFonts w:ascii="Times New Roman" w:eastAsia="Times New Roman" w:hAnsi="Times New Roman"/>
          <w:lang w:eastAsia="ar-SA"/>
        </w:rPr>
        <w:t xml:space="preserve">. </w:t>
      </w:r>
      <w:r w:rsidDel="00C31464">
        <w:rPr>
          <w:rFonts w:ascii="Times New Roman" w:eastAsia="Times New Roman" w:hAnsi="Times New Roman"/>
          <w:lang w:eastAsia="ar-SA"/>
        </w:rPr>
        <w:t>R</w:t>
      </w:r>
      <w:r w:rsidRPr="0020761C" w:rsidDel="00C31464">
        <w:rPr>
          <w:rFonts w:ascii="Times New Roman" w:eastAsia="Times New Roman" w:hAnsi="Times New Roman"/>
          <w:lang w:eastAsia="ar-SA"/>
        </w:rPr>
        <w:t xml:space="preserve">iboswitches are known to confer small molecule-dependent control of gene expression, so </w:t>
      </w:r>
      <w:r w:rsidDel="00C31464">
        <w:rPr>
          <w:rFonts w:ascii="Times New Roman" w:eastAsia="Times New Roman" w:hAnsi="Times New Roman"/>
          <w:lang w:eastAsia="ar-SA"/>
        </w:rPr>
        <w:t xml:space="preserve">a </w:t>
      </w:r>
      <w:r w:rsidRPr="0020761C" w:rsidDel="00C31464">
        <w:rPr>
          <w:rFonts w:ascii="Times New Roman" w:eastAsia="Times New Roman" w:hAnsi="Times New Roman"/>
          <w:lang w:eastAsia="ar-SA"/>
        </w:rPr>
        <w:t xml:space="preserve">synthetic riboswitch can be placed downstream of a native promoter to regulate the target transgene </w:t>
      </w:r>
      <w:r w:rsidRPr="00996CD8" w:rsidDel="00C31464">
        <w:rPr>
          <w:rFonts w:ascii="Times New Roman" w:eastAsia="Times New Roman" w:hAnsi="Times New Roman"/>
          <w:i/>
          <w:iCs/>
          <w:lang w:eastAsia="ar-SA"/>
        </w:rPr>
        <w:t>in cis</w:t>
      </w:r>
      <w:r w:rsidDel="00C31464">
        <w:rPr>
          <w:rFonts w:ascii="Times New Roman" w:eastAsia="Times New Roman" w:hAnsi="Times New Roman"/>
          <w:lang w:eastAsia="ar-SA"/>
        </w:rPr>
        <w:t xml:space="preserve"> </w:t>
      </w:r>
      <w:r w:rsidR="00E2704D">
        <w:rPr>
          <w:rFonts w:ascii="Times New Roman" w:eastAsia="Times New Roman" w:hAnsi="Times New Roman"/>
          <w:lang w:eastAsia="ar-SA"/>
        </w:rPr>
        <w:fldChar w:fldCharType="begin" w:fldLock="1"/>
      </w:r>
      <w:r w:rsidR="00D33E20">
        <w:rPr>
          <w:rFonts w:ascii="Times New Roman" w:eastAsia="Times New Roman" w:hAnsi="Times New Roman"/>
          <w:lang w:eastAsia="ar-SA"/>
        </w:rPr>
        <w:instrText>ADDIN CSL_CITATION {"citationItems":[{"id":"ITEM-1","itemData":{"DOI":"10.1042/BST20190173","ISSN":"14708752","PMID":"31642890","abstract":"The revolution of genomics and growth of systems biology urged the creation of synthetic biology, an engineering discipline aiming at recreating and reprogramming cellular functions for industrial needs. There has been a huge effort in synthetic biology to develop versatile and programmable genetic regulators that would enable the precise control of gene expression. Synthetic RNA components have emerged as a solution, offering a diverse range of programmable functions, including signal sensing, gene regulation and the modulation of molecular interactions. Owing to their compactness, structure and way of action, several types of RNA devices that act on DNA, RNA and protein have been characterized and applied in synthetic biology. RNA-based approaches are more 'economical' for the cell, since they are generally not translated. These RNA-based strategies act on a much shorter time scale than transcription-based ones and can be more efficient than protein-based mechanisms. In this review, we explore these RNA components as building blocks in the RNA synthetic biology field, first by explaining their natural mode of action and secondly discussing how these RNA components have been exploited to rewire bacterial regulatory circuitry.","author":[{"dropping-particle":"","family":"Apura","given":"Patrícia","non-dropping-particle":"","parse-names":false,"suffix":""},{"dropping-particle":"","family":"Domingues","given":"Susana","non-dropping-particle":"","parse-names":false,"suffix":""},{"dropping-particle":"","family":"Viegas","given":"Sandra C.","non-dropping-particle":"","parse-names":false,"suffix":""},{"dropping-particle":"","family":"Arraiano","given":"Cecília M.","non-dropping-particle":"","parse-names":false,"suffix":""}],"container-title":"Biochemical Society Transactions","id":"ITEM-1","issue":"5","issued":{"date-parts":[["2019"]]},"page":"1279-1289","title":"Reprogramming bacteria with RNA regulators","type":"article-journal","volume":"47"},"uris":["http://www.mendeley.com/documents/?uuid=f223c3d3-60ed-48ee-84db-198d57eb7e1d","http://www.mendeley.com/documents/?uuid=701edc59-10db-447a-8009-a7ec91280239","http://www.mendeley.com/documents/?uuid=c975390e-b45e-40c5-9843-87ba1757b162"]},{"id":"ITEM-2","itemData":{"DOI":"10.1128/microbiolspec.rwr-0007-2017","ISSN":"2165-0497","PMID":"29932045","abstract":"In bacteria and archaea, small RNAs (sRNAs) regulate complex networks through antisense interactions with target mRNAs in trans, and riboswitches regulate gene expression in cis based on the ability to bind small-molecule ligands. Although our understanding and characterization of these two important regulatory RNA classes is far from complete, these RNA-based mechanisms have proven useful for a wide variety of synthetic biology applications. Besides classic and contemporary applications in the realm of metabolic engineering and orthogonal gene control, this review also covers newer applications of regulatory RNAs as biosensors, logic gates, and tools to determine RNA-RNA interactions. A separate section focuses on critical insights gained and challenges posed by fundamental studies of sRNAs and riboswitches that should aid future development of synthetic regulatory RNAs.","author":[{"dropping-particle":"","family":"Villa","given":"Jordan K","non-dropping-particle":"","parse-names":false,"suffix":""},{"dropping-particle":"","family":"Su","given":"Yichi","non-dropping-particle":"","parse-names":false,"suffix":""},{"dropping-particle":"","family":"Contreras","given":"Lydia M","non-dropping-particle":"","parse-names":false,"suffix":""},{"dropping-particle":"","family":"Hammond","given":"Ming C","non-dropping-particle":"","parse-names":false,"suffix":""}],"container-title":"Regulating with RNA in Bacteria and Archaea","id":"ITEM-2","issue":"3","issued":{"date-parts":[["2018","6"]]},"page":"527-545","publisher":"American Society of Microbiology","title":"Synthetic Biology of Small RNAs and Riboswitches","type":"chapter","volume":"6"},"uris":["http://www.mendeley.com/documents/?uuid=0b5cb265-fff3-4607-aac6-1f5ede2a0d09"]}],"mendeley":{"formattedCitation":"(Apura et al., 2019; Villa et al., 2018)","plainTextFormattedCitation":"(Apura et al., 2019; Villa et al., 2018)","previouslyFormattedCitation":"(Apura et al., 2019; Villa et al., 2018)"},"properties":{"noteIndex":0},"schema":"https://github.com/citation-style-language/schema/raw/master/csl-citation.json"}</w:instrText>
      </w:r>
      <w:r w:rsidR="00E2704D">
        <w:rPr>
          <w:rFonts w:ascii="Times New Roman" w:eastAsia="Times New Roman" w:hAnsi="Times New Roman"/>
          <w:lang w:eastAsia="ar-SA"/>
        </w:rPr>
        <w:fldChar w:fldCharType="separate"/>
      </w:r>
      <w:r w:rsidR="00D33E20" w:rsidRPr="00D33E20">
        <w:rPr>
          <w:rFonts w:ascii="Times New Roman" w:eastAsia="Times New Roman" w:hAnsi="Times New Roman"/>
          <w:noProof/>
          <w:lang w:eastAsia="ar-SA"/>
        </w:rPr>
        <w:t>(Apura et al., 2019; Villa et al., 2018)</w:t>
      </w:r>
      <w:r w:rsidR="00E2704D">
        <w:rPr>
          <w:rFonts w:ascii="Times New Roman" w:eastAsia="Times New Roman" w:hAnsi="Times New Roman"/>
          <w:lang w:eastAsia="ar-SA"/>
        </w:rPr>
        <w:fldChar w:fldCharType="end"/>
      </w:r>
      <w:r w:rsidDel="00C31464">
        <w:rPr>
          <w:rFonts w:ascii="Times New Roman" w:eastAsia="Times New Roman" w:hAnsi="Times New Roman"/>
          <w:lang w:eastAsia="ar-SA"/>
        </w:rPr>
        <w:t>.</w:t>
      </w:r>
    </w:p>
    <w:p w14:paraId="28CF7BD0" w14:textId="7DB10C11" w:rsidR="00E55636" w:rsidRPr="004325A4" w:rsidRDefault="00E55636" w:rsidP="00E55636">
      <w:pPr>
        <w:spacing w:before="120" w:after="120" w:line="240" w:lineRule="auto"/>
        <w:jc w:val="both"/>
        <w:rPr>
          <w:rFonts w:ascii="Times New Roman" w:eastAsia="Times New Roman" w:hAnsi="Times New Roman"/>
          <w:lang w:val="en-US" w:eastAsia="ar-SA"/>
        </w:rPr>
      </w:pPr>
      <w:r w:rsidRPr="00C95F0D">
        <w:rPr>
          <w:rFonts w:ascii="Times New Roman" w:eastAsia="Times New Roman" w:hAnsi="Times New Roman"/>
          <w:lang w:eastAsia="ar-SA"/>
        </w:rPr>
        <w:t xml:space="preserve">Knockout method is one of the procedures for evaluating the genetic effect on metabolite production. By deleting a gene, the effect of gene deletion on the production titter can be investigated. However, even in </w:t>
      </w:r>
      <w:r w:rsidRPr="00C95F0D">
        <w:rPr>
          <w:rFonts w:ascii="Times New Roman" w:eastAsia="Times New Roman" w:hAnsi="Times New Roman"/>
          <w:i/>
          <w:iCs/>
          <w:lang w:eastAsia="ar-SA"/>
        </w:rPr>
        <w:t>Escherichia coli</w:t>
      </w:r>
      <w:r w:rsidRPr="00C95F0D">
        <w:rPr>
          <w:rFonts w:ascii="Times New Roman" w:eastAsia="Times New Roman" w:hAnsi="Times New Roman"/>
          <w:lang w:eastAsia="ar-SA"/>
        </w:rPr>
        <w:t>, a single knockout could take weeks to create; therefore, it is not possible to study genetic effects at the genome-scale</w:t>
      </w:r>
      <w:r w:rsidRPr="00BE536E">
        <w:rPr>
          <w:rFonts w:ascii="Times New Roman" w:eastAsia="Times New Roman" w:hAnsi="Times New Roman"/>
          <w:lang w:eastAsia="ar-SA"/>
        </w:rPr>
        <w:t>. Recently, synthetic RNAs have been developed to resolve the limitation imposed by the knockout method</w:t>
      </w:r>
      <w:r w:rsidRPr="1386BD8E">
        <w:rPr>
          <w:rFonts w:ascii="Times New Roman" w:eastAsia="Times New Roman" w:hAnsi="Times New Roman"/>
          <w:lang w:eastAsia="ar-SA"/>
        </w:rPr>
        <w:t>. Essentially, they are short antisense RNAs with a considerably higher pairing efficiency than conventional antisense RNAs. Synthetic sRNAs can be used to perform a large-scale screening of genes that affect metabolite production. For improved metabolic engineering, synthetic sRNAs have recently been utilised instead of other genetic tools to downregulate genes while searching for genetic targets that could be knocked down in bacteria</w:t>
      </w:r>
      <w:r w:rsidR="00E43A81">
        <w:rPr>
          <w:rFonts w:ascii="Times New Roman" w:eastAsia="Times New Roman" w:hAnsi="Times New Roman"/>
          <w:lang w:eastAsia="ar-SA"/>
        </w:rPr>
        <w:t xml:space="preserve"> and improve protein production in yeast</w:t>
      </w:r>
      <w:r w:rsidRPr="1386BD8E">
        <w:rPr>
          <w:rFonts w:ascii="Times New Roman" w:eastAsia="Times New Roman" w:hAnsi="Times New Roman"/>
          <w:lang w:eastAsia="ar-SA"/>
        </w:rPr>
        <w:t xml:space="preserve"> </w:t>
      </w:r>
      <w:r w:rsidR="00C0547C">
        <w:rPr>
          <w:rFonts w:ascii="Times New Roman" w:eastAsia="Times New Roman" w:hAnsi="Times New Roman"/>
          <w:lang w:eastAsia="ar-SA"/>
        </w:rPr>
        <w:fldChar w:fldCharType="begin" w:fldLock="1"/>
      </w:r>
      <w:r w:rsidR="007B4788">
        <w:rPr>
          <w:rFonts w:ascii="Times New Roman" w:eastAsia="Times New Roman" w:hAnsi="Times New Roman"/>
          <w:lang w:eastAsia="ar-SA"/>
        </w:rPr>
        <w:instrText>ADDIN CSL_CITATION {"citationItems":[{"id":"ITEM-1","itemData":{"DOI":"10.1007/s12275-020-9334-x","ISSN":"19763794","PMID":"31898252","abstract":"Genome-scale engineering is a crucial methodology to rationally regulate microbiological system operations, leading to expected biological behaviors or enhanced bioproduct yields. Over the past decade, innovative genome modification technologies have been developed for effectively regulating and manipulating genes at the genome level. Here, we discuss the current genome-scale engineering technologies used for microbial engineering. Recently developed strategies, such as clustered regularly interspaced short palindromic repeats (CRISPR)-Cas9, multiplex automated genome engineering (MAGE), promoter engineering, CRISPR-based regulations, and synthetic small regulatory RNA (sRNA)-based knockdown, are considered as powerful tools for genome-scale engineering in microbiological systems. MAGE, which modifies specific nucleotides of the genome sequence, is utilized as a genome-editing tool. Contrastingly, synthetic sRNA, CRISPRi, and CRISPRa are mainly used to regulate gene expression without modifying the genome sequence. This review introduces the recent genome-scale editing and regulating technologies and their applications in metabolic engineering.","author":[{"dropping-particle":"","family":"Ren","given":"Jun","non-dropping-particle":"","parse-names":false,"suffix":""},{"dropping-particle":"","family":"Lee","given":"Jingyu","non-dropping-particle":"","parse-names":false,"suffix":""},{"dropping-particle":"","family":"Na","given":"Dokyun","non-dropping-particle":"","parse-names":false,"suffix":""}],"container-title":"Journal of Microbiology","id":"ITEM-1","issue":"1","issued":{"date-parts":[["2020","1"]]},"publisher":"Microbiological Society of Korea","title":"Recent advances in genetic engineering tools based on synthetic biology","type":"article","volume":"58"},"uris":["http://www.mendeley.com/documents/?uuid=14c36881-9500-3f3f-b23b-b09b104d0ea5","http://www.mendeley.com/documents/?uuid=df2b14ee-914f-4e0a-bd17-0d84545dccb9","http://www.mendeley.com/documents/?uuid=f8af4e6a-91e1-49e0-9fbb-f1bdc4bb6a5d"]},{"id":"ITEM-2","itemData":{"DOI":"10.1073/pnas.1820561116","ISSN":"0027-8424","abstract":"The cellular machinery that supports protein synthesis and secretion lies at the foundation of cell factory-centered protein production. Due to the complexity of such cellular machinery, the challenge in generating a superior cell factory is to fully exploit the production potential by finding beneficial targets for optimized strains, which ideally could be used for improved secretion of other proteins. We focused on an approach in the yeast Saccharomyces cerevisiae that allows for attenuation of gene expression, using RNAi combined with high-throughput microfluidic single-cell screening for cells with improved protein secretion. Using direct experimental validation or enrichment analysis-assisted characterization of systematically introduced RNAi perturbations, we could identify targets that improve protein secretion. We found that genes with functions in cellular metabolism ( YDC1 , AAD4 , ADE8 , and SDH1 ), protein modification and degradation ( VPS73 , KTR2 , CNL1 , and SSA1 ), and cell cycle ( CDC39 ), can all impact recombinant protein production when expressed at differentially down-regulated levels. By establishing a workflow that incorporates Cas9-mediated recombineering, we demonstrated how we could tune the expression of the identified gene targets for further improved protein production for specific proteins. Our findings offer a high throughput and semirational platform design, which will improve not only the production of a desired protein but even more importantly, shed additional light on connections between protein production and other cellular processes.","author":[{"dropping-particle":"","family":"Wang","given":"Guokun","non-dropping-particle":"","parse-names":false,"suffix":""},{"dropping-particle":"","family":"Björk","given":"Sara M.","non-dropping-particle":"","parse-names":false,"suffix":""},{"dropping-particle":"","family":"Huang","given":"Mingtao","non-dropping-particle":"","parse-names":false,"suffix":""},{"dropping-particle":"","family":"Liu","given":"Quanli","non-dropping-particle":"","parse-names":false,"suffix":""},{"dropping-particle":"","family":"Campbell","given":"Kate","non-dropping-particle":"","parse-names":false,"suffix":""},{"dropping-particle":"","family":"Nielsen","given":"Jens","non-dropping-particle":"","parse-names":false,"suffix":""},{"dropping-particle":"","family":"Joensson","given":"Haakan N.","non-dropping-particle":"","parse-names":false,"suffix":""},{"dropping-particle":"","family":"Petranovic","given":"Dina","non-dropping-particle":"","parse-names":false,"suffix":""}],"container-title":"Proceedings of the National Academy of Sciences","id":"ITEM-2","issue":"19","issued":{"date-parts":[["2019","5","7"]]},"page":"9324-9332","title":"RNAi expression tuning, microfluidic screening, and genome recombineering for improved protein production in Saccharomyces cerevisiae","type":"article-journal","volume":"116"},"uris":["http://www.mendeley.com/documents/?uuid=1e307a89-f24e-40d1-a8df-e3e750be3977"]}],"mendeley":{"formattedCitation":"(Ren et al., 2020; G. Wang et al., 2019)","plainTextFormattedCitation":"(Ren et al., 2020; G. Wang et al., 2019)","previouslyFormattedCitation":"(Ren et al., 2020; G. Wang et al., 2019)"},"properties":{"noteIndex":0},"schema":"https://github.com/citation-style-language/schema/raw/master/csl-citation.json"}</w:instrText>
      </w:r>
      <w:r w:rsidR="00C0547C">
        <w:rPr>
          <w:rFonts w:ascii="Times New Roman" w:eastAsia="Times New Roman" w:hAnsi="Times New Roman"/>
          <w:lang w:eastAsia="ar-SA"/>
        </w:rPr>
        <w:fldChar w:fldCharType="separate"/>
      </w:r>
      <w:r w:rsidR="005322D8" w:rsidRPr="00B156AF">
        <w:rPr>
          <w:rFonts w:ascii="Times New Roman" w:eastAsia="Times New Roman" w:hAnsi="Times New Roman"/>
          <w:noProof/>
          <w:lang w:val="en-US" w:eastAsia="ar-SA"/>
        </w:rPr>
        <w:t>(Ren et al., 2020; G. Wang et al., 2019)</w:t>
      </w:r>
      <w:r w:rsidR="00C0547C">
        <w:rPr>
          <w:rFonts w:ascii="Times New Roman" w:eastAsia="Times New Roman" w:hAnsi="Times New Roman"/>
          <w:lang w:eastAsia="ar-SA"/>
        </w:rPr>
        <w:fldChar w:fldCharType="end"/>
      </w:r>
      <w:r w:rsidRPr="004325A4">
        <w:rPr>
          <w:rFonts w:ascii="Times New Roman" w:eastAsia="Times New Roman" w:hAnsi="Times New Roman"/>
          <w:lang w:val="en-US" w:eastAsia="ar-SA"/>
        </w:rPr>
        <w:t xml:space="preserve">. </w:t>
      </w:r>
    </w:p>
    <w:p w14:paraId="3ACD95D5" w14:textId="16315C8A" w:rsidR="00E55636" w:rsidRPr="00E767FC" w:rsidRDefault="00E55636" w:rsidP="00E55636">
      <w:pPr>
        <w:spacing w:before="120" w:after="120" w:line="240" w:lineRule="auto"/>
        <w:jc w:val="both"/>
        <w:rPr>
          <w:rFonts w:asciiTheme="majorBidi" w:hAnsiTheme="majorBidi" w:cstheme="majorBidi"/>
        </w:rPr>
      </w:pPr>
      <w:r w:rsidRPr="00E767FC">
        <w:rPr>
          <w:rFonts w:asciiTheme="majorBidi" w:eastAsia="Times New Roman" w:hAnsiTheme="majorBidi" w:cstheme="majorBidi"/>
          <w:kern w:val="1"/>
          <w:lang w:eastAsia="ar-SA"/>
        </w:rPr>
        <w:t>Other RNA-based</w:t>
      </w:r>
      <w:r w:rsidRPr="00E767FC">
        <w:rPr>
          <w:rFonts w:asciiTheme="majorBidi" w:hAnsiTheme="majorBidi" w:cstheme="majorBidi"/>
        </w:rPr>
        <w:t xml:space="preserve"> synthetic biology approaches rely on techniques for epigenetic modifications, such as RNA-directed DNA Methylation (R</w:t>
      </w:r>
      <w:r w:rsidR="002A6D82">
        <w:rPr>
          <w:rFonts w:asciiTheme="majorBidi" w:hAnsiTheme="majorBidi" w:cstheme="majorBidi"/>
        </w:rPr>
        <w:t>d</w:t>
      </w:r>
      <w:r w:rsidRPr="00E767FC">
        <w:rPr>
          <w:rFonts w:asciiTheme="majorBidi" w:hAnsiTheme="majorBidi" w:cstheme="majorBidi"/>
        </w:rPr>
        <w:t>DM), which was first described by</w:t>
      </w:r>
      <w:r w:rsidR="004C4095">
        <w:rPr>
          <w:rFonts w:asciiTheme="majorBidi" w:hAnsiTheme="majorBidi" w:cstheme="majorBidi"/>
        </w:rPr>
        <w:t xml:space="preserve"> </w:t>
      </w:r>
      <w:r w:rsidR="004C4095" w:rsidRPr="004C4095">
        <w:rPr>
          <w:rFonts w:asciiTheme="majorBidi" w:hAnsiTheme="majorBidi" w:cstheme="majorBidi"/>
        </w:rPr>
        <w:t>Wassenegger</w:t>
      </w:r>
      <w:r w:rsidRPr="00E767FC">
        <w:rPr>
          <w:rFonts w:asciiTheme="majorBidi" w:hAnsiTheme="majorBidi" w:cstheme="majorBidi"/>
        </w:rPr>
        <w:t xml:space="preserve"> </w:t>
      </w:r>
      <w:r w:rsidR="00754356">
        <w:rPr>
          <w:rFonts w:asciiTheme="majorBidi" w:hAnsiTheme="majorBidi" w:cstheme="majorBidi"/>
        </w:rPr>
        <w:fldChar w:fldCharType="begin" w:fldLock="1"/>
      </w:r>
      <w:r w:rsidR="008F6A90">
        <w:rPr>
          <w:rFonts w:asciiTheme="majorBidi" w:hAnsiTheme="majorBidi" w:cstheme="majorBidi"/>
        </w:rPr>
        <w:instrText>ADDIN CSL_CITATION {"citationItems":[{"id":"ITEM-1","itemData":{"DOI":"10.1016/0092-8674(94)90119-8","ISSN":"00928674","author":[{"dropping-particle":"","family":"Wassenegger","given":"Michael","non-dropping-particle":"","parse-names":false,"suffix":""},{"dropping-particle":"","family":"Heimes","given":"Sabine","non-dropping-particle":"","parse-names":false,"suffix":""},{"dropping-particle":"","family":"Riedel","given":"Leonhard","non-dropping-particle":"","parse-names":false,"suffix":""},{"dropping-particle":"","family":"Sänger","given":"Heinz L.","non-dropping-particle":"","parse-names":false,"suffix":""}],"container-title":"Cell","id":"ITEM-1","issue":"3","issued":{"date-parts":[["1994","2"]]},"page":"567-576","title":"RNA-directed de novo methylation of genomic sequences in plants","type":"article-journal","volume":"76"},"uris":["http://www.mendeley.com/documents/?uuid=c732b022-62d4-4a3f-b1f4-b4fe89543cb1"]}],"mendeley":{"formattedCitation":"(Wassenegger et al., 1994)","plainTextFormattedCitation":"(Wassenegger et al., 1994)","previouslyFormattedCitation":"(Wassenegger et al., 1994)"},"properties":{"noteIndex":0},"schema":"https://github.com/citation-style-language/schema/raw/master/csl-citation.json"}</w:instrText>
      </w:r>
      <w:r w:rsidR="00754356">
        <w:rPr>
          <w:rFonts w:asciiTheme="majorBidi" w:hAnsiTheme="majorBidi" w:cstheme="majorBidi"/>
        </w:rPr>
        <w:fldChar w:fldCharType="separate"/>
      </w:r>
      <w:r w:rsidR="00204229" w:rsidRPr="00204229">
        <w:rPr>
          <w:rFonts w:asciiTheme="majorBidi" w:hAnsiTheme="majorBidi" w:cstheme="majorBidi"/>
          <w:noProof/>
        </w:rPr>
        <w:t>(Wassenegger et al., 1994)</w:t>
      </w:r>
      <w:r w:rsidR="00754356">
        <w:rPr>
          <w:rFonts w:asciiTheme="majorBidi" w:hAnsiTheme="majorBidi" w:cstheme="majorBidi"/>
        </w:rPr>
        <w:fldChar w:fldCharType="end"/>
      </w:r>
      <w:r w:rsidRPr="00E767FC">
        <w:rPr>
          <w:rFonts w:asciiTheme="majorBidi" w:hAnsiTheme="majorBidi" w:cstheme="majorBidi"/>
        </w:rPr>
        <w:t xml:space="preserve"> </w:t>
      </w:r>
      <w:r>
        <w:rPr>
          <w:rFonts w:asciiTheme="majorBidi" w:hAnsiTheme="majorBidi" w:cstheme="majorBidi"/>
        </w:rPr>
        <w:t xml:space="preserve">and is </w:t>
      </w:r>
      <w:r w:rsidR="00861C50">
        <w:rPr>
          <w:rFonts w:asciiTheme="majorBidi" w:hAnsiTheme="majorBidi" w:cstheme="majorBidi"/>
        </w:rPr>
        <w:t>like</w:t>
      </w:r>
      <w:r>
        <w:rPr>
          <w:rFonts w:asciiTheme="majorBidi" w:hAnsiTheme="majorBidi" w:cstheme="majorBidi"/>
        </w:rPr>
        <w:t xml:space="preserve"> the RNAi pathway described above. </w:t>
      </w:r>
      <w:r w:rsidRPr="00E767FC">
        <w:rPr>
          <w:rFonts w:asciiTheme="majorBidi" w:hAnsiTheme="majorBidi" w:cstheme="majorBidi"/>
        </w:rPr>
        <w:t>R</w:t>
      </w:r>
      <w:r w:rsidR="002A6D82">
        <w:rPr>
          <w:rFonts w:asciiTheme="majorBidi" w:hAnsiTheme="majorBidi" w:cstheme="majorBidi"/>
        </w:rPr>
        <w:t>d</w:t>
      </w:r>
      <w:r w:rsidRPr="00E767FC">
        <w:rPr>
          <w:rFonts w:asciiTheme="majorBidi" w:hAnsiTheme="majorBidi" w:cstheme="majorBidi"/>
        </w:rPr>
        <w:t xml:space="preserve">DM is a pathway that mediates </w:t>
      </w:r>
      <w:r w:rsidRPr="00E767FC">
        <w:rPr>
          <w:rFonts w:asciiTheme="majorBidi" w:eastAsia="Times New Roman" w:hAnsiTheme="majorBidi" w:cstheme="majorBidi"/>
          <w:i/>
          <w:kern w:val="1"/>
          <w:szCs w:val="24"/>
          <w:lang w:eastAsia="ar-SA"/>
        </w:rPr>
        <w:t>de novo</w:t>
      </w:r>
      <w:r w:rsidRPr="00E767FC">
        <w:rPr>
          <w:rFonts w:asciiTheme="majorBidi" w:hAnsiTheme="majorBidi" w:cstheme="majorBidi"/>
        </w:rPr>
        <w:t xml:space="preserve"> DNA methylation, an evolutionary conserved chemical modification of cytosine bases, which exists in living organisms and utilises </w:t>
      </w:r>
      <w:r w:rsidRPr="00E767FC">
        <w:rPr>
          <w:rFonts w:asciiTheme="majorBidi" w:eastAsia="Times New Roman" w:hAnsiTheme="majorBidi" w:cstheme="majorBidi"/>
          <w:kern w:val="1"/>
          <w:lang w:eastAsia="ar-SA"/>
        </w:rPr>
        <w:t>mi</w:t>
      </w:r>
      <w:r w:rsidRPr="00E767FC">
        <w:rPr>
          <w:rFonts w:asciiTheme="majorBidi" w:hAnsiTheme="majorBidi" w:cstheme="majorBidi"/>
        </w:rPr>
        <w:t xml:space="preserve">RNA. DNA methylation has been shown to be a key player in maintaining genome stability and integrity among eukaryotic organisms and contributes to the diversity in genome and developmental characteristics observed among seed plant species </w:t>
      </w:r>
      <w:r w:rsidRPr="00E767FC">
        <w:rPr>
          <w:rFonts w:asciiTheme="majorBidi" w:eastAsia="Times New Roman" w:hAnsiTheme="majorBidi" w:cstheme="majorBidi"/>
          <w:i/>
          <w:kern w:val="1"/>
          <w:szCs w:val="24"/>
          <w:lang w:eastAsia="ar-SA"/>
        </w:rPr>
        <w:fldChar w:fldCharType="begin" w:fldLock="1"/>
      </w:r>
      <w:r w:rsidR="008F6A90">
        <w:rPr>
          <w:rFonts w:asciiTheme="majorBidi" w:hAnsiTheme="majorBidi" w:cstheme="majorBidi"/>
        </w:rPr>
        <w:instrText>ADDIN CSL_CITATION {"citationItems":[{"id":"ITEM-1","itemData":{"DOI":"10.1007/s00299-020-02558-4","ISSN":"1432203X","PMID":"32594202","abstract":"RNA Directed DNA Methylation (RdDM) is a pathway that mediates de novo DNA methylation, an evolutionary conserved chemical modification of cytosine bases, which exists in living organisms and utilizes small interfering RNA. Plants utilize DNA methylation for transposable element (TE) repression, regulation of gene expression and developmental regulation. TE activity strongly influences genome size and evolution, therefore making DNA methylation a key component in understanding divergence in genome evolution among seed plants. Multiple proteins that have extensively been studied in model plant Arabidopsis thaliana catalyze RNA dependent DNA Methylation pathway along with small interfering RNA. Several developmental functions have also been attributed to DNA methylation. This review will highlight aspects of RdDM pathway dynamics, evolution and functions in seed plants with focus on recent findings on conserved and non-conserved attributes between angiosperms and gymnosperms to potentially explain how methylation has impacted variations in evolutionary and developmental complexity among them and advance current understanding of this crucial epigenetic pathway.","author":[{"dropping-particle":"","family":"Wambui Mbichi","given":"R.","non-dropping-particle":"","parse-names":false,"suffix":""},{"dropping-particle":"","family":"Wang","given":"Qing Feng","non-dropping-particle":"","parse-names":false,"suffix":""},{"dropping-particle":"","family":"Wan","given":"Tao","non-dropping-particle":"","parse-names":false,"suffix":""}],"container-title":"Plant Cell Reports","id":"ITEM-1","issue":"8","issued":{"date-parts":[["2020","8"]]},"page":"983-996","publisher":"Springer","title":"RNA directed DNA methylation and seed plant genome evolution","type":"article","volume":"39"},"uris":["http://www.mendeley.com/documents/?uuid=4b8e2116-24a2-498c-9c59-064216855948"]}],"mendeley":{"formattedCitation":"(Wambui Mbichi et al., 2020)","plainTextFormattedCitation":"(Wambui Mbichi et al., 2020)","previouslyFormattedCitation":"(Wambui Mbichi et al., 2020)"},"properties":{"noteIndex":0},"schema":"https://github.com/citation-style-language/schema/raw/master/csl-citation.json"}</w:instrText>
      </w:r>
      <w:r w:rsidRPr="00E767FC">
        <w:rPr>
          <w:rFonts w:asciiTheme="majorBidi" w:eastAsia="Times New Roman" w:hAnsiTheme="majorBidi" w:cstheme="majorBidi"/>
          <w:i/>
          <w:kern w:val="1"/>
          <w:szCs w:val="24"/>
          <w:lang w:eastAsia="ar-SA"/>
        </w:rPr>
        <w:fldChar w:fldCharType="separate"/>
      </w:r>
      <w:r w:rsidRPr="00E767FC">
        <w:rPr>
          <w:rFonts w:asciiTheme="majorBidi" w:eastAsia="Times New Roman" w:hAnsiTheme="majorBidi" w:cstheme="majorBidi"/>
          <w:noProof/>
          <w:kern w:val="1"/>
          <w:szCs w:val="24"/>
          <w:lang w:eastAsia="ar-SA"/>
        </w:rPr>
        <w:t xml:space="preserve">(Wambui Mbichi et al., </w:t>
      </w:r>
      <w:r w:rsidRPr="006A52E3">
        <w:rPr>
          <w:rFonts w:asciiTheme="majorBidi" w:eastAsia="Times New Roman" w:hAnsiTheme="majorBidi" w:cstheme="majorBidi"/>
          <w:noProof/>
          <w:kern w:val="1"/>
          <w:szCs w:val="24"/>
          <w:lang w:eastAsia="ar-SA"/>
        </w:rPr>
        <w:t>2020</w:t>
      </w:r>
      <w:r w:rsidRPr="00E767FC">
        <w:rPr>
          <w:rFonts w:asciiTheme="majorBidi" w:eastAsia="Times New Roman" w:hAnsiTheme="majorBidi" w:cstheme="majorBidi"/>
          <w:i/>
          <w:noProof/>
          <w:kern w:val="1"/>
          <w:szCs w:val="24"/>
          <w:lang w:eastAsia="ar-SA"/>
        </w:rPr>
        <w:t>)</w:t>
      </w:r>
      <w:r w:rsidRPr="00E767FC">
        <w:rPr>
          <w:rFonts w:asciiTheme="majorBidi" w:eastAsia="Times New Roman" w:hAnsiTheme="majorBidi" w:cstheme="majorBidi"/>
          <w:i/>
          <w:kern w:val="1"/>
          <w:szCs w:val="24"/>
          <w:lang w:eastAsia="ar-SA"/>
        </w:rPr>
        <w:fldChar w:fldCharType="end"/>
      </w:r>
      <w:r w:rsidRPr="00E767FC">
        <w:rPr>
          <w:rFonts w:asciiTheme="majorBidi" w:hAnsiTheme="majorBidi" w:cstheme="majorBidi"/>
        </w:rPr>
        <w:t xml:space="preserve">. A variety of tools that allow locus‐specific manipulation of DNA methylation can be used to assess its direct role in specific processes, and they all rely on one of two main approaches: synthesis of siRNAs complementary to the target locus, and direct tethering of the DNA methylation machinery to the target locus through programmable DNA‐binding proteins </w:t>
      </w:r>
      <w:r w:rsidRPr="00E767FC">
        <w:rPr>
          <w:rFonts w:asciiTheme="majorBidi" w:eastAsia="Times New Roman" w:hAnsiTheme="majorBidi" w:cstheme="majorBidi"/>
          <w:kern w:val="1"/>
          <w:szCs w:val="24"/>
          <w:lang w:eastAsia="ar-SA"/>
        </w:rPr>
        <w:fldChar w:fldCharType="begin" w:fldLock="1"/>
      </w:r>
      <w:r w:rsidR="008F6A90">
        <w:rPr>
          <w:rFonts w:asciiTheme="majorBidi" w:hAnsiTheme="majorBidi" w:cstheme="majorBidi"/>
        </w:rPr>
        <w:instrText>ADDIN CSL_CITATION {"citationItems":[{"id":"ITEM-1","itemData":{"DOI":"10.1111/nph.16529","ISSN":"14698137","PMID":"32159848","abstract":"DNA methylation is an epigenetic mark that regulates multiple processes, such as gene expression and genome stability. Mutants and pharmacological treatments have been instrumental in the study of this mark in plants, although their genome-wide effect complicates the direct association between changes in methylation and a particular phenotype. A variety of tools that allow locus-specific manipulation of DNA methylation can be used to assess its direct role in specific processes, as well as to create novel epialleles. Recently, new tools that recruit the methylation machinery directly to target loci through programmable DNA-binding proteins have expanded the tool kit available to researchers. This review provides an overview of DNA methylation in plants and discusses the tools that have recently been developed for its manipulation.","author":[{"dropping-particle":"","family":"Gallego-Bartolomé","given":"Javier","non-dropping-particle":"","parse-names":false,"suffix":""}],"container-title":"New Phytologist","id":"ITEM-1","issue":"1","issued":{"date-parts":[["2020","7"]]},"page":"38-44","publisher":"Blackwell Publishing Ltd","title":"DNA methylation in plants: mechanisms and tools for targeted manipulation","type":"article","volume":"227"},"uris":["http://www.mendeley.com/documents/?uuid=a76d215b-e101-4b12-a646-42f8b3f45f9d"]}],"mendeley":{"formattedCitation":"(Gallego-Bartolomé, 2020)","plainTextFormattedCitation":"(Gallego-Bartolomé, 2020)","previouslyFormattedCitation":"(Gallego-Bartolomé, 2020)"},"properties":{"noteIndex":0},"schema":"https://github.com/citation-style-language/schema/raw/master/csl-citation.json"}</w:instrText>
      </w:r>
      <w:r w:rsidRPr="00E767FC">
        <w:rPr>
          <w:rFonts w:asciiTheme="majorBidi" w:eastAsia="Times New Roman" w:hAnsiTheme="majorBidi" w:cstheme="majorBidi"/>
          <w:kern w:val="1"/>
          <w:szCs w:val="24"/>
          <w:lang w:eastAsia="ar-SA"/>
        </w:rPr>
        <w:fldChar w:fldCharType="separate"/>
      </w:r>
      <w:r w:rsidRPr="00E767FC">
        <w:rPr>
          <w:rFonts w:asciiTheme="majorBidi" w:eastAsia="Times New Roman" w:hAnsiTheme="majorBidi" w:cstheme="majorBidi"/>
          <w:noProof/>
          <w:kern w:val="1"/>
          <w:szCs w:val="24"/>
          <w:lang w:eastAsia="ar-SA"/>
        </w:rPr>
        <w:t>(Gallego-Bartolomé, 2020)</w:t>
      </w:r>
      <w:r w:rsidRPr="00E767FC">
        <w:rPr>
          <w:rFonts w:asciiTheme="majorBidi" w:eastAsia="Times New Roman" w:hAnsiTheme="majorBidi" w:cstheme="majorBidi"/>
          <w:kern w:val="1"/>
          <w:szCs w:val="24"/>
          <w:lang w:eastAsia="ar-SA"/>
        </w:rPr>
        <w:fldChar w:fldCharType="end"/>
      </w:r>
      <w:r w:rsidRPr="00E767FC">
        <w:rPr>
          <w:rFonts w:asciiTheme="majorBidi" w:hAnsiTheme="majorBidi" w:cstheme="majorBidi"/>
        </w:rPr>
        <w:t>.</w:t>
      </w:r>
    </w:p>
    <w:p w14:paraId="05916D80" w14:textId="6DE1780B" w:rsidR="00702C30" w:rsidRPr="0025571B" w:rsidRDefault="0068238E" w:rsidP="00702C30">
      <w:pPr>
        <w:pStyle w:val="Heading3"/>
        <w:rPr>
          <w:szCs w:val="22"/>
        </w:rPr>
      </w:pPr>
      <w:bookmarkStart w:id="32" w:name="_Toc70112664"/>
      <w:bookmarkStart w:id="33" w:name="_Toc70685686"/>
      <w:r>
        <w:rPr>
          <w:szCs w:val="22"/>
          <w:lang w:val="en-US"/>
        </w:rPr>
        <w:t>1</w:t>
      </w:r>
      <w:r w:rsidR="00702C30" w:rsidRPr="00407F9C">
        <w:rPr>
          <w:szCs w:val="22"/>
        </w:rPr>
        <w:t>.</w:t>
      </w:r>
      <w:r w:rsidR="006B4CCC" w:rsidRPr="00E8523F">
        <w:rPr>
          <w:szCs w:val="22"/>
          <w:lang w:val="en-GB"/>
        </w:rPr>
        <w:t>6</w:t>
      </w:r>
      <w:r w:rsidR="00702C30" w:rsidRPr="00A43830">
        <w:rPr>
          <w:szCs w:val="22"/>
        </w:rPr>
        <w:t>. Artificial Intelligence and Machine Learning</w:t>
      </w:r>
      <w:r w:rsidR="00E8523F">
        <w:rPr>
          <w:szCs w:val="22"/>
          <w:lang w:val="en-US"/>
        </w:rPr>
        <w:t>.</w:t>
      </w:r>
      <w:bookmarkEnd w:id="32"/>
      <w:bookmarkEnd w:id="33"/>
    </w:p>
    <w:p w14:paraId="1C53068E" w14:textId="572D54EA" w:rsidR="6A3FD8EC" w:rsidRDefault="00FB4ED2" w:rsidP="55736870">
      <w:pPr>
        <w:spacing w:before="120" w:after="120" w:line="240" w:lineRule="auto"/>
        <w:jc w:val="both"/>
        <w:rPr>
          <w:rFonts w:ascii="Times New Roman" w:hAnsi="Times New Roman"/>
          <w:color w:val="000000" w:themeColor="text1"/>
          <w:lang w:eastAsia="ar-SA"/>
        </w:rPr>
      </w:pPr>
      <w:r w:rsidRPr="1386BD8E">
        <w:rPr>
          <w:rFonts w:ascii="Times New Roman" w:hAnsi="Times New Roman"/>
          <w:color w:val="000000" w:themeColor="text1"/>
          <w:lang w:eastAsia="ar-SA"/>
        </w:rPr>
        <w:t xml:space="preserve">Many engineering endeavours involve </w:t>
      </w:r>
      <w:r w:rsidR="00702C30" w:rsidRPr="1386BD8E">
        <w:rPr>
          <w:rFonts w:ascii="Times New Roman" w:hAnsi="Times New Roman"/>
          <w:color w:val="000000" w:themeColor="text1"/>
          <w:lang w:eastAsia="ar-SA"/>
        </w:rPr>
        <w:t>D</w:t>
      </w:r>
      <w:r w:rsidRPr="1386BD8E">
        <w:rPr>
          <w:rFonts w:ascii="Times New Roman" w:hAnsi="Times New Roman"/>
          <w:color w:val="000000" w:themeColor="text1"/>
          <w:lang w:eastAsia="ar-SA"/>
        </w:rPr>
        <w:t>esign-</w:t>
      </w:r>
      <w:r w:rsidR="00702C30" w:rsidRPr="1386BD8E">
        <w:rPr>
          <w:rFonts w:ascii="Times New Roman" w:hAnsi="Times New Roman"/>
          <w:color w:val="000000" w:themeColor="text1"/>
          <w:lang w:eastAsia="ar-SA"/>
        </w:rPr>
        <w:t>B</w:t>
      </w:r>
      <w:r w:rsidRPr="1386BD8E">
        <w:rPr>
          <w:rFonts w:ascii="Times New Roman" w:hAnsi="Times New Roman"/>
          <w:color w:val="000000" w:themeColor="text1"/>
          <w:lang w:eastAsia="ar-SA"/>
        </w:rPr>
        <w:t>uild-</w:t>
      </w:r>
      <w:r w:rsidR="00702C30" w:rsidRPr="1386BD8E">
        <w:rPr>
          <w:rFonts w:ascii="Times New Roman" w:hAnsi="Times New Roman"/>
          <w:color w:val="000000" w:themeColor="text1"/>
          <w:lang w:eastAsia="ar-SA"/>
        </w:rPr>
        <w:t>T</w:t>
      </w:r>
      <w:r w:rsidRPr="1386BD8E">
        <w:rPr>
          <w:rFonts w:ascii="Times New Roman" w:hAnsi="Times New Roman"/>
          <w:color w:val="000000" w:themeColor="text1"/>
          <w:lang w:eastAsia="ar-SA"/>
        </w:rPr>
        <w:t>est</w:t>
      </w:r>
      <w:r w:rsidR="00702C30" w:rsidRPr="1386BD8E">
        <w:rPr>
          <w:rFonts w:ascii="Times New Roman" w:hAnsi="Times New Roman"/>
          <w:color w:val="000000" w:themeColor="text1"/>
          <w:lang w:eastAsia="ar-SA"/>
        </w:rPr>
        <w:t>-Learn</w:t>
      </w:r>
      <w:r w:rsidRPr="1386BD8E">
        <w:rPr>
          <w:rFonts w:ascii="Times New Roman" w:hAnsi="Times New Roman"/>
          <w:color w:val="000000" w:themeColor="text1"/>
          <w:lang w:eastAsia="ar-SA"/>
        </w:rPr>
        <w:t xml:space="preserve"> cycles to achieve optimal solutions</w:t>
      </w:r>
      <w:r w:rsidR="00702C30" w:rsidRPr="1386BD8E">
        <w:rPr>
          <w:rFonts w:ascii="Times New Roman" w:hAnsi="Times New Roman"/>
          <w:color w:val="000000" w:themeColor="text1"/>
          <w:lang w:eastAsia="ar-SA"/>
        </w:rPr>
        <w:t xml:space="preserve"> (</w:t>
      </w:r>
      <w:r w:rsidR="006D338E">
        <w:rPr>
          <w:rFonts w:ascii="Times New Roman" w:hAnsi="Times New Roman"/>
          <w:color w:val="000000" w:themeColor="text1"/>
          <w:lang w:eastAsia="ar-SA"/>
        </w:rPr>
        <w:t>F</w:t>
      </w:r>
      <w:r w:rsidR="006D338E" w:rsidRPr="1386BD8E">
        <w:rPr>
          <w:rFonts w:ascii="Times New Roman" w:hAnsi="Times New Roman"/>
          <w:color w:val="000000" w:themeColor="text1"/>
          <w:lang w:eastAsia="ar-SA"/>
        </w:rPr>
        <w:t xml:space="preserve">igure </w:t>
      </w:r>
      <w:r w:rsidR="00702C30" w:rsidRPr="1386BD8E">
        <w:rPr>
          <w:rFonts w:ascii="Times New Roman" w:hAnsi="Times New Roman"/>
          <w:color w:val="000000" w:themeColor="text1"/>
          <w:lang w:eastAsia="ar-SA"/>
        </w:rPr>
        <w:t>1)</w:t>
      </w:r>
      <w:r w:rsidRPr="1386BD8E">
        <w:rPr>
          <w:rFonts w:ascii="Times New Roman" w:hAnsi="Times New Roman"/>
          <w:color w:val="000000" w:themeColor="text1"/>
          <w:lang w:eastAsia="ar-SA"/>
        </w:rPr>
        <w:t xml:space="preserve">. </w:t>
      </w:r>
      <w:r w:rsidR="00702C30" w:rsidRPr="1386BD8E">
        <w:rPr>
          <w:rFonts w:ascii="Times New Roman" w:hAnsi="Times New Roman"/>
          <w:color w:val="000000" w:themeColor="text1"/>
          <w:lang w:eastAsia="ar-SA"/>
        </w:rPr>
        <w:t>However, t</w:t>
      </w:r>
      <w:r w:rsidRPr="1386BD8E">
        <w:rPr>
          <w:rFonts w:ascii="Times New Roman" w:hAnsi="Times New Roman"/>
          <w:color w:val="000000" w:themeColor="text1"/>
          <w:lang w:eastAsia="ar-SA"/>
        </w:rPr>
        <w:t>he execution of these cycles when engineering a biological system (</w:t>
      </w:r>
      <w:r w:rsidR="00DD2CDA">
        <w:rPr>
          <w:rFonts w:ascii="Times New Roman" w:hAnsi="Times New Roman"/>
          <w:color w:val="000000" w:themeColor="text1"/>
          <w:lang w:eastAsia="ar-SA"/>
        </w:rPr>
        <w:t>e.g</w:t>
      </w:r>
      <w:r w:rsidRPr="1386BD8E">
        <w:rPr>
          <w:rFonts w:ascii="Times New Roman" w:hAnsi="Times New Roman"/>
          <w:color w:val="000000" w:themeColor="text1"/>
          <w:lang w:eastAsia="ar-SA"/>
        </w:rPr>
        <w:t xml:space="preserve">. a protein, a metabolic pathway, a genetic circuit, </w:t>
      </w:r>
      <w:r w:rsidR="00D865EA" w:rsidRPr="1386BD8E">
        <w:rPr>
          <w:rFonts w:ascii="Times New Roman" w:hAnsi="Times New Roman"/>
          <w:color w:val="000000" w:themeColor="text1"/>
          <w:lang w:eastAsia="ar-SA"/>
        </w:rPr>
        <w:t>or</w:t>
      </w:r>
      <w:r w:rsidRPr="1386BD8E">
        <w:rPr>
          <w:rFonts w:ascii="Times New Roman" w:hAnsi="Times New Roman"/>
          <w:color w:val="000000" w:themeColor="text1"/>
          <w:lang w:eastAsia="ar-SA"/>
        </w:rPr>
        <w:t xml:space="preserve"> a genome) has encountered multiple obstacles. One main reason is that research and development in biology is largely dependent on the artisanal work of skilful researchers </w:t>
      </w:r>
      <w:r w:rsidR="007B4788">
        <w:rPr>
          <w:rFonts w:ascii="Times New Roman" w:hAnsi="Times New Roman"/>
          <w:color w:val="000000" w:themeColor="text1"/>
          <w:lang w:eastAsia="ar-SA"/>
        </w:rPr>
        <w:fldChar w:fldCharType="begin" w:fldLock="1"/>
      </w:r>
      <w:r w:rsidR="00B07CFD">
        <w:rPr>
          <w:rFonts w:ascii="Times New Roman" w:hAnsi="Times New Roman"/>
          <w:color w:val="000000" w:themeColor="text1"/>
          <w:lang w:eastAsia="ar-SA"/>
        </w:rPr>
        <w:instrText>ADDIN CSL_CITATION {"citationItems":[{"id":"ITEM-1","itemData":{"DOI":"10.1016/j.ymben.2017.06.003","ISSN":"10967184","PMID":"28602523","abstract":"Engineered biological systems such as genetic circuits and microbial cell factories have promised to solve many challenges in the modern society. However, the artisanal processes of research and development are slow, expensive, and inconsistent, representing a major obstacle in biotechnology and bioengineering. In recent years, biological foundries or biofoundries have been developed to automate design-build-test engineering cycles in an effort to accelerate these processes. This review summarizes the enabling technologies for such biofoundries as well as their early successes and remaining challenges.","author":[{"dropping-particle":"","family":"Chao","given":"Ran","non-dropping-particle":"","parse-names":false,"suffix":""},{"dropping-particle":"","family":"Mishra","given":"Shekhar","non-dropping-particle":"","parse-names":false,"suffix":""},{"dropping-particle":"","family":"Si","given":"Tong","non-dropping-particle":"","parse-names":false,"suffix":""},{"dropping-particle":"","family":"Zhao","given":"Huimin","non-dropping-particle":"","parse-names":false,"suffix":""}],"container-title":"Metabolic Engineering","id":"ITEM-1","issued":{"date-parts":[["2017","7"]]},"page":"98-108","publisher":"Academic Press Inc.","title":"Engineering biological systems using automated biofoundries","type":"article","volume":"42"},"uris":["http://www.mendeley.com/documents/?uuid=c36264c4-a552-40eb-bc31-bda6857d49a3"]}],"mendeley":{"formattedCitation":"(Chao et al., 2017)","plainTextFormattedCitation":"(Chao et al., 2017)","previouslyFormattedCitation":"(Chao et al., 2017)"},"properties":{"noteIndex":0},"schema":"https://github.com/citation-style-language/schema/raw/master/csl-citation.json"}</w:instrText>
      </w:r>
      <w:r w:rsidR="007B4788">
        <w:rPr>
          <w:rFonts w:ascii="Times New Roman" w:hAnsi="Times New Roman"/>
          <w:color w:val="000000" w:themeColor="text1"/>
          <w:lang w:eastAsia="ar-SA"/>
        </w:rPr>
        <w:fldChar w:fldCharType="separate"/>
      </w:r>
      <w:r w:rsidR="007B4788" w:rsidRPr="007B4788">
        <w:rPr>
          <w:rFonts w:ascii="Times New Roman" w:hAnsi="Times New Roman"/>
          <w:noProof/>
          <w:color w:val="000000" w:themeColor="text1"/>
          <w:lang w:eastAsia="ar-SA"/>
        </w:rPr>
        <w:t>(Chao et al., 2017)</w:t>
      </w:r>
      <w:r w:rsidR="007B4788">
        <w:rPr>
          <w:rFonts w:ascii="Times New Roman" w:hAnsi="Times New Roman"/>
          <w:color w:val="000000" w:themeColor="text1"/>
          <w:lang w:eastAsia="ar-SA"/>
        </w:rPr>
        <w:fldChar w:fldCharType="end"/>
      </w:r>
      <w:r w:rsidRPr="1386BD8E">
        <w:rPr>
          <w:rFonts w:ascii="Times New Roman" w:hAnsi="Times New Roman"/>
          <w:color w:val="000000" w:themeColor="text1"/>
          <w:lang w:eastAsia="ar-SA"/>
        </w:rPr>
        <w:t>.</w:t>
      </w:r>
      <w:r w:rsidR="00702C30" w:rsidRPr="1386BD8E">
        <w:rPr>
          <w:rFonts w:ascii="Times New Roman" w:hAnsi="Times New Roman"/>
          <w:color w:val="000000" w:themeColor="text1"/>
          <w:lang w:eastAsia="ar-SA"/>
        </w:rPr>
        <w:t xml:space="preserve"> T</w:t>
      </w:r>
      <w:r w:rsidR="2E262244" w:rsidRPr="1386BD8E">
        <w:rPr>
          <w:rFonts w:ascii="Times New Roman" w:hAnsi="Times New Roman"/>
          <w:color w:val="000000" w:themeColor="text1"/>
          <w:lang w:eastAsia="ar-SA"/>
        </w:rPr>
        <w:t>he</w:t>
      </w:r>
      <w:r w:rsidR="4A219B6E" w:rsidRPr="1386BD8E">
        <w:rPr>
          <w:rFonts w:ascii="Times New Roman" w:hAnsi="Times New Roman"/>
          <w:color w:val="000000" w:themeColor="text1"/>
          <w:lang w:eastAsia="ar-SA"/>
        </w:rPr>
        <w:t xml:space="preserve"> Learn</w:t>
      </w:r>
      <w:r w:rsidR="0AE476F7" w:rsidRPr="1386BD8E">
        <w:rPr>
          <w:rFonts w:ascii="Times New Roman" w:hAnsi="Times New Roman"/>
          <w:color w:val="000000" w:themeColor="text1"/>
          <w:lang w:eastAsia="ar-SA"/>
        </w:rPr>
        <w:t xml:space="preserve"> step</w:t>
      </w:r>
      <w:r w:rsidR="4A219B6E" w:rsidRPr="1386BD8E">
        <w:rPr>
          <w:rFonts w:ascii="Times New Roman" w:hAnsi="Times New Roman"/>
          <w:color w:val="000000" w:themeColor="text1"/>
          <w:lang w:eastAsia="ar-SA"/>
        </w:rPr>
        <w:t xml:space="preserve"> has traditionally been the most weakly supported and developed, despite its critical importance to accelerate the full cycle</w:t>
      </w:r>
      <w:r w:rsidR="5D1DD193" w:rsidRPr="1386BD8E">
        <w:rPr>
          <w:rFonts w:ascii="Times New Roman" w:hAnsi="Times New Roman"/>
          <w:color w:val="000000" w:themeColor="text1"/>
          <w:lang w:eastAsia="ar-SA"/>
        </w:rPr>
        <w:t xml:space="preserve"> </w:t>
      </w:r>
      <w:r w:rsidR="009B70E3">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{"citationItems":[{"id":"ITEM-1","itemData":{"DOI":"10.1038/s41467-020-18008-4","ISSN":"20411723","PMID":"32978379","abstract":"Synthetic biology allows us to bioengineer cells to synthesize novel valuable molecules such as renewable biofuels or anticancer drugs. However, traditional synthetic biology approaches involve ad-hoc engineering practices, which lead to long development times. Here, we present the Automated Recommendation Tool (ART), a tool that leverages machine learning and probabilistic modeling techniques to guide synthetic biology in a systematic fashion, without the need for a full mechanistic understanding of the biological system. Using sampling-based optimization, ART provides a set of recommended strains to be built in the next engineering cycle, alongside probabilistic predictions of their production levels. We demonstrate the capabilities of ART on simulated data sets, as well as experimental data from real metabolic engineering projects producing renewable biofuels, hoppy flavored beer without hops, fatty acids, and tryptophan. Finally, we discuss the limitations of this approach, and the practical consequences of the underlying assumptions failing.","author":[{"dropping-particle":"","family":"Radivojević","given":"Tijana","non-dropping-particle":"","parse-names":false,"suffix":""},{"dropping-particle":"","family":"Costello","given":"Zak","non-dropping-particle":"","parse-names":false,"suffix":""},{"dropping-particle":"","family":"Workman","given":"Kenneth","non-dropping-particle":"","parse-names":false,"suffix":""},{"dropping-particle":"","family":"Garcia Martin","given":"Hector","non-dropping-particle":"","parse-names":false,"suffix":""}],"container-title":"Nature Communications","id":"ITEM-1","issue":"1","issued":{"date-parts":[["2020","12"]]},"publisher":"Nature Research","title":"A machine learning Automated Recommendation Tool for synthetic biology","type":"article-journal","volume":"11"},"uris":["http://www.mendeley.com/documents/?uuid=59189a55-8a4e-3b9e-bd92-4a6ffbece921","http://www.mendeley.com/documents/?uuid=bfe06702-dbd5-484d-b94d-75716c059506","http://www.mendeley.com/documents/?uuid=48a51dd8-096a-4819-8a38-6f28bd97bc76"]}],"mendeley":{"formattedCitation":"(Radivojević et al., 2020)","plainTextFormattedCitation":"(Radivojević et al., 2020)","previouslyFormattedCitation":"(Radivojević et al., 2020)"},"properties":{"noteIndex":0},"schema":"https://github.com/citation-style-language/schema/raw/master/csl-citation.json"}</w:instrText>
      </w:r>
      <w:r w:rsidR="009B70E3">
        <w:rPr>
          <w:rFonts w:ascii="Times New Roman" w:hAnsi="Times New Roman"/>
          <w:color w:val="000000" w:themeColor="text1"/>
          <w:lang w:eastAsia="ar-SA"/>
        </w:rPr>
        <w:fldChar w:fldCharType="separate"/>
      </w:r>
      <w:r w:rsidR="009B70E3" w:rsidRPr="009B70E3">
        <w:rPr>
          <w:rFonts w:ascii="Times New Roman" w:hAnsi="Times New Roman"/>
          <w:noProof/>
          <w:color w:val="000000" w:themeColor="text1"/>
          <w:lang w:eastAsia="ar-SA"/>
        </w:rPr>
        <w:t>(Radivojević et al., 2020)</w:t>
      </w:r>
      <w:r w:rsidR="009B70E3">
        <w:rPr>
          <w:rFonts w:ascii="Times New Roman" w:hAnsi="Times New Roman"/>
          <w:color w:val="000000" w:themeColor="text1"/>
          <w:lang w:eastAsia="ar-SA"/>
        </w:rPr>
        <w:fldChar w:fldCharType="end"/>
      </w:r>
      <w:r w:rsidR="4A219B6E" w:rsidRPr="1386BD8E">
        <w:rPr>
          <w:rFonts w:ascii="Times New Roman" w:hAnsi="Times New Roman"/>
          <w:color w:val="000000" w:themeColor="text1"/>
          <w:lang w:eastAsia="ar-SA"/>
        </w:rPr>
        <w:t xml:space="preserve">. Machine learning arises as an effective </w:t>
      </w:r>
      <w:r w:rsidR="00E92428">
        <w:rPr>
          <w:rFonts w:ascii="Times New Roman" w:hAnsi="Times New Roman"/>
          <w:color w:val="000000" w:themeColor="text1"/>
          <w:lang w:eastAsia="ar-SA"/>
        </w:rPr>
        <w:t>a</w:t>
      </w:r>
      <w:r w:rsidRPr="1386BD8E">
        <w:rPr>
          <w:rFonts w:ascii="Times New Roman" w:hAnsi="Times New Roman"/>
          <w:color w:val="000000" w:themeColor="text1"/>
          <w:lang w:eastAsia="ar-SA"/>
        </w:rPr>
        <w:t xml:space="preserve">rtificial </w:t>
      </w:r>
      <w:r w:rsidR="00E92428">
        <w:rPr>
          <w:rFonts w:ascii="Times New Roman" w:hAnsi="Times New Roman"/>
          <w:color w:val="000000" w:themeColor="text1"/>
          <w:lang w:eastAsia="ar-SA"/>
        </w:rPr>
        <w:t>i</w:t>
      </w:r>
      <w:r w:rsidRPr="1386BD8E">
        <w:rPr>
          <w:rFonts w:ascii="Times New Roman" w:hAnsi="Times New Roman"/>
          <w:color w:val="000000" w:themeColor="text1"/>
          <w:lang w:eastAsia="ar-SA"/>
        </w:rPr>
        <w:t>ntelligence</w:t>
      </w:r>
      <w:r w:rsidR="4E650056" w:rsidRPr="1386BD8E">
        <w:rPr>
          <w:rFonts w:ascii="Times New Roman" w:hAnsi="Times New Roman"/>
          <w:color w:val="000000" w:themeColor="text1"/>
          <w:lang w:eastAsia="ar-SA"/>
        </w:rPr>
        <w:t xml:space="preserve"> </w:t>
      </w:r>
      <w:r w:rsidR="4A219B6E" w:rsidRPr="1386BD8E">
        <w:rPr>
          <w:rFonts w:ascii="Times New Roman" w:hAnsi="Times New Roman"/>
          <w:color w:val="000000" w:themeColor="text1"/>
          <w:lang w:eastAsia="ar-SA"/>
        </w:rPr>
        <w:t xml:space="preserve">tool to predict biological system </w:t>
      </w:r>
      <w:r w:rsidR="0E2330E9" w:rsidRPr="1386BD8E">
        <w:rPr>
          <w:rFonts w:ascii="Times New Roman" w:hAnsi="Times New Roman"/>
          <w:color w:val="000000" w:themeColor="text1"/>
          <w:lang w:eastAsia="ar-SA"/>
        </w:rPr>
        <w:t>behaviour</w:t>
      </w:r>
      <w:r w:rsidR="4A219B6E" w:rsidRPr="1386BD8E">
        <w:rPr>
          <w:rFonts w:ascii="Times New Roman" w:hAnsi="Times New Roman"/>
          <w:color w:val="000000" w:themeColor="text1"/>
          <w:lang w:eastAsia="ar-SA"/>
        </w:rPr>
        <w:t xml:space="preserve"> and empower the Learn phase, enabled by emerging high-throughput phenotyping technologies.</w:t>
      </w:r>
      <w:r w:rsidR="00DF163E">
        <w:rPr>
          <w:rFonts w:ascii="Times New Roman" w:hAnsi="Times New Roman"/>
          <w:color w:val="000000" w:themeColor="text1"/>
          <w:lang w:eastAsia="ar-SA"/>
        </w:rPr>
        <w:t xml:space="preserve"> </w:t>
      </w:r>
      <w:r w:rsidR="00D638E0">
        <w:rPr>
          <w:rFonts w:ascii="Times New Roman" w:hAnsi="Times New Roman"/>
          <w:color w:val="000000" w:themeColor="text1"/>
          <w:lang w:eastAsia="ar-SA"/>
        </w:rPr>
        <w:t>However,</w:t>
      </w:r>
      <w:r w:rsidR="00C76B4E">
        <w:rPr>
          <w:rFonts w:ascii="Times New Roman" w:hAnsi="Times New Roman"/>
          <w:color w:val="000000" w:themeColor="text1"/>
          <w:lang w:eastAsia="ar-SA"/>
        </w:rPr>
        <w:t xml:space="preserve"> it is important to note that</w:t>
      </w:r>
      <w:r w:rsidR="00D638E0">
        <w:rPr>
          <w:rFonts w:ascii="Times New Roman" w:hAnsi="Times New Roman"/>
          <w:color w:val="000000" w:themeColor="text1"/>
          <w:lang w:eastAsia="ar-SA"/>
        </w:rPr>
        <w:t xml:space="preserve"> this tool requires datasets, which are utilized to </w:t>
      </w:r>
      <w:r w:rsidR="00C76B4E">
        <w:rPr>
          <w:rFonts w:ascii="Times New Roman" w:hAnsi="Times New Roman"/>
          <w:color w:val="000000" w:themeColor="text1"/>
          <w:lang w:eastAsia="ar-SA"/>
        </w:rPr>
        <w:t>construct</w:t>
      </w:r>
      <w:r w:rsidR="00D638E0">
        <w:rPr>
          <w:rFonts w:ascii="Times New Roman" w:hAnsi="Times New Roman"/>
          <w:color w:val="000000" w:themeColor="text1"/>
          <w:lang w:eastAsia="ar-SA"/>
        </w:rPr>
        <w:t xml:space="preserve"> mathematical models (training) to</w:t>
      </w:r>
      <w:r w:rsidR="00DF163E">
        <w:rPr>
          <w:rFonts w:ascii="Times New Roman" w:hAnsi="Times New Roman"/>
          <w:color w:val="000000" w:themeColor="text1"/>
          <w:lang w:eastAsia="ar-SA"/>
        </w:rPr>
        <w:t xml:space="preserve"> </w:t>
      </w:r>
      <w:r w:rsidR="00D638E0">
        <w:rPr>
          <w:rFonts w:ascii="Times New Roman" w:hAnsi="Times New Roman"/>
          <w:color w:val="000000" w:themeColor="text1"/>
          <w:lang w:eastAsia="ar-SA"/>
        </w:rPr>
        <w:t xml:space="preserve">identify underlying </w:t>
      </w:r>
      <w:r w:rsidR="00DF163E">
        <w:rPr>
          <w:rFonts w:ascii="Times New Roman" w:hAnsi="Times New Roman"/>
          <w:color w:val="000000" w:themeColor="text1"/>
          <w:lang w:eastAsia="ar-SA"/>
        </w:rPr>
        <w:t>regularities</w:t>
      </w:r>
      <w:r w:rsidR="00441DB1">
        <w:rPr>
          <w:rFonts w:ascii="Times New Roman" w:hAnsi="Times New Roman"/>
          <w:color w:val="000000" w:themeColor="text1"/>
          <w:lang w:eastAsia="ar-SA"/>
        </w:rPr>
        <w:t xml:space="preserve"> or patterns</w:t>
      </w:r>
      <w:r w:rsidR="00D638E0">
        <w:rPr>
          <w:rFonts w:ascii="Times New Roman" w:hAnsi="Times New Roman"/>
          <w:color w:val="000000" w:themeColor="text1"/>
          <w:lang w:eastAsia="ar-SA"/>
        </w:rPr>
        <w:t>,</w:t>
      </w:r>
      <w:r w:rsidR="00DF163E">
        <w:rPr>
          <w:rFonts w:ascii="Times New Roman" w:hAnsi="Times New Roman"/>
          <w:color w:val="000000" w:themeColor="text1"/>
          <w:lang w:eastAsia="ar-SA"/>
        </w:rPr>
        <w:t xml:space="preserve"> </w:t>
      </w:r>
      <w:r w:rsidR="00D638E0">
        <w:rPr>
          <w:rFonts w:ascii="Times New Roman" w:hAnsi="Times New Roman"/>
          <w:color w:val="000000" w:themeColor="text1"/>
          <w:lang w:eastAsia="ar-SA"/>
        </w:rPr>
        <w:t xml:space="preserve">which then can </w:t>
      </w:r>
      <w:r w:rsidR="00DF163E">
        <w:rPr>
          <w:rFonts w:ascii="Times New Roman" w:hAnsi="Times New Roman"/>
          <w:color w:val="000000" w:themeColor="text1"/>
          <w:lang w:eastAsia="ar-SA"/>
        </w:rPr>
        <w:t>provid</w:t>
      </w:r>
      <w:r w:rsidR="00D638E0">
        <w:rPr>
          <w:rFonts w:ascii="Times New Roman" w:hAnsi="Times New Roman"/>
          <w:color w:val="000000" w:themeColor="text1"/>
          <w:lang w:eastAsia="ar-SA"/>
        </w:rPr>
        <w:t>e</w:t>
      </w:r>
      <w:r w:rsidR="0023201F">
        <w:rPr>
          <w:rFonts w:ascii="Times New Roman" w:hAnsi="Times New Roman"/>
          <w:color w:val="000000" w:themeColor="text1"/>
          <w:lang w:eastAsia="ar-SA"/>
        </w:rPr>
        <w:t xml:space="preserve"> general</w:t>
      </w:r>
      <w:r w:rsidR="00DF163E">
        <w:rPr>
          <w:rFonts w:ascii="Times New Roman" w:hAnsi="Times New Roman"/>
          <w:color w:val="000000" w:themeColor="text1"/>
          <w:lang w:eastAsia="ar-SA"/>
        </w:rPr>
        <w:t xml:space="preserve"> predictions</w:t>
      </w:r>
      <w:r w:rsidR="00D638E0">
        <w:rPr>
          <w:rFonts w:ascii="Times New Roman" w:hAnsi="Times New Roman"/>
          <w:color w:val="000000" w:themeColor="text1"/>
          <w:lang w:eastAsia="ar-SA"/>
        </w:rPr>
        <w:t xml:space="preserve"> on </w:t>
      </w:r>
      <w:r w:rsidR="0023201F">
        <w:rPr>
          <w:rFonts w:ascii="Times New Roman" w:hAnsi="Times New Roman"/>
          <w:color w:val="000000" w:themeColor="text1"/>
          <w:lang w:eastAsia="ar-SA"/>
        </w:rPr>
        <w:t>unsee</w:t>
      </w:r>
      <w:r w:rsidR="00441DB1">
        <w:rPr>
          <w:rFonts w:ascii="Times New Roman" w:hAnsi="Times New Roman"/>
          <w:color w:val="000000" w:themeColor="text1"/>
          <w:lang w:eastAsia="ar-SA"/>
        </w:rPr>
        <w:t>n</w:t>
      </w:r>
      <w:r w:rsidR="0023201F">
        <w:rPr>
          <w:rFonts w:ascii="Times New Roman" w:hAnsi="Times New Roman"/>
          <w:color w:val="000000" w:themeColor="text1"/>
          <w:lang w:eastAsia="ar-SA"/>
        </w:rPr>
        <w:t xml:space="preserve"> </w:t>
      </w:r>
      <w:r w:rsidR="00D638E0">
        <w:rPr>
          <w:rFonts w:ascii="Times New Roman" w:hAnsi="Times New Roman"/>
          <w:color w:val="000000" w:themeColor="text1"/>
          <w:lang w:eastAsia="ar-SA"/>
        </w:rPr>
        <w:t>dataset</w:t>
      </w:r>
      <w:r w:rsidR="0023201F">
        <w:rPr>
          <w:rFonts w:ascii="Times New Roman" w:hAnsi="Times New Roman"/>
          <w:color w:val="000000" w:themeColor="text1"/>
          <w:lang w:eastAsia="ar-SA"/>
        </w:rPr>
        <w:t>s</w:t>
      </w:r>
      <w:r w:rsidR="00DF163E">
        <w:rPr>
          <w:rFonts w:ascii="Times New Roman" w:hAnsi="Times New Roman"/>
          <w:color w:val="000000" w:themeColor="text1"/>
          <w:lang w:eastAsia="ar-SA"/>
        </w:rPr>
        <w:t xml:space="preserve"> without a need to understand the detailed </w:t>
      </w:r>
      <w:r w:rsidR="00441DB1">
        <w:rPr>
          <w:rFonts w:ascii="Times New Roman" w:hAnsi="Times New Roman"/>
          <w:color w:val="000000" w:themeColor="text1"/>
          <w:lang w:eastAsia="ar-SA"/>
        </w:rPr>
        <w:t>biological mechanisms</w:t>
      </w:r>
      <w:r w:rsidR="00DF163E">
        <w:rPr>
          <w:rFonts w:ascii="Times New Roman" w:hAnsi="Times New Roman"/>
          <w:color w:val="000000" w:themeColor="text1"/>
          <w:lang w:eastAsia="ar-SA"/>
        </w:rPr>
        <w:t xml:space="preserve"> </w:t>
      </w:r>
      <w:r w:rsidR="007B4788">
        <w:rPr>
          <w:rFonts w:ascii="Times New Roman" w:hAnsi="Times New Roman"/>
          <w:color w:val="000000" w:themeColor="text1"/>
          <w:lang w:eastAsia="ar-SA"/>
        </w:rPr>
        <w:fldChar w:fldCharType="begin" w:fldLock="1"/>
      </w:r>
      <w:r w:rsidR="007B4788">
        <w:rPr>
          <w:rFonts w:ascii="Times New Roman" w:hAnsi="Times New Roman"/>
          <w:color w:val="000000" w:themeColor="text1"/>
          <w:lang w:eastAsia="ar-SA"/>
        </w:rPr>
        <w:instrText>ADDIN CSL_CITATION {"citationItems":[{"id":"ITEM-1","itemData":{"DOI":"10.1038/s41467-020-18008-4","ISSN":"20411723","PMID":"32978379","abstract":"Synthetic biology allows us to bioengineer cells to synthesize novel valuable molecules such as renewable biofuels or anticancer drugs. However, traditional synthetic biology approaches involve ad-hoc engineering practices, which lead to long development times. Here, we present the Automated Recommendation Tool (ART), a tool that leverages machine learning and probabilistic modeling techniques to guide synthetic biology in a systematic fashion, without the need for a full mechanistic understanding of the biological system. Using sampling-based optimization, ART provides a set of recommended strains to be built in the next engineering cycle, alongside probabilistic predictions of their production levels. We demonstrate the capabilities of ART on simulated data sets, as well as experimental data from real metabolic engineering projects producing renewable biofuels, hoppy flavored beer without hops, fatty acids, and tryptophan. Finally, we discuss the limitations of this approach, and the practical consequences of the underlying assumptions failing.","author":[{"dropping-particle":"","family":"Radivojević","given":"Tijana","non-dropping-particle":"","parse-names":false,"suffix":""},{"dropping-particle":"","family":"Costello","given":"Zak","non-dropping-particle":"","parse-names":false,"suffix":""},{"dropping-particle":"","family":"Workman","given":"Kenneth","non-dropping-particle":"","parse-names":false,"suffix":""},{"dropping-particle":"","family":"Garcia Martin","given":"Hector","non-dropping-particle":"","parse-names":false,"suffix":""}],"container-title":"Nature Communications","id":"ITEM-1","issue":"1","issued":{"date-parts":[["2020","12"]]},"publisher":"Nature Research","title":"A machine learning Automated Recommendation Tool for synthetic biology","type":"article-journal","volume":"11"},"uris":["http://www.mendeley.com/documents/?uuid=59189a55-8a4e-3b9e-bd92-4a6ffbece921","http://www.mendeley.com/documents/?uuid=bfe06702-dbd5-484d-b94d-75716c059506","http://www.mendeley.com/documents/?uuid=48a51dd8-096a-4819-8a38-6f28bd97bc76"]}],"mendeley":{"formattedCitation":"(Radivojević et al., 2020)","plainTextFormattedCitation":"(Radivojević et al., 2020)","previouslyFormattedCitation":"(Radivojević et al., 2020)"},"properties":{"noteIndex":0},"schema":"https://github.com/citation-style-language/schema/raw/master/csl-citation.json"}</w:instrText>
      </w:r>
      <w:r w:rsidR="007B4788">
        <w:rPr>
          <w:rFonts w:ascii="Times New Roman" w:hAnsi="Times New Roman"/>
          <w:color w:val="000000" w:themeColor="text1"/>
          <w:lang w:eastAsia="ar-SA"/>
        </w:rPr>
        <w:fldChar w:fldCharType="separate"/>
      </w:r>
      <w:r w:rsidR="007B4788" w:rsidRPr="009B70E3">
        <w:rPr>
          <w:rFonts w:ascii="Times New Roman" w:hAnsi="Times New Roman"/>
          <w:noProof/>
          <w:color w:val="000000" w:themeColor="text1"/>
          <w:lang w:eastAsia="ar-SA"/>
        </w:rPr>
        <w:t>(Radivojević et al., 2020)</w:t>
      </w:r>
      <w:r w:rsidR="007B4788">
        <w:rPr>
          <w:rFonts w:ascii="Times New Roman" w:hAnsi="Times New Roman"/>
          <w:color w:val="000000" w:themeColor="text1"/>
          <w:lang w:eastAsia="ar-SA"/>
        </w:rPr>
        <w:fldChar w:fldCharType="end"/>
      </w:r>
      <w:r w:rsidR="00DF163E">
        <w:rPr>
          <w:rFonts w:ascii="Times New Roman" w:hAnsi="Times New Roman"/>
          <w:color w:val="000000" w:themeColor="text1"/>
          <w:lang w:eastAsia="ar-SA"/>
        </w:rPr>
        <w:t xml:space="preserve">. </w:t>
      </w:r>
      <w:r w:rsidR="4A219B6E" w:rsidRPr="1386BD8E">
        <w:rPr>
          <w:rFonts w:ascii="Times New Roman" w:hAnsi="Times New Roman"/>
          <w:color w:val="000000" w:themeColor="text1"/>
          <w:lang w:eastAsia="ar-SA"/>
        </w:rPr>
        <w:t>Machine learning has been used to, e.g., predict pathway dynamics</w:t>
      </w:r>
      <w:r w:rsidR="7FA22C2B" w:rsidRPr="1386BD8E">
        <w:rPr>
          <w:rFonts w:ascii="Times New Roman" w:hAnsi="Times New Roman"/>
          <w:color w:val="000000" w:themeColor="text1"/>
          <w:lang w:eastAsia="ar-SA"/>
        </w:rPr>
        <w:t xml:space="preserve"> (Costello and </w:t>
      </w:r>
      <w:r w:rsidR="03B9C12A" w:rsidRPr="1386BD8E">
        <w:rPr>
          <w:rFonts w:ascii="Times New Roman" w:hAnsi="Times New Roman"/>
          <w:color w:val="000000" w:themeColor="text1"/>
          <w:lang w:eastAsia="ar-SA"/>
        </w:rPr>
        <w:t>Martin</w:t>
      </w:r>
      <w:r w:rsidR="7FA22C2B" w:rsidRPr="1386BD8E">
        <w:rPr>
          <w:rFonts w:ascii="Times New Roman" w:hAnsi="Times New Roman"/>
          <w:color w:val="000000" w:themeColor="text1"/>
          <w:lang w:eastAsia="ar-SA"/>
        </w:rPr>
        <w:t>, 2018)</w:t>
      </w:r>
      <w:r w:rsidR="4A219B6E" w:rsidRPr="1386BD8E">
        <w:rPr>
          <w:rFonts w:ascii="Times New Roman" w:hAnsi="Times New Roman"/>
          <w:color w:val="000000" w:themeColor="text1"/>
          <w:lang w:eastAsia="ar-SA"/>
        </w:rPr>
        <w:t>, predict DNA and RNA protein-binding sequences</w:t>
      </w:r>
      <w:r w:rsidR="344583AA" w:rsidRPr="1386BD8E">
        <w:rPr>
          <w:rFonts w:ascii="Times New Roman" w:hAnsi="Times New Roman"/>
          <w:color w:val="000000" w:themeColor="text1"/>
          <w:lang w:eastAsia="ar-SA"/>
        </w:rPr>
        <w:t xml:space="preserve"> </w:t>
      </w:r>
      <w:r w:rsidR="004138A1">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{"citationItems":[{"id":"ITEM-1","itemData":{"DOI":"10.1038/nbt.3300","ISSN":"15461696","PMID":"26213851","abstract":"Knowing the sequence specificities of DNA- and RNA-binding proteins is essential for developing models of the regulatory processes in biological systems and for identifying causal disease variants. Here we show that sequence specificities can be ascertained from experimental data with 'deep learning' techniques, which offer a scalable, flexible and unified computational approach for pattern discovery. Using a diverse array of experimental data and evaluation metrics, we find that deep learning outperforms other state-of-the-art methods, even when training on in vitro data and testing on in vivo data. We call this approach DeepBind and have built a stand-alone software tool that is fully automatic and handles millions of sequences per experiment. Specificities determined by DeepBind are readily visualized as a weighted ensemble of position weight matrices or as a 'mutation map' that indicates how variations affect binding within a specific sequence.","author":[{"dropping-particle":"","family":"Alipanahi","given":"Babak","non-dropping-particle":"","parse-names":false,"suffix":""},{"dropping-particle":"","family":"Delong","given":"Andrew","non-dropping-particle":"","parse-names":false,"suffix":""},{"dropping-particle":"","family":"Weirauch","given":"Matthew T.","non-dropping-particle":"","parse-names":false,"suffix":""},{"dropping-particle":"","family":"Frey","given":"Brendan J.","non-dropping-particle":"","parse-names":false,"suffix":""}],"container-title":"Nature Biotechnology","id":"ITEM-1","issue":"8","issued":{"date-parts":[["2015","8"]]},"page":"831-838","publisher":"Nature Publishing Group","title":"Predicting the sequence specificities of DNA- and RNA-binding proteins by deep learning","type":"article-journal","volume":"33"},"uris":["http://www.mendeley.com/documents/?uuid=7d13af5e-b3fc-39f8-875c-74a0609d8364","http://www.mendeley.com/documents/?uuid=8a761da0-1887-44ed-af12-1682ca91bef6","http://www.mendeley.com/documents/?uuid=1311a549-8f9e-4a47-a997-9a7d560b46f5"]}],"mendeley":{"formattedCitation":"(Alipanahi et al., 2015)","plainTextFormattedCitation":"(Alipanahi et al., 2015)","previouslyFormattedCitation":"(Alipanahi et al., 2015)"},"properties":{"noteIndex":0},"schema":"https://github.com/citation-style-language/schema/raw/master/csl-citation.json"}</w:instrText>
      </w:r>
      <w:r w:rsidR="004138A1">
        <w:rPr>
          <w:rFonts w:ascii="Times New Roman" w:hAnsi="Times New Roman"/>
          <w:color w:val="000000" w:themeColor="text1"/>
          <w:lang w:eastAsia="ar-SA"/>
        </w:rPr>
        <w:fldChar w:fldCharType="separate"/>
      </w:r>
      <w:r w:rsidR="004138A1" w:rsidRPr="009D67DC">
        <w:rPr>
          <w:rFonts w:ascii="Times New Roman" w:hAnsi="Times New Roman"/>
          <w:noProof/>
          <w:color w:val="000000" w:themeColor="text1"/>
          <w:lang w:val="da-DK" w:eastAsia="ar-SA"/>
        </w:rPr>
        <w:t>(Alipanahi et al., 2015)</w:t>
      </w:r>
      <w:r w:rsidR="004138A1">
        <w:rPr>
          <w:rFonts w:ascii="Times New Roman" w:hAnsi="Times New Roman"/>
          <w:color w:val="000000" w:themeColor="text1"/>
          <w:lang w:eastAsia="ar-SA"/>
        </w:rPr>
        <w:fldChar w:fldCharType="end"/>
      </w:r>
      <w:r w:rsidR="4A219B6E" w:rsidRPr="009D67DC">
        <w:rPr>
          <w:rFonts w:ascii="Times New Roman" w:hAnsi="Times New Roman"/>
          <w:color w:val="000000" w:themeColor="text1"/>
          <w:lang w:eastAsia="ar-SA"/>
        </w:rPr>
        <w:t>,  drug side effects</w:t>
      </w:r>
      <w:r w:rsidR="5BEBB441" w:rsidRPr="009D67DC">
        <w:rPr>
          <w:rFonts w:ascii="Times New Roman" w:hAnsi="Times New Roman"/>
          <w:color w:val="000000" w:themeColor="text1"/>
          <w:lang w:eastAsia="ar-SA"/>
        </w:rPr>
        <w:t xml:space="preserve"> </w:t>
      </w:r>
      <w:r w:rsidRPr="1386BD8E">
        <w:rPr>
          <w:rFonts w:ascii="Times New Roman" w:hAnsi="Times New Roman"/>
          <w:color w:val="000000" w:themeColor="text1"/>
          <w:lang w:eastAsia="ar-SA"/>
        </w:rPr>
        <w:fldChar w:fldCharType="begin" w:fldLock="1"/>
      </w:r>
      <w:r w:rsidR="008F6A90">
        <w:rPr>
          <w:rFonts w:ascii="Times New Roman" w:hAnsi="Times New Roman"/>
          <w:color w:val="000000" w:themeColor="text1"/>
          <w:lang w:val="da-DK" w:eastAsia="ar-SA"/>
        </w:rPr>
        <w:instrText>ADDIN CSL_CITATION {"citationItems":[{"id":"ITEM-1","itemData":{"DOI":"10.1016/j.cels.2016.03.001","ISSN":"24054720","PMID":"27135366","abstract":"Summary Drug side effects levy a massive cost on society through drug failures, morbidity, and mortality cases every year, and their early detection is critically important. Here, we describe the array of model-based phenotype predictors (AMPP), an approach that leverages medical informatics resources and a human genome-scale metabolic model (GSMM) to predict drug side effects. AMPP is substantially predictive (AUC &gt; 0.7) for &gt;70 drug side effects, including very serious ones such as interstitial nephritis and extrapyramidal disorders. We evaluate AMPP's predictive signal through cross-validation, comparison across multiple versions of a side effects database, and co-occurrence analysis of drug side effect associations in scientific abstracts (hypergeometric p value = 2.2e-40). AMPP outperforms a previous biochemical structure-based method in predicting metabolically based side effects (aggregate AUC = 0.65 versus 0.59). Importantly, AMPP enables the identification of key metabolic reactions and biomarkers that are predictive of specific side effects. Taken together, this work lays a foundation for future detection of metabolically grounded side effects during early stages of drug development.","author":[{"dropping-particle":"","family":"Shaked","given":"Itay","non-dropping-particle":"","parse-names":false,"suffix":""},{"dropping-particle":"","family":"Oberhardt","given":"Matthew A.","non-dropping-particle":"","parse-names":false,"suffix":""},{"dropping-particle":"","family":"Atias","given":"Nir","non-dropping-particle":"","parse-names":false,"suffix":""},{"dropping-particle":"","family":"Sharan","given":"Roded","non-dropping-particle":"","parse-names":false,"suffix":""},{"dropping-particle":"","family":"Ruppin","given":"Eytan","non-dropping-particle":"","parse-names":false,"suffix":""}],"container-title":"Cell Systems","id":"ITEM-1","issue":"3","issued":{"date-parts":[["2016","3"]]},"page":"209-213","publisher":"Cell Press","title":"Metabolic Network Prediction of Drug Side Effects","type":"article-journal","volume":"2"},"uris":["http://www.mendeley.com/documents/?uuid=e94a77be-b150-47b8-be49-24b8d25478b2"]}],"mendeley":{"formattedCitation":"(Shaked et al., 2016)","plainTextFormattedCitation":"(Shaked et al., 2016)","previouslyFormattedCitation":"(Shaked et al., 2016)"},"properties":{"noteIndex":0},"schema":"https://github.com/citation-style-language/schema/raw/master/csl-citation.json"}</w:instrText>
      </w:r>
      <w:r w:rsidRPr="1386BD8E">
        <w:rPr>
          <w:rFonts w:ascii="Times New Roman" w:hAnsi="Times New Roman"/>
          <w:color w:val="000000" w:themeColor="text1"/>
          <w:lang w:eastAsia="ar-SA"/>
        </w:rPr>
        <w:fldChar w:fldCharType="separate"/>
      </w:r>
      <w:r w:rsidR="00E9244B" w:rsidRPr="009D67DC">
        <w:rPr>
          <w:rFonts w:ascii="Times New Roman" w:hAnsi="Times New Roman"/>
          <w:noProof/>
          <w:color w:val="000000" w:themeColor="text1"/>
          <w:lang w:eastAsia="ar-SA"/>
        </w:rPr>
        <w:t>(Shaked et al., 2016)</w:t>
      </w:r>
      <w:r w:rsidRPr="1386BD8E">
        <w:rPr>
          <w:rFonts w:ascii="Times New Roman" w:hAnsi="Times New Roman"/>
          <w:color w:val="000000" w:themeColor="text1"/>
          <w:lang w:eastAsia="ar-SA"/>
        </w:rPr>
        <w:fldChar w:fldCharType="end"/>
      </w:r>
      <w:r w:rsidR="005C10FB" w:rsidRPr="009D67DC">
        <w:rPr>
          <w:rFonts w:ascii="Times New Roman" w:hAnsi="Times New Roman"/>
          <w:color w:val="000000" w:themeColor="text1"/>
          <w:lang w:eastAsia="ar-SA"/>
        </w:rPr>
        <w:t xml:space="preserve"> or directed protein evolution/engineering </w:t>
      </w:r>
      <w:r w:rsidR="00B07CFD">
        <w:rPr>
          <w:rFonts w:ascii="Times New Roman" w:hAnsi="Times New Roman"/>
          <w:color w:val="000000" w:themeColor="text1"/>
          <w:lang w:eastAsia="ar-SA"/>
        </w:rPr>
        <w:fldChar w:fldCharType="begin" w:fldLock="1"/>
      </w:r>
      <w:r w:rsidR="003730D3">
        <w:rPr>
          <w:rFonts w:ascii="Times New Roman" w:hAnsi="Times New Roman"/>
          <w:color w:val="000000" w:themeColor="text1"/>
          <w:lang w:eastAsia="ar-SA"/>
        </w:rPr>
        <w:instrText>ADDIN CSL_CITATION {"citationItems":[{"id":"ITEM-1","itemData":{"DOI":"10.1038/s41568-019-0121-0","ISSN":"1474-1768","abstract":"Engineered immune-cell-based cancer therapies have demonstrated robust efficacy in B cell malignancies, but challenges such as the lack of ideal targetable tumour antigens, tumour-mediated immunosuppression and severe toxicity still hinder their therapeutic efficacy and broad applicability. Synthetic biology can be used to overcome these challenges and create more robust, effective adaptive therapies that enable the specific targeting of cancer cells while sparing healthy cells. In this Progress article, we review recently developed gene circuit therapies for cancer using immune cells, nucleic acids and bacteria as chassis. We conclude by discussing outstanding challenges and future directions for realizing these gene circuit therapies in the clinic.","author":[{"dropping-particle":"","family":"Wu","given":"Ming-Ru","non-dropping-particle":"","parse-names":false,"suffix":""},{"dropping-particle":"","family":"Jusiak","given":"Barbara","non-dropping-particle":"","parse-names":false,"suffix":""},{"dropping-particle":"","family":"Lu","given":"Timothy K","non-dropping-particle":"","parse-names":false,"suffix":""}],"container-title":"Nature Reviews Cancer","id":"ITEM-1","issue":"4","issued":{"date-parts":[["2019"]]},"page":"187-195","title":"Engineering advanced cancer therapies with synthetic biology","type":"article-journal","volume":"19"},"uris":["http://www.mendeley.com/documents/?uuid=453a3904-51af-4c92-969e-3a2ea3b96a3d"]},{"id":"ITEM-2","itemData":{"DOI":"10.1038/s41592-019-0496-6","ISSN":"15487105","PMID":"31308553","abstract":"Protein engineering through machine-learning-guided directed evolution enables the optimization of protein functions. Machine-learning approaches predict how sequence maps to function in a data-driven manner without requiring a detailed model of the underlying physics or biological pathways. Such methods accelerate directed evolution by learning from the properties of characterized variants and using that information to select sequences that are likely to exhibit improved properties. Here we introduce the steps required to build machine-learning sequence–function models and to use those models to guide engineering, making recommendations at each stage. This review covers basic concepts relevant to the use of machine learning for protein engineering, as well as the current literature and applications of this engineering paradigm. We illustrate the process with two case studies. Finally, we look to future opportunities for machine learning to enable the discovery of unknown protein functions and uncover the relationship between protein sequence and function.","author":[{"dropping-particle":"","family":"Yang","given":"Kevin K","non-dropping-particle":"","parse-names":false,"suffix":""},{"dropping-particle":"","family":"Wu","given":"Zachary","non-dropping-particle":"","parse-names":false,"suffix":""},{"dropping-particle":"","family":"Arnold","given":"Frances H","non-dropping-particle":"","parse-names":false,"suffix":""}],"container-title":"Nature Methods","id":"ITEM-2","issue":"8","issued":{"date-parts":[["2019","8"]]},"page":"687-694","publisher":"Nature Publishing Group","title":"Machine-learning-guided directed evolution for protein engineering","type":"article","volume":"16"},"uris":["http://www.mendeley.com/documents/?uuid=14736322-cced-4883-ab08-8bc60f77a310"]}],"mendeley":{"formattedCitation":"(M.-R. Wu et al., 2019; K. K. Yang et al., 2019)","manualFormatting":"(Wu et al., 2019; Yang et al., 2019)","plainTextFormattedCitation":"(M.-R. Wu et al., 2019; K. K. Yang et al., 2019)","previouslyFormattedCitation":"(M.-R. Wu et al., 2019; K. K. Yang et al., 2019)"},"properties":{"noteIndex":0},"schema":"https://github.com/citation-style-language/schema/raw/master/csl-citation.json"}</w:instrText>
      </w:r>
      <w:r w:rsidR="00B07CFD">
        <w:rPr>
          <w:rFonts w:ascii="Times New Roman" w:hAnsi="Times New Roman"/>
          <w:color w:val="000000" w:themeColor="text1"/>
          <w:lang w:eastAsia="ar-SA"/>
        </w:rPr>
        <w:fldChar w:fldCharType="separate"/>
      </w:r>
      <w:r w:rsidR="00B07CFD" w:rsidRPr="00B07CFD">
        <w:rPr>
          <w:rFonts w:ascii="Times New Roman" w:hAnsi="Times New Roman"/>
          <w:noProof/>
          <w:color w:val="000000" w:themeColor="text1"/>
          <w:lang w:eastAsia="ar-SA"/>
        </w:rPr>
        <w:t>(Wu et al., 2019; Yang et al., 2019)</w:t>
      </w:r>
      <w:r w:rsidR="00B07CFD">
        <w:rPr>
          <w:rFonts w:ascii="Times New Roman" w:hAnsi="Times New Roman"/>
          <w:color w:val="000000" w:themeColor="text1"/>
          <w:lang w:eastAsia="ar-SA"/>
        </w:rPr>
        <w:fldChar w:fldCharType="end"/>
      </w:r>
      <w:r w:rsidR="005C10FB" w:rsidRPr="1386BD8E">
        <w:rPr>
          <w:rFonts w:ascii="Times New Roman" w:hAnsi="Times New Roman"/>
          <w:color w:val="000000" w:themeColor="text1"/>
          <w:lang w:eastAsia="ar-SA"/>
        </w:rPr>
        <w:t>.</w:t>
      </w:r>
      <w:r w:rsidR="4A219B6E" w:rsidRPr="1386BD8E">
        <w:rPr>
          <w:rFonts w:ascii="Times New Roman" w:hAnsi="Times New Roman"/>
          <w:color w:val="000000" w:themeColor="text1"/>
          <w:lang w:eastAsia="ar-SA"/>
        </w:rPr>
        <w:t xml:space="preserve"> </w:t>
      </w:r>
    </w:p>
    <w:p w14:paraId="222A1206" w14:textId="0AA64614" w:rsidR="00E92BA3" w:rsidRDefault="23F140A5" w:rsidP="55736870">
      <w:pPr>
        <w:spacing w:before="120" w:after="120" w:line="240" w:lineRule="auto"/>
        <w:jc w:val="both"/>
        <w:rPr>
          <w:rFonts w:ascii="Times New Roman" w:hAnsi="Times New Roman"/>
          <w:color w:val="000000" w:themeColor="text1"/>
          <w:lang w:eastAsia="ar-SA"/>
        </w:rPr>
      </w:pPr>
      <w:r>
        <w:rPr>
          <w:noProof/>
        </w:rPr>
        <w:lastRenderedPageBreak/>
        <w:drawing>
          <wp:inline distT="0" distB="0" distL="0" distR="0" wp14:anchorId="27DB10C9" wp14:editId="1B26A86C">
            <wp:extent cx="5943600" cy="3343275"/>
            <wp:effectExtent l="0" t="0" r="0" b="9525"/>
            <wp:docPr id="1" name="Picture 1" descr="Diagram, 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0">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7B17093B" w14:textId="055EB19A" w:rsidR="004B0DE8" w:rsidRPr="004325A4" w:rsidRDefault="004B0DE8" w:rsidP="000D17ED">
      <w:pPr>
        <w:pStyle w:val="Heading3"/>
        <w:jc w:val="both"/>
        <w:rPr>
          <w:b/>
          <w:bCs/>
          <w:i w:val="0"/>
          <w:szCs w:val="22"/>
          <w:lang w:val="en-US"/>
        </w:rPr>
      </w:pPr>
      <w:bookmarkStart w:id="34" w:name="_Toc70112665"/>
      <w:bookmarkStart w:id="35" w:name="_Toc70685687"/>
      <w:r w:rsidRPr="004325A4">
        <w:rPr>
          <w:b/>
          <w:bCs/>
          <w:i w:val="0"/>
          <w:szCs w:val="22"/>
          <w:lang w:val="en-US"/>
        </w:rPr>
        <w:t xml:space="preserve">Figure 1. </w:t>
      </w:r>
      <w:r w:rsidR="0004006F" w:rsidRPr="004325A4">
        <w:rPr>
          <w:b/>
          <w:bCs/>
          <w:i w:val="0"/>
          <w:szCs w:val="22"/>
          <w:lang w:val="en-US"/>
        </w:rPr>
        <w:t>Iterative Design-Build-Test-Learn biological engineering cycles allow researchers to test large-scale genetic designs to enhance the process.</w:t>
      </w:r>
      <w:bookmarkEnd w:id="34"/>
      <w:bookmarkEnd w:id="35"/>
    </w:p>
    <w:p w14:paraId="45055DC4" w14:textId="3FDC2227" w:rsidR="006A6F5D" w:rsidRPr="0025571B" w:rsidRDefault="0068238E" w:rsidP="008805B8">
      <w:pPr>
        <w:pStyle w:val="Heading3"/>
      </w:pPr>
      <w:bookmarkStart w:id="36" w:name="_Toc70112666"/>
      <w:bookmarkStart w:id="37" w:name="_Toc70685688"/>
      <w:r>
        <w:rPr>
          <w:lang w:val="en-US"/>
        </w:rPr>
        <w:t>1</w:t>
      </w:r>
      <w:r w:rsidR="00FE4D58" w:rsidRPr="008805B8">
        <w:rPr>
          <w:lang w:val="en-US"/>
        </w:rPr>
        <w:t>.</w:t>
      </w:r>
      <w:r w:rsidR="006B4CCC">
        <w:rPr>
          <w:lang w:val="en-US"/>
        </w:rPr>
        <w:t>7</w:t>
      </w:r>
      <w:r w:rsidR="00FE4D58" w:rsidRPr="008805B8">
        <w:rPr>
          <w:lang w:val="en-US"/>
        </w:rPr>
        <w:t xml:space="preserve">. </w:t>
      </w:r>
      <w:r w:rsidR="006A6F5D">
        <w:t>Biofoundries</w:t>
      </w:r>
      <w:r w:rsidR="0025571B">
        <w:rPr>
          <w:lang w:val="en-US"/>
        </w:rPr>
        <w:t>.</w:t>
      </w:r>
      <w:bookmarkEnd w:id="36"/>
      <w:bookmarkEnd w:id="37"/>
    </w:p>
    <w:p w14:paraId="721149BE" w14:textId="55281473" w:rsidR="55736870" w:rsidRDefault="2C6E6576" w:rsidP="30F5E219">
      <w:pPr>
        <w:spacing w:before="120" w:after="120" w:line="240" w:lineRule="auto"/>
        <w:jc w:val="both"/>
        <w:rPr>
          <w:rFonts w:ascii="Times New Roman" w:hAnsi="Times New Roman"/>
          <w:color w:val="000000" w:themeColor="text1"/>
          <w:lang w:eastAsia="ar-SA"/>
        </w:rPr>
      </w:pPr>
      <w:r w:rsidRPr="4E82B85D">
        <w:rPr>
          <w:rFonts w:ascii="Times New Roman" w:hAnsi="Times New Roman"/>
          <w:color w:val="000000" w:themeColor="text1"/>
          <w:lang w:eastAsia="ar-SA"/>
        </w:rPr>
        <w:t>Automation has been proposed as a solution to improve consistency and speed</w:t>
      </w:r>
      <w:r w:rsidR="002D40D7">
        <w:rPr>
          <w:rFonts w:ascii="Times New Roman" w:hAnsi="Times New Roman"/>
          <w:color w:val="000000" w:themeColor="text1"/>
          <w:lang w:eastAsia="ar-SA"/>
        </w:rPr>
        <w:t xml:space="preserve"> in the devel</w:t>
      </w:r>
      <w:r w:rsidR="00822448">
        <w:rPr>
          <w:rFonts w:ascii="Times New Roman" w:hAnsi="Times New Roman"/>
          <w:color w:val="000000" w:themeColor="text1"/>
          <w:lang w:eastAsia="ar-SA"/>
        </w:rPr>
        <w:t>opment of synthetic parts or components</w:t>
      </w:r>
      <w:r w:rsidRPr="4E82B85D">
        <w:rPr>
          <w:rFonts w:ascii="Times New Roman" w:hAnsi="Times New Roman"/>
          <w:color w:val="000000" w:themeColor="text1"/>
          <w:lang w:eastAsia="ar-SA"/>
        </w:rPr>
        <w:t xml:space="preserve">, as well as to reduce </w:t>
      </w:r>
      <w:r w:rsidR="3C33E10C" w:rsidRPr="02FAAAAC">
        <w:rPr>
          <w:rFonts w:ascii="Times New Roman" w:hAnsi="Times New Roman"/>
          <w:color w:val="000000" w:themeColor="text1"/>
          <w:lang w:eastAsia="ar-SA"/>
        </w:rPr>
        <w:t>labour</w:t>
      </w:r>
      <w:r w:rsidRPr="4E82B85D">
        <w:rPr>
          <w:rFonts w:ascii="Times New Roman" w:hAnsi="Times New Roman"/>
          <w:color w:val="000000" w:themeColor="text1"/>
          <w:lang w:eastAsia="ar-SA"/>
        </w:rPr>
        <w:t xml:space="preserve"> costs and help researchers to focus more on intellectual tasks. </w:t>
      </w:r>
      <w:r w:rsidR="235FD28F" w:rsidRPr="4E82B85D">
        <w:rPr>
          <w:rFonts w:ascii="Times New Roman" w:hAnsi="Times New Roman"/>
          <w:color w:val="000000" w:themeColor="text1"/>
          <w:lang w:eastAsia="ar-SA"/>
        </w:rPr>
        <w:t xml:space="preserve">Based on </w:t>
      </w:r>
      <w:r w:rsidR="002538F3">
        <w:rPr>
          <w:rFonts w:ascii="Times New Roman" w:hAnsi="Times New Roman"/>
          <w:color w:val="000000" w:themeColor="text1"/>
          <w:lang w:eastAsia="ar-SA"/>
        </w:rPr>
        <w:t>the synthetic biology</w:t>
      </w:r>
      <w:r w:rsidR="235FD28F" w:rsidRPr="4E82B85D">
        <w:rPr>
          <w:rFonts w:ascii="Times New Roman" w:hAnsi="Times New Roman"/>
          <w:color w:val="000000" w:themeColor="text1"/>
          <w:lang w:eastAsia="ar-SA"/>
        </w:rPr>
        <w:t xml:space="preserve"> enabling technologies, academic institutions and industrial companies are starting to build industriali</w:t>
      </w:r>
      <w:r w:rsidR="005F5B13">
        <w:rPr>
          <w:rFonts w:ascii="Times New Roman" w:hAnsi="Times New Roman"/>
          <w:color w:val="000000" w:themeColor="text1"/>
          <w:lang w:eastAsia="ar-SA"/>
        </w:rPr>
        <w:t>s</w:t>
      </w:r>
      <w:r w:rsidR="235FD28F" w:rsidRPr="4E82B85D">
        <w:rPr>
          <w:rFonts w:ascii="Times New Roman" w:hAnsi="Times New Roman"/>
          <w:color w:val="000000" w:themeColor="text1"/>
          <w:lang w:eastAsia="ar-SA"/>
        </w:rPr>
        <w:t>ed</w:t>
      </w:r>
      <w:r w:rsidR="00D607F8">
        <w:rPr>
          <w:rFonts w:ascii="Times New Roman" w:hAnsi="Times New Roman"/>
          <w:color w:val="000000" w:themeColor="text1"/>
          <w:lang w:eastAsia="ar-SA"/>
        </w:rPr>
        <w:t>, integrated</w:t>
      </w:r>
      <w:r w:rsidR="235FD28F" w:rsidRPr="4E82B85D">
        <w:rPr>
          <w:rFonts w:ascii="Times New Roman" w:hAnsi="Times New Roman"/>
          <w:color w:val="000000" w:themeColor="text1"/>
          <w:lang w:eastAsia="ar-SA"/>
        </w:rPr>
        <w:t xml:space="preserve"> </w:t>
      </w:r>
      <w:r w:rsidR="00C76B4E">
        <w:rPr>
          <w:rFonts w:ascii="Times New Roman" w:hAnsi="Times New Roman"/>
          <w:color w:val="000000" w:themeColor="text1"/>
          <w:lang w:eastAsia="ar-SA"/>
        </w:rPr>
        <w:t>infrastructure</w:t>
      </w:r>
      <w:r w:rsidR="00D607F8">
        <w:rPr>
          <w:rFonts w:ascii="Times New Roman" w:hAnsi="Times New Roman"/>
          <w:color w:val="000000" w:themeColor="text1"/>
          <w:lang w:eastAsia="ar-SA"/>
        </w:rPr>
        <w:t xml:space="preserve"> (termed biofoundries)</w:t>
      </w:r>
      <w:r w:rsidR="00C76B4E" w:rsidRPr="00F1695C">
        <w:rPr>
          <w:rFonts w:ascii="Times New Roman" w:hAnsi="Times New Roman"/>
          <w:color w:val="000000" w:themeColor="text1"/>
          <w:lang w:eastAsia="ar-SA"/>
        </w:rPr>
        <w:t xml:space="preserve"> </w:t>
      </w:r>
      <w:r w:rsidR="235FD28F" w:rsidRPr="4E82B85D">
        <w:rPr>
          <w:rFonts w:ascii="Times New Roman" w:hAnsi="Times New Roman"/>
          <w:color w:val="000000" w:themeColor="text1"/>
          <w:lang w:eastAsia="ar-SA"/>
        </w:rPr>
        <w:t xml:space="preserve">for </w:t>
      </w:r>
      <w:r w:rsidR="00D607F8">
        <w:rPr>
          <w:rFonts w:ascii="Times New Roman" w:hAnsi="Times New Roman"/>
          <w:color w:val="000000" w:themeColor="text1"/>
          <w:lang w:eastAsia="ar-SA"/>
        </w:rPr>
        <w:t xml:space="preserve">the </w:t>
      </w:r>
      <w:r w:rsidR="235FD28F" w:rsidRPr="4E82B85D">
        <w:rPr>
          <w:rFonts w:ascii="Times New Roman" w:hAnsi="Times New Roman"/>
          <w:color w:val="000000" w:themeColor="text1"/>
          <w:lang w:eastAsia="ar-SA"/>
        </w:rPr>
        <w:t>rapid prototyping</w:t>
      </w:r>
      <w:r w:rsidR="00D607F8">
        <w:rPr>
          <w:rFonts w:ascii="Times New Roman" w:hAnsi="Times New Roman"/>
          <w:color w:val="000000" w:themeColor="text1"/>
          <w:lang w:eastAsia="ar-SA"/>
        </w:rPr>
        <w:t xml:space="preserve"> and genetic modification</w:t>
      </w:r>
      <w:r w:rsidR="235FD28F" w:rsidRPr="4E82B85D">
        <w:rPr>
          <w:rFonts w:ascii="Times New Roman" w:hAnsi="Times New Roman"/>
          <w:color w:val="000000" w:themeColor="text1"/>
          <w:lang w:eastAsia="ar-SA"/>
        </w:rPr>
        <w:t xml:space="preserve"> of biosystems for a variety of applications</w:t>
      </w:r>
      <w:r w:rsidR="5BCAD789" w:rsidRPr="4E82B85D">
        <w:rPr>
          <w:rFonts w:ascii="Times New Roman" w:hAnsi="Times New Roman"/>
          <w:color w:val="000000" w:themeColor="text1"/>
          <w:lang w:eastAsia="ar-SA"/>
        </w:rPr>
        <w:t xml:space="preserve">. Biofoundries aim to accelerate and enhance both academic and translational research in engineering/synthetic biology by promoting and enabling the beneficial use of automation and high-throughput equipment including process scale-up, computer-aided design software, and other new workflows and tools </w:t>
      </w:r>
      <w:r w:rsidR="00966B2C">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10.1038/s41467-019-10079-2","ISSN":"2041-1723","author":[{"dropping-particle":"","family":"Hillson","given":"Nathan","non-dropping-particle":"","parse-names":false,"suffix":""},{"dropping-particle":"","family":"Caddick","given":"Mark","non-dropping-particle":"","parse-names":false,"suffix":""},{"dropping-particle":"","family":"Cai","given":"Yizhi","non-dropping-particle":"","parse-names":false,"suffix":""},{"dropping-particle":"","family":"Carrasco","given":"Jose A.","non-dropping-particle":"","parse-names":false,"suffix":""},{"dropping-particle":"","family":"Chang","given":"Matthew Wook","non-dropping-particle":"","parse-names":false,"suffix":""},{"dropping-particle":"","family":"Curach","given":"Natalie C.","non-dropping-particle":"","parse-names":false,"suffix":""},{"dropping-particle":"","family":"Bell","given":"David J.","non-dropping-particle":"","parse-names":false,"suffix":""},{"dropping-particle":"","family":"Feuvre","given":"Rosalind","non-dropping-particle":"Le","parse-names":false,"suffix":""},{"dropping-particle":"","family":"Friedman","given":"Douglas C.","non-dropping-particle":"","parse-names":false,"suffix":""},{"dropping-particle":"","family":"Fu","given":"Xiongfei","non-dropping-particle":"","parse-names":false,"suffix":""},{"dropping-particle":"","family":"Gold","given":"Nicholas D.","non-dropping-particle":"","parse-names":false,"suffix":""},{"dropping-particle":"","family":"Herrgård","given":"Markus J.","non-dropping-particle":"","parse-names":false,"suffix":""},{"dropping-particle":"","family":"Holowko","given":"Maciej B.","non-dropping-particle":"","parse-names":false,"suffix":""},{"dropping-particle":"","family":"Johnson","given":"James R.","non-dropping-particle":"","parse-names":false,"suffix":""},{"dropping-particle":"","family":"Johnson","given":"Richard A.","non-dropping-particle":"","parse-names":false,"suffix":""},{"dropping-particle":"","family":"Keasling","given":"Jay D.","non-dropping-particle":"","parse-names":false,"suffix":""},{"dropping-particle":"","family":"Kitney","given":"Richard I.","non-dropping-particle":"","parse-names":false,"suffix":""},{"dropping-particle":"","family":"Kondo","given":"Akihiko","non-dropping-particle":"","parse-names":false,"suffix":""},{"dropping-particle":"","family":"Liu","given":"Chenli","non-dropping-particle":"","parse-names":false,"suffix":""},{"dropping-particle":"","family":"Martin","given":"Vincent J. J.","non-dropping-particle":"","parse-names":false,"suffix":""},{"dropping-particle":"","family":"Menolascina","given":"Filippo","non-dropping-particle":"","parse-names":false,"suffix":""},{"dropping-particle":"","family":"Ogino","given":"Chiaki","non-dropping-particle":"","parse-names":false,"suffix":""},{"dropping-particle":"","family":"Patron","given":"Nicola J.","non-dropping-particle":"","parse-names":false,"suffix":""},{"dropping-particle":"","family":"Pavan","given":"Marilene","non-dropping-particle":"","parse-names":false,"suffix":""},{"dropping-particle":"","family":"Poh","given":"Chueh Loo","non-dropping-particle":"","parse-names":false,"suffix":""},{"dropping-particle":"","family":"Pretorius","given":"Isak S.","non-dropping-particle":"","parse-names":false,"suffix":""},{"dropping-particle":"","family":"Rosser","given":"Susan J.","non-dropping-particle":"","parse-names":false,"suffix":""},{"dropping-particle":"","family":"Scrutton","given":"Nigel S.","non-dropping-particle":"","parse-names":false,"suffix":""},{"dropping-particle":"","family":"Storch","given":"Marko","non-dropping-particle":"","parse-names":false,"suffix":""},{"dropping-particle":"","family":"Tekotte","given":"Hille","non-dropping-particle":"","parse-names":false,"suffix":""},{"dropping-particle":"","family":"Travnik","given":"Evelyn","non-dropping-particle":"","parse-names":false,"suffix":""},{"dropping-particle":"","family":"Vickers","given":"Claudia E.","non-dropping-particle":"","parse-names":false,"suffix":""},{"dropping-particle":"","family":"Yew","given":"Wen Shan","non-dropping-particle":"","parse-names":false,"suffix":""},{"dropping-particle":"","family":"Yuan","given":"Yingjin","non-dropping-particle":"","parse-names":false,"suffix":""},{"dropping-particle":"","family":"Zhao","given":"Huimin","non-dropping-particle":"","parse-names":false,"suffix":""},{"dropping-particle":"","family":"Freemont","given":"Paul S.","non-dropping-particle":"","parse-names":false,"suffix":""}],"container-title":"Nature Communications","id":"ITEM-1","issue":"1","issued":{"date-parts":[["2019","12","9"]]},"page":"2040","title":"Building a global alliance of biofoundries","type":"article-journal","volume":"10"},"uris":["http://www.mendeley.com/documents/?uuid=a8a41c32-c220-44aa-80c8-b79f6add909a"]}],"mendeley":{"formattedCitation":"(Hillson et al., 2019)","plainTextFormattedCitation":"(Hillson et al., 2019)","previouslyFormattedCitation":"(Hillson et al., 2019)"},"properties":{"noteIndex":0},"schema":"https://github.com/citation-style-language/schema/raw/master/csl-citation.json"}</w:instrText>
      </w:r>
      <w:r w:rsidR="00966B2C">
        <w:rPr>
          <w:rFonts w:ascii="Times New Roman" w:hAnsi="Times New Roman"/>
          <w:color w:val="000000" w:themeColor="text1"/>
          <w:lang w:eastAsia="ar-SA"/>
        </w:rPr>
        <w:fldChar w:fldCharType="separate"/>
      </w:r>
      <w:r w:rsidR="00966B2C" w:rsidRPr="00966B2C">
        <w:rPr>
          <w:rFonts w:ascii="Times New Roman" w:hAnsi="Times New Roman"/>
          <w:noProof/>
          <w:color w:val="000000" w:themeColor="text1"/>
          <w:lang w:eastAsia="ar-SA"/>
        </w:rPr>
        <w:t>(Hillson et al., 2019)</w:t>
      </w:r>
      <w:r w:rsidR="00966B2C">
        <w:rPr>
          <w:rFonts w:ascii="Times New Roman" w:hAnsi="Times New Roman"/>
          <w:color w:val="000000" w:themeColor="text1"/>
          <w:lang w:eastAsia="ar-SA"/>
        </w:rPr>
        <w:fldChar w:fldCharType="end"/>
      </w:r>
      <w:r w:rsidR="0EA3C3D9" w:rsidRPr="4E82B85D">
        <w:rPr>
          <w:rFonts w:ascii="Times New Roman" w:hAnsi="Times New Roman"/>
          <w:color w:val="000000" w:themeColor="text1"/>
          <w:lang w:eastAsia="ar-SA"/>
        </w:rPr>
        <w:t xml:space="preserve">. Iterative DBTL biological engineering cycles </w:t>
      </w:r>
      <w:r w:rsidR="00120B66">
        <w:rPr>
          <w:rFonts w:ascii="Times New Roman" w:hAnsi="Times New Roman"/>
          <w:color w:val="000000" w:themeColor="text1"/>
          <w:lang w:eastAsia="ar-SA"/>
        </w:rPr>
        <w:t>(Figure 1)</w:t>
      </w:r>
      <w:r w:rsidR="0EA3C3D9" w:rsidRPr="4E82B85D">
        <w:rPr>
          <w:rFonts w:ascii="Times New Roman" w:hAnsi="Times New Roman"/>
          <w:color w:val="000000" w:themeColor="text1"/>
          <w:lang w:eastAsia="ar-SA"/>
        </w:rPr>
        <w:t xml:space="preserve"> allow researchers to test large-scale genetic designs and apply artificial intelligence to enhance the design process</w:t>
      </w:r>
      <w:r w:rsidR="5137704E" w:rsidRPr="4E82B85D">
        <w:rPr>
          <w:rFonts w:ascii="Times New Roman" w:hAnsi="Times New Roman"/>
          <w:color w:val="000000" w:themeColor="text1"/>
          <w:lang w:eastAsia="ar-SA"/>
        </w:rPr>
        <w:t xml:space="preserve">. </w:t>
      </w:r>
      <w:r w:rsidR="73E8E57F" w:rsidRPr="4E82B85D">
        <w:rPr>
          <w:rFonts w:ascii="Times New Roman" w:hAnsi="Times New Roman"/>
          <w:color w:val="000000" w:themeColor="text1"/>
          <w:lang w:eastAsia="ar-SA"/>
        </w:rPr>
        <w:t>As such, biofoundr</w:t>
      </w:r>
      <w:r w:rsidR="002D6760">
        <w:rPr>
          <w:rFonts w:ascii="Times New Roman" w:hAnsi="Times New Roman"/>
          <w:color w:val="000000" w:themeColor="text1"/>
          <w:lang w:eastAsia="ar-SA"/>
        </w:rPr>
        <w:t>i</w:t>
      </w:r>
      <w:r w:rsidR="73E8E57F" w:rsidRPr="4E82B85D">
        <w:rPr>
          <w:rFonts w:ascii="Times New Roman" w:hAnsi="Times New Roman"/>
          <w:color w:val="000000" w:themeColor="text1"/>
          <w:lang w:eastAsia="ar-SA"/>
        </w:rPr>
        <w:t>es are the place where synthetic biology and artificial intelli</w:t>
      </w:r>
      <w:r w:rsidR="12BFC5D6" w:rsidRPr="4E82B85D">
        <w:rPr>
          <w:rFonts w:ascii="Times New Roman" w:hAnsi="Times New Roman"/>
          <w:color w:val="000000" w:themeColor="text1"/>
          <w:lang w:eastAsia="ar-SA"/>
        </w:rPr>
        <w:t xml:space="preserve">gence are converging into technology platforms with the capacity to create synthetic organisms and materials at a massive scale </w:t>
      </w:r>
      <w:r w:rsidR="0025640D">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{"citationItems":[{"id":"ITEM-1","itemData":{"DOI":"10.15252/embr.202050036","ISSN":"1469-221X","author":[{"dropping-particle":"","family":"A Dixon","given":"Thom","non-dropping-particle":"","parse-names":false,"suffix":""},{"dropping-particle":"","family":"C Curach","given":"Natalie","non-dropping-particle":"","parse-names":false,"suffix":""},{"dropping-particle":"","family":"Pretorius","given":"Isak S","non-dropping-particle":"","parse-names":false,"suffix":""}],"container-title":"EMBO reports","id":"ITEM-1","issue":"3","issued":{"date-parts":[["2020"]]},"title":"Bio‐informational futures","type":"article-journal","volume":"21"},"uris":["http://www.mendeley.com/documents/?uuid=82edc392-f7c4-4ac6-8504-525ce98197cc","http://www.mendeley.com/documents/?uuid=49eb29ca-6d04-4850-ac2d-bab75808e595","http://www.mendeley.com/documents/?uuid=fdc31c30-794b-41be-bd76-8ac355e2b11c"]}],"mendeley":{"formattedCitation":"(A Dixon et al., 2020)","manualFormatting":"(Dixon et al., 2020)","plainTextFormattedCitation":"(A Dixon et al., 2020)","previouslyFormattedCitation":"(A Dixon et al., 2020)"},"properties":{"noteIndex":0},"schema":"https://github.com/citation-style-language/schema/raw/master/csl-citation.json"}</w:instrText>
      </w:r>
      <w:r w:rsidR="0025640D">
        <w:rPr>
          <w:rFonts w:ascii="Times New Roman" w:hAnsi="Times New Roman"/>
          <w:color w:val="000000" w:themeColor="text1"/>
          <w:lang w:eastAsia="ar-SA"/>
        </w:rPr>
        <w:fldChar w:fldCharType="separate"/>
      </w:r>
      <w:r w:rsidR="0025640D" w:rsidRPr="0025640D">
        <w:rPr>
          <w:rFonts w:ascii="Times New Roman" w:hAnsi="Times New Roman"/>
          <w:noProof/>
          <w:color w:val="000000" w:themeColor="text1"/>
          <w:lang w:eastAsia="ar-SA"/>
        </w:rPr>
        <w:t>(Dixon et al., 2020)</w:t>
      </w:r>
      <w:r w:rsidR="0025640D">
        <w:rPr>
          <w:rFonts w:ascii="Times New Roman" w:hAnsi="Times New Roman"/>
          <w:color w:val="000000" w:themeColor="text1"/>
          <w:lang w:eastAsia="ar-SA"/>
        </w:rPr>
        <w:fldChar w:fldCharType="end"/>
      </w:r>
      <w:r w:rsidR="12BFC5D6" w:rsidRPr="4E82B85D">
        <w:rPr>
          <w:rFonts w:ascii="Times New Roman" w:hAnsi="Times New Roman"/>
          <w:color w:val="000000" w:themeColor="text1"/>
          <w:lang w:eastAsia="ar-SA"/>
        </w:rPr>
        <w:t xml:space="preserve">. </w:t>
      </w:r>
      <w:r w:rsidR="5137704E" w:rsidRPr="4E82B85D">
        <w:rPr>
          <w:rFonts w:ascii="Times New Roman" w:hAnsi="Times New Roman"/>
          <w:color w:val="000000" w:themeColor="text1"/>
          <w:lang w:eastAsia="ar-SA"/>
        </w:rPr>
        <w:t>Many biofoundries are being built and a Global Biofoundry Alliance</w:t>
      </w:r>
      <w:r w:rsidR="7ED4D81C" w:rsidRPr="4E82B85D">
        <w:rPr>
          <w:rFonts w:ascii="Times New Roman" w:hAnsi="Times New Roman"/>
          <w:color w:val="000000" w:themeColor="text1"/>
          <w:lang w:eastAsia="ar-SA"/>
        </w:rPr>
        <w:t xml:space="preserve">, consisting in </w:t>
      </w:r>
      <w:r w:rsidR="009D435B" w:rsidRPr="009D435B">
        <w:rPr>
          <w:rFonts w:ascii="Times New Roman" w:hAnsi="Times New Roman"/>
          <w:color w:val="000000" w:themeColor="text1"/>
          <w:lang w:eastAsia="ar-SA"/>
        </w:rPr>
        <w:t>27</w:t>
      </w:r>
      <w:r w:rsidR="7ED4D81C" w:rsidRPr="4E82B85D">
        <w:rPr>
          <w:rFonts w:ascii="Times New Roman" w:hAnsi="Times New Roman"/>
          <w:color w:val="000000" w:themeColor="text1"/>
          <w:lang w:eastAsia="ar-SA"/>
        </w:rPr>
        <w:t xml:space="preserve"> non-commercial biofoundries from four continents</w:t>
      </w:r>
      <w:r w:rsidR="00185AD1">
        <w:rPr>
          <w:rFonts w:ascii="Times New Roman" w:hAnsi="Times New Roman"/>
          <w:color w:val="000000" w:themeColor="text1"/>
          <w:lang w:eastAsia="ar-SA"/>
        </w:rPr>
        <w:t xml:space="preserve"> (America, Europe, Asia and Oceania)</w:t>
      </w:r>
      <w:r w:rsidR="7ED4D81C" w:rsidRPr="4E82B85D">
        <w:rPr>
          <w:rFonts w:ascii="Times New Roman" w:hAnsi="Times New Roman"/>
          <w:color w:val="000000" w:themeColor="text1"/>
          <w:lang w:eastAsia="ar-SA"/>
        </w:rPr>
        <w:t>,</w:t>
      </w:r>
      <w:r w:rsidR="5137704E" w:rsidRPr="4E82B85D">
        <w:rPr>
          <w:rFonts w:ascii="Times New Roman" w:hAnsi="Times New Roman"/>
          <w:color w:val="000000" w:themeColor="text1"/>
          <w:lang w:eastAsia="ar-SA"/>
        </w:rPr>
        <w:t xml:space="preserve"> has recently been established to coordinate activities worldwide </w:t>
      </w:r>
      <w:r w:rsidR="00631260">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10.1038/s41467-019-10079-2","ISSN":"2041-1723","author":[{"dropping-particle":"","family":"Hillson","given":"Nathan","non-dropping-particle":"","parse-names":false,"suffix":""},{"dropping-particle":"","family":"Caddick","given":"Mark","non-dropping-particle":"","parse-names":false,"suffix":""},{"dropping-particle":"","family":"Cai","given":"Yizhi","non-dropping-particle":"","parse-names":false,"suffix":""},{"dropping-particle":"","family":"Carrasco","given":"Jose A.","non-dropping-particle":"","parse-names":false,"suffix":""},{"dropping-particle":"","family":"Chang","given":"Matthew Wook","non-dropping-particle":"","parse-names":false,"suffix":""},{"dropping-particle":"","family":"Curach","given":"Natalie C.","non-dropping-particle":"","parse-names":false,"suffix":""},{"dropping-particle":"","family":"Bell","given":"David J.","non-dropping-particle":"","parse-names":false,"suffix":""},{"dropping-particle":"","family":"Feuvre","given":"Rosalind","non-dropping-particle":"Le","parse-names":false,"suffix":""},{"dropping-particle":"","family":"Friedman","given":"Douglas C.","non-dropping-particle":"","parse-names":false,"suffix":""},{"dropping-particle":"","family":"Fu","given":"Xiongfei","non-dropping-particle":"","parse-names":false,"suffix":""},{"dropping-particle":"","family":"Gold","given":"Nicholas D.","non-dropping-particle":"","parse-names":false,"suffix":""},{"dropping-particle":"","family":"Herrgård","given":"Markus J.","non-dropping-particle":"","parse-names":false,"suffix":""},{"dropping-particle":"","family":"Holowko","given":"Maciej B.","non-dropping-particle":"","parse-names":false,"suffix":""},{"dropping-particle":"","family":"Johnson","given":"James R.","non-dropping-particle":"","parse-names":false,"suffix":""},{"dropping-particle":"","family":"Johnson","given":"Richard A.","non-dropping-particle":"","parse-names":false,"suffix":""},{"dropping-particle":"","family":"Keasling","given":"Jay D.","non-dropping-particle":"","parse-names":false,"suffix":""},{"dropping-particle":"","family":"Kitney","given":"Richard I.","non-dropping-particle":"","parse-names":false,"suffix":""},{"dropping-particle":"","family":"Kondo","given":"Akihiko","non-dropping-particle":"","parse-names":false,"suffix":""},{"dropping-particle":"","family":"Liu","given":"Chenli","non-dropping-particle":"","parse-names":false,"suffix":""},{"dropping-particle":"","family":"Martin","given":"Vincent J. J.","non-dropping-particle":"","parse-names":false,"suffix":""},{"dropping-particle":"","family":"Menolascina","given":"Filippo","non-dropping-particle":"","parse-names":false,"suffix":""},{"dropping-particle":"","family":"Ogino","given":"Chiaki","non-dropping-particle":"","parse-names":false,"suffix":""},{"dropping-particle":"","family":"Patron","given":"Nicola J.","non-dropping-particle":"","parse-names":false,"suffix":""},{"dropping-particle":"","family":"Pavan","given":"Marilene","non-dropping-particle":"","parse-names":false,"suffix":""},{"dropping-particle":"","family":"Poh","given":"Chueh Loo","non-dropping-particle":"","parse-names":false,"suffix":""},{"dropping-particle":"","family":"Pretorius","given":"Isak S.","non-dropping-particle":"","parse-names":false,"suffix":""},{"dropping-particle":"","family":"Rosser","given":"Susan J.","non-dropping-particle":"","parse-names":false,"suffix":""},{"dropping-particle":"","family":"Scrutton","given":"Nigel S.","non-dropping-particle":"","parse-names":false,"suffix":""},{"dropping-particle":"","family":"Storch","given":"Marko","non-dropping-particle":"","parse-names":false,"suffix":""},{"dropping-particle":"","family":"Tekotte","given":"Hille","non-dropping-particle":"","parse-names":false,"suffix":""},{"dropping-particle":"","family":"Travnik","given":"Evelyn","non-dropping-particle":"","parse-names":false,"suffix":""},{"dropping-particle":"","family":"Vickers","given":"Claudia E.","non-dropping-particle":"","parse-names":false,"suffix":""},{"dropping-particle":"","family":"Yew","given":"Wen Shan","non-dropping-particle":"","parse-names":false,"suffix":""},{"dropping-particle":"","family":"Yuan","given":"Yingjin","non-dropping-particle":"","parse-names":false,"suffix":""},{"dropping-particle":"","family":"Zhao","given":"Huimin","non-dropping-particle":"","parse-names":false,"suffix":""},{"dropping-particle":"","family":"Freemont","given":"Paul S.","non-dropping-particle":"","parse-names":false,"suffix":""}],"container-title":"Nature Communications","id":"ITEM-1","issue":"1","issued":{"date-parts":[["2019","12","9"]]},"page":"2040","title":"Building a global alliance of biofoundries","type":"article-journal","volume":"10"},"uris":["http://www.mendeley.com/documents/?uuid=a8a41c32-c220-44aa-80c8-b79f6add909a"]}],"mendeley":{"formattedCitation":"(Hillson et al., 2019)","plainTextFormattedCitation":"(Hillson et al., 2019)","previouslyFormattedCitation":"(Hillson et al., 2019)"},"properties":{"noteIndex":0},"schema":"https://github.com/citation-style-language/schema/raw/master/csl-citation.json"}</w:instrText>
      </w:r>
      <w:r w:rsidR="00631260">
        <w:rPr>
          <w:rFonts w:ascii="Times New Roman" w:hAnsi="Times New Roman"/>
          <w:color w:val="000000" w:themeColor="text1"/>
          <w:lang w:eastAsia="ar-SA"/>
        </w:rPr>
        <w:fldChar w:fldCharType="separate"/>
      </w:r>
      <w:r w:rsidR="00631260" w:rsidRPr="00631260">
        <w:rPr>
          <w:rFonts w:ascii="Times New Roman" w:hAnsi="Times New Roman"/>
          <w:noProof/>
          <w:color w:val="000000" w:themeColor="text1"/>
          <w:lang w:eastAsia="ar-SA"/>
        </w:rPr>
        <w:t>(Hillson et al., 2019)</w:t>
      </w:r>
      <w:r w:rsidR="00631260">
        <w:rPr>
          <w:rFonts w:ascii="Times New Roman" w:hAnsi="Times New Roman"/>
          <w:color w:val="000000" w:themeColor="text1"/>
          <w:lang w:eastAsia="ar-SA"/>
        </w:rPr>
        <w:fldChar w:fldCharType="end"/>
      </w:r>
      <w:r w:rsidR="5137704E" w:rsidRPr="4E82B85D">
        <w:rPr>
          <w:rFonts w:ascii="Times New Roman" w:hAnsi="Times New Roman"/>
          <w:color w:val="000000" w:themeColor="text1"/>
          <w:lang w:eastAsia="ar-SA"/>
        </w:rPr>
        <w:t xml:space="preserve">. </w:t>
      </w:r>
      <w:r w:rsidR="6F6844B3" w:rsidRPr="4E82B85D">
        <w:rPr>
          <w:rFonts w:ascii="Times New Roman" w:hAnsi="Times New Roman"/>
          <w:color w:val="000000" w:themeColor="text1"/>
          <w:lang w:eastAsia="ar-SA"/>
        </w:rPr>
        <w:t>One of these biofoundries, the London Biofoundry, has been able to quickly repurpose its infrastructure in to establish two frontline SARS-CoV-2 testing platforms</w:t>
      </w:r>
      <w:r w:rsidR="1015D21B" w:rsidRPr="4E82B85D">
        <w:rPr>
          <w:rFonts w:ascii="Times New Roman" w:hAnsi="Times New Roman"/>
          <w:color w:val="000000" w:themeColor="text1"/>
          <w:lang w:eastAsia="ar-SA"/>
        </w:rPr>
        <w:t xml:space="preserve"> </w:t>
      </w:r>
      <w:r w:rsidR="00B7351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{"citationItems":[{"id":"ITEM-1","itemData":{"DOI":"10.1038/s41467-020-18130-3","ISSN":"20411723","PMID":"32900994","abstract":"The SARS-CoV-2 pandemic has shown how a rapid rise in demand for patient and community sample testing can quickly overwhelm testing capability globally. With most diagnostic infrastructure dependent on specialized instruments, their exclusive reagent supplies quickly become bottlenecks, creating an urgent need for approaches to boost testing capacity. We address this challenge by refocusing the London Biofoundry onto the development of alternative testing pipelines. Here, we present a reagent-agnostic automated SARS-CoV-2 testing platform that can be quickly deployed and scaled. Using an in-house-generated, open-source, MS2-virus-like particle (VLP) SARS-CoV-2 standard, we validate RNA extraction and RT-qPCR workflows as well as two detection assays based on CRISPR-Cas13a and RT-loop-mediated isothermal amplification (RT-LAMP). In collaboration with an NHS diagnostic testing lab, we report the performance of the overall workflow and detection of SARS-CoV-2 in patient samples using RT-qPCR, CRISPR-Cas13a, and RT-LAMP. The validated RNA extraction and RT-qPCR platform has been installed in NHS diagnostic labs, increasing testing capacity by 1000 samples per day.","author":[{"dropping-particle":"","family":"Crone","given":"Michael A.","non-dropping-particle":"","parse-names":false,"suffix":""},{"dropping-particle":"","family":"Priestman","given":"Miles","non-dropping-particle":"","parse-names":false,"suffix":""},{"dropping-particle":"","family":"Ciechonska","given":"Marta","non-dropping-particle":"","parse-names":false,"suffix":""},{"dropping-particle":"","family":"Jensen","given":"Kirsten","non-dropping-particle":"","parse-names":false,"suffix":""},{"dropping-particle":"","family":"Sharp","given":"David J.","non-dropping-particle":"","parse-names":false,"suffix":""},{"dropping-particle":"","family":"Anand","given":"Arthi","non-dropping-particle":"","parse-names":false,"suffix":""},{"dropping-particle":"","family":"Randell","given":"Paul","non-dropping-particle":"","parse-names":false,"suffix":""},{"dropping-particle":"","family":"Storch","given":"Marko","non-dropping-particle":"","parse-names":false,"suffix":""},{"dropping-particle":"","family":"Freemont","given":"Paul S.","non-dropping-particle":"","parse-names":false,"suffix":""}],"container-title":"Nature Communications","id":"ITEM-1","issue":"1","issued":{"date-parts":[["2020","12"]]},"publisher":"Nature Research","title":"A role for Biofoundries in rapid development and validation of automated SARS-CoV-2 clinical diagnostics","type":"article-journal","volume":"11"},"uris":["http://www.mendeley.com/documents/?uuid=4e17d9a5-cb76-45c3-8246-0522a1c66f57"]}],"mendeley":{"formattedCitation":"(Crone et al., 2020)","plainTextFormattedCitation":"(Crone et al., 2020)","previouslyFormattedCitation":"(Crone et al., 2020)"},"properties":{"noteIndex":0},"schema":"https://github.com/citation-style-language/schema/raw/master/csl-citation.json"}</w:instrText>
      </w:r>
      <w:r w:rsidR="00B73517">
        <w:rPr>
          <w:rFonts w:ascii="Times New Roman" w:hAnsi="Times New Roman"/>
          <w:color w:val="000000" w:themeColor="text1"/>
          <w:lang w:eastAsia="ar-SA"/>
        </w:rPr>
        <w:fldChar w:fldCharType="separate"/>
      </w:r>
      <w:r w:rsidR="00B73517" w:rsidRPr="00B73517">
        <w:rPr>
          <w:rFonts w:ascii="Times New Roman" w:hAnsi="Times New Roman"/>
          <w:noProof/>
          <w:color w:val="000000" w:themeColor="text1"/>
          <w:lang w:eastAsia="ar-SA"/>
        </w:rPr>
        <w:t>(Crone et al., 2020)</w:t>
      </w:r>
      <w:r w:rsidR="00B73517">
        <w:rPr>
          <w:rFonts w:ascii="Times New Roman" w:hAnsi="Times New Roman"/>
          <w:color w:val="000000" w:themeColor="text1"/>
          <w:lang w:eastAsia="ar-SA"/>
        </w:rPr>
        <w:fldChar w:fldCharType="end"/>
      </w:r>
      <w:r w:rsidR="1015D21B" w:rsidRPr="4E82B85D">
        <w:rPr>
          <w:rFonts w:ascii="Times New Roman" w:hAnsi="Times New Roman"/>
          <w:color w:val="000000" w:themeColor="text1"/>
          <w:lang w:eastAsia="ar-SA"/>
        </w:rPr>
        <w:t xml:space="preserve"> which </w:t>
      </w:r>
      <w:r w:rsidR="48E68C24" w:rsidRPr="4E82B85D">
        <w:rPr>
          <w:rFonts w:ascii="Times New Roman" w:hAnsi="Times New Roman"/>
          <w:color w:val="000000" w:themeColor="text1"/>
          <w:lang w:eastAsia="ar-SA"/>
        </w:rPr>
        <w:t xml:space="preserve">can </w:t>
      </w:r>
      <w:r w:rsidR="1015D21B" w:rsidRPr="4E82B85D">
        <w:rPr>
          <w:rFonts w:ascii="Times New Roman" w:hAnsi="Times New Roman"/>
          <w:color w:val="000000" w:themeColor="text1"/>
          <w:lang w:eastAsia="ar-SA"/>
        </w:rPr>
        <w:t xml:space="preserve">be </w:t>
      </w:r>
      <w:r w:rsidR="58035479" w:rsidRPr="4E82B85D">
        <w:rPr>
          <w:rFonts w:ascii="Times New Roman" w:hAnsi="Times New Roman"/>
          <w:color w:val="000000" w:themeColor="text1"/>
          <w:lang w:eastAsia="ar-SA"/>
        </w:rPr>
        <w:t>quickly replicated around the world and increase capacity for testing and drug development</w:t>
      </w:r>
      <w:r w:rsidR="4EC8F066" w:rsidRPr="4E82B85D">
        <w:rPr>
          <w:rFonts w:ascii="Times New Roman" w:hAnsi="Times New Roman"/>
          <w:color w:val="000000" w:themeColor="text1"/>
          <w:lang w:eastAsia="ar-SA"/>
        </w:rPr>
        <w:t>.</w:t>
      </w:r>
    </w:p>
    <w:p w14:paraId="21450CC0" w14:textId="39A13476" w:rsidR="006A6F5D" w:rsidRPr="0025571B" w:rsidRDefault="0068238E" w:rsidP="008805B8">
      <w:pPr>
        <w:pStyle w:val="Heading3"/>
      </w:pPr>
      <w:bookmarkStart w:id="38" w:name="_Toc70112667"/>
      <w:bookmarkStart w:id="39" w:name="_Toc70685689"/>
      <w:r>
        <w:rPr>
          <w:lang w:val="en-US"/>
        </w:rPr>
        <w:t>1</w:t>
      </w:r>
      <w:r w:rsidR="00FE4D58" w:rsidRPr="008805B8">
        <w:rPr>
          <w:lang w:val="en-US"/>
        </w:rPr>
        <w:t>.</w:t>
      </w:r>
      <w:r w:rsidR="006B4CCC">
        <w:rPr>
          <w:lang w:val="en-US"/>
        </w:rPr>
        <w:t>8</w:t>
      </w:r>
      <w:r w:rsidR="00FE4D58" w:rsidRPr="008805B8">
        <w:rPr>
          <w:lang w:val="en-US"/>
        </w:rPr>
        <w:t xml:space="preserve">. </w:t>
      </w:r>
      <w:r w:rsidR="006A6F5D">
        <w:t>Bio</w:t>
      </w:r>
      <w:r w:rsidR="00C640D2">
        <w:rPr>
          <w:lang w:val="en-US"/>
        </w:rPr>
        <w:t>B</w:t>
      </w:r>
      <w:r w:rsidR="006A6F5D">
        <w:t>ricks</w:t>
      </w:r>
      <w:r w:rsidR="0025571B">
        <w:rPr>
          <w:lang w:val="en-US"/>
        </w:rPr>
        <w:t>.</w:t>
      </w:r>
      <w:bookmarkEnd w:id="38"/>
      <w:bookmarkEnd w:id="39"/>
    </w:p>
    <w:p w14:paraId="3E4922D1" w14:textId="5804CE8F" w:rsidR="55736870" w:rsidRDefault="00036FC4" w:rsidP="005C10FB">
      <w:pPr>
        <w:spacing w:before="120" w:after="120" w:line="240" w:lineRule="auto"/>
        <w:jc w:val="both"/>
        <w:rPr>
          <w:rFonts w:ascii="Times New Roman" w:hAnsi="Times New Roman"/>
          <w:color w:val="000000" w:themeColor="text1"/>
          <w:lang w:eastAsia="ar-SA"/>
        </w:rPr>
      </w:pPr>
      <w:r>
        <w:rPr>
          <w:rFonts w:ascii="Times New Roman" w:eastAsia="Times New Roman" w:hAnsi="Times New Roman"/>
          <w:lang w:eastAsia="ar-SA"/>
        </w:rPr>
        <w:t>The</w:t>
      </w:r>
      <w:r w:rsidR="6F725587" w:rsidRPr="02FAAAAC">
        <w:rPr>
          <w:rFonts w:ascii="Times New Roman" w:eastAsia="Times New Roman" w:hAnsi="Times New Roman"/>
          <w:lang w:eastAsia="ar-SA"/>
        </w:rPr>
        <w:t xml:space="preserve"> foundational </w:t>
      </w:r>
      <w:r w:rsidRPr="02FAAAAC">
        <w:rPr>
          <w:rFonts w:ascii="Times New Roman" w:eastAsia="Times New Roman" w:hAnsi="Times New Roman"/>
          <w:i/>
          <w:lang w:eastAsia="ar-SA"/>
        </w:rPr>
        <w:t>Nature</w:t>
      </w:r>
      <w:r w:rsidRPr="02FAAAAC">
        <w:rPr>
          <w:rFonts w:ascii="Times New Roman" w:eastAsia="Times New Roman" w:hAnsi="Times New Roman"/>
          <w:lang w:eastAsia="ar-SA"/>
        </w:rPr>
        <w:t xml:space="preserve"> </w:t>
      </w:r>
      <w:r w:rsidR="6F725587" w:rsidRPr="02FAAAAC">
        <w:rPr>
          <w:rFonts w:ascii="Times New Roman" w:eastAsia="Times New Roman" w:hAnsi="Times New Roman"/>
          <w:lang w:eastAsia="ar-SA"/>
        </w:rPr>
        <w:t xml:space="preserve">paper </w:t>
      </w:r>
      <w:r w:rsidR="008D615D">
        <w:rPr>
          <w:rFonts w:ascii="Times New Roman" w:eastAsia="Times New Roman" w:hAnsi="Times New Roman"/>
          <w:lang w:eastAsia="ar-SA"/>
        </w:rPr>
        <w:t xml:space="preserve">by </w:t>
      </w:r>
      <w:r w:rsidR="004C4095">
        <w:rPr>
          <w:rFonts w:ascii="Times New Roman" w:eastAsia="Times New Roman" w:hAnsi="Times New Roman"/>
          <w:lang w:eastAsia="ar-SA"/>
        </w:rPr>
        <w:t>Endy</w:t>
      </w:r>
      <w:r w:rsidR="008D615D">
        <w:rPr>
          <w:rFonts w:ascii="Times New Roman" w:eastAsia="Times New Roman" w:hAnsi="Times New Roman"/>
          <w:lang w:eastAsia="ar-SA"/>
        </w:rPr>
        <w:t xml:space="preserve"> </w:t>
      </w:r>
      <w:r w:rsidR="000B37CF">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10.1038/nature04342","ISSN":"0028-0836","author":[{"dropping-particle":"","family":"Endy","given":"Drew","non-dropping-particle":"","parse-names":false,"suffix":""}],"container-title":"Nature","id":"ITEM-1","issue":"7067","issued":{"date-parts":[["2005","11","24"]]},"page":"449-453","title":"Foundations for engineering biology","type":"article-journal","volume":"438"},"uris":["http://www.mendeley.com/documents/?uuid=4cccec1e-80bf-42c8-bf79-3fbc7e1c01b8"]}],"mendeley":{"formattedCitation":"(Endy, 2005)","manualFormatting":"(2005)","plainTextFormattedCitation":"(Endy, 2005)","previouslyFormattedCitation":"(Endy, 2005)"},"properties":{"noteIndex":0},"schema":"https://github.com/citation-style-language/schema/raw/master/csl-citation.json"}</w:instrText>
      </w:r>
      <w:r w:rsidR="000B37CF">
        <w:rPr>
          <w:rFonts w:ascii="Times New Roman" w:eastAsia="Times New Roman" w:hAnsi="Times New Roman"/>
          <w:lang w:eastAsia="ar-SA"/>
        </w:rPr>
        <w:fldChar w:fldCharType="separate"/>
      </w:r>
      <w:r w:rsidR="00204229" w:rsidRPr="00204229">
        <w:rPr>
          <w:rFonts w:ascii="Times New Roman" w:eastAsia="Times New Roman" w:hAnsi="Times New Roman"/>
          <w:noProof/>
          <w:lang w:eastAsia="ar-SA"/>
        </w:rPr>
        <w:t>(2005)</w:t>
      </w:r>
      <w:r w:rsidR="000B37CF">
        <w:rPr>
          <w:rFonts w:ascii="Times New Roman" w:eastAsia="Times New Roman" w:hAnsi="Times New Roman"/>
          <w:lang w:eastAsia="ar-SA"/>
        </w:rPr>
        <w:fldChar w:fldCharType="end"/>
      </w:r>
      <w:r w:rsidR="6F725587" w:rsidRPr="02FAAAAC">
        <w:rPr>
          <w:rFonts w:ascii="Times New Roman" w:eastAsia="Times New Roman" w:hAnsi="Times New Roman"/>
          <w:lang w:eastAsia="ar-SA"/>
        </w:rPr>
        <w:t xml:space="preserve"> applied three ideas from engineering to biology: </w:t>
      </w:r>
      <w:r w:rsidR="30EDC7EB" w:rsidRPr="02FAAAAC">
        <w:rPr>
          <w:rFonts w:ascii="Times New Roman" w:eastAsia="Times New Roman" w:hAnsi="Times New Roman"/>
          <w:lang w:eastAsia="ar-SA"/>
        </w:rPr>
        <w:t>standardi</w:t>
      </w:r>
      <w:r w:rsidR="6E766844">
        <w:rPr>
          <w:rFonts w:ascii="Times New Roman" w:eastAsia="Times New Roman" w:hAnsi="Times New Roman"/>
          <w:lang w:eastAsia="ar-SA"/>
        </w:rPr>
        <w:t>s</w:t>
      </w:r>
      <w:r w:rsidR="30EDC7EB" w:rsidRPr="02FAAAAC">
        <w:rPr>
          <w:rFonts w:ascii="Times New Roman" w:eastAsia="Times New Roman" w:hAnsi="Times New Roman"/>
          <w:lang w:eastAsia="ar-SA"/>
        </w:rPr>
        <w:t>ation</w:t>
      </w:r>
      <w:r w:rsidR="6F725587" w:rsidRPr="02FAAAAC">
        <w:rPr>
          <w:rFonts w:ascii="Times New Roman" w:eastAsia="Times New Roman" w:hAnsi="Times New Roman"/>
          <w:lang w:eastAsia="ar-SA"/>
        </w:rPr>
        <w:t xml:space="preserve"> of basic biological parts and conditions to support their use; the decoupling of design from fabrication; and using hierarchies of abstraction so that one could work at a specific level of complexity without regard to other levels. One of the earliest and highest profile standardization systems for the design of DNA “parts” was established by scientists and engineers at MIT in 2003.</w:t>
      </w:r>
      <w:r w:rsidR="6F725587" w:rsidRPr="00674B33">
        <w:rPr>
          <w:rFonts w:ascii="Times New Roman" w:eastAsia="Times New Roman" w:hAnsi="Times New Roman"/>
          <w:b/>
          <w:bCs/>
          <w:lang w:eastAsia="ar-SA"/>
        </w:rPr>
        <w:t xml:space="preserve"> </w:t>
      </w:r>
      <w:r w:rsidR="6F725587" w:rsidRPr="006A0C6C">
        <w:rPr>
          <w:rFonts w:ascii="Times New Roman" w:eastAsia="Times New Roman" w:hAnsi="Times New Roman"/>
          <w:lang w:eastAsia="ar-SA"/>
        </w:rPr>
        <w:t>BioBricks</w:t>
      </w:r>
      <w:r w:rsidR="6F725587" w:rsidRPr="02FAAAAC">
        <w:rPr>
          <w:rFonts w:ascii="Times New Roman" w:eastAsia="Times New Roman" w:hAnsi="Times New Roman"/>
          <w:lang w:eastAsia="ar-SA"/>
        </w:rPr>
        <w:t>™, sequences of</w:t>
      </w:r>
      <w:r w:rsidR="6F725587" w:rsidRPr="02FAAAAC">
        <w:rPr>
          <w:rFonts w:ascii="Times New Roman" w:hAnsi="Times New Roman"/>
          <w:color w:val="000000" w:themeColor="text1"/>
          <w:lang w:eastAsia="ar-SA"/>
        </w:rPr>
        <w:t xml:space="preserve"> DNA encoding a biological function, are intended to be modular parts that can be mixed and matched by researchers designing their own devices and systems. </w:t>
      </w:r>
    </w:p>
    <w:p w14:paraId="50DDDE32" w14:textId="7792711E" w:rsidR="55736870" w:rsidRDefault="480FC0A7" w:rsidP="02FAAAAC">
      <w:pPr>
        <w:spacing w:before="120" w:after="120" w:line="240" w:lineRule="auto"/>
        <w:jc w:val="both"/>
        <w:rPr>
          <w:rFonts w:ascii="Times New Roman" w:eastAsia="Times New Roman" w:hAnsi="Times New Roman"/>
          <w:lang w:eastAsia="ar-SA"/>
        </w:rPr>
      </w:pPr>
      <w:r w:rsidRPr="06DD7B6A">
        <w:rPr>
          <w:rFonts w:ascii="Times New Roman" w:eastAsia="Times New Roman" w:hAnsi="Times New Roman"/>
          <w:lang w:eastAsia="ar-SA"/>
        </w:rPr>
        <w:lastRenderedPageBreak/>
        <w:t>BioBricks</w:t>
      </w:r>
      <w:r w:rsidR="1B22A488" w:rsidRPr="02FAAAAC">
        <w:rPr>
          <w:rFonts w:ascii="Times New Roman" w:eastAsia="Times New Roman" w:hAnsi="Times New Roman"/>
          <w:lang w:eastAsia="ar-SA"/>
        </w:rPr>
        <w:t xml:space="preserve"> refers to the basic functional units that resemble one characteristic of a minimal cell and not just a particular gene or gene-product, as was the original concept from the initial synthetic biology work aimed at re-engineering host cells gene</w:t>
      </w:r>
      <w:r w:rsidR="00A4025C">
        <w:rPr>
          <w:rFonts w:ascii="Times New Roman" w:eastAsia="Times New Roman" w:hAnsi="Times New Roman"/>
          <w:lang w:eastAsia="ar-SA"/>
        </w:rPr>
        <w:t>-</w:t>
      </w:r>
      <w:r w:rsidR="1B22A488" w:rsidRPr="02FAAAAC">
        <w:rPr>
          <w:rFonts w:ascii="Times New Roman" w:eastAsia="Times New Roman" w:hAnsi="Times New Roman"/>
          <w:lang w:eastAsia="ar-SA"/>
        </w:rPr>
        <w:t>by</w:t>
      </w:r>
      <w:r w:rsidR="00A4025C">
        <w:rPr>
          <w:rFonts w:ascii="Times New Roman" w:eastAsia="Times New Roman" w:hAnsi="Times New Roman"/>
          <w:lang w:eastAsia="ar-SA"/>
        </w:rPr>
        <w:t>-</w:t>
      </w:r>
      <w:r w:rsidR="1B22A488" w:rsidRPr="02FAAAAC">
        <w:rPr>
          <w:rFonts w:ascii="Times New Roman" w:eastAsia="Times New Roman" w:hAnsi="Times New Roman"/>
          <w:lang w:eastAsia="ar-SA"/>
        </w:rPr>
        <w:t>gene</w:t>
      </w:r>
      <w:r w:rsidR="009F59BA">
        <w:rPr>
          <w:rFonts w:ascii="Times New Roman" w:eastAsia="Times New Roman" w:hAnsi="Times New Roman"/>
          <w:lang w:eastAsia="ar-SA"/>
        </w:rPr>
        <w:t>.</w:t>
      </w:r>
      <w:r w:rsidR="1B22A488" w:rsidRPr="02FAAAAC">
        <w:rPr>
          <w:rFonts w:ascii="Times New Roman" w:eastAsia="Times New Roman" w:hAnsi="Times New Roman"/>
          <w:lang w:eastAsia="ar-SA"/>
        </w:rPr>
        <w:t xml:space="preserve"> Mathematical modelling and computational tools can provide a precise description of such functional BioBricks to predict and guide their optimal assembly into larger functional systems </w:t>
      </w:r>
      <w:r w:rsidR="00290AF0">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{"citationItems":[{"id":"ITEM-1","itemData":{"DOI":"10.1016/j.nbt.2017.06.014","ISSN":"18764347","PMID":"28690157","abstract":"The construction of a minimal cell that exhibits the essential characteristics of life is a great challenge in the field of synthetic biology. Assembling a minimal cell requires multidisciplinary expertise from physics, chemistry and biology. Scientists from different backgrounds tend to define the essence of ‘life’ differently and have thus proposed different artificial cell models possessing one or several essential features of living cells. Using the tools and methods of molecular biology, the bottom-up engineering of a minimal cell appears in reach. However, several challenges still remain. In particular, the integration of individual sub-systems that is required to achieve a self-reproducing cell model presents a complex optimization challenge. For example, multiple self-organisation and self-assembly processes have to be carefully tuned. We review advances and developments of new methods and techniques, for cell-free protein synthesis as well as micro-fabrication, for their potential to resolve challenges and to accelerate the development of minimal cells.","author":[{"dropping-particle":"","family":"Jia","given":"Haiyang","non-dropping-particle":"","parse-names":false,"suffix":""},{"dropping-particle":"","family":"Heymann","given":"Michael","non-dropping-particle":"","parse-names":false,"suffix":""},{"dropping-particle":"","family":"Bernhard","given":"Frank","non-dropping-particle":"","parse-names":false,"suffix":""},{"dropping-particle":"","family":"Schwille","given":"Petra","non-dropping-particle":"","parse-names":false,"suffix":""},{"dropping-particle":"","family":"Kai","given":"Lei","non-dropping-particle":"","parse-names":false,"suffix":""}],"container-title":"New Biotechnology","id":"ITEM-1","issued":{"date-parts":[["2017","10"]]},"page":"199-205","publisher":"Elsevier B.V.","title":"Cell-free protein synthesis in micro compartments: building a minimal cell from biobricks","type":"article","volume":"39"},"uris":["http://www.mendeley.com/documents/?uuid=5a6bb654-bf03-30e6-8d27-5eeaf9d6e95c","http://www.mendeley.com/documents/?uuid=c198a22d-7438-4310-a83f-513c38d55a9c","http://www.mendeley.com/documents/?uuid=bfba92f6-9eee-4326-afbd-466192ea335f"]}],"mendeley":{"formattedCitation":"(Jia et al., 2017)","plainTextFormattedCitation":"(Jia et al., 2017)","previouslyFormattedCitation":"(Jia et al., 2017)"},"properties":{"noteIndex":0},"schema":"https://github.com/citation-style-language/schema/raw/master/csl-citation.json"}</w:instrText>
      </w:r>
      <w:r w:rsidR="00290AF0">
        <w:rPr>
          <w:rFonts w:ascii="Times New Roman" w:eastAsia="Times New Roman" w:hAnsi="Times New Roman"/>
          <w:lang w:eastAsia="ar-SA"/>
        </w:rPr>
        <w:fldChar w:fldCharType="separate"/>
      </w:r>
      <w:r w:rsidR="00290AF0" w:rsidRPr="00290AF0">
        <w:rPr>
          <w:rFonts w:ascii="Times New Roman" w:eastAsia="Times New Roman" w:hAnsi="Times New Roman"/>
          <w:noProof/>
          <w:lang w:eastAsia="ar-SA"/>
        </w:rPr>
        <w:t>(Jia et al., 2017)</w:t>
      </w:r>
      <w:r w:rsidR="00290AF0">
        <w:rPr>
          <w:rFonts w:ascii="Times New Roman" w:eastAsia="Times New Roman" w:hAnsi="Times New Roman"/>
          <w:lang w:eastAsia="ar-SA"/>
        </w:rPr>
        <w:fldChar w:fldCharType="end"/>
      </w:r>
      <w:r w:rsidR="00120B66">
        <w:rPr>
          <w:rFonts w:ascii="Times New Roman" w:eastAsia="Times New Roman" w:hAnsi="Times New Roman"/>
          <w:lang w:eastAsia="ar-SA"/>
        </w:rPr>
        <w:t>.</w:t>
      </w:r>
    </w:p>
    <w:p w14:paraId="004832C4" w14:textId="6140659E" w:rsidR="55736870" w:rsidRDefault="6F725587" w:rsidP="00BF76BB">
      <w:pPr>
        <w:spacing w:before="120" w:after="120" w:line="240" w:lineRule="auto"/>
        <w:jc w:val="both"/>
        <w:rPr>
          <w:rFonts w:ascii="Times New Roman" w:eastAsia="Times New Roman" w:hAnsi="Times New Roman"/>
        </w:rPr>
      </w:pPr>
      <w:r w:rsidRPr="02FAAAAC">
        <w:rPr>
          <w:rFonts w:ascii="Times New Roman" w:eastAsia="Times New Roman" w:hAnsi="Times New Roman"/>
          <w:lang w:eastAsia="ar-SA"/>
        </w:rPr>
        <w:t>A major platform for demonstrated uses of BioBricks has been the annual International Genetically Engineered Machine competition (</w:t>
      </w:r>
      <w:r w:rsidRPr="006A0C6C">
        <w:rPr>
          <w:rFonts w:ascii="Times New Roman" w:eastAsia="Times New Roman" w:hAnsi="Times New Roman"/>
          <w:lang w:eastAsia="ar-SA"/>
        </w:rPr>
        <w:t>iGEM</w:t>
      </w:r>
      <w:r w:rsidRPr="02FAAAAC">
        <w:rPr>
          <w:rFonts w:ascii="Times New Roman" w:eastAsia="Times New Roman" w:hAnsi="Times New Roman"/>
          <w:lang w:eastAsia="ar-SA"/>
        </w:rPr>
        <w:t>). The iGEM Foundation (which runs the competition) also hosts an open website, the Registry of Standard Biological Parts</w:t>
      </w:r>
      <w:r w:rsidR="003D5A51">
        <w:rPr>
          <w:rStyle w:val="FootnoteReference"/>
          <w:rFonts w:ascii="Times New Roman" w:eastAsia="Times New Roman" w:hAnsi="Times New Roman"/>
          <w:lang w:eastAsia="ar-SA"/>
        </w:rPr>
        <w:footnoteReference w:id="9"/>
      </w:r>
      <w:r w:rsidR="00D45DBE">
        <w:rPr>
          <w:rFonts w:ascii="Times New Roman" w:eastAsia="Times New Roman" w:hAnsi="Times New Roman"/>
          <w:lang w:eastAsia="ar-SA"/>
        </w:rPr>
        <w:t xml:space="preserve"> </w:t>
      </w:r>
      <w:r w:rsidRPr="02FAAAAC">
        <w:rPr>
          <w:rFonts w:ascii="Times New Roman" w:eastAsia="Times New Roman" w:hAnsi="Times New Roman"/>
          <w:lang w:eastAsia="ar-SA"/>
        </w:rPr>
        <w:t xml:space="preserve">where researchers share the DNA sequences for parts designed following BioBrick standards. Since 2004, iGEM has provided a platform for </w:t>
      </w:r>
      <w:r w:rsidR="009D657A">
        <w:rPr>
          <w:rFonts w:ascii="Times New Roman" w:eastAsia="Times New Roman" w:hAnsi="Times New Roman"/>
          <w:lang w:eastAsia="ar-SA"/>
        </w:rPr>
        <w:t>high school</w:t>
      </w:r>
      <w:r w:rsidR="009D657A" w:rsidRPr="00F5120A">
        <w:rPr>
          <w:rFonts w:ascii="Times New Roman" w:eastAsia="Times New Roman" w:hAnsi="Times New Roman"/>
          <w:lang w:eastAsia="ar-SA"/>
        </w:rPr>
        <w:t xml:space="preserve">, </w:t>
      </w:r>
      <w:r w:rsidRPr="02FAAAAC">
        <w:rPr>
          <w:rFonts w:ascii="Times New Roman" w:eastAsia="Times New Roman" w:hAnsi="Times New Roman"/>
          <w:lang w:eastAsia="ar-SA"/>
        </w:rPr>
        <w:t>undergraduate</w:t>
      </w:r>
      <w:r w:rsidR="009D657A" w:rsidRPr="008805B8">
        <w:rPr>
          <w:rStyle w:val="CommentReference"/>
          <w:rFonts w:ascii="Times New Roman" w:eastAsia="Times New Roman" w:hAnsi="Times New Roman"/>
          <w:kern w:val="1"/>
          <w:sz w:val="22"/>
          <w:lang w:eastAsia="ar-SA"/>
        </w:rPr>
        <w:t>,</w:t>
      </w:r>
      <w:r w:rsidR="00F5120A" w:rsidRPr="008805B8">
        <w:rPr>
          <w:rStyle w:val="CommentReference"/>
          <w:rFonts w:ascii="Times New Roman" w:eastAsia="Times New Roman" w:hAnsi="Times New Roman"/>
          <w:kern w:val="1"/>
          <w:sz w:val="22"/>
          <w:lang w:eastAsia="ar-SA"/>
        </w:rPr>
        <w:t xml:space="preserve"> and graduate </w:t>
      </w:r>
      <w:r w:rsidRPr="008805B8">
        <w:rPr>
          <w:rStyle w:val="CommentReference"/>
          <w:kern w:val="1"/>
          <w:sz w:val="22"/>
        </w:rPr>
        <w:t>s</w:t>
      </w:r>
      <w:r w:rsidRPr="02FAAAAC">
        <w:rPr>
          <w:rFonts w:ascii="Times New Roman" w:eastAsia="Times New Roman" w:hAnsi="Times New Roman"/>
          <w:lang w:eastAsia="ar-SA"/>
        </w:rPr>
        <w:t>tudents to build biological systems using existing BioBricks and designing original parts.</w:t>
      </w:r>
      <w:r w:rsidR="00BF76BB">
        <w:rPr>
          <w:rFonts w:ascii="Times New Roman" w:eastAsia="Times New Roman" w:hAnsi="Times New Roman"/>
          <w:lang w:eastAsia="ar-SA"/>
        </w:rPr>
        <w:t xml:space="preserve"> </w:t>
      </w:r>
      <w:r w:rsidR="001E2A02">
        <w:rPr>
          <w:rFonts w:ascii="Times New Roman" w:eastAsia="Times New Roman" w:hAnsi="Times New Roman"/>
          <w:lang w:eastAsia="ar-SA"/>
        </w:rPr>
        <w:t xml:space="preserve"> </w:t>
      </w:r>
      <w:r w:rsidR="6849B838" w:rsidRPr="02FAAAAC">
        <w:rPr>
          <w:rFonts w:ascii="Times New Roman" w:eastAsia="Times New Roman" w:hAnsi="Times New Roman"/>
        </w:rPr>
        <w:t>It has since grown to include more than 350 teams from more than 40 countries competing in 2019. There are approximately 40,000 alumni of the competition, both students and instructors, worldwide</w:t>
      </w:r>
      <w:r w:rsidR="35D47A43" w:rsidRPr="10B12CF3">
        <w:rPr>
          <w:rFonts w:ascii="Times New Roman" w:eastAsia="Times New Roman" w:hAnsi="Times New Roman"/>
        </w:rPr>
        <w:t>, and</w:t>
      </w:r>
      <w:r w:rsidR="28331ADC" w:rsidRPr="02FAAAAC">
        <w:rPr>
          <w:rFonts w:ascii="Times New Roman" w:eastAsia="Times New Roman" w:hAnsi="Times New Roman"/>
        </w:rPr>
        <w:t xml:space="preserve"> has been described as a source of potential commercial innovation</w:t>
      </w:r>
      <w:r w:rsidR="216FE782" w:rsidRPr="10B12CF3">
        <w:rPr>
          <w:rFonts w:ascii="Times New Roman" w:eastAsia="Times New Roman" w:hAnsi="Times New Roman"/>
        </w:rPr>
        <w:t xml:space="preserve"> with</w:t>
      </w:r>
      <w:r w:rsidR="46185F17" w:rsidRPr="02FAAAAC">
        <w:rPr>
          <w:rFonts w:ascii="Times New Roman" w:eastAsia="Times New Roman" w:hAnsi="Times New Roman"/>
        </w:rPr>
        <w:t xml:space="preserve"> m</w:t>
      </w:r>
      <w:r w:rsidR="28331ADC" w:rsidRPr="02FAAAAC">
        <w:rPr>
          <w:rFonts w:ascii="Times New Roman" w:eastAsia="Times New Roman" w:hAnsi="Times New Roman"/>
        </w:rPr>
        <w:t>ore than 150 companies formed by iGEM teams</w:t>
      </w:r>
      <w:r w:rsidR="37504C30" w:rsidRPr="02FAAAAC">
        <w:rPr>
          <w:rFonts w:ascii="Times New Roman" w:eastAsia="Times New Roman" w:hAnsi="Times New Roman"/>
        </w:rPr>
        <w:t xml:space="preserve"> </w:t>
      </w:r>
      <w:r w:rsidR="00B72275">
        <w:rPr>
          <w:rFonts w:ascii="Times New Roman" w:eastAsia="Times New Roman" w:hAnsi="Times New Roman"/>
        </w:rPr>
        <w:fldChar w:fldCharType="begin" w:fldLock="1"/>
      </w:r>
      <w:r w:rsidR="008F6A90">
        <w:rPr>
          <w:rFonts w:ascii="Times New Roman" w:eastAsia="Times New Roman" w:hAnsi="Times New Roman"/>
        </w:rPr>
        <w:instrText>ADDIN CSL_CITATION {"citationItems":[{"id":"ITEM-1","itemData":{"DOI":"10.1089/hs.2020.0017","ISSN":"23265108","PMID":"32816589","abstract":"An important factor in growing the US bioeconomy is recruiting and training its future workforce. Other science, technology, engineering, and math (STEM) fields have relied on diverse educational opportunities for recruitment, including prestigious high school and collegiate competitions. For genetic engineering and synthetic biology, there are very few competitions; they include the Biodesign Competition and the much larger and scientifically focused International Genetically Engineered Machine (iGEM) competition. iGEM, run by an independent nonprofit organization, is often cited as a measure of progress in developing the synthetic biology workforce. Starting in 2021, iGEM will move its main competitive event, the \"Giant Jamboree,\"from its long-standing home in Boston to Paris, which is likely to negatively affect participation by the US team. In this article, we describe the value of iGEM to the bioeconomy and its upcoming challenges through a review of available literature, observation of the iGEM Jamboree, and interviews with 10 US-based iGEM team coaches. The coaches expressed positive views about the iGEM process for their students in providing a hands-on biotechnology experience, but they were concerned about the funding US students received to participate in iGEM compared with teams from other countries. They were also concerned that the relocation to Paris would negatively affect or preclude their participation. Possible options to continue the benefits of experiential learning in synthetic biology are discussed, including alternative funding for iGEM teams through a grant process and the need for additional biology competitions.","author":[{"dropping-particle":"","family":"Warmbrod","given":"Kelsey Lane","non-dropping-particle":"","parse-names":false,"suffix":""},{"dropping-particle":"","family":"Trotochaud","given":"Marc","non-dropping-particle":"","parse-names":false,"suffix":""},{"dropping-particle":"","family":"Gronvall","given":"Gigi Kwik","non-dropping-particle":"","parse-names":false,"suffix":""}],"container-title":"Health Security","id":"ITEM-1","issue":"4","issued":{"date-parts":[["2020","7"]]},"page":"303-309","publisher":"Mary Ann Liebert Inc.","title":"IGEM and the Biotechnology Workforce of the Future","type":"article","volume":"18"},"uris":["http://www.mendeley.com/documents/?uuid=7175ce0b-0b63-43c1-bb6d-57d61efec474"]}],"mendeley":{"formattedCitation":"(Warmbrod et al., 2020)","plainTextFormattedCitation":"(Warmbrod et al., 2020)","previouslyFormattedCitation":"(Warmbrod et al., 2020)"},"properties":{"noteIndex":0},"schema":"https://github.com/citation-style-language/schema/raw/master/csl-citation.json"}</w:instrText>
      </w:r>
      <w:r w:rsidR="00B72275">
        <w:rPr>
          <w:rFonts w:ascii="Times New Roman" w:eastAsia="Times New Roman" w:hAnsi="Times New Roman"/>
        </w:rPr>
        <w:fldChar w:fldCharType="separate"/>
      </w:r>
      <w:r w:rsidR="00B72275" w:rsidRPr="00B72275">
        <w:rPr>
          <w:rFonts w:ascii="Times New Roman" w:eastAsia="Times New Roman" w:hAnsi="Times New Roman"/>
          <w:noProof/>
        </w:rPr>
        <w:t>(Warmbrod et al., 2020)</w:t>
      </w:r>
      <w:r w:rsidR="00B72275">
        <w:rPr>
          <w:rFonts w:ascii="Times New Roman" w:eastAsia="Times New Roman" w:hAnsi="Times New Roman"/>
        </w:rPr>
        <w:fldChar w:fldCharType="end"/>
      </w:r>
      <w:r w:rsidR="37504C30" w:rsidRPr="02FAAAAC">
        <w:rPr>
          <w:rFonts w:ascii="Times New Roman" w:eastAsia="Times New Roman" w:hAnsi="Times New Roman"/>
        </w:rPr>
        <w:t>.</w:t>
      </w:r>
    </w:p>
    <w:p w14:paraId="3B2C0C9F" w14:textId="4F21C6C5" w:rsidR="00A268DA" w:rsidRPr="0025571B" w:rsidRDefault="00D42E5B" w:rsidP="0081458F">
      <w:pPr>
        <w:pStyle w:val="Heading2"/>
      </w:pPr>
      <w:bookmarkStart w:id="40" w:name="_Toc388339309"/>
      <w:bookmarkStart w:id="41" w:name="_Toc70112668"/>
      <w:bookmarkStart w:id="42" w:name="_Toc70685690"/>
      <w:r>
        <w:rPr>
          <w:lang w:val="en-US"/>
        </w:rPr>
        <w:t>2</w:t>
      </w:r>
      <w:r w:rsidR="002479AA">
        <w:t xml:space="preserve">. </w:t>
      </w:r>
      <w:r w:rsidR="00A268DA" w:rsidRPr="00A268DA">
        <w:t xml:space="preserve">Areas of </w:t>
      </w:r>
      <w:r w:rsidR="0025571B" w:rsidRPr="00A268DA">
        <w:t>Synthetic Biology Research</w:t>
      </w:r>
      <w:bookmarkEnd w:id="40"/>
      <w:r w:rsidR="0025571B">
        <w:rPr>
          <w:lang w:val="en-US"/>
        </w:rPr>
        <w:t>.</w:t>
      </w:r>
      <w:bookmarkEnd w:id="41"/>
      <w:bookmarkEnd w:id="42"/>
    </w:p>
    <w:p w14:paraId="25D29644" w14:textId="3283C475" w:rsidR="00A268DA" w:rsidRPr="00A268DA" w:rsidRDefault="00A268DA" w:rsidP="69BA3794">
      <w:pPr>
        <w:spacing w:before="120" w:after="120" w:line="240" w:lineRule="auto"/>
        <w:jc w:val="both"/>
        <w:rPr>
          <w:rFonts w:ascii="Times New Roman" w:eastAsia="Times New Roman" w:hAnsi="Times New Roman"/>
          <w:kern w:val="1"/>
          <w:lang w:eastAsia="ar-SA"/>
        </w:rPr>
      </w:pPr>
      <w:r w:rsidRPr="129BA1BF">
        <w:rPr>
          <w:rFonts w:ascii="Times New Roman" w:eastAsia="Times New Roman" w:hAnsi="Times New Roman"/>
          <w:kern w:val="1"/>
          <w:lang w:eastAsia="ar-SA"/>
        </w:rPr>
        <w:t>The areas of research that are considered synthetic biology</w:t>
      </w:r>
      <w:r w:rsidRPr="129BA1BF">
        <w:rPr>
          <w:rFonts w:ascii="Times New Roman" w:eastAsia="Times New Roman" w:hAnsi="Times New Roman"/>
          <w:kern w:val="1"/>
          <w:vertAlign w:val="superscript"/>
          <w:lang w:eastAsia="ar-SA"/>
        </w:rPr>
        <w:footnoteReference w:id="10"/>
      </w:r>
      <w:r w:rsidRPr="129BA1BF">
        <w:rPr>
          <w:rFonts w:ascii="Times New Roman" w:eastAsia="Times New Roman" w:hAnsi="Times New Roman"/>
          <w:kern w:val="1"/>
          <w:lang w:eastAsia="ar-SA"/>
        </w:rPr>
        <w:t xml:space="preserve"> include DN</w:t>
      </w:r>
      <w:r w:rsidRPr="00834A79">
        <w:rPr>
          <w:rFonts w:ascii="Times New Roman" w:eastAsia="Times New Roman" w:hAnsi="Times New Roman"/>
          <w:kern w:val="1"/>
          <w:lang w:eastAsia="ar-SA"/>
        </w:rPr>
        <w:t>A</w:t>
      </w:r>
      <w:r w:rsidR="51DD58B4" w:rsidRPr="00F0047B">
        <w:rPr>
          <w:rFonts w:ascii="Times New Roman" w:eastAsia="Times New Roman" w:hAnsi="Times New Roman"/>
          <w:kern w:val="1"/>
          <w:lang w:eastAsia="ar-SA"/>
        </w:rPr>
        <w:t xml:space="preserve"> and</w:t>
      </w:r>
      <w:r w:rsidR="24D1F6D7" w:rsidRPr="00F0047B">
        <w:rPr>
          <w:rFonts w:ascii="Times New Roman" w:eastAsia="Times New Roman" w:hAnsi="Times New Roman"/>
          <w:kern w:val="1"/>
          <w:lang w:eastAsia="ar-SA"/>
        </w:rPr>
        <w:t xml:space="preserve"> RNA</w:t>
      </w:r>
      <w:r w:rsidRPr="0083201C">
        <w:rPr>
          <w:rFonts w:ascii="Times New Roman" w:eastAsia="Times New Roman" w:hAnsi="Times New Roman"/>
          <w:kern w:val="1"/>
          <w:lang w:eastAsia="ar-SA"/>
        </w:rPr>
        <w:t xml:space="preserve"> circuits, </w:t>
      </w:r>
      <w:r w:rsidR="7DA21543" w:rsidRPr="00F0047B">
        <w:rPr>
          <w:rFonts w:ascii="Times New Roman" w:eastAsia="Times New Roman" w:hAnsi="Times New Roman"/>
          <w:kern w:val="1"/>
          <w:lang w:eastAsia="ar-SA"/>
        </w:rPr>
        <w:t>p</w:t>
      </w:r>
      <w:r w:rsidR="1BD83DC0" w:rsidRPr="00F0047B">
        <w:rPr>
          <w:rFonts w:ascii="Times New Roman" w:eastAsia="Times New Roman" w:hAnsi="Times New Roman"/>
          <w:kern w:val="1"/>
          <w:lang w:eastAsia="ar-SA"/>
        </w:rPr>
        <w:t>rotein</w:t>
      </w:r>
      <w:r w:rsidR="00120B66">
        <w:rPr>
          <w:rFonts w:ascii="Times New Roman" w:eastAsia="Times New Roman" w:hAnsi="Times New Roman"/>
          <w:kern w:val="1"/>
          <w:lang w:eastAsia="ar-SA"/>
        </w:rPr>
        <w:t xml:space="preserve"> engineering</w:t>
      </w:r>
      <w:r w:rsidRPr="0083201C">
        <w:rPr>
          <w:rFonts w:ascii="Times New Roman" w:eastAsia="Times New Roman" w:hAnsi="Times New Roman"/>
          <w:kern w:val="1"/>
          <w:lang w:eastAsia="ar-SA"/>
        </w:rPr>
        <w:t xml:space="preserve">, </w:t>
      </w:r>
      <w:r w:rsidRPr="00834A79">
        <w:rPr>
          <w:rFonts w:ascii="Times New Roman" w:eastAsia="Times New Roman" w:hAnsi="Times New Roman"/>
          <w:kern w:val="1"/>
          <w:lang w:eastAsia="ar-SA"/>
        </w:rPr>
        <w:t>metabolic pathway engineering,</w:t>
      </w:r>
      <w:r w:rsidR="0083201C" w:rsidRPr="00F0047B">
        <w:rPr>
          <w:rFonts w:ascii="Times New Roman" w:eastAsia="Times New Roman" w:hAnsi="Times New Roman"/>
          <w:lang w:eastAsia="ar-SA"/>
        </w:rPr>
        <w:t xml:space="preserve"> </w:t>
      </w:r>
      <w:r w:rsidR="0256B1E6" w:rsidRPr="00F0047B">
        <w:rPr>
          <w:rFonts w:ascii="Times New Roman" w:eastAsia="Times New Roman" w:hAnsi="Times New Roman"/>
          <w:kern w:val="1"/>
          <w:lang w:eastAsia="ar-SA"/>
        </w:rPr>
        <w:t>genom</w:t>
      </w:r>
      <w:r w:rsidR="26D315A5" w:rsidRPr="00F0047B">
        <w:rPr>
          <w:rFonts w:ascii="Times New Roman" w:eastAsia="Times New Roman" w:hAnsi="Times New Roman"/>
          <w:kern w:val="1"/>
          <w:lang w:eastAsia="ar-SA"/>
        </w:rPr>
        <w:t xml:space="preserve">e-level </w:t>
      </w:r>
      <w:r w:rsidR="0055174B" w:rsidRPr="00F0047B">
        <w:rPr>
          <w:rFonts w:ascii="Times New Roman" w:eastAsia="Times New Roman" w:hAnsi="Times New Roman"/>
          <w:kern w:val="1"/>
          <w:lang w:eastAsia="ar-SA"/>
        </w:rPr>
        <w:t>engineering</w:t>
      </w:r>
      <w:r w:rsidRPr="0083201C">
        <w:rPr>
          <w:rFonts w:ascii="Times New Roman" w:eastAsia="Times New Roman" w:hAnsi="Times New Roman"/>
          <w:kern w:val="1"/>
          <w:lang w:eastAsia="ar-SA"/>
        </w:rPr>
        <w:t xml:space="preserve">, protocell construction, </w:t>
      </w:r>
      <w:r w:rsidRPr="00834A79">
        <w:rPr>
          <w:rFonts w:ascii="Times New Roman" w:eastAsia="Times New Roman" w:hAnsi="Times New Roman"/>
          <w:kern w:val="1"/>
          <w:lang w:eastAsia="ar-SA"/>
        </w:rPr>
        <w:t>xenobiology</w:t>
      </w:r>
      <w:r w:rsidR="2863AE22" w:rsidRPr="00F0047B">
        <w:rPr>
          <w:rFonts w:ascii="Times New Roman" w:eastAsia="Times New Roman" w:hAnsi="Times New Roman"/>
          <w:kern w:val="1"/>
          <w:lang w:eastAsia="ar-SA"/>
        </w:rPr>
        <w:t xml:space="preserve"> and cell-free systems</w:t>
      </w:r>
      <w:r w:rsidRPr="00834A79">
        <w:rPr>
          <w:rFonts w:ascii="Times New Roman" w:eastAsia="Times New Roman" w:hAnsi="Times New Roman"/>
          <w:kern w:val="1"/>
          <w:lang w:eastAsia="ar-SA"/>
        </w:rPr>
        <w:t>.</w:t>
      </w:r>
    </w:p>
    <w:p w14:paraId="45C2C760" w14:textId="5DD365AE" w:rsidR="00A268DA" w:rsidRPr="005E2B5A" w:rsidRDefault="00496F75" w:rsidP="008805B8">
      <w:pPr>
        <w:pStyle w:val="Heading3"/>
      </w:pPr>
      <w:bookmarkStart w:id="43" w:name="_Toc70112669"/>
      <w:bookmarkStart w:id="44" w:name="_Toc70685691"/>
      <w:r>
        <w:rPr>
          <w:lang w:val="en-US"/>
        </w:rPr>
        <w:t>2</w:t>
      </w:r>
      <w:r w:rsidR="00FE4D58" w:rsidRPr="008805B8">
        <w:rPr>
          <w:lang w:val="en-US"/>
        </w:rPr>
        <w:t xml:space="preserve">.1. </w:t>
      </w:r>
      <w:r w:rsidR="00A268DA" w:rsidRPr="005E2B5A">
        <w:t>DNA-</w:t>
      </w:r>
      <w:r w:rsidR="3B65406C">
        <w:rPr>
          <w:lang w:val="en-GB"/>
        </w:rPr>
        <w:t xml:space="preserve"> and</w:t>
      </w:r>
      <w:r w:rsidR="3B65406C" w:rsidRPr="009C3944">
        <w:t xml:space="preserve"> </w:t>
      </w:r>
      <w:r w:rsidR="3B65406C" w:rsidRPr="004763F4">
        <w:t>RNA</w:t>
      </w:r>
      <w:r w:rsidR="004763F4">
        <w:t>-</w:t>
      </w:r>
      <w:r w:rsidR="00A268DA" w:rsidRPr="005E2B5A">
        <w:t>based circuits</w:t>
      </w:r>
      <w:r w:rsidR="0025571B">
        <w:rPr>
          <w:lang w:val="en-US"/>
        </w:rPr>
        <w:t>.</w:t>
      </w:r>
      <w:bookmarkEnd w:id="43"/>
      <w:bookmarkEnd w:id="44"/>
      <w:r w:rsidR="00A268DA" w:rsidRPr="005E2B5A">
        <w:t xml:space="preserve"> </w:t>
      </w:r>
    </w:p>
    <w:p w14:paraId="5DD55A67" w14:textId="7B25ADF0" w:rsidR="00660DFD" w:rsidRPr="00A268DA" w:rsidRDefault="00A268DA" w:rsidP="002F1991">
      <w:pPr>
        <w:spacing w:before="120" w:after="120" w:line="240" w:lineRule="auto"/>
        <w:jc w:val="both"/>
        <w:rPr>
          <w:rFonts w:ascii="Times New Roman" w:eastAsia="Times New Roman" w:hAnsi="Times New Roman"/>
          <w:lang w:eastAsia="ar-SA"/>
        </w:rPr>
      </w:pPr>
      <w:r w:rsidRPr="487919B7">
        <w:rPr>
          <w:rFonts w:ascii="Times New Roman" w:eastAsia="Times New Roman" w:hAnsi="Times New Roman"/>
          <w:kern w:val="1"/>
          <w:lang w:eastAsia="ar-SA"/>
        </w:rPr>
        <w:t>The goal of this area of synthetic biology research is the rational design of sequences of DNA</w:t>
      </w:r>
      <w:r w:rsidR="1C08D616" w:rsidRPr="487919B7">
        <w:rPr>
          <w:rFonts w:ascii="Times New Roman" w:eastAsia="Times New Roman" w:hAnsi="Times New Roman"/>
          <w:kern w:val="1"/>
          <w:lang w:eastAsia="ar-SA"/>
        </w:rPr>
        <w:t xml:space="preserve"> and RNA</w:t>
      </w:r>
      <w:r w:rsidRPr="487919B7">
        <w:rPr>
          <w:rFonts w:ascii="Times New Roman" w:eastAsia="Times New Roman" w:hAnsi="Times New Roman"/>
          <w:kern w:val="1"/>
          <w:lang w:eastAsia="ar-SA"/>
        </w:rPr>
        <w:t xml:space="preserve"> to create biological circuits with predictable, discrete functions, which can then be combined in modular fashion in various cell hosts. Genetic circuits are seen to function as electronic logic components, like switches and oscillators </w:t>
      </w:r>
      <w:r w:rsidR="005C773A">
        <w:rPr>
          <w:rFonts w:ascii="Times New Roman" w:eastAsia="Times New Roman" w:hAnsi="Times New Roman"/>
          <w:kern w:val="1"/>
          <w:lang w:eastAsia="ar-SA"/>
        </w:rPr>
        <w:fldChar w:fldCharType="begin" w:fldLock="1"/>
      </w:r>
      <w:r w:rsidR="00E706A1">
        <w:rPr>
          <w:rFonts w:ascii="Times New Roman" w:eastAsia="Times New Roman" w:hAnsi="Times New Roman"/>
          <w:kern w:val="1"/>
          <w:lang w:eastAsia="ar-SA"/>
        </w:rPr>
        <w:instrText>ADDIN CSL_CITATION {"citationItems":[{"id":"ITEM-1","itemData":{"DOI":"10.1007/978-90-481-2678-1_3","author":[{"dropping-particle":"","family":"Lam","given":"Carolyn M.C.","non-dropping-particle":"","parse-names":false,"suffix":""},{"dropping-particle":"","family":"Godinho","given":"Miguel","non-dropping-particle":"","parse-names":false,"suffix":""},{"dropping-particle":"","family":"Santos","given":"Vítor A.P. Martins","non-dropping-particle":"dos","parse-names":false,"suffix":""}],"container-title":"Synthetic Biology","id":"ITEM-1","issued":{"date-parts":[["2009"]]},"page":"23-48","publisher":"Springer Netherlands","publisher-place":"Dordrecht","title":"An Introduction to Synthetic Biology","type":"chapter"},"uris":["http://www.mendeley.com/documents/?uuid=90c6636d-a846-4252-9a94-db7d37035168"]},{"id":"ITEM-2","itemData":{"DOI":"10.1093/bioinformatics/btl469","ISSN":"1367-4803","author":[{"dropping-particle":"","family":"Heinemann","given":"M.","non-dropping-particle":"","parse-names":false,"suffix":""},{"dropping-particle":"","family":"Panke","given":"S.","non-dropping-particle":"","parse-names":false,"suffix":""}],"container-title":"Bioinformatics","id":"ITEM-2","issue":"22","issued":{"date-parts":[["2006","11","15"]]},"page":"2790-2799","title":"Synthetic biology--putting engineering into biology","type":"article-journal","volume":"22"},"uris":["http://www.mendeley.com/documents/?uuid=04b1f316-6245-42a5-8dbe-082633cc1e9d"]}],"mendeley":{"formattedCitation":"(M. Heinemann &amp; Panke, 2006; Lam et al., 2009)","plainTextFormattedCitation":"(M. Heinemann &amp; Panke, 2006; Lam et al., 2009)","previouslyFormattedCitation":"(M. Heinemann &amp; Panke, 2006; Lam et al., 2009)"},"properties":{"noteIndex":0},"schema":"https://github.com/citation-style-language/schema/raw/master/csl-citation.json"}</w:instrText>
      </w:r>
      <w:r w:rsidR="005C773A">
        <w:rPr>
          <w:rFonts w:ascii="Times New Roman" w:eastAsia="Times New Roman" w:hAnsi="Times New Roman"/>
          <w:kern w:val="1"/>
          <w:lang w:eastAsia="ar-SA"/>
        </w:rPr>
        <w:fldChar w:fldCharType="separate"/>
      </w:r>
      <w:r w:rsidR="005A42AC" w:rsidRPr="005A42AC">
        <w:rPr>
          <w:rFonts w:ascii="Times New Roman" w:eastAsia="Times New Roman" w:hAnsi="Times New Roman"/>
          <w:noProof/>
          <w:kern w:val="1"/>
          <w:lang w:eastAsia="ar-SA"/>
        </w:rPr>
        <w:t>(M. Heinemann &amp; Panke, 2006; Lam et al., 2009)</w:t>
      </w:r>
      <w:r w:rsidR="005C773A">
        <w:rPr>
          <w:rFonts w:ascii="Times New Roman" w:eastAsia="Times New Roman" w:hAnsi="Times New Roman"/>
          <w:kern w:val="1"/>
          <w:lang w:eastAsia="ar-SA"/>
        </w:rPr>
        <w:fldChar w:fldCharType="end"/>
      </w:r>
      <w:r w:rsidRPr="487919B7">
        <w:rPr>
          <w:rFonts w:ascii="Times New Roman" w:eastAsia="Times New Roman" w:hAnsi="Times New Roman"/>
          <w:kern w:val="1"/>
          <w:lang w:eastAsia="ar-SA"/>
        </w:rPr>
        <w:t>.</w:t>
      </w:r>
    </w:p>
    <w:p w14:paraId="41004C34" w14:textId="7C997C01" w:rsidR="00A268DA" w:rsidRPr="00A268DA" w:rsidRDefault="007728CE" w:rsidP="0030090C">
      <w:pPr>
        <w:spacing w:before="120" w:after="120" w:line="240" w:lineRule="auto"/>
        <w:jc w:val="both"/>
        <w:rPr>
          <w:rFonts w:ascii="Times New Roman" w:eastAsia="Times New Roman" w:hAnsi="Times New Roman"/>
          <w:lang w:eastAsia="ar-SA"/>
        </w:rPr>
      </w:pPr>
      <w:r w:rsidRPr="007728CE">
        <w:rPr>
          <w:rFonts w:ascii="Times New Roman" w:eastAsia="Times New Roman" w:hAnsi="Times New Roman"/>
          <w:lang w:eastAsia="ar-SA"/>
        </w:rPr>
        <w:t xml:space="preserve">The biological concept of predictable and programmable genetic function can be traced to Jacob and Monod’s Nobel prize-winning work on the </w:t>
      </w:r>
      <w:r w:rsidRPr="4BCBEAAE">
        <w:rPr>
          <w:rFonts w:ascii="Times New Roman" w:eastAsia="Times New Roman" w:hAnsi="Times New Roman"/>
          <w:i/>
          <w:lang w:eastAsia="ar-SA"/>
        </w:rPr>
        <w:t>lac</w:t>
      </w:r>
      <w:r w:rsidRPr="007728CE">
        <w:rPr>
          <w:rFonts w:ascii="Times New Roman" w:eastAsia="Times New Roman" w:hAnsi="Times New Roman"/>
          <w:lang w:eastAsia="ar-SA"/>
        </w:rPr>
        <w:t xml:space="preserve"> operon in bacteria. They proposed that gene circuits with virtually any desired property could be constructed from the simple regulatory elements found in genes. Understanding the </w:t>
      </w:r>
      <w:r w:rsidRPr="00D5691A">
        <w:rPr>
          <w:rFonts w:ascii="Times New Roman" w:eastAsia="Times New Roman" w:hAnsi="Times New Roman"/>
          <w:i/>
          <w:lang w:eastAsia="ar-SA"/>
        </w:rPr>
        <w:t>lac</w:t>
      </w:r>
      <w:r w:rsidRPr="007728CE">
        <w:rPr>
          <w:rFonts w:ascii="Times New Roman" w:eastAsia="Times New Roman" w:hAnsi="Times New Roman"/>
          <w:lang w:eastAsia="ar-SA"/>
        </w:rPr>
        <w:t xml:space="preserve"> operon was key to developing a quantitative predictive understanding of gene regulation </w:t>
      </w:r>
      <w:r w:rsidR="00847D1B">
        <w:rPr>
          <w:rFonts w:ascii="Times New Roman" w:eastAsia="Times New Roman" w:hAnsi="Times New Roman"/>
          <w:lang w:eastAsia="ar-SA"/>
        </w:rPr>
        <w:fldChar w:fldCharType="begin" w:fldLock="1"/>
      </w:r>
      <w:r w:rsidR="00847D1B">
        <w:rPr>
          <w:rFonts w:ascii="Times New Roman" w:eastAsia="Times New Roman" w:hAnsi="Times New Roman"/>
          <w:lang w:eastAsia="ar-SA"/>
        </w:rPr>
        <w:instrText>ADDIN CSL_CITATION {"citationItems":[{"id":"ITEM-1","itemData":{"DOI":"10.1098/rsif.2008.0086.focus","ISSN":"17425662","PMID":"18426771","abstract":"In this paper, the history and importance of the lac operon in the development of molecular and systems biology are briefly reviewed. We start by presenting a description of the regulatory mechanisms in this operon, taking into account the most recent discoveries. Then we offer a survey of the history of the lac operon, including the discovery of its main elements and the subsequent influence on the development of molecular and systems biology. Next the bistable behaviour of the operon is discussed, both with respect to its discovery and its molecular origin. A review of the literature in which this bistable phenomenon has been studied from a mathematical modelling viewpoint is then given. We conclude with some brief remarks. ©2008 The Royal Society.","author":[{"dropping-particle":"","family":"Santillán","given":"Moisés","non-dropping-particle":"","parse-names":false,"suffix":""},{"dropping-particle":"","family":"Mackey","given":"Michael C","non-dropping-particle":"","parse-names":false,"suffix":""}],"container-title":"Journal of the Royal Society Interface","id":"ITEM-1","issue":"SUPPL. 1","issued":{"date-parts":[["2008","8"]]},"page":"S29","publisher":"Royal Society","title":"Quantitative approaches to the study of bistability in the lac operon of Escherichia coli","type":"article","volume":"5"},"uris":["http://www.mendeley.com/documents/?uuid=d9b48f16-1f9b-4f8f-bb53-0f13af0ef024"]},{"id":"ITEM-2","itemData":{"DOI":"10.1016/j.tcb.2010.07.002","ISSN":"09628924","PMID":"20801657","abstract":"The study of transcription has witnessed an explosion of quantitative effort both experimentally and theoretically. In this article we highlight some of the exciting recent experimental efforts in the study of transcription with an eye to the demands that such experiments put on theoretical models of transcription. From a modeling perspective, we focus on two broad classes of models: the so-called thermodynamic models that use statistical mechanics to reckon the level of gene expression as probabilities of promoter occupancy, and rate-equation treatments that focus on the temporal evolution of the activity of a given promoter and that make it possible to compute the distributions of messenger RNA and proteins. We consider several appealing case studies to illustrate how quantitative models have been used to dissect transcriptional regulation. ©2010 Elsevier Ltd.","author":[{"dropping-particle":"","family":"Garcia","given":"Hernan G","non-dropping-particle":"","parse-names":false,"suffix":""},{"dropping-particle":"","family":"Sanchez","given":"Alvaro","non-dropping-particle":"","parse-names":false,"suffix":""},{"dropping-particle":"","family":"Kuhlman","given":"Thomas","non-dropping-particle":"","parse-names":false,"suffix":""},{"dropping-particle":"","family":"Kondev","given":"Jane","non-dropping-particle":"","parse-names":false,"suffix":""},{"dropping-particle":"","family":"Phillips","given":"Rob","non-dropping-particle":"","parse-names":false,"suffix":""}],"container-title":"Trends in Cell Biology","id":"ITEM-2","issue":"12","issued":{"date-parts":[["2010","12"]]},"page":"723-733","publisher":"NIH Public Access","title":"Transcription by the numbers redux: Experiments and calculations that surprise","type":"article","volume":"20"},"uris":["http://www.mendeley.com/documents/?uuid=d19c8c2f-a7aa-4293-bcc6-798c32240db5"]}],"mendeley":{"formattedCitation":"(Garcia et al., 2010; Santillán &amp; Mackey, 2008)","plainTextFormattedCitation":"(Garcia et al., 2010; Santillán &amp; Mackey, 2008)","previouslyFormattedCitation":"(Garcia et al., 2010; Santillán &amp; Mackey, 2008)"},"properties":{"noteIndex":0},"schema":"https://github.com/citation-style-language/schema/raw/master/csl-citation.json"}</w:instrText>
      </w:r>
      <w:r w:rsidR="00847D1B">
        <w:rPr>
          <w:rFonts w:ascii="Times New Roman" w:eastAsia="Times New Roman" w:hAnsi="Times New Roman"/>
          <w:lang w:eastAsia="ar-SA"/>
        </w:rPr>
        <w:fldChar w:fldCharType="separate"/>
      </w:r>
      <w:r w:rsidR="00847D1B" w:rsidRPr="00847D1B">
        <w:rPr>
          <w:rFonts w:ascii="Times New Roman" w:eastAsia="Times New Roman" w:hAnsi="Times New Roman"/>
          <w:noProof/>
          <w:lang w:eastAsia="ar-SA"/>
        </w:rPr>
        <w:t>(Garcia et al., 2010; Santillán &amp; Mackey, 2008)</w:t>
      </w:r>
      <w:r w:rsidR="00847D1B">
        <w:rPr>
          <w:rFonts w:ascii="Times New Roman" w:eastAsia="Times New Roman" w:hAnsi="Times New Roman"/>
          <w:lang w:eastAsia="ar-SA"/>
        </w:rPr>
        <w:fldChar w:fldCharType="end"/>
      </w:r>
      <w:r w:rsidRPr="007728CE">
        <w:rPr>
          <w:rFonts w:ascii="Times New Roman" w:eastAsia="Times New Roman" w:hAnsi="Times New Roman"/>
          <w:lang w:eastAsia="ar-SA"/>
        </w:rPr>
        <w:t xml:space="preserve"> and laid the groundwork for future work in the engineering of synthetic regulatory networks with predictable function. Another 40 years passed before the first synthetic gene circuits with predictable function were produced using simple bacterial plasmids </w:t>
      </w:r>
      <w:r w:rsidR="00100C8C">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{"citationItems":[{"id":"ITEM-1","itemData":{"DOI":"10.1038/35002125","ISSN":"0028-0836","author":[{"dropping-particle":"","family":"Elowitz","given":"Michael B.","non-dropping-particle":"","parse-names":false,"suffix":""},{"dropping-particle":"","family":"Leibler","given":"Stanislas","non-dropping-particle":"","parse-names":false,"suffix":""}],"container-title":"Nature","id":"ITEM-1","issue":"6767","issued":{"date-parts":[["2000","1"]]},"page":"335-338","title":"A synthetic oscillatory network of transcriptional regulators","type":"article-journal","volume":"403"},"uris":["http://www.mendeley.com/documents/?uuid=a28a9f79-9d35-4568-b5ad-be3ef808efce"]},{"id":"ITEM-2","itemData":{"DOI":"10.1038/35002131","ISSN":"0028-0836","author":[{"dropping-particle":"","family":"Gardner","given":"Timothy S.","non-dropping-particle":"","parse-names":false,"suffix":""},{"dropping-particle":"","family":"Cantor","given":"Charles R.","non-dropping-particle":"","parse-names":false,"suffix":""},{"dropping-particle":"","family":"Collins","given":"James J.","non-dropping-particle":"","parse-names":false,"suffix":""}],"container-title":"Nature","id":"ITEM-2","issue":"6767","issued":{"date-parts":[["2000","1"]]},"page":"339-342","title":"Construction of a genetic toggle switch in Escherichia coli","type":"article-journal","volume":"403"},"uris":["http://www.mendeley.com/documents/?uuid=070efdcd-864e-437c-a7c5-d4e4633871f4"]}],"mendeley":{"formattedCitation":"(Elowitz &amp; Leibler, 2000; Gardner et al., 2000)","plainTextFormattedCitation":"(Elowitz &amp; Leibler, 2000; Gardner et al., 2000)","previouslyFormattedCitation":"(Elowitz &amp; Leibler, 2000; Gardner et al., 2000)"},"properties":{"noteIndex":0},"schema":"https://github.com/citation-style-language/schema/raw/master/csl-citation.json"}</w:instrText>
      </w:r>
      <w:r w:rsidR="00100C8C">
        <w:rPr>
          <w:rFonts w:ascii="Times New Roman" w:eastAsia="Times New Roman" w:hAnsi="Times New Roman"/>
          <w:lang w:eastAsia="ar-SA"/>
        </w:rPr>
        <w:fldChar w:fldCharType="separate"/>
      </w:r>
      <w:r w:rsidR="00100C8C" w:rsidRPr="00100C8C">
        <w:rPr>
          <w:rFonts w:ascii="Times New Roman" w:eastAsia="Times New Roman" w:hAnsi="Times New Roman"/>
          <w:noProof/>
          <w:lang w:eastAsia="ar-SA"/>
        </w:rPr>
        <w:t>(Elowitz &amp; Leibler, 2000; Gardner et al., 2000)</w:t>
      </w:r>
      <w:r w:rsidR="00100C8C">
        <w:rPr>
          <w:rFonts w:ascii="Times New Roman" w:eastAsia="Times New Roman" w:hAnsi="Times New Roman"/>
          <w:lang w:eastAsia="ar-SA"/>
        </w:rPr>
        <w:fldChar w:fldCharType="end"/>
      </w:r>
      <w:r w:rsidRPr="007728CE">
        <w:rPr>
          <w:rFonts w:ascii="Times New Roman" w:eastAsia="Times New Roman" w:hAnsi="Times New Roman"/>
          <w:lang w:eastAsia="ar-SA"/>
        </w:rPr>
        <w:t xml:space="preserve">. </w:t>
      </w:r>
      <w:r w:rsidR="00A268DA" w:rsidRPr="487919B7">
        <w:rPr>
          <w:rFonts w:ascii="Times New Roman" w:eastAsia="Times New Roman" w:hAnsi="Times New Roman"/>
          <w:kern w:val="1"/>
          <w:lang w:eastAsia="ar-SA"/>
        </w:rPr>
        <w:t xml:space="preserve"> </w:t>
      </w:r>
    </w:p>
    <w:p w14:paraId="249F3693" w14:textId="0C568DF2" w:rsidR="6D418CA0" w:rsidRDefault="0030090C" w:rsidP="00A3444A">
      <w:pPr>
        <w:spacing w:before="120" w:after="120" w:line="240" w:lineRule="auto"/>
        <w:jc w:val="both"/>
        <w:rPr>
          <w:rFonts w:ascii="Times New Roman" w:eastAsia="Times New Roman" w:hAnsi="Times New Roman"/>
        </w:rPr>
      </w:pPr>
      <w:r w:rsidRPr="0030090C">
        <w:rPr>
          <w:rFonts w:ascii="Times New Roman" w:eastAsia="Times New Roman" w:hAnsi="Times New Roman"/>
          <w:lang w:eastAsia="ar-SA"/>
        </w:rPr>
        <w:t xml:space="preserve">A toggle switch or on-off switch is the simplest form of electrical circuit. A genetic toggle switch is a circuit that can produce two clearly different output states with a reversible transition between them. One of the first synthetic gene regulatory networks was a toggle switch in </w:t>
      </w:r>
      <w:r w:rsidRPr="00FF35D5">
        <w:rPr>
          <w:rFonts w:ascii="Times New Roman" w:eastAsia="Times New Roman" w:hAnsi="Times New Roman"/>
          <w:i/>
          <w:lang w:eastAsia="ar-SA"/>
        </w:rPr>
        <w:t>E. coli</w:t>
      </w:r>
      <w:r w:rsidRPr="0030090C">
        <w:rPr>
          <w:rFonts w:ascii="Times New Roman" w:eastAsia="Times New Roman" w:hAnsi="Times New Roman"/>
          <w:lang w:eastAsia="ar-SA"/>
        </w:rPr>
        <w:t xml:space="preserve"> </w:t>
      </w:r>
      <w:r w:rsidR="00847D1B">
        <w:rPr>
          <w:rFonts w:ascii="Times New Roman" w:eastAsia="Times New Roman" w:hAnsi="Times New Roman"/>
          <w:lang w:eastAsia="ar-SA"/>
        </w:rPr>
        <w:fldChar w:fldCharType="begin" w:fldLock="1"/>
      </w:r>
      <w:r w:rsidR="001B03BA">
        <w:rPr>
          <w:rFonts w:ascii="Times New Roman" w:eastAsia="Times New Roman" w:hAnsi="Times New Roman"/>
          <w:lang w:eastAsia="ar-SA"/>
        </w:rPr>
        <w:instrText>ADDIN CSL_CITATION {"citationItems":[{"id":"ITEM-1","itemData":{"DOI":"10.1038/35002131","ISSN":"0028-0836","author":[{"dropping-particle":"","family":"Gardner","given":"Timothy S.","non-dropping-particle":"","parse-names":false,"suffix":""},{"dropping-particle":"","family":"Cantor","given":"Charles R.","non-dropping-particle":"","parse-names":false,"suffix":""},{"dropping-particle":"","family":"Collins","given":"James J.","non-dropping-particle":"","parse-names":false,"suffix":""}],"container-title":"Nature","id":"ITEM-1","issue":"6767","issued":{"date-parts":[["2000","1"]]},"page":"339-342","title":"Construction of a genetic toggle switch in Escherichia coli","type":"article-journal","volume":"403"},"uris":["http://www.mendeley.com/documents/?uuid=070efdcd-864e-437c-a7c5-d4e4633871f4"]}],"mendeley":{"formattedCitation":"(Gardner et al., 2000)","plainTextFormattedCitation":"(Gardner et al., 2000)","previouslyFormattedCitation":"(Gardner et al., 2000)"},"properties":{"noteIndex":0},"schema":"https://github.com/citation-style-language/schema/raw/master/csl-citation.json"}</w:instrText>
      </w:r>
      <w:r w:rsidR="00847D1B">
        <w:rPr>
          <w:rFonts w:ascii="Times New Roman" w:eastAsia="Times New Roman" w:hAnsi="Times New Roman"/>
          <w:lang w:eastAsia="ar-SA"/>
        </w:rPr>
        <w:fldChar w:fldCharType="separate"/>
      </w:r>
      <w:r w:rsidR="00847D1B" w:rsidRPr="00847D1B">
        <w:rPr>
          <w:rFonts w:ascii="Times New Roman" w:eastAsia="Times New Roman" w:hAnsi="Times New Roman"/>
          <w:noProof/>
          <w:lang w:eastAsia="ar-SA"/>
        </w:rPr>
        <w:t>(Gardner et al., 2000)</w:t>
      </w:r>
      <w:r w:rsidR="00847D1B">
        <w:rPr>
          <w:rFonts w:ascii="Times New Roman" w:eastAsia="Times New Roman" w:hAnsi="Times New Roman"/>
          <w:lang w:eastAsia="ar-SA"/>
        </w:rPr>
        <w:fldChar w:fldCharType="end"/>
      </w:r>
      <w:r w:rsidRPr="0030090C">
        <w:rPr>
          <w:rFonts w:ascii="Times New Roman" w:eastAsia="Times New Roman" w:hAnsi="Times New Roman"/>
          <w:lang w:eastAsia="ar-SA"/>
        </w:rPr>
        <w:t xml:space="preserve">. Other synthetic toggle switches have since been constructed in bacterial or mammalian cells </w:t>
      </w:r>
      <w:r w:rsidR="001B03BA">
        <w:rPr>
          <w:rFonts w:ascii="Times New Roman" w:eastAsia="Times New Roman" w:hAnsi="Times New Roman"/>
          <w:lang w:eastAsia="ar-SA"/>
        </w:rPr>
        <w:fldChar w:fldCharType="begin" w:fldLock="1"/>
      </w:r>
      <w:r w:rsidR="00B12327">
        <w:rPr>
          <w:rFonts w:ascii="Times New Roman" w:eastAsia="Times New Roman" w:hAnsi="Times New Roman"/>
          <w:lang w:eastAsia="ar-SA"/>
        </w:rPr>
        <w:instrText>ADDIN CSL_CITATION {"citationItems":[{"id":"ITEM-1","itemData":{"DOI":"10.1016/S0092-8674(03)00346-5","ISSN":"00928674","PMID":"12787501","abstract":"Analysis of the system design principles of signaling systems requires model systems where all components and regulatory interactions are known. Components of the Lac and Ntr systems were used to construct genetic circuits that display toggle switch or oscillatory behavior. Both devices contain an \"activator module\" consisting of a modified glnA promoter with lac operators, driving the expression of the activator, NRI. Since NRI activates the glnA promoter, this creates an autoactivated circuit repressible by LacI. The oscillator contains a \"repressor module\" consisting of the NRI-activated glnK promoter driving LacI expression. This circuitry produced synchronous damped oscillations in turbidostat cultures, with periods much longer than the cell cycle. For the toggle switch, LacI was provided constitutively; the level of active repressor was controlled by using a lacY mutant and varying the concentration of IPTG. This circuitry provided nearly discontinuous expression of activator.","author":[{"dropping-particle":"","family":"Atkinson","given":"Mariette R","non-dropping-particle":"","parse-names":false,"suffix":""},{"dropping-particle":"","family":"Savageau","given":"Michael A","non-dropping-particle":"","parse-names":false,"suffix":""},{"dropping-particle":"","family":"Myers","given":"Jesse T","non-dropping-particle":"","parse-names":false,"suffix":""},{"dropping-particle":"","family":"Ninfa","given":"Alexander J","non-dropping-particle":"","parse-names":false,"suffix":""}],"container-title":"Cell","id":"ITEM-1","issue":"5","issued":{"date-parts":[["2003","5"]]},"page":"597-607","publisher":"Elsevier B.V.","title":"Development of genetic circuitry exhibiting toggle switch or oscillatory behavior in Escherichia coli","type":"article-journal","volume":"113"},"uris":["http://www.mendeley.com/documents/?uuid=8534d96a-812c-4ab8-a0bd-87db98ce744b"]},{"id":"ITEM-2","itemData":{"DOI":"10.1038/nbt980","ISSN":"10870156","PMID":"15184906","abstract":"In multicellular systems cell identity is imprinted by epigenetic regulation circuits, which determine the global transcriptome of adult cells in a cell phenotype-specific manner. By combining two repressors, which control each other's expression, we have developed a mammalian epigenetic circuitry able to switch between two stable transgene expression states after transient administration of two alternate drugs. Engineered Chinese hamster ovary cells (CHO-K1) showed toggle switch-specific expression profiles of a human glycoprotein in culture, as well as after microencapsulation and implantation into mice. Switch dynamics and expression stability could be predicted with mathematical models. Epigenetic transgene control through toggle switches is an important tool for engineering artificial gene networks in mammalian cells.","author":[{"dropping-particle":"","family":"Kramer","given":"Beat P","non-dropping-particle":"","parse-names":false,"suffix":""},{"dropping-particle":"","family":"Viretta","given":"Alessandro Usseglio","non-dropping-particle":"","parse-names":false,"suffix":""},{"dropping-particle":"El","family":"Baba","given":"Marie Daoud","non-dropping-particle":"","parse-names":false,"suffix":""},{"dropping-particle":"","family":"Aubel","given":"Dominique","non-dropping-particle":"","parse-names":false,"suffix":""},{"dropping-particle":"","family":"Weber","given":"Wilfried","non-dropping-particle":"","parse-names":false,"suffix":""},{"dropping-particle":"","family":"Fussenegger","given":"Martin","non-dropping-particle":"","parse-names":false,"suffix":""}],"container-title":"Nature Biotechnology","id":"ITEM-2","issue":"7","issued":{"date-parts":[["2004","7"]]},"page":"867-870","publisher":"Nature Publishing Group","title":"An engineered epigenetic transgene switch in mammalian cells","type":"article-journal","volume":"22"},"uris":["http://www.mendeley.com/documents/?uuid=677e312f-fed9-433f-836c-dbe36ffda641"]}],"mendeley":{"formattedCitation":"(Atkinson et al., 2003; Kramer et al., 2004)","plainTextFormattedCitation":"(Atkinson et al., 2003; Kramer et al., 2004)","previouslyFormattedCitation":"(Atkinson et al., 2003; Kramer et al., 2004)"},"properties":{"noteIndex":0},"schema":"https://github.com/citation-style-language/schema/raw/master/csl-citation.json"}</w:instrText>
      </w:r>
      <w:r w:rsidR="001B03BA">
        <w:rPr>
          <w:rFonts w:ascii="Times New Roman" w:eastAsia="Times New Roman" w:hAnsi="Times New Roman"/>
          <w:lang w:eastAsia="ar-SA"/>
        </w:rPr>
        <w:fldChar w:fldCharType="separate"/>
      </w:r>
      <w:r w:rsidR="001B03BA" w:rsidRPr="001B03BA">
        <w:rPr>
          <w:rFonts w:ascii="Times New Roman" w:eastAsia="Times New Roman" w:hAnsi="Times New Roman"/>
          <w:noProof/>
          <w:lang w:eastAsia="ar-SA"/>
        </w:rPr>
        <w:t>(Atkinson et al., 2003; Kramer et al., 2004)</w:t>
      </w:r>
      <w:r w:rsidR="001B03BA">
        <w:rPr>
          <w:rFonts w:ascii="Times New Roman" w:eastAsia="Times New Roman" w:hAnsi="Times New Roman"/>
          <w:lang w:eastAsia="ar-SA"/>
        </w:rPr>
        <w:fldChar w:fldCharType="end"/>
      </w:r>
      <w:r w:rsidRPr="004325A4">
        <w:rPr>
          <w:rFonts w:ascii="Times New Roman" w:eastAsia="Times New Roman" w:hAnsi="Times New Roman"/>
          <w:lang w:val="en-US" w:eastAsia="ar-SA"/>
        </w:rPr>
        <w:t xml:space="preserve">. </w:t>
      </w:r>
      <w:r w:rsidRPr="0030090C">
        <w:rPr>
          <w:rFonts w:ascii="Times New Roman" w:eastAsia="Times New Roman" w:hAnsi="Times New Roman"/>
          <w:lang w:eastAsia="ar-SA"/>
        </w:rPr>
        <w:t xml:space="preserve">Toggle switches in plants could be used in a variety of applications. For example, synthetic toggle switches can help regulate on-demand production of bioenergy traits such as seed oil deposition or increased biomass, or detection of pathogens or heavy metals </w:t>
      </w:r>
      <w:r w:rsidR="00406D12" w:rsidRPr="00121D97">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{"citationItems":[{"id":"ITEM-1","itemData":{"DOI":"10.3389/fpls.2020.512526","ISSN":"1664462X","abstract":"Plant synthetic biology aims to harness the natural abilities of plants and to turn them to new purposes. A primary goal of plant synthetic biology is to produce predictable and programmable genetic circuits from simple regulatory elements and well-characterized genetic components. The number of available DNA parts for plants is increasing, and the methods for rapid quantitative characterization are being developed, but the field of plant synthetic biology is still in its early stages. We here describe methods used to describe the quantitative properties of genetic components needed for plant synthetic biology. Once the quantitative properties and transfer function of a variety of genetic parts are known, computers can select the optimal components to assemble into functional devices, such as toggle switches and positive feedback circuits. However, while the variety of circuits and traits that can be put into plants are limitless, doing synthetic biology in plants poses unique challenges. Plants are composed of differentiated cells and tissues, each representing potentially unique regulatory or developmental contexts to introduced synthetic genetic circuits. Further, plants have evolved to be highly sensitive to environmental influences, such as light or temperature, any of which can affect the quantitative function of individual parts or whole circuits. Measuring the function of plant components within the context of a plant cell and, ideally, in a living plant, will be essential to using these components in gene circuits with predictable function. Mathematical modeling will be needed to account for the variety of contexts a genetic part will experience in different plant tissues or environments. With such understanding in hand, it may be possible to redesign plant traits to serve human and environmental needs.","author":[{"dropping-particle":"","family":"McCarthy","given":"Diane M.","non-dropping-particle":"","parse-names":false,"suffix":""},{"dropping-particle":"","family":"Medford","given":"June I.","non-dropping-particle":"","parse-names":false,"suffix":""}],"container-title":"Frontiers in Plant Science","id":"ITEM-1","issued":{"date-parts":[["2020","10"]]},"page":"512526","publisher":"Frontiers Media S.A.","title":"Quantitative and Predictive Genetic Parts for Plant Synthetic Biology","type":"article","volume":"11"},"uris":["http://www.mendeley.com/documents/?uuid=17243d7f-c83b-464b-b8d1-6c2eff7c5c66"]}],"mendeley":{"formattedCitation":"(McCarthy &amp; Medford, 2020)","plainTextFormattedCitation":"(McCarthy &amp; Medford, 2020)","previouslyFormattedCitation":"(McCarthy &amp; Medford, 2020)"},"properties":{"noteIndex":0},"schema":"https://github.com/citation-style-language/schema/raw/master/csl-citation.json"}</w:instrText>
      </w:r>
      <w:r w:rsidR="00406D12" w:rsidRPr="00121D97">
        <w:rPr>
          <w:rFonts w:ascii="Times New Roman" w:eastAsia="Times New Roman" w:hAnsi="Times New Roman"/>
          <w:lang w:eastAsia="ar-SA"/>
        </w:rPr>
        <w:fldChar w:fldCharType="separate"/>
      </w:r>
      <w:r w:rsidR="00406D12" w:rsidRPr="00406D12">
        <w:rPr>
          <w:rFonts w:ascii="Times New Roman" w:eastAsia="Times New Roman" w:hAnsi="Times New Roman"/>
          <w:noProof/>
          <w:lang w:eastAsia="ar-SA"/>
        </w:rPr>
        <w:t>(McCarthy &amp; Medford, 2020)</w:t>
      </w:r>
      <w:r w:rsidR="00406D12" w:rsidRPr="00121D97">
        <w:rPr>
          <w:rFonts w:ascii="Times New Roman" w:eastAsia="Times New Roman" w:hAnsi="Times New Roman"/>
          <w:lang w:eastAsia="ar-SA"/>
        </w:rPr>
        <w:fldChar w:fldCharType="end"/>
      </w:r>
      <w:r w:rsidR="4DD27538" w:rsidRPr="02FAAAAC">
        <w:rPr>
          <w:rFonts w:ascii="Times New Roman" w:eastAsia="Times New Roman" w:hAnsi="Times New Roman"/>
          <w:lang w:eastAsia="ar-SA"/>
        </w:rPr>
        <w:t>.</w:t>
      </w:r>
      <w:r>
        <w:rPr>
          <w:rFonts w:ascii="Times New Roman" w:eastAsia="Times New Roman" w:hAnsi="Times New Roman"/>
          <w:lang w:eastAsia="ar-SA"/>
        </w:rPr>
        <w:t xml:space="preserve"> </w:t>
      </w:r>
      <w:r w:rsidR="00A3444A" w:rsidRPr="69BA3794">
        <w:rPr>
          <w:rFonts w:ascii="Times New Roman" w:eastAsia="Times New Roman" w:hAnsi="Times New Roman"/>
        </w:rPr>
        <w:t>In</w:t>
      </w:r>
      <w:r w:rsidR="5B33009E" w:rsidRPr="69BA3794">
        <w:rPr>
          <w:rFonts w:ascii="Times New Roman" w:eastAsia="Times New Roman" w:hAnsi="Times New Roman"/>
        </w:rPr>
        <w:t xml:space="preserve"> the central dogma of molecular biology, RNA has been viewed merely as data carrier</w:t>
      </w:r>
      <w:r w:rsidR="00A3444A" w:rsidRPr="69BA3794">
        <w:rPr>
          <w:rFonts w:ascii="Times New Roman" w:eastAsia="Times New Roman" w:hAnsi="Times New Roman"/>
        </w:rPr>
        <w:t>s</w:t>
      </w:r>
      <w:r w:rsidR="5B33009E" w:rsidRPr="69BA3794">
        <w:rPr>
          <w:rFonts w:ascii="Times New Roman" w:eastAsia="Times New Roman" w:hAnsi="Times New Roman"/>
        </w:rPr>
        <w:t>, required to translate genetic information encoded in DNA into proteins.</w:t>
      </w:r>
      <w:r w:rsidR="7BD490CC" w:rsidRPr="69BA3794">
        <w:rPr>
          <w:rFonts w:ascii="Times New Roman" w:eastAsia="Times New Roman" w:hAnsi="Times New Roman"/>
        </w:rPr>
        <w:t xml:space="preserve"> However, the complex role of RNA in the regulation of cellular metabolism has gradually begun to unravel, as over the last decades numerous regulatory RNAs were </w:t>
      </w:r>
      <w:r w:rsidR="00DC33C8" w:rsidRPr="69BA3794">
        <w:rPr>
          <w:rFonts w:ascii="Times New Roman" w:eastAsia="Times New Roman" w:hAnsi="Times New Roman"/>
        </w:rPr>
        <w:t xml:space="preserve">have been </w:t>
      </w:r>
      <w:r w:rsidR="7BD490CC" w:rsidRPr="69BA3794">
        <w:rPr>
          <w:rFonts w:ascii="Times New Roman" w:eastAsia="Times New Roman" w:hAnsi="Times New Roman"/>
        </w:rPr>
        <w:t xml:space="preserve">discovered. For instance, sRNA regulators modulate protein expression through base pairing, </w:t>
      </w:r>
      <w:r w:rsidR="7BD490CC" w:rsidRPr="69BA3794">
        <w:rPr>
          <w:rFonts w:ascii="Times New Roman" w:eastAsia="Times New Roman" w:hAnsi="Times New Roman"/>
        </w:rPr>
        <w:lastRenderedPageBreak/>
        <w:t>riboswitches react to the availability of certain metabolites and CRISPR serves as an immune system</w:t>
      </w:r>
      <w:r w:rsidR="008E1DC6">
        <w:rPr>
          <w:rFonts w:ascii="Times New Roman" w:eastAsia="Times New Roman" w:hAnsi="Times New Roman"/>
        </w:rPr>
        <w:t xml:space="preserve"> in bacteria</w:t>
      </w:r>
      <w:r w:rsidR="7BD490CC" w:rsidRPr="69BA3794">
        <w:rPr>
          <w:rFonts w:ascii="Times New Roman" w:eastAsia="Times New Roman" w:hAnsi="Times New Roman"/>
        </w:rPr>
        <w:t>.</w:t>
      </w:r>
      <w:r w:rsidR="78973663" w:rsidRPr="69BA3794">
        <w:rPr>
          <w:rFonts w:ascii="Times New Roman" w:eastAsia="Times New Roman" w:hAnsi="Times New Roman"/>
        </w:rPr>
        <w:t xml:space="preserve"> </w:t>
      </w:r>
      <w:r w:rsidR="716C160B" w:rsidRPr="69BA3794">
        <w:rPr>
          <w:rFonts w:ascii="Times New Roman" w:eastAsia="Times New Roman" w:hAnsi="Times New Roman"/>
        </w:rPr>
        <w:t>T</w:t>
      </w:r>
      <w:r w:rsidR="78973663" w:rsidRPr="69BA3794">
        <w:rPr>
          <w:rFonts w:ascii="Times New Roman" w:eastAsia="Times New Roman" w:hAnsi="Times New Roman"/>
        </w:rPr>
        <w:t>he underlying structure</w:t>
      </w:r>
      <w:r w:rsidR="3A776B46" w:rsidRPr="69BA3794">
        <w:rPr>
          <w:rFonts w:ascii="Times New Roman" w:eastAsia="Times New Roman" w:hAnsi="Times New Roman"/>
        </w:rPr>
        <w:t>-</w:t>
      </w:r>
      <w:r w:rsidR="78973663" w:rsidRPr="69BA3794">
        <w:rPr>
          <w:rFonts w:ascii="Times New Roman" w:eastAsia="Times New Roman" w:hAnsi="Times New Roman"/>
        </w:rPr>
        <w:t>function relationship makes RNA highly designable, enabling reliable construction of standardi</w:t>
      </w:r>
      <w:r w:rsidR="00B47E28" w:rsidRPr="69BA3794">
        <w:rPr>
          <w:rFonts w:ascii="Times New Roman" w:eastAsia="Times New Roman" w:hAnsi="Times New Roman"/>
        </w:rPr>
        <w:t>s</w:t>
      </w:r>
      <w:r w:rsidR="78973663" w:rsidRPr="69BA3794">
        <w:rPr>
          <w:rFonts w:ascii="Times New Roman" w:eastAsia="Times New Roman" w:hAnsi="Times New Roman"/>
        </w:rPr>
        <w:t>ed, composable, and orthogonal parts, which can be scaled and tuned at will</w:t>
      </w:r>
      <w:r w:rsidR="04F53E16" w:rsidRPr="69BA3794">
        <w:rPr>
          <w:rFonts w:ascii="Times New Roman" w:eastAsia="Times New Roman" w:hAnsi="Times New Roman"/>
        </w:rPr>
        <w:t xml:space="preserve"> </w:t>
      </w:r>
      <w:r w:rsidR="6D418CA0" w:rsidRPr="00121D97">
        <w:rPr>
          <w:rFonts w:ascii="Times New Roman" w:eastAsia="Times New Roman" w:hAnsi="Times New Roman"/>
        </w:rPr>
        <w:fldChar w:fldCharType="begin" w:fldLock="1"/>
      </w:r>
      <w:r w:rsidR="008F6A90">
        <w:rPr>
          <w:rFonts w:ascii="Times New Roman" w:eastAsia="Times New Roman" w:hAnsi="Times New Roman"/>
        </w:rPr>
        <w:instrText>ADDIN CSL_CITATION {"citationItems":[{"id":"ITEM-1","itemData":{"DOI":"10.1016/j.biotechadv.2015.10.011","ISSN":"07349750","PMID":"26514597","abstract":"Synthetic biology, in close concert with systems biology, is revolutionizing the field of metabolic engineering by providing novel tools and technologies to rationally, in a standardized way, reroute metabolism with a view to optimally converting renewable resources into a broad range of bio-products, bio-materials and bio-energy. Increasingly, these novel synthetic biology tools are exploiting the extensive programmable nature of RNA, vis-à-vis DNA- and protein-based devices, to rationally design standardized, composable, and orthogonal parts, which can be scaled and tuned promptly and at will. This review gives an extensive overview of the recently developed parts and tools for i) modulating gene expression ii) building genetic circuits iii) detecting molecules, iv) reporting cellular processes and v) building RNA nanostructures. These parts and tools are becoming necessary armamentarium for contemporary metabolic engineering. Furthermore, the design criteria, technological challenges, and recent metabolic engineering success stories of the use of RNA devices are highlighted. Finally, the future trends in transforming metabolism through RNA engineering are critically evaluated and summarized.","author":[{"dropping-particle":"","family":"Peters","given":"Gert","non-dropping-particle":"","parse-names":false,"suffix":""},{"dropping-particle":"","family":"Coussement","given":"Pieter","non-dropping-particle":"","parse-names":false,"suffix":""},{"dropping-particle":"","family":"Maertens","given":"Jo","non-dropping-particle":"","parse-names":false,"suffix":""},{"dropping-particle":"","family":"Lammertyn","given":"Jeroen","non-dropping-particle":"","parse-names":false,"suffix":""},{"dropping-particle":"","family":"Mey","given":"Marjan","non-dropping-particle":"De","parse-names":false,"suffix":""}],"container-title":"Biotechnology Advances","id":"ITEM-1","issue":"8","issued":{"date-parts":[["2015"]]},"page":"1829-1844","publisher":"Elsevier Inc.","title":"Putting RNA to work: Translating RNA fundamentals into biotechnological engineering practice","type":"article","volume":"33"},"uris":["http://www.mendeley.com/documents/?uuid=ac2c4728-1785-4ea8-b6b1-50ccc011cb7b"]}],"mendeley":{"formattedCitation":"(Peters et al., 2015)","plainTextFormattedCitation":"(Peters et al., 2015)","previouslyFormattedCitation":"(Peters et al., 2015)"},"properties":{"noteIndex":0},"schema":"https://github.com/citation-style-language/schema/raw/master/csl-citation.json"}</w:instrText>
      </w:r>
      <w:r w:rsidR="6D418CA0" w:rsidRPr="00121D97">
        <w:rPr>
          <w:rFonts w:ascii="Times New Roman" w:eastAsia="Times New Roman" w:hAnsi="Times New Roman"/>
        </w:rPr>
        <w:fldChar w:fldCharType="separate"/>
      </w:r>
      <w:r w:rsidR="006B47F1" w:rsidRPr="69BA3794">
        <w:rPr>
          <w:rFonts w:ascii="Times New Roman" w:eastAsia="Times New Roman" w:hAnsi="Times New Roman"/>
          <w:noProof/>
        </w:rPr>
        <w:t>(Peters et al., 2015)</w:t>
      </w:r>
      <w:r w:rsidR="6D418CA0" w:rsidRPr="00121D97">
        <w:rPr>
          <w:rFonts w:ascii="Times New Roman" w:eastAsia="Times New Roman" w:hAnsi="Times New Roman"/>
        </w:rPr>
        <w:fldChar w:fldCharType="end"/>
      </w:r>
      <w:r w:rsidR="78973663" w:rsidRPr="69BA3794">
        <w:rPr>
          <w:rFonts w:ascii="Times New Roman" w:eastAsia="Times New Roman" w:hAnsi="Times New Roman"/>
        </w:rPr>
        <w:t>. Consequently, RNA regulators are effective tools to reprogram existing biological systems or to build completely new ones</w:t>
      </w:r>
      <w:r w:rsidR="2447DB7B" w:rsidRPr="69BA3794">
        <w:rPr>
          <w:rFonts w:ascii="Times New Roman" w:eastAsia="Times New Roman" w:hAnsi="Times New Roman"/>
        </w:rPr>
        <w:t>.</w:t>
      </w:r>
      <w:r w:rsidR="2FC1491D" w:rsidRPr="69BA3794">
        <w:rPr>
          <w:rFonts w:ascii="Times New Roman" w:eastAsia="Times New Roman" w:hAnsi="Times New Roman"/>
        </w:rPr>
        <w:t xml:space="preserve"> For instance, taking inspiration from the sophisticated circuits developed for DNA computing and self-assembly in test tubes and advances in RNA synthetic biology, </w:t>
      </w:r>
      <w:r w:rsidR="41D73E8D" w:rsidRPr="69BA3794">
        <w:rPr>
          <w:rFonts w:ascii="Times New Roman" w:eastAsia="Times New Roman" w:hAnsi="Times New Roman"/>
        </w:rPr>
        <w:t xml:space="preserve">Green et al. </w:t>
      </w:r>
      <w:r w:rsidR="6D418CA0" w:rsidRPr="00121D97">
        <w:rPr>
          <w:rFonts w:ascii="Times New Roman" w:eastAsia="Times New Roman" w:hAnsi="Times New Roman"/>
        </w:rPr>
        <w:fldChar w:fldCharType="begin" w:fldLock="1"/>
      </w:r>
      <w:r w:rsidR="008F6A90">
        <w:rPr>
          <w:rFonts w:ascii="Times New Roman" w:eastAsia="Times New Roman" w:hAnsi="Times New Roman"/>
        </w:rPr>
        <w:instrText>ADDIN CSL_CITATION {"citationItems":[{"id":"ITEM-1","itemData":{"DOI":"10.1038/nature23271","ISSN":"14764687","PMID":"28746304","abstract":"Synthetic biology aims to develop engineering-driven approaches to the programming of cellular functions that could yield transformative technologies. Synthetic gene circuits that combine DNA, protein, and RNA components have demonstrated a range of functions such as bistability, oscillation, feedback, and logic capabilities. However, it remains challenging to scale up these circuits owing to the limited number of designable, orthogonal, high-performance parts, the empirical and often tedious composition rules, and the requirements for substantial resources for encoding and operation. Here, we report a strategy for constructing RNA-only nanodevices to evaluate complex logic in living cells. Our 'ribocomputing' systems are composed of de-novo-designed parts and operate through predictable and designable base-pairing rules, allowing the effective in silico design of computing devices with prescribed configurations and functions in complex cellular environments. These devices operate at the post-transcriptional level and use an extended RNA transcript to co-localize all circuit sensing, computation, signal transduction, and output elements in the same self-assembled molecular complex, which reduces diffusion-mediated signal losses, lowers metabolic cost, and improves circuit reliability. We demonstrate that ribocomputing devices in Escherichia coli can evaluate two-input logic with a dynamic range up to 900-fold and scale them to four-input AND, six-input OR, and a complex 12-input expression (A1 AND A2 AND NOT A1</w:instrText>
      </w:r>
      <w:r w:rsidR="008F6A90">
        <w:rPr>
          <w:rFonts w:ascii="Cambria Math" w:eastAsia="Times New Roman" w:hAnsi="Cambria Math" w:cs="Cambria Math"/>
        </w:rPr>
        <w:instrText>∗</w:instrText>
      </w:r>
      <w:r w:rsidR="008F6A90">
        <w:rPr>
          <w:rFonts w:ascii="Times New Roman" w:eastAsia="Times New Roman" w:hAnsi="Times New Roman"/>
        </w:rPr>
        <w:instrText>) OR (B1 AND B2 AND NOT B2</w:instrText>
      </w:r>
      <w:r w:rsidR="008F6A90">
        <w:rPr>
          <w:rFonts w:ascii="Cambria Math" w:eastAsia="Times New Roman" w:hAnsi="Cambria Math" w:cs="Cambria Math"/>
        </w:rPr>
        <w:instrText>∗</w:instrText>
      </w:r>
      <w:r w:rsidR="008F6A90">
        <w:rPr>
          <w:rFonts w:ascii="Times New Roman" w:eastAsia="Times New Roman" w:hAnsi="Times New Roman"/>
        </w:rPr>
        <w:instrText>) OR (C1 AND C2) OR (D1 AND D2) OR (E1 AND E2). Successful operation of ribocomputing devices based on programmable RNA interactions suggests that systems employing the same design principles could be implemented in other host organisms or in extracellular settings.","author":[{"dropping-particle":"","family":"Green","given":"Alexander A.","non-dropping-particle":"","parse-names":false,"suffix":""},{"dropping-particle":"","family":"Kim","given":"Jongmin","non-dropping-particle":"","parse-names":false,"suffix":""},{"dropping-particle":"","family":"Ma","given":"Duo","non-dropping-particle":"","parse-names":false,"suffix":""},{"dropping-particle":"","family":"Silver","given":"Pamela A.","non-dropping-particle":"","parse-names":false,"suffix":""},{"dropping-particle":"","family":"Collins","given":"James J.","non-dropping-particle":"","parse-names":false,"suffix":""},{"dropping-particle":"","family":"Yin","given":"Peng","non-dropping-particle":"","parse-names":false,"suffix":""}],"container-title":"Nature","id":"ITEM-1","issue":"7665","issued":{"date-parts":[["2017","8"]]},"page":"117-121","publisher":"Nature Publishing Group","title":"Complex cellular logic computation using ribocomputing devices","type":"article-journal","volume":"548"},"uris":["http://www.mendeley.com/documents/?uuid=8462886e-4fc7-42b1-a17c-537859930925"]}],"mendeley":{"formattedCitation":"(Green et al., 2017)","manualFormatting":"(2017)","plainTextFormattedCitation":"(Green et al., 2017)","previouslyFormattedCitation":"(Green et al., 2017)"},"properties":{"noteIndex":0},"schema":"https://github.com/citation-style-language/schema/raw/master/csl-citation.json"}</w:instrText>
      </w:r>
      <w:r w:rsidR="6D418CA0" w:rsidRPr="00121D97">
        <w:rPr>
          <w:rFonts w:ascii="Times New Roman" w:eastAsia="Times New Roman" w:hAnsi="Times New Roman"/>
        </w:rPr>
        <w:fldChar w:fldCharType="separate"/>
      </w:r>
      <w:r w:rsidR="00AD10E8" w:rsidRPr="69BA3794">
        <w:rPr>
          <w:rFonts w:ascii="Times New Roman" w:eastAsia="Times New Roman" w:hAnsi="Times New Roman"/>
          <w:noProof/>
        </w:rPr>
        <w:t>(2017)</w:t>
      </w:r>
      <w:r w:rsidR="6D418CA0" w:rsidRPr="00121D97">
        <w:rPr>
          <w:rFonts w:ascii="Times New Roman" w:eastAsia="Times New Roman" w:hAnsi="Times New Roman"/>
        </w:rPr>
        <w:fldChar w:fldCharType="end"/>
      </w:r>
      <w:r w:rsidR="41D73E8D" w:rsidRPr="69BA3794">
        <w:rPr>
          <w:rFonts w:ascii="Times New Roman" w:eastAsia="Times New Roman" w:hAnsi="Times New Roman"/>
        </w:rPr>
        <w:t xml:space="preserve"> </w:t>
      </w:r>
      <w:r w:rsidR="2FC1491D" w:rsidRPr="69BA3794">
        <w:rPr>
          <w:rFonts w:ascii="Times New Roman" w:eastAsia="Times New Roman" w:hAnsi="Times New Roman"/>
        </w:rPr>
        <w:t>have developed RNA-only circuits in bacteria that enable complex intracellular computations to be carried out in a single circuit layer</w:t>
      </w:r>
      <w:r w:rsidR="7AA62070" w:rsidRPr="69BA3794">
        <w:rPr>
          <w:rFonts w:ascii="Times New Roman" w:eastAsia="Times New Roman" w:hAnsi="Times New Roman"/>
        </w:rPr>
        <w:t>.</w:t>
      </w:r>
    </w:p>
    <w:p w14:paraId="26AFCDB4" w14:textId="2CEFE4A2" w:rsidR="39C3849E" w:rsidRPr="00B66849" w:rsidRDefault="39C3849E" w:rsidP="00704AED">
      <w:pPr>
        <w:spacing w:before="120" w:after="120" w:line="240" w:lineRule="auto"/>
        <w:jc w:val="both"/>
        <w:rPr>
          <w:rFonts w:ascii="Times New Roman" w:eastAsia="Times New Roman" w:hAnsi="Times New Roman"/>
          <w:color w:val="000000" w:themeColor="text1"/>
        </w:rPr>
      </w:pPr>
      <w:r w:rsidRPr="69BA3794">
        <w:rPr>
          <w:rFonts w:ascii="Times New Roman" w:eastAsia="Times New Roman" w:hAnsi="Times New Roman"/>
        </w:rPr>
        <w:t>The design and construction of synthetic gene circuits, however, is far from straightforward</w:t>
      </w:r>
      <w:r w:rsidR="06EAD273" w:rsidRPr="69BA3794">
        <w:rPr>
          <w:rFonts w:ascii="Times New Roman" w:eastAsia="Times New Roman" w:hAnsi="Times New Roman"/>
        </w:rPr>
        <w:t xml:space="preserve"> </w:t>
      </w:r>
      <w:r w:rsidRPr="69BA3794">
        <w:rPr>
          <w:rFonts w:ascii="Times New Roman" w:eastAsia="Times New Roman" w:hAnsi="Times New Roman"/>
        </w:rPr>
        <w:t>—</w:t>
      </w:r>
      <w:r w:rsidR="701D79A3" w:rsidRPr="69BA3794">
        <w:rPr>
          <w:rFonts w:ascii="Times New Roman" w:eastAsia="Times New Roman" w:hAnsi="Times New Roman"/>
        </w:rPr>
        <w:t xml:space="preserve"> </w:t>
      </w:r>
      <w:r w:rsidRPr="69BA3794">
        <w:rPr>
          <w:rFonts w:ascii="Times New Roman" w:eastAsia="Times New Roman" w:hAnsi="Times New Roman"/>
        </w:rPr>
        <w:t>early versions of circuits rarely function as intended and typically require many weeks or months of post</w:t>
      </w:r>
      <w:r w:rsidR="00815B95">
        <w:rPr>
          <w:rFonts w:ascii="Times New Roman" w:eastAsia="Times New Roman" w:hAnsi="Times New Roman"/>
        </w:rPr>
        <w:t>-</w:t>
      </w:r>
      <w:r w:rsidRPr="69BA3794">
        <w:rPr>
          <w:rFonts w:ascii="Times New Roman" w:eastAsia="Times New Roman" w:hAnsi="Times New Roman"/>
        </w:rPr>
        <w:t>hoc tweaking. These development efforts are hindered by a limited understanding of core design principles for gene circuits and a lack of diverse, well-characteri</w:t>
      </w:r>
      <w:r w:rsidR="009462C0">
        <w:rPr>
          <w:rFonts w:ascii="Times New Roman" w:eastAsia="Times New Roman" w:hAnsi="Times New Roman"/>
        </w:rPr>
        <w:t>s</w:t>
      </w:r>
      <w:r w:rsidRPr="69BA3794">
        <w:rPr>
          <w:rFonts w:ascii="Times New Roman" w:eastAsia="Times New Roman" w:hAnsi="Times New Roman"/>
        </w:rPr>
        <w:t>ed components for network construction. As synthetic biology extends its reach into broad application areas (e.g., health, agriculture, energy, environment)</w:t>
      </w:r>
      <w:r w:rsidR="004325A4">
        <w:rPr>
          <w:rFonts w:ascii="Times New Roman" w:eastAsia="Times New Roman" w:hAnsi="Times New Roman"/>
        </w:rPr>
        <w:t xml:space="preserve">               </w:t>
      </w:r>
      <w:r w:rsidRPr="69BA3794">
        <w:rPr>
          <w:rFonts w:ascii="Times New Roman" w:eastAsia="Times New Roman" w:hAnsi="Times New Roman"/>
        </w:rPr>
        <w:t xml:space="preserve"> </w:t>
      </w:r>
      <w:r w:rsidR="003D7909">
        <w:rPr>
          <w:rFonts w:ascii="Times New Roman" w:eastAsia="Times New Roman" w:hAnsi="Times New Roman"/>
        </w:rPr>
        <w:fldChar w:fldCharType="begin" w:fldLock="1"/>
      </w:r>
      <w:r w:rsidR="00B156AF">
        <w:rPr>
          <w:rFonts w:ascii="Times New Roman" w:eastAsia="Times New Roman" w:hAnsi="Times New Roman"/>
        </w:rPr>
        <w:instrText>ADDIN CSL_CITATION {"citationItems":[{"id":"ITEM-1","itemData":{"DOI":"10.1038/nrg2775","ISSN":"1471-0056","author":[{"dropping-particle":"","family":"Khalil","given":"Ahmad S.","non-dropping-particle":"","parse-names":false,"suffix":""},{"dropping-particle":"","family":"Collins","given":"James J.","non-dropping-particle":"","parse-names":false,"suffix":""}],"container-title":"Nature Reviews Genetics","id":"ITEM-1","issue":"5","issued":{"date-parts":[["2010","5"]]},"page":"367-379","title":"Synthetic biology: applications come of age","type":"article-journal","volume":"11"},"uris":["http://www.mendeley.com/documents/?uuid=377dbb41-5882-4705-bc9b-a9ed54c9b950"]}],"mendeley":{"formattedCitation":"(A. S. Khalil &amp; Collins, 2010)","manualFormatting":"(Khalil &amp; Collins, 2010)","plainTextFormattedCitation":"(A. S. Khalil &amp; Collins, 2010)","previouslyFormattedCitation":"(A. S. Khalil &amp; Collins, 2010)"},"properties":{"noteIndex":0},"schema":"https://github.com/citation-style-language/schema/raw/master/csl-citation.json"}</w:instrText>
      </w:r>
      <w:r w:rsidR="003D7909">
        <w:rPr>
          <w:rFonts w:ascii="Times New Roman" w:eastAsia="Times New Roman" w:hAnsi="Times New Roman"/>
        </w:rPr>
        <w:fldChar w:fldCharType="separate"/>
      </w:r>
      <w:r w:rsidR="001176F2" w:rsidRPr="001176F2">
        <w:rPr>
          <w:rFonts w:ascii="Times New Roman" w:eastAsia="Times New Roman" w:hAnsi="Times New Roman"/>
          <w:noProof/>
        </w:rPr>
        <w:t>(Khalil &amp; Collins, 2010)</w:t>
      </w:r>
      <w:r w:rsidR="003D7909">
        <w:rPr>
          <w:rFonts w:ascii="Times New Roman" w:eastAsia="Times New Roman" w:hAnsi="Times New Roman"/>
        </w:rPr>
        <w:fldChar w:fldCharType="end"/>
      </w:r>
      <w:r w:rsidRPr="69BA3794">
        <w:rPr>
          <w:rFonts w:ascii="Times New Roman" w:eastAsia="Times New Roman" w:hAnsi="Times New Roman"/>
        </w:rPr>
        <w:t xml:space="preserve">, there is a growing need to take on these challenges </w:t>
      </w:r>
      <w:r w:rsidR="00845A42" w:rsidRPr="69BA3794">
        <w:rPr>
          <w:rFonts w:ascii="Times New Roman" w:eastAsia="Times New Roman" w:hAnsi="Times New Roman"/>
        </w:rPr>
        <w:t>to</w:t>
      </w:r>
      <w:r w:rsidRPr="69BA3794">
        <w:rPr>
          <w:rFonts w:ascii="Times New Roman" w:eastAsia="Times New Roman" w:hAnsi="Times New Roman"/>
        </w:rPr>
        <w:t xml:space="preserve"> make biological design more predictable, straightforward, and time efficient; this creates opportunities for </w:t>
      </w:r>
      <w:r w:rsidR="5238B6E8" w:rsidRPr="69BA3794">
        <w:rPr>
          <w:rFonts w:ascii="Times New Roman" w:eastAsia="Times New Roman" w:hAnsi="Times New Roman"/>
        </w:rPr>
        <w:t xml:space="preserve">machine </w:t>
      </w:r>
      <w:r w:rsidRPr="69BA3794">
        <w:rPr>
          <w:rFonts w:ascii="Times New Roman" w:eastAsia="Times New Roman" w:hAnsi="Times New Roman"/>
        </w:rPr>
        <w:t>learning approaches</w:t>
      </w:r>
      <w:r w:rsidR="73E705F3" w:rsidRPr="69BA3794">
        <w:rPr>
          <w:rFonts w:ascii="Times New Roman" w:eastAsia="Times New Roman" w:hAnsi="Times New Roman"/>
        </w:rPr>
        <w:t xml:space="preserve"> </w:t>
      </w:r>
      <w:r w:rsidR="00B12327">
        <w:rPr>
          <w:rFonts w:ascii="Times New Roman" w:eastAsia="Times New Roman" w:hAnsi="Times New Roman"/>
        </w:rPr>
        <w:fldChar w:fldCharType="begin" w:fldLock="1"/>
      </w:r>
      <w:r w:rsidR="003D0369">
        <w:rPr>
          <w:rFonts w:ascii="Times New Roman" w:eastAsia="Times New Roman" w:hAnsi="Times New Roman"/>
        </w:rPr>
        <w:instrText>ADDIN CSL_CITATION {"citationItems":[{"id":"ITEM-1","itemData":{"DOI":"10.1016/j.cell.2018.05.015","ISSN":"10974172","PMID":"29887378","abstract":"Machine learning, a collection of data-analytical techniques aimed at building predictive models from multi-dimensional datasets, is becoming integral to modern biological research. By enabling one to generate models that learn from large datasets and make predictions on likely outcomes, machine learning can be used to study complex cellular systems such as biological networks. Here, we provide a primer on machine learning for life scientists, including an introduction to deep learning. We discuss opportunities and challenges at the intersection of machine learning and network biology, which could impact disease biology, drug discovery, microbiome research, and synthetic biology. Machine-learning approaches are essential for pulling information out of the vast datasets that are being collected across biology and biomedicine. This Review considers the opportunities and challenges at the intersection of network biology and data science.","author":[{"dropping-particle":"","family":"Camacho","given":"Diogo M","non-dropping-particle":"","parse-names":false,"suffix":""},{"dropping-particle":"","family":"Collins","given":"Katherine M","non-dropping-particle":"","parse-names":false,"suffix":""},{"dropping-particle":"","family":"Powers","given":"Rani K","non-dropping-particle":"","parse-names":false,"suffix":""},{"dropping-particle":"","family":"Costello","given":"James C","non-dropping-particle":"","parse-names":false,"suffix":""},{"dropping-particle":"","family":"Collins","given":"James J","non-dropping-particle":"","parse-names":false,"suffix":""}],"container-title":"Cell","id":"ITEM-1","issue":"7","issued":{"date-parts":[["2018","6"]]},"page":"1581-1592","publisher":"Cell Press","title":"Next-Generation Machine Learning for Biological Networks","type":"article","volume":"173"},"uris":["http://www.mendeley.com/documents/?uuid=d8964f4d-8e82-441f-8b27-df52ea9e2143"]}],"mendeley":{"formattedCitation":"(Camacho et al., 2018)","plainTextFormattedCitation":"(Camacho et al., 2018)","previouslyFormattedCitation":"(Camacho et al., 2018)"},"properties":{"noteIndex":0},"schema":"https://github.com/citation-style-language/schema/raw/master/csl-citation.json"}</w:instrText>
      </w:r>
      <w:r w:rsidR="00B12327">
        <w:rPr>
          <w:rFonts w:ascii="Times New Roman" w:eastAsia="Times New Roman" w:hAnsi="Times New Roman"/>
        </w:rPr>
        <w:fldChar w:fldCharType="separate"/>
      </w:r>
      <w:r w:rsidR="00B12327" w:rsidRPr="00B12327">
        <w:rPr>
          <w:rFonts w:ascii="Times New Roman" w:eastAsia="Times New Roman" w:hAnsi="Times New Roman"/>
          <w:noProof/>
        </w:rPr>
        <w:t>(Camacho et al., 2018)</w:t>
      </w:r>
      <w:r w:rsidR="00B12327">
        <w:rPr>
          <w:rFonts w:ascii="Times New Roman" w:eastAsia="Times New Roman" w:hAnsi="Times New Roman"/>
        </w:rPr>
        <w:fldChar w:fldCharType="end"/>
      </w:r>
      <w:r w:rsidR="55479F89" w:rsidRPr="69BA3794">
        <w:rPr>
          <w:rFonts w:ascii="Times New Roman" w:eastAsia="Times New Roman" w:hAnsi="Times New Roman"/>
        </w:rPr>
        <w:t xml:space="preserve">. For instance, a recent </w:t>
      </w:r>
      <w:r w:rsidR="23B2FB64" w:rsidRPr="69BA3794">
        <w:rPr>
          <w:rFonts w:ascii="Times New Roman" w:eastAsia="Times New Roman" w:hAnsi="Times New Roman"/>
        </w:rPr>
        <w:t>algorithm</w:t>
      </w:r>
      <w:r w:rsidR="55479F89" w:rsidRPr="69BA3794">
        <w:rPr>
          <w:rFonts w:ascii="Times New Roman" w:eastAsia="Times New Roman" w:hAnsi="Times New Roman"/>
        </w:rPr>
        <w:t xml:space="preserve"> was developed</w:t>
      </w:r>
      <w:r w:rsidR="55479F89" w:rsidRPr="008543F0">
        <w:rPr>
          <w:rFonts w:ascii="Times New Roman" w:eastAsia="Times New Roman" w:hAnsi="Times New Roman"/>
          <w:color w:val="000000" w:themeColor="text1"/>
        </w:rPr>
        <w:t xml:space="preserve"> </w:t>
      </w:r>
      <w:r w:rsidR="55479F89" w:rsidRPr="00DE1F46">
        <w:rPr>
          <w:rFonts w:ascii="Times New Roman" w:eastAsia="Times New Roman" w:hAnsi="Times New Roman"/>
          <w:color w:val="000000" w:themeColor="text1"/>
        </w:rPr>
        <w:t xml:space="preserve">with a limited set of training data </w:t>
      </w:r>
      <w:r w:rsidR="041ADB30" w:rsidRPr="00DE1F46">
        <w:rPr>
          <w:rFonts w:ascii="Times New Roman" w:eastAsia="Times New Roman" w:hAnsi="Times New Roman"/>
          <w:color w:val="000000" w:themeColor="text1"/>
        </w:rPr>
        <w:t xml:space="preserve">and </w:t>
      </w:r>
      <w:r w:rsidR="00EF2D55" w:rsidRPr="00DE1F46">
        <w:rPr>
          <w:rFonts w:ascii="Times New Roman" w:eastAsia="Times New Roman" w:hAnsi="Times New Roman"/>
          <w:color w:val="000000" w:themeColor="text1"/>
        </w:rPr>
        <w:t>can</w:t>
      </w:r>
      <w:r w:rsidR="55479F89" w:rsidRPr="00DE1F46">
        <w:rPr>
          <w:rFonts w:ascii="Times New Roman" w:eastAsia="Times New Roman" w:hAnsi="Times New Roman"/>
          <w:color w:val="000000" w:themeColor="text1"/>
        </w:rPr>
        <w:t xml:space="preserve"> predict how changes in a cell's DNA or biochemistry will affect its </w:t>
      </w:r>
      <w:r w:rsidR="48A224A3" w:rsidRPr="00DE1F46">
        <w:rPr>
          <w:rFonts w:ascii="Times New Roman" w:eastAsia="Times New Roman" w:hAnsi="Times New Roman"/>
          <w:color w:val="000000" w:themeColor="text1"/>
        </w:rPr>
        <w:t>behaviour</w:t>
      </w:r>
      <w:r w:rsidR="55479F89" w:rsidRPr="00DE1F46">
        <w:rPr>
          <w:rFonts w:ascii="Times New Roman" w:eastAsia="Times New Roman" w:hAnsi="Times New Roman"/>
          <w:color w:val="000000" w:themeColor="text1"/>
        </w:rPr>
        <w:t>, then make recommendations for the next engineering cycle along with probabilistic predictions for attaining the desired goal</w:t>
      </w:r>
      <w:r w:rsidR="61FF62D9" w:rsidRPr="00DE1F46">
        <w:rPr>
          <w:rFonts w:ascii="Times New Roman" w:eastAsia="Times New Roman" w:hAnsi="Times New Roman"/>
          <w:color w:val="000000" w:themeColor="text1"/>
        </w:rPr>
        <w:t xml:space="preserve"> </w:t>
      </w:r>
      <w:r w:rsidR="00C314FD">
        <w:rPr>
          <w:rFonts w:ascii="Times New Roman" w:eastAsia="Times New Roman" w:hAnsi="Times New Roman"/>
          <w:color w:val="000000" w:themeColor="text1"/>
        </w:rPr>
        <w:fldChar w:fldCharType="begin" w:fldLock="1"/>
      </w:r>
      <w:r w:rsidR="00C314FD">
        <w:rPr>
          <w:rFonts w:ascii="Times New Roman" w:eastAsia="Times New Roman" w:hAnsi="Times New Roman"/>
          <w:color w:val="000000" w:themeColor="text1"/>
        </w:rPr>
        <w:instrText>ADDIN CSL_CITATION {"citationItems":[{"id":"ITEM-1","itemData":{"DOI":"10.1038/s41467-020-18008-4","ISSN":"20411723","PMID":"32978379","abstract":"Synthetic biology allows us to bioengineer cells to synthesize novel valuable molecules such as renewable biofuels or anticancer drugs. However, traditional synthetic biology approaches involve ad-hoc engineering practices, which lead to long development times. Here, we present the Automated Recommendation Tool (ART), a tool that leverages machine learning and probabilistic modeling techniques to guide synthetic biology in a systematic fashion, without the need for a full mechanistic understanding of the biological system. Using sampling-based optimization, ART provides a set of recommended strains to be built in the next engineering cycle, alongside probabilistic predictions of their production levels. We demonstrate the capabilities of ART on simulated data sets, as well as experimental data from real metabolic engineering projects producing renewable biofuels, hoppy flavored beer without hops, fatty acids, and tryptophan. Finally, we discuss the limitations of this approach, and the practical consequences of the underlying assumptions failing.","author":[{"dropping-particle":"","family":"Radivojević","given":"Tijana","non-dropping-particle":"","parse-names":false,"suffix":""},{"dropping-particle":"","family":"Costello","given":"Zak","non-dropping-particle":"","parse-names":false,"suffix":""},{"dropping-particle":"","family":"Workman","given":"Kenneth","non-dropping-particle":"","parse-names":false,"suffix":""},{"dropping-particle":"","family":"Garcia Martin","given":"Hector","non-dropping-particle":"","parse-names":false,"suffix":""}],"container-title":"Nature Communications","id":"ITEM-1","issue":"1","issued":{"date-parts":[["2020","12"]]},"publisher":"Nature Research","title":"A machine learning Automated Recommendation Tool for synthetic biology","type":"article-journal","volume":"11"},"uris":["http://www.mendeley.com/documents/?uuid=48a51dd8-096a-4819-8a38-6f28bd97bc76"]}],"mendeley":{"formattedCitation":"(Radivojević et al., 2020)","plainTextFormattedCitation":"(Radivojević et al., 2020)","previouslyFormattedCitation":"(Radivojević et al., 2020)"},"properties":{"noteIndex":0},"schema":"https://github.com/citation-style-language/schema/raw/master/csl-citation.json"}</w:instrText>
      </w:r>
      <w:r w:rsidR="00C314FD">
        <w:rPr>
          <w:rFonts w:ascii="Times New Roman" w:eastAsia="Times New Roman" w:hAnsi="Times New Roman"/>
          <w:color w:val="000000" w:themeColor="text1"/>
        </w:rPr>
        <w:fldChar w:fldCharType="separate"/>
      </w:r>
      <w:r w:rsidR="00C314FD" w:rsidRPr="00C314FD">
        <w:rPr>
          <w:rFonts w:ascii="Times New Roman" w:eastAsia="Times New Roman" w:hAnsi="Times New Roman"/>
          <w:noProof/>
          <w:color w:val="000000" w:themeColor="text1"/>
        </w:rPr>
        <w:t>(Radivojević et al., 2020)</w:t>
      </w:r>
      <w:r w:rsidR="00C314FD">
        <w:rPr>
          <w:rFonts w:ascii="Times New Roman" w:eastAsia="Times New Roman" w:hAnsi="Times New Roman"/>
          <w:color w:val="000000" w:themeColor="text1"/>
        </w:rPr>
        <w:fldChar w:fldCharType="end"/>
      </w:r>
      <w:r w:rsidR="61FF62D9" w:rsidRPr="00DE1F46">
        <w:rPr>
          <w:rFonts w:ascii="Times New Roman" w:eastAsia="Times New Roman" w:hAnsi="Times New Roman"/>
          <w:color w:val="000000" w:themeColor="text1"/>
        </w:rPr>
        <w:t>.</w:t>
      </w:r>
      <w:r w:rsidR="00EF2D55">
        <w:rPr>
          <w:rFonts w:ascii="Times New Roman" w:eastAsia="Times New Roman" w:hAnsi="Times New Roman"/>
          <w:color w:val="000000" w:themeColor="text1"/>
        </w:rPr>
        <w:t xml:space="preserve"> Among other recent developments, the construction of synthetic cell circuits can be highlighted </w:t>
      </w:r>
      <w:r w:rsidR="001674EA">
        <w:rPr>
          <w:rFonts w:ascii="Times New Roman" w:eastAsia="Times New Roman" w:hAnsi="Times New Roman"/>
          <w:color w:val="000000" w:themeColor="text1"/>
        </w:rPr>
        <w:t>e.g.</w:t>
      </w:r>
      <w:r w:rsidR="00BB57CA">
        <w:rPr>
          <w:rFonts w:ascii="Times New Roman" w:eastAsia="Times New Roman" w:hAnsi="Times New Roman"/>
          <w:color w:val="000000" w:themeColor="text1"/>
        </w:rPr>
        <w:t>,</w:t>
      </w:r>
      <w:r w:rsidR="00EF2D55">
        <w:rPr>
          <w:rFonts w:ascii="Times New Roman" w:eastAsia="Times New Roman" w:hAnsi="Times New Roman"/>
          <w:color w:val="000000" w:themeColor="text1"/>
        </w:rPr>
        <w:t xml:space="preserve"> a three</w:t>
      </w:r>
      <w:r w:rsidR="00556B7A">
        <w:rPr>
          <w:rFonts w:ascii="Times New Roman" w:eastAsia="Times New Roman" w:hAnsi="Times New Roman"/>
          <w:color w:val="000000" w:themeColor="text1"/>
        </w:rPr>
        <w:t>-</w:t>
      </w:r>
      <w:r w:rsidR="00EF2D55">
        <w:rPr>
          <w:rFonts w:ascii="Times New Roman" w:eastAsia="Times New Roman" w:hAnsi="Times New Roman"/>
          <w:color w:val="000000" w:themeColor="text1"/>
        </w:rPr>
        <w:t xml:space="preserve">cell </w:t>
      </w:r>
      <w:r w:rsidR="00556B7A">
        <w:rPr>
          <w:rFonts w:ascii="Times New Roman" w:eastAsia="Times New Roman" w:hAnsi="Times New Roman"/>
          <w:color w:val="000000" w:themeColor="text1"/>
        </w:rPr>
        <w:t xml:space="preserve">bacterial </w:t>
      </w:r>
      <w:r w:rsidR="00EF2D55">
        <w:rPr>
          <w:rFonts w:ascii="Times New Roman" w:eastAsia="Times New Roman" w:hAnsi="Times New Roman"/>
          <w:color w:val="000000" w:themeColor="text1"/>
        </w:rPr>
        <w:t>circuit</w:t>
      </w:r>
      <w:r w:rsidR="00556B7A">
        <w:rPr>
          <w:rFonts w:ascii="Times New Roman" w:eastAsia="Times New Roman" w:hAnsi="Times New Roman"/>
          <w:color w:val="000000" w:themeColor="text1"/>
        </w:rPr>
        <w:t xml:space="preserve"> based </w:t>
      </w:r>
      <w:r w:rsidR="00E15882">
        <w:rPr>
          <w:rFonts w:ascii="Times New Roman" w:eastAsia="Times New Roman" w:hAnsi="Times New Roman"/>
          <w:color w:val="000000" w:themeColor="text1"/>
        </w:rPr>
        <w:t>o</w:t>
      </w:r>
      <w:r w:rsidR="00556B7A">
        <w:rPr>
          <w:rFonts w:ascii="Times New Roman" w:eastAsia="Times New Roman" w:hAnsi="Times New Roman"/>
          <w:color w:val="000000" w:themeColor="text1"/>
        </w:rPr>
        <w:t xml:space="preserve">n an ecological strategy </w:t>
      </w:r>
      <w:r w:rsidR="00C314FD">
        <w:rPr>
          <w:rFonts w:ascii="Times New Roman" w:eastAsia="Times New Roman" w:hAnsi="Times New Roman"/>
          <w:color w:val="000000" w:themeColor="text1"/>
        </w:rPr>
        <w:fldChar w:fldCharType="begin" w:fldLock="1"/>
      </w:r>
      <w:r w:rsidR="008A3FBA">
        <w:rPr>
          <w:rFonts w:ascii="Times New Roman" w:eastAsia="Times New Roman" w:hAnsi="Times New Roman"/>
          <w:color w:val="000000" w:themeColor="text1"/>
        </w:rPr>
        <w:instrText>ADDIN CSL_CITATION {"citationItems":[{"id":"ITEM-1","itemData":{"DOI":"10.1126/science.aaw0542","ISSN":"10959203","PMID":"31488693","abstract":"Advances in synthetic biology have led to an arsenal of proof-of-principle bacterial circuits that can be leveraged for applications ranging from therapeutics to bioproduction. A unifying challenge for most applications is the presence of selective pressures that lead to high mutation rates for engineered bacteria. A common strategy is to develop cloning technologies aimed at increasing the fixation time for deleterious mutations in single cells. We adopt a complementary approach that is guided by ecological interactions, whereby cyclical population control is engineered to stabilize the functionality of intracellular gene circuits. Three strains of Escherichia coli were designed such that each strain could kill or be killed by one of the other two strains. The resulting “rock-paper-scissors” dynamic demonstrates rapid cycling of strains in microfluidic devices and leads to an increase in the stability of gene circuit functionality in cell culture.","author":[{"dropping-particle":"","family":"Liao","given":"Michael J","non-dropping-particle":"","parse-names":false,"suffix":""},{"dropping-particle":"","family":"Din","given":"M Omar","non-dropping-particle":"","parse-names":false,"suffix":""},{"dropping-particle":"","family":"Tsimring","given":"Lev","non-dropping-particle":"","parse-names":false,"suffix":""},{"dropping-particle":"","family":"Hasty","given":"Jeff","non-dropping-particle":"","parse-names":false,"suffix":""}],"container-title":"Science","id":"ITEM-1","issue":"6457","issued":{"date-parts":[["2019","9"]]},"page":"1045-1049","publisher":"American Association for the Advancement of Science","title":"Rock-paper-scissors: Engineered population dynamics increase genetic stability","type":"article-journal","volume":"365"},"uris":["http://www.mendeley.com/documents/?uuid=779025ed-d917-4380-a5e5-1826ac89adf1"]}],"mendeley":{"formattedCitation":"(Liao et al., 2019)","plainTextFormattedCitation":"(Liao et al., 2019)","previouslyFormattedCitation":"(Liao et al., 2019)"},"properties":{"noteIndex":0},"schema":"https://github.com/citation-style-language/schema/raw/master/csl-citation.json"}</w:instrText>
      </w:r>
      <w:r w:rsidR="00C314FD">
        <w:rPr>
          <w:rFonts w:ascii="Times New Roman" w:eastAsia="Times New Roman" w:hAnsi="Times New Roman"/>
          <w:color w:val="000000" w:themeColor="text1"/>
        </w:rPr>
        <w:fldChar w:fldCharType="separate"/>
      </w:r>
      <w:r w:rsidR="00C314FD" w:rsidRPr="001E6F8F">
        <w:rPr>
          <w:rFonts w:ascii="Times New Roman" w:eastAsia="Times New Roman" w:hAnsi="Times New Roman"/>
          <w:noProof/>
          <w:color w:val="000000" w:themeColor="text1"/>
        </w:rPr>
        <w:t>(Liao et al., 2019)</w:t>
      </w:r>
      <w:r w:rsidR="00C314FD">
        <w:rPr>
          <w:rFonts w:ascii="Times New Roman" w:eastAsia="Times New Roman" w:hAnsi="Times New Roman"/>
          <w:color w:val="000000" w:themeColor="text1"/>
        </w:rPr>
        <w:fldChar w:fldCharType="end"/>
      </w:r>
      <w:r w:rsidR="006E3DAD" w:rsidRPr="00B66849">
        <w:rPr>
          <w:rFonts w:ascii="Times New Roman" w:eastAsia="Times New Roman" w:hAnsi="Times New Roman"/>
          <w:color w:val="000000" w:themeColor="text1"/>
        </w:rPr>
        <w:t xml:space="preserve">, or a mammalian macrophage-fibroblast circuit </w:t>
      </w:r>
      <w:r w:rsidR="008A3FBA">
        <w:rPr>
          <w:rFonts w:ascii="Times New Roman" w:eastAsia="Times New Roman" w:hAnsi="Times New Roman"/>
          <w:color w:val="000000" w:themeColor="text1"/>
          <w:lang w:val="fr-CA"/>
        </w:rPr>
        <w:fldChar w:fldCharType="begin" w:fldLock="1"/>
      </w:r>
      <w:r w:rsidR="00C96812">
        <w:rPr>
          <w:rFonts w:ascii="Times New Roman" w:eastAsia="Times New Roman" w:hAnsi="Times New Roman"/>
          <w:color w:val="000000" w:themeColor="text1"/>
        </w:rPr>
        <w:instrText>ADDIN CSL_CITATION {"citationItems":[{"id":"ITEM-1","itemData":{"DOI":"10.1016/j.cell.2018.01.015","ISSN":"00928674","author":[{"dropping-particle":"","family":"Zhou","given":"Xu","non-dropping-particle":"","parse-names":false,"suffix":""},{"dropping-particle":"","family":"Franklin","given":"Ruth A.","non-dropping-particle":"","parse-names":false,"suffix":""},{"dropping-particle":"","family":"Adler","given":"Miri","non-dropping-particle":"","parse-names":false,"suffix":""},{"dropping-particle":"","family":"Jacox","given":"Jeremy B.","non-dropping-particle":"","parse-names":false,"suffix":""},{"dropping-particle":"","family":"Bailis","given":"Will","non-dropping-particle":"","parse-names":false,"suffix":""},{"dropping-particle":"","family":"Shyer","given":"Justin A.","non-dropping-particle":"","parse-names":false,"suffix":""},{"dropping-particle":"","family":"Flavell","given":"Richard A.","non-dropping-particle":"","parse-names":false,"suffix":""},{"dropping-particle":"","family":"Mayo","given":"Avi","non-dropping-particle":"","parse-names":false,"suffix":""},{"dropping-particle":"","family":"Alon","given":"Uri","non-dropping-particle":"","parse-names":false,"suffix":""},{"dropping-particle":"","family":"Medzhitov","given":"Ruslan","non-dropping-particle":"","parse-names":false,"suffix":""}],"container-title":"Cell","id":"ITEM-1","issue":"4","issued":{"date-parts":[["2018","2"]]},"page":"744-757.e17","title":"Circuit Design Features of a Stable Two-Cell System","type":"article-journal","volume":"172"},"uris":["http://www.mendeley.com/documents/?uuid=da3c56ba-669e-4e7c-9793-f75c57ad1dae"]}],"mendeley":{"formattedCitation":"(X. Zhou et al., 2018)","plainTextFormattedCitation":"(X. Zhou et al., 2018)","previouslyFormattedCitation":"(X. Zhou et al., 2018)"},"properties":{"noteIndex":0},"schema":"https://github.com/citation-style-language/schema/raw/master/csl-citation.json"}</w:instrText>
      </w:r>
      <w:r w:rsidR="008A3FBA">
        <w:rPr>
          <w:rFonts w:ascii="Times New Roman" w:eastAsia="Times New Roman" w:hAnsi="Times New Roman"/>
          <w:color w:val="000000" w:themeColor="text1"/>
          <w:lang w:val="fr-CA"/>
        </w:rPr>
        <w:fldChar w:fldCharType="separate"/>
      </w:r>
      <w:r w:rsidR="00C75A83" w:rsidRPr="00C75A83">
        <w:rPr>
          <w:rFonts w:ascii="Times New Roman" w:eastAsia="Times New Roman" w:hAnsi="Times New Roman"/>
          <w:noProof/>
          <w:color w:val="000000" w:themeColor="text1"/>
        </w:rPr>
        <w:t>(X. Zhou et al., 2018)</w:t>
      </w:r>
      <w:r w:rsidR="008A3FBA">
        <w:rPr>
          <w:rFonts w:ascii="Times New Roman" w:eastAsia="Times New Roman" w:hAnsi="Times New Roman"/>
          <w:color w:val="000000" w:themeColor="text1"/>
          <w:lang w:val="fr-CA"/>
        </w:rPr>
        <w:fldChar w:fldCharType="end"/>
      </w:r>
      <w:r w:rsidR="008549A5" w:rsidRPr="00B66849">
        <w:rPr>
          <w:rFonts w:ascii="Times New Roman" w:eastAsia="Times New Roman" w:hAnsi="Times New Roman"/>
          <w:color w:val="000000" w:themeColor="text1"/>
        </w:rPr>
        <w:t>.</w:t>
      </w:r>
    </w:p>
    <w:p w14:paraId="465A51F3" w14:textId="0FF90955" w:rsidR="00DC1D21" w:rsidRPr="00DE1F46" w:rsidRDefault="00496F75" w:rsidP="00AF5AC4">
      <w:pPr>
        <w:pStyle w:val="Heading3"/>
        <w:rPr>
          <w:color w:val="000000" w:themeColor="text1"/>
          <w:lang w:val="en-GB"/>
        </w:rPr>
      </w:pPr>
      <w:bookmarkStart w:id="45" w:name="_Toc70112670"/>
      <w:bookmarkStart w:id="46" w:name="_Toc70685692"/>
      <w:r>
        <w:rPr>
          <w:lang w:val="en-US"/>
        </w:rPr>
        <w:t>2</w:t>
      </w:r>
      <w:r w:rsidR="00DC1D21">
        <w:t xml:space="preserve">.2. </w:t>
      </w:r>
      <w:r w:rsidR="00344B54" w:rsidRPr="1386BD8E">
        <w:rPr>
          <w:color w:val="000000" w:themeColor="text1"/>
          <w:lang w:val="en-GB"/>
        </w:rPr>
        <w:t xml:space="preserve">Protein </w:t>
      </w:r>
      <w:r w:rsidR="008549A5" w:rsidRPr="1386BD8E">
        <w:rPr>
          <w:color w:val="000000" w:themeColor="text1"/>
          <w:lang w:val="en-GB"/>
        </w:rPr>
        <w:t>engineering</w:t>
      </w:r>
      <w:r w:rsidR="00CB4BD6">
        <w:rPr>
          <w:color w:val="000000" w:themeColor="text1"/>
          <w:lang w:val="en-GB"/>
        </w:rPr>
        <w:t>.</w:t>
      </w:r>
      <w:bookmarkEnd w:id="45"/>
      <w:bookmarkEnd w:id="46"/>
    </w:p>
    <w:p w14:paraId="7F2F4006" w14:textId="4B8F8597" w:rsidR="005E6456" w:rsidRPr="004325A4" w:rsidRDefault="005E6456" w:rsidP="005E6456">
      <w:pPr>
        <w:spacing w:before="120" w:after="120" w:line="240" w:lineRule="auto"/>
        <w:jc w:val="both"/>
        <w:rPr>
          <w:rFonts w:ascii="Times New Roman" w:eastAsia="Times New Roman" w:hAnsi="Times New Roman"/>
          <w:color w:val="000000" w:themeColor="text1"/>
          <w:lang w:val="en-US"/>
        </w:rPr>
      </w:pPr>
      <w:r w:rsidRPr="1386BD8E">
        <w:rPr>
          <w:rFonts w:ascii="Times New Roman" w:eastAsia="Times New Roman" w:hAnsi="Times New Roman"/>
          <w:color w:val="000000" w:themeColor="text1"/>
        </w:rPr>
        <w:t xml:space="preserve">Protein engineering aims to design new proteins or modify the sequence of a protein to create proteins with new or desirable functions. Strategic utilisation of protein engineering methods and approaches has enabled better enzymatic properties, better stability, increased catalytic activity and most importantly, a wider range </w:t>
      </w:r>
      <w:r w:rsidR="00AF5AC4" w:rsidRPr="1386BD8E">
        <w:rPr>
          <w:rFonts w:ascii="Times New Roman" w:eastAsia="Times New Roman" w:hAnsi="Times New Roman"/>
          <w:color w:val="000000" w:themeColor="text1"/>
        </w:rPr>
        <w:t xml:space="preserve">of the </w:t>
      </w:r>
      <w:r w:rsidRPr="1386BD8E">
        <w:rPr>
          <w:rFonts w:ascii="Times New Roman" w:eastAsia="Times New Roman" w:hAnsi="Times New Roman"/>
          <w:color w:val="000000" w:themeColor="text1"/>
        </w:rPr>
        <w:t xml:space="preserve">applicability of proteins </w:t>
      </w:r>
      <w:r w:rsidR="008A3FBA">
        <w:rPr>
          <w:rFonts w:ascii="Times New Roman" w:eastAsia="Times New Roman" w:hAnsi="Times New Roman"/>
          <w:color w:val="000000" w:themeColor="text1"/>
        </w:rPr>
        <w:fldChar w:fldCharType="begin" w:fldLock="1"/>
      </w:r>
      <w:r w:rsidR="00AF27A4">
        <w:rPr>
          <w:rFonts w:ascii="Times New Roman" w:eastAsia="Times New Roman" w:hAnsi="Times New Roman"/>
          <w:color w:val="000000" w:themeColor="text1"/>
        </w:rPr>
        <w:instrText>ADDIN CSL_CITATION {"citationItems":[{"id":"ITEM-1","itemData":{"DOI":"10.2174/1389203720666181119120120","ISSN":"13892037","PMID":"30451109","abstract":"©2019 Bentham Science Publishers. Proteins are one of the most important and resourceful biomolecules that find applications in health, industry, medicine, research, and biotechnology. Given its tremendous relevance, protein engineering has emerged as significant biotechnological intervention in this area. Strategic utilization of protein engineering methods and approaches has enabled better enzymatic properties, better stability, increased catalytic activity and most importantly, interesting and wide range applicability of proteins. In fact, the commercialization of engineered proteins have manifested in economically beneficial and viable solutions for industry and healthcare sector. Protein engineering has also evolved to become a powerful tool contributing significantly to the developments in both synthetic biology and metabolic engineering. The present review revisits the current trends in protein engineering approaches such as rational design, directed evolution, de novo design, computational approaches etc. and encompasses the recent progresses made in this field over the last few years. The review also throws light on advanced or futuristic protein engineering aspects, which are being explored for design and development of novel proteins with improved properties or advanced applications.","author":[{"dropping-particle":"","family":"Sinha","given":"Rajeshwari","non-dropping-particle":"","parse-names":false,"suffix":""},{"dropping-particle":"","family":"Shukla","given":"Pratyoosh","non-dropping-particle":"","parse-names":false,"suffix":""}],"container-title":"Current Protein &amp; Peptide Science","id":"ITEM-1","issue":"5","issued":{"date-parts":[["2019","3","27"]]},"page":"398-407","publisher":"Bentham Science Publishers Ltd.","title":"Current Trends in Protein Engineering: Updates and Progress","type":"article-journal","volume":"20"},"uris":["http://www.mendeley.com/documents/?uuid=b8a090c7-cae3-420b-8db2-24fc04895257"]}],"mendeley":{"formattedCitation":"(Sinha &amp; Shukla, 2019)","plainTextFormattedCitation":"(Sinha &amp; Shukla, 2019)","previouslyFormattedCitation":"(Sinha &amp; Shukla, 2019)"},"properties":{"noteIndex":0},"schema":"https://github.com/citation-style-language/schema/raw/master/csl-citation.json"}</w:instrText>
      </w:r>
      <w:r w:rsidR="008A3FBA">
        <w:rPr>
          <w:rFonts w:ascii="Times New Roman" w:eastAsia="Times New Roman" w:hAnsi="Times New Roman"/>
          <w:color w:val="000000" w:themeColor="text1"/>
        </w:rPr>
        <w:fldChar w:fldCharType="separate"/>
      </w:r>
      <w:r w:rsidR="004C54D7" w:rsidRPr="004C54D7">
        <w:rPr>
          <w:rFonts w:ascii="Times New Roman" w:eastAsia="Times New Roman" w:hAnsi="Times New Roman"/>
          <w:noProof/>
          <w:color w:val="000000" w:themeColor="text1"/>
        </w:rPr>
        <w:t>(Sinha &amp; Shukla, 2019)</w:t>
      </w:r>
      <w:r w:rsidR="008A3FBA">
        <w:rPr>
          <w:rFonts w:ascii="Times New Roman" w:eastAsia="Times New Roman" w:hAnsi="Times New Roman"/>
          <w:color w:val="000000" w:themeColor="text1"/>
        </w:rPr>
        <w:fldChar w:fldCharType="end"/>
      </w:r>
      <w:r w:rsidRPr="1386BD8E">
        <w:rPr>
          <w:rFonts w:ascii="Times New Roman" w:eastAsia="Times New Roman" w:hAnsi="Times New Roman"/>
          <w:color w:val="000000" w:themeColor="text1"/>
        </w:rPr>
        <w:t xml:space="preserve">. There are three major approaches of protein engineering research, namely, directed evolution, rational design, and </w:t>
      </w:r>
      <w:r w:rsidRPr="1386BD8E">
        <w:rPr>
          <w:rFonts w:ascii="Times New Roman" w:eastAsia="Times New Roman" w:hAnsi="Times New Roman"/>
          <w:i/>
          <w:iCs/>
          <w:color w:val="000000" w:themeColor="text1"/>
        </w:rPr>
        <w:t>de novo</w:t>
      </w:r>
      <w:r w:rsidRPr="1386BD8E">
        <w:rPr>
          <w:rFonts w:ascii="Times New Roman" w:eastAsia="Times New Roman" w:hAnsi="Times New Roman"/>
          <w:color w:val="000000" w:themeColor="text1"/>
        </w:rPr>
        <w:t xml:space="preserve"> design </w:t>
      </w:r>
      <w:r w:rsidR="004C54D7">
        <w:rPr>
          <w:rFonts w:ascii="Times New Roman" w:eastAsia="Times New Roman" w:hAnsi="Times New Roman"/>
          <w:color w:val="000000" w:themeColor="text1"/>
        </w:rPr>
        <w:fldChar w:fldCharType="begin" w:fldLock="1"/>
      </w:r>
      <w:r w:rsidR="00AF27A4">
        <w:rPr>
          <w:rFonts w:ascii="Times New Roman" w:eastAsia="Times New Roman" w:hAnsi="Times New Roman"/>
          <w:color w:val="000000" w:themeColor="text1"/>
        </w:rPr>
        <w:instrText>ADDIN CSL_CITATION {"citationItems":[{"id":"ITEM-1","itemData":{"DOI":"10.2174/1389203720666181119120120","ISSN":"13892037","PMID":"30451109","abstract":"©2019 Bentham Science Publishers. Proteins are one of the most important and resourceful biomolecules that find applications in health, industry, medicine, research, and biotechnology. Given its tremendous relevance, protein engineering has emerged as significant biotechnological intervention in this area. Strategic utilization of protein engineering methods and approaches has enabled better enzymatic properties, better stability, increased catalytic activity and most importantly, interesting and wide range applicability of proteins. In fact, the commercialization of engineered proteins have manifested in economically beneficial and viable solutions for industry and healthcare sector. Protein engineering has also evolved to become a powerful tool contributing significantly to the developments in both synthetic biology and metabolic engineering. The present review revisits the current trends in protein engineering approaches such as rational design, directed evolution, de novo design, computational approaches etc. and encompasses the recent progresses made in this field over the last few years. The review also throws light on advanced or futuristic protein engineering aspects, which are being explored for design and development of novel proteins with improved properties or advanced applications.","author":[{"dropping-particle":"","family":"Sinha","given":"Rajeshwari","non-dropping-particle":"","parse-names":false,"suffix":""},{"dropping-particle":"","family":"Shukla","given":"Pratyoosh","non-dropping-particle":"","parse-names":false,"suffix":""}],"container-title":"Current Protein &amp; Peptide Science","id":"ITEM-1","issue":"5","issued":{"date-parts":[["2019","3","27"]]},"page":"398-407","publisher":"Bentham Science Publishers Ltd.","title":"Current Trends in Protein Engineering: Updates and Progress","type":"article-journal","volume":"20"},"uris":["http://www.mendeley.com/documents/?uuid=b8a090c7-cae3-420b-8db2-24fc04895257"]}],"mendeley":{"formattedCitation":"(Sinha &amp; Shukla, 2019)","plainTextFormattedCitation":"(Sinha &amp; Shukla, 2019)","previouslyFormattedCitation":"(Sinha &amp; Shukla, 2019)"},"properties":{"noteIndex":0},"schema":"https://github.com/citation-style-language/schema/raw/master/csl-citation.json"}</w:instrText>
      </w:r>
      <w:r w:rsidR="004C54D7">
        <w:rPr>
          <w:rFonts w:ascii="Times New Roman" w:eastAsia="Times New Roman" w:hAnsi="Times New Roman"/>
          <w:color w:val="000000" w:themeColor="text1"/>
        </w:rPr>
        <w:fldChar w:fldCharType="separate"/>
      </w:r>
      <w:r w:rsidR="004C54D7" w:rsidRPr="004C54D7">
        <w:rPr>
          <w:rFonts w:ascii="Times New Roman" w:eastAsia="Times New Roman" w:hAnsi="Times New Roman"/>
          <w:noProof/>
          <w:color w:val="000000" w:themeColor="text1"/>
        </w:rPr>
        <w:t>(Sinha &amp; Shukla, 2019)</w:t>
      </w:r>
      <w:r w:rsidR="004C54D7">
        <w:rPr>
          <w:rFonts w:ascii="Times New Roman" w:eastAsia="Times New Roman" w:hAnsi="Times New Roman"/>
          <w:color w:val="000000" w:themeColor="text1"/>
        </w:rPr>
        <w:fldChar w:fldCharType="end"/>
      </w:r>
      <w:r w:rsidRPr="1386BD8E">
        <w:rPr>
          <w:rFonts w:ascii="Times New Roman" w:eastAsia="Times New Roman" w:hAnsi="Times New Roman"/>
          <w:color w:val="000000" w:themeColor="text1"/>
        </w:rPr>
        <w:t>. Rational design is an effective method of protein engineering when the three-dimensional structure and mechanism of the protein is well known</w:t>
      </w:r>
      <w:r w:rsidR="00AF5AC4" w:rsidRPr="1386BD8E">
        <w:rPr>
          <w:rFonts w:ascii="Times New Roman" w:eastAsia="Times New Roman" w:hAnsi="Times New Roman"/>
          <w:color w:val="000000" w:themeColor="text1"/>
        </w:rPr>
        <w:t>,</w:t>
      </w:r>
      <w:r w:rsidRPr="1386BD8E">
        <w:rPr>
          <w:rFonts w:ascii="Times New Roman" w:eastAsia="Times New Roman" w:hAnsi="Times New Roman"/>
          <w:color w:val="000000" w:themeColor="text1"/>
        </w:rPr>
        <w:t xml:space="preserve"> </w:t>
      </w:r>
      <w:r w:rsidRPr="1386BD8E" w:rsidDel="0082208D">
        <w:rPr>
          <w:rFonts w:ascii="Times New Roman" w:eastAsia="Times New Roman" w:hAnsi="Times New Roman"/>
          <w:color w:val="000000" w:themeColor="text1"/>
        </w:rPr>
        <w:t>e.g</w:t>
      </w:r>
      <w:r w:rsidR="0082208D" w:rsidRPr="1386BD8E">
        <w:rPr>
          <w:rFonts w:ascii="Times New Roman" w:eastAsia="Times New Roman" w:hAnsi="Times New Roman"/>
          <w:color w:val="000000" w:themeColor="text1"/>
        </w:rPr>
        <w:t>.,</w:t>
      </w:r>
      <w:r w:rsidRPr="1386BD8E">
        <w:rPr>
          <w:rFonts w:ascii="Times New Roman" w:eastAsia="Times New Roman" w:hAnsi="Times New Roman"/>
          <w:color w:val="000000" w:themeColor="text1"/>
        </w:rPr>
        <w:t xml:space="preserve"> the computational design of transmembrane pores </w:t>
      </w:r>
      <w:r w:rsidR="004C54D7">
        <w:rPr>
          <w:rFonts w:ascii="Times New Roman" w:eastAsia="Times New Roman" w:hAnsi="Times New Roman"/>
          <w:color w:val="000000" w:themeColor="text1"/>
        </w:rPr>
        <w:fldChar w:fldCharType="begin" w:fldLock="1"/>
      </w:r>
      <w:r w:rsidR="00AF27A4">
        <w:rPr>
          <w:rFonts w:ascii="Times New Roman" w:eastAsia="Times New Roman" w:hAnsi="Times New Roman"/>
          <w:color w:val="000000" w:themeColor="text1"/>
        </w:rPr>
        <w:instrText>ADDIN CSL_CITATION {"citationItems":[{"id":"ITEM-1","itemData":{"DOI":"10.1038/s41586-020-2646-5","ISSN":"14764687","PMID":"32848250","abstract":"Transmembrane channels and pores have key roles in fundamental biological processes1 and in biotechnological applications such as DNA nanopore sequencing2–4, resulting in considerable interest in the design of pore-containing proteins. Synthetic amphiphilic peptides have been found to form ion channels5,6, and there have been recent advances in de novo membrane protein design7,8 and in redesigning naturally occurring channel-containing proteins9,10. However, the de novo design of stable, well-defined transmembrane protein pores that are capable of conducting ions selectively or are large enough to enable the passage of small-molecule fluorophores remains an outstanding challenge11,12. Here we report the computational design of protein pores formed by two concentric rings of $α$-helices that are stable and monodisperse in both their water-soluble and their transmembrane forms. Crystal structures of the water-soluble forms of a 12-helical pore and a 16-helical pore closely match the computational design models. Patch-clamp electrophysiology experiments show that, when expressed in insect cells, the transmembrane form of the 12-helix pore enables the passage of ions across the membrane with high selectivity for potassium over sodium; ion passage is blocked by specific chemical modification at the pore entrance. When incorporated into liposomes using in vitro protein synthesis, the transmembrane form of the 16-helix pore—but not the 12-helix pore—enables the passage of biotinylated Alexa Fluor 488. A cryo-electron microscopy structure of the 16-helix transmembrane pore closely matches the design model. The ability to produce structurally and functionally well-defined transmembrane pores opens the door to the creation of designer channels and pores for a wide variety of applications.","author":[{"dropping-particle":"","family":"Xu","given":"Chunfu","non-dropping-particle":"","parse-names":false,"suffix":""},{"dropping-particle":"","family":"Lu","given":"Peilong","non-dropping-particle":"","parse-names":false,"suffix":""},{"dropping-particle":"","family":"Gamal El-Din","given":"Tamer M","non-dropping-particle":"","parse-names":false,"suffix":""},{"dropping-particle":"","family":"Pei","given":"Xue Y","non-dropping-particle":"","parse-names":false,"suffix":""},{"dropping-particle":"","family":"Johnson","given":"Matthew C","non-dropping-particle":"","parse-names":false,"suffix":""},{"dropping-particle":"","family":"Uyeda","given":"Atsuko","non-dropping-particle":"","parse-names":false,"suffix":""},{"dropping-particle":"","family":"Bick","given":"Matthew J","non-dropping-particle":"","parse-names":false,"suffix":""},{"dropping-particle":"","family":"Xu","given":"Qi","non-dropping-particle":"","parse-names":false,"suffix":""},{"dropping-particle":"","family":"Jiang","given":"Daohua","non-dropping-particle":"","parse-names":false,"suffix":""},{"dropping-particle":"","family":"Bai","given":"Hua","non-dropping-particle":"","parse-names":false,"suffix":""},{"dropping-particle":"","family":"Reggiano","given":"Gabriella","non-dropping-particle":"","parse-names":false,"suffix":""},{"dropping-particle":"","family":"Hsia","given":"Yang","non-dropping-particle":"","parse-names":false,"suffix":""},{"dropping-particle":"","family":"Brunette","given":"T J","non-dropping-particle":"","parse-names":false,"suffix":""},{"dropping-particle":"","family":"Dou","given":"Jiayi","non-dropping-particle":"","parse-names":false,"suffix":""},{"dropping-particle":"","family":"Ma","given":"Dan","non-dropping-particle":"","parse-names":false,"suffix":""},{"dropping-particle":"","family":"Lynch","given":"Eric M","non-dropping-particle":"","parse-names":false,"suffix":""},{"dropping-particle":"","family":"Boyken","given":"Scott E","non-dropping-particle":"","parse-names":false,"suffix":""},{"dropping-particle":"","family":"Huang","given":"Po Ssu","non-dropping-particle":"","parse-names":false,"suffix":""},{"dropping-particle":"","family":"Stewart","given":"Lance","non-dropping-particle":"","parse-names":false,"suffix":""},{"dropping-particle":"","family":"DiMaio","given":"Frank","non-dropping-particle":"","parse-names":false,"suffix":""},{"dropping-particle":"","family":"Kollman","given":"Justin M","non-dropping-particle":"","parse-names":false,"suffix":""},{"dropping-particle":"","family":"Luisi","given":"Ben F","non-dropping-particle":"","parse-names":false,"suffix":""},{"dropping-particle":"","family":"Matsuura","given":"Tomoaki","non-dropping-particle":"","parse-names":false,"suffix":""},{"dropping-particle":"","family":"Catterall","given":"William A","non-dropping-particle":"","parse-names":false,"suffix":""},{"dropping-particle":"","family":"Baker","given":"David","non-dropping-particle":"","parse-names":false,"suffix":""}],"container-title":"Nature","id":"ITEM-1","issue":"7823","issued":{"date-parts":[["2020","9"]]},"page":"129-134","publisher":"Nature Research","title":"Computational design of transmembrane pores","type":"article-journal","volume":"585"},"uris":["http://www.mendeley.com/documents/?uuid=df7bb0c0-2816-4283-aac1-3bf8b8739008"]}],"mendeley":{"formattedCitation":"(C. Xu et al., 2020)","manualFormatting":"(Xu et al., 2020)","plainTextFormattedCitation":"(C. Xu et al., 2020)","previouslyFormattedCitation":"(C. Xu et al., 2020)"},"properties":{"noteIndex":0},"schema":"https://github.com/citation-style-language/schema/raw/master/csl-citation.json"}</w:instrText>
      </w:r>
      <w:r w:rsidR="004C54D7">
        <w:rPr>
          <w:rFonts w:ascii="Times New Roman" w:eastAsia="Times New Roman" w:hAnsi="Times New Roman"/>
          <w:color w:val="000000" w:themeColor="text1"/>
        </w:rPr>
        <w:fldChar w:fldCharType="separate"/>
      </w:r>
      <w:r w:rsidR="004C54D7" w:rsidRPr="004C54D7">
        <w:rPr>
          <w:rFonts w:ascii="Times New Roman" w:eastAsia="Times New Roman" w:hAnsi="Times New Roman"/>
          <w:noProof/>
          <w:color w:val="000000" w:themeColor="text1"/>
        </w:rPr>
        <w:t>(Xu et al., 2020)</w:t>
      </w:r>
      <w:r w:rsidR="004C54D7">
        <w:rPr>
          <w:rFonts w:ascii="Times New Roman" w:eastAsia="Times New Roman" w:hAnsi="Times New Roman"/>
          <w:color w:val="000000" w:themeColor="text1"/>
        </w:rPr>
        <w:fldChar w:fldCharType="end"/>
      </w:r>
      <w:r w:rsidRPr="1386BD8E">
        <w:rPr>
          <w:rFonts w:ascii="Times New Roman" w:eastAsia="Times New Roman" w:hAnsi="Times New Roman"/>
          <w:color w:val="000000" w:themeColor="text1"/>
        </w:rPr>
        <w:t xml:space="preserve">. In contrast, directed evolution, a method that was awarded the Nobel </w:t>
      </w:r>
      <w:r w:rsidR="00C32CAA">
        <w:rPr>
          <w:rFonts w:ascii="Times New Roman" w:eastAsia="Times New Roman" w:hAnsi="Times New Roman"/>
          <w:color w:val="000000" w:themeColor="text1"/>
        </w:rPr>
        <w:t>P</w:t>
      </w:r>
      <w:r w:rsidRPr="1386BD8E">
        <w:rPr>
          <w:rFonts w:ascii="Times New Roman" w:eastAsia="Times New Roman" w:hAnsi="Times New Roman"/>
          <w:color w:val="000000" w:themeColor="text1"/>
        </w:rPr>
        <w:t xml:space="preserve">rize in </w:t>
      </w:r>
      <w:r w:rsidR="00C32CAA">
        <w:rPr>
          <w:rFonts w:ascii="Times New Roman" w:eastAsia="Times New Roman" w:hAnsi="Times New Roman"/>
          <w:color w:val="000000" w:themeColor="text1"/>
        </w:rPr>
        <w:t>C</w:t>
      </w:r>
      <w:r w:rsidRPr="1386BD8E">
        <w:rPr>
          <w:rFonts w:ascii="Times New Roman" w:eastAsia="Times New Roman" w:hAnsi="Times New Roman"/>
          <w:color w:val="000000" w:themeColor="text1"/>
        </w:rPr>
        <w:t>hemistry in 2018, does not require extensive information and a three-dimensional structure of the protein of interest. Instead, it involves random mutagenesis and selection to screen enzymes with desired properties</w:t>
      </w:r>
      <w:r w:rsidR="002540FC" w:rsidRPr="1386BD8E">
        <w:rPr>
          <w:rFonts w:ascii="Times New Roman" w:eastAsia="Times New Roman" w:hAnsi="Times New Roman"/>
          <w:color w:val="000000" w:themeColor="text1"/>
        </w:rPr>
        <w:t>,</w:t>
      </w:r>
      <w:r w:rsidRPr="1386BD8E">
        <w:rPr>
          <w:rFonts w:ascii="Times New Roman" w:eastAsia="Times New Roman" w:hAnsi="Times New Roman"/>
          <w:color w:val="000000" w:themeColor="text1"/>
        </w:rPr>
        <w:t xml:space="preserve"> e.g. </w:t>
      </w:r>
      <w:r w:rsidR="002540FC" w:rsidRPr="1386BD8E">
        <w:rPr>
          <w:rFonts w:ascii="Times New Roman" w:eastAsia="Times New Roman" w:hAnsi="Times New Roman"/>
          <w:color w:val="000000" w:themeColor="text1"/>
        </w:rPr>
        <w:t xml:space="preserve">the </w:t>
      </w:r>
      <w:r w:rsidRPr="1386BD8E">
        <w:rPr>
          <w:rFonts w:ascii="Times New Roman" w:eastAsia="Times New Roman" w:hAnsi="Times New Roman"/>
          <w:color w:val="000000" w:themeColor="text1"/>
        </w:rPr>
        <w:t xml:space="preserve">evolution of new ribosome function by controlling orthogonal subunit interactions </w:t>
      </w:r>
      <w:r w:rsidR="00AF27A4">
        <w:rPr>
          <w:rFonts w:ascii="Times New Roman" w:eastAsia="Times New Roman" w:hAnsi="Times New Roman"/>
          <w:color w:val="000000" w:themeColor="text1"/>
        </w:rPr>
        <w:fldChar w:fldCharType="begin" w:fldLock="1"/>
      </w:r>
      <w:r w:rsidR="00AF27A4">
        <w:rPr>
          <w:rFonts w:ascii="Times New Roman" w:eastAsia="Times New Roman" w:hAnsi="Times New Roman"/>
          <w:color w:val="000000" w:themeColor="text1"/>
        </w:rPr>
        <w:instrText>ADDIN CSL_CITATION {"citationItems":[{"id":"ITEM-1","itemData":{"DOI":"10.1038/s41586-018-0773-z","ISSN":"14764687","PMID":"30518861","abstract":"Orthogonal ribosomes are unnatural ribosomes that are directed towards orthogonal messenger RNAs in Escherichia coli, through an altered version of the 16S ribosomal RNA of the small subunit1. Directed evolution of orthogonal ribosomes has provided access to new ribosomal function, and the evolved orthogonal ribosomes have enabled the encoding of multiple non-canonical amino acids into proteins2–4. The original orthogonal ribosomes shared the pool of 23S ribosomal RNAs, contained in the large subunit, with endogenous ribosomes. Selectively directing a new 23S rRNA to an orthogonal mRNA, by controlling the association between the orthogonal 16S rRNAs and 23S rRNAs, would enable the evolution of new function in the large subunit. Previous work covalently linked orthogonal 16S rRNA and a circularly permuted 23S rRNA to create orthogonal ribosomes with low activity5,6; however, the linked subunits in these ribosomes do not associate specifically with each other, and mediate translation by associating with endogenous subunits. Here we discover engineered orthogonal ‘stapled' ribosomes (with subunits linked through an optimized RNA staple) with activities comparable to that of the parent orthogonal ribosome; they minimize association with endogenous subunits and mediate translation of orthogonal mRNAs through the association of stapled subunits. We evolve cells with genomically encoded stapled ribosomes as the sole ribosomes, which support cellular growth at similar rates to natural ribosomes. Moreover, we visualize the engineered stapled ribosome structure by cryo-electron microscopy at 3.0 Å, revealing how the staple links the subunits and controls their association. We demonstrate the utility of controlling subunit association by evolving orthogonal stapled ribosomes which efficiently polymerize a sequence of monomers that the natural ribosome is intrinsically unable to translate. Our work provides a foundation for evolving the rRNA of the entire orthogonal ribosome for the encoded cellular synthesis of non-canonical biological polymers7.","author":[{"dropping-particle":"","family":"Schmied","given":"Wolfgang H","non-dropping-particle":"","parse-names":false,"suffix":""},{"dropping-particle":"","family":"Tnimov","given":"Zakir","non-dropping-particle":"","parse-names":false,"suffix":""},{"dropping-particle":"","family":"Uttamapinant","given":"Chayasith","non-dropping-particle":"","parse-names":false,"suffix":""},{"dropping-particle":"","family":"Rae","given":"Christopher D","non-dropping-particle":"","parse-names":false,"suffix":""},{"dropping-particle":"","family":"Fried","given":"Stephen D","non-dropping-particle":"","parse-names":false,"suffix":""},{"dropping-particle":"","family":"Chin","given":"Jason W","non-dropping-particle":"","parse-names":false,"suffix":""}],"container-title":"Nature","id":"ITEM-1","issue":"7736","issued":{"date-parts":[["2018","12"]]},"page":"444-448","publisher":"Nature Publishing Group","title":"Controlling orthogonal ribosome subunit interactions enables evolution of new function","type":"article-journal","volume":"564"},"uris":["http://www.mendeley.com/documents/?uuid=7cbc3e59-3432-4f4e-aaf0-47c84a2b060c"]}],"mendeley":{"formattedCitation":"(Schmied et al., 2018)","plainTextFormattedCitation":"(Schmied et al., 2018)","previouslyFormattedCitation":"(Schmied et al., 2018)"},"properties":{"noteIndex":0},"schema":"https://github.com/citation-style-language/schema/raw/master/csl-citation.json"}</w:instrText>
      </w:r>
      <w:r w:rsidR="00AF27A4">
        <w:rPr>
          <w:rFonts w:ascii="Times New Roman" w:eastAsia="Times New Roman" w:hAnsi="Times New Roman"/>
          <w:color w:val="000000" w:themeColor="text1"/>
        </w:rPr>
        <w:fldChar w:fldCharType="separate"/>
      </w:r>
      <w:r w:rsidR="00AF27A4" w:rsidRPr="00AF27A4">
        <w:rPr>
          <w:rFonts w:ascii="Times New Roman" w:eastAsia="Times New Roman" w:hAnsi="Times New Roman"/>
          <w:noProof/>
          <w:color w:val="000000" w:themeColor="text1"/>
        </w:rPr>
        <w:t>(Schmied et al., 2018)</w:t>
      </w:r>
      <w:r w:rsidR="00AF27A4">
        <w:rPr>
          <w:rFonts w:ascii="Times New Roman" w:eastAsia="Times New Roman" w:hAnsi="Times New Roman"/>
          <w:color w:val="000000" w:themeColor="text1"/>
        </w:rPr>
        <w:fldChar w:fldCharType="end"/>
      </w:r>
      <w:r w:rsidRPr="1386BD8E">
        <w:rPr>
          <w:rFonts w:ascii="Times New Roman" w:eastAsia="Times New Roman" w:hAnsi="Times New Roman"/>
          <w:color w:val="000000" w:themeColor="text1"/>
        </w:rPr>
        <w:t xml:space="preserve">. </w:t>
      </w:r>
      <w:r w:rsidRPr="1386BD8E">
        <w:rPr>
          <w:rFonts w:ascii="Times New Roman" w:eastAsia="Times New Roman" w:hAnsi="Times New Roman"/>
          <w:i/>
          <w:iCs/>
          <w:color w:val="000000" w:themeColor="text1"/>
        </w:rPr>
        <w:t>De novo</w:t>
      </w:r>
      <w:r w:rsidRPr="1386BD8E">
        <w:rPr>
          <w:rFonts w:ascii="Times New Roman" w:eastAsia="Times New Roman" w:hAnsi="Times New Roman"/>
          <w:color w:val="000000" w:themeColor="text1"/>
        </w:rPr>
        <w:t xml:space="preserve"> design uses computational protein design algorithms to tailor synthetic proteins by using the three-dimensional structures of natural proteins and their folding rules</w:t>
      </w:r>
      <w:r w:rsidR="009B1548" w:rsidRPr="1386BD8E">
        <w:rPr>
          <w:rFonts w:ascii="Times New Roman" w:eastAsia="Times New Roman" w:hAnsi="Times New Roman"/>
          <w:color w:val="000000" w:themeColor="text1"/>
        </w:rPr>
        <w:t>,</w:t>
      </w:r>
      <w:r w:rsidRPr="1386BD8E">
        <w:rPr>
          <w:rFonts w:ascii="Times New Roman" w:eastAsia="Times New Roman" w:hAnsi="Times New Roman"/>
          <w:color w:val="000000" w:themeColor="text1"/>
        </w:rPr>
        <w:t xml:space="preserve"> e.g. </w:t>
      </w:r>
      <w:r w:rsidR="009B1548" w:rsidRPr="1386BD8E">
        <w:rPr>
          <w:rFonts w:ascii="Times New Roman" w:eastAsia="Times New Roman" w:hAnsi="Times New Roman"/>
          <w:color w:val="000000" w:themeColor="text1"/>
        </w:rPr>
        <w:t>t</w:t>
      </w:r>
      <w:r w:rsidRPr="1386BD8E">
        <w:rPr>
          <w:rFonts w:ascii="Times New Roman" w:eastAsia="Times New Roman" w:hAnsi="Times New Roman"/>
          <w:color w:val="000000" w:themeColor="text1"/>
        </w:rPr>
        <w:t xml:space="preserve">he ability to tune protein geometry may enable the custom design of new functions </w:t>
      </w:r>
      <w:r w:rsidR="00AF27A4">
        <w:rPr>
          <w:rFonts w:ascii="Times New Roman" w:eastAsia="Times New Roman" w:hAnsi="Times New Roman"/>
          <w:color w:val="000000" w:themeColor="text1"/>
        </w:rPr>
        <w:fldChar w:fldCharType="begin" w:fldLock="1"/>
      </w:r>
      <w:r w:rsidR="00AF27A4">
        <w:rPr>
          <w:rFonts w:ascii="Times New Roman" w:eastAsia="Times New Roman" w:hAnsi="Times New Roman"/>
          <w:color w:val="000000" w:themeColor="text1"/>
        </w:rPr>
        <w:instrText>ADDIN CSL_CITATION {"citationItems":[{"id":"ITEM-1","itemData":{"DOI":"10.1038/s41586-019-1185-4","ISSN":"14764687","PMID":"31068697","abstract":"Symmetrical protein cages have evolved to fulfil diverse roles in nature, including compartmentalization and cargo delivery1, and have inspired synthetic biologists to create novel protein assemblies via the precise manipulation of protein–protein interfaces. Despite the impressive array of protein cages produced in the laboratory, the design of inducible assemblies remains challenging2,3. Here we demonstrate an ultra-stable artificial protein cage, the assembly and disassembly of which can be controlled by metal coordination at the protein–protein interfaces. The addition of a gold (i)-triphenylphosphine compound to a cysteine-substituted, 11-mer protein ring triggers supramolecular self-assembly, which generates monodisperse cage structures with masses greater than 2 MDa. The geometry of these structures is based on the Archimedean snub cube and is, to our knowledge, unprecedented. Cryo-electron microscopy confirms that the assemblies are held together by 120 S–Aui–S staples between the protein oligomers, and exist in two chiral forms. The cage shows extreme chemical and thermal stability, yet it readily disassembles upon exposure to reducing agents. As well as gold, mercury(ii) is also found to enable formation of the protein cage. This work establishes an approach for linking protein components into robust, higher-order structures, and expands the design space available for supramolecular assemblies to include previously unexplored geometries.","author":[{"dropping-particle":"","family":"Malay","given":"Ali D","non-dropping-particle":"","parse-names":false,"suffix":""},{"dropping-particle":"","family":"Miyazaki","given":"Naoyuki","non-dropping-particle":"","parse-names":false,"suffix":""},{"dropping-particle":"","family":"Biela","given":"Artur","non-dropping-particle":"","parse-names":false,"suffix":""},{"dropping-particle":"","family":"Chakraborti","given":"Soumyananda","non-dropping-particle":"","parse-names":false,"suffix":""},{"dropping-particle":"","family":"Majsterkiewicz","given":"Karolina","non-dropping-particle":"","parse-names":false,"suffix":""},{"dropping-particle":"","family":"Stupka","given":"Izabela","non-dropping-particle":"","parse-names":false,"suffix":""},{"dropping-particle":"","family":"Kaplan","given":"Craig S","non-dropping-particle":"","parse-names":false,"suffix":""},{"dropping-particle":"","family":"Kowalczyk","given":"Agnieszka","non-dropping-particle":"","parse-names":false,"suffix":""},{"dropping-particle":"","family":"Piette","given":"Bernard M A G","non-dropping-particle":"","parse-names":false,"suffix":""},{"dropping-particle":"","family":"Hochberg","given":"Georg K A","non-dropping-particle":"","parse-names":false,"suffix":""},{"dropping-particle":"","family":"Wu","given":"Di","non-dropping-particle":"","parse-names":false,"suffix":""},{"dropping-particle":"","family":"Wrobel","given":"Tomasz P","non-dropping-particle":"","parse-names":false,"suffix":""},{"dropping-particle":"","family":"Fineberg","given":"Adam","non-dropping-particle":"","parse-names":false,"suffix":""},{"dropping-particle":"","family":"Kushwah","given":"Manish S","non-dropping-particle":"","parse-names":false,"suffix":""},{"dropping-particle":"","family":"Kelemen","given":"Mitja","non-dropping-particle":"","parse-names":false,"suffix":""},{"dropping-particle":"","family":"Vavpetič","given":"Primož","non-dropping-particle":"","parse-names":false,"suffix":""},{"dropping-particle":"","family":"Pelicon","given":"Primož","non-dropping-particle":"","parse-names":false,"suffix":""},{"dropping-particle":"","family":"Kukura","given":"Philipp","non-dropping-particle":"","parse-names":false,"suffix":""},{"dropping-particle":"","family":"Benesch","given":"Justin L P","non-dropping-particle":"","parse-names":false,"suffix":""},{"dropping-particle":"","family":"Iwasaki","given":"Kenji","non-dropping-particle":"","parse-names":false,"suffix":""},{"dropping-particle":"","family":"Heddle","given":"Jonathan G","non-dropping-particle":"","parse-names":false,"suffix":""}],"container-title":"Nature","id":"ITEM-1","issue":"7756","issued":{"date-parts":[["2019","5"]]},"page":"438-442","publisher":"Nature Research","title":"An ultra-stable gold-coordinated protein cage displaying reversible assembly","type":"article-journal","volume":"569"},"uris":["http://www.mendeley.com/documents/?uuid=5452f61e-c941-48ff-bc45-44438ee9d577"]},{"id":"ITEM-2","itemData":{"DOI":"10.1126/science.abc0881","ISSN":"10959203","PMID":"32855341","abstract":"Naturally occurring proteins vary the precise geometries of structural elements to create distinct shapes optimal for function. We present a computational design method, loop-helix-loop unit combinatorial sampling (LUCS), that mimics nature's ability to create families of proteins with the same overall fold but precisely tunable geometries. Through near-exhaustive sampling of loop-helix-loop elements, LUCS generates highly diverse geometries encompassing those found in nature but also surpassing known structure space. Biophysical characterization showed that 17 (38%) of 45 tested LUCS designs encompassing two different structural topologies were well folded, including 16 with designed non-native geometries. Four experimentally solved structures closely matched the designs. LUCS greatly expands the designable structure space and offers a new paradigm for designing proteins with tunable geometries that may be customizable for novel functions.","author":[{"dropping-particle":"","family":"Pan","given":"Xingjie","non-dropping-particle":"","parse-names":false,"suffix":""},{"dropping-particle":"","family":"Thompson","given":"Michael C","non-dropping-particle":"","parse-names":false,"suffix":""},{"dropping-particle":"","family":"Zhang","given":"Yang","non-dropping-particle":"","parse-names":false,"suffix":""},{"dropping-particle":"","family":"Liu","given":"Lin","non-dropping-particle":"","parse-names":false,"suffix":""},{"dropping-particle":"","family":"Fraser","given":"James S","non-dropping-particle":"","parse-names":false,"suffix":""},{"dropping-particle":"","family":"Kelly","given":"Mark J S","non-dropping-particle":"","parse-names":false,"suffix":""},{"dropping-particle":"","family":"Kortemme","given":"Tanja","non-dropping-particle":"","parse-names":false,"suffix":""}],"container-title":"Science","id":"ITEM-2","issue":"6507","issued":{"date-parts":[["2020","8"]]},"page":"1132-1136","publisher":"American Association for the Advancement of Science","title":"Expanding the space of protein geometries by computational design of de novo fold families","type":"article-journal","volume":"369"},"uris":["http://www.mendeley.com/documents/?uuid=a91eb5bd-dc8b-4174-b2a6-9e7da4d2892a"]}],"mendeley":{"formattedCitation":"(Malay et al., 2019; Pan et al., 2020)","plainTextFormattedCitation":"(Malay et al., 2019; Pan et al., 2020)","previouslyFormattedCitation":"(Malay et al., 2019; Pan et al., 2020)"},"properties":{"noteIndex":0},"schema":"https://github.com/citation-style-language/schema/raw/master/csl-citation.json"}</w:instrText>
      </w:r>
      <w:r w:rsidR="00AF27A4">
        <w:rPr>
          <w:rFonts w:ascii="Times New Roman" w:eastAsia="Times New Roman" w:hAnsi="Times New Roman"/>
          <w:color w:val="000000" w:themeColor="text1"/>
        </w:rPr>
        <w:fldChar w:fldCharType="separate"/>
      </w:r>
      <w:r w:rsidR="00AF27A4" w:rsidRPr="004325A4">
        <w:rPr>
          <w:rFonts w:ascii="Times New Roman" w:eastAsia="Times New Roman" w:hAnsi="Times New Roman"/>
          <w:noProof/>
          <w:color w:val="000000" w:themeColor="text1"/>
          <w:lang w:val="en-US"/>
        </w:rPr>
        <w:t>(Malay et al., 2019; Pan et al., 2020)</w:t>
      </w:r>
      <w:r w:rsidR="00AF27A4">
        <w:rPr>
          <w:rFonts w:ascii="Times New Roman" w:eastAsia="Times New Roman" w:hAnsi="Times New Roman"/>
          <w:color w:val="000000" w:themeColor="text1"/>
        </w:rPr>
        <w:fldChar w:fldCharType="end"/>
      </w:r>
      <w:r w:rsidRPr="004325A4">
        <w:rPr>
          <w:rFonts w:ascii="Times New Roman" w:eastAsia="Times New Roman" w:hAnsi="Times New Roman"/>
          <w:color w:val="000000" w:themeColor="text1"/>
          <w:lang w:val="en-US"/>
        </w:rPr>
        <w:t>.</w:t>
      </w:r>
      <w:r w:rsidR="004C54D7" w:rsidRPr="004325A4">
        <w:rPr>
          <w:rFonts w:ascii="Times New Roman" w:eastAsia="Times New Roman" w:hAnsi="Times New Roman"/>
          <w:color w:val="000000" w:themeColor="text1"/>
          <w:lang w:val="en-US"/>
        </w:rPr>
        <w:t xml:space="preserve"> </w:t>
      </w:r>
    </w:p>
    <w:p w14:paraId="2A66D71C" w14:textId="4D3837DC" w:rsidR="001C3EE5" w:rsidRDefault="005E6456">
      <w:pPr>
        <w:spacing w:before="120" w:after="120" w:line="240" w:lineRule="auto"/>
        <w:jc w:val="both"/>
        <w:rPr>
          <w:rFonts w:ascii="Times New Roman" w:eastAsia="Times New Roman" w:hAnsi="Times New Roman"/>
          <w:color w:val="000000" w:themeColor="text1"/>
        </w:rPr>
      </w:pPr>
      <w:r w:rsidRPr="00337137">
        <w:rPr>
          <w:rFonts w:ascii="Times New Roman" w:eastAsia="Times New Roman" w:hAnsi="Times New Roman"/>
          <w:color w:val="000000" w:themeColor="text1"/>
        </w:rPr>
        <w:t>These methods have been used to engineer both plant-derived proteins and exogenous proteins heterologously expressed in plants</w:t>
      </w:r>
      <w:r>
        <w:rPr>
          <w:rFonts w:ascii="Times New Roman" w:eastAsia="Times New Roman" w:hAnsi="Times New Roman"/>
          <w:color w:val="000000" w:themeColor="text1"/>
        </w:rPr>
        <w:t xml:space="preserve"> </w:t>
      </w:r>
      <w:r w:rsidR="00AF27A4">
        <w:rPr>
          <w:rFonts w:ascii="Times New Roman" w:eastAsia="Times New Roman" w:hAnsi="Times New Roman"/>
          <w:color w:val="000000" w:themeColor="text1"/>
        </w:rPr>
        <w:fldChar w:fldCharType="begin" w:fldLock="1"/>
      </w:r>
      <w:r w:rsidR="00AA7528">
        <w:rPr>
          <w:rFonts w:ascii="Times New Roman" w:eastAsia="Times New Roman" w:hAnsi="Times New Roman"/>
          <w:color w:val="000000" w:themeColor="text1"/>
        </w:rPr>
        <w:instrText>ADDIN CSL_CITATION {"citationItems":[{"id":"ITEM-1","itemData":{"DOI":"10.1104/pp.18.01534","ISSN":"0032-0889","PMID":"30626612","abstract":"Protein engineering and directed evolution are powerful technologies for probing protein sequencefunction relationships. Thesemethods have been used to engineer both plant-derived proteins and exogenous proteins heterologously expressed in plants. In this review, we aim to further increase the interdisciplinary crossover between the disciplines of protein engineering and plant biology by first introducing protein engineering in some detail. This introduction is key to understanding current limitations to protein engineering when applied to plants. Subsequently, we provide an overview of the recent methodological progress in, and novel applications of, protein engineering and directed evolution in plant research.","author":[{"dropping-particle":"","family":"Engqvist","given":"Martin K.M.","non-dropping-particle":"","parse-names":false,"suffix":""},{"dropping-particle":"","family":"Rabe","given":"Kersten S","non-dropping-particle":"","parse-names":false,"suffix":""}],"container-title":"Plant Physiology","id":"ITEM-1","issue":"3","issued":{"date-parts":[["2019","3"]]},"page":"907-917","publisher":"American Society of Plant Biologists","title":"Applications of Protein Engineering and Directed Evolution in Plant Research","type":"article-journal","volume":"179"},"uris":["http://www.mendeley.com/documents/?uuid=191e65b1-7401-4846-aca1-568e65c13d07"]}],"mendeley":{"formattedCitation":"(Engqvist &amp; Rabe, 2019)","plainTextFormattedCitation":"(Engqvist &amp; Rabe, 2019)","previouslyFormattedCitation":"(Engqvist &amp; Rabe, 2019)"},"properties":{"noteIndex":0},"schema":"https://github.com/citation-style-language/schema/raw/master/csl-citation.json"}</w:instrText>
      </w:r>
      <w:r w:rsidR="00AF27A4">
        <w:rPr>
          <w:rFonts w:ascii="Times New Roman" w:eastAsia="Times New Roman" w:hAnsi="Times New Roman"/>
          <w:color w:val="000000" w:themeColor="text1"/>
        </w:rPr>
        <w:fldChar w:fldCharType="separate"/>
      </w:r>
      <w:r w:rsidR="00AF27A4" w:rsidRPr="00AF27A4">
        <w:rPr>
          <w:rFonts w:ascii="Times New Roman" w:eastAsia="Times New Roman" w:hAnsi="Times New Roman"/>
          <w:noProof/>
          <w:color w:val="000000" w:themeColor="text1"/>
        </w:rPr>
        <w:t>(Engqvist &amp; Rabe, 2019)</w:t>
      </w:r>
      <w:r w:rsidR="00AF27A4">
        <w:rPr>
          <w:rFonts w:ascii="Times New Roman" w:eastAsia="Times New Roman" w:hAnsi="Times New Roman"/>
          <w:color w:val="000000" w:themeColor="text1"/>
        </w:rPr>
        <w:fldChar w:fldCharType="end"/>
      </w:r>
      <w:r>
        <w:rPr>
          <w:rFonts w:ascii="Times New Roman" w:eastAsia="Times New Roman" w:hAnsi="Times New Roman"/>
          <w:color w:val="000000" w:themeColor="text1"/>
        </w:rPr>
        <w:t>. For instance, plant biotechnologists are working on the o</w:t>
      </w:r>
      <w:r w:rsidRPr="00684EDD">
        <w:rPr>
          <w:rFonts w:ascii="Times New Roman" w:eastAsia="Times New Roman" w:hAnsi="Times New Roman"/>
          <w:color w:val="000000" w:themeColor="text1"/>
        </w:rPr>
        <w:t>ptimi</w:t>
      </w:r>
      <w:r w:rsidR="009B1548">
        <w:rPr>
          <w:rFonts w:ascii="Times New Roman" w:eastAsia="Times New Roman" w:hAnsi="Times New Roman"/>
          <w:color w:val="000000" w:themeColor="text1"/>
        </w:rPr>
        <w:t>s</w:t>
      </w:r>
      <w:r w:rsidRPr="00684EDD">
        <w:rPr>
          <w:rFonts w:ascii="Times New Roman" w:eastAsia="Times New Roman" w:hAnsi="Times New Roman"/>
          <w:color w:val="000000" w:themeColor="text1"/>
        </w:rPr>
        <w:t xml:space="preserve">ation of </w:t>
      </w:r>
      <w:r w:rsidRPr="00091EEC">
        <w:rPr>
          <w:rFonts w:ascii="Times New Roman" w:eastAsia="Times New Roman" w:hAnsi="Times New Roman"/>
          <w:i/>
          <w:iCs/>
          <w:color w:val="000000" w:themeColor="text1"/>
        </w:rPr>
        <w:t>Bacillus thuringiensis</w:t>
      </w:r>
      <w:r w:rsidRPr="00684EDD">
        <w:rPr>
          <w:rFonts w:ascii="Times New Roman" w:eastAsia="Times New Roman" w:hAnsi="Times New Roman"/>
          <w:color w:val="000000" w:themeColor="text1"/>
        </w:rPr>
        <w:t xml:space="preserve"> toxin</w:t>
      </w:r>
      <w:r>
        <w:rPr>
          <w:rFonts w:ascii="Times New Roman" w:eastAsia="Times New Roman" w:hAnsi="Times New Roman"/>
          <w:color w:val="000000" w:themeColor="text1"/>
        </w:rPr>
        <w:t xml:space="preserve"> </w:t>
      </w:r>
      <w:r w:rsidR="00AA7528">
        <w:rPr>
          <w:rFonts w:ascii="Times New Roman" w:eastAsia="Times New Roman" w:hAnsi="Times New Roman"/>
          <w:color w:val="000000" w:themeColor="text1"/>
        </w:rPr>
        <w:fldChar w:fldCharType="begin" w:fldLock="1"/>
      </w:r>
      <w:r w:rsidR="00104866">
        <w:rPr>
          <w:rFonts w:ascii="Times New Roman" w:eastAsia="Times New Roman" w:hAnsi="Times New Roman"/>
          <w:color w:val="000000" w:themeColor="text1"/>
        </w:rPr>
        <w:instrText>ADDIN CSL_CITATION {"citationItems":[{"id":"ITEM-1","itemData":{"DOI":"10.1038/nature17938","ISSN":"14764687","PMID":"27120167","abstract":"The Bacillus thuringiensis $δ$-endotoxins (Bt toxins) are widely used insecticidal proteins in engineered crops that provide agricultural, economic, and environmental benefits. The development of insect resistance to Bt toxins endangers their long-term effectiveness. Here we have developed a phage-assisted continuous evolution selection that rapidly evolves high-affinity protein-protein interactions, and applied this system to evolve variants of the Bt toxin Cry1Ac that bind a cadherin-like receptor from the insect pest Trichoplusia ni (TnCAD) that is not natively bound by wild-type Cry1Ac. The resulting evolved Cry1Ac variants bind TnCAD with high affinity (dissociation constant K d = 11-41 nM), kill TnCAD-expressing insect cells that are not susceptible to wild-type Cry1Ac, and kill Cry1Ac-resistant T. ni insects up to 335-fold more potently than wild-type Cry1Ac. Our findings establish that the evolution of Bt toxins with novel insect cell receptor affinity can overcome insect Bt toxin resistance and confer lethality approaching that of the wild-type Bt toxin against non-resistant insects.","author":[{"dropping-particle":"","family":"Badran","given":"Ahmed H","non-dropping-particle":"","parse-names":false,"suffix":""},{"dropping-particle":"","family":"Guzov","given":"Victor M","non-dropping-particle":"","parse-names":false,"suffix":""},{"dropping-particle":"","family":"Huai","given":"Qing","non-dropping-particle":"","parse-names":false,"suffix":""},{"dropping-particle":"","family":"Kemp","given":"Melissa M","non-dropping-particle":"","parse-names":false,"suffix":""},{"dropping-particle":"","family":"Vishwanath","given":"Prashanth","non-dropping-particle":"","parse-names":false,"suffix":""},{"dropping-particle":"","family":"Kain","given":"Wendy","non-dropping-particle":"","parse-names":false,"suffix":""},{"dropping-particle":"","family":"Nance","given":"Autumn M","non-dropping-particle":"","parse-names":false,"suffix":""},{"dropping-particle":"","family":"Evdokimov","given":"Artem","non-dropping-particle":"","parse-names":false,"suffix":""},{"dropping-particle":"","family":"Moshiri","given":"Farhad","non-dropping-particle":"","parse-names":false,"suffix":""},{"dropping-particle":"","family":"Turner","given":"Keith H","non-dropping-particle":"","parse-names":false,"suffix":""},{"dropping-particle":"","family":"Wang","given":"Ping","non-dropping-particle":"","parse-names":false,"suffix":""},{"dropping-particle":"","family":"Malvar","given":"Thomas","non-dropping-particle":"","parse-names":false,"suffix":""},{"dropping-particle":"","family":"Liu","given":"David R","non-dropping-particle":"","parse-names":false,"suffix":""}],"container-title":"Nature","id":"ITEM-1","issue":"7601","issued":{"date-parts":[["2016","5"]]},"page":"58-63","publisher":"Nature Publishing Group","title":"Continuous evolution of Bacillus thuringiensis toxins overcomes insect resistance","type":"article-journal","volume":"533"},"uris":["http://www.mendeley.com/documents/?uuid=2decaa31-ca63-46ad-b1ca-b789c3245e09"]}],"mendeley":{"formattedCitation":"(Badran et al., 2016)","plainTextFormattedCitation":"(Badran et al., 2016)","previouslyFormattedCitation":"(Badran et al., 2016)"},"properties":{"noteIndex":0},"schema":"https://github.com/citation-style-language/schema/raw/master/csl-citation.json"}</w:instrText>
      </w:r>
      <w:r w:rsidR="00AA7528">
        <w:rPr>
          <w:rFonts w:ascii="Times New Roman" w:eastAsia="Times New Roman" w:hAnsi="Times New Roman"/>
          <w:color w:val="000000" w:themeColor="text1"/>
        </w:rPr>
        <w:fldChar w:fldCharType="separate"/>
      </w:r>
      <w:r w:rsidR="00AA7528" w:rsidRPr="00AA7528">
        <w:rPr>
          <w:rFonts w:ascii="Times New Roman" w:eastAsia="Times New Roman" w:hAnsi="Times New Roman"/>
          <w:noProof/>
          <w:color w:val="000000" w:themeColor="text1"/>
        </w:rPr>
        <w:t>(Badran et al., 2016)</w:t>
      </w:r>
      <w:r w:rsidR="00AA7528">
        <w:rPr>
          <w:rFonts w:ascii="Times New Roman" w:eastAsia="Times New Roman" w:hAnsi="Times New Roman"/>
          <w:color w:val="000000" w:themeColor="text1"/>
        </w:rPr>
        <w:fldChar w:fldCharType="end"/>
      </w:r>
      <w:r>
        <w:rPr>
          <w:rFonts w:ascii="Times New Roman" w:eastAsia="Times New Roman" w:hAnsi="Times New Roman"/>
          <w:color w:val="000000" w:themeColor="text1"/>
        </w:rPr>
        <w:t>, the e</w:t>
      </w:r>
      <w:r w:rsidRPr="00E94E1E">
        <w:rPr>
          <w:rFonts w:ascii="Times New Roman" w:eastAsia="Times New Roman" w:hAnsi="Times New Roman"/>
          <w:color w:val="000000" w:themeColor="text1"/>
        </w:rPr>
        <w:t xml:space="preserve">ngineering </w:t>
      </w:r>
      <w:r>
        <w:rPr>
          <w:rFonts w:ascii="Times New Roman" w:eastAsia="Times New Roman" w:hAnsi="Times New Roman"/>
          <w:color w:val="000000" w:themeColor="text1"/>
        </w:rPr>
        <w:t>of e</w:t>
      </w:r>
      <w:r w:rsidRPr="00E94E1E">
        <w:rPr>
          <w:rFonts w:ascii="Times New Roman" w:eastAsia="Times New Roman" w:hAnsi="Times New Roman"/>
          <w:color w:val="000000" w:themeColor="text1"/>
        </w:rPr>
        <w:t xml:space="preserve">nzymes for </w:t>
      </w:r>
      <w:r>
        <w:rPr>
          <w:rFonts w:ascii="Times New Roman" w:eastAsia="Times New Roman" w:hAnsi="Times New Roman"/>
          <w:color w:val="000000" w:themeColor="text1"/>
        </w:rPr>
        <w:t>conferring g</w:t>
      </w:r>
      <w:r w:rsidRPr="00E94E1E">
        <w:rPr>
          <w:rFonts w:ascii="Times New Roman" w:eastAsia="Times New Roman" w:hAnsi="Times New Roman"/>
          <w:color w:val="000000" w:themeColor="text1"/>
        </w:rPr>
        <w:t xml:space="preserve">lyphosate </w:t>
      </w:r>
      <w:r>
        <w:rPr>
          <w:rFonts w:ascii="Times New Roman" w:eastAsia="Times New Roman" w:hAnsi="Times New Roman"/>
          <w:color w:val="000000" w:themeColor="text1"/>
        </w:rPr>
        <w:t>t</w:t>
      </w:r>
      <w:r w:rsidRPr="00E94E1E">
        <w:rPr>
          <w:rFonts w:ascii="Times New Roman" w:eastAsia="Times New Roman" w:hAnsi="Times New Roman"/>
          <w:color w:val="000000" w:themeColor="text1"/>
        </w:rPr>
        <w:t>olerance</w:t>
      </w:r>
      <w:r>
        <w:rPr>
          <w:rFonts w:ascii="Times New Roman" w:eastAsia="Times New Roman" w:hAnsi="Times New Roman"/>
          <w:color w:val="000000" w:themeColor="text1"/>
        </w:rPr>
        <w:t xml:space="preserve"> </w:t>
      </w:r>
      <w:r w:rsidR="00104866">
        <w:rPr>
          <w:rFonts w:ascii="Times New Roman" w:eastAsia="Times New Roman" w:hAnsi="Times New Roman"/>
          <w:color w:val="000000" w:themeColor="text1"/>
        </w:rPr>
        <w:fldChar w:fldCharType="begin" w:fldLock="1"/>
      </w:r>
      <w:r w:rsidR="00104866">
        <w:rPr>
          <w:rFonts w:ascii="Times New Roman" w:eastAsia="Times New Roman" w:hAnsi="Times New Roman"/>
          <w:color w:val="000000" w:themeColor="text1"/>
        </w:rPr>
        <w:instrText>ADDIN CSL_CITATION {"citationItems":[{"id":"ITEM-1","itemData":{"DOI":"10.1111/pbi.12074","ISSN":"14677644","abstract":"A new 5-enolpyruvylshikimate-3-phosphate synthase (EPSPS) gene from Malus domestica (MdEPSPS) was cloned and characterized by rapid amplification of cDNA ends to identify an EPSPS gene appropriate for the development of transgenic glyphosate-tolerant plants. However, wild-type MdEPSPS is not suitable for the development of transgenic glyphosate-tolerant plants because of its poor glyphosate resistance. Thus, we performed DNA shuffling on MdEPSPS, and one highly glyphosate-resistant mutant with mutations in eight amino acids (N63D, N86S, T101A, A187T, D230G, H317R, Y399R and C413A.) was identified after five rounds of DNA shuffling and screening. Among the eight amino acid substitutions on this mutant, only two residue changes (T101A and A187T) were identified by site-directed mutagenesis as essential and additive in altering glyphosate resistance, which was further confirmed by kinetic analyses. The single-site A187T mutation has also never been previously reported as an important residue for glyphosate resistance. Furthermore, transgenic rice was used to confirm the potential of MdEPSPS mutant in developing glyphosate-resistant crops. ©2013 Society for Experimental Biology, Association of Applied Biologists and John Wiley &amp; Sons Ltd.","author":[{"dropping-particle":"","family":"Tian","given":"Yong-Sheng","non-dropping-particle":"","parse-names":false,"suffix":""},{"dropping-particle":"","family":"Xu","given":"Jing","non-dropping-particle":"","parse-names":false,"suffix":""},{"dropping-particle":"","family":"Peng","given":"Ri-He","non-dropping-particle":"","parse-names":false,"suffix":""},{"dropping-particle":"","family":"Xiong","given":"Ai-Sheng","non-dropping-particle":"","parse-names":false,"suffix":""},{"dropping-particle":"","family":"Xu","given":"Hu","non-dropping-particle":"","parse-names":false,"suffix":""},{"dropping-particle":"","family":"Zhao","given":"Wei","non-dropping-particle":"","parse-names":false,"suffix":""},{"dropping-particle":"","family":"Fu","given":"Xiao-Yan","non-dropping-particle":"","parse-names":false,"suffix":""},{"dropping-particle":"","family":"Han","given":"Hong-Juan","non-dropping-particle":"","parse-names":false,"suffix":""},{"dropping-particle":"","family":"Yao","given":"Quan-Hong","non-dropping-particle":"","parse-names":false,"suffix":""}],"container-title":"Plant Biotechnology Journal","id":"ITEM-1","issue":"7","issued":{"date-parts":[["2013","9"]]},"page":"829-838","publisher":"John Wiley &amp; Sons, Ltd","title":"Mutation by DNA shuffling of 5-enolpyruvylshikimate-3-phosphate synthase from &lt;i&gt;Malus domestica&lt;/i&gt;for improved glyphosate resistance","type":"article-journal","volume":"11"},"uris":["http://www.mendeley.com/documents/?uuid=f17475b4-563f-46e9-889d-dc402d750d07"]},{"id":"ITEM-2","itemData":{"DOI":"10.1016/j.jbiotec.2014.05.020","ISSN":"18734863","PMID":"24905148","abstract":"The main strategy for resistance to the herbicide glyphosate in plants is the overexpression of an herbicide insensitive, bacterial 5-enolpyruvylshikimate-3-phosphate synthase (EPSPS). A glyphosate resistance strategy based on the ability to degrade the herbicide can be useful to reduce glyphosate phytotoxicity to the crops. Here we present the characterization of glyphosate resistance in transgenic alfalfa (Medicago sativa L.) expressing a plant-optimized variant of glycine oxidase (GO) from Bacillus subtilis, evolved in vitro by a protein engineering approach to efficiently degrade glyphosate. Two constructs were used, one with (GOTP+) and one without (GOTP-) the pea rbcS plastid transit peptide. Molecular and biochemical analyses confirmed the stable integration of the transgene and the correct localization of the plastid-imported GO protein. Transgenic alfalfa plants were tested for glyphosate resistance both in vitro and in vivo. Two GOTP+ lines showed moderate resistance to the herbicide in both conditions. Optimization of expression of this GO variant may allow to attain sufficient field resistance to glyphosate herbicides, thus providing a resistance strategy based on herbicide degradation. ©2014 Elsevier B.V.","author":[{"dropping-particle":"","family":"Nicolia","given":"A","non-dropping-particle":"","parse-names":false,"suffix":""},{"dropping-particle":"","family":"Ferradini","given":"N","non-dropping-particle":"","parse-names":false,"suffix":""},{"dropping-particle":"","family":"Molla","given":"G","non-dropping-particle":"","parse-names":false,"suffix":""},{"dropping-particle":"","family":"Biagetti","given":"E","non-dropping-particle":"","parse-names":false,"suffix":""},{"dropping-particle":"","family":"Pollegioni","given":"L","non-dropping-particle":"","parse-names":false,"suffix":""},{"dropping-particle":"","family":"Veronesi","given":"F","non-dropping-particle":"","parse-names":false,"suffix":""},{"dropping-particle":"","family":"Rosellini","given":"D","non-dropping-particle":"","parse-names":false,"suffix":""}],"container-title":"Journal of Biotechnology","id":"ITEM-2","issued":{"date-parts":[["2014"]]},"page":"201-208","publisher":"Elsevier B.V.","title":"Expression of an evolved engineered variant of a bacterial glycine oxidase leads to glyphosate resistance in alfalfa","type":"article-journal","volume":"184"},"uris":["http://www.mendeley.com/documents/?uuid=23270605-b787-4ad9-be33-a7e0af4010e5"]},{"id":"ITEM-3","itemData":{"DOI":"10.1016/j.pestbp.2016.12.004","ISSN":"10959939","PMID":"28911747","abstract":"Liriope spicata (Thunb.) Lour has a unique LsEPSPS structure contributing to the highest-ever-recognized natural glyphosate tolerance. The transformed LsEPSPS confers increased glyphosate resistance to E. coli and A. thaliana. However, the increased glyphosate-resistance level is not high enough to be of commercial value. Therefore, LsEPSPS was subjected to error-prone PCR to screen mutant EPSPS genes capable of endowing higher resistance levels. A mutant designated as ELs-EPSPS having five mutated amino acids (37Val, 67Asn, 277Ser, 351Gly and 422Gly) was selected for its ability to confer improved resistance to glyphosate. Expression of ELs-EPSPS in recombinant E. coli BL21 (DE3) strains enhanced resistance to glyphosate in comparison to both the LsEPSPS-transformed and -untransformed controls. Furthermore, transgenic ELs-EPSPS A. thaliana was about 5.4 fold and 2-fold resistance to glyphosate compared with the wild-type and the Ls-EPSPS-transgenic plants, respectively. Therefore, the mutated ELs-EPSPS gene has potential value for has potential for the development of glyphosate-resistant crops.","author":[{"dropping-particle":"","family":"Mao","given":"Chanjuan","non-dropping-particle":"","parse-names":false,"suffix":""},{"dropping-particle":"","family":"Xie","given":"Hongjie","non-dropping-particle":"","parse-names":false,"suffix":""},{"dropping-particle":"","family":"Chen","given":"Shiguo","non-dropping-particle":"","parse-names":false,"suffix":""},{"dropping-particle":"","family":"Valverde","given":"Bernal E.","non-dropping-particle":"","parse-names":false,"suffix":""},{"dropping-particle":"","family":"Qiang","given":"Sheng","non-dropping-particle":"","parse-names":false,"suffix":""}],"container-title":"Pesticide Biochemistry and Physiology","id":"ITEM-3","issued":{"date-parts":[["2017"]]},"page":"90-95","publisher":"Elsevier B.V.","title":"Error-prone PCR mutation of Ls-EPSPS gene from Liriope spicata conferring to its enhanced glyphosate-resistance","type":"article-journal","volume":"141"},"uris":["http://www.mendeley.com/documents/?uuid=8e499d12-98af-405c-acd6-7f29ea07406e"]}],"mendeley":{"formattedCitation":"(Mao et al., 2017; Nicolia et al., 2014; Tian et al., 2013)","plainTextFormattedCitation":"(Mao et al., 2017; Nicolia et al., 2014; Tian et al., 2013)","previouslyFormattedCitation":"(Mao et al., 2017; Nicolia et al., 2014; Tian et al., 2013)"},"properties":{"noteIndex":0},"schema":"https://github.com/citation-style-language/schema/raw/master/csl-citation.json"}</w:instrText>
      </w:r>
      <w:r w:rsidR="00104866">
        <w:rPr>
          <w:rFonts w:ascii="Times New Roman" w:eastAsia="Times New Roman" w:hAnsi="Times New Roman"/>
          <w:color w:val="000000" w:themeColor="text1"/>
        </w:rPr>
        <w:fldChar w:fldCharType="separate"/>
      </w:r>
      <w:r w:rsidR="00104866" w:rsidRPr="00104866">
        <w:rPr>
          <w:rFonts w:ascii="Times New Roman" w:eastAsia="Times New Roman" w:hAnsi="Times New Roman"/>
          <w:noProof/>
          <w:color w:val="000000" w:themeColor="text1"/>
        </w:rPr>
        <w:t>(Mao et al., 2017; Nicolia et al., 2014; Tian et al., 2013)</w:t>
      </w:r>
      <w:r w:rsidR="00104866">
        <w:rPr>
          <w:rFonts w:ascii="Times New Roman" w:eastAsia="Times New Roman" w:hAnsi="Times New Roman"/>
          <w:color w:val="000000" w:themeColor="text1"/>
        </w:rPr>
        <w:fldChar w:fldCharType="end"/>
      </w:r>
      <w:r>
        <w:rPr>
          <w:rFonts w:ascii="Times New Roman" w:eastAsia="Times New Roman" w:hAnsi="Times New Roman"/>
          <w:color w:val="000000" w:themeColor="text1"/>
        </w:rPr>
        <w:t xml:space="preserve">, </w:t>
      </w:r>
      <w:r w:rsidR="009B1548">
        <w:rPr>
          <w:rFonts w:ascii="Times New Roman" w:eastAsia="Times New Roman" w:hAnsi="Times New Roman"/>
          <w:color w:val="000000" w:themeColor="text1"/>
        </w:rPr>
        <w:t>and</w:t>
      </w:r>
      <w:r>
        <w:rPr>
          <w:rFonts w:ascii="Times New Roman" w:eastAsia="Times New Roman" w:hAnsi="Times New Roman"/>
          <w:color w:val="000000" w:themeColor="text1"/>
        </w:rPr>
        <w:t xml:space="preserve"> the improvement of </w:t>
      </w:r>
      <w:r w:rsidR="00693AB9">
        <w:rPr>
          <w:rFonts w:ascii="Times New Roman" w:eastAsia="Times New Roman" w:hAnsi="Times New Roman"/>
          <w:color w:val="000000" w:themeColor="text1"/>
        </w:rPr>
        <w:t>r</w:t>
      </w:r>
      <w:r w:rsidR="003B4448" w:rsidRPr="003B4448">
        <w:rPr>
          <w:rFonts w:ascii="Times New Roman" w:eastAsia="Times New Roman" w:hAnsi="Times New Roman"/>
          <w:color w:val="000000" w:themeColor="text1"/>
        </w:rPr>
        <w:t>ibulose-1,5-bisphosphate carboxylase-oxygenase</w:t>
      </w:r>
      <w:r>
        <w:rPr>
          <w:rFonts w:ascii="Times New Roman" w:eastAsia="Times New Roman" w:hAnsi="Times New Roman"/>
          <w:color w:val="000000" w:themeColor="text1"/>
        </w:rPr>
        <w:t xml:space="preserve"> </w:t>
      </w:r>
      <w:r w:rsidR="001674EA">
        <w:rPr>
          <w:rFonts w:ascii="Times New Roman" w:eastAsia="Times New Roman" w:hAnsi="Times New Roman"/>
          <w:color w:val="000000" w:themeColor="text1"/>
        </w:rPr>
        <w:t xml:space="preserve">(Rubisco) </w:t>
      </w:r>
      <w:r>
        <w:rPr>
          <w:rFonts w:ascii="Times New Roman" w:eastAsia="Times New Roman" w:hAnsi="Times New Roman"/>
          <w:color w:val="000000" w:themeColor="text1"/>
        </w:rPr>
        <w:t xml:space="preserve">performance </w:t>
      </w:r>
      <w:r w:rsidR="00104866">
        <w:rPr>
          <w:rFonts w:ascii="Times New Roman" w:eastAsia="Times New Roman" w:hAnsi="Times New Roman"/>
          <w:color w:val="000000" w:themeColor="text1"/>
        </w:rPr>
        <w:fldChar w:fldCharType="begin" w:fldLock="1"/>
      </w:r>
      <w:r w:rsidR="00104866">
        <w:rPr>
          <w:rFonts w:ascii="Times New Roman" w:eastAsia="Times New Roman" w:hAnsi="Times New Roman"/>
          <w:color w:val="000000" w:themeColor="text1"/>
        </w:rPr>
        <w:instrText>ADDIN CSL_CITATION {"citationItems":[{"id":"ITEM-1","itemData":{"DOI":"10.1007/978-3-319-50413-1_4","ISBN":"9783319504131","abstract":"The photosynthetic enzyme linking the inorganic and organic phases of the biosphere is ribulose-1,5-bisphosphate [RuBP] carboxylase/oxygenase (Rubisco). The complicated catalytic chemistry of Rubisco slows its CO2 fixation rate, allows for competitive inhibition by oxygen and permits the production of misfire products that can self-inhibit activity. Significant effort has been invested into better understanding the structure-function details of Rubisco as improving its performance is recognised as a viable means to enhance the photosynthetic efficiency and yield potential of crops. While rational design approaches have still been unable to provide catalysis enhancing solutions, modern directed evolution tools are posing a promising conduit to improving Rubisco. Advances in the design of effective selection systems for mutagenic Rubisco library screening have strategically increased their focus on using Escherichia coli. The inherent sensitivity of E. coli viability to the pentose sugar substrate of Rubisco, RuBP, is being exploited in an increasingly effective manner to select for Rubisco mutants with increased activity. Here we review the differing directed evolution technologies used to evolve Rubisco, examine the merits of available highthroughput Rubisco-dependent E. coli (RDE) selection systems and postulate approaches for improving their functionality.","author":[{"dropping-particle":"","family":"Wilson","given":"Robert H","non-dropping-particle":"","parse-names":false,"suffix":""},{"dropping-particle":"","family":"Whitney","given":"Spencer M","non-dropping-particle":"","parse-names":false,"suffix":""}],"container-title":"Directed Enzyme Evolution: Advances and Applications","id":"ITEM-1","issued":{"date-parts":[["2017","1"]]},"page":"101-126","publisher":"Springer International Publishing","title":"Improving CO2 fixation by enhancing rubisco performance","type":"chapter"},"uris":["http://www.mendeley.com/documents/?uuid=6c6c0aca-dca7-4348-9348-571510fbd414"]}],"mendeley":{"formattedCitation":"(Wilson &amp; Whitney, 2017)","plainTextFormattedCitation":"(Wilson &amp; Whitney, 2017)","previouslyFormattedCitation":"(Wilson &amp; Whitney, 2017)"},"properties":{"noteIndex":0},"schema":"https://github.com/citation-style-language/schema/raw/master/csl-citation.json"}</w:instrText>
      </w:r>
      <w:r w:rsidR="00104866">
        <w:rPr>
          <w:rFonts w:ascii="Times New Roman" w:eastAsia="Times New Roman" w:hAnsi="Times New Roman"/>
          <w:color w:val="000000" w:themeColor="text1"/>
        </w:rPr>
        <w:fldChar w:fldCharType="separate"/>
      </w:r>
      <w:r w:rsidR="00104866" w:rsidRPr="00104866">
        <w:rPr>
          <w:rFonts w:ascii="Times New Roman" w:eastAsia="Times New Roman" w:hAnsi="Times New Roman"/>
          <w:noProof/>
          <w:color w:val="000000" w:themeColor="text1"/>
        </w:rPr>
        <w:t>(Wilson &amp; Whitney, 2017)</w:t>
      </w:r>
      <w:r w:rsidR="00104866">
        <w:rPr>
          <w:rFonts w:ascii="Times New Roman" w:eastAsia="Times New Roman" w:hAnsi="Times New Roman"/>
          <w:color w:val="000000" w:themeColor="text1"/>
        </w:rPr>
        <w:fldChar w:fldCharType="end"/>
      </w:r>
      <w:r w:rsidRPr="00F61516">
        <w:rPr>
          <w:rFonts w:ascii="Times New Roman" w:eastAsia="Times New Roman" w:hAnsi="Times New Roman"/>
          <w:color w:val="000000" w:themeColor="text1"/>
        </w:rPr>
        <w:t>.</w:t>
      </w:r>
      <w:r w:rsidR="00ED2740">
        <w:rPr>
          <w:rFonts w:ascii="Times New Roman" w:eastAsia="Times New Roman" w:hAnsi="Times New Roman"/>
          <w:color w:val="000000" w:themeColor="text1"/>
        </w:rPr>
        <w:t xml:space="preserve"> </w:t>
      </w:r>
      <w:r w:rsidR="001C3EE5">
        <w:rPr>
          <w:rFonts w:ascii="Times New Roman" w:eastAsia="Times New Roman" w:hAnsi="Times New Roman"/>
          <w:color w:val="000000" w:themeColor="text1"/>
        </w:rPr>
        <w:t>As with DNA and RNA, s</w:t>
      </w:r>
      <w:r w:rsidR="001C3EE5" w:rsidRPr="00DE1F46">
        <w:rPr>
          <w:rFonts w:ascii="Times New Roman" w:eastAsia="Times New Roman" w:hAnsi="Times New Roman"/>
          <w:color w:val="000000" w:themeColor="text1"/>
        </w:rPr>
        <w:t>ynthetic circuits c</w:t>
      </w:r>
      <w:r w:rsidR="001C3EE5">
        <w:rPr>
          <w:rFonts w:ascii="Times New Roman" w:eastAsia="Times New Roman" w:hAnsi="Times New Roman"/>
          <w:color w:val="000000" w:themeColor="text1"/>
        </w:rPr>
        <w:t>an</w:t>
      </w:r>
      <w:r w:rsidR="001C3EE5" w:rsidRPr="00DE1F46">
        <w:rPr>
          <w:rFonts w:ascii="Times New Roman" w:eastAsia="Times New Roman" w:hAnsi="Times New Roman"/>
          <w:color w:val="000000" w:themeColor="text1"/>
        </w:rPr>
        <w:t xml:space="preserve"> be also based </w:t>
      </w:r>
      <w:r w:rsidR="001C3EE5">
        <w:rPr>
          <w:rFonts w:ascii="Times New Roman" w:eastAsia="Times New Roman" w:hAnsi="Times New Roman"/>
          <w:color w:val="000000" w:themeColor="text1"/>
        </w:rPr>
        <w:t>o</w:t>
      </w:r>
      <w:r w:rsidR="001C3EE5" w:rsidRPr="00DE1F46">
        <w:rPr>
          <w:rFonts w:ascii="Times New Roman" w:eastAsia="Times New Roman" w:hAnsi="Times New Roman"/>
          <w:color w:val="000000" w:themeColor="text1"/>
        </w:rPr>
        <w:t>n proteins. Circuits composed of interacting proteins c</w:t>
      </w:r>
      <w:r w:rsidR="001C3EE5">
        <w:rPr>
          <w:rFonts w:ascii="Times New Roman" w:eastAsia="Times New Roman" w:hAnsi="Times New Roman"/>
          <w:color w:val="000000" w:themeColor="text1"/>
        </w:rPr>
        <w:t>an</w:t>
      </w:r>
      <w:r w:rsidR="001C3EE5" w:rsidRPr="00DE1F46">
        <w:rPr>
          <w:rFonts w:ascii="Times New Roman" w:eastAsia="Times New Roman" w:hAnsi="Times New Roman"/>
          <w:color w:val="000000" w:themeColor="text1"/>
        </w:rPr>
        <w:t xml:space="preserve"> be used to bypass gene regulation, interfacing directly with cellular pathways without genome modification. Gao et al. </w:t>
      </w:r>
      <w:r w:rsidR="001C3EE5" w:rsidRPr="00121D97">
        <w:rPr>
          <w:rFonts w:ascii="Times New Roman" w:eastAsia="Times New Roman" w:hAnsi="Times New Roman"/>
          <w:color w:val="000000" w:themeColor="text1"/>
        </w:rPr>
        <w:fldChar w:fldCharType="begin" w:fldLock="1"/>
      </w:r>
      <w:r w:rsidR="00B14CF7">
        <w:rPr>
          <w:rFonts w:ascii="Times New Roman" w:eastAsia="Times New Roman" w:hAnsi="Times New Roman"/>
          <w:color w:val="000000" w:themeColor="text1"/>
        </w:rPr>
        <w:instrText>ADDIN CSL_CITATION {"citationItems":[{"id":"ITEM-1","itemData":{"DOI":"10.1126/science.aat5062","ISSN":"0036-8075","abstract":"Synthetic protein-level circuits could enable engineering of powerful new cellular behaviors. Rational protein circuit design would be facilitated by a composable protein-protein regulation system in which individual protein components can regulate one another to create a variety of different circuit architectures. In this study, we show that engineered viral proteases can function as composable protein components, which can together implement a broad variety of circuit-level functions in mammalian cells. In this system, termed CHOMP (circuits of hacked orthogonal modular proteases), input proteases dock with and cleave target proteases to inhibit their function. These components can be connected to generate regulatory cascades, binary logic gates, and dynamic analog signal-processing functions. To demonstrate the utility of this system, we rationally designed a circuit that induces cell death in response to upstream activators of the Ras oncogene. Because CHOMP circuits can perform complex functions yet be encoded as single transcripts and delivered without genomic integration, they offer a scalable platform to facilitate protein circuit engineering for biotechnological applications.","author":[{"dropping-particle":"","family":"Gao","given":"Xiaojing J.","non-dropping-particle":"","parse-names":false,"suffix":""},{"dropping-particle":"","family":"Chong","given":"Lucy S.","non-dropping-particle":"","parse-names":false,"suffix":""},{"dropping-particle":"","family":"Kim","given":"Matthew S.","non-dropping-particle":"","parse-names":false,"suffix":""},{"dropping-particle":"","family":"Elowitz","given":"Michael B.","non-dropping-particle":"","parse-names":false,"suffix":""}],"container-title":"Science","id":"ITEM-1","issue":"6408","issued":{"date-parts":[["2018","9","21"]]},"page":"1252-1258","title":"Programmable protein circuits in living cells","type":"article-journal","volume":"361"},"uris":["http://www.mendeley.com/documents/?uuid=c2eaaa43-0303-4fe0-9ec1-38fb28dde5d0"]}],"mendeley":{"formattedCitation":"(X. J. Gao et al., 2018)","manualFormatting":"(2018)","plainTextFormattedCitation":"(X. J. Gao et al., 2018)","previouslyFormattedCitation":"(X. J. Gao et al., 2018)"},"properties":{"noteIndex":0},"schema":"https://github.com/citation-style-language/schema/raw/master/csl-citation.json"}</w:instrText>
      </w:r>
      <w:r w:rsidR="001C3EE5" w:rsidRPr="00121D97">
        <w:rPr>
          <w:rFonts w:ascii="Times New Roman" w:eastAsia="Times New Roman" w:hAnsi="Times New Roman"/>
          <w:color w:val="000000" w:themeColor="text1"/>
        </w:rPr>
        <w:fldChar w:fldCharType="separate"/>
      </w:r>
      <w:r w:rsidR="001C3EE5" w:rsidRPr="00DE1F46">
        <w:rPr>
          <w:rFonts w:ascii="Times New Roman" w:eastAsia="Times New Roman" w:hAnsi="Times New Roman"/>
          <w:noProof/>
          <w:color w:val="000000" w:themeColor="text1"/>
        </w:rPr>
        <w:t>(2018)</w:t>
      </w:r>
      <w:r w:rsidR="001C3EE5" w:rsidRPr="00121D97">
        <w:rPr>
          <w:rFonts w:ascii="Times New Roman" w:eastAsia="Times New Roman" w:hAnsi="Times New Roman"/>
          <w:color w:val="000000" w:themeColor="text1"/>
        </w:rPr>
        <w:fldChar w:fldCharType="end"/>
      </w:r>
      <w:r w:rsidR="001C3EE5" w:rsidRPr="00DE1F46">
        <w:rPr>
          <w:rFonts w:ascii="Times New Roman" w:eastAsia="Times New Roman" w:hAnsi="Times New Roman"/>
          <w:color w:val="000000" w:themeColor="text1"/>
        </w:rPr>
        <w:t xml:space="preserve"> and </w:t>
      </w:r>
      <w:r w:rsidR="00690313">
        <w:rPr>
          <w:rFonts w:ascii="Times New Roman" w:eastAsia="Times New Roman" w:hAnsi="Times New Roman"/>
          <w:color w:val="000000" w:themeColor="text1"/>
        </w:rPr>
        <w:t xml:space="preserve">Fink et al. </w:t>
      </w:r>
      <w:r w:rsidR="006F5E5D">
        <w:rPr>
          <w:rFonts w:ascii="Times New Roman" w:eastAsia="Times New Roman" w:hAnsi="Times New Roman"/>
          <w:color w:val="000000" w:themeColor="text1"/>
        </w:rPr>
        <w:fldChar w:fldCharType="begin" w:fldLock="1"/>
      </w:r>
      <w:r w:rsidR="008F6A90">
        <w:rPr>
          <w:rFonts w:ascii="Times New Roman" w:eastAsia="Times New Roman" w:hAnsi="Times New Roman"/>
          <w:color w:val="000000" w:themeColor="text1"/>
        </w:rPr>
        <w:instrText>ADDIN CSL_CITATION {"citationItems":[{"id":"ITEM-1","itemData":{"DOI":"10.1038/s41589-018-0181-6","ISBN":"4158901801816","ISSN":"15524469","PMID":"30531965","abstract":"Cellular signal transduction is predominantly based on protein interactions and their post-translational modifications, which enable a fast response to input signals. Owing to difficulties in designing new unique protein–protein interactions, designed cellular logic has focused on transcriptional regulation; however, that process has a substantially slower response, because it requires transcription and translation. Here, we present de novo design of modular, scalable signaling pathways based on proteolysis and designed coiled coils (CC) and implemented in mammalian cells. A set of split proteases with highly specific orthogonal cleavage motifs was constructed and combined with strategically positioned cleavage sites and designed orthogonal CC dimerizing domains with tunable affinity for competitive displacement after proteolytic cleavage. This framework enabled the implementation of Boolean logic functions and signaling cascades in mammalian cells. The designed split-protease-cleavable orthogonal-CC-based (SPOC) logic circuits enable response to chemical or biological signals within minutes rather than hours and should be useful for diverse medical and nonmedical applications.","author":[{"dropping-particle":"","family":"Fink","given":"Tina","non-dropping-particle":"","parse-names":false,"suffix":""},{"dropping-particle":"","family":"Lonzarić","given":"Jan","non-dropping-particle":"","parse-names":false,"suffix":""},{"dropping-particle":"","family":"Praznik","given":"Arne","non-dropping-particle":"","parse-names":false,"suffix":""},{"dropping-particle":"","family":"Plaper","given":"Tjaša","non-dropping-particle":"","parse-names":false,"suffix":""},{"dropping-particle":"","family":"Merljak","given":"Estera","non-dropping-particle":"","parse-names":false,"suffix":""},{"dropping-particle":"","family":"Leben","given":"Katja","non-dropping-particle":"","parse-names":false,"suffix":""},{"dropping-particle":"","family":"Jerala","given":"Nina","non-dropping-particle":"","parse-names":false,"suffix":""},{"dropping-particle":"","family":"Lebar","given":"Tina","non-dropping-particle":"","parse-names":false,"suffix":""},{"dropping-particle":"","family":"Strmšek","given":"Žiga","non-dropping-particle":"","parse-names":false,"suffix":""},{"dropping-particle":"","family":"Lapenta","given":"Fabio","non-dropping-particle":"","parse-names":false,"suffix":""},{"dropping-particle":"","family":"Benčina","given":"Mojca","non-dropping-particle":"","parse-names":false,"suffix":""},{"dropping-particle":"","family":"Jerala","given":"Roman","non-dropping-particle":"","parse-names":false,"suffix":""}],"container-title":"Nature Chemical Biology","id":"ITEM-1","issue":"2","issued":{"date-parts":[["2019"]]},"page":"115-122","title":"Design of fast proteolysis-based signaling and logic circuits in mammalian cells","type":"article-journal","volume":"15"},"suppress-author":1,"uris":["http://www.mendeley.com/documents/?uuid=b76c7dff-2482-45df-8651-c72756ba2243","http://www.mendeley.com/documents/?uuid=290bfdd8-c0cc-4d92-ada6-53e98bb7dd30","http://www.mendeley.com/documents/?uuid=ce69fe24-51dc-49fb-8140-5c2e0cee7110"]}],"mendeley":{"formattedCitation":"(2019)","plainTextFormattedCitation":"(2019)","previouslyFormattedCitation":"(2019)"},"properties":{"noteIndex":0},"schema":"https://github.com/citation-style-language/schema/raw/master/csl-citation.json"}</w:instrText>
      </w:r>
      <w:r w:rsidR="006F5E5D">
        <w:rPr>
          <w:rFonts w:ascii="Times New Roman" w:eastAsia="Times New Roman" w:hAnsi="Times New Roman"/>
          <w:color w:val="000000" w:themeColor="text1"/>
        </w:rPr>
        <w:fldChar w:fldCharType="separate"/>
      </w:r>
      <w:r w:rsidR="00690313" w:rsidRPr="00690313">
        <w:rPr>
          <w:rFonts w:ascii="Times New Roman" w:eastAsia="Times New Roman" w:hAnsi="Times New Roman"/>
          <w:noProof/>
          <w:color w:val="000000" w:themeColor="text1"/>
        </w:rPr>
        <w:t>(2019)</w:t>
      </w:r>
      <w:r w:rsidR="006F5E5D">
        <w:rPr>
          <w:rFonts w:ascii="Times New Roman" w:eastAsia="Times New Roman" w:hAnsi="Times New Roman"/>
          <w:color w:val="000000" w:themeColor="text1"/>
        </w:rPr>
        <w:fldChar w:fldCharType="end"/>
      </w:r>
      <w:r w:rsidR="001C3EE5" w:rsidRPr="00DE1F46">
        <w:rPr>
          <w:rFonts w:ascii="Times New Roman" w:eastAsia="Times New Roman" w:hAnsi="Times New Roman"/>
          <w:color w:val="000000" w:themeColor="text1"/>
        </w:rPr>
        <w:t xml:space="preserve"> engineered proteases that regulate one another, respond to diverse inputs, process signals, and conditionally activate responses in mammalian cells. These platforms should facilitate </w:t>
      </w:r>
      <w:r w:rsidR="001C3EE5">
        <w:rPr>
          <w:rFonts w:ascii="Times New Roman" w:eastAsia="Times New Roman" w:hAnsi="Times New Roman"/>
          <w:color w:val="000000" w:themeColor="text1"/>
        </w:rPr>
        <w:t xml:space="preserve">the </w:t>
      </w:r>
      <w:r w:rsidR="001C3EE5" w:rsidRPr="00DE1F46">
        <w:rPr>
          <w:rFonts w:ascii="Times New Roman" w:eastAsia="Times New Roman" w:hAnsi="Times New Roman"/>
          <w:color w:val="000000" w:themeColor="text1"/>
        </w:rPr>
        <w:t xml:space="preserve">development of “smart” therapeutic circuits for future biomedical applications </w:t>
      </w:r>
      <w:r w:rsidR="00107C8D">
        <w:rPr>
          <w:rFonts w:ascii="Times New Roman" w:eastAsia="Times New Roman" w:hAnsi="Times New Roman"/>
          <w:color w:val="000000" w:themeColor="text1"/>
        </w:rPr>
        <w:fldChar w:fldCharType="begin" w:fldLock="1"/>
      </w:r>
      <w:r w:rsidR="003730D3">
        <w:rPr>
          <w:rFonts w:ascii="Times New Roman" w:eastAsia="Times New Roman" w:hAnsi="Times New Roman"/>
          <w:color w:val="000000" w:themeColor="text1"/>
        </w:rPr>
        <w:instrText>ADDIN CSL_CITATION {"citationItems":[{"id":"ITEM-1","itemData":{"DOI":"10.1038/s41568-019-0121-0","ISSN":"1474-1768","abstract":"Engineered immune-cell-based cancer therapies have demonstrated robust efficacy in B cell malignancies, but challenges such as the lack of ideal targetable tumour antigens, tumour-mediated immunosuppression and severe toxicity still hinder their therapeutic efficacy and broad applicability. Synthetic biology can be used to overcome these challenges and create more robust, effective adaptive therapies that enable the specific targeting of cancer cells while sparing healthy cells. In this Progress article, we review recently developed gene circuit therapies for cancer using immune cells, nucleic acids and bacteria as chassis. We conclude by discussing outstanding challenges and future directions for realizing these gene circuit therapies in the clinic.","author":[{"dropping-particle":"","family":"Wu","given":"Ming-Ru","non-dropping-particle":"","parse-names":false,"suffix":""},{"dropping-particle":"","family":"Jusiak","given":"Barbara","non-dropping-particle":"","parse-names":false,"suffix":""},{"dropping-particle":"","family":"Lu","given":"Timothy K","non-dropping-particle":"","parse-names":false,"suffix":""}],"container-title":"Nature Reviews Cancer","id":"ITEM-1","issue":"4","issued":{"date-parts":[["2019"]]},"page":"187-195","title":"Engineering advanced cancer therapies with synthetic biology","type":"article-journal","volume":"19"},"uris":["http://www.mendeley.com/documents/?uuid=453a3904-51af-4c92-969e-3a2ea3b96a3d"]}],"mendeley":{"formattedCitation":"(M.-R. Wu et al., 2019)","plainTextFormattedCitation":"(M.-R. Wu et al., 2019)","previouslyFormattedCitation":"(M.-R. Wu et al., 2019)"},"properties":{"noteIndex":0},"schema":"https://github.com/citation-style-language/schema/raw/master/csl-citation.json"}</w:instrText>
      </w:r>
      <w:r w:rsidR="00107C8D">
        <w:rPr>
          <w:rFonts w:ascii="Times New Roman" w:eastAsia="Times New Roman" w:hAnsi="Times New Roman"/>
          <w:color w:val="000000" w:themeColor="text1"/>
        </w:rPr>
        <w:fldChar w:fldCharType="separate"/>
      </w:r>
      <w:r w:rsidR="003730D3" w:rsidRPr="003730D3">
        <w:rPr>
          <w:rFonts w:ascii="Times New Roman" w:eastAsia="Times New Roman" w:hAnsi="Times New Roman"/>
          <w:noProof/>
          <w:color w:val="000000" w:themeColor="text1"/>
        </w:rPr>
        <w:t>(M.-R. Wu et al., 2019)</w:t>
      </w:r>
      <w:r w:rsidR="00107C8D">
        <w:rPr>
          <w:rFonts w:ascii="Times New Roman" w:eastAsia="Times New Roman" w:hAnsi="Times New Roman"/>
          <w:color w:val="000000" w:themeColor="text1"/>
        </w:rPr>
        <w:fldChar w:fldCharType="end"/>
      </w:r>
      <w:r w:rsidR="001C3EE5" w:rsidRPr="00DE1F46">
        <w:rPr>
          <w:rFonts w:ascii="Times New Roman" w:eastAsia="Times New Roman" w:hAnsi="Times New Roman"/>
          <w:color w:val="000000" w:themeColor="text1"/>
        </w:rPr>
        <w:t>.</w:t>
      </w:r>
      <w:r w:rsidR="001C3EE5">
        <w:rPr>
          <w:rFonts w:ascii="Times New Roman" w:eastAsia="Times New Roman" w:hAnsi="Times New Roman"/>
          <w:color w:val="000000" w:themeColor="text1"/>
        </w:rPr>
        <w:t xml:space="preserve"> In another example, Bashor et al. </w:t>
      </w:r>
      <w:r w:rsidR="00104866">
        <w:rPr>
          <w:rFonts w:ascii="Times New Roman" w:eastAsia="Times New Roman" w:hAnsi="Times New Roman"/>
          <w:color w:val="000000" w:themeColor="text1"/>
        </w:rPr>
        <w:fldChar w:fldCharType="begin" w:fldLock="1"/>
      </w:r>
      <w:r w:rsidR="001B67F2">
        <w:rPr>
          <w:rFonts w:ascii="Times New Roman" w:eastAsia="Times New Roman" w:hAnsi="Times New Roman"/>
          <w:color w:val="000000" w:themeColor="text1"/>
        </w:rPr>
        <w:instrText>ADDIN CSL_CITATION {"citationItems":[{"id":"ITEM-1","itemData":{"DOI":"10.1126/science.aau8287","ISSN":"10959203","PMID":"31000590","abstract":"Eukaryotic genes are regulated by multivalent transcription factor complexes. Through cooperative self-assembly, these complexes perform nonlinear regulatory operations involved in cellular decision-making and signal processing. In this study, we apply this design principle to synthetic networks, testing whether engineered cooperative assemblies can program nonlinear gene circuit behavior in yeast. Using a model-guided approach, we show that specifying the strength and number of assembly subunits enables predictive tuning between linear and nonlinear regulatory responses for single- and multi-input circuits. We demonstrate that assemblies can be adjusted to control circuit dynamics. We harness this capability to engineer circuits that perform dynamic filtering, enabling frequency-dependent decoding in cell populations. Programmable cooperative assembly provides a versatile way to tune the nonlinearity of network connections, markedly expanding the engineerable behaviors available to synthetic circuits.","author":[{"dropping-particle":"","family":"Bashor","given":"Caleb J","non-dropping-particle":"","parse-names":false,"suffix":""},{"dropping-particle":"","family":"Patel","given":"Nikit","non-dropping-particle":"","parse-names":false,"suffix":""},{"dropping-particle":"","family":"Choubey","given":"Sandeep","non-dropping-particle":"","parse-names":false,"suffix":""},{"dropping-particle":"","family":"Beyzavi","given":"Ali","non-dropping-particle":"","parse-names":false,"suffix":""},{"dropping-particle":"","family":"Kondev","given":"Jané","non-dropping-particle":"","parse-names":false,"suffix":""},{"dropping-particle":"","family":"Collins","given":"James J","non-dropping-particle":"","parse-names":false,"suffix":""},{"dropping-particle":"","family":"Khalil","given":"Ahmad S","non-dropping-particle":"","parse-names":false,"suffix":""}],"container-title":"Science","id":"ITEM-1","issue":"6440","issued":{"date-parts":[["2019","5"]]},"page":"593-597","publisher":"American Association for the Advancement of Science","title":"Complex signal processing in synthetic gene circuits using cooperative regulatory assemblies","type":"article-journal","volume":"364"},"uris":["http://www.mendeley.com/documents/?uuid=94c64b2d-0691-47ff-b640-e59804099a69"]}],"mendeley":{"formattedCitation":"(Bashor et al., 2019)","manualFormatting":"(2019)","plainTextFormattedCitation":"(Bashor et al., 2019)","previouslyFormattedCitation":"(Bashor et al., 2019)"},"properties":{"noteIndex":0},"schema":"https://github.com/citation-style-language/schema/raw/master/csl-citation.json"}</w:instrText>
      </w:r>
      <w:r w:rsidR="00104866">
        <w:rPr>
          <w:rFonts w:ascii="Times New Roman" w:eastAsia="Times New Roman" w:hAnsi="Times New Roman"/>
          <w:color w:val="000000" w:themeColor="text1"/>
        </w:rPr>
        <w:fldChar w:fldCharType="separate"/>
      </w:r>
      <w:r w:rsidR="00104866" w:rsidRPr="00104866">
        <w:rPr>
          <w:rFonts w:ascii="Times New Roman" w:eastAsia="Times New Roman" w:hAnsi="Times New Roman"/>
          <w:noProof/>
          <w:color w:val="000000" w:themeColor="text1"/>
        </w:rPr>
        <w:t>(2019)</w:t>
      </w:r>
      <w:r w:rsidR="00104866">
        <w:rPr>
          <w:rFonts w:ascii="Times New Roman" w:eastAsia="Times New Roman" w:hAnsi="Times New Roman"/>
          <w:color w:val="000000" w:themeColor="text1"/>
        </w:rPr>
        <w:fldChar w:fldCharType="end"/>
      </w:r>
      <w:r w:rsidR="001C3EE5">
        <w:rPr>
          <w:rFonts w:ascii="Times New Roman" w:eastAsia="Times New Roman" w:hAnsi="Times New Roman"/>
          <w:color w:val="000000" w:themeColor="text1"/>
        </w:rPr>
        <w:t xml:space="preserve"> </w:t>
      </w:r>
      <w:r w:rsidR="001C3EE5" w:rsidRPr="006F3AFB">
        <w:rPr>
          <w:rFonts w:ascii="Times New Roman" w:eastAsia="Times New Roman" w:hAnsi="Times New Roman"/>
          <w:color w:val="000000" w:themeColor="text1"/>
        </w:rPr>
        <w:t>created synthetic circuits with desired functions</w:t>
      </w:r>
      <w:r w:rsidR="001C3EE5">
        <w:rPr>
          <w:rFonts w:ascii="Times New Roman" w:eastAsia="Times New Roman" w:hAnsi="Times New Roman"/>
          <w:color w:val="000000" w:themeColor="text1"/>
        </w:rPr>
        <w:t xml:space="preserve">, based on </w:t>
      </w:r>
      <w:r w:rsidR="001C3EE5" w:rsidRPr="005840FF">
        <w:rPr>
          <w:rFonts w:ascii="Times New Roman" w:eastAsia="Times New Roman" w:hAnsi="Times New Roman"/>
          <w:color w:val="000000" w:themeColor="text1"/>
        </w:rPr>
        <w:t>clamp proteins with multiple protein-interaction domains</w:t>
      </w:r>
      <w:r w:rsidR="001C3EE5">
        <w:rPr>
          <w:rFonts w:ascii="Times New Roman" w:eastAsia="Times New Roman" w:hAnsi="Times New Roman"/>
          <w:color w:val="000000" w:themeColor="text1"/>
        </w:rPr>
        <w:t>, to p</w:t>
      </w:r>
      <w:r w:rsidR="001C3EE5" w:rsidRPr="005840FF">
        <w:rPr>
          <w:rFonts w:ascii="Times New Roman" w:eastAsia="Times New Roman" w:hAnsi="Times New Roman"/>
          <w:color w:val="000000" w:themeColor="text1"/>
        </w:rPr>
        <w:t>roduce non</w:t>
      </w:r>
      <w:r w:rsidR="001C3EE5">
        <w:rPr>
          <w:rFonts w:ascii="Times New Roman" w:eastAsia="Times New Roman" w:hAnsi="Times New Roman"/>
          <w:color w:val="000000" w:themeColor="text1"/>
        </w:rPr>
        <w:t>-</w:t>
      </w:r>
      <w:r w:rsidR="001C3EE5" w:rsidRPr="005840FF">
        <w:rPr>
          <w:rFonts w:ascii="Times New Roman" w:eastAsia="Times New Roman" w:hAnsi="Times New Roman"/>
          <w:color w:val="000000" w:themeColor="text1"/>
        </w:rPr>
        <w:t>linear behaviour from cooperativity</w:t>
      </w:r>
      <w:r w:rsidR="001C3EE5">
        <w:rPr>
          <w:rFonts w:ascii="Times New Roman" w:eastAsia="Times New Roman" w:hAnsi="Times New Roman"/>
          <w:color w:val="000000" w:themeColor="text1"/>
        </w:rPr>
        <w:t>.</w:t>
      </w:r>
    </w:p>
    <w:p w14:paraId="757BA797" w14:textId="00EFF7B9" w:rsidR="008549A5" w:rsidRPr="00DE1F46" w:rsidRDefault="00122865" w:rsidP="005E6456">
      <w:pPr>
        <w:spacing w:before="120" w:after="120" w:line="240" w:lineRule="auto"/>
        <w:jc w:val="both"/>
        <w:rPr>
          <w:rFonts w:ascii="Times New Roman" w:eastAsia="Times New Roman" w:hAnsi="Times New Roman"/>
          <w:color w:val="000000" w:themeColor="text1"/>
        </w:rPr>
      </w:pPr>
      <w:r>
        <w:rPr>
          <w:rFonts w:ascii="Times New Roman" w:eastAsia="Times New Roman" w:hAnsi="Times New Roman"/>
          <w:color w:val="000000" w:themeColor="text1"/>
        </w:rPr>
        <w:t>To further optimize the engineering of protein</w:t>
      </w:r>
      <w:r w:rsidR="00693AB9">
        <w:rPr>
          <w:rFonts w:ascii="Times New Roman" w:eastAsia="Times New Roman" w:hAnsi="Times New Roman"/>
          <w:color w:val="000000" w:themeColor="text1"/>
        </w:rPr>
        <w:t>, a</w:t>
      </w:r>
      <w:r w:rsidR="005E6456">
        <w:rPr>
          <w:rFonts w:ascii="Times New Roman" w:eastAsia="Times New Roman" w:hAnsi="Times New Roman"/>
          <w:color w:val="000000" w:themeColor="text1"/>
        </w:rPr>
        <w:t xml:space="preserve">rtificial intelligence is being applied. Multiple </w:t>
      </w:r>
      <w:r w:rsidR="005E6456" w:rsidRPr="005B64B1">
        <w:rPr>
          <w:rFonts w:ascii="Times New Roman" w:eastAsia="Times New Roman" w:hAnsi="Times New Roman"/>
          <w:color w:val="000000" w:themeColor="text1"/>
        </w:rPr>
        <w:t>physicochemical properties must be simultaneously optimi</w:t>
      </w:r>
      <w:r w:rsidR="00D81B8C">
        <w:rPr>
          <w:rFonts w:ascii="Times New Roman" w:eastAsia="Times New Roman" w:hAnsi="Times New Roman"/>
          <w:color w:val="000000" w:themeColor="text1"/>
        </w:rPr>
        <w:t>s</w:t>
      </w:r>
      <w:r w:rsidR="005E6456" w:rsidRPr="005B64B1">
        <w:rPr>
          <w:rFonts w:ascii="Times New Roman" w:eastAsia="Times New Roman" w:hAnsi="Times New Roman"/>
          <w:color w:val="000000" w:themeColor="text1"/>
        </w:rPr>
        <w:t>ed in a broad design space of protein sequences and buffer compositions. In this context, artificial intelligence</w:t>
      </w:r>
      <w:r w:rsidR="005E6456">
        <w:rPr>
          <w:rFonts w:ascii="Times New Roman" w:eastAsia="Times New Roman" w:hAnsi="Times New Roman"/>
          <w:color w:val="000000" w:themeColor="text1"/>
        </w:rPr>
        <w:t xml:space="preserve">, </w:t>
      </w:r>
      <w:r w:rsidR="005E6456" w:rsidRPr="005B64B1">
        <w:rPr>
          <w:rFonts w:ascii="Times New Roman" w:eastAsia="Times New Roman" w:hAnsi="Times New Roman"/>
          <w:color w:val="000000" w:themeColor="text1"/>
        </w:rPr>
        <w:t>and especially machine learning, have great potential to accelerate and improve the optimi</w:t>
      </w:r>
      <w:r w:rsidR="00D81B8C">
        <w:rPr>
          <w:rFonts w:ascii="Times New Roman" w:eastAsia="Times New Roman" w:hAnsi="Times New Roman"/>
          <w:color w:val="000000" w:themeColor="text1"/>
        </w:rPr>
        <w:t>s</w:t>
      </w:r>
      <w:r w:rsidR="005E6456" w:rsidRPr="005B64B1">
        <w:rPr>
          <w:rFonts w:ascii="Times New Roman" w:eastAsia="Times New Roman" w:hAnsi="Times New Roman"/>
          <w:color w:val="000000" w:themeColor="text1"/>
        </w:rPr>
        <w:t>ation of protein properties, increasing their activity and safety as well as decreasing their development time and manufacturing costs</w:t>
      </w:r>
      <w:r w:rsidR="005E6456">
        <w:rPr>
          <w:rFonts w:ascii="Times New Roman" w:eastAsia="Times New Roman" w:hAnsi="Times New Roman"/>
          <w:color w:val="000000" w:themeColor="text1"/>
        </w:rPr>
        <w:t xml:space="preserve"> </w:t>
      </w:r>
      <w:r w:rsidR="00107C8D">
        <w:rPr>
          <w:rFonts w:ascii="Times New Roman" w:eastAsia="Times New Roman" w:hAnsi="Times New Roman"/>
          <w:color w:val="000000" w:themeColor="text1"/>
        </w:rPr>
        <w:fldChar w:fldCharType="begin" w:fldLock="1"/>
      </w:r>
      <w:r w:rsidR="00107C8D">
        <w:rPr>
          <w:rFonts w:ascii="Times New Roman" w:eastAsia="Times New Roman" w:hAnsi="Times New Roman"/>
          <w:color w:val="000000" w:themeColor="text1"/>
        </w:rPr>
        <w:instrText>ADDIN CSL_CITATION {"citationItems":[{"id":"ITEM-1","itemData":{"DOI":"10.1016/j.tips.2020.12.004","ISSN":"18733735","PMID":"33500170","abstract":"Successful biologics must satisfy multiple properties including activity and particular physicochemical features that are globally defined as developability. These multiple properties must be simultaneously optimized in a very broad design space of protein sequences and buffer compositions. In this context, artificial intelligence (AI), and especially machine learning (ML), have great potential to accelerate and improve the optimization of protein properties, increasing their activity and safety as well as decreasing their development time and manufacturing costs. We highlight the emerging applications of ML in biologics discovery and development, focusing on protein engineering, early biophysical screening, and formulation. We discuss the power of ML in extracting information from complex datasets and in reducing the necessary experimental effort to simultaneously achieve multiple quality targets. We finally anticipate possible future interventions of AI in several steps of the biological landscape.","author":[{"dropping-particle":"","family":"Narayanan","given":"Harini","non-dropping-particle":"","parse-names":false,"suffix":""},{"dropping-particle":"","family":"Dingfelder","given":"Fabian","non-dropping-particle":"","parse-names":false,"suffix":""},{"dropping-particle":"","family":"Butté","given":"Alessandro","non-dropping-particle":"","parse-names":false,"suffix":""},{"dropping-particle":"","family":"Lorenzen","given":"Nikolai","non-dropping-particle":"","parse-names":false,"suffix":""},{"dropping-particle":"","family":"Sokolov","given":"Michael","non-dropping-particle":"","parse-names":false,"suffix":""},{"dropping-particle":"","family":"Arosio","given":"Paolo","non-dropping-particle":"","parse-names":false,"suffix":""}],"container-title":"Trends in Pharmacological Sciences","id":"ITEM-1","issue":"3","issued":{"date-parts":[["2021","3"]]},"page":"151-165","publisher":"Elsevier Ltd","title":"Machine Learning for Biologics: Opportunities for Protein Engineering, Developability, and Formulation","type":"article","volume":"42"},"uris":["http://www.mendeley.com/documents/?uuid=a7c0a6de-1eb4-40d3-9b23-ca1d07738e76"]}],"mendeley":{"formattedCitation":"(Narayanan et al., 2021)","plainTextFormattedCitation":"(Narayanan et al., 2021)","previouslyFormattedCitation":"(Narayanan et al., 2021)"},"properties":{"noteIndex":0},"schema":"https://github.com/citation-style-language/schema/raw/master/csl-citation.json"}</w:instrText>
      </w:r>
      <w:r w:rsidR="00107C8D">
        <w:rPr>
          <w:rFonts w:ascii="Times New Roman" w:eastAsia="Times New Roman" w:hAnsi="Times New Roman"/>
          <w:color w:val="000000" w:themeColor="text1"/>
        </w:rPr>
        <w:fldChar w:fldCharType="separate"/>
      </w:r>
      <w:r w:rsidR="00107C8D" w:rsidRPr="00107C8D">
        <w:rPr>
          <w:rFonts w:ascii="Times New Roman" w:eastAsia="Times New Roman" w:hAnsi="Times New Roman"/>
          <w:noProof/>
          <w:color w:val="000000" w:themeColor="text1"/>
        </w:rPr>
        <w:t>(Narayanan et al., 2021)</w:t>
      </w:r>
      <w:r w:rsidR="00107C8D">
        <w:rPr>
          <w:rFonts w:ascii="Times New Roman" w:eastAsia="Times New Roman" w:hAnsi="Times New Roman"/>
          <w:color w:val="000000" w:themeColor="text1"/>
        </w:rPr>
        <w:fldChar w:fldCharType="end"/>
      </w:r>
      <w:r w:rsidR="005E6456">
        <w:rPr>
          <w:rFonts w:ascii="Times New Roman" w:eastAsia="Times New Roman" w:hAnsi="Times New Roman"/>
          <w:color w:val="000000" w:themeColor="text1"/>
        </w:rPr>
        <w:t>. For instance, a u</w:t>
      </w:r>
      <w:r w:rsidR="005E6456" w:rsidRPr="00CF0EC1">
        <w:rPr>
          <w:rFonts w:ascii="Times New Roman" w:eastAsia="Times New Roman" w:hAnsi="Times New Roman"/>
          <w:color w:val="000000" w:themeColor="text1"/>
        </w:rPr>
        <w:t>nified rational protein engineering with sequence-based deep representation learning</w:t>
      </w:r>
      <w:r w:rsidR="005E6456">
        <w:rPr>
          <w:rFonts w:ascii="Times New Roman" w:eastAsia="Times New Roman" w:hAnsi="Times New Roman"/>
          <w:color w:val="000000" w:themeColor="text1"/>
        </w:rPr>
        <w:t xml:space="preserve"> </w:t>
      </w:r>
      <w:r w:rsidR="00107C8D">
        <w:rPr>
          <w:rFonts w:ascii="Times New Roman" w:eastAsia="Times New Roman" w:hAnsi="Times New Roman"/>
          <w:color w:val="000000" w:themeColor="text1"/>
        </w:rPr>
        <w:fldChar w:fldCharType="begin" w:fldLock="1"/>
      </w:r>
      <w:r w:rsidR="00EE464A">
        <w:rPr>
          <w:rFonts w:ascii="Times New Roman" w:eastAsia="Times New Roman" w:hAnsi="Times New Roman"/>
          <w:color w:val="000000" w:themeColor="text1"/>
        </w:rPr>
        <w:instrText>ADDIN CSL_CITATION {"citationItems":[{"id":"ITEM-1","itemData":{"DOI":"10.1038/s41592-019-0598-1","ISSN":"15487105","PMID":"31636460","abstract":"Rational protein engineering requires a holistic understanding of protein function. Here, we apply deep learning to unlabeled amino-acid sequences to distill the fundamental features of a protein into a statistical representation that is semantically rich and structurally, evolutionarily and biophysically grounded. We show that the simplest models built on top of this unified representation (UniRep) are broadly applicable and generalize to unseen regions of sequence space. Our data-driven approach predicts the stability of natural and de novo designed proteins, and the quantitative function of molecularly diverse mutants, competitively with the state-of-the-art methods. UniRep further enables two orders of magnitude efficiency improvement in a protein engineering task. UniRep is a versatile summary of fundamental protein features that can be applied across protein engineering informatics.","author":[{"dropping-particle":"","family":"Alley","given":"Ethan C","non-dropping-particle":"","parse-names":false,"suffix":""},{"dropping-particle":"","family":"Khimulya","given":"Grigory","non-dropping-particle":"","parse-names":false,"suffix":""},{"dropping-particle":"","family":"Biswas","given":"Surojit","non-dropping-particle":"","parse-names":false,"suffix":""},{"dropping-particle":"","family":"AlQuraishi","given":"Mohammed","non-dropping-particle":"","parse-names":false,"suffix":""},{"dropping-particle":"","family":"Church","given":"George M","non-dropping-particle":"","parse-names":false,"suffix":""}],"container-title":"Nature Methods","id":"ITEM-1","issue":"12","issued":{"date-parts":[["2019","12"]]},"page":"1315-1322","publisher":"Nature Research","title":"Unified rational protein engineering with sequence-based deep representation learning","type":"article-journal","volume":"16"},"uris":["http://www.mendeley.com/documents/?uuid=1a9178d5-9ca5-426b-886f-4d0a58da06b9"]}],"mendeley":{"formattedCitation":"(Alley et al., 2019)","plainTextFormattedCitation":"(Alley et al., 2019)","previouslyFormattedCitation":"(Alley et al., 2019)"},"properties":{"noteIndex":0},"schema":"https://github.com/citation-style-language/schema/raw/master/csl-citation.json"}</w:instrText>
      </w:r>
      <w:r w:rsidR="00107C8D">
        <w:rPr>
          <w:rFonts w:ascii="Times New Roman" w:eastAsia="Times New Roman" w:hAnsi="Times New Roman"/>
          <w:color w:val="000000" w:themeColor="text1"/>
        </w:rPr>
        <w:fldChar w:fldCharType="separate"/>
      </w:r>
      <w:r w:rsidR="00107C8D" w:rsidRPr="00107C8D">
        <w:rPr>
          <w:rFonts w:ascii="Times New Roman" w:eastAsia="Times New Roman" w:hAnsi="Times New Roman"/>
          <w:noProof/>
          <w:color w:val="000000" w:themeColor="text1"/>
        </w:rPr>
        <w:t>(Alley et al., 2019)</w:t>
      </w:r>
      <w:r w:rsidR="00107C8D">
        <w:rPr>
          <w:rFonts w:ascii="Times New Roman" w:eastAsia="Times New Roman" w:hAnsi="Times New Roman"/>
          <w:color w:val="000000" w:themeColor="text1"/>
        </w:rPr>
        <w:fldChar w:fldCharType="end"/>
      </w:r>
      <w:r w:rsidR="005E6456">
        <w:rPr>
          <w:rFonts w:ascii="Times New Roman" w:eastAsia="Times New Roman" w:hAnsi="Times New Roman"/>
          <w:color w:val="000000" w:themeColor="text1"/>
        </w:rPr>
        <w:t xml:space="preserve"> </w:t>
      </w:r>
      <w:r w:rsidR="00D81B8C">
        <w:rPr>
          <w:rFonts w:ascii="Times New Roman" w:eastAsia="Times New Roman" w:hAnsi="Times New Roman"/>
          <w:color w:val="000000" w:themeColor="text1"/>
        </w:rPr>
        <w:t>and</w:t>
      </w:r>
      <w:r w:rsidR="005E6456">
        <w:rPr>
          <w:rFonts w:ascii="Times New Roman" w:eastAsia="Times New Roman" w:hAnsi="Times New Roman"/>
          <w:color w:val="000000" w:themeColor="text1"/>
        </w:rPr>
        <w:t xml:space="preserve"> an i</w:t>
      </w:r>
      <w:r w:rsidR="005E6456" w:rsidRPr="00E57EEC">
        <w:rPr>
          <w:rFonts w:ascii="Times New Roman" w:eastAsia="Times New Roman" w:hAnsi="Times New Roman"/>
          <w:color w:val="000000" w:themeColor="text1"/>
        </w:rPr>
        <w:t>mproved protein structure prediction using potentials from deep learning</w:t>
      </w:r>
      <w:r w:rsidR="005E6456">
        <w:rPr>
          <w:rFonts w:ascii="Times New Roman" w:eastAsia="Times New Roman" w:hAnsi="Times New Roman"/>
          <w:color w:val="000000" w:themeColor="text1"/>
        </w:rPr>
        <w:t xml:space="preserve"> </w:t>
      </w:r>
      <w:r w:rsidR="00EE464A">
        <w:rPr>
          <w:rFonts w:ascii="Times New Roman" w:eastAsia="Times New Roman" w:hAnsi="Times New Roman"/>
          <w:color w:val="000000" w:themeColor="text1"/>
        </w:rPr>
        <w:fldChar w:fldCharType="begin" w:fldLock="1"/>
      </w:r>
      <w:r w:rsidR="00BA62EB">
        <w:rPr>
          <w:rFonts w:ascii="Times New Roman" w:eastAsia="Times New Roman" w:hAnsi="Times New Roman"/>
          <w:color w:val="000000" w:themeColor="text1"/>
        </w:rPr>
        <w:instrText>ADDIN CSL_CITATION {"citationItems":[{"id":"ITEM-1","itemData":{"DOI":"10.1038/s41586-019-1923-7","ISSN":"14764687","PMID":"31942072","abstract":"Protein structure prediction can be used to determine the three-dimensional shape of a protein from its amino acid sequence1. This problem is of fundamental importance as the structure of a protein largely determines its function2; however, protein structures can be difficult to determine experimentally. Considerable progress has recently been made by leveraging genetic information. It is possible to infer which amino acid residues are in contact by analysing covariation in homologous sequences, which aids in the prediction of protein structures3. Here we show that we can train a neural network to make accurate predictions of the distances between pairs of residues, which convey more information about the structure than contact predictions. Using this information, we construct a potential of mean force4 that can accurately describe the shape of a protein. We find that the resulting potential can be optimized by a simple gradient descent algorithm to generate structures without complex sampling procedures. The resulting system, named AlphaFold, achieves high accuracy, even for sequences with fewer homologous sequences. In the recent Critical Assessment of Protein Structure Prediction5 (CASP13)—a blind assessment of the state of the field—AlphaFold created high-accuracy structures (with template modelling (TM) scores6 of 0.7 or higher) for 24 out of 43 free modelling domains, whereas the next best method, which used sampling and contact information, achieved such accuracy for only 14 out of 43 domains. AlphaFold represents a considerable advance in protein-structure prediction. We expect this increased accuracy to enable insights into the function and malfunction of proteins, especially in cases for which no structures for homologous proteins have been experimentally determined7.","author":[{"dropping-particle":"","family":"Senior","given":"Andrew W","non-dropping-particle":"","parse-names":false,"suffix":""},{"dropping-particle":"","family":"Evans","given":"Richard","non-dropping-particle":"","parse-names":false,"suffix":""},{"dropping-particle":"","family":"Jumper","given":"John","non-dropping-particle":"","parse-names":false,"suffix":""},{"dropping-particle":"","family":"Kirkpatrick","given":"James","non-dropping-particle":"","parse-names":false,"suffix":""},{"dropping-particle":"","family":"Sifre","given":"Laurent","non-dropping-particle":"","parse-names":false,"suffix":""},{"dropping-particle":"","family":"Green","given":"Tim","non-dropping-particle":"","parse-names":false,"suffix":""},{"dropping-particle":"","family":"Qin","given":"Chongli","non-dropping-particle":"","parse-names":false,"suffix":""},{"dropping-particle":"","family":"Žídek","given":"Augustin","non-dropping-particle":"","parse-names":false,"suffix":""},{"dropping-particle":"","family":"Nelson","given":"Alexander W R","non-dropping-particle":"","parse-names":false,"suffix":""},{"dropping-particle":"","family":"Bridgland","given":"Alex","non-dropping-particle":"","parse-names":false,"suffix":""},{"dropping-particle":"","family":"Penedones","given":"Hugo","non-dropping-particle":"","parse-names":false,"suffix":""},{"dropping-particle":"","family":"Petersen","given":"Stig","non-dropping-particle":"","parse-names":false,"suffix":""},{"dropping-particle":"","family":"Simonyan","given":"Karen","non-dropping-particle":"","parse-names":false,"suffix":""},{"dropping-particle":"","family":"Crossan","given":"Steve","non-dropping-particle":"","parse-names":false,"suffix":""},{"dropping-particle":"","family":"Kohli","given":"Pushmeet","non-dropping-particle":"","parse-names":false,"suffix":""},{"dropping-particle":"","family":"Jones","given":"David T","non-dropping-particle":"","parse-names":false,"suffix":""},{"dropping-particle":"","family":"Silver","given":"David","non-dropping-particle":"","parse-names":false,"suffix":""},{"dropping-particle":"","family":"Kavukcuoglu","given":"Koray","non-dropping-particle":"","parse-names":false,"suffix":""},{"dropping-particle":"","family":"Hassabis","given":"Demis","non-dropping-particle":"","parse-names":false,"suffix":""}],"container-title":"Nature","id":"ITEM-1","issue":"7792","issued":{"date-parts":[["2020","1"]]},"page":"706-710","publisher":"Nature Research","title":"Improved protein structure prediction using potentials from deep learning","type":"article-journal","volume":"577"},"uris":["http://www.mendeley.com/documents/?uuid=300624ce-f5b4-40b0-9951-7476d9b72794"]}],"mendeley":{"formattedCitation":"(Senior et al., 2020)","plainTextFormattedCitation":"(Senior et al., 2020)","previouslyFormattedCitation":"(Senior et al., 2020)"},"properties":{"noteIndex":0},"schema":"https://github.com/citation-style-language/schema/raw/master/csl-citation.json"}</w:instrText>
      </w:r>
      <w:r w:rsidR="00EE464A">
        <w:rPr>
          <w:rFonts w:ascii="Times New Roman" w:eastAsia="Times New Roman" w:hAnsi="Times New Roman"/>
          <w:color w:val="000000" w:themeColor="text1"/>
        </w:rPr>
        <w:fldChar w:fldCharType="separate"/>
      </w:r>
      <w:r w:rsidR="00EE464A" w:rsidRPr="00EE464A">
        <w:rPr>
          <w:rFonts w:ascii="Times New Roman" w:eastAsia="Times New Roman" w:hAnsi="Times New Roman"/>
          <w:noProof/>
          <w:color w:val="000000" w:themeColor="text1"/>
        </w:rPr>
        <w:t>(Senior et al., 2020)</w:t>
      </w:r>
      <w:r w:rsidR="00EE464A">
        <w:rPr>
          <w:rFonts w:ascii="Times New Roman" w:eastAsia="Times New Roman" w:hAnsi="Times New Roman"/>
          <w:color w:val="000000" w:themeColor="text1"/>
        </w:rPr>
        <w:fldChar w:fldCharType="end"/>
      </w:r>
      <w:r w:rsidR="005E6456">
        <w:rPr>
          <w:rFonts w:ascii="Times New Roman" w:eastAsia="Times New Roman" w:hAnsi="Times New Roman"/>
          <w:color w:val="000000" w:themeColor="text1"/>
        </w:rPr>
        <w:t xml:space="preserve"> have </w:t>
      </w:r>
      <w:r w:rsidR="00D81B8C">
        <w:rPr>
          <w:rFonts w:ascii="Times New Roman" w:eastAsia="Times New Roman" w:hAnsi="Times New Roman"/>
          <w:color w:val="000000" w:themeColor="text1"/>
        </w:rPr>
        <w:t xml:space="preserve">recently </w:t>
      </w:r>
      <w:r w:rsidR="005E6456">
        <w:rPr>
          <w:rFonts w:ascii="Times New Roman" w:eastAsia="Times New Roman" w:hAnsi="Times New Roman"/>
          <w:color w:val="000000" w:themeColor="text1"/>
        </w:rPr>
        <w:t>been announced.</w:t>
      </w:r>
    </w:p>
    <w:p w14:paraId="5D447580" w14:textId="4BFCBE0A" w:rsidR="00A268DA" w:rsidRPr="00882F8B" w:rsidRDefault="00496F75" w:rsidP="008805B8">
      <w:pPr>
        <w:pStyle w:val="Heading3"/>
      </w:pPr>
      <w:bookmarkStart w:id="47" w:name="__RefHeading___Toc3600011631111111111111"/>
      <w:bookmarkStart w:id="48" w:name="_Toc70112671"/>
      <w:bookmarkStart w:id="49" w:name="_Toc70685693"/>
      <w:r>
        <w:rPr>
          <w:lang w:val="en-US"/>
        </w:rPr>
        <w:t>2</w:t>
      </w:r>
      <w:r w:rsidR="00D0432A">
        <w:t>.</w:t>
      </w:r>
      <w:r w:rsidR="00A34D9A">
        <w:rPr>
          <w:lang w:val="en-GB"/>
        </w:rPr>
        <w:t>3</w:t>
      </w:r>
      <w:r w:rsidR="00D0432A">
        <w:t xml:space="preserve">. </w:t>
      </w:r>
      <w:r w:rsidR="346352E9" w:rsidRPr="06DD7B6A">
        <w:t>M</w:t>
      </w:r>
      <w:r w:rsidR="02DADC1B" w:rsidRPr="06DD7B6A">
        <w:t>etabolic</w:t>
      </w:r>
      <w:r w:rsidR="00A268DA" w:rsidRPr="06DD7B6A">
        <w:t xml:space="preserve"> pathway engineering</w:t>
      </w:r>
      <w:bookmarkEnd w:id="47"/>
      <w:r w:rsidR="00882F8B">
        <w:rPr>
          <w:lang w:val="en-US"/>
        </w:rPr>
        <w:t>.</w:t>
      </w:r>
      <w:bookmarkEnd w:id="48"/>
      <w:bookmarkEnd w:id="49"/>
    </w:p>
    <w:p w14:paraId="79B5F02A" w14:textId="10FF1301" w:rsidR="06DD7B6A" w:rsidRDefault="0F6B4AEA" w:rsidP="0025609D">
      <w:pPr>
        <w:suppressAutoHyphens/>
        <w:autoSpaceDE w:val="0"/>
        <w:spacing w:before="120" w:after="120" w:line="240" w:lineRule="auto"/>
        <w:jc w:val="both"/>
        <w:rPr>
          <w:rFonts w:ascii="Times New Roman" w:hAnsi="Times New Roman"/>
          <w:color w:val="000000" w:themeColor="text1"/>
          <w:lang w:eastAsia="ar-SA"/>
        </w:rPr>
      </w:pPr>
      <w:r w:rsidRPr="69BA3794">
        <w:rPr>
          <w:rFonts w:ascii="Times New Roman" w:hAnsi="Times New Roman"/>
          <w:color w:val="000000" w:themeColor="text1"/>
          <w:lang w:eastAsia="ar-SA"/>
        </w:rPr>
        <w:t xml:space="preserve">While synthetic biology provides the components and information about different biological phenomena, metabolic engineering tries to apply all </w:t>
      </w:r>
      <w:r w:rsidR="47E780B0" w:rsidRPr="69BA3794">
        <w:rPr>
          <w:rFonts w:ascii="Times New Roman" w:hAnsi="Times New Roman"/>
          <w:color w:val="000000" w:themeColor="text1"/>
          <w:lang w:eastAsia="ar-SA"/>
        </w:rPr>
        <w:t xml:space="preserve">of </w:t>
      </w:r>
      <w:r w:rsidRPr="69BA3794">
        <w:rPr>
          <w:rFonts w:ascii="Times New Roman" w:hAnsi="Times New Roman"/>
          <w:color w:val="000000" w:themeColor="text1"/>
          <w:lang w:eastAsia="ar-SA"/>
        </w:rPr>
        <w:t>this information toward</w:t>
      </w:r>
      <w:r w:rsidR="3B9CDD74" w:rsidRPr="69BA3794">
        <w:rPr>
          <w:rFonts w:ascii="Times New Roman" w:hAnsi="Times New Roman"/>
          <w:color w:val="000000" w:themeColor="text1"/>
          <w:lang w:eastAsia="ar-SA"/>
        </w:rPr>
        <w:t>s</w:t>
      </w:r>
      <w:r w:rsidRPr="69BA3794">
        <w:rPr>
          <w:rFonts w:ascii="Times New Roman" w:hAnsi="Times New Roman"/>
          <w:color w:val="000000" w:themeColor="text1"/>
          <w:lang w:eastAsia="ar-SA"/>
        </w:rPr>
        <w:t xml:space="preserve"> the optimi</w:t>
      </w:r>
      <w:r w:rsidR="008543F0">
        <w:rPr>
          <w:rFonts w:ascii="Times New Roman" w:hAnsi="Times New Roman"/>
          <w:color w:val="000000" w:themeColor="text1"/>
          <w:lang w:eastAsia="ar-SA"/>
        </w:rPr>
        <w:t>s</w:t>
      </w:r>
      <w:r w:rsidRPr="69BA3794">
        <w:rPr>
          <w:rFonts w:ascii="Times New Roman" w:hAnsi="Times New Roman"/>
          <w:color w:val="000000" w:themeColor="text1"/>
          <w:lang w:eastAsia="ar-SA"/>
        </w:rPr>
        <w:t xml:space="preserve">ation of the biological synthesis trajectory of </w:t>
      </w:r>
      <w:r w:rsidR="2A124CF1" w:rsidRPr="69BA3794">
        <w:rPr>
          <w:rFonts w:ascii="Times New Roman" w:hAnsi="Times New Roman"/>
          <w:color w:val="000000" w:themeColor="text1"/>
          <w:lang w:eastAsia="ar-SA"/>
        </w:rPr>
        <w:t>the production of high-value-added biochemicals</w:t>
      </w:r>
      <w:r w:rsidRPr="69BA3794">
        <w:rPr>
          <w:rFonts w:ascii="Times New Roman" w:hAnsi="Times New Roman"/>
          <w:color w:val="000000" w:themeColor="text1"/>
          <w:lang w:eastAsia="ar-SA"/>
        </w:rPr>
        <w:t xml:space="preserve"> </w:t>
      </w:r>
      <w:r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10.3389/fbioe.2019.00036","ISSN":"2296-4185","author":[{"dropping-particle":"","family":"García-Granados","given":"Raúl","non-dropping-particle":"","parse-names":false,"suffix":""},{"dropping-particle":"","family":"Lerma-Escalera","given":"Jordy Alexis","non-dropping-particle":"","parse-names":false,"suffix":""},{"dropping-particle":"","family":"Morones-Ramírez","given":"José R.","non-dropping-particle":"","parse-names":false,"suffix":""}],"container-title":"Frontiers in Bioengineering and Biotechnology","id":"ITEM-1","issued":{"date-parts":[["2019","3","4"]]},"title":"Metabolic Engineering and Synthetic Biology: Synergies, Future, and Challenges","type":"article-journal","volume":"7"},"uris":["http://www.mendeley.com/documents/?uuid=828a16e3-bfa2-4d34-bbd6-3eb67049e80e"]}],"mendeley":{"formattedCitation":"(García-Granados et al., 2019)","plainTextFormattedCitation":"(García-Granados et al., 2019)","previouslyFormattedCitation":"(García-Granados et al., 2019)"},"properties":{"noteIndex":0},"schema":"https://github.com/citation-style-language/schema/raw/master/csl-citation.json"}</w:instrText>
      </w:r>
      <w:r w:rsidRPr="00121D97">
        <w:rPr>
          <w:rFonts w:ascii="Times New Roman" w:hAnsi="Times New Roman"/>
          <w:color w:val="000000" w:themeColor="text1"/>
          <w:lang w:eastAsia="ar-SA"/>
        </w:rPr>
        <w:fldChar w:fldCharType="separate"/>
      </w:r>
      <w:r w:rsidR="00382B2E" w:rsidRPr="00382B2E">
        <w:rPr>
          <w:rFonts w:ascii="Times New Roman" w:hAnsi="Times New Roman"/>
          <w:noProof/>
          <w:color w:val="000000" w:themeColor="text1"/>
          <w:lang w:eastAsia="ar-SA"/>
        </w:rPr>
        <w:t>(García-Granados et al., 2019)</w:t>
      </w:r>
      <w:r w:rsidRPr="00121D97">
        <w:rPr>
          <w:rFonts w:ascii="Times New Roman" w:hAnsi="Times New Roman"/>
          <w:color w:val="000000" w:themeColor="text1"/>
          <w:lang w:eastAsia="ar-SA"/>
        </w:rPr>
        <w:fldChar w:fldCharType="end"/>
      </w:r>
      <w:r w:rsidRPr="69BA3794">
        <w:rPr>
          <w:rFonts w:ascii="Times New Roman" w:hAnsi="Times New Roman"/>
          <w:color w:val="000000" w:themeColor="text1"/>
          <w:lang w:eastAsia="ar-SA"/>
        </w:rPr>
        <w:t xml:space="preserve">. </w:t>
      </w:r>
      <w:r w:rsidR="00361933">
        <w:rPr>
          <w:rFonts w:ascii="Times New Roman" w:hAnsi="Times New Roman"/>
          <w:color w:val="000000"/>
          <w:kern w:val="1"/>
          <w:lang w:eastAsia="ar-SA"/>
        </w:rPr>
        <w:t>S</w:t>
      </w:r>
      <w:r w:rsidR="00A268DA" w:rsidRPr="487919B7">
        <w:rPr>
          <w:rFonts w:ascii="Times New Roman" w:hAnsi="Times New Roman"/>
          <w:color w:val="000000"/>
          <w:kern w:val="1"/>
          <w:lang w:eastAsia="ar-SA"/>
        </w:rPr>
        <w:t>ynthetic biology tools make it possible to build non-natural pathways that would be difficult to produce with classic genetic engineering techniques</w:t>
      </w:r>
      <w:r w:rsidR="00D431FB">
        <w:rPr>
          <w:rFonts w:ascii="Times New Roman" w:hAnsi="Times New Roman"/>
          <w:color w:val="000000"/>
          <w:kern w:val="1"/>
          <w:lang w:eastAsia="ar-SA"/>
        </w:rPr>
        <w:t>.</w:t>
      </w:r>
      <w:r w:rsidR="00A268DA" w:rsidRPr="487919B7">
        <w:rPr>
          <w:rFonts w:ascii="Times New Roman" w:hAnsi="Times New Roman"/>
          <w:color w:val="000000"/>
          <w:kern w:val="1"/>
          <w:lang w:eastAsia="ar-SA"/>
        </w:rPr>
        <w:t xml:space="preserve"> Many of the first-wave synthetic biology commercial applications use metabolic pathway engineering to replicate naturally occurring molecules </w:t>
      </w:r>
      <w:r w:rsidR="00536709" w:rsidRPr="00121D97">
        <w:rPr>
          <w:rFonts w:ascii="Times New Roman" w:eastAsia="Times New Roman" w:hAnsi="Times New Roman"/>
        </w:rPr>
        <w:fldChar w:fldCharType="begin" w:fldLock="1"/>
      </w:r>
      <w:r w:rsidR="008F6A90">
        <w:rPr>
          <w:rFonts w:ascii="Times New Roman" w:eastAsia="Times New Roman" w:hAnsi="Times New Roman"/>
        </w:rPr>
        <w:instrText>ADDIN CSL_CITATION {"citationItems":[{"id":"ITEM-1","itemData":{"DOI":"10.1016/j.cmpb.2020.105436","ISSN":"18727565","PMID":"32199314","abstract":"Background: Metabolic engineering aims at contriving microbes as biocatalysts for enhanced and cost-effective production of countless secondary metabolites. These secondary metabolites can be treated as the resources of industrial chemicals, pharmaceuticals and fuels. Plants are also crucial targets for metabolic engineers to produce necessary secondary metabolites. Metabolic engineering of both microorganism and plants also contributes towards drug discovery. In order to implement advanced metabolic engineering techniques efficiently, metabolic engineers should have detailed knowledge about cell physiology and metabolism. Principle behind methodologies: Genome-scale mathematical models of integrated metabolic, signal transduction, gene regulatory and protein-protein interaction networks along with experimental validation can provide such knowledge in this context. Incorporation of omics data into these models is crucial in the case of drug discovery. Inverse metabolic engineering and metabolic control analysis (MCA) can help in developing such models. Artificial intelligence methodology can also be applied for efficient and accurate metabolic engineering. Conclusion: In this review, we discuss, at the beginning, the perspectives of metabolic engineering and its application on microorganism and plant leading to drug discovery. At the end, we elaborate why inverse metabolic engineering and MCA are closely related to modern metabolic engineering. In addition, some crucial steps ensuring efficient and optimal metabolic engineering strategies have been discussed. Moreover, we explore the use of genomics data for the activation of silent metabolic clusters and how it can be integrated with metabolic engineering. Finally, we exhibit a few applications of artificial intelligence to metabolic engineering.","author":[{"dropping-particle":"","family":"Dasgupta","given":"Abhijit","non-dropping-particle":"","parse-names":false,"suffix":""},{"dropping-particle":"","family":"Chowdhury","given":"Nirmalya","non-dropping-particle":"","parse-names":false,"suffix":""},{"dropping-particle":"","family":"De","given":"Rajat K.","non-dropping-particle":"","parse-names":false,"suffix":""}],"container-title":"Computer Methods and Programs in Biomedicine","id":"ITEM-1","issued":{"date-parts":[["2020","8"]]},"publisher":"Elsevier Ireland Ltd","title":"Metabolic pathway engineering: Perspectives and applications","type":"article","volume":"192"},"uris":["http://www.mendeley.com/documents/?uuid=22acb575-d4fa-4efc-82b4-11a850f51425"]}],"mendeley":{"formattedCitation":"(Dasgupta et al., 2020)","plainTextFormattedCitation":"(Dasgupta et al., 2020)","previouslyFormattedCitation":"(Dasgupta et al., 2020)"},"properties":{"noteIndex":0},"schema":"https://github.com/citation-style-language/schema/raw/master/csl-citation.json"}</w:instrText>
      </w:r>
      <w:r w:rsidR="00536709" w:rsidRPr="00121D97">
        <w:rPr>
          <w:rFonts w:ascii="Times New Roman" w:eastAsia="Times New Roman" w:hAnsi="Times New Roman"/>
        </w:rPr>
        <w:fldChar w:fldCharType="separate"/>
      </w:r>
      <w:r w:rsidR="00536709" w:rsidRPr="69BA3794">
        <w:rPr>
          <w:rFonts w:ascii="Times New Roman" w:eastAsia="Times New Roman" w:hAnsi="Times New Roman"/>
          <w:noProof/>
        </w:rPr>
        <w:t>(Dasgupta et al., 2020)</w:t>
      </w:r>
      <w:r w:rsidR="00536709" w:rsidRPr="00121D97">
        <w:rPr>
          <w:rFonts w:ascii="Times New Roman" w:eastAsia="Times New Roman" w:hAnsi="Times New Roman"/>
        </w:rPr>
        <w:fldChar w:fldCharType="end"/>
      </w:r>
      <w:r w:rsidR="00A268DA" w:rsidRPr="487919B7">
        <w:rPr>
          <w:rFonts w:ascii="Times New Roman" w:hAnsi="Times New Roman"/>
          <w:color w:val="000000"/>
          <w:kern w:val="1"/>
          <w:lang w:eastAsia="ar-SA"/>
        </w:rPr>
        <w:t xml:space="preserve">. The majority of the </w:t>
      </w:r>
      <w:r w:rsidR="004972F3">
        <w:rPr>
          <w:rFonts w:ascii="Times New Roman" w:hAnsi="Times New Roman"/>
          <w:color w:val="000000"/>
          <w:kern w:val="1"/>
          <w:lang w:eastAsia="ar-SA"/>
        </w:rPr>
        <w:t>current</w:t>
      </w:r>
      <w:r w:rsidR="004972F3" w:rsidRPr="487919B7" w:rsidDel="00DD5028">
        <w:rPr>
          <w:rFonts w:ascii="Times New Roman" w:hAnsi="Times New Roman"/>
          <w:color w:val="000000"/>
          <w:kern w:val="1"/>
          <w:lang w:eastAsia="ar-SA"/>
        </w:rPr>
        <w:t xml:space="preserve"> </w:t>
      </w:r>
      <w:r w:rsidR="004972F3" w:rsidRPr="69BA3794">
        <w:rPr>
          <w:rFonts w:ascii="Times New Roman" w:hAnsi="Times New Roman"/>
          <w:color w:val="000000" w:themeColor="text1"/>
          <w:lang w:eastAsia="ar-SA"/>
        </w:rPr>
        <w:t xml:space="preserve">commercially available </w:t>
      </w:r>
      <w:r w:rsidR="00A268DA" w:rsidRPr="487919B7">
        <w:rPr>
          <w:rFonts w:ascii="Times New Roman" w:hAnsi="Times New Roman"/>
          <w:color w:val="000000"/>
          <w:kern w:val="1"/>
          <w:lang w:eastAsia="ar-SA"/>
        </w:rPr>
        <w:t xml:space="preserve">synthetic biology </w:t>
      </w:r>
      <w:r w:rsidR="4095C772" w:rsidRPr="69BA3794">
        <w:rPr>
          <w:rFonts w:ascii="Times New Roman" w:hAnsi="Times New Roman"/>
          <w:color w:val="000000" w:themeColor="text1"/>
          <w:lang w:eastAsia="ar-SA"/>
        </w:rPr>
        <w:t xml:space="preserve">products </w:t>
      </w:r>
      <w:r w:rsidR="00A268DA" w:rsidRPr="487919B7">
        <w:rPr>
          <w:rFonts w:ascii="Times New Roman" w:hAnsi="Times New Roman"/>
          <w:color w:val="000000"/>
          <w:kern w:val="1"/>
          <w:lang w:eastAsia="ar-SA"/>
        </w:rPr>
        <w:t xml:space="preserve">listed in </w:t>
      </w:r>
      <w:r w:rsidR="008B076B">
        <w:rPr>
          <w:rFonts w:ascii="Times New Roman" w:hAnsi="Times New Roman"/>
          <w:color w:val="000000"/>
          <w:kern w:val="1"/>
          <w:lang w:eastAsia="ar-SA"/>
        </w:rPr>
        <w:t>S</w:t>
      </w:r>
      <w:r w:rsidR="00A268DA" w:rsidRPr="487919B7">
        <w:rPr>
          <w:rFonts w:ascii="Times New Roman" w:hAnsi="Times New Roman"/>
          <w:color w:val="000000"/>
          <w:kern w:val="1"/>
          <w:lang w:eastAsia="ar-SA"/>
        </w:rPr>
        <w:t xml:space="preserve">ection </w:t>
      </w:r>
      <w:r w:rsidR="00DF578F">
        <w:rPr>
          <w:rFonts w:ascii="Times New Roman" w:hAnsi="Times New Roman"/>
          <w:color w:val="000000"/>
          <w:kern w:val="1"/>
          <w:lang w:eastAsia="ar-SA"/>
        </w:rPr>
        <w:t>3</w:t>
      </w:r>
      <w:r w:rsidR="00A268DA" w:rsidRPr="487919B7">
        <w:rPr>
          <w:rFonts w:ascii="Times New Roman" w:hAnsi="Times New Roman"/>
          <w:color w:val="000000"/>
          <w:kern w:val="1"/>
          <w:lang w:eastAsia="ar-SA"/>
        </w:rPr>
        <w:t xml:space="preserve"> </w:t>
      </w:r>
      <w:r w:rsidR="00A268DA" w:rsidRPr="10B12CF3">
        <w:rPr>
          <w:rFonts w:ascii="Times New Roman" w:hAnsi="Times New Roman"/>
          <w:color w:val="000000" w:themeColor="text1"/>
          <w:lang w:eastAsia="ar-SA"/>
        </w:rPr>
        <w:t>falls in</w:t>
      </w:r>
      <w:r w:rsidR="004972F3">
        <w:rPr>
          <w:rFonts w:ascii="Times New Roman" w:hAnsi="Times New Roman"/>
          <w:color w:val="000000" w:themeColor="text1"/>
          <w:lang w:eastAsia="ar-SA"/>
        </w:rPr>
        <w:t>to</w:t>
      </w:r>
      <w:r w:rsidR="00A268DA" w:rsidRPr="10B12CF3">
        <w:rPr>
          <w:rFonts w:ascii="Times New Roman" w:hAnsi="Times New Roman"/>
          <w:color w:val="000000" w:themeColor="text1"/>
          <w:lang w:eastAsia="ar-SA"/>
        </w:rPr>
        <w:t xml:space="preserve"> this category. Although initial expectations were that synthetic biology metabolic engineering would efficiently produce cheap biofuels, companies have found it easier to enter the commercial markets of higher-value and lower-volume products, such as cosmetics, </w:t>
      </w:r>
      <w:r w:rsidR="6925FACC" w:rsidRPr="487919B7">
        <w:rPr>
          <w:rFonts w:ascii="Times New Roman" w:hAnsi="Times New Roman"/>
          <w:color w:val="000000"/>
          <w:kern w:val="1"/>
          <w:lang w:eastAsia="ar-SA"/>
        </w:rPr>
        <w:t xml:space="preserve">active </w:t>
      </w:r>
      <w:r w:rsidR="00A268DA" w:rsidRPr="10B12CF3">
        <w:rPr>
          <w:rFonts w:ascii="Times New Roman" w:hAnsi="Times New Roman"/>
          <w:color w:val="000000" w:themeColor="text1"/>
          <w:lang w:eastAsia="ar-SA"/>
        </w:rPr>
        <w:t>pharmaceutical</w:t>
      </w:r>
      <w:r w:rsidR="39B5E099" w:rsidRPr="487919B7">
        <w:rPr>
          <w:rFonts w:ascii="Times New Roman" w:hAnsi="Times New Roman"/>
          <w:color w:val="000000"/>
          <w:kern w:val="1"/>
          <w:lang w:eastAsia="ar-SA"/>
        </w:rPr>
        <w:t xml:space="preserve"> ingredients</w:t>
      </w:r>
      <w:r w:rsidR="00A268DA" w:rsidRPr="487919B7">
        <w:rPr>
          <w:rFonts w:ascii="Times New Roman" w:hAnsi="Times New Roman"/>
          <w:color w:val="000000"/>
          <w:kern w:val="1"/>
          <w:lang w:eastAsia="ar-SA"/>
        </w:rPr>
        <w:t xml:space="preserve">, and </w:t>
      </w:r>
      <w:r w:rsidR="02DADC1B">
        <w:rPr>
          <w:rFonts w:ascii="Times New Roman" w:hAnsi="Times New Roman"/>
          <w:color w:val="000000"/>
          <w:kern w:val="1"/>
          <w:lang w:eastAsia="ar-SA"/>
        </w:rPr>
        <w:t>special</w:t>
      </w:r>
      <w:r w:rsidR="21F6B4D6" w:rsidRPr="487919B7">
        <w:rPr>
          <w:rFonts w:ascii="Times New Roman" w:hAnsi="Times New Roman"/>
          <w:color w:val="000000"/>
          <w:kern w:val="1"/>
          <w:lang w:eastAsia="ar-SA"/>
        </w:rPr>
        <w:t>i</w:t>
      </w:r>
      <w:r w:rsidR="02DADC1B" w:rsidRPr="487919B7">
        <w:rPr>
          <w:rFonts w:ascii="Times New Roman" w:hAnsi="Times New Roman"/>
          <w:color w:val="000000"/>
          <w:kern w:val="1"/>
          <w:lang w:eastAsia="ar-SA"/>
        </w:rPr>
        <w:t>ty</w:t>
      </w:r>
      <w:r w:rsidR="00A268DA" w:rsidRPr="06DD7B6A">
        <w:rPr>
          <w:rFonts w:ascii="Times New Roman" w:hAnsi="Times New Roman"/>
          <w:color w:val="000000" w:themeColor="text1"/>
          <w:lang w:eastAsia="ar-SA"/>
        </w:rPr>
        <w:t xml:space="preserve"> chemicals </w:t>
      </w:r>
      <w:r w:rsidR="00920789">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{"citationItems":[{"id":"ITEM-1","itemData":{"DOI":"10.1038/505598a","ISSN":"0028-0836","author":[{"dropping-particle":"","family":"Check Hayden","given":"Erika","non-dropping-particle":"","parse-names":false,"suffix":""}],"container-title":"Nature","id":"ITEM-1","issue":"7485","issued":{"date-parts":[["2014","1","29"]]},"page":"598-598","title":"Synthetic-biology firms shift focus","type":"article-journal","volume":"505"},"uris":["http://www.mendeley.com/documents/?uuid=f70fd487-e396-470e-a0aa-c7c0d984e567"]},{"id":"ITEM-2","itemData":{"DOI":"10.1038/492188a","ISSN":"0028-0836","author":[{"dropping-particle":"","family":"Keasling","given":"Jay D.","non-dropping-particle":"","parse-names":false,"suffix":""},{"dropping-particle":"","family":"Mendoza","given":"Abraham","non-dropping-particle":"","parse-names":false,"suffix":""},{"dropping-particle":"","family":"Baran","given":"Phil S.","non-dropping-particle":"","parse-names":false,"suffix":""}],"container-title":"Nature","id":"ITEM-2","issue":"7428","issued":{"date-parts":[["2012","12","12"]]},"page":"188-189","title":"A constructive debate","type":"article-journal","volume":"492"},"uris":["http://www.mendeley.com/documents/?uuid=bc4897bf-7119-439f-9b53-eaee9037bf88"]}],"mendeley":{"formattedCitation":"(Check Hayden, 2014; Keasling et al., 2012)","manualFormatting":"(Hayden, 2014; Keasling et al., 2012)","plainTextFormattedCitation":"(Check Hayden, 2014; Keasling et al., 2012)","previouslyFormattedCitation":"(Check Hayden, 2014; Keasling et al., 2012)"},"properties":{"noteIndex":0},"schema":"https://github.com/citation-style-language/schema/raw/master/csl-citation.json"}</w:instrText>
      </w:r>
      <w:r w:rsidR="00920789">
        <w:rPr>
          <w:rFonts w:ascii="Times New Roman" w:hAnsi="Times New Roman"/>
          <w:color w:val="000000" w:themeColor="text1"/>
          <w:lang w:eastAsia="ar-SA"/>
        </w:rPr>
        <w:fldChar w:fldCharType="separate"/>
      </w:r>
      <w:r w:rsidR="00920789" w:rsidRPr="00920789">
        <w:rPr>
          <w:rFonts w:ascii="Times New Roman" w:hAnsi="Times New Roman"/>
          <w:noProof/>
          <w:color w:val="000000" w:themeColor="text1"/>
          <w:lang w:eastAsia="ar-SA"/>
        </w:rPr>
        <w:t>(Hayden, 2014; Keasling et al., 2012)</w:t>
      </w:r>
      <w:r w:rsidR="00920789">
        <w:rPr>
          <w:rFonts w:ascii="Times New Roman" w:hAnsi="Times New Roman"/>
          <w:color w:val="000000" w:themeColor="text1"/>
          <w:lang w:eastAsia="ar-SA"/>
        </w:rPr>
        <w:fldChar w:fldCharType="end"/>
      </w:r>
      <w:r w:rsidR="6343968A" w:rsidRPr="69BA3794">
        <w:rPr>
          <w:rFonts w:ascii="Times New Roman" w:hAnsi="Times New Roman"/>
          <w:color w:val="000000" w:themeColor="text1"/>
          <w:lang w:eastAsia="ar-SA"/>
        </w:rPr>
        <w:t>, some of which are too complex to be chemically synthe</w:t>
      </w:r>
      <w:r w:rsidR="7AD22ADF" w:rsidRPr="69BA3794">
        <w:rPr>
          <w:rFonts w:ascii="Times New Roman" w:hAnsi="Times New Roman"/>
          <w:color w:val="000000" w:themeColor="text1"/>
          <w:lang w:eastAsia="ar-SA"/>
        </w:rPr>
        <w:t>s</w:t>
      </w:r>
      <w:r w:rsidR="6343968A" w:rsidRPr="69BA3794">
        <w:rPr>
          <w:rFonts w:ascii="Times New Roman" w:hAnsi="Times New Roman"/>
          <w:color w:val="000000" w:themeColor="text1"/>
          <w:lang w:eastAsia="ar-SA"/>
        </w:rPr>
        <w:t xml:space="preserve">ised </w:t>
      </w:r>
      <w:r w:rsidR="18026C2D" w:rsidRPr="69BA3794">
        <w:rPr>
          <w:rFonts w:ascii="Times New Roman" w:hAnsi="Times New Roman"/>
          <w:color w:val="000000" w:themeColor="text1"/>
          <w:lang w:eastAsia="ar-SA"/>
        </w:rPr>
        <w:t>but have</w:t>
      </w:r>
      <w:r w:rsidR="6343968A" w:rsidRPr="69BA3794">
        <w:rPr>
          <w:rFonts w:ascii="Times New Roman" w:hAnsi="Times New Roman"/>
          <w:color w:val="000000" w:themeColor="text1"/>
          <w:lang w:eastAsia="ar-SA"/>
        </w:rPr>
        <w:t xml:space="preserve"> a value that justifies the cost of developing </w:t>
      </w:r>
      <w:r w:rsidR="1817D5A5" w:rsidRPr="69BA3794">
        <w:rPr>
          <w:rFonts w:ascii="Times New Roman" w:hAnsi="Times New Roman"/>
          <w:color w:val="000000" w:themeColor="text1"/>
          <w:lang w:eastAsia="ar-SA"/>
        </w:rPr>
        <w:t>the relevant</w:t>
      </w:r>
      <w:r w:rsidR="6343968A" w:rsidRPr="69BA3794">
        <w:rPr>
          <w:rFonts w:ascii="Times New Roman" w:hAnsi="Times New Roman"/>
          <w:color w:val="000000" w:themeColor="text1"/>
          <w:lang w:eastAsia="ar-SA"/>
        </w:rPr>
        <w:t xml:space="preserve"> genetically engineered microorganism</w:t>
      </w:r>
      <w:r w:rsidR="004A282D">
        <w:rPr>
          <w:rFonts w:ascii="Times New Roman" w:hAnsi="Times New Roman"/>
          <w:color w:val="000000" w:themeColor="text1"/>
          <w:lang w:eastAsia="ar-SA"/>
        </w:rPr>
        <w:t xml:space="preserve"> </w:t>
      </w:r>
      <w:r w:rsidR="004A282D"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10.3389/fbioe.2019.00036","ISSN":"2296-4185","author":[{"dropping-particle":"","family":"García-Granados","given":"Raúl","non-dropping-particle":"","parse-names":false,"suffix":""},{"dropping-particle":"","family":"Lerma-Escalera","given":"Jordy Alexis","non-dropping-particle":"","parse-names":false,"suffix":""},{"dropping-particle":"","family":"Morones-Ramírez","given":"José R.","non-dropping-particle":"","parse-names":false,"suffix":""}],"container-title":"Frontiers in Bioengineering and Biotechnology","id":"ITEM-1","issued":{"date-parts":[["2019","3","4"]]},"title":"Metabolic Engineering and Synthetic Biology: Synergies, Future, and Challenges","type":"article-journal","volume":"7"},"uris":["http://www.mendeley.com/documents/?uuid=828a16e3-bfa2-4d34-bbd6-3eb67049e80e"]}],"mendeley":{"formattedCitation":"(García-Granados et al., 2019)","plainTextFormattedCitation":"(García-Granados et al., 2019)","previouslyFormattedCitation":"(García-Granados et al., 2019)"},"properties":{"noteIndex":0},"schema":"https://github.com/citation-style-language/schema/raw/master/csl-citation.json"}</w:instrText>
      </w:r>
      <w:r w:rsidR="004A282D" w:rsidRPr="00121D97">
        <w:rPr>
          <w:rFonts w:ascii="Times New Roman" w:hAnsi="Times New Roman"/>
          <w:color w:val="000000" w:themeColor="text1"/>
          <w:lang w:eastAsia="ar-SA"/>
        </w:rPr>
        <w:fldChar w:fldCharType="separate"/>
      </w:r>
      <w:r w:rsidR="004A282D" w:rsidRPr="00382B2E">
        <w:rPr>
          <w:rFonts w:ascii="Times New Roman" w:hAnsi="Times New Roman"/>
          <w:noProof/>
          <w:color w:val="000000" w:themeColor="text1"/>
          <w:lang w:eastAsia="ar-SA"/>
        </w:rPr>
        <w:t>(García-Granados et al., 2019)</w:t>
      </w:r>
      <w:r w:rsidR="004A282D" w:rsidRPr="00121D97">
        <w:rPr>
          <w:rFonts w:ascii="Times New Roman" w:hAnsi="Times New Roman"/>
          <w:color w:val="000000" w:themeColor="text1"/>
          <w:lang w:eastAsia="ar-SA"/>
        </w:rPr>
        <w:fldChar w:fldCharType="end"/>
      </w:r>
      <w:r w:rsidR="00C10980">
        <w:rPr>
          <w:rFonts w:ascii="Times New Roman" w:hAnsi="Times New Roman"/>
          <w:color w:val="000000" w:themeColor="text1"/>
          <w:lang w:eastAsia="ar-SA"/>
        </w:rPr>
        <w:t>.</w:t>
      </w:r>
    </w:p>
    <w:p w14:paraId="3C687502" w14:textId="2F450118" w:rsidR="00DB1B19" w:rsidRDefault="12A3C5E7" w:rsidP="1386BD8E">
      <w:pPr>
        <w:suppressAutoHyphens/>
        <w:autoSpaceDE w:val="0"/>
        <w:spacing w:before="120" w:after="120" w:line="240" w:lineRule="auto"/>
        <w:jc w:val="both"/>
        <w:rPr>
          <w:rFonts w:ascii="Times New Roman" w:hAnsi="Times New Roman"/>
          <w:color w:val="000000" w:themeColor="text1"/>
          <w:lang w:eastAsia="ar-SA"/>
        </w:rPr>
      </w:pPr>
      <w:r w:rsidRPr="1386BD8E">
        <w:rPr>
          <w:rFonts w:ascii="Times New Roman" w:eastAsia="Times New Roman" w:hAnsi="Times New Roman"/>
        </w:rPr>
        <w:t xml:space="preserve">In pursuit of exploring various chemicals and materials as renewable resources, </w:t>
      </w:r>
      <w:r w:rsidR="7D06E886" w:rsidRPr="1386BD8E">
        <w:rPr>
          <w:rFonts w:ascii="Times New Roman" w:eastAsia="Times New Roman" w:hAnsi="Times New Roman"/>
        </w:rPr>
        <w:t xml:space="preserve">the </w:t>
      </w:r>
      <w:r w:rsidRPr="1386BD8E">
        <w:rPr>
          <w:rFonts w:ascii="Times New Roman" w:eastAsia="Times New Roman" w:hAnsi="Times New Roman"/>
        </w:rPr>
        <w:t>metabolic engineering of microorganism</w:t>
      </w:r>
      <w:r w:rsidR="23F097EA" w:rsidRPr="1386BD8E">
        <w:rPr>
          <w:rFonts w:ascii="Times New Roman" w:eastAsia="Times New Roman" w:hAnsi="Times New Roman"/>
        </w:rPr>
        <w:t>s</w:t>
      </w:r>
      <w:r w:rsidRPr="1386BD8E">
        <w:rPr>
          <w:rFonts w:ascii="Times New Roman" w:eastAsia="Times New Roman" w:hAnsi="Times New Roman"/>
        </w:rPr>
        <w:t xml:space="preserve"> </w:t>
      </w:r>
      <w:r w:rsidR="61070905" w:rsidRPr="1386BD8E">
        <w:rPr>
          <w:rFonts w:ascii="Times New Roman" w:eastAsia="Times New Roman" w:hAnsi="Times New Roman"/>
        </w:rPr>
        <w:t xml:space="preserve">now </w:t>
      </w:r>
      <w:r w:rsidRPr="1386BD8E">
        <w:rPr>
          <w:rFonts w:ascii="Times New Roman" w:eastAsia="Times New Roman" w:hAnsi="Times New Roman"/>
        </w:rPr>
        <w:t>plays an important role</w:t>
      </w:r>
      <w:r w:rsidR="00E63204" w:rsidRPr="1386BD8E">
        <w:rPr>
          <w:rFonts w:ascii="Times New Roman" w:eastAsia="Times New Roman" w:hAnsi="Times New Roman"/>
        </w:rPr>
        <w:t xml:space="preserve"> </w:t>
      </w:r>
      <w:r w:rsidR="00377CA6">
        <w:rPr>
          <w:rFonts w:ascii="Times New Roman" w:eastAsia="Times New Roman" w:hAnsi="Times New Roman"/>
        </w:rPr>
        <w:fldChar w:fldCharType="begin" w:fldLock="1"/>
      </w:r>
      <w:r w:rsidR="00BA62EB">
        <w:rPr>
          <w:rFonts w:ascii="Times New Roman" w:eastAsia="Times New Roman" w:hAnsi="Times New Roman"/>
        </w:rPr>
        <w:instrText>ADDIN CSL_CITATION {"citationItems":[{"id":"ITEM-1","itemData":{"DOI":"10.1038/nchembio.970","ISSN":"15524469","abstract":"Growing concerns over limited fossil resources and associated environmental problems are motivating the development of sustainable processes for the production of chemicals, fuels and materials from renewable resources. Metabolic engineering is a key enabling technology for transforming microorganisms into efficient cell factories for these compounds. Systems metabolic engineering, which incorporates the concepts and techniques of systems biology, synthetic biology and evolutionary engineering at the systems level, offers a conceptual and technological framework to speed the creation of new metabolic enzymes and pathways or the modification of existing pathways for the optimal production of desired products. Here we discuss the general strategies of systems metabolic engineering and examples of its application and offer insights as to when and how each of the different strategies should be used. Finally, we highlight the limitations and challenges to be overcome for the systems metabolic engineering of microorganisms at more advanced levels. © 2012 Nature America, Inc. All rights reserved.","author":[{"dropping-particle":"","family":"Lee","given":"Jeong Wook","non-dropping-particle":"","parse-names":false,"suffix":""},{"dropping-particle":"","family":"Na","given":"Dokyun","non-dropping-particle":"","parse-names":false,"suffix":""},{"dropping-particle":"","family":"Park","given":"Jong Myoung","non-dropping-particle":"","parse-names":false,"suffix":""},{"dropping-particle":"","family":"Lee","given":"Joungmin","non-dropping-particle":"","parse-names":false,"suffix":""},{"dropping-particle":"","family":"Choi","given":"Sol","non-dropping-particle":"","parse-names":false,"suffix":""},{"dropping-particle":"","family":"Lee","given":"Sang Yup","non-dropping-particle":"","parse-names":false,"suffix":""}],"container-title":"Nature Chemical Biology","id":"ITEM-1","issue":"6","issued":{"date-parts":[["2012"]]},"page":"536-546","publisher":"Nature Publishing Group","title":"Systems metabolic engineering of microorganisms for natural and non-natural chemicals","type":"article","volume":"8"},"uris":["http://www.mendeley.com/documents/?uuid=d3a357cc-f885-3c93-b6c0-f45febb561cd","http://www.mendeley.com/documents/?uuid=d1c7e0ed-c38d-4d56-8403-07299b738fa6","http://www.mendeley.com/documents/?uuid=800f488e-085a-4b38-9ffa-c0bed13812cd"]}],"mendeley":{"formattedCitation":"(Lee et al., 2012)","manualFormatting":"(Lee et al., 2012;","plainTextFormattedCitation":"(Lee et al., 2012)","previouslyFormattedCitation":"(Lee et al., 2012)"},"properties":{"noteIndex":0},"schema":"https://github.com/citation-style-language/schema/raw/master/csl-citation.json"}</w:instrText>
      </w:r>
      <w:r w:rsidR="00377CA6">
        <w:rPr>
          <w:rFonts w:ascii="Times New Roman" w:eastAsia="Times New Roman" w:hAnsi="Times New Roman"/>
        </w:rPr>
        <w:fldChar w:fldCharType="separate"/>
      </w:r>
      <w:r w:rsidR="00377CA6" w:rsidRPr="00095959">
        <w:rPr>
          <w:rFonts w:ascii="Times New Roman" w:eastAsia="Times New Roman" w:hAnsi="Times New Roman"/>
          <w:noProof/>
        </w:rPr>
        <w:t>(Lee et al., 2012</w:t>
      </w:r>
      <w:r w:rsidR="00377CA6">
        <w:rPr>
          <w:rFonts w:ascii="Times New Roman" w:eastAsia="Times New Roman" w:hAnsi="Times New Roman"/>
          <w:noProof/>
        </w:rPr>
        <w:t>;</w:t>
      </w:r>
      <w:r w:rsidR="00377CA6">
        <w:rPr>
          <w:rFonts w:ascii="Times New Roman" w:eastAsia="Times New Roman" w:hAnsi="Times New Roman"/>
        </w:rPr>
        <w:fldChar w:fldCharType="end"/>
      </w:r>
      <w:r w:rsidR="00BA62EB">
        <w:rPr>
          <w:rFonts w:ascii="Times New Roman" w:eastAsia="Times New Roman" w:hAnsi="Times New Roman"/>
        </w:rPr>
        <w:t xml:space="preserve"> </w:t>
      </w:r>
      <w:r w:rsidRPr="1386BD8E">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10.3389/fbioe.2019.00036","ISSN":"2296-4185","author":[{"dropping-particle":"","family":"García-Granados","given":"Raúl","non-dropping-particle":"","parse-names":false,"suffix":""},{"dropping-particle":"","family":"Lerma-Escalera","given":"Jordy Alexis","non-dropping-particle":"","parse-names":false,"suffix":""},{"dropping-particle":"","family":"Morones-Ramírez","given":"José R.","non-dropping-particle":"","parse-names":false,"suffix":""}],"container-title":"Frontiers in Bioengineering and Biotechnology","id":"ITEM-1","issued":{"date-parts":[["2019","3","4"]]},"title":"Metabolic Engineering and Synthetic Biology: Synergies, Future, and Challenges","type":"article-journal","volume":"7"},"uris":["http://www.mendeley.com/documents/?uuid=828a16e3-bfa2-4d34-bbd6-3eb67049e80e"]}],"mendeley":{"formattedCitation":"(García-Granados et al., 2019)","manualFormatting":"García-Granados et al., 2019)","plainTextFormattedCitation":"(García-Granados et al., 2019)","previouslyFormattedCitation":"(García-Granados et al., 2019)"},"properties":{"noteIndex":0},"schema":"https://github.com/citation-style-language/schema/raw/master/csl-citation.json"}</w:instrText>
      </w:r>
      <w:r w:rsidRPr="1386BD8E">
        <w:rPr>
          <w:rFonts w:ascii="Times New Roman" w:hAnsi="Times New Roman"/>
          <w:color w:val="000000" w:themeColor="text1"/>
          <w:lang w:eastAsia="ar-SA"/>
        </w:rPr>
        <w:fldChar w:fldCharType="separate"/>
      </w:r>
      <w:r w:rsidR="00C8692D" w:rsidRPr="1386BD8E">
        <w:rPr>
          <w:rFonts w:ascii="Times New Roman" w:hAnsi="Times New Roman"/>
          <w:noProof/>
          <w:color w:val="000000" w:themeColor="text1"/>
          <w:lang w:eastAsia="ar-SA"/>
        </w:rPr>
        <w:t>García-Granados et al., 2019)</w:t>
      </w:r>
      <w:r w:rsidRPr="1386BD8E">
        <w:rPr>
          <w:rFonts w:ascii="Times New Roman" w:hAnsi="Times New Roman"/>
          <w:color w:val="000000" w:themeColor="text1"/>
          <w:lang w:eastAsia="ar-SA"/>
        </w:rPr>
        <w:fldChar w:fldCharType="end"/>
      </w:r>
      <w:r w:rsidRPr="1386BD8E">
        <w:rPr>
          <w:rFonts w:ascii="Times New Roman" w:eastAsia="Times New Roman" w:hAnsi="Times New Roman"/>
        </w:rPr>
        <w:t xml:space="preserve">. Recently, </w:t>
      </w:r>
      <w:r w:rsidR="623D6424" w:rsidRPr="1386BD8E">
        <w:rPr>
          <w:rFonts w:ascii="Times New Roman" w:eastAsia="Times New Roman" w:hAnsi="Times New Roman"/>
        </w:rPr>
        <w:t>such</w:t>
      </w:r>
      <w:r w:rsidRPr="1386BD8E">
        <w:rPr>
          <w:rFonts w:ascii="Times New Roman" w:eastAsia="Times New Roman" w:hAnsi="Times New Roman"/>
        </w:rPr>
        <w:t xml:space="preserve"> engineering </w:t>
      </w:r>
      <w:r w:rsidR="125E97C7" w:rsidRPr="1386BD8E">
        <w:rPr>
          <w:rFonts w:ascii="Times New Roman" w:eastAsia="Times New Roman" w:hAnsi="Times New Roman"/>
        </w:rPr>
        <w:t>has</w:t>
      </w:r>
      <w:r w:rsidRPr="1386BD8E">
        <w:rPr>
          <w:rFonts w:ascii="Times New Roman" w:eastAsia="Times New Roman" w:hAnsi="Times New Roman"/>
        </w:rPr>
        <w:t xml:space="preserve"> produce</w:t>
      </w:r>
      <w:r w:rsidR="4125929B" w:rsidRPr="1386BD8E">
        <w:rPr>
          <w:rFonts w:ascii="Times New Roman" w:eastAsia="Times New Roman" w:hAnsi="Times New Roman"/>
        </w:rPr>
        <w:t>d</w:t>
      </w:r>
      <w:r w:rsidRPr="1386BD8E">
        <w:rPr>
          <w:rFonts w:ascii="Times New Roman" w:eastAsia="Times New Roman" w:hAnsi="Times New Roman"/>
        </w:rPr>
        <w:t xml:space="preserve"> desired amount</w:t>
      </w:r>
      <w:r w:rsidR="4B348674" w:rsidRPr="1386BD8E">
        <w:rPr>
          <w:rFonts w:ascii="Times New Roman" w:eastAsia="Times New Roman" w:hAnsi="Times New Roman"/>
        </w:rPr>
        <w:t>s</w:t>
      </w:r>
      <w:r w:rsidRPr="1386BD8E">
        <w:rPr>
          <w:rFonts w:ascii="Times New Roman" w:eastAsia="Times New Roman" w:hAnsi="Times New Roman"/>
        </w:rPr>
        <w:t xml:space="preserve"> of natural and non-natural chemicals as well as necessary materials </w:t>
      </w:r>
      <w:r w:rsidRPr="1386BD8E">
        <w:rPr>
          <w:rFonts w:ascii="Times New Roman" w:eastAsia="Times New Roman" w:hAnsi="Times New Roman"/>
        </w:rPr>
        <w:fldChar w:fldCharType="begin" w:fldLock="1"/>
      </w:r>
      <w:r w:rsidR="008F6A90">
        <w:rPr>
          <w:rFonts w:ascii="Times New Roman" w:eastAsia="Times New Roman" w:hAnsi="Times New Roman"/>
        </w:rPr>
        <w:instrText>ADDIN CSL_CITATION {"citationItems":[{"id":"ITEM-1","itemData":{"DOI":"10.1016/j.cmpb.2020.105436","ISSN":"18727565","PMID":"32199314","abstract":"Background: Metabolic engineering aims at contriving microbes as biocatalysts for enhanced and cost-effective production of countless secondary metabolites. These secondary metabolites can be treated as the resources of industrial chemicals, pharmaceuticals and fuels. Plants are also crucial targets for metabolic engineers to produce necessary secondary metabolites. Metabolic engineering of both microorganism and plants also contributes towards drug discovery. In order to implement advanced metabolic engineering techniques efficiently, metabolic engineers should have detailed knowledge about cell physiology and metabolism. Principle behind methodologies: Genome-scale mathematical models of integrated metabolic, signal transduction, gene regulatory and protein-protein interaction networks along with experimental validation can provide such knowledge in this context. Incorporation of omics data into these models is crucial in the case of drug discovery. Inverse metabolic engineering and metabolic control analysis (MCA) can help in developing such models. Artificial intelligence methodology can also be applied for efficient and accurate metabolic engineering. Conclusion: In this review, we discuss, at the beginning, the perspectives of metabolic engineering and its application on microorganism and plant leading to drug discovery. At the end, we elaborate why inverse metabolic engineering and MCA are closely related to modern metabolic engineering. In addition, some crucial steps ensuring efficient and optimal metabolic engineering strategies have been discussed. Moreover, we explore the use of genomics data for the activation of silent metabolic clusters and how it can be integrated with metabolic engineering. Finally, we exhibit a few applications of artificial intelligence to metabolic engineering.","author":[{"dropping-particle":"","family":"Dasgupta","given":"Abhijit","non-dropping-particle":"","parse-names":false,"suffix":""},{"dropping-particle":"","family":"Chowdhury","given":"Nirmalya","non-dropping-particle":"","parse-names":false,"suffix":""},{"dropping-particle":"","family":"De","given":"Rajat K.","non-dropping-particle":"","parse-names":false,"suffix":""}],"container-title":"Computer Methods and Programs in Biomedicine","id":"ITEM-1","issued":{"date-parts":[["2020","8"]]},"publisher":"Elsevier Ireland Ltd","title":"Metabolic pathway engineering: Perspectives and applications","type":"article","volume":"192"},"uris":["http://www.mendeley.com/documents/?uuid=22acb575-d4fa-4efc-82b4-11a850f51425"]}],"mendeley":{"formattedCitation":"(Dasgupta et al., 2020)","plainTextFormattedCitation":"(Dasgupta et al., 2020)","previouslyFormattedCitation":"(Dasgupta et al., 2020)"},"properties":{"noteIndex":0},"schema":"https://github.com/citation-style-language/schema/raw/master/csl-citation.json"}</w:instrText>
      </w:r>
      <w:r w:rsidRPr="1386BD8E">
        <w:rPr>
          <w:rFonts w:ascii="Times New Roman" w:eastAsia="Times New Roman" w:hAnsi="Times New Roman"/>
        </w:rPr>
        <w:fldChar w:fldCharType="separate"/>
      </w:r>
      <w:r w:rsidR="7BD48BAB" w:rsidRPr="1386BD8E">
        <w:rPr>
          <w:rFonts w:ascii="Times New Roman" w:eastAsia="Times New Roman" w:hAnsi="Times New Roman"/>
          <w:noProof/>
        </w:rPr>
        <w:t>(Dasgupta et al., 2020)</w:t>
      </w:r>
      <w:r w:rsidRPr="1386BD8E">
        <w:rPr>
          <w:rFonts w:ascii="Times New Roman" w:eastAsia="Times New Roman" w:hAnsi="Times New Roman"/>
        </w:rPr>
        <w:fldChar w:fldCharType="end"/>
      </w:r>
      <w:r w:rsidRPr="1386BD8E">
        <w:rPr>
          <w:rFonts w:ascii="Times New Roman" w:eastAsia="Times New Roman" w:hAnsi="Times New Roman"/>
        </w:rPr>
        <w:t>.</w:t>
      </w:r>
      <w:r w:rsidRPr="1386BD8E">
        <w:rPr>
          <w:rFonts w:ascii="Times New Roman" w:hAnsi="Times New Roman"/>
          <w:color w:val="000000" w:themeColor="text1"/>
          <w:lang w:eastAsia="ar-SA"/>
        </w:rPr>
        <w:t xml:space="preserve"> </w:t>
      </w:r>
      <w:r w:rsidR="00DB1B19" w:rsidRPr="1386BD8E">
        <w:rPr>
          <w:rFonts w:ascii="Times New Roman" w:hAnsi="Times New Roman"/>
          <w:color w:val="000000" w:themeColor="text1"/>
          <w:lang w:eastAsia="ar-SA"/>
        </w:rPr>
        <w:t xml:space="preserve">For instance, </w:t>
      </w:r>
      <w:r w:rsidR="24CDE6DA" w:rsidRPr="1386BD8E">
        <w:rPr>
          <w:rFonts w:ascii="Times New Roman" w:hAnsi="Times New Roman"/>
          <w:color w:val="000000" w:themeColor="text1"/>
          <w:lang w:eastAsia="ar-SA"/>
        </w:rPr>
        <w:t xml:space="preserve">over the course of several months, researchers created </w:t>
      </w:r>
      <w:r w:rsidR="24CDE6DA" w:rsidRPr="1386BD8E">
        <w:rPr>
          <w:rFonts w:ascii="Times New Roman" w:hAnsi="Times New Roman"/>
          <w:i/>
          <w:color w:val="000000" w:themeColor="text1"/>
          <w:lang w:eastAsia="ar-SA"/>
        </w:rPr>
        <w:t>E. coli</w:t>
      </w:r>
      <w:r w:rsidR="24CDE6DA" w:rsidRPr="1386BD8E">
        <w:rPr>
          <w:rFonts w:ascii="Times New Roman" w:hAnsi="Times New Roman"/>
          <w:color w:val="000000" w:themeColor="text1"/>
          <w:lang w:eastAsia="ar-SA"/>
        </w:rPr>
        <w:t xml:space="preserve"> strains that consume CO</w:t>
      </w:r>
      <w:r w:rsidR="24CDE6DA" w:rsidRPr="1386BD8E">
        <w:rPr>
          <w:rFonts w:ascii="Times New Roman" w:hAnsi="Times New Roman"/>
          <w:color w:val="000000" w:themeColor="text1"/>
          <w:vertAlign w:val="subscript"/>
          <w:lang w:eastAsia="ar-SA"/>
        </w:rPr>
        <w:t>2</w:t>
      </w:r>
      <w:r w:rsidR="24CDE6DA" w:rsidRPr="1386BD8E">
        <w:rPr>
          <w:rFonts w:ascii="Times New Roman" w:hAnsi="Times New Roman"/>
          <w:color w:val="000000" w:themeColor="text1"/>
          <w:lang w:eastAsia="ar-SA"/>
        </w:rPr>
        <w:t xml:space="preserve"> for energy instead of organic compounds. This achievement in synthetic biology, the metabolic rewiring and lab evolution to convert </w:t>
      </w:r>
      <w:r w:rsidR="24CDE6DA" w:rsidRPr="1386BD8E">
        <w:rPr>
          <w:rFonts w:ascii="Times New Roman" w:hAnsi="Times New Roman"/>
          <w:i/>
          <w:color w:val="000000" w:themeColor="text1"/>
          <w:lang w:eastAsia="ar-SA"/>
        </w:rPr>
        <w:t>E. coli</w:t>
      </w:r>
      <w:r w:rsidR="24CDE6DA" w:rsidRPr="1386BD8E">
        <w:rPr>
          <w:rFonts w:ascii="Times New Roman" w:hAnsi="Times New Roman"/>
          <w:color w:val="000000" w:themeColor="text1"/>
          <w:lang w:eastAsia="ar-SA"/>
        </w:rPr>
        <w:t xml:space="preserve"> into autotrophs, highlights the plasticity of bacterial metabolisms and could </w:t>
      </w:r>
      <w:r w:rsidR="00617335">
        <w:rPr>
          <w:rFonts w:ascii="Times New Roman" w:hAnsi="Times New Roman"/>
          <w:color w:val="000000" w:themeColor="text1"/>
          <w:lang w:eastAsia="ar-SA"/>
        </w:rPr>
        <w:t>enable</w:t>
      </w:r>
      <w:r w:rsidR="24CDE6DA" w:rsidRPr="1386BD8E">
        <w:rPr>
          <w:rFonts w:ascii="Times New Roman" w:hAnsi="Times New Roman"/>
          <w:color w:val="000000" w:themeColor="text1"/>
          <w:lang w:eastAsia="ar-SA"/>
        </w:rPr>
        <w:t xml:space="preserve"> future carbon-neutral bioproduction </w:t>
      </w:r>
      <w:r w:rsidRPr="1386BD8E">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10.1016/j.cell.2019.11.009","ISSN":"00928674","author":[{"dropping-particle":"","family":"Gleizer","given":"Shmuel","non-dropping-particle":"","parse-names":false,"suffix":""},{"dropping-particle":"","family":"Ben-Nissan","given":"Roee","non-dropping-particle":"","parse-names":false,"suffix":""},{"dropping-particle":"","family":"Bar-On","given":"Yinon M.","non-dropping-particle":"","parse-names":false,"suffix":""},{"dropping-particle":"","family":"Antonovsky","given":"Niv","non-dropping-particle":"","parse-names":false,"suffix":""},{"dropping-particle":"","family":"Noor","given":"Elad","non-dropping-particle":"","parse-names":false,"suffix":""},{"dropping-particle":"","family":"Zohar","given":"Yehudit","non-dropping-particle":"","parse-names":false,"suffix":""},{"dropping-particle":"","family":"Jona","given":"Ghil","non-dropping-particle":"","parse-names":false,"suffix":""},{"dropping-particle":"","family":"Krieger","given":"Eyal","non-dropping-particle":"","parse-names":false,"suffix":""},{"dropping-particle":"","family":"Shamshoum","given":"Melina","non-dropping-particle":"","parse-names":false,"suffix":""},{"dropping-particle":"","family":"Bar-Even","given":"Arren","non-dropping-particle":"","parse-names":false,"suffix":""},{"dropping-particle":"","family":"Milo","given":"Ron","non-dropping-particle":"","parse-names":false,"suffix":""}],"container-title":"Cell","id":"ITEM-1","issue":"6","issued":{"date-parts":[["2019","11"]]},"page":"1255-1263.e12","title":"Conversion of Escherichia coli to Generate All Biomass Carbon from CO2","type":"article-journal","volume":"179"},"uris":["http://www.mendeley.com/documents/?uuid=dc70d018-3287-4d40-8b64-1524f3cf29a7"]}],"mendeley":{"formattedCitation":"(Gleizer et al., 2019)","plainTextFormattedCitation":"(Gleizer et al., 2019)","previouslyFormattedCitation":"(Gleizer et al., 2019)"},"properties":{"noteIndex":0},"schema":"https://github.com/citation-style-language/schema/raw/master/csl-citation.json"}</w:instrText>
      </w:r>
      <w:r w:rsidRPr="1386BD8E">
        <w:rPr>
          <w:rFonts w:ascii="Times New Roman" w:hAnsi="Times New Roman"/>
          <w:color w:val="000000" w:themeColor="text1"/>
          <w:lang w:eastAsia="ar-SA"/>
        </w:rPr>
        <w:fldChar w:fldCharType="separate"/>
      </w:r>
      <w:r w:rsidR="24CDE6DA" w:rsidRPr="1386BD8E">
        <w:rPr>
          <w:rFonts w:ascii="Times New Roman" w:hAnsi="Times New Roman"/>
          <w:noProof/>
          <w:color w:val="000000" w:themeColor="text1"/>
          <w:lang w:eastAsia="ar-SA"/>
        </w:rPr>
        <w:t>(Gleizer et al., 2019)</w:t>
      </w:r>
      <w:r w:rsidRPr="1386BD8E">
        <w:rPr>
          <w:rFonts w:ascii="Times New Roman" w:hAnsi="Times New Roman"/>
          <w:color w:val="000000" w:themeColor="text1"/>
          <w:lang w:eastAsia="ar-SA"/>
        </w:rPr>
        <w:fldChar w:fldCharType="end"/>
      </w:r>
      <w:r w:rsidR="24CDE6DA" w:rsidRPr="1386BD8E">
        <w:rPr>
          <w:rFonts w:ascii="Times New Roman" w:hAnsi="Times New Roman"/>
          <w:color w:val="000000" w:themeColor="text1"/>
          <w:lang w:eastAsia="ar-SA"/>
        </w:rPr>
        <w:t xml:space="preserve">. </w:t>
      </w:r>
      <w:r w:rsidR="253CAF84" w:rsidRPr="1386BD8E">
        <w:rPr>
          <w:rFonts w:ascii="Times New Roman" w:hAnsi="Times New Roman"/>
          <w:color w:val="000000" w:themeColor="text1"/>
          <w:lang w:eastAsia="ar-SA"/>
        </w:rPr>
        <w:t>Y</w:t>
      </w:r>
      <w:r w:rsidR="00DB1B19" w:rsidRPr="1386BD8E">
        <w:rPr>
          <w:rFonts w:ascii="Times New Roman" w:hAnsi="Times New Roman"/>
          <w:color w:val="000000" w:themeColor="text1"/>
          <w:lang w:eastAsia="ar-SA"/>
        </w:rPr>
        <w:t xml:space="preserve">east metabolism has been engineered </w:t>
      </w:r>
      <w:r w:rsidR="08AB7A49" w:rsidRPr="1386BD8E">
        <w:rPr>
          <w:rFonts w:ascii="Times New Roman" w:hAnsi="Times New Roman"/>
          <w:color w:val="000000" w:themeColor="text1"/>
          <w:lang w:eastAsia="ar-SA"/>
        </w:rPr>
        <w:t>too. Researchers have achieve</w:t>
      </w:r>
      <w:r w:rsidR="001674EA">
        <w:rPr>
          <w:rFonts w:ascii="Times New Roman" w:hAnsi="Times New Roman"/>
          <w:color w:val="000000" w:themeColor="text1"/>
          <w:lang w:eastAsia="ar-SA"/>
        </w:rPr>
        <w:t>d</w:t>
      </w:r>
      <w:r w:rsidR="08AB7A49" w:rsidRPr="1386BD8E">
        <w:rPr>
          <w:rFonts w:ascii="Times New Roman" w:hAnsi="Times New Roman"/>
          <w:color w:val="000000" w:themeColor="text1"/>
          <w:lang w:eastAsia="ar-SA"/>
        </w:rPr>
        <w:t xml:space="preserve"> </w:t>
      </w:r>
      <w:r w:rsidR="7C5E2089" w:rsidRPr="1386BD8E">
        <w:rPr>
          <w:rFonts w:ascii="Times New Roman" w:hAnsi="Times New Roman"/>
          <w:color w:val="000000" w:themeColor="text1"/>
          <w:lang w:eastAsia="ar-SA"/>
        </w:rPr>
        <w:t>the</w:t>
      </w:r>
      <w:r w:rsidR="00DB1B19" w:rsidRPr="1386BD8E">
        <w:rPr>
          <w:rFonts w:ascii="Times New Roman" w:hAnsi="Times New Roman"/>
          <w:color w:val="000000" w:themeColor="text1"/>
          <w:lang w:eastAsia="ar-SA"/>
        </w:rPr>
        <w:t xml:space="preserve"> biosynthesis of medicinal tropane alkaloids </w:t>
      </w:r>
      <w:r w:rsidR="00BA62EB">
        <w:rPr>
          <w:rFonts w:ascii="Times New Roman" w:hAnsi="Times New Roman"/>
          <w:color w:val="000000" w:themeColor="text1"/>
          <w:lang w:eastAsia="ar-SA"/>
        </w:rPr>
        <w:fldChar w:fldCharType="begin" w:fldLock="1"/>
      </w:r>
      <w:r w:rsidR="00365E0A">
        <w:rPr>
          <w:rFonts w:ascii="Times New Roman" w:hAnsi="Times New Roman"/>
          <w:color w:val="000000" w:themeColor="text1"/>
          <w:lang w:eastAsia="ar-SA"/>
        </w:rPr>
        <w:instrText>ADDIN CSL_CITATION {"citationItems":[{"id":"ITEM-1","itemData":{"DOI":"10.1038/s41586-020-2650-9","ISSN":"14764687","PMID":"32879484","abstract":"Tropane alkaloids from nightshade plants are neurotransmitter inhibitors that are used for treating neuromuscular disorders and are classified as essential medicines by the World Health Organization1,2. Challenges in global supplies have resulted in frequent shortages of these drugs3,4. Further vulnerabilities in supply chains have been revealed by events such as the Australian wildfires5 and the COVID-19 pandemic6. Rapidly deployable production strategies that are robust to environmental and socioeconomic upheaval7,8 are needed. Here we engineered baker's yeast to produce the medicinal alkaloids hyoscyamine and scopolamine, starting from simple sugars and amino acids. We combined functional genomics to identify a missing pathway enzyme, protein engineering to enable the functional expression of an acyltransferase via trafficking to the vacuole, heterologous transporters to facilitate intracellular routing, and strain optimization to improve titres. Our integrated system positions more than twenty proteins adapted from yeast, bacteria, plants and animals across six sub-cellular locations to recapitulate the spatial organization of tropane alkaloid biosynthesis in plants. Microbial biosynthesis platforms can facilitate the discovery of tropane alkaloid derivatives as new therapeutic agents for neurological disease and, once scaled, enable robust and agile supply of these essential medicines.","author":[{"dropping-particle":"","family":"Srinivasan","given":"Prashanth","non-dropping-particle":"","parse-names":false,"suffix":""},{"dropping-particle":"","family":"Smolke","given":"Christina D","non-dropping-particle":"","parse-names":false,"suffix":""}],"container-title":"Nature","id":"ITEM-1","issue":"7826","issued":{"date-parts":[["2020","9"]]},"page":"614-619","publisher":"Nature Research","title":"Biosynthesis of medicinal tropane alkaloids in yeast","type":"article-journal","volume":"585"},"uris":["http://www.mendeley.com/documents/?uuid=f21aa176-1ed2-4f07-9af1-bc0c4873c551"]}],"mendeley":{"formattedCitation":"(Srinivasan &amp; Smolke, 2020)","plainTextFormattedCitation":"(Srinivasan &amp; Smolke, 2020)","previouslyFormattedCitation":"(Srinivasan &amp; Smolke, 2020)"},"properties":{"noteIndex":0},"schema":"https://github.com/citation-style-language/schema/raw/master/csl-citation.json"}</w:instrText>
      </w:r>
      <w:r w:rsidR="00BA62EB">
        <w:rPr>
          <w:rFonts w:ascii="Times New Roman" w:hAnsi="Times New Roman"/>
          <w:color w:val="000000" w:themeColor="text1"/>
          <w:lang w:eastAsia="ar-SA"/>
        </w:rPr>
        <w:fldChar w:fldCharType="separate"/>
      </w:r>
      <w:r w:rsidR="00BA62EB" w:rsidRPr="00BA62EB">
        <w:rPr>
          <w:rFonts w:ascii="Times New Roman" w:hAnsi="Times New Roman"/>
          <w:noProof/>
          <w:color w:val="000000" w:themeColor="text1"/>
          <w:lang w:eastAsia="ar-SA"/>
        </w:rPr>
        <w:t>(Srinivasan &amp; Smolke, 2020)</w:t>
      </w:r>
      <w:r w:rsidR="00BA62EB">
        <w:rPr>
          <w:rFonts w:ascii="Times New Roman" w:hAnsi="Times New Roman"/>
          <w:color w:val="000000" w:themeColor="text1"/>
          <w:lang w:eastAsia="ar-SA"/>
        </w:rPr>
        <w:fldChar w:fldCharType="end"/>
      </w:r>
      <w:r w:rsidR="00DB1B19" w:rsidRPr="1386BD8E">
        <w:rPr>
          <w:rFonts w:ascii="Times New Roman" w:hAnsi="Times New Roman"/>
          <w:color w:val="000000" w:themeColor="text1"/>
          <w:lang w:eastAsia="ar-SA"/>
        </w:rPr>
        <w:t xml:space="preserve">, </w:t>
      </w:r>
      <w:r w:rsidR="050530D3" w:rsidRPr="1386BD8E">
        <w:rPr>
          <w:rFonts w:ascii="Times New Roman" w:hAnsi="Times New Roman"/>
          <w:color w:val="000000" w:themeColor="text1"/>
          <w:lang w:eastAsia="ar-SA"/>
        </w:rPr>
        <w:t xml:space="preserve">the </w:t>
      </w:r>
      <w:r w:rsidR="00DB1B19" w:rsidRPr="1386BD8E">
        <w:rPr>
          <w:rFonts w:ascii="Times New Roman" w:hAnsi="Times New Roman"/>
          <w:color w:val="000000" w:themeColor="text1"/>
          <w:lang w:eastAsia="ar-SA"/>
        </w:rPr>
        <w:t>produc</w:t>
      </w:r>
      <w:r w:rsidR="2B504DE8" w:rsidRPr="1386BD8E">
        <w:rPr>
          <w:rFonts w:ascii="Times New Roman" w:hAnsi="Times New Roman"/>
          <w:color w:val="000000" w:themeColor="text1"/>
          <w:lang w:eastAsia="ar-SA"/>
        </w:rPr>
        <w:t>tion</w:t>
      </w:r>
      <w:r w:rsidR="5C0B81F4" w:rsidRPr="1386BD8E">
        <w:rPr>
          <w:rFonts w:ascii="Times New Roman" w:hAnsi="Times New Roman"/>
          <w:color w:val="000000" w:themeColor="text1"/>
          <w:lang w:eastAsia="ar-SA"/>
        </w:rPr>
        <w:t xml:space="preserve"> of</w:t>
      </w:r>
      <w:r w:rsidR="00DB1B19" w:rsidRPr="1386BD8E">
        <w:rPr>
          <w:rFonts w:ascii="Times New Roman" w:hAnsi="Times New Roman"/>
          <w:color w:val="000000" w:themeColor="text1"/>
          <w:lang w:eastAsia="ar-SA"/>
        </w:rPr>
        <w:t xml:space="preserve"> high-value isoprenoids </w:t>
      </w:r>
      <w:r w:rsidR="00D87212">
        <w:rPr>
          <w:rFonts w:ascii="Times New Roman" w:hAnsi="Times New Roman"/>
          <w:color w:val="000000" w:themeColor="text1"/>
          <w:lang w:eastAsia="ar-SA"/>
        </w:rPr>
        <w:t>in</w:t>
      </w:r>
      <w:r w:rsidR="00DB1B19" w:rsidRPr="1386BD8E">
        <w:rPr>
          <w:rFonts w:ascii="Times New Roman" w:hAnsi="Times New Roman"/>
          <w:color w:val="000000" w:themeColor="text1"/>
          <w:lang w:eastAsia="ar-SA"/>
        </w:rPr>
        <w:t xml:space="preserve"> yeast peroxisomes </w:t>
      </w:r>
      <w:r w:rsidR="005329B8">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{"citationItems":[{"id":"ITEM-1","itemData":{"DOI":"10.1073/pnas.2013968117","ISSN":"10916490","PMID":"33268495","abstract":"Current approaches for the production of high-value compounds in microorganisms mostly use the cytosol as a general reaction vessel. However, competing pathways and metabolic cross-talk frequently prevent efficient synthesis of target compounds in the cytosol. Eukaryotic cells control the complexity of their metabolism by harnessing organelles to insulate biochemical pathways. Inspired by this concept, herein we transform yeast peroxisomes into microfactories for geranyl diphosphate-derived compounds, focusing on monoterpenoids, monoterpene indole alkaloids, and cannabinoids. We introduce a complete mevalonate pathway in the peroxisome to convert acetyl-CoA to several commercially important monoterpenes and achieve up to 125-fold increase over cytosolic production. Furthermore, peroxisomal production improves subsequent decoration by cytochrome P450s, supporting efficient conversion of (S)-(-)-limonene to the menthol precursor trans-isopiperitenol. We also establish synthesis of 8-hydroxygeraniol, the precursor of monoterpene indole alkaloids, and cannabigerolic acid, the cannabinoid precursor. Our findings establish peroxisomal engineering as an efficient strategy for the production of isoprenoids.","author":[{"dropping-particle":"","family":"Dusséaux","given":"Simon","non-dropping-particle":"","parse-names":false,"suffix":""},{"dropping-particle":"","family":"Wajn","given":"William Thomas","non-dropping-particle":"","parse-names":false,"suffix":""},{"dropping-particle":"","family":"Liu","given":"Yixuan","non-dropping-particle":"","parse-names":false,"suffix":""},{"dropping-particle":"","family":"Ignea","given":"Codruta","non-dropping-particle":"","parse-names":false,"suffix":""},{"dropping-particle":"","family":"Kampranis","given":"Sotirios C.","non-dropping-particle":"","parse-names":false,"suffix":""}],"container-title":"Proceedings of the National Academy of Sciences of the United States of America","id":"ITEM-1","issue":"50","issued":{"date-parts":[["2020"]]},"page":"31789-31799","title":"Transforming yeast peroxisomes into microfactories for the efficient production of high-value isoprenoids","type":"article-journal","volume":"117"},"uris":["http://www.mendeley.com/documents/?uuid=78b177b1-3c65-4f72-8e29-38af6f8f346d","http://www.mendeley.com/documents/?uuid=5faf4cbf-74e4-4b03-910d-b207a812a034","http://www.mendeley.com/documents/?uuid=7d05eb1d-5c2d-4a7f-82ab-e5388d217699"]}],"mendeley":{"formattedCitation":"(Dusséaux et al., 2020)","plainTextFormattedCitation":"(Dusséaux et al., 2020)","previouslyFormattedCitation":"(Dusséaux et al., 2020)"},"properties":{"noteIndex":0},"schema":"https://github.com/citation-style-language/schema/raw/master/csl-citation.json"}</w:instrText>
      </w:r>
      <w:r w:rsidR="005329B8">
        <w:rPr>
          <w:rFonts w:ascii="Times New Roman" w:hAnsi="Times New Roman"/>
          <w:color w:val="000000" w:themeColor="text1"/>
          <w:lang w:eastAsia="ar-SA"/>
        </w:rPr>
        <w:fldChar w:fldCharType="separate"/>
      </w:r>
      <w:r w:rsidR="005329B8" w:rsidRPr="005329B8">
        <w:rPr>
          <w:rFonts w:ascii="Times New Roman" w:hAnsi="Times New Roman"/>
          <w:noProof/>
          <w:color w:val="000000" w:themeColor="text1"/>
          <w:lang w:eastAsia="ar-SA"/>
        </w:rPr>
        <w:t>(Dusséaux et al., 2020)</w:t>
      </w:r>
      <w:r w:rsidR="005329B8">
        <w:rPr>
          <w:rFonts w:ascii="Times New Roman" w:hAnsi="Times New Roman"/>
          <w:color w:val="000000" w:themeColor="text1"/>
          <w:lang w:eastAsia="ar-SA"/>
        </w:rPr>
        <w:fldChar w:fldCharType="end"/>
      </w:r>
      <w:r w:rsidR="00DB1B19" w:rsidRPr="1386BD8E">
        <w:rPr>
          <w:rFonts w:ascii="Times New Roman" w:hAnsi="Times New Roman"/>
          <w:color w:val="000000" w:themeColor="text1"/>
          <w:lang w:eastAsia="ar-SA"/>
        </w:rPr>
        <w:t xml:space="preserve">, </w:t>
      </w:r>
      <w:r w:rsidR="2C6AD5C1" w:rsidRPr="1386BD8E">
        <w:rPr>
          <w:rFonts w:ascii="Times New Roman" w:hAnsi="Times New Roman"/>
          <w:color w:val="000000" w:themeColor="text1"/>
          <w:lang w:eastAsia="ar-SA"/>
        </w:rPr>
        <w:t>the</w:t>
      </w:r>
      <w:r w:rsidR="00DB1B19" w:rsidRPr="1386BD8E">
        <w:rPr>
          <w:rFonts w:ascii="Times New Roman" w:hAnsi="Times New Roman"/>
          <w:color w:val="000000" w:themeColor="text1"/>
          <w:lang w:eastAsia="ar-SA"/>
        </w:rPr>
        <w:t xml:space="preserve"> completi</w:t>
      </w:r>
      <w:r w:rsidR="49166B90" w:rsidRPr="1386BD8E">
        <w:rPr>
          <w:rFonts w:ascii="Times New Roman" w:hAnsi="Times New Roman"/>
          <w:color w:val="000000" w:themeColor="text1"/>
          <w:lang w:eastAsia="ar-SA"/>
        </w:rPr>
        <w:t>on</w:t>
      </w:r>
      <w:r w:rsidR="00882F8B">
        <w:rPr>
          <w:rFonts w:ascii="Times New Roman" w:hAnsi="Times New Roman"/>
          <w:color w:val="000000" w:themeColor="text1"/>
          <w:lang w:eastAsia="ar-SA"/>
        </w:rPr>
        <w:t xml:space="preserve"> </w:t>
      </w:r>
      <w:r w:rsidR="7ACDD7E9" w:rsidRPr="1386BD8E">
        <w:rPr>
          <w:rFonts w:ascii="Times New Roman" w:hAnsi="Times New Roman"/>
          <w:color w:val="000000" w:themeColor="text1"/>
          <w:lang w:eastAsia="ar-SA"/>
        </w:rPr>
        <w:t>of cannabinoids</w:t>
      </w:r>
      <w:r w:rsidR="00DB1B19" w:rsidRPr="1386BD8E">
        <w:rPr>
          <w:rFonts w:ascii="Times New Roman" w:hAnsi="Times New Roman"/>
          <w:color w:val="000000" w:themeColor="text1"/>
          <w:lang w:eastAsia="ar-SA"/>
        </w:rPr>
        <w:t xml:space="preserve"> biosynthesis and their unnatural analogues </w:t>
      </w:r>
      <w:r w:rsidR="00365E0A">
        <w:rPr>
          <w:rFonts w:ascii="Times New Roman" w:hAnsi="Times New Roman"/>
          <w:color w:val="000000" w:themeColor="text1"/>
          <w:lang w:eastAsia="ar-SA"/>
        </w:rPr>
        <w:fldChar w:fldCharType="begin" w:fldLock="1"/>
      </w:r>
      <w:r w:rsidR="00744B92">
        <w:rPr>
          <w:rFonts w:ascii="Times New Roman" w:hAnsi="Times New Roman"/>
          <w:color w:val="000000" w:themeColor="text1"/>
          <w:lang w:eastAsia="ar-SA"/>
        </w:rPr>
        <w:instrText>ADDIN CSL_CITATION {"citationItems":[{"id":"ITEM-1","itemData":{"DOI":"10.1038/s41586-019-0978-9","ISSN":"1476-4687","abstract":"Cannabis sativa L. has been cultivated and used around the globe for its medicinal properties for millennia1. Some cannabinoids, the hallmark constituents of Cannabis, and their analogues have been investigated extensively for their potential medical applications2. Certain cannabinoid formulations have been approved as prescription drugs in several countries for the treatment of a range of human ailments3. However, the study and medicinal use of cannabinoids has been hampered by the legal scheduling of Cannabis, the low in planta abundances of nearly all of the dozens of known cannabinoids4, and their structural complexity, which limits bulk chemical synthesis. Here we report the complete biosynthesis of the major cannabinoids cannabigerolic acid, Δ9-tetrahydrocannabinolic acid, cannabidiolic acid, Δ9-tetrahydrocannabivarinic acid and cannabidivarinic acid in Saccharomyces cerevisiae, from the simple sugar galactose. To accomplish this, we engineered the native mevalonate pathway to provide a high flux of geranyl pyrophosphate and introduced a heterologous, multi-organism-derived hexanoyl-CoA biosynthetic pathway5. We also introduced the Cannabis genes that encode the enzymes involved in the biosynthesis of olivetolic acid6, as well as the gene for a previously undiscovered enzyme with geranylpyrophosphate:olivetolate geranyltransferase activity and the genes for corresponding cannabinoid synthases7,8. Furthermore, we established a biosynthetic approach that harnessed the promiscuity of several pathway genes to produce cannabinoid analogues. Feeding different fatty acids to our engineered strains yielded cannabinoid analogues with modifications in the part of the molecule that is known to alter receptor binding affinity and potency9. We also demonstrated that our biological system could be complemented by simple synthetic chemistry to further expand the accessible chemical space. Our work presents a platform for the production of natural and unnatural cannabinoids that will allow for more rigorous study of these compounds and could be used in the development of treatments for a variety of human health problems.","author":[{"dropping-particle":"","family":"Luo","given":"Xiaozhou","non-dropping-particle":"","parse-names":false,"suffix":""},{"dropping-particle":"","family":"Reiter","given":"Michael A","non-dropping-particle":"","parse-names":false,"suffix":""},{"dropping-particle":"","family":"d’Espaux","given":"Leo","non-dropping-particle":"","parse-names":false,"suffix":""},{"dropping-particle":"","family":"Wong","given":"Jeff","non-dropping-particle":"","parse-names":false,"suffix":""},{"dropping-particle":"","family":"Denby","given":"Charles M","non-dropping-particle":"","parse-names":false,"suffix":""},{"dropping-particle":"","family":"Lechner","given":"Anna","non-dropping-particle":"","parse-names":false,"suffix":""},{"dropping-particle":"","family":"Zhang","given":"Yunfeng","non-dropping-particle":"","parse-names":false,"suffix":""},{"dropping-particle":"","family":"Grzybowski","given":"Adrian T","non-dropping-particle":"","parse-names":false,"suffix":""},{"dropping-particle":"","family":"Harth","given":"Simon","non-dropping-particle":"","parse-names":false,"suffix":""},{"dropping-particle":"","family":"Lin","given":"Weiyin","non-dropping-particle":"","parse-names":false,"suffix":""},{"dropping-particle":"","family":"Lee","given":"Hyunsu","non-dropping-particle":"","parse-names":false,"suffix":""},{"dropping-particle":"","family":"Yu","given":"Changhua","non-dropping-particle":"","parse-names":false,"suffix":""},{"dropping-particle":"","family":"Shin","given":"John","non-dropping-particle":"","parse-names":false,"suffix":""},{"dropping-particle":"","family":"Deng","given":"Kai","non-dropping-particle":"","parse-names":false,"suffix":""},{"dropping-particle":"","family":"Benites","given":"Veronica T","non-dropping-particle":"","parse-names":false,"suffix":""},{"dropping-particle":"","family":"Wang","given":"George","non-dropping-particle":"","parse-names":false,"suffix":""},{"dropping-particle":"","family":"Baidoo","given":"Edward E K","non-dropping-particle":"","parse-names":false,"suffix":""},{"dropping-particle":"","family":"Chen","given":"Yan","non-dropping-particle":"","parse-names":false,"suffix":""},{"dropping-particle":"","family":"Dev","given":"Ishaan","non-dropping-particle":"","parse-names":false,"suffix":""},{"dropping-particle":"","family":"Petzold","given":"Christopher J","non-dropping-particle":"","parse-names":false,"suffix":""},{"dropping-particle":"","family":"Keasling","given":"Jay D","non-dropping-particle":"","parse-names":false,"suffix":""}],"container-title":"Nature","id":"ITEM-1","issue":"7746","issued":{"date-parts":[["2019"]]},"page":"123-126","title":"Complete biosynthesis of cannabinoids and their unnatural analogues in yeast","type":"article-journal","volume":"567"},"uris":["http://www.mendeley.com/documents/?uuid=3ee39520-fb90-4f64-b9db-8e704e22619f"]}],"mendeley":{"formattedCitation":"(X. Luo et al., 2019)","manualFormatting":"(Luo et al., 2019)","plainTextFormattedCitation":"(X. Luo et al., 2019)","previouslyFormattedCitation":"(X. Luo et al., 2019)"},"properties":{"noteIndex":0},"schema":"https://github.com/citation-style-language/schema/raw/master/csl-citation.json"}</w:instrText>
      </w:r>
      <w:r w:rsidR="00365E0A">
        <w:rPr>
          <w:rFonts w:ascii="Times New Roman" w:hAnsi="Times New Roman"/>
          <w:color w:val="000000" w:themeColor="text1"/>
          <w:lang w:eastAsia="ar-SA"/>
        </w:rPr>
        <w:fldChar w:fldCharType="separate"/>
      </w:r>
      <w:r w:rsidR="00365E0A" w:rsidRPr="00365E0A">
        <w:rPr>
          <w:rFonts w:ascii="Times New Roman" w:hAnsi="Times New Roman"/>
          <w:noProof/>
          <w:color w:val="000000" w:themeColor="text1"/>
          <w:lang w:eastAsia="ar-SA"/>
        </w:rPr>
        <w:t>(Luo et al., 2019)</w:t>
      </w:r>
      <w:r w:rsidR="00365E0A">
        <w:rPr>
          <w:rFonts w:ascii="Times New Roman" w:hAnsi="Times New Roman"/>
          <w:color w:val="000000" w:themeColor="text1"/>
          <w:lang w:eastAsia="ar-SA"/>
        </w:rPr>
        <w:fldChar w:fldCharType="end"/>
      </w:r>
      <w:r w:rsidR="34B1D8CF" w:rsidRPr="1386BD8E">
        <w:rPr>
          <w:rFonts w:ascii="Times New Roman" w:hAnsi="Times New Roman"/>
          <w:color w:val="000000" w:themeColor="text1"/>
          <w:lang w:eastAsia="ar-SA"/>
        </w:rPr>
        <w:t xml:space="preserve">, </w:t>
      </w:r>
      <w:r w:rsidR="00BB577E">
        <w:rPr>
          <w:rFonts w:ascii="Times New Roman" w:hAnsi="Times New Roman"/>
          <w:color w:val="000000" w:themeColor="text1"/>
          <w:lang w:eastAsia="ar-SA"/>
        </w:rPr>
        <w:t>and</w:t>
      </w:r>
      <w:r w:rsidR="34B1D8CF" w:rsidRPr="1386BD8E">
        <w:rPr>
          <w:rFonts w:ascii="Times New Roman" w:hAnsi="Times New Roman"/>
          <w:color w:val="000000" w:themeColor="text1"/>
          <w:lang w:eastAsia="ar-SA"/>
        </w:rPr>
        <w:t xml:space="preserve"> the conversion the industrial yeast </w:t>
      </w:r>
      <w:r w:rsidR="34B1D8CF" w:rsidRPr="1386BD8E">
        <w:rPr>
          <w:rFonts w:ascii="Times New Roman" w:hAnsi="Times New Roman"/>
          <w:i/>
          <w:color w:val="000000" w:themeColor="text1"/>
          <w:lang w:eastAsia="ar-SA"/>
        </w:rPr>
        <w:t>Pichia pastoris</w:t>
      </w:r>
      <w:r w:rsidR="34B1D8CF" w:rsidRPr="1386BD8E">
        <w:rPr>
          <w:rFonts w:ascii="Times New Roman" w:hAnsi="Times New Roman"/>
          <w:color w:val="000000" w:themeColor="text1"/>
          <w:lang w:eastAsia="ar-SA"/>
        </w:rPr>
        <w:t xml:space="preserve"> from a heterotroph into an autotroph capable of growth on CO</w:t>
      </w:r>
      <w:r w:rsidR="34B1D8CF" w:rsidRPr="1386BD8E">
        <w:rPr>
          <w:rFonts w:ascii="Times New Roman" w:hAnsi="Times New Roman"/>
          <w:color w:val="000000" w:themeColor="text1"/>
          <w:vertAlign w:val="subscript"/>
          <w:lang w:eastAsia="ar-SA"/>
        </w:rPr>
        <w:t>2</w:t>
      </w:r>
      <w:r w:rsidR="34B1D8CF" w:rsidRPr="1386BD8E">
        <w:rPr>
          <w:rFonts w:ascii="Times New Roman" w:hAnsi="Times New Roman"/>
          <w:color w:val="000000" w:themeColor="text1"/>
          <w:lang w:eastAsia="ar-SA"/>
        </w:rPr>
        <w:t xml:space="preserve"> </w:t>
      </w:r>
      <w:r w:rsidR="00FD0214">
        <w:rPr>
          <w:rFonts w:ascii="Times New Roman" w:hAnsi="Times New Roman"/>
          <w:color w:val="000000" w:themeColor="text1"/>
          <w:lang w:eastAsia="ar-SA"/>
        </w:rPr>
        <w:fldChar w:fldCharType="begin" w:fldLock="1"/>
      </w:r>
      <w:r w:rsidR="00561279">
        <w:rPr>
          <w:rFonts w:ascii="Times New Roman" w:hAnsi="Times New Roman"/>
          <w:color w:val="000000" w:themeColor="text1"/>
          <w:lang w:eastAsia="ar-SA"/>
        </w:rPr>
        <w:instrText>ADDIN CSL_CITATION {"citationItems":[{"id":"ITEM-1","itemData":{"DOI":"10.1038/s41587-019-0363-0","ISSN":"15461696","PMID":"31844294","abstract":"The methylotrophic yeast Pichia pastoris is widely used in the manufacture of industrial enzymes and pharmaceuticals. Like most biotechnological production hosts, P. pastoris is heterotrophic and grows on organic feedstocks that have competing uses in the production of food and animal feed. In a step toward more sustainable industrial processes, we describe the conversion of P. pastoris into an autotroph that grows on CO2. By addition of eight heterologous genes and deletion of three native genes, we engineer the peroxisomal methanol-assimilation pathway of P. pastoris into a CO2-fixation pathway resembling the Calvin–Benson–Bassham cycle, the predominant natural CO2-fixation pathway. The resulting strain can grow continuously with CO2 as a sole carbon source at a µmax of 0.008 h−1. The specific growth rate was further improved to 0.018 h−1 by adaptive laboratory evolution. This engineered P. pastoris strain may promote sustainability by sequestering the greenhouse gas CO2, and by avoiding consumption of an organic feedstock with alternative uses in food production.","author":[{"dropping-particle":"","family":"Gassler","given":"Thomas","non-dropping-particle":"","parse-names":false,"suffix":""},{"dropping-particle":"","family":"Sauer","given":"Michael","non-dropping-particle":"","parse-names":false,"suffix":""},{"dropping-particle":"","family":"Gasser","given":"Brigitte","non-dropping-particle":"","parse-names":false,"suffix":""},{"dropping-particle":"","family":"Egermeier","given":"Michael","non-dropping-particle":"","parse-names":false,"suffix":""},{"dropping-particle":"","family":"Troyer","given":"Christina","non-dropping-particle":"","parse-names":false,"suffix":""},{"dropping-particle":"","family":"Causon","given":"Tim","non-dropping-particle":"","parse-names":false,"suffix":""},{"dropping-particle":"","family":"Hann","given":"Stephan","non-dropping-particle":"","parse-names":false,"suffix":""},{"dropping-particle":"","family":"Mattanovich","given":"Diethard","non-dropping-particle":"","parse-names":false,"suffix":""},{"dropping-particle":"","family":"Steiger","given":"Matthias G","non-dropping-particle":"","parse-names":false,"suffix":""}],"container-title":"Nature Biotechnology","id":"ITEM-1","issue":"2","issued":{"date-parts":[["2020","2"]]},"page":"210-216","publisher":"Nature Research","title":"The industrial yeast Pichia pastoris is converted from a heterotroph into an autotroph capable of growth on CO2","type":"article-journal","volume":"38"},"uris":["http://www.mendeley.com/documents/?uuid=26f641f5-59b7-4ac9-aeaa-168e49e861d7"]}],"mendeley":{"formattedCitation":"(Gassler et al., 2020)","plainTextFormattedCitation":"(Gassler et al., 2020)","previouslyFormattedCitation":"(Gassler et al., 2020)"},"properties":{"noteIndex":0},"schema":"https://github.com/citation-style-language/schema/raw/master/csl-citation.json"}</w:instrText>
      </w:r>
      <w:r w:rsidR="00FD0214">
        <w:rPr>
          <w:rFonts w:ascii="Times New Roman" w:hAnsi="Times New Roman"/>
          <w:color w:val="000000" w:themeColor="text1"/>
          <w:lang w:eastAsia="ar-SA"/>
        </w:rPr>
        <w:fldChar w:fldCharType="separate"/>
      </w:r>
      <w:r w:rsidR="00FD0214" w:rsidRPr="00FD0214">
        <w:rPr>
          <w:rFonts w:ascii="Times New Roman" w:hAnsi="Times New Roman"/>
          <w:noProof/>
          <w:color w:val="000000" w:themeColor="text1"/>
          <w:lang w:eastAsia="ar-SA"/>
        </w:rPr>
        <w:t>(Gassler et al., 2020)</w:t>
      </w:r>
      <w:r w:rsidR="00FD0214">
        <w:rPr>
          <w:rFonts w:ascii="Times New Roman" w:hAnsi="Times New Roman"/>
          <w:color w:val="000000" w:themeColor="text1"/>
          <w:lang w:eastAsia="ar-SA"/>
        </w:rPr>
        <w:fldChar w:fldCharType="end"/>
      </w:r>
      <w:r w:rsidR="34B1D8CF" w:rsidRPr="1386BD8E">
        <w:rPr>
          <w:rFonts w:ascii="Times New Roman" w:hAnsi="Times New Roman"/>
          <w:color w:val="000000" w:themeColor="text1"/>
          <w:lang w:eastAsia="ar-SA"/>
        </w:rPr>
        <w:t>.</w:t>
      </w:r>
    </w:p>
    <w:p w14:paraId="189BA6F9" w14:textId="672CECCD" w:rsidR="00A268DA" w:rsidRPr="00A268DA" w:rsidRDefault="43FA6CED" w:rsidP="00732C76">
      <w:pPr>
        <w:suppressAutoHyphens/>
        <w:autoSpaceDE w:val="0"/>
        <w:spacing w:before="120" w:after="120" w:line="240" w:lineRule="auto"/>
        <w:jc w:val="both"/>
        <w:rPr>
          <w:rFonts w:ascii="Times New Roman" w:eastAsia="Times New Roman" w:hAnsi="Times New Roman"/>
        </w:rPr>
      </w:pPr>
      <w:r w:rsidRPr="1386BD8E">
        <w:rPr>
          <w:rFonts w:ascii="Times New Roman" w:eastAsia="Times New Roman" w:hAnsi="Times New Roman"/>
        </w:rPr>
        <w:t>In addition to</w:t>
      </w:r>
      <w:r w:rsidR="12A3C5E7" w:rsidRPr="1386BD8E">
        <w:rPr>
          <w:rFonts w:ascii="Times New Roman" w:eastAsia="Times New Roman" w:hAnsi="Times New Roman"/>
        </w:rPr>
        <w:t xml:space="preserve"> microorganism</w:t>
      </w:r>
      <w:r w:rsidR="69139777" w:rsidRPr="1386BD8E">
        <w:rPr>
          <w:rFonts w:ascii="Times New Roman" w:eastAsia="Times New Roman" w:hAnsi="Times New Roman"/>
        </w:rPr>
        <w:t xml:space="preserve"> hosts</w:t>
      </w:r>
      <w:r w:rsidR="12A3C5E7" w:rsidRPr="1386BD8E">
        <w:rPr>
          <w:rFonts w:ascii="Times New Roman" w:eastAsia="Times New Roman" w:hAnsi="Times New Roman"/>
        </w:rPr>
        <w:t xml:space="preserve">, plant metabolic engineering </w:t>
      </w:r>
      <w:r w:rsidR="33A67810" w:rsidRPr="1386BD8E">
        <w:rPr>
          <w:rFonts w:ascii="Times New Roman" w:eastAsia="Times New Roman" w:hAnsi="Times New Roman"/>
        </w:rPr>
        <w:t xml:space="preserve">has also </w:t>
      </w:r>
      <w:r w:rsidR="12A3C5E7" w:rsidRPr="1386BD8E">
        <w:rPr>
          <w:rFonts w:ascii="Times New Roman" w:eastAsia="Times New Roman" w:hAnsi="Times New Roman"/>
        </w:rPr>
        <w:t>advance</w:t>
      </w:r>
      <w:r w:rsidR="22EC8932" w:rsidRPr="1386BD8E">
        <w:rPr>
          <w:rFonts w:ascii="Times New Roman" w:eastAsia="Times New Roman" w:hAnsi="Times New Roman"/>
        </w:rPr>
        <w:t>d</w:t>
      </w:r>
      <w:r w:rsidR="12A3C5E7" w:rsidRPr="1386BD8E">
        <w:rPr>
          <w:rFonts w:ascii="Times New Roman" w:eastAsia="Times New Roman" w:hAnsi="Times New Roman"/>
        </w:rPr>
        <w:t xml:space="preserve"> rapidly over </w:t>
      </w:r>
      <w:r w:rsidR="51645D9D" w:rsidRPr="1386BD8E">
        <w:rPr>
          <w:rFonts w:ascii="Times New Roman" w:eastAsia="Times New Roman" w:hAnsi="Times New Roman"/>
        </w:rPr>
        <w:t xml:space="preserve">the </w:t>
      </w:r>
      <w:r w:rsidR="12A3C5E7" w:rsidRPr="1386BD8E">
        <w:rPr>
          <w:rFonts w:ascii="Times New Roman" w:eastAsia="Times New Roman" w:hAnsi="Times New Roman"/>
        </w:rPr>
        <w:t xml:space="preserve">last few decades. </w:t>
      </w:r>
      <w:r w:rsidR="00A209D4" w:rsidRPr="1386BD8E">
        <w:rPr>
          <w:rFonts w:ascii="Times New Roman" w:eastAsia="Times New Roman" w:hAnsi="Times New Roman"/>
        </w:rPr>
        <w:t xml:space="preserve">Metabolic engineering is being used to modulate endogenous metabolic pathways in plants or introduce new metabolic capabilities to increase the production of a desirable compound or reduce the accumulation of an undesirable one </w:t>
      </w:r>
      <w:r w:rsidR="00EB3808">
        <w:rPr>
          <w:rFonts w:ascii="Times New Roman" w:eastAsia="Times New Roman" w:hAnsi="Times New Roman"/>
        </w:rPr>
        <w:fldChar w:fldCharType="begin" w:fldLock="1"/>
      </w:r>
      <w:r w:rsidR="008F6A90">
        <w:rPr>
          <w:rFonts w:ascii="Times New Roman" w:eastAsia="Times New Roman" w:hAnsi="Times New Roman"/>
        </w:rPr>
        <w:instrText>ADDIN CSL_CITATION {"citationItems":[{"id":"ITEM-1","itemData":{"DOI":"10.1146/annurev-arplant-050213-035825","ISSN":"15452123","PMID":"24579989","abstract":"Metabolic engineering can be used to modulate endogenous metabolic pathways in plants or introduce new metabolic capabilities in order to increase the production of a desirable compound or reduce the accumulation of an undesirable one. In practice, there are several major challenges that need to be overcome, such as gaining enough knowledge about the endogenous pathways to understand the best intervention points, identifying and sourcing the most suitable metabolic genes, expressing those genes in such a way as to produce a functional enzyme in a heterologous background, and, finally, achieving the accumulation of target compounds without harming the host plant. This article discusses the strategies that have been developed to engineer complex metabolic pathways in plants, focusing on recent technological developments that allow the most significant bottlenecks to be overcome. Copyright © 2014 by Annual Reviews.","author":[{"dropping-particle":"","family":"Farré","given":"Gemma","non-dropping-particle":"","parse-names":false,"suffix":""},{"dropping-particle":"","family":"Blancquaert","given":"Dieter","non-dropping-particle":"","parse-names":false,"suffix":""},{"dropping-particle":"","family":"Capell","given":"Teresa","non-dropping-particle":"","parse-names":false,"suffix":""},{"dropping-particle":"","family":"Straeten","given":"Dominique","non-dropping-particle":"Van Der","parse-names":false,"suffix":""},{"dropping-particle":"","family":"Christou","given":"Paul","non-dropping-particle":"","parse-names":false,"suffix":""},{"dropping-particle":"","family":"Zhu","given":"Changfu","non-dropping-particle":"","parse-names":false,"suffix":""}],"container-title":"Annual Review of Plant Biology","id":"ITEM-1","issued":{"date-parts":[["2014"]]},"page":"187-223","title":"Engineering complex metabolic pathways in plants","type":"article-journal","volume":"65"},"uris":["http://www.mendeley.com/documents/?uuid=7e25a0a1-a6ea-4e6d-9225-564cd11c1cd2","http://www.mendeley.com/documents/?uuid=f4179d41-32b0-457a-9383-1fad100029f8","http://www.mendeley.com/documents/?uuid=6bbb99b7-7373-4cdd-aeb9-0b4798cccece","http://www.mendeley.com/documents/?uuid=c7b38056-7ac2-4965-bbd4-eeb07feb2cea","http://www.mendeley.com/documents/?uuid=3dfb7a9b-1b08-4dd4-b245-f386374bc89e"]}],"mendeley":{"formattedCitation":"(Farré et al., 2014)","manualFormatting":"(Farré et al., 2014;","plainTextFormattedCitation":"(Farré et al., 2014)","previouslyFormattedCitation":"(Farré et al., 2014)"},"properties":{"noteIndex":0},"schema":"https://github.com/citation-style-language/schema/raw/master/csl-citation.json"}</w:instrText>
      </w:r>
      <w:r w:rsidR="00EB3808">
        <w:rPr>
          <w:rFonts w:ascii="Times New Roman" w:eastAsia="Times New Roman" w:hAnsi="Times New Roman"/>
        </w:rPr>
        <w:fldChar w:fldCharType="separate"/>
      </w:r>
      <w:r w:rsidR="00EB3808" w:rsidRPr="00EB3808">
        <w:rPr>
          <w:rFonts w:ascii="Times New Roman" w:eastAsia="Times New Roman" w:hAnsi="Times New Roman"/>
          <w:noProof/>
        </w:rPr>
        <w:t>(Farré et al., 2014</w:t>
      </w:r>
      <w:r w:rsidR="001A7272">
        <w:rPr>
          <w:rFonts w:ascii="Times New Roman" w:eastAsia="Times New Roman" w:hAnsi="Times New Roman"/>
          <w:noProof/>
        </w:rPr>
        <w:t>;</w:t>
      </w:r>
      <w:r w:rsidR="00EB3808">
        <w:rPr>
          <w:rFonts w:ascii="Times New Roman" w:eastAsia="Times New Roman" w:hAnsi="Times New Roman"/>
        </w:rPr>
        <w:fldChar w:fldCharType="end"/>
      </w:r>
      <w:r w:rsidR="00561279">
        <w:rPr>
          <w:rFonts w:ascii="Times New Roman" w:eastAsia="Times New Roman" w:hAnsi="Times New Roman"/>
        </w:rPr>
        <w:fldChar w:fldCharType="begin" w:fldLock="1"/>
      </w:r>
      <w:r w:rsidR="00744B92">
        <w:rPr>
          <w:rFonts w:ascii="Times New Roman" w:eastAsia="Times New Roman" w:hAnsi="Times New Roman"/>
        </w:rPr>
        <w:instrText>ADDIN CSL_CITATION {"citationItems":[{"id":"ITEM-1","itemData":{"DOI":"10.1104/pp.18.01280","ISSN":"15322548","PMID":"30455287","author":[{"dropping-particle":"","family":"Smirnoff","given":"Nicholas","non-dropping-particle":"","parse-names":false,"suffix":""}],"container-title":"Plant Physiology","id":"ITEM-1","issue":"3","issued":{"date-parts":[["2019","3"]]},"page":"918-928","publisher":"American Society of Plant Biologists","title":"Engineering of metabolic pathways using synthetic enzyme complexes","type":"article-journal","volume":"179"},"uris":["http://www.mendeley.com/documents/?uuid=92dffcf3-4a9e-438c-ae92-b405d7315e91"]}],"mendeley":{"formattedCitation":"(Smirnoff, 2019)","manualFormatting":" Smirnoff, 2019","plainTextFormattedCitation":"(Smirnoff, 2019)","previouslyFormattedCitation":"(Smirnoff, 2019)"},"properties":{"noteIndex":0},"schema":"https://github.com/citation-style-language/schema/raw/master/csl-citation.json"}</w:instrText>
      </w:r>
      <w:r w:rsidR="00561279">
        <w:rPr>
          <w:rFonts w:ascii="Times New Roman" w:eastAsia="Times New Roman" w:hAnsi="Times New Roman"/>
        </w:rPr>
        <w:fldChar w:fldCharType="separate"/>
      </w:r>
      <w:r w:rsidR="00744B92">
        <w:rPr>
          <w:rFonts w:ascii="Times New Roman" w:eastAsia="Times New Roman" w:hAnsi="Times New Roman"/>
          <w:noProof/>
        </w:rPr>
        <w:t xml:space="preserve"> </w:t>
      </w:r>
      <w:r w:rsidR="00744B92" w:rsidRPr="00744B92">
        <w:rPr>
          <w:rFonts w:ascii="Times New Roman" w:eastAsia="Times New Roman" w:hAnsi="Times New Roman"/>
          <w:noProof/>
        </w:rPr>
        <w:t>Smirnoff, 2019</w:t>
      </w:r>
      <w:r w:rsidR="00561279">
        <w:rPr>
          <w:rFonts w:ascii="Times New Roman" w:eastAsia="Times New Roman" w:hAnsi="Times New Roman"/>
        </w:rPr>
        <w:fldChar w:fldCharType="end"/>
      </w:r>
      <w:r w:rsidR="00A209D4" w:rsidRPr="1386BD8E">
        <w:rPr>
          <w:rFonts w:ascii="Times New Roman" w:eastAsia="Times New Roman" w:hAnsi="Times New Roman"/>
        </w:rPr>
        <w:t xml:space="preserve">). </w:t>
      </w:r>
      <w:r w:rsidR="006A387B" w:rsidRPr="1386BD8E">
        <w:rPr>
          <w:rFonts w:ascii="Times New Roman" w:eastAsia="Times New Roman" w:hAnsi="Times New Roman"/>
        </w:rPr>
        <w:t>Further</w:t>
      </w:r>
      <w:r w:rsidR="12A3C5E7" w:rsidRPr="1386BD8E">
        <w:rPr>
          <w:rFonts w:ascii="Times New Roman" w:eastAsia="Times New Roman" w:hAnsi="Times New Roman"/>
        </w:rPr>
        <w:t>, metabolic engineers face great</w:t>
      </w:r>
      <w:r w:rsidR="514B3B26" w:rsidRPr="1386BD8E">
        <w:rPr>
          <w:rFonts w:ascii="Times New Roman" w:eastAsia="Times New Roman" w:hAnsi="Times New Roman"/>
        </w:rPr>
        <w:t>er</w:t>
      </w:r>
      <w:r w:rsidR="12A3C5E7" w:rsidRPr="1386BD8E">
        <w:rPr>
          <w:rFonts w:ascii="Times New Roman" w:eastAsia="Times New Roman" w:hAnsi="Times New Roman"/>
        </w:rPr>
        <w:t xml:space="preserve"> challenges including </w:t>
      </w:r>
      <w:r w:rsidR="28EA8383" w:rsidRPr="1386BD8E">
        <w:rPr>
          <w:rFonts w:ascii="Times New Roman" w:eastAsia="Times New Roman" w:hAnsi="Times New Roman"/>
        </w:rPr>
        <w:t>the development of</w:t>
      </w:r>
      <w:r w:rsidR="7532DF15" w:rsidRPr="1386BD8E">
        <w:rPr>
          <w:rFonts w:ascii="Times New Roman" w:eastAsia="Times New Roman" w:hAnsi="Times New Roman"/>
        </w:rPr>
        <w:t>:</w:t>
      </w:r>
      <w:r w:rsidR="12A3C5E7" w:rsidRPr="1386BD8E">
        <w:rPr>
          <w:rFonts w:ascii="Times New Roman" w:eastAsia="Times New Roman" w:hAnsi="Times New Roman"/>
        </w:rPr>
        <w:t xml:space="preserve"> plant</w:t>
      </w:r>
      <w:r w:rsidR="24E5F9D6" w:rsidRPr="1386BD8E">
        <w:rPr>
          <w:rFonts w:ascii="Times New Roman" w:eastAsia="Times New Roman" w:hAnsi="Times New Roman"/>
        </w:rPr>
        <w:t>s</w:t>
      </w:r>
      <w:r w:rsidR="12A3C5E7" w:rsidRPr="1386BD8E">
        <w:rPr>
          <w:rFonts w:ascii="Times New Roman" w:eastAsia="Times New Roman" w:hAnsi="Times New Roman"/>
        </w:rPr>
        <w:t xml:space="preserve"> </w:t>
      </w:r>
      <w:r w:rsidR="7E38384E" w:rsidRPr="1386BD8E">
        <w:rPr>
          <w:rFonts w:ascii="Times New Roman" w:eastAsia="Times New Roman" w:hAnsi="Times New Roman"/>
        </w:rPr>
        <w:t xml:space="preserve">self-sufficient </w:t>
      </w:r>
      <w:r w:rsidR="7D957284" w:rsidRPr="1386BD8E">
        <w:rPr>
          <w:rFonts w:ascii="Times New Roman" w:eastAsia="Times New Roman" w:hAnsi="Times New Roman"/>
        </w:rPr>
        <w:t xml:space="preserve">in their </w:t>
      </w:r>
      <w:r w:rsidR="12A3C5E7" w:rsidRPr="1386BD8E">
        <w:rPr>
          <w:rFonts w:ascii="Times New Roman" w:eastAsia="Times New Roman" w:hAnsi="Times New Roman"/>
        </w:rPr>
        <w:t>nitrogen requirement, enhancement of nutrient</w:t>
      </w:r>
      <w:r w:rsidR="53000A0C" w:rsidRPr="1386BD8E">
        <w:rPr>
          <w:rFonts w:ascii="Times New Roman" w:eastAsia="Times New Roman" w:hAnsi="Times New Roman"/>
        </w:rPr>
        <w:t>s</w:t>
      </w:r>
      <w:r w:rsidR="12A3C5E7" w:rsidRPr="1386BD8E">
        <w:rPr>
          <w:rFonts w:ascii="Times New Roman" w:eastAsia="Times New Roman" w:hAnsi="Times New Roman"/>
        </w:rPr>
        <w:t xml:space="preserve"> in crop plants, biofuel production from plants, </w:t>
      </w:r>
      <w:r w:rsidR="43396BF6" w:rsidRPr="1386BD8E">
        <w:rPr>
          <w:rFonts w:ascii="Times New Roman" w:eastAsia="Times New Roman" w:hAnsi="Times New Roman"/>
        </w:rPr>
        <w:t xml:space="preserve">plant disease control and </w:t>
      </w:r>
      <w:r w:rsidR="525DCA73" w:rsidRPr="1386BD8E">
        <w:rPr>
          <w:rFonts w:ascii="Times New Roman" w:eastAsia="Times New Roman" w:hAnsi="Times New Roman"/>
        </w:rPr>
        <w:t xml:space="preserve">photosynthetic efficiency improvement </w:t>
      </w:r>
      <w:r w:rsidRPr="1386BD8E">
        <w:rPr>
          <w:rFonts w:ascii="Times New Roman" w:eastAsia="Times New Roman" w:hAnsi="Times New Roman"/>
        </w:rPr>
        <w:fldChar w:fldCharType="begin" w:fldLock="1"/>
      </w:r>
      <w:r w:rsidR="008F6A90">
        <w:rPr>
          <w:rFonts w:ascii="Times New Roman" w:eastAsia="Times New Roman" w:hAnsi="Times New Roman"/>
        </w:rPr>
        <w:instrText>ADDIN CSL_CITATION {"citationItems":[{"id":"ITEM-1","itemData":{"DOI":"10.1371/journal.pbio.1001879","ISSN":"1545-7885","abstract":"Great strides have been made in plant metabolic engineering over the last two decades, with notable success stories including Golden rice. Here, we discuss the field's progress in addressing four long-standing challenges: creating plants that satisfy their own nitrogen requirement, so reducing or eliminating the need for nitrogen fertilizer; enhancing the nutrient content of crop plants; engineering biofuel feed stocks that harbor easy-to-access fermentable saccharides by incorporating self-destructing lignin; and increasing photosynthetic efficiency. We also look to the future at emerging areas of research in this field. © 2014 Lau et al.","author":[{"dropping-particle":"","family":"Lau","given":"Warren","non-dropping-particle":"","parse-names":false,"suffix":""},{"dropping-particle":"","family":"Fischbach","given":"Michael A.","non-dropping-particle":"","parse-names":false,"suffix":""},{"dropping-particle":"","family":"Osbourn","given":"Anne","non-dropping-particle":"","parse-names":false,"suffix":""},{"dropping-particle":"","family":"Sattely","given":"Elizabeth S.","non-dropping-particle":"","parse-names":false,"suffix":""}],"container-title":"PLoS Biology","editor":[{"dropping-particle":"","family":"Kamoun","given":"Sophien","non-dropping-particle":"","parse-names":false,"suffix":""}],"id":"ITEM-1","issue":"6","issued":{"date-parts":[["2014","6"]]},"page":"e1001879","publisher":"Public Library of Science","title":"Key Applications of Plant Metabolic Engineering","type":"article-journal","volume":"12"},"uris":["http://www.mendeley.com/documents/?uuid=db618501-c8db-479a-be31-f787b8554948"]}],"mendeley":{"formattedCitation":"(Lau et al., 2014)","plainTextFormattedCitation":"(Lau et al., 2014)","previouslyFormattedCitation":"(Lau et al., 2014)"},"properties":{"noteIndex":0},"schema":"https://github.com/citation-style-language/schema/raw/master/csl-citation.json"}</w:instrText>
      </w:r>
      <w:r w:rsidRPr="1386BD8E">
        <w:rPr>
          <w:rFonts w:ascii="Times New Roman" w:eastAsia="Times New Roman" w:hAnsi="Times New Roman"/>
        </w:rPr>
        <w:fldChar w:fldCharType="separate"/>
      </w:r>
      <w:r w:rsidR="1CF0EF56" w:rsidRPr="1386BD8E">
        <w:rPr>
          <w:rFonts w:ascii="Times New Roman" w:eastAsia="Times New Roman" w:hAnsi="Times New Roman"/>
          <w:noProof/>
        </w:rPr>
        <w:t>(Lau et al., 2014)</w:t>
      </w:r>
      <w:r w:rsidRPr="1386BD8E">
        <w:rPr>
          <w:rFonts w:ascii="Times New Roman" w:eastAsia="Times New Roman" w:hAnsi="Times New Roman"/>
        </w:rPr>
        <w:fldChar w:fldCharType="end"/>
      </w:r>
      <w:r w:rsidR="7B1284AD" w:rsidRPr="1386BD8E">
        <w:rPr>
          <w:rFonts w:ascii="Times New Roman" w:eastAsia="Times New Roman" w:hAnsi="Times New Roman"/>
        </w:rPr>
        <w:t xml:space="preserve">. </w:t>
      </w:r>
      <w:r w:rsidR="00A34AFC" w:rsidRPr="1386BD8E">
        <w:rPr>
          <w:rFonts w:ascii="Times New Roman" w:eastAsia="Times New Roman" w:hAnsi="Times New Roman"/>
        </w:rPr>
        <w:t xml:space="preserve">For instance, </w:t>
      </w:r>
      <w:r w:rsidR="6DF61DB9" w:rsidRPr="1386BD8E">
        <w:rPr>
          <w:rFonts w:ascii="Times New Roman" w:eastAsia="Times New Roman" w:hAnsi="Times New Roman"/>
        </w:rPr>
        <w:t xml:space="preserve">South et al. </w:t>
      </w:r>
      <w:r w:rsidR="00744B92">
        <w:rPr>
          <w:rFonts w:ascii="Times New Roman" w:eastAsia="Times New Roman" w:hAnsi="Times New Roman"/>
        </w:rPr>
        <w:fldChar w:fldCharType="begin" w:fldLock="1"/>
      </w:r>
      <w:r w:rsidR="00B156AF">
        <w:rPr>
          <w:rFonts w:ascii="Times New Roman" w:eastAsia="Times New Roman" w:hAnsi="Times New Roman"/>
        </w:rPr>
        <w:instrText>ADDIN CSL_CITATION {"citationItems":[{"id":"ITEM-1","itemData":{"DOI":"10.1126/science.aat9077","ISSN":"0036-8075","abstract":"Photorespiration is required in C 3 plants to metabolize toxic glycolate formed when ribulose-1,5-bisphosphate carboxylase-oxygenase oxygenates rather than carboxylates ribulose-1,5-bisphosphate. Depending on growing temperatures, photorespiration can reduce yields by 20 to 50% in C 3 crops. Inspired by earlier work, we installed into tobacco chloroplasts synthetic glycolate metabolic pathways that are thought to be more efficient than the native pathway. Flux through the synthetic pathways was maximized by inhibiting glycolate export from the chloroplast. The synthetic pathways tested improved photosynthetic quantum yield by 20%. Numerous homozygous transgenic lines increased biomass productivity by &gt;40% in replicated field trials. These results show that engineering alternative glycolate metabolic pathways into crop chloroplasts while inhibiting glycolate export into the native pathway can drive increases in C 3 crop yield under agricultural field conditions.","author":[{"dropping-particle":"","family":"South","given":"Paul F.","non-dropping-particle":"","parse-names":false,"suffix":""},{"dropping-particle":"","family":"Cavanagh","given":"Amanda P.","non-dropping-particle":"","parse-names":false,"suffix":""},{"dropping-particle":"","family":"Liu","given":"Helen W.","non-dropping-particle":"","parse-names":false,"suffix":""},{"dropping-particle":"","family":"Ort","given":"Donald R.","non-dropping-particle":"","parse-names":false,"suffix":""}],"container-title":"Science","id":"ITEM-1","issue":"6422","issued":{"date-parts":[["2019","1","4"]]},"page":"eaat9077","title":"Synthetic glycolate metabolism pathways stimulate crop growth and productivity in the field","type":"article-journal","volume":"363"},"uris":["http://www.mendeley.com/documents/?uuid=cf63305c-9528-4034-85d9-fd10334c8698"]}],"mendeley":{"formattedCitation":"(South et al., 2019)","manualFormatting":"(2019)","plainTextFormattedCitation":"(South et al., 2019)","previouslyFormattedCitation":"(South et al., 2019)"},"properties":{"noteIndex":0},"schema":"https://github.com/citation-style-language/schema/raw/master/csl-citation.json"}</w:instrText>
      </w:r>
      <w:r w:rsidR="00744B92">
        <w:rPr>
          <w:rFonts w:ascii="Times New Roman" w:eastAsia="Times New Roman" w:hAnsi="Times New Roman"/>
        </w:rPr>
        <w:fldChar w:fldCharType="separate"/>
      </w:r>
      <w:r w:rsidR="00744B92" w:rsidRPr="00744B92">
        <w:rPr>
          <w:rFonts w:ascii="Times New Roman" w:eastAsia="Times New Roman" w:hAnsi="Times New Roman"/>
          <w:noProof/>
        </w:rPr>
        <w:t>(2019)</w:t>
      </w:r>
      <w:r w:rsidR="00744B92">
        <w:rPr>
          <w:rFonts w:ascii="Times New Roman" w:eastAsia="Times New Roman" w:hAnsi="Times New Roman"/>
        </w:rPr>
        <w:fldChar w:fldCharType="end"/>
      </w:r>
      <w:r w:rsidR="6DF61DB9" w:rsidRPr="1386BD8E">
        <w:rPr>
          <w:rFonts w:ascii="Times New Roman" w:eastAsia="Times New Roman" w:hAnsi="Times New Roman"/>
        </w:rPr>
        <w:t xml:space="preserve"> i</w:t>
      </w:r>
      <w:r w:rsidR="6676C4E3" w:rsidRPr="1386BD8E">
        <w:rPr>
          <w:rFonts w:ascii="Times New Roman" w:eastAsia="Times New Roman" w:hAnsi="Times New Roman"/>
        </w:rPr>
        <w:t>nvestigated</w:t>
      </w:r>
      <w:r w:rsidR="6DF61DB9" w:rsidRPr="1386BD8E">
        <w:rPr>
          <w:rFonts w:ascii="Times New Roman" w:eastAsia="Times New Roman" w:hAnsi="Times New Roman"/>
        </w:rPr>
        <w:t xml:space="preserve"> photorespiratory bypass strategies</w:t>
      </w:r>
      <w:r w:rsidR="5A920AAE" w:rsidRPr="1386BD8E">
        <w:rPr>
          <w:rFonts w:ascii="Times New Roman" w:eastAsia="Times New Roman" w:hAnsi="Times New Roman"/>
        </w:rPr>
        <w:t xml:space="preserve"> in transgenic tobacco plants</w:t>
      </w:r>
      <w:r w:rsidR="187AE929" w:rsidRPr="1386BD8E">
        <w:rPr>
          <w:rFonts w:ascii="Times New Roman" w:eastAsia="Times New Roman" w:hAnsi="Times New Roman"/>
        </w:rPr>
        <w:t xml:space="preserve"> to improve photosynthesis. In field trials, these transgenic tobacco plants were ∼40</w:t>
      </w:r>
      <w:r w:rsidR="008C3460">
        <w:rPr>
          <w:rFonts w:ascii="Times New Roman" w:eastAsia="Times New Roman" w:hAnsi="Times New Roman"/>
        </w:rPr>
        <w:t xml:space="preserve"> </w:t>
      </w:r>
      <w:r w:rsidR="187AE929" w:rsidRPr="1386BD8E">
        <w:rPr>
          <w:rFonts w:ascii="Times New Roman" w:eastAsia="Times New Roman" w:hAnsi="Times New Roman"/>
        </w:rPr>
        <w:t>% more productive than wild-type tobacco plants.</w:t>
      </w:r>
      <w:r w:rsidR="2812D50D" w:rsidRPr="1386BD8E">
        <w:rPr>
          <w:rFonts w:ascii="Times New Roman" w:eastAsia="Times New Roman" w:hAnsi="Times New Roman"/>
        </w:rPr>
        <w:t xml:space="preserve"> Other </w:t>
      </w:r>
      <w:r w:rsidR="44FEC65A" w:rsidRPr="1386BD8E">
        <w:rPr>
          <w:rFonts w:ascii="Times New Roman" w:eastAsia="Times New Roman" w:hAnsi="Times New Roman"/>
        </w:rPr>
        <w:t>advances and current challenges of engineering improved photosynthesis in the era of synthetic biology</w:t>
      </w:r>
      <w:r w:rsidR="2812D50D" w:rsidRPr="1386BD8E">
        <w:rPr>
          <w:rFonts w:ascii="Times New Roman" w:eastAsia="Times New Roman" w:hAnsi="Times New Roman"/>
        </w:rPr>
        <w:t xml:space="preserve"> </w:t>
      </w:r>
      <w:r w:rsidR="75116DB8" w:rsidRPr="1386BD8E">
        <w:rPr>
          <w:rFonts w:ascii="Times New Roman" w:eastAsia="Times New Roman" w:hAnsi="Times New Roman"/>
        </w:rPr>
        <w:t xml:space="preserve">are discussed by Batista-Silva et al. </w:t>
      </w:r>
      <w:r w:rsidRPr="1386BD8E">
        <w:rPr>
          <w:rFonts w:ascii="Times New Roman" w:eastAsia="Times New Roman" w:hAnsi="Times New Roman"/>
        </w:rPr>
        <w:fldChar w:fldCharType="begin" w:fldLock="1"/>
      </w:r>
      <w:r w:rsidR="008F6A90">
        <w:rPr>
          <w:rFonts w:ascii="Times New Roman" w:eastAsia="Times New Roman" w:hAnsi="Times New Roman"/>
        </w:rPr>
        <w:instrText>ADDIN CSL_CITATION {"citationItems":[{"id":"ITEM-1","itemData":{"DOI":"10.1016/j.xplc.2020.100032","ISSN":"25903462","abstract":"Much attention has been given to the enhancement of photosynthesis as a strategy for the optimization of crop productivity. As traditional plant breeding is most likely reaching a plateau, there is a timely need to accelerate improvements in photosynthetic efficiency by means of novel tools and biotechnological solutions. The emerging field of synthetic biology offers the potential for building completely novel pathways in predictable directions and, thus, addresses the global requirements for higher yields expected to occur in the 21st century. Here we discuss the recent advances and current challenges of engineering improved photosynthesis in the era of synthetic biology toward optimized utilization of solar energy and carbon sources to optimize the production of food, fibre and fuel.","author":[{"dropping-particle":"","family":"Batista-Silva","given":"Willian","non-dropping-particle":"","parse-names":false,"suffix":""},{"dropping-particle":"","family":"Fonseca-Pereira","given":"Paula","non-dropping-particle":"da","parse-names":false,"suffix":""},{"dropping-particle":"","family":"Martins","given":"Auxiliadora Oliveira","non-dropping-particle":"","parse-names":false,"suffix":""},{"dropping-particle":"","family":"Zsögön","given":"Agustín","non-dropping-particle":"","parse-names":false,"suffix":""},{"dropping-particle":"","family":"Nunes-Nesi","given":"Adriano","non-dropping-particle":"","parse-names":false,"suffix":""},{"dropping-particle":"","family":"Araújo","given":"Wagner L.","non-dropping-particle":"","parse-names":false,"suffix":""}],"container-title":"Plant Communications","id":"ITEM-1","issue":"2","issued":{"date-parts":[["2020","3"]]},"page":"100032","publisher":"Elsevier BV","title":"Engineering Improved Photosynthesis in the Era of Synthetic Biology","type":"article-journal","volume":"1"},"uris":["http://www.mendeley.com/documents/?uuid=f7c66e20-669d-4d1e-b63f-1d4bb90b5bbb"]}],"mendeley":{"formattedCitation":"(Batista-Silva et al., 2020)","manualFormatting":"(2020)","plainTextFormattedCitation":"(Batista-Silva et al., 2020)","previouslyFormattedCitation":"(Batista-Silva et al., 2020)"},"properties":{"noteIndex":0},"schema":"https://github.com/citation-style-language/schema/raw/master/csl-citation.json"}</w:instrText>
      </w:r>
      <w:r w:rsidRPr="1386BD8E">
        <w:rPr>
          <w:rFonts w:ascii="Times New Roman" w:eastAsia="Times New Roman" w:hAnsi="Times New Roman"/>
        </w:rPr>
        <w:fldChar w:fldCharType="separate"/>
      </w:r>
      <w:r w:rsidR="5FF3CA68" w:rsidRPr="1386BD8E">
        <w:rPr>
          <w:rFonts w:ascii="Times New Roman" w:eastAsia="Times New Roman" w:hAnsi="Times New Roman"/>
          <w:noProof/>
        </w:rPr>
        <w:t>(2020)</w:t>
      </w:r>
      <w:r w:rsidRPr="1386BD8E">
        <w:rPr>
          <w:rFonts w:ascii="Times New Roman" w:eastAsia="Times New Roman" w:hAnsi="Times New Roman"/>
        </w:rPr>
        <w:fldChar w:fldCharType="end"/>
      </w:r>
      <w:r w:rsidR="75116DB8" w:rsidRPr="1386BD8E">
        <w:rPr>
          <w:rFonts w:ascii="Times New Roman" w:eastAsia="Times New Roman" w:hAnsi="Times New Roman"/>
        </w:rPr>
        <w:t>.</w:t>
      </w:r>
      <w:r w:rsidR="6F74FBB6" w:rsidRPr="1386BD8E">
        <w:rPr>
          <w:rFonts w:ascii="Times New Roman" w:eastAsia="Times New Roman" w:hAnsi="Times New Roman"/>
        </w:rPr>
        <w:t xml:space="preserve"> </w:t>
      </w:r>
      <w:r w:rsidR="00766523" w:rsidRPr="1386BD8E">
        <w:rPr>
          <w:rFonts w:ascii="Times New Roman" w:eastAsia="Times New Roman" w:hAnsi="Times New Roman"/>
        </w:rPr>
        <w:t xml:space="preserve">Nutritional improvements are being also investigated. The Cassava Source–Sink project aims to increase cassava storage root and starch yield by metabolic engineering </w:t>
      </w:r>
      <w:r w:rsidR="00BA5B5F">
        <w:rPr>
          <w:rFonts w:ascii="Times New Roman" w:eastAsia="Times New Roman" w:hAnsi="Times New Roman"/>
        </w:rPr>
        <w:fldChar w:fldCharType="begin" w:fldLock="1"/>
      </w:r>
      <w:r w:rsidR="00BA5B5F">
        <w:rPr>
          <w:rFonts w:ascii="Times New Roman" w:eastAsia="Times New Roman" w:hAnsi="Times New Roman"/>
        </w:rPr>
        <w:instrText>ADDIN CSL_CITATION {"citationItems":[{"id":"ITEM-1","itemData":{"DOI":"10.1111/tpj.14865","ISSN":"0960-7412","abstract":"Cassava (Manihot esculenta Crantz) is one of the important staple foods in Sub-Saharan Africa. It produces starchy storage roots that provide food and income for several hundred million people, mainly in tropical agriculture zones. Increasing cassava storage root and starch yield is one of the major breeding targets with respect to securing the future food supply for the growing population of Sub-Saharan Africa. The Cassava Source–Sink (CASS) project aims to increase cassava storage root and starch yield by strategically integrating approaches from different disciplines. We present our perspective and progress on cassava as an applied research organism and provide insight into the CASS strategy, which can serve as a blueprint for the improvement of other root and tuber crops. Extensive profiling of different field-grown cassava genotypes generates information for leaf, phloem, and root metabolic and physiological processes that are relevant for biotechnological improvements. A multi-national pipeline for genetic engineering of cassava plants covers all steps from gene discovery, cloning, transformation, molecular and biochemical characterization, confined field trials, and phenotyping of the seasonal dynamics of shoot traits under field conditions. Together, the CASS project generates comprehensive data to facilitate conventional breeding strategies for high-yielding cassava genotypes. It also builds the foundation for genome-scale metabolic modelling aiming to predict targets and bottlenecks in metabolic pathways. This information is used to engineer cassava genotypes with improved source–sink relations and increased yield potential.","author":[{"dropping-particle":"","family":"Sonnewald","given":"Uwe","non-dropping-particle":"","parse-names":false,"suffix":""},{"dropping-particle":"","family":"Fernie","given":"Alisdair R","non-dropping-particle":"","parse-names":false,"suffix":""},{"dropping-particle":"","family":"Gruissem","given":"Wilhelm","non-dropping-particle":"","parse-names":false,"suffix":""},{"dropping-particle":"","family":"Schläpfer","given":"Pascal","non-dropping-particle":"","parse-names":false,"suffix":""},{"dropping-particle":"","family":"Anjanappa","given":"Ravi B","non-dropping-particle":"","parse-names":false,"suffix":""},{"dropping-particle":"","family":"Chang","given":"Shu‐Heng","non-dropping-particle":"","parse-names":false,"suffix":""},{"dropping-particle":"","family":"Ludewig","given":"Frank","non-dropping-particle":"","parse-names":false,"suffix":""},{"dropping-particle":"","family":"Rascher","given":"Uwe","non-dropping-particle":"","parse-names":false,"suffix":""},{"dropping-particle":"","family":"Muller","given":"Onno","non-dropping-particle":"","parse-names":false,"suffix":""},{"dropping-particle":"","family":"Doorn","given":"Anna M","non-dropping-particle":"","parse-names":false,"suffix":""},{"dropping-particle":"","family":"Rabbi","given":"Ismail Y","non-dropping-particle":"","parse-names":false,"suffix":""},{"dropping-particle":"","family":"Zierer","given":"Wolfgang","non-dropping-particle":"","parse-names":false,"suffix":""}],"container-title":"The Plant Journal","id":"ITEM-1","issue":"5","issued":{"date-parts":[["2020","8"]]},"page":"1655-1665","publisher":"Blackwell Publishing Ltd","title":"The Cassava Source–Sink project: opportunities and challenges for crop improvement by metabolic engineering","type":"article-journal","volume":"103"},"uris":["http://www.mendeley.com/documents/?uuid=41552023-e980-414f-83d8-2a24d8d8883c"]}],"mendeley":{"formattedCitation":"(Sonnewald et al., 2020)","plainTextFormattedCitation":"(Sonnewald et al., 2020)","previouslyFormattedCitation":"(Sonnewald et al., 2020)"},"properties":{"noteIndex":0},"schema":"https://github.com/citation-style-language/schema/raw/master/csl-citation.json"}</w:instrText>
      </w:r>
      <w:r w:rsidR="00BA5B5F">
        <w:rPr>
          <w:rFonts w:ascii="Times New Roman" w:eastAsia="Times New Roman" w:hAnsi="Times New Roman"/>
        </w:rPr>
        <w:fldChar w:fldCharType="separate"/>
      </w:r>
      <w:r w:rsidR="00BA5B5F" w:rsidRPr="00BA5B5F">
        <w:rPr>
          <w:rFonts w:ascii="Times New Roman" w:eastAsia="Times New Roman" w:hAnsi="Times New Roman"/>
          <w:noProof/>
        </w:rPr>
        <w:t>(Sonnewald et al., 2020)</w:t>
      </w:r>
      <w:r w:rsidR="00BA5B5F">
        <w:rPr>
          <w:rFonts w:ascii="Times New Roman" w:eastAsia="Times New Roman" w:hAnsi="Times New Roman"/>
        </w:rPr>
        <w:fldChar w:fldCharType="end"/>
      </w:r>
      <w:r w:rsidR="00766523" w:rsidRPr="1386BD8E">
        <w:rPr>
          <w:rFonts w:ascii="Times New Roman" w:eastAsia="Times New Roman" w:hAnsi="Times New Roman"/>
        </w:rPr>
        <w:t xml:space="preserve">. </w:t>
      </w:r>
      <w:r w:rsidR="001672C3" w:rsidRPr="1386BD8E">
        <w:rPr>
          <w:rFonts w:ascii="Times New Roman" w:eastAsia="Times New Roman" w:hAnsi="Times New Roman"/>
        </w:rPr>
        <w:t>Additionally</w:t>
      </w:r>
      <w:r w:rsidR="00766523" w:rsidRPr="1386BD8E">
        <w:rPr>
          <w:rFonts w:ascii="Times New Roman" w:eastAsia="Times New Roman" w:hAnsi="Times New Roman"/>
        </w:rPr>
        <w:t>, a near-complete reconstitution of the complex biosynthetic pathway of colchicine, a plant-derived drug of historical and contemporary importance, ha</w:t>
      </w:r>
      <w:r w:rsidR="001672C3" w:rsidRPr="1386BD8E">
        <w:rPr>
          <w:rFonts w:ascii="Times New Roman" w:eastAsia="Times New Roman" w:hAnsi="Times New Roman"/>
        </w:rPr>
        <w:t>s</w:t>
      </w:r>
      <w:r w:rsidR="00766523" w:rsidRPr="1386BD8E">
        <w:rPr>
          <w:rFonts w:ascii="Times New Roman" w:eastAsia="Times New Roman" w:hAnsi="Times New Roman"/>
        </w:rPr>
        <w:t xml:space="preserve"> recently </w:t>
      </w:r>
      <w:r w:rsidR="001672C3" w:rsidRPr="1386BD8E">
        <w:rPr>
          <w:rFonts w:ascii="Times New Roman" w:eastAsia="Times New Roman" w:hAnsi="Times New Roman"/>
        </w:rPr>
        <w:t xml:space="preserve">been </w:t>
      </w:r>
      <w:r w:rsidR="00766523" w:rsidRPr="1386BD8E">
        <w:rPr>
          <w:rFonts w:ascii="Times New Roman" w:eastAsia="Times New Roman" w:hAnsi="Times New Roman"/>
        </w:rPr>
        <w:t xml:space="preserve">achieved </w:t>
      </w:r>
      <w:r w:rsidR="00BA5B5F">
        <w:rPr>
          <w:rFonts w:ascii="Times New Roman" w:eastAsia="Times New Roman" w:hAnsi="Times New Roman"/>
        </w:rPr>
        <w:fldChar w:fldCharType="begin" w:fldLock="1"/>
      </w:r>
      <w:r w:rsidR="00F21ACA">
        <w:rPr>
          <w:rFonts w:ascii="Times New Roman" w:eastAsia="Times New Roman" w:hAnsi="Times New Roman"/>
        </w:rPr>
        <w:instrText>ADDIN CSL_CITATION {"citationItems":[{"id":"ITEM-1","itemData":{"DOI":"10.1038/s41586-020-2546-8","ISSN":"14764687","PMID":"32699417","abstract":"Few complete pathways have been established for the biosynthesis of medicinal compounds from plants. Accordingly, many plant-derived therapeutics are isolated directly from medicinal plants or plant cell culture1. A lead example is colchicine, a US Food and Drug Administration (FDA)-approved treatment for inflammatory disorders that is sourced from Colchicum and Gloriosa species2–5. Here we use a combination of transcriptomics, metabolic logic and pathway reconstitution to elucidate a near-complete biosynthetic pathway to colchicine without prior knowledge of biosynthetic genes, a sequenced genome or genetic tools in the native host. We uncovered eight genes from Gloriosa superba for the biosynthesis of N-formyldemecolcine, a colchicine precursor that contains the characteristic tropolone ring and pharmacophore of colchicine6. Notably, we identified a non-canonical cytochrome P450 that catalyses the remarkable ring expansion reaction that is required to produce the distinct carbon scaffold of colchicine. We further used the newly identified genes to engineer a biosynthetic pathway (comprising 16 enzymes in total) to N-formyldemecolcine in Nicotiana benthamiana starting from the amino acids phenylalanine and tyrosine. This study establishes a metabolic route to tropolone-containing colchicine alkaloids and provides insights into the unique chemistry that plants use to generate complex, bioactive metabolites from simple amino acids.","author":[{"dropping-particle":"","family":"Nett","given":"Ryan S","non-dropping-particle":"","parse-names":false,"suffix":""},{"dropping-particle":"","family":"Lau","given":"Warren","non-dropping-particle":"","parse-names":false,"suffix":""},{"dropping-particle":"","family":"Sattely","given":"Elizabeth S","non-dropping-particle":"","parse-names":false,"suffix":""}],"container-title":"Nature","id":"ITEM-1","issue":"7819","issued":{"date-parts":[["2020","8"]]},"page":"148-153","publisher":"Nature Research","title":"Discovery and engineering of colchicine alkaloid biosynthesis","type":"article-journal","volume":"584"},"uris":["http://www.mendeley.com/documents/?uuid=4943d806-dddd-473d-8fb2-7ebb1ea7811d"]},{"id":"ITEM-2","itemData":{"DOI":"10.1016/j.cell.2019.11.009","ISSN":"00928674","author":[{"dropping-particle":"","family":"Gleizer","given":"Shmuel","non-dropping-particle":"","parse-names":false,"suffix":""},{"dropping-particle":"","family":"Ben-Nissan","given":"Roee","non-dropping-particle":"","parse-names":false,"suffix":""},{"dropping-particle":"","family":"Bar-On","given":"Yinon M.","non-dropping-particle":"","parse-names":false,"suffix":""},{"dropping-particle":"","family":"Antonovsky","given":"Niv","non-dropping-particle":"","parse-names":false,"suffix":""},{"dropping-particle":"","family":"Noor","given":"Elad","non-dropping-particle":"","parse-names":false,"suffix":""},{"dropping-particle":"","family":"Zohar","given":"Yehudit","non-dropping-particle":"","parse-names":false,"suffix":""},{"dropping-particle":"","family":"Jona","given":"Ghil","non-dropping-particle":"","parse-names":false,"suffix":""},{"dropping-particle":"","family":"Krieger","given":"Eyal","non-dropping-particle":"","parse-names":false,"suffix":""},{"dropping-particle":"","family":"Shamshoum","given":"Melina","non-dropping-particle":"","parse-names":false,"suffix":""},{"dropping-particle":"","family":"Bar-Even","given":"Arren","non-dropping-particle":"","parse-names":false,"suffix":""},{"dropping-particle":"","family":"Milo","given":"Ron","non-dropping-particle":"","parse-names":false,"suffix":""}],"container-title":"Cell","id":"ITEM-2","issue":"6","issued":{"date-parts":[["2019","11"]]},"page":"1255-1263.e12","title":"Conversion of Escherichia coli to Generate All Biomass Carbon from CO2","type":"article-journal","volume":"179"},"uris":["http://www.mendeley.com/documents/?uuid=dc70d018-3287-4d40-8b64-1524f3cf29a7"]}],"mendeley":{"formattedCitation":"(Gleizer et al., 2019; Nett et al., 2020)","plainTextFormattedCitation":"(Gleizer et al., 2019; Nett et al., 2020)","previouslyFormattedCitation":"(Gleizer et al., 2019; Nett et al., 2020)"},"properties":{"noteIndex":0},"schema":"https://github.com/citation-style-language/schema/raw/master/csl-citation.json"}</w:instrText>
      </w:r>
      <w:r w:rsidR="00BA5B5F">
        <w:rPr>
          <w:rFonts w:ascii="Times New Roman" w:eastAsia="Times New Roman" w:hAnsi="Times New Roman"/>
        </w:rPr>
        <w:fldChar w:fldCharType="separate"/>
      </w:r>
      <w:r w:rsidR="00BA5B5F" w:rsidRPr="00BA5B5F">
        <w:rPr>
          <w:rFonts w:ascii="Times New Roman" w:eastAsia="Times New Roman" w:hAnsi="Times New Roman"/>
          <w:noProof/>
        </w:rPr>
        <w:t>(Gleizer et al., 2019; Nett et al., 2020)</w:t>
      </w:r>
      <w:r w:rsidR="00BA5B5F">
        <w:rPr>
          <w:rFonts w:ascii="Times New Roman" w:eastAsia="Times New Roman" w:hAnsi="Times New Roman"/>
        </w:rPr>
        <w:fldChar w:fldCharType="end"/>
      </w:r>
      <w:r w:rsidR="003C25FC" w:rsidRPr="00637B90">
        <w:rPr>
          <w:rFonts w:ascii="Times New Roman" w:hAnsi="Times New Roman"/>
          <w:color w:val="000000" w:themeColor="text1"/>
          <w:lang w:eastAsia="ar-SA"/>
        </w:rPr>
        <w:t>.</w:t>
      </w:r>
      <w:r w:rsidR="00AB713B" w:rsidRPr="008A4EED" w:rsidDel="00AB713B">
        <w:rPr>
          <w:rFonts w:ascii="Times New Roman" w:hAnsi="Times New Roman"/>
          <w:color w:val="000000" w:themeColor="text1"/>
          <w:lang w:eastAsia="ar-SA"/>
        </w:rPr>
        <w:t xml:space="preserve"> </w:t>
      </w:r>
      <w:r w:rsidR="1E0CCA1D" w:rsidRPr="00144A52">
        <w:rPr>
          <w:rFonts w:ascii="Times New Roman" w:eastAsia="Times New Roman" w:hAnsi="Times New Roman"/>
        </w:rPr>
        <w:t xml:space="preserve">The successful application of systems biology and metabolic engineering approaches in different fields of life sciences makes it </w:t>
      </w:r>
      <w:r w:rsidR="612FED02" w:rsidRPr="00144A52">
        <w:rPr>
          <w:rFonts w:ascii="Times New Roman" w:eastAsia="Times New Roman" w:hAnsi="Times New Roman"/>
        </w:rPr>
        <w:t>also</w:t>
      </w:r>
      <w:r w:rsidR="1E0CCA1D" w:rsidRPr="00144A52">
        <w:rPr>
          <w:rFonts w:ascii="Times New Roman" w:eastAsia="Times New Roman" w:hAnsi="Times New Roman"/>
        </w:rPr>
        <w:t xml:space="preserve"> attractive </w:t>
      </w:r>
      <w:r w:rsidR="2EC86C86" w:rsidRPr="00144A52">
        <w:rPr>
          <w:rFonts w:ascii="Times New Roman" w:eastAsia="Times New Roman" w:hAnsi="Times New Roman"/>
        </w:rPr>
        <w:t>to</w:t>
      </w:r>
      <w:r w:rsidR="1E0CCA1D" w:rsidRPr="00732CB3">
        <w:rPr>
          <w:rFonts w:ascii="Times New Roman" w:eastAsia="Times New Roman" w:hAnsi="Times New Roman"/>
        </w:rPr>
        <w:t xml:space="preserve"> environmental scientists to use these approaches for bioremediation</w:t>
      </w:r>
      <w:r w:rsidR="2CBFF8DA" w:rsidRPr="00732CB3">
        <w:rPr>
          <w:rFonts w:ascii="Times New Roman" w:eastAsia="Times New Roman" w:hAnsi="Times New Roman"/>
        </w:rPr>
        <w:t xml:space="preserve"> of environmental contaminants through </w:t>
      </w:r>
      <w:r w:rsidR="0071597C" w:rsidRPr="00732CB3">
        <w:rPr>
          <w:rFonts w:ascii="Times New Roman" w:eastAsia="Times New Roman" w:hAnsi="Times New Roman"/>
        </w:rPr>
        <w:t>microorganisms</w:t>
      </w:r>
      <w:r w:rsidR="0071597C">
        <w:rPr>
          <w:rFonts w:ascii="Times New Roman" w:eastAsia="Times New Roman" w:hAnsi="Times New Roman"/>
        </w:rPr>
        <w:t xml:space="preserve"> (see </w:t>
      </w:r>
      <w:r w:rsidR="00FB61DD" w:rsidRPr="00BB57CA">
        <w:rPr>
          <w:rFonts w:ascii="Times New Roman" w:eastAsia="Times New Roman" w:hAnsi="Times New Roman"/>
        </w:rPr>
        <w:t xml:space="preserve">Section </w:t>
      </w:r>
      <w:r w:rsidR="00BB57CA" w:rsidRPr="00332C07">
        <w:rPr>
          <w:rFonts w:ascii="Times New Roman" w:eastAsia="Times New Roman" w:hAnsi="Times New Roman"/>
        </w:rPr>
        <w:t>3</w:t>
      </w:r>
      <w:r w:rsidR="0071597C">
        <w:rPr>
          <w:rFonts w:ascii="Times New Roman" w:eastAsia="Times New Roman" w:hAnsi="Times New Roman"/>
        </w:rPr>
        <w:t>.</w:t>
      </w:r>
      <w:r w:rsidR="00552834">
        <w:rPr>
          <w:rFonts w:ascii="Times New Roman" w:eastAsia="Times New Roman" w:hAnsi="Times New Roman"/>
        </w:rPr>
        <w:t>1</w:t>
      </w:r>
      <w:r w:rsidR="00FB61DD">
        <w:rPr>
          <w:rFonts w:ascii="Times New Roman" w:eastAsia="Times New Roman" w:hAnsi="Times New Roman"/>
        </w:rPr>
        <w:t>.</w:t>
      </w:r>
      <w:r w:rsidR="00552834">
        <w:rPr>
          <w:rFonts w:ascii="Times New Roman" w:eastAsia="Times New Roman" w:hAnsi="Times New Roman"/>
        </w:rPr>
        <w:t>3</w:t>
      </w:r>
      <w:r w:rsidR="0071597C">
        <w:rPr>
          <w:rFonts w:ascii="Times New Roman" w:eastAsia="Times New Roman" w:hAnsi="Times New Roman"/>
        </w:rPr>
        <w:t>)</w:t>
      </w:r>
      <w:r w:rsidR="1F190194" w:rsidRPr="69BA3794">
        <w:rPr>
          <w:rFonts w:ascii="Times New Roman" w:eastAsia="Times New Roman" w:hAnsi="Times New Roman"/>
        </w:rPr>
        <w:t xml:space="preserve"> </w:t>
      </w:r>
      <w:r w:rsidR="00433E96">
        <w:rPr>
          <w:rFonts w:ascii="Times New Roman" w:eastAsia="Times New Roman" w:hAnsi="Times New Roman"/>
        </w:rPr>
        <w:fldChar w:fldCharType="begin" w:fldLock="1"/>
      </w:r>
      <w:r w:rsidR="008F6A90">
        <w:rPr>
          <w:rFonts w:ascii="Times New Roman" w:eastAsia="Times New Roman" w:hAnsi="Times New Roman"/>
        </w:rPr>
        <w:instrText>ADDIN CSL_CITATION {"citationItems":[{"id":"ITEM-1","itemData":{"DOI":"10.1080/07388551.2018.1500997","ISSN":"15497801","PMID":"30198342","abstract":"Today, environmental pollution is a serious problem, and bioremediation can play an important role in cleaning contaminated sites. Remediation strategies, such as chemical and physical approaches, are not enough to mitigate pollution problems because of the continuous generation of novel recalcitrant pollutants due to anthropogenic activities. Bioremediation using microbes is an eco-friendly and socially acceptable alternative to conventional remediation approaches. Many microbes with a bioremediation potential have been isolated and characterized but, in many cases, cannot completely degrade the targeted pollutant or are ineffective in situations with mixed wastes. This review envisages advances in systems biology (SB), which enables the analysis of microbial behavior at a community level under different environmental stresses. By applying a SB approach, crucial preliminary information can be obtained for metabolic engineering (ME) of microbes for their enhanced bioremediation capabilities. This review also highlights the integrated SB and ME tools and techniques for bioremediation purposes.","author":[{"dropping-particle":"","family":"Dangi","given":"Arun Kumar","non-dropping-particle":"","parse-names":false,"suffix":""},{"dropping-particle":"","family":"Sharma","given":"Babita","non-dropping-particle":"","parse-names":false,"suffix":""},{"dropping-particle":"","family":"Hill","given":"Russell T.","non-dropping-particle":"","parse-names":false,"suffix":""},{"dropping-particle":"","family":"Shukla","given":"Pratyoosh","non-dropping-particle":"","parse-names":false,"suffix":""}],"container-title":"Critical Reviews in Biotechnology","id":"ITEM-1","issue":"1","issued":{"date-parts":[["2019","1"]]},"page":"79-98","publisher":"Taylor and Francis Ltd","title":"Bioremediation through microbes: systems biology and metabolic engineering approach","type":"article","volume":"39"},"uris":["http://www.mendeley.com/documents/?uuid=8665a488-461d-3fca-afe1-06296cabe8ed","http://www.mendeley.com/documents/?uuid=0e9b1255-6a83-4865-af6c-532b1e0db718","http://www.mendeley.com/documents/?uuid=687079dc-241f-4df7-a323-6a15a3049916"]}],"mendeley":{"formattedCitation":"(Dangi et al., 2019)","plainTextFormattedCitation":"(Dangi et al., 2019)","previouslyFormattedCitation":"(Dangi et al., 2019)"},"properties":{"noteIndex":0},"schema":"https://github.com/citation-style-language/schema/raw/master/csl-citation.json"}</w:instrText>
      </w:r>
      <w:r w:rsidR="00433E96">
        <w:rPr>
          <w:rFonts w:ascii="Times New Roman" w:eastAsia="Times New Roman" w:hAnsi="Times New Roman"/>
        </w:rPr>
        <w:fldChar w:fldCharType="separate"/>
      </w:r>
      <w:r w:rsidR="00433E96" w:rsidRPr="00433E96">
        <w:rPr>
          <w:rFonts w:ascii="Times New Roman" w:eastAsia="Times New Roman" w:hAnsi="Times New Roman"/>
          <w:noProof/>
        </w:rPr>
        <w:t>(Dangi et al., 2019)</w:t>
      </w:r>
      <w:r w:rsidR="00433E96">
        <w:rPr>
          <w:rFonts w:ascii="Times New Roman" w:eastAsia="Times New Roman" w:hAnsi="Times New Roman"/>
        </w:rPr>
        <w:fldChar w:fldCharType="end"/>
      </w:r>
      <w:r w:rsidR="00B82FDB">
        <w:rPr>
          <w:rFonts w:ascii="Times New Roman" w:eastAsia="Times New Roman" w:hAnsi="Times New Roman"/>
        </w:rPr>
        <w:t xml:space="preserve">. </w:t>
      </w:r>
      <w:r w:rsidR="00863667">
        <w:rPr>
          <w:rFonts w:ascii="Times New Roman" w:eastAsia="Times New Roman" w:hAnsi="Times New Roman"/>
        </w:rPr>
        <w:t>Rec</w:t>
      </w:r>
      <w:r w:rsidR="003B6F41">
        <w:rPr>
          <w:rFonts w:ascii="Times New Roman" w:eastAsia="Times New Roman" w:hAnsi="Times New Roman"/>
        </w:rPr>
        <w:t>en</w:t>
      </w:r>
      <w:r w:rsidR="00863667">
        <w:rPr>
          <w:rFonts w:ascii="Times New Roman" w:eastAsia="Times New Roman" w:hAnsi="Times New Roman"/>
        </w:rPr>
        <w:t xml:space="preserve">tly, </w:t>
      </w:r>
      <w:r w:rsidR="00861351">
        <w:rPr>
          <w:rFonts w:ascii="Times New Roman" w:eastAsia="Times New Roman" w:hAnsi="Times New Roman"/>
        </w:rPr>
        <w:t>m</w:t>
      </w:r>
      <w:r w:rsidR="00863667">
        <w:rPr>
          <w:rFonts w:ascii="Times New Roman" w:eastAsia="Times New Roman" w:hAnsi="Times New Roman"/>
        </w:rPr>
        <w:t xml:space="preserve">achine </w:t>
      </w:r>
      <w:r w:rsidR="00861351">
        <w:rPr>
          <w:rFonts w:ascii="Times New Roman" w:eastAsia="Times New Roman" w:hAnsi="Times New Roman"/>
        </w:rPr>
        <w:t>l</w:t>
      </w:r>
      <w:r w:rsidR="00863667">
        <w:rPr>
          <w:rFonts w:ascii="Times New Roman" w:eastAsia="Times New Roman" w:hAnsi="Times New Roman"/>
        </w:rPr>
        <w:t>earning is impacting the design of synthetic metabolic pathways.</w:t>
      </w:r>
      <w:r w:rsidR="003B6F41">
        <w:rPr>
          <w:rFonts w:ascii="Times New Roman" w:eastAsia="Times New Roman" w:hAnsi="Times New Roman"/>
        </w:rPr>
        <w:t xml:space="preserve"> By predicting </w:t>
      </w:r>
      <w:r w:rsidR="0116497E" w:rsidRPr="69BA3794">
        <w:rPr>
          <w:rFonts w:ascii="Times New Roman" w:eastAsia="Times New Roman" w:hAnsi="Times New Roman"/>
        </w:rPr>
        <w:t xml:space="preserve"> appropriate and significant target genes for perturbing pathway dynamics, </w:t>
      </w:r>
      <w:r w:rsidR="00673957">
        <w:rPr>
          <w:rFonts w:ascii="Times New Roman" w:eastAsia="Times New Roman" w:hAnsi="Times New Roman"/>
        </w:rPr>
        <w:t>machine learning</w:t>
      </w:r>
      <w:r w:rsidR="0116497E" w:rsidRPr="69BA3794">
        <w:rPr>
          <w:rFonts w:ascii="Times New Roman" w:eastAsia="Times New Roman" w:hAnsi="Times New Roman"/>
        </w:rPr>
        <w:t xml:space="preserve"> have outperformed conventional kinetic modelling in terms of qualitative and accurate quantitative prediction, </w:t>
      </w:r>
      <w:r w:rsidR="3FC33A93" w:rsidRPr="69BA3794">
        <w:rPr>
          <w:rFonts w:ascii="Times New Roman" w:eastAsia="Times New Roman" w:hAnsi="Times New Roman"/>
        </w:rPr>
        <w:t>help</w:t>
      </w:r>
      <w:r w:rsidR="0116497E" w:rsidRPr="69BA3794">
        <w:rPr>
          <w:rFonts w:ascii="Times New Roman" w:eastAsia="Times New Roman" w:hAnsi="Times New Roman"/>
        </w:rPr>
        <w:t xml:space="preserve">ing to </w:t>
      </w:r>
      <w:r w:rsidR="761B8C77" w:rsidRPr="69BA3794">
        <w:rPr>
          <w:rFonts w:ascii="Times New Roman" w:eastAsia="Times New Roman" w:hAnsi="Times New Roman"/>
        </w:rPr>
        <w:t>optimise</w:t>
      </w:r>
      <w:r w:rsidR="0116497E" w:rsidRPr="69BA3794">
        <w:rPr>
          <w:rFonts w:ascii="Times New Roman" w:eastAsia="Times New Roman" w:hAnsi="Times New Roman"/>
        </w:rPr>
        <w:t xml:space="preserve"> efforts of metabolic engineers </w:t>
      </w:r>
      <w:r w:rsidR="0116497E" w:rsidRPr="00121D97">
        <w:rPr>
          <w:rFonts w:ascii="Times New Roman" w:eastAsia="Times New Roman" w:hAnsi="Times New Roman"/>
        </w:rPr>
        <w:fldChar w:fldCharType="begin" w:fldLock="1"/>
      </w:r>
      <w:r w:rsidR="00504729">
        <w:rPr>
          <w:rFonts w:ascii="Times New Roman" w:eastAsia="Times New Roman" w:hAnsi="Times New Roman"/>
        </w:rPr>
        <w:instrText>ADDIN CSL_CITATION {"citationItems":[{"id":"ITEM-1","itemData":{"DOI":"10.1016/j.tibtech.2019.01.003","ISSN":"18793096","PMID":"30737009","abstract":"Metabolic engineering allows development of microbial strains efficiently producing chemicals and materials, but it requires much time, effort, and cost to make the strains industrially competitive. Systems metabolic engineering, which integrates tools and strategies of systems biology, synthetic biology, and evolutionary engineering with traditional metabolic engineering, has recently been used to facilitate development of high-performance strains. The past decade has witnessed this interdisciplinary strategy continuously being improved toward the development of industrially competitive overproducer strains. In this article, current trends in systems metabolic engineering including tools and strategies are reviewed, focusing on recent developments in selection of host strains, metabolic pathway reconstruction, tolerance enhancement, and metabolic flux optimization. Also, future challenges and prospects are discussed.","author":[{"dropping-particle":"","family":"Choi","given":"Kyeong Rok","non-dropping-particle":"","parse-names":false,"suffix":""},{"dropping-particle":"","family":"Jang","given":"Woo Dae","non-dropping-particle":"","parse-names":false,"suffix":""},{"dropping-particle":"","family":"Yang","given":"Dongsoo","non-dropping-particle":"","parse-names":false,"suffix":""},{"dropping-particle":"","family":"Cho","given":"Jae Sung","non-dropping-particle":"","parse-names":false,"suffix":""},{"dropping-particle":"","family":"Park","given":"Dahyeon","non-dropping-particle":"","parse-names":false,"suffix":""},{"dropping-particle":"","family":"Lee","given":"Sang Yup","non-dropping-particle":"","parse-names":false,"suffix":""}],"container-title":"Trends in Biotechnology","id":"ITEM-1","issue":"8","issued":{"date-parts":[["2019","8"]]},"page":"817-837","publisher":"Elsevier Ltd","title":"Systems Metabolic Engineering Strategies: Integrating Systems and Synthetic Biology with Metabolic Engineering","type":"article","volume":"37"},"uris":["http://www.mendeley.com/documents/?uuid=2ffb0544-fdaf-4676-901b-d676eec356d6"]}],"mendeley":{"formattedCitation":"(K. R. Choi et al., 2019)","plainTextFormattedCitation":"(K. R. Choi et al., 2019)","previouslyFormattedCitation":"(K. R. Choi et al., 2019)"},"properties":{"noteIndex":0},"schema":"https://github.com/citation-style-language/schema/raw/master/csl-citation.json"}</w:instrText>
      </w:r>
      <w:r w:rsidR="0116497E" w:rsidRPr="00121D97">
        <w:rPr>
          <w:rFonts w:ascii="Times New Roman" w:eastAsia="Times New Roman" w:hAnsi="Times New Roman"/>
        </w:rPr>
        <w:fldChar w:fldCharType="separate"/>
      </w:r>
      <w:r w:rsidR="00DF65CB" w:rsidRPr="00DF65CB">
        <w:rPr>
          <w:rFonts w:ascii="Times New Roman" w:eastAsia="Times New Roman" w:hAnsi="Times New Roman"/>
          <w:noProof/>
        </w:rPr>
        <w:t>(K. R. Choi et al., 2019)</w:t>
      </w:r>
      <w:r w:rsidR="0116497E" w:rsidRPr="00121D97">
        <w:rPr>
          <w:rFonts w:ascii="Times New Roman" w:eastAsia="Times New Roman" w:hAnsi="Times New Roman"/>
        </w:rPr>
        <w:fldChar w:fldCharType="end"/>
      </w:r>
      <w:r w:rsidR="0116497E" w:rsidRPr="69BA3794">
        <w:rPr>
          <w:rFonts w:ascii="Times New Roman" w:eastAsia="Times New Roman" w:hAnsi="Times New Roman"/>
        </w:rPr>
        <w:t>.</w:t>
      </w:r>
    </w:p>
    <w:p w14:paraId="1318FD91" w14:textId="432D9C31" w:rsidR="00A268DA" w:rsidRPr="008805B8" w:rsidRDefault="00496F75" w:rsidP="008805B8">
      <w:pPr>
        <w:pStyle w:val="Heading3"/>
        <w:rPr>
          <w:iCs w:val="0"/>
        </w:rPr>
      </w:pPr>
      <w:bookmarkStart w:id="50" w:name="_Toc70112672"/>
      <w:bookmarkStart w:id="51" w:name="_Toc70685694"/>
      <w:r>
        <w:rPr>
          <w:lang w:val="en-US"/>
        </w:rPr>
        <w:t>2</w:t>
      </w:r>
      <w:r w:rsidR="00BA3C89" w:rsidRPr="008805B8">
        <w:t>.</w:t>
      </w:r>
      <w:r w:rsidR="00D31E91">
        <w:rPr>
          <w:lang w:val="en-US"/>
        </w:rPr>
        <w:t>4</w:t>
      </w:r>
      <w:r w:rsidR="00BA3C89" w:rsidRPr="008805B8">
        <w:t xml:space="preserve">. </w:t>
      </w:r>
      <w:r w:rsidR="00A268DA" w:rsidRPr="008805B8">
        <w:t>Genome-level engineering</w:t>
      </w:r>
      <w:r w:rsidR="007E4D32">
        <w:rPr>
          <w:lang w:val="en-US"/>
        </w:rPr>
        <w:t>.</w:t>
      </w:r>
      <w:bookmarkEnd w:id="50"/>
      <w:bookmarkEnd w:id="51"/>
      <w:r w:rsidR="00A268DA" w:rsidRPr="008805B8">
        <w:t xml:space="preserve"> </w:t>
      </w:r>
    </w:p>
    <w:p w14:paraId="796DAD70" w14:textId="1AF175B7" w:rsidR="00A268DA" w:rsidRPr="00A268DA" w:rsidRDefault="00A268DA" w:rsidP="69BA3794">
      <w:pPr>
        <w:suppressAutoHyphens/>
        <w:autoSpaceDE w:val="0"/>
        <w:spacing w:before="120" w:after="120" w:line="240" w:lineRule="auto"/>
        <w:jc w:val="both"/>
        <w:rPr>
          <w:rFonts w:ascii="Times New Roman" w:hAnsi="Times New Roman"/>
          <w:color w:val="000000"/>
          <w:kern w:val="1"/>
          <w:lang w:eastAsia="ar-SA"/>
        </w:rPr>
      </w:pPr>
      <w:r w:rsidRPr="129BA1BF">
        <w:rPr>
          <w:rFonts w:ascii="Times New Roman" w:hAnsi="Times New Roman"/>
          <w:color w:val="000000"/>
          <w:kern w:val="1"/>
          <w:lang w:eastAsia="ar-SA"/>
        </w:rPr>
        <w:t xml:space="preserve">This area of synthetic biology research focuses on the genome as the “causal engine” of the cell </w:t>
      </w:r>
      <w:r w:rsidR="00815042">
        <w:rPr>
          <w:rFonts w:ascii="Times New Roman" w:hAnsi="Times New Roman"/>
          <w:color w:val="000000"/>
          <w:kern w:val="1"/>
          <w:lang w:eastAsia="ar-SA"/>
        </w:rPr>
        <w:fldChar w:fldCharType="begin" w:fldLock="1"/>
      </w:r>
      <w:r w:rsidR="00310E7E">
        <w:rPr>
          <w:rFonts w:ascii="Times New Roman" w:hAnsi="Times New Roman"/>
          <w:color w:val="000000"/>
          <w:kern w:val="1"/>
          <w:lang w:eastAsia="ar-SA"/>
        </w:rPr>
        <w:instrText>ADDIN CSL_CITATION {"citationItems":[{"id":"ITEM-1","itemData":{"DOI":"10.1002/bies.20664","ISSN":"02659247","author":[{"dropping-particle":"","family":"O'Malley","given":"Maureen","non-dropping-particle":"","parse-names":false,"suffix":""},{"dropping-particle":"","family":"Powell","given":"Alexander","non-dropping-particle":"","parse-names":false,"suffix":""},{"dropping-particle":"","family":"Davies","given":"Jonathan F.","non-dropping-particle":"","parse-names":false,"suffix":""},{"dropping-particle":"","family":"Calvert","given":"Jane","non-dropping-particle":"","parse-names":false,"suffix":""}],"container-title":"BioEssays","id":"ITEM-1","issue":"1","issued":{"date-parts":[["2008","1"]]},"page":"57-65","title":"Knowledge-making distinctions in synthetic biology","type":"article-journal","volume":"30"},"uris":["http://www.mendeley.com/documents/?uuid=21554787-351e-43d4-a32e-163e35ff8dab"]},{"id":"ITEM-2","itemData":{"DOI":"10.1007/s11427-018-9403-y","ISSN":"16747305","PMID":"30465231","abstract":"Whole genome engineering is now feasible with the aid of genome editing and synthesis tools. Synthesizing a genome from scratch allows modifications of the genomic structure and function to an extent that was hitherto not possible, which will finally lead to new insights into the basic principles of life and enable valuable applications. With several recent genome synthesis projects as examples, the technical details to synthesize a genome and applications of synthetic genome are addressed in this perspective. A series of ongoing or future synthetic genomics projects, including the different genomes to be synthesized in GP-write, synthetic minimal genome, massively recoded genome, chimeric genome and synthetic genome with expanded genetic alphabet, are also discussed here with a special focus on theoretical and technical impediments in the design and synthesis process. Synthetic genomics will become a commonplace to engineer pathways and genomes according to arbitrary sets of design principles with the development of high-efficient, low-cost genome synthesis and assembly technologies.","author":[{"dropping-particle":"","family":"Luo","given":"Zhouqing","non-dropping-particle":"","parse-names":false,"suffix":""},{"dropping-particle":"","family":"Yang","given":"Qing","non-dropping-particle":"","parse-names":false,"suffix":""},{"dropping-particle":"","family":"Geng","given":"Binan","non-dropping-particle":"","parse-names":false,"suffix":""},{"dropping-particle":"","family":"Jiang","given":"Shuangying","non-dropping-particle":"","parse-names":false,"suffix":""},{"dropping-particle":"","family":"Yang","given":"Shihui","non-dropping-particle":"","parse-names":false,"suffix":""},{"dropping-particle":"","family":"Li","given":"Xiaozheng","non-dropping-particle":"","parse-names":false,"suffix":""},{"dropping-particle":"","family":"Cai","given":"Yizhi","non-dropping-particle":"","parse-names":false,"suffix":""},{"dropping-particle":"","family":"Dai","given":"Junbiao","non-dropping-particle":"","parse-names":false,"suffix":""}],"container-title":"Science China Life Sciences","id":"ITEM-2","issue":"12","issued":{"date-parts":[["2018"]]},"page":"1515-1527","title":"Whole genome engineering by synthesis","type":"article-journal","volume":"61"},"uris":["http://www.mendeley.com/documents/?uuid=f94ab505-c695-44a6-ba9b-5ed2a1899241","http://www.mendeley.com/documents/?uuid=78d2fd02-45e8-449f-b314-fa628eb33614","http://www.mendeley.com/documents/?uuid=91aedc33-d5ac-48c8-b772-e06c7d766779","http://www.mendeley.com/documents/?uuid=4da8e335-99a4-4959-9c62-4c3206af7a7c","http://www.mendeley.com/documents/?uuid=31a0128a-f91b-4234-a5ec-d715012f4812"]},{"id":"ITEM-3","itemData":{"DOI":"10.1038/nature08187","ISSN":"0028-0836","author":[{"dropping-particle":"","family":"Wang","given":"Harris H.","non-dropping-particle":"","parse-names":false,"suffix":""},{"dropping-particle":"","family":"Isaacs","given":"Farren J.","non-dropping-particle":"","parse-names":false,"suffix":""},{"dropping-particle":"","family":"Carr","given":"Peter A.","non-dropping-particle":"","parse-names":false,"suffix":""},{"dropping-particle":"","family":"Sun","given":"Zachary Z.","non-dropping-particle":"","parse-names":false,"suffix":""},{"dropping-particle":"","family":"Xu","given":"George","non-dropping-particle":"","parse-names":false,"suffix":""},{"dropping-particle":"","family":"Forest","given":"Craig R.","non-dropping-particle":"","parse-names":false,"suffix":""},{"dropping-particle":"","family":"Church","given":"George M.","non-dropping-particle":"","parse-names":false,"suffix":""}],"container-title":"Nature","id":"ITEM-3","issue":"7257","issued":{"date-parts":[["2009","8","13"]]},"page":"894-898","title":"Programming cells by multiplex genome engineering and accelerated evolution","type":"article-journal","volume":"460"},"uris":["http://www.mendeley.com/documents/?uuid=6cf4627e-9051-433b-aef3-4364177a2c67"]}],"mendeley":{"formattedCitation":"(Z. Luo et al., 2018; O’Malley et al., 2008; H. H. Wang et al., 2009)","manualFormatting":"(O’Malley et al., 2008; Luo et al., 2018; Wang et al., 2009)","plainTextFormattedCitation":"(Z. Luo et al., 2018; O’Malley et al., 2008; H. H. Wang et al., 2009)","previouslyFormattedCitation":"(A. O’Malley et al., 2008; Z. Luo et al., 2018; H. H. Wang et al., 2009)"},"properties":{"noteIndex":0},"schema":"https://github.com/citation-style-language/schema/raw/master/csl-citation.json"}</w:instrText>
      </w:r>
      <w:r w:rsidR="00815042">
        <w:rPr>
          <w:rFonts w:ascii="Times New Roman" w:hAnsi="Times New Roman"/>
          <w:color w:val="000000"/>
          <w:kern w:val="1"/>
          <w:lang w:eastAsia="ar-SA"/>
        </w:rPr>
        <w:fldChar w:fldCharType="separate"/>
      </w:r>
      <w:r w:rsidR="00815042" w:rsidRPr="001573B4">
        <w:rPr>
          <w:rFonts w:ascii="Times New Roman" w:hAnsi="Times New Roman"/>
          <w:noProof/>
          <w:color w:val="000000"/>
          <w:kern w:val="1"/>
          <w:lang w:eastAsia="ar-SA"/>
        </w:rPr>
        <w:t>(O’Malley et al., 2008; Luo et al., 2018; Wang et al., 2009)</w:t>
      </w:r>
      <w:r w:rsidR="00815042">
        <w:rPr>
          <w:rFonts w:ascii="Times New Roman" w:hAnsi="Times New Roman"/>
          <w:color w:val="000000"/>
          <w:kern w:val="1"/>
          <w:lang w:eastAsia="ar-SA"/>
        </w:rPr>
        <w:fldChar w:fldCharType="end"/>
      </w:r>
      <w:r w:rsidRPr="00B156AF">
        <w:rPr>
          <w:rFonts w:ascii="Times New Roman" w:eastAsia="Times New Roman" w:hAnsi="Times New Roman"/>
          <w:kern w:val="1"/>
          <w:sz w:val="18"/>
          <w:szCs w:val="18"/>
          <w:vertAlign w:val="superscript"/>
          <w:lang w:eastAsia="ar-SA"/>
        </w:rPr>
        <w:footnoteReference w:id="11"/>
      </w:r>
      <w:r w:rsidR="00200FAD" w:rsidRPr="001573B4">
        <w:rPr>
          <w:rFonts w:ascii="Times New Roman" w:hAnsi="Times New Roman"/>
          <w:color w:val="000000"/>
          <w:kern w:val="1"/>
          <w:lang w:eastAsia="ar-SA"/>
        </w:rPr>
        <w:t>.</w:t>
      </w:r>
      <w:r w:rsidRPr="001573B4">
        <w:rPr>
          <w:rFonts w:ascii="Times New Roman" w:hAnsi="Times New Roman"/>
          <w:color w:val="000000"/>
          <w:kern w:val="1"/>
          <w:lang w:eastAsia="ar-SA"/>
        </w:rPr>
        <w:t xml:space="preserve"> </w:t>
      </w:r>
      <w:r w:rsidRPr="129BA1BF">
        <w:rPr>
          <w:rFonts w:ascii="Times New Roman" w:hAnsi="Times New Roman"/>
          <w:color w:val="000000"/>
          <w:kern w:val="1"/>
          <w:lang w:eastAsia="ar-SA"/>
        </w:rPr>
        <w:t>Rather than designing short DNA sequences or engineering specific metabolic pathways, researchers work at the whole-genome level. There are two strategies for genome-level engineering: top</w:t>
      </w:r>
      <w:r w:rsidR="1BC8F09E" w:rsidRPr="06DD7B6A">
        <w:rPr>
          <w:rFonts w:ascii="Times New Roman" w:hAnsi="Times New Roman"/>
          <w:color w:val="000000" w:themeColor="text1"/>
          <w:lang w:eastAsia="ar-SA"/>
        </w:rPr>
        <w:t>-</w:t>
      </w:r>
      <w:r w:rsidRPr="129BA1BF">
        <w:rPr>
          <w:rFonts w:ascii="Times New Roman" w:hAnsi="Times New Roman"/>
          <w:color w:val="000000"/>
          <w:kern w:val="1"/>
          <w:lang w:eastAsia="ar-SA"/>
        </w:rPr>
        <w:t>down and bottom</w:t>
      </w:r>
      <w:r w:rsidR="1BC8F09E" w:rsidRPr="06DD7B6A">
        <w:rPr>
          <w:rFonts w:ascii="Times New Roman" w:hAnsi="Times New Roman"/>
          <w:color w:val="000000" w:themeColor="text1"/>
          <w:lang w:eastAsia="ar-SA"/>
        </w:rPr>
        <w:t>-</w:t>
      </w:r>
      <w:r w:rsidRPr="129BA1BF">
        <w:rPr>
          <w:rFonts w:ascii="Times New Roman" w:hAnsi="Times New Roman"/>
          <w:color w:val="000000"/>
          <w:kern w:val="1"/>
          <w:lang w:eastAsia="ar-SA"/>
        </w:rPr>
        <w:t>up.</w:t>
      </w:r>
    </w:p>
    <w:p w14:paraId="01E5EE63" w14:textId="1C7A101E" w:rsidR="005E051A" w:rsidRPr="00FA3C86" w:rsidRDefault="00A268DA" w:rsidP="005E051A">
      <w:pPr>
        <w:suppressAutoHyphens/>
        <w:autoSpaceDE w:val="0"/>
        <w:spacing w:before="120" w:after="120" w:line="240" w:lineRule="auto"/>
        <w:jc w:val="both"/>
        <w:rPr>
          <w:rFonts w:ascii="Times New Roman" w:hAnsi="Times New Roman"/>
          <w:color w:val="000000"/>
          <w:kern w:val="1"/>
          <w:lang w:eastAsia="ar-SA"/>
        </w:rPr>
      </w:pPr>
      <w:r w:rsidRPr="487919B7">
        <w:rPr>
          <w:rFonts w:ascii="Times New Roman" w:hAnsi="Times New Roman"/>
          <w:color w:val="000000"/>
          <w:kern w:val="1"/>
          <w:lang w:eastAsia="ar-SA"/>
        </w:rPr>
        <w:t>Top-down genome-engineering starts with a whole genome, from which researchers gradually remove non-essential genes to pare it down to the smallest possible genome size at which the cell can continue to function as desired</w:t>
      </w:r>
      <w:r w:rsidR="3534E37B" w:rsidRPr="7405BF8A">
        <w:rPr>
          <w:rFonts w:ascii="Times New Roman" w:hAnsi="Times New Roman"/>
          <w:color w:val="000000" w:themeColor="text1"/>
          <w:lang w:eastAsia="ar-SA"/>
        </w:rPr>
        <w:t xml:space="preserve">, achieving a </w:t>
      </w:r>
      <w:r w:rsidR="71BEBBCF" w:rsidRPr="7405BF8A">
        <w:rPr>
          <w:rFonts w:ascii="Times New Roman" w:hAnsi="Times New Roman"/>
          <w:color w:val="000000" w:themeColor="text1"/>
          <w:lang w:eastAsia="ar-SA"/>
        </w:rPr>
        <w:t>“</w:t>
      </w:r>
      <w:r w:rsidR="3534E37B" w:rsidRPr="7405BF8A">
        <w:rPr>
          <w:rFonts w:ascii="Times New Roman" w:hAnsi="Times New Roman"/>
          <w:color w:val="000000" w:themeColor="text1"/>
          <w:lang w:eastAsia="ar-SA"/>
        </w:rPr>
        <w:t>minimal cell</w:t>
      </w:r>
      <w:r w:rsidR="356FF71F" w:rsidRPr="7405BF8A">
        <w:rPr>
          <w:rFonts w:ascii="Times New Roman" w:hAnsi="Times New Roman"/>
          <w:color w:val="000000" w:themeColor="text1"/>
          <w:lang w:eastAsia="ar-SA"/>
        </w:rPr>
        <w:t>”</w:t>
      </w:r>
      <w:r w:rsidR="008127C0">
        <w:rPr>
          <w:rFonts w:ascii="Times New Roman" w:hAnsi="Times New Roman"/>
          <w:color w:val="000000" w:themeColor="text1"/>
          <w:lang w:eastAsia="ar-SA"/>
        </w:rPr>
        <w:t xml:space="preserve">. </w:t>
      </w:r>
      <w:r w:rsidR="0143207A" w:rsidRPr="7405BF8A">
        <w:rPr>
          <w:rFonts w:ascii="Times New Roman" w:hAnsi="Times New Roman"/>
          <w:color w:val="000000" w:themeColor="text1"/>
          <w:lang w:eastAsia="ar-SA"/>
        </w:rPr>
        <w:t xml:space="preserve">The smaller genome is meant to reduce cellular complexity and thus the potential for unexpected interactions </w:t>
      </w:r>
      <w:r w:rsidR="00E63853">
        <w:rPr>
          <w:rFonts w:ascii="Times New Roman" w:hAnsi="Times New Roman"/>
          <w:color w:val="000000" w:themeColor="text1"/>
          <w:lang w:eastAsia="ar-SA"/>
        </w:rPr>
        <w:fldChar w:fldCharType="begin" w:fldLock="1"/>
      </w:r>
      <w:r w:rsidR="00E706A1">
        <w:rPr>
          <w:rFonts w:ascii="Times New Roman" w:hAnsi="Times New Roman"/>
          <w:color w:val="000000" w:themeColor="text1"/>
          <w:lang w:eastAsia="ar-SA"/>
        </w:rPr>
        <w:instrText>ADDIN CSL_CITATION {"citationItems":[{"id":"ITEM-1","itemData":{"DOI":"10.1098/rstb.2007.2065","ISSN":"0962-8436","abstract":"Cells are the building blocks of biological complexity. They are complex systems sustained by the coordinated cooperative dynamics of several biochemical networks. Their replication, adaptation and computational features emerge as a consequence of appropriate molecular feedbacks that somehow define what life is. As the last decades have brought the transition from the description-driven biology to the synthesis-driven biology, one great challenge shared by both the fields of bioengineering and the origin of life is to find the appropriate conditions under which living cellular structures can effectively emerge and persist. Here, we review current knowledge (both theoretical and experimental) on possible scenarios of artificial cell design and their future challenges.","author":[{"dropping-particle":"V","family":"Solé","given":"Ricard","non-dropping-particle":"","parse-names":false,"suffix":""},{"dropping-particle":"","family":"Munteanu","given":"Andreea","non-dropping-particle":"","parse-names":false,"suffix":""},{"dropping-particle":"","family":"Rodriguez-Caso","given":"Carlos","non-dropping-particle":"","parse-names":false,"suffix":""},{"dropping-particle":"","family":"Macía","given":"Javier","non-dropping-particle":"","parse-names":false,"suffix":""}],"container-title":"Philosophical Transactions of the Royal Society B: Biological Sciences","id":"ITEM-1","issue":"1486","issued":{"date-parts":[["2007","10","29"]]},"page":"1727-1739","title":"Synthetic protocell biology: from reproduction to computation","type":"article-journal","volume":"362"},"uris":["http://www.mendeley.com/documents/?uuid=1ad04c8d-c3b5-41af-9a2f-fc4f407cf661"]},{"id":"ITEM-2","itemData":{"author":[{"dropping-particle":"","family":"The Royal Academy of Engineering","given":"","non-dropping-par</w:instrText>
      </w:r>
      <w:r w:rsidR="00E706A1" w:rsidRPr="00E857D9">
        <w:rPr>
          <w:rFonts w:ascii="Times New Roman" w:hAnsi="Times New Roman"/>
          <w:color w:val="000000" w:themeColor="text1"/>
          <w:lang w:val="fr-FR" w:eastAsia="ar-SA"/>
        </w:rPr>
        <w:instrText>ticle":"","parse-names":false,"suffix":""}],"id":"ITEM-2","issued":{"date-parts":[["2009"]]},"publisher-place":"London, UK","title":"Synthetic Biology: scope, applications and implications","type":"report"},"uris":["http://www.mendeley.com/documents/?uuid=695b4b59-9ae0-455f-8ce0-ba6220a774b5"]},{"id":"ITEM-3","itemData":{"DOI":"10.1093/bioinformatics/btl469","ISSN":"1367-4803","author":[{"dropping-particle":"","family":"Heinemann","given":"M.","non-dropping-particle":"","parse-names":false,"suffix":""},{"dropping-particle":"","family":"Panke","given":"S.","non-dropping-particle":"","parse-names":false,"suffix":""}],"container-title":"Bioinformatics","id":"ITEM-3","issue":"22","issued":{"date-parts":[["2006","</w:instrText>
      </w:r>
      <w:r w:rsidR="00E706A1" w:rsidRPr="00B156AF">
        <w:rPr>
          <w:rFonts w:ascii="Times New Roman" w:hAnsi="Times New Roman"/>
          <w:color w:val="000000" w:themeColor="text1"/>
          <w:lang w:val="fr-FR" w:eastAsia="ar-SA"/>
        </w:rPr>
        <w:instrText>11","15"]]},"page":"2790-2799","title":"Synthetic biology--putting engineering into biology","type":"article-journal","volume":"22"},"uris":["http://www.mendeley.com/documents/?uuid=04b1f316-6245-42a5-8dbe-082633cc1e9d"]}],"mendeley":{"formattedCitation":"(M. Heinemann &amp; Panke, 2006; Solé et al., 2007; The Royal Academy of Engineering, 2009)","manualFormatting":"(Heinemann &amp; Panke, 2006; Solé et al., 2007; RAE, 2009;","plainTextFormattedCitation":"(M. Heinemann &amp; Panke, 2006; Solé et al., 2007; The Royal Academy of Engineering, 2009)","previouslyFormattedCitation":"(M. Heinemann &amp; Panke, 2006; Solé et al., 2007; The Royal Academy of Engineering, 2009)"},"properties":{"noteIndex":0},"schema":"https://github.com/citation-style-language/schema/raw/master/csl-citation.json"}</w:instrText>
      </w:r>
      <w:r w:rsidR="00E63853">
        <w:rPr>
          <w:rFonts w:ascii="Times New Roman" w:hAnsi="Times New Roman"/>
          <w:color w:val="000000" w:themeColor="text1"/>
          <w:lang w:eastAsia="ar-SA"/>
        </w:rPr>
        <w:fldChar w:fldCharType="separate"/>
      </w:r>
      <w:r w:rsidR="00E63853" w:rsidRPr="000B2BD4">
        <w:rPr>
          <w:rFonts w:ascii="Times New Roman" w:hAnsi="Times New Roman"/>
          <w:noProof/>
          <w:color w:val="000000" w:themeColor="text1"/>
          <w:lang w:val="fr-FR" w:eastAsia="ar-SA"/>
        </w:rPr>
        <w:t xml:space="preserve">(Heinemann &amp; Panke, 2006; Solé et al., 2007; </w:t>
      </w:r>
      <w:r w:rsidR="00266571" w:rsidRPr="000B2BD4">
        <w:rPr>
          <w:rFonts w:ascii="Times New Roman" w:hAnsi="Times New Roman"/>
          <w:noProof/>
          <w:color w:val="000000" w:themeColor="text1"/>
          <w:lang w:val="fr-FR" w:eastAsia="ar-SA"/>
        </w:rPr>
        <w:t>RAE</w:t>
      </w:r>
      <w:r w:rsidR="00E63853" w:rsidRPr="000B2BD4">
        <w:rPr>
          <w:rFonts w:ascii="Times New Roman" w:hAnsi="Times New Roman"/>
          <w:noProof/>
          <w:color w:val="000000" w:themeColor="text1"/>
          <w:lang w:val="fr-FR" w:eastAsia="ar-SA"/>
        </w:rPr>
        <w:t>, 2009</w:t>
      </w:r>
      <w:r w:rsidR="00656D4E" w:rsidRPr="000B2BD4">
        <w:rPr>
          <w:rFonts w:ascii="Times New Roman" w:hAnsi="Times New Roman"/>
          <w:noProof/>
          <w:color w:val="000000" w:themeColor="text1"/>
          <w:lang w:val="fr-FR" w:eastAsia="ar-SA"/>
        </w:rPr>
        <w:t>;</w:t>
      </w:r>
      <w:r w:rsidR="00E63853">
        <w:rPr>
          <w:rFonts w:ascii="Times New Roman" w:hAnsi="Times New Roman"/>
          <w:color w:val="000000" w:themeColor="text1"/>
          <w:lang w:eastAsia="ar-SA"/>
        </w:rPr>
        <w:fldChar w:fldCharType="end"/>
      </w:r>
      <w:r w:rsidR="71F3CA28" w:rsidRPr="000B2BD4">
        <w:rPr>
          <w:rFonts w:ascii="Times New Roman" w:hAnsi="Times New Roman"/>
          <w:color w:val="000000" w:themeColor="text1"/>
          <w:lang w:val="fr-FR" w:eastAsia="ar-SA"/>
        </w:rPr>
        <w:t xml:space="preserve"> </w:t>
      </w:r>
      <w:r w:rsidR="0007776F"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val="fr-FR" w:eastAsia="ar-SA"/>
        </w:rPr>
        <w:instrText>ADDIN CSL_CITATION {"citationItems":[{"id":"ITEM-1","itemData":{"DOI":"10.1101/cshperspect.a023861","ISSN":"19430264","PMID":"28348033","abstract":"A minimal cell is onewhose genome only encodes the minimal set of genes necessary for the cell to survive. Scientific reductionism postulates the best way to learn the first principles of cellular biology would be to use a minimal cell in which the functions of all genes and components are understood. The genes in a minimal cell are, by definition, essential. In 2016, synthesis of a genome comprised of only the set of essential and quasi-essential genes encoded by the bacterium Mycoplasmamycoides created a near-minimal bacterial cell. This organism performs the cellular functions common to all organisms. It replicates DNA, transcribes RNA, translates proteins, undergoes cell division, and little else. In this review, we examine this organism and contrast it with other bacteria that have been used as surrogates for a minimal cell.","author":[{"dropping-particle":"","family":"Glass","given":"John I.","non-dropping-particle":"","parse-names":false,"suffix":""},{"dropping-particle":"","family":"Merryman","given":"Chuck","non-dropping-particle":"","parse-names":false,"suffix":""},{"dropping-particle":"","family":"Wise","given":"Kim S.","non-dropping-particle":"","parse-names":false,"suffix":""},{"dropping-particle":"","family":"Hutchison","given":"Clyde A.","non-dropping-particle":"","parse-names":false,"suffix":""},{"dropping-particle":"","family":"Smith","given":"Hamilton O.","non-dropping-particle":"","parse-names":false,"suffix":""}],"container-title":"Cold Spring Harbor Perspectives in Biology","id":"ITEM-1","issue":"12","issued":{"date-parts":[["2017","12"]]},"publisher":"Cold Spring Harbor Laboratory Press","title":"Minimal cells-real and imagined","type":"article","volume":"9"},"uris":["http://www.mendeley.com/documents/?uuid=739d8d32-e828-4f74-9b2f-2b9f1843712b"]}],"mendeley":{"formattedCitation":"(Glass et al., 2017)","manualFormatting":"Glass et al., 2017; Luo et al. 2018)","plainTextFormattedCitation":"(Glass et al., 2017)","previouslyFormattedCitation":"(Glass et al., 2017)"},"properties":{"noteIndex":0},"schema":"https://github.com/citation-style-language/schema/raw/master/csl-citation.json"}</w:instrText>
      </w:r>
      <w:r w:rsidR="0007776F" w:rsidRPr="00121D97">
        <w:rPr>
          <w:rFonts w:ascii="Times New Roman" w:hAnsi="Times New Roman"/>
          <w:color w:val="000000" w:themeColor="text1"/>
          <w:lang w:eastAsia="ar-SA"/>
        </w:rPr>
        <w:fldChar w:fldCharType="separate"/>
      </w:r>
      <w:r w:rsidR="0007776F" w:rsidRPr="000B2BD4">
        <w:rPr>
          <w:rFonts w:ascii="Times New Roman" w:hAnsi="Times New Roman"/>
          <w:noProof/>
          <w:color w:val="000000" w:themeColor="text1"/>
          <w:lang w:val="fr-FR" w:eastAsia="ar-SA"/>
        </w:rPr>
        <w:t>Glass et al., 2017</w:t>
      </w:r>
      <w:r w:rsidR="006E206D" w:rsidRPr="000B2BD4">
        <w:rPr>
          <w:rFonts w:ascii="Times New Roman" w:hAnsi="Times New Roman"/>
          <w:noProof/>
          <w:color w:val="000000" w:themeColor="text1"/>
          <w:lang w:val="fr-FR" w:eastAsia="ar-SA"/>
        </w:rPr>
        <w:t>; Luo et al. 2018</w:t>
      </w:r>
      <w:r w:rsidR="0007776F" w:rsidRPr="000B2BD4">
        <w:rPr>
          <w:rFonts w:ascii="Times New Roman" w:hAnsi="Times New Roman"/>
          <w:noProof/>
          <w:color w:val="000000" w:themeColor="text1"/>
          <w:lang w:val="fr-FR" w:eastAsia="ar-SA"/>
        </w:rPr>
        <w:t>)</w:t>
      </w:r>
      <w:r w:rsidR="0007776F" w:rsidRPr="00121D97">
        <w:rPr>
          <w:rFonts w:ascii="Times New Roman" w:hAnsi="Times New Roman"/>
          <w:color w:val="000000" w:themeColor="text1"/>
          <w:lang w:eastAsia="ar-SA"/>
        </w:rPr>
        <w:fldChar w:fldCharType="end"/>
      </w:r>
      <w:r w:rsidR="0143207A" w:rsidRPr="000B2BD4">
        <w:rPr>
          <w:rFonts w:ascii="Times New Roman" w:hAnsi="Times New Roman"/>
          <w:color w:val="000000" w:themeColor="text1"/>
          <w:lang w:val="fr-FR" w:eastAsia="ar-SA"/>
        </w:rPr>
        <w:t>.</w:t>
      </w:r>
      <w:r w:rsidRPr="000B2BD4">
        <w:rPr>
          <w:rFonts w:ascii="Times New Roman" w:hAnsi="Times New Roman"/>
          <w:color w:val="000000" w:themeColor="text1"/>
          <w:lang w:val="fr-FR" w:eastAsia="ar-SA"/>
        </w:rPr>
        <w:t xml:space="preserve"> </w:t>
      </w:r>
      <w:r w:rsidRPr="487919B7">
        <w:rPr>
          <w:rFonts w:ascii="Times New Roman" w:hAnsi="Times New Roman"/>
          <w:color w:val="000000"/>
          <w:kern w:val="1"/>
          <w:lang w:eastAsia="ar-SA"/>
        </w:rPr>
        <w:t xml:space="preserve">The primary goal is to craft a simplified “chassis” to which modular DNA “parts” can be added </w:t>
      </w:r>
      <w:r w:rsidR="005A4E03">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{"citationItems":[{"id":"ITEM-1","itemData":{"DOI":"10.1007/978-90-481-2678-1_3","author":[{"dropping-particle":"","family":"Lam","given":"Carolyn M.C.","non-dropping-particle":"","parse-names":false,"suffix":""},{"dropping-particle":"","family":"Godinho","given":"Miguel","non-dropping-particle":"","parse-names":false,"suffix":""},{"dropping-particle":"","family":"Santos","given":"Vítor A.P. Martins","non-dropping-particle":"dos","parse-names":false,"suffix":""}],"container-title":"Synthetic Biology","id":"ITEM-1","issued":{"date-parts":[["2009"]]},"page":"23-48","publisher":"Springer Netherlands","publisher-place":"Dordrecht","title":"An Introduction to Synthetic Biology","type":"chapter"},"uris":["http://www.mendeley.com/documents/?uuid=90c6636d-a846-4252-9a94-db7d37035168"]}],"mendeley":{"formattedCitation":"(Lam et al., 2009)","plainTextFormattedCitation":"(Lam et al., 2009)","previouslyFormattedCitation":"(Lam et al., 2009)"},"properties":{"noteIndex":0},"schema":"https://github.com/citation-style-language/schema/raw/master/csl-citation.json"}</w:instrText>
      </w:r>
      <w:r w:rsidR="005A4E03">
        <w:rPr>
          <w:rFonts w:ascii="Times New Roman" w:hAnsi="Times New Roman"/>
          <w:color w:val="000000"/>
          <w:kern w:val="1"/>
          <w:lang w:eastAsia="ar-SA"/>
        </w:rPr>
        <w:fldChar w:fldCharType="separate"/>
      </w:r>
      <w:r w:rsidR="005A4E03" w:rsidRPr="005A4E03">
        <w:rPr>
          <w:rFonts w:ascii="Times New Roman" w:hAnsi="Times New Roman"/>
          <w:noProof/>
          <w:color w:val="000000"/>
          <w:kern w:val="1"/>
          <w:lang w:eastAsia="ar-SA"/>
        </w:rPr>
        <w:t>(Lam et al., 2009)</w:t>
      </w:r>
      <w:r w:rsidR="005A4E03">
        <w:rPr>
          <w:rFonts w:ascii="Times New Roman" w:hAnsi="Times New Roman"/>
          <w:color w:val="000000"/>
          <w:kern w:val="1"/>
          <w:lang w:eastAsia="ar-SA"/>
        </w:rPr>
        <w:fldChar w:fldCharType="end"/>
      </w:r>
      <w:r w:rsidRPr="487919B7">
        <w:rPr>
          <w:rFonts w:ascii="Times New Roman" w:hAnsi="Times New Roman"/>
          <w:color w:val="000000"/>
          <w:kern w:val="1"/>
          <w:lang w:eastAsia="ar-SA"/>
        </w:rPr>
        <w:t xml:space="preserve">. </w:t>
      </w:r>
      <w:r w:rsidR="005E051A" w:rsidRPr="00FA3C86">
        <w:rPr>
          <w:rFonts w:ascii="Times New Roman" w:hAnsi="Times New Roman"/>
          <w:color w:val="000000"/>
          <w:kern w:val="1"/>
          <w:lang w:eastAsia="ar-SA"/>
        </w:rPr>
        <w:t>The greatest progress to date includes: JCVI-Syn3.0, a 50</w:t>
      </w:r>
      <w:r w:rsidR="005E051A">
        <w:rPr>
          <w:rFonts w:ascii="Times New Roman" w:hAnsi="Times New Roman"/>
          <w:color w:val="000000"/>
          <w:kern w:val="1"/>
          <w:lang w:eastAsia="ar-SA"/>
        </w:rPr>
        <w:t xml:space="preserve"> </w:t>
      </w:r>
      <w:r w:rsidR="005E051A" w:rsidRPr="00FA3C86">
        <w:rPr>
          <w:rFonts w:ascii="Times New Roman" w:hAnsi="Times New Roman"/>
          <w:color w:val="000000"/>
          <w:kern w:val="1"/>
          <w:lang w:eastAsia="ar-SA"/>
        </w:rPr>
        <w:t xml:space="preserve">% gene reduction of </w:t>
      </w:r>
      <w:r w:rsidR="005E051A" w:rsidRPr="1386BD8E">
        <w:rPr>
          <w:rFonts w:ascii="Times New Roman" w:hAnsi="Times New Roman"/>
          <w:i/>
          <w:color w:val="000000"/>
          <w:kern w:val="1"/>
          <w:lang w:eastAsia="ar-SA"/>
        </w:rPr>
        <w:t>Mycoplasma mycoides</w:t>
      </w:r>
      <w:r w:rsidR="005E051A" w:rsidRPr="00FA3C86">
        <w:rPr>
          <w:rFonts w:ascii="Times New Roman" w:hAnsi="Times New Roman"/>
          <w:color w:val="000000"/>
          <w:kern w:val="1"/>
          <w:lang w:eastAsia="ar-SA"/>
        </w:rPr>
        <w:t xml:space="preserve">; several strains of </w:t>
      </w:r>
      <w:r w:rsidR="005E051A" w:rsidRPr="1386BD8E">
        <w:rPr>
          <w:rFonts w:ascii="Times New Roman" w:hAnsi="Times New Roman"/>
          <w:i/>
          <w:color w:val="000000"/>
          <w:kern w:val="1"/>
          <w:lang w:eastAsia="ar-SA"/>
        </w:rPr>
        <w:t>E. coli</w:t>
      </w:r>
      <w:r w:rsidR="005E051A" w:rsidRPr="00FA3C86">
        <w:rPr>
          <w:rFonts w:ascii="Times New Roman" w:hAnsi="Times New Roman"/>
          <w:color w:val="000000"/>
          <w:kern w:val="1"/>
          <w:lang w:eastAsia="ar-SA"/>
        </w:rPr>
        <w:t xml:space="preserve"> reduced by 38</w:t>
      </w:r>
      <w:r w:rsidR="00025FBF">
        <w:rPr>
          <w:rFonts w:ascii="Times New Roman" w:hAnsi="Times New Roman"/>
          <w:color w:val="000000"/>
          <w:kern w:val="1"/>
          <w:lang w:eastAsia="ar-SA"/>
        </w:rPr>
        <w:t xml:space="preserve"> %</w:t>
      </w:r>
      <w:r w:rsidR="005E051A" w:rsidRPr="00FA3C86">
        <w:rPr>
          <w:rFonts w:ascii="Times New Roman" w:hAnsi="Times New Roman"/>
          <w:color w:val="000000"/>
          <w:kern w:val="1"/>
          <w:lang w:eastAsia="ar-SA"/>
        </w:rPr>
        <w:t xml:space="preserve"> and 35</w:t>
      </w:r>
      <w:r w:rsidR="00025FBF">
        <w:rPr>
          <w:rFonts w:ascii="Times New Roman" w:hAnsi="Times New Roman"/>
          <w:color w:val="000000"/>
          <w:kern w:val="1"/>
          <w:lang w:eastAsia="ar-SA"/>
        </w:rPr>
        <w:t xml:space="preserve"> </w:t>
      </w:r>
      <w:r w:rsidR="005E051A" w:rsidRPr="00FA3C86">
        <w:rPr>
          <w:rFonts w:ascii="Times New Roman" w:hAnsi="Times New Roman"/>
          <w:color w:val="000000"/>
          <w:kern w:val="1"/>
          <w:lang w:eastAsia="ar-SA"/>
        </w:rPr>
        <w:t xml:space="preserve">% of their base pairs </w:t>
      </w:r>
      <w:r w:rsidR="005E051A" w:rsidRPr="1386BD8E">
        <w:rPr>
          <w:rFonts w:ascii="Times New Roman" w:hAnsi="Times New Roman"/>
          <w:i/>
          <w:color w:val="000000"/>
          <w:kern w:val="1"/>
          <w:lang w:eastAsia="ar-SA"/>
        </w:rPr>
        <w:t>in vivo</w:t>
      </w:r>
      <w:r w:rsidR="005E051A" w:rsidRPr="00FA3C86">
        <w:rPr>
          <w:rFonts w:ascii="Times New Roman" w:hAnsi="Times New Roman"/>
          <w:color w:val="000000"/>
          <w:kern w:val="1"/>
          <w:lang w:eastAsia="ar-SA"/>
        </w:rPr>
        <w:t xml:space="preserve">; an </w:t>
      </w:r>
      <w:r w:rsidR="005E051A" w:rsidRPr="1386BD8E">
        <w:rPr>
          <w:rFonts w:ascii="Times New Roman" w:hAnsi="Times New Roman"/>
          <w:i/>
          <w:color w:val="000000"/>
          <w:kern w:val="1"/>
          <w:lang w:eastAsia="ar-SA"/>
        </w:rPr>
        <w:t>E. coli</w:t>
      </w:r>
      <w:r w:rsidR="005E051A" w:rsidRPr="00FA3C86">
        <w:rPr>
          <w:rFonts w:ascii="Times New Roman" w:hAnsi="Times New Roman"/>
          <w:color w:val="000000"/>
          <w:kern w:val="1"/>
          <w:lang w:eastAsia="ar-SA"/>
        </w:rPr>
        <w:t xml:space="preserve"> gene reduction of 7</w:t>
      </w:r>
      <w:r w:rsidR="00025FBF">
        <w:rPr>
          <w:rFonts w:ascii="Times New Roman" w:hAnsi="Times New Roman"/>
          <w:color w:val="000000"/>
          <w:kern w:val="1"/>
          <w:lang w:eastAsia="ar-SA"/>
        </w:rPr>
        <w:t xml:space="preserve">8 </w:t>
      </w:r>
      <w:r w:rsidR="005E051A" w:rsidRPr="00FA3C86">
        <w:rPr>
          <w:rFonts w:ascii="Times New Roman" w:hAnsi="Times New Roman"/>
          <w:color w:val="000000"/>
          <w:kern w:val="1"/>
          <w:lang w:eastAsia="ar-SA"/>
        </w:rPr>
        <w:t xml:space="preserve">% </w:t>
      </w:r>
      <w:r w:rsidR="65DE1DAC" w:rsidRPr="1386BD8E">
        <w:rPr>
          <w:rFonts w:ascii="Times New Roman" w:hAnsi="Times New Roman"/>
          <w:color w:val="000000" w:themeColor="text1"/>
          <w:lang w:eastAsia="ar-SA"/>
        </w:rPr>
        <w:t xml:space="preserve">assembled </w:t>
      </w:r>
      <w:r w:rsidR="005E051A" w:rsidRPr="00FA3C86">
        <w:rPr>
          <w:rFonts w:ascii="Times New Roman" w:hAnsi="Times New Roman"/>
          <w:color w:val="000000"/>
          <w:kern w:val="1"/>
          <w:lang w:eastAsia="ar-SA"/>
        </w:rPr>
        <w:t xml:space="preserve">in </w:t>
      </w:r>
      <w:r w:rsidR="005E051A" w:rsidRPr="1386BD8E">
        <w:rPr>
          <w:rFonts w:ascii="Times New Roman" w:hAnsi="Times New Roman"/>
          <w:i/>
          <w:color w:val="000000"/>
          <w:kern w:val="1"/>
          <w:lang w:eastAsia="ar-SA"/>
        </w:rPr>
        <w:t>Saccharomyces cerevisiae</w:t>
      </w:r>
      <w:r w:rsidR="005E051A" w:rsidRPr="00FA3C86">
        <w:rPr>
          <w:rFonts w:ascii="Times New Roman" w:hAnsi="Times New Roman"/>
          <w:color w:val="000000"/>
          <w:kern w:val="1"/>
          <w:lang w:eastAsia="ar-SA"/>
        </w:rPr>
        <w:t>; and two 36</w:t>
      </w:r>
      <w:r w:rsidR="00025FBF">
        <w:rPr>
          <w:rFonts w:ascii="Times New Roman" w:hAnsi="Times New Roman"/>
          <w:color w:val="000000"/>
          <w:kern w:val="1"/>
          <w:lang w:eastAsia="ar-SA"/>
        </w:rPr>
        <w:t xml:space="preserve"> </w:t>
      </w:r>
      <w:r w:rsidR="005E051A" w:rsidRPr="00FA3C86">
        <w:rPr>
          <w:rFonts w:ascii="Times New Roman" w:hAnsi="Times New Roman"/>
          <w:color w:val="000000"/>
          <w:kern w:val="1"/>
          <w:lang w:eastAsia="ar-SA"/>
        </w:rPr>
        <w:t xml:space="preserve">% gene reductions of </w:t>
      </w:r>
      <w:r w:rsidR="005E051A" w:rsidRPr="1386BD8E">
        <w:rPr>
          <w:rFonts w:ascii="Times New Roman" w:hAnsi="Times New Roman"/>
          <w:i/>
          <w:color w:val="000000"/>
          <w:kern w:val="1"/>
          <w:lang w:eastAsia="ar-SA"/>
        </w:rPr>
        <w:t>Bacillus subtilis</w:t>
      </w:r>
      <w:r w:rsidR="005E051A">
        <w:rPr>
          <w:rFonts w:ascii="Times New Roman" w:hAnsi="Times New Roman"/>
          <w:color w:val="000000"/>
          <w:kern w:val="1"/>
          <w:lang w:eastAsia="ar-SA"/>
        </w:rPr>
        <w:t xml:space="preserve"> </w:t>
      </w:r>
      <w:r w:rsidR="00F21ACA">
        <w:rPr>
          <w:rFonts w:ascii="Times New Roman" w:hAnsi="Times New Roman"/>
          <w:color w:val="000000"/>
          <w:kern w:val="1"/>
          <w:lang w:eastAsia="ar-SA"/>
        </w:rPr>
        <w:fldChar w:fldCharType="begin" w:fldLock="1"/>
      </w:r>
      <w:r w:rsidR="008225CA">
        <w:rPr>
          <w:rFonts w:ascii="Times New Roman" w:hAnsi="Times New Roman"/>
          <w:color w:val="000000"/>
          <w:kern w:val="1"/>
          <w:lang w:eastAsia="ar-SA"/>
        </w:rPr>
        <w:instrText>ADDIN CSL_CITATION {"citationItems":[{"id":"ITEM-1","itemData":{"DOI":"10.1038/s41467-020-14545-0","ISSN":"20411723","PMID":"32047145","abstract":"In the future, entire genomes tailored to specific functions and environments could be designed using computational tools. However, computational tools for genome design are currently scarce. Here we present algorithms that enable the use of design-simulate-test cycles for genome design, using genome minimisation as a proof-of-concept. Minimal genomes are ideal for this purpose as they have a simple functional assay whether the cell replicates or not. We used the first (and currently only published) whole-cell model for the bacterium Mycoplasma genitalium. Our computational design-simulate-test cycles discovered novel in silico minimal genomes which, if biologically correct, predict in vivo genomes smaller than JCVI-Syn3.0; a bacterium with, currently, the smallest genome that can be grown in pure culture. In the process, we identified 10 low essential genes and produced evidence for at least two Mycoplasma genitalium in silico minimal genomes. This work brings combined computational and laboratory genome engineering a step closer.","author":[{"dropping-particle":"","family":"Rees-Garbutt","given":"Joshua","non-dropping-particle":"","parse-names":false,"suffix":""},{"dropping-particle":"","family":"Chalkley","given":"Oliver","non-dropping-particle":"","parse-names":false,"suffix":""},{"dropping-particle":"","family":"Landon","given":"Sophie","non-dropping-particle":"","parse-names":false,"suffix":""},{"dropping-particle":"","family":"Purcell","given":"Oliver","non-dropping-particle":"","parse-names":false,"suffix":""},{"dropping-particle":"","family":"Marucci","given":"Lucia","non-dropping-particle":"","parse-names":false,"suffix":""},{"dropping-particle":"","family":"Grierson","given":"Claire","non-dropping-particle":"","parse-names":false,"suffix":""}],"container-title":"Nature Communications","id":"ITEM-1","issue":"1","issued":{"date-parts":[["2020","12"]]},"page":"1-12","publisher":"Nature Research","title":"Designing minimal genomes using whole-cell models","type":"article-journal","volume":"11"},"uris":["http://www.mendeley.com/documents/?uuid=3f4dc962-1d50-4e01-bc72-01315667cdbf"]}],"mendeley":{"formattedCitation":"(Rees-Garbutt et al., 2020)","plainTextFormattedCitation":"(Rees-Garbutt et al., 2020)","previouslyFormattedCitation":"(Rees-Garbutt et al., 2020)"},"properties":{"noteIndex":0},"schema":"https://github.com/citation-style-language/schema/raw/master/csl-citation.json"}</w:instrText>
      </w:r>
      <w:r w:rsidR="00F21ACA">
        <w:rPr>
          <w:rFonts w:ascii="Times New Roman" w:hAnsi="Times New Roman"/>
          <w:color w:val="000000"/>
          <w:kern w:val="1"/>
          <w:lang w:eastAsia="ar-SA"/>
        </w:rPr>
        <w:fldChar w:fldCharType="separate"/>
      </w:r>
      <w:r w:rsidR="00021A81" w:rsidRPr="00021A81">
        <w:rPr>
          <w:rFonts w:ascii="Times New Roman" w:hAnsi="Times New Roman"/>
          <w:noProof/>
          <w:color w:val="000000"/>
          <w:kern w:val="1"/>
          <w:lang w:eastAsia="ar-SA"/>
        </w:rPr>
        <w:t>(Rees-Garbutt et al., 2020)</w:t>
      </w:r>
      <w:r w:rsidR="00F21ACA">
        <w:rPr>
          <w:rFonts w:ascii="Times New Roman" w:hAnsi="Times New Roman"/>
          <w:color w:val="000000"/>
          <w:kern w:val="1"/>
          <w:lang w:eastAsia="ar-SA"/>
        </w:rPr>
        <w:fldChar w:fldCharType="end"/>
      </w:r>
      <w:r w:rsidR="00025FBF">
        <w:rPr>
          <w:rFonts w:ascii="Times New Roman" w:hAnsi="Times New Roman"/>
          <w:color w:val="000000"/>
          <w:kern w:val="1"/>
          <w:lang w:eastAsia="ar-SA"/>
        </w:rPr>
        <w:t>.</w:t>
      </w:r>
    </w:p>
    <w:p w14:paraId="4A2C4497" w14:textId="2F13B223" w:rsidR="00A268DA" w:rsidRPr="00A268DA" w:rsidRDefault="00A268DA" w:rsidP="487919B7">
      <w:pPr>
        <w:suppressAutoHyphens/>
        <w:autoSpaceDE w:val="0"/>
        <w:spacing w:before="120" w:after="120" w:line="240" w:lineRule="auto"/>
        <w:jc w:val="both"/>
        <w:rPr>
          <w:rFonts w:ascii="Times New Roman" w:hAnsi="Times New Roman"/>
          <w:color w:val="000000"/>
          <w:kern w:val="1"/>
          <w:lang w:eastAsia="ar-SA"/>
        </w:rPr>
      </w:pPr>
      <w:r w:rsidRPr="487919B7">
        <w:rPr>
          <w:rFonts w:ascii="Times New Roman" w:hAnsi="Times New Roman"/>
          <w:color w:val="000000"/>
          <w:kern w:val="1"/>
          <w:lang w:eastAsia="ar-SA"/>
        </w:rPr>
        <w:t xml:space="preserve">Bottom-up genome-engineering aims to build functional genomes from fragments of </w:t>
      </w:r>
      <w:r w:rsidR="02DADC1B" w:rsidRPr="487919B7">
        <w:rPr>
          <w:rFonts w:ascii="Times New Roman" w:hAnsi="Times New Roman"/>
          <w:color w:val="000000"/>
          <w:kern w:val="1"/>
          <w:lang w:eastAsia="ar-SA"/>
        </w:rPr>
        <w:t>synthesi</w:t>
      </w:r>
      <w:r w:rsidR="22B285D9">
        <w:rPr>
          <w:rFonts w:ascii="Times New Roman" w:hAnsi="Times New Roman"/>
          <w:color w:val="000000"/>
          <w:kern w:val="1"/>
          <w:lang w:eastAsia="ar-SA"/>
        </w:rPr>
        <w:t>s</w:t>
      </w:r>
      <w:r w:rsidR="1817DAE6">
        <w:rPr>
          <w:rFonts w:ascii="Times New Roman" w:hAnsi="Times New Roman"/>
          <w:color w:val="000000"/>
          <w:kern w:val="1"/>
          <w:lang w:eastAsia="ar-SA"/>
        </w:rPr>
        <w:t>e</w:t>
      </w:r>
      <w:r w:rsidR="02DADC1B" w:rsidRPr="487919B7">
        <w:rPr>
          <w:rFonts w:ascii="Times New Roman" w:hAnsi="Times New Roman"/>
          <w:color w:val="000000"/>
          <w:kern w:val="1"/>
          <w:lang w:eastAsia="ar-SA"/>
        </w:rPr>
        <w:t>d</w:t>
      </w:r>
      <w:r w:rsidRPr="487919B7">
        <w:rPr>
          <w:rFonts w:ascii="Times New Roman" w:hAnsi="Times New Roman"/>
          <w:color w:val="000000"/>
          <w:kern w:val="1"/>
          <w:lang w:eastAsia="ar-SA"/>
        </w:rPr>
        <w:t xml:space="preserve"> DNA; it is also referred to as “synthetic genomics" </w:t>
      </w:r>
      <w:r w:rsidR="00A36002">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10.2174/1389202911314010003","ISSN":"13892029","author":[{"dropping-particle":"","family":"Konig","given":"Harald","non-dropping-particle":"","parse-names":false,"suffix":""},{"dropping-particle":"","family":"Frank","given":"Daniel","non-dropping-particle":"","parse-names":false,"suffix":""},{"dropping-particle":"","family":"Heil","given":"Reinhard","non-dropping-particle":"","parse-names":false,"suffix":""},{"dropping-particle":"","family":"Coenen","given":"Christopher","non-dropping-particle":"","parse-names":false,"suffix":""}],"container-title":"Current Genomics","id":"ITEM-1","issue":"1","issued":{"date-parts":[["2013","1","1"]]},"page":"11-24","title":"Synthetic Genomics and Synthetic Biology Applications Between Hopes and Concerns","type":"article-journal","volume":"14"},"uris":["http://www.mendeley.com/documents/?uuid=7ba2fc14-bdc6-4e00-92e8-56c7e14c5be5"]}],"mendeley":{"formattedCitation":"(Konig et al., 2013)","plainTextFormattedCitation":"(Konig et al., 2013)","previouslyFormattedCitation":"(Konig et al., 2013)"},"properties":{"noteIndex":0},"schema":"https://github.com/citation-style-language/schema/raw/master/csl-citation.json"}</w:instrText>
      </w:r>
      <w:r w:rsidR="00A36002">
        <w:rPr>
          <w:rFonts w:ascii="Times New Roman" w:hAnsi="Times New Roman"/>
          <w:color w:val="000000"/>
          <w:kern w:val="1"/>
          <w:lang w:eastAsia="ar-SA"/>
        </w:rPr>
        <w:fldChar w:fldCharType="separate"/>
      </w:r>
      <w:r w:rsidR="00A36002" w:rsidRPr="00A36002">
        <w:rPr>
          <w:rFonts w:ascii="Times New Roman" w:hAnsi="Times New Roman"/>
          <w:noProof/>
          <w:color w:val="000000"/>
          <w:kern w:val="1"/>
          <w:lang w:eastAsia="ar-SA"/>
        </w:rPr>
        <w:t>(Konig et al., 2013)</w:t>
      </w:r>
      <w:r w:rsidR="00A36002">
        <w:rPr>
          <w:rFonts w:ascii="Times New Roman" w:hAnsi="Times New Roman"/>
          <w:color w:val="000000"/>
          <w:kern w:val="1"/>
          <w:lang w:eastAsia="ar-SA"/>
        </w:rPr>
        <w:fldChar w:fldCharType="end"/>
      </w:r>
      <w:r w:rsidRPr="487919B7">
        <w:rPr>
          <w:rFonts w:ascii="Times New Roman" w:hAnsi="Times New Roman"/>
          <w:color w:val="000000"/>
          <w:kern w:val="1"/>
          <w:lang w:eastAsia="ar-SA"/>
        </w:rPr>
        <w:t xml:space="preserve">. Thus far, researchers have reproduced the viral genomes of polio </w:t>
      </w:r>
      <w:r w:rsidR="00E3337E">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10.1126/science.1072266","ISSN":"00368075","author":[{"dropping-particle":"","family":"Cello","given":"J.","non-dropping-particle":"","parse-names":false,"suffix":""}],"container-title":"Science","id":"ITEM-1","issue":"5583","issued":{"date-parts":[["2002","8","9"]]},"page":"1016-1018","title":"Chemical Synthesis of Poliovirus cDNA: Generation of Infectious Virus in the Absence of Natural Template","type":"article-journal","volume":"297"},"uris":["http://www.mendeley.com/documents/?uuid=a9a76464-7848-4fb0-8b50-94faca1e681b"]}],"mendeley":{"formattedCitation":"(Cello, 2002)","plainTextFormattedCitation":"(Cello, 2002)","previouslyFormattedCitation":"(Cello, 2002)"},"properties":{"noteIndex":0},"schema":"https://github.com/citation-style-language/schema/raw/master/csl-citation.json"}</w:instrText>
      </w:r>
      <w:r w:rsidR="00E3337E">
        <w:rPr>
          <w:rFonts w:ascii="Times New Roman" w:hAnsi="Times New Roman"/>
          <w:color w:val="000000"/>
          <w:kern w:val="1"/>
          <w:lang w:eastAsia="ar-SA"/>
        </w:rPr>
        <w:fldChar w:fldCharType="separate"/>
      </w:r>
      <w:r w:rsidR="00E3337E" w:rsidRPr="00E3337E">
        <w:rPr>
          <w:rFonts w:ascii="Times New Roman" w:hAnsi="Times New Roman"/>
          <w:noProof/>
          <w:color w:val="000000"/>
          <w:kern w:val="1"/>
          <w:lang w:eastAsia="ar-SA"/>
        </w:rPr>
        <w:t>(Cello, 2002)</w:t>
      </w:r>
      <w:r w:rsidR="00E3337E">
        <w:rPr>
          <w:rFonts w:ascii="Times New Roman" w:hAnsi="Times New Roman"/>
          <w:color w:val="000000"/>
          <w:kern w:val="1"/>
          <w:lang w:eastAsia="ar-SA"/>
        </w:rPr>
        <w:fldChar w:fldCharType="end"/>
      </w:r>
      <w:r w:rsidR="1E3A24D8" w:rsidRPr="69BA3794">
        <w:rPr>
          <w:rFonts w:ascii="Times New Roman" w:hAnsi="Times New Roman"/>
          <w:color w:val="000000" w:themeColor="text1"/>
          <w:lang w:eastAsia="ar-SA"/>
        </w:rPr>
        <w:t xml:space="preserve">, </w:t>
      </w:r>
      <w:r w:rsidRPr="487919B7">
        <w:rPr>
          <w:rFonts w:ascii="Times New Roman" w:hAnsi="Times New Roman"/>
          <w:color w:val="000000"/>
          <w:kern w:val="1"/>
          <w:lang w:eastAsia="ar-SA"/>
        </w:rPr>
        <w:t xml:space="preserve">the 1918 Spanish influenza </w:t>
      </w:r>
      <w:r w:rsidR="00AB0DC9">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{"citationItems":[{"id":"ITEM-1","itemData":{"DOI":"10.1073/pnas.031575198","ISSN":"0027-8424","author":[{"dropping-particle":"","family":"Basler","given":"C. F.","non-dropping-particle":"","parse-names":false,"suffix":""},{"dropping-particle":"","family":"Reid","given":"A. H.","non-dropping-particle":"","parse-names":false,"suffix":""},{"dropping-particle":"","family":"Dybing","given":"J. K.","non-dropping-particle":"","parse-names":false,"suffix":""},{"dropping-particle":"","family":"Janczewski","given":"T. A.","non-dropping-particle":"","parse-names":false,"suffix":""},{"dropping-particle":"","family":"Fanning","given":"T. G.","non-dropping-particle":"","parse-names":false,"suffix":""},{"dropping-particle":"","family":"Zheng","given":"H.","non-dropping-particle":"","parse-names":false,"suffix":""},{"dropping-particle":"","family":"Salvatore","given":"M.","non-dropping-particle":"","parse-names":false,"suffix":""},{"dropping-particle":"","family":"Perdue","given":"M. L.","non-dropping-particle":"","parse-names":false,"suffix":""},{"dropping-particle":"","family":"Swayne","given":"D. E.","non-dropping-particle":"","parse-names":false,"suffix":""},{"dropping-particle":"","family":"Garcia-Sastre","given":"A.","non-dropping-particle":"","parse-names":false,"suffix":""},{"dropping-particle":"","family":"Palese","given":"P.","non-dropping-particle":"","parse-names":false,"suffix":""},{"dropping-particle":"","family":"Taubenberger","given":"J. K.","non-dropping-particle":"","parse-names":false,"suffix":""}],"container-title":"Proceedings of the National Academy of Sciences","id":"ITEM-1","issue":"5","issued":{"date-parts":[["2001","2","27"]]},"page":"2746-2751","title":"Sequence of the 1918 pandemic influenza virus nonstructural gene (NS) segment and characterization of recombinant viruses bearing the 1918 NS genes","type":"article-journal","volume":"98"},"uris":["http://www.mendeley.com/documents/?uuid=edfcdd95-4e33-40c8-882d-f81a973d0840"]},{"id":"ITEM-2","itemData":{"DOI":"10.1126/science.1119392","ISSN":"0036-8075","author":[{"dropping-particle":"","family":"Tumpey","given":"T. M.","non-dropping-particle":"","parse-names":false,"suffix":""}],"container-title":"Science","id":"ITEM-2","issue":"5745","issued":{"date-parts":[["2005","10","7"]]},"page":"77-80","title":"Characterization of the Reconstructed 1918 Spanish Influenza Pandemic Virus","type":"article-journal","volume":"310"},"uris":["http://www.mendeley.com/documents/?uuid=f8e9394c-5bbe-4a8d-9173-7c5176f0bdd7"]}],"mendeley":{"formattedCitation":"(Basler et al., 2001; Tumpey, 2005)","plainTextFormattedCitation":"(Basler et al., 2001; Tumpey, 2005)","previouslyFormattedCitation":"(Basler et al., 2001; Tumpey, 2005)"},"properties":{"noteIndex":0},"schema":"https://github.com/citation-style-language/schema/raw/master/csl-citation.json"}</w:instrText>
      </w:r>
      <w:r w:rsidR="00AB0DC9">
        <w:rPr>
          <w:rFonts w:ascii="Times New Roman" w:hAnsi="Times New Roman"/>
          <w:color w:val="000000"/>
          <w:kern w:val="1"/>
          <w:lang w:eastAsia="ar-SA"/>
        </w:rPr>
        <w:fldChar w:fldCharType="separate"/>
      </w:r>
      <w:r w:rsidR="00AB0DC9" w:rsidRPr="00AB0DC9">
        <w:rPr>
          <w:rFonts w:ascii="Times New Roman" w:hAnsi="Times New Roman"/>
          <w:noProof/>
          <w:color w:val="000000"/>
          <w:kern w:val="1"/>
          <w:lang w:eastAsia="ar-SA"/>
        </w:rPr>
        <w:t>(Basler et al., 2001; Tumpey, 2005)</w:t>
      </w:r>
      <w:r w:rsidR="00AB0DC9">
        <w:rPr>
          <w:rFonts w:ascii="Times New Roman" w:hAnsi="Times New Roman"/>
          <w:color w:val="000000"/>
          <w:kern w:val="1"/>
          <w:lang w:eastAsia="ar-SA"/>
        </w:rPr>
        <w:fldChar w:fldCharType="end"/>
      </w:r>
      <w:r w:rsidR="206C3C23" w:rsidRPr="69BA3794">
        <w:rPr>
          <w:rFonts w:ascii="Times New Roman" w:hAnsi="Times New Roman"/>
          <w:color w:val="000000" w:themeColor="text1"/>
          <w:lang w:eastAsia="ar-SA"/>
        </w:rPr>
        <w:t xml:space="preserve"> and</w:t>
      </w:r>
      <w:r w:rsidRPr="69BA3794">
        <w:rPr>
          <w:rFonts w:ascii="Times New Roman" w:hAnsi="Times New Roman"/>
          <w:color w:val="000000" w:themeColor="text1"/>
          <w:lang w:eastAsia="ar-SA"/>
        </w:rPr>
        <w:t xml:space="preserve"> the </w:t>
      </w:r>
      <w:r w:rsidR="206C3C23" w:rsidRPr="69BA3794">
        <w:rPr>
          <w:rFonts w:ascii="Times New Roman" w:hAnsi="Times New Roman"/>
          <w:color w:val="000000" w:themeColor="text1"/>
          <w:lang w:eastAsia="ar-SA"/>
        </w:rPr>
        <w:t xml:space="preserve">horsepox virus </w:t>
      </w:r>
      <w:r w:rsidR="002537B6">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{"citationItems":[{"id":"ITEM-1","itemData":{"DOI":"10.1371/journal.pone.0188453","ISSN":"1932-6203","author":[{"dropping-particle":"","family":"Noyce","given":"Ryan S.","non-dropping-particle":"","parse-names":false,"suffix":""},{"dropping-particle":"","family":"Lederman","given":"Seth","non-dropping-particle":"","parse-names":false,"suffix":""},{"dropping-particle":"","family":"Evans","given":"David H.","non-dropping-particle":"","parse-names":false,"suffix":""}],"container-title":"PLOS ONE","editor":[{"dropping-particle":"","family":"Thiel","given":"Volker","non-dropping-particle":"","parse-names":false,"suffix":""}],"id":"ITEM-1","issue":"1","issued":{"date-parts":[["2018","1","19"]]},"page":"e0188453","title":"Construction of an infectious horsepox virus vaccine from chemically synthesized DNA fragments","type":"article-journal","volume":"13"},"uris":["http://www.mendeley.com/documents/?uuid=0b65ea0d-ce5a-4419-8833-d4b451870f55"]}],"mendeley":{"formattedCitation":"(Noyce et al., 2018)","plainTextFormattedCitation":"(Noyce et al., 2018)","previouslyFormattedCitation":"(Noyce et al., 2018)"},"properties":{"noteIndex":0},"schema":"https://github.com/citation-style-language/schema/raw/master/csl-citation.json"}</w:instrText>
      </w:r>
      <w:r w:rsidR="002537B6">
        <w:rPr>
          <w:rFonts w:ascii="Times New Roman" w:hAnsi="Times New Roman"/>
          <w:color w:val="000000" w:themeColor="text1"/>
          <w:lang w:eastAsia="ar-SA"/>
        </w:rPr>
        <w:fldChar w:fldCharType="separate"/>
      </w:r>
      <w:r w:rsidR="002537B6" w:rsidRPr="002537B6">
        <w:rPr>
          <w:rFonts w:ascii="Times New Roman" w:hAnsi="Times New Roman"/>
          <w:noProof/>
          <w:color w:val="000000" w:themeColor="text1"/>
          <w:lang w:eastAsia="ar-SA"/>
        </w:rPr>
        <w:t>(Noyce et al., 2018)</w:t>
      </w:r>
      <w:r w:rsidR="002537B6">
        <w:rPr>
          <w:rFonts w:ascii="Times New Roman" w:hAnsi="Times New Roman"/>
          <w:color w:val="000000" w:themeColor="text1"/>
          <w:lang w:eastAsia="ar-SA"/>
        </w:rPr>
        <w:fldChar w:fldCharType="end"/>
      </w:r>
      <w:r w:rsidR="02DADC1B" w:rsidRPr="487919B7">
        <w:rPr>
          <w:rFonts w:ascii="Times New Roman" w:hAnsi="Times New Roman"/>
          <w:color w:val="000000"/>
          <w:kern w:val="1"/>
          <w:lang w:eastAsia="ar-SA"/>
        </w:rPr>
        <w:t xml:space="preserve">. </w:t>
      </w:r>
      <w:r w:rsidR="56504A70" w:rsidRPr="69BA3794">
        <w:rPr>
          <w:rFonts w:ascii="Times New Roman" w:hAnsi="Times New Roman"/>
          <w:color w:val="000000" w:themeColor="text1"/>
          <w:lang w:eastAsia="ar-SA"/>
        </w:rPr>
        <w:t xml:space="preserve">With </w:t>
      </w:r>
      <w:r w:rsidR="64C80882" w:rsidRPr="69BA3794">
        <w:rPr>
          <w:rFonts w:ascii="Times New Roman" w:hAnsi="Times New Roman"/>
          <w:color w:val="000000" w:themeColor="text1"/>
          <w:lang w:eastAsia="ar-SA"/>
        </w:rPr>
        <w:t>respect</w:t>
      </w:r>
      <w:r w:rsidR="56504A70" w:rsidRPr="69BA3794">
        <w:rPr>
          <w:rFonts w:ascii="Times New Roman" w:hAnsi="Times New Roman"/>
          <w:color w:val="000000" w:themeColor="text1"/>
          <w:lang w:eastAsia="ar-SA"/>
        </w:rPr>
        <w:t xml:space="preserve"> to </w:t>
      </w:r>
      <w:r w:rsidR="24B75161" w:rsidRPr="69BA3794">
        <w:rPr>
          <w:rFonts w:ascii="Times New Roman" w:hAnsi="Times New Roman"/>
          <w:color w:val="000000" w:themeColor="text1"/>
          <w:lang w:eastAsia="ar-SA"/>
        </w:rPr>
        <w:t>bacteria</w:t>
      </w:r>
      <w:r w:rsidR="56504A70" w:rsidRPr="69BA3794">
        <w:rPr>
          <w:rFonts w:ascii="Times New Roman" w:hAnsi="Times New Roman"/>
          <w:color w:val="000000" w:themeColor="text1"/>
          <w:lang w:eastAsia="ar-SA"/>
        </w:rPr>
        <w:t xml:space="preserve">, </w:t>
      </w:r>
      <w:r w:rsidR="47A94AFC" w:rsidRPr="69BA3794">
        <w:rPr>
          <w:rFonts w:ascii="Times New Roman" w:hAnsi="Times New Roman"/>
          <w:color w:val="000000" w:themeColor="text1"/>
          <w:lang w:eastAsia="ar-SA"/>
        </w:rPr>
        <w:t>i</w:t>
      </w:r>
      <w:r w:rsidR="02DADC1B" w:rsidRPr="487919B7">
        <w:rPr>
          <w:rFonts w:ascii="Times New Roman" w:hAnsi="Times New Roman"/>
          <w:color w:val="000000"/>
          <w:kern w:val="1"/>
          <w:lang w:eastAsia="ar-SA"/>
        </w:rPr>
        <w:t>n 2010, the J.</w:t>
      </w:r>
      <w:r w:rsidRPr="487919B7">
        <w:rPr>
          <w:rFonts w:ascii="Times New Roman" w:hAnsi="Times New Roman"/>
          <w:color w:val="000000"/>
          <w:kern w:val="1"/>
          <w:lang w:eastAsia="ar-SA"/>
        </w:rPr>
        <w:t xml:space="preserve"> Craig Venter Institute published the successful synthesis and assembly of the genome of </w:t>
      </w:r>
      <w:r w:rsidRPr="69BA3794">
        <w:rPr>
          <w:rFonts w:ascii="Times New Roman" w:hAnsi="Times New Roman"/>
          <w:i/>
          <w:iCs/>
          <w:color w:val="000000"/>
          <w:kern w:val="1"/>
          <w:lang w:eastAsia="ar-SA"/>
        </w:rPr>
        <w:t xml:space="preserve">Mycoplasma mycoides </w:t>
      </w:r>
      <w:r w:rsidRPr="487919B7">
        <w:rPr>
          <w:rFonts w:ascii="Times New Roman" w:hAnsi="Times New Roman"/>
          <w:color w:val="000000"/>
          <w:kern w:val="1"/>
          <w:lang w:eastAsia="ar-SA"/>
        </w:rPr>
        <w:t xml:space="preserve">(1.08 million base pair long), and its transplantation into a </w:t>
      </w:r>
      <w:r w:rsidRPr="69BA3794">
        <w:rPr>
          <w:rFonts w:ascii="Times New Roman" w:hAnsi="Times New Roman"/>
          <w:i/>
          <w:iCs/>
          <w:color w:val="000000"/>
          <w:kern w:val="1"/>
          <w:lang w:eastAsia="ar-SA"/>
        </w:rPr>
        <w:t>M. capricolum</w:t>
      </w:r>
      <w:r w:rsidRPr="487919B7">
        <w:rPr>
          <w:rFonts w:ascii="Times New Roman" w:hAnsi="Times New Roman"/>
          <w:color w:val="000000"/>
          <w:kern w:val="1"/>
          <w:lang w:eastAsia="ar-SA"/>
        </w:rPr>
        <w:t xml:space="preserve"> cell stripped of its genome </w:t>
      </w:r>
      <w:r w:rsidR="00E56C1D">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{"citationItems":[{"id":"ITEM-1","itemData":{"DOI":"10.1126/science.1190719","ISSN":"0036-8075","author":[{"dropping-particle":"","family":"Gibson","given":"D. G.","non-dropping-particle":"","parse-names":false,"suffix":""},{"dropping-particle":"","family":"Glass","given":"J. I.","non-dropping-particle":"","parse-names":false,"suffix":""},{"dropping-particle":"","family":"Lartigue","given":"C.","non-dropping-particle":"","parse-names":false,"suffix":""},{"dropping-particle":"","family":"Noskov","given":"V. N.","non-dropping-particle":"","parse-names":false,"suffix":""},{"dropping-particle":"","family":"Chuang","given":"R.-Y.","non-dropping-particle":"","parse-names":false,"suffix":""},{"dropping-particle":"","family":"Algire","given":"M. A.","non-dropping-particle":"","parse-names":false,"suffix":""},{"dropping-particle":"","family":"Benders","given":"G. A.","non-dropping-particle":"","parse-names":false,"suffix":""},{"dropping-particle":"","family":"Montague","given":"M. G.","non-dropping-particle":"","parse-names":false,"suffix":""},{"dropping-particle":"","family":"Ma","given":"L.","non-dropping-particle":"","parse-names":false,"suffix":""},{"dropping-particle":"","family":"Moodie","given":"M. M.","non-dropping-particle":"","parse-names":false,"suffix":""},{"dropping-particle":"","family":"Merryman","given":"C.","non-dropping-particle":"","parse-names":false,"suffix":""},{"dropping-particle":"","family":"Vashee","given":"S.","non-dropping-particle":"","parse-names":false,"suffix":""},{"dropping-particle":"","family":"Krishnakumar","given":"R.","non-dropping-particle":"","parse-names":false,"suffix":""},{"dropping-particle":"","family":"Assad-Garcia","given":"N.","non-dropping-particle":"","parse-names":false,"suffix":""},{"dropping-particle":"","family":"Andrews-Pfannkoch","given":"C.","non-dropping-particle":"","parse-names":false,"suffix":""},{"dropping-particle":"","family":"Denisova","given":"E. A.","non-dropping-particle":"","parse-names":false,"suffix":""},{"dropping-particle":"","family":"Young","given":"L.","non-dropping-particle":"","parse-names":false,"suffix":""},{"dropping-particle":"","family":"Qi","given":"Z.-Q.","non-dropping-particle":"","parse-names":false,"suffix":""},{"dropping-particle":"","family":"Segall-Shapiro","given":"T. H.","non-dropping-particle":"","parse-names":false,"suffix":""},{"dropping-particle":"","family":"Calvey","given":"C. H.","non-dropping-particle":"","parse-names":false,"suffix":""},{"dropping-particle":"","family":"Parmar","given":"P. P.","non-dropping-particle":"","parse-names":false,"suffix":""},{"dropping-particle":"","family":"Hutchison","given":"C. A.","non-dropping-particle":"","parse-names":false,"suffix":""},{"dropping-particle":"","family":"Smith","given":"H. O.","non-dropping-particle":"","parse-names":false,"suffix":""},{"dropping-particle":"","family":"Venter","given":"J. C.","non-dropping-particle":"","parse-names":false,"suffix":""}],"container-title":"Science","id":"ITEM-1","issue":"5987","issued":{"date-parts":[["2010","7","2"]]},"page":"52-56","title":"Creation of a Bacterial Cell Controlled by a Chemically Synthesized Genome","type":"article-journal","volume":"329"},"uris":["http://www.mendeley.com/documents/?uuid=866e973d-58e6-4500-8c8e-28fadeb52380"]}],"mendeley":{"formattedCitation":"(D. G. Gibson et al., 2010)","manualFormatting":"(Gibson et al., 2010)","plainTextFormattedCitation":"(D. G. Gibson et al., 2010)","previouslyFormattedCitation":"(D. G. Gibson et al., 2010)"},"properties":{"noteIndex":0},"schema":"https://github.com/citation-style-language/schema/raw/master/csl-citation.json"}</w:instrText>
      </w:r>
      <w:r w:rsidR="00E56C1D">
        <w:rPr>
          <w:rFonts w:ascii="Times New Roman" w:hAnsi="Times New Roman"/>
          <w:color w:val="000000"/>
          <w:kern w:val="1"/>
          <w:lang w:eastAsia="ar-SA"/>
        </w:rPr>
        <w:fldChar w:fldCharType="separate"/>
      </w:r>
      <w:r w:rsidR="00E56C1D" w:rsidRPr="00E56C1D">
        <w:rPr>
          <w:rFonts w:ascii="Times New Roman" w:hAnsi="Times New Roman"/>
          <w:noProof/>
          <w:color w:val="000000"/>
          <w:kern w:val="1"/>
          <w:lang w:eastAsia="ar-SA"/>
        </w:rPr>
        <w:t>(Gibson et al., 2010)</w:t>
      </w:r>
      <w:r w:rsidR="00E56C1D">
        <w:rPr>
          <w:rFonts w:ascii="Times New Roman" w:hAnsi="Times New Roman"/>
          <w:color w:val="000000"/>
          <w:kern w:val="1"/>
          <w:lang w:eastAsia="ar-SA"/>
        </w:rPr>
        <w:fldChar w:fldCharType="end"/>
      </w:r>
      <w:r w:rsidRPr="487919B7">
        <w:rPr>
          <w:rFonts w:ascii="Times New Roman" w:hAnsi="Times New Roman"/>
          <w:color w:val="000000"/>
          <w:kern w:val="1"/>
          <w:lang w:eastAsia="ar-SA"/>
        </w:rPr>
        <w:t xml:space="preserve">. </w:t>
      </w:r>
      <w:r w:rsidR="617DD1D1" w:rsidRPr="69BA3794">
        <w:rPr>
          <w:rFonts w:ascii="Times New Roman" w:hAnsi="Times New Roman"/>
          <w:color w:val="000000" w:themeColor="text1"/>
          <w:lang w:eastAsia="ar-SA"/>
        </w:rPr>
        <w:t>More recently, the</w:t>
      </w:r>
      <w:r w:rsidR="20CF619E" w:rsidRPr="69BA3794">
        <w:rPr>
          <w:rFonts w:ascii="Times New Roman" w:hAnsi="Times New Roman"/>
          <w:color w:val="000000" w:themeColor="text1"/>
          <w:lang w:eastAsia="ar-SA"/>
        </w:rPr>
        <w:t xml:space="preserve"> completion of a 4-million-base-pair synthetic version of the </w:t>
      </w:r>
      <w:r w:rsidR="20CF619E" w:rsidRPr="69BA3794">
        <w:rPr>
          <w:rFonts w:ascii="Times New Roman" w:hAnsi="Times New Roman"/>
          <w:i/>
          <w:color w:val="000000" w:themeColor="text1"/>
          <w:lang w:eastAsia="ar-SA"/>
        </w:rPr>
        <w:t>E</w:t>
      </w:r>
      <w:r w:rsidR="7FFC92EC" w:rsidRPr="69BA3794">
        <w:rPr>
          <w:rFonts w:ascii="Times New Roman" w:hAnsi="Times New Roman"/>
          <w:i/>
          <w:color w:val="000000" w:themeColor="text1"/>
          <w:lang w:eastAsia="ar-SA"/>
        </w:rPr>
        <w:t>.</w:t>
      </w:r>
      <w:r w:rsidR="20CF619E" w:rsidRPr="69BA3794">
        <w:rPr>
          <w:rFonts w:ascii="Times New Roman" w:hAnsi="Times New Roman"/>
          <w:i/>
          <w:color w:val="000000" w:themeColor="text1"/>
          <w:lang w:eastAsia="ar-SA"/>
        </w:rPr>
        <w:t xml:space="preserve"> coli</w:t>
      </w:r>
      <w:r w:rsidR="20CF619E" w:rsidRPr="69BA3794">
        <w:rPr>
          <w:rFonts w:ascii="Times New Roman" w:hAnsi="Times New Roman"/>
          <w:color w:val="000000" w:themeColor="text1"/>
          <w:lang w:eastAsia="ar-SA"/>
        </w:rPr>
        <w:t xml:space="preserve"> genome</w:t>
      </w:r>
      <w:r w:rsidR="617DD1D1" w:rsidRPr="69BA3794">
        <w:rPr>
          <w:rFonts w:ascii="Times New Roman" w:hAnsi="Times New Roman"/>
          <w:color w:val="000000" w:themeColor="text1"/>
          <w:lang w:eastAsia="ar-SA"/>
        </w:rPr>
        <w:t xml:space="preserve"> was reported </w:t>
      </w:r>
      <w:r w:rsidR="008225CA">
        <w:rPr>
          <w:rFonts w:ascii="Times New Roman" w:hAnsi="Times New Roman"/>
          <w:color w:val="000000" w:themeColor="text1"/>
          <w:lang w:eastAsia="ar-SA"/>
        </w:rPr>
        <w:fldChar w:fldCharType="begin" w:fldLock="1"/>
      </w:r>
      <w:r w:rsidR="005808A3">
        <w:rPr>
          <w:rFonts w:ascii="Times New Roman" w:hAnsi="Times New Roman"/>
          <w:color w:val="000000" w:themeColor="text1"/>
          <w:lang w:eastAsia="ar-SA"/>
        </w:rPr>
        <w:instrText>ADDIN CSL_CITATION {"citationItems":[{"id":"ITEM-1","itemData":{"DOI":"10.1038/s41586-019-1192-5","ISSN":"0028-0836","abstract":"Nature uses 64 codons to encode the synthesis of proteins from the genome, and chooses 1 sense codon—out of up to 6 synonyms—to encode each amino acid. Synonymous codon choice has diverse and important roles, and many synonymous substitutions are detrimental. Here we demonstrate that the number of codons used to encode the canonical amino acids can be reduced, through the genome-wide substitution of target codons by defined synonyms. We create a variant of Escherichia coli with a four-megabase synthetic genome through a high-fidelity convergent total synthesis. Our synthetic genome implements a defined recoding and refactoring scheme—with simple corrections at just seven positions—to replace every known occurrence of two sense codons and a stop codon in the genome. Thus, we recode 18,214 codons to create an organism with a 61-codon genome; this organism uses 59 codons to encode the 20 amino acids, and enables the deletion of a previously essential transfer RNA.","author":[{"dropping-particle":"","family":"Fredens","given":"Julius","non-dropping-particle":"","parse-names":false,"suffix":""},{"dropping-particle":"","family":"Wang","given":"Kaihang","non-dropping-particle":"","parse-names":false,"suffix":""},{"dropping-particle":"","family":"la Torre","given":"Daniel","non-dropping-particle":"de","parse-names":false,"suffix":""},{"dropping-particle":"","family":"Funke","given":"Louise F. H.","non-dropping-particle":"","parse-names":false,"suffix":""},{"dropping-particle":"","family":"Robertson","given":"Wesley E.","non-dropping-particle":"","parse-names":false,"suffix":""},{"dropping-particle":"","family":"Christova","given":"Yonka","non-dropping-particle":"","parse-names":false,"suffix":""},{"dropping-particle":"","family":"Chia","given":"Tiongsun","non-dropping-particle":"","parse-names":false,"suffix":""},{"dropping-particle":"","family":"Schmied","given":"Wolfgang H.","non-dropping-particle":"","parse-names":false,"suffix":""},{"dropping-particle":"","family":"Dunkelmann","given":"Daniel L.","non-dropping-particle":"","parse-names":false,"suffix":""},{"dropping-particle":"","family":"Beránek","given":"Václav","non-dropping-particle":"","parse-names":false,"suffix":""},{"dropping-particle":"","family":"Uttamapinant","given":"Chayasith","non-dropping-particle":"","parse-names":false,"suffix":""},{"dropping-particle":"","family":"Llamazares","given":"Andres Gonzalez","non-dropping-particle":"","parse-names":false,"suffix":""},{"dropping-particle":"","family":"Elliott","given":"Thomas S.","non-dropping-particle":"","parse-names":false,"suffix":""},{"dropping-particle":"","family":"Chin","given":"Jason W.","non-dropping-particle":"","parse-names":false,"suffix":""}],"container-title":"Nature","id":"ITEM-1","issue":"7757","issued":{"date-parts":[["2019","5","15"]]},"page":"514-518","publisher":"Springer US","title":"Total synthesis of Escherichia coli with a recoded genome","type":"article-journal","volume":"569"},"uris":["http://www.mendeley.com/documents/?uuid=ea0bba5c-4176-41f4-8890-e953db8c9e4c"]}],"mendeley":{"formattedCitation":"(Fredens et al., 2019)","plainTextFormattedCitation":"(Fredens et al., 2019)","previouslyFormattedCitation":"(Fredens et al., 2019)"},"properties":{"noteIndex":0},"schema":"https://github.com/citation-style-language/schema/raw/master/csl-citation.json"}</w:instrText>
      </w:r>
      <w:r w:rsidR="008225CA">
        <w:rPr>
          <w:rFonts w:ascii="Times New Roman" w:hAnsi="Times New Roman"/>
          <w:color w:val="000000" w:themeColor="text1"/>
          <w:lang w:eastAsia="ar-SA"/>
        </w:rPr>
        <w:fldChar w:fldCharType="separate"/>
      </w:r>
      <w:r w:rsidR="008225CA" w:rsidRPr="008225CA">
        <w:rPr>
          <w:rFonts w:ascii="Times New Roman" w:hAnsi="Times New Roman"/>
          <w:noProof/>
          <w:color w:val="000000" w:themeColor="text1"/>
          <w:lang w:eastAsia="ar-SA"/>
        </w:rPr>
        <w:t>(Fredens et al., 2019)</w:t>
      </w:r>
      <w:r w:rsidR="008225CA">
        <w:rPr>
          <w:rFonts w:ascii="Times New Roman" w:hAnsi="Times New Roman"/>
          <w:color w:val="000000" w:themeColor="text1"/>
          <w:lang w:eastAsia="ar-SA"/>
        </w:rPr>
        <w:fldChar w:fldCharType="end"/>
      </w:r>
      <w:r w:rsidR="00D95394">
        <w:rPr>
          <w:rFonts w:ascii="Times New Roman" w:hAnsi="Times New Roman"/>
          <w:color w:val="000000"/>
          <w:kern w:val="1"/>
          <w:lang w:eastAsia="ar-SA"/>
        </w:rPr>
        <w:t xml:space="preserve">, as well as the chemical synthesis </w:t>
      </w:r>
      <w:r w:rsidR="00D95394" w:rsidRPr="00D4344A">
        <w:rPr>
          <w:rFonts w:ascii="Times New Roman" w:hAnsi="Times New Roman"/>
          <w:color w:val="000000"/>
          <w:kern w:val="1"/>
          <w:lang w:eastAsia="ar-SA"/>
        </w:rPr>
        <w:t xml:space="preserve">and testing of a rewritten </w:t>
      </w:r>
      <w:r w:rsidR="00D95394" w:rsidRPr="00D95394">
        <w:rPr>
          <w:rFonts w:ascii="Times New Roman" w:hAnsi="Times New Roman"/>
          <w:i/>
          <w:color w:val="000000"/>
          <w:kern w:val="1"/>
          <w:lang w:eastAsia="ar-SA"/>
        </w:rPr>
        <w:t>Caulobacter crescentus</w:t>
      </w:r>
      <w:r w:rsidR="00D95394">
        <w:rPr>
          <w:rFonts w:ascii="Times New Roman" w:hAnsi="Times New Roman"/>
          <w:color w:val="000000"/>
          <w:kern w:val="1"/>
          <w:lang w:eastAsia="ar-SA"/>
        </w:rPr>
        <w:t xml:space="preserve"> </w:t>
      </w:r>
      <w:r w:rsidR="00D95394" w:rsidRPr="00D4344A">
        <w:rPr>
          <w:rFonts w:ascii="Times New Roman" w:hAnsi="Times New Roman"/>
          <w:color w:val="000000"/>
          <w:kern w:val="1"/>
          <w:lang w:eastAsia="ar-SA"/>
        </w:rPr>
        <w:t>genome composed of the most fundamental functions of a bacterial cell</w:t>
      </w:r>
      <w:r w:rsidR="00D95394">
        <w:rPr>
          <w:rFonts w:ascii="Times New Roman" w:hAnsi="Times New Roman"/>
          <w:color w:val="000000"/>
          <w:kern w:val="1"/>
          <w:lang w:eastAsia="ar-SA"/>
        </w:rPr>
        <w:t xml:space="preserve"> </w:t>
      </w:r>
      <w:r w:rsidR="005808A3">
        <w:rPr>
          <w:rFonts w:ascii="Times New Roman" w:hAnsi="Times New Roman"/>
          <w:color w:val="000000"/>
          <w:kern w:val="1"/>
          <w:lang w:eastAsia="ar-SA"/>
        </w:rPr>
        <w:fldChar w:fldCharType="begin" w:fldLock="1"/>
      </w:r>
      <w:r w:rsidR="00B234DB">
        <w:rPr>
          <w:rFonts w:ascii="Times New Roman" w:hAnsi="Times New Roman"/>
          <w:color w:val="000000"/>
          <w:kern w:val="1"/>
          <w:lang w:eastAsia="ar-SA"/>
        </w:rPr>
        <w:instrText>ADDIN CSL_CITATION {"citationItems":[{"id":"ITEM-1","itemData":{"DOI":"10.1073/pnas.1818259116","ISSN":"0027-8424","abstract":"Understanding how to program biological functions into artificial DNA sequences remains a key challenge in synthetic genomics. Here, we report the chemical synthesis and testing of Caulobacter ethensis-2.0 ( C. eth-2.0 ), a rewritten bacterial genome composed of the most fundamental functions of a bacterial cell. We rebuilt the essential genome of Caulobacter crescentus through the process of chemical synthesis rewriting and studied the genetic information content at the level of its essential genes. Within the 785,701-bp genome, we used sequence rewriting to reduce the number of encoded genetic features from 6,290 to 799. Overall, we introduced 133,313 base substitutions, resulting in the rewriting of 123,562 codons. We tested the biological functionality of the genome design in C. crescentus by transposon mutagenesis. Our analysis revealed that 432 essential genes of C. eth-2.0 , corresponding to 81.5% of the design, are equal in functionality to natural genes. These findings suggest that neither changing mRNA structure nor changing the codon context have significant influence on biological functionality of synthetic genomes. Discovery of 98 genes that lost their function identified essential genes with incorrect annotation, including a limited set of 27 genes where we uncovered noncoding control features embedded within protein-coding sequences. In sum, our results highlight the promise of chemical synthesis rewriting to decode fundamental genome functions and its utility toward the design of improved organisms for industrial purposes and health benefits.","author":[{"dropping-particle":"","family":"Venetz","given":"Jonathan E.","non-dropping-particle":"","parse-names":false,"suffix":""},{"dropping-particle":"","family":"Medico","given":"Luca","non-dropping-particle":"Del","parse-names":false,"suffix":""},{"dropping-particle":"","family":"Wölfle","given":"Alexander","non-dropping-particle":"","parse-names":false,"suffix":""},{"dropping-particle":"","family":"Schächle","given":"Philipp","non-dropping-particle":"","parse-names":false,"suffix":""},{"dropping-particle":"","family":"Bucher","given":"Yves","non-dropping-particle":"","parse-names":false,"suffix":""},{"dropping-particle":"","family":"Appert","given":"Donat","non-dropping-particle":"","parse-names":false,"suffix":""},{"dropping-particle":"","family":"Tschan","given":"Flavia","non-dropping-particle":"","parse-names":false,"suffix":""},{"dropping-particle":"","family":"Flores-Tinoco","given":"Carlos E.","non-dropping-particle":"","parse-names":false,"suffix":""},{"dropping-particle":"","family":"Kooten","given":"Mariëlle","non-dropping-particle":"van","parse-names":false,"suffix":""},{"dropping-particle":"","family":"Guennoun","given":"Rym","non-dropping-particle":"","parse-names":false,"suffix":""},{"dropping-particle":"","family":"Deutsch","given":"Samuel","non-dropping-particle":"","parse-names":false,"suffix":""},{"dropping-particle":"","family":"Christen","given":"Matthias","non-dropping-particle":"","parse-names":false,"suffix":""},{"dropping-particle":"","family":"Christen","given":"Beat","non-dropping-particle":"","parse-names":false,"suffix":""}],"container-title":"Proceedings of the National Academy of Sciences","id":"ITEM-1","issue":"16","issued":{"date-parts":[["2019","4","16"]]},"page":"8070-8079","title":"Chemical synthesis rewriting of a bacterial genome to achieve design flexibility and biological functionality","type":"article-journal","volume":"116"},"uris":["http://www.mendeley.com/documents/?uuid=fab716cc-3cf3-4317-84e3-0becd6c943af"]}],"mendeley":{"formattedCitation":"(Venetz et al., 2019)","plainTextFormattedCitation":"(Venetz et al., 2019)","previouslyFormattedCitation":"(Venetz et al., 2019)"},"properties":{"noteIndex":0},"schema":"https://github.com/citation-style-language/schema/raw/master/csl-citation.json"}</w:instrText>
      </w:r>
      <w:r w:rsidR="005808A3">
        <w:rPr>
          <w:rFonts w:ascii="Times New Roman" w:hAnsi="Times New Roman"/>
          <w:color w:val="000000"/>
          <w:kern w:val="1"/>
          <w:lang w:eastAsia="ar-SA"/>
        </w:rPr>
        <w:fldChar w:fldCharType="separate"/>
      </w:r>
      <w:r w:rsidR="005808A3" w:rsidRPr="005808A3">
        <w:rPr>
          <w:rFonts w:ascii="Times New Roman" w:hAnsi="Times New Roman"/>
          <w:noProof/>
          <w:color w:val="000000"/>
          <w:kern w:val="1"/>
          <w:lang w:eastAsia="ar-SA"/>
        </w:rPr>
        <w:t>(Venetz et al., 2019)</w:t>
      </w:r>
      <w:r w:rsidR="005808A3">
        <w:rPr>
          <w:rFonts w:ascii="Times New Roman" w:hAnsi="Times New Roman"/>
          <w:color w:val="000000"/>
          <w:kern w:val="1"/>
          <w:lang w:eastAsia="ar-SA"/>
        </w:rPr>
        <w:fldChar w:fldCharType="end"/>
      </w:r>
      <w:r w:rsidR="00D95394" w:rsidDel="002A2E70">
        <w:rPr>
          <w:rFonts w:ascii="Times New Roman" w:hAnsi="Times New Roman"/>
          <w:color w:val="000000"/>
          <w:kern w:val="1"/>
          <w:lang w:eastAsia="ar-SA"/>
        </w:rPr>
        <w:t>.</w:t>
      </w:r>
      <w:r w:rsidRPr="00A268DA">
        <w:rPr>
          <w:rFonts w:ascii="Times New Roman" w:hAnsi="Times New Roman"/>
          <w:color w:val="000000"/>
          <w:kern w:val="1"/>
          <w:lang w:eastAsia="ar-SA"/>
        </w:rPr>
        <w:t xml:space="preserve"> Furthermore, </w:t>
      </w:r>
      <w:r w:rsidR="442FE493" w:rsidRPr="69BA3794">
        <w:rPr>
          <w:rFonts w:ascii="Times New Roman" w:hAnsi="Times New Roman"/>
          <w:color w:val="000000" w:themeColor="text1"/>
          <w:lang w:eastAsia="ar-SA"/>
        </w:rPr>
        <w:t>following</w:t>
      </w:r>
      <w:r w:rsidRPr="69BA3794">
        <w:rPr>
          <w:rFonts w:ascii="Times New Roman" w:hAnsi="Times New Roman"/>
          <w:color w:val="000000" w:themeColor="text1"/>
          <w:lang w:eastAsia="ar-SA"/>
        </w:rPr>
        <w:t xml:space="preserve"> </w:t>
      </w:r>
      <w:r w:rsidRPr="00A268DA">
        <w:rPr>
          <w:rFonts w:ascii="Times New Roman" w:hAnsi="Times New Roman"/>
          <w:color w:val="000000"/>
          <w:kern w:val="1"/>
          <w:lang w:eastAsia="ar-SA"/>
        </w:rPr>
        <w:t xml:space="preserve">the first synthetic chromosome of </w:t>
      </w:r>
      <w:r w:rsidRPr="69BA3794">
        <w:rPr>
          <w:rFonts w:ascii="Times New Roman" w:hAnsi="Times New Roman"/>
          <w:i/>
          <w:iCs/>
          <w:color w:val="000000"/>
          <w:kern w:val="1"/>
          <w:lang w:eastAsia="ar-SA"/>
        </w:rPr>
        <w:t>Saccharomyces cerevisiae</w:t>
      </w:r>
      <w:r w:rsidRPr="00A268DA">
        <w:rPr>
          <w:rFonts w:ascii="Times New Roman" w:hAnsi="Times New Roman"/>
          <w:color w:val="000000"/>
          <w:kern w:val="1"/>
          <w:lang w:eastAsia="ar-SA"/>
        </w:rPr>
        <w:t xml:space="preserve"> </w:t>
      </w:r>
      <w:r w:rsidR="02DADC1B" w:rsidRPr="00A268DA">
        <w:rPr>
          <w:rFonts w:ascii="Times New Roman" w:hAnsi="Times New Roman"/>
          <w:color w:val="000000"/>
          <w:kern w:val="1"/>
          <w:lang w:eastAsia="ar-SA"/>
        </w:rPr>
        <w:t>synthesi</w:t>
      </w:r>
      <w:r w:rsidR="18E58811">
        <w:rPr>
          <w:rFonts w:ascii="Times New Roman" w:hAnsi="Times New Roman"/>
          <w:color w:val="000000"/>
          <w:kern w:val="1"/>
          <w:lang w:eastAsia="ar-SA"/>
        </w:rPr>
        <w:t>s</w:t>
      </w:r>
      <w:r w:rsidR="02DADC1B" w:rsidRPr="00A268DA">
        <w:rPr>
          <w:rFonts w:ascii="Times New Roman" w:hAnsi="Times New Roman"/>
          <w:color w:val="000000"/>
          <w:kern w:val="1"/>
          <w:lang w:eastAsia="ar-SA"/>
        </w:rPr>
        <w:t>ed</w:t>
      </w:r>
      <w:r w:rsidRPr="69BA3794">
        <w:rPr>
          <w:rFonts w:ascii="Times New Roman" w:hAnsi="Times New Roman"/>
          <w:color w:val="000000" w:themeColor="text1"/>
          <w:lang w:eastAsia="ar-SA"/>
        </w:rPr>
        <w:t xml:space="preserve"> </w:t>
      </w:r>
      <w:r w:rsidR="08B72E07" w:rsidRPr="69BA3794">
        <w:rPr>
          <w:rFonts w:ascii="Times New Roman" w:hAnsi="Times New Roman"/>
          <w:color w:val="000000" w:themeColor="text1"/>
          <w:lang w:eastAsia="ar-SA"/>
        </w:rPr>
        <w:t>in 2014</w:t>
      </w:r>
      <w:r w:rsidRPr="00A268DA">
        <w:rPr>
          <w:rFonts w:ascii="Times New Roman" w:hAnsi="Times New Roman"/>
          <w:color w:val="000000"/>
          <w:kern w:val="1"/>
          <w:lang w:eastAsia="ar-SA"/>
        </w:rPr>
        <w:t xml:space="preserve"> </w:t>
      </w:r>
      <w:r w:rsidR="004E5E7C">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{"citationItems":[{"id":"ITEM-1","itemData":{"DOI":"10.1126/science.1249252","ISSN":"0036-8075","abstract":"Rapid advances in DNA synthesis techniques have made it possible to engineer viruses, biochemical pathways and assemble bacterial genomes. Here, we report the synthesis of a functional 272,871–base pair designer eukaryotic chromosome, synIII, which is based on the 316,617–base pair native Saccharomyces cerevisiae chromosome III. Changes to synIII include TAG/TAA stop-codon replacements, deletion of subtelomeric regions, introns, transfer RNAs, transposons, and silent mating loci as well as insertion of loxPsym sites to enable genome scrambling. SynIII is functional in S. cerevisiae . Scrambling of the chromosome in a heterozygous diploid reveals a large increase in a-mater derivatives resulting from loss of the MAT α allele on synIII. The complete design and synthesis of synIII establishes S. cerevisiae as the basis for designer eukaryotic genome biology.","author":[{"dropping-particle":"","family":"Annaluru","given":"Narayana","non-dropping-particle":"","parse-names":false,"suffix":""},{"dropping-particle":"","family":"Muller","given":"Héloïse","non-dropping-particle":"","parse-names":false,"suffix":""},{"dropping-particle":"","family":"Mitchell","given":"Leslie A.","non-dropping-particle":"","parse-names":false,"suffix":""},{"dropping-particle":"","family":"Ramalingam","given":"Sivaprakash","non-dropping-particle":"","parse-names":false,"suffix":""},{"dropping-particle":"","family":"Stracquadanio","given":"Giovanni","non-dropping-particle":"","parse-names":false,"suffix":""},{"dropping-particle":"","family":"Richardson","given":"Sarah M.","non-dropping-particle":"","parse-names":false,"suffix":""},{"dropping-particle":"","family":"Dymond","given":"Jessica S.","non-dropping-particle":"","parse-names":false,"suffix":""},{"dropping-particle":"","family":"Kuang","given":"Zheng","non-dropping-particle":"","parse-names":false,"suffix":""},{"dropping-particle":"","family":"Scheifele","given":"Lisa Z.","non-dropping-particle":"","parse-names":false,"suffix":""},{"dropping-particle":"","family":"Cooper","given":"Eric M.","non-dropping-particle":"","parse-names":false,"suffix":""},{"dropping-particle":"","family":"Cai","given":"Yizhi","non-dropping-particle":"","parse-names":false,"suffix":""},{"dropping-particle":"","family":"Zeller","given":"Karen","non-dropping-particle":"","parse-names":false,"suffix":""},{"dropping-particle":"","family":"Agmon","given":"Neta","non-dropping-particle":"","parse-names":false,"suffix":""},{"dropping-particle":"","family":"Han","given":"Jeffrey S.","non-dropping-particle":"","parse-names":false,"suffix":""},{"dropping-particle":"","family":"Hadjithomas","given":"Michalis","non-dropping-particle":"","parse-names":false,"suffix":""},{"dropping-particle":"","family":"Tullman","given":"Jennifer","non-dropping-particle":"","parse-names":false,"suffix":""},{"dropping-particle":"","family":"Caravelli","given":"Katrina","non-dropping-particle":"","parse-names":false,"suffix":""},{"dropping-particle":"","family":"Cirelli","given":"Kimberly","non-dropping-particle":"","parse-names":false,"suffix":""},{"dropping-particle":"","family":"Guo","given":"Zheyuan","non-dropping-particle":"","parse-names":false,"suffix":""},{"dropping-particle":"","family":"London","given":"Viktoriya","non-dropping-particle":"","parse-names":false,"suffix":""},{"dropping-particle":"","family":"Yeluru","given":"Apurva","non-dropping-particle":"","parse-names":false,"suffix":""},{"dropping-particle":"","family":"Murugan","given":"Sindurathy","non-dropping-particle":"","parse-names":false,"suffix":""},{"dropping-particle":"","family":"Kandavelou","given":"Karthikeyan","non-dropping-particle":"","parse-names":false,"suffix":""},{"dropping-particle":"","family":"Agier","given":"Nicolas","non-dropping-particle":"","parse-names":false,"suffix":""},{"dropping-particle":"","family":"Fischer","given":"Gilles","non-dropping-particle":"","parse-names":false,"suffix":""},{"dropping-particle":"","family":"Yang","given":"Kun","non-dropping-particle":"","parse-names":false,"suffix":""},{"dropping-particle":"","family":"Martin","given":"J. Andrew","non-dropping-particle":"","parse-names":false,"suffix":""},{"dropping-particle":"","family":"Bilgel","given":"Murat","non-dropping-particle":"","parse-names":false,"suffix":""},{"dropping-particle":"","family":"Bohutskyi","given":"Pavlo","non-dropping-particle":"","parse-names":false,"suffix":""},{"dropping-particle":"","family":"Boulier","given":"Kristin M.","non-dropping-particle":"","parse-names":false,"suffix":""},{"dropping-particle":"","family":"Capaldo","given":"Brian J.","non-dropping-particle":"","parse-names":false,"suffix":""},{"dropping-particle":"","family":"Chang","given":"Joy","non-dropping-particle":"","parse-names":false,"suffix":""},{"dropping-particle":"","family":"Charoen","given":"Kristie","non-dropping-particle":"","parse-names":false,"suffix":""},{"dropping-particle":"","family":"Choi","given":"Woo Jin","non-dropping-particle":"","parse-names":false,"suffix":""},{"dropping-particle":"","family":"Deng","given":"Peter","non-dropping-particle":"","parse-names":false,"suffix":""},{"dropping-particle":"","family":"DiCarlo","given":"James E.","non-dropping-particle":"","parse-names":false,"suffix":""},{"dropping-particle":"","family":"Doong","given":"Judy","non-dropping-particle":"","parse-names":false,"suffix":""},{"dropping-particle":"","family":"Dunn","given":"Jessilyn","non-dropping-particle":"","parse-names":false,"suffix":""},{"dropping-particle":"","family":"Feinberg","given":"Jason I.","non-dropping-particle":"","parse-names":false,"suffix":""},{"dropping-particle":"","family":"Fernandez","given":"Christopher","non-dropping-particle":"","parse-names":false,"suffix":""},{"dropping-particle":"","family":"Floria","given":"Charlotte E.","non-dropping-particle":"","parse-names":false,"suffix":""},{"dropping-particle":"","family":"Gladowski","given":"David","non-dropping-particle":"","parse-names":false,"suffix":""},{"dropping-particle":"","family":"Hadidi","given":"Pasha","non-dropping-particle":"","parse-names":false,"suffix":""},{"dropping-particle":"","family":"Ishizuka","given":"Isabel","non-dropping-particle":"","parse-names":false,"suffix":""},{"dropping-particle":"","family":"Jabbari","given":"Javaneh","non-dropping-particle":"","parse-names":false,"suffix":""},{"dropping-particle":"","family":"Lau","given":"Calvin Y. L.","non-dropping-particle":"","parse-names":false,"suffix":""},{"dropping-particle":"","family":"Lee","given":"Pablo A.","non-dropping-particle":"","parse-names":false,"suffix":""},{"dropping-particle":"","family":"Li","given":"Sean","non-dropping-particle":"","parse-names":false,"suffix":""},{"dropping-particle":"","family":"Lin","given":"Denise","non-dropping-particle":"","parse-names":false,"suffix":""},{"dropping-particle":"","family":"Linder","given":"Matthias E.","non-dropping-particle":"","parse-names":false,"suffix":""},{"dropping-particle":"","family":"Ling","given":"Jonathan","non-dropping-particle":"","parse-names":false,"suffix":""},{"dropping-particle":"","family":"Liu","given":"Jaime","non-dropping-particle":"","parse-names":false,"suffix":""},{"dropping-particle":"","family":"Liu","given":"Jonathan","non-dropping-particle":"","parse-names":false,"suffix":""},{"dropping-particle":"","family":"London","given":"Mariya","non-dropping-particle":"","parse-names":false,"suffix":""},{"dropping-particle":"","family":"Ma","given":"Henry","non-dropping-particle":"","parse-names":false,"suffix":""},{"dropping-particle":"","family":"Mao","given":"Jessica","non-dropping-particle":"","parse-names":false,"suffix":""},{"dropping-particle":"","family":"McDade","given":"Jessica E.","non-dropping-particle":"","parse-names":false,"suffix":""},{"dropping-particle":"","family":"McMillan","given":"Alexandra","non-dropping-particle":"","parse-names":false,"suffix":""},{"dropping-particle":"","family":"Moore","given":"Aaron M.","non-dropping-particle":"","parse-names":false,"suffix":""},{"dropping-particle":"","family":"Oh","given":"Won Chan","non-dropping-particle":"","parse-names":false,"suffix":""},{"dropping-particle":"","family":"Ouyang","given":"Yu","non-dropping-particle":"","parse-names":false,"suffix":""},{"dropping-particle":"","family":"Patel","given":"Ruchi","non-dropping-particle":"","parse-names":false,"suffix":""},{"dropping-particle":"","family":"Paul","given":"Marina","non-dropping-particle":"","parse-names":false,"suffix":""},{"dropping-particle":"","family":"Paulsen","given":"Laura C.","non-dropping-particle":"","parse-names":false,"suffix":""},{"dropping-particle":"","family":"Qiu","given":"Judy","non-dropping-particle":"","parse-names":false,"suffix":""},{"dropping-particle":"","family":"Rhee","given":"Alex","non-dropping-particle":"","parse-names":false,"suffix":""},{"dropping-particle":"","family":"Rubashkin","given":"Matthew G.","non-dropping-particle":"","parse-names":false,"suffix":""},{"dropping-particle":"","family":"Soh","given":"Ina Y.","non-dropping-particle":"","parse-names":false,"suffix":""},{"dropping-particle":"","family":"Sotuyo","given":"Nathaniel E.","non-dropping-particle":"","parse-names":false,"suffix":""},{"dropping-particle":"","family":"Srinivas","given":"Venkatesh","non-dropping-particle":"","parse-names":false,"suffix":""},{"dropping-particle":"","family":"Suarez","given":"Allison","non-dropping-particle":"","parse-names":false,"suffix":""},{"dropping-particle":"","family":"Wong","given":"Andy","non-dropping-particle":"","parse-names":false,"suffix":""},{"dropping-particle":"","family":"Wong","given":"Remus","non-dropping-particle":"","parse-names":false,"suffix":""},{"dropping-particle":"","family":"Xie","given":"Wei Rose","non-dropping-particle":"","parse-names":false,"suffix":""},{"dropping-particle":"","family":"Xu","given":"Yijie","non-dropping-particle":"","parse-names":false,"suffix":""},{"dropping-particle":"","family":"Yu","given":"Allen T.","non-dropping-particle":"","parse-names":false,"suffix":""},{"dropping-particle":"","family":"Koszul","given":"Romain","non-dropping-particle":"","parse-names":false,"suffix":""},{"dropping-particle":"","family":"Bader","given":"Joel S.","non-dropping-particle":"","parse-names":false,"suffix":""},{"dropping-particle":"","family":"Boeke","given":"Jef D.","non-dropping-particle":"","parse-names":false,"suffix":""},{"dropping-particle":"","family":"Chandrasegaran","given":"Srinivasan","non-dropping-particle":"","parse-names":false,"suffix":""}],"container-title":"Science","id":"ITEM-1","issue":"6179","issued":{"date-parts":[["2014","4","4"]]},"page":"55-58","title":"Total Synthesis of a Functional Designer Eukaryotic Chromosome","type":"article-journal","volume":"344"},"uris":["http://www.mendeley.com/documents/?uuid=331785ae-f8f7-4f44-a1b0-8c08e2361dc9"]}],"mendeley":{"formattedCitation":"(Annaluru et al., 2014)","plainTextFormattedCitation":"(Annaluru et al., 2014)","previouslyFormattedCitation":"(Annaluru et al., 2014)"},"properties":{"noteIndex":0},"schema":"https://github.com/citation-style-language/schema/raw/master/csl-citation.json"}</w:instrText>
      </w:r>
      <w:r w:rsidR="004E5E7C">
        <w:rPr>
          <w:rFonts w:ascii="Times New Roman" w:hAnsi="Times New Roman"/>
          <w:color w:val="000000"/>
          <w:kern w:val="1"/>
          <w:lang w:eastAsia="ar-SA"/>
        </w:rPr>
        <w:fldChar w:fldCharType="separate"/>
      </w:r>
      <w:r w:rsidR="004E5E7C" w:rsidRPr="004E5E7C">
        <w:rPr>
          <w:rFonts w:ascii="Times New Roman" w:hAnsi="Times New Roman"/>
          <w:noProof/>
          <w:color w:val="000000"/>
          <w:kern w:val="1"/>
          <w:lang w:eastAsia="ar-SA"/>
        </w:rPr>
        <w:t>(Annaluru et al., 2014)</w:t>
      </w:r>
      <w:r w:rsidR="004E5E7C">
        <w:rPr>
          <w:rFonts w:ascii="Times New Roman" w:hAnsi="Times New Roman"/>
          <w:color w:val="000000"/>
          <w:kern w:val="1"/>
          <w:lang w:eastAsia="ar-SA"/>
        </w:rPr>
        <w:fldChar w:fldCharType="end"/>
      </w:r>
      <w:r w:rsidR="4AB0E9CE" w:rsidRPr="69BA3794">
        <w:rPr>
          <w:rFonts w:ascii="Times New Roman" w:hAnsi="Times New Roman"/>
          <w:color w:val="000000" w:themeColor="text1"/>
          <w:lang w:eastAsia="ar-SA"/>
        </w:rPr>
        <w:t xml:space="preserve">, </w:t>
      </w:r>
      <w:r w:rsidR="6809A09F" w:rsidRPr="69BA3794">
        <w:rPr>
          <w:rFonts w:ascii="Times New Roman" w:hAnsi="Times New Roman"/>
          <w:color w:val="000000" w:themeColor="text1"/>
          <w:lang w:eastAsia="ar-SA"/>
        </w:rPr>
        <w:t xml:space="preserve">the goal of the Sc2.0 initiative </w:t>
      </w:r>
      <w:r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{"citationItems":[{"id":"ITEM-1","itemData":{"abstract":"We describe complete design of a synthetic eukaryotic genome, Sc2.0, a highly modified Saccharomyces cerevisiae genome reduced in size by nearly 8%, with 1.1 megabases of the synthetic genome deleted, inserted, or altered. Sc2.0 chromosome design was implemented with BioStudio, an open-source framework developed for eukaryotic genome design, which coordinates design modifications from nucleotide to genome scales and enforces version control to systematically track edits. To achieve complete Sc2.0 genome synthesis, individual synthetic chromosomes built by Sc2.0 Consortium teams around the world will be consolidated into a single strain by \"endoreduplication intercross. \" Chemically synthesized genomes like Sc2.0 are fully customizable and allow experimentalists to ask otherwise intractable questions about chromosome structure, function, and evolution with a bottom-up design strategy. T he goal of the Sc2.0 project is the complete synthesis of a custom-designed genome for a eukaryotic model organism to serve as a platform for systematic studies of eukary-otic chromosomes. The global Sc2.0 effort to build chromosomes is distributed across many locations. This unique aspect of Sc2.0 motivated the design of aspects of BioStudio software that enable a common assembly strategy and enforce a shared language to describe both intermediate designed chromosomes and living strains. The starting point for the Sc2.0 genome sequence is the highly curated Saccharomyces cerevisiae sequence (1, 2). The principles guiding Sc2.0 ge-nome design balance a desire to maintain a \"wild-type\" phenotype while introducing inducible genetic flexibility and minimizing sources of ge-nomic instability resulting from the repetitive nature of native yeast DNA. The Sc2.0 chromosomes are therefore designed to encode a slightly modified genetic code in which all TAG stop codons are changed to TAA (3); to include loxPsym sites that undergird the inducible evolution system SCRaMbLE (4, 5); and to lack repeat elements, transfer RNA (tRNA) genes (relocated to a \"neochromo-some\"), and many introns. Further, short recoded sequences within open reading frames (ORFs), called PCRTags, facilitate a polymerase chain reaction (PCR)-based assay to distinguish wild-type from synthetic DNA (5-7). Finally, base substitutions within ORFs introduce or remove enzyme recognition sites to facilitate assembly of synthetic chromosomes. To implement Sc2.0 redesign on a genome-wide scale, it was necessary to establ…","author":[{"dropping-particle":"","family":"Richardson","given":"Sarah M","non-dropping-particle":"","parse-names":false,"suffix":""},{"dropping-particle":"","family":"Leslie","given":"‖","non-dropping-particle":"","parse-names":false,"suffix":""},{"dropping-particle":"","family":"Mitchell","given":"A","non-dropping-particle":"","parse-names":false,"suffix":""},{"dropping-particle":"","family":"Stracquadanio","given":"Giovanni","non-dropping-particle":"","parse-names":false,"suffix":""},{"dropping-particle":"","family":"Yang","given":"Kun","non-dropping-particle":"","parse-names":false,"suffix":""},{"dropping-particle":"","family":"Dymond","given":"Jessica S","non-dropping-particle":"","parse-names":false,"suffix":""},{"dropping-particle":"","family":"Dicarlo","given":"James E","non-dropping-particle":"","parse-names":false,"suffix":""},{"dropping-particle":"","family":"Lee","given":"Dongwon","non-dropping-particle":"","parse-names":false,"suffix":""},{"dropping-particle":"","family":"Cheng","given":"§","non-dropping-particle":"","parse-names":false,"suffix":""},{"dropping-particle":"","family":"Huang","given":"Lai Victor","non-dropping-particle":"","parse-names":false,"suffix":""},{"dropping-particle":"","family":"Chandrasegaran","given":"Srinivasan","non-dropping-particle":"","parse-names":false,"suffix":""},{"dropping-particle":"","family":"Cai","given":"Yizhi","non-dropping-particle":"","parse-names":false,"suffix":""},{"dropping-particle":"","family":"Boeke","given":"Jef D","non-dropping-particle":"","parse-names":false,"suffix":""},{"dropping-particle":"","family":"Bader","given":"Joel S","non-dropping-particle":"","parse-names":false,"suffix":""}],"container-title":"Science","id":"ITEM-1","issued":{"date-parts":[["2017"]]},"number-of-pages":"1040-1044","title":"Design of a synthetic yeast genome Downloaded from","type":"report","volume":"355"},"uris":["http://www.mendeley.com/documents/?uuid=4bcdce14-d9f4-48f3-bba6-dbac74acbd65"]}],"mendeley":{"formattedCitation":"(Richardson et al., 2017)","plainTextFormattedCitation":"(Richardson et al., 2017)","previouslyFormattedCitation":"(Richardson et al., 2017)"},"properties":{"noteIndex":0},"schema":"https://github.com/citation-style-language/schema/raw/master/csl-citation.json"}</w:instrText>
      </w:r>
      <w:r w:rsidRPr="00121D97">
        <w:rPr>
          <w:rFonts w:ascii="Times New Roman" w:hAnsi="Times New Roman"/>
          <w:color w:val="000000" w:themeColor="text1"/>
          <w:lang w:eastAsia="ar-SA"/>
        </w:rPr>
        <w:fldChar w:fldCharType="separate"/>
      </w:r>
      <w:r w:rsidR="007F1641" w:rsidRPr="007F1641">
        <w:rPr>
          <w:rFonts w:ascii="Times New Roman" w:hAnsi="Times New Roman"/>
          <w:noProof/>
          <w:color w:val="000000" w:themeColor="text1"/>
          <w:lang w:eastAsia="ar-SA"/>
        </w:rPr>
        <w:t>(Richardson et al., 2017)</w:t>
      </w:r>
      <w:r w:rsidRPr="00121D97">
        <w:rPr>
          <w:rFonts w:ascii="Times New Roman" w:hAnsi="Times New Roman"/>
          <w:color w:val="000000" w:themeColor="text1"/>
          <w:lang w:eastAsia="ar-SA"/>
        </w:rPr>
        <w:fldChar w:fldCharType="end"/>
      </w:r>
      <w:r w:rsidR="00417996">
        <w:rPr>
          <w:rFonts w:ascii="Times New Roman" w:hAnsi="Times New Roman"/>
          <w:color w:val="000000" w:themeColor="text1"/>
          <w:lang w:eastAsia="ar-SA"/>
        </w:rPr>
        <w:t xml:space="preserve"> is</w:t>
      </w:r>
      <w:r w:rsidR="6809A09F" w:rsidRPr="69BA3794">
        <w:rPr>
          <w:rFonts w:ascii="Times New Roman" w:hAnsi="Times New Roman"/>
          <w:color w:val="000000" w:themeColor="text1"/>
          <w:lang w:eastAsia="ar-SA"/>
        </w:rPr>
        <w:t xml:space="preserve"> to</w:t>
      </w:r>
      <w:r w:rsidR="5F3F2262" w:rsidRPr="69BA3794">
        <w:rPr>
          <w:rFonts w:ascii="Times New Roman" w:hAnsi="Times New Roman"/>
          <w:color w:val="000000" w:themeColor="text1"/>
          <w:lang w:eastAsia="ar-SA"/>
        </w:rPr>
        <w:t xml:space="preserve"> synthesis</w:t>
      </w:r>
      <w:r w:rsidR="1816EDDA" w:rsidRPr="69BA3794">
        <w:rPr>
          <w:rFonts w:ascii="Times New Roman" w:hAnsi="Times New Roman"/>
          <w:color w:val="000000" w:themeColor="text1"/>
          <w:lang w:eastAsia="ar-SA"/>
        </w:rPr>
        <w:t>e</w:t>
      </w:r>
      <w:r w:rsidR="5F3F2262" w:rsidRPr="69BA3794">
        <w:rPr>
          <w:rFonts w:ascii="Times New Roman" w:hAnsi="Times New Roman"/>
          <w:color w:val="000000" w:themeColor="text1"/>
          <w:lang w:eastAsia="ar-SA"/>
        </w:rPr>
        <w:t xml:space="preserve"> </w:t>
      </w:r>
      <w:r w:rsidR="3B901A56" w:rsidRPr="69BA3794">
        <w:rPr>
          <w:rFonts w:ascii="Times New Roman" w:hAnsi="Times New Roman"/>
          <w:color w:val="000000" w:themeColor="text1"/>
          <w:lang w:eastAsia="ar-SA"/>
        </w:rPr>
        <w:t xml:space="preserve">the </w:t>
      </w:r>
      <w:r w:rsidR="5F3F2262" w:rsidRPr="69BA3794">
        <w:rPr>
          <w:rFonts w:ascii="Times New Roman" w:hAnsi="Times New Roman"/>
          <w:color w:val="000000" w:themeColor="text1"/>
          <w:lang w:eastAsia="ar-SA"/>
        </w:rPr>
        <w:t xml:space="preserve">first eukaryotic genome, the 12-Mb </w:t>
      </w:r>
      <w:r w:rsidR="5F3F2262" w:rsidRPr="69BA3794">
        <w:rPr>
          <w:rFonts w:ascii="Times New Roman" w:hAnsi="Times New Roman"/>
          <w:i/>
          <w:color w:val="000000" w:themeColor="text1"/>
          <w:lang w:eastAsia="ar-SA"/>
        </w:rPr>
        <w:t>S</w:t>
      </w:r>
      <w:r w:rsidR="7F097C96" w:rsidRPr="69BA3794">
        <w:rPr>
          <w:rFonts w:ascii="Times New Roman" w:hAnsi="Times New Roman"/>
          <w:i/>
          <w:color w:val="000000" w:themeColor="text1"/>
          <w:lang w:eastAsia="ar-SA"/>
        </w:rPr>
        <w:t xml:space="preserve">. </w:t>
      </w:r>
      <w:r w:rsidR="5F3F2262" w:rsidRPr="69BA3794">
        <w:rPr>
          <w:rFonts w:ascii="Times New Roman" w:hAnsi="Times New Roman"/>
          <w:i/>
          <w:color w:val="000000" w:themeColor="text1"/>
          <w:lang w:eastAsia="ar-SA"/>
        </w:rPr>
        <w:t>cerevisiae</w:t>
      </w:r>
      <w:r w:rsidR="5F3F2262" w:rsidRPr="69BA3794">
        <w:rPr>
          <w:rFonts w:ascii="Times New Roman" w:hAnsi="Times New Roman"/>
          <w:color w:val="000000" w:themeColor="text1"/>
          <w:lang w:eastAsia="ar-SA"/>
        </w:rPr>
        <w:t xml:space="preserve"> genome, is nearing completion</w:t>
      </w:r>
      <w:r w:rsidR="28E7B9AA" w:rsidRPr="69BA3794">
        <w:rPr>
          <w:rFonts w:ascii="Times New Roman" w:hAnsi="Times New Roman"/>
          <w:color w:val="000000" w:themeColor="text1"/>
          <w:lang w:eastAsia="ar-SA"/>
        </w:rPr>
        <w:t>.</w:t>
      </w:r>
      <w:r w:rsidR="5F3F2262" w:rsidRPr="69BA3794">
        <w:rPr>
          <w:rFonts w:ascii="Times New Roman" w:hAnsi="Times New Roman"/>
          <w:color w:val="000000" w:themeColor="text1"/>
          <w:lang w:eastAsia="ar-SA"/>
        </w:rPr>
        <w:t xml:space="preserve"> </w:t>
      </w:r>
      <w:r w:rsidR="4A197933" w:rsidRPr="69BA3794">
        <w:rPr>
          <w:rFonts w:ascii="Times New Roman" w:hAnsi="Times New Roman"/>
          <w:color w:val="000000" w:themeColor="text1"/>
          <w:lang w:eastAsia="ar-SA"/>
        </w:rPr>
        <w:t>Similarly, the</w:t>
      </w:r>
      <w:r w:rsidR="5F3F2262" w:rsidRPr="69BA3794">
        <w:rPr>
          <w:rFonts w:ascii="Times New Roman" w:hAnsi="Times New Roman"/>
          <w:color w:val="000000" w:themeColor="text1"/>
          <w:lang w:eastAsia="ar-SA"/>
        </w:rPr>
        <w:t xml:space="preserve"> Genome Project-Write (GP-Write) has been proposed to engineer higher eukaryotes with gigabase-sized genomes </w:t>
      </w:r>
      <w:r w:rsidR="00B234DB">
        <w:rPr>
          <w:rFonts w:ascii="Times New Roman" w:hAnsi="Times New Roman"/>
          <w:color w:val="000000" w:themeColor="text1"/>
          <w:lang w:eastAsia="ar-SA"/>
        </w:rPr>
        <w:fldChar w:fldCharType="begin" w:fldLock="1"/>
      </w:r>
      <w:r w:rsidR="00D6520D">
        <w:rPr>
          <w:rFonts w:ascii="Times New Roman" w:hAnsi="Times New Roman"/>
          <w:color w:val="000000" w:themeColor="text1"/>
          <w:lang w:eastAsia="ar-SA"/>
        </w:rPr>
        <w:instrText>ADDIN CSL_CITATION {"citationItems":[{"id":"ITEM-1","itemData":{"DOI":"10.1126/science.aaf6850","ISSN":"0036-8075","author":[{"dropping-particle":"","family":"Boeke","given":"J. D.","non-dropping-particle":"","parse-names":false,"suffix":""},{"dropping-particle":"","family":"Church","given":"G.","non-dropping-particle":"","parse-names":false,"suffix":""},{"dropping-particle":"","family":"Hessel","given":"A.","non-dropping-particle":"","parse-names":false,"suffix":""},{"dropping-particle":"","family":"Kelley","given":"N. J.","non-dropping-particle":"","parse-names":false,"suffix":""},{"dropping-particle":"","family":"Arkin","given":"A.","non-dropping-particle":"","parse-names":false,"suffix":""},{"dropping-particle":"","family":"Cai","given":"Y.","non-dropping-particle":"","parse-names":false,"suffix":""},{"dropping-particle":"","family":"Carlson","given":"R.","non-dropping-particle":"","parse-names":false,"suffix":""},{"dropping-particle":"","family":"Chakravarti","given":"A.","non-dropping-particle":"","parse-names":false,"suffix":""},{"dropping-particle":"","family":"Cornish","given":"V. W.","non-dropping-particle":"","parse-names":false,"suffix":""},{"dropping-particle":"","family":"Holt","given":"L.","non-dropping-particle":"","parse-names":false,"suffix":""},{"dropping-particle":"","family":"Isaacs","given":"F. J.","non-dropping-particle":"","parse-names":false,"suffix":""},{"dropping-particle":"","family":"Kuiken","given":"T.","non-dropping-particle":"","parse-names":false,"suffix":""},{"dropping-particle":"","family":"Lajoie","given":"M.","non-dropping-particle":"","parse-names":false,"suffix":""},{"dropping-particle":"","family":"Lessor","given":"T.","non-dropping-particle":"","parse-names":false,"suffix":""},{"dropping-particle":"","family":"Lunshof","given":"J.","non-dropping-particle":"","parse-names":false,"suffix":""},{"dropping-particle":"","family":"Maurano","given":"M. T.","non-dropping-particle":"","parse-names":false,"suffix":""},{"dropping-particle":"","family":"Mitchell","given":"L. A.","non-dropping-particle":"","parse-names":false,"suffix":""},{"dropping-particle":"","family":"Rine","given":"J.","non-dropping-particle":"","parse-names":false,"suffix":""},{"dropping-particle":"","family":"Rosser","given":"S.","non-dropping-particle":"","parse-names":false,"suffix":""},{"dropping-particle":"","family":"Sanjana","given":"N. E.","non-dropping-particle":"","parse-names":false,"suffix":""},{"dropping-particle":"","family":"Silver","given":"P. A.","non-dropping-particle":"","parse-names":false,"suffix":""},{"dropping-particle":"","family":"Valle","given":"D.","non-dropping-particle":"","parse-names":false,"suffix":""},{"dropping-particle":"","family":"Wang","given":"H.","non-dropping-particle":"","parse-names":false,"suffix":""},{"dropping-particle":"","family":"Way","given":"J. C.","non-dropping-particle":"","parse-names":false,"suffix":""},{"dropping-particle":"","family":"Yang","given":"L.","non-dropping-particle":"","parse-names":false,"suffix":""}],"container-title":"Science","id":"ITEM-1","issue":"6295","issued":{"date-parts":[["2016","7","8"]]},"page":"126-127","title":"The Genome Project-Write","type":"article-journal","volume":"353"},"uris":["http://www.mendeley.com/documents/?uuid=2618053a-ca42-4fb9-99c3-70b846f46600"]}],"mendeley":{"formattedCitation":"(Boeke et al., 2016)","plainTextFormattedCitation":"(Boeke et al., 2016)","previouslyFormattedCitation":"(Boeke et al., 2016)"},"properties":{"noteIndex":0},"schema":"https://github.com/citation-style-language/schema/raw/master/csl-citation.json"}</w:instrText>
      </w:r>
      <w:r w:rsidR="00B234DB">
        <w:rPr>
          <w:rFonts w:ascii="Times New Roman" w:hAnsi="Times New Roman"/>
          <w:color w:val="000000" w:themeColor="text1"/>
          <w:lang w:eastAsia="ar-SA"/>
        </w:rPr>
        <w:fldChar w:fldCharType="separate"/>
      </w:r>
      <w:r w:rsidR="00B234DB" w:rsidRPr="00B234DB">
        <w:rPr>
          <w:rFonts w:ascii="Times New Roman" w:hAnsi="Times New Roman"/>
          <w:noProof/>
          <w:color w:val="000000" w:themeColor="text1"/>
          <w:lang w:eastAsia="ar-SA"/>
        </w:rPr>
        <w:t>(Boeke et al., 2016)</w:t>
      </w:r>
      <w:r w:rsidR="00B234DB">
        <w:rPr>
          <w:rFonts w:ascii="Times New Roman" w:hAnsi="Times New Roman"/>
          <w:color w:val="000000" w:themeColor="text1"/>
          <w:lang w:eastAsia="ar-SA"/>
        </w:rPr>
        <w:fldChar w:fldCharType="end"/>
      </w:r>
      <w:r w:rsidR="5F3F2262" w:rsidRPr="69BA3794">
        <w:rPr>
          <w:rFonts w:ascii="Times New Roman" w:hAnsi="Times New Roman"/>
          <w:color w:val="000000" w:themeColor="text1"/>
          <w:lang w:eastAsia="ar-SA"/>
        </w:rPr>
        <w:t>.</w:t>
      </w:r>
    </w:p>
    <w:p w14:paraId="27DA7955" w14:textId="428B5C0B" w:rsidR="69E9803B" w:rsidRDefault="00C545EE" w:rsidP="0011635B">
      <w:pPr>
        <w:spacing w:before="120" w:after="120" w:line="240" w:lineRule="auto"/>
        <w:jc w:val="both"/>
        <w:rPr>
          <w:rFonts w:ascii="Times New Roman" w:hAnsi="Times New Roman"/>
          <w:color w:val="000000" w:themeColor="text1"/>
          <w:lang w:eastAsia="ar-SA"/>
        </w:rPr>
      </w:pPr>
      <w:r>
        <w:rPr>
          <w:rFonts w:ascii="Times New Roman" w:hAnsi="Times New Roman"/>
          <w:color w:val="000000" w:themeColor="text1"/>
          <w:lang w:eastAsia="ar-SA"/>
        </w:rPr>
        <w:t xml:space="preserve">Minimisation and full synthesis are just two examples of genome-scale engineering </w:t>
      </w:r>
      <w:r w:rsidR="00D6520D">
        <w:rPr>
          <w:rFonts w:ascii="Times New Roman" w:hAnsi="Times New Roman"/>
          <w:color w:val="000000" w:themeColor="text1"/>
          <w:lang w:eastAsia="ar-SA"/>
        </w:rPr>
        <w:fldChar w:fldCharType="begin" w:fldLock="1"/>
      </w:r>
      <w:r w:rsidR="00D6520D">
        <w:rPr>
          <w:rFonts w:ascii="Times New Roman" w:hAnsi="Times New Roman"/>
          <w:color w:val="000000" w:themeColor="text1"/>
          <w:lang w:eastAsia="ar-SA"/>
        </w:rPr>
        <w:instrText>ADDIN CSL_CITATION {"citationItems":[{"id":"ITEM-1","itemData":{"DOI":"10.1038/nbt.1590","ISSN":"10870156","PMID":"20010598","abstract":"For more than 50 years, those engineering genetic material have pursued increasingly challenging targets. During that time, the tools and resources available to the genetic engineer have grown to encompass new extremes of both scale and precision, opening up new opportunities in genome engineering. Today, our capacity to generate larger de novo assemblies of DNA is increasing at a rapid pace (with concomitant decreases in manufacturing cost). We are also witnessing potent demonstrations of the power of merging randomness and selection with engineering approaches targeting large numbers of specific sites within genomes. These developments promise genetic engineering with unprecedented levels of design originality and offer new avenues to expand both our understanding of the biological world and the diversity of applications for societal benefit. ©2009 Nature America, Inc. All rights reserved.","author":[{"dropping-particle":"","family":"Carr","given":"Peter A","non-dropping-particle":"","parse-names":false,"suffix":""},{"dropping-particle":"","family":"Church","given":"George M","non-dropping-particle":"","parse-names":false,"suffix":""}],"container-title":"Nature Biotechnology","id":"ITEM-1","issue":"12","issued":{"date-parts":[["2009","12"]]},"page":"1151-1162","publisher":"Nature Publishing Group","title":"Genome engineering","type":"article","volume":"27"},"uris":["http://www.mendeley.com/documents/?uuid=79733e08-7704-4fb2-9990-2756aa782b4e"]}],"mendeley":{"formattedCitation":"(Carr &amp; Church, 2009)","plainTextFormattedCitation":"(Carr &amp; Church, 2009)","previouslyFormattedCitation":"(Carr &amp; Church, 2009)"},"properties":{"noteIndex":0},"schema":"https://github.com/citation-style-language/schema/raw/master/csl-citation.json"}</w:instrText>
      </w:r>
      <w:r w:rsidR="00D6520D">
        <w:rPr>
          <w:rFonts w:ascii="Times New Roman" w:hAnsi="Times New Roman"/>
          <w:color w:val="000000" w:themeColor="text1"/>
          <w:lang w:eastAsia="ar-SA"/>
        </w:rPr>
        <w:fldChar w:fldCharType="separate"/>
      </w:r>
      <w:r w:rsidR="00D6520D" w:rsidRPr="00D6520D">
        <w:rPr>
          <w:rFonts w:ascii="Times New Roman" w:hAnsi="Times New Roman"/>
          <w:noProof/>
          <w:color w:val="000000" w:themeColor="text1"/>
          <w:lang w:eastAsia="ar-SA"/>
        </w:rPr>
        <w:t>(Carr &amp; Church, 2009)</w:t>
      </w:r>
      <w:r w:rsidR="00D6520D">
        <w:rPr>
          <w:rFonts w:ascii="Times New Roman" w:hAnsi="Times New Roman"/>
          <w:color w:val="000000" w:themeColor="text1"/>
          <w:lang w:eastAsia="ar-SA"/>
        </w:rPr>
        <w:fldChar w:fldCharType="end"/>
      </w:r>
      <w:r>
        <w:rPr>
          <w:rFonts w:ascii="Times New Roman" w:hAnsi="Times New Roman"/>
          <w:color w:val="000000" w:themeColor="text1"/>
          <w:lang w:eastAsia="ar-SA"/>
        </w:rPr>
        <w:t xml:space="preserve">. </w:t>
      </w:r>
      <w:r w:rsidR="69E9803B" w:rsidRPr="06DD7B6A">
        <w:rPr>
          <w:rFonts w:ascii="Times New Roman" w:hAnsi="Times New Roman"/>
          <w:color w:val="000000" w:themeColor="text1"/>
          <w:lang w:eastAsia="ar-SA"/>
        </w:rPr>
        <w:t xml:space="preserve">Genomes could </w:t>
      </w:r>
      <w:r w:rsidR="65536B02" w:rsidRPr="4D7AD438">
        <w:rPr>
          <w:rFonts w:ascii="Times New Roman" w:hAnsi="Times New Roman"/>
          <w:color w:val="000000" w:themeColor="text1"/>
          <w:lang w:eastAsia="ar-SA"/>
        </w:rPr>
        <w:t xml:space="preserve">potentially </w:t>
      </w:r>
      <w:r w:rsidR="69E9803B" w:rsidRPr="06DD7B6A">
        <w:rPr>
          <w:rFonts w:ascii="Times New Roman" w:hAnsi="Times New Roman"/>
          <w:color w:val="000000" w:themeColor="text1"/>
          <w:lang w:eastAsia="ar-SA"/>
        </w:rPr>
        <w:t xml:space="preserve">also be reprogrammed. </w:t>
      </w:r>
      <w:r w:rsidR="00CC2DF0">
        <w:rPr>
          <w:rFonts w:ascii="Times New Roman" w:hAnsi="Times New Roman"/>
          <w:color w:val="000000" w:themeColor="text1"/>
          <w:lang w:eastAsia="ar-SA"/>
        </w:rPr>
        <w:t xml:space="preserve">Genome shuffling is considered as a novel whole genome improvement method </w:t>
      </w:r>
      <w:r w:rsidR="000E2FD3">
        <w:rPr>
          <w:rFonts w:ascii="Times New Roman" w:hAnsi="Times New Roman"/>
          <w:color w:val="000000" w:themeColor="text1"/>
          <w:lang w:eastAsia="ar-SA"/>
        </w:rPr>
        <w:fldChar w:fldCharType="begin" w:fldLock="1"/>
      </w:r>
      <w:r w:rsidR="0083617B">
        <w:rPr>
          <w:rFonts w:ascii="Times New Roman" w:hAnsi="Times New Roman"/>
          <w:color w:val="000000" w:themeColor="text1"/>
          <w:lang w:eastAsia="ar-SA"/>
        </w:rPr>
        <w:instrText>ADDIN CSL_CITATION {"citationItems":[{"id":"ITEM-1","itemData":{"DOI":"10.1007/s11274-020-02936-w","ISBN":"0123456789","ISSN":"15730972","PMID":"32968940","abstract":"Genome shuffling, an efficient and practical strain improvement technology via recursive protoplasts fusion, can break through the limits of species even genus to accelerate the directed evolution of microbial strains, without requiring the comprehensively cognized genetic background and operable genetic system. Hence this technology has been widely used for many important strains to obtain the desirable industrial phenotypes. In this review, we introduce the procedure of genome shuffling, discuss the new aid strategies of genome shuffling, summarize the applications of genome shuffling for increasing metabolite yield, improving strain tolerance, enhancing substrate utilization, and put forward the outlook to the future development of this technology.","author":[{"dropping-particle":"","family":"Chen","given":"Liang","non-dropping-particle":"","parse-names":false,"suffix":""},{"dropping-particle":"","family":"Xin","given":"Qiu Hua","non-dropping-particle":"","parse-names":false,"suffix":""},{"dropping-particle":"","family":"Ma","given":"Li Min","non-dropping-particle":"","parse-names":false,"suffix":""},{"dropping-particle":"","family":"Li","given":"Rui Fang","non-dropping-particle":"","parse-names":false,"suffix":""},{"dropping-particle":"","family":"Bian","given":"Ke","non-dropping-particle":"","parse-names":false,"suffix":""}],"container-title":"World Journal of Microbiology and Biotechnology","id":"ITEM-1","issue":"10","issued":{"date-parts":[["2020"]]},"page":"1-8","publisher":"Springer Netherlands","title":"Applications and research advance of genome shuffling for industrial microbial strains improvement","type":"article-journal","volume":"36"},"uris":["http://www.mendeley.com/documents/?uuid=2e784313-0595-4453-83c6-9481691ce7e2","http://www.mendeley.com/documents/?uuid=87910e48-48b2-40d1-9721-b5d707959a14","http://www.mendeley.com/documents/?uuid=f1d98cac-bc11-44e4-adb0-613d30b3a9d1"]}],"mendeley":{"formattedCitation":"(L. Chen et al., 2020)","plainTextFormattedCitation":"(L. Chen et al., 2020)","previouslyFormattedCitation":"(L. Chen et al., 2020)"},"properties":{"noteIndex":0},"schema":"https://github.com/citation-style-language/schema/raw/master/csl-citation.json"}</w:instrText>
      </w:r>
      <w:r w:rsidR="000E2FD3">
        <w:rPr>
          <w:rFonts w:ascii="Times New Roman" w:hAnsi="Times New Roman"/>
          <w:color w:val="000000" w:themeColor="text1"/>
          <w:lang w:eastAsia="ar-SA"/>
        </w:rPr>
        <w:fldChar w:fldCharType="separate"/>
      </w:r>
      <w:r w:rsidR="0083617B" w:rsidRPr="0083617B">
        <w:rPr>
          <w:rFonts w:ascii="Times New Roman" w:hAnsi="Times New Roman"/>
          <w:noProof/>
          <w:color w:val="000000" w:themeColor="text1"/>
          <w:lang w:eastAsia="ar-SA"/>
        </w:rPr>
        <w:t>(L. Chen et al., 2020)</w:t>
      </w:r>
      <w:r w:rsidR="000E2FD3">
        <w:rPr>
          <w:rFonts w:ascii="Times New Roman" w:hAnsi="Times New Roman"/>
          <w:color w:val="000000" w:themeColor="text1"/>
          <w:lang w:eastAsia="ar-SA"/>
        </w:rPr>
        <w:fldChar w:fldCharType="end"/>
      </w:r>
      <w:r w:rsidR="00CC2DF0">
        <w:rPr>
          <w:rFonts w:ascii="Times New Roman" w:hAnsi="Times New Roman"/>
          <w:color w:val="000000" w:themeColor="text1"/>
          <w:lang w:eastAsia="ar-SA"/>
        </w:rPr>
        <w:t xml:space="preserve">. It was </w:t>
      </w:r>
      <w:r w:rsidR="00CC2DF0" w:rsidRPr="00CD1F10">
        <w:rPr>
          <w:rFonts w:ascii="Times New Roman" w:hAnsi="Times New Roman"/>
          <w:color w:val="000000" w:themeColor="text1"/>
          <w:lang w:eastAsia="ar-SA"/>
        </w:rPr>
        <w:t>first used for strain improvement in 2002</w:t>
      </w:r>
      <w:r w:rsidR="00CC2DF0">
        <w:rPr>
          <w:rFonts w:ascii="Times New Roman" w:hAnsi="Times New Roman"/>
          <w:color w:val="000000" w:themeColor="text1"/>
          <w:lang w:eastAsia="ar-SA"/>
        </w:rPr>
        <w:t xml:space="preserve"> and</w:t>
      </w:r>
      <w:r w:rsidR="00CC2DF0" w:rsidRPr="00CD1F10">
        <w:rPr>
          <w:rFonts w:ascii="Times New Roman" w:hAnsi="Times New Roman"/>
          <w:color w:val="000000" w:themeColor="text1"/>
          <w:lang w:eastAsia="ar-SA"/>
        </w:rPr>
        <w:t xml:space="preserve"> has been</w:t>
      </w:r>
      <w:r w:rsidR="00CC2DF0">
        <w:rPr>
          <w:rFonts w:ascii="Times New Roman" w:hAnsi="Times New Roman"/>
          <w:color w:val="000000" w:themeColor="text1"/>
          <w:lang w:eastAsia="ar-SA"/>
        </w:rPr>
        <w:t xml:space="preserve"> </w:t>
      </w:r>
      <w:r w:rsidR="00CC2DF0" w:rsidRPr="00CD1F10">
        <w:rPr>
          <w:rFonts w:ascii="Times New Roman" w:hAnsi="Times New Roman"/>
          <w:color w:val="000000" w:themeColor="text1"/>
          <w:lang w:eastAsia="ar-SA"/>
        </w:rPr>
        <w:t xml:space="preserve">applied for phenotypic improvements of many </w:t>
      </w:r>
      <w:r w:rsidR="00CC2DF0">
        <w:rPr>
          <w:rFonts w:ascii="Times New Roman" w:hAnsi="Times New Roman"/>
          <w:color w:val="000000" w:themeColor="text1"/>
          <w:lang w:eastAsia="ar-SA"/>
        </w:rPr>
        <w:t xml:space="preserve">industrially </w:t>
      </w:r>
      <w:r w:rsidR="00CC2DF0" w:rsidRPr="00CD1F10">
        <w:rPr>
          <w:rFonts w:ascii="Times New Roman" w:hAnsi="Times New Roman"/>
          <w:color w:val="000000" w:themeColor="text1"/>
          <w:lang w:eastAsia="ar-SA"/>
        </w:rPr>
        <w:t>important</w:t>
      </w:r>
      <w:r w:rsidR="00CC2DF0">
        <w:rPr>
          <w:rFonts w:ascii="Times New Roman" w:hAnsi="Times New Roman"/>
          <w:color w:val="000000" w:themeColor="text1"/>
          <w:lang w:eastAsia="ar-SA"/>
        </w:rPr>
        <w:t xml:space="preserve"> microbial </w:t>
      </w:r>
      <w:r w:rsidR="00CC2DF0" w:rsidRPr="00CD1F10">
        <w:rPr>
          <w:rFonts w:ascii="Times New Roman" w:hAnsi="Times New Roman"/>
          <w:color w:val="000000" w:themeColor="text1"/>
          <w:lang w:eastAsia="ar-SA"/>
        </w:rPr>
        <w:t xml:space="preserve">strains </w:t>
      </w:r>
      <w:r w:rsidR="00085EC9">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{"citationItems":[{"id":"ITEM-1","itemData":{"DOI":"10.1016/j.biortech.2018.02.118","ISSN":"18732976","PMID":"29519633","abstract":"The growing demand for biotechnological products against limited metabolic capacity of industrially used microorganisms has led to an increased interest on strain-improvement over the last several decades, which aimed to enhance metabolite yield, substrate uptake and tolerance of the strains. Among a few techniques of strain-improvement, genome shuffling is the most recent and promising approach used for rapid strain-improvement that can yield a new strain by combining whole genomes of multi-parental microorganisms using the principles of protoplast fusion. Genome shuffling has brought a major breakthrough in the strain-improvement concept as it is found to be effective and reliable for expressing complex phenotypes. This review will discuss the technical aspects and applications of genome shuffling for various industrial strains to present its current status and recent progress. In the concluding remarks, a summary will be presented focusing on the major challenges and future outlooks of this technology.","author":[{"dropping-particle":"","family":"Magocha","given":"Tinashe Archbold","non-dropping-particle":"","parse-names":false,"suffix":""},{"dropping-particle":"","family":"Zabed","given":"H.","non-dropping-particle":"","parse-names":false,"suffix":""},{"dropping-particle":"","family":"Yang","given":"Miaomiao","non-dropping-particle":"","parse-names":false,"suffix":""},{"dropping-particle":"","family":"Yun","given":"Junhua","non-dropping-particle":"","parse-names":false,"suffix":""},{"dropping-particle":"","family":"Zhang","given":"Huanhuan","non-dropping-particle":"","parse-names":false,"suffix":""},{"dropping-particle":"","family":"Qi","given":"Xianghui","non-dropping-particle":"","parse-names":false,"suffix":""}],"container-title":"Bioresource Technology","id":"ITEM-1","issue":"February","issued":{"date-parts":[["2018"]]},"page":"281-289","publisher":"Elsevier","title":"Improvement of industrially important microbial strains by genome shuffling: Current status and future prospects","type":"article-journal","volume":"257"},"uris":["http://www.mendeley.com/documents/?uuid=3e7c2fc3-3b62-421a-b3de-f855411ea7c8","http://www.mendeley.com/documents/?uuid=8dab4095-a81a-4118-a9b9-6f782db38547","http://www.mendeley.com/documents/?uuid=05a27cf1-7339-4ddb-bed8-f1fd106d0514"]}],"mendeley":{"formattedCitation":"(Magocha et al., 2018)","plainTextFormattedCitation":"(Magocha et al., 2018)","previouslyFormattedCitation":"(Magocha et al., 2018)"},"properties":{"noteIndex":0},"schema":"https://github.com/citation-style-language/schema/raw/master/csl-citation.json"}</w:instrText>
      </w:r>
      <w:r w:rsidR="00085EC9">
        <w:rPr>
          <w:rFonts w:ascii="Times New Roman" w:hAnsi="Times New Roman"/>
          <w:color w:val="000000" w:themeColor="text1"/>
          <w:lang w:eastAsia="ar-SA"/>
        </w:rPr>
        <w:fldChar w:fldCharType="separate"/>
      </w:r>
      <w:r w:rsidR="00085EC9" w:rsidRPr="00085EC9">
        <w:rPr>
          <w:rFonts w:ascii="Times New Roman" w:hAnsi="Times New Roman"/>
          <w:noProof/>
          <w:color w:val="000000" w:themeColor="text1"/>
          <w:lang w:eastAsia="ar-SA"/>
        </w:rPr>
        <w:t>(Magocha et al., 2018)</w:t>
      </w:r>
      <w:r w:rsidR="00085EC9">
        <w:rPr>
          <w:rFonts w:ascii="Times New Roman" w:hAnsi="Times New Roman"/>
          <w:color w:val="000000" w:themeColor="text1"/>
          <w:lang w:eastAsia="ar-SA"/>
        </w:rPr>
        <w:fldChar w:fldCharType="end"/>
      </w:r>
      <w:r w:rsidR="00CC2DF0" w:rsidRPr="00CD1F10">
        <w:rPr>
          <w:rFonts w:ascii="Times New Roman" w:hAnsi="Times New Roman"/>
          <w:color w:val="000000" w:themeColor="text1"/>
          <w:lang w:eastAsia="ar-SA"/>
        </w:rPr>
        <w:t xml:space="preserve">. </w:t>
      </w:r>
      <w:r w:rsidR="00CC2DF0">
        <w:rPr>
          <w:rFonts w:ascii="Times New Roman" w:hAnsi="Times New Roman"/>
          <w:color w:val="000000" w:themeColor="text1"/>
          <w:lang w:eastAsia="ar-SA"/>
        </w:rPr>
        <w:t>Other genome-level engineering methods are</w:t>
      </w:r>
      <w:r w:rsidR="0011635B">
        <w:rPr>
          <w:rFonts w:ascii="Times New Roman" w:hAnsi="Times New Roman"/>
          <w:color w:val="000000" w:themeColor="text1"/>
          <w:lang w:eastAsia="ar-SA"/>
        </w:rPr>
        <w:t xml:space="preserve"> also</w:t>
      </w:r>
      <w:r w:rsidR="00CC2DF0">
        <w:rPr>
          <w:rFonts w:ascii="Times New Roman" w:hAnsi="Times New Roman"/>
          <w:color w:val="000000" w:themeColor="text1"/>
          <w:lang w:eastAsia="ar-SA"/>
        </w:rPr>
        <w:t xml:space="preserve"> emerging. Genome editing tools have enabled, for instance, the </w:t>
      </w:r>
      <w:r w:rsidR="00785AE9">
        <w:rPr>
          <w:rFonts w:ascii="Times New Roman" w:hAnsi="Times New Roman"/>
          <w:color w:val="000000" w:themeColor="text1"/>
          <w:lang w:eastAsia="ar-SA"/>
        </w:rPr>
        <w:t>manipulation</w:t>
      </w:r>
      <w:r w:rsidR="00785AE9" w:rsidRPr="00C33707">
        <w:rPr>
          <w:rFonts w:ascii="Times New Roman" w:hAnsi="Times New Roman"/>
          <w:color w:val="000000" w:themeColor="text1"/>
          <w:lang w:eastAsia="ar-SA"/>
        </w:rPr>
        <w:t xml:space="preserve"> </w:t>
      </w:r>
      <w:r w:rsidR="00785AE9">
        <w:rPr>
          <w:rFonts w:ascii="Times New Roman" w:hAnsi="Times New Roman"/>
          <w:color w:val="000000" w:themeColor="text1"/>
          <w:lang w:eastAsia="ar-SA"/>
        </w:rPr>
        <w:t xml:space="preserve">of </w:t>
      </w:r>
      <w:r w:rsidR="00CC2DF0" w:rsidRPr="00C33707">
        <w:rPr>
          <w:rFonts w:ascii="Times New Roman" w:hAnsi="Times New Roman"/>
          <w:color w:val="000000" w:themeColor="text1"/>
          <w:lang w:eastAsia="ar-SA"/>
        </w:rPr>
        <w:t>3</w:t>
      </w:r>
      <w:r w:rsidR="00785AE9">
        <w:rPr>
          <w:rFonts w:ascii="Times New Roman" w:hAnsi="Times New Roman"/>
          <w:color w:val="000000" w:themeColor="text1"/>
          <w:lang w:eastAsia="ar-SA"/>
        </w:rPr>
        <w:t>-</w:t>
      </w:r>
      <w:r w:rsidR="00CC2DF0" w:rsidRPr="00C33707">
        <w:rPr>
          <w:rFonts w:ascii="Times New Roman" w:hAnsi="Times New Roman"/>
          <w:color w:val="000000" w:themeColor="text1"/>
          <w:lang w:eastAsia="ar-SA"/>
        </w:rPr>
        <w:t>D genome organi</w:t>
      </w:r>
      <w:r w:rsidR="00785AE9">
        <w:rPr>
          <w:rFonts w:ascii="Times New Roman" w:hAnsi="Times New Roman"/>
          <w:color w:val="000000" w:themeColor="text1"/>
          <w:lang w:eastAsia="ar-SA"/>
        </w:rPr>
        <w:t>s</w:t>
      </w:r>
      <w:r w:rsidR="00CC2DF0" w:rsidRPr="00C33707">
        <w:rPr>
          <w:rFonts w:ascii="Times New Roman" w:hAnsi="Times New Roman"/>
          <w:color w:val="000000" w:themeColor="text1"/>
          <w:lang w:eastAsia="ar-SA"/>
        </w:rPr>
        <w:t>ation</w:t>
      </w:r>
      <w:r w:rsidR="00CC2DF0">
        <w:rPr>
          <w:rFonts w:ascii="Times New Roman" w:hAnsi="Times New Roman"/>
          <w:color w:val="000000" w:themeColor="text1"/>
          <w:lang w:eastAsia="ar-SA"/>
        </w:rPr>
        <w:t xml:space="preserve"> and karyotype engineering. T</w:t>
      </w:r>
      <w:r w:rsidR="00CC2DF0" w:rsidRPr="00767ED8">
        <w:rPr>
          <w:rFonts w:ascii="Times New Roman" w:hAnsi="Times New Roman"/>
          <w:color w:val="000000" w:themeColor="text1"/>
          <w:lang w:eastAsia="ar-SA"/>
        </w:rPr>
        <w:t>he development of 3</w:t>
      </w:r>
      <w:r w:rsidR="00785AE9">
        <w:rPr>
          <w:rFonts w:ascii="Times New Roman" w:hAnsi="Times New Roman"/>
          <w:color w:val="000000" w:themeColor="text1"/>
          <w:lang w:eastAsia="ar-SA"/>
        </w:rPr>
        <w:t>-</w:t>
      </w:r>
      <w:r w:rsidR="00CC2DF0" w:rsidRPr="00767ED8">
        <w:rPr>
          <w:rFonts w:ascii="Times New Roman" w:hAnsi="Times New Roman"/>
          <w:color w:val="000000" w:themeColor="text1"/>
          <w:lang w:eastAsia="ar-SA"/>
        </w:rPr>
        <w:t>D genome engineering tools</w:t>
      </w:r>
      <w:r w:rsidR="00CC2DF0">
        <w:rPr>
          <w:rFonts w:ascii="Times New Roman" w:hAnsi="Times New Roman"/>
          <w:color w:val="000000" w:themeColor="text1"/>
          <w:lang w:eastAsia="ar-SA"/>
        </w:rPr>
        <w:t xml:space="preserve">, such as editing of structural DNA motifs, structural proteins or manipulating DNA looping, </w:t>
      </w:r>
      <w:r w:rsidR="00CC2DF0" w:rsidRPr="00767ED8">
        <w:rPr>
          <w:rFonts w:ascii="Times New Roman" w:hAnsi="Times New Roman"/>
          <w:color w:val="000000" w:themeColor="text1"/>
          <w:lang w:eastAsia="ar-SA"/>
        </w:rPr>
        <w:t>substantially facilitates our understanding of genome organi</w:t>
      </w:r>
      <w:r w:rsidR="004B5D0C">
        <w:rPr>
          <w:rFonts w:ascii="Times New Roman" w:hAnsi="Times New Roman"/>
          <w:color w:val="000000" w:themeColor="text1"/>
          <w:lang w:eastAsia="ar-SA"/>
        </w:rPr>
        <w:t>s</w:t>
      </w:r>
      <w:r w:rsidR="00CC2DF0" w:rsidRPr="00767ED8">
        <w:rPr>
          <w:rFonts w:ascii="Times New Roman" w:hAnsi="Times New Roman"/>
          <w:color w:val="000000" w:themeColor="text1"/>
          <w:lang w:eastAsia="ar-SA"/>
        </w:rPr>
        <w:t>ation principles and the causal relationship between 3</w:t>
      </w:r>
      <w:r w:rsidR="004B5D0C">
        <w:rPr>
          <w:rFonts w:ascii="Times New Roman" w:hAnsi="Times New Roman"/>
          <w:color w:val="000000" w:themeColor="text1"/>
          <w:lang w:eastAsia="ar-SA"/>
        </w:rPr>
        <w:t>-</w:t>
      </w:r>
      <w:r w:rsidR="00CC2DF0" w:rsidRPr="00767ED8">
        <w:rPr>
          <w:rFonts w:ascii="Times New Roman" w:hAnsi="Times New Roman"/>
          <w:color w:val="000000" w:themeColor="text1"/>
          <w:lang w:eastAsia="ar-SA"/>
        </w:rPr>
        <w:t>D genome structure and functions</w:t>
      </w:r>
      <w:r w:rsidR="00CC2DF0">
        <w:rPr>
          <w:rFonts w:ascii="Times New Roman" w:hAnsi="Times New Roman"/>
          <w:color w:val="000000" w:themeColor="text1"/>
          <w:lang w:eastAsia="ar-SA"/>
        </w:rPr>
        <w:t xml:space="preserve"> </w:t>
      </w:r>
      <w:r w:rsidR="00D6520D">
        <w:rPr>
          <w:rFonts w:ascii="Times New Roman" w:hAnsi="Times New Roman"/>
          <w:color w:val="000000" w:themeColor="text1"/>
          <w:lang w:eastAsia="ar-SA"/>
        </w:rPr>
        <w:fldChar w:fldCharType="begin" w:fldLock="1"/>
      </w:r>
      <w:r w:rsidR="00310CB4">
        <w:rPr>
          <w:rFonts w:ascii="Times New Roman" w:hAnsi="Times New Roman"/>
          <w:color w:val="000000" w:themeColor="text1"/>
          <w:lang w:eastAsia="ar-SA"/>
        </w:rPr>
        <w:instrText>ADDIN CSL_CITATION {"citationItems":[{"id":"ITEM-1","itemData":{"DOI":"10.1038/s41576-020-00325-5","ISSN":"14710064","abstract":"Cancers and developmental disorders are associated with alterations in the 3D genome architecture in space and time (the fourth dimension). Mammalian 3D genome organization is complex and dynamic and plays an essential role in regulating gene expression and cellular function. To study the causal relationship between genome function and its spatio-temporal organization in the nucleus, new technologies for engineering and manipulating the 3D organization of the genome have been developed. In particular, CRISPR–Cas technologies allow programmable manipulation at specific genomic loci, enabling unparalleled opportunities in this emerging field of 3D genome engineering. We review advances in mammalian 3D genome engineering with a focus on recent manipulative technologies using CRISPR–Cas and related technologies.","author":[{"dropping-particle":"","family":"Wang","given":"Haifeng","non-dropping-particle":"","parse-names":false,"suffix":""},{"dropping-particle":"","family":"Han","given":"Mengting","non-dropping-particle":"","parse-names":false,"suffix":""},{"dropping-particle":"","family":"Qi","given":"Lei S","non-dropping-particle":"","parse-names":false,"suffix":""}],"container-title":"Nature Reviews Genetics","id":"ITEM-1","issued":{"date-parts":[["2021","2"]]},"page":"1-18","publisher":"Nature Research","title":"Engineering 3D genome organization","type":"article"},"uris":["http://www.mendeley.com/documents/?uuid=a08628c5-cd06-4677-ba26-7f9c8f201c96"]}],"mendeley":{"formattedCitation":"(H. Wang et al., 2021)","manualFormatting":"(Wang et al., 2021)","plainTextFormattedCitation":"(H. Wang et al., 2021)","previouslyFormattedCitation":"(H. Wang et al., 2021)"},"properties":{"noteIndex":0},"schema":"https://github.com/citation-style-language/schema/raw/master/csl-citation.json"}</w:instrText>
      </w:r>
      <w:r w:rsidR="00D6520D">
        <w:rPr>
          <w:rFonts w:ascii="Times New Roman" w:hAnsi="Times New Roman"/>
          <w:color w:val="000000" w:themeColor="text1"/>
          <w:lang w:eastAsia="ar-SA"/>
        </w:rPr>
        <w:fldChar w:fldCharType="separate"/>
      </w:r>
      <w:r w:rsidR="00D6520D" w:rsidRPr="00D6520D">
        <w:rPr>
          <w:rFonts w:ascii="Times New Roman" w:hAnsi="Times New Roman"/>
          <w:noProof/>
          <w:color w:val="000000" w:themeColor="text1"/>
          <w:lang w:eastAsia="ar-SA"/>
        </w:rPr>
        <w:t>(Wang et al., 2021)</w:t>
      </w:r>
      <w:r w:rsidR="00D6520D">
        <w:rPr>
          <w:rFonts w:ascii="Times New Roman" w:hAnsi="Times New Roman"/>
          <w:color w:val="000000" w:themeColor="text1"/>
          <w:lang w:eastAsia="ar-SA"/>
        </w:rPr>
        <w:fldChar w:fldCharType="end"/>
      </w:r>
      <w:r w:rsidR="00CC2DF0">
        <w:rPr>
          <w:rFonts w:ascii="Times New Roman" w:hAnsi="Times New Roman"/>
          <w:color w:val="000000" w:themeColor="text1"/>
          <w:lang w:eastAsia="ar-SA"/>
        </w:rPr>
        <w:t>. Regarding karyotype manipulation, r</w:t>
      </w:r>
      <w:r w:rsidR="619A9B06" w:rsidRPr="324E335E">
        <w:rPr>
          <w:rFonts w:ascii="Times New Roman" w:hAnsi="Times New Roman"/>
          <w:color w:val="000000" w:themeColor="text1"/>
          <w:lang w:eastAsia="ar-SA"/>
        </w:rPr>
        <w:t xml:space="preserve">esearchers have created yeast strains with just one </w:t>
      </w:r>
      <w:r w:rsidR="00F3576A">
        <w:rPr>
          <w:rFonts w:ascii="Times New Roman" w:hAnsi="Times New Roman"/>
          <w:color w:val="000000" w:themeColor="text1"/>
          <w:lang w:eastAsia="ar-SA"/>
        </w:rPr>
        <w:fldChar w:fldCharType="begin" w:fldLock="1"/>
      </w:r>
      <w:r w:rsidR="00427FB1">
        <w:rPr>
          <w:rFonts w:ascii="Times New Roman" w:hAnsi="Times New Roman"/>
          <w:color w:val="000000" w:themeColor="text1"/>
          <w:lang w:eastAsia="ar-SA"/>
        </w:rPr>
        <w:instrText>ADDIN CSL_CITATION {"citationItems":[{"id":"ITEM-1","itemData":{"DOI":"10.1038/s41586-018-0382-x","ISSN":"1476-4687","abstract":"Eukaryotic genomes are generally organized in multiple chromosomes. Here we have created a functional single-chromosome yeast from a Saccharomyces cerevisiae haploid cell containing sixteen linear chromosomes, by successive end-to-end chromosome fusions and centromere deletions. The fusion of sixteen native linear chromosomes into a single chromosome results in marked changes to the global three-dimensional structure of the chromosome due to the loss of all centromere-associated inter-chromosomal interactions, most telomere-associated inter-chromosomal interactions and 67.4% of intra-chromosomal interactions. However, the single-chromosome and wild-type yeast cells have nearly identical transcriptome and similar phenome profiles. The giant single chromosome can support cell life, although this strain shows reduced growth across environments, competitiveness, gamete production and viability. This synthetic biology study demonstrates an approach to exploration of eukaryote evolution with respect to chromosome structure and function.","author":[{"dropping-particle":"","family":"Shao","given":"Yangyang","non-dropping-particle":"","parse-names":false,"suffix":""},{"dropping-particle":"","family":"Lu","given":"Ning","non-dropping-particle":"","parse-names":false,"suffix":""},{"dropping-particle":"","family":"Wu","given":"Zhenfang","non-dropping-particle":"","parse-names":false,"suffix":""},{"dropping-particle":"","family":"Cai","given":"Chen","non-dropping-particle":"","parse-names":false,"suffix":""},{"dropping-particle":"","family":"Wang","given":"Shanshan","non-dropping-particle":"","parse-names":false,"suffix":""},{"dropping-particle":"","family":"Zhang","given":"Ling-Li","non-dropping-particle":"","parse-names":false,"suffix":""},{"dropping-particle":"","family":"Zhou","given":"Fan","non-dropping-particle":"","parse-names":false,"suffix":""},{"dropping-particle":"","family":"Xiao","given":"Shijun","non-dropping-particle":"","parse-names":false,"suffix":""},{"dropping-particle":"","family":"Liu","given":"Lin","non-dropping-particle":"","parse-names":false,"suffix":""},{"dropping-particle":"","family":"Zeng","given":"Xiaofei","non-dropping-particle":"","parse-names":false,"suffix":""},{"dropping-particle":"","family":"Zheng","given":"Huajun","non-dropping-particle":"","parse-names":false,"suffix":""},{"dropping-particle":"","family":"Yang","given":"Chen","non-dropping-particle":"","parse-names":false,"suffix":""},{"dropping-particle":"","family":"Zhao","given":"Zhihu","non-dropping-particle":"","parse-names":false,"suffix":""},{"dropping-particle":"","family":"Zhao","given":"Guoping","non-dropping-particle":"","parse-names":false,"suffix":""},{"dropping-particle":"","family":"Zhou","given":"Jin-Qiu","non-dropping-particle":"","parse-names":false,"suffix":""},{"dropping-particle":"","family":"Xue","given":"Xiaoli","non-dropping-particle":"","parse-names":false,"suffix":""},{"dropping-particle":"","family":"Qin","given":"Zhongjun","non-dropping-particle":"","parse-names":false,"suffix":""}],"container-title":"Nature","id":"ITEM-1","issue":"7718","issued":{"date-parts":[["2018"]]},"page":"331-335","title":"Creating a functional single-chromosome yeast","type":"article-journal","volume":"560"},"uris":["http://www.mendeley.com/documents/?uuid=5cd494b3-f23a-42c5-9c59-b3f96894414b"]}],"mendeley":{"formattedCitation":"(Shao et al., 2018a)","manualFormatting":"(Shao et al., 2018)","plainTextFormattedCitation":"(Shao et al., 2018a)","previouslyFormattedCitation":"(Shao et al., 2018a)"},"properties":{"noteIndex":0},"schema":"https://github.com/citation-style-language/schema/raw/master/csl-citation.json"}</w:instrText>
      </w:r>
      <w:r w:rsidR="00F3576A">
        <w:rPr>
          <w:rFonts w:ascii="Times New Roman" w:hAnsi="Times New Roman"/>
          <w:color w:val="000000" w:themeColor="text1"/>
          <w:lang w:eastAsia="ar-SA"/>
        </w:rPr>
        <w:fldChar w:fldCharType="separate"/>
      </w:r>
      <w:r w:rsidR="0068315B" w:rsidRPr="0068315B">
        <w:rPr>
          <w:rFonts w:ascii="Times New Roman" w:hAnsi="Times New Roman"/>
          <w:noProof/>
          <w:color w:val="000000" w:themeColor="text1"/>
          <w:lang w:eastAsia="ar-SA"/>
        </w:rPr>
        <w:t>(Shao et al., 2018)</w:t>
      </w:r>
      <w:r w:rsidR="00F3576A">
        <w:rPr>
          <w:rFonts w:ascii="Times New Roman" w:hAnsi="Times New Roman"/>
          <w:color w:val="000000" w:themeColor="text1"/>
          <w:lang w:eastAsia="ar-SA"/>
        </w:rPr>
        <w:fldChar w:fldCharType="end"/>
      </w:r>
      <w:r w:rsidR="30309BDA" w:rsidRPr="324E335E">
        <w:rPr>
          <w:rFonts w:ascii="Times New Roman" w:hAnsi="Times New Roman"/>
          <w:color w:val="000000" w:themeColor="text1"/>
          <w:lang w:eastAsia="ar-SA"/>
        </w:rPr>
        <w:t xml:space="preserve"> or two chromosomes </w:t>
      </w:r>
      <w:r w:rsidR="00985D4A">
        <w:rPr>
          <w:rFonts w:ascii="Times New Roman" w:hAnsi="Times New Roman"/>
          <w:color w:val="000000" w:themeColor="text1"/>
          <w:lang w:eastAsia="ar-SA"/>
        </w:rPr>
        <w:fldChar w:fldCharType="begin" w:fldLock="1"/>
      </w:r>
      <w:r w:rsidR="00FD0214">
        <w:rPr>
          <w:rFonts w:ascii="Times New Roman" w:hAnsi="Times New Roman"/>
          <w:color w:val="000000" w:themeColor="text1"/>
          <w:lang w:eastAsia="ar-SA"/>
        </w:rPr>
        <w:instrText>ADDIN CSL_CITATION {"citationItems":[{"id":"ITEM-1","itemData":{"DOI":"10.1007/s11427-018-9403-y","ISSN":"16747305","PMID":"30465231","abstract":"Whole genome engineering is now feasible with the aid of genome editing and synthesis tools. Synthesizing a genome from scratch allows modifications of the genomic structure and function to an extent that was hitherto not possible, which will finally lead to new insights into the basic principles of life and enable valuable applications. With several recent genome synthesis projects as examples, the technical details to synthesize a genome and applications of synthetic genome are addressed in this perspective. A series of ongoing or future synthetic genomics projects, including the different genomes to be synthesized in GP-write, synthetic minimal genome, massively recoded genome, chimeric genome and synthetic genome with expanded genetic alphabet, are also discussed here with a special focus on theoretical and technical impediments in the design and synthesis process. Synthetic genomics will become a commonplace to engineer pathways and genomes according to arbitrary sets of design principles with the development of high-efficient, low-cost genome synthesis and assembly technologies.","author":[{"dropping-particle":"","family":"Luo","given":"Zhouqing","non-dropping-particle":"","parse-names":false,"suffix":""},{"dropping-particle":"","family":"Yang","given":"Qing","non-dropping-particle":"","parse-names":false,"suffix":""},{"dropping-particle":"","family":"Geng","given":"Binan","non-dropping-particle":"","parse-names":false,"suffix":""},{"dropping-particle":"","family":"Jiang","given":"Shuangying","non-dropping-particle":"","parse-names":false,"suffix":""},{"dropping-particle":"","family":"Yang","given":"Shihui","non-dropping-particle":"","parse-names":false,"suffix":""},{"dropping-particle":"","family":"Li","given":"Xiaozheng","non-dropping-particle":"","parse-names":false,"suffix":""},{"dropping-particle":"","family":"Cai","given":"Yizhi","non-dropping-particle":"","parse-names":false,"suffix":""},{"dropping-particle":"","family":"Dai","given":"Junbiao","non-dropping-particle":"","parse-names":false,"suffix":""}],"container-title":"Science China Life Sciences","id":"ITEM-1","issue":"12","issued":{"date-parts":[["2018"]]},"page":"1515-1527","title":"Whole genome engineering by synthesis","type":"article-journal","volume":"61"},"uris":["http://www.mendeley.com/documents/?uuid=31a0128a-f91b-4234-a5ec-d715012f4812","http://www.mendeley.com/documents/?uuid=4da8e335-99a4-4959-9c62-4c3206af7a7c","http://www.mendeley.com/documents/?uuid=f94ab505-c695-44a6-ba9b-5ed2a1899241"]}],"mendeley":{"formattedCitation":"(Z. Luo et al., 2018)","plainTextFormattedCitation":"(Z. Luo et al., 2018)","previouslyFormattedCitation":"(Z. Luo et al., 2018)"},"properties":{"noteIndex":0},"schema":"https://github.com/citation-style-language/schema/raw/master/csl-citation.json"}</w:instrText>
      </w:r>
      <w:r w:rsidR="00985D4A">
        <w:rPr>
          <w:rFonts w:ascii="Times New Roman" w:hAnsi="Times New Roman"/>
          <w:color w:val="000000" w:themeColor="text1"/>
          <w:lang w:eastAsia="ar-SA"/>
        </w:rPr>
        <w:fldChar w:fldCharType="separate"/>
      </w:r>
      <w:r w:rsidR="00365E0A" w:rsidRPr="00365E0A">
        <w:rPr>
          <w:rFonts w:ascii="Times New Roman" w:hAnsi="Times New Roman"/>
          <w:noProof/>
          <w:color w:val="000000" w:themeColor="text1"/>
          <w:lang w:eastAsia="ar-SA"/>
        </w:rPr>
        <w:t>(Z. Luo et al., 2018)</w:t>
      </w:r>
      <w:r w:rsidR="00985D4A">
        <w:rPr>
          <w:rFonts w:ascii="Times New Roman" w:hAnsi="Times New Roman"/>
          <w:color w:val="000000" w:themeColor="text1"/>
          <w:lang w:eastAsia="ar-SA"/>
        </w:rPr>
        <w:fldChar w:fldCharType="end"/>
      </w:r>
      <w:r w:rsidR="032CEA20" w:rsidRPr="324E335E">
        <w:rPr>
          <w:rFonts w:ascii="Times New Roman" w:hAnsi="Times New Roman"/>
          <w:color w:val="000000" w:themeColor="text1"/>
          <w:lang w:eastAsia="ar-SA"/>
        </w:rPr>
        <w:t>,</w:t>
      </w:r>
      <w:r w:rsidR="49FBA086" w:rsidRPr="324E335E">
        <w:rPr>
          <w:rFonts w:ascii="Times New Roman" w:hAnsi="Times New Roman"/>
          <w:color w:val="000000" w:themeColor="text1"/>
          <w:lang w:eastAsia="ar-SA"/>
        </w:rPr>
        <w:t xml:space="preserve"> </w:t>
      </w:r>
      <w:r w:rsidR="1AB278CC" w:rsidRPr="324E335E">
        <w:rPr>
          <w:rFonts w:ascii="Times New Roman" w:hAnsi="Times New Roman"/>
          <w:color w:val="000000" w:themeColor="text1"/>
          <w:lang w:eastAsia="ar-SA"/>
        </w:rPr>
        <w:t>instead of the normal sixteen chromosomes</w:t>
      </w:r>
      <w:r w:rsidR="5AE9450F" w:rsidRPr="324E335E">
        <w:rPr>
          <w:rFonts w:ascii="Times New Roman" w:hAnsi="Times New Roman"/>
          <w:color w:val="000000" w:themeColor="text1"/>
          <w:lang w:eastAsia="ar-SA"/>
        </w:rPr>
        <w:t xml:space="preserve">, without affecting the total number of genes, </w:t>
      </w:r>
      <w:r w:rsidR="5053FDD0" w:rsidRPr="324E335E">
        <w:rPr>
          <w:rFonts w:ascii="Times New Roman" w:hAnsi="Times New Roman"/>
          <w:color w:val="000000" w:themeColor="text1"/>
          <w:lang w:eastAsia="ar-SA"/>
        </w:rPr>
        <w:t xml:space="preserve">the </w:t>
      </w:r>
      <w:r w:rsidR="1D3CD396" w:rsidRPr="324E335E">
        <w:rPr>
          <w:rFonts w:ascii="Times New Roman" w:hAnsi="Times New Roman"/>
          <w:color w:val="000000" w:themeColor="text1"/>
          <w:lang w:eastAsia="ar-SA"/>
        </w:rPr>
        <w:t>transcriptome or growth.</w:t>
      </w:r>
    </w:p>
    <w:p w14:paraId="342886D5" w14:textId="3149D793" w:rsidR="00A268DA" w:rsidRPr="00A268DA" w:rsidRDefault="00496F75" w:rsidP="00092BB3">
      <w:pPr>
        <w:pStyle w:val="Heading3"/>
      </w:pPr>
      <w:bookmarkStart w:id="52" w:name="_Toc70112673"/>
      <w:bookmarkStart w:id="53" w:name="_Toc70685695"/>
      <w:r>
        <w:rPr>
          <w:lang w:val="en-US"/>
        </w:rPr>
        <w:t>2</w:t>
      </w:r>
      <w:r w:rsidR="00C00D14">
        <w:t>.</w:t>
      </w:r>
      <w:r w:rsidR="00C90F43">
        <w:rPr>
          <w:lang w:val="en-US"/>
        </w:rPr>
        <w:t>5</w:t>
      </w:r>
      <w:r w:rsidR="00C00D14">
        <w:t xml:space="preserve">. </w:t>
      </w:r>
      <w:r w:rsidR="00A268DA" w:rsidRPr="00A268DA">
        <w:t>Protocell</w:t>
      </w:r>
      <w:r w:rsidR="00092BB3">
        <w:rPr>
          <w:lang w:val="en-US"/>
        </w:rPr>
        <w:t xml:space="preserve"> </w:t>
      </w:r>
      <w:r w:rsidR="00092BB3" w:rsidRPr="00091EEC">
        <w:rPr>
          <w:lang w:val="en-US"/>
        </w:rPr>
        <w:t>or minimal cell</w:t>
      </w:r>
      <w:r w:rsidR="00A268DA" w:rsidRPr="00A268DA">
        <w:t xml:space="preserve"> construction</w:t>
      </w:r>
      <w:r w:rsidR="007E4D32">
        <w:rPr>
          <w:lang w:val="en-US"/>
        </w:rPr>
        <w:t>.</w:t>
      </w:r>
      <w:bookmarkEnd w:id="52"/>
      <w:bookmarkEnd w:id="53"/>
      <w:r w:rsidR="00A268DA" w:rsidRPr="00A268DA">
        <w:t xml:space="preserve"> </w:t>
      </w:r>
    </w:p>
    <w:p w14:paraId="61A35C19" w14:textId="68A7F69F" w:rsidR="00A268DA" w:rsidRPr="00A268DA" w:rsidRDefault="00F600B2" w:rsidP="004E3007">
      <w:pPr>
        <w:suppressAutoHyphens/>
        <w:autoSpaceDE w:val="0"/>
        <w:spacing w:before="120" w:after="120" w:line="240" w:lineRule="auto"/>
        <w:jc w:val="both"/>
        <w:rPr>
          <w:rFonts w:ascii="Times New Roman" w:hAnsi="Times New Roman"/>
          <w:color w:val="000000"/>
          <w:kern w:val="1"/>
          <w:lang w:eastAsia="ar-SA"/>
        </w:rPr>
      </w:pPr>
      <w:r>
        <w:rPr>
          <w:rFonts w:ascii="Times New Roman" w:hAnsi="Times New Roman"/>
          <w:color w:val="000000"/>
          <w:kern w:val="1"/>
          <w:lang w:eastAsia="ar-SA"/>
        </w:rPr>
        <w:t xml:space="preserve">Similar to </w:t>
      </w:r>
      <w:r w:rsidR="00A268DA" w:rsidRPr="487919B7">
        <w:rPr>
          <w:rFonts w:ascii="Times New Roman" w:hAnsi="Times New Roman"/>
          <w:color w:val="000000"/>
          <w:kern w:val="1"/>
          <w:lang w:eastAsia="ar-SA"/>
        </w:rPr>
        <w:t xml:space="preserve">the search for a minimal genome, researchers seeking to create a protocell are driven to design for less complexity at the cellular rather than </w:t>
      </w:r>
      <w:r w:rsidR="14F83479" w:rsidRPr="06DD7B6A">
        <w:rPr>
          <w:rFonts w:ascii="Times New Roman" w:hAnsi="Times New Roman"/>
          <w:color w:val="000000" w:themeColor="text1"/>
          <w:lang w:eastAsia="ar-SA"/>
        </w:rPr>
        <w:t xml:space="preserve">the </w:t>
      </w:r>
      <w:r w:rsidR="00A268DA" w:rsidRPr="487919B7">
        <w:rPr>
          <w:rFonts w:ascii="Times New Roman" w:hAnsi="Times New Roman"/>
          <w:color w:val="000000"/>
          <w:kern w:val="1"/>
          <w:lang w:eastAsia="ar-SA"/>
        </w:rPr>
        <w:t xml:space="preserve">genome level. </w:t>
      </w:r>
      <w:r w:rsidR="00A268DA" w:rsidRPr="00A268DA">
        <w:rPr>
          <w:rFonts w:ascii="Times New Roman" w:hAnsi="Times New Roman"/>
          <w:color w:val="000000"/>
          <w:kern w:val="1"/>
          <w:lang w:eastAsia="ar-SA"/>
        </w:rPr>
        <w:t xml:space="preserve">Protocells have been described as “models of artificial cells that have some properties of living systems but are not yet fully alive” </w:t>
      </w:r>
      <w:r w:rsidR="006A4CB5">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10.1002/9783527659296.ch4","author":[{"dropping-particle":"","family":"Armstrong","given":"Rachel","non-dropping-particle":"","parse-names":false,"suffix":""},{"dropping-particle":"","family":"Schmidt","given":"Markus","non-dropping-particle":"","parse-names":false,"suffix":""},{"dropping-particle":"","family":"Bedau","given":"Mark","non-dropping-particle":"","parse-names":false,"suffix":""}],"container-title":"Synthetic Biology","id":"ITEM-1","issued":{"date-parts":[["2012","8","3"]]},"page":"145-156","publisher":"Wiley-VCH Verlag GmbH &amp; Co. KGaA","publisher-place":"Weinheim, Germany","title":"Other Developments in Synthetic Biology","type":"chapter"},"uris":["http://www.mendeley.com/documents/?uuid=26964d7b-fa2d-4370-a1d6-a06c68e9e9f2"]}],"mendeley":{"formattedCitation":"(Armstrong et al., 2012)","plainTextFormattedCitation":"(Armstrong et al., 2012)","previouslyFormattedCitation":"(Armstrong et al., 2012)"},"properties":{"noteIndex":0},"schema":"https://github.com/citation-style-language/schema/raw/master/csl-citation.json"}</w:instrText>
      </w:r>
      <w:r w:rsidR="006A4CB5">
        <w:rPr>
          <w:rFonts w:ascii="Times New Roman" w:hAnsi="Times New Roman"/>
          <w:color w:val="000000"/>
          <w:kern w:val="1"/>
          <w:lang w:eastAsia="ar-SA"/>
        </w:rPr>
        <w:fldChar w:fldCharType="separate"/>
      </w:r>
      <w:r w:rsidR="006A4CB5" w:rsidRPr="006A4CB5">
        <w:rPr>
          <w:rFonts w:ascii="Times New Roman" w:hAnsi="Times New Roman"/>
          <w:noProof/>
          <w:color w:val="000000"/>
          <w:kern w:val="1"/>
          <w:lang w:eastAsia="ar-SA"/>
        </w:rPr>
        <w:t>(Armstrong et al., 2012)</w:t>
      </w:r>
      <w:r w:rsidR="006A4CB5">
        <w:rPr>
          <w:rFonts w:ascii="Times New Roman" w:hAnsi="Times New Roman"/>
          <w:color w:val="000000"/>
          <w:kern w:val="1"/>
          <w:lang w:eastAsia="ar-SA"/>
        </w:rPr>
        <w:fldChar w:fldCharType="end"/>
      </w:r>
      <w:r w:rsidR="00A268DA" w:rsidRPr="00A268DA">
        <w:rPr>
          <w:rFonts w:ascii="Times New Roman" w:hAnsi="Times New Roman"/>
          <w:color w:val="000000"/>
          <w:kern w:val="1"/>
          <w:lang w:eastAsia="ar-SA"/>
        </w:rPr>
        <w:t xml:space="preserve">. </w:t>
      </w:r>
      <w:r w:rsidR="004434AC">
        <w:rPr>
          <w:rFonts w:ascii="Times New Roman" w:hAnsi="Times New Roman"/>
          <w:color w:val="000000"/>
          <w:kern w:val="1"/>
          <w:lang w:eastAsia="ar-SA"/>
        </w:rPr>
        <w:t>A</w:t>
      </w:r>
      <w:r w:rsidR="004434AC" w:rsidRPr="002711BB">
        <w:rPr>
          <w:rFonts w:ascii="Times New Roman" w:hAnsi="Times New Roman"/>
          <w:color w:val="000000"/>
          <w:kern w:val="1"/>
          <w:lang w:eastAsia="ar-SA"/>
        </w:rPr>
        <w:t xml:space="preserve"> synthetic </w:t>
      </w:r>
      <w:r w:rsidR="004434AC">
        <w:rPr>
          <w:rFonts w:ascii="Times New Roman" w:hAnsi="Times New Roman"/>
          <w:color w:val="000000"/>
          <w:kern w:val="1"/>
          <w:lang w:eastAsia="ar-SA"/>
        </w:rPr>
        <w:t>proto</w:t>
      </w:r>
      <w:r w:rsidR="004434AC" w:rsidRPr="002711BB">
        <w:rPr>
          <w:rFonts w:ascii="Times New Roman" w:hAnsi="Times New Roman"/>
          <w:color w:val="000000"/>
          <w:kern w:val="1"/>
          <w:lang w:eastAsia="ar-SA"/>
        </w:rPr>
        <w:t>cell should be encoded by a minimal genome that specifies all essential functions and that allows the cells to thrive by coordinated transcription–translation</w:t>
      </w:r>
      <w:r w:rsidR="004434AC">
        <w:rPr>
          <w:rFonts w:ascii="Times New Roman" w:hAnsi="Times New Roman"/>
          <w:color w:val="000000"/>
          <w:kern w:val="1"/>
          <w:lang w:eastAsia="ar-SA"/>
        </w:rPr>
        <w:t>.</w:t>
      </w:r>
      <w:r w:rsidR="004434AC" w:rsidRPr="002711BB">
        <w:rPr>
          <w:rFonts w:ascii="Times New Roman" w:hAnsi="Times New Roman"/>
          <w:color w:val="000000"/>
          <w:kern w:val="1"/>
          <w:lang w:eastAsia="ar-SA"/>
        </w:rPr>
        <w:t xml:space="preserve"> Such minimal systems do not contain complex networks and interactions that are present in living organisms, which creates an advantage as it allows </w:t>
      </w:r>
      <w:r w:rsidR="00D35737">
        <w:rPr>
          <w:rFonts w:ascii="Times New Roman" w:hAnsi="Times New Roman"/>
          <w:color w:val="000000"/>
          <w:kern w:val="1"/>
          <w:lang w:eastAsia="ar-SA"/>
        </w:rPr>
        <w:t>the</w:t>
      </w:r>
      <w:r w:rsidR="004434AC" w:rsidRPr="002711BB">
        <w:rPr>
          <w:rFonts w:ascii="Times New Roman" w:hAnsi="Times New Roman"/>
          <w:color w:val="000000"/>
          <w:kern w:val="1"/>
          <w:lang w:eastAsia="ar-SA"/>
        </w:rPr>
        <w:t xml:space="preserve"> study </w:t>
      </w:r>
      <w:r w:rsidR="00D35737">
        <w:rPr>
          <w:rFonts w:ascii="Times New Roman" w:hAnsi="Times New Roman"/>
          <w:color w:val="000000"/>
          <w:kern w:val="1"/>
          <w:lang w:eastAsia="ar-SA"/>
        </w:rPr>
        <w:t xml:space="preserve">of </w:t>
      </w:r>
      <w:r w:rsidR="004434AC" w:rsidRPr="002711BB">
        <w:rPr>
          <w:rFonts w:ascii="Times New Roman" w:hAnsi="Times New Roman"/>
          <w:color w:val="000000"/>
          <w:kern w:val="1"/>
          <w:lang w:eastAsia="ar-SA"/>
        </w:rPr>
        <w:t>biological processes with minimal undesired interference</w:t>
      </w:r>
      <w:r w:rsidR="004434AC">
        <w:rPr>
          <w:rFonts w:ascii="Times New Roman" w:hAnsi="Times New Roman"/>
          <w:color w:val="000000"/>
          <w:kern w:val="1"/>
          <w:lang w:eastAsia="ar-SA"/>
        </w:rPr>
        <w:t xml:space="preserve"> </w:t>
      </w:r>
      <w:r w:rsidR="006E6086">
        <w:rPr>
          <w:rFonts w:ascii="Times New Roman" w:hAnsi="Times New Roman"/>
          <w:color w:val="000000"/>
          <w:kern w:val="1"/>
          <w:lang w:eastAsia="ar-SA"/>
        </w:rPr>
        <w:fldChar w:fldCharType="begin" w:fldLock="1"/>
      </w:r>
      <w:r w:rsidR="009A1822">
        <w:rPr>
          <w:rFonts w:ascii="Times New Roman" w:hAnsi="Times New Roman"/>
          <w:color w:val="000000"/>
          <w:kern w:val="1"/>
          <w:lang w:eastAsia="ar-SA"/>
        </w:rPr>
        <w:instrText>ADDIN CSL_CITATION {"citationItems":[{"id":"ITEM-1","itemData":{"DOI":"10.1042/ETLS20190020","ISSN":"23978562","PMID":"33523160","abstract":"A critical aspect of a synthetic minimal cell is expansion of the surrounding boundary layer. This layer should consist of phospholipids (mimics) as these molecules assemble into a bilayer, creating a functional barrier with specific phospholipid species that are essential for membrane related processes. As a first step towards synthetic cells, an in vitro phospholipid biosynthesis pathway has been constructed that utilizes fatty acids as precursors to produce a wide variety of phospholipid species, thereby driving membrane growth. This now needs to be developed further into a sustainable expanding system, meanwhile keeping simplicity in mind. The non-enzymatic synthesis of phospholipid-like molecules forms a realistic alternative for natural enzymatic-based pathways, that nowadays can even support functional membrane proteins. Eventually, coupling to in vitro transcription/translation is required, for which efficient mechanisms of insertion and folding of the involved membrane proteins need to be developed. Such an integrated system will form a suitable foundation of a synthetic minimal cell that eventually can be coupled to other cellular processes such as division.","author":[{"dropping-particle":"","family":"Exterkate","given":"Marten","non-dropping-particle":"","parse-names":false,"suffix":""},{"dropping-particle":"","family":"Driessen","given":"Arnold J M","non-dropping-particle":"","parse-names":false,"suffix":""}],"container-title":"Emerging Topics in Life Sciences","id":"ITEM-1","issue":"5","issued":{"date-parts":[["2019","11"]]},"page":"543-549","publisher":"Portland Press Ltd","title":"Continuous expansion of a synthetic minimal cellular membrane","type":"article","volume":"3"},"uris":["http://www.mendeley.com/documents/?uuid=bea7268c-b0ad-46fe-a97b-e6eeddbef5f7"]}],"mendeley":{"formattedCitation":"(Exterkate &amp; Driessen, 2019)","plainTextFormattedCitation":"(Exterkate &amp; Driessen, 2019)","previouslyFormattedCitation":"(Exterkate &amp; Driessen, 2019)"},"properties":{"noteIndex":0},"schema":"https://github.com/citation-style-language/schema/raw/master/csl-citation.json"}</w:instrText>
      </w:r>
      <w:r w:rsidR="006E6086">
        <w:rPr>
          <w:rFonts w:ascii="Times New Roman" w:hAnsi="Times New Roman"/>
          <w:color w:val="000000"/>
          <w:kern w:val="1"/>
          <w:lang w:eastAsia="ar-SA"/>
        </w:rPr>
        <w:fldChar w:fldCharType="separate"/>
      </w:r>
      <w:r w:rsidR="006E6086" w:rsidRPr="006E6086">
        <w:rPr>
          <w:rFonts w:ascii="Times New Roman" w:hAnsi="Times New Roman"/>
          <w:noProof/>
          <w:color w:val="000000"/>
          <w:kern w:val="1"/>
          <w:lang w:eastAsia="ar-SA"/>
        </w:rPr>
        <w:t>(Exterkate &amp; Driessen, 2019)</w:t>
      </w:r>
      <w:r w:rsidR="006E6086">
        <w:rPr>
          <w:rFonts w:ascii="Times New Roman" w:hAnsi="Times New Roman"/>
          <w:color w:val="000000"/>
          <w:kern w:val="1"/>
          <w:lang w:eastAsia="ar-SA"/>
        </w:rPr>
        <w:fldChar w:fldCharType="end"/>
      </w:r>
      <w:r w:rsidR="004434AC">
        <w:rPr>
          <w:rFonts w:ascii="Times New Roman" w:hAnsi="Times New Roman"/>
          <w:color w:val="000000"/>
          <w:kern w:val="1"/>
          <w:lang w:eastAsia="ar-SA"/>
        </w:rPr>
        <w:t xml:space="preserve">. </w:t>
      </w:r>
      <w:r w:rsidR="6F709E0D" w:rsidRPr="06DD7B6A">
        <w:rPr>
          <w:rFonts w:ascii="Times New Roman" w:hAnsi="Times New Roman"/>
          <w:color w:val="000000" w:themeColor="text1"/>
          <w:lang w:eastAsia="ar-SA"/>
        </w:rPr>
        <w:t>Although the bottom-up construction of a protocell that can be considered truly ‘alive’ is still an ambitious goal, these man-made constructs with a certain degree of ‘liveness’ can offer effective tools to understand fundamental processes of cellular life and have paved the new way for bionic applications</w:t>
      </w:r>
      <w:r w:rsidR="6F709E0D" w:rsidRPr="65A51B64">
        <w:rPr>
          <w:rFonts w:ascii="Times New Roman" w:hAnsi="Times New Roman"/>
          <w:color w:val="000000" w:themeColor="text1"/>
          <w:lang w:eastAsia="ar-SA"/>
        </w:rPr>
        <w:t xml:space="preserve"> </w:t>
      </w:r>
      <w:r w:rsidR="009A1822">
        <w:rPr>
          <w:rFonts w:ascii="Times New Roman" w:hAnsi="Times New Roman"/>
          <w:color w:val="000000" w:themeColor="text1"/>
          <w:lang w:eastAsia="ar-SA"/>
        </w:rPr>
        <w:fldChar w:fldCharType="begin" w:fldLock="1"/>
      </w:r>
      <w:r w:rsidR="00EA7D0A">
        <w:rPr>
          <w:rFonts w:ascii="Times New Roman" w:hAnsi="Times New Roman"/>
          <w:color w:val="000000" w:themeColor="text1"/>
          <w:lang w:eastAsia="ar-SA"/>
        </w:rPr>
        <w:instrText>ADDIN CSL_CITATION {"citationItems":[{"id":"ITEM-1","itemData":{"DOI":"10.1177/0954406220959094","ISSN":"0954-4062","abstract":"&lt;p&gt;A good heat dissipating condition will help give full play to the performance and reliability of electronic components and devices. To strengthen the heat dissipating performance, a novel bionic heat sink of pin fins has been designed. The configuration of cooling pin fins in this heat sink is based on phyllotaxis theory in biology. The bionic configuration of the cooling pin fins has better homogeneity and complementarity, which can form a reasonable air flow channel to improve its cooling efficiency. For testing and analyzing the performance of the bionic heat sink and the effects of the phyllotactic parameters on the heat dissipating, some contrast experiments have been conducted using thermal infrared imager. The results show that the bionic heat sink has better heat dissipating performance, which can make the surface temperature of the heat block lower by 14.7%. This paper will supply a new and effective solution to heat dissipation problem and has a certain contribution for the development of electrical and electronic industry.&lt;/p&gt;","author":[{"dropping-particle":"","family":"Lyu","given":"Yushan","non-dropping-particle":"","parse-names":false,"suffix":""},{"dropping-particle":"","family":"Yu","given":"Haiyue","non-dropping-particle":"","parse-names":false,"suffix":""},{"dropping-particle":"","family":"Hu","given":"Yuheng","non-dropping-particle":"","parse-names":false,"suffix":""},{"dropping-particle":"","family":"Shu","given":"Qilin","non-dropping-particle":"","parse-names":false,"suffix":""},{"dropping-particle":"","family":"Wang","given":"Jun","non-dropping-particle":"","parse-names":false,"suffix":""}],"container-title":"Proceedings of the Institution of Mechanical Engineers, Part C: Journal of Mechanical Engineering Science","id":"ITEM-1","issued":{"date-parts":[["2020","9"]]},"page":"095440622095909","publisher":"SAGE Publications Ltd","title":"Bionic design for the heat sink inspired by phyllotactic pattern","type":"article-journal"},"uris":["http://www.mendeley.com/documents/?uuid=e01f7a28-5f38-459a-9212-d87cda001380"]}],"mendeley":{"formattedCitation":"(Lyu et al., 2020)","plainTextFormattedCitation":"(Lyu et al., 2020)","previouslyFormattedCitation":"(Lyu et al., 2020)"},"properties":{"noteIndex":0},"schema":"https://github.com/citation-style-language/schema/raw/master/csl-citation.json"}</w:instrText>
      </w:r>
      <w:r w:rsidR="009A1822">
        <w:rPr>
          <w:rFonts w:ascii="Times New Roman" w:hAnsi="Times New Roman"/>
          <w:color w:val="000000" w:themeColor="text1"/>
          <w:lang w:eastAsia="ar-SA"/>
        </w:rPr>
        <w:fldChar w:fldCharType="separate"/>
      </w:r>
      <w:r w:rsidR="009A1822" w:rsidRPr="009A1822">
        <w:rPr>
          <w:rFonts w:ascii="Times New Roman" w:hAnsi="Times New Roman"/>
          <w:noProof/>
          <w:color w:val="000000" w:themeColor="text1"/>
          <w:lang w:eastAsia="ar-SA"/>
        </w:rPr>
        <w:t>(Lyu et al., 2020)</w:t>
      </w:r>
      <w:r w:rsidR="009A1822">
        <w:rPr>
          <w:rFonts w:ascii="Times New Roman" w:hAnsi="Times New Roman"/>
          <w:color w:val="000000" w:themeColor="text1"/>
          <w:lang w:eastAsia="ar-SA"/>
        </w:rPr>
        <w:fldChar w:fldCharType="end"/>
      </w:r>
      <w:r w:rsidR="6F709E0D" w:rsidRPr="65A51B64">
        <w:rPr>
          <w:rFonts w:ascii="Times New Roman" w:hAnsi="Times New Roman"/>
          <w:color w:val="000000" w:themeColor="text1"/>
          <w:lang w:eastAsia="ar-SA"/>
        </w:rPr>
        <w:t xml:space="preserve">. </w:t>
      </w:r>
      <w:r w:rsidR="00A268DA" w:rsidRPr="487919B7">
        <w:rPr>
          <w:rFonts w:ascii="Times New Roman" w:hAnsi="Times New Roman"/>
          <w:color w:val="000000"/>
          <w:kern w:val="1"/>
          <w:lang w:eastAsia="ar-SA"/>
        </w:rPr>
        <w:t>Th</w:t>
      </w:r>
      <w:r w:rsidR="464A6CE4" w:rsidRPr="487919B7">
        <w:rPr>
          <w:rFonts w:ascii="Times New Roman" w:hAnsi="Times New Roman"/>
          <w:color w:val="000000"/>
          <w:kern w:val="1"/>
          <w:lang w:eastAsia="ar-SA"/>
        </w:rPr>
        <w:t>e construction of protocells</w:t>
      </w:r>
      <w:r w:rsidR="00A268DA" w:rsidRPr="487919B7">
        <w:rPr>
          <w:rFonts w:ascii="Times New Roman" w:hAnsi="Times New Roman"/>
          <w:color w:val="000000"/>
          <w:kern w:val="1"/>
          <w:lang w:eastAsia="ar-SA"/>
        </w:rPr>
        <w:t xml:space="preserve"> is understood to require three things: a container or membrane to confine reactions; a metabolism so that energy can be stored; and molecules to carry information in order to adapt to changing environments </w:t>
      </w:r>
      <w:r w:rsidR="00263944">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{"citationItems":[{"id":"ITEM-1","itemData":{"DOI":"10.1002/adbi.201800315","ISSN":"23667478","abstract":"Cellular reproduction is one of the fundamental hallmarks of life. Therefore, the development of a minimal division machinery capable of proper genome condensation and organization, mid-cell positioning and segregation in space and time, and the final septation process constitute a fundamental challenge for synthetic biology. It is therefore important to be able to engineer such modules for the production of artificial minimal cells. A bottom-up assembly of molecular machines from bulk biochemicals complemented by in vivo experiments as well as computational modelling helps to approach such key cellular processes. Here, minimal functional modules involved in genome segregation and the division machinery and their spatial organization and positioning are reviewed, setting into perspective the design of a minimal cell. Furthermore, the milestones of recent in vitro reconstitution experiments in the context of cell division are discussed and their role in shedding light on fundamental cellular mechanisms that constitute spatiotemporal order is described. Lastly, current challenges in the field of bottom-up synthetic biology as well as possible future developments toward the development of minimal biomimetic systems are discussed.","author":[{"dropping-particle":"","family":"Hürtgen","given":"Daniel","non-dropping-particle":"","parse-names":false,"suffix":""},{"dropping-particle":"","family":"Härtel","given":"Tobias","non-dropping-particle":"","parse-names":false,"suffix":""},{"dropping-particle":"","family":"Murray","given":"Seán M.","non-dropping-particle":"","parse-names":false,"suffix":""},{"dropping-particle":"","family":"Sourjik","given":"Victor","non-dropping-particle":"","parse-names":false,"suffix":""},{"dropping-particle":"","family":"Schwille","given":"Petra","non-dropping-particle":"","parse-names":false,"suffix":""}],"container-title":"Advanced Biosystems","id":"ITEM-1","issue":"6","issued":{"date-parts":[["2019"]]},"page":"1-9","title":"Functional Modules of Minimal Cell Division for Synthetic Biology","type":"article-journal","volume":"3"},"uris":["http://www.mendeley.com/documents/?uuid=04a5507a-f462-46c0-b7d0-e2779532e31d","http://www.mendeley.com/documents/?uuid=3e5865a3-e00a-4a92-b081-d12950551e09","http://www.mendeley.com/documents/?uuid=5a0e68ef-4262-41b5-80e3-1d62bd31ab48"]}],"mendeley":{"formattedCitation":"(Hürtgen et al., 2019)","plainTextFormattedCitation":"(Hürtgen et al., 2019)","previouslyFormattedCitation":"(Hürtgen et al., 2019)"},"properties":{"noteIndex":0},"schema":"https://github.com/citation-style-language/schema/raw/master/csl-citation.json"}</w:instrText>
      </w:r>
      <w:r w:rsidR="00263944">
        <w:rPr>
          <w:rFonts w:ascii="Times New Roman" w:hAnsi="Times New Roman"/>
          <w:color w:val="000000"/>
          <w:kern w:val="1"/>
          <w:lang w:eastAsia="ar-SA"/>
        </w:rPr>
        <w:fldChar w:fldCharType="separate"/>
      </w:r>
      <w:r w:rsidR="00263944" w:rsidRPr="00263944">
        <w:rPr>
          <w:rFonts w:ascii="Times New Roman" w:hAnsi="Times New Roman"/>
          <w:noProof/>
          <w:color w:val="000000"/>
          <w:kern w:val="1"/>
          <w:lang w:eastAsia="ar-SA"/>
        </w:rPr>
        <w:t>(Hürtgen et al., 2019)</w:t>
      </w:r>
      <w:r w:rsidR="00263944">
        <w:rPr>
          <w:rFonts w:ascii="Times New Roman" w:hAnsi="Times New Roman"/>
          <w:color w:val="000000"/>
          <w:kern w:val="1"/>
          <w:lang w:eastAsia="ar-SA"/>
        </w:rPr>
        <w:fldChar w:fldCharType="end"/>
      </w:r>
      <w:r w:rsidR="00A268DA" w:rsidRPr="06DD7B6A">
        <w:rPr>
          <w:rFonts w:ascii="Times New Roman" w:hAnsi="Times New Roman"/>
          <w:color w:val="000000" w:themeColor="text1"/>
          <w:lang w:eastAsia="ar-SA"/>
        </w:rPr>
        <w:t xml:space="preserve">. </w:t>
      </w:r>
    </w:p>
    <w:p w14:paraId="78156386" w14:textId="30FA167D" w:rsidR="00A268DA" w:rsidRPr="00A268DA" w:rsidRDefault="00A268DA" w:rsidP="004E3007">
      <w:pPr>
        <w:suppressAutoHyphens/>
        <w:autoSpaceDE w:val="0"/>
        <w:spacing w:before="120" w:after="120" w:line="240" w:lineRule="auto"/>
        <w:jc w:val="both"/>
        <w:rPr>
          <w:rFonts w:ascii="Times New Roman" w:hAnsi="Times New Roman"/>
          <w:color w:val="000000"/>
          <w:kern w:val="1"/>
          <w:lang w:eastAsia="ar-SA"/>
        </w:rPr>
      </w:pPr>
      <w:r w:rsidRPr="06DD7B6A">
        <w:rPr>
          <w:rFonts w:ascii="Times New Roman" w:hAnsi="Times New Roman"/>
          <w:color w:val="000000"/>
          <w:kern w:val="1"/>
          <w:lang w:eastAsia="ar-SA"/>
        </w:rPr>
        <w:t>Research in this area is vibrant, but thus far restricted to a basic level. Although many protocell scientists are seeking to identify new biotechnology production systems</w:t>
      </w:r>
      <w:r w:rsidR="00296961" w:rsidRPr="00296961">
        <w:rPr>
          <w:rFonts w:ascii="Times New Roman" w:hAnsi="Times New Roman"/>
          <w:color w:val="000000"/>
          <w:kern w:val="1"/>
          <w:lang w:eastAsia="ar-SA"/>
        </w:rPr>
        <w:t xml:space="preserve"> </w:t>
      </w:r>
      <w:r w:rsidR="00296961">
        <w:rPr>
          <w:rFonts w:ascii="Times New Roman" w:hAnsi="Times New Roman"/>
          <w:color w:val="000000"/>
          <w:kern w:val="1"/>
          <w:lang w:eastAsia="ar-SA"/>
        </w:rPr>
        <w:t>by achieving a cellular chassis</w:t>
      </w:r>
      <w:r w:rsidRPr="06DD7B6A">
        <w:rPr>
          <w:rFonts w:ascii="Times New Roman" w:hAnsi="Times New Roman"/>
          <w:color w:val="000000"/>
          <w:kern w:val="1"/>
          <w:lang w:eastAsia="ar-SA"/>
        </w:rPr>
        <w:t>, much protocell research is intended to explore the origin of life</w:t>
      </w:r>
      <w:r w:rsidR="003119EE">
        <w:rPr>
          <w:rFonts w:ascii="Times New Roman" w:hAnsi="Times New Roman"/>
          <w:color w:val="000000"/>
          <w:kern w:val="1"/>
          <w:lang w:eastAsia="ar-SA"/>
        </w:rPr>
        <w:t xml:space="preserve"> and developmental biology</w:t>
      </w:r>
      <w:r w:rsidRPr="06DD7B6A">
        <w:rPr>
          <w:rFonts w:ascii="Times New Roman" w:hAnsi="Times New Roman"/>
          <w:color w:val="000000"/>
          <w:kern w:val="1"/>
          <w:lang w:eastAsia="ar-SA"/>
        </w:rPr>
        <w:t xml:space="preserve"> </w:t>
      </w:r>
      <w:r w:rsidR="0068577C">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10.1146/annurev.biophys.050708.133753","ISSN":"1936-122X","author":[{"dropping-particle":"","family":"Budin","given":"Itay","non-dropping-particle":"","parse-names":false,"suffix":""},{"dropping-particle":"","family":"Szostak","given":"Jack W.","non-dropping-particle":"","parse-names":false,"suffix":""}],"container-title":"Annual Review of Biophysics","id":"ITEM-1","issue":"1","issued":{"date-parts":[["2010","4"]]},"page":"245-263","title":"Expanding Roles for Diverse Physical Phenomena During the Origin of Life","type":"article-journal","volume":"39"},"uris":["http://www.mendeley.com/documents/?uuid=a84247c6-d5b4-454b-8dab-3d057899a3ac"]},{"id":"ITEM-2","itemData":{"DOI":"10.1016/j.tcb.2012.10.004","ISSN":"09628924","author":[{"dropping-particle":"","family":"Lim","given":"Wendell A.","non-dropping-particle":"","parse-names":false,"suffix":""},{"dropping-particle":"","family":"Alvania","given":"Rebecca","non-dropping-particle":"","parse-names":false,"suffix":""},{"dropping-particle":"","family":"Marshall","given":"Wallace F.","non-dropping-particle":"","parse-names":false,"suffix":""}],"container-title":"Trends in Cell Biology","id":"ITEM-2","issue":"12","issued":{"date-parts":[["2012","12"]]},"page":"611-612","title":"Cell Biology 2.0","type":"article-journal","volume":"22"},"uris":["http://www.mendeley.com/documents/?uuid=4d3a7771-604a-493b-aec2-d27693dd39be"]}],"mendeley":{"formattedCitation":"(Budin &amp; Szostak, 2010; Lim et al., 2012)","manualFormatting":"(Budin &amp; Szostak, 2010; Lim et al., 2012;","plainTextFormattedCitation":"(Budin &amp; Szostak, 2010; Lim et al., 2012)","previouslyFormattedCitation":"(Budin &amp; Szostak, 2010; Lim et al., 2012)"},"properties":{"noteIndex":0},"schema":"https://github.com/citation-style-language/schema/raw/master/csl-citation.json"}</w:instrText>
      </w:r>
      <w:r w:rsidR="0068577C">
        <w:rPr>
          <w:rFonts w:ascii="Times New Roman" w:hAnsi="Times New Roman"/>
          <w:color w:val="000000"/>
          <w:kern w:val="1"/>
          <w:lang w:eastAsia="ar-SA"/>
        </w:rPr>
        <w:fldChar w:fldCharType="separate"/>
      </w:r>
      <w:r w:rsidR="0068577C" w:rsidRPr="0068577C">
        <w:rPr>
          <w:rFonts w:ascii="Times New Roman" w:hAnsi="Times New Roman"/>
          <w:noProof/>
          <w:color w:val="000000"/>
          <w:kern w:val="1"/>
          <w:lang w:eastAsia="ar-SA"/>
        </w:rPr>
        <w:t>(Budin &amp; Szostak, 2010; Lim et al., 2012</w:t>
      </w:r>
      <w:r w:rsidR="000D4A72">
        <w:rPr>
          <w:rFonts w:ascii="Times New Roman" w:hAnsi="Times New Roman"/>
          <w:noProof/>
          <w:color w:val="000000"/>
          <w:kern w:val="1"/>
          <w:lang w:eastAsia="ar-SA"/>
        </w:rPr>
        <w:t>;</w:t>
      </w:r>
      <w:r w:rsidR="0068577C">
        <w:rPr>
          <w:rFonts w:ascii="Times New Roman" w:hAnsi="Times New Roman"/>
          <w:color w:val="000000"/>
          <w:kern w:val="1"/>
          <w:lang w:eastAsia="ar-SA"/>
        </w:rPr>
        <w:fldChar w:fldCharType="end"/>
      </w:r>
      <w:r w:rsidR="00D24F55">
        <w:rPr>
          <w:rFonts w:ascii="Times New Roman" w:hAnsi="Times New Roman"/>
          <w:color w:val="000000"/>
          <w:kern w:val="1"/>
          <w:lang w:eastAsia="ar-SA"/>
        </w:rPr>
        <w:t xml:space="preserve"> </w:t>
      </w:r>
      <w:r w:rsidR="00EA7D0A">
        <w:rPr>
          <w:rFonts w:ascii="Times New Roman" w:hAnsi="Times New Roman"/>
          <w:color w:val="000000"/>
          <w:kern w:val="1"/>
          <w:lang w:eastAsia="ar-SA"/>
        </w:rPr>
        <w:fldChar w:fldCharType="begin" w:fldLock="1"/>
      </w:r>
      <w:r w:rsidR="00EA7D0A">
        <w:rPr>
          <w:rFonts w:ascii="Times New Roman" w:hAnsi="Times New Roman"/>
          <w:color w:val="000000"/>
          <w:kern w:val="1"/>
          <w:lang w:eastAsia="ar-SA"/>
        </w:rPr>
        <w:instrText>ADDIN CSL_CITATION {"citationItems":[{"id":"ITEM-1","itemData":{"DOI":"10.1042/ETLS20190020","ISSN":"23978562","PMID":"33523160","abstract":"A critical aspect of a synthetic minimal cell is expansion of the surrounding boundary layer. This layer should consist of phospholipids (mimics) as these molecules assemble into a bilayer, creating a functional barrier with specific phospholipid species that are essential for membrane related processes. As a first step towards synthetic cells, an in vitro phospholipid biosynthesis pathway has been constructed that utilizes fatty acids as precursors to produce a wide variety of phospholipid species, thereby driving membrane growth. This now needs to be developed further into a sustainable expanding system, meanwhile keeping simplicity in mind. The non-enzymatic synthesis of phospholipid-like molecules forms a realistic alternative for natural enzymatic-based pathways, that nowadays can even support functional membrane proteins. Eventually, coupling to in vitro transcription/translation is required, for which efficient mechanisms of insertion and folding of the involved membrane proteins need to be developed. Such an integrated system will form a suitable foundation of a synthetic minimal cell that eventually can be coupled to other cellular processes such as division.","author":[{"dropping-particle":"","family":"Exterkate","given":"Marten","non-dropping-particle":"","parse-names":false,"suffix":""},{"dropping-particle":"","family":"Driessen","given":"Arnold J M","non-dropping-particle":"","parse-names":false,"suffix":""}],"container-title":"Emerging Topics in Life Sciences","id":"ITEM-1","issue":"5","issued":{"date-parts":[["2019","11"]]},"page":"543-549","publisher":"Portland Press Ltd","title":"Continuous expansion of a synthetic minimal cellular membrane","type":"article","volume":"3"},"uris":["http://www.mendeley.com/documents/?uuid=bea7268c-b0ad-46fe-a97b-e6eeddbef5f7"]}],"mendeley":{"formattedCitation":"(Exterkate &amp; Driessen, 2019)","manualFormatting":"Exterkate &amp; Driessen, 2019","plainTextFormattedCitation":"(Exterkate &amp; Driessen, 2019)","previouslyFormattedCitation":"(Exterkate &amp; Driessen, 2019)"},"properties":{"noteIndex":0},"schema":"https://github.com/citation-style-language/schema/raw/master/csl-citation.json"}</w:instrText>
      </w:r>
      <w:r w:rsidR="00EA7D0A">
        <w:rPr>
          <w:rFonts w:ascii="Times New Roman" w:hAnsi="Times New Roman"/>
          <w:color w:val="000000"/>
          <w:kern w:val="1"/>
          <w:lang w:eastAsia="ar-SA"/>
        </w:rPr>
        <w:fldChar w:fldCharType="separate"/>
      </w:r>
      <w:r w:rsidR="00EA7D0A" w:rsidRPr="006E6086">
        <w:rPr>
          <w:rFonts w:ascii="Times New Roman" w:hAnsi="Times New Roman"/>
          <w:noProof/>
          <w:color w:val="000000"/>
          <w:kern w:val="1"/>
          <w:lang w:eastAsia="ar-SA"/>
        </w:rPr>
        <w:t>Exterkate &amp; Driessen, 2019</w:t>
      </w:r>
      <w:r w:rsidR="00EA7D0A">
        <w:rPr>
          <w:rFonts w:ascii="Times New Roman" w:hAnsi="Times New Roman"/>
          <w:color w:val="000000"/>
          <w:kern w:val="1"/>
          <w:lang w:eastAsia="ar-SA"/>
        </w:rPr>
        <w:fldChar w:fldCharType="end"/>
      </w:r>
      <w:r w:rsidRPr="06DD7B6A">
        <w:rPr>
          <w:rFonts w:ascii="Times New Roman" w:hAnsi="Times New Roman"/>
          <w:color w:val="000000"/>
          <w:kern w:val="1"/>
          <w:lang w:eastAsia="ar-SA"/>
        </w:rPr>
        <w:t xml:space="preserve">). </w:t>
      </w:r>
      <w:r w:rsidR="2E903392" w:rsidRPr="69BA3794">
        <w:rPr>
          <w:rFonts w:ascii="Times New Roman" w:hAnsi="Times New Roman"/>
          <w:color w:val="000000" w:themeColor="text1"/>
          <w:lang w:eastAsia="ar-SA"/>
        </w:rPr>
        <w:t xml:space="preserve">Some recent </w:t>
      </w:r>
      <w:r w:rsidR="00D55CFA">
        <w:rPr>
          <w:rFonts w:ascii="Times New Roman" w:hAnsi="Times New Roman"/>
          <w:color w:val="000000" w:themeColor="text1"/>
          <w:lang w:eastAsia="ar-SA"/>
        </w:rPr>
        <w:t xml:space="preserve">prominent </w:t>
      </w:r>
      <w:r w:rsidR="2E903392" w:rsidRPr="69BA3794">
        <w:rPr>
          <w:rFonts w:ascii="Times New Roman" w:hAnsi="Times New Roman"/>
          <w:color w:val="000000" w:themeColor="text1"/>
          <w:lang w:eastAsia="ar-SA"/>
        </w:rPr>
        <w:t xml:space="preserve">developments involve protocells with replicative fusion and division properties </w:t>
      </w:r>
      <w:r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{"citationItems":[{"id":"ITEM-1","itemData":{"DOI":"10.1038/s41467-017-00177-4","ISSN":"20411723","PMID":"28798300","abstract":"The coupling of compartmentalisation with molecular replication is thought to be crucial for the emergence of the first evolvable chemical systems. Minimal artificial replicators have been designed based on molecular recognition, inspired by the template copying of DNA, but none yet have been coupled to compartmentalisation. Here, we present an oil-in-water droplet system comprising an amphiphilic imine dissolved in chloroform that catalyses its own formation by bringing together a hydrophilic and a hydrophobic precursor, which leads to repeated droplet division. We demonstrate that the presence of the amphiphilic replicator, by lowering the interfacial tension between droplets of the reaction mixture and the aqueous phase, causes them to divide. Periodic sampling by a droplet-robot demonstrates that the extent of fission is increased as the reaction progresses, producing more compartments with increased self-replication. This bridges a divide, showing how replication at the molecular level can be used to drive macroscale droplet fission.","author":[{"dropping-particle":"","family":"Taylor","given":"J. W.","non-dropping-particle":"","parse-names":false,"suffix":""},{"dropping-particle":"","family":"Eghtesadi","given":"S. A.","non-dropping-particle":"","parse-names":false,"suffix":""},{"dropping-particle":"","family":"Points","given":"L. J.","non-dropping-particle":"","parse-names":false,"suffix":""},{"dropping-particle":"","family":"Liu","given":"T.","non-dropping-particle":"","parse-names":false,"suffix":""},{"dropping-particle":"","family":"Cronin","given":"L.","non-dropping-particle":"","parse-names":false,"suffix":""}],"container-title":"Nature Communications","id":"ITEM-1","issue":"1","issued":{"date-parts":[["2017","12"]]},"publisher":"Nature Publishing Group","title":"Autonomous model protocell division driven by molecular replication","type":"article-journal","volume":"8"},"uris":["http://www.mendeley.com/documents/?uuid=398f3f61-2681-4a1d-87d2-24309408ece2"]},{"id":"ITEM-2","itemData":{"DOI":"10.1042/BST20190576","ISSN":"14708752","PMID":"31819942","abstract":"A protocell is a synthetic form of cellular life that is constructed from phospholipid vesicles and used to understand the emergence of life from a nonliving chemical network. To be considered ‘living’, a protocell should be capable of self-proliferation, which includes successive growth and division processes. The growth of protocells can be achieved via vesicle fusion approaches. In this review, we provide a brief overview of recent research on the formation of a protocell, fusion and division processes of the protocell, and encapsulation of a defined chemical network such as the genetic material. We also provide some perspectives on the challenges and future developments of synthetic protocell research.","author":[{"dropping-particle":"","family":"Xu","given":"Bo Ying","non-dropping-particle":"","parse-names":false,"suffix":""},{"dropping-particle":"","family":"Xu","given":"Jian","non-dropping-particle":"","parse-names":false,"suffix":""},{"dropping-particle":"","family":"Yomo","given":"Tetsuya","non-dropping-particle":"","parse-names":false,"suffix":""}],"container-title":"Biochemical Society Transactions","id":"ITEM-2","issue":"6","issued":{"date-parts":[["2019","12"]]},"page":"1909-1919","publisher":"Portland Press Ltd","title":"A protocell with fusion and division","type":"article","volume":"47"},"uris":["http://www.mendeley.com/documents/?uuid=6df60e57-4bb1-42ec-b6fa-202e1d774329"]}],"mendeley":{"formattedCitation":"(Taylor et al., 2017; B. Y. Xu et al., 2019)","manualFormatting":"(Taylor et al., 2017; Xu et al., 2019)","plainTextFormattedCitation":"(Taylor et al., 2017; B. Y. Xu et al., 2019)","previouslyFormattedCitation":"(Taylor et al., 2017; B. Y. Xu et al., 2019)"},"properties":{"noteIndex":0},"schema":"https://github.com/citation-style-language/schema/raw/master/csl-citation.json"}</w:instrText>
      </w:r>
      <w:r w:rsidRPr="00121D97">
        <w:rPr>
          <w:rFonts w:ascii="Times New Roman" w:hAnsi="Times New Roman"/>
          <w:color w:val="000000" w:themeColor="text1"/>
          <w:lang w:eastAsia="ar-SA"/>
        </w:rPr>
        <w:fldChar w:fldCharType="separate"/>
      </w:r>
      <w:r w:rsidR="00251210" w:rsidRPr="00251210">
        <w:rPr>
          <w:rFonts w:ascii="Times New Roman" w:hAnsi="Times New Roman"/>
          <w:noProof/>
          <w:color w:val="000000" w:themeColor="text1"/>
          <w:lang w:eastAsia="ar-SA"/>
        </w:rPr>
        <w:t>(Taylor et al., 2017; Xu et al., 2019)</w:t>
      </w:r>
      <w:r w:rsidRPr="00121D97">
        <w:rPr>
          <w:rFonts w:ascii="Times New Roman" w:hAnsi="Times New Roman"/>
          <w:color w:val="000000" w:themeColor="text1"/>
          <w:lang w:eastAsia="ar-SA"/>
        </w:rPr>
        <w:fldChar w:fldCharType="end"/>
      </w:r>
      <w:r w:rsidR="0ADD3464" w:rsidRPr="69BA3794">
        <w:rPr>
          <w:rFonts w:ascii="Times New Roman" w:hAnsi="Times New Roman"/>
          <w:color w:val="000000" w:themeColor="text1"/>
          <w:lang w:eastAsia="ar-SA"/>
        </w:rPr>
        <w:t xml:space="preserve">, </w:t>
      </w:r>
      <w:r w:rsidR="4F7334AA" w:rsidRPr="69BA3794">
        <w:rPr>
          <w:rFonts w:ascii="Times New Roman" w:hAnsi="Times New Roman"/>
          <w:color w:val="000000" w:themeColor="text1"/>
          <w:lang w:eastAsia="ar-SA"/>
        </w:rPr>
        <w:t xml:space="preserve">communication of </w:t>
      </w:r>
      <w:r w:rsidR="0ADD3464" w:rsidRPr="69BA3794">
        <w:rPr>
          <w:rFonts w:ascii="Times New Roman" w:hAnsi="Times New Roman"/>
          <w:color w:val="000000" w:themeColor="text1"/>
          <w:lang w:eastAsia="ar-SA"/>
        </w:rPr>
        <w:t xml:space="preserve">artificial cellular systems </w:t>
      </w:r>
      <w:r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{"citationItems":[{"id":"ITEM-1","itemData":{"DOI":"10.1002/chem.201901726","ISSN":"0947-6539","abstract":"Communication between artificial cells is essential for the realization of complex dynamical behaviors at the multi-cell level. It is also an important prerequisite for modular systems design, because it determines how spatially separated functional modules can coordinate their actions. Among others, molecular communication is required for artificial cell signaling, synchronization of cellular behaviors, computation, group-level decision-making processes and pattern formation in artificial tissues. In this review, an overview of various recent approaches to create communicating artificial cellular systems is provided. In this context, important physicochemical boundary conditions that have to be considered for the design of the communicating cells are also described, and a survey of the most striking emergent behaviors that may be achieved in such systems is given.","author":[{"dropping-particle":"","family":"Aufinger","given":"Lukas","non-dropping-particle":"","parse-names":false,"suffix":""},{"dropping-particle":"","family":"Simmel","given":"Friedrich C.","non-dropping-particle":"","parse-names":false,"suffix":""}],"container-title":"Chemistry – A European Journal","id":"ITEM-1","issue":"55","issued":{"date-parts":[["2019","10"]]},"page":"12659-12670","publisher":"Wiley-VCH Verlag","title":"Establishing Communication Between Artificial Cells","type":"article-journal","volume":"25"},"uris":["http://www.mendeley.com/documents/?uuid=685c31b3-f073-4d5e-b528-9a8e2c951587"]}],"mendeley":{"formattedCitation":"(Aufinger &amp; Simmel, 2019)","plainTextFormattedCitation":"(Aufinger &amp; Simmel, 2019)","previouslyFormattedCitation":"(Aufinger &amp; Simmel, 2019)"},"properties":{"noteIndex":0},"schema":"https://github.com/citation-style-language/schema/raw/master/csl-citation.json"}</w:instrText>
      </w:r>
      <w:r w:rsidRPr="00121D97">
        <w:rPr>
          <w:rFonts w:ascii="Times New Roman" w:hAnsi="Times New Roman"/>
          <w:color w:val="000000" w:themeColor="text1"/>
          <w:lang w:eastAsia="ar-SA"/>
        </w:rPr>
        <w:fldChar w:fldCharType="separate"/>
      </w:r>
      <w:r w:rsidR="00585CBD" w:rsidRPr="00585CBD">
        <w:rPr>
          <w:rFonts w:ascii="Times New Roman" w:hAnsi="Times New Roman"/>
          <w:noProof/>
          <w:color w:val="000000" w:themeColor="text1"/>
          <w:lang w:eastAsia="ar-SA"/>
        </w:rPr>
        <w:t>(Aufinger &amp; Simmel, 2019)</w:t>
      </w:r>
      <w:r w:rsidRPr="00121D97">
        <w:rPr>
          <w:rFonts w:ascii="Times New Roman" w:hAnsi="Times New Roman"/>
          <w:color w:val="000000" w:themeColor="text1"/>
          <w:lang w:eastAsia="ar-SA"/>
        </w:rPr>
        <w:fldChar w:fldCharType="end"/>
      </w:r>
      <w:r w:rsidR="6C5853A9" w:rsidRPr="69BA3794">
        <w:rPr>
          <w:rFonts w:ascii="Times New Roman" w:hAnsi="Times New Roman"/>
          <w:color w:val="000000" w:themeColor="text1"/>
          <w:lang w:eastAsia="ar-SA"/>
        </w:rPr>
        <w:t xml:space="preserve">, shape </w:t>
      </w:r>
      <w:r w:rsidR="00B14B3D">
        <w:rPr>
          <w:rFonts w:ascii="Times New Roman" w:hAnsi="Times New Roman"/>
          <w:color w:val="000000" w:themeColor="text1"/>
          <w:lang w:eastAsia="ar-SA"/>
        </w:rPr>
        <w:t xml:space="preserve">control </w:t>
      </w:r>
      <w:r w:rsidR="6C5853A9" w:rsidRPr="69BA3794">
        <w:rPr>
          <w:rFonts w:ascii="Times New Roman" w:hAnsi="Times New Roman"/>
          <w:color w:val="000000" w:themeColor="text1"/>
          <w:lang w:eastAsia="ar-SA"/>
        </w:rPr>
        <w:t>of vesicles</w:t>
      </w:r>
      <w:r w:rsidR="4990D068" w:rsidRPr="69BA3794">
        <w:rPr>
          <w:rFonts w:ascii="Times New Roman" w:hAnsi="Times New Roman"/>
          <w:color w:val="000000" w:themeColor="text1"/>
          <w:lang w:eastAsia="ar-SA"/>
        </w:rPr>
        <w:t xml:space="preserve"> </w:t>
      </w:r>
      <w:r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{"citationItems":[{"id":"ITEM-1","itemData":{"DOI":"10.3390/life5010651","ISSN":"20751729","abstract":"It is very challenging to construct protocells from molecular assemblies. An important step in this challenge is the achievement of vesicle dynamics that are relevant to cellular functions, such as membrane trafficking and self-reproduction, using amphiphilic molecules. Soft matter physics will play an important role in the development of vesicles that have these functions. Here, we show that simple binary phospholipid vesicles have the potential to reproduce the relevant functions of adhesion, pore formation and self-reproduction of vesicles, by coupling the lipid geometries (spontaneous curvatures) and the phase separation. This achievement will elucidate the pathway from molecular assembly to cellular life.","author":[{"dropping-particle":"","family":"Sakuma","given":"Yuka","non-dropping-particle":"","parse-names":false,"suffix":""},{"dropping-particle":"","family":"Imai","given":"Masayuki","non-dropping-particle":"","parse-names":false,"suffix":""}],"container-title":"Life","id":"ITEM-1","issue":"1","issued":{"date-parts":[["2015","3"]]},"page":"651-675","publisher":"MDPI AG","title":"From vesicles to protocells: The roles of amphiphilic molecules","type":"article","volume":"5"},"uris":["http://www.mendeley.com/documents/?uuid=bafd6a90-b66b-4e7e-a669-a8b187ab84b0"]}],"mendeley":{"formattedCitation":"(Sakuma &amp; Imai, 2015)","plainTextFormattedCitation":"(Sakuma &amp; Imai, 2015)","previouslyFormattedCitation":"(Sakuma &amp; Imai, 2015)"},"properties":{"noteIndex":0},"schema":"https://github.com/citation-style-language/schema/raw/master/csl-citation.json"}</w:instrText>
      </w:r>
      <w:r w:rsidRPr="00121D97">
        <w:rPr>
          <w:rFonts w:ascii="Times New Roman" w:hAnsi="Times New Roman"/>
          <w:color w:val="000000" w:themeColor="text1"/>
          <w:lang w:eastAsia="ar-SA"/>
        </w:rPr>
        <w:fldChar w:fldCharType="separate"/>
      </w:r>
      <w:r w:rsidR="000871DC" w:rsidRPr="000871DC">
        <w:rPr>
          <w:rFonts w:ascii="Times New Roman" w:hAnsi="Times New Roman"/>
          <w:noProof/>
          <w:color w:val="000000" w:themeColor="text1"/>
          <w:lang w:eastAsia="ar-SA"/>
        </w:rPr>
        <w:t>(Sakuma &amp; Imai, 2015)</w:t>
      </w:r>
      <w:r w:rsidRPr="00121D97">
        <w:rPr>
          <w:rFonts w:ascii="Times New Roman" w:hAnsi="Times New Roman"/>
          <w:color w:val="000000" w:themeColor="text1"/>
          <w:lang w:eastAsia="ar-SA"/>
        </w:rPr>
        <w:fldChar w:fldCharType="end"/>
      </w:r>
      <w:r w:rsidR="00AC4428">
        <w:rPr>
          <w:rFonts w:ascii="Times New Roman" w:hAnsi="Times New Roman"/>
          <w:color w:val="000000" w:themeColor="text1"/>
          <w:lang w:eastAsia="ar-SA"/>
        </w:rPr>
        <w:t xml:space="preserve">, the discovery of the self-assembling nature of </w:t>
      </w:r>
      <w:r w:rsidR="00AC4428" w:rsidRPr="00DA320B">
        <w:rPr>
          <w:rFonts w:ascii="Times New Roman" w:hAnsi="Times New Roman"/>
          <w:color w:val="000000" w:themeColor="text1"/>
          <w:lang w:eastAsia="ar-SA"/>
        </w:rPr>
        <w:t xml:space="preserve">in </w:t>
      </w:r>
      <w:r w:rsidR="00AC4428" w:rsidRPr="1386BD8E">
        <w:rPr>
          <w:rFonts w:ascii="Times New Roman" w:hAnsi="Times New Roman"/>
          <w:i/>
          <w:color w:val="000000" w:themeColor="text1"/>
          <w:lang w:eastAsia="ar-SA"/>
        </w:rPr>
        <w:t>Xenopus</w:t>
      </w:r>
      <w:r w:rsidR="00AC4428" w:rsidRPr="00DA320B">
        <w:rPr>
          <w:rFonts w:ascii="Times New Roman" w:hAnsi="Times New Roman"/>
          <w:color w:val="000000" w:themeColor="text1"/>
          <w:lang w:eastAsia="ar-SA"/>
        </w:rPr>
        <w:t xml:space="preserve"> egg extracts</w:t>
      </w:r>
      <w:r w:rsidR="00AC4428">
        <w:rPr>
          <w:rFonts w:ascii="Times New Roman" w:hAnsi="Times New Roman"/>
          <w:color w:val="000000" w:themeColor="text1"/>
          <w:lang w:eastAsia="ar-SA"/>
        </w:rPr>
        <w:t xml:space="preserve"> </w:t>
      </w:r>
      <w:r w:rsidR="00EA7D0A">
        <w:rPr>
          <w:rFonts w:ascii="Times New Roman" w:hAnsi="Times New Roman"/>
          <w:color w:val="000000" w:themeColor="text1"/>
          <w:lang w:eastAsia="ar-SA"/>
        </w:rPr>
        <w:fldChar w:fldCharType="begin" w:fldLock="1"/>
      </w:r>
      <w:r w:rsidR="00DA21BF">
        <w:rPr>
          <w:rFonts w:ascii="Times New Roman" w:hAnsi="Times New Roman"/>
          <w:color w:val="000000" w:themeColor="text1"/>
          <w:lang w:eastAsia="ar-SA"/>
        </w:rPr>
        <w:instrText>ADDIN CSL_CITATION {"citationItems":[{"id":"ITEM-1","itemData":{"DOI":"10.1126/science.aav7793","ISSN":"10959203","PMID":"31672897","abstract":"Every daughter cell inherits two things from its mother: genetic information and a spatially organized complement of macromolecular complexes and organelles. The extent to which de novo self-organization, as opposed to inheritance of an already organized state, can suffice to yield functional cells is uncertain. We used Xenopus laevis egg extracts to show that homogenized interphase egg cytoplasm self-organizes over the course of ~30 minutes into compartments 300 to 400 micrometers in length that resemble cells. Formation of these cell-like compartments required adenosine triphosphate and microtubule polymerization but did not require added demembranated sperm nuclei with their accompanying centrosomes or actin polymerization. In cycling extracts with added sperm, the compartments underwent multiple cycles of division and reorganization, with mother compartments giving rise to two daughters at the end of each mitotic cycle. These results indicate that the cytoplasm can generate much of the spatial organization and cell cycle function of the early embryo.","author":[{"dropping-particle":"","family":"Cheng","given":"Xianrui","non-dropping-particle":"","parse-names":false,"suffix":""},{"dropping-particle":"","family":"Ferrell","given":"James E","non-dropping-particle":"","parse-names":false,"suffix":""}],"container-title":"Science","id":"ITEM-1","issue":"6465","issued":{"date-parts":[["2019","11"]]},"page":"631-637","publisher":"American Association for the Advancement of Science","title":"Spontaneous emergence of cell-like organization in Xenopus egg extracts","type":"article-journal","volume":"366"},"uris":["http://www.mendeley.com/documents/?uuid=e0678c54-a02d-4efd-a488-9486c3311def"]}],"mendeley":{"formattedCitation":"(Cheng &amp; Ferrell, 2019)","plainTextFormattedCitation":"(Cheng &amp; Ferrell, 2019)","previouslyFormattedCitation":"(Cheng &amp; Ferrell, 2019)"},"properties":{"noteIndex":0},"schema":"https://github.com/citation-style-language/schema/raw/master/csl-citation.json"}</w:instrText>
      </w:r>
      <w:r w:rsidR="00EA7D0A">
        <w:rPr>
          <w:rFonts w:ascii="Times New Roman" w:hAnsi="Times New Roman"/>
          <w:color w:val="000000" w:themeColor="text1"/>
          <w:lang w:eastAsia="ar-SA"/>
        </w:rPr>
        <w:fldChar w:fldCharType="separate"/>
      </w:r>
      <w:r w:rsidR="00EA7D0A" w:rsidRPr="00EA7D0A">
        <w:rPr>
          <w:rFonts w:ascii="Times New Roman" w:hAnsi="Times New Roman"/>
          <w:noProof/>
          <w:color w:val="000000" w:themeColor="text1"/>
          <w:lang w:eastAsia="ar-SA"/>
        </w:rPr>
        <w:t>(Cheng &amp; Ferrell, 2019)</w:t>
      </w:r>
      <w:r w:rsidR="00EA7D0A">
        <w:rPr>
          <w:rFonts w:ascii="Times New Roman" w:hAnsi="Times New Roman"/>
          <w:color w:val="000000" w:themeColor="text1"/>
          <w:lang w:eastAsia="ar-SA"/>
        </w:rPr>
        <w:fldChar w:fldCharType="end"/>
      </w:r>
      <w:r w:rsidR="00AC4428">
        <w:rPr>
          <w:rFonts w:ascii="Times New Roman" w:hAnsi="Times New Roman"/>
          <w:color w:val="000000" w:themeColor="text1"/>
          <w:lang w:eastAsia="ar-SA"/>
        </w:rPr>
        <w:t xml:space="preserve">, the development of a system for transporting protein cargoes into protocells </w:t>
      </w:r>
      <w:r w:rsidR="00DA21BF">
        <w:rPr>
          <w:rFonts w:ascii="Times New Roman" w:hAnsi="Times New Roman"/>
          <w:color w:val="000000" w:themeColor="text1"/>
          <w:lang w:eastAsia="ar-SA"/>
        </w:rPr>
        <w:fldChar w:fldCharType="begin" w:fldLock="1"/>
      </w:r>
      <w:r w:rsidR="00DA21BF">
        <w:rPr>
          <w:rFonts w:ascii="Times New Roman" w:hAnsi="Times New Roman"/>
          <w:color w:val="000000" w:themeColor="text1"/>
          <w:lang w:eastAsia="ar-SA"/>
        </w:rPr>
        <w:instrText>ADDIN CSL_CITATION {"citationItems":[{"id":"ITEM-1","itemData":{"DOI":"10.1038/s41467-020-20124-0","ISSN":"20411723","PMID":"33293610","abstract":"The cell cytosol is crowded with high concentrations of many different biomacromolecules, which is difficult to mimic in bottom-up synthetic cell research and limits the functionality of existing protocellular platforms. There is thus a clear need for a general, biocompatible, and accessible tool to more accurately emulate this environment. Herein, we describe the development of a discrete, membrane-bound coacervate-based protocellular platform that utilizes the well-known binding motif between Ni2+-nitrilotriacetic acid and His-tagged proteins to exercise a high level of control over the loading of biologically relevant macromolecules. This platform can accrete proteins in a controlled, efficient, and benign manner, culminating in the enhancement of an encapsulated two-enzyme cascade and protease-mediated cargo secretion, highlighting the potency of this methodology. This versatile approach for programmed spatial organization of biologically relevant proteins expands the protocellular toolbox, and paves the way for the development of the next generation of complex yet well-regulated synthetic cells.","author":[{"dropping-particle":"","family":"Altenburg","given":"Wiggert J","non-dropping-particle":"","parse-names":false,"suffix":""},{"dropping-particle":"","family":"Yewdall","given":"N Amy","non-dropping-particle":"","parse-names":false,"suffix":""},{"dropping-particle":"","family":"Vervoort","given":"Daan F M","non-dropping-particle":"","parse-names":false,"suffix":""},{"dropping-particle":"","family":"Stevendaal","given":"Marleen H M E","non-dropping-particle":"van","parse-names":false,"suffix":""},{"dropping-particle":"","family":"Mason","given":"Alexander F","non-dropping-particle":"","parse-names":false,"suffix":""},{"dropping-particle":"","family":"Hest","given":"Jan C M","non-dropping-particle":"van","parse-names":false,"suffix":""}],"container-title":"Nature Communications","id":"ITEM-1","issue":"1","issued":{"date-parts":[["2020","12"]]},"page":"1-10","publisher":"Nature Research","title":"Programmed spatial organization of biomacromolecules into discrete, coacervate-based protocells","type":"article-journal","volume":"11"},"uris":["http://www.mendeley.com/documents/?uuid=8731485d-01cf-4cd5-ac7b-59d71ff27808"]}],"mendeley":{"formattedCitation":"(Altenburg et al., 2020)","plainTextFormattedCitation":"(Altenburg et al., 2020)","previouslyFormattedCitation":"(Altenburg et al., 2020)"},"properties":{"noteIndex":0},"schema":"https://github.com/citation-style-language/schema/raw/master/csl-citation.json"}</w:instrText>
      </w:r>
      <w:r w:rsidR="00DA21BF">
        <w:rPr>
          <w:rFonts w:ascii="Times New Roman" w:hAnsi="Times New Roman"/>
          <w:color w:val="000000" w:themeColor="text1"/>
          <w:lang w:eastAsia="ar-SA"/>
        </w:rPr>
        <w:fldChar w:fldCharType="separate"/>
      </w:r>
      <w:r w:rsidR="00DA21BF" w:rsidRPr="00DA21BF">
        <w:rPr>
          <w:rFonts w:ascii="Times New Roman" w:hAnsi="Times New Roman"/>
          <w:noProof/>
          <w:color w:val="000000" w:themeColor="text1"/>
          <w:lang w:eastAsia="ar-SA"/>
        </w:rPr>
        <w:t>(Altenburg et al., 2020)</w:t>
      </w:r>
      <w:r w:rsidR="00DA21BF">
        <w:rPr>
          <w:rFonts w:ascii="Times New Roman" w:hAnsi="Times New Roman"/>
          <w:color w:val="000000" w:themeColor="text1"/>
          <w:lang w:eastAsia="ar-SA"/>
        </w:rPr>
        <w:fldChar w:fldCharType="end"/>
      </w:r>
      <w:r w:rsidR="00AC4428">
        <w:rPr>
          <w:rFonts w:ascii="Times New Roman" w:hAnsi="Times New Roman"/>
          <w:color w:val="000000" w:themeColor="text1"/>
          <w:lang w:eastAsia="ar-SA"/>
        </w:rPr>
        <w:t xml:space="preserve">, and </w:t>
      </w:r>
      <w:r w:rsidR="00AC4428" w:rsidRPr="004E3854">
        <w:rPr>
          <w:rFonts w:ascii="Times New Roman" w:hAnsi="Times New Roman"/>
          <w:color w:val="000000" w:themeColor="text1"/>
          <w:lang w:eastAsia="ar-SA"/>
        </w:rPr>
        <w:t>a scalable pipeline for creating functional novel lifeforms</w:t>
      </w:r>
      <w:r w:rsidR="00AC4428">
        <w:rPr>
          <w:rFonts w:ascii="Times New Roman" w:hAnsi="Times New Roman"/>
          <w:color w:val="000000" w:themeColor="text1"/>
          <w:lang w:eastAsia="ar-SA"/>
        </w:rPr>
        <w:t xml:space="preserve"> </w:t>
      </w:r>
      <w:r w:rsidR="00DA21BF">
        <w:rPr>
          <w:rFonts w:ascii="Times New Roman" w:hAnsi="Times New Roman"/>
          <w:color w:val="000000" w:themeColor="text1"/>
          <w:lang w:eastAsia="ar-SA"/>
        </w:rPr>
        <w:fldChar w:fldCharType="begin" w:fldLock="1"/>
      </w:r>
      <w:r w:rsidR="00A96CF5">
        <w:rPr>
          <w:rFonts w:ascii="Times New Roman" w:hAnsi="Times New Roman"/>
          <w:color w:val="000000" w:themeColor="text1"/>
          <w:lang w:eastAsia="ar-SA"/>
        </w:rPr>
        <w:instrText>ADDIN CSL_CITATION {"citationItems":[{"id":"ITEM-1","itemData":{"DOI":"10.1073/pnas.1910837117","ISSN":"0027-8424","abstract":"Living systems are more robust, diverse, complex, and supportive of human life than any technology yet created. However, our ability to create novel lifeforms is currently limited to varying existing organisms or bioengineering organoids in vitro. Here we show a scalable pipeline for creating functional novel lifeforms: AI methods automatically design diverse candidate lifeforms in silico to perform some desired function, and transferable designs are then created using a cell-based construction toolkit to realize living systems with the predicted behaviors. Although some steps in this pipeline still require manual intervention, complete automation in future would pave the way to designing and deploying unique, bespoke living systems for a wide range of functions.","author":[{"dropping-particle":"","family":"Kriegman","given":"Sam","non-dropping-particle":"","parse-names":false,"suffix":""},{"dropping-particle":"","family":"Blackiston","given":"Douglas","non-dropping-particle":"","parse-names":false,"suffix":""},{"dropping-particle":"","family":"Levin","given":"Michael","non-dropping-particle":"","parse-names":false,"suffix":""},{"dropping-particle":"","family":"Bongard","given":"Josh","non-dropping-particle":"","parse-names":false,"suffix":""}],"container-title":"Proceedings of the National Academy of Sciences","id":"ITEM-1","issued":{"date-parts":[["2020","1","13"]]},"page":"201910837","title":"A scalable pipeline for designing reconfigurable organisms","type":"article-journal"},"uris":["http://www.mendeley.com/documents/?uuid=0e753c38-be77-47f7-8c0d-a5980f668e57"]}],"mendeley":{"formattedCitation":"(Kriegman et al., 2020)","plainTextFormattedCitation":"(Kriegman et al., 2020)","previouslyFormattedCitation":"(Kriegman et al., 2020)"},"properties":{"noteIndex":0},"schema":"https://github.com/citation-style-language/schema/raw/master/csl-citation.json"}</w:instrText>
      </w:r>
      <w:r w:rsidR="00DA21BF">
        <w:rPr>
          <w:rFonts w:ascii="Times New Roman" w:hAnsi="Times New Roman"/>
          <w:color w:val="000000" w:themeColor="text1"/>
          <w:lang w:eastAsia="ar-SA"/>
        </w:rPr>
        <w:fldChar w:fldCharType="separate"/>
      </w:r>
      <w:r w:rsidR="00DA21BF" w:rsidRPr="00DA21BF">
        <w:rPr>
          <w:rFonts w:ascii="Times New Roman" w:hAnsi="Times New Roman"/>
          <w:noProof/>
          <w:color w:val="000000" w:themeColor="text1"/>
          <w:lang w:eastAsia="ar-SA"/>
        </w:rPr>
        <w:t>(Kriegman et al., 2020)</w:t>
      </w:r>
      <w:r w:rsidR="00DA21BF">
        <w:rPr>
          <w:rFonts w:ascii="Times New Roman" w:hAnsi="Times New Roman"/>
          <w:color w:val="000000" w:themeColor="text1"/>
          <w:lang w:eastAsia="ar-SA"/>
        </w:rPr>
        <w:fldChar w:fldCharType="end"/>
      </w:r>
      <w:r w:rsidR="00AC4428">
        <w:rPr>
          <w:rFonts w:ascii="Times New Roman" w:hAnsi="Times New Roman"/>
          <w:color w:val="000000" w:themeColor="text1"/>
          <w:lang w:eastAsia="ar-SA"/>
        </w:rPr>
        <w:t>.</w:t>
      </w:r>
    </w:p>
    <w:p w14:paraId="6575E329" w14:textId="49504480" w:rsidR="00D317B2" w:rsidRDefault="382E8180" w:rsidP="1386BD8E">
      <w:pPr>
        <w:spacing w:before="120" w:after="120" w:line="240" w:lineRule="auto"/>
        <w:jc w:val="both"/>
      </w:pPr>
      <w:r w:rsidRPr="1386BD8E">
        <w:rPr>
          <w:rFonts w:ascii="Times New Roman" w:hAnsi="Times New Roman"/>
          <w:color w:val="000000" w:themeColor="text1"/>
          <w:lang w:eastAsia="ar-SA"/>
        </w:rPr>
        <w:t>The Build-a-Cell Research Collaboration Network</w:t>
      </w:r>
      <w:r w:rsidR="0056359E">
        <w:rPr>
          <w:rStyle w:val="FootnoteReference"/>
          <w:rFonts w:ascii="Times New Roman" w:hAnsi="Times New Roman"/>
          <w:color w:val="000000" w:themeColor="text1"/>
          <w:lang w:eastAsia="ar-SA"/>
        </w:rPr>
        <w:footnoteReference w:id="12"/>
      </w:r>
      <w:r w:rsidRPr="1386BD8E">
        <w:rPr>
          <w:rFonts w:ascii="Times New Roman" w:hAnsi="Times New Roman"/>
          <w:color w:val="000000" w:themeColor="text1"/>
          <w:lang w:eastAsia="ar-SA"/>
        </w:rPr>
        <w:t xml:space="preserve">  is facilitating studies on understanding and engineering a diverse range of synthetic cells. The Build-a-Cell network is integrating existing knowledge to engineer various aspects of biological systems, with the </w:t>
      </w:r>
      <w:r w:rsidR="00B84294" w:rsidRPr="1386BD8E">
        <w:rPr>
          <w:rFonts w:ascii="Times New Roman" w:hAnsi="Times New Roman"/>
          <w:color w:val="000000" w:themeColor="text1"/>
          <w:lang w:eastAsia="ar-SA"/>
        </w:rPr>
        <w:t>goal</w:t>
      </w:r>
      <w:r w:rsidRPr="1386BD8E">
        <w:rPr>
          <w:rFonts w:ascii="Times New Roman" w:hAnsi="Times New Roman"/>
          <w:color w:val="000000" w:themeColor="text1"/>
          <w:lang w:eastAsia="ar-SA"/>
        </w:rPr>
        <w:t xml:space="preserve"> of facilitating the construction of living cell from non-living components. This network provides a formalised structure for collaboration between individual labs, bridging geographical and disciplinary divides.</w:t>
      </w:r>
    </w:p>
    <w:p w14:paraId="58CBDEB5" w14:textId="1F810138" w:rsidR="00A268DA" w:rsidRPr="007E4D32" w:rsidRDefault="00496F75" w:rsidP="008805B8">
      <w:pPr>
        <w:pStyle w:val="Heading3"/>
      </w:pPr>
      <w:bookmarkStart w:id="54" w:name="_Toc70112674"/>
      <w:bookmarkStart w:id="55" w:name="_Toc70685696"/>
      <w:r>
        <w:rPr>
          <w:lang w:val="en-US"/>
        </w:rPr>
        <w:t>2</w:t>
      </w:r>
      <w:r w:rsidR="0004732F">
        <w:t>.</w:t>
      </w:r>
      <w:r w:rsidR="00C90F43">
        <w:rPr>
          <w:lang w:val="en-US"/>
        </w:rPr>
        <w:t>6</w:t>
      </w:r>
      <w:r w:rsidR="0004732F">
        <w:t xml:space="preserve">. </w:t>
      </w:r>
      <w:r w:rsidR="00A268DA" w:rsidRPr="00A268DA">
        <w:t>Xenobiology</w:t>
      </w:r>
      <w:r w:rsidR="007E4D32">
        <w:rPr>
          <w:lang w:val="en-US"/>
        </w:rPr>
        <w:t>.</w:t>
      </w:r>
      <w:bookmarkEnd w:id="54"/>
      <w:bookmarkEnd w:id="55"/>
    </w:p>
    <w:p w14:paraId="57CF4EC2" w14:textId="432CE206" w:rsidR="00A268DA" w:rsidRPr="00637B90" w:rsidRDefault="00A268DA" w:rsidP="06DD7B6A">
      <w:pPr>
        <w:spacing w:before="120" w:after="120" w:line="240" w:lineRule="auto"/>
        <w:jc w:val="both"/>
        <w:rPr>
          <w:rFonts w:ascii="Times New Roman" w:hAnsi="Times New Roman"/>
          <w:color w:val="000000" w:themeColor="text1"/>
          <w:lang w:val="pt-PT" w:eastAsia="ar-SA"/>
        </w:rPr>
      </w:pPr>
      <w:r w:rsidRPr="487919B7">
        <w:rPr>
          <w:rFonts w:ascii="Times New Roman" w:hAnsi="Times New Roman"/>
          <w:color w:val="000000"/>
          <w:kern w:val="1"/>
          <w:lang w:eastAsia="ar-SA"/>
        </w:rPr>
        <w:t>Xenobiology is the study of unusual life forms, based on biochemistry</w:t>
      </w:r>
      <w:r w:rsidR="3D38D7B0" w:rsidRPr="06DD7B6A">
        <w:rPr>
          <w:rFonts w:ascii="Times New Roman" w:hAnsi="Times New Roman"/>
          <w:color w:val="000000" w:themeColor="text1"/>
          <w:lang w:eastAsia="ar-SA"/>
        </w:rPr>
        <w:t>,</w:t>
      </w:r>
      <w:r w:rsidRPr="487919B7">
        <w:rPr>
          <w:rFonts w:ascii="Times New Roman" w:hAnsi="Times New Roman"/>
          <w:color w:val="000000"/>
          <w:kern w:val="1"/>
          <w:lang w:eastAsia="ar-SA"/>
        </w:rPr>
        <w:t xml:space="preserve"> that </w:t>
      </w:r>
      <w:r w:rsidR="3D38D7B0" w:rsidRPr="69BA3794">
        <w:rPr>
          <w:rFonts w:ascii="Times New Roman" w:hAnsi="Times New Roman"/>
          <w:color w:val="000000" w:themeColor="text1"/>
          <w:lang w:eastAsia="ar-SA"/>
        </w:rPr>
        <w:t>are</w:t>
      </w:r>
      <w:r w:rsidRPr="487919B7">
        <w:rPr>
          <w:rFonts w:ascii="Times New Roman" w:hAnsi="Times New Roman"/>
          <w:color w:val="000000"/>
          <w:kern w:val="1"/>
          <w:lang w:eastAsia="ar-SA"/>
        </w:rPr>
        <w:t xml:space="preserve"> not found in nature </w:t>
      </w:r>
      <w:r w:rsidR="004D4359">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author":[{"dropping-particle":"","family":"Pauwels","given":"Katia","non-dropping-particle":"","parse-names":false,"suffix":""},{"dropping-particle":"","family":"Willemarck","given":"Nicolas","non-dropping-particle":"","parse-names":false,"suffix":""},{"dropping-particle":"","family":"Breyer","given":"Didier","non-dropping-particle":"","parse-names":false,"suffix":""},{"dropping-particle":"","family":"Herman","given":"Philippe","non-dropping-particle":"","parse-names":false,"suffix":""}],"id":"ITEM-1","issued":{"date-parts":[["2012"]]},"title":"Synthetic Biology: Latest developments, biosafety considerations and regulatory challenges","type":"report"},"uris":["http://www.mendeley.com/documents/?uuid=f7f1e64f-7749-407a-acc6-7cca13a4bf24"]}],"mendeley":{"formattedCitation":"(Pauwels et al., 2012)","manualFormatting":"(Pauwels et al., 2012;","plainTextFormattedCitation":"(Pauwels et al., 2012)","previouslyFormattedCitation":"(Pauwels et al., 2012)"},"properties":{"noteIndex":0},"schema":"https://github.com/citation-style-language/schema/raw/master/csl-citation.json"}</w:instrText>
      </w:r>
      <w:r w:rsidR="004D4359">
        <w:rPr>
          <w:rFonts w:ascii="Times New Roman" w:hAnsi="Times New Roman"/>
          <w:color w:val="000000"/>
          <w:kern w:val="1"/>
          <w:lang w:eastAsia="ar-SA"/>
        </w:rPr>
        <w:fldChar w:fldCharType="separate"/>
      </w:r>
      <w:r w:rsidR="004D4359" w:rsidRPr="004D4359">
        <w:rPr>
          <w:rFonts w:ascii="Times New Roman" w:hAnsi="Times New Roman"/>
          <w:noProof/>
          <w:color w:val="000000"/>
          <w:kern w:val="1"/>
          <w:lang w:eastAsia="ar-SA"/>
        </w:rPr>
        <w:t>(Pauwels et al., 2012</w:t>
      </w:r>
      <w:r w:rsidR="00D20DC9">
        <w:rPr>
          <w:rFonts w:ascii="Times New Roman" w:hAnsi="Times New Roman"/>
          <w:noProof/>
          <w:color w:val="000000"/>
          <w:kern w:val="1"/>
          <w:lang w:eastAsia="ar-SA"/>
        </w:rPr>
        <w:t>;</w:t>
      </w:r>
      <w:r w:rsidR="004D4359">
        <w:rPr>
          <w:rFonts w:ascii="Times New Roman" w:hAnsi="Times New Roman"/>
          <w:color w:val="000000"/>
          <w:kern w:val="1"/>
          <w:lang w:eastAsia="ar-SA"/>
        </w:rPr>
        <w:fldChar w:fldCharType="end"/>
      </w:r>
      <w:r w:rsidR="004D4359">
        <w:rPr>
          <w:rFonts w:ascii="Times New Roman" w:hAnsi="Times New Roman"/>
          <w:color w:val="000000"/>
          <w:kern w:val="1"/>
          <w:lang w:eastAsia="ar-SA"/>
        </w:rPr>
        <w:t xml:space="preserve"> </w:t>
      </w:r>
      <w:r w:rsidRPr="00121D97">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{"citationItems":[{"id":"ITEM-1","itemData":{"DOI":"10.1002/cbic.202000141","ISSN":"1439-4227","abstract":"Xenobiology is the science of estranged life forms. More specifically, this is an emergent technoscience that combines advances in genetic engineering with the design of biological systems based on unusual biochemistries delivered by chemical compounds of mostly anthropogenic origin. Xenobiology enables us to create and study strange new life forms, “aliens”, not in the way science fiction books do it, but in terms of enlightened science, design, and engineering.","author":[{"dropping-particle":"","family":"Budisa","given":"Nediljko","non-dropping-particle":"","parse-names":false,"suffix":""},{"dropping-particle":"","family":"Kubyshkin","given":"Vladimir","non-dropping-particle":"","parse-names":false,"suffix":""},{"dropping-particle":"","family":"Schmidt","given":"Markus","non-dropping-particle":"","parse-names":false,"suffix":""}],"container-title":"ChemBioChem","id":"ITEM-1","issue":"16","issued":{"date-parts":[["2020","8"]]},"page":"2228-2231","publisher":"Wiley-VCH Verlag","title":"Xenobiology: A Journey towards Parallel Life Forms","type":"article-journal","volume":"21"},"uris":["http://www.mendeley.com/documents/?uuid=4364efc2-8c54-4642-841e-7114ebda6275"]}],"mendeley":{"formattedCitation":"(Budisa et al., 2020)","manualFormatting":"Budisa et al., 2020)","plainTextFormattedCitation":"(Budisa et al., 2020)","previouslyFormattedCitation":"(Budisa et al., 2020)"},"properties":{"noteIndex":0},"schema":"https://github.com/citation-style-language/schema/raw/master/csl-citation.json"}</w:instrText>
      </w:r>
      <w:r w:rsidRPr="00121D97">
        <w:rPr>
          <w:rFonts w:ascii="Times New Roman" w:hAnsi="Times New Roman"/>
          <w:color w:val="000000"/>
          <w:kern w:val="1"/>
          <w:lang w:eastAsia="ar-SA"/>
        </w:rPr>
        <w:fldChar w:fldCharType="separate"/>
      </w:r>
      <w:r w:rsidR="00D74204" w:rsidRPr="00D74204">
        <w:rPr>
          <w:rFonts w:ascii="Times New Roman" w:hAnsi="Times New Roman"/>
          <w:noProof/>
          <w:color w:val="000000"/>
          <w:kern w:val="1"/>
          <w:lang w:eastAsia="ar-SA"/>
        </w:rPr>
        <w:t>Budisa et al., 2020)</w:t>
      </w:r>
      <w:r w:rsidRPr="00121D97">
        <w:rPr>
          <w:rFonts w:ascii="Times New Roman" w:hAnsi="Times New Roman"/>
          <w:color w:val="000000" w:themeColor="text1"/>
          <w:lang w:eastAsia="ar-SA"/>
        </w:rPr>
        <w:fldChar w:fldCharType="end"/>
      </w:r>
      <w:r w:rsidR="02DADC1B" w:rsidRPr="487919B7">
        <w:rPr>
          <w:rFonts w:ascii="Times New Roman" w:hAnsi="Times New Roman"/>
          <w:color w:val="000000"/>
          <w:kern w:val="1"/>
          <w:lang w:eastAsia="ar-SA"/>
        </w:rPr>
        <w:t>.</w:t>
      </w:r>
      <w:r w:rsidR="512067B7" w:rsidRPr="06DD7B6A">
        <w:rPr>
          <w:rFonts w:ascii="Times New Roman" w:hAnsi="Times New Roman"/>
          <w:color w:val="000000" w:themeColor="text1"/>
          <w:lang w:eastAsia="ar-SA"/>
        </w:rPr>
        <w:t xml:space="preserve"> </w:t>
      </w:r>
      <w:r w:rsidRPr="00A268DA">
        <w:rPr>
          <w:rFonts w:ascii="Times New Roman" w:hAnsi="Times New Roman"/>
          <w:color w:val="000000"/>
          <w:kern w:val="1"/>
          <w:lang w:eastAsia="ar-SA"/>
        </w:rPr>
        <w:t xml:space="preserve">Xenobiology aims to alter the “biochemical building blocks of life,” such as by modifying genetic information to produce xeno-nucleic acids (XNA) or by producing novel proteins </w:t>
      </w:r>
      <w:r w:rsidR="00AF69FA">
        <w:rPr>
          <w:rFonts w:ascii="Times New Roman" w:hAnsi="Times New Roman"/>
          <w:color w:val="000000"/>
          <w:kern w:val="1"/>
          <w:lang w:eastAsia="ar-SA"/>
        </w:rPr>
        <w:t>containing unnatural amino acids</w:t>
      </w:r>
      <w:r w:rsidRPr="00A268DA">
        <w:rPr>
          <w:rFonts w:ascii="Times New Roman" w:hAnsi="Times New Roman"/>
          <w:color w:val="000000"/>
          <w:kern w:val="1"/>
          <w:lang w:eastAsia="ar-SA"/>
        </w:rPr>
        <w:t xml:space="preserve"> </w:t>
      </w:r>
      <w:r w:rsidR="005F7ECE">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{"citationItems":[{"id":"ITEM-1","itemData":{"DOI":"10.1126/science.1221724","ISSN":"0036-8075","author":[{"dropping-particle":"","family":"Joyce","given":"G. F.","non-dropping-particle":"","parse-names":false,"suffix":""}],"container-title":"Science","id":"ITEM-1","issue":"6079","issued":{"date-parts":[["2012","4","20"]]},"page":"307-308","title":"Toward an Alternative Biology","type":"article-journal","volume":"336"},"uris":["http://www.mendeley.com/documents/?uuid=cd0b0d05-9ea7-41af-9371-138d06e16e0e"]},{"id":"ITEM-2","itemData":{"DOI":"10.1007/978-90-481-2678-1_6","author":[{"dropping-particle":"","family":"Schmidt","given":"Markus","non-dropping-particle":"","parse-names":false,"suffix":""}],"container-title":"Synthetic Biology","id":"ITEM-2","issued":{"date-parts":[["2009"]]},"page":"81-100","publisher":"Springer Netherlands","publisher-place":"Dordrecht","title":"Do I Understand What I Can Create?","type":"chapter"},"uris":["http://www.mendeley.com/documents/?uuid=847092bd-64c9-48cb-a9d0-0d40c00b2af7"]}],"mendeley":{"formattedCitation":"(Joyce, 2012; Schmidt, 2009)","plainTextFormattedCitation":"(Joyce, 2012; Schmidt, 2009)","previouslyFormattedCitation":"(Joyce, 2012; Schmidt, 2009)"},"properties":{"noteIndex":0},"schema":"https://github.com/citation-style-language/schema/raw/master/csl-citation.json"}</w:instrText>
      </w:r>
      <w:r w:rsidR="005F7ECE">
        <w:rPr>
          <w:rFonts w:ascii="Times New Roman" w:hAnsi="Times New Roman"/>
          <w:color w:val="000000"/>
          <w:kern w:val="1"/>
          <w:lang w:eastAsia="ar-SA"/>
        </w:rPr>
        <w:fldChar w:fldCharType="separate"/>
      </w:r>
      <w:r w:rsidR="005F7ECE" w:rsidRPr="005F7ECE">
        <w:rPr>
          <w:rFonts w:ascii="Times New Roman" w:hAnsi="Times New Roman"/>
          <w:noProof/>
          <w:color w:val="000000"/>
          <w:kern w:val="1"/>
          <w:lang w:eastAsia="ar-SA"/>
        </w:rPr>
        <w:t>(Joyce, 2012; Schmidt, 2009)</w:t>
      </w:r>
      <w:r w:rsidR="005F7ECE">
        <w:rPr>
          <w:rFonts w:ascii="Times New Roman" w:hAnsi="Times New Roman"/>
          <w:color w:val="000000"/>
          <w:kern w:val="1"/>
          <w:lang w:eastAsia="ar-SA"/>
        </w:rPr>
        <w:fldChar w:fldCharType="end"/>
      </w:r>
      <w:r w:rsidRPr="00A268DA">
        <w:rPr>
          <w:rFonts w:ascii="Times New Roman" w:hAnsi="Times New Roman"/>
          <w:color w:val="000000"/>
          <w:kern w:val="1"/>
          <w:lang w:eastAsia="ar-SA"/>
        </w:rPr>
        <w:t xml:space="preserve">. </w:t>
      </w:r>
      <w:r w:rsidRPr="487919B7">
        <w:rPr>
          <w:rFonts w:ascii="Times New Roman" w:hAnsi="Times New Roman"/>
          <w:color w:val="000000"/>
          <w:kern w:val="1"/>
          <w:lang w:eastAsia="ar-SA"/>
        </w:rPr>
        <w:t xml:space="preserve">One approach to producing XNA is to modify the </w:t>
      </w:r>
      <w:r w:rsidRPr="00A268DA">
        <w:rPr>
          <w:rFonts w:ascii="Times New Roman" w:hAnsi="Times New Roman"/>
          <w:color w:val="000000"/>
          <w:kern w:val="1"/>
          <w:lang w:eastAsia="ar-SA"/>
        </w:rPr>
        <w:t xml:space="preserve">nucleotide bases of DNA beyond A, G, C, and T, incorporating alternative synthetic nucleotides into DNA </w:t>
      </w:r>
      <w:r w:rsidR="00305DD4">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{"citationItems":[{"id":"ITEM-1","itemData":{"DOI":"10.1016/j.cbpa.2012.05.198","ISSN":"13675931","author":[{"dropping-particle":"","family":"Pinheiro","given":"Vitor B","non-dropping-particle":"","parse-names":false,"suffix":""},{"dropping-particle":"","family":"Holliger","given":"Philipp","non-dropping-particle":"","parse-names":false,"suffix":""}],"container-title":"Current Opinion in Chemical Biology","id":"ITEM-1","issue":"3-4","issued":{"date-parts":[["2012","8"]]},"page":"245-252","title":"The XNA world: progress towards replication and evolution of synthetic genetic polymers","type":"article-journal","volume":"16"},"uris":["http://www.mendeley.com/documents/?uuid=8da8b96f-84b6-4333-86c5-4699db1f4f6f"]},{"id":"ITEM-2","itemData":{"DOI":"10.1126/science.1221724","ISSN":"0036-8075","author":[{"dropping-particle":"","family":"Joyce","given":"G. F.","non-dropping-particle":"","parse-names":false,"suffix":""}],"container-title":"Science","id":"ITEM-2","issue":"6079","issued":{"date-parts":[["2012","4","20"]]},"page":"307-308","title":"Toward an Alternative Biology","type":"article-journal","volume":"336"},"uris":["http://www.mendeley.com/documents/?uuid=cd0b0d05-9ea7-41af-9371-138d06e16e0e"]}],"mendeley":{"formattedCitation":"(Joyce, 2012; Vitor B Pinheiro &amp; Holliger, 2012)","manualFormatting":"(Joyce, 2012; Vitor B Pinheiro &amp; Holliger, 2012; ","plainTextFormattedCitation":"(Joyce, 2012; Vitor B Pinheiro &amp; Holliger, 2012)","previouslyFormattedCitation":"(Joyce, 2012; Vitor B Pinheiro &amp; Holliger, 2012)"},"properties":{"noteIndex":0},"schema":"https://github.com/citation-style-language/schema/raw/master/csl-citation.json"}</w:instrText>
      </w:r>
      <w:r w:rsidR="00305DD4">
        <w:rPr>
          <w:rFonts w:ascii="Times New Roman" w:hAnsi="Times New Roman"/>
          <w:color w:val="000000"/>
          <w:kern w:val="1"/>
          <w:lang w:eastAsia="ar-SA"/>
        </w:rPr>
        <w:fldChar w:fldCharType="separate"/>
      </w:r>
      <w:r w:rsidR="003B4A00" w:rsidRPr="00DF7C9C">
        <w:rPr>
          <w:rFonts w:ascii="Times New Roman" w:hAnsi="Times New Roman"/>
          <w:noProof/>
          <w:color w:val="000000"/>
          <w:kern w:val="1"/>
          <w:lang w:val="pt-PT" w:eastAsia="ar-SA"/>
        </w:rPr>
        <w:t>(Joyce, 2012; Vitor B Pinheiro &amp; Holliger, 2012</w:t>
      </w:r>
      <w:r w:rsidR="00637B90">
        <w:rPr>
          <w:rFonts w:ascii="Times New Roman" w:hAnsi="Times New Roman"/>
          <w:noProof/>
          <w:color w:val="000000"/>
          <w:kern w:val="1"/>
          <w:lang w:val="pt-PT" w:eastAsia="ar-SA"/>
        </w:rPr>
        <w:t xml:space="preserve">; </w:t>
      </w:r>
      <w:r w:rsidR="00305DD4">
        <w:rPr>
          <w:rFonts w:ascii="Times New Roman" w:hAnsi="Times New Roman"/>
          <w:color w:val="000000"/>
          <w:kern w:val="1"/>
          <w:lang w:eastAsia="ar-SA"/>
        </w:rPr>
        <w:fldChar w:fldCharType="end"/>
      </w:r>
      <w:r w:rsidRPr="00121D97">
        <w:rPr>
          <w:rFonts w:ascii="Times New Roman" w:hAnsi="Times New Roman"/>
          <w:color w:val="000000"/>
          <w:kern w:val="1"/>
          <w:lang w:eastAsia="ar-SA"/>
        </w:rPr>
        <w:fldChar w:fldCharType="begin" w:fldLock="1"/>
      </w:r>
      <w:r w:rsidR="008F6A90">
        <w:rPr>
          <w:rFonts w:ascii="Times New Roman" w:hAnsi="Times New Roman"/>
          <w:color w:val="000000"/>
          <w:kern w:val="1"/>
          <w:lang w:val="pt-PT" w:eastAsia="ar-SA"/>
        </w:rPr>
        <w:instrText>ADDIN CSL_CITATION {"citationItems":[{"id":"ITEM-1","itemData":{"DOI":"10.1111/1751-7915.12398","ISSN":"17517915","PMID":"27489097","abstract":"Biology is an analytical and informational science that is becoming increasingly dependent on chemical synthesis. One example is the high-throughput and low-cost synthesis of DNA, which is a foundation for the research field of synthetic biology (SB). The aim of SB is to provide biotechnological solutions to health, energy and environmental issues as well as unsustainable manufacturing processes in the frame of naturally existing chemical building blocks. Xenobiology (XB) goes a step further by implementing non-natural building blocks in living cells. In this context, genetic code engineering respectively enables the re-design of genes/genomes and proteins/proteomes with non-canonical nucleic (XNAs) and amino (ncAAs) acids. Besides studying information flow and evolutionary innovation in living systems, XB allows the development of new-to-nature therapeutic proteins/peptides, new biocatalysts for potential applications in synthetic organic chemistry and biocontainment strategies for enhanced biosafety. In this perspective, we provide a brief history and evolution of the genetic code in the context of XB. We then discuss the latest efforts and challenges ahead for engineering the genetic code with focus on substitutions and additions of ncAAs as well as standard amino acid reductions. Finally, we present a roadmap for the directed evolution of artificial microbes for emancipating rare sense codons that could be used to introduce novel building blocks. The development of such xenomicroorganisms endowed with a ‘genetic firewall’ will also allow to study and understand the relation between code evolution and horizontal gene transfer.","author":[{"dropping-particle":"","family":"Acevedo-Rocha","given":"Carlos G.","non-dropping-particle":"","parse-names":false,"suffix":""},{"dropping-particle":"","family":"Budisa","given":"Nediljko","non-dropping-particle":"","parse-names":false,"suffix":""}],"container-title":"Microbial Biotechnology","id":"ITEM-1","issue":"5","issued":{"date-parts":[["2016","9"]]},"page":"666-676","publisher":"John Wiley and Sons Ltd","title":"Xenomicrobiology: a roadmap for genetic code engineering","type":"article-journal","volume":"9"},"uris":["http://www.mendeley.com/documents/?uuid=8e5167b4-b6ec-435a-a5c2-d085cb9b5459"]}],"mendeley":{"formattedCitation":"(Acevedo-Rocha &amp; Budisa, 2016)","manualFormatting":"Acevedo-Rocha &amp; Budisa, 2016)","plainTextFormattedCitation":"(Acevedo-Rocha &amp; Budisa, 2016)","previouslyFormattedCitation":"(Acevedo-Rocha &amp; Budisa, 2016)"},"properties":{"noteIndex":0},"schema":"https://github.com/citation-style-language/schema/raw/master/csl-citation.json"}</w:instrText>
      </w:r>
      <w:r w:rsidRPr="00121D97">
        <w:rPr>
          <w:rFonts w:ascii="Times New Roman" w:hAnsi="Times New Roman"/>
          <w:color w:val="000000"/>
          <w:kern w:val="1"/>
          <w:lang w:eastAsia="ar-SA"/>
        </w:rPr>
        <w:fldChar w:fldCharType="separate"/>
      </w:r>
      <w:r w:rsidR="007E74E5" w:rsidRPr="00637B90">
        <w:rPr>
          <w:rFonts w:ascii="Times New Roman" w:hAnsi="Times New Roman"/>
          <w:noProof/>
          <w:color w:val="000000"/>
          <w:kern w:val="1"/>
          <w:lang w:val="pt-PT" w:eastAsia="ar-SA"/>
        </w:rPr>
        <w:t>Acevedo-Rocha &amp; Budisa, 2016)</w:t>
      </w:r>
      <w:r w:rsidRPr="00121D97">
        <w:rPr>
          <w:rFonts w:ascii="Times New Roman" w:hAnsi="Times New Roman"/>
          <w:color w:val="000000" w:themeColor="text1"/>
          <w:lang w:eastAsia="ar-SA"/>
        </w:rPr>
        <w:fldChar w:fldCharType="end"/>
      </w:r>
      <w:r w:rsidR="02DADC1B" w:rsidRPr="00637B90">
        <w:rPr>
          <w:rFonts w:ascii="Times New Roman" w:hAnsi="Times New Roman"/>
          <w:color w:val="000000"/>
          <w:kern w:val="1"/>
          <w:lang w:val="pt-PT" w:eastAsia="ar-SA"/>
        </w:rPr>
        <w:t xml:space="preserve">. </w:t>
      </w:r>
    </w:p>
    <w:p w14:paraId="0EAF5268" w14:textId="053D8DC9" w:rsidR="00A268DA" w:rsidRPr="00A268DA" w:rsidRDefault="00A268DA" w:rsidP="06DD7B6A">
      <w:pPr>
        <w:suppressAutoHyphens/>
        <w:autoSpaceDE w:val="0"/>
        <w:spacing w:before="120" w:after="120" w:line="240" w:lineRule="auto"/>
        <w:jc w:val="both"/>
        <w:rPr>
          <w:rFonts w:ascii="Times New Roman" w:hAnsi="Times New Roman"/>
          <w:color w:val="000000" w:themeColor="text1"/>
          <w:lang w:eastAsia="ar-SA"/>
        </w:rPr>
      </w:pPr>
      <w:r w:rsidRPr="00637B90">
        <w:rPr>
          <w:rFonts w:ascii="Times New Roman" w:hAnsi="Times New Roman"/>
          <w:color w:val="000000"/>
          <w:kern w:val="1"/>
          <w:lang w:val="pt-PT" w:eastAsia="ar-SA"/>
        </w:rPr>
        <w:t xml:space="preserve">Candidate bases are being </w:t>
      </w:r>
      <w:r w:rsidR="4D48CE15" w:rsidRPr="00637B90">
        <w:rPr>
          <w:rFonts w:ascii="Times New Roman" w:hAnsi="Times New Roman"/>
          <w:color w:val="000000" w:themeColor="text1"/>
          <w:lang w:val="pt-PT" w:eastAsia="ar-SA"/>
        </w:rPr>
        <w:t xml:space="preserve">successfully </w:t>
      </w:r>
      <w:r w:rsidRPr="00637B90">
        <w:rPr>
          <w:rFonts w:ascii="Times New Roman" w:hAnsi="Times New Roman"/>
          <w:color w:val="000000"/>
          <w:kern w:val="1"/>
          <w:lang w:val="pt-PT" w:eastAsia="ar-SA"/>
        </w:rPr>
        <w:t xml:space="preserve">tested for inclusion into DNA; </w:t>
      </w:r>
      <w:r w:rsidR="003B4A00">
        <w:rPr>
          <w:rFonts w:ascii="Times New Roman" w:hAnsi="Times New Roman"/>
          <w:color w:val="000000"/>
          <w:kern w:val="1"/>
          <w:lang w:eastAsia="ar-SA"/>
        </w:rPr>
        <w:fldChar w:fldCharType="begin" w:fldLock="1"/>
      </w:r>
      <w:r w:rsidR="008F6A90">
        <w:rPr>
          <w:rFonts w:ascii="Times New Roman" w:hAnsi="Times New Roman"/>
          <w:color w:val="000000"/>
          <w:kern w:val="1"/>
          <w:lang w:val="pt-PT" w:eastAsia="ar-SA"/>
        </w:rPr>
        <w:instrText>ADDIN CSL_CITATION {"citationItems":[{"id":"ITEM-1","itemData":{"DOI":"10.1126/science.1217622","ISSN":"0036-8075","author":[{"dropping-particle":"","family":"Pinheiro","given":"V. B.","non-dropping-particle":"","parse-names":false,"suffix":""},{"dropping-particle":"","family":"Taylor","given":"A. I.","non-dropping-particle":"","parse-names":false,"suffix":""},{"dropping-particle":"","family":"Cozens","given":"C.","non-dropping-particle":"","parse-names":false,"suffix":""},{"dropping-particle":"","family":"Abramov","given":"M.","non-dropping-particle":"","parse-names":false,"suffix":""},{"dropping-particle":"","family":"Renders","given":"M.","non-dropping-particle":"","parse-names":false,"suffix":""},{"dropping-particle":"","family":"Zhang","given":"S.","non-dropping-particle":"","parse-names":false,"suffix":""},{"dropping-particle":"","family":"Chaput","given":"J. C.","non-dropping-particle":"","parse-names":false,"suffix":""},{"dropping-particle":"","family":"Wengel","given":"J.","non-dropping-particle":"","parse-names":false,"suffix":""},{"dropping-particle":"","family":"Peak-Chew","given":"S.-Y.","non-dropping-particle":"","parse-names":false,"suffix":""},{"dropping-particle":"","family":"McLaughlin","given":"S. H.","non-dropping-particle":"","parse-names":false,"suffix":""},{"dropping-particle":"","family":"Herdewijn","given":"P.","non-dropping-particle":"","parse-names":false,"suffix":""},{"dropping-particle":"","family":"Holliger","given":"P.","non-dropping-particle":"","parse-names":false,"suffix":""}],"container-title":"Science","id":"ITEM-1","issue":"6079","issued":{"date-parts":[["2012","4","20"]]},"page":"341-344","title":"Synthetic Genetic Polymers Capable of Heredity and Evolution","type":"article-journal","volume":"336"},"uris":["http://www.mendeley.com/documents/?uuid=2fd1e036-34c6-4ba8-84be-0481c5bd8266"]}],"mendeley":{"formattedCitation":"(V. B. Pinheiro et al., 2012)","manualFormatting":"Pinheiro et al. (2012)","plainTextFormattedCitation":"(V. B. Pinheiro et al., 2012)","previouslyFormattedCitation":"(V. B. Pinheiro et al., 2012)"},"properties":{"noteIndex":0},"schema":"https://github.com/citation-style-language/schema/raw/master/csl-citation.json"}</w:instrText>
      </w:r>
      <w:r w:rsidR="003B4A00">
        <w:rPr>
          <w:rFonts w:ascii="Times New Roman" w:hAnsi="Times New Roman"/>
          <w:color w:val="000000"/>
          <w:kern w:val="1"/>
          <w:lang w:eastAsia="ar-SA"/>
        </w:rPr>
        <w:fldChar w:fldCharType="separate"/>
      </w:r>
      <w:r w:rsidR="003B4A00" w:rsidRPr="00B66A9B">
        <w:rPr>
          <w:rFonts w:ascii="Times New Roman" w:hAnsi="Times New Roman"/>
          <w:noProof/>
          <w:color w:val="000000"/>
          <w:kern w:val="1"/>
          <w:lang w:val="pt-PT" w:eastAsia="ar-SA"/>
        </w:rPr>
        <w:t xml:space="preserve">Pinheiro et al. </w:t>
      </w:r>
      <w:r w:rsidR="00B66A9B" w:rsidRPr="00637B90">
        <w:rPr>
          <w:rFonts w:ascii="Times New Roman" w:hAnsi="Times New Roman"/>
          <w:noProof/>
          <w:color w:val="000000"/>
          <w:kern w:val="1"/>
          <w:lang w:eastAsia="ar-SA"/>
        </w:rPr>
        <w:t>(</w:t>
      </w:r>
      <w:r w:rsidR="003B4A00" w:rsidRPr="00637B90">
        <w:rPr>
          <w:rFonts w:ascii="Times New Roman" w:hAnsi="Times New Roman"/>
          <w:noProof/>
          <w:color w:val="000000"/>
          <w:kern w:val="1"/>
          <w:lang w:eastAsia="ar-SA"/>
        </w:rPr>
        <w:t>2012)</w:t>
      </w:r>
      <w:r w:rsidR="003B4A00">
        <w:rPr>
          <w:rFonts w:ascii="Times New Roman" w:hAnsi="Times New Roman"/>
          <w:color w:val="000000"/>
          <w:kern w:val="1"/>
          <w:lang w:eastAsia="ar-SA"/>
        </w:rPr>
        <w:fldChar w:fldCharType="end"/>
      </w:r>
      <w:r w:rsidRPr="00961236">
        <w:rPr>
          <w:rFonts w:ascii="Times New Roman" w:hAnsi="Times New Roman"/>
          <w:color w:val="000000"/>
          <w:kern w:val="1"/>
          <w:lang w:eastAsia="ar-SA"/>
        </w:rPr>
        <w:t xml:space="preserve"> engineered six alternative genetic polymers capable of base pairing with DNA and polymerases that could </w:t>
      </w:r>
      <w:r w:rsidR="02DADC1B" w:rsidRPr="00961236">
        <w:rPr>
          <w:rFonts w:ascii="Times New Roman" w:hAnsi="Times New Roman"/>
          <w:color w:val="000000"/>
          <w:kern w:val="1"/>
          <w:lang w:eastAsia="ar-SA"/>
        </w:rPr>
        <w:t>synthesi</w:t>
      </w:r>
      <w:r w:rsidR="3373D04C" w:rsidRPr="00961236">
        <w:rPr>
          <w:rFonts w:ascii="Times New Roman" w:hAnsi="Times New Roman"/>
          <w:color w:val="000000" w:themeColor="text1"/>
          <w:lang w:eastAsia="ar-SA"/>
        </w:rPr>
        <w:t>s</w:t>
      </w:r>
      <w:r w:rsidR="02DADC1B" w:rsidRPr="00961236">
        <w:rPr>
          <w:rFonts w:ascii="Times New Roman" w:hAnsi="Times New Roman"/>
          <w:color w:val="000000"/>
          <w:kern w:val="1"/>
          <w:lang w:eastAsia="ar-SA"/>
        </w:rPr>
        <w:t>e</w:t>
      </w:r>
      <w:r w:rsidRPr="00961236">
        <w:rPr>
          <w:rFonts w:ascii="Times New Roman" w:hAnsi="Times New Roman"/>
          <w:color w:val="000000"/>
          <w:kern w:val="1"/>
          <w:lang w:eastAsia="ar-SA"/>
        </w:rPr>
        <w:t xml:space="preserve"> XNA from a DNA template and reverse transcribe XNA back into DNA. </w:t>
      </w:r>
      <w:r w:rsidRPr="00A268DA">
        <w:rPr>
          <w:rFonts w:ascii="Times New Roman" w:hAnsi="Times New Roman"/>
          <w:color w:val="000000"/>
          <w:kern w:val="1"/>
          <w:lang w:eastAsia="ar-SA"/>
        </w:rPr>
        <w:t xml:space="preserve">Another approach to XNA is to replace the “backbone” that the bases connect to or the sugar moiety. Thus, instead of deoxyribonucleic acid (DNA), information is stored via peptide nucleic acids, glycerol nucleic acids, and flexible nucleic acids </w:t>
      </w:r>
      <w:r w:rsidR="00234FFA">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{"citationItems":[{"id":"ITEM-1","itemData":{"DOI":"10.1016/j.cbpa.2012.05.198","ISSN":"13675931","author":[{"dropping-particle":"","family":"Pinheiro","given":"Vitor B","non-dropping-particle":"","parse-names":false,"suffix":""},{"dropping-particle":"","family":"Holliger","given":"Philipp","non-dropping-particle":"","parse-names":false,"suffix":""}],"container-title":"Current Opinion in Chemical Biology","id":"ITEM-1","issue":"3-4","issued":{"date-parts":[["2012","8"]]},"page":"245-252","title":"The XNA world: progress towards replication and evolution of synthetic genetic polymers","type":"article-journal","volume":"16"},"uris":["http://www.mendeley.com/documents/?uuid=8da8b96f-84b6-4333-86c5-4699db1f4f6f"]}],"mendeley":{"formattedCitation":"(Vitor B Pinheiro &amp; Holliger, 2012)","manualFormatting":"(Pinheiro &amp; Holliger, 2012)","plainTextFormattedCitation":"(Vitor B Pinheiro &amp; Holliger, 2012)","previouslyFormattedCitation":"(Vitor B Pinheiro &amp; Holliger, 2012)"},"properties":{"noteIndex":0},"schema":"https://github.com/citation-style-language/schema/raw/master/csl-citation.json"}</w:instrText>
      </w:r>
      <w:r w:rsidR="00234FFA">
        <w:rPr>
          <w:rFonts w:ascii="Times New Roman" w:hAnsi="Times New Roman"/>
          <w:color w:val="000000"/>
          <w:kern w:val="1"/>
          <w:lang w:eastAsia="ar-SA"/>
        </w:rPr>
        <w:fldChar w:fldCharType="separate"/>
      </w:r>
      <w:r w:rsidR="003B4A00" w:rsidRPr="003B4A00">
        <w:rPr>
          <w:rFonts w:ascii="Times New Roman" w:hAnsi="Times New Roman"/>
          <w:noProof/>
          <w:color w:val="000000"/>
          <w:kern w:val="1"/>
          <w:lang w:eastAsia="ar-SA"/>
        </w:rPr>
        <w:t>(Pinheiro &amp; Holliger, 2012)</w:t>
      </w:r>
      <w:r w:rsidR="00234FFA">
        <w:rPr>
          <w:rFonts w:ascii="Times New Roman" w:hAnsi="Times New Roman"/>
          <w:color w:val="000000"/>
          <w:kern w:val="1"/>
          <w:lang w:eastAsia="ar-SA"/>
        </w:rPr>
        <w:fldChar w:fldCharType="end"/>
      </w:r>
      <w:r w:rsidRPr="00A268DA">
        <w:rPr>
          <w:rFonts w:ascii="Times New Roman" w:hAnsi="Times New Roman"/>
          <w:color w:val="000000"/>
          <w:kern w:val="1"/>
          <w:lang w:eastAsia="ar-SA"/>
        </w:rPr>
        <w:t xml:space="preserve">. A third approach is to modify the nucleotides’ pyrophosphate leaving group </w:t>
      </w:r>
      <w:r w:rsidR="007B7CEA">
        <w:rPr>
          <w:rFonts w:ascii="Times New Roman" w:hAnsi="Times New Roman"/>
          <w:color w:val="000000"/>
          <w:kern w:val="1"/>
          <w:lang w:eastAsia="ar-SA"/>
        </w:rPr>
        <w:fldChar w:fldCharType="begin" w:fldLock="1"/>
      </w:r>
      <w:r w:rsidR="00D7537E">
        <w:rPr>
          <w:rFonts w:ascii="Times New Roman" w:hAnsi="Times New Roman"/>
          <w:color w:val="000000"/>
          <w:kern w:val="1"/>
          <w:lang w:eastAsia="ar-SA"/>
        </w:rPr>
        <w:instrText>ADDIN CSL_CITATION {"citationItems":[{"id":"ITEM-1","itemData":{"DOI":"10.1016/j.chembiol.2013.02.010","ISSN":"10745521","author":[{"dropping-particle":"","family":"Jang","given":"Mi-Yeon","non-dropping-particle":"","parse-names":false,"suffix":""},{"dropping-particle":"","family":"Song","given":"Xiao-Ping","non-dropping-particle":"","parse-names":false,"suffix":""},{"dropping-particle":"","family":"Froeyen","given":"Mathy","non-dropping-particle":"","parse-names":false,"suffix":""},{"dropping-particle":"","family":"Marlière","given":"Philippe","non-dropping-particle":"","parse-names":false,"suffix":""},{"dropping-particle":"","family":"Lescrinier","given":"Eveline","non-dropping-particle":"","parse-names":false,"suffix":""},{"dropping-particle":"","family":"Rozenski","given":"Jef","non-dropping-particle":"","parse-names":false,"suffix":""},{"dropping-particle":"","family":"Herdewijn","given":"Piet","non-dropping-particle":"","parse-names":false,"suffix":""}],"container-title":"Chemistry &amp; Biology","id":"ITEM-1","issue":"3","issued":{"date-parts":[["2013","3"]]},"page":"416-423","title":"A Synthetic Substrate of DNA Polymerase Deviating from the Bases, Sugar, and Leaving Group of Canonical Deoxynucleoside Triphosphates","type":"article-journal","volume":"20"},"uris":["http://www.mendeley.com/documents/?uuid=fe089589-80eb-41cf-926d-1df84ea21014"]}],"mendeley":{"formattedCitation":"(M.-Y. Jang et al., 2013)","manualFormatting":"(Jang et al., 2013)","plainTextFormattedCitation":"(M.-Y. Jang et al., 2013)","previouslyFormattedCitation":"(M.-Y. Jang et al., 2013)"},"properties":{"noteIndex":0},"schema":"https://github.com/citation-style-language/schema/raw/master/csl-citation.json"}</w:instrText>
      </w:r>
      <w:r w:rsidR="007B7CEA">
        <w:rPr>
          <w:rFonts w:ascii="Times New Roman" w:hAnsi="Times New Roman"/>
          <w:color w:val="000000"/>
          <w:kern w:val="1"/>
          <w:lang w:eastAsia="ar-SA"/>
        </w:rPr>
        <w:fldChar w:fldCharType="separate"/>
      </w:r>
      <w:r w:rsidR="005823D9" w:rsidRPr="005823D9">
        <w:rPr>
          <w:rFonts w:ascii="Times New Roman" w:hAnsi="Times New Roman"/>
          <w:noProof/>
          <w:color w:val="000000"/>
          <w:kern w:val="1"/>
          <w:lang w:eastAsia="ar-SA"/>
        </w:rPr>
        <w:t>(Jang et al., 2013)</w:t>
      </w:r>
      <w:r w:rsidR="007B7CEA">
        <w:rPr>
          <w:rFonts w:ascii="Times New Roman" w:hAnsi="Times New Roman"/>
          <w:color w:val="000000"/>
          <w:kern w:val="1"/>
          <w:lang w:eastAsia="ar-SA"/>
        </w:rPr>
        <w:fldChar w:fldCharType="end"/>
      </w:r>
      <w:r w:rsidRPr="00A268DA">
        <w:rPr>
          <w:rFonts w:ascii="Times New Roman" w:hAnsi="Times New Roman"/>
          <w:color w:val="000000"/>
          <w:kern w:val="1"/>
          <w:lang w:eastAsia="ar-SA"/>
        </w:rPr>
        <w:t xml:space="preserve">. </w:t>
      </w:r>
      <w:r w:rsidR="00294DBF" w:rsidRPr="00A268DA">
        <w:rPr>
          <w:rFonts w:ascii="Times New Roman" w:hAnsi="Times New Roman"/>
          <w:color w:val="000000"/>
          <w:kern w:val="1"/>
          <w:lang w:eastAsia="ar-SA"/>
        </w:rPr>
        <w:t xml:space="preserve">In 2014, a bacterium was produced where one base pair of the original DNA was altered to XNA resulting is the first organism to stably propagate an expanded genetic code </w:t>
      </w:r>
      <w:r w:rsidR="00A07DE2">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{"citationItems":[{"id":"ITEM-1","itemData":{"DOI":"10.1038/nature13314","ISSN":"0028-0836","author":[{"dropping-particle":"","family":"Malyshev","given":"Denis A.","non-dropping-particle":"","parse-names":false,"suffix":""},{"dropping-particle":"","family":"Dhami","given":"Kirandeep","non-dropping-particle":"","parse-names":false,"suffix":""},{"dropping-particle":"","family":"Lavergne","given":"Thomas","non-dropping-particle":"","parse-names":false,"suffix":""},{"dropping-particle":"","family":"Chen","given":"Tingjian","non-dropping-particle":"","parse-names":false,"suffix":""},{"dropping-particle":"","family":"Dai","given":"Nan","non-dropping-particle":"","parse-names":false,"suffix":""},{"dropping-particle":"","family":"Foster","given":"Jeremy M.","non-dropping-particle":"","parse-names":false,"suffix":""},{"dropping-particle":"","family":"Corrêa","given":"Ivan R.","non-dropping-particle":"","parse-names":false,"suffix":""},{"dropping-particle":"","family":"Romesberg","given":"Floyd E.","non-dropping-particle":"","parse-names":false,"suffix":""}],"container-title":"Nature","id":"ITEM-1","issue":"7500","issued":{"date-parts":[["2014","5","7"]]},"page":"385-388","title":"A semi-synthetic organism with an expanded genetic alphabet","type":"article-journal","volume":"509"},"uris":["http://www.mendeley.com/documents/?uuid=fa95ba5d-f1cd-4c39-8a54-637b59d10c2a"]}],"mendeley":{"formattedCitation":"(Malyshev et al., 2014)","plainTextFormattedCitation":"(Malyshev et al., 2014)","previouslyFormattedCitation":"(Malyshev et al., 2014)"},"properties":{"noteIndex":0},"schema":"https://github.com/citation-style-language/schema/raw/master/csl-citation.json"}</w:instrText>
      </w:r>
      <w:r w:rsidR="00A07DE2">
        <w:rPr>
          <w:rFonts w:ascii="Times New Roman" w:hAnsi="Times New Roman"/>
          <w:color w:val="000000"/>
          <w:kern w:val="1"/>
          <w:lang w:eastAsia="ar-SA"/>
        </w:rPr>
        <w:fldChar w:fldCharType="separate"/>
      </w:r>
      <w:r w:rsidR="00A07DE2" w:rsidRPr="00A07DE2">
        <w:rPr>
          <w:rFonts w:ascii="Times New Roman" w:hAnsi="Times New Roman"/>
          <w:noProof/>
          <w:color w:val="000000"/>
          <w:kern w:val="1"/>
          <w:lang w:eastAsia="ar-SA"/>
        </w:rPr>
        <w:t>(Malyshev et al., 2014)</w:t>
      </w:r>
      <w:r w:rsidR="00A07DE2">
        <w:rPr>
          <w:rFonts w:ascii="Times New Roman" w:hAnsi="Times New Roman"/>
          <w:color w:val="000000"/>
          <w:kern w:val="1"/>
          <w:lang w:eastAsia="ar-SA"/>
        </w:rPr>
        <w:fldChar w:fldCharType="end"/>
      </w:r>
      <w:r w:rsidR="00294DBF" w:rsidRPr="00A268DA">
        <w:rPr>
          <w:rFonts w:ascii="Times New Roman" w:hAnsi="Times New Roman"/>
          <w:color w:val="000000"/>
          <w:kern w:val="1"/>
          <w:lang w:eastAsia="ar-SA"/>
        </w:rPr>
        <w:t>.</w:t>
      </w:r>
      <w:r w:rsidR="00294DBF">
        <w:rPr>
          <w:rFonts w:ascii="Times New Roman" w:hAnsi="Times New Roman"/>
          <w:color w:val="000000"/>
          <w:kern w:val="1"/>
          <w:lang w:eastAsia="ar-SA"/>
        </w:rPr>
        <w:t xml:space="preserve"> </w:t>
      </w:r>
      <w:r w:rsidR="5AA2EE0E" w:rsidRPr="36140518">
        <w:rPr>
          <w:rFonts w:ascii="Times New Roman" w:hAnsi="Times New Roman"/>
          <w:color w:val="000000" w:themeColor="text1"/>
          <w:lang w:eastAsia="ar-SA"/>
        </w:rPr>
        <w:t xml:space="preserve">The </w:t>
      </w:r>
      <w:r w:rsidR="5AA2EE0E" w:rsidRPr="002D7C15">
        <w:rPr>
          <w:rFonts w:ascii="Times New Roman" w:hAnsi="Times New Roman"/>
          <w:color w:val="000000" w:themeColor="text1"/>
          <w:lang w:eastAsia="ar-SA"/>
        </w:rPr>
        <w:t>first stable</w:t>
      </w:r>
      <w:r w:rsidR="5AA2EE0E" w:rsidRPr="36140518">
        <w:rPr>
          <w:rFonts w:ascii="Times New Roman" w:hAnsi="Times New Roman"/>
          <w:color w:val="000000" w:themeColor="text1"/>
          <w:lang w:eastAsia="ar-SA"/>
        </w:rPr>
        <w:t xml:space="preserve"> semisynthetic organism</w:t>
      </w:r>
      <w:r w:rsidR="3E22C332" w:rsidRPr="36140518">
        <w:rPr>
          <w:rFonts w:ascii="Times New Roman" w:hAnsi="Times New Roman"/>
          <w:color w:val="000000" w:themeColor="text1"/>
          <w:lang w:eastAsia="ar-SA"/>
        </w:rPr>
        <w:t xml:space="preserve"> was</w:t>
      </w:r>
      <w:r w:rsidR="3E22C332">
        <w:rPr>
          <w:rFonts w:ascii="Times New Roman" w:hAnsi="Times New Roman"/>
          <w:color w:val="000000" w:themeColor="text1"/>
          <w:lang w:eastAsia="ar-SA"/>
        </w:rPr>
        <w:t xml:space="preserve"> </w:t>
      </w:r>
      <w:r w:rsidR="00017FB9">
        <w:rPr>
          <w:rFonts w:ascii="Times New Roman" w:hAnsi="Times New Roman"/>
          <w:color w:val="000000" w:themeColor="text1"/>
          <w:lang w:eastAsia="ar-SA"/>
        </w:rPr>
        <w:t>then</w:t>
      </w:r>
      <w:r w:rsidR="3E22C332" w:rsidRPr="36140518">
        <w:rPr>
          <w:rFonts w:ascii="Times New Roman" w:hAnsi="Times New Roman"/>
          <w:color w:val="000000" w:themeColor="text1"/>
          <w:lang w:eastAsia="ar-SA"/>
        </w:rPr>
        <w:t xml:space="preserve"> reported in 2016.</w:t>
      </w:r>
      <w:r w:rsidR="00905437">
        <w:rPr>
          <w:rFonts w:ascii="Times New Roman" w:hAnsi="Times New Roman"/>
          <w:color w:val="000000" w:themeColor="text1"/>
          <w:lang w:eastAsia="ar-SA"/>
        </w:rPr>
        <w:t>R</w:t>
      </w:r>
      <w:r w:rsidR="3E22C332" w:rsidRPr="36140518">
        <w:rPr>
          <w:rFonts w:ascii="Times New Roman" w:hAnsi="Times New Roman"/>
          <w:color w:val="000000" w:themeColor="text1"/>
          <w:lang w:eastAsia="ar-SA"/>
        </w:rPr>
        <w:t xml:space="preserve">esearchers </w:t>
      </w:r>
      <w:r w:rsidR="00905437">
        <w:rPr>
          <w:rFonts w:ascii="Times New Roman" w:hAnsi="Times New Roman"/>
          <w:color w:val="000000" w:themeColor="text1"/>
          <w:lang w:eastAsia="ar-SA"/>
        </w:rPr>
        <w:t xml:space="preserve">subsequently </w:t>
      </w:r>
      <w:r w:rsidR="3E22C332" w:rsidRPr="36140518">
        <w:rPr>
          <w:rFonts w:ascii="Times New Roman" w:hAnsi="Times New Roman"/>
          <w:color w:val="000000" w:themeColor="text1"/>
          <w:lang w:eastAsia="ar-SA"/>
        </w:rPr>
        <w:t xml:space="preserve">created a new bacterium that uses the four natural bases (A, T, C and G), which every living organism possesses, </w:t>
      </w:r>
      <w:r w:rsidR="59797169" w:rsidRPr="36140518">
        <w:rPr>
          <w:rFonts w:ascii="Times New Roman" w:hAnsi="Times New Roman"/>
          <w:color w:val="000000" w:themeColor="text1"/>
          <w:lang w:eastAsia="ar-SA"/>
        </w:rPr>
        <w:t>as well as</w:t>
      </w:r>
      <w:r w:rsidR="634090C8" w:rsidRPr="36140518">
        <w:rPr>
          <w:rFonts w:ascii="Times New Roman" w:hAnsi="Times New Roman"/>
          <w:color w:val="000000" w:themeColor="text1"/>
          <w:lang w:eastAsia="ar-SA"/>
        </w:rPr>
        <w:t xml:space="preserve"> </w:t>
      </w:r>
      <w:r w:rsidR="3E22C332" w:rsidRPr="36140518">
        <w:rPr>
          <w:rFonts w:ascii="Times New Roman" w:hAnsi="Times New Roman"/>
          <w:color w:val="000000" w:themeColor="text1"/>
          <w:lang w:eastAsia="ar-SA"/>
        </w:rPr>
        <w:t xml:space="preserve">a </w:t>
      </w:r>
      <w:r w:rsidR="58E7FCB6" w:rsidRPr="36140518">
        <w:rPr>
          <w:rFonts w:ascii="Times New Roman" w:hAnsi="Times New Roman"/>
          <w:color w:val="000000" w:themeColor="text1"/>
          <w:lang w:eastAsia="ar-SA"/>
        </w:rPr>
        <w:t xml:space="preserve">further </w:t>
      </w:r>
      <w:r w:rsidR="3E22C332" w:rsidRPr="36140518">
        <w:rPr>
          <w:rFonts w:ascii="Times New Roman" w:hAnsi="Times New Roman"/>
          <w:color w:val="000000" w:themeColor="text1"/>
          <w:lang w:eastAsia="ar-SA"/>
        </w:rPr>
        <w:t xml:space="preserve">pair </w:t>
      </w:r>
      <w:r w:rsidR="7D47F13E" w:rsidRPr="36140518">
        <w:rPr>
          <w:rFonts w:ascii="Times New Roman" w:hAnsi="Times New Roman"/>
          <w:color w:val="000000" w:themeColor="text1"/>
          <w:lang w:eastAsia="ar-SA"/>
        </w:rPr>
        <w:t>of</w:t>
      </w:r>
      <w:r w:rsidR="3E22C332" w:rsidRPr="36140518">
        <w:rPr>
          <w:rFonts w:ascii="Times New Roman" w:hAnsi="Times New Roman"/>
          <w:color w:val="000000" w:themeColor="text1"/>
          <w:lang w:eastAsia="ar-SA"/>
        </w:rPr>
        <w:t xml:space="preserve"> synthetic bases called X and Y in its genetic code</w:t>
      </w:r>
      <w:r w:rsidR="57ECB871" w:rsidRPr="36140518">
        <w:rPr>
          <w:rFonts w:ascii="Times New Roman" w:hAnsi="Times New Roman"/>
          <w:color w:val="000000" w:themeColor="text1"/>
          <w:lang w:eastAsia="ar-SA"/>
        </w:rPr>
        <w:t xml:space="preserve"> </w:t>
      </w:r>
      <w:r w:rsidR="00415846">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{"citationItems":[{"id":"ITEM-1","itemData":{"DOI":"10.1073/pnas.1616443114","ISSN":"0027-8424","author":[{"dropping-particle":"","family":"Zhang","given":"Yorke","non-dropping-particle":"","parse-names":false,"suffix":""},{"dropping-particle":"","family":"Lamb","given":"Brian M.","non-dropping-particle":"","parse-names":false,"suffix":""},{"dropping-particle":"","family":"Feldman","given":"Aaron W.","non-dropping-particle":"","parse-names":false,"suffix":""},{"dropping-particle":"","family":"Zhou","given":"Anne Xiaozhou","non-dropping-particle":"","parse-names":false,"suffix":""},{"dropping-particle":"","family":"Lavergne","given":"Thomas","non-dropping-particle":"","parse-names":false,"suffix":""},{"dropping-particle":"","family":"Li","given":"Lingjun","non-dropping-particle":"","parse-names":false,"suffix":""},{"dropping-particle":"","family":"Romesberg","given":"Floyd E.","non-dropping-particle":"","parse-names":false,"suffix":""}],"container-title":"Proceedings of the National Academy of Sciences","id":"ITEM-1","issue":"6","issued":{"date-parts":[["2017","2","7"]]},"page":"1317-1322","title":"A semisynthetic organism engineered for the stable expansion of the genetic alphabet","type":"article-journal","volume":"114"},"uris":["http://www.mendeley.com/documents/?uuid=58366c5e-25ec-42d2-a4c6-e8551f172312"]}],"mendeley":{"formattedCitation":"(Yorke Zhang et al., 2017)","manualFormatting":"(Zhang et al., 2017)","plainTextFormattedCitation":"(Yorke Zhang et al., 2017)","previouslyFormattedCitation":"(Yorke Zhang et al., 2017)"},"properties":{"noteIndex":0},"schema":"https://github.com/citation-style-language/schema/raw/master/csl-citation.json"}</w:instrText>
      </w:r>
      <w:r w:rsidR="00415846">
        <w:rPr>
          <w:rFonts w:ascii="Times New Roman" w:hAnsi="Times New Roman"/>
          <w:color w:val="000000" w:themeColor="text1"/>
          <w:lang w:eastAsia="ar-SA"/>
        </w:rPr>
        <w:fldChar w:fldCharType="separate"/>
      </w:r>
      <w:r w:rsidR="00415846" w:rsidRPr="00415846">
        <w:rPr>
          <w:rFonts w:ascii="Times New Roman" w:hAnsi="Times New Roman"/>
          <w:noProof/>
          <w:color w:val="000000" w:themeColor="text1"/>
          <w:lang w:eastAsia="ar-SA"/>
        </w:rPr>
        <w:t>(Zhang et al., 2017)</w:t>
      </w:r>
      <w:r w:rsidR="00415846">
        <w:rPr>
          <w:rFonts w:ascii="Times New Roman" w:hAnsi="Times New Roman"/>
          <w:color w:val="000000" w:themeColor="text1"/>
          <w:lang w:eastAsia="ar-SA"/>
        </w:rPr>
        <w:fldChar w:fldCharType="end"/>
      </w:r>
      <w:r w:rsidR="7F6F4ECF" w:rsidRPr="36140518">
        <w:rPr>
          <w:rFonts w:ascii="Times New Roman" w:hAnsi="Times New Roman"/>
          <w:color w:val="000000" w:themeColor="text1"/>
          <w:lang w:eastAsia="ar-SA"/>
        </w:rPr>
        <w:t xml:space="preserve">. A major milestone in xenobiology has been the creation of </w:t>
      </w:r>
      <w:r w:rsidR="732D8487" w:rsidRPr="36140518">
        <w:rPr>
          <w:rFonts w:ascii="Times New Roman" w:hAnsi="Times New Roman"/>
          <w:color w:val="000000" w:themeColor="text1"/>
          <w:lang w:eastAsia="ar-SA"/>
        </w:rPr>
        <w:t>h</w:t>
      </w:r>
      <w:r w:rsidR="7F6F4ECF" w:rsidRPr="36140518">
        <w:rPr>
          <w:rFonts w:ascii="Times New Roman" w:hAnsi="Times New Roman"/>
          <w:color w:val="000000" w:themeColor="text1"/>
          <w:lang w:eastAsia="ar-SA"/>
        </w:rPr>
        <w:t>achimoji DNA and RNA</w:t>
      </w:r>
      <w:r w:rsidR="404D67DA" w:rsidRPr="36140518">
        <w:rPr>
          <w:rFonts w:ascii="Times New Roman" w:hAnsi="Times New Roman"/>
          <w:color w:val="000000" w:themeColor="text1"/>
          <w:lang w:eastAsia="ar-SA"/>
        </w:rPr>
        <w:t>: systems built from eight (hachi-) nucleotide letters (-moji) that form four orthogonal pairs. This synthetic genetic biopolymer meets the structural requirements needed to support Darwinism</w:t>
      </w:r>
      <w:r w:rsidR="00FB55B2" w:rsidRPr="00FB55B2">
        <w:rPr>
          <w:rFonts w:ascii="Times New Roman" w:hAnsi="Times New Roman"/>
          <w:color w:val="000000" w:themeColor="text1"/>
          <w:lang w:eastAsia="ar-SA"/>
        </w:rPr>
        <w:t xml:space="preserve"> </w:t>
      </w:r>
      <w:r w:rsidR="00FB55B2"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{"citationItems":[{"id":"ITEM-1","itemData":{"DOI":"10.1126/science.aat0971","ISSN":"0036-8075","abstract":"We report DNA- and RNA-like systems built from eight nucleotide “letters” (hence the name “hachimoji”) that form four orthogonal pairs. These synthetic systems meet the structural requirements needed to support Darwinian evolution, including a polyelectrolyte backbone, predictable thermodynamic stability, and stereoregular building blocks that fit a Schrödinger aperiodic crystal. Measured thermodynamic parameters predict the stability of hachimoji duplexes, allowing hachimoji DNA to increase the information density of natural terran DNA. Three crystal structures show that the synthetic building blocks do not perturb the aperiodic crystal seen in the DNA double helix. Hachimoji DNA was then transcribed to give hachimoji RNA in the form of a functioning fluorescent hachimoji aptamer. These results expand the scope of molecular structures that might support life, including life throughout the cosmos.","author":[{"dropping-particle":"","family":"Hoshika","given":"Shuichi","non-dropping-particle":"","parse-names":false,"suffix":""},{"dropping-particle":"","family":"Leal","given":"Nicole A.","non-dropping-particle":"","parse-names":false,"suffix":""},{"dropping-particle":"","family":"Kim","given":"Myong-Jung","non-dropping-particle":"","parse-names":false,"suffix":""},{"dropping-particle":"","family":"Kim","given":"Myong-Sang","non-dropping-particle":"","parse-names":false,"suffix":""},{"dropping-particle":"","family":"Karalkar","given":"Nilesh B.","non-dropping-particle":"","parse-names":false,"suffix":""},{"dropping-particle":"","family":"Kim","given":"Hyo-Joong","non-dropping-particle":"","parse-names":false,"suffix":""},{"dropping-particle":"","family":"Bates","given":"Alison M.","non-dropping-particle":"","parse-names":false,"suffix":""},{"dropping-particle":"","family":"Watkins","given":"Norman E.","non-dropping-particle":"","parse-names":false,"suffix":""},{"dropping-particle":"","family":"SantaLucia","given":"Holly A.","non-dropping-particle":"","parse-names":false,"suffix":""},{"dropping-particle":"","family":"Meyer","given":"Adam J.","non-dropping-particle":"","parse-names":false,"suffix":""},{"dropping-particle":"","family":"DasGupta","given":"Saurja","non-dropping-particle":"","parse-names":false,"suffix":""},{"dropping-particle":"","family":"Piccirilli","given":"Joseph A.","non-dropping-particle":"","parse-names":false,"suffix":""},{"dropping-particle":"","family":"Ellington","given":"Andrew D.","non-dropping-particle":"","parse-names":false,"suffix":""},{"dropping-particle":"","family":"SantaLucia","given":"John","non-dropping-particle":"","parse-names":false,"suffix":""},{"dropping-particle":"","family":"Georgiadis","given":"Millie M.","non-dropping-particle":"","parse-names":false,"suffix":""},{"dropping-particle":"","family":"Benner","given":"Steven A.","non-dropping-particle":"","parse-names":false,"suffix":""}],"container-title":"Science","id":"ITEM-1","issue":"6429","issued":{"date-parts":[["2019","2","22"]]},"page":"884-887","title":"Hachimoji DNA and RNA: A genetic system with eight building blocks","type":"article-journal","volume":"363"},"uris":["http://www.mendeley.com/documents/?uuid=5101d3a3-a5a3-4a89-82b5-9aa5286e982a"]}],"mendeley":{"formattedCitation":"(Hoshika et al., 2019)","plainTextFormattedCitation":"(Hoshika et al., 2019)","previouslyFormattedCitation":"(Hoshika et al., 2019)"},"properties":{"noteIndex":0},"schema":"https://github.com/citation-style-language/schema/raw/master/csl-citation.json"}</w:instrText>
      </w:r>
      <w:r w:rsidR="00FB55B2" w:rsidRPr="00121D97">
        <w:rPr>
          <w:rFonts w:ascii="Times New Roman" w:hAnsi="Times New Roman"/>
          <w:color w:val="000000" w:themeColor="text1"/>
          <w:lang w:eastAsia="ar-SA"/>
        </w:rPr>
        <w:fldChar w:fldCharType="separate"/>
      </w:r>
      <w:r w:rsidR="00FB55B2" w:rsidRPr="00F7735C">
        <w:rPr>
          <w:rFonts w:ascii="Times New Roman" w:hAnsi="Times New Roman"/>
          <w:noProof/>
          <w:color w:val="000000" w:themeColor="text1"/>
          <w:lang w:eastAsia="ar-SA"/>
        </w:rPr>
        <w:t>(Hoshika et al., 2019)</w:t>
      </w:r>
      <w:r w:rsidR="00FB55B2" w:rsidRPr="00121D97">
        <w:rPr>
          <w:rFonts w:ascii="Times New Roman" w:hAnsi="Times New Roman"/>
          <w:color w:val="000000" w:themeColor="text1"/>
          <w:lang w:eastAsia="ar-SA"/>
        </w:rPr>
        <w:fldChar w:fldCharType="end"/>
      </w:r>
      <w:r w:rsidR="790FE8C9" w:rsidRPr="36140518">
        <w:rPr>
          <w:rFonts w:ascii="Times New Roman" w:hAnsi="Times New Roman"/>
          <w:color w:val="000000" w:themeColor="text1"/>
          <w:lang w:eastAsia="ar-SA"/>
        </w:rPr>
        <w:t>. With double the information density of standard DNA and predictable duplex stability across all</w:t>
      </w:r>
      <w:r w:rsidR="790FE8C9" w:rsidRPr="36140518" w:rsidDel="00F30E3A">
        <w:rPr>
          <w:rFonts w:ascii="Times New Roman" w:hAnsi="Times New Roman"/>
          <w:color w:val="000000" w:themeColor="text1"/>
          <w:lang w:eastAsia="ar-SA"/>
        </w:rPr>
        <w:t xml:space="preserve"> </w:t>
      </w:r>
      <w:r w:rsidR="790FE8C9" w:rsidRPr="36140518">
        <w:rPr>
          <w:rFonts w:ascii="Times New Roman" w:hAnsi="Times New Roman"/>
          <w:color w:val="000000" w:themeColor="text1"/>
          <w:lang w:eastAsia="ar-SA"/>
        </w:rPr>
        <w:t xml:space="preserve">sequences, </w:t>
      </w:r>
      <w:r w:rsidR="5224B8AE" w:rsidRPr="36140518">
        <w:rPr>
          <w:rFonts w:ascii="Times New Roman" w:hAnsi="Times New Roman"/>
          <w:color w:val="000000" w:themeColor="text1"/>
          <w:lang w:eastAsia="ar-SA"/>
        </w:rPr>
        <w:t xml:space="preserve">the authors suggest that </w:t>
      </w:r>
      <w:r w:rsidR="790FE8C9" w:rsidRPr="36140518">
        <w:rPr>
          <w:rFonts w:ascii="Times New Roman" w:hAnsi="Times New Roman"/>
          <w:color w:val="000000" w:themeColor="text1"/>
          <w:lang w:eastAsia="ar-SA"/>
        </w:rPr>
        <w:t>hachimoji DNA has potential applications in bar-coding and combinatorial tagging, retrievable information storage, and self-assembling nanostructures</w:t>
      </w:r>
      <w:r w:rsidR="2EB3A553" w:rsidRPr="36140518">
        <w:rPr>
          <w:rFonts w:ascii="Times New Roman" w:hAnsi="Times New Roman"/>
          <w:color w:val="000000" w:themeColor="text1"/>
          <w:lang w:eastAsia="ar-SA"/>
        </w:rPr>
        <w:t>.</w:t>
      </w:r>
    </w:p>
    <w:p w14:paraId="691FCBAE" w14:textId="06D29474" w:rsidR="00A268DA" w:rsidRPr="00A268DA" w:rsidRDefault="00A268DA" w:rsidP="004E3007">
      <w:pPr>
        <w:suppressAutoHyphens/>
        <w:autoSpaceDE w:val="0"/>
        <w:spacing w:before="120" w:after="120" w:line="240" w:lineRule="auto"/>
        <w:jc w:val="both"/>
        <w:rPr>
          <w:rFonts w:ascii="Times New Roman" w:hAnsi="Times New Roman"/>
          <w:color w:val="000000"/>
          <w:kern w:val="1"/>
          <w:lang w:eastAsia="ar-SA"/>
        </w:rPr>
      </w:pPr>
      <w:r w:rsidRPr="00A268DA">
        <w:rPr>
          <w:rFonts w:ascii="Times New Roman" w:hAnsi="Times New Roman"/>
          <w:color w:val="000000"/>
          <w:kern w:val="1"/>
          <w:lang w:eastAsia="ar-SA"/>
        </w:rPr>
        <w:t xml:space="preserve">Another area of research is the production of novel proteins </w:t>
      </w:r>
      <w:r w:rsidR="24709861" w:rsidRPr="00A268DA">
        <w:rPr>
          <w:rFonts w:ascii="Times New Roman" w:hAnsi="Times New Roman"/>
          <w:color w:val="000000"/>
          <w:kern w:val="1"/>
          <w:lang w:eastAsia="ar-SA"/>
        </w:rPr>
        <w:t>and proteomes</w:t>
      </w:r>
      <w:r w:rsidR="02DADC1B" w:rsidRPr="00A268DA">
        <w:rPr>
          <w:rFonts w:ascii="Times New Roman" w:hAnsi="Times New Roman"/>
          <w:color w:val="000000"/>
          <w:kern w:val="1"/>
          <w:lang w:eastAsia="ar-SA"/>
        </w:rPr>
        <w:t xml:space="preserve"> </w:t>
      </w:r>
      <w:r w:rsidRPr="00A268DA">
        <w:rPr>
          <w:rFonts w:ascii="Times New Roman" w:hAnsi="Times New Roman"/>
          <w:color w:val="000000"/>
          <w:kern w:val="1"/>
          <w:lang w:eastAsia="ar-SA"/>
        </w:rPr>
        <w:t>that are stable but not found in nature (“never-born-proteins”) (</w:t>
      </w:r>
      <w:r w:rsidR="001D218B"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{"citationItems":[{"id":"ITEM-1","itemData":{"DOI":"10.1111/1751-7915.12398","ISSN":"17517915","PMID":"27489097","abstract":"Biology is an analytical and informational science that is becoming increasingly dependent on chemical synthesis. One example is the high-throughput and low-cost synthesis of DNA, which is a foundation for the research field of synthetic biology (SB). The aim of SB is to provide biotechnological solutions to health, energy and environmental issues as well as unsustainable manufacturing processes in the frame of naturally existing chemical building blocks. Xenobiology (XB) goes a step further by implementing non-natural building blocks in living cells. In this context, genetic code engineering respectively enables the re-design of genes/genomes and proteins/proteomes with non-canonical nucleic (XNAs) and amino (ncAAs) acids. Besides studying information flow and evolutionary innovation in living systems, XB allows the development of new-to-nature therapeutic proteins/peptides, new biocatalysts for potential applications in synthetic organic chemistry and biocontainment strategies for enhanced biosafety. In this perspective, we provide a brief history and evolution of the genetic code in the context of XB. We then discuss the latest efforts and challenges ahead for engineering the genetic code with focus on substitutions and additions of ncAAs as well as standard amino acid reductions. Finally, we present a roadmap for the directed evolution of artificial microbes for emancipating rare sense codons that could be used to introduce novel building blocks. The development of such xenomicroorganisms endowed with a ‘genetic firewall’ will also allow to study and understand the relation between code evolution and horizontal gene transfer.","author":[{"dropping-particle":"","family":"Acevedo-Rocha","given":"Carlos G.","non-dropping-particle":"","parse-names":false,"suffix":""},{"dropping-particle":"","family":"Budisa","given":"Nediljko","non-dropping-particle":"","parse-names":false,"suffix":""}],"container-title":"Microbial Biotechnology","id":"ITEM-1","issue":"5","issued":{"date-parts":[["2016","9"]]},"page":"666-676","publisher":"John Wiley and Sons Ltd","title":"Xenomicrobiology: a roadmap for genetic code engineering","type":"article-journal","volume":"9"},"uris":["http://www.mendeley.com/documents/?uuid=8e5167b4-b6ec-435a-a5c2-d085cb9b5459"]}],"mendeley":{"formattedCitation":"(Acevedo-Rocha &amp; Budisa, 2016)","manualFormatting":"Acevedo-Rocha &amp; Budisa, 2016)","plainTextFormattedCitation":"(Acevedo-Rocha &amp; Budisa, 2016)","previouslyFormattedCitation":"(Acevedo-Rocha &amp; Budisa, 2016)"},"properties":{"noteIndex":0},"schema":"https://github.com/citation-style-language/schema/raw/master/csl-citation.json"}</w:instrText>
      </w:r>
      <w:r w:rsidR="001D218B" w:rsidRPr="00121D97">
        <w:rPr>
          <w:rFonts w:ascii="Times New Roman" w:hAnsi="Times New Roman"/>
          <w:color w:val="000000" w:themeColor="text1"/>
          <w:lang w:eastAsia="ar-SA"/>
        </w:rPr>
        <w:fldChar w:fldCharType="separate"/>
      </w:r>
      <w:r w:rsidR="001D218B" w:rsidRPr="001D218B">
        <w:rPr>
          <w:rFonts w:ascii="Times New Roman" w:hAnsi="Times New Roman"/>
          <w:noProof/>
          <w:color w:val="000000" w:themeColor="text1"/>
          <w:lang w:eastAsia="ar-SA"/>
        </w:rPr>
        <w:t>Acevedo-Rocha &amp; Budisa, 2016)</w:t>
      </w:r>
      <w:r w:rsidR="001D218B" w:rsidRPr="00121D97">
        <w:rPr>
          <w:rFonts w:ascii="Times New Roman" w:hAnsi="Times New Roman"/>
          <w:color w:val="000000" w:themeColor="text1"/>
          <w:lang w:eastAsia="ar-SA"/>
        </w:rPr>
        <w:fldChar w:fldCharType="end"/>
      </w:r>
      <w:r w:rsidR="02DADC1B" w:rsidRPr="00A268DA">
        <w:rPr>
          <w:rFonts w:ascii="Times New Roman" w:hAnsi="Times New Roman"/>
          <w:color w:val="000000"/>
          <w:kern w:val="1"/>
          <w:lang w:eastAsia="ar-SA"/>
        </w:rPr>
        <w:t>.</w:t>
      </w:r>
      <w:r w:rsidRPr="00A268DA">
        <w:rPr>
          <w:rFonts w:ascii="Times New Roman" w:hAnsi="Times New Roman"/>
          <w:color w:val="000000"/>
          <w:kern w:val="1"/>
          <w:lang w:eastAsia="ar-SA"/>
        </w:rPr>
        <w:t xml:space="preserve"> There are 20 common amino acids, but researchers have identified in the laboratory over 50 unnatural amino acids that can be incorporated into a peptide </w:t>
      </w:r>
      <w:r w:rsidR="00A96CF5">
        <w:rPr>
          <w:rFonts w:ascii="Times New Roman" w:hAnsi="Times New Roman"/>
          <w:color w:val="000000"/>
          <w:kern w:val="1"/>
          <w:lang w:eastAsia="ar-SA"/>
        </w:rPr>
        <w:fldChar w:fldCharType="begin" w:fldLock="1"/>
      </w:r>
      <w:r w:rsidR="00D7537E">
        <w:rPr>
          <w:rFonts w:ascii="Times New Roman" w:hAnsi="Times New Roman"/>
          <w:color w:val="000000"/>
          <w:kern w:val="1"/>
          <w:lang w:eastAsia="ar-SA"/>
        </w:rPr>
        <w:instrText>ADDIN CSL_CITATION {"citationItems":[{"id":"ITEM-1","itemData":{"DOI":"10.1371/journal.pone.0000972","ISSN":"1932-6203","abstract":"Background: The application of in vitro translation to the synthesis of unnatural peptides may allow the production of extremely large libraries of highly modified peptides, which are a potential source of lead compounds in the search for new pharmaceutical agents. The specificity of the translation apparatus, however, limits the diversity of unnatural amino acids that can be incorporated into peptides by ribosomal translation. We have previously shown that over 90 unnatural amino acids can be enzymatically loaded onto tRNA. Methodology/Principal Findings: We have now used a competition assay to assess the efficiency of tRNA-aminoacylation of these analogs. We have also used a series of peptide translation assays to measure the efficiency with which these analogs are incorporated into peptides. The translation apparatus tolerates most side chain derivatives, a few $α$,$α$ disubstituted, N-methyl and $α$-hydroxy derivatives, but no $β$-amino acids. We show that over 50 unnatural amino acids can be incorporated into peptides by ribosomal translation. Using a set of analogs that are efficiently charged and translated we were able to prepare individual peptides containing up to 13 different unnatural amino acids. Conclusions/Significance: Our results demonstrate that a diverse array of unnatural building blocks can be translationally incorporated into peptides. These building blocks provide new opportunities for in vitro selections with highly modified drug-like peptides. ©2007 Hartman et al.","author":[{"dropping-particle":"","family":"Hartman","given":"Matthew C T","non-dropping-particle":"","parse-names":false,"suffix":""},{"dropping-particle":"","family":"Josephson","given":"Kristopher","non-dropping-particle":"","parse-names":false,"suffix":""},{"dropping-particle":"","family":"Lin","given":"Chi-Wang","non-dropping-particle":"","parse-names":false,"suffix":""},{"dropping-particle":"","family":"Szostak","given":"Jack W","non-dropping-particle":"","parse-names":false,"suffix":""}],"container-title":"PLoS ONE","editor":[{"dropping-particle":"","family":"Herman","given":"Christophe","non-dropping-particle":"","parse-names":false,"suffix":""}],"id":"ITEM-1","issue":"10","issued":{"date-parts":[["2007","10"]]},"page":"e972","publisher":"Public Library of Science","title":"An Expanded Set of Amino Acid Analogs for the Ribosomal Translation of Unnatural Peptides","type":"article-journal","volume":"2"},"uris":["http://www.mendeley.com/documents/?uuid=36778a3d-d2af-4acc-a17f-b1fd45897e19"]}],"mendeley":{"formattedCitation":"(Hartman et al., 2007)","plainTextFormattedCitation":"(Hartman et al., 2007)","previouslyFormattedCitation":"(Hartman et al., 2007)"},"properties":{"noteIndex":0},"schema":"https://github.com/citation-style-language/schema/raw/master/csl-citation.json"}</w:instrText>
      </w:r>
      <w:r w:rsidR="00A96CF5">
        <w:rPr>
          <w:rFonts w:ascii="Times New Roman" w:hAnsi="Times New Roman"/>
          <w:color w:val="000000"/>
          <w:kern w:val="1"/>
          <w:lang w:eastAsia="ar-SA"/>
        </w:rPr>
        <w:fldChar w:fldCharType="separate"/>
      </w:r>
      <w:r w:rsidR="00A96CF5" w:rsidRPr="00A96CF5">
        <w:rPr>
          <w:rFonts w:ascii="Times New Roman" w:hAnsi="Times New Roman"/>
          <w:noProof/>
          <w:color w:val="000000"/>
          <w:kern w:val="1"/>
          <w:lang w:eastAsia="ar-SA"/>
        </w:rPr>
        <w:t>(Hartman et al., 2007)</w:t>
      </w:r>
      <w:r w:rsidR="00A96CF5">
        <w:rPr>
          <w:rFonts w:ascii="Times New Roman" w:hAnsi="Times New Roman"/>
          <w:color w:val="000000"/>
          <w:kern w:val="1"/>
          <w:lang w:eastAsia="ar-SA"/>
        </w:rPr>
        <w:fldChar w:fldCharType="end"/>
      </w:r>
      <w:r w:rsidRPr="00A268DA">
        <w:rPr>
          <w:rFonts w:ascii="Times New Roman" w:hAnsi="Times New Roman"/>
          <w:color w:val="000000"/>
          <w:kern w:val="1"/>
          <w:lang w:eastAsia="ar-SA"/>
        </w:rPr>
        <w:t xml:space="preserve">. </w:t>
      </w:r>
      <w:r w:rsidR="0089637F">
        <w:rPr>
          <w:rFonts w:ascii="Times New Roman" w:hAnsi="Times New Roman"/>
          <w:color w:val="000000"/>
          <w:kern w:val="1"/>
          <w:lang w:eastAsia="ar-SA"/>
        </w:rPr>
        <w:t>In</w:t>
      </w:r>
      <w:r w:rsidR="46112094" w:rsidRPr="00A268DA" w:rsidDel="00294DBF">
        <w:rPr>
          <w:rFonts w:ascii="Times New Roman" w:hAnsi="Times New Roman"/>
          <w:color w:val="000000"/>
          <w:kern w:val="1"/>
          <w:lang w:eastAsia="ar-SA"/>
        </w:rPr>
        <w:t xml:space="preserve"> 2014</w:t>
      </w:r>
      <w:r w:rsidRPr="00A268DA" w:rsidDel="00294DBF">
        <w:rPr>
          <w:rFonts w:ascii="Times New Roman" w:hAnsi="Times New Roman"/>
          <w:color w:val="000000"/>
          <w:kern w:val="1"/>
          <w:lang w:eastAsia="ar-SA"/>
        </w:rPr>
        <w:t xml:space="preserve">, a bacterium was produced where one base pair of the original DNA was altered to XNA resulting is the first organism to stably propagate an expanded genetic code </w:t>
      </w:r>
      <w:r w:rsidR="00B85E21">
        <w:rPr>
          <w:rFonts w:ascii="Times New Roman" w:hAnsi="Times New Roman"/>
          <w:color w:val="000000"/>
          <w:kern w:val="1"/>
          <w:lang w:eastAsia="ar-SA"/>
        </w:rPr>
        <w:fldChar w:fldCharType="begin" w:fldLock="1"/>
      </w:r>
      <w:r w:rsidR="002C64DA">
        <w:rPr>
          <w:rFonts w:ascii="Times New Roman" w:hAnsi="Times New Roman"/>
          <w:color w:val="000000"/>
          <w:kern w:val="1"/>
          <w:lang w:eastAsia="ar-SA"/>
        </w:rPr>
        <w:instrText>ADDIN CSL_CITATION {"citationItems":[{"id":"ITEM-1","itemData":{"DOI":"10.1038/nature13314","ISSN":"0028-0836","author":[{"dropping-particle":"","family":"Malyshev","given":"Denis A.","non-dropping-particle":"","parse-names":false,"suffix":""},{"dropping-particle":"","family":"Dhami","given":"Kirandeep","non-dropping-particle":"","parse-names":false,"suffix":""},{"dropping-particle":"","family":"Lavergne","given":"Thomas","non-dropping-particle":"","parse-names":false,"suffix":""},{"dropping-particle":"","family":"Chen","given":"Tingjian","non-dropping-particle":"","parse-names":false,"suffix":""},{"dropping-particle":"","family":"Dai","given":"Nan","non-dropping-particle":"","parse-names":false,"suffix":""},{"dropping-particle":"","family":"Foster","given":"Jeremy M.","non-dropping-particle":"","parse-names":false,"suffix":""},{"dropping-particle":"","family":"Corrêa","given":"Ivan R.","non-dropping-particle":"","parse-names":false,"suffix":""},{"dropping-particle":"","family":"Romesberg","given":"Floyd E.","non-dropping-particle":"","parse-names":false,"suffix":""}],"container-title":"Nature","id":"ITEM-1","issue":"7500","issued":{"date-parts":[["2014","5","7"]]},"page":"385-388","title":"A semi-synthetic organism with an expanded genetic alphabet","type":"article-journal","volume":"509"},"uris":["http://www.mendeley.com/documents/?uuid=fa95ba5d-f1cd-4c39-8a54-637b59d10c2a"]}],"mendeley":{"formattedCitation":"(Malyshev et al., 2014)","plainTextFormattedCitation":"(Malyshev et al., 2014)","previouslyFormattedCitation":"(Malyshev et al., 2014)"},"properties":{"noteIndex":0},"schema":"https://github.com/citation-style-language/schema/raw/master/csl-citation.json"}</w:instrText>
      </w:r>
      <w:r w:rsidR="00B85E21">
        <w:rPr>
          <w:rFonts w:ascii="Times New Roman" w:hAnsi="Times New Roman"/>
          <w:color w:val="000000"/>
          <w:kern w:val="1"/>
          <w:lang w:eastAsia="ar-SA"/>
        </w:rPr>
        <w:fldChar w:fldCharType="separate"/>
      </w:r>
      <w:r w:rsidR="00B85E21" w:rsidRPr="00B85E21">
        <w:rPr>
          <w:rFonts w:ascii="Times New Roman" w:hAnsi="Times New Roman"/>
          <w:noProof/>
          <w:color w:val="000000"/>
          <w:kern w:val="1"/>
          <w:lang w:eastAsia="ar-SA"/>
        </w:rPr>
        <w:t>(Malyshev et al., 2014)</w:t>
      </w:r>
      <w:r w:rsidR="00B85E21">
        <w:rPr>
          <w:rFonts w:ascii="Times New Roman" w:hAnsi="Times New Roman"/>
          <w:color w:val="000000"/>
          <w:kern w:val="1"/>
          <w:lang w:eastAsia="ar-SA"/>
        </w:rPr>
        <w:fldChar w:fldCharType="end"/>
      </w:r>
      <w:r w:rsidRPr="00A268DA" w:rsidDel="00294DBF">
        <w:rPr>
          <w:rFonts w:ascii="Times New Roman" w:hAnsi="Times New Roman"/>
          <w:color w:val="000000"/>
          <w:kern w:val="1"/>
          <w:lang w:eastAsia="ar-SA"/>
        </w:rPr>
        <w:t>.</w:t>
      </w:r>
      <w:r w:rsidR="0066631A" w:rsidDel="00294DBF">
        <w:rPr>
          <w:rFonts w:ascii="Times New Roman" w:hAnsi="Times New Roman"/>
          <w:color w:val="000000"/>
          <w:kern w:val="1"/>
          <w:lang w:eastAsia="ar-SA"/>
        </w:rPr>
        <w:t xml:space="preserve"> </w:t>
      </w:r>
      <w:r w:rsidR="0066631A">
        <w:rPr>
          <w:rFonts w:ascii="Times New Roman" w:hAnsi="Times New Roman"/>
          <w:color w:val="000000"/>
          <w:kern w:val="1"/>
          <w:lang w:eastAsia="ar-SA"/>
        </w:rPr>
        <w:t xml:space="preserve">In a recent development, </w:t>
      </w:r>
      <w:r w:rsidR="0066631A" w:rsidRPr="000539B1">
        <w:rPr>
          <w:rFonts w:ascii="Times New Roman" w:hAnsi="Times New Roman"/>
          <w:color w:val="000000"/>
          <w:kern w:val="1"/>
          <w:lang w:eastAsia="ar-SA"/>
        </w:rPr>
        <w:t xml:space="preserve">an unnatural amino acid (UAA) </w:t>
      </w:r>
      <w:r w:rsidR="0066631A">
        <w:rPr>
          <w:rFonts w:ascii="Times New Roman" w:hAnsi="Times New Roman"/>
          <w:color w:val="000000"/>
          <w:kern w:val="1"/>
          <w:lang w:eastAsia="ar-SA"/>
        </w:rPr>
        <w:t xml:space="preserve">has been </w:t>
      </w:r>
      <w:r w:rsidR="0066631A" w:rsidRPr="000539B1">
        <w:rPr>
          <w:rFonts w:ascii="Times New Roman" w:hAnsi="Times New Roman"/>
          <w:color w:val="000000"/>
          <w:kern w:val="1"/>
          <w:lang w:eastAsia="ar-SA"/>
        </w:rPr>
        <w:t>genetically encoded at the defined site of the antibiotic resistance gene-encoded protein</w:t>
      </w:r>
      <w:r w:rsidR="0066631A">
        <w:rPr>
          <w:rFonts w:ascii="Times New Roman" w:hAnsi="Times New Roman"/>
          <w:color w:val="000000"/>
          <w:kern w:val="1"/>
          <w:lang w:eastAsia="ar-SA"/>
        </w:rPr>
        <w:t xml:space="preserve"> in </w:t>
      </w:r>
      <w:r w:rsidR="0066631A" w:rsidRPr="00091EEC">
        <w:rPr>
          <w:rFonts w:ascii="Times New Roman" w:hAnsi="Times New Roman"/>
          <w:i/>
          <w:iCs/>
          <w:color w:val="000000"/>
          <w:kern w:val="1"/>
          <w:lang w:eastAsia="ar-SA"/>
        </w:rPr>
        <w:t>E. coli</w:t>
      </w:r>
      <w:r w:rsidR="0066631A">
        <w:rPr>
          <w:rFonts w:ascii="Times New Roman" w:hAnsi="Times New Roman"/>
          <w:color w:val="000000"/>
          <w:kern w:val="1"/>
          <w:lang w:eastAsia="ar-SA"/>
        </w:rPr>
        <w:t>.</w:t>
      </w:r>
      <w:r w:rsidR="0066631A" w:rsidRPr="000539B1">
        <w:rPr>
          <w:rFonts w:ascii="Times New Roman" w:hAnsi="Times New Roman"/>
          <w:color w:val="000000"/>
          <w:kern w:val="1"/>
          <w:lang w:eastAsia="ar-SA"/>
        </w:rPr>
        <w:t xml:space="preserve"> When UAAs are not in the culture medium, there was no expression in the antibiotic resistance gene-encoded protein. Thus, the site-specific incorporation UAA mutagenesis system </w:t>
      </w:r>
      <w:r w:rsidR="0066631A">
        <w:rPr>
          <w:rFonts w:ascii="Times New Roman" w:hAnsi="Times New Roman"/>
          <w:color w:val="000000"/>
          <w:kern w:val="1"/>
          <w:lang w:eastAsia="ar-SA"/>
        </w:rPr>
        <w:t xml:space="preserve">could be </w:t>
      </w:r>
      <w:r w:rsidR="0066631A" w:rsidRPr="000539B1">
        <w:rPr>
          <w:rFonts w:ascii="Times New Roman" w:hAnsi="Times New Roman"/>
          <w:color w:val="000000"/>
          <w:kern w:val="1"/>
          <w:lang w:eastAsia="ar-SA"/>
        </w:rPr>
        <w:t xml:space="preserve">used to control and expand the use of conditional selectable marker, and the technique is used to facilitate a rapid continuous genome editing in </w:t>
      </w:r>
      <w:r w:rsidR="0066631A">
        <w:rPr>
          <w:rFonts w:ascii="Times New Roman" w:hAnsi="Times New Roman"/>
          <w:color w:val="000000"/>
          <w:kern w:val="1"/>
          <w:lang w:eastAsia="ar-SA"/>
        </w:rPr>
        <w:t xml:space="preserve">the bacterium </w:t>
      </w:r>
      <w:r w:rsidR="002C64DA" w:rsidRPr="004325A4">
        <w:rPr>
          <w:rFonts w:ascii="Times New Roman" w:hAnsi="Times New Roman"/>
          <w:color w:val="000000"/>
          <w:kern w:val="1"/>
          <w:lang w:eastAsia="ar-SA"/>
        </w:rPr>
        <w:fldChar w:fldCharType="begin" w:fldLock="1"/>
      </w:r>
      <w:r w:rsidR="00685F65">
        <w:rPr>
          <w:rFonts w:ascii="Times New Roman" w:hAnsi="Times New Roman"/>
          <w:color w:val="000000"/>
          <w:kern w:val="1"/>
          <w:lang w:eastAsia="ar-SA"/>
        </w:rPr>
        <w:instrText>ADDIN CSL_CITATION {"citationItems":[{"id":"ITEM-1","itemData":{"DOI":"10.3389/fbioe.2020.00145","ISSN":"2296-4185","abstract":"Genetic manipulations including chromosome engineering are essential techniques used to restructure cell metabolism. Lambda/Red ($λ$/Red)-mediated recombination is the most commonly applied approach for chromosomal modulation in Escherichia coli. However, the efficiency of this method is significantly hampered by the laborious removal of the selectable markers. To overcome the problem, the integration helper plasmid was constructed, pSBC1a-CtR, which contains Red recombinase, Cre recombinase, and exogenous orthogonal aminoacyl-transfer RNA (tRNA) synthetase/tRNA pairs, allows an unnatural amino acid (UAA) to be genetically encoded at the defined site of the antibiotic resistance gene-encoded protein. When UAAs are not in the culture medium, there was no expression in the antibiotic resistance gene-encoded protein. Accordingly, the next procedure of antibiotic gene excising is not needed. To verify this method, poxB gene was knocked out successfully. Furthermore, sequential deletion of three target genes (galR, ptsG, and pgi) was able to generate neurosporene-producing strain marked by high growth rate. Thus, the site-specific incorporation UAA mutagenesis system were used to control and expand the use of conditional selectable marker, and the technique is used to facilitate a rapid continuous genome editing in Escherichia coli.","author":[{"dropping-particle":"","family":"Xu","given":"Xinyi","non-dropping-particle":"","parse-names":false,"suffix":""},{"dropping-particle":"","family":"Zhong","given":"Huichang","non-dropping-particle":"","parse-names":false,"suffix":""},{"dropping-particle":"","family":"Liu","given":"Weifeng","non-dropping-particle":"","parse-names":false,"suffix":""},{"dropping-particle":"","family":"Tao","given":"Yong","non-dropping-particle":"","parse-names":false,"suffix":""}],"container-title":"Frontiers in Bioengineering and Biotechnology","id":"ITEM-1","issued":{"date-parts":[["2020","4"]]},"page":"145","publisher":"Frontiers Media S.A.","title":"Extension of Genetic Marker List Using Unnatural Amino Acid System: An Efficient Genomic Modification Strategy in Escherichia coli","type":"article-journal","volume":"8"},"uris":["http://www.mendeley.com/documents/?uuid=9ad89701-732d-47b6-a515-7bd0381285c8"]}],"mendeley":{"formattedCitation":"(X. Xu et al., 2020)","plainTextFormattedCitation":"(X. Xu et al., 2020)","previouslyFormattedCitation":"(X. Xu et al., 2020)"},"properties":{"noteIndex":0},"schema":"https://github.com/citation-style-language/schema/raw/master/csl-citation.json"}</w:instrText>
      </w:r>
      <w:r w:rsidR="002C64DA" w:rsidRPr="004325A4">
        <w:rPr>
          <w:rFonts w:ascii="Times New Roman" w:hAnsi="Times New Roman"/>
          <w:color w:val="000000"/>
          <w:kern w:val="1"/>
          <w:lang w:eastAsia="ar-SA"/>
        </w:rPr>
        <w:fldChar w:fldCharType="separate"/>
      </w:r>
      <w:r w:rsidR="002C64DA" w:rsidRPr="004325A4">
        <w:rPr>
          <w:rFonts w:ascii="Times New Roman" w:hAnsi="Times New Roman"/>
          <w:noProof/>
          <w:color w:val="000000"/>
          <w:kern w:val="1"/>
          <w:lang w:eastAsia="ar-SA"/>
        </w:rPr>
        <w:t>(X. Xu et al., 2020)</w:t>
      </w:r>
      <w:r w:rsidR="002C64DA" w:rsidRPr="004325A4">
        <w:rPr>
          <w:rFonts w:ascii="Times New Roman" w:hAnsi="Times New Roman"/>
          <w:color w:val="000000"/>
          <w:kern w:val="1"/>
          <w:lang w:eastAsia="ar-SA"/>
        </w:rPr>
        <w:fldChar w:fldCharType="end"/>
      </w:r>
      <w:r w:rsidR="0089637F">
        <w:rPr>
          <w:rFonts w:ascii="Times New Roman" w:hAnsi="Times New Roman"/>
          <w:color w:val="000000"/>
          <w:kern w:val="1"/>
          <w:lang w:eastAsia="ar-SA"/>
        </w:rPr>
        <w:t>.</w:t>
      </w:r>
      <w:r w:rsidR="0066631A">
        <w:rPr>
          <w:rFonts w:ascii="Times New Roman" w:hAnsi="Times New Roman"/>
          <w:color w:val="000000"/>
          <w:kern w:val="1"/>
          <w:lang w:eastAsia="ar-SA"/>
        </w:rPr>
        <w:t xml:space="preserve"> On the other hand, </w:t>
      </w:r>
      <w:r w:rsidR="0066631A" w:rsidRPr="00C40C67">
        <w:rPr>
          <w:rFonts w:ascii="Times New Roman" w:hAnsi="Times New Roman"/>
          <w:color w:val="000000"/>
          <w:kern w:val="1"/>
          <w:lang w:eastAsia="ar-SA"/>
        </w:rPr>
        <w:t>the first demonstration</w:t>
      </w:r>
      <w:r w:rsidR="0066631A">
        <w:rPr>
          <w:rFonts w:ascii="Times New Roman" w:hAnsi="Times New Roman"/>
          <w:color w:val="000000"/>
          <w:kern w:val="1"/>
          <w:lang w:eastAsia="ar-SA"/>
        </w:rPr>
        <w:t xml:space="preserve"> </w:t>
      </w:r>
      <w:r w:rsidR="0066631A" w:rsidRPr="00C40C67">
        <w:rPr>
          <w:rFonts w:ascii="Times New Roman" w:hAnsi="Times New Roman"/>
          <w:color w:val="000000"/>
          <w:kern w:val="1"/>
          <w:lang w:eastAsia="ar-SA"/>
        </w:rPr>
        <w:t xml:space="preserve">of enforcing an expanded genetic code to </w:t>
      </w:r>
      <w:r w:rsidR="0066631A">
        <w:rPr>
          <w:rFonts w:ascii="Times New Roman" w:hAnsi="Times New Roman"/>
          <w:color w:val="000000"/>
          <w:kern w:val="1"/>
          <w:lang w:eastAsia="ar-SA"/>
        </w:rPr>
        <w:t>incorporate</w:t>
      </w:r>
      <w:r w:rsidR="0066631A" w:rsidRPr="00A757D9">
        <w:rPr>
          <w:rFonts w:ascii="Times New Roman" w:hAnsi="Times New Roman"/>
          <w:color w:val="000000"/>
          <w:kern w:val="1"/>
          <w:lang w:eastAsia="ar-SA"/>
        </w:rPr>
        <w:t xml:space="preserve"> rare amino acid selenocysteine to form di</w:t>
      </w:r>
      <w:r w:rsidR="00873612">
        <w:rPr>
          <w:rFonts w:ascii="Times New Roman" w:hAnsi="Times New Roman"/>
          <w:color w:val="000000"/>
          <w:kern w:val="1"/>
          <w:lang w:eastAsia="ar-SA"/>
        </w:rPr>
        <w:t>-</w:t>
      </w:r>
      <w:r w:rsidR="0066631A" w:rsidRPr="00A757D9">
        <w:rPr>
          <w:rFonts w:ascii="Times New Roman" w:hAnsi="Times New Roman"/>
          <w:color w:val="000000"/>
          <w:kern w:val="1"/>
          <w:lang w:eastAsia="ar-SA"/>
        </w:rPr>
        <w:t xml:space="preserve">selenide bonds </w:t>
      </w:r>
      <w:r w:rsidR="0066631A">
        <w:rPr>
          <w:rFonts w:ascii="Times New Roman" w:hAnsi="Times New Roman"/>
          <w:color w:val="000000"/>
          <w:kern w:val="1"/>
          <w:lang w:eastAsia="ar-SA"/>
        </w:rPr>
        <w:t>has</w:t>
      </w:r>
      <w:r w:rsidR="00B82A9E">
        <w:rPr>
          <w:rFonts w:ascii="Times New Roman" w:hAnsi="Times New Roman"/>
          <w:color w:val="000000"/>
          <w:kern w:val="1"/>
          <w:lang w:eastAsia="ar-SA"/>
        </w:rPr>
        <w:t xml:space="preserve"> also</w:t>
      </w:r>
      <w:r w:rsidR="0066631A">
        <w:rPr>
          <w:rFonts w:ascii="Times New Roman" w:hAnsi="Times New Roman"/>
          <w:color w:val="000000"/>
          <w:kern w:val="1"/>
          <w:lang w:eastAsia="ar-SA"/>
        </w:rPr>
        <w:t xml:space="preserve"> been reported </w:t>
      </w:r>
      <w:r w:rsidR="00E34103">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{"citationItems":[{"id":"ITEM-1","itemData":{"DOI":"10.1038/nbt.4154","ISSN":"15461696","PMID":"29863724","abstract":"Incorporation of the rare amino acid selenocysteine to form diselenide bonds can improve stability and function of synthetic peptide therapeutics. However, application of this approach to recombinant proteins has been hampered by heterogeneous incorporation, low selenoprotein yields, and poor fitness of bacterial producer strains. We report the evolution of recoded Escherichia coli strains with improved fitness that are superior hosts for recombinant selenoprotein production. We apply an engineered β-lactamase containing an essential diselenide bond to enforce selenocysteine dependence during continuous evolution of recoded E. coli strains. Evolved strains maintain an expanded genetic code indefinitely. We engineer a fluorescent reporter to quantify selenocysteine incorporation in vivo and show complete decoding of UAG codons as selenocysteine. Replacement of native, labile disulfide bonds in antibody fragments with diselenide bonds vastly improves resistance to reducing conditions. Highly seleno-competent bacterial strains enable industrial-scale selenoprotein expression and unique diselenide architecture, advancing our ability to customize the selenoproteome.","author":[{"dropping-particle":"","family":"Thyer","given":"Ross","non-dropping-particle":"","parse-names":false,"suffix":""},{"dropping-particle":"","family":"Shroff","given":"Raghav","non-dropping-particle":"","parse-names":false,"suffix":""},{"dropping-particle":"","family":"Klein","given":"Dustin R.","non-dropping-particle":"","parse-names":false,"suffix":""},{"dropping-particle":"","family":"D'Oelsnitz","given":"Simon","non-dropping-particle":"","parse-names":false,"suffix":""},{"dropping-particle":"","family":"Cotham","given":"Victoria C.","non-dropping-particle":"","parse-names":false,"suffix":""},{"dropping-particle":"","family":"Byrom","given":"Michelle","non-dropping-particle":"","parse-names":false,"suffix":""},{"dropping-particle":"","family":"Brodbelt","given":"Jennifer S.","non-dropping-particle":"","parse-names":false,"suffix":""},{"dropping-particle":"","family":"Ellington","given":"Andrew D.","non-dropping-particle":"","parse-names":false,"suffix":""}],"container-title":"Nature Biotechnology","id":"ITEM-1","issue":"7","issued":{"date-parts":[["2018"]]},"page":"624-631","publisher":"Nature Publishing Group","title":"Custom selenoprotein production enabled by laboratory evolution of recoded bacterial strains","type":"article-journal","volume":"36"},"uris":["http://www.mendeley.com/documents/?uuid=0d9674d1-41a3-406b-971d-62e235d7893e","http://www.mendeley.com/documents/?uuid=a3c4caac-8442-4311-a5ab-4eb2eafdb259","http://www.mendeley.com/documents/?uuid=f3f7edf4-3a32-4916-bb1a-d99211d072fe"]}],"mendeley":{"formattedCitation":"(Thyer et al., 2018)","plainTextFormattedCitation":"(Thyer et al., 2018)","previouslyFormattedCitation":"(Thyer et al., 2018)"},"properties":{"noteIndex":0},"schema":"https://github.com/citation-style-language/schema/raw/master/csl-citation.json"}</w:instrText>
      </w:r>
      <w:r w:rsidR="00E34103">
        <w:rPr>
          <w:rFonts w:ascii="Times New Roman" w:hAnsi="Times New Roman"/>
          <w:color w:val="000000"/>
          <w:kern w:val="1"/>
          <w:lang w:eastAsia="ar-SA"/>
        </w:rPr>
        <w:fldChar w:fldCharType="separate"/>
      </w:r>
      <w:r w:rsidR="00E34103" w:rsidRPr="00E34103">
        <w:rPr>
          <w:rFonts w:ascii="Times New Roman" w:hAnsi="Times New Roman"/>
          <w:noProof/>
          <w:color w:val="000000"/>
          <w:kern w:val="1"/>
          <w:lang w:eastAsia="ar-SA"/>
        </w:rPr>
        <w:t>(Thyer et al., 2018)</w:t>
      </w:r>
      <w:r w:rsidR="00E34103">
        <w:rPr>
          <w:rFonts w:ascii="Times New Roman" w:hAnsi="Times New Roman"/>
          <w:color w:val="000000"/>
          <w:kern w:val="1"/>
          <w:lang w:eastAsia="ar-SA"/>
        </w:rPr>
        <w:fldChar w:fldCharType="end"/>
      </w:r>
      <w:r w:rsidR="0066631A">
        <w:rPr>
          <w:rFonts w:ascii="Times New Roman" w:hAnsi="Times New Roman"/>
          <w:color w:val="000000"/>
          <w:kern w:val="1"/>
          <w:lang w:eastAsia="ar-SA"/>
        </w:rPr>
        <w:t>.</w:t>
      </w:r>
    </w:p>
    <w:p w14:paraId="42E07E68" w14:textId="6D5CA008" w:rsidR="00A268DA" w:rsidRPr="00A268DA" w:rsidRDefault="00A268DA" w:rsidP="06DD7B6A">
      <w:pPr>
        <w:suppressAutoHyphens/>
        <w:autoSpaceDE w:val="0"/>
        <w:spacing w:before="120" w:after="120" w:line="240" w:lineRule="auto"/>
        <w:jc w:val="both"/>
        <w:rPr>
          <w:rFonts w:ascii="Times New Roman" w:hAnsi="Times New Roman"/>
          <w:color w:val="000000" w:themeColor="text1"/>
          <w:lang w:eastAsia="ar-SA"/>
        </w:rPr>
      </w:pPr>
      <w:r w:rsidRPr="00A268DA">
        <w:rPr>
          <w:rFonts w:ascii="Times New Roman" w:hAnsi="Times New Roman"/>
          <w:color w:val="000000"/>
          <w:kern w:val="1"/>
          <w:lang w:eastAsia="ar-SA"/>
        </w:rPr>
        <w:t xml:space="preserve">Research in xenobiology is also being used to explore the basic physical properties that led DNA and RNA to be the genetic material of life </w:t>
      </w:r>
      <w:r w:rsidR="0041274C">
        <w:rPr>
          <w:rFonts w:ascii="Times New Roman" w:hAnsi="Times New Roman"/>
          <w:color w:val="000000"/>
          <w:kern w:val="1"/>
          <w:lang w:eastAsia="ar-SA"/>
        </w:rPr>
        <w:fldChar w:fldCharType="begin" w:fldLock="1"/>
      </w:r>
      <w:r w:rsidR="008F6A90">
        <w:rPr>
          <w:rFonts w:ascii="Times New Roman" w:hAnsi="Times New Roman"/>
          <w:color w:val="000000"/>
          <w:kern w:val="1"/>
          <w:lang w:eastAsia="ar-SA"/>
        </w:rPr>
        <w:instrText>ADDIN CSL_CITATION {"citationItems":[{"id":"ITEM-1","itemData":{"DOI":"10.1016/j.chembiol.2012.10.011","ISSN":"10745521","author":[{"dropping-particle":"","family":"Chaput","given":"John C.","non-dropping-particle":"","parse-names":false,"suffix":""},{"dropping-particle":"","family":"Yu","given":"Hanyang","non-dropping-particle":"","parse-names":false,"suffix":""},{"dropping-particle":"","family":"Zhang","given":"Su","non-dropping-particle":"","parse-names":false,"suffix":""}],"container-title":"Chemistry &amp; Biology","id":"ITEM-1","issue":"11","issued":{"date-parts":[["2012","11"]]},"page":"1360-1371","title":"The Emerging World of Synthetic Genetics","type":"article-journal","volume":"19"},"uris":["http://www.mendeley.com/documents/?uuid=f5175af8-cc54-4539-aa3a-2d700f62b946"]},{"id":"ITEM-2","itemData":{"author":[{"dropping-particle":"","family":"Pauwels","given":"Katia","non-dropping-particle":"","parse-names":false,"suffix":""},{"dropping-particle":"","family":"Willemarck","given":"Nicolas","non-dropping-particle":"","parse-names":false,"suffix":""},{"dropping-particle":"","family":"Breyer","given":"Didier","non-dropping-particle":"","parse-names":false,"suffix":""},{"dropping-particle":"","family":"Herman","given":"Philippe","non-dropping-particle":"","parse-names":false,"suffix":""}],"id":"ITEM-2","issued":{"date-parts":[["2012"]]},"title":"Synthetic Biology: Latest developments, biosafety considerations and regulatory challenges","type":"report"},"uris":["http://www.mendeley.com/documents/?uuid=f7f1e64f-7749-407a-acc6-7cca13a4bf24"]}],"mendeley":{"formattedCitation":"(Chaput et al., 2012; Pauwels et al., 2012)","plainTextFormattedCitation":"(Chaput et al., 2012; Pauwels et al., 2012)","previouslyFormattedCitation":"(Chaput et al., 2012; Pauwels et al., 2012)"},"properties":{"noteIndex":0},"schema":"https://github.com/citation-style-language/schema/raw/master/csl-citation.json"}</w:instrText>
      </w:r>
      <w:r w:rsidR="0041274C">
        <w:rPr>
          <w:rFonts w:ascii="Times New Roman" w:hAnsi="Times New Roman"/>
          <w:color w:val="000000"/>
          <w:kern w:val="1"/>
          <w:lang w:eastAsia="ar-SA"/>
        </w:rPr>
        <w:fldChar w:fldCharType="separate"/>
      </w:r>
      <w:r w:rsidR="0041274C" w:rsidRPr="0041274C">
        <w:rPr>
          <w:rFonts w:ascii="Times New Roman" w:hAnsi="Times New Roman"/>
          <w:noProof/>
          <w:color w:val="000000"/>
          <w:kern w:val="1"/>
          <w:lang w:eastAsia="ar-SA"/>
        </w:rPr>
        <w:t>(Chaput et al., 2012; Pauwels et al., 2012)</w:t>
      </w:r>
      <w:r w:rsidR="0041274C">
        <w:rPr>
          <w:rFonts w:ascii="Times New Roman" w:hAnsi="Times New Roman"/>
          <w:color w:val="000000"/>
          <w:kern w:val="1"/>
          <w:lang w:eastAsia="ar-SA"/>
        </w:rPr>
        <w:fldChar w:fldCharType="end"/>
      </w:r>
      <w:r w:rsidRPr="00A268DA">
        <w:rPr>
          <w:rFonts w:ascii="Times New Roman" w:hAnsi="Times New Roman"/>
          <w:color w:val="000000"/>
          <w:kern w:val="1"/>
          <w:lang w:eastAsia="ar-SA"/>
        </w:rPr>
        <w:t>.</w:t>
      </w:r>
      <w:r w:rsidR="09477C3F" w:rsidRPr="00A268DA">
        <w:rPr>
          <w:rFonts w:ascii="Times New Roman" w:hAnsi="Times New Roman"/>
          <w:color w:val="000000"/>
          <w:kern w:val="1"/>
          <w:lang w:eastAsia="ar-SA"/>
        </w:rPr>
        <w:t xml:space="preserve"> </w:t>
      </w:r>
      <w:r w:rsidR="09477C3F" w:rsidRPr="06DD7B6A">
        <w:rPr>
          <w:rFonts w:ascii="Times New Roman" w:hAnsi="Times New Roman"/>
          <w:color w:val="000000" w:themeColor="text1"/>
          <w:lang w:eastAsia="ar-SA"/>
        </w:rPr>
        <w:t>Developing novel and hitherto unexplored life forms with novel features holds great potential in almost every economic sector. A chemically mo</w:t>
      </w:r>
      <w:r w:rsidR="5C50F431" w:rsidRPr="06DD7B6A">
        <w:rPr>
          <w:rFonts w:ascii="Times New Roman" w:hAnsi="Times New Roman"/>
          <w:color w:val="000000" w:themeColor="text1"/>
          <w:lang w:eastAsia="ar-SA"/>
        </w:rPr>
        <w:t>di</w:t>
      </w:r>
      <w:r w:rsidR="09477C3F" w:rsidRPr="06DD7B6A">
        <w:rPr>
          <w:rFonts w:ascii="Times New Roman" w:hAnsi="Times New Roman"/>
          <w:color w:val="000000" w:themeColor="text1"/>
          <w:lang w:eastAsia="ar-SA"/>
        </w:rPr>
        <w:t xml:space="preserve">fied organism </w:t>
      </w:r>
      <w:r w:rsidR="000C6AF2">
        <w:rPr>
          <w:rFonts w:ascii="Times New Roman" w:hAnsi="Times New Roman"/>
          <w:color w:val="000000" w:themeColor="text1"/>
          <w:lang w:eastAsia="ar-SA"/>
        </w:rPr>
        <w:t>(</w:t>
      </w:r>
      <w:r w:rsidR="000C6AF2" w:rsidRPr="009377C6">
        <w:rPr>
          <w:rFonts w:ascii="Times New Roman" w:hAnsi="Times New Roman"/>
          <w:color w:val="000000" w:themeColor="text1"/>
          <w:lang w:eastAsia="ar-SA"/>
        </w:rPr>
        <w:t>endowed with unnatural DNA bases or amino acids</w:t>
      </w:r>
      <w:r w:rsidR="000C6AF2">
        <w:rPr>
          <w:rFonts w:ascii="Times New Roman" w:hAnsi="Times New Roman"/>
          <w:color w:val="000000" w:themeColor="text1"/>
          <w:lang w:eastAsia="ar-SA"/>
        </w:rPr>
        <w:t>)</w:t>
      </w:r>
      <w:r w:rsidR="000C6AF2" w:rsidRPr="06DD7B6A">
        <w:rPr>
          <w:rFonts w:ascii="Times New Roman" w:hAnsi="Times New Roman"/>
          <w:color w:val="000000" w:themeColor="text1"/>
          <w:lang w:eastAsia="ar-SA"/>
        </w:rPr>
        <w:t xml:space="preserve"> </w:t>
      </w:r>
      <w:r w:rsidR="09477C3F" w:rsidRPr="06DD7B6A">
        <w:rPr>
          <w:rFonts w:ascii="Times New Roman" w:hAnsi="Times New Roman"/>
          <w:color w:val="000000" w:themeColor="text1"/>
          <w:lang w:eastAsia="ar-SA"/>
        </w:rPr>
        <w:t xml:space="preserve">that can process unnatural chemicals and convert them into something useful will be highly desirable in the chemical industry </w:t>
      </w:r>
      <w:r w:rsidR="003C70B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{"citationItems":[{"id":"ITEM-1","itemData":{"DOI":"10.1111/1751-7915.12398","ISSN":"17517915","PMID":"27489097","abstract":"Biology is an analytical and informational science that is becoming increasingly dependent on chemical synthesis. One example is the high-throughput and low-cost synthesis of DNA, which is a foundation for the research field of synthetic biology (SB). The aim of SB is to provide biotechnological solutions to health, energy and environmental issues as well as unsustainable manufacturing processes in the frame of naturally existing chemical building blocks. Xenobiology (XB) goes a step further by implementing non-natural building blocks in living cells. In this context, genetic code engineering respectively enables the re-design of genes/genomes and proteins/proteomes with non-canonical nucleic (XNAs) and amino (ncAAs) acids. Besides studying information flow and evolutionary innovation in living systems, XB allows the development of new-to-nature therapeutic proteins/peptides, new biocatalysts for potential applications in synthetic organic chemistry and biocontainment strategies for enhanced biosafety. In this perspective, we provide a brief history and evolution of the genetic code in the context of XB. We then discuss the latest efforts and challenges ahead for engineering the genetic code with focus on substitutions and additions of ncAAs as well as standard amino acid reductions. Finally, we present a roadmap for the directed evolution of artificial microbes for emancipating rare sense codons that could be used to introduce novel building blocks. The development of such xenomicroorganisms endowed with a ‘genetic firewall’ will also allow to study and understand the relation between code evolution and horizontal gene transfer.","author":[{"dropping-particle":"","family":"Acevedo-Rocha","given":"Carlos G.","non-dropping-particle":"","parse-names":false,"suffix":""},{"dropping-particle":"","family":"Budisa","given":"Nediljko","non-dropping-particle":"","parse-names":false,"suffix":""}],"container-title":"Microbial Biotechnology","id":"ITEM-1","issue":"5","issued":{"date-parts":[["2016","9"]]},"page":"666-676","publisher":"John Wiley and Sons Ltd","title":"Xenomicrobiology: a roadmap for genetic code engineering","type":"article-journal","volume":"9"},"uris":["http://www.mendeley.com/documents/?uuid=8e5167b4-b6ec-435a-a5c2-d085cb9b5459"]}],"mendeley":{"formattedCitation":"(Acevedo-Rocha &amp; Budisa, 2016)","plainTextFormattedCitation":"(Acevedo-Rocha &amp; Budisa, 2016)","previouslyFormattedCitation":"(Acevedo-Rocha &amp; Budisa, 2016)"},"properties":{"noteIndex":0},"schema":"https://github.com/citation-style-language/schema/raw/master/csl-citation.json"}</w:instrText>
      </w:r>
      <w:r w:rsidR="003C70B7">
        <w:rPr>
          <w:rFonts w:ascii="Times New Roman" w:hAnsi="Times New Roman"/>
          <w:color w:val="000000" w:themeColor="text1"/>
          <w:lang w:eastAsia="ar-SA"/>
        </w:rPr>
        <w:fldChar w:fldCharType="separate"/>
      </w:r>
      <w:r w:rsidR="003C70B7" w:rsidRPr="003C70B7">
        <w:rPr>
          <w:rFonts w:ascii="Times New Roman" w:hAnsi="Times New Roman"/>
          <w:noProof/>
          <w:color w:val="000000" w:themeColor="text1"/>
          <w:lang w:eastAsia="ar-SA"/>
        </w:rPr>
        <w:t>(Acevedo-Rocha &amp; Budisa, 2016)</w:t>
      </w:r>
      <w:r w:rsidR="003C70B7">
        <w:rPr>
          <w:rFonts w:ascii="Times New Roman" w:hAnsi="Times New Roman"/>
          <w:color w:val="000000" w:themeColor="text1"/>
          <w:lang w:eastAsia="ar-SA"/>
        </w:rPr>
        <w:fldChar w:fldCharType="end"/>
      </w:r>
      <w:r w:rsidR="09477C3F" w:rsidRPr="06DD7B6A">
        <w:rPr>
          <w:rFonts w:ascii="Times New Roman" w:hAnsi="Times New Roman"/>
          <w:color w:val="000000" w:themeColor="text1"/>
          <w:lang w:eastAsia="ar-SA"/>
        </w:rPr>
        <w:t xml:space="preserve">. At the same time, an organism that is alienated from existing ones and relies on a certain man‐made cocktail of chemicals, could be employed for biosafety purposes, thereby </w:t>
      </w:r>
      <w:r w:rsidR="002D22AE">
        <w:rPr>
          <w:rFonts w:ascii="Times New Roman" w:hAnsi="Times New Roman"/>
          <w:color w:val="000000" w:themeColor="text1"/>
          <w:lang w:eastAsia="ar-SA"/>
        </w:rPr>
        <w:t xml:space="preserve">potentially </w:t>
      </w:r>
      <w:r w:rsidR="09477C3F" w:rsidRPr="06DD7B6A">
        <w:rPr>
          <w:rFonts w:ascii="Times New Roman" w:hAnsi="Times New Roman"/>
          <w:color w:val="000000" w:themeColor="text1"/>
          <w:lang w:eastAsia="ar-SA"/>
        </w:rPr>
        <w:t>addressing ecological concerns regarding biotechnological developments</w:t>
      </w:r>
      <w:r w:rsidR="09477C3F" w:rsidRPr="00A268DA">
        <w:rPr>
          <w:rFonts w:ascii="Times New Roman" w:hAnsi="Times New Roman"/>
          <w:color w:val="000000"/>
          <w:kern w:val="1"/>
          <w:lang w:eastAsia="ar-SA"/>
        </w:rPr>
        <w:t xml:space="preserve"> </w:t>
      </w:r>
      <w:r w:rsidR="00D573AC"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{"citationItems":[{"id":"ITEM-1","itemData":{"DOI":"10.1002/cbic.202000141","ISSN":"1439-4227","abstract":"Xenobiology is the science of estranged life forms. More specifically, this is an emergent technoscience that combines advances in genetic engineering with the design of biological systems based on unusual biochemistries delivered by chemical compounds of mostly anthropogenic origin. Xenobiology enables us to create and study strange new life forms, “aliens”, not in the way science fiction books do it, but in terms of enlightened science, design, and engineering.","author":[{"dropping-particle":"","family":"Budisa","given":"Nediljko","non-dropping-particle":"","parse-names":false,"suffix":""},{"dropping-particle":"","family":"Kubyshkin","given":"Vladimir","non-dropping-particle":"","parse-names":false,"suffix":""},{"dropping-particle":"","family":"Schmidt","given":"Markus","non-dropping-particle":"","parse-names":false,"suffix":""}],"container-title":"ChemBioChem","id":"ITEM-1","issue":"16","issued":{"date-parts":[["2020","8"]]},"page":"2228-2231","publisher":"Wiley-VCH Verlag","title":"Xenobiology: A Journey towards Parallel Life Forms","type":"article-journal","volume":"21"},"uris":["http://www.mendeley.com/documents/?uuid=4364efc2-8c54-4642-841e-7114ebda6275"]}],"mendeley":{"formattedCitation":"(Budisa et al., 2020)","plainTextFormattedCitation":"(Budisa et al., 2020)","previouslyFormattedCitation":"(Budisa et al., 2020)"},"properties":{"noteIndex":0},"schema":"https://github.com/citation-style-language/schema/raw/master/csl-citation.json"}</w:instrText>
      </w:r>
      <w:r w:rsidR="00D573AC" w:rsidRPr="00121D97">
        <w:rPr>
          <w:rFonts w:ascii="Times New Roman" w:hAnsi="Times New Roman"/>
          <w:color w:val="000000" w:themeColor="text1"/>
          <w:lang w:eastAsia="ar-SA"/>
        </w:rPr>
        <w:fldChar w:fldCharType="separate"/>
      </w:r>
      <w:r w:rsidR="00D573AC" w:rsidRPr="00D573AC">
        <w:rPr>
          <w:rFonts w:ascii="Times New Roman" w:hAnsi="Times New Roman"/>
          <w:noProof/>
          <w:color w:val="000000" w:themeColor="text1"/>
          <w:lang w:eastAsia="ar-SA"/>
        </w:rPr>
        <w:t>(Budisa et al., 2020)</w:t>
      </w:r>
      <w:r w:rsidR="00D573AC" w:rsidRPr="00121D97">
        <w:rPr>
          <w:rFonts w:ascii="Times New Roman" w:hAnsi="Times New Roman"/>
          <w:color w:val="000000" w:themeColor="text1"/>
          <w:lang w:eastAsia="ar-SA"/>
        </w:rPr>
        <w:fldChar w:fldCharType="end"/>
      </w:r>
      <w:r w:rsidR="003F02B1">
        <w:rPr>
          <w:rFonts w:ascii="Times New Roman" w:hAnsi="Times New Roman"/>
          <w:color w:val="000000" w:themeColor="text1"/>
          <w:lang w:eastAsia="ar-SA"/>
        </w:rPr>
        <w:t>.</w:t>
      </w:r>
    </w:p>
    <w:p w14:paraId="7700B258" w14:textId="11615BCC" w:rsidR="00A268DA" w:rsidRPr="008038D2" w:rsidRDefault="00496F75" w:rsidP="008805B8">
      <w:pPr>
        <w:pStyle w:val="Heading3"/>
      </w:pPr>
      <w:bookmarkStart w:id="56" w:name="_Toc70112675"/>
      <w:bookmarkStart w:id="57" w:name="_Toc70685697"/>
      <w:r>
        <w:rPr>
          <w:lang w:val="en-US"/>
        </w:rPr>
        <w:t>2</w:t>
      </w:r>
      <w:r w:rsidR="57CB204D">
        <w:t>.</w:t>
      </w:r>
      <w:r w:rsidR="00C90F43" w:rsidRPr="3CBB9A12">
        <w:rPr>
          <w:lang w:val="en-US"/>
        </w:rPr>
        <w:t>7</w:t>
      </w:r>
      <w:r w:rsidR="15E625F3">
        <w:t>.</w:t>
      </w:r>
      <w:r w:rsidR="5F60D8FF">
        <w:t xml:space="preserve"> </w:t>
      </w:r>
      <w:r w:rsidR="57CB204D">
        <w:t>Cell</w:t>
      </w:r>
      <w:r w:rsidR="00B0468C">
        <w:t>-</w:t>
      </w:r>
      <w:r w:rsidR="57CB204D">
        <w:t>free systems</w:t>
      </w:r>
      <w:r w:rsidR="008038D2">
        <w:rPr>
          <w:lang w:val="en-US"/>
        </w:rPr>
        <w:t>.</w:t>
      </w:r>
      <w:bookmarkEnd w:id="56"/>
      <w:bookmarkEnd w:id="57"/>
    </w:p>
    <w:p w14:paraId="1BF719AB" w14:textId="7D5374CD" w:rsidR="00D272C4" w:rsidRDefault="3B9D2A0F" w:rsidP="60A86203">
      <w:pPr>
        <w:spacing w:before="120" w:after="120" w:line="240" w:lineRule="auto"/>
        <w:jc w:val="both"/>
        <w:rPr>
          <w:rFonts w:ascii="Times New Roman" w:hAnsi="Times New Roman"/>
          <w:color w:val="000000" w:themeColor="text1"/>
          <w:lang w:eastAsia="ar-SA"/>
        </w:rPr>
      </w:pPr>
      <w:r w:rsidRPr="3CBB9A12">
        <w:rPr>
          <w:rFonts w:ascii="Times New Roman" w:hAnsi="Times New Roman"/>
          <w:color w:val="000000" w:themeColor="text1"/>
          <w:lang w:eastAsia="ar-SA"/>
        </w:rPr>
        <w:t>Cell-free systems (</w:t>
      </w:r>
      <w:r w:rsidR="617D55F7" w:rsidRPr="3CBB9A12">
        <w:rPr>
          <w:rFonts w:ascii="Times New Roman" w:hAnsi="Times New Roman"/>
          <w:color w:val="000000" w:themeColor="text1"/>
          <w:lang w:eastAsia="ar-SA"/>
        </w:rPr>
        <w:t>CFS</w:t>
      </w:r>
      <w:r w:rsidR="002A63E3" w:rsidRPr="3CBB9A12">
        <w:rPr>
          <w:rFonts w:ascii="Times New Roman" w:hAnsi="Times New Roman"/>
          <w:color w:val="000000" w:themeColor="text1"/>
          <w:lang w:eastAsia="ar-SA"/>
        </w:rPr>
        <w:t xml:space="preserve">) </w:t>
      </w:r>
      <w:r w:rsidRPr="3CBB9A12">
        <w:rPr>
          <w:rFonts w:ascii="Times New Roman" w:hAnsi="Times New Roman"/>
          <w:color w:val="000000" w:themeColor="text1"/>
          <w:lang w:eastAsia="ar-SA"/>
        </w:rPr>
        <w:t>can contribute in several ways to improv</w:t>
      </w:r>
      <w:r w:rsidR="608A5B2B" w:rsidRPr="3CBB9A12">
        <w:rPr>
          <w:rFonts w:ascii="Times New Roman" w:hAnsi="Times New Roman"/>
          <w:color w:val="000000" w:themeColor="text1"/>
          <w:lang w:eastAsia="ar-SA"/>
        </w:rPr>
        <w:t>ing</w:t>
      </w:r>
      <w:r w:rsidRPr="3CBB9A12">
        <w:rPr>
          <w:rFonts w:ascii="Times New Roman" w:hAnsi="Times New Roman"/>
          <w:color w:val="000000" w:themeColor="text1"/>
          <w:lang w:eastAsia="ar-SA"/>
        </w:rPr>
        <w:t xml:space="preserve"> the design process of synthetic biological systems, which span scales from the molecular (genetic regulatory elements, proteins, enzymes), to the systemic (gene regulatory and metabolic networks), and all the way to extracellular levels (synthetic cells, communication, self-assembly)</w:t>
      </w:r>
      <w:r w:rsidR="002A63E3" w:rsidRPr="3CBB9A12">
        <w:rPr>
          <w:rFonts w:ascii="Times New Roman" w:hAnsi="Times New Roman"/>
          <w:color w:val="000000" w:themeColor="text1"/>
          <w:lang w:eastAsia="ar-SA"/>
        </w:rPr>
        <w:t xml:space="preserve"> </w:t>
      </w:r>
      <w:r w:rsidR="00685F65">
        <w:rPr>
          <w:rFonts w:ascii="Times New Roman" w:hAnsi="Times New Roman"/>
          <w:color w:val="000000" w:themeColor="text1"/>
          <w:lang w:eastAsia="ar-SA"/>
        </w:rPr>
        <w:fldChar w:fldCharType="begin" w:fldLock="1"/>
      </w:r>
      <w:r w:rsidR="00685F65">
        <w:rPr>
          <w:rFonts w:ascii="Times New Roman" w:hAnsi="Times New Roman"/>
          <w:color w:val="000000" w:themeColor="text1"/>
          <w:lang w:eastAsia="ar-SA"/>
        </w:rPr>
        <w:instrText>ADDIN CSL_CITATION {"citationItems":[{"id":"ITEM-1","itemData":{"DOI":"10.1016/j.copbio.2018.10.007","ISSN":"09581669","author":[{"dropping-particle":"","family":"Garenne","given":"David","non-dropping-particle":"","parse-names":false,"suffix":""},{"dropping-particle":"","family":"Noireaux","given":"Vincent","non-dropping-particle":"","parse-names":false,"suffix":""}],"container-title":"Current Opinion in Biotechnology","id":"ITEM-1","issued":{"date-parts":[["2019","8"]]},"page":"19-27","title":"Cell-free transcription–translation: engineering biology from the nanometer to the millimeter scale","type":"article-journal","volume":"58"},"uris":["http://www.mendeley.com/documents/?uuid=8399639b-f3ee-4926-93ec-1529f5102790"]}],"mendeley":{"formattedCitation":"(Garenne &amp; Noireaux, 2019)","manualFormatting":"(Garenne &amp; Noireaux, 2019","plainTextFormattedCitation":"(Garenne &amp; Noireaux, 2019)","previouslyFormattedCitation":"(Garenne &amp; Noireaux, 2019)"},"properties":{"noteIndex":0},"schema":"https://github.com/citation-style-language/schema/raw/master/csl-citation.json"}</w:instrText>
      </w:r>
      <w:r w:rsidR="00685F65">
        <w:rPr>
          <w:rFonts w:ascii="Times New Roman" w:hAnsi="Times New Roman"/>
          <w:color w:val="000000" w:themeColor="text1"/>
          <w:lang w:eastAsia="ar-SA"/>
        </w:rPr>
        <w:fldChar w:fldCharType="separate"/>
      </w:r>
      <w:r w:rsidR="00685F65" w:rsidRPr="00685F65">
        <w:rPr>
          <w:rFonts w:ascii="Times New Roman" w:hAnsi="Times New Roman"/>
          <w:noProof/>
          <w:color w:val="000000" w:themeColor="text1"/>
          <w:lang w:eastAsia="ar-SA"/>
        </w:rPr>
        <w:t>(Garenne &amp; Noireaux, 2019</w:t>
      </w:r>
      <w:r w:rsidR="00685F65">
        <w:rPr>
          <w:rFonts w:ascii="Times New Roman" w:hAnsi="Times New Roman"/>
          <w:color w:val="000000" w:themeColor="text1"/>
          <w:lang w:eastAsia="ar-SA"/>
        </w:rPr>
        <w:fldChar w:fldCharType="end"/>
      </w:r>
      <w:r w:rsidR="002A63E3" w:rsidRPr="3CBB9A12">
        <w:rPr>
          <w:rFonts w:ascii="Times New Roman" w:hAnsi="Times New Roman"/>
          <w:color w:val="000000" w:themeColor="text1"/>
          <w:lang w:eastAsia="ar-SA"/>
        </w:rPr>
        <w:t xml:space="preserve">; </w:t>
      </w:r>
      <w:r w:rsidRPr="3CBB9A12">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{"citationItems":[{"id":"ITEM-1","itemData":{"DOI":"10.3389/fbioe.2020.00788","ISSN":"22964185","abstract":"Cell-free gene expression systems present an alternative approach to synthetic biology, where biological gene expression is harnessed inside non-living, in vitro biochemical reactions. Taking advantage of a plethora of recent experimental innovations, they easily overcome certain challenges for computer-aided biological design. For instance, their open nature renders all their components directly accessible, greatly facilitating model construction and validation. At the same time, these systems present their own unique difficulties, such as limited reaction lifetimes and lack of homeostasis. In this Perspective, I propose that cell-free systems are an ideal proving ground to test rational biodesign strategies, as demonstrated by a small but growing number of examples of model-guided, forward engineered cell-free biosystems. It is likely that advances gained from this approach will contribute to our efforts to more reliably and systematically engineer both cell-free as well as living cellular systems for useful applications.","author":[{"dropping-particle":"","family":"Laohakunakorn","given":"Nadanai","non-dropping-particle":"","parse-names":false,"suffix":""}],"container-title":"Frontiers in Bioengineering and Biotechnology","id":"ITEM-1","issued":{"date-parts":[["2020","7"]]},"page":"788","publisher":"Frontiers Media S.A.","title":"Cell-Free Systems: A Proving Ground for Rational Biodesign","type":"article-journal","volume":"8"},"uris":["http://www.mendeley.com/documents/?uuid=22648c1f-e05d-4f4b-a5c9-2c09873b1a24"]}],"mendeley":{"formattedCitation":"(Laohakunakorn, 2020)","manualFormatting":"Laohakunakorn, 2020)","plainTextFormattedCitation":"(Laohakunakorn, 2020)","previouslyFormattedCitation":"(Laohakunakorn, 2020)"},"properties":{"noteIndex":0},"schema":"https://github.com/citation-style-language/schema/raw/master/csl-citation.json"}</w:instrText>
      </w:r>
      <w:r w:rsidRPr="3CBB9A12">
        <w:rPr>
          <w:rFonts w:ascii="Times New Roman" w:hAnsi="Times New Roman"/>
          <w:color w:val="000000" w:themeColor="text1"/>
          <w:lang w:eastAsia="ar-SA"/>
        </w:rPr>
        <w:fldChar w:fldCharType="separate"/>
      </w:r>
      <w:r w:rsidR="002A63E3" w:rsidRPr="3CBB9A12">
        <w:rPr>
          <w:rFonts w:ascii="Times New Roman" w:hAnsi="Times New Roman"/>
          <w:noProof/>
          <w:color w:val="000000" w:themeColor="text1"/>
          <w:lang w:eastAsia="ar-SA"/>
        </w:rPr>
        <w:t>Laohakunakorn, 2020)</w:t>
      </w:r>
      <w:r w:rsidRPr="3CBB9A12">
        <w:rPr>
          <w:rFonts w:ascii="Times New Roman" w:hAnsi="Times New Roman"/>
          <w:color w:val="000000" w:themeColor="text1"/>
          <w:lang w:eastAsia="ar-SA"/>
        </w:rPr>
        <w:fldChar w:fldCharType="end"/>
      </w:r>
      <w:r w:rsidRPr="3CBB9A12">
        <w:rPr>
          <w:rFonts w:ascii="Times New Roman" w:hAnsi="Times New Roman"/>
          <w:color w:val="000000" w:themeColor="text1"/>
          <w:lang w:eastAsia="ar-SA"/>
        </w:rPr>
        <w:t xml:space="preserve">. First, they can accelerate DBTL cycles through rapid prototyping </w:t>
      </w:r>
      <w:r w:rsidR="00685F65">
        <w:rPr>
          <w:rFonts w:ascii="Times New Roman" w:hAnsi="Times New Roman"/>
          <w:color w:val="000000" w:themeColor="text1"/>
          <w:lang w:eastAsia="ar-SA"/>
        </w:rPr>
        <w:fldChar w:fldCharType="begin" w:fldLock="1"/>
      </w:r>
      <w:r w:rsidR="00A202B3">
        <w:rPr>
          <w:rFonts w:ascii="Times New Roman" w:hAnsi="Times New Roman"/>
          <w:color w:val="000000" w:themeColor="text1"/>
          <w:lang w:eastAsia="ar-SA"/>
        </w:rPr>
        <w:instrText>ADDIN CSL_CITATION {"citationItems":[{"id":"ITEM-1","itemData":{"DOI":"10.1093/nar/gkt052","ISSN":"03051048","PMID":"23371936","abstract":"A bottleneck in our capacity to rationally and predictably engineer biological systems is the limited number of well-characterized genetic elements from which to build. Current characterization methods are tied to measurements in living systems, the transformation and culturing of which are inherently timeconsuming. To address this, we have validated a completely in vitro approach for the characterization of DNA regulatory elements using Escherichia coli extract cell-free systems. Importantly, we demonstrate that characterization in cell-free systems correlates and is reflective of performance in vivo for the most frequently used DNA regulatory elements. Moreover, we devise a rapid and completely in vitro method to generate DNA templates for cell-free systems, bypassing the need for DNA template generation and amplification from living cells. This in vitro approach is significantly quicker than current characterization methods and is amenable to highthroughput techniques, providing a valuable tool for rapidly prototyping libraries of DNA regulatory elements for synthetic biology. ©The Author(s) 2013.","author":[{"dropping-particle":"","family":"Chappell","given":"James","non-dropping-particle":"","parse-names":false,"suffix":""},{"dropping-particle":"","family":"Jensen","given":"Kirsten","non-dropping-particle":"","parse-names":false,"suffix":""},{"dropping-particle":"","family":"Freemont","given":"Paul S","non-dropping-particle":"","parse-names":false,"suffix":""}],"container-title":"Nucleic Acids Research","id":"ITEM-1","issue":"5","issued":{"date-parts":[["2013","3"]]},"page":"3471-3481","publisher":"Oxford University Press","title":"Validation of an entirely in vitro approach for rapid prototyping of DNA regulatory elements for synthetic biology","type":"article-journal","volume":"41"},"uris":["http://www.mendeley.com/documents/?uuid=836077ab-a197-42f3-bafe-8e5d7a3f4ee4"]},{"id":"ITEM-2","itemData":{"DOI":"10.1016/j.ymeth.2015.05.020","ISSN":"10959130","PMID":"26022922","abstract":"A central goal of synthetic biology is to engineer cellular behavior by engineering synthetic gene networks for a variety of biotechnology and medical applications. The process of engineering gene networks often involves an iterative 'design-build-test' cycle, whereby the parts and connections that make up the network are built, characterized and varied until the desired network function is reached. Many advances have been made in the design and build portions of this cycle. However, the slow process of in vivo characterization of network function often limits the timescale of the testing step. Cell-free transcription-translation (TX-TL) systems offer a simple and fast alternative to performing these characterizations in cells. Here we provide an overview of a cell-free TX-TL system that utilizes the native Escherichia coli TX-TL machinery, thereby allowing a large repertoire of parts and networks to be characterized. As a way to demonstrate the utility of cell-free TX-TL, we illustrate the characterization of two genetic networks: an RNA transcriptional cascade and a protein regulated incoherent feed-forward loop. We also provide guidelines for designing TX-TL experiments to characterize new genetic networks. We end with a discussion of current and emerging applications of cell free systems.","author":[{"dropping-particle":"","family":"Takahashi","given":"Melissa K","non-dropping-particle":"","parse-names":false,"suffix":""},{"dropping-particle":"","family":"Hayes","given":"Clarmyra A","non-dropping-particle":"","parse-names":false,"suffix":""},{"dropping-particle":"","family":"Chappell","given":"James","non-dropping-particle":"","parse-names":false,"suffix":""},{"dropping-particle":"","family":"Sun","given":"Zachary Z","non-dropping-particle":"","parse-names":false,"suffix":""},{"dropping-particle":"","family":"Murray","given":"Richard M","non-dropping-particle":"","parse-names":false,"suffix":""},{"dropping-particle":"","family":"Noireaux","given":"Vincent","non-dropping-particle":"","parse-names":false,"suffix":""},{"dropping-particle":"","family":"Lucks","given":"Julius B","non-dropping-particle":"","parse-names":false,"suffix":""}],"container-title":"Methods","id":"ITEM-2","issued":{"date-parts":[["2015","9"]]},"page":"60-72","publisher":"Academic Press Inc.","title":"Characterizing and prototyping genetic networks with cell-free transcription-translation reactions","type":"article-journal","volume":"86"},"uris":["http://www.mendeley.com/documents/?uuid=788f4d35-a112-45d6-a960-ae1566c7178a"]},{"id":"ITEM-3","itemData":{"DOI":"10.7554/eLife.09771","ISSN":"2050084X","PMID":"26430766","abstract":"While complex dynamic biological networks control gene expression in all living organisms, the forward engineering of comparable synthetic networks remains challenging. The current paradigm of characterizing synthetic networks in cells results in lengthy design-build-test cycles, minimal data collection, and poor quantitative characterization. Cell-free systems are appealing alternative environments, but it remains questionable whether biological networks behave similarly in cell-free systems and in cells. We characterized in a cell-free system the ‘repressilator', a three-node synthetic oscillator. We then engineered novel three, four, and five-gene ring architectures, from characterization of circuit components to rapid analysis of complete networks. When implemented in cells, our novel 3-node networks produced population-wide oscillations and 95% of 5-node oscillator cells oscillated for up to 72 hr. Oscillation periods in cells matched the cell-free system results for all networks tested. An alternate forward engineering paradigm using cell-free systems can thus accurately capture cellular behavior.","author":[{"dropping-particle":"","family":"Niederholtmeyer","given":"Henrike","non-dropping-particle":"","parse-names":false,"suffix":""},{"dropping-particle":"","family":"Sun","given":"Zachary Z","non-dropping-particle":"","parse-names":false,"suffix":""},{"dropping-particle":"","family":"Hori","given":"Yutaka","non-dropping-particle":"","parse-names":false,"suffix":""},{"dropping-particle":"","family":"Yeung","given":"Enoch","non-dropping-particle":"","parse-names":false,"suffix":""},{"dropping-particle":"","family":"Verpoorte","given":"Amanda","non-dropping-particle":"","parse-names":false,"suffix":""},{"dropping-particle":"","family":"Murray","given":"Richard M","non-dropping-particle":"","parse-names":false,"suffix":""},{"dropping-particle":"","family":"Maerkl","given":"Sebastian J","non-dropping-particle":"","parse-names":false,"suffix":""}],"container-title":"eLife","id":"ITEM-3","issue":"OCTOBER2015","issued":{"date-parts":[["2015","10"]]},"publisher":"eLife Sciences Publications Ltd","title":"Rapid cell-free forward engineering of novel genetic ring oscillators","type":"article-journal","volume":"4"},"uris":["http://www.mendeley.com/documents/?uuid=e7cb55d2-644d-48f5-88d3-39a184303bd2"]}],"mendeley":{"formattedCitation":"(Chappell et al., 2013; Niederholtmeyer et al., 2015; Takahashi et al., 2015)","plainTextFormattedCitation":"(Chappell et al., 2013; Niederholtmeyer et al., 2015; Takahashi et al., 2015)","previouslyFormattedCitation":"(Chappell et al., 2013; Niederholtmeyer et al., 2015; Takahashi et al., 2015)"},"properties":{"noteIndex":0},"schema":"https://github.com/citation-style-language/schema/raw/master/csl-citation.json"}</w:instrText>
      </w:r>
      <w:r w:rsidR="00685F65">
        <w:rPr>
          <w:rFonts w:ascii="Times New Roman" w:hAnsi="Times New Roman"/>
          <w:color w:val="000000" w:themeColor="text1"/>
          <w:lang w:eastAsia="ar-SA"/>
        </w:rPr>
        <w:fldChar w:fldCharType="separate"/>
      </w:r>
      <w:r w:rsidR="00A202B3" w:rsidRPr="00A202B3">
        <w:rPr>
          <w:rFonts w:ascii="Times New Roman" w:hAnsi="Times New Roman"/>
          <w:noProof/>
          <w:color w:val="000000" w:themeColor="text1"/>
          <w:lang w:eastAsia="ar-SA"/>
        </w:rPr>
        <w:t>(Chappell et al., 2013; Niederholtmeyer et al., 2015; Takahashi et al., 2015)</w:t>
      </w:r>
      <w:r w:rsidR="00685F65">
        <w:rPr>
          <w:rFonts w:ascii="Times New Roman" w:hAnsi="Times New Roman"/>
          <w:color w:val="000000" w:themeColor="text1"/>
          <w:lang w:eastAsia="ar-SA"/>
        </w:rPr>
        <w:fldChar w:fldCharType="end"/>
      </w:r>
      <w:r w:rsidR="58DD8BBA" w:rsidRPr="3CBB9A12">
        <w:rPr>
          <w:rFonts w:ascii="Times New Roman" w:hAnsi="Times New Roman"/>
          <w:color w:val="000000" w:themeColor="text1"/>
          <w:lang w:eastAsia="ar-SA"/>
        </w:rPr>
        <w:t>, and</w:t>
      </w:r>
      <w:r w:rsidRPr="3CBB9A12">
        <w:rPr>
          <w:rFonts w:ascii="Times New Roman" w:hAnsi="Times New Roman"/>
          <w:color w:val="000000" w:themeColor="text1"/>
          <w:lang w:eastAsia="ar-SA"/>
        </w:rPr>
        <w:t xml:space="preserve"> </w:t>
      </w:r>
      <w:r w:rsidR="1D2C786F" w:rsidRPr="3CBB9A12">
        <w:rPr>
          <w:rFonts w:ascii="Times New Roman" w:hAnsi="Times New Roman"/>
          <w:color w:val="000000" w:themeColor="text1"/>
          <w:lang w:eastAsia="ar-SA"/>
        </w:rPr>
        <w:t>s</w:t>
      </w:r>
      <w:r w:rsidRPr="3CBB9A12">
        <w:rPr>
          <w:rFonts w:ascii="Times New Roman" w:hAnsi="Times New Roman"/>
          <w:color w:val="000000" w:themeColor="text1"/>
          <w:lang w:eastAsia="ar-SA"/>
        </w:rPr>
        <w:t xml:space="preserve">econd, they can be used efficiently for </w:t>
      </w:r>
      <w:r w:rsidRPr="3CBB9A12">
        <w:rPr>
          <w:rFonts w:ascii="Times New Roman" w:hAnsi="Times New Roman"/>
          <w:i/>
          <w:iCs/>
          <w:color w:val="000000" w:themeColor="text1"/>
          <w:lang w:eastAsia="ar-SA"/>
        </w:rPr>
        <w:t>in vitro</w:t>
      </w:r>
      <w:r w:rsidRPr="3CBB9A12">
        <w:rPr>
          <w:rFonts w:ascii="Times New Roman" w:hAnsi="Times New Roman"/>
          <w:color w:val="000000" w:themeColor="text1"/>
          <w:lang w:eastAsia="ar-SA"/>
        </w:rPr>
        <w:t xml:space="preserve"> directed evolution </w:t>
      </w:r>
      <w:r w:rsidR="00A202B3">
        <w:rPr>
          <w:rFonts w:ascii="Times New Roman" w:hAnsi="Times New Roman"/>
          <w:color w:val="000000" w:themeColor="text1"/>
          <w:lang w:eastAsia="ar-SA"/>
        </w:rPr>
        <w:fldChar w:fldCharType="begin" w:fldLock="1"/>
      </w:r>
      <w:r w:rsidR="00A202B3">
        <w:rPr>
          <w:rFonts w:ascii="Times New Roman" w:hAnsi="Times New Roman"/>
          <w:color w:val="000000" w:themeColor="text1"/>
          <w:lang w:eastAsia="ar-SA"/>
        </w:rPr>
        <w:instrText>ADDIN CSL_CITATION {"citationItems":[{"id":"ITEM-1","itemData":{"DOI":"10.1093/synbio/ysy012","ISSN":"2397-7000","abstract":"The incorporation of cell-free transcription and translation systems into high-throughput screening applications enables the in situ and on-demand expression of peptides and proteins. Coupled with modern microfluidic technology, the cell-free methods allow the screening, directed evolution and selection of desired biomolecules in minimal volumes within a short timescale. Cell-free high-throughput screening applications are classified broadly into in vitro display and on-chip technologies. In this review, we outline the development of cell-free high-throughput screening methods. We further discuss operating principles and representative applications of each screening method. The cell-free high-throughput screening methods may be advanced by the future development of new cell-free systems, miniaturization approaches, and automation technologies.","author":[{"dropping-particle":"","family":"Contreras-Llano","given":"Luis E","non-dropping-particle":"","parse-names":false,"suffix":""},{"dropping-particle":"","family":"Tan","given":"Cheemeng","non-dropping-particle":"","parse-names":false,"suffix":""}],"container-title":"Synthetic Biology","id":"ITEM-1","issue":"1","issued":{"date-parts":[["2018","1"]]},"publisher":"Oxford University Press (OUP)","title":"High-throughput screening of biomolecules using cell-free gene expression systems","type":"article-journal","volume":"3"},"uris":["http://www.mendeley.com/documents/?uuid=27a30903-710c-4011-a6f1-3495ec844117"]}],"mendeley":{"formattedCitation":"(Contreras-Llano &amp; Tan, 2018)","plainTextFormattedCitation":"(Contreras-Llano &amp; Tan, 2018)","previouslyFormattedCitation":"(Contreras-Llano &amp; Tan, 2018)"},"properties":{"noteIndex":0},"schema":"https://github.com/citation-style-language/schema/raw/master/csl-citation.json"}</w:instrText>
      </w:r>
      <w:r w:rsidR="00A202B3">
        <w:rPr>
          <w:rFonts w:ascii="Times New Roman" w:hAnsi="Times New Roman"/>
          <w:color w:val="000000" w:themeColor="text1"/>
          <w:lang w:eastAsia="ar-SA"/>
        </w:rPr>
        <w:fldChar w:fldCharType="separate"/>
      </w:r>
      <w:r w:rsidR="00A202B3" w:rsidRPr="00A202B3">
        <w:rPr>
          <w:rFonts w:ascii="Times New Roman" w:hAnsi="Times New Roman"/>
          <w:noProof/>
          <w:color w:val="000000" w:themeColor="text1"/>
          <w:lang w:eastAsia="ar-SA"/>
        </w:rPr>
        <w:t>(Contreras-Llano &amp; Tan, 2018)</w:t>
      </w:r>
      <w:r w:rsidR="00A202B3">
        <w:rPr>
          <w:rFonts w:ascii="Times New Roman" w:hAnsi="Times New Roman"/>
          <w:color w:val="000000" w:themeColor="text1"/>
          <w:lang w:eastAsia="ar-SA"/>
        </w:rPr>
        <w:fldChar w:fldCharType="end"/>
      </w:r>
      <w:r w:rsidR="2FB066CB" w:rsidRPr="3CBB9A12">
        <w:rPr>
          <w:rFonts w:ascii="Times New Roman" w:hAnsi="Times New Roman"/>
          <w:color w:val="000000" w:themeColor="text1"/>
          <w:lang w:eastAsia="ar-SA"/>
        </w:rPr>
        <w:t xml:space="preserve">. They were originally conceived as tools to facilitate </w:t>
      </w:r>
      <w:r w:rsidR="2FB066CB" w:rsidRPr="3CBB9A12">
        <w:rPr>
          <w:rFonts w:ascii="Times New Roman" w:hAnsi="Times New Roman"/>
          <w:i/>
          <w:iCs/>
          <w:color w:val="000000" w:themeColor="text1"/>
          <w:lang w:eastAsia="ar-SA"/>
        </w:rPr>
        <w:t>in vitro</w:t>
      </w:r>
      <w:r w:rsidR="2FB066CB" w:rsidRPr="3CBB9A12">
        <w:rPr>
          <w:rFonts w:ascii="Times New Roman" w:hAnsi="Times New Roman"/>
          <w:color w:val="000000" w:themeColor="text1"/>
          <w:lang w:eastAsia="ar-SA"/>
        </w:rPr>
        <w:t xml:space="preserve"> protein synthesis and consist of molecular machinery extracted from cells. They typically contain enzymes necessary for transcription and translation, and accordingly </w:t>
      </w:r>
      <w:r w:rsidR="00494B7A" w:rsidRPr="3CBB9A12">
        <w:rPr>
          <w:rFonts w:ascii="Times New Roman" w:hAnsi="Times New Roman"/>
          <w:color w:val="000000" w:themeColor="text1"/>
          <w:lang w:eastAsia="ar-SA"/>
        </w:rPr>
        <w:t>can</w:t>
      </w:r>
      <w:r w:rsidR="2FB066CB" w:rsidRPr="3CBB9A12">
        <w:rPr>
          <w:rFonts w:ascii="Times New Roman" w:hAnsi="Times New Roman"/>
          <w:color w:val="000000" w:themeColor="text1"/>
          <w:lang w:eastAsia="ar-SA"/>
        </w:rPr>
        <w:t xml:space="preserve"> perform the fundamental processes of the central dogma (DNA</w:t>
      </w:r>
      <w:r w:rsidR="2FB066CB" w:rsidRPr="3CBB9A12">
        <w:rPr>
          <w:rFonts w:ascii="Segoe UI Symbol" w:hAnsi="Segoe UI Symbol" w:cs="Segoe UI Symbol"/>
          <w:color w:val="000000" w:themeColor="text1"/>
          <w:lang w:eastAsia="ar-SA"/>
        </w:rPr>
        <w:t>➔</w:t>
      </w:r>
      <w:r w:rsidR="2FB066CB" w:rsidRPr="3CBB9A12">
        <w:rPr>
          <w:rFonts w:ascii="Times New Roman" w:hAnsi="Times New Roman"/>
          <w:color w:val="000000" w:themeColor="text1"/>
          <w:lang w:eastAsia="ar-SA"/>
        </w:rPr>
        <w:t>RNA</w:t>
      </w:r>
      <w:r w:rsidR="2FB066CB" w:rsidRPr="3CBB9A12">
        <w:rPr>
          <w:rFonts w:ascii="Segoe UI Symbol" w:hAnsi="Segoe UI Symbol" w:cs="Segoe UI Symbol"/>
          <w:color w:val="000000" w:themeColor="text1"/>
          <w:lang w:eastAsia="ar-SA"/>
        </w:rPr>
        <w:t>➔</w:t>
      </w:r>
      <w:r w:rsidR="2FB066CB" w:rsidRPr="3CBB9A12">
        <w:rPr>
          <w:rFonts w:ascii="Times New Roman" w:hAnsi="Times New Roman"/>
          <w:color w:val="000000" w:themeColor="text1"/>
          <w:lang w:eastAsia="ar-SA"/>
        </w:rPr>
        <w:t xml:space="preserve">protein) independent of a cell. The open nature of CFS means that there is no physical barrier (e.g., a cell wall) to programming and modification. CFS can be augmented with proteins or small molecules that improve the performance of synthetic gene networks </w:t>
      </w:r>
      <w:r w:rsidR="00B156AF">
        <w:rPr>
          <w:rFonts w:ascii="Times New Roman" w:hAnsi="Times New Roman"/>
          <w:color w:val="000000" w:themeColor="text1"/>
          <w:lang w:eastAsia="ar-SA"/>
        </w:rPr>
        <w:fldChar w:fldCharType="begin" w:fldLock="1"/>
      </w:r>
      <w:r w:rsidR="00B156AF">
        <w:rPr>
          <w:rFonts w:ascii="Times New Roman" w:hAnsi="Times New Roman"/>
          <w:color w:val="000000" w:themeColor="text1"/>
          <w:lang w:eastAsia="ar-SA"/>
        </w:rPr>
        <w:instrText>ADDIN CSL_CITATION {"citationItems":[{"id":"ITEM-1","itemData":{"DOI":"10.1016/j.cell.2014.10.004","ISSN":"10974172","PMID":"25417167","abstract":"Synthetic gene networks have wide-ranging uses in reprogramming and rewiring organisms. To date, there has not been a way to harness the vast potential of these networks beyond the constraints of a laboratory or in vivo environment. Here, we present an in vitro paper-based platform that provides an alternate, versatile venue for synthetic biologists to operate and a much-needed medium for the safe deployment of engineered gene circuits beyond the lab. Commercially available cell-free systems are freeze dried onto paper, enabling the inexpensive, sterile, and abiotic distribution of synthetic-biology-based technologies for the clinic, global health, industry, research, and education. For field use, we create circuits with colorimetric outputs for detection by eye and fabricate a low-cost, electronic optical interface. We demonstrate this technology with small-molecule and RNA actuation of genetic switches, rapid prototyping of complex gene circuits, and programmable in vitro diagnostics, including glucose sensors and strain-specific Ebola virus sensors.","author":[{"dropping-particle":"","family":"Pardee","given":"Keith","non-dropping-particle":"","parse-names":false,"suffix":""},{"dropping-particle":"","family":"Green","given":"Alexander A","non-dropping-particle":"","parse-names":false,"suffix":""},{"dropping-particle":"","family":"Ferrante","given":"Tom","non-dropping-particle":"","parse-names":false,"suffix":""},{"dropping-particle":"","family":"Cameron","given":"D Ewen","non-dropping-particle":"","parse-names":false,"suffix":""},{"dropping-particle":"","family":"Daleykeyser","given":"Ajay","non-dropping-particle":"","parse-names":false,"suffix":""},{"dropping-particle":"","family":"Yin","given":"Peng","non-dropping-particle":"","parse-names":false,"suffix":""},{"dropping-particle":"","family":"Collins","given":"James J","non-dropping-particle":"","parse-names":false,"suffix":""}],"container-title":"Cell","id":"ITEM-1","issue":"4","issued":{"date-parts":[["2014","11"]]},"page":"940-954","publisher":"Cell Press","title":"Paper-based synthetic gene networks","type":"article-journal","volume":"159"},"uris":["http://www.mendeley.com/documents/?uuid=d2ba68b0-cfef-4c1e-b03e-13fc792b86e3"]},{"id":"ITEM-2","itemData":{"DOI":"10.1021/acssynbio.7b00253","ISSN":"21615063","PMID":"28795570","abstract":"Cell-free gene expression systems are emerging as an important platform for a diverse range of synthetic biology and biotechnology applications, including production of robust field-ready biosensors. Here, we combine programmed cellular autolysis with a freeze-thaw or freeze-dry cycle to create a practical, reproducible, and a labor- and cost-effective approach for rapid production of bacterial lysates for cell-free gene expression. Using this method, robust and highly active bacterial cell lysates can be produced without specialized equipment at a wide range of scales, making cell-free gene expression easily and broadly accessible. Moreover, live autolysis strain can be freeze-dried directly and subsequently lysed upon rehydration to produce active lysate. We demonstrate the utility of autolysates for synthetic biology by regulating protein production and degradation, implementing quorum sensing, and showing quantitative protection of linear DNA templates by GamS protein. To allow versatile and sensitive β-galactosidase (LacZ) based readout we produce autolysates with no detectable background LacZ activity and use them to produce sensitive mercury(II) biosensors with LacZ-mediated colorimetric and fluorescent outputs. The autolysis approach can facilitate wider adoption of cell-free technology for cell-free gene expression as well as other synthetic biology and biotechnology applications, such as metabolic engineering, natural product biosynthesis, or proteomics.","author":[{"dropping-particle":"","family":"Didovyk","given":"Andriy","non-dropping-particle":"","parse-names":false,"suffix":""},{"dropping-particle":"","family":"Tonooka","given":"Taishi","non-dropping-particle":"","parse-names":false,"suffix":""},{"dropping-particle":"","family":"Tsimring","given":"Lev","non-dropping-particle":"","parse-names":false,"suffix":""},{"dropping-particle":"","family":"Hasty","given":"Jeff","non-dropping-particle":"","parse-names":false,"suffix":""}],"container-title":"ACS Synthetic Biology","id":"ITEM-2","issue":"12","issued":{"date-parts":[["2017","12"]]},"page":"2198-2208","publisher":"American Chemical Society","title":"Rapid and Scalable Preparation of Bacterial Lysates for Cell-Free Gene Expression","type":"article-journal","volume":"6"},"uris":["http://www.mendeley.com/documents/?uuid=15742104-a9a5-4e9f-a9eb-1bb6595e2ad9"]}],"mendeley":{"formattedCitation":"(Didovyk et al., 2017; Pardee et al., 2014)","plainTextFormattedCitation":"(Didovyk et al., 2017; Pardee et al., 2014)","previouslyFormattedCitation":"(Didovyk et al., 2017; Pardee et al., 2014)"},"properties":{"noteIndex":0},"schema":"https://github.com/citation-style-language/schema/raw/master/csl-citation.json"}</w:instrText>
      </w:r>
      <w:r w:rsidR="00B156AF">
        <w:rPr>
          <w:rFonts w:ascii="Times New Roman" w:hAnsi="Times New Roman"/>
          <w:color w:val="000000" w:themeColor="text1"/>
          <w:lang w:eastAsia="ar-SA"/>
        </w:rPr>
        <w:fldChar w:fldCharType="separate"/>
      </w:r>
      <w:r w:rsidR="00B156AF" w:rsidRPr="00B156AF">
        <w:rPr>
          <w:rFonts w:ascii="Times New Roman" w:hAnsi="Times New Roman"/>
          <w:noProof/>
          <w:color w:val="000000" w:themeColor="text1"/>
          <w:lang w:val="en-US" w:eastAsia="ar-SA"/>
        </w:rPr>
        <w:t>(Didovyk et al., 2017; Pardee et al., 2014)</w:t>
      </w:r>
      <w:r w:rsidR="00B156AF">
        <w:rPr>
          <w:rFonts w:ascii="Times New Roman" w:hAnsi="Times New Roman"/>
          <w:color w:val="000000" w:themeColor="text1"/>
          <w:lang w:eastAsia="ar-SA"/>
        </w:rPr>
        <w:fldChar w:fldCharType="end"/>
      </w:r>
      <w:r w:rsidR="2FB066CB" w:rsidRPr="00B156AF">
        <w:rPr>
          <w:rFonts w:ascii="Times New Roman" w:hAnsi="Times New Roman"/>
          <w:color w:val="000000" w:themeColor="text1"/>
          <w:lang w:val="en-US" w:eastAsia="ar-SA"/>
        </w:rPr>
        <w:t xml:space="preserve"> or the productivity of reactions </w:t>
      </w:r>
      <w:r w:rsidR="00915828">
        <w:rPr>
          <w:rFonts w:ascii="Times New Roman" w:hAnsi="Times New Roman"/>
          <w:color w:val="000000" w:themeColor="text1"/>
          <w:lang w:eastAsia="ar-SA"/>
        </w:rPr>
        <w:fldChar w:fldCharType="begin" w:fldLock="1"/>
      </w:r>
      <w:r w:rsidR="00310CB4">
        <w:rPr>
          <w:rFonts w:ascii="Times New Roman" w:hAnsi="Times New Roman"/>
          <w:color w:val="000000" w:themeColor="text1"/>
          <w:lang w:val="en-US" w:eastAsia="ar-SA"/>
        </w:rPr>
        <w:instrText>ADDIN CSL_CITATION {"citationItems":[{"id":"ITEM-1","itemData":{"DOI":"10.1371/journal.pone.0106232","ISSN":"1932-6203","abstract":"Cell-free RNA and protein synthesis (CFPS) is becoming increasingly used for protein production as yields increase and costs decrease. Advances in reconstituted CFPS systems such as the Protein synthesis Using Recombinant Elements (PURE) system offer new opportunities to tailor the reactions for specialized applications including in vitro protein evolution, protein microarrays, isotopic labeling, and incorporating unnatural amino acids. In this study, using firefly luciferase synthesis as a reporter system, we improved PURE system productivity up to 5 fold by adding or adjusting a variety of factors that affect transcription and translation, including Elongation factors (EF-Ts, EF-Tu, EF-G, and EF4), ribosome recycling factor (RRF), release factors (RF1, RF2, RF3), chaperones (GroEL/ES), BSA and tRNAs. The work provides a more efficient defined in vitro transcription and translation system and a deeper understanding of the factors that limit the whole system efficiency. ©2014 Li et al.","author":[{"dropping-particle":"","family":"Li","given":"Jun","non-dropping-particle":"","parse-names":false,"suffix":""},{"dropping-particle":"","family":"Gu","given":"Liangcai","non-dropping-particle":"","parse-names":false,"suffix":""},{"dropping-particle":"","family":"Aach","given":"John","non-dropping-particle":"","parse-names":false,"suffix":""},{"dropping-particle":"","family":"Church","given":"George M","non-dropping-particle":"","parse-names":false,"suffix":""}],"container-title":"PLoS ONE","editor":[{"dropping-particle":"","family":"Jeltsch","given":"Albert","non-dropping-particle":"","parse-names":false,"suffix":""}],"id":"ITEM-1","issue":"9","issued":{"date-parts":[["2014","9"]]},"page":"e106232","publisher":"Public Library of Science","title":"Improved Cell-Free RNA and Protein Synthesis System","type":"article-journal","volume":"9"},"uris":["http://www.mendeley.com/documents/?uuid=9ec264a2-aa6a-4462-a75c-b734c75714b3"]}],"mendeley":{"formattedCitation":"(J. Li et al., 2014)","manualFormatting":"(Li et al., 2014)","plainTextFormattedCitation":"(J. Li et al., 2014)","previouslyFormattedCitation":"(J. Li et al., 2014)"},"properties":{"noteIndex":0},"schema":"https://github.com/citation-style-language/schema/raw/master/csl-citation.json"}</w:instrText>
      </w:r>
      <w:r w:rsidR="00915828">
        <w:rPr>
          <w:rFonts w:ascii="Times New Roman" w:hAnsi="Times New Roman"/>
          <w:color w:val="000000" w:themeColor="text1"/>
          <w:lang w:eastAsia="ar-SA"/>
        </w:rPr>
        <w:fldChar w:fldCharType="separate"/>
      </w:r>
      <w:r w:rsidR="00915828" w:rsidRPr="00915828">
        <w:rPr>
          <w:rFonts w:ascii="Times New Roman" w:hAnsi="Times New Roman"/>
          <w:noProof/>
          <w:color w:val="000000" w:themeColor="text1"/>
          <w:lang w:eastAsia="ar-SA"/>
        </w:rPr>
        <w:t>(Li et al., 2014)</w:t>
      </w:r>
      <w:r w:rsidR="00915828">
        <w:rPr>
          <w:rFonts w:ascii="Times New Roman" w:hAnsi="Times New Roman"/>
          <w:color w:val="000000" w:themeColor="text1"/>
          <w:lang w:eastAsia="ar-SA"/>
        </w:rPr>
        <w:fldChar w:fldCharType="end"/>
      </w:r>
      <w:r w:rsidR="2FB066CB" w:rsidRPr="00B156AF">
        <w:rPr>
          <w:rFonts w:ascii="Times New Roman" w:hAnsi="Times New Roman"/>
          <w:color w:val="000000" w:themeColor="text1"/>
          <w:lang w:val="en-US" w:eastAsia="ar-SA"/>
        </w:rPr>
        <w:t xml:space="preserve">. </w:t>
      </w:r>
      <w:r w:rsidR="2FB066CB" w:rsidRPr="3CBB9A12">
        <w:rPr>
          <w:rFonts w:ascii="Times New Roman" w:hAnsi="Times New Roman"/>
          <w:color w:val="000000" w:themeColor="text1"/>
          <w:lang w:eastAsia="ar-SA"/>
        </w:rPr>
        <w:t>More importantly, genetically encoded instructions can be added directly to CFS at desired concentrations and stoichiometries using linear or circular formats. This means that conceptual designs can go from computational instructions to chemical synthesis and amplification (e.g., through PCR) to CFS without the need for selective markers or cell-based cloning steps. Such simplicity allows for rapid prototyping of molecular tools.</w:t>
      </w:r>
      <w:r w:rsidR="47412831" w:rsidRPr="3CBB9A12">
        <w:rPr>
          <w:rFonts w:ascii="Times New Roman" w:hAnsi="Times New Roman"/>
          <w:color w:val="000000" w:themeColor="text1"/>
          <w:lang w:eastAsia="ar-SA"/>
        </w:rPr>
        <w:t xml:space="preserve"> </w:t>
      </w:r>
      <w:r w:rsidR="00D272C4" w:rsidRPr="3CBB9A12">
        <w:rPr>
          <w:rFonts w:ascii="Times New Roman" w:eastAsia="Times New Roman" w:hAnsi="Times New Roman"/>
        </w:rPr>
        <w:t xml:space="preserve">The cell-free transcription–translation system presents an attractive alternative to construct, characterise, and interrogate synthetic biological circuits. The cell-free transcription–translation platform, known as </w:t>
      </w:r>
      <w:r w:rsidR="00D272C4" w:rsidRPr="3CBB9A12">
        <w:rPr>
          <w:rFonts w:ascii="Times New Roman" w:eastAsia="Times New Roman" w:hAnsi="Times New Roman"/>
          <w:i/>
          <w:iCs/>
        </w:rPr>
        <w:t>E. coli</w:t>
      </w:r>
      <w:r w:rsidR="00D272C4" w:rsidRPr="3CBB9A12">
        <w:rPr>
          <w:rFonts w:ascii="Times New Roman" w:eastAsia="Times New Roman" w:hAnsi="Times New Roman"/>
        </w:rPr>
        <w:t xml:space="preserve"> cell-extract</w:t>
      </w:r>
      <w:r w:rsidR="0040084A">
        <w:rPr>
          <w:rFonts w:ascii="Times New Roman" w:eastAsia="Times New Roman" w:hAnsi="Times New Roman"/>
        </w:rPr>
        <w:t xml:space="preserve"> transcription-translation</w:t>
      </w:r>
      <w:r w:rsidR="00D272C4" w:rsidRPr="3CBB9A12">
        <w:rPr>
          <w:rFonts w:ascii="Times New Roman" w:eastAsia="Times New Roman" w:hAnsi="Times New Roman"/>
        </w:rPr>
        <w:t xml:space="preserve"> (TXTL) system, allows for the prototyping of synthetic circuits rapidly through iterative cycles of experiments and computational modelling </w:t>
      </w:r>
      <w:r w:rsidRPr="3CBB9A12">
        <w:rPr>
          <w:rFonts w:ascii="Times New Roman" w:eastAsia="Times New Roman" w:hAnsi="Times New Roman"/>
        </w:rPr>
        <w:fldChar w:fldCharType="begin" w:fldLock="1"/>
      </w:r>
      <w:r w:rsidR="008F6A90">
        <w:rPr>
          <w:rFonts w:ascii="Times New Roman" w:eastAsia="Times New Roman" w:hAnsi="Times New Roman"/>
        </w:rPr>
        <w:instrText>ADDIN CSL_CITATION {"citationItems":[{"id":"ITEM-1","itemData":{"DOI":"10.3390/mps2020039","ISSN":"24099279","abstract":"Synthetic biology integrates diverse engineering disciplines to create novel biological systems for biomedical and technological applications. The substantial growth of the synthetic biology field in the past decade is poised to transform biotechnology and medicine. To streamline design processes and facilitate debugging of complex synthetic circuits, cell-free synthetic biology approaches has reached broad research communities both in academia and industry. By recapitulating gene expression systems in vitro, cell-free expression systems offer flexibility to explore beyond the confines of living cells and allow networking of synthetic and natural systems. Here, we review the capabilities of the current cell-free platforms, focusing on nucleic acid-based molecular programs and circuit construction. We survey the recent developments including cell-free transcription–translation platforms, DNA nanostructures and circuits, and novel classes of riboregulators. The links to mathematical models and the prospects of cell-free synthetic biology platforms will also be discussed.","author":[{"dropping-particle":"","family":"Jeong","given":"Dohyun","non-dropping-particle":"","parse-names":false,"suffix":""},{"dropping-particle":"","family":"Klocke","given":"Melissa","non-dropping-particle":"","parse-names":false,"suffix":""},{"dropping-particle":"","family":"Agarwal","given":"Siddharth","non-dropping-particle":"","parse-names":false,"suffix":""},{"dropping-particle":"","family":"Kim","given":"Jeongwon","non-dropping-particle":"","parse-names":false,"suffix":""},{"dropping-particle":"","family":"Choi","given":"Seungdo","non-dropping-particle":"","parse-names":false,"suffix":""},{"dropping-particle":"","family":"Franco","given":"Elisa","non-dropping-particle":"","parse-names":false,"suffix":""},{"dropping-particle":"","family":"Kim","given":"Jongmin","non-dropping-particle":"","parse-names":false,"suffix":""}],"container-title":"Methods and Protocols","id":"ITEM-1","issue":"2","issued":{"date-parts":[["2019","5"]]},"page":"1-25","publisher":"MDPI AG","title":"Cell-free synthetic biology platform for engineering synthetic biological circuits and systems","type":"article","volume":"2"},"uris":["http://www.mendeley.com/documents/?uuid=d68814ce-9edc-4378-a237-fd38dbff30e0"]}],"mendeley":{"formattedCitation":"(Jeong et al., 2019)","plainTextFormattedCitation":"(Jeong et al., 2019)","previouslyFormattedCitation":"(Jeong et al., 2019)"},"properties":{"noteIndex":0},"schema":"https://github.com/citation-style-language/schema/raw/master/csl-citation.json"}</w:instrText>
      </w:r>
      <w:r w:rsidRPr="3CBB9A12">
        <w:rPr>
          <w:rFonts w:ascii="Times New Roman" w:eastAsia="Times New Roman" w:hAnsi="Times New Roman"/>
        </w:rPr>
        <w:fldChar w:fldCharType="separate"/>
      </w:r>
      <w:r w:rsidR="00D272C4" w:rsidRPr="3CBB9A12">
        <w:rPr>
          <w:rFonts w:ascii="Times New Roman" w:eastAsia="Times New Roman" w:hAnsi="Times New Roman"/>
          <w:noProof/>
        </w:rPr>
        <w:t>(Jeong et al., 2019)</w:t>
      </w:r>
      <w:r w:rsidRPr="3CBB9A12">
        <w:rPr>
          <w:rFonts w:ascii="Times New Roman" w:eastAsia="Times New Roman" w:hAnsi="Times New Roman"/>
        </w:rPr>
        <w:fldChar w:fldCharType="end"/>
      </w:r>
      <w:r w:rsidR="00D272C4" w:rsidRPr="3CBB9A12">
        <w:rPr>
          <w:rFonts w:ascii="Times New Roman" w:eastAsia="Times New Roman" w:hAnsi="Times New Roman"/>
        </w:rPr>
        <w:t xml:space="preserve">. TXTL has </w:t>
      </w:r>
      <w:r w:rsidR="00A0700D" w:rsidRPr="3CBB9A12">
        <w:rPr>
          <w:rFonts w:ascii="Times New Roman" w:eastAsia="Times New Roman" w:hAnsi="Times New Roman"/>
        </w:rPr>
        <w:t>several</w:t>
      </w:r>
      <w:r w:rsidR="00D272C4" w:rsidRPr="3CBB9A12">
        <w:rPr>
          <w:rFonts w:ascii="Times New Roman" w:eastAsia="Times New Roman" w:hAnsi="Times New Roman"/>
        </w:rPr>
        <w:t xml:space="preserve"> applications, such as characterisation of CRISPR elements or construction of synthetic cells. Synthetic RNA circuits are also efficiently and easily characterised in TXTL. Networks constructed from riboregulators propagate signals directly as RNAs, thus bypassing intermediate proteins, making these networks potentially simpler to design and implement than transcription factor-based layered circuits </w:t>
      </w:r>
      <w:r w:rsidRPr="3CBB9A12">
        <w:rPr>
          <w:rFonts w:ascii="Times New Roman" w:eastAsia="Times New Roman" w:hAnsi="Times New Roman"/>
        </w:rPr>
        <w:fldChar w:fldCharType="begin" w:fldLock="1"/>
      </w:r>
      <w:r w:rsidR="008F6A90">
        <w:rPr>
          <w:rFonts w:ascii="Times New Roman" w:eastAsia="Times New Roman" w:hAnsi="Times New Roman"/>
        </w:rPr>
        <w:instrText>ADDIN CSL_CITATION {"citationItems":[{"id":"ITEM-1","itemData":{"DOI":"10.3390/mps2020039","ISSN":"24099279","abstract":"Synthetic biology integrates diverse engineering disciplines to create novel biological systems for biomedical and technological applications. The substantial growth of the synthetic biology field in the past decade is poised to transform biotechnology and medicine. To streamline design processes and facilitate debugging of complex synthetic circuits, cell-free synthetic biology approaches has reached broad research communities both in academia and industry. By recapitulating gene expression systems in vitro, cell-free expression systems offer flexibility to explore beyond the confines of living cells and allow networking of synthetic and natural systems. Here, we review the capabilities of the current cell-free platforms, focusing on nucleic acid-based molecular programs and circuit construction. We survey the recent developments including cell-free transcription–translation platforms, DNA nanostructures and circuits, and novel classes of riboregulators. The links to mathematical models and the prospects of cell-free synthetic biology platforms will also be discussed.","author":[{"dropping-particle":"","family":"Jeong","given":"Dohyun","non-dropping-particle":"","parse-names":false,"suffix":""},{"dropping-particle":"","family":"Klocke","given":"Melissa","non-dropping-particle":"","parse-names":false,"suffix":""},{"dropping-particle":"","family":"Agarwal","given":"Siddharth","non-dropping-particle":"","parse-names":false,"suffix":""},{"dropping-particle":"","family":"Kim","given":"Jeongwon","non-dropping-particle":"","parse-names":false,"suffix":""},{"dropping-particle":"","family":"Choi","given":"Seungdo","non-dropping-particle":"","parse-names":false,"suffix":""},{"dropping-particle":"","family":"Franco","given":"Elisa","non-dropping-particle":"","parse-names":false,"suffix":""},{"dropping-particle":"","family":"Kim","given":"Jongmin","non-dropping-particle":"","parse-names":false,"suffix":""}],"container-title":"Methods and Protocols","id":"ITEM-1","issue":"2","issued":{"date-parts":[["2019","5"]]},"page":"1-25","publisher":"MDPI AG","title":"Cell-free synthetic biology platform for engineering synthetic biological circuits and systems","type":"article","volume":"2"},"uris":["http://www.mendeley.com/documents/?uuid=d68814ce-9edc-4378-a237-fd38dbff30e0"]}],"mendeley":{"formattedCitation":"(Jeong et al., 2019)","plainTextFormattedCitation":"(Jeong et al., 2019)","previouslyFormattedCitation":"(Jeong et al., 2019)"},"properties":{"noteIndex":0},"schema":"https://github.com/citation-style-language/schema/raw/master/csl-citation.json"}</w:instrText>
      </w:r>
      <w:r w:rsidRPr="3CBB9A12">
        <w:rPr>
          <w:rFonts w:ascii="Times New Roman" w:eastAsia="Times New Roman" w:hAnsi="Times New Roman"/>
        </w:rPr>
        <w:fldChar w:fldCharType="separate"/>
      </w:r>
      <w:r w:rsidR="00D272C4" w:rsidRPr="3CBB9A12">
        <w:rPr>
          <w:rFonts w:ascii="Times New Roman" w:eastAsia="Times New Roman" w:hAnsi="Times New Roman"/>
          <w:noProof/>
        </w:rPr>
        <w:t>(Jeong et al., 2019)</w:t>
      </w:r>
      <w:r w:rsidRPr="3CBB9A12">
        <w:rPr>
          <w:rFonts w:ascii="Times New Roman" w:eastAsia="Times New Roman" w:hAnsi="Times New Roman"/>
        </w:rPr>
        <w:fldChar w:fldCharType="end"/>
      </w:r>
      <w:r w:rsidR="00D272C4" w:rsidRPr="3CBB9A12">
        <w:rPr>
          <w:rFonts w:ascii="Times New Roman" w:eastAsia="Times New Roman" w:hAnsi="Times New Roman"/>
        </w:rPr>
        <w:t>.</w:t>
      </w:r>
    </w:p>
    <w:p w14:paraId="31895685" w14:textId="27DA8A11" w:rsidR="002A63E3" w:rsidRPr="00B156AF" w:rsidRDefault="47412831" w:rsidP="60A86203">
      <w:pPr>
        <w:spacing w:before="120" w:after="120" w:line="240" w:lineRule="auto"/>
        <w:jc w:val="both"/>
        <w:rPr>
          <w:rFonts w:ascii="Times New Roman" w:hAnsi="Times New Roman"/>
          <w:color w:val="000000" w:themeColor="text1"/>
          <w:lang w:val="fr-FR" w:eastAsia="ar-SA"/>
        </w:rPr>
      </w:pPr>
      <w:r w:rsidRPr="69BA3794">
        <w:rPr>
          <w:rFonts w:ascii="Times New Roman" w:hAnsi="Times New Roman"/>
          <w:color w:val="000000" w:themeColor="text1"/>
          <w:lang w:eastAsia="ar-SA"/>
        </w:rPr>
        <w:t>CFS are enabling new technologies and accelerating bioengineering</w:t>
      </w:r>
      <w:r w:rsidR="00144A52">
        <w:rPr>
          <w:rFonts w:ascii="Times New Roman" w:hAnsi="Times New Roman"/>
          <w:color w:val="000000" w:themeColor="text1"/>
          <w:lang w:eastAsia="ar-SA"/>
        </w:rPr>
        <w:t xml:space="preserve">. In particular, </w:t>
      </w:r>
      <w:r w:rsidRPr="69BA3794">
        <w:rPr>
          <w:rFonts w:ascii="Times New Roman" w:hAnsi="Times New Roman"/>
          <w:color w:val="000000" w:themeColor="text1"/>
          <w:lang w:eastAsia="ar-SA"/>
        </w:rPr>
        <w:t xml:space="preserve"> some of the most active areas of research in the cell-free community</w:t>
      </w:r>
      <w:r w:rsidR="00144A52">
        <w:rPr>
          <w:rFonts w:ascii="Times New Roman" w:hAnsi="Times New Roman"/>
          <w:color w:val="000000" w:themeColor="text1"/>
          <w:lang w:eastAsia="ar-SA"/>
        </w:rPr>
        <w:t xml:space="preserve"> are </w:t>
      </w:r>
      <w:r w:rsidRPr="69BA3794">
        <w:rPr>
          <w:rFonts w:ascii="Times New Roman" w:hAnsi="Times New Roman"/>
          <w:color w:val="000000" w:themeColor="text1"/>
          <w:lang w:eastAsia="ar-SA"/>
        </w:rPr>
        <w:t xml:space="preserve">portable diagnostics, biomolecular manufacturing, and functional discovery </w:t>
      </w:r>
      <w:r w:rsidR="3B9D2A0F"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{"citationItems":[{"id":"ITEM-1","itemData":{"DOI":"10.1186/s12915-019-0685-x","ISSN":"17417007","PMID":"31395057","abstract":"Cell-free systems (CFS) have recently evolved into key platforms for synthetic biology applications. Many synthetic biology tools have traditionally relied on cell-based systems, and while their adoption has shown great progress, the constraints inherent to the use of cellular hosts have limited their reach and scope. Cell-free systems, which can be thought of as programmable liquids, have removed many of these complexities and have brought about exciting opportunities for rational design and manipulation of biological systems. Here we review how these simple and accessible enzymatic systems are poised to accelerate the rate of advancement in synthetic biology and, more broadly, biotechnology.","author":[{"dropping-particle":"","family":"Tinafar","given":"Aidan","non-dropping-particle":"","parse-names":false,"suffix":""},{"dropping-particle":"","family":"Jaenes","given":"Katariina","non-dropping-particle":"","parse-names":false,"suffix":""},{"dropping-particle":"","family":"Pardee","given":"Keith","non-dropping-particle":"","parse-names":false,"suffix":""}],"container-title":"BMC Biology","id":"ITEM-1","issue":"1","issued":{"date-parts":[["2019","8"]]},"page":"1-14","publisher":"BioMed Central Ltd.","title":"Synthetic Biology Goes Cell-Free","type":"article","volume":"17"},"uris":["http://www.mendeley.com/documents/?uuid=e7984a40-147e-49c7-93d5-48c10cc55946"]}],"mendeley":{"formattedCitation":"(Tinafar et al., 2019)","plainTextFormattedCitation":"(Tinafar et al., 2019)","previouslyFormattedCitation":"(Tinafar et al., 2019)"},"properties":{"noteIndex":0},"schema":"https://github.com/citation-style-language/schema/raw/master/csl-citation.json"}</w:instrText>
      </w:r>
      <w:r w:rsidR="3B9D2A0F" w:rsidRPr="00121D97">
        <w:rPr>
          <w:rFonts w:ascii="Times New Roman" w:hAnsi="Times New Roman"/>
          <w:color w:val="000000" w:themeColor="text1"/>
          <w:lang w:eastAsia="ar-SA"/>
        </w:rPr>
        <w:fldChar w:fldCharType="separate"/>
      </w:r>
      <w:r w:rsidR="00D172E0" w:rsidRPr="69BA3794">
        <w:rPr>
          <w:rFonts w:ascii="Times New Roman" w:hAnsi="Times New Roman"/>
          <w:noProof/>
          <w:color w:val="000000" w:themeColor="text1"/>
          <w:lang w:eastAsia="ar-SA"/>
        </w:rPr>
        <w:t>(Tinafar et al., 2019)</w:t>
      </w:r>
      <w:r w:rsidR="3B9D2A0F" w:rsidRPr="00121D97">
        <w:rPr>
          <w:rFonts w:ascii="Times New Roman" w:hAnsi="Times New Roman"/>
          <w:color w:val="000000" w:themeColor="text1"/>
          <w:lang w:eastAsia="ar-SA"/>
        </w:rPr>
        <w:fldChar w:fldCharType="end"/>
      </w:r>
      <w:r w:rsidR="058E916E" w:rsidRPr="69BA3794">
        <w:rPr>
          <w:rFonts w:ascii="Times New Roman" w:hAnsi="Times New Roman"/>
          <w:color w:val="000000" w:themeColor="text1"/>
          <w:lang w:eastAsia="ar-SA"/>
        </w:rPr>
        <w:t>.</w:t>
      </w:r>
      <w:r w:rsidR="565ED587" w:rsidRPr="69BA3794">
        <w:rPr>
          <w:rFonts w:ascii="Times New Roman" w:hAnsi="Times New Roman"/>
          <w:color w:val="000000" w:themeColor="text1"/>
          <w:lang w:eastAsia="ar-SA"/>
        </w:rPr>
        <w:t xml:space="preserve"> Cell-free synthetic biology </w:t>
      </w:r>
      <w:r w:rsidR="67E3EC5B" w:rsidRPr="69BA3794">
        <w:rPr>
          <w:rFonts w:ascii="Times New Roman" w:hAnsi="Times New Roman"/>
          <w:color w:val="000000" w:themeColor="text1"/>
          <w:lang w:eastAsia="ar-SA"/>
        </w:rPr>
        <w:t>i</w:t>
      </w:r>
      <w:r w:rsidR="565ED587" w:rsidRPr="69BA3794">
        <w:rPr>
          <w:rFonts w:ascii="Times New Roman" w:hAnsi="Times New Roman"/>
          <w:color w:val="000000" w:themeColor="text1"/>
          <w:lang w:eastAsia="ar-SA"/>
        </w:rPr>
        <w:t>s a promising tool to overcome inherent limitations of living cells. Its open nature enables flexible biological engineering at both molecular and cellular levels. Because cost remains a top concern in industry, cell-free biosynthesis is well suited for the development of high-value biopharmaceuticals. It is believed that cell-free systems w</w:t>
      </w:r>
      <w:r w:rsidR="7083B698" w:rsidRPr="69BA3794">
        <w:rPr>
          <w:rFonts w:ascii="Times New Roman" w:hAnsi="Times New Roman"/>
          <w:color w:val="000000" w:themeColor="text1"/>
          <w:lang w:eastAsia="ar-SA"/>
        </w:rPr>
        <w:t>ill</w:t>
      </w:r>
      <w:r w:rsidR="565ED587" w:rsidRPr="69BA3794">
        <w:rPr>
          <w:rFonts w:ascii="Times New Roman" w:hAnsi="Times New Roman"/>
          <w:color w:val="000000" w:themeColor="text1"/>
          <w:lang w:eastAsia="ar-SA"/>
        </w:rPr>
        <w:t xml:space="preserve"> become more commonly used for basic and applied research in the future </w:t>
      </w:r>
      <w:r w:rsidR="00915828">
        <w:rPr>
          <w:rFonts w:ascii="Times New Roman" w:hAnsi="Times New Roman"/>
          <w:color w:val="000000" w:themeColor="text1"/>
          <w:lang w:eastAsia="ar-SA"/>
        </w:rPr>
        <w:fldChar w:fldCharType="begin" w:fldLock="1"/>
      </w:r>
      <w:r w:rsidR="00B156AF">
        <w:rPr>
          <w:rFonts w:ascii="Times New Roman" w:hAnsi="Times New Roman"/>
          <w:color w:val="000000" w:themeColor="text1"/>
          <w:lang w:eastAsia="ar-SA"/>
        </w:rPr>
        <w:instrText xml:space="preserve">ADDIN CSL_CITATION {"citationItems":[{"id":"ITEM-1","itemData":{"DOI":"https://doi.org/10.1016/j.synbio.2017.02.003","ISSN":"2405-805X","abstract":"Cell-free synthetic biology emerges as a powerful and flexible enabling technology that can engineer biological parts and systems for life science applications without using living cells. It provides simpler and faster engineering solutions with an unprecedented freedom of </w:instrText>
      </w:r>
      <w:r w:rsidR="00B156AF" w:rsidRPr="00E857D9">
        <w:rPr>
          <w:rFonts w:ascii="Times New Roman" w:hAnsi="Times New Roman"/>
          <w:color w:val="000000" w:themeColor="text1"/>
          <w:lang w:val="fr-FR" w:eastAsia="ar-SA"/>
        </w:rPr>
        <w:instrText>design in an open environment than cell system. This review focuses on recent developments of cell-free synthetic biology on biological engineering fields at molecular and cellular levels, including protein engineering, metabolic engineering, and artificial cell engineering. In cell-free protein engineering, the direct control of reaction conditions in cell-free system allows for easy synthesis of complex proteins, toxic proteins, membrane proteins, and novel proteins with unnatural amino acids. Cell-free systems offer the ability to design metabolic pathways towards the production of desired products. Buildup of artificial cells based on cell-free systems will improve our understanding of life and use them for environmental and biomedical applications.","author":[{"dropping-particle":"","family":"Lu","given":"Yuan","non-dropping-particle":"","parse-names":false,"suffix":""}],"container-title":"Synthetic and Systems Biotechnology","id":"ITEM-1","iss</w:instrText>
      </w:r>
      <w:r w:rsidR="00B156AF" w:rsidRPr="008155CC">
        <w:rPr>
          <w:rFonts w:ascii="Times New Roman" w:hAnsi="Times New Roman"/>
          <w:color w:val="000000" w:themeColor="text1"/>
          <w:lang w:val="fr-CA" w:eastAsia="ar-SA"/>
        </w:rPr>
        <w:instrText>ue":"1","issued":{"date-parts":[["2017"]]},"page":"23-27","title":"Cell-free synthetic biology: Engineering in an open world","type":"article-journal","volume":"2"},"uris":["http://www.mendeley.com/documents/?uuid=01e18256-f5cf-4813-ab91-abba7cd1c60d"]}],"mendeley":{"formattedCitation":"(Lu, 2017)","manualFormatting":"(Lu, 2017","plainTextFormattedCitation":"(Lu, 2017)","previouslyFormattedCitation":"(Lu, 2017)"},"properties":{"noteIndex":0},"schema":"https://github.com/citation-style-language/schema/raw/master/csl-citation.json"}</w:instrText>
      </w:r>
      <w:r w:rsidR="00915828">
        <w:rPr>
          <w:rFonts w:ascii="Times New Roman" w:hAnsi="Times New Roman"/>
          <w:color w:val="000000" w:themeColor="text1"/>
          <w:lang w:eastAsia="ar-SA"/>
        </w:rPr>
        <w:fldChar w:fldCharType="separate"/>
      </w:r>
      <w:r w:rsidR="00915828" w:rsidRPr="00B156AF">
        <w:rPr>
          <w:rFonts w:ascii="Times New Roman" w:hAnsi="Times New Roman"/>
          <w:noProof/>
          <w:color w:val="000000" w:themeColor="text1"/>
          <w:lang w:val="fr-FR" w:eastAsia="ar-SA"/>
        </w:rPr>
        <w:t>(Lu, 2017</w:t>
      </w:r>
      <w:r w:rsidR="00915828">
        <w:rPr>
          <w:rFonts w:ascii="Times New Roman" w:hAnsi="Times New Roman"/>
          <w:color w:val="000000" w:themeColor="text1"/>
          <w:lang w:eastAsia="ar-SA"/>
        </w:rPr>
        <w:fldChar w:fldCharType="end"/>
      </w:r>
      <w:r w:rsidR="00F62A34" w:rsidRPr="00B156AF">
        <w:rPr>
          <w:rFonts w:ascii="Times New Roman" w:hAnsi="Times New Roman"/>
          <w:color w:val="000000" w:themeColor="text1"/>
          <w:lang w:val="fr-FR" w:eastAsia="ar-SA"/>
        </w:rPr>
        <w:t>;</w:t>
      </w:r>
      <w:r w:rsidR="005745D7">
        <w:rPr>
          <w:rFonts w:ascii="Times New Roman" w:hAnsi="Times New Roman"/>
          <w:color w:val="000000" w:themeColor="text1"/>
          <w:lang w:eastAsia="ar-SA"/>
        </w:rPr>
        <w:fldChar w:fldCharType="begin" w:fldLock="1"/>
      </w:r>
      <w:r w:rsidR="008F6A90" w:rsidRPr="00B156AF">
        <w:rPr>
          <w:rFonts w:ascii="Times New Roman" w:hAnsi="Times New Roman"/>
          <w:color w:val="000000" w:themeColor="text1"/>
          <w:lang w:val="fr-FR" w:eastAsia="ar-SA"/>
        </w:rPr>
        <w:instrText>ADDIN CSL_CITATION {"citationItems":[{"id":"ITEM-1","itemData":{"DOI":"10.1038/s41576-019-0186-3","ISSN":"14710064","PMID":"31780816","abstract":"Cell-free biology is the activation of biological processes without the use of intact living cells. It has been used for more than 50 years across the life sciences as a foundational research tool, but a recent technical renaissance has facilitated high-yielding (grams of protein per litre), cell-free gene expression systems from model bacteria, the development of cell-free platforms from non-model organisms and multiplexed strategies for rapidly assessing biological design. These advances provide exciting opportunities to profoundly transform synthetic biology by enabling new approaches to the model-driven design of synthetic gene networks, the fast and portable sensing of compounds, on-demand biomanufacturing, building cells from the bottom up, and next-generation educational kits.","author":[{"dropping-particle":"","family":"Silverman","given":"Adam D.","non-dropping-particle":"","parse-names":false,"suffix":""},{"dropping-particle":"","family":"Karim","given":"Ashty S.","non-dropping-particle":"","parse-names":false,"suffix":""},{"dropping-particle":"","family":"Jewett","given":"Michael C.","non-dropping-particle":"","parse-names":false,"suffix":""}],"container-title":"Nature Reviews Genetics","id":"ITEM-1","issue":"3","issued":{"date-parts":[["2020"]]},"page":"151-170","publisher":"Springer US","title":"Cell-free gene expression: an expanded repertoire of applications","type":"article-journal","volume":"21"},"uris":["http://www.mendeley.com/documents/?uuid=c9823f78-8f38-41c4-a0e0-ef732e9e1b9c","http://www.mendeley.com/documents/?uuid=2a279a2b-0b67-4c22-a44b-4d9fc1247f9b","http://www.mendeley.com/documents/?uuid=5a0ce895-f349-45fe-9dcf-dfa5db705f61","http://www.mendeley.com/documents/?uuid=9f16680b-c633-4139-8ca8-fa14d84689d7","http://www.mendeley.com/documents/?uuid=1ea142a0-a763-400a-a36d-07703be98a22"]}],"mendeley":{"formattedCitation":"(Silverman et al., 2020)","manualFormatting":" Silverman et al., 2020)","plainTextFormattedCitation":"(Silverman et al., 2020)","previouslyFormattedCitation":"(Silverman et al., 2020)"},"properties":{"noteIndex":0},"schema":"https://github.com/citation-style-language/schema/raw/master/csl-citation.json"}</w:instrText>
      </w:r>
      <w:r w:rsidR="005745D7">
        <w:rPr>
          <w:rFonts w:ascii="Times New Roman" w:hAnsi="Times New Roman"/>
          <w:color w:val="000000" w:themeColor="text1"/>
          <w:lang w:eastAsia="ar-SA"/>
        </w:rPr>
        <w:fldChar w:fldCharType="separate"/>
      </w:r>
      <w:r w:rsidR="00103B1E" w:rsidRPr="00B156AF">
        <w:rPr>
          <w:rFonts w:ascii="Times New Roman" w:hAnsi="Times New Roman"/>
          <w:noProof/>
          <w:color w:val="000000" w:themeColor="text1"/>
          <w:lang w:val="fr-FR" w:eastAsia="ar-SA"/>
        </w:rPr>
        <w:t xml:space="preserve"> </w:t>
      </w:r>
      <w:r w:rsidR="005745D7" w:rsidRPr="00B156AF">
        <w:rPr>
          <w:rFonts w:ascii="Times New Roman" w:hAnsi="Times New Roman"/>
          <w:noProof/>
          <w:color w:val="000000" w:themeColor="text1"/>
          <w:lang w:val="fr-FR" w:eastAsia="ar-SA"/>
        </w:rPr>
        <w:t>Silverman et al., 2020)</w:t>
      </w:r>
      <w:r w:rsidR="005745D7">
        <w:rPr>
          <w:rFonts w:ascii="Times New Roman" w:hAnsi="Times New Roman"/>
          <w:color w:val="000000" w:themeColor="text1"/>
          <w:lang w:eastAsia="ar-SA"/>
        </w:rPr>
        <w:fldChar w:fldCharType="end"/>
      </w:r>
      <w:r w:rsidR="565ED587" w:rsidRPr="00B156AF">
        <w:rPr>
          <w:rFonts w:ascii="Times New Roman" w:hAnsi="Times New Roman"/>
          <w:color w:val="000000" w:themeColor="text1"/>
          <w:lang w:val="fr-FR" w:eastAsia="ar-SA"/>
        </w:rPr>
        <w:t>.</w:t>
      </w:r>
    </w:p>
    <w:p w14:paraId="18671325" w14:textId="5F0B5CD3" w:rsidR="00054C86" w:rsidRPr="002B1E0D" w:rsidRDefault="002707FA" w:rsidP="005F48D4">
      <w:pPr>
        <w:pStyle w:val="Heading2"/>
        <w:rPr>
          <w:color w:val="000000"/>
          <w:lang w:val="fr-FR"/>
        </w:rPr>
      </w:pPr>
      <w:bookmarkStart w:id="58" w:name="_Toc70112676"/>
      <w:bookmarkStart w:id="59" w:name="_Toc70685698"/>
      <w:r w:rsidRPr="002B1E0D">
        <w:rPr>
          <w:lang w:val="fr-FR"/>
        </w:rPr>
        <w:t>3</w:t>
      </w:r>
      <w:r w:rsidR="00054C86">
        <w:t xml:space="preserve">. </w:t>
      </w:r>
      <w:r w:rsidR="00501DB6" w:rsidRPr="002B1E0D">
        <w:rPr>
          <w:rStyle w:val="Heading1Char"/>
          <w:b/>
          <w:caps w:val="0"/>
          <w:lang w:val="fr-FR"/>
        </w:rPr>
        <w:t>A</w:t>
      </w:r>
      <w:r w:rsidR="00501DB6" w:rsidRPr="1386BD8E">
        <w:rPr>
          <w:rStyle w:val="Heading1Char"/>
          <w:b/>
          <w:caps w:val="0"/>
        </w:rPr>
        <w:t xml:space="preserve">pplications and </w:t>
      </w:r>
      <w:r w:rsidR="008038D2" w:rsidRPr="1386BD8E">
        <w:rPr>
          <w:rStyle w:val="Heading1Char"/>
          <w:b/>
          <w:caps w:val="0"/>
        </w:rPr>
        <w:t>Products</w:t>
      </w:r>
      <w:r w:rsidR="00501DB6" w:rsidRPr="1386BD8E">
        <w:rPr>
          <w:rStyle w:val="Heading1Char"/>
          <w:b/>
          <w:caps w:val="0"/>
        </w:rPr>
        <w:t xml:space="preserve"> of </w:t>
      </w:r>
      <w:r w:rsidR="008038D2" w:rsidRPr="1386BD8E">
        <w:rPr>
          <w:rStyle w:val="Heading1Char"/>
          <w:b/>
          <w:caps w:val="0"/>
        </w:rPr>
        <w:t>Synthetic Biology</w:t>
      </w:r>
      <w:r w:rsidR="00A74DE3" w:rsidRPr="002B1E0D">
        <w:rPr>
          <w:rStyle w:val="Heading1Char"/>
          <w:b/>
          <w:caps w:val="0"/>
          <w:lang w:val="fr-FR"/>
        </w:rPr>
        <w:t>.</w:t>
      </w:r>
      <w:bookmarkEnd w:id="58"/>
      <w:bookmarkEnd w:id="59"/>
    </w:p>
    <w:p w14:paraId="356B1F72" w14:textId="43389224" w:rsidR="00C27148" w:rsidRDefault="465FA369" w:rsidP="3CBB9A12">
      <w:pPr>
        <w:suppressAutoHyphens/>
        <w:autoSpaceDE w:val="0"/>
        <w:spacing w:before="120" w:after="120" w:line="240" w:lineRule="auto"/>
        <w:jc w:val="both"/>
        <w:rPr>
          <w:rFonts w:ascii="Times New Roman" w:eastAsiaTheme="minorEastAsia" w:hAnsi="Times New Roman"/>
          <w:color w:val="000000" w:themeColor="text1"/>
          <w:lang w:eastAsia="ar-SA"/>
        </w:rPr>
      </w:pPr>
      <w:r w:rsidRPr="3CBB9A12">
        <w:rPr>
          <w:rFonts w:ascii="Times New Roman" w:eastAsiaTheme="minorEastAsia" w:hAnsi="Times New Roman"/>
          <w:color w:val="000000" w:themeColor="text1"/>
          <w:lang w:eastAsia="ar-SA"/>
        </w:rPr>
        <w:t xml:space="preserve">The </w:t>
      </w:r>
      <w:r w:rsidR="00C764D5">
        <w:rPr>
          <w:rFonts w:ascii="Times New Roman" w:eastAsiaTheme="minorEastAsia" w:hAnsi="Times New Roman"/>
          <w:color w:val="000000" w:themeColor="text1"/>
          <w:lang w:eastAsia="ar-SA"/>
        </w:rPr>
        <w:t>advanc</w:t>
      </w:r>
      <w:r w:rsidR="00AE5BF6">
        <w:rPr>
          <w:rFonts w:ascii="Times New Roman" w:eastAsiaTheme="minorEastAsia" w:hAnsi="Times New Roman"/>
          <w:color w:val="000000" w:themeColor="text1"/>
          <w:lang w:eastAsia="ar-SA"/>
        </w:rPr>
        <w:t>e</w:t>
      </w:r>
      <w:r w:rsidR="00C764D5">
        <w:rPr>
          <w:rFonts w:ascii="Times New Roman" w:eastAsiaTheme="minorEastAsia" w:hAnsi="Times New Roman"/>
          <w:color w:val="000000" w:themeColor="text1"/>
          <w:lang w:eastAsia="ar-SA"/>
        </w:rPr>
        <w:t xml:space="preserve">s in </w:t>
      </w:r>
      <w:r w:rsidRPr="3CBB9A12">
        <w:rPr>
          <w:rFonts w:ascii="Times New Roman" w:eastAsiaTheme="minorEastAsia" w:hAnsi="Times New Roman"/>
          <w:color w:val="000000" w:themeColor="text1"/>
          <w:lang w:eastAsia="ar-SA"/>
        </w:rPr>
        <w:t xml:space="preserve">synthetic biology </w:t>
      </w:r>
      <w:r w:rsidR="00C764D5" w:rsidRPr="3CBB9A12">
        <w:rPr>
          <w:rFonts w:ascii="Times New Roman" w:eastAsiaTheme="minorEastAsia" w:hAnsi="Times New Roman"/>
          <w:color w:val="000000" w:themeColor="text1"/>
          <w:lang w:eastAsia="ar-SA"/>
        </w:rPr>
        <w:t>ha</w:t>
      </w:r>
      <w:r w:rsidR="00C764D5">
        <w:rPr>
          <w:rFonts w:ascii="Times New Roman" w:eastAsiaTheme="minorEastAsia" w:hAnsi="Times New Roman"/>
          <w:color w:val="000000" w:themeColor="text1"/>
          <w:lang w:eastAsia="ar-SA"/>
        </w:rPr>
        <w:t>ve</w:t>
      </w:r>
      <w:r w:rsidR="00C764D5" w:rsidRPr="3CBB9A12">
        <w:rPr>
          <w:rFonts w:ascii="Times New Roman" w:eastAsiaTheme="minorEastAsia" w:hAnsi="Times New Roman"/>
          <w:color w:val="000000" w:themeColor="text1"/>
          <w:lang w:eastAsia="ar-SA"/>
        </w:rPr>
        <w:t xml:space="preserve"> </w:t>
      </w:r>
      <w:r w:rsidRPr="3CBB9A12">
        <w:rPr>
          <w:rFonts w:ascii="Times New Roman" w:eastAsiaTheme="minorEastAsia" w:hAnsi="Times New Roman"/>
          <w:color w:val="000000" w:themeColor="text1"/>
          <w:lang w:eastAsia="ar-SA"/>
        </w:rPr>
        <w:t xml:space="preserve">provided an unprecedented toolbox for tailoring organisms for new applications </w:t>
      </w:r>
      <w:r w:rsidRPr="3CBB9A12">
        <w:rPr>
          <w:rFonts w:ascii="Times New Roman" w:eastAsiaTheme="minorEastAsia" w:hAnsi="Times New Roman"/>
          <w:color w:val="000000" w:themeColor="text1"/>
          <w:lang w:eastAsia="ar-SA"/>
        </w:rPr>
        <w:fldChar w:fldCharType="begin" w:fldLock="1"/>
      </w:r>
      <w:r w:rsidR="008F6A90">
        <w:rPr>
          <w:rFonts w:ascii="Times New Roman" w:eastAsiaTheme="minorEastAsia" w:hAnsi="Times New Roman"/>
          <w:color w:val="000000" w:themeColor="text1"/>
          <w:lang w:eastAsia="ar-SA"/>
        </w:rPr>
        <w:instrText>ADDIN CSL_CITATION {"citationItems":[{"id":"ITEM-1","itemData":{"author":[{"dropping-particle":"","family":"Vickers","given":"C","non-dropping-particle":"","parse-names":false,"suffix":""},{"dropping-particle":"","family":"Small","given":"I","non-dropping-particle":"","parse-names":false,"suffix":""}],"container-title":"Conversation","id":"ITEM-1","issued":{"date-parts":[["2018","9"]]},"title":"The synthetic biology revolution is now – here's what that means","type":"webpage"},"uris":["http://www.mendeley.com/documents/?uuid=79afa45d-7514-4e49-80af-3b7eb24a7aa4"]}],"mendeley":{"formattedCitation":"(Vickers &amp; Small, 2018)","plainTextFormattedCitation":"(Vickers &amp; Small, 2018)","previouslyFormattedCitation":"(Vickers &amp; Small, 2018)"},"properties":{"noteIndex":0},"schema":"https://github.com/citation-style-language/schema/raw/master/csl-citation.json"}</w:instrText>
      </w:r>
      <w:r w:rsidRPr="3CBB9A12">
        <w:rPr>
          <w:rFonts w:ascii="Times New Roman" w:eastAsiaTheme="minorEastAsia" w:hAnsi="Times New Roman"/>
          <w:color w:val="000000" w:themeColor="text1"/>
          <w:lang w:eastAsia="ar-SA"/>
        </w:rPr>
        <w:fldChar w:fldCharType="separate"/>
      </w:r>
      <w:r w:rsidR="008217FB" w:rsidRPr="3CBB9A12">
        <w:rPr>
          <w:rFonts w:ascii="Times New Roman" w:eastAsiaTheme="minorEastAsia" w:hAnsi="Times New Roman"/>
          <w:noProof/>
          <w:color w:val="000000" w:themeColor="text1"/>
          <w:lang w:eastAsia="ar-SA"/>
        </w:rPr>
        <w:t>(Vickers &amp; Small, 2018)</w:t>
      </w:r>
      <w:r w:rsidRPr="3CBB9A12">
        <w:rPr>
          <w:rFonts w:ascii="Times New Roman" w:eastAsiaTheme="minorEastAsia" w:hAnsi="Times New Roman"/>
          <w:color w:val="000000" w:themeColor="text1"/>
          <w:lang w:eastAsia="ar-SA"/>
        </w:rPr>
        <w:fldChar w:fldCharType="end"/>
      </w:r>
      <w:r w:rsidR="00054C86" w:rsidRPr="3CBB9A12">
        <w:rPr>
          <w:rFonts w:ascii="Times New Roman" w:eastAsiaTheme="minorEastAsia" w:hAnsi="Times New Roman"/>
          <w:color w:val="000000" w:themeColor="text1"/>
          <w:lang w:eastAsia="ar-SA"/>
        </w:rPr>
        <w:t xml:space="preserve"> and so</w:t>
      </w:r>
      <w:r w:rsidR="0AFBBE88" w:rsidRPr="3CBB9A12">
        <w:rPr>
          <w:rFonts w:ascii="Times New Roman" w:eastAsiaTheme="minorEastAsia" w:hAnsi="Times New Roman"/>
          <w:color w:val="000000" w:themeColor="text1"/>
          <w:lang w:eastAsia="ar-SA"/>
        </w:rPr>
        <w:t>,</w:t>
      </w:r>
      <w:r w:rsidR="00054C86" w:rsidRPr="3CBB9A12">
        <w:rPr>
          <w:rFonts w:ascii="Times New Roman" w:eastAsiaTheme="minorEastAsia" w:hAnsi="Times New Roman"/>
          <w:color w:val="000000" w:themeColor="text1"/>
          <w:lang w:eastAsia="ar-SA"/>
        </w:rPr>
        <w:t xml:space="preserve"> this section use</w:t>
      </w:r>
      <w:r w:rsidR="00C24A35" w:rsidRPr="3CBB9A12">
        <w:rPr>
          <w:rFonts w:ascii="Times New Roman" w:eastAsiaTheme="minorEastAsia" w:hAnsi="Times New Roman"/>
          <w:color w:val="000000" w:themeColor="text1"/>
          <w:lang w:eastAsia="ar-SA"/>
        </w:rPr>
        <w:t>s</w:t>
      </w:r>
      <w:r w:rsidR="00054C86" w:rsidRPr="3CBB9A12">
        <w:rPr>
          <w:rFonts w:ascii="Times New Roman" w:eastAsiaTheme="minorEastAsia" w:hAnsi="Times New Roman"/>
          <w:color w:val="000000" w:themeColor="text1"/>
          <w:lang w:eastAsia="ar-SA"/>
        </w:rPr>
        <w:t xml:space="preserve"> specific examples to demonstrate </w:t>
      </w:r>
      <w:r w:rsidR="005F48D4" w:rsidRPr="3CBB9A12">
        <w:rPr>
          <w:rFonts w:ascii="Times New Roman" w:eastAsiaTheme="minorEastAsia" w:hAnsi="Times New Roman"/>
          <w:color w:val="000000" w:themeColor="text1"/>
          <w:lang w:eastAsia="ar-SA"/>
        </w:rPr>
        <w:t>the incredibly</w:t>
      </w:r>
      <w:r w:rsidR="00CB564D" w:rsidRPr="3CBB9A12">
        <w:rPr>
          <w:rFonts w:ascii="Times New Roman" w:eastAsiaTheme="minorEastAsia" w:hAnsi="Times New Roman"/>
          <w:color w:val="000000" w:themeColor="text1"/>
          <w:lang w:eastAsia="ar-SA"/>
        </w:rPr>
        <w:t xml:space="preserve"> large and</w:t>
      </w:r>
      <w:r w:rsidR="00054C86" w:rsidRPr="3CBB9A12">
        <w:rPr>
          <w:rFonts w:ascii="Times New Roman" w:eastAsiaTheme="minorEastAsia" w:hAnsi="Times New Roman"/>
          <w:color w:val="000000" w:themeColor="text1"/>
          <w:lang w:eastAsia="ar-SA"/>
        </w:rPr>
        <w:t xml:space="preserve"> diverse range of products that are being developed. The products </w:t>
      </w:r>
      <w:r w:rsidR="00CB564D" w:rsidRPr="3CBB9A12">
        <w:rPr>
          <w:rFonts w:ascii="Times New Roman" w:eastAsiaTheme="minorEastAsia" w:hAnsi="Times New Roman"/>
          <w:color w:val="000000" w:themeColor="text1"/>
          <w:lang w:eastAsia="ar-SA"/>
        </w:rPr>
        <w:t>describ</w:t>
      </w:r>
      <w:r w:rsidR="00054C86" w:rsidRPr="3CBB9A12">
        <w:rPr>
          <w:rFonts w:ascii="Times New Roman" w:eastAsiaTheme="minorEastAsia" w:hAnsi="Times New Roman"/>
          <w:color w:val="000000" w:themeColor="text1"/>
          <w:lang w:eastAsia="ar-SA"/>
        </w:rPr>
        <w:t xml:space="preserve">ed below reflect prominent examples and should not be considered </w:t>
      </w:r>
      <w:r w:rsidR="00CB564D" w:rsidRPr="3CBB9A12">
        <w:rPr>
          <w:rFonts w:ascii="Times New Roman" w:eastAsiaTheme="minorEastAsia" w:hAnsi="Times New Roman"/>
          <w:color w:val="000000" w:themeColor="text1"/>
          <w:lang w:eastAsia="ar-SA"/>
        </w:rPr>
        <w:t xml:space="preserve">as </w:t>
      </w:r>
      <w:r w:rsidR="00054C86" w:rsidRPr="3CBB9A12">
        <w:rPr>
          <w:rFonts w:ascii="Times New Roman" w:eastAsiaTheme="minorEastAsia" w:hAnsi="Times New Roman"/>
          <w:color w:val="000000" w:themeColor="text1"/>
          <w:lang w:eastAsia="ar-SA"/>
        </w:rPr>
        <w:t xml:space="preserve">an exhaustive list. </w:t>
      </w:r>
      <w:r w:rsidR="00884CFB" w:rsidRPr="3CBB9A12">
        <w:rPr>
          <w:rFonts w:ascii="Times New Roman" w:eastAsiaTheme="minorEastAsia" w:hAnsi="Times New Roman"/>
          <w:color w:val="000000" w:themeColor="text1"/>
          <w:lang w:eastAsia="ar-SA"/>
        </w:rPr>
        <w:t xml:space="preserve">Further, </w:t>
      </w:r>
      <w:r w:rsidR="0089611B" w:rsidRPr="3CBB9A12">
        <w:rPr>
          <w:rFonts w:ascii="Times New Roman" w:eastAsiaTheme="minorEastAsia" w:hAnsi="Times New Roman"/>
          <w:color w:val="000000" w:themeColor="text1"/>
          <w:lang w:eastAsia="ar-SA"/>
        </w:rPr>
        <w:t>t</w:t>
      </w:r>
      <w:r w:rsidR="00054C86" w:rsidRPr="3CBB9A12">
        <w:rPr>
          <w:rFonts w:ascii="Times New Roman" w:eastAsiaTheme="minorEastAsia" w:hAnsi="Times New Roman"/>
          <w:color w:val="000000" w:themeColor="text1"/>
          <w:lang w:eastAsia="ar-SA"/>
        </w:rPr>
        <w:t xml:space="preserve">hey have been categorised by the intended </w:t>
      </w:r>
      <w:r w:rsidR="0089611B" w:rsidRPr="3CBB9A12">
        <w:rPr>
          <w:rFonts w:ascii="Times New Roman" w:eastAsiaTheme="minorEastAsia" w:hAnsi="Times New Roman"/>
          <w:color w:val="000000" w:themeColor="text1"/>
          <w:lang w:eastAsia="ar-SA"/>
        </w:rPr>
        <w:t>environmental setting</w:t>
      </w:r>
      <w:r w:rsidR="0008376E" w:rsidRPr="3CBB9A12">
        <w:rPr>
          <w:rFonts w:ascii="Times New Roman" w:eastAsiaTheme="minorEastAsia" w:hAnsi="Times New Roman"/>
          <w:color w:val="000000" w:themeColor="text1"/>
          <w:lang w:eastAsia="ar-SA"/>
        </w:rPr>
        <w:t xml:space="preserve"> of their use</w:t>
      </w:r>
      <w:r w:rsidR="00054C86" w:rsidRPr="3CBB9A12">
        <w:rPr>
          <w:rFonts w:ascii="Times New Roman" w:eastAsiaTheme="minorEastAsia" w:hAnsi="Times New Roman"/>
          <w:color w:val="000000" w:themeColor="text1"/>
          <w:lang w:eastAsia="ar-SA"/>
        </w:rPr>
        <w:t xml:space="preserve">: </w:t>
      </w:r>
    </w:p>
    <w:p w14:paraId="10EB02E6" w14:textId="51F501F0" w:rsidR="00C27148" w:rsidRDefault="00C27148" w:rsidP="0026362F">
      <w:pPr>
        <w:pStyle w:val="ListParagraph"/>
        <w:numPr>
          <w:ilvl w:val="0"/>
          <w:numId w:val="184"/>
        </w:numPr>
        <w:suppressAutoHyphens/>
        <w:autoSpaceDE w:val="0"/>
        <w:spacing w:before="120" w:after="120" w:line="240" w:lineRule="auto"/>
        <w:ind w:left="284" w:hanging="284"/>
        <w:contextualSpacing w:val="0"/>
        <w:jc w:val="both"/>
        <w:rPr>
          <w:rFonts w:ascii="Times New Roman" w:eastAsiaTheme="minorEastAsia" w:hAnsi="Times New Roman"/>
          <w:color w:val="000000" w:themeColor="text1"/>
          <w:lang w:eastAsia="ar-SA"/>
        </w:rPr>
      </w:pPr>
      <w:r w:rsidRPr="0026362F">
        <w:rPr>
          <w:rFonts w:ascii="Times New Roman" w:eastAsiaTheme="minorEastAsia" w:hAnsi="Times New Roman"/>
          <w:i/>
          <w:iCs/>
          <w:color w:val="000000" w:themeColor="text1"/>
          <w:lang w:eastAsia="ar-SA"/>
        </w:rPr>
        <w:t>U</w:t>
      </w:r>
      <w:r w:rsidR="00054C86" w:rsidRPr="0026362F">
        <w:rPr>
          <w:rFonts w:ascii="Times New Roman" w:eastAsiaTheme="minorEastAsia" w:hAnsi="Times New Roman"/>
          <w:i/>
          <w:iCs/>
          <w:color w:val="000000" w:themeColor="text1"/>
          <w:lang w:eastAsia="ar-SA"/>
        </w:rPr>
        <w:t>nmanaged</w:t>
      </w:r>
      <w:r w:rsidRPr="0026362F">
        <w:rPr>
          <w:rFonts w:ascii="Times New Roman" w:eastAsiaTheme="minorEastAsia" w:hAnsi="Times New Roman"/>
          <w:i/>
          <w:iCs/>
          <w:color w:val="000000" w:themeColor="text1"/>
          <w:lang w:eastAsia="ar-SA"/>
        </w:rPr>
        <w:t xml:space="preserve"> or wild </w:t>
      </w:r>
      <w:r w:rsidR="005F48D4" w:rsidRPr="0026362F">
        <w:rPr>
          <w:rFonts w:ascii="Times New Roman" w:eastAsiaTheme="minorEastAsia" w:hAnsi="Times New Roman"/>
          <w:i/>
          <w:iCs/>
          <w:color w:val="000000" w:themeColor="text1"/>
          <w:lang w:eastAsia="ar-SA"/>
        </w:rPr>
        <w:t>settings</w:t>
      </w:r>
      <w:r w:rsidR="1D60AE22" w:rsidRPr="3CBB9A12">
        <w:rPr>
          <w:rFonts w:ascii="Times New Roman" w:eastAsiaTheme="minorEastAsia" w:hAnsi="Times New Roman"/>
          <w:color w:val="000000" w:themeColor="text1"/>
          <w:lang w:eastAsia="ar-SA"/>
        </w:rPr>
        <w:t xml:space="preserve"> </w:t>
      </w:r>
      <w:r w:rsidR="408C173F" w:rsidRPr="3CBB9A12">
        <w:rPr>
          <w:rFonts w:ascii="Times New Roman" w:eastAsiaTheme="minorEastAsia" w:hAnsi="Times New Roman"/>
          <w:color w:val="000000" w:themeColor="text1"/>
          <w:lang w:eastAsia="ar-SA"/>
        </w:rPr>
        <w:t>r</w:t>
      </w:r>
      <w:r w:rsidR="7351FBC0" w:rsidRPr="3CBB9A12">
        <w:rPr>
          <w:rFonts w:ascii="Times New Roman" w:eastAsiaTheme="minorEastAsia" w:hAnsi="Times New Roman"/>
          <w:color w:val="000000" w:themeColor="text1"/>
          <w:lang w:eastAsia="ar-SA"/>
        </w:rPr>
        <w:t xml:space="preserve">efer to </w:t>
      </w:r>
      <w:r w:rsidR="008038D2">
        <w:rPr>
          <w:rFonts w:ascii="Times New Roman" w:eastAsiaTheme="minorEastAsia" w:hAnsi="Times New Roman"/>
          <w:color w:val="000000" w:themeColor="text1"/>
          <w:lang w:eastAsia="ar-SA"/>
        </w:rPr>
        <w:t>un</w:t>
      </w:r>
      <w:r w:rsidR="472F067D" w:rsidRPr="3CBB9A12">
        <w:rPr>
          <w:rFonts w:ascii="Times New Roman" w:eastAsiaTheme="minorEastAsia" w:hAnsi="Times New Roman"/>
          <w:color w:val="000000" w:themeColor="text1"/>
          <w:lang w:eastAsia="ar-SA"/>
        </w:rPr>
        <w:t xml:space="preserve">controlled or </w:t>
      </w:r>
      <w:r w:rsidR="001F667B">
        <w:rPr>
          <w:rFonts w:ascii="Times New Roman" w:eastAsiaTheme="minorEastAsia" w:hAnsi="Times New Roman"/>
          <w:color w:val="000000" w:themeColor="text1"/>
          <w:lang w:eastAsia="ar-SA"/>
        </w:rPr>
        <w:t>non-</w:t>
      </w:r>
      <w:r w:rsidR="472F067D" w:rsidRPr="3CBB9A12">
        <w:rPr>
          <w:rFonts w:ascii="Times New Roman" w:eastAsiaTheme="minorEastAsia" w:hAnsi="Times New Roman"/>
          <w:color w:val="000000" w:themeColor="text1"/>
          <w:lang w:eastAsia="ar-SA"/>
        </w:rPr>
        <w:t xml:space="preserve">regulated </w:t>
      </w:r>
      <w:r w:rsidR="00FB55C4">
        <w:rPr>
          <w:rFonts w:ascii="Times New Roman" w:eastAsiaTheme="minorEastAsia" w:hAnsi="Times New Roman"/>
          <w:color w:val="000000" w:themeColor="text1"/>
          <w:lang w:eastAsia="ar-SA"/>
        </w:rPr>
        <w:t xml:space="preserve">“wilderness” </w:t>
      </w:r>
      <w:r w:rsidR="472F067D" w:rsidRPr="3CBB9A12">
        <w:rPr>
          <w:rFonts w:ascii="Times New Roman" w:eastAsiaTheme="minorEastAsia" w:hAnsi="Times New Roman"/>
          <w:color w:val="000000" w:themeColor="text1"/>
          <w:lang w:eastAsia="ar-SA"/>
        </w:rPr>
        <w:t>environments.</w:t>
      </w:r>
      <w:r w:rsidR="5468E039" w:rsidRPr="3CBB9A12">
        <w:rPr>
          <w:rFonts w:ascii="Times New Roman" w:eastAsiaTheme="minorEastAsia" w:hAnsi="Times New Roman"/>
          <w:color w:val="000000" w:themeColor="text1"/>
          <w:lang w:eastAsia="ar-SA"/>
        </w:rPr>
        <w:t xml:space="preserve"> Release of </w:t>
      </w:r>
      <w:r w:rsidR="7A21617F" w:rsidRPr="3CBB9A12">
        <w:rPr>
          <w:rFonts w:ascii="Times New Roman" w:eastAsiaTheme="minorEastAsia" w:hAnsi="Times New Roman"/>
          <w:color w:val="000000" w:themeColor="text1"/>
          <w:lang w:eastAsia="ar-SA"/>
        </w:rPr>
        <w:t xml:space="preserve">synthetic biology-based </w:t>
      </w:r>
      <w:r w:rsidR="00155276">
        <w:rPr>
          <w:rFonts w:ascii="Times New Roman" w:eastAsiaTheme="minorEastAsia" w:hAnsi="Times New Roman"/>
          <w:color w:val="000000" w:themeColor="text1"/>
          <w:lang w:eastAsia="ar-SA"/>
        </w:rPr>
        <w:t>applications</w:t>
      </w:r>
      <w:r w:rsidR="5468E039" w:rsidRPr="3CBB9A12">
        <w:rPr>
          <w:rFonts w:ascii="Times New Roman" w:eastAsiaTheme="minorEastAsia" w:hAnsi="Times New Roman"/>
          <w:color w:val="000000" w:themeColor="text1"/>
          <w:lang w:eastAsia="ar-SA"/>
        </w:rPr>
        <w:t xml:space="preserve"> </w:t>
      </w:r>
      <w:r w:rsidR="00FB55C4">
        <w:rPr>
          <w:rFonts w:ascii="Times New Roman" w:eastAsiaTheme="minorEastAsia" w:hAnsi="Times New Roman"/>
          <w:color w:val="000000" w:themeColor="text1"/>
          <w:lang w:eastAsia="ar-SA"/>
        </w:rPr>
        <w:t>in</w:t>
      </w:r>
      <w:r w:rsidR="5468E039" w:rsidRPr="3CBB9A12">
        <w:rPr>
          <w:rFonts w:ascii="Times New Roman" w:eastAsiaTheme="minorEastAsia" w:hAnsi="Times New Roman"/>
          <w:color w:val="000000" w:themeColor="text1"/>
          <w:lang w:eastAsia="ar-SA"/>
        </w:rPr>
        <w:t xml:space="preserve">to the wild fall under this </w:t>
      </w:r>
      <w:r w:rsidR="38577E07" w:rsidRPr="3CBB9A12">
        <w:rPr>
          <w:rFonts w:ascii="Times New Roman" w:eastAsiaTheme="minorEastAsia" w:hAnsi="Times New Roman"/>
          <w:color w:val="000000" w:themeColor="text1"/>
          <w:lang w:eastAsia="ar-SA"/>
        </w:rPr>
        <w:t>classification</w:t>
      </w:r>
      <w:r w:rsidR="5468E039" w:rsidRPr="3CBB9A12">
        <w:rPr>
          <w:rFonts w:ascii="Times New Roman" w:eastAsiaTheme="minorEastAsia" w:hAnsi="Times New Roman"/>
          <w:color w:val="000000" w:themeColor="text1"/>
          <w:lang w:eastAsia="ar-SA"/>
        </w:rPr>
        <w:t>.</w:t>
      </w:r>
    </w:p>
    <w:p w14:paraId="729049AE" w14:textId="0580BBE3" w:rsidR="00C27148" w:rsidRDefault="00C27148" w:rsidP="0026362F">
      <w:pPr>
        <w:pStyle w:val="ListParagraph"/>
        <w:numPr>
          <w:ilvl w:val="0"/>
          <w:numId w:val="184"/>
        </w:numPr>
        <w:suppressAutoHyphens/>
        <w:autoSpaceDE w:val="0"/>
        <w:spacing w:before="120" w:after="120" w:line="240" w:lineRule="auto"/>
        <w:ind w:left="284" w:hanging="284"/>
        <w:contextualSpacing w:val="0"/>
        <w:jc w:val="both"/>
        <w:rPr>
          <w:rFonts w:ascii="Times New Roman" w:eastAsiaTheme="minorEastAsia" w:hAnsi="Times New Roman"/>
          <w:color w:val="000000" w:themeColor="text1"/>
          <w:lang w:eastAsia="ar-SA"/>
        </w:rPr>
      </w:pPr>
      <w:r w:rsidRPr="0026362F">
        <w:rPr>
          <w:rFonts w:ascii="Times New Roman" w:eastAsiaTheme="minorEastAsia" w:hAnsi="Times New Roman"/>
          <w:i/>
          <w:iCs/>
          <w:color w:val="000000" w:themeColor="text1"/>
          <w:lang w:eastAsia="ar-SA"/>
        </w:rPr>
        <w:t>Semi-</w:t>
      </w:r>
      <w:r w:rsidR="00054C86" w:rsidRPr="0026362F">
        <w:rPr>
          <w:rFonts w:ascii="Times New Roman" w:eastAsiaTheme="minorEastAsia" w:hAnsi="Times New Roman"/>
          <w:i/>
          <w:iCs/>
          <w:color w:val="000000" w:themeColor="text1"/>
          <w:lang w:eastAsia="ar-SA"/>
        </w:rPr>
        <w:t>managed</w:t>
      </w:r>
      <w:r w:rsidRPr="0026362F">
        <w:rPr>
          <w:rFonts w:ascii="Times New Roman" w:eastAsiaTheme="minorEastAsia" w:hAnsi="Times New Roman"/>
          <w:i/>
          <w:iCs/>
          <w:color w:val="000000" w:themeColor="text1"/>
          <w:lang w:eastAsia="ar-SA"/>
        </w:rPr>
        <w:t>,</w:t>
      </w:r>
      <w:r w:rsidR="00054C86" w:rsidRPr="0026362F">
        <w:rPr>
          <w:rFonts w:ascii="Times New Roman" w:eastAsiaTheme="minorEastAsia" w:hAnsi="Times New Roman"/>
          <w:i/>
          <w:iCs/>
          <w:color w:val="000000" w:themeColor="text1"/>
          <w:lang w:eastAsia="ar-SA"/>
        </w:rPr>
        <w:t xml:space="preserve"> managed, </w:t>
      </w:r>
      <w:r w:rsidRPr="0026362F">
        <w:rPr>
          <w:rFonts w:ascii="Times New Roman" w:eastAsiaTheme="minorEastAsia" w:hAnsi="Times New Roman"/>
          <w:i/>
          <w:iCs/>
          <w:color w:val="000000" w:themeColor="text1"/>
          <w:lang w:eastAsia="ar-SA"/>
        </w:rPr>
        <w:t xml:space="preserve">or urban </w:t>
      </w:r>
      <w:r w:rsidR="005F48D4" w:rsidRPr="0026362F">
        <w:rPr>
          <w:rFonts w:ascii="Times New Roman" w:eastAsiaTheme="minorEastAsia" w:hAnsi="Times New Roman"/>
          <w:i/>
          <w:iCs/>
          <w:color w:val="000000" w:themeColor="text1"/>
          <w:lang w:eastAsia="ar-SA"/>
        </w:rPr>
        <w:t>settings</w:t>
      </w:r>
      <w:r w:rsidR="33BB52D2" w:rsidRPr="1386BD8E">
        <w:rPr>
          <w:rFonts w:ascii="Times New Roman" w:eastAsiaTheme="minorEastAsia" w:hAnsi="Times New Roman"/>
          <w:color w:val="000000" w:themeColor="text1"/>
          <w:lang w:eastAsia="ar-SA"/>
        </w:rPr>
        <w:t xml:space="preserve"> refer to partially controlled or regulated environment</w:t>
      </w:r>
      <w:r w:rsidR="29C7166E" w:rsidRPr="1386BD8E">
        <w:rPr>
          <w:rFonts w:ascii="Times New Roman" w:eastAsiaTheme="minorEastAsia" w:hAnsi="Times New Roman"/>
          <w:color w:val="000000" w:themeColor="text1"/>
          <w:lang w:eastAsia="ar-SA"/>
        </w:rPr>
        <w:t>s</w:t>
      </w:r>
      <w:r w:rsidR="3CDB9C5E" w:rsidRPr="1386BD8E">
        <w:rPr>
          <w:rFonts w:ascii="Times New Roman" w:eastAsiaTheme="minorEastAsia" w:hAnsi="Times New Roman"/>
          <w:color w:val="000000" w:themeColor="text1"/>
          <w:lang w:eastAsia="ar-SA"/>
        </w:rPr>
        <w:t xml:space="preserve">, and </w:t>
      </w:r>
      <w:r w:rsidR="38CD770F" w:rsidRPr="1386BD8E">
        <w:rPr>
          <w:rFonts w:ascii="Times New Roman" w:eastAsiaTheme="minorEastAsia" w:hAnsi="Times New Roman"/>
          <w:color w:val="000000" w:themeColor="text1"/>
          <w:lang w:eastAsia="ar-SA"/>
        </w:rPr>
        <w:t>urban settlements</w:t>
      </w:r>
      <w:r w:rsidR="29C7166E" w:rsidRPr="1386BD8E">
        <w:rPr>
          <w:rFonts w:ascii="Times New Roman" w:eastAsiaTheme="minorEastAsia" w:hAnsi="Times New Roman"/>
          <w:color w:val="000000" w:themeColor="text1"/>
          <w:lang w:eastAsia="ar-SA"/>
        </w:rPr>
        <w:t xml:space="preserve">. </w:t>
      </w:r>
      <w:r w:rsidR="287FCDF4" w:rsidRPr="1386BD8E">
        <w:rPr>
          <w:rFonts w:ascii="Times New Roman" w:eastAsiaTheme="minorEastAsia" w:hAnsi="Times New Roman"/>
          <w:color w:val="000000" w:themeColor="text1"/>
          <w:lang w:eastAsia="ar-SA"/>
        </w:rPr>
        <w:t xml:space="preserve">In these places, </w:t>
      </w:r>
      <w:r w:rsidR="29C7166E" w:rsidRPr="1386BD8E">
        <w:rPr>
          <w:rFonts w:ascii="Times New Roman" w:eastAsiaTheme="minorEastAsia" w:hAnsi="Times New Roman"/>
          <w:color w:val="000000" w:themeColor="text1"/>
          <w:lang w:eastAsia="ar-SA"/>
        </w:rPr>
        <w:t xml:space="preserve">a combination of physical parameters and operational practices </w:t>
      </w:r>
      <w:r w:rsidR="00FB2196">
        <w:rPr>
          <w:rFonts w:ascii="Times New Roman" w:eastAsiaTheme="minorEastAsia" w:hAnsi="Times New Roman"/>
          <w:color w:val="000000" w:themeColor="text1"/>
          <w:lang w:eastAsia="ar-SA"/>
        </w:rPr>
        <w:t xml:space="preserve">limit exposure of </w:t>
      </w:r>
      <w:r w:rsidR="29C7166E" w:rsidRPr="1386BD8E">
        <w:rPr>
          <w:rFonts w:ascii="Times New Roman" w:eastAsiaTheme="minorEastAsia" w:hAnsi="Times New Roman"/>
          <w:color w:val="000000" w:themeColor="text1"/>
          <w:lang w:eastAsia="ar-SA"/>
        </w:rPr>
        <w:t xml:space="preserve">personnel, the immediate work environment, and the wider community </w:t>
      </w:r>
      <w:r w:rsidR="00C477EC">
        <w:rPr>
          <w:rFonts w:ascii="Times New Roman" w:eastAsiaTheme="minorEastAsia" w:hAnsi="Times New Roman"/>
          <w:color w:val="000000" w:themeColor="text1"/>
          <w:lang w:eastAsia="ar-SA"/>
        </w:rPr>
        <w:t>to the synthetic</w:t>
      </w:r>
      <w:r w:rsidR="29C7166E" w:rsidRPr="1386BD8E">
        <w:rPr>
          <w:rFonts w:ascii="Times New Roman" w:eastAsiaTheme="minorEastAsia" w:hAnsi="Times New Roman"/>
          <w:color w:val="000000" w:themeColor="text1"/>
          <w:lang w:eastAsia="ar-SA"/>
        </w:rPr>
        <w:t xml:space="preserve"> biological </w:t>
      </w:r>
      <w:r w:rsidR="00254F0C">
        <w:rPr>
          <w:rFonts w:ascii="Times New Roman" w:eastAsiaTheme="minorEastAsia" w:hAnsi="Times New Roman"/>
          <w:color w:val="000000" w:themeColor="text1"/>
          <w:lang w:eastAsia="ar-SA"/>
        </w:rPr>
        <w:t>application</w:t>
      </w:r>
      <w:r w:rsidR="29C7166E" w:rsidRPr="1386BD8E">
        <w:rPr>
          <w:rFonts w:ascii="Times New Roman" w:eastAsiaTheme="minorEastAsia" w:hAnsi="Times New Roman"/>
          <w:color w:val="000000" w:themeColor="text1"/>
          <w:lang w:eastAsia="ar-SA"/>
        </w:rPr>
        <w:t xml:space="preserve">, while allowing </w:t>
      </w:r>
      <w:r w:rsidR="001E15EC">
        <w:rPr>
          <w:rFonts w:ascii="Times New Roman" w:eastAsiaTheme="minorEastAsia" w:hAnsi="Times New Roman"/>
          <w:color w:val="000000" w:themeColor="text1"/>
          <w:lang w:eastAsia="ar-SA"/>
        </w:rPr>
        <w:t>said</w:t>
      </w:r>
      <w:r w:rsidR="29C7166E" w:rsidRPr="1386BD8E">
        <w:rPr>
          <w:rFonts w:ascii="Times New Roman" w:eastAsiaTheme="minorEastAsia" w:hAnsi="Times New Roman"/>
          <w:color w:val="000000" w:themeColor="text1"/>
          <w:lang w:eastAsia="ar-SA"/>
        </w:rPr>
        <w:t xml:space="preserve"> </w:t>
      </w:r>
      <w:r w:rsidR="00BD2511">
        <w:rPr>
          <w:rFonts w:ascii="Times New Roman" w:eastAsiaTheme="minorEastAsia" w:hAnsi="Times New Roman"/>
          <w:color w:val="000000" w:themeColor="text1"/>
          <w:lang w:eastAsia="ar-SA"/>
        </w:rPr>
        <w:t>application</w:t>
      </w:r>
      <w:r w:rsidR="29C7166E" w:rsidRPr="1386BD8E">
        <w:rPr>
          <w:rFonts w:ascii="Times New Roman" w:eastAsiaTheme="minorEastAsia" w:hAnsi="Times New Roman"/>
          <w:color w:val="000000" w:themeColor="text1"/>
          <w:lang w:eastAsia="ar-SA"/>
        </w:rPr>
        <w:t xml:space="preserve"> to interact </w:t>
      </w:r>
      <w:r w:rsidR="00FF5C30">
        <w:rPr>
          <w:rFonts w:ascii="Times New Roman" w:eastAsiaTheme="minorEastAsia" w:hAnsi="Times New Roman"/>
          <w:color w:val="000000" w:themeColor="text1"/>
          <w:lang w:eastAsia="ar-SA"/>
        </w:rPr>
        <w:t>in</w:t>
      </w:r>
      <w:r w:rsidR="29C7166E" w:rsidRPr="1386BD8E">
        <w:rPr>
          <w:rFonts w:ascii="Times New Roman" w:eastAsiaTheme="minorEastAsia" w:hAnsi="Times New Roman"/>
          <w:color w:val="000000" w:themeColor="text1"/>
          <w:lang w:eastAsia="ar-SA"/>
        </w:rPr>
        <w:t xml:space="preserve"> the environment</w:t>
      </w:r>
      <w:r w:rsidR="1004518D" w:rsidRPr="1386BD8E">
        <w:rPr>
          <w:rFonts w:ascii="Times New Roman" w:eastAsiaTheme="minorEastAsia" w:hAnsi="Times New Roman"/>
          <w:color w:val="000000" w:themeColor="text1"/>
          <w:lang w:eastAsia="ar-SA"/>
        </w:rPr>
        <w:t>.</w:t>
      </w:r>
      <w:r w:rsidR="08BB960A" w:rsidRPr="1386BD8E">
        <w:rPr>
          <w:rFonts w:ascii="Times New Roman" w:eastAsiaTheme="minorEastAsia" w:hAnsi="Times New Roman"/>
          <w:color w:val="000000" w:themeColor="text1"/>
          <w:lang w:eastAsia="ar-SA"/>
        </w:rPr>
        <w:t xml:space="preserve"> The release of synthetic biology-based </w:t>
      </w:r>
      <w:r w:rsidR="00FF5C30">
        <w:rPr>
          <w:rFonts w:ascii="Times New Roman" w:eastAsiaTheme="minorEastAsia" w:hAnsi="Times New Roman"/>
          <w:color w:val="000000" w:themeColor="text1"/>
          <w:lang w:eastAsia="ar-SA"/>
        </w:rPr>
        <w:t>application</w:t>
      </w:r>
      <w:r w:rsidR="08BB960A" w:rsidRPr="1386BD8E">
        <w:rPr>
          <w:rFonts w:ascii="Times New Roman" w:eastAsiaTheme="minorEastAsia" w:hAnsi="Times New Roman"/>
          <w:color w:val="000000" w:themeColor="text1"/>
          <w:lang w:eastAsia="ar-SA"/>
        </w:rPr>
        <w:t xml:space="preserve">s in agricultural fields, farms, </w:t>
      </w:r>
      <w:r w:rsidR="3B189002" w:rsidRPr="1386BD8E">
        <w:rPr>
          <w:rFonts w:ascii="Times New Roman" w:eastAsiaTheme="minorEastAsia" w:hAnsi="Times New Roman"/>
          <w:color w:val="000000" w:themeColor="text1"/>
          <w:lang w:eastAsia="ar-SA"/>
        </w:rPr>
        <w:t>zoos, or human settlements</w:t>
      </w:r>
      <w:r w:rsidR="00264FB2" w:rsidRPr="00264FB2">
        <w:rPr>
          <w:rFonts w:ascii="Times New Roman" w:eastAsiaTheme="minorEastAsia" w:hAnsi="Times New Roman"/>
          <w:color w:val="000000" w:themeColor="text1"/>
          <w:lang w:eastAsia="ar-SA"/>
        </w:rPr>
        <w:t xml:space="preserve"> </w:t>
      </w:r>
      <w:r w:rsidR="00264FB2">
        <w:rPr>
          <w:rFonts w:ascii="Times New Roman" w:eastAsiaTheme="minorEastAsia" w:hAnsi="Times New Roman"/>
          <w:color w:val="000000" w:themeColor="text1"/>
          <w:lang w:eastAsia="ar-SA"/>
        </w:rPr>
        <w:t xml:space="preserve">(including those rural settings where human habitation is encroaching </w:t>
      </w:r>
      <w:r w:rsidR="00F3372F">
        <w:rPr>
          <w:rFonts w:ascii="Times New Roman" w:eastAsiaTheme="minorEastAsia" w:hAnsi="Times New Roman"/>
          <w:color w:val="000000" w:themeColor="text1"/>
          <w:lang w:eastAsia="ar-SA"/>
        </w:rPr>
        <w:t xml:space="preserve">into </w:t>
      </w:r>
      <w:r w:rsidR="00264FB2">
        <w:rPr>
          <w:rFonts w:ascii="Times New Roman" w:eastAsiaTheme="minorEastAsia" w:hAnsi="Times New Roman"/>
          <w:color w:val="000000" w:themeColor="text1"/>
          <w:lang w:eastAsia="ar-SA"/>
        </w:rPr>
        <w:t>wilderness areas)</w:t>
      </w:r>
      <w:r w:rsidR="3B189002" w:rsidRPr="1386BD8E">
        <w:rPr>
          <w:rFonts w:ascii="Times New Roman" w:eastAsiaTheme="minorEastAsia" w:hAnsi="Times New Roman"/>
          <w:color w:val="000000" w:themeColor="text1"/>
          <w:lang w:eastAsia="ar-SA"/>
        </w:rPr>
        <w:t xml:space="preserve"> </w:t>
      </w:r>
      <w:r w:rsidR="08BB960A" w:rsidRPr="1386BD8E">
        <w:rPr>
          <w:rFonts w:ascii="Times New Roman" w:eastAsiaTheme="minorEastAsia" w:hAnsi="Times New Roman"/>
          <w:color w:val="000000" w:themeColor="text1"/>
          <w:lang w:eastAsia="ar-SA"/>
        </w:rPr>
        <w:t>fall under this classification</w:t>
      </w:r>
      <w:r w:rsidR="2D052A2D" w:rsidRPr="1386BD8E">
        <w:rPr>
          <w:rFonts w:ascii="Times New Roman" w:eastAsiaTheme="minorEastAsia" w:hAnsi="Times New Roman"/>
          <w:color w:val="000000" w:themeColor="text1"/>
          <w:lang w:eastAsia="ar-SA"/>
        </w:rPr>
        <w:t>.</w:t>
      </w:r>
    </w:p>
    <w:p w14:paraId="78F09A9F" w14:textId="66CB8348" w:rsidR="00C27148" w:rsidRDefault="00C27148" w:rsidP="0026362F">
      <w:pPr>
        <w:pStyle w:val="ListParagraph"/>
        <w:numPr>
          <w:ilvl w:val="0"/>
          <w:numId w:val="184"/>
        </w:numPr>
        <w:spacing w:after="120" w:line="240" w:lineRule="auto"/>
        <w:ind w:left="284" w:hanging="284"/>
        <w:jc w:val="both"/>
        <w:rPr>
          <w:rFonts w:ascii="Times New Roman" w:eastAsiaTheme="minorEastAsia" w:hAnsi="Times New Roman"/>
          <w:color w:val="000000" w:themeColor="text1"/>
        </w:rPr>
      </w:pPr>
      <w:r w:rsidRPr="0026362F">
        <w:rPr>
          <w:rFonts w:ascii="Times New Roman" w:eastAsiaTheme="minorEastAsia" w:hAnsi="Times New Roman"/>
          <w:i/>
          <w:iCs/>
          <w:color w:val="000000" w:themeColor="text1"/>
          <w:lang w:eastAsia="ar-SA"/>
        </w:rPr>
        <w:t>C</w:t>
      </w:r>
      <w:r w:rsidR="00054C86" w:rsidRPr="0026362F">
        <w:rPr>
          <w:rFonts w:ascii="Times New Roman" w:eastAsiaTheme="minorEastAsia" w:hAnsi="Times New Roman"/>
          <w:i/>
          <w:iCs/>
          <w:color w:val="000000" w:themeColor="text1"/>
          <w:lang w:eastAsia="ar-SA"/>
        </w:rPr>
        <w:t>ontain</w:t>
      </w:r>
      <w:r w:rsidR="00DF36B5" w:rsidRPr="0026362F">
        <w:rPr>
          <w:rFonts w:ascii="Times New Roman" w:eastAsiaTheme="minorEastAsia" w:hAnsi="Times New Roman"/>
          <w:i/>
          <w:iCs/>
          <w:color w:val="000000" w:themeColor="text1"/>
          <w:lang w:eastAsia="ar-SA"/>
        </w:rPr>
        <w:t>ment</w:t>
      </w:r>
      <w:r w:rsidR="00E046A9" w:rsidRPr="0026362F">
        <w:rPr>
          <w:rFonts w:ascii="Times New Roman" w:eastAsiaTheme="minorEastAsia" w:hAnsi="Times New Roman"/>
          <w:i/>
          <w:iCs/>
          <w:color w:val="000000" w:themeColor="text1"/>
          <w:lang w:eastAsia="ar-SA"/>
        </w:rPr>
        <w:t xml:space="preserve">, </w:t>
      </w:r>
      <w:r w:rsidRPr="0026362F">
        <w:rPr>
          <w:rFonts w:ascii="Times New Roman" w:eastAsiaTheme="minorEastAsia" w:hAnsi="Times New Roman"/>
          <w:i/>
          <w:iCs/>
          <w:color w:val="000000" w:themeColor="text1"/>
          <w:lang w:eastAsia="ar-SA"/>
        </w:rPr>
        <w:t>industrial processes</w:t>
      </w:r>
      <w:r w:rsidR="00E046A9" w:rsidRPr="0026362F">
        <w:rPr>
          <w:rFonts w:ascii="Times New Roman" w:eastAsiaTheme="minorEastAsia" w:hAnsi="Times New Roman"/>
          <w:i/>
          <w:iCs/>
          <w:color w:val="000000" w:themeColor="text1"/>
          <w:lang w:eastAsia="ar-SA"/>
        </w:rPr>
        <w:t>, or laboratory settings</w:t>
      </w:r>
      <w:r w:rsidR="1AD9CB45" w:rsidRPr="1386BD8E">
        <w:rPr>
          <w:rFonts w:ascii="Times New Roman" w:eastAsiaTheme="minorEastAsia" w:hAnsi="Times New Roman"/>
          <w:color w:val="000000" w:themeColor="text1"/>
          <w:lang w:eastAsia="ar-SA"/>
        </w:rPr>
        <w:t xml:space="preserve"> refer to controlled and regulated environments. In these places, a combination of physical design parameters and operational practices pr</w:t>
      </w:r>
      <w:r w:rsidR="00D706C8">
        <w:rPr>
          <w:rFonts w:ascii="Times New Roman" w:eastAsiaTheme="minorEastAsia" w:hAnsi="Times New Roman"/>
          <w:color w:val="000000" w:themeColor="text1"/>
          <w:lang w:eastAsia="ar-SA"/>
        </w:rPr>
        <w:t>event</w:t>
      </w:r>
      <w:r w:rsidR="1AD9CB45" w:rsidRPr="1386BD8E">
        <w:rPr>
          <w:rFonts w:ascii="Times New Roman" w:eastAsiaTheme="minorEastAsia" w:hAnsi="Times New Roman"/>
          <w:color w:val="000000" w:themeColor="text1"/>
          <w:lang w:eastAsia="ar-SA"/>
        </w:rPr>
        <w:t xml:space="preserve"> </w:t>
      </w:r>
      <w:r w:rsidR="00D54A99" w:rsidRPr="1386BD8E">
        <w:rPr>
          <w:rFonts w:ascii="Times New Roman" w:eastAsiaTheme="minorEastAsia" w:hAnsi="Times New Roman"/>
          <w:color w:val="000000" w:themeColor="text1"/>
          <w:lang w:eastAsia="ar-SA"/>
        </w:rPr>
        <w:t xml:space="preserve">exposure </w:t>
      </w:r>
      <w:r w:rsidR="00D54A99">
        <w:rPr>
          <w:rFonts w:ascii="Times New Roman" w:eastAsiaTheme="minorEastAsia" w:hAnsi="Times New Roman"/>
          <w:color w:val="000000" w:themeColor="text1"/>
          <w:lang w:eastAsia="ar-SA"/>
        </w:rPr>
        <w:t xml:space="preserve">of </w:t>
      </w:r>
      <w:r w:rsidR="1AD9CB45" w:rsidRPr="1386BD8E">
        <w:rPr>
          <w:rFonts w:ascii="Times New Roman" w:eastAsiaTheme="minorEastAsia" w:hAnsi="Times New Roman"/>
          <w:color w:val="000000" w:themeColor="text1"/>
          <w:lang w:eastAsia="ar-SA"/>
        </w:rPr>
        <w:t xml:space="preserve">personnel, the immediate work environment, and the wider community to </w:t>
      </w:r>
      <w:r w:rsidR="00DD18B5">
        <w:rPr>
          <w:rFonts w:ascii="Times New Roman" w:eastAsiaTheme="minorEastAsia" w:hAnsi="Times New Roman"/>
          <w:color w:val="000000" w:themeColor="text1"/>
          <w:lang w:eastAsia="ar-SA"/>
        </w:rPr>
        <w:t xml:space="preserve">the synthetic </w:t>
      </w:r>
      <w:r w:rsidR="1AD9CB45" w:rsidRPr="1386BD8E">
        <w:rPr>
          <w:rFonts w:ascii="Times New Roman" w:eastAsiaTheme="minorEastAsia" w:hAnsi="Times New Roman"/>
          <w:color w:val="000000" w:themeColor="text1"/>
          <w:lang w:eastAsia="ar-SA"/>
        </w:rPr>
        <w:t>biolog</w:t>
      </w:r>
      <w:r w:rsidR="00DD18B5">
        <w:rPr>
          <w:rFonts w:ascii="Times New Roman" w:eastAsiaTheme="minorEastAsia" w:hAnsi="Times New Roman"/>
          <w:color w:val="000000" w:themeColor="text1"/>
          <w:lang w:eastAsia="ar-SA"/>
        </w:rPr>
        <w:t>y-based applications</w:t>
      </w:r>
      <w:r w:rsidR="1AD9CB45" w:rsidRPr="1386BD8E">
        <w:rPr>
          <w:rFonts w:ascii="Times New Roman" w:eastAsiaTheme="minorEastAsia" w:hAnsi="Times New Roman"/>
          <w:color w:val="000000" w:themeColor="text1"/>
          <w:lang w:eastAsia="ar-SA"/>
        </w:rPr>
        <w:t xml:space="preserve">. The use of </w:t>
      </w:r>
      <w:r w:rsidR="00DD18B5">
        <w:rPr>
          <w:rFonts w:ascii="Times New Roman" w:eastAsiaTheme="minorEastAsia" w:hAnsi="Times New Roman"/>
          <w:color w:val="000000" w:themeColor="text1"/>
          <w:lang w:eastAsia="ar-SA"/>
        </w:rPr>
        <w:t>said</w:t>
      </w:r>
      <w:r w:rsidR="1AD9CB45" w:rsidRPr="1386BD8E">
        <w:rPr>
          <w:rFonts w:ascii="Times New Roman" w:eastAsiaTheme="minorEastAsia" w:hAnsi="Times New Roman"/>
          <w:color w:val="000000" w:themeColor="text1"/>
          <w:lang w:eastAsia="ar-SA"/>
        </w:rPr>
        <w:t xml:space="preserve"> </w:t>
      </w:r>
      <w:r w:rsidR="00910E58">
        <w:rPr>
          <w:rFonts w:ascii="Times New Roman" w:eastAsiaTheme="minorEastAsia" w:hAnsi="Times New Roman"/>
          <w:color w:val="000000" w:themeColor="text1"/>
          <w:lang w:eastAsia="ar-SA"/>
        </w:rPr>
        <w:t>applications</w:t>
      </w:r>
      <w:r w:rsidR="1AD9CB45" w:rsidRPr="1386BD8E">
        <w:rPr>
          <w:rFonts w:ascii="Times New Roman" w:eastAsiaTheme="minorEastAsia" w:hAnsi="Times New Roman"/>
          <w:color w:val="000000" w:themeColor="text1"/>
          <w:lang w:eastAsia="ar-SA"/>
        </w:rPr>
        <w:t xml:space="preserve"> and products in indus</w:t>
      </w:r>
      <w:r w:rsidR="7E4436F0" w:rsidRPr="1386BD8E">
        <w:rPr>
          <w:rFonts w:ascii="Times New Roman" w:eastAsiaTheme="minorEastAsia" w:hAnsi="Times New Roman"/>
          <w:color w:val="000000" w:themeColor="text1"/>
          <w:lang w:eastAsia="ar-SA"/>
        </w:rPr>
        <w:t>trial or laboratory premises fall under this classification.</w:t>
      </w:r>
    </w:p>
    <w:p w14:paraId="455621F2" w14:textId="07129C68" w:rsidR="00054C86" w:rsidRPr="00774321" w:rsidRDefault="00054C86" w:rsidP="1386BD8E">
      <w:pPr>
        <w:suppressAutoHyphens/>
        <w:autoSpaceDE w:val="0"/>
        <w:spacing w:before="120" w:after="120" w:line="240" w:lineRule="auto"/>
        <w:jc w:val="both"/>
        <w:rPr>
          <w:rFonts w:ascii="Times New Roman" w:eastAsiaTheme="minorEastAsia" w:hAnsi="Times New Roman"/>
          <w:color w:val="000000" w:themeColor="text1"/>
          <w:lang w:eastAsia="ar-SA"/>
        </w:rPr>
      </w:pPr>
      <w:r w:rsidRPr="3CBB9A12">
        <w:rPr>
          <w:rFonts w:ascii="Times New Roman" w:eastAsiaTheme="minorEastAsia" w:hAnsi="Times New Roman"/>
          <w:color w:val="000000" w:themeColor="text1"/>
          <w:lang w:eastAsia="ar-SA"/>
        </w:rPr>
        <w:t>Within each category, the products that are commercially available, in advanced development</w:t>
      </w:r>
      <w:r w:rsidR="683CE9FF" w:rsidRPr="3CBB9A12">
        <w:rPr>
          <w:rFonts w:ascii="Times New Roman" w:eastAsiaTheme="minorEastAsia" w:hAnsi="Times New Roman"/>
          <w:color w:val="000000" w:themeColor="text1"/>
          <w:lang w:eastAsia="ar-SA"/>
        </w:rPr>
        <w:t xml:space="preserve"> (</w:t>
      </w:r>
      <w:r w:rsidR="65B60722" w:rsidRPr="3CBB9A12">
        <w:rPr>
          <w:rFonts w:ascii="Times New Roman" w:eastAsiaTheme="minorEastAsia" w:hAnsi="Times New Roman"/>
          <w:color w:val="000000" w:themeColor="text1"/>
          <w:lang w:eastAsia="ar-SA"/>
        </w:rPr>
        <w:t>e.g., products and applications that ha</w:t>
      </w:r>
      <w:r w:rsidR="00E10414">
        <w:rPr>
          <w:rFonts w:ascii="Times New Roman" w:eastAsiaTheme="minorEastAsia" w:hAnsi="Times New Roman"/>
          <w:color w:val="000000" w:themeColor="text1"/>
          <w:lang w:eastAsia="ar-SA"/>
        </w:rPr>
        <w:t>ve</w:t>
      </w:r>
      <w:r w:rsidR="65B60722" w:rsidRPr="3CBB9A12">
        <w:rPr>
          <w:rFonts w:ascii="Times New Roman" w:eastAsiaTheme="minorEastAsia" w:hAnsi="Times New Roman"/>
          <w:color w:val="000000" w:themeColor="text1"/>
          <w:lang w:eastAsia="ar-SA"/>
        </w:rPr>
        <w:t xml:space="preserve"> been tested in confined field trials)</w:t>
      </w:r>
      <w:r w:rsidRPr="3CBB9A12">
        <w:rPr>
          <w:rFonts w:ascii="Times New Roman" w:eastAsiaTheme="minorEastAsia" w:hAnsi="Times New Roman"/>
          <w:color w:val="000000" w:themeColor="text1"/>
          <w:lang w:eastAsia="ar-SA"/>
        </w:rPr>
        <w:t>, and in research</w:t>
      </w:r>
      <w:r w:rsidR="677D9BBF" w:rsidRPr="3CBB9A12">
        <w:rPr>
          <w:rFonts w:ascii="Times New Roman" w:eastAsiaTheme="minorEastAsia" w:hAnsi="Times New Roman"/>
          <w:color w:val="000000" w:themeColor="text1"/>
          <w:lang w:eastAsia="ar-SA"/>
        </w:rPr>
        <w:t xml:space="preserve"> (</w:t>
      </w:r>
      <w:r w:rsidR="1981EE3E" w:rsidRPr="3CBB9A12">
        <w:rPr>
          <w:rFonts w:ascii="Times New Roman" w:eastAsiaTheme="minorEastAsia" w:hAnsi="Times New Roman"/>
          <w:color w:val="000000" w:themeColor="text1"/>
          <w:lang w:eastAsia="ar-SA"/>
        </w:rPr>
        <w:t xml:space="preserve">e.g., </w:t>
      </w:r>
      <w:r w:rsidR="677D9BBF" w:rsidRPr="3CBB9A12">
        <w:rPr>
          <w:rFonts w:ascii="Times New Roman" w:eastAsiaTheme="minorEastAsia" w:hAnsi="Times New Roman"/>
          <w:color w:val="000000" w:themeColor="text1"/>
          <w:lang w:eastAsia="ar-SA"/>
        </w:rPr>
        <w:t xml:space="preserve">exploratory </w:t>
      </w:r>
      <w:r w:rsidR="00936AB1" w:rsidRPr="3CBB9A12">
        <w:rPr>
          <w:rFonts w:ascii="Times New Roman" w:eastAsiaTheme="minorEastAsia" w:hAnsi="Times New Roman"/>
          <w:color w:val="000000" w:themeColor="text1"/>
          <w:lang w:eastAsia="ar-SA"/>
        </w:rPr>
        <w:t>research</w:t>
      </w:r>
      <w:r w:rsidR="677D9BBF" w:rsidRPr="3CBB9A12">
        <w:rPr>
          <w:rFonts w:ascii="Times New Roman" w:eastAsiaTheme="minorEastAsia" w:hAnsi="Times New Roman"/>
          <w:color w:val="000000" w:themeColor="text1"/>
          <w:lang w:eastAsia="ar-SA"/>
        </w:rPr>
        <w:t>, proof of concepts)</w:t>
      </w:r>
      <w:r w:rsidRPr="3CBB9A12">
        <w:rPr>
          <w:rFonts w:ascii="Times New Roman" w:eastAsiaTheme="minorEastAsia" w:hAnsi="Times New Roman"/>
          <w:color w:val="000000" w:themeColor="text1"/>
          <w:lang w:eastAsia="ar-SA"/>
        </w:rPr>
        <w:t xml:space="preserve"> are specified.</w:t>
      </w:r>
    </w:p>
    <w:p w14:paraId="146120E6" w14:textId="2878427D" w:rsidR="00054C86" w:rsidRPr="00AB1705" w:rsidRDefault="003D6125" w:rsidP="00FB55C4">
      <w:pPr>
        <w:pStyle w:val="Heading3"/>
        <w:rPr>
          <w:rFonts w:eastAsiaTheme="minorHAnsi"/>
          <w:lang w:val="en-US"/>
        </w:rPr>
      </w:pPr>
      <w:bookmarkStart w:id="60" w:name="_Toc70112677"/>
      <w:bookmarkStart w:id="61" w:name="_Toc70685699"/>
      <w:r>
        <w:rPr>
          <w:rFonts w:eastAsiaTheme="minorHAnsi"/>
          <w:lang w:val="en-US"/>
        </w:rPr>
        <w:t>3</w:t>
      </w:r>
      <w:r w:rsidR="00054C86" w:rsidRPr="00E767FC">
        <w:rPr>
          <w:rFonts w:eastAsiaTheme="minorHAnsi"/>
        </w:rPr>
        <w:t xml:space="preserve">.1. </w:t>
      </w:r>
      <w:r w:rsidR="00436A2B" w:rsidRPr="00E767FC">
        <w:rPr>
          <w:rFonts w:eastAsiaTheme="minorHAnsi"/>
          <w:lang w:val="en-GB"/>
        </w:rPr>
        <w:t>S</w:t>
      </w:r>
      <w:r w:rsidR="00436A2B" w:rsidRPr="00E767FC">
        <w:rPr>
          <w:rFonts w:eastAsiaTheme="minorHAnsi"/>
        </w:rPr>
        <w:t>ynthetic biology applications in unmanaged</w:t>
      </w:r>
      <w:r w:rsidR="00436A2B" w:rsidRPr="00E767FC">
        <w:rPr>
          <w:rFonts w:eastAsiaTheme="minorHAnsi"/>
          <w:lang w:val="en-GB"/>
        </w:rPr>
        <w:t xml:space="preserve"> or</w:t>
      </w:r>
      <w:r w:rsidR="00436A2B" w:rsidRPr="00E767FC">
        <w:rPr>
          <w:rFonts w:eastAsiaTheme="minorHAnsi"/>
        </w:rPr>
        <w:t xml:space="preserve"> wild settings</w:t>
      </w:r>
      <w:r w:rsidR="00E10414">
        <w:rPr>
          <w:rFonts w:eastAsiaTheme="minorHAnsi"/>
          <w:lang w:val="en-US"/>
        </w:rPr>
        <w:t>.</w:t>
      </w:r>
      <w:bookmarkEnd w:id="60"/>
      <w:bookmarkEnd w:id="61"/>
    </w:p>
    <w:p w14:paraId="6D37E52E" w14:textId="289B8D61" w:rsidR="00054C86" w:rsidRPr="00F03DEC" w:rsidRDefault="003D6125" w:rsidP="00BC341C">
      <w:pPr>
        <w:pStyle w:val="Heading4"/>
        <w:rPr>
          <w:b w:val="0"/>
          <w:i w:val="0"/>
        </w:rPr>
      </w:pPr>
      <w:r w:rsidRPr="00475BDC">
        <w:rPr>
          <w:bCs w:val="0"/>
          <w:i w:val="0"/>
        </w:rPr>
        <w:t>3</w:t>
      </w:r>
      <w:r w:rsidR="00054C86" w:rsidRPr="00475BDC">
        <w:rPr>
          <w:bCs w:val="0"/>
          <w:i w:val="0"/>
        </w:rPr>
        <w:t>.1.1. Commercially available</w:t>
      </w:r>
      <w:r w:rsidR="00CC7BF2" w:rsidRPr="00F03DEC">
        <w:rPr>
          <w:b w:val="0"/>
          <w:i w:val="0"/>
        </w:rPr>
        <w:t>.</w:t>
      </w:r>
    </w:p>
    <w:p w14:paraId="145FF672" w14:textId="30EC2A7E" w:rsidR="00054C86" w:rsidRPr="00054C86" w:rsidRDefault="008F456D" w:rsidP="005F48D4">
      <w:pPr>
        <w:spacing w:after="160" w:line="259" w:lineRule="auto"/>
        <w:jc w:val="both"/>
        <w:rPr>
          <w:rFonts w:ascii="Times New Roman" w:eastAsiaTheme="minorHAnsi" w:hAnsi="Times New Roman"/>
        </w:rPr>
      </w:pPr>
      <w:r>
        <w:rPr>
          <w:rFonts w:ascii="Times New Roman" w:eastAsiaTheme="minorHAnsi" w:hAnsi="Times New Roman"/>
        </w:rPr>
        <w:t>No</w:t>
      </w:r>
      <w:r w:rsidR="00054C86" w:rsidRPr="00054C86">
        <w:rPr>
          <w:rFonts w:ascii="Times New Roman" w:eastAsiaTheme="minorHAnsi" w:hAnsi="Times New Roman"/>
        </w:rPr>
        <w:t xml:space="preserve"> information</w:t>
      </w:r>
      <w:r>
        <w:rPr>
          <w:rFonts w:ascii="Times New Roman" w:eastAsiaTheme="minorHAnsi" w:hAnsi="Times New Roman"/>
        </w:rPr>
        <w:t xml:space="preserve"> was found</w:t>
      </w:r>
      <w:r w:rsidR="00054C86" w:rsidRPr="00054C86">
        <w:rPr>
          <w:rFonts w:ascii="Times New Roman" w:eastAsiaTheme="minorHAnsi" w:hAnsi="Times New Roman"/>
        </w:rPr>
        <w:t xml:space="preserve"> </w:t>
      </w:r>
      <w:r w:rsidR="00B7328B">
        <w:rPr>
          <w:rFonts w:ascii="Times New Roman" w:eastAsiaTheme="minorHAnsi" w:hAnsi="Times New Roman"/>
        </w:rPr>
        <w:t>of applications</w:t>
      </w:r>
      <w:r w:rsidR="00054C86" w:rsidRPr="00054C86">
        <w:rPr>
          <w:rFonts w:ascii="Times New Roman" w:eastAsiaTheme="minorHAnsi" w:hAnsi="Times New Roman"/>
        </w:rPr>
        <w:t xml:space="preserve"> developed using synthetic biology approaches under this category.</w:t>
      </w:r>
    </w:p>
    <w:p w14:paraId="407E3A12" w14:textId="728B7F27" w:rsidR="00054C86" w:rsidRPr="00F03DEC" w:rsidRDefault="003D6125" w:rsidP="005F48D4">
      <w:pPr>
        <w:pStyle w:val="Heading4"/>
        <w:rPr>
          <w:b w:val="0"/>
          <w:i w:val="0"/>
        </w:rPr>
      </w:pPr>
      <w:r w:rsidRPr="00475BDC">
        <w:rPr>
          <w:bCs w:val="0"/>
          <w:i w:val="0"/>
        </w:rPr>
        <w:t>3</w:t>
      </w:r>
      <w:r w:rsidR="00054C86" w:rsidRPr="00475BDC">
        <w:rPr>
          <w:bCs w:val="0"/>
          <w:i w:val="0"/>
        </w:rPr>
        <w:t>.1.2. Advanced development</w:t>
      </w:r>
      <w:r w:rsidR="00CC7BF2" w:rsidRPr="00F03DEC">
        <w:rPr>
          <w:b w:val="0"/>
          <w:i w:val="0"/>
        </w:rPr>
        <w:t>.</w:t>
      </w:r>
    </w:p>
    <w:p w14:paraId="6E4AFAFA" w14:textId="6F26DEBD" w:rsidR="00BC341C" w:rsidRPr="00D47343" w:rsidRDefault="006F53BC" w:rsidP="00BC341C">
      <w:pPr>
        <w:spacing w:after="160" w:line="259" w:lineRule="auto"/>
        <w:jc w:val="both"/>
        <w:rPr>
          <w:rFonts w:ascii="Times New Roman" w:eastAsiaTheme="minorHAnsi" w:hAnsi="Times New Roman"/>
        </w:rPr>
      </w:pPr>
      <w:r>
        <w:rPr>
          <w:rFonts w:ascii="Times New Roman" w:eastAsiaTheme="minorHAnsi" w:hAnsi="Times New Roman"/>
        </w:rPr>
        <w:t>N</w:t>
      </w:r>
      <w:r w:rsidR="00BC341C" w:rsidRPr="00054C86">
        <w:rPr>
          <w:rFonts w:ascii="Times New Roman" w:eastAsiaTheme="minorHAnsi" w:hAnsi="Times New Roman"/>
        </w:rPr>
        <w:t xml:space="preserve">o information </w:t>
      </w:r>
      <w:r>
        <w:rPr>
          <w:rFonts w:ascii="Times New Roman" w:eastAsiaTheme="minorHAnsi" w:hAnsi="Times New Roman"/>
        </w:rPr>
        <w:t xml:space="preserve">was found </w:t>
      </w:r>
      <w:r w:rsidR="00BC341C">
        <w:rPr>
          <w:rFonts w:ascii="Times New Roman" w:eastAsiaTheme="minorHAnsi" w:hAnsi="Times New Roman"/>
        </w:rPr>
        <w:t>of applications</w:t>
      </w:r>
      <w:r w:rsidR="00BC341C" w:rsidRPr="00054C86">
        <w:rPr>
          <w:rFonts w:ascii="Times New Roman" w:eastAsiaTheme="minorHAnsi" w:hAnsi="Times New Roman"/>
        </w:rPr>
        <w:t xml:space="preserve"> developed using synthetic biology approaches under this category.</w:t>
      </w:r>
    </w:p>
    <w:p w14:paraId="5A1D4DE6" w14:textId="6C99EEDB" w:rsidR="00054C86" w:rsidRPr="00475BDC" w:rsidRDefault="003D6125" w:rsidP="005F48D4">
      <w:pPr>
        <w:pStyle w:val="Heading4"/>
        <w:rPr>
          <w:bCs w:val="0"/>
          <w:i w:val="0"/>
        </w:rPr>
      </w:pPr>
      <w:r w:rsidRPr="00475BDC">
        <w:rPr>
          <w:bCs w:val="0"/>
          <w:i w:val="0"/>
        </w:rPr>
        <w:t>3</w:t>
      </w:r>
      <w:r w:rsidR="00054C86" w:rsidRPr="00475BDC">
        <w:rPr>
          <w:bCs w:val="0"/>
          <w:i w:val="0"/>
        </w:rPr>
        <w:t>.1.3. Research</w:t>
      </w:r>
      <w:r w:rsidR="00CC7BF2" w:rsidRPr="00475BDC">
        <w:rPr>
          <w:bCs w:val="0"/>
          <w:i w:val="0"/>
        </w:rPr>
        <w:t>.</w:t>
      </w:r>
    </w:p>
    <w:p w14:paraId="584F294D" w14:textId="7D5D1DA2" w:rsidR="00054C86" w:rsidRPr="003F28C6" w:rsidRDefault="00997637" w:rsidP="003F28C6">
      <w:pPr>
        <w:pStyle w:val="Heading5"/>
        <w:tabs>
          <w:tab w:val="clear" w:pos="1800"/>
        </w:tabs>
        <w:ind w:left="284" w:hanging="284"/>
        <w:rPr>
          <w:rFonts w:cstheme="minorBidi"/>
          <w:iCs/>
          <w:lang w:val="en-GB"/>
        </w:rPr>
      </w:pPr>
      <w:r>
        <w:rPr>
          <w:i w:val="0"/>
          <w:iCs/>
        </w:rPr>
        <w:t xml:space="preserve">(a) </w:t>
      </w:r>
      <w:r w:rsidR="00054C86" w:rsidRPr="00054C86">
        <w:t>Genetically engineered bacteria for environmental applications, such as bioremediation, biodegradation and biomining.</w:t>
      </w:r>
    </w:p>
    <w:p w14:paraId="70F23C0D" w14:textId="7B2576ED" w:rsidR="00054C86" w:rsidRPr="00B409CC" w:rsidRDefault="00054C86" w:rsidP="003A074E">
      <w:pPr>
        <w:numPr>
          <w:ilvl w:val="1"/>
          <w:numId w:val="185"/>
        </w:numPr>
        <w:suppressAutoHyphens/>
        <w:autoSpaceDE w:val="0"/>
        <w:spacing w:before="120" w:after="120" w:line="240" w:lineRule="auto"/>
        <w:ind w:left="284" w:hanging="284"/>
        <w:jc w:val="both"/>
        <w:rPr>
          <w:rFonts w:ascii="Times New Roman" w:eastAsia="Times New Roman" w:hAnsi="Times New Roman" w:cstheme="minorBidi"/>
          <w:i/>
          <w:iCs/>
          <w:lang w:eastAsia="ar-SA"/>
        </w:rPr>
      </w:pPr>
      <w:r w:rsidRPr="00A1393C">
        <w:rPr>
          <w:rFonts w:ascii="Times New Roman" w:eastAsia="Times New Roman" w:hAnsi="Times New Roman" w:cstheme="minorBidi"/>
          <w:u w:val="single"/>
          <w:lang w:eastAsia="ar-SA"/>
        </w:rPr>
        <w:t>Bioremediation</w:t>
      </w:r>
      <w:r w:rsidRPr="3CBB9A12">
        <w:rPr>
          <w:rFonts w:ascii="Times New Roman" w:eastAsia="Times New Roman" w:hAnsi="Times New Roman" w:cstheme="minorBidi"/>
          <w:lang w:eastAsia="ar-SA"/>
        </w:rPr>
        <w:t>.</w:t>
      </w:r>
      <w:r w:rsidRPr="3CBB9A12">
        <w:rPr>
          <w:rFonts w:ascii="Times New Roman" w:eastAsia="Times New Roman" w:hAnsi="Times New Roman" w:cstheme="minorBidi"/>
          <w:b/>
          <w:lang w:eastAsia="ar-SA"/>
        </w:rPr>
        <w:t xml:space="preserve"> </w:t>
      </w:r>
      <w:r w:rsidR="0039154B">
        <w:rPr>
          <w:rFonts w:ascii="Times New Roman" w:eastAsia="Times New Roman" w:hAnsi="Times New Roman" w:cstheme="minorBidi"/>
          <w:lang w:eastAsia="ar-SA"/>
        </w:rPr>
        <w:t xml:space="preserve">As a potential application for phosphate removal, </w:t>
      </w:r>
      <w:r w:rsidR="00F02F91" w:rsidRPr="3CBB9A12">
        <w:rPr>
          <w:rFonts w:ascii="Times New Roman" w:eastAsia="Times New Roman" w:hAnsi="Times New Roman" w:cstheme="minorBidi"/>
          <w:lang w:eastAsia="ar-SA"/>
        </w:rPr>
        <w:t xml:space="preserve">Liang et al. </w:t>
      </w:r>
      <w:r w:rsidR="005D7AB9">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{"citationItems":[{"id":"ITEM-1","itemData":{"DOI":"10.1002/biot.201600415","ISSN":"18607314","PMID":"28105684","abstract":"Processes for the biological removal of phosphate from wastewater rely on temporary manipulation of bacterial polyphosphate levels by phased environmental stimuli. In E. coli polyphosphate levels are controlled via the polyphosphate-synthesizing enzyme polyphosphate kinase (PPK1) and exopolyphosphatases (PPX and GPPA), and are temporarily enhanced by PPK1 overexpression and reduced by PPX overexpression. We hypothesised that partitioning PPK1 from cytoplasmic exopolyphosphatases would increase and stabilise E. coli polyphosphate levels. Partitioning was achieved by co-expression of E. coli PPK1 fused with a microcompartment-targeting sequence and an artificial operon of Citrobacter freundii bacterial microcompartment genes. Encapsulation of targeted PPK1 resulted in persistent phosphate uptake and stably increased cellular polyphosphate levels throughout cell growth and into the stationary phase, while PPK1 overexpression alone produced temporary polyphosphate increase and phosphate uptake. Targeted PPK1 increased polyphosphate in microcompartments 8-fold compared with non-targeted PPK1. Co-expression of PPX polyphosphatase with targeted PPK1 had little effect on elevated cellular polyphosphate levels because microcompartments retained polyphosphate. Co-expression of PPX with non-targeted PPK1 reduced cellular polyphosphate levels. Thus, subcellular compartmentalisation of a polymerising enzyme sequesters metabolic products from competing catabolism by preventing catabolic enzyme access. Specific application of this process to polyphosphate is of potential application for biological phosphate removal.","author":[{"dropping-particle":"","family":"Liang","given":"Mingzhi","non-dropping-particle":"","parse-names":false,"suffix":""},{"dropping-particle":"","family":"Frank","given":"Stefanie","non-dropping-particle":"","parse-names":false,"suffix":""},{"dropping-particle":"","family":"Lünsdorf","given":"Heinrich","non-dropping-particle":"","parse-names":false,"suffix":""},{"dropping-particle":"","family":"Warren","given":"Martin J.","non-dropping-particle":"","parse-names":false,"suffix":""},{"dropping-particle":"","family":"Prentice","given":"Michael B.","non-dropping-particle":"","parse-names":false,"suffix":""}],"container-title":"Biotechnology Journal","id":"ITEM-1","issue":"3","issued":{"date-parts":[["2017","3"]]},"publisher":"Wiley-VCH Verlag","title":"Bacterial microcompartment-directed polyphosphate kinase promotes stable polyphosphate accumulation in E. coli","type":"article-journal","volume":"12"},"uris":["http://www.mendeley.com/documents/?uuid=02b98b71-669b-4d24-a66e-d910b35a8a55"]}],"mendeley":{"formattedCitation":"(M. Liang et al., 2017)","manualFormatting":"(2017)","plainTextFormattedCitation":"(M. Liang et al., 2017)","previouslyFormattedCitation":"(M. Liang et al., 2017)"},"properties":{"noteIndex":0},"schema":"https://github.com/citation-style-language/schema/raw/master/csl-citation.json"}</w:instrText>
      </w:r>
      <w:r w:rsidR="005D7AB9">
        <w:rPr>
          <w:rFonts w:ascii="Times New Roman" w:eastAsia="Times New Roman" w:hAnsi="Times New Roman" w:cstheme="minorBidi"/>
          <w:lang w:eastAsia="ar-SA"/>
        </w:rPr>
        <w:fldChar w:fldCharType="separate"/>
      </w:r>
      <w:r w:rsidR="00204229" w:rsidRPr="00204229">
        <w:rPr>
          <w:rFonts w:ascii="Times New Roman" w:eastAsia="Times New Roman" w:hAnsi="Times New Roman" w:cstheme="minorBidi"/>
          <w:noProof/>
          <w:lang w:eastAsia="ar-SA"/>
        </w:rPr>
        <w:t>(2017)</w:t>
      </w:r>
      <w:r w:rsidR="005D7AB9">
        <w:rPr>
          <w:rFonts w:ascii="Times New Roman" w:eastAsia="Times New Roman" w:hAnsi="Times New Roman" w:cstheme="minorBidi"/>
          <w:lang w:eastAsia="ar-SA"/>
        </w:rPr>
        <w:fldChar w:fldCharType="end"/>
      </w:r>
      <w:r w:rsidR="64B80F8B" w:rsidRPr="3CBB9A12">
        <w:rPr>
          <w:rFonts w:ascii="Times New Roman" w:eastAsia="Times New Roman" w:hAnsi="Times New Roman" w:cstheme="minorBidi"/>
          <w:lang w:eastAsia="ar-SA"/>
        </w:rPr>
        <w:t xml:space="preserve"> </w:t>
      </w:r>
      <w:r w:rsidR="5FE2ACFF" w:rsidRPr="3CBB9A12">
        <w:rPr>
          <w:rFonts w:ascii="Times New Roman" w:eastAsia="Times New Roman" w:hAnsi="Times New Roman" w:cstheme="minorBidi"/>
          <w:lang w:eastAsia="ar-SA"/>
        </w:rPr>
        <w:t>e</w:t>
      </w:r>
      <w:r w:rsidRPr="3CBB9A12">
        <w:rPr>
          <w:rFonts w:ascii="Times New Roman" w:eastAsia="Times New Roman" w:hAnsi="Times New Roman" w:cstheme="minorBidi"/>
          <w:lang w:eastAsia="ar-SA"/>
        </w:rPr>
        <w:t>ncapsulat</w:t>
      </w:r>
      <w:r w:rsidR="007C3C1A">
        <w:rPr>
          <w:rFonts w:ascii="Times New Roman" w:eastAsia="Times New Roman" w:hAnsi="Times New Roman" w:cstheme="minorBidi"/>
          <w:lang w:eastAsia="ar-SA"/>
        </w:rPr>
        <w:t>ed</w:t>
      </w:r>
      <w:r w:rsidRPr="3CBB9A12">
        <w:rPr>
          <w:rFonts w:ascii="Times New Roman" w:eastAsia="Times New Roman" w:hAnsi="Times New Roman" w:cstheme="minorBidi"/>
          <w:lang w:eastAsia="ar-SA"/>
        </w:rPr>
        <w:t xml:space="preserve"> a polyphosphate kinase</w:t>
      </w:r>
      <w:r w:rsidR="0020378A">
        <w:rPr>
          <w:rFonts w:ascii="Times New Roman" w:eastAsia="Times New Roman" w:hAnsi="Times New Roman" w:cstheme="minorBidi"/>
          <w:lang w:eastAsia="ar-SA"/>
        </w:rPr>
        <w:t xml:space="preserve"> </w:t>
      </w:r>
      <w:r w:rsidR="13A4B28C" w:rsidRPr="3CBB9A12">
        <w:rPr>
          <w:rFonts w:ascii="Times New Roman" w:eastAsia="Times New Roman" w:hAnsi="Times New Roman" w:cstheme="minorBidi"/>
          <w:lang w:eastAsia="ar-SA"/>
        </w:rPr>
        <w:t>in recombinant microcompartments</w:t>
      </w:r>
      <w:r w:rsidRPr="3CBB9A12">
        <w:rPr>
          <w:rFonts w:ascii="Times New Roman" w:eastAsia="Times New Roman" w:hAnsi="Times New Roman" w:cstheme="minorBidi"/>
          <w:lang w:eastAsia="ar-SA"/>
        </w:rPr>
        <w:t xml:space="preserve"> in </w:t>
      </w:r>
      <w:r w:rsidRPr="3CBB9A12">
        <w:rPr>
          <w:rFonts w:ascii="Times New Roman" w:eastAsia="Times New Roman" w:hAnsi="Times New Roman" w:cstheme="minorBidi"/>
          <w:i/>
          <w:lang w:eastAsia="ar-SA"/>
        </w:rPr>
        <w:t>E. coli</w:t>
      </w:r>
      <w:r w:rsidR="00762423">
        <w:rPr>
          <w:rFonts w:ascii="Times New Roman" w:eastAsia="Times New Roman" w:hAnsi="Times New Roman" w:cstheme="minorBidi"/>
          <w:lang w:eastAsia="ar-SA"/>
        </w:rPr>
        <w:t>,</w:t>
      </w:r>
      <w:r w:rsidRPr="3CBB9A12">
        <w:rPr>
          <w:rFonts w:ascii="Times New Roman" w:eastAsia="Times New Roman" w:hAnsi="Times New Roman" w:cstheme="minorBidi"/>
          <w:lang w:eastAsia="ar-SA"/>
        </w:rPr>
        <w:t xml:space="preserve"> le</w:t>
      </w:r>
      <w:r w:rsidR="00762423">
        <w:rPr>
          <w:rFonts w:ascii="Times New Roman" w:eastAsia="Times New Roman" w:hAnsi="Times New Roman" w:cstheme="minorBidi"/>
          <w:lang w:eastAsia="ar-SA"/>
        </w:rPr>
        <w:t>a</w:t>
      </w:r>
      <w:r w:rsidRPr="3CBB9A12">
        <w:rPr>
          <w:rFonts w:ascii="Times New Roman" w:eastAsia="Times New Roman" w:hAnsi="Times New Roman" w:cstheme="minorBidi"/>
          <w:lang w:eastAsia="ar-SA"/>
        </w:rPr>
        <w:t>d</w:t>
      </w:r>
      <w:r w:rsidR="00762423">
        <w:rPr>
          <w:rFonts w:ascii="Times New Roman" w:eastAsia="Times New Roman" w:hAnsi="Times New Roman" w:cstheme="minorBidi"/>
          <w:lang w:eastAsia="ar-SA"/>
        </w:rPr>
        <w:t>ing</w:t>
      </w:r>
      <w:r w:rsidRPr="3CBB9A12">
        <w:rPr>
          <w:rFonts w:ascii="Times New Roman" w:eastAsia="Times New Roman" w:hAnsi="Times New Roman" w:cstheme="minorBidi"/>
          <w:lang w:eastAsia="ar-SA"/>
        </w:rPr>
        <w:t xml:space="preserve"> to </w:t>
      </w:r>
      <w:r w:rsidR="00762423">
        <w:rPr>
          <w:rFonts w:ascii="Times New Roman" w:eastAsia="Times New Roman" w:hAnsi="Times New Roman" w:cstheme="minorBidi"/>
          <w:lang w:eastAsia="ar-SA"/>
        </w:rPr>
        <w:t>an</w:t>
      </w:r>
      <w:r w:rsidRPr="3CBB9A12">
        <w:rPr>
          <w:rFonts w:ascii="Times New Roman" w:eastAsia="Times New Roman" w:hAnsi="Times New Roman" w:cstheme="minorBidi"/>
          <w:lang w:eastAsia="ar-SA"/>
        </w:rPr>
        <w:t xml:space="preserve"> increased uptake and compartmentalisation of </w:t>
      </w:r>
      <w:r w:rsidR="00267C05" w:rsidRPr="3CBB9A12">
        <w:rPr>
          <w:rFonts w:ascii="Times New Roman" w:eastAsia="Times New Roman" w:hAnsi="Times New Roman" w:cstheme="minorBidi"/>
          <w:lang w:eastAsia="ar-SA"/>
        </w:rPr>
        <w:t xml:space="preserve">external </w:t>
      </w:r>
      <w:r w:rsidRPr="3CBB9A12">
        <w:rPr>
          <w:rFonts w:ascii="Times New Roman" w:eastAsia="Times New Roman" w:hAnsi="Times New Roman" w:cstheme="minorBidi"/>
          <w:lang w:eastAsia="ar-SA"/>
        </w:rPr>
        <w:t>phosphate</w:t>
      </w:r>
      <w:r w:rsidR="00267C05" w:rsidRPr="3CBB9A12">
        <w:rPr>
          <w:rFonts w:ascii="Times New Roman" w:eastAsia="Times New Roman" w:hAnsi="Times New Roman" w:cstheme="minorBidi"/>
          <w:lang w:eastAsia="ar-SA"/>
        </w:rPr>
        <w:t xml:space="preserve"> pollutants</w:t>
      </w:r>
      <w:r w:rsidRPr="006A52E3">
        <w:rPr>
          <w:rFonts w:ascii="Times New Roman" w:eastAsia="Times New Roman" w:hAnsi="Times New Roman" w:cstheme="minorBidi"/>
          <w:lang w:eastAsia="ar-SA"/>
        </w:rPr>
        <w:t xml:space="preserve">. </w:t>
      </w:r>
      <w:r w:rsidRPr="006A52E3">
        <w:rPr>
          <w:rFonts w:ascii="Times New Roman" w:eastAsia="Times New Roman" w:hAnsi="Times New Roman" w:cstheme="minorBidi"/>
        </w:rPr>
        <w:t xml:space="preserve">Tay et al. </w:t>
      </w:r>
      <w:r w:rsidRPr="3CBB9A12">
        <w:rPr>
          <w:rFonts w:ascii="Times New Roman" w:eastAsia="Times New Roman" w:hAnsi="Times New Roman" w:cstheme="minorBidi"/>
        </w:rPr>
        <w:fldChar w:fldCharType="begin" w:fldLock="1"/>
      </w:r>
      <w:r w:rsidR="008F6A90">
        <w:rPr>
          <w:rFonts w:ascii="Times New Roman" w:eastAsia="Times New Roman" w:hAnsi="Times New Roman" w:cstheme="minorBidi"/>
        </w:rPr>
        <w:instrText>ADDIN CSL_CITATION {"citationItems":[{"id":"ITEM-1","itemData":{"DOI":"10.1021/acssynbio.7b00137","ISSN":"21615063","PMID":"28737385","abstract":"Synthetic biology approaches to bioremediation are a key sustainable strategy to leverage the self-replicating and programmable aspects of biology for environmental stewardship. The increasing spread of anthropogenic mercury pollution into our habitats and food chains is a pressing concern. Here, we explore the use of programmed bacterial biofilms to aid in the sequestration of mercury. We demonstrate that by integrating a mercury-responsive promoter and an operon encoding a mercury-absorbing self-assembling extracellular protein nanofiber, we can engineer bacteria that can detect and sequester toxic Hg2+ ions from the environment. This work paves the way for the development of on-demand biofilm living materials that can operate autonomously as heavy-metal absorbents.","author":[{"dropping-particle":"","family":"Tay","given":"Pei Kun R.","non-dropping-particle":"","parse-names":false,"suffix":""},{"dropping-particle":"","family":"Nguyen","given":"Peter Q.","non-dropping-particle":"","parse-names":false,"suffix":""},{"dropping-particle":"","family":"Joshi","given":"Neel S.","non-dropping-particle":"","parse-names":false,"suffix":""}],"container-title":"ACS Synthetic Biology","id":"ITEM-1","issue":"10","issued":{"date-parts":[["2017","10"]]},"page":"1841-1850","publisher":"American Chemical Society","title":"A Synthetic Circuit for Mercury Bioremediation Using Self-Assembling Functional Amyloids","type":"article-journal","volume":"6"},"uris":["http://www.mendeley.com/documents/?uuid=b61fe42f-004d-43eb-a253-7857d9e86334"]}],"mendeley":{"formattedCitation":"(Tay et al., 2017)","manualFormatting":"(2017)","plainTextFormattedCitation":"(Tay et al., 2017)","previouslyFormattedCitation":"(Tay et al., 2017)"},"properties":{"noteIndex":0},"schema":"https://github.com/citation-style-language/schema/raw/master/csl-citation.json"}</w:instrText>
      </w:r>
      <w:r w:rsidRPr="3CBB9A12">
        <w:rPr>
          <w:rFonts w:ascii="Times New Roman" w:eastAsia="Times New Roman" w:hAnsi="Times New Roman" w:cstheme="minorBidi"/>
        </w:rPr>
        <w:fldChar w:fldCharType="separate"/>
      </w:r>
      <w:r w:rsidRPr="005F1592">
        <w:rPr>
          <w:rFonts w:ascii="Times New Roman" w:eastAsia="Times New Roman" w:hAnsi="Times New Roman" w:cstheme="minorBidi"/>
          <w:noProof/>
        </w:rPr>
        <w:t>(2017)</w:t>
      </w:r>
      <w:r w:rsidRPr="3CBB9A12">
        <w:rPr>
          <w:rFonts w:ascii="Times New Roman" w:eastAsia="Times New Roman" w:hAnsi="Times New Roman" w:cstheme="minorBidi"/>
        </w:rPr>
        <w:fldChar w:fldCharType="end"/>
      </w:r>
      <w:r w:rsidRPr="005F1592">
        <w:rPr>
          <w:rFonts w:ascii="Times New Roman" w:eastAsia="Times New Roman" w:hAnsi="Times New Roman" w:cstheme="minorBidi"/>
        </w:rPr>
        <w:t xml:space="preserve"> developed a </w:t>
      </w:r>
      <w:r w:rsidR="1D012726" w:rsidRPr="005F1592">
        <w:rPr>
          <w:rFonts w:ascii="Times New Roman" w:eastAsia="Times New Roman" w:hAnsi="Times New Roman" w:cstheme="minorBidi"/>
        </w:rPr>
        <w:t xml:space="preserve">biosensor </w:t>
      </w:r>
      <w:r w:rsidRPr="005F1592">
        <w:rPr>
          <w:rFonts w:ascii="Times New Roman" w:eastAsia="Times New Roman" w:hAnsi="Times New Roman" w:cstheme="minorBidi"/>
          <w:i/>
          <w:iCs/>
        </w:rPr>
        <w:t>E. coli</w:t>
      </w:r>
      <w:r w:rsidRPr="005F1592">
        <w:rPr>
          <w:rFonts w:ascii="Times New Roman" w:eastAsia="Times New Roman" w:hAnsi="Times New Roman" w:cstheme="minorBidi"/>
        </w:rPr>
        <w:t xml:space="preserve"> strain capable of </w:t>
      </w:r>
      <w:r w:rsidR="00DD3A3F" w:rsidRPr="005F1592">
        <w:rPr>
          <w:rFonts w:ascii="Times New Roman" w:eastAsia="Times New Roman" w:hAnsi="Times New Roman" w:cstheme="minorBidi"/>
        </w:rPr>
        <w:t xml:space="preserve">both simultaneously </w:t>
      </w:r>
      <w:r w:rsidRPr="005F1592">
        <w:rPr>
          <w:rFonts w:ascii="Times New Roman" w:eastAsia="Times New Roman" w:hAnsi="Times New Roman" w:cstheme="minorBidi"/>
        </w:rPr>
        <w:t>sensing mercury and produc</w:t>
      </w:r>
      <w:r w:rsidR="00DD3A3F" w:rsidRPr="005F1592">
        <w:rPr>
          <w:rFonts w:ascii="Times New Roman" w:eastAsia="Times New Roman" w:hAnsi="Times New Roman" w:cstheme="minorBidi"/>
        </w:rPr>
        <w:t>ing</w:t>
      </w:r>
      <w:r w:rsidRPr="005F1592">
        <w:rPr>
          <w:rFonts w:ascii="Times New Roman" w:eastAsia="Times New Roman" w:hAnsi="Times New Roman" w:cstheme="minorBidi"/>
        </w:rPr>
        <w:t xml:space="preserve"> a mercury-absorbing, extracellular protein </w:t>
      </w:r>
      <w:r w:rsidR="00F45F3E" w:rsidRPr="005F1592">
        <w:rPr>
          <w:rFonts w:ascii="Times New Roman" w:eastAsia="Times New Roman" w:hAnsi="Times New Roman" w:cstheme="minorBidi"/>
        </w:rPr>
        <w:t>nanofibers, which</w:t>
      </w:r>
      <w:r w:rsidR="00DD3A3F" w:rsidRPr="005F1592">
        <w:rPr>
          <w:rFonts w:ascii="Times New Roman" w:eastAsia="Times New Roman" w:hAnsi="Times New Roman" w:cstheme="minorBidi"/>
        </w:rPr>
        <w:t xml:space="preserve"> </w:t>
      </w:r>
      <w:r w:rsidR="00736AE4" w:rsidRPr="005F1592">
        <w:rPr>
          <w:rFonts w:ascii="Times New Roman" w:eastAsia="Times New Roman" w:hAnsi="Times New Roman" w:cstheme="minorBidi"/>
        </w:rPr>
        <w:t>form</w:t>
      </w:r>
      <w:r w:rsidRPr="005F1592">
        <w:rPr>
          <w:rFonts w:ascii="Times New Roman" w:eastAsia="Times New Roman" w:hAnsi="Times New Roman" w:cstheme="minorBidi"/>
        </w:rPr>
        <w:t xml:space="preserve"> a large surface area for mercury absorption. French et al. </w:t>
      </w:r>
      <w:r w:rsidR="00855898">
        <w:rPr>
          <w:rFonts w:ascii="Times New Roman" w:eastAsia="Times New Roman" w:hAnsi="Times New Roman" w:cstheme="minorBidi"/>
        </w:rPr>
        <w:fldChar w:fldCharType="begin" w:fldLock="1"/>
      </w:r>
      <w:r w:rsidR="00455994">
        <w:rPr>
          <w:rFonts w:ascii="Times New Roman" w:eastAsia="Times New Roman" w:hAnsi="Times New Roman" w:cstheme="minorBidi"/>
        </w:rPr>
        <w:instrText>ADDIN CSL_CITATION {"citationItems":[{"id":"ITEM-1","itemData":{"DOI":"10.1038/s41598-020-72138-9","ISSN":"20452322","PMID":"32934307","abstract":"Engineering bacteria to clean-up oil spills is rapidly advancing but faces regulatory hurdles and environmental concerns. Here, we develop a new technology to harness indigenous soil microbial communities for bioremediation by flooding local populations with catabolic genes for petroleum hydrocarbon degradation. Overexpressing three enzymes (almA, xylE, p450cam) in Escherichia coli led to degradation of 60–99% of target hydrocarbon substrates. Mating experiments, fluorescence microscopy and TEM revealed indigenous bacteria could obtain these vectors from E. coli through several mechanisms of horizontal gene transfer (HGT), including conjugation and cytoplasmic exchange through nanotubes. Inoculating petroleum-polluted sediments with E. coli carrying the vector pSF-OXB15-p450camfusion showed that the E. coli cells died after five days but a variety of bacteria received and carried the vector for over 60 days after inoculation. Within 60 days, the total petroleum hydrocarbon content of the polluted soil was reduced by 46%. Pilot experiments show that vectors only persist in indigenous populations when under selection pressure, disappearing when this carbon source is removed. This approach to remediation could prime indigenous bacteria for degrading pollutants while providing minimal ecosystem disturbance.","author":[{"dropping-particle":"","family":"French","given":"Katherine E","non-dropping-particle":"","parse-names":false,"suffix":""},{"dropping-particle":"","family":"Zhou","given":"Zhongrui","non-dropping-particle":"","parse-names":false,"suffix":""},{"dropping-particle":"","family":"Terry","given":"Norman","non-dropping-particle":"","parse-names":false,"suffix":""}],"container-title":"Scientific Reports","id":"ITEM-1","issue":"1","issued":{"date-parts":[["2020","12"]]},"page":"1-11","publisher":"Nature Research","title":"Horizontal ‘gene drives' harness indigenous bacteria for bioremediation","type":"article-journal","volume":"10"},"uris":["http://www.mendeley.com/documents/?uuid=698ae820-289b-4a00-8da0-accb2396d729"]}],"mendeley":{"formattedCitation":"(Katherine E French et al., 2020)","manualFormatting":"(2020) ","plainTextFormattedCitation":"(Katherine E French et al., 2020)","previouslyFormattedCitation":"(Katherine E French et al., 2020)"},"properties":{"noteIndex":0},"schema":"https://github.com/citation-style-language/schema/raw/master/csl-citation.json"}</w:instrText>
      </w:r>
      <w:r w:rsidR="00855898">
        <w:rPr>
          <w:rFonts w:ascii="Times New Roman" w:eastAsia="Times New Roman" w:hAnsi="Times New Roman" w:cstheme="minorBidi"/>
        </w:rPr>
        <w:fldChar w:fldCharType="separate"/>
      </w:r>
      <w:r w:rsidR="00855898" w:rsidRPr="00855898">
        <w:rPr>
          <w:rFonts w:ascii="Times New Roman" w:eastAsia="Times New Roman" w:hAnsi="Times New Roman" w:cstheme="minorBidi"/>
          <w:noProof/>
        </w:rPr>
        <w:t>(</w:t>
      </w:r>
      <w:r w:rsidR="00455994">
        <w:rPr>
          <w:rFonts w:ascii="Times New Roman" w:eastAsia="Times New Roman" w:hAnsi="Times New Roman" w:cstheme="minorBidi"/>
          <w:noProof/>
        </w:rPr>
        <w:t>2020)</w:t>
      </w:r>
      <w:r w:rsidR="00855898" w:rsidRPr="00855898" w:rsidDel="00855898">
        <w:rPr>
          <w:rFonts w:ascii="Times New Roman" w:eastAsia="Times New Roman" w:hAnsi="Times New Roman" w:cstheme="minorBidi"/>
          <w:noProof/>
        </w:rPr>
        <w:t xml:space="preserve"> </w:t>
      </w:r>
      <w:r w:rsidR="00855898">
        <w:rPr>
          <w:rFonts w:ascii="Times New Roman" w:eastAsia="Times New Roman" w:hAnsi="Times New Roman" w:cstheme="minorBidi"/>
        </w:rPr>
        <w:fldChar w:fldCharType="end"/>
      </w:r>
      <w:r w:rsidRPr="3CBB9A12">
        <w:rPr>
          <w:rFonts w:ascii="Times New Roman" w:eastAsia="Times New Roman" w:hAnsi="Times New Roman" w:cstheme="minorBidi"/>
        </w:rPr>
        <w:t xml:space="preserve">created overexpression vectors for </w:t>
      </w:r>
      <w:r w:rsidRPr="3CBB9A12">
        <w:rPr>
          <w:rFonts w:ascii="Times New Roman" w:eastAsia="Times New Roman" w:hAnsi="Times New Roman" w:cstheme="minorBidi"/>
          <w:i/>
        </w:rPr>
        <w:t>E. coli</w:t>
      </w:r>
      <w:r w:rsidR="732C04F0" w:rsidRPr="00753C1A">
        <w:rPr>
          <w:rFonts w:ascii="Times New Roman" w:eastAsia="Times New Roman" w:hAnsi="Times New Roman" w:cstheme="minorBidi"/>
        </w:rPr>
        <w:t>, to engineer specific metabolic hydrocarbon pathway, towards</w:t>
      </w:r>
      <w:r w:rsidRPr="00753C1A">
        <w:rPr>
          <w:rFonts w:ascii="Times New Roman" w:eastAsia="Times New Roman" w:hAnsi="Times New Roman" w:cstheme="minorBidi"/>
        </w:rPr>
        <w:t xml:space="preserve"> </w:t>
      </w:r>
      <w:r w:rsidR="3B71E845" w:rsidRPr="3CBB9A12">
        <w:rPr>
          <w:rFonts w:ascii="Times New Roman" w:eastAsia="Times New Roman" w:hAnsi="Times New Roman" w:cstheme="minorBidi"/>
        </w:rPr>
        <w:t>the bio</w:t>
      </w:r>
      <w:r w:rsidRPr="3CBB9A12">
        <w:rPr>
          <w:rFonts w:ascii="Times New Roman" w:eastAsia="Times New Roman" w:hAnsi="Times New Roman" w:cstheme="minorBidi"/>
        </w:rPr>
        <w:t>degrad</w:t>
      </w:r>
      <w:r w:rsidR="01D7571B" w:rsidRPr="3CBB9A12">
        <w:rPr>
          <w:rFonts w:ascii="Times New Roman" w:eastAsia="Times New Roman" w:hAnsi="Times New Roman" w:cstheme="minorBidi"/>
        </w:rPr>
        <w:t>ation</w:t>
      </w:r>
      <w:r w:rsidR="3665F49F" w:rsidRPr="3CBB9A12">
        <w:rPr>
          <w:rFonts w:ascii="Times New Roman" w:eastAsia="Times New Roman" w:hAnsi="Times New Roman" w:cstheme="minorBidi"/>
        </w:rPr>
        <w:t xml:space="preserve"> of</w:t>
      </w:r>
      <w:r w:rsidRPr="3CBB9A12">
        <w:rPr>
          <w:rFonts w:ascii="Times New Roman" w:eastAsia="Times New Roman" w:hAnsi="Times New Roman" w:cstheme="minorBidi"/>
        </w:rPr>
        <w:t xml:space="preserve"> oil spill and</w:t>
      </w:r>
      <w:r w:rsidR="5B1E41C6" w:rsidRPr="3CBB9A12">
        <w:rPr>
          <w:rFonts w:ascii="Times New Roman" w:eastAsia="Times New Roman" w:hAnsi="Times New Roman" w:cstheme="minorBidi"/>
        </w:rPr>
        <w:t xml:space="preserve">, </w:t>
      </w:r>
      <w:r w:rsidR="00D41E98" w:rsidRPr="3CBB9A12">
        <w:rPr>
          <w:rFonts w:ascii="Times New Roman" w:eastAsia="Times New Roman" w:hAnsi="Times New Roman" w:cstheme="minorBidi"/>
        </w:rPr>
        <w:t>simultaneously</w:t>
      </w:r>
      <w:r w:rsidR="5B1E41C6" w:rsidRPr="3CBB9A12">
        <w:rPr>
          <w:rFonts w:ascii="Times New Roman" w:eastAsia="Times New Roman" w:hAnsi="Times New Roman" w:cstheme="minorBidi"/>
        </w:rPr>
        <w:t>,</w:t>
      </w:r>
      <w:r w:rsidRPr="3CBB9A12">
        <w:rPr>
          <w:rFonts w:ascii="Times New Roman" w:eastAsia="Times New Roman" w:hAnsi="Times New Roman" w:cstheme="minorBidi"/>
        </w:rPr>
        <w:t xml:space="preserve"> for horizontal gene transfer to indigenous bacterial populations for prolonged soil remediation.</w:t>
      </w:r>
      <w:r w:rsidR="00C10A83" w:rsidRPr="00C10A83">
        <w:rPr>
          <w:rFonts w:ascii="Times New Roman" w:eastAsia="Times New Roman" w:hAnsi="Times New Roman" w:cstheme="minorBidi"/>
          <w:lang w:eastAsia="ar-SA"/>
        </w:rPr>
        <w:t xml:space="preserve"> </w:t>
      </w:r>
      <w:r w:rsidR="00131F0F">
        <w:rPr>
          <w:rFonts w:ascii="Times New Roman" w:eastAsia="Times New Roman" w:hAnsi="Times New Roman" w:cstheme="minorBidi"/>
          <w:lang w:eastAsia="ar-SA"/>
        </w:rPr>
        <w:t>Additional</w:t>
      </w:r>
      <w:r w:rsidR="00FE3579">
        <w:rPr>
          <w:rFonts w:ascii="Times New Roman" w:eastAsia="Times New Roman" w:hAnsi="Times New Roman" w:cstheme="minorBidi"/>
          <w:lang w:eastAsia="ar-SA"/>
        </w:rPr>
        <w:t xml:space="preserve"> e</w:t>
      </w:r>
      <w:r w:rsidR="00C10A83" w:rsidRPr="3CBB9A12">
        <w:rPr>
          <w:rFonts w:ascii="Times New Roman" w:eastAsia="Times New Roman" w:hAnsi="Times New Roman" w:cstheme="minorBidi"/>
          <w:lang w:eastAsia="ar-SA"/>
        </w:rPr>
        <w:t>xamples</w:t>
      </w:r>
      <w:r w:rsidR="00A34711">
        <w:rPr>
          <w:rFonts w:ascii="Times New Roman" w:eastAsia="Times New Roman" w:hAnsi="Times New Roman" w:cstheme="minorBidi"/>
          <w:lang w:eastAsia="ar-SA"/>
        </w:rPr>
        <w:t>, especially</w:t>
      </w:r>
      <w:r w:rsidR="00C10A83" w:rsidRPr="3CBB9A12">
        <w:rPr>
          <w:rFonts w:ascii="Times New Roman" w:eastAsia="Times New Roman" w:hAnsi="Times New Roman" w:cstheme="minorBidi"/>
          <w:lang w:eastAsia="ar-SA"/>
        </w:rPr>
        <w:t xml:space="preserve"> of xenobiotic clean-up using synthetic biology approaches</w:t>
      </w:r>
      <w:r w:rsidR="00A34711">
        <w:rPr>
          <w:rFonts w:ascii="Times New Roman" w:eastAsia="Times New Roman" w:hAnsi="Times New Roman" w:cstheme="minorBidi"/>
          <w:lang w:eastAsia="ar-SA"/>
        </w:rPr>
        <w:t>,</w:t>
      </w:r>
      <w:r w:rsidR="00C10A83" w:rsidRPr="3CBB9A12">
        <w:rPr>
          <w:rFonts w:ascii="Times New Roman" w:eastAsia="Times New Roman" w:hAnsi="Times New Roman" w:cstheme="minorBidi"/>
          <w:lang w:eastAsia="ar-SA"/>
        </w:rPr>
        <w:t xml:space="preserve"> are reviewed by Rylott and Bruce </w:t>
      </w:r>
      <w:r w:rsidR="00FE492C">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{"citationItems":[{"id":"ITEM-1","itemData":{"DOI":"10.1016/j.cbpa.2020.07.004","ISSN":"18790402","PMID":"32805454","abstract":"The World Health Organization reported that “an estimated 12.6 million people died as a result of living or working in an unhealthy environment in 2012, nearly 1 in 4 of total global deaths”. Air, water and soil pollution were the significant risk factors, and there is an urgent need for effective remediation strategies. But tackling this problem is not easy; there are many different types of pollutants, often widely dispersed, difficult to locate and identify, and in many cases cost-effective clean-up techniques are lacking. Biology offers enormous potential as a tool to develop microbial and plant-based solutions to remediate and restore our environment. Advances in synthetic biology are unlocking this potential enabling the design of tailor-made organisms for bioremediation. In this article, we showcase examples of xenobiotic clean-up to illustrate current achievements and discuss the limitations to advancing this promising technology to make real-world improvements in the remediation of global pollution.","author":[{"dropping-particle":"","family":"Rylott","given":"Elizabeth L.","non-dropping-particle":"","parse-names":false,"suffix":""},{"dropping-particle":"","family":"Bruce","given":"Neil C.","non-dropping-particle":"","parse-names":false,"suffix":""}],"container-title":"Current Opinion in Chemical Biology","id":"ITEM-1","issued":{"date-parts":[["2020","10"]]},"page":"86-95","publisher":"Elsevier Ltd","title":"How synthetic biology can help bioremediation","type":"article","volume":"58"},"suppress-author":1,"uris":["http://www.mendeley.com/documents/?uuid=eecfa24c-454f-3999-be23-864366f2a943","http://www.mendeley.com/documents/?uuid=7b478e6f-6032-4407-b04b-7bff7d20815d","http://www.mendeley.com/documents/?uuid=adfa33a5-06fa-47ae-bf56-0cdc7141cc02"]}],"mendeley":{"formattedCitation":"(2020)","plainTextFormattedCitation":"(2020)","previouslyFormattedCitation":"(2020)"},"properties":{"noteIndex":0},"schema":"https://github.com/citation-style-language/schema/raw/master/csl-citation.json"}</w:instrText>
      </w:r>
      <w:r w:rsidR="00FE492C">
        <w:rPr>
          <w:rFonts w:ascii="Times New Roman" w:eastAsia="Times New Roman" w:hAnsi="Times New Roman" w:cstheme="minorBidi"/>
          <w:lang w:eastAsia="ar-SA"/>
        </w:rPr>
        <w:fldChar w:fldCharType="separate"/>
      </w:r>
      <w:r w:rsidR="00FE492C" w:rsidRPr="00FE492C">
        <w:rPr>
          <w:rFonts w:ascii="Times New Roman" w:eastAsia="Times New Roman" w:hAnsi="Times New Roman" w:cstheme="minorBidi"/>
          <w:noProof/>
          <w:lang w:eastAsia="ar-SA"/>
        </w:rPr>
        <w:t>(2020)</w:t>
      </w:r>
      <w:r w:rsidR="00FE492C">
        <w:rPr>
          <w:rFonts w:ascii="Times New Roman" w:eastAsia="Times New Roman" w:hAnsi="Times New Roman" w:cstheme="minorBidi"/>
          <w:lang w:eastAsia="ar-SA"/>
        </w:rPr>
        <w:fldChar w:fldCharType="end"/>
      </w:r>
      <w:r w:rsidR="00C10A83" w:rsidRPr="3CBB9A12">
        <w:rPr>
          <w:rFonts w:ascii="Times New Roman" w:eastAsia="Times New Roman" w:hAnsi="Times New Roman" w:cstheme="minorBidi"/>
          <w:lang w:eastAsia="ar-SA"/>
        </w:rPr>
        <w:t>.</w:t>
      </w:r>
    </w:p>
    <w:p w14:paraId="6C5E4601" w14:textId="1757EECE" w:rsidR="00054C86" w:rsidRPr="00B409CC" w:rsidRDefault="00054C86" w:rsidP="00B409CC">
      <w:pPr>
        <w:numPr>
          <w:ilvl w:val="1"/>
          <w:numId w:val="185"/>
        </w:numPr>
        <w:suppressAutoHyphens/>
        <w:autoSpaceDE w:val="0"/>
        <w:spacing w:before="120" w:after="120" w:line="240" w:lineRule="auto"/>
        <w:ind w:left="284" w:hanging="284"/>
        <w:jc w:val="both"/>
        <w:rPr>
          <w:rFonts w:ascii="Times New Roman" w:eastAsia="Times New Roman" w:hAnsi="Times New Roman" w:cstheme="minorBidi"/>
          <w:i/>
          <w:iCs/>
          <w:lang w:eastAsia="ar-SA"/>
        </w:rPr>
      </w:pPr>
      <w:r w:rsidRPr="00A1393C">
        <w:rPr>
          <w:rFonts w:ascii="Times New Roman" w:eastAsia="Times New Roman" w:hAnsi="Times New Roman" w:cstheme="minorBidi"/>
          <w:u w:val="single"/>
          <w:lang w:eastAsia="ar-SA"/>
        </w:rPr>
        <w:t>Biodegradation</w:t>
      </w:r>
      <w:r w:rsidRPr="3CBB9A12">
        <w:rPr>
          <w:rFonts w:ascii="Times New Roman" w:eastAsia="Times New Roman" w:hAnsi="Times New Roman" w:cstheme="minorBidi"/>
          <w:lang w:eastAsia="ar-SA"/>
        </w:rPr>
        <w:t xml:space="preserve">. CRISPR has been used to enhance the activity of </w:t>
      </w:r>
      <w:r w:rsidRPr="3CBB9A12">
        <w:rPr>
          <w:rFonts w:ascii="Times New Roman" w:eastAsia="Times New Roman" w:hAnsi="Times New Roman" w:cstheme="minorBidi"/>
          <w:i/>
          <w:iCs/>
          <w:lang w:eastAsia="ar-SA"/>
        </w:rPr>
        <w:t>Clostridium cellulolyticum</w:t>
      </w:r>
      <w:r w:rsidRPr="3CBB9A12">
        <w:rPr>
          <w:rFonts w:ascii="Times New Roman" w:eastAsia="Times New Roman" w:hAnsi="Times New Roman" w:cstheme="minorBidi"/>
          <w:lang w:eastAsia="ar-SA"/>
        </w:rPr>
        <w:t xml:space="preserve"> </w:t>
      </w:r>
      <w:r w:rsidR="009C0659" w:rsidRPr="3CBB9A12">
        <w:rPr>
          <w:rFonts w:ascii="Times New Roman" w:eastAsia="Times New Roman" w:hAnsi="Times New Roman" w:cstheme="minorBidi"/>
          <w:lang w:eastAsia="ar-SA"/>
        </w:rPr>
        <w:t xml:space="preserve">to </w:t>
      </w:r>
      <w:r w:rsidRPr="3CBB9A12">
        <w:rPr>
          <w:rFonts w:ascii="Times New Roman" w:eastAsia="Times New Roman" w:hAnsi="Times New Roman" w:cstheme="minorBidi"/>
          <w:lang w:eastAsia="ar-SA"/>
        </w:rPr>
        <w:t xml:space="preserve">convert cellulose into fermentable intermediates </w:t>
      </w:r>
      <w:r w:rsidR="004B213A">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{"citationItems":[{"id":"ITEM-1","itemData":{"DOI":"10.1007/s10295-019-02211-4","ISSN":"14765535","PMID":"31278525","abstract":"Functional differentiation and metabolite exchange enable microbial consortia to perform complex metabolic tasks and efficiently cycle the nutrients. Inspired by the cooperative relationships in environmental microbial consortia, synthetic microbial consortia have great promise for studying the microbial interactions in nature and more importantly for various engineering applications. However, challenges coexist with promises, and the potential of consortium-based technologies is far from being fully harnessed. Thorough understanding of the underlying molecular mechanisms of microbial interactions is greatly needed for the rational design and optimization of defined consortia. These knowledge gaps could be potentially filled with the assistance of the ongoing revolution in systems biology and synthetic biology tools. As current fundamental and technical obstacles down the road being removed, we would expect new avenues with synthetic microbial consortia playing important roles in biological and environmental engineering processes such as bioproduction of desired chemicals and fuels, as well as biodegradation of persistent contaminants.","author":[{"dropping-particle":"","family":"Che","given":"Shun","non-dropping-particle":"","parse-names":false,"suffix":""},{"dropping-particle":"","family":"Men","given":"Yujie","non-dropping-particle":"","parse-names":false,"suffix":""}],"container-title":"Journal of Industrial Microbiology and Biotechnology","id":"ITEM-1","issue":"9-10","issued":{"date-parts":[["2019","10"]]},"page":"1343-1358","publisher":"Springer Verlag","title":"Synthetic microbial consortia for biosynthesis and biodegradation: promises and challenges","type":"article-journal","volume":"46"},"uris":["http://www.mendeley.com/documents/?uuid=f2cf5a56-0ddc-3da7-b606-b49b18287087","http://www.mendeley.com/documents/?uuid=2eb84d53-69e3-4815-83a5-7fb75651bbd6","http://www.mendeley.com/documents/?uuid=4818b3ff-d44d-436e-97d2-8e9dca2e153b"]}],"mendeley":{"formattedCitation":"(Che &amp; Men, 2019)","plainTextFormattedCitation":"(Che &amp; Men, 2019)","previouslyFormattedCitation":"(Che &amp; Men, 2019)"},"properties":{"noteIndex":0},"schema":"https://github.com/citation-style-language/schema/raw/master/csl-citation.json"}</w:instrText>
      </w:r>
      <w:r w:rsidR="004B213A">
        <w:rPr>
          <w:rFonts w:ascii="Times New Roman" w:eastAsia="Times New Roman" w:hAnsi="Times New Roman" w:cstheme="minorBidi"/>
          <w:lang w:eastAsia="ar-SA"/>
        </w:rPr>
        <w:fldChar w:fldCharType="separate"/>
      </w:r>
      <w:r w:rsidR="004B213A" w:rsidRPr="004B213A">
        <w:rPr>
          <w:rFonts w:ascii="Times New Roman" w:eastAsia="Times New Roman" w:hAnsi="Times New Roman" w:cstheme="minorBidi"/>
          <w:noProof/>
          <w:lang w:eastAsia="ar-SA"/>
        </w:rPr>
        <w:t>(Che &amp; Men, 2019)</w:t>
      </w:r>
      <w:r w:rsidR="004B213A">
        <w:rPr>
          <w:rFonts w:ascii="Times New Roman" w:eastAsia="Times New Roman" w:hAnsi="Times New Roman" w:cstheme="minorBidi"/>
          <w:lang w:eastAsia="ar-SA"/>
        </w:rPr>
        <w:fldChar w:fldCharType="end"/>
      </w:r>
      <w:r w:rsidRPr="3CBB9A12">
        <w:rPr>
          <w:rFonts w:ascii="Times New Roman" w:eastAsia="Times New Roman" w:hAnsi="Times New Roman" w:cstheme="minorBidi"/>
          <w:lang w:eastAsia="ar-SA"/>
        </w:rPr>
        <w:t xml:space="preserve">. This opens the possibility of constructing highly efficient cellulose-based synthetic consortia </w:t>
      </w:r>
      <w:r w:rsidR="0020170E" w:rsidRPr="3CBB9A12">
        <w:rPr>
          <w:rFonts w:ascii="Times New Roman" w:eastAsia="Times New Roman" w:hAnsi="Times New Roman" w:cstheme="minorBidi"/>
          <w:lang w:eastAsia="ar-SA"/>
        </w:rPr>
        <w:t>of</w:t>
      </w:r>
      <w:r w:rsidRPr="3CBB9A12">
        <w:rPr>
          <w:rFonts w:ascii="Times New Roman" w:eastAsia="Times New Roman" w:hAnsi="Times New Roman" w:cstheme="minorBidi"/>
          <w:lang w:eastAsia="ar-SA"/>
        </w:rPr>
        <w:t xml:space="preserve"> specific fermenting bacteria </w:t>
      </w:r>
      <w:r w:rsidR="00822CCF" w:rsidRPr="3CBB9A12">
        <w:rPr>
          <w:rFonts w:ascii="Times New Roman" w:eastAsia="Times New Roman" w:hAnsi="Times New Roman" w:cstheme="minorBidi"/>
          <w:lang w:eastAsia="ar-SA"/>
        </w:rPr>
        <w:t xml:space="preserve">to </w:t>
      </w:r>
      <w:r w:rsidRPr="3CBB9A12">
        <w:rPr>
          <w:rFonts w:ascii="Times New Roman" w:eastAsia="Times New Roman" w:hAnsi="Times New Roman" w:cstheme="minorBidi"/>
          <w:lang w:eastAsia="ar-SA"/>
        </w:rPr>
        <w:t>convert the</w:t>
      </w:r>
      <w:r w:rsidR="001952D8" w:rsidRPr="3CBB9A12">
        <w:rPr>
          <w:rFonts w:ascii="Times New Roman" w:eastAsia="Times New Roman" w:hAnsi="Times New Roman" w:cstheme="minorBidi"/>
          <w:lang w:eastAsia="ar-SA"/>
        </w:rPr>
        <w:t>se</w:t>
      </w:r>
      <w:r w:rsidRPr="3CBB9A12">
        <w:rPr>
          <w:rFonts w:ascii="Times New Roman" w:eastAsia="Times New Roman" w:hAnsi="Times New Roman" w:cstheme="minorBidi"/>
          <w:lang w:eastAsia="ar-SA"/>
        </w:rPr>
        <w:t xml:space="preserve"> intermediates into biofuels and/or bioproducts. A whole cell biodevice was recently developed for the targeted degradation of tetracycline via a synthetic biology approach, which could be easily adopted and generalised for the degradation of various types of antibiotics </w:t>
      </w:r>
      <w:r w:rsidRPr="3CBB9A12">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{"citationItems":[{"id":"ITEM-1","itemData":{"DOI":"10.1038/s41598-018-21350-9","ISSN":"20452322","PMID":"29440690","abstract":"Synthetic biology enables infinite possibilities in biotechnology via employing genetic modules. However, not many researches have explored the potentials of synthetic biology in environmental bioprocesses. In this study, we introduced a genetic module harboring the codon-optimized tetracycline degrading gene, tetX.co, into the model host, Escherichia coli, and generated a prototypal whole-cell biodevice for the degradation of a target antibiotic. Our results suggested that E. coli with the tetX.co-module driven by either the PJ23119 or PBAD promoters conferred resistance up to 50 μg/mL of tetracycline and degrades over 95% of tetracycline within 24 h. The detoxification ability of tetX was further verified in conditioned media by typical E. coli K-12 and B strains as well as Shewanella oneidensis. Our strategy demonstrated the feasibility of introducing genetic modules into model hosts to enable environmental functions, and this work will inspire more environmental innovations through synthetic biological devices.","author":[{"dropping-particle":"","family":"Xia","given":"Peng Fei","non-dropping-particle":"","parse-names":false,"suffix":""},{"dropping-particle":"","family":"Li","given":"Qian","non-dropping-particle":"","parse-names":false,"suffix":""},{"dropping-particle":"","family":"Tan","given":"Lin Rui","non-dropping-particle":"","parse-names":false,"suffix":""},{"dropping-particle":"","family":"Liu","given":"Miao Miao","non-dropping-particle":"","parse-names":false,"suffix":""},{"dropping-particle":"","family":"Jin","given":"Yong Su","non-dropping-particle":"","parse-names":false,"suffix":""},{"dropping-particle":"","family":"Wang","given":"Shu Guang","non-dropping-particle":"","parse-names":false,"suffix":""}],"container-title":"Scientific Reports","id":"ITEM-1","issue":"1","issued":{"date-parts":[["2018","12"]]},"publisher":"Nature Publishing Group","title":"Synthetic Whole-Cell Biodevices for Targeted Degradation of Antibiotics","type":"article-journal","volume":"8"},"uris":["http://www.mendeley.com/documents/?uuid=6b2bfa5c-a74c-46f2-874e-7b6a0ffa8b2a"]}],"mendeley":{"formattedCitation":"(Xia et al., 2018)","plainTextFormattedCitation":"(Xia et al., 2018)","previouslyFormattedCitation":"(Xia et al., 2018)"},"properties":{"noteIndex":0},"schema":"https://github.com/citation-style-language/schema/raw/master/csl-citation.json"}</w:instrText>
      </w:r>
      <w:r w:rsidRPr="3CBB9A12">
        <w:rPr>
          <w:rFonts w:ascii="Times New Roman" w:eastAsia="Times New Roman" w:hAnsi="Times New Roman" w:cstheme="minorBidi"/>
          <w:lang w:eastAsia="ar-SA"/>
        </w:rPr>
        <w:fldChar w:fldCharType="separate"/>
      </w:r>
      <w:r w:rsidRPr="3CBB9A12">
        <w:rPr>
          <w:rFonts w:ascii="Times New Roman" w:eastAsia="Times New Roman" w:hAnsi="Times New Roman" w:cstheme="minorBidi"/>
          <w:noProof/>
          <w:lang w:eastAsia="ar-SA"/>
        </w:rPr>
        <w:t>(Xia et al., 2018)</w:t>
      </w:r>
      <w:r w:rsidRPr="3CBB9A12">
        <w:rPr>
          <w:rFonts w:ascii="Times New Roman" w:eastAsia="Times New Roman" w:hAnsi="Times New Roman" w:cstheme="minorBidi"/>
          <w:lang w:eastAsia="ar-SA"/>
        </w:rPr>
        <w:fldChar w:fldCharType="end"/>
      </w:r>
      <w:r w:rsidRPr="3CBB9A12">
        <w:rPr>
          <w:rFonts w:ascii="Times New Roman" w:eastAsia="Times New Roman" w:hAnsi="Times New Roman" w:cstheme="minorBidi"/>
          <w:lang w:eastAsia="ar-SA"/>
        </w:rPr>
        <w:t>.</w:t>
      </w:r>
    </w:p>
    <w:p w14:paraId="47976605" w14:textId="10AA2360" w:rsidR="00054C86" w:rsidRPr="007B0E16" w:rsidRDefault="00054C86" w:rsidP="00B409CC">
      <w:pPr>
        <w:numPr>
          <w:ilvl w:val="1"/>
          <w:numId w:val="185"/>
        </w:numPr>
        <w:suppressAutoHyphens/>
        <w:autoSpaceDE w:val="0"/>
        <w:spacing w:before="240" w:after="120" w:line="240" w:lineRule="auto"/>
        <w:ind w:left="284" w:hanging="284"/>
        <w:contextualSpacing/>
        <w:jc w:val="both"/>
        <w:rPr>
          <w:rFonts w:ascii="Times New Roman" w:eastAsia="Times New Roman" w:hAnsi="Times New Roman" w:cstheme="minorBidi"/>
          <w:i/>
          <w:lang w:eastAsia="ar-SA"/>
        </w:rPr>
      </w:pPr>
      <w:r w:rsidRPr="00A1393C">
        <w:rPr>
          <w:rFonts w:ascii="Times New Roman" w:eastAsia="Times New Roman" w:hAnsi="Times New Roman" w:cstheme="minorBidi"/>
          <w:u w:val="single"/>
          <w:lang w:eastAsia="ar-SA"/>
        </w:rPr>
        <w:t>Biomining</w:t>
      </w:r>
      <w:r w:rsidRPr="3CBB9A12">
        <w:rPr>
          <w:rFonts w:ascii="Times New Roman" w:eastAsia="Times New Roman" w:hAnsi="Times New Roman" w:cstheme="minorBidi"/>
          <w:lang w:eastAsia="ar-SA"/>
        </w:rPr>
        <w:t xml:space="preserve">. BioBricks-based </w:t>
      </w:r>
      <w:r w:rsidRPr="3CBB9A12">
        <w:rPr>
          <w:rFonts w:ascii="Times New Roman" w:eastAsia="Times New Roman" w:hAnsi="Times New Roman" w:cstheme="minorBidi"/>
          <w:i/>
          <w:lang w:eastAsia="ar-SA"/>
        </w:rPr>
        <w:t>E. coli</w:t>
      </w:r>
      <w:r w:rsidRPr="3CBB9A12">
        <w:rPr>
          <w:rFonts w:ascii="Times New Roman" w:eastAsia="Times New Roman" w:hAnsi="Times New Roman" w:cstheme="minorBidi"/>
          <w:lang w:eastAsia="ar-SA"/>
        </w:rPr>
        <w:t xml:space="preserve"> strains have been developed for the adsorption of gold </w:t>
      </w:r>
      <w:r w:rsidRPr="3CBB9A12">
        <w:rPr>
          <w:rFonts w:ascii="Times New Roman" w:eastAsia="Times New Roman" w:hAnsi="Times New Roman" w:cstheme="minorBidi"/>
          <w:lang w:eastAsia="ar-SA"/>
        </w:rPr>
        <w:fldChar w:fldCharType="begin" w:fldLock="1"/>
      </w:r>
      <w:r w:rsidR="003F5AE6">
        <w:rPr>
          <w:rFonts w:ascii="Times New Roman" w:eastAsia="Times New Roman" w:hAnsi="Times New Roman" w:cstheme="minorBidi"/>
          <w:lang w:eastAsia="ar-SA"/>
        </w:rPr>
        <w:instrText>ADDIN CSL_CITATION {"citationItems":[{"id":"ITEM-1","itemData":{"DOI":"10.3390/ijms19123741","ISSN":"1422-0067","abstract":"&lt;p&gt;Detection and recovery of heavy metals from environmental sources is a major task in environmental protection and governance. Based on previous research into cell-based visual detection and biological adsorption, we have developed a novel system combining these two functions by the BioBrick technique. The gold-specific sensory gol regulon was assembled on the gold-chaperone GolB (Gold-specific binding protein), which is responsible for selectively absorbing gold ions, and this led to an integration system with increased probe tolerance for gold. After being incorporated into E. coli, this system featured high-selective detection and recycling of gold ions among multi-metal ions from the environment. It serves as an efficient method for biological detection and recovery of various heavy metals. We have developed modular methods for cell-based detection and adsorption of heavy metals, and these offer a quick and convenient tool for development in this area.&lt;/p&gt;","author":[{"dropping-particle":"","family":"Yan","given":"Li","non-dropping-particle":"","parse-names":false,"suffix":""},{"dropping-particle":"","family":"Sun","given":"Peiqing","non-dropping-particle":"","parse-names":false,"suffix":""},{"dropping-particle":"","family":"Xu","given":"Yun","non-dropping-particle":"","parse-names":false,"suffix":""},{"dropping-particle":"","family":"Zhang","given":"Shanbo","non-dropping-particle":"","parse-names":false,"suffix":""},{"dropping-particle":"","family":"Wei","given":"Wei","non-dropping-particle":"","parse-names":false,"suffix":""},{"dropping-particle":"","family":"Zhao","given":"Jing","non-dropping-particle":"","parse-names":false,"suffix":""}],"container-title":"International Journal of Molecular Sciences","id":"ITEM-1","issue":"12","issued":{"date-parts":[["2018","11"]]},"page":"3741","publisher":"MDPI AG","title":"Integration of a Gold-Specific Whole E. coli Cell Sensing and Adsorption Based on BioBrick","type":"article-journal","volume":"19"},"uris":["http://www.mendeley.com/documents/?uuid=fecf023a-ffd3-4ec9-b608-4fe570f2919b"]}],"mendeley":{"formattedCitation":"(L. Yan et al., 2018)","manualFormatting":"(Yan et al., 2018)","plainTextFormattedCitation":"(L. Yan et al., 2018)","previouslyFormattedCitation":"(L. Yan et al., 2018)"},"properties":{"noteIndex":0},"schema":"https://github.com/citation-style-language/schema/raw/master/csl-citation.json"}</w:instrText>
      </w:r>
      <w:r w:rsidRPr="3CBB9A12">
        <w:rPr>
          <w:rFonts w:ascii="Times New Roman" w:eastAsia="Times New Roman" w:hAnsi="Times New Roman" w:cstheme="minorBidi"/>
          <w:lang w:eastAsia="ar-SA"/>
        </w:rPr>
        <w:fldChar w:fldCharType="separate"/>
      </w:r>
      <w:r w:rsidRPr="3CBB9A12">
        <w:rPr>
          <w:rFonts w:ascii="Times New Roman" w:eastAsia="Times New Roman" w:hAnsi="Times New Roman" w:cstheme="minorBidi"/>
          <w:noProof/>
          <w:lang w:eastAsia="ar-SA"/>
        </w:rPr>
        <w:t>(Yan et al., 2018)</w:t>
      </w:r>
      <w:r w:rsidRPr="3CBB9A12">
        <w:rPr>
          <w:rFonts w:ascii="Times New Roman" w:eastAsia="Times New Roman" w:hAnsi="Times New Roman" w:cstheme="minorBidi"/>
          <w:lang w:eastAsia="ar-SA"/>
        </w:rPr>
        <w:fldChar w:fldCharType="end"/>
      </w:r>
      <w:r w:rsidRPr="3CBB9A12">
        <w:rPr>
          <w:rFonts w:ascii="Times New Roman" w:eastAsia="Times New Roman" w:hAnsi="Times New Roman" w:cstheme="minorBidi"/>
          <w:lang w:eastAsia="ar-SA"/>
        </w:rPr>
        <w:t xml:space="preserve">, cobalt and nickel </w:t>
      </w:r>
      <w:r w:rsidRPr="3CBB9A12">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{"citationItems":[{"id":"ITEM-1","itemData":{"DOI":"10.1186/1754-1611-8-19","ISSN":"17541611","abstract":"Background: Metal contamination is widespread and results from natural geogenic and constantly increasing anthropogenic sources (mainly mining and extraction activities, electroplating, battery and steel manufacturing or metal finishing). Consequently, there is a growing need for methods to detoxify polluted ecosystems. Industrial wastewater, surface water and ground water need to be decontaminated to alleviate the contamination of soils and sediments and, ultimately, the human food chain. In nuclear power plants, radioactive metals are produced; these metals need to be removed from effluents before they are released into the environment, not only for pollution prevention but also for waste minimization. Many physicochemical methods have been developed for metal removal from aqueous solutions, including chemical coagulation, adsorption, extraction, ion exchange and membrane separation; however, these methods are generally not metal selective. Bacteria, because they contain metal transporters, provide a potentially competitive alternative to the current use of expensive and high-volume ion-exchange resins. Results: The feasibility of using bacterial biofilters as efficient tools for nickel and cobalt ions specific remediation was investigated. Among the factors susceptible to genetic modification in Escherichia coli, specific efflux and sequestration systems were engineered to improve its metal sequestration abilities. Genomic suppression of the RcnA nickel (Ni) and cobalt (Co) efflux system was combined with the plasmid-controlled expression of a genetically improved version of a specific metallic transporter, NiCoT, which originates from Novosphingobium aromaticivorans. The resulting strain exhibited enhanced nickel (II) and cobalt (II) uptake, with a maximum metal ion accumulation of 6 mg/g bacterial dry weight during 10 min of treatment. A synthetic adherence operon was successfully introduced into the plasmid carrying the improved NiCoT transporter, conferring the ability to form thick biofilm structures, especially when exposed to nickel and cobalt metallic compounds. Conclusions: This study demonstrates the efficient use of genetic engineering to increase metal sequestration and biofilm formation by E. coli. This method allows Co and Ni contaminants to be sequestered while spatially confining the bacteria to an abiotic support. Biofiltration of nickel (II) and cobalt (II) by immobilized cells is therefore a promising option for treating these cont…","author":[{"dropping-particle":"","family":"Duprey","given":"Alexandre","non-dropping-particle":"","parse-names":false,"suffix":""},{"dropping-particle":"","family":"Chansavang","given":"Viviane","non-dropping-particle":"","parse-names":false,"suffix":""},{"dropping-particle":"","family":"Frémion","given":"Franck","non-dropping-particle":"","parse-names":false,"suffix":""},{"dropping-particle":"","family":"Gonthier","given":"Clémence","non-dropping-particle":"","parse-names":false,"suffix":""},{"dropping-particle":"","family":"Louis","given":"Yoann","non-dropping-particle":"","parse-names":false,"suffix":""},{"dropping-particle":"","family":"Lejeune","given":"Philippe","non-dropping-particle":"","parse-names":false,"suffix":""},{"dropping-particle":"","family":"Springer","given":"Fanny","non-dropping-particle":"","parse-names":false,"suffix":""},{"dropping-particle":"","family":"Desjardin","given":"Valérie","non-dropping-particle":"","parse-names":false,"suffix":""},{"dropping-particle":"","family":"Rodrigue","given":"Agnès","non-dropping-particle":"","parse-names":false,"suffix":""},{"dropping-particle":"","family":"Dorel","given":"Corinne","non-dropping-particle":"","parse-names":false,"suffix":""}],"container-title":"Journal of Biological Engineering","id":"ITEM-1","issue":"1","issued":{"date-parts":[["2014","8"]]},"page":"19","publisher":"BioMed Central Ltd.","title":"NiCo Buster: Engineering E. coli for fast and efficient capture of cobalt and nickel","type":"article-journal","volume":"8"},"uris":["http://www.mendeley.com/documents/?uuid=fa921928-aef5-4fdf-8e5e-63c239a3ddac"]}],"mendeley":{"formattedCitation":"(Duprey et al., 2014)","plainTextFormattedCitation":"(Duprey et al., 2014)","previouslyFormattedCitation":"(Duprey et al., 2014)"},"properties":{"noteIndex":0},"schema":"https://github.com/citation-style-language/schema/raw/master/csl-citation.json"}</w:instrText>
      </w:r>
      <w:r w:rsidRPr="3CBB9A12">
        <w:rPr>
          <w:rFonts w:ascii="Times New Roman" w:eastAsia="Times New Roman" w:hAnsi="Times New Roman" w:cstheme="minorBidi"/>
          <w:lang w:eastAsia="ar-SA"/>
        </w:rPr>
        <w:fldChar w:fldCharType="separate"/>
      </w:r>
      <w:r w:rsidRPr="006A52E3">
        <w:rPr>
          <w:rFonts w:ascii="Times New Roman" w:eastAsia="Times New Roman" w:hAnsi="Times New Roman" w:cstheme="minorBidi"/>
          <w:noProof/>
          <w:lang w:eastAsia="ar-SA"/>
        </w:rPr>
        <w:t>(Duprey et al., 2014)</w:t>
      </w:r>
      <w:r w:rsidRPr="3CBB9A12">
        <w:rPr>
          <w:rFonts w:ascii="Times New Roman" w:eastAsia="Times New Roman" w:hAnsi="Times New Roman" w:cstheme="minorBidi"/>
          <w:lang w:eastAsia="ar-SA"/>
        </w:rPr>
        <w:fldChar w:fldCharType="end"/>
      </w:r>
      <w:r w:rsidRPr="006A52E3">
        <w:rPr>
          <w:rFonts w:ascii="Times New Roman" w:eastAsia="Times New Roman" w:hAnsi="Times New Roman" w:cstheme="minorBidi"/>
          <w:lang w:eastAsia="ar-SA"/>
        </w:rPr>
        <w:t xml:space="preserve">. </w:t>
      </w:r>
      <w:r w:rsidRPr="006A52E3">
        <w:rPr>
          <w:rFonts w:ascii="Times New Roman" w:eastAsia="SimSun" w:hAnsi="Times New Roman" w:cs="Calibri"/>
          <w:color w:val="000000" w:themeColor="text1"/>
          <w:lang w:eastAsia="hi-IN" w:bidi="hi-IN"/>
        </w:rPr>
        <w:t xml:space="preserve">Scientists anticipate the use of engineered microbial consortia, in part using tools of synthetic biology, to enhance mining metal recovery and to aid acid mine drainage bioremediation </w:t>
      </w:r>
      <w:r w:rsidR="00360CAA">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{"citationItems":[{"id":"ITEM-1","itemData":{"DOI":"10.3389/fmicb.2012.00203","ISSN":"1664-302X","author":[{"dropping-particle":"","family":"Brune","given":"Karl D.","non-dropping-particle":"","parse-names":false,"suffix":""},{"dropping-particle":"","family":"Bayer","given":"Travis S.","non-dropping-particle":"","parse-names":false,"suffix":""}],"container-title":"Frontiers in Microbiology","id":"ITEM-1","issued":{"date-parts":[["2012"]]},"title":"Engineering microbial consortia to enhance biomining and bioremediation","type":"article-journal","volume":"3"},"uris":["http://www.mendeley.com/documents/?uuid=d7a2a5b0-bd2e-43f0-b3a8-3d0efea26852"]}],"mendeley":{"formattedCitation":"(Brune &amp; Bayer, 2012)","plainTextFormattedCitation":"(Brune &amp; Bayer, 2012)","previouslyFormattedCitation":"(Brune &amp; Bayer, 2012)"},"properties":{"noteIndex":0},"schema":"https://github.com/citation-style-language/schema/raw/master/csl-citation.json"}</w:instrText>
      </w:r>
      <w:r w:rsidR="00360CAA">
        <w:rPr>
          <w:rFonts w:ascii="Times New Roman" w:eastAsia="SimSun" w:hAnsi="Times New Roman" w:cs="Calibri"/>
          <w:color w:val="000000" w:themeColor="text1"/>
          <w:lang w:eastAsia="hi-IN" w:bidi="hi-IN"/>
        </w:rPr>
        <w:fldChar w:fldCharType="separate"/>
      </w:r>
      <w:r w:rsidR="00360CAA" w:rsidRPr="00360CAA">
        <w:rPr>
          <w:rFonts w:ascii="Times New Roman" w:eastAsia="SimSun" w:hAnsi="Times New Roman" w:cs="Calibri"/>
          <w:noProof/>
          <w:color w:val="000000" w:themeColor="text1"/>
          <w:lang w:eastAsia="hi-IN" w:bidi="hi-IN"/>
        </w:rPr>
        <w:t>(Brune &amp; Bayer, 2012)</w:t>
      </w:r>
      <w:r w:rsidR="00360CAA">
        <w:rPr>
          <w:rFonts w:ascii="Times New Roman" w:eastAsia="SimSun" w:hAnsi="Times New Roman" w:cs="Calibri"/>
          <w:color w:val="000000" w:themeColor="text1"/>
          <w:lang w:eastAsia="hi-IN" w:bidi="hi-IN"/>
        </w:rPr>
        <w:fldChar w:fldCharType="end"/>
      </w:r>
      <w:r w:rsidRPr="006A52E3">
        <w:rPr>
          <w:rFonts w:ascii="Times New Roman" w:eastAsia="SimSun" w:hAnsi="Times New Roman" w:cs="Calibri"/>
          <w:color w:val="000000" w:themeColor="text1"/>
          <w:lang w:eastAsia="hi-IN" w:bidi="hi-IN"/>
        </w:rPr>
        <w:t xml:space="preserve">. </w:t>
      </w:r>
      <w:r w:rsidRPr="3CBB9A12">
        <w:rPr>
          <w:rFonts w:ascii="Times New Roman" w:eastAsia="SimSun" w:hAnsi="Times New Roman" w:cs="Calibri"/>
          <w:color w:val="000000" w:themeColor="text1"/>
          <w:lang w:eastAsia="hi-IN" w:bidi="hi-IN"/>
        </w:rPr>
        <w:t xml:space="preserve">A novel method </w:t>
      </w:r>
      <w:r w:rsidR="00D41AE4" w:rsidRPr="3CBB9A12">
        <w:rPr>
          <w:rFonts w:ascii="Times New Roman" w:eastAsia="SimSun" w:hAnsi="Times New Roman" w:cs="Calibri"/>
          <w:color w:val="000000" w:themeColor="text1"/>
          <w:lang w:eastAsia="hi-IN" w:bidi="hi-IN"/>
        </w:rPr>
        <w:t xml:space="preserve">was recently announced </w:t>
      </w:r>
      <w:r w:rsidR="00455994">
        <w:rPr>
          <w:rFonts w:ascii="Times New Roman" w:eastAsia="SimSun" w:hAnsi="Times New Roman" w:cs="Calibri"/>
          <w:color w:val="000000" w:themeColor="text1"/>
          <w:lang w:eastAsia="hi-IN" w:bidi="hi-IN"/>
        </w:rPr>
        <w:fldChar w:fldCharType="begin" w:fldLock="1"/>
      </w:r>
      <w:r w:rsidR="0097105B">
        <w:rPr>
          <w:rFonts w:ascii="Times New Roman" w:eastAsia="SimSun" w:hAnsi="Times New Roman" w:cs="Calibri"/>
          <w:color w:val="000000" w:themeColor="text1"/>
          <w:lang w:eastAsia="hi-IN" w:bidi="hi-IN"/>
        </w:rPr>
        <w:instrText>ADDIN CSL_CITATION {"citationItems":[{"id":"ITEM-1","itemData":{"DOI":"10.1038/s41598-019-52778-2","ISSN":"20452322","PMID":"31712654","abstract":"Electronics waste production has been fueled by economic growth and the demand for faster, more efficient consumer electronics. The glass and metals in end-of-life electronics components can be reused or recycled; however, conventional extraction methods rely on energy-intensive processes that are inefficient when applied to recycling e-waste that contains mixed materials and small amounts of metals. To make e-waste recycling economically viable and competitive with obtaining raw materials, recovery methods that lower the cost of metal reclamation and minimize environmental impact need to be developed. Microbial surface adsorption can aid in metal recovery with lower costs and energy requirements than traditional metal-extraction approaches. We introduce a novel method for metal recovery by utilizing metal-binding peptides to functionalize fungal mycelia and enhance metal recovery from aqueous solutions such as those found in bioremediation or biomining processes. Using copper-binding as a proof-of-concept, we compared binding parameters between natural motifs and those derived in silico, and found comparable binding affinity and specificity for Cu. We then combined metal-binding peptides with chitin-binding domains to functionalize a mycelium-based filter to enhance metal recovery from a Cu-rich solution. This finding suggests that engineered peptides could be used to functionalize biological surfaces to recover metals of economic interest and allow for metal recovery from metal-rich effluent with a low environmental footprint, at ambient temperatures, and under circumneutral pH.","author":[{"dropping-particle":"","family":"Urbina","given":"Jesica","non-dropping-particle":"","parse-names":false,"suffix":""},{"dropping-particle":"","family":"Patil","given":"Advait","non-dropping-particle":"","parse-names":false,"suffix":""},{"dropping-particle":"","family":"Fujishima","given":"Kosuke","non-dropping-particle":"","parse-names":false,"suffix":""},{"dropping-particle":"","family":"Paulino-Lima","given":"Ivan G","non-dropping-particle":"","parse-names":false,"suffix":""},{"dropping-particle":"","family":"Saltikov","given":"Chad","non-dropping-particle":"","parse-names":false,"suffix":""},{"dropping-particle":"","family":"Rothschild","given":"Lynn J","non-dropping-particle":"","parse-names":false,"suffix":""}],"container-title":"Scientific Reports","id":"ITEM-1","issue":"1","issued":{"date-parts":[["2019","12"]]},"page":"1-11","publisher":"Nature Publishing Group","title":"A new approach to biomining: Bioengineering surfaces for metal recovery from aqueous solutions","type":"article-journal","volume":"9"},"uris":["http://www.mendeley.com/documents/?uuid=f8ffbbfd-1157-47bc-aae6-955b89653d1f"]}],"mendeley":{"formattedCitation":"(Urbina et al., 2019)","plainTextFormattedCitation":"(Urbina et al., 2019)","previouslyFormattedCitation":"(Urbina et al., 2019)"},"properties":{"noteIndex":0},"schema":"https://github.com/citation-style-language/schema/raw/master/csl-citation.json"}</w:instrText>
      </w:r>
      <w:r w:rsidR="00455994">
        <w:rPr>
          <w:rFonts w:ascii="Times New Roman" w:eastAsia="SimSun" w:hAnsi="Times New Roman" w:cs="Calibri"/>
          <w:color w:val="000000" w:themeColor="text1"/>
          <w:lang w:eastAsia="hi-IN" w:bidi="hi-IN"/>
        </w:rPr>
        <w:fldChar w:fldCharType="separate"/>
      </w:r>
      <w:r w:rsidR="00455994" w:rsidRPr="00455994">
        <w:rPr>
          <w:rFonts w:ascii="Times New Roman" w:eastAsia="SimSun" w:hAnsi="Times New Roman" w:cs="Calibri"/>
          <w:noProof/>
          <w:color w:val="000000" w:themeColor="text1"/>
          <w:lang w:eastAsia="hi-IN" w:bidi="hi-IN"/>
        </w:rPr>
        <w:t>(Urbina et al., 2019)</w:t>
      </w:r>
      <w:r w:rsidR="00455994">
        <w:rPr>
          <w:rFonts w:ascii="Times New Roman" w:eastAsia="SimSun" w:hAnsi="Times New Roman" w:cs="Calibri"/>
          <w:color w:val="000000" w:themeColor="text1"/>
          <w:lang w:eastAsia="hi-IN" w:bidi="hi-IN"/>
        </w:rPr>
        <w:fldChar w:fldCharType="end"/>
      </w:r>
      <w:r w:rsidR="00D41AE4" w:rsidRPr="3CBB9A12">
        <w:rPr>
          <w:rFonts w:ascii="Times New Roman" w:eastAsia="SimSun" w:hAnsi="Times New Roman" w:cs="Calibri"/>
          <w:color w:val="000000" w:themeColor="text1"/>
          <w:lang w:eastAsia="hi-IN" w:bidi="hi-IN"/>
        </w:rPr>
        <w:t xml:space="preserve"> </w:t>
      </w:r>
      <w:r w:rsidR="00821301" w:rsidRPr="3CBB9A12">
        <w:rPr>
          <w:rFonts w:ascii="Times New Roman" w:eastAsia="SimSun" w:hAnsi="Times New Roman" w:cs="Calibri"/>
          <w:color w:val="000000" w:themeColor="text1"/>
          <w:lang w:eastAsia="hi-IN" w:bidi="hi-IN"/>
        </w:rPr>
        <w:t>that</w:t>
      </w:r>
      <w:r w:rsidRPr="3CBB9A12">
        <w:rPr>
          <w:rFonts w:ascii="Times New Roman" w:eastAsia="SimSun" w:hAnsi="Times New Roman" w:cs="Calibri"/>
          <w:color w:val="000000" w:themeColor="text1"/>
          <w:lang w:eastAsia="hi-IN" w:bidi="hi-IN"/>
        </w:rPr>
        <w:t xml:space="preserve"> utili</w:t>
      </w:r>
      <w:r w:rsidR="00D41AE4" w:rsidRPr="3CBB9A12">
        <w:rPr>
          <w:rFonts w:ascii="Times New Roman" w:eastAsia="SimSun" w:hAnsi="Times New Roman" w:cs="Calibri"/>
          <w:color w:val="000000" w:themeColor="text1"/>
          <w:lang w:eastAsia="hi-IN" w:bidi="hi-IN"/>
        </w:rPr>
        <w:t>s</w:t>
      </w:r>
      <w:r w:rsidR="00322D34" w:rsidRPr="3CBB9A12">
        <w:rPr>
          <w:rFonts w:ascii="Times New Roman" w:eastAsia="SimSun" w:hAnsi="Times New Roman" w:cs="Calibri"/>
          <w:color w:val="000000" w:themeColor="text1"/>
          <w:lang w:eastAsia="hi-IN" w:bidi="hi-IN"/>
        </w:rPr>
        <w:t>es</w:t>
      </w:r>
      <w:r w:rsidRPr="3CBB9A12">
        <w:rPr>
          <w:rFonts w:ascii="Times New Roman" w:eastAsia="SimSun" w:hAnsi="Times New Roman" w:cs="Calibri"/>
          <w:color w:val="000000" w:themeColor="text1"/>
          <w:lang w:eastAsia="hi-IN" w:bidi="hi-IN"/>
        </w:rPr>
        <w:t xml:space="preserve"> metal-binding peptides </w:t>
      </w:r>
      <w:r w:rsidR="00322D34" w:rsidRPr="3CBB9A12">
        <w:rPr>
          <w:rFonts w:ascii="Times New Roman" w:eastAsia="SimSun" w:hAnsi="Times New Roman" w:cs="Calibri"/>
          <w:color w:val="000000" w:themeColor="text1"/>
          <w:lang w:eastAsia="hi-IN" w:bidi="hi-IN"/>
        </w:rPr>
        <w:t>in</w:t>
      </w:r>
      <w:r w:rsidRPr="3CBB9A12">
        <w:rPr>
          <w:rFonts w:ascii="Times New Roman" w:eastAsia="SimSun" w:hAnsi="Times New Roman" w:cs="Calibri"/>
          <w:color w:val="000000" w:themeColor="text1"/>
          <w:lang w:eastAsia="hi-IN" w:bidi="hi-IN"/>
        </w:rPr>
        <w:t xml:space="preserve"> fungal mycelia </w:t>
      </w:r>
      <w:r w:rsidR="00322D34" w:rsidRPr="3CBB9A12">
        <w:rPr>
          <w:rFonts w:ascii="Times New Roman" w:eastAsia="SimSun" w:hAnsi="Times New Roman" w:cs="Calibri"/>
          <w:color w:val="000000" w:themeColor="text1"/>
          <w:lang w:eastAsia="hi-IN" w:bidi="hi-IN"/>
        </w:rPr>
        <w:t>to</w:t>
      </w:r>
      <w:r w:rsidRPr="3CBB9A12">
        <w:rPr>
          <w:rFonts w:ascii="Times New Roman" w:eastAsia="SimSun" w:hAnsi="Times New Roman" w:cs="Calibri"/>
          <w:color w:val="000000" w:themeColor="text1"/>
          <w:lang w:eastAsia="hi-IN" w:bidi="hi-IN"/>
        </w:rPr>
        <w:t xml:space="preserve"> enhance metal recovery from aqueous solutions such as those found in bioremediation or biomining processes.</w:t>
      </w:r>
      <w:r w:rsidR="00102DCC" w:rsidRPr="00102DCC">
        <w:rPr>
          <w:rFonts w:ascii="Times New Roman" w:eastAsia="Times New Roman" w:hAnsi="Times New Roman" w:cstheme="minorBidi"/>
          <w:lang w:eastAsia="ar-SA"/>
        </w:rPr>
        <w:t xml:space="preserve"> </w:t>
      </w:r>
      <w:r w:rsidR="00102DCC" w:rsidRPr="3CBB9A12">
        <w:rPr>
          <w:rFonts w:ascii="Times New Roman" w:eastAsia="Times New Roman" w:hAnsi="Times New Roman" w:cstheme="minorBidi"/>
          <w:lang w:eastAsia="ar-SA"/>
        </w:rPr>
        <w:t xml:space="preserve">Other examples of biological adsorption/chelation for biomining where synthetic biology could have an impact are reviewed by Capeness and Horsfall </w:t>
      </w:r>
      <w:r w:rsidR="00102DCC" w:rsidRPr="3CBB9A12">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{"citationItems":[{"id":"ITEM-1","itemData":{"DOI":"10.1042/BST20190837","ISSN":"14708752","PMID":"32627824","abstract":"Metals are a finite resource and their demand for use within existing and new technologies means metal scarcity is increasingly a global challenge. Conversely, there are areas containing such high levels of metal pollution that they are hazardous to life, and there is loss of material at every stage of the lifecycle of metals and their products. While traditional resource extraction methods are becoming less cost effective, due to a lowering quality of ore, industrial practices have begun turning to newer technologies to tap into metal resources currently locked up in contaminated land or lost in the extraction and manufacturing processes. One such technology uses biology for the remediation of metals, simultaneously extracting resources, decontaminating land, and reducing waste. Using biology for the identification and recovery of metals is considered a much ‘greener’ alternative to that of chemical methods, and this approach is about to undergo a renaissance thanks to synthetic biology. Synthetic biology couples molecular genetics with traditional engineering principles, incorporating a modular and standardised practice into the assembly of genetic parts. This has allowed the use of non-model organisms in place of the normal laboratory strains, as well as the adaption of environmentally sourced genetic material to standardised parts and practices. While synthetic biology is revolutionising the genetic capability of standard model organisms, there has been limited incursion into current practices for the biological recovery of metals from environmental sources. This mini-review will focus on some of the areas that have potential roles to play in these processes.","author":[{"dropping-particle":"","family":"Capeness","given":"Michael J.","non-dropping-particle":"","parse-names":false,"suffix":""},{"dropping-particle":"","family":"Horsfall","given":"Louise E.","non-dropping-particle":"","parse-names":false,"suffix":""}],"container-title":"Biochemical Society Transactions","id":"ITEM-1","issue":"4","issued":{"date-parts":[["2020","8"]]},"page":"1367-1378","publisher":"Portland Press Ltd","title":"Synthetic biology approaches towards the recycling of metals from the environment","type":"article","volume":"48"},"uris":["http://www.mendeley.com/documents/?uuid=f2c13796-d7f6-477f-8129-6f7ea2e3d5f7"]}],"mendeley":{"formattedCitation":"(Capeness &amp; Horsfall, 2020)","manualFormatting":"(2020)","plainTextFormattedCitation":"(Capeness &amp; Horsfall, 2020)","previouslyFormattedCitation":"(Capeness &amp; Horsfall, 2020)"},"properties":{"noteIndex":0},"schema":"https://github.com/citation-style-language/schema/raw/master/csl-citation.json"}</w:instrText>
      </w:r>
      <w:r w:rsidR="00102DCC" w:rsidRPr="3CBB9A12">
        <w:rPr>
          <w:rFonts w:ascii="Times New Roman" w:eastAsia="Times New Roman" w:hAnsi="Times New Roman" w:cstheme="minorBidi"/>
          <w:lang w:eastAsia="ar-SA"/>
        </w:rPr>
        <w:fldChar w:fldCharType="separate"/>
      </w:r>
      <w:r w:rsidR="00102DCC" w:rsidRPr="3CBB9A12">
        <w:rPr>
          <w:rFonts w:ascii="Times New Roman" w:eastAsia="Times New Roman" w:hAnsi="Times New Roman" w:cstheme="minorBidi"/>
          <w:noProof/>
          <w:lang w:eastAsia="ar-SA"/>
        </w:rPr>
        <w:t>(2020)</w:t>
      </w:r>
      <w:r w:rsidR="00102DCC" w:rsidRPr="3CBB9A12">
        <w:rPr>
          <w:rFonts w:ascii="Times New Roman" w:eastAsia="Times New Roman" w:hAnsi="Times New Roman" w:cstheme="minorBidi"/>
          <w:lang w:eastAsia="ar-SA"/>
        </w:rPr>
        <w:fldChar w:fldCharType="end"/>
      </w:r>
      <w:r w:rsidR="00102DCC">
        <w:rPr>
          <w:rFonts w:ascii="Times New Roman" w:eastAsia="Times New Roman" w:hAnsi="Times New Roman" w:cstheme="minorBidi"/>
          <w:lang w:eastAsia="ar-SA"/>
        </w:rPr>
        <w:t>.</w:t>
      </w:r>
    </w:p>
    <w:p w14:paraId="07814629" w14:textId="435EC303" w:rsidR="00054C86" w:rsidRPr="00834EBF" w:rsidRDefault="00997637" w:rsidP="00834EBF">
      <w:pPr>
        <w:pStyle w:val="Heading5"/>
        <w:tabs>
          <w:tab w:val="clear" w:pos="1800"/>
        </w:tabs>
        <w:ind w:left="284" w:hanging="284"/>
        <w:rPr>
          <w:rFonts w:cstheme="minorBidi"/>
          <w:b/>
          <w:i w:val="0"/>
          <w:lang w:val="en-GB"/>
        </w:rPr>
      </w:pPr>
      <w:r>
        <w:rPr>
          <w:i w:val="0"/>
          <w:iCs/>
        </w:rPr>
        <w:t xml:space="preserve">(b) </w:t>
      </w:r>
      <w:r w:rsidR="0087504B">
        <w:t xml:space="preserve">Synthetic biology applications </w:t>
      </w:r>
      <w:r w:rsidR="00054C86" w:rsidRPr="00054C86">
        <w:t>for conservation purposes and control of vector-borne disease.</w:t>
      </w:r>
    </w:p>
    <w:p w14:paraId="0B76CF29" w14:textId="4741D539" w:rsidR="000B20BA" w:rsidRDefault="00054C86" w:rsidP="00A1393C">
      <w:pPr>
        <w:suppressAutoHyphens/>
        <w:autoSpaceDE w:val="0"/>
        <w:spacing w:before="120" w:after="120" w:line="240" w:lineRule="auto"/>
        <w:jc w:val="both"/>
        <w:rPr>
          <w:rFonts w:ascii="Times New Roman" w:eastAsia="Times New Roman" w:hAnsi="Times New Roman" w:cstheme="minorBidi"/>
          <w:lang w:eastAsia="ar-SA"/>
        </w:rPr>
      </w:pPr>
      <w:r w:rsidRPr="3CBB9A12">
        <w:rPr>
          <w:rFonts w:ascii="Times New Roman" w:eastAsia="Times New Roman" w:hAnsi="Times New Roman" w:cstheme="minorBidi"/>
          <w:lang w:eastAsia="ar-SA"/>
        </w:rPr>
        <w:t>There are ongoing efforts to advance engineered gene drive research to scale up efforts to protect island communities and prevent island species extinctions (</w:t>
      </w:r>
      <w:r w:rsidR="00176213">
        <w:rPr>
          <w:rFonts w:ascii="Times New Roman" w:eastAsia="Times New Roman" w:hAnsi="Times New Roman" w:cstheme="minorBidi"/>
          <w:lang w:eastAsia="ar-SA"/>
        </w:rPr>
        <w:t>e.g.</w:t>
      </w:r>
      <w:r w:rsidR="00B84294">
        <w:rPr>
          <w:rFonts w:ascii="Times New Roman" w:eastAsia="Times New Roman" w:hAnsi="Times New Roman" w:cstheme="minorBidi"/>
          <w:lang w:eastAsia="ar-SA"/>
        </w:rPr>
        <w:t>,</w:t>
      </w:r>
      <w:r w:rsidRPr="3CBB9A12">
        <w:rPr>
          <w:rFonts w:asciiTheme="minorHAnsi" w:eastAsiaTheme="minorEastAsia" w:hAnsiTheme="minorHAnsi" w:cstheme="minorBidi"/>
        </w:rPr>
        <w:t xml:space="preserve"> </w:t>
      </w:r>
      <w:r w:rsidRPr="3CBB9A12">
        <w:rPr>
          <w:rFonts w:ascii="Times New Roman" w:eastAsia="Times New Roman" w:hAnsi="Times New Roman" w:cstheme="minorBidi"/>
          <w:lang w:eastAsia="ar-SA"/>
        </w:rPr>
        <w:t xml:space="preserve">Genetic Biocontrol of Invasive Rodents programme). </w:t>
      </w:r>
      <w:r w:rsidR="0026723A" w:rsidRPr="3CBB9A12">
        <w:rPr>
          <w:rFonts w:ascii="Times New Roman" w:eastAsia="Times New Roman" w:hAnsi="Times New Roman" w:cstheme="minorBidi"/>
          <w:lang w:eastAsia="ar-SA"/>
        </w:rPr>
        <w:t>The</w:t>
      </w:r>
      <w:r w:rsidR="00870B5B">
        <w:rPr>
          <w:rFonts w:ascii="Times New Roman" w:eastAsia="Times New Roman" w:hAnsi="Times New Roman" w:cstheme="minorBidi"/>
          <w:lang w:eastAsia="ar-SA"/>
        </w:rPr>
        <w:t xml:space="preserve"> </w:t>
      </w:r>
      <w:r w:rsidR="0026723A" w:rsidRPr="3CBB9A12">
        <w:rPr>
          <w:rFonts w:ascii="Times New Roman" w:eastAsia="Times New Roman" w:hAnsi="Times New Roman" w:cstheme="minorBidi"/>
          <w:lang w:eastAsia="ar-SA"/>
        </w:rPr>
        <w:t xml:space="preserve">use of </w:t>
      </w:r>
      <w:r w:rsidR="005F160E">
        <w:rPr>
          <w:rFonts w:ascii="Times New Roman" w:eastAsia="Times New Roman" w:hAnsi="Times New Roman" w:cstheme="minorBidi"/>
          <w:lang w:eastAsia="ar-SA"/>
        </w:rPr>
        <w:t xml:space="preserve">engineered </w:t>
      </w:r>
      <w:r w:rsidR="002E2D1E" w:rsidRPr="3CBB9A12">
        <w:rPr>
          <w:rFonts w:ascii="Times New Roman" w:eastAsia="Times New Roman" w:hAnsi="Times New Roman" w:cstheme="minorBidi"/>
          <w:lang w:eastAsia="ar-SA"/>
        </w:rPr>
        <w:t xml:space="preserve">gene drive technology to control or eradicate invasive rodent populations on islands </w:t>
      </w:r>
      <w:r w:rsidR="0026723A" w:rsidRPr="3CBB9A12">
        <w:rPr>
          <w:rFonts w:ascii="Times New Roman" w:eastAsia="Times New Roman" w:hAnsi="Times New Roman" w:cstheme="minorBidi"/>
          <w:lang w:eastAsia="ar-SA"/>
        </w:rPr>
        <w:t>is being explored</w:t>
      </w:r>
      <w:r w:rsidR="002E2D1E" w:rsidRPr="3CBB9A12">
        <w:rPr>
          <w:rFonts w:ascii="Times New Roman" w:eastAsia="Times New Roman" w:hAnsi="Times New Roman" w:cstheme="minorBidi"/>
          <w:lang w:eastAsia="ar-SA"/>
        </w:rPr>
        <w:t xml:space="preserve">. Current research on genetic biocontrol of rodents is confined to mice due to the relative ease in manipulating the mouse genome in comparison to </w:t>
      </w:r>
      <w:r w:rsidR="001D6467">
        <w:rPr>
          <w:rFonts w:ascii="Times New Roman" w:eastAsia="Times New Roman" w:hAnsi="Times New Roman" w:cstheme="minorBidi"/>
          <w:lang w:eastAsia="ar-SA"/>
        </w:rPr>
        <w:t xml:space="preserve">that of </w:t>
      </w:r>
      <w:r w:rsidR="002E2D1E" w:rsidRPr="3CBB9A12">
        <w:rPr>
          <w:rFonts w:ascii="Times New Roman" w:eastAsia="Times New Roman" w:hAnsi="Times New Roman" w:cstheme="minorBidi"/>
          <w:lang w:eastAsia="ar-SA"/>
        </w:rPr>
        <w:t xml:space="preserve">rats </w:t>
      </w:r>
      <w:r w:rsidR="0097105B">
        <w:rPr>
          <w:rFonts w:ascii="Times New Roman" w:eastAsia="Times New Roman" w:hAnsi="Times New Roman" w:cstheme="minorBidi"/>
          <w:lang w:eastAsia="ar-SA"/>
        </w:rPr>
        <w:fldChar w:fldCharType="begin" w:fldLock="1"/>
      </w:r>
      <w:r w:rsidR="0097105B">
        <w:rPr>
          <w:rFonts w:ascii="Times New Roman" w:eastAsia="Times New Roman" w:hAnsi="Times New Roman" w:cstheme="minorBidi"/>
          <w:lang w:eastAsia="ar-SA"/>
        </w:rPr>
        <w:instrText>ADDIN CSL_CITATION {"citationItems":[{"id":"ITEM-1","itemData":{"DOI":"10.1080/23299460.2017.1365232","ISSN":"2329-9460","author":[{"dropping-particle":"","family":"Leitschuh","given":"Caroline M.","non-dropping-particle":"","parse-names":false,"suffix":""},{"dropping-particle":"","family":"Kanavy","given":"Dona","non-dropping-particle":"","parse-names":false,"suffix":""},{"dropping-particle":"","family":"Backus","given":"Gregory A.","non-dropping-particle":"","parse-names":false,"suffix":""},{"dropping-particle":"","family":"Valdez","given":"Rene X.","non-dropping-particle":"","parse-names":false,"suffix":""},{"dropping-particle":"","family":"Serr","given":"Megan","non-dropping-particle":"","parse-names":false,"suffix":""},{"dropping-particle":"","family":"Pitts","given":"Elizabeth A.","non-dropping-particle":"","parse-names":false,"suffix":""},{"dropping-particle":"","family":"Threadgill","given":"David","non-dropping-particle":"","parse-names":false,"suffix":""},{"dropping-particle":"","family":"Godwin","given":"John","non-dropping-particle":"","parse-names":false,"suffix":""}],"container-title":"Journal of Responsible Innovation","id":"ITEM-1","issue":"sup1","issued":{"date-parts":[["2018","1","24"]]},"page":"S121-S138","title":"Developing gene drive technologies to eradicate invasive rodents from islands","type":"article-journal","volume":"5"},"uris":["http://www.mendeley.com/documents/?uuid=3b35255f-3924-4830-b23b-575800dfd215"]}],"mendeley":{"formattedCitation":"(Leitschuh et al., 2018)","plainTextFormattedCitation":"(Leitschuh et al., 2018)","previouslyFormattedCitation":"(Leitschuh et al., 2018)"},"properties":{"noteIndex":0},"schema":"https://github.com/citation-style-language/schema/raw/master/csl-citation.json"}</w:instrText>
      </w:r>
      <w:r w:rsidR="0097105B">
        <w:rPr>
          <w:rFonts w:ascii="Times New Roman" w:eastAsia="Times New Roman" w:hAnsi="Times New Roman" w:cstheme="minorBidi"/>
          <w:lang w:eastAsia="ar-SA"/>
        </w:rPr>
        <w:fldChar w:fldCharType="separate"/>
      </w:r>
      <w:r w:rsidR="0097105B" w:rsidRPr="0097105B">
        <w:rPr>
          <w:rFonts w:ascii="Times New Roman" w:eastAsia="Times New Roman" w:hAnsi="Times New Roman" w:cstheme="minorBidi"/>
          <w:noProof/>
          <w:lang w:eastAsia="ar-SA"/>
        </w:rPr>
        <w:t>(Leitschuh et al., 2018)</w:t>
      </w:r>
      <w:r w:rsidR="0097105B">
        <w:rPr>
          <w:rFonts w:ascii="Times New Roman" w:eastAsia="Times New Roman" w:hAnsi="Times New Roman" w:cstheme="minorBidi"/>
          <w:lang w:eastAsia="ar-SA"/>
        </w:rPr>
        <w:fldChar w:fldCharType="end"/>
      </w:r>
      <w:r w:rsidR="002E2D1E" w:rsidRPr="3CBB9A12">
        <w:rPr>
          <w:rFonts w:ascii="Times New Roman" w:eastAsia="Times New Roman" w:hAnsi="Times New Roman" w:cstheme="minorBidi"/>
          <w:lang w:eastAsia="ar-SA"/>
        </w:rPr>
        <w:t>. Gen</w:t>
      </w:r>
      <w:r w:rsidR="006F0166" w:rsidRPr="3CBB9A12">
        <w:rPr>
          <w:rFonts w:ascii="Times New Roman" w:eastAsia="Times New Roman" w:hAnsi="Times New Roman" w:cstheme="minorBidi"/>
          <w:lang w:eastAsia="ar-SA"/>
        </w:rPr>
        <w:t>ome</w:t>
      </w:r>
      <w:r w:rsidR="002E2D1E" w:rsidRPr="3CBB9A12">
        <w:rPr>
          <w:rFonts w:ascii="Times New Roman" w:eastAsia="Times New Roman" w:hAnsi="Times New Roman" w:cstheme="minorBidi"/>
          <w:lang w:eastAsia="ar-SA"/>
        </w:rPr>
        <w:t xml:space="preserve"> editing tools are being used at Texas A&amp;M University to create mice that are unable to bear female offspring </w:t>
      </w:r>
      <w:r w:rsidR="0097105B">
        <w:rPr>
          <w:rFonts w:ascii="Times New Roman" w:eastAsia="Times New Roman" w:hAnsi="Times New Roman" w:cstheme="minorBidi"/>
          <w:lang w:eastAsia="ar-SA"/>
        </w:rPr>
        <w:fldChar w:fldCharType="begin" w:fldLock="1"/>
      </w:r>
      <w:r w:rsidR="00FC291B">
        <w:rPr>
          <w:rFonts w:ascii="Times New Roman" w:eastAsia="Times New Roman" w:hAnsi="Times New Roman" w:cstheme="minorBidi"/>
          <w:lang w:eastAsia="ar-SA"/>
        </w:rPr>
        <w:instrText>ADDIN CSL_CITATION {"citationItems":[{"id":"ITEM-1","itemData":{"DOI":"10.1016/j.tree.2016.10.016","ISSN":"01695347","author":[{"dropping-particle":"","family":"Piaggio","given":"Antoinette J.","non-dropping-particle":"","parse-names":false,"suffix":""},{"dropping-particle":"","family":"Segelbacher","given":"Gernot","non-dropping-particle":"","parse-names":false,"suffix":""},{"dropping-particle":"","family":"Seddon","given":"Philip J.","non-dropping-particle":"","parse-names":false,"suffix":""},{"dropping-particle":"","family":"Alphey","given":"Luke","non-dropping-particle":"","parse-names":false,"suffix":""},{"dropping-particle":"","family":"Bennett","given":"Elizabeth L.","non-dropping-particle":"","parse-names":false,"suffix":""},{"dropping-particle":"","family":"Carlson","given":"Robert H.","non-dropping-particle":"","parse-names":false,"suffix":""},{"dropping-particle":"","family":"Friedman","given":"Robert M.","non-dropping-particle":"","parse-names":false,"suffix":""},{"dropping-particle":"","family":"Kanavy","given":"Dona","non-dropping-particle":"","parse-names":false,"suffix":""},{"dropping-particle":"","family":"Phelan","given":"Ryan","non-dropping-particle":"","parse-names":false,"suffix":""},{"dropping-particle":"","family":"Redford","given":"Kent H.","non-dropping-particle":"","parse-names":false,"suffix":""},{"dropping-particle":"","family":"Rosales","given":"Marina","non-dropping-particle":"","parse-names":false,"suffix":""},{"dropping-particle":"","family":"Slobodian","given":"Lydia","non-dropping-particle":"","parse-names":false,"suffix":""},{"dropping-particle":"","family":"Wheeler","given":"Keith","non-dropping-particle":"","parse-names":false,"suffix":""}],"container-title":"Trends in Ecology &amp; Evolution","id":"ITEM-1","issue":"2","issued":{"date-parts":[["2017","2"]]},"page":"97-107","title":"Is It Time for Synthetic Biodiversity Conservation?","type":"article-journal","volume":"32"},"uris":["http://www.mendeley.com/documents/?uuid=41554e3b-8888-4dca-9e0a-ffd1470084ea"]}],"mendeley":{"formattedCitation":"(Piaggio et al., 2017)","plainTextFormattedCitation":"(Piaggio et al., 2017)","previouslyFormattedCitation":"(Piaggio et al., 2017)"},"properties":{"noteIndex":0},"schema":"https://github.com/citation-style-language/schema/raw/master/csl-citation.json"}</w:instrText>
      </w:r>
      <w:r w:rsidR="0097105B">
        <w:rPr>
          <w:rFonts w:ascii="Times New Roman" w:eastAsia="Times New Roman" w:hAnsi="Times New Roman" w:cstheme="minorBidi"/>
          <w:lang w:eastAsia="ar-SA"/>
        </w:rPr>
        <w:fldChar w:fldCharType="separate"/>
      </w:r>
      <w:r w:rsidR="0097105B" w:rsidRPr="0097105B">
        <w:rPr>
          <w:rFonts w:ascii="Times New Roman" w:eastAsia="Times New Roman" w:hAnsi="Times New Roman" w:cstheme="minorBidi"/>
          <w:noProof/>
          <w:lang w:eastAsia="ar-SA"/>
        </w:rPr>
        <w:t>(Piaggio et al., 2017)</w:t>
      </w:r>
      <w:r w:rsidR="0097105B">
        <w:rPr>
          <w:rFonts w:ascii="Times New Roman" w:eastAsia="Times New Roman" w:hAnsi="Times New Roman" w:cstheme="minorBidi"/>
          <w:lang w:eastAsia="ar-SA"/>
        </w:rPr>
        <w:fldChar w:fldCharType="end"/>
      </w:r>
      <w:r w:rsidR="002E2D1E" w:rsidRPr="3CBB9A12">
        <w:rPr>
          <w:rFonts w:ascii="Times New Roman" w:eastAsia="Times New Roman" w:hAnsi="Times New Roman" w:cstheme="minorBidi"/>
          <w:lang w:eastAsia="ar-SA"/>
        </w:rPr>
        <w:t>. More r</w:t>
      </w:r>
      <w:r w:rsidRPr="3CBB9A12">
        <w:rPr>
          <w:rFonts w:ascii="Times New Roman" w:eastAsia="Times New Roman" w:hAnsi="Times New Roman" w:cstheme="minorBidi"/>
          <w:lang w:eastAsia="ar-SA"/>
        </w:rPr>
        <w:t xml:space="preserve">ecently, </w:t>
      </w:r>
      <w:r w:rsidR="004514A9">
        <w:rPr>
          <w:rFonts w:ascii="Times New Roman" w:eastAsia="Times New Roman" w:hAnsi="Times New Roman" w:cstheme="minorBidi"/>
          <w:lang w:eastAsia="ar-SA"/>
        </w:rPr>
        <w:t>an engineered gene drive</w:t>
      </w:r>
      <w:r w:rsidR="002005A8">
        <w:rPr>
          <w:rFonts w:ascii="Times New Roman" w:eastAsia="Times New Roman" w:hAnsi="Times New Roman" w:cstheme="minorBidi"/>
          <w:lang w:eastAsia="ar-SA"/>
        </w:rPr>
        <w:t xml:space="preserve"> based on CRISPR-Cas9</w:t>
      </w:r>
      <w:r w:rsidR="004514A9">
        <w:rPr>
          <w:rFonts w:ascii="Times New Roman" w:eastAsia="Times New Roman" w:hAnsi="Times New Roman" w:cstheme="minorBidi"/>
          <w:lang w:eastAsia="ar-SA"/>
        </w:rPr>
        <w:t xml:space="preserve"> was developed for</w:t>
      </w:r>
      <w:r w:rsidRPr="3CBB9A12">
        <w:rPr>
          <w:rFonts w:ascii="Times New Roman" w:eastAsia="Times New Roman" w:hAnsi="Times New Roman" w:cstheme="minorBidi"/>
          <w:lang w:eastAsia="ar-SA"/>
        </w:rPr>
        <w:t xml:space="preserve"> mice </w:t>
      </w:r>
      <w:r w:rsidRPr="3CBB9A12">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{"citationItems":[{"id":"ITEM-1","itemData":{"DOI":"10.1038/s41586-019-0875-2","ISSN":"1476-4687","abstract":"A gene drive biases the transmission of one of the two copies of a gene such that it is inherited more frequently than by random segregation. Highly efficient gene drive systems have recently been developed in insects, which leverage the sequence-targeted DNA cleavage activity of CRISPR–Cas9 and endogenous homology-directed repair mechanisms to convert heterozygous genotypes to homozygosity1–4. If implemented in laboratory rodents, similar systems would enable the rapid assembly of currently impractical genotypes that involve multiple homozygous genes (for example, to model multigenic human diseases). To our knowledge, however, such a system has not yet been demonstrated in mammals. Here we use an active genetic element that encodes a guide RNA, which is embedded in the mouse tyrosinase (Tyr) gene, to evaluate whether targeted gene conversion can occur when CRISPR–Cas9 is active in the early embryo or in the developing germline. Although Cas9 efficiently induces double-stranded DNA breaks in the early embryo and male germline, these breaks are not corrected by homology-directed repair. By contrast, Cas9 expression limited to the female germline induces double-stranded breaks that are corrected by homology-directed repair, which copies the active genetic element from the donor to the receiver chromosome and increases its rate of inheritance in the next generation. These results demonstrate the feasibility of CRISPR–Cas9-mediated systems that bias inheritance of desired alleles in mice and that have the potential to transform the use of rodent models in basic and biomedical research.","author":[{"dropping-particle":"","family":"Grunwald","given":"Hannah A","non-dropping-particle":"","parse-names":false,"suffix":""},{"dropping-particle":"","family":"Gantz","given":"Valentino M","non-dropping-particle":"","parse-names":false,"suffix":""},{"dropping-particle":"","family":"Poplawski","given":"Gunnar","non-dropping-particle":"","parse-names":false,"suffix":""},{"dropping-particle":"","family":"Xu","given":"Xiang-Ru S","non-dropping-particle":"","parse-names":false,"suffix":""},{"dropping-particle":"","family":"Bier","given":"Ethan","non-dropping-particle":"","parse-names":false,"suffix":""},{"dropping-particle":"","family":"Cooper","given":"Kimberly L","non-dropping-particle":"","parse-names":false,"suffix":""}],"container-title":"Nature","id":"ITEM-1","issue":"7742","issued":{"date-parts":[["2019"]]},"page":"105-109","title":"Super-Mendelian inheritance mediated by CRISPR–Cas9 in the female mouse germline","type":"article-journal","volume":"566"},"uris":["http://www.mendeley.com/documents/?uuid=cc78f7f7-0630-4fb5-9ce3-5802e003a481"]}],"mendeley":{"formattedCitation":"(Grunwald et al., 2019)","plainTextFormattedCitation":"(Grunwald et al., 2019)","previouslyFormattedCitation":"(Grunwald et al., 2019)"},"properties":{"noteIndex":0},"schema":"https://github.com/citation-style-language/schema/raw/master/csl-citation.json"}</w:instrText>
      </w:r>
      <w:r w:rsidRPr="3CBB9A12">
        <w:rPr>
          <w:rFonts w:ascii="Times New Roman" w:eastAsia="Times New Roman" w:hAnsi="Times New Roman" w:cstheme="minorBidi"/>
          <w:lang w:eastAsia="ar-SA"/>
        </w:rPr>
        <w:fldChar w:fldCharType="separate"/>
      </w:r>
      <w:r w:rsidRPr="3CBB9A12">
        <w:rPr>
          <w:rFonts w:ascii="Times New Roman" w:eastAsia="Times New Roman" w:hAnsi="Times New Roman" w:cstheme="minorBidi"/>
          <w:noProof/>
          <w:lang w:eastAsia="ar-SA"/>
        </w:rPr>
        <w:t>(Grunwald et al., 2019)</w:t>
      </w:r>
      <w:r w:rsidRPr="3CBB9A12">
        <w:rPr>
          <w:rFonts w:ascii="Times New Roman" w:eastAsia="Times New Roman" w:hAnsi="Times New Roman" w:cstheme="minorBidi"/>
          <w:lang w:eastAsia="ar-SA"/>
        </w:rPr>
        <w:fldChar w:fldCharType="end"/>
      </w:r>
      <w:r w:rsidRPr="3CBB9A12">
        <w:rPr>
          <w:rFonts w:ascii="Times New Roman" w:eastAsia="Times New Roman" w:hAnsi="Times New Roman" w:cstheme="minorBidi"/>
          <w:lang w:eastAsia="ar-SA"/>
        </w:rPr>
        <w:t>.</w:t>
      </w:r>
    </w:p>
    <w:p w14:paraId="4A03D546" w14:textId="64F6337D" w:rsidR="00054C86" w:rsidRPr="00054C86" w:rsidRDefault="00277DE2" w:rsidP="00054C86">
      <w:pPr>
        <w:suppressAutoHyphens/>
        <w:autoSpaceDE w:val="0"/>
        <w:spacing w:before="240" w:after="120" w:line="240" w:lineRule="auto"/>
        <w:contextualSpacing/>
        <w:jc w:val="both"/>
        <w:rPr>
          <w:rFonts w:ascii="Times New Roman" w:eastAsia="Times New Roman" w:hAnsi="Times New Roman" w:cstheme="minorBidi"/>
          <w:lang w:eastAsia="ar-SA"/>
        </w:rPr>
      </w:pPr>
      <w:r>
        <w:rPr>
          <w:rFonts w:ascii="Times New Roman" w:eastAsia="Times New Roman" w:hAnsi="Times New Roman" w:cstheme="minorBidi"/>
          <w:lang w:eastAsia="ar-SA"/>
        </w:rPr>
        <w:t>Likewise</w:t>
      </w:r>
      <w:r w:rsidR="00054C86" w:rsidRPr="00054C86">
        <w:rPr>
          <w:rFonts w:ascii="Times New Roman" w:eastAsia="Times New Roman" w:hAnsi="Times New Roman" w:cstheme="minorBidi"/>
          <w:lang w:eastAsia="ar-SA"/>
        </w:rPr>
        <w:t xml:space="preserve">, an ecological engineering project </w:t>
      </w:r>
      <w:r w:rsidRPr="00054C86">
        <w:rPr>
          <w:rFonts w:ascii="Times New Roman" w:eastAsia="Times New Roman" w:hAnsi="Times New Roman" w:cstheme="minorBidi"/>
          <w:lang w:eastAsia="ar-SA"/>
        </w:rPr>
        <w:t xml:space="preserve">is currently underway </w:t>
      </w:r>
      <w:r w:rsidR="00054C86" w:rsidRPr="00054C86">
        <w:rPr>
          <w:rFonts w:ascii="Times New Roman" w:eastAsia="Times New Roman" w:hAnsi="Times New Roman" w:cstheme="minorBidi"/>
          <w:lang w:eastAsia="ar-SA"/>
        </w:rPr>
        <w:t xml:space="preserve">that aims to prevent </w:t>
      </w:r>
      <w:r>
        <w:rPr>
          <w:rFonts w:ascii="Times New Roman" w:eastAsia="Times New Roman" w:hAnsi="Times New Roman" w:cstheme="minorBidi"/>
          <w:lang w:eastAsia="ar-SA"/>
        </w:rPr>
        <w:t xml:space="preserve">the spread of </w:t>
      </w:r>
      <w:r w:rsidR="00054C86" w:rsidRPr="00054C86">
        <w:rPr>
          <w:rFonts w:ascii="Times New Roman" w:eastAsia="Times New Roman" w:hAnsi="Times New Roman" w:cstheme="minorBidi"/>
          <w:lang w:eastAsia="ar-SA"/>
        </w:rPr>
        <w:t>tick-borne Lyme disease by using CRISPR-based genome editing to heritably immunise white-footed mice (</w:t>
      </w:r>
      <w:r w:rsidR="00054C86" w:rsidRPr="00054C86">
        <w:rPr>
          <w:rFonts w:ascii="Times New Roman" w:eastAsia="Times New Roman" w:hAnsi="Times New Roman" w:cstheme="minorBidi"/>
          <w:i/>
          <w:lang w:eastAsia="ar-SA"/>
        </w:rPr>
        <w:t>Peromyscus leucopus</w:t>
      </w:r>
      <w:r w:rsidR="00054C86" w:rsidRPr="00054C86">
        <w:rPr>
          <w:rFonts w:ascii="Times New Roman" w:eastAsia="Times New Roman" w:hAnsi="Times New Roman" w:cstheme="minorBidi"/>
          <w:lang w:eastAsia="ar-SA"/>
        </w:rPr>
        <w:t>)</w:t>
      </w:r>
      <w:r>
        <w:rPr>
          <w:rFonts w:ascii="Times New Roman" w:eastAsia="Times New Roman" w:hAnsi="Times New Roman" w:cstheme="minorBidi"/>
          <w:lang w:eastAsia="ar-SA"/>
        </w:rPr>
        <w:t xml:space="preserve">, the </w:t>
      </w:r>
      <w:r w:rsidR="002D3FB2">
        <w:rPr>
          <w:rFonts w:ascii="Times New Roman" w:eastAsia="Times New Roman" w:hAnsi="Times New Roman" w:cstheme="minorBidi"/>
          <w:lang w:eastAsia="ar-SA"/>
        </w:rPr>
        <w:t xml:space="preserve">principal </w:t>
      </w:r>
      <w:r>
        <w:rPr>
          <w:rFonts w:ascii="Times New Roman" w:eastAsia="Times New Roman" w:hAnsi="Times New Roman" w:cstheme="minorBidi"/>
          <w:lang w:eastAsia="ar-SA"/>
        </w:rPr>
        <w:t>host</w:t>
      </w:r>
      <w:r w:rsidR="00054C86" w:rsidRPr="00054C86">
        <w:rPr>
          <w:rFonts w:ascii="Times New Roman" w:eastAsia="Times New Roman" w:hAnsi="Times New Roman" w:cstheme="minorBidi"/>
          <w:lang w:eastAsia="ar-SA"/>
        </w:rPr>
        <w:t xml:space="preserve"> responsible for infecting ticks in eastern North America </w:t>
      </w:r>
      <w:r w:rsidR="00054C86" w:rsidRPr="00054C86">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{"citationItems":[{"id":"ITEM-1","itemData":{"DOI":"10.1098/rstb.2018.0105","ISSN":"0962-8436","author":[{"dropping-particle":"","family":"Buchthal","given":"Joanna","non-dropping-particle":"","parse-names":false,"suffix":""},{"dropping-particle":"","family":"Evans","given":"Sam Weiss","non-dropping-particle":"","parse-names":false,"suffix":""},{"dropping-particle":"","family":"Lunshof","given":"Jeantine","non-dropping-particle":"","parse-names":false,"suffix":""},{"dropping-particle":"","family":"Telford","given":"Sam R.","non-dropping-particle":"","parse-names":false,"suffix":""},{"dropping-particle":"","family":"Esvelt","given":"Kevin M.","non-dropping-particle":"","parse-names":false,"suffix":""}],"container-title":"Philosophical Transactions of the Royal Society B: Biological Sciences","id":"ITEM-1","issue":"1772","issued":{"date-parts":[["2019","5","13"]]},"page":"20180105","title":"Mice Against Ticks: an experimental community-guided effort to prevent tick-borne disease by altering the shared environment","type":"article-journal","volume":"374"},"uris":["http://www.mendeley.com/documents/?uuid=2b9b77b7-a794-4534-ba3b-80f9f5c2c666"]}],"mendeley":{"formattedCitation":"(Buchthal et al., 2019)","plainTextFormattedCitation":"(Buchthal et al., 2019)","previouslyFormattedCitation":"(Buchthal et al., 2019)"},"properties":{"noteIndex":0},"schema":"https://github.com/citation-style-language/schema/raw/master/csl-citation.json"}</w:instrText>
      </w:r>
      <w:r w:rsidR="00054C86" w:rsidRPr="00054C86">
        <w:rPr>
          <w:rFonts w:ascii="Times New Roman" w:eastAsia="Times New Roman" w:hAnsi="Times New Roman" w:cstheme="minorBidi"/>
          <w:lang w:eastAsia="ar-SA"/>
        </w:rPr>
        <w:fldChar w:fldCharType="separate"/>
      </w:r>
      <w:r w:rsidR="00054C86" w:rsidRPr="00054C86">
        <w:rPr>
          <w:rFonts w:ascii="Times New Roman" w:eastAsia="Times New Roman" w:hAnsi="Times New Roman" w:cstheme="minorBidi"/>
          <w:noProof/>
          <w:lang w:eastAsia="ar-SA"/>
        </w:rPr>
        <w:t>(Buchthal et al., 2019)</w:t>
      </w:r>
      <w:r w:rsidR="00054C86" w:rsidRPr="00054C86">
        <w:rPr>
          <w:rFonts w:ascii="Times New Roman" w:eastAsia="Times New Roman" w:hAnsi="Times New Roman" w:cstheme="minorBidi"/>
          <w:lang w:eastAsia="ar-SA"/>
        </w:rPr>
        <w:fldChar w:fldCharType="end"/>
      </w:r>
      <w:r w:rsidR="00054C86" w:rsidRPr="00054C86">
        <w:rPr>
          <w:rFonts w:ascii="Times New Roman" w:eastAsia="Times New Roman" w:hAnsi="Times New Roman" w:cstheme="minorBidi"/>
          <w:lang w:eastAsia="ar-SA"/>
        </w:rPr>
        <w:t xml:space="preserve">. This approach is not based on </w:t>
      </w:r>
      <w:r w:rsidR="001D6467">
        <w:rPr>
          <w:rFonts w:ascii="Times New Roman" w:eastAsia="Times New Roman" w:hAnsi="Times New Roman" w:cstheme="minorBidi"/>
          <w:lang w:eastAsia="ar-SA"/>
        </w:rPr>
        <w:t>engineered</w:t>
      </w:r>
      <w:r w:rsidR="00054C86" w:rsidRPr="00054C86">
        <w:rPr>
          <w:rFonts w:ascii="Times New Roman" w:eastAsia="Times New Roman" w:hAnsi="Times New Roman" w:cstheme="minorBidi"/>
          <w:lang w:eastAsia="ar-SA"/>
        </w:rPr>
        <w:t xml:space="preserve"> gene drives, but on normal heritance of a CRISPR-based modification.</w:t>
      </w:r>
    </w:p>
    <w:p w14:paraId="44C20C1E" w14:textId="136C122B" w:rsidR="00054C86" w:rsidRPr="00A2761B" w:rsidRDefault="00997637" w:rsidP="00A2761B">
      <w:pPr>
        <w:pStyle w:val="Heading5"/>
        <w:tabs>
          <w:tab w:val="clear" w:pos="1800"/>
        </w:tabs>
        <w:ind w:left="284" w:hanging="284"/>
        <w:rPr>
          <w:rFonts w:cstheme="minorBidi"/>
          <w:lang w:val="en-GB"/>
        </w:rPr>
      </w:pPr>
      <w:r>
        <w:rPr>
          <w:i w:val="0"/>
          <w:iCs/>
        </w:rPr>
        <w:t xml:space="preserve">(c) </w:t>
      </w:r>
      <w:r w:rsidR="00054C86" w:rsidRPr="00054C86">
        <w:t>Improving the resilience of wild animal and plant populations.</w:t>
      </w:r>
      <w:r w:rsidR="00FC291B">
        <w:t xml:space="preserve"> </w:t>
      </w:r>
    </w:p>
    <w:p w14:paraId="39472B1B" w14:textId="5596BC9E" w:rsidR="00054C86" w:rsidRPr="00054C86" w:rsidRDefault="00054C86" w:rsidP="00AD336C">
      <w:pPr>
        <w:suppressAutoHyphens/>
        <w:autoSpaceDE w:val="0"/>
        <w:spacing w:before="120" w:after="120" w:line="240" w:lineRule="auto"/>
        <w:jc w:val="both"/>
        <w:rPr>
          <w:rFonts w:ascii="Times New Roman" w:eastAsia="Times New Roman" w:hAnsi="Times New Roman" w:cstheme="minorBidi"/>
          <w:lang w:eastAsia="ar-SA"/>
        </w:rPr>
      </w:pPr>
      <w:r w:rsidRPr="00054C86">
        <w:rPr>
          <w:rFonts w:ascii="Times New Roman" w:eastAsia="Times New Roman" w:hAnsi="Times New Roman" w:cstheme="minorBidi"/>
          <w:lang w:eastAsia="ar-SA"/>
        </w:rPr>
        <w:t xml:space="preserve">Synthetic biology is currently being applied to conservation </w:t>
      </w:r>
      <w:r w:rsidR="00FC291B">
        <w:rPr>
          <w:rFonts w:ascii="Times New Roman" w:eastAsia="Times New Roman" w:hAnsi="Times New Roman" w:cstheme="minorBidi"/>
          <w:lang w:eastAsia="ar-SA"/>
        </w:rPr>
        <w:fldChar w:fldCharType="begin" w:fldLock="1"/>
      </w:r>
      <w:r w:rsidR="00FC291B">
        <w:rPr>
          <w:rFonts w:ascii="Times New Roman" w:eastAsia="Times New Roman" w:hAnsi="Times New Roman" w:cstheme="minorBidi"/>
          <w:lang w:eastAsia="ar-SA"/>
        </w:rPr>
        <w:instrText>ADDIN CSL_CITATION {"citationItems":[{"id":"ITEM-1","itemData":{"DOI":"10.1016/j.tree.2016.10.016","ISSN":"01695347","author":[{"dropping-particle":"","family":"Piaggio","given":"Antoinette J.","non-dropping-particle":"","parse-names":false,"suffix":""},{"dropping-particle":"","family":"Segelbacher","given":"Gernot","non-dropping-particle":"","parse-names":false,"suffix":""},{"dropping-particle":"","family":"Seddon","given":"Philip J.","non-dropping-particle":"","parse-names":false,"suffix":""},{"dropping-particle":"","family":"Alphey","given":"Luke","non-dropping-particle":"","parse-names":false,"suffix":""},{"dropping-particle":"","family":"Bennett","given":"Elizabeth L.","non-dropping-particle":"","parse-names":false,"suffix":""},{"dropping-particle":"","family":"Carlson","given":"Robert H.","non-dropping-particle":"","parse-names":false,"suffix":""},{"dropping-particle":"","family":"Friedman","given":"Robert M.","non-dropping-particle":"","parse-names":false,"suffix":""},{"dropping-particle":"","family":"Kanavy","given":"Dona","non-dropping-particle":"","parse-names":false,"suffix":""},{"dropping-particle":"","family":"Phelan","given":"Ryan","non-dropping-particle":"","parse-names":false,"suffix":""},{"dropping-particle":"","family":"Redford","given":"Kent H.","non-dropping-particle":"","parse-names":false,"suffix":""},{"dropping-particle":"","family":"Rosales","given":"Marina","non-dropping-particle":"","parse-names":false,"suffix":""},{"dropping-particle":"","family":"Slobodian","given":"Lydia","non-dropping-particle":"","parse-names":false,"suffix":""},{"dropping-particle":"","family":"Wheeler","given":"Keith","non-dropping-particle":"","parse-names":false,"suffix":""}],"container-title":"Trends in Ecology &amp; Evolution","id":"ITEM-1","issue":"2","issued":{"date-parts":[["2017","2"]]},"page":"97-107","title":"Is It Time for Synthetic Biodiversity Conservation?","type":"article-journal","volume":"32"},"uris":["http://www.mendeley.com/documents/?uuid=41554e3b-8888-4dca-9e0a-ffd1470084ea"]}],"mendeley":{"formattedCitation":"(Piaggio et al., 2017)","plainTextFormattedCitation":"(Piaggio et al., 2017)","previouslyFormattedCitation":"(Piaggio et al., 2017)"},"properties":{"noteIndex":0},"schema":"https://github.com/citation-style-language/schema/raw/master/csl-citation.json"}</w:instrText>
      </w:r>
      <w:r w:rsidR="00FC291B">
        <w:rPr>
          <w:rFonts w:ascii="Times New Roman" w:eastAsia="Times New Roman" w:hAnsi="Times New Roman" w:cstheme="minorBidi"/>
          <w:lang w:eastAsia="ar-SA"/>
        </w:rPr>
        <w:fldChar w:fldCharType="separate"/>
      </w:r>
      <w:r w:rsidR="00FC291B" w:rsidRPr="0097105B">
        <w:rPr>
          <w:rFonts w:ascii="Times New Roman" w:eastAsia="Times New Roman" w:hAnsi="Times New Roman" w:cstheme="minorBidi"/>
          <w:noProof/>
          <w:lang w:eastAsia="ar-SA"/>
        </w:rPr>
        <w:t>(Piaggio et al., 2017)</w:t>
      </w:r>
      <w:r w:rsidR="00FC291B">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w:t>
      </w:r>
      <w:r w:rsidR="003B60C2">
        <w:rPr>
          <w:rFonts w:ascii="Times New Roman" w:eastAsia="Times New Roman" w:hAnsi="Times New Roman" w:cstheme="minorBidi"/>
          <w:lang w:eastAsia="ar-SA"/>
        </w:rPr>
        <w:t>In</w:t>
      </w:r>
      <w:r w:rsidRPr="00054C86">
        <w:rPr>
          <w:rFonts w:ascii="Times New Roman" w:eastAsia="Times New Roman" w:hAnsi="Times New Roman" w:cstheme="minorBidi"/>
          <w:lang w:eastAsia="ar-SA"/>
        </w:rPr>
        <w:t xml:space="preserve"> ocean ecosystems, for instance, novel genetic rescue tools have been reported </w:t>
      </w:r>
      <w:r w:rsidR="00FC291B">
        <w:rPr>
          <w:rFonts w:ascii="Times New Roman" w:eastAsia="Times New Roman" w:hAnsi="Times New Roman" w:cstheme="minorBidi"/>
          <w:lang w:eastAsia="ar-SA"/>
        </w:rPr>
        <w:fldChar w:fldCharType="begin" w:fldLock="1"/>
      </w:r>
      <w:r w:rsidR="001C5281">
        <w:rPr>
          <w:rFonts w:ascii="Times New Roman" w:eastAsia="Times New Roman" w:hAnsi="Times New Roman" w:cstheme="minorBidi"/>
          <w:lang w:eastAsia="ar-SA"/>
        </w:rPr>
        <w:instrText>ADDIN CSL_CITATION {"citationItems":[{"id":"ITEM-1","itemData":{"DOI":"10.3390/genes11020209","ISSN":"20734425","PMID":"32085502","abstract":"Although oceans provide critical ecosystem services and support the most abundant populations on earth, the extent of damage impacting oceans and the diversity of strategies to protect them is disconcertingly, and disproportionately, understudied. While conventional modes of conservation have made strides in mitigating impacts of human activities on ocean ecosystems, those strategies alone cannot completely stem the tide of mounting threats. Biotechnology and genomic research should be harnessed and developed within conservation frameworks to foster the persistence of viable ocean ecosystems. This document distills the results of a targeted survey, the Ocean Genomics Horizon Scan, which assessed opportunities to bring novel genetic rescue tools to marine conservation. From this Horizon Scan, we have identified how novel approaches from synthetic biology and genomics can alleviate major marine threats. While ethical frameworks for biotechnological interventions are necessary for effective and responsible practice, here we primarily assessed technological and social factors directly affecting technical development and deployment of biotechnology interventions for marine conservation. Genetic insight can greatly enhance established conservation methods, but the severity of many threats may demand genomic intervention. While intervention is controversial, for many marine areas the cost of inaction is too high to allow controversy to be a barrier to conserving viable ecosystems. Here, we offer a set of recommendations for engagement and program development to deploy genetic rescue safely and responsibly.","author":[{"dropping-particle":"","family":"Novak","given":"Ben J","non-dropping-particle":"","parse-names":false,"suffix":""},{"dropping-particle":"","family":"Fraser","given":"Devaughn","non-dropping-particle":"","parse-names":false,"suffix":""},{"dropping-particle":"","family":"Maloney","given":"Thomas H","non-dropping-particle":"","parse-names":false,"suffix":""}],"container-title":"Genes","id":"ITEM-1","issue":"2","issued":{"date-parts":[["2020","2"]]},"publisher":"MDPI AG","title":"Transforming ocean conservation: Applying the genetic rescue toolkit","type":"article","volume":"11"},"uris":["http://www.mendeley.com/documents/?uuid=cdef7f32-f824-4b79-a421-876efd030670"]}],"mendeley":{"formattedCitation":"(B. J. Novak et al., 2020)","plainTextFormattedCitation":"(B. J. Novak et al., 2020)","previouslyFormattedCitation":"(B. J. Novak et al., 2020)"},"properties":{"noteIndex":0},"schema":"https://github.com/citation-style-language/schema/raw/master/csl-citation.json"}</w:instrText>
      </w:r>
      <w:r w:rsidR="00FC291B">
        <w:rPr>
          <w:rFonts w:ascii="Times New Roman" w:eastAsia="Times New Roman" w:hAnsi="Times New Roman" w:cstheme="minorBidi"/>
          <w:lang w:eastAsia="ar-SA"/>
        </w:rPr>
        <w:fldChar w:fldCharType="separate"/>
      </w:r>
      <w:r w:rsidR="00117CE0" w:rsidRPr="00117CE0">
        <w:rPr>
          <w:rFonts w:ascii="Times New Roman" w:eastAsia="Times New Roman" w:hAnsi="Times New Roman" w:cstheme="minorBidi"/>
          <w:noProof/>
          <w:lang w:eastAsia="ar-SA"/>
        </w:rPr>
        <w:t>(B. J. Novak et al., 2020)</w:t>
      </w:r>
      <w:r w:rsidR="00FC291B">
        <w:rPr>
          <w:rFonts w:ascii="Times New Roman" w:eastAsia="Times New Roman" w:hAnsi="Times New Roman" w:cstheme="minorBidi"/>
          <w:lang w:eastAsia="ar-SA"/>
        </w:rPr>
        <w:fldChar w:fldCharType="end"/>
      </w:r>
      <w:r w:rsidR="005A6EC2">
        <w:rPr>
          <w:rFonts w:ascii="Times New Roman" w:eastAsia="Times New Roman" w:hAnsi="Times New Roman" w:cstheme="minorBidi"/>
          <w:lang w:eastAsia="ar-SA"/>
        </w:rPr>
        <w:t xml:space="preserve">, especially </w:t>
      </w:r>
      <w:r w:rsidR="00644A99">
        <w:rPr>
          <w:rFonts w:ascii="Times New Roman" w:eastAsia="Times New Roman" w:hAnsi="Times New Roman" w:cstheme="minorBidi"/>
          <w:lang w:eastAsia="ar-SA"/>
        </w:rPr>
        <w:t>for</w:t>
      </w:r>
      <w:r w:rsidRPr="00054C86">
        <w:rPr>
          <w:rFonts w:ascii="Times New Roman" w:eastAsia="Times New Roman" w:hAnsi="Times New Roman" w:cstheme="minorBidi"/>
          <w:lang w:eastAsia="ar-SA"/>
        </w:rPr>
        <w:t xml:space="preserve"> </w:t>
      </w:r>
      <w:r w:rsidR="00644A99">
        <w:rPr>
          <w:rFonts w:ascii="Times New Roman" w:eastAsia="Times New Roman" w:hAnsi="Times New Roman" w:cstheme="minorBidi"/>
          <w:lang w:eastAsia="ar-SA"/>
        </w:rPr>
        <w:t>c</w:t>
      </w:r>
      <w:r w:rsidRPr="00054C86">
        <w:rPr>
          <w:rFonts w:ascii="Times New Roman" w:eastAsia="Times New Roman" w:hAnsi="Times New Roman" w:cstheme="minorBidi"/>
          <w:lang w:eastAsia="ar-SA"/>
        </w:rPr>
        <w:t>orals and kelp. The first genome</w:t>
      </w:r>
      <w:r w:rsidR="00B47D4A">
        <w:rPr>
          <w:rFonts w:ascii="Times New Roman" w:eastAsia="Times New Roman" w:hAnsi="Times New Roman" w:cstheme="minorBidi"/>
          <w:lang w:eastAsia="ar-SA"/>
        </w:rPr>
        <w:t>-</w:t>
      </w:r>
      <w:r w:rsidRPr="00054C86">
        <w:rPr>
          <w:rFonts w:ascii="Times New Roman" w:eastAsia="Times New Roman" w:hAnsi="Times New Roman" w:cstheme="minorBidi"/>
          <w:lang w:eastAsia="ar-SA"/>
        </w:rPr>
        <w:t xml:space="preserve">edited coral </w:t>
      </w:r>
      <w:r w:rsidR="00375BB4">
        <w:rPr>
          <w:rFonts w:ascii="Times New Roman" w:eastAsia="Times New Roman" w:hAnsi="Times New Roman" w:cstheme="minorBidi"/>
          <w:lang w:eastAsia="ar-SA"/>
        </w:rPr>
        <w:t>(</w:t>
      </w:r>
      <w:r w:rsidRPr="00054C86">
        <w:rPr>
          <w:rFonts w:ascii="Times New Roman" w:eastAsia="Times New Roman" w:hAnsi="Times New Roman" w:cstheme="minorBidi"/>
          <w:lang w:eastAsia="ar-SA"/>
        </w:rPr>
        <w:t>Cleves et al.</w:t>
      </w:r>
      <w:r w:rsidR="00375BB4">
        <w:rPr>
          <w:rFonts w:ascii="Times New Roman" w:eastAsia="Times New Roman" w:hAnsi="Times New Roman" w:cstheme="minorBidi"/>
          <w:lang w:eastAsia="ar-SA"/>
        </w:rPr>
        <w:t>,</w:t>
      </w:r>
      <w:r w:rsidRPr="00054C86">
        <w:rPr>
          <w:rFonts w:ascii="Times New Roman" w:eastAsia="Times New Roman" w:hAnsi="Times New Roman" w:cstheme="minorBidi"/>
          <w:lang w:eastAsia="ar-SA"/>
        </w:rPr>
        <w:t xml:space="preserve"> </w:t>
      </w:r>
      <w:r w:rsidRPr="00054C86">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{"citationItems":[{"id":"ITEM-1","itemData":{"DOI":"10.1073/pnas.1722151115","ISSN":"0027-8424","author":[{"dropping-particle":"","family":"Cleves","given":"Phillip A.","non-dropping-particle":"","parse-names":false,"suffix":""},{"dropping-particle":"","family":"Strader","given":"Marie E.","non-dropping-particle":"","parse-names":false,"suffix":""},{"dropping-particle":"","family":"Bay","given":"Line K.","non-dropping-particle":"","parse-names":false,"suffix":""},{"dropping-particle":"","family":"Pringle","given":"John R.","non-dropping-particle":"","parse-names":false,"suffix":""},{"dropping-particle":"V.","family":"Matz","given":"Mikhail","non-dropping-particle":"","parse-names":false,"suffix":""}],"container-title":"Proceedings of the National Academy of Sciences","id":"ITEM-1","issue":"20","issued":{"date-parts":[["2018","5","15"]]},"page":"5235-5240","title":"CRISPR/Cas9-mediated genome editing in a reef-building coral","type":"article-journal","volume":"115"},"uris":["http://www.mendeley.com/documents/?uuid=d1f5de66-451c-42b1-adb6-dd419ced537f"]}],"mendeley":{"formattedCitation":"(Cleves et al., 2018)","manualFormatting":"2018)","plainTextFormattedCitation":"(Cleves et al., 2018)","previouslyFormattedCitation":"(Cleves et al., 2018)"},"properties":{"noteIndex":0},"schema":"https://github.com/citation-style-language/schema/raw/master/csl-citation.json"}</w:instrText>
      </w:r>
      <w:r w:rsidRPr="00054C86">
        <w:rPr>
          <w:rFonts w:ascii="Times New Roman" w:eastAsia="Times New Roman" w:hAnsi="Times New Roman" w:cstheme="minorBidi"/>
          <w:lang w:eastAsia="ar-SA"/>
        </w:rPr>
        <w:fldChar w:fldCharType="separate"/>
      </w:r>
      <w:r w:rsidRPr="00054C86">
        <w:rPr>
          <w:rFonts w:ascii="Times New Roman" w:eastAsia="Times New Roman" w:hAnsi="Times New Roman" w:cstheme="minorBidi"/>
          <w:noProof/>
          <w:lang w:eastAsia="ar-SA"/>
        </w:rPr>
        <w:t>2018)</w:t>
      </w:r>
      <w:r w:rsidRPr="00054C86">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has led to the idea of </w:t>
      </w:r>
      <w:r w:rsidR="000C0AE7">
        <w:rPr>
          <w:rFonts w:ascii="Times New Roman" w:eastAsia="Times New Roman" w:hAnsi="Times New Roman" w:cstheme="minorBidi"/>
          <w:lang w:eastAsia="ar-SA"/>
        </w:rPr>
        <w:t xml:space="preserve">using </w:t>
      </w:r>
      <w:r w:rsidRPr="00054C86">
        <w:rPr>
          <w:rFonts w:ascii="Times New Roman" w:eastAsia="Times New Roman" w:hAnsi="Times New Roman" w:cstheme="minorBidi"/>
          <w:lang w:eastAsia="ar-SA"/>
        </w:rPr>
        <w:t xml:space="preserve">genetic modification to increase the resilience of threatened species against anthropogenic climate change. Using CRISPR-Cas9 to induce mutations, Cleves et al. </w:t>
      </w:r>
      <w:r w:rsidR="00FC291B">
        <w:rPr>
          <w:rFonts w:ascii="Times New Roman" w:eastAsia="Times New Roman" w:hAnsi="Times New Roman" w:cstheme="minorBidi"/>
          <w:lang w:eastAsia="ar-SA"/>
        </w:rPr>
        <w:fldChar w:fldCharType="begin" w:fldLock="1"/>
      </w:r>
      <w:r w:rsidR="00FC291B">
        <w:rPr>
          <w:rFonts w:ascii="Times New Roman" w:eastAsia="Times New Roman" w:hAnsi="Times New Roman" w:cstheme="minorBidi"/>
          <w:lang w:eastAsia="ar-SA"/>
        </w:rPr>
        <w:instrText>ADDIN CSL_CITATION {"citationItems":[{"id":"ITEM-1","itemData":{"DOI":"10.1073/pnas.1920779117","ISSN":"10916490","PMID":"33168726","abstract":"Reef-building corals are keystone species that are threatened by anthropogenic stresses including climate change. To investigate corals' responses to stress and other aspects of their biology, numerous genomic and transcriptomic studies have been performed, generating many hypotheses about the roles of particular genes and molecular pathways. However, it has not generally been possible to test these hypotheses rigorously because of the lack of genetic tools for corals or closely related cnidarians. CRISPR technology seems likely to alleviate this problem. Indeed, we show here that microinjection of single-guide RNA/Cas9 ribonucleoprotein complexes into fertilized eggs of the coral Acropora millepora can produce a sufficiently high frequency of mutations to detect a clear phenotype in the injected generation. Based in part on experiments in a sea-anemone model system, we targeted the gene encoding Heat Shock Transcription Factor 1 (HSF1) and obtained larvae in which &gt;90% of the gene copies were mutant. The mutant larvae survived well at 27 °C but died rapidly at 34 °C, a temperature that did not produce detectable mortality over the duration of the experiment in wild-type (WT) larvae or larvae injected with Cas9 alone. We conclude that HSF1 function (presumably its induction of genes in response to heat stress) plays an important protective role in corals. More broadly, we conclude that CRISPR mutagenesis in corals should allow wide-ranging and rigorous tests of gene function in both larval and adult corals.","author":[{"dropping-particle":"","family":"Cleves","given":"Phillip A","non-dropping-particle":"","parse-names":false,"suffix":""},{"dropping-particle":"","family":"Tinoco","given":"Amanda I","non-dropping-particle":"","parse-names":false,"suffix":""},{"dropping-particle":"","family":"Bradford","given":"Jacob","non-dropping-particle":"","parse-names":false,"suffix":""},{"dropping-particle":"","family":"Perrin","given":"Dimitri","non-dropping-particle":"","parse-names":false,"suffix":""},{"dropping-particle":"","family":"Bay","given":"Line K","non-dropping-particle":"","parse-names":false,"suffix":""},{"dropping-particle":"","family":"Pringle","given":"John R","non-dropping-particle":"","parse-names":false,"suffix":""}],"container-title":"Proceedings of the National Academy of Sciences of the United States of America","id":"ITEM-1","issue":"46","issued":{"date-parts":[["2020","11"]]},"page":"28899-28905","publisher":"National Academy of Sciences","title":"Reduced thermal tolerance in a coral carrying CRISPR-induced mutations in the gene for a heat-shock transcription factor","type":"article-journal","volume":"117"},"uris":["http://www.mendeley.com/documents/?uuid=15d19399-2340-4ad2-a54b-2c64e71bbdfa"]}],"mendeley":{"formattedCitation":"(Cleves et al., 2020)","manualFormatting":"(2020)","plainTextFormattedCitation":"(Cleves et al., 2020)","previouslyFormattedCitation":"(Cleves et al., 2020)"},"properties":{"noteIndex":0},"schema":"https://github.com/citation-style-language/schema/raw/master/csl-citation.json"}</w:instrText>
      </w:r>
      <w:r w:rsidR="00FC291B">
        <w:rPr>
          <w:rFonts w:ascii="Times New Roman" w:eastAsia="Times New Roman" w:hAnsi="Times New Roman" w:cstheme="minorBidi"/>
          <w:lang w:eastAsia="ar-SA"/>
        </w:rPr>
        <w:fldChar w:fldCharType="separate"/>
      </w:r>
      <w:r w:rsidR="00FC291B" w:rsidRPr="00FC291B">
        <w:rPr>
          <w:rFonts w:ascii="Times New Roman" w:eastAsia="Times New Roman" w:hAnsi="Times New Roman" w:cstheme="minorBidi"/>
          <w:noProof/>
          <w:lang w:eastAsia="ar-SA"/>
        </w:rPr>
        <w:t>(2020)</w:t>
      </w:r>
      <w:r w:rsidR="00FC291B">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have recently gained insights into</w:t>
      </w:r>
      <w:r w:rsidR="00D02E98">
        <w:rPr>
          <w:rFonts w:ascii="Times New Roman" w:eastAsia="Times New Roman" w:hAnsi="Times New Roman" w:cstheme="minorBidi"/>
          <w:lang w:eastAsia="ar-SA"/>
        </w:rPr>
        <w:t xml:space="preserve"> the</w:t>
      </w:r>
      <w:r w:rsidRPr="00054C86">
        <w:rPr>
          <w:rFonts w:ascii="Times New Roman" w:eastAsia="Times New Roman" w:hAnsi="Times New Roman" w:cstheme="minorBidi"/>
          <w:lang w:eastAsia="ar-SA"/>
        </w:rPr>
        <w:t xml:space="preserve"> heat-tolerance </w:t>
      </w:r>
      <w:r w:rsidR="00D02E98">
        <w:rPr>
          <w:rFonts w:ascii="Times New Roman" w:eastAsia="Times New Roman" w:hAnsi="Times New Roman" w:cstheme="minorBidi"/>
          <w:lang w:eastAsia="ar-SA"/>
        </w:rPr>
        <w:t>of</w:t>
      </w:r>
      <w:r w:rsidRPr="00054C86">
        <w:rPr>
          <w:rFonts w:ascii="Times New Roman" w:eastAsia="Times New Roman" w:hAnsi="Times New Roman" w:cstheme="minorBidi"/>
          <w:lang w:eastAsia="ar-SA"/>
        </w:rPr>
        <w:t xml:space="preserve"> reef-building corals. Practical applications of synthetic biology to reverse or resist kelp forest loss </w:t>
      </w:r>
      <w:r w:rsidR="00C213DB">
        <w:rPr>
          <w:rFonts w:ascii="Times New Roman" w:eastAsia="Times New Roman" w:hAnsi="Times New Roman" w:cstheme="minorBidi"/>
          <w:lang w:eastAsia="ar-SA"/>
        </w:rPr>
        <w:t xml:space="preserve">have </w:t>
      </w:r>
      <w:r w:rsidR="0094684F">
        <w:rPr>
          <w:rFonts w:ascii="Times New Roman" w:eastAsia="Times New Roman" w:hAnsi="Times New Roman" w:cstheme="minorBidi"/>
          <w:lang w:eastAsia="ar-SA"/>
        </w:rPr>
        <w:t>also</w:t>
      </w:r>
      <w:r w:rsidR="00C213DB">
        <w:rPr>
          <w:rFonts w:ascii="Times New Roman" w:eastAsia="Times New Roman" w:hAnsi="Times New Roman" w:cstheme="minorBidi"/>
          <w:lang w:eastAsia="ar-SA"/>
        </w:rPr>
        <w:t xml:space="preserve"> been proposed </w:t>
      </w:r>
      <w:r w:rsidR="00FC291B">
        <w:rPr>
          <w:rFonts w:ascii="Times New Roman" w:eastAsia="Times New Roman" w:hAnsi="Times New Roman" w:cstheme="minorBidi"/>
          <w:lang w:eastAsia="ar-SA"/>
        </w:rPr>
        <w:fldChar w:fldCharType="begin" w:fldLock="1"/>
      </w:r>
      <w:r w:rsidR="000C177C">
        <w:rPr>
          <w:rFonts w:ascii="Times New Roman" w:eastAsia="Times New Roman" w:hAnsi="Times New Roman" w:cstheme="minorBidi"/>
          <w:lang w:eastAsia="ar-SA"/>
        </w:rPr>
        <w:instrText>ADDIN CSL_CITATION {"citationItems":[{"id":"ITEM-1","itemData":{"DOI":"10.1111/jpy.12888","ISSN":"15298817","PMID":"31152453","abstract":"Environmental and climatic change is outpacing the ability of organisms to adapt, at an unprecedented level, resulting in range contractions and global ecosystem shifts to novel states. At the same time, scientific advances continue to accelerate, providing never-before imagined solutions to current and emerging environmental problems. Synthetic biology, the creation of novel and engineered genetic variation, is perhaps the fastest developing and transformative scientific field. Its application to solve extant and emerging environmental problems is vast, at times controversial, and technological advances have outpaced the social, ethical, and practical considerations of its use. Here, we discuss the potential direct and indirect applications of synthetic biology to kelp forest conservation. Rather than advocate or oppose its use, we identify where and when it may play a role in halting or reversing global kelp loss and discuss challenges and identify pathways of research needed to bridge the gap between technological advances and organismal biology and ecology. There is a pressing need for prompt collaboration and dialogue among synthetic biologists, ecologists, and conservationists to identify opportunities for use and ensure that extant research directions are set on trajectories to allow these currently disparate fields to converge toward practical environmental solutions.","author":[{"dropping-particle":"","family":"Coleman","given":"Melinda A","non-dropping-particle":"","parse-names":false,"suffix":""},{"dropping-particle":"","family":"Goold","given":"Hugh D","non-dropping-particle":"","parse-names":false,"suffix":""}],"container-title":"Journal of Phycology","id":"ITEM-1","issue":"4","issued":{"date-parts":[["2019"]]},"page":"745-751","title":"Harnessing synthetic biology for kelp forest conservation1","type":"article-journal","volume":"55"},"uris":["http://www.mendeley.com/documents/?uuid=e540d945-2294-452d-9978-9562909eff2a"]}],"mendeley":{"formattedCitation":"(Coleman &amp; Goold, 2019)","plainTextFormattedCitation":"(Coleman &amp; Goold, 2019)","previouslyFormattedCitation":"(Coleman &amp; Goold, 2019)"},"properties":{"noteIndex":0},"schema":"https://github.com/citation-style-language/schema/raw/master/csl-citation.json"}</w:instrText>
      </w:r>
      <w:r w:rsidR="00FC291B">
        <w:rPr>
          <w:rFonts w:ascii="Times New Roman" w:eastAsia="Times New Roman" w:hAnsi="Times New Roman" w:cstheme="minorBidi"/>
          <w:lang w:eastAsia="ar-SA"/>
        </w:rPr>
        <w:fldChar w:fldCharType="separate"/>
      </w:r>
      <w:r w:rsidR="00FC291B" w:rsidRPr="00FC291B">
        <w:rPr>
          <w:rFonts w:ascii="Times New Roman" w:eastAsia="Times New Roman" w:hAnsi="Times New Roman" w:cstheme="minorBidi"/>
          <w:noProof/>
          <w:lang w:eastAsia="ar-SA"/>
        </w:rPr>
        <w:t>(Coleman &amp; Goold, 2019)</w:t>
      </w:r>
      <w:r w:rsidR="00FC291B">
        <w:rPr>
          <w:rFonts w:ascii="Times New Roman" w:eastAsia="Times New Roman" w:hAnsi="Times New Roman" w:cstheme="minorBidi"/>
          <w:lang w:eastAsia="ar-SA"/>
        </w:rPr>
        <w:fldChar w:fldCharType="end"/>
      </w:r>
      <w:r w:rsidR="001A03DC">
        <w:rPr>
          <w:rFonts w:ascii="Times New Roman" w:eastAsia="Times New Roman" w:hAnsi="Times New Roman" w:cstheme="minorBidi"/>
          <w:lang w:eastAsia="ar-SA"/>
        </w:rPr>
        <w:t>,</w:t>
      </w:r>
      <w:r w:rsidRPr="00054C86">
        <w:rPr>
          <w:rFonts w:ascii="Times New Roman" w:eastAsia="Times New Roman" w:hAnsi="Times New Roman" w:cstheme="minorBidi"/>
          <w:lang w:eastAsia="ar-SA"/>
        </w:rPr>
        <w:t xml:space="preserve"> either </w:t>
      </w:r>
      <w:r w:rsidR="002F426E">
        <w:rPr>
          <w:rFonts w:ascii="Times New Roman" w:eastAsia="Times New Roman" w:hAnsi="Times New Roman" w:cstheme="minorBidi"/>
          <w:lang w:eastAsia="ar-SA"/>
        </w:rPr>
        <w:t xml:space="preserve">by </w:t>
      </w:r>
      <w:r w:rsidRPr="00054C86">
        <w:rPr>
          <w:rFonts w:ascii="Times New Roman" w:eastAsia="Times New Roman" w:hAnsi="Times New Roman" w:cstheme="minorBidi"/>
          <w:lang w:eastAsia="ar-SA"/>
        </w:rPr>
        <w:t xml:space="preserve">direct manipulation of kelp genomes or indirectly through the </w:t>
      </w:r>
      <w:r w:rsidR="00BE0BD0">
        <w:rPr>
          <w:rFonts w:ascii="Times New Roman" w:eastAsia="Times New Roman" w:hAnsi="Times New Roman" w:cstheme="minorBidi"/>
          <w:lang w:eastAsia="ar-SA"/>
        </w:rPr>
        <w:t>engineering of</w:t>
      </w:r>
      <w:r w:rsidRPr="00054C86">
        <w:rPr>
          <w:rFonts w:ascii="Times New Roman" w:eastAsia="Times New Roman" w:hAnsi="Times New Roman" w:cstheme="minorBidi"/>
          <w:lang w:eastAsia="ar-SA"/>
        </w:rPr>
        <w:t xml:space="preserve"> kelp</w:t>
      </w:r>
      <w:r w:rsidR="00623C81">
        <w:rPr>
          <w:rFonts w:ascii="Times New Roman" w:eastAsia="Times New Roman" w:hAnsi="Times New Roman" w:cstheme="minorBidi"/>
          <w:lang w:eastAsia="ar-SA"/>
        </w:rPr>
        <w:t>-interacting stressor communities</w:t>
      </w:r>
      <w:r w:rsidRPr="00054C86" w:rsidDel="008E72F0">
        <w:rPr>
          <w:rFonts w:ascii="Times New Roman" w:eastAsia="Times New Roman" w:hAnsi="Times New Roman" w:cstheme="minorBidi"/>
          <w:lang w:eastAsia="ar-SA"/>
        </w:rPr>
        <w:t>.</w:t>
      </w:r>
    </w:p>
    <w:p w14:paraId="7A4D798E" w14:textId="2F3CD02D" w:rsidR="00054C86" w:rsidRPr="00054C86" w:rsidRDefault="00054C86" w:rsidP="3CBB9A12">
      <w:pPr>
        <w:suppressAutoHyphens/>
        <w:autoSpaceDE w:val="0"/>
        <w:spacing w:before="240" w:after="120" w:line="240" w:lineRule="auto"/>
        <w:contextualSpacing/>
        <w:jc w:val="both"/>
        <w:rPr>
          <w:rFonts w:ascii="Times New Roman" w:eastAsia="Times New Roman" w:hAnsi="Times New Roman" w:cstheme="minorBidi"/>
          <w:lang w:eastAsia="ar-SA"/>
        </w:rPr>
      </w:pPr>
      <w:r w:rsidRPr="3CBB9A12">
        <w:rPr>
          <w:rFonts w:ascii="Times New Roman" w:eastAsia="Times New Roman" w:hAnsi="Times New Roman" w:cstheme="minorBidi"/>
          <w:lang w:eastAsia="ar-SA"/>
        </w:rPr>
        <w:t xml:space="preserve">Terrestrial organisms are also </w:t>
      </w:r>
      <w:r w:rsidR="009732D8" w:rsidRPr="3CBB9A12">
        <w:rPr>
          <w:rFonts w:ascii="Times New Roman" w:eastAsia="Times New Roman" w:hAnsi="Times New Roman" w:cstheme="minorBidi"/>
          <w:lang w:eastAsia="ar-SA"/>
        </w:rPr>
        <w:t xml:space="preserve">being </w:t>
      </w:r>
      <w:r w:rsidRPr="3CBB9A12">
        <w:rPr>
          <w:rFonts w:ascii="Times New Roman" w:eastAsia="Times New Roman" w:hAnsi="Times New Roman" w:cstheme="minorBidi"/>
          <w:lang w:eastAsia="ar-SA"/>
        </w:rPr>
        <w:t>subject</w:t>
      </w:r>
      <w:r w:rsidR="00394F06" w:rsidRPr="3CBB9A12">
        <w:rPr>
          <w:rFonts w:ascii="Times New Roman" w:eastAsia="Times New Roman" w:hAnsi="Times New Roman" w:cstheme="minorBidi"/>
          <w:lang w:eastAsia="ar-SA"/>
        </w:rPr>
        <w:t>ed</w:t>
      </w:r>
      <w:r w:rsidRPr="3CBB9A12">
        <w:rPr>
          <w:rFonts w:ascii="Times New Roman" w:eastAsia="Times New Roman" w:hAnsi="Times New Roman" w:cstheme="minorBidi"/>
          <w:lang w:eastAsia="ar-SA"/>
        </w:rPr>
        <w:t xml:space="preserve"> to research. The animal model </w:t>
      </w:r>
      <w:r w:rsidRPr="3CBB9A12">
        <w:rPr>
          <w:rFonts w:ascii="Times New Roman" w:eastAsia="Times New Roman" w:hAnsi="Times New Roman" w:cstheme="minorBidi"/>
          <w:i/>
          <w:iCs/>
          <w:lang w:eastAsia="ar-SA"/>
        </w:rPr>
        <w:t>Xenopus laevis</w:t>
      </w:r>
      <w:r w:rsidRPr="3CBB9A12">
        <w:rPr>
          <w:rFonts w:ascii="Times New Roman" w:eastAsia="Times New Roman" w:hAnsi="Times New Roman" w:cstheme="minorBidi"/>
          <w:lang w:eastAsia="ar-SA"/>
        </w:rPr>
        <w:t xml:space="preserve"> (the African clawed frog) has been genetically engineered with CRISPR technology to alter its immune system </w:t>
      </w:r>
      <w:r w:rsidR="000C177C">
        <w:rPr>
          <w:rFonts w:ascii="Times New Roman" w:eastAsia="Times New Roman" w:hAnsi="Times New Roman" w:cstheme="minorBidi"/>
          <w:lang w:eastAsia="ar-SA"/>
        </w:rPr>
        <w:fldChar w:fldCharType="begin" w:fldLock="1"/>
      </w:r>
      <w:r w:rsidR="000C177C">
        <w:rPr>
          <w:rFonts w:ascii="Times New Roman" w:eastAsia="Times New Roman" w:hAnsi="Times New Roman" w:cstheme="minorBidi"/>
          <w:lang w:eastAsia="ar-SA"/>
        </w:rPr>
        <w:instrText>ADDIN CSL_CITATION {"citationItems":[{"id":"ITEM-1","itemData":{"DOI":"10.1016/j.ydbio.2016.05.023","ISSN":"1095564X","PMID":"27318386","abstract":"A large family of highly related and clustered Xenopus nonclassical MHC class Ib (XNC) genes influences Xenopus laevis immunity and potentially other physiological functions. Using RNA interference (RNAi) technology, we previously demonstrated that one of XNC genes, XNC10.1, is critical for the development and function of a specialized innate T (iT) cell population. However, RNAi limitation such as a variable and unstable degree of gene silencing in F0 and F1 generations is hampering a thorough functional analysis of XNC10.1 and other XNC genes. To overcome this obstacle, we adapted the CRISPR/Cas9-mediated gene editing technique for XNC genes. We efficiently and specifically generated single gene knockouts of XNC10.1, XNC11, and XNC1 as well as double gene knockouts of XNC10.1 and XNC11 in X. laevis. In single XNC10.1 knockout X. laevis tadpoles, the absence of XNC10.1 and V$α$6-J$α$1.43 invariant T cell receptor rearrangement transcripts indicated XNC10.1 loss-of-function and deficiency in V$α$6-J$α$1.43 iT cells. Notably, targeting XNC10.1 did not affect neighboring XNC genes exhibiting high sequence similarity. Furthermore, XNC1 gene disruption induced mortality during developmental stage 47, suggesting some non-immune but essential function of this gene. These data demonstrate that the CRISPR/Cas9 system can be successfully adapted for genetic analysis in F0 generation of X. laevis.","author":[{"dropping-particle":"","family":"Banach","given":"Maureen","non-dropping-particle":"","parse-names":false,"suffix":""},{"dropping-particle":"","family":"Edholm","given":"Eva Stina","non-dropping-particle":"","parse-names":false,"suffix":""},{"dropping-particle":"","family":"Robert","given":"Jacques","non-dropping-particle":"","parse-names":false,"suffix":""}],"container-title":"Developmental Biology","id":"ITEM-1","issue":"2","issued":{"date-parts":[["2017","6"]]},"page":"261-269","publisher":"Academic Press Inc.","title":"Exploring the functions of nonclassical MHC class Ib genes in Xenopus laevis by the CRISPR/Cas9 system","type":"article-journal","volume":"426"},"uris":["http://www.mendeley.com/documents/?uuid=55362383-15c6-475e-b734-52e3a65dee17"]}],"mendeley":{"formattedCitation":"(Banach et al., 2017)","plainTextFormattedCitation":"(Banach et al., 2017)","previouslyFormattedCitation":"(Banach et al., 2017)"},"properties":{"noteIndex":0},"schema":"https://github.com/citation-style-language/schema/raw/master/csl-citation.json"}</w:instrText>
      </w:r>
      <w:r w:rsidR="000C177C">
        <w:rPr>
          <w:rFonts w:ascii="Times New Roman" w:eastAsia="Times New Roman" w:hAnsi="Times New Roman" w:cstheme="minorBidi"/>
          <w:lang w:eastAsia="ar-SA"/>
        </w:rPr>
        <w:fldChar w:fldCharType="separate"/>
      </w:r>
      <w:r w:rsidR="000C177C" w:rsidRPr="000C177C">
        <w:rPr>
          <w:rFonts w:ascii="Times New Roman" w:eastAsia="Times New Roman" w:hAnsi="Times New Roman" w:cstheme="minorBidi"/>
          <w:noProof/>
          <w:lang w:eastAsia="ar-SA"/>
        </w:rPr>
        <w:t>(Banach et al., 2017)</w:t>
      </w:r>
      <w:r w:rsidR="000C177C">
        <w:rPr>
          <w:rFonts w:ascii="Times New Roman" w:eastAsia="Times New Roman" w:hAnsi="Times New Roman" w:cstheme="minorBidi"/>
          <w:lang w:eastAsia="ar-SA"/>
        </w:rPr>
        <w:fldChar w:fldCharType="end"/>
      </w:r>
      <w:r w:rsidRPr="3CBB9A12">
        <w:rPr>
          <w:rFonts w:ascii="Times New Roman" w:eastAsia="Times New Roman" w:hAnsi="Times New Roman" w:cstheme="minorBidi"/>
          <w:lang w:eastAsia="ar-SA"/>
        </w:rPr>
        <w:t xml:space="preserve">, </w:t>
      </w:r>
      <w:r w:rsidR="00AC4DF9" w:rsidRPr="3CBB9A12">
        <w:rPr>
          <w:rFonts w:ascii="Times New Roman" w:eastAsia="Times New Roman" w:hAnsi="Times New Roman" w:cstheme="minorBidi"/>
          <w:lang w:eastAsia="ar-SA"/>
        </w:rPr>
        <w:t>a</w:t>
      </w:r>
      <w:r w:rsidRPr="3CBB9A12">
        <w:rPr>
          <w:rFonts w:ascii="Times New Roman" w:eastAsia="Times New Roman" w:hAnsi="Times New Roman" w:cstheme="minorBidi"/>
          <w:lang w:eastAsia="ar-SA"/>
        </w:rPr>
        <w:t xml:space="preserve"> development </w:t>
      </w:r>
      <w:r w:rsidR="0026429D" w:rsidRPr="3CBB9A12">
        <w:rPr>
          <w:rFonts w:ascii="Times New Roman" w:eastAsia="Times New Roman" w:hAnsi="Times New Roman" w:cstheme="minorBidi"/>
          <w:lang w:eastAsia="ar-SA"/>
        </w:rPr>
        <w:t>which may enable</w:t>
      </w:r>
      <w:r w:rsidRPr="3CBB9A12">
        <w:rPr>
          <w:rFonts w:ascii="Times New Roman" w:eastAsia="Times New Roman" w:hAnsi="Times New Roman" w:cstheme="minorBidi"/>
          <w:lang w:eastAsia="ar-SA"/>
        </w:rPr>
        <w:t xml:space="preserve"> resistance to </w:t>
      </w:r>
      <w:r w:rsidR="000371C7" w:rsidRPr="3CBB9A12">
        <w:rPr>
          <w:rFonts w:ascii="Times New Roman" w:eastAsia="Times New Roman" w:hAnsi="Times New Roman" w:cstheme="minorBidi"/>
          <w:lang w:eastAsia="ar-SA"/>
        </w:rPr>
        <w:t xml:space="preserve">specific </w:t>
      </w:r>
      <w:r w:rsidRPr="3CBB9A12">
        <w:rPr>
          <w:rFonts w:ascii="Times New Roman" w:eastAsia="Times New Roman" w:hAnsi="Times New Roman" w:cstheme="minorBidi"/>
          <w:lang w:eastAsia="ar-SA"/>
        </w:rPr>
        <w:t xml:space="preserve">amphibian pathogens. </w:t>
      </w:r>
      <w:r w:rsidR="00645130" w:rsidRPr="3CBB9A12">
        <w:rPr>
          <w:rFonts w:ascii="Times New Roman" w:eastAsia="Times New Roman" w:hAnsi="Times New Roman" w:cstheme="minorBidi"/>
          <w:lang w:eastAsia="ar-SA"/>
        </w:rPr>
        <w:t>For over thirty years, a</w:t>
      </w:r>
      <w:r w:rsidRPr="3CBB9A12">
        <w:rPr>
          <w:rFonts w:ascii="Times New Roman" w:eastAsia="Times New Roman" w:hAnsi="Times New Roman" w:cstheme="minorBidi"/>
          <w:lang w:eastAsia="ar-SA"/>
        </w:rPr>
        <w:t xml:space="preserve"> coordinated recovery effort has been underway for the Black-footed Ferret, one of </w:t>
      </w:r>
      <w:r w:rsidR="000371C7" w:rsidRPr="3CBB9A12">
        <w:rPr>
          <w:rFonts w:ascii="Times New Roman" w:eastAsia="Times New Roman" w:hAnsi="Times New Roman" w:cstheme="minorBidi"/>
          <w:lang w:eastAsia="ar-SA"/>
        </w:rPr>
        <w:t>the</w:t>
      </w:r>
      <w:r w:rsidRPr="3CBB9A12">
        <w:rPr>
          <w:rFonts w:ascii="Times New Roman" w:eastAsia="Times New Roman" w:hAnsi="Times New Roman" w:cstheme="minorBidi"/>
          <w:lang w:eastAsia="ar-SA"/>
        </w:rPr>
        <w:t xml:space="preserve"> most endangered species</w:t>
      </w:r>
      <w:r w:rsidR="00037C3F" w:rsidRPr="3CBB9A12">
        <w:rPr>
          <w:rFonts w:ascii="Times New Roman" w:eastAsia="Times New Roman" w:hAnsi="Times New Roman" w:cstheme="minorBidi"/>
          <w:lang w:eastAsia="ar-SA"/>
        </w:rPr>
        <w:t xml:space="preserve"> in </w:t>
      </w:r>
      <w:r w:rsidR="00EA6E09">
        <w:rPr>
          <w:rFonts w:ascii="Times New Roman" w:eastAsia="Times New Roman" w:hAnsi="Times New Roman" w:cstheme="minorBidi"/>
          <w:lang w:eastAsia="ar-SA"/>
        </w:rPr>
        <w:t xml:space="preserve">the </w:t>
      </w:r>
      <w:r w:rsidR="00C336B0">
        <w:rPr>
          <w:rFonts w:ascii="Times New Roman" w:eastAsia="Times New Roman" w:hAnsi="Times New Roman" w:cstheme="minorBidi"/>
          <w:lang w:eastAsia="ar-SA"/>
        </w:rPr>
        <w:t>USA</w:t>
      </w:r>
      <w:r w:rsidR="001B6293" w:rsidRPr="3CBB9A12">
        <w:rPr>
          <w:rStyle w:val="FootnoteReference"/>
          <w:rFonts w:ascii="Times New Roman" w:eastAsia="Times New Roman" w:hAnsi="Times New Roman" w:cstheme="minorBidi"/>
          <w:lang w:eastAsia="ar-SA"/>
        </w:rPr>
        <w:footnoteReference w:id="13"/>
      </w:r>
      <w:r w:rsidRPr="3CBB9A12">
        <w:rPr>
          <w:rFonts w:ascii="Times New Roman" w:eastAsia="Times New Roman" w:hAnsi="Times New Roman" w:cstheme="minorBidi"/>
          <w:lang w:eastAsia="ar-SA"/>
        </w:rPr>
        <w:t xml:space="preserve"> </w:t>
      </w:r>
      <w:r w:rsidR="000C177C">
        <w:rPr>
          <w:rFonts w:ascii="Times New Roman" w:eastAsia="Times New Roman" w:hAnsi="Times New Roman" w:cstheme="minorBidi"/>
          <w:lang w:eastAsia="ar-SA"/>
        </w:rPr>
        <w:fldChar w:fldCharType="begin" w:fldLock="1"/>
      </w:r>
      <w:r w:rsidR="00FC4F6F">
        <w:rPr>
          <w:rFonts w:ascii="Times New Roman" w:eastAsia="Times New Roman" w:hAnsi="Times New Roman" w:cstheme="minorBidi"/>
          <w:lang w:eastAsia="ar-SA"/>
        </w:rPr>
        <w:instrText>ADDIN CSL_CITATION {"citationItems":[{"id":"ITEM-1","itemData":{"DOI":"10.1093/jhered/esv041","ISSN":"14657333","PMID":"26304983","abstract":"Interspecies somatic cell nuclear transfer (iSCNT) could benefit recovery programs of critically endangered species but must be weighed with the risks of failure. To weigh the risks and benefits, a decision-making process that evaluates progress is needed. Experiments that evaluate the efficiency and efficacy of blastocyst, fetal, and post-parturition development are necessary to determine the success or failure or species-specific iSCNT programs. Here, we use the black-footed ferret (Mustela nigripes) as a case study for evaluating this emerging biomedical technology as a tool for genetic restoration. The black-footed ferret has depleted genetic variation yet genome resource banks contain genetic material of individuals not currently represented in the extant lineage. Thus, genetic restoration of the species is in theory possible and could help reduce the persistent erosion of genetic diversity from drift. Extensive genetic, genomic, and reproductive science tools have previously been developed in black-footed ferrets and would aid in the process of developing an iSCNT protocol for this species. Nonetheless, developing reproductive cloning will require years of experiments and a coordinated effort among recovery partners. The information gained from a well-planned research effort with the goal of genetic restoration via reproductive cloning could establish a 21st century model for evaluating and implementing conservation breeding that would be applicable to other genetically impoverished species.","author":[{"dropping-particle":"","family":"Wisely","given":"Samantha M","non-dropping-particle":"","parse-names":false,"suffix":""},{"dropping-particle":"","family":"Ryder","given":"Oliver A","non-dropping-particle":"","parse-names":false,"suffix":""},{"dropping-particle":"","family":"Santymire","given":"Rachel M","non-dropping-particle":"","parse-names":false,"suffix":""},{"dropping-particle":"","family":"Engelhardt","given":"John F","non-dropping-particle":"","parse-names":false,"suffix":""},{"dropping-particle":"","family":"Novak","given":"Ben J","non-dropping-particle":"","parse-names":false,"suffix":""}],"container-title":"Journal of Heredity","id":"ITEM-1","issue":"5","issued":{"date-parts":[["2015"]]},"page":"581-592","publisher":"Oxford University Press","title":"A Road Map for 21st Century Genetic Restoration: Gene Pool Enrichment of the Black-Footed Ferret","type":"article","volume":"106"},"uris":["http://www.mendeley.com/documents/?uuid=1a4b9be4-5357-4ca9-aba9-fd075ea3f6bd"]}],"mendeley":{"formattedCitation":"(Wisely et al., 2015)","plainTextFormattedCitation":"(Wisely et al., 2015)","previouslyFormattedCitation":"(Wisely et al., 2015)"},"properties":{"noteIndex":0},"schema":"https://github.com/citation-style-language/schema/raw/master/csl-citation.json"}</w:instrText>
      </w:r>
      <w:r w:rsidR="000C177C">
        <w:rPr>
          <w:rFonts w:ascii="Times New Roman" w:eastAsia="Times New Roman" w:hAnsi="Times New Roman" w:cstheme="minorBidi"/>
          <w:lang w:eastAsia="ar-SA"/>
        </w:rPr>
        <w:fldChar w:fldCharType="separate"/>
      </w:r>
      <w:r w:rsidR="000C177C" w:rsidRPr="000C177C">
        <w:rPr>
          <w:rFonts w:ascii="Times New Roman" w:eastAsia="Times New Roman" w:hAnsi="Times New Roman" w:cstheme="minorBidi"/>
          <w:noProof/>
          <w:lang w:eastAsia="ar-SA"/>
        </w:rPr>
        <w:t>(Wisely et al., 2015)</w:t>
      </w:r>
      <w:r w:rsidR="000C177C">
        <w:rPr>
          <w:rFonts w:ascii="Times New Roman" w:eastAsia="Times New Roman" w:hAnsi="Times New Roman" w:cstheme="minorBidi"/>
          <w:lang w:eastAsia="ar-SA"/>
        </w:rPr>
        <w:fldChar w:fldCharType="end"/>
      </w:r>
      <w:r w:rsidRPr="3CBB9A12">
        <w:rPr>
          <w:rFonts w:ascii="Times New Roman" w:eastAsia="Times New Roman" w:hAnsi="Times New Roman" w:cstheme="minorBidi"/>
          <w:lang w:eastAsia="ar-SA"/>
        </w:rPr>
        <w:t xml:space="preserve">. The team announced that the world’s first successfully cloned Black-footed </w:t>
      </w:r>
      <w:r w:rsidR="00042E32" w:rsidRPr="3CBB9A12">
        <w:rPr>
          <w:rFonts w:ascii="Times New Roman" w:eastAsia="Times New Roman" w:hAnsi="Times New Roman" w:cstheme="minorBidi"/>
          <w:lang w:eastAsia="ar-SA"/>
        </w:rPr>
        <w:t>F</w:t>
      </w:r>
      <w:r w:rsidRPr="3CBB9A12">
        <w:rPr>
          <w:rFonts w:ascii="Times New Roman" w:eastAsia="Times New Roman" w:hAnsi="Times New Roman" w:cstheme="minorBidi"/>
          <w:lang w:eastAsia="ar-SA"/>
        </w:rPr>
        <w:t xml:space="preserve">erret </w:t>
      </w:r>
      <w:r w:rsidR="00042E32" w:rsidRPr="3CBB9A12">
        <w:rPr>
          <w:rFonts w:ascii="Times New Roman" w:eastAsia="Times New Roman" w:hAnsi="Times New Roman" w:cstheme="minorBidi"/>
          <w:lang w:eastAsia="ar-SA"/>
        </w:rPr>
        <w:t>w</w:t>
      </w:r>
      <w:r w:rsidRPr="3CBB9A12">
        <w:rPr>
          <w:rFonts w:ascii="Times New Roman" w:eastAsia="Times New Roman" w:hAnsi="Times New Roman" w:cstheme="minorBidi"/>
          <w:lang w:eastAsia="ar-SA"/>
        </w:rPr>
        <w:t xml:space="preserve">as born </w:t>
      </w:r>
      <w:r w:rsidR="009C4B12" w:rsidRPr="3CBB9A12">
        <w:rPr>
          <w:rFonts w:ascii="Times New Roman" w:eastAsia="Times New Roman" w:hAnsi="Times New Roman" w:cstheme="minorBidi"/>
          <w:lang w:eastAsia="ar-SA"/>
        </w:rPr>
        <w:t>on 10 December 2020</w:t>
      </w:r>
      <w:r w:rsidR="0095647B" w:rsidRPr="3CBB9A12">
        <w:rPr>
          <w:rStyle w:val="FootnoteReference"/>
          <w:rFonts w:ascii="Times New Roman" w:eastAsia="Times New Roman" w:hAnsi="Times New Roman" w:cstheme="minorBidi"/>
          <w:lang w:eastAsia="ar-SA"/>
        </w:rPr>
        <w:footnoteReference w:id="14"/>
      </w:r>
      <w:r w:rsidR="0094684F">
        <w:rPr>
          <w:rFonts w:ascii="Times New Roman" w:eastAsia="Times New Roman" w:hAnsi="Times New Roman" w:cstheme="minorBidi"/>
          <w:lang w:eastAsia="ar-SA"/>
        </w:rPr>
        <w:t xml:space="preserve">. </w:t>
      </w:r>
      <w:r w:rsidRPr="3CBB9A12">
        <w:rPr>
          <w:rFonts w:ascii="Times New Roman" w:eastAsia="Times New Roman" w:hAnsi="Times New Roman" w:cstheme="minorBidi"/>
          <w:lang w:eastAsia="ar-SA"/>
        </w:rPr>
        <w:t xml:space="preserve">It is a clone of a wild-caught Black-footed </w:t>
      </w:r>
      <w:r w:rsidR="001A11DB" w:rsidRPr="3CBB9A12">
        <w:rPr>
          <w:rFonts w:ascii="Times New Roman" w:eastAsia="Times New Roman" w:hAnsi="Times New Roman" w:cstheme="minorBidi"/>
          <w:lang w:eastAsia="ar-SA"/>
        </w:rPr>
        <w:t>F</w:t>
      </w:r>
      <w:r w:rsidRPr="3CBB9A12">
        <w:rPr>
          <w:rFonts w:ascii="Times New Roman" w:eastAsia="Times New Roman" w:hAnsi="Times New Roman" w:cstheme="minorBidi"/>
          <w:lang w:eastAsia="ar-SA"/>
        </w:rPr>
        <w:t>erret whose cell line was cryopreserved in 1988, the genome of which possesses more genetic diversity than the current Black-footed Ferret population.</w:t>
      </w:r>
      <w:r w:rsidR="00176213">
        <w:rPr>
          <w:rFonts w:ascii="Times New Roman" w:eastAsia="Times New Roman" w:hAnsi="Times New Roman" w:cstheme="minorBidi"/>
          <w:lang w:eastAsia="ar-SA"/>
        </w:rPr>
        <w:t xml:space="preserve"> </w:t>
      </w:r>
      <w:r w:rsidR="00AE18E1" w:rsidRPr="3CBB9A12">
        <w:rPr>
          <w:rFonts w:ascii="Times New Roman" w:eastAsia="Times New Roman" w:hAnsi="Times New Roman" w:cstheme="minorBidi"/>
          <w:lang w:eastAsia="ar-SA"/>
        </w:rPr>
        <w:t>In add</w:t>
      </w:r>
      <w:r w:rsidR="00666598" w:rsidRPr="3CBB9A12">
        <w:rPr>
          <w:rFonts w:ascii="Times New Roman" w:eastAsia="Times New Roman" w:hAnsi="Times New Roman" w:cstheme="minorBidi"/>
          <w:lang w:eastAsia="ar-SA"/>
        </w:rPr>
        <w:t>i</w:t>
      </w:r>
      <w:r w:rsidR="00AE18E1" w:rsidRPr="3CBB9A12">
        <w:rPr>
          <w:rFonts w:ascii="Times New Roman" w:eastAsia="Times New Roman" w:hAnsi="Times New Roman" w:cstheme="minorBidi"/>
          <w:lang w:eastAsia="ar-SA"/>
        </w:rPr>
        <w:t xml:space="preserve">tion to </w:t>
      </w:r>
      <w:r w:rsidR="00472FC3" w:rsidRPr="3CBB9A12">
        <w:rPr>
          <w:rFonts w:ascii="Times New Roman" w:eastAsia="Times New Roman" w:hAnsi="Times New Roman" w:cstheme="minorBidi"/>
          <w:lang w:eastAsia="ar-SA"/>
        </w:rPr>
        <w:t xml:space="preserve">cloning, </w:t>
      </w:r>
      <w:r w:rsidR="00666598" w:rsidRPr="3CBB9A12">
        <w:rPr>
          <w:rFonts w:ascii="Times New Roman" w:eastAsia="Times New Roman" w:hAnsi="Times New Roman" w:cstheme="minorBidi"/>
          <w:lang w:eastAsia="ar-SA"/>
        </w:rPr>
        <w:t xml:space="preserve">researchers have also proposed </w:t>
      </w:r>
      <w:r w:rsidR="005207E9" w:rsidRPr="3CBB9A12">
        <w:rPr>
          <w:rFonts w:ascii="Times New Roman" w:eastAsia="Times New Roman" w:hAnsi="Times New Roman" w:cstheme="minorBidi"/>
          <w:lang w:eastAsia="ar-SA"/>
        </w:rPr>
        <w:t>the application of</w:t>
      </w:r>
      <w:r w:rsidR="00092A74" w:rsidRPr="3CBB9A12">
        <w:rPr>
          <w:rFonts w:ascii="Times New Roman" w:eastAsia="Times New Roman" w:hAnsi="Times New Roman" w:cstheme="minorBidi"/>
          <w:lang w:eastAsia="ar-SA"/>
        </w:rPr>
        <w:t xml:space="preserve"> genome editing techniques</w:t>
      </w:r>
      <w:r w:rsidR="00D052C0" w:rsidRPr="3CBB9A12">
        <w:rPr>
          <w:rFonts w:ascii="Times New Roman" w:eastAsia="Times New Roman" w:hAnsi="Times New Roman" w:cstheme="minorBidi"/>
          <w:lang w:eastAsia="ar-SA"/>
        </w:rPr>
        <w:t xml:space="preserve"> to introduce</w:t>
      </w:r>
      <w:r w:rsidR="00092A74" w:rsidRPr="3CBB9A12">
        <w:rPr>
          <w:rFonts w:ascii="Times New Roman" w:eastAsia="Times New Roman" w:hAnsi="Times New Roman" w:cstheme="minorBidi"/>
          <w:lang w:eastAsia="ar-SA"/>
        </w:rPr>
        <w:t xml:space="preserve"> plague resistance</w:t>
      </w:r>
      <w:r w:rsidR="12DFEB3C" w:rsidRPr="3CBB9A12">
        <w:rPr>
          <w:rFonts w:ascii="Times New Roman" w:eastAsia="Times New Roman" w:hAnsi="Times New Roman" w:cstheme="minorBidi"/>
          <w:lang w:eastAsia="ar-SA"/>
        </w:rPr>
        <w:t xml:space="preserve"> </w:t>
      </w:r>
      <w:r w:rsidR="00FC4F6F">
        <w:rPr>
          <w:rFonts w:ascii="Times New Roman" w:eastAsia="Times New Roman" w:hAnsi="Times New Roman" w:cstheme="minorBidi"/>
          <w:lang w:eastAsia="ar-SA"/>
        </w:rPr>
        <w:fldChar w:fldCharType="begin" w:fldLock="1"/>
      </w:r>
      <w:r w:rsidR="001C5281">
        <w:rPr>
          <w:rFonts w:ascii="Times New Roman" w:eastAsia="Times New Roman" w:hAnsi="Times New Roman" w:cstheme="minorBidi"/>
          <w:lang w:eastAsia="ar-SA"/>
        </w:rPr>
        <w:instrText>ADDIN CSL_CITATION {"citationItems":[{"id":"ITEM-1","itemData":{"DOI":"10.1089/crispr.2017.0019","ISSN":"2573-1599","abstract":"Climate change and non-native wildlife diseases are exacerbating persistent challenges to biodiversity such as habitat destruction, invasive species and over-harvesting. With these increasing threats there is a pressing need to expand the conservationists' toolbox. CRISPR-Cas9 genome editing (GE) offers a precise and potentially transformative tool to confront these challenges. Researchers, regulators, conservationists and the public are all needed to engage proactively in the thoughtful and responsible development and application of these new tools. Introduction: What Is Genetic Rescue? When considering the challenges facing biodiversity con-servation, long-standing threats such as habitat destruction and over-harvesting immediately come to mind. Unfortu-nately, two global threats—climate change and the vector-ing of non-native wildlife disease and pests through global trade—now exacerbate these problems. These growing threats compel conservation to innovate new solutions and strategies continually. Wildlife managers have long per-formed a form of genetic intervention commonly referred to as ''genetic rescue,'' which involves translocating indi-viduals from a related, healthy population to rescue a strug-gling population. Intervention can be a divisive issue in conservation practice. However, genetic rescue has worked in &gt;90% of applications, 1 demonstrating the power of inno-vative methods for saving struggling populations. For example, by the late 1990s, the Florida panther pop-ulation was so diminished that it was exhibiting signs of in-breeding. Wildlife managers determined that additional genetic variation must be introduced in order to save them from extinction. Eight female Texas cougars, a closely related subspecies, were brought in, and as a result, the Florida panther population is rebounding. 2","author":[{"dropping-particle":"","family":"Novak","given":"Ben J","non-dropping-particle":"","parse-names":false,"suffix":""},{"dropping-particle":"","family":"Maloney","given":"Tom","non-dropping-particle":"","parse-names":false,"suffix":""},{"dropping-particle":"","family":"Phelan","given":"Ryan","non-dropping-particle":"","parse-names":false,"suffix":""}],"container-title":"The CRISPR Journal","id":"ITEM-1","issue":"1","issued":{"date-parts":[["2018","2"]]},"page":"11-15","publisher":"Mary Ann Liebert Inc","title":"Advancing a New Toolkit for Conservation: From Science to Policy","type":"article-journal","volume":"1"},"uris":["http://www.mendeley.com/documents/?uuid=42d7daf1-45e9-4233-9faf-6f1630d4e16e"]}],"mendeley":{"formattedCitation":"(B. J. Novak et al., 2018)","plainTextFormattedCitation":"(B. J. Novak et al., 2018)","previouslyFormattedCitation":"(B. J. Novak et al., 2018)"},"properties":{"noteIndex":0},"schema":"https://github.com/citation-style-language/schema/raw/master/csl-citation.json"}</w:instrText>
      </w:r>
      <w:r w:rsidR="00FC4F6F">
        <w:rPr>
          <w:rFonts w:ascii="Times New Roman" w:eastAsia="Times New Roman" w:hAnsi="Times New Roman" w:cstheme="minorBidi"/>
          <w:lang w:eastAsia="ar-SA"/>
        </w:rPr>
        <w:fldChar w:fldCharType="separate"/>
      </w:r>
      <w:r w:rsidR="00117CE0" w:rsidRPr="00117CE0">
        <w:rPr>
          <w:rFonts w:ascii="Times New Roman" w:eastAsia="Times New Roman" w:hAnsi="Times New Roman" w:cstheme="minorBidi"/>
          <w:noProof/>
          <w:lang w:eastAsia="ar-SA"/>
        </w:rPr>
        <w:t>(B. J. Novak et al., 2018)</w:t>
      </w:r>
      <w:r w:rsidR="00FC4F6F">
        <w:rPr>
          <w:rFonts w:ascii="Times New Roman" w:eastAsia="Times New Roman" w:hAnsi="Times New Roman" w:cstheme="minorBidi"/>
          <w:lang w:eastAsia="ar-SA"/>
        </w:rPr>
        <w:fldChar w:fldCharType="end"/>
      </w:r>
      <w:r w:rsidR="00092A74" w:rsidRPr="3CBB9A12">
        <w:rPr>
          <w:rFonts w:ascii="Times New Roman" w:eastAsia="Times New Roman" w:hAnsi="Times New Roman" w:cstheme="minorBidi"/>
          <w:lang w:eastAsia="ar-SA"/>
        </w:rPr>
        <w:t>.</w:t>
      </w:r>
    </w:p>
    <w:p w14:paraId="7E0BE492" w14:textId="3DF54E66" w:rsidR="00054C86" w:rsidRPr="00464D22" w:rsidRDefault="003D6125" w:rsidP="00C336B0">
      <w:pPr>
        <w:pStyle w:val="Heading3"/>
        <w:spacing w:before="240"/>
      </w:pPr>
      <w:bookmarkStart w:id="62" w:name="_Toc70112678"/>
      <w:bookmarkStart w:id="63" w:name="_Toc70685700"/>
      <w:r w:rsidRPr="0094585D">
        <w:t>3</w:t>
      </w:r>
      <w:r w:rsidR="00054C86" w:rsidRPr="00E767FC">
        <w:t>.2.</w:t>
      </w:r>
      <w:r w:rsidR="00054C86" w:rsidRPr="00464D22">
        <w:t xml:space="preserve"> </w:t>
      </w:r>
      <w:r w:rsidR="00FC5235" w:rsidRPr="00E767FC">
        <w:rPr>
          <w:rStyle w:val="Heading2Char"/>
          <w:rFonts w:eastAsia="Calibri"/>
          <w:b w:val="0"/>
          <w:bCs w:val="0"/>
          <w:i/>
          <w:iCs/>
        </w:rPr>
        <w:t>S</w:t>
      </w:r>
      <w:r w:rsidR="00436A2B" w:rsidRPr="00E767FC">
        <w:rPr>
          <w:rStyle w:val="Heading2Char"/>
          <w:rFonts w:eastAsia="Calibri"/>
          <w:b w:val="0"/>
          <w:bCs w:val="0"/>
          <w:i/>
          <w:iCs/>
        </w:rPr>
        <w:t>ynthetic biology applications in semi-managed, managed, or urban settings</w:t>
      </w:r>
      <w:r w:rsidR="00436A2B" w:rsidRPr="0094585D">
        <w:rPr>
          <w:rStyle w:val="Heading2Char"/>
          <w:rFonts w:eastAsia="Calibri"/>
          <w:b w:val="0"/>
          <w:i/>
        </w:rPr>
        <w:t>.</w:t>
      </w:r>
      <w:bookmarkEnd w:id="62"/>
      <w:bookmarkEnd w:id="63"/>
    </w:p>
    <w:p w14:paraId="294CB565" w14:textId="65450303" w:rsidR="00054C86" w:rsidRPr="00573AD7" w:rsidRDefault="003D6125" w:rsidP="008805B8">
      <w:pPr>
        <w:pStyle w:val="Heading4"/>
        <w:rPr>
          <w:rStyle w:val="Heading2Char"/>
          <w:rFonts w:ascii="Times New Roman Bold" w:eastAsia="Arial Unicode MS" w:hAnsi="Times New Roman Bold"/>
          <w:b/>
        </w:rPr>
      </w:pPr>
      <w:bookmarkStart w:id="64" w:name="_Toc70112679"/>
      <w:bookmarkStart w:id="65" w:name="_Toc70685701"/>
      <w:r w:rsidRPr="005D01ED">
        <w:rPr>
          <w:rStyle w:val="Heading2Char"/>
          <w:rFonts w:ascii="Times New Roman Bold" w:eastAsia="Arial Unicode MS" w:hAnsi="Times New Roman Bold"/>
          <w:b/>
        </w:rPr>
        <w:t>3</w:t>
      </w:r>
      <w:r w:rsidR="00054C86" w:rsidRPr="005D01ED">
        <w:rPr>
          <w:rStyle w:val="Heading2Char"/>
          <w:rFonts w:ascii="Times New Roman Bold" w:eastAsia="Arial Unicode MS" w:hAnsi="Times New Roman Bold"/>
          <w:b/>
        </w:rPr>
        <w:t xml:space="preserve">.2.1. </w:t>
      </w:r>
      <w:r w:rsidR="00054C86" w:rsidRPr="00573AD7">
        <w:rPr>
          <w:rStyle w:val="Heading2Char"/>
          <w:rFonts w:ascii="Times New Roman Bold" w:eastAsia="Arial Unicode MS" w:hAnsi="Times New Roman Bold"/>
          <w:b/>
        </w:rPr>
        <w:t>Commercially available</w:t>
      </w:r>
      <w:r w:rsidR="002E494C" w:rsidRPr="00573AD7">
        <w:rPr>
          <w:rStyle w:val="Heading2Char"/>
          <w:rFonts w:ascii="Times New Roman Bold" w:eastAsia="Arial Unicode MS" w:hAnsi="Times New Roman Bold"/>
          <w:b/>
        </w:rPr>
        <w:t>.</w:t>
      </w:r>
      <w:bookmarkEnd w:id="64"/>
      <w:bookmarkEnd w:id="65"/>
    </w:p>
    <w:p w14:paraId="1193672F" w14:textId="6408E086" w:rsidR="000B5513" w:rsidRPr="0026362F" w:rsidRDefault="004F04DB" w:rsidP="004F04DB">
      <w:pPr>
        <w:pStyle w:val="Heading5"/>
        <w:tabs>
          <w:tab w:val="clear" w:pos="1800"/>
        </w:tabs>
        <w:spacing w:after="0"/>
        <w:ind w:left="284" w:hanging="284"/>
      </w:pPr>
      <w:r>
        <w:rPr>
          <w:i w:val="0"/>
          <w:iCs/>
        </w:rPr>
        <w:t xml:space="preserve">(a) </w:t>
      </w:r>
      <w:r w:rsidR="00252B76" w:rsidRPr="0026362F">
        <w:t>Genome e</w:t>
      </w:r>
      <w:r w:rsidR="00054C86" w:rsidRPr="0026362F">
        <w:t>dited soya bean (</w:t>
      </w:r>
      <w:r w:rsidR="000B5513" w:rsidRPr="0026362F">
        <w:t>Calyxt)</w:t>
      </w:r>
      <w:r w:rsidR="00F03DEC">
        <w:t>.</w:t>
      </w:r>
    </w:p>
    <w:p w14:paraId="0F6B1EDC" w14:textId="06AFA400" w:rsidR="00CD407D" w:rsidRPr="00054C86" w:rsidRDefault="004476F0" w:rsidP="004F04DB">
      <w:pPr>
        <w:suppressAutoHyphens/>
        <w:autoSpaceDE w:val="0"/>
        <w:spacing w:before="120" w:after="120" w:line="240" w:lineRule="auto"/>
        <w:ind w:left="284"/>
        <w:contextualSpacing/>
        <w:jc w:val="both"/>
        <w:rPr>
          <w:rFonts w:ascii="Times New Roman" w:eastAsia="Times New Roman" w:hAnsi="Times New Roman" w:cstheme="minorBidi"/>
        </w:rPr>
      </w:pPr>
      <w:r w:rsidRPr="0026362F">
        <w:rPr>
          <w:rFonts w:asciiTheme="majorBidi" w:hAnsiTheme="majorBidi" w:cstheme="majorBidi"/>
        </w:rPr>
        <w:t>TALENs were designed to target and disrupt two fatty acid desaturase genes in soya bean. The resulting mutation cause</w:t>
      </w:r>
      <w:r w:rsidR="00C336B0">
        <w:rPr>
          <w:rFonts w:asciiTheme="majorBidi" w:hAnsiTheme="majorBidi" w:cstheme="majorBidi"/>
        </w:rPr>
        <w:t>s</w:t>
      </w:r>
      <w:r w:rsidRPr="0026362F">
        <w:rPr>
          <w:rFonts w:asciiTheme="majorBidi" w:hAnsiTheme="majorBidi" w:cstheme="majorBidi"/>
        </w:rPr>
        <w:t xml:space="preserve"> elevated levels of oleic acid in the seeds</w:t>
      </w:r>
      <w:r w:rsidR="00EB2953" w:rsidRPr="0026362F">
        <w:rPr>
          <w:rFonts w:asciiTheme="majorBidi" w:hAnsiTheme="majorBidi" w:cstheme="majorBidi"/>
        </w:rPr>
        <w:t xml:space="preserve">. </w:t>
      </w:r>
      <w:r w:rsidR="00FC4F6F">
        <w:rPr>
          <w:rFonts w:asciiTheme="majorBidi" w:eastAsia="Times New Roman" w:hAnsiTheme="majorBidi" w:cstheme="majorBidi"/>
        </w:rPr>
        <w:fldChar w:fldCharType="begin" w:fldLock="1"/>
      </w:r>
      <w:r w:rsidR="00FC4F6F">
        <w:rPr>
          <w:rFonts w:asciiTheme="majorBidi" w:eastAsia="Times New Roman" w:hAnsiTheme="majorBidi" w:cstheme="majorBidi"/>
        </w:rPr>
        <w:instrText>ADDIN CSL_CITATION {"citationItems":[{"id":"ITEM-1","itemData":{"DOI":"10.1111/pbi.12201","ISSN":"14677652","PMID":"24851712","abstract":"Soybean oil is high in polyunsaturated fats and is often partially hydrogenated to increase its shelf life and improve oxidative stability. The trans-fatty acids produced through hydrogenation pose a health threat. Soybean lines that are low in polyunsaturated fats were generated by introducing mutations in two fatty acid desaturase 2 genes (FAD2-1A and FAD2-1B), which in the seed convert the monounsaturated fat, oleic acid, to the polyunsaturated fat, linoleic acid. Transcription activator-like effector nucleases (TALENs) were engineered to recognize and cleave conserved DNA sequences in both genes. In four of 19 transgenic soybean lines expressing the TALENs, mutations in FAD2-1A and FAD2-1B were observed in DNA extracted from leaf tissue; three of the four lines transmitted heritable FAD2-1 mutations to the next generation. The fatty acid profile of the seed was dramatically changed in plants homozygous for mutations in both FAD2-1A and FAD2-1B: oleic acid increased from 20% to 80% and linoleic acid decreased from 50% to under 4%. Further, mutant plants were identified that lacked the TALEN transgene and only carried the targeted mutations. The ability to create a valuable trait in a single generation through targeted modification of a gene family demonstrates the power of TALENs for genome engineering and crop improvement. © 2014 Society for Experimental Biology, Association of Applied Biologists and John Wiley &amp; Sons Ltd.","author":[{"dropping-particle":"","family":"Haun","given":"William","non-dropping-particle":"","parse-names":false,"suffix":""},{"dropping-particle":"","family":"Coffman","given":"Andrew","non-dropping-particle":"","parse-names":false,"suffix":""},{"dropping-particle":"","family":"Clasen","given":"Benjamin M.","non-dropping-particle":"","parse-names":false,"suffix":""},{"dropping-particle":"","family":"Demorest","given":"Zachary L.","non-dropping-particle":"","parse-names":false,"suffix":""},{"dropping-particle":"","family":"Lowy","given":"Anita","non-dropping-particle":"","parse-names":false,"suffix":""},{"dropping-particle":"","family":"Ray","given":"Erin","non-dropping-particle":"","parse-names":false,"suffix":""},{"dropping-particle":"","family":"Retterath","given":"Adam","non-dropping-particle":"","parse-names":false,"suffix":""},{"dropping-particle":"","family":"Stoddard","given":"Thomas","non-dropping-particle":"","parse-names":false,"suffix":""},{"dropping-particle":"","family":"Juillerat","given":"Alexandre","non-dropping-particle":"","parse-names":false,"suffix":""},{"dropping-particle":"","family":"Cedrone","given":"Frederic","non-dropping-particle":"","parse-names":false,"suffix":""},{"dropping-particle":"","family":"Mathis","given":"Luc","non-dropping-particle":"","parse-names":false,"suffix":""},{"dropping-particle":"","family":"Voytas","given":"Daniel F.","non-dropping-particle":"","parse-names":false,"suffix":""},{"dropping-particle":"","family":"Zhang","given":"Feng","non-dropping-particle":"","parse-names":false,"suffix":""}],"container-title":"Plant Biotechnology Journal","id":"ITEM-1","issue":"7","issued":{"date-parts":[["2014","9"]]},"page":"934-940","publisher":"Blackwell Publishing Ltd","title":"Improved soybean oil quality by targeted mutagenesis of the fatty acid desaturase 2 gene family","type":"article-journal","volume":"12"},"uris":["http://www.mendeley.com/documents/?uuid=77c1fe71-ef86-4a49-9a6f-bf7a5df1b47a"]}],"mendeley":{"formattedCitation":"(Haun et al., 2014)","plainTextFormattedCitation":"(Haun et al., 2014)","previouslyFormattedCitation":"(Haun et al., 2014)"},"properties":{"noteIndex":0},"schema":"https://github.com/citation-style-language/schema/raw/master/csl-citation.json"}</w:instrText>
      </w:r>
      <w:r w:rsidR="00FC4F6F">
        <w:rPr>
          <w:rFonts w:asciiTheme="majorBidi" w:eastAsia="Times New Roman" w:hAnsiTheme="majorBidi" w:cstheme="majorBidi"/>
        </w:rPr>
        <w:fldChar w:fldCharType="separate"/>
      </w:r>
      <w:r w:rsidR="00FC4F6F" w:rsidRPr="00FC4F6F">
        <w:rPr>
          <w:rFonts w:asciiTheme="majorBidi" w:eastAsia="Times New Roman" w:hAnsiTheme="majorBidi" w:cstheme="majorBidi"/>
          <w:noProof/>
        </w:rPr>
        <w:t>(Haun et al., 2014)</w:t>
      </w:r>
      <w:r w:rsidR="00FC4F6F">
        <w:rPr>
          <w:rFonts w:asciiTheme="majorBidi" w:eastAsia="Times New Roman" w:hAnsiTheme="majorBidi" w:cstheme="majorBidi"/>
        </w:rPr>
        <w:fldChar w:fldCharType="end"/>
      </w:r>
      <w:r w:rsidR="00FC4F6F">
        <w:rPr>
          <w:rFonts w:asciiTheme="majorBidi" w:eastAsia="Times New Roman" w:hAnsiTheme="majorBidi" w:cstheme="majorBidi"/>
        </w:rPr>
        <w:t xml:space="preserve"> </w:t>
      </w:r>
      <w:r w:rsidR="00EB2953" w:rsidRPr="0026362F">
        <w:rPr>
          <w:rFonts w:asciiTheme="majorBidi" w:hAnsiTheme="majorBidi" w:cstheme="majorBidi"/>
        </w:rPr>
        <w:t xml:space="preserve">Commercial production began in </w:t>
      </w:r>
      <w:r w:rsidR="00545B29" w:rsidRPr="0026362F">
        <w:rPr>
          <w:rFonts w:asciiTheme="majorBidi" w:hAnsiTheme="majorBidi" w:cstheme="majorBidi"/>
        </w:rPr>
        <w:t>2019</w:t>
      </w:r>
      <w:r w:rsidR="00F03DEC">
        <w:rPr>
          <w:rFonts w:asciiTheme="majorBidi" w:eastAsia="Times New Roman" w:hAnsiTheme="majorBidi" w:cstheme="majorBidi"/>
        </w:rPr>
        <w:t>.</w:t>
      </w:r>
    </w:p>
    <w:p w14:paraId="30AF5435" w14:textId="6C971C02" w:rsidR="00961C75" w:rsidRPr="00502718" w:rsidRDefault="004F04DB" w:rsidP="004F04DB">
      <w:pPr>
        <w:pStyle w:val="Heading5"/>
        <w:tabs>
          <w:tab w:val="clear" w:pos="1800"/>
        </w:tabs>
        <w:ind w:left="284" w:hanging="284"/>
        <w:rPr>
          <w:rFonts w:cstheme="minorBidi"/>
          <w:lang w:val="en-GB"/>
        </w:rPr>
      </w:pPr>
      <w:r>
        <w:rPr>
          <w:i w:val="0"/>
          <w:iCs/>
        </w:rPr>
        <w:t xml:space="preserve">(b) </w:t>
      </w:r>
      <w:r w:rsidR="00054C86" w:rsidRPr="007E282D">
        <w:t>Biological nitrogen fertiliser for maize based on engineered bacteria (Pivot Bio).</w:t>
      </w:r>
    </w:p>
    <w:p w14:paraId="53A66F9D" w14:textId="02617DC8" w:rsidR="00CD407D" w:rsidRDefault="00AE61F0" w:rsidP="00F03DEC">
      <w:pPr>
        <w:suppressAutoHyphens/>
        <w:autoSpaceDE w:val="0"/>
        <w:spacing w:after="120" w:line="240" w:lineRule="auto"/>
        <w:ind w:left="284"/>
        <w:jc w:val="both"/>
        <w:rPr>
          <w:rFonts w:ascii="Times New Roman" w:eastAsia="Times New Roman" w:hAnsi="Times New Roman" w:cstheme="minorBidi"/>
        </w:rPr>
      </w:pPr>
      <w:r w:rsidRPr="0026362F">
        <w:rPr>
          <w:rFonts w:asciiTheme="majorBidi" w:hAnsiTheme="majorBidi" w:cstheme="majorBidi"/>
        </w:rPr>
        <w:t xml:space="preserve">The plant endosymbiont </w:t>
      </w:r>
      <w:r w:rsidRPr="0026362F">
        <w:rPr>
          <w:rFonts w:asciiTheme="majorBidi" w:hAnsiTheme="majorBidi" w:cstheme="majorBidi"/>
          <w:i/>
        </w:rPr>
        <w:t>Klebsiella variicola</w:t>
      </w:r>
      <w:r w:rsidRPr="0026362F">
        <w:rPr>
          <w:rFonts w:asciiTheme="majorBidi" w:hAnsiTheme="majorBidi" w:cstheme="majorBidi"/>
        </w:rPr>
        <w:t xml:space="preserve"> strain 137 w</w:t>
      </w:r>
      <w:r w:rsidR="00275607">
        <w:rPr>
          <w:rFonts w:asciiTheme="majorBidi" w:hAnsiTheme="majorBidi" w:cstheme="majorBidi"/>
        </w:rPr>
        <w:t>as</w:t>
      </w:r>
      <w:r w:rsidRPr="0026362F">
        <w:rPr>
          <w:rFonts w:asciiTheme="majorBidi" w:hAnsiTheme="majorBidi" w:cstheme="majorBidi"/>
        </w:rPr>
        <w:t xml:space="preserve"> metabolically remodeled using, among</w:t>
      </w:r>
      <w:r w:rsidR="00F03DEC">
        <w:rPr>
          <w:rFonts w:asciiTheme="majorBidi" w:hAnsiTheme="majorBidi" w:cstheme="majorBidi"/>
        </w:rPr>
        <w:t>st</w:t>
      </w:r>
      <w:r w:rsidRPr="0026362F">
        <w:rPr>
          <w:rFonts w:asciiTheme="majorBidi" w:hAnsiTheme="majorBidi" w:cstheme="majorBidi"/>
        </w:rPr>
        <w:t xml:space="preserve"> other tools, adaptive evolution and </w:t>
      </w:r>
      <w:r w:rsidR="00275607">
        <w:rPr>
          <w:rFonts w:asciiTheme="majorBidi" w:hAnsiTheme="majorBidi" w:cstheme="majorBidi"/>
        </w:rPr>
        <w:t>SDN</w:t>
      </w:r>
      <w:r w:rsidRPr="0026362F">
        <w:rPr>
          <w:rFonts w:asciiTheme="majorBidi" w:hAnsiTheme="majorBidi" w:cstheme="majorBidi"/>
        </w:rPr>
        <w:t xml:space="preserve"> to </w:t>
      </w:r>
      <w:r w:rsidR="00F03DEC" w:rsidRPr="0026362F">
        <w:rPr>
          <w:rFonts w:asciiTheme="majorBidi" w:hAnsiTheme="majorBidi" w:cstheme="majorBidi"/>
        </w:rPr>
        <w:t>optimi</w:t>
      </w:r>
      <w:r w:rsidR="00F03DEC">
        <w:rPr>
          <w:rFonts w:asciiTheme="majorBidi" w:hAnsiTheme="majorBidi" w:cstheme="majorBidi"/>
        </w:rPr>
        <w:t>s</w:t>
      </w:r>
      <w:r w:rsidR="00F03DEC" w:rsidRPr="0026362F">
        <w:rPr>
          <w:rFonts w:asciiTheme="majorBidi" w:hAnsiTheme="majorBidi" w:cstheme="majorBidi"/>
        </w:rPr>
        <w:t>e</w:t>
      </w:r>
      <w:r w:rsidRPr="0026362F">
        <w:rPr>
          <w:rFonts w:asciiTheme="majorBidi" w:hAnsiTheme="majorBidi" w:cstheme="majorBidi"/>
        </w:rPr>
        <w:t xml:space="preserve"> atmospheric nitrogen fixation and resulting plant growth. Genes associated with nitrogen fixation </w:t>
      </w:r>
      <w:r w:rsidR="000B65E1">
        <w:rPr>
          <w:rFonts w:asciiTheme="majorBidi" w:hAnsiTheme="majorBidi" w:cstheme="majorBidi"/>
        </w:rPr>
        <w:t>we</w:t>
      </w:r>
      <w:r w:rsidRPr="0026362F">
        <w:rPr>
          <w:rFonts w:asciiTheme="majorBidi" w:hAnsiTheme="majorBidi" w:cstheme="majorBidi"/>
        </w:rPr>
        <w:t xml:space="preserve">re derepressed </w:t>
      </w:r>
      <w:r w:rsidR="00301002">
        <w:rPr>
          <w:rFonts w:asciiTheme="majorBidi" w:hAnsiTheme="majorBidi" w:cstheme="majorBidi"/>
        </w:rPr>
        <w:fldChar w:fldCharType="begin" w:fldLock="1"/>
      </w:r>
      <w:r w:rsidR="00301002">
        <w:rPr>
          <w:rFonts w:asciiTheme="majorBidi" w:hAnsiTheme="majorBidi" w:cstheme="majorBidi"/>
        </w:rPr>
        <w:instrText>ADDIN CSL_CITATION {"citationItems":[{"id":"ITEM-1","itemData":{"author":[{"dropping-particle":"","family":"Reisinger","given":"Mark","non-dropping-particle":"","parse-names":false,"suffix":""},{"dropping-particle":"","family":"Sanders","given":"Ernest","non-dropping-particle":"","parse-names":false,"suffix":""},{"dropping-particle":"","family":"Temme","given":"Karsten","non-dropping-particle":"","parse-names":false,"suffix":""}],"id":"ITEM-1","issued":{"date-parts":[["2020"]]},"number":"WO2020163251A1","title":"Improved consistency of crop yield through biological nitrogen fixation","type":"patent"},"uris":["http://www.mendeley.com/documents/?uuid=6f80c4ee-f49f-49dc-92fa-ed5eb4efb238"]},{"id":"ITEM-2","itemData":{"author":[{"dropping-particle":"","family":"Temme","given":"Karsten","non-dropping-particle":"","parse-names":false,"suffix":""},{"dropping-particle":"","family":"Tamsi","given":"Alvin","non-dropping-particle":"","parse-names":false,"suffix":""},{"dropping-particle":"","family":"Bloch","given":"Sarah","non-dropping-particle":"","parse-names":false,"suffix":""},{"dropping-particle":"","family":"Tung","given":"Rosemary","non-dropping-particle":"","parse-names":false,"suffix":""},{"dropping-particle":"","family":"Clarke","given":"Emily","non-dropping-particle":"","parse-names":false,"suffix":""}],"id":"ITEM-2","issued":{"date-parts":[["2020"]]},"number":"US10556839B2","title":"Methods and compositions for improving plant traits","type":"patent"},"uris":["http://www.mendeley.com/documents/?uuid=e0d40f2b-9785-4407-809d-3c48d20fbb07"]}],"mendeley":{"formattedCitation":"(Reisinger et al., 2020; Temme et al., 2020)","plainTextFormattedCitation":"(Reisinger et al., 2020; Temme et al., 2020)","previouslyFormattedCitation":"(Reisinger et al., 2020; Temme et al., 2020)"},"properties":{"noteIndex":0},"schema":"https://github.com/citation-style-language/schema/raw/master/csl-citation.json"}</w:instrText>
      </w:r>
      <w:r w:rsidR="00301002">
        <w:rPr>
          <w:rFonts w:asciiTheme="majorBidi" w:hAnsiTheme="majorBidi" w:cstheme="majorBidi"/>
        </w:rPr>
        <w:fldChar w:fldCharType="separate"/>
      </w:r>
      <w:r w:rsidR="00301002" w:rsidRPr="00301002">
        <w:rPr>
          <w:rFonts w:asciiTheme="majorBidi" w:hAnsiTheme="majorBidi" w:cstheme="majorBidi"/>
          <w:noProof/>
        </w:rPr>
        <w:t>(Reisinger et al., 2020; Temme et al., 2020)</w:t>
      </w:r>
      <w:r w:rsidR="00301002">
        <w:rPr>
          <w:rFonts w:asciiTheme="majorBidi" w:hAnsiTheme="majorBidi" w:cstheme="majorBidi"/>
        </w:rPr>
        <w:fldChar w:fldCharType="end"/>
      </w:r>
      <w:r w:rsidR="000B65E1">
        <w:rPr>
          <w:rFonts w:asciiTheme="majorBidi" w:hAnsiTheme="majorBidi" w:cstheme="majorBidi"/>
        </w:rPr>
        <w:t>.</w:t>
      </w:r>
      <w:r w:rsidR="00545B29" w:rsidRPr="00B20AA5">
        <w:rPr>
          <w:rFonts w:asciiTheme="majorBidi" w:hAnsiTheme="majorBidi" w:cstheme="majorBidi"/>
        </w:rPr>
        <w:t xml:space="preserve"> The product has been commercially available since 2019</w:t>
      </w:r>
      <w:r w:rsidR="00C336B0">
        <w:rPr>
          <w:rFonts w:asciiTheme="majorBidi" w:hAnsiTheme="majorBidi" w:cstheme="majorBidi"/>
        </w:rPr>
        <w:t xml:space="preserve"> </w:t>
      </w:r>
      <w:r w:rsidR="00301002">
        <w:rPr>
          <w:rFonts w:asciiTheme="majorBidi" w:hAnsiTheme="majorBidi" w:cstheme="majorBidi"/>
        </w:rPr>
        <w:fldChar w:fldCharType="begin" w:fldLock="1"/>
      </w:r>
      <w:r w:rsidR="003D185A">
        <w:rPr>
          <w:rFonts w:asciiTheme="majorBidi" w:hAnsiTheme="majorBidi" w:cstheme="majorBidi"/>
        </w:rPr>
        <w:instrText>ADDIN CSL_CITATION {"citationItems":[{"id":"ITEM-1","itemData":{"author":[{"dropping-particle":"","family":"Pivot Bio Inc","given":"","non-dropping-particle":"","parse-names":false,"suffix":""}],"id":"ITEM-1","issued":{"date-parts":[["2020"]]},"publisher-place":"Berkeley, United States of America","title":"Safety Sheet: Klebsiella variicola 137","type":"article"},"uris":["http://www.mendeley.com/documents/?uuid=7fc08689-8502-4437-bd42-89727a5dc264"]}],"mendeley":{"formattedCitation":"(Pivot Bio Inc, 2020)","plainTextFormattedCitation":"(Pivot Bio Inc, 2020)","previouslyFormattedCitation":"(Pivot Bio Inc, 2020)"},"properties":{"noteIndex":0},"schema":"https://github.com/citation-style-language/schema/raw/master/csl-citation.json"}</w:instrText>
      </w:r>
      <w:r w:rsidR="00301002">
        <w:rPr>
          <w:rFonts w:asciiTheme="majorBidi" w:hAnsiTheme="majorBidi" w:cstheme="majorBidi"/>
        </w:rPr>
        <w:fldChar w:fldCharType="separate"/>
      </w:r>
      <w:r w:rsidR="00301002" w:rsidRPr="00301002">
        <w:rPr>
          <w:rFonts w:asciiTheme="majorBidi" w:hAnsiTheme="majorBidi" w:cstheme="majorBidi"/>
          <w:noProof/>
        </w:rPr>
        <w:t>(Pivot Bio Inc, 2020)</w:t>
      </w:r>
      <w:r w:rsidR="00301002">
        <w:rPr>
          <w:rFonts w:asciiTheme="majorBidi" w:hAnsiTheme="majorBidi" w:cstheme="majorBidi"/>
        </w:rPr>
        <w:fldChar w:fldCharType="end"/>
      </w:r>
      <w:r w:rsidR="000B65E1" w:rsidRPr="00C2004B">
        <w:rPr>
          <w:rFonts w:asciiTheme="majorBidi" w:hAnsiTheme="majorBidi" w:cstheme="majorBidi"/>
        </w:rPr>
        <w:t>.</w:t>
      </w:r>
    </w:p>
    <w:p w14:paraId="513E401B" w14:textId="5099A977" w:rsidR="005724DE" w:rsidRPr="005724DE" w:rsidRDefault="004F04DB" w:rsidP="004F04DB">
      <w:pPr>
        <w:pStyle w:val="Heading5"/>
        <w:tabs>
          <w:tab w:val="clear" w:pos="1800"/>
        </w:tabs>
        <w:ind w:left="284" w:hanging="284"/>
        <w:rPr>
          <w:rFonts w:cstheme="minorBidi"/>
          <w:lang w:val="en-GB"/>
        </w:rPr>
      </w:pPr>
      <w:r>
        <w:rPr>
          <w:i w:val="0"/>
          <w:iCs/>
        </w:rPr>
        <w:t xml:space="preserve">(c) </w:t>
      </w:r>
      <w:r w:rsidR="00252B76" w:rsidRPr="3CBB9A12">
        <w:t>Genome e</w:t>
      </w:r>
      <w:r w:rsidR="00054C86" w:rsidRPr="3CBB9A12">
        <w:rPr>
          <w:rFonts w:cstheme="minorBidi"/>
          <w:lang w:val="en-GB"/>
        </w:rPr>
        <w:t xml:space="preserve">dited </w:t>
      </w:r>
      <w:r w:rsidR="00A87918" w:rsidRPr="3CBB9A12">
        <w:rPr>
          <w:rFonts w:cstheme="minorBidi"/>
          <w:lang w:val="en-GB"/>
        </w:rPr>
        <w:t>oil</w:t>
      </w:r>
      <w:r w:rsidR="00054C86" w:rsidRPr="3CBB9A12">
        <w:rPr>
          <w:rFonts w:cstheme="minorBidi"/>
          <w:lang w:val="en-GB"/>
        </w:rPr>
        <w:t>seed</w:t>
      </w:r>
      <w:r w:rsidR="00A87918" w:rsidRPr="3CBB9A12">
        <w:rPr>
          <w:rFonts w:cstheme="minorBidi"/>
          <w:lang w:val="en-GB"/>
        </w:rPr>
        <w:t xml:space="preserve"> rape</w:t>
      </w:r>
      <w:r w:rsidR="00054C86" w:rsidRPr="3CBB9A12">
        <w:rPr>
          <w:rFonts w:cstheme="minorBidi"/>
          <w:lang w:val="en-GB"/>
        </w:rPr>
        <w:t xml:space="preserve"> </w:t>
      </w:r>
      <w:r w:rsidR="000341B4">
        <w:rPr>
          <w:rFonts w:cstheme="minorBidi"/>
          <w:lang w:val="en-GB"/>
        </w:rPr>
        <w:t>tolerant to</w:t>
      </w:r>
      <w:r w:rsidR="00C9094E" w:rsidRPr="3CBB9A12">
        <w:rPr>
          <w:rFonts w:cstheme="minorBidi"/>
          <w:lang w:val="en-GB"/>
        </w:rPr>
        <w:t xml:space="preserve"> </w:t>
      </w:r>
      <w:r w:rsidR="00054C86" w:rsidRPr="3CBB9A12">
        <w:rPr>
          <w:rFonts w:cstheme="minorBidi"/>
          <w:lang w:val="en-GB"/>
        </w:rPr>
        <w:t>herbicide</w:t>
      </w:r>
      <w:r w:rsidR="006A1CE6" w:rsidRPr="3CBB9A12">
        <w:rPr>
          <w:rFonts w:cstheme="minorBidi"/>
          <w:lang w:val="en-GB"/>
        </w:rPr>
        <w:t>s</w:t>
      </w:r>
      <w:r w:rsidR="00054C86" w:rsidRPr="3CBB9A12">
        <w:rPr>
          <w:rFonts w:cstheme="minorBidi"/>
          <w:lang w:val="en-GB"/>
        </w:rPr>
        <w:t xml:space="preserve"> (Cibus)</w:t>
      </w:r>
      <w:r w:rsidR="00F03DEC">
        <w:rPr>
          <w:rFonts w:cstheme="minorBidi"/>
          <w:lang w:val="en-GB"/>
        </w:rPr>
        <w:t>.</w:t>
      </w:r>
      <w:r w:rsidR="00054C86" w:rsidRPr="3CBB9A12">
        <w:rPr>
          <w:rFonts w:cstheme="minorBidi"/>
          <w:lang w:val="en-GB"/>
        </w:rPr>
        <w:t xml:space="preserve"> </w:t>
      </w:r>
    </w:p>
    <w:p w14:paraId="1BCF40B8" w14:textId="165AF7C7" w:rsidR="001E30D6" w:rsidRPr="0026362F" w:rsidRDefault="00950A79" w:rsidP="00F03DEC">
      <w:pPr>
        <w:spacing w:after="120" w:line="240" w:lineRule="auto"/>
        <w:ind w:left="284"/>
        <w:jc w:val="both"/>
        <w:rPr>
          <w:rFonts w:asciiTheme="majorBidi" w:hAnsiTheme="majorBidi" w:cstheme="majorBidi"/>
        </w:rPr>
      </w:pPr>
      <w:r w:rsidRPr="0026362F">
        <w:rPr>
          <w:rFonts w:asciiTheme="majorBidi" w:hAnsiTheme="majorBidi" w:cstheme="majorBidi"/>
        </w:rPr>
        <w:t>Using Cibus’ Rapid Trait Development System</w:t>
      </w:r>
      <w:r w:rsidRPr="0026362F">
        <w:rPr>
          <w:rFonts w:asciiTheme="majorBidi" w:hAnsiTheme="majorBidi" w:cstheme="majorBidi"/>
          <w:vertAlign w:val="superscript"/>
        </w:rPr>
        <w:t>TM</w:t>
      </w:r>
      <w:r w:rsidRPr="0026362F">
        <w:rPr>
          <w:rFonts w:asciiTheme="majorBidi" w:hAnsiTheme="majorBidi" w:cstheme="majorBidi"/>
        </w:rPr>
        <w:t xml:space="preserve"> </w:t>
      </w:r>
      <w:r w:rsidR="000B65E1">
        <w:rPr>
          <w:rFonts w:asciiTheme="majorBidi" w:hAnsiTheme="majorBidi" w:cstheme="majorBidi"/>
        </w:rPr>
        <w:t>(</w:t>
      </w:r>
      <w:r w:rsidRPr="0026362F">
        <w:rPr>
          <w:rFonts w:asciiTheme="majorBidi" w:hAnsiTheme="majorBidi" w:cstheme="majorBidi"/>
        </w:rPr>
        <w:t>ODM</w:t>
      </w:r>
      <w:r w:rsidR="000B65E1">
        <w:rPr>
          <w:rFonts w:asciiTheme="majorBidi" w:hAnsiTheme="majorBidi" w:cstheme="majorBidi"/>
        </w:rPr>
        <w:t>)</w:t>
      </w:r>
      <w:r w:rsidRPr="0026362F">
        <w:rPr>
          <w:rFonts w:asciiTheme="majorBidi" w:hAnsiTheme="majorBidi" w:cstheme="majorBidi"/>
        </w:rPr>
        <w:t xml:space="preserve">, </w:t>
      </w:r>
      <w:r w:rsidRPr="0026362F">
        <w:rPr>
          <w:rFonts w:asciiTheme="majorBidi" w:hAnsiTheme="majorBidi" w:cstheme="majorBidi"/>
          <w:i/>
          <w:iCs/>
        </w:rPr>
        <w:t xml:space="preserve">Brassica napus </w:t>
      </w:r>
      <w:r w:rsidRPr="0026362F">
        <w:rPr>
          <w:rFonts w:asciiTheme="majorBidi" w:hAnsiTheme="majorBidi" w:cstheme="majorBidi"/>
        </w:rPr>
        <w:t xml:space="preserve">acetohydroxyacid synthase was mutated to confer tolerance to imidazolinone herbicides </w:t>
      </w:r>
      <w:r w:rsidR="003D185A">
        <w:rPr>
          <w:rFonts w:asciiTheme="majorBidi" w:hAnsiTheme="majorBidi" w:cstheme="majorBidi"/>
        </w:rPr>
        <w:fldChar w:fldCharType="begin" w:fldLock="1"/>
      </w:r>
      <w:r w:rsidR="004028F0">
        <w:rPr>
          <w:rFonts w:asciiTheme="majorBidi" w:hAnsiTheme="majorBidi" w:cstheme="majorBidi"/>
        </w:rPr>
        <w:instrText>ADDIN CSL_CITATION {"citationItems":[{"id":"ITEM-1","itemData":{"author":[{"dropping-particle":"","family":"Schopke","given":"Christian","non-dropping-particle":"","parse-names":false,"suffix":""},{"dropping-particle":"","family":"Gocal","given":"Greg F. W.","non-dropping-particle":"","parse-names":false,"suffix":""},{"dropping-particle":"","family":"Walker","given":"Keith","non-dropping-particle":"","parse-names":false,"suffix":""},{"dropping-particle":"","family":"Beetham","given":"Peter R.","non-dropping-particle":"","parse-names":false,"suffix":""}],"id":"ITEM-1","issued":{"date-parts":[["2008"]]},"number":"CA2701624A1","title":"Mutated acetohydroxyacid synthase genes in brassica","type":"patent"},"uris":["http://www.mendeley.com/documents/?uuid=931e3f29-c3ec-4b0e-ad53-c31821f68fbc"]},{"id":"ITEM-2","itemData":{"author":[{"dropping-particle":"","family":"Cibus","given":"","non-dropping-particle":"","parse-names":false,"suffix":""}],"id":"ITEM-2","issued":{"date-parts":[["2014"]]},"publisher-place":"San Diego, USA","title":"Cibus Announces Approval of First Commercial Product SU Canola™ in Canada","type":"article"},"uris":["http://www.mendeley.com/documents/?uuid=9a453b8b-3079-456e-9586-588eb5ef3f9f"]}],"mendeley":{"formattedCitation":"(Cibus, 2014; Schopke et al., 2008)","plainTextFormattedCitation":"(Cibus, 2014; Schopke et al., 2008)","previouslyFormattedCitation":"(Cibus, 2014; Schopke et al., 2008)"},"properties":{"noteIndex":0},"schema":"https://github.com/citation-style-language/schema/raw/master/csl-citation.json"}</w:instrText>
      </w:r>
      <w:r w:rsidR="003D185A">
        <w:rPr>
          <w:rFonts w:asciiTheme="majorBidi" w:hAnsiTheme="majorBidi" w:cstheme="majorBidi"/>
        </w:rPr>
        <w:fldChar w:fldCharType="separate"/>
      </w:r>
      <w:r w:rsidR="002F5652" w:rsidRPr="002F5652">
        <w:rPr>
          <w:rFonts w:asciiTheme="majorBidi" w:hAnsiTheme="majorBidi" w:cstheme="majorBidi"/>
          <w:noProof/>
        </w:rPr>
        <w:t>(Cibus, 2014; Schopke et al., 2008)</w:t>
      </w:r>
      <w:r w:rsidR="003D185A">
        <w:rPr>
          <w:rFonts w:asciiTheme="majorBidi" w:hAnsiTheme="majorBidi" w:cstheme="majorBidi"/>
        </w:rPr>
        <w:fldChar w:fldCharType="end"/>
      </w:r>
      <w:r w:rsidR="003D185A">
        <w:rPr>
          <w:rFonts w:asciiTheme="majorBidi" w:hAnsiTheme="majorBidi" w:cstheme="majorBidi"/>
        </w:rPr>
        <w:t>.</w:t>
      </w:r>
    </w:p>
    <w:p w14:paraId="6727307D" w14:textId="0A856A70" w:rsidR="00CB473D" w:rsidRDefault="004F04DB" w:rsidP="004F04DB">
      <w:pPr>
        <w:pStyle w:val="Heading5"/>
        <w:tabs>
          <w:tab w:val="clear" w:pos="1800"/>
        </w:tabs>
        <w:ind w:left="284" w:hanging="284"/>
        <w:rPr>
          <w:rFonts w:cstheme="minorBidi"/>
          <w:lang w:val="en-GB"/>
        </w:rPr>
      </w:pPr>
      <w:r>
        <w:rPr>
          <w:i w:val="0"/>
          <w:iCs/>
        </w:rPr>
        <w:t xml:space="preserve">(d) </w:t>
      </w:r>
      <w:r w:rsidR="00CB473D">
        <w:t>Self-limiting insects (Oxitec)</w:t>
      </w:r>
      <w:r w:rsidR="00F03DEC">
        <w:rPr>
          <w:rFonts w:cstheme="minorBidi"/>
          <w:lang w:val="en-GB"/>
        </w:rPr>
        <w:t>.</w:t>
      </w:r>
    </w:p>
    <w:p w14:paraId="7058E602" w14:textId="6C29B32D" w:rsidR="003D1ED4" w:rsidRPr="00054C86" w:rsidRDefault="007F077E" w:rsidP="004E20EF">
      <w:pPr>
        <w:suppressAutoHyphens/>
        <w:autoSpaceDE w:val="0"/>
        <w:spacing w:before="120" w:after="120" w:line="240" w:lineRule="auto"/>
        <w:ind w:left="284"/>
        <w:contextualSpacing/>
        <w:jc w:val="both"/>
        <w:rPr>
          <w:rFonts w:ascii="Times New Roman" w:eastAsia="Times New Roman" w:hAnsi="Times New Roman" w:cstheme="minorBidi"/>
        </w:rPr>
      </w:pPr>
      <w:r w:rsidRPr="004D7B38">
        <w:rPr>
          <w:rFonts w:ascii="Times New Roman" w:eastAsia="Times New Roman" w:hAnsi="Times New Roman" w:cstheme="minorBidi"/>
        </w:rPr>
        <w:t xml:space="preserve">Engineered insects </w:t>
      </w:r>
      <w:r w:rsidR="00C336B0">
        <w:rPr>
          <w:rFonts w:ascii="Times New Roman" w:eastAsia="Times New Roman" w:hAnsi="Times New Roman" w:cstheme="minorBidi"/>
        </w:rPr>
        <w:t xml:space="preserve">have been developed to </w:t>
      </w:r>
      <w:r w:rsidRPr="004D7B38">
        <w:rPr>
          <w:rFonts w:ascii="Times New Roman" w:eastAsia="Times New Roman" w:hAnsi="Times New Roman" w:cstheme="minorBidi"/>
        </w:rPr>
        <w:t>contain a self-limiting gene</w:t>
      </w:r>
      <w:r w:rsidR="002213FC">
        <w:rPr>
          <w:rFonts w:ascii="Times New Roman" w:eastAsia="Times New Roman" w:hAnsi="Times New Roman" w:cstheme="minorBidi"/>
        </w:rPr>
        <w:t>tic circuit</w:t>
      </w:r>
      <w:r w:rsidRPr="004D7B38">
        <w:rPr>
          <w:rFonts w:ascii="Times New Roman" w:eastAsia="Times New Roman" w:hAnsi="Times New Roman" w:cstheme="minorBidi"/>
        </w:rPr>
        <w:t xml:space="preserve"> </w:t>
      </w:r>
      <w:r w:rsidR="00834489">
        <w:rPr>
          <w:rFonts w:ascii="Times New Roman" w:eastAsia="Times New Roman" w:hAnsi="Times New Roman" w:cstheme="minorBidi"/>
        </w:rPr>
        <w:t>that</w:t>
      </w:r>
      <w:r w:rsidRPr="004D7B38">
        <w:rPr>
          <w:rFonts w:ascii="Times New Roman" w:eastAsia="Times New Roman" w:hAnsi="Times New Roman" w:cstheme="minorBidi"/>
        </w:rPr>
        <w:t xml:space="preserve"> result</w:t>
      </w:r>
      <w:r w:rsidR="00834489">
        <w:rPr>
          <w:rFonts w:ascii="Times New Roman" w:eastAsia="Times New Roman" w:hAnsi="Times New Roman" w:cstheme="minorBidi"/>
        </w:rPr>
        <w:t>s</w:t>
      </w:r>
      <w:r w:rsidRPr="004D7B38">
        <w:rPr>
          <w:rFonts w:ascii="Times New Roman" w:eastAsia="Times New Roman" w:hAnsi="Times New Roman" w:cstheme="minorBidi"/>
        </w:rPr>
        <w:t xml:space="preserve"> in a reduction in pest insect population that either spread human disease (e.g</w:t>
      </w:r>
      <w:r w:rsidRPr="62A31BC7">
        <w:rPr>
          <w:rFonts w:ascii="Times New Roman" w:eastAsia="Times New Roman" w:hAnsi="Times New Roman" w:cstheme="minorBidi"/>
        </w:rPr>
        <w:t>.</w:t>
      </w:r>
      <w:r w:rsidR="419FD65E" w:rsidRPr="62A31BC7">
        <w:rPr>
          <w:rFonts w:ascii="Times New Roman" w:eastAsia="Times New Roman" w:hAnsi="Times New Roman" w:cstheme="minorBidi"/>
        </w:rPr>
        <w:t>,</w:t>
      </w:r>
      <w:r w:rsidRPr="004D7B38">
        <w:rPr>
          <w:rFonts w:ascii="Times New Roman" w:eastAsia="Times New Roman" w:hAnsi="Times New Roman" w:cstheme="minorBidi"/>
        </w:rPr>
        <w:t xml:space="preserve"> </w:t>
      </w:r>
      <w:r w:rsidRPr="008805B8">
        <w:rPr>
          <w:rFonts w:ascii="Times New Roman" w:eastAsia="Times New Roman" w:hAnsi="Times New Roman" w:cstheme="minorBidi"/>
          <w:i/>
          <w:iCs/>
        </w:rPr>
        <w:t>Aedes aegypti</w:t>
      </w:r>
      <w:r w:rsidRPr="004D7B38">
        <w:rPr>
          <w:rFonts w:ascii="Times New Roman" w:eastAsia="Times New Roman" w:hAnsi="Times New Roman" w:cstheme="minorBidi"/>
        </w:rPr>
        <w:t xml:space="preserve">, </w:t>
      </w:r>
      <w:r w:rsidRPr="008805B8">
        <w:rPr>
          <w:rFonts w:ascii="Times New Roman" w:eastAsia="Times New Roman" w:hAnsi="Times New Roman" w:cstheme="minorBidi"/>
          <w:i/>
          <w:iCs/>
        </w:rPr>
        <w:t>Anopheles albimanus</w:t>
      </w:r>
      <w:r w:rsidRPr="004D7B38">
        <w:rPr>
          <w:rFonts w:ascii="Times New Roman" w:eastAsia="Times New Roman" w:hAnsi="Times New Roman" w:cstheme="minorBidi"/>
        </w:rPr>
        <w:t xml:space="preserve">, </w:t>
      </w:r>
      <w:r w:rsidRPr="008805B8">
        <w:rPr>
          <w:rFonts w:ascii="Times New Roman" w:eastAsia="Times New Roman" w:hAnsi="Times New Roman" w:cstheme="minorBidi"/>
          <w:i/>
          <w:iCs/>
        </w:rPr>
        <w:t>Anopheles stephensi</w:t>
      </w:r>
      <w:r w:rsidRPr="004D7B38">
        <w:rPr>
          <w:rFonts w:ascii="Times New Roman" w:eastAsia="Times New Roman" w:hAnsi="Times New Roman" w:cstheme="minorBidi"/>
        </w:rPr>
        <w:t xml:space="preserve">) or that damage crops (fall armyworm, soybean looper, medfly, spotted-wing Drosophila, diamondback moth) </w:t>
      </w:r>
      <w:r w:rsidR="00FC4F6F">
        <w:rPr>
          <w:rFonts w:ascii="Times New Roman" w:eastAsia="Times New Roman" w:hAnsi="Times New Roman" w:cstheme="minorBidi"/>
        </w:rPr>
        <w:fldChar w:fldCharType="begin" w:fldLock="1"/>
      </w:r>
      <w:r w:rsidR="00CA166E">
        <w:rPr>
          <w:rFonts w:ascii="Times New Roman" w:eastAsia="Times New Roman" w:hAnsi="Times New Roman" w:cstheme="minorBidi"/>
        </w:rPr>
        <w:instrText>ADDIN CSL_CITATION {"citationItems":[{"id":"ITEM-1","itemData":{"DOI":"10.1371/journal.pone.0062711","ISSN":"19326203","PMID":"23690948","abstract":"OX513A is a transgenic strain of Aedes aegypti engineered to carry a dominant, non-sex-specific, late-acting lethal genetic system that is repressed in the presence of tetracycline. It was designed for use in a sterile-insect (SIT) pest control system called RIDL®(Release of Insects carrying a Dominant Lethal gene) by which transgenic males are released in the field to mate with wild females; in the absence of tetracycline, the progeny from such matings will not survive. We investigated the mating fitness of OX513A in the laboratory. Male OX513A were as effective as Rockefeller (ROCK) males at inducing refractoriness to further mating in wild type females and there was no reduction in their ability to inseminate multiple females. They had a lower mating success but yielded more progeny than the wild-type comparator strain (ROCK) when one male of each strain was caged with a ROCK female. Mating success and fertility of groups of 10 males-with different ratios of RIDL to ROCK-competing for five ROCK females was similar, but the median longevity of RIDL males was somewhat (18%) lower. We conclude that the fitness under laboratory conditions of OX513A males carrying a tetracycline repressible lethal gene is comparable to that of males of the wild-type comparator strain. ©2013 Massonnet-Bruneel et al.","author":[{"dropping-particle":"","family":"Massonnet-Bruneel","given":"Blandine","non-dropping-particle":"","parse-names":false,"suffix":""},{"dropping-particle":"","family":"Corre-Catelin","given":"Nicole","non-dropping-particle":"","parse-names":false,"suffix":""},{"dropping-particle":"","family":"Lacroix","given":"Renaud","non-dropping-particle":"","parse-names":false,"suffix":""},{"dropping-particle":"","family":"Lees","given":"Rosemary S","non-dropping-particle":"","parse-names":false,"suffix":""},{"dropping-particle":"","family":"Hoang","given":"Kim Phuc","non-dropping-particle":"","parse-names":false,"suffix":""},{"dropping-particle":"","family":"Nimmo","given":"Derric","non-dropping-particle":"","parse-names":false,"suffix":""},{"dropping-particle":"","family":"Alphey","given":"Luke","non-dropping-particle":"","parse-names":false,"suffix":""},{"dropping-particle":"","family":"Reiter","given":"Paul","non-dropping-particle":"","parse-names":false,"suffix":""}],"container-title":"PLoS ONE","id":"ITEM-1","issue":"5","issued":{"date-parts":[["2013","5"]]},"publisher":"PLoS One","title":"Fitness of Transgenic Mosquito Aedes aegypti Males Carrying a Dominant Lethal Genetic System","type":"article-journal","volume":"8"},"uris":["http://www.mendeley.com/documents/?uuid=19454410-a4a1-4948-9132-a6a71e0648c5"]},{"id":"ITEM-2","itemData":{"DOI":"10.1371/journal.pntd.0003864","ISSN":"1935-2735","abstract":"The increasing burden of dengue, and the relative failure of traditional vector control programs highlight the need to develop new control methods. SIT using self-limiting genetic technology is one such promising method. A self-limiting strain of Aedes aegypti, OX513A, has already reached the stage of field evaluation. Sustained releases of OX513A Ae. aegypti males led to 80% suppression of a target wild Ae. aegypti population in the Cayman Islands in 2010. Here we describe sustained series of field releases of OX513A Ae. aegypti males in a suburb of Juazeiro, Bahia, Brazil. This study spanned over a year and reduced the local Ae. aegypti population by 95% (95% CI: 92.2%-97.5%) based on adult trap data and 81% (95% CI: 74.9-85.2%) based on ovitrap indices compared to the adjacent no-release control area. The mating competitiveness of the released males (0.031; 95% CI: 0.025-0.036) was similar to that estimated in the Cayman trials (0.059; 95% CI: 0.011 – 0.210), indicating that environmental and target-strain differences had little impact on the mating success of the OX513A males. We conclude that sustained release of OX513A males may be an effective and widely useful method for suppression of the key dengue vector Ae. aegypti. The observed level of suppression would likely be sufficient to prevent dengue epidemics in the locality tested and other areas with similar or lower transmission.","author":[{"dropping-particle":"","family":"Carvalho","given":"Danilo O","non-dropping-particle":"","parse-names":false,"suffix":""},{"dropping-particle":"","family":"McKemey","given":"Andrew R","non-dropping-particle":"","parse-names":false,"suffix":""},{"dropping-particle":"","family":"Garziera","given":"Luiza","non-dropping-particle":"","parse-names":false,"suffix":""},{"dropping-particle":"","family":"Lacroix","given":"Renaud","non-dropping-particle":"","parse-names":false,"suffix":""},{"dropping-particle":"","family":"Donnelly","given":"Christl A","non-dropping-particle":"","parse-names":false,"suffix":""},{"dropping-particle":"","family":"Alphey","given":"Luke","non-dropping-particle":"","parse-names":false,"suffix":""},{"dropping-particle":"","family":"Malavasi","given":"Aldo","non-dropping-particle":"","parse-names":false,"suffix":""},{"dropping-particle":"","family":"Capurro","given":"Margareth L","non-dropping-particle":"","parse-names":false,"suffix":""}],"container-title":"PLOS Neglected Tropical Diseases","editor":[{"dropping-particle":"","family":"Olson","given":"Ken E","non-dropping-particle":"","parse-names":false,"suffix":""}],"id":"ITEM-2","issue":"7","issued":{"date-parts":[["2015","7"]]},"page":"e0003864","publisher":"Public Library of Science","title":"Suppression of a Field Population of Aedes aegypti in Brazil by Sustained Release of Transgenic Male Mosquitoes","type":"article-journal","volume":"9"},"uris":["http://www.mendeley.com/documents/?uuid=9429a8f8-ac4f-4ef4-a212-49f75bc5af75"]},{"id":"ITEM-3","itemData":{"DOI":"10.3389/fbioe.2019.00482","ISSN":"2296-4185","author":[{"dropping-particle":"","family":"Shelton","given":"Anthony M.","non-dropping-particle":"","parse-names":false,"suffix":""},{"dropping-particle":"","family":"Long","given":"Stefan J.","non-dropping-particle":"","parse-names":false,"suffix":""},{"dropping-particle":"","family":"Walker","given":"Adam S.","non-dropping-particle":"","parse-names":false,"suffix":""},{"dropping-particle":"","family":"Bolton","given":"Michael","non-dropping-particle":"","parse-names":false,"suffix":""},{"dropping-particle":"","family":"Collins","given":"Hilda L.","non-dropping-particle":"","parse-names":false,"suffix":""},{"dropping-particle":"","family":"Revuelta","given":"Loïc","non-dropping-particle":"","parse-names":false,"suffix":""},{"dropping-particle":"","family":"Johnson","given":"Lynn M.","non-dropping-particle":"","parse-names":false,"suffix":""},{"dropping-particle":"","family":"Morrison","given":"Neil I.","non-dropping-particle":"","parse-names":false,"suffix":""}],"container-title":"Frontiers in Bioengineering and Biotechnology","id":"ITEM-3","issued":{"date-parts":[["2020","1","29"]]},"title":"First Field Release of a Genetically Engineered, Self-Limiting Agricultural Pest Insect: Evaluating Its Potential for Future Crop Protection","type":"article-journal","volume":"7"},"uris":["http://www.mendeley.com/documents/?uuid=b10cc0e6-e2cc-446c-baf6-46032aaeec42"]}],"mendeley":{"formattedCitation":"(Carvalho et al., 2015; Massonnet-Bruneel et al., 2013; Shelton et al., 2020)","plainTextFormattedCitation":"(Carvalho et al., 2015; Massonnet-Bruneel et al., 2013; Shelton et al., 2020)","previouslyFormattedCitation":"(Carvalho et al., 2015; Massonnet-Bruneel et al., 2013; Shelton et al., 2020)"},"properties":{"noteIndex":0},"schema":"https://github.com/citation-style-language/schema/raw/master/csl-citation.json"}</w:instrText>
      </w:r>
      <w:r w:rsidR="00FC4F6F">
        <w:rPr>
          <w:rFonts w:ascii="Times New Roman" w:eastAsia="Times New Roman" w:hAnsi="Times New Roman" w:cstheme="minorBidi"/>
        </w:rPr>
        <w:fldChar w:fldCharType="separate"/>
      </w:r>
      <w:r w:rsidR="00FC4F6F" w:rsidRPr="00FC4F6F">
        <w:rPr>
          <w:rFonts w:ascii="Times New Roman" w:eastAsia="Times New Roman" w:hAnsi="Times New Roman" w:cstheme="minorBidi"/>
          <w:noProof/>
        </w:rPr>
        <w:t>(Carvalho et al., 2015; Massonnet-Bruneel et al., 2013; Shelton et al., 2020)</w:t>
      </w:r>
      <w:r w:rsidR="00FC4F6F">
        <w:rPr>
          <w:rFonts w:ascii="Times New Roman" w:eastAsia="Times New Roman" w:hAnsi="Times New Roman" w:cstheme="minorBidi"/>
        </w:rPr>
        <w:fldChar w:fldCharType="end"/>
      </w:r>
    </w:p>
    <w:p w14:paraId="5C2E3741" w14:textId="703A9B65" w:rsidR="00054C86" w:rsidRPr="00F03DEC" w:rsidRDefault="003D6125">
      <w:pPr>
        <w:pStyle w:val="Heading4"/>
        <w:rPr>
          <w:rStyle w:val="Heading2Char"/>
          <w:rFonts w:ascii="Times New Roman Bold" w:eastAsia="Arial Unicode MS" w:hAnsi="Times New Roman Bold"/>
        </w:rPr>
      </w:pPr>
      <w:bookmarkStart w:id="66" w:name="_Toc70112680"/>
      <w:bookmarkStart w:id="67" w:name="_Toc70685702"/>
      <w:r w:rsidRPr="00475BDC">
        <w:rPr>
          <w:rStyle w:val="Heading2Char"/>
          <w:rFonts w:ascii="Times New Roman Bold" w:eastAsia="Arial Unicode MS" w:hAnsi="Times New Roman Bold"/>
          <w:b/>
          <w:bCs/>
        </w:rPr>
        <w:t>3</w:t>
      </w:r>
      <w:r w:rsidR="00054C86" w:rsidRPr="00475BDC">
        <w:rPr>
          <w:rStyle w:val="Heading2Char"/>
          <w:rFonts w:ascii="Times New Roman Bold" w:eastAsia="Arial Unicode MS" w:hAnsi="Times New Roman Bold"/>
          <w:b/>
          <w:bCs/>
        </w:rPr>
        <w:t>.2.2. Advanced development</w:t>
      </w:r>
      <w:r w:rsidR="002E494C" w:rsidRPr="00F03DEC">
        <w:rPr>
          <w:rStyle w:val="Heading2Char"/>
          <w:rFonts w:ascii="Times New Roman Bold" w:eastAsia="Arial Unicode MS" w:hAnsi="Times New Roman Bold"/>
        </w:rPr>
        <w:t>.</w:t>
      </w:r>
      <w:bookmarkEnd w:id="66"/>
      <w:bookmarkEnd w:id="67"/>
    </w:p>
    <w:p w14:paraId="5758DE84" w14:textId="173B0474" w:rsidR="00054C86" w:rsidRPr="003E30A0" w:rsidRDefault="00DE7978" w:rsidP="002B7A6D">
      <w:pPr>
        <w:pStyle w:val="Heading5"/>
        <w:tabs>
          <w:tab w:val="clear" w:pos="1800"/>
        </w:tabs>
        <w:ind w:left="284" w:hanging="284"/>
        <w:rPr>
          <w:rFonts w:asciiTheme="minorHAnsi" w:eastAsiaTheme="minorHAnsi" w:hAnsiTheme="minorHAnsi"/>
          <w:i w:val="0"/>
        </w:rPr>
      </w:pPr>
      <w:r>
        <w:rPr>
          <w:i w:val="0"/>
          <w:iCs/>
        </w:rPr>
        <w:t xml:space="preserve">(a) </w:t>
      </w:r>
      <w:r w:rsidR="00054C86" w:rsidRPr="00054C86">
        <w:t>Genome edited plants and animals</w:t>
      </w:r>
      <w:r w:rsidR="002E494C">
        <w:t>.</w:t>
      </w:r>
    </w:p>
    <w:p w14:paraId="208C88F0" w14:textId="7CE35361" w:rsidR="00054C86" w:rsidRPr="00054C86" w:rsidRDefault="00054C86" w:rsidP="00C336B0">
      <w:pPr>
        <w:spacing w:before="120" w:after="120" w:line="240" w:lineRule="auto"/>
        <w:jc w:val="both"/>
        <w:rPr>
          <w:rFonts w:ascii="Times New Roman" w:eastAsia="Times New Roman" w:hAnsi="Times New Roman" w:cstheme="minorBidi"/>
          <w:lang w:eastAsia="ar-SA"/>
        </w:rPr>
      </w:pPr>
      <w:r w:rsidRPr="3CBB9A12">
        <w:rPr>
          <w:rFonts w:ascii="Times New Roman" w:eastAsia="Times New Roman" w:hAnsi="Times New Roman" w:cstheme="minorBidi"/>
          <w:lang w:eastAsia="ar-SA"/>
        </w:rPr>
        <w:t xml:space="preserve">Menz et al. </w:t>
      </w:r>
      <w:r w:rsidRPr="3CBB9A12">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{"citationItems":[{"id":"ITEM-1","itemData":{"DOI":"10.3389/fpls.2020.586027","ISSN":"1664462X","abstract":"Products of genome editing as the most promising “New Plant Breeding Technology” (NPBT) have made the transition from the lab to the market in a short time. Globally, research activities employing genome editing are constantly expanding and more and more plants with market-oriented traits are being developed, while companies already released the first genome-edited crops to the market. Few countries, most of which are located in the Americas, have adapted legislations to these technologies or released guidelines supporting the use of genome editing. Other countries are debating the path to come either because there is no clarity on the legal classification or due consensus is hampered by a renewed GMO debate. In recent years (2017 - 2020), eight countries have introduced guidelines clarifying the legal status of genome edited products and many of those are actively committed to international harmonization of their policies. In this publication we give an overview on the current and potentially future international regulatory environment and an update on plants derived by genome editing with market oriented traits.","author":[{"dropping-particle":"","family":"Menz","given":"Jochen","non-dropping-particle":"","parse-names":false,"suffix":""},{"dropping-particle":"","family":"Modrzejewski","given":"Dominik","non-dropping-particle":"","parse-names":false,"suffix":""},{"dropping-particle":"","family":"Hartung","given":"Frank","non-dropping-particle":"","parse-names":false,"suffix":""},{"dropping-particle":"","family":"Wilhelm","given":"Ralf","non-dropping-particle":"","parse-names":false,"suffix":""},{"dropping-particle":"","family":"Sprink","given":"Thorben","non-dropping-particle":"","parse-names":false,"suffix":""}],"container-title":"Frontiers in Plant Science","id":"ITEM-1","issue":"October","issued":{"date-parts":[["2020"]]},"title":"Genome Edited Crops Touch the Market: A View on the Global Development and Regulatory Environment","type":"article-journal","volume":"11"},"uris":["http://www.mendeley.com/documents/?uuid=b19eeb8b-823a-47b4-a4a6-4df3cc472290"]}],"mendeley":{"formattedCitation":"(Menz et al., 2020)","manualFormatting":"(2020)","plainTextFormattedCitation":"(Menz et al., 2020)","previouslyFormattedCitation":"(Menz et al., 2020)"},"properties":{"noteIndex":0},"schema":"https://github.com/citation-style-language/schema/raw/master/csl-citation.json"}</w:instrText>
      </w:r>
      <w:r w:rsidRPr="3CBB9A12">
        <w:rPr>
          <w:rFonts w:ascii="Times New Roman" w:eastAsia="Times New Roman" w:hAnsi="Times New Roman" w:cstheme="minorBidi"/>
          <w:lang w:eastAsia="ar-SA"/>
        </w:rPr>
        <w:fldChar w:fldCharType="separate"/>
      </w:r>
      <w:r w:rsidRPr="3CBB9A12">
        <w:rPr>
          <w:rFonts w:ascii="Times New Roman" w:eastAsia="Times New Roman" w:hAnsi="Times New Roman" w:cstheme="minorBidi"/>
          <w:noProof/>
          <w:lang w:eastAsia="ar-SA"/>
        </w:rPr>
        <w:t>(2020)</w:t>
      </w:r>
      <w:r w:rsidRPr="3CBB9A12">
        <w:rPr>
          <w:rFonts w:ascii="Times New Roman" w:eastAsia="Times New Roman" w:hAnsi="Times New Roman" w:cstheme="minorBidi"/>
          <w:lang w:eastAsia="ar-SA"/>
        </w:rPr>
        <w:fldChar w:fldCharType="end"/>
      </w:r>
      <w:r w:rsidRPr="3CBB9A12">
        <w:rPr>
          <w:rFonts w:ascii="Times New Roman" w:eastAsia="Times New Roman" w:hAnsi="Times New Roman" w:cstheme="minorBidi"/>
          <w:lang w:eastAsia="ar-SA"/>
        </w:rPr>
        <w:t xml:space="preserve"> have recently reviewed and estimated that 140 genome-edited cultivars of 36 crops that improve yields, nutrition, and pest resistance, are </w:t>
      </w:r>
      <w:r w:rsidR="002E08C4" w:rsidRPr="3CBB9A12">
        <w:rPr>
          <w:rFonts w:ascii="Times New Roman" w:eastAsia="Times New Roman" w:hAnsi="Times New Roman" w:cstheme="minorBidi"/>
          <w:lang w:eastAsia="ar-SA"/>
        </w:rPr>
        <w:t>already under development</w:t>
      </w:r>
      <w:r w:rsidRPr="3CBB9A12">
        <w:rPr>
          <w:rFonts w:ascii="Times New Roman" w:eastAsia="Times New Roman" w:hAnsi="Times New Roman" w:cstheme="minorBidi"/>
          <w:lang w:eastAsia="ar-SA"/>
        </w:rPr>
        <w:t>. A yield-improved maize (</w:t>
      </w:r>
      <w:r w:rsidRPr="005F1592">
        <w:rPr>
          <w:rFonts w:ascii="Times New Roman" w:eastAsia="Times New Roman" w:hAnsi="Times New Roman" w:cstheme="minorBidi"/>
          <w:i/>
          <w:lang w:eastAsia="ar-SA"/>
        </w:rPr>
        <w:t>Corteva</w:t>
      </w:r>
      <w:r w:rsidRPr="3CBB9A12">
        <w:rPr>
          <w:rFonts w:ascii="Times New Roman" w:eastAsia="Times New Roman" w:hAnsi="Times New Roman" w:cstheme="minorBidi"/>
          <w:lang w:eastAsia="ar-SA"/>
        </w:rPr>
        <w:t>) and a better-tasting mustard (</w:t>
      </w:r>
      <w:r w:rsidRPr="005F1592">
        <w:rPr>
          <w:rFonts w:ascii="Times New Roman" w:eastAsia="Times New Roman" w:hAnsi="Times New Roman" w:cstheme="minorBidi"/>
          <w:i/>
          <w:lang w:eastAsia="ar-SA"/>
        </w:rPr>
        <w:t>Pairwise</w:t>
      </w:r>
      <w:r w:rsidRPr="3CBB9A12">
        <w:rPr>
          <w:rFonts w:ascii="Times New Roman" w:eastAsia="Times New Roman" w:hAnsi="Times New Roman" w:cstheme="minorBidi"/>
          <w:lang w:eastAsia="ar-SA"/>
        </w:rPr>
        <w:t xml:space="preserve">) could be the first engineered products using CRISPR-Cas9 to enter the food supply in 2021 </w:t>
      </w:r>
      <w:r w:rsidRPr="3CBB9A12">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{"citationItems":[{"id":"ITEM-1","itemData":{"DOI":"10.1038/s41467-020-20122-2","ISSN":"2041-1723","author":[{"dropping-particle":"","family":"Voigt","given":"Christopher A.","non-dropping-particle":"","parse-names":false,"suffix":""}],"container-title":"Nature Communications","id":"ITEM-1","issue":"1","issued":{"date-parts":[["2020","12"]]},"page":"6379","title":"Synthetic biology 2020–2030: six commercially-available products that are changing our world","type":"article-journal","volume":"11"},"uris":["http://www.mendeley.com/documents/?uuid=9f5ae5ac-c17d-4080-93da-96806882e5a3"]}],"mendeley":{"formattedCitation":"(Voigt, 2020)","plainTextFormattedCitation":"(Voigt, 2020)","previouslyFormattedCitation":"(Voigt, 2020)"},"properties":{"noteIndex":0},"schema":"https://github.com/citation-style-language/schema/raw/master/csl-citation.json"}</w:instrText>
      </w:r>
      <w:r w:rsidRPr="3CBB9A12">
        <w:rPr>
          <w:rFonts w:ascii="Times New Roman" w:eastAsia="Times New Roman" w:hAnsi="Times New Roman" w:cstheme="minorBidi"/>
          <w:lang w:eastAsia="ar-SA"/>
        </w:rPr>
        <w:fldChar w:fldCharType="separate"/>
      </w:r>
      <w:r w:rsidRPr="3CBB9A12">
        <w:rPr>
          <w:rFonts w:ascii="Times New Roman" w:eastAsia="Times New Roman" w:hAnsi="Times New Roman" w:cstheme="minorBidi"/>
          <w:noProof/>
          <w:lang w:eastAsia="ar-SA"/>
        </w:rPr>
        <w:t>(Voigt, 2020)</w:t>
      </w:r>
      <w:r w:rsidRPr="3CBB9A12">
        <w:rPr>
          <w:rFonts w:ascii="Times New Roman" w:eastAsia="Times New Roman" w:hAnsi="Times New Roman" w:cstheme="minorBidi"/>
          <w:lang w:eastAsia="ar-SA"/>
        </w:rPr>
        <w:fldChar w:fldCharType="end"/>
      </w:r>
      <w:r w:rsidRPr="3CBB9A12">
        <w:rPr>
          <w:rFonts w:ascii="Times New Roman" w:eastAsia="Times New Roman" w:hAnsi="Times New Roman" w:cstheme="minorBidi"/>
          <w:lang w:eastAsia="ar-SA"/>
        </w:rPr>
        <w:t xml:space="preserve">. Animals are also being subjected to CRISPR-based genome editing. Voigt </w:t>
      </w:r>
      <w:r w:rsidRPr="3CBB9A12">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{"citationItems":[{"id":"ITEM-1","itemData":{"DOI":"10.3389/fpls.2020.586027","ISSN":"1664462X","abstract":"Products of genome editing as the most promising “New Plant Breeding Technology” (NPBT) have made the transition from the lab to the market in a short time. Globally, research activities employing genome editing are constantly expanding and more and more plants with market-oriented traits are being developed, while companies already released the first genome-edited crops to the market. Few countries, most of which are located in the Americas, have adapted legislations to these technologies or released guidelines supporting the use of genome editing. Other countries are debating the path to come either because there is no clarity on the legal classification or due consensus is hampered by a renewed GMO debate. In recent years (2017 - 2020), eight countries have introduced guidelines clarifying the legal status of genome edited products and many of those are actively committed to international harmonization of their policies. In this publication we give an overview on the current and potentially future international regulatory environment and an update on plants derived by genome editing with market oriented traits.","author":[{"dropping-particle":"","family":"Menz","given":"Jochen","non-dropping-particle":"","parse-names":false,"suffix":""},{"dropping-particle":"","family":"Modrzejewski","given":"Dominik","non-dropping-particle":"","parse-names":false,"suffix":""},{"dropping-particle":"","family":"Hartung","given":"Frank","non-dropping-particle":"","parse-names":false,"suffix":""},{"dropping-particle":"","family":"Wilhelm","given":"Ralf","non-dropping-particle":"","parse-names":false,"suffix":""},{"dropping-particle":"","family":"Sprink","given":"Thorben","non-dropping-particle":"","parse-names":false,"suffix":""}],"container-title":"Frontiers in Plant Science","id":"ITEM-1","issue":"October","issued":{"date-parts":[["2020"]]},"title":"Genome Edited Crops Touch the Market: A View on the Global Development and Regulatory Environment","type":"article-journal","volume":"11"},"uris":["http://www.mendeley.com/documents/?uuid=b19eeb8b-823a-47b4-a4a6-4df3cc472290"]}],"mendeley":{"formattedCitation":"(Menz et al., 2020)","manualFormatting":"(2020)","plainTextFormattedCitation":"(Menz et al., 2020)","previouslyFormattedCitation":"(Menz et al., 2020)"},"properties":{"noteIndex":0},"schema":"https://github.com/citation-style-language/schema/raw/master/csl-citation.json"}</w:instrText>
      </w:r>
      <w:r w:rsidRPr="3CBB9A12">
        <w:rPr>
          <w:rFonts w:ascii="Times New Roman" w:eastAsia="Times New Roman" w:hAnsi="Times New Roman" w:cstheme="minorBidi"/>
          <w:lang w:eastAsia="ar-SA"/>
        </w:rPr>
        <w:fldChar w:fldCharType="separate"/>
      </w:r>
      <w:r w:rsidRPr="3CBB9A12">
        <w:rPr>
          <w:rFonts w:ascii="Times New Roman" w:eastAsia="Times New Roman" w:hAnsi="Times New Roman" w:cstheme="minorBidi"/>
          <w:noProof/>
          <w:lang w:eastAsia="ar-SA"/>
        </w:rPr>
        <w:t>(2020)</w:t>
      </w:r>
      <w:r w:rsidRPr="3CBB9A12">
        <w:rPr>
          <w:rFonts w:ascii="Times New Roman" w:eastAsia="Times New Roman" w:hAnsi="Times New Roman" w:cstheme="minorBidi"/>
          <w:lang w:eastAsia="ar-SA"/>
        </w:rPr>
        <w:fldChar w:fldCharType="end"/>
      </w:r>
      <w:r w:rsidRPr="3CBB9A12">
        <w:rPr>
          <w:rFonts w:ascii="Times New Roman" w:eastAsia="Times New Roman" w:hAnsi="Times New Roman" w:cstheme="minorBidi"/>
          <w:lang w:eastAsia="ar-SA"/>
        </w:rPr>
        <w:t xml:space="preserve">, Brandt and Barrangou </w:t>
      </w:r>
      <w:r w:rsidR="00CA166E">
        <w:rPr>
          <w:rFonts w:ascii="Times New Roman" w:eastAsia="Times New Roman" w:hAnsi="Times New Roman" w:cstheme="minorBidi"/>
          <w:lang w:eastAsia="ar-SA"/>
        </w:rPr>
        <w:fldChar w:fldCharType="begin" w:fldLock="1"/>
      </w:r>
      <w:r w:rsidR="00CA166E">
        <w:rPr>
          <w:rFonts w:ascii="Times New Roman" w:eastAsia="Times New Roman" w:hAnsi="Times New Roman" w:cstheme="minorBidi"/>
          <w:lang w:eastAsia="ar-SA"/>
        </w:rPr>
        <w:instrText>ADDIN CSL_CITATION {"citationItems":[{"id":"ITEM-1","itemData":{"DOI":"10.1146/annurev-food-032818-121204","ISSN":"1941-1413","abstract":"&lt;p&gt;The food industry faces a 2050 deadline for the advancement and expansion of the food supply chain to support the world's growing population. Improvements are needed across crops, livestock, and microbes to achieve this goal. Since 2005, researchers have been attempting to make the necessary strides to reach this milestone, but attempts have fallen short. With the introduction of clustered regularly interspaced short palindromic repeats (CRISPRs) and CRISPR-associated (Cas) proteins, the food production field is now able to achieve some of its most exciting advancements since the Green Revolution. This review introduces the concept of applying CRISPR-Cas technology as a genome-editing tool for use in the food supply chain, focusing on its implementation to date in crop, livestock, and microbe production, advancement of products to market, and regulatory and societal hurdles that need to be overcome.&lt;/p&gt;","author":[{"dropping-particle":"","family":"Brandt","given":"Katelyn","non-dropping-particle":"","parse-names":false,"suffix":""},{"dropping-particle":"","family":"Barrangou","given":"Rodolphe","non-dropping-particle":"","parse-names":false,"suffix":""}],"container-title":"Annual Review of Food Science and Technology","id":"ITEM-1","issue":"1","issued":{"date-parts":[["2019","3"]]},"page":"133-150","publisher":"Annual Reviews Inc.","title":"Applications of CRISPR Technologies Across the Food Supply Chain","type":"article-journal","volume":"10"},"uris":["http://www.mendeley.com/documents/?uuid=b201b776-0189-43b8-b16c-55c197cde827"]}],"mendeley":{"formattedCitation":"(Brandt &amp; Barrangou, 2019)","manualFormatting":"(2019)","plainTextFormattedCitation":"(Brandt &amp; Barrangou, 2019)","previouslyFormattedCitation":"(Brandt &amp; Barrangou, 2019)"},"properties":{"noteIndex":0},"schema":"https://github.com/citation-style-language/schema/raw/master/csl-citation.json"}</w:instrText>
      </w:r>
      <w:r w:rsidR="00CA166E">
        <w:rPr>
          <w:rFonts w:ascii="Times New Roman" w:eastAsia="Times New Roman" w:hAnsi="Times New Roman" w:cstheme="minorBidi"/>
          <w:lang w:eastAsia="ar-SA"/>
        </w:rPr>
        <w:fldChar w:fldCharType="separate"/>
      </w:r>
      <w:r w:rsidR="00CA166E" w:rsidRPr="00CA166E">
        <w:rPr>
          <w:rFonts w:ascii="Times New Roman" w:eastAsia="Times New Roman" w:hAnsi="Times New Roman" w:cstheme="minorBidi"/>
          <w:noProof/>
          <w:lang w:eastAsia="ar-SA"/>
        </w:rPr>
        <w:t>(2019)</w:t>
      </w:r>
      <w:r w:rsidR="00CA166E">
        <w:rPr>
          <w:rFonts w:ascii="Times New Roman" w:eastAsia="Times New Roman" w:hAnsi="Times New Roman" w:cstheme="minorBidi"/>
          <w:lang w:eastAsia="ar-SA"/>
        </w:rPr>
        <w:fldChar w:fldCharType="end"/>
      </w:r>
      <w:r w:rsidR="008422C9">
        <w:rPr>
          <w:rFonts w:ascii="Times New Roman" w:eastAsia="Times New Roman" w:hAnsi="Times New Roman" w:cstheme="minorBidi"/>
          <w:lang w:eastAsia="ar-SA"/>
        </w:rPr>
        <w:t>,</w:t>
      </w:r>
      <w:r w:rsidRPr="3CBB9A12">
        <w:rPr>
          <w:rFonts w:ascii="Times New Roman" w:eastAsia="Times New Roman" w:hAnsi="Times New Roman" w:cstheme="minorBidi"/>
          <w:lang w:eastAsia="ar-SA"/>
        </w:rPr>
        <w:t xml:space="preserve"> and Bishop and Van Eenennaam </w:t>
      </w:r>
      <w:r w:rsidR="00CA166E">
        <w:rPr>
          <w:rFonts w:ascii="Times New Roman" w:eastAsia="Times New Roman" w:hAnsi="Times New Roman" w:cstheme="minorBidi"/>
          <w:lang w:eastAsia="ar-SA"/>
        </w:rPr>
        <w:fldChar w:fldCharType="begin" w:fldLock="1"/>
      </w:r>
      <w:r w:rsidR="00CA166E">
        <w:rPr>
          <w:rFonts w:ascii="Times New Roman" w:eastAsia="Times New Roman" w:hAnsi="Times New Roman" w:cstheme="minorBidi"/>
          <w:lang w:eastAsia="ar-SA"/>
        </w:rPr>
        <w:instrText>ADDIN CSL_CITATION {"citationItems":[{"id":"ITEM-1","itemData":{"DOI":"10.1242/jeb.207159","ISSN":"00220949","PMID":"32034040","abstract":"The prospect of genome editing offers a number of promising opportunities for livestock breeders. Firstly, these tools can be used in functional genomics to elucidate gene function, and identify causal variants underlying monogenic traits. Secondly, they can be used to precisely introduce useful genetic variation into structured livestock breeding programs. Such variation may include repair of genetic defects, the inactivation of undesired genes, and the moving of useful alleles and haplotypes between breeds in the absence of linkage drag. Editing could also be used to accelerate the rate of genetic progress by enabling the replacement of the germ cell lineage of commercial breeding animals with cells derived from genetically elite lines. In the future, editing may also provide a useful complement to evolving approaches to decrease the length of the generation interval through in vitro generation of gametes. For editing to be adopted, it will need to seamlessly integrate with livestock breeding schemes. This will likely involve introducing edits into multiple elite animals to avoid genetic bottlenecks. It will also require editing of different breeds and lines to maintain genetic diversity, and enable structured crossbreeding. This requirement is at odds with the process-based trigger and event-based regulatory approach that has been proposed for the products of genome editing by several countries. In the absence of regulatory harmony, researchers in some countries will have the ability to use genome editing in food animals, while others will not, resulting in disparate access to these tools, and ultimately the potential for global trade disruptions.","author":[{"dropping-particle":"","family":"Bishop","given":"Thomas Frederick","non-dropping-particle":"","parse-names":false,"suffix":""},{"dropping-particle":"","family":"Eenennaam","given":"Alison Louise","non-dropping-particle":"Van","parse-names":false,"suffix":""}],"container-title":"Journal of Experimental Biology","id":"ITEM-1","issue":"Pt Suppl 1","issued":{"date-parts":[["2020","2"]]},"publisher":"Company of Biologists Ltd","title":"Genome editing approaches to augment livestock breeding programs","type":"article","volume":"223"},"uris":["http://www.mendeley.com/documents/?uuid=2825e12d-1708-4a40-ad77-e0c2a15905a8"]}],"mendeley":{"formattedCitation":"(Bishop &amp; Van Eenennaam, 2020)","manualFormatting":"(2020)","plainTextFormattedCitation":"(Bishop &amp; Van Eenennaam, 2020)","previouslyFormattedCitation":"(Bishop &amp; Van Eenennaam, 2020)"},"properties":{"noteIndex":0},"schema":"https://github.com/citation-style-language/schema/raw/master/csl-citation.json"}</w:instrText>
      </w:r>
      <w:r w:rsidR="00CA166E">
        <w:rPr>
          <w:rFonts w:ascii="Times New Roman" w:eastAsia="Times New Roman" w:hAnsi="Times New Roman" w:cstheme="minorBidi"/>
          <w:lang w:eastAsia="ar-SA"/>
        </w:rPr>
        <w:fldChar w:fldCharType="separate"/>
      </w:r>
      <w:r w:rsidR="00CA166E" w:rsidRPr="00CA166E">
        <w:rPr>
          <w:rFonts w:ascii="Times New Roman" w:eastAsia="Times New Roman" w:hAnsi="Times New Roman" w:cstheme="minorBidi"/>
          <w:noProof/>
          <w:lang w:eastAsia="ar-SA"/>
        </w:rPr>
        <w:t>(2020)</w:t>
      </w:r>
      <w:r w:rsidR="00CA166E">
        <w:rPr>
          <w:rFonts w:ascii="Times New Roman" w:eastAsia="Times New Roman" w:hAnsi="Times New Roman" w:cstheme="minorBidi"/>
          <w:lang w:eastAsia="ar-SA"/>
        </w:rPr>
        <w:fldChar w:fldCharType="end"/>
      </w:r>
      <w:r w:rsidRPr="3CBB9A12">
        <w:rPr>
          <w:rFonts w:ascii="Times New Roman" w:eastAsia="Times New Roman" w:hAnsi="Times New Roman" w:cstheme="minorBidi"/>
          <w:lang w:eastAsia="ar-SA"/>
        </w:rPr>
        <w:t xml:space="preserve"> reviewed and reported 67 animal examples </w:t>
      </w:r>
      <w:r w:rsidR="00264247" w:rsidRPr="3CBB9A12">
        <w:rPr>
          <w:rFonts w:ascii="Times New Roman" w:eastAsia="Times New Roman" w:hAnsi="Times New Roman" w:cstheme="minorBidi"/>
          <w:lang w:eastAsia="ar-SA"/>
        </w:rPr>
        <w:t xml:space="preserve">that are being developed by genome editing, </w:t>
      </w:r>
      <w:r w:rsidRPr="3CBB9A12">
        <w:rPr>
          <w:rFonts w:ascii="Times New Roman" w:eastAsia="Times New Roman" w:hAnsi="Times New Roman" w:cstheme="minorBidi"/>
          <w:lang w:eastAsia="ar-SA"/>
        </w:rPr>
        <w:t>includ</w:t>
      </w:r>
      <w:r w:rsidR="00A31EB6" w:rsidRPr="3CBB9A12">
        <w:rPr>
          <w:rFonts w:ascii="Times New Roman" w:eastAsia="Times New Roman" w:hAnsi="Times New Roman" w:cstheme="minorBidi"/>
          <w:lang w:eastAsia="ar-SA"/>
        </w:rPr>
        <w:t>ing</w:t>
      </w:r>
      <w:r w:rsidRPr="3CBB9A12">
        <w:rPr>
          <w:rFonts w:ascii="Times New Roman" w:eastAsia="Times New Roman" w:hAnsi="Times New Roman" w:cstheme="minorBidi"/>
          <w:lang w:eastAsia="ar-SA"/>
        </w:rPr>
        <w:t xml:space="preserve"> hornless cattle, sheep with longer wool, goats that make milk with human whey protein, virus-resistant pigs, and chickens that lay allergen-free eggs. The pig genome has </w:t>
      </w:r>
      <w:r w:rsidR="008422C9">
        <w:rPr>
          <w:rFonts w:ascii="Times New Roman" w:eastAsia="Times New Roman" w:hAnsi="Times New Roman" w:cstheme="minorBidi"/>
          <w:lang w:eastAsia="ar-SA"/>
        </w:rPr>
        <w:t>also</w:t>
      </w:r>
      <w:r w:rsidRPr="3CBB9A12">
        <w:rPr>
          <w:rFonts w:ascii="Times New Roman" w:eastAsia="Times New Roman" w:hAnsi="Times New Roman" w:cstheme="minorBidi"/>
          <w:lang w:eastAsia="ar-SA"/>
        </w:rPr>
        <w:t xml:space="preserve"> been edited to be a better host for human organs, with preclinical trials in 2020 </w:t>
      </w:r>
      <w:r w:rsidRPr="3CBB9A12">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{"citationItems":[{"id":"ITEM-1","itemData":{"DOI":"10.1038/s41467-020-20122-2","ISSN":"2041-1723","author":[{"dropping-particle":"","family":"Voigt","given":"Christopher A.","non-dropping-particle":"","parse-names":false,"suffix":""}],"container-title":"Nature Communications","id":"ITEM-1","issue":"1","issued":{"date-parts":[["2020","12"]]},"page":"6379","title":"Synthetic biology 2020–2030: six commercially-available products that are changing our world","type":"article-journal","volume":"11"},"uris":["http://www.mendeley.com/documents/?uuid=9f5ae5ac-c17d-4080-93da-96806882e5a3"]}],"mendeley":{"formattedCitation":"(Voigt, 2020)","plainTextFormattedCitation":"(Voigt, 2020)","previouslyFormattedCitation":"(Voigt, 2020)"},"properties":{"noteIndex":0},"schema":"https://github.com/citation-style-language/schema/raw/master/csl-citation.json"}</w:instrText>
      </w:r>
      <w:r w:rsidRPr="3CBB9A12">
        <w:rPr>
          <w:rFonts w:ascii="Times New Roman" w:eastAsia="Times New Roman" w:hAnsi="Times New Roman" w:cstheme="minorBidi"/>
          <w:lang w:eastAsia="ar-SA"/>
        </w:rPr>
        <w:fldChar w:fldCharType="separate"/>
      </w:r>
      <w:r w:rsidRPr="3CBB9A12">
        <w:rPr>
          <w:rFonts w:ascii="Times New Roman" w:eastAsia="Times New Roman" w:hAnsi="Times New Roman" w:cstheme="minorBidi"/>
          <w:noProof/>
          <w:lang w:eastAsia="ar-SA"/>
        </w:rPr>
        <w:t>(Voigt, 2020)</w:t>
      </w:r>
      <w:r w:rsidRPr="3CBB9A12">
        <w:rPr>
          <w:rFonts w:ascii="Times New Roman" w:eastAsia="Times New Roman" w:hAnsi="Times New Roman" w:cstheme="minorBidi"/>
          <w:lang w:eastAsia="ar-SA"/>
        </w:rPr>
        <w:fldChar w:fldCharType="end"/>
      </w:r>
      <w:r w:rsidR="00B34D35" w:rsidRPr="3CBB9A12">
        <w:rPr>
          <w:rFonts w:ascii="Times New Roman" w:eastAsia="Times New Roman" w:hAnsi="Times New Roman" w:cstheme="minorBidi"/>
          <w:lang w:eastAsia="ar-SA"/>
        </w:rPr>
        <w:t>,</w:t>
      </w:r>
      <w:r w:rsidRPr="3CBB9A12">
        <w:rPr>
          <w:rFonts w:ascii="Times New Roman" w:eastAsia="Times New Roman" w:hAnsi="Times New Roman" w:cstheme="minorBidi"/>
          <w:lang w:eastAsia="ar-SA"/>
        </w:rPr>
        <w:t xml:space="preserve"> which could alleviate a global shortage of transplant organs </w:t>
      </w:r>
      <w:r w:rsidRPr="3CBB9A12">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10.1126/science.aba6487","ISSN":"0036-8075","author":[{"dropping-particle":"","family":"Servick","given":"Kelly","non-dropping-particle":"","parse-names":false,"suffix":""}],"container-title":"Science","id":"ITEM-1","issued":{"date-parts":[["2019","12"]]},"publisher":"American Association for the Advancement of Science (AAAS)","title":"Eyeing organs for human transplants, companies unveil the most extensively gene-edited pigs yet","type":"article-journal"},"uris":["http://www.mendeley.com/documents/?uuid=cb94ee6d-bd6f-4c14-96ae-55752e48a63a"]}],"mendeley":{"formattedCitation":"(Servick, 2019)","plainTextFormattedCitation":"(Servick, 2019)","previouslyFormattedCitation":"(Servick, 2019)"},"properties":{"noteIndex":0},"schema":"https://github.com/citation-style-language/schema/raw/master/csl-citation.json"}</w:instrText>
      </w:r>
      <w:r w:rsidRPr="3CBB9A12">
        <w:rPr>
          <w:rFonts w:ascii="Times New Roman" w:eastAsia="Times New Roman" w:hAnsi="Times New Roman" w:cstheme="minorBidi"/>
          <w:lang w:eastAsia="ar-SA"/>
        </w:rPr>
        <w:fldChar w:fldCharType="separate"/>
      </w:r>
      <w:r w:rsidRPr="3CBB9A12">
        <w:rPr>
          <w:rFonts w:ascii="Times New Roman" w:eastAsia="Times New Roman" w:hAnsi="Times New Roman" w:cstheme="minorBidi"/>
          <w:noProof/>
          <w:lang w:eastAsia="ar-SA"/>
        </w:rPr>
        <w:t>(Servick, 2019)</w:t>
      </w:r>
      <w:r w:rsidRPr="3CBB9A12">
        <w:rPr>
          <w:rFonts w:ascii="Times New Roman" w:eastAsia="Times New Roman" w:hAnsi="Times New Roman" w:cstheme="minorBidi"/>
          <w:lang w:eastAsia="ar-SA"/>
        </w:rPr>
        <w:fldChar w:fldCharType="end"/>
      </w:r>
      <w:r w:rsidRPr="3CBB9A12">
        <w:rPr>
          <w:rFonts w:ascii="Times New Roman" w:eastAsia="Times New Roman" w:hAnsi="Times New Roman" w:cstheme="minorBidi"/>
          <w:lang w:eastAsia="ar-SA"/>
        </w:rPr>
        <w:t>.</w:t>
      </w:r>
    </w:p>
    <w:p w14:paraId="7E35F9C0" w14:textId="35C1E642" w:rsidR="00054C86" w:rsidRPr="00DE3B5D" w:rsidRDefault="00DE7978" w:rsidP="002B7A6D">
      <w:pPr>
        <w:pStyle w:val="Heading5"/>
        <w:tabs>
          <w:tab w:val="clear" w:pos="1800"/>
        </w:tabs>
        <w:ind w:left="284" w:hanging="284"/>
        <w:rPr>
          <w:i w:val="0"/>
        </w:rPr>
      </w:pPr>
      <w:r>
        <w:rPr>
          <w:i w:val="0"/>
          <w:iCs/>
        </w:rPr>
        <w:t xml:space="preserve">(b) </w:t>
      </w:r>
      <w:r w:rsidR="00054C86" w:rsidRPr="3CBB9A12">
        <w:t>Engineered gene drives in mosquito for potential control of vector-borne diseases.</w:t>
      </w:r>
    </w:p>
    <w:p w14:paraId="291A5CC6" w14:textId="46F66D63" w:rsidR="00C67033" w:rsidRDefault="00054C86" w:rsidP="004E20EF">
      <w:pPr>
        <w:spacing w:before="120" w:after="120" w:line="240" w:lineRule="auto"/>
        <w:jc w:val="both"/>
        <w:rPr>
          <w:rFonts w:ascii="Times New Roman" w:eastAsia="Times New Roman" w:hAnsi="Times New Roman" w:cstheme="minorBidi"/>
          <w:lang w:eastAsia="ar-SA"/>
        </w:rPr>
      </w:pPr>
      <w:r w:rsidRPr="3CBB9A12">
        <w:rPr>
          <w:rFonts w:ascii="Times New Roman" w:eastAsia="Times New Roman" w:hAnsi="Times New Roman" w:cstheme="minorBidi"/>
          <w:lang w:eastAsia="ar-SA"/>
        </w:rPr>
        <w:t>Engineered gene</w:t>
      </w:r>
      <w:r w:rsidR="0063574E" w:rsidRPr="3CBB9A12">
        <w:rPr>
          <w:rFonts w:ascii="Times New Roman" w:eastAsia="Times New Roman" w:hAnsi="Times New Roman" w:cstheme="minorBidi"/>
          <w:lang w:eastAsia="ar-SA"/>
        </w:rPr>
        <w:t xml:space="preserve"> </w:t>
      </w:r>
      <w:r w:rsidRPr="3CBB9A12">
        <w:rPr>
          <w:rFonts w:ascii="Times New Roman" w:eastAsia="Times New Roman" w:hAnsi="Times New Roman" w:cstheme="minorBidi"/>
          <w:lang w:eastAsia="ar-SA"/>
        </w:rPr>
        <w:t>drive organisms are intended to spread a desired trait into a population. Usually</w:t>
      </w:r>
      <w:r w:rsidR="1D5EA255" w:rsidRPr="3CBB9A12">
        <w:rPr>
          <w:rFonts w:ascii="Times New Roman" w:eastAsia="Times New Roman" w:hAnsi="Times New Roman" w:cstheme="minorBidi"/>
          <w:lang w:eastAsia="ar-SA"/>
        </w:rPr>
        <w:t>,</w:t>
      </w:r>
      <w:r w:rsidRPr="3CBB9A12">
        <w:rPr>
          <w:rFonts w:ascii="Times New Roman" w:eastAsia="Times New Roman" w:hAnsi="Times New Roman" w:cstheme="minorBidi"/>
          <w:lang w:eastAsia="ar-SA"/>
        </w:rPr>
        <w:t xml:space="preserve"> they harbour at least two linked sets of genetic modifications: the new trait and the ability to drive the trait into a wild population </w:t>
      </w:r>
      <w:r w:rsidR="00CA166E">
        <w:rPr>
          <w:rFonts w:ascii="Times New Roman" w:eastAsia="Times New Roman" w:hAnsi="Times New Roman" w:cstheme="minorBidi"/>
          <w:lang w:eastAsia="ar-SA"/>
        </w:rPr>
        <w:fldChar w:fldCharType="begin" w:fldLock="1"/>
      </w:r>
      <w:r w:rsidR="00455337">
        <w:rPr>
          <w:rFonts w:ascii="Times New Roman" w:eastAsia="Times New Roman" w:hAnsi="Times New Roman" w:cstheme="minorBidi"/>
          <w:lang w:eastAsia="ar-SA"/>
        </w:rPr>
        <w:instrText>ADDIN CSL_CITATION {"citationItems":[{"id":"ITEM-1","itemData":{"DOI":"10.1038/s41587-020-0508-1","ISSN":"15461696","PMID":"32393821","abstract":"Only female insects transmit diseases such as malaria, dengue and Zika; therefore, control methods that bias the sex ratio of insect offspring have long been sought. Genetic elements such as sex-chromosome drives can distort sex ratios to produce unisex populations that eventually collapse, but the underlying molecular mechanisms are unknown. We report a male-biased sex-distorter gene drive (SDGD) in the human malaria vector Anopheles gambiae. We induced super-Mendelian inheritance of the X-chromosome-shredding I-PpoI nuclease by coupling this to a CRISPR-based gene drive inserted into a conserved sequence of the doublesex (dsx) gene. In modeling of invasion dynamics, SDGD was predicted to have a quicker impact on female mosquito populations than previously developed gene drives targeting female fertility. The SDGD at the dsx locus led to a male-only population from a 2.5% starting allelic frequency in 10–14 generations, with population collapse and no selection for resistance. Our results support the use of SDGD for malaria vector control.","author":[{"dropping-particle":"","family":"Simoni","given":"Alekos","non-dropping-particle":"","parse-names":false,"suffix":""},{"dropping-particle":"","family":"Hammond","given":"Andrew M","non-dropping-particle":"","parse-names":false,"suffix":""},{"dropping-particle":"","family":"Beaghton","given":"Andrea K","non-dropping-particle":"","parse-names":false,"suffix":""},{"dropping-particle":"","family":"Galizi","given":"Roberto","non-dropping-particle":"","parse-names":false,"suffix":""},{"dropping-particle":"","family":"Taxiarchi","given":"Chrysanthi","non-dropping-particle":"","parse-names":false,"suffix":""},{"dropping-particle":"","family":"Kyrou","given":"Kyros","non-dropping-particle":"","parse-names":false,"suffix":""},{"dropping-particle":"","family":"Meacci","given":"Dario","non-dropping-particle":"","parse-names":false,"suffix":""},{"dropping-particle":"","family":"Gribble","given":"Matthew","non-dropping-particle":"","parse-names":false,"suffix":""},{"dropping-particle":"","family":"Morselli","given":"Giulia","non-dropping-particle":"","parse-names":false,"suffix":""},{"dropping-particle":"","family":"Burt","given":"Austin","non-dropping-particle":"","parse-names":false,"suffix":""},{"dropping-particle":"","family":"Nolan","given":"Tony","non-dropping-particle":"","parse-names":false,"suffix":""},{"dropping-particle":"","family":"Crisanti","given":"Andrea","non-dropping-particle":"","parse-names":false,"suffix":""}],"container-title":"Nature Biotechnology","id":"ITEM-1","issue":"9","issued":{"date-parts":[["2020","9"]]},"page":"1054-1060","publisher":"Nature Research","title":"A male-biased sex-distorter gene drive for the human malaria vector Anopheles gambiae","type":"article-journal","volume":"38"},"uris":["http://www.mendeley.com/documents/?uuid=d0af16b5-776f-4f16-be15-f3d818a6030b"]}],"mendeley":{"formattedCitation":"(Simoni et al., 2020)","plainTextFormattedCitation":"(Simoni et al., 2020)","previouslyFormattedCitation":"(Simoni et al., 2020)"},"properties":{"noteIndex":0},"schema":"https://github.com/citation-style-language/schema/raw/master/csl-citation.json"}</w:instrText>
      </w:r>
      <w:r w:rsidR="00CA166E">
        <w:rPr>
          <w:rFonts w:ascii="Times New Roman" w:eastAsia="Times New Roman" w:hAnsi="Times New Roman" w:cstheme="minorBidi"/>
          <w:lang w:eastAsia="ar-SA"/>
        </w:rPr>
        <w:fldChar w:fldCharType="separate"/>
      </w:r>
      <w:r w:rsidR="00CA166E" w:rsidRPr="00CA166E">
        <w:rPr>
          <w:rFonts w:ascii="Times New Roman" w:eastAsia="Times New Roman" w:hAnsi="Times New Roman" w:cstheme="minorBidi"/>
          <w:noProof/>
          <w:lang w:eastAsia="ar-SA"/>
        </w:rPr>
        <w:t>(Simoni et al., 2020)</w:t>
      </w:r>
      <w:r w:rsidR="00CA166E">
        <w:rPr>
          <w:rFonts w:ascii="Times New Roman" w:eastAsia="Times New Roman" w:hAnsi="Times New Roman" w:cstheme="minorBidi"/>
          <w:lang w:eastAsia="ar-SA"/>
        </w:rPr>
        <w:fldChar w:fldCharType="end"/>
      </w:r>
      <w:r w:rsidRPr="3CBB9A12">
        <w:rPr>
          <w:rFonts w:ascii="Times New Roman" w:eastAsia="Times New Roman" w:hAnsi="Times New Roman" w:cstheme="minorBidi"/>
          <w:lang w:eastAsia="ar-SA"/>
        </w:rPr>
        <w:t xml:space="preserve">. Some </w:t>
      </w:r>
      <w:r w:rsidR="0012305E">
        <w:rPr>
          <w:rFonts w:ascii="Times New Roman" w:eastAsia="Times New Roman" w:hAnsi="Times New Roman" w:cstheme="minorBidi"/>
          <w:lang w:eastAsia="ar-SA"/>
        </w:rPr>
        <w:t xml:space="preserve">engineered </w:t>
      </w:r>
      <w:r w:rsidRPr="3CBB9A12">
        <w:rPr>
          <w:rFonts w:ascii="Times New Roman" w:eastAsia="Times New Roman" w:hAnsi="Times New Roman" w:cstheme="minorBidi"/>
          <w:lang w:eastAsia="ar-SA"/>
        </w:rPr>
        <w:t xml:space="preserve">gene drive developments are in </w:t>
      </w:r>
      <w:r w:rsidR="007646FA" w:rsidRPr="3CBB9A12">
        <w:rPr>
          <w:rFonts w:ascii="Times New Roman" w:eastAsia="Times New Roman" w:hAnsi="Times New Roman" w:cstheme="minorBidi"/>
          <w:lang w:eastAsia="ar-SA"/>
        </w:rPr>
        <w:t xml:space="preserve">an </w:t>
      </w:r>
      <w:r w:rsidRPr="3CBB9A12">
        <w:rPr>
          <w:rFonts w:ascii="Times New Roman" w:eastAsia="Times New Roman" w:hAnsi="Times New Roman" w:cstheme="minorBidi"/>
          <w:lang w:eastAsia="ar-SA"/>
        </w:rPr>
        <w:t xml:space="preserve">advanced stage of </w:t>
      </w:r>
      <w:r w:rsidR="007646FA" w:rsidRPr="3CBB9A12">
        <w:rPr>
          <w:rFonts w:ascii="Times New Roman" w:eastAsia="Times New Roman" w:hAnsi="Times New Roman" w:cstheme="minorBidi"/>
          <w:lang w:eastAsia="ar-SA"/>
        </w:rPr>
        <w:t>development</w:t>
      </w:r>
      <w:r w:rsidRPr="3CBB9A12">
        <w:rPr>
          <w:rFonts w:ascii="Times New Roman" w:eastAsia="Times New Roman" w:hAnsi="Times New Roman" w:cstheme="minorBidi"/>
          <w:lang w:eastAsia="ar-SA"/>
        </w:rPr>
        <w:t>. Target Malaria</w:t>
      </w:r>
      <w:r w:rsidR="001D417E" w:rsidRPr="3CBB9A12">
        <w:rPr>
          <w:rStyle w:val="FootnoteReference"/>
          <w:rFonts w:ascii="Times New Roman" w:eastAsia="Times New Roman" w:hAnsi="Times New Roman" w:cstheme="minorBidi"/>
          <w:lang w:eastAsia="ar-SA"/>
        </w:rPr>
        <w:footnoteReference w:id="15"/>
      </w:r>
      <w:r w:rsidRPr="3CBB9A12">
        <w:rPr>
          <w:rFonts w:ascii="Times New Roman" w:eastAsia="Times New Roman" w:hAnsi="Times New Roman" w:cstheme="minorBidi"/>
          <w:lang w:eastAsia="ar-SA"/>
        </w:rPr>
        <w:t xml:space="preserve"> is a vector control international research alliance dedicated to supressing population</w:t>
      </w:r>
      <w:r w:rsidR="00450376" w:rsidRPr="3CBB9A12">
        <w:rPr>
          <w:rFonts w:ascii="Times New Roman" w:eastAsia="Times New Roman" w:hAnsi="Times New Roman" w:cstheme="minorBidi"/>
          <w:lang w:eastAsia="ar-SA"/>
        </w:rPr>
        <w:t>s</w:t>
      </w:r>
      <w:r w:rsidRPr="3CBB9A12">
        <w:rPr>
          <w:rFonts w:ascii="Times New Roman" w:eastAsia="Times New Roman" w:hAnsi="Times New Roman" w:cstheme="minorBidi"/>
          <w:lang w:eastAsia="ar-SA"/>
        </w:rPr>
        <w:t xml:space="preserve"> of </w:t>
      </w:r>
      <w:r w:rsidRPr="3CBB9A12">
        <w:rPr>
          <w:rFonts w:ascii="Times New Roman" w:eastAsia="Times New Roman" w:hAnsi="Times New Roman" w:cstheme="minorBidi"/>
          <w:i/>
          <w:iCs/>
          <w:lang w:eastAsia="ar-SA"/>
        </w:rPr>
        <w:t xml:space="preserve">Anopheles </w:t>
      </w:r>
      <w:r w:rsidRPr="3CBB9A12">
        <w:rPr>
          <w:rFonts w:ascii="Times New Roman" w:eastAsia="Times New Roman" w:hAnsi="Times New Roman" w:cstheme="minorBidi"/>
          <w:lang w:eastAsia="ar-SA"/>
        </w:rPr>
        <w:t>mosquitoes as a measure to reduce malaria incidence</w:t>
      </w:r>
      <w:r w:rsidR="00450376" w:rsidRPr="3CBB9A12">
        <w:rPr>
          <w:rFonts w:ascii="Times New Roman" w:eastAsia="Times New Roman" w:hAnsi="Times New Roman" w:cstheme="minorBidi"/>
          <w:lang w:eastAsia="ar-SA"/>
        </w:rPr>
        <w:t>s</w:t>
      </w:r>
      <w:r w:rsidRPr="3CBB9A12">
        <w:rPr>
          <w:rFonts w:ascii="Times New Roman" w:eastAsia="Times New Roman" w:hAnsi="Times New Roman" w:cstheme="minorBidi"/>
          <w:lang w:eastAsia="ar-SA"/>
        </w:rPr>
        <w:t xml:space="preserve"> in Africa. </w:t>
      </w:r>
      <w:r w:rsidR="00880DBD" w:rsidRPr="3CBB9A12">
        <w:rPr>
          <w:rFonts w:ascii="Times New Roman" w:eastAsia="Times New Roman" w:hAnsi="Times New Roman" w:cstheme="minorBidi"/>
          <w:lang w:eastAsia="ar-SA"/>
        </w:rPr>
        <w:t>Similar initiatives</w:t>
      </w:r>
      <w:r w:rsidRPr="3CBB9A12">
        <w:rPr>
          <w:rFonts w:ascii="Times New Roman" w:eastAsia="Times New Roman" w:hAnsi="Times New Roman" w:cstheme="minorBidi"/>
          <w:lang w:eastAsia="ar-SA"/>
        </w:rPr>
        <w:t xml:space="preserve"> are </w:t>
      </w:r>
      <w:r w:rsidR="00880DBD" w:rsidRPr="3CBB9A12">
        <w:rPr>
          <w:rFonts w:ascii="Times New Roman" w:eastAsia="Times New Roman" w:hAnsi="Times New Roman" w:cstheme="minorBidi"/>
          <w:lang w:eastAsia="ar-SA"/>
        </w:rPr>
        <w:t xml:space="preserve">also </w:t>
      </w:r>
      <w:r w:rsidR="00F44497" w:rsidRPr="3CBB9A12">
        <w:rPr>
          <w:rFonts w:ascii="Times New Roman" w:eastAsia="Times New Roman" w:hAnsi="Times New Roman" w:cstheme="minorBidi"/>
          <w:lang w:eastAsia="ar-SA"/>
        </w:rPr>
        <w:t>underway but</w:t>
      </w:r>
      <w:r w:rsidRPr="3CBB9A12">
        <w:rPr>
          <w:rFonts w:ascii="Times New Roman" w:eastAsia="Times New Roman" w:hAnsi="Times New Roman" w:cstheme="minorBidi"/>
          <w:lang w:eastAsia="ar-SA"/>
        </w:rPr>
        <w:t xml:space="preserve"> in contained conditions. For instance, the University of California Irvine Malaria Initiative</w:t>
      </w:r>
      <w:r w:rsidR="00850867" w:rsidRPr="3CBB9A12">
        <w:rPr>
          <w:rStyle w:val="FootnoteReference"/>
          <w:rFonts w:ascii="Times New Roman" w:eastAsia="Times New Roman" w:hAnsi="Times New Roman" w:cstheme="minorBidi"/>
          <w:lang w:eastAsia="ar-SA"/>
        </w:rPr>
        <w:footnoteReference w:id="16"/>
      </w:r>
      <w:r w:rsidRPr="3CBB9A12">
        <w:rPr>
          <w:rFonts w:ascii="Times New Roman" w:eastAsia="Times New Roman" w:hAnsi="Times New Roman" w:cstheme="minorBidi"/>
          <w:lang w:eastAsia="ar-SA"/>
        </w:rPr>
        <w:t xml:space="preserve"> is testing an engineered gene drive technology not to supress </w:t>
      </w:r>
      <w:r w:rsidRPr="3CBB9A12">
        <w:rPr>
          <w:rFonts w:ascii="Times New Roman" w:eastAsia="Times New Roman" w:hAnsi="Times New Roman" w:cstheme="minorBidi"/>
          <w:i/>
          <w:iCs/>
          <w:lang w:eastAsia="ar-SA"/>
        </w:rPr>
        <w:t xml:space="preserve">Anopheles </w:t>
      </w:r>
      <w:r w:rsidRPr="3CBB9A12">
        <w:rPr>
          <w:rFonts w:ascii="Times New Roman" w:eastAsia="Times New Roman" w:hAnsi="Times New Roman" w:cstheme="minorBidi"/>
          <w:lang w:eastAsia="ar-SA"/>
        </w:rPr>
        <w:t>population</w:t>
      </w:r>
      <w:r w:rsidR="00E92256" w:rsidRPr="3CBB9A12">
        <w:rPr>
          <w:rFonts w:ascii="Times New Roman" w:eastAsia="Times New Roman" w:hAnsi="Times New Roman" w:cstheme="minorBidi"/>
          <w:lang w:eastAsia="ar-SA"/>
        </w:rPr>
        <w:t>s</w:t>
      </w:r>
      <w:r w:rsidRPr="3CBB9A12">
        <w:rPr>
          <w:rFonts w:ascii="Times New Roman" w:eastAsia="Times New Roman" w:hAnsi="Times New Roman" w:cstheme="minorBidi"/>
          <w:lang w:eastAsia="ar-SA"/>
        </w:rPr>
        <w:t>, but</w:t>
      </w:r>
      <w:r w:rsidR="00E92256" w:rsidRPr="3CBB9A12">
        <w:rPr>
          <w:rFonts w:ascii="Times New Roman" w:eastAsia="Times New Roman" w:hAnsi="Times New Roman" w:cstheme="minorBidi"/>
          <w:lang w:eastAsia="ar-SA"/>
        </w:rPr>
        <w:t xml:space="preserve"> instead</w:t>
      </w:r>
      <w:r w:rsidRPr="3CBB9A12">
        <w:rPr>
          <w:rFonts w:ascii="Times New Roman" w:eastAsia="Times New Roman" w:hAnsi="Times New Roman" w:cstheme="minorBidi"/>
          <w:lang w:eastAsia="ar-SA"/>
        </w:rPr>
        <w:t xml:space="preserve"> to prevent the transmission of </w:t>
      </w:r>
      <w:r w:rsidRPr="3CBB9A12">
        <w:rPr>
          <w:rFonts w:ascii="Times New Roman" w:eastAsia="Times New Roman" w:hAnsi="Times New Roman" w:cstheme="minorBidi"/>
          <w:i/>
          <w:iCs/>
          <w:lang w:eastAsia="ar-SA"/>
        </w:rPr>
        <w:t>Plasmodium</w:t>
      </w:r>
      <w:r w:rsidRPr="3CBB9A12">
        <w:rPr>
          <w:rFonts w:ascii="Times New Roman" w:eastAsia="Times New Roman" w:hAnsi="Times New Roman" w:cstheme="minorBidi"/>
          <w:lang w:eastAsia="ar-SA"/>
        </w:rPr>
        <w:t>, the malaria-causing pathogen</w:t>
      </w:r>
      <w:r w:rsidR="00E92256" w:rsidRPr="3CBB9A12">
        <w:rPr>
          <w:rFonts w:ascii="Times New Roman" w:eastAsia="Times New Roman" w:hAnsi="Times New Roman" w:cstheme="minorBidi"/>
          <w:lang w:eastAsia="ar-SA"/>
        </w:rPr>
        <w:t xml:space="preserve"> in these mosquitoes</w:t>
      </w:r>
      <w:r w:rsidRPr="3CBB9A12">
        <w:rPr>
          <w:rFonts w:ascii="Times New Roman" w:eastAsia="Times New Roman" w:hAnsi="Times New Roman" w:cstheme="minorBidi"/>
          <w:lang w:eastAsia="ar-SA"/>
        </w:rPr>
        <w:t xml:space="preserve">. Recently, Adolfi et al. </w:t>
      </w:r>
      <w:r w:rsidR="00455337">
        <w:rPr>
          <w:rFonts w:ascii="Times New Roman" w:eastAsia="Times New Roman" w:hAnsi="Times New Roman" w:cstheme="minorBidi"/>
          <w:lang w:eastAsia="ar-SA"/>
        </w:rPr>
        <w:fldChar w:fldCharType="begin" w:fldLock="1"/>
      </w:r>
      <w:r w:rsidR="00186E01">
        <w:rPr>
          <w:rFonts w:ascii="Times New Roman" w:eastAsia="Times New Roman" w:hAnsi="Times New Roman" w:cstheme="minorBidi"/>
          <w:lang w:eastAsia="ar-SA"/>
        </w:rPr>
        <w:instrText>ADDIN CSL_CITATION {"citationItems":[{"id":"ITEM-1","itemData":{"DOI":"10.1038/s41467-020-19426-0","ISSN":"20411723","PMID":"33144570","abstract":"Cas9/gRNA-mediated gene-drive systems have advanced development of genetic technologies for controlling vector-borne pathogen transmission. These technologies include population suppression approaches, genetic analogs of insecticidal techniques that reduce the number of insect vectors, and population modification (replacement/alteration) approaches, which interfere with competence to transmit pathogens. Here, we develop a recoded gene-drive rescue system for population modification of the malaria vector, Anopheles stephensi, that relieves the load in females caused by integration of the drive into the kynurenine hydroxylase gene by rescuing its function. Non-functional resistant alleles are eliminated via a dominantly-acting maternal effect combined with slower-acting standard negative selection, and rare functional resistant alleles do not prevent drive invasion. Small cage trials show that single releases of gene-drive males robustly result in efficient population modification with ≥95% of mosquitoes carrying the drive within 5-11 generations over a range of initial release ratios.","author":[{"dropping-particle":"","family":"Adolfi","given":"Adriana","non-dropping-particle":"","parse-names":false,"suffix":""},{"dropping-particle":"","family":"Gantz","given":"Valentino M","non-dropping-particle":"","parse-names":false,"suffix":""},{"dropping-particle":"","family":"Jasinskiene","given":"Nijole","non-dropping-particle":"","parse-names":false,"suffix":""},{"dropping-particle":"","family":"Lee","given":"Hsu Feng","non-dropping-particle":"","parse-names":false,"suffix":""},{"dropping-particle":"","family":"Hwang","given":"Kristy","non-dropping-particle":"","parse-names":false,"suffix":""},{"dropping-particle":"","family":"Terradas","given":"Gerard","non-dropping-particle":"","parse-names":false,"suffix":""},{"dropping-particle":"","family":"Bulger","given":"Emily A","non-dropping-particle":"","parse-names":false,"suffix":""},{"dropping-particle":"","family":"Ramaiah","given":"Arunachalam","non-dropping-particle":"","parse-names":false,"suffix":""},{"dropping-particle":"","family":"Bennett","given":"Jared B","non-dropping-particle":"","parse-names":false,"suffix":""},{"dropping-particle":"","family":"Emerson","given":"J J","non-dropping-particle":"","parse-names":false,"suffix":""},{"dropping-particle":"","family":"Marshall","given":"John M","non-dropping-particle":"","parse-names":false,"suffix":""},{"dropping-particle":"","family":"Bier","given":"Ethan","non-dropping-particle":"","parse-names":false,"suffix":""},{"dropping-particle":"","family":"James","given":"Anthony A","non-dropping-particle":"","parse-names":false,"suffix":""}],"container-title":"Nature Communications","id":"ITEM-1","issue":"1","issued":{"date-parts":[["2020","12"]]},"page":"1-13","publisher":"Nature Research","title":"Efficient population modification gene-drive rescue system in the malaria mosquito Anopheles stephensi","type":"article-journal","volume":"11"},"uris":["http://www.mendeley.com/documents/?uuid=dd2fee6b-3ca5-491a-a7c9-35d92c4073c2"]}],"mendeley":{"formattedCitation":"(Adolfi et al., 2020)","manualFormatting":"(2020)","plainTextFormattedCitation":"(Adolfi et al., 2020)","previouslyFormattedCitation":"(Adolfi et al., 2020)"},"properties":{"noteIndex":0},"schema":"https://github.com/citation-style-language/schema/raw/master/csl-citation.json"}</w:instrText>
      </w:r>
      <w:r w:rsidR="00455337">
        <w:rPr>
          <w:rFonts w:ascii="Times New Roman" w:eastAsia="Times New Roman" w:hAnsi="Times New Roman" w:cstheme="minorBidi"/>
          <w:lang w:eastAsia="ar-SA"/>
        </w:rPr>
        <w:fldChar w:fldCharType="separate"/>
      </w:r>
      <w:r w:rsidR="00455337" w:rsidRPr="00455337">
        <w:rPr>
          <w:rFonts w:ascii="Times New Roman" w:eastAsia="Times New Roman" w:hAnsi="Times New Roman" w:cstheme="minorBidi"/>
          <w:noProof/>
          <w:lang w:eastAsia="ar-SA"/>
        </w:rPr>
        <w:t>(2020)</w:t>
      </w:r>
      <w:r w:rsidR="00455337">
        <w:rPr>
          <w:rFonts w:ascii="Times New Roman" w:eastAsia="Times New Roman" w:hAnsi="Times New Roman" w:cstheme="minorBidi"/>
          <w:lang w:eastAsia="ar-SA"/>
        </w:rPr>
        <w:fldChar w:fldCharType="end"/>
      </w:r>
      <w:r w:rsidRPr="3CBB9A12">
        <w:rPr>
          <w:rFonts w:ascii="Times New Roman" w:eastAsia="Times New Roman" w:hAnsi="Times New Roman" w:cstheme="minorBidi"/>
          <w:lang w:eastAsia="ar-SA"/>
        </w:rPr>
        <w:t xml:space="preserve"> have </w:t>
      </w:r>
      <w:r w:rsidR="00F13C04" w:rsidRPr="3CBB9A12">
        <w:rPr>
          <w:rFonts w:ascii="Times New Roman" w:eastAsia="Times New Roman" w:hAnsi="Times New Roman" w:cstheme="minorBidi"/>
          <w:lang w:eastAsia="ar-SA"/>
        </w:rPr>
        <w:t xml:space="preserve">increased </w:t>
      </w:r>
      <w:r w:rsidR="006C4E52" w:rsidRPr="3CBB9A12">
        <w:rPr>
          <w:rFonts w:ascii="Times New Roman" w:eastAsia="Times New Roman" w:hAnsi="Times New Roman" w:cstheme="minorBidi"/>
          <w:lang w:eastAsia="ar-SA"/>
        </w:rPr>
        <w:t xml:space="preserve">the </w:t>
      </w:r>
      <w:r w:rsidR="00F13C04" w:rsidRPr="3CBB9A12">
        <w:rPr>
          <w:rFonts w:ascii="Times New Roman" w:eastAsia="Times New Roman" w:hAnsi="Times New Roman" w:cstheme="minorBidi"/>
          <w:lang w:eastAsia="ar-SA"/>
        </w:rPr>
        <w:t xml:space="preserve">effectiveness </w:t>
      </w:r>
      <w:r w:rsidR="006C4E52" w:rsidRPr="3CBB9A12">
        <w:rPr>
          <w:rFonts w:ascii="Times New Roman" w:eastAsia="Times New Roman" w:hAnsi="Times New Roman" w:cstheme="minorBidi"/>
          <w:lang w:eastAsia="ar-SA"/>
        </w:rPr>
        <w:t xml:space="preserve">of a CRISPR-based gene drive system </w:t>
      </w:r>
      <w:r w:rsidR="00F13C04" w:rsidRPr="3CBB9A12">
        <w:rPr>
          <w:rFonts w:ascii="Times New Roman" w:eastAsia="Times New Roman" w:hAnsi="Times New Roman" w:cstheme="minorBidi"/>
          <w:lang w:eastAsia="ar-SA"/>
        </w:rPr>
        <w:t xml:space="preserve">in female mosquito progeny </w:t>
      </w:r>
      <w:r w:rsidR="006C4E52" w:rsidRPr="3CBB9A12">
        <w:rPr>
          <w:rFonts w:ascii="Times New Roman" w:eastAsia="Times New Roman" w:hAnsi="Times New Roman" w:cstheme="minorBidi"/>
          <w:lang w:eastAsia="ar-SA"/>
        </w:rPr>
        <w:t>resulting in</w:t>
      </w:r>
      <w:r w:rsidRPr="3CBB9A12">
        <w:rPr>
          <w:rFonts w:ascii="Times New Roman" w:eastAsia="Times New Roman" w:hAnsi="Times New Roman" w:cstheme="minorBidi"/>
          <w:lang w:eastAsia="ar-SA"/>
        </w:rPr>
        <w:t xml:space="preserve"> mosquito </w:t>
      </w:r>
      <w:r w:rsidR="00F23633" w:rsidRPr="3CBB9A12">
        <w:rPr>
          <w:rFonts w:ascii="Times New Roman" w:eastAsia="Times New Roman" w:hAnsi="Times New Roman" w:cstheme="minorBidi"/>
          <w:lang w:eastAsia="ar-SA"/>
        </w:rPr>
        <w:t>population</w:t>
      </w:r>
      <w:r w:rsidRPr="3CBB9A12">
        <w:rPr>
          <w:rFonts w:ascii="Times New Roman" w:eastAsia="Times New Roman" w:hAnsi="Times New Roman" w:cstheme="minorBidi"/>
          <w:lang w:eastAsia="ar-SA"/>
        </w:rPr>
        <w:t>s resistant to transmitting malaria parasites</w:t>
      </w:r>
      <w:r w:rsidR="006C4E52" w:rsidRPr="3CBB9A12">
        <w:rPr>
          <w:rFonts w:ascii="Times New Roman" w:eastAsia="Times New Roman" w:hAnsi="Times New Roman" w:cstheme="minorBidi"/>
          <w:lang w:eastAsia="ar-SA"/>
        </w:rPr>
        <w:t>.</w:t>
      </w:r>
    </w:p>
    <w:p w14:paraId="63C465ED" w14:textId="6581BDAF" w:rsidR="000A279D" w:rsidRPr="00DE3B5D" w:rsidRDefault="002B7A6D" w:rsidP="002B7A6D">
      <w:pPr>
        <w:pStyle w:val="Heading5"/>
        <w:tabs>
          <w:tab w:val="clear" w:pos="1800"/>
        </w:tabs>
        <w:ind w:left="284" w:hanging="284"/>
        <w:rPr>
          <w:i w:val="0"/>
        </w:rPr>
      </w:pPr>
      <w:r>
        <w:rPr>
          <w:i w:val="0"/>
          <w:iCs/>
        </w:rPr>
        <w:t xml:space="preserve">(c) </w:t>
      </w:r>
      <w:r w:rsidR="000A279D" w:rsidRPr="00054C86">
        <w:t>Engineered gene drive for an agricultural pest.</w:t>
      </w:r>
    </w:p>
    <w:p w14:paraId="0FBD04D2" w14:textId="1CA339D4" w:rsidR="00F6284F" w:rsidRDefault="000A279D" w:rsidP="004E20EF">
      <w:pPr>
        <w:spacing w:before="120" w:after="120" w:line="240" w:lineRule="auto"/>
        <w:jc w:val="both"/>
        <w:rPr>
          <w:rFonts w:ascii="Times New Roman" w:eastAsia="Times New Roman" w:hAnsi="Times New Roman" w:cstheme="minorBidi"/>
          <w:lang w:eastAsia="ar-SA"/>
        </w:rPr>
      </w:pPr>
      <w:r w:rsidRPr="00054C86">
        <w:rPr>
          <w:rFonts w:ascii="Times New Roman" w:eastAsia="Times New Roman" w:hAnsi="Times New Roman" w:cstheme="minorBidi"/>
          <w:lang w:eastAsia="ar-SA"/>
        </w:rPr>
        <w:t xml:space="preserve">Buchman et al. </w:t>
      </w:r>
      <w:r w:rsidRPr="00054C86">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{"citationItems":[{"id":"ITEM-1","itemData":{"DOI":"10.1073/pnas.1713139115","ISSN":"0027-8424","abstract":"Synthetic gene drive systems possess enormous potential to replace, alter, or suppress wild populations of significant disease vectors and crop pests; however, their utility in diverse populations remains to be demonstrated. Here, we report the creation of a synthetic Medea gene drive system in a major worldwide crop pest, Drosophila suzukii . We demonstrate that this drive system, based on an engineered maternal “toxin” coupled with a linked embryonic “antidote,” is capable of biasing Mendelian inheritance rates with up to 100% efficiency. However, we find that drive resistance, resulting from naturally occurring genetic variation and associated fitness costs, can be selected for and hinder the spread of such a drive. Despite this, our results suggest that this gene drive could maintain itself at high frequencies in a wild population and spread to fixation if either its fitness costs or toxin resistance were reduced, providing a clear path forward for developing future such systems in this pest.","author":[{"dropping-particle":"","family":"Buchman","given":"Anna","non-dropping-particle":"","parse-names":false,"suffix":""},{"dropping-particle":"","family":"Marshall","given":"John M.","non-dropping-particle":"","parse-names":false,"suffix":""},{"dropping-particle":"","family":"Ostrovski","given":"Dennis","non-dropping-particle":"","parse-names":false,"suffix":""},{"dropping-particle":"","family":"Yang","given":"Ting","non-dropping-particle":"","parse-names":false,"suffix":""},{"dropping-particle":"","family":"Akbari","given":"Omar S.","non-dropping-particle":"","parse-names":false,"suffix":""}],"container-title":"Proceedings of the National Academy of Sciences","id":"ITEM-1","issue":"18","issued":{"date-parts":[["2018","5","1"]]},"page":"4725-4730","title":"Synthetically engineered Medea gene drive system in the worldwide crop pest Drosophila suzukii","type":"article-journal","volume":"115"},"uris":["http://www.mendeley.com/documents/?uuid=a1ce52ca-4838-4962-84c3-413a5bbaccb9"]}],"mendeley":{"formattedCitation":"(Buchman et al., 2018)","manualFormatting":"(2018)","plainTextFormattedCitation":"(Buchman et al., 2018)","previouslyFormattedCitation":"(Buchman et al., 2018)"},"properties":{"noteIndex":0},"schema":"https://github.com/citation-style-language/schema/raw/master/csl-citation.json"}</w:instrText>
      </w:r>
      <w:r w:rsidRPr="00054C86">
        <w:rPr>
          <w:rFonts w:ascii="Times New Roman" w:eastAsia="Times New Roman" w:hAnsi="Times New Roman" w:cstheme="minorBidi"/>
          <w:lang w:eastAsia="ar-SA"/>
        </w:rPr>
        <w:fldChar w:fldCharType="separate"/>
      </w:r>
      <w:r w:rsidRPr="00054C86">
        <w:rPr>
          <w:rFonts w:ascii="Times New Roman" w:eastAsia="Times New Roman" w:hAnsi="Times New Roman" w:cstheme="minorBidi"/>
          <w:noProof/>
          <w:lang w:eastAsia="ar-SA"/>
        </w:rPr>
        <w:t>(2018)</w:t>
      </w:r>
      <w:r w:rsidRPr="00054C86">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developed an engineered gene drive system in </w:t>
      </w:r>
      <w:r w:rsidRPr="00054C86">
        <w:rPr>
          <w:rFonts w:ascii="Times New Roman" w:eastAsia="Times New Roman" w:hAnsi="Times New Roman" w:cstheme="minorBidi"/>
          <w:i/>
          <w:lang w:eastAsia="ar-SA"/>
        </w:rPr>
        <w:t>Drosophila suzukii</w:t>
      </w:r>
      <w:r>
        <w:rPr>
          <w:rFonts w:ascii="Times New Roman" w:eastAsia="Times New Roman" w:hAnsi="Times New Roman" w:cstheme="minorBidi"/>
          <w:i/>
          <w:lang w:eastAsia="ar-SA"/>
        </w:rPr>
        <w:t>,</w:t>
      </w:r>
      <w:r w:rsidRPr="00054C86">
        <w:rPr>
          <w:rFonts w:ascii="Times New Roman" w:eastAsia="Times New Roman" w:hAnsi="Times New Roman" w:cstheme="minorBidi"/>
          <w:lang w:eastAsia="ar-SA"/>
        </w:rPr>
        <w:t xml:space="preserve"> a major worldwide crop pest. The gene drive system could maintain itself at high frequencies in a wild population and is being tested </w:t>
      </w:r>
      <w:r w:rsidR="00631335">
        <w:rPr>
          <w:rFonts w:ascii="Times New Roman" w:eastAsia="Times New Roman" w:hAnsi="Times New Roman" w:cstheme="minorBidi"/>
          <w:lang w:eastAsia="ar-SA"/>
        </w:rPr>
        <w:t>u</w:t>
      </w:r>
      <w:r w:rsidRPr="00054C86">
        <w:rPr>
          <w:rFonts w:ascii="Times New Roman" w:eastAsia="Times New Roman" w:hAnsi="Times New Roman" w:cstheme="minorBidi"/>
          <w:lang w:eastAsia="ar-SA"/>
        </w:rPr>
        <w:t>n</w:t>
      </w:r>
      <w:r w:rsidR="00631335">
        <w:rPr>
          <w:rFonts w:ascii="Times New Roman" w:eastAsia="Times New Roman" w:hAnsi="Times New Roman" w:cstheme="minorBidi"/>
          <w:lang w:eastAsia="ar-SA"/>
        </w:rPr>
        <w:t>der</w:t>
      </w:r>
      <w:r w:rsidRPr="00054C86">
        <w:rPr>
          <w:rFonts w:ascii="Times New Roman" w:eastAsia="Times New Roman" w:hAnsi="Times New Roman" w:cstheme="minorBidi"/>
          <w:lang w:eastAsia="ar-SA"/>
        </w:rPr>
        <w:t xml:space="preserve"> contained conditions.</w:t>
      </w:r>
    </w:p>
    <w:p w14:paraId="253CDCD9" w14:textId="62F3561E" w:rsidR="00C67033" w:rsidRPr="00C32072" w:rsidRDefault="00EF706E" w:rsidP="00DE3B5D">
      <w:pPr>
        <w:pStyle w:val="Heading5"/>
        <w:tabs>
          <w:tab w:val="clear" w:pos="1800"/>
        </w:tabs>
        <w:ind w:left="284" w:hanging="284"/>
        <w:rPr>
          <w:rFonts w:cstheme="minorBidi"/>
          <w:lang w:val="en-GB"/>
        </w:rPr>
      </w:pPr>
      <w:r w:rsidRPr="004E20EF">
        <w:rPr>
          <w:i w:val="0"/>
        </w:rPr>
        <w:t>(d)</w:t>
      </w:r>
      <w:r>
        <w:t xml:space="preserve"> </w:t>
      </w:r>
      <w:r w:rsidR="00C67033" w:rsidRPr="00054C86">
        <w:t xml:space="preserve">Genetically engineered bio-containment systems </w:t>
      </w:r>
      <w:r w:rsidR="00C67033">
        <w:t>in mosquitoes</w:t>
      </w:r>
      <w:r>
        <w:t>.</w:t>
      </w:r>
    </w:p>
    <w:p w14:paraId="64D17463" w14:textId="79E1F307" w:rsidR="00054C86" w:rsidRPr="00054C86" w:rsidRDefault="00C67033" w:rsidP="004E20EF">
      <w:pPr>
        <w:suppressAutoHyphens/>
        <w:autoSpaceDE w:val="0"/>
        <w:spacing w:before="120" w:after="120" w:line="240" w:lineRule="auto"/>
        <w:jc w:val="both"/>
        <w:rPr>
          <w:rFonts w:asciiTheme="minorHAnsi" w:eastAsiaTheme="minorHAnsi" w:hAnsiTheme="minorHAnsi" w:cstheme="minorBidi"/>
          <w:lang w:eastAsia="ar-SA"/>
        </w:rPr>
      </w:pPr>
      <w:r>
        <w:rPr>
          <w:rFonts w:ascii="Times New Roman" w:eastAsia="SimSun" w:hAnsi="Times New Roman" w:cs="Calibri"/>
          <w:color w:val="000000" w:themeColor="text1"/>
          <w:lang w:eastAsia="hi-IN" w:bidi="hi-IN"/>
        </w:rPr>
        <w:t>A</w:t>
      </w:r>
      <w:r w:rsidRPr="00054C86">
        <w:rPr>
          <w:rFonts w:ascii="Times New Roman" w:eastAsia="SimSun" w:hAnsi="Times New Roman" w:cs="Calibri"/>
          <w:color w:val="000000" w:themeColor="text1"/>
          <w:lang w:eastAsia="hi-IN" w:bidi="hi-IN"/>
        </w:rPr>
        <w:t xml:space="preserve"> genetic variant of the sterile insect technique has been developed, termed RIDL (</w:t>
      </w:r>
      <w:r w:rsidRPr="008805B8">
        <w:rPr>
          <w:rFonts w:ascii="Times New Roman" w:eastAsia="SimSun" w:hAnsi="Times New Roman" w:cs="Calibri"/>
          <w:color w:val="000000" w:themeColor="text1"/>
          <w:lang w:eastAsia="hi-IN" w:bidi="hi-IN"/>
        </w:rPr>
        <w:t>r</w:t>
      </w:r>
      <w:r w:rsidRPr="00054C86">
        <w:rPr>
          <w:rFonts w:ascii="Times New Roman" w:eastAsia="SimSun" w:hAnsi="Times New Roman" w:cs="Calibri"/>
          <w:color w:val="000000" w:themeColor="text1"/>
          <w:lang w:eastAsia="hi-IN" w:bidi="hi-IN"/>
        </w:rPr>
        <w:t xml:space="preserve">elease of </w:t>
      </w:r>
      <w:r w:rsidRPr="008805B8">
        <w:rPr>
          <w:rFonts w:ascii="Times New Roman" w:eastAsia="SimSun" w:hAnsi="Times New Roman" w:cs="Calibri"/>
          <w:color w:val="000000" w:themeColor="text1"/>
          <w:lang w:eastAsia="hi-IN" w:bidi="hi-IN"/>
        </w:rPr>
        <w:t>i</w:t>
      </w:r>
      <w:r w:rsidRPr="00054C86">
        <w:rPr>
          <w:rFonts w:ascii="Times New Roman" w:eastAsia="SimSun" w:hAnsi="Times New Roman" w:cs="Calibri"/>
          <w:color w:val="000000" w:themeColor="text1"/>
          <w:lang w:eastAsia="hi-IN" w:bidi="hi-IN"/>
        </w:rPr>
        <w:t xml:space="preserve">nsects with a </w:t>
      </w:r>
      <w:r w:rsidRPr="008805B8">
        <w:rPr>
          <w:rFonts w:ascii="Times New Roman" w:eastAsia="SimSun" w:hAnsi="Times New Roman" w:cs="Calibri"/>
          <w:color w:val="000000" w:themeColor="text1"/>
          <w:lang w:eastAsia="hi-IN" w:bidi="hi-IN"/>
        </w:rPr>
        <w:t>d</w:t>
      </w:r>
      <w:r w:rsidRPr="00054C86">
        <w:rPr>
          <w:rFonts w:ascii="Times New Roman" w:eastAsia="SimSun" w:hAnsi="Times New Roman" w:cs="Calibri"/>
          <w:color w:val="000000" w:themeColor="text1"/>
          <w:lang w:eastAsia="hi-IN" w:bidi="hi-IN"/>
        </w:rPr>
        <w:t xml:space="preserve">ominant </w:t>
      </w:r>
      <w:r w:rsidRPr="008805B8">
        <w:rPr>
          <w:rFonts w:ascii="Times New Roman" w:eastAsia="SimSun" w:hAnsi="Times New Roman" w:cs="Calibri"/>
          <w:color w:val="000000" w:themeColor="text1"/>
          <w:lang w:eastAsia="hi-IN" w:bidi="hi-IN"/>
        </w:rPr>
        <w:t>l</w:t>
      </w:r>
      <w:r w:rsidRPr="00054C86">
        <w:rPr>
          <w:rFonts w:ascii="Times New Roman" w:eastAsia="SimSun" w:hAnsi="Times New Roman" w:cs="Calibri"/>
          <w:color w:val="000000" w:themeColor="text1"/>
          <w:lang w:eastAsia="hi-IN" w:bidi="hi-IN"/>
        </w:rPr>
        <w:t xml:space="preserve">ethal; </w:t>
      </w:r>
      <w:r w:rsidRPr="00054C86">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{"citationItems":[{"id":"ITEM-1","itemData":{"DOI":"10.1126/science.287.5462.2474","ISSN":"00368075","PMID":"10741964","abstract":"A major modification to the sterile insect technique is described, in which transgenic insects homozygous for a dominant, repressible, female- specific lethal gene system are used. We demonstrate two methods that give the required genetic characteristics in an otherwise wild-type genetic background. The first system uses a sex-specific promoter or enhancer to drive the expression of a repressible transcription factor, which in turn controls the expression of a toxic gene product. The second system uses non- sex-specific expression of the repressible transcription factor to regulate a selectively lethal gene product. Both methods work efficiently in Drosophila melanogaster, and we expect these principles to be widely applicable to more economically important organisms.","author":[{"dropping-particle":"","family":"Thomas","given":"Dean D.","non-dropping-particle":"","parse-names":false,"suffix":""},{"dropping-particle":"","family":"Donnelly","given":"Christl A.","non-dropping-particle":"","parse-names":false,"suffix":""},{"dropping-particle":"","family":"Wood","given":"Roger J.","non-dropping-particle":"","parse-names":false,"suffix":""},{"dropping-particle":"","family":"Alphey","given":"Luke S.","non-dropping-particle":"","parse-names":false,"suffix":""}],"container-title":"Science","id":"ITEM-1","issue":"5462","issued":{"date-parts":[["2000","3"]]},"page":"2474-2476","publisher":"American Association for the Advancement of Science","title":"Insect population control using a dominant, repressible, lethal genetic system","type":"article-journal","volume":"287"},"uris":["http://www.mendeley.com/documents/?uuid=132e97fa-188c-4cab-b19b-b3bd2d66c61b"]}],"mendeley":{"formattedCitation":"(Thomas et al., 2000)","manualFormatting":"Thomas et al., 2000)","plainTextFormattedCitation":"(Thomas et al., 2000)","previouslyFormattedCitation":"(Thomas et al., 2000)"},"properties":{"noteIndex":0},"schema":"https://github.com/citation-style-language/schema/raw/master/csl-citation.json"}</w:instrText>
      </w:r>
      <w:r w:rsidRPr="00054C86">
        <w:rPr>
          <w:rFonts w:ascii="Times New Roman" w:eastAsia="SimSun" w:hAnsi="Times New Roman" w:cs="Calibri"/>
          <w:color w:val="000000" w:themeColor="text1"/>
          <w:lang w:eastAsia="hi-IN" w:bidi="hi-IN"/>
        </w:rPr>
        <w:fldChar w:fldCharType="separate"/>
      </w:r>
      <w:r w:rsidRPr="00054C86">
        <w:rPr>
          <w:rFonts w:ascii="Times New Roman" w:eastAsia="SimSun" w:hAnsi="Times New Roman" w:cs="Calibri"/>
          <w:noProof/>
          <w:color w:val="000000" w:themeColor="text1"/>
          <w:lang w:eastAsia="hi-IN" w:bidi="hi-IN"/>
        </w:rPr>
        <w:t>Thomas et al., 2000)</w:t>
      </w:r>
      <w:r w:rsidRPr="00054C86">
        <w:rPr>
          <w:rFonts w:ascii="Times New Roman" w:eastAsia="SimSun" w:hAnsi="Times New Roman" w:cs="Calibri"/>
          <w:color w:val="000000" w:themeColor="text1"/>
          <w:lang w:eastAsia="hi-IN" w:bidi="hi-IN"/>
        </w:rPr>
        <w:fldChar w:fldCharType="end"/>
      </w:r>
      <w:r w:rsidRPr="00054C86">
        <w:rPr>
          <w:rFonts w:ascii="Times New Roman" w:eastAsia="SimSun" w:hAnsi="Times New Roman" w:cs="Calibri"/>
          <w:color w:val="000000" w:themeColor="text1"/>
          <w:lang w:eastAsia="hi-IN" w:bidi="hi-IN"/>
        </w:rPr>
        <w:t xml:space="preserve">, which can provide the effect of sterility without the need for irradiation, and has been developed in medfly </w:t>
      </w:r>
      <w:r w:rsidRPr="00054C86">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{"citationItems":[{"id":"ITEM-1","itemData":{"DOI":"10.1038/nbt1071","ISSN":"10870156","PMID":"15750586","abstract":"The Sterile Insect Technique (SIT) used to control insect pests relies on the release of large numbers of radiation-sterilized insects. Irradiation can have a negative impact on the subsequent performance of the released insects1-4 and therefore on the cost and effectiveness of a control program5. This and other problems associated with current SIT programs could be overcome by the use of recombinant DNA methods and molecular genetics6-12. Here we describe the construction of strains of the Mediterranean fruit fly (medfly) harboring a tetracycline-repressible transactivator (tTA) that causes lethality in early developmental stages of the heterozygous progeny but has little effect on the survival of the parental transgenic tTA insects. We show that these properties should prove advantageous for the implementation of insect pest control programs.","author":[{"dropping-particle":"","family":"Gong","given":"Peng","non-dropping-particle":"","parse-names":false,"suffix":""},{"dropping-particle":"","family":"Epton","given":"Matthew J.","non-dropping-particle":"","parse-names":false,"suffix":""},{"dropping-particle":"","family":"Fu","given":"Guoliang","non-dropping-particle":"","parse-names":false,"suffix":""},{"dropping-particle":"","family":"Scaife","given":"Sarah","non-dropping-particle":"","parse-names":false,"suffix":""},{"dropping-particle":"","family":"Hiscox","given":"Alexandra","non-dropping-particle":"","parse-names":false,"suffix":""},{"dropping-particle":"","family":"Condon","given":"Kirsty C.","non-dropping-particle":"","parse-names":false,"suffix":""},{"dropping-particle":"","family":"Condon","given":"George C.","non-dropping-particle":"","parse-names":false,"suffix":""},{"dropping-particle":"","family":"Morrison","given":"Neil I.","non-dropping-particle":"","parse-names":false,"suffix":""},{"dropping-particle":"","family":"Kelly","given":"David W.","non-dropping-particle":"","parse-names":false,"suffix":""},{"dropping-particle":"","family":"Dafa'Alla","given":"Tarig","non-dropping-particle":"","parse-names":false,"suffix":""},{"dropping-particle":"","family":"Coleman","given":"Paul G.","non-dropping-particle":"","parse-names":false,"suffix":""},{"dropping-particle":"","family":"Alphey","given":"Luke","non-dropping-particle":"","parse-names":false,"suffix":""}],"container-title":"Nature Biotechnology","id":"ITEM-1","issue":"4","issued":{"date-parts":[["2005","4"]]},"page":"453-456","publisher":"Nature Publishing Group","title":"A dominant lethal genetic system for autocidal control of the Mediterranean fruitfly","type":"article-journal","volume":"23"},"uris":["http://www.mendeley.com/documents/?uuid=87693efc-1df2-4250-8a31-24db3248178b"]}],"mendeley":{"formattedCitation":"(Gong et al., 2005)","plainTextFormattedCitation":"(Gong et al., 2005)","previouslyFormattedCitation":"(Gong et al., 2005)"},"properties":{"noteIndex":0},"schema":"https://github.com/citation-style-language/schema/raw/master/csl-citation.json"}</w:instrText>
      </w:r>
      <w:r w:rsidRPr="00054C86">
        <w:rPr>
          <w:rFonts w:ascii="Times New Roman" w:eastAsia="SimSun" w:hAnsi="Times New Roman" w:cs="Calibri"/>
          <w:color w:val="000000" w:themeColor="text1"/>
          <w:lang w:eastAsia="hi-IN" w:bidi="hi-IN"/>
        </w:rPr>
        <w:fldChar w:fldCharType="separate"/>
      </w:r>
      <w:r w:rsidRPr="00054C86">
        <w:rPr>
          <w:rFonts w:ascii="Times New Roman" w:eastAsia="SimSun" w:hAnsi="Times New Roman" w:cs="Calibri"/>
          <w:noProof/>
          <w:color w:val="000000" w:themeColor="text1"/>
          <w:lang w:eastAsia="hi-IN" w:bidi="hi-IN"/>
        </w:rPr>
        <w:t>(Gong et al., 2005)</w:t>
      </w:r>
      <w:r w:rsidRPr="00054C86">
        <w:rPr>
          <w:rFonts w:ascii="Times New Roman" w:eastAsia="SimSun" w:hAnsi="Times New Roman" w:cs="Calibri"/>
          <w:color w:val="000000" w:themeColor="text1"/>
          <w:lang w:eastAsia="hi-IN" w:bidi="hi-IN"/>
        </w:rPr>
        <w:fldChar w:fldCharType="end"/>
      </w:r>
      <w:r w:rsidRPr="00054C86">
        <w:rPr>
          <w:rFonts w:ascii="Times New Roman" w:eastAsia="SimSun" w:hAnsi="Times New Roman" w:cs="Calibri"/>
          <w:color w:val="000000" w:themeColor="text1"/>
          <w:lang w:eastAsia="hi-IN" w:bidi="hi-IN"/>
        </w:rPr>
        <w:t xml:space="preserve">, the dengue vector mosquito </w:t>
      </w:r>
      <w:r w:rsidRPr="00054C86">
        <w:rPr>
          <w:rFonts w:ascii="Times New Roman" w:eastAsia="SimSun" w:hAnsi="Times New Roman" w:cs="Calibri"/>
          <w:i/>
          <w:color w:val="000000" w:themeColor="text1"/>
          <w:lang w:eastAsia="hi-IN" w:bidi="hi-IN"/>
        </w:rPr>
        <w:t>Aedes aegypti</w:t>
      </w:r>
      <w:r w:rsidRPr="00054C86">
        <w:rPr>
          <w:rFonts w:ascii="Times New Roman" w:eastAsia="SimSun" w:hAnsi="Times New Roman" w:cs="Calibri"/>
          <w:color w:val="000000" w:themeColor="text1"/>
          <w:lang w:eastAsia="hi-IN" w:bidi="hi-IN"/>
        </w:rPr>
        <w:t xml:space="preserve"> (L.) </w:t>
      </w:r>
      <w:r w:rsidRPr="00054C86">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10.1186/1741-7007-5-11","ISSN":"17417007","author":[{"dropping-particle":"","family":"Phuc","given":"Hoang","non-dropping-particle":"","parse-names":false,"suffix":""},{"dropping-particle":"","family":"Andreasen","given":"Morten H","non-dropping-particle":"","parse-names":false,"suffix":""},{"dropping-particle":"","family":"Burton","given":"Rosemary S","non-dropping-particle":"","parse-names":false,"suffix":""},{"dropping-particle":"","family":"Vass","given":"Céline","non-dropping-particle":"","parse-names":false,"suffix":""},{"dropping-particle":"","family":"Epton","given":"Matthew J","non-dropping-particle":"","parse-names":false,"suffix":""},{"dropping-particle":"","family":"Pape","given":"Gavin","non-dropping-particle":"","parse-names":false,"suffix":""},{"dropping-particle":"","family":"Fu","given":"Guoliang","non-dropping-particle":"","parse-names":false,"suffix":""},{"dropping-particle":"","family":"Condon","given":"Kirsty C","non-dropping-particle":"","parse-names":false,"suffix":""},{"dropping-particle":"","family":"Scaife","given":"Sarah","non-dropping-particle":"","parse-names":false,"suffix":""},{"dropping-particle":"","family":"Donnelly","given":"Christl A","non-dropping-particle":"","parse-names":false,"suffix":""},{"dropping-particle":"","family":"Coleman","given":"Paul G","non-dropping-particle":"","parse-names":false,"suffix":""},{"dropping-particle":"","family":"White-Cooper","given":"Helen","non-dropping-particle":"","parse-names":false,"suffix":""},{"dropping-particle":"","family":"Alphey","given":"Luke","non-dropping-particle":"","parse-names":false,"suffix":""}],"container-title":"BMC Biology","id":"ITEM-1","issue":"1","issued":{"date-parts":[["2007"]]},"page":"11","title":"Late-acting dominant lethal genetic systems and mosquito control","type":"article-journal","volume":"5"},"uris":["http://www.mendeley.com/documents/?uuid=c919e006-6975-4061-b28e-4b412f0ea494"]}],"mendeley":{"formattedCitation":"(Phuc et al., 2007)","plainTextFormattedCitation":"(Phuc et al., 2007)","previouslyFormattedCitation":"(Phuc et al., 2007)"},"properties":{"noteIndex":0},"schema":"https://github.com/citation-style-language/schema/raw/master/csl-citation.json"}</w:instrText>
      </w:r>
      <w:r w:rsidRPr="00054C86">
        <w:rPr>
          <w:rFonts w:ascii="Times New Roman" w:eastAsia="SimSun" w:hAnsi="Times New Roman" w:cs="Calibri"/>
          <w:color w:val="000000" w:themeColor="text1"/>
          <w:lang w:eastAsia="hi-IN" w:bidi="hi-IN"/>
        </w:rPr>
        <w:fldChar w:fldCharType="separate"/>
      </w:r>
      <w:r w:rsidRPr="00054C86">
        <w:rPr>
          <w:rFonts w:ascii="Times New Roman" w:eastAsia="SimSun" w:hAnsi="Times New Roman" w:cs="Calibri"/>
          <w:noProof/>
          <w:color w:val="000000" w:themeColor="text1"/>
          <w:lang w:eastAsia="hi-IN" w:bidi="hi-IN"/>
        </w:rPr>
        <w:t>(Phuc et al., 2007)</w:t>
      </w:r>
      <w:r w:rsidRPr="00054C86">
        <w:rPr>
          <w:rFonts w:ascii="Times New Roman" w:eastAsia="SimSun" w:hAnsi="Times New Roman" w:cs="Calibri"/>
          <w:color w:val="000000" w:themeColor="text1"/>
          <w:lang w:eastAsia="hi-IN" w:bidi="hi-IN"/>
        </w:rPr>
        <w:fldChar w:fldCharType="end"/>
      </w:r>
      <w:r w:rsidRPr="00054C86">
        <w:rPr>
          <w:rFonts w:ascii="Times New Roman" w:eastAsia="SimSun" w:hAnsi="Times New Roman" w:cs="Calibri"/>
          <w:color w:val="000000" w:themeColor="text1"/>
          <w:lang w:eastAsia="hi-IN" w:bidi="hi-IN"/>
        </w:rPr>
        <w:t xml:space="preserve">, and pink bollworm </w:t>
      </w:r>
      <w:r w:rsidRPr="00054C86">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{"citationItems":[{"id":"ITEM-1","itemData":{"DOI":"10.1371/journal.pone.0050922","ISSN":"1932-6203","abstract":"The sterile insect technique (SIT) is an environmentally friendly method of pest control in which insects are mass-produced, irradiated and released to mate with wild counterparts. SIT has been used to control major pest insects including the pink bollworm (Pectinophora gossypiella Saunders), a global pest of cotton. Transgenic technology has the potential to overcome disadvantages associated with the SIT, such as the damaging effects of radiation on released insects. A method called RIDL (Release of Insects carrying a Dominant Lethal) is designed to circumvent the need to irradiate insects before release. Premature death of insects' progeny can be engineered to provide an equivalent to sterilisation. Moreover, this trait can be suppressed by the provision of a dietary antidote. In the pink bollworm, we generated transformed strains using different DNA constructs, which showed moderate-to-100% engineered mortality. In permissive conditions, this effect was largely suppressed. Survival data on cotton in field cages indicated that field conditions increase the lethal effect. One strain, called OX3402C, showed highly penetrant and highly repressible lethality, and was tested on host plants where its larvae caused minimal damage before death. These results highlight a potentially valuable insecticide-free tool against pink bollworm, and indicate its potential for development in other lepidopteran pests.","author":[{"dropping-particle":"","family":"Morrison","given":"Neil I.","non-dropping-particle":"","parse-names":false,"suffix":""},{"dropping-particle":"","family":"Simmons","given":"Gregory S.","non-dropping-particle":"","parse-names":false,"suffix":""},{"dropping-particle":"","family":"Fu","given":"Guoliang","non-dropping-particle":"","parse-names":false,"suffix":""},{"dropping-particle":"","family":"O’Connell","given":"Sinead","non-dropping-particle":"","parse-names":false,"suffix":""},{"dropping-particle":"","family":"Walker","given":"Adam S.","non-dropping-particle":"","parse-names":false,"suffix":""},{"dropping-particle":"","family":"Dafa’alla","given":"Tarig","non-dropping-particle":"","parse-names":false,"suffix":""},{"dropping-particle":"","family":"Walters","given":"Michelle","non-dropping-particle":"","parse-names":false,"suffix":""},{"dropping-particle":"","family":"Claus","given":"John","non-dropping-particle":"","parse-names":false,"suffix":""},{"dropping-particle":"","family":"Tang","given":"Guolei","non-dropping-particle":"","parse-names":false,"suffix":""},{"dropping-particle":"","family":"Jin","given":"Li","non-dropping-particle":"","parse-names":false,"suffix":""},{"dropping-particle":"","family":"Marubbi","given":"Thea","non-dropping-particle":"","parse-names":false,"suffix":""},{"dropping-particle":"","family":"Epton","given":"Matthew J.","non-dropping-particle":"","parse-names":false,"suffix":""},{"dropping-particle":"","family":"Harris","given":"Claire L.","non-dropping-particle":"","parse-names":false,"suffix":""},{"dropping-particle":"","family":"Staten","given":"Robert T.","non-dropping-particle":"","parse-names":false,"suffix":""},{"dropping-particle":"","family":"Miller","given":"Ernest","non-dropping-particle":"","parse-names":false,"suffix":""},{"dropping-particle":"","family":"Miller","given":"Thomas A.","non-dropping-particle":"","parse-names":false,"suffix":""},{"dropping-particle":"","family":"Alphey","given":"Luke","non-dropping-particle":"","parse-names":false,"suffix":""}],"container-title":"PLoS ONE","editor":[{"dropping-particle":"","family":"Palli","given":"Subba Reddy","non-dropping-particle":"","parse-names":false,"suffix":""}],"id":"ITEM-1","issue":"12","issued":{"date-parts":[["2012","12"]]},"page":"e50922","publisher":"Public Library of Science","title":"Engineered Repressible Lethality for Controlling the Pink Bollworm, a Lepidopteran Pest of Cotton","type":"article-journal","volume":"7"},"uris":["http://www.mendeley.com/documents/?uuid=3842641e-a86f-494c-af87-0a031ac9ed16"]}],"mendeley":{"formattedCitation":"(Morrison et al., 2012)","plainTextFormattedCitation":"(Morrison et al., 2012)","previouslyFormattedCitation":"(Morrison et al., 2012)"},"properties":{"noteIndex":0},"schema":"https://github.com/citation-style-language/schema/raw/master/csl-citation.json"}</w:instrText>
      </w:r>
      <w:r w:rsidRPr="00054C86">
        <w:rPr>
          <w:rFonts w:ascii="Times New Roman" w:eastAsia="SimSun" w:hAnsi="Times New Roman" w:cs="Calibri"/>
          <w:color w:val="000000" w:themeColor="text1"/>
          <w:lang w:eastAsia="hi-IN" w:bidi="hi-IN"/>
        </w:rPr>
        <w:fldChar w:fldCharType="separate"/>
      </w:r>
      <w:r w:rsidRPr="00054C86">
        <w:rPr>
          <w:rFonts w:ascii="Times New Roman" w:eastAsia="SimSun" w:hAnsi="Times New Roman" w:cs="Calibri"/>
          <w:noProof/>
          <w:color w:val="000000" w:themeColor="text1"/>
          <w:lang w:eastAsia="hi-IN" w:bidi="hi-IN"/>
        </w:rPr>
        <w:t>(Morrison et al., 2012)</w:t>
      </w:r>
      <w:r w:rsidRPr="00054C86">
        <w:rPr>
          <w:rFonts w:ascii="Times New Roman" w:eastAsia="SimSun" w:hAnsi="Times New Roman" w:cs="Calibri"/>
          <w:color w:val="000000" w:themeColor="text1"/>
          <w:lang w:eastAsia="hi-IN" w:bidi="hi-IN"/>
        </w:rPr>
        <w:fldChar w:fldCharType="end"/>
      </w:r>
      <w:r w:rsidRPr="00054C86">
        <w:rPr>
          <w:rFonts w:ascii="Times New Roman" w:eastAsia="SimSun" w:hAnsi="Times New Roman" w:cs="Calibri"/>
          <w:color w:val="000000" w:themeColor="text1"/>
          <w:lang w:eastAsia="hi-IN" w:bidi="hi-IN"/>
        </w:rPr>
        <w:t xml:space="preserve">. These insects carry a dominant lethal gene, repressible by tetracycline (or suitable analogues, such as chlortetracycline) supplied during their larval feeding stage. After release into the field, progeny die in the absence of the dietary additive </w:t>
      </w:r>
      <w:r w:rsidRPr="00054C86">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{"citationItems":[{"id":"ITEM-1","itemData":{"DOI":"10.1089/vbz.2009.0014","ISSN":"1530-3667","abstract":"Abstract Effective vector control, and more specifically mosquito control, is a complex and difficult problem, as illustrated by the continuing prevalence (and spread) of mosquito-transmitted diseases. The sterile insect technique and similar methods control certain agricultural insect pest populations in a species-specific, environmentally sound, and effective manner; there is increased interest in applying this approach to vector control. Such an approach, like all others in use and development, is not a one-size-fits-all solution, and will be more appropriate in some situations than others. In addition, the proposed release of pest insects, and more so genetically modified pest insects, is bound to raise questions in the general public and the scientific community as to such a method's efficacy, safety, and sustainability. This article attempts to address these concerns and indicate where sterile-insect methods are likely to be useful for vector control.","author":[{"dropping-particle":"","family":"Alphey","given":"Luke","non-dropping-particle":"","parse-names":false,"suffix":""},{"dropping-particle":"","family":"Benedict","given":"Mark","non-dropping-particle":"","parse-names":false,"suffix":""},{"dropping-particle":"","family":"Bellini","given":"Romeo","non-dropping-particle":"","parse-names":false,"suffix":""},{"dropping-particle":"","family":"Clark","given":"Gary G","non-dropping-particle":"","parse-names":false,"suffix":""},{"dropping-particle":"","family":"Dame","given":"David A","non-dropping-particle":"","parse-names":false,"suffix":""},{"dropping-particle":"","family":"Service","given":"Mike W","non-dropping-particle":"","parse-names":false,"suffix":""},{"dropping-particle":"","family":"Dobson","given":"Stephen L","non-dropping-particle":"","parse-names":false,"suffix":""}],"container-title":"Vector-Borne and Zoonotic Diseases","id":"ITEM-1","issue":"3","issued":{"date-parts":[["2009","9","2"]]},"note":"doi: 10.1089/vbz.2009.0014","page":"295-311","publisher":"Mary Ann Liebert, Inc., publishers","title":"Sterile-Insect Methods for Control of Mosquito-Borne Diseases: An Analysis","type":"article-journal","volume":"10"},"uris":["http://www.mendeley.com/documents/?uuid=c2aaa70a-dbbe-4f44-9203-22024762a9eb"]}],"mendeley":{"formattedCitation":"(L. Alphey et al., 2009)","manualFormatting":"(Alphey et al., 2010)","plainTextFormattedCitation":"(L. Alphey et al., 2009)","previouslyFormattedCitation":"(L. Alphey et al., 2009)"},"properties":{"noteIndex":0},"schema":"https://github.com/citation-style-language/schema/raw/master/csl-citation.json"}</w:instrText>
      </w:r>
      <w:r w:rsidRPr="00054C86">
        <w:rPr>
          <w:rFonts w:ascii="Times New Roman" w:eastAsia="SimSun" w:hAnsi="Times New Roman" w:cs="Calibri"/>
          <w:color w:val="000000" w:themeColor="text1"/>
          <w:lang w:eastAsia="hi-IN" w:bidi="hi-IN"/>
        </w:rPr>
        <w:fldChar w:fldCharType="separate"/>
      </w:r>
      <w:r w:rsidRPr="00054C86">
        <w:rPr>
          <w:rFonts w:ascii="Times New Roman" w:eastAsia="SimSun" w:hAnsi="Times New Roman" w:cs="Calibri"/>
          <w:noProof/>
          <w:color w:val="000000" w:themeColor="text1"/>
          <w:lang w:eastAsia="hi-IN" w:bidi="hi-IN"/>
        </w:rPr>
        <w:t>(Alphey et al., 2010)</w:t>
      </w:r>
      <w:r w:rsidRPr="00054C86">
        <w:rPr>
          <w:rFonts w:ascii="Times New Roman" w:eastAsia="SimSun" w:hAnsi="Times New Roman" w:cs="Calibri"/>
          <w:color w:val="000000" w:themeColor="text1"/>
          <w:lang w:eastAsia="hi-IN" w:bidi="hi-IN"/>
        </w:rPr>
        <w:fldChar w:fldCharType="end"/>
      </w:r>
      <w:r w:rsidRPr="00054C86">
        <w:rPr>
          <w:rFonts w:ascii="Times New Roman" w:eastAsia="SimSun" w:hAnsi="Times New Roman" w:cs="Calibri"/>
          <w:color w:val="000000" w:themeColor="text1"/>
          <w:lang w:eastAsia="hi-IN" w:bidi="hi-IN"/>
        </w:rPr>
        <w:t xml:space="preserve">. RIDL strains of fruit flies and mosquitoes were also developed in which the lethal phenotype was female-specific, termed </w:t>
      </w:r>
      <w:r w:rsidRPr="0026362F">
        <w:rPr>
          <w:rFonts w:ascii="Times New Roman" w:eastAsia="SimSun" w:hAnsi="Times New Roman" w:cs="Calibri"/>
          <w:color w:val="000000" w:themeColor="text1"/>
          <w:lang w:eastAsia="hi-IN" w:bidi="hi-IN"/>
        </w:rPr>
        <w:t>f</w:t>
      </w:r>
      <w:r w:rsidRPr="00054C86">
        <w:rPr>
          <w:rFonts w:ascii="Times New Roman" w:eastAsia="SimSun" w:hAnsi="Times New Roman" w:cs="Calibri"/>
          <w:color w:val="000000" w:themeColor="text1"/>
          <w:lang w:eastAsia="hi-IN" w:bidi="hi-IN"/>
        </w:rPr>
        <w:t>emale-</w:t>
      </w:r>
      <w:r w:rsidRPr="0026362F">
        <w:rPr>
          <w:rFonts w:ascii="Times New Roman" w:eastAsia="SimSun" w:hAnsi="Times New Roman" w:cs="Calibri"/>
          <w:color w:val="000000" w:themeColor="text1"/>
          <w:lang w:eastAsia="hi-IN" w:bidi="hi-IN"/>
        </w:rPr>
        <w:t>s</w:t>
      </w:r>
      <w:r w:rsidRPr="00054C86">
        <w:rPr>
          <w:rFonts w:ascii="Times New Roman" w:eastAsia="SimSun" w:hAnsi="Times New Roman" w:cs="Calibri"/>
          <w:color w:val="000000" w:themeColor="text1"/>
          <w:lang w:eastAsia="hi-IN" w:bidi="hi-IN"/>
        </w:rPr>
        <w:t xml:space="preserve">pecific </w:t>
      </w:r>
      <w:r w:rsidRPr="00A876AB">
        <w:rPr>
          <w:rFonts w:ascii="Times New Roman" w:eastAsia="SimSun" w:hAnsi="Times New Roman" w:cs="Calibri"/>
          <w:color w:val="000000" w:themeColor="text1"/>
          <w:lang w:eastAsia="hi-IN" w:bidi="hi-IN"/>
        </w:rPr>
        <w:t>RIDL</w:t>
      </w:r>
      <w:r w:rsidRPr="00054C86">
        <w:rPr>
          <w:rFonts w:ascii="Times New Roman" w:eastAsia="SimSun" w:hAnsi="Times New Roman" w:cs="Calibri"/>
          <w:color w:val="000000" w:themeColor="text1"/>
          <w:lang w:eastAsia="hi-IN" w:bidi="hi-IN"/>
        </w:rPr>
        <w:t xml:space="preserve"> </w:t>
      </w:r>
      <w:r w:rsidRPr="00054C86">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{"citationItems":[{"id":"ITEM-1","itemData":{"DOI":"10.1371/journal.pntd.0001724","ISSN":"1935-2735","abstract":"Background: Aedes albopictus, the Asian tiger mosquito, is a vector of several arboviruses including dengue and chikungunya, and is also a significant nuisance mosquito. It is one of the most invasive of mosquitoes with a relentlessly increasing geographic distribution. Conventional control methods have so far failed to control Ae. albopictus adequately. Novel genetics-based strategies offer a promising alternative or aid towards efficient control of this mosquito. Methodology/Principal Findings: We describe here the isolation, characterisation and use of the Ae. albopictus Actin-4 gene to drive a dominant lethal gene in the indirect flight muscles of Ae. albopictus, thus inducing a conditional female-specific late-acting flightless phenotype. We also show that in this context, the Actin-4 regulatory regions from both Ae. albopictus and Ae. aegypti can be used to provide conditional female-specific flightlessness in either species. Conclusion/Significance: With the disease-transmitting females incapacitated, the female flightless phenotype encompasses a genetic sexing mechanism and would be suitable for controlling Ae. albopictus using a male-only release approach as part of an integrated pest management strategy. © 2012 Labbé et al.","author":[{"dropping-particle":"","family":"Labbé","given":"Geneviève M. C.","non-dropping-particle":"","parse-names":false,"suffix":""},{"dropping-particle":"","family":"Scaife","given":"Sarah","non-dropping-particle":"","parse-names":false,"suffix":""},{"dropping-particle":"","family":"Morgan","given":"Siân A.","non-dropping-particle":"","parse-names":false,"suffix":""},{"dropping-particle":"","family":"Curtis","given":"Zoë H.","non-dropping-particle":"","parse-names":false,"suffix":""},{"dropping-particle":"","family":"Alphey","given":"Luke","non-dropping-particle":"","parse-names":false,"suffix":""}],"container-title":"PLoS Neglected Tropical Diseases","editor":[{"dropping-particle":"","family":"McCall","given":"Philip J.","non-dropping-particle":"","parse-names":false,"suffix":""}],"id":"ITEM-1","issue":"7","issued":{"date-parts":[["2012","7"]]},"page":"e1724","publisher":"Public Library of Science","title":"Female-Specific Flightless (fsRIDL) Phenotype for Control of Aedes albopictus","type":"article-journal","volume":"6"},"uris":["http://www.mendeley.com/documents/?uuid=40279693-0ef5-4ffd-9ef5-8c558f21f047"]}],"mendeley":{"formattedCitation":"(Labbé et al., 2012)","plainTextFormattedCitation":"(Labbé et al., 2012)","previouslyFormattedCitation":"(Labbé et al., 2012)"},"properties":{"noteIndex":0},"schema":"https://github.com/citation-style-language/schema/raw/master/csl-citation.json"}</w:instrText>
      </w:r>
      <w:r w:rsidRPr="00054C86">
        <w:rPr>
          <w:rFonts w:ascii="Times New Roman" w:eastAsia="SimSun" w:hAnsi="Times New Roman" w:cs="Calibri"/>
          <w:color w:val="000000" w:themeColor="text1"/>
          <w:lang w:eastAsia="hi-IN" w:bidi="hi-IN"/>
        </w:rPr>
        <w:fldChar w:fldCharType="separate"/>
      </w:r>
      <w:r w:rsidRPr="00054C86">
        <w:rPr>
          <w:rFonts w:ascii="Times New Roman" w:eastAsia="SimSun" w:hAnsi="Times New Roman" w:cs="Calibri"/>
          <w:noProof/>
          <w:color w:val="000000" w:themeColor="text1"/>
          <w:lang w:eastAsia="hi-IN" w:bidi="hi-IN"/>
        </w:rPr>
        <w:t>(Labbé et al., 2012)</w:t>
      </w:r>
      <w:r w:rsidRPr="00054C86">
        <w:rPr>
          <w:rFonts w:ascii="Times New Roman" w:eastAsia="SimSun" w:hAnsi="Times New Roman" w:cs="Calibri"/>
          <w:color w:val="000000" w:themeColor="text1"/>
          <w:lang w:eastAsia="hi-IN" w:bidi="hi-IN"/>
        </w:rPr>
        <w:fldChar w:fldCharType="end"/>
      </w:r>
      <w:r w:rsidRPr="00054C86">
        <w:rPr>
          <w:rFonts w:ascii="Times New Roman" w:eastAsia="SimSun" w:hAnsi="Times New Roman" w:cs="Calibri"/>
          <w:color w:val="000000" w:themeColor="text1"/>
          <w:lang w:eastAsia="hi-IN" w:bidi="hi-IN"/>
        </w:rPr>
        <w:t xml:space="preserve">; in contrast to bi-sex RIDL, in which the lethal phenotype is expressed in both sexes. This may be essential where adult females are damaging, may also provide some efficiency improvements </w:t>
      </w:r>
      <w:r w:rsidRPr="00054C86">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{"citationItems":[{"id":"ITEM-1","itemData":{"DOI":"10.1603/0022-0493-97.5.1547","ISSN":"00220493","PMID":"15568342","abstract":"The effect of releases of bisexual (males and female) and unisexual (male only) sterilized medflies was compared in three large field evaluations over a 3-yr period (1995-1997) in southwestern Guatemala. The two strains tested were a genetic sexing strain, Vienna-4/Tol-94, carrying the temperature sensitive tsl gene to eliminate females in the egg stage, and the standard bisexual Petapa strain. Flies were mass-reared, sterilized by irradiation as pupae, shipped to a field center, and released by air as young adults over 2 km by 2 km core areas in the centers of separate 6 km by 6 km test plots. Strain performance was monitored weekly by trapping sterile and wild male adults in core and buffer areas and by collecting eggs from coffee berries to determine induced sterility. Results indicated a several-fold advantage for the males-only strain as measured by the level of induced sterility, especially at the very high release ratios of 100:1 recorded in 1997. During that final test year, sterile-fly release rates were increased to provide high sterile:wild (S:W) fly ratios in the field, and egg sterility reached levels in excess of 70% in plots were the male-only strain was used. However, in the plots where the bisexual strain was released, induced sterility only reached 12% despite S:W ratios above 1,000:1.","author":[{"dropping-particle":"","family":"Rendón","given":"P.","non-dropping-particle":"","parse-names":false,"suffix":""},{"dropping-particle":"","family":"McInnis","given":"D.","non-dropping-particle":"","parse-names":false,"suffix":""},{"dropping-particle":"","family":"Lance","given":"D.","non-dropping-particle":"","parse-names":false,"suffix":""},{"dropping-particle":"","family":"Stewart","given":"J.","non-dropping-particle":"","parse-names":false,"suffix":""}],"container-title":"Journal of Economic Entomology","id":"ITEM-1","issue":"5","issued":{"date-parts":[["2004","10"]]},"page":"1547-1553","publisher":"Entomological Society of America","title":"Medfly (Diptera:Tephritidae) genetic sexing: Large-scale field comparison of males-only and bisexual sterile fly releases in Guatemala","type":"article-journal","volume":"97"},"uris":["http://www.mendeley.com/documents/?uuid=e3ff465d-6f17-4f5f-9e2a-7f720c2bfba7"]}],"mendeley":{"formattedCitation":"(Rendón et al., 2004)","plainTextFormattedCitation":"(Rendón et al., 2004)","previouslyFormattedCitation":"(Rendón et al., 2004)"},"properties":{"noteIndex":0},"schema":"https://github.com/citation-style-language/schema/raw/master/csl-citation.json"}</w:instrText>
      </w:r>
      <w:r w:rsidRPr="00054C86">
        <w:rPr>
          <w:rFonts w:ascii="Times New Roman" w:eastAsia="SimSun" w:hAnsi="Times New Roman" w:cs="Calibri"/>
          <w:color w:val="000000" w:themeColor="text1"/>
          <w:lang w:eastAsia="hi-IN" w:bidi="hi-IN"/>
        </w:rPr>
        <w:fldChar w:fldCharType="separate"/>
      </w:r>
      <w:r w:rsidRPr="00054C86">
        <w:rPr>
          <w:rFonts w:ascii="Times New Roman" w:eastAsia="SimSun" w:hAnsi="Times New Roman" w:cs="Calibri"/>
          <w:noProof/>
          <w:color w:val="000000" w:themeColor="text1"/>
          <w:lang w:eastAsia="hi-IN" w:bidi="hi-IN"/>
        </w:rPr>
        <w:t>(Rendón et al., 2004)</w:t>
      </w:r>
      <w:r w:rsidRPr="00054C86">
        <w:rPr>
          <w:rFonts w:ascii="Times New Roman" w:eastAsia="SimSun" w:hAnsi="Times New Roman" w:cs="Calibri"/>
          <w:color w:val="000000" w:themeColor="text1"/>
          <w:lang w:eastAsia="hi-IN" w:bidi="hi-IN"/>
        </w:rPr>
        <w:fldChar w:fldCharType="end"/>
      </w:r>
      <w:r w:rsidR="000864D0">
        <w:rPr>
          <w:rFonts w:ascii="Times New Roman" w:eastAsia="SimSun" w:hAnsi="Times New Roman" w:cs="Calibri"/>
          <w:color w:val="000000" w:themeColor="text1"/>
          <w:lang w:eastAsia="hi-IN" w:bidi="hi-IN"/>
        </w:rPr>
        <w:t>,</w:t>
      </w:r>
      <w:r w:rsidRPr="00054C86">
        <w:rPr>
          <w:rFonts w:ascii="Times New Roman" w:eastAsia="SimSun" w:hAnsi="Times New Roman" w:cs="Calibri"/>
          <w:color w:val="000000" w:themeColor="text1"/>
          <w:lang w:eastAsia="hi-IN" w:bidi="hi-IN"/>
        </w:rPr>
        <w:t xml:space="preserve"> and </w:t>
      </w:r>
      <w:r w:rsidR="000864D0" w:rsidRPr="00B84294">
        <w:rPr>
          <w:rFonts w:ascii="Times New Roman" w:eastAsia="SimSun" w:hAnsi="Times New Roman" w:cs="Calibri"/>
          <w:color w:val="000000" w:themeColor="text1"/>
          <w:lang w:eastAsia="hi-IN" w:bidi="hi-IN"/>
        </w:rPr>
        <w:t>may assist with</w:t>
      </w:r>
      <w:r w:rsidRPr="000864D0">
        <w:rPr>
          <w:rFonts w:ascii="Times New Roman" w:eastAsia="SimSun" w:hAnsi="Times New Roman" w:cs="Calibri"/>
          <w:color w:val="000000" w:themeColor="text1"/>
          <w:lang w:eastAsia="hi-IN" w:bidi="hi-IN"/>
        </w:rPr>
        <w:t xml:space="preserve"> managing resistance</w:t>
      </w:r>
      <w:r w:rsidRPr="00054C86">
        <w:rPr>
          <w:rFonts w:ascii="Times New Roman" w:eastAsia="SimSun" w:hAnsi="Times New Roman" w:cs="Calibri"/>
          <w:color w:val="000000" w:themeColor="text1"/>
          <w:lang w:eastAsia="hi-IN" w:bidi="hi-IN"/>
        </w:rPr>
        <w:t xml:space="preserve"> to other interventions in an integrated pest management context </w:t>
      </w:r>
      <w:r w:rsidRPr="00054C86">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{"citationItems":[{"id":"ITEM-1","itemData":{"DOI":"10.1603/029.102.0233","ISSN":"00220493","PMID":"19449654","abstract":"Transgenic crops producing insecticidal toxins are widely used to control insect pests. Their benefits would be lost if resistance to the toxins became widespread in pest populations. The most widely used resistance management method is the high-dose/refuge strategy. This requires toxin-free host plants as refuges near insecticidal crops, and toxin doses intended to be sufficiently high to kill insects heterozygous for a resistant allele, thereby rendering resistance functionally recessive. We have previously shown by mathematical modeling that mass-release of harmless susceptible (toxin-sensitive) insects engineered with repressible female-specific lethality using release of insects carrying a dominant lethal ( [RIDL] Oxitec Limited, United Kingdom) technology could substantially delay or reverse the spread of resistance and reduce refuge sizes. Here, we explore this proposal in depth, studying a wide range of scenarios, considering impacts on population dynamics as well as evolution of allele frequencies, comparing with releases of natural fertile susceptible insects, and examining the effect of seasonality. We investigate the outcome for pest control for which the plant-incorporated toxins are not necessarily at a high dose (i.e., they might not kill all homozygous susceptible and all heterozygous insects). We demonstrate that a RIDL-based approach could form an effective component of a resistance management strategy in a wide range of genetic and ecological circumstances. Because there are significant threshold effects for several variables, we expect that a margin of error would be advisable in setting release ratios and refuge sizes, especially as the frequency and properties of resistant alleles may be difficult to measure accurately in the field. © 2009 Entomological Society of America.","author":[{"dropping-particle":"","family":"Alphey","given":"Nina","non-dropping-particle":"","parse-names":false,"suffix":""},{"dropping-particle":"","family":"Bonsall","given":"Michael B.","non-dropping-particle":"","parse-names":false,"suffix":""},{"dropping-particle":"","family":"Alphey","given":"Luke","non-dropping-particle":"","parse-names":false,"suffix":""}],"container-title":"Journal of Economic Entomology","id":"ITEM-1","issue":"2","issued":{"date-parts":[["2009","4"]]},"page":"717-732","title":"Combining pest control and resistance management: Synergy of engineered insects with Bt crops","type":"article-journal","volume":"102"},"uris":["http://www.mendeley.com/documents/?uuid=167f5e90-0cfc-4105-a8c2-833c8e5a24a3"]}],"mendeley":{"formattedCitation":"(N. Alphey et al., 2009)","manualFormatting":"(Alphey et al., 2009)","plainTextFormattedCitation":"(N. Alphey et al., 2009)","previouslyFormattedCitation":"(N. Alphey et al., 2009)"},"properties":{"noteIndex":0},"schema":"https://github.com/citation-style-language/schema/raw/master/csl-citation.json"}</w:instrText>
      </w:r>
      <w:r w:rsidRPr="00054C86">
        <w:rPr>
          <w:rFonts w:ascii="Times New Roman" w:eastAsia="SimSun" w:hAnsi="Times New Roman" w:cs="Calibri"/>
          <w:color w:val="000000" w:themeColor="text1"/>
          <w:lang w:eastAsia="hi-IN" w:bidi="hi-IN"/>
        </w:rPr>
        <w:fldChar w:fldCharType="separate"/>
      </w:r>
      <w:r w:rsidRPr="00054C86">
        <w:rPr>
          <w:rFonts w:ascii="Times New Roman" w:eastAsia="SimSun" w:hAnsi="Times New Roman" w:cs="Calibri"/>
          <w:noProof/>
          <w:color w:val="000000" w:themeColor="text1"/>
          <w:lang w:eastAsia="hi-IN" w:bidi="hi-IN"/>
        </w:rPr>
        <w:t>(Alphey et al., 2009)</w:t>
      </w:r>
      <w:r w:rsidRPr="00054C86">
        <w:rPr>
          <w:rFonts w:ascii="Times New Roman" w:eastAsia="SimSun" w:hAnsi="Times New Roman" w:cs="Calibri"/>
          <w:color w:val="000000" w:themeColor="text1"/>
          <w:lang w:eastAsia="hi-IN" w:bidi="hi-IN"/>
        </w:rPr>
        <w:fldChar w:fldCharType="end"/>
      </w:r>
      <w:r w:rsidRPr="00054C86">
        <w:rPr>
          <w:rFonts w:ascii="Times New Roman" w:eastAsia="SimSun" w:hAnsi="Times New Roman" w:cs="Calibri"/>
          <w:color w:val="000000" w:themeColor="text1"/>
          <w:lang w:eastAsia="hi-IN" w:bidi="hi-IN"/>
        </w:rPr>
        <w:t xml:space="preserve">. However, it also requires a system for sex-specific gene expression. Furthermore, the </w:t>
      </w:r>
      <w:r w:rsidR="000864D0">
        <w:rPr>
          <w:rFonts w:ascii="Times New Roman" w:eastAsia="SimSun" w:hAnsi="Times New Roman" w:cs="Calibri"/>
          <w:color w:val="000000" w:themeColor="text1"/>
          <w:lang w:eastAsia="hi-IN" w:bidi="hi-IN"/>
        </w:rPr>
        <w:t xml:space="preserve">potential </w:t>
      </w:r>
      <w:r w:rsidRPr="000864D0">
        <w:rPr>
          <w:rFonts w:ascii="Times New Roman" w:eastAsia="SimSun" w:hAnsi="Times New Roman" w:cs="Calibri"/>
          <w:color w:val="000000" w:themeColor="text1"/>
          <w:lang w:eastAsia="hi-IN" w:bidi="hi-IN"/>
        </w:rPr>
        <w:t>benefits of male-only release</w:t>
      </w:r>
      <w:r w:rsidRPr="00054C86">
        <w:rPr>
          <w:rFonts w:ascii="Times New Roman" w:eastAsia="SimSun" w:hAnsi="Times New Roman" w:cs="Calibri"/>
          <w:color w:val="000000" w:themeColor="text1"/>
          <w:lang w:eastAsia="hi-IN" w:bidi="hi-IN"/>
        </w:rPr>
        <w:t xml:space="preserve"> have not been established for moths as for various Diptera</w:t>
      </w:r>
      <w:r w:rsidR="00DF2DF4">
        <w:rPr>
          <w:rFonts w:ascii="Times New Roman" w:eastAsia="SimSun" w:hAnsi="Times New Roman" w:cs="Calibri"/>
          <w:color w:val="000000" w:themeColor="text1"/>
          <w:lang w:eastAsia="hi-IN" w:bidi="hi-IN"/>
        </w:rPr>
        <w:t xml:space="preserve"> </w:t>
      </w:r>
      <w:r w:rsidR="002D5C47" w:rsidRPr="002D5C47">
        <w:rPr>
          <w:rFonts w:ascii="Times New Roman" w:eastAsia="SimSun" w:hAnsi="Times New Roman" w:cs="Calibri"/>
          <w:color w:val="000000" w:themeColor="text1"/>
          <w:lang w:eastAsia="hi-IN" w:bidi="hi-IN"/>
        </w:rPr>
        <w:t xml:space="preserve"> </w:t>
      </w:r>
      <w:r w:rsidR="002D5C47" w:rsidRPr="00054C86">
        <w:rPr>
          <w:rFonts w:ascii="Times New Roman" w:eastAsia="SimSun" w:hAnsi="Times New Roman" w:cs="Calibri"/>
          <w:color w:val="000000" w:themeColor="text1"/>
          <w:lang w:eastAsia="hi-IN" w:bidi="hi-IN"/>
        </w:rPr>
        <w:fldChar w:fldCharType="begin" w:fldLock="1"/>
      </w:r>
      <w:r w:rsidR="002D5C47">
        <w:rPr>
          <w:rFonts w:ascii="Times New Roman" w:eastAsia="SimSun" w:hAnsi="Times New Roman" w:cs="Calibri"/>
          <w:color w:val="000000" w:themeColor="text1"/>
          <w:lang w:eastAsia="hi-IN" w:bidi="hi-IN"/>
        </w:rPr>
        <w:instrText>ADDIN CSL_CITATION {"citationItems":[{"id":"ITEM-1","itemData":{"DOI":"10.1371/journal.pone.0050922","ISSN":"1932-6203","abstract":"The sterile insect technique (SIT) is an environmentally friendly method of pest control in which insects are mass-produced, irradiated and released to mate with wild counterparts. SIT has been used to control major pest insects including the pink bollworm (Pectinophora gossypiella Saunders), a global pest of cotton. Transgenic technology has the potential to overcome disadvantages associated with the SIT, such as the damaging effects of radiation on released insects. A method called RIDL (Release of Insects carrying a Dominant Lethal) is designed to circumvent the need to irradiate insects before release. Premature death of insects' progeny can be engineered to provide an equivalent to sterilisation. Moreover, this trait can be suppressed by the provision of a dietary antidote. In the pink bollworm, we generated transformed strains using different DNA constructs, which showed moderate-to-100% engineered mortality. In permissive conditions, this effect was largely suppressed. Survival data on cotton in field cages indicated that field conditions increase the lethal effect. One strain, called OX3402C, showed highly penetrant and highly repressible lethality, and was tested on host plants where its larvae caused minimal damage before death. These results highlight a potentially valuable insecticide-free tool against pink bollworm, and indicate its potential for development in other lepidopteran pests.","author":[{"dropping-particle":"","family":"Morrison","given":"Neil I.","non-dropping-particle":"","parse-names":false,"suffix":""},{"dropping-particle":"","family":"Simmons","given":"Gregory S.","non-dropping-particle":"","parse-names":false,"suffix":""},{"dropping-particle":"","family":"Fu","given":"Guoliang","non-dropping-particle":"","parse-names":false,"suffix":""},{"dropping-particle":"","family":"O’Connell","given":"Sinead","non-dropping-particle":"","parse-names":false,"suffix":""},{"dropping-particle":"","family":"Walker","given":"Adam S.","non-dropping-particle":"","parse-names":false,"suffix":""},{"dropping-particle":"","family":"Dafa’alla","given":"Tarig","non-dropping-particle":"","parse-names":false,"suffix":""},{"dropping-particle":"","family":"Walters","given":"Michelle","non-dropping-particle":"","parse-names":false,"suffix":""},{"dropping-particle":"","family":"Claus","given":"John","non-dropping-particle":"","parse-names":false,"suffix":""},{"dropping-particle":"","family":"Tang","given":"Guolei","non-dropping-particle":"","parse-names":false,"suffix":""},{"dropping-particle":"","family":"Jin","given":"Li","non-dropping-particle":"","parse-names":false,"suffix":""},{"dropping-particle":"","family":"Marubbi","given":"Thea","non-dropping-particle":"","parse-names":false,"suffix":""},{"dropping-particle":"","family":"Epton","given":"Matthew J.","non-dropping-particle":"","parse-names":false,"suffix":""},{"dropping-particle":"","family":"Harris","given":"Claire L.","non-dropping-particle":"","parse-names":false,"suffix":""},{"dropping-particle":"","family":"Staten","given":"Robert T.","non-dropping-particle":"","parse-names":false,"suffix":""},{"dropping-particle":"","family":"Miller","given":"Ernest","non-dropping-particle":"","parse-names":false,"suffix":""},{"dropping-particle":"","family":"Miller","given":"Thomas A.","non-dropping-particle":"","parse-names":false,"suffix":""},{"dropping-particle":"","family":"Alphey","given":"Luke","non-dropping-particle":"","parse-names":false,"suffix":""}],"container-title":"PLoS ONE","editor":[{"dropping-particle":"","family":"Palli","given":"Subba Reddy","non-dropping-particle":"","parse-names":false,"suffix":""}],"id":"ITEM-1","issue":"12","issued":{"date-parts":[["2012","12"]]},"page":"e50922","publisher":"Public Library of Science","title":"Engineered Repressible Lethality for Controlling the Pink Bollworm, a Lepidopteran Pest of Cotton","type":"article-journal","volume":"7"},"uris":["http://www.mendeley.com/documents/?uuid=3842641e-a86f-494c-af87-0a031ac9ed16"]}],"mendeley":{"formattedCitation":"(Morrison et al., 2012)","plainTextFormattedCitation":"(Morrison et al., 2012)","previouslyFormattedCitation":"(Morrison et al., 2012)"},"properties":{"noteIndex":0},"schema":"https://github.com/citation-style-language/schema/raw/master/csl-citation.json"}</w:instrText>
      </w:r>
      <w:r w:rsidR="002D5C47" w:rsidRPr="00054C86">
        <w:rPr>
          <w:rFonts w:ascii="Times New Roman" w:eastAsia="SimSun" w:hAnsi="Times New Roman" w:cs="Calibri"/>
          <w:color w:val="000000" w:themeColor="text1"/>
          <w:lang w:eastAsia="hi-IN" w:bidi="hi-IN"/>
        </w:rPr>
        <w:fldChar w:fldCharType="separate"/>
      </w:r>
      <w:r w:rsidR="002D5C47" w:rsidRPr="00054C86">
        <w:rPr>
          <w:rFonts w:ascii="Times New Roman" w:eastAsia="SimSun" w:hAnsi="Times New Roman" w:cs="Calibri"/>
          <w:noProof/>
          <w:color w:val="000000" w:themeColor="text1"/>
          <w:lang w:eastAsia="hi-IN" w:bidi="hi-IN"/>
        </w:rPr>
        <w:t>(Morrison et al., 2012)</w:t>
      </w:r>
      <w:r w:rsidR="002D5C47" w:rsidRPr="00054C86">
        <w:rPr>
          <w:rFonts w:ascii="Times New Roman" w:eastAsia="SimSun" w:hAnsi="Times New Roman" w:cs="Calibri"/>
          <w:color w:val="000000" w:themeColor="text1"/>
          <w:lang w:eastAsia="hi-IN" w:bidi="hi-IN"/>
        </w:rPr>
        <w:fldChar w:fldCharType="end"/>
      </w:r>
      <w:r w:rsidRPr="00054C86">
        <w:rPr>
          <w:rFonts w:ascii="Times New Roman" w:eastAsia="SimSun" w:hAnsi="Times New Roman" w:cs="Calibri"/>
          <w:color w:val="000000" w:themeColor="text1"/>
          <w:lang w:eastAsia="hi-IN" w:bidi="hi-IN"/>
        </w:rPr>
        <w:t>.</w:t>
      </w:r>
    </w:p>
    <w:p w14:paraId="68494C20" w14:textId="09450353" w:rsidR="00054C86" w:rsidRPr="00C32072" w:rsidRDefault="000E5FB5" w:rsidP="000E5FB5">
      <w:pPr>
        <w:pStyle w:val="Heading5"/>
        <w:tabs>
          <w:tab w:val="clear" w:pos="1800"/>
        </w:tabs>
        <w:ind w:left="0" w:firstLine="0"/>
        <w:rPr>
          <w:i w:val="0"/>
        </w:rPr>
      </w:pPr>
      <w:r w:rsidRPr="00346588">
        <w:rPr>
          <w:i w:val="0"/>
          <w:iCs/>
          <w:lang w:val="en-GB"/>
        </w:rPr>
        <w:t>(e)</w:t>
      </w:r>
      <w:r w:rsidR="00346588">
        <w:rPr>
          <w:lang w:val="en-GB"/>
        </w:rPr>
        <w:t xml:space="preserve"> </w:t>
      </w:r>
      <w:r w:rsidR="00054C86" w:rsidRPr="00054C86">
        <w:t>Genetically engineered sorghum to produce a new synthetic protein to improve the digestibility in food and feed.</w:t>
      </w:r>
    </w:p>
    <w:p w14:paraId="44C1E078" w14:textId="7F4506D4" w:rsidR="00054C86" w:rsidRPr="00054C86" w:rsidRDefault="00054C86" w:rsidP="003D2EF7">
      <w:pPr>
        <w:suppressAutoHyphens/>
        <w:autoSpaceDE w:val="0"/>
        <w:spacing w:before="120" w:after="120" w:line="240" w:lineRule="auto"/>
        <w:jc w:val="both"/>
        <w:rPr>
          <w:rFonts w:asciiTheme="minorHAnsi" w:eastAsiaTheme="minorHAnsi" w:hAnsiTheme="minorHAnsi" w:cstheme="minorBidi"/>
          <w:lang w:eastAsia="ar-SA"/>
        </w:rPr>
      </w:pPr>
      <w:r w:rsidRPr="00054C86">
        <w:rPr>
          <w:rFonts w:ascii="Times New Roman" w:eastAsia="Times New Roman" w:hAnsi="Times New Roman" w:cstheme="minorBidi"/>
          <w:lang w:eastAsia="ar-SA"/>
        </w:rPr>
        <w:t xml:space="preserve">A synthetic gene was designed such that the encoded protein, kafirin, has ten additional cleavage sites. This resulted in sorghum grain with an increased content of easily digestible proteins </w:t>
      </w:r>
      <w:r w:rsidRPr="00054C86">
        <w:rPr>
          <w:rFonts w:ascii="Times New Roman" w:eastAsia="Times New Roman" w:hAnsi="Times New Roman" w:cstheme="minorBidi"/>
          <w:lang w:eastAsia="ar-SA"/>
        </w:rPr>
        <w:fldChar w:fldCharType="begin" w:fldLock="1"/>
      </w:r>
      <w:r w:rsidR="00B00C56">
        <w:rPr>
          <w:rFonts w:ascii="Times New Roman" w:eastAsia="Times New Roman" w:hAnsi="Times New Roman" w:cstheme="minorBidi"/>
          <w:lang w:eastAsia="ar-SA"/>
        </w:rPr>
        <w:instrText>ADDIN CSL_CITATION {"citationItems":[{"id":"ITEM-1","itemData":{"DOI":"10.1016/j.jcs.2018.11.001","ISSN":"07335210","author":[{"dropping-particle":"","family":"Liu","given":"Guoquan","non-dropping-particle":"","parse-names":false,"suffix":""},{"dropping-particle":"","family":"Gilding","given":"Edward K.","non-dropping-particle":"","parse-names":false,"suffix":""},{"dropping-particle":"","family":"Kerr","given":"Edward D.","non-dropping-particle":"","parse-names":false,"suffix":""},{"dropping-particle":"","family":"Schulz","given":"Benjamin L.","non-dropping-particle":"","parse-names":false,"suffix":""},{"dropping-particle":"","family":"Tabet","given":"Basam","non-dropping-particle":"","parse-names":false,"suffix":""},{"dropping-particle":"","family":"Hamaker","given":"Bruce R.","non-dropping-particle":"","parse-names":false,"suffix":""},{"dropping-particle":"","family":"Godwin","given":"Ian D.","non-dropping-particle":"","parse-names":false,"suffix":""}],"container-title":"Journal of Cereal Science","id":"ITEM-1","issued":{"date-parts":[["2019","1"]]},"page":"27-34","title":"Increasing protein content and digestibility in sorghum grain with a synthetic biology approach","type":"article-journal","volume":"85"},"uris":["http://www.mendeley.com/documents/?uuid=a1ed3f51-8871-457e-80a4-a2db53bda3eb"]}],"mendeley":{"formattedCitation":"(G. Liu et al., 2019)","plainTextFormattedCitation":"(G. Liu et al., 2019)","previouslyFormattedCitation":"(G. Liu et al., 2019)"},"properties":{"noteIndex":0},"schema":"https://github.com/citation-style-language/schema/raw/master/csl-citation.json"}</w:instrText>
      </w:r>
      <w:r w:rsidRPr="00054C86">
        <w:rPr>
          <w:rFonts w:ascii="Times New Roman" w:eastAsia="Times New Roman" w:hAnsi="Times New Roman" w:cstheme="minorBidi"/>
          <w:lang w:eastAsia="ar-SA"/>
        </w:rPr>
        <w:fldChar w:fldCharType="separate"/>
      </w:r>
      <w:r w:rsidR="006F2EA5" w:rsidRPr="006F2EA5">
        <w:rPr>
          <w:rFonts w:ascii="Times New Roman" w:eastAsia="Times New Roman" w:hAnsi="Times New Roman" w:cstheme="minorBidi"/>
          <w:noProof/>
          <w:lang w:eastAsia="ar-SA"/>
        </w:rPr>
        <w:t>(G. Liu et al., 2019)</w:t>
      </w:r>
      <w:r w:rsidRPr="00054C86">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A similar achievement was obtained by Li et al. </w:t>
      </w:r>
      <w:r w:rsidR="00186E01">
        <w:rPr>
          <w:rFonts w:ascii="Times New Roman" w:eastAsia="Times New Roman" w:hAnsi="Times New Roman" w:cstheme="minorBidi"/>
          <w:lang w:eastAsia="ar-SA"/>
        </w:rPr>
        <w:fldChar w:fldCharType="begin" w:fldLock="1"/>
      </w:r>
      <w:r w:rsidR="002F40AA">
        <w:rPr>
          <w:rFonts w:ascii="Times New Roman" w:eastAsia="Times New Roman" w:hAnsi="Times New Roman" w:cstheme="minorBidi"/>
          <w:lang w:eastAsia="ar-SA"/>
        </w:rPr>
        <w:instrText>ADDIN CSL_CITATION {"citationItems":[{"id":"ITEM-1","itemData":{"DOI":"10.1104/pp.18.00200","ISSN":"15322548","PMID":"29925584","abstract":"Kafirins are the major storage proteins in sorghum (Sorghum bicolor) grains and form protein bodies with poor digestibility. Since kafirins are devoid of the essential amino acid lysine, they also impart poor protein quality to the kernel. The $α$-kafirins, which make up most of the total kafirins, are largely encoded by the k1C family of highly similar genes. We used a clustered regularly interspaced short palindromic repeats (CRISPR)/CRISPR-associated protein 9 (Cas9) gene editing approach to target the k1C genes to create variants with reduced kafirin levels and improved protein quality and digestibility. A single guide RNA was designed to introduce mutations in a conserved region encoding the endoplasmic reticulum signal peptide of $α$-kafirins. Sequencing of kafirin PCR products revealed extensive edits in 25 of 26 events in one or multiple k1C family members. T1 and T2 seeds showed reduced $α$-kafirin levels, and selected T2 events showed significantly increased grain protein digestibility and lysine content. Thus, a single consensus single guide RNA carrying target sequence mismatches is sufficient for extensive editing of all k1C genes. The resulting quality improvements can be deployed rapidly for breeding and the generation of transgene-free, improved cultivars of sorghum, a major crop worldwide.","author":[{"dropping-particle":"","family":"Li","given":"Aixia","non-dropping-particle":"","parse-names":false,"suffix":""},{"dropping-particle":"","family":"Jia","given":"Shangang","non-dropping-particle":"","parse-names":false,"suffix":""},{"dropping-particle":"","family":"Yobi","given":"Abou","non-dropping-particle":"","parse-names":false,"suffix":""},{"dropping-particle":"","family":"Ge","given":"Zhengxiang","non-dropping-particle":"","parse-names":false,"suffix":""},{"dropping-particle":"","family":"Sato","given":"Shirley J","non-dropping-particle":"","parse-names":false,"suffix":""},{"dropping-particle":"","family":"Zhang","given":"Chi","non-dropping-particle":"","parse-names":false,"suffix":""},{"dropping-particle":"","family":"Angelovici","given":"Ruthie","non-dropping-particle":"","parse-names":false,"suffix":""},{"dropping-particle":"","family":"Clemente","given":"Thomas E","non-dropping-particle":"","parse-names":false,"suffix":""},{"dropping-particle":"","family":"Holding","given":"David R","non-dropping-particle":"","parse-names":false,"suffix":""}],"container-title":"Plant Physiology","id":"ITEM-1","issue":"4","issued":{"date-parts":[["2018","8"]]},"page":"1425-1438","publisher":"American Society of Plant Biologists","title":"Editing of an alpha-kafirin gene family increases digestibility and protein quality in sorghum","type":"article-journal","volume":"177"},"uris":["http://www.mendeley.com/documents/?uuid=55c59571-fc25-4af7-8e97-92927f987cda"]}],"mendeley":{"formattedCitation":"(A. Li et al., 2018)","manualFormatting":"(2018)","plainTextFormattedCitation":"(A. Li et al., 2018)","previouslyFormattedCitation":"(A. Li et al., 2018)"},"properties":{"noteIndex":0},"schema":"https://github.com/citation-style-language/schema/raw/master/csl-citation.json"}</w:instrText>
      </w:r>
      <w:r w:rsidR="00186E01">
        <w:rPr>
          <w:rFonts w:ascii="Times New Roman" w:eastAsia="Times New Roman" w:hAnsi="Times New Roman" w:cstheme="minorBidi"/>
          <w:lang w:eastAsia="ar-SA"/>
        </w:rPr>
        <w:fldChar w:fldCharType="separate"/>
      </w:r>
      <w:r w:rsidR="00186E01" w:rsidRPr="00186E01">
        <w:rPr>
          <w:rFonts w:ascii="Times New Roman" w:eastAsia="Times New Roman" w:hAnsi="Times New Roman" w:cstheme="minorBidi"/>
          <w:noProof/>
          <w:lang w:eastAsia="ar-SA"/>
        </w:rPr>
        <w:t>(2018)</w:t>
      </w:r>
      <w:r w:rsidR="00186E01">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using the CRISPR-Cas9 gene editing approach.</w:t>
      </w:r>
    </w:p>
    <w:p w14:paraId="7E2113A0" w14:textId="60BE67C5" w:rsidR="00A85C51" w:rsidRPr="00BD180B" w:rsidRDefault="00EF706E" w:rsidP="002D336D">
      <w:pPr>
        <w:suppressAutoHyphens/>
        <w:autoSpaceDE w:val="0"/>
        <w:spacing w:before="120" w:after="120" w:line="240" w:lineRule="auto"/>
        <w:ind w:left="284" w:hanging="284"/>
        <w:jc w:val="both"/>
        <w:rPr>
          <w:rFonts w:ascii="Times New Roman" w:eastAsia="Times New Roman" w:hAnsi="Times New Roman" w:cstheme="minorBidi"/>
          <w:lang w:eastAsia="ar-SA"/>
        </w:rPr>
      </w:pPr>
      <w:r w:rsidRPr="004E20EF">
        <w:rPr>
          <w:rStyle w:val="Heading5Char"/>
          <w:rFonts w:eastAsia="Calibri"/>
          <w:i w:val="0"/>
        </w:rPr>
        <w:t>(</w:t>
      </w:r>
      <w:r w:rsidR="00AE3BE0" w:rsidRPr="004E20EF">
        <w:rPr>
          <w:rStyle w:val="Heading5Char"/>
          <w:rFonts w:eastAsia="Calibri"/>
          <w:i w:val="0"/>
        </w:rPr>
        <w:t>f)</w:t>
      </w:r>
      <w:r w:rsidR="00AE3BE0">
        <w:rPr>
          <w:rStyle w:val="Heading5Char"/>
          <w:rFonts w:eastAsia="Calibri"/>
        </w:rPr>
        <w:t xml:space="preserve"> </w:t>
      </w:r>
      <w:r w:rsidR="00054C86" w:rsidRPr="00C32072">
        <w:rPr>
          <w:rStyle w:val="Heading5Char"/>
          <w:rFonts w:eastAsia="Calibri"/>
        </w:rPr>
        <w:t xml:space="preserve">Genetically engineered </w:t>
      </w:r>
      <w:r w:rsidR="00A87918" w:rsidRPr="00C32072">
        <w:rPr>
          <w:rStyle w:val="Heading5Char"/>
          <w:rFonts w:eastAsia="Calibri"/>
        </w:rPr>
        <w:t xml:space="preserve">oilseed </w:t>
      </w:r>
      <w:r w:rsidR="00054C86" w:rsidRPr="00C32072">
        <w:rPr>
          <w:rStyle w:val="Heading5Char"/>
          <w:rFonts w:eastAsia="Calibri"/>
        </w:rPr>
        <w:t>rape to enhance resource use efficiency</w:t>
      </w:r>
      <w:r w:rsidR="00054C86" w:rsidRPr="00C32072">
        <w:rPr>
          <w:rStyle w:val="Heading5Char"/>
          <w:rFonts w:eastAsiaTheme="minorHAnsi"/>
        </w:rPr>
        <w:t xml:space="preserve"> </w:t>
      </w:r>
      <w:r w:rsidR="00054C86" w:rsidRPr="00C32072">
        <w:rPr>
          <w:rStyle w:val="Heading5Char"/>
          <w:rFonts w:eastAsia="Calibri"/>
        </w:rPr>
        <w:t>of existing cropland</w:t>
      </w:r>
      <w:r w:rsidR="00054C86" w:rsidRPr="00054C86">
        <w:rPr>
          <w:rFonts w:ascii="Times New Roman" w:eastAsia="Times New Roman" w:hAnsi="Times New Roman" w:cstheme="minorBidi"/>
          <w:i/>
          <w:iCs/>
          <w:lang w:eastAsia="ar-SA"/>
        </w:rPr>
        <w:t>.</w:t>
      </w:r>
    </w:p>
    <w:p w14:paraId="44F8527B" w14:textId="64005DC4" w:rsidR="00054C86" w:rsidRPr="00054C86" w:rsidRDefault="00054C86" w:rsidP="00054C86">
      <w:pPr>
        <w:suppressAutoHyphens/>
        <w:autoSpaceDE w:val="0"/>
        <w:spacing w:before="240" w:after="120" w:line="240" w:lineRule="auto"/>
        <w:contextualSpacing/>
        <w:jc w:val="both"/>
        <w:rPr>
          <w:rFonts w:ascii="Times New Roman" w:eastAsia="Times New Roman" w:hAnsi="Times New Roman" w:cstheme="minorBidi"/>
          <w:lang w:eastAsia="ar-SA"/>
        </w:rPr>
      </w:pPr>
      <w:r w:rsidRPr="00054C86">
        <w:rPr>
          <w:rFonts w:ascii="Times New Roman" w:eastAsia="Times New Roman" w:hAnsi="Times New Roman" w:cstheme="minorBidi"/>
          <w:lang w:eastAsia="ar-SA"/>
        </w:rPr>
        <w:t xml:space="preserve">CRISPR/Cas9‐mediated knockout lines of the genes encoding the </w:t>
      </w:r>
      <w:r w:rsidR="007D396A" w:rsidRPr="00054C86">
        <w:rPr>
          <w:rFonts w:ascii="Times New Roman" w:eastAsia="Times New Roman" w:hAnsi="Times New Roman" w:cstheme="minorBidi"/>
          <w:lang w:eastAsia="ar-SA"/>
        </w:rPr>
        <w:t>strigolactone</w:t>
      </w:r>
      <w:r w:rsidRPr="00054C86">
        <w:rPr>
          <w:rFonts w:ascii="Times New Roman" w:eastAsia="Times New Roman" w:hAnsi="Times New Roman" w:cstheme="minorBidi"/>
          <w:lang w:eastAsia="ar-SA"/>
        </w:rPr>
        <w:t xml:space="preserve"> receptor BnD14</w:t>
      </w:r>
      <w:r w:rsidR="002A51EC" w:rsidRPr="002A51EC">
        <w:rPr>
          <w:rFonts w:ascii="Times New Roman" w:eastAsia="Times New Roman" w:hAnsi="Times New Roman" w:cstheme="minorBidi"/>
          <w:lang w:eastAsia="ar-SA"/>
        </w:rPr>
        <w:t xml:space="preserve"> </w:t>
      </w:r>
      <w:r w:rsidR="002A51EC" w:rsidRPr="00054C86">
        <w:rPr>
          <w:rFonts w:ascii="Times New Roman" w:eastAsia="Times New Roman" w:hAnsi="Times New Roman" w:cstheme="minorBidi"/>
          <w:lang w:eastAsia="ar-SA"/>
        </w:rPr>
        <w:t>were transformed into rapeseed c</w:t>
      </w:r>
      <w:r w:rsidR="002A51EC">
        <w:rPr>
          <w:rFonts w:ascii="Times New Roman" w:eastAsia="Times New Roman" w:hAnsi="Times New Roman" w:cstheme="minorBidi"/>
          <w:lang w:eastAsia="ar-SA"/>
        </w:rPr>
        <w:t>ultivar</w:t>
      </w:r>
      <w:r w:rsidR="002A51EC" w:rsidRPr="00054C86">
        <w:rPr>
          <w:rFonts w:ascii="Times New Roman" w:eastAsia="Times New Roman" w:hAnsi="Times New Roman" w:cstheme="minorBidi"/>
          <w:lang w:eastAsia="ar-SA"/>
        </w:rPr>
        <w:t xml:space="preserve"> Westar</w:t>
      </w:r>
      <w:r w:rsidR="002A51EC">
        <w:rPr>
          <w:rFonts w:ascii="Times New Roman" w:eastAsia="Times New Roman" w:hAnsi="Times New Roman" w:cstheme="minorBidi"/>
          <w:lang w:eastAsia="ar-SA"/>
        </w:rPr>
        <w:t>. Strigolactones are</w:t>
      </w:r>
      <w:r w:rsidRPr="00054C86">
        <w:rPr>
          <w:rFonts w:ascii="Times New Roman" w:eastAsia="Times New Roman" w:hAnsi="Times New Roman" w:cstheme="minorBidi"/>
          <w:lang w:eastAsia="ar-SA"/>
        </w:rPr>
        <w:t xml:space="preserve"> responsible for </w:t>
      </w:r>
      <w:r w:rsidR="002A51EC">
        <w:rPr>
          <w:rFonts w:ascii="Times New Roman" w:eastAsia="Times New Roman" w:hAnsi="Times New Roman" w:cstheme="minorBidi"/>
          <w:lang w:eastAsia="ar-SA"/>
        </w:rPr>
        <w:t>the</w:t>
      </w:r>
      <w:r w:rsidR="002A51EC" w:rsidRPr="00054C86">
        <w:rPr>
          <w:rFonts w:ascii="Times New Roman" w:eastAsia="Times New Roman" w:hAnsi="Times New Roman" w:cstheme="minorBidi"/>
          <w:lang w:eastAsia="ar-SA"/>
        </w:rPr>
        <w:t xml:space="preserve"> </w:t>
      </w:r>
      <w:r w:rsidRPr="00054C86">
        <w:rPr>
          <w:rFonts w:ascii="Times New Roman" w:eastAsia="Times New Roman" w:hAnsi="Times New Roman" w:cstheme="minorBidi"/>
          <w:lang w:eastAsia="ar-SA"/>
        </w:rPr>
        <w:t>regulat</w:t>
      </w:r>
      <w:r w:rsidR="002A51EC">
        <w:rPr>
          <w:rFonts w:ascii="Times New Roman" w:eastAsia="Times New Roman" w:hAnsi="Times New Roman" w:cstheme="minorBidi"/>
          <w:lang w:eastAsia="ar-SA"/>
        </w:rPr>
        <w:t>ion of</w:t>
      </w:r>
      <w:r w:rsidRPr="00054C86">
        <w:rPr>
          <w:rFonts w:ascii="Times New Roman" w:eastAsia="Times New Roman" w:hAnsi="Times New Roman" w:cstheme="minorBidi"/>
          <w:lang w:eastAsia="ar-SA"/>
        </w:rPr>
        <w:t xml:space="preserve"> various developmental processes including internode elongation, leaf shape, secondary stem thickening, as well as root architecture. </w:t>
      </w:r>
      <w:r w:rsidR="002A51EC">
        <w:rPr>
          <w:rFonts w:ascii="Times New Roman" w:eastAsia="Times New Roman" w:hAnsi="Times New Roman" w:cstheme="minorBidi"/>
          <w:lang w:eastAsia="ar-SA"/>
        </w:rPr>
        <w:t>Thus i</w:t>
      </w:r>
      <w:r w:rsidRPr="00054C86">
        <w:rPr>
          <w:rFonts w:ascii="Times New Roman" w:eastAsia="Times New Roman" w:hAnsi="Times New Roman" w:cstheme="minorBidi"/>
          <w:lang w:eastAsia="ar-SA"/>
        </w:rPr>
        <w:t xml:space="preserve">ncorporation of this trait into elite breeding lines resulted in rapeseed with a tighter architecture, increased flowering and a lodging‐tolerant stature amenable for responding to more inputs to improve yield </w:t>
      </w:r>
      <w:r w:rsidRPr="00054C86">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{"citationItems":[{"id":"ITEM-1","itemData":{"DOI":"10.1111/pbi.13513","ISSN":"1467-7644","author":[{"dropping-particle":"","family":"Stanic","given":"Matija","non-dropping-particle":"","parse-names":false,"suffix":""},{"dropping-particle":"","family":"Hickerson","given":"Neil M.N.","non-dropping-particle":"","parse-names":false,"suffix":""},{"dropping-particle":"","family":"Arunraj","given":"Rex","non-dropping-particle":"","parse-names":false,"suffix":""},{"dropping-particle":"","family":"Samuel","given":"Marcus A.","non-dropping-particle":"","parse-names":false,"suffix":""}],"container-title":"Plant Biotechnology Journal","id":"ITEM-1","issued":{"date-parts":[["2020","1"]]},"page":"pbi.13513","publisher":"Blackwell Publishing Ltd","title":"Gene‐editing of the strigolactone receptor BnD14 confers promising shoot architectural changes in Brassica napus (canola)","type":"article-journal"},"uris":["http://www.mendeley.com/documents/?uuid=32ba2546-82bc-414a-bef8-7c67e242875d"]}],"mendeley":{"formattedCitation":"(Stanic et al., 2020)","plainTextFormattedCitation":"(Stanic et al., 2020)","previouslyFormattedCitation":"(Stanic et al., 2020)"},"properties":{"noteIndex":0},"schema":"https://github.com/citation-style-language/schema/raw/master/csl-citation.json"}</w:instrText>
      </w:r>
      <w:r w:rsidRPr="00054C86">
        <w:rPr>
          <w:rFonts w:ascii="Times New Roman" w:eastAsia="Times New Roman" w:hAnsi="Times New Roman" w:cstheme="minorBidi"/>
          <w:lang w:eastAsia="ar-SA"/>
        </w:rPr>
        <w:fldChar w:fldCharType="separate"/>
      </w:r>
      <w:r w:rsidR="000930D4" w:rsidRPr="000930D4">
        <w:rPr>
          <w:rFonts w:ascii="Times New Roman" w:eastAsia="Times New Roman" w:hAnsi="Times New Roman" w:cstheme="minorBidi"/>
          <w:noProof/>
          <w:lang w:eastAsia="ar-SA"/>
        </w:rPr>
        <w:t>(Stanic et al., 2020)</w:t>
      </w:r>
      <w:r w:rsidRPr="00054C86">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w:t>
      </w:r>
    </w:p>
    <w:p w14:paraId="058124F5" w14:textId="0058940A" w:rsidR="00054C86" w:rsidRPr="00346588" w:rsidRDefault="003D6125">
      <w:pPr>
        <w:pStyle w:val="Heading4"/>
        <w:rPr>
          <w:bCs w:val="0"/>
          <w:i w:val="0"/>
        </w:rPr>
      </w:pPr>
      <w:r w:rsidRPr="00346588">
        <w:rPr>
          <w:bCs w:val="0"/>
          <w:i w:val="0"/>
        </w:rPr>
        <w:t>3</w:t>
      </w:r>
      <w:r w:rsidR="00054C86" w:rsidRPr="00346588">
        <w:rPr>
          <w:bCs w:val="0"/>
          <w:i w:val="0"/>
        </w:rPr>
        <w:t>.2.3. Research</w:t>
      </w:r>
      <w:r w:rsidR="00C32072" w:rsidRPr="00346588">
        <w:rPr>
          <w:bCs w:val="0"/>
          <w:i w:val="0"/>
        </w:rPr>
        <w:t>.</w:t>
      </w:r>
    </w:p>
    <w:p w14:paraId="5A7CC730" w14:textId="55609C4B" w:rsidR="00054C86" w:rsidRPr="00C32072" w:rsidRDefault="00054C86" w:rsidP="00F96F27">
      <w:pPr>
        <w:pStyle w:val="Heading5"/>
        <w:numPr>
          <w:ilvl w:val="0"/>
          <w:numId w:val="210"/>
        </w:numPr>
        <w:ind w:left="284" w:hanging="284"/>
        <w:rPr>
          <w:i w:val="0"/>
        </w:rPr>
      </w:pPr>
      <w:r w:rsidRPr="00054C86">
        <w:t>Genetically engineered nitrogen-fixing bacteria and other genetically engineered bacteria for agriculture.</w:t>
      </w:r>
    </w:p>
    <w:p w14:paraId="156873C3" w14:textId="6DD825BF" w:rsidR="3CBB9A12" w:rsidRDefault="00054C86" w:rsidP="003D2EF7">
      <w:pPr>
        <w:spacing w:before="120" w:after="120" w:line="240" w:lineRule="auto"/>
        <w:jc w:val="both"/>
        <w:rPr>
          <w:rFonts w:ascii="Times New Roman" w:eastAsia="Times New Roman" w:hAnsi="Times New Roman" w:cstheme="minorBidi"/>
          <w:lang w:eastAsia="ar-SA"/>
        </w:rPr>
      </w:pPr>
      <w:r w:rsidRPr="3CBB9A12">
        <w:rPr>
          <w:rFonts w:ascii="Times New Roman" w:eastAsia="Times New Roman" w:hAnsi="Times New Roman" w:cstheme="minorBidi"/>
          <w:lang w:eastAsia="ar-SA"/>
        </w:rPr>
        <w:t xml:space="preserve">Diverse engineering strategies exist which can </w:t>
      </w:r>
      <w:r w:rsidR="00984039" w:rsidRPr="3CBB9A12">
        <w:rPr>
          <w:rFonts w:ascii="Times New Roman" w:eastAsia="Times New Roman" w:hAnsi="Times New Roman" w:cstheme="minorBidi"/>
          <w:lang w:eastAsia="ar-SA"/>
        </w:rPr>
        <w:t>help</w:t>
      </w:r>
      <w:r w:rsidRPr="3CBB9A12">
        <w:rPr>
          <w:rFonts w:ascii="Times New Roman" w:eastAsia="Times New Roman" w:hAnsi="Times New Roman" w:cstheme="minorBidi"/>
          <w:lang w:eastAsia="ar-SA"/>
        </w:rPr>
        <w:t xml:space="preserve"> design bacteri</w:t>
      </w:r>
      <w:r w:rsidR="00984039" w:rsidRPr="3CBB9A12">
        <w:rPr>
          <w:rFonts w:ascii="Times New Roman" w:eastAsia="Times New Roman" w:hAnsi="Times New Roman" w:cstheme="minorBidi"/>
          <w:lang w:eastAsia="ar-SA"/>
        </w:rPr>
        <w:t>a</w:t>
      </w:r>
      <w:r w:rsidRPr="3CBB9A12">
        <w:rPr>
          <w:rFonts w:ascii="Times New Roman" w:eastAsia="Times New Roman" w:hAnsi="Times New Roman" w:cstheme="minorBidi"/>
          <w:lang w:eastAsia="ar-SA"/>
        </w:rPr>
        <w:t xml:space="preserve"> </w:t>
      </w:r>
      <w:r w:rsidR="00984039" w:rsidRPr="3CBB9A12">
        <w:rPr>
          <w:rFonts w:ascii="Times New Roman" w:eastAsia="Times New Roman" w:hAnsi="Times New Roman" w:cstheme="minorBidi"/>
          <w:lang w:eastAsia="ar-SA"/>
        </w:rPr>
        <w:t>to</w:t>
      </w:r>
      <w:r w:rsidRPr="3CBB9A12">
        <w:rPr>
          <w:rFonts w:ascii="Times New Roman" w:eastAsia="Times New Roman" w:hAnsi="Times New Roman" w:cstheme="minorBidi"/>
          <w:lang w:eastAsia="ar-SA"/>
        </w:rPr>
        <w:t xml:space="preserve"> deliver fixed nitrogen to a cereal crop </w:t>
      </w:r>
      <w:r w:rsidRPr="3CBB9A12">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{"citationItems":[{"id":"ITEM-1","itemData":{"DOI":"10.1038/s41564-019-0631-2","ISSN":"20585276","PMID":"31844298","abstract":"Legumes obtain nitrogen from air through rhizobia residing in root nodules. Some species of rhizobia can colonize cereals but do not fix nitrogen on them. Disabling native regulation can turn on nitrogenase expression, even in the presence of nitrogenous fertilizer and low oxygen, but continuous nitrogenase production confers an energy burden. Here, we engineer inducible nitrogenase activity in two cereal endophytes (Azorhizobium caulinodans ORS571 and Rhizobium sp. IRBG74) and the well-characterized plant epiphyte Pseudomonas protegens Pf-5, a maize seed inoculant. For each organism, different strategies were taken to eliminate ammonium repression and place nitrogenase expression under the control of agriculturally relevant signals, including root exudates, biocontrol agents and phytohormones. We demonstrate that R. sp. IRBG74 can be engineered to result in nitrogenase activity under free-living conditions by transferring a nif cluster from either Rhodobacter sphaeroides or Klebsiella oxytoca. For P. protegens Pf-5, the transfer of an inducible cluster from Pseudomonas stutzeri and Azotobacter vinelandii yields ammonium tolerance and higher oxygen tolerance of nitrogenase activity than that from K. oxytoca. Collectively, the data from the transfer of 12 nif gene clusters between 15 diverse species (including Escherichia coli and 12 rhizobia) help identify the barriers that must be overcome to engineer a bacterium to deliver a high nitrogen flux to a cereal crop.","author":[{"dropping-particle":"","family":"Ryu","given":"Min Hyung","non-dropping-particle":"","parse-names":false,"suffix":""},{"dropping-particle":"","family":"Zhang","given":"Jing","non-dropping-particle":"","parse-names":false,"suffix":""},{"dropping-particle":"","family":"Toth","given":"Tyler","non-dropping-particle":"","parse-names":false,"suffix":""},{"dropping-particle":"","family":"Khokhani","given":"Devanshi","non-dropping-particle":"","parse-names":false,"suffix":""},{"dropping-particle":"","family":"Geddes","given":"Barney A.","non-dropping-particle":"","parse-names":false,"suffix":""},{"dropping-particle":"","family":"Mus","given":"Florence","non-dropping-particle":"","parse-names":false,"suffix":""},{"dropping-particle":"","family":"Garcia-Costas","given":"Amaya","non-dropping-particle":"","parse-names":false,"suffix":""},{"dropping-particle":"","family":"Peters","given":"John W.","non-dropping-particle":"","parse-names":false,"suffix":""},{"dropping-particle":"","family":"Poole","given":"Philip S.","non-dropping-particle":"","parse-names":false,"suffix":""},{"dropping-particle":"","family":"Ané","given":"Jean Michel","non-dropping-particle":"","parse-names":false,"suffix":""},{"dropping-particle":"","family":"Voigt","given":"Christopher A.","non-dropping-particle":"","parse-names":false,"suffix":""}],"container-title":"Nature Microbiology","id":"ITEM-1","issue":"2","issued":{"date-parts":[["2020","2"]]},"page":"314-330","publisher":"Nature Research","title":"Control of nitrogen fixation in bacteria that associate with cereals","type":"article-journal","volume":"5"},"uris":["http://www.mendeley.com/documents/?uuid=9d09594c-2279-45c1-b672-7f90202d02c7"]}],"mendeley":{"formattedCitation":"(Ryu et al., 2020)","plainTextFormattedCitation":"(Ryu et al., 2020)","previouslyFormattedCitation":"(Ryu et al., 2020)"},"properties":{"noteIndex":0},"schema":"https://github.com/citation-style-language/schema/raw/master/csl-citation.json"}</w:instrText>
      </w:r>
      <w:r w:rsidRPr="3CBB9A12">
        <w:rPr>
          <w:rFonts w:ascii="Times New Roman" w:eastAsia="Times New Roman" w:hAnsi="Times New Roman" w:cstheme="minorBidi"/>
          <w:lang w:eastAsia="ar-SA"/>
        </w:rPr>
        <w:fldChar w:fldCharType="separate"/>
      </w:r>
      <w:r w:rsidRPr="3CBB9A12">
        <w:rPr>
          <w:rFonts w:ascii="Times New Roman" w:eastAsia="Times New Roman" w:hAnsi="Times New Roman" w:cstheme="minorBidi"/>
          <w:noProof/>
          <w:lang w:eastAsia="ar-SA"/>
        </w:rPr>
        <w:t>(Ryu et al., 2020)</w:t>
      </w:r>
      <w:r w:rsidRPr="3CBB9A12">
        <w:rPr>
          <w:rFonts w:ascii="Times New Roman" w:eastAsia="Times New Roman" w:hAnsi="Times New Roman" w:cstheme="minorBidi"/>
          <w:lang w:eastAsia="ar-SA"/>
        </w:rPr>
        <w:fldChar w:fldCharType="end"/>
      </w:r>
      <w:r w:rsidR="00A65A4F" w:rsidRPr="3CBB9A12">
        <w:rPr>
          <w:rFonts w:ascii="Times New Roman" w:eastAsia="Times New Roman" w:hAnsi="Times New Roman" w:cstheme="minorBidi"/>
          <w:lang w:eastAsia="ar-SA"/>
        </w:rPr>
        <w:t>.</w:t>
      </w:r>
      <w:r w:rsidRPr="3CBB9A12">
        <w:rPr>
          <w:rFonts w:ascii="Times New Roman" w:eastAsia="Times New Roman" w:hAnsi="Times New Roman" w:cstheme="minorBidi"/>
          <w:lang w:eastAsia="ar-SA"/>
        </w:rPr>
        <w:t xml:space="preserve"> The SynSym international consortia</w:t>
      </w:r>
      <w:r w:rsidR="00CF4572" w:rsidRPr="3CBB9A12">
        <w:rPr>
          <w:rStyle w:val="FootnoteReference"/>
          <w:rFonts w:ascii="Times New Roman" w:eastAsia="Times New Roman" w:hAnsi="Times New Roman" w:cstheme="minorBidi"/>
          <w:lang w:eastAsia="ar-SA"/>
        </w:rPr>
        <w:footnoteReference w:id="17"/>
      </w:r>
      <w:r w:rsidRPr="3CBB9A12">
        <w:rPr>
          <w:rFonts w:ascii="Times New Roman" w:eastAsia="Times New Roman" w:hAnsi="Times New Roman" w:cstheme="minorBidi"/>
          <w:lang w:eastAsia="ar-SA"/>
        </w:rPr>
        <w:t xml:space="preserve"> investigates and engineer</w:t>
      </w:r>
      <w:r w:rsidR="00984039" w:rsidRPr="3CBB9A12">
        <w:rPr>
          <w:rFonts w:ascii="Times New Roman" w:eastAsia="Times New Roman" w:hAnsi="Times New Roman" w:cstheme="minorBidi"/>
          <w:lang w:eastAsia="ar-SA"/>
        </w:rPr>
        <w:t>s</w:t>
      </w:r>
      <w:r w:rsidRPr="3CBB9A12">
        <w:rPr>
          <w:rFonts w:ascii="Times New Roman" w:eastAsia="Times New Roman" w:hAnsi="Times New Roman" w:cstheme="minorBidi"/>
          <w:lang w:eastAsia="ar-SA"/>
        </w:rPr>
        <w:t xml:space="preserve"> interactions between nitrogen-fixing bacteria and plants. Among</w:t>
      </w:r>
      <w:r w:rsidR="00984039" w:rsidRPr="3CBB9A12">
        <w:rPr>
          <w:rFonts w:ascii="Times New Roman" w:eastAsia="Times New Roman" w:hAnsi="Times New Roman" w:cstheme="minorBidi"/>
          <w:lang w:eastAsia="ar-SA"/>
        </w:rPr>
        <w:t>st</w:t>
      </w:r>
      <w:r w:rsidRPr="3CBB9A12">
        <w:rPr>
          <w:rFonts w:ascii="Times New Roman" w:eastAsia="Times New Roman" w:hAnsi="Times New Roman" w:cstheme="minorBidi"/>
          <w:lang w:eastAsia="ar-SA"/>
        </w:rPr>
        <w:t xml:space="preserve"> </w:t>
      </w:r>
      <w:r w:rsidR="00984039" w:rsidRPr="3CBB9A12">
        <w:rPr>
          <w:rFonts w:ascii="Times New Roman" w:eastAsia="Times New Roman" w:hAnsi="Times New Roman" w:cstheme="minorBidi"/>
          <w:lang w:eastAsia="ar-SA"/>
        </w:rPr>
        <w:t>many</w:t>
      </w:r>
      <w:r w:rsidRPr="3CBB9A12">
        <w:rPr>
          <w:rFonts w:ascii="Times New Roman" w:eastAsia="Times New Roman" w:hAnsi="Times New Roman" w:cstheme="minorBidi"/>
          <w:lang w:eastAsia="ar-SA"/>
        </w:rPr>
        <w:t xml:space="preserve"> developments, Yang et al. </w:t>
      </w:r>
      <w:r w:rsidR="002F40AA">
        <w:rPr>
          <w:rFonts w:ascii="Times New Roman" w:eastAsia="Times New Roman" w:hAnsi="Times New Roman" w:cstheme="minorBidi"/>
          <w:lang w:eastAsia="ar-SA"/>
        </w:rPr>
        <w:fldChar w:fldCharType="begin" w:fldLock="1"/>
      </w:r>
      <w:r w:rsidR="002F40AA">
        <w:rPr>
          <w:rFonts w:ascii="Times New Roman" w:eastAsia="Times New Roman" w:hAnsi="Times New Roman" w:cstheme="minorBidi"/>
          <w:lang w:eastAsia="ar-SA"/>
        </w:rPr>
        <w:instrText>ADDIN CSL_CITATION {"citationItems":[{"id":"ITEM-1","itemData":{"DOI":"10.1038/s41598-018-29204-0","ISSN":"2045-2322","PMID":"30026566","abstract":"Transfer of nitrogen fixation (nif) genes from diazotrophs to amenable heterologous hosts is of increasing interest to genetically engineer nitrogen fixation. However, how the non-diazotrophic host maximizes opportunities to fine-tune the acquired capacity for nitrogen fixation has not been fully explored. In this study, a global investigation of an engineered nitrogen-fixing Escherichia coli strain EN-01 harboring a heterologous nif island from Pseudomonas stutzeri was performed via transcriptomics and proteomics analyses. A total of 1156 genes and 206 discriminative proteins were found to be significantly altered when cells were incubated under nitrogen-fixation conditions. Pathways for regulation, metabolic flux and oxygen protection to nitrogenase were particularly discussed. An NtrC-dependent regulatory coupling between E. coli nitrogen regulation system and nif genes was established. Additionally, pentose phosphate pathway was proposed to serve as the primary route for glucose catabolism and energy supply to nitrogenase. Meanwhile, HPLC analysis indicated that organic acids produced by EN-01 might have negative effects on nitrogenase activity. This study provides a global view of the complex network underlying the acquired nif genes in the recombinant E. coli and also provides clues for the optimization and redesign of robust nitrogen-fixing organisms to improve nitrogenase efficiency by overcoming regulatory or metabolic obstacles.","author":[{"dropping-particle":"","family":"Yang","given":"Zhimin","non-dropping-particle":"","parse-names":false,"suffix":""},{"dropping-particle":"","family":"Han","given":"Yunlei","non-dropping-particle":"","parse-names":false,"suffix":""},{"dropping-particle":"","family":"Ma","given":"Yao","non-dropping-particle":"","parse-names":false,"suffix":""},{"dropping-particle":"","family":"Chen","given":"Qinghua","non-dropping-particle":"","parse-names":false,"suffix":""},{"dropping-particle":"","family":"Zhan","given":"Yuhua","non-dropping-particle":"","parse-names":false,"suffix":""},{"dropping-particle":"","family":"Lu","given":"Wei","non-dropping-particle":"","parse-names":false,"suffix":""},{"dropping-particle":"","family":"Cai","given":"Li","non-dropping-particle":"","parse-names":false,"suffix":""},{"dropping-particle":"","family":"Hou","given":"Mingsheng","non-dropping-particle":"","parse-names":false,"suffix":""},{"dropping-particle":"","family":"Chen","given":"Sanfeng","non-dropping-particle":"","parse-names":false,"suffix":""},{"dropping-particle":"","family":"Yan","given":"Yongliang","non-dropping-particle":"","parse-names":false,"suffix":""},{"dropping-particle":"","family":"Lin","given":"Min","non-dropping-particle":"","parse-names":false,"suffix":""}],"container-title":"Scientific Reports","id":"ITEM-1","issue":"1","issued":{"date-parts":[["2018","12","19"]]},"page":"10928","publisher":"Nature Publishing Group","title":"Global investigation of an engineered nitrogen-fixing Escherichia coli strain reveals regulatory coupling between host and heterologous nitrogen-fixation genes","type":"article-journal","volume":"8"},"uris":["http://www.mendeley.com/documents/?uuid=e6918566-2762-4cb5-bb38-55364afbbff6"]}],"mendeley":{"formattedCitation":"(Z. Yang et al., 2018)","manualFormatting":"(2018)","plainTextFormattedCitation":"(Z. Yang et al., 2018)","previouslyFormattedCitation":"(Z. Yang et al., 2018)"},"properties":{"noteIndex":0},"schema":"https://github.com/citation-style-language/schema/raw/master/csl-citation.json"}</w:instrText>
      </w:r>
      <w:r w:rsidR="002F40AA">
        <w:rPr>
          <w:rFonts w:ascii="Times New Roman" w:eastAsia="Times New Roman" w:hAnsi="Times New Roman" w:cstheme="minorBidi"/>
          <w:lang w:eastAsia="ar-SA"/>
        </w:rPr>
        <w:fldChar w:fldCharType="separate"/>
      </w:r>
      <w:r w:rsidR="002F40AA" w:rsidRPr="002F40AA">
        <w:rPr>
          <w:rFonts w:ascii="Times New Roman" w:eastAsia="Times New Roman" w:hAnsi="Times New Roman" w:cstheme="minorBidi"/>
          <w:noProof/>
          <w:lang w:eastAsia="ar-SA"/>
        </w:rPr>
        <w:t>(2018)</w:t>
      </w:r>
      <w:r w:rsidR="002F40AA">
        <w:rPr>
          <w:rFonts w:ascii="Times New Roman" w:eastAsia="Times New Roman" w:hAnsi="Times New Roman" w:cstheme="minorBidi"/>
          <w:lang w:eastAsia="ar-SA"/>
        </w:rPr>
        <w:fldChar w:fldCharType="end"/>
      </w:r>
      <w:r w:rsidRPr="3CBB9A12">
        <w:rPr>
          <w:rFonts w:ascii="Times New Roman" w:eastAsia="Times New Roman" w:hAnsi="Times New Roman" w:cstheme="minorBidi"/>
          <w:lang w:eastAsia="ar-SA"/>
        </w:rPr>
        <w:t xml:space="preserve"> successfully transferred and expressed nitrogen fixation from </w:t>
      </w:r>
      <w:r w:rsidRPr="3CBB9A12">
        <w:rPr>
          <w:rFonts w:ascii="Times New Roman" w:eastAsia="Times New Roman" w:hAnsi="Times New Roman" w:cstheme="minorBidi"/>
          <w:i/>
          <w:lang w:eastAsia="ar-SA"/>
        </w:rPr>
        <w:t>Pseudomonas stutzeri</w:t>
      </w:r>
      <w:r w:rsidRPr="3CBB9A12">
        <w:rPr>
          <w:rFonts w:ascii="Times New Roman" w:eastAsia="Times New Roman" w:hAnsi="Times New Roman" w:cstheme="minorBidi"/>
          <w:lang w:eastAsia="ar-SA"/>
        </w:rPr>
        <w:t xml:space="preserve"> A1501, a diazotrophic root-associated bacterium, into </w:t>
      </w:r>
      <w:r w:rsidRPr="3CBB9A12">
        <w:rPr>
          <w:rFonts w:ascii="Times New Roman" w:eastAsia="Times New Roman" w:hAnsi="Times New Roman" w:cstheme="minorBidi"/>
          <w:i/>
          <w:lang w:eastAsia="ar-SA"/>
        </w:rPr>
        <w:t>E. coli</w:t>
      </w:r>
      <w:r w:rsidRPr="3CBB9A12">
        <w:rPr>
          <w:rFonts w:ascii="Times New Roman" w:eastAsia="Times New Roman" w:hAnsi="Times New Roman" w:cstheme="minorBidi"/>
          <w:lang w:eastAsia="ar-SA"/>
        </w:rPr>
        <w:t xml:space="preserve">. Geddes et al. </w:t>
      </w:r>
      <w:r w:rsidR="002F40AA">
        <w:rPr>
          <w:rFonts w:ascii="Times New Roman" w:eastAsia="Times New Roman" w:hAnsi="Times New Roman" w:cstheme="minorBidi"/>
          <w:lang w:eastAsia="ar-SA"/>
        </w:rPr>
        <w:fldChar w:fldCharType="begin" w:fldLock="1"/>
      </w:r>
      <w:r w:rsidR="002F40AA">
        <w:rPr>
          <w:rFonts w:ascii="Times New Roman" w:eastAsia="Times New Roman" w:hAnsi="Times New Roman" w:cstheme="minorBidi"/>
          <w:lang w:eastAsia="ar-SA"/>
        </w:rPr>
        <w:instrText>ADDIN CSL_CITATION {"citationItems":[{"id":"ITEM-1","itemData":{"DOI":"10.1038/s41467-019-10882-x","ISSN":"20411723","PMID":"31366919","abstract":"The root microbiota is critical for agricultural yield, with growth-promoting bacteria able to solubilise phosphate, produce plant growth hormones, antagonise pathogens and fix N2. Plants control the microorganisms in their immediate environment and this is at least in part through direct selection, the immune system, and interactions with other microorganisms. Considering the importance of the root microbiota for crop yields it is attractive to artificially regulate this environment to optimise agricultural productivity. Towards this aim we express a synthetic pathway for the production of the rhizopine scyllo-inosamine in plants. We demonstrate the production of this bacterial derived signal in both Medicago truncatula and barley and show its perception by rhizosphere bacteria, containing bioluminescent and fluorescent biosensors. This study lays the groundwork for synthetic signalling networks between plants and bacteria, allowing the targeted regulation of bacterial gene expression in the rhizosphere for delivery of useful functions to plants.","author":[{"dropping-particle":"","family":"Geddes","given":"Barney A","non-dropping-particle":"","parse-names":false,"suffix":""},{"dropping-particle":"","family":"Paramasivan","given":"Ponraj","non-dropping-particle":"","parse-names":false,"suffix":""},{"dropping-particle":"","family":"Joffrin","given":"Amelie","non-dropping-particle":"","parse-names":false,"suffix":""},{"dropping-particle":"","family":"Thompson","given":"Amber L","non-dropping-particle":"","parse-names":false,"suffix":""},{"dropping-particle":"","family":"Christensen","given":"Kirsten","non-dropping-particle":"","parse-names":false,"suffix":""},{"dropping-particle":"","family":"Jorrin","given":"Beatriz","non-dropping-particle":"","parse-names":false,"suffix":""},{"dropping-particle":"","family":"Brett","given":"Paul","non-dropping-particle":"","parse-names":false,"suffix":""},{"dropping-particle":"","family":"Conway","given":"Stuart J","non-dropping-particle":"","parse-names":false,"suffix":""},{"dropping-particle":"","family":"Oldroyd","given":"Giles E D","non-dropping-particle":"","parse-names":false,"suffix":""},{"dropping-particle":"","family":"Poole","given":"Philip S","non-dropping-particle":"","parse-names":false,"suffix":""}],"container-title":"Nature Communications","id":"ITEM-1","issue":"1","issued":{"date-parts":[["2019","12"]]},"publisher":"Nature Publishing Group","title":"Engineering transkingdom signalling in plants to control gene expression in rhizosphere bacteria","type":"article-journal","volume":"10"},"uris":["http://www.mendeley.com/documents/?uuid=b32a1e91-4c08-46e8-bf95-98aeae0abe29"]}],"mendeley":{"formattedCitation":"(Geddes et al., 2019)","manualFormatting":"( 2019)","plainTextFormattedCitation":"(Geddes et al., 2019)","previouslyFormattedCitation":"(Geddes et al., 2019)"},"properties":{"noteIndex":0},"schema":"https://github.com/citation-style-language/schema/raw/master/csl-citation.json"}</w:instrText>
      </w:r>
      <w:r w:rsidR="002F40AA">
        <w:rPr>
          <w:rFonts w:ascii="Times New Roman" w:eastAsia="Times New Roman" w:hAnsi="Times New Roman" w:cstheme="minorBidi"/>
          <w:lang w:eastAsia="ar-SA"/>
        </w:rPr>
        <w:fldChar w:fldCharType="separate"/>
      </w:r>
      <w:r w:rsidR="002F40AA" w:rsidRPr="002F40AA">
        <w:rPr>
          <w:rFonts w:ascii="Times New Roman" w:eastAsia="Times New Roman" w:hAnsi="Times New Roman" w:cstheme="minorBidi"/>
          <w:noProof/>
          <w:lang w:eastAsia="ar-SA"/>
        </w:rPr>
        <w:t>( 2019)</w:t>
      </w:r>
      <w:r w:rsidR="002F40AA">
        <w:rPr>
          <w:rFonts w:ascii="Times New Roman" w:eastAsia="Times New Roman" w:hAnsi="Times New Roman" w:cstheme="minorBidi"/>
          <w:lang w:eastAsia="ar-SA"/>
        </w:rPr>
        <w:fldChar w:fldCharType="end"/>
      </w:r>
      <w:r w:rsidRPr="3CBB9A12">
        <w:rPr>
          <w:rFonts w:ascii="Times New Roman" w:eastAsia="Times New Roman" w:hAnsi="Times New Roman" w:cstheme="minorBidi"/>
          <w:lang w:eastAsia="ar-SA"/>
        </w:rPr>
        <w:t xml:space="preserve">recently reported the expression of </w:t>
      </w:r>
      <w:r w:rsidR="0007735D" w:rsidRPr="3CBB9A12">
        <w:rPr>
          <w:rFonts w:ascii="Times New Roman" w:eastAsia="Times New Roman" w:hAnsi="Times New Roman" w:cstheme="minorBidi"/>
          <w:lang w:eastAsia="ar-SA"/>
        </w:rPr>
        <w:t xml:space="preserve">a </w:t>
      </w:r>
      <w:r w:rsidRPr="3CBB9A12">
        <w:rPr>
          <w:rFonts w:ascii="Times New Roman" w:eastAsia="Times New Roman" w:hAnsi="Times New Roman" w:cstheme="minorBidi"/>
          <w:lang w:eastAsia="ar-SA"/>
        </w:rPr>
        <w:t xml:space="preserve">synthetic pathway in model plants </w:t>
      </w:r>
      <w:r w:rsidR="0007735D" w:rsidRPr="3CBB9A12">
        <w:rPr>
          <w:rFonts w:ascii="Times New Roman" w:eastAsia="Times New Roman" w:hAnsi="Times New Roman" w:cstheme="minorBidi"/>
          <w:lang w:eastAsia="ar-SA"/>
        </w:rPr>
        <w:t>to</w:t>
      </w:r>
      <w:r w:rsidRPr="3CBB9A12">
        <w:rPr>
          <w:rFonts w:ascii="Times New Roman" w:eastAsia="Times New Roman" w:hAnsi="Times New Roman" w:cstheme="minorBidi"/>
          <w:lang w:eastAsia="ar-SA"/>
        </w:rPr>
        <w:t xml:space="preserve"> </w:t>
      </w:r>
      <w:r w:rsidR="0007735D" w:rsidRPr="3CBB9A12">
        <w:rPr>
          <w:rFonts w:ascii="Times New Roman" w:eastAsia="Times New Roman" w:hAnsi="Times New Roman" w:cstheme="minorBidi"/>
          <w:lang w:eastAsia="ar-SA"/>
        </w:rPr>
        <w:t>exude</w:t>
      </w:r>
      <w:r w:rsidRPr="3CBB9A12">
        <w:rPr>
          <w:rFonts w:ascii="Times New Roman" w:eastAsia="Times New Roman" w:hAnsi="Times New Roman" w:cstheme="minorBidi"/>
          <w:lang w:eastAsia="ar-SA"/>
        </w:rPr>
        <w:t xml:space="preserve"> bacterial signalling molecules </w:t>
      </w:r>
      <w:r w:rsidR="0007735D" w:rsidRPr="3CBB9A12">
        <w:rPr>
          <w:rFonts w:ascii="Times New Roman" w:eastAsia="Times New Roman" w:hAnsi="Times New Roman" w:cstheme="minorBidi"/>
          <w:lang w:eastAsia="ar-SA"/>
        </w:rPr>
        <w:t>from</w:t>
      </w:r>
      <w:r w:rsidRPr="3CBB9A12">
        <w:rPr>
          <w:rFonts w:ascii="Times New Roman" w:eastAsia="Times New Roman" w:hAnsi="Times New Roman" w:cstheme="minorBidi"/>
          <w:lang w:eastAsia="ar-SA"/>
        </w:rPr>
        <w:t xml:space="preserve"> their roots to attract nitrogen-fixing bacteria. Eseverri et al. </w:t>
      </w:r>
      <w:r w:rsidR="002F40AA">
        <w:rPr>
          <w:rFonts w:ascii="Times New Roman" w:eastAsia="Times New Roman" w:hAnsi="Times New Roman" w:cstheme="minorBidi"/>
          <w:lang w:eastAsia="ar-SA"/>
        </w:rPr>
        <w:fldChar w:fldCharType="begin" w:fldLock="1"/>
      </w:r>
      <w:r w:rsidR="002F40AA">
        <w:rPr>
          <w:rFonts w:ascii="Times New Roman" w:eastAsia="Times New Roman" w:hAnsi="Times New Roman" w:cstheme="minorBidi"/>
          <w:lang w:eastAsia="ar-SA"/>
        </w:rPr>
        <w:instrText>ADDIN CSL_CITATION {"citationItems":[{"id":"ITEM-1","itemData":{"DOI":"10.1111/pbi.13347","ISSN":"1467-7644","author":[{"dropping-particle":"","family":"Eseverri","given":"Álvaro","non-dropping-particle":"","parse-names":false,"suffix":""},{"dropping-particle":"","family":"López‐Torrejón","given":"Gema","non-dropping-particle":"","parse-names":false,"suffix":""},{"dropping-particle":"","family":"Jiang","given":"Xi","non-dropping-particle":"","parse-names":false,"suffix":""},{"dropping-particle":"","family":"Burén","given":"Stefan","non-dropping-particle":"","parse-names":false,"suffix":""},{"dropping-particle":"","family":"Rubio","given":"Luis M.","non-dropping-particle":"","parse-names":false,"suffix":""},{"dropping-particle":"","family":"Caro","given":"Elena","non-dropping-particle":"","parse-names":false,"suffix":""}],"container-title":"Plant Biotechnology Journal","id":"ITEM-1","issued":{"date-parts":[["2020","1","27"]]},"page":"pbi.13347","title":"Use of synthetic biology tools to optimize the production of active nitrogenase Fe protein in chloroplasts of tobacco leaf cells","type":"article-journal"},"uris":["http://www.mendeley.com/documents/?uuid=bcbadfc7-df6c-4f8c-9217-877dd9795dfa"]}],"mendeley":{"formattedCitation":"(Eseverri et al., 2020)","manualFormatting":"(2020)","plainTextFormattedCitation":"(Eseverri et al., 2020)","previouslyFormattedCitation":"(Eseverri et al., 2020)"},"properties":{"noteIndex":0},"schema":"https://github.com/citation-style-language/schema/raw/master/csl-citation.json"}</w:instrText>
      </w:r>
      <w:r w:rsidR="002F40AA">
        <w:rPr>
          <w:rFonts w:ascii="Times New Roman" w:eastAsia="Times New Roman" w:hAnsi="Times New Roman" w:cstheme="minorBidi"/>
          <w:lang w:eastAsia="ar-SA"/>
        </w:rPr>
        <w:fldChar w:fldCharType="separate"/>
      </w:r>
      <w:r w:rsidR="002F40AA" w:rsidRPr="002F40AA">
        <w:rPr>
          <w:rFonts w:ascii="Times New Roman" w:eastAsia="Times New Roman" w:hAnsi="Times New Roman" w:cstheme="minorBidi"/>
          <w:noProof/>
          <w:lang w:eastAsia="ar-SA"/>
        </w:rPr>
        <w:t>(2020)</w:t>
      </w:r>
      <w:r w:rsidR="002F40AA">
        <w:rPr>
          <w:rFonts w:ascii="Times New Roman" w:eastAsia="Times New Roman" w:hAnsi="Times New Roman" w:cstheme="minorBidi"/>
          <w:lang w:eastAsia="ar-SA"/>
        </w:rPr>
        <w:fldChar w:fldCharType="end"/>
      </w:r>
      <w:r w:rsidR="002F40AA">
        <w:rPr>
          <w:rFonts w:ascii="Times New Roman" w:eastAsia="Times New Roman" w:hAnsi="Times New Roman" w:cstheme="minorBidi"/>
          <w:lang w:eastAsia="ar-SA"/>
        </w:rPr>
        <w:t xml:space="preserve"> </w:t>
      </w:r>
      <w:r w:rsidRPr="3CBB9A12">
        <w:rPr>
          <w:rFonts w:ascii="Times New Roman" w:eastAsia="Times New Roman" w:hAnsi="Times New Roman" w:cstheme="minorBidi"/>
          <w:lang w:eastAsia="ar-SA"/>
        </w:rPr>
        <w:t>have used synthetic</w:t>
      </w:r>
      <w:r w:rsidR="5DB2CB8B" w:rsidRPr="3CBB9A12">
        <w:rPr>
          <w:rFonts w:ascii="Times New Roman" w:eastAsia="Times New Roman" w:hAnsi="Times New Roman" w:cstheme="minorBidi"/>
          <w:lang w:eastAsia="ar-SA"/>
        </w:rPr>
        <w:t>ally designed genes</w:t>
      </w:r>
      <w:r w:rsidRPr="3CBB9A12">
        <w:rPr>
          <w:rFonts w:ascii="Times New Roman" w:eastAsia="Times New Roman" w:hAnsi="Times New Roman" w:cstheme="minorBidi"/>
          <w:lang w:eastAsia="ar-SA"/>
        </w:rPr>
        <w:t xml:space="preserve"> to achieve and optimise the production of active nitrogenase protein in the chloroplasts of tobacco plants.</w:t>
      </w:r>
      <w:r w:rsidR="2A6B1692" w:rsidRPr="3CBB9A12">
        <w:rPr>
          <w:rFonts w:ascii="Times New Roman" w:eastAsia="Times New Roman" w:hAnsi="Times New Roman" w:cstheme="minorBidi"/>
          <w:lang w:eastAsia="ar-SA"/>
        </w:rPr>
        <w:t xml:space="preserve"> </w:t>
      </w:r>
      <w:r w:rsidR="0DF7AB51" w:rsidRPr="3CBB9A12">
        <w:rPr>
          <w:rFonts w:ascii="Times New Roman" w:eastAsia="Times New Roman" w:hAnsi="Times New Roman" w:cstheme="minorBidi"/>
          <w:lang w:eastAsia="ar-SA"/>
        </w:rPr>
        <w:t>Another approach consist</w:t>
      </w:r>
      <w:r w:rsidR="00EB6B8A">
        <w:rPr>
          <w:rFonts w:ascii="Times New Roman" w:eastAsia="Times New Roman" w:hAnsi="Times New Roman" w:cstheme="minorBidi"/>
          <w:lang w:eastAsia="ar-SA"/>
        </w:rPr>
        <w:t xml:space="preserve">s of </w:t>
      </w:r>
      <w:r w:rsidR="7B6330CC" w:rsidRPr="3CBB9A12">
        <w:rPr>
          <w:rFonts w:ascii="Times New Roman" w:eastAsia="Times New Roman" w:hAnsi="Times New Roman" w:cstheme="minorBidi"/>
          <w:lang w:eastAsia="ar-SA"/>
        </w:rPr>
        <w:t>p</w:t>
      </w:r>
      <w:r w:rsidRPr="3CBB9A12">
        <w:rPr>
          <w:rFonts w:ascii="Times New Roman" w:eastAsia="Times New Roman" w:hAnsi="Times New Roman" w:cstheme="minorBidi"/>
          <w:lang w:eastAsia="ar-SA"/>
        </w:rPr>
        <w:t>hytomicrobiome engineering</w:t>
      </w:r>
      <w:r w:rsidR="400ADD28" w:rsidRPr="3CBB9A12">
        <w:rPr>
          <w:rFonts w:ascii="Times New Roman" w:eastAsia="Times New Roman" w:hAnsi="Times New Roman" w:cstheme="minorBidi"/>
          <w:lang w:eastAsia="ar-SA"/>
        </w:rPr>
        <w:t>. This</w:t>
      </w:r>
      <w:r w:rsidRPr="3CBB9A12">
        <w:rPr>
          <w:rFonts w:ascii="Times New Roman" w:eastAsia="Times New Roman" w:hAnsi="Times New Roman" w:cstheme="minorBidi"/>
          <w:lang w:eastAsia="ar-SA"/>
        </w:rPr>
        <w:t xml:space="preserve"> is an emerging field of synthetic biology to promote beneficial bacterial-plant interactions </w:t>
      </w:r>
      <w:r w:rsidR="002F40AA">
        <w:rPr>
          <w:rFonts w:ascii="Times New Roman" w:eastAsia="Times New Roman" w:hAnsi="Times New Roman" w:cstheme="minorBidi"/>
          <w:lang w:eastAsia="ar-SA"/>
        </w:rPr>
        <w:fldChar w:fldCharType="begin" w:fldLock="1"/>
      </w:r>
      <w:r w:rsidR="002F40AA">
        <w:rPr>
          <w:rFonts w:ascii="Times New Roman" w:eastAsia="Times New Roman" w:hAnsi="Times New Roman" w:cstheme="minorBidi"/>
          <w:lang w:eastAsia="ar-SA"/>
        </w:rPr>
        <w:instrText>ADDIN CSL_CITATION {"citationItems":[{"id":"ITEM-1","itemData":{"DOI":"10.1016/j.tibtech.2020.07.008","ISSN":"18793096","PMID":"32800605","abstract":"To support an ever-increasing population, modern agriculture faces numerous challenges that pose major threats to global food and energy security. Plant-associated microbes, with their many plant growth-promoting (PGP) traits, have enormous potential in helping to solve these challenges. However, the results of their use in agriculture have been variable, probably because of poor colonization. Phytomicrobiome engineering is an emerging field of synthetic biology that may offer ways to alleviate this limitation. This review highlights recent advances in both bottom-up and top-down approaches to engineering non-model bacteria and microbiomes to promote beneficial plant–microbe interactions, as well as advances in strategies to evaluate these interactions. Biosafety, biosecurity, and biocontainment strategies to address the environmental concerns associated with field use of synthetic microbes are also discussed.","author":[{"dropping-particle":"","family":"Ke","given":"Jing","non-dropping-particle":"","parse-names":false,"suffix":""},{"dropping-particle":"","family":"Wang","given":"Bing","non-dropping-particle":"","parse-names":false,"suffix":""},{"dropping-particle":"","family":"Yoshikuni","given":"Yasuo","non-dropping-particle":"","parse-names":false,"suffix":""}],"container-title":"Trends in Biotechnology","id":"ITEM-1","issue":"3","issued":{"date-parts":[["2021","3"]]},"page":"244-261","publisher":"Elsevier Ltd","title":"Microbiome Engineering: Synthetic Biology of Plant-Associated Microbiomes in Sustainable Agriculture","type":"article","volume":"39"},"uris":["http://www.mendeley.com/documents/?uuid=1a30b0cc-f73d-4837-b592-24aa8df02175"]}],"mendeley":{"formattedCitation":"(Ke et al., 2021)","plainTextFormattedCitation":"(Ke et al., 2021)","previouslyFormattedCitation":"(Ke et al., 2021)"},"properties":{"noteIndex":0},"schema":"https://github.com/citation-style-language/schema/raw/master/csl-citation.json"}</w:instrText>
      </w:r>
      <w:r w:rsidR="002F40AA">
        <w:rPr>
          <w:rFonts w:ascii="Times New Roman" w:eastAsia="Times New Roman" w:hAnsi="Times New Roman" w:cstheme="minorBidi"/>
          <w:lang w:eastAsia="ar-SA"/>
        </w:rPr>
        <w:fldChar w:fldCharType="separate"/>
      </w:r>
      <w:r w:rsidR="002F40AA" w:rsidRPr="002F40AA">
        <w:rPr>
          <w:rFonts w:ascii="Times New Roman" w:eastAsia="Times New Roman" w:hAnsi="Times New Roman" w:cstheme="minorBidi"/>
          <w:noProof/>
          <w:lang w:eastAsia="ar-SA"/>
        </w:rPr>
        <w:t>(Ke et al., 2021)</w:t>
      </w:r>
      <w:r w:rsidR="002F40AA">
        <w:rPr>
          <w:rFonts w:ascii="Times New Roman" w:eastAsia="Times New Roman" w:hAnsi="Times New Roman" w:cstheme="minorBidi"/>
          <w:lang w:eastAsia="ar-SA"/>
        </w:rPr>
        <w:fldChar w:fldCharType="end"/>
      </w:r>
      <w:r w:rsidR="00D235EC">
        <w:rPr>
          <w:rFonts w:ascii="Times New Roman" w:eastAsia="Times New Roman" w:hAnsi="Times New Roman" w:cstheme="minorBidi"/>
          <w:lang w:eastAsia="ar-SA"/>
        </w:rPr>
        <w:t>,</w:t>
      </w:r>
      <w:r w:rsidR="00C808B3" w:rsidRPr="3CBB9A12">
        <w:rPr>
          <w:rFonts w:ascii="Times New Roman" w:eastAsia="Times New Roman" w:hAnsi="Times New Roman" w:cstheme="minorBidi"/>
          <w:lang w:eastAsia="ar-SA"/>
        </w:rPr>
        <w:t xml:space="preserve"> as exemplified by</w:t>
      </w:r>
      <w:r w:rsidRPr="3CBB9A12">
        <w:rPr>
          <w:rFonts w:ascii="Times New Roman" w:eastAsia="Times New Roman" w:hAnsi="Times New Roman" w:cstheme="minorBidi"/>
          <w:lang w:eastAsia="ar-SA"/>
        </w:rPr>
        <w:t xml:space="preserve"> the construction of synthetic </w:t>
      </w:r>
      <w:r w:rsidR="00B268C4" w:rsidRPr="3CBB9A12">
        <w:rPr>
          <w:rFonts w:ascii="Times New Roman" w:eastAsia="Times New Roman" w:hAnsi="Times New Roman" w:cstheme="minorBidi"/>
          <w:lang w:eastAsia="ar-SA"/>
        </w:rPr>
        <w:t xml:space="preserve">beneficial </w:t>
      </w:r>
      <w:r w:rsidRPr="3CBB9A12">
        <w:rPr>
          <w:rFonts w:ascii="Times New Roman" w:eastAsia="Times New Roman" w:hAnsi="Times New Roman" w:cstheme="minorBidi"/>
          <w:lang w:eastAsia="ar-SA"/>
        </w:rPr>
        <w:t xml:space="preserve">microbiota for several crop plants </w:t>
      </w:r>
      <w:r w:rsidR="002F40AA">
        <w:rPr>
          <w:rFonts w:ascii="Times New Roman" w:eastAsia="Times New Roman" w:hAnsi="Times New Roman" w:cstheme="minorBidi"/>
          <w:lang w:eastAsia="ar-SA"/>
        </w:rPr>
        <w:fldChar w:fldCharType="begin" w:fldLock="1"/>
      </w:r>
      <w:r w:rsidR="00B6725E">
        <w:rPr>
          <w:rFonts w:ascii="Times New Roman" w:eastAsia="Times New Roman" w:hAnsi="Times New Roman" w:cstheme="minorBidi"/>
          <w:lang w:eastAsia="ar-SA"/>
        </w:rPr>
        <w:instrText>ADDIN CSL_CITATION {"citationItems":[{"id":"ITEM-1","itemData":{"DOI":"10.1038/nbt1217-1120","ISSN":"15461696","PMID":"29220026","author":[{"dropping-particle":"","family":"Waltz","given":"Emily","non-dropping-particle":"","parse-names":false,"suffix":""}],"container-title":"Nature biotechnology","id":"ITEM-1","issue":"12","issued":{"date-parts":[["2017","12"]]},"page":"1120-1122","publisher":"NLM (Medline)","title":"A new crop of microbe startups raises big bucks, takes on the establishment","type":"article-journal","volume":"35"},"uris":["http://www.mendeley.com/documents/?uuid=e6d3f0a6-98f6-4e1e-b340-f1415930e684"]}],"mendeley":{"formattedCitation":"(Waltz, 2017)","plainTextFormattedCitation":"(Waltz, 2017)","previouslyFormattedCitation":"(Waltz, 2017)"},"properties":{"noteIndex":0},"schema":"https://github.com/citation-style-language/schema/raw/master/csl-citation.json"}</w:instrText>
      </w:r>
      <w:r w:rsidR="002F40AA">
        <w:rPr>
          <w:rFonts w:ascii="Times New Roman" w:eastAsia="Times New Roman" w:hAnsi="Times New Roman" w:cstheme="minorBidi"/>
          <w:lang w:eastAsia="ar-SA"/>
        </w:rPr>
        <w:fldChar w:fldCharType="separate"/>
      </w:r>
      <w:r w:rsidR="002F40AA" w:rsidRPr="002F40AA">
        <w:rPr>
          <w:rFonts w:ascii="Times New Roman" w:eastAsia="Times New Roman" w:hAnsi="Times New Roman" w:cstheme="minorBidi"/>
          <w:noProof/>
          <w:lang w:eastAsia="ar-SA"/>
        </w:rPr>
        <w:t>(Waltz, 2017)</w:t>
      </w:r>
      <w:r w:rsidR="002F40AA">
        <w:rPr>
          <w:rFonts w:ascii="Times New Roman" w:eastAsia="Times New Roman" w:hAnsi="Times New Roman" w:cstheme="minorBidi"/>
          <w:lang w:eastAsia="ar-SA"/>
        </w:rPr>
        <w:fldChar w:fldCharType="end"/>
      </w:r>
      <w:r w:rsidRPr="3CBB9A12">
        <w:rPr>
          <w:rFonts w:ascii="Times New Roman" w:eastAsia="Times New Roman" w:hAnsi="Times New Roman" w:cstheme="minorBidi"/>
          <w:lang w:eastAsia="ar-SA"/>
        </w:rPr>
        <w:t>.</w:t>
      </w:r>
    </w:p>
    <w:p w14:paraId="33D31D84" w14:textId="09B46599" w:rsidR="00054C86" w:rsidRPr="003C02B2" w:rsidRDefault="00054C86" w:rsidP="00F96F27">
      <w:pPr>
        <w:pStyle w:val="Heading5"/>
        <w:numPr>
          <w:ilvl w:val="0"/>
          <w:numId w:val="210"/>
        </w:numPr>
        <w:ind w:left="284" w:hanging="284"/>
        <w:rPr>
          <w:rFonts w:cstheme="minorBidi"/>
          <w:i w:val="0"/>
          <w:lang w:val="en-GB"/>
        </w:rPr>
      </w:pPr>
      <w:r w:rsidRPr="00054C86">
        <w:t>Insect delivery of modified viruses for the modification of crops (horizontal environmental genetic alteration agents [HEGAAs]) for biodefence and agriculture.</w:t>
      </w:r>
    </w:p>
    <w:p w14:paraId="7E52DCB3" w14:textId="12ABD093" w:rsidR="00054C86" w:rsidRPr="00054C86" w:rsidRDefault="00054C86" w:rsidP="003D2EF7">
      <w:pPr>
        <w:suppressAutoHyphens/>
        <w:autoSpaceDE w:val="0"/>
        <w:spacing w:before="120" w:after="120" w:line="240" w:lineRule="auto"/>
        <w:contextualSpacing/>
        <w:jc w:val="both"/>
        <w:rPr>
          <w:rFonts w:ascii="Times New Roman" w:eastAsia="Times New Roman" w:hAnsi="Times New Roman" w:cstheme="minorBidi"/>
          <w:lang w:eastAsia="ar-SA"/>
        </w:rPr>
      </w:pPr>
      <w:r w:rsidRPr="00054C86">
        <w:rPr>
          <w:rFonts w:ascii="Times New Roman" w:eastAsia="Times New Roman" w:hAnsi="Times New Roman" w:cstheme="minorBidi"/>
          <w:lang w:eastAsia="ar-SA"/>
        </w:rPr>
        <w:t xml:space="preserve">The USA’s Defence Advanced Research Projects Agency (DARPA) Insect Allies Project is developing integrated systems of modified viral agents that can be delivered to specific plants of interest, directly to crops in fields, via insects for combating biological and environmental threats </w:t>
      </w:r>
      <w:r w:rsidR="00B6725E">
        <w:rPr>
          <w:rFonts w:ascii="Times New Roman" w:eastAsia="Times New Roman" w:hAnsi="Times New Roman" w:cstheme="minorBidi"/>
          <w:lang w:eastAsia="ar-SA"/>
        </w:rPr>
        <w:t>(D</w:t>
      </w:r>
      <w:r w:rsidR="00B6725E">
        <w:rPr>
          <w:rFonts w:ascii="Times New Roman" w:eastAsia="Times New Roman" w:hAnsi="Times New Roman" w:cstheme="minorBidi"/>
          <w:lang w:eastAsia="ar-SA"/>
        </w:rPr>
        <w:fldChar w:fldCharType="begin" w:fldLock="1"/>
      </w:r>
      <w:r w:rsidR="00B6725E">
        <w:rPr>
          <w:rFonts w:ascii="Times New Roman" w:eastAsia="Times New Roman" w:hAnsi="Times New Roman" w:cstheme="minorBidi"/>
          <w:lang w:eastAsia="ar-SA"/>
        </w:rPr>
        <w:instrText>ADDIN CSL_CITATION {"citationItems":[{"id":"ITEM-1","itemData":{"author":[{"dropping-particle":"","family":"Defense Advanced Research Projects Agency","given":"","non-dropping-particle":"","parse-names":false,"suffix":""}],"id":"ITEM-1","issued":{"date-parts":[["2016"]]},"page":"38","publisher":"Biological Technologies Office","publisher-place":"Arlington, United States of America","title":"Insect Allies","type":"article"},"uris":["http://www.mendeley.com/documents/?uuid=8e9d1f69-9132-49b0-a394-739bfb1901f1"]}],"mendeley":{"formattedCitation":"(Defense Advanced Research Projects Agency, 2016)","manualFormatting":"ARPA, 2016","plainTextFormattedCitation":"(Defense Advanced Research Projects Agency, 2016)","previouslyFormattedCitation":"(Defense Advanced Research Projects Agency, 2016)"},"properties":{"noteIndex":0},"schema":"https://github.com/citation-style-language/schema/raw/master/csl-citation.json"}</w:instrText>
      </w:r>
      <w:r w:rsidR="00B6725E">
        <w:rPr>
          <w:rFonts w:ascii="Times New Roman" w:eastAsia="Times New Roman" w:hAnsi="Times New Roman" w:cstheme="minorBidi"/>
          <w:lang w:eastAsia="ar-SA"/>
        </w:rPr>
        <w:fldChar w:fldCharType="separate"/>
      </w:r>
      <w:r w:rsidR="00B6725E">
        <w:rPr>
          <w:rFonts w:ascii="Times New Roman" w:eastAsia="Times New Roman" w:hAnsi="Times New Roman" w:cstheme="minorBidi"/>
          <w:noProof/>
          <w:lang w:eastAsia="ar-SA"/>
        </w:rPr>
        <w:t>ARPA</w:t>
      </w:r>
      <w:r w:rsidR="00B6725E" w:rsidRPr="00B6725E">
        <w:rPr>
          <w:rFonts w:ascii="Times New Roman" w:eastAsia="Times New Roman" w:hAnsi="Times New Roman" w:cstheme="minorBidi"/>
          <w:noProof/>
          <w:lang w:eastAsia="ar-SA"/>
        </w:rPr>
        <w:t>, 2016</w:t>
      </w:r>
      <w:r w:rsidR="00B6725E">
        <w:rPr>
          <w:rFonts w:ascii="Times New Roman" w:eastAsia="Times New Roman" w:hAnsi="Times New Roman" w:cstheme="minorBidi"/>
          <w:lang w:eastAsia="ar-SA"/>
        </w:rPr>
        <w:fldChar w:fldCharType="end"/>
      </w:r>
      <w:r w:rsidR="00B6725E">
        <w:rPr>
          <w:rFonts w:ascii="Times New Roman" w:eastAsia="Times New Roman" w:hAnsi="Times New Roman" w:cstheme="minorBidi"/>
          <w:lang w:eastAsia="ar-SA"/>
        </w:rPr>
        <w:t>;</w:t>
      </w:r>
      <w:r w:rsidRPr="00054C86">
        <w:rPr>
          <w:rFonts w:ascii="Times New Roman" w:eastAsia="Times New Roman" w:hAnsi="Times New Roman" w:cstheme="minorBidi"/>
          <w:lang w:eastAsia="ar-SA"/>
        </w:rPr>
        <w:t xml:space="preserve">; </w:t>
      </w:r>
      <w:r w:rsidRPr="00054C86">
        <w:rPr>
          <w:rFonts w:ascii="Times New Roman" w:eastAsia="Times New Roman" w:hAnsi="Times New Roman" w:cstheme="minorBidi"/>
          <w:lang w:eastAsia="ar-SA"/>
        </w:rPr>
        <w:fldChar w:fldCharType="begin" w:fldLock="1"/>
      </w:r>
      <w:r w:rsidR="007D5301">
        <w:rPr>
          <w:rFonts w:ascii="Times New Roman" w:eastAsia="Times New Roman" w:hAnsi="Times New Roman" w:cstheme="minorBidi"/>
          <w:lang w:eastAsia="ar-SA"/>
        </w:rPr>
        <w:instrText>ADDIN CSL_CITATION {"citationItems":[{"id":"ITEM-1","itemData":{"DOI":"10.1126/science.aat7664","ISSN":"10959203","PMID":"30287653","author":[{"dropping-particle":"","family":"Reeves","given":"R. G.","non-dropping-particle":"","parse-names":false,"suffix":""},{"dropping-particle":"","family":"Voeneky","given":"S.","non-dropping-particle":"","parse-names":false,"suffix":""},{"dropping-particle":"","family":"Caetano-Anollés","given":"D.","non-dropping-particle":"","parse-names":false,"suffix":""},{"dropping-particle":"","family":"Beck","given":"F.","non-dropping-particle":"","parse-names":false,"suffix":""},{"dropping-particle":"","family":"Boëte","given":"C.","non-dropping-particle":"","parse-names":false,"suffix":""}],"container-title":"Science","id":"ITEM-1","issue":"6410","issued":{"date-parts":[["2018","10"]]},"page":"35-37","publisher":"American Association for the Advancement of Science","title":"Agricultural research, or a new bioweapon system? Insect-delivered horizontal genetic alteration is concerning","type":"article","volume":"362"},"uris":["http://www.mendeley.com/documents/?uuid=3d4559f3-1030-4933-8584-5e57d71b53cf"]}],"mendeley":{"formattedCitation":"(Reeves et al., 2018a)","manualFormatting":"Reeves et al., 2018)","plainTextFormattedCitation":"(Reeves et al., 2018a)","previouslyFormattedCitation":"(Reeves et al., 2018a)"},"properties":{"noteIndex":0},"schema":"https://github.com/citation-style-language/schema/raw/master/csl-citation.json"}</w:instrText>
      </w:r>
      <w:r w:rsidRPr="00054C86">
        <w:rPr>
          <w:rFonts w:ascii="Times New Roman" w:eastAsia="Times New Roman" w:hAnsi="Times New Roman" w:cstheme="minorBidi"/>
          <w:lang w:eastAsia="ar-SA"/>
        </w:rPr>
        <w:fldChar w:fldCharType="separate"/>
      </w:r>
      <w:r w:rsidRPr="00054C86">
        <w:rPr>
          <w:rFonts w:ascii="Times New Roman" w:eastAsia="Times New Roman" w:hAnsi="Times New Roman" w:cstheme="minorBidi"/>
          <w:noProof/>
          <w:lang w:eastAsia="ar-SA"/>
        </w:rPr>
        <w:t>Reeves et al., 2018)</w:t>
      </w:r>
      <w:r w:rsidRPr="00054C86">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The first Insect Allies publication became available in June 2020. The authors used a modified </w:t>
      </w:r>
      <w:r w:rsidRPr="00054C86">
        <w:rPr>
          <w:rFonts w:ascii="Times New Roman" w:eastAsia="Times New Roman" w:hAnsi="Times New Roman" w:cstheme="minorBidi"/>
          <w:i/>
          <w:lang w:eastAsia="ar-SA"/>
        </w:rPr>
        <w:t xml:space="preserve">Tobacco rattle virus </w:t>
      </w:r>
      <w:r w:rsidRPr="00054C86">
        <w:rPr>
          <w:rFonts w:ascii="Times New Roman" w:eastAsia="Times New Roman" w:hAnsi="Times New Roman" w:cstheme="minorBidi"/>
          <w:lang w:eastAsia="ar-SA"/>
        </w:rPr>
        <w:t xml:space="preserve">encoding synthetic guide RNAs (gRNA) into </w:t>
      </w:r>
      <w:r w:rsidRPr="00054C86">
        <w:rPr>
          <w:rFonts w:ascii="Times New Roman" w:eastAsia="Times New Roman" w:hAnsi="Times New Roman" w:cstheme="minorBidi"/>
          <w:i/>
          <w:lang w:eastAsia="ar-SA"/>
        </w:rPr>
        <w:t xml:space="preserve">Nicotiana benthamiana </w:t>
      </w:r>
      <w:r w:rsidRPr="00054C86">
        <w:rPr>
          <w:rFonts w:ascii="Times New Roman" w:eastAsia="Times New Roman" w:hAnsi="Times New Roman" w:cstheme="minorBidi"/>
          <w:lang w:eastAsia="ar-SA"/>
        </w:rPr>
        <w:t xml:space="preserve">expressing the </w:t>
      </w:r>
      <w:r w:rsidRPr="00054C86">
        <w:rPr>
          <w:rFonts w:ascii="Times New Roman" w:eastAsia="Times New Roman" w:hAnsi="Times New Roman" w:cstheme="minorBidi"/>
          <w:i/>
          <w:lang w:eastAsia="ar-SA"/>
        </w:rPr>
        <w:t xml:space="preserve">Streptococcus pyogenes </w:t>
      </w:r>
      <w:r w:rsidRPr="00054C86">
        <w:rPr>
          <w:rFonts w:ascii="Times New Roman" w:eastAsia="Times New Roman" w:hAnsi="Times New Roman" w:cstheme="minorBidi"/>
          <w:lang w:eastAsia="ar-SA"/>
        </w:rPr>
        <w:t xml:space="preserve">CRISPR-associated </w:t>
      </w:r>
      <w:r w:rsidR="00B503C8">
        <w:rPr>
          <w:rFonts w:ascii="Times New Roman" w:eastAsia="Times New Roman" w:hAnsi="Times New Roman" w:cstheme="minorBidi"/>
          <w:lang w:eastAsia="ar-SA"/>
        </w:rPr>
        <w:t>Cas</w:t>
      </w:r>
      <w:r w:rsidRPr="00054C86">
        <w:rPr>
          <w:rFonts w:ascii="Times New Roman" w:eastAsia="Times New Roman" w:hAnsi="Times New Roman" w:cstheme="minorBidi"/>
          <w:lang w:eastAsia="ar-SA"/>
        </w:rPr>
        <w:t xml:space="preserve">9 </w:t>
      </w:r>
      <w:r w:rsidR="00B503C8">
        <w:rPr>
          <w:rFonts w:ascii="Times New Roman" w:eastAsia="Times New Roman" w:hAnsi="Times New Roman" w:cstheme="minorBidi"/>
          <w:lang w:eastAsia="ar-SA"/>
        </w:rPr>
        <w:t>protein</w:t>
      </w:r>
      <w:r w:rsidRPr="00054C86">
        <w:rPr>
          <w:rFonts w:ascii="Times New Roman" w:eastAsia="Times New Roman" w:hAnsi="Times New Roman" w:cstheme="minorBidi"/>
          <w:lang w:eastAsia="ar-SA"/>
        </w:rPr>
        <w:t xml:space="preserve"> to demonstrate that heritable changes to mature plant chromosomes </w:t>
      </w:r>
      <w:r w:rsidR="00B503C8">
        <w:rPr>
          <w:rFonts w:ascii="Times New Roman" w:eastAsia="Times New Roman" w:hAnsi="Times New Roman" w:cstheme="minorBidi"/>
          <w:lang w:eastAsia="ar-SA"/>
        </w:rPr>
        <w:t>is</w:t>
      </w:r>
      <w:r w:rsidRPr="00054C86">
        <w:rPr>
          <w:rFonts w:ascii="Times New Roman" w:eastAsia="Times New Roman" w:hAnsi="Times New Roman" w:cstheme="minorBidi"/>
          <w:lang w:eastAsia="ar-SA"/>
        </w:rPr>
        <w:t xml:space="preserve"> possible </w:t>
      </w:r>
      <w:r w:rsidR="00B6725E">
        <w:rPr>
          <w:rFonts w:ascii="Times New Roman" w:eastAsia="Times New Roman" w:hAnsi="Times New Roman" w:cstheme="minorBidi"/>
          <w:lang w:eastAsia="ar-SA"/>
        </w:rPr>
        <w:fldChar w:fldCharType="begin" w:fldLock="1"/>
      </w:r>
      <w:r w:rsidR="00B6725E">
        <w:rPr>
          <w:rFonts w:ascii="Times New Roman" w:eastAsia="Times New Roman" w:hAnsi="Times New Roman" w:cstheme="minorBidi"/>
          <w:lang w:eastAsia="ar-SA"/>
        </w:rPr>
        <w:instrText>ADDIN CSL_CITATION {"citationItems":[{"id":"ITEM-1","itemData":{"DOI":"10.1038/s41477-020-0670-y","ISSN":"20550278","PMID":"32483329","abstract":"An in planta gene editing approach was developed wherein Cas9 transgenic plants are infected with an RNA virus that expresses single guide RNAs (sgRNAs). The sgRNAs are augmented with sequences that promote cell-to-cell mobility. Mutant progeny are recovered in the next generation at frequencies ranging from 65 to 100%; up to 30% of progeny derived from plants infected with a virus expressing three sgRNAs have mutations in all three targeted loci.","author":[{"dropping-particle":"","family":"Ellison","given":"Evan E","non-dropping-particle":"","parse-names":false,"suffix":""},{"dropping-particle":"","family":"Nagalakshmi","given":"Ugrappa","non-dropping-particle":"","parse-names":false,"suffix":""},{"dropping-particle":"","family":"Gamo","given":"Maria Elena","non-dropping-particle":"","parse-names":false,"suffix":""},{"dropping-particle":"","family":"jui Huang","given":"Pin","non-dropping-particle":"","parse-names":false,"suffix":""},{"dropping-particle":"","family":"Dinesh-Kumar","given":"Savithramma","non-dropping-particle":"","parse-names":false,"suffix":""},{"dropping-particle":"","family":"Voytas","given":"Daniel F","non-dropping-particle":"","parse-names":false,"suffix":""}],"container-title":"Nature Plants","id":"ITEM-1","issue":"6","issued":{"date-parts":[["2020","6"]]},"page":"620-624","publisher":"Nature Research","title":"Multiplexed heritable gene editing using RNA viruses and mobile single guide RNAs","type":"article-journal","volume":"6"},"uris":["http://www.mendeley.com/documents/?uuid=75e21f0f-155c-4ad2-a2f1-cb4974446a2d"]}],"mendeley":{"formattedCitation":"(Ellison et al., 2020)","plainTextFormattedCitation":"(Ellison et al., 2020)","previouslyFormattedCitation":"(Ellison et al., 2020)"},"properties":{"noteIndex":0},"schema":"https://github.com/citation-style-language/schema/raw/master/csl-citation.json"}</w:instrText>
      </w:r>
      <w:r w:rsidR="00B6725E">
        <w:rPr>
          <w:rFonts w:ascii="Times New Roman" w:eastAsia="Times New Roman" w:hAnsi="Times New Roman" w:cstheme="minorBidi"/>
          <w:lang w:eastAsia="ar-SA"/>
        </w:rPr>
        <w:fldChar w:fldCharType="separate"/>
      </w:r>
      <w:r w:rsidR="00B6725E" w:rsidRPr="00B6725E">
        <w:rPr>
          <w:rFonts w:ascii="Times New Roman" w:eastAsia="Times New Roman" w:hAnsi="Times New Roman" w:cstheme="minorBidi"/>
          <w:noProof/>
          <w:lang w:eastAsia="ar-SA"/>
        </w:rPr>
        <w:t>(Ellison et al., 2020)</w:t>
      </w:r>
      <w:r w:rsidR="00B6725E">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w:t>
      </w:r>
    </w:p>
    <w:p w14:paraId="5FD03DF9" w14:textId="5AC01C11" w:rsidR="00054C86" w:rsidRPr="00054C86" w:rsidRDefault="00054C86" w:rsidP="00054C86">
      <w:pPr>
        <w:suppressAutoHyphens/>
        <w:autoSpaceDE w:val="0"/>
        <w:spacing w:before="240" w:after="120" w:line="240" w:lineRule="auto"/>
        <w:jc w:val="both"/>
        <w:rPr>
          <w:rFonts w:ascii="Times New Roman" w:eastAsia="Times New Roman" w:hAnsi="Times New Roman" w:cstheme="minorBidi"/>
          <w:lang w:eastAsia="ar-SA"/>
        </w:rPr>
      </w:pPr>
      <w:r w:rsidRPr="00054C86">
        <w:rPr>
          <w:rFonts w:ascii="Times New Roman" w:eastAsia="Times New Roman" w:hAnsi="Times New Roman" w:cstheme="minorBidi"/>
          <w:lang w:eastAsia="ar-SA"/>
        </w:rPr>
        <w:t>In similar research</w:t>
      </w:r>
      <w:r w:rsidRPr="00054C86">
        <w:rPr>
          <w:rFonts w:ascii="Times New Roman" w:eastAsia="Times New Roman" w:hAnsi="Times New Roman" w:cstheme="minorBidi"/>
          <w:vertAlign w:val="superscript"/>
          <w:lang w:eastAsia="ar-SA"/>
        </w:rPr>
        <w:footnoteReference w:id="18"/>
      </w:r>
      <w:r w:rsidRPr="00054C86">
        <w:rPr>
          <w:rFonts w:ascii="Times New Roman" w:eastAsia="Times New Roman" w:hAnsi="Times New Roman" w:cstheme="minorBidi"/>
          <w:lang w:eastAsia="ar-SA"/>
        </w:rPr>
        <w:t xml:space="preserve">, </w:t>
      </w:r>
      <w:r w:rsidRPr="00054C86">
        <w:rPr>
          <w:rFonts w:ascii="Times New Roman" w:eastAsia="Times New Roman" w:hAnsi="Times New Roman" w:cstheme="minorBidi"/>
          <w:i/>
          <w:iCs/>
          <w:lang w:eastAsia="ar-SA"/>
        </w:rPr>
        <w:t>Potato virus X</w:t>
      </w:r>
      <w:r w:rsidRPr="00054C86">
        <w:rPr>
          <w:rFonts w:ascii="Times New Roman" w:eastAsia="Times New Roman" w:hAnsi="Times New Roman" w:cstheme="minorBidi"/>
          <w:lang w:eastAsia="ar-SA"/>
        </w:rPr>
        <w:t xml:space="preserve"> and </w:t>
      </w:r>
      <w:r w:rsidRPr="00054C86">
        <w:rPr>
          <w:rFonts w:ascii="Times New Roman" w:eastAsia="Times New Roman" w:hAnsi="Times New Roman" w:cstheme="minorBidi"/>
          <w:i/>
          <w:iCs/>
          <w:lang w:eastAsia="ar-SA"/>
        </w:rPr>
        <w:t>Sonchus yellow net rhabdovirus</w:t>
      </w:r>
      <w:r w:rsidRPr="00054C86">
        <w:rPr>
          <w:rFonts w:ascii="Times New Roman" w:eastAsia="Times New Roman" w:hAnsi="Times New Roman" w:cstheme="minorBidi"/>
          <w:lang w:eastAsia="ar-SA"/>
        </w:rPr>
        <w:t xml:space="preserve"> were modified to contain both gRNA</w:t>
      </w:r>
      <w:r w:rsidR="00AC5C0F">
        <w:rPr>
          <w:rFonts w:ascii="Times New Roman" w:eastAsia="Times New Roman" w:hAnsi="Times New Roman" w:cstheme="minorBidi"/>
          <w:lang w:eastAsia="ar-SA"/>
        </w:rPr>
        <w:t>s</w:t>
      </w:r>
      <w:r w:rsidRPr="00054C86">
        <w:rPr>
          <w:rFonts w:ascii="Times New Roman" w:eastAsia="Times New Roman" w:hAnsi="Times New Roman" w:cstheme="minorBidi"/>
          <w:lang w:eastAsia="ar-SA"/>
        </w:rPr>
        <w:t xml:space="preserve"> and Cas9 proteins. In both studies, the viral vectors were able to induce heritable changes to the host plant genome</w:t>
      </w:r>
      <w:r w:rsidR="006F0996">
        <w:rPr>
          <w:rFonts w:ascii="Times New Roman" w:eastAsia="Times New Roman" w:hAnsi="Times New Roman" w:cstheme="minorBidi"/>
          <w:lang w:eastAsia="ar-SA"/>
        </w:rPr>
        <w:t>.</w:t>
      </w:r>
      <w:r w:rsidRPr="00054C86">
        <w:rPr>
          <w:rFonts w:ascii="Times New Roman" w:eastAsia="Times New Roman" w:hAnsi="Times New Roman" w:cstheme="minorBidi"/>
          <w:lang w:eastAsia="ar-SA"/>
        </w:rPr>
        <w:t xml:space="preserve"> </w:t>
      </w:r>
      <w:r w:rsidR="006F0996">
        <w:rPr>
          <w:rFonts w:ascii="Times New Roman" w:eastAsia="Times New Roman" w:hAnsi="Times New Roman" w:cstheme="minorBidi"/>
          <w:lang w:eastAsia="ar-SA"/>
        </w:rPr>
        <w:t>P</w:t>
      </w:r>
      <w:r w:rsidRPr="00054C86">
        <w:rPr>
          <w:rFonts w:ascii="Times New Roman" w:eastAsia="Times New Roman" w:hAnsi="Times New Roman" w:cstheme="minorBidi"/>
          <w:lang w:eastAsia="ar-SA"/>
        </w:rPr>
        <w:t xml:space="preserve">rogeny virions recovered from infected plants were able to cause changes in newly infected plants </w:t>
      </w:r>
      <w:r w:rsidR="00B6725E">
        <w:rPr>
          <w:rFonts w:ascii="Times New Roman" w:eastAsia="Times New Roman" w:hAnsi="Times New Roman" w:cstheme="minorBidi"/>
          <w:lang w:eastAsia="ar-SA"/>
        </w:rPr>
        <w:fldChar w:fldCharType="begin" w:fldLock="1"/>
      </w:r>
      <w:r w:rsidR="00283B5A">
        <w:rPr>
          <w:rFonts w:ascii="Times New Roman" w:eastAsia="Times New Roman" w:hAnsi="Times New Roman" w:cstheme="minorBidi"/>
          <w:lang w:eastAsia="ar-SA"/>
        </w:rPr>
        <w:instrText>ADDIN CSL_CITATION {"citationItems":[{"id":"ITEM-1","itemData":{"DOI":"10.1093/pcp/pcaa123","ISSN":"14719053","PMID":"32991731","abstract":"Genome editing technology is important for plant science and crop breeding. Genome-edited plants prepared using general CRISPR-Cas9 methods usually contain foreign DNA, which is problematic for the production of genome-edited transgene-free plants for vegetative propagation or highly heterozygous hybrid cultivars. Here, we describe a method for highly efficient targeted mutagenesis in Nicotiana benthamiana through the expression of Cas9 and single-guide (sg)RNA using a potato virus X (PVX) vector. Following Agrobacterium-mediated introduction of virus vector cDNA, &gt;60% of shoots regenerated without antibiotic selection carried targeted mutations, while ≤18% of shoots contained T-DNA. The PVX vector was also used to express a base editor consisting of modified Cas9 fused with cytidine deaminase to introduce targeted nucleotide substitution in regenerated shoots. We also report exogenous DNA-free genome editing by mechanical inoculation of virions comprising the PVX vector expressing Cas9. This simple and efficient virus vector-mediated delivery of CRISPR-Cas9 could facilitate transgene-free gene editing in plants.","author":[{"dropping-particle":"","family":"Ariga","given":"Hirotaka","non-dropping-particle":"","parse-names":false,"suffix":""},{"dropping-particle":"","family":"Toki","given":"Seiichi","non-dropping-particle":"","parse-names":false,"suffix":""},{"dropping-particle":"","family":"Ishibashi","given":"Kazuhiro","non-dropping-particle":"","parse-names":false,"suffix":""}],"container-title":"Plant and Cell Physiology","id":"ITEM-1","issue":"11","issued":{"date-parts":[["2020","11"]]},"page":"1946-1953","publisher":"Oxford University Press","title":"Potato virus X vector-mediated DNA-free genome editing in plants","type":"article-journal","volume":"61"},"uris":["http://www.mendeley.com/documents/?uuid=54735e0c-39a7-49a8-acab-7ea649946bdd"]},{"id":"ITEM-2","itemData":{"DOI":"10.1038/s41477-020-0704-5","ISSN":"2055-0278","author":[{"dropping-particle":"","family":"Ma","given":"Xiaonan","non-dropping-particle":"","parse-names":false,"suffix":""},{"dropping-particle":"","family":"Zhang","given":"Xiaoyan","non-dropping-particle":"","parse-names":false,"suffix":""},{"dropping-particle":"","family":"Liu","given":"Huimin","non-dropping-particle":"","parse-names":false,"suffix":""},{"dropping-particle":"","family":"Li","given":"Zhenghe","non-dropping-particle":"","parse-names":false,"suffix":""}],"container-title":"Nature Plants","id":"ITEM-2","issue":"7","issued":{"date-parts":[["2020","7","29"]]},"page":"773-779","title":"Highly efficient DNA-free plant genome editing using virally delivered CRISPR–Cas9","type":"article-journal","volume":"6"},"uris":["http://www.mendeley.com/documents/?uuid=bbbecd69-80a3-4c38-8a15-9a2901554908"]}],"mendeley":{"formattedCitation":"(Ariga et al., 2020; X. Ma et al., 2020)","plainTextFormattedCitation":"(Ariga et al., 2020; X. Ma et al., 2020)","previouslyFormattedCitation":"(Ariga et al., 2020; X. Ma et al., 2020)"},"properties":{"noteIndex":0},"schema":"https://github.com/citation-style-language/schema/raw/master/csl-citation.json"}</w:instrText>
      </w:r>
      <w:r w:rsidR="00B6725E">
        <w:rPr>
          <w:rFonts w:ascii="Times New Roman" w:eastAsia="Times New Roman" w:hAnsi="Times New Roman" w:cstheme="minorBidi"/>
          <w:lang w:eastAsia="ar-SA"/>
        </w:rPr>
        <w:fldChar w:fldCharType="separate"/>
      </w:r>
      <w:r w:rsidR="00CE6A7C" w:rsidRPr="00CE6A7C">
        <w:rPr>
          <w:rFonts w:ascii="Times New Roman" w:eastAsia="Times New Roman" w:hAnsi="Times New Roman" w:cstheme="minorBidi"/>
          <w:noProof/>
          <w:lang w:eastAsia="ar-SA"/>
        </w:rPr>
        <w:t>(Ariga et al., 2020; X. Ma et al., 2020)</w:t>
      </w:r>
      <w:r w:rsidR="00B6725E">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In addition to inducing genomic changes, epigenomic editing is </w:t>
      </w:r>
      <w:r w:rsidR="007C399C">
        <w:rPr>
          <w:rFonts w:ascii="Times New Roman" w:eastAsia="Times New Roman" w:hAnsi="Times New Roman" w:cstheme="minorBidi"/>
          <w:lang w:eastAsia="ar-SA"/>
        </w:rPr>
        <w:t xml:space="preserve">now </w:t>
      </w:r>
      <w:r w:rsidRPr="00054C86">
        <w:rPr>
          <w:rFonts w:ascii="Times New Roman" w:eastAsia="Times New Roman" w:hAnsi="Times New Roman" w:cstheme="minorBidi"/>
          <w:lang w:eastAsia="ar-SA"/>
        </w:rPr>
        <w:t>possible. A modified T</w:t>
      </w:r>
      <w:r w:rsidR="00F0541C">
        <w:rPr>
          <w:rFonts w:ascii="Times New Roman" w:eastAsia="Times New Roman" w:hAnsi="Times New Roman" w:cstheme="minorBidi"/>
          <w:lang w:eastAsia="ar-SA"/>
        </w:rPr>
        <w:t>obacco rattle viral</w:t>
      </w:r>
      <w:r w:rsidRPr="00054C86">
        <w:rPr>
          <w:rFonts w:ascii="Times New Roman" w:eastAsia="Times New Roman" w:hAnsi="Times New Roman" w:cstheme="minorBidi"/>
          <w:lang w:eastAsia="ar-SA"/>
        </w:rPr>
        <w:t xml:space="preserve"> vector encoding gRNA was used to induce DNA demethylation in modified </w:t>
      </w:r>
      <w:r w:rsidRPr="00054C86">
        <w:rPr>
          <w:rFonts w:ascii="Times New Roman" w:eastAsia="Times New Roman" w:hAnsi="Times New Roman" w:cstheme="minorBidi"/>
          <w:i/>
          <w:iCs/>
          <w:lang w:eastAsia="ar-SA"/>
        </w:rPr>
        <w:t xml:space="preserve">Arabisopsis thaliana </w:t>
      </w:r>
      <w:r w:rsidRPr="00054C86">
        <w:rPr>
          <w:rFonts w:ascii="Times New Roman" w:eastAsia="Times New Roman" w:hAnsi="Times New Roman" w:cstheme="minorBidi"/>
          <w:lang w:eastAsia="ar-SA"/>
        </w:rPr>
        <w:t xml:space="preserve">cells; however, the modified epigenetic pattern was </w:t>
      </w:r>
      <w:r w:rsidR="007C399C">
        <w:rPr>
          <w:rFonts w:ascii="Times New Roman" w:eastAsia="Times New Roman" w:hAnsi="Times New Roman" w:cstheme="minorBidi"/>
          <w:lang w:eastAsia="ar-SA"/>
        </w:rPr>
        <w:t xml:space="preserve">only </w:t>
      </w:r>
      <w:r w:rsidRPr="00054C86">
        <w:rPr>
          <w:rFonts w:ascii="Times New Roman" w:eastAsia="Times New Roman" w:hAnsi="Times New Roman" w:cstheme="minorBidi"/>
          <w:lang w:eastAsia="ar-SA"/>
        </w:rPr>
        <w:t>heritable at low level</w:t>
      </w:r>
      <w:r w:rsidR="007C399C">
        <w:rPr>
          <w:rFonts w:ascii="Times New Roman" w:eastAsia="Times New Roman" w:hAnsi="Times New Roman" w:cstheme="minorBidi"/>
          <w:lang w:eastAsia="ar-SA"/>
        </w:rPr>
        <w:t>s</w:t>
      </w:r>
      <w:r w:rsidRPr="00054C86">
        <w:rPr>
          <w:rFonts w:ascii="Times New Roman" w:eastAsia="Times New Roman" w:hAnsi="Times New Roman" w:cstheme="minorBidi"/>
          <w:lang w:eastAsia="ar-SA"/>
        </w:rPr>
        <w:t xml:space="preserve"> </w:t>
      </w:r>
      <w:r w:rsidR="00117CE0">
        <w:rPr>
          <w:rFonts w:ascii="Times New Roman" w:eastAsia="Times New Roman" w:hAnsi="Times New Roman" w:cstheme="minorBidi"/>
          <w:lang w:eastAsia="ar-SA"/>
        </w:rPr>
        <w:fldChar w:fldCharType="begin" w:fldLock="1"/>
      </w:r>
      <w:r w:rsidR="00117CE0">
        <w:rPr>
          <w:rFonts w:ascii="Times New Roman" w:eastAsia="Times New Roman" w:hAnsi="Times New Roman" w:cstheme="minorBidi"/>
          <w:lang w:eastAsia="ar-SA"/>
        </w:rPr>
        <w:instrText>ADDIN CSL_CITATION {"citationItems":[{"id":"ITEM-1","itemData":{"DOI":"10.1371/journal.pgen.1008983","ISSN":"1553-7404","abstract":"&lt;p&gt;Plant RNA viruses are used as delivery vectors for their high level of accumulation and efficient spread during virus multiplication and movement. Utilizing this concept, several viral-based guide RNA delivery platforms for CRISPR-Cas9 genome editing have been developed. The CRISPR-Cas9 system has also been adapted for epigenome editing. While systems have been developed for CRISPR-Cas9 based gene activation or site-specific DNA demethylation, viral delivery of guide RNAs remains to be developed for these purposes. To address this gap we have developed a tobacco rattle virus (TRV)-based single guide RNA delivery system for epigenome editing in &lt;italic&gt;Arabidopsis thaliana&lt;/italic&gt;. Because tRNA-like sequences have been shown to facilitate the cell-to-cell movement of RNAs in plants, we used the tRNA-guide RNA expression system to express guide RNAs from the viral genome to promote heritable epigenome editing. We demonstrate that the tRNA-gRNA system with TRV can be used for both transcriptional activation and targeted DNA demethylation of the &lt;italic&gt;FLOWERING WAGENINGEN&lt;/italic&gt;gene in Arabidopsis. We achieved up to ~8% heritability of the induced demethylation phenotype in the progeny of virus inoculated plants. We did not detect the virus in the next generation, indicating effective clearance of the virus from plant tissues. Thus, TRV delivery, combined with a specific tRNA-gRNA architecture, provides for fast and effective epigenome editing. &lt;/p&gt;","author":[{"dropping-particle":"","family":"Ghoshal","given":"Basudev","non-dropping-particle":"","parse-names":false,"suffix":""},{"dropping-particle":"","family":"Vong","given":"Brandon","non-dropping-particle":"","parse-names":false,"suffix":""},{"dropping-particle":"","family":"Picard","given":"Colette L","non-dropping-particle":"","parse-names":false,"suffix":""},{"dropping-particle":"","family":"Feng","given":"Suhua","non-dropping-particle":"","parse-names":false,"suffix":""},{"dropping-particle":"","family":"Tam","given":"Janet M","non-dropping-particle":"","parse-names":false,"suffix":""},{"dropping-particle":"","family":"Jacobsen","given":"Steven E","non-dropping-particle":"","parse-names":false,"suffix":""}],"container-title":"PLOS Genetics","editor":[{"dropping-particle":"","family":"Springer","given":"Nathan M","non-dropping-particle":"","parse-names":false,"suffix":""}],"id":"ITEM-1","issue":"12","issued":{"date-parts":[["2020","12"]]},"page":"e1008983","publisher":"Public Library of Science","title":"A viral guide RNA delivery system for CRISPR-based transcriptional activation and heritable targeted DNA demethylation in Arabidopsis thaliana","type":"article-journal","volume":"16"},"uris":["http://www.mendeley.com/documents/?uuid=640db909-2dab-4018-adbf-b8c139935bca"]}],"mendeley":{"formattedCitation":"(Ghoshal et al., 2020)","plainTextFormattedCitation":"(Ghoshal et al., 2020)","previouslyFormattedCitation":"(Ghoshal et al., 2020)"},"properties":{"noteIndex":0},"schema":"https://github.com/citation-style-language/schema/raw/master/csl-citation.json"}</w:instrText>
      </w:r>
      <w:r w:rsidR="00117CE0">
        <w:rPr>
          <w:rFonts w:ascii="Times New Roman" w:eastAsia="Times New Roman" w:hAnsi="Times New Roman" w:cstheme="minorBidi"/>
          <w:lang w:eastAsia="ar-SA"/>
        </w:rPr>
        <w:fldChar w:fldCharType="separate"/>
      </w:r>
      <w:r w:rsidR="00117CE0" w:rsidRPr="00117CE0">
        <w:rPr>
          <w:rFonts w:ascii="Times New Roman" w:eastAsia="Times New Roman" w:hAnsi="Times New Roman" w:cstheme="minorBidi"/>
          <w:noProof/>
          <w:lang w:eastAsia="ar-SA"/>
        </w:rPr>
        <w:t>(Ghoshal et al., 2020)</w:t>
      </w:r>
      <w:r w:rsidR="00117CE0">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w:t>
      </w:r>
    </w:p>
    <w:p w14:paraId="697AF7C1" w14:textId="622E810C" w:rsidR="00054C86" w:rsidRPr="003C02B2" w:rsidRDefault="00054C86" w:rsidP="00F96F27">
      <w:pPr>
        <w:pStyle w:val="Heading5"/>
        <w:numPr>
          <w:ilvl w:val="0"/>
          <w:numId w:val="210"/>
        </w:numPr>
        <w:ind w:left="284" w:hanging="284"/>
        <w:rPr>
          <w:rFonts w:eastAsiaTheme="minorHAnsi"/>
          <w:i w:val="0"/>
        </w:rPr>
      </w:pPr>
      <w:r w:rsidRPr="00054C86">
        <w:rPr>
          <w:rFonts w:eastAsiaTheme="minorHAnsi"/>
        </w:rPr>
        <w:t>Projects for the de-extinction of extinct animals.</w:t>
      </w:r>
    </w:p>
    <w:p w14:paraId="444B4C24" w14:textId="73CC8937" w:rsidR="00CF6BA1" w:rsidRDefault="00054C86" w:rsidP="003D2EF7">
      <w:pPr>
        <w:spacing w:before="120" w:after="120" w:line="240" w:lineRule="auto"/>
        <w:jc w:val="both"/>
        <w:rPr>
          <w:rFonts w:ascii="Times New Roman" w:eastAsia="SimSun" w:hAnsi="Times New Roman" w:cs="Calibri"/>
          <w:color w:val="000000" w:themeColor="text1"/>
          <w:lang w:eastAsia="hi-IN" w:bidi="hi-IN"/>
        </w:rPr>
      </w:pPr>
      <w:r w:rsidRPr="00054C86">
        <w:rPr>
          <w:rFonts w:ascii="Times New Roman" w:eastAsia="SimSun" w:hAnsi="Times New Roman" w:cs="Calibri"/>
          <w:color w:val="000000" w:themeColor="text1"/>
          <w:lang w:eastAsia="hi-IN" w:bidi="hi-IN"/>
        </w:rPr>
        <w:t xml:space="preserve">The prospect of species “de-extinction”, defined as the process of creating an organism that resembles an extinct species, has moved from science fiction to plausibility within the last decade. By 2018, there were seven active de-extinction projects globally </w:t>
      </w:r>
      <w:r w:rsidR="00117CE0">
        <w:rPr>
          <w:rFonts w:ascii="Times New Roman" w:eastAsia="SimSun" w:hAnsi="Times New Roman" w:cs="Calibri"/>
          <w:color w:val="000000" w:themeColor="text1"/>
          <w:lang w:eastAsia="hi-IN" w:bidi="hi-IN"/>
        </w:rPr>
        <w:fldChar w:fldCharType="begin" w:fldLock="1"/>
      </w:r>
      <w:r w:rsidR="001C5281">
        <w:rPr>
          <w:rFonts w:ascii="Times New Roman" w:eastAsia="SimSun" w:hAnsi="Times New Roman" w:cs="Calibri"/>
          <w:color w:val="000000" w:themeColor="text1"/>
          <w:lang w:eastAsia="hi-IN" w:bidi="hi-IN"/>
        </w:rPr>
        <w:instrText>ADDIN CSL_CITATION {"citationItems":[{"id":"ITEM-1","itemData":{"DOI":"10.3390/genes9110548","ISSN":"2073-4425","abstract":"De-extinction projects for species such as the woolly mammoth and passenger pigeon have greatly stimulated public and scientific interest, producing a large body of literature and much debate. To date, there has been little consistency in descriptions of de-extinction technologies and purposes. In 2016, a special committee of the International Union for the Conservation of Nature (IUCN) published a set of guidelines for de-extinction practice, establishing the first detailed description of de-extinction; yet incoherencies in published literature persist. There are even several problems with the IUCN definition. Here I present a comprehensive definition of de-extinction practice and rationale that expounds and reconciles the biological and ecological inconsistencies in the IUCN definition. This new definition brings together the practices of reintroduction and ecological replacement with de-extinction efforts that employ breeding strategies to recover unique extinct phenotypes into a single “de-extinction” discipline. An accurate understanding of de-extinction and biotechnology segregates the restoration of certain species into a new classification of endangerment, removing them from the purview of de-extinction and into the arena of species’ recovery. I term these species as “evolutionarily torpid species”; a term to apply to species falsely considered extinct, which in fact persist in the form of cryopreserved tissues and cultured cells. For the first time in published literature, all currently active de-extinction breeding programs are reviewed and their progress presented. Lastly, I review and scrutinize various topics pertaining to de-extinction in light of the growing body of peer-reviewed literature published since de-extinction breeding programs gained public attention in 2013.","author":[{"dropping-particle":"","family":"Novak","given":"Ben","non-dropping-particle":"","parse-names":false,"suffix":""}],"container-title":"Genes","id":"ITEM-1","issue":"11","issued":{"date-parts":[["2018","11","13"]]},"page":"548","title":"De-Extinction","type":"article-journal","volume":"9"},"uris":["http://www.mendeley.com/documents/?uuid=b6ff53cb-9f4d-417d-8f46-22a2f1a243d0"]}],"mendeley":{"formattedCitation":"(B. Novak, 2018)","plainTextFormattedCitation":"(B. Novak, 2018)","previouslyFormattedCitation":"(B. Novak, 2018)"},"properties":{"noteIndex":0},"schema":"https://github.com/citation-style-language/schema/raw/master/csl-citation.json"}</w:instrText>
      </w:r>
      <w:r w:rsidR="00117CE0">
        <w:rPr>
          <w:rFonts w:ascii="Times New Roman" w:eastAsia="SimSun" w:hAnsi="Times New Roman" w:cs="Calibri"/>
          <w:color w:val="000000" w:themeColor="text1"/>
          <w:lang w:eastAsia="hi-IN" w:bidi="hi-IN"/>
        </w:rPr>
        <w:fldChar w:fldCharType="separate"/>
      </w:r>
      <w:r w:rsidR="00117CE0" w:rsidRPr="00117CE0">
        <w:rPr>
          <w:rFonts w:ascii="Times New Roman" w:eastAsia="SimSun" w:hAnsi="Times New Roman" w:cs="Calibri"/>
          <w:noProof/>
          <w:color w:val="000000" w:themeColor="text1"/>
          <w:lang w:eastAsia="hi-IN" w:bidi="hi-IN"/>
        </w:rPr>
        <w:t>(B. Novak, 2018)</w:t>
      </w:r>
      <w:r w:rsidR="00117CE0">
        <w:rPr>
          <w:rFonts w:ascii="Times New Roman" w:eastAsia="SimSun" w:hAnsi="Times New Roman" w:cs="Calibri"/>
          <w:color w:val="000000" w:themeColor="text1"/>
          <w:lang w:eastAsia="hi-IN" w:bidi="hi-IN"/>
        </w:rPr>
        <w:fldChar w:fldCharType="end"/>
      </w:r>
      <w:r w:rsidRPr="00054C86">
        <w:rPr>
          <w:rFonts w:ascii="Times New Roman" w:eastAsia="SimSun" w:hAnsi="Times New Roman" w:cs="Calibri"/>
          <w:color w:val="000000" w:themeColor="text1"/>
          <w:lang w:eastAsia="hi-IN" w:bidi="hi-IN"/>
        </w:rPr>
        <w:t>: the quagga (</w:t>
      </w:r>
      <w:r w:rsidRPr="3CBB9A12">
        <w:rPr>
          <w:rFonts w:ascii="Times New Roman" w:eastAsia="SimSun" w:hAnsi="Times New Roman" w:cs="Calibri"/>
          <w:i/>
          <w:iCs/>
          <w:color w:val="000000" w:themeColor="text1"/>
          <w:lang w:eastAsia="hi-IN" w:bidi="hi-IN"/>
        </w:rPr>
        <w:t>Equus quagga quagga</w:t>
      </w:r>
      <w:r w:rsidRPr="00054C86">
        <w:rPr>
          <w:rFonts w:ascii="Times New Roman" w:eastAsia="SimSun" w:hAnsi="Times New Roman" w:cs="Calibri"/>
          <w:color w:val="000000" w:themeColor="text1"/>
          <w:lang w:eastAsia="hi-IN" w:bidi="hi-IN"/>
        </w:rPr>
        <w:t>), aurochs (</w:t>
      </w:r>
      <w:r w:rsidRPr="3CBB9A12">
        <w:rPr>
          <w:rFonts w:ascii="Times New Roman" w:eastAsia="SimSun" w:hAnsi="Times New Roman" w:cs="Calibri"/>
          <w:i/>
          <w:iCs/>
          <w:color w:val="000000" w:themeColor="text1"/>
          <w:lang w:eastAsia="hi-IN" w:bidi="hi-IN"/>
        </w:rPr>
        <w:t>Bos taurus primigenius</w:t>
      </w:r>
      <w:r w:rsidRPr="00054C86">
        <w:rPr>
          <w:rFonts w:ascii="Times New Roman" w:eastAsia="SimSun" w:hAnsi="Times New Roman" w:cs="Calibri"/>
          <w:color w:val="000000" w:themeColor="text1"/>
          <w:lang w:eastAsia="hi-IN" w:bidi="hi-IN"/>
        </w:rPr>
        <w:t>), Floreana Island giant tortoise (</w:t>
      </w:r>
      <w:r w:rsidRPr="3CBB9A12">
        <w:rPr>
          <w:rFonts w:ascii="Times New Roman" w:eastAsia="SimSun" w:hAnsi="Times New Roman" w:cs="Calibri"/>
          <w:i/>
          <w:iCs/>
          <w:color w:val="000000" w:themeColor="text1"/>
          <w:lang w:eastAsia="hi-IN" w:bidi="hi-IN"/>
        </w:rPr>
        <w:t>Chelonoidis elephantopus</w:t>
      </w:r>
      <w:r w:rsidRPr="00054C86">
        <w:rPr>
          <w:rFonts w:ascii="Times New Roman" w:eastAsia="SimSun" w:hAnsi="Times New Roman" w:cs="Calibri"/>
          <w:color w:val="000000" w:themeColor="text1"/>
          <w:lang w:eastAsia="hi-IN" w:bidi="hi-IN"/>
        </w:rPr>
        <w:t>), woolly mammoth</w:t>
      </w:r>
      <w:r w:rsidR="00D36066">
        <w:rPr>
          <w:rFonts w:ascii="Times New Roman" w:eastAsia="SimSun" w:hAnsi="Times New Roman" w:cs="Calibri"/>
          <w:color w:val="000000" w:themeColor="text1"/>
          <w:lang w:eastAsia="hi-IN" w:bidi="hi-IN"/>
        </w:rPr>
        <w:t xml:space="preserve"> (</w:t>
      </w:r>
      <w:r w:rsidR="00D36066" w:rsidRPr="3CBB9A12">
        <w:rPr>
          <w:rFonts w:ascii="Times New Roman" w:eastAsia="SimSun" w:hAnsi="Times New Roman" w:cs="Calibri"/>
          <w:i/>
          <w:iCs/>
          <w:color w:val="000000" w:themeColor="text1"/>
          <w:lang w:eastAsia="hi-IN" w:bidi="hi-IN"/>
        </w:rPr>
        <w:t>Mammuthus primigenius</w:t>
      </w:r>
      <w:r w:rsidR="00D36066">
        <w:rPr>
          <w:rFonts w:ascii="Times New Roman" w:eastAsia="SimSun" w:hAnsi="Times New Roman" w:cs="Calibri"/>
          <w:color w:val="000000" w:themeColor="text1"/>
          <w:lang w:eastAsia="hi-IN" w:bidi="hi-IN"/>
        </w:rPr>
        <w:t>)</w:t>
      </w:r>
      <w:r w:rsidRPr="00054C86">
        <w:rPr>
          <w:rFonts w:ascii="Times New Roman" w:eastAsia="SimSun" w:hAnsi="Times New Roman" w:cs="Calibri"/>
          <w:color w:val="000000" w:themeColor="text1"/>
          <w:lang w:eastAsia="hi-IN" w:bidi="hi-IN"/>
        </w:rPr>
        <w:t>, passenger pigeon</w:t>
      </w:r>
      <w:r w:rsidR="00E26685" w:rsidRPr="00E26685">
        <w:t xml:space="preserve"> </w:t>
      </w:r>
      <w:r w:rsidR="00E26685" w:rsidRPr="00E26685">
        <w:rPr>
          <w:rFonts w:ascii="Times New Roman" w:eastAsia="SimSun" w:hAnsi="Times New Roman" w:cs="Calibri"/>
          <w:color w:val="000000" w:themeColor="text1"/>
          <w:lang w:eastAsia="hi-IN" w:bidi="hi-IN"/>
        </w:rPr>
        <w:t>(</w:t>
      </w:r>
      <w:r w:rsidR="00E26685" w:rsidRPr="3CBB9A12">
        <w:rPr>
          <w:rFonts w:ascii="Times New Roman" w:eastAsia="SimSun" w:hAnsi="Times New Roman" w:cs="Calibri"/>
          <w:i/>
          <w:iCs/>
          <w:color w:val="000000" w:themeColor="text1"/>
          <w:lang w:eastAsia="hi-IN" w:bidi="hi-IN"/>
        </w:rPr>
        <w:t>Ectopistes migratorius</w:t>
      </w:r>
      <w:r w:rsidR="00E26685" w:rsidRPr="00E26685">
        <w:rPr>
          <w:rFonts w:ascii="Times New Roman" w:eastAsia="SimSun" w:hAnsi="Times New Roman" w:cs="Calibri"/>
          <w:color w:val="000000" w:themeColor="text1"/>
          <w:lang w:eastAsia="hi-IN" w:bidi="hi-IN"/>
        </w:rPr>
        <w:t>)</w:t>
      </w:r>
      <w:r w:rsidRPr="00054C86">
        <w:rPr>
          <w:rFonts w:ascii="Times New Roman" w:eastAsia="SimSun" w:hAnsi="Times New Roman" w:cs="Calibri"/>
          <w:color w:val="000000" w:themeColor="text1"/>
          <w:lang w:eastAsia="hi-IN" w:bidi="hi-IN"/>
        </w:rPr>
        <w:t>, heath hen (</w:t>
      </w:r>
      <w:r w:rsidRPr="3CBB9A12">
        <w:rPr>
          <w:rFonts w:ascii="Times New Roman" w:eastAsia="SimSun" w:hAnsi="Times New Roman" w:cs="Calibri"/>
          <w:i/>
          <w:iCs/>
          <w:color w:val="000000" w:themeColor="text1"/>
          <w:lang w:eastAsia="hi-IN" w:bidi="hi-IN"/>
        </w:rPr>
        <w:t>Tympanuchus cupido</w:t>
      </w:r>
      <w:r w:rsidRPr="00054C86">
        <w:rPr>
          <w:rFonts w:ascii="Times New Roman" w:eastAsia="SimSun" w:hAnsi="Times New Roman" w:cs="Calibri"/>
          <w:color w:val="000000" w:themeColor="text1"/>
          <w:lang w:eastAsia="hi-IN" w:bidi="hi-IN"/>
        </w:rPr>
        <w:t>) and an effort to restore diverse moa species (order Dinornithiformes). Further, the same approaches are being applied to species close to extinction. In a recent report, a Przewalski’s foal</w:t>
      </w:r>
      <w:r w:rsidR="00086BD0">
        <w:rPr>
          <w:rFonts w:ascii="Times New Roman" w:eastAsia="SimSun" w:hAnsi="Times New Roman" w:cs="Calibri"/>
          <w:color w:val="000000" w:themeColor="text1"/>
          <w:lang w:eastAsia="hi-IN" w:bidi="hi-IN"/>
        </w:rPr>
        <w:t xml:space="preserve"> (</w:t>
      </w:r>
      <w:r w:rsidR="00086BD0" w:rsidRPr="3CBB9A12">
        <w:rPr>
          <w:rFonts w:ascii="Times New Roman" w:eastAsia="SimSun" w:hAnsi="Times New Roman" w:cs="Calibri"/>
          <w:i/>
          <w:iCs/>
          <w:color w:val="000000" w:themeColor="text1"/>
          <w:lang w:eastAsia="hi-IN" w:bidi="hi-IN"/>
        </w:rPr>
        <w:t>Equus przewalskii</w:t>
      </w:r>
      <w:r w:rsidR="00086BD0">
        <w:rPr>
          <w:rFonts w:ascii="Times New Roman" w:eastAsia="SimSun" w:hAnsi="Times New Roman" w:cs="Calibri"/>
          <w:color w:val="000000" w:themeColor="text1"/>
          <w:lang w:eastAsia="hi-IN" w:bidi="hi-IN"/>
        </w:rPr>
        <w:t>)</w:t>
      </w:r>
      <w:r w:rsidRPr="00054C86">
        <w:rPr>
          <w:rFonts w:ascii="Times New Roman" w:eastAsia="SimSun" w:hAnsi="Times New Roman" w:cs="Calibri"/>
          <w:color w:val="000000" w:themeColor="text1"/>
          <w:lang w:eastAsia="hi-IN" w:bidi="hi-IN"/>
        </w:rPr>
        <w:t xml:space="preserve">, a species native to central Asia that went extinct in the wild and is still critically endangered with only about 2,000 remaining, </w:t>
      </w:r>
      <w:r w:rsidR="004E3A14">
        <w:rPr>
          <w:rFonts w:ascii="Times New Roman" w:eastAsia="SimSun" w:hAnsi="Times New Roman" w:cs="Calibri"/>
          <w:color w:val="000000" w:themeColor="text1"/>
          <w:lang w:eastAsia="hi-IN" w:bidi="hi-IN"/>
        </w:rPr>
        <w:t>w</w:t>
      </w:r>
      <w:r w:rsidRPr="00054C86">
        <w:rPr>
          <w:rFonts w:ascii="Times New Roman" w:eastAsia="SimSun" w:hAnsi="Times New Roman" w:cs="Calibri"/>
          <w:color w:val="000000" w:themeColor="text1"/>
          <w:lang w:eastAsia="hi-IN" w:bidi="hi-IN"/>
        </w:rPr>
        <w:t>as successfully cloned and born in San Diego Zoo, USA earlier in 2020</w:t>
      </w:r>
      <w:r w:rsidRPr="3CBB9A12">
        <w:rPr>
          <w:rFonts w:ascii="Times New Roman" w:eastAsia="SimSun" w:hAnsi="Times New Roman" w:cs="Calibri"/>
          <w:color w:val="000000"/>
          <w:kern w:val="1"/>
          <w:vertAlign w:val="superscript"/>
          <w:lang w:eastAsia="hi-IN" w:bidi="hi-IN"/>
        </w:rPr>
        <w:footnoteReference w:id="19"/>
      </w:r>
      <w:r w:rsidRPr="00054C86">
        <w:rPr>
          <w:rFonts w:ascii="Times New Roman" w:eastAsia="SimSun" w:hAnsi="Times New Roman" w:cs="Calibri"/>
          <w:color w:val="000000" w:themeColor="text1"/>
          <w:lang w:eastAsia="hi-IN" w:bidi="hi-IN"/>
        </w:rPr>
        <w:t xml:space="preserve">.  The foal had been cloned from skin cells taken from a stallion in 1980 and safeguarded at the Frozen Zoo, the zoo’s repository of 10,000 cell lines from more than 1,100 species and subspecies. Not </w:t>
      </w:r>
      <w:r w:rsidR="00A40D48" w:rsidRPr="00054C86">
        <w:rPr>
          <w:rFonts w:ascii="Times New Roman" w:eastAsia="SimSun" w:hAnsi="Times New Roman" w:cs="Calibri"/>
          <w:color w:val="000000" w:themeColor="text1"/>
          <w:lang w:eastAsia="hi-IN" w:bidi="hi-IN"/>
        </w:rPr>
        <w:t>all</w:t>
      </w:r>
      <w:r w:rsidRPr="00054C86">
        <w:rPr>
          <w:rFonts w:ascii="Times New Roman" w:eastAsia="SimSun" w:hAnsi="Times New Roman" w:cs="Calibri"/>
          <w:color w:val="000000" w:themeColor="text1"/>
          <w:lang w:eastAsia="hi-IN" w:bidi="hi-IN"/>
        </w:rPr>
        <w:t xml:space="preserve"> these projects involve synthetic biology techniques, but tools such as genome editing could accelerate the results. Although de-extinction has not yet been achieved beyond viruses, conservationists and synthetic biologists already began discussing the potential impacts on biodiversity and ecosystems </w:t>
      </w:r>
      <w:r w:rsidR="001C5281">
        <w:rPr>
          <w:rFonts w:ascii="Times New Roman" w:eastAsia="SimSun" w:hAnsi="Times New Roman" w:cs="Calibri"/>
          <w:color w:val="000000" w:themeColor="text1"/>
          <w:lang w:eastAsia="hi-IN" w:bidi="hi-IN"/>
        </w:rPr>
        <w:fldChar w:fldCharType="begin" w:fldLock="1"/>
      </w:r>
      <w:r w:rsidR="004466E6">
        <w:rPr>
          <w:rFonts w:ascii="Times New Roman" w:eastAsia="SimSun" w:hAnsi="Times New Roman" w:cs="Calibri"/>
          <w:color w:val="000000" w:themeColor="text1"/>
          <w:lang w:eastAsia="hi-IN" w:bidi="hi-IN"/>
        </w:rPr>
        <w:instrText>ADDIN CSL_CITATION {"citationItems":[{"id":"ITEM-1","itemData":{"DOI":"10.1371/journal.pbio.1001825","ISSN":"1545-7885","author":[{"dropping-particle":"","family":"Friese","given":"Carrie","non-dropping-particle":"","parse-names":false,"suffix":""},{"dropping-particle":"","family":"Marris","given":"Claire","non-dropping-particle":"","parse-names":false,"suffix":""}],"container-title":"PLoS Biology","editor":[{"dropping-particle":"","family":"Rose","given":"Nikolas","non-dropping-particle":"","parse-names":false,"suffix":""}],"id":"ITEM-1","issue":"3","issued":{"date-parts":[["2014","3","25"]]},"page":"e1001825","title":"Making De-Extinction Mundane?","type":"article-journal","volume":"12"},"uris":["http://www.mendeley.com/documents/?uuid=03a9e2f3-b5d3-4047-b632-1ec7afcf27b9"]}],"mendeley":{"formattedCitation":"(Friese &amp; Marris, 2014)","plainTextFormattedCitation":"(Friese &amp; Marris, 2014)","previouslyFormattedCitation":"(Friese &amp; Marris, 2014)"},"properties":{"noteIndex":0},"schema":"https://github.com/citation-style-language/schema/raw/master/csl-citation.json"}</w:instrText>
      </w:r>
      <w:r w:rsidR="001C5281">
        <w:rPr>
          <w:rFonts w:ascii="Times New Roman" w:eastAsia="SimSun" w:hAnsi="Times New Roman" w:cs="Calibri"/>
          <w:color w:val="000000" w:themeColor="text1"/>
          <w:lang w:eastAsia="hi-IN" w:bidi="hi-IN"/>
        </w:rPr>
        <w:fldChar w:fldCharType="separate"/>
      </w:r>
      <w:r w:rsidR="001C5281" w:rsidRPr="001C5281">
        <w:rPr>
          <w:rFonts w:ascii="Times New Roman" w:eastAsia="SimSun" w:hAnsi="Times New Roman" w:cs="Calibri"/>
          <w:noProof/>
          <w:color w:val="000000" w:themeColor="text1"/>
          <w:lang w:eastAsia="hi-IN" w:bidi="hi-IN"/>
        </w:rPr>
        <w:t>(Friese &amp; Marris, 2014)</w:t>
      </w:r>
      <w:r w:rsidR="001C5281">
        <w:rPr>
          <w:rFonts w:ascii="Times New Roman" w:eastAsia="SimSun" w:hAnsi="Times New Roman" w:cs="Calibri"/>
          <w:color w:val="000000" w:themeColor="text1"/>
          <w:lang w:eastAsia="hi-IN" w:bidi="hi-IN"/>
        </w:rPr>
        <w:fldChar w:fldCharType="end"/>
      </w:r>
      <w:r w:rsidRPr="00054C86">
        <w:rPr>
          <w:rFonts w:ascii="Times New Roman" w:eastAsia="SimSun" w:hAnsi="Times New Roman" w:cs="Calibri"/>
          <w:color w:val="000000" w:themeColor="text1"/>
          <w:lang w:eastAsia="hi-IN" w:bidi="hi-IN"/>
        </w:rPr>
        <w:t xml:space="preserve"> and guiding principles on creating proxies of extinct species for conservation benefit are now in place </w:t>
      </w:r>
      <w:r w:rsidR="004466E6">
        <w:rPr>
          <w:rFonts w:ascii="Times New Roman" w:eastAsia="SimSun" w:hAnsi="Times New Roman" w:cs="Calibri"/>
          <w:color w:val="000000" w:themeColor="text1"/>
          <w:lang w:eastAsia="hi-IN" w:bidi="hi-IN"/>
        </w:rPr>
        <w:fldChar w:fldCharType="begin" w:fldLock="1"/>
      </w:r>
      <w:r w:rsidR="003F5AE6">
        <w:rPr>
          <w:rFonts w:ascii="Times New Roman" w:eastAsia="SimSun" w:hAnsi="Times New Roman" w:cs="Calibri"/>
          <w:color w:val="000000" w:themeColor="text1"/>
          <w:lang w:eastAsia="hi-IN" w:bidi="hi-IN"/>
        </w:rPr>
        <w:instrText>ADDIN CSL_CITATION {"citationItems":[{"id":"ITEM-1","itemData":{"author":[{"dropping-particle":"","family":"IUCN SSC","given":"","non-dropping-particle":"","parse-names":false,"suffix":""}],"id":"ITEM-1","issued":{"date-parts":[["2016"]]},"number-of-pages":"22","publisher-place":"Gland, Switzerland","title":"IUCN SSC Guiding principles on Creating Proxies of Extinct Species for Conservation Benefit","type":"report"},"uris":["http://www.mendeley.com/documents/?uuid=dc7796df-8646-4c24-afa3-ecd4a21463d5"]}],"mendeley":{"formattedCitation":"(IUCN SSC, 2016)","plainTextFormattedCitation":"(IUCN SSC, 2016)","previouslyFormattedCitation":"(IUCN SSC, 2016)"},"properties":{"noteIndex":0},"schema":"https://github.com/citation-style-language/schema/raw/master/csl-citation.json"}</w:instrText>
      </w:r>
      <w:r w:rsidR="004466E6">
        <w:rPr>
          <w:rFonts w:ascii="Times New Roman" w:eastAsia="SimSun" w:hAnsi="Times New Roman" w:cs="Calibri"/>
          <w:color w:val="000000" w:themeColor="text1"/>
          <w:lang w:eastAsia="hi-IN" w:bidi="hi-IN"/>
        </w:rPr>
        <w:fldChar w:fldCharType="separate"/>
      </w:r>
      <w:r w:rsidR="004466E6" w:rsidRPr="004466E6">
        <w:rPr>
          <w:rFonts w:ascii="Times New Roman" w:eastAsia="SimSun" w:hAnsi="Times New Roman" w:cs="Calibri"/>
          <w:noProof/>
          <w:color w:val="000000" w:themeColor="text1"/>
          <w:lang w:eastAsia="hi-IN" w:bidi="hi-IN"/>
        </w:rPr>
        <w:t>(IUCN SSC, 2016)</w:t>
      </w:r>
      <w:r w:rsidR="004466E6">
        <w:rPr>
          <w:rFonts w:ascii="Times New Roman" w:eastAsia="SimSun" w:hAnsi="Times New Roman" w:cs="Calibri"/>
          <w:color w:val="000000" w:themeColor="text1"/>
          <w:lang w:eastAsia="hi-IN" w:bidi="hi-IN"/>
        </w:rPr>
        <w:fldChar w:fldCharType="end"/>
      </w:r>
      <w:r w:rsidRPr="00054C86">
        <w:rPr>
          <w:rFonts w:ascii="Times New Roman" w:eastAsia="SimSun" w:hAnsi="Times New Roman" w:cs="Calibri"/>
          <w:color w:val="000000" w:themeColor="text1"/>
          <w:lang w:eastAsia="hi-IN" w:bidi="hi-IN"/>
        </w:rPr>
        <w:t>.</w:t>
      </w:r>
    </w:p>
    <w:p w14:paraId="7997D32F" w14:textId="0BF2BB7D" w:rsidR="00CF6BA1" w:rsidRPr="00494E5B" w:rsidRDefault="00CF6BA1" w:rsidP="00B048B9">
      <w:pPr>
        <w:pStyle w:val="Heading5"/>
        <w:numPr>
          <w:ilvl w:val="0"/>
          <w:numId w:val="210"/>
        </w:numPr>
        <w:ind w:left="284" w:hanging="284"/>
        <w:rPr>
          <w:i w:val="0"/>
        </w:rPr>
      </w:pPr>
      <w:r w:rsidRPr="00054C86">
        <w:t>Transient modification of agricultural plants through RNAi spray or nanomaterials</w:t>
      </w:r>
      <w:r w:rsidR="00686834">
        <w:t>.</w:t>
      </w:r>
    </w:p>
    <w:p w14:paraId="64485EC8" w14:textId="654FD2EA" w:rsidR="00CF6BA1" w:rsidRPr="00054C86" w:rsidRDefault="00CF6BA1" w:rsidP="00B048B9">
      <w:pPr>
        <w:suppressAutoHyphens/>
        <w:autoSpaceDE w:val="0"/>
        <w:spacing w:before="120" w:after="120" w:line="240" w:lineRule="auto"/>
        <w:jc w:val="both"/>
        <w:rPr>
          <w:rFonts w:ascii="Times New Roman" w:eastAsia="Times New Roman" w:hAnsi="Times New Roman" w:cstheme="minorBidi"/>
        </w:rPr>
      </w:pPr>
      <w:r w:rsidRPr="00054C86">
        <w:rPr>
          <w:rFonts w:ascii="Times New Roman" w:eastAsia="Times New Roman" w:hAnsi="Times New Roman" w:cstheme="minorBidi"/>
          <w:lang w:eastAsia="ar-SA"/>
        </w:rPr>
        <w:t xml:space="preserve">Synthetic double-stranded RNA (dsRNA) molecules targeted to a specific plant pest can </w:t>
      </w:r>
      <w:r w:rsidRPr="00054C86">
        <w:rPr>
          <w:rFonts w:ascii="Times New Roman" w:eastAsia="Times New Roman" w:hAnsi="Times New Roman" w:cstheme="minorBidi"/>
        </w:rPr>
        <w:t xml:space="preserve">be applied as a foliar spray. The vascular system of the plant then naturally translocates the RNA molecules, triggering a transient pest-resistant property </w:t>
      </w:r>
      <w:r w:rsidRPr="00054C86">
        <w:rPr>
          <w:rFonts w:ascii="Times New Roman" w:eastAsia="Times New Roman" w:hAnsi="Times New Roman" w:cstheme="minorBidi"/>
        </w:rPr>
        <w:fldChar w:fldCharType="begin" w:fldLock="1"/>
      </w:r>
      <w:r w:rsidR="008F6A90">
        <w:rPr>
          <w:rFonts w:ascii="Times New Roman" w:eastAsia="Times New Roman" w:hAnsi="Times New Roman" w:cstheme="minorBidi"/>
        </w:rPr>
        <w:instrText>ADDIN CSL_CITATION {"citationItems":[{"id":"ITEM-1","itemData":{"abstract":"RNAi in crop protection can be achieved not only by plant-incorporated protectants through plant transformation (transgenic) but also by nontransformative strategies such as formulations of sprayable dsRNAs used as direct control agents, resistance factor repressors, or developmental disruptors. Therefore, the RNAi-based biopesticides are expected to reach the market also in the form of nontransgenic strategies such as sprayable products, stem injection, root drenching, seed treatment, or powder/granule. While the delivery of dsRNA by transgenic expression is well established, it requires generations of crop plants and is costly, which may take years and delays for practical application, depending on the regulatory rules, plant transformability, genetic stability , and public acceptance of genetically modified crop species. DsRNA delivery as a nontransgenic approach was already published as a proof-of-concept work, so it is time to point out some directions on how the real potential for agriculture and crop protection is.","author":[{"dropping-particle":"","family":"Cagliari","given":"Deise","non-dropping-particle":"","parse-names":false,"suffix":""},{"dropping-particle":"","family":"Avila","given":"Ericmar","non-dropping-particle":"","parse-names":false,"suffix":""},{"dropping-particle":"","family":"Santos","given":"Dos","non-dropping-particle":"","parse-names":false,"suffix":""},{"dropping-particle":"","family":"Dias","given":"Naymã","non-dropping-particle":"","parse-names":false,"suffix":""},{"dropping-particle":"","family":"Smagghe","given":"Guy","non-dropping-particle":"","parse-names":false,"suffix":""},{"dropping-particle":"","family":"Zotti","given":"Moises","non-dropping-particle":"","parse-names":false,"suffix":""}],"id":"ITEM-1","issued":{"date-parts":[["2016"]]},"title":"Provisional chapter Nontransformative Strategies for RNAi in Crop Protection","type":"report"},"uris":["http://www.mendeley.com/documents/?uuid=50c61851-ec8e-48bb-91d9-6619e573f542"]}],"mendeley":{"formattedCitation":"(Cagliari et al., 2016)","plainTextFormattedCitation":"(Cagliari et al., 2016)","previouslyFormattedCitation":"(Cagliari et al., 2016)"},"properties":{"noteIndex":0},"schema":"https://github.com/citation-style-language/schema/raw/master/csl-citation.json"}</w:instrText>
      </w:r>
      <w:r w:rsidRPr="00054C86">
        <w:rPr>
          <w:rFonts w:ascii="Times New Roman" w:eastAsia="Times New Roman" w:hAnsi="Times New Roman" w:cstheme="minorBidi"/>
        </w:rPr>
        <w:fldChar w:fldCharType="separate"/>
      </w:r>
      <w:r w:rsidRPr="00054C86">
        <w:rPr>
          <w:rFonts w:ascii="Times New Roman" w:eastAsia="Times New Roman" w:hAnsi="Times New Roman" w:cstheme="minorBidi"/>
          <w:noProof/>
        </w:rPr>
        <w:t>(Cagliari et al., 2016)</w:t>
      </w:r>
      <w:r w:rsidRPr="00054C86">
        <w:rPr>
          <w:rFonts w:ascii="Times New Roman" w:eastAsia="Times New Roman" w:hAnsi="Times New Roman" w:cstheme="minorBidi"/>
        </w:rPr>
        <w:fldChar w:fldCharType="end"/>
      </w:r>
      <w:r w:rsidRPr="00054C86">
        <w:rPr>
          <w:rFonts w:ascii="Times New Roman" w:eastAsia="Times New Roman" w:hAnsi="Times New Roman" w:cstheme="minorBidi"/>
        </w:rPr>
        <w:t>. This transient</w:t>
      </w:r>
      <w:r w:rsidRPr="00054C86">
        <w:rPr>
          <w:rFonts w:ascii="Times New Roman" w:eastAsia="Times New Roman" w:hAnsi="Times New Roman" w:cstheme="minorBidi"/>
          <w:lang w:eastAsia="ar-SA"/>
        </w:rPr>
        <w:t xml:space="preserve"> modification of plants</w:t>
      </w:r>
      <w:r w:rsidRPr="00054C86">
        <w:rPr>
          <w:rFonts w:ascii="Times New Roman" w:eastAsia="Times New Roman" w:hAnsi="Times New Roman" w:cstheme="minorBidi"/>
        </w:rPr>
        <w:t xml:space="preserve"> using topical application of dsRNA has been proven in the model </w:t>
      </w:r>
      <w:r w:rsidRPr="00054C86">
        <w:rPr>
          <w:rFonts w:ascii="Times New Roman" w:eastAsia="Times New Roman" w:hAnsi="Times New Roman" w:cstheme="minorBidi"/>
          <w:i/>
        </w:rPr>
        <w:t xml:space="preserve">Arabidopsis </w:t>
      </w:r>
      <w:r w:rsidR="003F5AE6">
        <w:rPr>
          <w:rFonts w:ascii="Times New Roman" w:eastAsia="Times New Roman" w:hAnsi="Times New Roman" w:cstheme="minorBidi"/>
        </w:rPr>
        <w:fldChar w:fldCharType="begin" w:fldLock="1"/>
      </w:r>
      <w:r w:rsidR="003F5AE6">
        <w:rPr>
          <w:rFonts w:ascii="Times New Roman" w:eastAsia="Times New Roman" w:hAnsi="Times New Roman" w:cstheme="minorBidi"/>
        </w:rPr>
        <w:instrText>ADDIN CSL_CITATION {"citationItems":[{"id":"ITEM-1","itemData":{"DOI":"10.3390/ijms20071585","ISSN":"1422-0067","abstract":"Recent investigations show that exogenously applied small interfering RNAs (siRNA) and long double-stranded RNA (dsRNA) precursors can be taken up and translocated in plants to induce RNA interference (RNAi) in the plant or in its fungal pathogen. The question of whether genes in the plant genome can undergo suppression as a result of exogenous RNA application on plant surface is almost unexplored. This study analyzed whether it is possible to influence transcript levels of transgenes, as more prone sequences to silencing, in Arabidopsis genome by direct exogenous application of target long dsRNAs. The data revealed that in vitro synthesized dsRNAs designed to target the gene coding regions of enhanced green fluorescent protein (EGFP) or neomycin phosphotransferase II (NPTII) suppressed their transcript levels in Arabidopsis. The fact that, simple exogenous application of polynucleotides can affect mRNA levels of plant transgenes, opens new opportunities for the development of new scientific techniques and crop improvement strategies.","author":[{"dropping-particle":"","family":"Dubrovina","given":"Alexandra","non-dropping-particle":"","parse-names":false,"suffix":""},{"dropping-particle":"","family":"Aleynova","given":"Olga","non-dropping-particle":"","parse-names":false,"suffix":""},{"dropping-particle":"","family":"Kalachev","given":"Alexander","non-dropping-particle":"","parse-names":false,"suffix":""},{"dropping-particle":"","family":"Suprun","given":"Andrey","non-dropping-particle":"","parse-names":false,"suffix":""},{"dropping-particle":"","family":"Ogneva","given":"Zlata","non-dropping-particle":"","parse-names":false,"suffix":""},{"dropping-particle":"","family":"Kiselev","given":"Konstantin","non-dropping-particle":"","parse-names":false,"suffix":""}],"container-title":"International Journal of Molecular Sciences","id":"ITEM-1","issue":"7","issued":{"date-parts":[["2019","3","29"]]},"page":"1585","title":"Induction of Transgene Suppression in Plants via External Application of Synthetic dsRNA","type":"article-journal","volume":"20"},"uris":["http://www.mendeley.com/documents/?uuid=63be15bb-0e21-4e44-9c03-0d606327d655"]}],"mendeley":{"formattedCitation":"(Dubrovina et al., 2019)","plainTextFormattedCitation":"(Dubrovina et al., 2019)","previouslyFormattedCitation":"(Dubrovina et al., 2019)"},"properties":{"noteIndex":0},"schema":"https://github.com/citation-style-language/schema/raw/master/csl-citation.json"}</w:instrText>
      </w:r>
      <w:r w:rsidR="003F5AE6">
        <w:rPr>
          <w:rFonts w:ascii="Times New Roman" w:eastAsia="Times New Roman" w:hAnsi="Times New Roman" w:cstheme="minorBidi"/>
        </w:rPr>
        <w:fldChar w:fldCharType="separate"/>
      </w:r>
      <w:r w:rsidR="003F5AE6" w:rsidRPr="003F5AE6">
        <w:rPr>
          <w:rFonts w:ascii="Times New Roman" w:eastAsia="Times New Roman" w:hAnsi="Times New Roman" w:cstheme="minorBidi"/>
          <w:noProof/>
        </w:rPr>
        <w:t>(Dubrovina et al., 2019)</w:t>
      </w:r>
      <w:r w:rsidR="003F5AE6">
        <w:rPr>
          <w:rFonts w:ascii="Times New Roman" w:eastAsia="Times New Roman" w:hAnsi="Times New Roman" w:cstheme="minorBidi"/>
        </w:rPr>
        <w:fldChar w:fldCharType="end"/>
      </w:r>
      <w:r w:rsidRPr="00054C86">
        <w:rPr>
          <w:rFonts w:ascii="Times New Roman" w:eastAsia="Times New Roman" w:hAnsi="Times New Roman" w:cstheme="minorBidi"/>
        </w:rPr>
        <w:t xml:space="preserve">. Recent studies demonstrated that the topical application of dsRNA protects plants from: aphid-mediated virus transmission, such as Zucchini yellow mosaic virus </w:t>
      </w:r>
      <w:r w:rsidR="003F5AE6">
        <w:rPr>
          <w:rFonts w:ascii="Times New Roman" w:eastAsia="Times New Roman" w:hAnsi="Times New Roman" w:cstheme="minorBidi"/>
        </w:rPr>
        <w:fldChar w:fldCharType="begin" w:fldLock="1"/>
      </w:r>
      <w:r w:rsidR="003F5AE6">
        <w:rPr>
          <w:rFonts w:ascii="Times New Roman" w:eastAsia="Times New Roman" w:hAnsi="Times New Roman" w:cstheme="minorBidi"/>
        </w:rPr>
        <w:instrText>ADDIN CSL_CITATION {"citationItems":[{"id":"ITEM-1","itemData":{"DOI":"10.1111/mpp.12572","ISSN":"13643703","PMID":"28621835","abstract":"Zucchini yellow mosaic virus (ZYMV) causes serious damage in a large number of cucurbits, and control measures are necessary. Transgenic cucurbits expressing parts of the ZYMV genome have been shown to be resistant to the cognate virus. A non-transgenic approach involving the exogenous application of double-stranded RNA (dsRNA) has also been shown to induce resistance in tobacco against Cucumber mosaic virus (CMV) and Tobacco mosaic virus (TMV). In the present study, dsRNA molecules derived from the helper component-proteinase (HC-Pro) and coat protein (CP) genes of the ZYMV_DE_2014 isolate were produced in vitro. On exogenous dsRNA application in cucumber, watermelon and squash plants, dsRNA HC-Pro conferred resistance of 82%, 50% and 18%, and dsRNA CP molecules of 70%, 43% and 16%, respectively. On deep sequencing analysis of ZYMV-infected watermelon, hot-spot regions for viral small interfering RNAs (vsiRNAs) in the genome of ZYMV were identified. Stem-loop reverse transcription-polymerase chain reaction (RT-PCR) detection of selected 21-nucleotide-long vsiRNAs in plants that received only dsRNA molecules suggested that the dsRNAs exogenously applied onto plants were successfully diced, thus initiating RNA silencing. dsRNA molecules were found to be progressively degraded in planta, and strongly detected by semi-quantitative RT-PCR for at least 9 days after exogenous application. Moreover, dsRNA molecules were detected in systemic tissue of watermelon and squash, showing that dsRNA is transported long distances in these plants.","author":[{"dropping-particle":"","family":"Kaldis","given":"Athanasios","non-dropping-particle":"","parse-names":false,"suffix":""},{"dropping-particle":"","family":"Berbati","given":"Margarita","non-dropping-particle":"","parse-names":false,"suffix":""},{"dropping-particle":"","family":"Melita","given":"Ourania","non-dropping-particle":"","parse-names":false,"suffix":""},{"dropping-particle":"","family":"Reppa","given":"Chrysavgi","non-dropping-particle":"","parse-names":false,"suffix":""},{"dropping-particle":"","family":"Holeva","given":"Maria","non-dropping-particle":"","parse-names":false,"suffix":""},{"dropping-particle":"","family":"Otten","given":"Patricia","non-dropping-particle":"","parse-names":false,"suffix":""},{"dropping-particle":"","family":"Voloudakis","given":"Andreas","non-dropping-particle":"","parse-names":false,"suffix":""}],"container-title":"Molecular Plant Pathology","id":"ITEM-1","issue":"4","issued":{"date-parts":[["2018","4"]]},"page":"883-895","publisher":"Blackwell Publishing Ltd","title":"Exogenously applied dsRNA molecules deriving from the Zucchini yellow mosaic virus (ZYMV) genome move systemically and protect cucurbits against ZYMV","type":"article-journal","volume":"19"},"uris":["http://www.mendeley.com/documents/?uuid=985a046b-f5f1-47b5-ba12-87efc49c05fb"]}],"mendeley":{"formattedCitation":"(Kaldis et al., 2018)","plainTextFormattedCitation":"(Kaldis et al., 2018)","previouslyFormattedCitation":"(Kaldis et al., 2018)"},"properties":{"noteIndex":0},"schema":"https://github.com/citation-style-language/schema/raw/master/csl-citation.json"}</w:instrText>
      </w:r>
      <w:r w:rsidR="003F5AE6">
        <w:rPr>
          <w:rFonts w:ascii="Times New Roman" w:eastAsia="Times New Roman" w:hAnsi="Times New Roman" w:cstheme="minorBidi"/>
        </w:rPr>
        <w:fldChar w:fldCharType="separate"/>
      </w:r>
      <w:r w:rsidR="003F5AE6" w:rsidRPr="003F5AE6">
        <w:rPr>
          <w:rFonts w:ascii="Times New Roman" w:eastAsia="Times New Roman" w:hAnsi="Times New Roman" w:cstheme="minorBidi"/>
          <w:noProof/>
        </w:rPr>
        <w:t>(Kaldis et al., 2018)</w:t>
      </w:r>
      <w:r w:rsidR="003F5AE6">
        <w:rPr>
          <w:rFonts w:ascii="Times New Roman" w:eastAsia="Times New Roman" w:hAnsi="Times New Roman" w:cstheme="minorBidi"/>
        </w:rPr>
        <w:fldChar w:fldCharType="end"/>
      </w:r>
      <w:r w:rsidRPr="00054C86">
        <w:rPr>
          <w:rFonts w:ascii="Times New Roman" w:eastAsia="Times New Roman" w:hAnsi="Times New Roman" w:cstheme="minorBidi"/>
        </w:rPr>
        <w:t xml:space="preserve"> or potyvirus bean common mosaic virus </w:t>
      </w:r>
      <w:r w:rsidRPr="00054C86">
        <w:rPr>
          <w:rFonts w:ascii="Times New Roman" w:eastAsia="Times New Roman" w:hAnsi="Times New Roman" w:cstheme="minorBidi"/>
        </w:rPr>
        <w:fldChar w:fldCharType="begin" w:fldLock="1"/>
      </w:r>
      <w:r w:rsidR="008F6A90">
        <w:rPr>
          <w:rFonts w:ascii="Times New Roman" w:eastAsia="Times New Roman" w:hAnsi="Times New Roman" w:cstheme="minorBidi"/>
        </w:rPr>
        <w:instrText>ADDIN CSL_CITATION {"citationItems":[{"id":"ITEM-1","itemData":{"DOI":"10.3389/fpls.2019.00265","ISSN":"1664-462X","author":[{"dropping-particle":"","family":"Worrall","given":"Elizabeth A.","non-dropping-particle":"","parse-names":false,"suffix":""},{"dropping-particle":"","family":"Bravo-Cazar","given":"Ana","non-dropping-particle":"","parse-names":false,"suffix":""},{"dropping-particle":"","family":"Nilon","given":"Alexander T.","non-dropping-particle":"","parse-names":false,"suffix":""},{"dropping-particle":"","family":"Fletcher","given":"Stephen J.","non-dropping-particle":"","parse-names":false,"suffix":""},{"dropping-particle":"","family":"Robinson","given":"Karl E.","non-dropping-particle":"","parse-names":false,"suffix":""},{"dropping-particle":"","family":"Carr","given":"John P.","non-dropping-particle":"","parse-names":false,"suffix":""},{"dropping-particle":"","family":"Mitter","given":"Neena","non-dropping-particle":"","parse-names":false,"suffix":""}],"container-title":"Frontiers in Plant Science","id":"ITEM-1","issued":{"date-parts":[["2019","3","15"]]},"title":"Exogenous Application of RNAi-Inducing Double-Stranded RNA Inhibits Aphid-Mediated Transmission of a Plant Virus","type":"article-journal","volume":"10"},"uris":["http://www.mendeley.com/documents/?uuid=27978a2c-3f93-43e7-ae09-623aee008198"]}],"mendeley":{"formattedCitation":"(Worrall et al., 2019)","plainTextFormattedCitation":"(Worrall et al., 2019)","previouslyFormattedCitation":"(Worrall et al., 2019)"},"properties":{"noteIndex":0},"schema":"https://github.com/citation-style-language/schema/raw/master/csl-citation.json"}</w:instrText>
      </w:r>
      <w:r w:rsidRPr="00054C86">
        <w:rPr>
          <w:rFonts w:ascii="Times New Roman" w:eastAsia="Times New Roman" w:hAnsi="Times New Roman" w:cstheme="minorBidi"/>
        </w:rPr>
        <w:fldChar w:fldCharType="separate"/>
      </w:r>
      <w:r w:rsidRPr="00054C86" w:rsidDel="69BA3794">
        <w:rPr>
          <w:rFonts w:ascii="Times New Roman" w:eastAsia="Times New Roman" w:hAnsi="Times New Roman" w:cstheme="minorBidi"/>
          <w:noProof/>
        </w:rPr>
        <w:t>(Worrall et al., 2019)</w:t>
      </w:r>
      <w:r w:rsidRPr="00054C86">
        <w:rPr>
          <w:rFonts w:ascii="Times New Roman" w:eastAsia="Times New Roman" w:hAnsi="Times New Roman" w:cstheme="minorBidi"/>
        </w:rPr>
        <w:fldChar w:fldCharType="end"/>
      </w:r>
      <w:r w:rsidRPr="00054C86">
        <w:rPr>
          <w:rFonts w:ascii="Times New Roman" w:eastAsia="Times New Roman" w:hAnsi="Times New Roman" w:cstheme="minorBidi"/>
        </w:rPr>
        <w:t>; insects</w:t>
      </w:r>
      <w:r w:rsidR="00EA2D6F">
        <w:rPr>
          <w:rFonts w:ascii="Times New Roman" w:eastAsia="Times New Roman" w:hAnsi="Times New Roman" w:cstheme="minorBidi"/>
        </w:rPr>
        <w:t>,</w:t>
      </w:r>
      <w:r w:rsidRPr="00054C86">
        <w:rPr>
          <w:rFonts w:ascii="Times New Roman" w:eastAsia="Times New Roman" w:hAnsi="Times New Roman" w:cstheme="minorBidi"/>
        </w:rPr>
        <w:t xml:space="preserve"> such as Colorado potato beetle </w:t>
      </w:r>
      <w:r w:rsidR="003F5AE6">
        <w:rPr>
          <w:rFonts w:ascii="Times New Roman" w:eastAsia="Times New Roman" w:hAnsi="Times New Roman" w:cstheme="minorBidi"/>
        </w:rPr>
        <w:fldChar w:fldCharType="begin" w:fldLock="1"/>
      </w:r>
      <w:r w:rsidR="003F5AE6">
        <w:rPr>
          <w:rFonts w:ascii="Times New Roman" w:eastAsia="Times New Roman" w:hAnsi="Times New Roman" w:cstheme="minorBidi"/>
        </w:rPr>
        <w:instrText>ADDIN CSL_CITATION {"citationItems":[{"id":"ITEM-1","itemData":{"DOI":"10.3389/fpls.2020.01250","ISSN":"1664-462X","abstract":"Colorado potato beetle (CPB) is an agricultural pest of solanaceous crops, notorious for its rapid resistance development to chemical pesticides. Foliar spraying of dsRNA formulations is a promising innovative technology providing highly specific and environmentally acceptable option for CPB management. We designed dsRNA to silence CPB mesh gene (dsMESH) and performed laboratory feeding trials to assess impacts on beetle survival and development. We compared the effectiveness of in vivo and in vitro produced dsRNA in a series of laboratory experiments. We additionally performed a field trial in which the efficacy of dsRNA sprayed onto potato foliage was compared to a spinosad-based insecticide. We showed that dsMESH ingestion consistently and significantly impaired larval growth and decreased larval survival in laboratory feeding experiments. In vivo produced dsRNA performed similarly as in vitro synthesized dsRNA in laboratory settings. In the field trial, dsMESH was as effective in controlling CPB larvae as a commercial spinosad insecticide, its activity was however slower. We discuss limitations and benefits of a potential dsMESH-based CPB management strategy and list some important RNAi based CPB research topics, which will have to be addressed in future.","author":[{"dropping-particle":"","family":"Petek","given":"Marko","non-dropping-particle":"","parse-names":false,"suffix":""},{"dropping-particle":"","family":"Coll","given":"Anna","non-dropping-particle":"","parse-names":false,"suffix":""},{"dropping-particle":"","family":"Ferenc","given":"Rok","non-dropping-particle":"","parse-names":false,"suffix":""},{"dropping-particle":"","family":"Razinger","given":"Jaka","non-dropping-particle":"","parse-names":false,"suffix":""},{"dropping-particle":"","family":"Gruden","given":"Kristina","non-dropping-particle":"","parse-names":false,"suffix":""}],"container-title":"Frontiers in Plant Science","id":"ITEM-1","issued":{"date-parts":[["2020","8"]]},"page":"1250","publisher":"Frontiers Media S.A.","title":"Validating the Potential of Double-Stranded RNA Targeting Colorado Potato Beetle Mesh Gene in Laboratory and Field Trials","type":"article-journal","volume":"11"},"uris":["http://www.mendeley.com/documents/?uuid=1c772db2-aa35-4835-854e-0fa681dacbc6"]}],"mendeley":{"formattedCitation":"(Petek et al., 2020)","plainTextFormattedCitation":"(Petek et al., 2020)","previouslyFormattedCitation":"(Petek et al., 2020)"},"properties":{"noteIndex":0},"schema":"https://github.com/citation-style-language/schema/raw/master/csl-citation.json"}</w:instrText>
      </w:r>
      <w:r w:rsidR="003F5AE6">
        <w:rPr>
          <w:rFonts w:ascii="Times New Roman" w:eastAsia="Times New Roman" w:hAnsi="Times New Roman" w:cstheme="minorBidi"/>
        </w:rPr>
        <w:fldChar w:fldCharType="separate"/>
      </w:r>
      <w:r w:rsidR="003F5AE6" w:rsidRPr="003F5AE6">
        <w:rPr>
          <w:rFonts w:ascii="Times New Roman" w:eastAsia="Times New Roman" w:hAnsi="Times New Roman" w:cstheme="minorBidi"/>
          <w:noProof/>
        </w:rPr>
        <w:t>(Petek et al., 2020)</w:t>
      </w:r>
      <w:r w:rsidR="003F5AE6">
        <w:rPr>
          <w:rFonts w:ascii="Times New Roman" w:eastAsia="Times New Roman" w:hAnsi="Times New Roman" w:cstheme="minorBidi"/>
        </w:rPr>
        <w:fldChar w:fldCharType="end"/>
      </w:r>
      <w:r w:rsidRPr="00054C86">
        <w:rPr>
          <w:rFonts w:ascii="Times New Roman" w:eastAsia="Times New Roman" w:hAnsi="Times New Roman" w:cstheme="minorBidi"/>
        </w:rPr>
        <w:t xml:space="preserve"> or soybean aphids </w:t>
      </w:r>
      <w:r w:rsidR="003F5AE6">
        <w:rPr>
          <w:rFonts w:ascii="Times New Roman" w:eastAsia="Times New Roman" w:hAnsi="Times New Roman" w:cstheme="minorBidi"/>
        </w:rPr>
        <w:fldChar w:fldCharType="begin" w:fldLock="1"/>
      </w:r>
      <w:r w:rsidR="003F5AE6">
        <w:rPr>
          <w:rFonts w:ascii="Times New Roman" w:eastAsia="Times New Roman" w:hAnsi="Times New Roman" w:cstheme="minorBidi"/>
        </w:rPr>
        <w:instrText>ADDIN CSL_CITATION {"citationItems":[{"id":"ITEM-1","itemData":{"DOI":"10.1007/s10340-019-01157-x","ISSN":"16124766","abstract":"RNA interference (RNAi) has been recognized as a novel and safe strategy in pest management due to its high sequence-dependent specificity. However, the existing dsRNA delivery methods largely restrict the application of the RNAi-based pest management strategy; thus, we previously constructed a nanocarrier-based transdermal dsRNA delivery system on the soybean aphid Aphis glycines with the help of nanocarrier and detergent. In the current study, we improved our transdermal dsRNA delivery system with a smaller and cheaper nanocarrier to investigate the efficacy of spraying aphid-infested soybean seedlings to apply our RNA pesticide. A dsRNA/nanocarrier/detergent formulation was performed, and the dsRNA could penetrate the aphid body wall within 4 h with the help of nanocarrier through the topical application. Four potential RNAi target genes (TREH, ATPD, ATPE and CHS1) were selected and cloned, and their dsRNA fragments were synthesized and tested through the transdermal dsRNA delivery system. The delivered dsRNA efficiently silenced the target gene expression with the knockdown effects ranging from 86.86 to 58.87% and resulted in a high mortality up to 81.67% (dsATPD + dsATPE) through the topical application, when through the spray method, with the highest percent mortality of 78.50% (dsATPD + dsCHS1). Our novel transdermal dsRNA delivery system not only provides a powerful tool for gene functional analysis in laboratory, but also shows a great potential for the pest management in the field, which will promote the practice and development of RNAi-based pest management.","author":[{"dropping-particle":"","family":"Yan","given":"Shuo","non-dropping-particle":"","parse-names":false,"suffix":""},{"dropping-particle":"","family":"Qian","given":"Jin","non-dropping-particle":"","parse-names":false,"suffix":""},{"dropping-particle":"","family":"Cai","given":"Chong","non-dropping-particle":"","parse-names":false,"suffix":""},{"dropping-particle":"","family":"Ma","given":"Zhongzheng","non-dropping-particle":"","parse-names":false,"suffix":""},{"dropping-particle":"","family":"Li","given":"Jianhao","non-dropping-particle":"","parse-names":false,"suffix":""},{"dropping-particle":"","family":"Yin","given":"Meizhen","non-dropping-particle":"","parse-names":false,"suffix":""},{"dropping-particle":"","family":"Ren","given":"Binyuan","non-dropping-particle":"","parse-names":false,"suffix":""},{"dropping-particle":"","family":"Shen","given":"Jie","non-dropping-particle":"","parse-names":false,"suffix":""}],"container-title":"Journal of Pest Science","id":"ITEM-1","issue":"1","issued":{"date-parts":[["2020","1"]]},"page":"449-459","publisher":"Springer","title":"Spray method application of transdermal dsRNA delivery system for efficient gene silencing and pest control on soybean aphid Aphis glycines","type":"article-journal","volume":"93"},"uris":["http://www.mendeley.com/documents/?uuid=e303537f-0e0e-4e8d-b4f1-4b00a8bce893"]}],"mendeley":{"formattedCitation":"(S. Yan et al., 2020)","plainTextFormattedCitation":"(S. Yan et al., 2020)","previouslyFormattedCitation":"(S. Yan et al., 2020)"},"properties":{"noteIndex":0},"schema":"https://github.com/citation-style-language/schema/raw/master/csl-citation.json"}</w:instrText>
      </w:r>
      <w:r w:rsidR="003F5AE6">
        <w:rPr>
          <w:rFonts w:ascii="Times New Roman" w:eastAsia="Times New Roman" w:hAnsi="Times New Roman" w:cstheme="minorBidi"/>
        </w:rPr>
        <w:fldChar w:fldCharType="separate"/>
      </w:r>
      <w:r w:rsidR="003F5AE6" w:rsidRPr="003F5AE6">
        <w:rPr>
          <w:rFonts w:ascii="Times New Roman" w:eastAsia="Times New Roman" w:hAnsi="Times New Roman" w:cstheme="minorBidi"/>
          <w:noProof/>
        </w:rPr>
        <w:t>(S. Yan et al., 2020)</w:t>
      </w:r>
      <w:r w:rsidR="003F5AE6">
        <w:rPr>
          <w:rFonts w:ascii="Times New Roman" w:eastAsia="Times New Roman" w:hAnsi="Times New Roman" w:cstheme="minorBidi"/>
        </w:rPr>
        <w:fldChar w:fldCharType="end"/>
      </w:r>
      <w:r w:rsidRPr="00054C86">
        <w:rPr>
          <w:rFonts w:ascii="Times New Roman" w:eastAsia="Times New Roman" w:hAnsi="Times New Roman" w:cstheme="minorBidi"/>
        </w:rPr>
        <w:t>, and; fungi</w:t>
      </w:r>
      <w:r w:rsidR="00EA2D6F">
        <w:rPr>
          <w:rFonts w:ascii="Times New Roman" w:eastAsia="Times New Roman" w:hAnsi="Times New Roman" w:cstheme="minorBidi"/>
        </w:rPr>
        <w:t>,</w:t>
      </w:r>
      <w:r w:rsidRPr="00054C86">
        <w:rPr>
          <w:rFonts w:ascii="Times New Roman" w:eastAsia="Times New Roman" w:hAnsi="Times New Roman" w:cstheme="minorBidi"/>
        </w:rPr>
        <w:t xml:space="preserve"> such as </w:t>
      </w:r>
      <w:r w:rsidRPr="00054C86">
        <w:rPr>
          <w:rFonts w:ascii="Times New Roman" w:eastAsia="Times New Roman" w:hAnsi="Times New Roman" w:cstheme="minorBidi"/>
          <w:i/>
        </w:rPr>
        <w:t xml:space="preserve">Fusarium graminearum </w:t>
      </w:r>
      <w:r w:rsidR="003F5AE6">
        <w:rPr>
          <w:rFonts w:ascii="Times New Roman" w:eastAsia="Times New Roman" w:hAnsi="Times New Roman" w:cstheme="minorBidi"/>
        </w:rPr>
        <w:fldChar w:fldCharType="begin" w:fldLock="1"/>
      </w:r>
      <w:r w:rsidR="00547039">
        <w:rPr>
          <w:rFonts w:ascii="Times New Roman" w:eastAsia="Times New Roman" w:hAnsi="Times New Roman" w:cstheme="minorBidi"/>
        </w:rPr>
        <w:instrText>ADDIN CSL_CITATION {"citationItems":[{"id":"ITEM-1","itemData":{"DOI":"10.1371/journal.ppat.1005901","ISSN":"1553-7374","author":[{"dropping-particle":"","family":"Koch","given":"Aline","non-dropping-particle":"","parse-names":false,"suffix":""},{"dropping-particle":"","family":"Biedenkopf","given":"Dagmar","non-dropping-particle":"","parse-names":false,"suffix":""},{"dropping-particle":"","family":"Furch","given":"Alexandra","non-dropping-particle":"","parse-names":false,"suffix":""},{"dropping-particle":"","family":"Weber","given":"Lennart","non-dropping-particle":"","parse-names":false,"suffix":""},{"dropping-particle":"","family":"Rossbach","given":"Oliver","non-dropping-particle":"","parse-names":false,"suffix":""},{"dropping-particle":"","family":"Abdellatef","given":"Eltayb","non-dropping-particle":"","parse-names":false,"suffix":""},{"dropping-particle":"","family":"Linicus","given":"Lukas","non-dropping-particle":"","parse-names":false,"suffix":""},{"dropping-particle":"","family":"Johannsmeier","given":"Jan","non-dropping-particle":"","parse-names":false,"suffix":""},{"dropping-particle":"","family":"Jelonek","given":"Lukas","non-dropping-particle":"","parse-names":false,"suffix":""},{"dropping-particle":"","family":"Goesmann","given":"Alexander","non-dropping-particle":"","parse-names":false,"suffix":""},{"dropping-particle":"","family":"Cardoza","given":"Vinitha","non-dropping-particle":"","parse-names":false,"suffix":""},{"dropping-particle":"","family":"McMillan","given":"John","non-dropping-particle":"","parse-names":false,"suffix":""},{"dropping-particle":"","family":"Mentzel","given":"Tobias","non-dropping-particle":"","parse-names":false,"suffix":""},{"dropping-particle":"","family":"Kogel","given":"Karl-Heinz","non-dropping-particle":"","parse-names":false,"suffix":""}],"container-title":"PLOS Pathogens","editor":[{"dropping-particle":"","family":"Dinesh-Kumar","given":"Savithramma P.","non-dropping-particle":"","parse-names":false,"suffix":""}],"id":"ITEM-1","issue":"10","issued":{"date-parts":[["2016","10","13"]]},"page":"e1005901","title":"An RNAi-Based Control of Fusarium graminearum Infections Through Spraying of Long dsRNAs Involves a Plant Passage and Is Controlled by the Fungal Silencing Machinery","type":"article-journal","volume":"12"},"uris":["http://www.mendeley.com/documents/?uuid=4a7d6278-a000-4cc2-93fc-95a3bf830936"]}],"mendeley":{"formattedCitation":"(A. Koch et al., 2016)","plainTextFormattedCitation":"(A. Koch et al., 2016)","previouslyFormattedCitation":"(A. Koch et al., 2016)"},"properties":{"noteIndex":0},"schema":"https://github.com/citation-style-language/schema/raw/master/csl-citation.json"}</w:instrText>
      </w:r>
      <w:r w:rsidR="003F5AE6">
        <w:rPr>
          <w:rFonts w:ascii="Times New Roman" w:eastAsia="Times New Roman" w:hAnsi="Times New Roman" w:cstheme="minorBidi"/>
        </w:rPr>
        <w:fldChar w:fldCharType="separate"/>
      </w:r>
      <w:r w:rsidR="00547039" w:rsidRPr="00547039">
        <w:rPr>
          <w:rFonts w:ascii="Times New Roman" w:eastAsia="Times New Roman" w:hAnsi="Times New Roman" w:cstheme="minorBidi"/>
          <w:noProof/>
        </w:rPr>
        <w:t>(A. Koch et al., 2016)</w:t>
      </w:r>
      <w:r w:rsidR="003F5AE6">
        <w:rPr>
          <w:rFonts w:ascii="Times New Roman" w:eastAsia="Times New Roman" w:hAnsi="Times New Roman" w:cstheme="minorBidi"/>
        </w:rPr>
        <w:fldChar w:fldCharType="end"/>
      </w:r>
      <w:r w:rsidRPr="00054C86">
        <w:rPr>
          <w:rFonts w:ascii="Times New Roman" w:eastAsia="Times New Roman" w:hAnsi="Times New Roman" w:cstheme="minorBidi"/>
        </w:rPr>
        <w:t xml:space="preserve"> or </w:t>
      </w:r>
      <w:r w:rsidRPr="00054C86">
        <w:rPr>
          <w:rFonts w:ascii="Times New Roman" w:eastAsia="Times New Roman" w:hAnsi="Times New Roman" w:cstheme="minorBidi"/>
          <w:i/>
        </w:rPr>
        <w:t>Botrytis cinerea</w:t>
      </w:r>
      <w:r w:rsidRPr="00054C86">
        <w:rPr>
          <w:rFonts w:ascii="Times New Roman" w:eastAsia="Times New Roman" w:hAnsi="Times New Roman" w:cstheme="minorBidi"/>
        </w:rPr>
        <w:t xml:space="preserve"> </w:t>
      </w:r>
      <w:r w:rsidR="00AD2A57">
        <w:rPr>
          <w:rFonts w:ascii="Times New Roman" w:eastAsia="Times New Roman" w:hAnsi="Times New Roman" w:cstheme="minorBidi"/>
        </w:rPr>
        <w:fldChar w:fldCharType="begin" w:fldLock="1"/>
      </w:r>
      <w:r w:rsidR="00AD2A57">
        <w:rPr>
          <w:rFonts w:ascii="Times New Roman" w:eastAsia="Times New Roman" w:hAnsi="Times New Roman" w:cstheme="minorBidi"/>
        </w:rPr>
        <w:instrText>ADDIN CSL_CITATION {"citationItems":[{"id":"ITEM-1","itemData":{"DOI":"10.1038/nplants.2016.151","ISSN":"20550278","PMID":"27643635","abstract":"Aggressive fungal pathogens such as Botrytis and Verticillium spp. cause severe crop losses worldwide. We recently discovered that Botrytis cinerea delivers small RNAs (Bc-sRNAs) into plant cells to silence host immunity genes. Such sRNA effectors are mostly produced by Botrytis cinerea Dicer-like protein 1 (Bc-DCL1) and Bc-DCL2. Here we show that expressing sRNAs that target Bc-DCL1 and Bc-DCL2 in Arabidopsis and tomato silences Bc-DCL genes and attenuates fungal pathogenicity and growth, exemplifying bidirectional cross-kingdom RNAi and sRNA trafficking between plants and fungi. This strategy can be adapted to simultaneously control multiple fungal diseases. We also show that Botrytis can take up external sRNAs and double-stranded RNAs (dsRNAs). Applying sRNAs or dsRNAs that target Botrytis DCL1 and DCL2 genes on the surface of fruits, vegetables and flowers significantly inhibits grey mould disease. Such pathogen gene-targeting RNAs represent a new generation of environmentally friendly fungicides.","author":[{"dropping-particle":"","family":"Wang","given":"Ming","non-dropping-particle":"","parse-names":false,"suffix":""},{"dropping-particle":"","family":"Weiberg","given":"Arne","non-dropping-particle":"","parse-names":false,"suffix":""},{"dropping-particle":"","family":"Lin","given":"Feng Mao","non-dropping-particle":"","parse-names":false,"suffix":""},{"dropping-particle":"","family":"Thomma","given":"Bart P H J","non-dropping-particle":"","parse-names":false,"suffix":""},{"dropping-particle":"Da","family":"Huang","given":"Hsien","non-dropping-particle":"","parse-names":false,"suffix":""},{"dropping-particle":"","family":"Jin","given":"Hailing","non-dropping-particle":"","parse-names":false,"suffix":""}],"container-title":"Nature Plants","id":"ITEM-1","issue":"10","issued":{"date-parts":[["2016","9"]]},"publisher":"Palgrave Macmillan Ltd.","title":"Bidirectional cross-kingdom RNAi and fungal uptake of external RNAs confer plant protection","type":"article-journal","volume":"2"},"uris":["http://www.mendeley.com/documents/?uuid=bc72f34c-0638-4def-8107-8afee204b485"]}],"mendeley":{"formattedCitation":"(M. Wang et al., 2016)","plainTextFormattedCitation":"(M. Wang et al., 2016)","previouslyFormattedCitation":"(M. Wang et al., 2016)"},"properties":{"noteIndex":0},"schema":"https://github.com/citation-style-language/schema/raw/master/csl-citation.json"}</w:instrText>
      </w:r>
      <w:r w:rsidR="00AD2A57">
        <w:rPr>
          <w:rFonts w:ascii="Times New Roman" w:eastAsia="Times New Roman" w:hAnsi="Times New Roman" w:cstheme="minorBidi"/>
        </w:rPr>
        <w:fldChar w:fldCharType="separate"/>
      </w:r>
      <w:r w:rsidR="00AD2A57" w:rsidRPr="00AD2A57">
        <w:rPr>
          <w:rFonts w:ascii="Times New Roman" w:eastAsia="Times New Roman" w:hAnsi="Times New Roman" w:cstheme="minorBidi"/>
          <w:noProof/>
        </w:rPr>
        <w:t>(M. Wang et al., 2016)</w:t>
      </w:r>
      <w:r w:rsidR="00AD2A57">
        <w:rPr>
          <w:rFonts w:ascii="Times New Roman" w:eastAsia="Times New Roman" w:hAnsi="Times New Roman" w:cstheme="minorBidi"/>
        </w:rPr>
        <w:fldChar w:fldCharType="end"/>
      </w:r>
      <w:r w:rsidRPr="00054C86">
        <w:rPr>
          <w:rFonts w:ascii="Times New Roman" w:eastAsia="Times New Roman" w:hAnsi="Times New Roman" w:cstheme="minorBidi"/>
        </w:rPr>
        <w:t>. Each example is an important first step towards developing practical applications of this approach in crop protection.</w:t>
      </w:r>
    </w:p>
    <w:p w14:paraId="10D3332F" w14:textId="56CB5731" w:rsidR="00054C86" w:rsidRPr="00054C86" w:rsidRDefault="00CF6BA1" w:rsidP="00B048B9">
      <w:pPr>
        <w:suppressAutoHyphens/>
        <w:autoSpaceDE w:val="0"/>
        <w:spacing w:before="120" w:after="120" w:line="240" w:lineRule="auto"/>
        <w:jc w:val="both"/>
        <w:rPr>
          <w:rFonts w:ascii="Times New Roman" w:eastAsia="SimSun" w:hAnsi="Times New Roman" w:cs="Calibri"/>
          <w:color w:val="000000" w:themeColor="text1"/>
          <w:lang w:eastAsia="hi-IN" w:bidi="hi-IN"/>
        </w:rPr>
      </w:pPr>
      <w:r w:rsidRPr="00054C86">
        <w:rPr>
          <w:rFonts w:ascii="Times New Roman" w:eastAsia="Times New Roman" w:hAnsi="Times New Roman" w:cstheme="minorBidi"/>
        </w:rPr>
        <w:t xml:space="preserve">Synthetic DNA can also be used for transient modification of plants via nanomaterials. Grafted with DNA constructs, carbon nanotubes were used to successfully express proteins without transgene integration in </w:t>
      </w:r>
      <w:r w:rsidRPr="00054C86">
        <w:rPr>
          <w:rFonts w:ascii="Times New Roman" w:eastAsia="Times New Roman" w:hAnsi="Times New Roman" w:cstheme="minorBidi"/>
          <w:i/>
        </w:rPr>
        <w:t>Nicotiana benthamiana</w:t>
      </w:r>
      <w:r w:rsidRPr="00054C86">
        <w:rPr>
          <w:rFonts w:ascii="Times New Roman" w:eastAsia="Times New Roman" w:hAnsi="Times New Roman" w:cstheme="minorBidi"/>
        </w:rPr>
        <w:t xml:space="preserve">, </w:t>
      </w:r>
      <w:r w:rsidRPr="00054C86">
        <w:rPr>
          <w:rFonts w:ascii="Times New Roman" w:eastAsia="Times New Roman" w:hAnsi="Times New Roman" w:cstheme="minorBidi"/>
          <w:i/>
        </w:rPr>
        <w:t>Eruca sativa</w:t>
      </w:r>
      <w:r w:rsidRPr="00054C86">
        <w:rPr>
          <w:rFonts w:ascii="Times New Roman" w:eastAsia="Times New Roman" w:hAnsi="Times New Roman" w:cstheme="minorBidi"/>
        </w:rPr>
        <w:t xml:space="preserve">, </w:t>
      </w:r>
      <w:r w:rsidRPr="00054C86">
        <w:rPr>
          <w:rFonts w:ascii="Times New Roman" w:eastAsia="Times New Roman" w:hAnsi="Times New Roman" w:cstheme="minorBidi"/>
          <w:i/>
        </w:rPr>
        <w:t>Triticum aestivum</w:t>
      </w:r>
      <w:r w:rsidRPr="00054C86">
        <w:rPr>
          <w:rFonts w:ascii="Times New Roman" w:eastAsia="Times New Roman" w:hAnsi="Times New Roman" w:cstheme="minorBidi"/>
        </w:rPr>
        <w:t xml:space="preserve">, and </w:t>
      </w:r>
      <w:r w:rsidRPr="00054C86">
        <w:rPr>
          <w:rFonts w:ascii="Times New Roman" w:eastAsia="Times New Roman" w:hAnsi="Times New Roman" w:cstheme="minorBidi"/>
          <w:i/>
        </w:rPr>
        <w:t>Gossypium hirsutum</w:t>
      </w:r>
      <w:r w:rsidRPr="00054C86">
        <w:rPr>
          <w:rFonts w:ascii="Times New Roman" w:eastAsia="Times New Roman" w:hAnsi="Times New Roman" w:cstheme="minorBidi"/>
        </w:rPr>
        <w:t xml:space="preserve"> leaves </w:t>
      </w:r>
      <w:r w:rsidR="00AD2A57">
        <w:rPr>
          <w:rFonts w:ascii="Times New Roman" w:eastAsia="Times New Roman" w:hAnsi="Times New Roman" w:cstheme="minorBidi"/>
        </w:rPr>
        <w:fldChar w:fldCharType="begin" w:fldLock="1"/>
      </w:r>
      <w:r w:rsidR="00AD2A57">
        <w:rPr>
          <w:rFonts w:ascii="Times New Roman" w:eastAsia="Times New Roman" w:hAnsi="Times New Roman" w:cstheme="minorBidi"/>
        </w:rPr>
        <w:instrText>ADDIN CSL_CITATION {"citationItems":[{"id":"ITEM-1","itemData":{"DOI":"10.2139/ssrn.3352632","ISSN":"1556-5068","author":[{"dropping-particle":"","family":"Demirer","given":"Gozde","non-dropping-particle":"","parse-names":false,"suffix":""},{"dropping-particle":"","family":"Zhang","given":"Huan","non-dropping-particle":"","parse-names":false,"suffix":""},{"dropping-particle":"","family":"Goh","given":"Natalie","non-dropping-particle":"","parse-names":false,"suffix":""},{"dropping-particle":"","family":"Chang","given":"Roger","non-dropping-particle":"","parse-names":false,"suffix":""},{"dropping-particle":"","family":"Landry","given":"Markita","non-dropping-particle":"","parse-names":false,"suffix":""}],"container-title":"SSRN Electronic Journal","id":"ITEM-1","issued":{"date-parts":[["2019"]]},"title":"Nanotubes Effectively Deliver siRNA to Intact Plant Cells and Protect siRNA Against Nuclease Degradation","type":"article-journal"},"uris":["http://www.mendeley.com/documents/?uuid=3f6cd3eb-1698-48db-81c5-89d6ec3c5550"]}],"mendeley":{"formattedCitation":"(Demirer et al., 2019)","plainTextFormattedCitation":"(Demirer et al., 2019)","previouslyFormattedCitation":"(Demirer et al., 2019)"},"properties":{"noteIndex":0},"schema":"https://github.com/citation-style-language/schema/raw/master/csl-citation.json"}</w:instrText>
      </w:r>
      <w:r w:rsidR="00AD2A57">
        <w:rPr>
          <w:rFonts w:ascii="Times New Roman" w:eastAsia="Times New Roman" w:hAnsi="Times New Roman" w:cstheme="minorBidi"/>
        </w:rPr>
        <w:fldChar w:fldCharType="separate"/>
      </w:r>
      <w:r w:rsidR="00AD2A57" w:rsidRPr="00AD2A57">
        <w:rPr>
          <w:rFonts w:ascii="Times New Roman" w:eastAsia="Times New Roman" w:hAnsi="Times New Roman" w:cstheme="minorBidi"/>
          <w:noProof/>
        </w:rPr>
        <w:t>(Demirer et al., 2019)</w:t>
      </w:r>
      <w:r w:rsidR="00AD2A57">
        <w:rPr>
          <w:rFonts w:ascii="Times New Roman" w:eastAsia="Times New Roman" w:hAnsi="Times New Roman" w:cstheme="minorBidi"/>
        </w:rPr>
        <w:fldChar w:fldCharType="end"/>
      </w:r>
      <w:r w:rsidRPr="00054C86">
        <w:rPr>
          <w:rFonts w:ascii="Times New Roman" w:eastAsia="Times New Roman" w:hAnsi="Times New Roman" w:cstheme="minorBidi"/>
        </w:rPr>
        <w:t xml:space="preserve">. An efficient nanoparticle-based transient gene transformation protocol was also developed where multiple gene plasmids were expressed simultaneously in intact </w:t>
      </w:r>
      <w:r w:rsidRPr="00054C86">
        <w:rPr>
          <w:rFonts w:ascii="Times New Roman" w:eastAsia="Times New Roman" w:hAnsi="Times New Roman" w:cstheme="minorBidi"/>
          <w:i/>
        </w:rPr>
        <w:t>Cannabis sativa</w:t>
      </w:r>
      <w:r w:rsidRPr="00054C86">
        <w:rPr>
          <w:rFonts w:ascii="Times New Roman" w:eastAsia="Times New Roman" w:hAnsi="Times New Roman" w:cstheme="minorBidi"/>
        </w:rPr>
        <w:t xml:space="preserve"> leaves </w:t>
      </w:r>
      <w:r w:rsidR="00AD2A57">
        <w:rPr>
          <w:rFonts w:ascii="Times New Roman" w:eastAsia="Times New Roman" w:hAnsi="Times New Roman" w:cstheme="minorBidi"/>
        </w:rPr>
        <w:fldChar w:fldCharType="begin" w:fldLock="1"/>
      </w:r>
      <w:r w:rsidR="00AD2A57">
        <w:rPr>
          <w:rFonts w:ascii="Times New Roman" w:eastAsia="Times New Roman" w:hAnsi="Times New Roman" w:cstheme="minorBidi"/>
        </w:rPr>
        <w:instrText>ADDIN CSL_CITATION {"citationItems":[{"id":"ITEM-1","itemData":{"DOI":"10.1016/j.jbiotec.2020.12.014","ISSN":"18734863","PMID":"33373624","abstract":"Cannabis sativa (Cannabis) is a multipurpose plant species consisting of specific lineages that for centuries has either been artificially selected for the production of fiber or the psychoactive drug $Δ$9-tetrahydrocannabinol (THC). With the recent lifting of previous legal restrictions on consuming Cannabis, there has been a resurgence of interest in understanding and manipulating Cannabis genetics to enhance its compositions. Yet, recently developed approaches are not amenable to high-throughput gene stacking to study multi-genic traits. Here, we demonstrate an efficient nanoparticle-based transient gene transformation protocol where multiple gene plasmids can be expressed simultaneously in intact Cannabis leaf cells in a very short time (5 days). Constructs encoding two soybean transcription factors were co-grafted onto poly-ethylenimine cationic polymer-modified silicon dioxide-coated gold nanoparticles (PEI-Au@SiO2). Infiltration of the DNA-PEI-Au@SiO2 into Cannabis leaf tissues resulted in the transcription of both soybean genes and the localization of fluorescent-tagged transcription factor proteins in the nuclei of Cannabis leaf cells including the trichomes, which are the cell types that biosynthesize valuable cannabinoid and terpene metabolites. Our study exemplifies a rapid transient gene transformation approach that will be useful to study the effects of gene stacking in Cannabis.","author":[{"dropping-particle":"","family":"Ahmed","given":"Sajjad","non-dropping-particle":"","parse-names":false,"suffix":""},{"dropping-particle":"","family":"Gao","given":"Xuefei","non-dropping-particle":"","parse-names":false,"suffix":""},{"dropping-particle":"","family":"Jahan","given":"Md Asraful","non-dropping-particle":"","parse-names":false,"suffix":""},{"dropping-particle":"","family":"Adams","given":"Maxwell","non-dropping-particle":"","parse-names":false,"suffix":""},{"dropping-particle":"","family":"Wu","given":"Nianqiang","non-dropping-particle":"","parse-names":false,"suffix":""},{"dropping-particle":"","family":"Kovinich","given":"Nik","non-dropping-particle":"","parse-names":false,"suffix":""}],"container-title":"Journal of Biotechnology","id":"ITEM-1","issued":{"date-parts":[["2021","1"]]},"page":"48-51","publisher":"Elsevier B.V.","title":"Nanoparticle-based genetic transformation of Cannabis sativa","type":"article-journal","volume":"326"},"uris":["http://www.mendeley.com/documents/?uuid=34e70275-b1dd-4255-94e4-6d1f4b3ecf4a"]}],"mendeley":{"formattedCitation":"(Ahmed et al., 2021)","plainTextFormattedCitation":"(Ahmed et al., 2021)","previouslyFormattedCitation":"(Ahmed et al., 2021)"},"properties":{"noteIndex":0},"schema":"https://github.com/citation-style-language/schema/raw/master/csl-citation.json"}</w:instrText>
      </w:r>
      <w:r w:rsidR="00AD2A57">
        <w:rPr>
          <w:rFonts w:ascii="Times New Roman" w:eastAsia="Times New Roman" w:hAnsi="Times New Roman" w:cstheme="minorBidi"/>
        </w:rPr>
        <w:fldChar w:fldCharType="separate"/>
      </w:r>
      <w:r w:rsidR="00AD2A57" w:rsidRPr="00AD2A57">
        <w:rPr>
          <w:rFonts w:ascii="Times New Roman" w:eastAsia="Times New Roman" w:hAnsi="Times New Roman" w:cstheme="minorBidi"/>
          <w:noProof/>
        </w:rPr>
        <w:t>(Ahmed et al., 2021)</w:t>
      </w:r>
      <w:r w:rsidR="00AD2A57">
        <w:rPr>
          <w:rFonts w:ascii="Times New Roman" w:eastAsia="Times New Roman" w:hAnsi="Times New Roman" w:cstheme="minorBidi"/>
        </w:rPr>
        <w:fldChar w:fldCharType="end"/>
      </w:r>
      <w:r w:rsidRPr="00054C86">
        <w:rPr>
          <w:rFonts w:ascii="Times New Roman" w:eastAsia="Times New Roman" w:hAnsi="Times New Roman" w:cstheme="minorBidi"/>
        </w:rPr>
        <w:t xml:space="preserve">. DNA nanostructure are also being assessed as a biomolecule delivery method. Zhang et al. </w:t>
      </w:r>
      <w:r w:rsidR="00AD2A57">
        <w:rPr>
          <w:rFonts w:ascii="Times New Roman" w:eastAsia="Times New Roman" w:hAnsi="Times New Roman" w:cstheme="minorBidi"/>
        </w:rPr>
        <w:fldChar w:fldCharType="begin" w:fldLock="1"/>
      </w:r>
      <w:r w:rsidR="00D94830">
        <w:rPr>
          <w:rFonts w:ascii="Times New Roman" w:eastAsia="Times New Roman" w:hAnsi="Times New Roman" w:cstheme="minorBidi"/>
        </w:rPr>
        <w:instrText>ADDIN CSL_CITATION {"citationItems":[{"id":"ITEM-1","itemData":{"DOI":"10.1073/pnas.1818290116","ISSN":"10916490","PMID":"30910954","abstract":"Delivery of biomolecules to plants relies on Agrobacterium infection or biolistic particle delivery, the former of which is amenable only to DNA delivery. The difficulty in delivering functional biomolecules such as RNA to plant cells is due to the plant cell wall, which is absent in mammalian cells and poses the dominant physical barrier to biomolecule delivery in plants. DNA nanostructure-mediated biomolecule delivery is an effective strategy to deliver cargoes across the lipid bilayer of mammalian cells; however, nanoparticle-mediated delivery without external mechanical aid remains unexplored for biomolecule delivery across the cell wall in plants. Herein, we report a systematic assessment of different DNA nanostructures for their ability to internalize into cells of mature plants, deliver siRNAs, and effectively silence a constitu-tively expressed gene in Nicotiana benthamiana leaves. We show that nanostructure internalization into plant cells and corresponding gene silencing efficiency depends on the DNA nanostructure size, shape, compactness, stiffness, and location of the siRNA attachment locus on the nanostructure. We further confirm that the internalization efficiency of DNA nanostructures correlates with their respective gene silencing efficiencies but that the endogenous gene silencing pathway depends on the siRNA attachment locus. Our work establishes the feasibility of biomolecule delivery to plants with DNA nanostructures and both details the design parameters of importance for plant cell internalization and also assesses the impact of DNA nanostructure geometry for gene silencing mechanisms.","author":[{"dropping-particle":"","family":"Zhang","given":"Huan","non-dropping-particle":"","parse-names":false,"suffix":""},{"dropping-particle":"","family":"Demirer","given":"Gozde S","non-dropping-particle":"","parse-names":false,"suffix":""},{"dropping-particle":"","family":"Zhang","given":"Honglu","non-dropping-particle":"","parse-names":false,"suffix":""},{"dropping-particle":"","family":"Ye","given":"Tianzheng","non-dropping-particle":"","parse-names":false,"suffix":""},{"dropping-particle":"","family":"Goh","given":"Natalie S","non-dropping-particle":"","parse-names":false,"suffix":""},{"dropping-particle":"","family":"Aditham","given":"Abhishek J","non-dropping-particle":"","parse-names":false,"suffix":""},{"dropping-particle":"","family":"Cunningham","given":"Francis J","non-dropping-particle":"","parse-names":false,"suffix":""},{"dropping-particle":"","family":"Fan","given":"Chunhai","non-dropping-particle":"","parse-names":false,"suffix":""},{"dropping-particle":"","family":"Landry","given":"Markita P","non-dropping-particle":"","parse-names":false,"suffix":""}],"container-title":"Proceedings of the National Academy of Sciences of the United States of America","id":"ITEM-1","issue":"15","issued":{"date-parts":[["2019","4"]]},"page":"7543-7548","publisher":"National Academy of Sciences","title":"DNA nanostructures coordinate gene silencing in mature plants","type":"article-journal","volume":"116"},"uris":["http://www.mendeley.com/documents/?uuid=0bbdc46d-2129-486c-bfd0-d4989ed561b2"]}],"mendeley":{"formattedCitation":"(H. Zhang et al., 2019)","manualFormatting":"(2019)","plainTextFormattedCitation":"(H. Zhang et al., 2019)","previouslyFormattedCitation":"(H. Zhang et al., 2019)"},"properties":{"noteIndex":0},"schema":"https://github.com/citation-style-language/schema/raw/master/csl-citation.json"}</w:instrText>
      </w:r>
      <w:r w:rsidR="00AD2A57">
        <w:rPr>
          <w:rFonts w:ascii="Times New Roman" w:eastAsia="Times New Roman" w:hAnsi="Times New Roman" w:cstheme="minorBidi"/>
        </w:rPr>
        <w:fldChar w:fldCharType="separate"/>
      </w:r>
      <w:r w:rsidR="00AD2A57" w:rsidRPr="00AD2A57">
        <w:rPr>
          <w:rFonts w:ascii="Times New Roman" w:eastAsia="Times New Roman" w:hAnsi="Times New Roman" w:cstheme="minorBidi"/>
          <w:noProof/>
        </w:rPr>
        <w:t>(2019)</w:t>
      </w:r>
      <w:r w:rsidR="00AD2A57">
        <w:rPr>
          <w:rFonts w:ascii="Times New Roman" w:eastAsia="Times New Roman" w:hAnsi="Times New Roman" w:cstheme="minorBidi"/>
        </w:rPr>
        <w:fldChar w:fldCharType="end"/>
      </w:r>
      <w:r w:rsidRPr="00054C86">
        <w:rPr>
          <w:rFonts w:ascii="Times New Roman" w:eastAsia="Times New Roman" w:hAnsi="Times New Roman" w:cstheme="minorBidi"/>
        </w:rPr>
        <w:t xml:space="preserve"> delivered siRNA and effectively silenced a constitutively expressed gene in </w:t>
      </w:r>
      <w:r w:rsidRPr="00054C86">
        <w:rPr>
          <w:rFonts w:ascii="Times New Roman" w:eastAsia="Times New Roman" w:hAnsi="Times New Roman" w:cstheme="minorBidi"/>
          <w:i/>
        </w:rPr>
        <w:t>Nicotiana benthamiana</w:t>
      </w:r>
      <w:r w:rsidRPr="00054C86">
        <w:rPr>
          <w:rFonts w:ascii="Times New Roman" w:eastAsia="Times New Roman" w:hAnsi="Times New Roman" w:cstheme="minorBidi"/>
        </w:rPr>
        <w:t xml:space="preserve"> leaves using a DNA nanostructure. </w:t>
      </w:r>
    </w:p>
    <w:p w14:paraId="11660818" w14:textId="577AA15F" w:rsidR="00054C86" w:rsidRPr="00494E5B" w:rsidRDefault="00054C86" w:rsidP="00B048B9">
      <w:pPr>
        <w:pStyle w:val="Heading5"/>
        <w:numPr>
          <w:ilvl w:val="0"/>
          <w:numId w:val="210"/>
        </w:numPr>
        <w:ind w:left="284" w:hanging="284"/>
        <w:rPr>
          <w:i w:val="0"/>
        </w:rPr>
      </w:pPr>
      <w:r w:rsidRPr="00054C86">
        <w:t>Genetically engineered plants to produce recombinant polyclonal antibodies against snake venom toxins.</w:t>
      </w:r>
    </w:p>
    <w:p w14:paraId="12513014" w14:textId="46E9BC8C" w:rsidR="00054C86" w:rsidRPr="00054C86" w:rsidRDefault="00054C86" w:rsidP="00B048B9">
      <w:pPr>
        <w:spacing w:before="120" w:after="120" w:line="240" w:lineRule="auto"/>
        <w:contextualSpacing/>
        <w:jc w:val="both"/>
        <w:rPr>
          <w:rFonts w:ascii="Times New Roman" w:eastAsia="Times New Roman" w:hAnsi="Times New Roman" w:cstheme="minorBidi"/>
          <w:i/>
          <w:iCs/>
          <w:lang w:eastAsia="ar-SA"/>
        </w:rPr>
      </w:pPr>
      <w:r w:rsidRPr="000B2ACC">
        <w:rPr>
          <w:rFonts w:ascii="Times New Roman" w:eastAsia="Times New Roman" w:hAnsi="Times New Roman" w:cstheme="minorBidi"/>
          <w:lang w:val="en-US" w:eastAsia="ar-SA"/>
        </w:rPr>
        <w:t xml:space="preserve">Julve Parreño et al </w:t>
      </w:r>
      <w:r w:rsidRPr="00285937">
        <w:rPr>
          <w:rFonts w:ascii="Times New Roman" w:eastAsia="Times New Roman" w:hAnsi="Times New Roman" w:cstheme="minorBidi"/>
          <w:lang w:eastAsia="ar-SA"/>
        </w:rPr>
        <w:fldChar w:fldCharType="begin" w:fldLock="1"/>
      </w:r>
      <w:r w:rsidR="008F6A90" w:rsidRPr="000B2ACC">
        <w:rPr>
          <w:rFonts w:ascii="Times New Roman" w:eastAsia="Times New Roman" w:hAnsi="Times New Roman" w:cstheme="minorBidi"/>
          <w:lang w:val="en-US" w:eastAsia="ar-SA"/>
        </w:rPr>
        <w:instrText>ADDIN CSL_CITATION {"citationItems":[{"id":"ITEM-1","itemData":{"DOI":"10.1111/pbi.12823","ISSN":"14677644","author":[{"dropping-particle":"","family":"Julve Parreño","given":"Jose Manuel","non-dropping-particle":"","parse-names":false,"suffix":""},{"dropping-particle":"","family":"Huet","given":"Estefanía","non-dropping-particle":"","parse-names":false,"suffix":""},{"dropping-particle":"","family":"Fernández-del-Carmen","given":"Asun","non-dropping-particle":"","parse-names":false,"suffix":""},{"dropping-particle":"","family":"Segura","given":"Alvaro","non-dropping-particle":"","parse-names":false,"suffix":""},{"dropping-particle":"","family":"Venturi","given":"Micol","non-dropping-particle":"","parse-names":false,"suffix":""},{"dropping-particle":"","family":"Gandía","given":"Antoni","non-dropping-particle":"","parse-names":false,"suffix":""},{"dropping-particle":"","family":"Pan","given":"Wei-song","non-dropping-particle":"","parse-names":false,"suffix":""},{"dropping-particle":"","family":"Albaladejo","given":"Irene","non-dropping-particle":"","parse-names":false,"suffix":""},{"dropping-particle":"","family":"Forment","given":"Javier","non-dropping-particle":"","parse-names":false,"suffix":""},{"dropping-particle":"","family":"Pla","given":"Davinia","non-dropping-particle":"","parse-names":false,"suffix":""},{"dropping-particle":"","family":"Wigdorovitz","given":"Andrés","non-dropping-particle":"","parse-names":false,"suffix":""},{"dropping-particle":"","family":"Calvete","given":"Juan J.","non-dropping-particle":"","parse-names":false,"suffix":""},{"dropping-particle":"","family":"Gutiérrez","given":"Carlos","non-dropping-particle":"","parse-names":false,"suffix":""},{"dropping-particle":"","family":"Gutiérrez","given":"José María","non-dropping-particle":"","parse-names":false,"suffix":""},{"dropping-particle":"","family":"Granell","given":"Antonio","non-dropping-particle":"","parse-names":false,"suffix":""},{"dropping-particle":"","family":"Orzáez","given":"Diego","non-dropping-particle":"","parse-names":false,"suffix":""}],"container-title":"Plant Biotechnology Journal","id":"ITEM-1","issue":"3","issued":{"date-parts":[["2018","3"]]},"page":"727-736","title":"A synthetic biology approach for consistent production of plant-made recombinant polyclonal antibodies against snake venom toxins","type":"article-journal","volume":"16"},"uris":["http://www.mendeley.com/documents/?uuid=0c91be7a-9d99-4451-b493-776693c0fa4a"]}],"mendeley":{"formattedCitation":"(Julve Parreño et al., 2018)","manualFormatting":"(2018)","plainTextFormattedCitation":"(Julve Parreño et al., 2018)","previouslyFormattedCitation":"(Julve Parreño et al., 2018)"},"properties":{"noteIndex":0},"schema":"https://github.com/citation-style-language/schema/raw/master/csl-citation.json"}</w:instrText>
      </w:r>
      <w:r w:rsidRPr="00285937">
        <w:rPr>
          <w:rFonts w:ascii="Times New Roman" w:eastAsia="Times New Roman" w:hAnsi="Times New Roman" w:cstheme="minorBidi"/>
          <w:lang w:eastAsia="ar-SA"/>
        </w:rPr>
        <w:fldChar w:fldCharType="separate"/>
      </w:r>
      <w:r w:rsidRPr="000B2ACC">
        <w:rPr>
          <w:rFonts w:ascii="Times New Roman" w:eastAsia="Times New Roman" w:hAnsi="Times New Roman" w:cstheme="minorBidi"/>
          <w:noProof/>
          <w:lang w:val="en-US" w:eastAsia="ar-SA"/>
        </w:rPr>
        <w:t>(2018)</w:t>
      </w:r>
      <w:r w:rsidRPr="00285937">
        <w:rPr>
          <w:rFonts w:ascii="Times New Roman" w:eastAsia="Times New Roman" w:hAnsi="Times New Roman" w:cstheme="minorBidi"/>
          <w:lang w:eastAsia="ar-SA"/>
        </w:rPr>
        <w:fldChar w:fldCharType="end"/>
      </w:r>
      <w:r w:rsidRPr="000B2ACC">
        <w:rPr>
          <w:rFonts w:ascii="Times New Roman" w:eastAsia="Times New Roman" w:hAnsi="Times New Roman" w:cstheme="minorBidi"/>
          <w:lang w:val="en-US" w:eastAsia="ar-SA"/>
        </w:rPr>
        <w:t xml:space="preserve"> described a</w:t>
      </w:r>
      <w:r w:rsidR="00E05551" w:rsidRPr="000B2ACC">
        <w:rPr>
          <w:rFonts w:ascii="Times New Roman" w:eastAsia="Times New Roman" w:hAnsi="Times New Roman" w:cstheme="minorBidi"/>
          <w:lang w:val="en-US" w:eastAsia="ar-SA"/>
        </w:rPr>
        <w:t>n</w:t>
      </w:r>
      <w:r w:rsidRPr="000B2ACC">
        <w:rPr>
          <w:rFonts w:ascii="Times New Roman" w:eastAsia="Times New Roman" w:hAnsi="Times New Roman" w:cstheme="minorBidi"/>
          <w:lang w:val="en-US" w:eastAsia="ar-SA"/>
        </w:rPr>
        <w:t xml:space="preserve"> synthetic biology approach  affordable and cost‐effective antivenom production based on plant‐made recombinant polyclonal antibodies. </w:t>
      </w:r>
      <w:r w:rsidRPr="3CBB9A12">
        <w:rPr>
          <w:rFonts w:ascii="Times New Roman" w:eastAsia="Times New Roman" w:hAnsi="Times New Roman" w:cstheme="minorBidi"/>
          <w:lang w:eastAsia="ar-SA"/>
        </w:rPr>
        <w:t>This approach has the potential to overcome the shortage of supply of antivenoms developed from the plasma of hyperimmunised animals, the only effective treatment currently available against snakebite envenomation.</w:t>
      </w:r>
    </w:p>
    <w:p w14:paraId="4FAE1AF3" w14:textId="6AF0CA06" w:rsidR="00054C86" w:rsidRPr="00E767FC" w:rsidRDefault="00054C86" w:rsidP="00C01985">
      <w:pPr>
        <w:pStyle w:val="Heading3"/>
        <w:spacing w:before="240"/>
      </w:pPr>
      <w:bookmarkStart w:id="68" w:name="_Toc70112681"/>
      <w:bookmarkStart w:id="69" w:name="_Toc70685703"/>
      <w:r>
        <w:rPr>
          <w:lang w:val="en-US"/>
        </w:rPr>
        <w:t>3</w:t>
      </w:r>
      <w:r>
        <w:t xml:space="preserve">.3. </w:t>
      </w:r>
      <w:r w:rsidR="00F427C9" w:rsidRPr="650977DD">
        <w:rPr>
          <w:lang w:val="en-GB"/>
        </w:rPr>
        <w:t>S</w:t>
      </w:r>
      <w:r w:rsidR="00F427C9">
        <w:t>ynthetic biology applications in containment, industrial processes, or laboratory settings</w:t>
      </w:r>
      <w:r w:rsidR="005C55D2">
        <w:t>.</w:t>
      </w:r>
      <w:bookmarkEnd w:id="68"/>
      <w:bookmarkEnd w:id="69"/>
    </w:p>
    <w:p w14:paraId="654CB225" w14:textId="176C8678" w:rsidR="00054C86" w:rsidRPr="00F03DEC" w:rsidRDefault="003D6125" w:rsidP="00C01985">
      <w:pPr>
        <w:pStyle w:val="Heading4"/>
        <w:spacing w:before="240"/>
        <w:rPr>
          <w:b w:val="0"/>
          <w:i w:val="0"/>
        </w:rPr>
      </w:pPr>
      <w:r w:rsidRPr="00346588">
        <w:rPr>
          <w:bCs w:val="0"/>
          <w:i w:val="0"/>
        </w:rPr>
        <w:t>3</w:t>
      </w:r>
      <w:r w:rsidR="00054C86" w:rsidRPr="00346588">
        <w:rPr>
          <w:bCs w:val="0"/>
          <w:i w:val="0"/>
        </w:rPr>
        <w:t>.3.1. Commercially available</w:t>
      </w:r>
      <w:r w:rsidR="007776DB" w:rsidRPr="00F03DEC">
        <w:rPr>
          <w:b w:val="0"/>
          <w:i w:val="0"/>
        </w:rPr>
        <w:t>.</w:t>
      </w:r>
    </w:p>
    <w:p w14:paraId="4A5B156D" w14:textId="35330390" w:rsidR="00054C86" w:rsidRPr="00054C86" w:rsidRDefault="003D2EF7" w:rsidP="003D2EF7">
      <w:pPr>
        <w:pStyle w:val="Heading5"/>
        <w:tabs>
          <w:tab w:val="clear" w:pos="1800"/>
        </w:tabs>
        <w:ind w:left="284" w:hanging="284"/>
      </w:pPr>
      <w:r>
        <w:rPr>
          <w:i w:val="0"/>
          <w:iCs/>
        </w:rPr>
        <w:t xml:space="preserve">(a) </w:t>
      </w:r>
      <w:r w:rsidR="00054C86" w:rsidRPr="00054C86">
        <w:t>Biopharma</w:t>
      </w:r>
      <w:r w:rsidR="007776DB">
        <w:t>.</w:t>
      </w:r>
    </w:p>
    <w:p w14:paraId="126E1AC5" w14:textId="48A865C2" w:rsidR="00BE5F5A" w:rsidRPr="00B23EE5" w:rsidRDefault="00BE5F5A" w:rsidP="00A508EC">
      <w:pPr>
        <w:numPr>
          <w:ilvl w:val="1"/>
          <w:numId w:val="168"/>
        </w:numPr>
        <w:spacing w:after="120" w:line="240" w:lineRule="auto"/>
        <w:ind w:left="284" w:hanging="284"/>
        <w:jc w:val="both"/>
        <w:rPr>
          <w:rFonts w:ascii="Times New Roman" w:eastAsia="Times New Roman" w:hAnsi="Times New Roman" w:cstheme="minorBidi"/>
          <w:i/>
          <w:iCs/>
          <w:lang w:eastAsia="ar-SA"/>
        </w:rPr>
      </w:pPr>
      <w:r>
        <w:rPr>
          <w:rFonts w:ascii="Times New Roman" w:eastAsia="Times New Roman" w:hAnsi="Times New Roman" w:cstheme="minorBidi"/>
        </w:rPr>
        <w:t xml:space="preserve">Semi-synthetic </w:t>
      </w:r>
      <w:r w:rsidR="00054C86" w:rsidRPr="650977DD">
        <w:rPr>
          <w:rFonts w:ascii="Times New Roman" w:eastAsia="Times New Roman" w:hAnsi="Times New Roman" w:cstheme="minorBidi"/>
        </w:rPr>
        <w:t xml:space="preserve">artemenisin </w:t>
      </w:r>
      <w:r>
        <w:rPr>
          <w:rFonts w:ascii="Times New Roman" w:eastAsia="Times New Roman" w:hAnsi="Times New Roman" w:cstheme="minorBidi"/>
        </w:rPr>
        <w:t>(</w:t>
      </w:r>
      <w:r w:rsidRPr="005F1592">
        <w:rPr>
          <w:rFonts w:ascii="Times New Roman" w:eastAsia="Times New Roman" w:hAnsi="Times New Roman" w:cstheme="minorBidi"/>
          <w:i/>
          <w:iCs/>
        </w:rPr>
        <w:t>Amyris</w:t>
      </w:r>
      <w:r>
        <w:rPr>
          <w:rFonts w:ascii="Times New Roman" w:eastAsia="Times New Roman" w:hAnsi="Times New Roman" w:cstheme="minorBidi"/>
        </w:rPr>
        <w:t>)</w:t>
      </w:r>
      <w:r w:rsidR="000843E2">
        <w:rPr>
          <w:rFonts w:ascii="Times New Roman" w:eastAsia="Times New Roman" w:hAnsi="Times New Roman" w:cstheme="minorBidi"/>
        </w:rPr>
        <w:t>.</w:t>
      </w:r>
    </w:p>
    <w:p w14:paraId="2351C43A" w14:textId="47D99D5F" w:rsidR="00054C86" w:rsidRPr="00054C86" w:rsidRDefault="00FD2A4D" w:rsidP="00A508EC">
      <w:pPr>
        <w:spacing w:after="120" w:line="240" w:lineRule="auto"/>
        <w:ind w:left="284"/>
        <w:jc w:val="both"/>
        <w:rPr>
          <w:rFonts w:ascii="Times New Roman" w:eastAsia="Times New Roman" w:hAnsi="Times New Roman" w:cstheme="minorBidi"/>
          <w:i/>
          <w:iCs/>
          <w:lang w:eastAsia="ar-SA"/>
        </w:rPr>
      </w:pPr>
      <w:r>
        <w:rPr>
          <w:rFonts w:ascii="Times New Roman" w:eastAsia="Times New Roman" w:hAnsi="Times New Roman" w:cstheme="minorBidi"/>
        </w:rPr>
        <w:t>Y</w:t>
      </w:r>
      <w:r w:rsidRPr="650977DD">
        <w:rPr>
          <w:rFonts w:ascii="Times New Roman" w:eastAsia="Times New Roman" w:hAnsi="Times New Roman" w:cstheme="minorBidi"/>
        </w:rPr>
        <w:t xml:space="preserve">east </w:t>
      </w:r>
      <w:r w:rsidR="006BD9B7" w:rsidRPr="650977DD">
        <w:rPr>
          <w:rFonts w:ascii="Times New Roman" w:eastAsia="Times New Roman" w:hAnsi="Times New Roman" w:cstheme="minorBidi"/>
        </w:rPr>
        <w:t>metabolism</w:t>
      </w:r>
      <w:r w:rsidR="002A1F5D">
        <w:rPr>
          <w:rFonts w:ascii="Times New Roman" w:eastAsia="Times New Roman" w:hAnsi="Times New Roman" w:cstheme="minorBidi"/>
        </w:rPr>
        <w:t xml:space="preserve"> </w:t>
      </w:r>
      <w:r>
        <w:rPr>
          <w:rFonts w:ascii="Times New Roman" w:eastAsia="Times New Roman" w:hAnsi="Times New Roman" w:cstheme="minorBidi"/>
        </w:rPr>
        <w:t>was engineered</w:t>
      </w:r>
      <w:r w:rsidR="002A1F5D">
        <w:rPr>
          <w:rFonts w:ascii="Times New Roman" w:eastAsia="Times New Roman" w:hAnsi="Times New Roman" w:cstheme="minorBidi"/>
        </w:rPr>
        <w:t xml:space="preserve"> to </w:t>
      </w:r>
      <w:r w:rsidR="009F6945">
        <w:rPr>
          <w:rFonts w:ascii="Times New Roman" w:eastAsia="Times New Roman" w:hAnsi="Times New Roman" w:cstheme="minorBidi"/>
        </w:rPr>
        <w:t xml:space="preserve">express the biosynthetic pathway </w:t>
      </w:r>
      <w:r w:rsidR="005F64D0">
        <w:rPr>
          <w:rFonts w:ascii="Times New Roman" w:eastAsia="Times New Roman" w:hAnsi="Times New Roman" w:cstheme="minorBidi"/>
        </w:rPr>
        <w:t>to produce</w:t>
      </w:r>
      <w:r>
        <w:rPr>
          <w:rFonts w:ascii="Times New Roman" w:eastAsia="Times New Roman" w:hAnsi="Times New Roman" w:cstheme="minorBidi"/>
        </w:rPr>
        <w:t xml:space="preserve"> the anti-malarial compound artemenisin.</w:t>
      </w:r>
      <w:r w:rsidR="006BD9B7" w:rsidRPr="650977DD">
        <w:rPr>
          <w:rFonts w:ascii="Times New Roman" w:eastAsia="Times New Roman" w:hAnsi="Times New Roman" w:cstheme="minorBidi"/>
        </w:rPr>
        <w:t xml:space="preserve"> </w:t>
      </w:r>
      <w:r>
        <w:rPr>
          <w:rFonts w:ascii="Times New Roman" w:eastAsia="Times New Roman" w:hAnsi="Times New Roman" w:cstheme="minorBidi"/>
        </w:rPr>
        <w:t>C</w:t>
      </w:r>
      <w:r w:rsidR="006BD9B7" w:rsidRPr="650977DD">
        <w:rPr>
          <w:rFonts w:ascii="Times New Roman" w:eastAsia="Times New Roman" w:hAnsi="Times New Roman" w:cstheme="minorBidi"/>
        </w:rPr>
        <w:t xml:space="preserve">ommercial production </w:t>
      </w:r>
      <w:r>
        <w:rPr>
          <w:rFonts w:ascii="Times New Roman" w:eastAsia="Times New Roman" w:hAnsi="Times New Roman" w:cstheme="minorBidi"/>
        </w:rPr>
        <w:t>began in</w:t>
      </w:r>
      <w:r w:rsidR="35337639" w:rsidRPr="650977DD">
        <w:rPr>
          <w:rFonts w:ascii="Times New Roman" w:eastAsia="Times New Roman" w:hAnsi="Times New Roman" w:cstheme="minorBidi"/>
        </w:rPr>
        <w:t xml:space="preserve"> 2013</w:t>
      </w:r>
      <w:r w:rsidR="00054C86" w:rsidRPr="650977DD">
        <w:rPr>
          <w:rFonts w:ascii="Times New Roman" w:eastAsia="Times New Roman" w:hAnsi="Times New Roman" w:cstheme="minorBidi"/>
        </w:rPr>
        <w:t xml:space="preserve"> </w:t>
      </w:r>
      <w:r w:rsidR="002F5652">
        <w:rPr>
          <w:rFonts w:ascii="Times New Roman" w:eastAsia="Times New Roman" w:hAnsi="Times New Roman" w:cstheme="minorBidi"/>
        </w:rPr>
        <w:fldChar w:fldCharType="begin" w:fldLock="1"/>
      </w:r>
      <w:r w:rsidR="002F5652">
        <w:rPr>
          <w:rFonts w:ascii="Times New Roman" w:eastAsia="Times New Roman" w:hAnsi="Times New Roman" w:cstheme="minorBidi"/>
        </w:rPr>
        <w:instrText>ADDIN CSL_CITATION {"citationItems":[{"id":"ITEM-1","itemData":{"DOI":"10.1007/s10529-007-9596-y","ISSN":"01415492","PMID":"18008167","abstract":"Artemisinin, an endoperoxidized sesquiterpene originally extracted from the medicinal plant Artemisia annua L., is a potent malaria-killing agent. Due to the urgent demand and short supply of this new antimalarial drug, engineering enhanced production of artemisinin by genetically-modified or transgenic microbes is currently being explored. Cloning and expression of the artemisinin biosynthetic genes in Saccharomyces cerevisiae and Escherichia coli have led to large-scale microbial production of the artemisinin precursors such as amorpha-4,11-diene and artemisinic acid. Although reconstruction of the complete biosynthetic pathway toward artemisinin in transgenic yeast and bacteria has not been achieved, artemisinic acid available from these transgenic microbes facilitates the subsequent partial synthesis of artemisinin by either chemical or biotransformational process, thereby providing an attractive strategy alternative to the direct extraction of artemisinin from A.annua L. In this review, we update the current trends and summarize the future prospects on genetic engineering of the microorganisms capable of accumulating artemisinin precursors through heterologous and functional expression of the artemisinin biosynthetic genes. ©2007 Springer Science+Business Media B.V.","author":[{"dropping-particle":"","family":"Zeng","given":"Qingping","non-dropping-particle":"","parse-names":false,"suffix":""},{"dropping-particle":"","family":"Qiu","given":"Frank","non-dropping-particle":"","parse-names":false,"suffix":""},{"dropping-particle":"","family":"Yuan","given":"Ling","non-dropping-particle":"","parse-names":false,"suffix":""}],"container-title":"Biotechnology Letters","id":"ITEM-1","issue":"4","issued":{"date-parts":[["2008","4"]]},"page":"581-592","publisher":"Biotechnol Lett","title":"Production of artemisinin by genetically-modified microbes","type":"article","volume":"30"},"uris":["http://www.mendeley.com/documents/?uuid=76aaa853-46be-415e-b107-07603c0bdab4"]},{"id":"ITEM-2","itemData":{"DOI":"10.3389/fpls.2018.00087","ISSN":"1664-462X","abstract":"The antimalarial drug artemisinin is a natural product produced by the plant Artemisia annua. Extracts of A. annua have been used in Chinese herbal medicine for over two millennia. Following the re-discovery of A. annua extract as an effective antimalarial, and the isolation and structural elucidation of artemisinin as the active agent, it was recommended as the first-line treatment for uncomplicated malaria in combination with another effective antimalarial drug (Artemisinin Combination Therapy) by the World Health Organization (WHO) in 2002. Following the WHO recommendation, the availability and price of artemisinin fluctuated greatly, ranging from supply shortfalls in some years to oversupply in others. To alleviate these supply and price issues, a second source of artemisinin was sought, resulting in an effort to produce artemisinic acid, a late-stage chemical precursor of artemisinin, by yeast fermentation, followed by chemical conversion to artemisinin (i.e., semi-synthesis). Engineering to enable production of artemisinic acid in yeast relied on the discovery of A. annua genes encoding artemisinic acid biosynthetic enzymes, and synthetic biology to engineer yeast metabolism. The progress of this effort, which resulted in semi-synthetic artemisinin entering commercial production in 2013, is reviewed with an emphasis on recent publications and opportunities for further development. Aspects of both the biology of artemisinin production in A. annua, and yeast strain engineering are discussed, as are recent developments in the chemical conversion of artemisinic acid to artemisinin.","author":[{"dropping-particle":"","family":"Kung","given":"Stephanie H","non-dropping-particle":"","parse-names":false,"suffix":""},{"dropping-particle":"","family":"Lund","given":"Sean","non-dropping-particle":"","parse-names":false,"suffix":""},{"dropping-particle":"","family":"Murarka","given":"Abhishek","non-dropping-particle":"","parse-names":false,"suffix":""},{"dropping-particle":"","family":"McPhee","given":"Derek","non-dropping-particle":"","parse-names":false,"suffix":""},{"dropping-particle":"","family":"Paddon","given":"Chris J","non-dropping-particle":"","parse-names":false,"suffix":""}],"container-title":"Frontiers in Plant Science","id":"ITEM-2","issued":{"date-parts":[["2018","1"]]},"page":"87","publisher":"Frontiers Media S.A.","title":"Approaches and Recent Developments for the Commercial Production of Semi-synthetic Artemisinin","type":"article-journal","volume":"9"},"uris":["http://www.mendeley.com/documents/?uuid=793139f2-524e-4f2b-974c-b14355d95f3f"]}],"mendeley":{"formattedCitation":"(Kung et al., 2018; Zeng et al., 2008)","plainTextFormattedCitation":"(Kung et al., 2018; Zeng et al., 2008)","previouslyFormattedCitation":"(Kung et al., 2018; Zeng et al., 2008)"},"properties":{"noteIndex":0},"schema":"https://github.com/citation-style-language/schema/raw/master/csl-citation.json"}</w:instrText>
      </w:r>
      <w:r w:rsidR="002F5652">
        <w:rPr>
          <w:rFonts w:ascii="Times New Roman" w:eastAsia="Times New Roman" w:hAnsi="Times New Roman" w:cstheme="minorBidi"/>
        </w:rPr>
        <w:fldChar w:fldCharType="separate"/>
      </w:r>
      <w:r w:rsidR="002F5652" w:rsidRPr="002F5652">
        <w:rPr>
          <w:rFonts w:ascii="Times New Roman" w:eastAsia="Times New Roman" w:hAnsi="Times New Roman" w:cstheme="minorBidi"/>
          <w:noProof/>
        </w:rPr>
        <w:t>(Kung et al., 2018; Zeng et al., 2008)</w:t>
      </w:r>
      <w:r w:rsidR="002F5652">
        <w:rPr>
          <w:rFonts w:ascii="Times New Roman" w:eastAsia="Times New Roman" w:hAnsi="Times New Roman" w:cstheme="minorBidi"/>
        </w:rPr>
        <w:fldChar w:fldCharType="end"/>
      </w:r>
      <w:r w:rsidR="00054C86" w:rsidRPr="650977DD">
        <w:rPr>
          <w:rFonts w:ascii="Times New Roman" w:eastAsia="Times New Roman" w:hAnsi="Times New Roman" w:cstheme="minorBidi"/>
        </w:rPr>
        <w:t>.</w:t>
      </w:r>
      <w:r w:rsidR="00F32746" w:rsidRPr="00F32746">
        <w:t xml:space="preserve"> </w:t>
      </w:r>
    </w:p>
    <w:p w14:paraId="76DCAF6D" w14:textId="579459DE" w:rsidR="008A510E" w:rsidRPr="008A510E" w:rsidRDefault="00054C86" w:rsidP="008A510E">
      <w:pPr>
        <w:numPr>
          <w:ilvl w:val="1"/>
          <w:numId w:val="168"/>
        </w:numPr>
        <w:spacing w:before="120" w:after="120" w:line="240" w:lineRule="auto"/>
        <w:ind w:left="284" w:hanging="284"/>
        <w:jc w:val="both"/>
        <w:rPr>
          <w:rFonts w:asciiTheme="majorBidi" w:eastAsia="Times New Roman" w:hAnsiTheme="majorBidi" w:cstheme="majorBidi"/>
        </w:rPr>
      </w:pPr>
      <w:r w:rsidRPr="00777E5B">
        <w:rPr>
          <w:rFonts w:asciiTheme="majorBidi" w:eastAsia="Times New Roman" w:hAnsiTheme="majorBidi" w:cstheme="majorBidi"/>
        </w:rPr>
        <w:t>Human cells for therapeutic purposes, such as for CAR-T cell therapy for cancer (</w:t>
      </w:r>
      <w:r w:rsidRPr="005F1592">
        <w:rPr>
          <w:rFonts w:asciiTheme="majorBidi" w:eastAsia="Times New Roman" w:hAnsiTheme="majorBidi" w:cstheme="majorBidi"/>
          <w:i/>
          <w:iCs/>
        </w:rPr>
        <w:t>Novartis</w:t>
      </w:r>
      <w:r w:rsidRPr="00777E5B">
        <w:rPr>
          <w:rFonts w:asciiTheme="majorBidi" w:eastAsia="Times New Roman" w:hAnsiTheme="majorBidi" w:cstheme="majorBidi"/>
        </w:rPr>
        <w:t>)</w:t>
      </w:r>
      <w:r w:rsidR="00A508EC">
        <w:rPr>
          <w:rFonts w:asciiTheme="majorBidi" w:eastAsia="Times New Roman" w:hAnsiTheme="majorBidi" w:cstheme="majorBidi"/>
        </w:rPr>
        <w:t>.</w:t>
      </w:r>
      <w:r w:rsidRPr="00777E5B">
        <w:rPr>
          <w:rFonts w:asciiTheme="majorBidi" w:eastAsia="Times New Roman" w:hAnsiTheme="majorBidi" w:cstheme="majorBidi"/>
        </w:rPr>
        <w:t xml:space="preserve"> </w:t>
      </w:r>
    </w:p>
    <w:p w14:paraId="08AE12F6" w14:textId="647F3365" w:rsidR="00C0273F" w:rsidRPr="002F5652" w:rsidRDefault="00C0273F" w:rsidP="00A508EC">
      <w:pPr>
        <w:spacing w:after="120" w:line="240" w:lineRule="auto"/>
        <w:ind w:left="284"/>
        <w:jc w:val="both"/>
        <w:rPr>
          <w:rFonts w:asciiTheme="majorBidi" w:eastAsia="Times New Roman" w:hAnsiTheme="majorBidi" w:cstheme="majorBidi"/>
          <w:i/>
          <w:lang w:val="fr-CA" w:eastAsia="ar-SA"/>
        </w:rPr>
      </w:pPr>
      <w:r w:rsidRPr="00777E5B">
        <w:rPr>
          <w:rFonts w:asciiTheme="majorBidi" w:hAnsiTheme="majorBidi" w:cstheme="majorBidi"/>
        </w:rPr>
        <w:t xml:space="preserve">T-cells are re-programmed to express chimeric antigen receptors. The engineered proteins enable immune cells to target cancer cells </w:t>
      </w:r>
      <w:r w:rsidR="002F5652">
        <w:rPr>
          <w:rFonts w:asciiTheme="majorBidi" w:hAnsiTheme="majorBidi" w:cstheme="majorBidi"/>
        </w:rPr>
        <w:fldChar w:fldCharType="begin" w:fldLock="1"/>
      </w:r>
      <w:r w:rsidR="002F5652">
        <w:rPr>
          <w:rFonts w:asciiTheme="majorBidi" w:hAnsiTheme="majorBidi" w:cstheme="majorBidi"/>
        </w:rPr>
        <w:instrText>ADDIN CSL_CITATION {"citationItems":[{"id":"ITEM-1","itemData":{"DOI":"10.1182/blood-2010-04-281931","ISSN":"00064971","PMID":"20668228","abstract":"Adoptive transfer of genetically modified T cells is an attractive approach for generating antitumor immune responses. We treated a patient with advanced follicular lymphoma by administering a preparative chemotherapy regimen followed by autologous T cells genetically engineered to express a chimeric antigen receptor (CAR) that recognized the B-cell antigen CD19. The patient's lymphoma underwent a dramatic regression, and B-cell precursors were selectively eliminated from the patient's bone marrow after infusion of anti - CD19-CAR-transduced T cells. Blood B cells were absent for at least 39 weeks after anti - CD19-CAR-transduced T-cell infusion despite prompt recovery of other blood cell counts. Consistent with eradication of B-lineage cells, serum immunoglobulins decreased to very low levels after treatment. The prolonged and selective elimination of Blineage cells could not be attributed to the chemotherapy that the patient received and indicated antigen-specific eradication of B-lineage cells. Adoptive transfer of anti - CD19-CAR-expressing T cells is a promising new approach for treating B-cell malignancies. This study is registered at www.clinicaltrials.gov as #NCT00924326.","author":[{"dropping-particle":"","family":"Kochenderfer","given":"James N","non-dropping-particle":"","parse-names":false,"suffix":""},{"dropping-particle":"","family":"Wilson","given":"Wyndham H","non-dropping-particle":"","parse-names":false,"suffix":""},{"dropping-particle":"","family":"Janik","given":"John E","non-dropping-particle":"","parse-names":false,"suffix":""},{"dropping-particle":"","family":"Dudley","given":"Mark E","non-dropping-particle":"","parse-names":false,"suffix":""},{"dropping-particle":"","family":"Stetler-Stevenson","given":"Maryalice","non-dropping-particle":"","parse-names":false,"suffix":""},{"dropping-particle":"","family":"Feldman","given":"Steven A","non-dropping-particle":"","parse-names":false,"suffix":""},{"dropping-particle":"","family":"Maric","given":"Irina","non-dropping-particle":"","parse-names":false,"suffix":""},{"dropping-particle":"","family":"Raffeld","given":"Mark","non-dropping-particle":"","parse-names":false,"suffix":""},{"dropping-particle":"","family":"Nathan","given":"Debbie Ann N","non-dropping-particle":"","parse-names":false,"suffix":""},{"dropping-particle":"","family":"Lanier","given":"Brock J","non-dropping-particle":"","parse-names":false,"suffix":""},{"dropping-particle":"","family":"Morgan","given":"Richard A","non-dropping-particle":"","parse-names":false,"suffix":""},{"dropping-particle":"","family":"Rosenberg","given":"Steven A","non-dropping-particle":"","parse-names":false,"suffix":""}],"container-title":"Blood","id":"ITEM-1","issue":"20","issued":{"date-parts":[["2010","11"]]},"page":"4099-4102","publisher":"American Society of Hematology","title":"Eradication of B-lineage cells and regression of lymphoma in a patient treated with autologous T cells genetically engineered to recognize CD19","type":"article-journal","volume":"116"},"uris":["http://www.mendeley.com/documents/?uuid=10f695db-3fba-4101-841b-46a3206104e0"]},{"id":"ITEM-2","itemData":{"DOI":"10.1200/JCO.2010.32.2537","ISSN":"0732183X","PMID":"21282551","abstract":"Purpose: Adoptive immunotherapy using tumor-infiltrating lymphocytes represents an effective cancer treatment for patients with metastatic melanoma. The NY-ESO-1 cancer/testis antigen, which is expressed in 80% of patients with synovial cell sarcoma and approximately 25% of patients with melanoma and common epithelial tumors, represents an attractive target for immune-based therapies. The current trial was carried out to evaluate the ability of adoptively transferred autologous T cells transduced with a T-cell receptor (TCR) directed against NY-ESO-1 to mediate tumor regression in patients with metastatic melanoma and synovial cell sarcoma. Patients and Methods: A clinical trial was performed in patients with metastatic melanoma or metastatic synovial cell sarcoma refractory to all standard treatments. Patients with NY-ESO-1-positive tumors were treated with autologous TCR-transduced T cells plus 720,000 iU/kg of interleukin-2 to tolerance after preparative chemotherapy. Objective clinical responses were evaluated using Response Evaluation Criteria in Solid Tumors (RECIST). Results: Objective clinical responses were observed in four of six patients with synovial cell sarcoma and five of 11 patients with melanoma bearing tumors expressing NY-ESO-1. Two of 11 patients with melanoma demonstrated complete regressions that persisted after 1 year. A partial response lasting 18 months was observed in one patient with synovial cell sarcoma. Conclusion: These observations indicate that TCR-based gene therapies directed against NY-ESO-1 represent a new and effective therapeutic approach for patients with melanoma and synovial cell sarcoma. To our knowledge, this represents the first demonstration of the successful treatment of a nonmelanoma tumor using TCR-transduced T cells. Copyright ©2011 American Society of Clinical Oncology. All rights reserved.","author":[{"dropping-particle":"","family":"Robbins","given":"Paul F","non-dropping-particle":"","parse-names":false,"suffix":""},{"dropping-particle":"","family":"Morgan","given":"Richard A","non-dropping-particle":"","parse-names":false,"suffix":""},{"dropping-particle":"","family":"Feldman","given":"Steven A","non-dropping-particle":"","parse-names":false,"suffix":""},{"dropping-particle":"","family":"Yang","given":"James C","non-dropping-particle":"","parse-names":false,"suffix":""},{"dropping-particle":"","family":"Sherry","given":"Richard M","non-dropping-particle":"","parse-names":false,"suffix":""},{"dropping-particle":"","family":"Dudley","given":"Mark E","non-dropping-particle":"","parse-names":false,"suffix":""},{"dropping-particle":"","family":"Wunderlich","given":"John R","non-dropping-particle":"","parse-names":false,"suffix":""},{"dropping-particle":"V","family":"Nahvi","given":"Azam","non-dropping-particle":"","parse-names":false,"suffix":""},{"dropping-particle":"","family":"Helman","given":"Lee J","non-dropping-particle":"","parse-names":false,"suffix":""},{"dropping-particle":"","family":"Mackall","given":"Crystal L","non-dropping-particle":"","parse-names":false,"suffix":""},{"dropping-particle":"","family":"Kammula","given":"Udai S","non-dropping-particle":"","parse-names":false,"suffix":""},{"dropping-particle":"","family":"Hughes","given":"Marybeth S","non-dropping-particle":"","parse-names":false,"suffix":""},{"dropping-particle":"","family":"Restifo","given":"Nicholas P","non-dropping-particle":"","parse-names":false,"suffix":""},{"dropping-particle":"","family":"Raffeld","given":"Mark","non-dropping-particle":"","parse-names":false,"suffix":""},{"dropping-particle":"","family":"Lee","given":"Chyi Chia Richard","non-dropping-particle":"","parse-names":false,"suffix":""},{"dropping-particle":"","family":"Levy","given":"Catherine L","non-dropping-particle":"","parse-names":false,"suffix":""},{"dropping-particle":"","family":"Li","given":"Yong F","non-dropping-particle":"","parse-names":false,"suffix":""},{"dropping-particle":"","family":"El-Gamil","given":"Mona","non-dropping-particle":"","parse-names":false,"suffix":""},{"dropping-particle":"","family":"Schwarz","given":"Susan L","non-dropping-particle":"","parse-names":false,"suffix":""},{"dropping-particle":"","family":"Laurencot","given":"Carolyn","non-dropping-particle":"","parse-names":false,"suffix":""},{"dropping-particle":"","family":"Rosenberg","given":"Steven A","non-dropping-particle":"","parse-names":false,"suffix":""}],"container-title":"Journal of Clinical Oncology","id":"ITEM-2","issue":"7","issued":{"date-parts":[["2011","3"]]},"page":"917-924","publisher":"American Society of Clinical Oncology","title":"Tumor regression in patients with metastatic synovial cell sarcoma and melanoma using genetically engineered lymphocytes reactive with NY-ESO-1","type":"article-journal","volume":"29"},"uris":["http://www.mendeley.com/documents/?uuid=5a2298e0-71b9-428c-aead-4980064cd439"]},{"id":"ITEM-3","itemData":{"ISBN":"2014201730","abstract":"Devices , systems and techniques are described for produc ing and implementing articles and materials having nanoscale and microscale structures that exhibit superhy drophobic , superoleophobic or omniphobic surface proper ties and other enhanced properties . In one aspect , a surface nanostructure can be formed by adding a silicon - containing buffer layer such as silicon , silicon oxide or silicon nitride layer , followed by metal film deposition and heating to convert the metal film into balled - up , discrete islands to form an etch mask . The buffer layer can be etched using the etch mask to create an array of pillar structures underneath the etch mask , in which the pillar structures have a shape that includes cylinders , negatively tapered rods , or cones and are vertically aligned . In another aspect , a method of fabricating microscale or nanoscale polymer or metal structures on a substrate is made by photolithography and / or nano imprint ing lithography.","author":[{"dropping-particle":"","family":"Ebersbach","given":"Hilmar Erhard","non-dropping-particle":"","parse-names":false,"suffix":""},{"dropping-particle":"","family":"Huber","given":"Thomas","non-dropping-particle":"","parse-names":false,"suffix":""},{"dropping-particle":"","family":"Jascur","given":"Julia","non-dropping-particle":"","parse-names":false,"suffix":""},{"dropping-particle":"","family":"Richardson","given":"Celeste","non-dropping-particle":"","parse-names":false,"suffix":""},{"dropping-particle":"","family":"Singh","given":"Reshma","non-dropping-particle":"","parse-names":false,"suffix":""},{"dropping-particle":"","family":"Song","given":"Huijuan","non-dropping-particle":"","parse-names":false,"suffix":""},{"dropping-particle":"","family":"Wu","given":"Qilong","non-dropping-particle":"","parse-names":false,"suffix":""},{"dropping-particle":"","family":"Zhang","given":"Jiquan","non-dropping-particle":"","parse-names":false,"suffix":""}],"id":"ITEM-3","issue":"19","issued":{"date-parts":[["2020"]]},"page":"1-29","title":"Treatment of cancer using a CD33 chimeric antigen receptor, US10851166B2","type":"article","volume":"2"},"uris":["http://www.mendeley.com/documents/?uuid=dc4b11c6-11fa-414b-99c7-629fe4c2f22d"]},{"id":"ITEM-4","itemData":{"author":[{"dropping-particle":"","family":"Brannetti","given":"Barbara","non-dropping-particle":"","parse-names":false,"suffix":""},{"dropping-particle":"","family":"Brogdon","given":"Jennifer","non-dropping-particle":"","parse-names":false,"suffix":""},{"dropping-particle":"","family":"Engels","given":"Boris","non-dropping-particle":"","parse</w:instrText>
      </w:r>
      <w:r w:rsidR="002F5652" w:rsidRPr="00F8168D">
        <w:rPr>
          <w:rFonts w:asciiTheme="majorBidi" w:hAnsiTheme="majorBidi" w:cstheme="majorBidi"/>
          <w:lang w:val="fr-CA"/>
        </w:rPr>
        <w:instrText>-names":false,"suffix":""},{"dropping-particle":"","family":"Granda","given":"Brian","non-dropping-particle":"","parse-names":false,"suffix":""},{"dropping-particle":"","family":"Huang","given":"Lu","non-dropping-particle":"","parse-names":false,"suffix":""},{"dropping-particle":"","family":"Lei","given":"Ming","non-dropping-particle":"","parse-names":false,"suffix":""},{"dropping-particle":"","family":"Li","given":"Na","non-dropping-particle":"","parse-names":false,"suffix":""},{"dropping-particle":"","family":"Zhang","given":"Jimin","non-dropping-particle":"","parse-names":false,"suffix":""},{"dropping-particle":"","family":"Guimaraes","given":"Carla Patricia Pinto","non-dropping-particle":"","parse-names":false,"suffix":""}],"id":"ITEM-4","issued":{"date-parts":[["2018"]]},"title":"Treatment of cancer using chimeric antigen receptors, US20180125892A1","type":"article","volume":"1"},"uris":["http://www.mendeley.com/documents/?uuid=1cddf940-1613-48f9-8302-533f4999e409"]}],"mendeley":{"formattedCitation":"(Brannetti et al., 2018; Ebersbach et al., 2020; Kochenderfer et al., 2010; Robbins et al., 2011)","plainTextFormattedCitation":"(Brannetti et al., 2018; Ebersbach et al., 2020; Kochenderfer et al., 2010; Robbins et al., 2011)","previouslyFormattedCitation":"(Brannetti et al., 2018; Ebersbach et al., 2020; Kochenderfer et al., 2010; Robbins et al., 2011)"},"properties":{"noteIndex":0},"schema":"https://github.com/citation-style-language/schema/raw/master/csl-citation.json"}</w:instrText>
      </w:r>
      <w:r w:rsidR="002F5652">
        <w:rPr>
          <w:rFonts w:asciiTheme="majorBidi" w:hAnsiTheme="majorBidi" w:cstheme="majorBidi"/>
        </w:rPr>
        <w:fldChar w:fldCharType="separate"/>
      </w:r>
      <w:r w:rsidR="002F5652" w:rsidRPr="002F5652">
        <w:rPr>
          <w:rFonts w:asciiTheme="majorBidi" w:hAnsiTheme="majorBidi" w:cstheme="majorBidi"/>
          <w:noProof/>
          <w:lang w:val="fr-CA"/>
        </w:rPr>
        <w:t>(Brannetti et al., 2018; Ebersbach et al., 2020; Kochenderfer et al., 2010; Robbins et al., 2011)</w:t>
      </w:r>
      <w:r w:rsidR="002F5652">
        <w:rPr>
          <w:rFonts w:asciiTheme="majorBidi" w:hAnsiTheme="majorBidi" w:cstheme="majorBidi"/>
        </w:rPr>
        <w:fldChar w:fldCharType="end"/>
      </w:r>
      <w:r w:rsidRPr="002F5652">
        <w:rPr>
          <w:rFonts w:asciiTheme="majorBidi" w:hAnsiTheme="majorBidi" w:cstheme="majorBidi"/>
          <w:lang w:val="fr-CA"/>
        </w:rPr>
        <w:t>.</w:t>
      </w:r>
    </w:p>
    <w:p w14:paraId="73D8FA04" w14:textId="7A82CD3F" w:rsidR="006F6A73" w:rsidRPr="00777E5B" w:rsidRDefault="006F6A73" w:rsidP="00142944">
      <w:pPr>
        <w:numPr>
          <w:ilvl w:val="1"/>
          <w:numId w:val="168"/>
        </w:numPr>
        <w:spacing w:before="120" w:after="120" w:line="240" w:lineRule="auto"/>
        <w:ind w:left="284" w:hanging="284"/>
        <w:jc w:val="both"/>
        <w:rPr>
          <w:rFonts w:asciiTheme="majorBidi" w:eastAsia="Times New Roman" w:hAnsiTheme="majorBidi" w:cstheme="majorBidi"/>
          <w:i/>
          <w:iCs/>
          <w:lang w:eastAsia="ar-SA"/>
        </w:rPr>
      </w:pPr>
      <w:r>
        <w:rPr>
          <w:rFonts w:asciiTheme="majorBidi" w:eastAsia="Times New Roman" w:hAnsiTheme="majorBidi" w:cstheme="majorBidi"/>
        </w:rPr>
        <w:t>Synthetic tissues and organoids (</w:t>
      </w:r>
      <w:r w:rsidRPr="005F1592">
        <w:rPr>
          <w:rFonts w:asciiTheme="majorBidi" w:eastAsia="Times New Roman" w:hAnsiTheme="majorBidi" w:cstheme="majorBidi"/>
          <w:i/>
          <w:iCs/>
        </w:rPr>
        <w:t>Cellbricks</w:t>
      </w:r>
      <w:r>
        <w:rPr>
          <w:rFonts w:asciiTheme="majorBidi" w:eastAsia="Times New Roman" w:hAnsiTheme="majorBidi" w:cstheme="majorBidi"/>
        </w:rPr>
        <w:t>)</w:t>
      </w:r>
      <w:r w:rsidR="00A508EC">
        <w:rPr>
          <w:rFonts w:asciiTheme="majorBidi" w:eastAsia="Times New Roman" w:hAnsiTheme="majorBidi" w:cstheme="majorBidi"/>
        </w:rPr>
        <w:t>.</w:t>
      </w:r>
    </w:p>
    <w:p w14:paraId="6E936910" w14:textId="6649B69C" w:rsidR="00B652E7" w:rsidRPr="009C5D9A" w:rsidRDefault="00470058" w:rsidP="009C5D9A">
      <w:pPr>
        <w:spacing w:after="120" w:line="240" w:lineRule="auto"/>
        <w:ind w:left="284"/>
        <w:jc w:val="both"/>
        <w:rPr>
          <w:rFonts w:asciiTheme="majorBidi" w:eastAsia="Times New Roman" w:hAnsiTheme="majorBidi" w:cstheme="majorBidi"/>
          <w:i/>
          <w:iCs/>
          <w:lang w:eastAsia="ar-SA"/>
        </w:rPr>
      </w:pPr>
      <w:r w:rsidRPr="00777E5B">
        <w:rPr>
          <w:rFonts w:asciiTheme="majorBidi" w:eastAsia="Times New Roman" w:hAnsiTheme="majorBidi" w:cstheme="majorBidi"/>
        </w:rPr>
        <w:t>3D printed biopolymer cell culture scaffolds for s</w:t>
      </w:r>
      <w:r w:rsidR="00054C86" w:rsidRPr="00777E5B">
        <w:rPr>
          <w:rFonts w:asciiTheme="majorBidi" w:eastAsia="Times New Roman" w:hAnsiTheme="majorBidi" w:cstheme="majorBidi"/>
        </w:rPr>
        <w:t xml:space="preserve">ynthetic tissues and whole synthetic organoids for research or therapeutic purposes </w:t>
      </w:r>
      <w:r w:rsidRPr="674F3685">
        <w:rPr>
          <w:rFonts w:asciiTheme="majorBidi" w:eastAsia="Times New Roman" w:hAnsiTheme="majorBidi" w:cstheme="majorBidi"/>
        </w:rPr>
        <w:fldChar w:fldCharType="begin" w:fldLock="1"/>
      </w:r>
      <w:r w:rsidR="008F6A90">
        <w:rPr>
          <w:rFonts w:asciiTheme="majorBidi" w:eastAsia="Times New Roman" w:hAnsiTheme="majorBidi" w:cstheme="majorBidi"/>
        </w:rPr>
        <w:instrText>ADDIN CSL_CITATION {"citationItems":[{"id":"ITEM-1","itemData":{"DOI":"10.1016/j.cbpa.2019.04.006","ISSN":"18790402","PMID":"31102790","abstract":"Synthetic biology offers a bottom–up engineering approach that intends to understand complex systems via design-build-test cycles. Embryonic development comprises complex processes that originate at the level of gene regulatory networks in a cell and emerge into collective cellular behaviors with multicellular forms and functions. Here, we review synthetic biology approaches to development that involve building de novo developmental trajectories or engineering control in stem cell-derived multicellular systems. The field of synthetic developmental biology is rapidly growing with the help of recent advances in artificial gene circuits, self-organizing organoids, and controllable tissue microenvironments. The outcome will be a blueprint to decode principles of morphogenesis and to create programmable organoids with novel designs or improved functions.","author":[{"dropping-particle":"","family":"Ebrahimkhani","given":"Mo R.","non-dropping-particle":"","parse-names":false,"suffix":""},{"dropping-particle":"","family":"Ebisuya","given":"Miki","non-dropping-particle":"","parse-names":false,"suffix":""}],"container-title":"Current Opinion in Chemical Biology","id":"ITEM-1","issued":{"date-parts":[["2019","10"]]},"page":"9-15","publisher":"Elsevier Ltd","title":"Synthetic developmental biology: build and control multicellular systems","type":"article","volume":"52"},"uris":["http://www.mendeley.com/documents/?uuid=c9cdee1e-8c40-4100-ae60-fe078f822eca"]}],"mendeley":{"formattedCitation":"(Ebrahimkhani &amp; Ebisuya, 2019)","manualFormatting":"(Ebrahimkhani &amp; Ebisuya, 2019;","plainTextFormattedCitation":"(Ebrahimkhani &amp; Ebisuya, 2019)","previouslyFormattedCitation":"(Ebrahimkhani &amp; Ebisuya, 2019)"},"properties":{"noteIndex":0},"schema":"https://github.com/citation-style-language/schema/raw/master/csl-citation.json"}</w:instrText>
      </w:r>
      <w:r w:rsidRPr="674F3685">
        <w:rPr>
          <w:rFonts w:asciiTheme="majorBidi" w:eastAsia="Times New Roman" w:hAnsiTheme="majorBidi" w:cstheme="majorBidi"/>
        </w:rPr>
        <w:fldChar w:fldCharType="separate"/>
      </w:r>
      <w:r w:rsidR="00054C86" w:rsidRPr="00777E5B">
        <w:rPr>
          <w:rFonts w:asciiTheme="majorBidi" w:eastAsia="Times New Roman" w:hAnsiTheme="majorBidi" w:cstheme="majorBidi"/>
          <w:noProof/>
        </w:rPr>
        <w:t>(Ebrahimkhani &amp; Ebisuya, 2019</w:t>
      </w:r>
      <w:r w:rsidR="00A508EC">
        <w:rPr>
          <w:rFonts w:asciiTheme="majorBidi" w:eastAsia="Times New Roman" w:hAnsiTheme="majorBidi" w:cstheme="majorBidi"/>
          <w:noProof/>
        </w:rPr>
        <w:t>;</w:t>
      </w:r>
      <w:r w:rsidRPr="674F3685">
        <w:rPr>
          <w:rFonts w:asciiTheme="majorBidi" w:eastAsia="Times New Roman" w:hAnsiTheme="majorBidi" w:cstheme="majorBidi"/>
        </w:rPr>
        <w:fldChar w:fldCharType="end"/>
      </w:r>
      <w:r w:rsidR="00026D94" w:rsidRPr="00777E5B">
        <w:rPr>
          <w:rFonts w:asciiTheme="majorBidi" w:eastAsia="Times New Roman" w:hAnsiTheme="majorBidi" w:cstheme="majorBidi"/>
        </w:rPr>
        <w:t xml:space="preserve"> </w:t>
      </w:r>
      <w:r w:rsidR="004028F0">
        <w:rPr>
          <w:rFonts w:asciiTheme="majorBidi" w:hAnsiTheme="majorBidi" w:cstheme="majorBidi"/>
        </w:rPr>
        <w:fldChar w:fldCharType="begin" w:fldLock="1"/>
      </w:r>
      <w:r w:rsidR="00526E06">
        <w:rPr>
          <w:rFonts w:asciiTheme="majorBidi" w:hAnsiTheme="majorBidi" w:cstheme="majorBidi"/>
        </w:rPr>
        <w:instrText>ADDIN CSL_CITATION {"citationItems":[{"id":"ITEM-1","itemData":{"ISBN":"1020181117","author":[{"dropping-particle":"","family":"Kloke","given":"Lutz","non-dropping-particle":"","parse-names":false,"suffix":""}],"id":"ITEM-1","issue":"19","issued":{"date-parts":[["2019"]]},"page":"1-22","title":"Method and device for producing a three-dimensional, multi-cell object, US10299940B2","type":"article","volume":"21"},"uris":["http://www.mendeley.com/documents/?uuid=430afe1a-6b35-4071-aed6-03d3587573e8"]},{"id":"ITEM-2","itemData":{"author":[{"dropping-particle":"","family":"Kloke","given":"Lutz","non-dropping-particle":"","parse-names":false,"suffix":""},{"dropping-particle":"","family":"Thomas","given":"Alexander","non-dropping-particle":"","parse-names":false,"suffix":""},{"dropping-particle":"","family":"Grix","given":"Tobias","non-dropping-particle":"","parse-names":false,"suffix":""},{"dropping-particle":"","family":"Noichl","given":"Benjamin","non-dropping-particle":"","parse-names":false,"suffix":""},{"dropping-particle":"","family":"Kreuder","given":"Anna","non-dropping-particle":"","parse-names":false,"suffix":""}],"id":"ITEM-2","issued":{"date-parts":[["2019"]]},"title":"Method for producing a cell culture insert with at least one membrane, DE102018111751A1","type":"article-journal","volume":"2"},"uris":["http://www.mendeley.com/documents/?uuid=51f17ef2-8d74-465c-b8bb-3853aa783c56"]}],"mendeley":{"formattedCitation":"(Kloke, 2019; Kloke et al., 2019)","manualFormatting":"Kloke, 2019; Kloke et al., 2019)","plainTextFormattedCitation":"(Kloke, 2019; Kloke et al., 2019)","previouslyFormattedCitation":"(Kloke, 2019; Kloke et al., 2019)"},"properties":{"noteIndex":0},"schema":"https://github.com/citation-style-language/schema/raw/master/csl-citation.json"}</w:instrText>
      </w:r>
      <w:r w:rsidR="004028F0">
        <w:rPr>
          <w:rFonts w:asciiTheme="majorBidi" w:hAnsiTheme="majorBidi" w:cstheme="majorBidi"/>
        </w:rPr>
        <w:fldChar w:fldCharType="separate"/>
      </w:r>
      <w:r w:rsidR="004028F0" w:rsidRPr="004028F0">
        <w:rPr>
          <w:rFonts w:asciiTheme="majorBidi" w:hAnsiTheme="majorBidi" w:cstheme="majorBidi"/>
          <w:noProof/>
        </w:rPr>
        <w:t>Kloke, 2019; Kloke et al., 2019)</w:t>
      </w:r>
      <w:r w:rsidR="004028F0">
        <w:rPr>
          <w:rFonts w:asciiTheme="majorBidi" w:hAnsiTheme="majorBidi" w:cstheme="majorBidi"/>
        </w:rPr>
        <w:fldChar w:fldCharType="end"/>
      </w:r>
      <w:r w:rsidR="0074113D">
        <w:rPr>
          <w:rFonts w:asciiTheme="majorBidi" w:hAnsiTheme="majorBidi" w:cstheme="majorBidi"/>
        </w:rPr>
        <w:t>.</w:t>
      </w:r>
    </w:p>
    <w:p w14:paraId="283272D1" w14:textId="0AFB14E9" w:rsidR="00B652E7" w:rsidRPr="00777E5B" w:rsidRDefault="00054C86" w:rsidP="00142944">
      <w:pPr>
        <w:numPr>
          <w:ilvl w:val="1"/>
          <w:numId w:val="168"/>
        </w:numPr>
        <w:spacing w:before="120" w:after="120" w:line="240" w:lineRule="auto"/>
        <w:ind w:left="284" w:hanging="284"/>
        <w:jc w:val="both"/>
        <w:rPr>
          <w:rFonts w:asciiTheme="majorBidi" w:eastAsia="Times New Roman" w:hAnsiTheme="majorBidi" w:cstheme="majorBidi"/>
        </w:rPr>
      </w:pPr>
      <w:r w:rsidRPr="00777E5B">
        <w:rPr>
          <w:rFonts w:asciiTheme="majorBidi" w:eastAsia="Times New Roman" w:hAnsiTheme="majorBidi" w:cstheme="majorBidi"/>
        </w:rPr>
        <w:t xml:space="preserve">Sitagliptin, a diabetes drug, using an improved transaminase from </w:t>
      </w:r>
      <w:r w:rsidRPr="00777E5B">
        <w:rPr>
          <w:rFonts w:asciiTheme="majorBidi" w:eastAsia="Times New Roman" w:hAnsiTheme="majorBidi" w:cstheme="majorBidi"/>
          <w:i/>
          <w:iCs/>
        </w:rPr>
        <w:t xml:space="preserve">Arthrobacter </w:t>
      </w:r>
      <w:r w:rsidRPr="00777E5B">
        <w:rPr>
          <w:rFonts w:asciiTheme="majorBidi" w:eastAsia="Times New Roman" w:hAnsiTheme="majorBidi" w:cstheme="majorBidi"/>
        </w:rPr>
        <w:t>(</w:t>
      </w:r>
      <w:r w:rsidRPr="005F1592">
        <w:rPr>
          <w:rFonts w:asciiTheme="majorBidi" w:eastAsia="Times New Roman" w:hAnsiTheme="majorBidi" w:cstheme="majorBidi"/>
          <w:i/>
          <w:iCs/>
        </w:rPr>
        <w:t>Merck</w:t>
      </w:r>
      <w:r w:rsidRPr="00777E5B">
        <w:rPr>
          <w:rFonts w:asciiTheme="majorBidi" w:eastAsia="Times New Roman" w:hAnsiTheme="majorBidi" w:cstheme="majorBidi"/>
        </w:rPr>
        <w:t>)</w:t>
      </w:r>
      <w:r w:rsidR="0074113D">
        <w:rPr>
          <w:rFonts w:asciiTheme="majorBidi" w:eastAsia="Times New Roman" w:hAnsiTheme="majorBidi" w:cstheme="majorBidi"/>
        </w:rPr>
        <w:t>.</w:t>
      </w:r>
    </w:p>
    <w:p w14:paraId="51663309" w14:textId="4D3E3F8C" w:rsidR="00AE0891" w:rsidRPr="00777E5B" w:rsidRDefault="00AE0891" w:rsidP="0074113D">
      <w:pPr>
        <w:spacing w:after="120" w:line="240" w:lineRule="auto"/>
        <w:ind w:left="284"/>
        <w:jc w:val="both"/>
        <w:rPr>
          <w:rFonts w:asciiTheme="majorBidi" w:hAnsiTheme="majorBidi" w:cstheme="majorBidi"/>
        </w:rPr>
      </w:pPr>
      <w:r w:rsidRPr="00777E5B">
        <w:rPr>
          <w:rFonts w:asciiTheme="majorBidi" w:hAnsiTheme="majorBidi" w:cstheme="majorBidi"/>
        </w:rPr>
        <w:t xml:space="preserve">Starting with a (R)-selective transaminase from </w:t>
      </w:r>
      <w:r w:rsidRPr="00777E5B">
        <w:rPr>
          <w:rFonts w:asciiTheme="majorBidi" w:hAnsiTheme="majorBidi" w:cstheme="majorBidi"/>
          <w:i/>
          <w:iCs/>
        </w:rPr>
        <w:t>Arthrobacter sp.</w:t>
      </w:r>
      <w:r w:rsidRPr="00777E5B">
        <w:rPr>
          <w:rFonts w:asciiTheme="majorBidi" w:hAnsiTheme="majorBidi" w:cstheme="majorBidi"/>
        </w:rPr>
        <w:t xml:space="preserve"> KNK168, the protein was re-engineered using computation design and directed evolution for stereoselectivity and suitability for industrial-scale processes </w:t>
      </w:r>
      <w:r w:rsidR="00526E06">
        <w:rPr>
          <w:rFonts w:asciiTheme="majorBidi" w:hAnsiTheme="majorBidi" w:cstheme="majorBidi"/>
        </w:rPr>
        <w:fldChar w:fldCharType="begin" w:fldLock="1"/>
      </w:r>
      <w:r w:rsidR="00526E06">
        <w:rPr>
          <w:rFonts w:asciiTheme="majorBidi" w:hAnsiTheme="majorBidi" w:cstheme="majorBidi"/>
        </w:rPr>
        <w:instrText>ADDIN CSL_CITATION {"citationItems":[{"id":"ITEM-1","itemData":{"DOI":"10.1038/s41467-020-20122-2","ISSN":"2041-1723","author":[{"dropping-particle":"","family":"Voigt","given":"Christopher A.","non-dropping-particle":"","parse-names":false,"suffix":""}],"container-title":"Nature Communications","id":"ITEM-1","issue":"1","issued":{"date-parts":[["2020","12"]]},"page":"6379","title":"Synthetic biology 2020–2030: six commercially-available products that are changing our world","type":"article-journal","volume":"11"},"uris":["http://www.mendeley.com/documents/?uuid=9f5ae5ac-c17d-4080-93da-96806882e5a3"]},{"id":"ITEM-2","itemData":{"DOI":"10.1126/science.1188934","ISSN":"00368075","PMID":"20558668","abstract":"Pharmaceutical synthesis can benefit greatly from the selectivity gains associated with enzymatic catalysis. Here, we report an efficient biocatalytic process to replace a recently implemented rhodium-catalyzed asymmetric enamine hydrogenation for the large-scale manufacture of the antidiabetic compound sitagliptin. Starting from an enzyme that had the catalytic machinery to perform the desired chemistry but lacked any activity toward the prositagliptin ketone, we applied a substrate walking, modeling, and mutation approach to create a transaminase with marginal activity for the synthesis of the chiral amine; this variant was then further engineered via directed evolution for practical application in a manufacturing setting. The resultant biocatalysts showed broad applicability toward the synthesis of chiral amines that previously were accessible only via resolution. This work underscores the maturation of biocatalysis to enable efficient, economical, and environmentally benign processes for the manufacture of pharmaceuticals.","author":[{"dropping-particle":"","family":"Savile","given":"Christopher K","non-dropping-particle":"","parse-names":false,"suffix":""},{"dropping-particle":"","family":"Janey","given":"Jacob M","non-dropping-particle":"","parse-names":false,"suffix":""},{"dropping-particle":"","family":"Mundorff","given":"Emily C","non-dropping-particle":"","parse-names":false,"suffix":""},{"dropping-particle":"","family":"Moore","given":"Jeffrey C","non-dropping-particle":"","parse-names":false,"suffix":""},{"dropping-particle":"","family":"Tam","given":"Sarena","non-dropping-particle":"","parse-names":false,"suffix":""},{"dropping-particle":"","family":"Jarvis","given":"William R","non-dropping-particle":"","parse-names":false,"suffix":""},{"dropping-particle":"","family":"Colbeck","given":"Jeffrey C","non-dropping-particle":"","parse-names":false,"suffix":""},{"dropping-particle":"","family":"Krebber","given":"Anke","non-dropping-particle":"","parse-names":false,"suffix":""},{"dropping-particle":"","family":"Fleitz","given":"Fred J","non-dropping-particle":"","parse-names":false,"suffix":""},{"dropping-particle":"","family":"Brands","given":"Jos","non-dropping-particle":"","parse-names":false,"suffix":""},{"dropping-particle":"","family":"Devine","given":"Paul N","non-dropping-particle":"","parse-names":false,"suffix":""},{"dropping-particle":"","family":"Huisman","given":"Gjalt W","non-dropping-particle":"","parse-names":false,"suffix":""},{"dropping-particle":"","family":"Hughes","given":"Gregory J","non-dropping-particle":"","parse-names":false,"suffix":""}],"container-title":"Science","id":"ITEM-2","issue":"5989","issued":{"date-parts":[["2010","7"]]},"page":"305-309","publisher":"American Association for the Advancement of Science","title":"Biocatalytic asymmetric synthesis of chiral amines from ketones applied to sitagliptin manufacture","type":"article-journal","volume":"329"},"uris":["http://www.mendeley.com/documents/?uuid=ca8b708b-ffa6-4330-ac43-eba4f72b325c"]}],"mendeley":{"formattedCitation":"(Savile et al., 2010; Voigt, 2020)","plainTextFormattedCitation":"(Savile et al., 2010; Voigt, 2020)","previouslyFormattedCitation":"(Savile et al., 2010; Voigt, 2020)"},"properties":{"noteIndex":0},"schema":"https://github.com/citation-style-language/schema/raw/master/csl-citation.json"}</w:instrText>
      </w:r>
      <w:r w:rsidR="00526E06">
        <w:rPr>
          <w:rFonts w:asciiTheme="majorBidi" w:hAnsiTheme="majorBidi" w:cstheme="majorBidi"/>
        </w:rPr>
        <w:fldChar w:fldCharType="separate"/>
      </w:r>
      <w:r w:rsidR="00526E06" w:rsidRPr="00526E06">
        <w:rPr>
          <w:rFonts w:asciiTheme="majorBidi" w:hAnsiTheme="majorBidi" w:cstheme="majorBidi"/>
          <w:noProof/>
        </w:rPr>
        <w:t>(Savile et al., 2010; Voigt, 2020)</w:t>
      </w:r>
      <w:r w:rsidR="00526E06">
        <w:rPr>
          <w:rFonts w:asciiTheme="majorBidi" w:hAnsiTheme="majorBidi" w:cstheme="majorBidi"/>
        </w:rPr>
        <w:fldChar w:fldCharType="end"/>
      </w:r>
      <w:r w:rsidR="0074113D">
        <w:rPr>
          <w:rFonts w:asciiTheme="majorBidi" w:hAnsiTheme="majorBidi" w:cstheme="majorBidi"/>
        </w:rPr>
        <w:t>.</w:t>
      </w:r>
    </w:p>
    <w:p w14:paraId="0A3EB9CC" w14:textId="56C97FCD" w:rsidR="00204360" w:rsidRPr="00777E5B" w:rsidRDefault="00054C86" w:rsidP="00142944">
      <w:pPr>
        <w:numPr>
          <w:ilvl w:val="1"/>
          <w:numId w:val="168"/>
        </w:numPr>
        <w:spacing w:before="120" w:after="120" w:line="240" w:lineRule="auto"/>
        <w:ind w:left="284" w:hanging="284"/>
        <w:jc w:val="both"/>
        <w:rPr>
          <w:rFonts w:asciiTheme="majorBidi" w:eastAsia="Times New Roman" w:hAnsiTheme="majorBidi" w:cstheme="majorBidi"/>
          <w:i/>
          <w:lang w:eastAsia="ar-SA"/>
        </w:rPr>
      </w:pPr>
      <w:r w:rsidRPr="00777E5B">
        <w:rPr>
          <w:rFonts w:asciiTheme="majorBidi" w:eastAsia="Times New Roman" w:hAnsiTheme="majorBidi" w:cstheme="majorBidi"/>
        </w:rPr>
        <w:t xml:space="preserve">Synthetic recombinant Factor C as a substitute </w:t>
      </w:r>
      <w:r w:rsidR="00D15A96" w:rsidRPr="00777E5B">
        <w:rPr>
          <w:rFonts w:asciiTheme="majorBidi" w:eastAsia="Times New Roman" w:hAnsiTheme="majorBidi" w:cstheme="majorBidi"/>
        </w:rPr>
        <w:t>to extracts from</w:t>
      </w:r>
      <w:r w:rsidRPr="00777E5B">
        <w:rPr>
          <w:rFonts w:asciiTheme="majorBidi" w:eastAsia="Times New Roman" w:hAnsiTheme="majorBidi" w:cstheme="majorBidi"/>
        </w:rPr>
        <w:t xml:space="preserve"> Horseshoe crab blood </w:t>
      </w:r>
      <w:r w:rsidRPr="00777E5B">
        <w:rPr>
          <w:rFonts w:asciiTheme="majorBidi" w:hAnsiTheme="majorBidi" w:cstheme="majorBidi"/>
        </w:rPr>
        <w:t>(</w:t>
      </w:r>
      <w:r w:rsidR="00131ACF" w:rsidRPr="00777E5B">
        <w:rPr>
          <w:rFonts w:asciiTheme="majorBidi" w:hAnsiTheme="majorBidi" w:cstheme="majorBidi"/>
        </w:rPr>
        <w:t xml:space="preserve">limulus amebocyte lysate </w:t>
      </w:r>
      <w:r w:rsidR="0074113D">
        <w:rPr>
          <w:rFonts w:asciiTheme="majorBidi" w:hAnsiTheme="majorBidi" w:cstheme="majorBidi"/>
        </w:rPr>
        <w:t>[</w:t>
      </w:r>
      <w:r w:rsidR="00131ACF" w:rsidRPr="00777E5B">
        <w:rPr>
          <w:rFonts w:asciiTheme="majorBidi" w:hAnsiTheme="majorBidi" w:cstheme="majorBidi"/>
        </w:rPr>
        <w:t>LAL</w:t>
      </w:r>
      <w:r w:rsidR="0074113D">
        <w:rPr>
          <w:rFonts w:asciiTheme="majorBidi" w:hAnsiTheme="majorBidi" w:cstheme="majorBidi"/>
        </w:rPr>
        <w:t>];</w:t>
      </w:r>
      <w:r w:rsidR="00131ACF" w:rsidRPr="00777E5B">
        <w:rPr>
          <w:rFonts w:asciiTheme="majorBidi" w:hAnsiTheme="majorBidi" w:cstheme="majorBidi"/>
        </w:rPr>
        <w:t xml:space="preserve"> </w:t>
      </w:r>
      <w:r w:rsidR="00B44B5F" w:rsidRPr="005F1592">
        <w:rPr>
          <w:rFonts w:asciiTheme="majorBidi" w:hAnsiTheme="majorBidi" w:cstheme="majorBidi"/>
          <w:i/>
          <w:iCs/>
        </w:rPr>
        <w:t>Lonza</w:t>
      </w:r>
      <w:r w:rsidR="00137D29">
        <w:rPr>
          <w:rFonts w:asciiTheme="majorBidi" w:hAnsiTheme="majorBidi" w:cstheme="majorBidi"/>
        </w:rPr>
        <w:t>,</w:t>
      </w:r>
      <w:r w:rsidR="00B44B5F" w:rsidRPr="00777E5B">
        <w:rPr>
          <w:rFonts w:asciiTheme="majorBidi" w:hAnsiTheme="majorBidi" w:cstheme="majorBidi"/>
        </w:rPr>
        <w:t xml:space="preserve"> </w:t>
      </w:r>
      <w:r w:rsidR="00B44B5F" w:rsidRPr="005F1592">
        <w:rPr>
          <w:rFonts w:asciiTheme="majorBidi" w:hAnsiTheme="majorBidi" w:cstheme="majorBidi"/>
          <w:i/>
          <w:iCs/>
        </w:rPr>
        <w:t>bioMérieux</w:t>
      </w:r>
      <w:r w:rsidR="00B44B5F" w:rsidRPr="00777E5B">
        <w:rPr>
          <w:rFonts w:asciiTheme="majorBidi" w:hAnsiTheme="majorBidi" w:cstheme="majorBidi"/>
        </w:rPr>
        <w:t>)</w:t>
      </w:r>
      <w:r w:rsidR="0074113D">
        <w:rPr>
          <w:rFonts w:asciiTheme="majorBidi" w:hAnsiTheme="majorBidi" w:cstheme="majorBidi"/>
        </w:rPr>
        <w:t>.</w:t>
      </w:r>
      <w:r w:rsidRPr="00777E5B" w:rsidDel="00B44B5F">
        <w:rPr>
          <w:rFonts w:asciiTheme="majorBidi" w:hAnsiTheme="majorBidi" w:cstheme="majorBidi"/>
        </w:rPr>
        <w:t xml:space="preserve"> </w:t>
      </w:r>
    </w:p>
    <w:p w14:paraId="5F4A0C54" w14:textId="0526E4E7" w:rsidR="00054C86" w:rsidRPr="00777E5B" w:rsidRDefault="00204360" w:rsidP="0074113D">
      <w:pPr>
        <w:spacing w:after="120" w:line="240" w:lineRule="auto"/>
        <w:ind w:left="284"/>
        <w:jc w:val="both"/>
        <w:rPr>
          <w:rFonts w:asciiTheme="majorBidi" w:eastAsia="Times New Roman" w:hAnsiTheme="majorBidi" w:cstheme="majorBidi"/>
          <w:i/>
          <w:lang w:eastAsia="ar-SA"/>
        </w:rPr>
      </w:pPr>
      <w:r w:rsidRPr="00777E5B">
        <w:rPr>
          <w:rFonts w:asciiTheme="majorBidi" w:hAnsiTheme="majorBidi" w:cstheme="majorBidi"/>
        </w:rPr>
        <w:t>The Factor C sequence was cloned from horseshoe crabs and the protein was engineered to active upon binding a bacterial endotoxin. The synthetic protein can then act on a fluorescent substrate for detection similar to LAL</w:t>
      </w:r>
      <w:r w:rsidR="0074113D">
        <w:rPr>
          <w:rFonts w:asciiTheme="majorBidi" w:hAnsiTheme="majorBidi" w:cstheme="majorBidi"/>
        </w:rPr>
        <w:t xml:space="preserve"> </w:t>
      </w:r>
      <w:r w:rsidR="00526E06">
        <w:rPr>
          <w:rFonts w:asciiTheme="majorBidi" w:eastAsia="Times New Roman" w:hAnsiTheme="majorBidi" w:cstheme="majorBidi"/>
        </w:rPr>
        <w:fldChar w:fldCharType="begin" w:fldLock="1"/>
      </w:r>
      <w:r w:rsidR="00526E06">
        <w:rPr>
          <w:rFonts w:asciiTheme="majorBidi" w:eastAsia="Times New Roman" w:hAnsiTheme="majorBidi" w:cstheme="majorBidi"/>
        </w:rPr>
        <w:instrText>ADDIN CSL_CITATION {"citationItems":[{"id":"ITEM-1","itemData":{"DOI":"10.1371/journal.pbio.2006607","ISBN":"1111111111","ISSN":"15457885","PMID":"30312293","abstract":"Horseshoe crabs have been integral to the safe production of vaccines and injectable medications for the past 40 years. The bleeding of live horseshoe crabs, a process that leaves thousands dead annually, is an ecologically unsustainable practice for all four species of horseshoe crab and the shorebirds that rely on their eggs as a primary food source during spring migration. Populations of both horseshoe crabs and shorebirds are in decline. This study confirms the efficacy of recombinant Factor C (rFC), a synthetic alternative that eliminates the need for animal products in endotoxin detection. Furthermore, our findings confirm that the biomedical industry can achieve a 90% reduction in the use of reagents derived from horseshoe crabs by using the synthetic alternative for the testing of water and other common materials used in the manufacturing process. This represents an extraordinary opportunity for the biomedical and pharmaceutical industries to significantly contribute to the conservation of horseshoe crabs and the birds that depend on them.","author":[{"dropping-particle":"","family":"Maloney","given":"Tom","non-dropping-particle":"","parse-names":false,"suffix":""},{"dropping-particle":"","family":"Phelan","given":"Ryan","non-dropping-particle":"","parse-names":false,"suffix":""},{"dropping-particle":"","family":"Simmons","given":"Naira","non-dropping-particle":"","parse-names":false,"suffix":""}],"container-title":"PLoS Biology","id":"ITEM-1","issue":"10","issued":{"date-parts":[["2018"]]},"page":"1-10","title":"Saving the horseshoe crab: A synthetic alternative to horseshoe crab blood for endotoxin detection","type":"article-journal","volume":"16"},"uris":["http://www.mendeley.com/documents/?uuid=15a033fb-e028-46e7-817c-2fc199ded9d3"]},{"id":"ITEM-2","itemData":{"DOI":"10.5731/pdajpst.2020.012187","ISSN":"19482124","PMID":"32817324","abstract":"Endotoxin testing by recombinant factor C (rFC) is increasing with the addition of new suppliers of reagents. By use of a recombinantly produced factor C , based on the sequence of a coagulation enzyme present in horseshoe crab amebocyte lysates, the rFC tests are designed as substitutes for the traditional Limulus amebocyte lysate (LAL)/Tachypleus amebocyte lysate tests based on horseshoe crab blood. Comparative testing of samples with both the LAL and recombinant reagents has shown a high degree of correlation, suggesting that use of rFC is comparable to the more traditional LAL tests and may be technologically superior. Recombinant factor C does not recognize the factor G pathway, the alternate coagulation pathway that the lysate reagents detect. This feature allows rFC to detect endotoxin more selectively. As a recombinantly produced material, it avoids the use of the horseshoe crabs required for lysate production, thereby protecting this species, which is at risk in some parts of the world. Recombinant factor C is expected to further benefit from a more sustainable supply chain based upon a robust biotechnological production process. We summarize here the results of many studies that evaluated the use of recombinant technology for the detection of environmental endotoxin. Additionally, we include a review of the current compendia and regulatory status of the recombinant technologies for use in the quality control of pharmaceutical manufacturing. Our analysis confirms that the recombinant technologies are comparable in protecting patient safety.","author":[{"dropping-particle":"","family":"Bolden","given":"Jay","non-dropping-particle":"","parse-names":false,"suffix":""},{"dropping-particle":"","family":"Knutsen","given":"Chris","non-dropping-particle":"","parse-names":false,"suffix":""},{"dropping-particle":"","family":"Levin","given":"Jack","non-dropping-particle":"","parse-names":false,"suffix":""},{"dropping-particle":"","family":"Milne","given":"Catherine","non-dropping-particle":"","parse-names":false,"suffix":""},{"dropping-particle":"","family":"Morris","given":"Tina","non-dropping-particle":"","parse-names":false,"suffix":""},{"dropping-particle":"","family":"Mozier","given":"Ned","non-dropping-particle":"","parse-names":false,"suffix":""},{"dropping-particle":"","family":"Spreitzer","given":"Ingo","non-dropping-particle":"","parse-names":false,"suffix":""},{"dropping-particle":"","family":"Wintzingerode","given":"Friedrich","non-dropping-particle":"von","parse-names":false,"suffix":""}],"container-title":"PDA journal of pharmaceutical science and technology","id":"ITEM-2","issue":"5","issued":{"date-parts":[["2020","9"]]},"page":"602-611","publisher":"NLM (Medline)","title":"Currently Available Recombinant Alternatives to Horseshoe Crab Blood Lysates: Are They Comparable for the Detection of Environmental Bacterial Endotoxins? A Review","type":"article-journal","volume":"74"},"uris":["http://www.mendeley.com/documents/?uuid=672343b7-e351-45ff-8b04-6f2b4d8e96b9"]}],"mendeley":{"formattedCitation":"(Bolden et al., 2020; Maloney et al., 2018)","plainTextFormattedCitation":"(Bolden et al., 2020; Maloney et al., 2018)","previouslyFormattedCitation":"(Bolden et al., 2020; Maloney et al., 2018)"},"properties":{"noteIndex":0},"schema":"https://github.com/citation-style-language/schema/raw/master/csl-citation.json"}</w:instrText>
      </w:r>
      <w:r w:rsidR="00526E06">
        <w:rPr>
          <w:rFonts w:asciiTheme="majorBidi" w:eastAsia="Times New Roman" w:hAnsiTheme="majorBidi" w:cstheme="majorBidi"/>
        </w:rPr>
        <w:fldChar w:fldCharType="separate"/>
      </w:r>
      <w:r w:rsidR="00526E06" w:rsidRPr="00526E06">
        <w:rPr>
          <w:rFonts w:asciiTheme="majorBidi" w:eastAsia="Times New Roman" w:hAnsiTheme="majorBidi" w:cstheme="majorBidi"/>
          <w:noProof/>
        </w:rPr>
        <w:t>(Bolden et al., 2020; Maloney et al., 2018)</w:t>
      </w:r>
      <w:r w:rsidR="00526E06">
        <w:rPr>
          <w:rFonts w:asciiTheme="majorBidi" w:eastAsia="Times New Roman" w:hAnsiTheme="majorBidi" w:cstheme="majorBidi"/>
        </w:rPr>
        <w:fldChar w:fldCharType="end"/>
      </w:r>
      <w:r w:rsidR="00054C86" w:rsidRPr="00777E5B">
        <w:rPr>
          <w:rFonts w:asciiTheme="majorBidi" w:eastAsia="Times New Roman" w:hAnsiTheme="majorBidi" w:cstheme="majorBidi"/>
        </w:rPr>
        <w:t>.</w:t>
      </w:r>
    </w:p>
    <w:p w14:paraId="667B256A" w14:textId="0B38C2F4" w:rsidR="00631435" w:rsidRPr="00777E5B" w:rsidRDefault="00054C86" w:rsidP="00142944">
      <w:pPr>
        <w:numPr>
          <w:ilvl w:val="1"/>
          <w:numId w:val="168"/>
        </w:numPr>
        <w:spacing w:before="120" w:after="120" w:line="240" w:lineRule="auto"/>
        <w:ind w:left="284" w:hanging="284"/>
        <w:jc w:val="both"/>
        <w:rPr>
          <w:rFonts w:asciiTheme="majorBidi" w:eastAsia="Times New Roman" w:hAnsiTheme="majorBidi" w:cstheme="majorBidi"/>
          <w:i/>
          <w:lang w:eastAsia="ar-SA"/>
        </w:rPr>
      </w:pPr>
      <w:r w:rsidRPr="00777E5B">
        <w:rPr>
          <w:rFonts w:asciiTheme="majorBidi" w:eastAsia="Times New Roman" w:hAnsiTheme="majorBidi" w:cstheme="majorBidi"/>
        </w:rPr>
        <w:t xml:space="preserve">Cannabinoids from engineered yeast </w:t>
      </w:r>
      <w:r w:rsidR="00722600" w:rsidRPr="00777E5B">
        <w:rPr>
          <w:rFonts w:asciiTheme="majorBidi" w:eastAsia="Times New Roman" w:hAnsiTheme="majorBidi" w:cstheme="majorBidi"/>
        </w:rPr>
        <w:t>and bacteria</w:t>
      </w:r>
      <w:r w:rsidRPr="00777E5B">
        <w:rPr>
          <w:rFonts w:asciiTheme="majorBidi" w:eastAsia="Times New Roman" w:hAnsiTheme="majorBidi" w:cstheme="majorBidi"/>
        </w:rPr>
        <w:t xml:space="preserve"> (</w:t>
      </w:r>
      <w:r w:rsidRPr="005F1592">
        <w:rPr>
          <w:rFonts w:asciiTheme="majorBidi" w:eastAsia="Times New Roman" w:hAnsiTheme="majorBidi" w:cstheme="majorBidi"/>
          <w:i/>
          <w:iCs/>
        </w:rPr>
        <w:t>Ginkgo</w:t>
      </w:r>
      <w:r w:rsidR="00137D29" w:rsidRPr="005F1592">
        <w:rPr>
          <w:rFonts w:asciiTheme="majorBidi" w:eastAsia="Times New Roman" w:hAnsiTheme="majorBidi" w:cstheme="majorBidi"/>
          <w:i/>
          <w:iCs/>
        </w:rPr>
        <w:t xml:space="preserve"> B</w:t>
      </w:r>
      <w:r w:rsidRPr="005F1592">
        <w:rPr>
          <w:rFonts w:asciiTheme="majorBidi" w:eastAsia="Times New Roman" w:hAnsiTheme="majorBidi" w:cstheme="majorBidi"/>
          <w:i/>
          <w:iCs/>
        </w:rPr>
        <w:t>ioworks</w:t>
      </w:r>
      <w:r w:rsidRPr="00777E5B">
        <w:rPr>
          <w:rFonts w:asciiTheme="majorBidi" w:eastAsia="Times New Roman" w:hAnsiTheme="majorBidi" w:cstheme="majorBidi"/>
        </w:rPr>
        <w:t xml:space="preserve">, </w:t>
      </w:r>
      <w:r w:rsidRPr="005F1592">
        <w:rPr>
          <w:rFonts w:asciiTheme="majorBidi" w:eastAsia="Times New Roman" w:hAnsiTheme="majorBidi" w:cstheme="majorBidi"/>
          <w:i/>
          <w:iCs/>
        </w:rPr>
        <w:t>Hyasynth</w:t>
      </w:r>
      <w:r w:rsidRPr="00777E5B">
        <w:rPr>
          <w:rFonts w:asciiTheme="majorBidi" w:eastAsia="Times New Roman" w:hAnsiTheme="majorBidi" w:cstheme="majorBidi"/>
        </w:rPr>
        <w:t>)</w:t>
      </w:r>
      <w:r w:rsidR="0074113D">
        <w:rPr>
          <w:rFonts w:asciiTheme="majorBidi" w:eastAsia="Times New Roman" w:hAnsiTheme="majorBidi" w:cstheme="majorBidi"/>
        </w:rPr>
        <w:t>.</w:t>
      </w:r>
    </w:p>
    <w:p w14:paraId="2D16ACC8" w14:textId="2A5709F5" w:rsidR="00054C86" w:rsidRPr="00777E5B" w:rsidRDefault="00CF1116" w:rsidP="00777E5B">
      <w:pPr>
        <w:spacing w:before="240" w:after="120" w:line="240" w:lineRule="auto"/>
        <w:ind w:left="284"/>
        <w:contextualSpacing/>
        <w:jc w:val="both"/>
        <w:rPr>
          <w:rFonts w:asciiTheme="majorBidi" w:eastAsia="Times New Roman" w:hAnsiTheme="majorBidi" w:cstheme="majorBidi"/>
          <w:i/>
          <w:lang w:eastAsia="ar-SA"/>
        </w:rPr>
      </w:pPr>
      <w:r w:rsidRPr="00777E5B">
        <w:rPr>
          <w:rFonts w:asciiTheme="majorBidi" w:hAnsiTheme="majorBidi" w:cstheme="majorBidi"/>
        </w:rPr>
        <w:t xml:space="preserve">Yeast and </w:t>
      </w:r>
      <w:r w:rsidRPr="00777E5B">
        <w:rPr>
          <w:rFonts w:asciiTheme="majorBidi" w:hAnsiTheme="majorBidi" w:cstheme="majorBidi"/>
          <w:i/>
          <w:iCs/>
        </w:rPr>
        <w:t>E. coli</w:t>
      </w:r>
      <w:r w:rsidRPr="00777E5B">
        <w:rPr>
          <w:rFonts w:asciiTheme="majorBidi" w:hAnsiTheme="majorBidi" w:cstheme="majorBidi"/>
        </w:rPr>
        <w:t xml:space="preserve"> were metabolically engineered to contain the biosynthetic pathways for the synthesis of cannabinoids, cannabinoid analogues and cannabinoid precursors </w:t>
      </w:r>
      <w:r w:rsidR="00526E06">
        <w:rPr>
          <w:rFonts w:asciiTheme="majorBidi" w:hAnsiTheme="majorBidi" w:cstheme="majorBidi"/>
        </w:rPr>
        <w:fldChar w:fldCharType="begin" w:fldLock="1"/>
      </w:r>
      <w:r w:rsidR="00856C75">
        <w:rPr>
          <w:rFonts w:asciiTheme="majorBidi" w:hAnsiTheme="majorBidi" w:cstheme="majorBidi"/>
        </w:rPr>
        <w:instrText>ADDIN CSL_CITATION {"citationItems":[{"id":"ITEM-1","itemData":{"abstract":"Aspects of the disclosure relate to biosynthesis of cannabinoids and cannabinoid precursors in recombinant cells and in vitro.","author":[{"dropping-particle":"","family":"Anderson","given":"Kim Cecelia","non-dropping-particle":"","parse-names":false,"suffix":""},{"dropping-particle":"","family":"Brevnova","given":"Elena","non-dropping-particle":"","parse-names":false,"suffix":""},{"dropping-particle":"","family":"Carlin","given":"Dylan Alexander","non-dropping-particle":"","parse-names":false,"suffix":""},{"dropping-particle":"","family":"Carvalho","given":"Brian","non-dropping-particle":"","parse-names":false,"suffix":""},{"dropping-particle":"","family":"Flores","given":"Nicolas","non-dropping-particle":"","parse-names":false,"suffix":""},{"dropping-particle":"","family":"Forrest","given":"Katrina","non-dropping-particle":"","parse-names":false,"suffix":""},{"dropping-particle":"","family":"McMahon","given":"Matt","non-dropping-particle":"","parse-names":false,"suffix":""},{"dropping-particle":"","family":"Merighi","given":"Massimo","non-dropping-particle":"","parse-names":false,"suffix":""},{"dropping-particle":"","family":"Rodriguez","given":"Gabriel","non-dropping-particle":"","parse-names":false,"suffix":""},{"dropping-particle":"","family":"Wrenbeck","given":"Emily E","non-dropping-particle":"","parse-names":false,"suffix":""}],"id":"ITEM-1","issue":"51","issued":{"date-parts":[["2020"]]},"title":"Biosynthesis of Cannabinoids and Cannabinoid Precursors","type":"article","volume":"0"},"uris":["http://www.mendeley.com/documents/?uuid=703be5aa-7150-41ca-8db2-08ce0ed23a61"]},{"id":"ITEM-2","itemData":{"abstract":"The present disclosure relates generally to methods and cell lines for the production of phytocannabinoids, phytocannabinoid precursors or intermediates, or phytocannabinoid analogue. Methods for transformation of host cells, such as yeast cells, are described. Cells may be transformed, for example, with a polynucleotide encoding a polyketide synthase (PKS) enzyme, a polynucleotide encoding an olivetolic acid cyclase (OAC) enzyme, and/or a polynucleotide encoding a prenyltransferase (PT) enzyme; and optionally a polynucleotide encoding an acyl-CoA synthase (Alk) enzyme; a polynucleotide encoding a fatty acyl CoA activating (CsAAE) enzyme; and/or a polynucleotide encoding a THCa synthase (OXC) enzyme.","author":[{"dropping-particle":"","family":"Bourgeois","given":"Leanne","non-dropping-particle":"","parse-names":false,"suffix":""},{"dropping-particle":"","family":"Bell","given":"Alexander","non-dropping-particle":"","parse-names":false,"suffix":""},{"dropping-particle":"","family":"Kranjec","given":"Elizabth-ann","non-dropping-particle":"","parse-names":false,"suffix":""},{"dropping-particle":"","family":"Melgar","given":"Mindy","non-dropping-particle":"","parse-names":false,"suffix":""},{"dropping-particle":"","family":"Mookerjee","given":"Shoham","non-dropping-particle":"","parse-names":false,"suffix":""},{"dropping-particle":"","family":"Palys","given":"Sylvester","non-dropping-particle":"","parse-names":false,"suffix":""},{"dropping-particle":"","family":"Therrien","given":"Alexandre","non-dropping-particle":"","parse-names":false,"suffix":""},{"dropping-particle":"","family":"Walton","given":"Curtis","non-dropping-particle":"","parse-names":false,"suffix":""},{"dropping-particle":"","family":"Woo","given":"Kevin","non-dropping-particle":"","parse-names":false,"suffix":""},{"dropping-particle":"","family":"Zhang","given":"Xiaohua","non-dropping-particle":"","parse-names":false,"suffix":""}],"id":"ITEM-2","issue":"12","issued":{"date-parts":[["2020"]]},"title":"Methods And Cells For Production Of Phytocannabinoids And Phytocannabinoid Precursors, WO2018148848A1","type":"article"},"uris":["http://www.mendeley.com/documents/?uuid=95f5a228-8f32-49c3-b2b5-0f317b59f9af"]}],"mendeley":{"formattedCitation":"(Anderson et al., 2020; Bourgeois et al., 2020)","plainTextFormattedCitation":"(Anderson et al., 2020; Bourgeois et al., 2020)","previouslyFormattedCitation":"(Anderson et al., 2020; Bourgeois et al., 2020)"},"properties":{"noteIndex":0},"schema":"https://github.com/citation-style-language/schema/raw/master/csl-citation.json"}</w:instrText>
      </w:r>
      <w:r w:rsidR="00526E06">
        <w:rPr>
          <w:rFonts w:asciiTheme="majorBidi" w:hAnsiTheme="majorBidi" w:cstheme="majorBidi"/>
        </w:rPr>
        <w:fldChar w:fldCharType="separate"/>
      </w:r>
      <w:r w:rsidR="00526E06" w:rsidRPr="00526E06">
        <w:rPr>
          <w:rFonts w:asciiTheme="majorBidi" w:hAnsiTheme="majorBidi" w:cstheme="majorBidi"/>
          <w:noProof/>
        </w:rPr>
        <w:t>(Anderson et al., 2020; Bourgeois et al., 2020)</w:t>
      </w:r>
      <w:r w:rsidR="00526E06">
        <w:rPr>
          <w:rFonts w:asciiTheme="majorBidi" w:hAnsiTheme="majorBidi" w:cstheme="majorBidi"/>
        </w:rPr>
        <w:fldChar w:fldCharType="end"/>
      </w:r>
      <w:r w:rsidR="00175069" w:rsidRPr="00777E5B">
        <w:rPr>
          <w:rFonts w:asciiTheme="majorBidi" w:hAnsiTheme="majorBidi" w:cstheme="majorBidi"/>
        </w:rPr>
        <w:t>.</w:t>
      </w:r>
    </w:p>
    <w:p w14:paraId="59EF2CED" w14:textId="611912B7" w:rsidR="00054C86" w:rsidRPr="00054C86" w:rsidRDefault="003D2EF7" w:rsidP="003D2EF7">
      <w:pPr>
        <w:pStyle w:val="Heading5"/>
        <w:tabs>
          <w:tab w:val="clear" w:pos="1800"/>
        </w:tabs>
        <w:ind w:left="284" w:hanging="284"/>
      </w:pPr>
      <w:r>
        <w:rPr>
          <w:i w:val="0"/>
          <w:iCs/>
        </w:rPr>
        <w:t xml:space="preserve">(b) </w:t>
      </w:r>
      <w:r w:rsidR="00054C86" w:rsidRPr="00054C86">
        <w:t>Carbon recycling</w:t>
      </w:r>
      <w:r w:rsidR="00D07E3A">
        <w:t>.</w:t>
      </w:r>
    </w:p>
    <w:p w14:paraId="1099AAD9" w14:textId="39E013CE" w:rsidR="00C50C17" w:rsidRPr="00777E5B" w:rsidRDefault="00054C86" w:rsidP="00142944">
      <w:pPr>
        <w:numPr>
          <w:ilvl w:val="1"/>
          <w:numId w:val="169"/>
        </w:numPr>
        <w:spacing w:before="120" w:after="120" w:line="240" w:lineRule="auto"/>
        <w:ind w:left="284" w:hanging="284"/>
        <w:jc w:val="both"/>
        <w:rPr>
          <w:rFonts w:ascii="Times New Roman" w:eastAsia="Times New Roman" w:hAnsi="Times New Roman" w:cstheme="minorBidi"/>
          <w:i/>
          <w:lang w:eastAsia="ar-SA"/>
        </w:rPr>
      </w:pPr>
      <w:r w:rsidRPr="00054C86">
        <w:rPr>
          <w:rFonts w:ascii="Times New Roman" w:eastAsia="Times New Roman" w:hAnsi="Times New Roman" w:cstheme="minorBidi"/>
        </w:rPr>
        <w:t>Engineered algae as biofactories for renewable fuel (</w:t>
      </w:r>
      <w:r w:rsidRPr="005F1592">
        <w:rPr>
          <w:rFonts w:ascii="Times New Roman" w:eastAsia="Times New Roman" w:hAnsi="Times New Roman" w:cstheme="minorBidi"/>
          <w:i/>
          <w:iCs/>
        </w:rPr>
        <w:t>Synthetic Genomics</w:t>
      </w:r>
      <w:r w:rsidRPr="00054C86">
        <w:rPr>
          <w:rFonts w:ascii="Times New Roman" w:eastAsia="Times New Roman" w:hAnsi="Times New Roman" w:cstheme="minorBidi"/>
        </w:rPr>
        <w:t xml:space="preserve">, </w:t>
      </w:r>
      <w:r w:rsidRPr="005F1592">
        <w:rPr>
          <w:rFonts w:ascii="Times New Roman" w:eastAsia="Times New Roman" w:hAnsi="Times New Roman" w:cstheme="minorBidi"/>
          <w:i/>
          <w:iCs/>
        </w:rPr>
        <w:t>Photanol</w:t>
      </w:r>
      <w:r w:rsidRPr="00054C86">
        <w:rPr>
          <w:rFonts w:ascii="Times New Roman" w:eastAsia="Times New Roman" w:hAnsi="Times New Roman" w:cstheme="minorBidi"/>
        </w:rPr>
        <w:t>)</w:t>
      </w:r>
      <w:r w:rsidR="00937583">
        <w:rPr>
          <w:rFonts w:ascii="Times New Roman" w:eastAsia="Times New Roman" w:hAnsi="Times New Roman" w:cstheme="minorBidi"/>
        </w:rPr>
        <w:t>.</w:t>
      </w:r>
      <w:r w:rsidRPr="00054C86">
        <w:rPr>
          <w:rFonts w:ascii="Times New Roman" w:eastAsia="Times New Roman" w:hAnsi="Times New Roman" w:cstheme="minorBidi"/>
        </w:rPr>
        <w:t xml:space="preserve"> </w:t>
      </w:r>
    </w:p>
    <w:p w14:paraId="479B69BF" w14:textId="19B3C153" w:rsidR="00054C86" w:rsidRPr="00474099" w:rsidRDefault="00C50C17" w:rsidP="00CB020B">
      <w:pPr>
        <w:spacing w:after="120" w:line="240" w:lineRule="auto"/>
        <w:ind w:left="284"/>
        <w:jc w:val="both"/>
        <w:rPr>
          <w:rFonts w:ascii="Times New Roman" w:eastAsia="Times New Roman" w:hAnsi="Times New Roman" w:cstheme="minorBidi"/>
          <w:i/>
          <w:lang w:val="da-DK" w:eastAsia="ar-SA"/>
        </w:rPr>
      </w:pPr>
      <w:r w:rsidRPr="00777E5B">
        <w:rPr>
          <w:rFonts w:asciiTheme="majorBidi" w:hAnsiTheme="majorBidi" w:cstheme="majorBidi"/>
        </w:rPr>
        <w:t>By applying multi-omic approaches for strain characteri</w:t>
      </w:r>
      <w:r w:rsidR="00937583">
        <w:rPr>
          <w:rFonts w:asciiTheme="majorBidi" w:hAnsiTheme="majorBidi" w:cstheme="majorBidi"/>
        </w:rPr>
        <w:t>s</w:t>
      </w:r>
      <w:r w:rsidRPr="00777E5B">
        <w:rPr>
          <w:rFonts w:asciiTheme="majorBidi" w:hAnsiTheme="majorBidi" w:cstheme="majorBidi"/>
        </w:rPr>
        <w:t>ation and genomic manipulations (BioBricks, genome editing), algae can be metabolically engineered or contain genetic circuitry for optimi</w:t>
      </w:r>
      <w:r w:rsidR="00937583">
        <w:rPr>
          <w:rFonts w:asciiTheme="majorBidi" w:hAnsiTheme="majorBidi" w:cstheme="majorBidi"/>
        </w:rPr>
        <w:t>s</w:t>
      </w:r>
      <w:r w:rsidRPr="00777E5B">
        <w:rPr>
          <w:rFonts w:asciiTheme="majorBidi" w:hAnsiTheme="majorBidi" w:cstheme="majorBidi"/>
        </w:rPr>
        <w:t>ed bio-fuel production.</w:t>
      </w:r>
      <w:r w:rsidRPr="00994550">
        <w:t xml:space="preserve"> </w:t>
      </w:r>
      <w:r w:rsidR="00856C75">
        <w:rPr>
          <w:rFonts w:ascii="Times New Roman" w:eastAsia="Times New Roman" w:hAnsi="Times New Roman" w:cstheme="minorBidi"/>
          <w:lang w:val="da-DK"/>
        </w:rPr>
        <w:fldChar w:fldCharType="begin" w:fldLock="1"/>
      </w:r>
      <w:r w:rsidR="00D74258">
        <w:rPr>
          <w:rFonts w:ascii="Times New Roman" w:eastAsia="Times New Roman" w:hAnsi="Times New Roman" w:cstheme="minorBidi"/>
          <w:lang w:val="da-DK"/>
        </w:rPr>
        <w:instrText>ADDIN CSL_CITATION {"citationItems":[{"id":"ITEM-1","itemData":{"DOI":"10.1186/s13068-018-1181-1","ISSN":"17546834","abstract":"In the wake of the uprising global energy crisis, microalgae have emerged as an alternate feedstock for biofuel production. In addition, microalgae bear immense potential as bio-cell factories in terms of producing key chemicals, recombinant proteins, enzymes, lipid, hydrogen and alcohol. Abstraction of such high-value products (algal biorefinery approach) facilitates to make microalgae-based renewable energy an economically viable option. Synthetic biology is an emerging field that harmoniously blends science and engineering to help design and construct novel biological systems, with an aim to achieve rationally formulated objectives. However, resources and tools used for such nuclear manipulation, construction of synthetic gene network and genome-scale reconstruction of microalgae are limited. Herein, we present recent developments in the upcoming field of microalgae employed as a model system for synthetic biology applications and highlight the importance of genome-scale reconstruction models and kinetic models, to maximize the metabolic output by understanding the intricacies of algal growth. This review also examines the role played by microalgae as biorefineries, microalgal culture conditions and various operating parameters that need to be optimized to yield biofuel that can be economically competitive with fossil fuels.","author":[{"dropping-particle":"","family":"Jagadevan","given":"Sheeja","non-dropping-particle":"","parse-names":false,"suffix":""},{"dropping-particle":"","family":"Banerjee","given":"Avik","non-dropping-particle":"","parse-names":false,"suffix":""},{"dropping-particle":"","family":"Banerjee","given":"Chiranjib","non-dropping-particle":"","parse-names":false,"suffix":""},{"dropping-particle":"","family":"Guria","given":"Chandan","non-dropping-particle":"","parse-names":false,"suffix":""},{"dropping-particle":"","family":"Tiwari","given":"Rameshwar","non-dropping-particle":"","parse-names":false,"suffix":""},{"dropping-particle":"","family":"Baweja","given":"Mehak","non-dropping-particle":"","parse-names":false,"suffix":""},{"dropping-particle":"","family":"Shukla","given":"Pratyoosh","non-dropping-particle":"","parse-names":false,"suffix":""}],"container-title":"Biotechnology for Biofuels","id":"ITEM-1","issue":"1","issued":{"date-parts":[["2018","6"]]},"page":"185","publisher":"BioMed Central Ltd.","title":"Recent developments in synthetic biology and metabolic engineering in microalgae towards biofuel production","type":"article","volume":"11"},"uris":["http://www.mendeley.com/documents/?uuid=27073fb3-c768-4cc8-909e-e7590b747a2c"]},{"id":"ITEM-2","itemData":{"author":[{"dropping-particle":"","family":"Benders","given":"Gwyned","non-dropping-particle":"","parse-names":false,"suffix":""},{"dropping-particle":"","family":"Glass","given":"John I","non-dropping-particle":"","parse-names":false,"suffix":""},{"dropping-particle":"","family":"Hutchison","given":"Clyde A","non-dropping-particle":"","parse-names":false,"suffix":""},{"dropping-particle":"","family":"Lartigue","given":"Carole","non-dropping-particle":"","parse-names":false,"suffix":""},{"dropping-particle":"","family":"Vashee","given":"Sanjay","non-dropping-particle":"","parse-names":false,"suffix":""},{"dropping-particle":"","family":"Algire","given":"Mikkel A","non-dropping-particle":"","parse-names":false,"suffix":""},{"dropping-particle":"","family":"Smith","given":"Hamilton O","non-dropping-particle":"","parse-names":false,"suffix":""},{"dropping-particle":"","family":"Merryman","given":"Charles E","non-dropping-particle":"","parse-names":false,"suffix":""},{"dropping-particle":"","family":"Noskov","given":"Vladimir N","non-dropping-particle":"","parse-names":false,"suffix":""},{"dropping-particle":"","family":"Chuang","given":"Ray-Yuan","non-dropping-particle":"","parse-names":false,"suffix":""},{"dropping-particle":"","family":"Gibson","given":"Daniel G","non-dropping-particle":"","parse-names":false,"suffix":""},{"dropping-particle":"","family":"Venter","given":"J Craig","non-dropping-particle":"","parse-names":false,"suffix":""}],"id":"ITEM-2","issue":"12","issued":{"date-parts":[["2016"]]},"page":"25-32","title":"Methods for cloning and manipulating genomes, US9273310B2","type":"article","volume":"108"},"uris":["http://www.mendeley.com/documents/?uuid=e95c95e1-f5a7-45c5-a3dc-e2f66ea518af"]},{"id":"ITEM-3","itemData":{"abstract":"The present invention relates to water soluble open time extenders, which are mixed with an architectural coating, such as aqueous latex paints, to increase the coating's open time and crosslink to the architectural coating upon drying. The open time extender comprises neutralized water soluble polymers with hydrophobic, hydrophilic and cross-linkable monomers, and at least one crosslinking agent. The open time extender also comprises water and the total solid content of the open time extender is less than about 25% by weight.","author":[{"dropping-particle":"","family":"Savakis","given":"Philipp Emmanuil","non-dropping-particle":"","parse-names":false,"suffix":""},{"dropping-particle":"","family":"Angermayr","given":"Stephan Andreas","non-dropping-particle":"","parse-names":false,"suffix":""},{"dropping-particle":"","family":"Hugenholtz","given":"Jeroen","non-dropping-particle":"","parse-names":false,"suffix":""},{"dropping-particle":"","family":"Hellingwerf","given":"Klaas Jan","non-dropping-particle":"","parse-names":false,"suffix":""}],"id":"ITEM-3","issue":"12","issued":{"date-parts":[["2013"]]},"title":"Synthesis of acetoin, 2,3-butanediol and 2-butanol by cyanobacteria by heterologous expression of a catabolic pathway, WO2014092562A1","type":"article","volume":"21"},"uris":["http://www.mendeley.com/documents/?uuid=b9c6bd58-acec-4f7e-894f-bea1669496a6"]},{"id":"ITEM-4","itemData":{"author":[{"dropping-particle":"","family":"Watts","given":"Kevin","non-dropping-particle":"","parse-names":false,"suffix":""},{"dropping-particle":"","family":"Seshadri","given":"Rekha","non-dropping-particle":"","parse-names":false,"suffix":""},{"dropping-particle":"","family":"Richardson","given":"Toby","non-dropping-particle":"","parse-names":false,"suffix":""}],"id":"ITEM-4","issue":"12","issued":{"date-parts":[["2007"]]},"title":"Photosynthetic microorganisms comprising exogenous prokaryotic acyl-ACP thioesterases and methods for producing fatty acids, US8530207B2","type":"article","volume":"2"},"uris":["http://www.mendeley.com/documents/?uuid=7b08f92e-8720-4e8e-bfcc-269eb61b7b53"]}],"mendeley":{"formattedCitation":"(Benders et al., 2016; Jagadevan et al., 2018; Savakis et al., 2013; Watts et al., 2007)","plainTextFormattedCitation":"(Benders et al., 2016; Jagadevan et al., 2018; Savakis et al., 2013; Watts et al., 2007)","previouslyFormattedCitation":"(Benders et al., 2016; Jagadevan et al., 2018; Savakis et al., 2013; Watts et al., 2007)"},"properties":{"noteIndex":0},"schema":"https://github.com/citation-style-language/schema/raw/master/csl-citation.json"}</w:instrText>
      </w:r>
      <w:r w:rsidR="00856C75">
        <w:rPr>
          <w:rFonts w:ascii="Times New Roman" w:eastAsia="Times New Roman" w:hAnsi="Times New Roman" w:cstheme="minorBidi"/>
          <w:lang w:val="da-DK"/>
        </w:rPr>
        <w:fldChar w:fldCharType="separate"/>
      </w:r>
      <w:r w:rsidR="00856C75" w:rsidRPr="00856C75">
        <w:rPr>
          <w:rFonts w:ascii="Times New Roman" w:eastAsia="Times New Roman" w:hAnsi="Times New Roman" w:cstheme="minorBidi"/>
          <w:noProof/>
          <w:lang w:val="da-DK"/>
        </w:rPr>
        <w:t>(Benders et al., 2016; Jagadevan et al., 2018; Savakis et al., 2013; Watts et al., 2007)</w:t>
      </w:r>
      <w:r w:rsidR="00856C75">
        <w:rPr>
          <w:rFonts w:ascii="Times New Roman" w:eastAsia="Times New Roman" w:hAnsi="Times New Roman" w:cstheme="minorBidi"/>
          <w:lang w:val="da-DK"/>
        </w:rPr>
        <w:fldChar w:fldCharType="end"/>
      </w:r>
      <w:r w:rsidR="00937583" w:rsidRPr="00474099">
        <w:rPr>
          <w:rFonts w:ascii="Times New Roman" w:eastAsia="Times New Roman" w:hAnsi="Times New Roman" w:cstheme="minorBidi"/>
          <w:lang w:val="da-DK"/>
        </w:rPr>
        <w:t>.</w:t>
      </w:r>
    </w:p>
    <w:p w14:paraId="34756E33" w14:textId="6605A19C" w:rsidR="007B0505" w:rsidRPr="00777E5B" w:rsidRDefault="00054C86" w:rsidP="00142944">
      <w:pPr>
        <w:numPr>
          <w:ilvl w:val="1"/>
          <w:numId w:val="169"/>
        </w:numPr>
        <w:spacing w:before="120" w:after="120" w:line="240" w:lineRule="auto"/>
        <w:ind w:left="284" w:hanging="284"/>
        <w:jc w:val="both"/>
        <w:rPr>
          <w:rFonts w:ascii="Times New Roman" w:eastAsia="Times New Roman" w:hAnsi="Times New Roman" w:cstheme="minorBidi"/>
          <w:i/>
          <w:lang w:eastAsia="ar-SA"/>
        </w:rPr>
      </w:pPr>
      <w:r w:rsidRPr="00054C86">
        <w:rPr>
          <w:rFonts w:ascii="Times New Roman" w:eastAsia="Times New Roman" w:hAnsi="Times New Roman" w:cstheme="minorBidi"/>
        </w:rPr>
        <w:t>Processes to ferment plant waste</w:t>
      </w:r>
      <w:r w:rsidR="0072277D">
        <w:rPr>
          <w:rFonts w:ascii="Times New Roman" w:eastAsia="Times New Roman" w:hAnsi="Times New Roman" w:cstheme="minorBidi"/>
        </w:rPr>
        <w:t>,</w:t>
      </w:r>
      <w:r w:rsidRPr="00054C86">
        <w:rPr>
          <w:rFonts w:ascii="Times New Roman" w:eastAsia="Times New Roman" w:hAnsi="Times New Roman" w:cstheme="minorBidi"/>
        </w:rPr>
        <w:t xml:space="preserve"> agricultural biogas</w:t>
      </w:r>
      <w:r w:rsidR="00A3481E">
        <w:rPr>
          <w:rFonts w:ascii="Times New Roman" w:eastAsia="Times New Roman" w:hAnsi="Times New Roman" w:cstheme="minorBidi"/>
        </w:rPr>
        <w:t>,</w:t>
      </w:r>
      <w:r w:rsidRPr="00054C86">
        <w:rPr>
          <w:rFonts w:ascii="Times New Roman" w:eastAsia="Times New Roman" w:hAnsi="Times New Roman" w:cstheme="minorBidi"/>
        </w:rPr>
        <w:t xml:space="preserve"> </w:t>
      </w:r>
      <w:r w:rsidR="0072277D">
        <w:rPr>
          <w:rFonts w:ascii="Times New Roman" w:eastAsia="Times New Roman" w:hAnsi="Times New Roman" w:cstheme="minorBidi"/>
        </w:rPr>
        <w:t>and industrial off</w:t>
      </w:r>
      <w:r w:rsidR="00E5641B">
        <w:rPr>
          <w:rFonts w:ascii="Times New Roman" w:eastAsia="Times New Roman" w:hAnsi="Times New Roman" w:cstheme="minorBidi"/>
        </w:rPr>
        <w:t>-gases</w:t>
      </w:r>
      <w:r w:rsidRPr="00054C86">
        <w:rPr>
          <w:rFonts w:ascii="Times New Roman" w:eastAsia="Times New Roman" w:hAnsi="Times New Roman" w:cstheme="minorBidi"/>
        </w:rPr>
        <w:t xml:space="preserve"> into petrochemical precursors (</w:t>
      </w:r>
      <w:r w:rsidRPr="005F1592">
        <w:rPr>
          <w:rFonts w:ascii="Times New Roman" w:eastAsia="Times New Roman" w:hAnsi="Times New Roman" w:cstheme="minorBidi"/>
          <w:i/>
          <w:iCs/>
        </w:rPr>
        <w:t>Global Bioenergies</w:t>
      </w:r>
      <w:r w:rsidRPr="00054C86">
        <w:rPr>
          <w:rFonts w:ascii="Times New Roman" w:eastAsia="Times New Roman" w:hAnsi="Times New Roman" w:cstheme="minorBidi"/>
        </w:rPr>
        <w:t xml:space="preserve">, </w:t>
      </w:r>
      <w:r w:rsidRPr="005F1592">
        <w:rPr>
          <w:rFonts w:ascii="Times New Roman" w:eastAsia="Times New Roman" w:hAnsi="Times New Roman" w:cstheme="minorBidi"/>
          <w:i/>
          <w:iCs/>
        </w:rPr>
        <w:t>LanzaTech</w:t>
      </w:r>
      <w:r w:rsidRPr="00054C86">
        <w:rPr>
          <w:rFonts w:ascii="Times New Roman" w:eastAsia="Times New Roman" w:hAnsi="Times New Roman" w:cstheme="minorBidi"/>
        </w:rPr>
        <w:t>)</w:t>
      </w:r>
      <w:r w:rsidR="00937583">
        <w:rPr>
          <w:rFonts w:ascii="Times New Roman" w:eastAsia="Times New Roman" w:hAnsi="Times New Roman" w:cstheme="minorBidi"/>
        </w:rPr>
        <w:t>.</w:t>
      </w:r>
    </w:p>
    <w:p w14:paraId="3034A293" w14:textId="13177397" w:rsidR="00054C86" w:rsidRPr="00777E5B" w:rsidRDefault="00C50B51" w:rsidP="00777E5B">
      <w:pPr>
        <w:spacing w:before="240" w:after="120" w:line="240" w:lineRule="auto"/>
        <w:ind w:left="284"/>
        <w:contextualSpacing/>
        <w:jc w:val="both"/>
        <w:rPr>
          <w:rFonts w:asciiTheme="majorBidi" w:eastAsia="Times New Roman" w:hAnsiTheme="majorBidi" w:cstheme="majorBidi"/>
          <w:i/>
          <w:lang w:eastAsia="ar-SA"/>
        </w:rPr>
      </w:pPr>
      <w:r w:rsidRPr="00777E5B">
        <w:rPr>
          <w:rFonts w:asciiTheme="majorBidi" w:hAnsiTheme="majorBidi" w:cstheme="majorBidi"/>
        </w:rPr>
        <w:t>A range of microbial chassis (aerobic and anaerobic, chemo-autotrophic</w:t>
      </w:r>
      <w:r w:rsidR="00A3481E">
        <w:rPr>
          <w:rFonts w:asciiTheme="majorBidi" w:hAnsiTheme="majorBidi" w:cstheme="majorBidi"/>
        </w:rPr>
        <w:t>,</w:t>
      </w:r>
      <w:r w:rsidRPr="00777E5B">
        <w:rPr>
          <w:rFonts w:asciiTheme="majorBidi" w:hAnsiTheme="majorBidi" w:cstheme="majorBidi"/>
        </w:rPr>
        <w:t xml:space="preserve"> and photoautotrophic) are metabolically engineered to convert one carbon gases into chemical precursors </w:t>
      </w:r>
      <w:r w:rsidR="00D74258">
        <w:rPr>
          <w:rFonts w:asciiTheme="majorBidi" w:eastAsia="Times New Roman" w:hAnsiTheme="majorBidi" w:cstheme="majorBidi"/>
        </w:rPr>
        <w:fldChar w:fldCharType="begin" w:fldLock="1"/>
      </w:r>
      <w:r w:rsidR="00D74258">
        <w:rPr>
          <w:rFonts w:asciiTheme="majorBidi" w:eastAsia="Times New Roman" w:hAnsiTheme="majorBidi" w:cstheme="majorBidi"/>
        </w:rPr>
        <w:instrText>ADDIN CSL_CITATION {"citationItems":[{"id":"ITEM-1","itemData":{"DOI":"10.1016/j.copbio.2017.12.023","ISSN":"18790429","PMID":"29414057","abstract":"The future sustainable production of chemicals and fuels from non-petrochemical sources, while at the same time reducing greenhouse gas (GHG) emissions, represent two of society's greatest challenges. Microbial chassis able to grow on waste carbon monoxide (CO) and carbon dioxide (CO 2 ) can provide solutions to both. Ranging from the anaerobic acetogens, through the aerobic chemoautotrophs to the photoautotrophic cyanobacteria, they are able to convert C1 gases into a range of chemicals and fuels which may be enhanced and extended through appropriate metabolic engineering. The necessary improvements will be facilitated by the increasingly sophisticated gene tools that are beginning to emerge as part of the Synthetic Biology revolution. These tools, in combination with more accurate metabolic and genome scale models, will enable C1 chassis to deliver their full potential.","author":[{"dropping-particle":"","family":"Humphreys","given":"Christopher M","non-dropping-particle":"","parse-names":false,"suffix":""},{"dropping-particle":"","family":"Minton","given":"Nigel P","non-dropping-particle":"","parse-names":false,"suffix":""}],"container-title":"Current Opinion in Biotechnology","id":"ITEM-1","issued":{"date-parts":[["2018","4"]]},"page":"174-181","publisher":"Elsevier Ltd","title":"Advances in metabolic engineering in the microbial production of fuels and chemicals from C1 gas","type":"article","volume":"50"},"uris":["http://www.mendeley.com/documents/?uuid=3cb921e4-a714-4460-83b0-b448b966e4e9"]},{"id":"ITEM-2","itemData":{"DOI":"10.1017/jmo.2017.83","ISSN":"18333672","abstract":"This case describes the extraordinary growth story of LanzaTech, a New Zealand (NZ)-based company cofounded in 2005 by scientists Sean Simpson and Richard Forster. LanzaTech developed a microbe which fermented the waste gases generated from steel manufacturing to produce ethanol and other chemicals. This case builds on effectuation logic and entrepreneurial discovery to highlight the challenges and opportunities of research commercialization. The case is structured chronologically and outlines the steps that the entrepreneur has taken to build the technology from scratch. It covers the early phases of the company, focussing particularly on how LanzaTech developed, refined, patented and began to commercialize its research. A key strength of the case is its multidisciplinary focus. The case describes some of the crucial aspects of research commercialization including capital raising, developing a business model, forming partnerships and expanding internationally. The case also describes a company committed to retaining its research base in NZ, and some of the opportunities and drawbacks of operating in a small economy at a distance from key market players.","author":[{"dropping-particle":"","family":"Karlson","given":"Brian","non-dropping-particle":"","parse-names":false,"suffix":""},{"dropping-particle":"","family":"Bellavitis","given":"Cristiano","non-dropping-particle":"","parse-names":false,"suffix":""},{"dropping-particle":"","family":"France","given":"Nadine","non-dropping-particle":"","parse-names":false,"suffix":""}],"container-title":"Journal of Management and Organization","id":"ITEM-2","issue":"1","issued":{"date-parts":[["2021","1"]]},"page":"175-196","publisher":"Cambridge University Press","title":"Commercializing LanzaTech, from waste to fuel: An effectuation case","type":"article-journal","volume":"27"},"uris":["http://www.mendeley.com/documents/?uuid=8935d44b-eace-4a54-971c-9b60d1740ce8"]},{"id":"ITEM-3","itemData":{"DOI":"10.1111/1751-7915.12431","ISSN":"17517915","author":[{"dropping-particle":"","family":"Dürre","given":"Peter","non-dropping-particle":"","parse-names":false,"suffix":""}],"container-title":"Microbial Biotechnology","id":"ITEM-3","issue":"1","issued":{"date-parts":[["2017","1"]]},"page":"14-16","publisher":"John Wiley and Sons Ltd","title":"Gas fermentation - a biotechnological solution for today's challenges","type":"article-journal","volume":"10"},"uris":["http://www.mendeley.com/documents/?uuid=1f01b2c9-69bd-4642-8e12-cac2900ffe91"]},{"id":"ITEM-4","itemData":{"author":[{"dropping-particle":"","family":"Oakley","given":"Simon David","non-dropping-particle":"","parse-names":false,"suffix":""}],"id":"ITEM-4","issue":"12","issued":{"date-parts":[["2012"]]},"title":"Carbon capture in fermentation, US8263372B2","type":"article","volume":"2"},"uris":["http://www.mendeley.com/documents/?uuid=17685db1-144b-4812-89bf-36ee185fcfaf"]},{"id":"ITEM-5","itemData":{"author":[{"dropping-particle":"","family":"Reed","given":"John S","non-dropping-particle":"","parse-names":false,"suffix":""},{"dropping-particle":"","family":"Dyson","given":"Lisa","non-dropping-particle":"","parse-names":false,"suffix":""}],"id":"ITEM-5","issue":"19","issued":{"date-parts":[["2013"]]},"title":"Use of oxyhydrogen microorganisms for non-photosynthetic carbon capture and conversion of inorganic and/or c1 carbon sources into useful organic compounds, US20130149755A1","type":"article","volume":"1"},"uris":["http://www.mendeley.com/documents/?uuid=193d0dcd-7e6c-45c1-b9f6-57a373766369"]},{"id":"ITEM-6","itemData":{"DOI":"10.1016/j.biortech.2016.04.038","ISSN":"18732976","PMID":"27106591","abstract":"Acetogens have often been observed to be inhibited by CO above an inhibition threshold concentration. In this study, a two-stage culture consisting of carboxydotrophic archaea and homoacetogenic bacteria is found to be effective in converting industrial waste gas derived from a steel mill process. In the first stage, Thermococcus onnurineus could grow on the Linz-Donawitz converter gas (LDG) containing ca. 56% CO as a sole energy source, converting the CO into H2 and CO2. Then, in the second stage, Thermoanaerobacter kivui could grow on the off-gas from the first stage culture, consuming the H2 and CO in the off-gas completely and producing acetate as a main product. T. kivui alone could not grow on the LDG gas. This work represents the first demonstration of acetate production using steel mill waste gas by a two-stage culture of carboxydotrophic hydrogenogenic microbes and homoacetogenic bacteria.","author":[{"dropping-particle":"","family":"Kim","given":"Tae Wan","non-dropping-particle":"","parse-names":false,"suffix":""},{"dropping-particle":"","family":"Bae","given":"Seung Seob","non-dropping-particle":"","parse-names":false,"suffix":""},{"dropping-particle":"","family":"Lee","given":"Jin Woo","non-dropping-particle":"","parse-names":false,"suffix":""},{"dropping-particle":"","family":"Lee","given":"Sung Mok","non-dropping-particle":"","parse-names":false,"suffix":""},{"dropping-particle":"","family":"Lee","given":"Jung Hyun","non-dropping-particle":"","parse-names":false,"suffix":""},{"dropping-particle":"","family":"Lee","given":"Hyun Sook","non-dropping-particle":"","parse-names":false,"suffix":""},{"dropping-particle":"","family":"Kang","given":"Sung Gyun","non-dropping-particle":"","parse-names":false,"suffix":""}],"container-title":"Bioresource Technology","id":"ITEM-6","issued":{"date-parts":[["2016","7"]]},"page":"792-796","publisher":"Elsevier Ltd","title":"A biological process effective for the conversion of CO-containing industrial waste gas to acetate","type":"article-journal","volume":"211"},"uris":["http://www.mendeley.com/documents/?uuid=3786a429-cccc-4218-9a3a-ef6cd0385891"]}],"mendeley":{"formattedCitation":"(Dürre, 2017; Humphreys &amp; Minton, 2018; Karlson et al., 2021; Kim et al., 2016; Oakley, 2012; Reed &amp; Dyson, 2013)","plainTextFormattedCitation":"(Dürre, 2017; Humphreys &amp; Minton, 2018; Karlson et al., 2021; Kim et al., 2016; Oakley, 2012; Reed &amp; Dyson, 2013)","previouslyFormattedCitation":"(Dürre, 2017; Humphreys &amp; Minton, 2018; Karlson et al., 2021; Kim et al., 2016; Oakley, 2012; Reed &amp; Dyson, 2013)"},"properties":{"noteIndex":0},"schema":"https://github.com/citation-style-language/schema/raw/master/csl-citation.json"}</w:instrText>
      </w:r>
      <w:r w:rsidR="00D74258">
        <w:rPr>
          <w:rFonts w:asciiTheme="majorBidi" w:eastAsia="Times New Roman" w:hAnsiTheme="majorBidi" w:cstheme="majorBidi"/>
        </w:rPr>
        <w:fldChar w:fldCharType="separate"/>
      </w:r>
      <w:r w:rsidR="00D74258" w:rsidRPr="00D74258">
        <w:rPr>
          <w:rFonts w:asciiTheme="majorBidi" w:eastAsia="Times New Roman" w:hAnsiTheme="majorBidi" w:cstheme="majorBidi"/>
          <w:noProof/>
        </w:rPr>
        <w:t>(Dürre, 2017; Humphreys &amp; Minton, 2018; Karlson et al., 2021; Kim et al., 2016; Oakley, 2012; Reed &amp; Dyson, 2013)</w:t>
      </w:r>
      <w:r w:rsidR="00D74258">
        <w:rPr>
          <w:rFonts w:asciiTheme="majorBidi" w:eastAsia="Times New Roman" w:hAnsiTheme="majorBidi" w:cstheme="majorBidi"/>
        </w:rPr>
        <w:fldChar w:fldCharType="end"/>
      </w:r>
      <w:r w:rsidR="00E000B6" w:rsidRPr="00474099">
        <w:rPr>
          <w:rFonts w:asciiTheme="majorBidi" w:hAnsiTheme="majorBidi" w:cstheme="majorBidi"/>
        </w:rPr>
        <w:t xml:space="preserve">. </w:t>
      </w:r>
      <w:r w:rsidR="00E000B6" w:rsidRPr="00777E5B">
        <w:rPr>
          <w:rFonts w:asciiTheme="majorBidi" w:hAnsiTheme="majorBidi" w:cstheme="majorBidi"/>
        </w:rPr>
        <w:t xml:space="preserve">For example, cells can also be programmed to produce limonene, a jet fuel </w:t>
      </w:r>
      <w:r w:rsidR="00D74258">
        <w:rPr>
          <w:rFonts w:asciiTheme="majorBidi" w:hAnsiTheme="majorBidi" w:cstheme="majorBidi"/>
        </w:rPr>
        <w:fldChar w:fldCharType="begin" w:fldLock="1"/>
      </w:r>
      <w:r w:rsidR="00D74258">
        <w:rPr>
          <w:rFonts w:asciiTheme="majorBidi" w:hAnsiTheme="majorBidi" w:cstheme="majorBidi"/>
        </w:rPr>
        <w:instrText>ADDIN CSL_CITATION {"citationItems":[{"id":"ITEM-1","itemData":{"author":[{"dropping-particle":"","family":"Jansson","given":"Christer","non-dropping-particle":"","parse-names":false,"suffix":""},{"dropping-particle":"","family":"Carr","given":"Cody A Marcus","non-dropping-particle":"","parse-names":false,"suffix":""},{"dropping-particle":"","family":"Reed","given":"John S","non-dropping-particle":"","parse-names":false,"suffix":""}],"id":"ITEM-1","issued":{"date-parts":[["2019"]]},"title":"Microorganisms for biosynthesis of limonene on gaseous substrates, US10179920B2","type":"article","volume":"1"},"uris":["http://www.mendeley.com/documents/?uuid=582c5d85-274b-4517-9304-b4b938026120"]}],"mendeley":{"formattedCitation":"(Jansson et al., 2019)","plainTextFormattedCitation":"(Jansson et al., 2019)","previouslyFormattedCitation":"(Jansson et al., 2019)"},"properties":{"noteIndex":0},"schema":"https://github.com/citation-style-language/schema/raw/master/csl-citation.json"}</w:instrText>
      </w:r>
      <w:r w:rsidR="00D74258">
        <w:rPr>
          <w:rFonts w:asciiTheme="majorBidi" w:hAnsiTheme="majorBidi" w:cstheme="majorBidi"/>
        </w:rPr>
        <w:fldChar w:fldCharType="separate"/>
      </w:r>
      <w:r w:rsidR="00D74258" w:rsidRPr="00D74258">
        <w:rPr>
          <w:rFonts w:asciiTheme="majorBidi" w:hAnsiTheme="majorBidi" w:cstheme="majorBidi"/>
          <w:noProof/>
        </w:rPr>
        <w:t>(Jansson et al., 2019)</w:t>
      </w:r>
      <w:r w:rsidR="00D74258">
        <w:rPr>
          <w:rFonts w:asciiTheme="majorBidi" w:hAnsiTheme="majorBidi" w:cstheme="majorBidi"/>
        </w:rPr>
        <w:fldChar w:fldCharType="end"/>
      </w:r>
      <w:r w:rsidR="00E000B6" w:rsidRPr="00777E5B">
        <w:rPr>
          <w:rFonts w:asciiTheme="majorBidi" w:hAnsiTheme="majorBidi" w:cstheme="majorBidi"/>
        </w:rPr>
        <w:t>.</w:t>
      </w:r>
    </w:p>
    <w:p w14:paraId="6766E38B" w14:textId="78F11A7F" w:rsidR="00F0373F" w:rsidRPr="00777E5B" w:rsidRDefault="0019647E" w:rsidP="00142944">
      <w:pPr>
        <w:numPr>
          <w:ilvl w:val="1"/>
          <w:numId w:val="169"/>
        </w:numPr>
        <w:spacing w:before="120" w:after="120" w:line="240" w:lineRule="auto"/>
        <w:ind w:left="284" w:hanging="284"/>
        <w:jc w:val="both"/>
        <w:rPr>
          <w:rFonts w:ascii="Times New Roman" w:eastAsia="Times New Roman" w:hAnsi="Times New Roman" w:cstheme="minorBidi"/>
          <w:i/>
          <w:lang w:eastAsia="ar-SA"/>
        </w:rPr>
      </w:pPr>
      <w:r>
        <w:rPr>
          <w:rFonts w:ascii="Times New Roman" w:eastAsia="Times New Roman" w:hAnsi="Times New Roman" w:cstheme="minorBidi"/>
        </w:rPr>
        <w:t xml:space="preserve">Greenhouse </w:t>
      </w:r>
      <w:r w:rsidR="004A597C">
        <w:rPr>
          <w:rFonts w:ascii="Times New Roman" w:eastAsia="Times New Roman" w:hAnsi="Times New Roman" w:cstheme="minorBidi"/>
        </w:rPr>
        <w:t xml:space="preserve">and waste </w:t>
      </w:r>
      <w:r>
        <w:rPr>
          <w:rFonts w:ascii="Times New Roman" w:eastAsia="Times New Roman" w:hAnsi="Times New Roman" w:cstheme="minorBidi"/>
        </w:rPr>
        <w:t xml:space="preserve">gas </w:t>
      </w:r>
      <w:r w:rsidR="008F3B54" w:rsidRPr="00777E5B">
        <w:rPr>
          <w:rFonts w:asciiTheme="majorBidi" w:eastAsia="Times New Roman" w:hAnsiTheme="majorBidi" w:cstheme="majorBidi"/>
        </w:rPr>
        <w:t>(</w:t>
      </w:r>
      <w:r w:rsidR="00054C86" w:rsidRPr="00777E5B">
        <w:rPr>
          <w:rFonts w:asciiTheme="majorBidi" w:eastAsia="Times New Roman" w:hAnsiTheme="majorBidi" w:cstheme="majorBidi"/>
        </w:rPr>
        <w:t>CO</w:t>
      </w:r>
      <w:r w:rsidR="00054C86" w:rsidRPr="00777E5B">
        <w:rPr>
          <w:rFonts w:asciiTheme="majorBidi" w:eastAsia="Times New Roman" w:hAnsiTheme="majorBidi" w:cstheme="majorBidi"/>
          <w:vertAlign w:val="subscript"/>
        </w:rPr>
        <w:t>2</w:t>
      </w:r>
      <w:r w:rsidR="004A597C" w:rsidRPr="00777E5B">
        <w:rPr>
          <w:rFonts w:asciiTheme="majorBidi" w:eastAsia="Times New Roman" w:hAnsiTheme="majorBidi" w:cstheme="majorBidi"/>
        </w:rPr>
        <w:t>,</w:t>
      </w:r>
      <w:r w:rsidR="008F3B54" w:rsidRPr="00777E5B">
        <w:rPr>
          <w:rFonts w:asciiTheme="majorBidi" w:hAnsiTheme="majorBidi" w:cstheme="majorBidi"/>
        </w:rPr>
        <w:t xml:space="preserve"> CO, CH</w:t>
      </w:r>
      <w:r w:rsidR="008F3B54" w:rsidRPr="00777E5B">
        <w:rPr>
          <w:rFonts w:asciiTheme="majorBidi" w:hAnsiTheme="majorBidi" w:cstheme="majorBidi"/>
          <w:vertAlign w:val="subscript"/>
        </w:rPr>
        <w:t>3</w:t>
      </w:r>
      <w:r w:rsidR="008F3B54" w:rsidRPr="00777E5B">
        <w:rPr>
          <w:rFonts w:asciiTheme="majorBidi" w:hAnsiTheme="majorBidi" w:cstheme="majorBidi"/>
        </w:rPr>
        <w:t>)</w:t>
      </w:r>
      <w:r w:rsidR="00054C86" w:rsidRPr="00054C86">
        <w:rPr>
          <w:rFonts w:ascii="Times New Roman" w:eastAsia="Times New Roman" w:hAnsi="Times New Roman" w:cstheme="minorBidi"/>
        </w:rPr>
        <w:t xml:space="preserve"> capture and conversion into </w:t>
      </w:r>
      <w:r w:rsidR="00020783">
        <w:rPr>
          <w:rFonts w:ascii="Times New Roman" w:eastAsia="Times New Roman" w:hAnsi="Times New Roman" w:cstheme="minorBidi"/>
        </w:rPr>
        <w:t xml:space="preserve">bacterial-based </w:t>
      </w:r>
      <w:r w:rsidR="00054C86" w:rsidRPr="00054C86">
        <w:rPr>
          <w:rFonts w:ascii="Times New Roman" w:eastAsia="Times New Roman" w:hAnsi="Times New Roman" w:cstheme="minorBidi"/>
        </w:rPr>
        <w:t>soil fertilisers (</w:t>
      </w:r>
      <w:r w:rsidR="00054C86" w:rsidRPr="005F1592">
        <w:rPr>
          <w:rFonts w:ascii="Times New Roman" w:eastAsia="Times New Roman" w:hAnsi="Times New Roman" w:cstheme="minorBidi"/>
          <w:i/>
          <w:iCs/>
        </w:rPr>
        <w:t xml:space="preserve">Kiverdi </w:t>
      </w:r>
      <w:r w:rsidR="00A268DA" w:rsidRPr="005F1592" w:rsidDel="00A268DA">
        <w:rPr>
          <w:rFonts w:ascii="Times New Roman" w:eastAsia="Times New Roman" w:hAnsi="Times New Roman" w:cstheme="minorBidi"/>
          <w:i/>
          <w:iCs/>
        </w:rPr>
        <w:t>Inc</w:t>
      </w:r>
      <w:r w:rsidR="00054C86" w:rsidRPr="00054C86">
        <w:rPr>
          <w:rFonts w:ascii="Times New Roman" w:eastAsia="Times New Roman" w:hAnsi="Times New Roman" w:cstheme="minorBidi"/>
        </w:rPr>
        <w:t>)</w:t>
      </w:r>
      <w:r w:rsidR="00937583">
        <w:t>.</w:t>
      </w:r>
    </w:p>
    <w:p w14:paraId="332F9813" w14:textId="141E1540" w:rsidR="00054C86" w:rsidRPr="00777E5B" w:rsidRDefault="00F0373F" w:rsidP="00777E5B">
      <w:pPr>
        <w:spacing w:before="240" w:after="120" w:line="240" w:lineRule="auto"/>
        <w:ind w:left="284"/>
        <w:contextualSpacing/>
        <w:jc w:val="both"/>
        <w:rPr>
          <w:rFonts w:asciiTheme="majorBidi" w:eastAsia="Times New Roman" w:hAnsiTheme="majorBidi" w:cstheme="majorBidi"/>
          <w:i/>
          <w:lang w:eastAsia="ar-SA"/>
        </w:rPr>
      </w:pPr>
      <w:r w:rsidRPr="00777E5B">
        <w:rPr>
          <w:rFonts w:asciiTheme="majorBidi" w:hAnsiTheme="majorBidi" w:cstheme="majorBidi"/>
        </w:rPr>
        <w:t xml:space="preserve">Metabolically engineered bacteria capture a variety of atmospheric and waste gases to </w:t>
      </w:r>
      <w:r w:rsidR="00937583" w:rsidRPr="00777E5B">
        <w:rPr>
          <w:rFonts w:asciiTheme="majorBidi" w:hAnsiTheme="majorBidi" w:cstheme="majorBidi"/>
        </w:rPr>
        <w:t>synthesi</w:t>
      </w:r>
      <w:r w:rsidR="00937583">
        <w:rPr>
          <w:rFonts w:asciiTheme="majorBidi" w:hAnsiTheme="majorBidi" w:cstheme="majorBidi"/>
        </w:rPr>
        <w:t>s</w:t>
      </w:r>
      <w:r w:rsidR="00937583" w:rsidRPr="00777E5B">
        <w:rPr>
          <w:rFonts w:asciiTheme="majorBidi" w:hAnsiTheme="majorBidi" w:cstheme="majorBidi"/>
        </w:rPr>
        <w:t xml:space="preserve">e </w:t>
      </w:r>
      <w:r w:rsidRPr="00777E5B">
        <w:rPr>
          <w:rFonts w:asciiTheme="majorBidi" w:hAnsiTheme="majorBidi" w:cstheme="majorBidi"/>
        </w:rPr>
        <w:t>fertili</w:t>
      </w:r>
      <w:r w:rsidR="00937583">
        <w:rPr>
          <w:rFonts w:asciiTheme="majorBidi" w:hAnsiTheme="majorBidi" w:cstheme="majorBidi"/>
        </w:rPr>
        <w:t>s</w:t>
      </w:r>
      <w:r w:rsidRPr="00777E5B">
        <w:rPr>
          <w:rFonts w:asciiTheme="majorBidi" w:hAnsiTheme="majorBidi" w:cstheme="majorBidi"/>
        </w:rPr>
        <w:t>ers and bio-stimulants for plants and fungi. The products are excepted to increase soil carbon and nitrogen, among other nutrients</w:t>
      </w:r>
      <w:r w:rsidR="00054C86" w:rsidRPr="00777E5B">
        <w:rPr>
          <w:rFonts w:asciiTheme="majorBidi" w:eastAsia="Times New Roman" w:hAnsiTheme="majorBidi" w:cstheme="majorBidi"/>
        </w:rPr>
        <w:t xml:space="preserve"> </w:t>
      </w:r>
      <w:r w:rsidR="00054C86" w:rsidRPr="5EEA41E0">
        <w:rPr>
          <w:rFonts w:asciiTheme="majorBidi" w:eastAsia="Times New Roman" w:hAnsiTheme="majorBidi" w:cstheme="majorBidi"/>
        </w:rPr>
        <w:fldChar w:fldCharType="begin" w:fldLock="1"/>
      </w:r>
      <w:r w:rsidR="008F6A90">
        <w:rPr>
          <w:rFonts w:ascii="Times New Roman" w:eastAsia="Times New Roman" w:hAnsi="Times New Roman" w:cstheme="minorBidi"/>
        </w:rPr>
        <w:instrText xml:space="preserve">ADDIN CSL_CITATION {"citationItems":[{"id":"ITEM-1","itemData":{"DOI":"10.1039/c9ee02381j","ISSN":"17545706","abstract":"To prevent an environmental collapse while feeding a future human population of 10 billion people, dilute nitrogen in waste streams as a nitrogen source and carbon dioxide as a carbon source should be recovered and recycled into edible protein as part of the circular economy. For this to work, however, ample renewable electric power would be necessary to provide hydrogen from water electrolysis as an electron donor. We developed a two-stage bioprocessing system as part of a power-to-protein approach to fix carbon dioxide in a first stage by anaerobic acetogenic bacteria, and grow yeasts or fungi in a second stage under aerobic conditions with acetate as the intermediate metabolite. We were able to obtain a carbon yield of 25% as yeast biomass with a protein mass-fraction of </w:instrText>
      </w:r>
      <w:r w:rsidR="008F6A90">
        <w:rPr>
          <w:rFonts w:ascii="Cambria Math" w:eastAsia="Times New Roman" w:hAnsi="Cambria Math" w:cs="Cambria Math"/>
        </w:rPr>
        <w:instrText>∼</w:instrText>
      </w:r>
      <w:r w:rsidR="008F6A90">
        <w:rPr>
          <w:rFonts w:ascii="Times New Roman" w:eastAsia="Times New Roman" w:hAnsi="Times New Roman" w:cstheme="minorBidi"/>
        </w:rPr>
        <w:instrText>40-50% during a proof-of-concept experiment. We developed a technological solution to circumvent conventional agriculture for protein production, while still being able to provide protein for human consumption.","author":[{"dropping-particle":"","family":"Molitor","given":"Bastian","non-dropping-particle":"","parse-names":false,"suffix":""},{"dropping-particle":"","family":"Mishra","given":"Akanksha","non-dropping-particle":"","parse-names":false,"suffix":""},{"dropping-particle":"","family":"Angenent","given":"Largus T.","non-dropping-particle":"","parse-names":false,"suffix":""}],"container-title":"Energy and Environmental Science","id":"ITEM-1","issue":"12","issued":{"date-parts":[["2019","12"]]},"page":"3515-3521","publisher":"Royal Society of Chemistry","title":"Power-to-protein: Converting renewable electric power and carbon dioxide into single cell protein with a two-stage bioprocess","type":"article-journal","volume":"12"},"uris":["http://www.mendeley.com/documents/?uuid=139656a3-3d84-4de0-961c-15defc375bc3"]}],"mendeley":{"formattedCitation":"(Molitor et al., 2019)","manualFormatting":"(Molitor et al., 2019;","plainTextFormattedCitation":"(Molitor et al., 2019)","previouslyFormattedCitation":"(Molitor et al., 2019)"},"properties":{"noteIndex":0},"schema":"https://github.com/citation-style-language/schema/raw/master/csl-citation.json"}</w:instrText>
      </w:r>
      <w:r w:rsidR="00054C86" w:rsidRPr="5EEA41E0">
        <w:rPr>
          <w:rFonts w:asciiTheme="majorBidi" w:eastAsia="Times New Roman" w:hAnsiTheme="majorBidi" w:cstheme="majorBidi"/>
        </w:rPr>
        <w:fldChar w:fldCharType="separate"/>
      </w:r>
      <w:r w:rsidR="00054C86" w:rsidRPr="00054C86">
        <w:rPr>
          <w:rFonts w:ascii="Times New Roman" w:eastAsia="Times New Roman" w:hAnsi="Times New Roman" w:cstheme="minorBidi"/>
          <w:noProof/>
        </w:rPr>
        <w:t>(Molitor et al., 2019</w:t>
      </w:r>
      <w:r w:rsidR="00937583">
        <w:rPr>
          <w:rFonts w:ascii="Times New Roman" w:eastAsia="Times New Roman" w:hAnsi="Times New Roman" w:cstheme="minorBidi"/>
          <w:noProof/>
        </w:rPr>
        <w:t>;</w:t>
      </w:r>
      <w:r w:rsidR="00054C86" w:rsidRPr="5EEA41E0">
        <w:rPr>
          <w:rFonts w:asciiTheme="majorBidi" w:eastAsia="Times New Roman" w:hAnsiTheme="majorBidi" w:cstheme="majorBidi"/>
        </w:rPr>
        <w:fldChar w:fldCharType="end"/>
      </w:r>
      <w:r w:rsidR="000130C0" w:rsidRPr="00777E5B">
        <w:rPr>
          <w:rFonts w:asciiTheme="majorBidi" w:hAnsiTheme="majorBidi" w:cstheme="majorBidi"/>
        </w:rPr>
        <w:t xml:space="preserve"> </w:t>
      </w:r>
      <w:r w:rsidR="00D74258">
        <w:rPr>
          <w:rFonts w:asciiTheme="majorBidi" w:hAnsiTheme="majorBidi" w:cstheme="majorBidi"/>
        </w:rPr>
        <w:fldChar w:fldCharType="begin" w:fldLock="1"/>
      </w:r>
      <w:r w:rsidR="004A60D6">
        <w:rPr>
          <w:rFonts w:asciiTheme="majorBidi" w:hAnsiTheme="majorBidi" w:cstheme="majorBidi"/>
        </w:rPr>
        <w:instrText>ADDIN CSL_CITATION {"citationItems":[{"id":"ITEM-1","itemData":{"author":[{"dropping-particle":"","family":"Dyson","given":"Lisa","non-dropping-particle":"","parse-names":false,"suffix":""},{"dropping-particle":"","family":"Reed","given":"John","non-dropping-particle":"","parse-names":false,"suffix":""},{"dropping-particle":"","family":"Geller","given":"Jil","non-dropping-particle":"","parse-names":false,"suffix":""},{"dropping-particle":"","family":"Hande","given":"Sonali","non-dropping-particle":"","parse-names":false,"suffix":""}],"id":"ITEM-1","issue":"12","issued":{"date-parts":[["2019"]]},"title":"Microbial conversion of CO2 and other C1 substrates to vegan nutrients, fertilizers, biostimulants, and systems for accelerated soil carbon sequestration, WO2018144965A1","type":"article","volume":"1"},"uris":["http://www.mendeley.com/documents/?uuid=3b38d5a7-f937-400d-a29f-3ecaf8b40d9a"]}],"mendeley":{"formattedCitation":"(Dyson et al., 2019)","manualFormatting":"Dyson et al., 2019)","plainTextFormattedCitation":"(Dyson et al., 2019)","previouslyFormattedCitation":"(Dyson et al., 2019)"},"properties":{"noteIndex":0},"schema":"https://github.com/citation-style-language/schema/raw/master/csl-citation.json"}</w:instrText>
      </w:r>
      <w:r w:rsidR="00D74258">
        <w:rPr>
          <w:rFonts w:asciiTheme="majorBidi" w:hAnsiTheme="majorBidi" w:cstheme="majorBidi"/>
        </w:rPr>
        <w:fldChar w:fldCharType="separate"/>
      </w:r>
      <w:r w:rsidR="00D74258" w:rsidRPr="00D74258">
        <w:rPr>
          <w:rFonts w:asciiTheme="majorBidi" w:hAnsiTheme="majorBidi" w:cstheme="majorBidi"/>
          <w:noProof/>
        </w:rPr>
        <w:t>Dyson et al., 2019)</w:t>
      </w:r>
      <w:r w:rsidR="00D74258">
        <w:rPr>
          <w:rFonts w:asciiTheme="majorBidi" w:hAnsiTheme="majorBidi" w:cstheme="majorBidi"/>
        </w:rPr>
        <w:fldChar w:fldCharType="end"/>
      </w:r>
      <w:r w:rsidR="000130C0" w:rsidRPr="00777E5B">
        <w:rPr>
          <w:rFonts w:asciiTheme="majorBidi" w:hAnsiTheme="majorBidi" w:cstheme="majorBidi"/>
        </w:rPr>
        <w:t>.</w:t>
      </w:r>
    </w:p>
    <w:p w14:paraId="43E9CE92" w14:textId="09CE6BA0" w:rsidR="00054C86" w:rsidRPr="00054C86" w:rsidRDefault="003D2EF7" w:rsidP="003D2EF7">
      <w:pPr>
        <w:pStyle w:val="Heading5"/>
        <w:tabs>
          <w:tab w:val="clear" w:pos="1800"/>
        </w:tabs>
        <w:ind w:left="284" w:hanging="284"/>
        <w:jc w:val="both"/>
      </w:pPr>
      <w:r>
        <w:rPr>
          <w:i w:val="0"/>
          <w:iCs/>
        </w:rPr>
        <w:t xml:space="preserve">(c) </w:t>
      </w:r>
      <w:r w:rsidR="00054C86" w:rsidRPr="00054C86">
        <w:t>Fabric</w:t>
      </w:r>
      <w:r w:rsidR="00D07E3A">
        <w:t>.</w:t>
      </w:r>
    </w:p>
    <w:p w14:paraId="7755EF74" w14:textId="43437FE3" w:rsidR="0007251C" w:rsidRPr="00777E5B" w:rsidRDefault="00054C86" w:rsidP="00142944">
      <w:pPr>
        <w:numPr>
          <w:ilvl w:val="1"/>
          <w:numId w:val="170"/>
        </w:numPr>
        <w:spacing w:before="120" w:after="120" w:line="240" w:lineRule="auto"/>
        <w:ind w:left="284" w:hanging="284"/>
        <w:jc w:val="both"/>
        <w:rPr>
          <w:rFonts w:ascii="Times New Roman" w:eastAsia="Times New Roman" w:hAnsi="Times New Roman" w:cstheme="minorBidi"/>
          <w:i/>
          <w:lang w:eastAsia="ar-SA"/>
        </w:rPr>
      </w:pPr>
      <w:r w:rsidRPr="00054C86">
        <w:rPr>
          <w:rFonts w:ascii="Times New Roman" w:eastAsia="Times New Roman" w:hAnsi="Times New Roman" w:cstheme="minorBidi"/>
        </w:rPr>
        <w:t>Bacteria that turn methane into bioplastics for clothing (</w:t>
      </w:r>
      <w:r w:rsidRPr="005F1592">
        <w:rPr>
          <w:rFonts w:ascii="Times New Roman" w:eastAsia="Times New Roman" w:hAnsi="Times New Roman" w:cstheme="minorBidi"/>
          <w:i/>
          <w:iCs/>
        </w:rPr>
        <w:t>Mango Materials</w:t>
      </w:r>
      <w:r w:rsidRPr="00054C86">
        <w:rPr>
          <w:rFonts w:ascii="Times New Roman" w:eastAsia="Times New Roman" w:hAnsi="Times New Roman" w:cstheme="minorBidi"/>
        </w:rPr>
        <w:t>)</w:t>
      </w:r>
      <w:r w:rsidR="00CB020B">
        <w:rPr>
          <w:rFonts w:ascii="Times New Roman" w:eastAsia="Times New Roman" w:hAnsi="Times New Roman" w:cstheme="minorBidi"/>
        </w:rPr>
        <w:t>.</w:t>
      </w:r>
    </w:p>
    <w:p w14:paraId="7BA67D52" w14:textId="7F083E4F" w:rsidR="00054C86" w:rsidRPr="004A60D6" w:rsidRDefault="0007251C" w:rsidP="00142944">
      <w:pPr>
        <w:spacing w:after="120" w:line="240" w:lineRule="auto"/>
        <w:ind w:left="284"/>
        <w:jc w:val="both"/>
        <w:rPr>
          <w:rFonts w:asciiTheme="majorBidi" w:hAnsiTheme="majorBidi" w:cstheme="majorBidi"/>
          <w:lang w:val="es-ES"/>
        </w:rPr>
      </w:pPr>
      <w:r w:rsidRPr="00777E5B">
        <w:rPr>
          <w:rFonts w:asciiTheme="majorBidi" w:hAnsiTheme="majorBidi" w:cstheme="majorBidi"/>
        </w:rPr>
        <w:t xml:space="preserve">Bacteria were metabolically engineered to consume methane </w:t>
      </w:r>
      <w:r w:rsidR="00072E11">
        <w:rPr>
          <w:rFonts w:asciiTheme="majorBidi" w:hAnsiTheme="majorBidi" w:cstheme="majorBidi"/>
        </w:rPr>
        <w:t>for the bioproduction of</w:t>
      </w:r>
      <w:r w:rsidRPr="00777E5B">
        <w:rPr>
          <w:rFonts w:asciiTheme="majorBidi" w:hAnsiTheme="majorBidi" w:cstheme="majorBidi"/>
        </w:rPr>
        <w:t xml:space="preserve"> plastic precursors, such as polyhydroxyalkanoate, for clothing </w:t>
      </w:r>
      <w:r w:rsidR="004A60D6">
        <w:rPr>
          <w:rFonts w:asciiTheme="majorBidi" w:hAnsiTheme="majorBidi" w:cstheme="majorBidi"/>
        </w:rPr>
        <w:fldChar w:fldCharType="begin" w:fldLock="1"/>
      </w:r>
      <w:r w:rsidR="00C92306">
        <w:rPr>
          <w:rFonts w:asciiTheme="majorBidi" w:hAnsiTheme="majorBidi" w:cstheme="majorBidi"/>
        </w:rPr>
        <w:instrText>ADDIN CSL_CITATION {"citationItems":[{"id":"ITEM-1","itemData":{"author":[{"dropping-particle":"","family":"Hickey","given":"Robert F.","non-dropping-particle":"","parse-names":false,"suffix":""},{"dropping-particle":"","family":"Morse","given":"Margaret Catherine","non-dropping-particle":"","parse-names":false,"suffix":""},{"dropping-particle":"","family":"Pieja","given":"Allison J.","non-dropping-particle":"","parse-names":false,"suffix":""}],"id":"ITEM-1","issued":{"date-parts":[["2018"]]},"number":"US20200181659A1","title":"High productivity methane fermentation processes","type":"patent"},"uris":["http://www.mendeley.com/documents/?uuid=dc9b0d3c-2815-4057-b141-ce44f5af9502"]},{"id":"ITEM-2","itemData":{"DOI":"10.1016/j.cbpa.2017.10.024","ISSN":"18790402","PMID":"29197255","abstract":"Methanotrophs have been studied since the 1970s, but interest has increased tremendously in recent years due to their potential to transform methane into valuable bioproducts. The vast quantity of available methane and the low price of methane as natural gas have helped to spur this interest. The most well-studied, biologically-derived products from methane include methanol, polyhydroxyalkanoates, and single cell protein. However, many other high-interest chemicals such as biofuels or high-value products such as ectoine could be made industrially relevant through metabolic engineering. Although challenges must be overcome to achieve commercialization of biologically manufactured methane-to-products, taking a holistic view of the production process or radically re-imagining pathways could lead to a future bioeconomy with methane as the primary feedstock.","author":[{"dropping-particle":"","family":"Pieja","given":"Allison J","non-dropping-particle":"","parse-names":false,"suffix":""},{"dropping-particle":"","family":"Morse","given":"Molly C","non-dropping-particle":"","parse-names":false,"suffix":""},{"dropping-particle":"","family":"Cal","given":"Andrew J","non-dropping-particle":"","parse-names":false,"suffix":""}],"container-title":"Current Opinion in Chemical Biology","id":"ITEM-2","issued":{"date-parts":[["2017","12"]]},"page":"123-131","publisher":"Elsevier Ltd","title":"Methane to bioproducts: the future of the bioeconomy?","type":"article","volume":"41"},"uris":["http://www.mendeley.com/documents/?uuid=c53d8445-a2db-4d7c-9788-479f59346879"]}],"mendeley":{"formattedCitation":"(Hickey et al., 2018; Pieja et al., 2017)","manualFormatting":"(Hickey et al., 2018; Pieja et al., 2017","plainTextFormattedCitation":"(Hickey et al., 2018; Pieja et al., 2017)","previouslyFormattedCitation":"(Hickey et al., 2018; Pieja et al., 2017)"},"properties":{"noteIndex":0},"schema":"https://github.com/citation-style-language/schema/raw/master/csl-citation.json"}</w:instrText>
      </w:r>
      <w:r w:rsidR="004A60D6">
        <w:rPr>
          <w:rFonts w:asciiTheme="majorBidi" w:hAnsiTheme="majorBidi" w:cstheme="majorBidi"/>
        </w:rPr>
        <w:fldChar w:fldCharType="separate"/>
      </w:r>
      <w:r w:rsidR="004A60D6" w:rsidRPr="004A60D6">
        <w:rPr>
          <w:rFonts w:asciiTheme="majorBidi" w:hAnsiTheme="majorBidi" w:cstheme="majorBidi"/>
          <w:noProof/>
          <w:lang w:val="en-US"/>
        </w:rPr>
        <w:t>(Hickey et al., 2018; Pieja et al., 2017</w:t>
      </w:r>
      <w:r w:rsidR="004A60D6">
        <w:rPr>
          <w:rFonts w:asciiTheme="majorBidi" w:hAnsiTheme="majorBidi" w:cstheme="majorBidi"/>
        </w:rPr>
        <w:fldChar w:fldCharType="end"/>
      </w:r>
      <w:r w:rsidR="00CB020B" w:rsidRPr="004A60D6">
        <w:rPr>
          <w:rFonts w:asciiTheme="majorBidi" w:hAnsiTheme="majorBidi" w:cstheme="majorBidi"/>
          <w:lang w:val="en-US"/>
        </w:rPr>
        <w:t>;</w:t>
      </w:r>
      <w:r w:rsidR="00054C86" w:rsidRPr="004A60D6">
        <w:rPr>
          <w:rFonts w:asciiTheme="majorBidi" w:eastAsia="Times New Roman" w:hAnsiTheme="majorBidi" w:cstheme="majorBidi"/>
          <w:lang w:val="en-US"/>
        </w:rPr>
        <w:t xml:space="preserve"> </w:t>
      </w:r>
      <w:r w:rsidR="00054C86" w:rsidRPr="674F3685">
        <w:rPr>
          <w:rFonts w:asciiTheme="majorBidi" w:eastAsia="Times New Roman" w:hAnsiTheme="majorBidi" w:cstheme="majorBidi"/>
        </w:rPr>
        <w:fldChar w:fldCharType="begin" w:fldLock="1"/>
      </w:r>
      <w:r w:rsidR="008F6A90" w:rsidRPr="004A60D6">
        <w:rPr>
          <w:rFonts w:asciiTheme="majorBidi" w:eastAsia="Times New Roman" w:hAnsiTheme="majorBidi" w:cstheme="majorBidi"/>
          <w:lang w:val="en-US"/>
        </w:rPr>
        <w:instrText>ADDIN CSL_CITATION {"citationItems":[{"id":"ITEM-1","itemData":{"DOI":"10.1016/j.tibtech.2019.10.006"</w:instrText>
      </w:r>
      <w:r w:rsidR="008F6A90" w:rsidRPr="004A60D6">
        <w:rPr>
          <w:rFonts w:asciiTheme="majorBidi" w:eastAsia="Times New Roman" w:hAnsiTheme="majorBidi" w:cstheme="majorBidi"/>
          <w:lang w:val="es-ES"/>
        </w:rPr>
        <w:instrText>,"ISSN":"18793096","PMID":"31727372","abstract":"Polyhydroxyalkanoates (PHAs) are a diverse family of biopolyesters synthesized by many natural or engineered bacteria. Synthetic biology and DNA-editing approaches have been adopted to engineer cells for more efficient PHA production. Recent advances in synthetic biology applied to improve PHA biosynthesis include ribosome-binding site (RBS) optimization, promoter engineering, chromosomal integration, cell morphology engineering, cell growth behavior reprograming, and downstream processing. More importantly, the genome-editing tool clustered regularly interspaced short palindromic repeats (CRISPR)/CRISPR-associated protein 9 (Cas9) has been applied to optimize the PHA synthetic pathway, regulate PHA synthesis-related metabolic flux, and control cell shapes in model organisms, such as Escherichia coli, and non-model organisms, such as Halomonas. These synthetic biology methods and genome-editing tools contribute to controllable PHA molecular weights and compositions, enhanced PHA accumulation, and easy downstream processing.","author":[{"dropping-particle":"","family":"Zhang","given":"Xu","non-dropping-particle":"","parse-names":false,"suffix":""},{"dropping-particle":"","family":"Lin","given":"Yina","non-dropping-particle":"","parse-names":false,"suffix":""},{"dropping-particle":"","family":"Wu","given":"Qiong","non-dropping-particle":"","parse-names":false,"suffix":""},{"dropping-particle":"","family":"Wang","given":"Ying","non-dropping-particle":"","parse-names":false,"suffix":""},{"dropping-particle":"","family":"Chen","given":"Guo Qiang","non-dropping-particle":"","parse-names":false,"suffix":""}],"container-title":"Trends in Biotechnology","id":"ITEM-1","issue":"7","issued":{"date-parts":[["2020","7"]]},"page":"689-700","publisher":"Elsevier Ltd","title":"Synthetic Biology and Genome-Editing Tools for Improving PHA Metabolic Engineering","type":"article","volume":"38"},"uris":["http://www.mendeley.com/documents/?uuid=ea349ced-5fe5-4d61-99ed-897758546447"]}],"mendeley":{"formattedCitation":"(X. Zhang et al., 2020)","manualFormatting":"Zhang et al., 2020)","plainTextFormattedCitation":"(X. Zhang et al., 2020)","previouslyFormattedCitation":"(X. Zhang et al., 2020)"},"properties":{"noteIndex":0},"schema":"https://github.com/citation-style-language/schema/raw/master/csl-citation.json"}</w:instrText>
      </w:r>
      <w:r w:rsidR="00054C86" w:rsidRPr="674F3685">
        <w:rPr>
          <w:rFonts w:asciiTheme="majorBidi" w:eastAsia="Times New Roman" w:hAnsiTheme="majorBidi" w:cstheme="majorBidi"/>
        </w:rPr>
        <w:fldChar w:fldCharType="separate"/>
      </w:r>
      <w:r w:rsidR="00054C86" w:rsidRPr="004A60D6">
        <w:rPr>
          <w:rFonts w:asciiTheme="majorBidi" w:eastAsia="Times New Roman" w:hAnsiTheme="majorBidi" w:cstheme="majorBidi"/>
          <w:noProof/>
          <w:lang w:val="es-ES"/>
        </w:rPr>
        <w:t>Zhang et al., 2020)</w:t>
      </w:r>
      <w:r w:rsidR="00054C86" w:rsidRPr="674F3685">
        <w:rPr>
          <w:rFonts w:asciiTheme="majorBidi" w:eastAsia="Times New Roman" w:hAnsiTheme="majorBidi" w:cstheme="majorBidi"/>
        </w:rPr>
        <w:fldChar w:fldCharType="end"/>
      </w:r>
      <w:r w:rsidR="00054C86" w:rsidRPr="004A60D6">
        <w:rPr>
          <w:rFonts w:asciiTheme="majorBidi" w:eastAsia="Times New Roman" w:hAnsiTheme="majorBidi" w:cstheme="majorBidi"/>
          <w:lang w:val="es-ES"/>
        </w:rPr>
        <w:t>.</w:t>
      </w:r>
    </w:p>
    <w:p w14:paraId="7CAAB00A" w14:textId="3B876C27" w:rsidR="007B49B8" w:rsidRPr="00777E5B" w:rsidRDefault="00054C86" w:rsidP="00B06D8B">
      <w:pPr>
        <w:numPr>
          <w:ilvl w:val="1"/>
          <w:numId w:val="170"/>
        </w:numPr>
        <w:spacing w:before="120" w:after="120" w:line="240" w:lineRule="auto"/>
        <w:ind w:left="284" w:hanging="284"/>
        <w:jc w:val="both"/>
        <w:rPr>
          <w:rFonts w:asciiTheme="majorBidi" w:eastAsia="Times New Roman" w:hAnsiTheme="majorBidi" w:cstheme="majorBidi"/>
          <w:i/>
          <w:lang w:eastAsia="ar-SA"/>
        </w:rPr>
      </w:pPr>
      <w:r w:rsidRPr="00777E5B">
        <w:rPr>
          <w:rFonts w:asciiTheme="majorBidi" w:eastAsia="Times New Roman" w:hAnsiTheme="majorBidi" w:cstheme="majorBidi"/>
        </w:rPr>
        <w:t>Synthetic silk from microbial sources (</w:t>
      </w:r>
      <w:r w:rsidRPr="005F1592">
        <w:rPr>
          <w:rFonts w:asciiTheme="majorBidi" w:eastAsia="Times New Roman" w:hAnsiTheme="majorBidi" w:cstheme="majorBidi"/>
          <w:i/>
          <w:iCs/>
        </w:rPr>
        <w:t>AMSilk</w:t>
      </w:r>
      <w:r w:rsidRPr="00777E5B">
        <w:rPr>
          <w:rFonts w:asciiTheme="majorBidi" w:eastAsia="Times New Roman" w:hAnsiTheme="majorBidi" w:cstheme="majorBidi"/>
        </w:rPr>
        <w:t xml:space="preserve">, </w:t>
      </w:r>
      <w:r w:rsidRPr="005F1592">
        <w:rPr>
          <w:rFonts w:asciiTheme="majorBidi" w:eastAsia="Times New Roman" w:hAnsiTheme="majorBidi" w:cstheme="majorBidi"/>
          <w:i/>
          <w:iCs/>
        </w:rPr>
        <w:t>Spiber</w:t>
      </w:r>
      <w:r w:rsidR="002B5BBC" w:rsidRPr="00777E5B">
        <w:rPr>
          <w:rFonts w:asciiTheme="majorBidi" w:eastAsia="Times New Roman" w:hAnsiTheme="majorBidi" w:cstheme="majorBidi"/>
        </w:rPr>
        <w:t xml:space="preserve">, </w:t>
      </w:r>
      <w:r w:rsidR="002B5BBC" w:rsidRPr="005F1592">
        <w:rPr>
          <w:rFonts w:asciiTheme="majorBidi" w:eastAsia="Times New Roman" w:hAnsiTheme="majorBidi" w:cstheme="majorBidi"/>
          <w:i/>
          <w:iCs/>
        </w:rPr>
        <w:t>Bolt Threads</w:t>
      </w:r>
      <w:r w:rsidRPr="00777E5B">
        <w:rPr>
          <w:rFonts w:asciiTheme="majorBidi" w:eastAsia="Times New Roman" w:hAnsiTheme="majorBidi" w:cstheme="majorBidi"/>
        </w:rPr>
        <w:t>)</w:t>
      </w:r>
      <w:r w:rsidR="00A5576A">
        <w:rPr>
          <w:rFonts w:asciiTheme="majorBidi" w:eastAsia="Times New Roman" w:hAnsiTheme="majorBidi" w:cstheme="majorBidi"/>
        </w:rPr>
        <w:t>.</w:t>
      </w:r>
    </w:p>
    <w:p w14:paraId="20547489" w14:textId="003CF7DA" w:rsidR="00065211" w:rsidRPr="00777E5B" w:rsidRDefault="007B49B8" w:rsidP="00E1457C">
      <w:pPr>
        <w:spacing w:after="120" w:line="240" w:lineRule="auto"/>
        <w:ind w:left="284"/>
        <w:jc w:val="both"/>
        <w:rPr>
          <w:rFonts w:asciiTheme="majorBidi" w:hAnsiTheme="majorBidi" w:cstheme="majorBidi"/>
        </w:rPr>
      </w:pPr>
      <w:r w:rsidRPr="00777E5B">
        <w:rPr>
          <w:rFonts w:asciiTheme="majorBidi" w:hAnsiTheme="majorBidi" w:cstheme="majorBidi"/>
        </w:rPr>
        <w:t xml:space="preserve">Recombinant spidroins (spider silk protein) and protein fiber yarns were engineered for bacterial production and enhanced qualities (strength, flexibility, etc.). Production occurs in microbial hosts, such as </w:t>
      </w:r>
      <w:r w:rsidRPr="00777E5B">
        <w:rPr>
          <w:rFonts w:asciiTheme="majorBidi" w:hAnsiTheme="majorBidi" w:cstheme="majorBidi"/>
          <w:i/>
          <w:iCs/>
        </w:rPr>
        <w:t xml:space="preserve">E. coli </w:t>
      </w:r>
      <w:r w:rsidR="00C92306">
        <w:rPr>
          <w:rFonts w:asciiTheme="majorBidi" w:hAnsiTheme="majorBidi" w:cstheme="majorBidi"/>
        </w:rPr>
        <w:fldChar w:fldCharType="begin" w:fldLock="1"/>
      </w:r>
      <w:r w:rsidR="002064B0">
        <w:rPr>
          <w:rFonts w:asciiTheme="majorBidi" w:hAnsiTheme="majorBidi" w:cstheme="majorBidi"/>
        </w:rPr>
        <w:instrText>ADDIN CSL_CITATION {"citationItems":[{"id":"ITEM-1","itemData":{"author":[{"dropping-particle":"","family":"Sekiyama","given":"Kaori","non-dropping-particle":"","parse-names":false,"suffix":""},{"dropping-particle":"","family":"Ishikawa","given":"Mizuki","non-dropping-particle":"","parse-names":false,"suffix":""},{"dropping-particle":"","family":"Murata","given":"Shinya","non-dropping-particle":"","parse-names":false,"suffix":""}],"id":"ITEM-1","issued":{"date-parts":[["2019"]]},"title":"Spider silk protein film, and method for producing same, US20190300588A1","type":"article","volume":"1"},"uris":["http://www.mendeley.com/documents/?uuid=db5d1c50-0e32-4e06-9abe-023cc44b7a4f"]},{"id":"ITEM-2","itemData":{"author":[{"dropping-particle":"","family":"Morita","given":"K","non-dropping-particle":"","parse-names":false,"suffix":""},{"dropping-particle":"","family":"Nakamura","given":"H","non-dropping-particle":"","parse-names":false,"suffix":""}],"id":"ITEM-2","issue":"12","issued":{"date-parts":[["2017"]]},"title":"Modified fibroin, WO2017188434A1","type":"article","volume":"0"},"uris":["http://www.mendeley.com/documents/?uuid=fe0adf5f-7812-4f10-98d2-d4896af26bdf"]},{"id":"ITEM-3","itemData":{"ISBN":"1932019324","author":[{"dropping-particle":"","family":"Scheibel","given":"Thomas","non-dropping-particle":"","parse-names":false,"suffix":""},{"dropping-particle":"","family":"Huemmerich","given":"Daniel","non-dropping-particle":"","parse-names":false,"suffix":""},{"dropping-particle":"","family":"Ackerschott","given":"Christian","non-dropping-particle":"","parse-names":false,"suffix":""}],"id":"ITEM-3","issue":"12","issued":{"date-parts":[["2010"]]},"page":"31-38","title":"Recombinant spider silk proteins, US8034897B1","type":"article","volume":"2"},"uris":["http://www.mendeley.com/documents/?uuid=563da527-eb69-4529-8d05-02be611c3127"]},{"id":"ITEM-4","itemData":{"ISBN":"4444444444","author":[{"dropping-particle":"","family":"Breslauer","given":"David","non-dropping-particle":"","parse-names":false,"suffix":""},{"dropping-particle":"","family":"BAINBRIDGE","given":"Jamie McAusland","non-dropping-particle":"","parse-names":false,"suffix":""},{"dropping-particle":"","family":"Wray","given":"Lindsay","non-dropping-particle":"","parse-names":false,"suffix":""},{"dropping-particle":"","family":"Kittleson","given":"Joshua","non-dropping-particle":"","parse-names":false,"suffix":""}],"id":"ITEM-4","issued":{"date-parts":[["2018"]]},"title":"Recombinant protein fiber yarns with improved properties, US20180216260A1","type":"article","volume":"1"},"uris":["http://www.mendeley.com/documents/?uuid=133ac02f-1a13-4928-bb06-060e303f4665"]}],"mendeley":{"formattedCitation":"(Breslauer et al., 2018; Morita &amp; Nakamura, 2017; Scheibel et al., 2010; Sekiyama et al., 2019)","manualFormatting":"(Breslauer et al., 2018; Morita &amp; Nakamura, 2017; Scheibel et al., 2010; Sekiyama et al., 2019;","plainTextFormattedCitation":"(Breslauer et al., 2018; Morita &amp; Nakamura, 2017; Scheibel et al., 2010; Sekiyama et al., 2019)","previouslyFormattedCitation":"(Breslauer et al., 2018; Morita &amp; Nakamura, 2017; Scheibel et al., 2010; Sekiyama et al., 2019)"},"properties":{"noteIndex":0},"schema":"https://github.com/citation-style-language/schema/raw/master/csl-citation.json"}</w:instrText>
      </w:r>
      <w:r w:rsidR="00C92306">
        <w:rPr>
          <w:rFonts w:asciiTheme="majorBidi" w:hAnsiTheme="majorBidi" w:cstheme="majorBidi"/>
        </w:rPr>
        <w:fldChar w:fldCharType="separate"/>
      </w:r>
      <w:r w:rsidR="00C92306" w:rsidRPr="00C92306">
        <w:rPr>
          <w:rFonts w:asciiTheme="majorBidi" w:hAnsiTheme="majorBidi" w:cstheme="majorBidi"/>
          <w:noProof/>
        </w:rPr>
        <w:t>(Breslauer et al., 2018; Morita &amp; Nakamura, 2017; Scheibel et al., 2010; Sekiyama et al., 2019</w:t>
      </w:r>
      <w:r w:rsidR="002064B0">
        <w:rPr>
          <w:rFonts w:asciiTheme="majorBidi" w:hAnsiTheme="majorBidi" w:cstheme="majorBidi"/>
          <w:noProof/>
        </w:rPr>
        <w:t>;</w:t>
      </w:r>
      <w:r w:rsidR="00C92306">
        <w:rPr>
          <w:rFonts w:asciiTheme="majorBidi" w:hAnsiTheme="majorBidi" w:cstheme="majorBidi"/>
        </w:rPr>
        <w:fldChar w:fldCharType="end"/>
      </w:r>
      <w:r w:rsidR="002064B0">
        <w:rPr>
          <w:rFonts w:asciiTheme="majorBidi" w:hAnsiTheme="majorBidi" w:cstheme="majorBidi"/>
        </w:rPr>
        <w:t xml:space="preserve"> </w:t>
      </w:r>
      <w:r w:rsidR="00054C86" w:rsidRPr="003210AC">
        <w:rPr>
          <w:rFonts w:ascii="Times New Roman" w:eastAsia="Times New Roman" w:hAnsi="Times New Roman" w:cstheme="minorBidi"/>
        </w:rPr>
        <w:fldChar w:fldCharType="begin" w:fldLock="1"/>
      </w:r>
      <w:r w:rsidR="008F6A90">
        <w:rPr>
          <w:rFonts w:ascii="Times New Roman" w:eastAsia="Times New Roman" w:hAnsi="Times New Roman" w:cstheme="minorBidi"/>
        </w:rPr>
        <w:instrText>ADDIN CSL_CITATION {"citationItems":[{"id":"ITEM-1","itemData":{"DOI":"10.1016/j.tibtech.2020.09.007","ISSN":"18793096","abstract":"Spider silk is renowned for its impressive mechanical properties. It is one of the strongest known biomaterials, possessing mechanical properties that outmatch both steel and Kevlar. However, the farming of spiders for their silk is unfeasible. Consequently, production of recombinant spider silk proteins (spidroins) in more amenable hosts is an exciting field of research. For large-scale production to be viable, a heterologous silk production system that is both highly efficient and cost effective is essential. Genes encoding recombinant spidroin have been expressed in bacterial, yeast, insect, and mammalian cells, in addition to many other platforms. This review discusses the recent advances in exploiting an increasingly diverse range of host platforms in the heterologous production of recombinant spidroins.","author":[{"dropping-particle":"","family":"Whittall","given":"Dominic R.","non-dropping-particle":"","parse-names":false,"suffix":""},{"dropping-particle":"V.","family":"Baker","given":"Katherine","non-dropping-particle":"","parse-names":false,"suffix":""},{"dropping-particle":"","family":"Breitling","given":"Rainer","non-dropping-particle":"","parse-names":false,"suffix":""},{"dropping-particle":"","family":"Takano","given":"Eriko","non-dropping-particle":"","parse-names":false,"suffix":""}],"container-title":"Trends in Biotechnology","id":"ITEM-1","issued":{"date-parts":[["2020"]]},"publisher":"Elsevier Ltd","title":"Host Systems for the Production of Recombinant Spider Silk","type":"article"},"uris":["http://www.mendeley.com/documents/?uuid=6c02044d-98fa-45b2-8d67-bf2f14deeba3"]}],"mendeley":{"formattedCitation":"(Whittall et al., 2020)","manualFormatting":"Whittall et al., 2020)","plainTextFormattedCitation":"(Whittall et al., 2020)","previouslyFormattedCitation":"(Whittall et al., 2020)"},"properties":{"noteIndex":0},"schema":"https://github.com/citation-style-language/schema/raw/master/csl-citation.json"}</w:instrText>
      </w:r>
      <w:r w:rsidR="00054C86" w:rsidRPr="003210AC">
        <w:rPr>
          <w:rFonts w:ascii="Times New Roman" w:eastAsia="Times New Roman" w:hAnsi="Times New Roman" w:cstheme="minorBidi"/>
        </w:rPr>
        <w:fldChar w:fldCharType="separate"/>
      </w:r>
      <w:r w:rsidR="00054C86" w:rsidRPr="00777E5B">
        <w:rPr>
          <w:rFonts w:ascii="Times New Roman" w:eastAsia="Times New Roman" w:hAnsi="Times New Roman" w:cstheme="minorBidi"/>
          <w:noProof/>
        </w:rPr>
        <w:t>Whittall et al., 2020)</w:t>
      </w:r>
      <w:r w:rsidR="00054C86" w:rsidRPr="003210AC">
        <w:rPr>
          <w:rFonts w:ascii="Times New Roman" w:eastAsia="Times New Roman" w:hAnsi="Times New Roman" w:cstheme="minorBidi"/>
        </w:rPr>
        <w:fldChar w:fldCharType="end"/>
      </w:r>
      <w:r w:rsidR="00054C86" w:rsidRPr="004A597C">
        <w:rPr>
          <w:rFonts w:ascii="Times New Roman" w:eastAsia="Times New Roman" w:hAnsi="Times New Roman" w:cstheme="minorBidi"/>
        </w:rPr>
        <w:t>.</w:t>
      </w:r>
      <w:r w:rsidR="000E5B67" w:rsidRPr="004A597C">
        <w:rPr>
          <w:rFonts w:asciiTheme="majorBidi" w:hAnsiTheme="majorBidi" w:cstheme="majorBidi"/>
        </w:rPr>
        <w:t xml:space="preserve"> In some cases, cells have also been re-programmed for enhanced protein production </w:t>
      </w:r>
      <w:r w:rsidR="00DE14C6" w:rsidRPr="004A597C">
        <w:rPr>
          <w:rFonts w:asciiTheme="majorBidi" w:hAnsiTheme="majorBidi" w:cstheme="majorBidi"/>
        </w:rPr>
        <w:t>using</w:t>
      </w:r>
      <w:r w:rsidR="000E5B67" w:rsidRPr="004A597C">
        <w:rPr>
          <w:rFonts w:asciiTheme="majorBidi" w:hAnsiTheme="majorBidi" w:cstheme="majorBidi"/>
        </w:rPr>
        <w:t xml:space="preserve"> regulatory RNAs, inducible regulatory elements</w:t>
      </w:r>
      <w:r w:rsidR="00DE14C6">
        <w:rPr>
          <w:rFonts w:asciiTheme="majorBidi" w:hAnsiTheme="majorBidi" w:cstheme="majorBidi"/>
        </w:rPr>
        <w:t>,</w:t>
      </w:r>
      <w:r w:rsidR="000E5B67" w:rsidRPr="004A597C">
        <w:rPr>
          <w:rFonts w:asciiTheme="majorBidi" w:hAnsiTheme="majorBidi" w:cstheme="majorBidi"/>
        </w:rPr>
        <w:t xml:space="preserve"> and mutagenesis </w:t>
      </w:r>
      <w:r w:rsidR="002064B0">
        <w:rPr>
          <w:rFonts w:asciiTheme="majorBidi" w:hAnsiTheme="majorBidi" w:cstheme="majorBidi"/>
        </w:rPr>
        <w:fldChar w:fldCharType="begin" w:fldLock="1"/>
      </w:r>
      <w:r w:rsidR="00E61F9C">
        <w:rPr>
          <w:rFonts w:asciiTheme="majorBidi" w:hAnsiTheme="majorBidi" w:cstheme="majorBidi"/>
        </w:rPr>
        <w:instrText>ADDIN CSL_CITATION {"citationItems":[{"id":"ITEM-1","itemData":{"author":[{"dropping-particle":"","family":"Widmaier","given":"Daniel","non-dropping-particle":"","parse-names":false,"suffix":""},{"dropping-particle":"","family":"Breslauer","given":"David","non-dropping-particle":"","parse-names":false,"suffix":""}],"id":"ITEM-1","issue":"19","issued":{"date-parts":[["2015"]]},"title":"Cellular Reprogramming for Product Optimization, US20150293076A1","type":"article","volume":"1"},"uris":["http://www.mendeley.com/documents/?uuid=e3a765d7-2603-4f58-9f83-1928cbfcda56"]}],"mendeley":{"formattedCitation":"(Widmaier &amp; Breslauer, 2015)","plainTextFormattedCitation":"(Widmaier &amp; Breslauer, 2015)","previouslyFormattedCitation":"(Widmaier &amp; Breslauer, 2015)"},"properties":{"noteIndex":0},"schema":"https://github.com/citation-style-language/schema/raw/master/csl-citation.json"}</w:instrText>
      </w:r>
      <w:r w:rsidR="002064B0">
        <w:rPr>
          <w:rFonts w:asciiTheme="majorBidi" w:hAnsiTheme="majorBidi" w:cstheme="majorBidi"/>
        </w:rPr>
        <w:fldChar w:fldCharType="separate"/>
      </w:r>
      <w:r w:rsidR="002064B0" w:rsidRPr="002064B0">
        <w:rPr>
          <w:rFonts w:asciiTheme="majorBidi" w:hAnsiTheme="majorBidi" w:cstheme="majorBidi"/>
          <w:noProof/>
        </w:rPr>
        <w:t>(Widmaier &amp; Breslauer, 2015)</w:t>
      </w:r>
      <w:r w:rsidR="002064B0">
        <w:rPr>
          <w:rFonts w:asciiTheme="majorBidi" w:hAnsiTheme="majorBidi" w:cstheme="majorBidi"/>
        </w:rPr>
        <w:fldChar w:fldCharType="end"/>
      </w:r>
      <w:r w:rsidR="000E5B67" w:rsidRPr="004A597C">
        <w:rPr>
          <w:rFonts w:asciiTheme="majorBidi" w:hAnsiTheme="majorBidi" w:cstheme="majorBidi"/>
        </w:rPr>
        <w:t>.</w:t>
      </w:r>
    </w:p>
    <w:p w14:paraId="7A45F2F1" w14:textId="6CDF6414" w:rsidR="00054C86" w:rsidRPr="00054C86" w:rsidRDefault="003D2EF7" w:rsidP="003D2EF7">
      <w:pPr>
        <w:pStyle w:val="Heading5"/>
        <w:tabs>
          <w:tab w:val="clear" w:pos="1800"/>
        </w:tabs>
        <w:ind w:left="284" w:firstLine="0"/>
      </w:pPr>
      <w:r>
        <w:rPr>
          <w:i w:val="0"/>
          <w:iCs/>
        </w:rPr>
        <w:t xml:space="preserve">(d) </w:t>
      </w:r>
      <w:r w:rsidR="00054C86" w:rsidRPr="00054C86">
        <w:t>Cosmetics and fragrances</w:t>
      </w:r>
      <w:r w:rsidR="00D07E3A">
        <w:t>.</w:t>
      </w:r>
    </w:p>
    <w:p w14:paraId="41B9D974" w14:textId="5F9B55AD" w:rsidR="00B255E3" w:rsidRPr="00777E5B" w:rsidRDefault="00054C86" w:rsidP="00142944">
      <w:pPr>
        <w:numPr>
          <w:ilvl w:val="1"/>
          <w:numId w:val="171"/>
        </w:numPr>
        <w:spacing w:before="120" w:after="120" w:line="240" w:lineRule="auto"/>
        <w:ind w:left="284" w:hanging="284"/>
        <w:jc w:val="both"/>
        <w:rPr>
          <w:rFonts w:ascii="Times New Roman" w:eastAsia="Times New Roman" w:hAnsi="Times New Roman" w:cstheme="minorBidi"/>
          <w:i/>
          <w:lang w:eastAsia="ar-SA"/>
        </w:rPr>
      </w:pPr>
      <w:r w:rsidRPr="00054C86">
        <w:rPr>
          <w:rFonts w:ascii="Times New Roman" w:eastAsia="Times New Roman" w:hAnsi="Times New Roman" w:cstheme="minorBidi"/>
        </w:rPr>
        <w:t>Animal-free collagen substitutes (</w:t>
      </w:r>
      <w:r w:rsidRPr="005F1592">
        <w:rPr>
          <w:rFonts w:ascii="Times New Roman" w:eastAsia="Times New Roman" w:hAnsi="Times New Roman" w:cstheme="minorBidi"/>
          <w:i/>
          <w:iCs/>
        </w:rPr>
        <w:t>Geltor</w:t>
      </w:r>
      <w:r w:rsidRPr="00054C86">
        <w:rPr>
          <w:rFonts w:ascii="Times New Roman" w:eastAsia="Times New Roman" w:hAnsi="Times New Roman" w:cstheme="minorBidi"/>
        </w:rPr>
        <w:t>)</w:t>
      </w:r>
      <w:r w:rsidR="00AD1796">
        <w:rPr>
          <w:rFonts w:ascii="Times New Roman" w:eastAsia="Times New Roman" w:hAnsi="Times New Roman" w:cstheme="minorBidi"/>
        </w:rPr>
        <w:t>.</w:t>
      </w:r>
    </w:p>
    <w:p w14:paraId="6885F3F8" w14:textId="459D5901" w:rsidR="00054C86" w:rsidRPr="00E61F9C" w:rsidRDefault="00B255E3" w:rsidP="00AD1796">
      <w:pPr>
        <w:spacing w:after="120" w:line="240" w:lineRule="auto"/>
        <w:ind w:left="284"/>
        <w:jc w:val="both"/>
        <w:rPr>
          <w:lang w:val="fr-CA"/>
        </w:rPr>
      </w:pPr>
      <w:r w:rsidRPr="00777E5B">
        <w:rPr>
          <w:rFonts w:asciiTheme="majorBidi" w:hAnsiTheme="majorBidi" w:cstheme="majorBidi"/>
        </w:rPr>
        <w:t xml:space="preserve">Non-naturally occurring elastin and collagen molecules are produced by </w:t>
      </w:r>
      <w:r>
        <w:rPr>
          <w:rFonts w:asciiTheme="majorBidi" w:hAnsiTheme="majorBidi" w:cstheme="majorBidi"/>
        </w:rPr>
        <w:t xml:space="preserve">bacterial </w:t>
      </w:r>
      <w:r w:rsidRPr="00777E5B">
        <w:rPr>
          <w:rFonts w:asciiTheme="majorBidi" w:hAnsiTheme="majorBidi" w:cstheme="majorBidi"/>
        </w:rPr>
        <w:t xml:space="preserve">production platforms. The proteins were modified through truncation and fusion with other proteins, among other methods, </w:t>
      </w:r>
      <w:r w:rsidR="009A173E">
        <w:rPr>
          <w:rFonts w:asciiTheme="majorBidi" w:hAnsiTheme="majorBidi" w:cstheme="majorBidi"/>
        </w:rPr>
        <w:t>to</w:t>
      </w:r>
      <w:r>
        <w:rPr>
          <w:rFonts w:asciiTheme="majorBidi" w:hAnsiTheme="majorBidi" w:cstheme="majorBidi"/>
        </w:rPr>
        <w:t xml:space="preserve"> </w:t>
      </w:r>
      <w:r w:rsidRPr="00777E5B">
        <w:rPr>
          <w:rFonts w:asciiTheme="majorBidi" w:hAnsiTheme="majorBidi" w:cstheme="majorBidi"/>
        </w:rPr>
        <w:t>have altered properties</w:t>
      </w:r>
      <w:r w:rsidR="00E8788D">
        <w:rPr>
          <w:rFonts w:asciiTheme="majorBidi" w:hAnsiTheme="majorBidi" w:cstheme="majorBidi"/>
        </w:rPr>
        <w:t xml:space="preserve"> related to</w:t>
      </w:r>
      <w:r w:rsidRPr="00777E5B">
        <w:rPr>
          <w:rFonts w:asciiTheme="majorBidi" w:hAnsiTheme="majorBidi" w:cstheme="majorBidi"/>
        </w:rPr>
        <w:t xml:space="preserve">melting temperature and elasticity </w:t>
      </w:r>
      <w:r w:rsidR="00E61F9C">
        <w:rPr>
          <w:rFonts w:asciiTheme="majorBidi" w:hAnsiTheme="majorBidi" w:cstheme="majorBidi"/>
        </w:rPr>
        <w:fldChar w:fldCharType="begin" w:fldLock="1"/>
      </w:r>
      <w:r w:rsidR="0093687B">
        <w:rPr>
          <w:rFonts w:asciiTheme="majorBidi" w:hAnsiTheme="majorBidi" w:cstheme="majorBidi"/>
        </w:rPr>
        <w:instrText>ADDIN CSL_CITATION {"citationItems":[{"id":"ITEM-1","itemData":{"author":[{"dropping-particle":"","family":"Ouzounov","given":"Nikolay","non-dropping-particle":"","parse-names":false,"suffix":""}],"id":"ITEM-1","issued":{"date-parts":[["2019"]]},"title":"Expression of proteins in gram-negative bacteria wherein the ratio of perlplasmic volume to cytoplasmic volume is between 0.5:1 and 10:1, US20190106702A1","type":"article","volume":"1"},"uris":["http://www.mendeley.com/documents/?uuid=fb11bda2-e198-4cd1-9022-26d61adbdba3"]},{"id":"ITEM-2","itemData":{"author":[{"dropping-particle":"","family":"Ouzounov","given":"Nikolay","non-dropping-particle":"","parse-names":false,"suffix":""},{"dropping-particle":"","family":"Lorestani","given":"Alexander","non-dropping-particle":"","parse-names":false,"suffix":""},{"dropping-particle":"","family":"Bhatia","given":"Monica","non-dropping-particle":"","parse-names":false,"suffix":""}],"id":"ITEM-2","issued":{"date-parts":[["2020"]]},"title":"Recombinant collagen and elastin molecules and uses thereof, US20200247876A1","type":"article"},"uris":["http://www.mendeley.com/documents/?uuid=b0f8a2b7-8256-41f6-9672-35501ef2efaf"]},{"id":"ITEM-3","itemData":{"ISBN":"2020018438","author":[{"dropping-particle":"V","family":"Persikov","given":"Anton","non-dropping-particle":"","parse-names":false,"suffix":""},{"dropping-particle":"","family":"Ouzounov","given":"Nikolay","non-dropping-particle":"","parse-names":false,"suffix":""},{"dropping-particle":"","family":"Lorestani","given":"Alexander","non-dropping-particle":"","parse-names":false,"suffix":""}],"id":"ITEM-3","issued":{"date-parts":[["2020"]]},"title":"Methods and systems for engineering collagen, US20200184381A1","type":"article","volume":"2020"},"uris":["http://www.mendeley.com/documents/?uuid=187ec942-f9c3-4ac0-8c68-3e738e099f7f"]},{"id":"ITEM-4","itemData":{"DOI":"10.1017/9781316585269.004","ISBN":"9781316585269","abstract":"The first transgenic plants were described in 1983, and, since then, the phased commercialisation of transgenic (or ‘genetically modified’; GM) organisms has increased to the extent that, 30 years later, 181.5 million hectares (Mha) of GM crops were cultivated (James, 2014; Figure 3.1). In addition, products with more and more complex gene–trait combinations (e.g., stacked events) are also now reaching the later stages of product development. Estimates show that 43.7 Mha were planted to stacked events (i.e., events with multiple trait-related transgenes) in 2012, accounting for more than 26% of the 170.3 Mha of GM crops planted worldwide that year (James, 2012). The increasing number of GM traits in recent stacked events has set the trend for the next generation of GM crops. It is estimated that, by the end of 2015, for maize alone, 24 single-trait events will have been commercialised. This potentially translates to over 2,000 triple-stacks and over 12,000 quadruple-stacks that may enter the pipeline (Stein and Rodriguez-Cerezo, 2009). Future stacks are likely to involve not just multiple traits, but the combination of these traits to engineer metabolic pathways and even to introduce a number of pathways into an organism (Halpin, 2005; Naqvi et al., 2009; Que et al., 2010). This demonstrates how GM organisms (GMOs) are becoming more complex, and underlines the need to have efficient regulatory mechanisms to ensure timely decision-making. In most countries, GMOs are subject to regulation. Each of the key GMO developments to date has therefore been overseen by an international regulatory environment which itself has undergone significant developments (Figure 3.2). The international guidelines highlighted in Figure 3.2 are similar in their approach to what a risk assessment should comprise, in that they all agree that it should be a structured, reasoned approach, based on scientific/technical evidence, for considering the chance of harm from activities with a GMO. Risk assessments should aim to identify, characterise and evaluate risks to the health and safety of people or to the environment from activities with GMOs. To do so, they should identify risk by considering what could go wrong and how harm might occur, whilst the identified risk should be characterised by considering how serious the harm could be (consequences) and how likely it is that such harm could occur in the context of the case (Gray, 2012).","author":[{"dropping-particle":"","family":"Craig","given":"Wendy","non-dropping-particle":"","parse-names":false,"suffix":""},{"dropping-particle":"","family":"Ndolo",</w:instrText>
      </w:r>
      <w:r w:rsidR="0093687B" w:rsidRPr="00F8168D">
        <w:rPr>
          <w:rFonts w:asciiTheme="majorBidi" w:hAnsiTheme="majorBidi" w:cstheme="majorBidi"/>
          <w:lang w:val="fr-CA"/>
        </w:rPr>
        <w:instrText>"given":"Dennis Obonyo","non-dropping-particle":"","parse-names":false,"suffix":""},{"dropping-particle":"","family":"Tepfer","given":"Mark","non-dropping-particle":"","parse-names":false,"suffix":""}],"container-title":"Genetically Modified Organisms in Developing Countries: Risk Analysis and Governance","editor":[{"dropping-particle":"","family":"Adenle","given":"Ademola A.","non-dropping-particle":"","parse-names":false,"suffix":""},{"dropping-particle":"","family":"Morris","given":"E. Jane","non-dropping-particle":"","parse-names":false,"suffix":""},{"dropping-particle":"","family":"Murphy","given":"Denis J.","non-dropping-particle":"","parse-names":false,"suffix":""}],"id":"ITEM-4","issued":{"date-parts":[["2017","1"]]},"page":"26-38","publisher":"Cambridge University Press","publisher-place":"Cambridge","title":"A strategy for integrating science into regulatory decision-making for GMOs","type":"chapter"},"uris":["http://www.mendeley.com/documents/?uuid=7ccec211-69e1-493b-8704-6e6e432b14f7"]}],"mendeley":{"formattedCitation":"(Wendy Craig et al., 2017; Ouzounov, 2019; Ouzounov et al., 2020; Persikov et al., 2020)","plainTextFormattedCitation":"(Wendy Craig et al., 2017; Ouzounov, 2019; Ouzounov et al., 2020; Persikov et al., 2020)","previouslyFormattedCitation":"(Wendy Craig et al., 2017; Ouzounov, 2019; Ouzounov et al., 2020; Persikov et al., 2020)"},"properties":{"noteIndex":0},"schema":"https://github.com/citation-style-language/schema/raw/master/csl-citation.json"}</w:instrText>
      </w:r>
      <w:r w:rsidR="00E61F9C">
        <w:rPr>
          <w:rFonts w:asciiTheme="majorBidi" w:hAnsiTheme="majorBidi" w:cstheme="majorBidi"/>
        </w:rPr>
        <w:fldChar w:fldCharType="separate"/>
      </w:r>
      <w:r w:rsidR="00E61F9C" w:rsidRPr="00E61F9C">
        <w:rPr>
          <w:rFonts w:asciiTheme="majorBidi" w:hAnsiTheme="majorBidi" w:cstheme="majorBidi"/>
          <w:noProof/>
          <w:lang w:val="fr-CA"/>
        </w:rPr>
        <w:t>(Wendy Craig et al., 2017; Ouzounov, 2019; Ouzounov et al., 2020; Persikov et al., 2020)</w:t>
      </w:r>
      <w:r w:rsidR="00E61F9C">
        <w:rPr>
          <w:rFonts w:asciiTheme="majorBidi" w:hAnsiTheme="majorBidi" w:cstheme="majorBidi"/>
        </w:rPr>
        <w:fldChar w:fldCharType="end"/>
      </w:r>
      <w:r w:rsidR="00054C86" w:rsidRPr="00E61F9C">
        <w:rPr>
          <w:rFonts w:ascii="Times New Roman" w:eastAsia="Times New Roman" w:hAnsi="Times New Roman" w:cstheme="minorBidi"/>
          <w:lang w:val="fr-CA"/>
        </w:rPr>
        <w:t>.</w:t>
      </w:r>
    </w:p>
    <w:p w14:paraId="1F74A2C3" w14:textId="6DCB860B" w:rsidR="00CB485A" w:rsidRPr="00777E5B" w:rsidRDefault="00054C86" w:rsidP="00E1457C">
      <w:pPr>
        <w:numPr>
          <w:ilvl w:val="1"/>
          <w:numId w:val="171"/>
        </w:numPr>
        <w:spacing w:before="120" w:after="120" w:line="240" w:lineRule="auto"/>
        <w:ind w:left="284" w:hanging="284"/>
        <w:jc w:val="both"/>
        <w:rPr>
          <w:rFonts w:ascii="Times New Roman" w:eastAsia="Times New Roman" w:hAnsi="Times New Roman" w:cstheme="minorBidi"/>
          <w:i/>
          <w:lang w:eastAsia="ar-SA"/>
        </w:rPr>
      </w:pPr>
      <w:r w:rsidRPr="00054C86">
        <w:rPr>
          <w:rFonts w:ascii="Times New Roman" w:eastAsia="Times New Roman" w:hAnsi="Times New Roman" w:cstheme="minorBidi"/>
        </w:rPr>
        <w:t>Synthetic squalene, an animal-free cosmetic additive (</w:t>
      </w:r>
      <w:r w:rsidR="00F60FEC" w:rsidRPr="005F1592">
        <w:rPr>
          <w:rFonts w:ascii="Times New Roman" w:eastAsia="Times New Roman" w:hAnsi="Times New Roman" w:cstheme="minorBidi"/>
          <w:i/>
          <w:iCs/>
        </w:rPr>
        <w:t>Amyris Inc</w:t>
      </w:r>
      <w:r w:rsidR="00F60FEC">
        <w:rPr>
          <w:rFonts w:ascii="Times New Roman" w:eastAsia="Times New Roman" w:hAnsi="Times New Roman" w:cstheme="minorBidi"/>
        </w:rPr>
        <w:t>.</w:t>
      </w:r>
      <w:r w:rsidRPr="00054C86">
        <w:rPr>
          <w:rFonts w:ascii="Times New Roman" w:eastAsia="Times New Roman" w:hAnsi="Times New Roman" w:cstheme="minorBidi"/>
        </w:rPr>
        <w:t>)</w:t>
      </w:r>
      <w:r w:rsidR="00AD1796">
        <w:rPr>
          <w:rFonts w:ascii="Times New Roman" w:eastAsia="Times New Roman" w:hAnsi="Times New Roman" w:cstheme="minorBidi"/>
        </w:rPr>
        <w:t>.</w:t>
      </w:r>
    </w:p>
    <w:p w14:paraId="75ED6B00" w14:textId="7F2A6A1B" w:rsidR="00054C86" w:rsidRPr="0093687B" w:rsidRDefault="00CB485A" w:rsidP="0093687B">
      <w:pPr>
        <w:spacing w:after="120" w:line="240" w:lineRule="auto"/>
        <w:ind w:left="284"/>
        <w:jc w:val="both"/>
        <w:rPr>
          <w:rFonts w:asciiTheme="majorBidi" w:hAnsiTheme="majorBidi" w:cstheme="majorBidi"/>
        </w:rPr>
      </w:pPr>
      <w:r w:rsidRPr="00777E5B">
        <w:rPr>
          <w:rFonts w:asciiTheme="majorBidi" w:hAnsiTheme="majorBidi" w:cstheme="majorBidi"/>
        </w:rPr>
        <w:t xml:space="preserve">Microbes were metabolically engineered to contain the necessary genes for the bioproduction of squalene from fermentable sugars, such as those produced by sugarcane </w:t>
      </w:r>
      <w:r w:rsidR="0093687B">
        <w:rPr>
          <w:rFonts w:asciiTheme="majorBidi" w:hAnsiTheme="majorBidi" w:cstheme="majorBidi"/>
        </w:rPr>
        <w:fldChar w:fldCharType="begin" w:fldLock="1"/>
      </w:r>
      <w:r w:rsidR="00C75A83">
        <w:rPr>
          <w:rFonts w:asciiTheme="majorBidi" w:hAnsiTheme="majorBidi" w:cstheme="majorBidi"/>
        </w:rPr>
        <w:instrText>ADDIN CSL_CITATION {"citationItems":[{"id":"ITEM-1","itemData":{"author":[{"dropping-particle":"","family":"Tsuruta","given":"Hiroko","non-dropping-particle":"","parse-names":false,"suffix":""},{"dropping-particle":"","family":"Lenihan","given":"Jacob R","non-dropping-particle":"","parse-names":false,"suffix":""},{"dropping-particle":"","family":"Regentin","given":"Rika","non-dropping-particle":"","parse-names":false,"suffix":""}],"id":"ITEM-1","issued":{"date-parts":[["2019"]]},"title":"Production of isoprenoids, CA2700211C","type":"article"},"uris":["http://www.mendeley.com/documents/?uuid=5672651b-8576-46e0-a915-639d5bd5ae0b"]},{"id":"ITEM-2","itemData":{"ISBN":"2013267037","abstract":"In a process for the continuous halogenation of poly mers by contacting polymer and halogenating agent in a continuous ?ow device in which means are provided for disengaging reaction by-products and unreacted halogenating agent from the reaction mixture, by de forming en? empties the meme Power W face and mle‘mng ‘\"1 me\" and/m reactlve gas mm the halogenated polymers immediately after reaction thereby neutralizing the product. In a preferred em bodiment the process is carried out in an extruder-reac t0! and an optional, supplementary inert and/or reac tive gas scrubbing zone is included. The process is ame nable","author":[{"dropping-particle":"","family":"Fisher","given":"Karl","non-dropping-particle":"","parse-names":false,"suffix":""},{"dropping-particle":"","family":"Schofer","given":"Susan Jessica","non-dropping-particle":"","parse-names":false,"suffix":""},{"dropping-particle":"","family":"Kanne","given":"David","non-dropping-particle":"","parse-names":false,"suffix":""}],"id":"ITEM-2","issue":"12","issued":{"date-parts":[["2009"]]},"page":"14","title":"Squalane and isosqualane compositions and methods for preparing the same, US8586814B2","type":"article","volume":"1"},"uris":["http://www.mendeley.com/documents/?uuid=f8cf738e-651a-4dac-931e-e8fae31fb72c"]}],"mendeley":{"formattedCitation":"(Fisher et al., 2009; Tsuruta et al., 2019)","manualFormatting":"(Fisher et al., 2009; Tsuruta et al., 2019; ","plainTextFormattedCitation":"(Fisher et al., 2009; Tsuruta et al., 2019)","previouslyFormattedCitation":"(Fisher et al., 2009; Tsuruta et al., 2019)"},"properties":{"noteIndex":0},"schema":"https://github.com/citation-style-language/schema/raw/master/csl-citation.json"}</w:instrText>
      </w:r>
      <w:r w:rsidR="0093687B">
        <w:rPr>
          <w:rFonts w:asciiTheme="majorBidi" w:hAnsiTheme="majorBidi" w:cstheme="majorBidi"/>
        </w:rPr>
        <w:fldChar w:fldCharType="separate"/>
      </w:r>
      <w:r w:rsidR="0093687B" w:rsidRPr="0093687B">
        <w:rPr>
          <w:rFonts w:asciiTheme="majorBidi" w:hAnsiTheme="majorBidi" w:cstheme="majorBidi"/>
          <w:noProof/>
        </w:rPr>
        <w:t>(Fisher et al., 2009; Tsuruta et al., 2019</w:t>
      </w:r>
      <w:r w:rsidR="0093687B">
        <w:rPr>
          <w:rFonts w:asciiTheme="majorBidi" w:hAnsiTheme="majorBidi" w:cstheme="majorBidi"/>
          <w:noProof/>
        </w:rPr>
        <w:t xml:space="preserve">; </w:t>
      </w:r>
      <w:r w:rsidR="0093687B">
        <w:rPr>
          <w:rFonts w:asciiTheme="majorBidi" w:hAnsiTheme="majorBidi" w:cstheme="majorBidi"/>
        </w:rPr>
        <w:fldChar w:fldCharType="end"/>
      </w:r>
      <w:r w:rsidR="00054C86" w:rsidRPr="00054C86">
        <w:rPr>
          <w:rFonts w:ascii="Times New Roman" w:eastAsia="Times New Roman" w:hAnsi="Times New Roman" w:cstheme="minorBidi"/>
        </w:rPr>
        <w:fldChar w:fldCharType="begin" w:fldLock="1"/>
      </w:r>
      <w:r w:rsidR="00C75A83">
        <w:rPr>
          <w:rFonts w:ascii="Times New Roman" w:eastAsia="Times New Roman" w:hAnsi="Times New Roman" w:cstheme="minorBidi"/>
        </w:rPr>
        <w:instrText>ADDIN CSL_CITATION {"citationItems":[{"id":"ITEM-1","itemData":{"DOI":"10.3389/fbioe.2019.00050","ISSN":"2296-4185","author":[{"dropping-particle":"","family":"Gohil","given":"Nisarg","non-dropping-particle":"","parse-names":false,"suffix":""},{"dropping-particle":"","family":"Bhattacharjee","given":"Gargi","non-dropping-particle":"","parse-names":false,"suffix":""},{"dropping-particle":"","family":"Khambhati","given":"Khushal","non-dropping-particle":"","parse-names":false,"suffix":""},{"dropping-particle":"","family":"Braddick","given":"Darren","non-dropping-particle":"","parse-names":false,"suffix":""},{"dropping-particle":"","family":"Singh","given":"Vijai","non-dropping-particle":"","parse-names":false,"suffix":""}],"container-title":"Frontiers in Bioengineering and Biotechnology","id":"ITEM-1","issued":{"date-parts":[["2019","3","22"]]},"title":"Engineering Strategies in Microorganisms for the Enhanced Production of Squalene: Advances, Challenges and Opportunities","type":"article-journal","volume":"7"},"uris":["http://www.mendeley.com/documents/?uuid=99103632-7cf0-45c3-b1e2-280a78408d9d"]}],"mendeley":{"formattedCitation":"(Gohil et al., 2019)","manualFormatting":"Gohil et al., 2019)","plainTextFormattedCitation":"(Gohil et al., 2019)","previouslyFormattedCitation":"(Gohil et al., 2019)"},"properties":{"noteIndex":0},"schema":"https://github.com/citation-style-language/schema/raw/master/csl-citation.json"}</w:instrText>
      </w:r>
      <w:r w:rsidR="00054C86" w:rsidRPr="00054C86">
        <w:rPr>
          <w:rFonts w:ascii="Times New Roman" w:eastAsia="Times New Roman" w:hAnsi="Times New Roman" w:cstheme="minorBidi"/>
        </w:rPr>
        <w:fldChar w:fldCharType="separate"/>
      </w:r>
      <w:r w:rsidR="00054C86" w:rsidRPr="00054C86">
        <w:rPr>
          <w:rFonts w:ascii="Times New Roman" w:eastAsia="Times New Roman" w:hAnsi="Times New Roman" w:cstheme="minorBidi"/>
          <w:noProof/>
        </w:rPr>
        <w:t>Gohil et al., 2019)</w:t>
      </w:r>
      <w:r w:rsidR="00054C86" w:rsidRPr="00054C86">
        <w:rPr>
          <w:rFonts w:ascii="Times New Roman" w:eastAsia="Times New Roman" w:hAnsi="Times New Roman" w:cstheme="minorBidi"/>
        </w:rPr>
        <w:fldChar w:fldCharType="end"/>
      </w:r>
      <w:r w:rsidR="00054C86" w:rsidRPr="00054C86">
        <w:rPr>
          <w:rFonts w:ascii="Times New Roman" w:eastAsia="Times New Roman" w:hAnsi="Times New Roman" w:cstheme="minorBidi"/>
        </w:rPr>
        <w:t>.</w:t>
      </w:r>
    </w:p>
    <w:p w14:paraId="2FCBC993" w14:textId="647A2ED4" w:rsidR="000B598C" w:rsidRPr="00777E5B" w:rsidRDefault="00054C86" w:rsidP="00E1457C">
      <w:pPr>
        <w:numPr>
          <w:ilvl w:val="1"/>
          <w:numId w:val="171"/>
        </w:numPr>
        <w:spacing w:before="120" w:after="120" w:line="240" w:lineRule="auto"/>
        <w:ind w:left="284" w:hanging="284"/>
        <w:jc w:val="both"/>
        <w:rPr>
          <w:rFonts w:ascii="Times New Roman" w:eastAsia="Times New Roman" w:hAnsi="Times New Roman" w:cstheme="minorBidi"/>
          <w:i/>
          <w:lang w:eastAsia="ar-SA"/>
        </w:rPr>
      </w:pPr>
      <w:r w:rsidRPr="00054C86">
        <w:rPr>
          <w:rFonts w:ascii="Times New Roman" w:eastAsia="Times New Roman" w:hAnsi="Times New Roman" w:cstheme="minorBidi"/>
        </w:rPr>
        <w:t xml:space="preserve">Nootkatone, </w:t>
      </w:r>
      <w:r w:rsidR="00B00381">
        <w:rPr>
          <w:rFonts w:ascii="Times New Roman" w:eastAsia="Times New Roman" w:hAnsi="Times New Roman" w:cstheme="minorBidi"/>
        </w:rPr>
        <w:t>valencene</w:t>
      </w:r>
      <w:r w:rsidRPr="00054C86">
        <w:rPr>
          <w:rFonts w:ascii="Times New Roman" w:eastAsia="Times New Roman" w:hAnsi="Times New Roman" w:cstheme="minorBidi"/>
        </w:rPr>
        <w:t xml:space="preserve"> and other fragrance compounds via fermentation (</w:t>
      </w:r>
      <w:r w:rsidRPr="005F1592">
        <w:rPr>
          <w:rFonts w:ascii="Times New Roman" w:eastAsia="Times New Roman" w:hAnsi="Times New Roman" w:cstheme="minorBidi"/>
          <w:i/>
          <w:iCs/>
        </w:rPr>
        <w:t>Evolva</w:t>
      </w:r>
      <w:r w:rsidRPr="00054C86">
        <w:rPr>
          <w:rFonts w:ascii="Times New Roman" w:eastAsia="Times New Roman" w:hAnsi="Times New Roman" w:cstheme="minorBidi"/>
        </w:rPr>
        <w:t>)</w:t>
      </w:r>
      <w:r w:rsidR="00AD1796">
        <w:rPr>
          <w:rFonts w:ascii="Times New Roman" w:eastAsia="Times New Roman" w:hAnsi="Times New Roman" w:cstheme="minorBidi"/>
        </w:rPr>
        <w:t>.</w:t>
      </w:r>
    </w:p>
    <w:p w14:paraId="302ECD25" w14:textId="4E15D9A5" w:rsidR="00054C86" w:rsidRPr="00C75A83" w:rsidRDefault="000B598C" w:rsidP="00C75A83">
      <w:pPr>
        <w:spacing w:after="120" w:line="240" w:lineRule="auto"/>
        <w:ind w:left="284"/>
        <w:jc w:val="both"/>
        <w:rPr>
          <w:rFonts w:asciiTheme="majorBidi" w:hAnsiTheme="majorBidi" w:cstheme="majorBidi"/>
        </w:rPr>
      </w:pPr>
      <w:r w:rsidRPr="00777E5B">
        <w:rPr>
          <w:rFonts w:asciiTheme="majorBidi" w:hAnsiTheme="majorBidi" w:cstheme="majorBidi"/>
        </w:rPr>
        <w:t xml:space="preserve">Yeast cells were metabolically engineered to contain the biosynthetic pathways for nootkatone, the essence of grapefruit, and valencene, the essence from Valencia oranges </w:t>
      </w:r>
      <w:r w:rsidR="00C75A83">
        <w:rPr>
          <w:rFonts w:asciiTheme="majorBidi" w:hAnsiTheme="majorBidi" w:cstheme="majorBidi"/>
        </w:rPr>
        <w:fldChar w:fldCharType="begin" w:fldLock="1"/>
      </w:r>
      <w:r w:rsidR="00C75A83">
        <w:rPr>
          <w:rFonts w:asciiTheme="majorBidi" w:hAnsiTheme="majorBidi" w:cstheme="majorBidi"/>
        </w:rPr>
        <w:instrText>ADDIN CSL_CITATION {"citationItems":[{"id":"ITEM-1","itemData":{"author":[{"dropping-particle":"","family":"Saran","given":"Dayal","non-dropping-particle":"","parse-names":false,"suffix":""},{"dropping-particle":"","family":"Park","given":"Grace Eunyoung","non-dropping-particle":"","parse-names":false,"suffix":""}],"id":"ITEM-1","issued":{"date-parts":[["2018"]]},"title":"Valencene synthase polypeptides, encoding nucleic acid molecules and uses thereof, US10000749B2","type":"article","volume":"2"},"uris":["http://www.mendeley.com/documents/?uuid=85d1f5aa-91c8-4680-a866-f3f98dfd87f0"]}],"mendeley":{"formattedCitation":"(Saran &amp; Park, 2018)","manualFormatting":"(Saran &amp; Park, 2018","plainTextFormattedCitation":"(Saran &amp; Park, 2018)","previouslyFormattedCitation":"(Saran &amp; Park, 2018)"},"properties":{"noteIndex":0},"schema":"https://github.com/citation-style-language/schema/raw/master/csl-citation.json"}</w:instrText>
      </w:r>
      <w:r w:rsidR="00C75A83">
        <w:rPr>
          <w:rFonts w:asciiTheme="majorBidi" w:hAnsiTheme="majorBidi" w:cstheme="majorBidi"/>
        </w:rPr>
        <w:fldChar w:fldCharType="separate"/>
      </w:r>
      <w:r w:rsidR="00C75A83" w:rsidRPr="00C75A83">
        <w:rPr>
          <w:rFonts w:asciiTheme="majorBidi" w:hAnsiTheme="majorBidi" w:cstheme="majorBidi"/>
          <w:noProof/>
        </w:rPr>
        <w:t>(Saran &amp; Park, 2018</w:t>
      </w:r>
      <w:r w:rsidR="00C75A83">
        <w:rPr>
          <w:rFonts w:asciiTheme="majorBidi" w:hAnsiTheme="majorBidi" w:cstheme="majorBidi"/>
        </w:rPr>
        <w:fldChar w:fldCharType="end"/>
      </w:r>
      <w:r w:rsidR="00C75A83">
        <w:rPr>
          <w:rFonts w:asciiTheme="majorBidi" w:hAnsiTheme="majorBidi" w:cstheme="majorBidi"/>
        </w:rPr>
        <w:t xml:space="preserve">; </w:t>
      </w:r>
      <w:r w:rsidR="00054C86" w:rsidRPr="00B57BE1">
        <w:rPr>
          <w:rFonts w:ascii="Times New Roman" w:eastAsia="Times New Roman" w:hAnsi="Times New Roman" w:cstheme="minorBidi"/>
        </w:rPr>
        <w:fldChar w:fldCharType="begin" w:fldLock="1"/>
      </w:r>
      <w:r w:rsidR="008F6A90">
        <w:rPr>
          <w:rFonts w:ascii="Times New Roman" w:eastAsia="Times New Roman" w:hAnsi="Times New Roman" w:cstheme="minorBidi"/>
        </w:rPr>
        <w:instrText>ADDIN CSL_CITATION {"citationItems":[{"id":"ITEM-1","itemData":{"DOI":"10.1186/s12934-020-1295-6","ISSN":"14752859","PMID":"32013959","abstract":"Background: (+)-Nootkatone is a highly valued sesquiterpenoid compound, exhibiting a typical grapefruit aroma and various desired biological activities for use as aromatics and pharmaceuticals. The high commercial demand of (+)-nootkatone is predominately met by chemical synthesis, which entails the use of environmentally harmful reagents. Efficient synthesis of (+)-nootkatone via biotechnological approaches is thus urgently needed to satisfy its industrial demand. However, there are only a limited number of studies that report the de novo synthesis of (+)-nootkatone from simple carbon sources in microbial cell factories, and with relatively low yield. Results: As the direct precursor of (+)-nootkatone biosynthesis, (+)-valencene was first produced in large quantities in Saccharomyces cerevisiae by overexpressing (+)-valencene synthase CnVS of Callitropsis nootkatensis in combination with various mevalonate pathway (MVA) engineering strategies, including the expression of CnVS and farnesyl diphosphate synthase (ERG20) as a fused protein, overexpression of a truncated form of the rate-limiting enzyme 3-hydroxy-3-methylglutaryl-CoA (HMG-CoA) reductase (tHMG1), and downregulating the squalene synthase enzyme (ERG9). These approaches altogether brought the production of (+)-valencene to 217.95 mg/L. Secondly, we addressed the (+)-valencene oxidation by overexpressing the Hyoscyamus muticus premnaspirodiene oxygenase (HPO) variant (V482I/A484I) and cytochrome P450 reductase (ATR1) from Arabidopsis thaliana. However, (+)-valencene was predominantly oxidized to β-nootkatol and only minor amounts of (+)-nootkatone (9.66 mg/L) were produced. We further tackled the oxidation of β-nootkatol to (+)-nootkatone by screening various dehydrogenases. Our results showed that the short-chain dehydrogenase/reductase (SDR) superfamily dehydrogenases ZSD1 of Zingiber zerumbet and ABA2 of Citrus sinensis were capable of effectively catalyzing β-nootkatol oxidation to (+)-nootkatone. The yield of (+)-nootkatone increased to 59.78 mg/L and 53.48 mg/L by additional overexpression of ZSD1 and ABA2, respectively. Conclusion: We successfully constructed the (+)-nootaktone biosynthesis pathway in S. cerevisiae by overexpressing the (+)-valencene synthase CnVS, cytochrome P450 monooxygenase HPO, and SDR family dehydrogenases combined with the MVA pathway engineering, providing a solid basis for the whole-cell production of (+)-nootkatone. The two effective SDR family dehydrogenases t…","author":[{"dropping-particle":"","family":"Meng","given":"Xiangfeng","non-dropping-particle":"","parse-names":false,"suffix":""},{"dropping-particle":"","family":"Liu","given":"Hui","non-dropping-particle":"","parse-names":false,"suffix":""},{"dropping-particle":"","family":"Xu","given":"Wenqiang","non-dropping-particle":"","parse-names":false,"suffix":""},{"dropping-particle":"","family":"Zhang","given":"Weixin","non-dropping-particle":"","parse-names":false,"suffix":""},{"dropping-particle":"","family":"Wang","given":"Zheng","non-dropping-particle":"","parse-names":false,"suffix":""},{"dropping-particle":"","family":"Liu","given":"Weifeng","non-dropping-particle":"","parse-names":false,"suffix":""}],"container-title":"Microbial Cell Factories","id":"ITEM-1","issue":"1","issued":{"date-parts":[["2020","2"]]},"publisher":"BioMed Central Ltd.","title":"Metabolic engineering Saccharomyces cerevisiae for de novo production of the sesquiterpenoid (+)-nootkatone","type":"article-journal","volume":"19"},"uris":["http://www.mendeley.com/documents/?uuid=543940bc-450d-4b50-aeff-376f27c07000"]}],"mendeley":{"formattedCitation":"(X. Meng et al., 2020)","manualFormatting":"Meng et al., 2020)","plainTextFormattedCitation":"(X. Meng et al., 2020)","previouslyFormattedCitation":"(X. Meng et al., 2020)"},"properties":{"noteIndex":0},"schema":"https://github.com/citation-style-language/schema/raw/master/csl-citation.json"}</w:instrText>
      </w:r>
      <w:r w:rsidR="00054C86" w:rsidRPr="00B57BE1">
        <w:rPr>
          <w:rFonts w:ascii="Times New Roman" w:eastAsia="Times New Roman" w:hAnsi="Times New Roman" w:cstheme="minorBidi"/>
        </w:rPr>
        <w:fldChar w:fldCharType="separate"/>
      </w:r>
      <w:r w:rsidR="00054C86" w:rsidRPr="00777E5B">
        <w:rPr>
          <w:rFonts w:ascii="Times New Roman" w:eastAsia="Times New Roman" w:hAnsi="Times New Roman" w:cstheme="minorBidi"/>
          <w:noProof/>
        </w:rPr>
        <w:t>Meng et al., 2020)</w:t>
      </w:r>
      <w:r w:rsidR="00054C86" w:rsidRPr="00B57BE1">
        <w:rPr>
          <w:rFonts w:ascii="Times New Roman" w:eastAsia="Times New Roman" w:hAnsi="Times New Roman" w:cstheme="minorBidi"/>
        </w:rPr>
        <w:fldChar w:fldCharType="end"/>
      </w:r>
      <w:r w:rsidR="00054C86" w:rsidRPr="00B57BE1">
        <w:rPr>
          <w:rFonts w:ascii="Times New Roman" w:eastAsia="Times New Roman" w:hAnsi="Times New Roman" w:cstheme="minorBidi"/>
        </w:rPr>
        <w:t>.</w:t>
      </w:r>
    </w:p>
    <w:p w14:paraId="5C3842CD" w14:textId="2F759B73" w:rsidR="00D95430" w:rsidRPr="00777E5B" w:rsidRDefault="00054C86" w:rsidP="00E1457C">
      <w:pPr>
        <w:numPr>
          <w:ilvl w:val="1"/>
          <w:numId w:val="171"/>
        </w:numPr>
        <w:spacing w:before="120" w:after="120" w:line="240" w:lineRule="auto"/>
        <w:ind w:left="284" w:hanging="284"/>
        <w:jc w:val="both"/>
        <w:rPr>
          <w:rFonts w:ascii="Times New Roman" w:eastAsia="Times New Roman" w:hAnsi="Times New Roman" w:cstheme="minorBidi"/>
          <w:i/>
          <w:lang w:eastAsia="ar-SA"/>
        </w:rPr>
      </w:pPr>
      <w:r w:rsidRPr="00054C86">
        <w:rPr>
          <w:rFonts w:ascii="Times New Roman" w:eastAsia="Times New Roman" w:hAnsi="Times New Roman" w:cstheme="minorBidi"/>
        </w:rPr>
        <w:t>High value flavours and fragrances such as vanillin, via fermentation (</w:t>
      </w:r>
      <w:r w:rsidRPr="005F1592">
        <w:rPr>
          <w:rFonts w:ascii="Times New Roman" w:eastAsia="Times New Roman" w:hAnsi="Times New Roman" w:cstheme="minorBidi"/>
          <w:i/>
          <w:iCs/>
        </w:rPr>
        <w:t>Conagen</w:t>
      </w:r>
      <w:r w:rsidRPr="00054C86">
        <w:rPr>
          <w:rFonts w:ascii="Times New Roman" w:eastAsia="Times New Roman" w:hAnsi="Times New Roman" w:cstheme="minorBidi"/>
        </w:rPr>
        <w:t>)</w:t>
      </w:r>
      <w:r w:rsidR="00AD1796">
        <w:rPr>
          <w:rFonts w:ascii="Times New Roman" w:eastAsia="Times New Roman" w:hAnsi="Times New Roman" w:cstheme="minorBidi"/>
        </w:rPr>
        <w:t>.</w:t>
      </w:r>
    </w:p>
    <w:p w14:paraId="0E80DEE2" w14:textId="55120AD6" w:rsidR="00054C86" w:rsidRPr="00777E5B" w:rsidRDefault="00D95430" w:rsidP="00AD1796">
      <w:pPr>
        <w:spacing w:after="120" w:line="240" w:lineRule="auto"/>
        <w:ind w:left="284"/>
        <w:jc w:val="both"/>
        <w:rPr>
          <w:rFonts w:asciiTheme="majorBidi" w:eastAsia="Times New Roman" w:hAnsiTheme="majorBidi" w:cstheme="majorBidi"/>
          <w:i/>
          <w:lang w:eastAsia="ar-SA"/>
        </w:rPr>
      </w:pPr>
      <w:r w:rsidRPr="00777E5B">
        <w:rPr>
          <w:rFonts w:asciiTheme="majorBidi" w:hAnsiTheme="majorBidi" w:cstheme="majorBidi"/>
        </w:rPr>
        <w:t xml:space="preserve">Microbial genes were chosen to mimic the natural vanillin biosynthesis pathway from vanilla orchids </w:t>
      </w:r>
      <w:r w:rsidR="00C75A83">
        <w:rPr>
          <w:rFonts w:asciiTheme="majorBidi" w:eastAsia="Times New Roman" w:hAnsiTheme="majorBidi" w:cstheme="majorBidi"/>
        </w:rPr>
        <w:fldChar w:fldCharType="begin" w:fldLock="1"/>
      </w:r>
      <w:r w:rsidR="00C96812">
        <w:rPr>
          <w:rFonts w:asciiTheme="majorBidi" w:eastAsia="Times New Roman" w:hAnsiTheme="majorBidi" w:cstheme="majorBidi"/>
        </w:rPr>
        <w:instrText>ADDIN CSL_CITATION {"citationItems":[{"id":"ITEM-1","itemData":{"DOI":"10.1038/srep13670","ISSN":"20452322","PMID":"26329726","abstract":"Plant secondary metabolites have been attracting people's attention for centuries, due to their potentials; however, their production is still difficult and costly. The rich diversity of microbes and microbial genome sequence data provide unprecedented gene resources that enable to develop efficient artificial pathways in microorganisms. Here, by mimicking a natural pathway of plants using microbial genes, a new metabolic route was developed in E. coli for the synthesis of vanillin, the most widely used flavoring agent. A series of factors were systematically investigated for raising production, including efficiency and suitability of genes, gene dosage, and culture media. The metabolically engineered strain produced 97.2 mg/L vanillin from l-tyrosine, 19.3 mg/L from glucose, 13.3 mg/L from xylose and 24.7 mg/L from glycerol. These results show that the metabolic route enables production of natural vanillin from low-cost substrates, suggesting that it is a good strategy to mimick natural pathways for artificial pathway design.","author":[{"dropping-particle":"","family":"Ni","given":"Jun","non-dropping-particle":"","parse-names":false,"suffix":""},{"dropping-particle":"","family":"Tao","given":"Fei","non-dropping-particle":"","parse-names":false,"suffix":""},{"dropping-particle":"","family":"Du","given":"Huaiqing","non-dropping-particle":"","parse-names":false,"suffix":""},{"dropping-particle":"","family":"Xu","given":"Ping","non-dropping-particle":"","parse-names":false,"suffix":""}],"container-title":"Scientific Reports","id":"ITEM-1","issue":"1","issued":{"date-parts":[["2015","9"]]},"page":"13670","publisher":"Nature Publishing Group","title":"Mimicking a natural pathway for de novo biosynthesis: Natural vanillin production from accessible carbon sources","type":"article-journal","volume":"5"},"uris":["http://www.mendeley.com/documents/?uuid=dd6d7dcc-b231-4b1f-8de7-09999b6f2d50"]},{"id":"ITEM-2","itemData":{"author":[{"dropping-particle":"","family":"Zhou","given":"Rui","non-dropping-particle":"","parse-names":false,"suffix":""},{"dropping-particle":"","family":"Bhuiya","given":"Mohammad Wadud","non-dropping-particle":"","parse-names":false,"suffix":""},{"dropping-particle":"","family":"Cai","given":"Xianpeng","non-dropping-particle":"","parse-names":false,"suffix":""},{"dropping-particle":"","family":"Yu","given":"Xiaodan","non-dropping-particle":"","parse-names":false,"suffix":""},{"dropping-particle":"","family":"Eilerman","given":"Robert G","non-dropping-particle":"","parse-names":false,"suffix":""}],"id":"ITEM-2","issue":"12","issued":{"date-parts":[["2014"]]},"title":"Methods of making vanillin via microbial fermentation utilizing ferulic acid provided by a modified caffeic acid 3-o-methyltransferase, WO2014106189A2","type":"article","volume":"5"},"uris":["http://www.mendeley.com/documents/?uuid=987e218f-f232-489a-97f6-8ff3e542d985"]}],"mendeley":{"formattedCitation":"(Ni et al., 2015; R. Zhou et al., 2014)","plainTextFormattedCitation":"(Ni et al., 2015; R. Zhou et al., 2014)","previouslyFormattedCitation":"(Ni et al., 2015; R. Zhou et al., 2014)"},"properties":{"noteIndex":0},"schema":"https://github.com/citation-style-language/schema/raw/master/csl-citation.json"}</w:instrText>
      </w:r>
      <w:r w:rsidR="00C75A83">
        <w:rPr>
          <w:rFonts w:asciiTheme="majorBidi" w:eastAsia="Times New Roman" w:hAnsiTheme="majorBidi" w:cstheme="majorBidi"/>
        </w:rPr>
        <w:fldChar w:fldCharType="separate"/>
      </w:r>
      <w:r w:rsidR="00C75A83" w:rsidRPr="00C75A83">
        <w:rPr>
          <w:rFonts w:asciiTheme="majorBidi" w:eastAsia="Times New Roman" w:hAnsiTheme="majorBidi" w:cstheme="majorBidi"/>
          <w:noProof/>
        </w:rPr>
        <w:t>(Ni et al., 2015; R. Zhou et al., 2014)</w:t>
      </w:r>
      <w:r w:rsidR="00C75A83">
        <w:rPr>
          <w:rFonts w:asciiTheme="majorBidi" w:eastAsia="Times New Roman" w:hAnsiTheme="majorBidi" w:cstheme="majorBidi"/>
        </w:rPr>
        <w:fldChar w:fldCharType="end"/>
      </w:r>
      <w:r w:rsidR="00054C86" w:rsidRPr="00777E5B">
        <w:rPr>
          <w:rFonts w:asciiTheme="majorBidi" w:eastAsia="Times New Roman" w:hAnsiTheme="majorBidi" w:cstheme="majorBidi"/>
        </w:rPr>
        <w:t>.</w:t>
      </w:r>
    </w:p>
    <w:p w14:paraId="0F098A89" w14:textId="3E49B731" w:rsidR="00ED0560" w:rsidRPr="00777E5B" w:rsidRDefault="00054C86" w:rsidP="00E1457C">
      <w:pPr>
        <w:numPr>
          <w:ilvl w:val="1"/>
          <w:numId w:val="171"/>
        </w:numPr>
        <w:spacing w:before="120" w:after="120" w:line="240" w:lineRule="auto"/>
        <w:ind w:left="284" w:hanging="284"/>
        <w:jc w:val="both"/>
        <w:rPr>
          <w:rFonts w:ascii="Times New Roman" w:eastAsia="Times New Roman" w:hAnsi="Times New Roman" w:cstheme="minorBidi"/>
          <w:i/>
          <w:lang w:eastAsia="ar-SA"/>
        </w:rPr>
      </w:pPr>
      <w:r w:rsidRPr="00054C86">
        <w:rPr>
          <w:rFonts w:ascii="Times New Roman" w:eastAsia="Times New Roman" w:hAnsi="Times New Roman" w:cstheme="minorBidi"/>
        </w:rPr>
        <w:t>Engineered yeast for producing fragrances (</w:t>
      </w:r>
      <w:r w:rsidRPr="005F1592">
        <w:rPr>
          <w:rFonts w:ascii="Times New Roman" w:eastAsia="Times New Roman" w:hAnsi="Times New Roman" w:cstheme="minorBidi"/>
          <w:i/>
          <w:iCs/>
        </w:rPr>
        <w:t>Ginkgo Bioworks</w:t>
      </w:r>
      <w:r w:rsidRPr="00054C86">
        <w:rPr>
          <w:rFonts w:ascii="Times New Roman" w:eastAsia="Times New Roman" w:hAnsi="Times New Roman" w:cstheme="minorBidi"/>
        </w:rPr>
        <w:t>)</w:t>
      </w:r>
      <w:r w:rsidR="00AD1796">
        <w:rPr>
          <w:rFonts w:ascii="Times New Roman" w:eastAsia="Times New Roman" w:hAnsi="Times New Roman" w:cstheme="minorBidi"/>
        </w:rPr>
        <w:t>.</w:t>
      </w:r>
    </w:p>
    <w:p w14:paraId="465047CF" w14:textId="4D0810F0" w:rsidR="00E3496A" w:rsidRPr="00777E5B" w:rsidRDefault="00965D52" w:rsidP="00301733">
      <w:pPr>
        <w:spacing w:after="120" w:line="240" w:lineRule="auto"/>
        <w:ind w:left="284"/>
        <w:jc w:val="both"/>
        <w:rPr>
          <w:rFonts w:ascii="Times New Roman" w:eastAsia="Times New Roman" w:hAnsi="Times New Roman" w:cstheme="minorBidi"/>
          <w:i/>
          <w:lang w:eastAsia="ar-SA"/>
        </w:rPr>
      </w:pPr>
      <w:r w:rsidRPr="00777E5B">
        <w:rPr>
          <w:rFonts w:asciiTheme="majorBidi" w:hAnsiTheme="majorBidi" w:cstheme="majorBidi"/>
        </w:rPr>
        <w:t xml:space="preserve">Yeast cells were engineered to express a </w:t>
      </w:r>
      <w:r w:rsidR="00FA4D47" w:rsidRPr="00777E5B">
        <w:rPr>
          <w:rFonts w:asciiTheme="majorBidi" w:hAnsiTheme="majorBidi" w:cstheme="majorBidi"/>
        </w:rPr>
        <w:t>chimeric terpene synthase</w:t>
      </w:r>
      <w:r w:rsidRPr="00777E5B">
        <w:rPr>
          <w:rFonts w:asciiTheme="majorBidi" w:hAnsiTheme="majorBidi" w:cstheme="majorBidi"/>
        </w:rPr>
        <w:t xml:space="preserve"> </w:t>
      </w:r>
      <w:r w:rsidR="00A3481E" w:rsidRPr="00777E5B">
        <w:rPr>
          <w:rFonts w:asciiTheme="majorBidi" w:hAnsiTheme="majorBidi" w:cstheme="majorBidi"/>
        </w:rPr>
        <w:t>to produce</w:t>
      </w:r>
      <w:r w:rsidRPr="00777E5B">
        <w:rPr>
          <w:rFonts w:asciiTheme="majorBidi" w:hAnsiTheme="majorBidi" w:cstheme="majorBidi"/>
        </w:rPr>
        <w:t xml:space="preserve"> terpenes (aroma compounds). The sequences</w:t>
      </w:r>
      <w:r w:rsidR="00680E74">
        <w:rPr>
          <w:rFonts w:asciiTheme="majorBidi" w:hAnsiTheme="majorBidi" w:cstheme="majorBidi"/>
        </w:rPr>
        <w:t xml:space="preserve"> for the engineered proteins</w:t>
      </w:r>
      <w:r w:rsidRPr="00777E5B">
        <w:rPr>
          <w:rFonts w:asciiTheme="majorBidi" w:hAnsiTheme="majorBidi" w:cstheme="majorBidi"/>
        </w:rPr>
        <w:t xml:space="preserve"> were assembled from rare or extinct plants </w:t>
      </w:r>
      <w:r w:rsidR="00C96812">
        <w:rPr>
          <w:rFonts w:asciiTheme="majorBidi" w:hAnsiTheme="majorBidi" w:cstheme="majorBidi"/>
        </w:rPr>
        <w:fldChar w:fldCharType="begin" w:fldLock="1"/>
      </w:r>
      <w:r w:rsidR="00F2602D">
        <w:rPr>
          <w:rFonts w:asciiTheme="majorBidi" w:hAnsiTheme="majorBidi" w:cstheme="majorBidi"/>
        </w:rPr>
        <w:instrText>ADDIN CSL_CITATION {"citationItems":[{"id":"ITEM-1","itemData":{"author":[{"dropping-particle":"","family":"Ridley","given":"Christian","non-dropping-particle":"","parse-names":false,"suffix":""},{"dropping-particle":"","family":"Wang","given":"Jue","non-dropping-particle":"","parse-names":false,"suffix":""},{"dropping-particle":"","family":"Marr","given":"Scott","non-dropping-particle":"","parse-names":false,"suffix":""}],"id":"ITEM-1","issue":"51","issued":{"date-parts":[["2019"]]},"title":"Chimeric terpene synthases, WO2019161141A9","type":"article","volume":"00"},"uris":["http://www.mendeley.com/documents/?uuid=89656069-71c1-438a-a76f-5f131bbe61cc"]},{"id":"ITEM-2","itemData":{"DOI":"10.1002/cssc.202001661ï","author":[{"dropping-particle":"","family":"Lecourt","given":"Mathilde","non-dropping-particle":"","parse-names":false,"suffix":""},{"dropping-particle":"","family":"Antoniotti","given":"Sylvain","non-dropping-particle":"","parse-names":false,"suffix":""}],"container-title":"ChemSusChem","id":"ITEM-2","issue":"21","issued":{"date-parts":[["2020"]]},"title":"Sustainability and Naturality of Perfumery Biotech Ingredients","type":"article-journal"},"uris":["http://www.mendeley.com/documents/?uuid=82203619-ccf3-493d-9c48-b857d64ab44f"]}],"mendeley":{"formattedCitation":"(Lecourt &amp; Antoniotti, 2020; Ridley et al., 2019)","plainTextFormattedCitation":"(Lecourt &amp; Antoniotti, 2020; Ridley et al., 2019)","previouslyFormattedCitation":"(Lecourt &amp; Antoniotti, 2020; Ridley et al., 2019)"},"properties":{"noteIndex":0},"schema":"https://github.com/citation-style-language/schema/raw/master/csl-citation.json"}</w:instrText>
      </w:r>
      <w:r w:rsidR="00C96812">
        <w:rPr>
          <w:rFonts w:asciiTheme="majorBidi" w:hAnsiTheme="majorBidi" w:cstheme="majorBidi"/>
        </w:rPr>
        <w:fldChar w:fldCharType="separate"/>
      </w:r>
      <w:r w:rsidR="00C96812" w:rsidRPr="00C96812">
        <w:rPr>
          <w:rFonts w:asciiTheme="majorBidi" w:hAnsiTheme="majorBidi" w:cstheme="majorBidi"/>
          <w:noProof/>
        </w:rPr>
        <w:t>(Lecourt &amp; Antoniotti, 2020; Ridley et al., 2019)</w:t>
      </w:r>
      <w:r w:rsidR="00C96812">
        <w:rPr>
          <w:rFonts w:asciiTheme="majorBidi" w:hAnsiTheme="majorBidi" w:cstheme="majorBidi"/>
        </w:rPr>
        <w:fldChar w:fldCharType="end"/>
      </w:r>
      <w:r w:rsidR="00AD1796">
        <w:rPr>
          <w:rFonts w:asciiTheme="majorBidi" w:hAnsiTheme="majorBidi" w:cstheme="majorBidi"/>
        </w:rPr>
        <w:t>.</w:t>
      </w:r>
    </w:p>
    <w:p w14:paraId="7C1454A0" w14:textId="147552D3" w:rsidR="00054C86" w:rsidRPr="00054C86" w:rsidRDefault="003D2EF7" w:rsidP="003D2EF7">
      <w:pPr>
        <w:pStyle w:val="Heading5"/>
        <w:tabs>
          <w:tab w:val="clear" w:pos="1800"/>
        </w:tabs>
        <w:ind w:left="284" w:hanging="284"/>
      </w:pPr>
      <w:r>
        <w:rPr>
          <w:i w:val="0"/>
          <w:iCs/>
        </w:rPr>
        <w:t xml:space="preserve">(e) </w:t>
      </w:r>
      <w:r w:rsidR="00054C86" w:rsidRPr="00054C86">
        <w:t>Food and food ingredients</w:t>
      </w:r>
      <w:r w:rsidR="00D07E3A">
        <w:t>.</w:t>
      </w:r>
    </w:p>
    <w:p w14:paraId="2C8C7EFB" w14:textId="1C5E1A4A" w:rsidR="00FD2ED2" w:rsidRPr="00777E5B" w:rsidRDefault="005248EC" w:rsidP="00E1457C">
      <w:pPr>
        <w:numPr>
          <w:ilvl w:val="1"/>
          <w:numId w:val="172"/>
        </w:numPr>
        <w:spacing w:before="120" w:after="120" w:line="240" w:lineRule="auto"/>
        <w:ind w:left="284" w:hanging="284"/>
        <w:jc w:val="both"/>
        <w:rPr>
          <w:rFonts w:ascii="Times New Roman" w:eastAsia="Times New Roman" w:hAnsi="Times New Roman" w:cstheme="minorBidi"/>
          <w:i/>
          <w:lang w:eastAsia="ar-SA"/>
        </w:rPr>
      </w:pPr>
      <w:r>
        <w:rPr>
          <w:rFonts w:ascii="Times New Roman" w:eastAsia="Times New Roman" w:hAnsi="Times New Roman" w:cstheme="minorBidi"/>
        </w:rPr>
        <w:t>Microbial</w:t>
      </w:r>
      <w:r w:rsidR="00054C86" w:rsidRPr="00054C86">
        <w:rPr>
          <w:rFonts w:ascii="Times New Roman" w:eastAsia="Times New Roman" w:hAnsi="Times New Roman" w:cstheme="minorBidi"/>
        </w:rPr>
        <w:t xml:space="preserve"> proteins </w:t>
      </w:r>
      <w:r w:rsidR="004737C5">
        <w:rPr>
          <w:rFonts w:ascii="Times New Roman" w:eastAsia="Times New Roman" w:hAnsi="Times New Roman" w:cstheme="minorBidi"/>
        </w:rPr>
        <w:t xml:space="preserve">for </w:t>
      </w:r>
      <w:r w:rsidR="004A5CF0">
        <w:rPr>
          <w:rFonts w:ascii="Times New Roman" w:eastAsia="Times New Roman" w:hAnsi="Times New Roman" w:cstheme="minorBidi"/>
        </w:rPr>
        <w:t>human consumption</w:t>
      </w:r>
      <w:r w:rsidR="00054C86" w:rsidRPr="00054C86">
        <w:rPr>
          <w:rFonts w:ascii="Times New Roman" w:eastAsia="Times New Roman" w:hAnsi="Times New Roman" w:cstheme="minorBidi"/>
        </w:rPr>
        <w:t xml:space="preserve"> (</w:t>
      </w:r>
      <w:r w:rsidR="00054C86" w:rsidRPr="005F1592">
        <w:rPr>
          <w:rFonts w:ascii="Times New Roman" w:eastAsia="Times New Roman" w:hAnsi="Times New Roman" w:cstheme="minorBidi"/>
          <w:i/>
          <w:iCs/>
        </w:rPr>
        <w:t>Motif FoodWorks</w:t>
      </w:r>
      <w:r w:rsidR="00345975">
        <w:rPr>
          <w:rFonts w:ascii="Times New Roman" w:eastAsia="Times New Roman" w:hAnsi="Times New Roman" w:cstheme="minorBidi"/>
        </w:rPr>
        <w:t xml:space="preserve">, </w:t>
      </w:r>
      <w:r w:rsidR="00345975" w:rsidRPr="005F1592">
        <w:rPr>
          <w:rFonts w:ascii="Times New Roman" w:eastAsia="Times New Roman" w:hAnsi="Times New Roman" w:cstheme="minorBidi"/>
          <w:i/>
          <w:iCs/>
        </w:rPr>
        <w:t>Clara Foods Co</w:t>
      </w:r>
      <w:r w:rsidR="00345975">
        <w:rPr>
          <w:rFonts w:ascii="Times New Roman" w:eastAsia="Times New Roman" w:hAnsi="Times New Roman" w:cstheme="minorBidi"/>
        </w:rPr>
        <w:t>.</w:t>
      </w:r>
      <w:r w:rsidR="007F5B9B">
        <w:rPr>
          <w:rFonts w:ascii="Times New Roman" w:eastAsia="Times New Roman" w:hAnsi="Times New Roman" w:cstheme="minorBidi"/>
        </w:rPr>
        <w:t xml:space="preserve">, </w:t>
      </w:r>
      <w:r w:rsidR="007F5B9B" w:rsidRPr="005F1592">
        <w:rPr>
          <w:rFonts w:ascii="Times New Roman" w:eastAsia="Times New Roman" w:hAnsi="Times New Roman" w:cstheme="minorBidi"/>
          <w:i/>
          <w:iCs/>
        </w:rPr>
        <w:t>Impossible Foods</w:t>
      </w:r>
      <w:r w:rsidR="00054C86" w:rsidRPr="00054C86">
        <w:rPr>
          <w:rFonts w:ascii="Times New Roman" w:eastAsia="Times New Roman" w:hAnsi="Times New Roman" w:cstheme="minorBidi"/>
        </w:rPr>
        <w:t>)</w:t>
      </w:r>
      <w:r w:rsidR="00252E3D">
        <w:rPr>
          <w:rFonts w:ascii="Times New Roman" w:eastAsia="Times New Roman" w:hAnsi="Times New Roman" w:cstheme="minorBidi"/>
        </w:rPr>
        <w:t>.</w:t>
      </w:r>
    </w:p>
    <w:p w14:paraId="32FF85EF" w14:textId="7FD9B67C" w:rsidR="00054C86" w:rsidRPr="00F8168D" w:rsidRDefault="006D457F" w:rsidP="00F2602D">
      <w:pPr>
        <w:spacing w:after="120" w:line="240" w:lineRule="auto"/>
        <w:ind w:left="284"/>
        <w:jc w:val="both"/>
        <w:rPr>
          <w:rFonts w:asciiTheme="majorBidi" w:eastAsia="Times New Roman" w:hAnsiTheme="majorBidi" w:cstheme="majorBidi"/>
          <w:lang w:val="fr-CA"/>
        </w:rPr>
      </w:pPr>
      <w:r>
        <w:rPr>
          <w:rFonts w:asciiTheme="majorBidi" w:hAnsiTheme="majorBidi" w:cstheme="majorBidi"/>
        </w:rPr>
        <w:t>Using large fermenting bioreactors, m</w:t>
      </w:r>
      <w:r w:rsidRPr="00777E5B">
        <w:rPr>
          <w:rFonts w:asciiTheme="majorBidi" w:hAnsiTheme="majorBidi" w:cstheme="majorBidi"/>
        </w:rPr>
        <w:t xml:space="preserve">icrobial </w:t>
      </w:r>
      <w:r w:rsidR="00FD2ED2" w:rsidRPr="00777E5B">
        <w:rPr>
          <w:rFonts w:asciiTheme="majorBidi" w:hAnsiTheme="majorBidi" w:cstheme="majorBidi"/>
        </w:rPr>
        <w:t xml:space="preserve">cells </w:t>
      </w:r>
      <w:r w:rsidR="003D694D">
        <w:rPr>
          <w:rFonts w:asciiTheme="majorBidi" w:hAnsiTheme="majorBidi" w:cstheme="majorBidi"/>
        </w:rPr>
        <w:t>were</w:t>
      </w:r>
      <w:r w:rsidR="00FD2ED2" w:rsidRPr="00777E5B">
        <w:rPr>
          <w:rFonts w:asciiTheme="majorBidi" w:hAnsiTheme="majorBidi" w:cstheme="majorBidi"/>
        </w:rPr>
        <w:t xml:space="preserve"> programmed to produce amino acids and proteins for human consumption</w:t>
      </w:r>
      <w:r>
        <w:rPr>
          <w:rFonts w:asciiTheme="majorBidi" w:hAnsiTheme="majorBidi" w:cstheme="majorBidi"/>
        </w:rPr>
        <w:t xml:space="preserve"> </w:t>
      </w:r>
      <w:r w:rsidR="00054C86" w:rsidRPr="00777E5B">
        <w:rPr>
          <w:rFonts w:asciiTheme="majorBidi" w:eastAsia="Times New Roman" w:hAnsiTheme="majorBidi" w:cstheme="majorBidi"/>
        </w:rPr>
        <w:fldChar w:fldCharType="begin" w:fldLock="1"/>
      </w:r>
      <w:r w:rsidR="00F2602D">
        <w:rPr>
          <w:rFonts w:asciiTheme="majorBidi" w:eastAsia="Times New Roman" w:hAnsiTheme="majorBidi" w:cstheme="majorBidi"/>
        </w:rPr>
        <w:instrText xml:space="preserve">ADDIN CSL_CITATION {"citationItems":[{"id":"ITEM-1","itemData":{"DOI":"10.1111/1751-7915.12369","ISSN":"17517915","PMID":"27389856","abstract":"Microbial biotechnology has a long history of producing feeds and foods. The key feature of today's market economy is that protein production by conventional agriculture based food supply chains is becoming a major issue in terms of global environmental pollution such as diffuse nutrient and greenhouse gas emissions, land use and water footprint. Time has come to re-assess the current potentials of producing protein-rich feed or food additives in the form of algae, yeasts, fungi and plain bacterial cellular biomass, producible with a lower environmental footprint compared with other plant or animal-based alternatives. A major driver is the need to no longer disintegrate but rather upgrade a variety of low-value organic and inorganic side streams in our current non-cyclic economy. In this context, microbial bioconversions of such valuable matters to nutritive microbial cells and cell components are a powerful asset. The worldwide market of animal protein is of the order of several hundred million tons per year, that of plant protein several billion tons of protein per year; hence, the expansion of the production of microbial protein does not pose disruptive challenges towards the process of the latter. Besides protein as nutritive compounds, also other cellular components such as lipids (single cell oil), polyhydroxybuthyrate, exopolymeric saccharides, carotenoids, ectorines, (pro)vitamins and essential amino acids can be of value for the </w:instrText>
      </w:r>
      <w:r w:rsidR="00F2602D" w:rsidRPr="00E857D9">
        <w:rPr>
          <w:rFonts w:asciiTheme="majorBidi" w:eastAsia="Times New Roman" w:hAnsiTheme="majorBidi" w:cstheme="majorBidi"/>
          <w:lang w:val="fr-FR"/>
        </w:rPr>
        <w:instrText>growing domain of novel nutrition. In order for microbial protein as feed or food to become a major and sustainable alternative, addressing the challenges of creating awareness and achieving public and broader regulatory acceptance are real and need to be addressed with care and expedience.","author":[{"dropping-particle":"","family":"Matassa","given":"Silvio","non-dropping-particle":"","parse-names":false,"suffix":""},{"dropping-particle":"","family":"Boon","given":"Nico","non-dropping-particle":"","parse-names":false,"suffix":""},{"dropping-particle":"","family":"Pikaar","given":"Ilje","non-dropping-particle":"","parse-names":false,"suffix":""},{"dropping-particle":"","family":"Verstraete","given":"Willy","non-dropping-particle":"","parse-names":false,"suffix":""}],"container-title":"Microbial Biotechnology","id":"ITEM-1","issue":"5","issued":{"date-parts":[["2016","9"]]},"page":"568-575","publisher":"John Wiley and Sons Ltd","title":"Microbial protein: future sustainable food supply route with low environmental footprint","type":"article-journal","volume":"9"},"uris":["http://www.mendeley.com/documents/?uuid=77dcc79d-7e61-4478-832d-c69e45f53719"]}],"mendeley":{"formattedCitation":"(Matassa et al., 2016)","manualFormatting":"(Matassa et al., 201</w:instrText>
      </w:r>
      <w:r w:rsidR="00F2602D" w:rsidRPr="009C2DA0">
        <w:rPr>
          <w:rFonts w:asciiTheme="majorBidi" w:eastAsia="Times New Roman" w:hAnsiTheme="majorBidi" w:cstheme="majorBidi"/>
          <w:lang w:val="fr-FR"/>
        </w:rPr>
        <w:instrText>6","plainTextFormattedCitation":"(Matassa et al., 2016)","previouslyFormattedCitation":"(Matassa et al., 2016)"},"properties":{"noteIndex":0},"schema":"https://github.com/citation-style-language/schema/raw/master/csl-citation.json"}</w:instrText>
      </w:r>
      <w:r w:rsidR="00054C86" w:rsidRPr="00777E5B">
        <w:rPr>
          <w:rFonts w:asciiTheme="majorBidi" w:eastAsia="Times New Roman" w:hAnsiTheme="majorBidi" w:cstheme="majorBidi"/>
        </w:rPr>
        <w:fldChar w:fldCharType="separate"/>
      </w:r>
      <w:r w:rsidR="00054C86" w:rsidRPr="009C2DA0">
        <w:rPr>
          <w:rFonts w:asciiTheme="majorBidi" w:eastAsia="Times New Roman" w:hAnsiTheme="majorBidi" w:cstheme="majorBidi"/>
          <w:noProof/>
          <w:lang w:val="fr-FR"/>
        </w:rPr>
        <w:t>(Matassa et al., 2016</w:t>
      </w:r>
      <w:r w:rsidR="00054C86" w:rsidRPr="00777E5B">
        <w:rPr>
          <w:rFonts w:asciiTheme="majorBidi" w:eastAsia="Times New Roman" w:hAnsiTheme="majorBidi" w:cstheme="majorBidi"/>
        </w:rPr>
        <w:fldChar w:fldCharType="end"/>
      </w:r>
      <w:r w:rsidR="00F2602D">
        <w:rPr>
          <w:rFonts w:asciiTheme="majorBidi" w:hAnsiTheme="majorBidi" w:cstheme="majorBidi"/>
        </w:rPr>
        <w:fldChar w:fldCharType="begin" w:fldLock="1"/>
      </w:r>
      <w:r w:rsidR="00F2602D" w:rsidRPr="009C2DA0">
        <w:rPr>
          <w:rFonts w:asciiTheme="majorBidi" w:hAnsiTheme="majorBidi" w:cstheme="majorBidi"/>
          <w:lang w:val="fr-FR"/>
        </w:rPr>
        <w:instrText>ADDIN CSL_CITATION {"citationItems":[{"id":"ITEM-1","itemData":{"author":[{"dropping-particle":"","family":"Ivey","given":"Frank Douglas","non-dropping-particle":"","parse-names":false,"suffix":""},{"dropping-particle":"","family":"Kreps","given":"Joel Andrew","non-dropping-particle":"","parse-names":false,"suffix":""},{"dropping-particle":"","family":"Helvey","given":"Jason","non-dropping-particle":"","parse-names":false,"suffix":""},{"dropping-particle":"","family":"Anchel","given":"David","non-dropping-particle":"","parse-names":false,"suffix":""}],"id":"ITEM-1","issue":"54","issued":{"date-parts":[["2019"]]},"title":"Modification of protein glycosylation in microorganisms, WO2020041483A1","type":"article","volume":"24"},"uris":["http://www.mendeley.com/documents/?uuid=9f51f6dd-f3fa-4c25-841e-de322466e7fa"]},{"id":"ITEM-2","itemData":{"author":[{"dropping-particle":"","family":"Mahadevan","given":"Kritika","non-dropping-particle":"","parse-names":false,"suffix":""},{"dropping-particle":"","family":"Kreps","given":"Joel Andrew","non-dropping-particle":"","parse-names":false,"suffix":""},{"dropping-particle":"","family":"Joshi","given":"Isha","non-dropping-particle":"","parse-names":false,"suffix":""},{"dropping-particle":"","family":"Ayoughi","given":"Farnoosh","non-dropping-particle":"","parse-names":false,"suffix":""},{"dropping-particle":"","family":"Zhong","given":"Weixi","non-dropping-particle":"","parse-names":false,"suffix":""},{"dropping-particle":"","family":"Kshirsagar","given":"Harshal","non-dropping-particle":"","parse-names":false,"suffix":""},{"dropping-particle":"","family":"CHAPEAUX","given":"Alexandre","non-dropping-particle":"","parse-names":false,"suffix":""},{"dropping-particle":"","family":"Rutherford-Jenkins","given":"Wesley","non-dropping-particle":"","parse-names":false,"suffix":""},{"dropping-particle":"","family":"Patnaik","given":"Ranjan","non-dropping-particle":"","parse-names":false,"suffix":""},{"dropping-particle":"","family":"Ivey","given":"Frank Douglas","non-dropping-particle":"","parse-names":false,"suffix":""}],"id":"ITEM-2","issued":{"date-parts":[["2020"]]},"title":"Protein compositions and consumable products thereof, US20210007384A1","type":"article"},"uris":["http://www.mendeley.com/documents/?uuid=df9a7f50-751e-4af7-8f35-d3f688f8dffe"]}],"mendeley":{"formattedCitation":"(Ivey et al., 2019; Mahadevan et al., 2020)","manualFormatting":"; Ivey et al., 2019; Mahadevan et al., 2020)","plainTextFormattedCitation":"(Ivey et al., 2019; Mahadevan et al., 2020)","previouslyFormattedCitation":"(Ivey et al., 2019; Mahadevan et al., 2020)"},"properties":{"noteIndex":0},"schema":"https://github.com/citation-style-language/schema/raw/master/csl-citation.json"}</w:instrText>
      </w:r>
      <w:r w:rsidR="00F2602D">
        <w:rPr>
          <w:rFonts w:asciiTheme="majorBidi" w:hAnsiTheme="majorBidi" w:cstheme="majorBidi"/>
        </w:rPr>
        <w:fldChar w:fldCharType="separate"/>
      </w:r>
      <w:r w:rsidR="00F2602D" w:rsidRPr="009C2DA0">
        <w:rPr>
          <w:rFonts w:asciiTheme="majorBidi" w:hAnsiTheme="majorBidi" w:cstheme="majorBidi"/>
          <w:noProof/>
          <w:lang w:val="fr-FR"/>
        </w:rPr>
        <w:t>; Ivey et al., 2019; Mahadevan et al., 2020)</w:t>
      </w:r>
      <w:r w:rsidR="00F2602D">
        <w:rPr>
          <w:rFonts w:asciiTheme="majorBidi" w:hAnsiTheme="majorBidi" w:cstheme="majorBidi"/>
        </w:rPr>
        <w:fldChar w:fldCharType="end"/>
      </w:r>
      <w:r w:rsidR="00054C86" w:rsidRPr="009C2DA0">
        <w:rPr>
          <w:rFonts w:asciiTheme="majorBidi" w:eastAsia="Times New Roman" w:hAnsiTheme="majorBidi" w:cstheme="majorBidi"/>
          <w:lang w:val="fr-FR"/>
        </w:rPr>
        <w:t>.</w:t>
      </w:r>
      <w:r w:rsidR="006C0D56" w:rsidRPr="009C2DA0">
        <w:rPr>
          <w:rFonts w:asciiTheme="majorBidi" w:hAnsiTheme="majorBidi" w:cstheme="majorBidi"/>
          <w:lang w:val="fr-FR"/>
        </w:rPr>
        <w:t xml:space="preserve"> For example, recombinant, animal-free egg white proteins can be made within modified yeast </w:t>
      </w:r>
      <w:r w:rsidR="00B84294" w:rsidRPr="009C2DA0">
        <w:rPr>
          <w:rFonts w:asciiTheme="majorBidi" w:hAnsiTheme="majorBidi" w:cstheme="majorBidi"/>
          <w:lang w:val="fr-FR"/>
        </w:rPr>
        <w:t>and</w:t>
      </w:r>
      <w:r w:rsidR="006C0D56" w:rsidRPr="009C2DA0">
        <w:rPr>
          <w:rFonts w:asciiTheme="majorBidi" w:hAnsiTheme="majorBidi" w:cstheme="majorBidi"/>
          <w:lang w:val="fr-FR"/>
        </w:rPr>
        <w:t xml:space="preserve"> engineered for specific food properties, glycosylation profiles and fl</w:t>
      </w:r>
      <w:r w:rsidR="00605248" w:rsidRPr="009C2DA0">
        <w:rPr>
          <w:rFonts w:asciiTheme="majorBidi" w:hAnsiTheme="majorBidi" w:cstheme="majorBidi"/>
          <w:lang w:val="fr-FR"/>
        </w:rPr>
        <w:t>a</w:t>
      </w:r>
      <w:r w:rsidR="006C0D56" w:rsidRPr="009C2DA0">
        <w:rPr>
          <w:rFonts w:asciiTheme="majorBidi" w:hAnsiTheme="majorBidi" w:cstheme="majorBidi"/>
          <w:lang w:val="fr-FR"/>
        </w:rPr>
        <w:t>vours</w:t>
      </w:r>
      <w:r w:rsidR="001D6C93" w:rsidRPr="009C2DA0">
        <w:rPr>
          <w:rFonts w:asciiTheme="majorBidi" w:hAnsiTheme="majorBidi" w:cstheme="majorBidi"/>
          <w:lang w:val="fr-FR"/>
        </w:rPr>
        <w:t xml:space="preserve"> (Anchel 2020)</w:t>
      </w:r>
      <w:r w:rsidR="006C0D56" w:rsidRPr="009C2DA0">
        <w:rPr>
          <w:rFonts w:asciiTheme="majorBidi" w:hAnsiTheme="majorBidi" w:cstheme="majorBidi"/>
          <w:lang w:val="fr-FR"/>
        </w:rPr>
        <w:t xml:space="preserve">. </w:t>
      </w:r>
      <w:r w:rsidR="006C0D56" w:rsidRPr="00777E5B">
        <w:rPr>
          <w:rFonts w:asciiTheme="majorBidi" w:hAnsiTheme="majorBidi" w:cstheme="majorBidi"/>
        </w:rPr>
        <w:t xml:space="preserve">For example, </w:t>
      </w:r>
      <w:r w:rsidR="007E52F8" w:rsidRPr="00777E5B">
        <w:rPr>
          <w:rFonts w:asciiTheme="majorBidi" w:hAnsiTheme="majorBidi" w:cstheme="majorBidi"/>
        </w:rPr>
        <w:t>metabolically</w:t>
      </w:r>
      <w:r w:rsidR="006C0D56" w:rsidRPr="00777E5B">
        <w:rPr>
          <w:rFonts w:asciiTheme="majorBidi" w:hAnsiTheme="majorBidi" w:cstheme="majorBidi"/>
        </w:rPr>
        <w:t xml:space="preserve"> engineered yeast </w:t>
      </w:r>
      <w:r w:rsidR="006C0D56" w:rsidRPr="00777E5B">
        <w:rPr>
          <w:rFonts w:asciiTheme="majorBidi" w:hAnsiTheme="majorBidi" w:cstheme="majorBidi"/>
          <w:i/>
          <w:iCs/>
        </w:rPr>
        <w:t>Pichia pastoris</w:t>
      </w:r>
      <w:r w:rsidR="006C0D56" w:rsidRPr="00777E5B">
        <w:rPr>
          <w:rFonts w:asciiTheme="majorBidi" w:hAnsiTheme="majorBidi" w:cstheme="majorBidi"/>
        </w:rPr>
        <w:t xml:space="preserve"> </w:t>
      </w:r>
      <w:r w:rsidR="001D6C93">
        <w:rPr>
          <w:rFonts w:asciiTheme="majorBidi" w:hAnsiTheme="majorBidi" w:cstheme="majorBidi"/>
        </w:rPr>
        <w:t xml:space="preserve">was modified </w:t>
      </w:r>
      <w:r w:rsidR="006C0D56" w:rsidRPr="00777E5B">
        <w:rPr>
          <w:rFonts w:asciiTheme="majorBidi" w:hAnsiTheme="majorBidi" w:cstheme="majorBidi"/>
        </w:rPr>
        <w:t xml:space="preserve">to </w:t>
      </w:r>
      <w:r w:rsidR="00B37DD0">
        <w:rPr>
          <w:rFonts w:asciiTheme="majorBidi" w:hAnsiTheme="majorBidi" w:cstheme="majorBidi"/>
        </w:rPr>
        <w:t>upregulate heme biosynthesis</w:t>
      </w:r>
      <w:r w:rsidR="00B37DD0" w:rsidRPr="00B37DD0">
        <w:rPr>
          <w:rFonts w:asciiTheme="majorBidi" w:hAnsiTheme="majorBidi" w:cstheme="majorBidi"/>
        </w:rPr>
        <w:t xml:space="preserve"> </w:t>
      </w:r>
      <w:r w:rsidR="00B37DD0">
        <w:rPr>
          <w:rFonts w:asciiTheme="majorBidi" w:hAnsiTheme="majorBidi" w:cstheme="majorBidi"/>
        </w:rPr>
        <w:t xml:space="preserve">and </w:t>
      </w:r>
      <w:r w:rsidR="006C0D56" w:rsidRPr="00777E5B">
        <w:rPr>
          <w:rFonts w:asciiTheme="majorBidi" w:hAnsiTheme="majorBidi" w:cstheme="majorBidi"/>
        </w:rPr>
        <w:t xml:space="preserve">produce soy leghemoglobin, which improves meaty flavours and aromas when added to a plant-based burger </w:t>
      </w:r>
      <w:r w:rsidR="00F2602D">
        <w:rPr>
          <w:rFonts w:asciiTheme="majorBidi" w:hAnsiTheme="majorBidi" w:cstheme="majorBidi"/>
        </w:rPr>
        <w:fldChar w:fldCharType="begin" w:fldLock="1"/>
      </w:r>
      <w:r w:rsidR="00F50E9F">
        <w:rPr>
          <w:rFonts w:asciiTheme="majorBidi" w:hAnsiTheme="majorBidi" w:cstheme="majorBidi"/>
        </w:rPr>
        <w:instrText>ADDIN CSL_CITATION {"citationItems":[{"id":"ITEM-1","itemData":{"author":[{"dropping-particle":"","family":"FDA","given":"","non-dropping-particle":"","parse-names":false,"suffix":""}],"id":"ITEM-1","issue":"737","issued":{"date-parts":[["2016"]]},"page":"1063","title":"Gras Notification for So</w:instrText>
      </w:r>
      <w:r w:rsidR="00F50E9F" w:rsidRPr="00E857D9">
        <w:rPr>
          <w:rFonts w:asciiTheme="majorBidi" w:hAnsiTheme="majorBidi" w:cstheme="majorBidi"/>
          <w:lang w:val="fr-FR"/>
        </w:rPr>
        <w:instrText>y Leghemoglobin Protein Preparation Derived From Pichia Pastoris, GRN737","type":"article"},"uris":["http://www.mendeley.com/documents/?uuid=d43eb4a3-5369-4f57-b278-25de6a19f40a"]},{"id":"ITEM-2","itemData":{"ISBN":"9781439836835","author":[{"dropping-particle":"","family":"Fraser","given":"Rachel","non-dropping-particle":"","parse-names":false,"suffix":""},{"dropping-particle":"","family":"Brown","given":"Patrick O'reilly","non-dropping-particle":"","parse-names":false,"suffix":""},{"dropping-particle":"","family":"Karr","given":"Jessica","non-dropping-particle":"","parse-names":false,"suffix":""},{"dropping-particle":"","family":"Holz-Schietinger","given":"Celeste","non-dropping-particle":"","parse-names":false,"suffix":""},{"dropping-particle":"","family":"Cohn","given":"Elysia","non-dropping-particle":"","parse-names":false,"suffix":""}],"id":"ITEM-2","issued":{"date-parts":[["2018"]]},"title":"Methods and compositions for affecting the flavor and aroma profile of consumabl</w:instrText>
      </w:r>
      <w:r w:rsidR="00F50E9F" w:rsidRPr="00F8168D">
        <w:rPr>
          <w:rFonts w:asciiTheme="majorBidi" w:hAnsiTheme="majorBidi" w:cstheme="majorBidi"/>
          <w:lang w:val="fr-CA"/>
        </w:rPr>
        <w:instrText>es, US9943096B2","type":"article","volume":"2"},"uris":["http://www.mendeley.com/documents/?uuid=5eca07a3-d055-4a3b-b83f-5f577e530a49"]}],"mendeley":{"formattedCitation":"(FDA, 2016; Fraser et al., 2018)","manualFormatting":"(FDA, 2016; Fraser et al., 2018","plainTextFormattedCitation":"(FDA, 2016; Fraser et al., 2018)","previouslyFormattedCitation":"(FDA, 2016; Fraser et al., 2018)"},"properties":{"noteIndex":0},"schema":"https://github.com/citation-style-language/schema/raw/master/csl-citation.json"}</w:instrText>
      </w:r>
      <w:r w:rsidR="00F2602D">
        <w:rPr>
          <w:rFonts w:asciiTheme="majorBidi" w:hAnsiTheme="majorBidi" w:cstheme="majorBidi"/>
        </w:rPr>
        <w:fldChar w:fldCharType="separate"/>
      </w:r>
      <w:r w:rsidR="00F2602D" w:rsidRPr="00F8168D">
        <w:rPr>
          <w:rFonts w:asciiTheme="majorBidi" w:hAnsiTheme="majorBidi" w:cstheme="majorBidi"/>
          <w:noProof/>
          <w:lang w:val="fr-CA"/>
        </w:rPr>
        <w:t>(FDA, 2016; Fraser et al., 2018</w:t>
      </w:r>
      <w:r w:rsidR="00F2602D">
        <w:rPr>
          <w:rFonts w:asciiTheme="majorBidi" w:hAnsiTheme="majorBidi" w:cstheme="majorBidi"/>
        </w:rPr>
        <w:fldChar w:fldCharType="end"/>
      </w:r>
      <w:r w:rsidR="00F2602D" w:rsidRPr="00F8168D">
        <w:rPr>
          <w:rFonts w:asciiTheme="majorBidi" w:hAnsiTheme="majorBidi" w:cstheme="majorBidi"/>
          <w:lang w:val="fr-CA"/>
        </w:rPr>
        <w:t>;</w:t>
      </w:r>
      <w:r w:rsidR="006C0D56" w:rsidRPr="00F8168D">
        <w:rPr>
          <w:rFonts w:asciiTheme="majorBidi" w:hAnsiTheme="majorBidi" w:cstheme="majorBidi"/>
          <w:lang w:val="fr-CA"/>
        </w:rPr>
        <w:t xml:space="preserve"> </w:t>
      </w:r>
      <w:r w:rsidR="00F2602D">
        <w:rPr>
          <w:rFonts w:asciiTheme="majorBidi" w:hAnsiTheme="majorBidi" w:cstheme="majorBidi"/>
        </w:rPr>
        <w:fldChar w:fldCharType="begin" w:fldLock="1"/>
      </w:r>
      <w:r w:rsidR="00F2602D" w:rsidRPr="00F8168D">
        <w:rPr>
          <w:rFonts w:asciiTheme="majorBidi" w:hAnsiTheme="majorBidi" w:cstheme="majorBidi"/>
          <w:lang w:val="fr-CA"/>
        </w:rPr>
        <w:instrText>ADDIN CSL_CITATION {"citationItems":[{"id":"ITEM-1","itemData":{"author":[{"dropping-particle":"","family":"Ivey","given":"Frank Douglas","non-dropping-particle":"","parse-names":false,"suffix":""},{"dropping-particle":"","family":"Kreps","given":"Joel Andrew","non-dropping-particle":"","parse-names":false,"suffix":""},{"dropping-particle":"","family":"Helvey","given":"Jason","non-dropping-particle":"","parse-names":false,"suffix":""},{"dropping-particle":"","family":"Anchel","given":"David","non-dropping-particle":"","parse-names":false,"suffix":""}],"id":"ITEM-1","issue":"54","issued":{"date-parts":[["2019"]]},"title":"Modification of protein glycosylation in microorganisms, WO2020041483A1","type":"article","volume":"24"},"uris":["http://www.mendeley.com/documents/?uuid=9f51f6dd-f3fa-4c25-841e-de322466e7fa"]},{"id":"ITEM-2","itemData":{"author":[{"dropping-particle":"","family":"Mahadevan","given":"Kritika","non-dropping-particle":"","parse-names":false,"suffix":""},{"dropping-particle":"","family":"Kreps","given":"Joel Andrew","non-dropping-particle":"","parse-names":false,"suffix":""},{"dropping-particle":"","family":"Joshi","given":"Isha","non-dropping-particle":"","parse-names":false,"suffix":""},{"dropping-particle":"","family":"Ayoughi","given":"Farnoosh","non-dropping-particle":"","parse-names":false,"suffix":""},{"dropping-particle":"","family":"Zhong","given":"Weixi","non-dropping-particle":"","parse-names":false,"suffix":""},{"dropping-particle":"","family":"Kshirsagar","given":"Harshal","non-dropping-particle":"","parse-names":false,"suffix":""},{"dropping-particle":"","family":"CHAPEAUX","given":"Alexandre","non-dropping-particle":"","parse-names":false,"suffix":""},{"dropping-particle":"","family":"Rutherford-Jenkins","given":"Wesley","non-dropping-particle":"","parse-names":false,"suffix":""},{"dropping-particle":"","family":"Patnaik","given":"Ranjan","non-dropping-particle":"","parse-names":false,"suffix":""},{"dropping-particle":"","family":"Ivey","given":"Frank Douglas","non-dropping-particle":"","parse-names":false,"suffix":""}],"id":"ITEM-2","issued":{"date-parts":[["2020"]]},"title":"Protein compositions and consumable products thereof, US20210007384A1","type":"article"},"uris":["http://www.mendeley.com/documents/?uuid=df9a7f50-751e-4af7-8f35-d3f688f8dffe"]}],"mendeley":{"formattedCitation":"(Ivey et al., 2019; Mahadevan et al., 2020)","manualFormatting":"Ivey et al., 2019; Mahadevan et al., 2020)","plainTextFormattedCitation":"(Ivey et al., 2019; Mahadevan et al., 2020)","previouslyFormattedCitation":"(Ivey et al., 2019; Mahadevan et al., 2020)"},"properties":{"noteIndex":0},"schema":"https://github.com/citation-style-language/schema/raw/master/csl-citation.json"}</w:instrText>
      </w:r>
      <w:r w:rsidR="00F2602D">
        <w:rPr>
          <w:rFonts w:asciiTheme="majorBidi" w:hAnsiTheme="majorBidi" w:cstheme="majorBidi"/>
        </w:rPr>
        <w:fldChar w:fldCharType="separate"/>
      </w:r>
      <w:r w:rsidR="00F2602D" w:rsidRPr="00F8168D">
        <w:rPr>
          <w:rFonts w:asciiTheme="majorBidi" w:hAnsiTheme="majorBidi" w:cstheme="majorBidi"/>
          <w:noProof/>
          <w:lang w:val="fr-CA"/>
        </w:rPr>
        <w:t>Ivey et al., 2019; Mahadevan et al., 2020)</w:t>
      </w:r>
      <w:r w:rsidR="00F2602D">
        <w:rPr>
          <w:rFonts w:asciiTheme="majorBidi" w:hAnsiTheme="majorBidi" w:cstheme="majorBidi"/>
        </w:rPr>
        <w:fldChar w:fldCharType="end"/>
      </w:r>
      <w:r w:rsidR="00252E3D" w:rsidRPr="00F8168D" w:rsidDel="006D457F">
        <w:rPr>
          <w:rFonts w:asciiTheme="majorBidi" w:hAnsiTheme="majorBidi" w:cstheme="majorBidi"/>
          <w:lang w:val="fr-CA"/>
        </w:rPr>
        <w:t>.</w:t>
      </w:r>
    </w:p>
    <w:p w14:paraId="27181520" w14:textId="75E25E13" w:rsidR="0038065C" w:rsidRPr="00777E5B" w:rsidRDefault="00054C86" w:rsidP="00E1457C">
      <w:pPr>
        <w:numPr>
          <w:ilvl w:val="1"/>
          <w:numId w:val="172"/>
        </w:numPr>
        <w:spacing w:before="120" w:after="120" w:line="240" w:lineRule="auto"/>
        <w:ind w:left="284" w:hanging="284"/>
        <w:jc w:val="both"/>
        <w:rPr>
          <w:rFonts w:ascii="Times New Roman" w:eastAsia="Times New Roman" w:hAnsi="Times New Roman" w:cstheme="minorBidi"/>
          <w:i/>
          <w:lang w:eastAsia="ar-SA"/>
        </w:rPr>
      </w:pPr>
      <w:r w:rsidRPr="00054C86">
        <w:rPr>
          <w:rFonts w:ascii="Times New Roman" w:eastAsia="Times New Roman" w:hAnsi="Times New Roman" w:cstheme="minorBidi"/>
        </w:rPr>
        <w:t xml:space="preserve">Bacterial protein </w:t>
      </w:r>
      <w:r w:rsidR="001502D2" w:rsidRPr="001502D2">
        <w:rPr>
          <w:rFonts w:ascii="Times New Roman" w:eastAsia="Times New Roman" w:hAnsi="Times New Roman" w:cstheme="minorBidi"/>
        </w:rPr>
        <w:t>for food and feed generated via renewable energy and direct air capture of CO</w:t>
      </w:r>
      <w:r w:rsidR="001502D2" w:rsidRPr="00777E5B">
        <w:rPr>
          <w:rFonts w:ascii="Times New Roman" w:eastAsia="Times New Roman" w:hAnsi="Times New Roman" w:cstheme="minorBidi"/>
          <w:vertAlign w:val="subscript"/>
        </w:rPr>
        <w:t>2</w:t>
      </w:r>
      <w:r w:rsidRPr="00054C86">
        <w:rPr>
          <w:rFonts w:ascii="Times New Roman" w:eastAsia="Times New Roman" w:hAnsi="Times New Roman" w:cstheme="minorBidi"/>
        </w:rPr>
        <w:t xml:space="preserve"> (</w:t>
      </w:r>
      <w:r w:rsidR="008F5E19">
        <w:rPr>
          <w:rFonts w:ascii="Times New Roman" w:eastAsia="Times New Roman" w:hAnsi="Times New Roman" w:cstheme="minorBidi"/>
        </w:rPr>
        <w:t xml:space="preserve">AirProtein and CO2 Aquafeed by </w:t>
      </w:r>
      <w:r w:rsidR="005131BA" w:rsidRPr="005F1592">
        <w:rPr>
          <w:rFonts w:asciiTheme="majorBidi" w:hAnsiTheme="majorBidi" w:cstheme="majorBidi"/>
          <w:i/>
          <w:iCs/>
        </w:rPr>
        <w:t>Kiverdi Inc</w:t>
      </w:r>
      <w:r w:rsidR="005131BA" w:rsidRPr="00777E5B">
        <w:rPr>
          <w:rFonts w:asciiTheme="majorBidi" w:hAnsiTheme="majorBidi" w:cstheme="majorBidi"/>
        </w:rPr>
        <w:t>.</w:t>
      </w:r>
      <w:r w:rsidRPr="00054C86">
        <w:rPr>
          <w:rFonts w:ascii="Times New Roman" w:eastAsia="Times New Roman" w:hAnsi="Times New Roman" w:cstheme="minorBidi"/>
        </w:rPr>
        <w:t>)</w:t>
      </w:r>
      <w:r w:rsidR="001457D2">
        <w:rPr>
          <w:rFonts w:ascii="Times New Roman" w:eastAsia="Times New Roman" w:hAnsi="Times New Roman" w:cstheme="minorBidi"/>
        </w:rPr>
        <w:t>.</w:t>
      </w:r>
    </w:p>
    <w:p w14:paraId="0FC1F12D" w14:textId="0735DB51" w:rsidR="00054C86" w:rsidRPr="00777E5B" w:rsidRDefault="0038065C" w:rsidP="001457D2">
      <w:pPr>
        <w:spacing w:after="120" w:line="240" w:lineRule="auto"/>
        <w:ind w:left="284"/>
        <w:jc w:val="both"/>
      </w:pPr>
      <w:r w:rsidRPr="00777E5B">
        <w:rPr>
          <w:rFonts w:asciiTheme="majorBidi" w:hAnsiTheme="majorBidi" w:cstheme="majorBidi"/>
        </w:rPr>
        <w:t>Metabolically engineered bacteria capture atmospheric CO</w:t>
      </w:r>
      <w:r w:rsidRPr="00777E5B">
        <w:rPr>
          <w:rFonts w:asciiTheme="majorBidi" w:hAnsiTheme="majorBidi" w:cstheme="majorBidi"/>
          <w:vertAlign w:val="subscript"/>
        </w:rPr>
        <w:t>2</w:t>
      </w:r>
      <w:r w:rsidRPr="00777E5B">
        <w:rPr>
          <w:rFonts w:asciiTheme="majorBidi" w:hAnsiTheme="majorBidi" w:cstheme="majorBidi"/>
        </w:rPr>
        <w:t xml:space="preserve"> with the assistance of H</w:t>
      </w:r>
      <w:r w:rsidRPr="00777E5B">
        <w:rPr>
          <w:rFonts w:asciiTheme="majorBidi" w:hAnsiTheme="majorBidi" w:cstheme="majorBidi"/>
          <w:vertAlign w:val="subscript"/>
        </w:rPr>
        <w:t>2</w:t>
      </w:r>
      <w:r w:rsidRPr="00777E5B">
        <w:rPr>
          <w:rFonts w:asciiTheme="majorBidi" w:hAnsiTheme="majorBidi" w:cstheme="majorBidi"/>
        </w:rPr>
        <w:t>-</w:t>
      </w:r>
      <w:r w:rsidR="001457D2" w:rsidRPr="00777E5B">
        <w:rPr>
          <w:rFonts w:asciiTheme="majorBidi" w:hAnsiTheme="majorBidi" w:cstheme="majorBidi"/>
        </w:rPr>
        <w:t>oxidi</w:t>
      </w:r>
      <w:r w:rsidR="001457D2">
        <w:rPr>
          <w:rFonts w:asciiTheme="majorBidi" w:hAnsiTheme="majorBidi" w:cstheme="majorBidi"/>
        </w:rPr>
        <w:t>s</w:t>
      </w:r>
      <w:r w:rsidR="001457D2" w:rsidRPr="00777E5B">
        <w:rPr>
          <w:rFonts w:asciiTheme="majorBidi" w:hAnsiTheme="majorBidi" w:cstheme="majorBidi"/>
        </w:rPr>
        <w:t>ing</w:t>
      </w:r>
      <w:r w:rsidRPr="00777E5B">
        <w:rPr>
          <w:rFonts w:asciiTheme="majorBidi" w:hAnsiTheme="majorBidi" w:cstheme="majorBidi"/>
        </w:rPr>
        <w:t xml:space="preserve"> bacteria to produce amino acids and proteins. Renewable energy powers the hydrolysis of water </w:t>
      </w:r>
      <w:r w:rsidR="00A3481E" w:rsidRPr="00777E5B">
        <w:rPr>
          <w:rFonts w:asciiTheme="majorBidi" w:hAnsiTheme="majorBidi" w:cstheme="majorBidi"/>
        </w:rPr>
        <w:t>to produce</w:t>
      </w:r>
      <w:r w:rsidRPr="00777E5B">
        <w:rPr>
          <w:rFonts w:asciiTheme="majorBidi" w:hAnsiTheme="majorBidi" w:cstheme="majorBidi"/>
        </w:rPr>
        <w:t xml:space="preserve"> H</w:t>
      </w:r>
      <w:r w:rsidRPr="00777E5B">
        <w:rPr>
          <w:rFonts w:asciiTheme="majorBidi" w:hAnsiTheme="majorBidi" w:cstheme="majorBidi"/>
          <w:vertAlign w:val="subscript"/>
        </w:rPr>
        <w:t>2</w:t>
      </w:r>
      <w:r w:rsidRPr="00777E5B">
        <w:rPr>
          <w:rFonts w:asciiTheme="majorBidi" w:hAnsiTheme="majorBidi" w:cstheme="majorBidi"/>
        </w:rPr>
        <w:t xml:space="preserve"> gas for the hydrogen</w:t>
      </w:r>
      <w:r w:rsidR="00B13917">
        <w:rPr>
          <w:rFonts w:asciiTheme="majorBidi" w:hAnsiTheme="majorBidi" w:cstheme="majorBidi"/>
        </w:rPr>
        <w:t>-</w:t>
      </w:r>
      <w:r w:rsidRPr="00777E5B">
        <w:rPr>
          <w:rFonts w:asciiTheme="majorBidi" w:hAnsiTheme="majorBidi" w:cstheme="majorBidi"/>
        </w:rPr>
        <w:t>oxidi</w:t>
      </w:r>
      <w:r w:rsidR="001457D2">
        <w:rPr>
          <w:rFonts w:asciiTheme="majorBidi" w:hAnsiTheme="majorBidi" w:cstheme="majorBidi"/>
        </w:rPr>
        <w:t>s</w:t>
      </w:r>
      <w:r w:rsidRPr="00777E5B">
        <w:rPr>
          <w:rFonts w:asciiTheme="majorBidi" w:hAnsiTheme="majorBidi" w:cstheme="majorBidi"/>
        </w:rPr>
        <w:t xml:space="preserve">ing bacteria. The cells are then disrupted to harvest protein for use in human or animal consumption </w:t>
      </w:r>
      <w:r w:rsidR="00F50E9F">
        <w:rPr>
          <w:rFonts w:asciiTheme="majorBidi" w:hAnsiTheme="majorBidi" w:cstheme="majorBidi"/>
        </w:rPr>
        <w:fldChar w:fldCharType="begin" w:fldLock="1"/>
      </w:r>
      <w:r w:rsidR="00F50E9F">
        <w:rPr>
          <w:rFonts w:asciiTheme="majorBidi" w:hAnsiTheme="majorBidi" w:cstheme="majorBidi"/>
        </w:rPr>
        <w:instrText>ADDIN CSL_CITATION {"citationItems":[{"id":"ITEM-1","itemData":{"author":[{"dropping-particle":"","family":"Dyson","given":"Lisa","non-dropping-particle":"","parse-names":false,"suffix":""},{"dropping-particle":"","family":"Reed","given":"John","non-dropping-particle":"","parse-names":false,"suffix":""},{"dropping-particle":"","family":"Geller","given":"Jil","non-dropping-particle":"","parse-names":false,"suffix":""},{"dropping-particle":"","family":"Hande","given":"Sonali","non-dropping-particle":"","parse-names":false,"suffix":""}],"id":"ITEM-1","issue":"12","issued":{"date-parts":[["2019"]]},"title":"Microbial conversion of CO2 and other C1 substrates to vegan nutrients, fertilizers, biostimulants, and systems for accelerated soil carbon sequestration, WO2018144965A1","type":"article","volume":"1"},"uris":["http://www.mendeley.com/documents/?uuid=3b38d5a7-f937-400d-a29f-3ecaf8b40d9a"]}],"mendeley":{"formattedCitation":"(Dyson et al., 2019)","manualFormatting":"(Dyson et al., 2019","plainTextFormattedCitation":"(Dyson et al., 2019)","previouslyFormattedCitation":"(Dyson et al., 2019)"},"properties":{"noteIndex":0},"schema":"https://github.com/citation-style-language/schema/raw/master/csl-citation.json"}</w:instrText>
      </w:r>
      <w:r w:rsidR="00F50E9F">
        <w:rPr>
          <w:rFonts w:asciiTheme="majorBidi" w:hAnsiTheme="majorBidi" w:cstheme="majorBidi"/>
        </w:rPr>
        <w:fldChar w:fldCharType="separate"/>
      </w:r>
      <w:r w:rsidR="00F50E9F" w:rsidRPr="00F50E9F">
        <w:rPr>
          <w:rFonts w:asciiTheme="majorBidi" w:hAnsiTheme="majorBidi" w:cstheme="majorBidi"/>
          <w:noProof/>
        </w:rPr>
        <w:t>(Dyson et al., 2019</w:t>
      </w:r>
      <w:r w:rsidR="00F50E9F">
        <w:rPr>
          <w:rFonts w:asciiTheme="majorBidi" w:hAnsiTheme="majorBidi" w:cstheme="majorBidi"/>
        </w:rPr>
        <w:fldChar w:fldCharType="end"/>
      </w:r>
      <w:r w:rsidR="00F50E9F">
        <w:rPr>
          <w:rFonts w:asciiTheme="majorBidi" w:hAnsiTheme="majorBidi" w:cstheme="majorBidi"/>
        </w:rPr>
        <w:t>;</w:t>
      </w:r>
      <w:r w:rsidR="00054C86" w:rsidRPr="00B57BE1">
        <w:rPr>
          <w:rFonts w:ascii="Times New Roman" w:eastAsia="Times New Roman" w:hAnsi="Times New Roman" w:cstheme="minorBidi"/>
        </w:rPr>
        <w:fldChar w:fldCharType="begin" w:fldLock="1"/>
      </w:r>
      <w:r w:rsidR="008F6A90">
        <w:rPr>
          <w:rFonts w:ascii="Times New Roman" w:eastAsia="Times New Roman" w:hAnsi="Times New Roman" w:cstheme="minorBidi"/>
        </w:rPr>
        <w:instrText>ADDIN CSL_CITATION {"citationItems":[{"id":"ITEM-1","itemData":{"DOI":"10.1016/j.gfs.2019.09.007","ISSN":"22119124","abstract":"The global food demand is projected to significantly increase. To maintain global food security in the future, protein production needs to become more efficient regarding the use of limited land and water resources. Protein-rich biomass can be produced via direct air capture of CO2 with the help of H2-oxidizing bacteria and renewable electricity in a closed, climate-independent system. This quantitative literature review conservatively estimated the direct land and water use of bacterial protein production relying on secondary data for the components of the technology and for the reference protein sources. A several times higher potential protein yield per land area can be achieved by this technology with approximately one-tenth of the water use compared to that required for soybean production.","author":[{"dropping-particle":"","family":"Sillman","given":"Jani","non-dropping-particle":"","parse-names":false,"suffix":""},{"dropping-particle":"","family":"Nygren","given":"Lauri","non-dropping-particle":"","parse-names":false,"suffix":""},{"dropping-particle":"","family":"Kahiluoto","given":"Helena","non-dropping-particle":"","parse-names":false,"suffix":""},{"dropping-particle":"","family":"Ruuskanen","given":"Vesa","non-dropping-particle":"","parse-names":false,"suffix":""},{"dropping-particle":"","family":"Tamminen","given":"Anu","non-dropping-particle":"","parse-names":false,"suffix":""},{"dropping-particle":"","family":"Bajamundi","given":"Cyril","non-dropping-particle":"","parse-names":false,"suffix":""},{"dropping-particle":"","family":"Nappa","given":"Marja","non-dropping-particle":"","parse-names":false,"suffix":""},{"dropping-particle":"","family":"Wuokko","given":"Mikko","non-dropping-particle":"","parse-names":false,"suffix":""},{"dropping-particle":"","family":"Lindh","given":"Tuomo","non-dropping-particle":"","parse-names":false,"suffix":""},{"dropping-particle":"","family":"Vainikka","given":"Pasi","non-dropping-particle":"","parse-names":false,"suffix":""},{"dropping-particle":"","family":"Pitkänen","given":"Juha Pekka","non-dropping-particle":"","parse-names":false,"suffix":""},{"dropping-particle":"","family":"Ahola","given":"Jero","non-dropping-particle":"","parse-names":false,"suffix":""}],"container-title":"Global Food Security","id":"ITEM-1","issued":{"date-parts":[["2019","9"]]},"page":"25-32","publisher":"Elsevier B.V.","title":"Bacterial protein for food and feed generated via renewable energy and direct air capture of CO2: Can it reduce land and water use?","type":"article","volume":"22"},"uris":["http://www.mendeley.com/documents/?uuid=8c29fe49-ad02-48d9-b3cb-c05998180505"]}],"mendeley":{"formattedCitation":"(Sillman et al., 2019)","manualFormatting":" Sillman et al., 2019)","plainTextFormattedCitation":"(Sillman et al., 2019)","previouslyFormattedCitation":"(Sillman et al., 2019)"},"properties":{"noteIndex":0},"schema":"https://github.com/citation-style-language/schema/raw/master/csl-citation.json"}</w:instrText>
      </w:r>
      <w:r w:rsidR="00054C86" w:rsidRPr="00B57BE1">
        <w:rPr>
          <w:rFonts w:ascii="Times New Roman" w:eastAsia="Times New Roman" w:hAnsi="Times New Roman" w:cstheme="minorBidi"/>
        </w:rPr>
        <w:fldChar w:fldCharType="separate"/>
      </w:r>
      <w:r w:rsidR="001457D2">
        <w:rPr>
          <w:rFonts w:ascii="Times New Roman" w:eastAsia="Times New Roman" w:hAnsi="Times New Roman" w:cstheme="minorBidi"/>
          <w:noProof/>
        </w:rPr>
        <w:t xml:space="preserve"> </w:t>
      </w:r>
      <w:r w:rsidR="00054C86" w:rsidRPr="00777E5B">
        <w:rPr>
          <w:rFonts w:ascii="Times New Roman" w:eastAsia="Times New Roman" w:hAnsi="Times New Roman" w:cstheme="minorBidi"/>
          <w:noProof/>
        </w:rPr>
        <w:t>Sillman et al., 2019)</w:t>
      </w:r>
      <w:r w:rsidR="00054C86" w:rsidRPr="00B57BE1">
        <w:rPr>
          <w:rFonts w:ascii="Times New Roman" w:eastAsia="Times New Roman" w:hAnsi="Times New Roman" w:cstheme="minorBidi"/>
        </w:rPr>
        <w:fldChar w:fldCharType="end"/>
      </w:r>
      <w:r w:rsidR="00054C86" w:rsidRPr="00B57BE1">
        <w:rPr>
          <w:rFonts w:ascii="Times New Roman" w:eastAsia="Times New Roman" w:hAnsi="Times New Roman" w:cstheme="minorBidi"/>
        </w:rPr>
        <w:t>.</w:t>
      </w:r>
    </w:p>
    <w:p w14:paraId="1E4E0C8A" w14:textId="7B92AB35" w:rsidR="00962BD8" w:rsidRPr="00777E5B" w:rsidRDefault="00054C86" w:rsidP="00E1457C">
      <w:pPr>
        <w:numPr>
          <w:ilvl w:val="1"/>
          <w:numId w:val="172"/>
        </w:numPr>
        <w:spacing w:before="120" w:after="120" w:line="240" w:lineRule="auto"/>
        <w:ind w:left="284" w:hanging="284"/>
        <w:jc w:val="both"/>
        <w:rPr>
          <w:rFonts w:ascii="Times New Roman" w:eastAsia="Times New Roman" w:hAnsi="Times New Roman" w:cstheme="minorBidi"/>
          <w:i/>
          <w:lang w:eastAsia="ar-SA"/>
        </w:rPr>
      </w:pPr>
      <w:r w:rsidRPr="00054C86">
        <w:rPr>
          <w:rFonts w:ascii="Times New Roman" w:eastAsia="Times New Roman" w:hAnsi="Times New Roman" w:cstheme="minorBidi"/>
        </w:rPr>
        <w:t>Meat from cultured cells (</w:t>
      </w:r>
      <w:r w:rsidRPr="005F1592">
        <w:rPr>
          <w:rFonts w:ascii="Times New Roman" w:eastAsia="Times New Roman" w:hAnsi="Times New Roman" w:cstheme="minorBidi"/>
          <w:i/>
          <w:iCs/>
        </w:rPr>
        <w:t>Memphis Meats</w:t>
      </w:r>
      <w:r w:rsidR="00A7009C">
        <w:rPr>
          <w:rFonts w:ascii="Times New Roman" w:eastAsia="Times New Roman" w:hAnsi="Times New Roman" w:cstheme="minorBidi"/>
        </w:rPr>
        <w:t xml:space="preserve">, </w:t>
      </w:r>
      <w:r w:rsidRPr="005F1592">
        <w:rPr>
          <w:rFonts w:ascii="Times New Roman" w:eastAsia="Times New Roman" w:hAnsi="Times New Roman" w:cstheme="minorBidi"/>
          <w:i/>
          <w:iCs/>
        </w:rPr>
        <w:t>Meatable</w:t>
      </w:r>
      <w:r w:rsidRPr="00054C86">
        <w:rPr>
          <w:rFonts w:ascii="Times New Roman" w:eastAsia="Times New Roman" w:hAnsi="Times New Roman" w:cstheme="minorBidi"/>
        </w:rPr>
        <w:t>).</w:t>
      </w:r>
    </w:p>
    <w:p w14:paraId="4E4F6CF3" w14:textId="5B0FBFDA" w:rsidR="00F86CE0" w:rsidRPr="002B1E0D" w:rsidRDefault="00F86CE0" w:rsidP="00777E5B">
      <w:pPr>
        <w:spacing w:before="240" w:after="120" w:line="240" w:lineRule="auto"/>
        <w:ind w:left="284"/>
        <w:contextualSpacing/>
        <w:jc w:val="both"/>
        <w:rPr>
          <w:rFonts w:asciiTheme="majorBidi" w:eastAsia="Times New Roman" w:hAnsiTheme="majorBidi" w:cstheme="majorBidi"/>
          <w:i/>
          <w:lang w:val="en-US" w:eastAsia="ar-SA"/>
        </w:rPr>
      </w:pPr>
      <w:r w:rsidRPr="00777E5B">
        <w:rPr>
          <w:rFonts w:asciiTheme="majorBidi" w:hAnsiTheme="majorBidi" w:cstheme="majorBidi"/>
        </w:rPr>
        <w:t xml:space="preserve">Cells taken from animals (e.g. cows, chickens, ducks, pigs, sheep, etc.) are cultured in a laboratory as an alternative to </w:t>
      </w:r>
      <w:r w:rsidRPr="00E1457C">
        <w:rPr>
          <w:rFonts w:asciiTheme="majorBidi" w:hAnsiTheme="majorBidi" w:cstheme="majorBidi"/>
        </w:rPr>
        <w:t>animal rearing and slaughter</w:t>
      </w:r>
      <w:r w:rsidRPr="00777E5B">
        <w:rPr>
          <w:rFonts w:asciiTheme="majorBidi" w:hAnsiTheme="majorBidi" w:cstheme="majorBidi"/>
        </w:rPr>
        <w:t>. The cells are engineered to exhibit properties for improved cell growth in laboratory settings and tissue structure for use as an edible consumer product</w:t>
      </w:r>
      <w:r>
        <w:rPr>
          <w:rFonts w:asciiTheme="majorBidi" w:hAnsiTheme="majorBidi" w:cstheme="majorBidi"/>
        </w:rPr>
        <w:t xml:space="preserve"> </w:t>
      </w:r>
      <w:r w:rsidR="00F50E9F">
        <w:rPr>
          <w:rFonts w:asciiTheme="majorBidi" w:hAnsiTheme="majorBidi" w:cstheme="majorBidi"/>
        </w:rPr>
        <w:fldChar w:fldCharType="begin" w:fldLock="1"/>
      </w:r>
      <w:r w:rsidR="00F50E9F">
        <w:rPr>
          <w:rFonts w:asciiTheme="majorBidi" w:hAnsiTheme="majorBidi" w:cstheme="majorBidi"/>
        </w:rPr>
        <w:instrText>ADDIN CSL_CITATION {"citationItems":[{"id":"ITEM-1","itemData":{"author":[{"dropping-particle":"","family":"Genovese","given":"Nicholas J","non-dropping-particle":"","parse-names":false,"suffix":""},{"dropping-particle":"","family":"SCHULZE","given":"Eric N","non-dropping-particle":"","parse-names":false,"suffix":""},{"dropping-particle":"","family":"DESMET","given":"Danielle N","non-dropping-particle":"","parse-names":false,"suffix":""}],"id":"ITEM-1","issue":"62","issued":{"date-parts":[["2018"]]},"title":"Compositions and methods for increasing the efficiency of cell cultures used for food production, EP3638777A1","type":"article","volume":"2020"},"uris":["http://www.mendeley.com/documents/?uuid=bf591c7c-71cb-4df0-8b6e-37a8bd455f21"]},{"id":"ITEM-2","itemData":{"author":[{"dropping-particle":"","family":"Genovese","given":"Nicholas J","non-dropping-particle":"","parse-names":false,"suffix":""},{"dropping-particle":"","family":"Roberts","given":"R Michael","non-dropping-particle":"","parse-names":false,"suffix":""},{"dropping-particle":"","family":"TELUGU","given":"Bhanu Prakash V L","non-dropping-particle":"","parse-names":false,"suffix":""}],"id":"ITEM-2","issue":"12","issued":{"date-parts":[["2015"]]},"title":"Method for scalable skeletal muscle lineage specification and cultivation, WO2015066377A1","type":"article"},"uris":["http://www.mendeley.com/documents/?uuid=d386878a-49bf-4a62-baf0-326585869f22"]},{"id":"ITEM-3","itemData":{"DOI":"10.1016/j.copbio.2019.12.003","ISSN":"18790429","PMID":"31926477","abstract":"Fundamental changes of agriculture and food production are inevitable. Providing food for an increasing population will be a great challenge that coincides with the pressure to reduce negative environmental impacts of conventional agriculture. Biotechnological manufacturing of acellular products for food and materials has already been piloted but the full profit of cellular agriculture is just beginning to emerge. Cultured meat is a promising technology for animal-based proteins</w:instrText>
      </w:r>
      <w:r w:rsidR="00F50E9F" w:rsidRPr="002B1E0D">
        <w:rPr>
          <w:rFonts w:asciiTheme="majorBidi" w:hAnsiTheme="majorBidi" w:cstheme="majorBidi"/>
          <w:lang w:val="en-US"/>
        </w:rPr>
        <w:instrText xml:space="preserve"> but still needs further development. The concept of plant cells as food offers a very attractive alternative to obtain healthy, protein-rich and nutritionally balanced food raw material. Moreover, cultured microbes can be processed into a wide range of biosynthetic materials. A better control over structural properties will be increasingly important in all cultured cell applications.","author":[{"dropping-particle":"","family":"Rischer","given":"Heiko","non-dropping-particle":"","parse-names":false,"suffix":""},{"dropping-particle":"","family":"Szilvay","given":"Géza R","non-dropping-particle":"","parse-names":false,"suffix":""},{"dropping-particle":"","family":"Oksman-Caldentey","given":"Kirsi Marja","non-dropping-particle":"","parse-names":false,"suffix":""}],"container-title":"Current Opinion in Biotechnology","id":"ITEM-3","issued":{"date-parts":[["2020","2"]]},"page":"128-134","publisher":"Elsevier Ltd","title":"Cellular agriculture — industrial biotechnology for food and materials","type":"article","volume":"61"},"uris":["http://www.mendeley.com/documents/?uuid=c661d308-01ff-46cc-9adf-2129a4c48f5e"]}],"mendeley":{"formattedCitation":"(Genovese et al., 2015, 2018; Rischer et al., 2020)","plainTextFormattedCitation":"(Genovese et al., 2015, 2018; Rischer et al., 2020)","previouslyFormattedCitation":"(Genovese et al., 2015, 2018; Rischer et al., 2020)"},"properties":{"noteIndex":0},"schema":"https://github.com/citation-style-language/schema/raw/master/csl-citation.json"}</w:instrText>
      </w:r>
      <w:r w:rsidR="00F50E9F">
        <w:rPr>
          <w:rFonts w:asciiTheme="majorBidi" w:hAnsiTheme="majorBidi" w:cstheme="majorBidi"/>
        </w:rPr>
        <w:fldChar w:fldCharType="separate"/>
      </w:r>
      <w:r w:rsidR="00F50E9F" w:rsidRPr="002B1E0D">
        <w:rPr>
          <w:rFonts w:asciiTheme="majorBidi" w:hAnsiTheme="majorBidi" w:cstheme="majorBidi"/>
          <w:noProof/>
          <w:lang w:val="en-US"/>
        </w:rPr>
        <w:t>(Genovese et al., 2015, 2018; Rischer et al., 2020)</w:t>
      </w:r>
      <w:r w:rsidR="00F50E9F">
        <w:rPr>
          <w:rFonts w:asciiTheme="majorBidi" w:hAnsiTheme="majorBidi" w:cstheme="majorBidi"/>
        </w:rPr>
        <w:fldChar w:fldCharType="end"/>
      </w:r>
    </w:p>
    <w:p w14:paraId="028BA250" w14:textId="3E0F2E48" w:rsidR="00DE7F9A" w:rsidRPr="002B1E0D" w:rsidRDefault="003D2EF7" w:rsidP="003D2EF7">
      <w:pPr>
        <w:pStyle w:val="Heading5"/>
        <w:tabs>
          <w:tab w:val="clear" w:pos="1800"/>
        </w:tabs>
        <w:ind w:left="284" w:hanging="284"/>
        <w:rPr>
          <w:lang w:val="en-US"/>
        </w:rPr>
      </w:pPr>
      <w:r w:rsidRPr="002B1E0D">
        <w:rPr>
          <w:i w:val="0"/>
          <w:lang w:val="en-US"/>
        </w:rPr>
        <w:t xml:space="preserve">(f) </w:t>
      </w:r>
      <w:r w:rsidR="00D16C91" w:rsidRPr="002B1E0D">
        <w:rPr>
          <w:lang w:val="en-US"/>
        </w:rPr>
        <w:t>Part</w:t>
      </w:r>
      <w:r w:rsidR="00DE7F9A" w:rsidRPr="002B1E0D">
        <w:rPr>
          <w:lang w:val="en-US"/>
        </w:rPr>
        <w:t>, devices, and systems</w:t>
      </w:r>
      <w:r w:rsidR="00B47A39" w:rsidRPr="002B1E0D">
        <w:rPr>
          <w:lang w:val="en-US"/>
        </w:rPr>
        <w:t>.</w:t>
      </w:r>
    </w:p>
    <w:p w14:paraId="08E31E78" w14:textId="368BE5D1" w:rsidR="00D20554" w:rsidRPr="00BF14B7" w:rsidRDefault="00D20554" w:rsidP="00E1457C">
      <w:pPr>
        <w:numPr>
          <w:ilvl w:val="1"/>
          <w:numId w:val="173"/>
        </w:numPr>
        <w:spacing w:before="120" w:after="120" w:line="240" w:lineRule="auto"/>
        <w:ind w:left="284" w:hanging="284"/>
        <w:jc w:val="both"/>
        <w:rPr>
          <w:rFonts w:ascii="Times New Roman" w:eastAsia="Times New Roman" w:hAnsi="Times New Roman" w:cstheme="minorBidi"/>
          <w:lang w:eastAsia="ar-SA"/>
        </w:rPr>
      </w:pPr>
      <w:r w:rsidRPr="002B1E0D">
        <w:rPr>
          <w:rFonts w:ascii="Times New Roman" w:eastAsiaTheme="minorHAnsi" w:hAnsi="Times New Roman" w:hint="eastAsia"/>
          <w:lang w:val="en-US"/>
        </w:rPr>
        <w:t>Synthe</w:t>
      </w:r>
      <w:r w:rsidRPr="00945ADB">
        <w:rPr>
          <w:rFonts w:ascii="Times New Roman" w:eastAsiaTheme="minorHAnsi" w:hAnsi="Times New Roman" w:hint="eastAsia"/>
        </w:rPr>
        <w:t>tic biological parts, devices, and systems, needed for designing genetic circuit easily, are available for the synthetic biology community (from developers to amateur biologists). The Registry of Standard Biological Parts</w:t>
      </w:r>
      <w:r w:rsidR="00087610">
        <w:rPr>
          <w:rStyle w:val="FootnoteReference"/>
          <w:rFonts w:ascii="Times New Roman" w:eastAsiaTheme="minorHAnsi" w:hAnsi="Times New Roman"/>
        </w:rPr>
        <w:footnoteReference w:id="20"/>
      </w:r>
      <w:r w:rsidRPr="00945ADB">
        <w:rPr>
          <w:rFonts w:ascii="Times New Roman" w:eastAsiaTheme="minorHAnsi" w:hAnsi="Times New Roman" w:hint="eastAsia"/>
        </w:rPr>
        <w:t xml:space="preserve"> and Biomaster database</w:t>
      </w:r>
      <w:r w:rsidR="00087610">
        <w:rPr>
          <w:rStyle w:val="FootnoteReference"/>
          <w:rFonts w:ascii="Times New Roman" w:eastAsiaTheme="minorHAnsi" w:hAnsi="Times New Roman"/>
        </w:rPr>
        <w:footnoteReference w:id="21"/>
      </w:r>
      <w:r w:rsidRPr="00945ADB">
        <w:rPr>
          <w:rFonts w:ascii="Times New Roman" w:eastAsiaTheme="minorHAnsi" w:hAnsi="Times New Roman" w:hint="eastAsia"/>
        </w:rPr>
        <w:t xml:space="preserve"> (</w:t>
      </w:r>
      <w:r w:rsidR="00D94830">
        <w:rPr>
          <w:rFonts w:ascii="Times New Roman" w:eastAsiaTheme="minorHAnsi" w:hAnsi="Times New Roman"/>
        </w:rPr>
        <w:fldChar w:fldCharType="begin" w:fldLock="1"/>
      </w:r>
      <w:r w:rsidR="00A90D79">
        <w:rPr>
          <w:rFonts w:ascii="Times New Roman" w:eastAsiaTheme="minorHAnsi" w:hAnsi="Times New Roman"/>
        </w:rPr>
        <w:instrText>ADDIN CSL_CITATION {"citationItems":[{"id":"ITEM-1","itemData":{"DOI":"10.3389/fmicb.2021.593979","ISSN":"1664-302X","abstract":"Synthetic biology seeks to create new biological parts, devices, and systems, and to reconfigure existing natural biological systems for custom-designed purposes. The standardized BioBrick parts are the foundation of synthetic biology. The incomplete and flawed metadata of BioBrick parts, however, are a major obstacle for designing genetic circuit easily, quickly, and accurately. Here, a database termed BioMaster http://www.biomaster-uestc.cn was developed to extensively complement information about BioBrick parts, which includes 47,934 items of BioBrick parts from the international Genetically Engineered Machine (iGEM) Registry with more comprehensive information integrated from 10 databases, providing corresponding information about functions, activities, interactions, and related literature. Moreover, BioMaster is also a user-friendly platform for retrieval and analyses of relevant information on BioBrick parts.","author":[{"dropping-particle":"","family":"Wang","given":"Beibei","non-dropping-particle":"","parse-names":false,"suffix":""},{"dropping-particle":"","family":"Yang","given":"Huayi","non-dropping-particle":"","parse-names":false,"suffix":""},{"dropping-particle":"","family":"Sun","given":"Jianan","non-dropping-particle":"","parse-names":false,"suffix":""},{"dropping-particle":"","family":"Dou","given":"Chuhao","non-dropping-particle":"","parse-names":false,"suffix":""},{"dropping-particle":"","family":"Huang","given":"Jian","non-dropping-particle":"","parse-names":false,"suffix":""},{"dropping-particle":"","family":"Guo","given":"Feng-Biao","non-dropping-particle":"","parse-names":false,"suffix":""}],"container-title":"Frontiers in Microbiology","id":"ITEM-1","issued":{"date-parts":[["2021","1","21"]]},"title":"BioMaster: An Integrated Database and Analytic Platform to Provide Comprehensive Information About BioBrick Parts","type":"article-journal","volume":"12"},"uris":["http://www.mendeley.com/documents/?uuid=06358c0b-3b28-43f5-a41e-b0ec37c4044a"]}],"mendeley":{"formattedCitation":"(B. Wang et al., 2021)","manualFormatting":"Wang et al., 2021)","plainTextFormattedCitation":"(B. Wang et al., 2021)","previouslyFormattedCitation":"(B. Wang et al., 2021)"},"properties":{"noteIndex":0},"schema":"https://github.com/citation-style-language/schema/raw/master/csl-citation.json"}</w:instrText>
      </w:r>
      <w:r w:rsidR="00D94830">
        <w:rPr>
          <w:rFonts w:ascii="Times New Roman" w:eastAsiaTheme="minorHAnsi" w:hAnsi="Times New Roman"/>
        </w:rPr>
        <w:fldChar w:fldCharType="separate"/>
      </w:r>
      <w:r w:rsidR="00D94830" w:rsidRPr="00D94830">
        <w:rPr>
          <w:rFonts w:ascii="Times New Roman" w:eastAsiaTheme="minorHAnsi" w:hAnsi="Times New Roman"/>
          <w:noProof/>
        </w:rPr>
        <w:t>Wang et al., 2021)</w:t>
      </w:r>
      <w:r w:rsidR="00D94830">
        <w:rPr>
          <w:rFonts w:ascii="Times New Roman" w:eastAsiaTheme="minorHAnsi" w:hAnsi="Times New Roman"/>
        </w:rPr>
        <w:fldChar w:fldCharType="end"/>
      </w:r>
      <w:r w:rsidRPr="00945ADB">
        <w:rPr>
          <w:rFonts w:ascii="Times New Roman" w:eastAsiaTheme="minorHAnsi" w:hAnsi="Times New Roman" w:hint="eastAsia"/>
        </w:rPr>
        <w:t xml:space="preserve"> have comprehensive </w:t>
      </w:r>
      <w:r w:rsidR="00842551">
        <w:rPr>
          <w:rFonts w:ascii="Times New Roman" w:eastAsiaTheme="minorHAnsi" w:hAnsi="Times New Roman"/>
        </w:rPr>
        <w:t xml:space="preserve">and updated </w:t>
      </w:r>
      <w:r w:rsidRPr="00945ADB">
        <w:rPr>
          <w:rFonts w:ascii="Times New Roman" w:eastAsiaTheme="minorHAnsi" w:hAnsi="Times New Roman" w:hint="eastAsia"/>
        </w:rPr>
        <w:t>catalogues of such parts.</w:t>
      </w:r>
    </w:p>
    <w:p w14:paraId="7FF35C52" w14:textId="77777777" w:rsidR="00CC4321" w:rsidRPr="005F1592" w:rsidRDefault="00CC4321" w:rsidP="001457D2">
      <w:pPr>
        <w:pStyle w:val="ListParagraph"/>
        <w:numPr>
          <w:ilvl w:val="0"/>
          <w:numId w:val="173"/>
        </w:numPr>
        <w:spacing w:after="120" w:line="240" w:lineRule="auto"/>
        <w:ind w:left="284" w:hanging="284"/>
        <w:contextualSpacing w:val="0"/>
        <w:jc w:val="both"/>
        <w:rPr>
          <w:rFonts w:asciiTheme="majorBidi" w:hAnsiTheme="majorBidi" w:cstheme="majorBidi"/>
        </w:rPr>
      </w:pPr>
      <w:r>
        <w:rPr>
          <w:rFonts w:asciiTheme="majorBidi" w:eastAsia="Times New Roman" w:hAnsiTheme="majorBidi" w:cstheme="majorBidi"/>
        </w:rPr>
        <w:t>Expanded CRISPR-Cas systems for genome editing and diagnostics</w:t>
      </w:r>
      <w:r w:rsidRPr="00777E5B">
        <w:rPr>
          <w:rFonts w:asciiTheme="majorBidi" w:eastAsia="Times New Roman" w:hAnsiTheme="majorBidi" w:cstheme="majorBidi"/>
        </w:rPr>
        <w:t xml:space="preserve"> (</w:t>
      </w:r>
      <w:r w:rsidRPr="005F1592">
        <w:rPr>
          <w:rFonts w:asciiTheme="majorBidi" w:eastAsia="Times New Roman" w:hAnsiTheme="majorBidi" w:cstheme="majorBidi"/>
          <w:i/>
          <w:iCs/>
        </w:rPr>
        <w:t>Mammoth Biosciences</w:t>
      </w:r>
      <w:r w:rsidRPr="00777E5B">
        <w:rPr>
          <w:rFonts w:asciiTheme="majorBidi" w:eastAsia="Times New Roman" w:hAnsiTheme="majorBidi" w:cstheme="majorBidi"/>
        </w:rPr>
        <w:t>)</w:t>
      </w:r>
      <w:r>
        <w:rPr>
          <w:rFonts w:asciiTheme="majorBidi" w:eastAsia="Times New Roman" w:hAnsiTheme="majorBidi" w:cstheme="majorBidi"/>
        </w:rPr>
        <w:t>.</w:t>
      </w:r>
    </w:p>
    <w:p w14:paraId="1E385964" w14:textId="52BA2B41" w:rsidR="00B320F9" w:rsidRPr="00E207F7" w:rsidRDefault="00B320F9" w:rsidP="005F1592">
      <w:pPr>
        <w:spacing w:after="120" w:line="240" w:lineRule="auto"/>
        <w:ind w:left="270"/>
        <w:jc w:val="both"/>
        <w:rPr>
          <w:rFonts w:asciiTheme="majorBidi" w:hAnsiTheme="majorBidi" w:cstheme="majorBidi"/>
        </w:rPr>
      </w:pPr>
      <w:r w:rsidRPr="0051284F">
        <w:rPr>
          <w:rFonts w:asciiTheme="majorBidi" w:hAnsiTheme="majorBidi" w:cstheme="majorBidi"/>
        </w:rPr>
        <w:t xml:space="preserve">Novel CRSIPR proteins and systems are discovered by applying DNA sequencing and machine learning </w:t>
      </w:r>
      <w:r w:rsidR="00612E8D">
        <w:rPr>
          <w:rFonts w:asciiTheme="majorBidi" w:hAnsiTheme="majorBidi" w:cstheme="majorBidi"/>
        </w:rPr>
        <w:fldChar w:fldCharType="begin" w:fldLock="1"/>
      </w:r>
      <w:r w:rsidR="00612E8D">
        <w:rPr>
          <w:rFonts w:asciiTheme="majorBidi" w:hAnsiTheme="majorBidi" w:cstheme="majorBidi"/>
        </w:rPr>
        <w:instrText>ADDIN CSL_CITATION {"citationItems":[{"id":"ITEM-1","itemData":{"DOI":"10.1038/nature21059","ISSN":"14764687","PMID":"28005056","abstract":"CRISPR-Cas systems provide microbes with adaptive immunity by employing short DNA sequences, termed spacers, that guide Cas proteins to cleave foreign DNA. Class 2 CRISPR-Cas systems are streamlined versions, in which a single RNA-bound Cas protein recognizes and cleaves target sequences. The programmable nature of these minimal systems has enabled researchers to repurpose them into a versatile technology that is broadly revolutionizing biological and clinical research. However, current CRISPR-Cas technologies are based solely on systems from isolated bacteria, leaving the vast majority of enzymes from organisms that have not been cultured untapped. Metagenomics, the sequencing of DNA extracted directly from natural microbial communities, provides access to the genetic material of a huge array of uncultivated organisms. Here, using genome-resolved metagenomics, we identify a number of CRISPR-Cas systems, including the first reported Cas9 in the archaeal domain of life, to our knowledge. This divergent Cas9 protein was found in little-studied nanoarchaea as part of an active CRISPR-Cas system. In bacteria, we discovered two previously unknown systems, CRISPR-CasX and CRISPR-CasY, which are among the most compact systems yet discovered. Notably, all required functional components were identified by metagenomics, enabling validation of robust in vivo RNA-guided DNA interference activity in Escherichia coli. Interrogation of environmental microbial communities combined with in vivo experiments allows us to access an unprecedented diversity of genomes, the content of which will expand the repertoire of microbe-based biotechnologies.","author":[{"dropping-particle":"","family":"Burstein","given":"David","non-dropping-particle":"","parse-names":false,"suffix":""},{"dropping-particle":"","family":"Harrington","given":"Lucas B","non-dropping-particle":"","parse-names":false,"suffix":""},{"dropping-particle":"","family":"Strutt","given":"Steven C","non-dropping-particle":"","parse-names":false,"suffix":""},{"dropping-particle":"","family":"Probst","given":"Alexander J","non-dropping-particle":"","parse-names":false,"suffix":""},{"dropping-particle":"","family":"Anantharaman","given":"Karthik","non-dropping-particle":"","parse-names":false,"suffix":""},{"dropping-particle":"","family":"Thomas","given":"Brian C","non-dropping-particle":"","parse-names":false,"suffix":""},{"dropping-particle":"","family":"Doudna","given":"Jennifer A","non-dropping-particle":"","parse-names":false,"suffix":""},{"dropping-particle":"","family":"Banfield","given":"Jillian F","non-dropping-particle":"","parse-names":false,"suffix":""}],"container-title":"Nature","id":"ITEM-1","issue":"7640","issued":{"date-parts":[["2017","2"]]},"page":"237-241","publisher":"Nature Publishing Group","title":"New CRISPR-Cas systems from uncultivated microbes","type":"article-journal","volume":"542"},"uris":["http://www.mendeley.com/documents/?uuid=f9fe446e-5a20-45cb-9a2a-d5cd34989bef"]}],"mendeley":{"formattedCitation":"(Burstein et al., 2017)","plainTextFormattedCitation":"(Burstein et al., 2017)","previouslyFormattedCitation":"(Burstein et al., 2017)"},"properties":{"noteIndex":0},"schema":"https://github.com/citation-style-language/schema/raw/master/csl-citation.json"}</w:instrText>
      </w:r>
      <w:r w:rsidR="00612E8D">
        <w:rPr>
          <w:rFonts w:asciiTheme="majorBidi" w:hAnsiTheme="majorBidi" w:cstheme="majorBidi"/>
        </w:rPr>
        <w:fldChar w:fldCharType="separate"/>
      </w:r>
      <w:r w:rsidR="00612E8D" w:rsidRPr="00612E8D">
        <w:rPr>
          <w:rFonts w:asciiTheme="majorBidi" w:hAnsiTheme="majorBidi" w:cstheme="majorBidi"/>
          <w:noProof/>
        </w:rPr>
        <w:t>(Burstein et al., 2017)</w:t>
      </w:r>
      <w:r w:rsidR="00612E8D">
        <w:rPr>
          <w:rFonts w:asciiTheme="majorBidi" w:hAnsiTheme="majorBidi" w:cstheme="majorBidi"/>
        </w:rPr>
        <w:fldChar w:fldCharType="end"/>
      </w:r>
      <w:r w:rsidRPr="00E207F7">
        <w:rPr>
          <w:rFonts w:asciiTheme="majorBidi" w:hAnsiTheme="majorBidi" w:cstheme="majorBidi"/>
        </w:rPr>
        <w:t xml:space="preserve">. The new genome editing systems are expected to expand our abilities to edit genomes. Further, the company is developing new diagnostic tests based on CRISPR, such for a test for SARS-CoV-2 developed in collaboration with GlaxoSmithKline </w:t>
      </w:r>
      <w:r w:rsidR="00612E8D">
        <w:rPr>
          <w:rFonts w:asciiTheme="majorBidi" w:hAnsiTheme="majorBidi" w:cstheme="majorBidi"/>
        </w:rPr>
        <w:fldChar w:fldCharType="begin" w:fldLock="1"/>
      </w:r>
      <w:r w:rsidR="00612E8D">
        <w:rPr>
          <w:rFonts w:asciiTheme="majorBidi" w:hAnsiTheme="majorBidi" w:cstheme="majorBidi"/>
        </w:rPr>
        <w:instrText>ADDIN CSL_CITATION {"citationItems":[{"id":"ITEM-1","itemData":{"URL":"https://synbiobeta.com/mammoth-biosciences-launches-to-develop-worlds-first-crispr-based-detection-platform/","accessed":{"date-parts":[["2019","4","1"]]},"author":[{"dropping-particle":"","family":"Mammoth BioSciences","given":"","non-dropping-particle":"","parse-names":false,"suffix":""}],"container-title":"Mammoth Biosciences","id":"ITEM-1","issued":{"date-parts":[["2018"]]},"publisher":"SynBioBeta","title":"Mammoth Biosciences Launches to Develop World’s First CRISPR-Based Detection Platform","type":"webpage"},"uris":["http://www.mendeley.com/documents/?uuid=5647d7cb-0cc8-3601-ad90-f492500f77db"]},{"id":"ITEM-2","itemData":{"DOI":"10.1038/s41587-020-0513-4","ISSN":"15461696","PMID":"32300245","abstract":"An outbreak of betacoronavirus severe acute respiratory syndrome (SARS)-CoV-2 began in Wuhan, China in December 2019. COVID-19, the disease associated with SARS-CoV-2 infection, rapidly spread to produce a global pandemic. We report development of a rapid (&lt;40 min), easy-to-implement and accurate CRISPR–Cas12-based lateral flow assay for detection of SARS-CoV-2 from respiratory swab RNA extracts. We validated our method using contrived reference samples and clinical samples from patients in the United States, including 36 patients with COVID-19 infection and 42 patients with other viral respiratory infections. Our CRISPR-based DETECTR assay provides a visual and faster alternative to the US Centers for Disease Control and Prevention SARS-CoV-2 real-time RT–PCR assay, with 95% positive predictive agreement and 100% negative predictive agreement.","author":[{"dropping-particle":"","family":"Broughton","given":"James P","non-dropping-particle":"","parse-names":false,"suffix":""},{"dropping-particle":"","family":"Deng","given":"Xianding","non-dropping-particle":"","parse-names":false,"suffix":""},{"dropping-particle":"","family":"Yu","given":"Guixia","non-dropping-particle":"","parse-names":false,"suffix":""},{"dropping-particle":"","family":"Fasching","given":"Clare L","non-dropping-particle":"","parse-names":false,"suffix":""},{"dropping-particle":"","family":"Servellita","given":"Venice","non-dropping-particle":"","parse-names":false,"suffix":""},{"dropping-particle":"","family":"Singh","given":"Jasmeet","non-dropping-particle":"","parse-names":false,"suffix":""},{"dropping-particle":"","family":"Miao","given":"Xin","non-dropping-particle":"","parse-names":false,"suffix":""},{"dropping-particle":"","family":"Streithorst","given":"Jessica A","non-dropping-particle":"","parse-names":false,"suffix":""},{"dropping-particle":"","family":"Granados","given":"Andrea","non-dropping-particle":"","parse-names":false,"suffix":""},{"dropping-particle":"","family":"Sotomayor-Gonzalez","given":"Alicia","non-dropping-particle":"","parse-names":false,"suffix":""},{"dropping-particle":"","family":"Zorn","given":"Kelsey","non-dropping-particle":"","parse-names":false,"suffix":""},{"dropping-particle":"","family":"Gopez","given":"Allan","non-dropping-particle":"","parse-names":false,"suffix":""},{"dropping-particle":"","family":"Hsu","given":"Elaine","non-dropping-particle":"","parse-names":false,"suffix":""},{"dropping-particle":"","family":"Gu","given":"Wei","non-dropping-particle":"","parse-names":false,"suffix":""},{"dropping-particle":"","family":"Miller","given":"Steve","non-dropping-particle":"","parse-names":false,"suffix":""},{"dropping-particle":"","family":"Pan","given":"Chao Yang","non-dropping-particle":"","parse-names":false,"suffix":""},{"dropping-particle":"","family":"Guevara","given":"Hugo","non-dropping-particle":"","parse-names":false,"suffix":""},{"dropping-particle":"","family":"Wadford","given":"Debra A","non-dropping-particle":"","parse-names":false,"suffix":""},{"dropping-particle":"","family":"Chen","given":"Janice S","non-dropping-particle":"","parse-names":false,"suffix":""},{"dropping-particle":"","family":"Chiu","given":"Charles Y","non-dropping-particle":"","parse-names":false,"suffix":""}],"container-title":"Nature Biotechnology","id":"ITEM-2","issue":"7","issued":{"date-parts":[["2020","7"]]},"page":"870-874","publisher":"Nature Research","title":"CRISPR–Cas12-based detection of SARS-CoV-2","type":"article-journal","volume":"38"},"uris":["http://www.mendeley.com/documents/?uuid=62730951-7372-4f51-8b24-7584a3e7ea4a"]},{"id":"ITEM-3","itemData":{"DOI":"10.1038/nature19802","ISSN":"14764687","PMID":"27669025","abstract":"Bacterial adaptive immune systems use CRISPRs (clustered regularly interspaced short palindromic repeats) and CRISPR-associated (Cas) proteins for RNA-guided nucleic acid cleavage. Although most prokaryotic adaptive immune systems generally target DNA substrates, type III and VI CRISPR systems direct interference complexes against single-stranded RNA substrates. In type VI systems, the single-subunit C2c2 protein functions as an RNA-guided RNA endonuclease (RNase). How this enzyme acquires mature CRISPR RNAs (crRNAs) that are essential for immune surveillance and how it carries out crRNA-mediated RNA cleavage remain unclear. Here we show that bacterial C2c2 possesses a unique RNase activity responsible for CRISPR RNA maturation that is distinct from its RNA-activated single-stranded RNA degradation activity. These dual RNase functions are chemically and mechanistically different from each other and from the crRNA-processing behaviour of the evolutionarily unrelated CRISPR enzyme Cpf1 (ref. 11). The two RNase activities of C2c2 enable multiplexed processing and loading of guide RNAs that in turn allow sensitive detection of cellular transcripts.","author":[{"dropping-particle":"","family":"East-Seletsky","given":"Alexandra","non-dropping-particle":"","parse-names":false,"suffix":""},{"dropping-particle":"","family":"O'Connell","given":"Mitchell R","non-dropping-particle":"","parse-names":false,"suffix":""},{"dropping-particle":"","family":"Knight","given":"Spencer C","non-dropping-particle":"","parse-names":false,"suffix":""},{"dropping-particle":"","family":"Burstein","given":"David","non-dropping-particle":"","parse-names":false,"suffix":""},{"dropping-particle":"","family":"Cate","given":"Jamie H D","non-dropping-particle":"","parse-names":false,"suffix":""},{"dropping-particle":"","family":"Tjian","given":"Robert","non-dropping-particle":"","parse-names":false,"suffix":""},{"dropping-particle":"","family":"Doudna","given":"Jennifer A","non-dropping-particle":"","parse-names":false,"suffix":""}],"container-title":"Nature","id":"ITEM-3","issue":"7624","issued":{"date-parts":[["2016","9"]]},"page":"270-273","publisher":"Nature Publishing Group","title":"Two distinct RNase activities of CRISPR-C2c2 enable guide-RNA processing and RNA detection","type":"article-journal","volume":"538"},"uris":["http://www.mendeley.com/documents/?uuid=7724760c-43a6-46c8-852a-ae5be2460434"]}],"mendeley":{"formattedCitation":"(Broughton et al., 2020; East-Seletsky et al., 2016; Mammoth BioSciences, 2018)","plainTextFormattedCitation":"(Broughton et al., 2020; East-Seletsky et al., 2016; Mammoth BioSciences, 2018)","previouslyFormattedCitation":"(Broughton et al., 2020; East-Seletsky et al., 2016; Mammoth BioSciences, 2018)"},"properties":{"noteIndex":0},"schema":"https://github.com/citation-style-language/schema/raw/master/csl-citation.json"}</w:instrText>
      </w:r>
      <w:r w:rsidR="00612E8D">
        <w:rPr>
          <w:rFonts w:asciiTheme="majorBidi" w:hAnsiTheme="majorBidi" w:cstheme="majorBidi"/>
        </w:rPr>
        <w:fldChar w:fldCharType="separate"/>
      </w:r>
      <w:r w:rsidR="00612E8D" w:rsidRPr="00612E8D">
        <w:rPr>
          <w:rFonts w:asciiTheme="majorBidi" w:hAnsiTheme="majorBidi" w:cstheme="majorBidi"/>
          <w:noProof/>
        </w:rPr>
        <w:t>(Broughton et al., 2020; East-Seletsky et al., 2016; Mammoth BioSciences, 2018)</w:t>
      </w:r>
      <w:r w:rsidR="00612E8D">
        <w:rPr>
          <w:rFonts w:asciiTheme="majorBidi" w:hAnsiTheme="majorBidi" w:cstheme="majorBidi"/>
        </w:rPr>
        <w:fldChar w:fldCharType="end"/>
      </w:r>
      <w:r w:rsidR="00612E8D">
        <w:rPr>
          <w:rFonts w:asciiTheme="majorBidi" w:hAnsiTheme="majorBidi" w:cstheme="majorBidi"/>
        </w:rPr>
        <w:t>.</w:t>
      </w:r>
    </w:p>
    <w:p w14:paraId="559D4843" w14:textId="7EB9AAFA" w:rsidR="009C25DA" w:rsidRDefault="001A53C1" w:rsidP="00F35B66">
      <w:pPr>
        <w:pStyle w:val="ListParagraph"/>
        <w:numPr>
          <w:ilvl w:val="0"/>
          <w:numId w:val="173"/>
        </w:numPr>
        <w:spacing w:before="120" w:after="120" w:line="240" w:lineRule="auto"/>
        <w:ind w:left="272" w:hanging="272"/>
        <w:contextualSpacing w:val="0"/>
        <w:jc w:val="both"/>
        <w:rPr>
          <w:rFonts w:asciiTheme="majorBidi" w:hAnsiTheme="majorBidi" w:cstheme="majorBidi"/>
        </w:rPr>
      </w:pPr>
      <w:r w:rsidRPr="00777E5B">
        <w:rPr>
          <w:rFonts w:asciiTheme="majorBidi" w:hAnsiTheme="majorBidi" w:cstheme="majorBidi"/>
        </w:rPr>
        <w:t>O</w:t>
      </w:r>
      <w:r w:rsidR="00D7390A" w:rsidRPr="00777E5B">
        <w:rPr>
          <w:rFonts w:asciiTheme="majorBidi" w:hAnsiTheme="majorBidi" w:cstheme="majorBidi"/>
        </w:rPr>
        <w:t>lfactory</w:t>
      </w:r>
      <w:r w:rsidR="009C25DA" w:rsidRPr="00777E5B">
        <w:rPr>
          <w:rFonts w:asciiTheme="majorBidi" w:hAnsiTheme="majorBidi" w:cstheme="majorBidi"/>
        </w:rPr>
        <w:t xml:space="preserve"> detection </w:t>
      </w:r>
      <w:r w:rsidR="00D7390A" w:rsidRPr="00777E5B">
        <w:rPr>
          <w:rFonts w:asciiTheme="majorBidi" w:hAnsiTheme="majorBidi" w:cstheme="majorBidi"/>
        </w:rPr>
        <w:t>devices</w:t>
      </w:r>
      <w:r w:rsidR="009C25DA" w:rsidRPr="00777E5B">
        <w:rPr>
          <w:rFonts w:asciiTheme="majorBidi" w:hAnsiTheme="majorBidi" w:cstheme="majorBidi"/>
        </w:rPr>
        <w:t xml:space="preserve"> (</w:t>
      </w:r>
      <w:r w:rsidR="009C25DA" w:rsidRPr="005F1592">
        <w:rPr>
          <w:rFonts w:asciiTheme="majorBidi" w:hAnsiTheme="majorBidi" w:cstheme="majorBidi"/>
          <w:i/>
          <w:iCs/>
        </w:rPr>
        <w:t>Koniku</w:t>
      </w:r>
      <w:r w:rsidR="009C25DA" w:rsidRPr="00777E5B">
        <w:rPr>
          <w:rFonts w:asciiTheme="majorBidi" w:hAnsiTheme="majorBidi" w:cstheme="majorBidi"/>
        </w:rPr>
        <w:t>)</w:t>
      </w:r>
      <w:r w:rsidR="001457D2">
        <w:rPr>
          <w:rFonts w:asciiTheme="majorBidi" w:hAnsiTheme="majorBidi" w:cstheme="majorBidi"/>
        </w:rPr>
        <w:t>.</w:t>
      </w:r>
    </w:p>
    <w:p w14:paraId="6486221A" w14:textId="2FA7A246" w:rsidR="000C796B" w:rsidRPr="00981823" w:rsidRDefault="00426464" w:rsidP="00B54EF4">
      <w:pPr>
        <w:pStyle w:val="ListParagraph"/>
        <w:spacing w:after="120" w:line="240" w:lineRule="auto"/>
        <w:ind w:left="272"/>
        <w:contextualSpacing w:val="0"/>
        <w:jc w:val="both"/>
      </w:pPr>
      <w:r w:rsidRPr="00777E5B">
        <w:rPr>
          <w:rFonts w:asciiTheme="majorBidi" w:eastAsia="Times New Roman" w:hAnsiTheme="majorBidi" w:cstheme="majorBidi"/>
          <w:lang w:eastAsia="ar-SA"/>
        </w:rPr>
        <w:t>Konicore</w:t>
      </w:r>
      <w:r w:rsidRPr="00777E5B">
        <w:rPr>
          <w:rFonts w:asciiTheme="majorBidi" w:eastAsia="Times New Roman" w:hAnsiTheme="majorBidi" w:cstheme="majorBidi"/>
          <w:vertAlign w:val="superscript"/>
          <w:lang w:eastAsia="ar-SA"/>
        </w:rPr>
        <w:t>TM</w:t>
      </w:r>
      <w:r w:rsidRPr="00777E5B">
        <w:rPr>
          <w:rFonts w:asciiTheme="majorBidi" w:eastAsia="Times New Roman" w:hAnsiTheme="majorBidi" w:cstheme="majorBidi"/>
          <w:lang w:eastAsia="ar-SA"/>
        </w:rPr>
        <w:t>, an odour detection biosensor consisting of a microelectrode array, a microfluidics layer, and neurons that have been genetically engineered to express one or more odo</w:t>
      </w:r>
      <w:r w:rsidR="009E7644">
        <w:rPr>
          <w:rFonts w:asciiTheme="majorBidi" w:eastAsia="Times New Roman" w:hAnsiTheme="majorBidi" w:cstheme="majorBidi"/>
          <w:lang w:eastAsia="ar-SA"/>
        </w:rPr>
        <w:t>ur</w:t>
      </w:r>
      <w:r w:rsidRPr="00777E5B">
        <w:rPr>
          <w:rFonts w:asciiTheme="majorBidi" w:eastAsia="Times New Roman" w:hAnsiTheme="majorBidi" w:cstheme="majorBidi"/>
          <w:lang w:eastAsia="ar-SA"/>
        </w:rPr>
        <w:t xml:space="preserve"> receptors or other cell surface receptors</w:t>
      </w:r>
      <w:r w:rsidR="002D3537">
        <w:rPr>
          <w:rFonts w:asciiTheme="majorBidi" w:eastAsia="Times New Roman" w:hAnsiTheme="majorBidi" w:cstheme="majorBidi"/>
          <w:lang w:eastAsia="ar-SA"/>
        </w:rPr>
        <w:t>.</w:t>
      </w:r>
      <w:r w:rsidRPr="00777E5B">
        <w:rPr>
          <w:rFonts w:asciiTheme="majorBidi" w:eastAsia="Times New Roman" w:hAnsiTheme="majorBidi" w:cstheme="majorBidi"/>
          <w:lang w:eastAsia="ar-SA"/>
        </w:rPr>
        <w:t xml:space="preserve"> </w:t>
      </w:r>
      <w:r w:rsidR="001A53C1" w:rsidRPr="00777E5B">
        <w:rPr>
          <w:rFonts w:asciiTheme="majorBidi" w:hAnsiTheme="majorBidi" w:cstheme="majorBidi"/>
        </w:rPr>
        <w:t xml:space="preserve">The protein receptors are in some cases additionally modified to improve and increase detection abilities </w:t>
      </w:r>
      <w:r w:rsidR="00612E8D">
        <w:rPr>
          <w:rFonts w:asciiTheme="majorBidi" w:hAnsiTheme="majorBidi" w:cstheme="majorBidi"/>
        </w:rPr>
        <w:fldChar w:fldCharType="begin" w:fldLock="1"/>
      </w:r>
      <w:r w:rsidR="00612E8D">
        <w:rPr>
          <w:rFonts w:asciiTheme="majorBidi" w:hAnsiTheme="majorBidi" w:cstheme="majorBidi"/>
        </w:rPr>
        <w:instrText>ADDIN CSL_CITATION {"citationItems":[{"id":"ITEM-1","itemData":{"abstract":"(81) Designated States (unless otherwise indicated, for every kind of national protection available): AE, AG, AL, AM, ©(54) Title: METAL DISSOLUTION WITH NITRIC ACID o (57) Abstract: A fast and efficient industrial scale process for producing metal nitrate solutions by metal dissolution using nitric acid which overcomes NOx gas treatment requirements by reacting the NOx gaseous by-products with oxygen within the reaction vessel. The method is particularly useful for copper, aluminium, chromium, cobalt, indium, iron, nickel, silver and thallium nitrate production. Metal Dissolution with nitric acid The present invention relates t o the dissolution of metals with nitric acid in an industrial process, being a process at a scale wherein the amount of metal being dissolved is upward of 10kg. Background","author":[{"dropping-particle":"","family":"Neel","given":"Jean-Charles","non-dropping-particle":"","parse-names":false,"suffix":""},{"dropping-particle":"","family":"Siani-Rose","given":"Michael","non-dropping-particle":"","parse-names":false,"suffix":""},{"dropping-particle":"","family":"Agabi","given":"Oshiorenoya","non-dropping-particle":"","parse-names":false,"suffix":""}],"id":"ITEM-1","issue":"12","issued":{"date-parts":[["2017"]]},"title":"Systems for detection, WO2018081657A2","type":"article","volume":"00"},"uris":["http://www.mendeley.com/documents/?uuid=203130eb-00ae-4c34-be2a-5634e8edaec3"]},{"id":"ITEM-2","itemData":{"author":[{"dropping-particle":"","family":"Renault","given":"Renaud","non-dropping-particle":"","parse-names":false,"suffix":""},{"dropping-particle":"","family":"Agabi","given":"Oshiorenoya E","non-dropping-particle":"","parse-names":false,"suffix":""}],"id":"ITEM-2","issue":"12","issued":{"date-parts":[["2018"]]},"title":"A reconfigurable biological computer based on coupled trainable neuronal gates, WO2018237302A1","type":"article"},"uris":["http://www.mendeley.com/documents/?uuid=162ffec1-5f59-46b6-90b6-5700ddbb6ce4"]}],"mendeley":{"formattedCitation":"(Neel et al., 2017; Renault &amp; Agabi, 2018)","plainTextFormattedCitation":"(Neel et al., 2017; Renault &amp; Agabi, 2018)","previouslyFormattedCitation":"(Neel et al., 2017; Renault &amp; Agabi, 2018)"},"properties":{"noteIndex":0},"schema":"https://github.com/citation-style-language/schema/raw/master/csl-citation.json"}</w:instrText>
      </w:r>
      <w:r w:rsidR="00612E8D">
        <w:rPr>
          <w:rFonts w:asciiTheme="majorBidi" w:hAnsiTheme="majorBidi" w:cstheme="majorBidi"/>
        </w:rPr>
        <w:fldChar w:fldCharType="separate"/>
      </w:r>
      <w:r w:rsidR="00612E8D" w:rsidRPr="00612E8D">
        <w:rPr>
          <w:rFonts w:asciiTheme="majorBidi" w:hAnsiTheme="majorBidi" w:cstheme="majorBidi"/>
          <w:noProof/>
        </w:rPr>
        <w:t>(Neel et al., 2017; Renault &amp; Agabi, 2018)</w:t>
      </w:r>
      <w:r w:rsidR="00612E8D">
        <w:rPr>
          <w:rFonts w:asciiTheme="majorBidi" w:hAnsiTheme="majorBidi" w:cstheme="majorBidi"/>
        </w:rPr>
        <w:fldChar w:fldCharType="end"/>
      </w:r>
      <w:r w:rsidR="001A53C1" w:rsidRPr="00777E5B">
        <w:rPr>
          <w:rFonts w:asciiTheme="majorBidi" w:hAnsiTheme="majorBidi" w:cstheme="majorBidi"/>
        </w:rPr>
        <w:t xml:space="preserve">. To integrate and embed neurons into microfluidic devices, a nucleic acid is used to attach the modified cells to the sensor electrodes </w:t>
      </w:r>
      <w:r w:rsidR="00612E8D">
        <w:rPr>
          <w:rFonts w:asciiTheme="majorBidi" w:hAnsiTheme="majorBidi" w:cstheme="majorBidi"/>
        </w:rPr>
        <w:fldChar w:fldCharType="begin" w:fldLock="1"/>
      </w:r>
      <w:r w:rsidR="002F3A01">
        <w:rPr>
          <w:rFonts w:asciiTheme="majorBidi" w:hAnsiTheme="majorBidi" w:cstheme="majorBidi"/>
        </w:rPr>
        <w:instrText>ADDIN CSL_CITATION {"citationItems":[{"id":"ITEM-1","itemData":{"author":[{"dropping-particle":"","family":"Agabi","given":"Oshiorenoya E.","non-dropping-particle":"","parse-names":false,"suffix":""},{"dropping-particle":"","family":"Renault","given":"Renaud","non-dropping-particle":"","parse-names":false,"suffix":""},{"dropping-particle":"","family":"Mann","given":"Winston","non-dropping-particle":"","parse-names":false,"suffix":""},{"dropping-particle":"","family":"Neel","given":"Jean-Charles","non-dropping-particle":"","parse-names":false,"suffix":""},{"dropping-particle":"","family":"Sadrian","given":"Benjamin","non-dropping-particle":"","parse-names":false,"suffix":""},{"dropping-particle":"","family":"Gai","given":"Yunchao","non-dropping-particle":"","parse-names":false,"suffix":""}],"id":"ITEM-1","issue":"12","issued":{"date-parts":[["2019"]]},"title":"Devices and methods to combine neurons with silicon devices, WO2019040910A1","type":"article","volume":"19"},"uris":["http://www.mendeley.com/documents/?uuid=f05c180e-6425-45a8-9733-f828fd4280d7"]}],"mendeley":{"formattedCitation":"(Agabi et al., 2019)","manualFormatting":"(Agabi et al., 2019)","plainTextFormattedCitation":"(Agabi et al., 2019)","previouslyFormattedCitation":"(Agabi et al., 2019)"},"properties":{"noteIndex":0},"schema":"https://github.com/citation-style-language/schema/raw/master/csl-citation.json"}</w:instrText>
      </w:r>
      <w:r w:rsidR="00612E8D">
        <w:rPr>
          <w:rFonts w:asciiTheme="majorBidi" w:hAnsiTheme="majorBidi" w:cstheme="majorBidi"/>
        </w:rPr>
        <w:fldChar w:fldCharType="separate"/>
      </w:r>
      <w:r w:rsidR="00612E8D" w:rsidRPr="00612E8D">
        <w:rPr>
          <w:rFonts w:asciiTheme="majorBidi" w:hAnsiTheme="majorBidi" w:cstheme="majorBidi"/>
          <w:noProof/>
        </w:rPr>
        <w:t>(Agabi et al., 2019)</w:t>
      </w:r>
      <w:r w:rsidR="00612E8D">
        <w:rPr>
          <w:rFonts w:asciiTheme="majorBidi" w:hAnsiTheme="majorBidi" w:cstheme="majorBidi"/>
        </w:rPr>
        <w:fldChar w:fldCharType="end"/>
      </w:r>
      <w:r w:rsidR="001A53C1" w:rsidRPr="00777E5B">
        <w:rPr>
          <w:rFonts w:asciiTheme="majorBidi" w:hAnsiTheme="majorBidi" w:cstheme="majorBidi"/>
        </w:rPr>
        <w:t>.</w:t>
      </w:r>
      <w:r w:rsidR="002D3537" w:rsidRPr="002D3537">
        <w:rPr>
          <w:rFonts w:asciiTheme="majorBidi" w:eastAsia="Times New Roman" w:hAnsiTheme="majorBidi" w:cstheme="majorBidi"/>
          <w:lang w:eastAsia="ar-SA"/>
        </w:rPr>
        <w:t xml:space="preserve"> </w:t>
      </w:r>
      <w:r w:rsidR="00C413CC">
        <w:rPr>
          <w:rFonts w:asciiTheme="majorBidi" w:eastAsia="Times New Roman" w:hAnsiTheme="majorBidi" w:cstheme="majorBidi"/>
          <w:lang w:eastAsia="ar-SA"/>
        </w:rPr>
        <w:t xml:space="preserve">The devices have </w:t>
      </w:r>
      <w:r w:rsidR="002D3537" w:rsidRPr="007C3089">
        <w:rPr>
          <w:rFonts w:asciiTheme="majorBidi" w:eastAsia="Times New Roman" w:hAnsiTheme="majorBidi" w:cstheme="majorBidi"/>
          <w:lang w:eastAsia="ar-SA"/>
        </w:rPr>
        <w:t>potential applications in health, security, military, and agricultural settings</w:t>
      </w:r>
      <w:r w:rsidR="001457D2">
        <w:rPr>
          <w:rFonts w:asciiTheme="majorBidi" w:eastAsia="Times New Roman" w:hAnsiTheme="majorBidi" w:cstheme="majorBidi"/>
          <w:lang w:eastAsia="ar-SA"/>
        </w:rPr>
        <w:t>.</w:t>
      </w:r>
    </w:p>
    <w:p w14:paraId="48F61988" w14:textId="3B13DBE6" w:rsidR="00054C86" w:rsidRPr="00883A85" w:rsidRDefault="00332467" w:rsidP="00C02846">
      <w:pPr>
        <w:pStyle w:val="Heading4"/>
        <w:rPr>
          <w:bCs w:val="0"/>
          <w:i w:val="0"/>
        </w:rPr>
      </w:pPr>
      <w:r w:rsidRPr="00883A85">
        <w:rPr>
          <w:bCs w:val="0"/>
          <w:i w:val="0"/>
        </w:rPr>
        <w:t>3</w:t>
      </w:r>
      <w:r w:rsidR="00054C86" w:rsidRPr="00883A85">
        <w:rPr>
          <w:bCs w:val="0"/>
          <w:i w:val="0"/>
        </w:rPr>
        <w:t>.3.2. Advanced development</w:t>
      </w:r>
      <w:r w:rsidR="006535D9" w:rsidRPr="00883A85">
        <w:rPr>
          <w:bCs w:val="0"/>
          <w:i w:val="0"/>
        </w:rPr>
        <w:t>.</w:t>
      </w:r>
    </w:p>
    <w:p w14:paraId="0862327D" w14:textId="3AB066FB" w:rsidR="00054C86" w:rsidRPr="006535D9" w:rsidRDefault="00054C86" w:rsidP="00E07AE1">
      <w:pPr>
        <w:pStyle w:val="Heading5"/>
        <w:numPr>
          <w:ilvl w:val="4"/>
          <w:numId w:val="197"/>
        </w:numPr>
        <w:tabs>
          <w:tab w:val="clear" w:pos="1800"/>
        </w:tabs>
        <w:ind w:left="284" w:hanging="284"/>
        <w:rPr>
          <w:rFonts w:cstheme="minorBidi"/>
          <w:i w:val="0"/>
          <w:lang w:val="en-GB"/>
        </w:rPr>
      </w:pPr>
      <w:r w:rsidRPr="00B93AC4">
        <w:t>Cyanobacteria production platforms in contained environmental facilities</w:t>
      </w:r>
      <w:r w:rsidRPr="00054C86">
        <w:t>.</w:t>
      </w:r>
    </w:p>
    <w:p w14:paraId="16303143" w14:textId="22D5F10F" w:rsidR="00C63B87" w:rsidRDefault="00054C86" w:rsidP="00F35B66">
      <w:pPr>
        <w:spacing w:before="120" w:after="120" w:line="240" w:lineRule="auto"/>
        <w:jc w:val="both"/>
        <w:rPr>
          <w:rFonts w:ascii="Times New Roman" w:eastAsia="Times New Roman" w:hAnsi="Times New Roman" w:cstheme="minorBidi"/>
          <w:lang w:eastAsia="ar-SA"/>
        </w:rPr>
      </w:pPr>
      <w:r w:rsidRPr="00054C86">
        <w:rPr>
          <w:rFonts w:ascii="Times New Roman" w:eastAsia="Times New Roman" w:hAnsi="Times New Roman" w:cstheme="minorBidi"/>
          <w:lang w:eastAsia="ar-SA"/>
        </w:rPr>
        <w:t xml:space="preserve">A systematic modular engineering of cyanobacterium </w:t>
      </w:r>
      <w:r w:rsidRPr="00054C86">
        <w:rPr>
          <w:rFonts w:ascii="Times New Roman" w:eastAsia="Times New Roman" w:hAnsi="Times New Roman" w:cstheme="minorBidi"/>
          <w:i/>
          <w:iCs/>
          <w:lang w:eastAsia="ar-SA"/>
        </w:rPr>
        <w:t>Synechocystis</w:t>
      </w:r>
      <w:r w:rsidRPr="00054C86">
        <w:rPr>
          <w:rFonts w:ascii="Times New Roman" w:eastAsia="Times New Roman" w:hAnsi="Times New Roman" w:cstheme="minorBidi"/>
          <w:lang w:eastAsia="ar-SA"/>
        </w:rPr>
        <w:t xml:space="preserve"> sp. PCC 6803 has been recently reported to enable the highest biosynthesis of 1-butanol (a fuel substitute) production from CO</w:t>
      </w:r>
      <w:r w:rsidRPr="00054C86">
        <w:rPr>
          <w:rFonts w:ascii="Times New Roman" w:eastAsia="Times New Roman" w:hAnsi="Times New Roman" w:cstheme="minorBidi"/>
          <w:vertAlign w:val="subscript"/>
          <w:lang w:eastAsia="ar-SA"/>
        </w:rPr>
        <w:t>2</w:t>
      </w:r>
      <w:r w:rsidRPr="00054C86">
        <w:rPr>
          <w:rFonts w:ascii="Times New Roman" w:eastAsia="Times New Roman" w:hAnsi="Times New Roman" w:cstheme="minorBidi"/>
          <w:lang w:eastAsia="ar-SA"/>
        </w:rPr>
        <w:t xml:space="preserve"> to date </w:t>
      </w:r>
      <w:r w:rsidR="00724A38">
        <w:rPr>
          <w:rFonts w:ascii="Times New Roman" w:eastAsia="Times New Roman" w:hAnsi="Times New Roman" w:cstheme="minorBidi"/>
          <w:lang w:eastAsia="ar-SA"/>
        </w:rPr>
        <w:fldChar w:fldCharType="begin" w:fldLock="1"/>
      </w:r>
      <w:r w:rsidR="00884773">
        <w:rPr>
          <w:rFonts w:ascii="Times New Roman" w:eastAsia="Times New Roman" w:hAnsi="Times New Roman" w:cstheme="minorBidi"/>
          <w:lang w:eastAsia="ar-SA"/>
        </w:rPr>
        <w:instrText>ADDIN CSL_CITATION {"citationItems":[{"id":"ITEM-1","itemData":{"DOI":"10.1039/C9EE01214A","ISSN":"1754-5692","abstract":"Systematic modular engineering of a photosynthetic microorganism resulted in cells with significant levels and rates of 1-butanol production directly from CO 2 .","author":[{"dropping-particle":"","family":"Liu","given":"Xufeng","non-dropping-particle":"","parse-names":false,"suffix":""},{"dropping-particle":"","family":"Miao","given":"Rui","non-dropping-particle":"","parse-names":false,"suffix":""},{"dropping-particle":"","family":"Lindberg","given":"Pia","non-dropping-particle":"","parse-names":false,"suffix":""},{"dropping-particle":"","family":"Lindblad","given":"Peter","non-dropping-particle":"","parse-names":false,"suffix":""}],"container-title":"Energy &amp; Environmental Science","id":"ITEM-1","issue":"9","issued":{"date-parts":[["2019"]]},"page":"2765-2777","title":"Modular engineering for efficient photosynthetic biosynthesis of 1-butanol from CO 2 in cyanobacteria","type":"article-journal","volume":"12"},"uris":["http://www.mendeley.com/documents/?uuid=27dc267a-f10a-4019-bb06-89a082d1e4cc"]}],"mendeley":{"formattedCitation":"(X. Liu et al., 2019)","plainTextFormattedCitation":"(X. Liu et al., 2019)","previouslyFormattedCitation":"(X. Liu et al., 2019)"},"properties":{"noteIndex":0},"schema":"https://github.com/citation-style-language/schema/raw/master/csl-citation.json"}</w:instrText>
      </w:r>
      <w:r w:rsidR="00724A38">
        <w:rPr>
          <w:rFonts w:ascii="Times New Roman" w:eastAsia="Times New Roman" w:hAnsi="Times New Roman" w:cstheme="minorBidi"/>
          <w:lang w:eastAsia="ar-SA"/>
        </w:rPr>
        <w:fldChar w:fldCharType="separate"/>
      </w:r>
      <w:r w:rsidR="00724A38" w:rsidRPr="00724A38">
        <w:rPr>
          <w:rFonts w:ascii="Times New Roman" w:eastAsia="Times New Roman" w:hAnsi="Times New Roman" w:cstheme="minorBidi"/>
          <w:noProof/>
          <w:lang w:eastAsia="ar-SA"/>
        </w:rPr>
        <w:t>(X. Liu et al., 2019)</w:t>
      </w:r>
      <w:r w:rsidR="00724A38">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Cyanobacteria platforms have also been </w:t>
      </w:r>
      <w:r w:rsidR="003D2EF7">
        <w:rPr>
          <w:rFonts w:ascii="Times New Roman" w:eastAsia="Times New Roman" w:hAnsi="Times New Roman" w:cstheme="minorBidi"/>
          <w:lang w:eastAsia="ar-SA"/>
        </w:rPr>
        <w:t>used</w:t>
      </w:r>
      <w:r w:rsidR="003D2EF7" w:rsidRPr="00054C86">
        <w:rPr>
          <w:rFonts w:ascii="Times New Roman" w:eastAsia="Times New Roman" w:hAnsi="Times New Roman" w:cstheme="minorBidi"/>
          <w:lang w:eastAsia="ar-SA"/>
        </w:rPr>
        <w:t xml:space="preserve"> </w:t>
      </w:r>
      <w:r w:rsidRPr="00054C86">
        <w:rPr>
          <w:rFonts w:ascii="Times New Roman" w:eastAsia="Times New Roman" w:hAnsi="Times New Roman" w:cstheme="minorBidi"/>
          <w:lang w:eastAsia="ar-SA"/>
        </w:rPr>
        <w:t xml:space="preserve">for </w:t>
      </w:r>
      <w:r w:rsidR="003D2EF7">
        <w:rPr>
          <w:rFonts w:ascii="Times New Roman" w:eastAsia="Times New Roman" w:hAnsi="Times New Roman" w:cstheme="minorBidi"/>
          <w:lang w:eastAsia="ar-SA"/>
        </w:rPr>
        <w:t>other</w:t>
      </w:r>
      <w:r w:rsidRPr="00054C86">
        <w:rPr>
          <w:rFonts w:ascii="Times New Roman" w:eastAsia="Times New Roman" w:hAnsi="Times New Roman" w:cstheme="minorBidi"/>
          <w:lang w:eastAsia="ar-SA"/>
        </w:rPr>
        <w:t xml:space="preserve"> chemical synthesis from CO</w:t>
      </w:r>
      <w:r w:rsidRPr="00054C86">
        <w:rPr>
          <w:rFonts w:ascii="Times New Roman" w:eastAsia="Times New Roman" w:hAnsi="Times New Roman" w:cstheme="minorBidi"/>
          <w:vertAlign w:val="subscript"/>
          <w:lang w:eastAsia="ar-SA"/>
        </w:rPr>
        <w:t>2</w:t>
      </w:r>
      <w:r w:rsidRPr="00054C86">
        <w:rPr>
          <w:rFonts w:ascii="Times New Roman" w:eastAsia="Times New Roman" w:hAnsi="Times New Roman" w:cstheme="minorBidi"/>
          <w:lang w:eastAsia="ar-SA"/>
        </w:rPr>
        <w:t xml:space="preserve">. For example, Diao et al. </w:t>
      </w:r>
      <w:r w:rsidR="00884773">
        <w:rPr>
          <w:rFonts w:ascii="Times New Roman" w:eastAsia="Times New Roman" w:hAnsi="Times New Roman" w:cstheme="minorBidi"/>
          <w:lang w:eastAsia="ar-SA"/>
        </w:rPr>
        <w:fldChar w:fldCharType="begin" w:fldLock="1"/>
      </w:r>
      <w:r w:rsidR="00FB42B2">
        <w:rPr>
          <w:rFonts w:ascii="Times New Roman" w:eastAsia="Times New Roman" w:hAnsi="Times New Roman" w:cstheme="minorBidi"/>
          <w:lang w:eastAsia="ar-SA"/>
        </w:rPr>
        <w:instrText>ADDIN CSL_CITATION {"citationItems":[{"id":"ITEM-1","itemData":{"DOI":"10.1016/j.ymben.2020.07.003","ISSN":"10967176","author":[{"dropping-particle":"","family":"Diao","given":"Jinjin","non-dropping-particle":"","parse-names":false,"suffix":""},{"dropping-particle":"","family":"Song","given":"Xinyu","non-dropping-particle":"","parse-names":false,"suffix":""},{"dropping-particle":"","family":"Zhang","given":"Li","non-dropping-particle":"","parse-names":false,"suffix":""},{"dropping-particle":"","family":"Cui","given":"Jinyu","non-dropping-particle":"","parse-names":false,"suffix":""},{"dropping-particle":"","family":"Chen","given":"Lei","non-dropping-particle":"","parse-names":false,"suffix":""},{"dropping-particle":"","family":"Zhang","given":"Weiwen","non-dropping-particle":"","parse-names":false,"suffix":""}],"container-title":"Metabolic Engineering","id":"ITEM-1","issued":{"date-parts":[["2020","9"]]},"page":"275-287","title":"Tailoring cyanobacteria as a new platform for highly efficient synthesis of astaxanthin","type":"article-journal","volume":"61"},"uris":["http://www.mendeley.com/documents/?uuid=5162fd32-3d87-4f9f-a420-083568ba8340"]}],"mendeley":{"formattedCitation":"(Diao et al., 2020)","manualFormatting":"(2020)","plainTextFormattedCitation":"(Diao et al., 2020)","previouslyFormattedCitation":"(Diao et al., 2020)"},"properties":{"noteIndex":0},"schema":"https://github.com/citation-style-language/schema/raw/master/csl-citation.json"}</w:instrText>
      </w:r>
      <w:r w:rsidR="00884773">
        <w:rPr>
          <w:rFonts w:ascii="Times New Roman" w:eastAsia="Times New Roman" w:hAnsi="Times New Roman" w:cstheme="minorBidi"/>
          <w:lang w:eastAsia="ar-SA"/>
        </w:rPr>
        <w:fldChar w:fldCharType="separate"/>
      </w:r>
      <w:r w:rsidR="00884773" w:rsidRPr="00884773">
        <w:rPr>
          <w:rFonts w:ascii="Times New Roman" w:eastAsia="Times New Roman" w:hAnsi="Times New Roman" w:cstheme="minorBidi"/>
          <w:noProof/>
          <w:lang w:eastAsia="ar-SA"/>
        </w:rPr>
        <w:t>(2020)</w:t>
      </w:r>
      <w:r w:rsidR="00884773">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used </w:t>
      </w:r>
      <w:r w:rsidRPr="00054C86">
        <w:rPr>
          <w:rFonts w:ascii="Times New Roman" w:eastAsia="Times New Roman" w:hAnsi="Times New Roman" w:cstheme="minorBidi"/>
          <w:i/>
          <w:iCs/>
          <w:lang w:eastAsia="ar-SA"/>
        </w:rPr>
        <w:t>Synechocystis</w:t>
      </w:r>
      <w:r w:rsidRPr="00054C86">
        <w:rPr>
          <w:rFonts w:ascii="Times New Roman" w:eastAsia="Times New Roman" w:hAnsi="Times New Roman" w:cstheme="minorBidi"/>
          <w:lang w:eastAsia="ar-SA"/>
        </w:rPr>
        <w:t xml:space="preserve"> </w:t>
      </w:r>
      <w:r w:rsidRPr="00054C86">
        <w:rPr>
          <w:rFonts w:ascii="Times New Roman" w:eastAsia="Times New Roman" w:hAnsi="Times New Roman" w:cstheme="minorBidi"/>
          <w:i/>
          <w:iCs/>
          <w:lang w:eastAsia="ar-SA"/>
        </w:rPr>
        <w:t xml:space="preserve">sp. </w:t>
      </w:r>
      <w:r w:rsidRPr="00054C86">
        <w:rPr>
          <w:rFonts w:ascii="Times New Roman" w:eastAsia="Times New Roman" w:hAnsi="Times New Roman" w:cstheme="minorBidi"/>
          <w:lang w:eastAsia="ar-SA"/>
        </w:rPr>
        <w:t xml:space="preserve">PCC 6803 </w:t>
      </w:r>
      <w:r w:rsidR="008F0774" w:rsidRPr="00054C86">
        <w:rPr>
          <w:rFonts w:ascii="Times New Roman" w:eastAsia="Times New Roman" w:hAnsi="Times New Roman" w:cstheme="minorBidi"/>
          <w:lang w:eastAsia="ar-SA"/>
        </w:rPr>
        <w:t>to produce</w:t>
      </w:r>
      <w:r w:rsidRPr="00054C86">
        <w:rPr>
          <w:rFonts w:ascii="Times New Roman" w:eastAsia="Times New Roman" w:hAnsi="Times New Roman" w:cstheme="minorBidi"/>
          <w:lang w:eastAsia="ar-SA"/>
        </w:rPr>
        <w:t xml:space="preserve"> astaxanthin (a di-hydroxyl di-keto carotenoid) and Choi et al. </w:t>
      </w:r>
      <w:r w:rsidR="00DF65CB">
        <w:rPr>
          <w:rFonts w:ascii="Times New Roman" w:eastAsia="Times New Roman" w:hAnsi="Times New Roman" w:cstheme="minorBidi"/>
          <w:lang w:eastAsia="ar-SA"/>
        </w:rPr>
        <w:fldChar w:fldCharType="begin" w:fldLock="1"/>
      </w:r>
      <w:r w:rsidR="00504729">
        <w:rPr>
          <w:rFonts w:ascii="Times New Roman" w:eastAsia="Times New Roman" w:hAnsi="Times New Roman" w:cstheme="minorBidi"/>
          <w:lang w:eastAsia="ar-SA"/>
        </w:rPr>
        <w:instrText>ADDIN CSL_CITATION {"citationItems":[{"id":"ITEM-1","itemData":{"DOI":"10.1021/acssynbio.7b00083","ISSN":"2161-5063","author":[{"dropping-particle":"","family":"Choi","given":"Sun Young","non-dropping-particle":"","parse-names":false,"suffix":""},{"dropping-particle":"","family":"Wang","given":"Jin-Young","non-dropping-particle":"","parse-names":false,"suffix":""},{"dropping-particle":"","family":"Kwak","given":"Ho Seok","non-dropping-particle":"","parse-names":false,"suffix":""},{"dropping-particle":"","family":"Lee","given":"Sun-Mi","non-dropping-particle":"","parse-names":false,"suffix":""},{"dropping-particle":"","family":"Um","given":"Youngsoon","non-dropping-particle":"","parse-names":false,"suffix":""},{"dropping-particle":"","family":"Kim","given":"Yunje","non-dropping-particle":"","parse-names":false,"suffix":""},{"dropping-particle":"","family":"Sim","given":"Sang Jun","non-dropping-particle":"","parse-names":false,"suffix":""},{"dropping-particle":"","family":"Choi","given":"Jong-il","non-dropping-particle":"","parse-names":false,"suffix":""},{"dropping-particle":"","family":"Woo","given":"Han Min","non-dropping-particle":"","parse-names":false,"suffix":""}],"container-title":"ACS Synthetic Biology","id":"ITEM-1","issue":"7","issued":{"date-parts":[["2017","7","21"]]},"page":"1289-1295","title":"Improvement of Squalene Production from CO 2 in Synechococcus elongatus PCC 7942 by Metabolic Engineering and Scalable Production in a Photobioreactor","type":"article-journal","volume":"6"},"uris":["http://www.mendeley.com/documents/?uuid=aece5f0e-e761-49d4-a22f-66eb27ec8e49"]}],"mendeley":{"formattedCitation":"(S. Y. Choi et al., 2017)","manualFormatting":"(2017)","plainTextFormattedCitation":"(S. Y. Choi et al., 2017)","previouslyFormattedCitation":"(S. Y. Choi et al., 2017)"},"properties":{"noteIndex":0},"schema":"https://github.com/citation-style-language/schema/raw/master/csl-citation.json"}</w:instrText>
      </w:r>
      <w:r w:rsidR="00DF65CB">
        <w:rPr>
          <w:rFonts w:ascii="Times New Roman" w:eastAsia="Times New Roman" w:hAnsi="Times New Roman" w:cstheme="minorBidi"/>
          <w:lang w:eastAsia="ar-SA"/>
        </w:rPr>
        <w:fldChar w:fldCharType="separate"/>
      </w:r>
      <w:r w:rsidR="00DF65CB" w:rsidRPr="00DF65CB">
        <w:rPr>
          <w:rFonts w:ascii="Times New Roman" w:eastAsia="Times New Roman" w:hAnsi="Times New Roman" w:cstheme="minorBidi"/>
          <w:noProof/>
          <w:lang w:eastAsia="ar-SA"/>
        </w:rPr>
        <w:t>(2017)</w:t>
      </w:r>
      <w:r w:rsidR="00DF65CB">
        <w:rPr>
          <w:rFonts w:ascii="Times New Roman" w:eastAsia="Times New Roman" w:hAnsi="Times New Roman" w:cstheme="minorBidi"/>
          <w:lang w:eastAsia="ar-SA"/>
        </w:rPr>
        <w:fldChar w:fldCharType="end"/>
      </w:r>
      <w:r w:rsidR="00FB42B2">
        <w:rPr>
          <w:rFonts w:ascii="Times New Roman" w:eastAsia="Times New Roman" w:hAnsi="Times New Roman" w:cstheme="minorBidi"/>
          <w:lang w:eastAsia="ar-SA"/>
        </w:rPr>
        <w:t xml:space="preserve"> </w:t>
      </w:r>
      <w:r w:rsidRPr="00054C86">
        <w:rPr>
          <w:rFonts w:ascii="Times New Roman" w:eastAsia="Times New Roman" w:hAnsi="Times New Roman" w:cstheme="minorBidi"/>
          <w:lang w:eastAsia="ar-SA"/>
        </w:rPr>
        <w:t xml:space="preserve">modified </w:t>
      </w:r>
      <w:r w:rsidRPr="00054C86">
        <w:rPr>
          <w:rFonts w:ascii="Times New Roman" w:eastAsia="Times New Roman" w:hAnsi="Times New Roman" w:cstheme="minorBidi"/>
          <w:i/>
          <w:iCs/>
          <w:lang w:eastAsia="ar-SA"/>
        </w:rPr>
        <w:t>Synechococcus elongatus</w:t>
      </w:r>
      <w:r w:rsidRPr="00054C86">
        <w:rPr>
          <w:rFonts w:ascii="Times New Roman" w:eastAsia="Times New Roman" w:hAnsi="Times New Roman" w:cstheme="minorBidi"/>
          <w:lang w:eastAsia="ar-SA"/>
        </w:rPr>
        <w:t xml:space="preserve"> PCC 7942 </w:t>
      </w:r>
      <w:r w:rsidR="00A3481E" w:rsidRPr="00054C86">
        <w:rPr>
          <w:rFonts w:ascii="Times New Roman" w:eastAsia="Times New Roman" w:hAnsi="Times New Roman" w:cstheme="minorBidi"/>
          <w:lang w:eastAsia="ar-SA"/>
        </w:rPr>
        <w:t>to produce</w:t>
      </w:r>
      <w:r w:rsidRPr="00054C86">
        <w:rPr>
          <w:rFonts w:ascii="Times New Roman" w:eastAsia="Times New Roman" w:hAnsi="Times New Roman" w:cstheme="minorBidi"/>
          <w:lang w:eastAsia="ar-SA"/>
        </w:rPr>
        <w:t xml:space="preserve"> squalene in a scalable photobioreactor.</w:t>
      </w:r>
    </w:p>
    <w:p w14:paraId="610D4AC5" w14:textId="48E4F066" w:rsidR="000E085D" w:rsidRPr="00777E5B" w:rsidRDefault="00F35B66" w:rsidP="00F35B66">
      <w:pPr>
        <w:pStyle w:val="Heading5"/>
        <w:tabs>
          <w:tab w:val="clear" w:pos="1800"/>
        </w:tabs>
        <w:ind w:left="284" w:hanging="284"/>
      </w:pPr>
      <w:r>
        <w:rPr>
          <w:i w:val="0"/>
          <w:iCs/>
        </w:rPr>
        <w:t xml:space="preserve">(b) </w:t>
      </w:r>
      <w:r w:rsidR="002D4F67" w:rsidRPr="00B93AC4">
        <w:t>Bio</w:t>
      </w:r>
      <w:r w:rsidR="003D67DF" w:rsidRPr="00B93AC4">
        <w:t>-</w:t>
      </w:r>
      <w:r w:rsidR="002D4F67" w:rsidRPr="00B93AC4">
        <w:t>fabricated wildlife products</w:t>
      </w:r>
      <w:r w:rsidR="00AC2009" w:rsidRPr="00777E5B">
        <w:t xml:space="preserve"> </w:t>
      </w:r>
      <w:r w:rsidR="007323E0">
        <w:t>(</w:t>
      </w:r>
      <w:r w:rsidR="00AC2009" w:rsidRPr="00777E5B">
        <w:t>Pembient, Ceratotech)</w:t>
      </w:r>
      <w:r w:rsidR="006C5C72">
        <w:t>.</w:t>
      </w:r>
    </w:p>
    <w:p w14:paraId="5170A7BA" w14:textId="186AD7F0" w:rsidR="005E149E" w:rsidRPr="003D2EF7" w:rsidRDefault="005E149E" w:rsidP="00F367B3">
      <w:pPr>
        <w:spacing w:after="120" w:line="240" w:lineRule="auto"/>
        <w:jc w:val="both"/>
        <w:rPr>
          <w:rFonts w:asciiTheme="majorBidi" w:eastAsia="Times New Roman" w:hAnsiTheme="majorBidi" w:cstheme="majorBidi"/>
          <w:lang w:eastAsia="ar-SA"/>
        </w:rPr>
      </w:pPr>
      <w:bookmarkStart w:id="70" w:name="_Hlk66695128"/>
      <w:r w:rsidRPr="003D2EF7">
        <w:rPr>
          <w:rFonts w:asciiTheme="majorBidi" w:hAnsiTheme="majorBidi" w:cstheme="majorBidi"/>
        </w:rPr>
        <w:t>Synthetic rhinoceros horns</w:t>
      </w:r>
      <w:bookmarkEnd w:id="70"/>
      <w:r w:rsidRPr="003D2EF7">
        <w:rPr>
          <w:rFonts w:asciiTheme="majorBidi" w:hAnsiTheme="majorBidi" w:cstheme="majorBidi"/>
        </w:rPr>
        <w:t xml:space="preserve"> can be made to be biochemically identical to naturally sourced horn products </w:t>
      </w:r>
      <w:r w:rsidR="00B84294" w:rsidRPr="003D2EF7">
        <w:rPr>
          <w:rFonts w:asciiTheme="majorBidi" w:hAnsiTheme="majorBidi" w:cstheme="majorBidi"/>
        </w:rPr>
        <w:t>using</w:t>
      </w:r>
      <w:r w:rsidRPr="003D2EF7">
        <w:rPr>
          <w:rFonts w:asciiTheme="majorBidi" w:hAnsiTheme="majorBidi" w:cstheme="majorBidi"/>
        </w:rPr>
        <w:t xml:space="preserve"> engineered yeast expressing recombinant keratin proteins. A DNA watermark containing a DNA sequence not naturally present in horns can be included to distinguish </w:t>
      </w:r>
      <w:r w:rsidR="00BB4C47" w:rsidRPr="003D2EF7">
        <w:rPr>
          <w:rFonts w:asciiTheme="majorBidi" w:hAnsiTheme="majorBidi" w:cstheme="majorBidi"/>
        </w:rPr>
        <w:t>synthetic</w:t>
      </w:r>
      <w:r w:rsidRPr="003D2EF7">
        <w:rPr>
          <w:rFonts w:asciiTheme="majorBidi" w:hAnsiTheme="majorBidi" w:cstheme="majorBidi"/>
        </w:rPr>
        <w:t xml:space="preserve"> from natural product</w:t>
      </w:r>
      <w:r w:rsidR="00BB4C47" w:rsidRPr="003D2EF7">
        <w:rPr>
          <w:rFonts w:asciiTheme="majorBidi" w:hAnsiTheme="majorBidi" w:cstheme="majorBidi"/>
        </w:rPr>
        <w:t>s</w:t>
      </w:r>
      <w:r w:rsidRPr="003D2EF7">
        <w:rPr>
          <w:rFonts w:asciiTheme="majorBidi" w:hAnsiTheme="majorBidi" w:cstheme="majorBidi"/>
        </w:rPr>
        <w:t xml:space="preserve"> </w:t>
      </w:r>
      <w:r w:rsidR="00FB42B2">
        <w:rPr>
          <w:rFonts w:asciiTheme="majorBidi" w:hAnsiTheme="majorBidi" w:cstheme="majorBidi"/>
        </w:rPr>
        <w:fldChar w:fldCharType="begin" w:fldLock="1"/>
      </w:r>
      <w:r w:rsidR="002F3A01">
        <w:rPr>
          <w:rFonts w:asciiTheme="majorBidi" w:hAnsiTheme="majorBidi" w:cstheme="majorBidi"/>
        </w:rPr>
        <w:instrText>ADDIN CSL_CITATION {"citationItems":[{"id":"ITEM-1","itemData":{"author":[{"dropping-particle":"","family":"Bonaci","given":"George A","non-dropping-particle":"","parse-names":false,"suffix":""},{"dropping-particle":"","family":"Markus","given":"Matthew","non-dropping-particle":"","parse-names":false,"suffix":""}],"id":"ITEM-1","issued":{"date-parts":[["2019"]]},"title":"Synthetic rhinoceros horn analogues, US10363277B2","type":"article","volume":"2"},"uris":["http://www.mendeley.com/documents/?uuid=872ea260-2bf8-4a94-ab75-6af1d03ff83a"]}],"mendeley":{"formattedCitation":"(Bonaci &amp; Markus, 2019)","plainTextFormattedCitation":"(Bonaci &amp; Markus, 2019)","previouslyFormattedCitation":"(Bonaci &amp; Markus, 2019)"},"properties":{"noteIndex":0},"schema":"https://github.com/citation-style-language/schema/raw/master/csl-citation.json"}</w:instrText>
      </w:r>
      <w:r w:rsidR="00FB42B2">
        <w:rPr>
          <w:rFonts w:asciiTheme="majorBidi" w:hAnsiTheme="majorBidi" w:cstheme="majorBidi"/>
        </w:rPr>
        <w:fldChar w:fldCharType="separate"/>
      </w:r>
      <w:r w:rsidR="00FB42B2" w:rsidRPr="00FB42B2">
        <w:rPr>
          <w:rFonts w:asciiTheme="majorBidi" w:hAnsiTheme="majorBidi" w:cstheme="majorBidi"/>
          <w:noProof/>
        </w:rPr>
        <w:t>(Bonaci &amp; Markus, 2019)</w:t>
      </w:r>
      <w:r w:rsidR="00FB42B2">
        <w:rPr>
          <w:rFonts w:asciiTheme="majorBidi" w:hAnsiTheme="majorBidi" w:cstheme="majorBidi"/>
        </w:rPr>
        <w:fldChar w:fldCharType="end"/>
      </w:r>
      <w:r w:rsidRPr="003D2EF7">
        <w:rPr>
          <w:rFonts w:asciiTheme="majorBidi" w:hAnsiTheme="majorBidi" w:cstheme="majorBidi"/>
        </w:rPr>
        <w:t>. Other synthetic horn products could be made by applying CRISPR and utili</w:t>
      </w:r>
      <w:r w:rsidR="00F367B3" w:rsidRPr="003D2EF7">
        <w:rPr>
          <w:rFonts w:asciiTheme="majorBidi" w:hAnsiTheme="majorBidi" w:cstheme="majorBidi"/>
        </w:rPr>
        <w:t>s</w:t>
      </w:r>
      <w:r w:rsidRPr="003D2EF7">
        <w:rPr>
          <w:rFonts w:asciiTheme="majorBidi" w:hAnsiTheme="majorBidi" w:cstheme="majorBidi"/>
        </w:rPr>
        <w:t xml:space="preserve">ing induced pluripotent stems re-programmed from skin cells to mature into keratinocytes, which can then be 3D printed into a horn shape </w:t>
      </w:r>
      <w:r w:rsidR="00A90D79">
        <w:rPr>
          <w:rFonts w:asciiTheme="majorBidi" w:hAnsiTheme="majorBidi" w:cstheme="majorBidi"/>
        </w:rPr>
        <w:fldChar w:fldCharType="begin" w:fldLock="1"/>
      </w:r>
      <w:r w:rsidR="00724A38">
        <w:rPr>
          <w:rFonts w:asciiTheme="majorBidi" w:hAnsiTheme="majorBidi" w:cstheme="majorBidi"/>
        </w:rPr>
        <w:instrText>ADDIN CSL_CITATION {"citationItems":[{"id":"ITEM-1","itemData":{"DOI":"10.1021/acscentsci.7b00592","ISSN":"23747951","abstract":"Some researchers think that lab-grown rhinoceros horn and elephant ivory could reduce demand for the real thing.","author":[{"dropping-particle":"","family":"Pandika","given":"Melissa","non-dropping-particle":"","parse-names":false,"suffix":""}],"container-title":"ACS Central Science","id":"ITEM-1","issue":"12","issued":{"date-parts":[["2017"]]},"page":"1230-1233","publisher":"American Chemical Society","title":"Taking Aim at Poaching with Tissue Engineering","type":"article-journal","volume":"3"},"uris":["http://www.mendeley.com/documents/?uuid=b3f49864-949a-4f41-8497-cd248f1a393d"]}],"mendeley":{"formattedCitation":"(Pandika, 2017)","plainTextFormattedCitation":"(Pandika, 2017)","previouslyFormattedCitation":"(Pandika, 2017)"},"properties":{"noteIndex":0},"schema":"https://github.com/citation-style-language/schema/raw/master/csl-citation.json"}</w:instrText>
      </w:r>
      <w:r w:rsidR="00A90D79">
        <w:rPr>
          <w:rFonts w:asciiTheme="majorBidi" w:hAnsiTheme="majorBidi" w:cstheme="majorBidi"/>
        </w:rPr>
        <w:fldChar w:fldCharType="separate"/>
      </w:r>
      <w:r w:rsidR="00A90D79" w:rsidRPr="00A90D79">
        <w:rPr>
          <w:rFonts w:asciiTheme="majorBidi" w:hAnsiTheme="majorBidi" w:cstheme="majorBidi"/>
          <w:noProof/>
        </w:rPr>
        <w:t>(Pandika, 2017)</w:t>
      </w:r>
      <w:r w:rsidR="00A90D79">
        <w:rPr>
          <w:rFonts w:asciiTheme="majorBidi" w:hAnsiTheme="majorBidi" w:cstheme="majorBidi"/>
        </w:rPr>
        <w:fldChar w:fldCharType="end"/>
      </w:r>
      <w:r w:rsidRPr="003D2EF7">
        <w:rPr>
          <w:rFonts w:asciiTheme="majorBidi" w:hAnsiTheme="majorBidi" w:cstheme="majorBidi"/>
        </w:rPr>
        <w:t>.</w:t>
      </w:r>
    </w:p>
    <w:p w14:paraId="199F8716" w14:textId="5197C607" w:rsidR="00A54BAA" w:rsidRDefault="00F35B66" w:rsidP="00F35B66">
      <w:pPr>
        <w:pStyle w:val="Heading5"/>
        <w:tabs>
          <w:tab w:val="clear" w:pos="1800"/>
        </w:tabs>
        <w:ind w:left="284" w:hanging="284"/>
      </w:pPr>
      <w:r>
        <w:rPr>
          <w:i w:val="0"/>
          <w:iCs/>
        </w:rPr>
        <w:t xml:space="preserve">(c) </w:t>
      </w:r>
      <w:r w:rsidR="002D4F67" w:rsidRPr="00B93AC4">
        <w:t>Cultured leather products</w:t>
      </w:r>
      <w:r w:rsidR="002D4F67" w:rsidRPr="00A54BAA">
        <w:t xml:space="preserve"> (Modern Meadow)</w:t>
      </w:r>
      <w:r w:rsidR="00F367B3">
        <w:t>.</w:t>
      </w:r>
    </w:p>
    <w:p w14:paraId="6D75321C" w14:textId="2D544CD5" w:rsidR="00A54BAA" w:rsidRPr="000601BE" w:rsidRDefault="002D4F67" w:rsidP="000601BE">
      <w:pPr>
        <w:pStyle w:val="ListParagraph"/>
        <w:spacing w:after="120" w:line="240" w:lineRule="auto"/>
        <w:ind w:left="0"/>
        <w:contextualSpacing w:val="0"/>
        <w:jc w:val="both"/>
      </w:pPr>
      <w:r w:rsidRPr="00A54BAA">
        <w:rPr>
          <w:rFonts w:asciiTheme="majorBidi" w:hAnsiTheme="majorBidi" w:cstheme="majorBidi"/>
        </w:rPr>
        <w:t xml:space="preserve">Engineered yeast strains </w:t>
      </w:r>
      <w:r w:rsidR="003D2EF7">
        <w:rPr>
          <w:rFonts w:asciiTheme="majorBidi" w:hAnsiTheme="majorBidi" w:cstheme="majorBidi"/>
        </w:rPr>
        <w:t xml:space="preserve">have been made which </w:t>
      </w:r>
      <w:r w:rsidRPr="00A54BAA">
        <w:rPr>
          <w:rFonts w:asciiTheme="majorBidi" w:hAnsiTheme="majorBidi" w:cstheme="majorBidi"/>
        </w:rPr>
        <w:t xml:space="preserve">express natural or engineered collagen proteins, the molecular components of leather. The collagen sequences </w:t>
      </w:r>
      <w:r w:rsidR="003D2EF7">
        <w:rPr>
          <w:rFonts w:asciiTheme="majorBidi" w:hAnsiTheme="majorBidi" w:cstheme="majorBidi"/>
        </w:rPr>
        <w:t>we</w:t>
      </w:r>
      <w:r w:rsidRPr="00A54BAA">
        <w:rPr>
          <w:rFonts w:asciiTheme="majorBidi" w:hAnsiTheme="majorBidi" w:cstheme="majorBidi"/>
        </w:rPr>
        <w:t xml:space="preserve">re sourced from animals but may be </w:t>
      </w:r>
      <w:r w:rsidR="008C2263">
        <w:rPr>
          <w:rFonts w:asciiTheme="majorBidi" w:hAnsiTheme="majorBidi" w:cstheme="majorBidi"/>
        </w:rPr>
        <w:t>further modifi</w:t>
      </w:r>
      <w:r w:rsidR="008C2263" w:rsidRPr="00A54BAA">
        <w:rPr>
          <w:rFonts w:asciiTheme="majorBidi" w:hAnsiTheme="majorBidi" w:cstheme="majorBidi"/>
        </w:rPr>
        <w:t xml:space="preserve">ed </w:t>
      </w:r>
      <w:r w:rsidRPr="00A54BAA">
        <w:rPr>
          <w:rFonts w:asciiTheme="majorBidi" w:hAnsiTheme="majorBidi" w:cstheme="majorBidi"/>
        </w:rPr>
        <w:t xml:space="preserve">for specific functional properties </w:t>
      </w:r>
      <w:r w:rsidR="002F3A01">
        <w:rPr>
          <w:rFonts w:asciiTheme="majorBidi" w:hAnsiTheme="majorBidi" w:cstheme="majorBidi"/>
        </w:rPr>
        <w:fldChar w:fldCharType="begin" w:fldLock="1"/>
      </w:r>
      <w:r w:rsidR="002F3A01">
        <w:rPr>
          <w:rFonts w:asciiTheme="majorBidi" w:hAnsiTheme="majorBidi" w:cstheme="majorBidi"/>
        </w:rPr>
        <w:instrText>ADDIN CSL_CITATION {"citationItems":[{"id":"ITEM-1","itemData":{"author":[{"dropping-particle":"","family":"Lixin Dai","given":"","non-dropping-particle":"","parse-names":false,"suffix":""},{"dropping-particle":"","family":"Borden","given":"Julia","non-dropping-particle":"","parse-names":false,"suffix":""},{"dropping-particle":"","family":"Jeffrey Nelson","given":"","non-dropping-particle":"","parse-names":false,"suffix":""},{"dropping-particle":"","family":"Ruebling-Jass","given":"Kristin","non-dropping-particle":"","parse-names":false,"suffix":""}],"id":"ITEM-1","issued":{"date-parts":[["2019"]]},"title":"Yeast strains and methods for producing collagen, EP3473647A1","type":"article","volume":"1"},"uris":["http://www.mendeley.com/documents/?uuid=f93954e5-6222-4c4d-8894-6b81695e1d70"]},{"id":"ITEM-2","itemData":{"author":[{"dropping-particle":"","family":"Marga","given":"Francoise Suzanne","non-dropping-particle":"","parse-names":false,"suffix":""},{"dropping-particle":"","family":"Forgacs","given":"Monique D E LEEUW","non-dropping-particle":"","parse-names":false,"suffix":""},{"dropping-particle":"","family":"CASSINGHAM","given":"","non-dropping-particle":"","parse-names":false,"suffix":""},{"dropping-particle":"","family":"Gabor","given":"Darryl M","non-dropping-particle":"","parse-names":false,"suffix":""}],"id":"ITEM-2","issue":"12","issued":{"date-parts":[["2017"]]},"title":"Fabrics and methods of making them from cultured cells, WO2017003999A1","type":"article"},"uris":["http://www.mendeley.com/documents/?uuid=0f6a1f02-a7ec-4b96-8172-5a86570f1644"]},{"id":"ITEM-3","itemData":{"author":[{"dropping-particle":"","family":"Purcell","given":"Brendan Patric</w:instrText>
      </w:r>
      <w:r w:rsidR="002F3A01" w:rsidRPr="00E857D9">
        <w:rPr>
          <w:rFonts w:asciiTheme="majorBidi" w:hAnsiTheme="majorBidi" w:cstheme="majorBidi"/>
          <w:lang w:val="fr-FR"/>
        </w:rPr>
        <w:instrText>k","non-dropping-particle":"","parse-names":false,"suffix":""},{"dropping-particle":"","family":"Williamson","given":"David Thomas","non-dropping-particle":"","parse-names":false,"suffix":""},{"dropping-particle":"","family":"Marga","given":"Francoise Suzanne","non-dropping-particle":"","parse-names":false,"suffix":""},{"dropping-particle":"","family":"Schofer","given":"Susan J","non-dropping-particle":"","parse-names":false,"suffix":""},{"dropping-particle":"","family":"Cassingham","given":"Darryl Miles","non-dropping-particle":"","parse-names":false,"suffix":""},{"dropping-particle":"","family":"SPINELLA","given":"Stephen M","non-dropping-particle":"","parse-names":false,"suffix":""},{"dropping-particle":"","family":"Congdon","given":"Amy","non-dropping-particle":"","parse-names":false,"suffix":""}],"id":"ITEM-3","issued":{"date-parts":[["2017"]]},"title":"Method for making a biofabricated material containing collagen fibrils, US20170233834A1","type":"article","volume":"1"},"uris":["http://www.mendeley.com/documents/?uuid=ff91e239-0bd6-4996-a344-e9d57</w:instrText>
      </w:r>
      <w:r w:rsidR="002F3A01" w:rsidRPr="00F8168D">
        <w:rPr>
          <w:rFonts w:asciiTheme="majorBidi" w:hAnsiTheme="majorBidi" w:cstheme="majorBidi"/>
          <w:lang w:val="fr-CA"/>
        </w:rPr>
        <w:instrText>61688bf"]}],"mendeley":{"formattedCitation":"(Lixin Dai et al., 2019; Marga et al., 2017; Purcell et al., 2017)","plainTextFormattedCitation":"(Lixin Dai et al., 2019; Marga et al., 2017; Purcell et al., 2017)","previouslyFormattedCitation":"(Lixin Dai et al., 2019; Marga et al., 2017; Purcell et al., 2017)"},"properties":{"noteIndex":0},"schema":"https://github.com/citation-style-language/schema/raw/master/csl-citation.json"}</w:instrText>
      </w:r>
      <w:r w:rsidR="002F3A01">
        <w:rPr>
          <w:rFonts w:asciiTheme="majorBidi" w:hAnsiTheme="majorBidi" w:cstheme="majorBidi"/>
        </w:rPr>
        <w:fldChar w:fldCharType="separate"/>
      </w:r>
      <w:r w:rsidR="002F3A01" w:rsidRPr="002F3A01">
        <w:rPr>
          <w:rFonts w:asciiTheme="majorBidi" w:hAnsiTheme="majorBidi" w:cstheme="majorBidi"/>
          <w:noProof/>
          <w:lang w:val="fr-CA"/>
        </w:rPr>
        <w:t>(Lixin Dai et al., 2019; Marga et al., 2017; Purcell et al., 2017)</w:t>
      </w:r>
      <w:r w:rsidR="002F3A01">
        <w:rPr>
          <w:rFonts w:asciiTheme="majorBidi" w:hAnsiTheme="majorBidi" w:cstheme="majorBidi"/>
        </w:rPr>
        <w:fldChar w:fldCharType="end"/>
      </w:r>
      <w:r w:rsidRPr="002F3A01">
        <w:rPr>
          <w:rFonts w:asciiTheme="majorBidi" w:hAnsiTheme="majorBidi" w:cstheme="majorBidi"/>
          <w:lang w:val="fr-CA"/>
        </w:rPr>
        <w:t xml:space="preserve">. </w:t>
      </w:r>
      <w:r w:rsidRPr="00A54BAA">
        <w:rPr>
          <w:rFonts w:asciiTheme="majorBidi" w:hAnsiTheme="majorBidi" w:cstheme="majorBidi"/>
        </w:rPr>
        <w:t xml:space="preserve">Cultured animal cells </w:t>
      </w:r>
      <w:r w:rsidR="003D2EF7">
        <w:rPr>
          <w:rFonts w:asciiTheme="majorBidi" w:hAnsiTheme="majorBidi" w:cstheme="majorBidi"/>
        </w:rPr>
        <w:t>can</w:t>
      </w:r>
      <w:r w:rsidRPr="00A54BAA">
        <w:rPr>
          <w:rFonts w:asciiTheme="majorBidi" w:hAnsiTheme="majorBidi" w:cstheme="majorBidi"/>
        </w:rPr>
        <w:t xml:space="preserve"> also be used to produce engineered leather products </w:t>
      </w:r>
      <w:r w:rsidR="002F3A01">
        <w:rPr>
          <w:rFonts w:asciiTheme="majorBidi" w:hAnsiTheme="majorBidi" w:cstheme="majorBidi"/>
        </w:rPr>
        <w:fldChar w:fldCharType="begin" w:fldLock="1"/>
      </w:r>
      <w:r w:rsidR="002F3A01">
        <w:rPr>
          <w:rFonts w:asciiTheme="majorBidi" w:hAnsiTheme="majorBidi" w:cstheme="majorBidi"/>
        </w:rPr>
        <w:instrText>ADDIN CSL_CITATION {"citationItems":[{"id":"ITEM-1","itemData":{"abstract":"(57) Abstract: Engineered animal skin, hide, and leather comprising a plurality of layers of collagen formed by cultured animal col o lagen-producing (e.g., skin) cells. Layers may be formed by elongate multicellular bodies comprising a plurality of cultured animal cells that are adhered and/or cohered to one another; wherein the elongate multicellular bodies are arranged to form a substantially planar layer for use in formation of engineered animal skin, hide, and leather. Further described herein are methods of forming engineered animal skin, hide, and leather utilizing said layers of animal collagen-producing cells.","author":[{"dropping-particle":"","family":"Forgacs","given":"Gabor","non-dropping-particle":"","parse-names":false,"suffix":""},{"dropping-particle":"","family":"Marga","given":"Francoise","non-dropping-particle":"","parse-names":false,"suffix":""},{"dropping-particle":"","family":"Jakab","given":"Karoly","non-dropping-particle":"","parse-names":false,"suffix":""}],"id":"ITEM-1","issue":"12","issued":{"date-parts":[["2013"]]},"title":"Engineered leather and methods of manufacture thereof, WO2013149083A1","type":"article","volume":"1"},"uris":["http://www.mendeley.com/documents/?uuid=729e94e6-ec0a-4bc7-9e4f-57f896463f0c"]}],"mendeley":{"formattedCitation":"(Forgacs et al., 2013)","plainTextFormattedCitation":"(Forgacs et al., 2013)","previouslyFormattedCitation":"(Forgacs et al., 2013)"},"properties":{"noteIndex":0},"schema":"https://github.com/citation-style-language/schema/raw/master/csl-citation.json"}</w:instrText>
      </w:r>
      <w:r w:rsidR="002F3A01">
        <w:rPr>
          <w:rFonts w:asciiTheme="majorBidi" w:hAnsiTheme="majorBidi" w:cstheme="majorBidi"/>
        </w:rPr>
        <w:fldChar w:fldCharType="separate"/>
      </w:r>
      <w:r w:rsidR="002F3A01" w:rsidRPr="002F3A01">
        <w:rPr>
          <w:rFonts w:asciiTheme="majorBidi" w:hAnsiTheme="majorBidi" w:cstheme="majorBidi"/>
          <w:noProof/>
        </w:rPr>
        <w:t>(Forgacs et al., 2013)</w:t>
      </w:r>
      <w:r w:rsidR="002F3A01">
        <w:rPr>
          <w:rFonts w:asciiTheme="majorBidi" w:hAnsiTheme="majorBidi" w:cstheme="majorBidi"/>
        </w:rPr>
        <w:fldChar w:fldCharType="end"/>
      </w:r>
      <w:r w:rsidR="000601BE">
        <w:rPr>
          <w:rFonts w:asciiTheme="majorBidi" w:hAnsiTheme="majorBidi" w:cstheme="majorBidi"/>
        </w:rPr>
        <w:t>.</w:t>
      </w:r>
    </w:p>
    <w:p w14:paraId="7948E235" w14:textId="5557C1DC" w:rsidR="00A910D0" w:rsidRPr="00777E5B" w:rsidRDefault="00F35B66" w:rsidP="00F35B66">
      <w:pPr>
        <w:pStyle w:val="Heading5"/>
        <w:tabs>
          <w:tab w:val="clear" w:pos="1800"/>
        </w:tabs>
        <w:ind w:left="284" w:hanging="284"/>
      </w:pPr>
      <w:r w:rsidRPr="00F35B66">
        <w:rPr>
          <w:i w:val="0"/>
          <w:iCs/>
        </w:rPr>
        <w:t>(d)</w:t>
      </w:r>
      <w:r>
        <w:t xml:space="preserve"> </w:t>
      </w:r>
      <w:r w:rsidR="00A910D0" w:rsidRPr="00B93AC4">
        <w:t>Plant-based vaccines</w:t>
      </w:r>
      <w:r w:rsidR="00A910D0" w:rsidRPr="00777E5B">
        <w:t xml:space="preserve"> (Medicago)</w:t>
      </w:r>
      <w:r w:rsidR="000601BE">
        <w:t>.</w:t>
      </w:r>
    </w:p>
    <w:p w14:paraId="5154F6EF" w14:textId="054EC6FA" w:rsidR="00456F3D" w:rsidRPr="000D696F" w:rsidRDefault="002B4D9B" w:rsidP="000D696F">
      <w:pPr>
        <w:suppressAutoHyphens/>
        <w:autoSpaceDE w:val="0"/>
        <w:spacing w:before="120" w:after="120" w:line="240" w:lineRule="auto"/>
        <w:jc w:val="both"/>
        <w:rPr>
          <w:rFonts w:ascii="Times New Roman" w:eastAsia="Times New Roman" w:hAnsi="Times New Roman" w:cstheme="minorBidi"/>
          <w:i/>
        </w:rPr>
      </w:pPr>
      <w:r w:rsidRPr="00C36073">
        <w:rPr>
          <w:rFonts w:ascii="Times New Roman" w:eastAsia="Times New Roman" w:hAnsi="Times New Roman" w:cstheme="minorBidi"/>
          <w:lang w:eastAsia="ar-SA"/>
        </w:rPr>
        <w:t xml:space="preserve">Virus‐like particles (VLPs) are recombinantly produced viral structures that exhibit immunoprotective traits of native viruses but are themselves non-infectious. Synthetic biology is currently being applied to engineer VLP functions and manufacturing processes. For instance, a recent review stated that at least 97 experimental vaccines based on plant viruses have been constructed </w:t>
      </w:r>
      <w:r w:rsidRPr="00C36073">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{"citationItems":[{"id":"ITEM-1","itemData":{"DOI":"10.3390/v12030270","ISSN":"19994915","PMID":"32121192","abstract":"Vaccination is one of the most effective public health interventions of the 20th century. All vaccines can be classified into different types, such as vaccines against infectious diseases, anticancer vaccines and vaccines against autoimmune diseases. In recent decades, recombinant technologies have enabled the design of experimental vaccines against a wide range of diseases using plant viruses and virus-like particles as central elements to stimulate protective and long-lasting immune responses. The analysis of recent publications shows that at least 97 experimental vaccines have been constructed based on plant viruses, including 71 vaccines against infectious agents, 16 anticancer vaccines and 10 therapeutic vaccines against autoimmune disorders. Several plant viruses have already been used for the development of vaccine platforms and have been tested in human and veterinary studies, suggesting that plant virus-based vaccines will be introduced into clinical and veterinary practice in the near future.","author":[{"dropping-particle":"","family":"Balke","given":"Ina","non-dropping-particle":"","parse-names":false,"suffix":""},{"dropping-particle":"","family":"Zeltins","given":"Andris","non-dropping-particle":"","parse-names":false,"suffix":""}],"container-title":"Viruses","id":"ITEM-1","issue":"3","issued":{"date-parts":[["2020"]]},"publisher":"MDPI AG","title":"Recent advances in the use of plant virus-like particles as vaccines","type":"article","volume":"12"},"uris":["http://www.mendeley.com/documents/?uuid=7e519315-f4cd-415a-97d7-97f4f24234db"]}],"mendeley":{"formattedCitation":"(Balke &amp; Zeltins, 2020)","plainTextFormattedCitation":"(Balke &amp; Zeltins, 2020)","previouslyFormattedCitation":"(Balke &amp; Zeltins, 2020)"},"properties":{"noteIndex":0},"schema":"https://github.com/citation-style-language/schema/raw/master/csl-citation.json"}</w:instrText>
      </w:r>
      <w:r w:rsidRPr="00C36073">
        <w:rPr>
          <w:rFonts w:ascii="Times New Roman" w:eastAsia="Times New Roman" w:hAnsi="Times New Roman" w:cstheme="minorBidi"/>
          <w:lang w:eastAsia="ar-SA"/>
        </w:rPr>
        <w:fldChar w:fldCharType="separate"/>
      </w:r>
      <w:r w:rsidRPr="00C36073">
        <w:rPr>
          <w:rFonts w:ascii="Times New Roman" w:eastAsia="Times New Roman" w:hAnsi="Times New Roman" w:cstheme="minorBidi"/>
          <w:noProof/>
          <w:lang w:eastAsia="ar-SA"/>
        </w:rPr>
        <w:t>(Balke &amp; Zeltins, 2020)</w:t>
      </w:r>
      <w:r w:rsidRPr="00C36073">
        <w:rPr>
          <w:rFonts w:ascii="Times New Roman" w:eastAsia="Times New Roman" w:hAnsi="Times New Roman" w:cstheme="minorBidi"/>
          <w:lang w:eastAsia="ar-SA"/>
        </w:rPr>
        <w:fldChar w:fldCharType="end"/>
      </w:r>
      <w:r w:rsidRPr="00C36073">
        <w:rPr>
          <w:rFonts w:ascii="Times New Roman" w:eastAsia="Times New Roman" w:hAnsi="Times New Roman" w:cstheme="minorBidi"/>
          <w:lang w:eastAsia="ar-SA"/>
        </w:rPr>
        <w:t>, including 71 vaccines against infectious agents, 16 anti-cancer vaccines and 10 therapeutic vaccines against autoimmune disorders.</w:t>
      </w:r>
      <w:r w:rsidR="007B0092">
        <w:rPr>
          <w:rFonts w:asciiTheme="majorBidi" w:hAnsiTheme="majorBidi" w:cstheme="majorBidi"/>
        </w:rPr>
        <w:t xml:space="preserve">One example </w:t>
      </w:r>
      <w:r w:rsidR="007A193B">
        <w:rPr>
          <w:rFonts w:asciiTheme="majorBidi" w:hAnsiTheme="majorBidi" w:cstheme="majorBidi"/>
        </w:rPr>
        <w:t>are</w:t>
      </w:r>
      <w:r w:rsidR="007B0092">
        <w:rPr>
          <w:rFonts w:asciiTheme="majorBidi" w:hAnsiTheme="majorBidi" w:cstheme="majorBidi"/>
        </w:rPr>
        <w:t xml:space="preserve"> the r</w:t>
      </w:r>
      <w:r w:rsidR="00A910D0" w:rsidRPr="00FB4F77">
        <w:rPr>
          <w:rFonts w:asciiTheme="majorBidi" w:hAnsiTheme="majorBidi" w:cstheme="majorBidi"/>
        </w:rPr>
        <w:t>ecombinant virus-like particle</w:t>
      </w:r>
      <w:r w:rsidR="007A193B">
        <w:rPr>
          <w:rFonts w:asciiTheme="majorBidi" w:hAnsiTheme="majorBidi" w:cstheme="majorBidi"/>
        </w:rPr>
        <w:t>s</w:t>
      </w:r>
      <w:r w:rsidR="00A910D0" w:rsidRPr="00FB4F77">
        <w:rPr>
          <w:rFonts w:asciiTheme="majorBidi" w:hAnsiTheme="majorBidi" w:cstheme="majorBidi"/>
        </w:rPr>
        <w:t xml:space="preserve"> for vaccine production against COVID-19 </w:t>
      </w:r>
      <w:r w:rsidR="00D83369">
        <w:rPr>
          <w:rFonts w:asciiTheme="majorBidi" w:hAnsiTheme="majorBidi" w:cstheme="majorBidi"/>
        </w:rPr>
        <w:t>and influenza</w:t>
      </w:r>
      <w:r w:rsidR="00A910D0" w:rsidRPr="00FB4F77">
        <w:rPr>
          <w:rFonts w:asciiTheme="majorBidi" w:hAnsiTheme="majorBidi" w:cstheme="majorBidi"/>
        </w:rPr>
        <w:t xml:space="preserve"> produced in transiently modified tobacco plants. </w:t>
      </w:r>
      <w:r w:rsidR="00B44B94" w:rsidRPr="00B44B94">
        <w:rPr>
          <w:rFonts w:asciiTheme="majorBidi" w:hAnsiTheme="majorBidi" w:cstheme="majorBidi"/>
        </w:rPr>
        <w:t>Vaccines against se</w:t>
      </w:r>
      <w:r w:rsidR="00B44B94" w:rsidRPr="00777E5B">
        <w:rPr>
          <w:rFonts w:asciiTheme="majorBidi" w:hAnsiTheme="majorBidi" w:cstheme="majorBidi"/>
        </w:rPr>
        <w:t xml:space="preserve">asonal influenza have been registered, but </w:t>
      </w:r>
      <w:r w:rsidR="00B44B94">
        <w:rPr>
          <w:rFonts w:asciiTheme="majorBidi" w:hAnsiTheme="majorBidi" w:cstheme="majorBidi"/>
        </w:rPr>
        <w:t xml:space="preserve">not approved in any jurisdiction, and vaccines against </w:t>
      </w:r>
      <w:r w:rsidR="007E72A8">
        <w:rPr>
          <w:rFonts w:asciiTheme="majorBidi" w:hAnsiTheme="majorBidi" w:cstheme="majorBidi"/>
        </w:rPr>
        <w:t>SARS-CoV-2</w:t>
      </w:r>
      <w:r w:rsidR="00B44B94">
        <w:rPr>
          <w:rFonts w:asciiTheme="majorBidi" w:hAnsiTheme="majorBidi" w:cstheme="majorBidi"/>
        </w:rPr>
        <w:t xml:space="preserve"> are in late stages of clinical trials </w:t>
      </w:r>
      <w:r w:rsidR="00504729">
        <w:rPr>
          <w:rFonts w:asciiTheme="majorBidi" w:hAnsiTheme="majorBidi" w:cstheme="majorBidi"/>
        </w:rPr>
        <w:fldChar w:fldCharType="begin" w:fldLock="1"/>
      </w:r>
      <w:r w:rsidR="00D6485F">
        <w:rPr>
          <w:rFonts w:asciiTheme="majorBidi" w:hAnsiTheme="majorBidi" w:cstheme="majorBidi"/>
        </w:rPr>
        <w:instrText>ADDIN CSL_CITATION {"citationItems":[{"id":"ITEM-1","itemData":{"DOI":"10.3389/fpls.2020.594019","ISSN":"1664-462X","author":[{"dropping-particle":"","family":"Tusé","given":"Daniel","non-dropping-particle":"","parse-names":false,"suffix":""},{"dropping-particle":"","family":"Nandi","given":"Somen","non-dropping-particle":"","parse-names":false,"suffix":""},{"dropping-particle":"","family":"McDonald","given":"Karen A.","non-dropping-particle":"","parse-names":false,"suffix":""},{"dropping-particle":"","family":"Buyel","given":"Johannes Felix","non-dropping-particle":"","parse-names":false,"suffix":""}],"container-title":"Frontiers in Plant Science","id":"ITEM-1","issued":{"date-parts":[["2020","10","20"]]},"title":"The Emergency Response Capacity of Plant-Based Biopharmaceutical Manufacturing-What It Is and What It Could Be","type":"article-journal","volume":"11"},"uris":["http://www.mendeley.com/documents/?uuid=c6d9ccee-9959-43a5-9cb2-bb3d01e25fc4"]},{"id":"ITEM-2","itemData":{"DOI":"10.1038/s41541-019-0111-y","ISSN":"2059-0105","author":[{"dropping-particle":"","family":"Makarkov","given":"Alexander I.","non-dropping-particle":"","parse-names":false,"suffix":""},{"dropping-particle":"","family":"Golizeh","given":"Makan","non-dropping-particle":"","parse-names":false,"suffix":""},{"dropping-particle":"","family":"Ruiz-Lancheros","given":"Elizabeth","non-dropping-particle":"","parse-names":false,"suffix":""},{"dropping-particle":"","family":"Gopal","given":"Angelica A.","non-dropping-particle":"","parse-names":false,"suffix":""},{"dropping-particle":"","family":"Costas-Cancelas","given":"Ian N.","non-dropping-particle":"","parse-names":false,"suffix":""},{"dropping-particle":"","family":"Chierzi","given":"Sabrina","non-dropping-particle":"","parse-names":false,"suffix":""},{"dropping-particle":"","family":"Pillet","given":"Stephane","non-dropping-particle":"","parse-names":false,"suffix":""},{"dropping-particle":"","family":"Charland","given":"Nathalie","non-dropping-particle":"","parse-names":false,"suffix":""},{"dropping-particle":"","family":"Landry","given":"Nathalie","non-dropping-particle":"","parse-names":false,"suffix":""},{"dropping-particle":"","family":"Rouiller","given":"Isabelle","non-dropping-particle":"","parse-names":false,"suffix":""},{"dropping-particle":"","family":"Wiseman","given":"Paul W.","non-dropping-particle":"","parse-names":false,"suffix":""},{"dropping-particle":"","family":"Ndao","given":"Momar","non-dropping-particle":"","parse-names":false,"suffix":""},{"dropping-particle":"","family":"Ward","given":"Brian J.","non-dropping-particle":"","parse-names":false,"suffix":""}],"container-title":"npj Vaccines","id":"ITEM-2","issue":"1","issued":{"date-parts":[["2019","12","15"]]},"page":"17","title":"Plant-derived virus-like particle vaccines drive cross-presentation of influenza A hemagglutinin peptides by human monocyte-derived macrophages","type":"article-journal","volume":"4"},"uris":["http://www.mendeley.com/documents/?uuid=4f0efb7b-2174-4d1d-8036-c24e595a810f"]},{"id":"ITEM-3","itemData":{"author":[{"dropping-particle":"","family":"D'Aoust","given":"Marc-Andre","non-dropping-particle":"","parse-names":false,"suffix":""},{"dropping-particle":"","family":"Couture","given":"Manon","non-dropping-particle":"","parse-names":false,"suffix":""},{"dropping-particle":"","family":"Ors","given":"Frederic","non-dropping-particle":"","parse-names":false,"suffix":""},{"dropping-particle":"","family":"Trépanier","given":"Sonia","non-dropping-particle":"","parse-names":false,"suffix":""},{"dropping-particle":"","family":"Lavoie","given":"Pierre-Olivier","non-dropping-particle":"","parse-names":false,"suffix":""},{"dropping-particle":"","family":"Dargis","given":"Michele","non-dropping-particle":"","parse-names":false,"suffix":""},{"dropping-particle":"","family":"Vézina","given":"Louis-Philippe","non-dropping-particle":"","parse-names":false,"suffix":""},{"dropping-particle":"","family":"Landry","given":"Nathalie","non-dropping-particle":"","parse-names":false,"suffix":""}],"id":"ITEM-3","issued":{"date-parts":[["2016"]]},"number":"US9452210B2","publisher-place":"United States of America","title":"Influenza virus-like particles (VLPS) comprising hemagglutinin produced within a plant","type":"patent"},"uris":["http://www.mendeley.com/documents/?uuid=4a1513aa-352a-4642-b2a3-bc4ff0f18a96"]}],"mendeley":{"formattedCitation":"(D’Aoust et al., 2016; Makarkov et al., 2019; Tusé et al., 2020)","plainTextFormattedCitation":"(D’Aoust et al., 2016; Makarkov et al., 2019; Tusé et al., 2020)","previouslyFormattedCitation":"(D’Aoust et al., 2016; Makarkov et al., 2019; Tusé et al., 2020)"},"properties":{"noteIndex":0},"schema":"https://github.com/citation-style-language/schema/raw/master/csl-citation.json"}</w:instrText>
      </w:r>
      <w:r w:rsidR="00504729">
        <w:rPr>
          <w:rFonts w:asciiTheme="majorBidi" w:hAnsiTheme="majorBidi" w:cstheme="majorBidi"/>
        </w:rPr>
        <w:fldChar w:fldCharType="separate"/>
      </w:r>
      <w:r w:rsidR="00504729" w:rsidRPr="00504729">
        <w:rPr>
          <w:rFonts w:asciiTheme="majorBidi" w:hAnsiTheme="majorBidi" w:cstheme="majorBidi"/>
          <w:noProof/>
        </w:rPr>
        <w:t>(D’Aoust et al., 2016; Makarkov et al., 2019; Tusé et al., 2020)</w:t>
      </w:r>
      <w:r w:rsidR="00504729">
        <w:rPr>
          <w:rFonts w:asciiTheme="majorBidi" w:hAnsiTheme="majorBidi" w:cstheme="majorBidi"/>
        </w:rPr>
        <w:fldChar w:fldCharType="end"/>
      </w:r>
    </w:p>
    <w:p w14:paraId="14E230F6" w14:textId="38AE0282" w:rsidR="00911EDD" w:rsidRPr="00911EDD" w:rsidRDefault="0071609E" w:rsidP="0071609E">
      <w:pPr>
        <w:pStyle w:val="Heading5"/>
        <w:tabs>
          <w:tab w:val="clear" w:pos="1800"/>
        </w:tabs>
        <w:ind w:left="284" w:hanging="284"/>
      </w:pPr>
      <w:r>
        <w:rPr>
          <w:i w:val="0"/>
          <w:iCs/>
        </w:rPr>
        <w:t xml:space="preserve">(e) </w:t>
      </w:r>
      <w:r w:rsidR="00911EDD" w:rsidRPr="00B93AC4">
        <w:t>Engineered phages as anti-microbials</w:t>
      </w:r>
      <w:r w:rsidR="00911EDD" w:rsidRPr="00911EDD">
        <w:t xml:space="preserve"> (Eligo Biosciences)</w:t>
      </w:r>
      <w:r w:rsidR="00BC3569">
        <w:t>.</w:t>
      </w:r>
    </w:p>
    <w:p w14:paraId="0E55D73D" w14:textId="6DACD6CF" w:rsidR="00A910D0" w:rsidRPr="002F3A01" w:rsidRDefault="00911EDD" w:rsidP="00BC3569">
      <w:pPr>
        <w:tabs>
          <w:tab w:val="left" w:pos="270"/>
        </w:tabs>
        <w:spacing w:after="120" w:line="240" w:lineRule="auto"/>
        <w:jc w:val="both"/>
        <w:rPr>
          <w:rFonts w:asciiTheme="majorBidi" w:hAnsiTheme="majorBidi" w:cstheme="majorBidi"/>
          <w:lang w:val="fr-CA"/>
        </w:rPr>
      </w:pPr>
      <w:r w:rsidRPr="00777E5B">
        <w:rPr>
          <w:rFonts w:asciiTheme="majorBidi" w:hAnsiTheme="majorBidi" w:cstheme="majorBidi"/>
        </w:rPr>
        <w:t xml:space="preserve">Engineered phages </w:t>
      </w:r>
      <w:r w:rsidR="003D2EF7">
        <w:rPr>
          <w:rFonts w:asciiTheme="majorBidi" w:hAnsiTheme="majorBidi" w:cstheme="majorBidi"/>
        </w:rPr>
        <w:t>have</w:t>
      </w:r>
      <w:r w:rsidRPr="00777E5B">
        <w:rPr>
          <w:rFonts w:asciiTheme="majorBidi" w:hAnsiTheme="majorBidi" w:cstheme="majorBidi"/>
        </w:rPr>
        <w:t xml:space="preserve"> also </w:t>
      </w:r>
      <w:r w:rsidR="003D2EF7">
        <w:rPr>
          <w:rFonts w:asciiTheme="majorBidi" w:hAnsiTheme="majorBidi" w:cstheme="majorBidi"/>
        </w:rPr>
        <w:t>been</w:t>
      </w:r>
      <w:r w:rsidRPr="00777E5B">
        <w:rPr>
          <w:rFonts w:asciiTheme="majorBidi" w:hAnsiTheme="majorBidi" w:cstheme="majorBidi"/>
        </w:rPr>
        <w:t xml:space="preserve"> deployed to deliver CRISPR-Cas nucleases to act as sequence-specific antimicrobials </w:t>
      </w:r>
      <w:r w:rsidR="002F3A01">
        <w:rPr>
          <w:rFonts w:asciiTheme="majorBidi" w:hAnsiTheme="majorBidi" w:cstheme="majorBidi"/>
        </w:rPr>
        <w:fldChar w:fldCharType="begin" w:fldLock="1"/>
      </w:r>
      <w:r w:rsidR="002F3A01">
        <w:rPr>
          <w:rFonts w:asciiTheme="majorBidi" w:hAnsiTheme="majorBidi" w:cstheme="majorBidi"/>
        </w:rPr>
        <w:instrText>ADDIN CSL_CITATION {"citationItems":[{"id":"ITEM-1","itemData":{"DOI":"10.1038/nbt.3043","ISSN":"15461696","PMID":"25282355","abstract":"Antibiotics target conserved bacterial cellular pathways or growth functions and therefore cannot selectively kill specific members of a complex microbial population. Here, we develop programmable, sequence-specific antimicrobials using the RNA-guided nuclease Cas9 (refs.1,2) delivered by a bacteriophage. We show that Cas9, reprogrammed to target virulence genes, kills virulent, but not avirulent, Staphylococcus aureus. Reprogramming the nuclease to target antibiotic resistance genes destroys staphylococcal plasmids that harbor antibiotic resistance genes3,4 and immunizes avirulent staphylococci to prevent the spread of plasmid-borne resistance genes. We also show that CRISPR-Cas9 antimicrobials function in vivo to kill S. aureus in a mouse skin colonization model. This technology creates opportunities to manipulate complex bacterial populations in a sequence-specific manner.","author":[{"dropping-particle":"","family":"Bikard","given":"David","non-dropping-particle":"","parse-names":false,"suffix":""},{"dropping-particle":"","family":"Euler","given":"Chad W","non-dropping-particle":"","parse-names":false,"suffix":""},{"dropping-particle":"","family":"Jiang","given":"Wenyan","non-dropping-particle":"","parse-names":false,"suffix":""},{"dropping-particle":"","family":"Nussenzweig","given":"Philip M","non-dropping-particle":"","parse-names":false,"suffix":""},{"dropping-particle":"","family":"Goldberg","given":"Gregory W","non-dropping-particle":"","parse-names":false,"suffix":""},{"dropping-particle":"","family":"Duportet","given":"Xavier","non-dropping-particle":"","parse-names":false,"suffix":""},{"dropping-particle":"","family":"Fischetti","given":"Vincent A","non-dropping-particle":"","parse-names":false,"suffix":""},{"dropping-particle":"","family":"Marraffini","given":"Luciano A","non-dropping-particle":"","parse-names":false,"suffix":""}],"container-title":"Nature Biotechnology","id":"ITEM-1","issue":"11","issued":{"date-parts":[["2014","10"]]},"page":"1146-1150","publisher":"Nature Publishing Group","title":"Exploiting CRISPR-cas nucleases to produce sequence-specific antimicrobials","type":"article-journal","volume":"32"},"uris":["http://www.mendeley.com/documents/?uuid=2bdccb86-cb3a-48b5-a275-0bd8aa08036b"]},{"id":"ITEM-2","itemData":{"DOI":"10.1038/nbt.3011","ISSN":"15461696","PMID":"25240928","abstract":"Current antibiotics tend to be broad spectrum, leading to indiscriminate killing of commensal bacteria and accelerated evolution of drug resistance. Here, we use CRISPR-Cas technology to create antimicrobials whose spectrum of activity is chosen by design. RNA-guided nucleases (RGNs) targeting specific DNA sequences are delivered efficiently to microbial populations using bacteriophage or bacteria carrying plasmids transmissible by conjugation. The DNA targets of RGNs can be undesirable genes or polymorphisms, including antibiotic resistance and virulence determinants in carbapenem-resistant Enterobacteriaceae and enterohemorrhagic Escherichia coli. Delivery of RGNs significantly improves survival in a Galleria mellonella infection model. We also show that RGNs enable modulation of complex bacterial populations by selective knockdown of targeted strains based on genetic signatures. RGNs constitute a class of highly discriminatory, customizable antimicrobials that enact selective pressure at the DNA level to reduce the prevalence of undesired genes, minimize off-target effects and enable programmable remodeling of microbiota.","author":[{"dropping-particle":"","family":"Citorik","given":"Robert J","non-dropping-particle":"","parse-names":false,"suffix":""},{"dropping-particle":"","family":"Mimee","given":"Mark","non-dropping-particle":"","parse-names":false,"suffix":""},{"dropping-particle":"","family":"Lu","given":"Timothy K","non-dropping-particle":"","parse-names":false,"suffix":""}],"container-title":"Nature Biotechnology","id":"ITEM-2","issue":"11","issued":{"date-parts":[["2014","9"]]},"page":"1141-1145","publisher":"Nature Publishing Group","title":"Sequence-specific antimicrobials using efficiently delivered RNA-guided nucleases","type":"article-journal","volume":"32"},"uris":["http://www.mendeley.com/documents/?uuid=b504060f-a81b-4b8f-850a-764e962b89a8"]},{"id":"ITEM-3","itemData":{"DOI":"10.1016/j.mib.2017.08.005","ISSN":"18790364","PMID":"28888103","abstract":"Although CRISPR-Cas systems naturally evolved to provide adaptive immunity in bacteria and archaea, Cas nucleases can be co-opted to target chromosomal sequences rather than invasive genetic elements. Although genome editing is the primary outcome of self-targeting using CRISPR-based technologies in eukaryotes, self-targeting by CRISPR is typically lethal in bacteria. Here, we discuss how DNA damage introduced by Cas nucleases in bacteria can efficiently and specifically lead to plasmid curing or drive cell death. Specifically, we discuss how various CRISPR-Cas systems can be engineered and delivered using phages or phagemids as vectors. These principles establish CRISPR-Cas systems as potent and programmable antimicrobials, and open new avenues for the development of CRISPR-based tools for selective removal of bacterial pathogens and precise microbiome composition alteration.","author":[{"dropping-particle":"","family":"Bikard","given":"David","non-dropping-particle":"","parse-names":false,"suffix":""},{"droppin</w:instrText>
      </w:r>
      <w:r w:rsidR="002F3A01" w:rsidRPr="00F8168D">
        <w:rPr>
          <w:rFonts w:asciiTheme="majorBidi" w:hAnsiTheme="majorBidi" w:cstheme="majorBidi"/>
          <w:lang w:val="fr-CA"/>
        </w:rPr>
        <w:instrText>g-particle":"","family":"Barrangou","given":"Rodolphe","non-dropping-particle":"","parse-names":false,"suffix":""}],"container-title":"Current Opinion in Microbiology","id":"ITEM-3","issued":{"date-parts":[["2017","6"]]},"page":"155-160","publisher":"Elsevier Ltd","title":"Using CRISPR-Cas systems as antimicrobials","type":"article","volume":"37"},"uris":["http://www.mendeley.com/documents/?uuid=e9ab2ff7-7cc8-4e4a-bc46-23558b18c351"]},{"id":"ITEM-4","itemData":{"author":[{"dropping-particle":"","family":"David Bikard","given":"","non-dropping-particle":"","parse-names":false,"suffix":""},{"dropping-particle":"","family":"Marraffini","given":"Luciano","non-dropping-particle":"","parse-names":false,"suffix":""}],"id":"ITEM-4","issue":"19","issued":{"date-parts":[["2010"]]},"page":"4-6","title":"Sequence Specific Antimicrobials, US10660943B2","type":"article","volume":"2"},"uris":["http://www.mendeley.com/documents/?uuid=8ca2d365-82de-4bce-94da-f71e95d2ca8a"]}],"mendeley":{"formattedCitation":"(Bikard et al., 2014; Bikard &amp; Barrangou, 2017; Citorik et al., 2014; David Bikard &amp; Marraffini, 2010)","plainTextFormattedCitation":"(Bikard et al., 2014; Bikard &amp; Barrangou, 2017; Citorik et al., 2014; David Bikard &amp; Marraffini, 2010)","previouslyFormattedCitation":"(Bikard et al., 2014; Bikard &amp; Barrangou, 2017; Citorik et al., 2014; David Bikard &amp; Marraffini, 2010)"},"properties":{"noteIndex":0},"schema":"https://github.com/citation-style-language/schema/raw/master/csl-citation.json"}</w:instrText>
      </w:r>
      <w:r w:rsidR="002F3A01">
        <w:rPr>
          <w:rFonts w:asciiTheme="majorBidi" w:hAnsiTheme="majorBidi" w:cstheme="majorBidi"/>
        </w:rPr>
        <w:fldChar w:fldCharType="separate"/>
      </w:r>
      <w:r w:rsidR="002F3A01" w:rsidRPr="002F3A01">
        <w:rPr>
          <w:rFonts w:asciiTheme="majorBidi" w:hAnsiTheme="majorBidi" w:cstheme="majorBidi"/>
          <w:noProof/>
          <w:lang w:val="fr-CA"/>
        </w:rPr>
        <w:t>(Bikard et al., 2014; Bikard &amp; Barrangou, 2017; Citorik et al., 2014; David Bikard &amp; Marraffini, 2010)</w:t>
      </w:r>
      <w:r w:rsidR="002F3A01">
        <w:rPr>
          <w:rFonts w:asciiTheme="majorBidi" w:hAnsiTheme="majorBidi" w:cstheme="majorBidi"/>
        </w:rPr>
        <w:fldChar w:fldCharType="end"/>
      </w:r>
      <w:r w:rsidRPr="002F3A01">
        <w:rPr>
          <w:rFonts w:asciiTheme="majorBidi" w:hAnsiTheme="majorBidi" w:cstheme="majorBidi"/>
          <w:lang w:val="fr-CA"/>
        </w:rPr>
        <w:t xml:space="preserve">. </w:t>
      </w:r>
    </w:p>
    <w:p w14:paraId="7D91D696" w14:textId="3F9AD01B" w:rsidR="002E292B" w:rsidRPr="00777E5B" w:rsidRDefault="0071609E" w:rsidP="0071609E">
      <w:pPr>
        <w:pStyle w:val="Heading5"/>
        <w:tabs>
          <w:tab w:val="clear" w:pos="1800"/>
        </w:tabs>
        <w:ind w:left="284" w:hanging="284"/>
      </w:pPr>
      <w:r>
        <w:rPr>
          <w:i w:val="0"/>
          <w:iCs/>
        </w:rPr>
        <w:t xml:space="preserve">(f) </w:t>
      </w:r>
      <w:r w:rsidR="002E292B" w:rsidRPr="00B93AC4">
        <w:t xml:space="preserve">Engineered probiotics for the production and </w:t>
      </w:r>
      <w:r w:rsidR="002E292B" w:rsidRPr="00B93AC4">
        <w:rPr>
          <w:u w:val="single"/>
        </w:rPr>
        <w:t>in vivo</w:t>
      </w:r>
      <w:r w:rsidR="002E292B" w:rsidRPr="00B93AC4">
        <w:t xml:space="preserve"> delivery of medicines</w:t>
      </w:r>
      <w:r w:rsidR="002E292B" w:rsidRPr="00777E5B">
        <w:t xml:space="preserve"> (Precigen, Azitra, Synlogic)</w:t>
      </w:r>
      <w:r w:rsidR="00BC3569">
        <w:t>.</w:t>
      </w:r>
    </w:p>
    <w:p w14:paraId="47BD2DBF" w14:textId="73B1C444" w:rsidR="002D4F67" w:rsidRPr="00777E5B" w:rsidRDefault="002E292B" w:rsidP="00B62C00">
      <w:pPr>
        <w:spacing w:after="120" w:line="240" w:lineRule="auto"/>
        <w:jc w:val="both"/>
        <w:rPr>
          <w:lang w:eastAsia="ar-SA"/>
        </w:rPr>
      </w:pPr>
      <w:r w:rsidRPr="00EF101A">
        <w:rPr>
          <w:rFonts w:asciiTheme="majorBidi" w:hAnsiTheme="majorBidi" w:cstheme="majorBidi"/>
        </w:rPr>
        <w:t xml:space="preserve">Bacteria </w:t>
      </w:r>
      <w:r>
        <w:rPr>
          <w:rFonts w:asciiTheme="majorBidi" w:hAnsiTheme="majorBidi" w:cstheme="majorBidi"/>
        </w:rPr>
        <w:t>we</w:t>
      </w:r>
      <w:r w:rsidRPr="00EF101A">
        <w:rPr>
          <w:rFonts w:asciiTheme="majorBidi" w:hAnsiTheme="majorBidi" w:cstheme="majorBidi"/>
        </w:rPr>
        <w:t xml:space="preserve">re modified to contain environmental sensing genetic circuits regulated by sensory proteins and small RNAs for the </w:t>
      </w:r>
      <w:r>
        <w:rPr>
          <w:rFonts w:asciiTheme="majorBidi" w:hAnsiTheme="majorBidi" w:cstheme="majorBidi"/>
        </w:rPr>
        <w:t xml:space="preserve">tissue-specific </w:t>
      </w:r>
      <w:r w:rsidRPr="00EF101A">
        <w:rPr>
          <w:rFonts w:asciiTheme="majorBidi" w:hAnsiTheme="majorBidi" w:cstheme="majorBidi"/>
        </w:rPr>
        <w:t>delivery</w:t>
      </w:r>
      <w:r>
        <w:rPr>
          <w:rFonts w:asciiTheme="majorBidi" w:hAnsiTheme="majorBidi" w:cstheme="majorBidi"/>
        </w:rPr>
        <w:t xml:space="preserve"> and subsequent production</w:t>
      </w:r>
      <w:r w:rsidRPr="00EF101A">
        <w:rPr>
          <w:rFonts w:asciiTheme="majorBidi" w:hAnsiTheme="majorBidi" w:cstheme="majorBidi"/>
        </w:rPr>
        <w:t xml:space="preserve"> of therapeutics. The modified microorganisms </w:t>
      </w:r>
      <w:r>
        <w:rPr>
          <w:rFonts w:asciiTheme="majorBidi" w:hAnsiTheme="majorBidi" w:cstheme="majorBidi"/>
        </w:rPr>
        <w:t>were</w:t>
      </w:r>
      <w:r w:rsidRPr="00EF101A">
        <w:rPr>
          <w:rFonts w:asciiTheme="majorBidi" w:hAnsiTheme="majorBidi" w:cstheme="majorBidi"/>
        </w:rPr>
        <w:t xml:space="preserve"> also be designed to excrete engineered proteins </w:t>
      </w:r>
      <w:r w:rsidR="002F3A01">
        <w:rPr>
          <w:rFonts w:asciiTheme="majorBidi" w:hAnsiTheme="majorBidi" w:cstheme="majorBidi"/>
        </w:rPr>
        <w:fldChar w:fldCharType="begin" w:fldLock="1"/>
      </w:r>
      <w:r w:rsidR="003F256B">
        <w:rPr>
          <w:rFonts w:asciiTheme="majorBidi" w:hAnsiTheme="majorBidi" w:cstheme="majorBidi"/>
        </w:rPr>
        <w:instrText>ADDIN CSL_CITATION {"citationItems":[{"id":"ITEM-1","itemData":{"DOI":"10.1021/sb500258b","ISSN":"21615063","PMID":"25079685","abstract":"Synthetic cell therapy is a field that has broad potential for future applications in human disease treatment. Next generation therapies will consist of engineered bacterial strains capable of diagnosing disease, producing and delivering therapeutics, and controlling their numbers to meet containment and safety concerns. A thorough understanding of the microbial ecology of the human body and the interaction of the microbes with the immune system will benefit the choice of an appropriate chassis that engrafts stably and interacts productively with the resident community in specific body niches.","author":[{"dropping-particle":"","family":"Claesen","given":"Jan","non-dropping-particle":"","parse-names":false,"suffix":""},{"dropping-particle":"","family":"Fischbach","given":"Michael A","non-dropping-particle":"","parse-names":false,"suffix":""}],"container-title":"ACS Synthetic Biology","id":"ITEM-1","issue":"4","issued":{"date-parts":[["2015","4"]]},"page":"358-364","publisher":"American Chemical Society","title":"Synthetic microbes as drug delivery systems","type":"article-journal","volume":"4"},"uris":["http://www.mendeley.com/documents/?uuid=735efe47-638f-4174-9a3a-dcc64755deec"]},{"id":"ITEM-2","itemData":{"DOI":"10.1038/s41467-020-15508-1","ISSN":"20411723","PMID":"32269218","abstract":"A complex interplay of metabolic and immunological mechanisms underlies many diseases that represent a substantial unmet medical need. There is an increasing appreciation of the role microbes play in human health and disease, and evidence is accumulating that a new class of live biotherapeutics comprised of engineered microbes could address specific mechanisms of disease. Using the tools of synthetic biology, nonpathogenic bacteria can be designed to sense and respond to environmental signals in order to consume harmful compounds and deliver therapeutic effectors. In this perspective, we describe considerations for the design and development of engineered live biotherapeutics to achieve regulatory and patient acceptance.","author":[{"dropping-particle":"","family":"Charbonneau","given":"Mark R","non-dropping-particle":"","parse-names":false,"suffix":""},{"dropping-particle":"","family":"Isabella","given":"Vincent M","non-dropping-particle":"","parse-names":false,"suffix":""},{"dropping-particle":"","family":"Li","given":"Ning","non-dropping-particle":"","parse-names":false,"suffix":""},{"dropping-particle":"","family":"Kurtz","given":"Caroline B","non-dropping-particle":"","parse-names":false,"suffix":""}],"container-title":"Nature Communications","id":"ITEM-2","issue":"1","issued":{"date-parts":[["2020","12"]]},"publisher":"Nature Research","title":"Developing a new class of engineered live bacterial therapeutics to treat human diseases","type":"article","volume":"11"},"uris":["http://www.mendeley.com/documents/?uuid=63166006-6ce5-479d-878b-39847cbffcc0"]},{"id":"ITEM-3","itemData":{"ISBN":"0000000000","author":[{"dropping-particle":"","family":"Whitfill","given":"Travis Michael","non-dropping-particle":"","parse-names":false,"suffix":""}],"id":"ITEM-3","issue":"2157","issued":{"date-parts":[["2019"]]},"page":"2018-2020","title":"Methods and compositions for treating skin disease with recombinant microorganisms, WO2019195714A1","type":"article","volume":"2019"},"uris":["http://www.mendeley.com/documents/?uuid=bef9f08e-f8c5-410f-bd77-2190869266f6"]}],"mendeley":{"formattedCitation":"(Charbonneau et al., 2020; Claesen &amp; Fischbach, 2015; Whitfill, 2019)","plainTextFormattedCitation":"(Charbonneau et al., 2020; Claesen &amp; Fischbach, 2015; Whitfill, 2019)","previouslyFormattedCitation":"(Charbonneau et al., 2020; Claesen &amp; Fischbach, 2015; Whitfill, 2019)"},"properties":{"noteIndex":0},"schema":"https://github.com/citation-style-language/schema/raw/master/csl-citation.json"}</w:instrText>
      </w:r>
      <w:r w:rsidR="002F3A01">
        <w:rPr>
          <w:rFonts w:asciiTheme="majorBidi" w:hAnsiTheme="majorBidi" w:cstheme="majorBidi"/>
        </w:rPr>
        <w:fldChar w:fldCharType="separate"/>
      </w:r>
      <w:r w:rsidR="002F3A01" w:rsidRPr="002F3A01">
        <w:rPr>
          <w:rFonts w:asciiTheme="majorBidi" w:hAnsiTheme="majorBidi" w:cstheme="majorBidi"/>
          <w:noProof/>
        </w:rPr>
        <w:t>(Charbonneau et al., 2020; Claesen &amp; Fischbach, 2015; Whitfill, 2019)</w:t>
      </w:r>
      <w:r w:rsidR="002F3A01">
        <w:rPr>
          <w:rFonts w:asciiTheme="majorBidi" w:hAnsiTheme="majorBidi" w:cstheme="majorBidi"/>
        </w:rPr>
        <w:fldChar w:fldCharType="end"/>
      </w:r>
      <w:r w:rsidRPr="00EF101A">
        <w:rPr>
          <w:rFonts w:asciiTheme="majorBidi" w:hAnsiTheme="majorBidi" w:cstheme="majorBidi"/>
        </w:rPr>
        <w:t>.</w:t>
      </w:r>
    </w:p>
    <w:p w14:paraId="03F0B71F" w14:textId="707BECE4" w:rsidR="00054C86" w:rsidRPr="009C5D9A" w:rsidRDefault="00332467" w:rsidP="00C02846">
      <w:pPr>
        <w:pStyle w:val="Heading4"/>
        <w:rPr>
          <w:bCs w:val="0"/>
          <w:i w:val="0"/>
        </w:rPr>
      </w:pPr>
      <w:r w:rsidRPr="009C5D9A">
        <w:rPr>
          <w:bCs w:val="0"/>
          <w:i w:val="0"/>
        </w:rPr>
        <w:t>3</w:t>
      </w:r>
      <w:r w:rsidR="00054C86" w:rsidRPr="009C5D9A">
        <w:rPr>
          <w:bCs w:val="0"/>
          <w:i w:val="0"/>
        </w:rPr>
        <w:t>.3.3. Research</w:t>
      </w:r>
      <w:r w:rsidR="006535D9" w:rsidRPr="009C5D9A">
        <w:rPr>
          <w:bCs w:val="0"/>
          <w:i w:val="0"/>
        </w:rPr>
        <w:t>.</w:t>
      </w:r>
    </w:p>
    <w:p w14:paraId="5ADD5420" w14:textId="20B2CCFD" w:rsidR="00054C86" w:rsidRPr="00B62C00" w:rsidRDefault="00D14761" w:rsidP="00D14761">
      <w:pPr>
        <w:pStyle w:val="Heading5"/>
        <w:tabs>
          <w:tab w:val="clear" w:pos="1800"/>
        </w:tabs>
        <w:ind w:left="284" w:hanging="284"/>
      </w:pPr>
      <w:r>
        <w:rPr>
          <w:i w:val="0"/>
          <w:iCs/>
        </w:rPr>
        <w:t xml:space="preserve">(a) </w:t>
      </w:r>
      <w:r w:rsidR="00054C86" w:rsidRPr="00B93AC4">
        <w:t>Development of protocells and minimal cells for basic research</w:t>
      </w:r>
      <w:r w:rsidR="00054C86" w:rsidRPr="00054C86">
        <w:t>.</w:t>
      </w:r>
    </w:p>
    <w:p w14:paraId="7B7FB880" w14:textId="17274832" w:rsidR="00054C86" w:rsidRPr="00054C86" w:rsidRDefault="00054C86" w:rsidP="00B62C00">
      <w:pPr>
        <w:suppressAutoHyphens/>
        <w:autoSpaceDE w:val="0"/>
        <w:spacing w:before="120" w:after="120" w:line="240" w:lineRule="auto"/>
        <w:jc w:val="both"/>
        <w:rPr>
          <w:rFonts w:ascii="Times New Roman" w:eastAsia="Times New Roman" w:hAnsi="Times New Roman" w:cstheme="minorBidi"/>
          <w:lang w:eastAsia="ar-SA"/>
        </w:rPr>
      </w:pPr>
      <w:r w:rsidRPr="00054C86">
        <w:rPr>
          <w:rFonts w:ascii="Times New Roman" w:eastAsia="Times New Roman" w:hAnsi="Times New Roman" w:cstheme="minorBidi"/>
          <w:lang w:eastAsia="ar-SA"/>
        </w:rPr>
        <w:t xml:space="preserve">A protocell capable of Darwinian evolution has yet to be built, but the pieces are beginning to </w:t>
      </w:r>
      <w:r w:rsidR="003D2EF7">
        <w:rPr>
          <w:rFonts w:ascii="Times New Roman" w:eastAsia="Times New Roman" w:hAnsi="Times New Roman" w:cstheme="minorBidi"/>
          <w:lang w:eastAsia="ar-SA"/>
        </w:rPr>
        <w:t>come</w:t>
      </w:r>
      <w:r w:rsidRPr="00054C86">
        <w:rPr>
          <w:rFonts w:ascii="Times New Roman" w:eastAsia="Times New Roman" w:hAnsi="Times New Roman" w:cstheme="minorBidi"/>
          <w:lang w:eastAsia="ar-SA"/>
        </w:rPr>
        <w:t xml:space="preserve"> together </w:t>
      </w:r>
      <w:r w:rsidR="00D6485F" w:rsidRPr="00B156AF">
        <w:rPr>
          <w:rFonts w:ascii="Times New Roman" w:eastAsia="Times New Roman" w:hAnsi="Times New Roman" w:cstheme="minorBidi"/>
          <w:lang w:eastAsia="ar-SA"/>
        </w:rPr>
        <w:fldChar w:fldCharType="begin" w:fldLock="1"/>
      </w:r>
      <w:r w:rsidR="00D6485F" w:rsidRPr="00B156AF">
        <w:rPr>
          <w:rFonts w:ascii="Times New Roman" w:eastAsia="Times New Roman" w:hAnsi="Times New Roman" w:cstheme="minorBidi"/>
          <w:lang w:eastAsia="ar-SA"/>
        </w:rPr>
        <w:instrText>ADDIN CSL_CITATION {"citationItems":[{"id":"ITEM-1","itemData":{"DOI":"10.1177/1535370218816657","ISSN":"1535-3702","abstract":"The traditional route to investigating biology by perturbing living systems or by individually purifying and characterizing component parts is giving way to more complex endeavors where chemists and physicists attempt to build cells from scratch. Parallel efforts are underway that either exploits extant biological parts or prebiotically plausible molecules. Both approaches help to reveal the underlying physical–chemical forces that give rise to cellular function and highlight the important role played by polymers in regulating biological chemical systems. Although the success in RNA and lipid chemistry has led to the reconstitution of specific facets of cellular life, our understanding of dynamic, dissipative networks is currently too incomplete to allow for the construction of a self-sustained, integrated protocell. However, the presence of shared chemistry points to a promising path forward.","author":[{"dropping-particle":"","family":"Toparlak","given":"O Duhan","non-dropping-particle":"","parse-names":false,"suffix":""},{"dropping-particle":"","family":"Mansy","given":"Sheref S","non-dropping-particle":"","parse-names":false,"suffix":""}],"container-title":"Experimental Biology and Medicine","id":"ITEM-1","issue":"4","issued":{"date-parts":[["2019","3","3"]]},"page":"304-313","title":"Progress in synthesizing protocells","type":"article-journal","volume":"244"},"uris":["http://www.mendeley.com/documents/?uuid=834d8b52-bfc8-4a78-97d8-aa045aec4c08"]},{"id":"ITEM-2","itemData":{"DOI":"10.1042/BST20190576","ISSN":"14708752","PMID":"31819942","abstract":"A protocell is a synthetic form of cellular life that is constructed from phospholipid vesicles and used to understand the emergence of life from a nonliving chemical network. To be considered ‘living’, a protocell should be capable of self-proliferation, which includes succes</w:instrText>
      </w:r>
      <w:r w:rsidR="00D6485F" w:rsidRPr="009C2DA0">
        <w:rPr>
          <w:rFonts w:ascii="Times New Roman" w:eastAsia="Times New Roman" w:hAnsi="Times New Roman" w:cstheme="minorBidi"/>
          <w:lang w:val="en-CA" w:eastAsia="ar-SA"/>
        </w:rPr>
        <w:instrText>sive growth and division processes. The growth of protocells can be achieved via vesicle fusion approaches. In this review, we provide a brief overview of recent research on the formation of a protocell, fusion and division processes of the protocell, and encapsulation of a defined chemical network such as the genetic material. We also provide some perspectives on the challenges and future developments of synthetic protocell research.","author":[{"dropping-particle":"","family":"Xu","given":"Bo Ying","non-dropping-particle":"","parse-names":false,"suffix":""},{"dropping-particle":"","family":"Xu","given":"Jian","non-dropping-particle":"","parse-names":false,"suffix":""},{"dropping-particle":"","family":"Yomo","given":"Tetsuya","non-dropping-particle":"","parse-names":false,"suffix":""}],"container-title":"Biochemical Society Transactions","id":"ITEM-2","issue":"6","issued":{"date-parts":[["2</w:instrText>
      </w:r>
      <w:r w:rsidR="00D6485F" w:rsidRPr="009C2DA0">
        <w:rPr>
          <w:rFonts w:ascii="Times New Roman" w:eastAsia="Times New Roman" w:hAnsi="Times New Roman" w:cstheme="minorBidi"/>
          <w:lang w:eastAsia="ar-SA"/>
        </w:rPr>
        <w:instrText>019","12"]]},"page":"1909-1919","publisher":"Portland Press Ltd","title":"A protocell with fusion and division","type":"article","volume":"47"},"uris":["http://www.mendeley.com/documents/?uuid=6df60e57-4bb1-42ec-b6fa-202e1d774329"]}],"mendeley":{"formattedCitation":"(Toparlak &amp; Mansy, 2019; B. Y. Xu et al., 2019)","plainTextFormattedCitation":"(Toparlak &amp; Mansy, 2019; B. Y. Xu et al., 2019)","previouslyFormattedCitation":"(Toparlak &amp; Mansy, 2019; B. Y. Xu et al., 2019)"},"properties":{"noteIndex":0},"schema":"https://github.com/citation-style-language/schema/raw/master/csl-citation.json"}</w:instrText>
      </w:r>
      <w:r w:rsidR="00D6485F" w:rsidRPr="00B156AF">
        <w:rPr>
          <w:rFonts w:ascii="Times New Roman" w:eastAsia="Times New Roman" w:hAnsi="Times New Roman" w:cstheme="minorBidi"/>
          <w:lang w:eastAsia="ar-SA"/>
        </w:rPr>
        <w:fldChar w:fldCharType="separate"/>
      </w:r>
      <w:r w:rsidR="00D6485F" w:rsidRPr="009C2DA0">
        <w:rPr>
          <w:rFonts w:ascii="Times New Roman" w:eastAsia="Times New Roman" w:hAnsi="Times New Roman" w:cstheme="minorBidi"/>
          <w:noProof/>
          <w:lang w:eastAsia="ar-SA"/>
        </w:rPr>
        <w:t>(Toparlak &amp; Mansy, 2019; B. Y. Xu et al., 2019)</w:t>
      </w:r>
      <w:r w:rsidR="00D6485F" w:rsidRPr="00B156AF">
        <w:rPr>
          <w:rFonts w:ascii="Times New Roman" w:eastAsia="Times New Roman" w:hAnsi="Times New Roman" w:cstheme="minorBidi"/>
          <w:lang w:eastAsia="ar-SA"/>
        </w:rPr>
        <w:fldChar w:fldCharType="end"/>
      </w:r>
      <w:r w:rsidRPr="009C2DA0">
        <w:rPr>
          <w:rFonts w:ascii="Times New Roman" w:eastAsia="Times New Roman" w:hAnsi="Times New Roman" w:cstheme="minorBidi"/>
          <w:lang w:eastAsia="ar-SA"/>
        </w:rPr>
        <w:t xml:space="preserve">. For instance, Huber et al. </w:t>
      </w:r>
      <w:r w:rsidRPr="00054C86">
        <w:rPr>
          <w:rFonts w:ascii="Times New Roman" w:eastAsia="Times New Roman" w:hAnsi="Times New Roman" w:cstheme="minorBidi"/>
          <w:lang w:eastAsia="ar-SA"/>
        </w:rPr>
        <w:fldChar w:fldCharType="begin" w:fldLock="1"/>
      </w:r>
      <w:r w:rsidR="008F6A90" w:rsidRPr="009C2DA0">
        <w:rPr>
          <w:rFonts w:ascii="Times New Roman" w:eastAsia="Times New Roman" w:hAnsi="Times New Roman" w:cstheme="minorBidi"/>
          <w:lang w:eastAsia="ar-SA"/>
        </w:rPr>
        <w:instrText>ADDIN CSL_CITATION {"citationItems":[{"id":"ITEM-1","itemData":{"DOI":"10.1002/cbic.201900283","ISSN":"1439-4227","abstract":"Life in its molecular context is characterized by the challenge of orchestrating structure, energy and information processes through compartmentalization and chemical transformations amenable to mimicry of protocell models. Here we present an alternative protocell model incorporating dynamic membranes based on amphiphilic elastin-like proteins (ELPs) rather than phospholipids. For the first time we demonstrate the feasibility of combining vesicular membrane formation and biocatalytic activity with molecular entities of a single class: proteins. The presented self-assembled protein-membrane-based compartments (PMBCs) accommodate either an anabolic reaction, based on free DNA ligase as an example of information transformation processes, or a catabolic process. We present a catabolic process based on a single molecular entity combining an amphiphilic protein with tobacco etch virus (TEV) p</w:instrText>
      </w:r>
      <w:r w:rsidR="008F6A90" w:rsidRPr="004D70EC">
        <w:rPr>
          <w:rFonts w:ascii="Times New Roman" w:eastAsia="Times New Roman" w:hAnsi="Times New Roman" w:cstheme="minorBidi"/>
          <w:lang w:val="en-US" w:eastAsia="ar-SA"/>
        </w:rPr>
        <w:instrText>rotease as part of the enclosure of a reaction space and facilitating selective catalytic transformations. Combining compartmentalization and biocatalytic activity by utilizing an amphiphilic molecular building block with and without enzyme functionalization enables new strategies in bottom-up synthetic biology, regenerative medicine, pharmaceutical science and biotechnology.","author":[{"dropping-particle":"","family":"Huber","given":"Matthia</w:instrText>
      </w:r>
      <w:r w:rsidR="008F6A90">
        <w:rPr>
          <w:rFonts w:ascii="Times New Roman" w:eastAsia="Times New Roman" w:hAnsi="Times New Roman" w:cstheme="minorBidi"/>
          <w:lang w:eastAsia="ar-SA"/>
        </w:rPr>
        <w:instrText>s C.","non-dropping-particle":"","parse-names":false,"suffix":""},{"dropping-particle":"","family":"Schreiber","given":"Andreas","non-dropping-particle":"","parse-names":false,"suffix":""},{"dropping-particle":"","family":"Schiller","given":"Stefan M.","non-dropping-particle":"","parse-names":false,"suffix":""}],"container-title":"ChemBioChem","id":"ITEM-1","issue":"20","issued":{"date-parts":[["2019","10"]]},"page":"2618-2632","publisher":"Wiley-VCH Verlag","title":"Minimalist Protocell Design: A Molecular System Based Solely on Proteins that Form Dynamic Vesicular Membranes Embedding Enzymatic Functions","type":"article-journal","volume":"20"},"uris":["http://www.mendeley.com/documents/?uuid=32447acf-54d5-43f6-8060-1ae90566c415"]}],"mendeley":{"formattedCitation":"(Huber et al., 2019)","manualFormatting":"(2019)","plainTextFormattedCitation":"(Huber et al., 2019)","previouslyFormattedCitation":"(Huber et al., 2019)"},"properties":{"noteIndex":0},"schema":"https://github.com/citation-style-language/schema/raw/master/csl-citation.json"}</w:instrText>
      </w:r>
      <w:r w:rsidRPr="00054C86">
        <w:rPr>
          <w:rFonts w:ascii="Times New Roman" w:eastAsia="Times New Roman" w:hAnsi="Times New Roman" w:cstheme="minorBidi"/>
          <w:lang w:eastAsia="ar-SA"/>
        </w:rPr>
        <w:fldChar w:fldCharType="separate"/>
      </w:r>
      <w:r w:rsidRPr="00054C86">
        <w:rPr>
          <w:rFonts w:ascii="Times New Roman" w:eastAsia="Times New Roman" w:hAnsi="Times New Roman" w:cstheme="minorBidi"/>
          <w:noProof/>
          <w:lang w:eastAsia="ar-SA"/>
        </w:rPr>
        <w:t>(2019)</w:t>
      </w:r>
      <w:r w:rsidRPr="00054C86">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have demonstrated the feasibility of combining vesicular membrane formation and biocatalytic activity with proteins for the first time. Combining compartmentalisation and biocatalytic activity enables new strategies in bottom‐up synthetic biology, regenerative medicine, pharmaceutical science</w:t>
      </w:r>
      <w:r w:rsidR="00571901">
        <w:rPr>
          <w:rFonts w:ascii="Times New Roman" w:eastAsia="Times New Roman" w:hAnsi="Times New Roman" w:cstheme="minorBidi"/>
          <w:lang w:eastAsia="ar-SA"/>
        </w:rPr>
        <w:t>,</w:t>
      </w:r>
      <w:r w:rsidRPr="00054C86">
        <w:rPr>
          <w:rFonts w:ascii="Times New Roman" w:eastAsia="Times New Roman" w:hAnsi="Times New Roman" w:cstheme="minorBidi"/>
          <w:lang w:eastAsia="ar-SA"/>
        </w:rPr>
        <w:t xml:space="preserve"> and biotechnology. </w:t>
      </w:r>
      <w:r w:rsidRPr="0299BB36">
        <w:rPr>
          <w:rFonts w:ascii="Times New Roman" w:eastAsia="Times New Roman" w:hAnsi="Times New Roman" w:cstheme="minorBidi"/>
          <w:lang w:eastAsia="ar-SA"/>
        </w:rPr>
        <w:t>Further, the Build-A-Cell Consortium</w:t>
      </w:r>
      <w:r w:rsidR="00CB5AFD">
        <w:rPr>
          <w:rStyle w:val="FootnoteReference"/>
          <w:rFonts w:ascii="Times New Roman" w:eastAsia="Times New Roman" w:hAnsi="Times New Roman" w:cstheme="minorBidi"/>
          <w:lang w:eastAsia="ar-SA"/>
        </w:rPr>
        <w:footnoteReference w:id="22"/>
      </w:r>
      <w:r w:rsidRPr="00054C86">
        <w:rPr>
          <w:rFonts w:ascii="Times New Roman" w:eastAsia="Times New Roman" w:hAnsi="Times New Roman" w:cstheme="minorBidi"/>
          <w:lang w:eastAsia="ar-SA"/>
        </w:rPr>
        <w:t xml:space="preserve"> is an open community that supports the science and engineering of synthetic cells.</w:t>
      </w:r>
    </w:p>
    <w:p w14:paraId="4614016A" w14:textId="3A09C783" w:rsidR="00054C86" w:rsidRPr="00B62C00" w:rsidRDefault="00D14761" w:rsidP="00D14761">
      <w:pPr>
        <w:pStyle w:val="Heading5"/>
        <w:tabs>
          <w:tab w:val="clear" w:pos="1800"/>
        </w:tabs>
        <w:ind w:left="284" w:hanging="284"/>
      </w:pPr>
      <w:r w:rsidRPr="00D14761">
        <w:rPr>
          <w:i w:val="0"/>
          <w:iCs/>
        </w:rPr>
        <w:t>(b)</w:t>
      </w:r>
      <w:r>
        <w:t xml:space="preserve"> </w:t>
      </w:r>
      <w:r w:rsidR="00054C86" w:rsidRPr="00054C86">
        <w:t>Applications to produce non-native nucleotides and amino acids inside the cell for basic research.</w:t>
      </w:r>
    </w:p>
    <w:p w14:paraId="422939E6" w14:textId="40710CFF" w:rsidR="00054C86" w:rsidRPr="00054C86" w:rsidRDefault="00054C86" w:rsidP="00B62C00">
      <w:pPr>
        <w:suppressAutoHyphens/>
        <w:autoSpaceDE w:val="0"/>
        <w:spacing w:before="120" w:after="120" w:line="240" w:lineRule="auto"/>
        <w:jc w:val="both"/>
        <w:rPr>
          <w:rFonts w:ascii="Times New Roman" w:eastAsia="Times New Roman" w:hAnsi="Times New Roman" w:cstheme="minorBidi"/>
          <w:i/>
        </w:rPr>
      </w:pPr>
      <w:r w:rsidRPr="00054C86">
        <w:rPr>
          <w:rFonts w:ascii="Times New Roman" w:eastAsia="Times New Roman" w:hAnsi="Times New Roman" w:cstheme="minorBidi"/>
          <w:lang w:eastAsia="ar-SA"/>
        </w:rPr>
        <w:t xml:space="preserve">Following the announcement in 2014 of the creation of two more synthetic nucleotides </w:t>
      </w:r>
      <w:r w:rsidRPr="00054C86">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{"citationItems":[{"id":"ITEM-1","itemData":{"DOI":"10.1038/nature13314","ISSN":"0028-0836","author":[{"dropping-particle":"","family":"Malyshev","given":"Denis A.","non-dropping-particle":"","parse-names":false,"suffix":""},{"dropping-particle":"","family":"Dhami","given":"Kirandeep","non-dropping-particle":"","parse-names":false,"suffix":""},{"dropping-particle":"","family":"Lavergne","given":"Thomas","non-dropping-particle":"","parse-names":false,"suffix":""},{"dropping-particle":"","family":"Chen","given":"Tingjian","non-dropping-particle":"","parse-names":false,"suffix":""},{"dropping-particle":"","family":"Dai","given":"Nan","non-dropping-particle":"","parse-names":false,"suffix":""},{"dropping-particle":"","family":"Foster","given":"Jeremy M.","non-dropping-particle":"","parse-names":false,"suffix":""},{"dropping-particle":"","family":"Corrêa","given":"Ivan R.","non-dropping-particle":"","parse-names":false,"suffix":""},{"dropping-particle":"","family":"Romesberg","given":"Floyd E.","non-dropping-particle":"","parse-names":false,"suffix":""}],"container-title":"Nature","id":"ITEM-1","issue":"7500","issued":{"date-parts":[["2014","5","7"]]},"page":"385-388","title":"A semi-synthetic organism with an expanded genetic alphabet","type":"article-journal","volume":"509"},"uris":["http://www.mendeley.com/documents/?uuid=fa95ba5d-f1cd-4c39-8a54-637b59d10c2a"]}],"mendeley":{"formattedCitation":"(Malyshev et al., 2014)","plainTextFormattedCitation":"(Malyshev et al., 2014)","previouslyFormattedCitation":"(Malyshev et al., 2014)"},"properties":{"noteIndex":0},"schema":"https://github.com/citation-style-language/schema/raw/master/csl-citation.json"}</w:instrText>
      </w:r>
      <w:r w:rsidRPr="00054C86">
        <w:rPr>
          <w:rFonts w:ascii="Times New Roman" w:eastAsia="Times New Roman" w:hAnsi="Times New Roman" w:cstheme="minorBidi"/>
          <w:lang w:eastAsia="ar-SA"/>
        </w:rPr>
        <w:fldChar w:fldCharType="separate"/>
      </w:r>
      <w:r w:rsidRPr="00054C86">
        <w:rPr>
          <w:rFonts w:ascii="Times New Roman" w:eastAsia="Times New Roman" w:hAnsi="Times New Roman" w:cstheme="minorBidi"/>
          <w:noProof/>
          <w:lang w:eastAsia="ar-SA"/>
        </w:rPr>
        <w:t>(Malyshev et al., 2014)</w:t>
      </w:r>
      <w:r w:rsidRPr="00054C86">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a semi-synthetic microorganism harbouring those two additional letters was reported by Zhang et al. </w:t>
      </w:r>
      <w:r w:rsidRPr="00054C86">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{"citationItems":[{"id":"ITEM-1","itemData":{"DOI":"10.1073/pnas.1616443114","ISSN":"0027-8424","author":[{"dropping-particle":"","family":"Zhang","given":"Yorke","non-dropping-particle":"","parse-names":false,"suffix":""},{"dropping-particle":"","family":"Lamb","given":"Brian M.","non-dropping-particle":"","parse-names":false,"suffix":""},{"dropping-particle":"","family":"Feldman","given":"Aaron W.","non-dropping-particle":"","parse-names":false,"suffix":""},{"dropping-particle":"","family":"Zhou","given":"Anne Xiaozhou","non-dropping-particle":"","parse-names":false,"suffix":""},{"dropping-particle":"","family":"Lavergne","given":"Thomas","non-dropping-particle":"","parse-names":false,"suffix":""},{"dropping-particle":"","family":"Li","given":"Lingjun","non-dropping-particle":"","parse-names":false,"suffix":""},{"dropping-particle":"","family":"Romesberg","given":"Floyd E.","non-dropping-particle":"","parse-names":false,"suffix":""}],"container-title":"Proceedings of the National Academy of Sciences","id":"ITEM-1","issue":"6","issued":{"date-parts":[["2017","2","7"]]},"page":"1317-1322","title":"A semisynthetic organism engineered for the stable expansion of the genetic alphabet","type":"article-journal","volume":"114"},"uris":["http://www.mendeley.com/documents/?uuid=58366c5e-25ec-42d2-a4c6-e8551f172312"]}],"mendeley":{"formattedCitation":"(Yorke Zhang et al., 2017)","manualFormatting":"(2017)","plainTextFormattedCitation":"(Yorke Zhang et al., 2017)","previouslyFormattedCitation":"(Yorke Zhang et al., 2017)"},"properties":{"noteIndex":0},"schema":"https://github.com/citation-style-language/schema/raw/master/csl-citation.json"}</w:instrText>
      </w:r>
      <w:r w:rsidRPr="00054C86">
        <w:rPr>
          <w:rFonts w:ascii="Times New Roman" w:eastAsia="Times New Roman" w:hAnsi="Times New Roman" w:cstheme="minorBidi"/>
          <w:lang w:eastAsia="ar-SA"/>
        </w:rPr>
        <w:fldChar w:fldCharType="separate"/>
      </w:r>
      <w:r w:rsidRPr="00054C86">
        <w:rPr>
          <w:rFonts w:ascii="Times New Roman" w:eastAsia="Times New Roman" w:hAnsi="Times New Roman" w:cstheme="minorBidi"/>
          <w:noProof/>
          <w:lang w:eastAsia="ar-SA"/>
        </w:rPr>
        <w:t>(2017)</w:t>
      </w:r>
      <w:r w:rsidRPr="00054C86">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The development of Hachimoji DNA and RNA (a genetic system with eight nucleotides; </w:t>
      </w:r>
      <w:r w:rsidRPr="00054C86">
        <w:rPr>
          <w:rFonts w:ascii="Times New Roman" w:eastAsia="Times New Roman" w:hAnsi="Times New Roman" w:cstheme="minorBidi"/>
          <w:lang w:eastAsia="ar-SA"/>
        </w:rPr>
        <w:fldChar w:fldCharType="begin" w:fldLock="1"/>
      </w:r>
      <w:r w:rsidR="008F6A90">
        <w:rPr>
          <w:rFonts w:ascii="Times New Roman" w:eastAsia="Times New Roman" w:hAnsi="Times New Roman" w:cstheme="minorBidi"/>
          <w:lang w:eastAsia="ar-SA"/>
        </w:rPr>
        <w:instrText>ADDIN CSL_CITATION {"citationItems":[{"id":"ITEM-1","itemData":{"DOI":"10.1126/science.aat0971","ISSN":"0036-8075","abstract":"We report DNA- and RNA-like systems built from eight nucleotide “letters” (hence the name “hachimoji”) that form four orthogonal pairs. These synthetic systems meet the structural requirements needed to support Darwinian evolution, including a polyelectrolyte backbone, predictable thermodynamic stability, and stereoregular building blocks that fit a Schrödinger aperiodic crystal. Measured thermodynamic parameters predict the stability of hachimoji duplexes, allowing hachimoji DNA to increase the information density of natural terran DNA. Three crystal structures show that the synthetic building blocks do not perturb the aperiodic crystal seen in the DNA double helix. Hachimoji DNA was then transcribed to give hachimoji RNA in the form of a functioning fluorescent hachimoji aptamer. These results expand the scope of molecular structures that might support life, including life throughout the cosmos.","author":[{"dropping-particle":"","family":"Hoshika","given":"Shuichi","non-dropping-particle":"","parse-names":false,"suffix":""},{"dropping-particle":"","family":"Leal","given":"Nicole A.","non-dropping-particle":"","parse-names":false,"suffix":""},{"dropping-particle":"","family":"Kim","given":"Myong-Jung","non-dropping-particle":"","parse-names":false,"suffix":""},{"dropping-particle":"","family":"Kim","given":"Myong-Sang","non-dropping-particle":"","parse-names":false,"suffix":""},{"dropping-particle":"","family":"Karalkar","given":"Nilesh B.","non-dropping-particle":"","parse-names":false,"suffix":""},{"dropping-particle":"","family":"Kim","given":"Hyo-Joong","non-dropping-particle":"","parse-names":false,"suffix":""},{"dropping-particle":"","family":"Bates","given":"Alison M.","non-dropping-particle":"","parse-names":false,"suffix":""},{"dropping-particle":"","family":"Watkins","given":"Norman E.","non-dropping-particle":"","parse-names":false,"suffix":""},{"dropping-particle":"","family":"SantaLucia","given":"Holly A.","non-dropping-particle":"","parse-names":false,"suffix":""},{"dropping-particle":"","family":"Meyer","given":"Adam J.","non-dropping-particle":"","parse-names":false,"suffix":""},{"dropping-particle":"","family":"DasGupta","given":"Saurja","non-dropping-particle":"","parse-names":false,"suffix":""},{"dropping-particle":"","family":"Piccirilli","given":"Joseph A.","non-dropping-particle":"","parse-names":false,"suffix":""},{"dropping-particle":"","family":"Ellington","given":"Andrew D.","non-dropping-particle":"","parse-names":false,"suffix":""},{"dropping-particle":"","family":"SantaLucia","given":"John","non-dropping-particle":"","parse-names":false,"suffix":""},{"dropping-particle":"","family":"Georgiadis","given":"Millie M.","non-dropping-particle":"","parse-names":false,"suffix":""},{"dropping-particle":"","family":"Benner","given":"Steven A.","non-dropping-particle":"","parse-names":false,"suffix":""}],"container-title":"Science","id":"ITEM-1","issue":"6429","issued":{"date-parts":[["2019","2","22"]]},"page":"884-887","title":"Hachimoji DNA and RNA: A genetic system with eight building blocks","type":"article-journal","volume":"363"},"uris":["http://www.mendeley.com/documents/?uuid=5101d3a3-a5a3-4a89-82b5-9aa5286e982a"]}],"mendeley":{"formattedCitation":"(Hoshika et al., 2019)","manualFormatting":"Hoshika et al., 2019)","plainTextFormattedCitation":"(Hoshika et al., 2019)","previouslyFormattedCitation":"(Hoshika et al., 2019)"},"properties":{"noteIndex":0},"schema":"https://github.com/citation-style-language/schema/raw/master/csl-citation.json"}</w:instrText>
      </w:r>
      <w:r w:rsidRPr="00054C86">
        <w:rPr>
          <w:rFonts w:ascii="Times New Roman" w:eastAsia="Times New Roman" w:hAnsi="Times New Roman" w:cstheme="minorBidi"/>
          <w:lang w:eastAsia="ar-SA"/>
        </w:rPr>
        <w:fldChar w:fldCharType="separate"/>
      </w:r>
      <w:r w:rsidRPr="00054C86">
        <w:rPr>
          <w:rFonts w:ascii="Times New Roman" w:eastAsia="Times New Roman" w:hAnsi="Times New Roman" w:cstheme="minorBidi"/>
          <w:noProof/>
          <w:lang w:eastAsia="ar-SA"/>
        </w:rPr>
        <w:t>Hoshika et al., 2019)</w:t>
      </w:r>
      <w:r w:rsidRPr="00054C86">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has since greatly expanded the genetic code. These non-native nucleotides </w:t>
      </w:r>
      <w:r w:rsidR="005E6DFA">
        <w:rPr>
          <w:rFonts w:ascii="Times New Roman" w:eastAsia="Times New Roman" w:hAnsi="Times New Roman" w:cstheme="minorBidi"/>
          <w:lang w:eastAsia="ar-SA"/>
        </w:rPr>
        <w:t>may</w:t>
      </w:r>
      <w:r w:rsidRPr="00054C86">
        <w:rPr>
          <w:rFonts w:ascii="Times New Roman" w:eastAsia="Times New Roman" w:hAnsi="Times New Roman" w:cstheme="minorBidi"/>
          <w:lang w:eastAsia="ar-SA"/>
        </w:rPr>
        <w:t xml:space="preserve"> be used in bar-coding and combinatorial tagging, retrievable information storage, and self-assembling nanostructures</w:t>
      </w:r>
      <w:r w:rsidR="00FB115D">
        <w:rPr>
          <w:rFonts w:ascii="Times New Roman" w:eastAsia="Times New Roman" w:hAnsi="Times New Roman" w:cstheme="minorBidi"/>
          <w:lang w:eastAsia="ar-SA"/>
        </w:rPr>
        <w:t xml:space="preserve"> (</w:t>
      </w:r>
      <w:r w:rsidR="00D6485F" w:rsidRPr="00054C86">
        <w:rPr>
          <w:rFonts w:ascii="Times New Roman" w:eastAsia="Times New Roman" w:hAnsi="Times New Roman" w:cstheme="minorBidi"/>
          <w:lang w:eastAsia="ar-SA"/>
        </w:rPr>
        <w:fldChar w:fldCharType="begin" w:fldLock="1"/>
      </w:r>
      <w:r w:rsidR="00D6485F">
        <w:rPr>
          <w:rFonts w:ascii="Times New Roman" w:eastAsia="Times New Roman" w:hAnsi="Times New Roman" w:cstheme="minorBidi"/>
          <w:lang w:eastAsia="ar-SA"/>
        </w:rPr>
        <w:instrText>ADDIN CSL_CITATION {"citationItems":[{"id":"ITEM-1","itemData":{"DOI":"10.1126/science.aat0971","ISSN":"0036-8075","abstract":"We report DNA- and RNA-like systems built from eight nucleotide “letters” (hence the name “hachimoji”) that form four orthogonal pairs. These synthetic systems meet the structural requirements needed to support Darwinian evolution, including a polyelectrolyte backbone, predictable thermodynamic stability, and stereoregular building blocks that fit a Schrödinger aperiodic crystal. Measured thermodynamic parameters predict the stability of hachimoji duplexes, allowing hachimoji DNA to increase the information density of natural terran DNA. Three crystal structures show that the synthetic building blocks do not perturb the aperiodic crystal seen in the DNA double helix. Hachimoji DNA was then transcribed to give hachimoji RNA in the form of a functioning fluorescent hachimoji aptamer. These results expand the scope of molecular structures that might support life, including life throughout the cosmos.","author":[{"dropping-particle":"","family":"Hoshika","given":"Shuichi","non-dropping-particle":"","parse-names":false,"suffix":""},{"dropping-particle":"","family":"Leal","given":"Nicole A.","non-dropping-particle":"","parse-names":false,"suffix":""},{"dropping-particle":"","family":"Kim","given":"Myong-Jung","non-dropping-particle":"","parse-names":false,"suffix":""},{"dropping-particle":"","family":"Kim","given":"Myong-Sang","non-dropping-particle":"","parse-names":false,"suffix":""},{"dropping-particle":"","family":"Karalkar","given":"Nilesh B.","non-dropping-particle":"","parse-names":false,"suffix":""},{"dropping-particle":"","family":"Kim","given":"Hyo-Joong","non-dropping-particle":"","parse-names":false,"suffix":""},{"dropping-particle":"","family":"Bates","given":"Alison M.","non-dropping-particle":"","parse-names":false,"suffix":""},{"dropping-particle":"","family":"Watkins","given":"Norman E.","non-dropping-particle":"","parse-names":false,"suffix":""},{"dropping-particle":"","family":"SantaLucia","given":"Holly A.","non-dropping-particle":"","parse-names":false,"suffix":""},{"dropping-particle":"","family":"Meyer","given":"Adam J.","non-dropping-particle":"","parse-names":false,"suffix":""},{"dropping-particle":"","family":"DasGupta","given":"Saurja","non-dropping-particle":"","parse-names":false,"suffix":""},{"dropping-particle":"","family":"Piccirilli","given":"Joseph A.","non-dropping-particle":"","parse-names":false,"suffix":""},{"dropping-particle":"","family":"Ellington","given":"Andrew D.","non-dropping-particle":"","parse-names":false,"suffix":""},{"dropping-particle":"","family":"SantaLucia","given":"John","non-dropping-particle":"","parse-names":false,"suffix":""},{"dropping-particle":"","family":"Georgiadis","given":"Millie M.","non-dropping-particle":"","parse-names":false,"suffix":""},{"dropping-particle":"","family":"Benner","given":"Steven A.","non-dropping-particle":"","parse-names":false,"suffix":""}],"container-title":"Science","id":"ITEM-1","issue":"6429","issued":{"date-parts":[["2019","2","22"]]},"page":"884-887","title":"Hachimoji DNA and RNA: A genetic system with eight building blocks","type":"article-journal","volume":"363"},"uris":["http://www.mendeley.com/documents/?uuid=5101d3a3-a5a3-4a89-82b5-9aa5286e982a"]}],"mendeley":{"formattedCitation":"(Hoshika et al., 2019)","manualFormatting":"Hoshika et al., 2019)","plainTextFormattedCitation":"(Hoshika et al., 2019)","previouslyFormattedCitation":"(Hoshika et al., 2019)"},"properties":{"noteIndex":0},"schema":"https://github.com/citation-style-language/schema/raw/master/csl-citation.json"}</w:instrText>
      </w:r>
      <w:r w:rsidR="00D6485F" w:rsidRPr="00054C86">
        <w:rPr>
          <w:rFonts w:ascii="Times New Roman" w:eastAsia="Times New Roman" w:hAnsi="Times New Roman" w:cstheme="minorBidi"/>
          <w:lang w:eastAsia="ar-SA"/>
        </w:rPr>
        <w:fldChar w:fldCharType="separate"/>
      </w:r>
      <w:r w:rsidR="00D6485F" w:rsidRPr="00054C86">
        <w:rPr>
          <w:rFonts w:ascii="Times New Roman" w:eastAsia="Times New Roman" w:hAnsi="Times New Roman" w:cstheme="minorBidi"/>
          <w:noProof/>
          <w:lang w:eastAsia="ar-SA"/>
        </w:rPr>
        <w:t>Hoshika et al., 2019)</w:t>
      </w:r>
      <w:r w:rsidR="00D6485F" w:rsidRPr="00054C86">
        <w:rPr>
          <w:rFonts w:ascii="Times New Roman" w:eastAsia="Times New Roman" w:hAnsi="Times New Roman" w:cstheme="minorBidi"/>
          <w:lang w:eastAsia="ar-SA"/>
        </w:rPr>
        <w:fldChar w:fldCharType="end"/>
      </w:r>
      <w:r w:rsidR="00E20C64">
        <w:rPr>
          <w:rFonts w:ascii="Times New Roman" w:eastAsia="Times New Roman" w:hAnsi="Times New Roman" w:cstheme="minorBidi"/>
          <w:lang w:eastAsia="ar-SA"/>
        </w:rPr>
        <w:t>.</w:t>
      </w:r>
    </w:p>
    <w:p w14:paraId="231658C1" w14:textId="729DC28B" w:rsidR="00054C86" w:rsidRPr="00B62C00" w:rsidRDefault="00DD5B93" w:rsidP="00DD5B93">
      <w:pPr>
        <w:pStyle w:val="Heading5"/>
        <w:tabs>
          <w:tab w:val="clear" w:pos="1800"/>
        </w:tabs>
        <w:ind w:left="284" w:hanging="284"/>
      </w:pPr>
      <w:r>
        <w:rPr>
          <w:i w:val="0"/>
          <w:iCs/>
        </w:rPr>
        <w:t xml:space="preserve">(c) </w:t>
      </w:r>
      <w:r w:rsidR="00054C86" w:rsidRPr="00054C86">
        <w:t>Re-creation of an extinct infectious horsepox virus from chemically synthesised DNA fragments.</w:t>
      </w:r>
    </w:p>
    <w:p w14:paraId="5CF18FE9" w14:textId="3F1225C8" w:rsidR="00054C86" w:rsidRPr="00054C86" w:rsidRDefault="00054C86" w:rsidP="00B62C00">
      <w:pPr>
        <w:suppressAutoHyphens/>
        <w:autoSpaceDE w:val="0"/>
        <w:spacing w:before="120" w:after="120" w:line="240" w:lineRule="auto"/>
        <w:jc w:val="both"/>
        <w:rPr>
          <w:rFonts w:ascii="Times New Roman" w:eastAsia="Times New Roman" w:hAnsi="Times New Roman" w:cstheme="minorBidi"/>
          <w:lang w:eastAsia="ar-SA"/>
        </w:rPr>
      </w:pPr>
      <w:r w:rsidRPr="00054C86">
        <w:rPr>
          <w:rFonts w:ascii="Times New Roman" w:eastAsia="Times New Roman" w:hAnsi="Times New Roman" w:cstheme="minorBidi"/>
          <w:lang w:eastAsia="ar-SA"/>
        </w:rPr>
        <w:t xml:space="preserve">Noyce et al. </w:t>
      </w:r>
      <w:r w:rsidR="00D6485F">
        <w:rPr>
          <w:rFonts w:ascii="Times New Roman" w:eastAsia="Times New Roman" w:hAnsi="Times New Roman" w:cstheme="minorBidi"/>
          <w:lang w:eastAsia="ar-SA"/>
        </w:rPr>
        <w:fldChar w:fldCharType="begin" w:fldLock="1"/>
      </w:r>
      <w:r w:rsidR="00D6485F">
        <w:rPr>
          <w:rFonts w:ascii="Times New Roman" w:eastAsia="Times New Roman" w:hAnsi="Times New Roman" w:cstheme="minorBidi"/>
          <w:lang w:eastAsia="ar-SA"/>
        </w:rPr>
        <w:instrText>ADDIN CSL_CITATION {"citationItems":[{"id":"ITEM-1","itemData":{"DOI":"10.1371/journal.pone.0188453","ISSN":"1932-6203","author":[{"dropping-particle":"","family":"Noyce","given":"Ryan S.","non-dropping-particle":"","parse-names":false,"suffix":""},{"dropping-particle":"","family":"Lederman","given":"Seth","non-dropping-particle":"","parse-names":false,"suffix":""},{"dropping-particle":"","family":"Evans","given":"David H.","non-dropping-particle":"","parse-names":false,"suffix":""}],"container-title":"PLOS ONE","editor":[{"dropping-particle":"","family":"Thiel","given":"Volker","non-dropping-particle":"","parse-names":false,"suffix":""}],"id":"ITEM-1","issue":"1","issued":{"date-parts":[["2018","1","19"]]},"page":"e0188453","title":"Construction of an infectious horsepox virus vaccine from chemically synthesized DNA fragments","type":"article-journal","volume":"13"},"uris":["http://www.mendeley.com/documents/?uuid=0b65ea0d-ce5a-4419-8833-d4b451870f55"]}],"mendeley":{"formattedCitation":"(Noyce et al., 2018)","manualFormatting":"(2018)","plainTextFormattedCitation":"(Noyce et al., 2018)","previouslyFormattedCitation":"(Noyce et al., 2018)"},"properties":{"noteIndex":0},"schema":"https://github.com/citation-style-language/schema/raw/master/csl-citation.json"}</w:instrText>
      </w:r>
      <w:r w:rsidR="00D6485F">
        <w:rPr>
          <w:rFonts w:ascii="Times New Roman" w:eastAsia="Times New Roman" w:hAnsi="Times New Roman" w:cstheme="minorBidi"/>
          <w:lang w:eastAsia="ar-SA"/>
        </w:rPr>
        <w:fldChar w:fldCharType="separate"/>
      </w:r>
      <w:r w:rsidR="00D6485F" w:rsidRPr="00D6485F">
        <w:rPr>
          <w:rFonts w:ascii="Times New Roman" w:eastAsia="Times New Roman" w:hAnsi="Times New Roman" w:cstheme="minorBidi"/>
          <w:noProof/>
          <w:lang w:eastAsia="ar-SA"/>
        </w:rPr>
        <w:t>(2018)</w:t>
      </w:r>
      <w:r w:rsidR="00D6485F">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produced a synthetically reconstructed infectious horsepox virus (HPXV) using a published genome sequence and DNA fragments manufactured entirely by chemical methods. The synthetic horsepox virus provided vaccine protection in a mouse model of poxvirus infection. As the use of a physical sample was not permitted by regulators, this approach to engineering a whole microorganism (in this case, synthesising HPXV </w:t>
      </w:r>
      <w:r w:rsidRPr="00054C86">
        <w:rPr>
          <w:rFonts w:ascii="Times New Roman" w:eastAsia="Times New Roman" w:hAnsi="Times New Roman" w:cstheme="minorBidi"/>
          <w:i/>
          <w:lang w:eastAsia="ar-SA"/>
        </w:rPr>
        <w:t>de novo</w:t>
      </w:r>
      <w:r w:rsidRPr="00054C86">
        <w:rPr>
          <w:rFonts w:ascii="Times New Roman" w:eastAsia="Times New Roman" w:hAnsi="Times New Roman" w:cstheme="minorBidi"/>
          <w:lang w:eastAsia="ar-SA"/>
        </w:rPr>
        <w:t>) was a way to proceed with research without comprising regulations.</w:t>
      </w:r>
    </w:p>
    <w:p w14:paraId="1609E7FC" w14:textId="624D4454" w:rsidR="00054C86" w:rsidRPr="00B62C00" w:rsidRDefault="00DD5B93" w:rsidP="00DD5B93">
      <w:pPr>
        <w:pStyle w:val="Heading5"/>
        <w:tabs>
          <w:tab w:val="clear" w:pos="1800"/>
        </w:tabs>
        <w:ind w:left="284" w:hanging="284"/>
      </w:pPr>
      <w:r>
        <w:rPr>
          <w:i w:val="0"/>
          <w:iCs/>
        </w:rPr>
        <w:t xml:space="preserve">(d) </w:t>
      </w:r>
      <w:r w:rsidR="00054C86" w:rsidRPr="00054C86">
        <w:t>Genetically engineered bio-containment systems within the cell</w:t>
      </w:r>
      <w:r w:rsidR="00E07BD7">
        <w:t>.</w:t>
      </w:r>
    </w:p>
    <w:p w14:paraId="5DA162C6" w14:textId="182228C7" w:rsidR="00DE2163" w:rsidRDefault="00054C86" w:rsidP="00B62C00">
      <w:pPr>
        <w:suppressAutoHyphens/>
        <w:autoSpaceDE w:val="0"/>
        <w:spacing w:before="120" w:after="120" w:line="240" w:lineRule="auto"/>
        <w:jc w:val="both"/>
        <w:rPr>
          <w:rFonts w:ascii="Times New Roman" w:eastAsia="SimSun" w:hAnsi="Times New Roman" w:cs="Calibri"/>
          <w:color w:val="000000" w:themeColor="text1"/>
          <w:lang w:eastAsia="hi-IN" w:bidi="hi-IN"/>
        </w:rPr>
      </w:pPr>
      <w:r w:rsidRPr="00054C86">
        <w:rPr>
          <w:rFonts w:ascii="Times New Roman" w:eastAsia="Times New Roman" w:hAnsi="Times New Roman" w:cstheme="minorBidi"/>
          <w:lang w:eastAsia="ar-SA"/>
        </w:rPr>
        <w:t xml:space="preserve">With the rapid rise in the design of synthetic engineered organisms in recent years, the opportunity to apply them to ecosystems and human health is expected to increase. Therefore, continuous effort has been invested in designing safeguard measures to limit their dispersal </w:t>
      </w:r>
      <w:r w:rsidR="00D6485F">
        <w:rPr>
          <w:rFonts w:ascii="Times New Roman" w:eastAsia="Times New Roman" w:hAnsi="Times New Roman" w:cstheme="minorBidi"/>
          <w:lang w:eastAsia="ar-SA"/>
        </w:rPr>
        <w:fldChar w:fldCharType="begin" w:fldLock="1"/>
      </w:r>
      <w:r w:rsidR="001C3E3C">
        <w:rPr>
          <w:rFonts w:ascii="Times New Roman" w:eastAsia="Times New Roman" w:hAnsi="Times New Roman" w:cstheme="minorBidi"/>
          <w:lang w:eastAsia="ar-SA"/>
        </w:rPr>
        <w:instrText>ADDIN CSL_CITATION {"citationItems":[{"id":"ITEM-1","itemData":{"DOI":"10.1038/s41589-018-0056-x","ISSN":"1552-4450","author":[{"dropping-particle":"","family":"Lee","given":"Jeong Wook","non-dropping-particle":"","parse-names":false,"suffix":""},{"dropping-particle":"","family":"Chan","given":"Clement T. Y.","non-dropping-particle":"","parse-names":false,"suffix":""},{"dropping-particle":"","family":"Slomovic","given":"Shimyn","non-dropping-particle":"","parse-names":false,"suffix":""},{"dropping-particle":"","family":"Collins","given":"James J.","non-dropping-particle":"","parse-names":false,"suffix":""}],"container-title":"Nature Chemical Biology","id":"ITEM-1","issue":"6","issued":{"date-parts":[["2018","6","16"]]},"page":"530-537","title":"Next-generation biocontainment systems for engineered organisms","type":"article-journal","volume":"14"},"uris":["http://www.mendeley.com/documents/?uuid=fcf8cb67-fd23-4be0-b736-944b447cd313"]}],"mendeley":{"formattedCitation":"(Lee et al., 2018)","plainTextFormattedCitation":"(Lee et al., 2018)","previouslyFormattedCitation":"(Lee et al., 2018)"},"properties":{"noteIndex":0},"schema":"https://github.com/citation-style-language/schema/raw/master/csl-citation.json"}</w:instrText>
      </w:r>
      <w:r w:rsidR="00D6485F">
        <w:rPr>
          <w:rFonts w:ascii="Times New Roman" w:eastAsia="Times New Roman" w:hAnsi="Times New Roman" w:cstheme="minorBidi"/>
          <w:lang w:eastAsia="ar-SA"/>
        </w:rPr>
        <w:fldChar w:fldCharType="separate"/>
      </w:r>
      <w:r w:rsidR="00D6485F" w:rsidRPr="00D6485F">
        <w:rPr>
          <w:rFonts w:ascii="Times New Roman" w:eastAsia="Times New Roman" w:hAnsi="Times New Roman" w:cstheme="minorBidi"/>
          <w:noProof/>
          <w:lang w:eastAsia="ar-SA"/>
        </w:rPr>
        <w:t>(Lee et al., 2018)</w:t>
      </w:r>
      <w:r w:rsidR="00D6485F">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Chan et al. </w:t>
      </w:r>
      <w:r w:rsidR="001C3E3C">
        <w:rPr>
          <w:rFonts w:ascii="Times New Roman" w:eastAsia="Times New Roman" w:hAnsi="Times New Roman" w:cstheme="minorBidi"/>
          <w:lang w:eastAsia="ar-SA"/>
        </w:rPr>
        <w:fldChar w:fldCharType="begin" w:fldLock="1"/>
      </w:r>
      <w:r w:rsidR="001C3E3C">
        <w:rPr>
          <w:rFonts w:ascii="Times New Roman" w:eastAsia="Times New Roman" w:hAnsi="Times New Roman" w:cstheme="minorBidi"/>
          <w:lang w:eastAsia="ar-SA"/>
        </w:rPr>
        <w:instrText>ADDIN CSL_CITATION {"citationItems":[{"id":"ITEM-1","itemData":{"DOI":"10.1038/nchembio.1979","ISSN":"15524469","PMID":"26641934","abstract":"Biocontainment systems that couple environmental sensing with circuit-based control of cell viability could be used to prevent escape of genetically modified microbes into the environment. Here we present two engineered safeguard systems known as the 'Deadman' and 'Passcode' kill switches. The Deadman kill switch uses unbalanced reciprocal transcriptional repression to couple a specific input signal with cell survival. The Passcode kill switch uses a similar two-layered transcription design and incorporates hybrid LacI-GalR family transcription factors to provide diverse and complex environmental inputs to control circuit function. These synthetic gene circuits efficiently kill Escherichia coli and can be readily reprogrammed to change their environmental inputs, regulatory architecture and killing mechanism.","author":[{"dropping-particle":"","family":"Chan","given":"Clement T Y","non-dropping-particle":"","parse-names":false,"suffix":""},{"dropping-particle":"","family":"Lee","given":"Jeong Wook","non-dropping-particle":"","parse-names":false,"suffix":""},{"dropping-particle":"","family":"Cameron","given":"D Ewen","non-dropping-particle":"","parse-names":false,"suffix":""},{"dropping-particle":"","family":"Bashor","given":"Caleb J","non-dropping-particle":"","parse-names":false,"suffix":""},{"dropping-particle":"","family":"Collins","given":"James J","non-dropping-particle":"","parse-names":false,"suffix":""}],"container-title":"Nature Chemical Biology","id":"ITEM-1","issue":"2","issued":{"date-parts":[["2016","2"]]},"page":"82-86","publisher":"Nature Publishing Group","title":"'Deadman' and 'Passcode' microbial kill switches for bacterial containment","type":"article-journal","volume":"12"},"uris":["http://www.mendeley.com/documents/?uuid=57dad18d-5537-4bda-b085-dd7123b30484"]}],"mendeley":{"formattedCitation":"(Chan et al., 2016)","manualFormatting":"(2016)","plainTextFormattedCitation":"(Chan et al., 2016)","previouslyFormattedCitation":"(Chan et al., 2016)"},"properties":{"noteIndex":0},"schema":"https://github.com/citation-style-language/schema/raw/master/csl-citation.json"}</w:instrText>
      </w:r>
      <w:r w:rsidR="001C3E3C">
        <w:rPr>
          <w:rFonts w:ascii="Times New Roman" w:eastAsia="Times New Roman" w:hAnsi="Times New Roman" w:cstheme="minorBidi"/>
          <w:lang w:eastAsia="ar-SA"/>
        </w:rPr>
        <w:fldChar w:fldCharType="separate"/>
      </w:r>
      <w:r w:rsidR="001C3E3C" w:rsidRPr="001C3E3C">
        <w:rPr>
          <w:rFonts w:ascii="Times New Roman" w:eastAsia="Times New Roman" w:hAnsi="Times New Roman" w:cstheme="minorBidi"/>
          <w:noProof/>
          <w:lang w:eastAsia="ar-SA"/>
        </w:rPr>
        <w:t>(2016)</w:t>
      </w:r>
      <w:r w:rsidR="001C3E3C">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designed one of the first safeguard systems developed to provide programmable conditions for biocontainment, using synthetic gene systems. This synthetic gene circuit, known as the ‘Deadman’ and ‘Passcode’ kill switches, efficiently kills </w:t>
      </w:r>
      <w:r w:rsidRPr="00054C86">
        <w:rPr>
          <w:rFonts w:ascii="Times New Roman" w:eastAsia="Times New Roman" w:hAnsi="Times New Roman" w:cstheme="minorBidi"/>
          <w:i/>
          <w:iCs/>
          <w:lang w:eastAsia="ar-SA"/>
        </w:rPr>
        <w:t xml:space="preserve">E. </w:t>
      </w:r>
      <w:r w:rsidRPr="00054C86" w:rsidDel="007628EA">
        <w:rPr>
          <w:rFonts w:ascii="Times New Roman" w:eastAsia="Times New Roman" w:hAnsi="Times New Roman" w:cstheme="minorBidi"/>
          <w:i/>
          <w:iCs/>
          <w:lang w:eastAsia="ar-SA"/>
        </w:rPr>
        <w:t>coli</w:t>
      </w:r>
      <w:r w:rsidR="007628EA" w:rsidRPr="00054C86">
        <w:rPr>
          <w:rFonts w:ascii="Times New Roman" w:eastAsia="Times New Roman" w:hAnsi="Times New Roman" w:cstheme="minorBidi"/>
          <w:i/>
          <w:iCs/>
          <w:lang w:eastAsia="ar-SA"/>
        </w:rPr>
        <w:t>,</w:t>
      </w:r>
      <w:r w:rsidRPr="00054C86">
        <w:rPr>
          <w:rFonts w:ascii="Times New Roman" w:eastAsia="Times New Roman" w:hAnsi="Times New Roman" w:cstheme="minorBidi"/>
          <w:i/>
          <w:iCs/>
          <w:lang w:eastAsia="ar-SA"/>
        </w:rPr>
        <w:t xml:space="preserve"> </w:t>
      </w:r>
      <w:r w:rsidRPr="00054C86">
        <w:rPr>
          <w:rFonts w:ascii="Times New Roman" w:eastAsia="Times New Roman" w:hAnsi="Times New Roman" w:cstheme="minorBidi"/>
          <w:lang w:eastAsia="ar-SA"/>
        </w:rPr>
        <w:t xml:space="preserve">and can be readily reprogrammed to change their environmental inputs, regulatory architecture and killing mechanism. </w:t>
      </w:r>
      <w:r w:rsidRPr="00054C86">
        <w:rPr>
          <w:rFonts w:ascii="Times New Roman" w:eastAsia="SimSun" w:hAnsi="Times New Roman" w:cs="Calibri"/>
          <w:color w:val="000000" w:themeColor="text1"/>
          <w:lang w:eastAsia="hi-IN" w:bidi="hi-IN"/>
        </w:rPr>
        <w:t xml:space="preserve">The USA Presidential Commission for the Study of Bioethical Issues (PCSBI) frequently mentioned “suicide genes or other types of self-destruction triggers” to reap the benefits of synthetic biology while avoiding potential harms </w:t>
      </w:r>
      <w:r w:rsidR="001C3E3C">
        <w:rPr>
          <w:rFonts w:ascii="Times New Roman" w:eastAsia="SimSun" w:hAnsi="Times New Roman" w:cs="Calibri"/>
          <w:color w:val="000000" w:themeColor="text1"/>
          <w:lang w:eastAsia="hi-IN" w:bidi="hi-IN"/>
        </w:rPr>
        <w:fldChar w:fldCharType="begin" w:fldLock="1"/>
      </w:r>
      <w:r w:rsidR="00D25DC4">
        <w:rPr>
          <w:rFonts w:ascii="Times New Roman" w:eastAsia="SimSun" w:hAnsi="Times New Roman" w:cs="Calibri"/>
          <w:color w:val="000000" w:themeColor="text1"/>
          <w:lang w:eastAsia="hi-IN" w:bidi="hi-IN"/>
        </w:rPr>
        <w:instrText>ADDIN CSL_CITATION {"citationItems":[{"id":"ITEM-1","itemData":{"author":[{"dropping-particle":"","family":"Presidential Commission for the Study of Bioethical Issues","given":"","non-dropping-particle":"","parse-names":false,"suffix":""}],"id":"ITEM-1","issued":{"date-parts":[["2010"]]},"title":"New Directions: The Ethics of Synthetic Biology and Emerging Technologies","type":"article"},"uris":["http://www.mendeley.com/documents/?uuid=d4b11ad4-29d7-42e8-a4b8-3013539ebc9d"]}],"mendeley":{"formattedCitation":"(Presidential Commission for the Study of Bioethical Issues, 2010)","manualFormatting":"(PCSBI, 2010)","plainTextFormattedCitation":"(Presidential Commission for the Study of Bioethical Issues, 2010)","previouslyFormattedCitation":"(Presidential Commission for the Study of Bioethical Issues, 2010)"},"properties":{"noteIndex":0},"schema":"https://github.com/citation-style-language/schema/raw/master/csl-citation.json"}</w:instrText>
      </w:r>
      <w:r w:rsidR="001C3E3C">
        <w:rPr>
          <w:rFonts w:ascii="Times New Roman" w:eastAsia="SimSun" w:hAnsi="Times New Roman" w:cs="Calibri"/>
          <w:color w:val="000000" w:themeColor="text1"/>
          <w:lang w:eastAsia="hi-IN" w:bidi="hi-IN"/>
        </w:rPr>
        <w:fldChar w:fldCharType="separate"/>
      </w:r>
      <w:r w:rsidR="001C3E3C" w:rsidRPr="001C3E3C">
        <w:rPr>
          <w:rFonts w:ascii="Times New Roman" w:eastAsia="SimSun" w:hAnsi="Times New Roman" w:cs="Calibri"/>
          <w:noProof/>
          <w:color w:val="000000" w:themeColor="text1"/>
          <w:lang w:eastAsia="hi-IN" w:bidi="hi-IN"/>
        </w:rPr>
        <w:t>(P</w:t>
      </w:r>
      <w:r w:rsidR="00D25DC4">
        <w:rPr>
          <w:rFonts w:ascii="Times New Roman" w:eastAsia="SimSun" w:hAnsi="Times New Roman" w:cs="Calibri"/>
          <w:noProof/>
          <w:color w:val="000000" w:themeColor="text1"/>
          <w:lang w:eastAsia="hi-IN" w:bidi="hi-IN"/>
        </w:rPr>
        <w:t>CSBI</w:t>
      </w:r>
      <w:r w:rsidR="001C3E3C" w:rsidRPr="001C3E3C">
        <w:rPr>
          <w:rFonts w:ascii="Times New Roman" w:eastAsia="SimSun" w:hAnsi="Times New Roman" w:cs="Calibri"/>
          <w:noProof/>
          <w:color w:val="000000" w:themeColor="text1"/>
          <w:lang w:eastAsia="hi-IN" w:bidi="hi-IN"/>
        </w:rPr>
        <w:t>, 2010)</w:t>
      </w:r>
      <w:r w:rsidR="001C3E3C">
        <w:rPr>
          <w:rFonts w:ascii="Times New Roman" w:eastAsia="SimSun" w:hAnsi="Times New Roman" w:cs="Calibri"/>
          <w:color w:val="000000" w:themeColor="text1"/>
          <w:lang w:eastAsia="hi-IN" w:bidi="hi-IN"/>
        </w:rPr>
        <w:fldChar w:fldCharType="end"/>
      </w:r>
      <w:r w:rsidRPr="00054C86">
        <w:rPr>
          <w:rFonts w:ascii="Times New Roman" w:eastAsia="SimSun" w:hAnsi="Times New Roman" w:cs="Calibri"/>
          <w:color w:val="000000" w:themeColor="text1"/>
          <w:lang w:eastAsia="hi-IN" w:bidi="hi-IN"/>
        </w:rPr>
        <w:t>. This is also a popular suggestion among</w:t>
      </w:r>
      <w:r w:rsidR="005A7462">
        <w:rPr>
          <w:rFonts w:ascii="Times New Roman" w:eastAsia="SimSun" w:hAnsi="Times New Roman" w:cs="Calibri"/>
          <w:color w:val="000000" w:themeColor="text1"/>
          <w:lang w:eastAsia="hi-IN" w:bidi="hi-IN"/>
        </w:rPr>
        <w:t>st</w:t>
      </w:r>
      <w:r w:rsidRPr="00054C86">
        <w:rPr>
          <w:rFonts w:ascii="Times New Roman" w:eastAsia="SimSun" w:hAnsi="Times New Roman" w:cs="Calibri"/>
          <w:color w:val="000000" w:themeColor="text1"/>
          <w:lang w:eastAsia="hi-IN" w:bidi="hi-IN"/>
        </w:rPr>
        <w:t xml:space="preserve"> iGEM teams </w:t>
      </w:r>
      <w:r w:rsidR="00FA4D47" w:rsidRPr="00054C86">
        <w:rPr>
          <w:rFonts w:ascii="Times New Roman" w:eastAsia="SimSun" w:hAnsi="Times New Roman" w:cs="Calibri"/>
          <w:color w:val="000000" w:themeColor="text1"/>
          <w:lang w:eastAsia="hi-IN" w:bidi="hi-IN"/>
        </w:rPr>
        <w:t>to</w:t>
      </w:r>
      <w:r w:rsidRPr="00054C86">
        <w:rPr>
          <w:rFonts w:ascii="Times New Roman" w:eastAsia="SimSun" w:hAnsi="Times New Roman" w:cs="Calibri"/>
          <w:color w:val="000000" w:themeColor="text1"/>
          <w:lang w:eastAsia="hi-IN" w:bidi="hi-IN"/>
        </w:rPr>
        <w:t xml:space="preserve"> respond to biosafety concerns </w:t>
      </w:r>
      <w:r w:rsidR="00D25DC4">
        <w:rPr>
          <w:rFonts w:ascii="Times New Roman" w:eastAsia="SimSun" w:hAnsi="Times New Roman" w:cs="Calibri"/>
          <w:color w:val="000000" w:themeColor="text1"/>
          <w:lang w:eastAsia="hi-IN" w:bidi="hi-IN"/>
        </w:rPr>
        <w:fldChar w:fldCharType="begin" w:fldLock="1"/>
      </w:r>
      <w:r w:rsidR="009B5B30">
        <w:rPr>
          <w:rFonts w:ascii="Times New Roman" w:eastAsia="SimSun" w:hAnsi="Times New Roman" w:cs="Calibri"/>
          <w:color w:val="000000" w:themeColor="text1"/>
          <w:lang w:eastAsia="hi-IN" w:bidi="hi-IN"/>
        </w:rPr>
        <w:instrText>ADDIN CSL_CITATION {"citationItems":[{"id":"ITEM-1","itemData":{"DOI":"10.1525/bio.2013.63.1.7","ISSN":"1525-3244","author":[{"dropping-particle":"","family":"Guan","given":"Zheng-jun","non-dropping-particle":"","parse-names":false,"suffix":""},{"dropping-particle":"","family":"Schmidt","given":"Markus","non-dropping-particle":"","parse-names":false,"suffix":""},{"dropping-particle":"","family":"Pei","given":"Lei","non-dropping-particle":"","parse-names":false,"suffix":""},{"dropping-particle":"","family":"Wei","given":"Wei","non-dropping-particle":"","parse-names":false,"suffix":""},{"dropping-particle":"","family":"Ma","given":"Ke-ping","non-dropping-particle":"","parse-names":false,"suffix":""}],"container-title":"BioScience","id":"ITEM-1","issue":"1","issued":{"date-parts":[["2013","1"]]},"page":"25-34","title":"Biosafety Considerations of Synthetic Biology in the International Genetically Engineered Machine (iGEM) Competition","type":"article-journal","volume":"63"},"uris":["http://www.mendeley.com/documents/?uuid=eccfe1d1-c00f-4965-bc33-042f642b23ec"]}],"mendeley":{"formattedCitation":"(Guan et al., 2013)","plainTextFormattedCitation":"(Guan et al., 2013)","previouslyFormattedCitation":"(Guan et al., 2013)"},"properties":{"noteIndex":0},"schema":"https://github.com/citation-style-language/schema/raw/master/csl-citation.json"}</w:instrText>
      </w:r>
      <w:r w:rsidR="00D25DC4">
        <w:rPr>
          <w:rFonts w:ascii="Times New Roman" w:eastAsia="SimSun" w:hAnsi="Times New Roman" w:cs="Calibri"/>
          <w:color w:val="000000" w:themeColor="text1"/>
          <w:lang w:eastAsia="hi-IN" w:bidi="hi-IN"/>
        </w:rPr>
        <w:fldChar w:fldCharType="separate"/>
      </w:r>
      <w:r w:rsidR="00D25DC4" w:rsidRPr="00D25DC4">
        <w:rPr>
          <w:rFonts w:ascii="Times New Roman" w:eastAsia="SimSun" w:hAnsi="Times New Roman" w:cs="Calibri"/>
          <w:noProof/>
          <w:color w:val="000000" w:themeColor="text1"/>
          <w:lang w:eastAsia="hi-IN" w:bidi="hi-IN"/>
        </w:rPr>
        <w:t>(Guan et al., 2013)</w:t>
      </w:r>
      <w:r w:rsidR="00D25DC4">
        <w:rPr>
          <w:rFonts w:ascii="Times New Roman" w:eastAsia="SimSun" w:hAnsi="Times New Roman" w:cs="Calibri"/>
          <w:color w:val="000000" w:themeColor="text1"/>
          <w:lang w:eastAsia="hi-IN" w:bidi="hi-IN"/>
        </w:rPr>
        <w:fldChar w:fldCharType="end"/>
      </w:r>
      <w:r w:rsidRPr="00054C86">
        <w:rPr>
          <w:rFonts w:ascii="Times New Roman" w:eastAsia="SimSun" w:hAnsi="Times New Roman" w:cs="Calibri"/>
          <w:color w:val="000000" w:themeColor="text1"/>
          <w:lang w:eastAsia="hi-IN" w:bidi="hi-IN"/>
        </w:rPr>
        <w:t xml:space="preserve">. </w:t>
      </w:r>
      <w:r w:rsidR="00F1787C">
        <w:rPr>
          <w:rFonts w:ascii="Times New Roman" w:eastAsia="SimSun" w:hAnsi="Times New Roman" w:cs="Calibri"/>
          <w:color w:val="000000" w:themeColor="text1"/>
          <w:lang w:eastAsia="hi-IN" w:bidi="hi-IN"/>
        </w:rPr>
        <w:t>Further</w:t>
      </w:r>
      <w:r w:rsidRPr="00054C86">
        <w:rPr>
          <w:rFonts w:ascii="Times New Roman" w:eastAsia="Times New Roman" w:hAnsi="Times New Roman" w:cstheme="minorBidi"/>
          <w:lang w:eastAsia="ar-SA"/>
        </w:rPr>
        <w:t xml:space="preserve">, unnatural nucleotides can be used to prevent </w:t>
      </w:r>
      <w:r w:rsidR="005A7462">
        <w:rPr>
          <w:rFonts w:ascii="Times New Roman" w:eastAsia="Times New Roman" w:hAnsi="Times New Roman" w:cstheme="minorBidi"/>
          <w:lang w:eastAsia="ar-SA"/>
        </w:rPr>
        <w:t xml:space="preserve">transfer </w:t>
      </w:r>
      <w:r w:rsidRPr="00054C86">
        <w:rPr>
          <w:rFonts w:ascii="Times New Roman" w:eastAsia="Times New Roman" w:hAnsi="Times New Roman" w:cstheme="minorBidi"/>
          <w:lang w:eastAsia="ar-SA"/>
        </w:rPr>
        <w:t xml:space="preserve">transgenic information </w:t>
      </w:r>
      <w:r w:rsidR="005A7462">
        <w:rPr>
          <w:rFonts w:ascii="Times New Roman" w:eastAsia="Times New Roman" w:hAnsi="Times New Roman" w:cstheme="minorBidi"/>
          <w:lang w:eastAsia="ar-SA"/>
        </w:rPr>
        <w:t>to wild-type organisms</w:t>
      </w:r>
      <w:r w:rsidRPr="00054C86">
        <w:rPr>
          <w:rFonts w:ascii="Times New Roman" w:eastAsia="Times New Roman" w:hAnsi="Times New Roman" w:cstheme="minorBidi"/>
          <w:lang w:eastAsia="ar-SA"/>
        </w:rPr>
        <w:t xml:space="preserve"> as the xenobiological genes </w:t>
      </w:r>
      <w:r w:rsidR="005A7462">
        <w:rPr>
          <w:rFonts w:ascii="Times New Roman" w:eastAsia="Times New Roman" w:hAnsi="Times New Roman" w:cstheme="minorBidi"/>
          <w:lang w:eastAsia="ar-SA"/>
        </w:rPr>
        <w:t>can</w:t>
      </w:r>
      <w:r w:rsidRPr="00054C86">
        <w:rPr>
          <w:rFonts w:ascii="Times New Roman" w:eastAsia="Times New Roman" w:hAnsi="Times New Roman" w:cstheme="minorBidi"/>
          <w:lang w:eastAsia="ar-SA"/>
        </w:rPr>
        <w:t xml:space="preserve">not be used </w:t>
      </w:r>
      <w:r w:rsidR="005A7462">
        <w:rPr>
          <w:rFonts w:ascii="Times New Roman" w:eastAsia="Times New Roman" w:hAnsi="Times New Roman" w:cstheme="minorBidi"/>
          <w:lang w:eastAsia="ar-SA"/>
        </w:rPr>
        <w:t>by</w:t>
      </w:r>
      <w:r w:rsidRPr="00054C86">
        <w:rPr>
          <w:rFonts w:ascii="Times New Roman" w:eastAsia="Times New Roman" w:hAnsi="Times New Roman" w:cstheme="minorBidi"/>
          <w:lang w:eastAsia="ar-SA"/>
        </w:rPr>
        <w:t xml:space="preserve"> natural organisms. This xenobiological approach </w:t>
      </w:r>
      <w:r w:rsidR="00B57BE1">
        <w:rPr>
          <w:rFonts w:ascii="Times New Roman" w:eastAsia="Times New Roman" w:hAnsi="Times New Roman" w:cstheme="minorBidi"/>
          <w:lang w:eastAsia="ar-SA"/>
        </w:rPr>
        <w:t>would then</w:t>
      </w:r>
      <w:r w:rsidRPr="00054C86">
        <w:rPr>
          <w:rFonts w:ascii="Times New Roman" w:eastAsia="Times New Roman" w:hAnsi="Times New Roman" w:cstheme="minorBidi"/>
          <w:lang w:eastAsia="ar-SA"/>
        </w:rPr>
        <w:t xml:space="preserve"> eliminate the possibility of escape, proliferation, and cross-feeding, and render gene transfer impossible </w:t>
      </w:r>
      <w:r w:rsidR="00D25DC4">
        <w:rPr>
          <w:rFonts w:ascii="Times New Roman" w:eastAsia="Times New Roman" w:hAnsi="Times New Roman" w:cstheme="minorBidi"/>
          <w:lang w:eastAsia="ar-SA"/>
        </w:rPr>
        <w:fldChar w:fldCharType="begin" w:fldLock="1"/>
      </w:r>
      <w:r w:rsidR="00D25DC4">
        <w:rPr>
          <w:rFonts w:ascii="Times New Roman" w:eastAsia="Times New Roman" w:hAnsi="Times New Roman" w:cstheme="minorBidi"/>
          <w:lang w:eastAsia="ar-SA"/>
        </w:rPr>
        <w:instrText>ADDIN CSL_CITATION {"citationItems":[{"id":"ITEM-1","itemData":{"DOI":"10.1038/s41589-018-0056-x","ISSN":"1552-4450","author":[{"dropping-particle":"","family":"Lee","given":"Jeong Wook","non-dropping-particle":"","parse-names":false,"suffix":""},{"dropping-particle":"","family":"Chan","given":"Clement T. Y.","non-dropping-particle":"","parse-names":false,"suffix":""},{"dropping-particle":"","family":"Slomovic","given":"Shimyn","non-dropping-particle":"","parse-names":false,"suffix":""},{"dropping-particle":"","family":"Collins","given":"James J.","non-dropping-particle":"","parse-names":false,"suffix":""}],"container-title":"Nature Chemical Biology","id":"ITEM-1","issue":"6","issued":{"date-parts":[["2018","6","16"]]},"page":"530-537","title":"Next-generation biocontainment systems for engineered organisms","type":"article-journal","volume":"14"},"uris":["http://www.mendeley.com/documents/?uuid=fcf8cb67-fd23-4be0-b736-944b447cd313"]}],"mendeley":{"formattedCitation":"(Lee et al., 2018)","plainTextFormattedCitation":"(Lee et al., 2018)","previouslyFormattedCitation":"(Lee et al., 2018)"},"properties":{"noteIndex":0},"schema":"https://github.com/citation-style-language/schema/raw/master/csl-citation.json"}</w:instrText>
      </w:r>
      <w:r w:rsidR="00D25DC4">
        <w:rPr>
          <w:rFonts w:ascii="Times New Roman" w:eastAsia="Times New Roman" w:hAnsi="Times New Roman" w:cstheme="minorBidi"/>
          <w:lang w:eastAsia="ar-SA"/>
        </w:rPr>
        <w:fldChar w:fldCharType="separate"/>
      </w:r>
      <w:r w:rsidR="00D25DC4" w:rsidRPr="00D6485F">
        <w:rPr>
          <w:rFonts w:ascii="Times New Roman" w:eastAsia="Times New Roman" w:hAnsi="Times New Roman" w:cstheme="minorBidi"/>
          <w:noProof/>
          <w:lang w:eastAsia="ar-SA"/>
        </w:rPr>
        <w:t>(Lee et al., 2018)</w:t>
      </w:r>
      <w:r w:rsidR="00D25DC4">
        <w:rPr>
          <w:rFonts w:ascii="Times New Roman" w:eastAsia="Times New Roman" w:hAnsi="Times New Roman" w:cstheme="minorBidi"/>
          <w:lang w:eastAsia="ar-SA"/>
        </w:rPr>
        <w:fldChar w:fldCharType="end"/>
      </w:r>
      <w:r w:rsidR="00D25DC4">
        <w:rPr>
          <w:rFonts w:ascii="Times New Roman" w:eastAsia="Times New Roman" w:hAnsi="Times New Roman" w:cstheme="minorBidi"/>
          <w:lang w:eastAsia="ar-SA"/>
        </w:rPr>
        <w:t>.</w:t>
      </w:r>
    </w:p>
    <w:p w14:paraId="7B003EF7" w14:textId="1DCAC7E9" w:rsidR="00DE2163" w:rsidRPr="00B62C00" w:rsidRDefault="00DD5B93" w:rsidP="00DD5B93">
      <w:pPr>
        <w:pStyle w:val="Heading5"/>
        <w:tabs>
          <w:tab w:val="clear" w:pos="1800"/>
        </w:tabs>
        <w:ind w:left="284" w:hanging="284"/>
      </w:pPr>
      <w:r>
        <w:rPr>
          <w:i w:val="0"/>
          <w:iCs/>
        </w:rPr>
        <w:t xml:space="preserve">(e) </w:t>
      </w:r>
      <w:r w:rsidR="00DE2163" w:rsidRPr="00054C86">
        <w:t>Digital information storage using DNA molecules</w:t>
      </w:r>
      <w:r w:rsidR="00E07BD7">
        <w:t>.</w:t>
      </w:r>
    </w:p>
    <w:p w14:paraId="537C81B1" w14:textId="65B52512" w:rsidR="00DE2163" w:rsidRDefault="00DE2163" w:rsidP="00B62C00">
      <w:pPr>
        <w:suppressAutoHyphens/>
        <w:autoSpaceDE w:val="0"/>
        <w:spacing w:before="120" w:after="120" w:line="240" w:lineRule="auto"/>
        <w:jc w:val="both"/>
        <w:rPr>
          <w:rFonts w:ascii="Times New Roman" w:eastAsia="Times New Roman" w:hAnsi="Times New Roman" w:cstheme="minorBidi"/>
          <w:lang w:eastAsia="ar-SA"/>
        </w:rPr>
      </w:pPr>
      <w:r w:rsidRPr="00054C86">
        <w:rPr>
          <w:rFonts w:ascii="Times New Roman" w:eastAsia="Times New Roman" w:hAnsi="Times New Roman" w:cstheme="minorBidi"/>
          <w:lang w:eastAsia="ar-SA"/>
        </w:rPr>
        <w:t xml:space="preserve">Deoxyribonucleic acid molecules have a theoretically large (petabytes per gram) storage capacity for digital data </w:t>
      </w:r>
      <w:r w:rsidR="00C9680E">
        <w:rPr>
          <w:rFonts w:ascii="Times New Roman" w:eastAsia="Times New Roman" w:hAnsi="Times New Roman" w:cstheme="minorBidi"/>
          <w:lang w:eastAsia="ar-SA"/>
        </w:rPr>
        <w:fldChar w:fldCharType="begin" w:fldLock="1"/>
      </w:r>
      <w:r w:rsidR="00C22717">
        <w:rPr>
          <w:rFonts w:ascii="Times New Roman" w:eastAsia="Times New Roman" w:hAnsi="Times New Roman" w:cstheme="minorBidi"/>
          <w:lang w:eastAsia="ar-SA"/>
        </w:rPr>
        <w:instrText>ADDIN CSL_CITATION {"citationItems":[{"id":"ITEM-1","itemData":{"DOI":"10.1126/science.aaj2038","ISSN":"10959203","PMID":"28254941","abstract":"DNA is an attractive medium to store digital information. Here we report a storage strategy, called DNA Fountain, that is highly robust and approaches the information capacity per nucleotide. Using our approach, we stored a full computer operating system, movie, and other files with a total of 2.14 × 106 bytes in DNA oligonucleotides and perfectly retrieved the information from a sequencing coverage equivalent to a single tile of Illumina sequencing. We also tested a process that can allow 2.18 × 1015 retrievals using the original DNA sample and were able to perfectly decode the data. Finally, we explored the limit of our architecture in terms of bytes per molecule and obtained a perfect retrieval from a density of 215 petabytes per gram of DNA, orders of magnitude higher than previous reports.","author":[{"dropping-particle":"","family":"Erlich","given":"Yaniv","non-dropping-particle":"","parse-names":false,"suffix":""},{"dropping-particle":"","family":"Zielinski","given":"Dina","non-dropping-particle":"","parse-names":false,"suffix":""}],"container-title":"Science","id":"ITEM-1","issue":"6328","issued":{"date-parts":[["2017"]]},"page":"950-954","title":"DNA Fountain enables a robust and efficient storage architecture","type":"article-journal","volume":"355"},"uris":["http://www.mendeley.com/documents/?uuid=cb09188f-bd02-4a42-bf92-e6778e61b3a9"]}],"mendeley":{"formattedCitation":"(Erlich &amp; Zielinski, 2017)","plainTextFormattedCitation":"(Erlich &amp; Zielinski, 2017)","previouslyFormattedCitation":"(Erlich &amp; Zielinski, 2017)"},"properties":{"noteIndex":0},"schema":"https://github.com/citation-style-language/schema/raw/master/csl-citation.json"}</w:instrText>
      </w:r>
      <w:r w:rsidR="00C9680E">
        <w:rPr>
          <w:rFonts w:ascii="Times New Roman" w:eastAsia="Times New Roman" w:hAnsi="Times New Roman" w:cstheme="minorBidi"/>
          <w:lang w:eastAsia="ar-SA"/>
        </w:rPr>
        <w:fldChar w:fldCharType="separate"/>
      </w:r>
      <w:r w:rsidR="00C9680E" w:rsidRPr="00C9680E">
        <w:rPr>
          <w:rFonts w:ascii="Times New Roman" w:eastAsia="Times New Roman" w:hAnsi="Times New Roman" w:cstheme="minorBidi"/>
          <w:noProof/>
          <w:lang w:eastAsia="ar-SA"/>
        </w:rPr>
        <w:t>(Erlich &amp; Zielinski, 2017)</w:t>
      </w:r>
      <w:r w:rsidR="00C9680E">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Storing data in DNA can be achieved using oligonucleotide libraries to </w:t>
      </w:r>
      <w:r w:rsidR="000469B2">
        <w:rPr>
          <w:rFonts w:ascii="Times New Roman" w:eastAsia="Times New Roman" w:hAnsi="Times New Roman" w:cstheme="minorBidi"/>
          <w:lang w:eastAsia="ar-SA"/>
        </w:rPr>
        <w:t>encode</w:t>
      </w:r>
      <w:r w:rsidRPr="00054C86">
        <w:rPr>
          <w:rFonts w:ascii="Times New Roman" w:eastAsia="Times New Roman" w:hAnsi="Times New Roman" w:cstheme="minorBidi"/>
          <w:lang w:eastAsia="ar-SA"/>
        </w:rPr>
        <w:t xml:space="preserve"> the information and next generation sequencing technologies in combination with bioinformatic pipelines to ‘read’ the ‘data’ </w:t>
      </w:r>
      <w:r w:rsidR="009B5B30">
        <w:rPr>
          <w:rFonts w:ascii="Times New Roman" w:eastAsia="Times New Roman" w:hAnsi="Times New Roman" w:cstheme="minorBidi"/>
          <w:lang w:eastAsia="ar-SA"/>
        </w:rPr>
        <w:fldChar w:fldCharType="begin" w:fldLock="1"/>
      </w:r>
      <w:r w:rsidR="00C9680E">
        <w:rPr>
          <w:rFonts w:ascii="Times New Roman" w:eastAsia="Times New Roman" w:hAnsi="Times New Roman" w:cstheme="minorBidi"/>
          <w:lang w:eastAsia="ar-SA"/>
        </w:rPr>
        <w:instrText>ADDIN CSL_CITATION {"citationItems":[{"id":"ITEM-1","itemData":{"DOI":"10.1038/nbt.4079","ISSN":"1087-0156","author":[{"dropping-particle":"","family":"Organick","given":"Lee","non-dropping-particle":"","parse-names":false,"suffix":""},{"dropping-particle":"","family":"Ang","given":"Siena Dumas","non-dropping-particle":"","parse-names":false,"suffix":""},{"dropping-particle":"","family":"Chen","given":"Yuan-Jyue","non-dropping-particle":"","parse-names":false,"suffix":""},{"dropping-particle":"","family":"Lopez","given":"Randolph","non-dropping-particle":"","parse-names":false,"suffix":""},{"dropping-particle":"","family":"Yekhanin","given":"Sergey","non-dropping-particle":"","parse-names":false,"suffix":""},{"dropping-particle":"","family":"Makarychev","given":"Konstantin","non-dropping-particle":"","parse-names":false,"suffix":""},{"dropping-particle":"","family":"Racz","given":"Miklos Z","non-dropping-particle":"","parse-names":false,"suffix":""},{"dropping-particle":"","family":"Kamath","given":"Govinda","non-dropping-particle":"","parse-names":false,"suffix":""},{"dropping-particle":"","family":"Gopalan","given":"Parikshit","non-dropping-particle":"","parse-names":false,"suffix":""},{"dropping-particle":"","family":"Nguyen","given":"Bichlien","non-dropping-particle":"","parse-names":false,"suffix":""},{"dropping-particle":"","family":"Takahashi","given":"Christopher N","non-dropping-particle":"","parse-names":false,"suffix":""},{"dropping-particle":"","family":"Newman","given":"Sharon","non-dropping-particle":"","parse-names":false,"suffix":""},{"dropping-particle":"","family":"Parker","given":"Hsing-Yeh","non-dropping-particle":"","parse-names":false,"suffix":""},{"dropping-particle":"","family":"Rashtchian","given":"Cyrus","non-dropping-particle":"","parse-names":false,"suffix":""},{"dropping-particle":"","family":"Stewart","given":"Kendall","non-dropping-particle":"","parse-names":false,"suffix":""},{"dropping-particle":"","family":"Gupta","given":"Gagan","non-dropping-particle":"","parse-names":false,"suffix":""},{"dropping-particle":"","family":"Carlson","given":"Robert","non-dropping-particle":"","parse-names":false,"suffix":""},{"dropping-particle":"","family":"Mulligan","given":"John","non-dropping-particle":"","parse-names":false,"suffix":""},{"dropping-particle":"","family":"Carmean","given":"Douglas","non-dropping-particle":"","parse-names":false,"suffix":""},{"dropping-particle":"","family":"Seelig","given":"Georg","non-dropping-particle":"","parse-names":false,"suffix":""},{"dropping-particle":"","family":"Ceze","given":"Luis","non-dropping-particle":"","parse-names":false,"suffix":""},{"dropping-particle":"","family":"Strauss","given":"Karin","non-dropping-particle":"","parse-names":false,"suffix":""}],"container-title":"Nature Biotechnology","id":"ITEM-1","issue":"3","issued":{"date-parts":[["2018","3","19"]]},"page":"242-248","title":"Random access in large-scale DNA data storage","type":"article-journal","volume":"36"},"uris":["http://www.mendeley.com/documents/?uuid=a710deb7-ec50-4c5d-89ff-920f43205003"]},{"id":"ITEM-2","itemData":{"DOI":"10.1038/s41596-019-0244-5","ISSN":"1754-2189","author":[{"dropping-particle":"","family":"Meiser","given":"Linda C.","non-dropping-particle":"","parse-names":false,"suffix":""},{"dropping-particle":"","family":"Antkowiak","given":"Philipp L.","non-dropping-particle":"","parse-names":false,"suffix":""},{"dropping-particle":"","family":"Koch","given":"Julian","non-dropping-particle":"","parse-names":false,"suffix":""},{"dropping-particle":"","family":"Chen","given":"Weida D.","non-dropping-particle":"","parse-names":false,"suffix":""},{"dropping-particle":"","family":"Kohll","given":"A. Xavier","non-dropping-particle":"","parse-names":false,"suffix":""},{"dropping-particle":"","family":"Stark","given":"Wendelin J.","non-dropping-particle":"","parse-names":false,"suffix":""},{"dropping-particle":"","family":"Heckel","given":"Reinhard","non-dropping-particle":"","parse-names":false,"suffix":""},{"dropping-particle":"","family":"Grass","given":"Robert N.","non-dropping-particle":"","parse-names":false,"suffix":""}],"container-title":"Nature Protocols","id":"ITEM-2","issue":"1","issued":{"date-parts":[["2020","1","29"]]},"page":"86-101","title":"Reading and writing digital data in DNA","type":"article-journal","volume":"15"},"uris":["http://www.mendeley.com/documents/?uuid=74d26a58-912d-4933-a41c-469653a571e1"]}],"mendeley":{"formattedCitation":"(Meiser et al., 2020; Organick et al., 2018)","plainTextFormattedCitation":"(Meiser et al., 2020; Organick et al., 2018)","previouslyFormattedCitation":"(Meiser et al., 2020; Organick et al., 2018)"},"properties":{"noteIndex":0},"schema":"https://github.com/citation-style-language/schema/raw/master/csl-citation.json"}</w:instrText>
      </w:r>
      <w:r w:rsidR="009B5B30">
        <w:rPr>
          <w:rFonts w:ascii="Times New Roman" w:eastAsia="Times New Roman" w:hAnsi="Times New Roman" w:cstheme="minorBidi"/>
          <w:lang w:eastAsia="ar-SA"/>
        </w:rPr>
        <w:fldChar w:fldCharType="separate"/>
      </w:r>
      <w:r w:rsidR="009B5B30" w:rsidRPr="009B5B30">
        <w:rPr>
          <w:rFonts w:ascii="Times New Roman" w:eastAsia="Times New Roman" w:hAnsi="Times New Roman" w:cstheme="minorBidi"/>
          <w:noProof/>
          <w:lang w:eastAsia="ar-SA"/>
        </w:rPr>
        <w:t>(Meiser et al., 2020; Organick et al., 2018)</w:t>
      </w:r>
      <w:r w:rsidR="009B5B30">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Random access of the information can be performed using highly selective polymerase chain reactions </w:t>
      </w:r>
      <w:r w:rsidR="00C22717">
        <w:rPr>
          <w:rFonts w:ascii="Times New Roman" w:eastAsia="Times New Roman" w:hAnsi="Times New Roman" w:cstheme="minorBidi"/>
          <w:lang w:eastAsia="ar-SA"/>
        </w:rPr>
        <w:fldChar w:fldCharType="begin" w:fldLock="1"/>
      </w:r>
      <w:r w:rsidR="00987C92">
        <w:rPr>
          <w:rFonts w:ascii="Times New Roman" w:eastAsia="Times New Roman" w:hAnsi="Times New Roman" w:cstheme="minorBidi"/>
          <w:lang w:eastAsia="ar-SA"/>
        </w:rPr>
        <w:instrText>ADDIN CSL_CITATION {"citationItems":[{"id":"ITEM-1","itemData":{"DOI":"10.1038/srep14138","ISSN":"2045-2322","author":[{"dropping-particle":"","family":"Tabatabaei Yazdi","given":"S. M. Hossein","non-dropping-particle":"","parse-names":false,"suffix":""},{"dropping-particle":"","family":"Yuan","given":"Yongbo","non-dropping-particle":"","parse-names":false,"suffix":""},{"dropping-particle":"","family":"Ma","given":"Jian","non-dropping-particle":"","parse-names":false,"suffix":""},{"dropping-particle":"","family":"Zhao","given":"Huimin","non-dropping-particle":"","parse-names":false,"suffix":""},{"dropping-particle":"","family":"Milenkovic","given":"Olgica","non-dropping-particle":"","parse-names":false,"suffix":""}],"container-title":"Scientific Reports","id":"ITEM-1","issue":"1","issued":{"date-parts":[["2015","11","18"]]},"page":"14138","title":"A Rewritable, Random-Access DNA-Based Storage System","type":"article-journal","volume":"5"},"uris":["http://www.mendeley.com/documents/?uuid=af3076e6-660b-450c-a67d-a8e8c025574d"]},{"id":"ITEM-2","itemData":{"DOI":"10.1038/s41467-020-14319-8","ISSN":"2041-1723","abstract":"Synthetic DNA is gaining momentum as a potential storage medium for archival data storage. In this process, digital information is translated into sequences of nucleotides and the resulting synthetic DNA strands are then stored for later retrieval. Here, we demonstrate reliable file recovery with PCR-based random access when as few as ten copies per sequence are stored, on average. This results in density of about 17 exabytes/gram, nearly two orders of magnitude greater than prior work has shown. We successfully retrieve the same data in a complex pool of over 10 10 unique sequences per microliter with no evidence that we have begun to approach complexity limits. Finally, we also investigate the effects of file size and sequencing coverage on successful file retrieval and look for systematic DNA strand drop out. These findings substantiate the robustness and high data density of the process examined here.","author":[{"dropping-particle":"","family":"Organick","given":"Lee","non-dropping-particle":"","parse-names":false,"suffix":""},{"dropping-particle":"","family":"Chen","given":"Yuan-Jyue","non-dropping-particle":"","parse-names":false,"suffix":""},{"dropping-particle":"","family":"Dumas Ang","given":"Siena","non-dropping-particle":"","parse-names":false,"suffix":""},{"dropping-particle":"","family":"Lopez","given":"Randolph","non-dropping-particle":"","parse-names":false,"suffix":""},{"dropping-particle":"","family":"Liu","given":"Xiaomeng","non-dropping-particle":"","parse-names":false,"suffix":""},{"dropping-particle":"","family":"Strauss","given":"Karin","non-dropping-particle":"","parse-names":false,"suffix":""},{"dropping-particle":"","family":"Ceze","given":"Luis","non-dropping-particle":"","parse-names":false,"suffix":""}],"container-title":"Nature Communications","id":"ITEM-2","issue":"1","issued":{"date-parts":[["2020","12","30"]]},"page":"616","title":"Probing the physical limits of reliable DNA data retrieval","type":"article-journal","volume":"11"},"uris":["http://www.mendeley.com/documents/?uuid=0c5ebe2f-c541-40b1-9504-6284967e3675"]}],"mendeley":{"formattedCitation":"(Organick et al., 2020; Tabatabaei Yazdi et al., 2015)","plainTextFormattedCitation":"(Organick et al., 2020; Tabatabaei Yazdi et al., 2015)","previouslyFormattedCitation":"(Organick et al., 2020; Tabatabaei Yazdi et al., 2015)"},"properties":{"noteIndex":0},"schema":"https://github.com/citation-style-language/schema/raw/master/csl-citation.json"}</w:instrText>
      </w:r>
      <w:r w:rsidR="00C22717">
        <w:rPr>
          <w:rFonts w:ascii="Times New Roman" w:eastAsia="Times New Roman" w:hAnsi="Times New Roman" w:cstheme="minorBidi"/>
          <w:lang w:eastAsia="ar-SA"/>
        </w:rPr>
        <w:fldChar w:fldCharType="separate"/>
      </w:r>
      <w:r w:rsidR="00C22717" w:rsidRPr="00C22717">
        <w:rPr>
          <w:rFonts w:ascii="Times New Roman" w:eastAsia="Times New Roman" w:hAnsi="Times New Roman" w:cstheme="minorBidi"/>
          <w:noProof/>
          <w:lang w:eastAsia="ar-SA"/>
        </w:rPr>
        <w:t>(Organick et al., 2020; Tabatabaei Yazdi et al., 2015)</w:t>
      </w:r>
      <w:r w:rsidR="00C22717">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Previously, a 5.27-megabit book</w:t>
      </w:r>
      <w:r w:rsidRPr="00054C86">
        <w:rPr>
          <w:rFonts w:ascii="Times New Roman" w:eastAsia="Times New Roman" w:hAnsi="Times New Roman" w:cstheme="minorBidi"/>
          <w:vertAlign w:val="superscript"/>
          <w:lang w:eastAsia="ar-SA"/>
        </w:rPr>
        <w:footnoteReference w:id="23"/>
      </w:r>
      <w:r w:rsidRPr="00054C86">
        <w:rPr>
          <w:rFonts w:ascii="Times New Roman" w:eastAsia="Times New Roman" w:hAnsi="Times New Roman" w:cstheme="minorBidi"/>
          <w:lang w:eastAsia="ar-SA"/>
        </w:rPr>
        <w:t xml:space="preserve"> </w:t>
      </w:r>
      <w:r w:rsidR="00987C92">
        <w:rPr>
          <w:rFonts w:ascii="Times New Roman" w:eastAsia="Times New Roman" w:hAnsi="Times New Roman" w:cstheme="minorBidi"/>
          <w:lang w:eastAsia="ar-SA"/>
        </w:rPr>
        <w:fldChar w:fldCharType="begin" w:fldLock="1"/>
      </w:r>
      <w:r w:rsidR="00F83DB8">
        <w:rPr>
          <w:rFonts w:ascii="Times New Roman" w:eastAsia="Times New Roman" w:hAnsi="Times New Roman" w:cstheme="minorBidi"/>
          <w:lang w:eastAsia="ar-SA"/>
        </w:rPr>
        <w:instrText>ADDIN CSL_CITATION {"citationItems":[{"id":"ITEM-1","itemData":{"DOI":"10.1126/science.1226355","ISSN":"0036-8075","author":[{"dropping-particle":"","family":"Church","given":"G. M.","non-dropping-particle":"","parse-names":false,"suffix":""},{"dropping-particle":"","family":"Gao","given":"Y.","non-dropping-particle":"","parse-names":false,"suffix":""},{"dropping-particle":"","family":"Kosuri","given":"S.","non-dropping-particle":"","parse-names":false,"suffix":""}],"container-title":"Science","id":"ITEM-1","issue":"6102","issued":{"date-parts":[["2012","9","28"]]},"page":"1628-1628","title":"Next-Generation Digital Information Storage in DNA","type":"article-journal","volume":"337"},"uris":["http://www.mendeley.com/documents/?uuid=2adaea45-49b7-490f-8212-b825b08ca6f9"]}],"mendeley":{"formattedCitation":"(Church et al., 2012)","plainTextFormattedCitation":"(Church et al., 2012)","previouslyFormattedCitation":"(Church et al., 2012)"},"properties":{"noteIndex":0},"schema":"https://github.com/citation-style-language/schema/raw/master/csl-citation.json"}</w:instrText>
      </w:r>
      <w:r w:rsidR="00987C92">
        <w:rPr>
          <w:rFonts w:ascii="Times New Roman" w:eastAsia="Times New Roman" w:hAnsi="Times New Roman" w:cstheme="minorBidi"/>
          <w:lang w:eastAsia="ar-SA"/>
        </w:rPr>
        <w:fldChar w:fldCharType="separate"/>
      </w:r>
      <w:r w:rsidR="00987C92" w:rsidRPr="00987C92">
        <w:rPr>
          <w:rFonts w:ascii="Times New Roman" w:eastAsia="Times New Roman" w:hAnsi="Times New Roman" w:cstheme="minorBidi"/>
          <w:noProof/>
          <w:lang w:eastAsia="ar-SA"/>
        </w:rPr>
        <w:t>(Church et al., 2012)</w:t>
      </w:r>
      <w:r w:rsidR="00987C92">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739 kilobytes of computer files</w:t>
      </w:r>
      <w:r w:rsidRPr="00054C86">
        <w:rPr>
          <w:rFonts w:ascii="Times New Roman" w:eastAsia="Times New Roman" w:hAnsi="Times New Roman" w:cstheme="minorBidi"/>
          <w:vertAlign w:val="superscript"/>
          <w:lang w:eastAsia="ar-SA"/>
        </w:rPr>
        <w:footnoteReference w:id="24"/>
      </w:r>
      <w:r w:rsidRPr="00054C86">
        <w:rPr>
          <w:rFonts w:ascii="Times New Roman" w:eastAsia="Times New Roman" w:hAnsi="Times New Roman" w:cstheme="minorBidi"/>
          <w:lang w:eastAsia="ar-SA"/>
        </w:rPr>
        <w:t xml:space="preserve"> </w:t>
      </w:r>
      <w:r w:rsidR="00F83DB8">
        <w:rPr>
          <w:rFonts w:ascii="Times New Roman" w:eastAsia="Times New Roman" w:hAnsi="Times New Roman" w:cstheme="minorBidi"/>
          <w:lang w:eastAsia="ar-SA"/>
        </w:rPr>
        <w:fldChar w:fldCharType="begin" w:fldLock="1"/>
      </w:r>
      <w:r w:rsidR="00F83DB8">
        <w:rPr>
          <w:rFonts w:ascii="Times New Roman" w:eastAsia="Times New Roman" w:hAnsi="Times New Roman" w:cstheme="minorBidi"/>
          <w:lang w:eastAsia="ar-SA"/>
        </w:rPr>
        <w:instrText>ADDIN CSL_CITATION {"citationItems":[{"id":"ITEM-1","itemData":{"DOI":"10.1038/nature11875","ISSN":"0028-0836","author":[{"dropping-particle":"","family":"Goldman","given":"Nick","non-dropping-particle":"","parse-names":false,"suffix":""},{"dropping-particle":"","family":"Bertone","given":"Paul","non-dropping-particle":"","parse-names":false,"suffix":""},{"dropping-particle":"","family":"Chen","given":"Siyuan","non-dropping-particle":"","parse-names":false,"suffix":""},{"dropping-particle":"","family":"Dessimoz","given":"Christophe","non-dropping-particle":"","parse-names":false,"suffix":""},{"dropping-particle":"","family":"LeProust","given":"Emily M.","non-dropping-particle":"","parse-names":false,"suffix":""},{"dropping-particle":"","family":"Sipos","given":"Botond","non-dropping-particle":"","parse-names":false,"suffix":""},{"dropping-particle":"","family":"Birney","given":"Ewan","non-dropping-particle":"","parse-names":false,"suffix":""}],"container-title":"Nature","id":"ITEM-1","issue":"7435","issued":{"date-parts":[["2013","2","7"]]},"page":"77-80","title":"Towards practical, high-capacity, low-maintenance information storage in synthesized DNA","type":"article-journal","volume":"494"},"uris":["http://www.mendeley.com/documents/?uuid=f8e22c27-1de1-40b0-9ac1-efab591d4a9d"]}],"mendeley":{"formattedCitation":"(Goldman et al., 2013)","plainTextFormattedCitation":"(Goldman et al., 2013)","previouslyFormattedCitation":"(Goldman et al., 2013)"},"properties":{"noteIndex":0},"schema":"https://github.com/citation-style-language/schema/raw/master/csl-citation.json"}</w:instrText>
      </w:r>
      <w:r w:rsidR="00F83DB8">
        <w:rPr>
          <w:rFonts w:ascii="Times New Roman" w:eastAsia="Times New Roman" w:hAnsi="Times New Roman" w:cstheme="minorBidi"/>
          <w:lang w:eastAsia="ar-SA"/>
        </w:rPr>
        <w:fldChar w:fldCharType="separate"/>
      </w:r>
      <w:r w:rsidR="00F83DB8" w:rsidRPr="00F83DB8">
        <w:rPr>
          <w:rFonts w:ascii="Times New Roman" w:eastAsia="Times New Roman" w:hAnsi="Times New Roman" w:cstheme="minorBidi"/>
          <w:noProof/>
          <w:lang w:eastAsia="ar-SA"/>
        </w:rPr>
        <w:t>(Goldman et al., 2013)</w:t>
      </w:r>
      <w:r w:rsidR="00F83DB8">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and 35 files</w:t>
      </w:r>
      <w:r w:rsidRPr="00054C86">
        <w:rPr>
          <w:rFonts w:ascii="Times New Roman" w:eastAsia="Times New Roman" w:hAnsi="Times New Roman" w:cstheme="minorBidi"/>
          <w:vertAlign w:val="superscript"/>
          <w:lang w:eastAsia="ar-SA"/>
        </w:rPr>
        <w:footnoteReference w:id="25"/>
      </w:r>
      <w:r w:rsidRPr="00054C86">
        <w:rPr>
          <w:rFonts w:ascii="Times New Roman" w:eastAsia="Times New Roman" w:hAnsi="Times New Roman" w:cstheme="minorBidi"/>
          <w:lang w:eastAsia="ar-SA"/>
        </w:rPr>
        <w:t xml:space="preserve"> totalling 200 megabytes have been encoded within DNA libraries </w:t>
      </w:r>
      <w:r w:rsidR="00F83DB8">
        <w:rPr>
          <w:rFonts w:ascii="Times New Roman" w:eastAsia="Times New Roman" w:hAnsi="Times New Roman" w:cstheme="minorBidi"/>
          <w:lang w:eastAsia="ar-SA"/>
        </w:rPr>
        <w:fldChar w:fldCharType="begin" w:fldLock="1"/>
      </w:r>
      <w:r w:rsidR="00570573">
        <w:rPr>
          <w:rFonts w:ascii="Times New Roman" w:eastAsia="Times New Roman" w:hAnsi="Times New Roman" w:cstheme="minorBidi"/>
          <w:lang w:eastAsia="ar-SA"/>
        </w:rPr>
        <w:instrText>ADDIN CSL_CITATION {"citationItems":[{"id":"ITEM-1","itemData":{"DOI":"10.1038/nbt.4079","ISSN":"1087-0156","author":[{"dropping-particle":"","family":"Organick","given":"Lee","non-dropping-particle":"","parse-names":false,"suffix":""},{"dropping-particle":"","family":"Ang","given":"Siena Dumas","non-dropping-particle":"","parse-names":false,"suffix":""},{"dropping-particle":"","family":"Chen","given":"Yuan-Jyue","non-dropping-particle":"","parse-names":false,"suffix":""},{"dropping-particle":"","family":"Lopez","given":"Randolph","non-dropping-particle":"","parse-names":false,"suffix":""},{"dropping-particle":"","family":"Yekhanin","given":"Sergey","non-dropping-particle":"","parse-names":false,"suffix":""},{"dropping-particle":"","family":"Makarychev","given":"Konstantin","non-dropping-particle":"","parse-names":false,"suffix":""},{"dropping-particle":"","family":"Racz","given":"Miklos Z","non-dropping-particle":"","parse-names":false,"suffix":""},{"dropping-particle":"","family":"Kamath","given":"Govinda","non-dropping-particle":"","parse-names":false,"suffix":""},{"dropping-particle":"","family":"Gopalan","given":"Parikshit","non-dropping-particle":"","parse-names":false,"suffix":""},{"dropping-particle":"","family":"Nguyen","given":"Bichlien","non-dropping-particle":"","parse-names":false,"suffix":""},{"dropping-particle":"","family":"Takahashi","given":"Christopher N","non-dropping-particle":"","parse-names":false,"suffix":""},{"dropping-particle":"","family":"Newman","given":"Sharon","non-dropping-particle":"","parse-names":false,"suffix":""},{"dropping-particle":"","family":"Parker","given":"Hsing-Yeh","non-dropping-particle":"","parse-names":false,"suffix":""},{"dropping-particle":"","family":"Rashtchian","given":"Cyrus","non-dropping-particle":"","parse-names":false,"suffix":""},{"dropping-particle":"","family":"Stewart","given":"Kendall","non-dropping-particle":"","parse-names":false,"suffix":""},{"dropping-particle":"","family":"Gupta","given":"Gagan","non-dropping-particle":"","parse-names":false,"suffix":""},{"dropping-particle":"","family":"Carlson","given":"Robert","non-dropping-particle":"","parse-names":false,"suffix":""},{"dropping-particle":"","family":"Mulligan","given":"John","non-dropping-particle":"","parse-names":false,"suffix":""},{"dropping-particle":"","family":"Carmean","given":"Douglas","non-dropping-particle":"","parse-names":false,"suffix":""},{"dropping-particle":"","family":"Seelig","given":"Georg","non-dropping-particle":"","parse-names":false,"suffix":""},{"dropping-particle":"","family":"Ceze","given":"Luis","non-dropping-particle":"","parse-names":false,"suffix":""},{"dropping-particle":"","family":"Strauss","given":"Karin","non-dropping-particle":"","parse-names":false,"suffix":""}],"container-title":"Nature Biotechnology","id":"ITEM-1","issue":"3","issued":{"date-parts":[["2018","3","19"]]},"page":"242-248","title":"Random access in large-scale DNA data storage","type":"article-journal","volume":"36"},"uris":["http://www.mendeley.com/documents/?uuid=a710deb7-ec50-4c5d-89ff-920f43205003"]}],"mendeley":{"formattedCitation":"(Organick et al., 2018)","plainTextFormattedCitation":"(Organick et al., 2018)","previouslyFormattedCitation":"(Organick et al., 2018)"},"properties":{"noteIndex":0},"schema":"https://github.com/citation-style-language/schema/raw/master/csl-citation.json"}</w:instrText>
      </w:r>
      <w:r w:rsidR="00F83DB8">
        <w:rPr>
          <w:rFonts w:ascii="Times New Roman" w:eastAsia="Times New Roman" w:hAnsi="Times New Roman" w:cstheme="minorBidi"/>
          <w:lang w:eastAsia="ar-SA"/>
        </w:rPr>
        <w:fldChar w:fldCharType="separate"/>
      </w:r>
      <w:r w:rsidR="00F83DB8" w:rsidRPr="00F83DB8">
        <w:rPr>
          <w:rFonts w:ascii="Times New Roman" w:eastAsia="Times New Roman" w:hAnsi="Times New Roman" w:cstheme="minorBidi"/>
          <w:noProof/>
          <w:lang w:eastAsia="ar-SA"/>
        </w:rPr>
        <w:t>(Organick et al., 2018)</w:t>
      </w:r>
      <w:r w:rsidR="00F83DB8">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With the use of inorganic matrices, accelerated aging experiments have indicated that digital information encoded in DNA could potentially endure over a millennium </w:t>
      </w:r>
      <w:r w:rsidR="00570573">
        <w:rPr>
          <w:rFonts w:ascii="Times New Roman" w:eastAsia="Times New Roman" w:hAnsi="Times New Roman" w:cstheme="minorBidi"/>
          <w:lang w:eastAsia="ar-SA"/>
        </w:rPr>
        <w:fldChar w:fldCharType="begin" w:fldLock="1"/>
      </w:r>
      <w:r w:rsidR="00547039">
        <w:rPr>
          <w:rFonts w:ascii="Times New Roman" w:eastAsia="Times New Roman" w:hAnsi="Times New Roman" w:cstheme="minorBidi"/>
          <w:lang w:eastAsia="ar-SA"/>
        </w:rPr>
        <w:instrText>ADDIN CSL_CITATION {"citationItems":[{"id":"ITEM-1","itemData":{"DOI":"10.1002/anie.201411378","ISSN":"14337851","author":[{"dropping-particle":"","family":"Grass","given":"Robert N.","non-dropping-particle":"","parse-names":false,"suffix":""},{"dropping-particle":"","family":"Heckel","given":"Reinhard","non-dropping-particle":"","parse-names":false,"suffix":""},{"dropping-particle":"","family":"Puddu","given":"Michela","non-dropping-particle":"","parse-names":false,"suffix":""},{"dropping-particle":"","family":"Paunescu","given":"Daniela","non-dropping-particle":"","parse-names":false,"suffix":""},{"dropping-particle":"","family":"Stark","given":"Wendelin J.","non-dropping-particle":"","parse-names":false,"suffix":""}],"container-title":"Angewandte Chemie International Edition","id":"ITEM-1","issue":"8","issued":{"date-parts":[["2015","2","16"]]},"page":"2552-2555","title":"Robust Chemical Preservation of Digital Information on DNA in Silica with Error-Correcting Codes","type":"article-journal","volume":"54"},"uris":["http://www.mendeley.com/documents/?uuid=442294c9-3b9e-4373-ad9f-628c7a9d398f"]}],"mendeley":{"formattedCitation":"(Grass et al., 2015)","plainTextFormattedCitation":"(Grass et al., 2015)","previouslyFormattedCitation":"(Grass et al., 2015)"},"properties":{"noteIndex":0},"schema":"https://github.com/citation-style-language/schema/raw/master/csl-citation.json"}</w:instrText>
      </w:r>
      <w:r w:rsidR="00570573">
        <w:rPr>
          <w:rFonts w:ascii="Times New Roman" w:eastAsia="Times New Roman" w:hAnsi="Times New Roman" w:cstheme="minorBidi"/>
          <w:lang w:eastAsia="ar-SA"/>
        </w:rPr>
        <w:fldChar w:fldCharType="separate"/>
      </w:r>
      <w:r w:rsidR="00570573" w:rsidRPr="00570573">
        <w:rPr>
          <w:rFonts w:ascii="Times New Roman" w:eastAsia="Times New Roman" w:hAnsi="Times New Roman" w:cstheme="minorBidi"/>
          <w:noProof/>
          <w:lang w:eastAsia="ar-SA"/>
        </w:rPr>
        <w:t>(Grass et al., 2015)</w:t>
      </w:r>
      <w:r w:rsidR="00570573">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Further, the use of DNA-embedded </w:t>
      </w:r>
      <w:r w:rsidRPr="00054C86">
        <w:rPr>
          <w:rFonts w:ascii="Times New Roman" w:eastAsia="Times New Roman" w:hAnsi="Times New Roman" w:cstheme="minorBidi"/>
          <w:i/>
          <w:lang w:eastAsia="ar-SA"/>
        </w:rPr>
        <w:t>in silica</w:t>
      </w:r>
      <w:r w:rsidRPr="00054C86">
        <w:rPr>
          <w:rFonts w:ascii="Times New Roman" w:eastAsia="Times New Roman" w:hAnsi="Times New Roman" w:cstheme="minorBidi"/>
          <w:lang w:eastAsia="ar-SA"/>
        </w:rPr>
        <w:t xml:space="preserve"> nanobeads facilitated the 3-D printing of a rabbit figure containing its own manufacturing instructions (45 kilobyte digital blueprint) as well as plexiglass spectacles encoding a 1.4-megabyte video in the lenses </w:t>
      </w:r>
      <w:r w:rsidR="00547039">
        <w:rPr>
          <w:rFonts w:ascii="Times New Roman" w:eastAsia="Times New Roman" w:hAnsi="Times New Roman" w:cstheme="minorBidi"/>
          <w:lang w:eastAsia="ar-SA"/>
        </w:rPr>
        <w:fldChar w:fldCharType="begin" w:fldLock="1"/>
      </w:r>
      <w:r w:rsidR="00547039">
        <w:rPr>
          <w:rFonts w:ascii="Times New Roman" w:eastAsia="Times New Roman" w:hAnsi="Times New Roman" w:cstheme="minorBidi"/>
          <w:lang w:eastAsia="ar-SA"/>
        </w:rPr>
        <w:instrText>ADDIN CSL_CITATION {"citationItems":[{"id":"ITEM-1","itemData":{"DOI":"10.1038/s41587-019-0356-z","ISSN":"1087-0156","author":[{"dropping-particle":"","family":"Koch","given":"Julian","non-dropping-particle":"","parse-names":false,"suffix":""},{"dropping-particle":"","family":"Gantenbein","given":"Silvan","non-dropping-particle":"","parse-names":false,"suffix":""},{"dropping-particle":"","family":"Masania","given":"Kunal","non-dropping-particle":"","parse-names":false,"suffix":""},{"dropping-particle":"","family":"Stark","given":"Wendelin J.","non-dropping-particle":"","parse-names":false,"suffix":""},{"dropping-particle":"","family":"Erlich","given":"Yaniv","non-dropping-particle":"","parse-names":false,"suffix":""},{"dropping-particle":"","family":"Grass","given":"Robert N.","non-dropping-particle":"","parse-names":false,"suffix":""}],"container-title":"Nature Biotechnology","id":"ITEM-1","issue":"1","issued":{"date-parts":[["2020","1","9"]]},"page":"39-43","title":"A DNA-of-things storage architecture to create materials with embedded memory","type":"article-journal","volume":"38"},"uris":["http://www.mendeley.com/documents/?uuid=debd84ef-0f9c-4274-a595-d638a1e709d1"]}],"mendeley":{"formattedCitation":"(J. Koch et al., 2020)","plainTextFormattedCitation":"(J. Koch et al., 2020)","previouslyFormattedCitation":"(J. Koch et al., 2020)"},"properties":{"noteIndex":0},"schema":"https://github.com/citation-style-language/schema/raw/master/csl-citation.json"}</w:instrText>
      </w:r>
      <w:r w:rsidR="00547039">
        <w:rPr>
          <w:rFonts w:ascii="Times New Roman" w:eastAsia="Times New Roman" w:hAnsi="Times New Roman" w:cstheme="minorBidi"/>
          <w:lang w:eastAsia="ar-SA"/>
        </w:rPr>
        <w:fldChar w:fldCharType="separate"/>
      </w:r>
      <w:r w:rsidR="00547039" w:rsidRPr="00547039">
        <w:rPr>
          <w:rFonts w:ascii="Times New Roman" w:eastAsia="Times New Roman" w:hAnsi="Times New Roman" w:cstheme="minorBidi"/>
          <w:noProof/>
          <w:lang w:eastAsia="ar-SA"/>
        </w:rPr>
        <w:t>(J. Koch et al., 2020)</w:t>
      </w:r>
      <w:r w:rsidR="00547039">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 xml:space="preserve">. Direct digital-to-biological data storage has also been demonstrated using a CRISPR-based DNA recorder system in </w:t>
      </w:r>
      <w:r w:rsidRPr="00054C86">
        <w:rPr>
          <w:rFonts w:ascii="Times New Roman" w:eastAsia="Times New Roman" w:hAnsi="Times New Roman" w:cstheme="minorBidi"/>
          <w:i/>
          <w:iCs/>
          <w:lang w:eastAsia="ar-SA"/>
        </w:rPr>
        <w:t xml:space="preserve">E. coli </w:t>
      </w:r>
      <w:r w:rsidRPr="00054C86">
        <w:rPr>
          <w:rFonts w:ascii="Times New Roman" w:eastAsia="Times New Roman" w:hAnsi="Times New Roman" w:cstheme="minorBidi"/>
          <w:lang w:eastAsia="ar-SA"/>
        </w:rPr>
        <w:t xml:space="preserve">without the need to synthesise DNA </w:t>
      </w:r>
      <w:r w:rsidRPr="00054C86">
        <w:rPr>
          <w:rFonts w:ascii="Times New Roman" w:eastAsia="Times New Roman" w:hAnsi="Times New Roman" w:cstheme="minorBidi"/>
          <w:i/>
          <w:iCs/>
          <w:lang w:eastAsia="ar-SA"/>
        </w:rPr>
        <w:t>in vitro</w:t>
      </w:r>
      <w:r w:rsidRPr="00054C86">
        <w:rPr>
          <w:rFonts w:ascii="Times New Roman" w:eastAsia="Times New Roman" w:hAnsi="Times New Roman" w:cstheme="minorBidi"/>
          <w:lang w:eastAsia="ar-SA"/>
        </w:rPr>
        <w:t xml:space="preserve"> </w:t>
      </w:r>
      <w:r w:rsidR="00547039">
        <w:rPr>
          <w:rFonts w:ascii="Times New Roman" w:eastAsia="Times New Roman" w:hAnsi="Times New Roman" w:cstheme="minorBidi"/>
          <w:lang w:eastAsia="ar-SA"/>
        </w:rPr>
        <w:fldChar w:fldCharType="begin" w:fldLock="1"/>
      </w:r>
      <w:r w:rsidR="00D21007">
        <w:rPr>
          <w:rFonts w:ascii="Times New Roman" w:eastAsia="Times New Roman" w:hAnsi="Times New Roman" w:cstheme="minorBidi"/>
          <w:lang w:eastAsia="ar-SA"/>
        </w:rPr>
        <w:instrText>ADDIN CSL_CITATION {"citationItems":[{"id":"ITEM-1","itemData":{"DOI":"10.1038/s41589-020-00711-4","ISSN":"1552-4450","author":[{"dropping-particle":"","family":"Yim","given":"Sung Sun","non-dropping-particle":"","parse-names":false,"suffix":""},{"dropping-particle":"","family":"McBee","given":"Ross M.","non-dropping-particle":"","parse-names":false,"suffix":""},{"dropping-particle":"","family":"Song","given":"Alan M.","non-dropping-particle":"","parse-names":false,"suffix":""},{"dropping-particle":"","family":"Huang","given":"Yiming","non-dropping-particle":"","parse-names":false,"suffix":""},{"dropping-particle":"","family":"Sheth","given":"Ravi U.","non-dropping-particle":"","parse-names":false,"suffix":""},{"dropping-particle":"","family":"Wang","given":"Harris H.","non-dropping-particle":"","parse-names":false,"suffix":""}],"container-title":"Nature Chemical Biology","id":"ITEM-1","issue":"3","issued":{"date-parts":[["2021","3","11"]]},"page":"246-253","title":"Robust direct digital-to-biological data storage in living cells","type":"article-journal","volume":"17"},"uris":["http://www.mendeley.com/documents/?uuid=e9d9a1b4-afec-4048-8057-bcff191bddb0"]}],"mendeley":{"formattedCitation":"(Yim et al., 2021)","plainTextFormattedCitation":"(Yim et al., 2021)","previouslyFormattedCitation":"(Yim et al., 2021)"},"properties":{"noteIndex":0},"schema":"https://github.com/citation-style-language/schema/raw/master/csl-citation.json"}</w:instrText>
      </w:r>
      <w:r w:rsidR="00547039">
        <w:rPr>
          <w:rFonts w:ascii="Times New Roman" w:eastAsia="Times New Roman" w:hAnsi="Times New Roman" w:cstheme="minorBidi"/>
          <w:lang w:eastAsia="ar-SA"/>
        </w:rPr>
        <w:fldChar w:fldCharType="separate"/>
      </w:r>
      <w:r w:rsidR="00547039" w:rsidRPr="00547039">
        <w:rPr>
          <w:rFonts w:ascii="Times New Roman" w:eastAsia="Times New Roman" w:hAnsi="Times New Roman" w:cstheme="minorBidi"/>
          <w:noProof/>
          <w:lang w:eastAsia="ar-SA"/>
        </w:rPr>
        <w:t>(Yim et al., 2021)</w:t>
      </w:r>
      <w:r w:rsidR="00547039">
        <w:rPr>
          <w:rFonts w:ascii="Times New Roman" w:eastAsia="Times New Roman" w:hAnsi="Times New Roman" w:cstheme="minorBidi"/>
          <w:lang w:eastAsia="ar-SA"/>
        </w:rPr>
        <w:fldChar w:fldCharType="end"/>
      </w:r>
      <w:r w:rsidRPr="00054C86">
        <w:rPr>
          <w:rFonts w:ascii="Times New Roman" w:eastAsia="Times New Roman" w:hAnsi="Times New Roman" w:cstheme="minorBidi"/>
          <w:lang w:eastAsia="ar-SA"/>
        </w:rPr>
        <w:t>.</w:t>
      </w:r>
    </w:p>
    <w:p w14:paraId="1F2EED27" w14:textId="26CD9998" w:rsidR="006118D0" w:rsidRPr="00BE739B" w:rsidRDefault="00DD5B93" w:rsidP="00DD5B93">
      <w:pPr>
        <w:pStyle w:val="Heading5"/>
        <w:tabs>
          <w:tab w:val="clear" w:pos="1800"/>
        </w:tabs>
        <w:ind w:left="284" w:hanging="284"/>
      </w:pPr>
      <w:r>
        <w:rPr>
          <w:i w:val="0"/>
          <w:iCs/>
        </w:rPr>
        <w:t xml:space="preserve">(f) </w:t>
      </w:r>
      <w:r w:rsidR="006118D0" w:rsidRPr="00BE739B">
        <w:t>Synthetic biosensing circuits</w:t>
      </w:r>
      <w:r w:rsidR="003A6FC4">
        <w:t xml:space="preserve"> and biosensors</w:t>
      </w:r>
      <w:r w:rsidR="00E07BD7">
        <w:t>.</w:t>
      </w:r>
    </w:p>
    <w:p w14:paraId="79AB2FDE" w14:textId="7BFE0286" w:rsidR="00677A29" w:rsidRDefault="0043413C" w:rsidP="00B62C00">
      <w:pPr>
        <w:spacing w:before="120" w:after="120" w:line="240" w:lineRule="auto"/>
        <w:jc w:val="both"/>
        <w:rPr>
          <w:rFonts w:ascii="Times New Roman" w:eastAsia="Times New Roman" w:hAnsi="Times New Roman" w:cstheme="minorBidi"/>
          <w:lang w:eastAsia="ar-SA"/>
        </w:rPr>
      </w:pPr>
      <w:r w:rsidRPr="0043413C">
        <w:rPr>
          <w:rFonts w:ascii="Times New Roman" w:eastAsia="Times New Roman" w:hAnsi="Times New Roman" w:cstheme="minorBidi"/>
          <w:lang w:eastAsia="ar-SA"/>
        </w:rPr>
        <w:t xml:space="preserve">There is a growing need to enhance capabilities in medical and environmental diagnostics. </w:t>
      </w:r>
      <w:r w:rsidR="00F95C81">
        <w:rPr>
          <w:rFonts w:ascii="Times New Roman" w:eastAsia="Times New Roman" w:hAnsi="Times New Roman" w:cstheme="minorBidi"/>
          <w:lang w:eastAsia="ar-SA"/>
        </w:rPr>
        <w:t>T</w:t>
      </w:r>
      <w:r w:rsidRPr="0043413C">
        <w:rPr>
          <w:rFonts w:ascii="Times New Roman" w:eastAsia="Times New Roman" w:hAnsi="Times New Roman" w:cstheme="minorBidi"/>
          <w:lang w:eastAsia="ar-SA"/>
        </w:rPr>
        <w:t xml:space="preserve">he development of new classes of </w:t>
      </w:r>
      <w:r w:rsidR="009D5C18" w:rsidRPr="009D5C18">
        <w:rPr>
          <w:rFonts w:ascii="Times New Roman" w:eastAsia="Times New Roman" w:hAnsi="Times New Roman" w:cstheme="minorBidi"/>
          <w:lang w:eastAsia="ar-SA"/>
        </w:rPr>
        <w:t>cheap, portable</w:t>
      </w:r>
      <w:r w:rsidR="00C20662">
        <w:rPr>
          <w:rFonts w:ascii="Times New Roman" w:eastAsia="Times New Roman" w:hAnsi="Times New Roman" w:cstheme="minorBidi"/>
          <w:lang w:eastAsia="ar-SA"/>
        </w:rPr>
        <w:t>,</w:t>
      </w:r>
      <w:r w:rsidR="009D5C18" w:rsidRPr="009D5C18">
        <w:rPr>
          <w:rFonts w:ascii="Times New Roman" w:eastAsia="Times New Roman" w:hAnsi="Times New Roman" w:cstheme="minorBidi"/>
          <w:lang w:eastAsia="ar-SA"/>
        </w:rPr>
        <w:t xml:space="preserve"> and simple </w:t>
      </w:r>
      <w:r w:rsidR="00C35E3F">
        <w:rPr>
          <w:rFonts w:ascii="Times New Roman" w:eastAsia="Times New Roman" w:hAnsi="Times New Roman" w:cstheme="minorBidi"/>
          <w:lang w:eastAsia="ar-SA"/>
        </w:rPr>
        <w:t xml:space="preserve">synthetic </w:t>
      </w:r>
      <w:r w:rsidR="00C20662">
        <w:rPr>
          <w:rFonts w:ascii="Times New Roman" w:eastAsia="Times New Roman" w:hAnsi="Times New Roman" w:cstheme="minorBidi"/>
          <w:lang w:eastAsia="ar-SA"/>
        </w:rPr>
        <w:t>biology-based</w:t>
      </w:r>
      <w:r w:rsidR="00C35E3F">
        <w:rPr>
          <w:rFonts w:ascii="Times New Roman" w:eastAsia="Times New Roman" w:hAnsi="Times New Roman" w:cstheme="minorBidi"/>
          <w:lang w:eastAsia="ar-SA"/>
        </w:rPr>
        <w:t xml:space="preserve"> </w:t>
      </w:r>
      <w:r w:rsidR="009D5C18" w:rsidRPr="009D5C18">
        <w:rPr>
          <w:rFonts w:ascii="Times New Roman" w:eastAsia="Times New Roman" w:hAnsi="Times New Roman" w:cstheme="minorBidi"/>
          <w:lang w:eastAsia="ar-SA"/>
        </w:rPr>
        <w:t>methods</w:t>
      </w:r>
      <w:r w:rsidR="00E232B5" w:rsidRPr="00E232B5">
        <w:t xml:space="preserve"> </w:t>
      </w:r>
      <w:r w:rsidR="00BE739B">
        <w:rPr>
          <w:rFonts w:ascii="Times New Roman" w:eastAsia="Times New Roman" w:hAnsi="Times New Roman" w:cstheme="minorBidi"/>
          <w:lang w:eastAsia="ar-SA"/>
        </w:rPr>
        <w:t>for</w:t>
      </w:r>
      <w:r w:rsidR="00E232B5" w:rsidRPr="00E232B5">
        <w:rPr>
          <w:rFonts w:ascii="Times New Roman" w:eastAsia="Times New Roman" w:hAnsi="Times New Roman" w:cstheme="minorBidi"/>
          <w:lang w:eastAsia="ar-SA"/>
        </w:rPr>
        <w:t xml:space="preserve"> detecting molecules of interest have yet to be truly adopted commercially</w:t>
      </w:r>
      <w:r w:rsidRPr="0043413C">
        <w:rPr>
          <w:rFonts w:ascii="Times New Roman" w:eastAsia="Times New Roman" w:hAnsi="Times New Roman" w:cstheme="minorBidi"/>
          <w:lang w:eastAsia="ar-SA"/>
        </w:rPr>
        <w:t xml:space="preserve">. </w:t>
      </w:r>
      <w:r w:rsidR="00623BD7">
        <w:rPr>
          <w:rFonts w:ascii="Times New Roman" w:eastAsia="Times New Roman" w:hAnsi="Times New Roman" w:cstheme="minorBidi"/>
          <w:lang w:eastAsia="ar-SA"/>
        </w:rPr>
        <w:t>The range of application</w:t>
      </w:r>
      <w:r w:rsidR="00E6508B">
        <w:rPr>
          <w:rFonts w:ascii="Times New Roman" w:eastAsia="Times New Roman" w:hAnsi="Times New Roman" w:cstheme="minorBidi"/>
          <w:lang w:eastAsia="ar-SA"/>
        </w:rPr>
        <w:t xml:space="preserve">s being developed is broad, from environmental monitoring, </w:t>
      </w:r>
      <w:r w:rsidR="00C2450A">
        <w:rPr>
          <w:rFonts w:ascii="Times New Roman" w:eastAsia="Times New Roman" w:hAnsi="Times New Roman" w:cstheme="minorBidi"/>
          <w:lang w:eastAsia="ar-SA"/>
        </w:rPr>
        <w:t>toxicity assay, diagnostic</w:t>
      </w:r>
      <w:r w:rsidR="001728BF">
        <w:rPr>
          <w:rFonts w:ascii="Times New Roman" w:eastAsia="Times New Roman" w:hAnsi="Times New Roman" w:cstheme="minorBidi"/>
          <w:lang w:eastAsia="ar-SA"/>
        </w:rPr>
        <w:t>s, point-</w:t>
      </w:r>
      <w:r w:rsidR="003129CD">
        <w:rPr>
          <w:rFonts w:ascii="Times New Roman" w:eastAsia="Times New Roman" w:hAnsi="Times New Roman" w:cstheme="minorBidi"/>
          <w:lang w:eastAsia="ar-SA"/>
        </w:rPr>
        <w:t>o</w:t>
      </w:r>
      <w:r w:rsidR="001728BF">
        <w:rPr>
          <w:rFonts w:ascii="Times New Roman" w:eastAsia="Times New Roman" w:hAnsi="Times New Roman" w:cstheme="minorBidi"/>
          <w:lang w:eastAsia="ar-SA"/>
        </w:rPr>
        <w:t xml:space="preserve">f-care wearable monitoring, </w:t>
      </w:r>
      <w:r w:rsidR="00BA1558">
        <w:rPr>
          <w:rFonts w:ascii="Times New Roman" w:eastAsia="Times New Roman" w:hAnsi="Times New Roman" w:cstheme="minorBidi"/>
          <w:lang w:eastAsia="ar-SA"/>
        </w:rPr>
        <w:t xml:space="preserve">nutrition, </w:t>
      </w:r>
      <w:r w:rsidR="00C8523B">
        <w:rPr>
          <w:rFonts w:ascii="Times New Roman" w:eastAsia="Times New Roman" w:hAnsi="Times New Roman" w:cstheme="minorBidi"/>
          <w:lang w:eastAsia="ar-SA"/>
        </w:rPr>
        <w:t xml:space="preserve">to </w:t>
      </w:r>
      <w:r w:rsidR="00BA1558">
        <w:rPr>
          <w:rFonts w:ascii="Times New Roman" w:eastAsia="Times New Roman" w:hAnsi="Times New Roman" w:cstheme="minorBidi"/>
          <w:lang w:eastAsia="ar-SA"/>
        </w:rPr>
        <w:t>food safety</w:t>
      </w:r>
      <w:r w:rsidR="00C8523B">
        <w:rPr>
          <w:rFonts w:ascii="Times New Roman" w:eastAsia="Times New Roman" w:hAnsi="Times New Roman" w:cstheme="minorBidi"/>
          <w:lang w:eastAsia="ar-SA"/>
        </w:rPr>
        <w:t xml:space="preserve"> </w:t>
      </w:r>
      <w:r w:rsidR="00D21007">
        <w:rPr>
          <w:rFonts w:ascii="Times New Roman" w:eastAsia="Times New Roman" w:hAnsi="Times New Roman" w:cstheme="minorBidi"/>
          <w:lang w:eastAsia="ar-SA"/>
        </w:rPr>
        <w:fldChar w:fldCharType="begin" w:fldLock="1"/>
      </w:r>
      <w:r w:rsidR="003E3823">
        <w:rPr>
          <w:rFonts w:ascii="Times New Roman" w:eastAsia="Times New Roman" w:hAnsi="Times New Roman" w:cstheme="minorBidi"/>
          <w:lang w:eastAsia="ar-SA"/>
        </w:rPr>
        <w:instrText>ADDIN CSL_CITATION {"citationItems":[{"id":"ITEM-1","itemData":{"DOI":"10.1002/cphc.201900739","ISSN":"1439-4235","author":[{"dropping-particle":"","family":"Hicks","given":"Maggie","non-dropping-particle":"","parse-names":false,"suffix":""},{"dropping-particle":"","family":"Bachmann","given":"Till T.","non-dropping-particle":"","parse-names":false,"suffix":""},{"dropping-particle":"","family":"Wang","given":"Baojun","non-dropping-particle":"","parse-names":false,"suffix":""}],"container-title":"ChemPhysChem","id":"ITEM-1","issue":"2","issued":{"date-parts":[["2020","1","16"]]},"page":"132-144","title":"Synthetic Biology Enables Programmable Cell‐Based Biosensors","type":"article-journal","volume":"21"},"uris":["http://www.mendeley.com/documents/?uuid=05dad216-9b8c-43e3-b9c4-5a1fce6d3013"]},{"id":"ITEM-2","itemData":{"DOI":"10.1073/pnas.1508521112","ISSN":"0027-8424","abstract":"There is a growing need to enhance our capabilities in medical and environmental diagnostics. Synthetic biologists have begun to focus their biomolecular engineering approaches toward this goal, offering promising results that could lead to the development of new classes of inexpensive, rapidly deployable diagnostics. Many conventional diagnostics rely on antibody-based platforms that, although exquisitely sensitive, are slow and costly to generate and cannot readily confront rapidly emerging pathogens or be applied to orphan diseases. Synthetic biology, with its rational and short design-to-production cycles, has the potential to overcome many of these limitations. Synthetic biology devices, such as engineered gene circuits, bring new capabilities to molecular diagnostics, expanding the molecular detection palette, creating dynamic sensors, and untethering reactions from laboratory equipment. The field is also beginning to move toward in vivo diagnostics, which could provide near real-time surveillance of multiple pathological conditions. Here, we describe current efforts in synthetic biology, focusing on the translation of promising technologies into pragmatic diagnostic tools and platforms.","author":[{"dropping-particle":"","family":"Slomovic","given":"Shimyn","non-dropping-particle":"","parse-names":false,"suffix":""},{"dropping-particle":"","family":"Pardee","given":"Keith","non-dropping-particle":"","parse-names":false,"suffix":""},{"dropping-particle":"","family":"Collins","given":"James J.","non-dropping-particle":"","parse-names":false,"suffix":""}],"container-title":"Proceedings of the National Academy of Sciences","id":"ITEM-2","issue":"47","issued":{"date-parts":[["2015","11","24"]]},"page":"14429-14435","title":"Synthetic biology devices for in vitro and in vivo diagnostics","type":"article-journal","volume":"112"},"uris":["http://www.mendeley.com/documents/?uuid=130f9108-14a8-4393-9045-d2f38d082fad"]}],"mendeley":{"formattedCitation":"(Hicks et al., 2020; Slomovic et al., 2015)","plainTextFormattedCitation":"(Hicks et al., 2020; Slomovic et al., 2015)","previouslyFormattedCitation":"(Hicks et al., 2020; Slomovic et al., 2015)"},"properties":{"noteIndex":0},"schema":"https://github.com/citation-style-language/schema/raw/master/csl-citation.json"}</w:instrText>
      </w:r>
      <w:r w:rsidR="00D21007">
        <w:rPr>
          <w:rFonts w:ascii="Times New Roman" w:eastAsia="Times New Roman" w:hAnsi="Times New Roman" w:cstheme="minorBidi"/>
          <w:lang w:eastAsia="ar-SA"/>
        </w:rPr>
        <w:fldChar w:fldCharType="separate"/>
      </w:r>
      <w:r w:rsidR="00D21007" w:rsidRPr="00D21007">
        <w:rPr>
          <w:rFonts w:ascii="Times New Roman" w:eastAsia="Times New Roman" w:hAnsi="Times New Roman" w:cstheme="minorBidi"/>
          <w:noProof/>
          <w:lang w:eastAsia="ar-SA"/>
        </w:rPr>
        <w:t>(Hicks et al., 2020; Slomovic et al., 2015)</w:t>
      </w:r>
      <w:r w:rsidR="00D21007">
        <w:rPr>
          <w:rFonts w:ascii="Times New Roman" w:eastAsia="Times New Roman" w:hAnsi="Times New Roman" w:cstheme="minorBidi"/>
          <w:lang w:eastAsia="ar-SA"/>
        </w:rPr>
        <w:fldChar w:fldCharType="end"/>
      </w:r>
      <w:r w:rsidR="00FA4DDE">
        <w:rPr>
          <w:rFonts w:ascii="Times New Roman" w:eastAsia="Times New Roman" w:hAnsi="Times New Roman" w:cstheme="minorBidi"/>
          <w:lang w:eastAsia="ar-SA"/>
        </w:rPr>
        <w:t xml:space="preserve">. </w:t>
      </w:r>
      <w:r w:rsidR="00DC3564">
        <w:rPr>
          <w:rFonts w:ascii="Times New Roman" w:eastAsia="Times New Roman" w:hAnsi="Times New Roman" w:cstheme="minorBidi"/>
          <w:lang w:eastAsia="ar-SA"/>
        </w:rPr>
        <w:t>For sensing environmental samples</w:t>
      </w:r>
      <w:r w:rsidR="00943465">
        <w:rPr>
          <w:rFonts w:ascii="Times New Roman" w:eastAsia="Times New Roman" w:hAnsi="Times New Roman" w:cstheme="minorBidi"/>
          <w:lang w:eastAsia="ar-SA"/>
        </w:rPr>
        <w:t xml:space="preserve">, </w:t>
      </w:r>
      <w:r w:rsidR="00943465" w:rsidRPr="00943465">
        <w:rPr>
          <w:rFonts w:ascii="Times New Roman" w:eastAsia="Times New Roman" w:hAnsi="Times New Roman" w:cstheme="minorBidi"/>
          <w:lang w:eastAsia="ar-SA"/>
        </w:rPr>
        <w:t>Thavarajah</w:t>
      </w:r>
      <w:r w:rsidR="00943465">
        <w:rPr>
          <w:rFonts w:ascii="Times New Roman" w:eastAsia="Times New Roman" w:hAnsi="Times New Roman" w:cstheme="minorBidi"/>
          <w:lang w:eastAsia="ar-SA"/>
        </w:rPr>
        <w:t xml:space="preserve"> et al. </w:t>
      </w:r>
      <w:r w:rsidR="003E3823">
        <w:rPr>
          <w:rFonts w:ascii="Times New Roman" w:eastAsia="Times New Roman" w:hAnsi="Times New Roman" w:cstheme="minorBidi"/>
          <w:lang w:eastAsia="ar-SA"/>
        </w:rPr>
        <w:fldChar w:fldCharType="begin" w:fldLock="1"/>
      </w:r>
      <w:r w:rsidR="00A6727F">
        <w:rPr>
          <w:rFonts w:ascii="Times New Roman" w:eastAsia="Times New Roman" w:hAnsi="Times New Roman" w:cstheme="minorBidi"/>
          <w:lang w:eastAsia="ar-SA"/>
        </w:rPr>
        <w:instrText>ADDIN CSL_CITATION {"citationItems":[{"id":"ITEM-1","itemData":{"DOI":"10.1038/s41545-020-0064-8","ISSN":"2059-7037","abstract":"Tracking progress towards Target 6.1 of the United Nations Sustainable Development Goals, “achieving universal and equitable access to safe and affordable drinking water for all”, necessitates the development of simple, inexpensive tools to monitor water quality. The rapidly growing field of synthetic biology has the potential to address this need by isolating DNA-encoded sensing elements from nature and reassembling them to create field-deployable “biosensors” that can detect pathogenic or chemical water contaminants. Here, we describe current water quality monitoring strategies enabled by synthetic biology and compare them to previous approaches used to detect three priority water contaminants (i.e., fecal pathogens, arsenic, and fluoride), as well as explain the potential for engineered biosensors to simplify and decentralize water quality monitoring. We conclude with an outlook on the future of biosensor development, in which we discuss their adaptability to emerging contaminants (e.g., metals, agricultural products, and pharmaceuticals), outline current limitations, and propose steps to overcome the field’s outstanding challenges to facilitate global water quality monitoring.","author":[{"dropping-particle":"","family":"Thavarajah","given":"Walter","non-dropping-particle":"","parse-names":false,"suffix":""},{"dropping-particle":"","family":"Verosloff","given":"Matthew S.","non-dropping-particle":"","parse-names":false,"suffix":""},{"dropping-particle":"","family":"Jung","given":"Jaeyoung K.","non-dropping-particle":"","parse-names":false,"suffix":""},{"dropping-particle":"","family":"Alam","given":"Khalid K.","non-dropping-particle":"","parse-names":false,"suffix":""},{"dropping-particle":"","family":"Miller","given":"Joshua D.","non-dropping-particle":"","parse-names":false,"suffix":""},{"dropping-particle":"","family":"Jewett","given":"Michael C.","non-dropping-particle":"","parse-names":false,"suffix":""},{"dropping-particle":"","family":"Young","given":"Sera L.","non-dropping-particle":"","parse-names":false,"suffix":""},{"dropping-particle":"","family":"Lucks","given":"Julius B.","non-dropping-particle":"","parse-names":false,"suffix":""}],"container-title":"npj Clean Water","id":"ITEM-1","issue":"1","issued":{"date-parts":[["2020","12","3"]]},"page":"18","title":"A primer on emerging field-deployable synthetic biology tools for global water quality monitoring","type":"article-journal","volume":"3"},"uris":["http://www.mendeley.com/documents/?uuid=0297b6c4-6130-4dbf-864d-6c85dfc4e250"]}],"mendeley":{"formattedCitation":"(Thavarajah et al., 2020)","manualFormatting":"(2020)","plainTextFormattedCitation":"(Thavarajah et al., 2020)","previouslyFormattedCitation":"(Thavarajah et al., 2020)"},"properties":{"noteIndex":0},"schema":"https://github.com/citation-style-language/schema/raw/master/csl-citation.json"}</w:instrText>
      </w:r>
      <w:r w:rsidR="003E3823">
        <w:rPr>
          <w:rFonts w:ascii="Times New Roman" w:eastAsia="Times New Roman" w:hAnsi="Times New Roman" w:cstheme="minorBidi"/>
          <w:lang w:eastAsia="ar-SA"/>
        </w:rPr>
        <w:fldChar w:fldCharType="separate"/>
      </w:r>
      <w:r w:rsidR="003E3823" w:rsidRPr="003E3823">
        <w:rPr>
          <w:rFonts w:ascii="Times New Roman" w:eastAsia="Times New Roman" w:hAnsi="Times New Roman" w:cstheme="minorBidi"/>
          <w:noProof/>
          <w:lang w:eastAsia="ar-SA"/>
        </w:rPr>
        <w:t>(2020)</w:t>
      </w:r>
      <w:r w:rsidR="003E3823">
        <w:rPr>
          <w:rFonts w:ascii="Times New Roman" w:eastAsia="Times New Roman" w:hAnsi="Times New Roman" w:cstheme="minorBidi"/>
          <w:lang w:eastAsia="ar-SA"/>
        </w:rPr>
        <w:fldChar w:fldCharType="end"/>
      </w:r>
      <w:r w:rsidR="00ED4B79">
        <w:rPr>
          <w:rFonts w:ascii="Times New Roman" w:eastAsia="Times New Roman" w:hAnsi="Times New Roman" w:cstheme="minorBidi"/>
          <w:lang w:eastAsia="ar-SA"/>
        </w:rPr>
        <w:t xml:space="preserve"> reviewed the </w:t>
      </w:r>
      <w:r w:rsidR="00ED4B79" w:rsidRPr="00ED4B79">
        <w:rPr>
          <w:rFonts w:ascii="Times New Roman" w:eastAsia="Times New Roman" w:hAnsi="Times New Roman" w:cstheme="minorBidi"/>
          <w:lang w:eastAsia="ar-SA"/>
        </w:rPr>
        <w:t xml:space="preserve">emerging field-deployable synthetic biology tools </w:t>
      </w:r>
      <w:r w:rsidR="00583C3B" w:rsidRPr="00583C3B">
        <w:rPr>
          <w:rFonts w:ascii="Times New Roman" w:eastAsia="Times New Roman" w:hAnsi="Times New Roman" w:cstheme="minorBidi"/>
          <w:lang w:eastAsia="ar-SA"/>
        </w:rPr>
        <w:t xml:space="preserve">to </w:t>
      </w:r>
      <w:r w:rsidR="00251DB8">
        <w:rPr>
          <w:rFonts w:ascii="Times New Roman" w:eastAsia="Times New Roman" w:hAnsi="Times New Roman" w:cstheme="minorBidi"/>
          <w:lang w:eastAsia="ar-SA"/>
        </w:rPr>
        <w:t>sense</w:t>
      </w:r>
      <w:r w:rsidR="00583C3B" w:rsidRPr="00583C3B">
        <w:rPr>
          <w:rFonts w:ascii="Times New Roman" w:eastAsia="Times New Roman" w:hAnsi="Times New Roman" w:cstheme="minorBidi"/>
          <w:lang w:eastAsia="ar-SA"/>
        </w:rPr>
        <w:t xml:space="preserve"> three priority water contaminants (f</w:t>
      </w:r>
      <w:r w:rsidR="00AC4A18">
        <w:rPr>
          <w:rFonts w:ascii="Times New Roman" w:eastAsia="Times New Roman" w:hAnsi="Times New Roman" w:cstheme="minorBidi"/>
          <w:lang w:eastAsia="ar-SA"/>
        </w:rPr>
        <w:t>a</w:t>
      </w:r>
      <w:r w:rsidR="00583C3B" w:rsidRPr="00583C3B">
        <w:rPr>
          <w:rFonts w:ascii="Times New Roman" w:eastAsia="Times New Roman" w:hAnsi="Times New Roman" w:cstheme="minorBidi"/>
          <w:lang w:eastAsia="ar-SA"/>
        </w:rPr>
        <w:t>ecal pathogens, arsenic, and fluoride)</w:t>
      </w:r>
      <w:r w:rsidR="00251DB8">
        <w:rPr>
          <w:rFonts w:ascii="Times New Roman" w:eastAsia="Times New Roman" w:hAnsi="Times New Roman" w:cstheme="minorBidi"/>
          <w:lang w:eastAsia="ar-SA"/>
        </w:rPr>
        <w:t>.</w:t>
      </w:r>
      <w:r w:rsidR="00850ACD">
        <w:rPr>
          <w:rFonts w:ascii="Times New Roman" w:eastAsia="Times New Roman" w:hAnsi="Times New Roman" w:cstheme="minorBidi"/>
          <w:lang w:eastAsia="ar-SA"/>
        </w:rPr>
        <w:t xml:space="preserve"> Del Valle et al. </w:t>
      </w:r>
      <w:r w:rsidR="00A6727F">
        <w:rPr>
          <w:rFonts w:ascii="Times New Roman" w:eastAsia="Times New Roman" w:hAnsi="Times New Roman" w:cstheme="minorBidi"/>
          <w:lang w:eastAsia="ar-SA"/>
        </w:rPr>
        <w:fldChar w:fldCharType="begin" w:fldLock="1"/>
      </w:r>
      <w:r w:rsidR="00BE3303">
        <w:rPr>
          <w:rFonts w:ascii="Times New Roman" w:eastAsia="Times New Roman" w:hAnsi="Times New Roman" w:cstheme="minorBidi"/>
          <w:lang w:eastAsia="ar-SA"/>
        </w:rPr>
        <w:instrText>ADDIN CSL_CITATION {"citationItems":[{"id":"ITEM-1","itemData":{"DOI":"10.3389/fmicb.2020.618373","ISSN":"1664-302X","abstract":"The rapid diversification of synthetic biology tools holds promise in making some classically hard-to-solve environmental problems tractable. Here we review longstanding problems in the Earth and environmental sciences that could be addressed using engineered microbes as micron-scale sensors (biosensors). Biosensors can offer new perspectives on open questions, including understanding microbial behaviors in heterogeneous matrices like soils, sediments, and wastewater systems, tracking cryptic element cycling in the Earth system, and establishing the dynamics of microbe-microbe, microbe-plant, and microbe-material interactions. Before these new tools can reach their potential, however, a suite of biological parts and microbial chassis appropriate for environmental conditions must be developed by the synthetic biology community. This includes diversifying sensing modules to obtain information relevant to environmental questions, creating output signals that allow dynamic reporting from hard-to-image environmental materials, and tuning these sensors so that they reliably function long enough to be useful for environmental studies. Finally, ethical questions related to the use of synthetic biosensors in environmental applications are discussed.","author":[{"dropping-particle":"","family":"Valle","given":"Ilenne","non-dropping-particle":"Del","parse-names":false,"suffix":""},{"dropping-particle":"","family":"Fulk","given":"Emily M.","non-dropping-particle":"","parse-names":false,"suffix":""},{"dropping-particle":"","family":"Kalvapalle","given":"Prashant","non-dropping-particle":"","parse-names":false,"suffix":""},{"dropping-particle":"","family":"Silberg","given":"Jonathan J.","non-dropping-particle":"","parse-names":false,"suffix":""},{"dropping-particle":"","family":"Masiello","given":"Caroline A.","non-dropping-particle":"","parse-names":false,"suffix":""},{"dropping-particle":"","family":"Stadler","given":"Lauren B.","non-dropping-particle":"","parse-names":false,"suffix":""}],"container-title":"Frontiers in Microbiology","id":"ITEM-1","issued":{"date-parts":[["2021","2","4"]]},"title":"Translating New Synthetic Biology Advances for Biosensing Into the Earth and Environmental Sciences","type":"article-journal","volume":"11"},"uris":["http://www.mendeley.com/documents/?uuid=b75fdbd8-ff6b-4290-aeb0-126e9b012118"]}],"mendeley":{"formattedCitation":"(Del Valle et al., 2021)","manualFormatting":"(2021)","plainTextFormattedCitation":"(Del Valle et al., 2021)","previouslyFormattedCitation":"(Del Valle et al., 2021)"},"properties":{"noteIndex":0},"schema":"https://github.com/citation-style-language/schema/raw/master/csl-citation.json"}</w:instrText>
      </w:r>
      <w:r w:rsidR="00A6727F">
        <w:rPr>
          <w:rFonts w:ascii="Times New Roman" w:eastAsia="Times New Roman" w:hAnsi="Times New Roman" w:cstheme="minorBidi"/>
          <w:lang w:eastAsia="ar-SA"/>
        </w:rPr>
        <w:fldChar w:fldCharType="separate"/>
      </w:r>
      <w:r w:rsidR="00A6727F" w:rsidRPr="00A6727F">
        <w:rPr>
          <w:rFonts w:ascii="Times New Roman" w:eastAsia="Times New Roman" w:hAnsi="Times New Roman" w:cstheme="minorBidi"/>
          <w:noProof/>
          <w:lang w:eastAsia="ar-SA"/>
        </w:rPr>
        <w:t>(2021)</w:t>
      </w:r>
      <w:r w:rsidR="00A6727F">
        <w:rPr>
          <w:rFonts w:ascii="Times New Roman" w:eastAsia="Times New Roman" w:hAnsi="Times New Roman" w:cstheme="minorBidi"/>
          <w:lang w:eastAsia="ar-SA"/>
        </w:rPr>
        <w:fldChar w:fldCharType="end"/>
      </w:r>
      <w:r w:rsidR="00B156AF">
        <w:rPr>
          <w:rFonts w:ascii="Times New Roman" w:eastAsia="Times New Roman" w:hAnsi="Times New Roman" w:cstheme="minorBidi"/>
          <w:lang w:eastAsia="ar-SA"/>
        </w:rPr>
        <w:t xml:space="preserve"> </w:t>
      </w:r>
      <w:r w:rsidR="00850ACD">
        <w:rPr>
          <w:rFonts w:ascii="Times New Roman" w:eastAsia="Times New Roman" w:hAnsi="Times New Roman" w:cstheme="minorBidi"/>
          <w:lang w:eastAsia="ar-SA"/>
        </w:rPr>
        <w:t>discussed the application</w:t>
      </w:r>
      <w:r w:rsidR="00850ACD" w:rsidRPr="006F3168">
        <w:rPr>
          <w:rFonts w:ascii="Times New Roman" w:eastAsia="Times New Roman" w:hAnsi="Times New Roman" w:cstheme="minorBidi"/>
          <w:lang w:eastAsia="ar-SA"/>
        </w:rPr>
        <w:t xml:space="preserve"> </w:t>
      </w:r>
      <w:r w:rsidR="00850ACD">
        <w:rPr>
          <w:rFonts w:ascii="Times New Roman" w:eastAsia="Times New Roman" w:hAnsi="Times New Roman" w:cstheme="minorBidi"/>
          <w:lang w:eastAsia="ar-SA"/>
        </w:rPr>
        <w:t>of n</w:t>
      </w:r>
      <w:r w:rsidR="00850ACD" w:rsidRPr="006F3168">
        <w:rPr>
          <w:rFonts w:ascii="Times New Roman" w:eastAsia="Times New Roman" w:hAnsi="Times New Roman" w:cstheme="minorBidi"/>
          <w:lang w:eastAsia="ar-SA"/>
        </w:rPr>
        <w:t xml:space="preserve">ew </w:t>
      </w:r>
      <w:r w:rsidR="00850ACD">
        <w:rPr>
          <w:rFonts w:ascii="Times New Roman" w:eastAsia="Times New Roman" w:hAnsi="Times New Roman" w:cstheme="minorBidi"/>
          <w:lang w:eastAsia="ar-SA"/>
        </w:rPr>
        <w:t>s</w:t>
      </w:r>
      <w:r w:rsidR="00850ACD" w:rsidRPr="006F3168">
        <w:rPr>
          <w:rFonts w:ascii="Times New Roman" w:eastAsia="Times New Roman" w:hAnsi="Times New Roman" w:cstheme="minorBidi"/>
          <w:lang w:eastAsia="ar-SA"/>
        </w:rPr>
        <w:t xml:space="preserve">ynthetic </w:t>
      </w:r>
      <w:r w:rsidR="00850ACD">
        <w:rPr>
          <w:rFonts w:ascii="Times New Roman" w:eastAsia="Times New Roman" w:hAnsi="Times New Roman" w:cstheme="minorBidi"/>
          <w:lang w:eastAsia="ar-SA"/>
        </w:rPr>
        <w:t>b</w:t>
      </w:r>
      <w:r w:rsidR="00850ACD" w:rsidRPr="006F3168">
        <w:rPr>
          <w:rFonts w:ascii="Times New Roman" w:eastAsia="Times New Roman" w:hAnsi="Times New Roman" w:cstheme="minorBidi"/>
          <w:lang w:eastAsia="ar-SA"/>
        </w:rPr>
        <w:t xml:space="preserve">iology </w:t>
      </w:r>
      <w:r w:rsidR="00850ACD">
        <w:rPr>
          <w:rFonts w:ascii="Times New Roman" w:eastAsia="Times New Roman" w:hAnsi="Times New Roman" w:cstheme="minorBidi"/>
          <w:lang w:eastAsia="ar-SA"/>
        </w:rPr>
        <w:t>b</w:t>
      </w:r>
      <w:r w:rsidR="00850ACD" w:rsidRPr="006F3168">
        <w:rPr>
          <w:rFonts w:ascii="Times New Roman" w:eastAsia="Times New Roman" w:hAnsi="Times New Roman" w:cstheme="minorBidi"/>
          <w:lang w:eastAsia="ar-SA"/>
        </w:rPr>
        <w:t>iosens</w:t>
      </w:r>
      <w:r w:rsidR="00850ACD">
        <w:rPr>
          <w:rFonts w:ascii="Times New Roman" w:eastAsia="Times New Roman" w:hAnsi="Times New Roman" w:cstheme="minorBidi"/>
          <w:lang w:eastAsia="ar-SA"/>
        </w:rPr>
        <w:t xml:space="preserve">ors </w:t>
      </w:r>
      <w:r w:rsidR="00483F4F">
        <w:rPr>
          <w:rFonts w:ascii="Times New Roman" w:eastAsia="Times New Roman" w:hAnsi="Times New Roman" w:cstheme="minorBidi"/>
          <w:lang w:eastAsia="ar-SA"/>
        </w:rPr>
        <w:t xml:space="preserve">for use in the </w:t>
      </w:r>
      <w:r w:rsidR="00850ACD">
        <w:rPr>
          <w:rFonts w:ascii="Times New Roman" w:eastAsia="Times New Roman" w:hAnsi="Times New Roman" w:cstheme="minorBidi"/>
          <w:lang w:eastAsia="ar-SA"/>
        </w:rPr>
        <w:t>e</w:t>
      </w:r>
      <w:r w:rsidR="00850ACD" w:rsidRPr="006F3168">
        <w:rPr>
          <w:rFonts w:ascii="Times New Roman" w:eastAsia="Times New Roman" w:hAnsi="Times New Roman" w:cstheme="minorBidi"/>
          <w:lang w:eastAsia="ar-SA"/>
        </w:rPr>
        <w:t>nvironment</w:t>
      </w:r>
      <w:r w:rsidR="00483F4F">
        <w:rPr>
          <w:rFonts w:ascii="Times New Roman" w:eastAsia="Times New Roman" w:hAnsi="Times New Roman" w:cstheme="minorBidi"/>
          <w:lang w:eastAsia="ar-SA"/>
        </w:rPr>
        <w:t>.</w:t>
      </w:r>
      <w:r w:rsidR="00850ACD">
        <w:rPr>
          <w:rFonts w:ascii="Times New Roman" w:eastAsia="Times New Roman" w:hAnsi="Times New Roman" w:cstheme="minorBidi"/>
          <w:lang w:eastAsia="ar-SA"/>
        </w:rPr>
        <w:t xml:space="preserve"> Ravikumar et al. </w:t>
      </w:r>
      <w:r w:rsidR="00BE3303">
        <w:rPr>
          <w:rFonts w:ascii="Times New Roman" w:eastAsia="Times New Roman" w:hAnsi="Times New Roman" w:cstheme="minorBidi"/>
          <w:lang w:eastAsia="ar-SA"/>
        </w:rPr>
        <w:fldChar w:fldCharType="begin" w:fldLock="1"/>
      </w:r>
      <w:r w:rsidR="00DD4BF2">
        <w:rPr>
          <w:rFonts w:ascii="Times New Roman" w:eastAsia="Times New Roman" w:hAnsi="Times New Roman" w:cstheme="minorBidi"/>
          <w:lang w:eastAsia="ar-SA"/>
        </w:rPr>
        <w:instrText>ADDIN CSL_CITATION {"citationItems":[{"id":"ITEM-1","itemData":{"DOI":"10.1186/s12934-017-0675-z","ISSN":"1475-2859","author":[{"dropping-particle":"","family":"Ravikumar","given":"Sambandam","non-dropping-particle":"","parse-names":false,"suffix":""},{"dropping-particle":"","family":"Baylon","given":"Mary Grace","non-dropping-particle":"","parse-names":false,"suffix":""},{"dropping-particle":"","family":"Park","given":"Si Jae","non-dropping-particle":"","parse-names":false,"suffix":""},{"dropping-particle":"","family":"Choi","given":"Jong-il","non-dropping-particle":"","parse-names":false,"suffix":""}],"container-title":"Microbial Cell Factories","id":"ITEM-1","issue":"1","issued":{"date-parts":[["2017","12","14"]]},"page":"62","title":"Engineered microbial biosensors based on bacterial two-component systems as synthetic biotechnology platforms in bioremediation and biorefinery","type":"article-journal","volume":"16"},"uris":["http://www.mendeley.com/documents/?uuid=6396b4ba-55c6-4855-b2a3-f64970fef6a6"]}],"mendeley":{"formattedCitation":"(Ravikumar et al., 2017)","manualFormatting":"(2017)","plainTextFormattedCitation":"(Ravikumar et al., 2017)","previouslyFormattedCitation":"(Ravikumar et al., 2017)"},"properties":{"noteIndex":0},"schema":"https://github.com/citation-style-language/schema/raw/master/csl-citation.json"}</w:instrText>
      </w:r>
      <w:r w:rsidR="00BE3303">
        <w:rPr>
          <w:rFonts w:ascii="Times New Roman" w:eastAsia="Times New Roman" w:hAnsi="Times New Roman" w:cstheme="minorBidi"/>
          <w:lang w:eastAsia="ar-SA"/>
        </w:rPr>
        <w:fldChar w:fldCharType="separate"/>
      </w:r>
      <w:r w:rsidR="00BE3303" w:rsidRPr="00BE3303">
        <w:rPr>
          <w:rFonts w:ascii="Times New Roman" w:eastAsia="Times New Roman" w:hAnsi="Times New Roman" w:cstheme="minorBidi"/>
          <w:noProof/>
          <w:lang w:eastAsia="ar-SA"/>
        </w:rPr>
        <w:t>(2017)</w:t>
      </w:r>
      <w:r w:rsidR="00BE3303">
        <w:rPr>
          <w:rFonts w:ascii="Times New Roman" w:eastAsia="Times New Roman" w:hAnsi="Times New Roman" w:cstheme="minorBidi"/>
          <w:lang w:eastAsia="ar-SA"/>
        </w:rPr>
        <w:fldChar w:fldCharType="end"/>
      </w:r>
      <w:r w:rsidR="00B156AF">
        <w:rPr>
          <w:rFonts w:ascii="Times New Roman" w:eastAsia="Times New Roman" w:hAnsi="Times New Roman" w:cstheme="minorBidi"/>
          <w:lang w:eastAsia="ar-SA"/>
        </w:rPr>
        <w:t xml:space="preserve"> </w:t>
      </w:r>
      <w:r w:rsidR="00850ACD">
        <w:rPr>
          <w:rFonts w:ascii="Times New Roman" w:eastAsia="Times New Roman" w:hAnsi="Times New Roman" w:cstheme="minorBidi"/>
          <w:lang w:eastAsia="ar-SA"/>
        </w:rPr>
        <w:t xml:space="preserve">provided </w:t>
      </w:r>
      <w:r w:rsidR="00483F4F">
        <w:rPr>
          <w:rFonts w:ascii="Times New Roman" w:eastAsia="Times New Roman" w:hAnsi="Times New Roman" w:cstheme="minorBidi"/>
          <w:lang w:eastAsia="ar-SA"/>
        </w:rPr>
        <w:t>indications</w:t>
      </w:r>
      <w:r w:rsidR="00850ACD">
        <w:rPr>
          <w:rFonts w:ascii="Times New Roman" w:eastAsia="Times New Roman" w:hAnsi="Times New Roman" w:cstheme="minorBidi"/>
          <w:lang w:eastAsia="ar-SA"/>
        </w:rPr>
        <w:t xml:space="preserve"> of how e</w:t>
      </w:r>
      <w:r w:rsidR="00850ACD" w:rsidRPr="00A96C9D">
        <w:rPr>
          <w:rFonts w:ascii="Times New Roman" w:eastAsia="Times New Roman" w:hAnsi="Times New Roman" w:cstheme="minorBidi"/>
          <w:lang w:eastAsia="ar-SA"/>
        </w:rPr>
        <w:t xml:space="preserve">ngineered microbial biosensors based on bacterial two-component systems </w:t>
      </w:r>
      <w:r w:rsidR="00850ACD">
        <w:rPr>
          <w:rFonts w:ascii="Times New Roman" w:eastAsia="Times New Roman" w:hAnsi="Times New Roman" w:cstheme="minorBidi"/>
          <w:lang w:eastAsia="ar-SA"/>
        </w:rPr>
        <w:t>could be</w:t>
      </w:r>
      <w:r w:rsidR="00850ACD" w:rsidRPr="00A96C9D">
        <w:rPr>
          <w:rFonts w:ascii="Times New Roman" w:eastAsia="Times New Roman" w:hAnsi="Times New Roman" w:cstheme="minorBidi"/>
          <w:lang w:eastAsia="ar-SA"/>
        </w:rPr>
        <w:t xml:space="preserve"> </w:t>
      </w:r>
      <w:r w:rsidR="00850ACD">
        <w:rPr>
          <w:rFonts w:ascii="Times New Roman" w:eastAsia="Times New Roman" w:hAnsi="Times New Roman" w:cstheme="minorBidi"/>
          <w:lang w:eastAsia="ar-SA"/>
        </w:rPr>
        <w:t>used as</w:t>
      </w:r>
      <w:r w:rsidR="00850ACD" w:rsidRPr="00A96C9D">
        <w:rPr>
          <w:rFonts w:ascii="Times New Roman" w:eastAsia="Times New Roman" w:hAnsi="Times New Roman" w:cstheme="minorBidi"/>
          <w:lang w:eastAsia="ar-SA"/>
        </w:rPr>
        <w:t xml:space="preserve"> platforms in bioremediation and biorefinery</w:t>
      </w:r>
      <w:r w:rsidR="00850ACD">
        <w:rPr>
          <w:rFonts w:ascii="Times New Roman" w:eastAsia="Times New Roman" w:hAnsi="Times New Roman" w:cstheme="minorBidi"/>
          <w:lang w:eastAsia="ar-SA"/>
        </w:rPr>
        <w:t xml:space="preserve">, and Lin et al. </w:t>
      </w:r>
      <w:r w:rsidR="00DD4BF2">
        <w:rPr>
          <w:rFonts w:ascii="Times New Roman" w:eastAsia="Times New Roman" w:hAnsi="Times New Roman" w:cstheme="minorBidi"/>
          <w:lang w:eastAsia="ar-SA"/>
        </w:rPr>
        <w:fldChar w:fldCharType="begin" w:fldLock="1"/>
      </w:r>
      <w:r w:rsidR="00F84FAA">
        <w:rPr>
          <w:rFonts w:ascii="Times New Roman" w:eastAsia="Times New Roman" w:hAnsi="Times New Roman" w:cstheme="minorBidi"/>
          <w:lang w:eastAsia="ar-SA"/>
        </w:rPr>
        <w:instrText>ADDIN CSL_CITATION {"citationItems":[{"id":"ITEM-1","itemData":{"DOI":"10.1039/D0RA05293K","ISSN":"2046-2069","abstract":"By embedding the regulated genetic circuits and cell-free systems onto a paper, a portable in vitro biosensing platform has been established.","author":[{"dropping-particle":"","family":"Lin","given":"Xiaomei","non-dropping-particle":"","parse-names":false,"suffix":""},{"dropping-particle":"","family":"Li","given":"Yuting","non-dropping-particle":"","parse-names":false,"suffix":""},{"dropping-particle":"","family":"Li","given":"Zhixia","non-dropping-particle":"","parse-names":false,"suffix":""},{"dropping-particle":"","family":"Hua","given":"Rui","non-dropping-particle":"","parse-names":false,"suffix":""},{"dropping-particle":"","family":"Xing","given":"Yuyang","non-dropping-particle":"","parse-names":false,"suffix":""},{"dropping-particle":"","family":"Lu","given":"Yuan","non-dropping-particle":"","parse-names":false,"suffix":""}],"container-title":"RSC Advances","id":"ITEM-1","issue":"64","issued":{"date-parts":[["2020"]]},"page":"39261-39265","title":"Portable environment-signal detection biosensors with cell-free synthetic biosystems","type":"article-journal","volume":"10"},"uris":["http://www.mendeley.com/documents/?uuid=c9ff9d27-799b-47e5-84ea-063f1db02b13"]}],"mendeley":{"formattedCitation":"(Lin et al., 2020)","manualFormatting":"( 2020)","plainTextFormattedCitation":"(Lin et al., 2020)","previouslyFormattedCitation":"(Lin et al., 2020)"},"properties":{"noteIndex":0},"schema":"https://github.com/citation-style-language/schema/raw/master/csl-citation.json"}</w:instrText>
      </w:r>
      <w:r w:rsidR="00DD4BF2">
        <w:rPr>
          <w:rFonts w:ascii="Times New Roman" w:eastAsia="Times New Roman" w:hAnsi="Times New Roman" w:cstheme="minorBidi"/>
          <w:lang w:eastAsia="ar-SA"/>
        </w:rPr>
        <w:fldChar w:fldCharType="separate"/>
      </w:r>
      <w:r w:rsidR="00DD4BF2" w:rsidRPr="00DD4BF2">
        <w:rPr>
          <w:rFonts w:ascii="Times New Roman" w:eastAsia="Times New Roman" w:hAnsi="Times New Roman" w:cstheme="minorBidi"/>
          <w:noProof/>
          <w:lang w:eastAsia="ar-SA"/>
        </w:rPr>
        <w:t>( 2020)</w:t>
      </w:r>
      <w:r w:rsidR="00DD4BF2">
        <w:rPr>
          <w:rFonts w:ascii="Times New Roman" w:eastAsia="Times New Roman" w:hAnsi="Times New Roman" w:cstheme="minorBidi"/>
          <w:lang w:eastAsia="ar-SA"/>
        </w:rPr>
        <w:fldChar w:fldCharType="end"/>
      </w:r>
      <w:r w:rsidR="00850ACD">
        <w:rPr>
          <w:rFonts w:ascii="Times New Roman" w:eastAsia="Times New Roman" w:hAnsi="Times New Roman" w:cstheme="minorBidi"/>
          <w:lang w:eastAsia="ar-SA"/>
        </w:rPr>
        <w:t>reviewed p</w:t>
      </w:r>
      <w:r w:rsidR="00850ACD" w:rsidRPr="004F5AAC">
        <w:rPr>
          <w:rFonts w:ascii="Times New Roman" w:eastAsia="Times New Roman" w:hAnsi="Times New Roman" w:cstheme="minorBidi"/>
          <w:lang w:eastAsia="ar-SA"/>
        </w:rPr>
        <w:t>ortable detection biosensors with cell-free synthetic biosystems</w:t>
      </w:r>
      <w:r w:rsidR="00850ACD">
        <w:rPr>
          <w:rFonts w:ascii="Times New Roman" w:eastAsia="Times New Roman" w:hAnsi="Times New Roman" w:cstheme="minorBidi"/>
          <w:lang w:eastAsia="ar-SA"/>
        </w:rPr>
        <w:t xml:space="preserve"> for detecting environmental pollutants. Interestingly, a smartphone-compatible portable biosensor, that </w:t>
      </w:r>
      <w:r w:rsidR="00850ACD" w:rsidRPr="00D85E64">
        <w:rPr>
          <w:rFonts w:ascii="Times New Roman" w:eastAsia="Times New Roman" w:hAnsi="Times New Roman" w:cstheme="minorBidi"/>
          <w:lang w:eastAsia="ar-SA"/>
        </w:rPr>
        <w:t>uses bacteria</w:t>
      </w:r>
      <w:r w:rsidR="00850ACD">
        <w:rPr>
          <w:rFonts w:ascii="Times New Roman" w:eastAsia="Times New Roman" w:hAnsi="Times New Roman" w:cstheme="minorBidi"/>
          <w:lang w:eastAsia="ar-SA"/>
        </w:rPr>
        <w:t>,</w:t>
      </w:r>
      <w:r w:rsidR="00850ACD" w:rsidRPr="00D85E64">
        <w:rPr>
          <w:rFonts w:ascii="Times New Roman" w:eastAsia="Times New Roman" w:hAnsi="Times New Roman" w:cstheme="minorBidi"/>
          <w:lang w:eastAsia="ar-SA"/>
        </w:rPr>
        <w:t xml:space="preserve"> </w:t>
      </w:r>
      <w:r w:rsidR="00850ACD">
        <w:rPr>
          <w:rFonts w:ascii="Times New Roman" w:eastAsia="Times New Roman" w:hAnsi="Times New Roman" w:cstheme="minorBidi"/>
          <w:lang w:eastAsia="ar-SA"/>
        </w:rPr>
        <w:t xml:space="preserve">has been developed </w:t>
      </w:r>
      <w:r w:rsidR="00850ACD" w:rsidRPr="00D85E64">
        <w:rPr>
          <w:rFonts w:ascii="Times New Roman" w:eastAsia="Times New Roman" w:hAnsi="Times New Roman" w:cstheme="minorBidi"/>
          <w:lang w:eastAsia="ar-SA"/>
        </w:rPr>
        <w:t>to detect unsafe arsenic levels</w:t>
      </w:r>
      <w:r w:rsidR="00F84FAA">
        <w:rPr>
          <w:rFonts w:ascii="Times New Roman" w:eastAsia="Times New Roman" w:hAnsi="Times New Roman" w:cstheme="minorBidi"/>
          <w:lang w:eastAsia="ar-SA"/>
        </w:rPr>
        <w:fldChar w:fldCharType="begin" w:fldLock="1"/>
      </w:r>
      <w:r w:rsidR="00F84FAA">
        <w:rPr>
          <w:rFonts w:ascii="Times New Roman" w:eastAsia="Times New Roman" w:hAnsi="Times New Roman" w:cstheme="minorBidi"/>
          <w:lang w:eastAsia="ar-SA"/>
        </w:rPr>
        <w:instrText>ADDIN CSL_CITATION {"citationItems":[{"id":"ITEM-1","itemData":{"DOI":"10.1007/978-3-319-47405-2_131-1","author":[{"dropping-particle":"","family":"Wan","given":"Xinyi","non-dropping-particle":"","parse-names":false,"suffix":""},{"dropping-particle":"","family":"Ho","given":"Trevor Y. H.","non-dropping-particle":"","parse-names":false,"suffix":""},{"dropping-particle":"","family":"Wang","given":"Baojun","non-dropping-particle":"","parse-names":false,"suffix":""}],"container-title":"Handbook of Cell Biosensors","id":"ITEM-1","issued":{"date-parts":[["2019"]]},"page":"1-37","publisher":"Springer International Publishing","publisher-place":"Cham","title":"Engineering Prokaryote Synthetic Biology Biosensors","type":"chapter"},"uris":["http://www.mendeley.com/documents/?uuid=15cecab1-38a9-401d-8009-05de67f5ed13"]}],"mendeley":{"formattedCitation":"(Wan et al., 2019)","plainTextFormattedCitation":"(Wan et al., 2019)","previouslyFormattedCitation":"(Wan et al., 2019)"},"properties":{"noteIndex":0},"schema":"https://github.com/citation-style-language/schema/raw/master/csl-citation.json"}</w:instrText>
      </w:r>
      <w:r w:rsidR="00F84FAA">
        <w:rPr>
          <w:rFonts w:ascii="Times New Roman" w:eastAsia="Times New Roman" w:hAnsi="Times New Roman" w:cstheme="minorBidi"/>
          <w:lang w:eastAsia="ar-SA"/>
        </w:rPr>
        <w:fldChar w:fldCharType="separate"/>
      </w:r>
      <w:r w:rsidR="00F84FAA" w:rsidRPr="00F84FAA">
        <w:rPr>
          <w:rFonts w:ascii="Times New Roman" w:eastAsia="Times New Roman" w:hAnsi="Times New Roman" w:cstheme="minorBidi"/>
          <w:noProof/>
          <w:lang w:eastAsia="ar-SA"/>
        </w:rPr>
        <w:t>(Wan et al., 2019)</w:t>
      </w:r>
      <w:r w:rsidR="00F84FAA">
        <w:rPr>
          <w:rFonts w:ascii="Times New Roman" w:eastAsia="Times New Roman" w:hAnsi="Times New Roman" w:cstheme="minorBidi"/>
          <w:lang w:eastAsia="ar-SA"/>
        </w:rPr>
        <w:fldChar w:fldCharType="end"/>
      </w:r>
      <w:r w:rsidR="00850ACD">
        <w:rPr>
          <w:rFonts w:ascii="Times New Roman" w:eastAsia="Times New Roman" w:hAnsi="Times New Roman" w:cstheme="minorBidi"/>
          <w:lang w:eastAsia="ar-SA"/>
        </w:rPr>
        <w:t>.</w:t>
      </w:r>
      <w:r w:rsidR="000D2F4E">
        <w:rPr>
          <w:rFonts w:ascii="Times New Roman" w:eastAsia="Times New Roman" w:hAnsi="Times New Roman" w:cstheme="minorBidi"/>
          <w:lang w:eastAsia="ar-SA"/>
        </w:rPr>
        <w:t xml:space="preserve"> </w:t>
      </w:r>
    </w:p>
    <w:p w14:paraId="2696C679" w14:textId="19DFD0B1" w:rsidR="000D2F4E" w:rsidRDefault="007604DA" w:rsidP="005509AB">
      <w:pPr>
        <w:pStyle w:val="Heading3"/>
        <w:rPr>
          <w:rFonts w:cstheme="minorBidi"/>
          <w:lang w:val="en-GB"/>
        </w:rPr>
      </w:pPr>
      <w:bookmarkStart w:id="71" w:name="_Toc70112682"/>
      <w:bookmarkStart w:id="72" w:name="_Toc70685704"/>
      <w:r>
        <w:t>3.4</w:t>
      </w:r>
      <w:r w:rsidRPr="00DD5B93">
        <w:rPr>
          <w:lang w:val="en-US"/>
        </w:rPr>
        <w:t>.</w:t>
      </w:r>
      <w:r>
        <w:t xml:space="preserve"> </w:t>
      </w:r>
      <w:r w:rsidR="00CE634D">
        <w:t xml:space="preserve">Changes </w:t>
      </w:r>
      <w:r w:rsidRPr="005509AB">
        <w:rPr>
          <w:lang w:val="en-US"/>
        </w:rPr>
        <w:t xml:space="preserve">in Synthetic Biology applications and products </w:t>
      </w:r>
      <w:r w:rsidR="00045180">
        <w:t>since 2015</w:t>
      </w:r>
      <w:r w:rsidRPr="005509AB">
        <w:rPr>
          <w:lang w:val="en-US"/>
        </w:rPr>
        <w:t>.</w:t>
      </w:r>
      <w:bookmarkEnd w:id="71"/>
      <w:bookmarkEnd w:id="72"/>
    </w:p>
    <w:p w14:paraId="4274A71B" w14:textId="767CA6DB" w:rsidR="00026E32" w:rsidRDefault="00B71FBF" w:rsidP="005A3501">
      <w:pPr>
        <w:spacing w:before="240" w:after="120" w:line="240" w:lineRule="auto"/>
        <w:jc w:val="both"/>
        <w:rPr>
          <w:rFonts w:ascii="Times New Roman" w:eastAsia="Times New Roman" w:hAnsi="Times New Roman" w:cstheme="minorBidi"/>
          <w:lang w:eastAsia="ar-SA"/>
        </w:rPr>
      </w:pPr>
      <w:r>
        <w:rPr>
          <w:rFonts w:ascii="Times New Roman" w:eastAsia="Times New Roman" w:hAnsi="Times New Roman" w:cstheme="minorBidi"/>
          <w:lang w:eastAsia="ar-SA"/>
        </w:rPr>
        <w:t xml:space="preserve">Considering that the applications listed in this section </w:t>
      </w:r>
      <w:r w:rsidDel="00DE14C6">
        <w:rPr>
          <w:rFonts w:ascii="Times New Roman" w:eastAsia="Times New Roman" w:hAnsi="Times New Roman" w:cstheme="minorBidi"/>
          <w:lang w:eastAsia="ar-SA"/>
        </w:rPr>
        <w:t xml:space="preserve">is </w:t>
      </w:r>
      <w:r>
        <w:rPr>
          <w:rFonts w:ascii="Times New Roman" w:eastAsia="Times New Roman" w:hAnsi="Times New Roman" w:cstheme="minorBidi"/>
          <w:lang w:eastAsia="ar-SA"/>
        </w:rPr>
        <w:t xml:space="preserve">not </w:t>
      </w:r>
      <w:r w:rsidR="00DB1B00">
        <w:rPr>
          <w:rFonts w:ascii="Times New Roman" w:eastAsia="Times New Roman" w:hAnsi="Times New Roman" w:cstheme="minorBidi"/>
          <w:lang w:eastAsia="ar-SA"/>
        </w:rPr>
        <w:t>an</w:t>
      </w:r>
      <w:r>
        <w:rPr>
          <w:rFonts w:ascii="Times New Roman" w:eastAsia="Times New Roman" w:hAnsi="Times New Roman" w:cstheme="minorBidi"/>
          <w:lang w:eastAsia="ar-SA"/>
        </w:rPr>
        <w:t xml:space="preserve"> exhaustive</w:t>
      </w:r>
      <w:r w:rsidR="00DB1B00">
        <w:rPr>
          <w:rFonts w:ascii="Times New Roman" w:eastAsia="Times New Roman" w:hAnsi="Times New Roman" w:cstheme="minorBidi"/>
          <w:lang w:eastAsia="ar-SA"/>
        </w:rPr>
        <w:t xml:space="preserve"> listing</w:t>
      </w:r>
      <w:r>
        <w:rPr>
          <w:rFonts w:ascii="Times New Roman" w:eastAsia="Times New Roman" w:hAnsi="Times New Roman" w:cstheme="minorBidi"/>
          <w:lang w:eastAsia="ar-SA"/>
        </w:rPr>
        <w:t>,</w:t>
      </w:r>
      <w:r w:rsidR="00332467">
        <w:rPr>
          <w:rFonts w:ascii="Times New Roman" w:eastAsia="Times New Roman" w:hAnsi="Times New Roman" w:cstheme="minorBidi"/>
          <w:lang w:eastAsia="ar-SA"/>
        </w:rPr>
        <w:t xml:space="preserve"> </w:t>
      </w:r>
      <w:r w:rsidR="007242D4">
        <w:rPr>
          <w:rFonts w:ascii="Times New Roman" w:eastAsia="Times New Roman" w:hAnsi="Times New Roman" w:cstheme="minorBidi"/>
          <w:lang w:eastAsia="ar-SA"/>
        </w:rPr>
        <w:t>a comparison between</w:t>
      </w:r>
      <w:r w:rsidR="00CE634D">
        <w:rPr>
          <w:rFonts w:ascii="Times New Roman" w:eastAsia="Times New Roman" w:hAnsi="Times New Roman" w:cstheme="minorBidi"/>
          <w:lang w:eastAsia="ar-SA"/>
        </w:rPr>
        <w:t xml:space="preserve"> 2015 </w:t>
      </w:r>
      <w:r w:rsidR="00EE79F6">
        <w:rPr>
          <w:rFonts w:ascii="Times New Roman" w:eastAsia="Times New Roman" w:hAnsi="Times New Roman" w:cstheme="minorBidi"/>
          <w:lang w:eastAsia="ar-SA"/>
        </w:rPr>
        <w:t xml:space="preserve">(date of publication of the </w:t>
      </w:r>
      <w:r w:rsidR="00CE634D">
        <w:rPr>
          <w:rFonts w:ascii="Times New Roman" w:eastAsia="Times New Roman" w:hAnsi="Times New Roman" w:cstheme="minorBidi"/>
          <w:lang w:eastAsia="ar-SA"/>
        </w:rPr>
        <w:t>Technical Series No. 82 on Synthetic Biology</w:t>
      </w:r>
      <w:r w:rsidR="00EE79F6">
        <w:rPr>
          <w:rFonts w:ascii="Times New Roman" w:eastAsia="Times New Roman" w:hAnsi="Times New Roman" w:cstheme="minorBidi"/>
          <w:lang w:eastAsia="ar-SA"/>
        </w:rPr>
        <w:t>)</w:t>
      </w:r>
      <w:r w:rsidR="007242D4">
        <w:rPr>
          <w:rFonts w:ascii="Times New Roman" w:eastAsia="Times New Roman" w:hAnsi="Times New Roman" w:cstheme="minorBidi"/>
          <w:lang w:eastAsia="ar-SA"/>
        </w:rPr>
        <w:t xml:space="preserve"> and this present document indicate that</w:t>
      </w:r>
      <w:r w:rsidR="007C4D07">
        <w:rPr>
          <w:rFonts w:ascii="Times New Roman" w:eastAsia="Times New Roman" w:hAnsi="Times New Roman" w:cstheme="minorBidi"/>
          <w:lang w:eastAsia="ar-SA"/>
        </w:rPr>
        <w:t xml:space="preserve"> the </w:t>
      </w:r>
      <w:r w:rsidR="00DB1B00">
        <w:rPr>
          <w:rFonts w:ascii="Times New Roman" w:eastAsia="Times New Roman" w:hAnsi="Times New Roman" w:cstheme="minorBidi"/>
          <w:lang w:eastAsia="ar-SA"/>
        </w:rPr>
        <w:t>number</w:t>
      </w:r>
      <w:r w:rsidR="007C4D07">
        <w:rPr>
          <w:rFonts w:ascii="Times New Roman" w:eastAsia="Times New Roman" w:hAnsi="Times New Roman" w:cstheme="minorBidi"/>
          <w:lang w:eastAsia="ar-SA"/>
        </w:rPr>
        <w:t xml:space="preserve"> of synthetic biology applications commercially available and </w:t>
      </w:r>
      <w:r w:rsidR="00DB1B00">
        <w:rPr>
          <w:rFonts w:ascii="Times New Roman" w:eastAsia="Times New Roman" w:hAnsi="Times New Roman" w:cstheme="minorBidi"/>
          <w:lang w:eastAsia="ar-SA"/>
        </w:rPr>
        <w:t xml:space="preserve">in </w:t>
      </w:r>
      <w:r w:rsidR="007C4D07">
        <w:rPr>
          <w:rFonts w:ascii="Times New Roman" w:eastAsia="Times New Roman" w:hAnsi="Times New Roman" w:cstheme="minorBidi"/>
          <w:lang w:eastAsia="ar-SA"/>
        </w:rPr>
        <w:t xml:space="preserve">advanced development has </w:t>
      </w:r>
      <w:r w:rsidR="007604DA">
        <w:rPr>
          <w:rFonts w:ascii="Times New Roman" w:eastAsia="Times New Roman" w:hAnsi="Times New Roman" w:cstheme="minorBidi"/>
          <w:lang w:eastAsia="ar-SA"/>
        </w:rPr>
        <w:t xml:space="preserve">greatly </w:t>
      </w:r>
      <w:r w:rsidR="007C4D07">
        <w:rPr>
          <w:rFonts w:ascii="Times New Roman" w:eastAsia="Times New Roman" w:hAnsi="Times New Roman" w:cstheme="minorBidi"/>
          <w:lang w:eastAsia="ar-SA"/>
        </w:rPr>
        <w:t>increased</w:t>
      </w:r>
      <w:r w:rsidR="00603E56">
        <w:rPr>
          <w:rFonts w:ascii="Times New Roman" w:eastAsia="Times New Roman" w:hAnsi="Times New Roman" w:cstheme="minorBidi"/>
          <w:lang w:eastAsia="ar-SA"/>
        </w:rPr>
        <w:t xml:space="preserve">. </w:t>
      </w:r>
      <w:r w:rsidR="00C95F0D">
        <w:rPr>
          <w:rFonts w:ascii="Times New Roman" w:eastAsia="Times New Roman" w:hAnsi="Times New Roman" w:cstheme="minorBidi"/>
          <w:lang w:eastAsia="ar-SA"/>
        </w:rPr>
        <w:t>Most of</w:t>
      </w:r>
      <w:r w:rsidR="00603E56">
        <w:rPr>
          <w:rFonts w:ascii="Times New Roman" w:eastAsia="Times New Roman" w:hAnsi="Times New Roman" w:cstheme="minorBidi"/>
          <w:lang w:eastAsia="ar-SA"/>
        </w:rPr>
        <w:t xml:space="preserve"> the applications continue to be related to </w:t>
      </w:r>
      <w:r w:rsidR="007604DA">
        <w:rPr>
          <w:rFonts w:ascii="Times New Roman" w:eastAsia="Times New Roman" w:hAnsi="Times New Roman" w:cstheme="minorBidi"/>
          <w:lang w:eastAsia="ar-SA"/>
        </w:rPr>
        <w:t xml:space="preserve">microbial </w:t>
      </w:r>
      <w:r w:rsidR="00603E56">
        <w:rPr>
          <w:rFonts w:ascii="Times New Roman" w:eastAsia="Times New Roman" w:hAnsi="Times New Roman" w:cstheme="minorBidi"/>
          <w:lang w:eastAsia="ar-SA"/>
        </w:rPr>
        <w:t xml:space="preserve">metabolic engineering and are for contained use. </w:t>
      </w:r>
      <w:r w:rsidR="00C66957">
        <w:rPr>
          <w:rFonts w:ascii="Times New Roman" w:eastAsia="Times New Roman" w:hAnsi="Times New Roman" w:cstheme="minorBidi"/>
          <w:lang w:eastAsia="ar-SA"/>
        </w:rPr>
        <w:t>Certain products, such as</w:t>
      </w:r>
      <w:r w:rsidR="00E752A1">
        <w:rPr>
          <w:rFonts w:ascii="Times New Roman" w:eastAsia="Times New Roman" w:hAnsi="Times New Roman" w:cstheme="minorBidi"/>
          <w:lang w:eastAsia="ar-SA"/>
        </w:rPr>
        <w:t xml:space="preserve"> semi-synthetic artemisinin</w:t>
      </w:r>
      <w:r w:rsidR="00A61323">
        <w:rPr>
          <w:rFonts w:ascii="Times New Roman" w:eastAsia="Times New Roman" w:hAnsi="Times New Roman" w:cstheme="minorBidi"/>
          <w:lang w:eastAsia="ar-SA"/>
        </w:rPr>
        <w:t xml:space="preserve">, </w:t>
      </w:r>
      <w:r w:rsidR="00FA6147">
        <w:rPr>
          <w:rFonts w:ascii="Times New Roman" w:eastAsia="Times New Roman" w:hAnsi="Times New Roman" w:cstheme="minorBidi"/>
          <w:lang w:eastAsia="ar-SA"/>
        </w:rPr>
        <w:t>squalene</w:t>
      </w:r>
      <w:r w:rsidR="00A61323">
        <w:rPr>
          <w:rFonts w:ascii="Times New Roman" w:eastAsia="Times New Roman" w:hAnsi="Times New Roman" w:cstheme="minorBidi"/>
          <w:lang w:eastAsia="ar-SA"/>
        </w:rPr>
        <w:t xml:space="preserve">, </w:t>
      </w:r>
      <w:r w:rsidR="007604DA">
        <w:rPr>
          <w:rFonts w:ascii="Times New Roman" w:eastAsia="Times New Roman" w:hAnsi="Times New Roman" w:cstheme="minorBidi"/>
          <w:lang w:eastAsia="ar-SA"/>
        </w:rPr>
        <w:t xml:space="preserve">vanillin, shikimic acid, </w:t>
      </w:r>
      <w:r w:rsidR="00A61323">
        <w:rPr>
          <w:rFonts w:ascii="Times New Roman" w:eastAsia="Times New Roman" w:hAnsi="Times New Roman" w:cstheme="minorBidi"/>
          <w:lang w:eastAsia="ar-SA"/>
        </w:rPr>
        <w:t>and select fragrances and flavours</w:t>
      </w:r>
      <w:r w:rsidR="00C66957">
        <w:rPr>
          <w:rFonts w:ascii="Times New Roman" w:eastAsia="Times New Roman" w:hAnsi="Times New Roman" w:cstheme="minorBidi"/>
          <w:lang w:eastAsia="ar-SA"/>
        </w:rPr>
        <w:t xml:space="preserve">, remain commercially available. </w:t>
      </w:r>
      <w:r w:rsidR="00A61323">
        <w:rPr>
          <w:rFonts w:ascii="Times New Roman" w:eastAsia="Times New Roman" w:hAnsi="Times New Roman" w:cstheme="minorBidi"/>
          <w:lang w:eastAsia="ar-SA"/>
        </w:rPr>
        <w:t xml:space="preserve">However, </w:t>
      </w:r>
      <w:r w:rsidR="008B1283">
        <w:rPr>
          <w:rFonts w:ascii="Times New Roman" w:eastAsia="Times New Roman" w:hAnsi="Times New Roman" w:cstheme="minorBidi"/>
          <w:lang w:eastAsia="ar-SA"/>
        </w:rPr>
        <w:t>there is a greater availability of high value fine chemicals</w:t>
      </w:r>
      <w:r w:rsidR="00A61323">
        <w:rPr>
          <w:rFonts w:ascii="Times New Roman" w:eastAsia="Times New Roman" w:hAnsi="Times New Roman" w:cstheme="minorBidi"/>
          <w:lang w:eastAsia="ar-SA"/>
        </w:rPr>
        <w:t xml:space="preserve">, </w:t>
      </w:r>
      <w:r w:rsidR="00280ECD">
        <w:rPr>
          <w:rFonts w:ascii="Times New Roman" w:eastAsia="Times New Roman" w:hAnsi="Times New Roman" w:cstheme="minorBidi"/>
          <w:lang w:eastAsia="ar-SA"/>
        </w:rPr>
        <w:t>which include</w:t>
      </w:r>
      <w:r w:rsidR="008B1283">
        <w:rPr>
          <w:rFonts w:ascii="Times New Roman" w:eastAsia="Times New Roman" w:hAnsi="Times New Roman" w:cstheme="minorBidi"/>
          <w:lang w:eastAsia="ar-SA"/>
        </w:rPr>
        <w:t xml:space="preserve">, nootkatone, valencene </w:t>
      </w:r>
      <w:r w:rsidR="00F967A7">
        <w:rPr>
          <w:rFonts w:ascii="Times New Roman" w:eastAsia="Times New Roman" w:hAnsi="Times New Roman" w:cstheme="minorBidi"/>
          <w:lang w:eastAsia="ar-SA"/>
        </w:rPr>
        <w:t>and</w:t>
      </w:r>
      <w:r w:rsidR="008B1283">
        <w:rPr>
          <w:rFonts w:ascii="Times New Roman" w:eastAsia="Times New Roman" w:hAnsi="Times New Roman" w:cstheme="minorBidi"/>
          <w:lang w:eastAsia="ar-SA"/>
        </w:rPr>
        <w:t xml:space="preserve"> cannabinoids</w:t>
      </w:r>
      <w:r w:rsidR="00BC4EFC">
        <w:rPr>
          <w:rFonts w:ascii="Times New Roman" w:eastAsia="Times New Roman" w:hAnsi="Times New Roman" w:cstheme="minorBidi"/>
          <w:lang w:eastAsia="ar-SA"/>
        </w:rPr>
        <w:t xml:space="preserve"> among</w:t>
      </w:r>
      <w:r w:rsidR="00DB1B00">
        <w:rPr>
          <w:rFonts w:ascii="Times New Roman" w:eastAsia="Times New Roman" w:hAnsi="Times New Roman" w:cstheme="minorBidi"/>
          <w:lang w:eastAsia="ar-SA"/>
        </w:rPr>
        <w:t>st</w:t>
      </w:r>
      <w:r w:rsidR="00BC4EFC">
        <w:rPr>
          <w:rFonts w:ascii="Times New Roman" w:eastAsia="Times New Roman" w:hAnsi="Times New Roman" w:cstheme="minorBidi"/>
          <w:lang w:eastAsia="ar-SA"/>
        </w:rPr>
        <w:t xml:space="preserve"> others</w:t>
      </w:r>
      <w:r w:rsidR="00280ECD" w:rsidDel="00C34DA6">
        <w:rPr>
          <w:rFonts w:ascii="Times New Roman" w:eastAsia="Times New Roman" w:hAnsi="Times New Roman" w:cstheme="minorBidi"/>
          <w:lang w:eastAsia="ar-SA"/>
        </w:rPr>
        <w:t>.</w:t>
      </w:r>
      <w:r w:rsidR="00C34DA6">
        <w:rPr>
          <w:rFonts w:ascii="Times New Roman" w:eastAsia="Times New Roman" w:hAnsi="Times New Roman" w:cstheme="minorBidi"/>
          <w:lang w:eastAsia="ar-SA"/>
        </w:rPr>
        <w:t xml:space="preserve"> </w:t>
      </w:r>
      <w:r w:rsidR="005A3501">
        <w:rPr>
          <w:rFonts w:ascii="Times New Roman" w:eastAsia="Times New Roman" w:hAnsi="Times New Roman" w:cstheme="minorBidi"/>
          <w:lang w:eastAsia="ar-SA"/>
        </w:rPr>
        <w:t xml:space="preserve">This marks a shift from </w:t>
      </w:r>
      <w:r w:rsidR="00BC4EFC">
        <w:rPr>
          <w:rFonts w:ascii="Times New Roman" w:eastAsia="Times New Roman" w:hAnsi="Times New Roman" w:cstheme="minorBidi"/>
          <w:lang w:eastAsia="ar-SA"/>
        </w:rPr>
        <w:t xml:space="preserve">the </w:t>
      </w:r>
      <w:r w:rsidR="005A3501">
        <w:rPr>
          <w:rFonts w:ascii="Times New Roman" w:eastAsia="Times New Roman" w:hAnsi="Times New Roman" w:cstheme="minorBidi"/>
          <w:lang w:eastAsia="ar-SA"/>
        </w:rPr>
        <w:t>biofuels</w:t>
      </w:r>
      <w:r w:rsidR="00BC4EFC">
        <w:rPr>
          <w:rFonts w:ascii="Times New Roman" w:eastAsia="Times New Roman" w:hAnsi="Times New Roman" w:cstheme="minorBidi"/>
          <w:lang w:eastAsia="ar-SA"/>
        </w:rPr>
        <w:t xml:space="preserve"> previously profiled</w:t>
      </w:r>
      <w:r w:rsidR="005A3501">
        <w:rPr>
          <w:rFonts w:ascii="Times New Roman" w:eastAsia="Times New Roman" w:hAnsi="Times New Roman" w:cstheme="minorBidi"/>
          <w:lang w:eastAsia="ar-SA"/>
        </w:rPr>
        <w:t>. Although</w:t>
      </w:r>
      <w:r w:rsidR="00DE4525">
        <w:rPr>
          <w:rFonts w:ascii="Times New Roman" w:eastAsia="Times New Roman" w:hAnsi="Times New Roman" w:cstheme="minorBidi"/>
          <w:lang w:eastAsia="ar-SA"/>
        </w:rPr>
        <w:t xml:space="preserve"> some</w:t>
      </w:r>
      <w:r w:rsidR="005A3501">
        <w:rPr>
          <w:rFonts w:ascii="Times New Roman" w:eastAsia="Times New Roman" w:hAnsi="Times New Roman" w:cstheme="minorBidi"/>
          <w:lang w:eastAsia="ar-SA"/>
        </w:rPr>
        <w:t xml:space="preserve"> biofuel products continue to be available, some companies</w:t>
      </w:r>
      <w:r w:rsidR="00B5184C">
        <w:rPr>
          <w:rFonts w:ascii="Times New Roman" w:eastAsia="Times New Roman" w:hAnsi="Times New Roman" w:cstheme="minorBidi"/>
          <w:lang w:eastAsia="ar-SA"/>
        </w:rPr>
        <w:t xml:space="preserve"> </w:t>
      </w:r>
      <w:r w:rsidR="001956F4">
        <w:rPr>
          <w:rFonts w:ascii="Times New Roman" w:eastAsia="Times New Roman" w:hAnsi="Times New Roman" w:cstheme="minorBidi"/>
          <w:lang w:eastAsia="ar-SA"/>
        </w:rPr>
        <w:t>specialising</w:t>
      </w:r>
      <w:r w:rsidR="00B5184C">
        <w:rPr>
          <w:rFonts w:ascii="Times New Roman" w:eastAsia="Times New Roman" w:hAnsi="Times New Roman" w:cstheme="minorBidi"/>
          <w:lang w:eastAsia="ar-SA"/>
        </w:rPr>
        <w:t xml:space="preserve"> in algal biofuels (e.g. Solazyme and Caly</w:t>
      </w:r>
      <w:r w:rsidR="00C84AEA">
        <w:rPr>
          <w:rFonts w:ascii="Times New Roman" w:eastAsia="Times New Roman" w:hAnsi="Times New Roman" w:cstheme="minorBidi"/>
          <w:lang w:eastAsia="ar-SA"/>
        </w:rPr>
        <w:t>s</w:t>
      </w:r>
      <w:r w:rsidR="00B5184C">
        <w:rPr>
          <w:rFonts w:ascii="Times New Roman" w:eastAsia="Times New Roman" w:hAnsi="Times New Roman" w:cstheme="minorBidi"/>
          <w:lang w:eastAsia="ar-SA"/>
        </w:rPr>
        <w:t>ta) have been sold or have gone out of business. Thus, the availability</w:t>
      </w:r>
      <w:r w:rsidR="00D11CD6">
        <w:rPr>
          <w:rFonts w:ascii="Times New Roman" w:eastAsia="Times New Roman" w:hAnsi="Times New Roman" w:cstheme="minorBidi"/>
          <w:lang w:eastAsia="ar-SA"/>
        </w:rPr>
        <w:t xml:space="preserve"> of the</w:t>
      </w:r>
      <w:r w:rsidR="00DB1B00">
        <w:rPr>
          <w:rFonts w:ascii="Times New Roman" w:eastAsia="Times New Roman" w:hAnsi="Times New Roman" w:cstheme="minorBidi"/>
          <w:lang w:eastAsia="ar-SA"/>
        </w:rPr>
        <w:t>se</w:t>
      </w:r>
      <w:r w:rsidR="00D11CD6">
        <w:rPr>
          <w:rFonts w:ascii="Times New Roman" w:eastAsia="Times New Roman" w:hAnsi="Times New Roman" w:cstheme="minorBidi"/>
          <w:lang w:eastAsia="ar-SA"/>
        </w:rPr>
        <w:t xml:space="preserve"> products</w:t>
      </w:r>
      <w:r w:rsidR="00B5184C">
        <w:rPr>
          <w:rFonts w:ascii="Times New Roman" w:eastAsia="Times New Roman" w:hAnsi="Times New Roman" w:cstheme="minorBidi"/>
          <w:lang w:eastAsia="ar-SA"/>
        </w:rPr>
        <w:t xml:space="preserve"> is unclear. Developments continue with other microbes, but the focus may have shifted to bio-producing </w:t>
      </w:r>
      <w:r w:rsidR="00FD2241">
        <w:rPr>
          <w:rFonts w:ascii="Times New Roman" w:eastAsia="Times New Roman" w:hAnsi="Times New Roman" w:cstheme="minorBidi"/>
          <w:lang w:eastAsia="ar-SA"/>
        </w:rPr>
        <w:t>petrochemical precursors</w:t>
      </w:r>
      <w:r w:rsidR="00D3391C">
        <w:rPr>
          <w:rFonts w:ascii="Times New Roman" w:eastAsia="Times New Roman" w:hAnsi="Times New Roman" w:cstheme="minorBidi"/>
          <w:lang w:eastAsia="ar-SA"/>
        </w:rPr>
        <w:t>.</w:t>
      </w:r>
      <w:r w:rsidR="00026E32" w:rsidRPr="00026E32">
        <w:rPr>
          <w:rFonts w:ascii="Times New Roman" w:eastAsia="Times New Roman" w:hAnsi="Times New Roman" w:cstheme="minorBidi"/>
          <w:lang w:eastAsia="ar-SA"/>
        </w:rPr>
        <w:t xml:space="preserve"> </w:t>
      </w:r>
    </w:p>
    <w:p w14:paraId="02C23911" w14:textId="1B30AC4A" w:rsidR="00280ECD" w:rsidRDefault="00026E32" w:rsidP="00DB1B00">
      <w:pPr>
        <w:spacing w:before="120" w:after="120" w:line="240" w:lineRule="auto"/>
        <w:jc w:val="both"/>
        <w:rPr>
          <w:rFonts w:ascii="Times New Roman" w:eastAsia="Times New Roman" w:hAnsi="Times New Roman" w:cstheme="minorBidi"/>
          <w:lang w:eastAsia="ar-SA"/>
        </w:rPr>
      </w:pPr>
      <w:r>
        <w:rPr>
          <w:rFonts w:ascii="Times New Roman" w:eastAsia="Times New Roman" w:hAnsi="Times New Roman" w:cstheme="minorBidi"/>
          <w:lang w:eastAsia="ar-SA"/>
        </w:rPr>
        <w:t xml:space="preserve">Further, more industries have spurred new applications not covered by the </w:t>
      </w:r>
      <w:r w:rsidR="00DB1B00">
        <w:rPr>
          <w:rFonts w:ascii="Times New Roman" w:eastAsia="Times New Roman" w:hAnsi="Times New Roman" w:cstheme="minorBidi"/>
          <w:lang w:eastAsia="ar-SA"/>
        </w:rPr>
        <w:t xml:space="preserve">previous </w:t>
      </w:r>
      <w:r>
        <w:rPr>
          <w:rFonts w:ascii="Times New Roman" w:eastAsia="Times New Roman" w:hAnsi="Times New Roman" w:cstheme="minorBidi"/>
          <w:lang w:eastAsia="ar-SA"/>
        </w:rPr>
        <w:t>technical series document. For example, food proteins, textiles and materials are being produced without the need for animal</w:t>
      </w:r>
      <w:r w:rsidR="00DB1B00">
        <w:rPr>
          <w:rFonts w:ascii="Times New Roman" w:eastAsia="Times New Roman" w:hAnsi="Times New Roman" w:cstheme="minorBidi"/>
          <w:lang w:eastAsia="ar-SA"/>
        </w:rPr>
        <w:t xml:space="preserve"> </w:t>
      </w:r>
      <w:r>
        <w:rPr>
          <w:rFonts w:ascii="Times New Roman" w:eastAsia="Times New Roman" w:hAnsi="Times New Roman" w:cstheme="minorBidi"/>
          <w:lang w:eastAsia="ar-SA"/>
        </w:rPr>
        <w:t>s</w:t>
      </w:r>
      <w:r w:rsidR="00DB1B00">
        <w:rPr>
          <w:rFonts w:ascii="Times New Roman" w:eastAsia="Times New Roman" w:hAnsi="Times New Roman" w:cstheme="minorBidi"/>
          <w:lang w:eastAsia="ar-SA"/>
        </w:rPr>
        <w:t>ources</w:t>
      </w:r>
      <w:r>
        <w:rPr>
          <w:rFonts w:ascii="Times New Roman" w:eastAsia="Times New Roman" w:hAnsi="Times New Roman" w:cstheme="minorBidi"/>
          <w:lang w:eastAsia="ar-SA"/>
        </w:rPr>
        <w:t xml:space="preserve">. </w:t>
      </w:r>
      <w:r w:rsidR="00BC4EFC">
        <w:rPr>
          <w:rFonts w:ascii="Times New Roman" w:eastAsia="Times New Roman" w:hAnsi="Times New Roman" w:cstheme="minorBidi"/>
          <w:lang w:eastAsia="ar-SA"/>
        </w:rPr>
        <w:t>Similar</w:t>
      </w:r>
      <w:r w:rsidR="00DB1B00">
        <w:rPr>
          <w:rFonts w:ascii="Times New Roman" w:eastAsia="Times New Roman" w:hAnsi="Times New Roman" w:cstheme="minorBidi"/>
          <w:lang w:eastAsia="ar-SA"/>
        </w:rPr>
        <w:t>ly</w:t>
      </w:r>
      <w:r w:rsidR="00BC4EFC">
        <w:rPr>
          <w:rFonts w:ascii="Times New Roman" w:eastAsia="Times New Roman" w:hAnsi="Times New Roman" w:cstheme="minorBidi"/>
          <w:lang w:eastAsia="ar-SA"/>
        </w:rPr>
        <w:t xml:space="preserve">, wildlife products, such as rhinoceros horns, could soon </w:t>
      </w:r>
      <w:r w:rsidR="00F30069">
        <w:rPr>
          <w:rFonts w:ascii="Times New Roman" w:eastAsia="Times New Roman" w:hAnsi="Times New Roman" w:cstheme="minorBidi"/>
          <w:lang w:eastAsia="ar-SA"/>
        </w:rPr>
        <w:t xml:space="preserve">be </w:t>
      </w:r>
      <w:r w:rsidR="00BC4EFC">
        <w:rPr>
          <w:rFonts w:ascii="Times New Roman" w:eastAsia="Times New Roman" w:hAnsi="Times New Roman" w:cstheme="minorBidi"/>
          <w:lang w:eastAsia="ar-SA"/>
        </w:rPr>
        <w:t xml:space="preserve">replaced with bio-fabricated versions. </w:t>
      </w:r>
      <w:r>
        <w:rPr>
          <w:rFonts w:ascii="Times New Roman" w:eastAsia="Times New Roman" w:hAnsi="Times New Roman" w:cstheme="minorBidi"/>
          <w:lang w:eastAsia="ar-SA"/>
        </w:rPr>
        <w:t>Additionally, new devices designed for olfactory detection or 3D printing tissues have become available.</w:t>
      </w:r>
      <w:r w:rsidR="00BC4EFC">
        <w:rPr>
          <w:rFonts w:ascii="Times New Roman" w:eastAsia="Times New Roman" w:hAnsi="Times New Roman" w:cstheme="minorBidi"/>
          <w:lang w:eastAsia="ar-SA"/>
        </w:rPr>
        <w:t xml:space="preserve"> T</w:t>
      </w:r>
      <w:r>
        <w:rPr>
          <w:rFonts w:ascii="Times New Roman" w:eastAsia="Times New Roman" w:hAnsi="Times New Roman" w:cstheme="minorBidi"/>
          <w:lang w:eastAsia="ar-SA"/>
        </w:rPr>
        <w:t>he new tools, such as CRISPR-Cas systems</w:t>
      </w:r>
      <w:r w:rsidR="00BC4EFC">
        <w:rPr>
          <w:rFonts w:ascii="Times New Roman" w:eastAsia="Times New Roman" w:hAnsi="Times New Roman" w:cstheme="minorBidi"/>
          <w:lang w:eastAsia="ar-SA"/>
        </w:rPr>
        <w:t>,</w:t>
      </w:r>
      <w:r>
        <w:rPr>
          <w:rFonts w:ascii="Times New Roman" w:eastAsia="Times New Roman" w:hAnsi="Times New Roman" w:cstheme="minorBidi"/>
          <w:lang w:eastAsia="ar-SA"/>
        </w:rPr>
        <w:t xml:space="preserve"> </w:t>
      </w:r>
      <w:r w:rsidR="00BC4EFC">
        <w:rPr>
          <w:rFonts w:ascii="Times New Roman" w:eastAsia="Times New Roman" w:hAnsi="Times New Roman" w:cstheme="minorBidi"/>
          <w:lang w:eastAsia="ar-SA"/>
        </w:rPr>
        <w:t>t</w:t>
      </w:r>
      <w:r>
        <w:rPr>
          <w:rFonts w:ascii="Times New Roman" w:eastAsia="Times New Roman" w:hAnsi="Times New Roman" w:cstheme="minorBidi"/>
          <w:lang w:eastAsia="ar-SA"/>
        </w:rPr>
        <w:t>o support future developments</w:t>
      </w:r>
      <w:r w:rsidR="00BC4EFC">
        <w:rPr>
          <w:rFonts w:ascii="Times New Roman" w:eastAsia="Times New Roman" w:hAnsi="Times New Roman" w:cstheme="minorBidi"/>
          <w:lang w:eastAsia="ar-SA"/>
        </w:rPr>
        <w:t xml:space="preserve"> have come to market</w:t>
      </w:r>
      <w:r>
        <w:rPr>
          <w:rFonts w:ascii="Times New Roman" w:eastAsia="Times New Roman" w:hAnsi="Times New Roman" w:cstheme="minorBidi"/>
          <w:lang w:eastAsia="ar-SA"/>
        </w:rPr>
        <w:t xml:space="preserve">. </w:t>
      </w:r>
      <w:r w:rsidR="006238CA">
        <w:rPr>
          <w:rFonts w:ascii="Times New Roman" w:eastAsia="Times New Roman" w:hAnsi="Times New Roman" w:cstheme="minorBidi"/>
          <w:lang w:eastAsia="ar-SA"/>
        </w:rPr>
        <w:t xml:space="preserve">However, it is important to also </w:t>
      </w:r>
      <w:r w:rsidR="00C92CF8">
        <w:rPr>
          <w:rFonts w:ascii="Times New Roman" w:eastAsia="Times New Roman" w:hAnsi="Times New Roman" w:cstheme="minorBidi"/>
          <w:lang w:eastAsia="ar-SA"/>
        </w:rPr>
        <w:t xml:space="preserve">highlight </w:t>
      </w:r>
      <w:r w:rsidR="006238CA">
        <w:rPr>
          <w:rFonts w:ascii="Times New Roman" w:eastAsia="Times New Roman" w:hAnsi="Times New Roman" w:cstheme="minorBidi"/>
          <w:lang w:eastAsia="ar-SA"/>
        </w:rPr>
        <w:t>the continued availability of the Standard Registry of Parts, which plays an integral part of the iGEM competition.</w:t>
      </w:r>
    </w:p>
    <w:p w14:paraId="2C4AD75F" w14:textId="630583B5" w:rsidR="00E17235" w:rsidRDefault="00E17235" w:rsidP="002F2DAB">
      <w:pPr>
        <w:spacing w:before="120" w:after="120" w:line="240" w:lineRule="auto"/>
        <w:jc w:val="both"/>
        <w:rPr>
          <w:rFonts w:ascii="Times New Roman" w:eastAsia="Times New Roman" w:hAnsi="Times New Roman" w:cstheme="minorBidi"/>
          <w:lang w:eastAsia="ar-SA"/>
        </w:rPr>
      </w:pPr>
      <w:r>
        <w:rPr>
          <w:rFonts w:ascii="Times New Roman" w:eastAsia="Times New Roman" w:hAnsi="Times New Roman" w:cstheme="minorBidi"/>
          <w:lang w:eastAsia="ar-SA"/>
        </w:rPr>
        <w:t xml:space="preserve">Another change since 2015 is the development of commercially available products for environmental release, including genome edited </w:t>
      </w:r>
      <w:r w:rsidR="00BA3E36">
        <w:rPr>
          <w:rFonts w:ascii="Times New Roman" w:eastAsia="Times New Roman" w:hAnsi="Times New Roman" w:cstheme="minorBidi"/>
          <w:lang w:eastAsia="ar-SA"/>
        </w:rPr>
        <w:t xml:space="preserve">soya bean, engineered bacteria </w:t>
      </w:r>
      <w:r w:rsidR="001956F4">
        <w:rPr>
          <w:rFonts w:ascii="Times New Roman" w:eastAsia="Times New Roman" w:hAnsi="Times New Roman" w:cstheme="minorBidi"/>
          <w:lang w:eastAsia="ar-SA"/>
        </w:rPr>
        <w:t>fertilisers</w:t>
      </w:r>
      <w:r w:rsidR="00BA3E36">
        <w:rPr>
          <w:rFonts w:ascii="Times New Roman" w:eastAsia="Times New Roman" w:hAnsi="Times New Roman" w:cstheme="minorBidi"/>
          <w:lang w:eastAsia="ar-SA"/>
        </w:rPr>
        <w:t xml:space="preserve"> and self-limiting insects. Other products are in </w:t>
      </w:r>
      <w:r w:rsidR="002F2DAB">
        <w:rPr>
          <w:rFonts w:ascii="Times New Roman" w:eastAsia="Times New Roman" w:hAnsi="Times New Roman" w:cstheme="minorBidi"/>
          <w:lang w:eastAsia="ar-SA"/>
        </w:rPr>
        <w:t>advanced</w:t>
      </w:r>
      <w:r w:rsidR="00BA3E36">
        <w:rPr>
          <w:rFonts w:ascii="Times New Roman" w:eastAsia="Times New Roman" w:hAnsi="Times New Roman" w:cstheme="minorBidi"/>
          <w:lang w:eastAsia="ar-SA"/>
        </w:rPr>
        <w:t xml:space="preserve"> stages of development, such as </w:t>
      </w:r>
      <w:r w:rsidR="00325A69">
        <w:rPr>
          <w:rFonts w:ascii="Times New Roman" w:eastAsia="Times New Roman" w:hAnsi="Times New Roman" w:cstheme="minorBidi"/>
          <w:lang w:eastAsia="ar-SA"/>
        </w:rPr>
        <w:t>genome edited animals</w:t>
      </w:r>
      <w:r w:rsidR="006238CA">
        <w:rPr>
          <w:rFonts w:ascii="Times New Roman" w:eastAsia="Times New Roman" w:hAnsi="Times New Roman" w:cstheme="minorBidi"/>
          <w:lang w:eastAsia="ar-SA"/>
        </w:rPr>
        <w:t xml:space="preserve"> and </w:t>
      </w:r>
      <w:r w:rsidR="00C71621">
        <w:rPr>
          <w:rFonts w:ascii="Times New Roman" w:eastAsia="Times New Roman" w:hAnsi="Times New Roman" w:cstheme="minorBidi"/>
          <w:lang w:eastAsia="ar-SA"/>
        </w:rPr>
        <w:t xml:space="preserve">organisms containing </w:t>
      </w:r>
      <w:r w:rsidR="00BA3E36">
        <w:rPr>
          <w:rFonts w:ascii="Times New Roman" w:eastAsia="Times New Roman" w:hAnsi="Times New Roman" w:cstheme="minorBidi"/>
          <w:lang w:eastAsia="ar-SA"/>
        </w:rPr>
        <w:t xml:space="preserve">engineered gene drives </w:t>
      </w:r>
      <w:r w:rsidR="00F84B82">
        <w:rPr>
          <w:rFonts w:ascii="Times New Roman" w:eastAsia="Times New Roman" w:hAnsi="Times New Roman" w:cstheme="minorBidi"/>
          <w:lang w:eastAsia="ar-SA"/>
        </w:rPr>
        <w:t>to control vector-borne diseases</w:t>
      </w:r>
      <w:r w:rsidR="00325A69">
        <w:rPr>
          <w:rFonts w:ascii="Times New Roman" w:eastAsia="Times New Roman" w:hAnsi="Times New Roman" w:cstheme="minorBidi"/>
          <w:lang w:eastAsia="ar-SA"/>
        </w:rPr>
        <w:t xml:space="preserve">. The </w:t>
      </w:r>
      <w:r w:rsidR="00FA4D47">
        <w:rPr>
          <w:rFonts w:ascii="Times New Roman" w:eastAsia="Times New Roman" w:hAnsi="Times New Roman" w:cstheme="minorBidi"/>
          <w:lang w:eastAsia="ar-SA"/>
        </w:rPr>
        <w:t>latter</w:t>
      </w:r>
      <w:r w:rsidR="00325A69">
        <w:rPr>
          <w:rFonts w:ascii="Times New Roman" w:eastAsia="Times New Roman" w:hAnsi="Times New Roman" w:cstheme="minorBidi"/>
          <w:lang w:eastAsia="ar-SA"/>
        </w:rPr>
        <w:t xml:space="preserve"> of </w:t>
      </w:r>
      <w:r w:rsidR="00F84B82">
        <w:rPr>
          <w:rFonts w:ascii="Times New Roman" w:eastAsia="Times New Roman" w:hAnsi="Times New Roman" w:cstheme="minorBidi"/>
          <w:lang w:eastAsia="ar-SA"/>
        </w:rPr>
        <w:t xml:space="preserve">which was previously in early stages of research </w:t>
      </w:r>
      <w:r w:rsidR="00325A69">
        <w:rPr>
          <w:rFonts w:ascii="Times New Roman" w:eastAsia="Times New Roman" w:hAnsi="Times New Roman" w:cstheme="minorBidi"/>
          <w:lang w:eastAsia="ar-SA"/>
        </w:rPr>
        <w:t>at the time of</w:t>
      </w:r>
      <w:r w:rsidR="00F84B82">
        <w:rPr>
          <w:rFonts w:ascii="Times New Roman" w:eastAsia="Times New Roman" w:hAnsi="Times New Roman" w:cstheme="minorBidi"/>
          <w:lang w:eastAsia="ar-SA"/>
        </w:rPr>
        <w:t xml:space="preserve"> publication of the previous technical series. </w:t>
      </w:r>
    </w:p>
    <w:p w14:paraId="24077DAE" w14:textId="6D85DC42" w:rsidR="004D07B6" w:rsidRPr="00870E89" w:rsidRDefault="008C14E9" w:rsidP="001A4CEB">
      <w:pPr>
        <w:spacing w:before="120" w:after="120" w:line="240" w:lineRule="auto"/>
        <w:jc w:val="both"/>
        <w:rPr>
          <w:rFonts w:ascii="Times New Roman" w:eastAsia="Times New Roman" w:hAnsi="Times New Roman" w:cstheme="minorBidi"/>
          <w:lang w:eastAsia="ar-SA"/>
        </w:rPr>
      </w:pPr>
      <w:r>
        <w:rPr>
          <w:rFonts w:ascii="Times New Roman" w:eastAsia="Times New Roman" w:hAnsi="Times New Roman" w:cstheme="minorBidi"/>
          <w:lang w:eastAsia="ar-SA"/>
        </w:rPr>
        <w:t>However, not all progress ha</w:t>
      </w:r>
      <w:r w:rsidR="00FD4660">
        <w:rPr>
          <w:rFonts w:ascii="Times New Roman" w:eastAsia="Times New Roman" w:hAnsi="Times New Roman" w:cstheme="minorBidi"/>
          <w:lang w:eastAsia="ar-SA"/>
        </w:rPr>
        <w:t>s</w:t>
      </w:r>
      <w:r>
        <w:rPr>
          <w:rFonts w:ascii="Times New Roman" w:eastAsia="Times New Roman" w:hAnsi="Times New Roman" w:cstheme="minorBidi"/>
          <w:lang w:eastAsia="ar-SA"/>
        </w:rPr>
        <w:t xml:space="preserve"> </w:t>
      </w:r>
      <w:r w:rsidR="00B62C00">
        <w:rPr>
          <w:rFonts w:ascii="Times New Roman" w:eastAsia="Times New Roman" w:hAnsi="Times New Roman" w:cstheme="minorBidi"/>
          <w:lang w:eastAsia="ar-SA"/>
        </w:rPr>
        <w:t>materialised</w:t>
      </w:r>
      <w:r>
        <w:rPr>
          <w:rFonts w:ascii="Times New Roman" w:eastAsia="Times New Roman" w:hAnsi="Times New Roman" w:cstheme="minorBidi"/>
          <w:lang w:eastAsia="ar-SA"/>
        </w:rPr>
        <w:t xml:space="preserve"> or occurred rapidly. </w:t>
      </w:r>
      <w:r w:rsidR="00325A69">
        <w:rPr>
          <w:rFonts w:ascii="Times New Roman" w:eastAsia="Times New Roman" w:hAnsi="Times New Roman" w:cstheme="minorBidi"/>
          <w:lang w:eastAsia="ar-SA"/>
        </w:rPr>
        <w:t xml:space="preserve">It is important to </w:t>
      </w:r>
      <w:r w:rsidR="001956F4">
        <w:rPr>
          <w:rFonts w:ascii="Times New Roman" w:eastAsia="Times New Roman" w:hAnsi="Times New Roman" w:cstheme="minorBidi"/>
          <w:lang w:eastAsia="ar-SA"/>
        </w:rPr>
        <w:t>recognise</w:t>
      </w:r>
      <w:r w:rsidR="00325A69">
        <w:rPr>
          <w:rFonts w:ascii="Times New Roman" w:eastAsia="Times New Roman" w:hAnsi="Times New Roman" w:cstheme="minorBidi"/>
          <w:lang w:eastAsia="ar-SA"/>
        </w:rPr>
        <w:t xml:space="preserve"> </w:t>
      </w:r>
      <w:r w:rsidR="001A4CEB">
        <w:rPr>
          <w:rFonts w:ascii="Times New Roman" w:eastAsia="Times New Roman" w:hAnsi="Times New Roman" w:cstheme="minorBidi"/>
          <w:lang w:eastAsia="ar-SA"/>
        </w:rPr>
        <w:t>that</w:t>
      </w:r>
      <w:r w:rsidR="00325A69">
        <w:rPr>
          <w:rFonts w:ascii="Times New Roman" w:eastAsia="Times New Roman" w:hAnsi="Times New Roman" w:cstheme="minorBidi"/>
          <w:lang w:eastAsia="ar-SA"/>
        </w:rPr>
        <w:t xml:space="preserve"> certain applications of synthetic biology have remained in early stages of research and development. These include de-extinction</w:t>
      </w:r>
      <w:r w:rsidR="00B41136">
        <w:rPr>
          <w:rFonts w:ascii="Times New Roman" w:eastAsia="Times New Roman" w:hAnsi="Times New Roman" w:cstheme="minorBidi"/>
          <w:lang w:eastAsia="ar-SA"/>
        </w:rPr>
        <w:t xml:space="preserve"> of species</w:t>
      </w:r>
      <w:r w:rsidR="00325A69">
        <w:rPr>
          <w:rFonts w:ascii="Times New Roman" w:eastAsia="Times New Roman" w:hAnsi="Times New Roman" w:cstheme="minorBidi"/>
          <w:lang w:eastAsia="ar-SA"/>
        </w:rPr>
        <w:t xml:space="preserve">, </w:t>
      </w:r>
      <w:r>
        <w:rPr>
          <w:rFonts w:ascii="Times New Roman" w:eastAsia="Times New Roman" w:hAnsi="Times New Roman" w:cstheme="minorBidi"/>
          <w:lang w:eastAsia="ar-SA"/>
        </w:rPr>
        <w:t xml:space="preserve">bio-mining, plants with enhanced photosynthesis, plants engineered to fix their own nitrogen, and genetic bio-containment </w:t>
      </w:r>
      <w:r w:rsidR="004D17E8">
        <w:rPr>
          <w:rFonts w:ascii="Times New Roman" w:eastAsia="Times New Roman" w:hAnsi="Times New Roman" w:cstheme="minorBidi"/>
          <w:lang w:eastAsia="ar-SA"/>
        </w:rPr>
        <w:t>strategies</w:t>
      </w:r>
      <w:r>
        <w:rPr>
          <w:rFonts w:ascii="Times New Roman" w:eastAsia="Times New Roman" w:hAnsi="Times New Roman" w:cstheme="minorBidi"/>
          <w:lang w:eastAsia="ar-SA"/>
        </w:rPr>
        <w:t>.</w:t>
      </w:r>
      <w:r w:rsidR="004D17E8">
        <w:rPr>
          <w:rFonts w:ascii="Times New Roman" w:eastAsia="Times New Roman" w:hAnsi="Times New Roman" w:cstheme="minorBidi"/>
          <w:lang w:eastAsia="ar-SA"/>
        </w:rPr>
        <w:t xml:space="preserve"> It is not clear when or if these developments will advance to later stages of development.</w:t>
      </w:r>
    </w:p>
    <w:p w14:paraId="587E3C7D" w14:textId="5B619966" w:rsidR="00A268DA" w:rsidRPr="00A268DA" w:rsidRDefault="000C2329" w:rsidP="00A323F6">
      <w:pPr>
        <w:pStyle w:val="Heading1"/>
        <w:rPr>
          <w:rFonts w:cs="Calibri"/>
          <w:color w:val="000000"/>
        </w:rPr>
      </w:pPr>
      <w:bookmarkStart w:id="73" w:name="_Toc388339311"/>
      <w:bookmarkStart w:id="74" w:name="_Toc398726473"/>
      <w:bookmarkStart w:id="75" w:name="_Toc70112683"/>
      <w:bookmarkStart w:id="76" w:name="_Toc70685705"/>
      <w:r>
        <w:t>D</w:t>
      </w:r>
      <w:r w:rsidR="00A85DD4" w:rsidRPr="40CE3C72">
        <w:t>.</w:t>
      </w:r>
      <w:r w:rsidR="00A323F6">
        <w:tab/>
      </w:r>
      <w:r w:rsidR="00A268DA" w:rsidRPr="40CE3C72">
        <w:t>POTENTIAL impacts oF com</w:t>
      </w:r>
      <w:r w:rsidR="00C67E9E" w:rsidRPr="40CE3C72">
        <w:t>ponents, organisms and</w:t>
      </w:r>
      <w:r w:rsidR="00C67E9E">
        <w:br/>
      </w:r>
      <w:r w:rsidR="00A268DA" w:rsidRPr="40CE3C72">
        <w:t>products</w:t>
      </w:r>
      <w:r w:rsidR="00173832" w:rsidRPr="40CE3C72">
        <w:t xml:space="preserve"> </w:t>
      </w:r>
      <w:r w:rsidR="00A268DA" w:rsidRPr="40CE3C72">
        <w:t>resulting fr</w:t>
      </w:r>
      <w:r w:rsidR="00C67E9E" w:rsidRPr="40CE3C72">
        <w:t>om synthetic biology</w:t>
      </w:r>
      <w:bookmarkEnd w:id="73"/>
      <w:bookmarkEnd w:id="74"/>
      <w:bookmarkEnd w:id="75"/>
      <w:bookmarkEnd w:id="76"/>
    </w:p>
    <w:p w14:paraId="229B40B3" w14:textId="5D3A042D" w:rsidR="00635AA0" w:rsidRDefault="00635AA0" w:rsidP="004E3007">
      <w:pPr>
        <w:suppressAutoHyphens/>
        <w:autoSpaceDE w:val="0"/>
        <w:spacing w:before="120" w:after="120" w:line="240" w:lineRule="auto"/>
        <w:jc w:val="both"/>
        <w:rPr>
          <w:rFonts w:ascii="Times New Roman" w:eastAsia="SimSun" w:hAnsi="Times New Roman" w:cs="Calibri"/>
          <w:bCs/>
          <w:color w:val="000000"/>
          <w:kern w:val="1"/>
          <w:lang w:eastAsia="hi-IN" w:bidi="hi-IN"/>
        </w:rPr>
      </w:pPr>
      <w:r w:rsidRPr="00635AA0">
        <w:rPr>
          <w:rFonts w:ascii="Times New Roman" w:eastAsia="SimSun" w:hAnsi="Times New Roman" w:cs="Calibri"/>
          <w:bCs/>
          <w:color w:val="000000"/>
          <w:kern w:val="1"/>
          <w:lang w:eastAsia="hi-IN" w:bidi="hi-IN"/>
        </w:rPr>
        <w:t xml:space="preserve">Parties of the CBD have </w:t>
      </w:r>
      <w:r w:rsidR="000A249C" w:rsidRPr="00635AA0">
        <w:rPr>
          <w:rFonts w:ascii="Times New Roman" w:eastAsia="SimSun" w:hAnsi="Times New Roman" w:cs="Calibri"/>
          <w:bCs/>
          <w:color w:val="000000"/>
          <w:kern w:val="1"/>
          <w:lang w:eastAsia="hi-IN" w:bidi="hi-IN"/>
        </w:rPr>
        <w:t>recogni</w:t>
      </w:r>
      <w:r w:rsidR="000A249C">
        <w:rPr>
          <w:rFonts w:ascii="Times New Roman" w:eastAsia="SimSun" w:hAnsi="Times New Roman" w:cs="Calibri"/>
          <w:bCs/>
          <w:color w:val="000000"/>
          <w:kern w:val="1"/>
          <w:lang w:eastAsia="hi-IN" w:bidi="hi-IN"/>
        </w:rPr>
        <w:t>s</w:t>
      </w:r>
      <w:r w:rsidR="000A249C" w:rsidRPr="00635AA0">
        <w:rPr>
          <w:rFonts w:ascii="Times New Roman" w:eastAsia="SimSun" w:hAnsi="Times New Roman" w:cs="Calibri"/>
          <w:bCs/>
          <w:color w:val="000000"/>
          <w:kern w:val="1"/>
          <w:lang w:eastAsia="hi-IN" w:bidi="hi-IN"/>
        </w:rPr>
        <w:t xml:space="preserve">ed </w:t>
      </w:r>
      <w:r w:rsidRPr="00635AA0">
        <w:rPr>
          <w:rFonts w:ascii="Times New Roman" w:eastAsia="SimSun" w:hAnsi="Times New Roman" w:cs="Calibri"/>
          <w:bCs/>
          <w:color w:val="000000"/>
          <w:kern w:val="1"/>
          <w:lang w:eastAsia="hi-IN" w:bidi="hi-IN"/>
        </w:rPr>
        <w:t>that synthetic biology is rapidly developing and a cross-cutting issue, with potential benefits and potential adverse effects vis-à-vis the objectives of the Convention (</w:t>
      </w:r>
      <w:r w:rsidR="00222CBD">
        <w:rPr>
          <w:rFonts w:ascii="Times New Roman" w:eastAsia="SimSun" w:hAnsi="Times New Roman" w:cs="Calibri"/>
          <w:bCs/>
          <w:color w:val="000000"/>
          <w:kern w:val="1"/>
          <w:lang w:eastAsia="hi-IN" w:bidi="hi-IN"/>
        </w:rPr>
        <w:t>decision</w:t>
      </w:r>
      <w:r w:rsidR="00222CBD">
        <w:rPr>
          <w:rFonts w:ascii="Times New Roman" w:eastAsia="SimSun" w:hAnsi="Times New Roman" w:cs="Calibri"/>
          <w:color w:val="000000"/>
          <w:kern w:val="1"/>
          <w:lang w:eastAsia="hi-IN" w:bidi="hi-IN"/>
        </w:rPr>
        <w:t xml:space="preserve"> </w:t>
      </w:r>
      <w:r w:rsidR="006669F8">
        <w:rPr>
          <w:rFonts w:ascii="Times New Roman" w:eastAsia="SimSun" w:hAnsi="Times New Roman" w:cs="Calibri"/>
          <w:bCs/>
          <w:color w:val="000000"/>
          <w:kern w:val="1"/>
          <w:lang w:eastAsia="hi-IN" w:bidi="hi-IN"/>
        </w:rPr>
        <w:t>14/19</w:t>
      </w:r>
      <w:r w:rsidRPr="00635AA0">
        <w:rPr>
          <w:rFonts w:ascii="Times New Roman" w:eastAsia="SimSun" w:hAnsi="Times New Roman" w:cs="Calibri"/>
          <w:bCs/>
          <w:color w:val="000000"/>
          <w:kern w:val="1"/>
          <w:lang w:eastAsia="hi-IN" w:bidi="hi-IN"/>
        </w:rPr>
        <w:t xml:space="preserve">). The conservation of biodiversity </w:t>
      </w:r>
      <w:r w:rsidR="000A249C">
        <w:rPr>
          <w:rFonts w:ascii="Times New Roman" w:eastAsia="SimSun" w:hAnsi="Times New Roman" w:cs="Calibri"/>
          <w:bCs/>
          <w:color w:val="000000"/>
          <w:kern w:val="1"/>
          <w:lang w:eastAsia="hi-IN" w:bidi="hi-IN"/>
        </w:rPr>
        <w:t>is one</w:t>
      </w:r>
      <w:r w:rsidRPr="00635AA0">
        <w:rPr>
          <w:rFonts w:ascii="Times New Roman" w:eastAsia="SimSun" w:hAnsi="Times New Roman" w:cs="Calibri"/>
          <w:bCs/>
          <w:color w:val="000000"/>
          <w:kern w:val="1"/>
          <w:lang w:eastAsia="hi-IN" w:bidi="hi-IN"/>
        </w:rPr>
        <w:t xml:space="preserve"> of three primary objectives of the Convention on Biological Diversity (CBD). The text of the CBD (Article 2; United Nations, 1992) defines two types of conservation: 1) </w:t>
      </w:r>
      <w:r w:rsidRPr="000A249C">
        <w:rPr>
          <w:rFonts w:ascii="Times New Roman" w:eastAsia="SimSun" w:hAnsi="Times New Roman" w:cs="Calibri"/>
          <w:bCs/>
          <w:i/>
          <w:iCs/>
          <w:color w:val="000000"/>
          <w:kern w:val="1"/>
          <w:lang w:eastAsia="hi-IN" w:bidi="hi-IN"/>
        </w:rPr>
        <w:t>ex situ</w:t>
      </w:r>
      <w:r w:rsidRPr="00635AA0">
        <w:rPr>
          <w:rFonts w:ascii="Times New Roman" w:eastAsia="SimSun" w:hAnsi="Times New Roman" w:cs="Calibri"/>
          <w:bCs/>
          <w:color w:val="000000"/>
          <w:kern w:val="1"/>
          <w:lang w:eastAsia="hi-IN" w:bidi="hi-IN"/>
        </w:rPr>
        <w:t xml:space="preserve"> conservation, as “</w:t>
      </w:r>
      <w:r w:rsidRPr="00801F06">
        <w:rPr>
          <w:rFonts w:ascii="Times New Roman" w:eastAsia="SimSun" w:hAnsi="Times New Roman" w:cs="Calibri"/>
          <w:bCs/>
          <w:i/>
          <w:iCs/>
          <w:color w:val="000000"/>
          <w:kern w:val="1"/>
          <w:lang w:eastAsia="hi-IN" w:bidi="hi-IN"/>
        </w:rPr>
        <w:t>the conservation of components of biological diversity outside their natural habitats</w:t>
      </w:r>
      <w:r w:rsidRPr="00635AA0">
        <w:rPr>
          <w:rFonts w:ascii="Times New Roman" w:eastAsia="SimSun" w:hAnsi="Times New Roman" w:cs="Calibri"/>
          <w:bCs/>
          <w:color w:val="000000"/>
          <w:kern w:val="1"/>
          <w:lang w:eastAsia="hi-IN" w:bidi="hi-IN"/>
        </w:rPr>
        <w:t xml:space="preserve">,” and 2) </w:t>
      </w:r>
      <w:r w:rsidRPr="000A249C">
        <w:rPr>
          <w:rFonts w:ascii="Times New Roman" w:eastAsia="SimSun" w:hAnsi="Times New Roman" w:cs="Calibri"/>
          <w:bCs/>
          <w:i/>
          <w:iCs/>
          <w:color w:val="000000"/>
          <w:kern w:val="1"/>
          <w:lang w:eastAsia="hi-IN" w:bidi="hi-IN"/>
        </w:rPr>
        <w:t>in situ</w:t>
      </w:r>
      <w:r w:rsidRPr="00635AA0">
        <w:rPr>
          <w:rFonts w:ascii="Times New Roman" w:eastAsia="SimSun" w:hAnsi="Times New Roman" w:cs="Calibri"/>
          <w:bCs/>
          <w:color w:val="000000"/>
          <w:kern w:val="1"/>
          <w:lang w:eastAsia="hi-IN" w:bidi="hi-IN"/>
        </w:rPr>
        <w:t xml:space="preserve"> conservation, as “</w:t>
      </w:r>
      <w:r w:rsidRPr="00801F06">
        <w:rPr>
          <w:rFonts w:ascii="Times New Roman" w:eastAsia="SimSun" w:hAnsi="Times New Roman" w:cs="Calibri"/>
          <w:bCs/>
          <w:i/>
          <w:iCs/>
          <w:color w:val="000000"/>
          <w:kern w:val="1"/>
          <w:lang w:eastAsia="hi-IN" w:bidi="hi-IN"/>
        </w:rPr>
        <w:t>the conservation of ecosystems and natural habitats and the maintenance and recovery of viable populations of species in their natural surroundings and, in the case of domesticated or cultivated species, in the surroundings where they have developed their distinctive properties</w:t>
      </w:r>
      <w:r w:rsidRPr="00635AA0">
        <w:rPr>
          <w:rFonts w:ascii="Times New Roman" w:eastAsia="SimSun" w:hAnsi="Times New Roman" w:cs="Calibri"/>
          <w:bCs/>
          <w:color w:val="000000"/>
          <w:kern w:val="1"/>
          <w:lang w:eastAsia="hi-IN" w:bidi="hi-IN"/>
        </w:rPr>
        <w:t>”. Notably, it is recognised that the conservation of biological diversity occurs at all levels: genes, species</w:t>
      </w:r>
      <w:r w:rsidR="00880E4F">
        <w:rPr>
          <w:rFonts w:ascii="Times New Roman" w:eastAsia="SimSun" w:hAnsi="Times New Roman" w:cs="Calibri"/>
          <w:bCs/>
          <w:color w:val="000000"/>
          <w:kern w:val="1"/>
          <w:lang w:eastAsia="hi-IN" w:bidi="hi-IN"/>
        </w:rPr>
        <w:t>,</w:t>
      </w:r>
      <w:r w:rsidRPr="00635AA0">
        <w:rPr>
          <w:rFonts w:ascii="Times New Roman" w:eastAsia="SimSun" w:hAnsi="Times New Roman" w:cs="Calibri"/>
          <w:bCs/>
          <w:color w:val="000000"/>
          <w:kern w:val="1"/>
          <w:lang w:eastAsia="hi-IN" w:bidi="hi-IN"/>
        </w:rPr>
        <w:t xml:space="preserve"> and ecosystems.</w:t>
      </w:r>
    </w:p>
    <w:p w14:paraId="4F8C3347" w14:textId="6BD1119D" w:rsidR="00A268DA" w:rsidRDefault="00A268DA" w:rsidP="004E3007">
      <w:pPr>
        <w:suppressAutoHyphens/>
        <w:autoSpaceDE w:val="0"/>
        <w:spacing w:before="120" w:after="120" w:line="240" w:lineRule="auto"/>
        <w:jc w:val="both"/>
        <w:rPr>
          <w:rFonts w:ascii="Times New Roman" w:eastAsia="SimSun" w:hAnsi="Times New Roman" w:cs="Calibri"/>
          <w:bCs/>
          <w:color w:val="000000"/>
          <w:kern w:val="1"/>
          <w:lang w:eastAsia="hi-IN" w:bidi="hi-IN"/>
        </w:rPr>
      </w:pPr>
      <w:r w:rsidRPr="00A268DA">
        <w:rPr>
          <w:rFonts w:ascii="Times New Roman" w:eastAsia="SimSun" w:hAnsi="Times New Roman" w:cs="Calibri"/>
          <w:bCs/>
          <w:color w:val="000000"/>
          <w:kern w:val="1"/>
          <w:lang w:eastAsia="hi-IN" w:bidi="hi-IN"/>
        </w:rPr>
        <w:t xml:space="preserve">Furthermore, in the context of the CBD, </w:t>
      </w:r>
      <w:r w:rsidR="00CB7DB3">
        <w:rPr>
          <w:rFonts w:ascii="Times New Roman" w:eastAsia="SimSun" w:hAnsi="Times New Roman" w:cs="Calibri"/>
          <w:bCs/>
          <w:color w:val="000000"/>
          <w:kern w:val="1"/>
          <w:lang w:eastAsia="hi-IN" w:bidi="hi-IN"/>
        </w:rPr>
        <w:t xml:space="preserve">another of the three primary objectives, </w:t>
      </w:r>
      <w:r w:rsidRPr="00A268DA">
        <w:rPr>
          <w:rFonts w:ascii="Times New Roman" w:eastAsia="SimSun" w:hAnsi="Times New Roman" w:cs="Calibri"/>
          <w:bCs/>
          <w:color w:val="000000"/>
          <w:kern w:val="1"/>
          <w:lang w:eastAsia="hi-IN" w:bidi="hi-IN"/>
        </w:rPr>
        <w:t>sustainable use</w:t>
      </w:r>
      <w:r w:rsidR="00CB7DB3">
        <w:rPr>
          <w:rFonts w:ascii="Times New Roman" w:eastAsia="SimSun" w:hAnsi="Times New Roman" w:cs="Calibri"/>
          <w:bCs/>
          <w:color w:val="000000"/>
          <w:kern w:val="1"/>
          <w:lang w:eastAsia="hi-IN" w:bidi="hi-IN"/>
        </w:rPr>
        <w:t>,</w:t>
      </w:r>
      <w:r w:rsidRPr="00A268DA">
        <w:rPr>
          <w:rFonts w:ascii="Times New Roman" w:eastAsia="SimSun" w:hAnsi="Times New Roman" w:cs="Calibri"/>
          <w:bCs/>
          <w:color w:val="000000"/>
          <w:kern w:val="1"/>
          <w:lang w:eastAsia="hi-IN" w:bidi="hi-IN"/>
        </w:rPr>
        <w:t xml:space="preserve"> is defined as “</w:t>
      </w:r>
      <w:r w:rsidRPr="00AF0047">
        <w:rPr>
          <w:rFonts w:ascii="Times New Roman" w:eastAsia="SimSun" w:hAnsi="Times New Roman" w:cs="Calibri"/>
          <w:i/>
          <w:color w:val="000000"/>
          <w:kern w:val="1"/>
          <w:lang w:eastAsia="hi-IN" w:bidi="hi-IN"/>
        </w:rPr>
        <w:t>the use of components of biological diversity in a way and at a rate that does not lead to the long-term decline of biodiversity, thereby maintaining its potential to meet the needs and aspirations of present and future generations</w:t>
      </w:r>
      <w:r w:rsidRPr="00A268DA">
        <w:rPr>
          <w:rFonts w:ascii="Times New Roman" w:eastAsia="SimSun" w:hAnsi="Times New Roman" w:cs="Calibri"/>
          <w:bCs/>
          <w:color w:val="000000"/>
          <w:kern w:val="1"/>
          <w:lang w:eastAsia="hi-IN" w:bidi="hi-IN"/>
        </w:rPr>
        <w:t>” (</w:t>
      </w:r>
      <w:r w:rsidR="00A66272">
        <w:rPr>
          <w:rFonts w:ascii="Times New Roman" w:eastAsia="SimSun" w:hAnsi="Times New Roman" w:cs="Calibri"/>
          <w:bCs/>
          <w:color w:val="000000"/>
          <w:kern w:val="1"/>
          <w:lang w:eastAsia="hi-IN" w:bidi="hi-IN"/>
        </w:rPr>
        <w:t>Article 2; United Nations, 1992</w:t>
      </w:r>
      <w:r w:rsidRPr="00A268DA">
        <w:rPr>
          <w:rFonts w:ascii="Times New Roman" w:eastAsia="SimSun" w:hAnsi="Times New Roman" w:cs="Calibri"/>
          <w:bCs/>
          <w:color w:val="000000"/>
          <w:kern w:val="1"/>
          <w:lang w:eastAsia="hi-IN" w:bidi="hi-IN"/>
        </w:rPr>
        <w:t xml:space="preserve">). Sustainable use encompasses </w:t>
      </w:r>
      <w:r w:rsidRPr="00A268DA">
        <w:rPr>
          <w:rFonts w:ascii="Times New Roman" w:hAnsi="Times New Roman"/>
          <w:bCs/>
          <w:color w:val="000000"/>
          <w:kern w:val="1"/>
          <w:lang w:eastAsia="ar-SA"/>
        </w:rPr>
        <w:t>ecological</w:t>
      </w:r>
      <w:r w:rsidRPr="00A268DA">
        <w:rPr>
          <w:rFonts w:ascii="Times New Roman" w:eastAsia="SimSun" w:hAnsi="Times New Roman" w:cs="Calibri"/>
          <w:bCs/>
          <w:color w:val="000000"/>
          <w:kern w:val="1"/>
          <w:lang w:eastAsia="hi-IN" w:bidi="hi-IN"/>
        </w:rPr>
        <w:t>, economic, social, cultural</w:t>
      </w:r>
      <w:r w:rsidR="00327EA8">
        <w:rPr>
          <w:rFonts w:ascii="Times New Roman" w:eastAsia="SimSun" w:hAnsi="Times New Roman" w:cs="Calibri"/>
          <w:bCs/>
          <w:color w:val="000000"/>
          <w:kern w:val="1"/>
          <w:lang w:eastAsia="hi-IN" w:bidi="hi-IN"/>
        </w:rPr>
        <w:t>,</w:t>
      </w:r>
      <w:r w:rsidRPr="00A268DA">
        <w:rPr>
          <w:rFonts w:ascii="Times New Roman" w:eastAsia="SimSun" w:hAnsi="Times New Roman" w:cs="Calibri"/>
          <w:bCs/>
          <w:color w:val="000000"/>
          <w:kern w:val="1"/>
          <w:lang w:eastAsia="hi-IN" w:bidi="hi-IN"/>
        </w:rPr>
        <w:t xml:space="preserve"> and political factors </w:t>
      </w:r>
      <w:r w:rsidR="00F84FAA">
        <w:rPr>
          <w:rFonts w:ascii="Times New Roman" w:eastAsia="SimSun" w:hAnsi="Times New Roman" w:cs="Calibri"/>
          <w:bCs/>
          <w:color w:val="000000"/>
          <w:kern w:val="1"/>
          <w:lang w:eastAsia="hi-IN" w:bidi="hi-IN"/>
        </w:rPr>
        <w:fldChar w:fldCharType="begin" w:fldLock="1"/>
      </w:r>
      <w:r w:rsidR="00F84FAA">
        <w:rPr>
          <w:rFonts w:ascii="Times New Roman" w:eastAsia="SimSun" w:hAnsi="Times New Roman" w:cs="Calibri"/>
          <w:bCs/>
          <w:color w:val="000000"/>
          <w:kern w:val="1"/>
          <w:lang w:eastAsia="hi-IN" w:bidi="hi-IN"/>
        </w:rPr>
        <w:instrText>ADDIN CSL_CITATION {"citationItems":[{"id":"ITEM-1","itemData":{"author":[{"dropping-particle":"","family":"Glowka","given":"","non-dropping-particle":"","parse-names":false,"suffix":""},{"dropping-particle":"","family":"Lyle","given":"","non-dropping-particle":"","parse-names":false,"suffix":""},{"dropping-particle":"","family":"Burhenne-Guilmin","given":"Francoise","non-dropping-particle":"","parse-names":false,"suffix":""},{"dropping-particle":"","family":"Synge","given":"Hugh","non-dropping-particle":"","parse-names":false,"suffix":""}],"id":"ITEM-1","issued":{"date-parts":[["1994"]]},"publisher":"IUCN, International Union for Conservation of Nature","title":"A Guide to the CBD","type":"article"},"uris":["http://www.mendeley.com/documents/?uuid=d34c9a4a-08ed-4fe8-80b4-2395143aae95"]}],"mendeley":{"formattedCitation":"(Glowka et al., 1994)","plainTextFormattedCitation":"(Glowka et al., 1994)","previouslyFormattedCitation":"(Glowka et al., 1994)"},"properties":{"noteIndex":0},"schema":"https://github.com/citation-style-language/schema/raw/master/csl-citation.json"}</w:instrText>
      </w:r>
      <w:r w:rsidR="00F84FAA">
        <w:rPr>
          <w:rFonts w:ascii="Times New Roman" w:eastAsia="SimSun" w:hAnsi="Times New Roman" w:cs="Calibri"/>
          <w:bCs/>
          <w:color w:val="000000"/>
          <w:kern w:val="1"/>
          <w:lang w:eastAsia="hi-IN" w:bidi="hi-IN"/>
        </w:rPr>
        <w:fldChar w:fldCharType="separate"/>
      </w:r>
      <w:r w:rsidR="00F84FAA" w:rsidRPr="00F84FAA">
        <w:rPr>
          <w:rFonts w:ascii="Times New Roman" w:eastAsia="SimSun" w:hAnsi="Times New Roman" w:cs="Calibri"/>
          <w:bCs/>
          <w:noProof/>
          <w:color w:val="000000"/>
          <w:kern w:val="1"/>
          <w:lang w:eastAsia="hi-IN" w:bidi="hi-IN"/>
        </w:rPr>
        <w:t>(Glowka et al., 1994)</w:t>
      </w:r>
      <w:r w:rsidR="00F84FAA">
        <w:rPr>
          <w:rFonts w:ascii="Times New Roman" w:eastAsia="SimSun" w:hAnsi="Times New Roman" w:cs="Calibri"/>
          <w:bCs/>
          <w:color w:val="000000"/>
          <w:kern w:val="1"/>
          <w:lang w:eastAsia="hi-IN" w:bidi="hi-IN"/>
        </w:rPr>
        <w:fldChar w:fldCharType="end"/>
      </w:r>
      <w:r w:rsidRPr="00A268DA">
        <w:rPr>
          <w:rFonts w:ascii="Times New Roman" w:eastAsia="SimSun" w:hAnsi="Times New Roman" w:cs="Calibri"/>
          <w:bCs/>
          <w:color w:val="000000"/>
          <w:kern w:val="1"/>
          <w:lang w:eastAsia="hi-IN" w:bidi="hi-IN"/>
        </w:rPr>
        <w:t>.</w:t>
      </w:r>
    </w:p>
    <w:p w14:paraId="204B3D52" w14:textId="19E7ABB9" w:rsidR="00B2431D" w:rsidRPr="00A268DA" w:rsidRDefault="000E59C8" w:rsidP="004E3007">
      <w:pPr>
        <w:suppressAutoHyphens/>
        <w:autoSpaceDE w:val="0"/>
        <w:spacing w:before="120" w:after="120" w:line="240" w:lineRule="auto"/>
        <w:jc w:val="both"/>
        <w:rPr>
          <w:rFonts w:ascii="Times New Roman" w:hAnsi="Times New Roman" w:cs="Calibri"/>
          <w:color w:val="000000"/>
          <w:kern w:val="1"/>
          <w:lang w:eastAsia="ar-SA"/>
        </w:rPr>
      </w:pPr>
      <w:r>
        <w:rPr>
          <w:rFonts w:ascii="Times New Roman" w:eastAsia="SimSun" w:hAnsi="Times New Roman" w:cs="Calibri"/>
          <w:color w:val="000000" w:themeColor="text1"/>
          <w:lang w:eastAsia="hi-IN" w:bidi="hi-IN"/>
        </w:rPr>
        <w:t>The</w:t>
      </w:r>
      <w:r w:rsidRPr="3FD25A23">
        <w:rPr>
          <w:rFonts w:ascii="Times New Roman" w:eastAsia="SimSun" w:hAnsi="Times New Roman" w:cs="Calibri"/>
          <w:color w:val="000000" w:themeColor="text1"/>
          <w:lang w:eastAsia="hi-IN" w:bidi="hi-IN"/>
        </w:rPr>
        <w:t xml:space="preserve"> </w:t>
      </w:r>
      <w:r w:rsidR="00EC1864" w:rsidRPr="3FD25A23">
        <w:rPr>
          <w:rFonts w:ascii="Times New Roman" w:eastAsia="SimSun" w:hAnsi="Times New Roman" w:cs="Calibri"/>
          <w:color w:val="000000" w:themeColor="text1"/>
          <w:lang w:eastAsia="hi-IN" w:bidi="hi-IN"/>
        </w:rPr>
        <w:t>consider</w:t>
      </w:r>
      <w:r>
        <w:rPr>
          <w:rFonts w:ascii="Times New Roman" w:eastAsia="SimSun" w:hAnsi="Times New Roman" w:cs="Calibri"/>
          <w:color w:val="000000" w:themeColor="text1"/>
          <w:lang w:eastAsia="hi-IN" w:bidi="hi-IN"/>
        </w:rPr>
        <w:t>at</w:t>
      </w:r>
      <w:r w:rsidR="00EC1864" w:rsidRPr="3FD25A23">
        <w:rPr>
          <w:rFonts w:ascii="Times New Roman" w:eastAsia="SimSun" w:hAnsi="Times New Roman" w:cs="Calibri"/>
          <w:color w:val="000000" w:themeColor="text1"/>
          <w:lang w:eastAsia="hi-IN" w:bidi="hi-IN"/>
        </w:rPr>
        <w:t>i</w:t>
      </w:r>
      <w:r>
        <w:rPr>
          <w:rFonts w:ascii="Times New Roman" w:eastAsia="SimSun" w:hAnsi="Times New Roman" w:cs="Calibri"/>
          <w:color w:val="000000" w:themeColor="text1"/>
          <w:lang w:eastAsia="hi-IN" w:bidi="hi-IN"/>
        </w:rPr>
        <w:t>o</w:t>
      </w:r>
      <w:r w:rsidR="00EC1864" w:rsidRPr="3FD25A23">
        <w:rPr>
          <w:rFonts w:ascii="Times New Roman" w:eastAsia="SimSun" w:hAnsi="Times New Roman" w:cs="Calibri"/>
          <w:color w:val="000000" w:themeColor="text1"/>
          <w:lang w:eastAsia="hi-IN" w:bidi="hi-IN"/>
        </w:rPr>
        <w:t>n</w:t>
      </w:r>
      <w:r>
        <w:rPr>
          <w:rFonts w:ascii="Times New Roman" w:eastAsia="SimSun" w:hAnsi="Times New Roman" w:cs="Calibri"/>
          <w:color w:val="000000" w:themeColor="text1"/>
          <w:lang w:eastAsia="hi-IN" w:bidi="hi-IN"/>
        </w:rPr>
        <w:t xml:space="preserve"> of</w:t>
      </w:r>
      <w:r w:rsidR="00EC1864" w:rsidRPr="3FD25A23">
        <w:rPr>
          <w:rFonts w:ascii="Times New Roman" w:eastAsia="SimSun" w:hAnsi="Times New Roman" w:cs="Calibri"/>
          <w:color w:val="000000" w:themeColor="text1"/>
          <w:lang w:eastAsia="hi-IN" w:bidi="hi-IN"/>
        </w:rPr>
        <w:t xml:space="preserve"> potential impacts from synthetic biology applications</w:t>
      </w:r>
      <w:r w:rsidR="00AB67B1" w:rsidRPr="3FD25A23">
        <w:rPr>
          <w:rFonts w:ascii="Times New Roman" w:eastAsia="SimSun" w:hAnsi="Times New Roman" w:cs="Calibri"/>
          <w:color w:val="000000" w:themeColor="text1"/>
          <w:lang w:eastAsia="hi-IN" w:bidi="hi-IN"/>
        </w:rPr>
        <w:t xml:space="preserve"> </w:t>
      </w:r>
      <w:r w:rsidR="00CB7DB3">
        <w:rPr>
          <w:rFonts w:ascii="Times New Roman" w:eastAsia="SimSun" w:hAnsi="Times New Roman" w:cs="Calibri"/>
          <w:color w:val="000000" w:themeColor="text1"/>
          <w:lang w:eastAsia="hi-IN" w:bidi="hi-IN"/>
        </w:rPr>
        <w:t>o</w:t>
      </w:r>
      <w:r w:rsidR="00AB67B1" w:rsidRPr="3FD25A23">
        <w:rPr>
          <w:rFonts w:ascii="Times New Roman" w:eastAsia="SimSun" w:hAnsi="Times New Roman" w:cs="Calibri"/>
          <w:color w:val="000000" w:themeColor="text1"/>
          <w:lang w:eastAsia="hi-IN" w:bidi="hi-IN"/>
        </w:rPr>
        <w:t xml:space="preserve">n biodiversity, conservation and sustainable use are </w:t>
      </w:r>
      <w:r w:rsidR="00EC5A6E" w:rsidRPr="3FD25A23">
        <w:rPr>
          <w:rFonts w:ascii="Times New Roman" w:eastAsia="SimSun" w:hAnsi="Times New Roman" w:cs="Calibri"/>
          <w:color w:val="000000" w:themeColor="text1"/>
          <w:lang w:eastAsia="hi-IN" w:bidi="hi-IN"/>
        </w:rPr>
        <w:t xml:space="preserve">therefore </w:t>
      </w:r>
      <w:r w:rsidR="00C62363" w:rsidRPr="3FD25A23">
        <w:rPr>
          <w:rFonts w:ascii="Times New Roman" w:eastAsia="SimSun" w:hAnsi="Times New Roman" w:cs="Calibri"/>
          <w:color w:val="000000" w:themeColor="text1"/>
          <w:lang w:eastAsia="hi-IN" w:bidi="hi-IN"/>
        </w:rPr>
        <w:t xml:space="preserve">important aspects to </w:t>
      </w:r>
      <w:r w:rsidR="001A41BB" w:rsidRPr="3FD25A23">
        <w:rPr>
          <w:rFonts w:ascii="Times New Roman" w:eastAsia="SimSun" w:hAnsi="Times New Roman" w:cs="Calibri"/>
          <w:color w:val="000000" w:themeColor="text1"/>
          <w:lang w:eastAsia="hi-IN" w:bidi="hi-IN"/>
        </w:rPr>
        <w:t xml:space="preserve">be considered. </w:t>
      </w:r>
      <w:r w:rsidR="004D472A" w:rsidRPr="3FD25A23">
        <w:rPr>
          <w:rFonts w:ascii="Times New Roman" w:eastAsia="SimSun" w:hAnsi="Times New Roman" w:cs="Calibri"/>
          <w:color w:val="000000" w:themeColor="text1"/>
          <w:lang w:eastAsia="hi-IN" w:bidi="hi-IN"/>
        </w:rPr>
        <w:t xml:space="preserve">Likewise, </w:t>
      </w:r>
      <w:r w:rsidR="008C0669" w:rsidRPr="3FD25A23">
        <w:rPr>
          <w:rFonts w:ascii="Times New Roman" w:eastAsia="SimSun" w:hAnsi="Times New Roman" w:cs="Calibri"/>
          <w:color w:val="000000" w:themeColor="text1"/>
          <w:lang w:eastAsia="hi-IN" w:bidi="hi-IN"/>
        </w:rPr>
        <w:t xml:space="preserve">synthetic biology applications </w:t>
      </w:r>
      <w:r w:rsidR="000A249C">
        <w:rPr>
          <w:rFonts w:ascii="Times New Roman" w:eastAsia="SimSun" w:hAnsi="Times New Roman" w:cs="Calibri"/>
          <w:color w:val="000000" w:themeColor="text1"/>
          <w:lang w:eastAsia="hi-IN" w:bidi="hi-IN"/>
        </w:rPr>
        <w:t>can</w:t>
      </w:r>
      <w:r w:rsidR="008C0669" w:rsidRPr="3FD25A23">
        <w:rPr>
          <w:rFonts w:ascii="Times New Roman" w:eastAsia="SimSun" w:hAnsi="Times New Roman" w:cs="Calibri"/>
          <w:color w:val="000000" w:themeColor="text1"/>
          <w:lang w:eastAsia="hi-IN" w:bidi="hi-IN"/>
        </w:rPr>
        <w:t xml:space="preserve"> raise social, economic</w:t>
      </w:r>
      <w:r w:rsidR="00880E4F">
        <w:rPr>
          <w:rFonts w:ascii="Times New Roman" w:eastAsia="SimSun" w:hAnsi="Times New Roman" w:cs="Calibri"/>
          <w:color w:val="000000" w:themeColor="text1"/>
          <w:lang w:eastAsia="hi-IN" w:bidi="hi-IN"/>
        </w:rPr>
        <w:t>,</w:t>
      </w:r>
      <w:r w:rsidR="008C0669" w:rsidRPr="3FD25A23">
        <w:rPr>
          <w:rFonts w:ascii="Times New Roman" w:eastAsia="SimSun" w:hAnsi="Times New Roman" w:cs="Calibri"/>
          <w:color w:val="000000" w:themeColor="text1"/>
          <w:lang w:eastAsia="hi-IN" w:bidi="hi-IN"/>
        </w:rPr>
        <w:t xml:space="preserve"> and cultural considerations</w:t>
      </w:r>
      <w:r w:rsidR="007428F6" w:rsidRPr="3FD25A23">
        <w:rPr>
          <w:rFonts w:ascii="Times New Roman" w:eastAsia="SimSun" w:hAnsi="Times New Roman" w:cs="Calibri"/>
          <w:color w:val="000000" w:themeColor="text1"/>
          <w:lang w:eastAsia="hi-IN" w:bidi="hi-IN"/>
        </w:rPr>
        <w:t xml:space="preserve"> which are equally important for decision-making and governance of the issue.</w:t>
      </w:r>
      <w:r w:rsidR="0048169A" w:rsidRPr="3FD25A23">
        <w:rPr>
          <w:rFonts w:ascii="Times New Roman" w:eastAsia="SimSun" w:hAnsi="Times New Roman" w:cs="Calibri"/>
          <w:color w:val="000000" w:themeColor="text1"/>
          <w:lang w:eastAsia="hi-IN" w:bidi="hi-IN"/>
        </w:rPr>
        <w:t xml:space="preserve"> This section will therefore cover </w:t>
      </w:r>
      <w:r w:rsidR="00AF7760" w:rsidRPr="3FD25A23">
        <w:rPr>
          <w:rFonts w:ascii="Times New Roman" w:eastAsia="SimSun" w:hAnsi="Times New Roman" w:cs="Calibri"/>
          <w:color w:val="000000" w:themeColor="text1"/>
          <w:lang w:eastAsia="hi-IN" w:bidi="hi-IN"/>
        </w:rPr>
        <w:t xml:space="preserve">both </w:t>
      </w:r>
      <w:r w:rsidR="00497BEC" w:rsidRPr="3FD25A23">
        <w:rPr>
          <w:rFonts w:ascii="Times New Roman" w:eastAsia="SimSun" w:hAnsi="Times New Roman" w:cs="Calibri"/>
          <w:color w:val="000000" w:themeColor="text1"/>
          <w:lang w:eastAsia="hi-IN" w:bidi="hi-IN"/>
        </w:rPr>
        <w:t xml:space="preserve">impacts on </w:t>
      </w:r>
      <w:r w:rsidR="004A22B3" w:rsidRPr="3FD25A23">
        <w:rPr>
          <w:rFonts w:ascii="Times New Roman" w:eastAsia="SimSun" w:hAnsi="Times New Roman" w:cs="Calibri"/>
          <w:color w:val="000000" w:themeColor="text1"/>
          <w:lang w:eastAsia="hi-IN" w:bidi="hi-IN"/>
        </w:rPr>
        <w:t xml:space="preserve">biodiversity </w:t>
      </w:r>
      <w:r w:rsidR="0048169A" w:rsidRPr="3FD25A23">
        <w:rPr>
          <w:rFonts w:ascii="Times New Roman" w:eastAsia="SimSun" w:hAnsi="Times New Roman" w:cs="Calibri"/>
          <w:color w:val="000000" w:themeColor="text1"/>
          <w:lang w:eastAsia="hi-IN" w:bidi="hi-IN"/>
        </w:rPr>
        <w:t xml:space="preserve">and </w:t>
      </w:r>
      <w:r w:rsidR="005F2454" w:rsidRPr="3FD25A23">
        <w:rPr>
          <w:rFonts w:ascii="Times New Roman" w:eastAsia="SimSun" w:hAnsi="Times New Roman" w:cs="Calibri"/>
          <w:color w:val="000000" w:themeColor="text1"/>
          <w:lang w:eastAsia="hi-IN" w:bidi="hi-IN"/>
        </w:rPr>
        <w:t>social, economic</w:t>
      </w:r>
      <w:r w:rsidR="00880E4F">
        <w:rPr>
          <w:rFonts w:ascii="Times New Roman" w:eastAsia="SimSun" w:hAnsi="Times New Roman" w:cs="Calibri"/>
          <w:color w:val="000000" w:themeColor="text1"/>
          <w:lang w:eastAsia="hi-IN" w:bidi="hi-IN"/>
        </w:rPr>
        <w:t>,</w:t>
      </w:r>
      <w:r w:rsidR="005F2454" w:rsidRPr="3FD25A23">
        <w:rPr>
          <w:rFonts w:ascii="Times New Roman" w:eastAsia="SimSun" w:hAnsi="Times New Roman" w:cs="Calibri"/>
          <w:color w:val="000000" w:themeColor="text1"/>
          <w:lang w:eastAsia="hi-IN" w:bidi="hi-IN"/>
        </w:rPr>
        <w:t xml:space="preserve"> </w:t>
      </w:r>
      <w:r w:rsidR="0048169A" w:rsidRPr="3FD25A23">
        <w:rPr>
          <w:rFonts w:ascii="Times New Roman" w:eastAsia="SimSun" w:hAnsi="Times New Roman" w:cs="Calibri"/>
          <w:color w:val="000000" w:themeColor="text1"/>
          <w:lang w:eastAsia="hi-IN" w:bidi="hi-IN"/>
        </w:rPr>
        <w:t xml:space="preserve">and </w:t>
      </w:r>
      <w:r w:rsidR="005F2454" w:rsidRPr="3FD25A23">
        <w:rPr>
          <w:rFonts w:ascii="Times New Roman" w:eastAsia="SimSun" w:hAnsi="Times New Roman" w:cs="Calibri"/>
          <w:color w:val="000000" w:themeColor="text1"/>
          <w:lang w:eastAsia="hi-IN" w:bidi="hi-IN"/>
        </w:rPr>
        <w:t xml:space="preserve">cultural </w:t>
      </w:r>
      <w:r w:rsidR="000A249C">
        <w:rPr>
          <w:rFonts w:ascii="Times New Roman" w:eastAsia="SimSun" w:hAnsi="Times New Roman" w:cs="Calibri"/>
          <w:color w:val="000000" w:themeColor="text1"/>
          <w:lang w:eastAsia="hi-IN" w:bidi="hi-IN"/>
        </w:rPr>
        <w:t xml:space="preserve">(SEC) </w:t>
      </w:r>
      <w:r w:rsidR="005F2454" w:rsidRPr="3FD25A23">
        <w:rPr>
          <w:rFonts w:ascii="Times New Roman" w:eastAsia="SimSun" w:hAnsi="Times New Roman" w:cs="Calibri"/>
          <w:color w:val="000000" w:themeColor="text1"/>
          <w:lang w:eastAsia="hi-IN" w:bidi="hi-IN"/>
        </w:rPr>
        <w:t>concerns</w:t>
      </w:r>
      <w:r w:rsidR="0048169A" w:rsidRPr="3FD25A23">
        <w:rPr>
          <w:rFonts w:ascii="Times New Roman" w:eastAsia="SimSun" w:hAnsi="Times New Roman" w:cs="Calibri"/>
          <w:color w:val="000000" w:themeColor="text1"/>
          <w:lang w:eastAsia="hi-IN" w:bidi="hi-IN"/>
        </w:rPr>
        <w:t xml:space="preserve"> from synthetic biology applications.</w:t>
      </w:r>
      <w:r w:rsidR="00956B45">
        <w:rPr>
          <w:rFonts w:ascii="Times New Roman" w:eastAsia="SimSun" w:hAnsi="Times New Roman" w:cs="Calibri"/>
          <w:color w:val="000000" w:themeColor="text1"/>
          <w:lang w:eastAsia="hi-IN" w:bidi="hi-IN"/>
        </w:rPr>
        <w:t xml:space="preserve"> </w:t>
      </w:r>
    </w:p>
    <w:p w14:paraId="71ACEB92" w14:textId="187ADE4A" w:rsidR="00A268DA" w:rsidRPr="003C03BF" w:rsidRDefault="004F6BA6" w:rsidP="00647755">
      <w:pPr>
        <w:pStyle w:val="Heading2"/>
        <w:spacing w:before="240"/>
        <w:rPr>
          <w:color w:val="000000"/>
        </w:rPr>
      </w:pPr>
      <w:bookmarkStart w:id="77" w:name="_Toc70112684"/>
      <w:bookmarkStart w:id="78" w:name="_Toc70685706"/>
      <w:r>
        <w:rPr>
          <w:color w:val="000000" w:themeColor="text1"/>
          <w:lang w:val="en-US"/>
        </w:rPr>
        <w:t>4</w:t>
      </w:r>
      <w:r w:rsidR="145AE237" w:rsidRPr="0299BB36">
        <w:rPr>
          <w:color w:val="000000" w:themeColor="text1"/>
        </w:rPr>
        <w:t xml:space="preserve">. </w:t>
      </w:r>
      <w:r w:rsidR="00A268DA" w:rsidRPr="00040437">
        <w:t xml:space="preserve">Applications of </w:t>
      </w:r>
      <w:r w:rsidR="003C03BF" w:rsidRPr="00040437">
        <w:t xml:space="preserve">Synthetic Biology </w:t>
      </w:r>
      <w:r w:rsidR="00A268DA" w:rsidRPr="00040437">
        <w:t xml:space="preserve">and </w:t>
      </w:r>
      <w:r w:rsidR="003C03BF" w:rsidRPr="00040437">
        <w:t xml:space="preserve">Their Potential </w:t>
      </w:r>
      <w:r w:rsidR="003C03BF" w:rsidRPr="007B789F">
        <w:t>Impacts</w:t>
      </w:r>
      <w:r w:rsidR="003C03BF" w:rsidRPr="00040437">
        <w:t xml:space="preserve"> </w:t>
      </w:r>
      <w:r w:rsidR="5994CF94" w:rsidRPr="00040437">
        <w:t xml:space="preserve">on the </w:t>
      </w:r>
      <w:r w:rsidR="003C03BF" w:rsidRPr="00040437">
        <w:t>Conservation</w:t>
      </w:r>
      <w:r w:rsidR="5994CF94" w:rsidRPr="00040437">
        <w:t xml:space="preserve"> and </w:t>
      </w:r>
      <w:r w:rsidR="003C03BF" w:rsidRPr="00040437">
        <w:t xml:space="preserve">Sustainable Use </w:t>
      </w:r>
      <w:r w:rsidR="5994CF94" w:rsidRPr="00040437">
        <w:t xml:space="preserve">of </w:t>
      </w:r>
      <w:r w:rsidR="003C03BF" w:rsidRPr="00040437">
        <w:t>Biological Diversity</w:t>
      </w:r>
      <w:r w:rsidR="003C03BF">
        <w:rPr>
          <w:lang w:val="en-US"/>
        </w:rPr>
        <w:t>.</w:t>
      </w:r>
      <w:bookmarkEnd w:id="77"/>
      <w:bookmarkEnd w:id="78"/>
    </w:p>
    <w:p w14:paraId="4996C410" w14:textId="51DD2A66" w:rsidR="27165B12" w:rsidRDefault="20DC5743" w:rsidP="00A933E5">
      <w:pPr>
        <w:spacing w:before="120" w:after="120" w:line="240" w:lineRule="auto"/>
        <w:jc w:val="both"/>
        <w:rPr>
          <w:rFonts w:ascii="Times New Roman" w:hAnsi="Times New Roman"/>
          <w:color w:val="000000" w:themeColor="text1"/>
          <w:lang w:eastAsia="ar-SA"/>
        </w:rPr>
      </w:pPr>
      <w:r w:rsidRPr="018D9EA2">
        <w:rPr>
          <w:rFonts w:ascii="Times New Roman" w:hAnsi="Times New Roman"/>
          <w:color w:val="000000" w:themeColor="text1"/>
          <w:lang w:eastAsia="ar-SA"/>
        </w:rPr>
        <w:t xml:space="preserve">Although synthetic biology is often referred to as a coherent and single discipline, the </w:t>
      </w:r>
      <w:r w:rsidR="004C0405">
        <w:rPr>
          <w:rFonts w:ascii="Times New Roman" w:hAnsi="Times New Roman"/>
          <w:color w:val="000000" w:themeColor="text1"/>
          <w:lang w:eastAsia="ar-SA"/>
        </w:rPr>
        <w:t>numerous</w:t>
      </w:r>
      <w:r w:rsidRPr="018D9EA2">
        <w:rPr>
          <w:rFonts w:ascii="Times New Roman" w:hAnsi="Times New Roman"/>
          <w:color w:val="000000" w:themeColor="text1"/>
          <w:lang w:eastAsia="ar-SA"/>
        </w:rPr>
        <w:t xml:space="preserve"> areas of synthetic biology research represent </w:t>
      </w:r>
      <w:r w:rsidR="004C0405">
        <w:rPr>
          <w:rFonts w:ascii="Times New Roman" w:hAnsi="Times New Roman"/>
          <w:color w:val="000000" w:themeColor="text1"/>
          <w:lang w:eastAsia="ar-SA"/>
        </w:rPr>
        <w:t>a wide array of</w:t>
      </w:r>
      <w:r w:rsidRPr="018D9EA2">
        <w:rPr>
          <w:rFonts w:ascii="Times New Roman" w:hAnsi="Times New Roman"/>
          <w:color w:val="000000" w:themeColor="text1"/>
          <w:lang w:eastAsia="ar-SA"/>
        </w:rPr>
        <w:t xml:space="preserve"> potential impacts</w:t>
      </w:r>
      <w:r w:rsidR="006E130F">
        <w:rPr>
          <w:rFonts w:ascii="Times New Roman" w:hAnsi="Times New Roman"/>
          <w:color w:val="000000" w:themeColor="text1"/>
          <w:lang w:eastAsia="ar-SA"/>
        </w:rPr>
        <w:t xml:space="preserve"> (i.e.</w:t>
      </w:r>
      <w:r w:rsidRPr="018D9EA2">
        <w:rPr>
          <w:rFonts w:ascii="Times New Roman" w:hAnsi="Times New Roman"/>
          <w:color w:val="000000" w:themeColor="text1"/>
          <w:lang w:eastAsia="ar-SA"/>
        </w:rPr>
        <w:t xml:space="preserve"> </w:t>
      </w:r>
      <w:r w:rsidR="004151CE">
        <w:rPr>
          <w:rFonts w:ascii="Times New Roman" w:hAnsi="Times New Roman"/>
          <w:color w:val="000000" w:themeColor="text1"/>
          <w:lang w:eastAsia="ar-SA"/>
        </w:rPr>
        <w:t xml:space="preserve">ranging from </w:t>
      </w:r>
      <w:r w:rsidR="006E130F" w:rsidRPr="006E130F">
        <w:rPr>
          <w:rFonts w:ascii="Times New Roman" w:hAnsi="Times New Roman"/>
          <w:color w:val="000000" w:themeColor="text1"/>
          <w:lang w:eastAsia="ar-SA"/>
        </w:rPr>
        <w:t>benefits</w:t>
      </w:r>
      <w:r w:rsidR="00802A42">
        <w:rPr>
          <w:rFonts w:ascii="Times New Roman" w:hAnsi="Times New Roman"/>
          <w:color w:val="000000" w:themeColor="text1"/>
          <w:lang w:eastAsia="ar-SA"/>
        </w:rPr>
        <w:t xml:space="preserve">, through neutral effects </w:t>
      </w:r>
      <w:r w:rsidR="006E130F" w:rsidRPr="006E130F">
        <w:rPr>
          <w:rFonts w:ascii="Times New Roman" w:hAnsi="Times New Roman"/>
          <w:color w:val="000000" w:themeColor="text1"/>
          <w:lang w:eastAsia="ar-SA"/>
        </w:rPr>
        <w:t>and</w:t>
      </w:r>
      <w:r w:rsidR="00802A42">
        <w:rPr>
          <w:rFonts w:ascii="Times New Roman" w:hAnsi="Times New Roman"/>
          <w:color w:val="000000" w:themeColor="text1"/>
          <w:lang w:eastAsia="ar-SA"/>
        </w:rPr>
        <w:t xml:space="preserve"> ultimately to</w:t>
      </w:r>
      <w:r w:rsidR="006E130F" w:rsidRPr="006E130F">
        <w:rPr>
          <w:rFonts w:ascii="Times New Roman" w:hAnsi="Times New Roman"/>
          <w:color w:val="000000" w:themeColor="text1"/>
          <w:lang w:eastAsia="ar-SA"/>
        </w:rPr>
        <w:t xml:space="preserve"> harms</w:t>
      </w:r>
      <w:r w:rsidR="006E130F">
        <w:rPr>
          <w:rFonts w:ascii="Times New Roman" w:hAnsi="Times New Roman"/>
          <w:color w:val="000000" w:themeColor="text1"/>
          <w:lang w:eastAsia="ar-SA"/>
        </w:rPr>
        <w:t>)</w:t>
      </w:r>
      <w:r w:rsidRPr="018D9EA2">
        <w:rPr>
          <w:rFonts w:ascii="Times New Roman" w:hAnsi="Times New Roman"/>
          <w:color w:val="000000" w:themeColor="text1"/>
          <w:lang w:eastAsia="ar-SA"/>
        </w:rPr>
        <w:t xml:space="preserve"> on biodiversity-related issues. </w:t>
      </w:r>
      <w:r w:rsidR="06614160" w:rsidRPr="60A86203">
        <w:rPr>
          <w:rFonts w:ascii="Times New Roman" w:hAnsi="Times New Roman"/>
          <w:color w:val="000000" w:themeColor="text1"/>
          <w:lang w:eastAsia="ar-SA"/>
        </w:rPr>
        <w:t xml:space="preserve">In trying to </w:t>
      </w:r>
      <w:r w:rsidR="00E160DD">
        <w:rPr>
          <w:rFonts w:ascii="Times New Roman" w:hAnsi="Times New Roman"/>
          <w:color w:val="000000" w:themeColor="text1"/>
          <w:lang w:eastAsia="ar-SA"/>
        </w:rPr>
        <w:t>des</w:t>
      </w:r>
      <w:r w:rsidR="0064207A">
        <w:rPr>
          <w:rFonts w:ascii="Times New Roman" w:hAnsi="Times New Roman"/>
          <w:color w:val="000000" w:themeColor="text1"/>
          <w:lang w:eastAsia="ar-SA"/>
        </w:rPr>
        <w:t>cribe</w:t>
      </w:r>
      <w:r w:rsidR="06614160" w:rsidRPr="60A86203">
        <w:rPr>
          <w:rFonts w:ascii="Times New Roman" w:hAnsi="Times New Roman"/>
          <w:color w:val="000000" w:themeColor="text1"/>
          <w:lang w:eastAsia="ar-SA"/>
        </w:rPr>
        <w:t xml:space="preserve"> </w:t>
      </w:r>
      <w:r w:rsidR="3CB0A494" w:rsidRPr="60A86203">
        <w:rPr>
          <w:rFonts w:ascii="Times New Roman" w:hAnsi="Times New Roman"/>
          <w:color w:val="000000" w:themeColor="text1"/>
          <w:lang w:eastAsia="ar-SA"/>
        </w:rPr>
        <w:t>such impacts</w:t>
      </w:r>
      <w:r w:rsidR="372E1D11" w:rsidRPr="60A86203">
        <w:rPr>
          <w:rFonts w:ascii="Times New Roman" w:hAnsi="Times New Roman"/>
          <w:color w:val="000000" w:themeColor="text1"/>
          <w:lang w:eastAsia="ar-SA"/>
        </w:rPr>
        <w:t>,</w:t>
      </w:r>
      <w:r w:rsidR="06614160" w:rsidRPr="60A86203">
        <w:rPr>
          <w:rFonts w:ascii="Times New Roman" w:hAnsi="Times New Roman"/>
          <w:color w:val="000000" w:themeColor="text1"/>
          <w:lang w:eastAsia="ar-SA"/>
        </w:rPr>
        <w:t xml:space="preserve"> </w:t>
      </w:r>
      <w:r w:rsidR="00AC6374">
        <w:rPr>
          <w:rFonts w:ascii="Times New Roman" w:hAnsi="Times New Roman"/>
          <w:color w:val="000000" w:themeColor="text1"/>
          <w:lang w:eastAsia="ar-SA"/>
        </w:rPr>
        <w:t>a multitude of</w:t>
      </w:r>
      <w:r w:rsidR="06614160" w:rsidRPr="60A86203">
        <w:rPr>
          <w:rFonts w:ascii="Times New Roman" w:hAnsi="Times New Roman"/>
          <w:color w:val="000000" w:themeColor="text1"/>
          <w:lang w:eastAsia="ar-SA"/>
        </w:rPr>
        <w:t xml:space="preserve"> factors need to be discerned</w:t>
      </w:r>
      <w:r w:rsidR="0067533E">
        <w:rPr>
          <w:rFonts w:ascii="Times New Roman" w:hAnsi="Times New Roman"/>
          <w:color w:val="000000" w:themeColor="text1"/>
          <w:lang w:eastAsia="ar-SA"/>
        </w:rPr>
        <w:t xml:space="preserve">. </w:t>
      </w:r>
      <w:r w:rsidR="24932D51" w:rsidRPr="60A86203">
        <w:rPr>
          <w:rFonts w:ascii="Times New Roman" w:hAnsi="Times New Roman"/>
          <w:color w:val="000000" w:themeColor="text1"/>
          <w:lang w:eastAsia="ar-SA"/>
        </w:rPr>
        <w:t>Notably, s</w:t>
      </w:r>
      <w:r w:rsidR="06614160" w:rsidRPr="60A86203">
        <w:rPr>
          <w:rFonts w:ascii="Times New Roman" w:hAnsi="Times New Roman"/>
          <w:color w:val="000000" w:themeColor="text1"/>
          <w:lang w:eastAsia="ar-SA"/>
        </w:rPr>
        <w:t xml:space="preserve">ome </w:t>
      </w:r>
      <w:r w:rsidR="003910A6">
        <w:rPr>
          <w:rFonts w:ascii="Times New Roman" w:hAnsi="Times New Roman"/>
          <w:color w:val="000000" w:themeColor="text1"/>
          <w:lang w:eastAsia="ar-SA"/>
        </w:rPr>
        <w:t>impacts</w:t>
      </w:r>
      <w:r w:rsidR="06614160" w:rsidRPr="60A86203">
        <w:rPr>
          <w:rFonts w:ascii="Times New Roman" w:hAnsi="Times New Roman"/>
          <w:color w:val="000000" w:themeColor="text1"/>
          <w:lang w:eastAsia="ar-SA"/>
        </w:rPr>
        <w:t xml:space="preserve"> </w:t>
      </w:r>
      <w:r w:rsidR="3225634A" w:rsidRPr="60A86203">
        <w:rPr>
          <w:rFonts w:ascii="Times New Roman" w:hAnsi="Times New Roman"/>
          <w:color w:val="000000" w:themeColor="text1"/>
          <w:lang w:eastAsia="ar-SA"/>
        </w:rPr>
        <w:t>will not be</w:t>
      </w:r>
      <w:r w:rsidR="06614160" w:rsidRPr="60A86203">
        <w:rPr>
          <w:rFonts w:ascii="Times New Roman" w:hAnsi="Times New Roman"/>
          <w:color w:val="000000" w:themeColor="text1"/>
          <w:lang w:eastAsia="ar-SA"/>
        </w:rPr>
        <w:t xml:space="preserve"> unique to synthetic biology but are also applicable for any </w:t>
      </w:r>
      <w:r w:rsidR="002559C1">
        <w:rPr>
          <w:rFonts w:ascii="Times New Roman" w:hAnsi="Times New Roman"/>
          <w:color w:val="000000" w:themeColor="text1"/>
          <w:lang w:eastAsia="ar-SA"/>
        </w:rPr>
        <w:t>technolog</w:t>
      </w:r>
      <w:r w:rsidR="009D5E42">
        <w:rPr>
          <w:rFonts w:ascii="Times New Roman" w:hAnsi="Times New Roman"/>
          <w:color w:val="000000" w:themeColor="text1"/>
          <w:lang w:eastAsia="ar-SA"/>
        </w:rPr>
        <w:t xml:space="preserve">ical </w:t>
      </w:r>
      <w:r w:rsidR="06614160" w:rsidRPr="60A86203">
        <w:rPr>
          <w:rFonts w:ascii="Times New Roman" w:hAnsi="Times New Roman"/>
          <w:color w:val="000000" w:themeColor="text1"/>
          <w:lang w:eastAsia="ar-SA"/>
        </w:rPr>
        <w:t xml:space="preserve">approach with the same aim (e.g. suppression </w:t>
      </w:r>
      <w:r w:rsidR="00BF4D92">
        <w:rPr>
          <w:rFonts w:ascii="Times New Roman" w:hAnsi="Times New Roman"/>
          <w:color w:val="000000" w:themeColor="text1"/>
          <w:lang w:eastAsia="ar-SA"/>
        </w:rPr>
        <w:t xml:space="preserve">engineered </w:t>
      </w:r>
      <w:r w:rsidR="003E6447">
        <w:rPr>
          <w:rFonts w:ascii="Times New Roman" w:hAnsi="Times New Roman"/>
          <w:color w:val="000000" w:themeColor="text1"/>
          <w:lang w:eastAsia="ar-SA"/>
        </w:rPr>
        <w:t xml:space="preserve">gene </w:t>
      </w:r>
      <w:r w:rsidR="06614160" w:rsidRPr="60A86203">
        <w:rPr>
          <w:rFonts w:ascii="Times New Roman" w:hAnsi="Times New Roman"/>
          <w:color w:val="000000" w:themeColor="text1"/>
          <w:lang w:eastAsia="ar-SA"/>
        </w:rPr>
        <w:t>drives v</w:t>
      </w:r>
      <w:r w:rsidR="00802A42">
        <w:rPr>
          <w:rFonts w:ascii="Times New Roman" w:hAnsi="Times New Roman"/>
          <w:color w:val="000000" w:themeColor="text1"/>
          <w:lang w:eastAsia="ar-SA"/>
        </w:rPr>
        <w:t>er</w:t>
      </w:r>
      <w:r w:rsidR="008B29BF">
        <w:rPr>
          <w:rFonts w:ascii="Times New Roman" w:hAnsi="Times New Roman"/>
          <w:color w:val="000000" w:themeColor="text1"/>
          <w:lang w:eastAsia="ar-SA"/>
        </w:rPr>
        <w:t>s</w:t>
      </w:r>
      <w:r w:rsidR="00882650">
        <w:rPr>
          <w:rFonts w:ascii="Times New Roman" w:hAnsi="Times New Roman"/>
          <w:color w:val="000000" w:themeColor="text1"/>
          <w:lang w:eastAsia="ar-SA"/>
        </w:rPr>
        <w:t>u</w:t>
      </w:r>
      <w:r w:rsidR="06614160" w:rsidRPr="60A86203">
        <w:rPr>
          <w:rFonts w:ascii="Times New Roman" w:hAnsi="Times New Roman"/>
          <w:color w:val="000000" w:themeColor="text1"/>
          <w:lang w:eastAsia="ar-SA"/>
        </w:rPr>
        <w:t xml:space="preserve">s chemical control agents). </w:t>
      </w:r>
      <w:r w:rsidR="00AC584F" w:rsidRPr="60A86203">
        <w:rPr>
          <w:rFonts w:ascii="Times New Roman" w:hAnsi="Times New Roman"/>
          <w:color w:val="000000" w:themeColor="text1"/>
          <w:lang w:eastAsia="ar-SA"/>
        </w:rPr>
        <w:t xml:space="preserve">Some </w:t>
      </w:r>
      <w:r w:rsidR="00AC584F">
        <w:rPr>
          <w:rFonts w:ascii="Times New Roman" w:hAnsi="Times New Roman"/>
          <w:color w:val="000000" w:themeColor="text1"/>
          <w:lang w:eastAsia="ar-SA"/>
        </w:rPr>
        <w:t>such impacts</w:t>
      </w:r>
      <w:r w:rsidR="00AC584F" w:rsidRPr="60A86203">
        <w:rPr>
          <w:rFonts w:ascii="Times New Roman" w:hAnsi="Times New Roman"/>
          <w:color w:val="000000" w:themeColor="text1"/>
          <w:lang w:eastAsia="ar-SA"/>
        </w:rPr>
        <w:t xml:space="preserve"> will be specific to the host organism, while others may be related to the specific synthetic biology technique and the way that it is used.</w:t>
      </w:r>
      <w:r w:rsidR="006405DA">
        <w:rPr>
          <w:rFonts w:ascii="Times New Roman" w:hAnsi="Times New Roman"/>
          <w:color w:val="000000" w:themeColor="text1"/>
          <w:lang w:eastAsia="ar-SA"/>
        </w:rPr>
        <w:t xml:space="preserve"> </w:t>
      </w:r>
      <w:r w:rsidR="06614160" w:rsidRPr="60A86203">
        <w:rPr>
          <w:rFonts w:ascii="Times New Roman" w:hAnsi="Times New Roman"/>
          <w:color w:val="000000" w:themeColor="text1"/>
          <w:lang w:eastAsia="ar-SA"/>
        </w:rPr>
        <w:t xml:space="preserve">Also, </w:t>
      </w:r>
      <w:r w:rsidR="6EF1C814" w:rsidRPr="60A86203">
        <w:rPr>
          <w:rFonts w:ascii="Times New Roman" w:hAnsi="Times New Roman"/>
          <w:color w:val="000000" w:themeColor="text1"/>
          <w:lang w:eastAsia="ar-SA"/>
        </w:rPr>
        <w:t>some desired</w:t>
      </w:r>
      <w:r w:rsidR="06614160" w:rsidRPr="60A86203">
        <w:rPr>
          <w:rFonts w:ascii="Times New Roman" w:hAnsi="Times New Roman"/>
          <w:color w:val="000000" w:themeColor="text1"/>
          <w:lang w:eastAsia="ar-SA"/>
        </w:rPr>
        <w:t xml:space="preserve"> </w:t>
      </w:r>
      <w:r w:rsidR="003910A6">
        <w:rPr>
          <w:rFonts w:ascii="Times New Roman" w:hAnsi="Times New Roman"/>
          <w:color w:val="000000" w:themeColor="text1"/>
          <w:lang w:eastAsia="ar-SA"/>
        </w:rPr>
        <w:t>impacts</w:t>
      </w:r>
      <w:r w:rsidR="06614160" w:rsidRPr="60A86203">
        <w:rPr>
          <w:rFonts w:ascii="Times New Roman" w:hAnsi="Times New Roman"/>
          <w:color w:val="000000" w:themeColor="text1"/>
          <w:lang w:eastAsia="ar-SA"/>
        </w:rPr>
        <w:t>, such as eliminating a</w:t>
      </w:r>
      <w:r w:rsidR="6F6090BE" w:rsidRPr="60A86203">
        <w:rPr>
          <w:rFonts w:ascii="Times New Roman" w:hAnsi="Times New Roman"/>
          <w:color w:val="000000" w:themeColor="text1"/>
          <w:lang w:eastAsia="ar-SA"/>
        </w:rPr>
        <w:t>n identified</w:t>
      </w:r>
      <w:r w:rsidR="06614160" w:rsidRPr="60A86203">
        <w:rPr>
          <w:rFonts w:ascii="Times New Roman" w:hAnsi="Times New Roman"/>
          <w:color w:val="000000" w:themeColor="text1"/>
          <w:lang w:eastAsia="ar-SA"/>
        </w:rPr>
        <w:t xml:space="preserve"> population</w:t>
      </w:r>
      <w:r w:rsidR="2C9F9012" w:rsidRPr="60A86203">
        <w:rPr>
          <w:rFonts w:ascii="Times New Roman" w:hAnsi="Times New Roman"/>
          <w:color w:val="000000" w:themeColor="text1"/>
          <w:lang w:eastAsia="ar-SA"/>
        </w:rPr>
        <w:t xml:space="preserve"> or introducing a previously extinct species</w:t>
      </w:r>
      <w:r w:rsidR="06614160" w:rsidRPr="60A86203">
        <w:rPr>
          <w:rFonts w:ascii="Times New Roman" w:hAnsi="Times New Roman"/>
          <w:color w:val="000000" w:themeColor="text1"/>
          <w:lang w:eastAsia="ar-SA"/>
        </w:rPr>
        <w:t xml:space="preserve">, </w:t>
      </w:r>
      <w:r w:rsidR="002500C6">
        <w:rPr>
          <w:rFonts w:ascii="Times New Roman" w:hAnsi="Times New Roman"/>
          <w:color w:val="000000" w:themeColor="text1"/>
          <w:lang w:eastAsia="ar-SA"/>
        </w:rPr>
        <w:t>are</w:t>
      </w:r>
      <w:r w:rsidR="06614160" w:rsidRPr="60A86203">
        <w:rPr>
          <w:rFonts w:ascii="Times New Roman" w:hAnsi="Times New Roman"/>
          <w:color w:val="000000" w:themeColor="text1"/>
          <w:lang w:eastAsia="ar-SA"/>
        </w:rPr>
        <w:t xml:space="preserve"> expected to have potential</w:t>
      </w:r>
      <w:r w:rsidR="49F50E94" w:rsidRPr="60A86203">
        <w:rPr>
          <w:rFonts w:ascii="Times New Roman" w:hAnsi="Times New Roman"/>
          <w:color w:val="000000" w:themeColor="text1"/>
          <w:lang w:eastAsia="ar-SA"/>
        </w:rPr>
        <w:t xml:space="preserve"> </w:t>
      </w:r>
      <w:r w:rsidR="006405DA">
        <w:rPr>
          <w:rFonts w:ascii="Times New Roman" w:hAnsi="Times New Roman"/>
          <w:color w:val="000000" w:themeColor="text1"/>
          <w:lang w:eastAsia="ar-SA"/>
        </w:rPr>
        <w:t>secondary</w:t>
      </w:r>
      <w:r w:rsidR="06614160" w:rsidRPr="60A86203">
        <w:rPr>
          <w:rFonts w:ascii="Times New Roman" w:hAnsi="Times New Roman"/>
          <w:color w:val="000000" w:themeColor="text1"/>
          <w:lang w:eastAsia="ar-SA"/>
        </w:rPr>
        <w:t xml:space="preserve"> effects on other species with </w:t>
      </w:r>
      <w:r w:rsidR="39D4F330" w:rsidRPr="60A86203">
        <w:rPr>
          <w:rFonts w:ascii="Times New Roman" w:hAnsi="Times New Roman"/>
          <w:color w:val="000000" w:themeColor="text1"/>
          <w:lang w:eastAsia="ar-SA"/>
        </w:rPr>
        <w:t xml:space="preserve">common </w:t>
      </w:r>
      <w:r w:rsidR="06614160" w:rsidRPr="60A86203">
        <w:rPr>
          <w:rFonts w:ascii="Times New Roman" w:hAnsi="Times New Roman"/>
          <w:color w:val="000000" w:themeColor="text1"/>
          <w:lang w:eastAsia="ar-SA"/>
        </w:rPr>
        <w:t>trophic bonds, pollination requirements, host-pathogen relations, etc</w:t>
      </w:r>
      <w:r w:rsidR="00AE458A">
        <w:rPr>
          <w:rFonts w:ascii="Times New Roman" w:hAnsi="Times New Roman"/>
          <w:color w:val="000000" w:themeColor="text1"/>
          <w:lang w:eastAsia="ar-SA"/>
        </w:rPr>
        <w:t>,</w:t>
      </w:r>
      <w:r w:rsidR="06614160" w:rsidRPr="60A86203">
        <w:rPr>
          <w:rFonts w:ascii="Times New Roman" w:hAnsi="Times New Roman"/>
          <w:color w:val="000000" w:themeColor="text1"/>
          <w:lang w:eastAsia="ar-SA"/>
        </w:rPr>
        <w:t xml:space="preserve"> </w:t>
      </w:r>
      <w:r w:rsidR="00480C0B" w:rsidRPr="60A86203">
        <w:rPr>
          <w:rFonts w:ascii="Times New Roman" w:hAnsi="Times New Roman"/>
          <w:color w:val="000000" w:themeColor="text1"/>
          <w:lang w:eastAsia="ar-SA"/>
        </w:rPr>
        <w:t xml:space="preserve">independent of the deployed </w:t>
      </w:r>
      <w:r w:rsidR="003C06C0">
        <w:rPr>
          <w:rFonts w:ascii="Times New Roman" w:hAnsi="Times New Roman"/>
          <w:color w:val="000000" w:themeColor="text1"/>
          <w:lang w:eastAsia="ar-SA"/>
        </w:rPr>
        <w:t>techn</w:t>
      </w:r>
      <w:r w:rsidR="00954375">
        <w:rPr>
          <w:rFonts w:ascii="Times New Roman" w:hAnsi="Times New Roman"/>
          <w:color w:val="000000" w:themeColor="text1"/>
          <w:lang w:eastAsia="ar-SA"/>
        </w:rPr>
        <w:t>ology</w:t>
      </w:r>
      <w:r w:rsidR="003C06C0">
        <w:rPr>
          <w:rFonts w:ascii="Times New Roman" w:hAnsi="Times New Roman"/>
          <w:color w:val="000000" w:themeColor="text1"/>
          <w:lang w:eastAsia="ar-SA"/>
        </w:rPr>
        <w:t>.</w:t>
      </w:r>
      <w:r w:rsidR="00CA7302" w:rsidRPr="001F2BEE">
        <w:rPr>
          <w:rFonts w:ascii="Times New Roman" w:hAnsi="Times New Roman"/>
        </w:rPr>
        <w:t xml:space="preserve"> </w:t>
      </w:r>
      <w:r w:rsidR="008F132D" w:rsidRPr="001F2BEE">
        <w:rPr>
          <w:rFonts w:ascii="Times New Roman" w:hAnsi="Times New Roman"/>
        </w:rPr>
        <w:t xml:space="preserve">It should also be noted that </w:t>
      </w:r>
      <w:r w:rsidR="008F132D">
        <w:rPr>
          <w:rFonts w:ascii="Times New Roman" w:hAnsi="Times New Roman"/>
        </w:rPr>
        <w:t xml:space="preserve">although an </w:t>
      </w:r>
      <w:r w:rsidR="00CA7302" w:rsidRPr="00CA7302">
        <w:rPr>
          <w:rFonts w:ascii="Times New Roman" w:hAnsi="Times New Roman"/>
          <w:color w:val="000000" w:themeColor="text1"/>
          <w:lang w:eastAsia="ar-SA"/>
        </w:rPr>
        <w:t>application may be beneficial in a certain social,</w:t>
      </w:r>
      <w:r w:rsidR="00CA7302">
        <w:rPr>
          <w:rFonts w:ascii="Times New Roman" w:hAnsi="Times New Roman"/>
          <w:color w:val="000000" w:themeColor="text1"/>
          <w:lang w:eastAsia="ar-SA"/>
        </w:rPr>
        <w:t xml:space="preserve"> </w:t>
      </w:r>
      <w:r w:rsidR="00CA7302" w:rsidRPr="00CA7302">
        <w:rPr>
          <w:rFonts w:ascii="Times New Roman" w:hAnsi="Times New Roman"/>
          <w:color w:val="000000" w:themeColor="text1"/>
          <w:lang w:eastAsia="ar-SA"/>
        </w:rPr>
        <w:t>political, economic and</w:t>
      </w:r>
      <w:r w:rsidR="00963329">
        <w:rPr>
          <w:rFonts w:ascii="Times New Roman" w:hAnsi="Times New Roman"/>
          <w:color w:val="000000" w:themeColor="text1"/>
          <w:lang w:eastAsia="ar-SA"/>
        </w:rPr>
        <w:t>/or</w:t>
      </w:r>
      <w:r w:rsidR="00CA7302" w:rsidRPr="00CA7302">
        <w:rPr>
          <w:rFonts w:ascii="Times New Roman" w:hAnsi="Times New Roman"/>
          <w:color w:val="000000" w:themeColor="text1"/>
          <w:lang w:eastAsia="ar-SA"/>
        </w:rPr>
        <w:t xml:space="preserve"> ecological context</w:t>
      </w:r>
      <w:r w:rsidR="008F132D">
        <w:rPr>
          <w:rFonts w:ascii="Times New Roman" w:hAnsi="Times New Roman"/>
          <w:color w:val="000000" w:themeColor="text1"/>
          <w:lang w:eastAsia="ar-SA"/>
        </w:rPr>
        <w:t>, this</w:t>
      </w:r>
      <w:r w:rsidR="00CA7302" w:rsidRPr="00CA7302">
        <w:rPr>
          <w:rFonts w:ascii="Times New Roman" w:hAnsi="Times New Roman"/>
          <w:color w:val="000000" w:themeColor="text1"/>
          <w:lang w:eastAsia="ar-SA"/>
        </w:rPr>
        <w:t xml:space="preserve"> should not</w:t>
      </w:r>
      <w:r w:rsidR="00CA7302">
        <w:rPr>
          <w:rFonts w:ascii="Times New Roman" w:hAnsi="Times New Roman"/>
          <w:color w:val="000000" w:themeColor="text1"/>
          <w:lang w:eastAsia="ar-SA"/>
        </w:rPr>
        <w:t xml:space="preserve"> </w:t>
      </w:r>
      <w:r w:rsidR="00CA7302" w:rsidRPr="00CA7302">
        <w:rPr>
          <w:rFonts w:ascii="Times New Roman" w:hAnsi="Times New Roman"/>
          <w:color w:val="000000" w:themeColor="text1"/>
          <w:lang w:eastAsia="ar-SA"/>
        </w:rPr>
        <w:t xml:space="preserve">imply that it would </w:t>
      </w:r>
      <w:r w:rsidR="005A5B6A">
        <w:rPr>
          <w:rFonts w:ascii="Times New Roman" w:hAnsi="Times New Roman"/>
          <w:color w:val="000000" w:themeColor="text1"/>
          <w:lang w:eastAsia="ar-SA"/>
        </w:rPr>
        <w:t xml:space="preserve">also </w:t>
      </w:r>
      <w:r w:rsidR="00CA7302" w:rsidRPr="00CA7302">
        <w:rPr>
          <w:rFonts w:ascii="Times New Roman" w:hAnsi="Times New Roman"/>
          <w:color w:val="000000" w:themeColor="text1"/>
          <w:lang w:eastAsia="ar-SA"/>
        </w:rPr>
        <w:t>be beneficial in another context</w:t>
      </w:r>
      <w:r w:rsidR="00AD028F">
        <w:rPr>
          <w:rFonts w:ascii="Times New Roman" w:hAnsi="Times New Roman"/>
          <w:color w:val="000000" w:themeColor="text1"/>
          <w:lang w:eastAsia="ar-SA"/>
        </w:rPr>
        <w:t xml:space="preserve"> </w:t>
      </w:r>
      <w:r w:rsidR="00E439D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{"citationItems":[{"id":"ITEM-1","itemData":{"DOI":"10.2305/IUCN.CH.2019.05.en","ISBN":"9782831719733","editor":[{"dropping-particle":"","family":"Redford","given":"Kent H.","non-dropping-particle":"","parse-names":false,"suffix":""},{"dropping-particle":"","family":"Brooks","given":"Thomas M.","non-dropping-particle":"","parse-names":false,"suffix":""},{"dropping-particle":"","family":"Macfarlane","given":"Nicholas B.W.","non-dropping-particle":"","parse-names":false,"suffix":""},{"dropping-particle":"","family":"Adams","given":"Jonathan S.","non-dropping-particle":"","parse-names":false,"suffix":""}],"id":"ITEM-1","issued":{"date-parts":[["2019","5","6"]]},"publisher":"IUCN, International Union for Conservation of Nature","title":"Genetic frontiers for conservation: an assessment of synthetic biology and biodiversity conservation: technical assessment","type":"book"},"uris":["http://www.mendeley.com/documents/?uuid=9b6cd793-31c7-4755-8480-3345b89666d3"]}],"mendeley":{"formattedCitation":"(Redford et al., 2019)","plainTextFormattedCitation":"(Redford et al., 2019)","previouslyFormattedCitation":"(Redford et al., 2019)"},"properties":{"noteIndex":0},"schema":"https://github.com/citation-style-language/schema/raw/master/csl-citation.json"}</w:instrText>
      </w:r>
      <w:r w:rsidR="00E439D7">
        <w:rPr>
          <w:rFonts w:ascii="Times New Roman" w:hAnsi="Times New Roman"/>
          <w:color w:val="000000" w:themeColor="text1"/>
          <w:lang w:eastAsia="ar-SA"/>
        </w:rPr>
        <w:fldChar w:fldCharType="separate"/>
      </w:r>
      <w:r w:rsidR="00E439D7" w:rsidRPr="00E439D7">
        <w:rPr>
          <w:rFonts w:ascii="Times New Roman" w:hAnsi="Times New Roman"/>
          <w:noProof/>
          <w:color w:val="000000" w:themeColor="text1"/>
          <w:lang w:eastAsia="ar-SA"/>
        </w:rPr>
        <w:t>(Redford et al., 2019)</w:t>
      </w:r>
      <w:r w:rsidR="00E439D7">
        <w:rPr>
          <w:rFonts w:ascii="Times New Roman" w:hAnsi="Times New Roman"/>
          <w:color w:val="000000" w:themeColor="text1"/>
          <w:lang w:eastAsia="ar-SA"/>
        </w:rPr>
        <w:fldChar w:fldCharType="end"/>
      </w:r>
      <w:r w:rsidR="00CA7302" w:rsidRPr="00A20E99">
        <w:rPr>
          <w:rFonts w:ascii="Times New Roman" w:hAnsi="Times New Roman"/>
          <w:color w:val="000000" w:themeColor="text1"/>
          <w:lang w:eastAsia="ar-SA"/>
        </w:rPr>
        <w:t>.</w:t>
      </w:r>
      <w:r w:rsidR="00CA7302" w:rsidRPr="00CA7302">
        <w:rPr>
          <w:rFonts w:ascii="Times New Roman" w:hAnsi="Times New Roman"/>
          <w:color w:val="000000" w:themeColor="text1"/>
          <w:lang w:eastAsia="ar-SA"/>
        </w:rPr>
        <w:t xml:space="preserve"> </w:t>
      </w:r>
      <w:r w:rsidR="00092115">
        <w:rPr>
          <w:rFonts w:ascii="Times New Roman" w:hAnsi="Times New Roman"/>
          <w:color w:val="000000" w:themeColor="text1"/>
          <w:lang w:eastAsia="ar-SA"/>
        </w:rPr>
        <w:t xml:space="preserve">Potential impacts </w:t>
      </w:r>
      <w:r w:rsidR="00786155">
        <w:rPr>
          <w:rFonts w:ascii="Times New Roman" w:hAnsi="Times New Roman"/>
          <w:color w:val="000000" w:themeColor="text1"/>
          <w:lang w:eastAsia="ar-SA"/>
        </w:rPr>
        <w:t>of each</w:t>
      </w:r>
      <w:r w:rsidR="00CA7302" w:rsidRPr="00CA7302">
        <w:rPr>
          <w:rFonts w:ascii="Times New Roman" w:hAnsi="Times New Roman"/>
          <w:color w:val="000000" w:themeColor="text1"/>
          <w:lang w:eastAsia="ar-SA"/>
        </w:rPr>
        <w:t xml:space="preserve"> application</w:t>
      </w:r>
      <w:r w:rsidR="00CA7302">
        <w:rPr>
          <w:rFonts w:ascii="Times New Roman" w:hAnsi="Times New Roman"/>
          <w:color w:val="000000" w:themeColor="text1"/>
          <w:lang w:eastAsia="ar-SA"/>
        </w:rPr>
        <w:t xml:space="preserve"> </w:t>
      </w:r>
      <w:r w:rsidR="00092115">
        <w:rPr>
          <w:rFonts w:ascii="Times New Roman" w:hAnsi="Times New Roman"/>
          <w:color w:val="000000" w:themeColor="text1"/>
          <w:lang w:eastAsia="ar-SA"/>
        </w:rPr>
        <w:t>should</w:t>
      </w:r>
      <w:r w:rsidR="00786155">
        <w:rPr>
          <w:rFonts w:ascii="Times New Roman" w:hAnsi="Times New Roman"/>
          <w:color w:val="000000" w:themeColor="text1"/>
          <w:lang w:eastAsia="ar-SA"/>
        </w:rPr>
        <w:t>, by necessity,</w:t>
      </w:r>
      <w:r w:rsidR="00092115">
        <w:rPr>
          <w:rFonts w:ascii="Times New Roman" w:hAnsi="Times New Roman"/>
          <w:color w:val="000000" w:themeColor="text1"/>
          <w:lang w:eastAsia="ar-SA"/>
        </w:rPr>
        <w:t xml:space="preserve"> be considered on a case-by-case basis</w:t>
      </w:r>
      <w:r w:rsidR="00CA7302" w:rsidRPr="00CA7302">
        <w:rPr>
          <w:rFonts w:ascii="Times New Roman" w:hAnsi="Times New Roman"/>
          <w:color w:val="000000" w:themeColor="text1"/>
          <w:lang w:eastAsia="ar-SA"/>
        </w:rPr>
        <w:t>.</w:t>
      </w:r>
    </w:p>
    <w:p w14:paraId="5FA57787" w14:textId="22600EAA" w:rsidR="00AB4313" w:rsidRDefault="61A62AFA" w:rsidP="00A53222">
      <w:pPr>
        <w:suppressAutoHyphens/>
        <w:autoSpaceDE w:val="0"/>
        <w:spacing w:before="120" w:after="120" w:line="240" w:lineRule="auto"/>
        <w:jc w:val="both"/>
        <w:rPr>
          <w:rFonts w:ascii="Times New Roman" w:eastAsia="SimSun" w:hAnsi="Times New Roman" w:cs="Calibri"/>
          <w:color w:val="000000" w:themeColor="text1"/>
          <w:lang w:eastAsia="hi-IN" w:bidi="hi-IN"/>
        </w:rPr>
      </w:pPr>
      <w:r w:rsidRPr="69BA3794">
        <w:rPr>
          <w:rFonts w:ascii="Times New Roman" w:hAnsi="Times New Roman"/>
          <w:color w:val="000000" w:themeColor="text1"/>
          <w:lang w:eastAsia="ar-SA"/>
        </w:rPr>
        <w:t xml:space="preserve">Heeding these provisos, </w:t>
      </w:r>
      <w:r w:rsidR="005A5B6A" w:rsidRPr="69BA3794">
        <w:rPr>
          <w:rFonts w:ascii="Times New Roman" w:eastAsia="SimSun" w:hAnsi="Times New Roman" w:cs="Calibri"/>
          <w:color w:val="000000" w:themeColor="text1"/>
          <w:lang w:eastAsia="hi-IN" w:bidi="hi-IN"/>
        </w:rPr>
        <w:t>t</w:t>
      </w:r>
      <w:r w:rsidR="005A5B6A" w:rsidRPr="65A51B64">
        <w:rPr>
          <w:rFonts w:ascii="Times New Roman" w:eastAsia="SimSun" w:hAnsi="Times New Roman" w:cs="Calibri"/>
          <w:color w:val="000000"/>
          <w:kern w:val="1"/>
          <w:lang w:eastAsia="hi-IN" w:bidi="hi-IN"/>
        </w:rPr>
        <w:t>h</w:t>
      </w:r>
      <w:r w:rsidR="005A5B6A">
        <w:rPr>
          <w:rFonts w:ascii="Times New Roman" w:eastAsia="SimSun" w:hAnsi="Times New Roman" w:cs="Calibri"/>
          <w:color w:val="000000"/>
          <w:kern w:val="1"/>
          <w:lang w:eastAsia="hi-IN" w:bidi="hi-IN"/>
        </w:rPr>
        <w:t>e</w:t>
      </w:r>
      <w:r w:rsidR="005A5B6A" w:rsidRPr="0299BB36">
        <w:rPr>
          <w:rFonts w:ascii="Times New Roman" w:eastAsia="SimSun" w:hAnsi="Times New Roman" w:cs="Calibri"/>
          <w:color w:val="000000" w:themeColor="text1"/>
          <w:lang w:eastAsia="hi-IN" w:bidi="hi-IN"/>
        </w:rPr>
        <w:t xml:space="preserve"> </w:t>
      </w:r>
      <w:r w:rsidR="001B4F83" w:rsidRPr="0299BB36">
        <w:rPr>
          <w:rFonts w:ascii="Times New Roman" w:eastAsia="SimSun" w:hAnsi="Times New Roman" w:cs="Calibri"/>
          <w:color w:val="000000" w:themeColor="text1"/>
          <w:lang w:eastAsia="hi-IN" w:bidi="hi-IN"/>
        </w:rPr>
        <w:t>first part of th</w:t>
      </w:r>
      <w:r w:rsidR="005A5B6A">
        <w:rPr>
          <w:rFonts w:ascii="Times New Roman" w:eastAsia="SimSun" w:hAnsi="Times New Roman" w:cs="Calibri"/>
          <w:color w:val="000000" w:themeColor="text1"/>
          <w:lang w:eastAsia="hi-IN" w:bidi="hi-IN"/>
        </w:rPr>
        <w:t>is</w:t>
      </w:r>
      <w:r w:rsidR="00A268DA" w:rsidRPr="69BA3794">
        <w:rPr>
          <w:rFonts w:ascii="Times New Roman" w:eastAsia="SimSun" w:hAnsi="Times New Roman" w:cs="Calibri"/>
          <w:color w:val="000000"/>
          <w:kern w:val="1"/>
          <w:lang w:eastAsia="hi-IN" w:bidi="hi-IN"/>
        </w:rPr>
        <w:t xml:space="preserve"> section discusses the potential impacts of components, organisms and products resulting from</w:t>
      </w:r>
      <w:r w:rsidR="00A268DA" w:rsidRPr="69BA3794">
        <w:rPr>
          <w:rFonts w:ascii="Times New Roman" w:eastAsia="SimSun" w:hAnsi="Times New Roman" w:cs="Calibri"/>
          <w:color w:val="000000" w:themeColor="text1"/>
          <w:lang w:eastAsia="hi-IN" w:bidi="hi-IN"/>
        </w:rPr>
        <w:t xml:space="preserve"> </w:t>
      </w:r>
      <w:r w:rsidR="00903DD8">
        <w:rPr>
          <w:rFonts w:ascii="Times New Roman" w:eastAsia="SimSun" w:hAnsi="Times New Roman" w:cs="Calibri"/>
          <w:color w:val="000000" w:themeColor="text1"/>
          <w:lang w:eastAsia="hi-IN" w:bidi="hi-IN"/>
        </w:rPr>
        <w:t>various</w:t>
      </w:r>
      <w:r w:rsidR="7F706BD7" w:rsidRPr="69BA3794">
        <w:rPr>
          <w:rFonts w:ascii="Times New Roman" w:eastAsia="SimSun" w:hAnsi="Times New Roman" w:cs="Calibri"/>
          <w:color w:val="000000" w:themeColor="text1"/>
          <w:lang w:eastAsia="hi-IN" w:bidi="hi-IN"/>
        </w:rPr>
        <w:t xml:space="preserve"> applications of</w:t>
      </w:r>
      <w:r w:rsidR="00A268DA" w:rsidRPr="65A51B64">
        <w:rPr>
          <w:rFonts w:ascii="Times New Roman" w:eastAsia="SimSun" w:hAnsi="Times New Roman" w:cs="Calibri"/>
          <w:color w:val="000000"/>
          <w:kern w:val="1"/>
          <w:lang w:eastAsia="hi-IN" w:bidi="hi-IN"/>
        </w:rPr>
        <w:t xml:space="preserve"> synthetic biology </w:t>
      </w:r>
      <w:r w:rsidR="008844DA">
        <w:rPr>
          <w:rFonts w:ascii="Times New Roman" w:eastAsia="SimSun" w:hAnsi="Times New Roman" w:cs="Calibri"/>
          <w:color w:val="000000" w:themeColor="text1"/>
          <w:lang w:eastAsia="hi-IN" w:bidi="hi-IN"/>
        </w:rPr>
        <w:t>on</w:t>
      </w:r>
      <w:r w:rsidR="40B50AE0" w:rsidRPr="69BA3794">
        <w:rPr>
          <w:rFonts w:ascii="Times New Roman" w:eastAsia="SimSun" w:hAnsi="Times New Roman" w:cs="Calibri"/>
          <w:color w:val="000000" w:themeColor="text1"/>
          <w:lang w:eastAsia="hi-IN" w:bidi="hi-IN"/>
        </w:rPr>
        <w:t xml:space="preserve"> the </w:t>
      </w:r>
      <w:r w:rsidR="008844DA">
        <w:rPr>
          <w:rFonts w:ascii="Times New Roman" w:eastAsia="SimSun" w:hAnsi="Times New Roman" w:cs="Calibri"/>
          <w:color w:val="000000" w:themeColor="text1"/>
          <w:lang w:eastAsia="hi-IN" w:bidi="hi-IN"/>
        </w:rPr>
        <w:t xml:space="preserve">conservation </w:t>
      </w:r>
      <w:r w:rsidR="00157FC3">
        <w:rPr>
          <w:rFonts w:ascii="Times New Roman" w:eastAsia="SimSun" w:hAnsi="Times New Roman" w:cs="Calibri"/>
          <w:color w:val="000000" w:themeColor="text1"/>
          <w:lang w:eastAsia="hi-IN" w:bidi="hi-IN"/>
        </w:rPr>
        <w:t xml:space="preserve">and </w:t>
      </w:r>
      <w:r w:rsidR="008844DA">
        <w:rPr>
          <w:rFonts w:ascii="Times New Roman" w:eastAsia="SimSun" w:hAnsi="Times New Roman" w:cs="Calibri"/>
          <w:color w:val="000000" w:themeColor="text1"/>
          <w:lang w:eastAsia="hi-IN" w:bidi="hi-IN"/>
        </w:rPr>
        <w:t>sustainable use of biological diversity</w:t>
      </w:r>
      <w:r w:rsidR="00E1782A">
        <w:rPr>
          <w:rFonts w:ascii="Times New Roman" w:eastAsia="SimSun" w:hAnsi="Times New Roman" w:cs="Calibri"/>
          <w:color w:val="000000" w:themeColor="text1"/>
          <w:lang w:eastAsia="hi-IN" w:bidi="hi-IN"/>
        </w:rPr>
        <w:t>.</w:t>
      </w:r>
      <w:r w:rsidR="40B50AE0" w:rsidRPr="00205648">
        <w:rPr>
          <w:rFonts w:ascii="Times New Roman" w:eastAsia="SimSun" w:hAnsi="Times New Roman" w:cs="Calibri"/>
          <w:color w:val="000000" w:themeColor="text1"/>
          <w:lang w:eastAsia="hi-IN" w:bidi="hi-IN"/>
        </w:rPr>
        <w:t xml:space="preserve"> </w:t>
      </w:r>
      <w:r w:rsidR="00633ACD" w:rsidRPr="00647755">
        <w:rPr>
          <w:rFonts w:ascii="Times New Roman" w:eastAsia="SimSun" w:hAnsi="Times New Roman" w:cs="Calibri"/>
          <w:color w:val="000000" w:themeColor="text1"/>
          <w:lang w:eastAsia="hi-IN" w:bidi="hi-IN"/>
        </w:rPr>
        <w:t>The impacts have been grouped in</w:t>
      </w:r>
      <w:r w:rsidR="00577C16">
        <w:rPr>
          <w:rFonts w:ascii="Times New Roman" w:eastAsia="SimSun" w:hAnsi="Times New Roman" w:cs="Calibri"/>
          <w:color w:val="000000" w:themeColor="text1"/>
          <w:lang w:eastAsia="hi-IN" w:bidi="hi-IN"/>
        </w:rPr>
        <w:t>to</w:t>
      </w:r>
      <w:r w:rsidR="00633ACD" w:rsidRPr="00647755">
        <w:rPr>
          <w:rFonts w:ascii="Times New Roman" w:eastAsia="SimSun" w:hAnsi="Times New Roman" w:cs="Calibri"/>
          <w:color w:val="000000" w:themeColor="text1"/>
          <w:lang w:eastAsia="hi-IN" w:bidi="hi-IN"/>
        </w:rPr>
        <w:t xml:space="preserve"> categories to facilitate the discussion and use of examples</w:t>
      </w:r>
      <w:r w:rsidR="00641F26" w:rsidRPr="00647755">
        <w:rPr>
          <w:rFonts w:ascii="Times New Roman" w:eastAsia="SimSun" w:hAnsi="Times New Roman" w:cs="Calibri"/>
          <w:color w:val="000000" w:themeColor="text1"/>
          <w:lang w:eastAsia="hi-IN" w:bidi="hi-IN"/>
        </w:rPr>
        <w:t xml:space="preserve">. </w:t>
      </w:r>
      <w:r w:rsidR="002473BF" w:rsidRPr="00205648">
        <w:rPr>
          <w:rFonts w:ascii="Times New Roman" w:eastAsia="SimSun" w:hAnsi="Times New Roman" w:cs="Calibri"/>
          <w:color w:val="000000" w:themeColor="text1"/>
          <w:lang w:eastAsia="hi-IN" w:bidi="hi-IN"/>
        </w:rPr>
        <w:t xml:space="preserve">Also, </w:t>
      </w:r>
      <w:r w:rsidR="00481FFB" w:rsidRPr="00205648">
        <w:rPr>
          <w:rFonts w:ascii="Times New Roman" w:eastAsia="SimSun" w:hAnsi="Times New Roman" w:cs="Calibri"/>
          <w:color w:val="000000" w:themeColor="text1"/>
          <w:lang w:eastAsia="hi-IN" w:bidi="hi-IN"/>
        </w:rPr>
        <w:t xml:space="preserve">the discussions </w:t>
      </w:r>
      <w:r w:rsidR="00617C45" w:rsidRPr="00205648">
        <w:rPr>
          <w:rFonts w:ascii="Times New Roman" w:eastAsia="SimSun" w:hAnsi="Times New Roman" w:cs="Calibri"/>
          <w:color w:val="000000" w:themeColor="text1"/>
          <w:lang w:eastAsia="hi-IN" w:bidi="hi-IN"/>
        </w:rPr>
        <w:t>ha</w:t>
      </w:r>
      <w:r w:rsidR="00617C45">
        <w:rPr>
          <w:rFonts w:ascii="Times New Roman" w:eastAsia="SimSun" w:hAnsi="Times New Roman" w:cs="Calibri"/>
          <w:color w:val="000000" w:themeColor="text1"/>
          <w:lang w:eastAsia="hi-IN" w:bidi="hi-IN"/>
        </w:rPr>
        <w:t xml:space="preserve">ve </w:t>
      </w:r>
      <w:r w:rsidR="002947D7">
        <w:rPr>
          <w:rFonts w:ascii="Times New Roman" w:eastAsia="SimSun" w:hAnsi="Times New Roman" w:cs="Calibri"/>
          <w:color w:val="000000" w:themeColor="text1"/>
          <w:lang w:eastAsia="hi-IN" w:bidi="hi-IN"/>
        </w:rPr>
        <w:t>whenever possible</w:t>
      </w:r>
      <w:r w:rsidR="009A6174">
        <w:rPr>
          <w:rFonts w:ascii="Times New Roman" w:eastAsia="SimSun" w:hAnsi="Times New Roman" w:cs="Calibri"/>
          <w:color w:val="000000" w:themeColor="text1"/>
          <w:lang w:eastAsia="hi-IN" w:bidi="hi-IN"/>
        </w:rPr>
        <w:t xml:space="preserve"> </w:t>
      </w:r>
      <w:r w:rsidR="002473BF">
        <w:rPr>
          <w:rFonts w:ascii="Times New Roman" w:eastAsia="SimSun" w:hAnsi="Times New Roman" w:cs="Calibri"/>
          <w:color w:val="000000" w:themeColor="text1"/>
          <w:lang w:eastAsia="hi-IN" w:bidi="hi-IN"/>
        </w:rPr>
        <w:t xml:space="preserve">focused </w:t>
      </w:r>
      <w:r w:rsidR="009A6174">
        <w:rPr>
          <w:rFonts w:ascii="Times New Roman" w:eastAsia="SimSun" w:hAnsi="Times New Roman" w:cs="Calibri"/>
          <w:color w:val="000000" w:themeColor="text1"/>
          <w:lang w:eastAsia="hi-IN" w:bidi="hi-IN"/>
        </w:rPr>
        <w:t>on</w:t>
      </w:r>
      <w:r w:rsidR="00481FFB">
        <w:rPr>
          <w:rFonts w:ascii="Times New Roman" w:eastAsia="SimSun" w:hAnsi="Times New Roman" w:cs="Calibri"/>
          <w:color w:val="000000" w:themeColor="text1"/>
          <w:lang w:eastAsia="hi-IN" w:bidi="hi-IN"/>
        </w:rPr>
        <w:t xml:space="preserve"> those issues raised by applications currently commercially available or in advanced stages of development</w:t>
      </w:r>
      <w:r w:rsidR="00E34A53">
        <w:rPr>
          <w:rFonts w:ascii="Times New Roman" w:eastAsia="SimSun" w:hAnsi="Times New Roman" w:cs="Calibri"/>
          <w:color w:val="000000" w:themeColor="text1"/>
          <w:lang w:eastAsia="hi-IN" w:bidi="hi-IN"/>
        </w:rPr>
        <w:t xml:space="preserve"> </w:t>
      </w:r>
      <w:r w:rsidR="00577C16">
        <w:rPr>
          <w:rFonts w:ascii="Times New Roman" w:eastAsia="SimSun" w:hAnsi="Times New Roman" w:cs="Calibri"/>
          <w:color w:val="000000" w:themeColor="text1"/>
          <w:lang w:eastAsia="hi-IN" w:bidi="hi-IN"/>
        </w:rPr>
        <w:t>as well as</w:t>
      </w:r>
      <w:r w:rsidR="009C5C75">
        <w:rPr>
          <w:rFonts w:ascii="Times New Roman" w:eastAsia="SimSun" w:hAnsi="Times New Roman" w:cs="Calibri"/>
          <w:color w:val="000000" w:themeColor="text1"/>
          <w:lang w:eastAsia="hi-IN" w:bidi="hi-IN"/>
        </w:rPr>
        <w:t xml:space="preserve"> on applications that are widely discussed </w:t>
      </w:r>
      <w:r w:rsidR="003B1B25">
        <w:rPr>
          <w:rFonts w:ascii="Times New Roman" w:eastAsia="SimSun" w:hAnsi="Times New Roman" w:cs="Calibri"/>
          <w:color w:val="000000" w:themeColor="text1"/>
          <w:lang w:eastAsia="hi-IN" w:bidi="hi-IN"/>
        </w:rPr>
        <w:t xml:space="preserve">at </w:t>
      </w:r>
      <w:r w:rsidR="00577C16">
        <w:rPr>
          <w:rFonts w:ascii="Times New Roman" w:eastAsia="SimSun" w:hAnsi="Times New Roman" w:cs="Calibri"/>
          <w:color w:val="000000" w:themeColor="text1"/>
          <w:lang w:eastAsia="hi-IN" w:bidi="hi-IN"/>
        </w:rPr>
        <w:t>the</w:t>
      </w:r>
      <w:r w:rsidR="003B1B25">
        <w:rPr>
          <w:rFonts w:ascii="Times New Roman" w:eastAsia="SimSun" w:hAnsi="Times New Roman" w:cs="Calibri"/>
          <w:color w:val="000000" w:themeColor="text1"/>
          <w:lang w:eastAsia="hi-IN" w:bidi="hi-IN"/>
        </w:rPr>
        <w:t xml:space="preserve"> international level (i.e</w:t>
      </w:r>
      <w:r w:rsidR="00577C16">
        <w:rPr>
          <w:rFonts w:ascii="Times New Roman" w:eastAsia="SimSun" w:hAnsi="Times New Roman" w:cs="Calibri"/>
          <w:color w:val="000000" w:themeColor="text1"/>
          <w:lang w:eastAsia="hi-IN" w:bidi="hi-IN"/>
        </w:rPr>
        <w:t>.</w:t>
      </w:r>
      <w:r w:rsidR="003B1B25">
        <w:rPr>
          <w:rFonts w:ascii="Times New Roman" w:eastAsia="SimSun" w:hAnsi="Times New Roman" w:cs="Calibri"/>
          <w:color w:val="000000" w:themeColor="text1"/>
          <w:lang w:eastAsia="hi-IN" w:bidi="hi-IN"/>
        </w:rPr>
        <w:t xml:space="preserve"> the use of engineered gene drives for</w:t>
      </w:r>
      <w:r w:rsidR="00AD67B9">
        <w:rPr>
          <w:rFonts w:ascii="Times New Roman" w:eastAsia="SimSun" w:hAnsi="Times New Roman" w:cs="Calibri"/>
          <w:color w:val="000000" w:themeColor="text1"/>
          <w:lang w:eastAsia="hi-IN" w:bidi="hi-IN"/>
        </w:rPr>
        <w:t xml:space="preserve"> </w:t>
      </w:r>
      <w:r w:rsidR="00AC1923">
        <w:rPr>
          <w:rFonts w:ascii="Times New Roman" w:eastAsia="SimSun" w:hAnsi="Times New Roman" w:cs="Calibri"/>
          <w:color w:val="000000" w:themeColor="text1"/>
          <w:lang w:eastAsia="hi-IN" w:bidi="hi-IN"/>
        </w:rPr>
        <w:t>conservation purposes</w:t>
      </w:r>
      <w:r w:rsidR="002C2DD5">
        <w:rPr>
          <w:rFonts w:ascii="Times New Roman" w:eastAsia="SimSun" w:hAnsi="Times New Roman" w:cs="Calibri"/>
          <w:color w:val="000000" w:themeColor="text1"/>
          <w:lang w:eastAsia="hi-IN" w:bidi="hi-IN"/>
        </w:rPr>
        <w:t xml:space="preserve"> and pest</w:t>
      </w:r>
      <w:r w:rsidR="00AC1923">
        <w:rPr>
          <w:rFonts w:ascii="Times New Roman" w:eastAsia="SimSun" w:hAnsi="Times New Roman" w:cs="Calibri"/>
          <w:color w:val="000000" w:themeColor="text1"/>
          <w:lang w:eastAsia="hi-IN" w:bidi="hi-IN"/>
        </w:rPr>
        <w:t xml:space="preserve"> </w:t>
      </w:r>
      <w:r w:rsidR="00AB01B6">
        <w:rPr>
          <w:rFonts w:ascii="Times New Roman" w:eastAsia="SimSun" w:hAnsi="Times New Roman" w:cs="Calibri"/>
          <w:color w:val="000000" w:themeColor="text1"/>
          <w:lang w:eastAsia="hi-IN" w:bidi="hi-IN"/>
        </w:rPr>
        <w:t>control</w:t>
      </w:r>
      <w:r w:rsidR="00AD67B9">
        <w:rPr>
          <w:rFonts w:ascii="Times New Roman" w:eastAsia="SimSun" w:hAnsi="Times New Roman" w:cs="Calibri"/>
          <w:color w:val="000000" w:themeColor="text1"/>
          <w:lang w:eastAsia="hi-IN" w:bidi="hi-IN"/>
        </w:rPr>
        <w:t>)</w:t>
      </w:r>
      <w:r w:rsidR="00481FFB">
        <w:rPr>
          <w:rFonts w:ascii="Times New Roman" w:eastAsia="SimSun" w:hAnsi="Times New Roman" w:cs="Calibri"/>
          <w:color w:val="000000" w:themeColor="text1"/>
          <w:lang w:eastAsia="hi-IN" w:bidi="hi-IN"/>
        </w:rPr>
        <w:t xml:space="preserve">. </w:t>
      </w:r>
      <w:r w:rsidR="00EA51EB">
        <w:rPr>
          <w:rFonts w:ascii="Times New Roman" w:eastAsia="SimSun" w:hAnsi="Times New Roman" w:cs="Calibri"/>
          <w:color w:val="000000" w:themeColor="text1"/>
          <w:lang w:eastAsia="hi-IN" w:bidi="hi-IN"/>
        </w:rPr>
        <w:t>Therefore</w:t>
      </w:r>
      <w:r w:rsidR="00974899" w:rsidDel="00EA51EB">
        <w:rPr>
          <w:rFonts w:ascii="Times New Roman" w:eastAsia="SimSun" w:hAnsi="Times New Roman" w:cs="Calibri"/>
          <w:color w:val="000000" w:themeColor="text1"/>
          <w:lang w:eastAsia="hi-IN" w:bidi="hi-IN"/>
        </w:rPr>
        <w:t>,</w:t>
      </w:r>
      <w:r w:rsidR="00974899">
        <w:rPr>
          <w:rFonts w:ascii="Times New Roman" w:eastAsia="SimSun" w:hAnsi="Times New Roman" w:cs="Calibri"/>
          <w:color w:val="000000" w:themeColor="text1"/>
          <w:lang w:eastAsia="hi-IN" w:bidi="hi-IN"/>
        </w:rPr>
        <w:t xml:space="preserve"> </w:t>
      </w:r>
      <w:r w:rsidR="006E072D">
        <w:rPr>
          <w:rFonts w:ascii="Times New Roman" w:eastAsia="SimSun" w:hAnsi="Times New Roman" w:cs="Calibri"/>
          <w:color w:val="000000" w:themeColor="text1"/>
          <w:lang w:eastAsia="hi-IN" w:bidi="hi-IN"/>
        </w:rPr>
        <w:t xml:space="preserve">the </w:t>
      </w:r>
      <w:r w:rsidR="00974899" w:rsidRPr="69BA3794">
        <w:rPr>
          <w:rFonts w:ascii="Times New Roman" w:eastAsia="SimSun" w:hAnsi="Times New Roman" w:cs="Calibri"/>
          <w:color w:val="000000" w:themeColor="text1"/>
          <w:lang w:eastAsia="hi-IN" w:bidi="hi-IN"/>
        </w:rPr>
        <w:t xml:space="preserve">examples </w:t>
      </w:r>
      <w:r w:rsidR="006E072D">
        <w:rPr>
          <w:rFonts w:ascii="Times New Roman" w:eastAsia="SimSun" w:hAnsi="Times New Roman" w:cs="Calibri"/>
          <w:color w:val="000000" w:themeColor="text1"/>
          <w:lang w:eastAsia="hi-IN" w:bidi="hi-IN"/>
        </w:rPr>
        <w:t xml:space="preserve">of </w:t>
      </w:r>
      <w:r w:rsidR="00974899" w:rsidRPr="69BA3794">
        <w:rPr>
          <w:rFonts w:ascii="Times New Roman" w:eastAsia="SimSun" w:hAnsi="Times New Roman" w:cs="Calibri"/>
          <w:color w:val="000000" w:themeColor="text1"/>
          <w:lang w:eastAsia="hi-IN" w:bidi="hi-IN"/>
        </w:rPr>
        <w:t xml:space="preserve">synthetic biology </w:t>
      </w:r>
      <w:r w:rsidR="006E072D">
        <w:rPr>
          <w:rFonts w:ascii="Times New Roman" w:eastAsia="SimSun" w:hAnsi="Times New Roman" w:cs="Calibri"/>
          <w:color w:val="000000" w:themeColor="text1"/>
          <w:lang w:eastAsia="hi-IN" w:bidi="hi-IN"/>
        </w:rPr>
        <w:t>applications</w:t>
      </w:r>
      <w:r w:rsidR="00234B05">
        <w:rPr>
          <w:rFonts w:ascii="Times New Roman" w:eastAsia="SimSun" w:hAnsi="Times New Roman" w:cs="Calibri"/>
          <w:color w:val="000000" w:themeColor="text1"/>
          <w:lang w:eastAsia="hi-IN" w:bidi="hi-IN"/>
        </w:rPr>
        <w:t xml:space="preserve"> used are</w:t>
      </w:r>
      <w:r w:rsidR="00974899" w:rsidRPr="69BA3794">
        <w:rPr>
          <w:rFonts w:ascii="Times New Roman" w:eastAsia="SimSun" w:hAnsi="Times New Roman" w:cs="Calibri"/>
          <w:color w:val="000000" w:themeColor="text1"/>
          <w:lang w:eastAsia="hi-IN" w:bidi="hi-IN"/>
        </w:rPr>
        <w:t xml:space="preserve"> not intended to </w:t>
      </w:r>
      <w:r w:rsidR="00B41781">
        <w:rPr>
          <w:rFonts w:ascii="Times New Roman" w:eastAsia="SimSun" w:hAnsi="Times New Roman" w:cs="Calibri"/>
          <w:color w:val="000000" w:themeColor="text1"/>
          <w:lang w:eastAsia="hi-IN" w:bidi="hi-IN"/>
        </w:rPr>
        <w:t>provide a</w:t>
      </w:r>
      <w:r w:rsidR="00974899" w:rsidRPr="69BA3794">
        <w:rPr>
          <w:rFonts w:ascii="Times New Roman" w:eastAsia="SimSun" w:hAnsi="Times New Roman" w:cs="Calibri"/>
          <w:color w:val="000000" w:themeColor="text1"/>
          <w:lang w:eastAsia="hi-IN" w:bidi="hi-IN"/>
        </w:rPr>
        <w:t>n exhaustive coverage</w:t>
      </w:r>
      <w:r w:rsidR="00B41781">
        <w:rPr>
          <w:rFonts w:ascii="Times New Roman" w:eastAsia="SimSun" w:hAnsi="Times New Roman" w:cs="Calibri"/>
          <w:color w:val="000000" w:themeColor="text1"/>
          <w:lang w:eastAsia="hi-IN" w:bidi="hi-IN"/>
        </w:rPr>
        <w:t xml:space="preserve"> of the potential </w:t>
      </w:r>
      <w:r w:rsidR="00A14C4B">
        <w:rPr>
          <w:rFonts w:ascii="Times New Roman" w:eastAsia="SimSun" w:hAnsi="Times New Roman" w:cs="Calibri"/>
          <w:color w:val="000000" w:themeColor="text1"/>
          <w:lang w:eastAsia="hi-IN" w:bidi="hi-IN"/>
        </w:rPr>
        <w:t xml:space="preserve">impacts </w:t>
      </w:r>
      <w:r w:rsidR="00577C16">
        <w:rPr>
          <w:rFonts w:ascii="Times New Roman" w:eastAsia="SimSun" w:hAnsi="Times New Roman" w:cs="Calibri"/>
          <w:color w:val="000000" w:themeColor="text1"/>
          <w:lang w:eastAsia="hi-IN" w:bidi="hi-IN"/>
        </w:rPr>
        <w:t xml:space="preserve">derived from applications of synthetic biology </w:t>
      </w:r>
      <w:r w:rsidR="00A14C4B">
        <w:rPr>
          <w:rFonts w:ascii="Times New Roman" w:eastAsia="SimSun" w:hAnsi="Times New Roman" w:cs="Calibri"/>
          <w:color w:val="000000" w:themeColor="text1"/>
          <w:lang w:eastAsia="hi-IN" w:bidi="hi-IN"/>
        </w:rPr>
        <w:t>on</w:t>
      </w:r>
      <w:r w:rsidR="00B41781">
        <w:rPr>
          <w:rFonts w:ascii="Times New Roman" w:eastAsia="SimSun" w:hAnsi="Times New Roman" w:cs="Calibri"/>
          <w:color w:val="000000" w:themeColor="text1"/>
          <w:lang w:eastAsia="hi-IN" w:bidi="hi-IN"/>
        </w:rPr>
        <w:t xml:space="preserve"> </w:t>
      </w:r>
      <w:r w:rsidR="004300DD" w:rsidRPr="004300DD">
        <w:rPr>
          <w:rFonts w:ascii="Times New Roman" w:eastAsia="SimSun" w:hAnsi="Times New Roman" w:cs="Calibri"/>
          <w:color w:val="000000" w:themeColor="text1"/>
          <w:lang w:eastAsia="hi-IN" w:bidi="hi-IN"/>
        </w:rPr>
        <w:t>the conservation and sustainable use of biodiversity</w:t>
      </w:r>
      <w:r w:rsidR="005F6059">
        <w:rPr>
          <w:rFonts w:ascii="Times New Roman" w:eastAsia="SimSun" w:hAnsi="Times New Roman" w:cs="Calibri"/>
          <w:color w:val="000000" w:themeColor="text1"/>
          <w:lang w:eastAsia="hi-IN" w:bidi="hi-IN"/>
        </w:rPr>
        <w:t xml:space="preserve">. </w:t>
      </w:r>
    </w:p>
    <w:p w14:paraId="79C70EE4" w14:textId="55A22C4C" w:rsidR="00676BC4" w:rsidRPr="00997706" w:rsidRDefault="00E67AA7" w:rsidP="001D0CE0">
      <w:pPr>
        <w:pStyle w:val="Heading3"/>
        <w:rPr>
          <w:lang w:bidi="hi-IN"/>
        </w:rPr>
      </w:pPr>
      <w:bookmarkStart w:id="79" w:name="_Toc70112685"/>
      <w:bookmarkStart w:id="80" w:name="_Toc70685707"/>
      <w:r w:rsidRPr="00577C16">
        <w:rPr>
          <w:rFonts w:eastAsia="SimSun"/>
          <w:lang w:bidi="hi-IN"/>
        </w:rPr>
        <w:t>4</w:t>
      </w:r>
      <w:r w:rsidR="00CB5EAB" w:rsidRPr="00577C16">
        <w:rPr>
          <w:rFonts w:eastAsia="SimSun"/>
          <w:lang w:bidi="hi-IN"/>
        </w:rPr>
        <w:t>.</w:t>
      </w:r>
      <w:r w:rsidR="00370682" w:rsidRPr="00577C16">
        <w:rPr>
          <w:rFonts w:eastAsia="SimSun"/>
          <w:lang w:bidi="hi-IN"/>
        </w:rPr>
        <w:t>1</w:t>
      </w:r>
      <w:r w:rsidR="00CB5EAB" w:rsidRPr="00577C16">
        <w:rPr>
          <w:rFonts w:eastAsia="SimSun"/>
          <w:lang w:bidi="hi-IN"/>
        </w:rPr>
        <w:t xml:space="preserve">. </w:t>
      </w:r>
      <w:r w:rsidR="004F4DAD" w:rsidRPr="00577C16">
        <w:rPr>
          <w:rFonts w:eastAsia="SimSun"/>
          <w:lang w:bidi="hi-IN"/>
        </w:rPr>
        <w:t xml:space="preserve"> </w:t>
      </w:r>
      <w:bookmarkStart w:id="81" w:name="_Hlk66698651"/>
      <w:r w:rsidR="00A535E3" w:rsidRPr="00577C16">
        <w:rPr>
          <w:rFonts w:eastAsia="SimSun"/>
          <w:lang w:bidi="hi-IN"/>
        </w:rPr>
        <w:t>S</w:t>
      </w:r>
      <w:r w:rsidR="004F4DAD" w:rsidRPr="00577C16">
        <w:rPr>
          <w:rFonts w:eastAsia="SimSun"/>
          <w:lang w:bidi="hi-IN"/>
        </w:rPr>
        <w:t>pecies elimination, suppression or displacement</w:t>
      </w:r>
      <w:bookmarkEnd w:id="81"/>
      <w:r w:rsidR="004F4DAD" w:rsidRPr="00577C16">
        <w:rPr>
          <w:rFonts w:eastAsia="SimSun"/>
          <w:lang w:bidi="hi-IN"/>
        </w:rPr>
        <w:t>.</w:t>
      </w:r>
      <w:bookmarkEnd w:id="79"/>
      <w:bookmarkEnd w:id="80"/>
    </w:p>
    <w:p w14:paraId="2A3E80BB" w14:textId="3C2C0745" w:rsidR="00FF5CF2" w:rsidRDefault="005C75E0" w:rsidP="00A933E5">
      <w:pPr>
        <w:spacing w:before="120" w:after="120" w:line="240" w:lineRule="auto"/>
        <w:jc w:val="both"/>
        <w:rPr>
          <w:rFonts w:ascii="Times New Roman" w:eastAsia="SimSun" w:hAnsi="Times New Roman" w:cs="Calibri"/>
          <w:color w:val="000000" w:themeColor="text1"/>
          <w:lang w:eastAsia="hi-IN" w:bidi="hi-IN"/>
        </w:rPr>
      </w:pPr>
      <w:r w:rsidRPr="00622C19">
        <w:rPr>
          <w:rFonts w:ascii="Times New Roman" w:eastAsia="SimSun" w:hAnsi="Times New Roman" w:cs="Calibri"/>
          <w:color w:val="000000" w:themeColor="text1"/>
          <w:lang w:eastAsia="hi-IN" w:bidi="hi-IN"/>
        </w:rPr>
        <w:t xml:space="preserve">Applications containing engineered gene drives are being designed to modify, suppress or eradicate populations of various target species </w:t>
      </w:r>
      <w:r w:rsidR="00501107">
        <w:rPr>
          <w:rFonts w:ascii="Times New Roman" w:eastAsia="SimSun" w:hAnsi="Times New Roman" w:cs="Calibri"/>
          <w:color w:val="000000" w:themeColor="text1"/>
          <w:lang w:eastAsia="hi-IN" w:bidi="hi-IN"/>
        </w:rPr>
        <w:fldChar w:fldCharType="begin" w:fldLock="1"/>
      </w:r>
      <w:r w:rsidR="00AE49D4">
        <w:rPr>
          <w:rFonts w:ascii="Times New Roman" w:eastAsia="SimSun" w:hAnsi="Times New Roman" w:cs="Calibri"/>
          <w:color w:val="000000" w:themeColor="text1"/>
          <w:lang w:eastAsia="hi-IN" w:bidi="hi-IN"/>
        </w:rPr>
        <w:instrText>ADDIN CSL_CITATION {"citationItems":[{"id":"ITEM-1","itemData":{"DOI":"10.1007/s10592-019-01165-5","ISSN":"1566-0621","author":[{"dropping-particle":"","family":"Rode","given":"Nicolas O.","non-dropping-particle":"","parse-names":false,"suffix":""},{"dropping-particle":"","family":"Estoup","given":"Arnaud","non-dropping-particle":"","parse-names":false,"suffix":""},{"dropping-particle":"","family":"Bourguet","given":"Denis","non-dropping-particle":"","parse-names":false,"suffix":""},{"dropping-particle":"","family":"Courtier-Orgogozo","given":"Virginie","non-dropping-particle":"","parse-names":false,"suffix":""},{"dropping-particle":"","family":"Débarre","given":"Florence","non-dropping-particle":"","parse-names":false,"suffix":""}],"container-title":"Conservation Genetics","id":"ITEM-1","issue":"4","issued":{"date-parts":[["2019","8","1"]]},"page":"671-690","title":"Population management using gene drive: molecular design, models of spread dynamics and assessment of ecological risks","type":"article-journal","volume":"20"},"uris":["http://www.mendeley.com/documents/?uuid=ff49d23b-0702-4354-8d0a-b507cae27856"]},{"id":"ITEM-2","itemData":{"DOI":"10.1080/23299460.2017.1410343","ISSN":"2329-9460","author":[{"dropping-particle":"","family":"Scott","given":"Maxwell J.","non-dropping-particle":"","parse-names":false,"suffix":""},{"dropping-particle":"","family":"Gould","given":"Fred","non-dropping-particle":"","parse-names":false,"suffix":""},{"dropping-particle":"","family":"Lorenzen","given":"Marcé","non-dropping-particle":"","parse-names":false,"suffix":""},{"dropping-particle":"","family":"Grubbs","given":"Nathaniel","non-dropping-particle":"","parse-names":false,"suffix":""},{"dropping-particle":"","family":"Edwards","given":"Owain","non-dropping-particle":"","parse-names":false,"suffix":""},{"dropping-particle":"","family":"O’Brochta","given":"David","non-dropping-particle":"","parse-names":false,"suffix":""}],"container-title":"Journal of Responsible Innovation","id":"ITEM-2","issue":"sup1","issued":{"date-parts":[["2018","1","24"]]},"page":"S98-S120","title":"Agricultural production: assessment of the potential use of Cas9-mediated gene drive systems for agricultural pest control","type":"article-journal","volume":"5"},"uris":["http://www.mendeley.com/documents/?uuid=da4af14c-af84-4766-aedc-97cfb4be299b"]}],"mendeley":{"formattedCitation":"(Rode et al., 2019; Scott et al., 2018)","plainTextFormattedCitation":"(Rode et al., 2019; Scott et al., 2018)","previouslyFormattedCitation":"(Rode et al., 2019; Scott et al., 2018)"},"properties":{"noteIndex":0},"schema":"https://github.com/citation-style-language/schema/raw/master/csl-citation.json"}</w:instrText>
      </w:r>
      <w:r w:rsidR="00501107">
        <w:rPr>
          <w:rFonts w:ascii="Times New Roman" w:eastAsia="SimSun" w:hAnsi="Times New Roman" w:cs="Calibri"/>
          <w:color w:val="000000" w:themeColor="text1"/>
          <w:lang w:eastAsia="hi-IN" w:bidi="hi-IN"/>
        </w:rPr>
        <w:fldChar w:fldCharType="separate"/>
      </w:r>
      <w:r w:rsidR="00AE49D4" w:rsidRPr="00AE49D4">
        <w:rPr>
          <w:rFonts w:ascii="Times New Roman" w:eastAsia="SimSun" w:hAnsi="Times New Roman" w:cs="Calibri"/>
          <w:noProof/>
          <w:color w:val="000000" w:themeColor="text1"/>
          <w:lang w:eastAsia="hi-IN" w:bidi="hi-IN"/>
        </w:rPr>
        <w:t>(Rode et al., 2019; Scott et al., 2018)</w:t>
      </w:r>
      <w:r w:rsidR="00501107">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 xml:space="preserve">. </w:t>
      </w:r>
      <w:r w:rsidRPr="00622C19">
        <w:rPr>
          <w:rFonts w:ascii="Times New Roman" w:eastAsia="SimSun" w:hAnsi="Times New Roman" w:cs="Calibri"/>
          <w:color w:val="000000" w:themeColor="text1"/>
          <w:lang w:eastAsia="hi-IN" w:bidi="hi-IN"/>
        </w:rPr>
        <w:t xml:space="preserve">The development of applications based on engineered gene drives targeting </w:t>
      </w:r>
      <w:r w:rsidR="005B34EF">
        <w:rPr>
          <w:rFonts w:ascii="Times New Roman" w:eastAsia="SimSun" w:hAnsi="Times New Roman" w:cs="Calibri"/>
          <w:color w:val="000000" w:themeColor="text1"/>
          <w:lang w:eastAsia="hi-IN" w:bidi="hi-IN"/>
        </w:rPr>
        <w:t>invasive alien species (IAS)</w:t>
      </w:r>
      <w:r w:rsidRPr="00622C19">
        <w:rPr>
          <w:rFonts w:ascii="Times New Roman" w:eastAsia="SimSun" w:hAnsi="Times New Roman" w:cs="Calibri"/>
          <w:color w:val="000000" w:themeColor="text1"/>
          <w:lang w:eastAsia="hi-IN" w:bidi="hi-IN"/>
        </w:rPr>
        <w:t>, human disease vectors and agricultural pests are currently under development</w:t>
      </w:r>
      <w:r w:rsidR="006D3E3C">
        <w:rPr>
          <w:rFonts w:ascii="Times New Roman" w:eastAsia="SimSun" w:hAnsi="Times New Roman" w:cs="Calibri"/>
          <w:color w:val="000000" w:themeColor="text1"/>
          <w:lang w:eastAsia="hi-IN" w:bidi="hi-IN"/>
        </w:rPr>
        <w:t xml:space="preserve"> (see </w:t>
      </w:r>
      <w:r w:rsidR="004F0347">
        <w:rPr>
          <w:rFonts w:ascii="Times New Roman" w:eastAsia="SimSun" w:hAnsi="Times New Roman" w:cs="Calibri"/>
          <w:color w:val="000000" w:themeColor="text1"/>
          <w:lang w:eastAsia="hi-IN" w:bidi="hi-IN"/>
        </w:rPr>
        <w:t xml:space="preserve">Section </w:t>
      </w:r>
      <w:r w:rsidR="009C7387">
        <w:rPr>
          <w:rFonts w:ascii="Times New Roman" w:eastAsia="SimSun" w:hAnsi="Times New Roman" w:cs="Calibri"/>
          <w:color w:val="000000" w:themeColor="text1"/>
          <w:lang w:eastAsia="hi-IN" w:bidi="hi-IN"/>
        </w:rPr>
        <w:t>3</w:t>
      </w:r>
      <w:r w:rsidR="006D3E3C">
        <w:rPr>
          <w:rFonts w:ascii="Times New Roman" w:eastAsia="SimSun" w:hAnsi="Times New Roman" w:cs="Calibri"/>
          <w:color w:val="000000" w:themeColor="text1"/>
          <w:lang w:eastAsia="hi-IN" w:bidi="hi-IN"/>
        </w:rPr>
        <w:t xml:space="preserve">). </w:t>
      </w:r>
      <w:r w:rsidR="006D3E3C" w:rsidRPr="006D3E3C">
        <w:rPr>
          <w:rFonts w:ascii="Times New Roman" w:eastAsia="SimSun" w:hAnsi="Times New Roman" w:cs="Calibri"/>
          <w:color w:val="000000" w:themeColor="text1"/>
          <w:lang w:eastAsia="hi-IN" w:bidi="hi-IN"/>
        </w:rPr>
        <w:t xml:space="preserve">Potential target species include invasive rodents (e.g., invasive house mouse or black rats that threaten biodiversity on islands; </w:t>
      </w:r>
      <w:r w:rsidR="00F84FAA">
        <w:rPr>
          <w:rFonts w:ascii="Times New Roman" w:eastAsia="SimSun" w:hAnsi="Times New Roman" w:cs="Calibri"/>
          <w:color w:val="000000" w:themeColor="text1"/>
          <w:lang w:eastAsia="hi-IN" w:bidi="hi-IN"/>
        </w:rPr>
        <w:fldChar w:fldCharType="begin" w:fldLock="1"/>
      </w:r>
      <w:r w:rsidR="00F84FAA">
        <w:rPr>
          <w:rFonts w:ascii="Times New Roman" w:eastAsia="SimSun" w:hAnsi="Times New Roman" w:cs="Calibri"/>
          <w:color w:val="000000" w:themeColor="text1"/>
          <w:lang w:eastAsia="hi-IN" w:bidi="hi-IN"/>
        </w:rPr>
        <w:instrText>ADDIN CSL_CITATION {"citationItems":[{"id":"ITEM-1","itemData":{"DOI":"10.1080/23299460.2017.1365232","ISSN":"2329-9460","author":[{"dropping-particle":"","family":"Leitschuh","given":"Caroline M.","non-dropping-particle":"","parse-names":false,"suffix":""},{"dropping-particle":"","family":"Kanavy","given":"Dona","non-dropping-particle":"","parse-names":false,"suffix":""},{"dropping-particle":"","family":"Backus","given":"Gregory A.","non-dropping-particle":"","parse-names":false,"suffix":""},{"dropping-particle":"","family":"Valdez","given":"Rene X.","non-dropping-particle":"","parse-names":false,"suffix":""},{"dropping-particle":"","family":"Serr","given":"Megan","non-dropping-particle":"","parse-names":false,"suffix":""},{"dropping-particle":"","family":"Pitts","given":"Elizabeth A.","non-dropping-particle":"","parse-names":false,"suffix":""},{"dropping-particle":"","family":"Threadgill","given":"David","non-dropping-particle":"","parse-names":false,"suffix":""},{"dropping-particle":"","family":"Godwin","given":"John","non-dropping-particle":"","parse-names":false,"suffix":""}],"container-title":"Journal of Responsible Innovation","id":"ITEM-1","issue":"sup1","issued":{"date-parts":[["2018","1","24"]]},"page":"S121-S138","title":"Developing gene drive technologies to eradicate invasive rodents from islands","type":"article-journal","volume":"5"},"uris":["http://www.mendeley.com/documents/?uuid=3b35255f-3924-4830-b23b-575800dfd215"]}],"mendeley":{"formattedCitation":"(Leitschuh et al., 2018)","manualFormatting":"Leitschuh et al., 2018)","plainTextFormattedCitation":"(Leitschuh et al., 2018)","previouslyFormattedCitation":"(Leitschuh et al., 2018)"},"properties":{"noteIndex":0},"schema":"https://github.com/citation-style-language/schema/raw/master/csl-citation.json"}</w:instrText>
      </w:r>
      <w:r w:rsidR="00F84FAA">
        <w:rPr>
          <w:rFonts w:ascii="Times New Roman" w:eastAsia="SimSun" w:hAnsi="Times New Roman" w:cs="Calibri"/>
          <w:color w:val="000000" w:themeColor="text1"/>
          <w:lang w:eastAsia="hi-IN" w:bidi="hi-IN"/>
        </w:rPr>
        <w:fldChar w:fldCharType="separate"/>
      </w:r>
      <w:r w:rsidR="00F84FAA" w:rsidRPr="00F84FAA">
        <w:rPr>
          <w:rFonts w:ascii="Times New Roman" w:eastAsia="SimSun" w:hAnsi="Times New Roman" w:cs="Calibri"/>
          <w:noProof/>
          <w:color w:val="000000" w:themeColor="text1"/>
          <w:lang w:eastAsia="hi-IN" w:bidi="hi-IN"/>
        </w:rPr>
        <w:t>Leitschuh et al., 2018)</w:t>
      </w:r>
      <w:r w:rsidR="00F84FAA">
        <w:rPr>
          <w:rFonts w:ascii="Times New Roman" w:eastAsia="SimSun" w:hAnsi="Times New Roman" w:cs="Calibri"/>
          <w:color w:val="000000" w:themeColor="text1"/>
          <w:lang w:eastAsia="hi-IN" w:bidi="hi-IN"/>
        </w:rPr>
        <w:fldChar w:fldCharType="end"/>
      </w:r>
      <w:r w:rsidR="006D3E3C" w:rsidRPr="006D3E3C">
        <w:rPr>
          <w:rFonts w:ascii="Times New Roman" w:eastAsia="SimSun" w:hAnsi="Times New Roman" w:cs="Calibri"/>
          <w:color w:val="000000" w:themeColor="text1"/>
          <w:lang w:eastAsia="hi-IN" w:bidi="hi-IN"/>
        </w:rPr>
        <w:t xml:space="preserve">, disease vectors (e.g., </w:t>
      </w:r>
      <w:r w:rsidR="006D3E3C" w:rsidRPr="00B11237">
        <w:rPr>
          <w:rFonts w:ascii="Times New Roman" w:eastAsia="SimSun" w:hAnsi="Times New Roman" w:cs="Calibri"/>
          <w:i/>
          <w:color w:val="000000" w:themeColor="text1"/>
          <w:lang w:eastAsia="hi-IN" w:bidi="hi-IN"/>
        </w:rPr>
        <w:t>Anopheles gambiae</w:t>
      </w:r>
      <w:r w:rsidR="006D3E3C" w:rsidRPr="006D3E3C">
        <w:rPr>
          <w:rFonts w:ascii="Times New Roman" w:eastAsia="SimSun" w:hAnsi="Times New Roman" w:cs="Calibri"/>
          <w:color w:val="000000" w:themeColor="text1"/>
          <w:lang w:eastAsia="hi-IN" w:bidi="hi-IN"/>
        </w:rPr>
        <w:t xml:space="preserve">, the main vector of malaria in Africa; </w:t>
      </w:r>
      <w:r w:rsidR="00F84FAA">
        <w:rPr>
          <w:rFonts w:ascii="Times New Roman" w:eastAsia="SimSun" w:hAnsi="Times New Roman" w:cs="Calibri"/>
          <w:color w:val="000000" w:themeColor="text1"/>
          <w:lang w:eastAsia="hi-IN" w:bidi="hi-IN"/>
        </w:rPr>
        <w:fldChar w:fldCharType="begin" w:fldLock="1"/>
      </w:r>
      <w:r w:rsidR="00501107">
        <w:rPr>
          <w:rFonts w:ascii="Times New Roman" w:eastAsia="SimSun" w:hAnsi="Times New Roman" w:cs="Calibri"/>
          <w:color w:val="000000" w:themeColor="text1"/>
          <w:lang w:eastAsia="hi-IN" w:bidi="hi-IN"/>
        </w:rPr>
        <w:instrText>ADDIN CSL_CITATION {"citationItems":[{"id":"ITEM-1","itemData":{"author":[{"dropping-particle":"","family":"Kyrou","given":"Kyros","non-dropping-particle":"","parse-names":false,"suffix":""},{"dropping-particle":"","family":"Hammond","given":"Andrew M","non-dropping-particle":"","parse-names":false,"suffix":""},{"dropping-particle":"","family":"Galizi","given":"Roberto","non-dropping-particle":"","parse-names":false,"suffix":""},{"dropping-particle":"","family":"Kranjc","given":"Nace","non-dropping-particle":"","parse-names":false,"suffix":""},{"dropping-particle":"","family":"Burt","given":"Austin","non-dropping-particle":"","parse-names":false,"suffix":""},{"dropping-particle":"","family":"Beaghton","given":"Andrea K","non-dropping-particle":"","parse-names":false,"suffix":""},{"dropping-particle":"","family":"Nolan","given":"Tony","non-dropping-particle":"","parse-names":false,"suffix":""},{"dropping-particle":"","family":"Crisanti","given":"Andrea","non-dropping-particle":"","parse-names":false,"suffix":""}],"container-title":"Nature Biotechnology","id":"ITEM-1","issued":{"date-parts":[["2018","9","24"]]},"page":"1062","publisher":"The Author(s)","title":"A CRISPR–Cas9 gene drive targeting doublesex causes complete population suppression in caged Anopheles gambiae mosquitoes","type":"article-journal","volume":"36"},"uris":["http://www.mendeley.com/documents/?uuid=ce5de223-5448-4031-a261-e209b70e5e0d"]}],"mendeley":{"formattedCitation":"(Kyrou et al., 2018)","manualFormatting":"Kyrou et al., 2018)","plainTextFormattedCitation":"(Kyrou et al., 2018)","previouslyFormattedCitation":"(Kyrou et al., 2018)"},"properties":{"noteIndex":0},"schema":"https://github.com/citation-style-language/schema/raw/master/csl-citation.json"}</w:instrText>
      </w:r>
      <w:r w:rsidR="00F84FAA">
        <w:rPr>
          <w:rFonts w:ascii="Times New Roman" w:eastAsia="SimSun" w:hAnsi="Times New Roman" w:cs="Calibri"/>
          <w:color w:val="000000" w:themeColor="text1"/>
          <w:lang w:eastAsia="hi-IN" w:bidi="hi-IN"/>
        </w:rPr>
        <w:fldChar w:fldCharType="separate"/>
      </w:r>
      <w:r w:rsidR="00F84FAA" w:rsidRPr="00F84FAA">
        <w:rPr>
          <w:rFonts w:ascii="Times New Roman" w:eastAsia="SimSun" w:hAnsi="Times New Roman" w:cs="Calibri"/>
          <w:noProof/>
          <w:color w:val="000000" w:themeColor="text1"/>
          <w:lang w:eastAsia="hi-IN" w:bidi="hi-IN"/>
        </w:rPr>
        <w:t>Kyrou et al., 2018)</w:t>
      </w:r>
      <w:r w:rsidR="00F84FAA">
        <w:rPr>
          <w:rFonts w:ascii="Times New Roman" w:eastAsia="SimSun" w:hAnsi="Times New Roman" w:cs="Calibri"/>
          <w:color w:val="000000" w:themeColor="text1"/>
          <w:lang w:eastAsia="hi-IN" w:bidi="hi-IN"/>
        </w:rPr>
        <w:fldChar w:fldCharType="end"/>
      </w:r>
      <w:r w:rsidR="006D3E3C" w:rsidRPr="006D3E3C">
        <w:rPr>
          <w:rFonts w:ascii="Times New Roman" w:eastAsia="SimSun" w:hAnsi="Times New Roman" w:cs="Calibri"/>
          <w:color w:val="000000" w:themeColor="text1"/>
          <w:lang w:eastAsia="hi-IN" w:bidi="hi-IN"/>
        </w:rPr>
        <w:t xml:space="preserve">, and agricultural pests (e.g., </w:t>
      </w:r>
      <w:r w:rsidR="006D3E3C" w:rsidRPr="00B11237">
        <w:rPr>
          <w:rFonts w:ascii="Times New Roman" w:eastAsia="SimSun" w:hAnsi="Times New Roman" w:cs="Calibri"/>
          <w:i/>
          <w:color w:val="000000" w:themeColor="text1"/>
          <w:lang w:eastAsia="hi-IN" w:bidi="hi-IN"/>
        </w:rPr>
        <w:t>Drosophila suzukii</w:t>
      </w:r>
      <w:r w:rsidR="006D3E3C" w:rsidRPr="006D3E3C">
        <w:rPr>
          <w:rFonts w:ascii="Times New Roman" w:eastAsia="SimSun" w:hAnsi="Times New Roman" w:cs="Calibri"/>
          <w:color w:val="000000" w:themeColor="text1"/>
          <w:lang w:eastAsia="hi-IN" w:bidi="hi-IN"/>
        </w:rPr>
        <w:t xml:space="preserve">, a major pest of soft fruits; </w:t>
      </w:r>
      <w:r w:rsidR="00AE49D4" w:rsidRPr="00B156AF">
        <w:rPr>
          <w:rFonts w:asciiTheme="majorBidi" w:eastAsia="SimSun" w:hAnsiTheme="majorBidi" w:cstheme="majorBidi"/>
          <w:color w:val="000000" w:themeColor="text1"/>
          <w:lang w:eastAsia="hi-IN" w:bidi="hi-IN"/>
        </w:rPr>
        <w:fldChar w:fldCharType="begin" w:fldLock="1"/>
      </w:r>
      <w:r w:rsidR="00AE49D4" w:rsidRPr="00B156AF">
        <w:rPr>
          <w:rFonts w:asciiTheme="majorBidi" w:eastAsia="SimSun" w:hAnsiTheme="majorBidi" w:cstheme="majorBidi"/>
          <w:color w:val="000000" w:themeColor="text1"/>
          <w:lang w:eastAsia="hi-IN" w:bidi="hi-IN"/>
        </w:rPr>
        <w:instrText>ADDIN CSL_CITATION {"citationItems":[{"id":"ITEM-1","itemData":{"DOI":"10.15252/embr.201744822","ISSN":"1469-221X","PMID":"28784604","author":[{"dropping-particle":"","family":"Courtier‐Orgogozo","given":"Virginie","non-dropping-particle":"","parse-names":false,"suffix":""},{"dropping-particle":"","family":"Morizot","given":"Baptiste","non-dropping-particle":"","parse-names":false,"suffix":""},{"dropping-particle":"","family":"Boëte","given":"Christophe","non-dropping-particle":"","parse-names":false,"suffix":""}],"container-title":"EMBO reports","id":"ITEM-1","issue":"9","issued":{"date-parts":[["2017"]]},"page":"1481","publisher":"EMBO","title":"Using CRISPR ‐based gene drive for agriculture pest control","type":"article-journal","volume":"18"},"uris":["http://www.mendeley.com/documents/?uuid=9762cb0f-d52b-4d96-9ead-01dac0e9636c"]},{"id":"ITEM-2","itemData":{"DOI":"10.1080/23299460.2017.1410343","ISSN":"2329-9460","author":[{"dropping-particle":"","family":"Scott","given":"Maxwell J.","non-dropping-particle":"","parse-names":false,"suffix":""},{"dropping-particle":"","family":"Gould","given":"Fred","non-dropping-particle":"","parse-names":false,"suffix":""},{"dropping-particle":"","family":"Lorenzen","given":"Marcé","non-dropping-particle":"","parse-names":false,"suffix":""},{"dropping-particle":"","family":"Grubbs","given":"Nathaniel","non-dropping-particle":"","parse-names":false,"suffix":""},{"dropping-particle":"","family":"Edwards","given":"Owain","non-dropping-particle":"","parse-names":false,"suffix":""},{"dropping-particle":"","family":"O’Brochta","given":"David","non-dropping-particle":"","parse-names":false,"suffix":""}],"container-title":"Journal of Responsible Innovation","id":"ITEM-2","issue":"sup1","issued":{"date-parts":[["2018","1","24"]]},"page":"S98-S120","title":"Agricultural production: assessment of the potential use of Cas9-mediated gene drive systems for agricultural pest control","type":"article-journal","volume":"5"},"uris":["http://www.mendeley.com/documents/?uuid=da4af14c-af84-4766-aedc-97cfb4be299b"]},{"id":"ITEM-3","itemData":{"DOI":"10.1073/pnas.1713139115","ISSN":"0027-8424","abstract":"Synthetic gene drive systems possess enormous potential to replace, alter, or suppress wild populations of significant disease vectors and crop pests; however, their utility in diverse populations remains to be demonstrated. Here, we report the creation of a synthetic Medea gene drive system in a major worldwide crop pest, Drosophila suzukii . We demonstrate that this drive system, based on an engineered maternal “toxin” coupled with a linked embryonic “antidote,” is capable of biasing Mendelian inheritance rates with up to 100% efficiency. However, we find that drive resistance, resulting from naturally occurring genetic variation and associated fitness costs, can be selected for and hinder the spread of such a drive. Despite this, our results suggest that this gene drive could maintain itself at high frequencies in a wild population and spread to fixation if either its fitness costs or toxin resistance were reduced, providing a clear path forward for developing future such systems in this pest.","author":[{"dropping-particle":"","fami</w:instrText>
      </w:r>
      <w:r w:rsidR="00AE49D4" w:rsidRPr="00F8168D">
        <w:rPr>
          <w:rFonts w:asciiTheme="majorBidi" w:eastAsia="SimSun" w:hAnsiTheme="majorBidi" w:cstheme="majorBidi"/>
          <w:color w:val="000000" w:themeColor="text1"/>
          <w:lang w:val="fr-CA" w:eastAsia="hi-IN" w:bidi="hi-IN"/>
        </w:rPr>
        <w:instrText>l</w:instrText>
      </w:r>
      <w:r w:rsidR="00AE49D4" w:rsidRPr="00B156AF">
        <w:rPr>
          <w:rFonts w:asciiTheme="majorBidi" w:eastAsia="SimSun" w:hAnsiTheme="majorBidi" w:cstheme="majorBidi"/>
          <w:color w:val="000000" w:themeColor="text1"/>
          <w:lang w:val="fr-FR" w:eastAsia="hi-IN" w:bidi="hi-IN"/>
        </w:rPr>
        <w:instrText>y":"Buchman","given":"Anna","non-dropping-particle":"","parse-names":false,"suffix":""},{"dropping-particle":"","family":"Marshall","given":"John M.","non-dropping-particle":"","parse-names":false,"suffix":""},{"dropping-particle":"","family":"Ostrovski","given":"Dennis","non-dropping-particle":"","parse-names":false,"suffix":""},{"dropping-particle":"","family":"Yang","given":"Ting","non-dropping-particle":"","parse-names":false,"suffix":""},{"dropping-particle":"","family":"Akbari","given":"Omar S.","non-dropping-particle":"","parse-names":false,"suffix":""}],"container-title":"Proceedings of the National Academy of Sciences","id":"ITEM-3","issue":"18","issued":{"date-parts":[["2018","5","1"]]},"page":"4725-4730","title":"Synthetically engineered Medea gene drive system in the worldwide crop pest Drosophila suzukii","type":"article-journal","volume":"115"},"uris":["http://www.mendeley.com/documents/?uuid=a1ce52ca-4838-4962-84c3-413a5bbaccb9"]}],"mendeley":{"formattedCitation":"(Buchman et al., 2018; Courtier‐Orgogozo et al., 2017; Scott et al., 2018)","manualFormatting":"Buchman et al., 2018; Courtier-Orgogozo et al., 2017; Scott et al., 2018)","plainTextFormattedCitation":"(Buchman et al., 2018; Courtier‐Orgogozo et al., 2017; Scott et al., 2018)","previouslyFormattedCitation":"(Buchman et al., 2018; Courtier‐Orgogozo et al., 2017; Scott et al., 2018)"},"properties":{"noteIndex":0},"schema":"https://github.com/citation-style-language/schema/raw/master/csl-citation.json"}</w:instrText>
      </w:r>
      <w:r w:rsidR="00AE49D4" w:rsidRPr="00B156AF">
        <w:rPr>
          <w:rFonts w:asciiTheme="majorBidi" w:eastAsia="SimSun" w:hAnsiTheme="majorBidi" w:cstheme="majorBidi"/>
          <w:color w:val="000000" w:themeColor="text1"/>
          <w:lang w:eastAsia="hi-IN" w:bidi="hi-IN"/>
        </w:rPr>
        <w:fldChar w:fldCharType="separate"/>
      </w:r>
      <w:r w:rsidR="00AE49D4" w:rsidRPr="00B156AF">
        <w:rPr>
          <w:rFonts w:asciiTheme="majorBidi" w:eastAsia="SimSun" w:hAnsiTheme="majorBidi" w:cstheme="majorBidi"/>
          <w:noProof/>
          <w:color w:val="000000" w:themeColor="text1"/>
          <w:lang w:val="fr-FR" w:eastAsia="hi-IN" w:bidi="hi-IN"/>
        </w:rPr>
        <w:t>Buchman et al., 2018; Courtier</w:t>
      </w:r>
      <w:r w:rsidR="00AE49D4" w:rsidRPr="00B156AF">
        <w:rPr>
          <w:rFonts w:asciiTheme="majorBidi" w:eastAsia="SimSun" w:hAnsiTheme="majorBidi" w:cstheme="majorBidi"/>
          <w:noProof/>
          <w:color w:val="000000" w:themeColor="text1"/>
          <w:cs/>
          <w:lang w:eastAsia="hi-IN" w:bidi="hi-IN"/>
        </w:rPr>
        <w:t>-</w:t>
      </w:r>
      <w:r w:rsidR="00AE49D4" w:rsidRPr="00B156AF">
        <w:rPr>
          <w:rFonts w:asciiTheme="majorBidi" w:eastAsia="SimSun" w:hAnsiTheme="majorBidi" w:cstheme="majorBidi"/>
          <w:noProof/>
          <w:color w:val="000000" w:themeColor="text1"/>
          <w:lang w:val="fr-FR" w:eastAsia="hi-IN" w:bidi="hi-IN"/>
        </w:rPr>
        <w:t>Orgogozo et al., 2017; Scott et al., 2018)</w:t>
      </w:r>
      <w:r w:rsidR="00AE49D4" w:rsidRPr="00B156AF">
        <w:rPr>
          <w:rFonts w:asciiTheme="majorBidi" w:eastAsia="SimSun" w:hAnsiTheme="majorBidi" w:cstheme="majorBidi"/>
          <w:color w:val="000000" w:themeColor="text1"/>
          <w:lang w:eastAsia="hi-IN" w:bidi="hi-IN"/>
        </w:rPr>
        <w:fldChar w:fldCharType="end"/>
      </w:r>
      <w:r w:rsidR="006D3E3C" w:rsidRPr="00B156AF">
        <w:rPr>
          <w:rFonts w:asciiTheme="majorBidi" w:eastAsia="SimSun" w:hAnsiTheme="majorBidi" w:cstheme="majorBidi"/>
          <w:color w:val="000000" w:themeColor="text1"/>
          <w:lang w:val="fr-FR" w:eastAsia="hi-IN" w:bidi="hi-IN"/>
        </w:rPr>
        <w:t>.</w:t>
      </w:r>
      <w:r w:rsidR="00E459AF" w:rsidRPr="00B156AF">
        <w:rPr>
          <w:lang w:val="fr-FR"/>
        </w:rPr>
        <w:t xml:space="preserve"> </w:t>
      </w:r>
      <w:r w:rsidR="008A2819">
        <w:rPr>
          <w:rFonts w:ascii="Times New Roman" w:eastAsia="SimSun" w:hAnsi="Times New Roman" w:cs="Calibri"/>
          <w:color w:val="000000" w:themeColor="text1"/>
          <w:lang w:eastAsia="hi-IN" w:bidi="hi-IN"/>
        </w:rPr>
        <w:t>W</w:t>
      </w:r>
      <w:r w:rsidR="001165BD">
        <w:rPr>
          <w:rFonts w:ascii="Times New Roman" w:eastAsia="SimSun" w:hAnsi="Times New Roman" w:cs="Calibri"/>
          <w:color w:val="000000" w:themeColor="text1"/>
          <w:lang w:eastAsia="hi-IN" w:bidi="hi-IN"/>
        </w:rPr>
        <w:t>orth</w:t>
      </w:r>
      <w:r w:rsidR="008A2819">
        <w:rPr>
          <w:rFonts w:ascii="Times New Roman" w:eastAsia="SimSun" w:hAnsi="Times New Roman" w:cs="Calibri"/>
          <w:color w:val="000000" w:themeColor="text1"/>
          <w:lang w:eastAsia="hi-IN" w:bidi="hi-IN"/>
        </w:rPr>
        <w:t>y of</w:t>
      </w:r>
      <w:r w:rsidR="001165BD">
        <w:rPr>
          <w:rFonts w:ascii="Times New Roman" w:eastAsia="SimSun" w:hAnsi="Times New Roman" w:cs="Calibri"/>
          <w:color w:val="000000" w:themeColor="text1"/>
          <w:lang w:eastAsia="hi-IN" w:bidi="hi-IN"/>
        </w:rPr>
        <w:t xml:space="preserve"> mention </w:t>
      </w:r>
      <w:r w:rsidR="00ED3027">
        <w:rPr>
          <w:rFonts w:ascii="Times New Roman" w:eastAsia="SimSun" w:hAnsi="Times New Roman" w:cs="Calibri"/>
          <w:color w:val="000000" w:themeColor="text1"/>
          <w:lang w:eastAsia="hi-IN" w:bidi="hi-IN"/>
        </w:rPr>
        <w:t>is</w:t>
      </w:r>
      <w:r w:rsidR="008A2819">
        <w:rPr>
          <w:rFonts w:ascii="Times New Roman" w:eastAsia="SimSun" w:hAnsi="Times New Roman" w:cs="Calibri"/>
          <w:color w:val="000000" w:themeColor="text1"/>
          <w:lang w:eastAsia="hi-IN" w:bidi="hi-IN"/>
        </w:rPr>
        <w:t xml:space="preserve"> </w:t>
      </w:r>
      <w:r w:rsidR="001165BD">
        <w:rPr>
          <w:rFonts w:ascii="Times New Roman" w:eastAsia="SimSun" w:hAnsi="Times New Roman" w:cs="Calibri"/>
          <w:color w:val="000000" w:themeColor="text1"/>
          <w:lang w:eastAsia="hi-IN" w:bidi="hi-IN"/>
        </w:rPr>
        <w:t>that m</w:t>
      </w:r>
      <w:r w:rsidR="009C4019" w:rsidRPr="009C4019">
        <w:rPr>
          <w:rFonts w:ascii="Times New Roman" w:eastAsia="SimSun" w:hAnsi="Times New Roman" w:cs="Calibri"/>
          <w:color w:val="000000" w:themeColor="text1"/>
          <w:lang w:eastAsia="hi-IN" w:bidi="hi-IN"/>
        </w:rPr>
        <w:t xml:space="preserve">any of the impacts from synthetic biology applications for species elimination, suppression or displacement discussed here remain hypothetical as none of these applications have yet been commercialised. </w:t>
      </w:r>
      <w:r w:rsidR="00933D2F">
        <w:rPr>
          <w:rFonts w:ascii="Times New Roman" w:eastAsia="SimSun" w:hAnsi="Times New Roman" w:cs="Calibri"/>
          <w:color w:val="000000" w:themeColor="text1"/>
          <w:lang w:eastAsia="hi-IN" w:bidi="hi-IN"/>
        </w:rPr>
        <w:t>However, t</w:t>
      </w:r>
      <w:r w:rsidR="005B356A" w:rsidRPr="00721241">
        <w:rPr>
          <w:rFonts w:ascii="Times New Roman" w:eastAsia="SimSun" w:hAnsi="Times New Roman" w:cs="Calibri"/>
          <w:color w:val="000000" w:themeColor="text1"/>
          <w:lang w:eastAsia="hi-IN" w:bidi="hi-IN"/>
        </w:rPr>
        <w:t xml:space="preserve">hese developments respond in part to the fact that </w:t>
      </w:r>
      <w:r w:rsidR="005B356A">
        <w:rPr>
          <w:rFonts w:ascii="Times New Roman" w:eastAsia="SimSun" w:hAnsi="Times New Roman" w:cs="Calibri"/>
          <w:color w:val="000000" w:themeColor="text1"/>
          <w:lang w:eastAsia="hi-IN" w:bidi="hi-IN"/>
        </w:rPr>
        <w:t>t</w:t>
      </w:r>
      <w:r w:rsidR="005B356A" w:rsidRPr="00E459AF">
        <w:rPr>
          <w:rFonts w:ascii="Times New Roman" w:eastAsia="SimSun" w:hAnsi="Times New Roman" w:cs="Calibri"/>
          <w:color w:val="000000" w:themeColor="text1"/>
          <w:lang w:eastAsia="hi-IN" w:bidi="hi-IN"/>
        </w:rPr>
        <w:t xml:space="preserve">he toll of loss of biodiversity (especially on islands), human suffering, and lowered crop productivity from some of these </w:t>
      </w:r>
      <w:r w:rsidR="005B356A">
        <w:rPr>
          <w:rFonts w:ascii="Times New Roman" w:eastAsia="SimSun" w:hAnsi="Times New Roman" w:cs="Calibri"/>
          <w:color w:val="000000" w:themeColor="text1"/>
          <w:lang w:eastAsia="hi-IN" w:bidi="hi-IN"/>
        </w:rPr>
        <w:t>organisms</w:t>
      </w:r>
      <w:r w:rsidR="005B356A" w:rsidRPr="00E459AF">
        <w:rPr>
          <w:rFonts w:ascii="Times New Roman" w:eastAsia="SimSun" w:hAnsi="Times New Roman" w:cs="Calibri"/>
          <w:color w:val="000000" w:themeColor="text1"/>
          <w:lang w:eastAsia="hi-IN" w:bidi="hi-IN"/>
        </w:rPr>
        <w:t xml:space="preserve"> is extensive </w:t>
      </w:r>
      <w:r w:rsidR="00AE49D4">
        <w:rPr>
          <w:rFonts w:ascii="Times New Roman" w:eastAsia="SimSun" w:hAnsi="Times New Roman" w:cs="Calibri"/>
          <w:color w:val="000000" w:themeColor="text1"/>
          <w:lang w:eastAsia="hi-IN" w:bidi="hi-IN"/>
        </w:rPr>
        <w:fldChar w:fldCharType="begin" w:fldLock="1"/>
      </w:r>
      <w:r w:rsidR="00AE49D4">
        <w:rPr>
          <w:rFonts w:ascii="Times New Roman" w:eastAsia="SimSun" w:hAnsi="Times New Roman" w:cs="Calibri"/>
          <w:color w:val="000000" w:themeColor="text1"/>
          <w:lang w:eastAsia="hi-IN" w:bidi="hi-IN"/>
        </w:rPr>
        <w:instrText>ADDIN CSL_CITATION {"citationItems":[{"id":"ITEM-1","itemData":{"author":[{"dropping-particle":"","family":"Friedman","given":"Robert M.","non-dropping-particle":"","parse-names":false,"suffix":""},{"dropping-particle":"","family":"Marshall","given":"John M.","non-dropping-particle":"","parse-names":false,"suffix":""},{"dropping-particle":"","family":"Akbari","given":"Omar S.","non-dropping-particle":"","parse-names":false,"suffix":""}],"container-title":"Issues in Science and Technology","id":"ITEM-1","issue":"2","issued":{"date-parts":[["2020"]]},"page":"72-78","title":"Gene Drives: New and Improved","type":"article-journal","volume":"36"},"uris":["http://www.mendeley.com/documents/?uuid=b97d80a8-4279-49c2-9870-85db1f984289"]}],"mendeley":{"formattedCitation":"(Friedman et al., 2020)","plainTextFormattedCitation":"(Friedman et al., 2020)","previouslyFormattedCitation":"(Friedman et al., 2020)"},"properties":{"noteIndex":0},"schema":"https://github.com/citation-style-language/schema/raw/master/csl-citation.json"}</w:instrText>
      </w:r>
      <w:r w:rsidR="00AE49D4">
        <w:rPr>
          <w:rFonts w:ascii="Times New Roman" w:eastAsia="SimSun" w:hAnsi="Times New Roman" w:cs="Calibri"/>
          <w:color w:val="000000" w:themeColor="text1"/>
          <w:lang w:eastAsia="hi-IN" w:bidi="hi-IN"/>
        </w:rPr>
        <w:fldChar w:fldCharType="separate"/>
      </w:r>
      <w:r w:rsidR="00AE49D4" w:rsidRPr="00AE49D4">
        <w:rPr>
          <w:rFonts w:ascii="Times New Roman" w:eastAsia="SimSun" w:hAnsi="Times New Roman" w:cs="Calibri"/>
          <w:noProof/>
          <w:color w:val="000000" w:themeColor="text1"/>
          <w:lang w:eastAsia="hi-IN" w:bidi="hi-IN"/>
        </w:rPr>
        <w:t>(Friedman et al., 2020)</w:t>
      </w:r>
      <w:r w:rsidR="00AE49D4">
        <w:rPr>
          <w:rFonts w:ascii="Times New Roman" w:eastAsia="SimSun" w:hAnsi="Times New Roman" w:cs="Calibri"/>
          <w:color w:val="000000" w:themeColor="text1"/>
          <w:lang w:eastAsia="hi-IN" w:bidi="hi-IN"/>
        </w:rPr>
        <w:fldChar w:fldCharType="end"/>
      </w:r>
      <w:r w:rsidR="00933D2F">
        <w:rPr>
          <w:rFonts w:ascii="Times New Roman" w:eastAsia="SimSun" w:hAnsi="Times New Roman" w:cs="Calibri"/>
          <w:color w:val="000000" w:themeColor="text1"/>
          <w:lang w:eastAsia="hi-IN" w:bidi="hi-IN"/>
        </w:rPr>
        <w:t xml:space="preserve"> as well as the fac</w:t>
      </w:r>
      <w:r w:rsidR="00FF426C">
        <w:rPr>
          <w:rFonts w:ascii="Times New Roman" w:eastAsia="SimSun" w:hAnsi="Times New Roman" w:cs="Calibri"/>
          <w:color w:val="000000" w:themeColor="text1"/>
          <w:lang w:eastAsia="hi-IN" w:bidi="hi-IN"/>
        </w:rPr>
        <w:t xml:space="preserve">t that </w:t>
      </w:r>
      <w:r w:rsidR="009C4019" w:rsidRPr="009C4019">
        <w:rPr>
          <w:rFonts w:ascii="Times New Roman" w:eastAsia="SimSun" w:hAnsi="Times New Roman" w:cs="Calibri"/>
          <w:color w:val="000000" w:themeColor="text1"/>
          <w:lang w:eastAsia="hi-IN" w:bidi="hi-IN"/>
        </w:rPr>
        <w:t xml:space="preserve">some envisioned environmental applications (e.g. those from newly developed gene-editing techniques such as CRISPR) may bring benefits for ecosystems </w:t>
      </w:r>
      <w:r w:rsidR="00AE49D4">
        <w:rPr>
          <w:rFonts w:ascii="Times New Roman" w:eastAsia="SimSun" w:hAnsi="Times New Roman" w:cs="Calibri"/>
          <w:color w:val="000000" w:themeColor="text1"/>
          <w:lang w:eastAsia="hi-IN" w:bidi="hi-IN"/>
        </w:rPr>
        <w:fldChar w:fldCharType="begin" w:fldLock="1"/>
      </w:r>
      <w:r w:rsidR="006B7113">
        <w:rPr>
          <w:rFonts w:ascii="Times New Roman" w:eastAsia="SimSun" w:hAnsi="Times New Roman" w:cs="Calibri"/>
          <w:color w:val="000000" w:themeColor="text1"/>
          <w:lang w:eastAsia="hi-IN" w:bidi="hi-IN"/>
        </w:rPr>
        <w:instrText>ADDIN CSL_CITATION {"citationItems":[{"id":"ITEM-1","itemData":{"DOI":"10.1126/science.aat4612","ISSN":"0036-8075","author":[{"dropping-particle":"","family":"Kofler","given":"Natalie","non-dropping-particle":"","parse-names":false,"suffix":""},{"dropping-particle":"","family":"Collins","given":"James P.","non-dropping-particle":"","parse-names":false,"suffix":""},{"dropping-particle":"","family":"Kuzma","given":"Jennifer","non-dropping-particle":"","parse-names":false,"suffix":""},{"dropping-particle":"","family":"Marris","given":"Emma","non-dropping-particle":"","parse-names":false,"suffix":""},{"dropping-particle":"","family":"Esvelt","given":"Kevin","non-dropping-particle":"","parse-names":false,"suffix":""},{"dropping-particle":"","family":"Nelson","given":"Michael Paul","non-dropping-particle":"","parse-names":false,"suffix":""},{"dropping-particle":"","family":"Newhouse","given":"Andrew","non-dropping-particle":"","parse-names":false,"suffix":""},{"dropping-particle":"","family":"Rothschild","given":"Lynn J.","non-dropping-particle":"","parse-names":false,"suffix":""},{"dropping-particle":"","family":"Vigliotti","given":"Vivian S.","non-dropping-particle":"","parse-names":false,"suffix":""},{"dropping-particle":"","family":"Semenov","given":"Misha","non-dropping-particle":"","parse-names":false,"suffix":""},{"dropping-particle":"","family":"Jacobsen","given":"Rowan","non-dropping-particle":"","parse-names":false,"suffix":""},{"dropping-particle":"","family":"Dahlman","given":"James E.","non-dropping-particle":"","parse-names":false,"suffix":""},{"dropping-particle":"","family":"Prince","given":"Shannon","non-dropping-particle":"","parse-names":false,"suffix":""},{"dropping-particle":"","family":"Caccone","given":"Adalgisa","non-dropping-particle":"","parse-names":false,"suffix":""},{"dropping-particle":"","family":"Brown","given":"Timothy","non-dropping-particle":"","parse-names":false,"suffix":""},{"dropping-particle":"","family":"Schmitz","given":"Oswald J.","non-dropping-particle":"","parse-names":false,"suffix":""}],"container-title":"Science","id":"ITEM-1","issue":"6414","issued":{"date-parts":[["2018","11","2"]]},"page":"527-529","title":"Editing nature: Local roots of global governance","type":"article-journal","volume":"362"},"uris":["http://www.mendeley.com/documents/?uuid=a8626dc3-b5d7-448f-8f13-4893bf9cfcc1"]}],"mendeley":{"formattedCitation":"(Kofler et al., 2018)","plainTextFormattedCitation":"(Kofler et al., 2018)","previouslyFormattedCitation":"(Kofler et al., 2018)"},"properties":{"noteIndex":0},"schema":"https://github.com/citation-style-language/schema/raw/master/csl-citation.json"}</w:instrText>
      </w:r>
      <w:r w:rsidR="00AE49D4">
        <w:rPr>
          <w:rFonts w:ascii="Times New Roman" w:eastAsia="SimSun" w:hAnsi="Times New Roman" w:cs="Calibri"/>
          <w:color w:val="000000" w:themeColor="text1"/>
          <w:lang w:eastAsia="hi-IN" w:bidi="hi-IN"/>
        </w:rPr>
        <w:fldChar w:fldCharType="separate"/>
      </w:r>
      <w:r w:rsidR="00AE49D4" w:rsidRPr="00AE49D4">
        <w:rPr>
          <w:rFonts w:ascii="Times New Roman" w:eastAsia="SimSun" w:hAnsi="Times New Roman" w:cs="Calibri"/>
          <w:noProof/>
          <w:color w:val="000000" w:themeColor="text1"/>
          <w:lang w:eastAsia="hi-IN" w:bidi="hi-IN"/>
        </w:rPr>
        <w:t>(Kofler et al., 2018)</w:t>
      </w:r>
      <w:r w:rsidR="00AE49D4">
        <w:rPr>
          <w:rFonts w:ascii="Times New Roman" w:eastAsia="SimSun" w:hAnsi="Times New Roman" w:cs="Calibri"/>
          <w:color w:val="000000" w:themeColor="text1"/>
          <w:lang w:eastAsia="hi-IN" w:bidi="hi-IN"/>
        </w:rPr>
        <w:fldChar w:fldCharType="end"/>
      </w:r>
      <w:r w:rsidR="005A605E">
        <w:rPr>
          <w:rFonts w:ascii="Times New Roman" w:eastAsia="SimSun" w:hAnsi="Times New Roman" w:cs="Calibri"/>
          <w:color w:val="000000" w:themeColor="text1"/>
          <w:lang w:eastAsia="hi-IN" w:bidi="hi-IN"/>
        </w:rPr>
        <w:t>, and</w:t>
      </w:r>
      <w:r w:rsidR="009C4019" w:rsidRPr="009C4019">
        <w:rPr>
          <w:rFonts w:ascii="Times New Roman" w:eastAsia="SimSun" w:hAnsi="Times New Roman" w:cs="Calibri"/>
          <w:color w:val="000000" w:themeColor="text1"/>
          <w:lang w:eastAsia="hi-IN" w:bidi="hi-IN"/>
        </w:rPr>
        <w:t xml:space="preserve"> could also be a tool to control threats to biodiversity.</w:t>
      </w:r>
    </w:p>
    <w:p w14:paraId="4BF68089" w14:textId="70C8D14D" w:rsidR="00867CA9" w:rsidRDefault="00FF5CF2" w:rsidP="005B64B9">
      <w:pPr>
        <w:autoSpaceDE w:val="0"/>
        <w:autoSpaceDN w:val="0"/>
        <w:adjustRightInd w:val="0"/>
        <w:spacing w:after="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In the specific case of IAS, r</w:t>
      </w:r>
      <w:r w:rsidR="00622C19" w:rsidRPr="00622C19">
        <w:rPr>
          <w:rFonts w:ascii="Times New Roman" w:eastAsia="SimSun" w:hAnsi="Times New Roman" w:cs="Calibri"/>
          <w:color w:val="000000" w:themeColor="text1"/>
          <w:lang w:eastAsia="hi-IN" w:bidi="hi-IN"/>
        </w:rPr>
        <w:t xml:space="preserve">ecognising that </w:t>
      </w:r>
      <w:r>
        <w:rPr>
          <w:rFonts w:ascii="Times New Roman" w:eastAsia="SimSun" w:hAnsi="Times New Roman" w:cs="Calibri"/>
          <w:color w:val="000000" w:themeColor="text1"/>
          <w:lang w:eastAsia="hi-IN" w:bidi="hi-IN"/>
        </w:rPr>
        <w:t>they</w:t>
      </w:r>
      <w:r w:rsidR="00622C19" w:rsidRPr="00622C19">
        <w:rPr>
          <w:rFonts w:ascii="Times New Roman" w:eastAsia="SimSun" w:hAnsi="Times New Roman" w:cs="Calibri"/>
          <w:color w:val="000000" w:themeColor="text1"/>
          <w:lang w:eastAsia="hi-IN" w:bidi="hi-IN"/>
        </w:rPr>
        <w:t xml:space="preserve"> are a leading cause of biodiversity loss, arresting their adverse effects is a priority for governments worldwide</w:t>
      </w:r>
      <w:r w:rsidR="00777103">
        <w:rPr>
          <w:rFonts w:ascii="Times New Roman" w:eastAsia="SimSun" w:hAnsi="Times New Roman" w:cs="Calibri"/>
          <w:color w:val="000000" w:themeColor="text1"/>
          <w:lang w:eastAsia="hi-IN" w:bidi="hi-IN"/>
        </w:rPr>
        <w:t>, and</w:t>
      </w:r>
      <w:r w:rsidR="003309BB">
        <w:rPr>
          <w:rFonts w:ascii="Times New Roman" w:eastAsia="SimSun" w:hAnsi="Times New Roman" w:cs="Calibri"/>
          <w:color w:val="000000" w:themeColor="text1"/>
          <w:lang w:eastAsia="hi-IN" w:bidi="hi-IN"/>
        </w:rPr>
        <w:t xml:space="preserve"> p</w:t>
      </w:r>
      <w:r w:rsidR="00622C19" w:rsidRPr="00622C19">
        <w:rPr>
          <w:rFonts w:ascii="Times New Roman" w:eastAsia="SimSun" w:hAnsi="Times New Roman" w:cs="Calibri"/>
          <w:color w:val="000000" w:themeColor="text1"/>
          <w:lang w:eastAsia="hi-IN" w:bidi="hi-IN"/>
        </w:rPr>
        <w:t xml:space="preserve">rogrammes aimed at controlling or eradicating </w:t>
      </w:r>
      <w:r w:rsidR="00B11237">
        <w:rPr>
          <w:rFonts w:ascii="Times New Roman" w:eastAsia="SimSun" w:hAnsi="Times New Roman" w:cs="Calibri"/>
          <w:color w:val="000000" w:themeColor="text1"/>
          <w:lang w:eastAsia="hi-IN" w:bidi="hi-IN"/>
        </w:rPr>
        <w:t>IAS</w:t>
      </w:r>
      <w:r w:rsidR="00622C19" w:rsidRPr="00622C19">
        <w:rPr>
          <w:rFonts w:ascii="Times New Roman" w:eastAsia="SimSun" w:hAnsi="Times New Roman" w:cs="Calibri"/>
          <w:color w:val="000000" w:themeColor="text1"/>
          <w:lang w:eastAsia="hi-IN" w:bidi="hi-IN"/>
        </w:rPr>
        <w:t xml:space="preserve"> therefore continue to be deployed across vast areas of the globe. As a consequence, the development of effective methods to suppress, displace or eradicate populations of </w:t>
      </w:r>
      <w:r w:rsidR="00B57981">
        <w:rPr>
          <w:rFonts w:ascii="Times New Roman" w:eastAsia="SimSun" w:hAnsi="Times New Roman" w:cs="Calibri"/>
          <w:color w:val="000000" w:themeColor="text1"/>
          <w:lang w:eastAsia="hi-IN" w:bidi="hi-IN"/>
        </w:rPr>
        <w:t>IAS</w:t>
      </w:r>
      <w:r w:rsidR="00622C19" w:rsidRPr="00622C19">
        <w:rPr>
          <w:rFonts w:ascii="Times New Roman" w:eastAsia="SimSun" w:hAnsi="Times New Roman" w:cs="Calibri"/>
          <w:color w:val="000000" w:themeColor="text1"/>
          <w:lang w:eastAsia="hi-IN" w:bidi="hi-IN"/>
        </w:rPr>
        <w:t xml:space="preserve"> has been a key conservation goal for decades, especially if approaches can be developed which produce less unanticipated and undesirable results than current control measures by conventional means</w:t>
      </w:r>
      <w:r w:rsidR="00726011">
        <w:rPr>
          <w:rFonts w:ascii="Times New Roman" w:eastAsia="SimSun" w:hAnsi="Times New Roman" w:cs="Calibri"/>
          <w:color w:val="000000" w:themeColor="text1"/>
          <w:lang w:eastAsia="hi-IN" w:bidi="hi-IN"/>
        </w:rPr>
        <w:t xml:space="preserve"> </w:t>
      </w:r>
      <w:r w:rsidR="00622C19" w:rsidRPr="00622C19" w:rsidDel="00F106B6">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{"citationItems":[{"id":"ITEM-1","itemData":{"DOI":"10.1016/j.cosust.2020.10.001","ISSN":"18773435","abstract":"In the face of insufficient progress in conserving and restoring biodiversity, the in situ use of advanced genetic modification, gene drives, and other biotechnologies for conservation purposes are being considered, researched, and developed. This paper introduces the methods, applications, environmental risks, and social challenges of ‘conservationist synthetic biology’; reviews existing governance, with an emphasis on international instruments, institutions, and processes; and offers observations of the politics of developing further governance. The most important multilateral environmental agreement is the Convention on Biological Diversity. Governance of such conservationist synthetic biology is vital but gaps remain. The further development of governance is a political process, and conservationist synthetic biology has a political landscape that is atypical for emerging technologies.","author":[{"dropping-particle":"","family":"Reynolds","given":"Jesse L.","non-dropping-particle":"","parse-names":false,"suffix":""}],"container-title":"Current Opinion in Environmental Sustainability","id":"ITEM-1","issued":{"date-parts":[["2021","4"]]},"page":"1-6","publisher":"Elsevier B.V.","title":"Engineering biological diversity: the international governance of synthetic biology, gene drives, and de-extinction for conservation","type":"article","volume":"49"},"uris":["http://www.mendeley.com/documents/?uuid=336b55e6-08cb-42a2-92c6-abc05034be03"]}],"mendeley":{"formattedCitation":"(Reynolds, 2021)","plainTextFormattedCitation":"(Reynolds, 2021)","previouslyFormattedCitation":"(Reynolds, 2021)"},"properties":{"noteIndex":0},"schema":"https://github.com/citation-style-language/schema/raw/master/csl-citation.json"}</w:instrText>
      </w:r>
      <w:r w:rsidR="00622C19" w:rsidRPr="00622C19" w:rsidDel="00F106B6">
        <w:rPr>
          <w:rFonts w:ascii="Times New Roman" w:eastAsia="SimSun" w:hAnsi="Times New Roman" w:cs="Calibri"/>
          <w:color w:val="000000" w:themeColor="text1"/>
          <w:lang w:eastAsia="hi-IN" w:bidi="hi-IN"/>
        </w:rPr>
        <w:fldChar w:fldCharType="separate"/>
      </w:r>
      <w:r w:rsidR="003D111A" w:rsidRPr="003D111A">
        <w:rPr>
          <w:rFonts w:ascii="Times New Roman" w:eastAsia="SimSun" w:hAnsi="Times New Roman" w:cs="Calibri"/>
          <w:noProof/>
          <w:color w:val="000000" w:themeColor="text1"/>
          <w:lang w:eastAsia="hi-IN" w:bidi="hi-IN"/>
        </w:rPr>
        <w:t>(Reynolds, 2021)</w:t>
      </w:r>
      <w:r w:rsidR="00622C19" w:rsidRPr="00622C19" w:rsidDel="00F106B6">
        <w:rPr>
          <w:rFonts w:ascii="Times New Roman" w:eastAsia="SimSun" w:hAnsi="Times New Roman" w:cs="Calibri"/>
          <w:color w:val="000000" w:themeColor="text1"/>
          <w:lang w:eastAsia="hi-IN" w:bidi="hi-IN"/>
        </w:rPr>
        <w:fldChar w:fldCharType="end"/>
      </w:r>
      <w:r w:rsidR="00B02176">
        <w:rPr>
          <w:rFonts w:ascii="Times New Roman" w:eastAsia="SimSun" w:hAnsi="Times New Roman" w:cs="Calibri"/>
          <w:color w:val="000000" w:themeColor="text1"/>
          <w:lang w:eastAsia="hi-IN" w:bidi="hi-IN"/>
        </w:rPr>
        <w:t>.</w:t>
      </w:r>
    </w:p>
    <w:p w14:paraId="6C8B2D4A" w14:textId="0B2574F5" w:rsidR="00647727" w:rsidRDefault="000751CA" w:rsidP="00647727">
      <w:pPr>
        <w:autoSpaceDE w:val="0"/>
        <w:autoSpaceDN w:val="0"/>
        <w:adjustRightInd w:val="0"/>
        <w:spacing w:before="120" w:after="120" w:line="240" w:lineRule="auto"/>
        <w:jc w:val="both"/>
        <w:rPr>
          <w:rFonts w:ascii="Times New Roman" w:eastAsia="SimSun" w:hAnsi="Times New Roman" w:cs="Calibri"/>
          <w:color w:val="000000" w:themeColor="text1"/>
          <w:lang w:eastAsia="hi-IN" w:bidi="hi-IN"/>
        </w:rPr>
      </w:pPr>
      <w:r w:rsidRPr="005B64B9">
        <w:rPr>
          <w:rFonts w:ascii="Times New Roman" w:eastAsia="SimSun" w:hAnsi="Times New Roman" w:cs="Calibri"/>
          <w:color w:val="000000" w:themeColor="text1"/>
          <w:lang w:eastAsia="hi-IN" w:bidi="hi-IN"/>
        </w:rPr>
        <w:t>In addition</w:t>
      </w:r>
      <w:r>
        <w:rPr>
          <w:rFonts w:ascii="Times New Roman" w:eastAsia="SimSun" w:hAnsi="Times New Roman" w:cs="Calibri"/>
          <w:color w:val="000000" w:themeColor="text1"/>
          <w:lang w:eastAsia="hi-IN" w:bidi="hi-IN"/>
        </w:rPr>
        <w:t xml:space="preserve"> </w:t>
      </w:r>
      <w:r w:rsidRPr="005B64B9">
        <w:rPr>
          <w:rFonts w:ascii="Times New Roman" w:eastAsia="SimSun" w:hAnsi="Times New Roman" w:cs="Calibri"/>
          <w:color w:val="000000" w:themeColor="text1"/>
          <w:lang w:eastAsia="hi-IN" w:bidi="hi-IN"/>
        </w:rPr>
        <w:t>to the management of established</w:t>
      </w:r>
      <w:r>
        <w:rPr>
          <w:rFonts w:ascii="Times New Roman" w:eastAsia="SimSun" w:hAnsi="Times New Roman" w:cs="Calibri"/>
          <w:color w:val="000000" w:themeColor="text1"/>
          <w:lang w:eastAsia="hi-IN" w:bidi="hi-IN"/>
        </w:rPr>
        <w:t xml:space="preserve"> IAS</w:t>
      </w:r>
      <w:r w:rsidRPr="005B64B9">
        <w:rPr>
          <w:rFonts w:ascii="Times New Roman" w:eastAsia="SimSun" w:hAnsi="Times New Roman" w:cs="Calibri"/>
          <w:color w:val="000000" w:themeColor="text1"/>
          <w:lang w:eastAsia="hi-IN" w:bidi="hi-IN"/>
        </w:rPr>
        <w:t xml:space="preserve"> that are currently impacting biodiversity,</w:t>
      </w:r>
      <w:r>
        <w:rPr>
          <w:rFonts w:ascii="Times New Roman" w:eastAsia="SimSun" w:hAnsi="Times New Roman" w:cs="Calibri"/>
          <w:color w:val="000000" w:themeColor="text1"/>
          <w:lang w:eastAsia="hi-IN" w:bidi="hi-IN"/>
        </w:rPr>
        <w:t xml:space="preserve"> </w:t>
      </w:r>
      <w:r w:rsidRPr="005B64B9">
        <w:rPr>
          <w:rFonts w:ascii="Times New Roman" w:eastAsia="SimSun" w:hAnsi="Times New Roman" w:cs="Calibri"/>
          <w:color w:val="000000" w:themeColor="text1"/>
          <w:lang w:eastAsia="hi-IN" w:bidi="hi-IN"/>
        </w:rPr>
        <w:t>synthetic biology also offer</w:t>
      </w:r>
      <w:r>
        <w:rPr>
          <w:rFonts w:ascii="Times New Roman" w:eastAsia="SimSun" w:hAnsi="Times New Roman" w:cs="Calibri"/>
          <w:color w:val="000000" w:themeColor="text1"/>
          <w:lang w:eastAsia="hi-IN" w:bidi="hi-IN"/>
        </w:rPr>
        <w:t>s</w:t>
      </w:r>
      <w:r w:rsidRPr="005B64B9">
        <w:rPr>
          <w:rFonts w:ascii="Times New Roman" w:eastAsia="SimSun" w:hAnsi="Times New Roman" w:cs="Calibri"/>
          <w:color w:val="000000" w:themeColor="text1"/>
          <w:lang w:eastAsia="hi-IN" w:bidi="hi-IN"/>
        </w:rPr>
        <w:t xml:space="preserve"> novel potential approaches for </w:t>
      </w:r>
      <w:r w:rsidR="00D44CF6">
        <w:rPr>
          <w:rFonts w:ascii="Times New Roman" w:eastAsia="SimSun" w:hAnsi="Times New Roman" w:cs="Calibri"/>
          <w:color w:val="000000" w:themeColor="text1"/>
          <w:lang w:eastAsia="hi-IN" w:bidi="hi-IN"/>
        </w:rPr>
        <w:t xml:space="preserve">the </w:t>
      </w:r>
      <w:r w:rsidRPr="005B64B9">
        <w:rPr>
          <w:rFonts w:ascii="Times New Roman" w:eastAsia="SimSun" w:hAnsi="Times New Roman" w:cs="Calibri"/>
          <w:color w:val="000000" w:themeColor="text1"/>
          <w:lang w:eastAsia="hi-IN" w:bidi="hi-IN"/>
        </w:rPr>
        <w:t>rapid response and</w:t>
      </w:r>
      <w:r>
        <w:rPr>
          <w:rFonts w:ascii="Times New Roman" w:eastAsia="SimSun" w:hAnsi="Times New Roman" w:cs="Calibri"/>
          <w:color w:val="000000" w:themeColor="text1"/>
          <w:lang w:eastAsia="hi-IN" w:bidi="hi-IN"/>
        </w:rPr>
        <w:t xml:space="preserve"> </w:t>
      </w:r>
      <w:r w:rsidRPr="005B64B9">
        <w:rPr>
          <w:rFonts w:ascii="Times New Roman" w:eastAsia="SimSun" w:hAnsi="Times New Roman" w:cs="Calibri"/>
          <w:color w:val="000000" w:themeColor="text1"/>
          <w:lang w:eastAsia="hi-IN" w:bidi="hi-IN"/>
        </w:rPr>
        <w:t xml:space="preserve">eradication of new </w:t>
      </w:r>
      <w:r>
        <w:rPr>
          <w:rFonts w:ascii="Times New Roman" w:eastAsia="SimSun" w:hAnsi="Times New Roman" w:cs="Calibri"/>
          <w:color w:val="000000" w:themeColor="text1"/>
          <w:lang w:eastAsia="hi-IN" w:bidi="hi-IN"/>
        </w:rPr>
        <w:t>IAS</w:t>
      </w:r>
      <w:r w:rsidRPr="005B64B9">
        <w:rPr>
          <w:rFonts w:ascii="Times New Roman" w:eastAsia="SimSun" w:hAnsi="Times New Roman" w:cs="Calibri"/>
          <w:color w:val="000000" w:themeColor="text1"/>
          <w:lang w:eastAsia="hi-IN" w:bidi="hi-IN"/>
        </w:rPr>
        <w:t xml:space="preserve"> incursions</w:t>
      </w:r>
      <w:r>
        <w:rPr>
          <w:rFonts w:ascii="Times New Roman" w:eastAsia="SimSun" w:hAnsi="Times New Roman" w:cs="Calibri"/>
          <w:color w:val="000000" w:themeColor="text1"/>
          <w:lang w:eastAsia="hi-IN" w:bidi="hi-IN"/>
        </w:rPr>
        <w:t xml:space="preserve">, as </w:t>
      </w:r>
      <w:r w:rsidRPr="005B64B9">
        <w:rPr>
          <w:rFonts w:ascii="Times New Roman" w:eastAsia="SimSun" w:hAnsi="Times New Roman" w:cs="Calibri"/>
          <w:color w:val="000000" w:themeColor="text1"/>
          <w:lang w:eastAsia="hi-IN" w:bidi="hi-IN"/>
        </w:rPr>
        <w:t>synthetic biology application</w:t>
      </w:r>
      <w:r>
        <w:rPr>
          <w:rFonts w:ascii="Times New Roman" w:eastAsia="SimSun" w:hAnsi="Times New Roman" w:cs="Calibri"/>
          <w:color w:val="000000" w:themeColor="text1"/>
          <w:lang w:eastAsia="hi-IN" w:bidi="hi-IN"/>
        </w:rPr>
        <w:t>s</w:t>
      </w:r>
      <w:r w:rsidRPr="005B64B9">
        <w:rPr>
          <w:rFonts w:ascii="Times New Roman" w:eastAsia="SimSun" w:hAnsi="Times New Roman" w:cs="Calibri"/>
          <w:color w:val="000000" w:themeColor="text1"/>
          <w:lang w:eastAsia="hi-IN" w:bidi="hi-IN"/>
        </w:rPr>
        <w:t xml:space="preserve"> may</w:t>
      </w:r>
      <w:r>
        <w:rPr>
          <w:rFonts w:ascii="Times New Roman" w:eastAsia="SimSun" w:hAnsi="Times New Roman" w:cs="Calibri"/>
          <w:color w:val="000000" w:themeColor="text1"/>
          <w:lang w:eastAsia="hi-IN" w:bidi="hi-IN"/>
        </w:rPr>
        <w:t xml:space="preserve"> offer</w:t>
      </w:r>
      <w:r w:rsidRPr="005B64B9">
        <w:rPr>
          <w:rFonts w:ascii="Times New Roman" w:eastAsia="SimSun" w:hAnsi="Times New Roman" w:cs="Calibri"/>
          <w:color w:val="000000" w:themeColor="text1"/>
          <w:lang w:eastAsia="hi-IN" w:bidi="hi-IN"/>
        </w:rPr>
        <w:t xml:space="preserve"> more tactical</w:t>
      </w:r>
      <w:r>
        <w:rPr>
          <w:rFonts w:ascii="Times New Roman" w:eastAsia="SimSun" w:hAnsi="Times New Roman" w:cs="Calibri"/>
          <w:color w:val="000000" w:themeColor="text1"/>
          <w:lang w:eastAsia="hi-IN" w:bidi="hi-IN"/>
        </w:rPr>
        <w:t xml:space="preserve"> and </w:t>
      </w:r>
      <w:r w:rsidRPr="005B64B9">
        <w:rPr>
          <w:rFonts w:ascii="Times New Roman" w:eastAsia="SimSun" w:hAnsi="Times New Roman" w:cs="Calibri"/>
          <w:color w:val="000000" w:themeColor="text1"/>
          <w:lang w:eastAsia="hi-IN" w:bidi="hi-IN"/>
        </w:rPr>
        <w:t xml:space="preserve">targeted </w:t>
      </w:r>
      <w:r>
        <w:rPr>
          <w:rFonts w:ascii="Times New Roman" w:eastAsia="SimSun" w:hAnsi="Times New Roman" w:cs="Calibri"/>
          <w:color w:val="000000" w:themeColor="text1"/>
          <w:lang w:eastAsia="hi-IN" w:bidi="hi-IN"/>
        </w:rPr>
        <w:t xml:space="preserve">approaches </w:t>
      </w:r>
      <w:r w:rsidRPr="005B64B9">
        <w:rPr>
          <w:rFonts w:ascii="Times New Roman" w:eastAsia="SimSun" w:hAnsi="Times New Roman" w:cs="Calibri"/>
          <w:color w:val="000000" w:themeColor="text1"/>
          <w:lang w:eastAsia="hi-IN" w:bidi="hi-IN"/>
        </w:rPr>
        <w:t>and at a smaller scale</w:t>
      </w:r>
      <w:r w:rsidRPr="00E63C22">
        <w:t xml:space="preserve"> </w:t>
      </w:r>
      <w:r w:rsidR="00B8747D">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{"citationItems":[{"id":"ITEM-1","itemData":{"DOI":"10.2305/IUCN.CH.2019.05.en","ISBN":"9782831719733","editor":[{"dropping-particle":"","family":"Redford","given":"Kent H.","non-dropping-particle":"","parse-names":false,"suffix":""},{"dropping-particle":"","family":"Brooks","given":"Thomas M.","non-dropping-particle":"","parse-names":false,"suffix":""},{"dropping-particle":"","family":"Macfarlane","given":"Nicholas B.W.","non-dropping-particle":"","parse-names":false,"suffix":""},{"dropping-particle":"","family":"Adams","given":"Jonathan S.","non-dropping-particle":"","parse-names":false,"suffix":""}],"id":"ITEM-1","issued":{"date-parts":[["2019","5","6"]]},"publisher":"IUCN, International Union for Conservation of Nature","title":"Genetic frontiers for conservation: an assessment of synthetic biology and biodiversity conservation: technical assessment","type":"book"},"uris":["http://www.mendeley.com/documents/?uuid=9b6cd793-31c7-4755-8480-3345b89666d3"]}],"mendeley":{"formattedCitation":"(Redford et al., 2019)","manualFormatting":"(Redford et al., 2019)","plainTextFormattedCitation":"(Redford et al., 2019)","previouslyFormattedCitation":"(Redford et al., 2019)"},"properties":{"noteIndex":0},"schema":"https://github.com/citation-style-language/schema/raw/master/csl-citation.json"}</w:instrText>
      </w:r>
      <w:r w:rsidR="00B8747D">
        <w:rPr>
          <w:rFonts w:ascii="Times New Roman" w:eastAsia="SimSun" w:hAnsi="Times New Roman" w:cs="Calibri"/>
          <w:color w:val="000000" w:themeColor="text1"/>
          <w:lang w:eastAsia="hi-IN" w:bidi="hi-IN"/>
        </w:rPr>
        <w:fldChar w:fldCharType="separate"/>
      </w:r>
      <w:r w:rsidR="00B8747D" w:rsidRPr="00B8747D">
        <w:rPr>
          <w:rFonts w:ascii="Times New Roman" w:eastAsia="SimSun" w:hAnsi="Times New Roman" w:cs="Calibri"/>
          <w:noProof/>
          <w:color w:val="000000" w:themeColor="text1"/>
          <w:lang w:eastAsia="hi-IN" w:bidi="hi-IN"/>
        </w:rPr>
        <w:t>(</w:t>
      </w:r>
      <w:r w:rsidR="004858BF" w:rsidRPr="00E439D7">
        <w:rPr>
          <w:rFonts w:ascii="Times New Roman" w:hAnsi="Times New Roman"/>
          <w:noProof/>
          <w:color w:val="000000" w:themeColor="text1"/>
          <w:lang w:eastAsia="ar-SA"/>
        </w:rPr>
        <w:t>Redford et al., 2019</w:t>
      </w:r>
      <w:r w:rsidR="00B8747D" w:rsidRPr="00B8747D">
        <w:rPr>
          <w:rFonts w:ascii="Times New Roman" w:eastAsia="SimSun" w:hAnsi="Times New Roman" w:cs="Calibri"/>
          <w:noProof/>
          <w:color w:val="000000" w:themeColor="text1"/>
          <w:lang w:eastAsia="hi-IN" w:bidi="hi-IN"/>
        </w:rPr>
        <w:t>)</w:t>
      </w:r>
      <w:r w:rsidR="00B8747D">
        <w:rPr>
          <w:rFonts w:ascii="Times New Roman" w:eastAsia="SimSun" w:hAnsi="Times New Roman" w:cs="Calibri"/>
          <w:color w:val="000000" w:themeColor="text1"/>
          <w:lang w:eastAsia="hi-IN" w:bidi="hi-IN"/>
        </w:rPr>
        <w:fldChar w:fldCharType="end"/>
      </w:r>
      <w:r w:rsidRPr="009A183C">
        <w:rPr>
          <w:rFonts w:ascii="Times New Roman" w:eastAsia="SimSun" w:hAnsi="Times New Roman" w:cs="Calibri"/>
          <w:color w:val="000000" w:themeColor="text1"/>
          <w:lang w:eastAsia="hi-IN" w:bidi="hi-IN"/>
        </w:rPr>
        <w:t>.</w:t>
      </w:r>
      <w:r w:rsidRPr="00E63C22">
        <w:rPr>
          <w:rFonts w:ascii="Times New Roman" w:eastAsia="SimSun" w:hAnsi="Times New Roman" w:cs="Calibri"/>
          <w:color w:val="000000" w:themeColor="text1"/>
          <w:lang w:eastAsia="hi-IN" w:bidi="hi-IN"/>
        </w:rPr>
        <w:t xml:space="preserve"> </w:t>
      </w:r>
      <w:r w:rsidRPr="00D2167C">
        <w:rPr>
          <w:rFonts w:ascii="Times New Roman" w:eastAsia="SimSun" w:hAnsi="Times New Roman" w:cs="Calibri"/>
          <w:color w:val="000000" w:themeColor="text1"/>
          <w:lang w:eastAsia="hi-IN" w:bidi="hi-IN"/>
        </w:rPr>
        <w:t xml:space="preserve">In the particular case of rodent eradication, some potential benefits associated </w:t>
      </w:r>
      <w:r>
        <w:rPr>
          <w:rFonts w:ascii="Times New Roman" w:eastAsia="SimSun" w:hAnsi="Times New Roman" w:cs="Calibri"/>
          <w:color w:val="000000" w:themeColor="text1"/>
          <w:lang w:eastAsia="hi-IN" w:bidi="hi-IN"/>
        </w:rPr>
        <w:t>with</w:t>
      </w:r>
      <w:r w:rsidRPr="00D2167C">
        <w:rPr>
          <w:rFonts w:ascii="Times New Roman" w:eastAsia="SimSun" w:hAnsi="Times New Roman" w:cs="Calibri"/>
          <w:color w:val="000000" w:themeColor="text1"/>
          <w:lang w:eastAsia="hi-IN" w:bidi="hi-IN"/>
        </w:rPr>
        <w:t xml:space="preserve"> synthetic biology approaches could include species specificity, reduced toxicant use, more humane (non-lethal) approaches and expanded application on human inhabited islands </w:t>
      </w:r>
      <w:r w:rsidR="006B7113">
        <w:rPr>
          <w:rFonts w:ascii="Times New Roman" w:eastAsia="SimSun" w:hAnsi="Times New Roman" w:cs="Calibri"/>
          <w:color w:val="000000" w:themeColor="text1"/>
          <w:lang w:eastAsia="hi-IN" w:bidi="hi-IN"/>
        </w:rPr>
        <w:fldChar w:fldCharType="begin" w:fldLock="1"/>
      </w:r>
      <w:r w:rsidR="00D07DAE">
        <w:rPr>
          <w:rFonts w:ascii="Times New Roman" w:eastAsia="SimSun" w:hAnsi="Times New Roman" w:cs="Calibri"/>
          <w:color w:val="000000" w:themeColor="text1"/>
          <w:lang w:eastAsia="hi-IN" w:bidi="hi-IN"/>
        </w:rPr>
        <w:instrText>ADDIN CSL_CITATION {"citationItems":[{"id":"ITEM-1","itemData":{"DOI":"10.1016/j.biocon.2014.10.016","ISSN":"00063207","author":[{"dropping-particle":"","family":"Campbell","given":"Karl J.","non-dropping-particle":"","parse-names":false,"suffix":""},{"dropping-particle":"","family":"Beek","given":"Joe","non-dropping-particle":"","parse-names":false,"suffix":""},{"dropping-particle":"","family":"Eason","given":"Charles T.","non-dropping-particle":"","parse-names":false,"suffix":""},{"dropping-particle":"","family":"Glen","given":"Alistair S.","non-dropping-particle":"","parse-names":false,"suffix":""},{"dropping-particle":"","family":"Godwin","given":"John","non-dropping-particle":"","parse-names":false,"suffix":""},{"dropping-particle":"","family":"Gould","given":"Fred","non-dropping-particle":"","parse-names":false,"suffix":""},{"dropping-particle":"","family":"Holmes","given":"Nick D.","non-dropping-particle":"","parse-names":false,"suffix":""},{"dropping-particle":"","family":"Howald","given":"Gregg R.","non-dropping-particle":"","parse-names":false,"suffix":""},{"dropping-particle":"","family":"Madden","given":"Francine M.","non-dropping-particle":"","parse-names":false,"suffix":""},{"dropping-particle":"","family":"Ponder","given":"Julia B.","non-dropping-particle":"","parse-names":false,"suffix":""},{"dropping-particle":"","family":"Threadgill","given":"David W.","non-dropping-particle":"","parse-names":false,"suffix":""},{"dropping-particle":"","family":"Wegmann","given":"Alexander S.","non-dropping-particle":"","parse-names":false,"suffix":""},{"dropping-particle":"","family":"Baxter","given":"Greg S.","non-dropping-particle":"","parse-names":false,"suffix":""}],"container-title":"Biological Conservation","id":"ITEM-1","issued":{"date-parts":[["2015","5"]]},"page":"47-58","title":"The next generation of rodent eradications: Innovative technologies and tools to improve species specificity and increase their feasibility on islands","type":"article-journal","volume":"185"},"uris":["http://www.mendeley.com/documents/?uuid=9caad9c6-c631-4513-9381-1bffe71e3d93"]}],"mendeley":{"formattedCitation":"(Campbell et al., 2015)","plainTextFormattedCitation":"(Campbell et al., 2015)","previouslyFormattedCitation":"(Campbell et al., 2015)"},"properties":{"noteIndex":0},"schema":"https://github.com/citation-style-language/schema/raw/master/csl-citation.json"}</w:instrText>
      </w:r>
      <w:r w:rsidR="006B7113">
        <w:rPr>
          <w:rFonts w:ascii="Times New Roman" w:eastAsia="SimSun" w:hAnsi="Times New Roman" w:cs="Calibri"/>
          <w:color w:val="000000" w:themeColor="text1"/>
          <w:lang w:eastAsia="hi-IN" w:bidi="hi-IN"/>
        </w:rPr>
        <w:fldChar w:fldCharType="separate"/>
      </w:r>
      <w:r w:rsidR="006B7113" w:rsidRPr="006B7113">
        <w:rPr>
          <w:rFonts w:ascii="Times New Roman" w:eastAsia="SimSun" w:hAnsi="Times New Roman" w:cs="Calibri"/>
          <w:noProof/>
          <w:color w:val="000000" w:themeColor="text1"/>
          <w:lang w:eastAsia="hi-IN" w:bidi="hi-IN"/>
        </w:rPr>
        <w:t>(Campbell et al., 2015)</w:t>
      </w:r>
      <w:r w:rsidR="006B7113">
        <w:rPr>
          <w:rFonts w:ascii="Times New Roman" w:eastAsia="SimSun" w:hAnsi="Times New Roman" w:cs="Calibri"/>
          <w:color w:val="000000" w:themeColor="text1"/>
          <w:lang w:eastAsia="hi-IN" w:bidi="hi-IN"/>
        </w:rPr>
        <w:fldChar w:fldCharType="end"/>
      </w:r>
      <w:r w:rsidRPr="00D2167C">
        <w:rPr>
          <w:rFonts w:ascii="Times New Roman" w:eastAsia="SimSun" w:hAnsi="Times New Roman" w:cs="Calibri"/>
          <w:color w:val="000000" w:themeColor="text1"/>
          <w:lang w:eastAsia="hi-IN" w:bidi="hi-IN"/>
        </w:rPr>
        <w:t>.</w:t>
      </w:r>
    </w:p>
    <w:p w14:paraId="3DA65345" w14:textId="642ACF02" w:rsidR="00B02176" w:rsidRPr="00B156AF" w:rsidRDefault="000751CA" w:rsidP="009917E4">
      <w:pPr>
        <w:autoSpaceDE w:val="0"/>
        <w:autoSpaceDN w:val="0"/>
        <w:adjustRightInd w:val="0"/>
        <w:spacing w:before="120" w:after="120" w:line="240" w:lineRule="auto"/>
        <w:jc w:val="both"/>
        <w:rPr>
          <w:rFonts w:ascii="Times New Roman" w:eastAsia="SimSun" w:hAnsi="Times New Roman" w:cs="Calibri"/>
          <w:color w:val="000000" w:themeColor="text1"/>
          <w:lang w:val="en-US" w:eastAsia="hi-IN" w:bidi="hi-IN"/>
        </w:rPr>
      </w:pPr>
      <w:r>
        <w:rPr>
          <w:rFonts w:ascii="Times New Roman" w:eastAsia="SimSun" w:hAnsi="Times New Roman" w:cs="Calibri"/>
          <w:color w:val="000000" w:themeColor="text1"/>
          <w:lang w:eastAsia="hi-IN" w:bidi="hi-IN"/>
        </w:rPr>
        <w:t>However, it should be noted that t</w:t>
      </w:r>
      <w:r w:rsidRPr="005B64B9">
        <w:rPr>
          <w:rFonts w:ascii="Times New Roman" w:eastAsia="SimSun" w:hAnsi="Times New Roman" w:cs="Calibri"/>
          <w:color w:val="000000" w:themeColor="text1"/>
          <w:lang w:eastAsia="hi-IN" w:bidi="hi-IN"/>
        </w:rPr>
        <w:t xml:space="preserve">he </w:t>
      </w:r>
      <w:r>
        <w:rPr>
          <w:rFonts w:ascii="Times New Roman" w:eastAsia="SimSun" w:hAnsi="Times New Roman" w:cs="Calibri"/>
          <w:color w:val="000000" w:themeColor="text1"/>
          <w:lang w:eastAsia="hi-IN" w:bidi="hi-IN"/>
        </w:rPr>
        <w:t>degree of impact resulting from</w:t>
      </w:r>
      <w:r w:rsidRPr="005B64B9">
        <w:rPr>
          <w:rFonts w:ascii="Times New Roman" w:eastAsia="SimSun" w:hAnsi="Times New Roman" w:cs="Calibri"/>
          <w:color w:val="000000" w:themeColor="text1"/>
          <w:lang w:eastAsia="hi-IN" w:bidi="hi-IN"/>
        </w:rPr>
        <w:t xml:space="preserve"> synthetic</w:t>
      </w:r>
      <w:r>
        <w:rPr>
          <w:rFonts w:ascii="Times New Roman" w:eastAsia="SimSun" w:hAnsi="Times New Roman" w:cs="Calibri"/>
          <w:color w:val="000000" w:themeColor="text1"/>
          <w:lang w:eastAsia="hi-IN" w:bidi="hi-IN"/>
        </w:rPr>
        <w:t xml:space="preserve"> </w:t>
      </w:r>
      <w:r w:rsidRPr="005B64B9">
        <w:rPr>
          <w:rFonts w:ascii="Times New Roman" w:eastAsia="SimSun" w:hAnsi="Times New Roman" w:cs="Calibri"/>
          <w:color w:val="000000" w:themeColor="text1"/>
          <w:lang w:eastAsia="hi-IN" w:bidi="hi-IN"/>
        </w:rPr>
        <w:t xml:space="preserve">biology </w:t>
      </w:r>
      <w:r>
        <w:rPr>
          <w:rFonts w:ascii="Times New Roman" w:eastAsia="SimSun" w:hAnsi="Times New Roman" w:cs="Calibri"/>
          <w:color w:val="000000" w:themeColor="text1"/>
          <w:lang w:eastAsia="hi-IN" w:bidi="hi-IN"/>
        </w:rPr>
        <w:t>applications</w:t>
      </w:r>
      <w:r w:rsidRPr="005B64B9">
        <w:rPr>
          <w:rFonts w:ascii="Times New Roman" w:eastAsia="SimSun" w:hAnsi="Times New Roman" w:cs="Calibri"/>
          <w:color w:val="000000" w:themeColor="text1"/>
          <w:lang w:eastAsia="hi-IN" w:bidi="hi-IN"/>
        </w:rPr>
        <w:t xml:space="preserve"> to the management of </w:t>
      </w:r>
      <w:r>
        <w:rPr>
          <w:rFonts w:ascii="Times New Roman" w:eastAsia="SimSun" w:hAnsi="Times New Roman" w:cs="Calibri"/>
          <w:color w:val="000000" w:themeColor="text1"/>
          <w:lang w:eastAsia="hi-IN" w:bidi="hi-IN"/>
        </w:rPr>
        <w:t>IAS</w:t>
      </w:r>
      <w:r w:rsidRPr="005B64B9">
        <w:rPr>
          <w:rFonts w:ascii="Times New Roman" w:eastAsia="SimSun" w:hAnsi="Times New Roman" w:cs="Calibri"/>
          <w:color w:val="000000" w:themeColor="text1"/>
          <w:lang w:eastAsia="hi-IN" w:bidi="hi-IN"/>
        </w:rPr>
        <w:t xml:space="preserve"> will likely vary with scale</w:t>
      </w:r>
      <w:r>
        <w:rPr>
          <w:rFonts w:ascii="Times New Roman" w:eastAsia="SimSun" w:hAnsi="Times New Roman" w:cs="Calibri"/>
          <w:color w:val="000000" w:themeColor="text1"/>
          <w:lang w:eastAsia="hi-IN" w:bidi="hi-IN"/>
        </w:rPr>
        <w:t xml:space="preserve"> of use</w:t>
      </w:r>
      <w:r w:rsidRPr="005B64B9">
        <w:rPr>
          <w:rFonts w:ascii="Times New Roman" w:eastAsia="SimSun" w:hAnsi="Times New Roman" w:cs="Calibri"/>
          <w:color w:val="000000" w:themeColor="text1"/>
          <w:lang w:eastAsia="hi-IN" w:bidi="hi-IN"/>
        </w:rPr>
        <w:t>, context and targeted species or population</w:t>
      </w:r>
      <w:r>
        <w:rPr>
          <w:rFonts w:ascii="Times New Roman" w:eastAsia="SimSun" w:hAnsi="Times New Roman" w:cs="Calibri"/>
          <w:color w:val="000000" w:themeColor="text1"/>
          <w:lang w:eastAsia="hi-IN" w:bidi="hi-IN"/>
        </w:rPr>
        <w:t xml:space="preserve"> </w:t>
      </w:r>
      <w:r w:rsidR="006E0F39">
        <w:rPr>
          <w:rFonts w:ascii="Times New Roman" w:eastAsia="SimSun" w:hAnsi="Times New Roman" w:cs="Calibri"/>
          <w:color w:val="000000" w:themeColor="text1"/>
          <w:lang w:eastAsia="hi-IN" w:bidi="hi-IN"/>
        </w:rPr>
        <w:t>(</w:t>
      </w:r>
      <w:r w:rsidR="00420867" w:rsidRPr="003D7DA6">
        <w:rPr>
          <w:rFonts w:ascii="Times New Roman" w:eastAsia="SimSun" w:hAnsi="Times New Roman" w:cs="Calibri"/>
          <w:color w:val="000000" w:themeColor="text1"/>
          <w:highlight w:val="cyan"/>
          <w:lang w:eastAsia="hi-IN" w:bidi="hi-IN"/>
        </w:rPr>
        <w:fldChar w:fldCharType="begin" w:fldLock="1"/>
      </w:r>
      <w:r w:rsidR="008F6A90">
        <w:rPr>
          <w:rFonts w:ascii="Times New Roman" w:eastAsia="SimSun" w:hAnsi="Times New Roman" w:cs="Calibri"/>
          <w:color w:val="000000" w:themeColor="text1"/>
          <w:highlight w:val="cyan"/>
          <w:lang w:eastAsia="hi-IN" w:bidi="hi-IN"/>
        </w:rPr>
        <w:instrText>ADDIN CSL_CITATION {"citationItems":[{"id":"ITEM-1","itemData":{"DOI":"10.2305/IUCN.CH.2019.05.en","ISBN":"9782831719733","editor":[{"dropping-particle":"","family":"Redford","given":"Kent H.","non-dropping-particle":"","parse-names":false,"suffix":""},{"dropping-particle":"","family":"Brooks","given":"Thomas M.","non-dropping-particle":"","parse-names":false,"suffix":""},{"dropping-particle":"","family":"Macfarlane","given":"Nicholas B.W.","non-dropping-particle":"","parse-names":false,"suffix":""},{"dropping-particle":"","family":"Adams","given":"Jonathan S.","non-dropping-particle":"","parse-names":false,"suffix":""}],"id":"ITEM-1","issued":{"date-parts":[["2019","5","6"]]},"publisher":"IUCN, International Union for Conservation of Nature","title":"Genetic frontiers for conservation: an assessment of synthetic biology and biodiversity conservation: technical assessment","type":"book"},"uris":["http://www.mendeley.com/documents/?uuid=9b6cd793-31c7-4755-8480-3345b89666d3"]}],"mendeley":{"formattedCitation":"(Redford et al., 2019)","manualFormatting":"Redford et al., 2019)","plainTextFormattedCitation":"(Redford et al., 2019)","previouslyFormattedCitation":"(Redford et al., 2019)"},"properties":{"noteIndex":0},"schema":"https://github.com/citation-style-language/schema/raw/master/csl-citation.json"}</w:instrText>
      </w:r>
      <w:r w:rsidR="00420867" w:rsidRPr="003D7DA6">
        <w:rPr>
          <w:rFonts w:ascii="Times New Roman" w:eastAsia="SimSun" w:hAnsi="Times New Roman" w:cs="Calibri"/>
          <w:color w:val="000000" w:themeColor="text1"/>
          <w:highlight w:val="cyan"/>
          <w:lang w:eastAsia="hi-IN" w:bidi="hi-IN"/>
        </w:rPr>
        <w:fldChar w:fldCharType="separate"/>
      </w:r>
      <w:r w:rsidR="004858BF" w:rsidRPr="00E439D7">
        <w:rPr>
          <w:rFonts w:ascii="Times New Roman" w:hAnsi="Times New Roman"/>
          <w:noProof/>
          <w:color w:val="000000" w:themeColor="text1"/>
          <w:lang w:eastAsia="ar-SA"/>
        </w:rPr>
        <w:t>Redford et al., 2019</w:t>
      </w:r>
      <w:r w:rsidR="006E0F39">
        <w:rPr>
          <w:rFonts w:ascii="Times New Roman" w:hAnsi="Times New Roman"/>
          <w:noProof/>
          <w:color w:val="000000" w:themeColor="text1"/>
          <w:lang w:eastAsia="ar-SA"/>
        </w:rPr>
        <w:t>)</w:t>
      </w:r>
      <w:r w:rsidR="00420867" w:rsidRPr="003D7DA6">
        <w:rPr>
          <w:rFonts w:ascii="Times New Roman" w:eastAsia="SimSun" w:hAnsi="Times New Roman" w:cs="Calibri"/>
          <w:color w:val="000000" w:themeColor="text1"/>
          <w:highlight w:val="cyan"/>
          <w:lang w:eastAsia="hi-IN" w:bidi="hi-IN"/>
        </w:rPr>
        <w:fldChar w:fldCharType="end"/>
      </w:r>
      <w:r w:rsidRPr="009A183C">
        <w:rPr>
          <w:rFonts w:ascii="Times New Roman" w:eastAsia="SimSun" w:hAnsi="Times New Roman" w:cs="Calibri"/>
          <w:color w:val="000000" w:themeColor="text1"/>
          <w:lang w:eastAsia="hi-IN" w:bidi="hi-IN"/>
        </w:rPr>
        <w:t>.</w:t>
      </w:r>
      <w:r>
        <w:rPr>
          <w:rFonts w:ascii="Times New Roman" w:eastAsia="SimSun" w:hAnsi="Times New Roman" w:cs="Calibri"/>
          <w:color w:val="000000" w:themeColor="text1"/>
          <w:lang w:eastAsia="hi-IN" w:bidi="hi-IN"/>
        </w:rPr>
        <w:t xml:space="preserve"> </w:t>
      </w:r>
      <w:r w:rsidRPr="00B804FF">
        <w:rPr>
          <w:rFonts w:ascii="Times New Roman" w:eastAsia="SimSun" w:hAnsi="Times New Roman" w:cs="Calibri"/>
          <w:color w:val="000000" w:themeColor="text1"/>
          <w:lang w:eastAsia="hi-IN" w:bidi="hi-IN"/>
        </w:rPr>
        <w:t xml:space="preserve">It is therefore possible that under certain circumstances, conservation gains </w:t>
      </w:r>
      <w:r>
        <w:rPr>
          <w:rFonts w:ascii="Times New Roman" w:eastAsia="SimSun" w:hAnsi="Times New Roman" w:cs="Calibri"/>
          <w:color w:val="000000" w:themeColor="text1"/>
          <w:lang w:eastAsia="hi-IN" w:bidi="hi-IN"/>
        </w:rPr>
        <w:t>from these uses</w:t>
      </w:r>
      <w:r w:rsidRPr="00B804FF">
        <w:rPr>
          <w:rFonts w:ascii="Times New Roman" w:eastAsia="SimSun" w:hAnsi="Times New Roman" w:cs="Calibri"/>
          <w:color w:val="000000" w:themeColor="text1"/>
          <w:lang w:eastAsia="hi-IN" w:bidi="hi-IN"/>
        </w:rPr>
        <w:t xml:space="preserve"> could be offset or even outweighed by </w:t>
      </w:r>
      <w:r>
        <w:rPr>
          <w:rFonts w:ascii="Times New Roman" w:eastAsia="SimSun" w:hAnsi="Times New Roman" w:cs="Calibri"/>
          <w:color w:val="000000" w:themeColor="text1"/>
          <w:lang w:eastAsia="hi-IN" w:bidi="hi-IN"/>
        </w:rPr>
        <w:t xml:space="preserve">associated </w:t>
      </w:r>
      <w:r w:rsidRPr="00B804FF">
        <w:rPr>
          <w:rFonts w:ascii="Times New Roman" w:eastAsia="SimSun" w:hAnsi="Times New Roman" w:cs="Calibri"/>
          <w:color w:val="000000" w:themeColor="text1"/>
          <w:lang w:eastAsia="hi-IN" w:bidi="hi-IN"/>
        </w:rPr>
        <w:t xml:space="preserve">conservation losses elsewhere, </w:t>
      </w:r>
      <w:r w:rsidR="00D923DA">
        <w:rPr>
          <w:rFonts w:ascii="Times New Roman" w:eastAsia="SimSun" w:hAnsi="Times New Roman" w:cs="Calibri"/>
          <w:color w:val="000000" w:themeColor="text1"/>
          <w:lang w:eastAsia="hi-IN" w:bidi="hi-IN"/>
        </w:rPr>
        <w:t xml:space="preserve">for example </w:t>
      </w:r>
      <w:r w:rsidRPr="00B804FF">
        <w:rPr>
          <w:rFonts w:ascii="Times New Roman" w:eastAsia="SimSun" w:hAnsi="Times New Roman" w:cs="Calibri"/>
          <w:color w:val="000000" w:themeColor="text1"/>
          <w:lang w:eastAsia="hi-IN" w:bidi="hi-IN"/>
        </w:rPr>
        <w:t xml:space="preserve">if the </w:t>
      </w:r>
      <w:r>
        <w:rPr>
          <w:rFonts w:ascii="Times New Roman" w:eastAsia="SimSun" w:hAnsi="Times New Roman" w:cs="Calibri"/>
          <w:color w:val="000000" w:themeColor="text1"/>
          <w:lang w:eastAsia="hi-IN" w:bidi="hi-IN"/>
        </w:rPr>
        <w:t xml:space="preserve">target </w:t>
      </w:r>
      <w:r w:rsidRPr="00B804FF">
        <w:rPr>
          <w:rFonts w:ascii="Times New Roman" w:eastAsia="SimSun" w:hAnsi="Times New Roman" w:cs="Calibri"/>
          <w:color w:val="000000" w:themeColor="text1"/>
          <w:lang w:eastAsia="hi-IN" w:bidi="hi-IN"/>
        </w:rPr>
        <w:t xml:space="preserve">species is native or performs </w:t>
      </w:r>
      <w:r>
        <w:rPr>
          <w:rFonts w:ascii="Times New Roman" w:eastAsia="SimSun" w:hAnsi="Times New Roman" w:cs="Calibri"/>
          <w:color w:val="000000" w:themeColor="text1"/>
          <w:lang w:eastAsia="hi-IN" w:bidi="hi-IN"/>
        </w:rPr>
        <w:t xml:space="preserve">an </w:t>
      </w:r>
      <w:r w:rsidRPr="00B804FF">
        <w:rPr>
          <w:rFonts w:ascii="Times New Roman" w:eastAsia="SimSun" w:hAnsi="Times New Roman" w:cs="Calibri"/>
          <w:color w:val="000000" w:themeColor="text1"/>
          <w:lang w:eastAsia="hi-IN" w:bidi="hi-IN"/>
        </w:rPr>
        <w:t>essential role in community structure and</w:t>
      </w:r>
      <w:r>
        <w:rPr>
          <w:rFonts w:ascii="Times New Roman" w:eastAsia="SimSun" w:hAnsi="Times New Roman" w:cs="Calibri"/>
          <w:color w:val="000000" w:themeColor="text1"/>
          <w:lang w:eastAsia="hi-IN" w:bidi="hi-IN"/>
        </w:rPr>
        <w:t>/or</w:t>
      </w:r>
      <w:r w:rsidRPr="00B804FF">
        <w:rPr>
          <w:rFonts w:ascii="Times New Roman" w:eastAsia="SimSun" w:hAnsi="Times New Roman" w:cs="Calibri"/>
          <w:color w:val="000000" w:themeColor="text1"/>
          <w:lang w:eastAsia="hi-IN" w:bidi="hi-IN"/>
        </w:rPr>
        <w:t xml:space="preserve"> ecosystem dynamics</w:t>
      </w:r>
      <w:r w:rsidR="003B4845">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{"citationItems":[{"id":"ITEM-1","itemData":{"DOI":"10.2305/IUCN.CH.2019.05.en","ISBN":"9782831719733","editor":[{"dropping-particle":"","family":"Redford","given":"Kent H.","non-dropping-particle":"","parse-names":false,"suffix":""},{"dropping-particle":"","family":"Brooks","given":"Thomas M.","non-dropping-particle":"","parse-names":false,"suffix":""},{"dropping-particle":"","family":"Macfarlane","given":"Nicholas B.W.","non-dropping-particle":"","parse-names":false,"suffix":""},{"dropping-particle":"","family":"Adams","given":"Jonathan S.","non-dropping-particle":"","parse-names":false,"suffix":""}],"id":"ITEM-1","issued":{"date-parts":[["2019","5","6"]]},"publisher":"IUCN, International Union for Conservation of Nature","title":"Genetic frontiers for conservation: an assessment of synthetic biology and biodiversity conservation: technical assessment","type":"book"},"uris":["http://www.mendeley.com/documents/?uuid=9b6cd793-31c7-4755-8480-3345b89666d3"]}],"mendeley":{"formattedCitation":"(Redford et al., 2019)","manualFormatting":" (Redford et al., 2019))","plainTextFormattedCitation":"(Redford et al., 2019)","previouslyFormattedCitation":"(Redford et al., 2019)"},"properties":{"noteIndex":0},"schema":"https://github.com/citation-style-language/schema/raw/master/csl-citation.json"}</w:instrText>
      </w:r>
      <w:r w:rsidR="003B4845">
        <w:rPr>
          <w:rFonts w:ascii="Times New Roman" w:eastAsia="SimSun" w:hAnsi="Times New Roman" w:cs="Calibri"/>
          <w:color w:val="000000" w:themeColor="text1"/>
          <w:lang w:eastAsia="hi-IN" w:bidi="hi-IN"/>
        </w:rPr>
        <w:fldChar w:fldCharType="separate"/>
      </w:r>
      <w:r w:rsidR="004858BF" w:rsidRPr="004858BF">
        <w:rPr>
          <w:rFonts w:ascii="Times New Roman" w:hAnsi="Times New Roman"/>
          <w:noProof/>
          <w:color w:val="000000" w:themeColor="text1"/>
          <w:lang w:eastAsia="ar-SA"/>
        </w:rPr>
        <w:t xml:space="preserve"> </w:t>
      </w:r>
      <w:r w:rsidR="00212044">
        <w:rPr>
          <w:rFonts w:ascii="Times New Roman" w:hAnsi="Times New Roman"/>
          <w:noProof/>
          <w:color w:val="000000" w:themeColor="text1"/>
          <w:lang w:eastAsia="ar-SA"/>
        </w:rPr>
        <w:t>(</w:t>
      </w:r>
      <w:r w:rsidR="004858BF" w:rsidRPr="00E439D7">
        <w:rPr>
          <w:rFonts w:ascii="Times New Roman" w:hAnsi="Times New Roman"/>
          <w:noProof/>
          <w:color w:val="000000" w:themeColor="text1"/>
          <w:lang w:eastAsia="ar-SA"/>
        </w:rPr>
        <w:t>Redford et al., 2019</w:t>
      </w:r>
      <w:r w:rsidR="00212044">
        <w:rPr>
          <w:rFonts w:ascii="Times New Roman" w:hAnsi="Times New Roman"/>
          <w:noProof/>
          <w:color w:val="000000" w:themeColor="text1"/>
          <w:lang w:eastAsia="ar-SA"/>
        </w:rPr>
        <w:t>)</w:t>
      </w:r>
      <w:r w:rsidR="003B4845" w:rsidRPr="003B4845">
        <w:rPr>
          <w:rFonts w:ascii="Times New Roman" w:eastAsia="SimSun" w:hAnsi="Times New Roman" w:cs="Calibri"/>
          <w:noProof/>
          <w:color w:val="000000" w:themeColor="text1"/>
          <w:lang w:eastAsia="hi-IN" w:bidi="hi-IN"/>
        </w:rPr>
        <w:t>)</w:t>
      </w:r>
      <w:r w:rsidR="003B4845">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 Further</w:t>
      </w:r>
      <w:r w:rsidR="00B02176">
        <w:rPr>
          <w:rFonts w:ascii="Times New Roman" w:eastAsia="SimSun" w:hAnsi="Times New Roman" w:cs="Calibri"/>
          <w:color w:val="000000" w:themeColor="text1"/>
          <w:lang w:eastAsia="hi-IN" w:bidi="hi-IN"/>
        </w:rPr>
        <w:t xml:space="preserve">, </w:t>
      </w:r>
      <w:r w:rsidR="00B02176" w:rsidRPr="003C32EF">
        <w:rPr>
          <w:rFonts w:ascii="Times New Roman" w:eastAsia="SimSun" w:hAnsi="Times New Roman" w:cs="Calibri"/>
          <w:color w:val="000000" w:themeColor="text1"/>
          <w:lang w:eastAsia="hi-IN" w:bidi="hi-IN"/>
        </w:rPr>
        <w:t xml:space="preserve">depending on the type and scale of </w:t>
      </w:r>
      <w:r w:rsidR="00B02176">
        <w:rPr>
          <w:rFonts w:ascii="Times New Roman" w:eastAsia="SimSun" w:hAnsi="Times New Roman" w:cs="Calibri"/>
          <w:color w:val="000000" w:themeColor="text1"/>
          <w:lang w:eastAsia="hi-IN" w:bidi="hi-IN"/>
        </w:rPr>
        <w:t>the modification, gene-edited</w:t>
      </w:r>
      <w:r w:rsidR="00B02176" w:rsidRPr="003C32EF">
        <w:rPr>
          <w:rFonts w:ascii="Times New Roman" w:eastAsia="SimSun" w:hAnsi="Times New Roman" w:cs="Calibri"/>
          <w:color w:val="000000" w:themeColor="text1"/>
          <w:lang w:eastAsia="hi-IN" w:bidi="hi-IN"/>
        </w:rPr>
        <w:t xml:space="preserve"> organisms released into the environment </w:t>
      </w:r>
      <w:r w:rsidR="00B02176">
        <w:rPr>
          <w:rFonts w:ascii="Times New Roman" w:eastAsia="SimSun" w:hAnsi="Times New Roman" w:cs="Calibri"/>
          <w:color w:val="000000" w:themeColor="text1"/>
          <w:lang w:eastAsia="hi-IN" w:bidi="hi-IN"/>
        </w:rPr>
        <w:t xml:space="preserve">for instance, </w:t>
      </w:r>
      <w:r w:rsidR="00B02176" w:rsidRPr="003C32EF">
        <w:rPr>
          <w:rFonts w:ascii="Times New Roman" w:eastAsia="SimSun" w:hAnsi="Times New Roman" w:cs="Calibri"/>
          <w:color w:val="000000" w:themeColor="text1"/>
          <w:lang w:eastAsia="hi-IN" w:bidi="hi-IN"/>
        </w:rPr>
        <w:t>could also</w:t>
      </w:r>
      <w:r w:rsidR="00B02176">
        <w:rPr>
          <w:rFonts w:ascii="Times New Roman" w:eastAsia="SimSun" w:hAnsi="Times New Roman" w:cs="Calibri"/>
          <w:color w:val="000000" w:themeColor="text1"/>
          <w:lang w:eastAsia="hi-IN" w:bidi="hi-IN"/>
        </w:rPr>
        <w:t xml:space="preserve"> result in unwanted impacts on biodiversity, including</w:t>
      </w:r>
      <w:r w:rsidR="00B02176" w:rsidRPr="003C32EF">
        <w:rPr>
          <w:rFonts w:ascii="Times New Roman" w:eastAsia="SimSun" w:hAnsi="Times New Roman" w:cs="Calibri"/>
          <w:color w:val="000000" w:themeColor="text1"/>
          <w:lang w:eastAsia="hi-IN" w:bidi="hi-IN"/>
        </w:rPr>
        <w:t xml:space="preserve"> off-target mutations, evolutionary</w:t>
      </w:r>
      <w:r w:rsidR="00B02176">
        <w:rPr>
          <w:rFonts w:ascii="Times New Roman" w:eastAsia="SimSun" w:hAnsi="Times New Roman" w:cs="Calibri"/>
          <w:color w:val="000000" w:themeColor="text1"/>
          <w:lang w:eastAsia="hi-IN" w:bidi="hi-IN"/>
        </w:rPr>
        <w:t xml:space="preserve"> </w:t>
      </w:r>
      <w:r w:rsidR="00B02176" w:rsidRPr="003C32EF">
        <w:rPr>
          <w:rFonts w:ascii="Times New Roman" w:eastAsia="SimSun" w:hAnsi="Times New Roman" w:cs="Calibri"/>
          <w:color w:val="000000" w:themeColor="text1"/>
          <w:lang w:eastAsia="hi-IN" w:bidi="hi-IN"/>
        </w:rPr>
        <w:t>resistance, ecological disturbance and extinctions</w:t>
      </w:r>
      <w:r w:rsidR="00B02176">
        <w:rPr>
          <w:rFonts w:ascii="Times New Roman" w:eastAsia="SimSun" w:hAnsi="Times New Roman" w:cs="Calibri"/>
          <w:color w:val="000000" w:themeColor="text1"/>
          <w:lang w:eastAsia="hi-IN" w:bidi="hi-IN"/>
        </w:rPr>
        <w:t xml:space="preserve">; each of which </w:t>
      </w:r>
      <w:r w:rsidR="00B02176" w:rsidRPr="00E044AA">
        <w:rPr>
          <w:rFonts w:ascii="Times New Roman" w:eastAsia="SimSun" w:hAnsi="Times New Roman" w:cs="Calibri"/>
          <w:color w:val="000000" w:themeColor="text1"/>
          <w:lang w:eastAsia="hi-IN" w:bidi="hi-IN"/>
        </w:rPr>
        <w:t>ha</w:t>
      </w:r>
      <w:r w:rsidR="00B02176">
        <w:rPr>
          <w:rFonts w:ascii="Times New Roman" w:eastAsia="SimSun" w:hAnsi="Times New Roman" w:cs="Calibri"/>
          <w:color w:val="000000" w:themeColor="text1"/>
          <w:lang w:eastAsia="hi-IN" w:bidi="hi-IN"/>
        </w:rPr>
        <w:t>ve</w:t>
      </w:r>
      <w:r w:rsidR="00B02176" w:rsidRPr="00E044AA">
        <w:rPr>
          <w:rFonts w:ascii="Times New Roman" w:eastAsia="SimSun" w:hAnsi="Times New Roman" w:cs="Calibri"/>
          <w:color w:val="000000" w:themeColor="text1"/>
          <w:lang w:eastAsia="hi-IN" w:bidi="hi-IN"/>
        </w:rPr>
        <w:t xml:space="preserve"> triggered a heated discussion regarding their environmental</w:t>
      </w:r>
      <w:r w:rsidR="00B02176">
        <w:rPr>
          <w:rFonts w:ascii="Times New Roman" w:eastAsia="SimSun" w:hAnsi="Times New Roman" w:cs="Calibri"/>
          <w:color w:val="000000" w:themeColor="text1"/>
          <w:lang w:eastAsia="hi-IN" w:bidi="hi-IN"/>
        </w:rPr>
        <w:t xml:space="preserve"> </w:t>
      </w:r>
      <w:r w:rsidR="00B02176" w:rsidRPr="00E044AA">
        <w:rPr>
          <w:rFonts w:ascii="Times New Roman" w:eastAsia="SimSun" w:hAnsi="Times New Roman" w:cs="Calibri"/>
          <w:color w:val="000000" w:themeColor="text1"/>
          <w:lang w:eastAsia="hi-IN" w:bidi="hi-IN"/>
        </w:rPr>
        <w:t xml:space="preserve">impacts and regulatory </w:t>
      </w:r>
      <w:r w:rsidR="00B02176" w:rsidRPr="006E053A">
        <w:rPr>
          <w:rFonts w:ascii="Times New Roman" w:eastAsia="SimSun" w:hAnsi="Times New Roman" w:cs="Calibri"/>
          <w:color w:val="000000" w:themeColor="text1"/>
          <w:lang w:eastAsia="hi-IN" w:bidi="hi-IN"/>
        </w:rPr>
        <w:t xml:space="preserve">oversight </w:t>
      </w:r>
      <w:r w:rsidR="00D07DAE">
        <w:rPr>
          <w:rFonts w:ascii="Times New Roman" w:eastAsia="SimSun" w:hAnsi="Times New Roman" w:cs="Calibri"/>
          <w:color w:val="000000" w:themeColor="text1"/>
          <w:lang w:eastAsia="hi-IN" w:bidi="hi-IN"/>
        </w:rPr>
        <w:fldChar w:fldCharType="begin" w:fldLock="1"/>
      </w:r>
      <w:r w:rsidR="00B156AF">
        <w:rPr>
          <w:rFonts w:ascii="Times New Roman" w:eastAsia="SimSun" w:hAnsi="Times New Roman" w:cs="Calibri"/>
          <w:color w:val="000000" w:themeColor="text1"/>
          <w:lang w:eastAsia="hi-IN" w:bidi="hi-IN"/>
        </w:rPr>
        <w:instrText>ADDIN CSL_CITATION {"citationItems":[{"id":"ITEM-1","itemData":{"DOI":"10.1126/science.aat4612","ISSN":"0036-8075","author":[{"dropping-particle":"","family":"Kofler","given":"Natalie","non-dropping-particle":"","parse-names":false,"suffix":""},{"dropping-particle":"","family":"Collins","given":"James P.","non-dropping-particle":"","parse-names":false,"suffix":""},{"dropping-particle":"","family":"Kuzma","given":"Jennifer","non-dropping-particle":"","parse-names":false,"suffix":""},{"dropping-particle":"","family":"Marris","given":"Emma","non-dropping-particle":"","parse-names":false,"suffix":""},{"dropping-particle":"","family":"Esvelt","given":"Kevin","non-dropping-particle":"","parse-names":false,"suffix":""},{"dropping-particle":"","family":"Nelson","given":"Michael Paul","non-dropping-particle":"","parse-names":false,"suffix":""},{"dropping-particle":"","family":"Newhouse","given":"Andrew","non-dropping-particle":"","parse-names":false,"suffix":""},{"dropping-particle":"","family":"Rothschild","given":"Lynn J.","non-dropping-particle":"","parse-names":false,"suffix":""},{"dropping-particle":"","family":"Vigliotti","given":"Vivian S.","non-dropping-particle":"","parse-names":false,"suffix":""},{"dropping-particle":"","family":"Semenov","given":"Misha","non-dropping-particle":"","parse-names":false,"suffix":""},{"dropping-particle":"","family":"Jacobsen","given":"Rowan","non-dropping-particle":"","parse-names":false,"suffix":""},{"dropping-particle":"","family":"Dahlman","given":"James E.","non-dropping-particle":"","parse-names":false,"suffix":""},{"dropping-particle":"","family":"Prince","given":"Shannon","non-dropping-particle":"","parse-names":false,"suffix":""},{"dropping-particle":"","family":"Caccone","given":"Adalgisa","non-dropping-particle":"","parse-names":false,"suffix":""},{"dropping-particle":"","family":"Brown","given":"Timothy","non-dropping-particle":"","parse-names":false,"suffix":""},{"dropping-particle":"","family":"Schmitz","given":"Oswald J.","non-dropping-particle":"","parse-names":false,"suffix":""}],"container-title":"Science","id":"ITEM-1","issue":"6414","issued":{"date-parts":[["2018","11","2"]]},"page":"527-529","title":"Editing nature: Local roots of global governance","type":"article-journal","volume":"362"},"uris":["http://www.mendeley.com/documents/?uuid=a8626dc3-b5d7-448f-8f13-4893bf9cfcc1"]},{"id":"ITEM-2","itemData":{"DOI":"10.1016/j.envsci.2020.02.016","ISSN":"14629011","author":[{"dropping-particle":"","family":"Romeis","given":"Jörg","non-dropping-particle":"","parse-names":false,"suffix":""},{"dropping-particle":"","family":"Collatz","given":"Jana","non-dropping-particle":"","parse-names":false,"suffix":""},{"dropping-particle":"","family":"Glandorf","given":"Debora C.M.","non-dropping-particle":"","parse-names":false,"suffix":""},{"dropping-particle":"","family":"Bonsall","given":"Michael B.","non-dropping-particle":"","parse-names":false,"suffix":""}],"container-title":"Environmental Science &amp; Policy","id":"ITEM-2","issued":{"date-parts":[["2020","6"]]},"page":"19-36","title":"The value of existing regulatory frameworks for the environmental risk assessment of agricultural pest control using gene drives","type":"article-journal","volume":"108"},"uris":["http://www.mendeley.com/documents/?uuid=7f69530c-6e20-4146-b786-2ea24c71e5f3"]},{"id":"ITEM-3","itemData":{"DOI":"10.7554/eLife.03401","ISSN":"2050-084X","abstract":"Gene drives may be capable of addressing ecological problems by altering entire populations of wild organisms, but their use has remained largely theoretical due to technical constraints. Here we consider the potential for RNA-guided gene drives based on the CRISPR nuclease Cas9 to serve as a general method for spreading altered traits through wild populations over many generations. We detail likely capabilities, discuss limitations, and provide novel precautionary strategies to control the spread of gene drives and reverse genomic changes. The ability to edit populations of sexual species would offer substantial benefits to humanity and the environment. For example, RNA-guided gene drives could potentially prevent the spread of disease, support agriculture by reversing pesticide and herbicide resistance in insects and weeds, and control damaging invasive species. However, the possibility of unwanted ecological effects and near-certainty of spread across political borders demand careful assessment of each potential application. We call for thoughtful, inclusive, and well-informed public discussions to explore the responsible use of this currently theoretical technology.","author":[{"dropping-particle":"","family":"Esvelt","given":"Kevin M","non-dropping-particle":"","parse-names":false,"suffix":""},{"dropping-particle":"","family":"Smidler","given":"Andrea L","non-dropping-particle":"","parse-names":false,"suffix":""},{"dropping-particle":"","family":"Catteruccia","given":"Flaminia","non-dropping-particle":"","parse-names":false,"suffix":""},{"dropping-particle":"","family":"Church","given":"George M","non-dropping-particle":"","parse-names":false,"suffix":""}],"container-title":"eLife","id":"ITEM-3","issued":{"date-parts":[["2014","7","17"]]},"title":"Concerning RNA-guided gene drives for the alteration of wild populations","type":"article-journal","volume":"3"},"uris":["http://www.mendeley.com/documents/?uuid=2848a82e-08b3-4c04-b96a-1567e0b0c414"]}],"mendeley":{"formattedCitation":"(K. M. Esvelt et al., 2014; Kofler et al., 2018; Romeis et al., 2020)","manualFormatting":"(Esvelt et al., 2014; Kofler et al., 2018; Romeis et al., 2020)","plainTextFormattedCitation":"(K. M. Esvelt et al., 2014; Kofler et al., 2018; Romeis et al., 2020)","previouslyFormattedCitation":"(K. M. Esvelt et al., 2014; Kofler et al., 2018; Romeis et al., 2020)"},"properties":{"noteIndex":0},"schema":"https://github.com/citation-style-language/schema/raw/master/csl-citation.json"}</w:instrText>
      </w:r>
      <w:r w:rsidR="00D07DAE">
        <w:rPr>
          <w:rFonts w:ascii="Times New Roman" w:eastAsia="SimSun" w:hAnsi="Times New Roman" w:cs="Calibri"/>
          <w:color w:val="000000" w:themeColor="text1"/>
          <w:lang w:eastAsia="hi-IN" w:bidi="hi-IN"/>
        </w:rPr>
        <w:fldChar w:fldCharType="separate"/>
      </w:r>
      <w:r w:rsidR="00D07DAE" w:rsidRPr="00B156AF">
        <w:rPr>
          <w:rFonts w:ascii="Times New Roman" w:eastAsia="SimSun" w:hAnsi="Times New Roman" w:cs="Calibri"/>
          <w:noProof/>
          <w:color w:val="000000" w:themeColor="text1"/>
          <w:lang w:val="en-US" w:eastAsia="hi-IN" w:bidi="hi-IN"/>
        </w:rPr>
        <w:t>(Esvelt et al., 2014; Kofler et al., 2018; Romeis et al., 2020)</w:t>
      </w:r>
      <w:r w:rsidR="00D07DAE">
        <w:rPr>
          <w:rFonts w:ascii="Times New Roman" w:eastAsia="SimSun" w:hAnsi="Times New Roman" w:cs="Calibri"/>
          <w:color w:val="000000" w:themeColor="text1"/>
          <w:lang w:eastAsia="hi-IN" w:bidi="hi-IN"/>
        </w:rPr>
        <w:fldChar w:fldCharType="end"/>
      </w:r>
      <w:r w:rsidR="00B02176" w:rsidRPr="00B156AF">
        <w:rPr>
          <w:rFonts w:ascii="Times New Roman" w:eastAsia="SimSun" w:hAnsi="Times New Roman" w:cs="Calibri"/>
          <w:color w:val="000000" w:themeColor="text1"/>
          <w:lang w:val="en-US" w:eastAsia="hi-IN" w:bidi="hi-IN"/>
        </w:rPr>
        <w:t>.</w:t>
      </w:r>
      <w:r w:rsidR="00B02176" w:rsidRPr="00B156AF">
        <w:rPr>
          <w:lang w:val="en-US"/>
        </w:rPr>
        <w:t xml:space="preserve"> </w:t>
      </w:r>
    </w:p>
    <w:p w14:paraId="0D56D0EC" w14:textId="0864AA8C" w:rsidR="00002C50" w:rsidRDefault="00002C50" w:rsidP="00002C50">
      <w:pPr>
        <w:spacing w:before="120" w:after="120" w:line="240" w:lineRule="auto"/>
        <w:jc w:val="both"/>
      </w:pPr>
      <w:r>
        <w:rPr>
          <w:rFonts w:ascii="Times New Roman" w:eastAsia="SimSun" w:hAnsi="Times New Roman" w:cs="Calibri"/>
          <w:color w:val="000000" w:themeColor="text1"/>
          <w:lang w:eastAsia="hi-IN" w:bidi="hi-IN"/>
        </w:rPr>
        <w:t>E</w:t>
      </w:r>
      <w:r w:rsidRPr="00622C19">
        <w:rPr>
          <w:rFonts w:ascii="Times New Roman" w:eastAsia="SimSun" w:hAnsi="Times New Roman" w:cs="Calibri"/>
          <w:color w:val="000000" w:themeColor="text1"/>
          <w:lang w:eastAsia="hi-IN" w:bidi="hi-IN"/>
        </w:rPr>
        <w:t>ngineered gene drive systems, notably CRISPR–Cas9 gene drives, have recently emerged with potential applications not only in conservation</w:t>
      </w:r>
      <w:r>
        <w:rPr>
          <w:rFonts w:ascii="Times New Roman" w:eastAsia="SimSun" w:hAnsi="Times New Roman" w:cs="Calibri"/>
          <w:color w:val="000000" w:themeColor="text1"/>
          <w:lang w:eastAsia="hi-IN" w:bidi="hi-IN"/>
        </w:rPr>
        <w:t xml:space="preserve"> </w:t>
      </w:r>
      <w:r w:rsidRPr="00622C19">
        <w:rPr>
          <w:rFonts w:ascii="Times New Roman" w:eastAsia="SimSun" w:hAnsi="Times New Roman" w:cs="Calibri"/>
          <w:color w:val="000000" w:themeColor="text1"/>
          <w:lang w:eastAsia="hi-IN" w:bidi="hi-IN"/>
        </w:rPr>
        <w:t xml:space="preserve">but also in public health and agriculture </w:t>
      </w:r>
      <w:r w:rsidRPr="00622C19">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{"citationItems":[{"id":"ITEM-1","itemData":{"DOI":"10.1038/s41467-019-13977-7","ISSN":"2041-1723","author":[{"dropping-particle":"","family":"López Del Amo","given":"Víctor","non-dropping-particle":"","parse-names":false,"suffix":""},{"dropping-particle":"","family":"Bishop","given":"Alena L.","non-dropping-particle":"","parse-names":false,"suffix":""},{"dropping-particle":"","family":"Sánchez C.","given":"Héctor M.","non-dropping-particle":"","parse-names":false,"suffix":""},{"dropping-particle":"","family":"Bennett","given":"Jared B.","non-dropping-particle":"","parse-names":false,"suffix":""},{"dropping-particle":"","family":"Feng","given":"Xuechun","non-dropping-particle":"","parse-names":false,"suffix":""},{"dropping-particle":"","family":"Marshall","given":"John M.","non-dropping-particle":"","parse-names":false,"suffix":""},{"dropping-particle":"","family":"Bier","given":"Ethan","non-dropping-particle":"","parse-names":false,"suffix":""},{"dropping-particle":"","family":"Gantz","given":"Valentino M.","non-dropping-particle":"","parse-names":false,"suffix":""}],"container-title":"Nature Communications","id":"ITEM-1","issue":"1","issued":{"date-parts":[["2020","12","17"]]},"page":"352","title":"A transcomplementing gene drive provides a flexible platform for laboratory investigation and potential field deployment","type":"article-journal","volume":"11"},"uris":["http://www.mendeley.com/documents/?uuid=38778a88-3a85-4de3-b933-a4843ea2cc8b"]}],"mendeley":{"formattedCitation":"(López Del Amo et al., 2020)","plainTextFormattedCitation":"(López Del Amo et al., 2020)","previouslyFormattedCitation":"(López Del Amo et al., 2020)"},"properties":{"noteIndex":0},"schema":"https://github.com/citation-style-language/schema/raw/master/csl-citation.json"}</w:instrText>
      </w:r>
      <w:r w:rsidRPr="00622C19">
        <w:rPr>
          <w:rFonts w:ascii="Times New Roman" w:eastAsia="SimSun" w:hAnsi="Times New Roman" w:cs="Calibri"/>
          <w:color w:val="000000" w:themeColor="text1"/>
          <w:lang w:eastAsia="hi-IN" w:bidi="hi-IN"/>
        </w:rPr>
        <w:fldChar w:fldCharType="separate"/>
      </w:r>
      <w:r w:rsidRPr="00622C19">
        <w:rPr>
          <w:rFonts w:ascii="Times New Roman" w:eastAsia="SimSun" w:hAnsi="Times New Roman" w:cs="Calibri"/>
          <w:noProof/>
          <w:color w:val="000000" w:themeColor="text1"/>
          <w:lang w:eastAsia="hi-IN" w:bidi="hi-IN"/>
        </w:rPr>
        <w:t>(López Del Amo et al., 2020)</w:t>
      </w:r>
      <w:r w:rsidRPr="00622C19">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 xml:space="preserve">. This approach </w:t>
      </w:r>
      <w:r w:rsidRPr="00622C19">
        <w:rPr>
          <w:rFonts w:ascii="Times New Roman" w:eastAsia="SimSun" w:hAnsi="Times New Roman" w:cs="Calibri"/>
          <w:color w:val="000000" w:themeColor="text1"/>
          <w:lang w:eastAsia="hi-IN" w:bidi="hi-IN"/>
        </w:rPr>
        <w:t xml:space="preserve">may increase the feasibility of large-scale control with genuine potential for continental-scale eradication of unwanted wild populations or species </w:t>
      </w:r>
      <w:r w:rsidRPr="00622C19">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{"citationItems":[{"id":"ITEM-1","itemData":{"DOI":"10.7554/eLife.03401","ISSN":"2050-084X","abstract":"Gene drives may be capable of addressing ecological problems by altering entire populations of wild organisms, but their use has remained largely theoretical due to technical constraints. Here we consider the potential for RNA-guided gene drives based on the CRISPR nuclease Cas9 to serve as a general method for spreading altered traits through wild populations over many generations. We detail likely capabilities, discuss limitations, and provide novel precautionary strategies to control the spread of gene drives and reverse genomic changes. The ability to edit populations of sexual species would offer substantial benefits to humanity and the environment. For example, RNA-guided gene drives could potentially prevent the spread of disease, support agriculture by reversing pesticide and herbicide resistance in insects and weeds, and control damaging invasive species. However, the possibility of unwanted ecological effects and near-certainty of spread across political borders demand careful assessment of each potential application. We call for thoughtful, inclusive, and well-informed public discussions to explore the responsible use of this currently theoretical technology.","author":[{"dropping-particle":"","family":"Esvelt","given":"Kevin M","non-dropping-particle":"","parse-names":false,"suffix":""},{"dropping-particle":"","family":"Smidler","given":"Andrea L","non-dropping-particle":"","parse-names":false,"suffix":""},{"dropping-particle":"","family":"Catteruccia","given":"Flaminia","non-dropping-particle":"","parse-names":false,"suffix":""},{"dropping-particle":"","family":"Church","given":"George M","non-dropping-particle":"","parse-names":false,"suffix":""}],"container-title":"eLife","id":"ITEM-1","issued":{"date-parts":[["2014","7","17"]]},"title":"Concerning RNA-guided gene drives for the alteration of wild populations","type":"article-journal","volume":"3"},"uris":["http://www.mendeley.com/documents/?uuid=39d1dced-d165-4d9e-bead-62daf10e6af9"]},{"id":"ITEM-2","itemData":{"DOI":"10.1016/j.cosust.2020.10.001","ISSN":"18773435","abstract":"In the face of insufficient progress in conserving and restoring biodiversity, the in situ use of advanced genetic modification, gene drives, and other biotechnologies for conservation purposes are being considered, researched, and developed. This paper introduces the methods, applications, environmental risks, and social challenges of ‘conservationist synthetic biology’; reviews existing governance, with an emphasis on international instruments, institutions, and processes; and offers observations of the politics of developing further governance. The most important multilateral environmental agreement is the Convention on Biological Diversity. Governance of such conservationist synthetic biology is vital but gaps remain. The further development of governance is a political process, and conservationist synthetic biology has a political landscape that is atypical for emerging technologies.","author":[{"dropping-particle":"","family":"Reynolds","given":"Jesse L.","non-dropping-particle":"","parse-names":false,"suffix":""}],"container-title":"Current Opinion in Environmental Sustainability","id":"ITEM-2","issued":{"date-parts":[["2021","4"]]},"page":"1-6","publisher":"Elsevier B.V.","title":"Engineering biological diversity: the international governance of synthetic biology, gene drives, and de-extinction for conservation","type":"article","volume":"49"},"uris":["http://www.mendeley.com/documents/?uuid=336b55e6-08cb-42a2-92c6-abc05034be03"]}],"mendeley":{"formattedCitation":"(K. M. Esvelt et al., 2014; Reynolds, 2021)","manualFormatting":"(Esvelt et al., 2014; Reynolds, 2021b)","plainTextFormattedCitation":"(K. M. Esvelt et al., 2014; Reynolds, 2021)","previouslyFormattedCitation":"(K. M. Esvelt et al., 2014; Reynolds, 2021)"},"properties":{"noteIndex":0},"schema":"https://github.com/citation-style-language/schema/raw/master/csl-citation.json"}</w:instrText>
      </w:r>
      <w:r w:rsidRPr="00622C19">
        <w:rPr>
          <w:rFonts w:ascii="Times New Roman" w:eastAsia="SimSun" w:hAnsi="Times New Roman" w:cs="Calibri"/>
          <w:color w:val="000000" w:themeColor="text1"/>
          <w:lang w:eastAsia="hi-IN" w:bidi="hi-IN"/>
        </w:rPr>
        <w:fldChar w:fldCharType="separate"/>
      </w:r>
      <w:r w:rsidR="005D0A46" w:rsidRPr="005D0A46">
        <w:rPr>
          <w:rFonts w:ascii="Times New Roman" w:eastAsia="SimSun" w:hAnsi="Times New Roman" w:cs="Calibri"/>
          <w:noProof/>
          <w:color w:val="000000" w:themeColor="text1"/>
          <w:lang w:eastAsia="hi-IN" w:bidi="hi-IN"/>
        </w:rPr>
        <w:t>(Esvelt et al., 2014; Reynolds, 2021b)</w:t>
      </w:r>
      <w:r w:rsidRPr="00622C19">
        <w:rPr>
          <w:rFonts w:ascii="Times New Roman" w:eastAsia="SimSun" w:hAnsi="Times New Roman" w:cs="Calibri"/>
          <w:color w:val="000000" w:themeColor="text1"/>
          <w:lang w:eastAsia="hi-IN" w:bidi="hi-IN"/>
        </w:rPr>
        <w:fldChar w:fldCharType="end"/>
      </w:r>
      <w:r w:rsidRPr="00622C19">
        <w:rPr>
          <w:rFonts w:ascii="Times New Roman" w:eastAsia="SimSun" w:hAnsi="Times New Roman" w:cs="Calibri"/>
          <w:color w:val="000000" w:themeColor="text1"/>
          <w:lang w:eastAsia="hi-IN" w:bidi="hi-IN"/>
        </w:rPr>
        <w:t xml:space="preserve">. Engineered gene drives are also particularly appealing for release on islands which are the primary sites of vertebrate extinctions and where the limits of current control technologies are being reached but can ensure that the impact is better contained geographically </w:t>
      </w:r>
      <w:r w:rsidRPr="00622C19">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10.1098/rspb.2019.1606","ISSN":"0962-8452","author":[{"dropping-particle":"","family":"Godwin","given":"John","non-dropping-particle":"","parse-names":false,"suffix":""},{"dropping-particle":"","family":"Serr","given":"Megan","non-dropping-particle":"","parse-names":false,"suffix":""},{"dropping-particle":"","family":"Barnhill-Dilling","given":"S. Kathleen","non-dropping-particle":"","parse-names":false,"suffix":""},{"dropping-particle":"V.","family":"Blondel","given":"Dimitri","non-dropping-particle":"","parse-names":false,"suffix":""},{"dropping-particle":"","family":"Brown","given":"Peter R.","non-dropping-particle":"","parse-names":false,"suffix":""},{"dropping-particle":"","family":"Campbell","given":"Karl","non-dropping-particle":"","parse-names":false,"suffix":""},{"dropping-particle":"","family":"Delborne","given":"Jason","non-dropping-particle":"","parse-names":false,"suffix":""},{"dropping-particle":"","family":"Lloyd","given":"Alun L.","non-dropping-particle":"","parse-names":false,"suffix":""},{"dropping-particle":"","family":"Oh","given":"Kevin P.","non-dropping-particle":"","parse-names":false,"suffix":""},{"dropping-particle":"","family":"Prowse","given":"Thomas A. A.","non-dropping-particle":"","parse-names":false,"suffix":""},{"dropping-particle":"","family":"Saah","given":"Royden","non-dropping-particle":"","parse-names":false,"suffix":""},{"dropping-particle":"","family":"Thomas","given":"Paul","non-dropping-particle":"","parse-names":false,"suffix":""}],"container-title":"Proceedings of the Royal Society B: Biological Sciences","id":"ITEM-1","issue":"1914","issued":{"date-parts":[["2019","11","6"]]},"page":"20191606","title":"Rodent gene drives for conservation: opportunities and data needs","type":"article-journal","volume":"286"},"uris":["http://www.mendeley.com/documents/?uuid=fcaf33a0-a844-4ac2-9d7e-b11634390744"]},{"id":"ITEM-2","itemData":{"DOI":"10.1371/journal.pbio.2003850","ISSN":"1545-7885","author":[{"dropping-particle":"","family":"Esvelt","given":"Kevin M.","non-dropping-particle":"","parse-names":false,"suffix":""},{"dropping-particle":"","family":"Gemmell","given":"Neil J.","non-dropping-particle":"","parse-names":false,"suffix":""}],"container-title":"PLOS Biology","id":"ITEM-2","issue":"11","issued":{"date-parts":[["2017","11","16"]]},"page":"e2003850","title":"Conservation demands safe gene drive","type":"article-journal","volume":"15"},"uris":["http://www.mendeley.com/documents/?uuid=1ef89e56-b727-4f49-9ee3-2373a3fd35f7"]}],"mendeley":{"formattedCitation":"(K. M. Esvelt &amp; Gemmell, 2017; Godwin et al., 2019)","manualFormatting":"(Esvelt &amp; Gemmell, 2017; Godwin et al., 2019)","plainTextFormattedCitation":"(K. M. Esvelt &amp; Gemmell, 2017; Godwin et al., 2019)","previouslyFormattedCitation":"(K. M. Esvelt &amp; Gemmell, 2017; Godwin et al., 2019)"},"properties":{"noteIndex":0},"schema":"https://github.com/citation-style-language/schema/raw/master/csl-citation.json"}</w:instrText>
      </w:r>
      <w:r w:rsidRPr="00622C19">
        <w:rPr>
          <w:rFonts w:ascii="Times New Roman" w:eastAsia="SimSun" w:hAnsi="Times New Roman" w:cs="Calibri"/>
          <w:color w:val="000000" w:themeColor="text1"/>
          <w:lang w:eastAsia="hi-IN" w:bidi="hi-IN"/>
        </w:rPr>
        <w:fldChar w:fldCharType="separate"/>
      </w:r>
      <w:r w:rsidR="005D0A46" w:rsidRPr="005D0A46">
        <w:rPr>
          <w:rFonts w:ascii="Times New Roman" w:eastAsia="SimSun" w:hAnsi="Times New Roman" w:cs="Calibri"/>
          <w:noProof/>
          <w:color w:val="000000" w:themeColor="text1"/>
          <w:lang w:eastAsia="hi-IN" w:bidi="hi-IN"/>
        </w:rPr>
        <w:t>(Esvelt &amp; Gemmell, 2017; Godwin et al., 2019)</w:t>
      </w:r>
      <w:r w:rsidRPr="00622C19">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 xml:space="preserve">. However their use </w:t>
      </w:r>
      <w:r w:rsidR="00C36ED9">
        <w:rPr>
          <w:rFonts w:ascii="Times New Roman" w:eastAsia="SimSun" w:hAnsi="Times New Roman" w:cs="Calibri"/>
          <w:color w:val="000000" w:themeColor="text1"/>
          <w:lang w:eastAsia="hi-IN" w:bidi="hi-IN"/>
        </w:rPr>
        <w:t>elsewhere</w:t>
      </w:r>
      <w:r>
        <w:rPr>
          <w:rFonts w:ascii="Times New Roman" w:eastAsia="SimSun" w:hAnsi="Times New Roman" w:cs="Calibri"/>
          <w:color w:val="000000" w:themeColor="text1"/>
          <w:lang w:eastAsia="hi-IN" w:bidi="hi-IN"/>
        </w:rPr>
        <w:t xml:space="preserve"> raises concerns in terms of potential spread</w:t>
      </w:r>
      <w:r w:rsidR="00DF1CBE">
        <w:rPr>
          <w:rFonts w:ascii="Times New Roman" w:eastAsia="SimSun" w:hAnsi="Times New Roman" w:cs="Calibri"/>
          <w:color w:val="000000" w:themeColor="text1"/>
          <w:lang w:eastAsia="hi-IN" w:bidi="hi-IN"/>
        </w:rPr>
        <w:t xml:space="preserve"> </w:t>
      </w:r>
      <w:r w:rsidR="005D0A46">
        <w:rPr>
          <w:rFonts w:ascii="Times New Roman" w:eastAsia="SimSun" w:hAnsi="Times New Roman" w:cs="Calibri"/>
          <w:color w:val="000000" w:themeColor="text1"/>
          <w:lang w:eastAsia="hi-IN" w:bidi="hi-IN"/>
        </w:rPr>
        <w:fldChar w:fldCharType="begin" w:fldLock="1"/>
      </w:r>
      <w:r w:rsidR="007512BB">
        <w:rPr>
          <w:rFonts w:ascii="Times New Roman" w:eastAsia="SimSun" w:hAnsi="Times New Roman" w:cs="Calibri"/>
          <w:color w:val="000000" w:themeColor="text1"/>
          <w:lang w:eastAsia="hi-IN" w:bidi="hi-IN"/>
        </w:rPr>
        <w:instrText>ADDIN CSL_CITATION {"citationItems":[{"id":"ITEM-1","itemData":{"ISBN":"9783000623899","author":[{"dropping-particle":"","family":"Esvelt","given":"Kevin","non-dropping-particle":"","parse-names":false,"suffix":""}],"container-title":"Sculpting Evolution","id":"ITEM-1","issued":{"date-parts":[["2019"]]},"title":"Gene Drives. A report on their science, applications, social aspects, ethics and regulations","type":"book"},"uris":["http://www.mendeley.com/documents/?uuid=47632cf0-b5bf-44b0-839f-873b670b9955"]},{"id":"ITEM-2","itemData":{"ISBN":"978-3-99004-524-4","author":[{"dropping-particle":"","family":"Dolezol","given":"Marion","non-dropping-particle":"","parse-names":false,"suffix":""},{"dropping-particle":"","family":"Simon","given":"Samson","non-dropping-particle":"","parse-names":false,"suffix":""},{"dropping-particle":"","family":"Otto","given":"Mathias","non-dropping-particle":"","parse-names":false,"suffix":""},{"dropping-particle":"","family":"Engelhard","given":"Margret","non-dropping-particle":"","parse-names":false,"suffix":""},{"dropping-particle":"","family":"Züghart","given":"Wiebke","non-dropping-particle":"","parse-names":false,"suffix":""}],"id":"ITEM-2","issue":"REP-0705","issued":{"date-parts":[["2020"]]},"number-of-pages":"37","publisher-place":"Vienna, Austria","title":"Gene drive organisms: Implications for the Environment and Nature Conservation","type":"report"},"uris":["http://www.mendeley.com/documents/?uuid=938c4730-afe8-4b77-b0f5-57b5a4f549b6"]}],"mendeley":{"formattedCitation":"(Dolezol et al., 2020; K. Esvelt, 2019)","manualFormatting":" ","plainTextFormattedCitation":"(Dolezol et al., 2020; K. Esvelt, 2019)","previouslyFormattedCitation":"(Dolezol et al., 2020; K. Esvelt, 2019)"},"properties":{"noteIndex":0},"schema":"https://github.com/citation-style-language/schema/raw/master/csl-citation.json"}</w:instrText>
      </w:r>
      <w:r w:rsidR="005D0A46">
        <w:rPr>
          <w:rFonts w:ascii="Times New Roman" w:eastAsia="SimSun" w:hAnsi="Times New Roman" w:cs="Calibri"/>
          <w:color w:val="000000" w:themeColor="text1"/>
          <w:lang w:eastAsia="hi-IN" w:bidi="hi-IN"/>
        </w:rPr>
        <w:fldChar w:fldCharType="separate"/>
      </w:r>
      <w:r w:rsidR="007512BB" w:rsidRPr="005D0A46" w:rsidDel="007512BB">
        <w:rPr>
          <w:rFonts w:ascii="Times New Roman" w:eastAsia="SimSun" w:hAnsi="Times New Roman" w:cs="Calibri"/>
          <w:noProof/>
          <w:color w:val="000000" w:themeColor="text1"/>
          <w:lang w:eastAsia="hi-IN" w:bidi="hi-IN"/>
        </w:rPr>
        <w:t xml:space="preserve"> </w:t>
      </w:r>
      <w:r w:rsidR="005D0A46">
        <w:rPr>
          <w:rFonts w:ascii="Times New Roman" w:eastAsia="SimSun" w:hAnsi="Times New Roman" w:cs="Calibri"/>
          <w:color w:val="000000" w:themeColor="text1"/>
          <w:lang w:eastAsia="hi-IN" w:bidi="hi-IN"/>
        </w:rPr>
        <w:fldChar w:fldCharType="end"/>
      </w:r>
      <w:r w:rsidR="007512BB">
        <w:rPr>
          <w:rFonts w:ascii="Times New Roman" w:eastAsia="SimSun" w:hAnsi="Times New Roman" w:cs="Calibri"/>
          <w:color w:val="000000" w:themeColor="text1"/>
          <w:lang w:eastAsia="hi-IN" w:bidi="hi-IN"/>
        </w:rPr>
        <w:fldChar w:fldCharType="begin" w:fldLock="1"/>
      </w:r>
      <w:r w:rsidR="00D325F2">
        <w:rPr>
          <w:rFonts w:ascii="Times New Roman" w:eastAsia="SimSun" w:hAnsi="Times New Roman" w:cs="Calibri"/>
          <w:color w:val="000000" w:themeColor="text1"/>
          <w:lang w:eastAsia="hi-IN" w:bidi="hi-IN"/>
        </w:rPr>
        <w:instrText>ADDIN CSL_CITATION {"citationItems":[{"id":"ITEM-1","itemData":{"author":[{"dropping-particle":"","family":"Dolezel","given":"Marion","non-dropping-particle":"","parse-names":false,"suffix":""},{"dropping-particle":"","family":"Simon","given":"Samson","non-dropping-particle":"","parse-names":false,"suffix":""},{"dropping-particle":"","family":"Otto","given":"Mathias","non-dropping-particle":"","parse-names":false,"suffix":""},{"dropping-particle":"","family":"Engelhard","given":"Margret","non-dropping-particle":"","parse-names":false,"suffix":""},{"dropping-particle":"","family":"Züghart","given":"Wiebke","non-dropping-particle":"","parse-names":false,"suffix":""}],"id":"ITEM-1","issued":{"date-parts":[["2020"]]},"title":"Gene Drive Organisms. Implications for the Environment and Nature Conservation","type":"article"},"uris":["http://www.mendeley.com/documents/?uuid=402e237a-6616-4ae6-ae7e-2d0be7ce5ad5"]},{"id":"ITEM-2","itemData":{"author":[{"dropping-particle":"","family":"Critical Scientists Switzerland","given":"","non-dropping-particle":"","parse-names":false,"suffix":""},{"dropping-particle":"","family":"European Network of Scientists for Social and Environmental Responsibility","given":"","non-dropping-particle":"","parse-names":false,"suffix":""},{"dropping-particle":"","family":"Vereinigung Deutscher Wissenschaftler","given":"","non-dropping-particle":"","parse-names":false,"suffix":""}],"id":"ITEM-2","issued":{"date-parts":[["2019"]]},"number-of-pages":"338","publisher-place":"Bern, Switzerland","title":"Gene Drives. A report on their science, applications, social aspects, ethics and regulations","type":"report"},"uris":["http://www.mendeley.com/documents/?uuid=a007ea15-289c-43b0-a213-5831060e3469"]}],"mendeley":{"formattedCitation":"(Critical Scientists Switzerland et al., 2019b; Dolezel et al., 2020)","manualFormatting":"(Critical Scientists Switzerland et al., 2019; Dolezel et al., 2020)","plainTextFormattedCitation":"(Critical Scientists Switzerland et al., 2019b; Dolezel et al., 2020)","previouslyFormattedCitation":"(Critical Scientists Switzerland et al., 2019b; Dolezel et al., 2020)"},"properties":{"noteIndex":0},"schema":"https://github.com/citation-style-language/schema/raw/master/csl-citation.json"}</w:instrText>
      </w:r>
      <w:r w:rsidR="007512BB">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(Critical Scientists Switzerland et al., 2019; Dolezel et al., 2020)</w:t>
      </w:r>
      <w:r w:rsidR="007512BB">
        <w:rPr>
          <w:rFonts w:ascii="Times New Roman" w:eastAsia="SimSun" w:hAnsi="Times New Roman" w:cs="Calibri"/>
          <w:color w:val="000000" w:themeColor="text1"/>
          <w:lang w:eastAsia="hi-IN" w:bidi="hi-IN"/>
        </w:rPr>
        <w:fldChar w:fldCharType="end"/>
      </w:r>
      <w:r w:rsidR="007512BB">
        <w:rPr>
          <w:rFonts w:ascii="Times New Roman" w:eastAsia="SimSun" w:hAnsi="Times New Roman" w:cs="Calibri"/>
          <w:color w:val="000000" w:themeColor="text1"/>
          <w:lang w:eastAsia="hi-IN" w:bidi="hi-IN"/>
        </w:rPr>
        <w:t>.</w:t>
      </w:r>
      <w:r w:rsidRPr="00DF7116">
        <w:t xml:space="preserve"> </w:t>
      </w:r>
    </w:p>
    <w:p w14:paraId="3E23B587" w14:textId="18EF7356" w:rsidR="006D430E" w:rsidRPr="00BE2352" w:rsidRDefault="00813B4F" w:rsidP="003E1E2C">
      <w:pPr>
        <w:autoSpaceDE w:val="0"/>
        <w:autoSpaceDN w:val="0"/>
        <w:adjustRightInd w:val="0"/>
        <w:spacing w:before="120" w:after="120" w:line="240" w:lineRule="auto"/>
        <w:jc w:val="both"/>
        <w:rPr>
          <w:rFonts w:ascii="Times New Roman" w:eastAsia="SimSun" w:hAnsi="Times New Roman" w:cs="Calibri"/>
          <w:color w:val="000000" w:themeColor="text1"/>
          <w:lang w:eastAsia="hi-IN" w:bidi="hi-IN"/>
        </w:rPr>
      </w:pPr>
      <w:r w:rsidRPr="00813B4F">
        <w:rPr>
          <w:rFonts w:ascii="Times New Roman" w:eastAsia="SimSun" w:hAnsi="Times New Roman" w:cs="Calibri"/>
          <w:color w:val="000000" w:themeColor="text1"/>
          <w:lang w:eastAsia="hi-IN" w:bidi="hi-IN"/>
        </w:rPr>
        <w:t>Organisms containing CRISPR-engineered</w:t>
      </w:r>
      <w:r>
        <w:rPr>
          <w:rFonts w:ascii="Times New Roman" w:eastAsia="SimSun" w:hAnsi="Times New Roman" w:cs="Calibri"/>
          <w:color w:val="000000" w:themeColor="text1"/>
          <w:lang w:eastAsia="hi-IN" w:bidi="hi-IN"/>
        </w:rPr>
        <w:t xml:space="preserve"> </w:t>
      </w:r>
      <w:r w:rsidRPr="00813B4F">
        <w:rPr>
          <w:rFonts w:ascii="Times New Roman" w:eastAsia="SimSun" w:hAnsi="Times New Roman" w:cs="Calibri"/>
          <w:color w:val="000000" w:themeColor="text1"/>
          <w:lang w:eastAsia="hi-IN" w:bidi="hi-IN"/>
        </w:rPr>
        <w:t>gene drives have not been released into the</w:t>
      </w:r>
      <w:r>
        <w:rPr>
          <w:rFonts w:ascii="Times New Roman" w:eastAsia="SimSun" w:hAnsi="Times New Roman" w:cs="Calibri"/>
          <w:color w:val="000000" w:themeColor="text1"/>
          <w:lang w:eastAsia="hi-IN" w:bidi="hi-IN"/>
        </w:rPr>
        <w:t xml:space="preserve"> </w:t>
      </w:r>
      <w:r w:rsidRPr="00813B4F">
        <w:rPr>
          <w:rFonts w:ascii="Times New Roman" w:eastAsia="SimSun" w:hAnsi="Times New Roman" w:cs="Calibri"/>
          <w:color w:val="000000" w:themeColor="text1"/>
          <w:lang w:eastAsia="hi-IN" w:bidi="hi-IN"/>
        </w:rPr>
        <w:t>wild, but their development has stoked fears</w:t>
      </w:r>
      <w:r>
        <w:rPr>
          <w:rFonts w:ascii="Times New Roman" w:eastAsia="SimSun" w:hAnsi="Times New Roman" w:cs="Calibri"/>
          <w:color w:val="000000" w:themeColor="text1"/>
          <w:lang w:eastAsia="hi-IN" w:bidi="hi-IN"/>
        </w:rPr>
        <w:t xml:space="preserve"> </w:t>
      </w:r>
      <w:r w:rsidRPr="00813B4F">
        <w:rPr>
          <w:rFonts w:ascii="Times New Roman" w:eastAsia="SimSun" w:hAnsi="Times New Roman" w:cs="Calibri"/>
          <w:color w:val="000000" w:themeColor="text1"/>
          <w:lang w:eastAsia="hi-IN" w:bidi="hi-IN"/>
        </w:rPr>
        <w:t>that even well-meaning applications of the</w:t>
      </w:r>
      <w:r>
        <w:rPr>
          <w:rFonts w:ascii="Times New Roman" w:eastAsia="SimSun" w:hAnsi="Times New Roman" w:cs="Calibri"/>
          <w:color w:val="000000" w:themeColor="text1"/>
          <w:lang w:eastAsia="hi-IN" w:bidi="hi-IN"/>
        </w:rPr>
        <w:t xml:space="preserve"> </w:t>
      </w:r>
      <w:r w:rsidRPr="00813B4F">
        <w:rPr>
          <w:rFonts w:ascii="Times New Roman" w:eastAsia="SimSun" w:hAnsi="Times New Roman" w:cs="Calibri"/>
          <w:color w:val="000000" w:themeColor="text1"/>
          <w:lang w:eastAsia="hi-IN" w:bidi="hi-IN"/>
        </w:rPr>
        <w:t>technology, such as attempts to reduce populations of organisms that spread disease, could</w:t>
      </w:r>
      <w:r>
        <w:rPr>
          <w:rFonts w:ascii="Times New Roman" w:eastAsia="SimSun" w:hAnsi="Times New Roman" w:cs="Calibri"/>
          <w:color w:val="000000" w:themeColor="text1"/>
          <w:lang w:eastAsia="hi-IN" w:bidi="hi-IN"/>
        </w:rPr>
        <w:t xml:space="preserve"> </w:t>
      </w:r>
      <w:r w:rsidRPr="00813B4F">
        <w:rPr>
          <w:rFonts w:ascii="Times New Roman" w:eastAsia="SimSun" w:hAnsi="Times New Roman" w:cs="Calibri"/>
          <w:color w:val="000000" w:themeColor="text1"/>
          <w:lang w:eastAsia="hi-IN" w:bidi="hi-IN"/>
        </w:rPr>
        <w:t>have unintended consequences for ecosystems</w:t>
      </w:r>
      <w:r w:rsidR="00266983">
        <w:rPr>
          <w:rFonts w:ascii="Times New Roman" w:eastAsia="SimSun" w:hAnsi="Times New Roman" w:cs="Calibri"/>
          <w:color w:val="000000" w:themeColor="text1"/>
          <w:lang w:eastAsia="hi-IN" w:bidi="hi-IN"/>
        </w:rPr>
        <w:t xml:space="preserve"> </w:t>
      </w:r>
      <w:r w:rsidR="005A63C4">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10.1038/d41586-018-07436-4","ISSN":"14764687","PMID":"30459378","author":[{"dropping-particle":"","family":"Callaway","given":"Ewen","non-dropping-particle":"","parse-names":false,"suffix":""}],"container-title":"Nature","id":"ITEM-1","issue":"7732","issued":{"date-parts":[["2018","11"]]},"page":"454-455","publisher":"NLM (Medline)","title":"Ban on 'gene drives' is back on the UN's agenda - worrying scientists","type":"article","volume":"563"},"uris":["http://www.mendeley.com/documents/?uuid=c14d7dc6-ce12-40a8-9d78-77f7c6d2886c"]}],"mendeley":{"formattedCitation":"(Callaway, 2018)","plainTextFormattedCitation":"(Callaway, 2018)","previouslyFormattedCitation":"(Callaway, 2018)"},"properties":{"noteIndex":0},"schema":"https://github.com/citation-style-language/schema/raw/master/csl-citation.json"}</w:instrText>
      </w:r>
      <w:r w:rsidR="005A63C4">
        <w:rPr>
          <w:rFonts w:ascii="Times New Roman" w:eastAsia="SimSun" w:hAnsi="Times New Roman" w:cs="Calibri"/>
          <w:color w:val="000000" w:themeColor="text1"/>
          <w:lang w:eastAsia="hi-IN" w:bidi="hi-IN"/>
        </w:rPr>
        <w:fldChar w:fldCharType="separate"/>
      </w:r>
      <w:r w:rsidR="005A63C4" w:rsidRPr="005A63C4">
        <w:rPr>
          <w:rFonts w:ascii="Times New Roman" w:eastAsia="SimSun" w:hAnsi="Times New Roman" w:cs="Calibri"/>
          <w:noProof/>
          <w:color w:val="000000" w:themeColor="text1"/>
          <w:lang w:eastAsia="hi-IN" w:bidi="hi-IN"/>
        </w:rPr>
        <w:t>(Callaway, 2018)</w:t>
      </w:r>
      <w:r w:rsidR="005A63C4">
        <w:rPr>
          <w:rFonts w:ascii="Times New Roman" w:eastAsia="SimSun" w:hAnsi="Times New Roman" w:cs="Calibri"/>
          <w:color w:val="000000" w:themeColor="text1"/>
          <w:lang w:eastAsia="hi-IN" w:bidi="hi-IN"/>
        </w:rPr>
        <w:fldChar w:fldCharType="end"/>
      </w:r>
      <w:r w:rsidRPr="00813B4F">
        <w:rPr>
          <w:rFonts w:ascii="Times New Roman" w:eastAsia="SimSun" w:hAnsi="Times New Roman" w:cs="Calibri"/>
          <w:color w:val="000000" w:themeColor="text1"/>
          <w:lang w:eastAsia="hi-IN" w:bidi="hi-IN"/>
        </w:rPr>
        <w:t>.</w:t>
      </w:r>
      <w:r w:rsidR="009D19BF">
        <w:rPr>
          <w:rFonts w:ascii="Times New Roman" w:eastAsia="SimSun" w:hAnsi="Times New Roman" w:cs="Calibri"/>
          <w:color w:val="000000" w:themeColor="text1"/>
          <w:lang w:eastAsia="hi-IN" w:bidi="hi-IN"/>
        </w:rPr>
        <w:t xml:space="preserve"> </w:t>
      </w:r>
      <w:r w:rsidR="00AF3D0A">
        <w:rPr>
          <w:rFonts w:ascii="Times New Roman" w:eastAsia="SimSun" w:hAnsi="Times New Roman" w:cs="Calibri"/>
          <w:color w:val="000000" w:themeColor="text1"/>
          <w:lang w:eastAsia="hi-IN" w:bidi="hi-IN"/>
        </w:rPr>
        <w:t>T</w:t>
      </w:r>
      <w:r w:rsidR="009D19BF">
        <w:rPr>
          <w:rFonts w:ascii="Times New Roman" w:eastAsia="SimSun" w:hAnsi="Times New Roman" w:cs="Calibri"/>
          <w:color w:val="000000" w:themeColor="text1"/>
          <w:lang w:eastAsia="hi-IN" w:bidi="hi-IN"/>
        </w:rPr>
        <w:t>he most advance</w:t>
      </w:r>
      <w:r w:rsidR="00647727">
        <w:rPr>
          <w:rFonts w:ascii="Times New Roman" w:eastAsia="SimSun" w:hAnsi="Times New Roman" w:cs="Calibri"/>
          <w:color w:val="000000" w:themeColor="text1"/>
          <w:lang w:eastAsia="hi-IN" w:bidi="hi-IN"/>
        </w:rPr>
        <w:t>d</w:t>
      </w:r>
      <w:r w:rsidR="009D19BF">
        <w:rPr>
          <w:rFonts w:ascii="Times New Roman" w:eastAsia="SimSun" w:hAnsi="Times New Roman" w:cs="Calibri"/>
          <w:color w:val="000000" w:themeColor="text1"/>
          <w:lang w:eastAsia="hi-IN" w:bidi="hi-IN"/>
        </w:rPr>
        <w:t xml:space="preserve"> application </w:t>
      </w:r>
      <w:r w:rsidR="00BF4AE2">
        <w:rPr>
          <w:rFonts w:ascii="Times New Roman" w:eastAsia="SimSun" w:hAnsi="Times New Roman" w:cs="Calibri"/>
          <w:color w:val="000000" w:themeColor="text1"/>
          <w:lang w:eastAsia="hi-IN" w:bidi="hi-IN"/>
        </w:rPr>
        <w:t xml:space="preserve">is </w:t>
      </w:r>
      <w:r w:rsidR="00002C50">
        <w:rPr>
          <w:rFonts w:ascii="Times New Roman" w:eastAsia="SimSun" w:hAnsi="Times New Roman" w:cs="Calibri"/>
          <w:color w:val="000000" w:themeColor="text1"/>
          <w:lang w:eastAsia="hi-IN" w:bidi="hi-IN"/>
        </w:rPr>
        <w:t>for</w:t>
      </w:r>
      <w:r w:rsidR="009D19BF" w:rsidRPr="003E79EF">
        <w:rPr>
          <w:rFonts w:ascii="Times New Roman" w:eastAsia="SimSun" w:hAnsi="Times New Roman" w:cs="Calibri"/>
          <w:color w:val="000000" w:themeColor="text1"/>
          <w:lang w:eastAsia="hi-IN" w:bidi="hi-IN"/>
        </w:rPr>
        <w:t xml:space="preserve"> malaria </w:t>
      </w:r>
      <w:r w:rsidR="004631CA">
        <w:rPr>
          <w:rFonts w:ascii="Times New Roman" w:eastAsia="SimSun" w:hAnsi="Times New Roman" w:cs="Calibri"/>
          <w:color w:val="000000" w:themeColor="text1"/>
          <w:lang w:eastAsia="hi-IN" w:bidi="hi-IN"/>
        </w:rPr>
        <w:t>control</w:t>
      </w:r>
      <w:r w:rsidR="00FC57FB">
        <w:rPr>
          <w:rFonts w:ascii="Times New Roman" w:eastAsia="SimSun" w:hAnsi="Times New Roman" w:cs="Calibri"/>
          <w:color w:val="000000" w:themeColor="text1"/>
          <w:lang w:eastAsia="hi-IN" w:bidi="hi-IN"/>
        </w:rPr>
        <w:t xml:space="preserve"> </w:t>
      </w:r>
      <w:r w:rsidR="00430029">
        <w:rPr>
          <w:rFonts w:ascii="Times New Roman" w:eastAsia="SimSun" w:hAnsi="Times New Roman" w:cs="Calibri"/>
          <w:color w:val="000000" w:themeColor="text1"/>
          <w:lang w:eastAsia="hi-IN" w:bidi="hi-IN"/>
        </w:rPr>
        <w:t>in which,</w:t>
      </w:r>
      <w:r w:rsidR="009D19BF" w:rsidRPr="003E79EF">
        <w:rPr>
          <w:rFonts w:ascii="Times New Roman" w:eastAsia="SimSun" w:hAnsi="Times New Roman" w:cs="Calibri"/>
          <w:color w:val="000000" w:themeColor="text1"/>
          <w:lang w:eastAsia="hi-IN" w:bidi="hi-IN"/>
        </w:rPr>
        <w:t xml:space="preserve"> </w:t>
      </w:r>
      <w:r w:rsidR="00430029">
        <w:rPr>
          <w:rFonts w:ascii="Times New Roman" w:eastAsia="SimSun" w:hAnsi="Times New Roman" w:cs="Calibri"/>
          <w:color w:val="000000" w:themeColor="text1"/>
          <w:lang w:eastAsia="hi-IN" w:bidi="hi-IN"/>
        </w:rPr>
        <w:t>d</w:t>
      </w:r>
      <w:r w:rsidR="0026752E">
        <w:rPr>
          <w:rFonts w:ascii="Times New Roman" w:eastAsia="SimSun" w:hAnsi="Times New Roman" w:cs="Calibri"/>
          <w:color w:val="000000" w:themeColor="text1"/>
          <w:lang w:eastAsia="hi-IN" w:bidi="hi-IN"/>
        </w:rPr>
        <w:t>epending on the engineered gene drive used,</w:t>
      </w:r>
      <w:r w:rsidR="009D19BF" w:rsidRPr="003E79EF">
        <w:rPr>
          <w:rFonts w:ascii="Times New Roman" w:eastAsia="SimSun" w:hAnsi="Times New Roman" w:cs="Calibri"/>
          <w:color w:val="000000" w:themeColor="text1"/>
          <w:lang w:eastAsia="hi-IN" w:bidi="hi-IN"/>
        </w:rPr>
        <w:t xml:space="preserve"> </w:t>
      </w:r>
      <w:r w:rsidR="004C7ECE" w:rsidRPr="003E79EF">
        <w:rPr>
          <w:rFonts w:ascii="Times New Roman" w:eastAsia="SimSun" w:hAnsi="Times New Roman" w:cs="Calibri"/>
          <w:color w:val="000000" w:themeColor="text1"/>
          <w:lang w:eastAsia="hi-IN" w:bidi="hi-IN"/>
        </w:rPr>
        <w:t>modified mosquito</w:t>
      </w:r>
      <w:r w:rsidR="00B71C75">
        <w:rPr>
          <w:rFonts w:ascii="Times New Roman" w:eastAsia="SimSun" w:hAnsi="Times New Roman" w:cs="Calibri"/>
          <w:color w:val="000000" w:themeColor="text1"/>
          <w:lang w:eastAsia="hi-IN" w:bidi="hi-IN"/>
        </w:rPr>
        <w:t>e</w:t>
      </w:r>
      <w:r w:rsidR="004C7ECE" w:rsidRPr="003E79EF">
        <w:rPr>
          <w:rFonts w:ascii="Times New Roman" w:eastAsia="SimSun" w:hAnsi="Times New Roman" w:cs="Calibri"/>
          <w:color w:val="000000" w:themeColor="text1"/>
          <w:lang w:eastAsia="hi-IN" w:bidi="hi-IN"/>
        </w:rPr>
        <w:t>s</w:t>
      </w:r>
      <w:r w:rsidR="00B71C75">
        <w:rPr>
          <w:rFonts w:ascii="Times New Roman" w:eastAsia="SimSun" w:hAnsi="Times New Roman" w:cs="Calibri"/>
          <w:color w:val="000000" w:themeColor="text1"/>
          <w:lang w:eastAsia="hi-IN" w:bidi="hi-IN"/>
        </w:rPr>
        <w:t xml:space="preserve"> </w:t>
      </w:r>
      <w:r w:rsidR="009D19BF" w:rsidRPr="003E79EF">
        <w:rPr>
          <w:rFonts w:ascii="Times New Roman" w:eastAsia="SimSun" w:hAnsi="Times New Roman" w:cs="Calibri"/>
          <w:color w:val="000000" w:themeColor="text1"/>
          <w:lang w:eastAsia="hi-IN" w:bidi="hi-IN"/>
        </w:rPr>
        <w:t xml:space="preserve">can </w:t>
      </w:r>
      <w:r w:rsidR="006D430E" w:rsidRPr="003E79EF">
        <w:rPr>
          <w:rFonts w:ascii="Times New Roman" w:eastAsia="SimSun" w:hAnsi="Times New Roman" w:cs="Calibri"/>
          <w:color w:val="000000" w:themeColor="text1"/>
          <w:lang w:eastAsia="hi-IN" w:bidi="hi-IN"/>
        </w:rPr>
        <w:t>pass these genes on to a high percentage of their</w:t>
      </w:r>
      <w:r w:rsidR="009D19BF" w:rsidRPr="003E79EF">
        <w:rPr>
          <w:rFonts w:ascii="Times New Roman" w:eastAsia="SimSun" w:hAnsi="Times New Roman" w:cs="Calibri"/>
          <w:color w:val="000000" w:themeColor="text1"/>
          <w:lang w:eastAsia="hi-IN" w:bidi="hi-IN"/>
        </w:rPr>
        <w:t xml:space="preserve"> </w:t>
      </w:r>
      <w:r w:rsidR="006D430E" w:rsidRPr="003E79EF">
        <w:rPr>
          <w:rFonts w:ascii="Times New Roman" w:eastAsia="SimSun" w:hAnsi="Times New Roman" w:cs="Calibri"/>
          <w:color w:val="000000" w:themeColor="text1"/>
          <w:lang w:eastAsia="hi-IN" w:bidi="hi-IN"/>
        </w:rPr>
        <w:t xml:space="preserve">offspring, </w:t>
      </w:r>
      <w:r w:rsidR="0026752E">
        <w:rPr>
          <w:rFonts w:ascii="Times New Roman" w:eastAsia="SimSun" w:hAnsi="Times New Roman" w:cs="Calibri"/>
          <w:color w:val="000000" w:themeColor="text1"/>
          <w:lang w:eastAsia="hi-IN" w:bidi="hi-IN"/>
        </w:rPr>
        <w:t>ensuring that</w:t>
      </w:r>
      <w:r w:rsidR="006D430E" w:rsidRPr="003E79EF">
        <w:rPr>
          <w:rFonts w:ascii="Times New Roman" w:eastAsia="SimSun" w:hAnsi="Times New Roman" w:cs="Calibri"/>
          <w:color w:val="000000" w:themeColor="text1"/>
          <w:lang w:eastAsia="hi-IN" w:bidi="hi-IN"/>
        </w:rPr>
        <w:t xml:space="preserve"> the modification is spread throughout</w:t>
      </w:r>
      <w:r w:rsidR="009D19BF" w:rsidRPr="003E79EF">
        <w:rPr>
          <w:rFonts w:ascii="Times New Roman" w:eastAsia="SimSun" w:hAnsi="Times New Roman" w:cs="Calibri"/>
          <w:color w:val="000000" w:themeColor="text1"/>
          <w:lang w:eastAsia="hi-IN" w:bidi="hi-IN"/>
        </w:rPr>
        <w:t xml:space="preserve"> </w:t>
      </w:r>
      <w:r w:rsidR="006D430E" w:rsidRPr="003E79EF">
        <w:rPr>
          <w:rFonts w:ascii="Times New Roman" w:eastAsia="SimSun" w:hAnsi="Times New Roman" w:cs="Calibri"/>
          <w:color w:val="000000" w:themeColor="text1"/>
          <w:lang w:eastAsia="hi-IN" w:bidi="hi-IN"/>
        </w:rPr>
        <w:t>the specific target populations relatively quickly</w:t>
      </w:r>
      <w:r w:rsidR="009D19BF" w:rsidRPr="003E79EF">
        <w:rPr>
          <w:rFonts w:ascii="Times New Roman" w:eastAsia="SimSun" w:hAnsi="Times New Roman" w:cs="Calibri"/>
          <w:color w:val="000000" w:themeColor="text1"/>
          <w:lang w:eastAsia="hi-IN" w:bidi="hi-IN"/>
        </w:rPr>
        <w:t xml:space="preserve"> </w:t>
      </w:r>
      <w:r w:rsidR="006D430E" w:rsidRPr="003E79EF">
        <w:rPr>
          <w:rFonts w:ascii="Times New Roman" w:eastAsia="SimSun" w:hAnsi="Times New Roman" w:cs="Calibri"/>
          <w:color w:val="000000" w:themeColor="text1"/>
          <w:lang w:eastAsia="hi-IN" w:bidi="hi-IN"/>
        </w:rPr>
        <w:t>and is effectively</w:t>
      </w:r>
      <w:r w:rsidR="00CC5A37">
        <w:rPr>
          <w:rFonts w:ascii="Times New Roman" w:eastAsia="SimSun" w:hAnsi="Times New Roman" w:cs="Mangal" w:hint="cs"/>
          <w:color w:val="000000" w:themeColor="text1"/>
          <w:cs/>
          <w:lang w:eastAsia="hi-IN" w:bidi="hi-IN"/>
        </w:rPr>
        <w:t xml:space="preserve"> </w:t>
      </w:r>
      <w:r w:rsidR="006D430E" w:rsidRPr="003E79EF">
        <w:rPr>
          <w:rFonts w:ascii="Times New Roman" w:eastAsia="SimSun" w:hAnsi="Times New Roman" w:cs="Calibri"/>
          <w:color w:val="000000" w:themeColor="text1"/>
          <w:lang w:eastAsia="hi-IN" w:bidi="hi-IN"/>
        </w:rPr>
        <w:t>self-</w:t>
      </w:r>
      <w:r w:rsidR="006D430E" w:rsidRPr="003E1E2C">
        <w:rPr>
          <w:rFonts w:ascii="Times New Roman" w:eastAsia="SimSun" w:hAnsi="Times New Roman" w:cs="Calibri"/>
          <w:color w:val="000000" w:themeColor="text1"/>
          <w:lang w:eastAsia="hi-IN" w:bidi="hi-IN"/>
        </w:rPr>
        <w:t xml:space="preserve">sustaining </w:t>
      </w:r>
      <w:r w:rsidR="007512BB">
        <w:rPr>
          <w:rFonts w:ascii="Times New Roman" w:eastAsia="SimSun" w:hAnsi="Times New Roman" w:cs="Calibri"/>
          <w:color w:val="000000" w:themeColor="text1"/>
          <w:lang w:eastAsia="hi-IN" w:bidi="hi-IN"/>
        </w:rPr>
        <w:fldChar w:fldCharType="begin" w:fldLock="1"/>
      </w:r>
      <w:r w:rsidR="007512BB">
        <w:rPr>
          <w:rFonts w:ascii="Times New Roman" w:eastAsia="SimSun" w:hAnsi="Times New Roman" w:cs="Calibri"/>
          <w:color w:val="000000" w:themeColor="text1"/>
          <w:lang w:eastAsia="hi-IN" w:bidi="hi-IN"/>
        </w:rPr>
        <w:instrText>ADDIN CSL_CITATION {"citationItems":[{"id":"ITEM-1","itemData":{"DOI":"10.1021/acschembio.7b01031","ISSN":"1554-8929","author":[{"dropping-particle":"","family":"Burt","given":"Austin","non-dropping-particle":"","parse-names":false,"suffix":""},{"dropping-particle":"","family":"Crisanti","given":"Andrea","non-dropping-particle":"","parse-names":false,"suffix":""}],"container-title":"ACS Chemical Biology","id":"ITEM-1","issue":"2","issued":{"date-parts":[["2018","2","16"]]},"page":"343-346","title":"Gene Drive: Evolved and Synthetic","type":"article-journal","volume":"13"},"uris":["http://www.mendeley.com/documents/?uuid=d7dbc437-bd90-4154-8023-81997b44c668"]}],"mendeley":{"formattedCitation":"(Burt &amp; Crisanti, 2018b)","plainTextFormattedCitation":"(Burt &amp; Crisanti, 2018b)","previouslyFormattedCitation":"(Burt &amp; Crisanti, 2018b)"},"properties":{"noteIndex":0},"schema":"https://github.com/citation-style-language/schema/raw/master/csl-citation.json"}</w:instrText>
      </w:r>
      <w:r w:rsidR="007512BB">
        <w:rPr>
          <w:rFonts w:ascii="Times New Roman" w:eastAsia="SimSun" w:hAnsi="Times New Roman" w:cs="Calibri"/>
          <w:color w:val="000000" w:themeColor="text1"/>
          <w:lang w:eastAsia="hi-IN" w:bidi="hi-IN"/>
        </w:rPr>
        <w:fldChar w:fldCharType="separate"/>
      </w:r>
      <w:r w:rsidR="007512BB" w:rsidRPr="007512BB">
        <w:rPr>
          <w:rFonts w:ascii="Times New Roman" w:eastAsia="SimSun" w:hAnsi="Times New Roman" w:cs="Calibri"/>
          <w:noProof/>
          <w:color w:val="000000" w:themeColor="text1"/>
          <w:lang w:eastAsia="hi-IN" w:bidi="hi-IN"/>
        </w:rPr>
        <w:t>(Burt &amp; Crisanti, 2018)</w:t>
      </w:r>
      <w:r w:rsidR="007512BB">
        <w:rPr>
          <w:rFonts w:ascii="Times New Roman" w:eastAsia="SimSun" w:hAnsi="Times New Roman" w:cs="Calibri"/>
          <w:color w:val="000000" w:themeColor="text1"/>
          <w:lang w:eastAsia="hi-IN" w:bidi="hi-IN"/>
        </w:rPr>
        <w:fldChar w:fldCharType="end"/>
      </w:r>
      <w:r w:rsidR="006D430E" w:rsidRPr="003E1E2C">
        <w:rPr>
          <w:rFonts w:ascii="Times New Roman" w:eastAsia="SimSun" w:hAnsi="Times New Roman" w:cs="Calibri"/>
          <w:color w:val="000000" w:themeColor="text1"/>
          <w:lang w:eastAsia="hi-IN" w:bidi="hi-IN"/>
        </w:rPr>
        <w:t>.</w:t>
      </w:r>
      <w:r w:rsidR="00A84616">
        <w:rPr>
          <w:rFonts w:ascii="Times New Roman" w:eastAsia="SimSun" w:hAnsi="Times New Roman" w:cs="Calibri"/>
          <w:color w:val="000000" w:themeColor="text1"/>
          <w:lang w:eastAsia="hi-IN" w:bidi="hi-IN"/>
        </w:rPr>
        <w:t xml:space="preserve"> </w:t>
      </w:r>
      <w:r w:rsidR="00C45392">
        <w:rPr>
          <w:rFonts w:ascii="Times New Roman" w:eastAsia="SimSun" w:hAnsi="Times New Roman" w:cs="Calibri"/>
          <w:color w:val="000000" w:themeColor="text1"/>
          <w:lang w:eastAsia="hi-IN" w:bidi="hi-IN"/>
        </w:rPr>
        <w:t>In addition to</w:t>
      </w:r>
      <w:r w:rsidR="00A84616">
        <w:rPr>
          <w:rFonts w:ascii="Times New Roman" w:eastAsia="SimSun" w:hAnsi="Times New Roman" w:cs="Calibri"/>
          <w:color w:val="000000" w:themeColor="text1"/>
          <w:lang w:eastAsia="hi-IN" w:bidi="hi-IN"/>
        </w:rPr>
        <w:t xml:space="preserve"> </w:t>
      </w:r>
      <w:r w:rsidR="0026752E">
        <w:rPr>
          <w:rFonts w:ascii="Times New Roman" w:eastAsia="SimSun" w:hAnsi="Times New Roman" w:cs="Calibri"/>
          <w:color w:val="000000" w:themeColor="text1"/>
          <w:lang w:eastAsia="hi-IN" w:bidi="hi-IN"/>
        </w:rPr>
        <w:t xml:space="preserve">positive </w:t>
      </w:r>
      <w:r w:rsidR="00A84616">
        <w:rPr>
          <w:rFonts w:ascii="Times New Roman" w:eastAsia="SimSun" w:hAnsi="Times New Roman" w:cs="Calibri"/>
          <w:color w:val="000000" w:themeColor="text1"/>
          <w:lang w:eastAsia="hi-IN" w:bidi="hi-IN"/>
        </w:rPr>
        <w:t>health impact</w:t>
      </w:r>
      <w:r w:rsidR="00C45392">
        <w:rPr>
          <w:rFonts w:ascii="Times New Roman" w:eastAsia="SimSun" w:hAnsi="Times New Roman" w:cs="Calibri"/>
          <w:color w:val="000000" w:themeColor="text1"/>
          <w:lang w:eastAsia="hi-IN" w:bidi="hi-IN"/>
        </w:rPr>
        <w:t>s</w:t>
      </w:r>
      <w:r w:rsidR="00A84616">
        <w:rPr>
          <w:rFonts w:ascii="Times New Roman" w:eastAsia="SimSun" w:hAnsi="Times New Roman" w:cs="Calibri"/>
          <w:color w:val="000000" w:themeColor="text1"/>
          <w:lang w:eastAsia="hi-IN" w:bidi="hi-IN"/>
        </w:rPr>
        <w:t xml:space="preserve"> (e.g</w:t>
      </w:r>
      <w:r w:rsidR="0026752E">
        <w:rPr>
          <w:rFonts w:ascii="Times New Roman" w:eastAsia="SimSun" w:hAnsi="Times New Roman" w:cs="Calibri"/>
          <w:color w:val="000000" w:themeColor="text1"/>
          <w:lang w:eastAsia="hi-IN" w:bidi="hi-IN"/>
        </w:rPr>
        <w:t>.</w:t>
      </w:r>
      <w:r w:rsidR="00880E4F">
        <w:rPr>
          <w:rFonts w:ascii="Times New Roman" w:eastAsia="SimSun" w:hAnsi="Times New Roman" w:cs="Calibri"/>
          <w:color w:val="000000" w:themeColor="text1"/>
          <w:lang w:eastAsia="hi-IN" w:bidi="hi-IN"/>
        </w:rPr>
        <w:t>,</w:t>
      </w:r>
      <w:r w:rsidR="00A84616">
        <w:rPr>
          <w:rFonts w:ascii="Times New Roman" w:eastAsia="SimSun" w:hAnsi="Times New Roman" w:cs="Calibri"/>
          <w:color w:val="000000" w:themeColor="text1"/>
          <w:lang w:eastAsia="hi-IN" w:bidi="hi-IN"/>
        </w:rPr>
        <w:t xml:space="preserve"> </w:t>
      </w:r>
      <w:r w:rsidR="000F653C">
        <w:rPr>
          <w:rFonts w:ascii="Times New Roman" w:eastAsia="SimSun" w:hAnsi="Times New Roman" w:cs="Calibri"/>
          <w:color w:val="000000" w:themeColor="text1"/>
          <w:lang w:eastAsia="hi-IN" w:bidi="hi-IN"/>
        </w:rPr>
        <w:t xml:space="preserve">the </w:t>
      </w:r>
      <w:r w:rsidR="00A84616">
        <w:rPr>
          <w:rFonts w:ascii="Times New Roman" w:eastAsia="SimSun" w:hAnsi="Times New Roman" w:cs="Calibri"/>
          <w:color w:val="000000" w:themeColor="text1"/>
          <w:lang w:eastAsia="hi-IN" w:bidi="hi-IN"/>
        </w:rPr>
        <w:t xml:space="preserve">reduction </w:t>
      </w:r>
      <w:r w:rsidR="0026752E">
        <w:rPr>
          <w:rFonts w:ascii="Times New Roman" w:eastAsia="SimSun" w:hAnsi="Times New Roman" w:cs="Calibri"/>
          <w:color w:val="000000" w:themeColor="text1"/>
          <w:lang w:eastAsia="hi-IN" w:bidi="hi-IN"/>
        </w:rPr>
        <w:t>in inci</w:t>
      </w:r>
      <w:r w:rsidR="00C45392">
        <w:rPr>
          <w:rFonts w:ascii="Times New Roman" w:eastAsia="SimSun" w:hAnsi="Times New Roman" w:cs="Calibri"/>
          <w:color w:val="000000" w:themeColor="text1"/>
          <w:lang w:eastAsia="hi-IN" w:bidi="hi-IN"/>
        </w:rPr>
        <w:t>dences of</w:t>
      </w:r>
      <w:r w:rsidR="0026752E">
        <w:rPr>
          <w:rFonts w:ascii="Times New Roman" w:eastAsia="SimSun" w:hAnsi="Times New Roman" w:cs="Calibri"/>
          <w:color w:val="000000" w:themeColor="text1"/>
          <w:lang w:eastAsia="hi-IN" w:bidi="hi-IN"/>
        </w:rPr>
        <w:t xml:space="preserve"> </w:t>
      </w:r>
      <w:r w:rsidR="00A84616">
        <w:rPr>
          <w:rFonts w:ascii="Times New Roman" w:eastAsia="SimSun" w:hAnsi="Times New Roman" w:cs="Calibri"/>
          <w:color w:val="000000" w:themeColor="text1"/>
          <w:lang w:eastAsia="hi-IN" w:bidi="hi-IN"/>
        </w:rPr>
        <w:t xml:space="preserve">malaria), there could </w:t>
      </w:r>
      <w:r w:rsidR="003C2CF4">
        <w:rPr>
          <w:rFonts w:ascii="Times New Roman" w:eastAsia="SimSun" w:hAnsi="Times New Roman" w:cs="Calibri"/>
          <w:color w:val="000000" w:themeColor="text1"/>
          <w:lang w:eastAsia="hi-IN" w:bidi="hi-IN"/>
        </w:rPr>
        <w:t xml:space="preserve">also be </w:t>
      </w:r>
      <w:r w:rsidR="000B681B">
        <w:rPr>
          <w:rFonts w:ascii="Times New Roman" w:eastAsia="SimSun" w:hAnsi="Times New Roman" w:cs="Calibri"/>
          <w:color w:val="000000" w:themeColor="text1"/>
          <w:lang w:eastAsia="hi-IN" w:bidi="hi-IN"/>
        </w:rPr>
        <w:t>potential</w:t>
      </w:r>
      <w:r w:rsidR="00C2389B">
        <w:rPr>
          <w:rFonts w:ascii="Times New Roman" w:eastAsia="SimSun" w:hAnsi="Times New Roman" w:cs="Calibri"/>
          <w:color w:val="000000" w:themeColor="text1"/>
          <w:lang w:eastAsia="hi-IN" w:bidi="hi-IN"/>
        </w:rPr>
        <w:t xml:space="preserve"> </w:t>
      </w:r>
      <w:r w:rsidR="00196102">
        <w:rPr>
          <w:rFonts w:ascii="Times New Roman" w:eastAsia="SimSun" w:hAnsi="Times New Roman" w:cs="Calibri"/>
          <w:color w:val="000000" w:themeColor="text1"/>
          <w:lang w:eastAsia="hi-IN" w:bidi="hi-IN"/>
        </w:rPr>
        <w:t xml:space="preserve">associated </w:t>
      </w:r>
      <w:r w:rsidR="003C2CF4">
        <w:rPr>
          <w:rFonts w:ascii="Times New Roman" w:eastAsia="SimSun" w:hAnsi="Times New Roman" w:cs="Calibri"/>
          <w:color w:val="000000" w:themeColor="text1"/>
          <w:lang w:eastAsia="hi-IN" w:bidi="hi-IN"/>
        </w:rPr>
        <w:t>conservation benefits</w:t>
      </w:r>
      <w:r w:rsidR="003B58F6">
        <w:rPr>
          <w:rFonts w:ascii="Times New Roman" w:eastAsia="SimSun" w:hAnsi="Times New Roman" w:cs="Calibri"/>
          <w:color w:val="000000" w:themeColor="text1"/>
          <w:lang w:eastAsia="hi-IN" w:bidi="hi-IN"/>
        </w:rPr>
        <w:t xml:space="preserve"> when used to complement </w:t>
      </w:r>
      <w:r w:rsidR="00A84616" w:rsidRPr="00A84616">
        <w:rPr>
          <w:rFonts w:ascii="Times New Roman" w:eastAsia="SimSun" w:hAnsi="Times New Roman" w:cs="Calibri"/>
          <w:color w:val="000000" w:themeColor="text1"/>
          <w:lang w:eastAsia="hi-IN" w:bidi="hi-IN"/>
        </w:rPr>
        <w:t>other malaria</w:t>
      </w:r>
      <w:r w:rsidR="003C2CF4">
        <w:rPr>
          <w:rFonts w:ascii="Times New Roman" w:eastAsia="SimSun" w:hAnsi="Times New Roman" w:cs="Calibri"/>
          <w:color w:val="000000" w:themeColor="text1"/>
          <w:lang w:eastAsia="hi-IN" w:bidi="hi-IN"/>
        </w:rPr>
        <w:t xml:space="preserve"> </w:t>
      </w:r>
      <w:r w:rsidR="00A84616" w:rsidRPr="00A84616">
        <w:rPr>
          <w:rFonts w:ascii="Times New Roman" w:eastAsia="SimSun" w:hAnsi="Times New Roman" w:cs="Calibri"/>
          <w:color w:val="000000" w:themeColor="text1"/>
          <w:lang w:eastAsia="hi-IN" w:bidi="hi-IN"/>
        </w:rPr>
        <w:t>control tools</w:t>
      </w:r>
      <w:r w:rsidR="005F25FE">
        <w:rPr>
          <w:rFonts w:ascii="Times New Roman" w:eastAsia="SimSun" w:hAnsi="Times New Roman" w:cs="Calibri"/>
          <w:color w:val="000000" w:themeColor="text1"/>
          <w:lang w:eastAsia="hi-IN" w:bidi="hi-IN"/>
        </w:rPr>
        <w:t xml:space="preserve"> </w:t>
      </w:r>
      <w:r w:rsidR="00C84930">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{"citationItems":[{"id":"ITEM-1","itemData":{"DOI":"10.2305/IUCN.CH.2019.05.en","ISBN":"9782831719733","editor":[{"dropping-particle":"","family":"Redford","given":"Kent H.","non-dropping-particle":"","parse-names":false,"suffix":""},{"dropping-particle":"","family":"Brooks","given":"Thomas M.","non-dropping-particle":"","parse-names":false,"suffix":""},{"dropping-particle":"","family":"Macfarlane","given":"Nicholas B.W.","non-dropping-particle":"","parse-names":false,"suffix":""},{"dropping-particle":"","family":"Adams","given":"Jonathan S.","non-dropping-particle":"","parse-names":false,"suffix":""}],"id":"ITEM-1","issued":{"date-parts":[["2019","5","6"]]},"publisher":"IUCN, International Union for Conservation of Nature","title":"Genetic frontiers for conservation: an assessment of synthetic biology and biodiversity conservation: technical assessment","type":"book"},"uris":["http://www.mendeley.com/documents/?uuid=9b6cd793-31c7-4755-8480-3345b89666d3"]}],"mendeley":{"formattedCitation":"(Redford et al., 2019)","manualFormatting":"(Redford et al., 2019)","plainTextFormattedCitation":"(Redford et al., 2019)","previouslyFormattedCitation":"(Redford et al., 2019)"},"properties":{"noteIndex":0},"schema":"https://github.com/citation-style-language/schema/raw/master/csl-citation.json"}</w:instrText>
      </w:r>
      <w:r w:rsidR="00C84930">
        <w:rPr>
          <w:rFonts w:ascii="Times New Roman" w:eastAsia="SimSun" w:hAnsi="Times New Roman" w:cs="Calibri"/>
          <w:color w:val="000000" w:themeColor="text1"/>
          <w:lang w:eastAsia="hi-IN" w:bidi="hi-IN"/>
        </w:rPr>
        <w:fldChar w:fldCharType="separate"/>
      </w:r>
      <w:r w:rsidR="00C84930" w:rsidRPr="00131D95">
        <w:rPr>
          <w:rFonts w:ascii="Times New Roman" w:eastAsia="SimSun" w:hAnsi="Times New Roman" w:cs="Calibri"/>
          <w:noProof/>
          <w:color w:val="000000" w:themeColor="text1"/>
          <w:lang w:eastAsia="hi-IN" w:bidi="hi-IN"/>
        </w:rPr>
        <w:t>(</w:t>
      </w:r>
      <w:r w:rsidR="004858BF" w:rsidRPr="00E439D7">
        <w:rPr>
          <w:rFonts w:ascii="Times New Roman" w:hAnsi="Times New Roman"/>
          <w:noProof/>
          <w:color w:val="000000" w:themeColor="text1"/>
          <w:lang w:eastAsia="ar-SA"/>
        </w:rPr>
        <w:t>Redford et al., 2019</w:t>
      </w:r>
      <w:r w:rsidR="00C84930" w:rsidRPr="00C84930">
        <w:rPr>
          <w:rFonts w:ascii="Times New Roman" w:eastAsia="SimSun" w:hAnsi="Times New Roman" w:cs="Calibri"/>
          <w:noProof/>
          <w:color w:val="000000" w:themeColor="text1"/>
          <w:lang w:eastAsia="hi-IN" w:bidi="hi-IN"/>
        </w:rPr>
        <w:t>)</w:t>
      </w:r>
      <w:r w:rsidR="00C84930">
        <w:rPr>
          <w:rFonts w:ascii="Times New Roman" w:eastAsia="SimSun" w:hAnsi="Times New Roman" w:cs="Calibri"/>
          <w:color w:val="000000" w:themeColor="text1"/>
          <w:lang w:eastAsia="hi-IN" w:bidi="hi-IN"/>
        </w:rPr>
        <w:fldChar w:fldCharType="end"/>
      </w:r>
      <w:r w:rsidR="000F653C">
        <w:rPr>
          <w:rFonts w:ascii="Times New Roman" w:eastAsia="SimSun" w:hAnsi="Times New Roman" w:cs="Calibri"/>
          <w:color w:val="000000" w:themeColor="text1"/>
          <w:lang w:eastAsia="hi-IN" w:bidi="hi-IN"/>
        </w:rPr>
        <w:t xml:space="preserve">, </w:t>
      </w:r>
      <w:r w:rsidR="00A84616" w:rsidRPr="00A84616">
        <w:rPr>
          <w:rFonts w:ascii="Times New Roman" w:eastAsia="SimSun" w:hAnsi="Times New Roman" w:cs="Calibri"/>
          <w:color w:val="000000" w:themeColor="text1"/>
          <w:lang w:eastAsia="hi-IN" w:bidi="hi-IN"/>
        </w:rPr>
        <w:t>for example,</w:t>
      </w:r>
      <w:r w:rsidR="00C2389B" w:rsidRPr="00C2389B">
        <w:t xml:space="preserve"> </w:t>
      </w:r>
      <w:r w:rsidR="00C2389B" w:rsidRPr="00C2389B">
        <w:rPr>
          <w:rFonts w:ascii="Times New Roman" w:eastAsia="SimSun" w:hAnsi="Times New Roman" w:cs="Calibri"/>
          <w:color w:val="000000" w:themeColor="text1"/>
          <w:lang w:eastAsia="hi-IN" w:bidi="hi-IN"/>
        </w:rPr>
        <w:t>the reduction in the use of DDT, which was</w:t>
      </w:r>
      <w:r w:rsidR="00C2389B">
        <w:rPr>
          <w:rFonts w:ascii="Times New Roman" w:eastAsia="SimSun" w:hAnsi="Times New Roman" w:cs="Calibri"/>
          <w:color w:val="000000" w:themeColor="text1"/>
          <w:lang w:eastAsia="hi-IN" w:bidi="hi-IN"/>
        </w:rPr>
        <w:t xml:space="preserve"> </w:t>
      </w:r>
      <w:r w:rsidR="00C2389B" w:rsidRPr="00C2389B">
        <w:rPr>
          <w:rFonts w:ascii="Times New Roman" w:eastAsia="SimSun" w:hAnsi="Times New Roman" w:cs="Calibri"/>
          <w:color w:val="000000" w:themeColor="text1"/>
          <w:lang w:eastAsia="hi-IN" w:bidi="hi-IN"/>
        </w:rPr>
        <w:t>reintroduced for malaria control in 2006 under</w:t>
      </w:r>
      <w:r w:rsidR="00C2389B">
        <w:rPr>
          <w:rFonts w:ascii="Times New Roman" w:eastAsia="SimSun" w:hAnsi="Times New Roman" w:cs="Calibri"/>
          <w:color w:val="000000" w:themeColor="text1"/>
          <w:lang w:eastAsia="hi-IN" w:bidi="hi-IN"/>
        </w:rPr>
        <w:t xml:space="preserve"> </w:t>
      </w:r>
      <w:r w:rsidR="00C2389B" w:rsidRPr="00C2389B">
        <w:rPr>
          <w:rFonts w:ascii="Times New Roman" w:eastAsia="SimSun" w:hAnsi="Times New Roman" w:cs="Calibri"/>
          <w:color w:val="000000" w:themeColor="text1"/>
          <w:lang w:eastAsia="hi-IN" w:bidi="hi-IN"/>
        </w:rPr>
        <w:t xml:space="preserve">certain conditions </w:t>
      </w:r>
      <w:r w:rsidR="007512BB">
        <w:rPr>
          <w:rFonts w:ascii="Times New Roman" w:eastAsia="SimSun" w:hAnsi="Times New Roman" w:cs="Calibri"/>
          <w:color w:val="000000" w:themeColor="text1"/>
          <w:lang w:eastAsia="hi-IN" w:bidi="hi-IN"/>
        </w:rPr>
        <w:fldChar w:fldCharType="begin" w:fldLock="1"/>
      </w:r>
      <w:r w:rsidR="00F40A2B">
        <w:rPr>
          <w:rFonts w:ascii="Times New Roman" w:eastAsia="SimSun" w:hAnsi="Times New Roman" w:cs="Calibri"/>
          <w:color w:val="000000" w:themeColor="text1"/>
          <w:lang w:eastAsia="hi-IN" w:bidi="hi-IN"/>
        </w:rPr>
        <w:instrText>ADDIN CSL_CITATION {"citationItems":[{"id":"ITEM-1","itemData":{"author":[{"dropping-particle":"","family":"World Health Organization","given":"","non-dropping-particle":"","parse-names":false,"suffix":""}],"id":"ITEM-1","issued":{"date-parts":[["2011"]]},"title":"Global Malaria Programme. The use of DDT in malaria vector control. WHO position statement","type":"article"},"uris":["http://www.mendeley.com/documents/?uuid=4f2da93b-6427-4db3-b58d-f12b34aaad91"]}],"mendeley":{"formattedCitation":"(World Health Organization, 2011)","plainTextFormattedCitation":"(World Health Organization, 2011)","previouslyFormattedCitation":"(World Health Organization, 2011)"},"properties":{"noteIndex":0},"schema":"https://github.com/citation-style-language/schema/raw/master/csl-citation.json"}</w:instrText>
      </w:r>
      <w:r w:rsidR="007512BB">
        <w:rPr>
          <w:rFonts w:ascii="Times New Roman" w:eastAsia="SimSun" w:hAnsi="Times New Roman" w:cs="Calibri"/>
          <w:color w:val="000000" w:themeColor="text1"/>
          <w:lang w:eastAsia="hi-IN" w:bidi="hi-IN"/>
        </w:rPr>
        <w:fldChar w:fldCharType="separate"/>
      </w:r>
      <w:r w:rsidR="00F40A2B" w:rsidRPr="00F40A2B">
        <w:rPr>
          <w:rFonts w:ascii="Times New Roman" w:eastAsia="SimSun" w:hAnsi="Times New Roman" w:cs="Calibri"/>
          <w:noProof/>
          <w:color w:val="000000" w:themeColor="text1"/>
          <w:lang w:eastAsia="hi-IN" w:bidi="hi-IN"/>
        </w:rPr>
        <w:t>(World Health Organization, 2011)</w:t>
      </w:r>
      <w:r w:rsidR="007512BB">
        <w:rPr>
          <w:rFonts w:ascii="Times New Roman" w:eastAsia="SimSun" w:hAnsi="Times New Roman" w:cs="Calibri"/>
          <w:color w:val="000000" w:themeColor="text1"/>
          <w:lang w:eastAsia="hi-IN" w:bidi="hi-IN"/>
        </w:rPr>
        <w:fldChar w:fldCharType="end"/>
      </w:r>
      <w:r w:rsidR="00C2389B" w:rsidRPr="00C2389B">
        <w:rPr>
          <w:rFonts w:ascii="Times New Roman" w:eastAsia="SimSun" w:hAnsi="Times New Roman" w:cs="Calibri"/>
          <w:color w:val="000000" w:themeColor="text1"/>
          <w:lang w:eastAsia="hi-IN" w:bidi="hi-IN"/>
        </w:rPr>
        <w:t>.</w:t>
      </w:r>
      <w:r w:rsidR="00210A4C">
        <w:rPr>
          <w:rFonts w:ascii="Times New Roman" w:eastAsia="SimSun" w:hAnsi="Times New Roman" w:cs="Calibri"/>
          <w:color w:val="000000" w:themeColor="text1"/>
          <w:lang w:eastAsia="hi-IN" w:bidi="hi-IN"/>
        </w:rPr>
        <w:t xml:space="preserve"> On the other hand, it has also been suggested that i</w:t>
      </w:r>
      <w:r w:rsidR="00210A4C" w:rsidRPr="00210A4C">
        <w:rPr>
          <w:rFonts w:ascii="Times New Roman" w:eastAsia="SimSun" w:hAnsi="Times New Roman" w:cs="Calibri"/>
          <w:color w:val="000000" w:themeColor="text1"/>
          <w:lang w:eastAsia="hi-IN" w:bidi="hi-IN"/>
        </w:rPr>
        <w:t>nteractions with other</w:t>
      </w:r>
      <w:r w:rsidR="00210A4C">
        <w:rPr>
          <w:rFonts w:ascii="Times New Roman" w:eastAsia="SimSun" w:hAnsi="Times New Roman" w:cs="Calibri"/>
          <w:color w:val="000000" w:themeColor="text1"/>
          <w:lang w:eastAsia="hi-IN" w:bidi="hi-IN"/>
        </w:rPr>
        <w:t xml:space="preserve"> </w:t>
      </w:r>
      <w:r w:rsidR="00210A4C" w:rsidRPr="00210A4C">
        <w:rPr>
          <w:rFonts w:ascii="Times New Roman" w:eastAsia="SimSun" w:hAnsi="Times New Roman" w:cs="Calibri"/>
          <w:color w:val="000000" w:themeColor="text1"/>
          <w:lang w:eastAsia="hi-IN" w:bidi="hi-IN"/>
        </w:rPr>
        <w:t>species</w:t>
      </w:r>
      <w:r w:rsidR="004D3E71">
        <w:rPr>
          <w:rFonts w:ascii="Times New Roman" w:eastAsia="SimSun" w:hAnsi="Times New Roman" w:cs="Calibri"/>
          <w:color w:val="000000" w:themeColor="text1"/>
          <w:lang w:eastAsia="hi-IN" w:bidi="hi-IN"/>
        </w:rPr>
        <w:t xml:space="preserve"> and </w:t>
      </w:r>
      <w:r w:rsidR="009971AE">
        <w:rPr>
          <w:rFonts w:ascii="Times New Roman" w:eastAsia="SimSun" w:hAnsi="Times New Roman" w:cs="Calibri"/>
          <w:color w:val="000000" w:themeColor="text1"/>
          <w:lang w:eastAsia="hi-IN" w:bidi="hi-IN"/>
        </w:rPr>
        <w:t>gene flow</w:t>
      </w:r>
      <w:r w:rsidR="00F12492">
        <w:rPr>
          <w:rFonts w:ascii="Times New Roman" w:eastAsia="SimSun" w:hAnsi="Times New Roman" w:cs="Calibri"/>
          <w:color w:val="000000" w:themeColor="text1"/>
          <w:lang w:eastAsia="hi-IN" w:bidi="hi-IN"/>
        </w:rPr>
        <w:t xml:space="preserve"> (i.e</w:t>
      </w:r>
      <w:r w:rsidR="003E1E2C">
        <w:rPr>
          <w:rFonts w:ascii="Times New Roman" w:eastAsia="SimSun" w:hAnsi="Times New Roman" w:cs="Calibri"/>
          <w:color w:val="000000" w:themeColor="text1"/>
          <w:lang w:eastAsia="hi-IN" w:bidi="hi-IN"/>
        </w:rPr>
        <w:t>.</w:t>
      </w:r>
      <w:r w:rsidR="00F12492">
        <w:rPr>
          <w:rFonts w:ascii="Times New Roman" w:eastAsia="SimSun" w:hAnsi="Times New Roman" w:cs="Calibri"/>
          <w:color w:val="000000" w:themeColor="text1"/>
          <w:lang w:eastAsia="hi-IN" w:bidi="hi-IN"/>
        </w:rPr>
        <w:t xml:space="preserve"> </w:t>
      </w:r>
      <w:r w:rsidR="00F12492" w:rsidRPr="00F12492">
        <w:rPr>
          <w:rFonts w:ascii="Times New Roman" w:eastAsia="SimSun" w:hAnsi="Times New Roman" w:cs="Calibri"/>
          <w:color w:val="000000" w:themeColor="text1"/>
          <w:lang w:eastAsia="hi-IN" w:bidi="hi-IN"/>
        </w:rPr>
        <w:t>gene drive elements spreading by hybridisation</w:t>
      </w:r>
      <w:r w:rsidR="00F30DDA">
        <w:rPr>
          <w:rFonts w:ascii="Times New Roman" w:eastAsia="SimSun" w:hAnsi="Times New Roman" w:cs="Calibri"/>
          <w:color w:val="000000" w:themeColor="text1"/>
          <w:lang w:eastAsia="hi-IN" w:bidi="hi-IN"/>
        </w:rPr>
        <w:t xml:space="preserve"> to sibling species)</w:t>
      </w:r>
      <w:r w:rsidR="004D3E71">
        <w:rPr>
          <w:rFonts w:ascii="Times New Roman" w:eastAsia="SimSun" w:hAnsi="Times New Roman" w:cs="Calibri"/>
          <w:color w:val="000000" w:themeColor="text1"/>
          <w:lang w:eastAsia="hi-IN" w:bidi="hi-IN"/>
        </w:rPr>
        <w:t xml:space="preserve"> </w:t>
      </w:r>
      <w:r w:rsidR="00210A4C" w:rsidRPr="00210A4C">
        <w:rPr>
          <w:rFonts w:ascii="Times New Roman" w:eastAsia="SimSun" w:hAnsi="Times New Roman" w:cs="Calibri"/>
          <w:color w:val="000000" w:themeColor="text1"/>
          <w:lang w:eastAsia="hi-IN" w:bidi="hi-IN"/>
        </w:rPr>
        <w:t>need to be further</w:t>
      </w:r>
      <w:r w:rsidR="00210A4C">
        <w:rPr>
          <w:rFonts w:ascii="Times New Roman" w:eastAsia="SimSun" w:hAnsi="Times New Roman" w:cs="Calibri"/>
          <w:color w:val="000000" w:themeColor="text1"/>
          <w:lang w:eastAsia="hi-IN" w:bidi="hi-IN"/>
        </w:rPr>
        <w:t xml:space="preserve"> </w:t>
      </w:r>
      <w:r w:rsidR="00210A4C" w:rsidRPr="00210A4C">
        <w:rPr>
          <w:rFonts w:ascii="Times New Roman" w:eastAsia="SimSun" w:hAnsi="Times New Roman" w:cs="Calibri"/>
          <w:color w:val="000000" w:themeColor="text1"/>
          <w:lang w:eastAsia="hi-IN" w:bidi="hi-IN"/>
        </w:rPr>
        <w:t>explored</w:t>
      </w:r>
      <w:r w:rsidR="00210A4C">
        <w:rPr>
          <w:rFonts w:ascii="Times New Roman" w:eastAsia="SimSun" w:hAnsi="Times New Roman" w:cs="Calibri"/>
          <w:color w:val="000000" w:themeColor="text1"/>
          <w:lang w:eastAsia="hi-IN" w:bidi="hi-IN"/>
        </w:rPr>
        <w:t xml:space="preserve"> in order to assess </w:t>
      </w:r>
      <w:r w:rsidR="003E1E2C">
        <w:rPr>
          <w:rFonts w:ascii="Times New Roman" w:eastAsia="SimSun" w:hAnsi="Times New Roman" w:cs="Calibri"/>
          <w:color w:val="000000" w:themeColor="text1"/>
          <w:lang w:eastAsia="hi-IN" w:bidi="hi-IN"/>
        </w:rPr>
        <w:t xml:space="preserve">the degree of </w:t>
      </w:r>
      <w:r w:rsidR="00210A4C">
        <w:rPr>
          <w:rFonts w:ascii="Times New Roman" w:eastAsia="SimSun" w:hAnsi="Times New Roman" w:cs="Calibri"/>
          <w:color w:val="000000" w:themeColor="text1"/>
          <w:lang w:eastAsia="hi-IN" w:bidi="hi-IN"/>
        </w:rPr>
        <w:t>potential negative impacts</w:t>
      </w:r>
      <w:r w:rsidR="002B51C2">
        <w:rPr>
          <w:rFonts w:ascii="Times New Roman" w:eastAsia="SimSun" w:hAnsi="Times New Roman" w:cs="Calibri"/>
          <w:color w:val="000000" w:themeColor="text1"/>
          <w:lang w:eastAsia="hi-IN" w:bidi="hi-IN"/>
        </w:rPr>
        <w:t xml:space="preserve"> </w:t>
      </w:r>
      <w:r w:rsidR="00F40A2B">
        <w:rPr>
          <w:rFonts w:ascii="Times New Roman" w:eastAsia="SimSun" w:hAnsi="Times New Roman" w:cs="Calibri"/>
          <w:color w:val="000000" w:themeColor="text1"/>
          <w:lang w:eastAsia="hi-IN" w:bidi="hi-IN"/>
        </w:rPr>
        <w:fldChar w:fldCharType="begin" w:fldLock="1"/>
      </w:r>
      <w:r w:rsidR="00F40A2B">
        <w:rPr>
          <w:rFonts w:ascii="Times New Roman" w:eastAsia="SimSun" w:hAnsi="Times New Roman" w:cs="Calibri"/>
          <w:color w:val="000000" w:themeColor="text1"/>
          <w:lang w:eastAsia="hi-IN" w:bidi="hi-IN"/>
        </w:rPr>
        <w:instrText>ADDIN CSL_CITATION {"citationItems":[{"id":"ITEM-1","itemData":{"DOI":"10.4269/ajtmh.16-0726","ISSN":"0002-9637","author":[{"dropping-particle":"","family":"Roberts","given":"Andrew","non-dropping-particle":"","parse-names":false,"suffix":""},{"dropping-particle":"de","family":"Andrade","given":"Paulo Paes","non-dropping-particle":"","parse-names":false,"suffix":""},{"dropping-particle":"","family":"Okumu","given":"Fredros","non-dropping-particle":"","parse-names":false,"suffix":""},{"dropping-particle":"","family":"Quemada","given":"Hector","non-dropping-particle":"","parse-names":false,"suffix":""},{"dropping-particle":"","family":"Savadogo","given":"Moussa","non-dropping-particle":"","parse-names":false,"suffix":""},{"dropping-particle":"","family":"Singh","given":"Jerome Amir","non-dropping-particle":"","parse-names":false,"suffix":""},{"dropping-particle":"","family":"James","given":"Stephanie","non-dropping-particle":"","parse-names":false,"suffix":""}],"container-title":"The American Journal of Tropical Medicine and Hygiene","id":"ITEM-1","issue":"3","issued":{"date-parts":[["2017","3","8"]]},"page":"530-533","title":"Results from the Workshop “Problem Formulation for the Use of Gene Drive in Mosquitoes”","type":"article-journal","volume":"96"},"uris":["http://www.mendeley.com/documents/?uuid=a6517108-d7a5-46cd-9f2c-29a530761809"]}],"mendeley":{"formattedCitation":"(Roberts et al., 2017)","plainTextFormattedCitation":"(Roberts et al., 2017)","previouslyFormattedCitation":"(Roberts et al., 2017)"},"properties":{"noteIndex":0},"schema":"https://github.com/citation-style-language/schema/raw/master/csl-citation.json"}</w:instrText>
      </w:r>
      <w:r w:rsidR="00F40A2B">
        <w:rPr>
          <w:rFonts w:ascii="Times New Roman" w:eastAsia="SimSun" w:hAnsi="Times New Roman" w:cs="Calibri"/>
          <w:color w:val="000000" w:themeColor="text1"/>
          <w:lang w:eastAsia="hi-IN" w:bidi="hi-IN"/>
        </w:rPr>
        <w:fldChar w:fldCharType="separate"/>
      </w:r>
      <w:r w:rsidR="00F40A2B" w:rsidRPr="00F40A2B">
        <w:rPr>
          <w:rFonts w:ascii="Times New Roman" w:eastAsia="SimSun" w:hAnsi="Times New Roman" w:cs="Calibri"/>
          <w:noProof/>
          <w:color w:val="000000" w:themeColor="text1"/>
          <w:lang w:eastAsia="hi-IN" w:bidi="hi-IN"/>
        </w:rPr>
        <w:t>(Roberts et al., 2017)</w:t>
      </w:r>
      <w:r w:rsidR="00F40A2B">
        <w:rPr>
          <w:rFonts w:ascii="Times New Roman" w:eastAsia="SimSun" w:hAnsi="Times New Roman" w:cs="Calibri"/>
          <w:color w:val="000000" w:themeColor="text1"/>
          <w:lang w:eastAsia="hi-IN" w:bidi="hi-IN"/>
        </w:rPr>
        <w:fldChar w:fldCharType="end"/>
      </w:r>
      <w:r w:rsidR="002B51C2">
        <w:rPr>
          <w:rFonts w:ascii="Times New Roman" w:eastAsia="SimSun" w:hAnsi="Times New Roman" w:cs="Calibri"/>
          <w:color w:val="000000" w:themeColor="text1"/>
          <w:lang w:eastAsia="hi-IN" w:bidi="hi-IN"/>
        </w:rPr>
        <w:t>.</w:t>
      </w:r>
      <w:r w:rsidR="00F12492">
        <w:rPr>
          <w:rFonts w:ascii="Times New Roman" w:eastAsia="SimSun" w:hAnsi="Times New Roman" w:cs="Calibri"/>
          <w:color w:val="000000" w:themeColor="text1"/>
          <w:lang w:eastAsia="hi-IN" w:bidi="hi-IN"/>
        </w:rPr>
        <w:t xml:space="preserve"> </w:t>
      </w:r>
      <w:r w:rsidR="00C000B8" w:rsidRPr="00C000B8">
        <w:rPr>
          <w:rFonts w:ascii="Times New Roman" w:eastAsia="SimSun" w:hAnsi="Times New Roman" w:cs="Calibri"/>
          <w:color w:val="000000" w:themeColor="text1"/>
          <w:lang w:eastAsia="hi-IN" w:bidi="hi-IN"/>
        </w:rPr>
        <w:t xml:space="preserve">For </w:t>
      </w:r>
      <w:r w:rsidR="00C000B8">
        <w:rPr>
          <w:rFonts w:ascii="Times New Roman" w:eastAsia="SimSun" w:hAnsi="Times New Roman" w:cs="Calibri"/>
          <w:color w:val="000000" w:themeColor="text1"/>
          <w:lang w:eastAsia="hi-IN" w:bidi="hi-IN"/>
        </w:rPr>
        <w:t xml:space="preserve">instance, </w:t>
      </w:r>
      <w:r w:rsidR="00C000B8" w:rsidRPr="00C000B8">
        <w:rPr>
          <w:rFonts w:ascii="Times New Roman" w:eastAsia="SimSun" w:hAnsi="Times New Roman" w:cs="Calibri"/>
          <w:color w:val="000000" w:themeColor="text1"/>
          <w:lang w:eastAsia="hi-IN" w:bidi="hi-IN"/>
        </w:rPr>
        <w:t>it is estimated that around 95</w:t>
      </w:r>
      <w:r w:rsidR="003E1E2C">
        <w:rPr>
          <w:rFonts w:ascii="Times New Roman" w:eastAsia="SimSun" w:hAnsi="Times New Roman" w:cs="Calibri"/>
          <w:color w:val="000000" w:themeColor="text1"/>
          <w:lang w:eastAsia="hi-IN" w:bidi="hi-IN"/>
        </w:rPr>
        <w:t xml:space="preserve"> </w:t>
      </w:r>
      <w:r w:rsidR="00C000B8" w:rsidRPr="00C000B8">
        <w:rPr>
          <w:rFonts w:ascii="Times New Roman" w:eastAsia="SimSun" w:hAnsi="Times New Roman" w:cs="Calibri"/>
          <w:color w:val="000000" w:themeColor="text1"/>
          <w:lang w:eastAsia="hi-IN" w:bidi="hi-IN"/>
        </w:rPr>
        <w:t xml:space="preserve">% of larvae </w:t>
      </w:r>
      <w:r w:rsidR="003E1E2C">
        <w:rPr>
          <w:rFonts w:ascii="Times New Roman" w:eastAsia="SimSun" w:hAnsi="Times New Roman" w:cs="Calibri"/>
          <w:color w:val="000000" w:themeColor="text1"/>
          <w:lang w:eastAsia="hi-IN" w:bidi="hi-IN"/>
        </w:rPr>
        <w:t xml:space="preserve">of the </w:t>
      </w:r>
      <w:r w:rsidR="003E1E2C" w:rsidRPr="00C000B8">
        <w:rPr>
          <w:rFonts w:ascii="Times New Roman" w:eastAsia="SimSun" w:hAnsi="Times New Roman" w:cs="Calibri"/>
          <w:color w:val="000000" w:themeColor="text1"/>
          <w:lang w:eastAsia="hi-IN" w:bidi="hi-IN"/>
        </w:rPr>
        <w:t>African malaria mosquito</w:t>
      </w:r>
      <w:r w:rsidR="003E1E2C">
        <w:rPr>
          <w:rFonts w:ascii="Times New Roman" w:eastAsia="SimSun" w:hAnsi="Times New Roman" w:cs="Calibri"/>
          <w:color w:val="000000" w:themeColor="text1"/>
          <w:lang w:eastAsia="hi-IN" w:bidi="hi-IN"/>
        </w:rPr>
        <w:t>,</w:t>
      </w:r>
      <w:r w:rsidR="003E1E2C" w:rsidRPr="00C000B8">
        <w:rPr>
          <w:rFonts w:ascii="Times New Roman" w:eastAsia="SimSun" w:hAnsi="Times New Roman" w:cs="Calibri"/>
          <w:color w:val="000000" w:themeColor="text1"/>
          <w:lang w:eastAsia="hi-IN" w:bidi="hi-IN"/>
        </w:rPr>
        <w:t xml:space="preserve"> </w:t>
      </w:r>
      <w:r w:rsidR="003E1E2C" w:rsidRPr="003E1E2C">
        <w:rPr>
          <w:rFonts w:ascii="Times New Roman" w:eastAsia="SimSun" w:hAnsi="Times New Roman" w:cs="Calibri"/>
          <w:i/>
          <w:iCs/>
          <w:color w:val="000000" w:themeColor="text1"/>
          <w:lang w:eastAsia="hi-IN" w:bidi="hi-IN"/>
        </w:rPr>
        <w:t>A</w:t>
      </w:r>
      <w:r w:rsidR="003E1E2C">
        <w:rPr>
          <w:rFonts w:ascii="Times New Roman" w:eastAsia="SimSun" w:hAnsi="Times New Roman" w:cs="Calibri"/>
          <w:i/>
          <w:iCs/>
          <w:color w:val="000000" w:themeColor="text1"/>
          <w:lang w:eastAsia="hi-IN" w:bidi="hi-IN"/>
        </w:rPr>
        <w:t>.</w:t>
      </w:r>
      <w:r w:rsidR="003E1E2C" w:rsidRPr="003E1E2C">
        <w:rPr>
          <w:rFonts w:ascii="Times New Roman" w:eastAsia="SimSun" w:hAnsi="Times New Roman" w:cs="Calibri"/>
          <w:i/>
          <w:iCs/>
          <w:color w:val="000000" w:themeColor="text1"/>
          <w:lang w:eastAsia="hi-IN" w:bidi="hi-IN"/>
        </w:rPr>
        <w:t xml:space="preserve"> gambiae</w:t>
      </w:r>
      <w:r w:rsidR="003E1E2C">
        <w:rPr>
          <w:rFonts w:ascii="Times New Roman" w:eastAsia="SimSun" w:hAnsi="Times New Roman" w:cs="Calibri"/>
          <w:i/>
          <w:iCs/>
          <w:color w:val="000000" w:themeColor="text1"/>
          <w:lang w:eastAsia="hi-IN" w:bidi="hi-IN"/>
        </w:rPr>
        <w:t>,</w:t>
      </w:r>
      <w:r w:rsidR="003E1E2C" w:rsidRPr="00C000B8">
        <w:rPr>
          <w:rFonts w:ascii="Times New Roman" w:eastAsia="SimSun" w:hAnsi="Times New Roman" w:cs="Calibri"/>
          <w:color w:val="000000" w:themeColor="text1"/>
          <w:lang w:eastAsia="hi-IN" w:bidi="hi-IN"/>
        </w:rPr>
        <w:t xml:space="preserve"> </w:t>
      </w:r>
      <w:r w:rsidR="00C000B8" w:rsidRPr="00C000B8">
        <w:rPr>
          <w:rFonts w:ascii="Times New Roman" w:eastAsia="SimSun" w:hAnsi="Times New Roman" w:cs="Calibri"/>
          <w:color w:val="000000" w:themeColor="text1"/>
          <w:lang w:eastAsia="hi-IN" w:bidi="hi-IN"/>
        </w:rPr>
        <w:t>are con</w:t>
      </w:r>
      <w:r w:rsidR="0088778E" w:rsidRPr="0088778E">
        <w:rPr>
          <w:rFonts w:ascii="Times New Roman" w:eastAsia="SimSun" w:hAnsi="Times New Roman" w:cs="Calibri"/>
          <w:color w:val="000000" w:themeColor="text1"/>
          <w:lang w:eastAsia="hi-IN" w:bidi="hi-IN"/>
        </w:rPr>
        <w:t xml:space="preserve">sumed before reaching adulthood </w:t>
      </w:r>
      <w:r w:rsidR="00F40A2B">
        <w:rPr>
          <w:rFonts w:ascii="Times New Roman" w:eastAsia="SimSun" w:hAnsi="Times New Roman" w:cs="Calibri"/>
          <w:color w:val="000000" w:themeColor="text1"/>
          <w:lang w:eastAsia="hi-IN" w:bidi="hi-IN"/>
        </w:rPr>
        <w:fldChar w:fldCharType="begin" w:fldLock="1"/>
      </w:r>
      <w:r w:rsidR="00F40A2B">
        <w:rPr>
          <w:rFonts w:ascii="Times New Roman" w:eastAsia="SimSun" w:hAnsi="Times New Roman" w:cs="Calibri"/>
          <w:color w:val="000000" w:themeColor="text1"/>
          <w:lang w:eastAsia="hi-IN" w:bidi="hi-IN"/>
        </w:rPr>
        <w:instrText>ADDIN CSL_CITATION {"citationItems":[{"id":"ITEM-1","itemData":{"DOI":"10.1111/mve.12327","ISSN":"0269283X","author":[{"dropping-particle":"","family":"Collins","given":"C. M.","non-dropping-particle":"","parse-names":false,"suffix":""},{"dropping-particle":"","family":"Bonds","given":"J. A. S.","non-dropping-particle":"","parse-names":false,"suffix":""},{"dropping-particle":"","family":"Quinlan","given":"M. M.","non-dropping-particle":"","parse-names":false,"suffix":""},{"dropping-particle":"","family":"Mumford","given":"J. D.","non-dropping-particle":"","parse-names":false,"suffix":""}],"container-title":"Medical and Veterinary Entomology","id":"ITEM-1","issue":"1","issued":{"date-parts":[["2019","3"]]},"page":"1-15","title":"Effects of the removal or reduction in density of the malaria mosquito, Anopheles gambiae s.l ., on interacting predators and competitors in local ecosystems","type":"article-journal","volume":"33"},"uris":["http://www.mendeley.com/documents/?uuid=fc547100-c1a0-400e-b9d6-73d257ef47c2"]}],"mendeley":{"formattedCitation":"(Collins et al., 2019)","plainTextFormattedCitation":"(Collins et al., 2019)","previouslyFormattedCitation":"(Collins et al., 2019)"},"properties":{"noteIndex":0},"schema":"https://github.com/citation-style-language/schema/raw/master/csl-citation.json"}</w:instrText>
      </w:r>
      <w:r w:rsidR="00F40A2B">
        <w:rPr>
          <w:rFonts w:ascii="Times New Roman" w:eastAsia="SimSun" w:hAnsi="Times New Roman" w:cs="Calibri"/>
          <w:color w:val="000000" w:themeColor="text1"/>
          <w:lang w:eastAsia="hi-IN" w:bidi="hi-IN"/>
        </w:rPr>
        <w:fldChar w:fldCharType="separate"/>
      </w:r>
      <w:r w:rsidR="00F40A2B" w:rsidRPr="00F40A2B">
        <w:rPr>
          <w:rFonts w:ascii="Times New Roman" w:eastAsia="SimSun" w:hAnsi="Times New Roman" w:cs="Calibri"/>
          <w:noProof/>
          <w:color w:val="000000" w:themeColor="text1"/>
          <w:lang w:eastAsia="hi-IN" w:bidi="hi-IN"/>
        </w:rPr>
        <w:t>(Collins et al., 2019)</w:t>
      </w:r>
      <w:r w:rsidR="00F40A2B">
        <w:rPr>
          <w:rFonts w:ascii="Times New Roman" w:eastAsia="SimSun" w:hAnsi="Times New Roman" w:cs="Calibri"/>
          <w:color w:val="000000" w:themeColor="text1"/>
          <w:lang w:eastAsia="hi-IN" w:bidi="hi-IN"/>
        </w:rPr>
        <w:fldChar w:fldCharType="end"/>
      </w:r>
      <w:r w:rsidR="0088778E" w:rsidRPr="0088778E">
        <w:rPr>
          <w:rFonts w:ascii="Times New Roman" w:eastAsia="SimSun" w:hAnsi="Times New Roman" w:cs="Calibri"/>
          <w:color w:val="000000" w:themeColor="text1"/>
          <w:lang w:eastAsia="hi-IN" w:bidi="hi-IN"/>
        </w:rPr>
        <w:t xml:space="preserve">, implying that this stage </w:t>
      </w:r>
      <w:r w:rsidR="00254B1D">
        <w:rPr>
          <w:rFonts w:ascii="Times New Roman" w:eastAsia="SimSun" w:hAnsi="Times New Roman" w:cs="Calibri"/>
          <w:color w:val="000000" w:themeColor="text1"/>
          <w:lang w:eastAsia="hi-IN" w:bidi="hi-IN"/>
        </w:rPr>
        <w:t>of the mosquito life cycle</w:t>
      </w:r>
      <w:r w:rsidR="0088778E" w:rsidRPr="0088778E">
        <w:rPr>
          <w:rFonts w:ascii="Times New Roman" w:eastAsia="SimSun" w:hAnsi="Times New Roman" w:cs="Calibri"/>
          <w:color w:val="000000" w:themeColor="text1"/>
          <w:lang w:eastAsia="hi-IN" w:bidi="hi-IN"/>
        </w:rPr>
        <w:t xml:space="preserve"> makes the largest contribution to the food chai</w:t>
      </w:r>
      <w:r w:rsidR="00697BC5">
        <w:rPr>
          <w:rFonts w:ascii="Times New Roman" w:eastAsia="SimSun" w:hAnsi="Times New Roman" w:cs="Calibri"/>
          <w:color w:val="000000" w:themeColor="text1"/>
          <w:lang w:eastAsia="hi-IN" w:bidi="hi-IN"/>
        </w:rPr>
        <w:t>n</w:t>
      </w:r>
      <w:r w:rsidR="00254B1D">
        <w:rPr>
          <w:rFonts w:ascii="Times New Roman" w:eastAsia="SimSun" w:hAnsi="Times New Roman" w:cs="Calibri"/>
          <w:color w:val="000000" w:themeColor="text1"/>
          <w:lang w:eastAsia="hi-IN" w:bidi="hi-IN"/>
        </w:rPr>
        <w:t>. Thus</w:t>
      </w:r>
      <w:r w:rsidR="00697BC5">
        <w:rPr>
          <w:rFonts w:ascii="Times New Roman" w:eastAsia="SimSun" w:hAnsi="Times New Roman" w:cs="Calibri"/>
          <w:color w:val="000000" w:themeColor="text1"/>
          <w:lang w:eastAsia="hi-IN" w:bidi="hi-IN"/>
        </w:rPr>
        <w:t xml:space="preserve">, </w:t>
      </w:r>
      <w:r w:rsidR="00F2647F">
        <w:rPr>
          <w:rFonts w:ascii="Times New Roman" w:eastAsia="SimSun" w:hAnsi="Times New Roman" w:cs="Calibri"/>
          <w:color w:val="000000" w:themeColor="text1"/>
          <w:lang w:eastAsia="hi-IN" w:bidi="hi-IN"/>
        </w:rPr>
        <w:t>although</w:t>
      </w:r>
      <w:r w:rsidR="00697BC5" w:rsidRPr="00697BC5">
        <w:rPr>
          <w:rFonts w:ascii="Times New Roman" w:eastAsia="SimSun" w:hAnsi="Times New Roman" w:cs="Calibri"/>
          <w:color w:val="000000" w:themeColor="text1"/>
          <w:lang w:eastAsia="hi-IN" w:bidi="hi-IN"/>
        </w:rPr>
        <w:t xml:space="preserve"> many predators of </w:t>
      </w:r>
      <w:r w:rsidR="00F2647F">
        <w:rPr>
          <w:rFonts w:ascii="Times New Roman" w:eastAsia="SimSun" w:hAnsi="Times New Roman" w:cs="Calibri"/>
          <w:color w:val="000000" w:themeColor="text1"/>
          <w:lang w:eastAsia="hi-IN" w:bidi="hi-IN"/>
        </w:rPr>
        <w:t xml:space="preserve">mosquito </w:t>
      </w:r>
      <w:r w:rsidR="00697BC5" w:rsidRPr="00697BC5">
        <w:rPr>
          <w:rFonts w:ascii="Times New Roman" w:eastAsia="SimSun" w:hAnsi="Times New Roman" w:cs="Calibri"/>
          <w:color w:val="000000" w:themeColor="text1"/>
          <w:lang w:eastAsia="hi-IN" w:bidi="hi-IN"/>
        </w:rPr>
        <w:t>larvae and adult</w:t>
      </w:r>
      <w:r w:rsidR="00F2647F">
        <w:rPr>
          <w:rFonts w:ascii="Times New Roman" w:eastAsia="SimSun" w:hAnsi="Times New Roman" w:cs="Calibri"/>
          <w:color w:val="000000" w:themeColor="text1"/>
          <w:lang w:eastAsia="hi-IN" w:bidi="hi-IN"/>
        </w:rPr>
        <w:t>s may be polyphagous</w:t>
      </w:r>
      <w:r w:rsidR="00697BC5" w:rsidRPr="00697BC5">
        <w:rPr>
          <w:rFonts w:ascii="Times New Roman" w:eastAsia="SimSun" w:hAnsi="Times New Roman" w:cs="Calibri"/>
          <w:color w:val="000000" w:themeColor="text1"/>
          <w:lang w:eastAsia="hi-IN" w:bidi="hi-IN"/>
        </w:rPr>
        <w:t xml:space="preserve"> </w:t>
      </w:r>
      <w:r w:rsidR="00F2647F">
        <w:rPr>
          <w:rFonts w:ascii="Times New Roman" w:eastAsia="SimSun" w:hAnsi="Times New Roman" w:cs="Calibri"/>
          <w:color w:val="000000" w:themeColor="text1"/>
          <w:lang w:eastAsia="hi-IN" w:bidi="hi-IN"/>
        </w:rPr>
        <w:t xml:space="preserve">i.e. </w:t>
      </w:r>
      <w:r w:rsidR="00697BC5" w:rsidRPr="00697BC5">
        <w:rPr>
          <w:rFonts w:ascii="Times New Roman" w:eastAsia="SimSun" w:hAnsi="Times New Roman" w:cs="Calibri"/>
          <w:color w:val="000000" w:themeColor="text1"/>
          <w:lang w:eastAsia="hi-IN" w:bidi="hi-IN"/>
        </w:rPr>
        <w:t xml:space="preserve"> </w:t>
      </w:r>
      <w:r w:rsidR="00F2647F">
        <w:rPr>
          <w:rFonts w:ascii="Times New Roman" w:eastAsia="SimSun" w:hAnsi="Times New Roman" w:cs="Calibri"/>
          <w:color w:val="000000" w:themeColor="text1"/>
          <w:lang w:eastAsia="hi-IN" w:bidi="hi-IN"/>
        </w:rPr>
        <w:t>they</w:t>
      </w:r>
      <w:r w:rsidR="00697BC5" w:rsidRPr="00697BC5">
        <w:rPr>
          <w:rFonts w:ascii="Times New Roman" w:eastAsia="SimSun" w:hAnsi="Times New Roman" w:cs="Calibri"/>
          <w:color w:val="000000" w:themeColor="text1"/>
          <w:lang w:eastAsia="hi-IN" w:bidi="hi-IN"/>
        </w:rPr>
        <w:t xml:space="preserve"> consume a variety of prey, there are species that specialise in hunting mosquitoes</w:t>
      </w:r>
      <w:r w:rsidR="00697BC5">
        <w:rPr>
          <w:rFonts w:ascii="Times New Roman" w:eastAsia="SimSun" w:hAnsi="Times New Roman" w:cs="Calibri"/>
          <w:color w:val="000000" w:themeColor="text1"/>
          <w:lang w:eastAsia="hi-IN" w:bidi="hi-IN"/>
        </w:rPr>
        <w:t xml:space="preserve"> (e</w:t>
      </w:r>
      <w:r w:rsidR="00AE6A31">
        <w:rPr>
          <w:rFonts w:ascii="Times New Roman" w:eastAsia="SimSun" w:hAnsi="Times New Roman" w:cs="Calibri"/>
          <w:color w:val="000000" w:themeColor="text1"/>
          <w:lang w:eastAsia="hi-IN" w:bidi="hi-IN"/>
        </w:rPr>
        <w:t>.g</w:t>
      </w:r>
      <w:r w:rsidR="003E1E2C">
        <w:rPr>
          <w:rFonts w:ascii="Times New Roman" w:eastAsia="SimSun" w:hAnsi="Times New Roman" w:cs="Calibri"/>
          <w:color w:val="000000" w:themeColor="text1"/>
          <w:lang w:eastAsia="hi-IN" w:bidi="hi-IN"/>
        </w:rPr>
        <w:t>.</w:t>
      </w:r>
      <w:r w:rsidR="00697BC5">
        <w:rPr>
          <w:rFonts w:ascii="Times New Roman" w:eastAsia="SimSun" w:hAnsi="Times New Roman" w:cs="Calibri"/>
          <w:color w:val="000000" w:themeColor="text1"/>
          <w:lang w:eastAsia="hi-IN" w:bidi="hi-IN"/>
        </w:rPr>
        <w:t xml:space="preserve"> </w:t>
      </w:r>
      <w:r w:rsidR="00697BC5" w:rsidRPr="003E1E2C">
        <w:rPr>
          <w:rFonts w:ascii="Times New Roman" w:eastAsia="SimSun" w:hAnsi="Times New Roman" w:cs="Calibri"/>
          <w:i/>
          <w:color w:val="000000" w:themeColor="text1"/>
          <w:lang w:eastAsia="hi-IN" w:bidi="hi-IN"/>
        </w:rPr>
        <w:t>Evarcha culicivora</w:t>
      </w:r>
      <w:r w:rsidR="00697BC5" w:rsidRPr="00697BC5">
        <w:rPr>
          <w:rFonts w:ascii="Times New Roman" w:eastAsia="SimSun" w:hAnsi="Times New Roman" w:cs="Calibri"/>
          <w:color w:val="000000" w:themeColor="text1"/>
          <w:lang w:eastAsia="hi-IN" w:bidi="hi-IN"/>
        </w:rPr>
        <w:t>, an East African spider</w:t>
      </w:r>
      <w:r w:rsidR="00F774AF">
        <w:rPr>
          <w:rFonts w:ascii="Times New Roman" w:eastAsia="SimSun" w:hAnsi="Times New Roman" w:cs="Calibri"/>
          <w:color w:val="000000" w:themeColor="text1"/>
          <w:lang w:eastAsia="hi-IN" w:bidi="hi-IN"/>
        </w:rPr>
        <w:t>;</w:t>
      </w:r>
      <w:r w:rsidR="00F774AF" w:rsidRPr="00697BC5">
        <w:rPr>
          <w:rFonts w:ascii="Times New Roman" w:eastAsia="SimSun" w:hAnsi="Times New Roman" w:cs="Calibri"/>
          <w:color w:val="000000" w:themeColor="text1"/>
          <w:lang w:eastAsia="hi-IN" w:bidi="hi-IN"/>
        </w:rPr>
        <w:t xml:space="preserve"> </w:t>
      </w:r>
      <w:r w:rsidR="00F40A2B">
        <w:rPr>
          <w:rFonts w:ascii="Times New Roman" w:eastAsia="SimSun" w:hAnsi="Times New Roman" w:cs="Calibri"/>
          <w:color w:val="000000" w:themeColor="text1"/>
          <w:lang w:eastAsia="hi-IN" w:bidi="hi-IN"/>
        </w:rPr>
        <w:fldChar w:fldCharType="begin" w:fldLock="1"/>
      </w:r>
      <w:r w:rsidR="00F774AF">
        <w:rPr>
          <w:rFonts w:ascii="Times New Roman" w:eastAsia="SimSun" w:hAnsi="Times New Roman" w:cs="Calibri"/>
          <w:color w:val="000000" w:themeColor="text1"/>
          <w:lang w:eastAsia="hi-IN" w:bidi="hi-IN"/>
        </w:rPr>
        <w:instrText>ADDIN CSL_CITATION {"citationItems":[{"id":"ITEM-1","itemData":{"ISSN":"0003-4541","author":[{"dropping-particle":"","family":"Wesolowska","given":"W","non-dropping-particle":"","parse-names":false,"suffix":""},{"dropping-particle":"","family":"Jackson","given":"Ronald","non-dropping-particle":"","parse-names":false,"suffix":""}],"container-title":"Annales Zoologici","id":"ITEM-1","issued":{"date-parts":[["2003"]]},"page":"2","title":"Evarcha culicivora sp.nov., a mosquito-eating jumping spider from East Africa [Araneae: Salticidae]","type":"article-journal","volume":"53"},"uris":["http://www.mendeley.com/documents/?uuid=a7beb511-8b14-4f15-97d6-39e7c9699de4"]}],"mendeley":{"formattedCitation":"(Wesolowska &amp; Jackson, 2003)","manualFormatting":"Wesolowska &amp; Jackson, 2003)","plainTextFormattedCitation":"(Wesolowska &amp; Jackson, 2003)","previouslyFormattedCitation":"(Wesolowska &amp; Jackson, 2003)"},"properties":{"noteIndex":0},"schema":"https://github.com/citation-style-language/schema/raw/master/csl-citation.json"}</w:instrText>
      </w:r>
      <w:r w:rsidR="00F40A2B">
        <w:rPr>
          <w:rFonts w:ascii="Times New Roman" w:eastAsia="SimSun" w:hAnsi="Times New Roman" w:cs="Calibri"/>
          <w:color w:val="000000" w:themeColor="text1"/>
          <w:lang w:eastAsia="hi-IN" w:bidi="hi-IN"/>
        </w:rPr>
        <w:fldChar w:fldCharType="separate"/>
      </w:r>
      <w:r w:rsidR="00F774AF" w:rsidRPr="00F774AF">
        <w:rPr>
          <w:rFonts w:ascii="Times New Roman" w:eastAsia="SimSun" w:hAnsi="Times New Roman" w:cs="Calibri"/>
          <w:noProof/>
          <w:color w:val="000000" w:themeColor="text1"/>
          <w:lang w:eastAsia="hi-IN" w:bidi="hi-IN"/>
        </w:rPr>
        <w:t>Wesolowska &amp; Jackson, 2003)</w:t>
      </w:r>
      <w:r w:rsidR="00F40A2B">
        <w:rPr>
          <w:rFonts w:ascii="Times New Roman" w:eastAsia="SimSun" w:hAnsi="Times New Roman" w:cs="Calibri"/>
          <w:color w:val="000000" w:themeColor="text1"/>
          <w:lang w:eastAsia="hi-IN" w:bidi="hi-IN"/>
        </w:rPr>
        <w:fldChar w:fldCharType="end"/>
      </w:r>
      <w:r w:rsidR="002F33EB">
        <w:rPr>
          <w:rFonts w:ascii="Times New Roman" w:eastAsia="SimSun" w:hAnsi="Times New Roman" w:cs="Calibri"/>
          <w:color w:val="000000" w:themeColor="text1"/>
          <w:lang w:eastAsia="hi-IN" w:bidi="hi-IN"/>
        </w:rPr>
        <w:t xml:space="preserve"> and </w:t>
      </w:r>
      <w:r w:rsidR="00F2647F">
        <w:rPr>
          <w:rFonts w:ascii="Times New Roman" w:eastAsia="SimSun" w:hAnsi="Times New Roman" w:cs="Calibri"/>
          <w:color w:val="000000" w:themeColor="text1"/>
          <w:lang w:eastAsia="hi-IN" w:bidi="hi-IN"/>
        </w:rPr>
        <w:t xml:space="preserve">as such, </w:t>
      </w:r>
      <w:r w:rsidR="008D57C6">
        <w:rPr>
          <w:rFonts w:ascii="Times New Roman" w:eastAsia="SimSun" w:hAnsi="Times New Roman" w:cs="Calibri"/>
          <w:color w:val="000000" w:themeColor="text1"/>
          <w:lang w:eastAsia="hi-IN" w:bidi="hi-IN"/>
        </w:rPr>
        <w:t>may</w:t>
      </w:r>
      <w:r w:rsidR="002F33EB">
        <w:rPr>
          <w:rFonts w:ascii="Times New Roman" w:eastAsia="SimSun" w:hAnsi="Times New Roman" w:cs="Calibri"/>
          <w:color w:val="000000" w:themeColor="text1"/>
          <w:lang w:eastAsia="hi-IN" w:bidi="hi-IN"/>
        </w:rPr>
        <w:t xml:space="preserve"> be </w:t>
      </w:r>
      <w:r w:rsidR="00F2647F">
        <w:rPr>
          <w:rFonts w:ascii="Times New Roman" w:eastAsia="SimSun" w:hAnsi="Times New Roman" w:cs="Calibri"/>
          <w:color w:val="000000" w:themeColor="text1"/>
          <w:lang w:eastAsia="hi-IN" w:bidi="hi-IN"/>
        </w:rPr>
        <w:t xml:space="preserve">significantly </w:t>
      </w:r>
      <w:r w:rsidR="002F33EB">
        <w:rPr>
          <w:rFonts w:ascii="Times New Roman" w:eastAsia="SimSun" w:hAnsi="Times New Roman" w:cs="Calibri"/>
          <w:color w:val="000000" w:themeColor="text1"/>
          <w:lang w:eastAsia="hi-IN" w:bidi="hi-IN"/>
        </w:rPr>
        <w:t xml:space="preserve">impacted </w:t>
      </w:r>
      <w:r w:rsidR="00F2647F">
        <w:rPr>
          <w:rFonts w:ascii="Times New Roman" w:eastAsia="SimSun" w:hAnsi="Times New Roman" w:cs="Calibri"/>
          <w:color w:val="000000" w:themeColor="text1"/>
          <w:lang w:eastAsia="hi-IN" w:bidi="hi-IN"/>
        </w:rPr>
        <w:t>by</w:t>
      </w:r>
      <w:r w:rsidR="002F33EB">
        <w:rPr>
          <w:rFonts w:ascii="Times New Roman" w:eastAsia="SimSun" w:hAnsi="Times New Roman" w:cs="Calibri"/>
          <w:color w:val="000000" w:themeColor="text1"/>
          <w:lang w:eastAsia="hi-IN" w:bidi="hi-IN"/>
        </w:rPr>
        <w:t xml:space="preserve"> the reduction in availability of their prey</w:t>
      </w:r>
      <w:r w:rsidR="00697BC5" w:rsidRPr="00697BC5">
        <w:rPr>
          <w:rFonts w:ascii="Times New Roman" w:eastAsia="SimSun" w:hAnsi="Times New Roman" w:cs="Calibri"/>
          <w:color w:val="000000" w:themeColor="text1"/>
          <w:lang w:eastAsia="hi-IN" w:bidi="hi-IN"/>
        </w:rPr>
        <w:t>.</w:t>
      </w:r>
      <w:r w:rsidR="001A05E2" w:rsidRPr="001A05E2">
        <w:t xml:space="preserve"> </w:t>
      </w:r>
      <w:r w:rsidR="001A05E2" w:rsidRPr="001A05E2">
        <w:rPr>
          <w:rFonts w:ascii="Times New Roman" w:eastAsia="SimSun" w:hAnsi="Times New Roman" w:cs="Calibri"/>
          <w:color w:val="000000" w:themeColor="text1"/>
          <w:lang w:eastAsia="hi-IN" w:bidi="hi-IN"/>
        </w:rPr>
        <w:t>Whether many more such highly specialised predators exist remains an open question</w:t>
      </w:r>
      <w:r w:rsidR="00A51090">
        <w:rPr>
          <w:rFonts w:ascii="Times New Roman" w:eastAsia="SimSun" w:hAnsi="Times New Roman" w:cs="Calibri"/>
          <w:color w:val="000000" w:themeColor="text1"/>
          <w:lang w:eastAsia="hi-IN" w:bidi="hi-IN"/>
        </w:rPr>
        <w:t>.</w:t>
      </w:r>
      <w:r w:rsidR="00697BC5" w:rsidRPr="00697BC5">
        <w:rPr>
          <w:rFonts w:ascii="Times New Roman" w:eastAsia="SimSun" w:hAnsi="Times New Roman" w:cs="Calibri"/>
          <w:color w:val="000000" w:themeColor="text1"/>
          <w:lang w:eastAsia="hi-IN" w:bidi="hi-IN"/>
        </w:rPr>
        <w:t xml:space="preserve"> </w:t>
      </w:r>
      <w:r w:rsidR="004F3991">
        <w:rPr>
          <w:rFonts w:ascii="Times New Roman" w:eastAsia="SimSun" w:hAnsi="Times New Roman" w:cs="Calibri"/>
          <w:color w:val="000000" w:themeColor="text1"/>
          <w:lang w:eastAsia="hi-IN" w:bidi="hi-IN"/>
        </w:rPr>
        <w:t xml:space="preserve">Similar mosquito dependency by other </w:t>
      </w:r>
      <w:r w:rsidR="003B230A">
        <w:rPr>
          <w:rFonts w:ascii="Times New Roman" w:eastAsia="SimSun" w:hAnsi="Times New Roman" w:cs="Calibri"/>
          <w:color w:val="000000" w:themeColor="text1"/>
          <w:lang w:eastAsia="hi-IN" w:bidi="hi-IN"/>
        </w:rPr>
        <w:t>such specialised predators requires further investigation</w:t>
      </w:r>
      <w:r w:rsidR="008F2416">
        <w:rPr>
          <w:rFonts w:ascii="Times New Roman" w:eastAsia="SimSun" w:hAnsi="Times New Roman" w:cs="Calibri"/>
          <w:color w:val="000000" w:themeColor="text1"/>
          <w:lang w:eastAsia="hi-IN" w:bidi="hi-IN"/>
        </w:rPr>
        <w:t xml:space="preserve"> </w:t>
      </w:r>
      <w:r w:rsidR="008F2416">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{"citationItems":[{"id":"ITEM-1","itemData":{"author":[{"dropping-particle":"","family":"Critical Scientists Switzerland","given":"","non-dropping-particle":"","parse-names":false,"suffix":""},{"dropping-particle":"","family":"European Network of Scientists for Social and Environmental Responsibility","given":"","non-dropping-particle":"","parse-names":false,"suffix":""},{"dropping-particle":"","family":"Vereinigung Deutscher Wissenschaftler","given":"","non-dropping-particle":"","parse-names":false,"suffix":""}],"id":"ITEM-1","issued":{"date-parts":[["2019"]]},"number-of-pages":"338","publisher-place":"Bern, Switzerland","title":"Gene Drives. A report on their science, applications, social aspects, ethics and regulations","type":"report"},"uris":["http://www.mendeley.com/documents/?uuid=a007ea15-289c-43b0-a213-5831060e3469"]}],"mendeley":{"formattedCitation":"(Critical Scientists Switzerland et al., 2019b)","plainTextFormattedCitation":"(Critical Scientists Switzerland et al., 2019b)","previouslyFormattedCitation":"(Critical Scientists Switzerland et al., 2019b)"},"properties":{"noteIndex":0},"schema":"https://github.com/citation-style-language/schema/raw/master/csl-citation.json"}</w:instrText>
      </w:r>
      <w:r w:rsidR="008F2416">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(Critical Scientists Switzerland et al., 2019)</w:t>
      </w:r>
      <w:r w:rsidR="008F2416">
        <w:rPr>
          <w:rFonts w:ascii="Times New Roman" w:eastAsia="SimSun" w:hAnsi="Times New Roman" w:cs="Calibri"/>
          <w:color w:val="000000" w:themeColor="text1"/>
          <w:lang w:eastAsia="hi-IN" w:bidi="hi-IN"/>
        </w:rPr>
        <w:fldChar w:fldCharType="end"/>
      </w:r>
      <w:r w:rsidR="00EA3BE9">
        <w:rPr>
          <w:rFonts w:ascii="Times New Roman" w:eastAsia="SimSun" w:hAnsi="Times New Roman" w:cs="Calibri"/>
          <w:color w:val="000000" w:themeColor="text1"/>
          <w:lang w:eastAsia="hi-IN" w:bidi="hi-IN"/>
        </w:rPr>
        <w:t xml:space="preserve"> </w:t>
      </w:r>
      <w:r w:rsidR="00CF206C" w:rsidRPr="00CF206C">
        <w:rPr>
          <w:rFonts w:ascii="Times New Roman" w:eastAsia="SimSun" w:hAnsi="Times New Roman" w:cs="Calibri"/>
          <w:color w:val="000000" w:themeColor="text1"/>
          <w:lang w:eastAsia="hi-IN" w:bidi="hi-IN"/>
        </w:rPr>
        <w:t>.</w:t>
      </w:r>
      <w:r w:rsidR="0031208D">
        <w:rPr>
          <w:rFonts w:ascii="Times New Roman" w:eastAsia="SimSun" w:hAnsi="Times New Roman" w:cs="Calibri"/>
          <w:color w:val="000000" w:themeColor="text1"/>
          <w:lang w:eastAsia="hi-IN" w:bidi="hi-IN"/>
        </w:rPr>
        <w:t xml:space="preserve"> </w:t>
      </w:r>
      <w:r w:rsidR="003B230A">
        <w:rPr>
          <w:rFonts w:ascii="Times New Roman" w:eastAsia="SimSun" w:hAnsi="Times New Roman" w:cs="Calibri"/>
          <w:color w:val="000000" w:themeColor="text1"/>
          <w:lang w:eastAsia="hi-IN" w:bidi="hi-IN"/>
        </w:rPr>
        <w:t>Further</w:t>
      </w:r>
      <w:r w:rsidR="0031208D">
        <w:rPr>
          <w:rFonts w:ascii="Times New Roman" w:eastAsia="SimSun" w:hAnsi="Times New Roman" w:cs="Calibri"/>
          <w:color w:val="000000" w:themeColor="text1"/>
          <w:lang w:eastAsia="hi-IN" w:bidi="hi-IN"/>
        </w:rPr>
        <w:t>, a</w:t>
      </w:r>
      <w:r w:rsidR="008D0C12" w:rsidRPr="000864D8">
        <w:rPr>
          <w:rFonts w:ascii="Times New Roman" w:eastAsia="SimSun" w:hAnsi="Times New Roman" w:cs="Calibri"/>
          <w:color w:val="000000" w:themeColor="text1"/>
          <w:lang w:eastAsia="hi-IN" w:bidi="hi-IN"/>
        </w:rPr>
        <w:t>lthough not specific</w:t>
      </w:r>
      <w:r w:rsidR="008D0C12">
        <w:rPr>
          <w:rFonts w:ascii="Times New Roman" w:eastAsia="SimSun" w:hAnsi="Times New Roman" w:cs="Calibri"/>
          <w:color w:val="000000" w:themeColor="text1"/>
          <w:lang w:eastAsia="hi-IN" w:bidi="hi-IN"/>
        </w:rPr>
        <w:t xml:space="preserve"> </w:t>
      </w:r>
      <w:r w:rsidR="008D0C12" w:rsidRPr="000864D8">
        <w:rPr>
          <w:rFonts w:ascii="Times New Roman" w:eastAsia="SimSun" w:hAnsi="Times New Roman" w:cs="Calibri"/>
          <w:color w:val="000000" w:themeColor="text1"/>
          <w:lang w:eastAsia="hi-IN" w:bidi="hi-IN"/>
        </w:rPr>
        <w:t>to</w:t>
      </w:r>
      <w:r w:rsidR="008D0C12">
        <w:rPr>
          <w:rFonts w:ascii="Times New Roman" w:eastAsia="SimSun" w:hAnsi="Times New Roman" w:cs="Calibri"/>
          <w:color w:val="000000" w:themeColor="text1"/>
          <w:lang w:eastAsia="hi-IN" w:bidi="hi-IN"/>
        </w:rPr>
        <w:t xml:space="preserve"> </w:t>
      </w:r>
      <w:r w:rsidR="00EE72EB">
        <w:rPr>
          <w:rFonts w:ascii="Times New Roman" w:eastAsia="SimSun" w:hAnsi="Times New Roman" w:cs="Calibri"/>
          <w:color w:val="000000" w:themeColor="text1"/>
          <w:lang w:eastAsia="hi-IN" w:bidi="hi-IN"/>
        </w:rPr>
        <w:t>synthetic biology approach</w:t>
      </w:r>
      <w:r w:rsidR="003B230A">
        <w:rPr>
          <w:rFonts w:ascii="Times New Roman" w:eastAsia="SimSun" w:hAnsi="Times New Roman" w:cs="Calibri"/>
          <w:color w:val="000000" w:themeColor="text1"/>
          <w:lang w:eastAsia="hi-IN" w:bidi="hi-IN"/>
        </w:rPr>
        <w:t>es</w:t>
      </w:r>
      <w:r w:rsidR="00EE72EB">
        <w:rPr>
          <w:rFonts w:ascii="Times New Roman" w:eastAsia="SimSun" w:hAnsi="Times New Roman" w:cs="Calibri"/>
          <w:color w:val="000000" w:themeColor="text1"/>
          <w:lang w:eastAsia="hi-IN" w:bidi="hi-IN"/>
        </w:rPr>
        <w:t>,</w:t>
      </w:r>
      <w:r w:rsidR="008D0C12" w:rsidRPr="000864D8">
        <w:rPr>
          <w:rFonts w:ascii="Times New Roman" w:eastAsia="SimSun" w:hAnsi="Times New Roman" w:cs="Calibri"/>
          <w:color w:val="000000" w:themeColor="text1"/>
          <w:lang w:eastAsia="hi-IN" w:bidi="hi-IN"/>
        </w:rPr>
        <w:t xml:space="preserve"> </w:t>
      </w:r>
      <w:r w:rsidR="00EE72EB">
        <w:rPr>
          <w:rFonts w:ascii="Times New Roman" w:eastAsia="SimSun" w:hAnsi="Times New Roman" w:cs="Calibri"/>
          <w:color w:val="000000" w:themeColor="text1"/>
          <w:lang w:eastAsia="hi-IN" w:bidi="hi-IN"/>
        </w:rPr>
        <w:t>t</w:t>
      </w:r>
      <w:r w:rsidR="000864D8" w:rsidRPr="000864D8">
        <w:rPr>
          <w:rFonts w:ascii="Times New Roman" w:eastAsia="SimSun" w:hAnsi="Times New Roman" w:cs="Calibri"/>
          <w:color w:val="000000" w:themeColor="text1"/>
          <w:lang w:eastAsia="hi-IN" w:bidi="hi-IN"/>
        </w:rPr>
        <w:t>he reduction or elimination of human malaria</w:t>
      </w:r>
      <w:r w:rsidR="000864D8">
        <w:rPr>
          <w:rFonts w:ascii="Times New Roman" w:eastAsia="SimSun" w:hAnsi="Times New Roman" w:cs="Calibri"/>
          <w:color w:val="000000" w:themeColor="text1"/>
          <w:lang w:eastAsia="hi-IN" w:bidi="hi-IN"/>
        </w:rPr>
        <w:t xml:space="preserve"> </w:t>
      </w:r>
      <w:r w:rsidR="003B230A">
        <w:rPr>
          <w:rFonts w:ascii="Times New Roman" w:eastAsia="SimSun" w:hAnsi="Times New Roman" w:cs="Calibri"/>
          <w:color w:val="000000" w:themeColor="text1"/>
          <w:lang w:eastAsia="hi-IN" w:bidi="hi-IN"/>
        </w:rPr>
        <w:t>from geographical areas may</w:t>
      </w:r>
      <w:r w:rsidR="000864D8" w:rsidRPr="000864D8">
        <w:rPr>
          <w:rFonts w:ascii="Times New Roman" w:eastAsia="SimSun" w:hAnsi="Times New Roman" w:cs="Calibri"/>
          <w:color w:val="000000" w:themeColor="text1"/>
          <w:lang w:eastAsia="hi-IN" w:bidi="hi-IN"/>
        </w:rPr>
        <w:t xml:space="preserve"> lead to demographic and land-use changes,</w:t>
      </w:r>
      <w:r w:rsidR="000864D8">
        <w:rPr>
          <w:rFonts w:ascii="Times New Roman" w:eastAsia="SimSun" w:hAnsi="Times New Roman" w:cs="Calibri"/>
          <w:color w:val="000000" w:themeColor="text1"/>
          <w:lang w:eastAsia="hi-IN" w:bidi="hi-IN"/>
        </w:rPr>
        <w:t xml:space="preserve"> </w:t>
      </w:r>
      <w:r w:rsidR="000864D8" w:rsidRPr="000864D8">
        <w:rPr>
          <w:rFonts w:ascii="Times New Roman" w:eastAsia="SimSun" w:hAnsi="Times New Roman" w:cs="Calibri"/>
          <w:color w:val="000000" w:themeColor="text1"/>
          <w:lang w:eastAsia="hi-IN" w:bidi="hi-IN"/>
        </w:rPr>
        <w:t xml:space="preserve">potentially impacting </w:t>
      </w:r>
      <w:r w:rsidR="008D0C12">
        <w:rPr>
          <w:rFonts w:ascii="Times New Roman" w:eastAsia="SimSun" w:hAnsi="Times New Roman" w:cs="Calibri"/>
          <w:color w:val="000000" w:themeColor="text1"/>
          <w:lang w:eastAsia="hi-IN" w:bidi="hi-IN"/>
        </w:rPr>
        <w:t>biodiversity c</w:t>
      </w:r>
      <w:r w:rsidR="000864D8" w:rsidRPr="000864D8">
        <w:rPr>
          <w:rFonts w:ascii="Times New Roman" w:eastAsia="SimSun" w:hAnsi="Times New Roman" w:cs="Calibri"/>
          <w:color w:val="000000" w:themeColor="text1"/>
          <w:lang w:eastAsia="hi-IN" w:bidi="hi-IN"/>
        </w:rPr>
        <w:t>onservation</w:t>
      </w:r>
      <w:r w:rsidR="00B46C10">
        <w:rPr>
          <w:rFonts w:ascii="Times New Roman" w:eastAsia="SimSun" w:hAnsi="Times New Roman" w:cs="Calibri"/>
          <w:color w:val="000000" w:themeColor="text1"/>
          <w:lang w:eastAsia="hi-IN" w:bidi="hi-IN"/>
        </w:rPr>
        <w:t xml:space="preserve"> (Redford et al. 2019)</w:t>
      </w:r>
      <w:r w:rsidR="008D0C12">
        <w:rPr>
          <w:rFonts w:ascii="Times New Roman" w:eastAsia="SimSun" w:hAnsi="Times New Roman" w:cs="Calibri"/>
          <w:color w:val="000000" w:themeColor="text1"/>
          <w:lang w:eastAsia="hi-IN" w:bidi="hi-IN"/>
        </w:rPr>
        <w:t xml:space="preserve">. </w:t>
      </w:r>
    </w:p>
    <w:p w14:paraId="2BD6D9DE" w14:textId="427D7FC6" w:rsidR="003624C6" w:rsidRPr="006623BB" w:rsidRDefault="006249BB" w:rsidP="006623BB">
      <w:pPr>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Thus</w:t>
      </w:r>
      <w:r w:rsidR="00212243">
        <w:rPr>
          <w:rFonts w:ascii="Times New Roman" w:eastAsia="SimSun" w:hAnsi="Times New Roman" w:cs="Calibri"/>
          <w:color w:val="000000" w:themeColor="text1"/>
          <w:lang w:eastAsia="hi-IN" w:bidi="hi-IN"/>
        </w:rPr>
        <w:t>, in attempting to understand the extent of impact on biodiversity,</w:t>
      </w:r>
      <w:r>
        <w:rPr>
          <w:rFonts w:ascii="Times New Roman" w:eastAsia="SimSun" w:hAnsi="Times New Roman" w:cs="Calibri"/>
          <w:color w:val="000000" w:themeColor="text1"/>
          <w:lang w:eastAsia="hi-IN" w:bidi="hi-IN"/>
        </w:rPr>
        <w:t xml:space="preserve"> it is important to differentiate between the types of </w:t>
      </w:r>
      <w:r w:rsidR="003624C6" w:rsidRPr="006623BB">
        <w:rPr>
          <w:rFonts w:ascii="Times New Roman" w:eastAsia="SimSun" w:hAnsi="Times New Roman" w:cs="Calibri"/>
          <w:color w:val="000000" w:themeColor="text1"/>
          <w:lang w:eastAsia="hi-IN" w:bidi="hi-IN"/>
        </w:rPr>
        <w:t xml:space="preserve">engineered gene drive system being utilised, </w:t>
      </w:r>
      <w:r>
        <w:rPr>
          <w:rFonts w:ascii="Times New Roman" w:eastAsia="SimSun" w:hAnsi="Times New Roman" w:cs="Calibri"/>
          <w:color w:val="000000" w:themeColor="text1"/>
          <w:lang w:eastAsia="hi-IN" w:bidi="hi-IN"/>
        </w:rPr>
        <w:t xml:space="preserve">as </w:t>
      </w:r>
      <w:r w:rsidR="003624C6" w:rsidRPr="006623BB">
        <w:rPr>
          <w:rFonts w:ascii="Times New Roman" w:eastAsia="SimSun" w:hAnsi="Times New Roman" w:cs="Calibri"/>
          <w:color w:val="000000" w:themeColor="text1"/>
          <w:lang w:eastAsia="hi-IN" w:bidi="hi-IN"/>
        </w:rPr>
        <w:t xml:space="preserve">the application could theoretically either spread through target populations (non-localised) and persist indefinitely (self-sustaining) or be restricted in spread (localised) or persistence (self-limiting) </w:t>
      </w:r>
      <w:r w:rsidR="00F774AF">
        <w:rPr>
          <w:rFonts w:ascii="Times New Roman" w:eastAsia="SimSun" w:hAnsi="Times New Roman" w:cs="Calibri"/>
          <w:color w:val="000000" w:themeColor="text1"/>
          <w:lang w:eastAsia="hi-IN" w:bidi="hi-IN"/>
        </w:rPr>
        <w:fldChar w:fldCharType="begin" w:fldLock="1"/>
      </w:r>
      <w:r w:rsidR="00BF6C14">
        <w:rPr>
          <w:rFonts w:ascii="Times New Roman" w:eastAsia="SimSun" w:hAnsi="Times New Roman" w:cs="Calibri"/>
          <w:color w:val="000000" w:themeColor="text1"/>
          <w:lang w:eastAsia="hi-IN" w:bidi="hi-IN"/>
        </w:rPr>
        <w:instrText>ADDIN CSL_CITATION {"citationItems":[{"id":"ITEM-1","itemData":{"DOI":"10.1016/j.tibtech.2020.11.015","ISSN":"01677799","author":[{"dropping-particle":"","family":"Devos","given":"Yann","non-dropping-particle":"","parse-names":false,"suffix":""},{"dropping-particle":"","family":"Bonsall","given":"Michael B","non-dropping-particle":"","parse-names":false,"suffix":""},{"dropping-particle":"","family":"Firbank","given":"Leslie G","non-dropping-particle":"","parse-names":false,"suffix":""},{"dropping-particle":"","family":"Mumford","given":"John","non-dropping-particle":"","parse-names":false,"suffix":""},{"dropping-particle":"","family":"Nogué","given":"Fabien","non-dropping-particle":"","parse-names":false,"suffix":""},{"dropping-particle":"","family":"Wimmer","given":"Ernst A","non-dropping-particle":"","parse-names":false,"suffix":""}],"container-title":"Trends in Biotechnology","id":"ITEM-1","issue":"xx","issued":{"date-parts":[["2020","12"]]},"page":"1-4","publisher":"Elsevier Ltd","title":"Gene Drive-Modified Organisms: Developing Practical Risk Assessment Guidance","type":"article-journal","volume":"xx"},"uris":["http://www.mendeley.com/documents/?uuid=c7048388-ffdd-4581-91ce-3d5073ee7c1d"]},{"id":"ITEM-2","itemData":{"DOI":"10.1007/s10530-017-1384-6","ISSN":"15731464","abstract":"Invasive species remain one of the greatest threats to global biodiversity. Their control would be enhanced through the development of more effective and sustainable pest management strategies. Recently, a novel form of genetic pest management (GPM) has been developed in which the mating behaviour of insect pests is exploited to introduce genetically engineered DNA sequences into wild conspecific populations. These ‘transgenes’ work in one or more ways to reduce the damage caused by a particular pest, for example reducing its density, or its ability to vector disease. Although currently being developed for use against economically important insect pests, these technologies would be highly appropriate for application against invasive species that threaten biodiversity. Importantly, these technologies have begun to advance in scope beyond insects to vertebrates, which include some of the world’s worst invasives. Here we review the current state of this rapidly progressing field and, using an established set of eradication criteria, discuss the characteristics which make GPM technologies suitable for application against invasive pests.","author":[{"dropping-particle":"","family":"Harvey-Samuel","given":"Tim","non-dropping-particle":"","parse-names":false,"suffix":""},{"dropping-particle":"","family":"Ant","given":"Thomas","non-dropping-particle":"","parse-names":false,"suffix":""},{"dropping-particle":"","family":"Alphey","given":"Luke","non-dropping-particle":"","parse-names":false,"suffix":""}],"container-title":"Biological Invasions","id":"ITEM-2","issue":"6","issued":{"date-parts":[["2017"]]},"page":"1683-1703","publisher":"Springer International Publishing","title":"Towards the genetic control of invasive species","type":"article-journal","volume":"19"},"uris":["http://www.mendeley.com/documents/?uuid=8ded15cc-edba-4d02-80cc-c014aca44822"]}],"mendeley":{"formattedCitation":"(Yann Devos et al., 2020; Harvey-Samuel et al., 2017)","manualFormatting":"(Devos et al., 2020; Harvey-Samuel et al., 2017)","plainTextFormattedCitation":"(Yann Devos et al., 2020; Harvey-Samuel et al., 2017)","previouslyFormattedCitation":"(Yann Devos et al., 2020; Harvey-Samuel et al., 2017)"},"properties":{"noteIndex":0},"schema":"https://github.com/citation-style-language/schema/raw/master/csl-citation.json"}</w:instrText>
      </w:r>
      <w:r w:rsidR="00F774AF">
        <w:rPr>
          <w:rFonts w:ascii="Times New Roman" w:eastAsia="SimSun" w:hAnsi="Times New Roman" w:cs="Calibri"/>
          <w:color w:val="000000" w:themeColor="text1"/>
          <w:lang w:eastAsia="hi-IN" w:bidi="hi-IN"/>
        </w:rPr>
        <w:fldChar w:fldCharType="separate"/>
      </w:r>
      <w:r w:rsidR="00F774AF" w:rsidRPr="00F774AF">
        <w:rPr>
          <w:rFonts w:ascii="Times New Roman" w:eastAsia="SimSun" w:hAnsi="Times New Roman" w:cs="Calibri"/>
          <w:noProof/>
          <w:color w:val="000000" w:themeColor="text1"/>
          <w:lang w:eastAsia="hi-IN" w:bidi="hi-IN"/>
        </w:rPr>
        <w:t>(Devos et al., 2020; Harvey-Samuel et al., 2017)</w:t>
      </w:r>
      <w:r w:rsidR="00F774AF">
        <w:rPr>
          <w:rFonts w:ascii="Times New Roman" w:eastAsia="SimSun" w:hAnsi="Times New Roman" w:cs="Calibri"/>
          <w:color w:val="000000" w:themeColor="text1"/>
          <w:lang w:eastAsia="hi-IN" w:bidi="hi-IN"/>
        </w:rPr>
        <w:fldChar w:fldCharType="end"/>
      </w:r>
      <w:r w:rsidR="003624C6" w:rsidRPr="006623BB">
        <w:rPr>
          <w:rFonts w:ascii="Times New Roman" w:eastAsia="SimSun" w:hAnsi="Times New Roman" w:cs="Calibri"/>
          <w:color w:val="000000" w:themeColor="text1"/>
          <w:lang w:eastAsia="hi-IN" w:bidi="hi-IN"/>
        </w:rPr>
        <w:t xml:space="preserve">. Further, such applications with engineered gene drives may be used in two ways </w:t>
      </w:r>
      <w:r w:rsidR="00E00BAC">
        <w:rPr>
          <w:rFonts w:ascii="Times New Roman" w:eastAsia="SimSun" w:hAnsi="Times New Roman" w:cs="Calibri"/>
          <w:color w:val="000000" w:themeColor="text1"/>
          <w:lang w:eastAsia="hi-IN" w:bidi="hi-IN"/>
        </w:rPr>
        <w:fldChar w:fldCharType="begin" w:fldLock="1"/>
      </w:r>
      <w:r w:rsidR="00E00BAC">
        <w:rPr>
          <w:rFonts w:ascii="Times New Roman" w:eastAsia="SimSun" w:hAnsi="Times New Roman" w:cs="Calibri"/>
          <w:color w:val="000000" w:themeColor="text1"/>
          <w:lang w:eastAsia="hi-IN" w:bidi="hi-IN"/>
        </w:rPr>
        <w:instrText>ADDIN CSL_CITATION {"citationItems":[{"id":"ITEM-1","itemData":{"DOI":"10.1016/j.tibtech.2020.11.015","ISSN":"01677799","author":[{"dropping-particle":"","family":"Devos","given":"Yann","non-dropping-particle":"","parse-names":false,"suffix":""},{"dropping-particle":"","family":"Bonsall","given":"Michael B","non-dropping-particle":"","parse-names":false,"suffix":""},{"dropping-particle":"","family":"Firbank","given":"Leslie G","non-dropping-particle":"","parse-names":false,"suffix":""},{"dropping-particle":"","family":"Mumford","given":"John","non-dropping-particle":"","parse-names":false,"suffix":""},{"dropping-particle":"","family":"Nogué","given":"Fabien","non-dropping-particle":"","parse-names":false,"suffix":""},{"dropping-particle":"","family":"Wimmer","given":"Ernst A","non-dropping-particle":"","parse-names":false,"suffix":""}],"container-title":"Trends in Biotechnology","id":"ITEM-1","issue":"xx","issued":{"date-parts":[["2020","12"]]},"page":"1-4","publisher":"Elsevier Ltd","title":"Gene Drive-Modified Organisms: Developing Practical Risk Assessment Guidance","type":"article-journal","volume":"xx"},"uris":["http://www.mendeley.com/documents/?uuid=c7048388-ffdd-4581-91ce-3d5073ee7c1d"]},{"id":"ITEM-2","itemData":{"author":[{"dropping-particle":"","family":"Rüdelsheim","given":"P","non-dropping-particle":"","parse-names":false,"suffix":""},{"dropping-particle":"","family":"Smets","given":"G","non-dropping-particle":"","parse-names":false,"suffix":""}],"id":"ITEM-2","issued":{"date-parts":[["2018"]]},"number-of-pages":"74","publisher-place":"Bilthoven, the Netherlands","title":"Gene Drives: Experience with gene drive systems that may inform an environmental risk assessment","type":"report"},"uris":["http://www.mendeley.com/documents/?uuid=b7811c3e-c9fb-4bd3-a2bd-88192659b869"]},{"id":"ITEM-3","itemData":{"author":[{"dropping-particle":"","family":"EFSA GMO Panel","given":"","non-dropping-particle":"","parse-names":false,"suffix":""}],"id":"ITEM-3","issued":{"date-parts":[["2020"]]},"number-of-pages":"103","title":"Evaluation of existing EFSA guidelines for their adequacy for the molecular characterisation and environmental risk assessment of genetically modified insects with synthetically engineered gene drives","type":"report"},"uris":["http://www.mendeley.com/documents/?uuid=5ae28c6a-35a5-4767-9c3f-d0996a2e5ee8"]}],"mendeley":{"formattedCitation":"(Yann Devos et al., 2020; EFSA GMO Panel, 2020; P Rüdelsheim &amp; Smets, 2018)","manualFormatting":"(Yann Devos et al., 2020; EFSA GMO Panel, 2020; P Rüdelsheim &amp; Smets, 2018","plainTextFormattedCitation":"(Yann Devos et al., 2020; EFSA GMO Panel, 2020; P Rüdelsheim &amp; Smets, 2018)","previouslyFormattedCitation":"(Yann Devos et al., 2020; EFSA GMO Panel, 2020; P Rüdelsheim &amp; Smets, 2018)"},"properties":{"noteIndex":0},"schema":"https://github.com/citation-style-language/schema/raw/master/csl-citation.json"}</w:instrText>
      </w:r>
      <w:r w:rsidR="00E00BAC">
        <w:rPr>
          <w:rFonts w:ascii="Times New Roman" w:eastAsia="SimSun" w:hAnsi="Times New Roman" w:cs="Calibri"/>
          <w:color w:val="000000" w:themeColor="text1"/>
          <w:lang w:eastAsia="hi-IN" w:bidi="hi-IN"/>
        </w:rPr>
        <w:fldChar w:fldCharType="separate"/>
      </w:r>
      <w:r w:rsidR="00E00BAC" w:rsidRPr="00E00BAC">
        <w:rPr>
          <w:rFonts w:ascii="Times New Roman" w:eastAsia="SimSun" w:hAnsi="Times New Roman" w:cs="Calibri"/>
          <w:noProof/>
          <w:color w:val="000000" w:themeColor="text1"/>
          <w:lang w:eastAsia="hi-IN" w:bidi="hi-IN"/>
        </w:rPr>
        <w:t>(Devos et al., 2020; EFSA GMO Panel, 2020; P Rüdelsheim &amp; Smets, 2018</w:t>
      </w:r>
      <w:r w:rsidR="00E00BAC">
        <w:rPr>
          <w:rFonts w:ascii="Times New Roman" w:eastAsia="SimSun" w:hAnsi="Times New Roman" w:cs="Calibri"/>
          <w:color w:val="000000" w:themeColor="text1"/>
          <w:lang w:eastAsia="hi-IN" w:bidi="hi-IN"/>
        </w:rPr>
        <w:fldChar w:fldCharType="end"/>
      </w:r>
      <w:r w:rsidR="003624C6" w:rsidRPr="006623BB">
        <w:rPr>
          <w:rFonts w:ascii="Times New Roman" w:eastAsia="SimSun" w:hAnsi="Times New Roman" w:cs="Calibri"/>
          <w:color w:val="000000" w:themeColor="text1"/>
          <w:lang w:eastAsia="hi-IN" w:bidi="hi-IN"/>
        </w:rPr>
        <w:t>):</w:t>
      </w:r>
    </w:p>
    <w:p w14:paraId="6C70D969" w14:textId="7AC7E89C" w:rsidR="003624C6" w:rsidRPr="00D95DE4" w:rsidRDefault="003624C6" w:rsidP="00D95DE4">
      <w:pPr>
        <w:pStyle w:val="ListParagraph"/>
        <w:numPr>
          <w:ilvl w:val="1"/>
          <w:numId w:val="209"/>
        </w:numPr>
        <w:spacing w:before="120" w:after="120" w:line="240" w:lineRule="auto"/>
        <w:ind w:left="284" w:hanging="284"/>
        <w:jc w:val="both"/>
        <w:rPr>
          <w:rFonts w:ascii="Times New Roman" w:eastAsia="SimSun" w:hAnsi="Times New Roman" w:cs="Calibri"/>
          <w:color w:val="000000" w:themeColor="text1"/>
          <w:lang w:eastAsia="hi-IN" w:bidi="hi-IN"/>
        </w:rPr>
      </w:pPr>
      <w:r w:rsidRPr="00D95DE4">
        <w:rPr>
          <w:rFonts w:ascii="Times New Roman" w:eastAsia="SimSun" w:hAnsi="Times New Roman" w:cs="Calibri"/>
          <w:color w:val="000000" w:themeColor="text1"/>
          <w:lang w:eastAsia="hi-IN" w:bidi="hi-IN"/>
        </w:rPr>
        <w:t xml:space="preserve">Those containing a suppression drive - Used to eliminate invasive species, suppress populations of human and animal disease vectors, and to control agricultural invertebrate pests such as fruit flies, moth pests, thrips and mites. </w:t>
      </w:r>
    </w:p>
    <w:p w14:paraId="7382D10D" w14:textId="014C8028" w:rsidR="003624C6" w:rsidRPr="00D95DE4" w:rsidRDefault="003624C6" w:rsidP="00D95DE4">
      <w:pPr>
        <w:pStyle w:val="ListParagraph"/>
        <w:numPr>
          <w:ilvl w:val="1"/>
          <w:numId w:val="209"/>
        </w:numPr>
        <w:spacing w:before="120" w:after="120" w:line="240" w:lineRule="auto"/>
        <w:ind w:left="284" w:hanging="284"/>
        <w:jc w:val="both"/>
        <w:rPr>
          <w:rFonts w:ascii="Times New Roman" w:eastAsia="SimSun" w:hAnsi="Times New Roman" w:cs="Calibri"/>
          <w:color w:val="000000" w:themeColor="text1"/>
          <w:lang w:eastAsia="hi-IN" w:bidi="hi-IN"/>
        </w:rPr>
      </w:pPr>
      <w:r w:rsidRPr="00D95DE4">
        <w:rPr>
          <w:rFonts w:ascii="Times New Roman" w:eastAsia="SimSun" w:hAnsi="Times New Roman" w:cs="Calibri"/>
          <w:color w:val="000000" w:themeColor="text1"/>
          <w:lang w:eastAsia="hi-IN" w:bidi="hi-IN"/>
        </w:rPr>
        <w:t>Those containing a replacement drive (also termed modification drive) - Used to provide an extra trait to the target population, e.g. in endangered species or crop and livestock breeding, or to block pathogen development.</w:t>
      </w:r>
    </w:p>
    <w:p w14:paraId="58434A3F" w14:textId="20696318" w:rsidR="003624C6" w:rsidRPr="006623BB" w:rsidRDefault="00F65110" w:rsidP="00631516">
      <w:pPr>
        <w:spacing w:before="120" w:after="120" w:line="240" w:lineRule="auto"/>
        <w:jc w:val="both"/>
        <w:rPr>
          <w:rFonts w:ascii="Times New Roman" w:eastAsia="SimSun" w:hAnsi="Times New Roman" w:cs="Calibri"/>
          <w:color w:val="000000" w:themeColor="text1"/>
          <w:lang w:eastAsia="hi-IN" w:bidi="hi-IN"/>
        </w:rPr>
      </w:pPr>
      <w:r w:rsidRPr="006623BB">
        <w:rPr>
          <w:rFonts w:ascii="Times New Roman" w:eastAsia="SimSun" w:hAnsi="Times New Roman" w:cs="Calibri"/>
          <w:color w:val="000000" w:themeColor="text1"/>
          <w:lang w:eastAsia="hi-IN" w:bidi="hi-IN"/>
        </w:rPr>
        <w:t xml:space="preserve">A distinction should thus be made between those applications attempting to suppress a population and those attempting to replace a population. They may have the same ultimate goal, e.g. eradication of an invasive species or pest, but they have different implications for potential environmental interactions. For example, a CRISPR-based eradication drive may spread into a non-target population or species </w:t>
      </w:r>
      <w:r w:rsidR="00E00BAC">
        <w:rPr>
          <w:rFonts w:ascii="Times New Roman" w:eastAsia="SimSun" w:hAnsi="Times New Roman" w:cs="Calibri"/>
          <w:color w:val="000000" w:themeColor="text1"/>
          <w:lang w:eastAsia="hi-IN" w:bidi="hi-IN"/>
        </w:rPr>
        <w:fldChar w:fldCharType="begin" w:fldLock="1"/>
      </w:r>
      <w:r w:rsidR="00E00BAC">
        <w:rPr>
          <w:rFonts w:ascii="Times New Roman" w:eastAsia="SimSun" w:hAnsi="Times New Roman" w:cs="Calibri"/>
          <w:color w:val="000000" w:themeColor="text1"/>
          <w:lang w:eastAsia="hi-IN" w:bidi="hi-IN"/>
        </w:rPr>
        <w:instrText>ADDIN CSL_CITATION {"citationItems":[{"id":"ITEM-1","itemData":{"DOI":"10.1534/g3.120.401484","ISSN":"21601836","PMID":"32727921","abstract":"CRISPR-based homing gene drive is a genetic control technique aiming to modify or eradicate natural populations. This technique is based on the release of individuals carrying an engineered piece of DNA that can be preferentially inherited by the progeny. The development of countermeasures is important to control the spread of gene drives, should they result in unanticipated damages. One proposed countermeasure is the introduction of individuals carrying a brake construct that targets and inactivates the drive allele but leaves the wild-type allele unaffected. Here we develop models to investigate the efficiency of such brakes. We consider a variable population size and use a combination of analytical and numerical methods to determine the conditions where a brake can prevent the extinction of a population targeted by an eradication drive. We find that a brake is not guaranteed to prevent eradication and that characteristics of both the brake and the drive affect the likelihood of recovering the wild-type population. In particular, brakes that restore fitness are more efficient than brakes that do not. Our model also indicates that threshold-dependent drives (drives that can spread only when introduced above a threshold) are more amenable to control with a brake than drives that can spread from an arbitrary low introduction frequency (threshold-independent drives). Based on our results, we provide practical recommendations and discuss safety issues.","author":[{"dropping-particle":"","family":"Rode","given":"Nicolas O.","non-dropping-particle":"","parse-names":false,"suffix":""},{"dropping-particle":"","family":"Courtier-Orgogozo","given":"Virginie","non-dropping-particle":"","parse-names":false,"suffix":""},{"dropping-particle":"","family":"Débarre","given":"Florence","non-dropping-particle":"","parse-names":false,"suffix":""}],"container-title":"G3: Genes, Genomes, Genetics","id":"ITEM-1","issue":"9","issued":{"date-parts":[["2020","9"]]},"page":"3403-3415","publisher":"Genetics Society of America","title":"Can a population targeted by a CRISPR-based homing gene drive be rescued?","type":"article-journal","volume":"10"},"uris":["http://www.mendeley.com/documents/?uuid=897ccb39-43da-4c14-9a4e-f691f9cc4da6"]},{"id":"ITEM-2","itemData":{"DOI":"10.1007/s10592-019-01165-5","ISSN":"1566-0621","author":[{"dropping-particle":"","family":"Rode","given":"Nicolas O.","non-dropping-particle":"","parse-names":false,"suffix":""},{"dropping-particle":"","family":"Estoup","given":"Arnaud","non-dropping-particle":"","parse-names":false,"suffix":""},{"dropping-particle":"","family":"Bourguet","given":"Denis","non-dropping-particle":"","parse-names":false,"suffix":""},{"dropping-particle":"","family":"Courtier-Orgogozo","given":"Virginie","non-dropping-particle":"","parse-names":false,"suffix":""},{"dropping-particle":"","family":"Débarre","given":"Florence","non-dropping-particle":"","parse-names":false,"suffix":""}],"container-title":"Conservation Genetics","id":"ITEM-2","issue":"4","issued":{"date-parts":[["2019","8","1"]]},"page":"671-690","title":"Population management using gene drive: molecular design, models of spread dynamics and assessment of ecological risks","type":"article-journal","volume":"20"},"uris":["http://www.mendeley.com/documents/?uuid=ff49d23b-0702-4354-8d0a-b507cae27856"]},{"id":"ITEM-3","itemData":{"DOI":"10.7554/eLife.33423","ISSN":"2050-084X","abstract":"Recent reports have suggested that self-propagating CRISPR-based gene drive systems are unlikely to efficiently invade wild populations due to drive-resistant alleles that prevent cutting. Here we develop mathematical models based on existing empirical data to explicitly test this assumption for population alteration drives. Our models show that although resistance prevents spread to fixation in large populations, even the least effective drive systems reported to date are likely to be highly invasive. Releasing a small number of organisms will often cause invasion of the local population, followed by invasion of additional populations connected by very low rates of gene flow. Hence, initiating contained field trials as tentatively endorsed by the National Academies report on gene drive could potentially result in unintended spread to additional populations. Our mathematical results suggest that self-propagating gene drive is best suited to applications such as malaria prevention that seek to affect all wild populations of the target species.","author":[{"dropping-particle":"","family":"Noble","given":"Charleston","non-dropping-particle":"","parse-names":false,"suffix":""},{"dropping-particle":"","family":"Adlam","given":"Ben","non-dropping-particle":"","parse-names":false,"suffix":""},{"dropping-particle":"","family":"Church","given":"George M","non-dropping-particle":"","parse-names":false,"suffix":""},{"dropping-particle":"","family":"Esvelt","given":"Kevin M","non-dropping-particle":"","parse-names":false,"suffix":""},{"dropping-particle":"","family":"Nowak","given":"Martin A","non-dropping-particle":"","parse-names":false,"suffix":""}],"container-title":"eLife","id":"ITEM-3","issued":{"date-parts":[["2018","6","19"]]},"title":"Current CRISPR gene drive systems are likely to be highly invasive in wild populations","type":"article-journal","volume":"7"},"uris":["http://www.mendeley.com/documents/?uuid=591adde3-3527-4f9f-b8e1-236507579048"]}],"mendeley":{"formattedCitation":"(Noble et al., 2018; Rode et al., 2019, 2020)","plainTextFormattedCitation":"(Noble et al., 2018; Rode et al., 2019, 2020)","previouslyFormattedCitation":"(Noble et al., 2018; Rode et al., 2019, 2020)"},"properties":{"noteIndex":0},"schema":"https://github.com/citation-style-language/schema/raw/master/csl-citation.json"}</w:instrText>
      </w:r>
      <w:r w:rsidR="00E00BAC">
        <w:rPr>
          <w:rFonts w:ascii="Times New Roman" w:eastAsia="SimSun" w:hAnsi="Times New Roman" w:cs="Calibri"/>
          <w:color w:val="000000" w:themeColor="text1"/>
          <w:lang w:eastAsia="hi-IN" w:bidi="hi-IN"/>
        </w:rPr>
        <w:fldChar w:fldCharType="separate"/>
      </w:r>
      <w:r w:rsidR="00E00BAC" w:rsidRPr="00E00BAC">
        <w:rPr>
          <w:rFonts w:ascii="Times New Roman" w:eastAsia="SimSun" w:hAnsi="Times New Roman" w:cs="Calibri"/>
          <w:noProof/>
          <w:color w:val="000000" w:themeColor="text1"/>
          <w:lang w:eastAsia="hi-IN" w:bidi="hi-IN"/>
        </w:rPr>
        <w:t>(Noble et al., 2018; Rode et al., 2019, 2020)</w:t>
      </w:r>
      <w:r w:rsidR="00E00BAC">
        <w:rPr>
          <w:rFonts w:ascii="Times New Roman" w:eastAsia="SimSun" w:hAnsi="Times New Roman" w:cs="Calibri"/>
          <w:color w:val="000000" w:themeColor="text1"/>
          <w:lang w:eastAsia="hi-IN" w:bidi="hi-IN"/>
        </w:rPr>
        <w:fldChar w:fldCharType="end"/>
      </w:r>
      <w:r w:rsidR="00775D78">
        <w:rPr>
          <w:rFonts w:ascii="Times New Roman" w:eastAsia="SimSun" w:hAnsi="Times New Roman" w:cs="Calibri"/>
          <w:color w:val="000000" w:themeColor="text1"/>
          <w:lang w:eastAsia="hi-IN" w:bidi="hi-IN"/>
        </w:rPr>
        <w:t>whilst</w:t>
      </w:r>
      <w:r w:rsidRPr="006623BB">
        <w:rPr>
          <w:rFonts w:ascii="Times New Roman" w:eastAsia="SimSun" w:hAnsi="Times New Roman" w:cs="Calibri"/>
          <w:color w:val="000000" w:themeColor="text1"/>
          <w:lang w:eastAsia="hi-IN" w:bidi="hi-IN"/>
        </w:rPr>
        <w:t xml:space="preserve"> a modification drive may alter the target population in an unexpected, detrimental manner </w:t>
      </w:r>
      <w:r w:rsidR="00E00BAC">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DOI":"10.1126/science.345.6200.1010-b","ISSN":"0036-8075","author":[{"dropping-particle":"","family":"Gurwitz","given":"D.","non-dropping-particle":"","parse-names":false,"suffix":""}],"container-title":"Science","id":"ITEM-1","issue":"6200","issued":{"date-parts":[["2014","8","29"]]},"page":"1010-1010","title":"Gene drives raise dual-use concerns","type":"article-journal","volume":"345"},"uris":["http://www.mendeley.com/documents/?uuid=53a9078d-9419-43f7-b5b3-8666e0bcfe0c"]}],"mendeley":{"formattedCitation":"(Gurwitz, 2014)","plainTextFormattedCitation":"(Gurwitz, 2014)","previouslyFormattedCitation":"(Gurwitz, 2014)"},"properties":{"noteIndex":0},"schema":"https://github.com/citation-style-language/schema/raw/master/csl-citation.json"}</w:instrText>
      </w:r>
      <w:r w:rsidR="00E00BAC">
        <w:rPr>
          <w:rFonts w:ascii="Times New Roman" w:eastAsia="SimSun" w:hAnsi="Times New Roman" w:cs="Calibri"/>
          <w:color w:val="000000" w:themeColor="text1"/>
          <w:lang w:eastAsia="hi-IN" w:bidi="hi-IN"/>
        </w:rPr>
        <w:fldChar w:fldCharType="separate"/>
      </w:r>
      <w:r w:rsidR="00E00BAC" w:rsidRPr="00E00BAC">
        <w:rPr>
          <w:rFonts w:ascii="Times New Roman" w:eastAsia="SimSun" w:hAnsi="Times New Roman" w:cs="Calibri"/>
          <w:noProof/>
          <w:color w:val="000000" w:themeColor="text1"/>
          <w:lang w:eastAsia="hi-IN" w:bidi="hi-IN"/>
        </w:rPr>
        <w:t>(Gurwitz, 2014)</w:t>
      </w:r>
      <w:r w:rsidR="00E00BAC">
        <w:rPr>
          <w:rFonts w:ascii="Times New Roman" w:eastAsia="SimSun" w:hAnsi="Times New Roman" w:cs="Calibri"/>
          <w:color w:val="000000" w:themeColor="text1"/>
          <w:lang w:eastAsia="hi-IN" w:bidi="hi-IN"/>
        </w:rPr>
        <w:fldChar w:fldCharType="end"/>
      </w:r>
      <w:r w:rsidRPr="006623BB">
        <w:rPr>
          <w:rFonts w:ascii="Times New Roman" w:eastAsia="SimSun" w:hAnsi="Times New Roman" w:cs="Calibri"/>
          <w:color w:val="000000" w:themeColor="text1"/>
          <w:lang w:eastAsia="hi-IN" w:bidi="hi-IN"/>
        </w:rPr>
        <w:t>.</w:t>
      </w:r>
    </w:p>
    <w:p w14:paraId="47A1D7F6" w14:textId="161614A7" w:rsidR="00631516" w:rsidRPr="00356269" w:rsidRDefault="00DF7116" w:rsidP="00356269">
      <w:pPr>
        <w:spacing w:before="120" w:after="120" w:line="240" w:lineRule="auto"/>
        <w:jc w:val="both"/>
        <w:rPr>
          <w:rFonts w:ascii="Times New Roman" w:eastAsia="SimSun" w:hAnsi="Times New Roman" w:cs="Calibri"/>
          <w:color w:val="000000" w:themeColor="text1"/>
          <w:lang w:eastAsia="hi-IN" w:bidi="hi-IN"/>
        </w:rPr>
      </w:pPr>
      <w:r w:rsidRPr="00DF7116">
        <w:rPr>
          <w:rFonts w:ascii="Times New Roman" w:eastAsia="SimSun" w:hAnsi="Times New Roman" w:cs="Calibri"/>
          <w:color w:val="000000" w:themeColor="text1"/>
          <w:lang w:eastAsia="hi-IN" w:bidi="hi-IN"/>
        </w:rPr>
        <w:t>The survival in the wild of a synthetic biology organism containing an engineered gene drive will depend on</w:t>
      </w:r>
      <w:r w:rsidR="007B6AED">
        <w:rPr>
          <w:rFonts w:ascii="Times New Roman" w:eastAsia="SimSun" w:hAnsi="Times New Roman" w:cs="Calibri"/>
          <w:color w:val="000000" w:themeColor="text1"/>
          <w:lang w:eastAsia="hi-IN" w:bidi="hi-IN"/>
        </w:rPr>
        <w:t xml:space="preserve">, amongst </w:t>
      </w:r>
      <w:r w:rsidR="0072294E">
        <w:rPr>
          <w:rFonts w:ascii="Times New Roman" w:eastAsia="SimSun" w:hAnsi="Times New Roman" w:cs="Calibri"/>
          <w:color w:val="000000" w:themeColor="text1"/>
          <w:lang w:eastAsia="hi-IN" w:bidi="hi-IN"/>
        </w:rPr>
        <w:t>others,</w:t>
      </w:r>
      <w:r w:rsidRPr="00DF7116">
        <w:rPr>
          <w:rFonts w:ascii="Times New Roman" w:eastAsia="SimSun" w:hAnsi="Times New Roman" w:cs="Calibri"/>
          <w:color w:val="000000" w:themeColor="text1"/>
          <w:lang w:eastAsia="hi-IN" w:bidi="hi-IN"/>
        </w:rPr>
        <w:t xml:space="preserve"> how well it can compete with its wild relatives and its susceptibility to mutations that lead to </w:t>
      </w:r>
      <w:r w:rsidR="00103E50">
        <w:rPr>
          <w:rFonts w:ascii="Times New Roman" w:eastAsia="SimSun" w:hAnsi="Times New Roman" w:cs="Calibri"/>
          <w:color w:val="000000" w:themeColor="text1"/>
          <w:lang w:eastAsia="hi-IN" w:bidi="hi-IN"/>
        </w:rPr>
        <w:t xml:space="preserve">the </w:t>
      </w:r>
      <w:r w:rsidRPr="00DF7116">
        <w:rPr>
          <w:rFonts w:ascii="Times New Roman" w:eastAsia="SimSun" w:hAnsi="Times New Roman" w:cs="Calibri"/>
          <w:color w:val="000000" w:themeColor="text1"/>
          <w:lang w:eastAsia="hi-IN" w:bidi="hi-IN"/>
        </w:rPr>
        <w:t>loss of either the desired trait or that disrupts the synthetic change. Limiting the scale of exposure of the target organism in the environment, either by the number, timing and location of release</w:t>
      </w:r>
      <w:r w:rsidR="0016675E">
        <w:rPr>
          <w:rFonts w:ascii="Times New Roman" w:eastAsia="SimSun" w:hAnsi="Times New Roman" w:cs="Calibri"/>
          <w:color w:val="000000" w:themeColor="text1"/>
          <w:lang w:eastAsia="hi-IN" w:bidi="hi-IN"/>
        </w:rPr>
        <w:t xml:space="preserve">s </w:t>
      </w:r>
      <w:r w:rsidRPr="00DF7116">
        <w:rPr>
          <w:rFonts w:ascii="Times New Roman" w:eastAsia="SimSun" w:hAnsi="Times New Roman" w:cs="Calibri"/>
          <w:color w:val="000000" w:themeColor="text1"/>
          <w:lang w:eastAsia="hi-IN" w:bidi="hi-IN"/>
        </w:rPr>
        <w:t>may minimise the extent of impact</w:t>
      </w:r>
      <w:r w:rsidR="001813ED">
        <w:rPr>
          <w:rFonts w:ascii="Times New Roman" w:eastAsia="SimSun" w:hAnsi="Times New Roman" w:cs="Calibri"/>
          <w:color w:val="000000" w:themeColor="text1"/>
          <w:lang w:eastAsia="hi-IN" w:bidi="hi-IN"/>
        </w:rPr>
        <w:t xml:space="preserve"> </w:t>
      </w:r>
      <w:r w:rsidR="00720AED">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author":[{"dropping-particle":"","family":"Brandenberg","given":"Oliver","non-dropping-particle":"","parse-names":false,"suffix":""},{"dropping-particle":"","family":"Sensi","given":"Alessandra","non-dropping-particle":"","parse-names":false,"suffix":""},{"dropping-particle":"","family":"Ghosh","given":"Kakoli","non-dropping-particle":"","parse-names":false,"suffix":""},{"dropping-particle":"","family":"Sonnino","given":"Andrea","non-dropping-particle":"","parse-names":false,"suffix":""}],"id":"ITEM-1","issued":{"date-parts":[["2011"]]},"publisher":"Food and Agriculture Organization of the United Nations","publisher-place":"Rome","title":"Biosafety Resource Book. Test and Post-Release Monitoring of Genetically Modified OPrganisms (GMOs)","type":"book","volume":"Module D"},"uris":["http://www.mendeley.com/documents/?uuid=a57f0585-9539-472a-a5a7-37ade212bd43"]}],"mendeley":{"formattedCitation":"(Brandenberg et al., 2011)","plainTextFormattedCitation":"(Brandenberg et al., 2011)","previouslyFormattedCitation":"(Brandenberg et al., 2011)"},"properties":{"noteIndex":0},"schema":"https://github.com/citation-style-language/schema/raw/master/csl-citation.json"}</w:instrText>
      </w:r>
      <w:r w:rsidR="00720AED">
        <w:rPr>
          <w:rFonts w:ascii="Times New Roman" w:eastAsia="SimSun" w:hAnsi="Times New Roman" w:cs="Calibri"/>
          <w:color w:val="000000" w:themeColor="text1"/>
          <w:lang w:eastAsia="hi-IN" w:bidi="hi-IN"/>
        </w:rPr>
        <w:fldChar w:fldCharType="separate"/>
      </w:r>
      <w:r w:rsidR="00720AED" w:rsidRPr="00720AED">
        <w:rPr>
          <w:rFonts w:ascii="Times New Roman" w:eastAsia="SimSun" w:hAnsi="Times New Roman" w:cs="Calibri"/>
          <w:noProof/>
          <w:color w:val="000000" w:themeColor="text1"/>
          <w:lang w:eastAsia="hi-IN" w:bidi="hi-IN"/>
        </w:rPr>
        <w:t>(Brandenberg et al., 2011)</w:t>
      </w:r>
      <w:r w:rsidR="00720AED">
        <w:rPr>
          <w:rFonts w:ascii="Times New Roman" w:eastAsia="SimSun" w:hAnsi="Times New Roman" w:cs="Calibri"/>
          <w:color w:val="000000" w:themeColor="text1"/>
          <w:lang w:eastAsia="hi-IN" w:bidi="hi-IN"/>
        </w:rPr>
        <w:fldChar w:fldCharType="end"/>
      </w:r>
      <w:r w:rsidR="00197732">
        <w:rPr>
          <w:rFonts w:ascii="Times New Roman" w:eastAsia="SimSun" w:hAnsi="Times New Roman" w:cs="Calibri"/>
          <w:color w:val="000000" w:themeColor="text1"/>
          <w:lang w:eastAsia="hi-IN" w:bidi="hi-IN"/>
        </w:rPr>
        <w:t>.</w:t>
      </w:r>
    </w:p>
    <w:p w14:paraId="441222E5" w14:textId="35285FBE" w:rsidR="005B4D13" w:rsidRDefault="009A0B5F" w:rsidP="006B38BF">
      <w:pPr>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However, recent research </w:t>
      </w:r>
      <w:r w:rsidR="00717724">
        <w:rPr>
          <w:rFonts w:ascii="Times New Roman" w:eastAsia="SimSun" w:hAnsi="Times New Roman" w:cs="Calibri"/>
          <w:color w:val="000000" w:themeColor="text1"/>
          <w:lang w:eastAsia="hi-IN" w:bidi="hi-IN"/>
        </w:rPr>
        <w:t xml:space="preserve">indicates that </w:t>
      </w:r>
      <w:r w:rsidR="00CF03F2">
        <w:rPr>
          <w:rFonts w:ascii="Times New Roman" w:eastAsia="SimSun" w:hAnsi="Times New Roman" w:cs="Calibri"/>
          <w:color w:val="000000" w:themeColor="text1"/>
          <w:lang w:eastAsia="hi-IN" w:bidi="hi-IN"/>
        </w:rPr>
        <w:t xml:space="preserve">engineered </w:t>
      </w:r>
      <w:r w:rsidR="009F2042">
        <w:rPr>
          <w:rFonts w:ascii="Times New Roman" w:eastAsia="SimSun" w:hAnsi="Times New Roman" w:cs="Calibri"/>
          <w:color w:val="000000" w:themeColor="text1"/>
          <w:lang w:eastAsia="hi-IN" w:bidi="hi-IN"/>
        </w:rPr>
        <w:t xml:space="preserve">gene drives may face resistance </w:t>
      </w:r>
      <w:r w:rsidR="007824A3">
        <w:rPr>
          <w:rFonts w:ascii="Times New Roman" w:eastAsia="SimSun" w:hAnsi="Times New Roman" w:cs="Calibri"/>
          <w:color w:val="000000" w:themeColor="text1"/>
          <w:lang w:eastAsia="hi-IN" w:bidi="hi-IN"/>
        </w:rPr>
        <w:t xml:space="preserve">and limited efficacy in wild mosquito populations. </w:t>
      </w:r>
      <w:r w:rsidR="00D421C9" w:rsidRPr="00D421C9">
        <w:rPr>
          <w:rFonts w:ascii="Times New Roman" w:eastAsia="SimSun" w:hAnsi="Times New Roman" w:cs="Calibri"/>
          <w:color w:val="000000" w:themeColor="text1"/>
          <w:lang w:eastAsia="hi-IN" w:bidi="hi-IN"/>
        </w:rPr>
        <w:t>Resistance towards</w:t>
      </w:r>
      <w:r w:rsidR="000D47FE">
        <w:rPr>
          <w:rFonts w:ascii="Times New Roman" w:eastAsia="SimSun" w:hAnsi="Times New Roman" w:cs="Calibri"/>
          <w:color w:val="000000" w:themeColor="text1"/>
          <w:lang w:eastAsia="hi-IN" w:bidi="hi-IN"/>
        </w:rPr>
        <w:t xml:space="preserve"> engineered</w:t>
      </w:r>
      <w:r w:rsidR="00D421C9" w:rsidRPr="00D421C9">
        <w:rPr>
          <w:rFonts w:ascii="Times New Roman" w:eastAsia="SimSun" w:hAnsi="Times New Roman" w:cs="Calibri"/>
          <w:color w:val="000000" w:themeColor="text1"/>
          <w:lang w:eastAsia="hi-IN" w:bidi="hi-IN"/>
        </w:rPr>
        <w:t xml:space="preserve"> gene drives is important especially for homing endonuclease and RNA-based methods. Both are extremely sensitive to mutations or genetic variability in their recognition sites; this will likely affect the spread of drives based on such mechanisms, at least for simple designs. These phenomena have already been observed in the first laboratory experiments.</w:t>
      </w:r>
      <w:r w:rsidR="0075016B">
        <w:rPr>
          <w:rFonts w:ascii="Times New Roman" w:eastAsia="SimSun" w:hAnsi="Times New Roman" w:cs="Calibri"/>
          <w:color w:val="000000" w:themeColor="text1"/>
          <w:lang w:eastAsia="hi-IN" w:bidi="hi-IN"/>
        </w:rPr>
        <w:t xml:space="preserve"> </w:t>
      </w:r>
      <w:r w:rsidR="00D421C9" w:rsidRPr="00D421C9">
        <w:rPr>
          <w:rFonts w:ascii="Times New Roman" w:eastAsia="SimSun" w:hAnsi="Times New Roman" w:cs="Calibri"/>
          <w:color w:val="000000" w:themeColor="text1"/>
          <w:lang w:eastAsia="hi-IN" w:bidi="hi-IN"/>
        </w:rPr>
        <w:t xml:space="preserve">Further, CRISPR-Cas9 engineered gene drives – and homing endonuclease genes in general - are prone to the development of resistance alleles that are immune to conversion by the drive system </w:t>
      </w:r>
      <w:r w:rsidR="00753A2F">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{"citationItems":[{"id":"ITEM-1","itemData":{"DOI":"10.1371/journal.pgen.1007039","ISSN":"1553-7404","author":[{"dropping-particle":"","family":"Hammond","given":"Andrew M.","non-dropping-particle":"","parse-names":false,"suffix":""},{"dropping-particle":"","family":"Kyrou","given":"Kyros","non-dropping-particle":"","parse-names":false,"suffix":""},{"dropping-particle":"","family":"Bruttini","given":"Marco","non-dropping-particle":"","parse-names":false,"suffix":""},{"dropping-particle":"","family":"North","given":"Ace","non-dropping-particle":"","parse-names":false,"suffix":""},{"dropping-particle":"","family":"Galizi","given":"Roberto","non-dropping-particle":"","parse-names":false,"suffix":""},{"dropping-particle":"","family":"Karlsson","given":"Xenia","non-dropping-particle":"","parse-names":false,"suffix":""},{"dropping-particle":"","family":"Kranjc","given":"Nace","non-dropping-particle":"","parse-names":false,"suffix":""},{"dropping-particle":"","family":"Carpi","given":"Francesco M.","non-dropping-particle":"","parse-names":false,"suffix":""},{"dropping-particle":"","family":"D’Aurizio","given":"Romina","non-dropping-particle":"","parse-names":false,"suffix":""},{"dropping-particle":"","family":"Crisanti","given":"Andrea","non-dropping-particle":"","parse-names":false,"suffix":""},{"dropping-particle":"","family":"Nolan","given":"Tony","non-dropping-particle":"","parse-names":false,"suffix":""}],"container-title":"PLOS Genetics","editor":[{"dropping-particle":"","family":"Barton","given":"Nick H.","non-dropping-particle":"","parse-names":false,"suffix":""}],"id":"ITEM-1","issue":"10","issued":{"date-parts":[["2017","10","4"]]},"page":"e1007039","title":"The creation and selection of mutations resistant to a gene drive over multiple generations in the malaria mosquito","type":"article-journal","volume":"13"},"uris":["http://www.mendeley.com/documents/?uuid=5f9d8af3-cd54-448f-8a3c-1c75288e47b3"]}],"mendeley":{"formattedCitation":"(Hammond et al., 2017)","plainTextFormattedCitation":"(Hammond et al., 2017)","previouslyFormattedCitation":"(Hammond et al., 2017)"},"properties":{"noteIndex":0},"schema":"https://github.com/citation-style-language/schema/raw/master/csl-citation.json"}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(Hammond et al., 2017)</w:t>
      </w:r>
      <w:r w:rsidR="00753A2F">
        <w:rPr>
          <w:rFonts w:ascii="Times New Roman" w:eastAsia="SimSun" w:hAnsi="Times New Roman" w:cs="Calibri"/>
          <w:color w:val="000000" w:themeColor="text1"/>
          <w:lang w:eastAsia="hi-IN" w:bidi="hi-IN"/>
        </w:rPr>
        <w:fldChar w:fldCharType="end"/>
      </w:r>
      <w:r w:rsidR="00D421C9" w:rsidRPr="00D421C9">
        <w:rPr>
          <w:rFonts w:ascii="Times New Roman" w:eastAsia="SimSun" w:hAnsi="Times New Roman" w:cs="Calibri"/>
          <w:color w:val="000000" w:themeColor="text1"/>
          <w:lang w:eastAsia="hi-IN" w:bidi="hi-IN"/>
        </w:rPr>
        <w:t xml:space="preserve">. </w:t>
      </w:r>
      <w:r w:rsidR="005B4D13" w:rsidRPr="005B4D13">
        <w:rPr>
          <w:rFonts w:ascii="Times New Roman" w:eastAsia="SimSun" w:hAnsi="Times New Roman" w:cs="Calibri"/>
          <w:color w:val="000000" w:themeColor="text1"/>
          <w:lang w:eastAsia="hi-IN" w:bidi="hi-IN"/>
        </w:rPr>
        <w:t>Moreover, engineered gene drives that bring a fitness cost are expected to accelerate resistance development. Thus</w:t>
      </w:r>
      <w:r w:rsidR="005B4D13">
        <w:rPr>
          <w:rFonts w:ascii="Times New Roman" w:eastAsia="SimSun" w:hAnsi="Times New Roman" w:cs="Calibri"/>
          <w:color w:val="000000" w:themeColor="text1"/>
          <w:lang w:eastAsia="hi-IN" w:bidi="hi-IN"/>
        </w:rPr>
        <w:t>,</w:t>
      </w:r>
      <w:r w:rsidR="005B4D13" w:rsidRPr="005B4D13">
        <w:rPr>
          <w:rFonts w:ascii="Times New Roman" w:eastAsia="SimSun" w:hAnsi="Times New Roman" w:cs="Calibri"/>
          <w:color w:val="000000" w:themeColor="text1"/>
          <w:lang w:eastAsia="hi-IN" w:bidi="hi-IN"/>
        </w:rPr>
        <w:t xml:space="preserve"> in the case for suppression drives, it is expected that there would be great evolutionary pressure. So, the concern that potent engineered gene drives, once released, would potentially act globally should therefore be nuanced</w:t>
      </w:r>
      <w:r w:rsidR="00F607B2">
        <w:rPr>
          <w:rFonts w:ascii="Times New Roman" w:eastAsia="SimSun" w:hAnsi="Times New Roman" w:cs="Calibri"/>
          <w:color w:val="000000" w:themeColor="text1"/>
          <w:lang w:eastAsia="hi-IN" w:bidi="hi-IN"/>
        </w:rPr>
        <w:t xml:space="preserve"> and is case-specific</w:t>
      </w:r>
      <w:r w:rsidR="005B4D13" w:rsidRPr="005B4D13">
        <w:rPr>
          <w:rFonts w:ascii="Times New Roman" w:eastAsia="SimSun" w:hAnsi="Times New Roman" w:cs="Calibri"/>
          <w:color w:val="000000" w:themeColor="text1"/>
          <w:lang w:eastAsia="hi-IN" w:bidi="hi-IN"/>
        </w:rPr>
        <w:t xml:space="preserve">; they might spread through different populations but not necessarily achieving very high frequencies in each </w:t>
      </w:r>
      <w:r w:rsidR="00753A2F">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author":[{"dropping-particle":"","family":"Rüdelsheim","given":"P","non-dropping-particle":"","parse-names":false,"suffix":""},{"dropping-particle":"","family":"Smets","given":"G","non-dropping-particle":"","parse-names":false,"suffix":""}],"id":"ITEM-1","issued":{"date-parts":[["2018"]]},"number-of-pages":"74","publisher-place":"Bilthoven, the Netherlands","title":"Gene Drives: Experience with gene drive systems that may inform an environmental risk assessment","type":"report"},"uris":["http://www.mendeley.com/documents/?uuid=b7811c3e-c9fb-4bd3-a2bd-88192659b869"]}],"mendeley":{"formattedCitation":"(P Rüdelsheim &amp; Smets, 2018)","manualFormatting":"(Rüdelsheim &amp; Smets, 2018)","plainTextFormattedCitation":"(P Rüdelsheim &amp; Smets, 2018)","previouslyFormattedCitation":"(P Rüdelsheim &amp; Smets, 2018)"},"properties":{"noteIndex":0},"schema":"https://github.com/citation-style-language/schema/raw/master/csl-citation.json"}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w:t>
      </w:r>
      <w:r w:rsidR="00753A2F">
        <w:rPr>
          <w:rFonts w:ascii="Times New Roman" w:eastAsia="SimSun" w:hAnsi="Times New Roman" w:cs="Calibri"/>
          <w:noProof/>
          <w:color w:val="000000" w:themeColor="text1"/>
          <w:lang w:eastAsia="hi-IN" w:bidi="hi-IN"/>
        </w:rPr>
        <w:t>R</w:t>
      </w:r>
      <w:r w:rsidR="00753A2F" w:rsidRPr="00753A2F">
        <w:rPr>
          <w:rFonts w:ascii="Times New Roman" w:eastAsia="SimSun" w:hAnsi="Times New Roman" w:cs="Calibri"/>
          <w:noProof/>
          <w:color w:val="000000" w:themeColor="text1"/>
          <w:lang w:eastAsia="hi-IN" w:bidi="hi-IN"/>
        </w:rPr>
        <w:t>üdelsheim &amp; Smets, 2018)</w:t>
      </w:r>
      <w:r w:rsidR="00753A2F">
        <w:rPr>
          <w:rFonts w:ascii="Times New Roman" w:eastAsia="SimSun" w:hAnsi="Times New Roman" w:cs="Calibri"/>
          <w:color w:val="000000" w:themeColor="text1"/>
          <w:lang w:eastAsia="hi-IN" w:bidi="hi-IN"/>
        </w:rPr>
        <w:fldChar w:fldCharType="end"/>
      </w:r>
      <w:r w:rsidR="006B38BF">
        <w:rPr>
          <w:rFonts w:ascii="Times New Roman" w:eastAsia="SimSun" w:hAnsi="Times New Roman" w:cs="Calibri"/>
          <w:color w:val="000000" w:themeColor="text1"/>
          <w:lang w:eastAsia="hi-IN" w:bidi="hi-IN"/>
        </w:rPr>
        <w:t xml:space="preserve">. </w:t>
      </w:r>
      <w:r w:rsidR="003C762E" w:rsidRPr="003C762E">
        <w:rPr>
          <w:rFonts w:ascii="Times New Roman" w:eastAsia="SimSun" w:hAnsi="Times New Roman" w:cs="Calibri"/>
          <w:color w:val="000000" w:themeColor="text1"/>
          <w:lang w:eastAsia="hi-IN" w:bidi="hi-IN"/>
        </w:rPr>
        <w:t xml:space="preserve">However, it is rather uncertain how rapidly </w:t>
      </w:r>
      <w:r w:rsidR="00E60E99" w:rsidRPr="003C762E">
        <w:rPr>
          <w:rFonts w:ascii="Times New Roman" w:eastAsia="SimSun" w:hAnsi="Times New Roman" w:cs="Calibri"/>
          <w:color w:val="000000" w:themeColor="text1"/>
          <w:lang w:eastAsia="hi-IN" w:bidi="hi-IN"/>
        </w:rPr>
        <w:t xml:space="preserve">modification drives </w:t>
      </w:r>
      <w:r w:rsidR="003C762E" w:rsidRPr="003C762E">
        <w:rPr>
          <w:rFonts w:ascii="Times New Roman" w:eastAsia="SimSun" w:hAnsi="Times New Roman" w:cs="Calibri"/>
          <w:color w:val="000000" w:themeColor="text1"/>
          <w:lang w:eastAsia="hi-IN" w:bidi="hi-IN"/>
        </w:rPr>
        <w:t xml:space="preserve">would spread </w:t>
      </w:r>
      <w:r w:rsidR="001D3FEB" w:rsidRPr="003C762E">
        <w:rPr>
          <w:rFonts w:ascii="Times New Roman" w:eastAsia="SimSun" w:hAnsi="Times New Roman" w:cs="Calibri"/>
          <w:color w:val="000000" w:themeColor="text1"/>
          <w:lang w:eastAsia="hi-IN" w:bidi="hi-IN"/>
        </w:rPr>
        <w:t xml:space="preserve">into the wild </w:t>
      </w:r>
      <w:r w:rsidR="003C762E" w:rsidRPr="003C762E">
        <w:rPr>
          <w:rFonts w:ascii="Times New Roman" w:eastAsia="SimSun" w:hAnsi="Times New Roman" w:cs="Calibri"/>
          <w:color w:val="000000" w:themeColor="text1"/>
          <w:lang w:eastAsia="hi-IN" w:bidi="hi-IN"/>
        </w:rPr>
        <w:t>owing lessened selective/evolutionary pressure</w:t>
      </w:r>
      <w:r w:rsidR="00E52B30">
        <w:rPr>
          <w:rFonts w:ascii="Times New Roman" w:eastAsia="SimSun" w:hAnsi="Times New Roman" w:cs="Calibri"/>
          <w:color w:val="000000" w:themeColor="text1"/>
          <w:lang w:eastAsia="hi-IN" w:bidi="hi-IN"/>
        </w:rPr>
        <w:t xml:space="preserve"> </w:t>
      </w:r>
      <w:r w:rsidR="00E52B30">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{"citationItems":[{"id":"ITEM-1","itemData":{"author":[{"dropping-particle":"","family":"Critical Scientists Switzerland","given":"","non-dropping-particle":"","parse-names":false,"suffix":""},{"dropping-particle":"","family":"European Network of Scientists for Social and Environmental Responsibility","given":"","non-dropping-particle":"","parse-names":false,"suffix":""},{"dropping-particle":"","family":"Vereinigung Deutscher Wissenschaftler","given":"","non-dropping-particle":"","parse-names":false,"suffix":""}],"id":"ITEM-1","issued":{"date-parts":[["2019"]]},"number-of-pages":"338","publisher-place":"Bern, Switzerland","title":"Gene Drives. A report on their science, applications, social aspects, ethics and regulations","type":"report"},"uris":["http://www.mendeley.com/documents/?uuid=a007ea15-289c-43b0-a213-5831060e3469"]}],"mendeley":{"formattedCitation":"(Critical Scientists Switzerland et al., 2019b)","plainTextFormattedCitation":"(Critical Scientists Switzerland et al., 2019b)","previouslyFormattedCitation":"(Critical Scientists Switzerland et al., 2019b)"},"properties":{"noteIndex":0},"schema":"https://github.com/citation-style-language/schema/raw/master/csl-citation.json"}</w:instrText>
      </w:r>
      <w:r w:rsidR="00E52B30">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(Critical Scientists Switzerland et al., 2019)</w:t>
      </w:r>
      <w:r w:rsidR="00E52B30">
        <w:rPr>
          <w:rFonts w:ascii="Times New Roman" w:eastAsia="SimSun" w:hAnsi="Times New Roman" w:cs="Calibri"/>
          <w:color w:val="000000" w:themeColor="text1"/>
          <w:lang w:eastAsia="hi-IN" w:bidi="hi-IN"/>
        </w:rPr>
        <w:fldChar w:fldCharType="end"/>
      </w:r>
      <w:r w:rsidR="006B38BF" w:rsidRPr="00500BA4">
        <w:rPr>
          <w:rFonts w:ascii="Times New Roman" w:eastAsia="SimSun" w:hAnsi="Times New Roman" w:cs="Calibri"/>
          <w:color w:val="000000" w:themeColor="text1"/>
          <w:lang w:eastAsia="hi-IN" w:bidi="hi-IN"/>
        </w:rPr>
        <w:t>.</w:t>
      </w:r>
      <w:r w:rsidR="006B38BF" w:rsidRPr="003C762E">
        <w:t xml:space="preserve"> </w:t>
      </w:r>
    </w:p>
    <w:p w14:paraId="6BEAACC4" w14:textId="76B4EF6B" w:rsidR="005860B9" w:rsidRPr="00285C33" w:rsidRDefault="00A773CE" w:rsidP="006B38BF">
      <w:pPr>
        <w:suppressAutoHyphens/>
        <w:autoSpaceDE w:val="0"/>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Extend</w:t>
      </w:r>
      <w:r w:rsidRPr="005860B9">
        <w:rPr>
          <w:rFonts w:ascii="Times New Roman" w:eastAsia="SimSun" w:hAnsi="Times New Roman" w:cs="Calibri"/>
          <w:color w:val="000000" w:themeColor="text1"/>
          <w:lang w:eastAsia="hi-IN" w:bidi="hi-IN"/>
        </w:rPr>
        <w:t>ing</w:t>
      </w:r>
      <w:r w:rsidR="005860B9" w:rsidRPr="005860B9">
        <w:rPr>
          <w:rFonts w:ascii="Times New Roman" w:eastAsia="SimSun" w:hAnsi="Times New Roman" w:cs="Calibri"/>
          <w:color w:val="000000" w:themeColor="text1"/>
          <w:lang w:eastAsia="hi-IN" w:bidi="hi-IN"/>
        </w:rPr>
        <w:t xml:space="preserve"> the discussions to broader impacts in the ecosystem, the suppression of the invasive alien or pest population may harm non-target organisms that rely on the target species for the delivery of ecosystem services (such as pollination, biological control, decomposition)</w:t>
      </w:r>
      <w:r w:rsidR="009917E4">
        <w:rPr>
          <w:rFonts w:ascii="Times New Roman" w:eastAsia="SimSun" w:hAnsi="Times New Roman" w:cs="Calibri"/>
          <w:color w:val="000000" w:themeColor="text1"/>
          <w:lang w:eastAsia="hi-IN" w:bidi="hi-IN"/>
        </w:rPr>
        <w:t xml:space="preserve"> </w:t>
      </w:r>
      <w:r w:rsidR="00753A2F">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DOI":"10.1016/j.envsci.2020.02.016","ISSN":"14629011","author":[{"dropping-particle":"","family":"Romeis","given":"Jörg","non-dropping-particle":"","parse-names":false,"suffix":""},{"dropping-particle":"","family":"Collatz","given":"Jana","non-dropping-particle":"","parse-names":false,"suffix":""},{"dropping-particle":"","family":"Glandorf","given":"Debora C.M.","non-dropping-particle":"","parse-names":false,"suffix":""},{"dropping-particle":"","family":"Bonsall","given":"Michael B.","non-dropping-particle":"","parse-names":false,"suffix":""}],"container-title":"Environmental Science &amp; Policy","id":"ITEM-1","issued":{"date-parts":[["2020","6"]]},"page":"19-36","title":"The value of existing regulatory frameworks for the environmental risk assessment of agricultural pest control using gene drives","type":"article-journal","volume":"108"},"uris":["http://www.mendeley.com/documents/?uuid=7f69530c-6e20-4146-b786-2ea24c71e5f3"]}],"mendeley":{"formattedCitation":"(Romeis et al., 2020)","plainTextFormattedCitation":"(Romeis et al., 2020)","previouslyFormattedCitation":"(Romeis et al., 2020)"},"properties":{"noteIndex":0},"schema":"https://github.com/citation-style-language/schema/raw/master/csl-citation.json"}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(Romeis et al., 2020)</w:t>
      </w:r>
      <w:r w:rsidR="00753A2F">
        <w:rPr>
          <w:rFonts w:ascii="Times New Roman" w:eastAsia="SimSun" w:hAnsi="Times New Roman" w:cs="Calibri"/>
          <w:color w:val="000000" w:themeColor="text1"/>
          <w:lang w:eastAsia="hi-IN" w:bidi="hi-IN"/>
        </w:rPr>
        <w:fldChar w:fldCharType="end"/>
      </w:r>
      <w:r w:rsidR="005860B9" w:rsidRPr="005860B9">
        <w:rPr>
          <w:rFonts w:ascii="Times New Roman" w:eastAsia="SimSun" w:hAnsi="Times New Roman" w:cs="Calibri"/>
          <w:color w:val="000000" w:themeColor="text1"/>
          <w:lang w:eastAsia="hi-IN" w:bidi="hi-IN"/>
        </w:rPr>
        <w:t xml:space="preserve">. Further, the reduction of the target organism populations may result in the increase of populations of other species (niche replacement). Removing one vector/pest species could allow another potentially harmful species to take its place. </w:t>
      </w:r>
      <w:r w:rsidR="005860B9" w:rsidRPr="005860B9">
        <w:rPr>
          <w:rFonts w:ascii="Times New Roman" w:eastAsia="SimSun" w:hAnsi="Times New Roman" w:cs="Calibri"/>
          <w:color w:val="000000"/>
          <w:kern w:val="1"/>
          <w:lang w:eastAsia="hi-IN" w:bidi="hi-IN"/>
        </w:rPr>
        <w:t>In this respect</w:t>
      </w:r>
      <w:r w:rsidR="005860B9" w:rsidRPr="005860B9">
        <w:rPr>
          <w:rFonts w:ascii="Times New Roman" w:eastAsia="SimSun" w:hAnsi="Times New Roman" w:cs="Calibri"/>
          <w:color w:val="000000" w:themeColor="text1"/>
          <w:lang w:eastAsia="hi-IN" w:bidi="hi-IN"/>
        </w:rPr>
        <w:t xml:space="preserve">, technologies for population </w:t>
      </w:r>
      <w:r w:rsidR="004F27B1">
        <w:rPr>
          <w:rFonts w:ascii="Times New Roman" w:eastAsia="SimSun" w:hAnsi="Times New Roman" w:cs="Calibri"/>
          <w:color w:val="000000" w:themeColor="text1"/>
          <w:lang w:eastAsia="hi-IN" w:bidi="hi-IN"/>
        </w:rPr>
        <w:t xml:space="preserve">replacement </w:t>
      </w:r>
      <w:r w:rsidR="005860B9" w:rsidRPr="005860B9">
        <w:rPr>
          <w:rFonts w:ascii="Times New Roman" w:eastAsia="SimSun" w:hAnsi="Times New Roman" w:cs="Calibri"/>
          <w:color w:val="000000" w:themeColor="text1"/>
          <w:lang w:eastAsia="hi-IN" w:bidi="hi-IN"/>
        </w:rPr>
        <w:t xml:space="preserve">instead of population </w:t>
      </w:r>
      <w:r w:rsidR="004F27B1">
        <w:rPr>
          <w:rFonts w:ascii="Times New Roman" w:eastAsia="SimSun" w:hAnsi="Times New Roman" w:cs="Calibri"/>
          <w:color w:val="000000" w:themeColor="text1"/>
          <w:lang w:eastAsia="hi-IN" w:bidi="hi-IN"/>
        </w:rPr>
        <w:t>suppression</w:t>
      </w:r>
      <w:r w:rsidR="004F27B1" w:rsidRPr="005860B9">
        <w:rPr>
          <w:rFonts w:ascii="Times New Roman" w:eastAsia="SimSun" w:hAnsi="Times New Roman" w:cs="Calibri"/>
          <w:color w:val="000000" w:themeColor="text1"/>
          <w:lang w:eastAsia="hi-IN" w:bidi="hi-IN"/>
        </w:rPr>
        <w:t xml:space="preserve"> </w:t>
      </w:r>
      <w:r w:rsidR="005860B9" w:rsidRPr="005860B9">
        <w:rPr>
          <w:rFonts w:ascii="Times New Roman" w:eastAsia="SimSun" w:hAnsi="Times New Roman" w:cs="Calibri"/>
          <w:color w:val="000000" w:themeColor="text1"/>
          <w:lang w:eastAsia="hi-IN" w:bidi="hi-IN"/>
        </w:rPr>
        <w:t>are likely to induce less ecological harm as the target species is still present</w:t>
      </w:r>
      <w:r w:rsidR="00F97CD8">
        <w:rPr>
          <w:rFonts w:ascii="Times New Roman" w:eastAsia="SimSun" w:hAnsi="Times New Roman" w:cs="Calibri"/>
          <w:color w:val="000000" w:themeColor="text1"/>
          <w:lang w:eastAsia="hi-IN" w:bidi="hi-IN"/>
        </w:rPr>
        <w:t xml:space="preserve"> albeit in lower numbers</w:t>
      </w:r>
      <w:r w:rsidR="005860B9" w:rsidRPr="005860B9">
        <w:rPr>
          <w:rFonts w:ascii="Times New Roman" w:eastAsia="SimSun" w:hAnsi="Times New Roman" w:cs="Calibri"/>
          <w:color w:val="000000" w:themeColor="text1"/>
          <w:lang w:eastAsia="hi-IN" w:bidi="hi-IN"/>
        </w:rPr>
        <w:t xml:space="preserve">, therefore no empty niche is created </w:t>
      </w:r>
      <w:r w:rsidR="005860B9" w:rsidRPr="005860B9">
        <w:rPr>
          <w:rFonts w:ascii="Times New Roman" w:eastAsia="SimSun" w:hAnsi="Times New Roman" w:cs="Calibri"/>
          <w:color w:val="000000" w:themeColor="text1"/>
          <w:lang w:eastAsia="hi-IN" w:bidi="hi-IN"/>
        </w:rPr>
        <w:fldChar w:fldCharType="begin" w:fldLock="1"/>
      </w:r>
      <w:r w:rsidR="00E00BAC">
        <w:rPr>
          <w:rFonts w:ascii="Times New Roman" w:eastAsia="SimSun" w:hAnsi="Times New Roman" w:cs="Calibri"/>
          <w:color w:val="000000" w:themeColor="text1"/>
          <w:lang w:eastAsia="hi-IN" w:bidi="hi-IN"/>
        </w:rPr>
        <w:instrText>ADDIN CSL_CITATION {"citationItems":[{"id":"ITEM-1","itemData":{"DOI":"10.1038/s41559-017-0172","ISSN":"2397-334X","author":[{"dropping-particle":"","family":"Kopf","given":"R. Keller","non-dropping-particle":"","parse-names":false,"suffix":""},{"dropping-particle":"","family":"Nimmo","given":"Dale G.","non-dropping-particle":"","parse-names":false,"suffix":""},{"dropping-particle":"","family":"Humphries","given":"Paul","non-dropping-particle":"","parse-names":false,"suffix":""},{"dropping-particle":"","family":"Baumgartner","given":"Lee J.","non-dropping-particle":"","parse-names":false,"suffix":""},{"dropping-particle":"","family":"Bode","given":"Michael","non-dropping-particle":"","parse-names":false,"suffix":""},{"dropping-particle":"","family":"Bond","given":"Nick R.","non-dropping-particle":"","parse-names":false,"suffix":""},{"dropping-particle":"","family":"Byrom","given":"Andrea E.","non-dropping-particle":"","parse-names":false,"suffix":""},{"dropping-particle":"","family":"Cucherousset","given":"Julien","non-dropping-particle":"","parse-names":false,"suffix":""},{"dropping-particle":"","family":"Keller","given":"Reuben P.","non-dropping-particle":"","parse-names":false,"suffix":""},{"dropping-particle":"","family":"King","given":"Alison J.","non-dropping-particle":"","parse-names":false,"suffix":""},{"dropping-particle":"","family":"McGinness","given":"Heather M.","non-dropping-particle":"","parse-names":false,"suffix":""},{"dropping-particle":"","family":"Moyle","given":"Peter B.","non-dropping-particle":"","parse-names":false,"suffix":""},{"dropping-particle":"","family":"Olden","given":"Julian D.","non-dropping-particle":"","parse-names":false,"suffix":""}],"container-title":"Nature Ecology &amp; Evolution","id":"ITEM-1","issue":"6","issued":{"date-parts":[["2017","6","23"]]},"page":"0172","title":"Confronting the risks of large-scale invasive species control","type":"article-journal","volume":"1"},"uris":["http://www.mendeley.com/documents/?uuid=1d1c3d91-46ed-4ee3-97b7-da14393d6209"]},{"id":"ITEM-2","itemData":{"author":[{"dropping-particle":"","family":"Rüdelsheim","given":"Patrick","non-dropping-particle":"","parse-names":false,"suffix":""},{"dropping-particle":"","family":"Smets","given":"Greet","non-dropping-particle":"","parse-names":false,"suffix":""}],"id":"ITEM-2","issued":{"date-parts":[["2018"]]},"title":"Gene Drives: Experience with gene drive systems that may inform an environmental risk assessment","type":"report"},"uris":["http://www.mendeley.com/documents/?uuid=f7a1916d-3b2b-47a0-af68-f607cc9548e0"]}],"mendeley":{"formattedCitation":"(Kopf et al., 2017; Patrick Rüdelsheim &amp; Smets, 2018)","manualFormatting":"(Kopf et al., 2017; Rüdelsheim &amp; Smets, 2018;","plainTextFormattedCitation":"(Kopf et al., 2017; Patrick Rüdelsheim &amp; Smets, 2018)","previouslyFormattedCitation":"(Kopf et al., 2017; Patrick Rüdelsheim &amp; Smets, 2018)"},"properties":{"noteIndex":0},"schema":"https://github.com/citation-style-language/schema/raw/master/csl-citation.json"}</w:instrText>
      </w:r>
      <w:r w:rsidR="005860B9" w:rsidRPr="005860B9">
        <w:rPr>
          <w:rFonts w:ascii="Times New Roman" w:eastAsia="SimSun" w:hAnsi="Times New Roman" w:cs="Calibri"/>
          <w:color w:val="000000" w:themeColor="text1"/>
          <w:lang w:eastAsia="hi-IN" w:bidi="hi-IN"/>
        </w:rPr>
        <w:fldChar w:fldCharType="separate"/>
      </w:r>
      <w:r w:rsidR="005860B9" w:rsidRPr="00E76EFA">
        <w:rPr>
          <w:rFonts w:ascii="Times New Roman" w:eastAsia="SimSun" w:hAnsi="Times New Roman" w:cs="Calibri"/>
          <w:noProof/>
          <w:color w:val="000000" w:themeColor="text1"/>
          <w:lang w:val="en-US" w:eastAsia="hi-IN" w:bidi="hi-IN"/>
        </w:rPr>
        <w:t>(Kopf et al., 2017; Rüdelsheim &amp; Smets, 2018;</w:t>
      </w:r>
      <w:r w:rsidR="005860B9" w:rsidRPr="005860B9">
        <w:rPr>
          <w:rFonts w:ascii="Times New Roman" w:eastAsia="SimSun" w:hAnsi="Times New Roman" w:cs="Calibri"/>
          <w:color w:val="000000" w:themeColor="text1"/>
          <w:lang w:eastAsia="hi-IN" w:bidi="hi-IN"/>
        </w:rPr>
        <w:fldChar w:fldCharType="end"/>
      </w:r>
      <w:r w:rsidR="005860B9" w:rsidRPr="004316CA">
        <w:rPr>
          <w:rFonts w:ascii="Times New Roman" w:eastAsia="SimSun" w:hAnsi="Times New Roman" w:cs="Calibri"/>
          <w:color w:val="000000" w:themeColor="text1"/>
          <w:lang w:val="en-US" w:eastAsia="hi-IN" w:bidi="hi-IN"/>
        </w:rPr>
        <w:t xml:space="preserve"> </w:t>
      </w:r>
      <w:r w:rsidR="00753A2F">
        <w:rPr>
          <w:rFonts w:ascii="Times New Roman" w:eastAsia="SimSun" w:hAnsi="Times New Roman" w:cs="Calibri"/>
          <w:color w:val="000000" w:themeColor="text1"/>
          <w:lang w:val="fr-FR" w:eastAsia="hi-IN" w:bidi="hi-IN"/>
        </w:rPr>
        <w:fldChar w:fldCharType="begin" w:fldLock="1"/>
      </w:r>
      <w:r w:rsidR="00753A2F" w:rsidRPr="004316CA">
        <w:rPr>
          <w:rFonts w:ascii="Times New Roman" w:eastAsia="SimSun" w:hAnsi="Times New Roman" w:cs="Calibri"/>
          <w:color w:val="000000" w:themeColor="text1"/>
          <w:lang w:val="en-US" w:eastAsia="hi-IN" w:bidi="hi-IN"/>
        </w:rPr>
        <w:instrText>ADDIN CSL_CITATION {"citationItems":[{"id":"ITEM-1","itemData":{"author":[{"dropping-particle":"","family":"EFSA GMO Panel","given":"","non-dropping-particle":"","parse-names":false,"suffix":""}],"id":"ITEM-1","issued":{"date-parts":[["2020"]]},"number-of-pages":"103","title":"Evaluation of existing EFSA guidelines for their adequacy for the molecular characterisation and environmental risk assessment of genetically modified insects with synthetically engineered gene drives","type":"report"},"uris":["http://www.mendeley.com/documents/?uuid=5ae28c6a-35a5-4767-9c3f-d0996a2e5ee8"]}],"mendeley":{"formattedCitation":"(EFSA GMO Panel, 2020)","manualFormatting":"EFSA GMO Panel, 2020)","plainTextFormattedCitation":"(EFSA GMO Panel, 2020)","previouslyFormattedCitation":"(EFSA GMO Panel, 2020)"},"properties":{"noteIndex":0},"schema":"https://github.com/citation-style-language/schema/raw/master/csl-citation.json"}</w:instrText>
      </w:r>
      <w:r w:rsidR="00753A2F">
        <w:rPr>
          <w:rFonts w:ascii="Times New Roman" w:eastAsia="SimSun" w:hAnsi="Times New Roman" w:cs="Calibri"/>
          <w:color w:val="000000" w:themeColor="text1"/>
          <w:lang w:val="fr-FR" w:eastAsia="hi-IN" w:bidi="hi-IN"/>
        </w:rPr>
        <w:fldChar w:fldCharType="separate"/>
      </w:r>
      <w:r w:rsidR="00753A2F" w:rsidRPr="004316CA">
        <w:rPr>
          <w:rFonts w:ascii="Times New Roman" w:eastAsia="SimSun" w:hAnsi="Times New Roman" w:cs="Calibri"/>
          <w:noProof/>
          <w:color w:val="000000" w:themeColor="text1"/>
          <w:lang w:val="en-US" w:eastAsia="hi-IN" w:bidi="hi-IN"/>
        </w:rPr>
        <w:t>EFSA GMO Panel, 2020)</w:t>
      </w:r>
      <w:r w:rsidR="00753A2F">
        <w:rPr>
          <w:rFonts w:ascii="Times New Roman" w:eastAsia="SimSun" w:hAnsi="Times New Roman" w:cs="Calibri"/>
          <w:color w:val="000000" w:themeColor="text1"/>
          <w:lang w:val="fr-FR" w:eastAsia="hi-IN" w:bidi="hi-IN"/>
        </w:rPr>
        <w:fldChar w:fldCharType="end"/>
      </w:r>
      <w:r w:rsidR="005860B9" w:rsidRPr="004316CA">
        <w:rPr>
          <w:rFonts w:ascii="Times New Roman" w:eastAsia="SimSun" w:hAnsi="Times New Roman" w:cs="Calibri"/>
          <w:color w:val="000000" w:themeColor="text1"/>
          <w:lang w:val="en-US" w:eastAsia="hi-IN" w:bidi="hi-IN"/>
        </w:rPr>
        <w:t>.</w:t>
      </w:r>
      <w:r w:rsidR="008640E6" w:rsidRPr="004316CA">
        <w:rPr>
          <w:rFonts w:ascii="Times New Roman" w:eastAsia="SimSun" w:hAnsi="Times New Roman" w:cs="Calibri"/>
          <w:color w:val="000000" w:themeColor="text1"/>
          <w:lang w:val="en-US" w:eastAsia="hi-IN" w:bidi="hi-IN"/>
        </w:rPr>
        <w:t xml:space="preserve"> </w:t>
      </w:r>
      <w:r w:rsidR="005860B9" w:rsidRPr="005860B9">
        <w:rPr>
          <w:rFonts w:ascii="Times New Roman" w:eastAsia="SimSun" w:hAnsi="Times New Roman" w:cs="Calibri"/>
          <w:color w:val="000000" w:themeColor="text1"/>
          <w:lang w:eastAsia="hi-IN" w:bidi="hi-IN"/>
        </w:rPr>
        <w:t>Moreover, the reduction of abundance (or extinction) of the target species can have consequences for e.g. predators, competitors and prey, due to its ecological role, such as resource, consumer, competitor, or disease vector. These links create dynamic feedbacks that affect the relative abundances of different species, for example it is common for populations of non-target invasive species to emerge and increase due to reduced competition or predation following control or eradication of a single (e.g. target) species</w:t>
      </w:r>
      <w:r w:rsidR="00CB5D82">
        <w:rPr>
          <w:rFonts w:ascii="Times New Roman" w:eastAsia="SimSun" w:hAnsi="Times New Roman" w:cs="Calibri"/>
          <w:color w:val="000000" w:themeColor="text1"/>
          <w:lang w:eastAsia="hi-IN" w:bidi="hi-IN"/>
        </w:rPr>
        <w:t xml:space="preserve"> </w:t>
      </w:r>
      <w:r w:rsidR="006C228B">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{"citationItems":[{"id":"ITEM-1","itemData":{"DOI":"10.1002/ecs2.2415","ISSN":"21508925","abstract":"The impacts of invasive species generally increase with their abundance, but the form of invader abundance–impact relationships remain poorly described. We highlight the utility of abundance–impact curves for three questions. First, abundance–impact relationships can clarify whether prevention and management should focus on the species likely to become abundant or those likely to cause large impacts per individual. Second, comparing abundance–impact relationships between native and exotic species can reveal any systematic differences in their effects on ecological systems. Third, identifying any thresholds in the relationship between invader impact and abundance can be used to select management targets and design invasive species control strategies. With increasing extent and resolution of datasets of invasive organisms worldwide, we now have the opportunity to explore in detail the form and context dependence of the abundance–impact relationship. Doing so provides opportunities to improve the prediction of invader impact, to better understand the differences between exotic and resident organisms, and to scale the impacts of invasive species from localities to ranges.","author":[{"dropping-particle":"","family":"Sofaer","given":"Helen R.","non-dropping-particle":"","parse-names":false,"suffix":""},{"dropping-particle":"","family":"Jarnevich","given":"Catherine S.","non-dropping-particle":"","parse-names":false,"suffix":""},{"dropping-particle":"","family":"Pearse","given":"Ian S.","non-dropping-particle":"","parse-names":false,"suffix":""}],"container-title":"Ecosphere","id":"ITEM-1","issue":"9","issued":{"date-parts":[["2018","9"]]},"page":"e02415","publisher":"Wiley-Blackwell","title":"The relationship between invader abundance and impact","type":"article-journal","volume":"9"},"uris":["http://www.mendeley.com/documents/?uuid=e11c8cc9-93b8-4b7e-9c48-20ea86454e77"]}],"mendeley":{"formattedCitation":"(Sofaer et al., 2018)","plainTextFormattedCitation":"(Sofaer et al., 2018)","previouslyFormattedCitation":"(Sofaer et al., 2018)"},"properties":{"noteIndex":0},"schema":"https://github.com/citation-style-language/schema/raw/master/csl-citation.json"}</w:instrText>
      </w:r>
      <w:r w:rsidR="006C228B">
        <w:rPr>
          <w:rFonts w:ascii="Times New Roman" w:eastAsia="SimSun" w:hAnsi="Times New Roman" w:cs="Calibri"/>
          <w:color w:val="000000" w:themeColor="text1"/>
          <w:lang w:eastAsia="hi-IN" w:bidi="hi-IN"/>
        </w:rPr>
        <w:fldChar w:fldCharType="separate"/>
      </w:r>
      <w:r w:rsidR="006C228B" w:rsidRPr="006C228B">
        <w:rPr>
          <w:rFonts w:ascii="Times New Roman" w:eastAsia="SimSun" w:hAnsi="Times New Roman" w:cs="Calibri"/>
          <w:noProof/>
          <w:color w:val="000000" w:themeColor="text1"/>
          <w:lang w:eastAsia="hi-IN" w:bidi="hi-IN"/>
        </w:rPr>
        <w:t>(Sofaer et al., 2018)</w:t>
      </w:r>
      <w:r w:rsidR="006C228B">
        <w:rPr>
          <w:rFonts w:ascii="Times New Roman" w:eastAsia="SimSun" w:hAnsi="Times New Roman" w:cs="Calibri"/>
          <w:color w:val="000000" w:themeColor="text1"/>
          <w:lang w:eastAsia="hi-IN" w:bidi="hi-IN"/>
        </w:rPr>
        <w:fldChar w:fldCharType="end"/>
      </w:r>
      <w:r w:rsidR="005860B9" w:rsidRPr="005860B9">
        <w:rPr>
          <w:rFonts w:ascii="Times New Roman" w:eastAsia="SimSun" w:hAnsi="Times New Roman" w:cs="Calibri"/>
          <w:color w:val="000000" w:themeColor="text1"/>
          <w:lang w:eastAsia="hi-IN" w:bidi="hi-IN"/>
        </w:rPr>
        <w:t>.</w:t>
      </w:r>
    </w:p>
    <w:p w14:paraId="01D49B02" w14:textId="051B7D3C" w:rsidR="00A720A9" w:rsidRDefault="00A720A9" w:rsidP="005860B9">
      <w:pPr>
        <w:spacing w:before="120" w:after="120" w:line="240" w:lineRule="auto"/>
        <w:jc w:val="both"/>
        <w:rPr>
          <w:rFonts w:ascii="Times New Roman" w:eastAsia="SimSun" w:hAnsi="Times New Roman" w:cs="Calibri"/>
          <w:color w:val="000000" w:themeColor="text1"/>
          <w:lang w:eastAsia="hi-IN" w:bidi="hi-IN"/>
        </w:rPr>
      </w:pPr>
      <w:r w:rsidRPr="00A720A9">
        <w:rPr>
          <w:rFonts w:ascii="Times New Roman" w:eastAsia="SimSun" w:hAnsi="Times New Roman" w:cs="Calibri"/>
          <w:color w:val="000000" w:themeColor="text1"/>
          <w:lang w:eastAsia="hi-IN" w:bidi="hi-IN"/>
        </w:rPr>
        <w:t xml:space="preserve">Depending on the intent or perspective of each application containing an engineered gene drive, persistence in the environment could be considered either a positive or negative feature. Some gene drive-engineered organisms might persist for only a limited number of generations. Others may persist for years. Geographic spread is of course related to persistence. </w:t>
      </w:r>
      <w:r w:rsidR="005877AF">
        <w:rPr>
          <w:rFonts w:ascii="Times New Roman" w:eastAsia="SimSun" w:hAnsi="Times New Roman" w:cs="Calibri"/>
          <w:color w:val="000000" w:themeColor="text1"/>
          <w:lang w:eastAsia="hi-IN" w:bidi="hi-IN"/>
        </w:rPr>
        <w:t>A</w:t>
      </w:r>
      <w:r w:rsidR="003913A0">
        <w:rPr>
          <w:rFonts w:ascii="Times New Roman" w:eastAsia="SimSun" w:hAnsi="Times New Roman" w:cs="Calibri"/>
          <w:color w:val="000000" w:themeColor="text1"/>
          <w:lang w:eastAsia="hi-IN" w:bidi="hi-IN"/>
        </w:rPr>
        <w:t>n</w:t>
      </w:r>
      <w:r w:rsidRPr="00A720A9">
        <w:rPr>
          <w:rFonts w:ascii="Times New Roman" w:eastAsia="SimSun" w:hAnsi="Times New Roman" w:cs="Calibri"/>
          <w:color w:val="000000" w:themeColor="text1"/>
          <w:lang w:eastAsia="hi-IN" w:bidi="hi-IN"/>
        </w:rPr>
        <w:t xml:space="preserve"> </w:t>
      </w:r>
      <w:r w:rsidR="003913A0" w:rsidRPr="00A720A9">
        <w:rPr>
          <w:rFonts w:ascii="Times New Roman" w:eastAsia="SimSun" w:hAnsi="Times New Roman" w:cs="Calibri"/>
          <w:color w:val="000000" w:themeColor="text1"/>
          <w:lang w:eastAsia="hi-IN" w:bidi="hi-IN"/>
        </w:rPr>
        <w:t xml:space="preserve">engineered </w:t>
      </w:r>
      <w:r w:rsidRPr="00A720A9">
        <w:rPr>
          <w:rFonts w:ascii="Times New Roman" w:eastAsia="SimSun" w:hAnsi="Times New Roman" w:cs="Calibri"/>
          <w:color w:val="000000" w:themeColor="text1"/>
          <w:lang w:eastAsia="hi-IN" w:bidi="hi-IN"/>
        </w:rPr>
        <w:t xml:space="preserve">gene-drive organism that has been designed to spread will not get very far unless it can persist in the wild </w:t>
      </w:r>
      <w:r w:rsidR="00753A2F">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{"citationItems":[{"id":"ITEM-1","itemData":{"author":[{"dropping-particle":"","family":"EFSA GMO Panel","given":"","non-dropping-particle":"","parse-names":false,"suffix":""}],"id":"ITEM-1","issued":{"date-parts":[["2020"]]},"number-of-pages":"103","title":"Evaluation of existing EFSA guidelines for their adequacy for the molecular characterisation and environmental risk assessment of genetically modified insects with synthetically engineered gene drives","type":"report"},"uris":["http://www.mendeley.com/documents/?uuid=5ae28c6a-35a5-4767-9c3f-d0996a2e5ee8"]},{"id":"ITEM-2","itemData":{"author":[{"dropping-particle":"","family":"Friedman","given":"Robert M.","non-dropping-particle":"","parse-names":false,"suffix":""},{"dropping-particle":"","family":"Marshall","given":"John M.","non-dropping-particle":"","parse-names":false,"suffix":""},{"dropping-particle":"","family":"Akbari","given":"Omar S.","non-dropping-particle":"","parse-names":false,"suffix":""}],"container-title":"Issues in Science and Technology","id":"ITEM-2","issue":"2","issued":{"date-parts":[["2020"]]},"page":"72-78","title":"Gene Drives: New and Improved","type":"article-journal","volume":"36"},"uris":["http://www.mendeley.com/documents/?uuid=b97d80a8-4279-49c2-9870-85db1f984289"]}],"mendeley":{"formattedCitation":"(EFSA GMO Panel, 2020; Friedman et al., 2020)","plainTextFormattedCitation":"(EFSA GMO Panel, 2020; Friedman et al., 2020)","previouslyFormattedCitation":"(EFSA GMO Panel, 2020; Friedman et al., 2020)"},"properties":{"noteIndex":0},"schema":"https://github.com/citation-style-language/schema/raw/master/csl-citation.json"}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(EFSA GMO Panel, 2020; Friedman et al., 2020)</w:t>
      </w:r>
      <w:r w:rsidR="00753A2F">
        <w:rPr>
          <w:rFonts w:ascii="Times New Roman" w:eastAsia="SimSun" w:hAnsi="Times New Roman" w:cs="Calibri"/>
          <w:color w:val="000000" w:themeColor="text1"/>
          <w:lang w:eastAsia="hi-IN" w:bidi="hi-IN"/>
        </w:rPr>
        <w:fldChar w:fldCharType="end"/>
      </w:r>
      <w:r w:rsidRPr="00A720A9">
        <w:rPr>
          <w:rFonts w:ascii="Times New Roman" w:eastAsia="SimSun" w:hAnsi="Times New Roman" w:cs="Calibri"/>
          <w:color w:val="000000" w:themeColor="text1"/>
          <w:lang w:eastAsia="hi-IN" w:bidi="hi-IN"/>
        </w:rPr>
        <w:t xml:space="preserve">. </w:t>
      </w:r>
      <w:r w:rsidR="006172D8" w:rsidRPr="006172D8">
        <w:rPr>
          <w:rFonts w:ascii="Times New Roman" w:eastAsia="SimSun" w:hAnsi="Times New Roman" w:cs="Calibri"/>
          <w:color w:val="000000" w:themeColor="text1"/>
          <w:lang w:eastAsia="hi-IN" w:bidi="hi-IN"/>
        </w:rPr>
        <w:t xml:space="preserve">Concerns over </w:t>
      </w:r>
      <w:r w:rsidR="002239F8">
        <w:rPr>
          <w:rFonts w:ascii="Times New Roman" w:eastAsia="SimSun" w:hAnsi="Times New Roman" w:cs="Calibri"/>
          <w:color w:val="000000" w:themeColor="text1"/>
          <w:lang w:eastAsia="hi-IN" w:bidi="hi-IN"/>
        </w:rPr>
        <w:t>the</w:t>
      </w:r>
      <w:r w:rsidR="006172D8" w:rsidRPr="006172D8">
        <w:rPr>
          <w:rFonts w:ascii="Times New Roman" w:eastAsia="SimSun" w:hAnsi="Times New Roman" w:cs="Calibri"/>
          <w:color w:val="000000" w:themeColor="text1"/>
          <w:lang w:eastAsia="hi-IN" w:bidi="hi-IN"/>
        </w:rPr>
        <w:t xml:space="preserve"> lack of controllability have been raised by gene drive developers who have </w:t>
      </w:r>
      <w:r w:rsidR="00176D64">
        <w:rPr>
          <w:rFonts w:ascii="Times New Roman" w:eastAsia="SimSun" w:hAnsi="Times New Roman" w:cs="Calibri"/>
          <w:color w:val="000000" w:themeColor="text1"/>
          <w:lang w:eastAsia="hi-IN" w:bidi="hi-IN"/>
        </w:rPr>
        <w:t>reported</w:t>
      </w:r>
      <w:r w:rsidR="006172D8" w:rsidRPr="006172D8">
        <w:rPr>
          <w:rFonts w:ascii="Times New Roman" w:eastAsia="SimSun" w:hAnsi="Times New Roman" w:cs="Calibri"/>
          <w:color w:val="000000" w:themeColor="text1"/>
          <w:lang w:eastAsia="hi-IN" w:bidi="hi-IN"/>
        </w:rPr>
        <w:t xml:space="preserve"> that gene drives are likely to be ‘highly invasive’ and spread to most interbreeding populations </w:t>
      </w:r>
      <w:r w:rsidR="00753A2F">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{"citationItems":[{"id":"ITEM-1","itemData":{"DOI":"10.7554/eLife.33423","ISSN":"2050-084X","abstract":"Recent reports have suggested that self-propagating CRISPR-based gene drive systems are unlikely to efficiently invade wild populations due to drive-resistant alleles that prevent cutting. Here we develop mathematical models based on existing empirical data to explicitly test this assumption for population alteration drives. Our models show that although resistance prevents spread to fixation in large populations, even the least effective drive systems reported to date are likely to be highly invasive. Releasing a small number of organisms will often cause invasion of the local population, followed by invasion of additional populations connected by very low rates of gene flow. Hence, initiating contained field trials as tentatively endorsed by the National Academies report on gene drive could potentially result in unintended spread to additional populations. Our mathematical results suggest that self-propagating gene drive is best suited to applications such as malaria prevention that seek to affect all wild populations of the target species.","author":[{"dropping-particle":"","family":"Noble","given":"Charleston","non-dropping-particle":"","parse-names":false,"suffix":""},{"dropping-particle":"","family":"Adlam","given":"Ben","non-dropping-particle":"","parse-names":false,"suffix":""},{"dropping-particle":"","family":"Church","given":"George M","non-dropping-particle":"","parse-names":false,"suffix":""},{"dropping-particle":"","family":"Esvelt","given":"Kevin M","non-dropping-particle":"","parse-names":false,"suffix":""},{"dropping-particle":"","family":"Nowak","given":"Martin A","non-dropping-particle":"","parse-names":false,"suffix":""}],"container-title":"eLife","id":"ITEM-1","issued":{"date-parts":[["2018","6","19"]]},"title":"Current CRISPR gene drive systems are likely to be highly invasive in wild populations","type":"article-journal","volume":"7"},"uris":["http://www.mendeley.com/documents/?uuid=591adde3-3527-4f9f-b8e1-236507579048"]},{"id":"ITEM-2","itemData":{"author":[{"dropping-particle":"","family":"Sirinathsinghji","given":"Eva","non-dropping-particle":"","parse-names":false,"suffix":""}],"id":"ITEM-2","issued":{"date-parts":[["2019","5"]]},"publisher-place":"Johannesburg","title":"Gene Drive Organisms. What Africa Should Know About Actors Motives and Threats to Biodiversity and Food Systems","type":"report"},"uris":["http://www.mendeley.com/documents/?uuid=adadf1da-3ab3-4f71-a475-29180a3c3318"]}],"mendeley":{"formattedCitation":"(Noble et al., 2018; Sirinathsinghji, 2019)","plainTextFormattedCitation":"(Noble et al., 2018; Sirinathsinghji, 2019)","previouslyFormattedCitation":"(Noble et al., 2018; Sirinathsinghji, 2019)"},"properties":{"noteIndex":0},"schema":"https://github.com/citation-style-language/schema/raw/master/csl-citation.json"}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(Noble et al., 2018; Sirinathsinghji, 2019)</w:t>
      </w:r>
      <w:r w:rsidR="00753A2F">
        <w:rPr>
          <w:rFonts w:ascii="Times New Roman" w:eastAsia="SimSun" w:hAnsi="Times New Roman" w:cs="Calibri"/>
          <w:color w:val="000000" w:themeColor="text1"/>
          <w:lang w:eastAsia="hi-IN" w:bidi="hi-IN"/>
        </w:rPr>
        <w:fldChar w:fldCharType="end"/>
      </w:r>
      <w:r w:rsidR="006172D8" w:rsidRPr="00701670">
        <w:rPr>
          <w:rFonts w:ascii="Times New Roman" w:eastAsia="SimSun" w:hAnsi="Times New Roman" w:cs="Calibri"/>
          <w:color w:val="000000" w:themeColor="text1"/>
          <w:lang w:eastAsia="hi-IN" w:bidi="hi-IN"/>
        </w:rPr>
        <w:t>.</w:t>
      </w:r>
      <w:r w:rsidR="006172D8">
        <w:rPr>
          <w:rFonts w:ascii="Times New Roman" w:eastAsia="SimSun" w:hAnsi="Times New Roman" w:cs="Calibri"/>
          <w:color w:val="000000" w:themeColor="text1"/>
          <w:lang w:eastAsia="hi-IN" w:bidi="hi-IN"/>
        </w:rPr>
        <w:t xml:space="preserve"> </w:t>
      </w:r>
      <w:r w:rsidRPr="00A720A9">
        <w:rPr>
          <w:rFonts w:ascii="Times New Roman" w:eastAsia="SimSun" w:hAnsi="Times New Roman" w:cs="Calibri"/>
          <w:color w:val="000000" w:themeColor="text1"/>
          <w:lang w:eastAsia="hi-IN" w:bidi="hi-IN"/>
        </w:rPr>
        <w:t xml:space="preserve">It has also been noted that if drives do propagate as intended, there is considerable uncertainty about the extent of the geographic areas they will eventually </w:t>
      </w:r>
      <w:r w:rsidR="00741130">
        <w:rPr>
          <w:rFonts w:ascii="Times New Roman" w:eastAsia="SimSun" w:hAnsi="Times New Roman" w:cs="Calibri"/>
          <w:color w:val="000000" w:themeColor="text1"/>
          <w:lang w:eastAsia="hi-IN" w:bidi="hi-IN"/>
        </w:rPr>
        <w:t>inhabit</w:t>
      </w:r>
      <w:r w:rsidRPr="00A720A9">
        <w:rPr>
          <w:rFonts w:ascii="Times New Roman" w:eastAsia="SimSun" w:hAnsi="Times New Roman" w:cs="Calibri"/>
          <w:color w:val="000000" w:themeColor="text1"/>
          <w:lang w:eastAsia="hi-IN" w:bidi="hi-IN"/>
        </w:rPr>
        <w:t xml:space="preserve"> and the numbers of species that might be affected</w:t>
      </w:r>
      <w:r w:rsidR="00753A2F">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{"citationItems":[{"id":"ITEM-1","itemData":{"ISBN":"978-3-00-062389-9","author":[{"dropping-particle":"","family":"Critical Scientists Switzerland","given":"","non-dropping-particle":"","parse-names":false,"suffix":""},{"dropping-particle":"","family":"European Network of Scientists for Social and Environmental Responsibility","given":"","non-dropping-particle":"","parse-names":false,"suffix":""},{"dropping-particle":"","family":"Vereinigung Deutscher Wissenschaftler","given":"","non-dropping-particle":"","parse-names":false,"suffix":""}],"id":"ITEM-1","issued":{"date-parts":[["2019"]]},"number-of-pages":"338","title":"Gene drives: A report on their science, applications, social aspects, ethics and regulations","type":"report"},"uris":["http://www.mendeley.com/documents/?uuid=9d2bd965-d30e-4b48-b695-3523a70e12a6"]}],"mendeley":{"formattedCitation":"(Critical Scientists Switzerland et al., 2019a)","manualFormatting":"(Critical Scientists Switzerland et al., 2019)","plainTextFormattedCitation":"(Critical Scientists Switzerland et al., 2019a)","previouslyFormattedCitation":"(Critical Scientists Switzerland et al., 2019a)"},"properties":{"noteIndex":0},"schema":"https://github.com/citation-style-language/schema/raw/master/csl-citation.json"}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(Critical Scientists Switzerland et al., 2019)</w:t>
      </w:r>
      <w:r w:rsidR="00753A2F">
        <w:rPr>
          <w:rFonts w:ascii="Times New Roman" w:eastAsia="SimSun" w:hAnsi="Times New Roman" w:cs="Calibri"/>
          <w:color w:val="000000" w:themeColor="text1"/>
          <w:lang w:eastAsia="hi-IN" w:bidi="hi-IN"/>
        </w:rPr>
        <w:fldChar w:fldCharType="end"/>
      </w:r>
      <w:r w:rsidRPr="00701670">
        <w:rPr>
          <w:rFonts w:ascii="Times New Roman" w:eastAsia="SimSun" w:hAnsi="Times New Roman" w:cs="Calibri"/>
          <w:color w:val="000000" w:themeColor="text1"/>
          <w:lang w:eastAsia="hi-IN" w:bidi="hi-IN"/>
        </w:rPr>
        <w:t>.</w:t>
      </w:r>
      <w:r w:rsidR="00511435" w:rsidRPr="00511435">
        <w:t xml:space="preserve"> </w:t>
      </w:r>
      <w:r w:rsidR="00511435" w:rsidRPr="00511435">
        <w:rPr>
          <w:rFonts w:ascii="Times New Roman" w:eastAsia="SimSun" w:hAnsi="Times New Roman" w:cs="Calibri"/>
          <w:color w:val="000000" w:themeColor="text1"/>
          <w:lang w:eastAsia="hi-IN" w:bidi="hi-IN"/>
        </w:rPr>
        <w:t xml:space="preserve">Given that </w:t>
      </w:r>
      <w:r w:rsidR="00511435">
        <w:rPr>
          <w:rFonts w:ascii="Times New Roman" w:eastAsia="SimSun" w:hAnsi="Times New Roman" w:cs="Calibri"/>
          <w:color w:val="000000" w:themeColor="text1"/>
          <w:lang w:eastAsia="hi-IN" w:bidi="hi-IN"/>
        </w:rPr>
        <w:t>organisms containing engineered gene drives</w:t>
      </w:r>
      <w:r w:rsidR="00511435" w:rsidRPr="00511435">
        <w:rPr>
          <w:rFonts w:ascii="Times New Roman" w:eastAsia="SimSun" w:hAnsi="Times New Roman" w:cs="Calibri"/>
          <w:color w:val="000000" w:themeColor="text1"/>
          <w:lang w:eastAsia="hi-IN" w:bidi="hi-IN"/>
        </w:rPr>
        <w:t xml:space="preserve"> can potentially impact biodiversity, national sovereignty and food security, there is a crucial need to develop strategies to minimise any potential risk, including those of intentional and unintentional spread and to mitigate harm to humans or the environment</w:t>
      </w:r>
      <w:r w:rsidR="00B11237">
        <w:rPr>
          <w:rFonts w:ascii="Times New Roman" w:eastAsia="SimSun" w:hAnsi="Times New Roman" w:cs="Calibri"/>
          <w:color w:val="000000" w:themeColor="text1"/>
          <w:lang w:eastAsia="hi-IN" w:bidi="hi-IN"/>
        </w:rPr>
        <w:t xml:space="preserve"> </w:t>
      </w:r>
      <w:r w:rsidR="00753A2F">
        <w:rPr>
          <w:rFonts w:ascii="Times New Roman" w:eastAsia="SimSun" w:hAnsi="Times New Roman" w:cs="Calibri"/>
          <w:color w:val="000000" w:themeColor="text1"/>
          <w:lang w:eastAsia="hi-IN" w:bidi="hi-IN"/>
        </w:rPr>
        <w:fldChar w:fldCharType="begin" w:fldLock="1"/>
      </w:r>
      <w:r w:rsidR="006B456E">
        <w:rPr>
          <w:rFonts w:ascii="Times New Roman" w:eastAsia="SimSun" w:hAnsi="Times New Roman" w:cs="Calibri"/>
          <w:color w:val="000000" w:themeColor="text1"/>
          <w:lang w:eastAsia="hi-IN" w:bidi="hi-IN"/>
        </w:rPr>
        <w:instrText>ADDIN CSL_CITATION {"citationItems":[{"id":"ITEM-1","itemData":{"DOI":"10.1038/nbt.3412","ISSN":"1087-0156","author":[{"dropping-particle":"","family":"DiCarlo","given":"James E","non-dropping-particle":"","parse-names":false,"suffix":""},{"dropping-particle":"","family":"Chavez","given":"Alejandro","non-dropping-particle":"","parse-names":false,"suffix":""},{"dropping-particle":"","family":"Dietz","given":"Sven L","non-dropping-particle":"","parse-names":false,"suffix":""},{"dropping-particle":"","family":"Esvelt","given":"Kevin M","non-dropping-particle":"","parse-names":false,"suffix":""},{"dropping-particle":"","family":"Church","given":"George M","non-dropping-particle":"","parse-names":false,"suffix":""}],"container-title":"Nature Biotechnology","id":"ITEM-1","issue":"12","issued":{"date-parts":[["2015","12","16"]]},"page":"1250-1255","title":"Safeguarding CRISPR-Cas9 gene drives in yeast","type":"article-journal","volume":"33"},"uris":["http://www.mendeley.com/documents/?uuid=533fd4d3-01fc-46f4-a456-7d79cceb7cd0"]},{"id":"ITEM-2","itemData":{"DOI":"10.1080/21683565.2019.1591566","ISSN":"21683573","abstract":"Since the mid-1990s, the emphasis of genetic engineering in agriculture has been squarely on the crops and livestock that farmers long ago domesticated and now cultivate. With CRISPR-Cas9, the modification of seeds and breeds continues apace–but the technology has also cracked open something new. Gene drives, newly enabled by CRISPR, have brought an unprecedented possibility to propel mutations through populations in the wild. With gene drive has come the promise not just of modifying seeds but of reshaping weeds, insects, and many other organisms comprising the larger-farm ecosystem. This commentary essay explores the social and ecological implications of gene-driving agriculture. What does it mean for biologically diversified agriculture? For IP rights over wider spheres of knowledge and nature? What are the limits of knowledge to predict outcomes in complex agroecosystems, and who gets to decide what gene drives will do?.","author":[{"dropping-particle":"","family":"Wit","given":"Maywa Montenegro","non-dropping-particle":"de","parse-names":false,"suffix":""}],"container-title":"Agroecology and Sustainable Food Systems","id":"ITEM-2","issue":"9","issued":{"date-parts":[["2019"]]},"page":"1054-1074","publisher":"Taylor and Francis Inc.","title":"Gene driving the farm: who decides, who owns, and who benefits?","type":"article-journal","volume":"43"},"uris":["http://www.mendeley.com/documents/?uuid=e19795b9-d289-4afd-acdc-5cba4d1d0d59"]},{"id":"ITEM-3","itemData":{"DOI":"10.17226/23405","ISBN":"978-0-309-43787-5","author":[{"dropping-particle":"","family":"National Academies of Sciences Engineering and Medicine","given":"","non-dropping-particle":"","parse-names":false,"suffix":""}],"id":"ITEM-3","issued":{"date-parts":[["2016","7","28"]]},"publisher":"National Academies Press","publisher-place":"Washington, D.C.","title":"Gene Drives on the Horizon","type":"report"},"uris":["http://www.mendeley.com/documents/?uuid=33223aff-952f-4fa1-9f9a-6b5bbe652967"]}],"mendeley":{"formattedCitation":"(de Wit, 2019; DiCarlo et al., 2015; National Academies of Sciences Engineering and Medicine, 2016c)","plainTextFormattedCitation":"(de Wit, 2019; DiCarlo et al., 2015; National Academies of Sciences Engineering and Medicine, 2016c)","previouslyFormattedCitation":"(de Wit, 2019; DiCarlo et al., 2015; National Academies of Sciences Engineering and Medicine, 2016c)"},"properties":{"noteIndex":0},"schema":"https://github.com/citation-style-language/schema/raw/master/csl-citation.json"}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6B456E" w:rsidRPr="006B456E">
        <w:rPr>
          <w:rFonts w:ascii="Times New Roman" w:eastAsia="SimSun" w:hAnsi="Times New Roman" w:cs="Calibri"/>
          <w:noProof/>
          <w:color w:val="000000" w:themeColor="text1"/>
          <w:lang w:eastAsia="hi-IN" w:bidi="hi-IN"/>
        </w:rPr>
        <w:t>(de Wit, 2019; DiCarlo et al., 2015; National Academies of Sciences Engineering and Medicine, 2016)</w:t>
      </w:r>
      <w:r w:rsidR="00753A2F">
        <w:rPr>
          <w:rFonts w:ascii="Times New Roman" w:eastAsia="SimSun" w:hAnsi="Times New Roman" w:cs="Calibri"/>
          <w:color w:val="000000" w:themeColor="text1"/>
          <w:lang w:eastAsia="hi-IN" w:bidi="hi-IN"/>
        </w:rPr>
        <w:fldChar w:fldCharType="end"/>
      </w:r>
      <w:r w:rsidR="00F314BF">
        <w:rPr>
          <w:rFonts w:ascii="Times New Roman" w:eastAsia="SimSun" w:hAnsi="Times New Roman" w:cs="Calibri"/>
          <w:color w:val="000000" w:themeColor="text1"/>
          <w:lang w:eastAsia="hi-IN" w:bidi="hi-IN"/>
        </w:rPr>
        <w:t>.</w:t>
      </w:r>
    </w:p>
    <w:p w14:paraId="06A96F16" w14:textId="647DC340" w:rsidR="00C22180" w:rsidRPr="00701670" w:rsidRDefault="004504EC" w:rsidP="00D62992">
      <w:pPr>
        <w:pStyle w:val="Heading3"/>
        <w:rPr>
          <w:lang w:bidi="hi-IN"/>
        </w:rPr>
      </w:pPr>
      <w:bookmarkStart w:id="82" w:name="_Toc70112686"/>
      <w:bookmarkStart w:id="83" w:name="_Toc70685708"/>
      <w:r w:rsidRPr="00701670">
        <w:rPr>
          <w:lang w:bidi="hi-IN"/>
        </w:rPr>
        <w:t>4</w:t>
      </w:r>
      <w:r w:rsidR="009515CE" w:rsidRPr="00701670">
        <w:rPr>
          <w:lang w:bidi="hi-IN"/>
        </w:rPr>
        <w:t>.2</w:t>
      </w:r>
      <w:r w:rsidR="00701670">
        <w:rPr>
          <w:b/>
          <w:lang w:val="en-US" w:bidi="hi-IN"/>
        </w:rPr>
        <w:t>.</w:t>
      </w:r>
      <w:r w:rsidR="009515CE" w:rsidRPr="00701670">
        <w:rPr>
          <w:lang w:bidi="hi-IN"/>
        </w:rPr>
        <w:t xml:space="preserve"> </w:t>
      </w:r>
      <w:r w:rsidR="5174829A" w:rsidRPr="00701670">
        <w:rPr>
          <w:lang w:bidi="hi-IN"/>
        </w:rPr>
        <w:t>Improved agricultural performance</w:t>
      </w:r>
      <w:bookmarkEnd w:id="82"/>
      <w:bookmarkEnd w:id="83"/>
    </w:p>
    <w:p w14:paraId="23B2EC7D" w14:textId="0FFAFD64" w:rsidR="00791979" w:rsidRPr="00395495" w:rsidRDefault="00E21124" w:rsidP="00C9316D">
      <w:pPr>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One area </w:t>
      </w:r>
      <w:r w:rsidR="00604A68">
        <w:rPr>
          <w:rFonts w:ascii="Times New Roman" w:eastAsia="SimSun" w:hAnsi="Times New Roman" w:cs="Calibri"/>
          <w:color w:val="000000" w:themeColor="text1"/>
          <w:lang w:eastAsia="hi-IN" w:bidi="hi-IN"/>
        </w:rPr>
        <w:t xml:space="preserve">receiving intensive </w:t>
      </w:r>
      <w:r w:rsidR="006A4E15">
        <w:rPr>
          <w:rFonts w:ascii="Times New Roman" w:eastAsia="SimSun" w:hAnsi="Times New Roman" w:cs="Calibri"/>
          <w:color w:val="000000" w:themeColor="text1"/>
          <w:lang w:eastAsia="hi-IN" w:bidi="hi-IN"/>
        </w:rPr>
        <w:t>attention from developers using synthetic biology</w:t>
      </w:r>
      <w:r w:rsidR="003D60C1">
        <w:rPr>
          <w:rFonts w:ascii="Times New Roman" w:eastAsia="SimSun" w:hAnsi="Times New Roman" w:cs="Calibri"/>
          <w:color w:val="000000" w:themeColor="text1"/>
          <w:lang w:eastAsia="hi-IN" w:bidi="hi-IN"/>
        </w:rPr>
        <w:t xml:space="preserve"> techniques </w:t>
      </w:r>
      <w:r w:rsidR="009629BC">
        <w:rPr>
          <w:rFonts w:ascii="Times New Roman" w:eastAsia="SimSun" w:hAnsi="Times New Roman" w:cs="Calibri"/>
          <w:color w:val="000000" w:themeColor="text1"/>
          <w:lang w:eastAsia="hi-IN" w:bidi="hi-IN"/>
        </w:rPr>
        <w:t>centres around the use of resources in</w:t>
      </w:r>
      <w:r w:rsidR="005A25CA">
        <w:rPr>
          <w:rFonts w:ascii="Times New Roman" w:eastAsia="SimSun" w:hAnsi="Times New Roman" w:cs="Calibri"/>
          <w:color w:val="000000" w:themeColor="text1"/>
          <w:lang w:eastAsia="hi-IN" w:bidi="hi-IN"/>
        </w:rPr>
        <w:t xml:space="preserve"> agriculture</w:t>
      </w:r>
      <w:r w:rsidR="00CD6806">
        <w:rPr>
          <w:rFonts w:ascii="Times New Roman" w:eastAsia="SimSun" w:hAnsi="Times New Roman" w:cs="Calibri"/>
          <w:color w:val="000000" w:themeColor="text1"/>
          <w:lang w:eastAsia="hi-IN" w:bidi="hi-IN"/>
        </w:rPr>
        <w:t xml:space="preserve">, </w:t>
      </w:r>
      <w:r w:rsidR="003A3982">
        <w:rPr>
          <w:rFonts w:ascii="Times New Roman" w:eastAsia="SimSun" w:hAnsi="Times New Roman" w:cs="Calibri"/>
          <w:color w:val="000000" w:themeColor="text1"/>
          <w:lang w:eastAsia="hi-IN" w:bidi="hi-IN"/>
        </w:rPr>
        <w:t xml:space="preserve">from strategies to </w:t>
      </w:r>
      <w:r w:rsidR="00CC551A">
        <w:rPr>
          <w:rFonts w:ascii="Times New Roman" w:eastAsia="SimSun" w:hAnsi="Times New Roman" w:cs="Calibri"/>
          <w:color w:val="000000" w:themeColor="text1"/>
          <w:lang w:eastAsia="hi-IN" w:bidi="hi-IN"/>
        </w:rPr>
        <w:t>reduce/replace chemical inputs</w:t>
      </w:r>
      <w:r w:rsidR="00F73C02">
        <w:rPr>
          <w:rFonts w:ascii="Times New Roman" w:eastAsia="SimSun" w:hAnsi="Times New Roman" w:cs="Calibri"/>
          <w:color w:val="000000" w:themeColor="text1"/>
          <w:lang w:eastAsia="hi-IN" w:bidi="hi-IN"/>
        </w:rPr>
        <w:t xml:space="preserve"> (e.g. Pivot Bio’s </w:t>
      </w:r>
      <w:r w:rsidR="00516315">
        <w:rPr>
          <w:rFonts w:ascii="Times New Roman" w:eastAsia="SimSun" w:hAnsi="Times New Roman" w:cs="Calibri"/>
          <w:color w:val="000000" w:themeColor="text1"/>
          <w:lang w:eastAsia="hi-IN" w:bidi="hi-IN"/>
        </w:rPr>
        <w:t>biological nitrogen fertiliser</w:t>
      </w:r>
      <w:r w:rsidR="0076100A">
        <w:rPr>
          <w:rFonts w:ascii="Times New Roman" w:eastAsia="SimSun" w:hAnsi="Times New Roman" w:cs="Calibri"/>
          <w:color w:val="000000" w:themeColor="text1"/>
          <w:lang w:eastAsia="hi-IN" w:bidi="hi-IN"/>
        </w:rPr>
        <w:t xml:space="preserve">, Oxitec’s </w:t>
      </w:r>
      <w:r w:rsidR="003720FE">
        <w:rPr>
          <w:rFonts w:ascii="Times New Roman" w:eastAsia="SimSun" w:hAnsi="Times New Roman" w:cs="Calibri"/>
          <w:color w:val="000000" w:themeColor="text1"/>
          <w:lang w:eastAsia="hi-IN" w:bidi="hi-IN"/>
        </w:rPr>
        <w:t>genetic biocontrol insects</w:t>
      </w:r>
      <w:r w:rsidR="00516315">
        <w:rPr>
          <w:rFonts w:ascii="Times New Roman" w:eastAsia="SimSun" w:hAnsi="Times New Roman" w:cs="Calibri"/>
          <w:color w:val="000000" w:themeColor="text1"/>
          <w:lang w:eastAsia="hi-IN" w:bidi="hi-IN"/>
        </w:rPr>
        <w:t xml:space="preserve">), </w:t>
      </w:r>
      <w:r w:rsidR="005E2022">
        <w:rPr>
          <w:rFonts w:ascii="Times New Roman" w:eastAsia="SimSun" w:hAnsi="Times New Roman" w:cs="Calibri"/>
          <w:color w:val="000000" w:themeColor="text1"/>
          <w:lang w:eastAsia="hi-IN" w:bidi="hi-IN"/>
        </w:rPr>
        <w:t xml:space="preserve">to those that </w:t>
      </w:r>
      <w:r w:rsidR="0025135D">
        <w:rPr>
          <w:rFonts w:ascii="Times New Roman" w:eastAsia="SimSun" w:hAnsi="Times New Roman" w:cs="Calibri"/>
          <w:color w:val="000000" w:themeColor="text1"/>
          <w:lang w:eastAsia="hi-IN" w:bidi="hi-IN"/>
        </w:rPr>
        <w:t>inc</w:t>
      </w:r>
      <w:r w:rsidR="00346A3E">
        <w:rPr>
          <w:rFonts w:ascii="Times New Roman" w:eastAsia="SimSun" w:hAnsi="Times New Roman" w:cs="Calibri"/>
          <w:color w:val="000000" w:themeColor="text1"/>
          <w:lang w:eastAsia="hi-IN" w:bidi="hi-IN"/>
        </w:rPr>
        <w:t xml:space="preserve">rease nitrogen </w:t>
      </w:r>
      <w:r w:rsidR="00246249">
        <w:rPr>
          <w:rFonts w:ascii="Times New Roman" w:eastAsia="SimSun" w:hAnsi="Times New Roman" w:cs="Calibri"/>
          <w:color w:val="000000" w:themeColor="text1"/>
          <w:lang w:eastAsia="hi-IN" w:bidi="hi-IN"/>
        </w:rPr>
        <w:t xml:space="preserve">fixation efficiency </w:t>
      </w:r>
      <w:r w:rsidR="00C069A4">
        <w:rPr>
          <w:rFonts w:ascii="Times New Roman" w:eastAsia="SimSun" w:hAnsi="Times New Roman" w:cs="Calibri"/>
          <w:color w:val="000000" w:themeColor="text1"/>
          <w:lang w:eastAsia="hi-IN" w:bidi="hi-IN"/>
        </w:rPr>
        <w:t>in</w:t>
      </w:r>
      <w:r w:rsidR="00882B41">
        <w:rPr>
          <w:rFonts w:ascii="Times New Roman" w:eastAsia="SimSun" w:hAnsi="Times New Roman" w:cs="Calibri"/>
          <w:color w:val="000000" w:themeColor="text1"/>
          <w:lang w:eastAsia="hi-IN" w:bidi="hi-IN"/>
        </w:rPr>
        <w:t xml:space="preserve"> </w:t>
      </w:r>
      <w:r w:rsidR="003E1B5F">
        <w:rPr>
          <w:rFonts w:ascii="Times New Roman" w:eastAsia="SimSun" w:hAnsi="Times New Roman" w:cs="Calibri"/>
          <w:color w:val="000000" w:themeColor="text1"/>
          <w:lang w:eastAsia="hi-IN" w:bidi="hi-IN"/>
        </w:rPr>
        <w:t xml:space="preserve">crop </w:t>
      </w:r>
      <w:r w:rsidR="00882B41">
        <w:rPr>
          <w:rFonts w:ascii="Times New Roman" w:eastAsia="SimSun" w:hAnsi="Times New Roman" w:cs="Calibri"/>
          <w:color w:val="000000" w:themeColor="text1"/>
          <w:lang w:eastAsia="hi-IN" w:bidi="hi-IN"/>
        </w:rPr>
        <w:t>symbiotic bacteria</w:t>
      </w:r>
      <w:r w:rsidR="00246249">
        <w:rPr>
          <w:rFonts w:ascii="Times New Roman" w:eastAsia="SimSun" w:hAnsi="Times New Roman" w:cs="Calibri"/>
          <w:color w:val="000000" w:themeColor="text1"/>
          <w:lang w:eastAsia="hi-IN" w:bidi="hi-IN"/>
        </w:rPr>
        <w:t xml:space="preserve"> </w:t>
      </w:r>
      <w:r w:rsidR="009B7579">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{"citationItems":[{"id":"ITEM-1","itemData":{"DOI":"10.1038/s41564-019-0631-2","ISSN":"20585276","PMID":"31844298","abstract":"Legumes obtain nitrogen from air through rhizobia residing in root nodules. Some species of rhizobia can colonize cereals but do not fix nitrogen on them. Disabling native regulation can turn on nitrogenase expression, even in the presence of nitrogenous fertilizer and low oxygen, but continuous nitrogenase production confers an energy burden. Here, we engineer inducible nitrogenase activity in two cereal endophytes (Azorhizobium caulinodans ORS571 and Rhizobium sp. IRBG74) and the well-characterized plant epiphyte Pseudomonas protegens Pf-5, a maize seed inoculant. For each organism, different strategies were taken to eliminate ammonium repression and place nitrogenase expression under the control of agriculturally relevant signals, including root exudates, biocontrol agents and phytohormones. We demonstrate that R. sp. IRBG74 can be engineered to result in nitrogenase activity under free-living conditions by transferring a nif cluster from either Rhodobacter sphaeroides or Klebsiella oxytoca. For P. protegens Pf-5, the transfer of an inducible cluster from Pseudomonas stutzeri and Azotobacter vinelandii yields ammonium tolerance and higher oxygen tolerance of nitrogenase activity than that from K. oxytoca. Collectively, the data from the transfer of 12 nif gene clusters between 15 diverse species (including Escherichia coli and 12 rhizobia) help identify the barriers that must be overcome to engineer a bacterium to deliver a high nitrogen flux to a cereal crop.","author":[{"dropping-particle":"","family":"Ryu","given":"Min Hyung","non-dropping-particle":"","parse-names":false,"suffix":""},{"dropping-particle":"","family":"Zhang","given":"Jing","non-dropping-particle":"","parse-names":false,"suffix":""},{"dropping-particle":"","family":"Toth","given":"Tyler","non-dropping-particle":"","parse-names":false,"suffix":""},{"dropping-particle":"","family":"Khokhani","given":"Devanshi","non-dropping-particle":"","parse-names":false,"suffix":""},{"dropping-particle":"","family":"Geddes","given":"Barney A.","non-dropping-particle":"","parse-names":false,"suffix":""},{"dropping-particle":"","family":"Mus","given":"Florence","non-dropping-particle":"","parse-names":false,"suffix":""},{"dropping-particle":"","family":"Garcia-Costas","given":"Amaya","non-dropping-particle":"","parse-names":false,"suffix":""},{"dropping-particle":"","family":"Peters","given":"John W.","non-dropping-particle":"","parse-names":false,"suffix":""},{"dropping-particle":"","family":"Poole","given":"Philip S.","non-dropping-particle":"","parse-names":false,"suffix":""},{"dropping-particle":"","family":"Ané","given":"Jean Michel","non-dropping-particle":"","parse-names":false,"suffix":""},{"dropping-particle":"","family":"Voigt","given":"Christopher A.","non-dropping-particle":"","parse-names":false,"suffix":""}],"container-title":"Nature Microbiology","id":"ITEM-1","issue":"2","issued":{"date-parts":[["2020","2"]]},"page":"314-330","publisher":"Nature Research","title":"Control of nitrogen fixation in bacteria that associate with cereals","type":"article-journal","volume":"5"},"uris":["http://www.mendeley.com/documents/?uuid=9d09594c-2279-45c1-b672-7f90202d02c7"]}],"mendeley":{"formattedCitation":"(Ryu et al., 2020)","plainTextFormattedCitation":"(Ryu et al., 2020)","previouslyFormattedCitation":"(Ryu et al., 2020)"},"properties":{"noteIndex":0},"schema":"https://github.com/citation-style-language/schema/raw/master/csl-citation.json"}</w:instrText>
      </w:r>
      <w:r w:rsidR="009B7579">
        <w:rPr>
          <w:rFonts w:ascii="Times New Roman" w:eastAsia="SimSun" w:hAnsi="Times New Roman" w:cs="Calibri"/>
          <w:color w:val="000000" w:themeColor="text1"/>
          <w:lang w:eastAsia="hi-IN" w:bidi="hi-IN"/>
        </w:rPr>
        <w:fldChar w:fldCharType="separate"/>
      </w:r>
      <w:r w:rsidR="009B7579" w:rsidRPr="009B7579">
        <w:rPr>
          <w:rFonts w:ascii="Times New Roman" w:eastAsia="SimSun" w:hAnsi="Times New Roman" w:cs="Calibri"/>
          <w:noProof/>
          <w:color w:val="000000" w:themeColor="text1"/>
          <w:lang w:eastAsia="hi-IN" w:bidi="hi-IN"/>
        </w:rPr>
        <w:t>(Ryu et al., 2020)</w:t>
      </w:r>
      <w:r w:rsidR="009B7579">
        <w:rPr>
          <w:rFonts w:ascii="Times New Roman" w:eastAsia="SimSun" w:hAnsi="Times New Roman" w:cs="Calibri"/>
          <w:color w:val="000000" w:themeColor="text1"/>
          <w:lang w:eastAsia="hi-IN" w:bidi="hi-IN"/>
        </w:rPr>
        <w:fldChar w:fldCharType="end"/>
      </w:r>
      <w:r w:rsidR="009123C6">
        <w:rPr>
          <w:rFonts w:ascii="Times New Roman" w:eastAsia="SimSun" w:hAnsi="Times New Roman" w:cs="Calibri"/>
          <w:color w:val="000000" w:themeColor="text1"/>
          <w:lang w:eastAsia="hi-IN" w:bidi="hi-IN"/>
        </w:rPr>
        <w:t>,</w:t>
      </w:r>
      <w:r w:rsidR="00872D39">
        <w:rPr>
          <w:rFonts w:ascii="Times New Roman" w:eastAsia="SimSun" w:hAnsi="Times New Roman" w:cs="Calibri"/>
          <w:color w:val="000000" w:themeColor="text1"/>
          <w:lang w:eastAsia="hi-IN" w:bidi="hi-IN"/>
        </w:rPr>
        <w:t xml:space="preserve"> </w:t>
      </w:r>
      <w:r w:rsidR="005E2022">
        <w:rPr>
          <w:rFonts w:ascii="Times New Roman" w:eastAsia="SimSun" w:hAnsi="Times New Roman" w:cs="Calibri"/>
          <w:color w:val="000000" w:themeColor="text1"/>
          <w:lang w:eastAsia="hi-IN" w:bidi="hi-IN"/>
        </w:rPr>
        <w:t xml:space="preserve">that </w:t>
      </w:r>
      <w:r w:rsidR="00FE7589">
        <w:rPr>
          <w:rFonts w:ascii="Times New Roman" w:eastAsia="SimSun" w:hAnsi="Times New Roman" w:cs="Calibri"/>
          <w:color w:val="000000" w:themeColor="text1"/>
          <w:lang w:eastAsia="hi-IN" w:bidi="hi-IN"/>
        </w:rPr>
        <w:t xml:space="preserve">improve yields of </w:t>
      </w:r>
      <w:r w:rsidR="00A6295A">
        <w:rPr>
          <w:rFonts w:ascii="Times New Roman" w:eastAsia="SimSun" w:hAnsi="Times New Roman" w:cs="Calibri"/>
          <w:color w:val="000000" w:themeColor="text1"/>
          <w:lang w:eastAsia="hi-IN" w:bidi="hi-IN"/>
        </w:rPr>
        <w:t>current cropping areas</w:t>
      </w:r>
      <w:r w:rsidR="00375A37">
        <w:rPr>
          <w:rFonts w:ascii="Times New Roman" w:eastAsia="SimSun" w:hAnsi="Times New Roman" w:cs="Calibri"/>
          <w:color w:val="000000" w:themeColor="text1"/>
          <w:lang w:eastAsia="hi-IN" w:bidi="hi-IN"/>
        </w:rPr>
        <w:t xml:space="preserve"> through modified </w:t>
      </w:r>
      <w:r w:rsidR="00AD4FC8">
        <w:rPr>
          <w:rFonts w:ascii="Times New Roman" w:eastAsia="SimSun" w:hAnsi="Times New Roman" w:cs="Calibri"/>
          <w:color w:val="000000" w:themeColor="text1"/>
          <w:lang w:eastAsia="hi-IN" w:bidi="hi-IN"/>
        </w:rPr>
        <w:t xml:space="preserve">crop </w:t>
      </w:r>
      <w:r w:rsidR="000B0AE1">
        <w:rPr>
          <w:rFonts w:ascii="Times New Roman" w:eastAsia="SimSun" w:hAnsi="Times New Roman" w:cs="Calibri"/>
          <w:color w:val="000000" w:themeColor="text1"/>
          <w:lang w:eastAsia="hi-IN" w:bidi="hi-IN"/>
        </w:rPr>
        <w:t>architecture</w:t>
      </w:r>
      <w:r w:rsidR="00A6295A">
        <w:rPr>
          <w:rFonts w:ascii="Times New Roman" w:eastAsia="SimSun" w:hAnsi="Times New Roman" w:cs="Calibri"/>
          <w:color w:val="000000" w:themeColor="text1"/>
          <w:lang w:eastAsia="hi-IN" w:bidi="hi-IN"/>
        </w:rPr>
        <w:t xml:space="preserve"> </w:t>
      </w:r>
      <w:r w:rsidR="00572AD2">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{"citationItems":[{"id":"ITEM-1","itemData":{"DOI":"10.1111/pbi.13513","ISSN":"1467-7644","author":[{"dropping-particle":"","family":"Stanic","given":"Matija","non-dropping-particle":"","parse-names":false,"suffix":""},{"dropping-particle":"","family":"Hickerson","given":"Neil M.N.","non-dropping-particle":"","parse-names":false,"suffix":""},{"dropping-particle":"","family":"Arunraj","given":"Rex","non-dropping-particle":"","parse-names":false,"suffix":""},{"dropping-particle":"","family":"Samuel","given":"Marcus A.","non-dropping-particle":"","parse-names":false,"suffix":""}],"container-title":"Plant Biotechnology Journal","id":"ITEM-1","issued":{"date-parts":[["2020","1"]]},"page":"pbi.13513","publisher":"Blackwell Publishing Ltd","ti</w:instrText>
      </w:r>
      <w:r w:rsidR="008F6A90">
        <w:rPr>
          <w:rFonts w:ascii="Times New Roman" w:eastAsia="SimSun" w:hAnsi="Times New Roman" w:cs="Calibri" w:hint="eastAsia"/>
          <w:color w:val="000000" w:themeColor="text1"/>
          <w:lang w:eastAsia="hi-IN" w:bidi="hi-IN"/>
        </w:rPr>
        <w:instrText>tle":"Gene</w:instrText>
      </w:r>
      <w:r w:rsidR="008F6A90">
        <w:rPr>
          <w:rFonts w:ascii="Times New Roman" w:eastAsia="SimSun" w:hAnsi="Times New Roman" w:cs="Calibri" w:hint="eastAsia"/>
          <w:color w:val="000000" w:themeColor="text1"/>
          <w:lang w:eastAsia="hi-IN" w:bidi="hi-IN"/>
        </w:rPr>
        <w:instrText>‐</w:instrText>
      </w:r>
      <w:r w:rsidR="008F6A90">
        <w:rPr>
          <w:rFonts w:ascii="Times New Roman" w:eastAsia="SimSun" w:hAnsi="Times New Roman" w:cs="Calibri" w:hint="eastAsia"/>
          <w:color w:val="000000" w:themeColor="text1"/>
          <w:lang w:eastAsia="hi-IN" w:bidi="hi-IN"/>
        </w:rPr>
        <w:instrText>editing of the strigolactone receptor BnD14 confers promising shoot architectural changes in Brassica napus (canola)","type":"article-journal"},"uris":["http://www.mendeley.com/documents/?uuid=32ba2546-82bc-414a-bef8-7c67e242875d"]}],"mendeley"</w:instrText>
      </w:r>
      <w:r w:rsidR="008F6A90">
        <w:rPr>
          <w:rFonts w:ascii="Times New Roman" w:eastAsia="SimSun" w:hAnsi="Times New Roman" w:cs="Calibri"/>
          <w:color w:val="000000" w:themeColor="text1"/>
          <w:lang w:eastAsia="hi-IN" w:bidi="hi-IN"/>
        </w:rPr>
        <w:instrText>:{"formattedCitation":"(Stanic et al., 2020)","plainTextFormattedCitation":"(Stanic et al., 2020)","previouslyFormattedCitation":"(Stanic et al., 2020)"},"properties":{"noteIndex":0},"schema":"https://github.com/citation-style-language/schema/raw/master/csl-citation.json"}</w:instrText>
      </w:r>
      <w:r w:rsidR="00572AD2">
        <w:rPr>
          <w:rFonts w:ascii="Times New Roman" w:eastAsia="SimSun" w:hAnsi="Times New Roman" w:cs="Calibri"/>
          <w:color w:val="000000" w:themeColor="text1"/>
          <w:lang w:eastAsia="hi-IN" w:bidi="hi-IN"/>
        </w:rPr>
        <w:fldChar w:fldCharType="separate"/>
      </w:r>
      <w:r w:rsidR="00572AD2" w:rsidRPr="00572AD2">
        <w:rPr>
          <w:rFonts w:ascii="Times New Roman" w:eastAsia="SimSun" w:hAnsi="Times New Roman" w:cs="Calibri"/>
          <w:noProof/>
          <w:color w:val="000000" w:themeColor="text1"/>
          <w:lang w:eastAsia="hi-IN" w:bidi="hi-IN"/>
        </w:rPr>
        <w:t>(Stanic et al., 2020)</w:t>
      </w:r>
      <w:r w:rsidR="00572AD2">
        <w:rPr>
          <w:rFonts w:ascii="Times New Roman" w:eastAsia="SimSun" w:hAnsi="Times New Roman" w:cs="Calibri"/>
          <w:color w:val="000000" w:themeColor="text1"/>
          <w:lang w:eastAsia="hi-IN" w:bidi="hi-IN"/>
        </w:rPr>
        <w:fldChar w:fldCharType="end"/>
      </w:r>
      <w:r w:rsidR="001A0AD9">
        <w:rPr>
          <w:rFonts w:ascii="Times New Roman" w:eastAsia="SimSun" w:hAnsi="Times New Roman" w:cs="Calibri"/>
          <w:color w:val="000000" w:themeColor="text1"/>
          <w:lang w:eastAsia="hi-IN" w:bidi="hi-IN"/>
        </w:rPr>
        <w:t>,</w:t>
      </w:r>
      <w:r w:rsidR="000B0AE1">
        <w:rPr>
          <w:rFonts w:ascii="Times New Roman" w:eastAsia="SimSun" w:hAnsi="Times New Roman" w:cs="Calibri"/>
          <w:color w:val="000000" w:themeColor="text1"/>
          <w:lang w:eastAsia="hi-IN" w:bidi="hi-IN"/>
        </w:rPr>
        <w:t xml:space="preserve"> and </w:t>
      </w:r>
      <w:r w:rsidR="001A0AD9">
        <w:rPr>
          <w:rFonts w:ascii="Times New Roman" w:eastAsia="SimSun" w:hAnsi="Times New Roman" w:cs="Calibri"/>
          <w:color w:val="000000" w:themeColor="text1"/>
          <w:lang w:eastAsia="hi-IN" w:bidi="hi-IN"/>
        </w:rPr>
        <w:t xml:space="preserve">that </w:t>
      </w:r>
      <w:r w:rsidR="00CF462F">
        <w:rPr>
          <w:rFonts w:ascii="Times New Roman" w:eastAsia="SimSun" w:hAnsi="Times New Roman" w:cs="Calibri"/>
          <w:color w:val="000000" w:themeColor="text1"/>
          <w:lang w:eastAsia="hi-IN" w:bidi="hi-IN"/>
        </w:rPr>
        <w:t>provide alternative</w:t>
      </w:r>
      <w:r w:rsidR="000B0AE1">
        <w:rPr>
          <w:rFonts w:ascii="Times New Roman" w:eastAsia="SimSun" w:hAnsi="Times New Roman" w:cs="Calibri"/>
          <w:color w:val="000000" w:themeColor="text1"/>
          <w:lang w:eastAsia="hi-IN" w:bidi="hi-IN"/>
        </w:rPr>
        <w:t xml:space="preserve"> weed control </w:t>
      </w:r>
      <w:r w:rsidR="008F7104">
        <w:rPr>
          <w:rFonts w:ascii="Times New Roman" w:eastAsia="SimSun" w:hAnsi="Times New Roman" w:cs="Calibri"/>
          <w:color w:val="000000" w:themeColor="text1"/>
          <w:lang w:eastAsia="hi-IN" w:bidi="hi-IN"/>
        </w:rPr>
        <w:t xml:space="preserve">(e.g. </w:t>
      </w:r>
      <w:r w:rsidR="00E76486">
        <w:rPr>
          <w:rFonts w:ascii="Times New Roman" w:eastAsia="SimSun" w:hAnsi="Times New Roman" w:cs="Calibri"/>
          <w:color w:val="000000" w:themeColor="text1"/>
          <w:lang w:eastAsia="hi-IN" w:bidi="hi-IN"/>
        </w:rPr>
        <w:t xml:space="preserve">Cibus’ </w:t>
      </w:r>
      <w:r w:rsidR="00CE0FBA">
        <w:rPr>
          <w:rFonts w:ascii="Times New Roman" w:eastAsia="SimSun" w:hAnsi="Times New Roman" w:cs="Calibri"/>
          <w:color w:val="000000" w:themeColor="text1"/>
          <w:lang w:eastAsia="hi-IN" w:bidi="hi-IN"/>
        </w:rPr>
        <w:t xml:space="preserve">oilseed rape resistant to </w:t>
      </w:r>
      <w:r w:rsidR="00CE0FBA" w:rsidRPr="00CE0FBA">
        <w:rPr>
          <w:rFonts w:ascii="Times New Roman" w:eastAsia="SimSun" w:hAnsi="Times New Roman" w:cs="Calibri"/>
          <w:color w:val="000000" w:themeColor="text1"/>
          <w:lang w:eastAsia="hi-IN" w:bidi="hi-IN"/>
        </w:rPr>
        <w:t>CLEARFIELD®</w:t>
      </w:r>
      <w:r w:rsidR="00CE0FBA">
        <w:rPr>
          <w:rFonts w:ascii="Times New Roman" w:eastAsia="SimSun" w:hAnsi="Times New Roman" w:cs="Calibri"/>
          <w:color w:val="000000" w:themeColor="text1"/>
          <w:lang w:eastAsia="hi-IN" w:bidi="hi-IN"/>
        </w:rPr>
        <w:t xml:space="preserve"> herbicides</w:t>
      </w:r>
      <w:r w:rsidR="00CF462F">
        <w:rPr>
          <w:rFonts w:ascii="Times New Roman" w:eastAsia="SimSun" w:hAnsi="Times New Roman" w:cs="Calibri"/>
          <w:color w:val="000000" w:themeColor="text1"/>
          <w:lang w:eastAsia="hi-IN" w:bidi="hi-IN"/>
        </w:rPr>
        <w:t>)</w:t>
      </w:r>
      <w:r w:rsidR="003E7F32">
        <w:rPr>
          <w:rFonts w:ascii="Times New Roman" w:eastAsia="SimSun" w:hAnsi="Times New Roman" w:cs="Calibri"/>
          <w:color w:val="000000" w:themeColor="text1"/>
          <w:lang w:eastAsia="hi-IN" w:bidi="hi-IN"/>
        </w:rPr>
        <w:t>.</w:t>
      </w:r>
      <w:r w:rsidR="00CB2CE5">
        <w:rPr>
          <w:rFonts w:ascii="Times New Roman" w:eastAsia="SimSun" w:hAnsi="Times New Roman" w:cs="Calibri"/>
          <w:color w:val="000000" w:themeColor="text1"/>
          <w:lang w:eastAsia="hi-IN" w:bidi="hi-IN"/>
        </w:rPr>
        <w:t xml:space="preserve"> </w:t>
      </w:r>
      <w:r w:rsidR="007643F1">
        <w:rPr>
          <w:rFonts w:ascii="Times New Roman" w:eastAsia="SimSun" w:hAnsi="Times New Roman" w:cs="Calibri"/>
          <w:color w:val="000000" w:themeColor="text1"/>
          <w:lang w:eastAsia="hi-IN" w:bidi="hi-IN"/>
        </w:rPr>
        <w:t xml:space="preserve">Additional potential benefits include: </w:t>
      </w:r>
      <w:r w:rsidR="007643F1" w:rsidRPr="009941E6">
        <w:rPr>
          <w:rFonts w:ascii="Times New Roman" w:eastAsia="SimSun" w:hAnsi="Times New Roman" w:cs="Calibri"/>
          <w:color w:val="000000" w:themeColor="text1"/>
          <w:lang w:eastAsia="hi-IN" w:bidi="hi-IN"/>
        </w:rPr>
        <w:t>enhancement</w:t>
      </w:r>
      <w:r w:rsidR="007643F1">
        <w:rPr>
          <w:rFonts w:ascii="Times New Roman" w:eastAsia="SimSun" w:hAnsi="Times New Roman" w:cs="Calibri"/>
          <w:color w:val="000000" w:themeColor="text1"/>
          <w:lang w:eastAsia="hi-IN" w:bidi="hi-IN"/>
        </w:rPr>
        <w:t xml:space="preserve"> </w:t>
      </w:r>
      <w:r w:rsidR="007643F1" w:rsidRPr="009941E6">
        <w:rPr>
          <w:rFonts w:ascii="Times New Roman" w:eastAsia="SimSun" w:hAnsi="Times New Roman" w:cs="Calibri"/>
          <w:color w:val="000000" w:themeColor="text1"/>
          <w:lang w:eastAsia="hi-IN" w:bidi="hi-IN"/>
        </w:rPr>
        <w:t>of decomposition rates and nutrient fixation; reduction in the application of fertiliser; more efficient production of farm animals with concomitant reductions in feed and</w:t>
      </w:r>
      <w:r w:rsidR="007643F1">
        <w:rPr>
          <w:rFonts w:ascii="Times New Roman" w:eastAsia="SimSun" w:hAnsi="Times New Roman" w:cs="Calibri"/>
          <w:color w:val="000000" w:themeColor="text1"/>
          <w:lang w:eastAsia="hi-IN" w:bidi="hi-IN"/>
        </w:rPr>
        <w:t xml:space="preserve"> </w:t>
      </w:r>
      <w:r w:rsidR="007643F1" w:rsidRPr="009941E6">
        <w:rPr>
          <w:rFonts w:ascii="Times New Roman" w:eastAsia="SimSun" w:hAnsi="Times New Roman" w:cs="Calibri"/>
          <w:color w:val="000000" w:themeColor="text1"/>
          <w:lang w:eastAsia="hi-IN" w:bidi="hi-IN"/>
        </w:rPr>
        <w:t>land use; forest restoration; and production of livestock</w:t>
      </w:r>
      <w:r w:rsidR="007643F1">
        <w:rPr>
          <w:rFonts w:ascii="Times New Roman" w:eastAsia="SimSun" w:hAnsi="Times New Roman" w:cs="Calibri"/>
          <w:color w:val="000000" w:themeColor="text1"/>
          <w:lang w:eastAsia="hi-IN" w:bidi="hi-IN"/>
        </w:rPr>
        <w:t xml:space="preserve"> </w:t>
      </w:r>
      <w:r w:rsidR="007643F1" w:rsidRPr="009941E6">
        <w:rPr>
          <w:rFonts w:ascii="Times New Roman" w:eastAsia="SimSun" w:hAnsi="Times New Roman" w:cs="Calibri"/>
          <w:color w:val="000000" w:themeColor="text1"/>
          <w:lang w:eastAsia="hi-IN" w:bidi="hi-IN"/>
        </w:rPr>
        <w:t>feed based on more efficient industrial production of microbial proteins</w:t>
      </w:r>
      <w:r w:rsidR="007643F1" w:rsidRPr="00395495">
        <w:t xml:space="preserve"> </w:t>
      </w:r>
      <w:r w:rsidR="00EB219D" w:rsidRPr="00195608">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{"citationItems":[{"id":"ITEM-1","itemData":{"DOI":"10.2305/IUCN.CH.2019.05.en","ISBN":"9782831719733","editor":[{"dropping-particle":"","family":"Redford","given":"Kent H.","non-dropping-particle":"","parse-names":false,"suffix":""},{"dropping-particle":"","family":"Brooks","given":"Thomas M.","non-dropping-particle":"","parse-names":false,"suffix":""},{"dropping-particle":"","family":"Macfarlane","given":"Nicholas B.W.","non-dropping-particle":"","parse-names":false,"suffix":""},{"dropping-particle":"","family":"Adams","given":"Jonathan S.","non-dropping-particle":"","parse-names":false,"suffix":""}],"id":"ITEM-1","issued":{"date-parts":[["2019","5","6"]]},"publisher":"IUCN, International Union for Conservation of Nature","title":"Genetic frontiers for conservation: an assessment of synthetic biology and biodiversity conservation: technical assessment","type":"book"},"uris":["http://www.mendeley.com/documents/?uuid=9b6cd793-31c7-4755-8480-3345b89666d3"]}],"mendeley":{"formattedCitation":"(Redford et al., 2019)","manualFormatting":"(Redford et al., 2019)","plainTextFormattedCitation":"(Redford et al., 2019)","previouslyFormattedCitation":"(Redford et al., 2019)"},"properties":{"noteIndex":0},"schema":"https://github.com/citation-style-language/schema/raw/master/csl-citation.json"}</w:instrText>
      </w:r>
      <w:r w:rsidR="00EB219D" w:rsidRPr="00195608">
        <w:rPr>
          <w:rFonts w:ascii="Times New Roman" w:eastAsia="SimSun" w:hAnsi="Times New Roman" w:cs="Calibri"/>
          <w:color w:val="000000" w:themeColor="text1"/>
          <w:lang w:eastAsia="hi-IN" w:bidi="hi-IN"/>
        </w:rPr>
        <w:fldChar w:fldCharType="separate"/>
      </w:r>
      <w:r w:rsidR="00EB219D" w:rsidRPr="00252655">
        <w:rPr>
          <w:rFonts w:ascii="Times New Roman" w:eastAsia="SimSun" w:hAnsi="Times New Roman" w:cs="Calibri"/>
          <w:noProof/>
          <w:color w:val="000000" w:themeColor="text1"/>
          <w:lang w:eastAsia="hi-IN" w:bidi="hi-IN"/>
        </w:rPr>
        <w:t>(</w:t>
      </w:r>
      <w:r w:rsidR="00D40F51" w:rsidRPr="00252655">
        <w:rPr>
          <w:rFonts w:ascii="Times New Roman" w:hAnsi="Times New Roman"/>
          <w:noProof/>
          <w:color w:val="000000" w:themeColor="text1"/>
          <w:lang w:eastAsia="ar-SA"/>
        </w:rPr>
        <w:t>Redford et al., 2019</w:t>
      </w:r>
      <w:r w:rsidR="00252655" w:rsidRPr="00252655">
        <w:rPr>
          <w:rFonts w:ascii="Times New Roman" w:hAnsi="Times New Roman"/>
          <w:noProof/>
          <w:color w:val="000000" w:themeColor="text1"/>
          <w:lang w:eastAsia="ar-SA"/>
        </w:rPr>
        <w:t>)</w:t>
      </w:r>
      <w:r w:rsidR="00EB219D" w:rsidRPr="00195608">
        <w:rPr>
          <w:rFonts w:ascii="Times New Roman" w:eastAsia="SimSun" w:hAnsi="Times New Roman" w:cs="Calibri"/>
          <w:color w:val="000000" w:themeColor="text1"/>
          <w:lang w:eastAsia="hi-IN" w:bidi="hi-IN"/>
        </w:rPr>
        <w:fldChar w:fldCharType="end"/>
      </w:r>
      <w:r w:rsidR="007643F1" w:rsidRPr="00073016">
        <w:rPr>
          <w:rFonts w:ascii="Times New Roman" w:eastAsia="SimSun" w:hAnsi="Times New Roman" w:cs="Calibri"/>
          <w:color w:val="000000" w:themeColor="text1"/>
          <w:lang w:eastAsia="hi-IN" w:bidi="hi-IN"/>
        </w:rPr>
        <w:t>.</w:t>
      </w:r>
      <w:r w:rsidR="007643F1" w:rsidRPr="00252655">
        <w:rPr>
          <w:rFonts w:ascii="Times New Roman" w:eastAsia="SimSun" w:hAnsi="Times New Roman" w:cs="Calibri"/>
          <w:color w:val="000000" w:themeColor="text1"/>
          <w:lang w:eastAsia="hi-IN" w:bidi="hi-IN"/>
        </w:rPr>
        <w:t xml:space="preserve"> Notably</w:t>
      </w:r>
      <w:r w:rsidR="007643F1">
        <w:rPr>
          <w:rFonts w:ascii="Times New Roman" w:eastAsia="SimSun" w:hAnsi="Times New Roman" w:cs="Calibri"/>
          <w:color w:val="000000" w:themeColor="text1"/>
          <w:lang w:eastAsia="hi-IN" w:bidi="hi-IN"/>
        </w:rPr>
        <w:t>, s</w:t>
      </w:r>
      <w:r w:rsidR="006312D0">
        <w:rPr>
          <w:rFonts w:ascii="Times New Roman" w:eastAsia="SimSun" w:hAnsi="Times New Roman" w:cs="Calibri"/>
          <w:color w:val="000000" w:themeColor="text1"/>
          <w:lang w:eastAsia="hi-IN" w:bidi="hi-IN"/>
        </w:rPr>
        <w:t>ome</w:t>
      </w:r>
      <w:r w:rsidR="00CB2CE5">
        <w:rPr>
          <w:rFonts w:ascii="Times New Roman" w:eastAsia="SimSun" w:hAnsi="Times New Roman" w:cs="Calibri"/>
          <w:color w:val="000000" w:themeColor="text1"/>
          <w:lang w:eastAsia="hi-IN" w:bidi="hi-IN"/>
        </w:rPr>
        <w:t xml:space="preserve"> have clear </w:t>
      </w:r>
      <w:r w:rsidR="00AE2ACF">
        <w:rPr>
          <w:rFonts w:ascii="Times New Roman" w:eastAsia="SimSun" w:hAnsi="Times New Roman" w:cs="Calibri"/>
          <w:color w:val="000000" w:themeColor="text1"/>
          <w:lang w:eastAsia="hi-IN" w:bidi="hi-IN"/>
        </w:rPr>
        <w:t xml:space="preserve">similarities to impacts already </w:t>
      </w:r>
      <w:r w:rsidR="00567A7B">
        <w:rPr>
          <w:rFonts w:ascii="Times New Roman" w:eastAsia="SimSun" w:hAnsi="Times New Roman" w:cs="Calibri"/>
          <w:color w:val="000000" w:themeColor="text1"/>
          <w:lang w:eastAsia="hi-IN" w:bidi="hi-IN"/>
        </w:rPr>
        <w:t xml:space="preserve">observed from </w:t>
      </w:r>
      <w:r w:rsidR="007B09DF">
        <w:rPr>
          <w:rFonts w:ascii="Times New Roman" w:eastAsia="SimSun" w:hAnsi="Times New Roman" w:cs="Calibri"/>
          <w:color w:val="000000" w:themeColor="text1"/>
          <w:lang w:eastAsia="hi-IN" w:bidi="hi-IN"/>
        </w:rPr>
        <w:t>analogous</w:t>
      </w:r>
      <w:r w:rsidR="00F97DD3">
        <w:rPr>
          <w:rFonts w:ascii="Times New Roman" w:eastAsia="SimSun" w:hAnsi="Times New Roman" w:cs="Calibri"/>
          <w:color w:val="000000" w:themeColor="text1"/>
          <w:lang w:eastAsia="hi-IN" w:bidi="hi-IN"/>
        </w:rPr>
        <w:t xml:space="preserve"> </w:t>
      </w:r>
      <w:r w:rsidR="00915357">
        <w:rPr>
          <w:rFonts w:ascii="Times New Roman" w:eastAsia="SimSun" w:hAnsi="Times New Roman" w:cs="Calibri"/>
          <w:color w:val="000000" w:themeColor="text1"/>
          <w:lang w:eastAsia="hi-IN" w:bidi="hi-IN"/>
        </w:rPr>
        <w:t xml:space="preserve">applications exploiting </w:t>
      </w:r>
      <w:r w:rsidR="00344608">
        <w:rPr>
          <w:rFonts w:ascii="Times New Roman" w:eastAsia="SimSun" w:hAnsi="Times New Roman" w:cs="Calibri"/>
          <w:color w:val="000000" w:themeColor="text1"/>
          <w:lang w:eastAsia="hi-IN" w:bidi="hi-IN"/>
        </w:rPr>
        <w:t xml:space="preserve">genetic modification </w:t>
      </w:r>
      <w:r w:rsidR="00915357">
        <w:rPr>
          <w:rFonts w:ascii="Times New Roman" w:eastAsia="SimSun" w:hAnsi="Times New Roman" w:cs="Calibri"/>
          <w:color w:val="000000" w:themeColor="text1"/>
          <w:lang w:eastAsia="hi-IN" w:bidi="hi-IN"/>
        </w:rPr>
        <w:t>technology</w:t>
      </w:r>
      <w:r w:rsidR="00471CE1">
        <w:rPr>
          <w:rFonts w:ascii="Times New Roman" w:eastAsia="SimSun" w:hAnsi="Times New Roman" w:cs="Calibri"/>
          <w:color w:val="000000" w:themeColor="text1"/>
          <w:lang w:eastAsia="hi-IN" w:bidi="hi-IN"/>
        </w:rPr>
        <w:t xml:space="preserve"> in agriculture</w:t>
      </w:r>
      <w:r w:rsidR="007B09DF">
        <w:rPr>
          <w:rFonts w:ascii="Times New Roman" w:eastAsia="SimSun" w:hAnsi="Times New Roman" w:cs="Calibri"/>
          <w:color w:val="000000" w:themeColor="text1"/>
          <w:lang w:eastAsia="hi-IN" w:bidi="hi-IN"/>
        </w:rPr>
        <w:t>.</w:t>
      </w:r>
      <w:r w:rsidR="007643F1">
        <w:rPr>
          <w:rFonts w:ascii="Times New Roman" w:eastAsia="SimSun" w:hAnsi="Times New Roman" w:cs="Calibri"/>
          <w:color w:val="000000" w:themeColor="text1"/>
          <w:lang w:eastAsia="hi-IN" w:bidi="hi-IN"/>
        </w:rPr>
        <w:t xml:space="preserve"> These may</w:t>
      </w:r>
      <w:r w:rsidR="000D1CFF">
        <w:rPr>
          <w:rFonts w:ascii="Times New Roman" w:eastAsia="SimSun" w:hAnsi="Times New Roman" w:cs="Calibri"/>
          <w:color w:val="000000" w:themeColor="text1"/>
          <w:lang w:eastAsia="hi-IN" w:bidi="hi-IN"/>
        </w:rPr>
        <w:t xml:space="preserve"> </w:t>
      </w:r>
      <w:r w:rsidR="00791979" w:rsidRPr="00791979">
        <w:rPr>
          <w:rFonts w:ascii="Times New Roman" w:eastAsia="SimSun" w:hAnsi="Times New Roman" w:cs="Calibri"/>
          <w:color w:val="000000" w:themeColor="text1"/>
          <w:lang w:eastAsia="hi-IN" w:bidi="hi-IN"/>
        </w:rPr>
        <w:t>includ</w:t>
      </w:r>
      <w:r w:rsidR="00957E23">
        <w:rPr>
          <w:rFonts w:ascii="Times New Roman" w:eastAsia="SimSun" w:hAnsi="Times New Roman" w:cs="Calibri"/>
          <w:color w:val="000000" w:themeColor="text1"/>
          <w:lang w:eastAsia="hi-IN" w:bidi="hi-IN"/>
        </w:rPr>
        <w:t xml:space="preserve">e: effects from </w:t>
      </w:r>
      <w:r w:rsidR="00791979" w:rsidRPr="00791979">
        <w:rPr>
          <w:rFonts w:ascii="Times New Roman" w:eastAsia="SimSun" w:hAnsi="Times New Roman" w:cs="Calibri"/>
          <w:color w:val="000000" w:themeColor="text1"/>
          <w:lang w:eastAsia="hi-IN" w:bidi="hi-IN"/>
        </w:rPr>
        <w:t>transferring</w:t>
      </w:r>
      <w:r w:rsidR="00791979">
        <w:rPr>
          <w:rFonts w:ascii="Times New Roman" w:eastAsia="SimSun" w:hAnsi="Times New Roman" w:cs="Calibri"/>
          <w:color w:val="000000" w:themeColor="text1"/>
          <w:lang w:eastAsia="hi-IN" w:bidi="hi-IN"/>
        </w:rPr>
        <w:t xml:space="preserve"> </w:t>
      </w:r>
      <w:r w:rsidR="00791979" w:rsidRPr="00791979">
        <w:rPr>
          <w:rFonts w:ascii="Times New Roman" w:eastAsia="SimSun" w:hAnsi="Times New Roman" w:cs="Calibri"/>
          <w:color w:val="000000" w:themeColor="text1"/>
          <w:lang w:eastAsia="hi-IN" w:bidi="hi-IN"/>
        </w:rPr>
        <w:t>genetic material to wild populations; having toxic effects on other</w:t>
      </w:r>
      <w:r w:rsidR="00791979">
        <w:rPr>
          <w:rFonts w:ascii="Times New Roman" w:eastAsia="SimSun" w:hAnsi="Times New Roman" w:cs="Calibri"/>
          <w:color w:val="000000" w:themeColor="text1"/>
          <w:lang w:eastAsia="hi-IN" w:bidi="hi-IN"/>
        </w:rPr>
        <w:t xml:space="preserve"> </w:t>
      </w:r>
      <w:r w:rsidR="00791979" w:rsidRPr="00791979">
        <w:rPr>
          <w:rFonts w:ascii="Times New Roman" w:eastAsia="SimSun" w:hAnsi="Times New Roman" w:cs="Calibri"/>
          <w:color w:val="000000" w:themeColor="text1"/>
          <w:lang w:eastAsia="hi-IN" w:bidi="hi-IN"/>
        </w:rPr>
        <w:t>organisms; creating new invasive species; facilitating greater</w:t>
      </w:r>
      <w:r w:rsidR="00791979">
        <w:rPr>
          <w:rFonts w:ascii="Times New Roman" w:eastAsia="SimSun" w:hAnsi="Times New Roman" w:cs="Calibri"/>
          <w:color w:val="000000" w:themeColor="text1"/>
          <w:lang w:eastAsia="hi-IN" w:bidi="hi-IN"/>
        </w:rPr>
        <w:t xml:space="preserve"> </w:t>
      </w:r>
      <w:r w:rsidR="00791979" w:rsidRPr="00791979">
        <w:rPr>
          <w:rFonts w:ascii="Times New Roman" w:eastAsia="SimSun" w:hAnsi="Times New Roman" w:cs="Calibri"/>
          <w:color w:val="000000" w:themeColor="text1"/>
          <w:lang w:eastAsia="hi-IN" w:bidi="hi-IN"/>
        </w:rPr>
        <w:t xml:space="preserve">application of agrochemicals with </w:t>
      </w:r>
      <w:r w:rsidR="001D650C">
        <w:rPr>
          <w:rFonts w:ascii="Times New Roman" w:eastAsia="SimSun" w:hAnsi="Times New Roman" w:cs="Calibri"/>
          <w:color w:val="000000" w:themeColor="text1"/>
          <w:lang w:eastAsia="hi-IN" w:bidi="hi-IN"/>
        </w:rPr>
        <w:t>consequent</w:t>
      </w:r>
      <w:r w:rsidR="00791979" w:rsidRPr="00791979">
        <w:rPr>
          <w:rFonts w:ascii="Times New Roman" w:eastAsia="SimSun" w:hAnsi="Times New Roman" w:cs="Calibri"/>
          <w:color w:val="000000" w:themeColor="text1"/>
          <w:lang w:eastAsia="hi-IN" w:bidi="hi-IN"/>
        </w:rPr>
        <w:t xml:space="preserve"> biodiversity impacts;</w:t>
      </w:r>
      <w:r w:rsidR="00791979">
        <w:rPr>
          <w:rFonts w:ascii="Times New Roman" w:eastAsia="SimSun" w:hAnsi="Times New Roman" w:cs="Calibri"/>
          <w:color w:val="000000" w:themeColor="text1"/>
          <w:lang w:eastAsia="hi-IN" w:bidi="hi-IN"/>
        </w:rPr>
        <w:t xml:space="preserve"> </w:t>
      </w:r>
      <w:r w:rsidR="00596617">
        <w:rPr>
          <w:rFonts w:ascii="Times New Roman" w:eastAsia="SimSun" w:hAnsi="Times New Roman" w:cs="Calibri"/>
          <w:color w:val="000000" w:themeColor="text1"/>
          <w:lang w:eastAsia="hi-IN" w:bidi="hi-IN"/>
        </w:rPr>
        <w:t xml:space="preserve">and </w:t>
      </w:r>
      <w:r w:rsidR="00791979" w:rsidRPr="00791979">
        <w:rPr>
          <w:rFonts w:ascii="Times New Roman" w:eastAsia="SimSun" w:hAnsi="Times New Roman" w:cs="Calibri"/>
          <w:color w:val="000000" w:themeColor="text1"/>
          <w:lang w:eastAsia="hi-IN" w:bidi="hi-IN"/>
        </w:rPr>
        <w:t>reducing soil fertility and structure by allowing more intensive agriculture</w:t>
      </w:r>
      <w:r w:rsidR="00596617">
        <w:rPr>
          <w:rFonts w:ascii="Times New Roman" w:eastAsia="SimSun" w:hAnsi="Times New Roman" w:cs="Calibri"/>
          <w:color w:val="000000" w:themeColor="text1"/>
          <w:lang w:eastAsia="hi-IN" w:bidi="hi-IN"/>
        </w:rPr>
        <w:t xml:space="preserve"> </w:t>
      </w:r>
      <w:r w:rsidR="00791979" w:rsidRPr="00F56469">
        <w:rPr>
          <w:rFonts w:ascii="Times New Roman" w:eastAsia="SimSun" w:hAnsi="Times New Roman" w:cs="Calibri"/>
          <w:color w:val="000000" w:themeColor="text1"/>
          <w:lang w:eastAsia="hi-IN" w:bidi="hi-IN"/>
        </w:rPr>
        <w:t>(Science for Environment Policy, 2016</w:t>
      </w:r>
      <w:r w:rsidR="00791979" w:rsidRPr="008B3805">
        <w:rPr>
          <w:rFonts w:ascii="Times New Roman" w:eastAsia="SimSun" w:hAnsi="Times New Roman" w:cs="Calibri"/>
          <w:color w:val="000000" w:themeColor="text1"/>
          <w:lang w:eastAsia="hi-IN" w:bidi="hi-IN"/>
        </w:rPr>
        <w:t>)</w:t>
      </w:r>
      <w:r w:rsidR="00395495">
        <w:rPr>
          <w:rFonts w:ascii="Times New Roman" w:eastAsia="SimSun" w:hAnsi="Times New Roman" w:cs="Calibri"/>
          <w:color w:val="000000" w:themeColor="text1"/>
          <w:lang w:eastAsia="hi-IN" w:bidi="hi-IN"/>
        </w:rPr>
        <w:t>.</w:t>
      </w:r>
      <w:r w:rsidR="004D5350">
        <w:rPr>
          <w:rFonts w:ascii="Times New Roman" w:eastAsia="SimSun" w:hAnsi="Times New Roman" w:cs="Calibri"/>
          <w:color w:val="000000" w:themeColor="text1"/>
          <w:lang w:eastAsia="hi-IN" w:bidi="hi-IN"/>
        </w:rPr>
        <w:t xml:space="preserve"> </w:t>
      </w:r>
    </w:p>
    <w:p w14:paraId="7B460833" w14:textId="0A687EB3" w:rsidR="00DF5B3F" w:rsidRPr="00EB3DA0" w:rsidRDefault="00DF5B3F" w:rsidP="00DF5B3F">
      <w:pPr>
        <w:spacing w:before="120" w:after="120" w:line="240" w:lineRule="auto"/>
        <w:jc w:val="both"/>
      </w:pPr>
      <w:r>
        <w:rPr>
          <w:rFonts w:ascii="Times New Roman" w:eastAsia="SimSun" w:hAnsi="Times New Roman" w:cs="Calibri"/>
          <w:color w:val="000000" w:themeColor="text1"/>
          <w:lang w:eastAsia="hi-IN" w:bidi="hi-IN"/>
        </w:rPr>
        <w:t>Some</w:t>
      </w:r>
      <w:r w:rsidRPr="69BA3794">
        <w:rPr>
          <w:rFonts w:ascii="Times New Roman" w:eastAsia="SimSun" w:hAnsi="Times New Roman" w:cs="Calibri"/>
          <w:color w:val="000000" w:themeColor="text1"/>
          <w:lang w:eastAsia="hi-IN" w:bidi="hi-IN"/>
        </w:rPr>
        <w:t xml:space="preserve"> </w:t>
      </w:r>
      <w:r w:rsidR="008A6ECF">
        <w:rPr>
          <w:rFonts w:ascii="Times New Roman" w:eastAsia="SimSun" w:hAnsi="Times New Roman" w:cs="Calibri"/>
          <w:color w:val="000000" w:themeColor="text1"/>
          <w:lang w:eastAsia="hi-IN" w:bidi="hi-IN"/>
        </w:rPr>
        <w:t>of the</w:t>
      </w:r>
      <w:r w:rsidRPr="69BA3794" w:rsidDel="00174339">
        <w:rPr>
          <w:rFonts w:ascii="Times New Roman" w:eastAsia="SimSun" w:hAnsi="Times New Roman" w:cs="Calibri"/>
          <w:color w:val="000000" w:themeColor="text1"/>
          <w:lang w:eastAsia="hi-IN" w:bidi="hi-IN"/>
        </w:rPr>
        <w:t xml:space="preserve"> </w:t>
      </w:r>
      <w:r w:rsidRPr="69BA3794">
        <w:rPr>
          <w:rFonts w:ascii="Times New Roman" w:eastAsia="SimSun" w:hAnsi="Times New Roman" w:cs="Calibri"/>
          <w:color w:val="000000" w:themeColor="text1"/>
          <w:lang w:eastAsia="hi-IN" w:bidi="hi-IN"/>
        </w:rPr>
        <w:t>techniques</w:t>
      </w:r>
      <w:r w:rsidR="000C70AD">
        <w:rPr>
          <w:rFonts w:ascii="Times New Roman" w:eastAsia="SimSun" w:hAnsi="Times New Roman" w:cs="Calibri"/>
          <w:color w:val="000000" w:themeColor="text1"/>
          <w:lang w:eastAsia="hi-IN" w:bidi="hi-IN"/>
        </w:rPr>
        <w:t xml:space="preserve"> </w:t>
      </w:r>
      <w:r w:rsidR="00BA591D">
        <w:rPr>
          <w:rFonts w:ascii="Times New Roman" w:eastAsia="SimSun" w:hAnsi="Times New Roman" w:cs="Calibri"/>
          <w:color w:val="000000" w:themeColor="text1"/>
          <w:lang w:eastAsia="hi-IN" w:bidi="hi-IN"/>
        </w:rPr>
        <w:t xml:space="preserve">of genome editing </w:t>
      </w:r>
      <w:r w:rsidR="00466A9C">
        <w:rPr>
          <w:rFonts w:ascii="Times New Roman" w:eastAsia="SimSun" w:hAnsi="Times New Roman" w:cs="Calibri"/>
          <w:color w:val="000000" w:themeColor="text1"/>
          <w:lang w:eastAsia="hi-IN" w:bidi="hi-IN"/>
        </w:rPr>
        <w:t xml:space="preserve">(that for some </w:t>
      </w:r>
      <w:r w:rsidR="00466A9C" w:rsidRPr="69BA3794">
        <w:rPr>
          <w:rFonts w:ascii="Times New Roman" w:eastAsia="SimSun" w:hAnsi="Times New Roman" w:cs="Calibri"/>
          <w:color w:val="000000" w:themeColor="text1"/>
          <w:lang w:eastAsia="hi-IN" w:bidi="hi-IN"/>
        </w:rPr>
        <w:t xml:space="preserve">may not fall under synthetic biology; see </w:t>
      </w:r>
      <w:r w:rsidR="0045297C">
        <w:rPr>
          <w:rFonts w:ascii="Times New Roman" w:eastAsia="SimSun" w:hAnsi="Times New Roman" w:cs="Calibri"/>
          <w:color w:val="000000" w:themeColor="text1"/>
          <w:lang w:eastAsia="hi-IN" w:bidi="hi-IN"/>
        </w:rPr>
        <w:t>Scope &amp; Methods</w:t>
      </w:r>
      <w:r w:rsidR="00466A9C" w:rsidRPr="69BA3794">
        <w:rPr>
          <w:rFonts w:ascii="Times New Roman" w:eastAsia="SimSun" w:hAnsi="Times New Roman" w:cs="Calibri"/>
          <w:color w:val="000000" w:themeColor="text1"/>
          <w:lang w:eastAsia="hi-IN" w:bidi="hi-IN"/>
        </w:rPr>
        <w:t>)</w:t>
      </w:r>
      <w:r w:rsidR="00743DAB">
        <w:rPr>
          <w:rFonts w:ascii="Times New Roman" w:eastAsia="SimSun" w:hAnsi="Times New Roman" w:cs="Calibri"/>
          <w:color w:val="000000" w:themeColor="text1"/>
          <w:lang w:eastAsia="hi-IN" w:bidi="hi-IN"/>
        </w:rPr>
        <w:t xml:space="preserve"> </w:t>
      </w:r>
      <w:r w:rsidRPr="69BA3794">
        <w:rPr>
          <w:rFonts w:ascii="Times New Roman" w:eastAsia="SimSun" w:hAnsi="Times New Roman" w:cs="Calibri"/>
          <w:color w:val="000000" w:themeColor="text1"/>
          <w:lang w:eastAsia="hi-IN" w:bidi="hi-IN"/>
        </w:rPr>
        <w:t xml:space="preserve">are less precise than others such that additional molecular changes to the intended </w:t>
      </w:r>
      <w:r>
        <w:rPr>
          <w:rFonts w:ascii="Times New Roman" w:eastAsia="SimSun" w:hAnsi="Times New Roman" w:cs="Calibri"/>
          <w:color w:val="000000" w:themeColor="text1"/>
          <w:lang w:eastAsia="hi-IN" w:bidi="hi-IN"/>
        </w:rPr>
        <w:t xml:space="preserve">(i.e. off-target modifications) </w:t>
      </w:r>
      <w:r w:rsidRPr="69BA3794">
        <w:rPr>
          <w:rFonts w:ascii="Times New Roman" w:eastAsia="SimSun" w:hAnsi="Times New Roman" w:cs="Calibri"/>
          <w:color w:val="000000" w:themeColor="text1"/>
          <w:lang w:eastAsia="hi-IN" w:bidi="hi-IN"/>
        </w:rPr>
        <w:t xml:space="preserve">can also be introduced into the host </w:t>
      </w:r>
      <w:r>
        <w:rPr>
          <w:rFonts w:ascii="Times New Roman" w:eastAsia="SimSun" w:hAnsi="Times New Roman" w:cs="Calibri"/>
          <w:color w:val="000000" w:themeColor="text1"/>
          <w:lang w:eastAsia="hi-IN" w:bidi="hi-IN"/>
        </w:rPr>
        <w:t>organism</w:t>
      </w:r>
      <w:r w:rsidR="00153C04">
        <w:rPr>
          <w:rFonts w:ascii="Times New Roman" w:eastAsia="SimSun" w:hAnsi="Times New Roman" w:cs="Calibri"/>
          <w:color w:val="000000" w:themeColor="text1"/>
          <w:lang w:eastAsia="hi-IN" w:bidi="hi-IN"/>
        </w:rPr>
        <w:t>;</w:t>
      </w:r>
      <w:r>
        <w:rPr>
          <w:rFonts w:ascii="Times New Roman" w:eastAsia="SimSun" w:hAnsi="Times New Roman" w:cs="Calibri"/>
          <w:color w:val="000000" w:themeColor="text1"/>
          <w:lang w:eastAsia="hi-IN" w:bidi="hi-IN"/>
        </w:rPr>
        <w:t xml:space="preserve"> </w:t>
      </w:r>
      <w:r w:rsidR="00177764">
        <w:rPr>
          <w:rFonts w:ascii="Times New Roman" w:eastAsia="SimSun" w:hAnsi="Times New Roman" w:cs="Calibri"/>
          <w:color w:val="000000" w:themeColor="text1"/>
          <w:lang w:eastAsia="hi-IN" w:bidi="hi-IN"/>
        </w:rPr>
        <w:t>again</w:t>
      </w:r>
      <w:r w:rsidDel="00153C04">
        <w:rPr>
          <w:rFonts w:ascii="Times New Roman" w:eastAsia="SimSun" w:hAnsi="Times New Roman" w:cs="Calibri"/>
          <w:color w:val="000000" w:themeColor="text1"/>
          <w:lang w:eastAsia="hi-IN" w:bidi="hi-IN"/>
        </w:rPr>
        <w:t>,</w:t>
      </w:r>
      <w:r>
        <w:rPr>
          <w:rFonts w:ascii="Times New Roman" w:eastAsia="SimSun" w:hAnsi="Times New Roman" w:cs="Calibri"/>
          <w:color w:val="000000" w:themeColor="text1"/>
          <w:lang w:eastAsia="hi-IN" w:bidi="hi-IN"/>
        </w:rPr>
        <w:t xml:space="preserve"> phenomena that have been reported</w:t>
      </w:r>
      <w:r w:rsidDel="006517DD">
        <w:rPr>
          <w:rFonts w:ascii="Times New Roman" w:eastAsia="SimSun" w:hAnsi="Times New Roman" w:cs="Calibri"/>
          <w:color w:val="000000" w:themeColor="text1"/>
          <w:lang w:eastAsia="hi-IN" w:bidi="hi-IN"/>
        </w:rPr>
        <w:t xml:space="preserve"> </w:t>
      </w:r>
      <w:r w:rsidRPr="69BA3794">
        <w:rPr>
          <w:rFonts w:ascii="Times New Roman" w:eastAsia="SimSun" w:hAnsi="Times New Roman" w:cs="Calibri"/>
          <w:color w:val="000000" w:themeColor="text1"/>
          <w:lang w:eastAsia="hi-IN" w:bidi="hi-IN"/>
        </w:rPr>
        <w:t xml:space="preserve">with classical genetic engineering </w:t>
      </w:r>
      <w:r w:rsidRPr="00121D97">
        <w:rPr>
          <w:rFonts w:ascii="Times New Roman" w:eastAsia="SimSun" w:hAnsi="Times New Roman" w:cs="Calibri"/>
          <w:color w:val="000000" w:themeColor="text1"/>
          <w:lang w:eastAsia="hi-IN" w:bidi="hi-IN"/>
        </w:rPr>
        <w:fldChar w:fldCharType="begin" w:fldLock="1"/>
      </w:r>
      <w:r w:rsidR="00C10F2C">
        <w:rPr>
          <w:rFonts w:ascii="Times New Roman" w:eastAsia="SimSun" w:hAnsi="Times New Roman" w:cs="Calibri"/>
          <w:color w:val="000000" w:themeColor="text1"/>
          <w:lang w:eastAsia="hi-IN" w:bidi="hi-IN"/>
        </w:rPr>
        <w:instrText>ADDIN CSL_CITATION {"citationItems":[{"id":"ITEM-1","itemData":{"DOI":"10.3389/fbioe.2019.00031","ISSN":"2296-4185","author":[{"dropping-particle":"","family":"Eckerstorfer","given":"Michael F.","non-dropping-particle":"","parse-names":false,"suffix":""},{"dropping-particle":"","family":"Heissenberger","given":"Andreas","non-dropping-particle":"","parse-names":false,"suffix":""},{"dropping-particle":"","family":"Reichenbecher","given":"Wolfram","non-dropping-particle":"","parse-names":false,"suffix":""},{"dropping-particle":"","family":"Steinbrecher","given":"Ricarda A.","non-dropping-particle":"","parse-names":false,"suffix":""},{"dropping-particle":"","family":"Waßmann","given":"Friedrich","non-dropping-particle":"","parse-names":false,"suffix":""}],"container-title":"Frontiers in Bioengineering and Biotechnology","id":"ITEM-1","issued":{"date-parts":[["2019","3","5"]]},"title":"An EU Perspective on Biosafety Considerations for Plants Developed by Genome Editing and Other New Genetic Modification Techniques (nGMs)","type":"article-journal","volume":"7"},"uris":["http://www.mendeley.com/documents/?uuid=5233418b-6373-4ef9-8516-d6ce277d2ce4"]}],"mendeley":{"formattedCitation":"(Eckerstorfer, Heissenberger, et al., 2019)","plainTextFormattedCitation":"(Eckerstorfer, Heissenberger, et al., 2019)","previouslyFormattedCitation":"(Eckerstorfer, Heissenberger, et al., 2019)"},"properties":{"noteIndex":0},"schema":"https://github.com/citation-style-language/schema/raw/master/csl-citation.json"}</w:instrText>
      </w:r>
      <w:r w:rsidRPr="00121D97">
        <w:rPr>
          <w:rFonts w:ascii="Times New Roman" w:eastAsia="SimSun" w:hAnsi="Times New Roman" w:cs="Calibri"/>
          <w:color w:val="000000" w:themeColor="text1"/>
          <w:lang w:eastAsia="hi-IN" w:bidi="hi-IN"/>
        </w:rPr>
        <w:fldChar w:fldCharType="separate"/>
      </w:r>
      <w:r w:rsidR="00006C3B" w:rsidRPr="00006C3B">
        <w:rPr>
          <w:rFonts w:ascii="Times New Roman" w:eastAsia="SimSun" w:hAnsi="Times New Roman" w:cs="Calibri"/>
          <w:noProof/>
          <w:color w:val="000000" w:themeColor="text1"/>
          <w:lang w:eastAsia="hi-IN" w:bidi="hi-IN"/>
        </w:rPr>
        <w:t>(Eckerstorfer, Heissenberger, et al., 2019)</w:t>
      </w:r>
      <w:r w:rsidRPr="00121D97">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 xml:space="preserve">. </w:t>
      </w:r>
      <w:r w:rsidRPr="69BA3794">
        <w:rPr>
          <w:rFonts w:ascii="Times New Roman" w:eastAsia="SimSun" w:hAnsi="Times New Roman" w:cs="Calibri"/>
          <w:color w:val="000000" w:themeColor="text1"/>
          <w:lang w:eastAsia="hi-IN" w:bidi="hi-IN"/>
        </w:rPr>
        <w:t xml:space="preserve">In general, several types of </w:t>
      </w:r>
      <w:r>
        <w:rPr>
          <w:rFonts w:ascii="Times New Roman" w:eastAsia="SimSun" w:hAnsi="Times New Roman" w:cs="Calibri"/>
          <w:color w:val="000000" w:themeColor="text1"/>
          <w:lang w:eastAsia="hi-IN" w:bidi="hi-IN"/>
        </w:rPr>
        <w:t>these off-target modifications</w:t>
      </w:r>
      <w:r w:rsidRPr="69BA3794" w:rsidDel="00774EC1">
        <w:rPr>
          <w:rFonts w:ascii="Times New Roman" w:eastAsia="SimSun" w:hAnsi="Times New Roman" w:cs="Calibri"/>
          <w:color w:val="000000" w:themeColor="text1"/>
          <w:lang w:eastAsia="hi-IN" w:bidi="hi-IN"/>
        </w:rPr>
        <w:t xml:space="preserve"> </w:t>
      </w:r>
      <w:r w:rsidR="004B766E">
        <w:rPr>
          <w:rFonts w:ascii="Times New Roman" w:eastAsia="SimSun" w:hAnsi="Times New Roman" w:cs="Calibri"/>
          <w:color w:val="000000" w:themeColor="text1"/>
          <w:lang w:eastAsia="hi-IN" w:bidi="hi-IN"/>
        </w:rPr>
        <w:t xml:space="preserve">in genome edited plants </w:t>
      </w:r>
      <w:r w:rsidRPr="69BA3794">
        <w:rPr>
          <w:rFonts w:ascii="Times New Roman" w:eastAsia="SimSun" w:hAnsi="Times New Roman" w:cs="Calibri"/>
          <w:color w:val="000000" w:themeColor="text1"/>
          <w:lang w:eastAsia="hi-IN" w:bidi="hi-IN"/>
        </w:rPr>
        <w:t xml:space="preserve">can be distinguished </w:t>
      </w:r>
      <w:r w:rsidRPr="00121D97">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{"citationItems":[{"id":"ITEM-1","itemData":{"DOI":"10.3389/fpls.2018.01874","ISSN":"1664-462X","author":[{"dropping-particle":"","family":"Agapito-Tenfen","given":"Sarah Z.","non-dropping-particle":"","parse-names":false,"suffix":""},{"dropping-particle":"","family":"Okoli","given":"Arinze S.","non-dropping-particle":"","parse-names":false,"suffix":""},{"dropping-particle":"","family":"Bernstein","given":"Michael J.","non-dropping-particle":"","parse-names":false,"suffix":""},{"dropping-particle":"","family":"Wikmark","given":"Odd-Gunnar","non-dropping-particle":"","parse-names":false,"suffix":""},{"dropping-particle":"","family":"Myhr","given":"Anne I.","non-dropping-particle":"","parse-names":false,"suffix":""}],"container-title":"Frontiers in Plant Science","id":"ITEM-1","issued":{"date-parts":[["2018","12","21"]]},"title":"Revisiting Risk Governance of GM Plants: The Need to Consider New and Emerging Gene-Editing Techniques","type":"article-journal","volume":"9"},"uris":["http://www.mendeley.com/documents/?uuid=8d76cf70-b870-4875-b208-a0ca33e43701"]}],"mendeley":{"formattedCitation":"(Agapito-Tenfen et al., 2018)","plainTextFormattedCitation":"(Agapito-Tenfen et al., 2018)","previouslyFormattedCitation":"(Agapito-Tenfen et al., 2018)"},"properties":{"noteIndex":0},"schema":"https://github.com/citation-style-language/schema/raw/master/csl-citation.json"}</w:instrText>
      </w:r>
      <w:r w:rsidRPr="00121D97">
        <w:rPr>
          <w:rFonts w:ascii="Times New Roman" w:eastAsia="SimSun" w:hAnsi="Times New Roman" w:cs="Calibri"/>
          <w:color w:val="000000" w:themeColor="text1"/>
          <w:lang w:eastAsia="hi-IN" w:bidi="hi-IN"/>
        </w:rPr>
        <w:fldChar w:fldCharType="separate"/>
      </w:r>
      <w:r w:rsidRPr="69BA3794">
        <w:rPr>
          <w:rFonts w:ascii="Times New Roman" w:eastAsia="SimSun" w:hAnsi="Times New Roman" w:cs="Calibri"/>
          <w:noProof/>
          <w:color w:val="000000" w:themeColor="text1"/>
          <w:lang w:eastAsia="hi-IN" w:bidi="hi-IN"/>
        </w:rPr>
        <w:t>(Agapito-Tenfen et al., 2018)</w:t>
      </w:r>
      <w:r w:rsidRPr="00121D97">
        <w:rPr>
          <w:rFonts w:ascii="Times New Roman" w:eastAsia="SimSun" w:hAnsi="Times New Roman" w:cs="Calibri"/>
          <w:color w:val="000000" w:themeColor="text1"/>
          <w:lang w:eastAsia="hi-IN" w:bidi="hi-IN"/>
        </w:rPr>
        <w:fldChar w:fldCharType="end"/>
      </w:r>
      <w:r w:rsidRPr="69BA3794">
        <w:rPr>
          <w:rFonts w:ascii="Times New Roman" w:eastAsia="SimSun" w:hAnsi="Times New Roman" w:cs="Calibri"/>
          <w:color w:val="000000" w:themeColor="text1"/>
          <w:lang w:eastAsia="hi-IN" w:bidi="hi-IN"/>
        </w:rPr>
        <w:t>:</w:t>
      </w:r>
    </w:p>
    <w:p w14:paraId="48B589A8" w14:textId="77777777" w:rsidR="00DF5B3F" w:rsidRPr="00EB3DA0" w:rsidRDefault="00DF5B3F" w:rsidP="00877E23">
      <w:pPr>
        <w:pStyle w:val="ListParagraph"/>
        <w:numPr>
          <w:ilvl w:val="0"/>
          <w:numId w:val="67"/>
        </w:numPr>
        <w:spacing w:before="120" w:after="120" w:line="240" w:lineRule="auto"/>
        <w:ind w:left="284" w:hanging="284"/>
        <w:jc w:val="both"/>
        <w:rPr>
          <w:rFonts w:ascii="Times New Roman" w:eastAsia="Times New Roman" w:hAnsi="Times New Roman"/>
          <w:color w:val="000000" w:themeColor="text1"/>
        </w:rPr>
      </w:pPr>
      <w:r>
        <w:rPr>
          <w:rFonts w:ascii="Times New Roman" w:eastAsia="SimSun" w:hAnsi="Times New Roman" w:cs="Calibri"/>
          <w:color w:val="000000" w:themeColor="text1"/>
          <w:lang w:eastAsia="hi-IN" w:bidi="hi-IN"/>
        </w:rPr>
        <w:t>C</w:t>
      </w:r>
      <w:r w:rsidRPr="65A51B64">
        <w:rPr>
          <w:rFonts w:ascii="Times New Roman" w:eastAsia="SimSun" w:hAnsi="Times New Roman" w:cs="Calibri"/>
          <w:color w:val="000000" w:themeColor="text1"/>
          <w:lang w:eastAsia="hi-IN" w:bidi="hi-IN"/>
        </w:rPr>
        <w:t xml:space="preserve">hanges at genomic locations other than the </w:t>
      </w:r>
      <w:r>
        <w:rPr>
          <w:rFonts w:ascii="Times New Roman" w:eastAsia="SimSun" w:hAnsi="Times New Roman" w:cs="Calibri"/>
          <w:color w:val="000000" w:themeColor="text1"/>
          <w:lang w:eastAsia="hi-IN" w:bidi="hi-IN"/>
        </w:rPr>
        <w:t xml:space="preserve">intended </w:t>
      </w:r>
      <w:r w:rsidRPr="65A51B64">
        <w:rPr>
          <w:rFonts w:ascii="Times New Roman" w:eastAsia="SimSun" w:hAnsi="Times New Roman" w:cs="Calibri"/>
          <w:color w:val="000000" w:themeColor="text1"/>
          <w:lang w:eastAsia="hi-IN" w:bidi="hi-IN"/>
        </w:rPr>
        <w:t>genomic target site(s)</w:t>
      </w:r>
      <w:r>
        <w:rPr>
          <w:rFonts w:ascii="Times New Roman" w:eastAsia="SimSun" w:hAnsi="Times New Roman" w:cs="Calibri"/>
          <w:color w:val="000000" w:themeColor="text1"/>
          <w:lang w:eastAsia="hi-IN" w:bidi="hi-IN"/>
        </w:rPr>
        <w:t>,</w:t>
      </w:r>
      <w:r w:rsidRPr="65A51B64">
        <w:rPr>
          <w:rFonts w:ascii="Times New Roman" w:eastAsia="SimSun" w:hAnsi="Times New Roman" w:cs="Calibri"/>
          <w:color w:val="000000" w:themeColor="text1"/>
          <w:lang w:eastAsia="hi-IN" w:bidi="hi-IN"/>
        </w:rPr>
        <w:t xml:space="preserve"> i.e. modifications which are usually not genetically linked to the desired trait(s)</w:t>
      </w:r>
      <w:r>
        <w:rPr>
          <w:rFonts w:ascii="Times New Roman" w:eastAsia="SimSun" w:hAnsi="Times New Roman" w:cs="Calibri"/>
          <w:color w:val="000000" w:themeColor="text1"/>
          <w:lang w:eastAsia="hi-IN" w:bidi="hi-IN"/>
        </w:rPr>
        <w:t>,</w:t>
      </w:r>
    </w:p>
    <w:p w14:paraId="776ED90E" w14:textId="6015858A" w:rsidR="00DF5B3F" w:rsidRPr="00EB3DA0" w:rsidRDefault="00DF5B3F" w:rsidP="00DF5B3F">
      <w:pPr>
        <w:pStyle w:val="ListParagraph"/>
        <w:numPr>
          <w:ilvl w:val="0"/>
          <w:numId w:val="67"/>
        </w:numPr>
        <w:spacing w:before="120" w:after="120" w:line="240" w:lineRule="auto"/>
        <w:ind w:left="284" w:hanging="284"/>
        <w:jc w:val="both"/>
        <w:rPr>
          <w:rFonts w:ascii="Times New Roman" w:eastAsia="Times New Roman" w:hAnsi="Times New Roman"/>
          <w:color w:val="000000" w:themeColor="text1"/>
        </w:rPr>
      </w:pPr>
      <w:r>
        <w:rPr>
          <w:rFonts w:ascii="Times New Roman" w:eastAsia="SimSun" w:hAnsi="Times New Roman" w:cs="Calibri"/>
          <w:color w:val="000000" w:themeColor="text1"/>
          <w:lang w:eastAsia="hi-IN" w:bidi="hi-IN"/>
        </w:rPr>
        <w:t>M</w:t>
      </w:r>
      <w:r w:rsidRPr="65A51B64">
        <w:rPr>
          <w:rFonts w:ascii="Times New Roman" w:eastAsia="SimSun" w:hAnsi="Times New Roman" w:cs="Calibri"/>
          <w:color w:val="000000" w:themeColor="text1"/>
          <w:lang w:eastAsia="hi-IN" w:bidi="hi-IN"/>
        </w:rPr>
        <w:t>olecular changes in the vicinity of the intended site of modification; i.e. changes different from the intended modifications, but tightly linked to the desired trait(s)</w:t>
      </w:r>
      <w:r>
        <w:rPr>
          <w:rFonts w:ascii="Times New Roman" w:eastAsia="SimSun" w:hAnsi="Times New Roman" w:cs="Calibri"/>
          <w:color w:val="000000" w:themeColor="text1"/>
          <w:lang w:eastAsia="hi-IN" w:bidi="hi-IN"/>
        </w:rPr>
        <w:t>,</w:t>
      </w:r>
    </w:p>
    <w:p w14:paraId="7289E4EB" w14:textId="77777777" w:rsidR="00DF5B3F" w:rsidRPr="00EB3DA0" w:rsidRDefault="00DF5B3F" w:rsidP="00877E23">
      <w:pPr>
        <w:pStyle w:val="ListParagraph"/>
        <w:numPr>
          <w:ilvl w:val="0"/>
          <w:numId w:val="67"/>
        </w:numPr>
        <w:spacing w:before="120" w:after="120" w:line="240" w:lineRule="auto"/>
        <w:ind w:left="284" w:hanging="284"/>
        <w:jc w:val="both"/>
        <w:rPr>
          <w:rFonts w:ascii="Times New Roman" w:eastAsia="Times New Roman" w:hAnsi="Times New Roman"/>
          <w:color w:val="000000" w:themeColor="text1"/>
        </w:rPr>
      </w:pPr>
      <w:r>
        <w:rPr>
          <w:rFonts w:ascii="Times New Roman" w:eastAsia="SimSun" w:hAnsi="Times New Roman" w:cs="Calibri"/>
          <w:color w:val="000000" w:themeColor="text1"/>
          <w:lang w:eastAsia="hi-IN" w:bidi="hi-IN"/>
        </w:rPr>
        <w:t>E</w:t>
      </w:r>
      <w:r w:rsidRPr="65A51B64">
        <w:rPr>
          <w:rFonts w:ascii="Times New Roman" w:eastAsia="SimSun" w:hAnsi="Times New Roman" w:cs="Calibri"/>
          <w:color w:val="000000" w:themeColor="text1"/>
          <w:lang w:eastAsia="hi-IN" w:bidi="hi-IN"/>
        </w:rPr>
        <w:t>ffects different to the desired trait(s) which are due to the modifications at the genomic target</w:t>
      </w:r>
      <w:r>
        <w:rPr>
          <w:rFonts w:ascii="Times New Roman" w:eastAsia="SimSun" w:hAnsi="Times New Roman" w:cs="Calibri"/>
          <w:color w:val="000000" w:themeColor="text1"/>
          <w:lang w:eastAsia="hi-IN" w:bidi="hi-IN"/>
        </w:rPr>
        <w:t>,</w:t>
      </w:r>
      <w:r w:rsidRPr="65A51B64">
        <w:rPr>
          <w:rFonts w:ascii="Times New Roman" w:eastAsia="SimSun" w:hAnsi="Times New Roman" w:cs="Calibri"/>
          <w:color w:val="000000" w:themeColor="text1"/>
          <w:lang w:eastAsia="hi-IN" w:bidi="hi-IN"/>
        </w:rPr>
        <w:t xml:space="preserve"> i.e. pleiotropic effects of the intended modification(s) linked to the desired trait(s).</w:t>
      </w:r>
    </w:p>
    <w:p w14:paraId="2B27A192" w14:textId="5607D5F1" w:rsidR="005E64F2" w:rsidRDefault="008A728E" w:rsidP="00131439">
      <w:pPr>
        <w:spacing w:before="120" w:after="120" w:line="240" w:lineRule="auto"/>
        <w:jc w:val="both"/>
        <w:rPr>
          <w:rFonts w:ascii="Times New Roman" w:eastAsia="SimSun" w:hAnsi="Times New Roman" w:cs="Calibri"/>
          <w:color w:val="000000" w:themeColor="text1"/>
          <w:lang w:eastAsia="hi-IN" w:bidi="hi-IN"/>
        </w:rPr>
      </w:pPr>
      <w:r w:rsidRPr="00AE7D73">
        <w:rPr>
          <w:rFonts w:ascii="Times New Roman" w:eastAsia="SimSun" w:hAnsi="Times New Roman" w:cs="Calibri"/>
          <w:color w:val="000000" w:themeColor="text1"/>
          <w:lang w:eastAsia="hi-IN" w:bidi="hi-IN"/>
        </w:rPr>
        <w:t xml:space="preserve">To evaluate the consequences of such off-target effects, it is necessary to compare genome editing with conventional plant breeding. </w:t>
      </w:r>
      <w:r w:rsidR="00D57925" w:rsidRPr="00AE7D73">
        <w:rPr>
          <w:rFonts w:ascii="Times New Roman" w:eastAsia="SimSun" w:hAnsi="Times New Roman" w:cs="Calibri"/>
          <w:color w:val="000000" w:themeColor="text1"/>
          <w:lang w:eastAsia="hi-IN" w:bidi="hi-IN"/>
        </w:rPr>
        <w:t>M</w:t>
      </w:r>
      <w:r w:rsidRPr="00AE7D73">
        <w:rPr>
          <w:rFonts w:ascii="Times New Roman" w:eastAsia="SimSun" w:hAnsi="Times New Roman" w:cs="Calibri"/>
          <w:color w:val="000000" w:themeColor="text1"/>
          <w:lang w:eastAsia="hi-IN" w:bidi="hi-IN"/>
        </w:rPr>
        <w:t>utagenesis</w:t>
      </w:r>
      <w:r w:rsidR="00D57925" w:rsidRPr="00AE7D73">
        <w:rPr>
          <w:rFonts w:ascii="Times New Roman" w:eastAsia="SimSun" w:hAnsi="Times New Roman" w:cs="Calibri"/>
          <w:color w:val="000000" w:themeColor="text1"/>
          <w:lang w:eastAsia="hi-IN" w:bidi="hi-IN"/>
        </w:rPr>
        <w:t xml:space="preserve"> techniques</w:t>
      </w:r>
      <w:r w:rsidR="00157716">
        <w:rPr>
          <w:rStyle w:val="FootnoteReference"/>
          <w:rFonts w:ascii="Times New Roman" w:eastAsia="SimSun" w:hAnsi="Times New Roman" w:cs="Calibri"/>
          <w:color w:val="000000" w:themeColor="text1"/>
          <w:lang w:eastAsia="hi-IN" w:bidi="hi-IN"/>
        </w:rPr>
        <w:footnoteReference w:id="26"/>
      </w:r>
      <w:r w:rsidR="00D57925" w:rsidRPr="00AE7D73">
        <w:rPr>
          <w:rFonts w:ascii="Times New Roman" w:eastAsia="SimSun" w:hAnsi="Times New Roman" w:cs="Calibri"/>
          <w:color w:val="000000" w:themeColor="text1"/>
          <w:lang w:eastAsia="hi-IN" w:bidi="hi-IN"/>
        </w:rPr>
        <w:t xml:space="preserve"> used in conventional breeding</w:t>
      </w:r>
      <w:r w:rsidRPr="00AE7D73">
        <w:rPr>
          <w:rFonts w:ascii="Times New Roman" w:eastAsia="SimSun" w:hAnsi="Times New Roman" w:cs="Calibri"/>
          <w:color w:val="000000" w:themeColor="text1"/>
          <w:lang w:eastAsia="hi-IN" w:bidi="hi-IN"/>
        </w:rPr>
        <w:t xml:space="preserve"> </w:t>
      </w:r>
      <w:r w:rsidR="00222640" w:rsidRPr="00AE7D73">
        <w:rPr>
          <w:rFonts w:ascii="Times New Roman" w:eastAsia="SimSun" w:hAnsi="Times New Roman" w:cs="Calibri"/>
          <w:color w:val="000000" w:themeColor="text1"/>
          <w:lang w:eastAsia="hi-IN" w:bidi="hi-IN"/>
        </w:rPr>
        <w:t>are</w:t>
      </w:r>
      <w:r w:rsidRPr="00AE7D73">
        <w:rPr>
          <w:rFonts w:ascii="Times New Roman" w:eastAsia="SimSun" w:hAnsi="Times New Roman" w:cs="Calibri"/>
          <w:color w:val="000000" w:themeColor="text1"/>
          <w:lang w:eastAsia="hi-IN" w:bidi="hi-IN"/>
        </w:rPr>
        <w:t xml:space="preserve"> rife </w:t>
      </w:r>
      <w:r w:rsidRPr="00AE7D73" w:rsidDel="0096414B">
        <w:rPr>
          <w:rFonts w:ascii="Times New Roman" w:eastAsia="SimSun" w:hAnsi="Times New Roman" w:cs="Calibri"/>
          <w:color w:val="000000" w:themeColor="text1"/>
          <w:lang w:eastAsia="hi-IN" w:bidi="hi-IN"/>
        </w:rPr>
        <w:t>with</w:t>
      </w:r>
      <w:r w:rsidRPr="00AE7D73">
        <w:rPr>
          <w:rFonts w:ascii="Times New Roman" w:eastAsia="SimSun" w:hAnsi="Times New Roman" w:cs="Calibri"/>
          <w:color w:val="000000" w:themeColor="text1"/>
          <w:lang w:eastAsia="hi-IN" w:bidi="hi-IN"/>
        </w:rPr>
        <w:t xml:space="preserve"> off-target effects that few people ever bother to detect or characterise. These historically have not been a cause for safety concerns, and the</w:t>
      </w:r>
      <w:r w:rsidR="0096414B" w:rsidRPr="00AE7D73">
        <w:rPr>
          <w:rFonts w:ascii="Times New Roman" w:eastAsia="SimSun" w:hAnsi="Times New Roman" w:cs="Calibri"/>
          <w:color w:val="000000" w:themeColor="text1"/>
          <w:lang w:eastAsia="hi-IN" w:bidi="hi-IN"/>
        </w:rPr>
        <w:t>re has been a</w:t>
      </w:r>
      <w:r w:rsidRPr="00AE7D73">
        <w:rPr>
          <w:rFonts w:ascii="Times New Roman" w:eastAsia="SimSun" w:hAnsi="Times New Roman" w:cs="Calibri"/>
          <w:color w:val="000000" w:themeColor="text1"/>
          <w:lang w:eastAsia="hi-IN" w:bidi="hi-IN"/>
        </w:rPr>
        <w:t xml:space="preserve"> </w:t>
      </w:r>
      <w:r w:rsidR="00195097" w:rsidRPr="00AE7D73">
        <w:rPr>
          <w:rFonts w:ascii="Times New Roman" w:eastAsia="SimSun" w:hAnsi="Times New Roman" w:cs="Calibri"/>
          <w:color w:val="000000" w:themeColor="text1"/>
          <w:lang w:eastAsia="hi-IN" w:bidi="hi-IN"/>
        </w:rPr>
        <w:t xml:space="preserve">history of </w:t>
      </w:r>
      <w:r w:rsidRPr="00AE7D73">
        <w:rPr>
          <w:rFonts w:ascii="Times New Roman" w:eastAsia="SimSun" w:hAnsi="Times New Roman" w:cs="Calibri"/>
          <w:color w:val="000000" w:themeColor="text1"/>
          <w:lang w:eastAsia="hi-IN" w:bidi="hi-IN"/>
        </w:rPr>
        <w:t xml:space="preserve">safe use of mutagenised crops </w:t>
      </w:r>
      <w:r w:rsidR="00753A2F">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DOI":"10.3389/fbioe.2018.00079","ISSN":"2296-4185","author":[{"dropping-particle":"","family":"Duensing","given":"Nina","non-dropping-particle":"","parse-names":false,"suffix":""},{"dropping-particle":"","family":"Sprink","given":"Thorben","non-dropping-particle":"","parse-names":false,"suffix":""},{"dropping-particle":"","family":"Parrott","given":"Wayne A.","non-dropping-particle":"","parse-names":false,"suffix":""},{"dropping-particle":"","family":"Fedorova","given":"Maria","non-dropping-particle":"","parse-names":false,"suffix":""},{"dropping-particle":"","family":"Lema","given":"Martin A.","non-dropping-particle":"","parse-names":false,"suffix":""},{"dropping-particle":"","family":"Wolt","given":"Jeffrey D.","non-dropping-particle":"","parse-names":false,"suffix":""},{"dropping-particle":"","family":"Bartsch","given":"Detlef","non-dropping-particle":"","parse-names":false,"suffix":""}],"container-title":"Frontiers in Bioengineering and Biotechnology","id":"ITEM-1","issued":{"date-parts":[["2018","6","18"]]},"title":"Novel Features and Considerations for ERA and Regulation of Crops Produced by Genome Editing","type":"article-journal","volume":"6"},"uris":["http://www.mendeley.com/documents/?uuid=bebd66bf-05cb-4c1e-a730-d83b339c7685"]}],"mendeley":{"formattedCitation":"(Duensing et al., 2018)","plainTextFormattedCitation":"(Duensing et al., 2018)","previouslyFormattedCitation":"(Duensing et al., 2018)"},"properties":{"noteIndex":0},"schema":"https://github.com/citation-style-language/schema/raw/master/csl-citation.json"}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(Duensing et al., 2018)</w:t>
      </w:r>
      <w:r w:rsidR="00753A2F">
        <w:rPr>
          <w:rFonts w:ascii="Times New Roman" w:eastAsia="SimSun" w:hAnsi="Times New Roman" w:cs="Calibri"/>
          <w:color w:val="000000" w:themeColor="text1"/>
          <w:lang w:eastAsia="hi-IN" w:bidi="hi-IN"/>
        </w:rPr>
        <w:fldChar w:fldCharType="end"/>
      </w:r>
      <w:r w:rsidRPr="00AE7D73">
        <w:rPr>
          <w:rFonts w:ascii="Times New Roman" w:eastAsia="SimSun" w:hAnsi="Times New Roman" w:cs="Calibri"/>
          <w:color w:val="000000" w:themeColor="text1"/>
          <w:lang w:eastAsia="hi-IN" w:bidi="hi-IN"/>
        </w:rPr>
        <w:t>. Thus, while it is possible to optimise the editing process to minimise off-target effects, m</w:t>
      </w:r>
      <w:r w:rsidR="00DF5B3F" w:rsidRPr="00AE7D73">
        <w:rPr>
          <w:rFonts w:ascii="Times New Roman" w:eastAsia="SimSun" w:hAnsi="Times New Roman" w:cs="Calibri"/>
          <w:color w:val="000000" w:themeColor="text1"/>
          <w:lang w:eastAsia="hi-IN" w:bidi="hi-IN"/>
        </w:rPr>
        <w:t>any off-target modifications can be identified during the breeding/product development process and if unwanted</w:t>
      </w:r>
      <w:r w:rsidR="001921AF">
        <w:rPr>
          <w:rFonts w:ascii="Times New Roman" w:eastAsia="SimSun" w:hAnsi="Times New Roman" w:cs="Calibri"/>
          <w:color w:val="000000" w:themeColor="text1"/>
          <w:lang w:eastAsia="hi-IN" w:bidi="hi-IN"/>
        </w:rPr>
        <w:t>,</w:t>
      </w:r>
      <w:r w:rsidR="00DF5B3F" w:rsidRPr="00AE7D73">
        <w:rPr>
          <w:rFonts w:ascii="Times New Roman" w:eastAsia="SimSun" w:hAnsi="Times New Roman" w:cs="Calibri"/>
          <w:color w:val="000000" w:themeColor="text1"/>
          <w:lang w:eastAsia="hi-IN" w:bidi="hi-IN"/>
        </w:rPr>
        <w:t xml:space="preserve"> can be counter-selected or targeted for removal so that they are not present in the final product. Those off-target changes that remain may lead to phenotypic effects affecting the properties of the modified organism </w:t>
      </w:r>
      <w:r w:rsidR="00DF5B3F" w:rsidRPr="00121D97">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{"citationItems":[{"id":"ITEM-1","itemData":{"author":[{"dropping-particle":"","family":"European Commission High Level Group of Scientific Advisors","given":"","non-dropping-particle":"","parse-names":false,"suffix":""}],"id":"ITEM-1","issued":{"date-parts":[["2017","4"]]},"publisher-place":"Brussels","title":"New Techniques in Agricultural Biotechnology. Explanatory Note 02","type":"report"},"uris":["http://www.mendeley.com/documents/?uuid=b98ddc18-1ff3-4a06-9e2f-13f56673cd78"]}],"mendeley":{"formattedCitation":"(European Commission High Level Group of Scientific Advisors, 2017)","plainTextFormattedCitation":"(European Commission High Level Group of Scientific Advisors, 2017)","previouslyFormattedCitation":"(European Commission High Level Group of Scientific Advisors, 2017)"},"properties":{"noteIndex":0},"schema":"https://github.com/citation-style-language/schema/raw/master/csl-citation.json"}</w:instrText>
      </w:r>
      <w:r w:rsidR="00DF5B3F" w:rsidRPr="00121D97">
        <w:rPr>
          <w:rFonts w:ascii="Times New Roman" w:eastAsia="SimSun" w:hAnsi="Times New Roman" w:cs="Calibri"/>
          <w:color w:val="000000" w:themeColor="text1"/>
          <w:lang w:eastAsia="hi-IN" w:bidi="hi-IN"/>
        </w:rPr>
        <w:fldChar w:fldCharType="separate"/>
      </w:r>
      <w:r w:rsidR="00DF5B3F" w:rsidRPr="005E1B5F">
        <w:rPr>
          <w:rFonts w:ascii="Times New Roman" w:eastAsia="SimSun" w:hAnsi="Times New Roman" w:cs="Calibri"/>
          <w:noProof/>
          <w:color w:val="000000" w:themeColor="text1"/>
          <w:lang w:eastAsia="hi-IN" w:bidi="hi-IN"/>
        </w:rPr>
        <w:t>(European Commission High Level Group o</w:t>
      </w:r>
      <w:r w:rsidR="00DF5B3F" w:rsidRPr="009C6903">
        <w:rPr>
          <w:rFonts w:ascii="Times New Roman" w:eastAsia="SimSun" w:hAnsi="Times New Roman" w:cs="Calibri"/>
          <w:noProof/>
          <w:color w:val="000000" w:themeColor="text1"/>
          <w:lang w:eastAsia="hi-IN" w:bidi="hi-IN"/>
        </w:rPr>
        <w:t>f Scientific Advisors, 2017)</w:t>
      </w:r>
      <w:r w:rsidR="00DF5B3F" w:rsidRPr="00121D97">
        <w:rPr>
          <w:rFonts w:ascii="Times New Roman" w:eastAsia="SimSun" w:hAnsi="Times New Roman" w:cs="Calibri"/>
          <w:color w:val="000000" w:themeColor="text1"/>
          <w:lang w:eastAsia="hi-IN" w:bidi="hi-IN"/>
        </w:rPr>
        <w:fldChar w:fldCharType="end"/>
      </w:r>
      <w:r w:rsidR="00DF5B3F">
        <w:rPr>
          <w:rFonts w:ascii="Times New Roman" w:eastAsia="SimSun" w:hAnsi="Times New Roman" w:cs="Calibri"/>
          <w:color w:val="000000" w:themeColor="text1"/>
          <w:lang w:eastAsia="hi-IN" w:bidi="hi-IN"/>
        </w:rPr>
        <w:t xml:space="preserve">, and </w:t>
      </w:r>
      <w:r w:rsidR="00DF5B3F" w:rsidRPr="00AE7D73">
        <w:rPr>
          <w:rFonts w:ascii="Times New Roman" w:eastAsia="SimSun" w:hAnsi="Times New Roman" w:cs="Calibri"/>
          <w:color w:val="000000" w:themeColor="text1"/>
          <w:lang w:eastAsia="hi-IN" w:bidi="hi-IN"/>
        </w:rPr>
        <w:t>have the potential to ultimately lead to alterations of population characteristics, especially when spread amongst individuals via gene transfer</w:t>
      </w:r>
      <w:r w:rsidR="00DF5B3F">
        <w:rPr>
          <w:rFonts w:ascii="Times New Roman" w:eastAsia="SimSun" w:hAnsi="Times New Roman" w:cs="Calibri"/>
          <w:color w:val="000000" w:themeColor="text1"/>
          <w:lang w:eastAsia="hi-IN" w:bidi="hi-IN"/>
        </w:rPr>
        <w:t>.</w:t>
      </w:r>
      <w:r w:rsidR="00DF5B3F" w:rsidRPr="69BA3794">
        <w:rPr>
          <w:rFonts w:ascii="Times New Roman" w:eastAsia="SimSun" w:hAnsi="Times New Roman" w:cs="Calibri"/>
          <w:color w:val="000000" w:themeColor="text1"/>
          <w:lang w:eastAsia="hi-IN" w:bidi="hi-IN"/>
        </w:rPr>
        <w:t xml:space="preserve"> </w:t>
      </w:r>
      <w:r w:rsidR="00DF5B3F">
        <w:rPr>
          <w:rFonts w:ascii="Times New Roman" w:eastAsia="SimSun" w:hAnsi="Times New Roman" w:cs="Calibri"/>
          <w:color w:val="000000" w:themeColor="text1"/>
          <w:lang w:eastAsia="hi-IN" w:bidi="hi-IN"/>
        </w:rPr>
        <w:t>This may ultimately lead to unintended or unexpected consequences during interactions with associated species or populations in the surrounding environment.</w:t>
      </w:r>
      <w:r w:rsidR="008A3398" w:rsidRPr="008A3398">
        <w:rPr>
          <w:rFonts w:ascii="Times New Roman" w:eastAsia="SimSun" w:hAnsi="Times New Roman" w:cs="Calibri"/>
          <w:color w:val="000000" w:themeColor="text1"/>
          <w:lang w:eastAsia="hi-IN" w:bidi="hi-IN"/>
        </w:rPr>
        <w:t xml:space="preserve"> </w:t>
      </w:r>
      <w:r w:rsidR="00D8132F">
        <w:rPr>
          <w:rFonts w:ascii="Times New Roman" w:eastAsia="SimSun" w:hAnsi="Times New Roman" w:cs="Calibri"/>
          <w:color w:val="000000" w:themeColor="text1"/>
          <w:lang w:eastAsia="hi-IN" w:bidi="hi-IN"/>
        </w:rPr>
        <w:t xml:space="preserve">Conversely, </w:t>
      </w:r>
      <w:r w:rsidR="008A3398">
        <w:rPr>
          <w:rFonts w:ascii="Times New Roman" w:eastAsia="SimSun" w:hAnsi="Times New Roman" w:cs="Calibri"/>
          <w:color w:val="000000" w:themeColor="text1"/>
          <w:lang w:eastAsia="hi-IN" w:bidi="hi-IN"/>
        </w:rPr>
        <w:t xml:space="preserve">the cause of some of this imprecision is also being exploited by developers to intentionally </w:t>
      </w:r>
      <w:r w:rsidR="008A3398" w:rsidRPr="00DA33EE">
        <w:rPr>
          <w:rFonts w:ascii="Times New Roman" w:eastAsia="SimSun" w:hAnsi="Times New Roman" w:cs="Calibri"/>
          <w:color w:val="000000" w:themeColor="text1"/>
          <w:lang w:eastAsia="hi-IN" w:bidi="hi-IN"/>
        </w:rPr>
        <w:t>modify more</w:t>
      </w:r>
      <w:r w:rsidR="008A3398">
        <w:rPr>
          <w:rFonts w:ascii="Times New Roman" w:eastAsia="SimSun" w:hAnsi="Times New Roman" w:cs="Calibri"/>
          <w:color w:val="000000" w:themeColor="text1"/>
          <w:lang w:eastAsia="hi-IN" w:bidi="hi-IN"/>
        </w:rPr>
        <w:t xml:space="preserve"> </w:t>
      </w:r>
      <w:r w:rsidR="008A3398" w:rsidRPr="00DA33EE">
        <w:rPr>
          <w:rFonts w:ascii="Times New Roman" w:eastAsia="SimSun" w:hAnsi="Times New Roman" w:cs="Calibri"/>
          <w:color w:val="000000" w:themeColor="text1"/>
          <w:lang w:eastAsia="hi-IN" w:bidi="hi-IN"/>
        </w:rPr>
        <w:t xml:space="preserve">than one related sequence </w:t>
      </w:r>
      <w:r w:rsidR="008A3398">
        <w:rPr>
          <w:rFonts w:ascii="Times New Roman" w:eastAsia="SimSun" w:hAnsi="Times New Roman" w:cs="Calibri"/>
          <w:color w:val="000000" w:themeColor="text1"/>
          <w:lang w:eastAsia="hi-IN" w:bidi="hi-IN"/>
        </w:rPr>
        <w:t xml:space="preserve">(with less than </w:t>
      </w:r>
      <w:r w:rsidR="008A3398" w:rsidRPr="00DA33EE">
        <w:rPr>
          <w:rFonts w:ascii="Times New Roman" w:eastAsia="SimSun" w:hAnsi="Times New Roman" w:cs="Calibri"/>
          <w:color w:val="000000" w:themeColor="text1"/>
          <w:lang w:eastAsia="hi-IN" w:bidi="hi-IN"/>
        </w:rPr>
        <w:t>100 percent</w:t>
      </w:r>
      <w:r w:rsidR="008A3398">
        <w:rPr>
          <w:rFonts w:ascii="Times New Roman" w:eastAsia="SimSun" w:hAnsi="Times New Roman" w:cs="Calibri"/>
          <w:color w:val="000000" w:themeColor="text1"/>
          <w:lang w:eastAsia="hi-IN" w:bidi="hi-IN"/>
        </w:rPr>
        <w:t xml:space="preserve"> </w:t>
      </w:r>
      <w:r w:rsidR="008A3398" w:rsidRPr="00DA33EE">
        <w:rPr>
          <w:rFonts w:ascii="Times New Roman" w:eastAsia="SimSun" w:hAnsi="Times New Roman" w:cs="Calibri"/>
          <w:color w:val="000000" w:themeColor="text1"/>
          <w:lang w:eastAsia="hi-IN" w:bidi="hi-IN"/>
        </w:rPr>
        <w:t>sequence identity</w:t>
      </w:r>
      <w:r w:rsidR="008A3398">
        <w:rPr>
          <w:rFonts w:ascii="Times New Roman" w:eastAsia="SimSun" w:hAnsi="Times New Roman" w:cs="Calibri"/>
          <w:color w:val="000000" w:themeColor="text1"/>
          <w:lang w:eastAsia="hi-IN" w:bidi="hi-IN"/>
        </w:rPr>
        <w:t>) in attempts</w:t>
      </w:r>
      <w:r w:rsidR="008A3398" w:rsidRPr="00DA33EE">
        <w:rPr>
          <w:rFonts w:ascii="Times New Roman" w:eastAsia="SimSun" w:hAnsi="Times New Roman" w:cs="Calibri"/>
          <w:color w:val="000000" w:themeColor="text1"/>
          <w:lang w:eastAsia="hi-IN" w:bidi="hi-IN"/>
        </w:rPr>
        <w:t xml:space="preserve"> to modify</w:t>
      </w:r>
      <w:r w:rsidR="008A3398">
        <w:rPr>
          <w:rFonts w:ascii="Times New Roman" w:eastAsia="SimSun" w:hAnsi="Times New Roman" w:cs="Calibri"/>
          <w:color w:val="000000" w:themeColor="text1"/>
          <w:lang w:eastAsia="hi-IN" w:bidi="hi-IN"/>
        </w:rPr>
        <w:t xml:space="preserve"> </w:t>
      </w:r>
      <w:r w:rsidR="008A3398" w:rsidRPr="00DA33EE">
        <w:rPr>
          <w:rFonts w:ascii="Times New Roman" w:eastAsia="SimSun" w:hAnsi="Times New Roman" w:cs="Calibri"/>
          <w:color w:val="000000" w:themeColor="text1"/>
          <w:lang w:eastAsia="hi-IN" w:bidi="hi-IN"/>
        </w:rPr>
        <w:t>di</w:t>
      </w:r>
      <w:r w:rsidR="008A3398">
        <w:rPr>
          <w:rFonts w:ascii="Times New Roman" w:eastAsia="SimSun" w:hAnsi="Times New Roman" w:cs="Calibri"/>
          <w:color w:val="000000" w:themeColor="text1"/>
          <w:lang w:eastAsia="hi-IN" w:bidi="hi-IN"/>
        </w:rPr>
        <w:t xml:space="preserve">fferent </w:t>
      </w:r>
      <w:r w:rsidR="008A3398" w:rsidRPr="00DA33EE">
        <w:rPr>
          <w:rFonts w:ascii="Times New Roman" w:eastAsia="SimSun" w:hAnsi="Times New Roman" w:cs="Calibri"/>
          <w:color w:val="000000" w:themeColor="text1"/>
          <w:lang w:eastAsia="hi-IN" w:bidi="hi-IN"/>
        </w:rPr>
        <w:t>alleles or homolog</w:t>
      </w:r>
      <w:r w:rsidR="008A3398">
        <w:rPr>
          <w:rFonts w:ascii="Times New Roman" w:eastAsia="SimSun" w:hAnsi="Times New Roman" w:cs="Calibri"/>
          <w:color w:val="000000" w:themeColor="text1"/>
          <w:lang w:eastAsia="hi-IN" w:bidi="hi-IN"/>
        </w:rPr>
        <w:t>ous</w:t>
      </w:r>
      <w:r w:rsidR="008A3398" w:rsidRPr="00DA33EE">
        <w:rPr>
          <w:rFonts w:ascii="Times New Roman" w:eastAsia="SimSun" w:hAnsi="Times New Roman" w:cs="Calibri"/>
          <w:color w:val="000000" w:themeColor="text1"/>
          <w:lang w:eastAsia="hi-IN" w:bidi="hi-IN"/>
        </w:rPr>
        <w:t xml:space="preserve"> genes </w:t>
      </w:r>
      <w:r w:rsidR="008A3398">
        <w:rPr>
          <w:rFonts w:ascii="Times New Roman" w:eastAsia="SimSun" w:hAnsi="Times New Roman" w:cs="Calibri"/>
          <w:color w:val="000000" w:themeColor="text1"/>
          <w:lang w:eastAsia="hi-IN" w:bidi="hi-IN"/>
        </w:rPr>
        <w:t xml:space="preserve">in the host organism </w:t>
      </w:r>
      <w:r w:rsidR="008A3398" w:rsidRPr="00DA33EE">
        <w:rPr>
          <w:rFonts w:ascii="Times New Roman" w:eastAsia="SimSun" w:hAnsi="Times New Roman" w:cs="Calibri"/>
          <w:color w:val="000000" w:themeColor="text1"/>
          <w:lang w:eastAsia="hi-IN" w:bidi="hi-IN"/>
        </w:rPr>
        <w:t>a</w:t>
      </w:r>
      <w:r w:rsidR="008A3398">
        <w:rPr>
          <w:rFonts w:ascii="Times New Roman" w:eastAsia="SimSun" w:hAnsi="Times New Roman" w:cs="Calibri"/>
          <w:color w:val="000000" w:themeColor="text1"/>
          <w:lang w:eastAsia="hi-IN" w:bidi="hi-IN"/>
        </w:rPr>
        <w:t xml:space="preserve">t the same time </w:t>
      </w:r>
      <w:r w:rsidR="008A3398" w:rsidRPr="00121D97">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{"citationItems":[{"id":"ITEM-1","itemData":{"abstract":"Worldwide, an increasing number of regulatory systems have begun to consider applications for the authorization of activities involving geneedited organisms for agri-food use. Although a handful of countries have made advances in establishing regulatory criteria and gathering practical experience in this regard, there is still a general need for regulatory cooperation concerning capacity building and development of harmonized criteria. Consequently, many biotechnology regulators need to quickly become more acquainted with the numerous technological possibilities enclosed under the concept of “gene editing”, and to incorporate criteria for their regulatory assessment. This article contains a simplified introduction to the state of the art in genome editing, described from a regulatory perspective. In particular, two issues of higher practical importance are covered in detail, namely, o -target e ects and unintended DNA insertions. The detailed review of current evidence regarding those issues serves as the basis for proposing concrete regulatory criteria to address them.","author":[{"dropping-particle":"","family":"Lema","given":"Martin A","non-dropping-particle":"","parse-names":false,"suffix":""}],"container-title":"Journal of Regulatory Science","id":"ITEM-1","issue":"1","issued":{"date-parts":[["2021"]]},"page":"1-15","title":"Regulatory Science Regulatory Assessment of O ff -Target Changes and Spurious DNA Insertions in Gene-Edited Organisms for Agri-Food Use","type":"article-journal","volume":"9"},"uris":["http://www.mendeley.com/documents/?uuid=f3c81310-f2cc-4bda-9f0c-2aad648ba109"]}],"mendeley":{"formattedCitation":"(Martin A Lema, 2021)","manualFormatting":"(Lema, 2021)","plainTextFormattedCitation":"(Martin A Lema, 2021)","previouslyFormattedCitation":"(Martin A Lema, 2021)"},"properties":{"noteIndex":0},"schema":"https://github.com/citation-style-language/schema/raw/master/csl-citation.json"}</w:instrText>
      </w:r>
      <w:r w:rsidR="008A3398" w:rsidRPr="00121D97">
        <w:rPr>
          <w:rFonts w:ascii="Times New Roman" w:eastAsia="SimSun" w:hAnsi="Times New Roman" w:cs="Calibri"/>
          <w:color w:val="000000" w:themeColor="text1"/>
          <w:lang w:eastAsia="hi-IN" w:bidi="hi-IN"/>
        </w:rPr>
        <w:fldChar w:fldCharType="separate"/>
      </w:r>
      <w:r w:rsidR="006C228B" w:rsidRPr="006C228B">
        <w:rPr>
          <w:rFonts w:ascii="Times New Roman" w:eastAsia="SimSun" w:hAnsi="Times New Roman" w:cs="Calibri"/>
          <w:noProof/>
          <w:color w:val="000000" w:themeColor="text1"/>
          <w:lang w:eastAsia="hi-IN" w:bidi="hi-IN"/>
        </w:rPr>
        <w:t>(Lema, 2021)</w:t>
      </w:r>
      <w:r w:rsidR="008A3398" w:rsidRPr="00121D97">
        <w:rPr>
          <w:rFonts w:ascii="Times New Roman" w:eastAsia="SimSun" w:hAnsi="Times New Roman" w:cs="Calibri"/>
          <w:color w:val="000000" w:themeColor="text1"/>
          <w:lang w:eastAsia="hi-IN" w:bidi="hi-IN"/>
        </w:rPr>
        <w:fldChar w:fldCharType="end"/>
      </w:r>
      <w:r w:rsidR="008A3398" w:rsidRPr="001921AF">
        <w:rPr>
          <w:rFonts w:ascii="Times New Roman" w:eastAsia="SimSun" w:hAnsi="Times New Roman" w:cs="Calibri"/>
          <w:color w:val="000000" w:themeColor="text1"/>
          <w:lang w:eastAsia="hi-IN" w:bidi="hi-IN"/>
        </w:rPr>
        <w:t>.</w:t>
      </w:r>
    </w:p>
    <w:p w14:paraId="4B0FD476" w14:textId="6519C12C" w:rsidR="00E6129B" w:rsidRPr="00E6129B" w:rsidRDefault="00EE0F1F" w:rsidP="00E6129B">
      <w:pPr>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C</w:t>
      </w:r>
      <w:r w:rsidR="006F5B90">
        <w:rPr>
          <w:rFonts w:ascii="Times New Roman" w:eastAsia="SimSun" w:hAnsi="Times New Roman" w:cs="Calibri"/>
          <w:color w:val="000000" w:themeColor="text1"/>
          <w:lang w:eastAsia="hi-IN" w:bidi="hi-IN"/>
        </w:rPr>
        <w:t>oncerns have also been raised surrounding</w:t>
      </w:r>
      <w:r w:rsidR="001A607E">
        <w:rPr>
          <w:rFonts w:ascii="Times New Roman" w:eastAsia="SimSun" w:hAnsi="Times New Roman" w:cs="Calibri"/>
          <w:color w:val="000000" w:themeColor="text1"/>
          <w:lang w:eastAsia="hi-IN" w:bidi="hi-IN"/>
        </w:rPr>
        <w:t xml:space="preserve"> the generation of plant allergens, toxins and anti-nutrients</w:t>
      </w:r>
      <w:r w:rsidR="00A04895">
        <w:rPr>
          <w:rFonts w:ascii="Times New Roman" w:eastAsia="SimSun" w:hAnsi="Times New Roman" w:cs="Calibri"/>
          <w:color w:val="000000" w:themeColor="text1"/>
          <w:lang w:eastAsia="hi-IN" w:bidi="hi-IN"/>
        </w:rPr>
        <w:t>, which may pose a risk to human and animal health</w:t>
      </w:r>
      <w:r w:rsidR="001A607E">
        <w:rPr>
          <w:rFonts w:ascii="Times New Roman" w:eastAsia="SimSun" w:hAnsi="Times New Roman" w:cs="Calibri"/>
          <w:color w:val="000000" w:themeColor="text1"/>
          <w:lang w:eastAsia="hi-IN" w:bidi="hi-IN"/>
        </w:rPr>
        <w:t xml:space="preserve"> </w:t>
      </w:r>
      <w:r w:rsidR="00512014">
        <w:rPr>
          <w:rFonts w:ascii="Times New Roman" w:eastAsia="SimSun" w:hAnsi="Times New Roman" w:cs="Calibri"/>
          <w:noProof/>
          <w:color w:val="000000" w:themeColor="text1"/>
          <w:lang w:eastAsia="hi-IN" w:bidi="hi-IN"/>
        </w:rPr>
        <w:fldChar w:fldCharType="begin" w:fldLock="1"/>
      </w:r>
      <w:r w:rsidR="008F6A90">
        <w:rPr>
          <w:rFonts w:ascii="Times New Roman" w:eastAsia="SimSun" w:hAnsi="Times New Roman" w:cs="Calibri"/>
          <w:noProof/>
          <w:color w:val="000000" w:themeColor="text1"/>
          <w:lang w:eastAsia="hi-IN" w:bidi="hi-IN"/>
        </w:rPr>
        <w:instrText>ADDIN CSL_CITATION {"citationItems":[{"id":"ITEM-1","itemData":{"DOI":"10.1042/ETLS20170037","ISSN":"23978562","PMID":"33525760","abstract":"Assessment for potential adverse effects of plant genome editing logically focuses on the specific characteristics of the derived phenotype and its release environment. Genomeedited crops, depending on the editing objective, can be classified as either indistinguishable from crops developed through conventional plant breeding or as crops which are transgenic. Therefore, existing regulatory regimes and risk assessment procedures accommodate genome-edited crops. The ability for regulators and the public to accept a product focus in the evaluation of genome-edited crops will depend on research which clarifies the precision of the genome-editing process and evaluates unanticipated offtarget edits from the process. Interpretation of genome-wide effects of genome editing should adhere to existing frameworks for comparative risk assessment where the nature and degree of effects are considered relative to a baseline of genome-wide mutations as found in crop varieties developed through conventional breeding methods. Research addressing current uncertainties regarding unintended changes from plant genome editing, and adopting procedures that clearly avoid the potential for gene drive initiation, will help to clarify anticipated public and regulatory questions regarding risk of crops derived through genome editing.","author":[{"dropping-particle":"","family":"Zhao","given":"Hui","non-dropping-particle":"","parse-names":false,"suffix":""},{"dropping-particle":"","family":"Wolt","given":"Jeffrey D.","non-dropping-particle":"","parse-names":false,"suffix":""}],"container-title":"Emerging Topics in Life Sciences","id":"ITEM-1","issue":"2","issued":{"date-parts":[["2017","11"]]},"page":"231-240","publisher":"Portland Press Ltd","title":"Risk associated with off-target plant genome editing and methods for its limitation","type":"article","volume":"1"},"uris":["http://www.mendeley.com/documents/?uuid=84bf4528-364e-3736-bc08-384e7f7c9d02","http://www.mendeley.com/documents/?uuid=0e2a3a23-92b7-44c5-b50e-791dbef57ff6"]},{"id":"ITEM-2","itemData":{"author":[{"dropping-particle":"","family":"African Centre for Biodiversity","given":"","non-dropping-particle":"","parse-names":false,"suffix":""}],"id":"ITEM-2","issued":{"date-parts":[["2020","10"]]},"title":"Genome Editing. The Next GM Techno Fix Doomed To Fail. Regulatory Issues and Threats for Africa.","type":"report"},"uris":["http://www.mendeley.com/documents/?uuid=b8e8749f-88b4-3b1f-ac20-3b83876156c9","http://www.mendeley.com/documents/?uuid=fb5ca4d2-9550-47af-b6ae-d2c4606dfaad"]}],"mendeley":{"formattedCitation":"(African Centre for Biodiversity, 2020; Zhao &amp; Wolt, 2017)","plainTextFormattedCitation":"(African Centre for Biodiversity, 2020; Zhao &amp; Wolt, 2017)","previouslyFormattedCitation":"(African Centre for Biodiversity, 2020; Zhao &amp; Wolt, 2017)"},"properties":{"noteIndex":0},"schema":"https://github.com/citation-style-language/schema/raw/master/csl-citation.json"}</w:instrText>
      </w:r>
      <w:r w:rsidR="00512014">
        <w:rPr>
          <w:rFonts w:ascii="Times New Roman" w:eastAsia="SimSun" w:hAnsi="Times New Roman" w:cs="Calibri"/>
          <w:noProof/>
          <w:color w:val="000000" w:themeColor="text1"/>
          <w:lang w:eastAsia="hi-IN" w:bidi="hi-IN"/>
        </w:rPr>
        <w:fldChar w:fldCharType="separate"/>
      </w:r>
      <w:r w:rsidR="00512014" w:rsidRPr="00512014">
        <w:rPr>
          <w:rFonts w:ascii="Times New Roman" w:eastAsia="SimSun" w:hAnsi="Times New Roman" w:cs="Calibri"/>
          <w:noProof/>
          <w:color w:val="000000" w:themeColor="text1"/>
          <w:lang w:eastAsia="hi-IN" w:bidi="hi-IN"/>
        </w:rPr>
        <w:t>(African Centre for Biodiversity, 2020; Zhao &amp; Wolt, 2017)</w:t>
      </w:r>
      <w:r w:rsidR="00512014">
        <w:rPr>
          <w:rFonts w:ascii="Times New Roman" w:eastAsia="SimSun" w:hAnsi="Times New Roman" w:cs="Calibri"/>
          <w:noProof/>
          <w:color w:val="000000" w:themeColor="text1"/>
          <w:lang w:eastAsia="hi-IN" w:bidi="hi-IN"/>
        </w:rPr>
        <w:fldChar w:fldCharType="end"/>
      </w:r>
      <w:r w:rsidR="00A04895">
        <w:rPr>
          <w:rFonts w:ascii="Times New Roman" w:eastAsia="SimSun" w:hAnsi="Times New Roman" w:cs="Calibri"/>
          <w:color w:val="000000" w:themeColor="text1"/>
          <w:lang w:eastAsia="hi-IN" w:bidi="hi-IN"/>
        </w:rPr>
        <w:t>.</w:t>
      </w:r>
      <w:r w:rsidR="00916BEE">
        <w:rPr>
          <w:rFonts w:ascii="Times New Roman" w:eastAsia="SimSun" w:hAnsi="Times New Roman" w:cs="Calibri"/>
          <w:color w:val="000000" w:themeColor="text1"/>
          <w:lang w:eastAsia="hi-IN" w:bidi="hi-IN"/>
        </w:rPr>
        <w:t xml:space="preserve"> </w:t>
      </w:r>
      <w:r>
        <w:rPr>
          <w:rFonts w:ascii="Times New Roman" w:eastAsia="SimSun" w:hAnsi="Times New Roman" w:cs="Calibri"/>
          <w:color w:val="000000" w:themeColor="text1"/>
          <w:lang w:eastAsia="hi-IN" w:bidi="hi-IN"/>
        </w:rPr>
        <w:t xml:space="preserve">Additionally, in </w:t>
      </w:r>
      <w:r w:rsidR="005E115E">
        <w:rPr>
          <w:rFonts w:ascii="Times New Roman" w:eastAsia="SimSun" w:hAnsi="Times New Roman" w:cs="Calibri"/>
          <w:color w:val="000000" w:themeColor="text1"/>
          <w:lang w:eastAsia="hi-IN" w:bidi="hi-IN"/>
        </w:rPr>
        <w:t xml:space="preserve">the </w:t>
      </w:r>
      <w:r>
        <w:rPr>
          <w:rFonts w:ascii="Times New Roman" w:eastAsia="SimSun" w:hAnsi="Times New Roman" w:cs="Calibri"/>
          <w:color w:val="000000" w:themeColor="text1"/>
          <w:lang w:eastAsia="hi-IN" w:bidi="hi-IN"/>
        </w:rPr>
        <w:t xml:space="preserve">case of </w:t>
      </w:r>
      <w:r>
        <w:rPr>
          <w:rFonts w:ascii="Times New Roman" w:eastAsia="SimSun" w:hAnsi="Times New Roman" w:cs="Calibri"/>
          <w:i/>
          <w:iCs/>
          <w:color w:val="000000" w:themeColor="text1"/>
          <w:lang w:eastAsia="hi-IN" w:bidi="hi-IN"/>
        </w:rPr>
        <w:t xml:space="preserve">de novo </w:t>
      </w:r>
      <w:r>
        <w:rPr>
          <w:rFonts w:ascii="Times New Roman" w:eastAsia="SimSun" w:hAnsi="Times New Roman" w:cs="Calibri"/>
          <w:color w:val="000000" w:themeColor="text1"/>
          <w:lang w:eastAsia="hi-IN" w:bidi="hi-IN"/>
        </w:rPr>
        <w:t xml:space="preserve">domestication or domestication of new crops, it has been suggested to further investigate the presence of any potentially toxic secondary metabolites from the wild relative and </w:t>
      </w:r>
      <w:r w:rsidR="00BF723F">
        <w:rPr>
          <w:rFonts w:ascii="Times New Roman" w:eastAsia="SimSun" w:hAnsi="Times New Roman" w:cs="Calibri"/>
          <w:color w:val="000000" w:themeColor="text1"/>
          <w:lang w:eastAsia="hi-IN" w:bidi="hi-IN"/>
        </w:rPr>
        <w:t xml:space="preserve">whether </w:t>
      </w:r>
      <w:r>
        <w:rPr>
          <w:rFonts w:ascii="Times New Roman" w:eastAsia="SimSun" w:hAnsi="Times New Roman" w:cs="Calibri"/>
          <w:color w:val="000000" w:themeColor="text1"/>
          <w:lang w:eastAsia="hi-IN" w:bidi="hi-IN"/>
        </w:rPr>
        <w:t xml:space="preserve">the food product is digestible in the final breeding line </w:t>
      </w:r>
      <w:r w:rsidR="008C7CBB">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{"citationItems":[{"id":"ITEM-1","itemData":{"DOI":"10.1016/j.molp.2019.03.016","ISSN":"17529867","PMID":"30999078","abstract":"Current global agricultural production must feed over 7 billion people. However, productivity varies greatly across the globe and is under threat from both increased competitions for land and climate change and associated environmental deterioration. Moreover, the increase in human population size and dietary changes are putting an ever greater burden on agriculture. The majority of this burden is met by the cultivation of a very small number of species, largely in locations that differ from their origin of domestication. Recent technological advances have raised the possibility of de novo domestication of wild plants as a viable solution for designing ideal crops while maintaining food security and a more sustainable low-input agriculture. Here we discuss how the discovery of multiple key domestication genes alongside the development of technologies for accurate manipulation of several target genes simultaneously renders de novo domestication a route toward crops for the future. Global agriculture is highly dependent on a very small set of species that are often grown outside of their centers of origin and thus may not reach peak productivity. We discuss how the discovery of multiple key domestication genes alongside the development of technologies for accurate manipulation of several target genes simultaneously renders de novo domestication a route toward crops for the future.","author":[{"dropping-particle":"","family":"Fernie","given":"Alisdair R.","non-dropping-particle":"","parse-names":false,"suffix":""},{"dropping-particle":"","family":"Yan","given":"Jianbing","non-dropping-particle":"","parse-names":false,"suffix":""}],"container-title":"Molecular Plant","id":"ITEM-1","issue":"5","issued":{"date-parts":[["2019","5"]]},"page":"615-631","publisher":"Cell Press","title":"De Novo Domestication: An Alternative Route toward New Crops for the Future","type":"article","volume":"12"},"uris":["http://www.mendeley.com/documents/?uuid=d995cfe2-bf05-3587-b50c-26d9e1f75f94","http://www.mendeley.com/documents/?uuid=8add9af7-2b0a-48e3-9612-90ba8d22f3a5"]},{"id":"ITEM-2","itemData":{"DOI":"10.3389/fpls.2020.00789","ISSN":"1664462X","abstract":"The classic domestication scenario for grains and fruits has been portrayed as the lucky fixation of major-effect “domestication genes.” Characterization of these genes plus recent improvements in generating novel alleles (e.g., by gene editing) have created great interest in de novo domestication of new crops from wild species. While new gene editing technologies may accelerate some genetic aspects of domestication, we caution that de novo domestication should be understood as an iterative process rather than a singular event. Changes in human social preferences and relationships and ongoing agronomic innovation, along with broad genetic changes, may be foundational. Allele frequency changes at many loci controlling quantitative traits not normally included in the domestication syndrome may be required to achieve sufficient yield, quality, defense, and broad adaptation. The environments, practices and tools developed and maintained by farmers and researchers over generations contribute to crop yield and success, yet those may not be appropriate for new crops without a history of agronomy. New crops must compete with crops that benefit from long-standing participation in human cultural evolution; adoption of new crops may require accelerating the evolution of new crops’ culinary and cultural significance, the emergence of markets and trade, and the formation and support of agricultural and scholarly institutions. We provide a practical framework that highlights and integrates these genetic, agronomic, and cultural drivers of change to conceptualize de novo domestication for communities of new crop domesticators, growers and consumers. Major gene-focused domestication may be valuable in creating allele variants that are critical to domestication but will not alone result in widespread and ongoing cultivation of new crops. Gene editing does not bypass or diminish the need for classical breeding, ethnobotanical and horticultural knowledge, local agronomy and crop protection research and extension, farmer participation, and social and cultural research and outreach. To realize the ecological and social benefits that a new era of de novo domestication could offer, we call on funding agencies, proposal reviewers and authors, and research communities to value and support these disciplines and approaches as essential to the success of the breakthroughs that are expected from gene editing techniques.","author":[{"dropping-particle":"","family":"Tassel","given":"David L.","non-dropping-particle":"Van","parse-names":false,"suffix":""},{"dropping-particle":"","family":"Tesdell","given":"Omar","non-dropping-particle":"","parse-names":false,"suffix":""},{"dropping-particle":"","family":"Schlautman","given":"Brandon","non-dropping-particle":"","parse-names":false,"suffix":""},{"dropping-particle":"","family":"Rubin","given":"Matthew J.","non-dropping-particle":"","parse-names":false,"suffix":""},{"dropping-particle":"","family":"DeHaan","given":"Lee R.","non-dropping-particle":"","parse-names":false,"suffix":""},{"dropping-particle":"","family":"Crews","given":"Timothy E.","non-dropping-particle":"","parse-names":false,"suffix":""},{"dropping-particle":"","family":"Streit Krug","given":"Aubrey","non-dropping-particle":"","parse-names":false,"suffix":""}],"container-title":"Frontiers in Plant Science","id":"ITEM-2","issued":{"date-parts":[["2020","6"]]},"page":"11","publisher":"Frontiers Media S.A.","title":"New Food Crop Domestication in the Age of Gene Editing: Genetic, Agronomic and Cultural Change Remain Co-evolutionarily Entangled","type":"article-journal","volume":"11"},"uris":["http://www.mendeley.com/documents/?uuid=2c5d57f2-1339-310e-8b75-e04dda4d4598","http://www.mendeley.com/documents/?uuid=58c64593-d2bd-4741-ada0-c18712564235"]}],"mendeley":{"formattedCitation":"(Fernie &amp; Yan, 2019; Van Tassel et al., 2020)","plainTextFormattedCitation":"(Fernie &amp; Yan, 2019; Van Tassel et al., 2020)","previouslyFormattedCitation":"(Fernie &amp; Yan, 2019; Van Tassel et al., 2020)"},"properties":{"noteIndex":0},"schema":"https://github.com/citation-style-language/schema/raw/master/csl-citation.json"}</w:instrText>
      </w:r>
      <w:r w:rsidR="008C7CBB">
        <w:rPr>
          <w:rFonts w:ascii="Times New Roman" w:eastAsia="SimSun" w:hAnsi="Times New Roman" w:cs="Calibri"/>
          <w:color w:val="000000" w:themeColor="text1"/>
          <w:lang w:eastAsia="hi-IN" w:bidi="hi-IN"/>
        </w:rPr>
        <w:fldChar w:fldCharType="separate"/>
      </w:r>
      <w:r w:rsidR="008C7CBB" w:rsidRPr="008C7CBB">
        <w:rPr>
          <w:rFonts w:ascii="Times New Roman" w:eastAsia="SimSun" w:hAnsi="Times New Roman" w:cs="Calibri"/>
          <w:noProof/>
          <w:color w:val="000000" w:themeColor="text1"/>
          <w:lang w:eastAsia="hi-IN" w:bidi="hi-IN"/>
        </w:rPr>
        <w:t>(Fernie &amp; Yan, 2019; Van Tassel et al., 2020)</w:t>
      </w:r>
      <w:r w:rsidR="008C7CBB">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 Further, there have been concerns raised that both unintended on-target and even precise edits could potentially affect cellular regulation, which in turn could affect the protein composition and thus safety of the plant in</w:t>
      </w:r>
      <w:r w:rsidR="000E420B" w:rsidRPr="000E420B">
        <w:rPr>
          <w:rFonts w:ascii="Times New Roman" w:eastAsia="SimSun" w:hAnsi="Times New Roman" w:cs="Calibri"/>
          <w:color w:val="000000" w:themeColor="text1"/>
          <w:lang w:eastAsia="hi-IN" w:bidi="hi-IN"/>
        </w:rPr>
        <w:t xml:space="preserve"> </w:t>
      </w:r>
      <w:r w:rsidR="000E420B">
        <w:rPr>
          <w:rFonts w:ascii="Times New Roman" w:eastAsia="SimSun" w:hAnsi="Times New Roman" w:cs="Calibri"/>
          <w:color w:val="000000" w:themeColor="text1"/>
          <w:lang w:eastAsia="hi-IN" w:bidi="hi-IN"/>
        </w:rPr>
        <w:t xml:space="preserve">the environment </w:t>
      </w:r>
      <w:r w:rsidR="00C50D10">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{"citationItems":[{"id":"ITEM-1","itemData":{"author":[{"dropping-particle":"","family":"Canadian Biotechnology Action Network","given":"","non-dropping-particle":"","parse-names":false,"suffix":""}],"id":"ITEM-1","issued":{"date-parts":[["2020","7"]]},"title":"Genome Editing in Food and Farming. Risks and Unexpected Consequences","type":"report"},"uris":["http://www.mendeley.com/documents/?uuid=1da1b51b-c43f-375e-a3eb-3e6e47abdb68","http://www.mendeley.com/documents/?uuid=68cd71a5-8818-49a9-a606-50c9bf39320f"]},{"id":"ITEM-2","itemData":{"author":[{"dropping-particle":"","family":"African Centre for Biodiversity","given":"","non-dropping-particle":"","parse-names":false,"suffix":""}],"id":"ITEM-2","issued":{"date-parts":[["2020","10"]]},"title":"Genome Editing. The Next GM Techno Fix Doomed To Fail. Regulatory Issues and Threats for Africa.","type":"report"},"uris":["http://www.mendeley.com/documents/?uuid=fb5ca4d2-9550-47af-b6ae-d2c4606dfaad","http://www.mendeley.com/documents/?uuid=b8e8749f-88b4-3b1f-ac20-3b83876156c9"]}],"mendeley":{"formattedCitation":"(African Centre for Biodiversity, 2020; Canadian Biotechnology Action Network, 2020)","plainTextFormattedCitation":"(African Centre for Biodiversity, 2020; Canadian Biotechnology Action Network, 2020)","previouslyFormattedCitation":"(African Centre for Biodiversity, 2020; Canadian Biotechnology Action Network, 2020)"},"properties":{"noteIndex":0},"schema":"https://github.com/citation-style-language/schema/raw/master/csl-citation.json"}</w:instrText>
      </w:r>
      <w:r w:rsidR="00C50D10">
        <w:rPr>
          <w:rFonts w:ascii="Times New Roman" w:eastAsia="SimSun" w:hAnsi="Times New Roman" w:cs="Calibri"/>
          <w:color w:val="000000" w:themeColor="text1"/>
          <w:lang w:eastAsia="hi-IN" w:bidi="hi-IN"/>
        </w:rPr>
        <w:fldChar w:fldCharType="separate"/>
      </w:r>
      <w:r w:rsidR="00C50D10" w:rsidRPr="00C50D10">
        <w:rPr>
          <w:rFonts w:ascii="Times New Roman" w:eastAsia="SimSun" w:hAnsi="Times New Roman" w:cs="Calibri"/>
          <w:noProof/>
          <w:color w:val="000000" w:themeColor="text1"/>
          <w:lang w:eastAsia="hi-IN" w:bidi="hi-IN"/>
        </w:rPr>
        <w:t>(African Centre for Biodiversity, 2020; Canadian Biotechnology Action Network, 2020)</w:t>
      </w:r>
      <w:r w:rsidR="00C50D10">
        <w:rPr>
          <w:rFonts w:ascii="Times New Roman" w:eastAsia="SimSun" w:hAnsi="Times New Roman" w:cs="Calibri"/>
          <w:color w:val="000000" w:themeColor="text1"/>
          <w:lang w:eastAsia="hi-IN" w:bidi="hi-IN"/>
        </w:rPr>
        <w:fldChar w:fldCharType="end"/>
      </w:r>
      <w:r w:rsidR="001226F2">
        <w:rPr>
          <w:rFonts w:ascii="Times New Roman" w:eastAsia="SimSun" w:hAnsi="Times New Roman" w:cs="Calibri"/>
          <w:color w:val="000000" w:themeColor="text1"/>
          <w:lang w:eastAsia="hi-IN" w:bidi="hi-IN"/>
        </w:rPr>
        <w:t>.</w:t>
      </w:r>
    </w:p>
    <w:p w14:paraId="16323570" w14:textId="4A14AD8D" w:rsidR="0071754E" w:rsidRDefault="00D83A5E" w:rsidP="00DB0A69">
      <w:pPr>
        <w:pStyle w:val="Heading3"/>
        <w:rPr>
          <w:rFonts w:eastAsia="SimSun"/>
          <w:lang w:bidi="hi-IN"/>
        </w:rPr>
      </w:pPr>
      <w:bookmarkStart w:id="84" w:name="_Toc70112687"/>
      <w:bookmarkStart w:id="85" w:name="_Toc70685709"/>
      <w:r>
        <w:rPr>
          <w:rFonts w:eastAsia="SimSun"/>
          <w:lang w:bidi="hi-IN"/>
        </w:rPr>
        <w:t>4</w:t>
      </w:r>
      <w:r w:rsidR="56FCBDE2" w:rsidRPr="00A306A7">
        <w:rPr>
          <w:rFonts w:eastAsia="SimSun"/>
          <w:lang w:val="en-US" w:bidi="hi-IN"/>
        </w:rPr>
        <w:t>.3</w:t>
      </w:r>
      <w:r w:rsidR="00DB0A69">
        <w:rPr>
          <w:rFonts w:eastAsia="SimSun"/>
          <w:lang w:bidi="hi-IN"/>
        </w:rPr>
        <w:t>.</w:t>
      </w:r>
      <w:r w:rsidR="56FCBDE2" w:rsidRPr="00FD053A">
        <w:rPr>
          <w:rFonts w:eastAsia="SimSun" w:cs="Calibri"/>
          <w:color w:val="000000" w:themeColor="text1"/>
          <w:lang w:val="en-GB" w:eastAsia="hi-IN" w:bidi="hi-IN"/>
        </w:rPr>
        <w:t xml:space="preserve"> </w:t>
      </w:r>
      <w:r w:rsidR="00536C18">
        <w:rPr>
          <w:rFonts w:eastAsia="SimSun"/>
          <w:lang w:bidi="hi-IN"/>
        </w:rPr>
        <w:t>Climate change and environmental solutions</w:t>
      </w:r>
      <w:r w:rsidR="00DB0A69" w:rsidRPr="00A306A7">
        <w:rPr>
          <w:rFonts w:eastAsia="SimSun"/>
          <w:lang w:val="en-US" w:bidi="hi-IN"/>
        </w:rPr>
        <w:t>.</w:t>
      </w:r>
      <w:bookmarkEnd w:id="84"/>
      <w:bookmarkEnd w:id="85"/>
      <w:r w:rsidR="00536C18">
        <w:rPr>
          <w:rFonts w:eastAsia="SimSun"/>
          <w:lang w:bidi="hi-IN"/>
        </w:rPr>
        <w:t xml:space="preserve"> </w:t>
      </w:r>
    </w:p>
    <w:p w14:paraId="7ABAA52F" w14:textId="6E20F729" w:rsidR="00C46DE6" w:rsidRPr="00476504" w:rsidRDefault="005311C2" w:rsidP="00C46DE6">
      <w:pPr>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As is the case for other environmental challenges, s</w:t>
      </w:r>
      <w:r w:rsidR="00033D68">
        <w:rPr>
          <w:rFonts w:ascii="Times New Roman" w:eastAsia="SimSun" w:hAnsi="Times New Roman" w:cs="Calibri"/>
          <w:color w:val="000000" w:themeColor="text1"/>
          <w:lang w:eastAsia="hi-IN" w:bidi="hi-IN"/>
        </w:rPr>
        <w:t xml:space="preserve">ynthetic biology has </w:t>
      </w:r>
      <w:r w:rsidR="00083828">
        <w:rPr>
          <w:rFonts w:ascii="Times New Roman" w:eastAsia="SimSun" w:hAnsi="Times New Roman" w:cs="Calibri"/>
          <w:color w:val="000000" w:themeColor="text1"/>
          <w:lang w:eastAsia="hi-IN" w:bidi="hi-IN"/>
        </w:rPr>
        <w:t xml:space="preserve">the </w:t>
      </w:r>
      <w:r w:rsidR="00033D68">
        <w:rPr>
          <w:rFonts w:ascii="Times New Roman" w:eastAsia="SimSun" w:hAnsi="Times New Roman" w:cs="Calibri"/>
          <w:color w:val="000000" w:themeColor="text1"/>
          <w:lang w:eastAsia="hi-IN" w:bidi="hi-IN"/>
        </w:rPr>
        <w:t xml:space="preserve">potential to </w:t>
      </w:r>
      <w:r w:rsidR="00476504">
        <w:rPr>
          <w:rFonts w:ascii="Times New Roman" w:eastAsia="SimSun" w:hAnsi="Times New Roman" w:cs="Calibri"/>
          <w:color w:val="000000" w:themeColor="text1"/>
          <w:lang w:eastAsia="hi-IN" w:bidi="hi-IN"/>
        </w:rPr>
        <w:t>help</w:t>
      </w:r>
      <w:r>
        <w:rPr>
          <w:rFonts w:ascii="Times New Roman" w:eastAsia="SimSun" w:hAnsi="Times New Roman" w:cs="Calibri"/>
          <w:color w:val="000000" w:themeColor="text1"/>
          <w:lang w:eastAsia="hi-IN" w:bidi="hi-IN"/>
        </w:rPr>
        <w:t xml:space="preserve"> </w:t>
      </w:r>
      <w:r w:rsidR="00476504">
        <w:rPr>
          <w:rFonts w:ascii="Times New Roman" w:eastAsia="SimSun" w:hAnsi="Times New Roman" w:cs="Calibri"/>
          <w:color w:val="000000" w:themeColor="text1"/>
          <w:lang w:eastAsia="hi-IN" w:bidi="hi-IN"/>
        </w:rPr>
        <w:t>tackl</w:t>
      </w:r>
      <w:r w:rsidR="00B63228">
        <w:rPr>
          <w:rFonts w:ascii="Times New Roman" w:eastAsia="SimSun" w:hAnsi="Times New Roman" w:cs="Calibri"/>
          <w:color w:val="000000" w:themeColor="text1"/>
          <w:lang w:eastAsia="hi-IN" w:bidi="hi-IN"/>
        </w:rPr>
        <w:t xml:space="preserve">e </w:t>
      </w:r>
      <w:r w:rsidR="00476504">
        <w:rPr>
          <w:rFonts w:ascii="Times New Roman" w:eastAsia="SimSun" w:hAnsi="Times New Roman" w:cs="Calibri"/>
          <w:color w:val="000000" w:themeColor="text1"/>
          <w:lang w:eastAsia="hi-IN" w:bidi="hi-IN"/>
        </w:rPr>
        <w:t xml:space="preserve">climate change. </w:t>
      </w:r>
      <w:r w:rsidR="007C2275" w:rsidRPr="007C2275">
        <w:rPr>
          <w:rFonts w:ascii="Times New Roman" w:eastAsia="SimSun" w:hAnsi="Times New Roman" w:cs="Calibri"/>
          <w:color w:val="000000" w:themeColor="text1"/>
          <w:lang w:eastAsia="hi-IN" w:bidi="hi-IN"/>
        </w:rPr>
        <w:t xml:space="preserve">In particular, </w:t>
      </w:r>
      <w:r w:rsidR="00724ABD">
        <w:rPr>
          <w:rFonts w:ascii="Times New Roman" w:eastAsia="SimSun" w:hAnsi="Times New Roman" w:cs="Calibri"/>
          <w:color w:val="000000" w:themeColor="text1"/>
          <w:lang w:eastAsia="hi-IN" w:bidi="hi-IN"/>
        </w:rPr>
        <w:t>the planet is experiencing</w:t>
      </w:r>
      <w:r w:rsidR="007C2275" w:rsidRPr="007C2275">
        <w:rPr>
          <w:rFonts w:ascii="Times New Roman" w:eastAsia="SimSun" w:hAnsi="Times New Roman" w:cs="Calibri"/>
          <w:color w:val="000000" w:themeColor="text1"/>
          <w:lang w:eastAsia="hi-IN" w:bidi="hi-IN"/>
        </w:rPr>
        <w:t xml:space="preserve"> major disturbances in important ecosystems, including forests</w:t>
      </w:r>
      <w:r w:rsidR="007C2275">
        <w:rPr>
          <w:rFonts w:ascii="Times New Roman" w:eastAsia="SimSun" w:hAnsi="Times New Roman" w:cs="Calibri"/>
          <w:color w:val="000000" w:themeColor="text1"/>
          <w:lang w:eastAsia="hi-IN" w:bidi="hi-IN"/>
        </w:rPr>
        <w:t>,</w:t>
      </w:r>
      <w:r w:rsidR="007C2275" w:rsidRPr="007C2275" w:rsidDel="009513B0">
        <w:rPr>
          <w:rFonts w:ascii="Times New Roman" w:eastAsia="SimSun" w:hAnsi="Times New Roman" w:cs="Calibri"/>
          <w:color w:val="000000" w:themeColor="text1"/>
          <w:lang w:eastAsia="hi-IN" w:bidi="hi-IN"/>
        </w:rPr>
        <w:t xml:space="preserve"> </w:t>
      </w:r>
      <w:r w:rsidR="007C2275" w:rsidRPr="007C2275">
        <w:rPr>
          <w:rFonts w:ascii="Times New Roman" w:eastAsia="SimSun" w:hAnsi="Times New Roman" w:cs="Calibri"/>
          <w:color w:val="000000" w:themeColor="text1"/>
          <w:lang w:eastAsia="hi-IN" w:bidi="hi-IN"/>
        </w:rPr>
        <w:t xml:space="preserve">fire-prone </w:t>
      </w:r>
      <w:r w:rsidR="007C2275">
        <w:rPr>
          <w:rFonts w:ascii="Times New Roman" w:eastAsia="SimSun" w:hAnsi="Times New Roman" w:cs="Calibri"/>
          <w:color w:val="000000" w:themeColor="text1"/>
          <w:lang w:eastAsia="hi-IN" w:bidi="hi-IN"/>
        </w:rPr>
        <w:t>regions and c</w:t>
      </w:r>
      <w:r w:rsidR="007C2275" w:rsidRPr="007C2275">
        <w:rPr>
          <w:rFonts w:ascii="Times New Roman" w:eastAsia="SimSun" w:hAnsi="Times New Roman" w:cs="Calibri"/>
          <w:color w:val="000000" w:themeColor="text1"/>
          <w:lang w:eastAsia="hi-IN" w:bidi="hi-IN"/>
        </w:rPr>
        <w:t xml:space="preserve">oral ecosystems. Food production is </w:t>
      </w:r>
      <w:r w:rsidR="00E83918">
        <w:rPr>
          <w:rFonts w:ascii="Times New Roman" w:eastAsia="SimSun" w:hAnsi="Times New Roman" w:cs="Calibri"/>
          <w:color w:val="000000" w:themeColor="text1"/>
          <w:lang w:eastAsia="hi-IN" w:bidi="hi-IN"/>
        </w:rPr>
        <w:t xml:space="preserve">also </w:t>
      </w:r>
      <w:r w:rsidR="007C2275" w:rsidRPr="007C2275">
        <w:rPr>
          <w:rFonts w:ascii="Times New Roman" w:eastAsia="SimSun" w:hAnsi="Times New Roman" w:cs="Calibri"/>
          <w:color w:val="000000" w:themeColor="text1"/>
          <w:lang w:eastAsia="hi-IN" w:bidi="hi-IN"/>
        </w:rPr>
        <w:t xml:space="preserve">being threatened </w:t>
      </w:r>
      <w:r w:rsidR="00C46DE6">
        <w:rPr>
          <w:rFonts w:ascii="Times New Roman" w:eastAsia="SimSun" w:hAnsi="Times New Roman" w:cs="Calibri"/>
          <w:color w:val="000000" w:themeColor="text1"/>
          <w:lang w:eastAsia="hi-IN" w:bidi="hi-IN"/>
        </w:rPr>
        <w:t xml:space="preserve">by </w:t>
      </w:r>
      <w:r w:rsidR="007C2275" w:rsidRPr="007C2275">
        <w:rPr>
          <w:rFonts w:ascii="Times New Roman" w:eastAsia="SimSun" w:hAnsi="Times New Roman" w:cs="Calibri"/>
          <w:color w:val="000000" w:themeColor="text1"/>
          <w:lang w:eastAsia="hi-IN" w:bidi="hi-IN"/>
        </w:rPr>
        <w:t>extreme weather events that were once rare</w:t>
      </w:r>
      <w:r w:rsidR="00E83918">
        <w:rPr>
          <w:rFonts w:ascii="Times New Roman" w:eastAsia="SimSun" w:hAnsi="Times New Roman" w:cs="Calibri"/>
          <w:color w:val="000000" w:themeColor="text1"/>
          <w:lang w:eastAsia="hi-IN" w:bidi="hi-IN"/>
        </w:rPr>
        <w:t xml:space="preserve">. </w:t>
      </w:r>
      <w:r w:rsidR="00D25CC8" w:rsidRPr="00D25CC8">
        <w:rPr>
          <w:rFonts w:ascii="Times New Roman" w:eastAsia="SimSun" w:hAnsi="Times New Roman" w:cs="Calibri"/>
          <w:color w:val="000000" w:themeColor="text1"/>
          <w:lang w:eastAsia="hi-IN" w:bidi="hi-IN"/>
        </w:rPr>
        <w:t xml:space="preserve">These environmental changes </w:t>
      </w:r>
      <w:r w:rsidR="00444926">
        <w:rPr>
          <w:rFonts w:ascii="Times New Roman" w:eastAsia="SimSun" w:hAnsi="Times New Roman" w:cs="Calibri"/>
          <w:color w:val="000000" w:themeColor="text1"/>
          <w:lang w:eastAsia="hi-IN" w:bidi="hi-IN"/>
        </w:rPr>
        <w:t>are</w:t>
      </w:r>
      <w:r w:rsidR="00D25CC8" w:rsidRPr="00D25CC8">
        <w:rPr>
          <w:rFonts w:ascii="Times New Roman" w:eastAsia="SimSun" w:hAnsi="Times New Roman" w:cs="Calibri"/>
          <w:color w:val="000000" w:themeColor="text1"/>
          <w:lang w:eastAsia="hi-IN" w:bidi="hi-IN"/>
        </w:rPr>
        <w:t xml:space="preserve"> even </w:t>
      </w:r>
      <w:r w:rsidR="00444926">
        <w:rPr>
          <w:rFonts w:ascii="Times New Roman" w:eastAsia="SimSun" w:hAnsi="Times New Roman" w:cs="Calibri"/>
          <w:color w:val="000000" w:themeColor="text1"/>
          <w:lang w:eastAsia="hi-IN" w:bidi="hi-IN"/>
        </w:rPr>
        <w:t>more significant</w:t>
      </w:r>
      <w:r w:rsidR="00D25CC8" w:rsidRPr="00D25CC8">
        <w:rPr>
          <w:rFonts w:ascii="Times New Roman" w:eastAsia="SimSun" w:hAnsi="Times New Roman" w:cs="Calibri"/>
          <w:color w:val="000000" w:themeColor="text1"/>
          <w:lang w:eastAsia="hi-IN" w:bidi="hi-IN"/>
        </w:rPr>
        <w:t xml:space="preserve"> </w:t>
      </w:r>
      <w:r w:rsidR="00444926">
        <w:rPr>
          <w:rFonts w:ascii="Times New Roman" w:eastAsia="SimSun" w:hAnsi="Times New Roman" w:cs="Calibri"/>
          <w:color w:val="000000" w:themeColor="text1"/>
          <w:lang w:eastAsia="hi-IN" w:bidi="hi-IN"/>
        </w:rPr>
        <w:t>considering</w:t>
      </w:r>
      <w:r w:rsidR="00D25CC8">
        <w:rPr>
          <w:rFonts w:ascii="Times New Roman" w:eastAsia="SimSun" w:hAnsi="Times New Roman" w:cs="Calibri"/>
          <w:color w:val="000000" w:themeColor="text1"/>
          <w:lang w:eastAsia="hi-IN" w:bidi="hi-IN"/>
        </w:rPr>
        <w:t xml:space="preserve"> that</w:t>
      </w:r>
      <w:r w:rsidR="00D25CC8" w:rsidRPr="00D25CC8">
        <w:rPr>
          <w:rFonts w:ascii="Times New Roman" w:eastAsia="SimSun" w:hAnsi="Times New Roman" w:cs="Calibri"/>
          <w:color w:val="000000" w:themeColor="text1"/>
          <w:lang w:eastAsia="hi-IN" w:bidi="hi-IN"/>
        </w:rPr>
        <w:t xml:space="preserve"> the long-term temperature consequences </w:t>
      </w:r>
      <w:r w:rsidR="00B80839">
        <w:rPr>
          <w:rFonts w:ascii="Times New Roman" w:eastAsia="SimSun" w:hAnsi="Times New Roman" w:cs="Calibri"/>
          <w:color w:val="000000" w:themeColor="text1"/>
          <w:lang w:eastAsia="hi-IN" w:bidi="hi-IN"/>
        </w:rPr>
        <w:t>will</w:t>
      </w:r>
      <w:r w:rsidR="00D25CC8" w:rsidRPr="00D25CC8">
        <w:rPr>
          <w:rFonts w:ascii="Times New Roman" w:eastAsia="SimSun" w:hAnsi="Times New Roman" w:cs="Calibri"/>
          <w:color w:val="000000" w:themeColor="text1"/>
          <w:lang w:eastAsia="hi-IN" w:bidi="hi-IN"/>
        </w:rPr>
        <w:t xml:space="preserve"> remain substantial </w:t>
      </w:r>
      <w:r w:rsidR="005021CF">
        <w:rPr>
          <w:rFonts w:ascii="Times New Roman" w:eastAsia="SimSun" w:hAnsi="Times New Roman" w:cs="Calibri"/>
          <w:color w:val="000000" w:themeColor="text1"/>
          <w:lang w:eastAsia="hi-IN" w:bidi="hi-IN"/>
        </w:rPr>
        <w:t>even if CO</w:t>
      </w:r>
      <w:r w:rsidR="005021CF" w:rsidRPr="00B80839">
        <w:rPr>
          <w:rFonts w:ascii="Times New Roman" w:eastAsia="SimSun" w:hAnsi="Times New Roman" w:cs="Calibri"/>
          <w:color w:val="000000" w:themeColor="text1"/>
          <w:vertAlign w:val="subscript"/>
          <w:lang w:eastAsia="hi-IN" w:bidi="hi-IN"/>
        </w:rPr>
        <w:t>2</w:t>
      </w:r>
      <w:r w:rsidR="005021CF">
        <w:rPr>
          <w:rFonts w:ascii="Times New Roman" w:eastAsia="SimSun" w:hAnsi="Times New Roman" w:cs="Calibri"/>
          <w:color w:val="000000" w:themeColor="text1"/>
          <w:lang w:eastAsia="hi-IN" w:bidi="hi-IN"/>
        </w:rPr>
        <w:t xml:space="preserve"> emissions </w:t>
      </w:r>
      <w:r w:rsidR="00C46DE6">
        <w:rPr>
          <w:rFonts w:ascii="Times New Roman" w:eastAsia="SimSun" w:hAnsi="Times New Roman" w:cs="Calibri"/>
          <w:color w:val="000000" w:themeColor="text1"/>
          <w:lang w:eastAsia="hi-IN" w:bidi="hi-IN"/>
        </w:rPr>
        <w:t>stop immediately, as</w:t>
      </w:r>
      <w:r w:rsidR="00D25CC8" w:rsidRPr="00D25CC8">
        <w:rPr>
          <w:rFonts w:ascii="Times New Roman" w:eastAsia="SimSun" w:hAnsi="Times New Roman" w:cs="Calibri"/>
          <w:color w:val="000000" w:themeColor="text1"/>
          <w:lang w:eastAsia="hi-IN" w:bidi="hi-IN"/>
        </w:rPr>
        <w:t xml:space="preserve"> the time scale for temperature reduction by natural processes is </w:t>
      </w:r>
      <w:r w:rsidR="00B80839">
        <w:rPr>
          <w:rFonts w:ascii="Times New Roman" w:eastAsia="SimSun" w:hAnsi="Times New Roman" w:cs="Calibri"/>
          <w:color w:val="000000" w:themeColor="text1"/>
          <w:lang w:eastAsia="hi-IN" w:bidi="hi-IN"/>
        </w:rPr>
        <w:t>i</w:t>
      </w:r>
      <w:r w:rsidR="00B80839" w:rsidRPr="00D25CC8">
        <w:rPr>
          <w:rFonts w:ascii="Times New Roman" w:eastAsia="SimSun" w:hAnsi="Times New Roman" w:cs="Calibri"/>
          <w:color w:val="000000" w:themeColor="text1"/>
          <w:lang w:eastAsia="hi-IN" w:bidi="hi-IN"/>
        </w:rPr>
        <w:t>n</w:t>
      </w:r>
      <w:r w:rsidR="00D25CC8" w:rsidRPr="00D25CC8">
        <w:rPr>
          <w:rFonts w:ascii="Times New Roman" w:eastAsia="SimSun" w:hAnsi="Times New Roman" w:cs="Calibri"/>
          <w:color w:val="000000" w:themeColor="text1"/>
          <w:lang w:eastAsia="hi-IN" w:bidi="hi-IN"/>
        </w:rPr>
        <w:t xml:space="preserve"> the order of a thousand years</w:t>
      </w:r>
      <w:r w:rsidR="008F72A2" w:rsidRPr="008F72A2">
        <w:rPr>
          <w:rFonts w:ascii="Times New Roman" w:eastAsia="SimSun" w:hAnsi="Times New Roman" w:cs="Calibri"/>
          <w:color w:val="000000" w:themeColor="text1"/>
          <w:lang w:eastAsia="hi-IN" w:bidi="hi-IN"/>
        </w:rPr>
        <w:t xml:space="preserve"> </w:t>
      </w:r>
      <w:r w:rsidR="00753A2F">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{"citationItems":[{"id":"ITEM-1","itemData":{"DOI":"10.34133/2020/1016207","abstract":" The long atmospheric residence time of CO 2 creates an urgent need to add atmospheric carbon drawdown to CO 2 regulatory strategies. Synthetic and systems biology (SSB), which enables manipulation of cellular phenotypes, offers a powerful approach to amplifying and adding new possibilities to current land management practices aimed at reducing atmospheric carbon. The participants (in attendance: Christina Agapakis, George Annas, Adam Arkin, George Church, Robert Cook-Deegan, Charles DeLisi, Dan Drell, Sheldon Glashow, Steve Hamburg, Henry Jacoby, Henry Kelly, Mark Kon, Todd Kuiken, Mary Lidstrom, Mike MacCracken, June Medford, Jerry Melillo, Ron Milo, Pilar Ossorio, Ari Patrinos, Keith Paustian, Kristala Jones Prather, Kent Redford, David Resnik, John Reilly, Richard J. Roberts, Daniel Segre, Susan Solomon, Elizabeth Strychalski, Chris Voigt, Dominic Woolf, Stan Wullschleger, and Xiaohan Yang) identified a range of possibilities by which SSB might help reduce greenhouse gas concentrations and which might also contribute to environmental sustainability and adaptation. These include, among other possibilities, engineering plants to convert CO 2 produced by respiration into a stable carbonate, designing plants with an increased root-to-shoot ratio, and creating plants with the ability to self-fertilize. A number of serious ecological and societal challenges must, however, be confronted and resolved before any such application can be fully assessed, realized, and deployed. ","author":[{"dropping-particle":"","family":"DeLisi","given":"Charles","non-dropping-particle":"","parse-names":false,"suffix":""},{"dropping-particle":"","family":"Patrinos","given":"Aristides","non-dropping-particle":"","parse-names":false,"suffix":""},{"dropping-particle":"","family":"MacCracken","given":"Michael","non-dropping-particle":"","parse-names":false,"suffix":""},{"dropping-particle":"","family":"Drell","given":"Dan","non-dropping-particle":"","parse-names":false,"suffix":""},{"dropping-particle":"","family":"Annas","given":"George","non-dropping-particle":"","parse-names":false,"suffix":""},{"dropping-particle":"","family":"Arkin","given":"Adam","non-dropping-particle":"","parse-names":false,"suffix":""},{"dropping-particle":"","family":"Church","given":"George","non-dropping-particle":"","parse-names":false,"suffix":""},{"dropping-particle":"","family":"Cook-Deegan","given":"Robert","non-dropping-particle":"","parse-names":false,"suffix":""},{"dropping-particle":"","family":"Jacoby","given":"Henry","non-dropping-particle":"","parse-names":false,"suffix":""},{"dropping-particle":"","family":"Lidstrom","given":"Mary","non-dropping-particle":"","parse-names":false,"suffix":""},{"dropping-particle":"","family":"Melillo","given":"Jerry","non-dropping-particle":"","parse-names":false,"suffix":""},{"dropping-particle":"","family":"Milo","given":"Ron","non-dropping-particle":"","parse-names":false,"suffix":""},{"dropping-particle":"","family":"Paustian","given":"Keith","non-dropping-particle":"","parse-names":false,"suffix":""},{"dropping-particle":"","family":"Reilly","given":"John","non-dropping-particle":"","parse-names":false,"suffix":""},{"dropping-particle":"","family":"Roberts","given":"Richard J","non-dropping-particle":"","parse-names":false,"suffix":""},{"dropping-particle":"","family":"Segrè","given":"Daniel","non-dropping-particle":"","parse-names":false,"suffix":""},{"dropping-particle":"","family":"Solomon","given":"Susan","non-dropping-particle":"","parse-names":false,"suffix":""},{"dropping-particle":"","family":"Woolf","given":"Dominic","non-dropping-particle":"","parse-names":false,"suffix":""},{"dropping-particle":"","family":"Wullschleger","given":"Stan D","non-dropping-particle":"","parse-names":false,"suffix":""},{"dropping-particle":"","family":"Yang","given":"Xiaohan","non-dropping-particle":"","parse-names":false,"suffix":""}],"container-title":"BioDesign Research","id":"ITEM-1","issued":{"date-parts":[["2020"]]},"page":"1-8","publisher":"American Association for the Advancement of Science (AAAS)","title":"The Role of Synthetic Biology in Atmospheric Greenhouse Gas Reduction: Prospects and Challenges","type":"article-journal","volume":"2020"},"uris":["http://www.mendeley.com/documents/?uuid=2889cdc8-681b-4c67-9165-039af20da585"]}],"mendeley":{"formattedCitation":"(DeLisi et al., 2020)","plainTextFormattedCitation":"(DeLisi et al., 2020)","previouslyFormattedCitation":"(DeLisi et al., 2020)"},"properties":{"noteIndex":0},"schema":"https://github.com/citation-style-language/schema/raw/master/csl-citation.json"}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(DeLisi et al., 2020)</w:t>
      </w:r>
      <w:r w:rsidR="00753A2F">
        <w:rPr>
          <w:rFonts w:ascii="Times New Roman" w:eastAsia="SimSun" w:hAnsi="Times New Roman" w:cs="Calibri"/>
          <w:color w:val="000000" w:themeColor="text1"/>
          <w:lang w:eastAsia="hi-IN" w:bidi="hi-IN"/>
        </w:rPr>
        <w:fldChar w:fldCharType="end"/>
      </w:r>
      <w:r w:rsidR="00BA5CD7">
        <w:rPr>
          <w:rFonts w:ascii="Times New Roman" w:eastAsia="SimSun" w:hAnsi="Times New Roman" w:cs="Calibri"/>
          <w:color w:val="000000" w:themeColor="text1"/>
          <w:lang w:eastAsia="hi-IN" w:bidi="hi-IN"/>
        </w:rPr>
        <w:t>.</w:t>
      </w:r>
      <w:r w:rsidR="00C46DE6" w:rsidRPr="00C46DE6">
        <w:rPr>
          <w:rFonts w:ascii="Times New Roman" w:eastAsia="SimSun" w:hAnsi="Times New Roman" w:cs="Calibri"/>
          <w:color w:val="000000" w:themeColor="text1"/>
          <w:lang w:eastAsia="hi-IN" w:bidi="hi-IN"/>
        </w:rPr>
        <w:t xml:space="preserve"> </w:t>
      </w:r>
      <w:r w:rsidR="00C46DE6">
        <w:rPr>
          <w:rFonts w:ascii="Times New Roman" w:eastAsia="SimSun" w:hAnsi="Times New Roman" w:cs="Calibri"/>
          <w:color w:val="000000" w:themeColor="text1"/>
          <w:lang w:eastAsia="hi-IN" w:bidi="hi-IN"/>
        </w:rPr>
        <w:t>Synthetic biology</w:t>
      </w:r>
      <w:r w:rsidR="00C46DE6" w:rsidRPr="00476504">
        <w:rPr>
          <w:rFonts w:ascii="Times New Roman" w:eastAsia="SimSun" w:hAnsi="Times New Roman" w:cs="Calibri"/>
          <w:color w:val="000000" w:themeColor="text1"/>
          <w:lang w:eastAsia="hi-IN" w:bidi="hi-IN"/>
        </w:rPr>
        <w:t xml:space="preserve"> offers the possibility </w:t>
      </w:r>
      <w:r w:rsidR="00C46DE6">
        <w:rPr>
          <w:rFonts w:ascii="Times New Roman" w:eastAsia="SimSun" w:hAnsi="Times New Roman" w:cs="Calibri"/>
          <w:color w:val="000000" w:themeColor="text1"/>
          <w:lang w:eastAsia="hi-IN" w:bidi="hi-IN"/>
        </w:rPr>
        <w:t xml:space="preserve">to </w:t>
      </w:r>
      <w:r w:rsidR="006B58F0">
        <w:rPr>
          <w:rFonts w:ascii="Times New Roman" w:eastAsia="SimSun" w:hAnsi="Times New Roman" w:cs="Calibri"/>
          <w:color w:val="000000" w:themeColor="text1"/>
          <w:lang w:eastAsia="hi-IN" w:bidi="hi-IN"/>
        </w:rPr>
        <w:t xml:space="preserve">help </w:t>
      </w:r>
      <w:r w:rsidR="00C46DE6">
        <w:rPr>
          <w:rFonts w:ascii="Times New Roman" w:eastAsia="SimSun" w:hAnsi="Times New Roman" w:cs="Calibri"/>
          <w:color w:val="000000" w:themeColor="text1"/>
          <w:lang w:eastAsia="hi-IN" w:bidi="hi-IN"/>
        </w:rPr>
        <w:t>address some of these challenge</w:t>
      </w:r>
      <w:r w:rsidR="003C1D01">
        <w:rPr>
          <w:rFonts w:ascii="Times New Roman" w:eastAsia="SimSun" w:hAnsi="Times New Roman" w:cs="Calibri"/>
          <w:color w:val="000000" w:themeColor="text1"/>
          <w:lang w:eastAsia="hi-IN" w:bidi="hi-IN"/>
        </w:rPr>
        <w:t>s</w:t>
      </w:r>
      <w:r w:rsidR="00C46DE6">
        <w:rPr>
          <w:rFonts w:ascii="Times New Roman" w:eastAsia="SimSun" w:hAnsi="Times New Roman" w:cs="Calibri"/>
          <w:color w:val="000000" w:themeColor="text1"/>
          <w:lang w:eastAsia="hi-IN" w:bidi="hi-IN"/>
        </w:rPr>
        <w:t xml:space="preserve"> </w:t>
      </w:r>
      <w:r w:rsidR="00C46DE6" w:rsidRPr="00476504">
        <w:rPr>
          <w:rFonts w:ascii="Times New Roman" w:eastAsia="SimSun" w:hAnsi="Times New Roman" w:cs="Calibri"/>
          <w:color w:val="000000" w:themeColor="text1"/>
          <w:lang w:eastAsia="hi-IN" w:bidi="hi-IN"/>
        </w:rPr>
        <w:t>on a decadal time scale</w:t>
      </w:r>
      <w:r w:rsidR="00835317">
        <w:rPr>
          <w:rFonts w:ascii="Times New Roman" w:eastAsia="SimSun" w:hAnsi="Times New Roman" w:cs="Calibri"/>
          <w:color w:val="000000" w:themeColor="text1"/>
          <w:lang w:eastAsia="hi-IN" w:bidi="hi-IN"/>
        </w:rPr>
        <w:t xml:space="preserve"> </w:t>
      </w:r>
      <w:r w:rsidR="00753A2F">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{"citationItems":[{"id":"ITEM-1","itemData":{"DOI":"10.1186/s13062-019-0247-8","ISSN":"17456150","PMID":"31429783","abstract":"There is growing agreement that the aim of United Nations Framework Convention on Climate Change, which is to avoid dangerous anthropogenic interference with the climate system, is not likely to be met without inclusion of methods to physically remove atmospheric carbon. A number of approaches have been suggested, but the community appears to be silent on the potential of one of the most revolutionary technologies of the current century, systems and synthetic biology (SSB). The potential of SSB to modulate the fast carbon cycle, and thereby mitigate climate change is in itself enormous, but if the history of genomics is any measure, it is also reasonable to expect sizeable economic returns on any investment. More generally, the approach to climate control has been badly unbalanced. The last three decades have seen intense international attention to emission control, with no parallel plan to test, scale and implement carbon removal technologies, including attention to their economic, legal and ethical implications. Reviewers: This article was reviewed by Richard Roberts, Aristides Patrinos, and Eugene Koonin, all of whom were nominated by Itai Yanai. For the full reviews, please go to the Reviewers' comments section.","author":[{"dropping-particle":"","family":"Delisi","given":"Charles","non-dropping-particle":"","parse-names":false,"suffix":""}],"container-title":"Biology Direct","id":"ITEM-1","issue":"1","issued":{"date-parts":[["2019"]]},"publisher":"BioMed Central Ltd.","title":"The role of synthetic biology in climate change mitigation","type":"article","volume":"14"},"uris":["http://www.mendeley.com/documents/?uuid=1102b5e1-5166-4cf6-9e86-b14f5ce2689b"]}],"mendeley":{"formattedCitation":"(Delisi, 2019)","manualFormatting":"(DeLisi, 2019)","plainTextFormattedCitation":"(Delisi, 2019)","previouslyFormattedCitation":"(Delisi, 2019)"},"properties":{"noteIndex":0},"schema":"https://github.com/citation-style-language/schema/raw/master/csl-citation.json"}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(De</w:t>
      </w:r>
      <w:r w:rsidR="00753A2F">
        <w:rPr>
          <w:rFonts w:ascii="Times New Roman" w:eastAsia="SimSun" w:hAnsi="Times New Roman" w:cs="Calibri"/>
          <w:noProof/>
          <w:color w:val="000000" w:themeColor="text1"/>
          <w:lang w:eastAsia="hi-IN" w:bidi="hi-IN"/>
        </w:rPr>
        <w:t>L</w:t>
      </w:r>
      <w:r w:rsidR="00753A2F" w:rsidRPr="00753A2F">
        <w:rPr>
          <w:rFonts w:ascii="Times New Roman" w:eastAsia="SimSun" w:hAnsi="Times New Roman" w:cs="Calibri"/>
          <w:noProof/>
          <w:color w:val="000000" w:themeColor="text1"/>
          <w:lang w:eastAsia="hi-IN" w:bidi="hi-IN"/>
        </w:rPr>
        <w:t>isi, 2019)</w:t>
      </w:r>
      <w:r w:rsidR="00753A2F">
        <w:rPr>
          <w:rFonts w:ascii="Times New Roman" w:eastAsia="SimSun" w:hAnsi="Times New Roman" w:cs="Calibri"/>
          <w:color w:val="000000" w:themeColor="text1"/>
          <w:lang w:eastAsia="hi-IN" w:bidi="hi-IN"/>
        </w:rPr>
        <w:fldChar w:fldCharType="end"/>
      </w:r>
      <w:r w:rsidR="00EF5AB9">
        <w:rPr>
          <w:rFonts w:ascii="Times New Roman" w:eastAsia="SimSun" w:hAnsi="Times New Roman" w:cs="Calibri"/>
          <w:color w:val="000000" w:themeColor="text1"/>
          <w:lang w:eastAsia="hi-IN" w:bidi="hi-IN"/>
        </w:rPr>
        <w:t>.</w:t>
      </w:r>
    </w:p>
    <w:p w14:paraId="38BDDA12" w14:textId="1ED48EEE" w:rsidR="00770F48" w:rsidRDefault="00FC1E9A" w:rsidP="00BA5CD7">
      <w:pPr>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A</w:t>
      </w:r>
      <w:r w:rsidR="00756F1F">
        <w:rPr>
          <w:rFonts w:ascii="Times New Roman" w:eastAsia="SimSun" w:hAnsi="Times New Roman" w:cs="Calibri"/>
          <w:color w:val="000000" w:themeColor="text1"/>
          <w:lang w:eastAsia="hi-IN" w:bidi="hi-IN"/>
        </w:rPr>
        <w:t>n</w:t>
      </w:r>
      <w:r w:rsidR="000D39E7">
        <w:rPr>
          <w:rFonts w:ascii="Times New Roman" w:eastAsia="SimSun" w:hAnsi="Times New Roman" w:cs="Calibri"/>
          <w:color w:val="000000" w:themeColor="text1"/>
          <w:lang w:eastAsia="hi-IN" w:bidi="hi-IN"/>
        </w:rPr>
        <w:t xml:space="preserve"> example of </w:t>
      </w:r>
      <w:r w:rsidR="00DC3E13">
        <w:rPr>
          <w:rFonts w:ascii="Times New Roman" w:eastAsia="SimSun" w:hAnsi="Times New Roman" w:cs="Calibri"/>
          <w:color w:val="000000" w:themeColor="text1"/>
          <w:lang w:eastAsia="hi-IN" w:bidi="hi-IN"/>
        </w:rPr>
        <w:t xml:space="preserve">a current environmental challenge associated </w:t>
      </w:r>
      <w:r>
        <w:rPr>
          <w:rFonts w:ascii="Times New Roman" w:eastAsia="SimSun" w:hAnsi="Times New Roman" w:cs="Calibri"/>
          <w:color w:val="000000" w:themeColor="text1"/>
          <w:lang w:eastAsia="hi-IN" w:bidi="hi-IN"/>
        </w:rPr>
        <w:t>with</w:t>
      </w:r>
      <w:r w:rsidR="00DC3E13">
        <w:rPr>
          <w:rFonts w:ascii="Times New Roman" w:eastAsia="SimSun" w:hAnsi="Times New Roman" w:cs="Calibri"/>
          <w:color w:val="000000" w:themeColor="text1"/>
          <w:lang w:eastAsia="hi-IN" w:bidi="hi-IN"/>
        </w:rPr>
        <w:t xml:space="preserve"> climate change and anthropogenic stressors is the global decline of c</w:t>
      </w:r>
      <w:r w:rsidR="00D44843">
        <w:rPr>
          <w:rFonts w:ascii="Times New Roman" w:eastAsia="SimSun" w:hAnsi="Times New Roman" w:cs="Calibri"/>
          <w:color w:val="000000" w:themeColor="text1"/>
          <w:lang w:eastAsia="hi-IN" w:bidi="hi-IN"/>
        </w:rPr>
        <w:t>oral reefs</w:t>
      </w:r>
      <w:r w:rsidR="00EB1AEA">
        <w:rPr>
          <w:rFonts w:ascii="Times New Roman" w:eastAsia="SimSun" w:hAnsi="Times New Roman" w:cs="Calibri"/>
          <w:color w:val="000000" w:themeColor="text1"/>
          <w:lang w:eastAsia="hi-IN" w:bidi="hi-IN"/>
        </w:rPr>
        <w:t>.</w:t>
      </w:r>
      <w:r w:rsidR="00D44843">
        <w:rPr>
          <w:rFonts w:ascii="Times New Roman" w:eastAsia="SimSun" w:hAnsi="Times New Roman" w:cs="Calibri"/>
          <w:color w:val="000000" w:themeColor="text1"/>
          <w:lang w:eastAsia="hi-IN" w:bidi="hi-IN"/>
        </w:rPr>
        <w:t xml:space="preserve"> </w:t>
      </w:r>
      <w:r w:rsidR="00790B31">
        <w:rPr>
          <w:rFonts w:ascii="Times New Roman" w:eastAsia="SimSun" w:hAnsi="Times New Roman" w:cs="Calibri"/>
          <w:color w:val="000000" w:themeColor="text1"/>
          <w:lang w:eastAsia="hi-IN" w:bidi="hi-IN"/>
        </w:rPr>
        <w:t>With coral bleaching events predicted to be more frequent and severe</w:t>
      </w:r>
      <w:r w:rsidR="000D5D56">
        <w:rPr>
          <w:rFonts w:ascii="Times New Roman" w:eastAsia="SimSun" w:hAnsi="Times New Roman" w:cs="Calibri"/>
          <w:color w:val="000000" w:themeColor="text1"/>
          <w:lang w:eastAsia="hi-IN" w:bidi="hi-IN"/>
        </w:rPr>
        <w:t>, a</w:t>
      </w:r>
      <w:r w:rsidR="004B799F">
        <w:rPr>
          <w:rFonts w:ascii="Times New Roman" w:eastAsia="SimSun" w:hAnsi="Times New Roman" w:cs="Calibri"/>
          <w:color w:val="000000" w:themeColor="text1"/>
          <w:lang w:eastAsia="hi-IN" w:bidi="hi-IN"/>
        </w:rPr>
        <w:t>daptation to warming oceans will therefore b</w:t>
      </w:r>
      <w:r w:rsidR="001A6475">
        <w:rPr>
          <w:rFonts w:ascii="Times New Roman" w:eastAsia="SimSun" w:hAnsi="Times New Roman" w:cs="Calibri"/>
          <w:color w:val="000000" w:themeColor="text1"/>
          <w:lang w:eastAsia="hi-IN" w:bidi="hi-IN"/>
        </w:rPr>
        <w:t>e</w:t>
      </w:r>
      <w:r w:rsidR="004B799F">
        <w:rPr>
          <w:rFonts w:ascii="Times New Roman" w:eastAsia="SimSun" w:hAnsi="Times New Roman" w:cs="Calibri"/>
          <w:color w:val="000000" w:themeColor="text1"/>
          <w:lang w:eastAsia="hi-IN" w:bidi="hi-IN"/>
        </w:rPr>
        <w:t xml:space="preserve"> critical to maintain</w:t>
      </w:r>
      <w:r w:rsidR="005C3907">
        <w:rPr>
          <w:rFonts w:ascii="Times New Roman" w:eastAsia="SimSun" w:hAnsi="Times New Roman" w:cs="Calibri"/>
          <w:color w:val="000000" w:themeColor="text1"/>
          <w:lang w:eastAsia="hi-IN" w:bidi="hi-IN"/>
        </w:rPr>
        <w:t>ing</w:t>
      </w:r>
      <w:r w:rsidR="004B799F">
        <w:rPr>
          <w:rFonts w:ascii="Times New Roman" w:eastAsia="SimSun" w:hAnsi="Times New Roman" w:cs="Calibri"/>
          <w:color w:val="000000" w:themeColor="text1"/>
          <w:lang w:eastAsia="hi-IN" w:bidi="hi-IN"/>
        </w:rPr>
        <w:t xml:space="preserve"> ecosystems </w:t>
      </w:r>
      <w:r w:rsidR="00714806">
        <w:rPr>
          <w:rFonts w:ascii="Times New Roman" w:eastAsia="SimSun" w:hAnsi="Times New Roman" w:cs="Calibri"/>
          <w:color w:val="000000" w:themeColor="text1"/>
          <w:lang w:eastAsia="hi-IN" w:bidi="hi-IN"/>
        </w:rPr>
        <w:t>u</w:t>
      </w:r>
      <w:r w:rsidR="005C3907">
        <w:rPr>
          <w:rFonts w:ascii="Times New Roman" w:eastAsia="SimSun" w:hAnsi="Times New Roman" w:cs="Calibri"/>
          <w:color w:val="000000" w:themeColor="text1"/>
          <w:lang w:eastAsia="hi-IN" w:bidi="hi-IN"/>
        </w:rPr>
        <w:t>n</w:t>
      </w:r>
      <w:r w:rsidR="00714806">
        <w:rPr>
          <w:rFonts w:ascii="Times New Roman" w:eastAsia="SimSun" w:hAnsi="Times New Roman" w:cs="Calibri"/>
          <w:color w:val="000000" w:themeColor="text1"/>
          <w:lang w:eastAsia="hi-IN" w:bidi="hi-IN"/>
        </w:rPr>
        <w:t>der</w:t>
      </w:r>
      <w:r w:rsidR="004B799F">
        <w:rPr>
          <w:rFonts w:ascii="Times New Roman" w:eastAsia="SimSun" w:hAnsi="Times New Roman" w:cs="Calibri"/>
          <w:color w:val="000000" w:themeColor="text1"/>
          <w:lang w:eastAsia="hi-IN" w:bidi="hi-IN"/>
        </w:rPr>
        <w:t xml:space="preserve"> new environmental conditions </w:t>
      </w:r>
      <w:r w:rsidR="00753A2F">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{"citationItems":[{"id":"ITEM-1","itemData":{"DOI":"10.1371/journal.pone.0236399","ISSN":"19326203","PMID":"32845878","abstract":"Climate change is impacting coral reefs now. Recent pan-tropical bleaching events driven by unprecedented global heat waves have shifted the playing field for coral reef management and policy. While best-practice conventional management remains essential, it may no longer be enough to sustain coral reefs under continued climate change. Nor will climate change mitigation be sufficient on its own. Committed warming and projected reef decline means solutions must involve a portfolio of mitigation, best-practice conventional management and coordinated restoration and adaptation measures involving new and perhaps radical interventions, including local and regional cooling and shading, assisted coral evolution, assisted gene flow, and measures to support and enhance coral recruitment. We propose that proactive research and development to expand the reef management toolbox fast but safely, combined with expedient trialling of promising interventions is now urgently needed, whatever emissions trajectory the world follows. We discuss the challenges and opportunities of embracing new interventions in a race against time, including their risks and uncertainties. Ultimately, solutions to the climate challenge for coral reefs will require consideration of what society wants, what can be achieved technically and economically, and what opportunities we have for action in a rapidly closing window. Finding solutions that work for coral reefs and people will require exceptional levels of coordination of science, management and policy, and open engagement with society. It will also require compromise, because reefs will change under climate change despite our best interventions. We argue that being clear about society’s priorities, and understanding both the opportunities and risks that come with an expanded toolset, can help us make the most of a challenging situation. We offer a conceptual model to help reef managers frame decision problems and objectives, and to guide effective strategy choices in the face of complexity and uncertainty.","author":[{"dropping-particle":"","family":"Anthony","given":"Kenneth R N","non-dropping-particle":"","parse-names":false,"suffix":""},{"dropping-particle":"","family":"Helmstedt","given":"Kate J","non-dropping-particle":"","parse-names":false,"suffix":""},{"dropping-particle":"","family":"Bay","given":"Line K","non-dropping-particle":"","parse-names":false,"suffix":""},{"dropping-particle":"","family":"Fidelman","given":"Pedro","non-dropping-particle":"","parse-names":false,"suffix":""},{"dropping-particle":"","family":"Hussey","given":"Karen E","non-dropping-particle":"","parse-names":false,"suffix":""},{"dropping-particle":"","family":"Lundgren","given":"Petra","non-dropping-particle":"","parse-names":false,"suffix":""},{"dropping-particle":"","family":"Mead","given":"David","non-dropping-particle":"","parse-names":false,"suffix":""},{"dropping-particle":"","family":"McLeod","given":"Ian M","non-dropping-particle":"","parse-names":false,"suffix":""},{"dropping-particle":"","family":"Mumby","given":"Peter J","non-dropping-particle":"","parse-names":false,"suffix":""},{"dropping-particle":"","family":"Newlands","given":"Maxine","non-dropping-particle":"","parse-names":false,"suffix":""},{"dropping-particle":"","family":"Schaffelke","given":"Britta","non-dropping-particle":"","parse-names":false,"suffix":""},{"dropping-particle":"","family":"Wilson","given":"Kerrie A","non-dropping-particle":"","parse-names":false,"suffix":""},{"dropping-particle":"","family":"Hardisty","given":"Paul E","non-dropping-particle":"","parse-names":false,"suffix":""}],"container-title":"PLoS ONE","id":"ITEM-1","issue":"8 August","issued":{"date-parts":[["2020"]]},"page":"e0236399","publisher":"Public Library of Science","title":"Interventions to help coral reefs under global change—A complex decision challenge","type":"article-journal","volume":"15"},"uris":["http://www.mendeley.com/documents/?uuid=20522c73-b5e4-44cf-b4e8-848f8a79ecf8"]},{"id":"ITEM-2","itemData":{"DOI":"10.1371/journal.pgen.1007220","ISSN":"1553-7404","abstract":"Can genetic adaptation in reef-building corals keep pace with the current rate of sea surface warming? Here we combine population genomics, biophysical modeling, and evolutionary simulations to predict future adaptation of the common coral Acropora millepora on the Great Barrier Reef (GBR). Genomics-derived migration rates were high (0.1–1% of immigrants per generation across half the latitudinal range of the GBR) and closely matched the biophysical model of larval dispersal. Both genetic and biophysical models indicated the prevalence of southward migration along the GBR that would facilitate the spread of heat-tolerant alleles to higher latitudes as the climate warms. We developed an individual-based metapopulation model of polygenic adaptation and parameterized it with population sizes and migration rates derived from the genomic analysis. We find that high migration rates do not disrupt local thermal adaptation, and that the resulting standing genetic variation should be sufficient to fuel rapid region-wide adaptation of A. millepora populations to gradual warming over the next 20–50 coral generations (100–250 years). Further adaptation based on novel mutations might also be possible, but this depends on the currently unknown genetic parameters underlying coral thermal tolerance and the rate of warming realized. Despite this capacity for adaptation, our model predicts that coral populations would become increasingly sensitive to random thermal fluctuations such as ENSO cycles or heat waves, which corresponds well with the recent increase in frequency of catastrophic coral bleaching events.","author":[{"dropping-particle":"V","family":"Matz","given":"Mikhail","non-dropping-particle":"","parse-names":false,"suffix":""},{"dropping-particle":"","family":"Treml","given":"Eric A","non-dropping-particle":"","parse-names":false,"suffix":""},{"dropping-particle":"V","family":"Aglyamova","given":"Galina","non-dropping-particle":"","parse-names":false,"suffix":""},{"dropping-particle":"","family":"Bay","given":"Line K","non-dropping-particle":"","parse-names":false,"suffix":""}],"container-title":"PLOS Genetics","editor":[{"dropping-particle":"","family":"Hoekstra","given":"Hopi E","non-dropping-particle":"","parse-names":false,"suffix":""}],"id":"ITEM-2","issue":"4","issued":{"date-parts":[["2018"]]},"page":"e1007220","publisher":"Public Library of Science","title":"Potential and limits for rapid genetic adaptation to warming in a Great Barrier Reef coral","type":"article-journal","volume":"14"},"uris":["http://www.mendeley.com/documents/?uuid=80a126de-d236-4ab9-89f6-abf3ce974d8f"]}],"mendeley":{"formattedCitation":"(K. R. N. Anthony et al., 2020; Matz et al., 2018)","plainTextFormattedCitation":"(K. R. N. Anthony et al., 2020; Matz et al., 2018)","previouslyFormattedCitation":"(K. R. N. Anthony et al., 2020; Matz et al., 2018)"},"properties":{"noteIndex":0},"schema":"https://github.com/citation-style-language/schema/raw/master/csl-citation.json"}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(K. R. N. Anthony et al., 2020; Matz et al., 2018)</w:t>
      </w:r>
      <w:r w:rsidR="00753A2F">
        <w:rPr>
          <w:rFonts w:ascii="Times New Roman" w:eastAsia="SimSun" w:hAnsi="Times New Roman" w:cs="Calibri"/>
          <w:color w:val="000000" w:themeColor="text1"/>
          <w:lang w:eastAsia="hi-IN" w:bidi="hi-IN"/>
        </w:rPr>
        <w:fldChar w:fldCharType="end"/>
      </w:r>
      <w:r w:rsidR="004B799F">
        <w:rPr>
          <w:rFonts w:ascii="Times New Roman" w:eastAsia="SimSun" w:hAnsi="Times New Roman" w:cs="Calibri"/>
          <w:color w:val="000000" w:themeColor="text1"/>
          <w:lang w:eastAsia="hi-IN" w:bidi="hi-IN"/>
        </w:rPr>
        <w:t xml:space="preserve">. </w:t>
      </w:r>
      <w:r w:rsidR="00380BF2">
        <w:rPr>
          <w:rFonts w:ascii="Times New Roman" w:eastAsia="SimSun" w:hAnsi="Times New Roman" w:cs="Calibri"/>
          <w:color w:val="000000" w:themeColor="text1"/>
          <w:lang w:eastAsia="hi-IN" w:bidi="hi-IN"/>
        </w:rPr>
        <w:t>As described earlier (</w:t>
      </w:r>
      <w:r w:rsidR="004B0EE6">
        <w:rPr>
          <w:rFonts w:ascii="Times New Roman" w:eastAsia="SimSun" w:hAnsi="Times New Roman" w:cs="Calibri"/>
          <w:color w:val="000000" w:themeColor="text1"/>
          <w:lang w:eastAsia="hi-IN" w:bidi="hi-IN"/>
        </w:rPr>
        <w:t>Section 3.1.3</w:t>
      </w:r>
      <w:r w:rsidR="00BB129D">
        <w:rPr>
          <w:rFonts w:ascii="Times New Roman" w:eastAsia="SimSun" w:hAnsi="Times New Roman" w:cs="Calibri"/>
          <w:color w:val="000000" w:themeColor="text1"/>
          <w:lang w:eastAsia="hi-IN" w:bidi="hi-IN"/>
        </w:rPr>
        <w:t>(c).),</w:t>
      </w:r>
      <w:r w:rsidR="004B0EE6">
        <w:rPr>
          <w:rFonts w:ascii="Times New Roman" w:eastAsia="SimSun" w:hAnsi="Times New Roman" w:cs="Calibri"/>
          <w:color w:val="000000" w:themeColor="text1"/>
          <w:lang w:eastAsia="hi-IN" w:bidi="hi-IN"/>
        </w:rPr>
        <w:t xml:space="preserve"> </w:t>
      </w:r>
      <w:r w:rsidR="00BB129D">
        <w:rPr>
          <w:rFonts w:ascii="Times New Roman" w:eastAsia="SimSun" w:hAnsi="Times New Roman" w:cs="Calibri"/>
          <w:color w:val="000000" w:themeColor="text1"/>
          <w:lang w:eastAsia="hi-IN" w:bidi="hi-IN"/>
        </w:rPr>
        <w:t>r</w:t>
      </w:r>
      <w:r w:rsidR="00DD0740">
        <w:rPr>
          <w:rFonts w:ascii="Times New Roman" w:eastAsia="SimSun" w:hAnsi="Times New Roman" w:cs="Calibri"/>
          <w:color w:val="000000" w:themeColor="text1"/>
          <w:lang w:eastAsia="hi-IN" w:bidi="hi-IN"/>
        </w:rPr>
        <w:t>esearcher</w:t>
      </w:r>
      <w:r w:rsidR="001F162F">
        <w:rPr>
          <w:rFonts w:ascii="Times New Roman" w:eastAsia="SimSun" w:hAnsi="Times New Roman" w:cs="Calibri"/>
          <w:color w:val="000000" w:themeColor="text1"/>
          <w:lang w:eastAsia="hi-IN" w:bidi="hi-IN"/>
        </w:rPr>
        <w:t>s</w:t>
      </w:r>
      <w:r w:rsidR="00DD0740">
        <w:rPr>
          <w:rFonts w:ascii="Times New Roman" w:eastAsia="SimSun" w:hAnsi="Times New Roman" w:cs="Calibri"/>
          <w:color w:val="000000" w:themeColor="text1"/>
          <w:lang w:eastAsia="hi-IN" w:bidi="hi-IN"/>
        </w:rPr>
        <w:t xml:space="preserve"> have appl</w:t>
      </w:r>
      <w:r w:rsidR="005670B3">
        <w:rPr>
          <w:rFonts w:ascii="Times New Roman" w:eastAsia="SimSun" w:hAnsi="Times New Roman" w:cs="Calibri"/>
          <w:color w:val="000000" w:themeColor="text1"/>
          <w:lang w:eastAsia="hi-IN" w:bidi="hi-IN"/>
        </w:rPr>
        <w:t>ied</w:t>
      </w:r>
      <w:r w:rsidR="00DD0740">
        <w:rPr>
          <w:rFonts w:ascii="Times New Roman" w:eastAsia="SimSun" w:hAnsi="Times New Roman" w:cs="Calibri"/>
          <w:color w:val="000000" w:themeColor="text1"/>
          <w:lang w:eastAsia="hi-IN" w:bidi="hi-IN"/>
        </w:rPr>
        <w:t xml:space="preserve"> </w:t>
      </w:r>
      <w:r w:rsidR="00BF609A">
        <w:rPr>
          <w:rFonts w:ascii="Times New Roman" w:eastAsia="SimSun" w:hAnsi="Times New Roman" w:cs="Calibri"/>
          <w:color w:val="000000" w:themeColor="text1"/>
          <w:lang w:eastAsia="hi-IN" w:bidi="hi-IN"/>
        </w:rPr>
        <w:t xml:space="preserve">CRISPR-Cas genome editing </w:t>
      </w:r>
      <w:r w:rsidR="003C1D01">
        <w:rPr>
          <w:rFonts w:ascii="Times New Roman" w:eastAsia="SimSun" w:hAnsi="Times New Roman" w:cs="Calibri"/>
          <w:color w:val="000000" w:themeColor="text1"/>
          <w:lang w:eastAsia="hi-IN" w:bidi="hi-IN"/>
        </w:rPr>
        <w:t>to</w:t>
      </w:r>
      <w:r w:rsidR="00BF609A">
        <w:rPr>
          <w:rFonts w:ascii="Times New Roman" w:eastAsia="SimSun" w:hAnsi="Times New Roman" w:cs="Calibri"/>
          <w:color w:val="000000" w:themeColor="text1"/>
          <w:lang w:eastAsia="hi-IN" w:bidi="hi-IN"/>
        </w:rPr>
        <w:t xml:space="preserve"> reef building coral</w:t>
      </w:r>
      <w:r w:rsidR="007C797B">
        <w:rPr>
          <w:rFonts w:ascii="Times New Roman" w:eastAsia="SimSun" w:hAnsi="Times New Roman" w:cs="Calibri"/>
          <w:color w:val="000000" w:themeColor="text1"/>
          <w:lang w:eastAsia="hi-IN" w:bidi="hi-IN"/>
        </w:rPr>
        <w:t>s</w:t>
      </w:r>
      <w:r w:rsidR="0089633C">
        <w:rPr>
          <w:rFonts w:ascii="Times New Roman" w:eastAsia="SimSun" w:hAnsi="Times New Roman" w:cs="Calibri"/>
          <w:color w:val="000000" w:themeColor="text1"/>
          <w:lang w:eastAsia="hi-IN" w:bidi="hi-IN"/>
        </w:rPr>
        <w:t xml:space="preserve">, </w:t>
      </w:r>
      <w:r w:rsidR="001F4C22">
        <w:rPr>
          <w:rFonts w:ascii="Times New Roman" w:eastAsia="SimSun" w:hAnsi="Times New Roman" w:cs="Calibri"/>
          <w:color w:val="000000" w:themeColor="text1"/>
          <w:lang w:eastAsia="hi-IN" w:bidi="hi-IN"/>
        </w:rPr>
        <w:t>le</w:t>
      </w:r>
      <w:r w:rsidR="005670B3">
        <w:rPr>
          <w:rFonts w:ascii="Times New Roman" w:eastAsia="SimSun" w:hAnsi="Times New Roman" w:cs="Calibri"/>
          <w:color w:val="000000" w:themeColor="text1"/>
          <w:lang w:eastAsia="hi-IN" w:bidi="hi-IN"/>
        </w:rPr>
        <w:t>a</w:t>
      </w:r>
      <w:r w:rsidR="001F4C22">
        <w:rPr>
          <w:rFonts w:ascii="Times New Roman" w:eastAsia="SimSun" w:hAnsi="Times New Roman" w:cs="Calibri"/>
          <w:color w:val="000000" w:themeColor="text1"/>
          <w:lang w:eastAsia="hi-IN" w:bidi="hi-IN"/>
        </w:rPr>
        <w:t>d</w:t>
      </w:r>
      <w:r w:rsidR="005670B3">
        <w:rPr>
          <w:rFonts w:ascii="Times New Roman" w:eastAsia="SimSun" w:hAnsi="Times New Roman" w:cs="Calibri"/>
          <w:color w:val="000000" w:themeColor="text1"/>
          <w:lang w:eastAsia="hi-IN" w:bidi="hi-IN"/>
        </w:rPr>
        <w:t>ing</w:t>
      </w:r>
      <w:r w:rsidR="00E1410E">
        <w:rPr>
          <w:rFonts w:ascii="Times New Roman" w:eastAsia="SimSun" w:hAnsi="Times New Roman" w:cs="Calibri"/>
          <w:color w:val="000000" w:themeColor="text1"/>
          <w:lang w:eastAsia="hi-IN" w:bidi="hi-IN"/>
        </w:rPr>
        <w:t xml:space="preserve"> to </w:t>
      </w:r>
      <w:r w:rsidR="009F157C">
        <w:rPr>
          <w:rFonts w:ascii="Times New Roman" w:eastAsia="SimSun" w:hAnsi="Times New Roman" w:cs="Calibri"/>
          <w:color w:val="000000" w:themeColor="text1"/>
          <w:lang w:eastAsia="hi-IN" w:bidi="hi-IN"/>
        </w:rPr>
        <w:t xml:space="preserve">an increased understanding of </w:t>
      </w:r>
      <w:r w:rsidR="0029231C">
        <w:rPr>
          <w:rFonts w:ascii="Times New Roman" w:eastAsia="SimSun" w:hAnsi="Times New Roman" w:cs="Calibri"/>
          <w:color w:val="000000" w:themeColor="text1"/>
          <w:lang w:eastAsia="hi-IN" w:bidi="hi-IN"/>
        </w:rPr>
        <w:t>thermal tolerance</w:t>
      </w:r>
      <w:r w:rsidR="00DD0740">
        <w:rPr>
          <w:rFonts w:ascii="Times New Roman" w:eastAsia="SimSun" w:hAnsi="Times New Roman" w:cs="Calibri"/>
          <w:color w:val="000000" w:themeColor="text1"/>
          <w:lang w:eastAsia="hi-IN" w:bidi="hi-IN"/>
        </w:rPr>
        <w:t xml:space="preserve"> </w:t>
      </w:r>
      <w:r w:rsidR="00753A2F">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{"citationItems":[{"id":"ITEM-1","itemData":{"DOI":"10.1073/pnas.1722151115","ISSN":"0027-8424","author":[{"dropping-particle":"","family":"Cleves","given":"Phillip A.","non-dropping-particle":"","parse-names":false,"suffix":""},{"dropping-particle":"","family":"Strader","given":"Marie E.","non-dropping-particle":"","parse-names":false,"suffix":""},{"dropping-particle":"","family":"Bay","given":"Line K.","non-dropping-particle":"","parse-names":false,"suffix":""},{"dropping-particle":"","family":"Pringle","given":"John R.","non-dropping-particle":"","parse-names":false,"suffix":""},{"dropping-particle":"V.","family":"Matz","given":"Mikhail","non-dropping-particle":"","parse-names":false,"suffix":""}],"container-title":"Proceedings of the National Academy of Sciences","id":"ITEM-1","issue":"20","issued":{"date-parts":[["2018","5","15"]]},"page":"5235-5240","title":"CRISPR/Cas9-mediated genome editing in a reef-building coral","type":"article-journal","volume":"115"},"uris":["http://www.mendeley.com/documents/?uuid=d1f5de66-451c-42b1-adb6-dd419ced537f"]},{"id":"ITEM-2","itemData":{"DOI":"10.1073/pnas.1920779117","ISSN":"10916490","PMID":"33168726","abstract":"Reef-building corals are keystone species that are threatened by anthropogenic stresses including climate change. To investigate corals' responses to stress and other aspects of their biology, numerous genomic and transcriptomic studies have been performed, generating many hypotheses about the roles of particular genes and molecular pathways. However, it has not generally been possible to test these hypotheses rigorously because of the lack of genetic tools for corals or closely related cnidarians. CRISPR technology seems likely to alleviate this problem. Indeed, we show here that microinjection of single-guide RNA/Cas9 ribonucleoprotein complexes into fertilized eggs of the coral Acropora millepora can produce a sufficiently high frequency of mutations to detect a clear phenotype in the injected generation. Based in part on experiments in a sea-anemone model system, we targeted the gene encoding Heat Shock Transcription Factor 1 (HSF1) and obtained larvae in which &gt;90% of the gene copies were mutant. The mutant larvae survived well at 27 °C but died rapidly at 34 °C, a temperature that did not produce detectable mortality over the duration of the experiment in wild-type (WT) larvae or larvae injected with Cas9 alone. We conclude that HSF1 function (presumably its induction of genes in response to heat stress) plays an important protective role in corals. More broadly, we conclude that CRISPR mutagenesis in corals should allow wide-ranging and rigorous tests of gene function in both larval and adult corals.","author":[{"dropping-particle":"","family":"Cleves","given":"Phillip A","non-dropping-particle":"","parse-names":false,"suffix":""},{"dropping-particle":"","family":"Tinoco","given":"Amanda I","non-dropping-particle":"","parse-names":false,"suffix":""},{"dropping-particle":"","family":"Bradford","given":"Jacob","non-dropping-particle":"","parse-names":false,"suffix":""},{"dropping-particle":"","family":"Perrin","given":"Dimitri","non-dropping-particle":"","parse-names":false,"suffix":""},{"dropping-particle":"","family":"Bay","given":"Line K","non-dropping-particle":"","parse-names":false,"suffix":""},{"dropping-particle":"","family":"Pringle","given":"John R","non-dropping-particle":"","parse-names":false,"suffix":""}],"container-title":"Proceedings of the National Academy of Sciences of the United States of America","id":"ITEM-2","issue":"46","issued":{"date-parts":[["2020","11"]]},"page":"28899-28905","publisher":"National Academy of Sciences","title":"Reduced thermal tolerance in a coral carrying CRISPR-induced mutations in the gene for a heat-shock transcription factor","type":"article-journal","volume":"117"},"uris":["http://www.mendeley.com/documents/?uuid=15d19399-2340-4ad2-a54b-2c64e71bbdfa"]}],"mendeley":{"formattedCitation":"(Cleves et al., 2018, 2020)","plainTextFormattedCitation":"(Cleves et al., 2018, 2020)","previouslyFormattedCitation":"(Cleves et al., 2018, 2020)"},"properties":{"noteIndex":0},"schema":"https://github.com/citation-style-language/schema/raw/master/csl-citation.json"}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(Cleves et al., 2018, 2020)</w:t>
      </w:r>
      <w:r w:rsidR="00753A2F">
        <w:rPr>
          <w:rFonts w:ascii="Times New Roman" w:eastAsia="SimSun" w:hAnsi="Times New Roman" w:cs="Calibri"/>
          <w:color w:val="000000" w:themeColor="text1"/>
          <w:lang w:eastAsia="hi-IN" w:bidi="hi-IN"/>
        </w:rPr>
        <w:fldChar w:fldCharType="end"/>
      </w:r>
      <w:r w:rsidR="00DD0740">
        <w:rPr>
          <w:rFonts w:ascii="Times New Roman" w:eastAsia="SimSun" w:hAnsi="Times New Roman" w:cs="Calibri"/>
          <w:color w:val="000000" w:themeColor="text1"/>
          <w:lang w:eastAsia="hi-IN" w:bidi="hi-IN"/>
        </w:rPr>
        <w:t>.</w:t>
      </w:r>
      <w:r w:rsidR="00DD0740" w:rsidRPr="00374AFD">
        <w:t xml:space="preserve"> </w:t>
      </w:r>
      <w:r w:rsidR="00374AFD" w:rsidRPr="00374AFD">
        <w:rPr>
          <w:rFonts w:ascii="Times New Roman" w:eastAsia="SimSun" w:hAnsi="Times New Roman" w:cs="Calibri"/>
          <w:color w:val="000000" w:themeColor="text1"/>
          <w:lang w:eastAsia="hi-IN" w:bidi="hi-IN"/>
        </w:rPr>
        <w:t xml:space="preserve">Such advancements in ‘facilitated adaptation’ could lead to reef restoration programmes in the future </w:t>
      </w:r>
      <w:r w:rsidR="00753A2F">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{"citationItems":[{"id":"ITEM-1","itemData":{"DOI":"10.1016/j.cosust.2020.10.001","ISSN":"18773435","abstract":"In the face of insufficient progress in conserving and restoring biodiversity, the in situ use of advanced genetic modification, gene drives, and other biotechnologies for conservation purposes are being considered, researched, and developed. This paper introduces the methods, applications, environmental risks, and social challenges of ‘conservationist synthetic biology’; reviews existing governance, with an emphasis on international instruments, institutions, and processes; and offers observations of the politics of developing further governance. The most important multilateral environmental agreement is the Convention on Biological Diversity. Governance of such conservationist synthetic biology is vital but gaps remain. The further development of governance is a political process, and conservationist synthetic biology has a political landscape that is atypical for emerging technologies.","author":[{"dropping-particle":"","family":"Reynolds","given":"Jesse L.","non-dropping-particle":"","parse-names":false,"suffix":""}],"container-title":"Current Opinion in Environmental Sustainability","id":"ITEM-1","issued":{"date-parts":[["2021","4"]]},"page":"1-6","publisher":"Elsevier B.V.","title":"Engineering biological diversity: the international governance of synthetic biology, gene drives, and de-extinction for conservation","type":"article","volume":"49"},"uris":["http://www.mendeley.com/documents/?uuid=336b55e6-08cb-42a2-92c6-abc05034be03"]}],"mendeley":{"formattedCitation":"(Reynolds, 2021)","plainTextFormattedCitation":"(Reynolds, 2021)","previouslyFormattedCitation":"(Reynolds, 2021)"},"properties":{"noteIndex":0},"schema":"https://github.com/citation-style-language/schema/raw/master/csl-citation.json"}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(Reynolds, 2021)</w:t>
      </w:r>
      <w:r w:rsidR="00753A2F">
        <w:rPr>
          <w:rFonts w:ascii="Times New Roman" w:eastAsia="SimSun" w:hAnsi="Times New Roman" w:cs="Calibri"/>
          <w:color w:val="000000" w:themeColor="text1"/>
          <w:lang w:eastAsia="hi-IN" w:bidi="hi-IN"/>
        </w:rPr>
        <w:fldChar w:fldCharType="end"/>
      </w:r>
      <w:r w:rsidR="00374AFD" w:rsidRPr="00374AFD">
        <w:rPr>
          <w:rFonts w:ascii="Times New Roman" w:eastAsia="SimSun" w:hAnsi="Times New Roman" w:cs="Calibri"/>
          <w:color w:val="000000" w:themeColor="text1"/>
          <w:lang w:eastAsia="hi-IN" w:bidi="hi-IN"/>
        </w:rPr>
        <w:t xml:space="preserve">, for example, by modifying corals in Australia’s Great Barrier Reef to better withstand warmer and more acidic marine water, abiotic aquatic characteristics which result from the absorption of elevated atmospheric concentrations of greenhouse gases. </w:t>
      </w:r>
      <w:r w:rsidR="00770F48" w:rsidRPr="00DC1280">
        <w:rPr>
          <w:rFonts w:ascii="Times New Roman" w:eastAsia="SimSun" w:hAnsi="Times New Roman" w:cs="Calibri"/>
          <w:color w:val="000000" w:themeColor="text1"/>
          <w:lang w:eastAsia="hi-IN" w:bidi="hi-IN"/>
        </w:rPr>
        <w:t>While considerable technological development is</w:t>
      </w:r>
      <w:r w:rsidR="00770F48">
        <w:rPr>
          <w:rFonts w:ascii="Times New Roman" w:eastAsia="SimSun" w:hAnsi="Times New Roman" w:cs="Calibri"/>
          <w:color w:val="000000" w:themeColor="text1"/>
          <w:lang w:eastAsia="hi-IN" w:bidi="hi-IN"/>
        </w:rPr>
        <w:t xml:space="preserve"> </w:t>
      </w:r>
      <w:r w:rsidR="00770F48" w:rsidRPr="00DC1280">
        <w:rPr>
          <w:rFonts w:ascii="Times New Roman" w:eastAsia="SimSun" w:hAnsi="Times New Roman" w:cs="Calibri"/>
          <w:color w:val="000000" w:themeColor="text1"/>
          <w:lang w:eastAsia="hi-IN" w:bidi="hi-IN"/>
        </w:rPr>
        <w:t xml:space="preserve">still required before </w:t>
      </w:r>
      <w:r w:rsidR="00770F48">
        <w:rPr>
          <w:rFonts w:ascii="Times New Roman" w:eastAsia="SimSun" w:hAnsi="Times New Roman" w:cs="Calibri"/>
          <w:color w:val="000000" w:themeColor="text1"/>
          <w:lang w:eastAsia="hi-IN" w:bidi="hi-IN"/>
        </w:rPr>
        <w:t>these</w:t>
      </w:r>
      <w:r w:rsidR="00770F48" w:rsidRPr="00DC1280">
        <w:rPr>
          <w:rFonts w:ascii="Times New Roman" w:eastAsia="SimSun" w:hAnsi="Times New Roman" w:cs="Calibri"/>
          <w:color w:val="000000" w:themeColor="text1"/>
          <w:lang w:eastAsia="hi-IN" w:bidi="hi-IN"/>
        </w:rPr>
        <w:t xml:space="preserve"> methods</w:t>
      </w:r>
      <w:r w:rsidR="00770F48">
        <w:rPr>
          <w:rFonts w:ascii="Times New Roman" w:eastAsia="SimSun" w:hAnsi="Times New Roman" w:cs="Calibri"/>
          <w:color w:val="000000" w:themeColor="text1"/>
          <w:lang w:eastAsia="hi-IN" w:bidi="hi-IN"/>
        </w:rPr>
        <w:t xml:space="preserve"> </w:t>
      </w:r>
      <w:r w:rsidR="00770F48" w:rsidRPr="00DC1280">
        <w:rPr>
          <w:rFonts w:ascii="Times New Roman" w:eastAsia="SimSun" w:hAnsi="Times New Roman" w:cs="Calibri"/>
          <w:color w:val="000000" w:themeColor="text1"/>
          <w:lang w:eastAsia="hi-IN" w:bidi="hi-IN"/>
        </w:rPr>
        <w:t>can be applied to corals and their microbial</w:t>
      </w:r>
      <w:r w:rsidR="00770F48">
        <w:rPr>
          <w:rFonts w:ascii="Times New Roman" w:eastAsia="SimSun" w:hAnsi="Times New Roman" w:cs="Calibri"/>
          <w:color w:val="000000" w:themeColor="text1"/>
          <w:lang w:eastAsia="hi-IN" w:bidi="hi-IN"/>
        </w:rPr>
        <w:t xml:space="preserve"> </w:t>
      </w:r>
      <w:r w:rsidR="00770F48" w:rsidRPr="00DC1280">
        <w:rPr>
          <w:rFonts w:ascii="Times New Roman" w:eastAsia="SimSun" w:hAnsi="Times New Roman" w:cs="Calibri"/>
          <w:color w:val="000000" w:themeColor="text1"/>
          <w:lang w:eastAsia="hi-IN" w:bidi="hi-IN"/>
        </w:rPr>
        <w:t xml:space="preserve">symbionts, these early achievements suggest </w:t>
      </w:r>
      <w:r w:rsidR="00770F48">
        <w:rPr>
          <w:rFonts w:ascii="Times New Roman" w:eastAsia="SimSun" w:hAnsi="Times New Roman" w:cs="Calibri"/>
          <w:color w:val="000000" w:themeColor="text1"/>
          <w:lang w:eastAsia="hi-IN" w:bidi="hi-IN"/>
        </w:rPr>
        <w:t xml:space="preserve">that they may be available in the future </w:t>
      </w:r>
      <w:r w:rsidR="006004D4">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{"citationItems":[{"id":"ITEM-1","itemData":{"DOI":"10.2305/IUCN.CH.2019.05.en","ISBN":"9782831719733","editor":[{"dropping-particle":"","family":"Redford","given":"Kent H.","non-dropping-particle":"","parse-names":false,"suffix":""},{"dropping-particle":"","family":"Brooks","given":"Thomas M.","non-dropping-particle":"","parse-names":false,"suffix":""},{"dropping-particle":"","family":"Macfarlane","given":"Nicholas B.W.","non-dropping-particle":"","parse-names":false,"suffix":""},{"dropping-particle":"","family":"Adams","given":"Jonathan S.","non-dropping-particle":"","parse-names":false,"suffix":""}],"id":"ITEM-1","issued":{"date-parts":[["2019","5","6"]]},"publisher":"IUCN, International Union for Conservation of Nature","title":"Genetic frontiers for conservation: an assessment of synthetic biology and biodiversity conservation: technical assessment","type":"book"},"uris":["http://www.mendeley.com/documents/?uuid=9b6cd793-31c7-4755-8480-3345b89666d3"]}],"mendeley":{"formattedCitation":"(Redford et al., 2019)","manualFormatting":"(Redford et al., 2019)","plainTextFormattedCitation":"(Redford et al., 2019)","previouslyFormattedCitation":"(Redford et al., 2019)"},"properties":{"noteIndex":0},"schema":"https://github.com/citation-style-language/schema/raw/master/csl-citation.json"}</w:instrText>
      </w:r>
      <w:r w:rsidR="006004D4">
        <w:rPr>
          <w:rFonts w:ascii="Times New Roman" w:eastAsia="SimSun" w:hAnsi="Times New Roman" w:cs="Calibri"/>
          <w:color w:val="000000" w:themeColor="text1"/>
          <w:lang w:eastAsia="hi-IN" w:bidi="hi-IN"/>
        </w:rPr>
        <w:fldChar w:fldCharType="separate"/>
      </w:r>
      <w:r w:rsidR="006004D4" w:rsidRPr="006004D4">
        <w:rPr>
          <w:rFonts w:ascii="Times New Roman" w:eastAsia="SimSun" w:hAnsi="Times New Roman" w:cs="Calibri"/>
          <w:noProof/>
          <w:color w:val="000000" w:themeColor="text1"/>
          <w:lang w:eastAsia="hi-IN" w:bidi="hi-IN"/>
        </w:rPr>
        <w:t>(</w:t>
      </w:r>
      <w:r w:rsidR="00D40F51" w:rsidRPr="00E439D7">
        <w:rPr>
          <w:rFonts w:ascii="Times New Roman" w:hAnsi="Times New Roman"/>
          <w:noProof/>
          <w:color w:val="000000" w:themeColor="text1"/>
          <w:lang w:eastAsia="ar-SA"/>
        </w:rPr>
        <w:t>Redford et al., 2019</w:t>
      </w:r>
      <w:r w:rsidR="006004D4" w:rsidRPr="006004D4">
        <w:rPr>
          <w:rFonts w:ascii="Times New Roman" w:eastAsia="SimSun" w:hAnsi="Times New Roman" w:cs="Calibri"/>
          <w:noProof/>
          <w:color w:val="000000" w:themeColor="text1"/>
          <w:lang w:eastAsia="hi-IN" w:bidi="hi-IN"/>
        </w:rPr>
        <w:t>)</w:t>
      </w:r>
      <w:r w:rsidR="006004D4">
        <w:rPr>
          <w:rFonts w:ascii="Times New Roman" w:eastAsia="SimSun" w:hAnsi="Times New Roman" w:cs="Calibri"/>
          <w:color w:val="000000" w:themeColor="text1"/>
          <w:lang w:eastAsia="hi-IN" w:bidi="hi-IN"/>
        </w:rPr>
        <w:fldChar w:fldCharType="end"/>
      </w:r>
      <w:r w:rsidR="00770F48" w:rsidRPr="00DC1280">
        <w:rPr>
          <w:rFonts w:ascii="Times New Roman" w:eastAsia="SimSun" w:hAnsi="Times New Roman" w:cs="Calibri"/>
          <w:color w:val="000000" w:themeColor="text1"/>
          <w:lang w:eastAsia="hi-IN" w:bidi="hi-IN"/>
        </w:rPr>
        <w:t>.</w:t>
      </w:r>
    </w:p>
    <w:p w14:paraId="77B0339D" w14:textId="4FA773D8" w:rsidR="00EB3439" w:rsidRDefault="00914763">
      <w:pPr>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It </w:t>
      </w:r>
      <w:r w:rsidR="009E23C2">
        <w:rPr>
          <w:rFonts w:ascii="Times New Roman" w:eastAsia="SimSun" w:hAnsi="Times New Roman" w:cs="Calibri"/>
          <w:color w:val="000000" w:themeColor="text1"/>
          <w:lang w:eastAsia="hi-IN" w:bidi="hi-IN"/>
        </w:rPr>
        <w:t>h</w:t>
      </w:r>
      <w:r>
        <w:rPr>
          <w:rFonts w:ascii="Times New Roman" w:eastAsia="SimSun" w:hAnsi="Times New Roman" w:cs="Calibri"/>
          <w:color w:val="000000" w:themeColor="text1"/>
          <w:lang w:eastAsia="hi-IN" w:bidi="hi-IN"/>
        </w:rPr>
        <w:t xml:space="preserve">as </w:t>
      </w:r>
      <w:r w:rsidR="009E23C2">
        <w:rPr>
          <w:rFonts w:ascii="Times New Roman" w:eastAsia="SimSun" w:hAnsi="Times New Roman" w:cs="Calibri"/>
          <w:color w:val="000000" w:themeColor="text1"/>
          <w:lang w:eastAsia="hi-IN" w:bidi="hi-IN"/>
        </w:rPr>
        <w:t>been</w:t>
      </w:r>
      <w:r>
        <w:rPr>
          <w:rFonts w:ascii="Times New Roman" w:eastAsia="SimSun" w:hAnsi="Times New Roman" w:cs="Calibri"/>
          <w:color w:val="000000" w:themeColor="text1"/>
          <w:lang w:eastAsia="hi-IN" w:bidi="hi-IN"/>
        </w:rPr>
        <w:t xml:space="preserve"> suggested that </w:t>
      </w:r>
      <w:r w:rsidR="00580868">
        <w:rPr>
          <w:rFonts w:ascii="Times New Roman" w:eastAsia="SimSun" w:hAnsi="Times New Roman" w:cs="Calibri"/>
          <w:color w:val="000000" w:themeColor="text1"/>
          <w:lang w:eastAsia="hi-IN" w:bidi="hi-IN"/>
        </w:rPr>
        <w:t>climate-adapt</w:t>
      </w:r>
      <w:r w:rsidR="00673966">
        <w:rPr>
          <w:rFonts w:ascii="Times New Roman" w:eastAsia="SimSun" w:hAnsi="Times New Roman" w:cs="Calibri"/>
          <w:color w:val="000000" w:themeColor="text1"/>
          <w:lang w:eastAsia="hi-IN" w:bidi="hi-IN"/>
        </w:rPr>
        <w:t xml:space="preserve">ation in species that serve key ecosystem functions </w:t>
      </w:r>
      <w:r w:rsidR="003D0A66">
        <w:rPr>
          <w:rFonts w:ascii="Times New Roman" w:eastAsia="SimSun" w:hAnsi="Times New Roman" w:cs="Calibri"/>
          <w:color w:val="000000" w:themeColor="text1"/>
          <w:lang w:eastAsia="hi-IN" w:bidi="hi-IN"/>
        </w:rPr>
        <w:t xml:space="preserve">could protect some of the services that </w:t>
      </w:r>
      <w:r w:rsidR="00D00E95">
        <w:rPr>
          <w:rFonts w:ascii="Times New Roman" w:eastAsia="SimSun" w:hAnsi="Times New Roman" w:cs="Calibri"/>
          <w:color w:val="000000" w:themeColor="text1"/>
          <w:lang w:eastAsia="hi-IN" w:bidi="hi-IN"/>
        </w:rPr>
        <w:t>reefs provide</w:t>
      </w:r>
      <w:r w:rsidR="00961F93">
        <w:rPr>
          <w:rFonts w:ascii="Times New Roman" w:eastAsia="SimSun" w:hAnsi="Times New Roman" w:cs="Calibri"/>
          <w:color w:val="000000" w:themeColor="text1"/>
          <w:lang w:eastAsia="hi-IN" w:bidi="hi-IN"/>
        </w:rPr>
        <w:t xml:space="preserve">, such as </w:t>
      </w:r>
      <w:r w:rsidR="001E7BC9">
        <w:rPr>
          <w:rFonts w:ascii="Times New Roman" w:eastAsia="SimSun" w:hAnsi="Times New Roman" w:cs="Calibri"/>
          <w:color w:val="000000" w:themeColor="text1"/>
          <w:lang w:eastAsia="hi-IN" w:bidi="hi-IN"/>
        </w:rPr>
        <w:t xml:space="preserve">providing the infrastructure for </w:t>
      </w:r>
      <w:r w:rsidR="00961F93">
        <w:rPr>
          <w:rFonts w:ascii="Times New Roman" w:eastAsia="SimSun" w:hAnsi="Times New Roman" w:cs="Calibri"/>
          <w:color w:val="000000" w:themeColor="text1"/>
          <w:lang w:eastAsia="hi-IN" w:bidi="hi-IN"/>
        </w:rPr>
        <w:t xml:space="preserve">over 1 million </w:t>
      </w:r>
      <w:r w:rsidR="00F60033">
        <w:rPr>
          <w:rFonts w:ascii="Times New Roman" w:eastAsia="SimSun" w:hAnsi="Times New Roman" w:cs="Calibri"/>
          <w:color w:val="000000" w:themeColor="text1"/>
          <w:lang w:eastAsia="hi-IN" w:bidi="hi-IN"/>
        </w:rPr>
        <w:t>aquatic</w:t>
      </w:r>
      <w:r w:rsidR="00961F93">
        <w:rPr>
          <w:rFonts w:ascii="Times New Roman" w:eastAsia="SimSun" w:hAnsi="Times New Roman" w:cs="Calibri"/>
          <w:color w:val="000000" w:themeColor="text1"/>
          <w:lang w:eastAsia="hi-IN" w:bidi="hi-IN"/>
        </w:rPr>
        <w:t xml:space="preserve"> species</w:t>
      </w:r>
      <w:r w:rsidR="00D00E95">
        <w:rPr>
          <w:rFonts w:ascii="Times New Roman" w:eastAsia="SimSun" w:hAnsi="Times New Roman" w:cs="Calibri"/>
          <w:color w:val="000000" w:themeColor="text1"/>
          <w:lang w:eastAsia="hi-IN" w:bidi="hi-IN"/>
        </w:rPr>
        <w:t xml:space="preserve"> </w:t>
      </w:r>
      <w:r w:rsidR="00753A2F">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{"citationItems":[{"id":"ITEM-1","itemData":{"DOI":"10.1038/s41559-017-0313-5","ISSN":"2397-334X","author":[{"dropping-particle":"","family":"Anthony","given":"Ken","non-dropping-particle":"","parse-names":false,"suffix":""},{"dropping-particle":"","family":"Bay","given":"Line K.","non-dropping-particle":"","parse-names":false,"suffix":""},{"dropping-particle":"","family":"Costanza","given":"Robert","non-dropping-particle":"","parse-names":false,"suffix":""},{"dropping-particle":"","family":"Firn","given":"Jennifer","non-dropping-particle":"","parse-names":false,"suffix":""},{"dropping-particle":"","family":"Gunn","given":"John","non-dropping-particle":"","parse-names":false,"suffix":""},{"dropping-particle":"","family":"Harrison","given":"Peter","non-dropping-particle":"","parse-names":false,"suffix":""},{"dropping-particle":"","family":"Heyward","given":"Andrew","non-dropping-particle":"","parse-names":false,"suffix":""},{"dropping-particle":"","family":"Lundgren","given":"Petra","non-dropping-particle":"","parse-names":false,"suffix":""},{"dropping-particle":"","family":"Mead","given":"David","non-dropping-particle":"","parse-names":false,"suffix":""},{"dropping-particle":"","family":"Moore","given":"Tom","non-dropping-particle":"","parse-names":false,"suffix":""},{"dropping-particle":"","family":"Mumby","given":"Peter J.","non-dropping-particle":"","parse-names":false,"suffix":""},{"dropping-particle":"","family":"Oppen","given":"Madeleine J. H.","non-dropping-particle":"van","parse-names":false,"suffix":""},{"dropping-particle":"","family":"Robertson","given":"John","non-dropping-particle":"","parse-names":false,"suffix":""},{"dropping-particle":"","family":"Runge","given":"Michael C.","non-dropping-particle":"","parse-names":false,"suffix":""},{"dropping-particle":"","family":"Suggett","given":"David J.","non-dropping-particle":"","parse-names":false,"suffix":""},{"dropping-particle":"","family":"Schaffelke","given":"Britta","non-dropping-particle":"","parse-names":false,"suffix":""},{"dropping-particle":"","family":"Wachenfeld","given":"David","non-dropping-particle":"","parse-names":false,"suffix":""},{"dropping-particle":"","family":"Walshe","given":"Terry","non-dropping-particle":"","parse-names":false,"suffix":""}],"container-title":"Nature Ecology &amp; Evolution","id":"ITEM-1","issue":"10","issued":{"date-parts":[["2017","10","21"]]},"page":"1420-1422","title":"New interventions are needed to save coral reefs","type":"article-journal","volume":"1"},"uris":["http://www.mendeley.com/documents/?uuid=cae3ce6e-c96a-4743-bd81-ddd0184e0a2d"]}],"mendeley":{"formattedCitation":"(K. Anthony et al., 2017)","manualFormatting":"( Anthony et al., 2017)","plainTextFormattedCitation":"(K. Anthony et al., 2017)","previouslyFormattedCitation":"(K. Anthony et al., 2017)"},"properties":{"noteIndex":0},"schema":"https://github.com/citation-style-language/schema/raw/master/csl-citation.json"}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 Anthony et al., 2017)</w:t>
      </w:r>
      <w:r w:rsidR="00753A2F">
        <w:rPr>
          <w:rFonts w:ascii="Times New Roman" w:eastAsia="SimSun" w:hAnsi="Times New Roman" w:cs="Calibri"/>
          <w:color w:val="000000" w:themeColor="text1"/>
          <w:lang w:eastAsia="hi-IN" w:bidi="hi-IN"/>
        </w:rPr>
        <w:fldChar w:fldCharType="end"/>
      </w:r>
      <w:r w:rsidR="00D00E95">
        <w:rPr>
          <w:rFonts w:ascii="Times New Roman" w:eastAsia="SimSun" w:hAnsi="Times New Roman" w:cs="Calibri"/>
          <w:color w:val="000000" w:themeColor="text1"/>
          <w:lang w:eastAsia="hi-IN" w:bidi="hi-IN"/>
        </w:rPr>
        <w:t>.</w:t>
      </w:r>
      <w:r w:rsidR="00452541">
        <w:rPr>
          <w:rFonts w:ascii="Times New Roman" w:eastAsia="SimSun" w:hAnsi="Times New Roman" w:cs="Calibri"/>
          <w:color w:val="000000" w:themeColor="text1"/>
          <w:lang w:eastAsia="hi-IN" w:bidi="hi-IN"/>
        </w:rPr>
        <w:t xml:space="preserve"> </w:t>
      </w:r>
      <w:r w:rsidR="00DB4DA2">
        <w:rPr>
          <w:rFonts w:ascii="Times New Roman" w:eastAsia="SimSun" w:hAnsi="Times New Roman" w:cs="Calibri"/>
          <w:color w:val="000000" w:themeColor="text1"/>
          <w:lang w:eastAsia="hi-IN" w:bidi="hi-IN"/>
        </w:rPr>
        <w:t>Moreover, i</w:t>
      </w:r>
      <w:r w:rsidR="00452541">
        <w:rPr>
          <w:rFonts w:ascii="Times New Roman" w:eastAsia="SimSun" w:hAnsi="Times New Roman" w:cs="Calibri"/>
          <w:color w:val="000000" w:themeColor="text1"/>
          <w:lang w:eastAsia="hi-IN" w:bidi="hi-IN"/>
        </w:rPr>
        <w:t xml:space="preserve">f the species chosen </w:t>
      </w:r>
      <w:r w:rsidR="00391095">
        <w:rPr>
          <w:rFonts w:ascii="Times New Roman" w:eastAsia="SimSun" w:hAnsi="Times New Roman" w:cs="Calibri"/>
          <w:color w:val="000000" w:themeColor="text1"/>
          <w:lang w:eastAsia="hi-IN" w:bidi="hi-IN"/>
        </w:rPr>
        <w:t>are f</w:t>
      </w:r>
      <w:r w:rsidR="00452541">
        <w:rPr>
          <w:rFonts w:ascii="Times New Roman" w:eastAsia="SimSun" w:hAnsi="Times New Roman" w:cs="Calibri"/>
          <w:color w:val="000000" w:themeColor="text1"/>
          <w:lang w:eastAsia="hi-IN" w:bidi="hi-IN"/>
        </w:rPr>
        <w:t>unctional</w:t>
      </w:r>
      <w:r w:rsidR="004A6D6F">
        <w:rPr>
          <w:rFonts w:ascii="Times New Roman" w:eastAsia="SimSun" w:hAnsi="Times New Roman" w:cs="Calibri"/>
          <w:color w:val="000000" w:themeColor="text1"/>
          <w:lang w:eastAsia="hi-IN" w:bidi="hi-IN"/>
        </w:rPr>
        <w:t>ly</w:t>
      </w:r>
      <w:r w:rsidR="00452541">
        <w:rPr>
          <w:rFonts w:ascii="Times New Roman" w:eastAsia="SimSun" w:hAnsi="Times New Roman" w:cs="Calibri"/>
          <w:color w:val="000000" w:themeColor="text1"/>
          <w:lang w:eastAsia="hi-IN" w:bidi="hi-IN"/>
        </w:rPr>
        <w:t xml:space="preserve"> </w:t>
      </w:r>
      <w:r w:rsidR="00391095">
        <w:rPr>
          <w:rFonts w:ascii="Times New Roman" w:eastAsia="SimSun" w:hAnsi="Times New Roman" w:cs="Calibri"/>
          <w:color w:val="000000" w:themeColor="text1"/>
          <w:lang w:eastAsia="hi-IN" w:bidi="hi-IN"/>
        </w:rPr>
        <w:t xml:space="preserve">redundant, the </w:t>
      </w:r>
      <w:r w:rsidR="001641C9">
        <w:rPr>
          <w:rFonts w:ascii="Times New Roman" w:eastAsia="SimSun" w:hAnsi="Times New Roman" w:cs="Calibri"/>
          <w:color w:val="000000" w:themeColor="text1"/>
          <w:lang w:eastAsia="hi-IN" w:bidi="hi-IN"/>
        </w:rPr>
        <w:t xml:space="preserve">potential positive impacts </w:t>
      </w:r>
      <w:r w:rsidR="00DB068F">
        <w:rPr>
          <w:rFonts w:ascii="Times New Roman" w:eastAsia="SimSun" w:hAnsi="Times New Roman" w:cs="Calibri"/>
          <w:color w:val="000000" w:themeColor="text1"/>
          <w:lang w:eastAsia="hi-IN" w:bidi="hi-IN"/>
        </w:rPr>
        <w:t xml:space="preserve">of </w:t>
      </w:r>
      <w:r w:rsidR="00CE5592">
        <w:rPr>
          <w:rFonts w:ascii="Times New Roman" w:eastAsia="SimSun" w:hAnsi="Times New Roman" w:cs="Calibri"/>
          <w:color w:val="000000" w:themeColor="text1"/>
          <w:lang w:eastAsia="hi-IN" w:bidi="hi-IN"/>
        </w:rPr>
        <w:t xml:space="preserve">engineered </w:t>
      </w:r>
      <w:r w:rsidR="00DB068F">
        <w:rPr>
          <w:rFonts w:ascii="Times New Roman" w:eastAsia="SimSun" w:hAnsi="Times New Roman" w:cs="Calibri"/>
          <w:color w:val="000000" w:themeColor="text1"/>
          <w:lang w:eastAsia="hi-IN" w:bidi="hi-IN"/>
        </w:rPr>
        <w:t xml:space="preserve">reef restoration can be </w:t>
      </w:r>
      <w:r w:rsidR="003F7D2A">
        <w:rPr>
          <w:rFonts w:ascii="Times New Roman" w:eastAsia="SimSun" w:hAnsi="Times New Roman" w:cs="Calibri"/>
          <w:color w:val="000000" w:themeColor="text1"/>
          <w:lang w:eastAsia="hi-IN" w:bidi="hi-IN"/>
        </w:rPr>
        <w:t>maximised</w:t>
      </w:r>
      <w:r w:rsidR="00DB068F">
        <w:rPr>
          <w:rFonts w:ascii="Times New Roman" w:eastAsia="SimSun" w:hAnsi="Times New Roman" w:cs="Calibri"/>
          <w:color w:val="000000" w:themeColor="text1"/>
          <w:lang w:eastAsia="hi-IN" w:bidi="hi-IN"/>
        </w:rPr>
        <w:t xml:space="preserve"> </w:t>
      </w:r>
      <w:r w:rsidR="00753A2F">
        <w:rPr>
          <w:rFonts w:ascii="Times New Roman" w:eastAsia="SimSun" w:hAnsi="Times New Roman" w:cs="Calibri"/>
          <w:color w:val="000000" w:themeColor="text1"/>
          <w:lang w:eastAsia="hi-IN" w:bidi="hi-IN"/>
        </w:rPr>
        <w:fldChar w:fldCharType="begin" w:fldLock="1"/>
      </w:r>
      <w:r w:rsidR="00753A2F">
        <w:rPr>
          <w:rFonts w:ascii="Times New Roman" w:eastAsia="SimSun" w:hAnsi="Times New Roman" w:cs="Calibri"/>
          <w:color w:val="000000" w:themeColor="text1"/>
          <w:lang w:eastAsia="hi-IN" w:bidi="hi-IN"/>
        </w:rPr>
        <w:instrText>ADDIN CSL_CITATION {"citationItems":[{"id":"ITEM-1","itemData":{"DOI":"10.1111/gcb.13647","ISSN":"1354-1013","abstract":"Many ecosystems around the world are rapidly deteriorating due to both local and global pressures, and perhaps none so precipitously as coral reefs. Management of coral reefs through maintenance (e.g., marine-protected areas, catchment management to improve water quality), restoration, as well as global and national governmental agreements to reduce greenhouse gas emissions (e.g., the 2015 Paris Agreement) is critical for the persistence of coral reefs. Despite these initiatives, the health and abundance of corals reefs are rapidly declining and other solutions will soon be required. We have recently discussed options for using assisted evolution (i.e., selective breeding, assisted gene flow, conditioning or epigenetic programming, and the manipulation of the coral microbiome) as a means to enhance environmental stress tolerance of corals and the success of coral reef restoration efforts. The 2014–2016 global coral bleaching event has sharpened the focus on such interventionist approaches. We highlight the necessity for consideration of alternative (e.g., hybrid) ecosystem states, discuss traits of resilient corals and coral reef ecosystems, and propose a decision tree for incorporating assisted evolution into restoration initiatives to enhance climate resilience of coral reefs.","author":[{"dropping-particle":"","family":"Oppen","given":"Madeleine J H","non-dropping-particle":"","parse-names":false,"suffix":""},{"dropping-particle":"","family":"Gates","given":"Ruth D","non-dropping-particle":"","parse-names":false,"suffix":""},{"dropping-particle":"","family":"Blackall","given":"Linda L","non-dropping-particle":"","parse-names":false,"suffix":""},{"dropping-particle":"","family":"Cantin","given":"Neal","non-dropping-particle":"","parse-names":false,"suffix":""},{"dropping-particle":"","family":"Chakravarti","given":"Leela J","non-dropping-particle":"","parse-names":false,"suffix":""},{"dropping-particle":"","family":"Chan","given":"Wing Y","non-dropping-particle":"","parse-names":false,"suffix":""},{"dropping-particle":"","family":"Cormick","given":"Craig","non-dropping-particle":"","parse-names":false,"suffix":""},{"dropping-particle":"","family":"Crean","given":"Angela","non-dropping-particle":"","parse-names":false,"suffix":""},{"dropping-particle":"","family":"Damjanovic","given":"Katarina","non-dropping-particle":"","parse-names":false,"suffix":""},{"dropping-particle":"","family":"Epstein","given":"Hannah","non-dropping-particle":"","parse-names":false,"suffix":""},{"dropping-particle":"","family":"Harrison","given":"Peter L","non-dropping-particle":"","parse-names":false,"suffix":""},{"dropping-particle":"","family":"Jones","given":"Thomas A","non-dropping-particle":"","parse-names":false,"suffix":""},{"dropping-particle":"","family":"Miller","given":"Margaret","non-dropping-particle":"","parse-names":false,"suffix":""},{"dropping-particle":"","family":"Pears","given":"Rachel J","non-dropping-particle":"","parse-names":false,"suffix":""},{"dropping-particle":"","family":"Peplow","given":"Lesa M","non-dropping-particle":"","parse-names":false,"suffix":""},{"dropping-particle":"","family":"Raftos","given":"David A","non-dropping-particle":"","parse-names":false,"suffix":""},{"dropping-particle":"","family":"Schaffelke","given":"Britta","non-dropping-particle":"","parse-names":false,"suffix":""},{"dropping-particle":"","family":"Stewart","given":"Kristen","non-dropping-particle":"","parse-names":false,"suffix":""},{"dropping-particle":"","family":"Torda","given":"Gergely","non-dropping-particle":"","parse-names":false,"suffix":""},{"dropping-particle":"","family":"Wachenfeld","given":"David","non-dropping-particle":"","parse-names":false,"suffix":""},{"dropping-particle":"","family":"Weeks","given":"Andrew R","non-dropping-particle":"","parse-names":false,"suffix":""},{"dropping-particle":"","family":"Putnam","given":"Hollie M","non-dropping-particle":"","parse-names":false,"suffix":""}],"container-title":"Global Change Biology","id":"ITEM-1","issue":"9","issued":{"date-parts":[["2017"]]},"page":"3437-3448","publisher":"Blackwell Publishing Ltd","title":"Shifting paradigms in restoration of the world's coral reefs","type":"article-journal","volume":"23"},"uris":["http://www.mendeley.com/documents/?uuid=2a3d31ee-889f-45af-9168-6e284a4cba12"]}],"mendeley":{"formattedCitation":"(Oppen et al., 2017)","plainTextFormattedCitation":"(Oppen et al., 2017)","previouslyFormattedCitation":"(Oppen et al., 2017)"},"properties":{"noteIndex":0},"schema":"https://github.com/citation-style-language/schema/raw/master/csl-citation.json"}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(Oppen et al., 2017)</w:t>
      </w:r>
      <w:r w:rsidR="00753A2F">
        <w:rPr>
          <w:rFonts w:ascii="Times New Roman" w:eastAsia="SimSun" w:hAnsi="Times New Roman" w:cs="Calibri"/>
          <w:color w:val="000000" w:themeColor="text1"/>
          <w:lang w:eastAsia="hi-IN" w:bidi="hi-IN"/>
        </w:rPr>
        <w:fldChar w:fldCharType="end"/>
      </w:r>
      <w:r w:rsidR="008C00AA">
        <w:rPr>
          <w:rFonts w:ascii="Times New Roman" w:eastAsia="SimSun" w:hAnsi="Times New Roman" w:cs="Calibri"/>
          <w:color w:val="000000" w:themeColor="text1"/>
          <w:lang w:eastAsia="hi-IN" w:bidi="hi-IN"/>
        </w:rPr>
        <w:t>.</w:t>
      </w:r>
      <w:r w:rsidR="003F21A2">
        <w:rPr>
          <w:rFonts w:ascii="Times New Roman" w:eastAsia="SimSun" w:hAnsi="Times New Roman" w:cs="Calibri"/>
          <w:color w:val="000000" w:themeColor="text1"/>
          <w:lang w:eastAsia="hi-IN" w:bidi="hi-IN"/>
        </w:rPr>
        <w:t xml:space="preserve"> </w:t>
      </w:r>
      <w:r w:rsidR="00E54619">
        <w:rPr>
          <w:rFonts w:ascii="Times New Roman" w:eastAsia="SimSun" w:hAnsi="Times New Roman" w:cs="Calibri"/>
          <w:color w:val="000000" w:themeColor="text1"/>
          <w:lang w:eastAsia="hi-IN" w:bidi="hi-IN"/>
        </w:rPr>
        <w:t>On the other hand,</w:t>
      </w:r>
      <w:r w:rsidR="00061F90">
        <w:rPr>
          <w:rFonts w:ascii="Times New Roman" w:eastAsia="SimSun" w:hAnsi="Times New Roman" w:cs="Calibri"/>
          <w:color w:val="000000" w:themeColor="text1"/>
          <w:lang w:eastAsia="hi-IN" w:bidi="hi-IN"/>
        </w:rPr>
        <w:t xml:space="preserve"> since it is not feasible to engineer millions of species,</w:t>
      </w:r>
      <w:r w:rsidR="00E54619">
        <w:rPr>
          <w:rFonts w:ascii="Times New Roman" w:eastAsia="SimSun" w:hAnsi="Times New Roman" w:cs="Calibri"/>
          <w:color w:val="000000" w:themeColor="text1"/>
          <w:lang w:eastAsia="hi-IN" w:bidi="hi-IN"/>
        </w:rPr>
        <w:t xml:space="preserve"> </w:t>
      </w:r>
      <w:r w:rsidR="003F21A2">
        <w:rPr>
          <w:rFonts w:ascii="Times New Roman" w:eastAsia="SimSun" w:hAnsi="Times New Roman" w:cs="Calibri"/>
          <w:color w:val="000000" w:themeColor="text1"/>
          <w:lang w:eastAsia="hi-IN" w:bidi="hi-IN"/>
        </w:rPr>
        <w:t xml:space="preserve">prioritising </w:t>
      </w:r>
      <w:r w:rsidR="00721A5F">
        <w:rPr>
          <w:rFonts w:ascii="Times New Roman" w:eastAsia="SimSun" w:hAnsi="Times New Roman" w:cs="Calibri"/>
          <w:color w:val="000000" w:themeColor="text1"/>
          <w:lang w:eastAsia="hi-IN" w:bidi="hi-IN"/>
        </w:rPr>
        <w:t>specific</w:t>
      </w:r>
      <w:r w:rsidR="00E54619">
        <w:rPr>
          <w:rFonts w:ascii="Times New Roman" w:eastAsia="SimSun" w:hAnsi="Times New Roman" w:cs="Calibri"/>
          <w:color w:val="000000" w:themeColor="text1"/>
          <w:lang w:eastAsia="hi-IN" w:bidi="hi-IN"/>
        </w:rPr>
        <w:t xml:space="preserve"> species </w:t>
      </w:r>
      <w:r w:rsidR="00D67765">
        <w:rPr>
          <w:rFonts w:ascii="Times New Roman" w:eastAsia="SimSun" w:hAnsi="Times New Roman" w:cs="Calibri"/>
          <w:color w:val="000000" w:themeColor="text1"/>
          <w:lang w:eastAsia="hi-IN" w:bidi="hi-IN"/>
        </w:rPr>
        <w:t xml:space="preserve">for interventions </w:t>
      </w:r>
      <w:r w:rsidR="008D7F9D">
        <w:rPr>
          <w:rFonts w:ascii="Times New Roman" w:eastAsia="SimSun" w:hAnsi="Times New Roman" w:cs="Calibri"/>
          <w:color w:val="000000" w:themeColor="text1"/>
          <w:lang w:eastAsia="hi-IN" w:bidi="hi-IN"/>
        </w:rPr>
        <w:t xml:space="preserve">would </w:t>
      </w:r>
      <w:r w:rsidR="00FA4169">
        <w:rPr>
          <w:rFonts w:ascii="Times New Roman" w:eastAsia="SimSun" w:hAnsi="Times New Roman" w:cs="Calibri"/>
          <w:color w:val="000000" w:themeColor="text1"/>
          <w:lang w:eastAsia="hi-IN" w:bidi="hi-IN"/>
        </w:rPr>
        <w:t>not</w:t>
      </w:r>
      <w:r w:rsidR="00417177">
        <w:rPr>
          <w:rFonts w:ascii="Times New Roman" w:eastAsia="SimSun" w:hAnsi="Times New Roman" w:cs="Calibri"/>
          <w:color w:val="000000" w:themeColor="text1"/>
          <w:lang w:eastAsia="hi-IN" w:bidi="hi-IN"/>
        </w:rPr>
        <w:t xml:space="preserve"> protect the underlying integrity and diversity of coral reef ecosystems</w:t>
      </w:r>
      <w:r w:rsidR="00595DE3">
        <w:rPr>
          <w:rFonts w:ascii="Times New Roman" w:eastAsia="SimSun" w:hAnsi="Times New Roman" w:cs="Calibri"/>
          <w:color w:val="000000" w:themeColor="text1"/>
          <w:lang w:eastAsia="hi-IN" w:bidi="hi-IN"/>
        </w:rPr>
        <w:t>, which could have implications on the services provided</w:t>
      </w:r>
      <w:r w:rsidR="00417177">
        <w:rPr>
          <w:rFonts w:ascii="Times New Roman" w:eastAsia="SimSun" w:hAnsi="Times New Roman" w:cs="Calibri"/>
          <w:color w:val="000000" w:themeColor="text1"/>
          <w:lang w:eastAsia="hi-IN" w:bidi="hi-IN"/>
        </w:rPr>
        <w:t xml:space="preserve"> </w:t>
      </w:r>
      <w:r w:rsidR="00753A2F">
        <w:rPr>
          <w:rFonts w:ascii="Times New Roman" w:eastAsia="SimSun" w:hAnsi="Times New Roman" w:cs="Calibri"/>
          <w:color w:val="000000" w:themeColor="text1"/>
          <w:lang w:eastAsia="hi-IN" w:bidi="hi-IN"/>
        </w:rPr>
        <w:fldChar w:fldCharType="begin" w:fldLock="1"/>
      </w:r>
      <w:r w:rsidR="00B156AF">
        <w:rPr>
          <w:rFonts w:ascii="Times New Roman" w:eastAsia="SimSun" w:hAnsi="Times New Roman" w:cs="Calibri"/>
          <w:color w:val="000000" w:themeColor="text1"/>
          <w:lang w:eastAsia="hi-IN" w:bidi="hi-IN"/>
        </w:rPr>
        <w:instrText>ADDIN CSL_CITATION {"citationItems":[{"id":"ITEM-1","itemData":{"DOI":"10.1038/s41559-017-0313-5","ISSN":"2397-334X","author":[{"dropping-particle":"","family":"Anthony","given":"Ken","non-dropping-particle":"","parse-names":false,"suffix":""},{"dropping-particle":"","family":"Bay","given":"Line K.","non-dropping-particle":"","parse-names":false,"suffix":""},{"dropping-particle":"","family":"Costanza","given":"Robert","non-dropping-particle":"","parse-names":false,"suffix":""},{"dropping-particle":"","family":"Firn","given":"Jennifer","non-dropping-particle":"","parse-names":false,"suffix":""},{"dropping-particle":"","family":"Gunn","given":"John","non-dropping-particle":"","parse-names":false,"suffix":""},{"dropping-particle":"","family":"Harrison","given":"Peter","non-dropping-particle":"","parse-names":false,"suffix":""},{"dropping-particle":"","family":"Heyward","given":"Andrew","non-dropping-particle":"","parse-names":false,"suffix":""},{"dropping-particle":"","family":"Lundgren","given":"Petra","non-dropping-particle":"","parse-names":false,"suffix":""},{"dropping-particle":"","family":"Mead","given":"David","non-dropping-particle":"","parse-names":false,"suffix":""},{"dropping-particle":"","family":"Moore","given":"Tom","non-dropping-particle":"","parse-names":false,"suffix":""},{"dropping-particle":"","family":"Mumby","given":"Peter J.","non-dropping-particle":"","parse-names":false,"suffix":""},{"dropping-particle":"","family":"Oppen","given":"Madeleine J. H.","non-dropping-particle":"van","parse-names":false,"suffix":""},{"dropping-particle":"","family":"Robertson","given":"John","non-dropping-particle":"","parse-names":false,"suffix":""},{"dropping-particle":"","family":"Runge","given":"Michael C.","non-dropping-particle":"","parse-names":false,"suffix":""},{"dropping-particle":"","family":"Suggett","given":"David J.","non-dropping-particle":"","parse-names":false,"suffix":""},{"dropping-particle":"","family":"Schaffelke","given":"Britta","non-dropping-particle":"","parse-names":false,"suffix":""},{"dropping-particle":"","family":"Wachenfeld","given":"David","non-dropping-particle":"","parse-names":false,"suffix":""},{"dropping-particle":"","family":"Walshe","given":"Terry","non-dropping-particle":"","parse-names":false,"suffix":""}],"container-title":"Nature Ecology &amp; Evolution","id":"ITEM-1","issue":"10","issued":{"date-parts":[["2017","10","21"]]},"page":"1420-1422","title":"New interventions are needed to save coral reefs","type":"article-journal","volume":"1"},"uris":["http://www.mendeley.com/documents/?uuid=cae3ce6e-c96a-4743-bd81-ddd0184e0a2d"]}],"mendeley":{"formattedCitation":"(K. Anthony et al., 2017)","manualFormatting":"(Anthony et al., 2017)","plainTextFormattedCitation":"(K. Anthony et al., 2017)","previouslyFormattedCitation":"(K. Anthony et al., 2017)"},"properties":{"noteIndex":0},"schema":"https://github.com/citation-style-language/schema/raw/master/csl-citation.json"}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(Anthony et al., 2017)</w:t>
      </w:r>
      <w:r w:rsidR="00753A2F">
        <w:rPr>
          <w:rFonts w:ascii="Times New Roman" w:eastAsia="SimSun" w:hAnsi="Times New Roman" w:cs="Calibri"/>
          <w:color w:val="000000" w:themeColor="text1"/>
          <w:lang w:eastAsia="hi-IN" w:bidi="hi-IN"/>
        </w:rPr>
        <w:fldChar w:fldCharType="end"/>
      </w:r>
      <w:r w:rsidR="00417177">
        <w:rPr>
          <w:rFonts w:ascii="Times New Roman" w:eastAsia="SimSun" w:hAnsi="Times New Roman" w:cs="Calibri"/>
          <w:color w:val="000000" w:themeColor="text1"/>
          <w:lang w:eastAsia="hi-IN" w:bidi="hi-IN"/>
        </w:rPr>
        <w:t>.</w:t>
      </w:r>
      <w:r w:rsidR="000D213D">
        <w:rPr>
          <w:rFonts w:ascii="Times New Roman" w:eastAsia="SimSun" w:hAnsi="Times New Roman" w:cs="Calibri"/>
          <w:color w:val="000000" w:themeColor="text1"/>
          <w:lang w:eastAsia="hi-IN" w:bidi="hi-IN"/>
        </w:rPr>
        <w:t xml:space="preserve"> </w:t>
      </w:r>
      <w:r w:rsidR="000C7EC0">
        <w:rPr>
          <w:rFonts w:ascii="Times New Roman" w:eastAsia="SimSun" w:hAnsi="Times New Roman" w:cs="Calibri"/>
          <w:color w:val="000000" w:themeColor="text1"/>
          <w:lang w:eastAsia="hi-IN" w:bidi="hi-IN"/>
        </w:rPr>
        <w:t>Also, d</w:t>
      </w:r>
      <w:r w:rsidR="0021247C">
        <w:rPr>
          <w:rFonts w:ascii="Times New Roman" w:eastAsia="SimSun" w:hAnsi="Times New Roman" w:cs="Calibri"/>
          <w:color w:val="000000" w:themeColor="text1"/>
          <w:lang w:eastAsia="hi-IN" w:bidi="hi-IN"/>
        </w:rPr>
        <w:t xml:space="preserve">ue to the nature of </w:t>
      </w:r>
      <w:r w:rsidR="003F2D62">
        <w:rPr>
          <w:rFonts w:ascii="Times New Roman" w:eastAsia="SimSun" w:hAnsi="Times New Roman" w:cs="Calibri"/>
          <w:color w:val="000000" w:themeColor="text1"/>
          <w:lang w:eastAsia="hi-IN" w:bidi="hi-IN"/>
        </w:rPr>
        <w:t>the</w:t>
      </w:r>
      <w:r w:rsidR="0021247C">
        <w:rPr>
          <w:rFonts w:ascii="Times New Roman" w:eastAsia="SimSun" w:hAnsi="Times New Roman" w:cs="Calibri"/>
          <w:color w:val="000000" w:themeColor="text1"/>
          <w:lang w:eastAsia="hi-IN" w:bidi="hi-IN"/>
        </w:rPr>
        <w:t xml:space="preserve"> </w:t>
      </w:r>
      <w:r w:rsidR="00DC6B32">
        <w:rPr>
          <w:rFonts w:ascii="Times New Roman" w:eastAsia="SimSun" w:hAnsi="Times New Roman" w:cs="Calibri"/>
          <w:color w:val="000000" w:themeColor="text1"/>
          <w:lang w:eastAsia="hi-IN" w:bidi="hi-IN"/>
        </w:rPr>
        <w:t>introduced traits, there could be concerns that the engineered corals will have a competitive advantage within the environment</w:t>
      </w:r>
      <w:r w:rsidR="00640DAC">
        <w:rPr>
          <w:rFonts w:ascii="Times New Roman" w:eastAsia="SimSun" w:hAnsi="Times New Roman" w:cs="Calibri"/>
          <w:color w:val="000000" w:themeColor="text1"/>
          <w:lang w:eastAsia="hi-IN" w:bidi="hi-IN"/>
        </w:rPr>
        <w:t>,</w:t>
      </w:r>
      <w:r w:rsidR="00EC6B04">
        <w:rPr>
          <w:rFonts w:ascii="Times New Roman" w:eastAsia="SimSun" w:hAnsi="Times New Roman" w:cs="Calibri"/>
          <w:color w:val="000000" w:themeColor="text1"/>
          <w:lang w:eastAsia="hi-IN" w:bidi="hi-IN"/>
        </w:rPr>
        <w:t xml:space="preserve"> </w:t>
      </w:r>
      <w:r w:rsidR="00B5210D">
        <w:rPr>
          <w:rFonts w:ascii="Times New Roman" w:eastAsia="SimSun" w:hAnsi="Times New Roman" w:cs="Calibri"/>
          <w:color w:val="000000" w:themeColor="text1"/>
          <w:lang w:eastAsia="hi-IN" w:bidi="hi-IN"/>
        </w:rPr>
        <w:t xml:space="preserve">consequentially </w:t>
      </w:r>
      <w:r w:rsidR="00EC6B04">
        <w:rPr>
          <w:rFonts w:ascii="Times New Roman" w:eastAsia="SimSun" w:hAnsi="Times New Roman" w:cs="Calibri"/>
          <w:color w:val="000000" w:themeColor="text1"/>
          <w:lang w:eastAsia="hi-IN" w:bidi="hi-IN"/>
        </w:rPr>
        <w:t>lead</w:t>
      </w:r>
      <w:r w:rsidR="00640DAC">
        <w:rPr>
          <w:rFonts w:ascii="Times New Roman" w:eastAsia="SimSun" w:hAnsi="Times New Roman" w:cs="Calibri"/>
          <w:color w:val="000000" w:themeColor="text1"/>
          <w:lang w:eastAsia="hi-IN" w:bidi="hi-IN"/>
        </w:rPr>
        <w:t>ing</w:t>
      </w:r>
      <w:r w:rsidR="00EC6B04">
        <w:rPr>
          <w:rFonts w:ascii="Times New Roman" w:eastAsia="SimSun" w:hAnsi="Times New Roman" w:cs="Calibri"/>
          <w:color w:val="000000" w:themeColor="text1"/>
          <w:lang w:eastAsia="hi-IN" w:bidi="hi-IN"/>
        </w:rPr>
        <w:t xml:space="preserve"> to a</w:t>
      </w:r>
      <w:r w:rsidR="00AE4B3C">
        <w:rPr>
          <w:rFonts w:ascii="Times New Roman" w:eastAsia="SimSun" w:hAnsi="Times New Roman" w:cs="Calibri"/>
          <w:color w:val="000000" w:themeColor="text1"/>
          <w:lang w:eastAsia="hi-IN" w:bidi="hi-IN"/>
        </w:rPr>
        <w:t>n overall</w:t>
      </w:r>
      <w:r w:rsidR="00EC6B04">
        <w:rPr>
          <w:rFonts w:ascii="Times New Roman" w:eastAsia="SimSun" w:hAnsi="Times New Roman" w:cs="Calibri"/>
          <w:color w:val="000000" w:themeColor="text1"/>
          <w:lang w:eastAsia="hi-IN" w:bidi="hi-IN"/>
        </w:rPr>
        <w:t xml:space="preserve"> decrease in genetic diversity</w:t>
      </w:r>
      <w:r w:rsidR="00DC6B32">
        <w:rPr>
          <w:rFonts w:ascii="Times New Roman" w:eastAsia="SimSun" w:hAnsi="Times New Roman" w:cs="Calibri"/>
          <w:color w:val="000000" w:themeColor="text1"/>
          <w:lang w:eastAsia="hi-IN" w:bidi="hi-IN"/>
        </w:rPr>
        <w:t xml:space="preserve"> </w:t>
      </w:r>
      <w:r w:rsidR="00753A2F">
        <w:rPr>
          <w:rFonts w:ascii="Times New Roman" w:eastAsia="SimSun" w:hAnsi="Times New Roman" w:cs="Calibri"/>
          <w:color w:val="000000" w:themeColor="text1"/>
          <w:lang w:eastAsia="hi-IN" w:bidi="hi-IN"/>
        </w:rPr>
        <w:fldChar w:fldCharType="begin" w:fldLock="1"/>
      </w:r>
      <w:r w:rsidR="001D4EB4">
        <w:rPr>
          <w:rFonts w:ascii="Times New Roman" w:eastAsia="SimSun" w:hAnsi="Times New Roman" w:cs="Calibri"/>
          <w:color w:val="000000" w:themeColor="text1"/>
          <w:lang w:eastAsia="hi-IN" w:bidi="hi-IN"/>
        </w:rPr>
        <w:instrText>ADDIN CSL_CITATION {"citationItems":[{"id":"ITEM-1","itemData":{"DOI":"10.3389/fmars.2019.00020","ISSN":"2296-7745","abstract":"Climate change is outpacing existing rates of evolution and adaptation for many marine organisms. Human societies are pushing hard to find new solutions to save and protect marine ecosystems, generating research on manipulating genetics of wild organisms for the goal of conservation. This - \"assisted evolution\" - raises challenging ethical questions because the intention is not to revert to a previous status quo, but to modify a community so that it survives better in the conditions we have created. In so doing, our role changes toward \"designers\" of nature, which requires a rethinking of what is natural, and whether altering or influencing genetics of wild organisms changes the way we conceptualize nature. Assisted evolution could also perpetuate damaging habits and dispositions, such as commodification and technological intervention, which have caused the harm in the first place. Even if we feel morally obliged to repair ecosystems, we still risk further havoc if our attempts to fix our damage are affected by ignorance. Still, from an ethical point of view, we offer cautious support for research on assisted evolution tools. However, we must be clear that we are using these approaches for our own benefit, and should only proceed when they are adequately understood and other options are exhausted. In many cases, we should instead focus our efforts on protecting what we can, minimizing future damage, and understanding future changes. Either way, we need stronger ethical regulations on applying assisted evolution techniques in marine conservation so that there is sufficient deliberation before we use these tools.","author":[{"dropping-particle":"","family":"Filbee-Dexter","given":"Karen","non-dropping-particle":"","parse-names":false,"suffix":""},{"dropping-particle":"","family":"Smajdor","given":"Anna","non-dropping-particle":"","parse-names":false,"suffix":""}],"container-title":"Frontiers in Marine Science","id":"ITEM-1","issue":"JAN","issued":{"date-parts":[["2019"]]},"page":"20","publisher":"Frontiers Media S.A.","title":"Ethics of Assisted Evolution in Marine Conservation","type":"article-journal","volume":"6"},"uris":["http://www.mendeley.com/documents/?uuid=422c9b08-5cbf-41e0-8cfc-281ead439734"]}],"mendeley":{"formattedCitation":"(Filbee-Dexter &amp; Smajdor, 2019)","plainTextFormattedCitation":"(Filbee-Dexter &amp; Smajdor, 2019)","previouslyFormattedCitation":"(Filbee-Dexter &amp; Smajdor, 2019)"},"properties":{"noteIndex":0},"schema":"https://github.com/citation-style-language/schema/raw/master/csl-citation.json"}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753A2F">
        <w:rPr>
          <w:rFonts w:ascii="Times New Roman" w:eastAsia="SimSun" w:hAnsi="Times New Roman" w:cs="Calibri"/>
          <w:noProof/>
          <w:color w:val="000000" w:themeColor="text1"/>
          <w:lang w:eastAsia="hi-IN" w:bidi="hi-IN"/>
        </w:rPr>
        <w:t>(Filbee-Dexter &amp; Smajdor, 2019)</w:t>
      </w:r>
      <w:r w:rsidR="00753A2F">
        <w:rPr>
          <w:rFonts w:ascii="Times New Roman" w:eastAsia="SimSun" w:hAnsi="Times New Roman" w:cs="Calibri"/>
          <w:color w:val="000000" w:themeColor="text1"/>
          <w:lang w:eastAsia="hi-IN" w:bidi="hi-IN"/>
        </w:rPr>
        <w:fldChar w:fldCharType="end"/>
      </w:r>
      <w:r w:rsidR="00356936">
        <w:rPr>
          <w:rFonts w:ascii="Times New Roman" w:eastAsia="SimSun" w:hAnsi="Times New Roman" w:cs="Calibri"/>
          <w:color w:val="000000" w:themeColor="text1"/>
          <w:lang w:eastAsia="hi-IN" w:bidi="hi-IN"/>
        </w:rPr>
        <w:t xml:space="preserve">. </w:t>
      </w:r>
      <w:r w:rsidR="00E33486">
        <w:rPr>
          <w:rFonts w:ascii="Times New Roman" w:eastAsia="SimSun" w:hAnsi="Times New Roman" w:cs="Calibri"/>
          <w:color w:val="000000" w:themeColor="text1"/>
          <w:lang w:eastAsia="hi-IN" w:bidi="hi-IN"/>
        </w:rPr>
        <w:t>Further, w</w:t>
      </w:r>
      <w:r w:rsidR="000D213D">
        <w:rPr>
          <w:rFonts w:ascii="Times New Roman" w:eastAsia="SimSun" w:hAnsi="Times New Roman" w:cs="Calibri"/>
          <w:color w:val="000000" w:themeColor="text1"/>
          <w:lang w:eastAsia="hi-IN" w:bidi="hi-IN"/>
        </w:rPr>
        <w:t>ith the application</w:t>
      </w:r>
      <w:r w:rsidR="006E167E">
        <w:rPr>
          <w:rFonts w:ascii="Times New Roman" w:eastAsia="SimSun" w:hAnsi="Times New Roman" w:cs="Calibri"/>
          <w:color w:val="000000" w:themeColor="text1"/>
          <w:lang w:eastAsia="hi-IN" w:bidi="hi-IN"/>
        </w:rPr>
        <w:t xml:space="preserve"> </w:t>
      </w:r>
      <w:r w:rsidR="00A11AB5">
        <w:rPr>
          <w:rFonts w:ascii="Times New Roman" w:eastAsia="SimSun" w:hAnsi="Times New Roman" w:cs="Calibri"/>
          <w:color w:val="000000" w:themeColor="text1"/>
          <w:lang w:eastAsia="hi-IN" w:bidi="hi-IN"/>
        </w:rPr>
        <w:t xml:space="preserve">of genome-editing techniques </w:t>
      </w:r>
      <w:r w:rsidR="006E167E">
        <w:rPr>
          <w:rFonts w:ascii="Times New Roman" w:eastAsia="SimSun" w:hAnsi="Times New Roman" w:cs="Calibri"/>
          <w:color w:val="000000" w:themeColor="text1"/>
          <w:lang w:eastAsia="hi-IN" w:bidi="hi-IN"/>
        </w:rPr>
        <w:t>in marine</w:t>
      </w:r>
      <w:r w:rsidR="000D213D">
        <w:rPr>
          <w:rFonts w:ascii="Times New Roman" w:eastAsia="SimSun" w:hAnsi="Times New Roman" w:cs="Calibri"/>
          <w:color w:val="000000" w:themeColor="text1"/>
          <w:lang w:eastAsia="hi-IN" w:bidi="hi-IN"/>
        </w:rPr>
        <w:t xml:space="preserve"> </w:t>
      </w:r>
      <w:r w:rsidR="00632F30">
        <w:rPr>
          <w:rFonts w:ascii="Times New Roman" w:eastAsia="SimSun" w:hAnsi="Times New Roman" w:cs="Calibri"/>
          <w:color w:val="000000" w:themeColor="text1"/>
          <w:lang w:eastAsia="hi-IN" w:bidi="hi-IN"/>
        </w:rPr>
        <w:t>resources</w:t>
      </w:r>
      <w:r w:rsidR="000D213D">
        <w:rPr>
          <w:rFonts w:ascii="Times New Roman" w:eastAsia="SimSun" w:hAnsi="Times New Roman" w:cs="Calibri"/>
          <w:color w:val="000000" w:themeColor="text1"/>
          <w:lang w:eastAsia="hi-IN" w:bidi="hi-IN"/>
        </w:rPr>
        <w:t>, there are concerns that</w:t>
      </w:r>
      <w:r w:rsidR="0026797F">
        <w:rPr>
          <w:rFonts w:ascii="Times New Roman" w:eastAsia="SimSun" w:hAnsi="Times New Roman" w:cs="Calibri"/>
          <w:color w:val="000000" w:themeColor="text1"/>
          <w:lang w:eastAsia="hi-IN" w:bidi="hi-IN"/>
        </w:rPr>
        <w:t xml:space="preserve"> off-t</w:t>
      </w:r>
      <w:r w:rsidR="00BE609B">
        <w:rPr>
          <w:rFonts w:ascii="Times New Roman" w:eastAsia="SimSun" w:hAnsi="Times New Roman" w:cs="Calibri"/>
          <w:color w:val="000000" w:themeColor="text1"/>
          <w:lang w:eastAsia="hi-IN" w:bidi="hi-IN"/>
        </w:rPr>
        <w:t xml:space="preserve">arget genomic changes </w:t>
      </w:r>
      <w:r w:rsidR="00EA2B00">
        <w:rPr>
          <w:rFonts w:ascii="Times New Roman" w:eastAsia="SimSun" w:hAnsi="Times New Roman" w:cs="Calibri"/>
          <w:color w:val="000000" w:themeColor="text1"/>
          <w:lang w:eastAsia="hi-IN" w:bidi="hi-IN"/>
        </w:rPr>
        <w:t xml:space="preserve">could lead to </w:t>
      </w:r>
      <w:r w:rsidR="004A56DD">
        <w:rPr>
          <w:rFonts w:ascii="Times New Roman" w:eastAsia="SimSun" w:hAnsi="Times New Roman" w:cs="Calibri"/>
          <w:color w:val="000000" w:themeColor="text1"/>
          <w:lang w:eastAsia="hi-IN" w:bidi="hi-IN"/>
        </w:rPr>
        <w:t>unwanted</w:t>
      </w:r>
      <w:r w:rsidR="00EA2B00">
        <w:rPr>
          <w:rFonts w:ascii="Times New Roman" w:eastAsia="SimSun" w:hAnsi="Times New Roman" w:cs="Calibri"/>
          <w:color w:val="000000" w:themeColor="text1"/>
          <w:lang w:eastAsia="hi-IN" w:bidi="hi-IN"/>
        </w:rPr>
        <w:t xml:space="preserve"> effects within the organism</w:t>
      </w:r>
      <w:r w:rsidR="00436703">
        <w:rPr>
          <w:rFonts w:ascii="Times New Roman" w:eastAsia="SimSun" w:hAnsi="Times New Roman" w:cs="Calibri"/>
          <w:color w:val="000000" w:themeColor="text1"/>
          <w:lang w:eastAsia="hi-IN" w:bidi="hi-IN"/>
        </w:rPr>
        <w:t xml:space="preserve"> and ecosystem</w:t>
      </w:r>
      <w:r w:rsidR="0096289F">
        <w:rPr>
          <w:rFonts w:ascii="Times New Roman" w:eastAsia="SimSun" w:hAnsi="Times New Roman" w:cs="Calibri"/>
          <w:color w:val="000000" w:themeColor="text1"/>
          <w:lang w:eastAsia="hi-IN" w:bidi="hi-IN"/>
        </w:rPr>
        <w:t xml:space="preserve">; something </w:t>
      </w:r>
      <w:r w:rsidR="00344E81">
        <w:rPr>
          <w:rFonts w:ascii="Times New Roman" w:eastAsia="SimSun" w:hAnsi="Times New Roman" w:cs="Calibri"/>
          <w:color w:val="000000" w:themeColor="text1"/>
          <w:lang w:eastAsia="hi-IN" w:bidi="hi-IN"/>
        </w:rPr>
        <w:t xml:space="preserve">that </w:t>
      </w:r>
      <w:r w:rsidR="000B549F">
        <w:rPr>
          <w:rFonts w:ascii="Times New Roman" w:eastAsia="SimSun" w:hAnsi="Times New Roman" w:cs="Calibri"/>
          <w:color w:val="000000" w:themeColor="text1"/>
          <w:lang w:eastAsia="hi-IN" w:bidi="hi-IN"/>
        </w:rPr>
        <w:t>remains</w:t>
      </w:r>
      <w:r w:rsidR="00344E81">
        <w:rPr>
          <w:rFonts w:ascii="Times New Roman" w:eastAsia="SimSun" w:hAnsi="Times New Roman" w:cs="Calibri"/>
          <w:color w:val="000000" w:themeColor="text1"/>
          <w:lang w:eastAsia="hi-IN" w:bidi="hi-IN"/>
        </w:rPr>
        <w:t xml:space="preserve"> to be </w:t>
      </w:r>
      <w:r w:rsidR="000B549F">
        <w:rPr>
          <w:rFonts w:ascii="Times New Roman" w:eastAsia="SimSun" w:hAnsi="Times New Roman" w:cs="Calibri"/>
          <w:color w:val="000000" w:themeColor="text1"/>
          <w:lang w:eastAsia="hi-IN" w:bidi="hi-IN"/>
        </w:rPr>
        <w:t>examined</w:t>
      </w:r>
      <w:r w:rsidR="00BB53AB">
        <w:rPr>
          <w:rFonts w:ascii="Times New Roman" w:eastAsia="SimSun" w:hAnsi="Times New Roman" w:cs="Calibri"/>
          <w:color w:val="000000" w:themeColor="text1"/>
          <w:lang w:eastAsia="hi-IN" w:bidi="hi-IN"/>
        </w:rPr>
        <w:t xml:space="preserve"> </w:t>
      </w:r>
      <w:r w:rsidR="008C26B3">
        <w:rPr>
          <w:rFonts w:ascii="Times New Roman" w:eastAsia="SimSun" w:hAnsi="Times New Roman" w:cs="Calibri"/>
          <w:color w:val="000000" w:themeColor="text1"/>
          <w:lang w:eastAsia="hi-IN" w:bidi="hi-IN"/>
        </w:rPr>
        <w:t xml:space="preserve">as </w:t>
      </w:r>
      <w:r w:rsidR="00592617">
        <w:rPr>
          <w:rFonts w:ascii="Times New Roman" w:eastAsia="SimSun" w:hAnsi="Times New Roman" w:cs="Calibri"/>
          <w:color w:val="000000" w:themeColor="text1"/>
          <w:lang w:eastAsia="hi-IN" w:bidi="hi-IN"/>
        </w:rPr>
        <w:t xml:space="preserve">no applications have been deployed to date </w:t>
      </w:r>
      <w:r w:rsidR="00753A2F">
        <w:rPr>
          <w:rFonts w:ascii="Times New Roman" w:eastAsia="SimSun" w:hAnsi="Times New Roman" w:cs="Calibri"/>
          <w:color w:val="000000" w:themeColor="text1"/>
          <w:lang w:eastAsia="hi-IN" w:bidi="hi-IN"/>
        </w:rPr>
        <w:fldChar w:fldCharType="begin" w:fldLock="1"/>
      </w:r>
      <w:r w:rsidR="001D4EB4">
        <w:rPr>
          <w:rFonts w:ascii="Times New Roman" w:eastAsia="SimSun" w:hAnsi="Times New Roman" w:cs="Calibri"/>
          <w:color w:val="000000" w:themeColor="text1"/>
          <w:lang w:eastAsia="hi-IN" w:bidi="hi-IN"/>
        </w:rPr>
        <w:instrText>ADDIN CSL_CITATION {"citationItems":[{"id":"ITEM-1","itemData":{"DOI":"10.2305/IUCN.CH.2019.05.en","ISBN":"9782831719733","editor":[{"dropping-particle":"","family":"Redford","given":"Kent H.","non-dropping-particle":"","parse-names":false,"suffix":""},{"dropping-particle":"","family":"Brooks","given":"Thomas M.","non-dropping-particle":"","parse-names":false,"suffix":""},{"dropping-particle":"","family":"Macfarlane","given":"Nicholas B.W.","non-dropping-particle":"","parse-names":false,"suffix":""},{"dropping-particle":"","family":"Adams","given":"Jonathan S.","non-dropping-particle":"","parse-names":false,"suffix":""}],"id":"ITEM-1","issued":{"date-parts":[["2019","5","6"]]},"publisher":"IUCN, International Union for Conservation of Nature","title":"Genetic frontiers for conservation: an assessment of synthetic biology and biodiversity conservation: technical assessment","type":"book"},"uris":["http://www.mendeley.com/documents/?uuid=9b6cd793-31c7-4755-8480-3345b89666d3"]}],"mendeley":{"formattedCitation":"(Redford et al., 2019)","manualFormatting":"(Redford et al., 2019","plainTextFormattedCitation":"(Redford et al., 2019)","previouslyFormattedCitation":"(Redford et al., 2019)"},"properties":{"noteIndex":0},"schema":"https://github.com/citation-style-language/schema/raw/master/csl-citation.json"}</w:instrText>
      </w:r>
      <w:r w:rsidR="00753A2F">
        <w:rPr>
          <w:rFonts w:ascii="Times New Roman" w:eastAsia="SimSun" w:hAnsi="Times New Roman" w:cs="Calibri"/>
          <w:color w:val="000000" w:themeColor="text1"/>
          <w:lang w:eastAsia="hi-IN" w:bidi="hi-IN"/>
        </w:rPr>
        <w:fldChar w:fldCharType="separate"/>
      </w:r>
      <w:r w:rsidR="00753A2F" w:rsidRPr="006004D4">
        <w:rPr>
          <w:rFonts w:ascii="Times New Roman" w:eastAsia="SimSun" w:hAnsi="Times New Roman" w:cs="Calibri"/>
          <w:noProof/>
          <w:color w:val="000000" w:themeColor="text1"/>
          <w:lang w:eastAsia="hi-IN" w:bidi="hi-IN"/>
        </w:rPr>
        <w:t>(</w:t>
      </w:r>
      <w:r w:rsidR="00753A2F" w:rsidRPr="00E439D7">
        <w:rPr>
          <w:rFonts w:ascii="Times New Roman" w:hAnsi="Times New Roman"/>
          <w:noProof/>
          <w:color w:val="000000" w:themeColor="text1"/>
          <w:lang w:eastAsia="ar-SA"/>
        </w:rPr>
        <w:t>Redford et al., 2019</w:t>
      </w:r>
      <w:r w:rsidR="00753A2F">
        <w:rPr>
          <w:rFonts w:ascii="Times New Roman" w:eastAsia="SimSun" w:hAnsi="Times New Roman" w:cs="Calibri"/>
          <w:color w:val="000000" w:themeColor="text1"/>
          <w:lang w:eastAsia="hi-IN" w:bidi="hi-IN"/>
        </w:rPr>
        <w:fldChar w:fldCharType="end"/>
      </w:r>
      <w:r w:rsidR="001D4EB4">
        <w:rPr>
          <w:rFonts w:ascii="Times New Roman" w:eastAsia="SimSun" w:hAnsi="Times New Roman" w:cs="Calibri"/>
          <w:color w:val="000000" w:themeColor="text1"/>
          <w:lang w:eastAsia="hi-IN" w:bidi="hi-IN"/>
        </w:rPr>
        <w:fldChar w:fldCharType="begin" w:fldLock="1"/>
      </w:r>
      <w:r w:rsidR="008F7670">
        <w:rPr>
          <w:rFonts w:ascii="Times New Roman" w:eastAsia="SimSun" w:hAnsi="Times New Roman" w:cs="Calibri"/>
          <w:color w:val="000000" w:themeColor="text1"/>
          <w:lang w:eastAsia="hi-IN" w:bidi="hi-IN"/>
        </w:rPr>
        <w:instrText>ADDIN CSL_CITATION {"citationItems":[{"id":"ITEM-1","itemData":{"DOI":"10.1126/science.aad0349","ISSN":"10959203","PMID":"26564846","abstract":"Coral reefs are highly dynamic ecosystems that are regularly exposed to natural perturbations. Human activities have increased the range, intensity, and frequency of disturbance to reefs. Threats such as overfishing and pollution are being compounded by climate change, notably warming and ocean acidification. Elevated temperatures are driving increasingly frequent bleaching events that can lead to the loss of both coral cover and reef structural complexity. There remains considerable variability in the distribution of threats and in the ability of reefs to survive or recover from such disturbances. Without significant emissions reductions, however, the future of coral reefs is increasingly bleak.","author":[{"dropping-particle":"","family":"Spalding","given":"Mark D","non-dropping-particle":"","parse-names":false,"suffix":""},{"dropping-particle":"","family":"Brown","given":"Barbara E","non-dropping-particle":"","parse-names":false,"suffix":""}],"container-title":"Science","id":"ITEM-1","issue":"6262","issued":{"date-parts":[["2015"]]},"page":"769-771","publisher":"American Association for the Advancement of Science","title":"Warm-water coral reefs and climate change","type":"article","volume":"350"},"uris":["http://www.mendeley.com/documents/?uuid=3296a451-294c-45d0-8fcf-52e49478d568"]},{"id":"ITEM-2","itemData":{"DOI":"10.1038/s41893-020-0522-9","ISSN":"23989629","abstract":"Life has evolved in the ocean for 3.7 billion years, resulting in a rich ‘ocean genome’, the ensemble of genetic material present in all marine biodiversity, including both the physical genes and the information they encode. Rapid advances in sequencing technologies and bioinformatics have enabled exploration of the ocean genome and are informing innovative approaches to conservation and a growing number of commercial biotechnology applications. However, the capacity to undertake genomic research and to access and use sequence data is inequitably distributed among countries, highlighting an urgent need to build capacity, promote inclusive innovation and increase access to affordable technologies.","author":[{"dropping-particle":"","family":"Blasiak","given":"R","non-dropping-particle":"","parse-names":false,"suffix":""},{"dropping-particle":"","family":"Wynberg","given":"R","non-dropping-particle":"","parse-names":false,"suffix":""},{"dropping-particle":"","family":"Grorud-Colvert","given":"K","non-dropping-particle":"","parse-names":false,"suffix":""},{"dropping-particle":"","family":"Thambisetty","given":"S","non-dropping-particle":"","parse-names":false,"suffix":""},{"dropping-particle":"","family":"Bandarra","given":"N M","non-dropping-particle":"","parse-names":false,"suffix":""},{"dropping-particle":"","family":"Canário","given":"A V M","non-dropping-particle":"","parse-names":false,"suffix":""},{"dropping-particle":"","family":"Silva","given":"J","non-dropping-particle":"da","parse-names":false,"suffix":""},{"dropping-particle":"","family":"Duarte","given":"C M","non-dropping-particle":"","parse-names":false,"suffix":""},{"dropping-particle":"","family":"Jaspars","given":"M","non-dropping-particle":"","parse-names":false,"suffix":""},{"dropping-particle":"","family":"Rogers","given":"A","non-dropping-particle":"","parse-names":false,"suffix":""},{"dropping-particle":"","family":"Sink","given":"K","non-dropping-particle":"","parse-names":false,"suffix":""},{"dropping-particle":"","family":"Wabnitz","given":"C C C","non-dropping-particle":"","parse-names":false,"suffix":""}],"container-title":"Nature Sustainability","id":"ITEM-2","issue":"8","issued":{"date-parts":[["2020"]]},"page":"588-596","publisher":"Nature Research","title":"The ocean genome and future prospects for conservation and equity","type":"article","volume":"3"},"uris":["http://www.mendeley.com/documents/?uuid=4a951250-c384-4cd0-835c-e73a044c56f4"]}],"mendeley":{"formattedCitation":"(Blasiak et al., 2020; Spalding &amp; Brown, 2015)","manualFormatting":"; Blasiak et al., 2020; Spalding &amp; Brown, 2015)","plainTextFormattedCitation":"(Blasiak et al., 2020; Spalding &amp; Brown, 2015)","previouslyFormattedCitation":"(Blasiak et al., 2020; Spalding &amp; Brown, 2015)"},"properties":{"noteIndex":0},"schema":"https://github.com/citation-style-language/schema/raw/master/csl-citation.json"}</w:instrText>
      </w:r>
      <w:r w:rsidR="001D4EB4">
        <w:rPr>
          <w:rFonts w:ascii="Times New Roman" w:eastAsia="SimSun" w:hAnsi="Times New Roman" w:cs="Calibri"/>
          <w:color w:val="000000" w:themeColor="text1"/>
          <w:lang w:eastAsia="hi-IN" w:bidi="hi-IN"/>
        </w:rPr>
        <w:fldChar w:fldCharType="separate"/>
      </w:r>
      <w:r w:rsidR="001D4EB4">
        <w:rPr>
          <w:rFonts w:ascii="Times New Roman" w:eastAsia="SimSun" w:hAnsi="Times New Roman" w:cs="Calibri"/>
          <w:noProof/>
          <w:color w:val="000000" w:themeColor="text1"/>
          <w:lang w:eastAsia="hi-IN" w:bidi="hi-IN"/>
        </w:rPr>
        <w:t xml:space="preserve">; </w:t>
      </w:r>
      <w:r w:rsidR="001D4EB4" w:rsidRPr="001D4EB4">
        <w:rPr>
          <w:rFonts w:ascii="Times New Roman" w:eastAsia="SimSun" w:hAnsi="Times New Roman" w:cs="Calibri"/>
          <w:noProof/>
          <w:color w:val="000000" w:themeColor="text1"/>
          <w:lang w:eastAsia="hi-IN" w:bidi="hi-IN"/>
        </w:rPr>
        <w:t>Blasiak et al., 2020; Spalding &amp; Brown, 2015)</w:t>
      </w:r>
      <w:r w:rsidR="001D4EB4">
        <w:rPr>
          <w:rFonts w:ascii="Times New Roman" w:eastAsia="SimSun" w:hAnsi="Times New Roman" w:cs="Calibri"/>
          <w:color w:val="000000" w:themeColor="text1"/>
          <w:lang w:eastAsia="hi-IN" w:bidi="hi-IN"/>
        </w:rPr>
        <w:fldChar w:fldCharType="end"/>
      </w:r>
      <w:r w:rsidR="00753A2F" w:rsidRPr="00DC1280">
        <w:rPr>
          <w:rFonts w:ascii="Times New Roman" w:eastAsia="SimSun" w:hAnsi="Times New Roman" w:cs="Calibri"/>
          <w:color w:val="000000" w:themeColor="text1"/>
          <w:lang w:eastAsia="hi-IN" w:bidi="hi-IN"/>
        </w:rPr>
        <w:t>.</w:t>
      </w:r>
      <w:r w:rsidR="006E167E">
        <w:rPr>
          <w:rFonts w:ascii="Times New Roman" w:eastAsia="SimSun" w:hAnsi="Times New Roman" w:cs="Calibri"/>
          <w:color w:val="000000" w:themeColor="text1"/>
          <w:lang w:eastAsia="hi-IN" w:bidi="hi-IN"/>
        </w:rPr>
        <w:t>.</w:t>
      </w:r>
      <w:r w:rsidR="00E41927">
        <w:rPr>
          <w:rFonts w:ascii="Times New Roman" w:eastAsia="SimSun" w:hAnsi="Times New Roman" w:cs="Calibri"/>
          <w:color w:val="000000" w:themeColor="text1"/>
          <w:lang w:eastAsia="hi-IN" w:bidi="hi-IN"/>
        </w:rPr>
        <w:t xml:space="preserve"> </w:t>
      </w:r>
      <w:r w:rsidR="001015F4">
        <w:rPr>
          <w:rFonts w:ascii="Times New Roman" w:eastAsia="SimSun" w:hAnsi="Times New Roman" w:cs="Calibri"/>
          <w:color w:val="000000" w:themeColor="text1"/>
          <w:lang w:eastAsia="hi-IN" w:bidi="hi-IN"/>
        </w:rPr>
        <w:t>Similarly, concerns have been raise</w:t>
      </w:r>
      <w:r w:rsidR="002D4947">
        <w:rPr>
          <w:rFonts w:ascii="Times New Roman" w:eastAsia="SimSun" w:hAnsi="Times New Roman" w:cs="Calibri"/>
          <w:color w:val="000000" w:themeColor="text1"/>
          <w:lang w:eastAsia="hi-IN" w:bidi="hi-IN"/>
        </w:rPr>
        <w:t>d</w:t>
      </w:r>
      <w:r w:rsidR="001015F4">
        <w:rPr>
          <w:rFonts w:ascii="Times New Roman" w:eastAsia="SimSun" w:hAnsi="Times New Roman" w:cs="Calibri"/>
          <w:color w:val="000000" w:themeColor="text1"/>
          <w:lang w:eastAsia="hi-IN" w:bidi="hi-IN"/>
        </w:rPr>
        <w:t xml:space="preserve"> </w:t>
      </w:r>
      <w:r w:rsidR="00A4354A">
        <w:rPr>
          <w:rFonts w:ascii="Times New Roman" w:eastAsia="SimSun" w:hAnsi="Times New Roman" w:cs="Calibri"/>
          <w:color w:val="000000" w:themeColor="text1"/>
          <w:lang w:eastAsia="hi-IN" w:bidi="hi-IN"/>
        </w:rPr>
        <w:t>regarding potenti</w:t>
      </w:r>
      <w:r w:rsidR="00AC2623">
        <w:rPr>
          <w:rFonts w:ascii="Times New Roman" w:eastAsia="SimSun" w:hAnsi="Times New Roman" w:cs="Calibri"/>
          <w:color w:val="000000" w:themeColor="text1"/>
          <w:lang w:eastAsia="hi-IN" w:bidi="hi-IN"/>
        </w:rPr>
        <w:t>al</w:t>
      </w:r>
      <w:r w:rsidR="001015F4">
        <w:rPr>
          <w:rFonts w:ascii="Times New Roman" w:eastAsia="SimSun" w:hAnsi="Times New Roman" w:cs="Calibri"/>
          <w:color w:val="000000" w:themeColor="text1"/>
          <w:lang w:eastAsia="hi-IN" w:bidi="hi-IN"/>
        </w:rPr>
        <w:t xml:space="preserve"> </w:t>
      </w:r>
      <w:r w:rsidR="000A2D2A" w:rsidRPr="000A2D2A">
        <w:rPr>
          <w:rFonts w:ascii="Times New Roman" w:eastAsia="SimSun" w:hAnsi="Times New Roman" w:cs="Calibri"/>
          <w:color w:val="000000" w:themeColor="text1"/>
          <w:lang w:eastAsia="hi-IN" w:bidi="hi-IN"/>
        </w:rPr>
        <w:t xml:space="preserve">effects </w:t>
      </w:r>
      <w:r w:rsidR="00AC2623">
        <w:rPr>
          <w:rFonts w:ascii="Times New Roman" w:eastAsia="SimSun" w:hAnsi="Times New Roman" w:cs="Calibri"/>
          <w:color w:val="000000" w:themeColor="text1"/>
          <w:lang w:eastAsia="hi-IN" w:bidi="hi-IN"/>
        </w:rPr>
        <w:t>on</w:t>
      </w:r>
      <w:r w:rsidR="00A4354A">
        <w:rPr>
          <w:rFonts w:ascii="Times New Roman" w:eastAsia="SimSun" w:hAnsi="Times New Roman" w:cs="Calibri"/>
          <w:color w:val="000000" w:themeColor="text1"/>
          <w:lang w:eastAsia="hi-IN" w:bidi="hi-IN"/>
        </w:rPr>
        <w:t xml:space="preserve"> </w:t>
      </w:r>
      <w:r w:rsidR="00F31FB5">
        <w:rPr>
          <w:rFonts w:ascii="Times New Roman" w:eastAsia="SimSun" w:hAnsi="Times New Roman" w:cs="Calibri"/>
          <w:color w:val="000000" w:themeColor="text1"/>
          <w:lang w:eastAsia="hi-IN" w:bidi="hi-IN"/>
        </w:rPr>
        <w:t>n</w:t>
      </w:r>
      <w:r w:rsidR="000A2D2A" w:rsidRPr="000A2D2A">
        <w:rPr>
          <w:rFonts w:ascii="Times New Roman" w:eastAsia="SimSun" w:hAnsi="Times New Roman" w:cs="Calibri"/>
          <w:color w:val="000000" w:themeColor="text1"/>
          <w:lang w:eastAsia="hi-IN" w:bidi="hi-IN"/>
        </w:rPr>
        <w:t>on-target population</w:t>
      </w:r>
      <w:r w:rsidR="00AC2623">
        <w:rPr>
          <w:rFonts w:ascii="Times New Roman" w:eastAsia="SimSun" w:hAnsi="Times New Roman" w:cs="Calibri"/>
          <w:color w:val="000000" w:themeColor="text1"/>
          <w:lang w:eastAsia="hi-IN" w:bidi="hi-IN"/>
        </w:rPr>
        <w:t>s, which</w:t>
      </w:r>
      <w:r w:rsidR="000A2D2A" w:rsidRPr="000A2D2A">
        <w:rPr>
          <w:rFonts w:ascii="Times New Roman" w:eastAsia="SimSun" w:hAnsi="Times New Roman" w:cs="Calibri"/>
          <w:color w:val="000000" w:themeColor="text1"/>
          <w:lang w:eastAsia="hi-IN" w:bidi="hi-IN"/>
        </w:rPr>
        <w:t xml:space="preserve"> could arise should</w:t>
      </w:r>
      <w:r w:rsidR="000A2D2A">
        <w:rPr>
          <w:rFonts w:ascii="Times New Roman" w:eastAsia="SimSun" w:hAnsi="Times New Roman" w:cs="Calibri"/>
          <w:color w:val="000000" w:themeColor="text1"/>
          <w:lang w:eastAsia="hi-IN" w:bidi="hi-IN"/>
        </w:rPr>
        <w:t xml:space="preserve"> </w:t>
      </w:r>
      <w:r w:rsidR="000A2D2A" w:rsidRPr="000A2D2A">
        <w:rPr>
          <w:rFonts w:ascii="Times New Roman" w:eastAsia="SimSun" w:hAnsi="Times New Roman" w:cs="Calibri"/>
          <w:color w:val="000000" w:themeColor="text1"/>
          <w:lang w:eastAsia="hi-IN" w:bidi="hi-IN"/>
        </w:rPr>
        <w:t>genetically modified stages disperse from the</w:t>
      </w:r>
      <w:r w:rsidR="00387E08">
        <w:rPr>
          <w:rFonts w:ascii="Times New Roman" w:eastAsia="SimSun" w:hAnsi="Times New Roman" w:cs="Calibri"/>
          <w:color w:val="000000" w:themeColor="text1"/>
          <w:lang w:eastAsia="hi-IN" w:bidi="hi-IN"/>
        </w:rPr>
        <w:t xml:space="preserve"> </w:t>
      </w:r>
      <w:r w:rsidR="000A2D2A" w:rsidRPr="000A2D2A">
        <w:rPr>
          <w:rFonts w:ascii="Times New Roman" w:eastAsia="SimSun" w:hAnsi="Times New Roman" w:cs="Calibri"/>
          <w:color w:val="000000" w:themeColor="text1"/>
          <w:lang w:eastAsia="hi-IN" w:bidi="hi-IN"/>
        </w:rPr>
        <w:t>populations targeted for management to other</w:t>
      </w:r>
      <w:r w:rsidR="00387E08">
        <w:rPr>
          <w:rFonts w:ascii="Times New Roman" w:eastAsia="SimSun" w:hAnsi="Times New Roman" w:cs="Calibri"/>
          <w:color w:val="000000" w:themeColor="text1"/>
          <w:lang w:eastAsia="hi-IN" w:bidi="hi-IN"/>
        </w:rPr>
        <w:t xml:space="preserve"> </w:t>
      </w:r>
      <w:r w:rsidR="000A2D2A" w:rsidRPr="000A2D2A">
        <w:rPr>
          <w:rFonts w:ascii="Times New Roman" w:eastAsia="SimSun" w:hAnsi="Times New Roman" w:cs="Calibri"/>
          <w:color w:val="000000" w:themeColor="text1"/>
          <w:lang w:eastAsia="hi-IN" w:bidi="hi-IN"/>
        </w:rPr>
        <w:t>populations of the same coral host or symbiont</w:t>
      </w:r>
      <w:r w:rsidR="00AC2623">
        <w:rPr>
          <w:rFonts w:ascii="Times New Roman" w:eastAsia="SimSun" w:hAnsi="Times New Roman" w:cs="Calibri"/>
          <w:color w:val="000000" w:themeColor="text1"/>
          <w:lang w:eastAsia="hi-IN" w:bidi="hi-IN"/>
        </w:rPr>
        <w:t xml:space="preserve"> </w:t>
      </w:r>
      <w:r w:rsidR="00921AFE">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{"citationItems":[{"id":"ITEM-1","itemData":{"DOI":"10.2305/IUCN.CH.2019.05.en","ISBN":"9782831719733","editor":[{"dropping-particle":"","family":"Redford","given":"Kent H.","non-dropping-particle":"","parse-names":false,"suffix":""},{"dropping-particle":"","family":"Brooks","given":"Thomas M.","non-dropping-particle":"","parse-names":false,"suffix":""},{"dropping-particle":"","family":"Macfarlane","given":"Nicholas B.W.","non-dropping-particle":"","parse-names":false,"suffix":""},{"dropping-particle":"","family":"Adams","given":"Jonathan S.","non-dropping-particle":"","parse-names":false,"suffix":""}],"id":"ITEM-1","issued":{"date-parts":[["2019","5","6"]]},"publisher":"IUCN, International Union for Conservation of Nature","title":"Genetic frontiers for conservation: an assessment of synthetic biology and biodiversity conservation: technical assessment","type":"book"},"uris":["http://www.mendeley.com/documents/?uuid=9b6cd793-31c7-4755-8480-3345b89666d3"]}],"mendeley":{"formattedCitation":"(Redford et al., 2019)","manualFormatting":"(Redford et al., 2019)","plainTextFormattedCitation":"(Redford et al., 2019)","previouslyFormattedCitation":"(Redford et al., 2019)"},"properties":{"noteIndex":0},"schema":"https://github.com/citation-style-language/schema/raw/master/csl-citation.json"}</w:instrText>
      </w:r>
      <w:r w:rsidR="00921AFE">
        <w:rPr>
          <w:rFonts w:ascii="Times New Roman" w:eastAsia="SimSun" w:hAnsi="Times New Roman" w:cs="Calibri"/>
          <w:color w:val="000000" w:themeColor="text1"/>
          <w:lang w:eastAsia="hi-IN" w:bidi="hi-IN"/>
        </w:rPr>
        <w:fldChar w:fldCharType="separate"/>
      </w:r>
      <w:r w:rsidR="00921AFE" w:rsidRPr="00A941BF">
        <w:rPr>
          <w:rFonts w:ascii="Times New Roman" w:eastAsia="SimSun" w:hAnsi="Times New Roman" w:cs="Calibri"/>
          <w:noProof/>
          <w:color w:val="000000" w:themeColor="text1"/>
          <w:lang w:eastAsia="hi-IN" w:bidi="hi-IN"/>
        </w:rPr>
        <w:t>(</w:t>
      </w:r>
      <w:r w:rsidR="00D40F51" w:rsidRPr="00E439D7">
        <w:rPr>
          <w:rFonts w:ascii="Times New Roman" w:hAnsi="Times New Roman"/>
          <w:noProof/>
          <w:color w:val="000000" w:themeColor="text1"/>
          <w:lang w:eastAsia="ar-SA"/>
        </w:rPr>
        <w:t>Redford et al., 2019</w:t>
      </w:r>
      <w:r w:rsidR="00921AFE" w:rsidRPr="00921AFE">
        <w:rPr>
          <w:rFonts w:ascii="Times New Roman" w:eastAsia="SimSun" w:hAnsi="Times New Roman" w:cs="Calibri"/>
          <w:noProof/>
          <w:color w:val="000000" w:themeColor="text1"/>
          <w:lang w:eastAsia="hi-IN" w:bidi="hi-IN"/>
        </w:rPr>
        <w:t>)</w:t>
      </w:r>
      <w:r w:rsidR="00921AFE">
        <w:rPr>
          <w:rFonts w:ascii="Times New Roman" w:eastAsia="SimSun" w:hAnsi="Times New Roman" w:cs="Calibri"/>
          <w:color w:val="000000" w:themeColor="text1"/>
          <w:lang w:eastAsia="hi-IN" w:bidi="hi-IN"/>
        </w:rPr>
        <w:fldChar w:fldCharType="end"/>
      </w:r>
      <w:r w:rsidR="00063D42">
        <w:rPr>
          <w:rFonts w:ascii="Times New Roman" w:eastAsia="SimSun" w:hAnsi="Times New Roman" w:cs="Calibri"/>
          <w:color w:val="000000" w:themeColor="text1"/>
          <w:lang w:eastAsia="hi-IN" w:bidi="hi-IN"/>
        </w:rPr>
        <w:t>.</w:t>
      </w:r>
    </w:p>
    <w:p w14:paraId="34FB9493" w14:textId="20CCD2CC" w:rsidR="00756F1F" w:rsidRPr="00536C18" w:rsidRDefault="005E280F" w:rsidP="00756F1F">
      <w:pPr>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Concerning carbon emissions, c</w:t>
      </w:r>
      <w:r w:rsidR="00756F1F" w:rsidRPr="00756F1F">
        <w:rPr>
          <w:rFonts w:ascii="Times New Roman" w:eastAsia="SimSun" w:hAnsi="Times New Roman" w:cs="Calibri"/>
          <w:color w:val="000000" w:themeColor="text1"/>
          <w:lang w:eastAsia="hi-IN" w:bidi="hi-IN"/>
        </w:rPr>
        <w:t>limate</w:t>
      </w:r>
      <w:r w:rsidR="00756F1F">
        <w:rPr>
          <w:rFonts w:ascii="Times New Roman" w:eastAsia="SimSun" w:hAnsi="Times New Roman" w:cs="Calibri"/>
          <w:color w:val="000000" w:themeColor="text1"/>
          <w:lang w:eastAsia="hi-IN" w:bidi="hi-IN"/>
        </w:rPr>
        <w:t xml:space="preserve"> change </w:t>
      </w:r>
      <w:r w:rsidR="0077556B">
        <w:rPr>
          <w:rFonts w:ascii="Times New Roman" w:eastAsia="SimSun" w:hAnsi="Times New Roman" w:cs="Calibri"/>
          <w:color w:val="000000" w:themeColor="text1"/>
          <w:lang w:eastAsia="hi-IN" w:bidi="hi-IN"/>
        </w:rPr>
        <w:t>due to</w:t>
      </w:r>
      <w:r w:rsidR="00756F1F" w:rsidRPr="00756F1F">
        <w:rPr>
          <w:rFonts w:ascii="Times New Roman" w:eastAsia="SimSun" w:hAnsi="Times New Roman" w:cs="Calibri"/>
          <w:color w:val="000000" w:themeColor="text1"/>
          <w:lang w:eastAsia="hi-IN" w:bidi="hi-IN"/>
        </w:rPr>
        <w:t xml:space="preserve"> </w:t>
      </w:r>
      <w:r>
        <w:rPr>
          <w:rFonts w:ascii="Times New Roman" w:eastAsia="SimSun" w:hAnsi="Times New Roman" w:cs="Calibri"/>
          <w:color w:val="000000" w:themeColor="text1"/>
          <w:lang w:eastAsia="hi-IN" w:bidi="hi-IN"/>
        </w:rPr>
        <w:t>these</w:t>
      </w:r>
      <w:r w:rsidR="00756F1F" w:rsidRPr="00756F1F">
        <w:rPr>
          <w:rFonts w:ascii="Times New Roman" w:eastAsia="SimSun" w:hAnsi="Times New Roman" w:cs="Calibri"/>
          <w:color w:val="000000" w:themeColor="text1"/>
          <w:lang w:eastAsia="hi-IN" w:bidi="hi-IN"/>
        </w:rPr>
        <w:t xml:space="preserve"> emissions has been linked to losses in biodiversity </w:t>
      </w:r>
      <w:r w:rsidR="008F7670">
        <w:rPr>
          <w:rFonts w:ascii="Times New Roman" w:eastAsia="SimSun" w:hAnsi="Times New Roman" w:cs="Calibri"/>
          <w:color w:val="000000" w:themeColor="text1"/>
          <w:lang w:eastAsia="hi-IN" w:bidi="hi-IN"/>
        </w:rPr>
        <w:fldChar w:fldCharType="begin" w:fldLock="1"/>
      </w:r>
      <w:r w:rsidR="00315C3D">
        <w:rPr>
          <w:rFonts w:ascii="Times New Roman" w:eastAsia="SimSun" w:hAnsi="Times New Roman" w:cs="Calibri"/>
          <w:color w:val="000000" w:themeColor="text1"/>
          <w:lang w:eastAsia="hi-IN" w:bidi="hi-IN"/>
        </w:rPr>
        <w:instrText>ADDIN CSL_CITATION {"citationItems":[{"id":"ITEM-1","itemData":{"ISBN":"9789292256883","author":[{"dropping-particle":"","family":"Secretariat of the Convention on Biological Diversity","given":"","non-dropping-particle":"","parse-names":false,"suffix":""}],"id":"ITEM-1","issued":{"date-parts":[["2020"]]},"number-of-pages":"208","publisher-place":"Montreal, Canada","title":"Global Biodiversity Outlook 5","type":"report"},"uris":["http://www.mendeley.com/documents/?uuid=549aef59-9618-4f4e-8070-4ab91ac95ae4"]}],"mendeley":{"formattedCitation":"(Secretariat of the Convention on Biological Diversity, 2020a)","plainTextFormattedCitation":"(Secretariat of the Convention on Biological Diversity, 2020a)","previouslyFormattedCitation":"(Secretariat of the Convention on Biological Diversity, 2020a)"},"properties":{"noteIndex":0},"schema":"https://github.com/citation-style-language/schema/raw/master/csl-citation.json"}</w:instrText>
      </w:r>
      <w:r w:rsidR="008F7670">
        <w:rPr>
          <w:rFonts w:ascii="Times New Roman" w:eastAsia="SimSun" w:hAnsi="Times New Roman" w:cs="Calibri"/>
          <w:color w:val="000000" w:themeColor="text1"/>
          <w:lang w:eastAsia="hi-IN" w:bidi="hi-IN"/>
        </w:rPr>
        <w:fldChar w:fldCharType="separate"/>
      </w:r>
      <w:r w:rsidR="005C0F9E" w:rsidRPr="005C0F9E">
        <w:rPr>
          <w:rFonts w:ascii="Times New Roman" w:eastAsia="SimSun" w:hAnsi="Times New Roman" w:cs="Calibri"/>
          <w:noProof/>
          <w:color w:val="000000" w:themeColor="text1"/>
          <w:lang w:eastAsia="hi-IN" w:bidi="hi-IN"/>
        </w:rPr>
        <w:t>(Secretariat of the Convention on Biological Diversity, 2020a)</w:t>
      </w:r>
      <w:r w:rsidR="008F7670">
        <w:rPr>
          <w:rFonts w:ascii="Times New Roman" w:eastAsia="SimSun" w:hAnsi="Times New Roman" w:cs="Calibri"/>
          <w:color w:val="000000" w:themeColor="text1"/>
          <w:lang w:eastAsia="hi-IN" w:bidi="hi-IN"/>
        </w:rPr>
        <w:fldChar w:fldCharType="end"/>
      </w:r>
      <w:r w:rsidR="00756F1F" w:rsidRPr="00756F1F">
        <w:rPr>
          <w:rFonts w:ascii="Times New Roman" w:eastAsia="SimSun" w:hAnsi="Times New Roman" w:cs="Calibri"/>
          <w:color w:val="000000" w:themeColor="text1"/>
          <w:lang w:eastAsia="hi-IN" w:bidi="hi-IN"/>
        </w:rPr>
        <w:t xml:space="preserve">. Thus, there is a greater need to reduce greenhouse gas emissions in many areas, including </w:t>
      </w:r>
      <w:r w:rsidR="0040340D">
        <w:rPr>
          <w:rFonts w:ascii="Times New Roman" w:eastAsia="SimSun" w:hAnsi="Times New Roman" w:cs="Calibri"/>
          <w:color w:val="000000" w:themeColor="text1"/>
          <w:lang w:eastAsia="hi-IN" w:bidi="hi-IN"/>
        </w:rPr>
        <w:t>the</w:t>
      </w:r>
      <w:r w:rsidR="00756F1F" w:rsidRPr="00756F1F">
        <w:rPr>
          <w:rFonts w:ascii="Times New Roman" w:eastAsia="SimSun" w:hAnsi="Times New Roman" w:cs="Calibri"/>
          <w:color w:val="000000" w:themeColor="text1"/>
          <w:lang w:eastAsia="hi-IN" w:bidi="hi-IN"/>
        </w:rPr>
        <w:t xml:space="preserve"> industrial production of chemicals and fuel. </w:t>
      </w:r>
      <w:r w:rsidR="00713C18">
        <w:rPr>
          <w:rFonts w:ascii="Times New Roman" w:eastAsia="SimSun" w:hAnsi="Times New Roman" w:cs="Calibri"/>
          <w:color w:val="000000" w:themeColor="text1"/>
          <w:lang w:eastAsia="hi-IN" w:bidi="hi-IN"/>
        </w:rPr>
        <w:t>Potential impacts are linked to c</w:t>
      </w:r>
      <w:r w:rsidR="00756F1F" w:rsidRPr="00536C18">
        <w:rPr>
          <w:rFonts w:ascii="Times New Roman" w:eastAsia="SimSun" w:hAnsi="Times New Roman" w:cs="Calibri"/>
          <w:color w:val="000000" w:themeColor="text1"/>
          <w:lang w:eastAsia="hi-IN" w:bidi="hi-IN"/>
        </w:rPr>
        <w:t>laims that there could be significant benefits for biodiversity from replacing fossil fuel energy sources with bioenergy</w:t>
      </w:r>
      <w:r w:rsidR="00713C18">
        <w:rPr>
          <w:rFonts w:ascii="Times New Roman" w:eastAsia="SimSun" w:hAnsi="Times New Roman" w:cs="Calibri"/>
          <w:color w:val="000000" w:themeColor="text1"/>
          <w:lang w:eastAsia="hi-IN" w:bidi="hi-IN"/>
        </w:rPr>
        <w:t xml:space="preserve">; which </w:t>
      </w:r>
      <w:r w:rsidR="00756F1F" w:rsidRPr="00536C18">
        <w:rPr>
          <w:rFonts w:ascii="Times New Roman" w:eastAsia="SimSun" w:hAnsi="Times New Roman" w:cs="Calibri"/>
          <w:color w:val="000000" w:themeColor="text1"/>
          <w:lang w:eastAsia="hi-IN" w:bidi="hi-IN"/>
        </w:rPr>
        <w:t>are based on the premise that these approaches could reduce global dependenc</w:t>
      </w:r>
      <w:r w:rsidR="005D59EE">
        <w:rPr>
          <w:rFonts w:ascii="Times New Roman" w:eastAsia="SimSun" w:hAnsi="Times New Roman" w:cs="Calibri"/>
          <w:color w:val="000000" w:themeColor="text1"/>
          <w:lang w:eastAsia="hi-IN" w:bidi="hi-IN"/>
        </w:rPr>
        <w:t>y</w:t>
      </w:r>
      <w:r w:rsidR="00756F1F" w:rsidRPr="00536C18">
        <w:rPr>
          <w:rFonts w:ascii="Times New Roman" w:eastAsia="SimSun" w:hAnsi="Times New Roman" w:cs="Calibri"/>
          <w:color w:val="000000" w:themeColor="text1"/>
          <w:lang w:eastAsia="hi-IN" w:bidi="hi-IN"/>
        </w:rPr>
        <w:t xml:space="preserve"> on fossil fuels and cut harmful emissions at a significant scale </w:t>
      </w:r>
      <w:r w:rsidR="008F7670">
        <w:rPr>
          <w:rFonts w:ascii="Times New Roman" w:eastAsia="SimSun" w:hAnsi="Times New Roman" w:cs="Calibri"/>
          <w:color w:val="000000" w:themeColor="text1"/>
          <w:lang w:eastAsia="hi-IN" w:bidi="hi-IN"/>
        </w:rPr>
        <w:fldChar w:fldCharType="begin" w:fldLock="1"/>
      </w:r>
      <w:r w:rsidR="003F7336">
        <w:rPr>
          <w:rFonts w:ascii="Times New Roman" w:eastAsia="SimSun" w:hAnsi="Times New Roman" w:cs="Calibri"/>
          <w:color w:val="000000" w:themeColor="text1"/>
          <w:lang w:eastAsia="hi-IN" w:bidi="hi-IN"/>
        </w:rPr>
        <w:instrText>ADDIN CSL_CITATION {"citationItems":[{"id":"ITEM-1","itemData":{"author":[{"dropping-particle":"","family":"Presidential Commission for the Study of Bioethical Issues","given":"","non-dropping-particle":"","parse-names":false,"suffix":""}],"id":"ITEM-1","issued":{"date-parts":[["2010"]]},"title":"New Directions: The Ethics of Synthetic Biology and Emerging Technologies","type":"article"},"uris":["http://www.mendeley.com/documents/?uuid=d4b11ad4-29d7-42e8-a4b8-3013539ebc9d"]}],"mendeley":{"formattedCitation":"(Presidential Commission for the Study of Bioethical Issues, 2010)","manualFormatting":"(PCSBI, 2010)","plainTextFormattedCitation":"(Presidential Commission for the Study of Bioethical Issues, 2010)","previouslyFormattedCitation":"(Presidential Commission for the Study of Bioethical Issues, 2010)"},"properties":{"noteIndex":0},"schema":"https://github.com/citation-style-language/schema/raw/master/csl-citation.json"}</w:instrText>
      </w:r>
      <w:r w:rsidR="008F7670">
        <w:rPr>
          <w:rFonts w:ascii="Times New Roman" w:eastAsia="SimSun" w:hAnsi="Times New Roman" w:cs="Calibri"/>
          <w:color w:val="000000" w:themeColor="text1"/>
          <w:lang w:eastAsia="hi-IN" w:bidi="hi-IN"/>
        </w:rPr>
        <w:fldChar w:fldCharType="separate"/>
      </w:r>
      <w:r w:rsidR="003F7336">
        <w:rPr>
          <w:rFonts w:ascii="Times New Roman" w:eastAsia="SimSun" w:hAnsi="Times New Roman" w:cs="Calibri"/>
          <w:noProof/>
          <w:color w:val="000000" w:themeColor="text1"/>
          <w:lang w:eastAsia="hi-IN" w:bidi="hi-IN"/>
        </w:rPr>
        <w:t>(PCSBI</w:t>
      </w:r>
      <w:r w:rsidR="008F7670" w:rsidRPr="008F7670">
        <w:rPr>
          <w:rFonts w:ascii="Times New Roman" w:eastAsia="SimSun" w:hAnsi="Times New Roman" w:cs="Calibri"/>
          <w:noProof/>
          <w:color w:val="000000" w:themeColor="text1"/>
          <w:lang w:eastAsia="hi-IN" w:bidi="hi-IN"/>
        </w:rPr>
        <w:t>, 2010)</w:t>
      </w:r>
      <w:r w:rsidR="008F7670">
        <w:rPr>
          <w:rFonts w:ascii="Times New Roman" w:eastAsia="SimSun" w:hAnsi="Times New Roman" w:cs="Calibri"/>
          <w:color w:val="000000" w:themeColor="text1"/>
          <w:lang w:eastAsia="hi-IN" w:bidi="hi-IN"/>
        </w:rPr>
        <w:fldChar w:fldCharType="end"/>
      </w:r>
      <w:r w:rsidR="00756F1F" w:rsidRPr="00536C18">
        <w:rPr>
          <w:rFonts w:ascii="Times New Roman" w:eastAsia="SimSun" w:hAnsi="Times New Roman" w:cs="Calibri"/>
          <w:color w:val="000000" w:themeColor="text1"/>
          <w:lang w:eastAsia="hi-IN" w:bidi="hi-IN"/>
        </w:rPr>
        <w:t xml:space="preserve">. </w:t>
      </w:r>
      <w:r w:rsidR="000E7A11">
        <w:rPr>
          <w:rFonts w:ascii="Times New Roman" w:eastAsia="SimSun" w:hAnsi="Times New Roman" w:cs="Calibri"/>
          <w:color w:val="000000" w:themeColor="text1"/>
          <w:lang w:eastAsia="hi-IN" w:bidi="hi-IN"/>
        </w:rPr>
        <w:t xml:space="preserve">In this sense, </w:t>
      </w:r>
      <w:r w:rsidR="000E7A11" w:rsidRPr="00B11D64">
        <w:rPr>
          <w:rFonts w:ascii="Times New Roman" w:eastAsia="SimSun" w:hAnsi="Times New Roman" w:cs="Calibri"/>
          <w:color w:val="000000" w:themeColor="text1"/>
          <w:lang w:eastAsia="hi-IN" w:bidi="hi-IN"/>
        </w:rPr>
        <w:t>s</w:t>
      </w:r>
      <w:r w:rsidR="00756F1F" w:rsidRPr="00B11D64">
        <w:rPr>
          <w:rFonts w:ascii="Times New Roman" w:eastAsia="SimSun" w:hAnsi="Times New Roman" w:cs="Calibri"/>
          <w:color w:val="000000" w:themeColor="text1"/>
          <w:lang w:eastAsia="hi-IN" w:bidi="hi-IN"/>
        </w:rPr>
        <w:t xml:space="preserve">ynthetic biology </w:t>
      </w:r>
      <w:r w:rsidR="007A3A6A">
        <w:rPr>
          <w:rFonts w:ascii="Times New Roman" w:eastAsia="SimSun" w:hAnsi="Times New Roman" w:cs="Calibri"/>
          <w:color w:val="000000" w:themeColor="text1"/>
          <w:lang w:eastAsia="hi-IN" w:bidi="hi-IN"/>
        </w:rPr>
        <w:t xml:space="preserve">is </w:t>
      </w:r>
      <w:r w:rsidR="00756F1F" w:rsidRPr="00B11D64">
        <w:rPr>
          <w:rFonts w:ascii="Times New Roman" w:eastAsia="SimSun" w:hAnsi="Times New Roman" w:cs="Calibri"/>
          <w:color w:val="000000" w:themeColor="text1"/>
          <w:lang w:eastAsia="hi-IN" w:bidi="hi-IN"/>
        </w:rPr>
        <w:t>be</w:t>
      </w:r>
      <w:r w:rsidR="000D3FBB" w:rsidRPr="00B11D64">
        <w:rPr>
          <w:rFonts w:ascii="Times New Roman" w:eastAsia="SimSun" w:hAnsi="Times New Roman" w:cs="Calibri"/>
          <w:color w:val="000000" w:themeColor="text1"/>
          <w:lang w:eastAsia="hi-IN" w:bidi="hi-IN"/>
        </w:rPr>
        <w:t>ing</w:t>
      </w:r>
      <w:r w:rsidR="00756F1F" w:rsidRPr="00B11D64">
        <w:rPr>
          <w:rFonts w:ascii="Times New Roman" w:eastAsia="SimSun" w:hAnsi="Times New Roman" w:cs="Calibri"/>
          <w:color w:val="000000" w:themeColor="text1"/>
          <w:lang w:eastAsia="hi-IN" w:bidi="hi-IN"/>
        </w:rPr>
        <w:t xml:space="preserve"> used</w:t>
      </w:r>
      <w:r w:rsidR="00756F1F" w:rsidRPr="00536C18">
        <w:rPr>
          <w:rFonts w:ascii="Times New Roman" w:eastAsia="SimSun" w:hAnsi="Times New Roman" w:cs="Calibri"/>
          <w:color w:val="000000" w:themeColor="text1"/>
          <w:lang w:eastAsia="hi-IN" w:bidi="hi-IN"/>
        </w:rPr>
        <w:t xml:space="preserve"> in designing “next generation” biofuels </w:t>
      </w:r>
      <w:r w:rsidR="00E705B9">
        <w:rPr>
          <w:rFonts w:ascii="Times New Roman" w:eastAsia="SimSun" w:hAnsi="Times New Roman" w:cs="Calibri"/>
          <w:color w:val="000000" w:themeColor="text1"/>
          <w:lang w:eastAsia="hi-IN" w:bidi="hi-IN"/>
        </w:rPr>
        <w:t>(Sections 3.3.1(b)</w:t>
      </w:r>
      <w:r w:rsidR="007A3A6A">
        <w:rPr>
          <w:rFonts w:ascii="Times New Roman" w:eastAsia="SimSun" w:hAnsi="Times New Roman" w:cs="Calibri"/>
          <w:color w:val="000000" w:themeColor="text1"/>
          <w:lang w:eastAsia="hi-IN" w:bidi="hi-IN"/>
        </w:rPr>
        <w:t>.</w:t>
      </w:r>
      <w:r w:rsidR="003A54B4">
        <w:rPr>
          <w:rFonts w:ascii="Times New Roman" w:eastAsia="SimSun" w:hAnsi="Times New Roman" w:cs="Calibri"/>
          <w:color w:val="000000" w:themeColor="text1"/>
          <w:lang w:eastAsia="hi-IN" w:bidi="hi-IN"/>
        </w:rPr>
        <w:t xml:space="preserve"> &amp; 3.3.2(a)</w:t>
      </w:r>
      <w:r w:rsidR="003569A8">
        <w:rPr>
          <w:rFonts w:ascii="Times New Roman" w:eastAsia="SimSun" w:hAnsi="Times New Roman" w:cs="Calibri"/>
          <w:color w:val="000000" w:themeColor="text1"/>
          <w:lang w:eastAsia="hi-IN" w:bidi="hi-IN"/>
        </w:rPr>
        <w:t>.</w:t>
      </w:r>
      <w:r w:rsidR="003A54B4">
        <w:rPr>
          <w:rFonts w:ascii="Times New Roman" w:eastAsia="SimSun" w:hAnsi="Times New Roman" w:cs="Calibri"/>
          <w:color w:val="000000" w:themeColor="text1"/>
          <w:lang w:eastAsia="hi-IN" w:bidi="hi-IN"/>
        </w:rPr>
        <w:t xml:space="preserve">) </w:t>
      </w:r>
      <w:r w:rsidR="00756F1F" w:rsidRPr="00536C18">
        <w:rPr>
          <w:rFonts w:ascii="Times New Roman" w:eastAsia="SimSun" w:hAnsi="Times New Roman" w:cs="Calibri"/>
          <w:color w:val="000000" w:themeColor="text1"/>
          <w:lang w:eastAsia="hi-IN" w:bidi="hi-IN"/>
        </w:rPr>
        <w:t xml:space="preserve">that, it is hoped, will overcome challenges of “first generation” biofuels made from food crops </w:t>
      </w:r>
      <w:r w:rsidR="00625D62">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{"citationItems":[{"id":"ITEM-1","itemData":{"ISBN":"978-1-909327-34-4","author":[{"dropping-particle":"","family":"Royal Academy of Engineering","given":"","non-dropping-particle":"","parse-names":false,"suffix":""}],"id":"ITEM-1","issued":{"date-parts":[["2017","7"]]},"title":"Sustainability of liquid biofuels","type":"report"},"uris":["http://www.mendeley.com/documents/?uuid=8cda619e-5ca9-307e-8a54-030406c81b73","http://www.mendeley.com/documents/?uuid=bc55f0d0-984c-47c5-8bea-66e857d9d09f"]},{"id":"ITEM-2","itemData":{"DOI":"10.1098/rspa.2020.0351","ISSN":"14712946","abstract":"Biofuels are being promoted as a low-carbon alternative to fossil fuels as they could help to reduce greenhouse gas (GHG) emissions and the related climate change impact from transport. However, there are also concerns that their wider deployment could lead to unintended environmental consequences. Numerous life cycle assessment (LCA) studies have considered the climate change and other environmental impacts of biofuels. However, their findings are often conflicting, with a wide variation in the estimates. Thus, the aim of this paper is to review and analyse the latest available evidence to provide a greater clarity and understanding of the environmental impacts of different liquid biofuels. It is evident from the review that the outcomes of LCA studies are highly situational and dependent on many factors, including the type of feedstock, production routes, data variations and methodological choices. Despite this, the existing evidence suggests that, if no land-use change (LUC) is involved, first-generation biofuels can - on average - have lower GHG emissions than fossil fuels, but the reductions for most feedstocks are insufficient to meet the GHG savings required by the EU Renewable Energy Directive (RED). However, second-generation biofuels have, in general, a greater potential to reduce the emissions, provided there is no LUC. Third-generation biofuels do not represent a feasible option at present state of development as their GHG emissions are higher than those from fossil fuels. As also discussed in the paper, several studies show that reductions in GHG emissions from biofuels are achieved at the expense of other impacts, such as acidification, eutrophication, water footprint and biodiversity loss. The paper also investigates the key methodological aspects and sources of uncertainty in the LCA of biofuels and provides recommendations to address these issues.","author":[{"dropping-particle":"","family":"Jeswani","given":"Harish K.","non-dropping-particle":"","parse-names":false,"suffix":""},{"dropping-particle":"","family":"Chilvers","given":"Andrew","non-dropping-particle":"","parse-names":false,"suffix":""},{"dropping-particle":"","family":"Azapagic","given":"Adisa","non-dropping-particle":"","parse-names":false,"suffix":""}],"container-title":"Proceedings of the Royal Society A: Mathematical, Physical and Engineering Sciences","id":"ITEM-2","issue":"2243","issued":{"date-parts":[["2020","11"]]},"publisher":"Royal Society Publishing","title":"Environmental sustainability of biofuels: A review: Environmental sustainability of biofuels","type":"article","volume":"476"},"uris":["http://www.mendeley.com/documents/?uuid=490a314a-1bf4-3454-8b74-aeb4bcdd8982","http://www.mendeley.com/documents/?uuid=08f8e788-1443-4355-bfe4-ae72cb558635"]}],"mendeley":{"formattedCitation":"(Jeswani et al., 2020; Royal Academy of Engineering, 2017)","plainTextFormattedCitation":"(Jeswani et al., 2020; Royal Academy of Engineering, 2017)","previouslyFormattedCitation":"(Jeswani et al., 2020; Royal Academy of Engineering, 2017)"},"properties":{"noteIndex":0},"schema":"https://github.com/citation-style-language/schema/raw/master/csl-citation.json"}</w:instrText>
      </w:r>
      <w:r w:rsidR="00625D62">
        <w:rPr>
          <w:rFonts w:ascii="Times New Roman" w:eastAsia="SimSun" w:hAnsi="Times New Roman" w:cs="Calibri"/>
          <w:color w:val="000000" w:themeColor="text1"/>
          <w:lang w:eastAsia="hi-IN" w:bidi="hi-IN"/>
        </w:rPr>
        <w:fldChar w:fldCharType="separate"/>
      </w:r>
      <w:r w:rsidR="00625D62" w:rsidRPr="00625D62">
        <w:rPr>
          <w:rFonts w:ascii="Times New Roman" w:eastAsia="SimSun" w:hAnsi="Times New Roman" w:cs="Calibri"/>
          <w:noProof/>
          <w:color w:val="000000" w:themeColor="text1"/>
          <w:lang w:eastAsia="hi-IN" w:bidi="hi-IN"/>
        </w:rPr>
        <w:t>(Jeswani et al., 2020; Royal Academy of Engineering, 2017)</w:t>
      </w:r>
      <w:r w:rsidR="00625D62">
        <w:rPr>
          <w:rFonts w:ascii="Times New Roman" w:eastAsia="SimSun" w:hAnsi="Times New Roman" w:cs="Calibri"/>
          <w:color w:val="000000" w:themeColor="text1"/>
          <w:lang w:eastAsia="hi-IN" w:bidi="hi-IN"/>
        </w:rPr>
        <w:fldChar w:fldCharType="end"/>
      </w:r>
      <w:r w:rsidR="000E7A11" w:rsidRPr="00077E6B">
        <w:rPr>
          <w:rFonts w:ascii="Times New Roman" w:eastAsia="SimSun" w:hAnsi="Times New Roman" w:cs="Calibri"/>
          <w:color w:val="000000" w:themeColor="text1"/>
          <w:lang w:eastAsia="hi-IN" w:bidi="hi-IN"/>
        </w:rPr>
        <w:t>,</w:t>
      </w:r>
      <w:r w:rsidR="000E7A11">
        <w:rPr>
          <w:rFonts w:ascii="Times New Roman" w:eastAsia="SimSun" w:hAnsi="Times New Roman" w:cs="Calibri"/>
          <w:color w:val="000000" w:themeColor="text1"/>
          <w:lang w:eastAsia="hi-IN" w:bidi="hi-IN"/>
        </w:rPr>
        <w:t xml:space="preserve"> which </w:t>
      </w:r>
      <w:r w:rsidR="000E7A11" w:rsidRPr="00756F1F">
        <w:rPr>
          <w:rFonts w:ascii="Times New Roman" w:eastAsia="SimSun" w:hAnsi="Times New Roman" w:cs="Calibri"/>
          <w:color w:val="000000" w:themeColor="text1"/>
          <w:lang w:eastAsia="hi-IN" w:bidi="hi-IN"/>
        </w:rPr>
        <w:t xml:space="preserve">could then replace petrochemical sources or mitigate emissions caused by their combustion </w:t>
      </w:r>
      <w:r w:rsidR="003F7336">
        <w:rPr>
          <w:rFonts w:ascii="Times New Roman" w:eastAsia="SimSun" w:hAnsi="Times New Roman" w:cs="Calibri"/>
          <w:color w:val="000000" w:themeColor="text1"/>
          <w:lang w:eastAsia="hi-IN" w:bidi="hi-IN"/>
        </w:rPr>
        <w:fldChar w:fldCharType="begin" w:fldLock="1"/>
      </w:r>
      <w:r w:rsidR="00FC1E7A">
        <w:rPr>
          <w:rFonts w:ascii="Times New Roman" w:eastAsia="SimSun" w:hAnsi="Times New Roman" w:cs="Calibri"/>
          <w:color w:val="000000" w:themeColor="text1"/>
          <w:lang w:eastAsia="hi-IN" w:bidi="hi-IN"/>
        </w:rPr>
        <w:instrText>ADDIN CSL_CITATION {"citationItems":[{"id":"ITEM-1","itemData":{"DOI":"10.1016/j.copbio.2020.02.017","ISSN":"18790429","PMID":"32315931","author":[{"dropping-particle":"","family":"Köpke","given":"Michael","non-dropping-particle":"","parse-names":false,"suffix":""},{"dropping-particle":"","family":"Simpson","given":"Séan D","non-dropping-particle":"","parse-names":false,"suffix":""}],"container-title":"Current Opinion in Biotechnology","id":"ITEM-1","issued":{"date-parts":[["2020"]]},"page":"180-189","publisher":"Elsevier Ltd","title":"Pollution to products: recycling of ‘above ground’ carbon by gas fermentation","type":"article","volume":"65"},"uris":["http://www.mendeley.com/documents/?uuid=8f124b5f-cdb9-4047-b827-ea08c1e0e649"]}],"mendeley":{"formattedCitation":"(Köpke &amp; Simpson, 2020)","plainTextFormattedCitation":"(Köpke &amp; Simpson, 2020)","previouslyFormattedCitation":"(Köpke &amp; Simpson, 2020)"},"properties":{"noteIndex":0},"schema":"https://github.com/citation-style-language/schema/raw/master/csl-citation.json"}</w:instrText>
      </w:r>
      <w:r w:rsidR="003F7336">
        <w:rPr>
          <w:rFonts w:ascii="Times New Roman" w:eastAsia="SimSun" w:hAnsi="Times New Roman" w:cs="Calibri"/>
          <w:color w:val="000000" w:themeColor="text1"/>
          <w:lang w:eastAsia="hi-IN" w:bidi="hi-IN"/>
        </w:rPr>
        <w:fldChar w:fldCharType="separate"/>
      </w:r>
      <w:r w:rsidR="003F7336" w:rsidRPr="003F7336">
        <w:rPr>
          <w:rFonts w:ascii="Times New Roman" w:eastAsia="SimSun" w:hAnsi="Times New Roman" w:cs="Calibri"/>
          <w:noProof/>
          <w:color w:val="000000" w:themeColor="text1"/>
          <w:lang w:eastAsia="hi-IN" w:bidi="hi-IN"/>
        </w:rPr>
        <w:t>(Köpke &amp; Simpson, 2020)</w:t>
      </w:r>
      <w:r w:rsidR="003F7336">
        <w:rPr>
          <w:rFonts w:ascii="Times New Roman" w:eastAsia="SimSun" w:hAnsi="Times New Roman" w:cs="Calibri"/>
          <w:color w:val="000000" w:themeColor="text1"/>
          <w:lang w:eastAsia="hi-IN" w:bidi="hi-IN"/>
        </w:rPr>
        <w:fldChar w:fldCharType="end"/>
      </w:r>
      <w:r w:rsidR="00756F1F" w:rsidRPr="002321AB">
        <w:rPr>
          <w:rFonts w:ascii="Times New Roman" w:eastAsia="SimSun" w:hAnsi="Times New Roman" w:cs="Calibri"/>
          <w:color w:val="000000" w:themeColor="text1"/>
          <w:lang w:eastAsia="hi-IN" w:bidi="hi-IN"/>
        </w:rPr>
        <w:t>.</w:t>
      </w:r>
    </w:p>
    <w:p w14:paraId="21908B83" w14:textId="437413F0" w:rsidR="00536C18" w:rsidRPr="00536C18" w:rsidRDefault="00536C18" w:rsidP="00536C18">
      <w:pPr>
        <w:spacing w:before="120" w:after="120" w:line="240" w:lineRule="auto"/>
        <w:jc w:val="both"/>
        <w:rPr>
          <w:rFonts w:ascii="Times New Roman" w:eastAsia="SimSun" w:hAnsi="Times New Roman" w:cs="Calibri"/>
          <w:color w:val="000000" w:themeColor="text1"/>
          <w:lang w:eastAsia="hi-IN" w:bidi="hi-IN"/>
        </w:rPr>
      </w:pPr>
      <w:r w:rsidRPr="00536C18">
        <w:rPr>
          <w:rFonts w:ascii="Times New Roman" w:eastAsia="SimSun" w:hAnsi="Times New Roman" w:cs="Calibri"/>
          <w:color w:val="000000" w:themeColor="text1"/>
          <w:lang w:eastAsia="hi-IN" w:bidi="hi-IN"/>
        </w:rPr>
        <w:t xml:space="preserve">Potential negative impacts could result from the increased </w:t>
      </w:r>
      <w:r w:rsidR="00B11D64" w:rsidRPr="00536C18">
        <w:rPr>
          <w:rFonts w:ascii="Times New Roman" w:eastAsia="SimSun" w:hAnsi="Times New Roman" w:cs="Calibri"/>
          <w:color w:val="000000" w:themeColor="text1"/>
          <w:lang w:eastAsia="hi-IN" w:bidi="hi-IN"/>
        </w:rPr>
        <w:t>utili</w:t>
      </w:r>
      <w:r w:rsidR="00B11D64">
        <w:rPr>
          <w:rFonts w:ascii="Times New Roman" w:eastAsia="SimSun" w:hAnsi="Times New Roman" w:cs="Calibri"/>
          <w:color w:val="000000" w:themeColor="text1"/>
          <w:lang w:eastAsia="hi-IN" w:bidi="hi-IN"/>
        </w:rPr>
        <w:t>s</w:t>
      </w:r>
      <w:r w:rsidR="00B11D64" w:rsidRPr="00536C18">
        <w:rPr>
          <w:rFonts w:ascii="Times New Roman" w:eastAsia="SimSun" w:hAnsi="Times New Roman" w:cs="Calibri"/>
          <w:color w:val="000000" w:themeColor="text1"/>
          <w:lang w:eastAsia="hi-IN" w:bidi="hi-IN"/>
        </w:rPr>
        <w:t>ation</w:t>
      </w:r>
      <w:r w:rsidRPr="00536C18">
        <w:rPr>
          <w:rFonts w:ascii="Times New Roman" w:eastAsia="SimSun" w:hAnsi="Times New Roman" w:cs="Calibri"/>
          <w:color w:val="000000" w:themeColor="text1"/>
          <w:lang w:eastAsia="hi-IN" w:bidi="hi-IN"/>
        </w:rPr>
        <w:t xml:space="preserve"> of biomass for synthetic biology applications. “Biomass” is generally used to refer to the use of “non-</w:t>
      </w:r>
      <w:r w:rsidR="00F24ADF" w:rsidRPr="00536C18">
        <w:rPr>
          <w:rFonts w:ascii="Times New Roman" w:eastAsia="SimSun" w:hAnsi="Times New Roman" w:cs="Calibri"/>
          <w:color w:val="000000" w:themeColor="text1"/>
          <w:lang w:eastAsia="hi-IN" w:bidi="hi-IN"/>
        </w:rPr>
        <w:t>fossili</w:t>
      </w:r>
      <w:r w:rsidR="00F24ADF">
        <w:rPr>
          <w:rFonts w:ascii="Times New Roman" w:eastAsia="SimSun" w:hAnsi="Times New Roman" w:cs="Calibri"/>
          <w:color w:val="000000" w:themeColor="text1"/>
          <w:lang w:eastAsia="hi-IN" w:bidi="hi-IN"/>
        </w:rPr>
        <w:t>s</w:t>
      </w:r>
      <w:r w:rsidR="00F24ADF" w:rsidRPr="00536C18">
        <w:rPr>
          <w:rFonts w:ascii="Times New Roman" w:eastAsia="SimSun" w:hAnsi="Times New Roman" w:cs="Calibri"/>
          <w:color w:val="000000" w:themeColor="text1"/>
          <w:lang w:eastAsia="hi-IN" w:bidi="hi-IN"/>
        </w:rPr>
        <w:t>ed</w:t>
      </w:r>
      <w:r w:rsidRPr="00536C18">
        <w:rPr>
          <w:rFonts w:ascii="Times New Roman" w:eastAsia="SimSun" w:hAnsi="Times New Roman" w:cs="Calibri"/>
          <w:color w:val="000000" w:themeColor="text1"/>
          <w:lang w:eastAsia="hi-IN" w:bidi="hi-IN"/>
        </w:rPr>
        <w:t xml:space="preserve"> biological and waste materials as a feedstock” </w:t>
      </w:r>
      <w:r w:rsidR="00FC1E7A">
        <w:rPr>
          <w:rFonts w:ascii="Times New Roman" w:eastAsia="SimSun" w:hAnsi="Times New Roman" w:cs="Calibri"/>
          <w:color w:val="000000" w:themeColor="text1"/>
          <w:lang w:eastAsia="hi-IN" w:bidi="hi-IN"/>
        </w:rPr>
        <w:fldChar w:fldCharType="begin" w:fldLock="1"/>
      </w:r>
      <w:r w:rsidR="00824E1E">
        <w:rPr>
          <w:rFonts w:ascii="Times New Roman" w:eastAsia="SimSun" w:hAnsi="Times New Roman" w:cs="Calibri"/>
          <w:color w:val="000000" w:themeColor="text1"/>
          <w:lang w:eastAsia="hi-IN" w:bidi="hi-IN"/>
        </w:rPr>
        <w:instrText>ADDIN CSL_CITATION {"citationItems":[{"id":"ITEM-1","itemData":{"author":[{"dropping-particle":"","family":"ETC Group","given":"","non-dropping-particle":"","parse-names":false,"suffix":""}],"id":"ITEM-1","issued":{"date-parts":[["2011"]]},"title":"Who Will Control the Green Economy?","type":"article"},"uris":["http://www.mendeley.com/documents/?uuid=426b237b-e33a-4888-9935-f0b1c47d88e2"]}],"mendeley":{"formattedCitation":"(ETC Group, 2011)","manualFormatting":"(ETC Group, 2011","plainTextFormattedCitation":"(ETC Group, 2011)","previouslyFormattedCitation":"(ETC Group, 2011)"},"properties":{"noteIndex":0},"schema":"https://github.com/citation-style-language/schema/raw/master/csl-citation.json"}</w:instrText>
      </w:r>
      <w:r w:rsidR="00FC1E7A">
        <w:rPr>
          <w:rFonts w:ascii="Times New Roman" w:eastAsia="SimSun" w:hAnsi="Times New Roman" w:cs="Calibri"/>
          <w:color w:val="000000" w:themeColor="text1"/>
          <w:lang w:eastAsia="hi-IN" w:bidi="hi-IN"/>
        </w:rPr>
        <w:fldChar w:fldCharType="separate"/>
      </w:r>
      <w:r w:rsidR="00824E1E" w:rsidRPr="00824E1E">
        <w:rPr>
          <w:rFonts w:ascii="Times New Roman" w:eastAsia="SimSun" w:hAnsi="Times New Roman" w:cs="Calibri"/>
          <w:noProof/>
          <w:color w:val="000000" w:themeColor="text1"/>
          <w:lang w:eastAsia="hi-IN" w:bidi="hi-IN"/>
        </w:rPr>
        <w:t>(ETC Group, 2011</w:t>
      </w:r>
      <w:r w:rsidR="00FC1E7A">
        <w:rPr>
          <w:rFonts w:ascii="Times New Roman" w:eastAsia="SimSun" w:hAnsi="Times New Roman" w:cs="Calibri"/>
          <w:color w:val="000000" w:themeColor="text1"/>
          <w:lang w:eastAsia="hi-IN" w:bidi="hi-IN"/>
        </w:rPr>
        <w:fldChar w:fldCharType="end"/>
      </w:r>
      <w:r w:rsidR="00CA1696">
        <w:rPr>
          <w:rFonts w:ascii="Times New Roman" w:eastAsia="SimSun" w:hAnsi="Times New Roman" w:cs="Calibri"/>
          <w:color w:val="000000" w:themeColor="text1"/>
          <w:lang w:eastAsia="hi-IN" w:bidi="hi-IN"/>
        </w:rPr>
        <w:t xml:space="preserve">; </w:t>
      </w:r>
      <w:r w:rsidR="00141CEE">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{"citationItems":[{"id":"ITEM-1","itemData":{"DOI":"10.1098/rspa.2020.0351","ISSN":"14712946","abstract":"Biofuels are being promoted as a low-carbon alternative to fossil fuels as they could help to reduce greenhouse gas (GHG) emissions and the related climate change impact from transport. However, there are also concerns that their wider deployment could lead to unintended environmental consequences. Numerous life cycle assessment (LCA) studies have considered the climate change and other environmental impacts of biofuels. However, their findings are often conflicting, with a wide variation in the estimates. Thus, the aim of this paper is to review and analyse the latest available evidence to provide a greater clarity and understanding of the environmental impacts of different liquid biofuels. It is evident from the review that the outcomes of LCA studies are highly situational and dependent on many factors, including the type of feedstock, production routes, data variations and methodological choices. Despite this, the existing evidence suggests that, if no land-use change (LUC) is involved, first-generation biofuels can - on average - have lower GHG emissions than fossil fuels, but the reductions for most feedstocks are insufficient to meet the GHG savings required by the EU Renewable Energy Directive (RED). However, second-generation biofuels have, in general, a greater potential to reduce the emissions, provided there is no LUC. Third-generation biofuels do not represent a feasible option at present state of development as their GHG emissions are higher than those from fossil fuels. As also discussed in the paper, several studies show that reductions in GHG emissions from biofuels are achieved at the expense of other impacts, such as acidification, eutrophication, water footprint and biodiversity loss. The paper also investigates the key methodological aspects and sources of uncertainty in the LCA of biofuels and provides recommendations to address these issues.","author":[{"dropping-particle":"","family":"Jeswani","given":"Harish K.","non-dropping-particle":"","parse-names":false,"suffix":""},{"dropping-particle":"","family":"Chilvers","given":"Andrew","non-dropping-particle":"","parse-names":false,"suffix":""},{"dropping-particle":"","family":"Azapagic","given":"Adisa","non-dropping-particle":"","parse-names":false,"suffix":""}],"container-title":"Proceedings of the Royal Society A: Mathematical, Physical and Engineering Sciences","id":"ITEM-1","issue":"2243","issued":{"date-parts":[["2020","11"]]},"publisher":"Royal Society Publishing","title":"Environmental sustainability of biofuels: A review: Environmental sustainability of biofuels","type":"article","volume":"476"},"uris":["http://www.mendeley.com/documents/?uuid=08f8e788-1443-4355-bfe4-ae72cb558635","http://www.mendeley.com/documents/?uuid=490a314a-1bf4-3454-8b74-aeb4bcdd8982"]}],"mendeley":{"formattedCitation":"(Jeswani et al., 2020)","manualFormatting":"Jeswani et al., 2020)","plainTextFormattedCitation":"(Jeswani et al., 2020)","previouslyFormattedCitation":"(Jeswani et al., 2020)"},"properties":{"noteIndex":0},"schema":"https://github.com/citation-style-language/schema/raw/master/csl-citation.json"}</w:instrText>
      </w:r>
      <w:r w:rsidR="00141CEE">
        <w:rPr>
          <w:rFonts w:ascii="Times New Roman" w:eastAsia="SimSun" w:hAnsi="Times New Roman" w:cs="Calibri"/>
          <w:color w:val="000000" w:themeColor="text1"/>
          <w:lang w:eastAsia="hi-IN" w:bidi="hi-IN"/>
        </w:rPr>
        <w:fldChar w:fldCharType="separate"/>
      </w:r>
      <w:r w:rsidR="00141CEE" w:rsidRPr="00141CEE">
        <w:rPr>
          <w:rFonts w:ascii="Times New Roman" w:eastAsia="SimSun" w:hAnsi="Times New Roman" w:cs="Calibri"/>
          <w:noProof/>
          <w:color w:val="000000" w:themeColor="text1"/>
          <w:lang w:eastAsia="hi-IN" w:bidi="hi-IN"/>
        </w:rPr>
        <w:t>Jeswani et al., 2020)</w:t>
      </w:r>
      <w:r w:rsidR="00141CEE">
        <w:rPr>
          <w:rFonts w:ascii="Times New Roman" w:eastAsia="SimSun" w:hAnsi="Times New Roman" w:cs="Calibri"/>
          <w:color w:val="000000" w:themeColor="text1"/>
          <w:lang w:eastAsia="hi-IN" w:bidi="hi-IN"/>
        </w:rPr>
        <w:fldChar w:fldCharType="end"/>
      </w:r>
      <w:r w:rsidRPr="00536C18">
        <w:rPr>
          <w:rFonts w:ascii="Times New Roman" w:eastAsia="SimSun" w:hAnsi="Times New Roman" w:cs="Calibri"/>
          <w:color w:val="000000" w:themeColor="text1"/>
          <w:lang w:eastAsia="hi-IN" w:bidi="hi-IN"/>
        </w:rPr>
        <w:t>. Additionally, potential negative impacts include th</w:t>
      </w:r>
      <w:r w:rsidR="00781AFF">
        <w:rPr>
          <w:rFonts w:ascii="Times New Roman" w:eastAsia="SimSun" w:hAnsi="Times New Roman" w:cs="Calibri"/>
          <w:color w:val="000000" w:themeColor="text1"/>
          <w:lang w:eastAsia="hi-IN" w:bidi="hi-IN"/>
        </w:rPr>
        <w:t>e displacement of</w:t>
      </w:r>
      <w:r w:rsidRPr="00536C18">
        <w:rPr>
          <w:rFonts w:ascii="Times New Roman" w:eastAsia="SimSun" w:hAnsi="Times New Roman" w:cs="Calibri"/>
          <w:color w:val="000000" w:themeColor="text1"/>
          <w:lang w:eastAsia="hi-IN" w:bidi="hi-IN"/>
        </w:rPr>
        <w:t xml:space="preserve"> sustainable uses </w:t>
      </w:r>
      <w:r w:rsidR="00F85F77">
        <w:rPr>
          <w:rFonts w:ascii="Times New Roman" w:eastAsia="SimSun" w:hAnsi="Times New Roman" w:cs="Calibri"/>
          <w:color w:val="000000" w:themeColor="text1"/>
          <w:lang w:eastAsia="hi-IN" w:bidi="hi-IN"/>
        </w:rPr>
        <w:t>of biomass</w:t>
      </w:r>
      <w:r w:rsidRPr="00536C18">
        <w:rPr>
          <w:rFonts w:ascii="Times New Roman" w:eastAsia="SimSun" w:hAnsi="Times New Roman" w:cs="Calibri"/>
          <w:color w:val="000000" w:themeColor="text1"/>
          <w:lang w:eastAsia="hi-IN" w:bidi="hi-IN"/>
        </w:rPr>
        <w:t xml:space="preserve">, </w:t>
      </w:r>
      <w:r w:rsidR="00F85F77">
        <w:rPr>
          <w:rFonts w:ascii="Times New Roman" w:eastAsia="SimSun" w:hAnsi="Times New Roman" w:cs="Calibri"/>
          <w:color w:val="000000" w:themeColor="text1"/>
          <w:lang w:eastAsia="hi-IN" w:bidi="hi-IN"/>
        </w:rPr>
        <w:t>the destruction of native forests</w:t>
      </w:r>
      <w:r w:rsidRPr="00536C18">
        <w:rPr>
          <w:rFonts w:ascii="Times New Roman" w:eastAsia="SimSun" w:hAnsi="Times New Roman" w:cs="Calibri"/>
          <w:color w:val="000000" w:themeColor="text1"/>
          <w:lang w:eastAsia="hi-IN" w:bidi="hi-IN"/>
        </w:rPr>
        <w:t xml:space="preserve"> and </w:t>
      </w:r>
      <w:r w:rsidR="003F2CC1" w:rsidRPr="00536C18">
        <w:rPr>
          <w:rFonts w:ascii="Times New Roman" w:eastAsia="SimSun" w:hAnsi="Times New Roman" w:cs="Calibri"/>
          <w:color w:val="000000" w:themeColor="text1"/>
          <w:lang w:eastAsia="hi-IN" w:bidi="hi-IN"/>
        </w:rPr>
        <w:t>marginal” lands such as deserts and wetlands</w:t>
      </w:r>
      <w:r w:rsidR="00F1628C">
        <w:rPr>
          <w:rFonts w:ascii="Times New Roman" w:eastAsia="SimSun" w:hAnsi="Times New Roman" w:cs="Calibri"/>
          <w:color w:val="000000" w:themeColor="text1"/>
          <w:lang w:eastAsia="hi-IN" w:bidi="hi-IN"/>
        </w:rPr>
        <w:t xml:space="preserve"> </w:t>
      </w:r>
      <w:r w:rsidR="006B5519">
        <w:rPr>
          <w:rFonts w:ascii="Times New Roman" w:eastAsia="SimSun" w:hAnsi="Times New Roman" w:cs="Calibri"/>
          <w:color w:val="000000" w:themeColor="text1"/>
          <w:lang w:eastAsia="hi-IN" w:bidi="hi-IN"/>
        </w:rPr>
        <w:t>to provide land to</w:t>
      </w:r>
      <w:r w:rsidR="00F85F77" w:rsidRPr="00536C18">
        <w:rPr>
          <w:rFonts w:ascii="Times New Roman" w:eastAsia="SimSun" w:hAnsi="Times New Roman" w:cs="Calibri"/>
          <w:color w:val="000000" w:themeColor="text1"/>
          <w:lang w:eastAsia="hi-IN" w:bidi="hi-IN"/>
        </w:rPr>
        <w:t xml:space="preserve"> </w:t>
      </w:r>
      <w:r w:rsidRPr="00536C18">
        <w:rPr>
          <w:rFonts w:ascii="Times New Roman" w:eastAsia="SimSun" w:hAnsi="Times New Roman" w:cs="Calibri"/>
          <w:color w:val="000000" w:themeColor="text1"/>
          <w:lang w:eastAsia="hi-IN" w:bidi="hi-IN"/>
        </w:rPr>
        <w:t xml:space="preserve">establish plantations </w:t>
      </w:r>
      <w:r w:rsidR="009D7F93">
        <w:rPr>
          <w:rFonts w:ascii="Times New Roman" w:eastAsia="SimSun" w:hAnsi="Times New Roman" w:cs="Calibri"/>
          <w:color w:val="000000" w:themeColor="text1"/>
          <w:lang w:eastAsia="hi-IN" w:bidi="hi-IN"/>
        </w:rPr>
        <w:t>for biomass production</w:t>
      </w:r>
      <w:r w:rsidRPr="00536C18">
        <w:rPr>
          <w:rFonts w:ascii="Times New Roman" w:eastAsia="SimSun" w:hAnsi="Times New Roman" w:cs="Calibri"/>
          <w:color w:val="000000" w:themeColor="text1"/>
          <w:lang w:eastAsia="hi-IN" w:bidi="hi-IN"/>
        </w:rPr>
        <w:t xml:space="preserve">, </w:t>
      </w:r>
      <w:r w:rsidR="003F2CC1">
        <w:rPr>
          <w:rFonts w:ascii="Times New Roman" w:eastAsia="SimSun" w:hAnsi="Times New Roman" w:cs="Calibri"/>
          <w:color w:val="000000" w:themeColor="text1"/>
          <w:lang w:eastAsia="hi-IN" w:bidi="hi-IN"/>
        </w:rPr>
        <w:t xml:space="preserve">and </w:t>
      </w:r>
      <w:r w:rsidRPr="00536C18">
        <w:rPr>
          <w:rFonts w:ascii="Times New Roman" w:eastAsia="SimSun" w:hAnsi="Times New Roman" w:cs="Calibri"/>
          <w:color w:val="000000" w:themeColor="text1"/>
          <w:lang w:eastAsia="hi-IN" w:bidi="hi-IN"/>
        </w:rPr>
        <w:t xml:space="preserve">harvesting </w:t>
      </w:r>
      <w:r w:rsidR="009D7F93">
        <w:rPr>
          <w:rFonts w:ascii="Times New Roman" w:eastAsia="SimSun" w:hAnsi="Times New Roman" w:cs="Calibri"/>
          <w:color w:val="000000" w:themeColor="text1"/>
          <w:lang w:eastAsia="hi-IN" w:bidi="hi-IN"/>
        </w:rPr>
        <w:t xml:space="preserve">of biomass from </w:t>
      </w:r>
      <w:r w:rsidRPr="00536C18">
        <w:rPr>
          <w:rFonts w:ascii="Times New Roman" w:eastAsia="SimSun" w:hAnsi="Times New Roman" w:cs="Calibri"/>
          <w:color w:val="000000" w:themeColor="text1"/>
          <w:lang w:eastAsia="hi-IN" w:bidi="hi-IN"/>
        </w:rPr>
        <w:t xml:space="preserve">natural grasslands </w:t>
      </w:r>
      <w:r w:rsidR="00824E1E">
        <w:rPr>
          <w:rFonts w:ascii="Times New Roman" w:eastAsia="SimSun" w:hAnsi="Times New Roman" w:cs="Calibri"/>
          <w:color w:val="000000" w:themeColor="text1"/>
          <w:lang w:eastAsia="hi-IN" w:bidi="hi-IN"/>
        </w:rPr>
        <w:fldChar w:fldCharType="begin" w:fldLock="1"/>
      </w:r>
      <w:r w:rsidR="00824E1E">
        <w:rPr>
          <w:rFonts w:ascii="Times New Roman" w:eastAsia="SimSun" w:hAnsi="Times New Roman" w:cs="Calibri"/>
          <w:color w:val="000000" w:themeColor="text1"/>
          <w:lang w:eastAsia="hi-IN" w:bidi="hi-IN"/>
        </w:rPr>
        <w:instrText>ADDIN CSL_CITATION {"citationItems":[{"id":"ITEM-1","itemData":{"author":[{"dropping-particle":"","family":"ETC Group","given":"","non-dropping-particle":"","parse-names":false,"suffix":""}],"id":"ITEM-1","issued":{"date-parts":[["2010"]]},"title":"The New Biomassters: Synthetic Biology and the Next Assault on Biodiversity and Livelihoods","type":"report"},"uris":["http://www.mendeley.com/documents/?uuid=efb8684f-29a6-4ad1-a7c7-43c6f6e553e5"]}],"mendeley":{"formattedCitation":"(ETC Group, 2010)","manualFormatting":"(ETC Group, 2010","plainTextFormattedCitation":"(ETC Group, 2010)","previouslyFormattedCitation":"(ETC Group, 2010)"},"properties":{"noteIndex":0},"schema":"https://github.com/citation-style-language/schema/raw/master/csl-citation.json"}</w:instrText>
      </w:r>
      <w:r w:rsidR="00824E1E">
        <w:rPr>
          <w:rFonts w:ascii="Times New Roman" w:eastAsia="SimSun" w:hAnsi="Times New Roman" w:cs="Calibri"/>
          <w:color w:val="000000" w:themeColor="text1"/>
          <w:lang w:eastAsia="hi-IN" w:bidi="hi-IN"/>
        </w:rPr>
        <w:fldChar w:fldCharType="separate"/>
      </w:r>
      <w:r w:rsidR="00824E1E" w:rsidRPr="00824E1E">
        <w:rPr>
          <w:rFonts w:ascii="Times New Roman" w:eastAsia="SimSun" w:hAnsi="Times New Roman" w:cs="Calibri"/>
          <w:noProof/>
          <w:color w:val="000000" w:themeColor="text1"/>
          <w:lang w:eastAsia="hi-IN" w:bidi="hi-IN"/>
        </w:rPr>
        <w:t>(ETC Group, 2010</w:t>
      </w:r>
      <w:r w:rsidR="00824E1E">
        <w:rPr>
          <w:rFonts w:ascii="Times New Roman" w:eastAsia="SimSun" w:hAnsi="Times New Roman" w:cs="Calibri"/>
          <w:color w:val="000000" w:themeColor="text1"/>
          <w:lang w:eastAsia="hi-IN" w:bidi="hi-IN"/>
        </w:rPr>
        <w:fldChar w:fldCharType="end"/>
      </w:r>
      <w:r w:rsidR="006E3757">
        <w:rPr>
          <w:rFonts w:ascii="Times New Roman" w:eastAsia="SimSun" w:hAnsi="Times New Roman" w:cs="Calibri"/>
          <w:color w:val="000000" w:themeColor="text1"/>
          <w:lang w:eastAsia="hi-IN" w:bidi="hi-IN"/>
        </w:rPr>
        <w:t xml:space="preserve">; </w:t>
      </w:r>
      <w:r w:rsidR="00077E6B">
        <w:rPr>
          <w:rFonts w:ascii="Times New Roman" w:eastAsia="SimSun" w:hAnsi="Times New Roman" w:cs="Calibri"/>
          <w:color w:val="000000" w:themeColor="text1"/>
          <w:lang w:eastAsia="hi-IN" w:bidi="hi-IN"/>
        </w:rPr>
        <w:fldChar w:fldCharType="begin" w:fldLock="1"/>
      </w:r>
      <w:r w:rsidR="00824E1E">
        <w:rPr>
          <w:rFonts w:ascii="Times New Roman" w:eastAsia="SimSun" w:hAnsi="Times New Roman" w:cs="Calibri"/>
          <w:color w:val="000000" w:themeColor="text1"/>
          <w:lang w:eastAsia="hi-IN" w:bidi="hi-IN"/>
        </w:rPr>
        <w:instrText>ADDIN CSL_CITATION {"citationItems":[{"id":"ITEM-1","itemData":{"ISBN":"978-1-909327-34-4","author":[{"dropping-particle":"","family":"Royal Academy of Engineering","given":"","non-dropping-particle":"","parse-names":false,"suffix":""}],"id":"ITEM-1","issued":{"date-parts":[["2017","7"]]},"title":"Sustainability of liquid biofuels","type":"report"},"uris":["http://www.mendeley.com/documents/?uuid=bc55f0d0-984c-47c5-8bea-66e857d9d09f","http://www.mendeley.com/documents/?uuid=8cda619e-5ca9-307e-8a54-030406c81b73"]}],"mendeley":{"formattedCitation":"(Royal Academy of Engineering, 2017)","manualFormatting":"Royal Academy of Engineering, 2017)","plainTextFormattedCitation":"(Royal Academy of Engineering, 2017)","previouslyFormattedCitation":"(Royal Academy of Engineering, 2017)"},"properties":{"noteIndex":0},"schema":"https://github.com/citation-style-language/schema/raw/master/csl-citation.json"}</w:instrText>
      </w:r>
      <w:r w:rsidR="00077E6B">
        <w:rPr>
          <w:rFonts w:ascii="Times New Roman" w:eastAsia="SimSun" w:hAnsi="Times New Roman" w:cs="Calibri"/>
          <w:color w:val="000000" w:themeColor="text1"/>
          <w:lang w:eastAsia="hi-IN" w:bidi="hi-IN"/>
        </w:rPr>
        <w:fldChar w:fldCharType="separate"/>
      </w:r>
      <w:r w:rsidR="00077E6B" w:rsidRPr="00077E6B">
        <w:rPr>
          <w:rFonts w:ascii="Times New Roman" w:eastAsia="SimSun" w:hAnsi="Times New Roman" w:cs="Calibri"/>
          <w:noProof/>
          <w:color w:val="000000" w:themeColor="text1"/>
          <w:lang w:eastAsia="hi-IN" w:bidi="hi-IN"/>
        </w:rPr>
        <w:t>Royal Academy of Engineering, 2017)</w:t>
      </w:r>
      <w:r w:rsidR="00077E6B">
        <w:rPr>
          <w:rFonts w:ascii="Times New Roman" w:eastAsia="SimSun" w:hAnsi="Times New Roman" w:cs="Calibri"/>
          <w:color w:val="000000" w:themeColor="text1"/>
          <w:lang w:eastAsia="hi-IN" w:bidi="hi-IN"/>
        </w:rPr>
        <w:fldChar w:fldCharType="end"/>
      </w:r>
      <w:r w:rsidRPr="00536C18">
        <w:rPr>
          <w:rFonts w:ascii="Times New Roman" w:eastAsia="SimSun" w:hAnsi="Times New Roman" w:cs="Calibri"/>
          <w:color w:val="000000" w:themeColor="text1"/>
          <w:lang w:eastAsia="hi-IN" w:bidi="hi-IN"/>
        </w:rPr>
        <w:t xml:space="preserve">. On balance, many anticipate </w:t>
      </w:r>
      <w:r w:rsidR="009E62C2">
        <w:rPr>
          <w:rFonts w:ascii="Times New Roman" w:eastAsia="SimSun" w:hAnsi="Times New Roman" w:cs="Calibri"/>
          <w:color w:val="000000" w:themeColor="text1"/>
          <w:lang w:eastAsia="hi-IN" w:bidi="hi-IN"/>
        </w:rPr>
        <w:t xml:space="preserve">that </w:t>
      </w:r>
      <w:r w:rsidRPr="00536C18">
        <w:rPr>
          <w:rFonts w:ascii="Times New Roman" w:eastAsia="SimSun" w:hAnsi="Times New Roman" w:cs="Calibri"/>
          <w:color w:val="000000" w:themeColor="text1"/>
          <w:lang w:eastAsia="hi-IN" w:bidi="hi-IN"/>
        </w:rPr>
        <w:t xml:space="preserve">the potential efficiencies and attendant reduction in reliance on fossil fuels offered by energy production using synthetic biology would offset anticipated risks to the environmental ecosystem as it exists today. But considerable uncertainty remains </w:t>
      </w:r>
      <w:r w:rsidR="00EF0829">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{"citationItems":[{"id":"ITEM-1","itemData":{"author":[{"dropping-particle":"","family":"ETC Group","given":"","non-dropping-particle":"","parse-names":false,"suffix":""}],"id":"ITEM-1","issued":{"date-parts":[["2015","11"]]},"title":"Extreme Biotech meets Extreme Energy ","type":"report"},"uris":["http://www.mendeley.com/documents/?uuid=c3df21ad-d215-3bf3-9ca1-b41a67b566b6","http://www.mendeley.com/documents/?uuid=990bcf60-0dcc-41b6-8599-6eb5aca97a74"]}],"mendeley":{"formattedCitation":"(ETC Group, 2015)","plainTextFormattedCitation":"(ETC Group, 2015)","previouslyFormattedCitation":"(ETC Group, 2015)"},"properties":{"noteIndex":0},"schema":"https://github.com/citation-style-language/schema/raw/master/csl-citation.json"}</w:instrText>
      </w:r>
      <w:r w:rsidR="00EF0829">
        <w:rPr>
          <w:rFonts w:ascii="Times New Roman" w:eastAsia="SimSun" w:hAnsi="Times New Roman" w:cs="Calibri"/>
          <w:color w:val="000000" w:themeColor="text1"/>
          <w:lang w:eastAsia="hi-IN" w:bidi="hi-IN"/>
        </w:rPr>
        <w:fldChar w:fldCharType="separate"/>
      </w:r>
      <w:r w:rsidR="00EF0829" w:rsidRPr="00EF0829">
        <w:rPr>
          <w:rFonts w:ascii="Times New Roman" w:eastAsia="SimSun" w:hAnsi="Times New Roman" w:cs="Calibri"/>
          <w:noProof/>
          <w:color w:val="000000" w:themeColor="text1"/>
          <w:lang w:eastAsia="hi-IN" w:bidi="hi-IN"/>
        </w:rPr>
        <w:t>(ETC Group, 2015)</w:t>
      </w:r>
      <w:r w:rsidR="00EF0829">
        <w:rPr>
          <w:rFonts w:ascii="Times New Roman" w:eastAsia="SimSun" w:hAnsi="Times New Roman" w:cs="Calibri"/>
          <w:color w:val="000000" w:themeColor="text1"/>
          <w:lang w:eastAsia="hi-IN" w:bidi="hi-IN"/>
        </w:rPr>
        <w:fldChar w:fldCharType="end"/>
      </w:r>
      <w:r w:rsidR="00247A33">
        <w:rPr>
          <w:rFonts w:ascii="Times New Roman" w:eastAsia="SimSun" w:hAnsi="Times New Roman" w:cs="Calibri"/>
          <w:color w:val="000000" w:themeColor="text1"/>
          <w:lang w:eastAsia="hi-IN" w:bidi="hi-IN"/>
        </w:rPr>
        <w:t>.</w:t>
      </w:r>
    </w:p>
    <w:p w14:paraId="0DB5863B" w14:textId="607B0F01" w:rsidR="00536C18" w:rsidRPr="00536C18" w:rsidRDefault="00536C18" w:rsidP="00536C18">
      <w:pPr>
        <w:spacing w:before="120" w:after="120" w:line="240" w:lineRule="auto"/>
        <w:jc w:val="both"/>
        <w:rPr>
          <w:rFonts w:ascii="Times New Roman" w:eastAsia="SimSun" w:hAnsi="Times New Roman" w:cs="Calibri"/>
          <w:color w:val="000000" w:themeColor="text1"/>
          <w:lang w:eastAsia="hi-IN" w:bidi="hi-IN"/>
        </w:rPr>
      </w:pPr>
      <w:r w:rsidRPr="00536C18">
        <w:rPr>
          <w:rFonts w:ascii="Times New Roman" w:eastAsia="SimSun" w:hAnsi="Times New Roman" w:cs="Calibri"/>
          <w:color w:val="000000" w:themeColor="text1"/>
          <w:lang w:eastAsia="hi-IN" w:bidi="hi-IN"/>
        </w:rPr>
        <w:t>One example could be through the use of engineered algae, which could use light and atmospheric carbon dioxide to produce biofuels</w:t>
      </w:r>
      <w:r w:rsidR="006C35BA">
        <w:rPr>
          <w:rFonts w:ascii="Times New Roman" w:eastAsia="SimSun" w:hAnsi="Times New Roman" w:cs="Calibri"/>
          <w:color w:val="000000" w:themeColor="text1"/>
          <w:lang w:eastAsia="hi-IN" w:bidi="hi-IN"/>
        </w:rPr>
        <w:t xml:space="preserve"> (</w:t>
      </w:r>
      <w:r w:rsidR="009F56F4">
        <w:rPr>
          <w:rFonts w:ascii="Times New Roman" w:eastAsia="SimSun" w:hAnsi="Times New Roman" w:cs="Calibri"/>
          <w:color w:val="000000" w:themeColor="text1"/>
          <w:lang w:eastAsia="hi-IN" w:bidi="hi-IN"/>
        </w:rPr>
        <w:t>e.g. Photanol</w:t>
      </w:r>
      <w:r w:rsidR="006C35BA">
        <w:rPr>
          <w:rFonts w:ascii="Times New Roman" w:eastAsia="SimSun" w:hAnsi="Times New Roman" w:cs="Calibri"/>
          <w:color w:val="000000" w:themeColor="text1"/>
          <w:lang w:eastAsia="hi-IN" w:bidi="hi-IN"/>
        </w:rPr>
        <w:t>)</w:t>
      </w:r>
      <w:r w:rsidRPr="00536C18">
        <w:rPr>
          <w:rFonts w:ascii="Times New Roman" w:eastAsia="SimSun" w:hAnsi="Times New Roman" w:cs="Calibri"/>
          <w:color w:val="000000" w:themeColor="text1"/>
          <w:lang w:eastAsia="hi-IN" w:bidi="hi-IN"/>
        </w:rPr>
        <w:t>. There are two main methods of growing algae</w:t>
      </w:r>
      <w:r w:rsidR="004E7C4A">
        <w:rPr>
          <w:rFonts w:ascii="Times New Roman" w:eastAsia="SimSun" w:hAnsi="Times New Roman" w:cs="Calibri"/>
          <w:color w:val="000000" w:themeColor="text1"/>
          <w:lang w:eastAsia="hi-IN" w:bidi="hi-IN"/>
        </w:rPr>
        <w:t>:</w:t>
      </w:r>
      <w:r w:rsidRPr="00536C18">
        <w:rPr>
          <w:rFonts w:ascii="Times New Roman" w:eastAsia="SimSun" w:hAnsi="Times New Roman" w:cs="Calibri"/>
          <w:color w:val="000000" w:themeColor="text1"/>
          <w:lang w:eastAsia="hi-IN" w:bidi="hi-IN"/>
        </w:rPr>
        <w:t xml:space="preserve"> open ponds and photobiorea</w:t>
      </w:r>
      <w:r w:rsidR="000B2CBF">
        <w:rPr>
          <w:rFonts w:ascii="Times New Roman" w:eastAsia="SimSun" w:hAnsi="Times New Roman" w:cs="Calibri"/>
          <w:color w:val="000000" w:themeColor="text1"/>
          <w:lang w:eastAsia="hi-IN" w:bidi="hi-IN"/>
        </w:rPr>
        <w:t>c</w:t>
      </w:r>
      <w:r w:rsidRPr="00536C18">
        <w:rPr>
          <w:rFonts w:ascii="Times New Roman" w:eastAsia="SimSun" w:hAnsi="Times New Roman" w:cs="Calibri"/>
          <w:color w:val="000000" w:themeColor="text1"/>
          <w:lang w:eastAsia="hi-IN" w:bidi="hi-IN"/>
        </w:rPr>
        <w:t>tors. If open ponds are used</w:t>
      </w:r>
      <w:r w:rsidR="00714806">
        <w:rPr>
          <w:rFonts w:ascii="Times New Roman" w:eastAsia="SimSun" w:hAnsi="Times New Roman" w:cs="Calibri"/>
          <w:color w:val="000000" w:themeColor="text1"/>
          <w:lang w:eastAsia="hi-IN" w:bidi="hi-IN"/>
        </w:rPr>
        <w:t xml:space="preserve"> and</w:t>
      </w:r>
      <w:r w:rsidR="006C61DB">
        <w:rPr>
          <w:rFonts w:ascii="Times New Roman" w:eastAsia="SimSun" w:hAnsi="Times New Roman" w:cs="Calibri"/>
          <w:color w:val="000000" w:themeColor="text1"/>
          <w:lang w:eastAsia="hi-IN" w:bidi="hi-IN"/>
        </w:rPr>
        <w:t xml:space="preserve"> </w:t>
      </w:r>
      <w:r w:rsidRPr="00536C18">
        <w:rPr>
          <w:rFonts w:ascii="Times New Roman" w:eastAsia="SimSun" w:hAnsi="Times New Roman" w:cs="Calibri"/>
          <w:color w:val="000000" w:themeColor="text1"/>
          <w:lang w:eastAsia="hi-IN" w:bidi="hi-IN"/>
        </w:rPr>
        <w:t xml:space="preserve">there </w:t>
      </w:r>
      <w:r w:rsidR="00714806">
        <w:rPr>
          <w:rFonts w:ascii="Times New Roman" w:eastAsia="SimSun" w:hAnsi="Times New Roman" w:cs="Calibri"/>
          <w:color w:val="000000" w:themeColor="text1"/>
          <w:lang w:eastAsia="hi-IN" w:bidi="hi-IN"/>
        </w:rPr>
        <w:t>is</w:t>
      </w:r>
      <w:r w:rsidRPr="00536C18">
        <w:rPr>
          <w:rFonts w:ascii="Times New Roman" w:eastAsia="SimSun" w:hAnsi="Times New Roman" w:cs="Calibri"/>
          <w:color w:val="000000" w:themeColor="text1"/>
          <w:lang w:eastAsia="hi-IN" w:bidi="hi-IN"/>
        </w:rPr>
        <w:t xml:space="preserve"> escape into the environment </w:t>
      </w:r>
      <w:r w:rsidR="00824E1E">
        <w:rPr>
          <w:rFonts w:ascii="Times New Roman" w:eastAsia="SimSun" w:hAnsi="Times New Roman" w:cs="Calibri"/>
          <w:color w:val="000000" w:themeColor="text1"/>
          <w:lang w:eastAsia="hi-IN" w:bidi="hi-IN"/>
        </w:rPr>
        <w:fldChar w:fldCharType="begin" w:fldLock="1"/>
      </w:r>
      <w:r w:rsidR="000F1DBA">
        <w:rPr>
          <w:rFonts w:ascii="Times New Roman" w:eastAsia="SimSun" w:hAnsi="Times New Roman" w:cs="Calibri"/>
          <w:color w:val="000000" w:themeColor="text1"/>
          <w:lang w:eastAsia="hi-IN" w:bidi="hi-IN"/>
        </w:rPr>
        <w:instrText>ADDIN CSL_CITATION {"citationItems":[{"id":"ITEM-1","itemData":{"DOI":"10.1016/j.rser.2017.08.042","ISSN":"18790690","abstract":"The rapid growth of human population has led to mounting energy demands, which is projected to increase by 50% or more by 2030. The natural petroleum can not catch-up the current consumption rate, which is already reported to be 105 times faster than nature can create. Besides, the use of fossil fuels is devastating to our environment through greenhouse gas emissions and consequent global warming. Therefore, the search for ‘clean’ energy has become the most overwhelming challenges. Currently, several alternatives are being studied and implemented. Biofuels, fuels from living organisms, provide environmental benefits, since their use leads to a decrease in the harmful emissions of CO2 and hydrocarbons and, to the elimination of SOx emissions, with a consequent decrease in the greenhouse effects. Unfortunately, the present biofuel projections are based on feed-stocks that are also food commodities and resources suitable for conventional agriculture. One possibility to overcome the problem is the cultivation of micro-algae and switching to third generation biofuels, which seem to be a promising source since algae are able to efficiently convert sunlight, water, and CO2 into a variety of products suitable for renewable energy applications. Therefore, this review is intended to recapitulate current works on micro-algal biofuel production potential and discuss possible ways to put it into practice. This review starts by highlighting the advantages and various forms of micro-algal biofuels. Some of the micro-algal species proved to be suitable for biofuel production so far are considered, with particular emphasis on Scenedesmus obliquus. The recent attempts and achievements in improving the economies of production through genetic and metabolic engineering of micro-algal strains are also addressed. Other potential applications such as wastewater treatment and CO2 mitigation that can be coupled with biofuel production are described. Finally, the promises and challenges of algae to biofuel industry are uncovered.","author":[{"dropping-particle":"","family":"Shuba","given":"Eyasu Shumbulo","non-dropping-particle":"","parse-names":false,"suffix":""},{"dropping-particle":"","family":"Kifle","given":"Demeke","non-dropping-particle":"","parse-names":false,"suffix":""}],"container-title":"Renewable and Sustainable Energy Reviews","id":"ITEM-1","issued":{"date-parts":[["2018"]]},"page":"743-755","publisher":"Elsevier Ltd","title":"Microalgae to biofuels: ‘Promising’ alternative and renewable energy, review","type":"article","volume":"81"},"uris":["http://www.mendeley.com/documents/?uuid=77df0e0f-dbb3-4d0b-a3a3-298e038632e5"]}],"mendeley":{"formattedCitation":"(Shuba &amp; Kifle, 2018)","plainTextFormattedCitation":"(Shuba &amp; Kifle, 2018)","previouslyFormattedCitation":"(Shuba &amp; Kifle, 2018)"},"properties":{"noteIndex":0},"schema":"https://github.com/citation-style-language/schema/raw/master/csl-citation.json"}</w:instrText>
      </w:r>
      <w:r w:rsidR="00824E1E">
        <w:rPr>
          <w:rFonts w:ascii="Times New Roman" w:eastAsia="SimSun" w:hAnsi="Times New Roman" w:cs="Calibri"/>
          <w:color w:val="000000" w:themeColor="text1"/>
          <w:lang w:eastAsia="hi-IN" w:bidi="hi-IN"/>
        </w:rPr>
        <w:fldChar w:fldCharType="separate"/>
      </w:r>
      <w:r w:rsidR="00824E1E" w:rsidRPr="00824E1E">
        <w:rPr>
          <w:rFonts w:ascii="Times New Roman" w:eastAsia="SimSun" w:hAnsi="Times New Roman" w:cs="Calibri"/>
          <w:noProof/>
          <w:color w:val="000000" w:themeColor="text1"/>
          <w:lang w:eastAsia="hi-IN" w:bidi="hi-IN"/>
        </w:rPr>
        <w:t>(Shuba &amp; Kifle, 2018)</w:t>
      </w:r>
      <w:r w:rsidR="00824E1E">
        <w:rPr>
          <w:rFonts w:ascii="Times New Roman" w:eastAsia="SimSun" w:hAnsi="Times New Roman" w:cs="Calibri"/>
          <w:color w:val="000000" w:themeColor="text1"/>
          <w:lang w:eastAsia="hi-IN" w:bidi="hi-IN"/>
        </w:rPr>
        <w:fldChar w:fldCharType="end"/>
      </w:r>
      <w:r w:rsidR="00330B40">
        <w:rPr>
          <w:rFonts w:ascii="Times New Roman" w:eastAsia="SimSun" w:hAnsi="Times New Roman" w:cs="Calibri"/>
          <w:color w:val="000000" w:themeColor="text1"/>
          <w:lang w:eastAsia="hi-IN" w:bidi="hi-IN"/>
        </w:rPr>
        <w:t xml:space="preserve">, there is the </w:t>
      </w:r>
      <w:r w:rsidRPr="00536C18">
        <w:rPr>
          <w:rFonts w:ascii="Times New Roman" w:eastAsia="SimSun" w:hAnsi="Times New Roman" w:cs="Calibri"/>
          <w:color w:val="000000" w:themeColor="text1"/>
          <w:lang w:eastAsia="hi-IN" w:bidi="hi-IN"/>
        </w:rPr>
        <w:t xml:space="preserve">potential </w:t>
      </w:r>
      <w:r w:rsidR="00330B40">
        <w:rPr>
          <w:rFonts w:ascii="Times New Roman" w:eastAsia="SimSun" w:hAnsi="Times New Roman" w:cs="Calibri"/>
          <w:color w:val="000000" w:themeColor="text1"/>
          <w:lang w:eastAsia="hi-IN" w:bidi="hi-IN"/>
        </w:rPr>
        <w:t>for</w:t>
      </w:r>
      <w:r w:rsidR="002D4AB7">
        <w:rPr>
          <w:rFonts w:ascii="Times New Roman" w:eastAsia="SimSun" w:hAnsi="Times New Roman" w:cs="Calibri"/>
          <w:color w:val="000000" w:themeColor="text1"/>
          <w:lang w:eastAsia="hi-IN" w:bidi="hi-IN"/>
        </w:rPr>
        <w:t>:</w:t>
      </w:r>
      <w:r w:rsidRPr="00536C18">
        <w:rPr>
          <w:rFonts w:ascii="Times New Roman" w:eastAsia="SimSun" w:hAnsi="Times New Roman" w:cs="Calibri"/>
          <w:color w:val="000000" w:themeColor="text1"/>
          <w:lang w:eastAsia="hi-IN" w:bidi="hi-IN"/>
        </w:rPr>
        <w:t xml:space="preserve"> nutrient depletion </w:t>
      </w:r>
      <w:r w:rsidR="00E55BEB">
        <w:rPr>
          <w:rFonts w:ascii="Times New Roman" w:eastAsia="SimSun" w:hAnsi="Times New Roman" w:cs="Calibri"/>
          <w:color w:val="000000" w:themeColor="text1"/>
          <w:lang w:eastAsia="hi-IN" w:bidi="hi-IN"/>
        </w:rPr>
        <w:t>and a</w:t>
      </w:r>
      <w:r w:rsidRPr="00536C18">
        <w:rPr>
          <w:rFonts w:ascii="Times New Roman" w:eastAsia="SimSun" w:hAnsi="Times New Roman" w:cs="Calibri"/>
          <w:color w:val="000000" w:themeColor="text1"/>
          <w:lang w:eastAsia="hi-IN" w:bidi="hi-IN"/>
        </w:rPr>
        <w:t xml:space="preserve"> </w:t>
      </w:r>
      <w:r w:rsidR="00E55BEB">
        <w:rPr>
          <w:rFonts w:ascii="Times New Roman" w:eastAsia="SimSun" w:hAnsi="Times New Roman" w:cs="Calibri"/>
          <w:color w:val="000000" w:themeColor="text1"/>
          <w:lang w:eastAsia="hi-IN" w:bidi="hi-IN"/>
        </w:rPr>
        <w:t>resultant</w:t>
      </w:r>
      <w:r w:rsidRPr="00536C18">
        <w:rPr>
          <w:rFonts w:ascii="Times New Roman" w:eastAsia="SimSun" w:hAnsi="Times New Roman" w:cs="Calibri"/>
          <w:color w:val="000000" w:themeColor="text1"/>
          <w:lang w:eastAsia="hi-IN" w:bidi="hi-IN"/>
        </w:rPr>
        <w:t xml:space="preserve"> reduc</w:t>
      </w:r>
      <w:r w:rsidR="0013620A">
        <w:rPr>
          <w:rFonts w:ascii="Times New Roman" w:eastAsia="SimSun" w:hAnsi="Times New Roman" w:cs="Calibri"/>
          <w:color w:val="000000" w:themeColor="text1"/>
          <w:lang w:eastAsia="hi-IN" w:bidi="hi-IN"/>
        </w:rPr>
        <w:t>tion in</w:t>
      </w:r>
      <w:r w:rsidRPr="00536C18">
        <w:rPr>
          <w:rFonts w:ascii="Times New Roman" w:eastAsia="SimSun" w:hAnsi="Times New Roman" w:cs="Calibri"/>
          <w:color w:val="000000" w:themeColor="text1"/>
          <w:lang w:eastAsia="hi-IN" w:bidi="hi-IN"/>
        </w:rPr>
        <w:t xml:space="preserve"> local biodiversity</w:t>
      </w:r>
      <w:r w:rsidR="002D4AB7">
        <w:rPr>
          <w:rFonts w:ascii="Times New Roman" w:eastAsia="SimSun" w:hAnsi="Times New Roman" w:cs="Calibri"/>
          <w:color w:val="000000" w:themeColor="text1"/>
          <w:lang w:eastAsia="hi-IN" w:bidi="hi-IN"/>
        </w:rPr>
        <w:t>;</w:t>
      </w:r>
      <w:r w:rsidRPr="00536C18">
        <w:rPr>
          <w:rFonts w:ascii="Times New Roman" w:eastAsia="SimSun" w:hAnsi="Times New Roman" w:cs="Calibri"/>
          <w:color w:val="000000" w:themeColor="text1"/>
          <w:lang w:eastAsia="hi-IN" w:bidi="hi-IN"/>
        </w:rPr>
        <w:t xml:space="preserve"> </w:t>
      </w:r>
      <w:r w:rsidR="002D4AB7">
        <w:rPr>
          <w:rFonts w:ascii="Times New Roman" w:eastAsia="SimSun" w:hAnsi="Times New Roman" w:cs="Calibri"/>
          <w:color w:val="000000" w:themeColor="text1"/>
          <w:lang w:eastAsia="hi-IN" w:bidi="hi-IN"/>
        </w:rPr>
        <w:t>increased</w:t>
      </w:r>
      <w:r w:rsidRPr="00536C18">
        <w:rPr>
          <w:rFonts w:ascii="Times New Roman" w:eastAsia="SimSun" w:hAnsi="Times New Roman" w:cs="Calibri"/>
          <w:color w:val="000000" w:themeColor="text1"/>
          <w:lang w:eastAsia="hi-IN" w:bidi="hi-IN"/>
        </w:rPr>
        <w:t xml:space="preserve"> fitness advantages to out</w:t>
      </w:r>
      <w:r w:rsidR="002D4AB7">
        <w:rPr>
          <w:rFonts w:ascii="Times New Roman" w:eastAsia="SimSun" w:hAnsi="Times New Roman" w:cs="Calibri"/>
          <w:color w:val="000000" w:themeColor="text1"/>
          <w:lang w:eastAsia="hi-IN" w:bidi="hi-IN"/>
        </w:rPr>
        <w:t>-</w:t>
      </w:r>
      <w:r w:rsidRPr="00536C18">
        <w:rPr>
          <w:rFonts w:ascii="Times New Roman" w:eastAsia="SimSun" w:hAnsi="Times New Roman" w:cs="Calibri"/>
          <w:color w:val="000000" w:themeColor="text1"/>
          <w:lang w:eastAsia="hi-IN" w:bidi="hi-IN"/>
        </w:rPr>
        <w:t>compete native species</w:t>
      </w:r>
      <w:r w:rsidR="002D4AB7">
        <w:rPr>
          <w:rFonts w:ascii="Times New Roman" w:eastAsia="SimSun" w:hAnsi="Times New Roman" w:cs="Calibri"/>
          <w:color w:val="000000" w:themeColor="text1"/>
          <w:lang w:eastAsia="hi-IN" w:bidi="hi-IN"/>
        </w:rPr>
        <w:t>,</w:t>
      </w:r>
      <w:r w:rsidRPr="00536C18">
        <w:rPr>
          <w:rFonts w:ascii="Times New Roman" w:eastAsia="SimSun" w:hAnsi="Times New Roman" w:cs="Calibri"/>
          <w:color w:val="000000" w:themeColor="text1"/>
          <w:lang w:eastAsia="hi-IN" w:bidi="hi-IN"/>
        </w:rPr>
        <w:t xml:space="preserve"> and/or</w:t>
      </w:r>
      <w:r w:rsidR="002D4AB7">
        <w:rPr>
          <w:rFonts w:ascii="Times New Roman" w:eastAsia="SimSun" w:hAnsi="Times New Roman" w:cs="Calibri"/>
          <w:color w:val="000000" w:themeColor="text1"/>
          <w:lang w:eastAsia="hi-IN" w:bidi="hi-IN"/>
        </w:rPr>
        <w:t>;</w:t>
      </w:r>
      <w:r w:rsidRPr="00536C18">
        <w:rPr>
          <w:rFonts w:ascii="Times New Roman" w:eastAsia="SimSun" w:hAnsi="Times New Roman" w:cs="Calibri"/>
          <w:color w:val="000000" w:themeColor="text1"/>
          <w:lang w:eastAsia="hi-IN" w:bidi="hi-IN"/>
        </w:rPr>
        <w:t xml:space="preserve"> the production of toxins linked to algal blooms </w:t>
      </w:r>
      <w:r w:rsidR="000F1DBA">
        <w:rPr>
          <w:rFonts w:ascii="Times New Roman" w:eastAsia="SimSun" w:hAnsi="Times New Roman" w:cs="Calibri"/>
          <w:color w:val="000000" w:themeColor="text1"/>
          <w:lang w:eastAsia="hi-IN" w:bidi="hi-IN"/>
        </w:rPr>
        <w:fldChar w:fldCharType="begin" w:fldLock="1"/>
      </w:r>
      <w:r w:rsidR="000F1DBA">
        <w:rPr>
          <w:rFonts w:ascii="Times New Roman" w:eastAsia="SimSun" w:hAnsi="Times New Roman" w:cs="Calibri"/>
          <w:color w:val="000000" w:themeColor="text1"/>
          <w:lang w:eastAsia="hi-IN" w:bidi="hi-IN"/>
        </w:rPr>
        <w:instrText>ADDIN CSL_CITATION {"citationItems":[{"id":"ITEM-1","itemData":{"DOI":"10.1016/j.rser.2019.02.018","ISSN":"13640321","author":[{"dropping-particle":"","family":"Abdullah","given":"Bawadi","non-dropping-particle":"","parse-names":false,"suffix":""},{"dropping-particle":"","family":"Syed Muhammad","given":"Syed Anuar Faua’ad","non-dropping-particle":"","parse-names":false,"suffix":""},{"dropping-particle":"","family":"Shokravi","given":"Zahra","non-dropping-particle":"","parse-names":false,"suffix":""},{"dropping-particle":"","family":"Ismail","given":"Shahrul","non-dropping-particle":"","parse-names":false,"suffix":""},{"dropping-particle":"","family":"Kassim","given":"Khairul Anuar","non-dropping-particle":"","parse-names":false,"suffix":""},{"dropping-particle":"","family":"Mahmood","given":"Azmi Nik","non-dropping-particle":"","parse-names":false,"suffix":""},{"dropping-particle":"","family":"Aziz","given":"Md Maniruzzaman A.","non-dropping-particle":"","parse-names":false,"suffix":""}],"container-title":"Renewable and Sustainable Energy Reviews","id":"ITEM-1","issued":{"date-parts":[["2019","6"]]},"page":"37-50","title":"Fourth generation biofuel: A review on risks and mitigation strategies","type":"article-journal","volume":"107"},"uris":["http://www.mendeley.com/documents/?uuid=ad6c77cb-d302-4c54-b5c3-4f374ce9352e"]}],"mendeley":{"formattedCitation":"(Abdullah et al., 2019)","plainTextFormattedCitation":"(Abdullah et al., 2019)","previouslyFormattedCitation":"(Abdullah et al., 2019)"},"properties":{"noteIndex":0},"schema":"https://github.com/citation-style-language/schema/raw/master/csl-citation.json"}</w:instrText>
      </w:r>
      <w:r w:rsidR="000F1DBA">
        <w:rPr>
          <w:rFonts w:ascii="Times New Roman" w:eastAsia="SimSun" w:hAnsi="Times New Roman" w:cs="Calibri"/>
          <w:color w:val="000000" w:themeColor="text1"/>
          <w:lang w:eastAsia="hi-IN" w:bidi="hi-IN"/>
        </w:rPr>
        <w:fldChar w:fldCharType="separate"/>
      </w:r>
      <w:r w:rsidR="000F1DBA" w:rsidRPr="000F1DBA">
        <w:rPr>
          <w:rFonts w:ascii="Times New Roman" w:eastAsia="SimSun" w:hAnsi="Times New Roman" w:cs="Calibri"/>
          <w:noProof/>
          <w:color w:val="000000" w:themeColor="text1"/>
          <w:lang w:eastAsia="hi-IN" w:bidi="hi-IN"/>
        </w:rPr>
        <w:t>(Abdullah et al., 2019)</w:t>
      </w:r>
      <w:r w:rsidR="000F1DBA">
        <w:rPr>
          <w:rFonts w:ascii="Times New Roman" w:eastAsia="SimSun" w:hAnsi="Times New Roman" w:cs="Calibri"/>
          <w:color w:val="000000" w:themeColor="text1"/>
          <w:lang w:eastAsia="hi-IN" w:bidi="hi-IN"/>
        </w:rPr>
        <w:fldChar w:fldCharType="end"/>
      </w:r>
      <w:r w:rsidRPr="00536C18">
        <w:rPr>
          <w:rFonts w:ascii="Times New Roman" w:eastAsia="SimSun" w:hAnsi="Times New Roman" w:cs="Calibri"/>
          <w:color w:val="000000" w:themeColor="text1"/>
          <w:lang w:eastAsia="hi-IN" w:bidi="hi-IN"/>
        </w:rPr>
        <w:t xml:space="preserve">. </w:t>
      </w:r>
      <w:r w:rsidR="00B13D23">
        <w:rPr>
          <w:rFonts w:ascii="Times New Roman" w:eastAsia="SimSun" w:hAnsi="Times New Roman" w:cs="Calibri"/>
          <w:color w:val="000000" w:themeColor="text1"/>
          <w:lang w:eastAsia="hi-IN" w:bidi="hi-IN"/>
        </w:rPr>
        <w:t>U</w:t>
      </w:r>
      <w:r w:rsidRPr="00536C18">
        <w:rPr>
          <w:rFonts w:ascii="Times New Roman" w:eastAsia="SimSun" w:hAnsi="Times New Roman" w:cs="Calibri"/>
          <w:color w:val="000000" w:themeColor="text1"/>
          <w:lang w:eastAsia="hi-IN" w:bidi="hi-IN"/>
        </w:rPr>
        <w:t>nder contained conditions, such as production in photobioreactors, it would be likely that potential</w:t>
      </w:r>
      <w:r w:rsidR="00775219">
        <w:rPr>
          <w:rFonts w:ascii="Times New Roman" w:eastAsia="SimSun" w:hAnsi="Times New Roman" w:cs="Calibri"/>
          <w:color w:val="000000" w:themeColor="text1"/>
          <w:lang w:eastAsia="hi-IN" w:bidi="hi-IN"/>
        </w:rPr>
        <w:t xml:space="preserve"> direct</w:t>
      </w:r>
      <w:r w:rsidRPr="00536C18">
        <w:rPr>
          <w:rFonts w:ascii="Times New Roman" w:eastAsia="SimSun" w:hAnsi="Times New Roman" w:cs="Calibri"/>
          <w:color w:val="000000" w:themeColor="text1"/>
          <w:lang w:eastAsia="hi-IN" w:bidi="hi-IN"/>
        </w:rPr>
        <w:t xml:space="preserve"> negative environmental impacts would be </w:t>
      </w:r>
      <w:r w:rsidR="005C3D9E" w:rsidRPr="00536C18">
        <w:rPr>
          <w:rFonts w:ascii="Times New Roman" w:eastAsia="SimSun" w:hAnsi="Times New Roman" w:cs="Calibri"/>
          <w:color w:val="000000" w:themeColor="text1"/>
          <w:lang w:eastAsia="hi-IN" w:bidi="hi-IN"/>
        </w:rPr>
        <w:t>minimi</w:t>
      </w:r>
      <w:r w:rsidR="005C3D9E">
        <w:rPr>
          <w:rFonts w:ascii="Times New Roman" w:eastAsia="SimSun" w:hAnsi="Times New Roman" w:cs="Calibri"/>
          <w:color w:val="000000" w:themeColor="text1"/>
          <w:lang w:eastAsia="hi-IN" w:bidi="hi-IN"/>
        </w:rPr>
        <w:t>s</w:t>
      </w:r>
      <w:r w:rsidR="005C3D9E" w:rsidRPr="00536C18">
        <w:rPr>
          <w:rFonts w:ascii="Times New Roman" w:eastAsia="SimSun" w:hAnsi="Times New Roman" w:cs="Calibri"/>
          <w:color w:val="000000" w:themeColor="text1"/>
          <w:lang w:eastAsia="hi-IN" w:bidi="hi-IN"/>
        </w:rPr>
        <w:t>ed</w:t>
      </w:r>
      <w:r w:rsidRPr="00536C18">
        <w:rPr>
          <w:rFonts w:ascii="Times New Roman" w:eastAsia="SimSun" w:hAnsi="Times New Roman" w:cs="Calibri"/>
          <w:color w:val="000000" w:themeColor="text1"/>
          <w:lang w:eastAsia="hi-IN" w:bidi="hi-IN"/>
        </w:rPr>
        <w:t xml:space="preserve"> as </w:t>
      </w:r>
      <w:r w:rsidR="00097397">
        <w:rPr>
          <w:rFonts w:ascii="Times New Roman" w:eastAsia="SimSun" w:hAnsi="Times New Roman" w:cs="Calibri"/>
          <w:color w:val="000000" w:themeColor="text1"/>
          <w:lang w:eastAsia="hi-IN" w:bidi="hi-IN"/>
        </w:rPr>
        <w:t>production conditions</w:t>
      </w:r>
      <w:r w:rsidRPr="00536C18">
        <w:rPr>
          <w:rFonts w:ascii="Times New Roman" w:eastAsia="SimSun" w:hAnsi="Times New Roman" w:cs="Calibri"/>
          <w:color w:val="000000" w:themeColor="text1"/>
          <w:lang w:eastAsia="hi-IN" w:bidi="hi-IN"/>
        </w:rPr>
        <w:t xml:space="preserve"> would be </w:t>
      </w:r>
      <w:r w:rsidR="003569A8">
        <w:rPr>
          <w:rFonts w:ascii="Times New Roman" w:eastAsia="SimSun" w:hAnsi="Times New Roman" w:cs="Calibri"/>
          <w:color w:val="000000" w:themeColor="text1"/>
          <w:lang w:eastAsia="hi-IN" w:bidi="hi-IN"/>
        </w:rPr>
        <w:t>more</w:t>
      </w:r>
      <w:r w:rsidRPr="00536C18">
        <w:rPr>
          <w:rFonts w:ascii="Times New Roman" w:eastAsia="SimSun" w:hAnsi="Times New Roman" w:cs="Calibri"/>
          <w:color w:val="000000" w:themeColor="text1"/>
          <w:lang w:eastAsia="hi-IN" w:bidi="hi-IN"/>
        </w:rPr>
        <w:t xml:space="preserve"> strictly controlled </w:t>
      </w:r>
      <w:r w:rsidR="00824E1E">
        <w:rPr>
          <w:rFonts w:ascii="Times New Roman" w:eastAsia="SimSun" w:hAnsi="Times New Roman" w:cs="Calibri"/>
          <w:color w:val="000000" w:themeColor="text1"/>
          <w:lang w:eastAsia="hi-IN" w:bidi="hi-IN"/>
        </w:rPr>
        <w:fldChar w:fldCharType="begin" w:fldLock="1"/>
      </w:r>
      <w:r w:rsidR="000F1DBA">
        <w:rPr>
          <w:rFonts w:ascii="Times New Roman" w:eastAsia="SimSun" w:hAnsi="Times New Roman" w:cs="Calibri"/>
          <w:color w:val="000000" w:themeColor="text1"/>
          <w:lang w:eastAsia="hi-IN" w:bidi="hi-IN"/>
        </w:rPr>
        <w:instrText>ADDIN CSL_CITATION {"citationItems":[{"id":"ITEM-1","itemData":{"DOI":"10.1016/j.rser.2017.08.042","ISSN":"18790690","abstract":"The rapid growth of human population has led to mounting energy demands, which is projected to increase by 50% or more by 2030. The natural petroleum can not catch-up the current consumption rate, which is already reported to be 105 times faster than nature can create. Besides, the use of fossil fuels is devastating to our environment through greenhouse gas emissions and consequent global warming. Therefore, the search for ‘clean’ energy has become the most overwhelming challenges. Currently, several alternatives are being studied and implemented. Biofuels, fuels from living organisms, provide environmental benefits, since their use leads to a decrease in the harmful emissions of CO2 and hydrocarbons and, to the elimination of SOx emissions, with a consequent decrease in the greenhouse effects. Unfortunately, the present biofuel projections are based on feed-stocks that are also food commodities and resources suitable for conventional agriculture. One possibility to overcome the problem is the cultivation of micro-algae and switching to third generation biofuels, which seem to be a promising source since algae are able to efficiently convert sunlight, water, and CO2 into a variety of products suitable for renewable energy applications. Therefore, this review is intended to recapitulate current works on micro-algal biofuel production potential and discuss possible ways to put it into practice. This review starts by highlighting the advantages and various forms of micro-algal biofuels. Some of the micro-algal species proved to be suitable for biofuel production so far are considered, with particular emphasis on Scenedesmus obliquus. The recent attempts and achievements in improving the economies of production through genetic and metabolic engineering of micro-algal strains are also addressed. Other potential applications such as wastewater treatment and CO2 mitigation that can be coupled with biofuel production are described. Finally, the promises and challenges of algae to biofuel industry are uncovered.","author":[{"dropping-particle":"","family":"Shuba","given":"Eyasu Shumbulo","non-dropping-particle":"","parse-names":false,"suffix":""},{"dropping-particle":"","family":"Kifle","given":"Demeke","non-dropping-particle":"","parse-names":false,"suffix":""}],"container-title":"Renewable and Sustainable Energy Reviews","id":"ITEM-1","issued":{"date-parts":[["2018"]]},"page":"743-755","publisher":"Elsevier Ltd","title":"Microalgae to biofuels: ‘Promising’ alternative and renewable energy, review","type":"article","volume":"81"},"uris":["http://www.mendeley.com/documents/?uuid=77df0e0f-dbb3-4d0b-a3a3-298e038632e5"]}],"mendeley":{"formattedCitation":"(Shuba &amp; Kifle, 2018)","plainTextFormattedCitation":"(Shuba &amp; Kifle, 2018)","previouslyFormattedCitation":"(Shuba &amp; Kifle, 2018)"},"properties":{"noteIndex":0},"schema":"https://github.com/citation-style-language/schema/raw/master/csl-citation.json"}</w:instrText>
      </w:r>
      <w:r w:rsidR="00824E1E">
        <w:rPr>
          <w:rFonts w:ascii="Times New Roman" w:eastAsia="SimSun" w:hAnsi="Times New Roman" w:cs="Calibri"/>
          <w:color w:val="000000" w:themeColor="text1"/>
          <w:lang w:eastAsia="hi-IN" w:bidi="hi-IN"/>
        </w:rPr>
        <w:fldChar w:fldCharType="separate"/>
      </w:r>
      <w:r w:rsidR="00824E1E" w:rsidRPr="00824E1E">
        <w:rPr>
          <w:rFonts w:ascii="Times New Roman" w:eastAsia="SimSun" w:hAnsi="Times New Roman" w:cs="Calibri"/>
          <w:noProof/>
          <w:color w:val="000000" w:themeColor="text1"/>
          <w:lang w:eastAsia="hi-IN" w:bidi="hi-IN"/>
        </w:rPr>
        <w:t>(Shuba &amp; Kifle, 2018)</w:t>
      </w:r>
      <w:r w:rsidR="00824E1E">
        <w:rPr>
          <w:rFonts w:ascii="Times New Roman" w:eastAsia="SimSun" w:hAnsi="Times New Roman" w:cs="Calibri"/>
          <w:color w:val="000000" w:themeColor="text1"/>
          <w:lang w:eastAsia="hi-IN" w:bidi="hi-IN"/>
        </w:rPr>
        <w:fldChar w:fldCharType="end"/>
      </w:r>
      <w:r w:rsidRPr="00536C18">
        <w:rPr>
          <w:rFonts w:ascii="Times New Roman" w:eastAsia="SimSun" w:hAnsi="Times New Roman" w:cs="Calibri"/>
          <w:color w:val="000000" w:themeColor="text1"/>
          <w:lang w:eastAsia="hi-IN" w:bidi="hi-IN"/>
        </w:rPr>
        <w:t>.</w:t>
      </w:r>
      <w:r w:rsidR="00B13D23">
        <w:rPr>
          <w:rFonts w:ascii="Times New Roman" w:eastAsia="SimSun" w:hAnsi="Times New Roman" w:cs="Calibri"/>
          <w:color w:val="000000" w:themeColor="text1"/>
          <w:lang w:eastAsia="hi-IN" w:bidi="hi-IN"/>
        </w:rPr>
        <w:t xml:space="preserve"> However, it is important to </w:t>
      </w:r>
      <w:r w:rsidR="00775219">
        <w:rPr>
          <w:rFonts w:ascii="Times New Roman" w:eastAsia="SimSun" w:hAnsi="Times New Roman" w:cs="Calibri"/>
          <w:color w:val="000000" w:themeColor="text1"/>
          <w:lang w:eastAsia="hi-IN" w:bidi="hi-IN"/>
        </w:rPr>
        <w:t>consider</w:t>
      </w:r>
      <w:r w:rsidR="00B13D23">
        <w:rPr>
          <w:rFonts w:ascii="Times New Roman" w:eastAsia="SimSun" w:hAnsi="Times New Roman" w:cs="Calibri"/>
          <w:color w:val="000000" w:themeColor="text1"/>
          <w:lang w:eastAsia="hi-IN" w:bidi="hi-IN"/>
        </w:rPr>
        <w:t xml:space="preserve"> that these operations could be energy intensive</w:t>
      </w:r>
      <w:r w:rsidR="00775219">
        <w:rPr>
          <w:rFonts w:ascii="Times New Roman" w:eastAsia="SimSun" w:hAnsi="Times New Roman" w:cs="Calibri"/>
          <w:color w:val="000000" w:themeColor="text1"/>
          <w:lang w:eastAsia="hi-IN" w:bidi="hi-IN"/>
        </w:rPr>
        <w:t xml:space="preserve"> and produce higher </w:t>
      </w:r>
      <w:r w:rsidR="002C1E06">
        <w:rPr>
          <w:rFonts w:ascii="Times New Roman" w:eastAsia="SimSun" w:hAnsi="Times New Roman" w:cs="Calibri"/>
          <w:color w:val="000000" w:themeColor="text1"/>
          <w:lang w:eastAsia="hi-IN" w:bidi="hi-IN"/>
        </w:rPr>
        <w:t xml:space="preserve">lifecycle </w:t>
      </w:r>
      <w:r w:rsidR="00775219">
        <w:rPr>
          <w:rFonts w:ascii="Times New Roman" w:eastAsia="SimSun" w:hAnsi="Times New Roman" w:cs="Calibri"/>
          <w:color w:val="000000" w:themeColor="text1"/>
          <w:lang w:eastAsia="hi-IN" w:bidi="hi-IN"/>
        </w:rPr>
        <w:t xml:space="preserve">emissions </w:t>
      </w:r>
      <w:r w:rsidR="00247A33">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{"citationItems":[{"id":"ITEM-1","itemData":{"DOI":"10.1098/rspa.2020.0351","ISSN":"14712946","abstract":"Biofuels are being promoted as a low-carbon alternative to fossil fuels as they could help to reduce greenhouse gas (GHG) emissions and the related climate change impact from transport. However, there are also concerns that their wider deployment could lead to unintended environmental consequences. Numerous life cycle assessment (LCA) studies have considered the climate change and other environmental impacts of biofuels. However, their findings are often conflicting, with a wide variation in the estimates. Thus, the aim of this paper is to review and analyse the latest available evidence to provide a greater clarity and understanding of the environmental impacts of different liquid biofuels. It is evident from the review that the outcomes of LCA studies are highly situational and dependent on many factors, including the type of feedstock, production routes, data variations and methodological choices. Despite this, the existing evidence suggests that, if no land-use change (LUC) is involved, first-generation biofuels can - on average - have lower GHG emissions than fossil fuels, but the reductions for most feedstocks are insufficient to meet the GHG savings required by the EU Renewable Energy Directive (RED). However, second-generation biofuels have, in general, a greater potential to reduce the emissions, provided there is no LUC. Third-generation biofuels do not represent a feasible option at present state of development as their GHG emissions are higher than those from fossil fuels. As also discussed in the paper, several studies show that reductions in GHG emissions from biofuels are achieved at the expense of other impacts, such as acidification, eutrophication, water footprint and biodiversity loss. The paper also investigates the key methodological aspects and sources of uncertainty in the LCA of biofuels and provides recommendations to address these issues.","author":[{"dropping-particle":"","family":"Jeswani","given":"Harish K.","non-dropping-particle":"","parse-names":false,"suffix":""},{"dropping-particle":"","family":"Chilvers","given":"Andrew","non-dropping-particle":"","parse-names":false,"suffix":""},{"dropping-particle":"","family":"Azapagic","given":"Adisa","non-dropping-particle":"","parse-names":false,"suffix":""}],"container-title":"Proceedings of the Royal Society A: Mathematical, Physical and Engineering Sciences","id":"ITEM-1","issue":"2243","issued":{"date-parts":[["2020","11"]]},"publisher":"Royal Society Publishing","title":"Environmental sustainability of biofuels: A review: Environmental sustainability of biofuels","type":"article","volume":"476"},"uris":["http://www.mendeley.com/documents/?uuid=08f8e788-1443-4355-bfe4-ae72cb558635","http://www.mendeley.com/documents/?uuid=490a314a-1bf4-3454-8b74-aeb4bcdd8982"]}],"mendeley":{"formattedCitation":"(Jeswani et al., 2020)","plainTextFormattedCitation":"(Jeswani et al., 2020)","previouslyFormattedCitation":"(Jeswani et al., 2020)"},"properties":{"noteIndex":0},"schema":"https://github.com/citation-style-language/schema/raw/master/csl-citation.json"}</w:instrText>
      </w:r>
      <w:r w:rsidR="00247A33">
        <w:rPr>
          <w:rFonts w:ascii="Times New Roman" w:eastAsia="SimSun" w:hAnsi="Times New Roman" w:cs="Calibri"/>
          <w:color w:val="000000" w:themeColor="text1"/>
          <w:lang w:eastAsia="hi-IN" w:bidi="hi-IN"/>
        </w:rPr>
        <w:fldChar w:fldCharType="separate"/>
      </w:r>
      <w:r w:rsidR="00247A33" w:rsidRPr="00247A33">
        <w:rPr>
          <w:rFonts w:ascii="Times New Roman" w:eastAsia="SimSun" w:hAnsi="Times New Roman" w:cs="Calibri"/>
          <w:noProof/>
          <w:color w:val="000000" w:themeColor="text1"/>
          <w:lang w:eastAsia="hi-IN" w:bidi="hi-IN"/>
        </w:rPr>
        <w:t>(Jeswani et al., 2020)</w:t>
      </w:r>
      <w:r w:rsidR="00247A33">
        <w:rPr>
          <w:rFonts w:ascii="Times New Roman" w:eastAsia="SimSun" w:hAnsi="Times New Roman" w:cs="Calibri"/>
          <w:color w:val="000000" w:themeColor="text1"/>
          <w:lang w:eastAsia="hi-IN" w:bidi="hi-IN"/>
        </w:rPr>
        <w:fldChar w:fldCharType="end"/>
      </w:r>
      <w:r w:rsidR="0051645E">
        <w:rPr>
          <w:rFonts w:ascii="Times New Roman" w:eastAsia="SimSun" w:hAnsi="Times New Roman" w:cs="Calibri"/>
          <w:color w:val="000000" w:themeColor="text1"/>
          <w:lang w:eastAsia="hi-IN" w:bidi="hi-IN"/>
        </w:rPr>
        <w:t>.</w:t>
      </w:r>
    </w:p>
    <w:p w14:paraId="07EB4AD2" w14:textId="6BFB7EBD" w:rsidR="00536C18" w:rsidRPr="00536C18" w:rsidRDefault="00536C18" w:rsidP="00536C18">
      <w:pPr>
        <w:spacing w:before="120" w:after="120" w:line="240" w:lineRule="auto"/>
        <w:jc w:val="both"/>
        <w:rPr>
          <w:rFonts w:ascii="Times New Roman" w:eastAsia="SimSun" w:hAnsi="Times New Roman" w:cs="Calibri"/>
          <w:color w:val="000000" w:themeColor="text1"/>
          <w:lang w:eastAsia="hi-IN" w:bidi="hi-IN"/>
        </w:rPr>
      </w:pPr>
      <w:r w:rsidRPr="00536C18">
        <w:rPr>
          <w:rFonts w:ascii="Times New Roman" w:eastAsia="SimSun" w:hAnsi="Times New Roman" w:cs="Calibri"/>
          <w:color w:val="000000" w:themeColor="text1"/>
          <w:lang w:eastAsia="hi-IN" w:bidi="hi-IN"/>
        </w:rPr>
        <w:t>Beyond algal platforms, microbes can also be engineered to ‘recycle’ greenhouse gas and industrial off-gas emission</w:t>
      </w:r>
      <w:r w:rsidR="00A37186">
        <w:rPr>
          <w:rFonts w:ascii="Times New Roman" w:eastAsia="SimSun" w:hAnsi="Times New Roman" w:cs="Calibri"/>
          <w:color w:val="000000" w:themeColor="text1"/>
          <w:lang w:eastAsia="hi-IN" w:bidi="hi-IN"/>
        </w:rPr>
        <w:t>s</w:t>
      </w:r>
      <w:r w:rsidRPr="00536C18">
        <w:rPr>
          <w:rFonts w:ascii="Times New Roman" w:eastAsia="SimSun" w:hAnsi="Times New Roman" w:cs="Calibri"/>
          <w:color w:val="000000" w:themeColor="text1"/>
          <w:lang w:eastAsia="hi-IN" w:bidi="hi-IN"/>
        </w:rPr>
        <w:t xml:space="preserve"> to create chemical precursors and biofuels. For example, it was estimated that using a LanzaTech fermentation process, where microbes fermented gases to produce ethanol, greenhouse gas emissions could be reduced between 60 and 90</w:t>
      </w:r>
      <w:r w:rsidR="00DB767A">
        <w:rPr>
          <w:rFonts w:ascii="Times New Roman" w:eastAsia="SimSun" w:hAnsi="Times New Roman" w:cs="Calibri"/>
          <w:color w:val="000000" w:themeColor="text1"/>
          <w:lang w:eastAsia="hi-IN" w:bidi="hi-IN"/>
        </w:rPr>
        <w:t xml:space="preserve"> </w:t>
      </w:r>
      <w:r w:rsidRPr="00536C18">
        <w:rPr>
          <w:rFonts w:ascii="Times New Roman" w:eastAsia="SimSun" w:hAnsi="Times New Roman" w:cs="Calibri"/>
          <w:color w:val="000000" w:themeColor="text1"/>
          <w:lang w:eastAsia="hi-IN" w:bidi="hi-IN"/>
        </w:rPr>
        <w:t xml:space="preserve">% of conventional fossil gasoline, depending on </w:t>
      </w:r>
      <w:r w:rsidR="00DB767A">
        <w:rPr>
          <w:rFonts w:ascii="Times New Roman" w:eastAsia="SimSun" w:hAnsi="Times New Roman" w:cs="Calibri"/>
          <w:color w:val="000000" w:themeColor="text1"/>
          <w:lang w:eastAsia="hi-IN" w:bidi="hi-IN"/>
        </w:rPr>
        <w:t>whether</w:t>
      </w:r>
      <w:r w:rsidRPr="00536C18">
        <w:rPr>
          <w:rFonts w:ascii="Times New Roman" w:eastAsia="SimSun" w:hAnsi="Times New Roman" w:cs="Calibri"/>
          <w:color w:val="000000" w:themeColor="text1"/>
          <w:lang w:eastAsia="hi-IN" w:bidi="hi-IN"/>
        </w:rPr>
        <w:t xml:space="preserve"> the source was industrial off-gas or fermented biomass (switchgrass, corn stover, forest residue)</w:t>
      </w:r>
      <w:r w:rsidR="0045236E">
        <w:rPr>
          <w:rFonts w:ascii="Times New Roman" w:eastAsia="SimSun" w:hAnsi="Times New Roman" w:cs="Calibri"/>
          <w:color w:val="000000" w:themeColor="text1"/>
          <w:lang w:eastAsia="hi-IN" w:bidi="hi-IN"/>
        </w:rPr>
        <w:t xml:space="preserve"> </w:t>
      </w:r>
      <w:r w:rsidR="000F1DBA">
        <w:rPr>
          <w:rFonts w:ascii="Times New Roman" w:eastAsia="SimSun" w:hAnsi="Times New Roman" w:cs="Calibri"/>
          <w:color w:val="000000" w:themeColor="text1"/>
          <w:lang w:eastAsia="hi-IN" w:bidi="hi-IN"/>
        </w:rPr>
        <w:fldChar w:fldCharType="begin" w:fldLock="1"/>
      </w:r>
      <w:r w:rsidR="000F1DBA">
        <w:rPr>
          <w:rFonts w:ascii="Times New Roman" w:eastAsia="SimSun" w:hAnsi="Times New Roman" w:cs="Calibri"/>
          <w:color w:val="000000" w:themeColor="text1"/>
          <w:lang w:eastAsia="hi-IN" w:bidi="hi-IN"/>
        </w:rPr>
        <w:instrText>ADDIN CSL_CITATION {"citationItems":[{"id":"ITEM-1","itemData":{"DOI":"10.1021/acs.iecr.5b03215","ISSN":"15205045","abstract":"LanzaTech has developed novel microbial bioreactor systems capable of direct gas fermentation to produce ethanol from carbon-containing gases. In this study, a life-cycle assessment method is used to quantify the global warming potential of several scenarios for producing renewable ethanol with the LanzaTech process. Scenarios considering ethanol produced from steel mill waste gases or biomass (corn stover, forest residue, or switchgrass, via gasification) have been considered, using input data from peer-reviewed literature, government reports, life cycle inventory databases, and LanzaTech process engineering estimates. Using standardized life-cycle assessment methods, ethanol produced via LanzaTech fermentation appears to result in greenhouse gas emissions that are at least 60% lower than that of conventional fossil gasoline, with biomass-based ethanol achieving close to 90% emission reductions. Results indicate that the LanzaTech gas fermentation technology can be a viable alternative for producing next-generation biofuels that satisfy United States Renewable Fuels Standard policies concerning fuels with a reduced greenhouse gas emissions footprint.","author":[{"dropping-particle":"","family":"Handler","given":"Robert M","non-dropping-particle":"","parse-names":false,"suffix":""},{"dropping-particle":"","family":"Shonnard","given":"David R","non-dropping-particle":"","parse-names":false,"suffix":""},{"dropping-particle":"","family":"Griffing","given":"Evan M","non-dropping-particle":"","parse-names":false,"suffix":""},{"dropping-particle":"","family":"Lai","given":"Andrea","non-dropping-particle":"","parse-names":false,"suffix":""},{"dropping-particle":"","family":"Palou-Rivera","given":"Ignasi","non-dropping-particle":"","parse-names":false,"suffix":""}],"container-title":"Industrial and Engineering Chemistry Research","id":"ITEM-1","issue":"12","issued":{"date-parts":[["2016"]]},"page":"3253-3261","publisher":"American Chemical Society","title":"Life Cycle Assessments of Ethanol Production via Gas Fermentation: Anticipated Greenhouse Gas Emissions for Cellulosic and Waste Gas Feedstocks","type":"article-journal","volume":"55"},"uris":["http://www.mendeley.com/documents/?uuid=af527c36-822e-4ba4-aa1a-eaa9e6a5e3b8"]}],"mendeley":{"formattedCitation":"(Handler et al., 2016)","plainTextFormattedCitation":"(Handler et al., 2016)","previouslyFormattedCitation":"(Handler et al., 2016)"},"properties":{"noteIndex":0},"schema":"https://github.com/citation-style-language/schema/raw/master/csl-citation.json"}</w:instrText>
      </w:r>
      <w:r w:rsidR="000F1DBA">
        <w:rPr>
          <w:rFonts w:ascii="Times New Roman" w:eastAsia="SimSun" w:hAnsi="Times New Roman" w:cs="Calibri"/>
          <w:color w:val="000000" w:themeColor="text1"/>
          <w:lang w:eastAsia="hi-IN" w:bidi="hi-IN"/>
        </w:rPr>
        <w:fldChar w:fldCharType="separate"/>
      </w:r>
      <w:r w:rsidR="000F1DBA" w:rsidRPr="000F1DBA">
        <w:rPr>
          <w:rFonts w:ascii="Times New Roman" w:eastAsia="SimSun" w:hAnsi="Times New Roman" w:cs="Calibri"/>
          <w:noProof/>
          <w:color w:val="000000" w:themeColor="text1"/>
          <w:lang w:eastAsia="hi-IN" w:bidi="hi-IN"/>
        </w:rPr>
        <w:t>(Handler et al., 2016)</w:t>
      </w:r>
      <w:r w:rsidR="000F1DBA">
        <w:rPr>
          <w:rFonts w:ascii="Times New Roman" w:eastAsia="SimSun" w:hAnsi="Times New Roman" w:cs="Calibri"/>
          <w:color w:val="000000" w:themeColor="text1"/>
          <w:lang w:eastAsia="hi-IN" w:bidi="hi-IN"/>
        </w:rPr>
        <w:fldChar w:fldCharType="end"/>
      </w:r>
      <w:r w:rsidRPr="00536C18">
        <w:rPr>
          <w:rFonts w:ascii="Times New Roman" w:eastAsia="SimSun" w:hAnsi="Times New Roman" w:cs="Calibri"/>
          <w:color w:val="000000" w:themeColor="text1"/>
          <w:lang w:eastAsia="hi-IN" w:bidi="hi-IN"/>
        </w:rPr>
        <w:t xml:space="preserve">. Emission reductions can also be observed for petrochemical precursors when microbes incorporate atmospheric greenhouse or waste gases. </w:t>
      </w:r>
    </w:p>
    <w:p w14:paraId="68A21568" w14:textId="5138D6FA" w:rsidR="00536C18" w:rsidRPr="00536C18" w:rsidRDefault="00536C18" w:rsidP="00536C18">
      <w:pPr>
        <w:spacing w:before="120" w:after="120" w:line="240" w:lineRule="auto"/>
        <w:jc w:val="both"/>
        <w:rPr>
          <w:rFonts w:ascii="Times New Roman" w:eastAsia="SimSun" w:hAnsi="Times New Roman" w:cs="Calibri"/>
          <w:color w:val="000000" w:themeColor="text1"/>
          <w:lang w:eastAsia="hi-IN" w:bidi="hi-IN"/>
        </w:rPr>
      </w:pPr>
      <w:r w:rsidRPr="00536C18">
        <w:rPr>
          <w:rFonts w:ascii="Times New Roman" w:eastAsia="SimSun" w:hAnsi="Times New Roman" w:cs="Calibri"/>
          <w:color w:val="000000" w:themeColor="text1"/>
          <w:lang w:eastAsia="hi-IN" w:bidi="hi-IN"/>
        </w:rPr>
        <w:t xml:space="preserve">Moreover, </w:t>
      </w:r>
      <w:r w:rsidR="005F5E87">
        <w:rPr>
          <w:rFonts w:ascii="Times New Roman" w:eastAsia="SimSun" w:hAnsi="Times New Roman" w:cs="Calibri"/>
          <w:color w:val="000000" w:themeColor="text1"/>
          <w:lang w:eastAsia="hi-IN" w:bidi="hi-IN"/>
        </w:rPr>
        <w:t>applications for</w:t>
      </w:r>
      <w:r w:rsidR="00E07207">
        <w:rPr>
          <w:rFonts w:ascii="Times New Roman" w:eastAsia="SimSun" w:hAnsi="Times New Roman" w:cs="Calibri"/>
          <w:color w:val="000000" w:themeColor="text1"/>
          <w:lang w:eastAsia="hi-IN" w:bidi="hi-IN"/>
        </w:rPr>
        <w:t xml:space="preserve"> food and feed protein production</w:t>
      </w:r>
      <w:r w:rsidR="005F5E87">
        <w:rPr>
          <w:rFonts w:ascii="Times New Roman" w:eastAsia="SimSun" w:hAnsi="Times New Roman" w:cs="Calibri"/>
          <w:color w:val="000000" w:themeColor="text1"/>
          <w:lang w:eastAsia="hi-IN" w:bidi="hi-IN"/>
        </w:rPr>
        <w:t xml:space="preserve"> </w:t>
      </w:r>
      <w:r w:rsidR="00E07207">
        <w:rPr>
          <w:rFonts w:ascii="Times New Roman" w:eastAsia="SimSun" w:hAnsi="Times New Roman" w:cs="Calibri"/>
          <w:color w:val="000000" w:themeColor="text1"/>
          <w:lang w:eastAsia="hi-IN" w:bidi="hi-IN"/>
        </w:rPr>
        <w:t>(</w:t>
      </w:r>
      <w:r w:rsidR="00D75F64">
        <w:rPr>
          <w:rFonts w:ascii="Times New Roman" w:eastAsia="SimSun" w:hAnsi="Times New Roman" w:cs="Calibri"/>
          <w:color w:val="000000" w:themeColor="text1"/>
          <w:lang w:eastAsia="hi-IN" w:bidi="hi-IN"/>
        </w:rPr>
        <w:t>AirProtein and CO2 Aquafeed)</w:t>
      </w:r>
      <w:r w:rsidR="00D75F64" w:rsidRPr="00536C18">
        <w:rPr>
          <w:rFonts w:ascii="Times New Roman" w:eastAsia="SimSun" w:hAnsi="Times New Roman" w:cs="Calibri"/>
          <w:color w:val="000000" w:themeColor="text1"/>
          <w:lang w:eastAsia="hi-IN" w:bidi="hi-IN"/>
        </w:rPr>
        <w:t xml:space="preserve"> </w:t>
      </w:r>
      <w:r w:rsidR="00E07207">
        <w:rPr>
          <w:rFonts w:ascii="Times New Roman" w:eastAsia="SimSun" w:hAnsi="Times New Roman" w:cs="Calibri"/>
          <w:color w:val="000000" w:themeColor="text1"/>
          <w:lang w:eastAsia="hi-IN" w:bidi="hi-IN"/>
        </w:rPr>
        <w:t xml:space="preserve">could have </w:t>
      </w:r>
      <w:r w:rsidRPr="00536C18">
        <w:rPr>
          <w:rFonts w:ascii="Times New Roman" w:eastAsia="SimSun" w:hAnsi="Times New Roman" w:cs="Calibri"/>
          <w:color w:val="000000" w:themeColor="text1"/>
          <w:lang w:eastAsia="hi-IN" w:bidi="hi-IN"/>
        </w:rPr>
        <w:t xml:space="preserve">potential positive impacts </w:t>
      </w:r>
      <w:r w:rsidR="00E47832">
        <w:rPr>
          <w:rFonts w:ascii="Times New Roman" w:eastAsia="SimSun" w:hAnsi="Times New Roman" w:cs="Calibri"/>
          <w:color w:val="000000" w:themeColor="text1"/>
          <w:lang w:eastAsia="hi-IN" w:bidi="hi-IN"/>
        </w:rPr>
        <w:t>on</w:t>
      </w:r>
      <w:r w:rsidRPr="00536C18">
        <w:rPr>
          <w:rFonts w:ascii="Times New Roman" w:eastAsia="SimSun" w:hAnsi="Times New Roman" w:cs="Calibri"/>
          <w:color w:val="000000" w:themeColor="text1"/>
          <w:lang w:eastAsia="hi-IN" w:bidi="hi-IN"/>
        </w:rPr>
        <w:t xml:space="preserve"> water and land use. </w:t>
      </w:r>
      <w:r w:rsidR="00D86672">
        <w:rPr>
          <w:rFonts w:ascii="Times New Roman" w:eastAsia="SimSun" w:hAnsi="Times New Roman" w:cs="Calibri"/>
          <w:color w:val="000000" w:themeColor="text1"/>
          <w:lang w:eastAsia="hi-IN" w:bidi="hi-IN"/>
        </w:rPr>
        <w:t>For</w:t>
      </w:r>
      <w:r w:rsidRPr="00536C18">
        <w:rPr>
          <w:rFonts w:ascii="Times New Roman" w:eastAsia="SimSun" w:hAnsi="Times New Roman" w:cs="Calibri"/>
          <w:color w:val="000000" w:themeColor="text1"/>
          <w:lang w:eastAsia="hi-IN" w:bidi="hi-IN"/>
        </w:rPr>
        <w:t xml:space="preserve"> example</w:t>
      </w:r>
      <w:r w:rsidR="00D86672">
        <w:rPr>
          <w:rFonts w:ascii="Times New Roman" w:eastAsia="SimSun" w:hAnsi="Times New Roman" w:cs="Calibri"/>
          <w:color w:val="000000" w:themeColor="text1"/>
          <w:lang w:eastAsia="hi-IN" w:bidi="hi-IN"/>
        </w:rPr>
        <w:t>,</w:t>
      </w:r>
      <w:r w:rsidRPr="00536C18">
        <w:rPr>
          <w:rFonts w:ascii="Times New Roman" w:eastAsia="SimSun" w:hAnsi="Times New Roman" w:cs="Calibri"/>
          <w:color w:val="000000" w:themeColor="text1"/>
          <w:lang w:eastAsia="hi-IN" w:bidi="hi-IN"/>
        </w:rPr>
        <w:t xml:space="preserve"> </w:t>
      </w:r>
      <w:r w:rsidR="005A0397">
        <w:rPr>
          <w:rFonts w:ascii="Times New Roman" w:eastAsia="SimSun" w:hAnsi="Times New Roman" w:cs="Calibri"/>
          <w:color w:val="000000" w:themeColor="text1"/>
          <w:lang w:eastAsia="hi-IN" w:bidi="hi-IN"/>
        </w:rPr>
        <w:t xml:space="preserve">the </w:t>
      </w:r>
      <w:r w:rsidRPr="00536C18">
        <w:rPr>
          <w:rFonts w:ascii="Times New Roman" w:eastAsia="SimSun" w:hAnsi="Times New Roman" w:cs="Calibri"/>
          <w:color w:val="000000" w:themeColor="text1"/>
          <w:lang w:eastAsia="hi-IN" w:bidi="hi-IN"/>
        </w:rPr>
        <w:t>produc</w:t>
      </w:r>
      <w:r w:rsidR="00E47832">
        <w:rPr>
          <w:rFonts w:ascii="Times New Roman" w:eastAsia="SimSun" w:hAnsi="Times New Roman" w:cs="Calibri"/>
          <w:color w:val="000000" w:themeColor="text1"/>
          <w:lang w:eastAsia="hi-IN" w:bidi="hi-IN"/>
        </w:rPr>
        <w:t>tion</w:t>
      </w:r>
      <w:r w:rsidRPr="00536C18">
        <w:rPr>
          <w:rFonts w:ascii="Times New Roman" w:eastAsia="SimSun" w:hAnsi="Times New Roman" w:cs="Calibri"/>
          <w:color w:val="000000" w:themeColor="text1"/>
          <w:lang w:eastAsia="hi-IN" w:bidi="hi-IN"/>
        </w:rPr>
        <w:t xml:space="preserve"> of protein by microbes using renewable energy sources</w:t>
      </w:r>
      <w:r w:rsidR="008561D8">
        <w:rPr>
          <w:rFonts w:ascii="Times New Roman" w:eastAsia="SimSun" w:hAnsi="Times New Roman" w:cs="Calibri"/>
          <w:color w:val="000000" w:themeColor="text1"/>
          <w:lang w:eastAsia="hi-IN" w:bidi="hi-IN"/>
        </w:rPr>
        <w:t xml:space="preserve"> </w:t>
      </w:r>
      <w:r w:rsidR="008765B3">
        <w:rPr>
          <w:rFonts w:ascii="Times New Roman" w:eastAsia="SimSun" w:hAnsi="Times New Roman" w:cs="Calibri"/>
          <w:color w:val="000000" w:themeColor="text1"/>
          <w:lang w:eastAsia="hi-IN" w:bidi="hi-IN"/>
        </w:rPr>
        <w:t xml:space="preserve">would </w:t>
      </w:r>
      <w:r w:rsidR="001551C1">
        <w:rPr>
          <w:rFonts w:ascii="Times New Roman" w:eastAsia="SimSun" w:hAnsi="Times New Roman" w:cs="Calibri"/>
          <w:color w:val="000000" w:themeColor="text1"/>
          <w:lang w:eastAsia="hi-IN" w:bidi="hi-IN"/>
        </w:rPr>
        <w:t>use</w:t>
      </w:r>
      <w:r w:rsidR="008561D8">
        <w:rPr>
          <w:rFonts w:ascii="Times New Roman" w:eastAsia="SimSun" w:hAnsi="Times New Roman" w:cs="Calibri"/>
          <w:color w:val="000000" w:themeColor="text1"/>
          <w:lang w:eastAsia="hi-IN" w:bidi="hi-IN"/>
        </w:rPr>
        <w:t xml:space="preserve"> </w:t>
      </w:r>
      <w:r w:rsidR="001551C1" w:rsidRPr="00536C18">
        <w:rPr>
          <w:rFonts w:ascii="Times New Roman" w:eastAsia="SimSun" w:hAnsi="Times New Roman" w:cs="Calibri"/>
          <w:color w:val="000000" w:themeColor="text1"/>
          <w:lang w:eastAsia="hi-IN" w:bidi="hi-IN"/>
        </w:rPr>
        <w:t xml:space="preserve">ten times </w:t>
      </w:r>
      <w:r w:rsidR="001551C1">
        <w:rPr>
          <w:rFonts w:ascii="Times New Roman" w:eastAsia="SimSun" w:hAnsi="Times New Roman" w:cs="Calibri"/>
          <w:color w:val="000000" w:themeColor="text1"/>
          <w:lang w:eastAsia="hi-IN" w:bidi="hi-IN"/>
        </w:rPr>
        <w:t xml:space="preserve">less </w:t>
      </w:r>
      <w:r w:rsidR="001551C1" w:rsidRPr="00536C18">
        <w:rPr>
          <w:rFonts w:ascii="Times New Roman" w:eastAsia="SimSun" w:hAnsi="Times New Roman" w:cs="Calibri"/>
          <w:color w:val="000000" w:themeColor="text1"/>
          <w:lang w:eastAsia="hi-IN" w:bidi="hi-IN"/>
        </w:rPr>
        <w:t xml:space="preserve">water and land </w:t>
      </w:r>
      <w:r w:rsidR="001551C1">
        <w:rPr>
          <w:rFonts w:ascii="Times New Roman" w:eastAsia="SimSun" w:hAnsi="Times New Roman" w:cs="Calibri"/>
          <w:color w:val="000000" w:themeColor="text1"/>
          <w:lang w:eastAsia="hi-IN" w:bidi="hi-IN"/>
        </w:rPr>
        <w:t>as</w:t>
      </w:r>
      <w:r w:rsidRPr="00536C18">
        <w:rPr>
          <w:rFonts w:ascii="Times New Roman" w:eastAsia="SimSun" w:hAnsi="Times New Roman" w:cs="Calibri"/>
          <w:color w:val="000000" w:themeColor="text1"/>
          <w:lang w:eastAsia="hi-IN" w:bidi="hi-IN"/>
        </w:rPr>
        <w:t xml:space="preserve"> compar</w:t>
      </w:r>
      <w:r w:rsidR="001551C1">
        <w:rPr>
          <w:rFonts w:ascii="Times New Roman" w:eastAsia="SimSun" w:hAnsi="Times New Roman" w:cs="Calibri"/>
          <w:color w:val="000000" w:themeColor="text1"/>
          <w:lang w:eastAsia="hi-IN" w:bidi="hi-IN"/>
        </w:rPr>
        <w:t>ed</w:t>
      </w:r>
      <w:r w:rsidRPr="00536C18">
        <w:rPr>
          <w:rFonts w:ascii="Times New Roman" w:eastAsia="SimSun" w:hAnsi="Times New Roman" w:cs="Calibri"/>
          <w:color w:val="000000" w:themeColor="text1"/>
          <w:lang w:eastAsia="hi-IN" w:bidi="hi-IN"/>
        </w:rPr>
        <w:t xml:space="preserve"> to typical soya production in the USA</w:t>
      </w:r>
      <w:r w:rsidR="00437E55">
        <w:rPr>
          <w:rFonts w:ascii="Times New Roman" w:eastAsia="SimSun" w:hAnsi="Times New Roman" w:cs="Calibri"/>
          <w:color w:val="000000" w:themeColor="text1"/>
          <w:lang w:eastAsia="hi-IN" w:bidi="hi-IN"/>
        </w:rPr>
        <w:t xml:space="preserve"> </w:t>
      </w:r>
      <w:r w:rsidR="000F1DBA">
        <w:rPr>
          <w:rFonts w:ascii="Times New Roman" w:eastAsia="SimSun" w:hAnsi="Times New Roman" w:cs="Calibri"/>
          <w:color w:val="000000" w:themeColor="text1"/>
          <w:lang w:eastAsia="hi-IN" w:bidi="hi-IN"/>
        </w:rPr>
        <w:fldChar w:fldCharType="begin" w:fldLock="1"/>
      </w:r>
      <w:r w:rsidR="00CA1123">
        <w:rPr>
          <w:rFonts w:ascii="Times New Roman" w:eastAsia="SimSun" w:hAnsi="Times New Roman" w:cs="Calibri"/>
          <w:color w:val="000000" w:themeColor="text1"/>
          <w:lang w:eastAsia="hi-IN" w:bidi="hi-IN"/>
        </w:rPr>
        <w:instrText>ADDIN CSL_CITATION {"citationItems":[{"id":"ITEM-1","itemData":{"DOI":"10.1016/j.gfs.2019.09.007","ISSN":"22119124","abstract":"The global food demand is projected to significantly increase. To maintain global food security in the future, protein production needs to become more efficient regarding the use of limited land and water resources. Protein-rich biomass can be produced via direct air capture of CO2 with the help of H2-oxidizing bacteria and renewable electricity in a closed, climate-independent system. This quantitative literature review conservatively estimated the direct land and water use of bacterial protein production relying on secondary data for the components of the technology and for the reference protein sources. A several times higher potential protein yield per land area can be achieved by this technology with approximately one-tenth of the water use compared to that required for soybean production.","author":[{"dropping-particle":"","family":"Sillman","given":"Jani","non-dropping-particle":"","parse-names":false,"suffix":""},{"dropping-particle":"","family":"Nygren","given":"Lauri","non-dropping-particle":"","parse-names":false,"suffix":""},{"dropping-particle":"","family":"Kahiluoto","given":"Helena","non-dropping-particle":"","parse-names":false,"suffix":""},{"dropping-particle":"","family":"Ruuskanen","given":"Vesa","non-dropping-particle":"","parse-names":false,"suffix":""},{"dropping-particle":"","family":"Tamminen","given":"Anu","non-dropping-particle":"","parse-names":false,"suffix":""},{"dropping-particle":"","family":"Bajamundi","given":"Cyril","non-dropping-particle":"","parse-names":false,"suffix":""},{"dropping-particle":"","family":"Nappa","given":"Marja","non-dropping-particle":"","parse-names":false,"suffix":""},{"dropping-particle":"","family":"Wuokko","given":"Mikko","non-dropping-particle":"","parse-names":false,"suffix":""},{"dropping-particle":"","family":"Lindh","given":"Tuomo","non-dropping-particle":"","parse-names":false,"suffix":""},{"dropping-particle":"","family":"Vainikka","given":"Pasi","non-dropping-particle":"","parse-names":false,"suffix":""},{"dropping-particle":"","family":"Pitkänen","given":"Juha Pekka","non-dropping-particle":"","parse-names":false,"suffix":""},{"dropping-particle":"","family":"Ahola","given":"Jero","non-dropping-particle":"","parse-names":false,"suffix":""}],"container-title":"Global Food Security","id":"ITEM-1","issued":{"date-parts":[["2019","9"]]},"page":"25-32","publisher":"Elsevier B.V.","title":"Bacterial protein for food and feed generated via renewable energy and direct air capture of CO2: Can it reduce land and water use?","type":"article","volume":"22"},"uris":["http://www.mendeley.com/documents/?uuid=8c29fe49-ad02-48d9-b3cb-c05998180505"]}],"mendeley":{"formattedCitation":"(Sillman et al., 2019)","plainTextFormattedCitation":"(Sillman et al., 2019)","previouslyFormattedCitation":"(Sillman et al., 2019)"},"properties":{"noteIndex":0},"schema":"https://github.com/citation-style-language/schema/raw/master/csl-citation.json"}</w:instrText>
      </w:r>
      <w:r w:rsidR="000F1DBA">
        <w:rPr>
          <w:rFonts w:ascii="Times New Roman" w:eastAsia="SimSun" w:hAnsi="Times New Roman" w:cs="Calibri"/>
          <w:color w:val="000000" w:themeColor="text1"/>
          <w:lang w:eastAsia="hi-IN" w:bidi="hi-IN"/>
        </w:rPr>
        <w:fldChar w:fldCharType="separate"/>
      </w:r>
      <w:r w:rsidR="000F1DBA" w:rsidRPr="000F1DBA">
        <w:rPr>
          <w:rFonts w:ascii="Times New Roman" w:eastAsia="SimSun" w:hAnsi="Times New Roman" w:cs="Calibri"/>
          <w:noProof/>
          <w:color w:val="000000" w:themeColor="text1"/>
          <w:lang w:eastAsia="hi-IN" w:bidi="hi-IN"/>
        </w:rPr>
        <w:t>(Sillman et al., 2019)</w:t>
      </w:r>
      <w:r w:rsidR="000F1DBA">
        <w:rPr>
          <w:rFonts w:ascii="Times New Roman" w:eastAsia="SimSun" w:hAnsi="Times New Roman" w:cs="Calibri"/>
          <w:color w:val="000000" w:themeColor="text1"/>
          <w:lang w:eastAsia="hi-IN" w:bidi="hi-IN"/>
        </w:rPr>
        <w:fldChar w:fldCharType="end"/>
      </w:r>
      <w:r w:rsidRPr="00536C18">
        <w:rPr>
          <w:rFonts w:ascii="Times New Roman" w:eastAsia="SimSun" w:hAnsi="Times New Roman" w:cs="Calibri"/>
          <w:color w:val="000000" w:themeColor="text1"/>
          <w:lang w:eastAsia="hi-IN" w:bidi="hi-IN"/>
        </w:rPr>
        <w:t xml:space="preserve">. Additionally, </w:t>
      </w:r>
      <w:r w:rsidR="004646E6">
        <w:rPr>
          <w:rFonts w:ascii="Times New Roman" w:eastAsia="SimSun" w:hAnsi="Times New Roman" w:cs="Calibri"/>
          <w:color w:val="000000" w:themeColor="text1"/>
          <w:lang w:eastAsia="hi-IN" w:bidi="hi-IN"/>
        </w:rPr>
        <w:t>this</w:t>
      </w:r>
      <w:r w:rsidRPr="00536C18">
        <w:rPr>
          <w:rFonts w:ascii="Times New Roman" w:eastAsia="SimSun" w:hAnsi="Times New Roman" w:cs="Calibri"/>
          <w:color w:val="000000" w:themeColor="text1"/>
          <w:lang w:eastAsia="hi-IN" w:bidi="hi-IN"/>
        </w:rPr>
        <w:t xml:space="preserve"> would </w:t>
      </w:r>
      <w:r w:rsidR="004646E6">
        <w:rPr>
          <w:rFonts w:ascii="Times New Roman" w:eastAsia="SimSun" w:hAnsi="Times New Roman" w:cs="Calibri"/>
          <w:color w:val="000000" w:themeColor="text1"/>
          <w:lang w:eastAsia="hi-IN" w:bidi="hi-IN"/>
        </w:rPr>
        <w:t>result in</w:t>
      </w:r>
      <w:r w:rsidRPr="00536C18">
        <w:rPr>
          <w:rFonts w:ascii="Times New Roman" w:eastAsia="SimSun" w:hAnsi="Times New Roman" w:cs="Calibri"/>
          <w:color w:val="000000" w:themeColor="text1"/>
          <w:lang w:eastAsia="hi-IN" w:bidi="hi-IN"/>
        </w:rPr>
        <w:t xml:space="preserve"> a </w:t>
      </w:r>
      <w:r w:rsidR="008765B3">
        <w:rPr>
          <w:rFonts w:ascii="Times New Roman" w:eastAsia="SimSun" w:hAnsi="Times New Roman" w:cs="Calibri"/>
          <w:color w:val="000000" w:themeColor="text1"/>
          <w:lang w:eastAsia="hi-IN" w:bidi="hi-IN"/>
        </w:rPr>
        <w:t xml:space="preserve">concomitant </w:t>
      </w:r>
      <w:r w:rsidR="00A045B6">
        <w:rPr>
          <w:rFonts w:ascii="Times New Roman" w:eastAsia="SimSun" w:hAnsi="Times New Roman" w:cs="Calibri"/>
          <w:color w:val="000000" w:themeColor="text1"/>
          <w:lang w:eastAsia="hi-IN" w:bidi="hi-IN"/>
        </w:rPr>
        <w:t>removal</w:t>
      </w:r>
      <w:r w:rsidRPr="00536C18">
        <w:rPr>
          <w:rFonts w:ascii="Times New Roman" w:eastAsia="SimSun" w:hAnsi="Times New Roman" w:cs="Calibri"/>
          <w:color w:val="000000" w:themeColor="text1"/>
          <w:lang w:eastAsia="hi-IN" w:bidi="hi-IN"/>
        </w:rPr>
        <w:t xml:space="preserve"> of </w:t>
      </w:r>
      <w:r w:rsidR="00A045B6">
        <w:rPr>
          <w:rFonts w:ascii="Times New Roman" w:eastAsia="SimSun" w:hAnsi="Times New Roman" w:cs="Calibri"/>
          <w:color w:val="000000" w:themeColor="text1"/>
          <w:lang w:eastAsia="hi-IN" w:bidi="hi-IN"/>
        </w:rPr>
        <w:t>the need for</w:t>
      </w:r>
      <w:r w:rsidRPr="00536C18">
        <w:rPr>
          <w:rFonts w:ascii="Times New Roman" w:eastAsia="SimSun" w:hAnsi="Times New Roman" w:cs="Calibri"/>
          <w:color w:val="000000" w:themeColor="text1"/>
          <w:lang w:eastAsia="hi-IN" w:bidi="hi-IN"/>
        </w:rPr>
        <w:t xml:space="preserve"> </w:t>
      </w:r>
      <w:r w:rsidR="002F36A0">
        <w:rPr>
          <w:rFonts w:ascii="Times New Roman" w:eastAsia="SimSun" w:hAnsi="Times New Roman" w:cs="Calibri"/>
          <w:color w:val="000000" w:themeColor="text1"/>
          <w:lang w:eastAsia="hi-IN" w:bidi="hi-IN"/>
        </w:rPr>
        <w:t xml:space="preserve">both </w:t>
      </w:r>
      <w:r w:rsidR="002C1965">
        <w:rPr>
          <w:rFonts w:ascii="Times New Roman" w:eastAsia="SimSun" w:hAnsi="Times New Roman" w:cs="Calibri"/>
          <w:color w:val="000000" w:themeColor="text1"/>
          <w:lang w:eastAsia="hi-IN" w:bidi="hi-IN"/>
        </w:rPr>
        <w:t>particular</w:t>
      </w:r>
      <w:r w:rsidRPr="00536C18">
        <w:rPr>
          <w:rFonts w:ascii="Times New Roman" w:eastAsia="SimSun" w:hAnsi="Times New Roman" w:cs="Calibri"/>
          <w:color w:val="000000" w:themeColor="text1"/>
          <w:lang w:eastAsia="hi-IN" w:bidi="hi-IN"/>
        </w:rPr>
        <w:t xml:space="preserve"> chemical products (</w:t>
      </w:r>
      <w:r w:rsidR="00A045B6" w:rsidRPr="00536C18">
        <w:rPr>
          <w:rFonts w:ascii="Times New Roman" w:eastAsia="SimSun" w:hAnsi="Times New Roman" w:cs="Calibri"/>
          <w:color w:val="000000" w:themeColor="text1"/>
          <w:lang w:eastAsia="hi-IN" w:bidi="hi-IN"/>
        </w:rPr>
        <w:t>fertili</w:t>
      </w:r>
      <w:r w:rsidR="00A045B6">
        <w:rPr>
          <w:rFonts w:ascii="Times New Roman" w:eastAsia="SimSun" w:hAnsi="Times New Roman" w:cs="Calibri"/>
          <w:color w:val="000000" w:themeColor="text1"/>
          <w:lang w:eastAsia="hi-IN" w:bidi="hi-IN"/>
        </w:rPr>
        <w:t>s</w:t>
      </w:r>
      <w:r w:rsidR="00A045B6" w:rsidRPr="00536C18">
        <w:rPr>
          <w:rFonts w:ascii="Times New Roman" w:eastAsia="SimSun" w:hAnsi="Times New Roman" w:cs="Calibri"/>
          <w:color w:val="000000" w:themeColor="text1"/>
          <w:lang w:eastAsia="hi-IN" w:bidi="hi-IN"/>
        </w:rPr>
        <w:t>ers</w:t>
      </w:r>
      <w:r w:rsidRPr="00536C18">
        <w:rPr>
          <w:rFonts w:ascii="Times New Roman" w:eastAsia="SimSun" w:hAnsi="Times New Roman" w:cs="Calibri"/>
          <w:color w:val="000000" w:themeColor="text1"/>
          <w:lang w:eastAsia="hi-IN" w:bidi="hi-IN"/>
        </w:rPr>
        <w:t xml:space="preserve">, pesticides and herbicides) </w:t>
      </w:r>
      <w:r w:rsidR="002F36A0">
        <w:rPr>
          <w:rFonts w:ascii="Times New Roman" w:eastAsia="SimSun" w:hAnsi="Times New Roman" w:cs="Calibri"/>
          <w:color w:val="000000" w:themeColor="text1"/>
          <w:lang w:eastAsia="hi-IN" w:bidi="hi-IN"/>
        </w:rPr>
        <w:t>and</w:t>
      </w:r>
      <w:r w:rsidRPr="00536C18">
        <w:rPr>
          <w:rFonts w:ascii="Times New Roman" w:eastAsia="SimSun" w:hAnsi="Times New Roman" w:cs="Calibri"/>
          <w:color w:val="000000" w:themeColor="text1"/>
          <w:lang w:eastAsia="hi-IN" w:bidi="hi-IN"/>
        </w:rPr>
        <w:t xml:space="preserve"> arable land. Land use </w:t>
      </w:r>
      <w:r w:rsidR="002F36A0">
        <w:rPr>
          <w:rFonts w:ascii="Times New Roman" w:eastAsia="SimSun" w:hAnsi="Times New Roman" w:cs="Calibri"/>
          <w:color w:val="000000" w:themeColor="text1"/>
          <w:lang w:eastAsia="hi-IN" w:bidi="hi-IN"/>
        </w:rPr>
        <w:t>dependency</w:t>
      </w:r>
      <w:r w:rsidRPr="00536C18">
        <w:rPr>
          <w:rFonts w:ascii="Times New Roman" w:eastAsia="SimSun" w:hAnsi="Times New Roman" w:cs="Calibri"/>
          <w:color w:val="000000" w:themeColor="text1"/>
          <w:lang w:eastAsia="hi-IN" w:bidi="hi-IN"/>
        </w:rPr>
        <w:t xml:space="preserve"> could also be further </w:t>
      </w:r>
      <w:r w:rsidR="002F36A0" w:rsidRPr="00536C18">
        <w:rPr>
          <w:rFonts w:ascii="Times New Roman" w:eastAsia="SimSun" w:hAnsi="Times New Roman" w:cs="Calibri"/>
          <w:color w:val="000000" w:themeColor="text1"/>
          <w:lang w:eastAsia="hi-IN" w:bidi="hi-IN"/>
        </w:rPr>
        <w:t>minimi</w:t>
      </w:r>
      <w:r w:rsidR="002F36A0">
        <w:rPr>
          <w:rFonts w:ascii="Times New Roman" w:eastAsia="SimSun" w:hAnsi="Times New Roman" w:cs="Calibri"/>
          <w:color w:val="000000" w:themeColor="text1"/>
          <w:lang w:eastAsia="hi-IN" w:bidi="hi-IN"/>
        </w:rPr>
        <w:t>s</w:t>
      </w:r>
      <w:r w:rsidR="002F36A0" w:rsidRPr="00536C18">
        <w:rPr>
          <w:rFonts w:ascii="Times New Roman" w:eastAsia="SimSun" w:hAnsi="Times New Roman" w:cs="Calibri"/>
          <w:color w:val="000000" w:themeColor="text1"/>
          <w:lang w:eastAsia="hi-IN" w:bidi="hi-IN"/>
        </w:rPr>
        <w:t>ed</w:t>
      </w:r>
      <w:r w:rsidRPr="00536C18">
        <w:rPr>
          <w:rFonts w:ascii="Times New Roman" w:eastAsia="SimSun" w:hAnsi="Times New Roman" w:cs="Calibri"/>
          <w:color w:val="000000" w:themeColor="text1"/>
          <w:lang w:eastAsia="hi-IN" w:bidi="hi-IN"/>
        </w:rPr>
        <w:t xml:space="preserve"> depending on the type of renewable energy source used (i.e. wind vs solar power</w:t>
      </w:r>
      <w:r w:rsidR="0013620A">
        <w:rPr>
          <w:rFonts w:ascii="Times New Roman" w:eastAsia="SimSun" w:hAnsi="Times New Roman" w:cs="Calibri"/>
          <w:color w:val="000000" w:themeColor="text1"/>
          <w:lang w:eastAsia="hi-IN" w:bidi="hi-IN"/>
        </w:rPr>
        <w:t xml:space="preserve">; </w:t>
      </w:r>
      <w:r w:rsidR="000F1DBA">
        <w:rPr>
          <w:rFonts w:ascii="Times New Roman" w:eastAsia="SimSun" w:hAnsi="Times New Roman" w:cs="Calibri"/>
          <w:color w:val="000000" w:themeColor="text1"/>
          <w:lang w:eastAsia="hi-IN" w:bidi="hi-IN"/>
        </w:rPr>
        <w:fldChar w:fldCharType="begin" w:fldLock="1"/>
      </w:r>
      <w:r w:rsidR="00CA1123">
        <w:rPr>
          <w:rFonts w:ascii="Times New Roman" w:eastAsia="SimSun" w:hAnsi="Times New Roman" w:cs="Calibri"/>
          <w:color w:val="000000" w:themeColor="text1"/>
          <w:lang w:eastAsia="hi-IN" w:bidi="hi-IN"/>
        </w:rPr>
        <w:instrText>ADDIN CSL_CITATION {"citationItems":[{"id":"ITEM-1","itemData":{"DOI":"10.1016/j.gfs.2019.09.007","ISSN":"22119124","abstract":"The global food demand is projected to significantly increase. To maintain global food security in the future, protein production needs to become more efficient regarding the use of limited land and water resources. Protein-rich biomass can be produced via direct air capture of CO2 with the help of H2-oxidizing bacteria and renewable electricity in a closed, climate-independent system. This quantitative literature review conservatively estimated the direct land and water use of bacterial protein production relying on secondary data for the components of the technology and for the reference protein sources. A several times higher potential protein yield per land area can be achieved by this technology with approximately one-tenth of the water use compared to that required for soybean production.","author":[{"dropping-particle":"","family":"Sillman","given":"Jani","non-dropping-particle":"","parse-names":false,"suffix":""},{"dropping-particle":"","family":"Nygren","given":"Lauri","non-dropping-particle":"","parse-names":false,"suffix":""},{"dropping-particle":"","family":"Kahiluoto","given":"Helena","non-dropping-particle":"","parse-names":false,"suffix":""},{"dropping-particle":"","family":"Ruuskanen","given":"Vesa","non-dropping-particle":"","parse-names":false,"suffix":""},{"dropping-particle":"","family":"Tamminen","given":"Anu","non-dropping-particle":"","parse-names":false,"suffix":""},{"dropping-particle":"","family":"Bajamundi","given":"Cyril","non-dropping-particle":"","parse-names":false,"suffix":""},{"dropping-particle":"","family":"Nappa","given":"Marja","non-dropping-particle":"","parse-names":false,"suffix":""},{"dropping-particle":"","family":"Wuokko","given":"Mikko","non-dropping-particle":"","parse-names":false,"suffix":""},{"dropping-particle":"","family":"Lindh","given":"Tuomo","non-dropping-particle":"","parse-names":false,"suffix":""},{"dropping-particle":"","family":"Vainikka","given":"Pasi","non-dropping-particle":"","parse-names":false,"suffix":""},{"dropping-particle":"","family":"Pitkänen","given":"Juha Pekka","non-dropping-particle":"","parse-names":false,"suffix":""},{"dropping-particle":"","family":"Ahola","given":"Jero","non-dropping-particle":"","parse-names":false,"suffix":""}],"container-title":"Global Food Security","id":"ITEM-1","issued":{"date-parts":[["2019","9"]]},"page":"25-32","publisher":"Elsevier B.V.","title":"Bacterial protein for food and feed generated via renewable energy and direct air capture of CO2: Can it reduce land and water use?","type":"article","volume":"22"},"uris":["http://www.mendeley.com/documents/?uuid=8c29fe49-ad02-48d9-b3cb-c05998180505"]}],"mendeley":{"formattedCitation":"(Sillman et al., 2019)","manualFormatting":"Sillman et al., 2019)","plainTextFormattedCitation":"(Sillman et al., 2019)","previouslyFormattedCitation":"(Sillman et al., 2019)"},"properties":{"noteIndex":0},"schema":"https://github.com/citation-style-language/schema/raw/master/csl-citation.json"}</w:instrText>
      </w:r>
      <w:r w:rsidR="000F1DBA">
        <w:rPr>
          <w:rFonts w:ascii="Times New Roman" w:eastAsia="SimSun" w:hAnsi="Times New Roman" w:cs="Calibri"/>
          <w:color w:val="000000" w:themeColor="text1"/>
          <w:lang w:eastAsia="hi-IN" w:bidi="hi-IN"/>
        </w:rPr>
        <w:fldChar w:fldCharType="separate"/>
      </w:r>
      <w:r w:rsidR="000F1DBA" w:rsidRPr="000F1DBA">
        <w:rPr>
          <w:rFonts w:ascii="Times New Roman" w:eastAsia="SimSun" w:hAnsi="Times New Roman" w:cs="Calibri"/>
          <w:noProof/>
          <w:color w:val="000000" w:themeColor="text1"/>
          <w:lang w:eastAsia="hi-IN" w:bidi="hi-IN"/>
        </w:rPr>
        <w:t>Sillman et al., 2019)</w:t>
      </w:r>
      <w:r w:rsidR="000F1DBA">
        <w:rPr>
          <w:rFonts w:ascii="Times New Roman" w:eastAsia="SimSun" w:hAnsi="Times New Roman" w:cs="Calibri"/>
          <w:color w:val="000000" w:themeColor="text1"/>
          <w:lang w:eastAsia="hi-IN" w:bidi="hi-IN"/>
        </w:rPr>
        <w:fldChar w:fldCharType="end"/>
      </w:r>
      <w:r w:rsidRPr="00536C18">
        <w:rPr>
          <w:rFonts w:ascii="Times New Roman" w:eastAsia="SimSun" w:hAnsi="Times New Roman" w:cs="Calibri"/>
          <w:color w:val="000000" w:themeColor="text1"/>
          <w:lang w:eastAsia="hi-IN" w:bidi="hi-IN"/>
        </w:rPr>
        <w:t>.</w:t>
      </w:r>
    </w:p>
    <w:p w14:paraId="6C44A3C8" w14:textId="7EAB4969" w:rsidR="008E1D42" w:rsidRPr="008A536F" w:rsidRDefault="00736903" w:rsidP="00170122">
      <w:pPr>
        <w:pStyle w:val="Heading3"/>
        <w:rPr>
          <w:rFonts w:eastAsia="SimSun"/>
          <w:lang w:bidi="hi-IN"/>
        </w:rPr>
      </w:pPr>
      <w:bookmarkStart w:id="86" w:name="_Toc70112688"/>
      <w:bookmarkStart w:id="87" w:name="_Toc70685710"/>
      <w:r w:rsidRPr="008A536F">
        <w:rPr>
          <w:rFonts w:eastAsia="SimSun"/>
          <w:lang w:bidi="hi-IN"/>
        </w:rPr>
        <w:t>4</w:t>
      </w:r>
      <w:r w:rsidR="008E1D42" w:rsidRPr="008A536F">
        <w:rPr>
          <w:rFonts w:eastAsia="SimSun"/>
          <w:lang w:bidi="hi-IN"/>
        </w:rPr>
        <w:t>.4</w:t>
      </w:r>
      <w:r w:rsidR="002F36A0" w:rsidRPr="008A536F">
        <w:rPr>
          <w:rFonts w:eastAsia="SimSun"/>
          <w:lang w:bidi="hi-IN"/>
        </w:rPr>
        <w:t>.</w:t>
      </w:r>
      <w:r w:rsidR="008E1D42" w:rsidRPr="008A536F">
        <w:rPr>
          <w:rFonts w:eastAsia="SimSun"/>
          <w:lang w:bidi="hi-IN"/>
        </w:rPr>
        <w:t xml:space="preserve"> </w:t>
      </w:r>
      <w:r w:rsidR="003D1A94" w:rsidRPr="008A536F">
        <w:rPr>
          <w:rFonts w:eastAsia="SimSun"/>
          <w:lang w:bidi="hi-IN"/>
        </w:rPr>
        <w:t>R</w:t>
      </w:r>
      <w:r w:rsidR="008E1D42" w:rsidRPr="008A536F">
        <w:rPr>
          <w:rFonts w:eastAsia="SimSun"/>
          <w:lang w:bidi="hi-IN"/>
        </w:rPr>
        <w:t>eplace</w:t>
      </w:r>
      <w:r w:rsidR="003D1A94" w:rsidRPr="008A536F">
        <w:rPr>
          <w:rFonts w:eastAsia="SimSun"/>
          <w:lang w:bidi="hi-IN"/>
        </w:rPr>
        <w:t>ment of</w:t>
      </w:r>
      <w:r w:rsidR="008E1D42" w:rsidRPr="008A536F">
        <w:rPr>
          <w:rFonts w:eastAsia="SimSun"/>
          <w:lang w:bidi="hi-IN"/>
        </w:rPr>
        <w:t xml:space="preserve"> natural materials</w:t>
      </w:r>
      <w:r w:rsidR="008A536F" w:rsidRPr="00992DE8">
        <w:rPr>
          <w:rFonts w:eastAsia="SimSun"/>
          <w:b/>
          <w:lang w:val="en-US" w:bidi="hi-IN"/>
        </w:rPr>
        <w:t>.</w:t>
      </w:r>
      <w:bookmarkEnd w:id="86"/>
      <w:bookmarkEnd w:id="87"/>
    </w:p>
    <w:p w14:paraId="5088C429" w14:textId="0AFA87BD" w:rsidR="008D6346" w:rsidRDefault="003D1A94" w:rsidP="00AC736E">
      <w:pPr>
        <w:spacing w:before="120" w:after="120" w:line="240" w:lineRule="auto"/>
        <w:jc w:val="both"/>
        <w:rPr>
          <w:rFonts w:ascii="Times New Roman" w:eastAsia="SimSun" w:hAnsi="Times New Roman" w:cs="Calibri"/>
          <w:color w:val="000000" w:themeColor="text1"/>
          <w:lang w:eastAsia="hi-IN" w:bidi="hi-IN"/>
        </w:rPr>
      </w:pPr>
      <w:r w:rsidRPr="00862404">
        <w:rPr>
          <w:rFonts w:ascii="Times New Roman" w:eastAsia="SimSun" w:hAnsi="Times New Roman" w:cs="Calibri"/>
          <w:color w:val="000000" w:themeColor="text1"/>
          <w:lang w:eastAsia="hi-IN" w:bidi="hi-IN"/>
        </w:rPr>
        <w:t xml:space="preserve">Unsustainable international commercial trade in wildlife, whether legal or illegal, is one of the greatest threats to wildlife today. One approach to supply markets while taking pressure off wild populations is to provide substitutes for wild caught species </w:t>
      </w:r>
      <w:r w:rsidR="00F856DC">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{"citationItems":[{"id":"ITEM-1","itemData":{"DOI":"10.2305/IUCN.CH.2019.05.en","ISBN":"9782831719733","editor":[{"dropping-particle":"","family":"Redford","given":"Kent H.","non-dropping-particle":"","parse-names":false,"suffix":""},{"dropping-particle":"","family":"Brooks","given":"Thomas M.","non-dropping-particle":"","parse-names":false,"suffix":""},{"dropping-particle":"","family":"Macfarlane","given":"Nicholas B.W.","non-dropping-particle":"","parse-names":false,"suffix":""},{"dropping-particle":"","family":"Adams","given":"Jonathan S.","non-dropping-particle":"","parse-names":false,"suffix":""}],"id":"ITEM-1","issued":{"date-parts":[["2019","5","6"]]},"publisher":"IUCN, International Union for Conservation of Nature","title":"Genetic frontiers for conservation: an assessment of synthetic biology and biodiversity conservation: technical assessment","type":"book"},"uris":["http://www.mendeley.com/documents/?uuid=9b6cd793-31c7-4755-8480-3345b89666d3"]}],"mendeley":{"formattedCitation":"(Redford et al., 2019)","manualFormatting":"(Redford et al., 2019)","plainTextFormattedCitation":"(Redford et al., 2019)","previouslyFormattedCitation":"(Redford et al., 2019)"},"properties":{"noteIndex":0},"schema":"https://github.com/citation-style-language/schema/raw/master/csl-citation.json"}</w:instrText>
      </w:r>
      <w:r w:rsidR="00F856DC">
        <w:rPr>
          <w:rFonts w:ascii="Times New Roman" w:eastAsia="SimSun" w:hAnsi="Times New Roman" w:cs="Calibri"/>
          <w:color w:val="000000" w:themeColor="text1"/>
          <w:lang w:eastAsia="hi-IN" w:bidi="hi-IN"/>
        </w:rPr>
        <w:fldChar w:fldCharType="separate"/>
      </w:r>
      <w:r w:rsidR="00F856DC" w:rsidRPr="00F856DC">
        <w:rPr>
          <w:rFonts w:ascii="Times New Roman" w:eastAsia="SimSun" w:hAnsi="Times New Roman" w:cs="Calibri"/>
          <w:noProof/>
          <w:color w:val="000000" w:themeColor="text1"/>
          <w:lang w:eastAsia="hi-IN" w:bidi="hi-IN"/>
        </w:rPr>
        <w:t>(</w:t>
      </w:r>
      <w:r w:rsidR="00C76E29" w:rsidRPr="00E439D7">
        <w:rPr>
          <w:rFonts w:ascii="Times New Roman" w:hAnsi="Times New Roman"/>
          <w:noProof/>
          <w:color w:val="000000" w:themeColor="text1"/>
          <w:lang w:eastAsia="ar-SA"/>
        </w:rPr>
        <w:t>Redford et al., 201</w:t>
      </w:r>
      <w:r w:rsidR="00C76E29">
        <w:rPr>
          <w:rFonts w:ascii="Times New Roman" w:hAnsi="Times New Roman"/>
          <w:noProof/>
          <w:color w:val="000000" w:themeColor="text1"/>
          <w:lang w:eastAsia="ar-SA"/>
        </w:rPr>
        <w:t>9</w:t>
      </w:r>
      <w:r w:rsidR="00F856DC" w:rsidRPr="00F856DC">
        <w:rPr>
          <w:rFonts w:ascii="Times New Roman" w:eastAsia="SimSun" w:hAnsi="Times New Roman" w:cs="Calibri"/>
          <w:noProof/>
          <w:color w:val="000000" w:themeColor="text1"/>
          <w:lang w:eastAsia="hi-IN" w:bidi="hi-IN"/>
        </w:rPr>
        <w:t>)</w:t>
      </w:r>
      <w:r w:rsidR="00F856DC">
        <w:rPr>
          <w:rFonts w:ascii="Times New Roman" w:eastAsia="SimSun" w:hAnsi="Times New Roman" w:cs="Calibri"/>
          <w:color w:val="000000" w:themeColor="text1"/>
          <w:lang w:eastAsia="hi-IN" w:bidi="hi-IN"/>
        </w:rPr>
        <w:fldChar w:fldCharType="end"/>
      </w:r>
      <w:r w:rsidRPr="00862404">
        <w:rPr>
          <w:rFonts w:ascii="Times New Roman" w:eastAsia="SimSun" w:hAnsi="Times New Roman" w:cs="Calibri"/>
          <w:color w:val="000000" w:themeColor="text1"/>
          <w:lang w:eastAsia="hi-IN" w:bidi="hi-IN"/>
        </w:rPr>
        <w:t xml:space="preserve">. </w:t>
      </w:r>
      <w:r w:rsidR="00E95026" w:rsidRPr="00862404">
        <w:rPr>
          <w:rFonts w:ascii="Times New Roman" w:eastAsia="SimSun" w:hAnsi="Times New Roman" w:cs="Calibri"/>
          <w:color w:val="000000" w:themeColor="text1"/>
          <w:lang w:eastAsia="hi-IN" w:bidi="hi-IN"/>
        </w:rPr>
        <w:t xml:space="preserve">Examples </w:t>
      </w:r>
      <w:r w:rsidR="00922541">
        <w:rPr>
          <w:rFonts w:ascii="Times New Roman" w:eastAsia="SimSun" w:hAnsi="Times New Roman" w:cs="Calibri"/>
          <w:color w:val="000000" w:themeColor="text1"/>
          <w:lang w:eastAsia="hi-IN" w:bidi="hi-IN"/>
        </w:rPr>
        <w:t xml:space="preserve">include </w:t>
      </w:r>
      <w:r w:rsidR="002C1965">
        <w:rPr>
          <w:rFonts w:ascii="Times New Roman" w:eastAsia="SimSun" w:hAnsi="Times New Roman" w:cs="Calibri"/>
          <w:color w:val="000000" w:themeColor="text1"/>
          <w:lang w:eastAsia="hi-IN" w:bidi="hi-IN"/>
        </w:rPr>
        <w:t>recent</w:t>
      </w:r>
      <w:r w:rsidR="00922541">
        <w:rPr>
          <w:rFonts w:ascii="Times New Roman" w:eastAsia="SimSun" w:hAnsi="Times New Roman" w:cs="Calibri"/>
          <w:color w:val="000000" w:themeColor="text1"/>
          <w:lang w:eastAsia="hi-IN" w:bidi="hi-IN"/>
        </w:rPr>
        <w:t xml:space="preserve"> CITES permits issued </w:t>
      </w:r>
      <w:r w:rsidR="002C1965">
        <w:rPr>
          <w:rFonts w:ascii="Times New Roman" w:eastAsia="SimSun" w:hAnsi="Times New Roman" w:cs="Calibri"/>
          <w:color w:val="000000" w:themeColor="text1"/>
          <w:lang w:eastAsia="hi-IN" w:bidi="hi-IN"/>
        </w:rPr>
        <w:t>in</w:t>
      </w:r>
      <w:r w:rsidR="00922541">
        <w:rPr>
          <w:rFonts w:ascii="Times New Roman" w:eastAsia="SimSun" w:hAnsi="Times New Roman" w:cs="Calibri"/>
          <w:color w:val="000000" w:themeColor="text1"/>
          <w:lang w:eastAsia="hi-IN" w:bidi="hi-IN"/>
        </w:rPr>
        <w:t xml:space="preserve"> China to allow two </w:t>
      </w:r>
      <w:r w:rsidR="00922541" w:rsidRPr="00A10108">
        <w:rPr>
          <w:rFonts w:ascii="Times New Roman" w:eastAsia="SimSun" w:hAnsi="Times New Roman" w:cs="Calibri"/>
          <w:color w:val="000000" w:themeColor="text1"/>
          <w:lang w:eastAsia="hi-IN" w:bidi="hi-IN"/>
        </w:rPr>
        <w:t>synthetic biology</w:t>
      </w:r>
      <w:r w:rsidR="00922541">
        <w:rPr>
          <w:rFonts w:ascii="Times New Roman" w:eastAsia="SimSun" w:hAnsi="Times New Roman" w:cs="Calibri"/>
          <w:color w:val="000000" w:themeColor="text1"/>
          <w:lang w:eastAsia="hi-IN" w:bidi="hi-IN"/>
        </w:rPr>
        <w:t xml:space="preserve"> projects to investigate the use of </w:t>
      </w:r>
      <w:r w:rsidR="00922541" w:rsidRPr="00A10108">
        <w:rPr>
          <w:rFonts w:ascii="Times New Roman" w:eastAsia="SimSun" w:hAnsi="Times New Roman" w:cs="Calibri"/>
          <w:color w:val="000000" w:themeColor="text1"/>
          <w:lang w:eastAsia="hi-IN" w:bidi="hi-IN"/>
        </w:rPr>
        <w:t>microbial cell cultures</w:t>
      </w:r>
      <w:r w:rsidR="00922541">
        <w:rPr>
          <w:rFonts w:ascii="Times New Roman" w:eastAsia="SimSun" w:hAnsi="Times New Roman" w:cs="Calibri"/>
          <w:color w:val="000000" w:themeColor="text1"/>
          <w:lang w:eastAsia="hi-IN" w:bidi="hi-IN"/>
        </w:rPr>
        <w:t xml:space="preserve"> to produce</w:t>
      </w:r>
      <w:r w:rsidR="00922541" w:rsidRPr="00A10108">
        <w:rPr>
          <w:rFonts w:ascii="Times New Roman" w:eastAsia="SimSun" w:hAnsi="Times New Roman" w:cs="Calibri"/>
          <w:color w:val="000000" w:themeColor="text1"/>
          <w:lang w:eastAsia="hi-IN" w:bidi="hi-IN"/>
        </w:rPr>
        <w:t xml:space="preserve"> </w:t>
      </w:r>
      <w:r w:rsidR="002C1965">
        <w:rPr>
          <w:rFonts w:ascii="Times New Roman" w:eastAsia="SimSun" w:hAnsi="Times New Roman" w:cs="Calibri"/>
          <w:color w:val="000000" w:themeColor="text1"/>
          <w:lang w:eastAsia="hi-IN" w:bidi="hi-IN"/>
        </w:rPr>
        <w:t>the</w:t>
      </w:r>
      <w:r w:rsidR="00922541" w:rsidRPr="00A10108">
        <w:rPr>
          <w:rFonts w:ascii="Times New Roman" w:eastAsia="SimSun" w:hAnsi="Times New Roman" w:cs="Calibri"/>
          <w:color w:val="000000" w:themeColor="text1"/>
          <w:lang w:eastAsia="hi-IN" w:bidi="hi-IN"/>
        </w:rPr>
        <w:t xml:space="preserve"> plant-derived compounds taxol and ginseng</w:t>
      </w:r>
      <w:r w:rsidR="00922541">
        <w:rPr>
          <w:rFonts w:ascii="Times New Roman" w:eastAsia="SimSun" w:hAnsi="Times New Roman" w:cs="Calibri"/>
          <w:color w:val="000000" w:themeColor="text1"/>
          <w:lang w:eastAsia="hi-IN" w:bidi="hi-IN"/>
        </w:rPr>
        <w:t xml:space="preserve"> </w:t>
      </w:r>
      <w:r w:rsidR="00922541">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{"citationItems":[{"id":"ITEM-1","itemData":{"author":[{"dropping-particle":"","family":"CITES","given":"","non-dropping-particle":"","parse-names":false,"suffix":""}],"id":"ITEM-1","issued":{"date-parts":[["2018","7"]]},"publisher-place":"Geneva","title":"Interpretation and implementation matters. General compliance and enforcement. Specimens produced from synthetic or cultured DNA","type":"report"},"uris":["http://www.mendeley.com/documents/?uuid=cad0d36f-3d2c-48cf-9813-b6b6574ef64f"]}],"mendeley":{"formattedCitation":"(CITES, 2018)","plainTextFormattedCitation":"(CITES, 2018)","previouslyFormattedCitation":"(CITES, 2018)"},"properties":{"noteIndex":0},"schema":"https://github.com/citation-style-language/schema/raw/master/csl-citation.json"}</w:instrText>
      </w:r>
      <w:r w:rsidR="00922541">
        <w:rPr>
          <w:rFonts w:ascii="Times New Roman" w:eastAsia="SimSun" w:hAnsi="Times New Roman" w:cs="Calibri"/>
          <w:color w:val="000000" w:themeColor="text1"/>
          <w:lang w:eastAsia="hi-IN" w:bidi="hi-IN"/>
        </w:rPr>
        <w:fldChar w:fldCharType="separate"/>
      </w:r>
      <w:r w:rsidR="00922541" w:rsidRPr="00CA28D3">
        <w:rPr>
          <w:rFonts w:ascii="Times New Roman" w:eastAsia="SimSun" w:hAnsi="Times New Roman" w:cs="Calibri"/>
          <w:noProof/>
          <w:color w:val="000000" w:themeColor="text1"/>
          <w:lang w:eastAsia="hi-IN" w:bidi="hi-IN"/>
        </w:rPr>
        <w:t>(CITES, 2018)</w:t>
      </w:r>
      <w:r w:rsidR="00922541">
        <w:rPr>
          <w:rFonts w:ascii="Times New Roman" w:eastAsia="SimSun" w:hAnsi="Times New Roman" w:cs="Calibri"/>
          <w:color w:val="000000" w:themeColor="text1"/>
          <w:lang w:eastAsia="hi-IN" w:bidi="hi-IN"/>
        </w:rPr>
        <w:fldChar w:fldCharType="end"/>
      </w:r>
      <w:r w:rsidR="00922541">
        <w:rPr>
          <w:rFonts w:ascii="Times New Roman" w:eastAsia="SimSun" w:hAnsi="Times New Roman" w:cs="Calibri"/>
          <w:color w:val="000000" w:themeColor="text1"/>
          <w:lang w:eastAsia="hi-IN" w:bidi="hi-IN"/>
        </w:rPr>
        <w:t xml:space="preserve">. </w:t>
      </w:r>
      <w:r w:rsidR="00E37078">
        <w:rPr>
          <w:rFonts w:ascii="Times New Roman" w:eastAsia="SimSun" w:hAnsi="Times New Roman" w:cs="Calibri"/>
          <w:color w:val="000000" w:themeColor="text1"/>
          <w:lang w:eastAsia="hi-IN" w:bidi="hi-IN"/>
        </w:rPr>
        <w:t xml:space="preserve">Additional examples </w:t>
      </w:r>
      <w:r w:rsidR="00E95026" w:rsidRPr="00862404">
        <w:rPr>
          <w:rFonts w:ascii="Times New Roman" w:eastAsia="SimSun" w:hAnsi="Times New Roman" w:cs="Calibri"/>
          <w:color w:val="000000" w:themeColor="text1"/>
          <w:lang w:eastAsia="hi-IN" w:bidi="hi-IN"/>
        </w:rPr>
        <w:t>from Section 3 include the production of recombinant Factor C (rFC) from synthetic horseshoe crab blood, synthetic rhinoceros horns and squalene, each of which could reduce or remove the need to exploit wild species</w:t>
      </w:r>
      <w:r w:rsidR="00E95026" w:rsidRPr="008001DA">
        <w:rPr>
          <w:rFonts w:ascii="Times New Roman" w:eastAsia="SimSun" w:hAnsi="Times New Roman" w:cs="Calibri"/>
          <w:color w:val="000000" w:themeColor="text1"/>
          <w:lang w:eastAsia="hi-IN" w:bidi="hi-IN"/>
        </w:rPr>
        <w:t xml:space="preserve"> </w:t>
      </w:r>
      <w:r w:rsidR="00CA1123">
        <w:rPr>
          <w:rFonts w:ascii="Times New Roman" w:eastAsia="SimSun" w:hAnsi="Times New Roman" w:cs="Calibri"/>
          <w:color w:val="000000" w:themeColor="text1"/>
          <w:lang w:eastAsia="hi-IN" w:bidi="hi-IN"/>
        </w:rPr>
        <w:fldChar w:fldCharType="begin" w:fldLock="1"/>
      </w:r>
      <w:r w:rsidR="00F27787">
        <w:rPr>
          <w:rFonts w:ascii="Times New Roman" w:eastAsia="SimSun" w:hAnsi="Times New Roman" w:cs="Calibri"/>
          <w:color w:val="000000" w:themeColor="text1"/>
          <w:lang w:eastAsia="hi-IN" w:bidi="hi-IN"/>
        </w:rPr>
        <w:instrText>ADDIN CSL_CITATION {"citationItems":[{"id":"ITEM-1","itemData":{"author":[{"dropping-particle":"","family":"ETC Group","given":"","non-dropping-particle":"","parse-names":false,"suffix":""}],"id":"ITEM-1","issued":{"date-parts":[["2013"]]},"title":"Potential Impacts of Synthetic Biology on Livelihoods and Biodiversity: Eight Case Studies on Commodity Replacement: A Submisison to the Convention on Biological Diversity from ETC Group","type":"article"},"uris":["http://www.mendeley.com/documents/?uuid=05fed385-fa2f-421d-91bb-20447ded05cd"]},{"id":"ITEM-2","itemData":{"author":[{"dropping-particle":"","family":"Woodrow Wilson International Center for Scholars","given":"","non-dropping-particle":"","parse-names":false,"suffix":""}],"id":"ITEM-2","issued":{"date-parts":[["2012"]]},"title":"Draft: Inventory of Synthetic Biology Products – Existing and Possible.","type":"article"},"uris":["http://www.mendeley.com/documents/?uuid=945f2ded-ce32-4705-b344-565bbb0e766e"]}],"mendeley":{"formattedCitation":"(ETC Group, 2013a; Woodrow Wilson International Center for Scholars, 2012)","manualFormatting":"(ETC Group, 2013; Woodrow Wilson International Center for Scholars, 2012)","plainTextFormattedCitation":"(ETC Group, 2013a; Woodrow Wilson International Center for Scholars, 2012)","previouslyFormattedCitation":"(ETC Group, 2013a; Woodrow Wilson International Center for Scholars, 2012)"},"properties":{"noteIndex":0},"schema":"https://github.com/citation-style-language/schema/raw/master/csl-citation.json"}</w:instrText>
      </w:r>
      <w:r w:rsidR="00CA1123">
        <w:rPr>
          <w:rFonts w:ascii="Times New Roman" w:eastAsia="SimSun" w:hAnsi="Times New Roman" w:cs="Calibri"/>
          <w:color w:val="000000" w:themeColor="text1"/>
          <w:lang w:eastAsia="hi-IN" w:bidi="hi-IN"/>
        </w:rPr>
        <w:fldChar w:fldCharType="separate"/>
      </w:r>
      <w:r w:rsidR="00B156AF" w:rsidRPr="00B156AF">
        <w:rPr>
          <w:rFonts w:ascii="Times New Roman" w:eastAsia="SimSun" w:hAnsi="Times New Roman" w:cs="Calibri"/>
          <w:noProof/>
          <w:color w:val="000000" w:themeColor="text1"/>
          <w:lang w:eastAsia="hi-IN" w:bidi="hi-IN"/>
        </w:rPr>
        <w:t>(ETC Group, 2013; Woodrow Wilson International Center for Scholars, 2012)</w:t>
      </w:r>
      <w:r w:rsidR="00CA1123">
        <w:rPr>
          <w:rFonts w:ascii="Times New Roman" w:eastAsia="SimSun" w:hAnsi="Times New Roman" w:cs="Calibri"/>
          <w:color w:val="000000" w:themeColor="text1"/>
          <w:lang w:eastAsia="hi-IN" w:bidi="hi-IN"/>
        </w:rPr>
        <w:fldChar w:fldCharType="end"/>
      </w:r>
      <w:r w:rsidR="00E95026" w:rsidRPr="008001DA">
        <w:rPr>
          <w:rFonts w:ascii="Times New Roman" w:eastAsia="SimSun" w:hAnsi="Times New Roman" w:cs="Calibri"/>
          <w:color w:val="000000" w:themeColor="text1"/>
          <w:lang w:eastAsia="hi-IN" w:bidi="hi-IN"/>
        </w:rPr>
        <w:t xml:space="preserve">. </w:t>
      </w:r>
      <w:r w:rsidR="009C7F65">
        <w:rPr>
          <w:rFonts w:ascii="Times New Roman" w:eastAsia="SimSun" w:hAnsi="Times New Roman" w:cs="Calibri"/>
          <w:color w:val="000000" w:themeColor="text1"/>
          <w:lang w:eastAsia="hi-IN" w:bidi="hi-IN"/>
        </w:rPr>
        <w:t>Should</w:t>
      </w:r>
      <w:r w:rsidRPr="00862404">
        <w:rPr>
          <w:rFonts w:ascii="Times New Roman" w:eastAsia="SimSun" w:hAnsi="Times New Roman" w:cs="Calibri"/>
          <w:color w:val="000000" w:themeColor="text1"/>
          <w:lang w:eastAsia="hi-IN" w:bidi="hi-IN"/>
        </w:rPr>
        <w:t xml:space="preserve"> the synthesised item </w:t>
      </w:r>
      <w:r w:rsidR="009C7F65">
        <w:rPr>
          <w:rFonts w:ascii="Times New Roman" w:eastAsia="SimSun" w:hAnsi="Times New Roman" w:cs="Calibri"/>
          <w:color w:val="000000" w:themeColor="text1"/>
          <w:lang w:eastAsia="hi-IN" w:bidi="hi-IN"/>
        </w:rPr>
        <w:t>be</w:t>
      </w:r>
      <w:r w:rsidR="009C7F65" w:rsidRPr="00862404">
        <w:rPr>
          <w:rFonts w:ascii="Times New Roman" w:eastAsia="SimSun" w:hAnsi="Times New Roman" w:cs="Calibri"/>
          <w:color w:val="000000" w:themeColor="text1"/>
          <w:lang w:eastAsia="hi-IN" w:bidi="hi-IN"/>
        </w:rPr>
        <w:t xml:space="preserve"> </w:t>
      </w:r>
      <w:r w:rsidRPr="00862404">
        <w:rPr>
          <w:rFonts w:ascii="Times New Roman" w:eastAsia="SimSun" w:hAnsi="Times New Roman" w:cs="Calibri"/>
          <w:color w:val="000000" w:themeColor="text1"/>
          <w:lang w:eastAsia="hi-IN" w:bidi="hi-IN"/>
        </w:rPr>
        <w:t xml:space="preserve">a good substitute for the wild product, this could be positive for conservation, taking pressure off the wild species while supplying market demand. </w:t>
      </w:r>
    </w:p>
    <w:p w14:paraId="038ABD2C" w14:textId="708D25C5" w:rsidR="006F5407" w:rsidRDefault="00E82791" w:rsidP="00FB54E4">
      <w:pPr>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However, the situation is a little more nuanced than originally </w:t>
      </w:r>
      <w:r w:rsidR="00385113">
        <w:rPr>
          <w:rFonts w:ascii="Times New Roman" w:eastAsia="SimSun" w:hAnsi="Times New Roman" w:cs="Calibri"/>
          <w:color w:val="000000" w:themeColor="text1"/>
          <w:lang w:eastAsia="hi-IN" w:bidi="hi-IN"/>
        </w:rPr>
        <w:t xml:space="preserve">expected. </w:t>
      </w:r>
      <w:r w:rsidR="00820622">
        <w:rPr>
          <w:rFonts w:ascii="Times New Roman" w:eastAsia="SimSun" w:hAnsi="Times New Roman" w:cs="Calibri"/>
          <w:color w:val="000000" w:themeColor="text1"/>
          <w:lang w:eastAsia="hi-IN" w:bidi="hi-IN"/>
        </w:rPr>
        <w:t>For example, t</w:t>
      </w:r>
      <w:r w:rsidR="002E5652" w:rsidRPr="00453630">
        <w:rPr>
          <w:rFonts w:ascii="Times New Roman" w:eastAsia="SimSun" w:hAnsi="Times New Roman" w:cs="Calibri"/>
          <w:color w:val="000000" w:themeColor="text1"/>
          <w:lang w:eastAsia="hi-IN" w:bidi="hi-IN"/>
        </w:rPr>
        <w:t>he replacement of natural products with products</w:t>
      </w:r>
      <w:r w:rsidR="002E5652">
        <w:rPr>
          <w:rFonts w:ascii="Times New Roman" w:eastAsia="SimSun" w:hAnsi="Times New Roman" w:cs="Calibri"/>
          <w:color w:val="000000" w:themeColor="text1"/>
          <w:lang w:eastAsia="hi-IN" w:bidi="hi-IN"/>
        </w:rPr>
        <w:t xml:space="preserve"> </w:t>
      </w:r>
      <w:r w:rsidR="002E5652" w:rsidRPr="00453630">
        <w:rPr>
          <w:rFonts w:ascii="Times New Roman" w:eastAsia="SimSun" w:hAnsi="Times New Roman" w:cs="Calibri"/>
          <w:color w:val="000000" w:themeColor="text1"/>
          <w:lang w:eastAsia="hi-IN" w:bidi="hi-IN"/>
        </w:rPr>
        <w:t>resulting from synthetic biology could lessen the</w:t>
      </w:r>
      <w:r w:rsidR="002E5652">
        <w:rPr>
          <w:rFonts w:ascii="Times New Roman" w:eastAsia="SimSun" w:hAnsi="Times New Roman" w:cs="Calibri"/>
          <w:color w:val="000000" w:themeColor="text1"/>
          <w:lang w:eastAsia="hi-IN" w:bidi="hi-IN"/>
        </w:rPr>
        <w:t xml:space="preserve"> </w:t>
      </w:r>
      <w:r w:rsidR="002E5652" w:rsidRPr="00453630">
        <w:rPr>
          <w:rFonts w:ascii="Times New Roman" w:eastAsia="SimSun" w:hAnsi="Times New Roman" w:cs="Calibri"/>
          <w:color w:val="000000" w:themeColor="text1"/>
          <w:lang w:eastAsia="hi-IN" w:bidi="hi-IN"/>
        </w:rPr>
        <w:t>pressure on natural habitats but could also disrupt</w:t>
      </w:r>
      <w:r w:rsidR="002E5652">
        <w:rPr>
          <w:rFonts w:ascii="Times New Roman" w:eastAsia="SimSun" w:hAnsi="Times New Roman" w:cs="Calibri"/>
          <w:color w:val="000000" w:themeColor="text1"/>
          <w:lang w:eastAsia="hi-IN" w:bidi="hi-IN"/>
        </w:rPr>
        <w:t xml:space="preserve"> </w:t>
      </w:r>
      <w:r w:rsidR="002E5652" w:rsidRPr="00B64823">
        <w:rPr>
          <w:rFonts w:ascii="Times New Roman" w:eastAsia="SimSun" w:hAnsi="Times New Roman" w:cs="Calibri"/>
          <w:i/>
          <w:iCs/>
          <w:color w:val="000000" w:themeColor="text1"/>
          <w:lang w:eastAsia="hi-IN" w:bidi="hi-IN"/>
        </w:rPr>
        <w:t>in situ</w:t>
      </w:r>
      <w:r w:rsidR="002E5652" w:rsidRPr="00453630">
        <w:rPr>
          <w:rFonts w:ascii="Times New Roman" w:eastAsia="SimSun" w:hAnsi="Times New Roman" w:cs="Calibri"/>
          <w:color w:val="000000" w:themeColor="text1"/>
          <w:lang w:eastAsia="hi-IN" w:bidi="hi-IN"/>
        </w:rPr>
        <w:t xml:space="preserve"> conservation projects.</w:t>
      </w:r>
      <w:r w:rsidR="00FB54E4" w:rsidRPr="00FB54E4">
        <w:rPr>
          <w:rFonts w:ascii="Times New Roman" w:eastAsia="SimSun" w:hAnsi="Times New Roman" w:cs="Calibri"/>
          <w:color w:val="000000" w:themeColor="text1"/>
          <w:lang w:eastAsia="hi-IN" w:bidi="hi-IN"/>
        </w:rPr>
        <w:t xml:space="preserve"> </w:t>
      </w:r>
      <w:r w:rsidR="002B21FF">
        <w:rPr>
          <w:rFonts w:ascii="Times New Roman" w:eastAsia="SimSun" w:hAnsi="Times New Roman" w:cs="Calibri"/>
          <w:color w:val="000000" w:themeColor="text1"/>
          <w:lang w:eastAsia="hi-IN" w:bidi="hi-IN"/>
        </w:rPr>
        <w:t>Further</w:t>
      </w:r>
      <w:r w:rsidR="00184EEC">
        <w:rPr>
          <w:rFonts w:ascii="Times New Roman" w:eastAsia="SimSun" w:hAnsi="Times New Roman" w:cs="Calibri"/>
          <w:color w:val="000000" w:themeColor="text1"/>
          <w:lang w:eastAsia="hi-IN" w:bidi="hi-IN"/>
        </w:rPr>
        <w:t>, i</w:t>
      </w:r>
      <w:r w:rsidR="004B32BC">
        <w:rPr>
          <w:rFonts w:ascii="Times New Roman" w:eastAsia="SimSun" w:hAnsi="Times New Roman" w:cs="Calibri"/>
          <w:color w:val="000000" w:themeColor="text1"/>
          <w:lang w:eastAsia="hi-IN" w:bidi="hi-IN"/>
        </w:rPr>
        <w:t xml:space="preserve">t was recently flagged </w:t>
      </w:r>
      <w:r w:rsidR="00FB21ED">
        <w:rPr>
          <w:rFonts w:ascii="Times New Roman" w:eastAsia="SimSun" w:hAnsi="Times New Roman" w:cs="Calibri"/>
          <w:color w:val="000000" w:themeColor="text1"/>
          <w:lang w:eastAsia="hi-IN" w:bidi="hi-IN"/>
        </w:rPr>
        <w:t xml:space="preserve">within the </w:t>
      </w:r>
      <w:r w:rsidR="00FB54E4" w:rsidRPr="00FB54E4">
        <w:rPr>
          <w:rFonts w:ascii="Times New Roman" w:eastAsia="SimSun" w:hAnsi="Times New Roman" w:cs="Calibri"/>
          <w:color w:val="000000" w:themeColor="text1"/>
          <w:lang w:eastAsia="hi-IN" w:bidi="hi-IN"/>
        </w:rPr>
        <w:t xml:space="preserve">CITES community </w:t>
      </w:r>
      <w:r w:rsidR="000C712D">
        <w:rPr>
          <w:rFonts w:ascii="Times New Roman" w:eastAsia="SimSun" w:hAnsi="Times New Roman" w:cs="Calibri"/>
          <w:color w:val="000000" w:themeColor="text1"/>
          <w:lang w:eastAsia="hi-IN" w:bidi="hi-IN"/>
        </w:rPr>
        <w:t xml:space="preserve">that there may be the need </w:t>
      </w:r>
      <w:r w:rsidR="0000686F">
        <w:rPr>
          <w:rFonts w:ascii="Times New Roman" w:eastAsia="SimSun" w:hAnsi="Times New Roman" w:cs="Calibri"/>
          <w:color w:val="000000" w:themeColor="text1"/>
          <w:lang w:eastAsia="hi-IN" w:bidi="hi-IN"/>
        </w:rPr>
        <w:t xml:space="preserve">to </w:t>
      </w:r>
      <w:r w:rsidR="00FB54E4" w:rsidRPr="00FB54E4">
        <w:rPr>
          <w:rFonts w:ascii="Times New Roman" w:eastAsia="SimSun" w:hAnsi="Times New Roman" w:cs="Calibri"/>
          <w:color w:val="000000" w:themeColor="text1"/>
          <w:lang w:eastAsia="hi-IN" w:bidi="hi-IN"/>
        </w:rPr>
        <w:t>consider creating rules for specimens produced from synthetic or</w:t>
      </w:r>
      <w:r w:rsidR="00FB54E4">
        <w:rPr>
          <w:rFonts w:ascii="Times New Roman" w:eastAsia="SimSun" w:hAnsi="Times New Roman" w:cs="Calibri"/>
          <w:color w:val="000000" w:themeColor="text1"/>
          <w:lang w:eastAsia="hi-IN" w:bidi="hi-IN"/>
        </w:rPr>
        <w:t xml:space="preserve"> </w:t>
      </w:r>
      <w:r w:rsidR="00FB54E4" w:rsidRPr="00FB54E4">
        <w:rPr>
          <w:rFonts w:ascii="Times New Roman" w:eastAsia="SimSun" w:hAnsi="Times New Roman" w:cs="Calibri"/>
          <w:color w:val="000000" w:themeColor="text1"/>
          <w:lang w:eastAsia="hi-IN" w:bidi="hi-IN"/>
        </w:rPr>
        <w:t xml:space="preserve">cultured DNA </w:t>
      </w:r>
      <w:r w:rsidR="004C16FD">
        <w:rPr>
          <w:rFonts w:ascii="Times New Roman" w:eastAsia="SimSun" w:hAnsi="Times New Roman" w:cs="Calibri"/>
          <w:color w:val="000000" w:themeColor="text1"/>
          <w:lang w:eastAsia="hi-IN" w:bidi="hi-IN"/>
        </w:rPr>
        <w:t>as</w:t>
      </w:r>
      <w:r w:rsidR="00FB54E4" w:rsidRPr="00FB54E4">
        <w:rPr>
          <w:rFonts w:ascii="Times New Roman" w:eastAsia="SimSun" w:hAnsi="Times New Roman" w:cs="Calibri"/>
          <w:color w:val="000000" w:themeColor="text1"/>
          <w:lang w:eastAsia="hi-IN" w:bidi="hi-IN"/>
        </w:rPr>
        <w:t xml:space="preserve"> the demand for </w:t>
      </w:r>
      <w:r w:rsidR="00557E2F">
        <w:rPr>
          <w:rFonts w:ascii="Times New Roman" w:eastAsia="SimSun" w:hAnsi="Times New Roman" w:cs="Calibri"/>
          <w:color w:val="000000" w:themeColor="text1"/>
          <w:lang w:eastAsia="hi-IN" w:bidi="hi-IN"/>
        </w:rPr>
        <w:t>them</w:t>
      </w:r>
      <w:r w:rsidR="00FB54E4" w:rsidRPr="00FB54E4">
        <w:rPr>
          <w:rFonts w:ascii="Times New Roman" w:eastAsia="SimSun" w:hAnsi="Times New Roman" w:cs="Calibri"/>
          <w:color w:val="000000" w:themeColor="text1"/>
          <w:lang w:eastAsia="hi-IN" w:bidi="hi-IN"/>
        </w:rPr>
        <w:t xml:space="preserve"> could</w:t>
      </w:r>
      <w:r w:rsidR="00FB54E4">
        <w:rPr>
          <w:rFonts w:ascii="Times New Roman" w:eastAsia="SimSun" w:hAnsi="Times New Roman" w:cs="Calibri"/>
          <w:color w:val="000000" w:themeColor="text1"/>
          <w:lang w:eastAsia="hi-IN" w:bidi="hi-IN"/>
        </w:rPr>
        <w:t xml:space="preserve"> </w:t>
      </w:r>
      <w:r w:rsidR="008629CA">
        <w:rPr>
          <w:rFonts w:ascii="Times New Roman" w:eastAsia="SimSun" w:hAnsi="Times New Roman" w:cs="Calibri"/>
          <w:color w:val="000000" w:themeColor="text1"/>
          <w:lang w:eastAsia="hi-IN" w:bidi="hi-IN"/>
        </w:rPr>
        <w:t xml:space="preserve">not only </w:t>
      </w:r>
      <w:r w:rsidR="00FB54E4" w:rsidRPr="00FB54E4">
        <w:rPr>
          <w:rFonts w:ascii="Times New Roman" w:eastAsia="SimSun" w:hAnsi="Times New Roman" w:cs="Calibri"/>
          <w:color w:val="000000" w:themeColor="text1"/>
          <w:lang w:eastAsia="hi-IN" w:bidi="hi-IN"/>
        </w:rPr>
        <w:t xml:space="preserve">lead to an increase in the demand for (illegal) </w:t>
      </w:r>
      <w:r w:rsidR="00F43509">
        <w:rPr>
          <w:rFonts w:ascii="Times New Roman" w:eastAsia="SimSun" w:hAnsi="Times New Roman" w:cs="Calibri"/>
          <w:color w:val="000000" w:themeColor="text1"/>
          <w:lang w:eastAsia="hi-IN" w:bidi="hi-IN"/>
        </w:rPr>
        <w:t>natural</w:t>
      </w:r>
      <w:r w:rsidR="00FB54E4" w:rsidRPr="00FB54E4">
        <w:rPr>
          <w:rFonts w:ascii="Times New Roman" w:eastAsia="SimSun" w:hAnsi="Times New Roman" w:cs="Calibri"/>
          <w:color w:val="000000" w:themeColor="text1"/>
          <w:lang w:eastAsia="hi-IN" w:bidi="hi-IN"/>
        </w:rPr>
        <w:t xml:space="preserve"> specimens (e.g.</w:t>
      </w:r>
      <w:r w:rsidR="00FB54E4">
        <w:rPr>
          <w:rFonts w:ascii="Times New Roman" w:eastAsia="SimSun" w:hAnsi="Times New Roman" w:cs="Calibri"/>
          <w:color w:val="000000" w:themeColor="text1"/>
          <w:lang w:eastAsia="hi-IN" w:bidi="hi-IN"/>
        </w:rPr>
        <w:t xml:space="preserve"> </w:t>
      </w:r>
      <w:r w:rsidR="00FB54E4" w:rsidRPr="00FB54E4">
        <w:rPr>
          <w:rFonts w:ascii="Times New Roman" w:eastAsia="SimSun" w:hAnsi="Times New Roman" w:cs="Calibri"/>
          <w:color w:val="000000" w:themeColor="text1"/>
          <w:lang w:eastAsia="hi-IN" w:bidi="hi-IN"/>
        </w:rPr>
        <w:t>rhino horn</w:t>
      </w:r>
      <w:r w:rsidR="00857A5B">
        <w:rPr>
          <w:rFonts w:ascii="Times New Roman" w:eastAsia="SimSun" w:hAnsi="Times New Roman" w:cs="Calibri"/>
          <w:color w:val="000000" w:themeColor="text1"/>
          <w:lang w:eastAsia="hi-IN" w:bidi="hi-IN"/>
        </w:rPr>
        <w:t xml:space="preserve">, </w:t>
      </w:r>
      <w:r w:rsidR="00857A5B" w:rsidRPr="00857A5B">
        <w:rPr>
          <w:rFonts w:ascii="Times New Roman" w:eastAsia="SimSun" w:hAnsi="Times New Roman" w:cs="Calibri"/>
          <w:color w:val="000000" w:themeColor="text1"/>
          <w:lang w:eastAsia="hi-IN" w:bidi="hi-IN"/>
        </w:rPr>
        <w:t>ivory, pangolin scales, medicinal plants, fragrances</w:t>
      </w:r>
      <w:r w:rsidR="00465061">
        <w:rPr>
          <w:rFonts w:ascii="Times New Roman" w:eastAsia="SimSun" w:hAnsi="Times New Roman" w:cs="Calibri"/>
          <w:color w:val="000000" w:themeColor="text1"/>
          <w:lang w:eastAsia="hi-IN" w:bidi="hi-IN"/>
        </w:rPr>
        <w:t>, etc.</w:t>
      </w:r>
      <w:r w:rsidR="00FB54E4" w:rsidRPr="00FB54E4">
        <w:rPr>
          <w:rFonts w:ascii="Times New Roman" w:eastAsia="SimSun" w:hAnsi="Times New Roman" w:cs="Calibri"/>
          <w:color w:val="000000" w:themeColor="text1"/>
          <w:lang w:eastAsia="hi-IN" w:bidi="hi-IN"/>
        </w:rPr>
        <w:t xml:space="preserve">) </w:t>
      </w:r>
      <w:r w:rsidR="008629CA">
        <w:rPr>
          <w:rFonts w:ascii="Times New Roman" w:eastAsia="SimSun" w:hAnsi="Times New Roman" w:cs="Calibri"/>
          <w:color w:val="000000" w:themeColor="text1"/>
          <w:lang w:eastAsia="hi-IN" w:bidi="hi-IN"/>
        </w:rPr>
        <w:t>but</w:t>
      </w:r>
      <w:r w:rsidR="00FB54E4" w:rsidRPr="00FB54E4">
        <w:rPr>
          <w:rFonts w:ascii="Times New Roman" w:eastAsia="SimSun" w:hAnsi="Times New Roman" w:cs="Calibri"/>
          <w:color w:val="000000" w:themeColor="text1"/>
          <w:lang w:eastAsia="hi-IN" w:bidi="hi-IN"/>
        </w:rPr>
        <w:t xml:space="preserve"> </w:t>
      </w:r>
      <w:r w:rsidR="00023F64">
        <w:rPr>
          <w:rFonts w:ascii="Times New Roman" w:eastAsia="SimSun" w:hAnsi="Times New Roman" w:cs="Calibri"/>
          <w:color w:val="000000" w:themeColor="text1"/>
          <w:lang w:eastAsia="hi-IN" w:bidi="hi-IN"/>
        </w:rPr>
        <w:t>they</w:t>
      </w:r>
      <w:r w:rsidR="00FB54E4" w:rsidRPr="00FB54E4">
        <w:rPr>
          <w:rFonts w:ascii="Times New Roman" w:eastAsia="SimSun" w:hAnsi="Times New Roman" w:cs="Calibri"/>
          <w:color w:val="000000" w:themeColor="text1"/>
          <w:lang w:eastAsia="hi-IN" w:bidi="hi-IN"/>
        </w:rPr>
        <w:t xml:space="preserve"> could </w:t>
      </w:r>
      <w:r w:rsidR="008629CA">
        <w:rPr>
          <w:rFonts w:ascii="Times New Roman" w:eastAsia="SimSun" w:hAnsi="Times New Roman" w:cs="Calibri"/>
          <w:color w:val="000000" w:themeColor="text1"/>
          <w:lang w:eastAsia="hi-IN" w:bidi="hi-IN"/>
        </w:rPr>
        <w:t>also</w:t>
      </w:r>
      <w:r w:rsidR="00FB54E4" w:rsidRPr="00FB54E4">
        <w:rPr>
          <w:rFonts w:ascii="Times New Roman" w:eastAsia="SimSun" w:hAnsi="Times New Roman" w:cs="Calibri"/>
          <w:color w:val="000000" w:themeColor="text1"/>
          <w:lang w:eastAsia="hi-IN" w:bidi="hi-IN"/>
        </w:rPr>
        <w:t xml:space="preserve"> be mixed with</w:t>
      </w:r>
      <w:r w:rsidR="00FB54E4">
        <w:rPr>
          <w:rFonts w:ascii="Times New Roman" w:eastAsia="SimSun" w:hAnsi="Times New Roman" w:cs="Calibri"/>
          <w:color w:val="000000" w:themeColor="text1"/>
          <w:lang w:eastAsia="hi-IN" w:bidi="hi-IN"/>
        </w:rPr>
        <w:t xml:space="preserve"> </w:t>
      </w:r>
      <w:r w:rsidR="00FB54E4" w:rsidRPr="00FB54E4">
        <w:rPr>
          <w:rFonts w:ascii="Times New Roman" w:eastAsia="SimSun" w:hAnsi="Times New Roman" w:cs="Calibri"/>
          <w:color w:val="000000" w:themeColor="text1"/>
          <w:lang w:eastAsia="hi-IN" w:bidi="hi-IN"/>
        </w:rPr>
        <w:t xml:space="preserve">(illegal) </w:t>
      </w:r>
      <w:r w:rsidR="0097443C">
        <w:rPr>
          <w:rFonts w:ascii="Times New Roman" w:eastAsia="SimSun" w:hAnsi="Times New Roman" w:cs="Calibri"/>
          <w:color w:val="000000" w:themeColor="text1"/>
          <w:lang w:eastAsia="hi-IN" w:bidi="hi-IN"/>
        </w:rPr>
        <w:t>natural</w:t>
      </w:r>
      <w:r w:rsidR="00FB54E4" w:rsidRPr="00FB54E4">
        <w:rPr>
          <w:rFonts w:ascii="Times New Roman" w:eastAsia="SimSun" w:hAnsi="Times New Roman" w:cs="Calibri"/>
          <w:color w:val="000000" w:themeColor="text1"/>
          <w:lang w:eastAsia="hi-IN" w:bidi="hi-IN"/>
        </w:rPr>
        <w:t xml:space="preserve"> specimens. It could be detrimental to the aims of</w:t>
      </w:r>
      <w:r w:rsidR="00FB54E4">
        <w:rPr>
          <w:rFonts w:ascii="Times New Roman" w:eastAsia="SimSun" w:hAnsi="Times New Roman" w:cs="Calibri"/>
          <w:color w:val="000000" w:themeColor="text1"/>
          <w:lang w:eastAsia="hi-IN" w:bidi="hi-IN"/>
        </w:rPr>
        <w:t xml:space="preserve"> </w:t>
      </w:r>
      <w:r w:rsidR="00FB54E4" w:rsidRPr="00FB54E4">
        <w:rPr>
          <w:rFonts w:ascii="Times New Roman" w:eastAsia="SimSun" w:hAnsi="Times New Roman" w:cs="Calibri"/>
          <w:color w:val="000000" w:themeColor="text1"/>
          <w:lang w:eastAsia="hi-IN" w:bidi="hi-IN"/>
        </w:rPr>
        <w:t xml:space="preserve">CITES to protect species in the wild if </w:t>
      </w:r>
      <w:r w:rsidR="00B31907">
        <w:rPr>
          <w:rFonts w:ascii="Times New Roman" w:eastAsia="SimSun" w:hAnsi="Times New Roman" w:cs="Calibri"/>
          <w:color w:val="000000" w:themeColor="text1"/>
          <w:lang w:eastAsia="hi-IN" w:bidi="hi-IN"/>
        </w:rPr>
        <w:t>synthetic</w:t>
      </w:r>
      <w:r w:rsidR="00FB54E4" w:rsidRPr="00FB54E4">
        <w:rPr>
          <w:rFonts w:ascii="Times New Roman" w:eastAsia="SimSun" w:hAnsi="Times New Roman" w:cs="Calibri"/>
          <w:color w:val="000000" w:themeColor="text1"/>
          <w:lang w:eastAsia="hi-IN" w:bidi="hi-IN"/>
        </w:rPr>
        <w:t xml:space="preserve"> </w:t>
      </w:r>
      <w:r w:rsidR="006F5407">
        <w:rPr>
          <w:rFonts w:ascii="Times New Roman" w:eastAsia="SimSun" w:hAnsi="Times New Roman" w:cs="Calibri"/>
          <w:color w:val="000000" w:themeColor="text1"/>
          <w:lang w:eastAsia="hi-IN" w:bidi="hi-IN"/>
        </w:rPr>
        <w:t xml:space="preserve">alternative </w:t>
      </w:r>
      <w:r w:rsidR="00FB54E4" w:rsidRPr="00FB54E4">
        <w:rPr>
          <w:rFonts w:ascii="Times New Roman" w:eastAsia="SimSun" w:hAnsi="Times New Roman" w:cs="Calibri"/>
          <w:color w:val="000000" w:themeColor="text1"/>
          <w:lang w:eastAsia="hi-IN" w:bidi="hi-IN"/>
        </w:rPr>
        <w:t>specimens fall out of the scope of CITES</w:t>
      </w:r>
      <w:r w:rsidR="00A7008C">
        <w:rPr>
          <w:rFonts w:ascii="Times New Roman" w:eastAsia="SimSun" w:hAnsi="Times New Roman" w:cs="Calibri"/>
          <w:color w:val="000000" w:themeColor="text1"/>
          <w:lang w:eastAsia="hi-IN" w:bidi="hi-IN"/>
        </w:rPr>
        <w:t xml:space="preserve"> </w:t>
      </w:r>
      <w:r w:rsidR="00A7008C">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{"citationItems":[{"id":"ITEM-1","itemData":{"author":[{"dropping-particle":"","family":"CITES","given":"","non-dropping-particle":"","parse-names":false,"suffix":""}],"id":"ITEM-1","issued":{"date-parts":[["2018","7"]]},"publisher-place":"Geneva","title":"Interpretation and implementation matters. General compliance and enforcement. Specimens produced from synthetic or cultured DNA","type":"report"},"uris":["http://www.mendeley.com/documents/?uuid=cad0d36f-3d2c-48cf-9813-b6b6574ef64f"]}],"mendeley":{"formattedCitation":"(CITES, 2018)","plainTextFormattedCitation":"(CITES, 2018)","previouslyFormattedCitation":"(CITES, 2018)"},"properties":{"noteIndex":0},"schema":"https://github.com/citation-style-language/schema/raw/master/csl-citation.json"}</w:instrText>
      </w:r>
      <w:r w:rsidR="00A7008C">
        <w:rPr>
          <w:rFonts w:ascii="Times New Roman" w:eastAsia="SimSun" w:hAnsi="Times New Roman" w:cs="Calibri"/>
          <w:color w:val="000000" w:themeColor="text1"/>
          <w:lang w:eastAsia="hi-IN" w:bidi="hi-IN"/>
        </w:rPr>
        <w:fldChar w:fldCharType="separate"/>
      </w:r>
      <w:r w:rsidR="00A7008C" w:rsidRPr="00A7008C">
        <w:rPr>
          <w:rFonts w:ascii="Times New Roman" w:eastAsia="SimSun" w:hAnsi="Times New Roman" w:cs="Calibri"/>
          <w:noProof/>
          <w:color w:val="000000" w:themeColor="text1"/>
          <w:lang w:eastAsia="hi-IN" w:bidi="hi-IN"/>
        </w:rPr>
        <w:t>(CITES, 2018)</w:t>
      </w:r>
      <w:r w:rsidR="00A7008C">
        <w:rPr>
          <w:rFonts w:ascii="Times New Roman" w:eastAsia="SimSun" w:hAnsi="Times New Roman" w:cs="Calibri"/>
          <w:color w:val="000000" w:themeColor="text1"/>
          <w:lang w:eastAsia="hi-IN" w:bidi="hi-IN"/>
        </w:rPr>
        <w:fldChar w:fldCharType="end"/>
      </w:r>
      <w:r w:rsidR="00FB54E4" w:rsidRPr="00FB54E4">
        <w:rPr>
          <w:rFonts w:ascii="Times New Roman" w:eastAsia="SimSun" w:hAnsi="Times New Roman" w:cs="Calibri"/>
          <w:color w:val="000000" w:themeColor="text1"/>
          <w:lang w:eastAsia="hi-IN" w:bidi="hi-IN"/>
        </w:rPr>
        <w:t>.</w:t>
      </w:r>
    </w:p>
    <w:p w14:paraId="0AEEA481" w14:textId="6B38B03C" w:rsidR="006638ED" w:rsidRPr="00082373" w:rsidRDefault="0041004A" w:rsidP="00FB54E4">
      <w:pPr>
        <w:spacing w:before="120" w:after="120" w:line="240" w:lineRule="auto"/>
        <w:jc w:val="both"/>
        <w:rPr>
          <w:rFonts w:eastAsia="SimSun"/>
        </w:rPr>
      </w:pPr>
      <w:r>
        <w:rPr>
          <w:rFonts w:ascii="Times New Roman" w:eastAsia="SimSun" w:hAnsi="Times New Roman" w:cs="Calibri"/>
          <w:color w:val="000000" w:themeColor="text1"/>
          <w:lang w:eastAsia="hi-IN" w:bidi="hi-IN"/>
        </w:rPr>
        <w:t xml:space="preserve">One case where real-life </w:t>
      </w:r>
      <w:r w:rsidR="00355BAF">
        <w:rPr>
          <w:rFonts w:ascii="Times New Roman" w:eastAsia="SimSun" w:hAnsi="Times New Roman" w:cs="Calibri"/>
          <w:color w:val="000000" w:themeColor="text1"/>
          <w:lang w:eastAsia="hi-IN" w:bidi="hi-IN"/>
        </w:rPr>
        <w:t xml:space="preserve">experience has been gained </w:t>
      </w:r>
      <w:r w:rsidR="0006204A">
        <w:rPr>
          <w:rFonts w:ascii="Times New Roman" w:eastAsia="SimSun" w:hAnsi="Times New Roman" w:cs="Calibri"/>
          <w:color w:val="000000" w:themeColor="text1"/>
          <w:lang w:eastAsia="hi-IN" w:bidi="hi-IN"/>
        </w:rPr>
        <w:t xml:space="preserve">concerns </w:t>
      </w:r>
      <w:r w:rsidR="00CC0B45">
        <w:rPr>
          <w:rFonts w:ascii="Times New Roman" w:eastAsia="SimSun" w:hAnsi="Times New Roman" w:cs="Calibri"/>
          <w:color w:val="000000" w:themeColor="text1"/>
          <w:lang w:eastAsia="hi-IN" w:bidi="hi-IN"/>
        </w:rPr>
        <w:t xml:space="preserve">vanillin. </w:t>
      </w:r>
      <w:r w:rsidR="00820622">
        <w:rPr>
          <w:rFonts w:ascii="Times New Roman" w:eastAsia="SimSun" w:hAnsi="Times New Roman" w:cs="Calibri"/>
          <w:color w:val="000000" w:themeColor="text1"/>
          <w:lang w:eastAsia="hi-IN" w:bidi="hi-IN"/>
        </w:rPr>
        <w:t>Initially</w:t>
      </w:r>
      <w:r w:rsidR="00F53FEF">
        <w:rPr>
          <w:rFonts w:ascii="Times New Roman" w:eastAsia="SimSun" w:hAnsi="Times New Roman" w:cs="Calibri"/>
          <w:color w:val="000000" w:themeColor="text1"/>
          <w:lang w:eastAsia="hi-IN" w:bidi="hi-IN"/>
        </w:rPr>
        <w:t xml:space="preserve">, </w:t>
      </w:r>
      <w:r w:rsidR="00C062DF">
        <w:rPr>
          <w:rFonts w:ascii="Times New Roman" w:eastAsia="SimSun" w:hAnsi="Times New Roman" w:cs="Calibri"/>
          <w:color w:val="000000" w:themeColor="text1"/>
          <w:lang w:eastAsia="hi-IN" w:bidi="hi-IN"/>
        </w:rPr>
        <w:t xml:space="preserve">the production of </w:t>
      </w:r>
      <w:r w:rsidR="00453630" w:rsidRPr="00453630">
        <w:rPr>
          <w:rFonts w:ascii="Times New Roman" w:eastAsia="SimSun" w:hAnsi="Times New Roman" w:cs="Calibri"/>
          <w:color w:val="000000" w:themeColor="text1"/>
          <w:lang w:eastAsia="hi-IN" w:bidi="hi-IN"/>
        </w:rPr>
        <w:t>vanillin</w:t>
      </w:r>
      <w:r w:rsidR="00BA6481">
        <w:rPr>
          <w:rFonts w:ascii="Times New Roman" w:eastAsia="SimSun" w:hAnsi="Times New Roman" w:cs="Calibri"/>
          <w:color w:val="000000" w:themeColor="text1"/>
          <w:lang w:eastAsia="hi-IN" w:bidi="hi-IN"/>
        </w:rPr>
        <w:t xml:space="preserve"> by synthetic biology</w:t>
      </w:r>
      <w:r w:rsidR="00AD3A63">
        <w:rPr>
          <w:rFonts w:ascii="Times New Roman" w:eastAsia="SimSun" w:hAnsi="Times New Roman" w:cs="Calibri"/>
          <w:color w:val="000000" w:themeColor="text1"/>
          <w:lang w:eastAsia="hi-IN" w:bidi="hi-IN"/>
        </w:rPr>
        <w:t xml:space="preserve"> (</w:t>
      </w:r>
      <w:r w:rsidR="009C7387">
        <w:rPr>
          <w:rFonts w:ascii="Times New Roman" w:eastAsia="SimSun" w:hAnsi="Times New Roman" w:cs="Calibri"/>
          <w:color w:val="000000" w:themeColor="text1"/>
          <w:lang w:eastAsia="hi-IN" w:bidi="hi-IN"/>
        </w:rPr>
        <w:t>S</w:t>
      </w:r>
      <w:r w:rsidR="00453630" w:rsidRPr="00453630">
        <w:rPr>
          <w:rFonts w:ascii="Times New Roman" w:eastAsia="SimSun" w:hAnsi="Times New Roman" w:cs="Calibri"/>
          <w:color w:val="000000" w:themeColor="text1"/>
          <w:lang w:eastAsia="hi-IN" w:bidi="hi-IN"/>
        </w:rPr>
        <w:t xml:space="preserve">ection </w:t>
      </w:r>
      <w:r w:rsidR="009C7387">
        <w:rPr>
          <w:rFonts w:ascii="Times New Roman" w:eastAsia="SimSun" w:hAnsi="Times New Roman" w:cs="Calibri"/>
          <w:color w:val="000000" w:themeColor="text1"/>
          <w:lang w:eastAsia="hi-IN" w:bidi="hi-IN"/>
        </w:rPr>
        <w:t>3</w:t>
      </w:r>
      <w:r w:rsidR="007670E4">
        <w:rPr>
          <w:rFonts w:ascii="Times New Roman" w:eastAsia="SimSun" w:hAnsi="Times New Roman" w:cs="Calibri"/>
          <w:color w:val="000000" w:themeColor="text1"/>
          <w:lang w:eastAsia="hi-IN" w:bidi="hi-IN"/>
        </w:rPr>
        <w:t>.3.1</w:t>
      </w:r>
      <w:r w:rsidR="009C4E29">
        <w:rPr>
          <w:rFonts w:ascii="Times New Roman" w:eastAsia="SimSun" w:hAnsi="Times New Roman" w:cs="Calibri"/>
          <w:color w:val="000000" w:themeColor="text1"/>
          <w:lang w:eastAsia="hi-IN" w:bidi="hi-IN"/>
        </w:rPr>
        <w:t>(d)</w:t>
      </w:r>
      <w:r w:rsidR="00453630" w:rsidRPr="00453630">
        <w:rPr>
          <w:rFonts w:ascii="Times New Roman" w:eastAsia="SimSun" w:hAnsi="Times New Roman" w:cs="Calibri"/>
          <w:color w:val="000000" w:themeColor="text1"/>
          <w:lang w:eastAsia="hi-IN" w:bidi="hi-IN"/>
        </w:rPr>
        <w:t>)</w:t>
      </w:r>
      <w:r w:rsidR="003F7BF6">
        <w:rPr>
          <w:rFonts w:ascii="Times New Roman" w:eastAsia="SimSun" w:hAnsi="Times New Roman" w:cs="Calibri"/>
          <w:color w:val="000000" w:themeColor="text1"/>
          <w:lang w:eastAsia="hi-IN" w:bidi="hi-IN"/>
        </w:rPr>
        <w:t xml:space="preserve"> arose</w:t>
      </w:r>
      <w:r w:rsidR="00453630" w:rsidRPr="00453630">
        <w:rPr>
          <w:rFonts w:ascii="Times New Roman" w:eastAsia="SimSun" w:hAnsi="Times New Roman" w:cs="Calibri"/>
          <w:color w:val="000000" w:themeColor="text1"/>
          <w:lang w:eastAsia="hi-IN" w:bidi="hi-IN"/>
        </w:rPr>
        <w:t xml:space="preserve"> </w:t>
      </w:r>
      <w:r w:rsidR="005E1FD6">
        <w:rPr>
          <w:rFonts w:ascii="Times New Roman" w:eastAsia="SimSun" w:hAnsi="Times New Roman" w:cs="Calibri"/>
          <w:color w:val="000000" w:themeColor="text1"/>
          <w:lang w:eastAsia="hi-IN" w:bidi="hi-IN"/>
        </w:rPr>
        <w:t>concerns</w:t>
      </w:r>
      <w:r w:rsidR="005E1FD6" w:rsidRPr="00AC736E">
        <w:rPr>
          <w:rFonts w:ascii="Times New Roman" w:eastAsia="SimSun" w:hAnsi="Times New Roman" w:cs="Calibri"/>
          <w:color w:val="000000" w:themeColor="text1"/>
          <w:lang w:eastAsia="hi-IN" w:bidi="hi-IN"/>
        </w:rPr>
        <w:t xml:space="preserve"> that its large-scale production could negatively impact the many small</w:t>
      </w:r>
      <w:r w:rsidR="00E61476">
        <w:rPr>
          <w:rFonts w:ascii="Times New Roman" w:eastAsia="SimSun" w:hAnsi="Times New Roman" w:cs="Calibri"/>
          <w:color w:val="000000" w:themeColor="text1"/>
          <w:lang w:eastAsia="hi-IN" w:bidi="hi-IN"/>
        </w:rPr>
        <w:t>holder</w:t>
      </w:r>
      <w:r w:rsidR="005E1FD6" w:rsidRPr="00AC736E">
        <w:rPr>
          <w:rFonts w:ascii="Times New Roman" w:eastAsia="SimSun" w:hAnsi="Times New Roman" w:cs="Calibri"/>
          <w:color w:val="000000" w:themeColor="text1"/>
          <w:lang w:eastAsia="hi-IN" w:bidi="hi-IN"/>
        </w:rPr>
        <w:t xml:space="preserve"> farmers involved in the production of cured vanilla beans </w:t>
      </w:r>
      <w:r w:rsidR="00B156AF">
        <w:rPr>
          <w:rFonts w:ascii="Times New Roman" w:eastAsia="SimSun" w:hAnsi="Times New Roman" w:cs="Calibri"/>
          <w:color w:val="000000" w:themeColor="text1"/>
          <w:lang w:eastAsia="hi-IN" w:bidi="hi-IN"/>
        </w:rPr>
        <w:fldChar w:fldCharType="begin" w:fldLock="1"/>
      </w:r>
      <w:r w:rsidR="00883E95">
        <w:rPr>
          <w:rFonts w:ascii="Times New Roman" w:eastAsia="SimSun" w:hAnsi="Times New Roman" w:cs="Calibri"/>
          <w:color w:val="000000" w:themeColor="text1"/>
          <w:lang w:eastAsia="hi-IN" w:bidi="hi-IN"/>
        </w:rPr>
        <w:instrText>ADDIN CSL_CITATION {"citationItems":[{"id":"ITEM-1","itemData":{"author":[{"dropping-particle":"","family":"ETC Group","given":"","non-dropping-particle":"","parse-names":false,"suffix":""}],"id":"ITEM-1","issued":{"date-parts":[["2013"]]},"title":"Potential Impacts of Synthetic Biology on Livelihoods and Biodiversity: Eight Case Studies on Commodity Replacement: A Submisison to the Convention on Biological Diversity from ETC Group","type":"article"},"uris":["http://www.mendeley.com/documents/?uuid=f3018a03-72bf-4dac-979b-4579f5863c9d"]}],"mendeley":{"formattedCitation":"(ETC Group, 2013b)","manualFormatting":"(ETC Group, 2013)","plainTextFormattedCitation":"(ETC Group, 2013b)","previouslyFormattedCitation":"(ETC Group, 2013b)"},"properties":{"noteIndex":0},"schema":"https://github.com/citation-style-language/schema/raw/master/csl-citation.json"}</w:instrText>
      </w:r>
      <w:r w:rsidR="00B156AF">
        <w:rPr>
          <w:rFonts w:ascii="Times New Roman" w:eastAsia="SimSun" w:hAnsi="Times New Roman" w:cs="Calibri"/>
          <w:color w:val="000000" w:themeColor="text1"/>
          <w:lang w:eastAsia="hi-IN" w:bidi="hi-IN"/>
        </w:rPr>
        <w:fldChar w:fldCharType="separate"/>
      </w:r>
      <w:r w:rsidR="00B156AF" w:rsidRPr="00B156AF">
        <w:rPr>
          <w:rFonts w:ascii="Times New Roman" w:eastAsia="SimSun" w:hAnsi="Times New Roman" w:cs="Calibri"/>
          <w:noProof/>
          <w:color w:val="000000" w:themeColor="text1"/>
          <w:lang w:eastAsia="hi-IN" w:bidi="hi-IN"/>
        </w:rPr>
        <w:t>(ETC Group, 2013)</w:t>
      </w:r>
      <w:r w:rsidR="00B156AF">
        <w:rPr>
          <w:rFonts w:ascii="Times New Roman" w:eastAsia="SimSun" w:hAnsi="Times New Roman" w:cs="Calibri"/>
          <w:color w:val="000000" w:themeColor="text1"/>
          <w:lang w:eastAsia="hi-IN" w:bidi="hi-IN"/>
        </w:rPr>
        <w:fldChar w:fldCharType="end"/>
      </w:r>
      <w:r w:rsidR="005E1FD6" w:rsidRPr="00AC736E">
        <w:rPr>
          <w:rFonts w:ascii="Times New Roman" w:eastAsia="SimSun" w:hAnsi="Times New Roman" w:cs="Calibri"/>
          <w:color w:val="000000" w:themeColor="text1"/>
          <w:lang w:eastAsia="hi-IN" w:bidi="hi-IN"/>
        </w:rPr>
        <w:t>. Vanilla orchids are commonly produced by inter-cropping with rainforest trees as ‘tutors’ for vanilla vines to grow on</w:t>
      </w:r>
      <w:r w:rsidR="00FA4757">
        <w:rPr>
          <w:rFonts w:ascii="Times New Roman" w:eastAsia="SimSun" w:hAnsi="Times New Roman" w:cs="Calibri"/>
          <w:color w:val="000000" w:themeColor="text1"/>
          <w:lang w:eastAsia="hi-IN" w:bidi="hi-IN"/>
        </w:rPr>
        <w:t>,</w:t>
      </w:r>
      <w:r w:rsidR="000C6D54">
        <w:rPr>
          <w:rFonts w:ascii="Times New Roman" w:eastAsia="SimSun" w:hAnsi="Times New Roman" w:cs="Calibri"/>
          <w:color w:val="000000" w:themeColor="text1"/>
          <w:lang w:eastAsia="hi-IN" w:bidi="hi-IN"/>
        </w:rPr>
        <w:t xml:space="preserve"> and </w:t>
      </w:r>
      <w:r w:rsidR="009A37D3">
        <w:rPr>
          <w:rFonts w:ascii="Times New Roman" w:eastAsia="SimSun" w:hAnsi="Times New Roman" w:cs="Calibri"/>
          <w:color w:val="000000" w:themeColor="text1"/>
          <w:lang w:eastAsia="hi-IN" w:bidi="hi-IN"/>
        </w:rPr>
        <w:t>so</w:t>
      </w:r>
      <w:r w:rsidR="00F53FEF">
        <w:rPr>
          <w:rFonts w:ascii="Times New Roman" w:eastAsia="SimSun" w:hAnsi="Times New Roman" w:cs="Calibri"/>
          <w:color w:val="000000" w:themeColor="text1"/>
          <w:lang w:eastAsia="hi-IN" w:bidi="hi-IN"/>
        </w:rPr>
        <w:t xml:space="preserve"> it was thought that</w:t>
      </w:r>
      <w:r w:rsidR="00C771E7">
        <w:rPr>
          <w:rFonts w:ascii="Times New Roman" w:eastAsia="SimSun" w:hAnsi="Times New Roman" w:cs="Calibri"/>
          <w:color w:val="000000" w:themeColor="text1"/>
          <w:lang w:eastAsia="hi-IN" w:bidi="hi-IN"/>
        </w:rPr>
        <w:t xml:space="preserve"> </w:t>
      </w:r>
      <w:r w:rsidR="00836785">
        <w:rPr>
          <w:rFonts w:ascii="Times New Roman" w:eastAsia="SimSun" w:hAnsi="Times New Roman" w:cs="Calibri"/>
          <w:color w:val="000000" w:themeColor="text1"/>
          <w:lang w:eastAsia="hi-IN" w:bidi="hi-IN"/>
        </w:rPr>
        <w:t>reduced demand for the natural product could disrupt</w:t>
      </w:r>
      <w:r w:rsidR="005E1FD6" w:rsidRPr="00AC736E">
        <w:rPr>
          <w:rFonts w:ascii="Times New Roman" w:eastAsia="SimSun" w:hAnsi="Times New Roman" w:cs="Calibri"/>
          <w:color w:val="000000" w:themeColor="text1"/>
          <w:lang w:eastAsia="hi-IN" w:bidi="hi-IN"/>
        </w:rPr>
        <w:t xml:space="preserve"> this agro-ecological method of cultivation (ETC </w:t>
      </w:r>
      <w:r w:rsidR="001B2168" w:rsidRPr="00CA1123">
        <w:rPr>
          <w:rFonts w:ascii="Times New Roman" w:eastAsia="SimSun" w:hAnsi="Times New Roman" w:cs="Calibri"/>
          <w:noProof/>
          <w:color w:val="000000" w:themeColor="text1"/>
          <w:lang w:eastAsia="hi-IN" w:bidi="hi-IN"/>
        </w:rPr>
        <w:t>Group, 2013</w:t>
      </w:r>
      <w:r w:rsidR="001B2168">
        <w:rPr>
          <w:rFonts w:ascii="Times New Roman" w:eastAsia="SimSun" w:hAnsi="Times New Roman" w:cs="Calibri"/>
          <w:noProof/>
          <w:color w:val="000000" w:themeColor="text1"/>
          <w:lang w:eastAsia="hi-IN" w:bidi="hi-IN"/>
        </w:rPr>
        <w:t>)</w:t>
      </w:r>
      <w:r w:rsidR="005E1FD6" w:rsidRPr="00AC736E">
        <w:rPr>
          <w:rFonts w:ascii="Times New Roman" w:eastAsia="SimSun" w:hAnsi="Times New Roman" w:cs="Calibri"/>
          <w:color w:val="000000" w:themeColor="text1"/>
          <w:lang w:eastAsia="hi-IN" w:bidi="hi-IN"/>
        </w:rPr>
        <w:t xml:space="preserve">. </w:t>
      </w:r>
      <w:r w:rsidR="00275E94">
        <w:rPr>
          <w:rFonts w:ascii="Times New Roman" w:eastAsia="SimSun" w:hAnsi="Times New Roman" w:cs="Calibri"/>
          <w:color w:val="000000" w:themeColor="text1"/>
          <w:lang w:eastAsia="hi-IN" w:bidi="hi-IN"/>
        </w:rPr>
        <w:t>T</w:t>
      </w:r>
      <w:r w:rsidR="00AC736E" w:rsidRPr="00AC736E">
        <w:rPr>
          <w:rFonts w:ascii="Times New Roman" w:eastAsia="SimSun" w:hAnsi="Times New Roman" w:cs="Calibri"/>
          <w:color w:val="000000" w:themeColor="text1"/>
          <w:lang w:eastAsia="hi-IN" w:bidi="hi-IN"/>
        </w:rPr>
        <w:t>he developers of vanillin</w:t>
      </w:r>
      <w:r w:rsidR="00F53FEF">
        <w:rPr>
          <w:rFonts w:ascii="Times New Roman" w:eastAsia="SimSun" w:hAnsi="Times New Roman" w:cs="Calibri"/>
          <w:color w:val="000000" w:themeColor="text1"/>
          <w:lang w:eastAsia="hi-IN" w:bidi="hi-IN"/>
        </w:rPr>
        <w:t xml:space="preserve"> on the other hand</w:t>
      </w:r>
      <w:r w:rsidR="00275E94">
        <w:rPr>
          <w:rFonts w:ascii="Times New Roman" w:eastAsia="SimSun" w:hAnsi="Times New Roman" w:cs="Calibri"/>
          <w:color w:val="000000" w:themeColor="text1"/>
          <w:lang w:eastAsia="hi-IN" w:bidi="hi-IN"/>
        </w:rPr>
        <w:t xml:space="preserve"> </w:t>
      </w:r>
      <w:r w:rsidR="00AC736E" w:rsidRPr="00AC736E">
        <w:rPr>
          <w:rFonts w:ascii="Times New Roman" w:eastAsia="SimSun" w:hAnsi="Times New Roman" w:cs="Calibri"/>
          <w:color w:val="000000" w:themeColor="text1"/>
          <w:lang w:eastAsia="hi-IN" w:bidi="hi-IN"/>
        </w:rPr>
        <w:t>claim</w:t>
      </w:r>
      <w:r w:rsidR="00275E94">
        <w:rPr>
          <w:rFonts w:ascii="Times New Roman" w:eastAsia="SimSun" w:hAnsi="Times New Roman" w:cs="Calibri"/>
          <w:color w:val="000000" w:themeColor="text1"/>
          <w:lang w:eastAsia="hi-IN" w:bidi="hi-IN"/>
        </w:rPr>
        <w:t>ed</w:t>
      </w:r>
      <w:r w:rsidR="00AC736E" w:rsidRPr="00AC736E">
        <w:rPr>
          <w:rFonts w:ascii="Times New Roman" w:eastAsia="SimSun" w:hAnsi="Times New Roman" w:cs="Calibri"/>
          <w:color w:val="000000" w:themeColor="text1"/>
          <w:lang w:eastAsia="hi-IN" w:bidi="hi-IN"/>
        </w:rPr>
        <w:t xml:space="preserve"> that their product </w:t>
      </w:r>
      <w:r w:rsidR="0021194E" w:rsidRPr="00AC736E">
        <w:rPr>
          <w:rFonts w:ascii="Times New Roman" w:eastAsia="SimSun" w:hAnsi="Times New Roman" w:cs="Calibri"/>
          <w:color w:val="000000" w:themeColor="text1"/>
          <w:lang w:eastAsia="hi-IN" w:bidi="hi-IN"/>
        </w:rPr>
        <w:t>offer</w:t>
      </w:r>
      <w:r w:rsidR="0021194E">
        <w:rPr>
          <w:rFonts w:ascii="Times New Roman" w:eastAsia="SimSun" w:hAnsi="Times New Roman" w:cs="Calibri"/>
          <w:color w:val="000000" w:themeColor="text1"/>
          <w:lang w:eastAsia="hi-IN" w:bidi="hi-IN"/>
        </w:rPr>
        <w:t>ed</w:t>
      </w:r>
      <w:r w:rsidR="0021194E" w:rsidRPr="00AC736E">
        <w:rPr>
          <w:rFonts w:ascii="Times New Roman" w:eastAsia="SimSun" w:hAnsi="Times New Roman" w:cs="Calibri"/>
          <w:color w:val="000000" w:themeColor="text1"/>
          <w:lang w:eastAsia="hi-IN" w:bidi="hi-IN"/>
        </w:rPr>
        <w:t xml:space="preserve"> </w:t>
      </w:r>
      <w:r w:rsidR="00AC736E" w:rsidRPr="00AC736E">
        <w:rPr>
          <w:rFonts w:ascii="Times New Roman" w:eastAsia="SimSun" w:hAnsi="Times New Roman" w:cs="Calibri"/>
          <w:color w:val="000000" w:themeColor="text1"/>
          <w:lang w:eastAsia="hi-IN" w:bidi="hi-IN"/>
        </w:rPr>
        <w:t>the world a clear alternative to the petrochemical variety of vanillin without introducing a new environmental threat to rainforests and endangered species</w:t>
      </w:r>
      <w:r w:rsidR="0021194E">
        <w:rPr>
          <w:rFonts w:ascii="Times New Roman" w:eastAsia="SimSun" w:hAnsi="Times New Roman" w:cs="Calibri"/>
          <w:color w:val="000000" w:themeColor="text1"/>
          <w:lang w:eastAsia="hi-IN" w:bidi="hi-IN"/>
        </w:rPr>
        <w:t>.</w:t>
      </w:r>
      <w:r w:rsidR="00AC736E" w:rsidRPr="00AC736E">
        <w:rPr>
          <w:rFonts w:ascii="Times New Roman" w:eastAsia="SimSun" w:hAnsi="Times New Roman" w:cs="Calibri"/>
          <w:color w:val="000000" w:themeColor="text1"/>
          <w:lang w:eastAsia="hi-IN" w:bidi="hi-IN"/>
        </w:rPr>
        <w:t xml:space="preserve"> </w:t>
      </w:r>
      <w:r w:rsidR="0021194E">
        <w:rPr>
          <w:rFonts w:ascii="Times New Roman" w:eastAsia="SimSun" w:hAnsi="Times New Roman" w:cs="Calibri"/>
          <w:color w:val="000000" w:themeColor="text1"/>
          <w:lang w:eastAsia="hi-IN" w:bidi="hi-IN"/>
        </w:rPr>
        <w:t>A recent report by</w:t>
      </w:r>
      <w:r w:rsidR="00FD2F21" w:rsidRPr="00F74F0D">
        <w:rPr>
          <w:rFonts w:ascii="Times New Roman" w:eastAsia="SimSun" w:hAnsi="Times New Roman" w:cs="Calibri"/>
          <w:color w:val="000000" w:themeColor="text1"/>
          <w:lang w:eastAsia="hi-IN" w:bidi="hi-IN"/>
        </w:rPr>
        <w:t xml:space="preserve"> </w:t>
      </w:r>
      <w:r w:rsidR="00FD2F21">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{"citationItems":[{"id":"ITEM-1","itemData":{"author":[{"dropping-particle":"","family":"United Nations Conference on Trade and Development","given":"","non-dropping-particle":"","parse-names":false,"suffix":""}],"edition":"UNCTAD/DIT","id":"ITEM-1","issued":{"date-parts":[["2019"]]},"number-of-pages":"39","title":"Synthetic Biology and its Potential Implications for BioTrade and Access and Benefit-Sharing","type":"book"},"uris":["http://www.mendeley.com/documents/?uuid=be9a3c56-7701-45d7-80e1-42e73ea2ad13"]}],"mendeley":{"formattedCitation":"(United Nations Conference on Trade and Development, 2019)","manualFormatting":"United Nations Conference on Trade and Development (2019)","plainTextFormattedCitation":"(United Nations Conference on Trade and Development, 2019)","previouslyFormattedCitation":"(United Nations Conference on Trade and Development, 2019)"},"properties":{"noteIndex":0},"schema":"https://github.com/citation-style-language/schema/raw/master/csl-citation.json"}</w:instrText>
      </w:r>
      <w:r w:rsidR="00FD2F21">
        <w:rPr>
          <w:rFonts w:ascii="Times New Roman" w:eastAsia="SimSun" w:hAnsi="Times New Roman" w:cs="Calibri"/>
          <w:color w:val="000000" w:themeColor="text1"/>
          <w:lang w:eastAsia="hi-IN" w:bidi="hi-IN"/>
        </w:rPr>
        <w:fldChar w:fldCharType="separate"/>
      </w:r>
      <w:r w:rsidR="00FD2F21" w:rsidRPr="00E50D17">
        <w:rPr>
          <w:rFonts w:ascii="Times New Roman" w:eastAsia="SimSun" w:hAnsi="Times New Roman" w:cs="Calibri"/>
          <w:noProof/>
          <w:color w:val="000000" w:themeColor="text1"/>
          <w:lang w:eastAsia="hi-IN" w:bidi="hi-IN"/>
        </w:rPr>
        <w:t xml:space="preserve">United Nations Conference on Trade and Development </w:t>
      </w:r>
      <w:r w:rsidR="00FD2F21">
        <w:rPr>
          <w:rFonts w:ascii="Times New Roman" w:eastAsia="SimSun" w:hAnsi="Times New Roman" w:cs="Calibri"/>
          <w:noProof/>
          <w:color w:val="000000" w:themeColor="text1"/>
          <w:lang w:eastAsia="hi-IN" w:bidi="hi-IN"/>
        </w:rPr>
        <w:t>(</w:t>
      </w:r>
      <w:r w:rsidR="00FD2F21" w:rsidRPr="00E50D17">
        <w:rPr>
          <w:rFonts w:ascii="Times New Roman" w:eastAsia="SimSun" w:hAnsi="Times New Roman" w:cs="Calibri"/>
          <w:noProof/>
          <w:color w:val="000000" w:themeColor="text1"/>
          <w:lang w:eastAsia="hi-IN" w:bidi="hi-IN"/>
        </w:rPr>
        <w:t>2019)</w:t>
      </w:r>
      <w:r w:rsidR="00FD2F21">
        <w:rPr>
          <w:rFonts w:ascii="Times New Roman" w:eastAsia="SimSun" w:hAnsi="Times New Roman" w:cs="Calibri"/>
          <w:color w:val="000000" w:themeColor="text1"/>
          <w:lang w:eastAsia="hi-IN" w:bidi="hi-IN"/>
        </w:rPr>
        <w:fldChar w:fldCharType="end"/>
      </w:r>
      <w:r w:rsidR="00FD2F21">
        <w:rPr>
          <w:rFonts w:ascii="Times New Roman" w:eastAsia="SimSun" w:hAnsi="Times New Roman" w:cs="Calibri"/>
          <w:color w:val="000000" w:themeColor="text1"/>
          <w:lang w:eastAsia="hi-IN" w:bidi="hi-IN"/>
        </w:rPr>
        <w:t xml:space="preserve"> </w:t>
      </w:r>
      <w:r w:rsidR="0021194E">
        <w:rPr>
          <w:rFonts w:ascii="Times New Roman" w:eastAsia="SimSun" w:hAnsi="Times New Roman" w:cs="Calibri"/>
          <w:color w:val="000000" w:themeColor="text1"/>
          <w:lang w:eastAsia="hi-IN" w:bidi="hi-IN"/>
        </w:rPr>
        <w:t xml:space="preserve">seems to support </w:t>
      </w:r>
      <w:r w:rsidR="00C91F97">
        <w:rPr>
          <w:rFonts w:ascii="Times New Roman" w:eastAsia="SimSun" w:hAnsi="Times New Roman" w:cs="Calibri"/>
          <w:color w:val="000000" w:themeColor="text1"/>
          <w:lang w:eastAsia="hi-IN" w:bidi="hi-IN"/>
        </w:rPr>
        <w:t xml:space="preserve">the latter claim. It appears that </w:t>
      </w:r>
      <w:r w:rsidR="00FD2F21" w:rsidRPr="00F74F0D">
        <w:rPr>
          <w:rFonts w:ascii="Times New Roman" w:eastAsia="SimSun" w:hAnsi="Times New Roman" w:cs="Calibri"/>
          <w:color w:val="000000" w:themeColor="text1"/>
          <w:lang w:eastAsia="hi-IN" w:bidi="hi-IN"/>
        </w:rPr>
        <w:t>naturally sourced vanilla remains</w:t>
      </w:r>
      <w:r w:rsidR="00FD2F21">
        <w:rPr>
          <w:rFonts w:ascii="Times New Roman" w:eastAsia="SimSun" w:hAnsi="Times New Roman" w:cs="Calibri"/>
          <w:color w:val="000000" w:themeColor="text1"/>
          <w:lang w:eastAsia="hi-IN" w:bidi="hi-IN"/>
        </w:rPr>
        <w:t xml:space="preserve"> </w:t>
      </w:r>
      <w:r w:rsidR="00FD2F21" w:rsidRPr="00F74F0D">
        <w:rPr>
          <w:rFonts w:ascii="Times New Roman" w:eastAsia="SimSun" w:hAnsi="Times New Roman" w:cs="Calibri"/>
          <w:color w:val="000000" w:themeColor="text1"/>
          <w:lang w:eastAsia="hi-IN" w:bidi="hi-IN"/>
        </w:rPr>
        <w:t>highly valued, as consumers prefer its more complex</w:t>
      </w:r>
      <w:r w:rsidR="00FD2F21">
        <w:rPr>
          <w:rFonts w:ascii="Times New Roman" w:eastAsia="SimSun" w:hAnsi="Times New Roman" w:cs="Calibri"/>
          <w:color w:val="000000" w:themeColor="text1"/>
          <w:lang w:eastAsia="hi-IN" w:bidi="hi-IN"/>
        </w:rPr>
        <w:t xml:space="preserve"> </w:t>
      </w:r>
      <w:r w:rsidR="00FD2F21" w:rsidRPr="00F74F0D">
        <w:rPr>
          <w:rFonts w:ascii="Times New Roman" w:eastAsia="SimSun" w:hAnsi="Times New Roman" w:cs="Calibri"/>
          <w:color w:val="000000" w:themeColor="text1"/>
          <w:lang w:eastAsia="hi-IN" w:bidi="hi-IN"/>
        </w:rPr>
        <w:t xml:space="preserve">flavour profile. As a consequence, </w:t>
      </w:r>
      <w:r w:rsidR="00C91F97">
        <w:rPr>
          <w:rFonts w:ascii="Times New Roman" w:eastAsia="SimSun" w:hAnsi="Times New Roman" w:cs="Calibri"/>
          <w:color w:val="000000" w:themeColor="text1"/>
          <w:lang w:eastAsia="hi-IN" w:bidi="hi-IN"/>
        </w:rPr>
        <w:t xml:space="preserve">UNCTAD </w:t>
      </w:r>
      <w:r w:rsidR="00FD2F21">
        <w:rPr>
          <w:rFonts w:ascii="Times New Roman" w:eastAsia="SimSun" w:hAnsi="Times New Roman" w:cs="Calibri"/>
          <w:color w:val="000000" w:themeColor="text1"/>
          <w:lang w:eastAsia="hi-IN" w:bidi="hi-IN"/>
        </w:rPr>
        <w:t>expect</w:t>
      </w:r>
      <w:r w:rsidR="00FD2F21" w:rsidRPr="00F74F0D">
        <w:rPr>
          <w:rFonts w:ascii="Times New Roman" w:eastAsia="SimSun" w:hAnsi="Times New Roman" w:cs="Calibri"/>
          <w:color w:val="000000" w:themeColor="text1"/>
          <w:lang w:eastAsia="hi-IN" w:bidi="hi-IN"/>
        </w:rPr>
        <w:t xml:space="preserve"> that the</w:t>
      </w:r>
      <w:r w:rsidR="00FD2F21">
        <w:rPr>
          <w:rFonts w:ascii="Times New Roman" w:eastAsia="SimSun" w:hAnsi="Times New Roman" w:cs="Calibri"/>
          <w:color w:val="000000" w:themeColor="text1"/>
          <w:lang w:eastAsia="hi-IN" w:bidi="hi-IN"/>
        </w:rPr>
        <w:t xml:space="preserve"> </w:t>
      </w:r>
      <w:r w:rsidR="00FD2F21" w:rsidRPr="00F74F0D">
        <w:rPr>
          <w:rFonts w:ascii="Times New Roman" w:eastAsia="SimSun" w:hAnsi="Times New Roman" w:cs="Calibri"/>
          <w:color w:val="000000" w:themeColor="text1"/>
          <w:lang w:eastAsia="hi-IN" w:bidi="hi-IN"/>
        </w:rPr>
        <w:t>naturally sourced product will continue to have appeal</w:t>
      </w:r>
      <w:r w:rsidR="00FD2F21">
        <w:rPr>
          <w:rFonts w:ascii="Times New Roman" w:eastAsia="SimSun" w:hAnsi="Times New Roman" w:cs="Calibri"/>
          <w:color w:val="000000" w:themeColor="text1"/>
          <w:lang w:eastAsia="hi-IN" w:bidi="hi-IN"/>
        </w:rPr>
        <w:t xml:space="preserve"> </w:t>
      </w:r>
      <w:r w:rsidR="00FD2F21" w:rsidRPr="00F74F0D">
        <w:rPr>
          <w:rFonts w:ascii="Times New Roman" w:eastAsia="SimSun" w:hAnsi="Times New Roman" w:cs="Calibri"/>
          <w:color w:val="000000" w:themeColor="text1"/>
          <w:lang w:eastAsia="hi-IN" w:bidi="hi-IN"/>
        </w:rPr>
        <w:t xml:space="preserve">and, </w:t>
      </w:r>
      <w:r w:rsidR="00FD2F21">
        <w:rPr>
          <w:rFonts w:ascii="Times New Roman" w:eastAsia="SimSun" w:hAnsi="Times New Roman" w:cs="Calibri"/>
          <w:color w:val="000000" w:themeColor="text1"/>
          <w:lang w:eastAsia="hi-IN" w:bidi="hi-IN"/>
        </w:rPr>
        <w:t>therefore</w:t>
      </w:r>
      <w:r w:rsidR="00FD2F21" w:rsidRPr="00F74F0D">
        <w:rPr>
          <w:rFonts w:ascii="Times New Roman" w:eastAsia="SimSun" w:hAnsi="Times New Roman" w:cs="Calibri"/>
          <w:color w:val="000000" w:themeColor="text1"/>
          <w:lang w:eastAsia="hi-IN" w:bidi="hi-IN"/>
        </w:rPr>
        <w:t xml:space="preserve"> vanillin</w:t>
      </w:r>
      <w:r w:rsidR="00FD2F21">
        <w:rPr>
          <w:rFonts w:ascii="Times New Roman" w:eastAsia="SimSun" w:hAnsi="Times New Roman" w:cs="Calibri"/>
          <w:color w:val="000000" w:themeColor="text1"/>
          <w:lang w:eastAsia="hi-IN" w:bidi="hi-IN"/>
        </w:rPr>
        <w:t xml:space="preserve"> </w:t>
      </w:r>
      <w:r w:rsidR="00FD2F21" w:rsidRPr="00F74F0D">
        <w:rPr>
          <w:rFonts w:ascii="Times New Roman" w:eastAsia="SimSun" w:hAnsi="Times New Roman" w:cs="Calibri"/>
          <w:color w:val="000000" w:themeColor="text1"/>
          <w:lang w:eastAsia="hi-IN" w:bidi="hi-IN"/>
        </w:rPr>
        <w:t xml:space="preserve">may not have </w:t>
      </w:r>
      <w:r w:rsidR="00FD2F21">
        <w:rPr>
          <w:rFonts w:ascii="Times New Roman" w:eastAsia="SimSun" w:hAnsi="Times New Roman" w:cs="Calibri"/>
          <w:color w:val="000000" w:themeColor="text1"/>
          <w:lang w:eastAsia="hi-IN" w:bidi="hi-IN"/>
        </w:rPr>
        <w:t xml:space="preserve">a </w:t>
      </w:r>
      <w:r w:rsidR="00FD2F21" w:rsidRPr="00F74F0D">
        <w:rPr>
          <w:rFonts w:ascii="Times New Roman" w:eastAsia="SimSun" w:hAnsi="Times New Roman" w:cs="Calibri"/>
          <w:color w:val="000000" w:themeColor="text1"/>
          <w:lang w:eastAsia="hi-IN" w:bidi="hi-IN"/>
        </w:rPr>
        <w:t xml:space="preserve">significant </w:t>
      </w:r>
      <w:r w:rsidR="00FD2F21">
        <w:rPr>
          <w:rFonts w:ascii="Times New Roman" w:eastAsia="SimSun" w:hAnsi="Times New Roman" w:cs="Calibri"/>
          <w:color w:val="000000" w:themeColor="text1"/>
          <w:lang w:eastAsia="hi-IN" w:bidi="hi-IN"/>
        </w:rPr>
        <w:t>impact</w:t>
      </w:r>
      <w:r w:rsidR="00FD2F21" w:rsidRPr="00F74F0D">
        <w:rPr>
          <w:rFonts w:ascii="Times New Roman" w:eastAsia="SimSun" w:hAnsi="Times New Roman" w:cs="Calibri"/>
          <w:color w:val="000000" w:themeColor="text1"/>
          <w:lang w:eastAsia="hi-IN" w:bidi="hi-IN"/>
        </w:rPr>
        <w:t xml:space="preserve"> </w:t>
      </w:r>
      <w:r w:rsidR="00820622">
        <w:rPr>
          <w:rFonts w:ascii="Times New Roman" w:eastAsia="SimSun" w:hAnsi="Times New Roman" w:cs="Calibri"/>
          <w:color w:val="000000" w:themeColor="text1"/>
          <w:lang w:eastAsia="hi-IN" w:bidi="hi-IN"/>
        </w:rPr>
        <w:t xml:space="preserve">on the </w:t>
      </w:r>
      <w:r w:rsidR="00820622" w:rsidRPr="00820622">
        <w:rPr>
          <w:rFonts w:ascii="Times New Roman" w:eastAsia="SimSun" w:hAnsi="Times New Roman" w:cs="Calibri"/>
          <w:i/>
          <w:color w:val="000000" w:themeColor="text1"/>
          <w:lang w:eastAsia="hi-IN" w:bidi="hi-IN"/>
        </w:rPr>
        <w:t>in situ</w:t>
      </w:r>
      <w:r w:rsidR="00820622">
        <w:rPr>
          <w:rFonts w:ascii="Times New Roman" w:eastAsia="SimSun" w:hAnsi="Times New Roman" w:cs="Calibri"/>
          <w:color w:val="000000" w:themeColor="text1"/>
          <w:lang w:eastAsia="hi-IN" w:bidi="hi-IN"/>
        </w:rPr>
        <w:t xml:space="preserve"> conservation of the natural product</w:t>
      </w:r>
      <w:r w:rsidR="00FD2F21" w:rsidRPr="00F74F0D">
        <w:rPr>
          <w:rFonts w:ascii="Times New Roman" w:eastAsia="SimSun" w:hAnsi="Times New Roman" w:cs="Calibri"/>
          <w:color w:val="000000" w:themeColor="text1"/>
          <w:lang w:eastAsia="hi-IN" w:bidi="hi-IN"/>
        </w:rPr>
        <w:t>.</w:t>
      </w:r>
      <w:r w:rsidR="0000426E">
        <w:rPr>
          <w:rFonts w:ascii="Times New Roman" w:eastAsia="SimSun" w:hAnsi="Times New Roman" w:cs="Calibri"/>
          <w:color w:val="000000" w:themeColor="text1"/>
          <w:lang w:eastAsia="hi-IN" w:bidi="hi-IN"/>
        </w:rPr>
        <w:t xml:space="preserve"> </w:t>
      </w:r>
      <w:r w:rsidR="0013620A">
        <w:rPr>
          <w:rFonts w:ascii="Times New Roman" w:eastAsia="SimSun" w:hAnsi="Times New Roman" w:cs="Calibri"/>
          <w:color w:val="000000" w:themeColor="text1"/>
          <w:lang w:eastAsia="hi-IN" w:bidi="hi-IN"/>
        </w:rPr>
        <w:t>Please note that</w:t>
      </w:r>
      <w:r w:rsidR="000B515E">
        <w:rPr>
          <w:rFonts w:ascii="Times New Roman" w:eastAsia="SimSun" w:hAnsi="Times New Roman" w:cs="Calibri"/>
          <w:color w:val="000000" w:themeColor="text1"/>
          <w:lang w:eastAsia="hi-IN" w:bidi="hi-IN"/>
        </w:rPr>
        <w:t xml:space="preserve"> e</w:t>
      </w:r>
      <w:r w:rsidR="0000426E">
        <w:rPr>
          <w:rFonts w:ascii="Times New Roman" w:eastAsia="SimSun" w:hAnsi="Times New Roman" w:cs="Calibri"/>
          <w:color w:val="000000" w:themeColor="text1"/>
          <w:lang w:eastAsia="hi-IN" w:bidi="hi-IN"/>
        </w:rPr>
        <w:t>conomic</w:t>
      </w:r>
      <w:r w:rsidR="00A40D9E">
        <w:rPr>
          <w:rFonts w:ascii="Times New Roman" w:eastAsia="SimSun" w:hAnsi="Times New Roman" w:cs="Calibri"/>
          <w:color w:val="000000" w:themeColor="text1"/>
          <w:lang w:eastAsia="hi-IN" w:bidi="hi-IN"/>
        </w:rPr>
        <w:t xml:space="preserve"> concerns are addressed </w:t>
      </w:r>
      <w:r w:rsidR="000B515E">
        <w:rPr>
          <w:rFonts w:ascii="Times New Roman" w:eastAsia="SimSun" w:hAnsi="Times New Roman" w:cs="Calibri"/>
          <w:color w:val="000000" w:themeColor="text1"/>
          <w:lang w:eastAsia="hi-IN" w:bidi="hi-IN"/>
        </w:rPr>
        <w:t>later in Section 5.2.2.</w:t>
      </w:r>
      <w:r w:rsidR="0000426E">
        <w:rPr>
          <w:rFonts w:ascii="Times New Roman" w:eastAsia="SimSun" w:hAnsi="Times New Roman" w:cs="Calibri"/>
          <w:color w:val="000000" w:themeColor="text1"/>
          <w:lang w:eastAsia="hi-IN" w:bidi="hi-IN"/>
        </w:rPr>
        <w:t xml:space="preserve"> </w:t>
      </w:r>
    </w:p>
    <w:p w14:paraId="03D3A467" w14:textId="1F8F7120" w:rsidR="008E6A15" w:rsidRDefault="00123A84" w:rsidP="00082373">
      <w:pPr>
        <w:pStyle w:val="Heading2"/>
        <w:spacing w:before="240"/>
        <w:rPr>
          <w:rFonts w:eastAsia="SimSun"/>
          <w:lang w:eastAsia="hi-IN" w:bidi="hi-IN"/>
        </w:rPr>
      </w:pPr>
      <w:bookmarkStart w:id="88" w:name="_Toc70112689"/>
      <w:bookmarkStart w:id="89" w:name="_Toc70685711"/>
      <w:r>
        <w:rPr>
          <w:lang w:val="en-US"/>
        </w:rPr>
        <w:t>5</w:t>
      </w:r>
      <w:r w:rsidR="008E6A15">
        <w:t xml:space="preserve">. </w:t>
      </w:r>
      <w:r w:rsidR="00E00010">
        <w:t xml:space="preserve">Social, </w:t>
      </w:r>
      <w:r w:rsidR="00B67528">
        <w:t>Economic</w:t>
      </w:r>
      <w:r w:rsidR="00E00010">
        <w:t xml:space="preserve"> and </w:t>
      </w:r>
      <w:r w:rsidR="00B67528">
        <w:t xml:space="preserve">Cultural Concerns </w:t>
      </w:r>
      <w:r w:rsidR="00E00010">
        <w:t xml:space="preserve">from </w:t>
      </w:r>
      <w:r w:rsidR="00B67528">
        <w:t>A</w:t>
      </w:r>
      <w:r w:rsidR="008E6A15" w:rsidRPr="00040437">
        <w:t xml:space="preserve">pplications of </w:t>
      </w:r>
      <w:r w:rsidR="00B67528" w:rsidRPr="00040437">
        <w:t>Synthetic Biology</w:t>
      </w:r>
      <w:r w:rsidR="00EC657E">
        <w:rPr>
          <w:lang w:val="en-US"/>
        </w:rPr>
        <w:t>.</w:t>
      </w:r>
      <w:bookmarkEnd w:id="88"/>
      <w:bookmarkEnd w:id="89"/>
      <w:r w:rsidR="00B67528" w:rsidRPr="00040437">
        <w:t xml:space="preserve"> </w:t>
      </w:r>
    </w:p>
    <w:p w14:paraId="3364690A" w14:textId="63A278A0" w:rsidR="00526D64" w:rsidRDefault="00BE5356" w:rsidP="009455DB">
      <w:pPr>
        <w:spacing w:before="120" w:after="120" w:line="240" w:lineRule="auto"/>
        <w:jc w:val="both"/>
        <w:rPr>
          <w:rFonts w:ascii="Times New Roman" w:eastAsia="SimSun" w:hAnsi="Times New Roman" w:cs="Calibri"/>
          <w:color w:val="000000" w:themeColor="text1"/>
          <w:lang w:eastAsia="hi-IN" w:bidi="hi-IN"/>
        </w:rPr>
      </w:pPr>
      <w:r>
        <w:rPr>
          <w:rFonts w:ascii="Times New Roman" w:hAnsi="Times New Roman"/>
          <w:color w:val="000000" w:themeColor="text1"/>
          <w:lang w:eastAsia="ar-SA"/>
        </w:rPr>
        <w:t>The use of synthetic biology</w:t>
      </w:r>
      <w:r w:rsidR="009455DB">
        <w:rPr>
          <w:rFonts w:ascii="Times New Roman" w:hAnsi="Times New Roman"/>
          <w:color w:val="000000" w:themeColor="text1"/>
          <w:lang w:eastAsia="ar-SA"/>
        </w:rPr>
        <w:t xml:space="preserve"> triggers a wide variety of views related to perceptions of risks and benefits, moral and ethical values</w:t>
      </w:r>
      <w:r w:rsidR="005A20B3">
        <w:rPr>
          <w:rFonts w:ascii="Times New Roman" w:hAnsi="Times New Roman"/>
          <w:color w:val="000000" w:themeColor="text1"/>
          <w:lang w:eastAsia="ar-SA"/>
        </w:rPr>
        <w:t>,</w:t>
      </w:r>
      <w:r w:rsidR="009455DB">
        <w:rPr>
          <w:rFonts w:ascii="Times New Roman" w:hAnsi="Times New Roman"/>
          <w:color w:val="000000" w:themeColor="text1"/>
          <w:lang w:eastAsia="ar-SA"/>
        </w:rPr>
        <w:t xml:space="preserve"> along with broader issues such as socio-economic aspects. A s</w:t>
      </w:r>
      <w:r w:rsidR="009455DB" w:rsidRPr="00E33E4A">
        <w:rPr>
          <w:rFonts w:ascii="Times New Roman" w:hAnsi="Times New Roman"/>
          <w:color w:val="000000" w:themeColor="text1"/>
          <w:lang w:eastAsia="ar-SA"/>
        </w:rPr>
        <w:t>cien</w:t>
      </w:r>
      <w:r w:rsidR="009455DB">
        <w:rPr>
          <w:rFonts w:ascii="Times New Roman" w:hAnsi="Times New Roman"/>
          <w:color w:val="000000" w:themeColor="text1"/>
          <w:lang w:eastAsia="ar-SA"/>
        </w:rPr>
        <w:t>ce-based</w:t>
      </w:r>
      <w:r w:rsidR="009455DB" w:rsidRPr="00E33E4A">
        <w:rPr>
          <w:rFonts w:ascii="Times New Roman" w:hAnsi="Times New Roman"/>
          <w:color w:val="000000" w:themeColor="text1"/>
          <w:lang w:eastAsia="ar-SA"/>
        </w:rPr>
        <w:t xml:space="preserve"> assessment </w:t>
      </w:r>
      <w:r w:rsidR="009455DB">
        <w:rPr>
          <w:rFonts w:ascii="Times New Roman" w:hAnsi="Times New Roman"/>
          <w:color w:val="000000" w:themeColor="text1"/>
          <w:lang w:eastAsia="ar-SA"/>
        </w:rPr>
        <w:t>of impacts i</w:t>
      </w:r>
      <w:r w:rsidR="009455DB" w:rsidRPr="00E33E4A">
        <w:rPr>
          <w:rFonts w:ascii="Times New Roman" w:hAnsi="Times New Roman"/>
          <w:color w:val="000000" w:themeColor="text1"/>
          <w:lang w:eastAsia="ar-SA"/>
        </w:rPr>
        <w:t xml:space="preserve">s </w:t>
      </w:r>
      <w:r w:rsidR="009455DB">
        <w:rPr>
          <w:rFonts w:ascii="Times New Roman" w:hAnsi="Times New Roman"/>
          <w:color w:val="000000" w:themeColor="text1"/>
          <w:lang w:eastAsia="ar-SA"/>
        </w:rPr>
        <w:t xml:space="preserve">therefore seen as </w:t>
      </w:r>
      <w:r w:rsidR="009455DB" w:rsidRPr="00E33E4A">
        <w:rPr>
          <w:rFonts w:ascii="Times New Roman" w:hAnsi="Times New Roman"/>
          <w:color w:val="000000" w:themeColor="text1"/>
          <w:lang w:eastAsia="ar-SA"/>
        </w:rPr>
        <w:t xml:space="preserve">part of a wider </w:t>
      </w:r>
      <w:r w:rsidR="009455DB">
        <w:rPr>
          <w:rFonts w:ascii="Times New Roman" w:hAnsi="Times New Roman"/>
          <w:color w:val="000000" w:themeColor="text1"/>
          <w:lang w:eastAsia="ar-SA"/>
        </w:rPr>
        <w:t xml:space="preserve">decision-making </w:t>
      </w:r>
      <w:r w:rsidR="009455DB" w:rsidRPr="00E33E4A">
        <w:rPr>
          <w:rFonts w:ascii="Times New Roman" w:hAnsi="Times New Roman"/>
          <w:color w:val="000000" w:themeColor="text1"/>
          <w:lang w:eastAsia="ar-SA"/>
        </w:rPr>
        <w:t>activity</w:t>
      </w:r>
      <w:r w:rsidR="009455DB">
        <w:rPr>
          <w:rFonts w:ascii="Times New Roman" w:hAnsi="Times New Roman"/>
          <w:color w:val="000000" w:themeColor="text1"/>
          <w:lang w:eastAsia="ar-SA"/>
        </w:rPr>
        <w:t xml:space="preserve">; one </w:t>
      </w:r>
      <w:r w:rsidR="009455DB" w:rsidRPr="00E33E4A">
        <w:rPr>
          <w:rFonts w:ascii="Times New Roman" w:hAnsi="Times New Roman"/>
          <w:color w:val="000000" w:themeColor="text1"/>
          <w:lang w:eastAsia="ar-SA"/>
        </w:rPr>
        <w:t xml:space="preserve">that evaluates </w:t>
      </w:r>
      <w:r w:rsidR="009455DB">
        <w:rPr>
          <w:rFonts w:ascii="Times New Roman" w:hAnsi="Times New Roman"/>
          <w:color w:val="000000" w:themeColor="text1"/>
          <w:lang w:eastAsia="ar-SA"/>
        </w:rPr>
        <w:t xml:space="preserve">such </w:t>
      </w:r>
      <w:r w:rsidR="009455DB" w:rsidRPr="00E33E4A">
        <w:rPr>
          <w:rFonts w:ascii="Times New Roman" w:hAnsi="Times New Roman"/>
          <w:color w:val="000000" w:themeColor="text1"/>
          <w:lang w:eastAsia="ar-SA"/>
        </w:rPr>
        <w:t xml:space="preserve">economic, political, moral and ethical concerns alongside scientific predictions of changes that would result from using technology. </w:t>
      </w:r>
      <w:r w:rsidR="00DA6B2B">
        <w:rPr>
          <w:rFonts w:ascii="Times New Roman" w:hAnsi="Times New Roman"/>
          <w:color w:val="000000" w:themeColor="text1"/>
          <w:lang w:eastAsia="ar-SA"/>
        </w:rPr>
        <w:t xml:space="preserve">Guidance on </w:t>
      </w:r>
      <w:r w:rsidR="00DA6B2B" w:rsidRPr="00DA6B2B">
        <w:rPr>
          <w:rFonts w:ascii="Times New Roman" w:hAnsi="Times New Roman"/>
          <w:color w:val="000000" w:themeColor="text1"/>
          <w:lang w:eastAsia="ar-SA"/>
        </w:rPr>
        <w:t xml:space="preserve">the process for assessing </w:t>
      </w:r>
      <w:r w:rsidR="0031751A">
        <w:rPr>
          <w:rFonts w:ascii="Times New Roman" w:hAnsi="Times New Roman"/>
          <w:color w:val="000000" w:themeColor="text1"/>
          <w:lang w:eastAsia="ar-SA"/>
        </w:rPr>
        <w:t>such concerns</w:t>
      </w:r>
      <w:r w:rsidR="00DA6B2B">
        <w:rPr>
          <w:rFonts w:ascii="Times New Roman" w:hAnsi="Times New Roman"/>
          <w:color w:val="000000" w:themeColor="text1"/>
          <w:lang w:eastAsia="ar-SA"/>
        </w:rPr>
        <w:t xml:space="preserve"> has recently emerged</w:t>
      </w:r>
      <w:r w:rsidR="003D3BDF">
        <w:rPr>
          <w:rFonts w:ascii="Times New Roman" w:hAnsi="Times New Roman"/>
          <w:color w:val="000000" w:themeColor="text1"/>
          <w:lang w:eastAsia="ar-SA"/>
        </w:rPr>
        <w:t xml:space="preserve"> </w:t>
      </w:r>
      <w:r w:rsidR="005C60A5">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{"citationItems":[{"id":"ITEM-1","itemData":{"author":[{"dropping-particle":"","family":"Secretariat of the Convention on Biological Diversity","given":"","non-dropping-particle":"","parse-names":false,"suffix":""}],"id":"ITEM-1","issued":{"date-parts":[["2018","8"]]},"publisher-place":"Montreal","title":"Socio-economic considerations (Article 26). CBD/CP/MOP/9/10.","type":"report"},"uris":["http://www.mendeley.com/documents/?uuid=5a14d554-dcfb-46a6-81b3-ac8c7c6ab96b"]}],"mendeley":{"formattedCitation":"(Secretariat of the Convention on Biological Diversity, 2018)","plainTextFormattedCitation":"(Secretariat of the Convention on Biological Diversity, 2018)","previouslyFormattedCitation":"(Secretariat of the Convention on Biological Diversity, 2018)"},"properties":{"noteIndex":0},"schema":"https://github.com/citation-style-language/schema/raw/master/csl-citation.json"}</w:instrText>
      </w:r>
      <w:r w:rsidR="005C60A5">
        <w:rPr>
          <w:rFonts w:ascii="Times New Roman" w:hAnsi="Times New Roman"/>
          <w:color w:val="000000" w:themeColor="text1"/>
          <w:lang w:eastAsia="ar-SA"/>
        </w:rPr>
        <w:fldChar w:fldCharType="separate"/>
      </w:r>
      <w:r w:rsidR="005C60A5" w:rsidRPr="005C60A5">
        <w:rPr>
          <w:rFonts w:ascii="Times New Roman" w:hAnsi="Times New Roman"/>
          <w:noProof/>
          <w:color w:val="000000" w:themeColor="text1"/>
          <w:lang w:eastAsia="ar-SA"/>
        </w:rPr>
        <w:t>(Secretariat of the Convention on Biological Diversity, 2018)</w:t>
      </w:r>
      <w:r w:rsidR="005C60A5">
        <w:rPr>
          <w:rFonts w:ascii="Times New Roman" w:hAnsi="Times New Roman"/>
          <w:color w:val="000000" w:themeColor="text1"/>
          <w:lang w:eastAsia="ar-SA"/>
        </w:rPr>
        <w:fldChar w:fldCharType="end"/>
      </w:r>
      <w:r w:rsidR="00DA6B2B" w:rsidRPr="00DA6B2B">
        <w:rPr>
          <w:rFonts w:ascii="Times New Roman" w:hAnsi="Times New Roman"/>
          <w:color w:val="000000" w:themeColor="text1"/>
          <w:lang w:eastAsia="ar-SA"/>
        </w:rPr>
        <w:t>, especially with regard to the value of biological diversity to indigenous peoples and local</w:t>
      </w:r>
      <w:r w:rsidR="00DA6B2B">
        <w:rPr>
          <w:rFonts w:ascii="Times New Roman" w:hAnsi="Times New Roman"/>
          <w:color w:val="000000" w:themeColor="text1"/>
          <w:lang w:eastAsia="ar-SA"/>
        </w:rPr>
        <w:t xml:space="preserve"> </w:t>
      </w:r>
      <w:r w:rsidR="00DA6B2B" w:rsidRPr="00DA6B2B">
        <w:rPr>
          <w:rFonts w:ascii="Times New Roman" w:hAnsi="Times New Roman"/>
          <w:color w:val="000000" w:themeColor="text1"/>
          <w:lang w:eastAsia="ar-SA"/>
        </w:rPr>
        <w:t>communities. The document also provides an operational definition and lists important principles for the</w:t>
      </w:r>
      <w:r w:rsidR="00DA6B2B">
        <w:rPr>
          <w:rFonts w:ascii="Times New Roman" w:hAnsi="Times New Roman"/>
          <w:color w:val="000000" w:themeColor="text1"/>
          <w:lang w:eastAsia="ar-SA"/>
        </w:rPr>
        <w:t xml:space="preserve"> </w:t>
      </w:r>
      <w:r w:rsidR="00DA6B2B" w:rsidRPr="00DA6B2B">
        <w:rPr>
          <w:rFonts w:ascii="Times New Roman" w:hAnsi="Times New Roman"/>
          <w:color w:val="000000" w:themeColor="text1"/>
          <w:lang w:eastAsia="ar-SA"/>
        </w:rPr>
        <w:t>process of assessing socio-economic effects.</w:t>
      </w:r>
      <w:r w:rsidR="00DA6B2B">
        <w:rPr>
          <w:rFonts w:ascii="Times New Roman" w:hAnsi="Times New Roman"/>
          <w:color w:val="000000" w:themeColor="text1"/>
          <w:lang w:eastAsia="ar-SA"/>
        </w:rPr>
        <w:t xml:space="preserve"> </w:t>
      </w:r>
      <w:r w:rsidR="00FD6AF2">
        <w:rPr>
          <w:rFonts w:ascii="Times New Roman" w:hAnsi="Times New Roman"/>
          <w:color w:val="000000" w:themeColor="text1"/>
          <w:lang w:eastAsia="ar-SA"/>
        </w:rPr>
        <w:t>C</w:t>
      </w:r>
      <w:r w:rsidR="0008037D">
        <w:rPr>
          <w:rFonts w:ascii="Times New Roman" w:hAnsi="Times New Roman"/>
          <w:color w:val="000000" w:themeColor="text1"/>
          <w:lang w:eastAsia="ar-SA"/>
        </w:rPr>
        <w:t xml:space="preserve">oncerns </w:t>
      </w:r>
      <w:r w:rsidR="00FD6AF2">
        <w:rPr>
          <w:rFonts w:ascii="Times New Roman" w:hAnsi="Times New Roman"/>
          <w:color w:val="000000" w:themeColor="text1"/>
          <w:lang w:eastAsia="ar-SA"/>
        </w:rPr>
        <w:t>from those effects</w:t>
      </w:r>
      <w:r w:rsidR="0008037D">
        <w:rPr>
          <w:rFonts w:ascii="Times New Roman" w:hAnsi="Times New Roman"/>
          <w:color w:val="000000" w:themeColor="text1"/>
          <w:lang w:eastAsia="ar-SA"/>
        </w:rPr>
        <w:t xml:space="preserve"> that have gained greater credence with the emergence of synthetic biology applications reaching the later stages of development are elaborated further in this section</w:t>
      </w:r>
      <w:r w:rsidR="0008037D" w:rsidRPr="36140518">
        <w:rPr>
          <w:rFonts w:ascii="Times New Roman" w:eastAsia="SimSun" w:hAnsi="Times New Roman" w:cs="Calibri"/>
          <w:color w:val="000000" w:themeColor="text1"/>
          <w:lang w:eastAsia="hi-IN" w:bidi="hi-IN"/>
        </w:rPr>
        <w:t>.</w:t>
      </w:r>
    </w:p>
    <w:p w14:paraId="42AD6A66" w14:textId="010F51D9" w:rsidR="00526D64" w:rsidRPr="0039400C" w:rsidRDefault="00C116B1" w:rsidP="00885227">
      <w:pPr>
        <w:pStyle w:val="Heading3"/>
        <w:rPr>
          <w:lang w:val="en-US"/>
        </w:rPr>
      </w:pPr>
      <w:bookmarkStart w:id="90" w:name="_Toc70112690"/>
      <w:bookmarkStart w:id="91" w:name="_Toc70685712"/>
      <w:r>
        <w:rPr>
          <w:lang w:val="en-US"/>
        </w:rPr>
        <w:t>5</w:t>
      </w:r>
      <w:r w:rsidR="00526D64" w:rsidRPr="1B24CA6D">
        <w:t>.1. Societal concerns</w:t>
      </w:r>
      <w:r w:rsidR="00885227">
        <w:rPr>
          <w:lang w:val="en-US"/>
        </w:rPr>
        <w:t>.</w:t>
      </w:r>
      <w:bookmarkEnd w:id="90"/>
      <w:bookmarkEnd w:id="91"/>
    </w:p>
    <w:p w14:paraId="3B67F6EC" w14:textId="51B7C403" w:rsidR="002C300A" w:rsidRPr="00683C2F" w:rsidRDefault="00FD0C4A" w:rsidP="00683C2F">
      <w:pPr>
        <w:pStyle w:val="Heading4"/>
        <w:rPr>
          <w:i w:val="0"/>
          <w:iCs/>
          <w:lang w:val="en-US"/>
        </w:rPr>
      </w:pPr>
      <w:r w:rsidRPr="00683C2F">
        <w:rPr>
          <w:i w:val="0"/>
          <w:iCs/>
        </w:rPr>
        <w:t xml:space="preserve">5.1.1. </w:t>
      </w:r>
      <w:r w:rsidR="00A53125" w:rsidRPr="00683C2F">
        <w:rPr>
          <w:i w:val="0"/>
          <w:iCs/>
        </w:rPr>
        <w:t>Incorp</w:t>
      </w:r>
      <w:r w:rsidR="00DB07ED">
        <w:rPr>
          <w:i w:val="0"/>
          <w:iCs/>
          <w:lang w:val="en-US"/>
        </w:rPr>
        <w:t>o</w:t>
      </w:r>
      <w:r w:rsidR="00A53125" w:rsidRPr="00683C2F">
        <w:rPr>
          <w:i w:val="0"/>
          <w:iCs/>
        </w:rPr>
        <w:t xml:space="preserve">rating societal </w:t>
      </w:r>
      <w:r w:rsidR="00F303BC" w:rsidRPr="00683C2F">
        <w:rPr>
          <w:i w:val="0"/>
          <w:iCs/>
        </w:rPr>
        <w:t xml:space="preserve">concerns into </w:t>
      </w:r>
      <w:r w:rsidR="002C300A" w:rsidRPr="00683C2F">
        <w:rPr>
          <w:i w:val="0"/>
          <w:iCs/>
        </w:rPr>
        <w:t>regulatory decision-making</w:t>
      </w:r>
      <w:r w:rsidR="00683C2F">
        <w:rPr>
          <w:i w:val="0"/>
          <w:iCs/>
          <w:lang w:val="en-US"/>
        </w:rPr>
        <w:t>.</w:t>
      </w:r>
    </w:p>
    <w:p w14:paraId="6EB44FF1" w14:textId="015854FF" w:rsidR="009455DB" w:rsidRPr="006C5B83" w:rsidRDefault="00CA16C3" w:rsidP="003A795D">
      <w:pPr>
        <w:spacing w:before="120" w:after="120" w:line="240" w:lineRule="auto"/>
        <w:jc w:val="both"/>
        <w:rPr>
          <w:rFonts w:ascii="Times New Roman" w:hAnsi="Times New Roman"/>
          <w:color w:val="000000" w:themeColor="text1"/>
          <w:lang w:eastAsia="ar-SA"/>
        </w:rPr>
      </w:pPr>
      <w:r>
        <w:rPr>
          <w:rFonts w:ascii="Times New Roman" w:hAnsi="Times New Roman"/>
          <w:color w:val="000000" w:themeColor="text1"/>
          <w:lang w:eastAsia="ar-SA"/>
        </w:rPr>
        <w:t>A</w:t>
      </w:r>
      <w:r w:rsidR="00CC47FA" w:rsidRPr="00CC47FA">
        <w:rPr>
          <w:rFonts w:ascii="Times New Roman" w:hAnsi="Times New Roman"/>
          <w:color w:val="000000" w:themeColor="text1"/>
          <w:lang w:eastAsia="ar-SA"/>
        </w:rPr>
        <w:t>s new applications hold promises to address global challenges related to the environment, conservation, climate change, health and more</w:t>
      </w:r>
      <w:r w:rsidR="007D47E5">
        <w:rPr>
          <w:rFonts w:ascii="Times New Roman" w:hAnsi="Times New Roman"/>
          <w:color w:val="000000" w:themeColor="text1"/>
          <w:lang w:eastAsia="ar-SA"/>
        </w:rPr>
        <w:t xml:space="preserve">, </w:t>
      </w:r>
      <w:r w:rsidR="00CC47FA" w:rsidRPr="00CC47FA">
        <w:rPr>
          <w:rFonts w:ascii="Times New Roman" w:hAnsi="Times New Roman"/>
          <w:color w:val="000000" w:themeColor="text1"/>
          <w:lang w:eastAsia="ar-SA"/>
        </w:rPr>
        <w:t>international discussions concerning synthetic biology have come to the forefront and are now much more visible and have drawn attention from a wide range of actors.</w:t>
      </w:r>
      <w:r w:rsidR="00CC47FA">
        <w:rPr>
          <w:rFonts w:ascii="Times New Roman" w:hAnsi="Times New Roman"/>
          <w:color w:val="000000" w:themeColor="text1"/>
          <w:lang w:eastAsia="ar-SA"/>
        </w:rPr>
        <w:t xml:space="preserve"> </w:t>
      </w:r>
      <w:r w:rsidR="001E0E75">
        <w:rPr>
          <w:rFonts w:ascii="Times New Roman" w:hAnsi="Times New Roman"/>
          <w:color w:val="000000" w:themeColor="text1"/>
          <w:lang w:eastAsia="ar-SA"/>
        </w:rPr>
        <w:t xml:space="preserve">Their </w:t>
      </w:r>
      <w:r w:rsidR="00B5163A">
        <w:rPr>
          <w:rFonts w:ascii="Times New Roman" w:hAnsi="Times New Roman"/>
          <w:color w:val="000000" w:themeColor="text1"/>
          <w:lang w:eastAsia="ar-SA"/>
        </w:rPr>
        <w:t xml:space="preserve">interests and concerns </w:t>
      </w:r>
      <w:r w:rsidR="00565635">
        <w:rPr>
          <w:rFonts w:ascii="Times New Roman" w:hAnsi="Times New Roman"/>
          <w:color w:val="000000" w:themeColor="text1"/>
          <w:lang w:eastAsia="ar-SA"/>
        </w:rPr>
        <w:t>have a role to play in r</w:t>
      </w:r>
      <w:r w:rsidR="00116378">
        <w:rPr>
          <w:rFonts w:ascii="Times New Roman" w:hAnsi="Times New Roman"/>
          <w:color w:val="000000" w:themeColor="text1"/>
          <w:lang w:eastAsia="ar-SA"/>
        </w:rPr>
        <w:t xml:space="preserve">egulatory </w:t>
      </w:r>
      <w:r w:rsidR="009455DB" w:rsidRPr="36140518">
        <w:rPr>
          <w:rFonts w:ascii="Times New Roman" w:hAnsi="Times New Roman"/>
          <w:color w:val="000000" w:themeColor="text1"/>
          <w:lang w:eastAsia="ar-SA"/>
        </w:rPr>
        <w:t>decision-making</w:t>
      </w:r>
      <w:r w:rsidR="00202D15" w:rsidRPr="00202D15">
        <w:rPr>
          <w:rFonts w:ascii="Times New Roman" w:hAnsi="Times New Roman"/>
          <w:color w:val="000000" w:themeColor="text1"/>
          <w:lang w:eastAsia="ar-SA"/>
        </w:rPr>
        <w:t xml:space="preserve"> </w:t>
      </w:r>
      <w:r w:rsidR="00BA7296">
        <w:rPr>
          <w:rFonts w:ascii="Times New Roman" w:hAnsi="Times New Roman"/>
          <w:color w:val="000000" w:themeColor="text1"/>
          <w:lang w:eastAsia="ar-SA"/>
        </w:rPr>
        <w:t>c</w:t>
      </w:r>
      <w:r w:rsidR="00202D15" w:rsidRPr="36140518">
        <w:rPr>
          <w:rFonts w:ascii="Times New Roman" w:hAnsi="Times New Roman"/>
          <w:color w:val="000000" w:themeColor="text1"/>
          <w:lang w:eastAsia="ar-SA"/>
        </w:rPr>
        <w:t>on</w:t>
      </w:r>
      <w:r w:rsidR="00BA7296">
        <w:rPr>
          <w:rFonts w:ascii="Times New Roman" w:hAnsi="Times New Roman"/>
          <w:color w:val="000000" w:themeColor="text1"/>
          <w:lang w:eastAsia="ar-SA"/>
        </w:rPr>
        <w:t>cerning</w:t>
      </w:r>
      <w:r w:rsidR="00202D15" w:rsidRPr="36140518">
        <w:rPr>
          <w:rFonts w:ascii="Times New Roman" w:hAnsi="Times New Roman"/>
          <w:color w:val="000000" w:themeColor="text1"/>
          <w:lang w:eastAsia="ar-SA"/>
        </w:rPr>
        <w:t xml:space="preserve"> activities involving synthetic biology products</w:t>
      </w:r>
      <w:r w:rsidR="004C301B">
        <w:rPr>
          <w:rFonts w:ascii="Times New Roman" w:hAnsi="Times New Roman"/>
          <w:color w:val="000000" w:themeColor="text1"/>
          <w:lang w:eastAsia="ar-SA"/>
        </w:rPr>
        <w:t xml:space="preserve">, </w:t>
      </w:r>
      <w:r w:rsidR="007B3F2D">
        <w:rPr>
          <w:rFonts w:ascii="Times New Roman" w:hAnsi="Times New Roman"/>
          <w:color w:val="000000" w:themeColor="text1"/>
          <w:lang w:eastAsia="ar-SA"/>
        </w:rPr>
        <w:t xml:space="preserve">the </w:t>
      </w:r>
      <w:r w:rsidR="00EB5DA7">
        <w:rPr>
          <w:rFonts w:ascii="Times New Roman" w:hAnsi="Times New Roman"/>
          <w:color w:val="000000" w:themeColor="text1"/>
          <w:lang w:eastAsia="ar-SA"/>
        </w:rPr>
        <w:t xml:space="preserve">inputs for </w:t>
      </w:r>
      <w:r w:rsidR="004C301B">
        <w:rPr>
          <w:rFonts w:ascii="Times New Roman" w:hAnsi="Times New Roman"/>
          <w:color w:val="000000" w:themeColor="text1"/>
          <w:lang w:eastAsia="ar-SA"/>
        </w:rPr>
        <w:t xml:space="preserve">which </w:t>
      </w:r>
      <w:r w:rsidR="0064252E">
        <w:rPr>
          <w:rFonts w:ascii="Times New Roman" w:hAnsi="Times New Roman"/>
          <w:color w:val="000000" w:themeColor="text1"/>
          <w:lang w:eastAsia="ar-SA"/>
        </w:rPr>
        <w:t xml:space="preserve">extend beyond </w:t>
      </w:r>
      <w:r w:rsidR="00202D15">
        <w:rPr>
          <w:rFonts w:ascii="Times New Roman" w:hAnsi="Times New Roman"/>
          <w:color w:val="000000" w:themeColor="text1"/>
          <w:lang w:eastAsia="ar-SA"/>
        </w:rPr>
        <w:t xml:space="preserve">those addressed during </w:t>
      </w:r>
      <w:r w:rsidR="009455DB" w:rsidRPr="36140518">
        <w:rPr>
          <w:rFonts w:ascii="Times New Roman" w:hAnsi="Times New Roman"/>
          <w:color w:val="000000" w:themeColor="text1"/>
          <w:lang w:eastAsia="ar-SA"/>
        </w:rPr>
        <w:t xml:space="preserve">a risk assessment </w:t>
      </w:r>
      <w:r w:rsidR="00857BC0">
        <w:rPr>
          <w:rFonts w:ascii="Times New Roman" w:hAnsi="Times New Roman"/>
          <w:color w:val="000000" w:themeColor="text1"/>
          <w:lang w:eastAsia="ar-SA"/>
        </w:rPr>
        <w:t xml:space="preserve">(Section </w:t>
      </w:r>
      <w:r w:rsidR="00D27967">
        <w:rPr>
          <w:rFonts w:ascii="Times New Roman" w:hAnsi="Times New Roman"/>
          <w:color w:val="000000" w:themeColor="text1"/>
          <w:lang w:eastAsia="ar-SA"/>
        </w:rPr>
        <w:t>6</w:t>
      </w:r>
      <w:r w:rsidR="00946292">
        <w:rPr>
          <w:rFonts w:ascii="Times New Roman" w:hAnsi="Times New Roman"/>
          <w:color w:val="000000" w:themeColor="text1"/>
          <w:lang w:eastAsia="ar-SA"/>
        </w:rPr>
        <w:t>.</w:t>
      </w:r>
      <w:r w:rsidR="00857BC0">
        <w:rPr>
          <w:rFonts w:ascii="Times New Roman" w:hAnsi="Times New Roman"/>
          <w:color w:val="000000" w:themeColor="text1"/>
          <w:lang w:eastAsia="ar-SA"/>
        </w:rPr>
        <w:t>)</w:t>
      </w:r>
      <w:r w:rsidR="009455DB" w:rsidRPr="36140518">
        <w:rPr>
          <w:rFonts w:ascii="Times New Roman" w:hAnsi="Times New Roman"/>
          <w:color w:val="000000" w:themeColor="text1"/>
          <w:lang w:eastAsia="ar-SA"/>
        </w:rPr>
        <w:t xml:space="preserve">. Typically, </w:t>
      </w:r>
      <w:r w:rsidR="009455DB">
        <w:rPr>
          <w:rFonts w:ascii="Times New Roman" w:hAnsi="Times New Roman"/>
          <w:color w:val="000000" w:themeColor="text1"/>
          <w:lang w:eastAsia="ar-SA"/>
        </w:rPr>
        <w:t xml:space="preserve">such </w:t>
      </w:r>
      <w:r w:rsidR="009455DB" w:rsidRPr="36140518">
        <w:rPr>
          <w:rFonts w:ascii="Times New Roman" w:hAnsi="Times New Roman"/>
          <w:color w:val="000000" w:themeColor="text1"/>
          <w:lang w:eastAsia="ar-SA"/>
        </w:rPr>
        <w:t xml:space="preserve">decisions </w:t>
      </w:r>
      <w:r w:rsidR="009455DB">
        <w:rPr>
          <w:rFonts w:ascii="Times New Roman" w:hAnsi="Times New Roman"/>
          <w:color w:val="000000" w:themeColor="text1"/>
          <w:lang w:eastAsia="ar-SA"/>
        </w:rPr>
        <w:t xml:space="preserve">would be </w:t>
      </w:r>
      <w:r w:rsidR="009455DB" w:rsidRPr="36140518">
        <w:rPr>
          <w:rFonts w:ascii="Times New Roman" w:hAnsi="Times New Roman"/>
          <w:color w:val="000000" w:themeColor="text1"/>
          <w:lang w:eastAsia="ar-SA"/>
        </w:rPr>
        <w:t>taken by risk managers</w:t>
      </w:r>
      <w:r w:rsidR="00116378">
        <w:rPr>
          <w:rFonts w:ascii="Times New Roman" w:hAnsi="Times New Roman"/>
          <w:color w:val="000000" w:themeColor="text1"/>
          <w:lang w:eastAsia="ar-SA"/>
        </w:rPr>
        <w:t xml:space="preserve"> or decision-makers</w:t>
      </w:r>
      <w:r w:rsidR="009455DB" w:rsidRPr="36140518">
        <w:rPr>
          <w:rFonts w:ascii="Times New Roman" w:hAnsi="Times New Roman"/>
          <w:color w:val="000000" w:themeColor="text1"/>
          <w:lang w:eastAsia="ar-SA"/>
        </w:rPr>
        <w:t>, given the characterised risks and potential prescribed risk management strategies</w:t>
      </w:r>
      <w:r w:rsidR="009455DB" w:rsidRPr="76F7D8A3">
        <w:rPr>
          <w:rFonts w:ascii="Times New Roman" w:hAnsi="Times New Roman"/>
          <w:color w:val="000000" w:themeColor="text1"/>
          <w:lang w:eastAsia="ar-SA"/>
        </w:rPr>
        <w:t>.</w:t>
      </w:r>
      <w:r w:rsidR="009455DB" w:rsidRPr="36140518">
        <w:rPr>
          <w:rFonts w:ascii="Times New Roman" w:hAnsi="Times New Roman"/>
          <w:color w:val="000000" w:themeColor="text1"/>
          <w:lang w:eastAsia="ar-SA"/>
        </w:rPr>
        <w:t xml:space="preserve"> </w:t>
      </w:r>
      <w:r w:rsidR="009455DB">
        <w:rPr>
          <w:rFonts w:ascii="Times New Roman" w:hAnsi="Times New Roman"/>
          <w:color w:val="000000" w:themeColor="text1"/>
          <w:lang w:eastAsia="ar-SA"/>
        </w:rPr>
        <w:t>However, t</w:t>
      </w:r>
      <w:r w:rsidR="009455DB" w:rsidRPr="36140518">
        <w:rPr>
          <w:rFonts w:ascii="Times New Roman" w:hAnsi="Times New Roman"/>
          <w:color w:val="000000" w:themeColor="text1"/>
          <w:lang w:eastAsia="ar-SA"/>
        </w:rPr>
        <w:t xml:space="preserve">he degree to which a risk is acceptable </w:t>
      </w:r>
      <w:r w:rsidR="009455DB" w:rsidRPr="00DF08CC">
        <w:rPr>
          <w:rFonts w:ascii="Times New Roman" w:hAnsi="Times New Roman"/>
          <w:color w:val="000000" w:themeColor="text1"/>
          <w:lang w:eastAsia="ar-SA"/>
        </w:rPr>
        <w:t>cannot be determined purely scientifically</w:t>
      </w:r>
      <w:r w:rsidR="009455DB">
        <w:rPr>
          <w:rFonts w:ascii="Times New Roman" w:hAnsi="Times New Roman"/>
          <w:color w:val="000000" w:themeColor="text1"/>
          <w:lang w:eastAsia="ar-SA"/>
        </w:rPr>
        <w:t>;</w:t>
      </w:r>
      <w:r w:rsidR="009455DB" w:rsidRPr="00DF08CC">
        <w:rPr>
          <w:rFonts w:ascii="Times New Roman" w:hAnsi="Times New Roman"/>
          <w:color w:val="000000" w:themeColor="text1"/>
          <w:lang w:eastAsia="ar-SA"/>
        </w:rPr>
        <w:t xml:space="preserve"> science can predict the likelihood of certain effects, but non-scientific criteria must be included in the process of judging their acceptability</w:t>
      </w:r>
      <w:r w:rsidR="009455DB">
        <w:rPr>
          <w:rFonts w:ascii="Times New Roman" w:hAnsi="Times New Roman"/>
          <w:color w:val="000000" w:themeColor="text1"/>
          <w:lang w:eastAsia="ar-SA"/>
        </w:rPr>
        <w:t xml:space="preserve"> </w:t>
      </w:r>
      <w:r w:rsidR="009455DB"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{"citationItems":[{"id":"ITEM-1","itemData":{"DOI":"10.1016/j.tplants.2006.11.004","ISSN":"13601385","PMID":"17161972","abstract":"The debate concerning genetically modified crops illustrates confusion between the role of scientists and that of wider society in regulatory decision making. We identify two fundamental misunderstandings, which, if rectified, would allow progress with confidence. First, scientific risk assessment needs to test well-defined hypotheses, not simply collect data. Second, risk assessments need to be placed in the wider context of risk analysis to enable the wider 'non-scientific' questions to be considered in regulatory decision making. Such integration and understanding is urgently required because the challenges to regulation will escalate as scientific progress advances. © 2006 Elsevier Ltd. All rights reserved.","author":[{"dropping-particle":"","family":"Johnson","given":"Katy L.","non-dropping-particle":"","parse-names":false,"suffix":""},{"dropping-particle":"","family":"Raybould","given":"Alan F.","non-dropping-particle":"","parse-names":false,"suffix":""},{"dropping-particle":"","family":"Hudson","given":"Malcolm D.","non-dropping-particle":"","parse-names":false,"suffix":""},{"dropping-particle":"","family":"Poppy","given":"Guy M.","non-dropping-particle":"","parse-names":false,"suffix":""}],"container-title":"Trends in Plant Science","id":"ITEM-1","issue":"1","issued":{"date-parts":[["2007","1"]]},"page":"1-5","publisher":"Elsevier Current Trends","title":"How does scientific risk assessment of GM crops fit within the wider risk analysis?","type":"article-journal","volume":"12"},"uris":["http://www.mendeley.com/documents/?uuid=4d003c2b-5346-41e1-a117-76a661e37fd1"]}],"mendeley":{"formattedCitation":"(Johnson et al., 2007)","plainTextFormattedCitation":"(Johnson et al., 2007)","previouslyFormattedCitation":"(Johnson et al., 2007)"},"properties":{"noteIndex":0},"schema":"https://github.com/citation-style-language/schema/raw/master/csl-citation.json"}</w:instrText>
      </w:r>
      <w:r w:rsidR="009455DB" w:rsidRPr="00121D97">
        <w:rPr>
          <w:rFonts w:ascii="Times New Roman" w:hAnsi="Times New Roman"/>
          <w:color w:val="000000" w:themeColor="text1"/>
          <w:lang w:eastAsia="ar-SA"/>
        </w:rPr>
        <w:fldChar w:fldCharType="separate"/>
      </w:r>
      <w:r w:rsidR="009455DB" w:rsidRPr="00AD1158">
        <w:rPr>
          <w:rFonts w:ascii="Times New Roman" w:hAnsi="Times New Roman"/>
          <w:noProof/>
          <w:color w:val="000000" w:themeColor="text1"/>
          <w:lang w:eastAsia="ar-SA"/>
        </w:rPr>
        <w:t>(Johnson et al., 2007)</w:t>
      </w:r>
      <w:r w:rsidR="009455DB" w:rsidRPr="00121D97">
        <w:rPr>
          <w:rFonts w:ascii="Times New Roman" w:hAnsi="Times New Roman"/>
          <w:color w:val="000000" w:themeColor="text1"/>
          <w:lang w:eastAsia="ar-SA"/>
        </w:rPr>
        <w:fldChar w:fldCharType="end"/>
      </w:r>
      <w:r w:rsidR="009455DB">
        <w:rPr>
          <w:rFonts w:ascii="Times New Roman" w:hAnsi="Times New Roman"/>
          <w:color w:val="000000" w:themeColor="text1"/>
          <w:lang w:eastAsia="ar-SA"/>
        </w:rPr>
        <w:t>.</w:t>
      </w:r>
      <w:r w:rsidR="009455DB" w:rsidRPr="00DF08CC">
        <w:rPr>
          <w:rFonts w:ascii="Times New Roman" w:hAnsi="Times New Roman"/>
          <w:color w:val="000000" w:themeColor="text1"/>
          <w:lang w:eastAsia="ar-SA"/>
        </w:rPr>
        <w:t xml:space="preserve"> </w:t>
      </w:r>
      <w:r w:rsidR="002D5F67">
        <w:rPr>
          <w:rFonts w:ascii="Times New Roman" w:hAnsi="Times New Roman"/>
          <w:color w:val="000000" w:themeColor="text1"/>
          <w:lang w:eastAsia="ar-SA"/>
        </w:rPr>
        <w:t>A recent example</w:t>
      </w:r>
      <w:r w:rsidR="002D5F67" w:rsidRPr="002D5F67">
        <w:rPr>
          <w:rFonts w:ascii="Times New Roman" w:hAnsi="Times New Roman"/>
          <w:color w:val="000000" w:themeColor="text1"/>
          <w:lang w:eastAsia="ar-SA"/>
        </w:rPr>
        <w:t xml:space="preserve"> </w:t>
      </w:r>
      <w:r w:rsidR="00763DF6">
        <w:rPr>
          <w:rFonts w:ascii="Times New Roman" w:hAnsi="Times New Roman"/>
          <w:color w:val="000000" w:themeColor="text1"/>
          <w:lang w:eastAsia="ar-SA"/>
        </w:rPr>
        <w:t>is</w:t>
      </w:r>
      <w:r w:rsidR="002D5F67" w:rsidRPr="002D5F67">
        <w:rPr>
          <w:rFonts w:ascii="Times New Roman" w:hAnsi="Times New Roman"/>
          <w:color w:val="000000" w:themeColor="text1"/>
          <w:lang w:eastAsia="ar-SA"/>
        </w:rPr>
        <w:t xml:space="preserve"> </w:t>
      </w:r>
      <w:r w:rsidR="00763DF6">
        <w:rPr>
          <w:rFonts w:ascii="Times New Roman" w:hAnsi="Times New Roman"/>
          <w:color w:val="000000" w:themeColor="text1"/>
          <w:lang w:eastAsia="ar-SA"/>
        </w:rPr>
        <w:t>the</w:t>
      </w:r>
      <w:r w:rsidR="002D5F67" w:rsidRPr="002D5F67">
        <w:rPr>
          <w:rFonts w:ascii="Times New Roman" w:hAnsi="Times New Roman"/>
          <w:color w:val="000000" w:themeColor="text1"/>
          <w:lang w:eastAsia="ar-SA"/>
        </w:rPr>
        <w:t xml:space="preserve"> ongoing conversation</w:t>
      </w:r>
      <w:r w:rsidR="00FD11B8">
        <w:rPr>
          <w:rFonts w:ascii="Times New Roman" w:hAnsi="Times New Roman"/>
          <w:color w:val="000000" w:themeColor="text1"/>
          <w:lang w:eastAsia="ar-SA"/>
        </w:rPr>
        <w:t xml:space="preserve"> </w:t>
      </w:r>
      <w:r w:rsidR="002D5F67" w:rsidRPr="002D5F67">
        <w:rPr>
          <w:rFonts w:ascii="Times New Roman" w:hAnsi="Times New Roman"/>
          <w:color w:val="000000" w:themeColor="text1"/>
          <w:lang w:eastAsia="ar-SA"/>
        </w:rPr>
        <w:t>about the responsible application of</w:t>
      </w:r>
      <w:r w:rsidR="00513FC2">
        <w:rPr>
          <w:rFonts w:ascii="Times New Roman" w:hAnsi="Times New Roman"/>
          <w:color w:val="000000" w:themeColor="text1"/>
          <w:lang w:eastAsia="ar-SA"/>
        </w:rPr>
        <w:t xml:space="preserve"> </w:t>
      </w:r>
      <w:r w:rsidR="002D5F67" w:rsidRPr="002D5F67">
        <w:rPr>
          <w:rFonts w:ascii="Times New Roman" w:hAnsi="Times New Roman"/>
          <w:color w:val="000000" w:themeColor="text1"/>
          <w:lang w:eastAsia="ar-SA"/>
        </w:rPr>
        <w:t>CRISPR</w:t>
      </w:r>
      <w:r w:rsidR="00513FC2">
        <w:rPr>
          <w:rFonts w:ascii="Times New Roman" w:hAnsi="Times New Roman"/>
          <w:color w:val="000000" w:themeColor="text1"/>
          <w:lang w:eastAsia="ar-SA"/>
        </w:rPr>
        <w:t xml:space="preserve"> </w:t>
      </w:r>
      <w:r w:rsidR="008A5B2C">
        <w:rPr>
          <w:rFonts w:ascii="Times New Roman" w:hAnsi="Times New Roman"/>
          <w:color w:val="000000" w:themeColor="text1"/>
          <w:lang w:eastAsia="ar-SA"/>
        </w:rPr>
        <w:t xml:space="preserve">that </w:t>
      </w:r>
      <w:r w:rsidR="00A9261A">
        <w:rPr>
          <w:rFonts w:ascii="Times New Roman" w:hAnsi="Times New Roman"/>
          <w:color w:val="000000" w:themeColor="text1"/>
          <w:lang w:eastAsia="ar-SA"/>
        </w:rPr>
        <w:t>is</w:t>
      </w:r>
      <w:r w:rsidR="008A5B2C">
        <w:rPr>
          <w:rFonts w:ascii="Times New Roman" w:hAnsi="Times New Roman"/>
          <w:color w:val="000000" w:themeColor="text1"/>
          <w:lang w:eastAsia="ar-SA"/>
        </w:rPr>
        <w:t xml:space="preserve"> taking place at </w:t>
      </w:r>
      <w:r w:rsidR="00A9261A">
        <w:rPr>
          <w:rFonts w:ascii="Times New Roman" w:hAnsi="Times New Roman"/>
          <w:color w:val="000000" w:themeColor="text1"/>
          <w:lang w:eastAsia="ar-SA"/>
        </w:rPr>
        <w:t>both</w:t>
      </w:r>
      <w:r w:rsidR="008A5B2C">
        <w:rPr>
          <w:rFonts w:ascii="Times New Roman" w:hAnsi="Times New Roman"/>
          <w:color w:val="000000" w:themeColor="text1"/>
          <w:lang w:eastAsia="ar-SA"/>
        </w:rPr>
        <w:t xml:space="preserve"> national and international level</w:t>
      </w:r>
      <w:r w:rsidR="00A9261A">
        <w:rPr>
          <w:rFonts w:ascii="Times New Roman" w:hAnsi="Times New Roman"/>
          <w:color w:val="000000" w:themeColor="text1"/>
          <w:lang w:eastAsia="ar-SA"/>
        </w:rPr>
        <w:t>s</w:t>
      </w:r>
      <w:r w:rsidR="002D5F67" w:rsidRPr="002D5F67">
        <w:rPr>
          <w:rFonts w:ascii="Times New Roman" w:hAnsi="Times New Roman"/>
          <w:color w:val="000000" w:themeColor="text1"/>
          <w:lang w:eastAsia="ar-SA"/>
        </w:rPr>
        <w:t xml:space="preserve"> </w:t>
      </w:r>
      <w:r w:rsidR="00513FC2">
        <w:rPr>
          <w:rFonts w:ascii="Times New Roman" w:hAnsi="Times New Roman"/>
          <w:color w:val="000000" w:themeColor="text1"/>
          <w:lang w:eastAsia="ar-SA"/>
        </w:rPr>
        <w:t xml:space="preserve">concerning </w:t>
      </w:r>
      <w:r w:rsidR="002D5F67" w:rsidRPr="002D5F67">
        <w:rPr>
          <w:rFonts w:ascii="Times New Roman" w:hAnsi="Times New Roman"/>
          <w:color w:val="000000" w:themeColor="text1"/>
          <w:lang w:eastAsia="ar-SA"/>
        </w:rPr>
        <w:t>the limitations</w:t>
      </w:r>
      <w:r w:rsidR="00513FC2">
        <w:rPr>
          <w:rFonts w:ascii="Times New Roman" w:hAnsi="Times New Roman"/>
          <w:color w:val="000000" w:themeColor="text1"/>
          <w:lang w:eastAsia="ar-SA"/>
        </w:rPr>
        <w:t xml:space="preserve"> </w:t>
      </w:r>
      <w:r w:rsidR="002D5F67" w:rsidRPr="002D5F67">
        <w:rPr>
          <w:rFonts w:ascii="Times New Roman" w:hAnsi="Times New Roman"/>
          <w:color w:val="000000" w:themeColor="text1"/>
          <w:lang w:eastAsia="ar-SA"/>
        </w:rPr>
        <w:t>of current global governance structures to</w:t>
      </w:r>
      <w:r w:rsidR="00513FC2">
        <w:rPr>
          <w:rFonts w:ascii="Times New Roman" w:hAnsi="Times New Roman"/>
          <w:color w:val="000000" w:themeColor="text1"/>
          <w:lang w:eastAsia="ar-SA"/>
        </w:rPr>
        <w:t xml:space="preserve"> </w:t>
      </w:r>
      <w:r w:rsidR="002D5F67" w:rsidRPr="002D5F67">
        <w:rPr>
          <w:rFonts w:ascii="Times New Roman" w:hAnsi="Times New Roman"/>
          <w:color w:val="000000" w:themeColor="text1"/>
          <w:lang w:eastAsia="ar-SA"/>
        </w:rPr>
        <w:t>safeguard its use</w:t>
      </w:r>
      <w:r w:rsidR="00754756">
        <w:rPr>
          <w:rFonts w:ascii="Times New Roman" w:hAnsi="Times New Roman"/>
          <w:color w:val="000000" w:themeColor="text1"/>
          <w:lang w:eastAsia="ar-SA"/>
        </w:rPr>
        <w:t>.</w:t>
      </w:r>
      <w:r w:rsidR="00435151">
        <w:rPr>
          <w:rFonts w:ascii="Times New Roman" w:hAnsi="Times New Roman"/>
          <w:color w:val="000000" w:themeColor="text1"/>
          <w:lang w:eastAsia="ar-SA"/>
        </w:rPr>
        <w:t xml:space="preserve"> </w:t>
      </w:r>
      <w:r w:rsidR="00754756">
        <w:rPr>
          <w:rFonts w:ascii="Times New Roman" w:hAnsi="Times New Roman"/>
          <w:color w:val="000000" w:themeColor="text1"/>
          <w:lang w:eastAsia="ar-SA"/>
        </w:rPr>
        <w:t>L</w:t>
      </w:r>
      <w:r w:rsidR="002D5F67" w:rsidRPr="002D5F67">
        <w:rPr>
          <w:rFonts w:ascii="Times New Roman" w:hAnsi="Times New Roman"/>
          <w:color w:val="000000" w:themeColor="text1"/>
          <w:lang w:eastAsia="ar-SA"/>
        </w:rPr>
        <w:t>argely</w:t>
      </w:r>
      <w:r w:rsidR="00435151">
        <w:rPr>
          <w:rFonts w:ascii="Times New Roman" w:hAnsi="Times New Roman"/>
          <w:color w:val="000000" w:themeColor="text1"/>
          <w:lang w:eastAsia="ar-SA"/>
        </w:rPr>
        <w:t xml:space="preserve"> </w:t>
      </w:r>
      <w:r w:rsidR="002D5F67" w:rsidRPr="002D5F67">
        <w:rPr>
          <w:rFonts w:ascii="Times New Roman" w:hAnsi="Times New Roman"/>
          <w:color w:val="000000" w:themeColor="text1"/>
          <w:lang w:eastAsia="ar-SA"/>
        </w:rPr>
        <w:t>missing from th</w:t>
      </w:r>
      <w:r w:rsidR="00754756">
        <w:rPr>
          <w:rFonts w:ascii="Times New Roman" w:hAnsi="Times New Roman"/>
          <w:color w:val="000000" w:themeColor="text1"/>
          <w:lang w:eastAsia="ar-SA"/>
        </w:rPr>
        <w:t>i</w:t>
      </w:r>
      <w:r w:rsidR="002D5F67" w:rsidRPr="002D5F67">
        <w:rPr>
          <w:rFonts w:ascii="Times New Roman" w:hAnsi="Times New Roman"/>
          <w:color w:val="000000" w:themeColor="text1"/>
          <w:lang w:eastAsia="ar-SA"/>
        </w:rPr>
        <w:t>s conversation</w:t>
      </w:r>
      <w:r w:rsidR="00754756">
        <w:rPr>
          <w:rFonts w:ascii="Times New Roman" w:hAnsi="Times New Roman"/>
          <w:color w:val="000000" w:themeColor="text1"/>
          <w:lang w:eastAsia="ar-SA"/>
        </w:rPr>
        <w:t xml:space="preserve"> however</w:t>
      </w:r>
      <w:r w:rsidR="00E470B3">
        <w:rPr>
          <w:rFonts w:ascii="Times New Roman" w:hAnsi="Times New Roman"/>
          <w:color w:val="000000" w:themeColor="text1"/>
          <w:lang w:eastAsia="ar-SA"/>
        </w:rPr>
        <w:t>,</w:t>
      </w:r>
      <w:r w:rsidR="002D5F67" w:rsidRPr="002D5F67">
        <w:rPr>
          <w:rFonts w:ascii="Times New Roman" w:hAnsi="Times New Roman"/>
          <w:color w:val="000000" w:themeColor="text1"/>
          <w:lang w:eastAsia="ar-SA"/>
        </w:rPr>
        <w:t xml:space="preserve"> is attention</w:t>
      </w:r>
      <w:r w:rsidR="00435151">
        <w:rPr>
          <w:rFonts w:ascii="Times New Roman" w:hAnsi="Times New Roman"/>
          <w:color w:val="000000" w:themeColor="text1"/>
          <w:lang w:eastAsia="ar-SA"/>
        </w:rPr>
        <w:t xml:space="preserve"> </w:t>
      </w:r>
      <w:r w:rsidR="002D5F67" w:rsidRPr="002D5F67">
        <w:rPr>
          <w:rFonts w:ascii="Times New Roman" w:hAnsi="Times New Roman"/>
          <w:color w:val="000000" w:themeColor="text1"/>
          <w:lang w:eastAsia="ar-SA"/>
        </w:rPr>
        <w:t>to local communities in decision-making</w:t>
      </w:r>
      <w:r w:rsidR="00890B07">
        <w:rPr>
          <w:rFonts w:ascii="Times New Roman" w:hAnsi="Times New Roman"/>
          <w:color w:val="000000" w:themeColor="text1"/>
          <w:lang w:eastAsia="ar-SA"/>
        </w:rPr>
        <w:t xml:space="preserve"> which are likely to be the first </w:t>
      </w:r>
      <w:r w:rsidR="004B6AC2">
        <w:rPr>
          <w:rFonts w:ascii="Times New Roman" w:hAnsi="Times New Roman"/>
          <w:color w:val="000000" w:themeColor="text1"/>
          <w:lang w:eastAsia="ar-SA"/>
        </w:rPr>
        <w:t>to</w:t>
      </w:r>
      <w:r w:rsidR="00890B07">
        <w:rPr>
          <w:rFonts w:ascii="Times New Roman" w:hAnsi="Times New Roman"/>
          <w:color w:val="000000" w:themeColor="text1"/>
          <w:lang w:eastAsia="ar-SA"/>
        </w:rPr>
        <w:t xml:space="preserve"> feel any potential impact from these applications</w:t>
      </w:r>
      <w:r w:rsidR="00FD11B8">
        <w:rPr>
          <w:rFonts w:ascii="Times New Roman" w:hAnsi="Times New Roman"/>
          <w:color w:val="000000" w:themeColor="text1"/>
          <w:lang w:eastAsia="ar-SA"/>
        </w:rPr>
        <w:t xml:space="preserve"> </w:t>
      </w:r>
      <w:r w:rsidR="001B2168">
        <w:rPr>
          <w:rFonts w:ascii="Times New Roman" w:hAnsi="Times New Roman"/>
          <w:color w:val="000000" w:themeColor="text1"/>
          <w:lang w:eastAsia="ar-SA"/>
        </w:rPr>
        <w:fldChar w:fldCharType="begin" w:fldLock="1"/>
      </w:r>
      <w:r w:rsidR="001B2168">
        <w:rPr>
          <w:rFonts w:ascii="Times New Roman" w:hAnsi="Times New Roman"/>
          <w:color w:val="000000" w:themeColor="text1"/>
          <w:lang w:eastAsia="ar-SA"/>
        </w:rPr>
        <w:instrText>ADDIN CSL_CITATION {"citationItems":[{"id":"ITEM-1","itemData":{"DOI":"10.1126/science.aat4612","ISSN":"0036-8075","author":[{"dropping-particle":"","family":"Kofler","given":"Natalie","non-dropping-particle":"","parse-names":false,"suffix":""},{"dropping-particle":"","family":"Collins","given":"James P.","non-dropping-particle":"","parse-names":false,"suffix":""},{"dropping-particle":"","family":"Kuzma","given":"Jennifer","non-dropping-particle":"","parse-names":false,"suffix":""},{"dropping-particle":"","family":"Marris","given":"Emma","non-dropping-particle":"","parse-names":false,"suffix":""},{"dropping-particle":"","family":"Esvelt","given":"Kevin","non-dropping-particle":"","parse-names":false,"suffix":""},{"dropping-particle":"","family":"Nelson","given":"Michael Paul","non-dropping-particle":"","parse-names":false,"suffix":""},{"dropping-particle":"","family":"Newhouse","given":"Andrew","non-dropping-particle":"","parse-names":false,"suffix":""},{"dropping-particle":"","family":"Rothschild","given":"Lynn J.","non-dropping-particle":"","parse-names":false,"suffix":""},{"dropping-particle":"","family":"Vigliotti","given":"Vivian S.","non-dropping-particle":"","parse-names":false,"suffix":""},{"dropping-particle":"","family":"Semenov","given":"Misha","non-dropping-particle":"","parse-names":false,"suffix":""},{"dropping-particle":"","family":"Jacobsen","given":"Rowan","non-dropping-particle":"","parse-names":false,"suffix":""},{"dropping-particle":"","family":"Dahlman","given":"James E.","non-dropping-particle":"","parse-names":false,"suffix":""},{"dropping-particle":"","family":"Prince","given":"Shannon","non-dropping-particle":"","parse-names":false,"suffix":""},{"dropping-particle":"","family":"Caccone","given":"Adalgisa","non-dropping-particle":"","parse-names":false,"suffix":""},{"dropping-particle":"","family":"Brown","given":"Timothy","non-dropping-particle":"","parse-names":false,"suffix":""},{"dropping-particle":"","family":"Schmitz","given":"Oswald J.","non-dropping-particle":"","parse-names":false,"suffix":""}],"container-title":"Science","id":"ITEM-1","issue":"6414","issued":{"date-parts":[["2018","11","2"]]},"page":"527-529","title":"Editing nature: Local roots of global governance","type":"article-journal","volume":"362"},"uris":["http://www.mendeley.com/documents/?uuid=a8626dc3-b5d7-448f-8f13-4893bf9cfcc1"]}],"mendeley":{"formattedCitation":"(Kofler et al., 2018)","plainTextFormattedCitation":"(Kofler et al., 2018)","previouslyFormattedCitation":"(Kofler et al., 2018)"},"properties":{"noteIndex":0},"schema":"https://github.com/citation-style-language/schema/raw/master/csl-citation.json"}</w:instrText>
      </w:r>
      <w:r w:rsidR="001B2168">
        <w:rPr>
          <w:rFonts w:ascii="Times New Roman" w:hAnsi="Times New Roman"/>
          <w:color w:val="000000" w:themeColor="text1"/>
          <w:lang w:eastAsia="ar-SA"/>
        </w:rPr>
        <w:fldChar w:fldCharType="separate"/>
      </w:r>
      <w:r w:rsidR="001B2168" w:rsidRPr="001B2168">
        <w:rPr>
          <w:rFonts w:ascii="Times New Roman" w:hAnsi="Times New Roman"/>
          <w:noProof/>
          <w:color w:val="000000" w:themeColor="text1"/>
          <w:lang w:eastAsia="ar-SA"/>
        </w:rPr>
        <w:t>(Kofler et al., 2018)</w:t>
      </w:r>
      <w:r w:rsidR="001B2168">
        <w:rPr>
          <w:rFonts w:ascii="Times New Roman" w:hAnsi="Times New Roman"/>
          <w:color w:val="000000" w:themeColor="text1"/>
          <w:lang w:eastAsia="ar-SA"/>
        </w:rPr>
        <w:fldChar w:fldCharType="end"/>
      </w:r>
      <w:r w:rsidR="004B6AC2">
        <w:rPr>
          <w:rFonts w:ascii="Times New Roman" w:hAnsi="Times New Roman"/>
          <w:color w:val="000000" w:themeColor="text1"/>
          <w:lang w:eastAsia="ar-SA"/>
        </w:rPr>
        <w:t>.</w:t>
      </w:r>
      <w:r w:rsidR="00FD11B8">
        <w:rPr>
          <w:rFonts w:ascii="Times New Roman" w:hAnsi="Times New Roman"/>
          <w:color w:val="000000" w:themeColor="text1"/>
          <w:lang w:eastAsia="ar-SA"/>
        </w:rPr>
        <w:t xml:space="preserve"> </w:t>
      </w:r>
      <w:r w:rsidR="009455DB">
        <w:rPr>
          <w:rFonts w:ascii="Times New Roman" w:hAnsi="Times New Roman"/>
          <w:color w:val="000000" w:themeColor="text1"/>
          <w:lang w:eastAsia="ar-SA"/>
        </w:rPr>
        <w:t xml:space="preserve">Thus, the acceptability of any risk </w:t>
      </w:r>
      <w:r w:rsidR="009455DB" w:rsidRPr="36140518">
        <w:rPr>
          <w:rFonts w:ascii="Times New Roman" w:hAnsi="Times New Roman"/>
          <w:color w:val="000000" w:themeColor="text1"/>
          <w:lang w:eastAsia="ar-SA"/>
        </w:rPr>
        <w:t xml:space="preserve">is a social construct, </w:t>
      </w:r>
      <w:r w:rsidR="009455DB">
        <w:rPr>
          <w:rFonts w:ascii="Times New Roman" w:hAnsi="Times New Roman"/>
          <w:color w:val="000000" w:themeColor="text1"/>
          <w:lang w:eastAsia="ar-SA"/>
        </w:rPr>
        <w:t xml:space="preserve">as are the guiding policy goals, </w:t>
      </w:r>
      <w:r w:rsidR="009455DB" w:rsidRPr="36140518">
        <w:rPr>
          <w:rFonts w:ascii="Times New Roman" w:hAnsi="Times New Roman"/>
          <w:color w:val="000000" w:themeColor="text1"/>
          <w:lang w:eastAsia="ar-SA"/>
        </w:rPr>
        <w:t xml:space="preserve">and should be informed through consultation with a broad set of stakeholders </w:t>
      </w:r>
      <w:r w:rsidR="009455DB"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{"citationItems":[{"id":"ITEM-1","itemData":{"DOI":"10.1017/9781316585269.004","ISBN":"9781316585269","abstract":"The first transgenic plants were described in 1983, and, since then, the phased commercialisation of transgenic (or ‘genetically modified’; GM) organisms has increased to the extent that, 30 years later, 181.5 million hectares (Mha) of GM crops were cultivated (James, 2014; Figure 3.1). In addition, products with more and more complex gene–trait combinations (e.g., stacked events) are also now reaching the later stages of product development. Estimates show that 43.7 Mha were planted to stacked events (i.e., events with multiple trait-related transgenes) in 2012, accounting for more than 26% of the 170.3 Mha of GM crops planted worldwide that year (James, 2012). The increasing number of GM traits in recent stacked events has set the trend for the next generation of GM crops. It is estimated that, by the end of 2015, for maize alone, 24 single-trait events will have been commercialised. This potentially translates to over 2,000 triple-stacks and over 12,000 quadruple-stacks that may enter the pipeline (Stein and Rodriguez-Cerezo, 2009). Future stacks are likely to involve not just multiple traits, but the combination of these traits to engineer metabolic pathways and even to introduce a number of pathways into an organism (Halpin, 2005; Naqvi et al., 2009; Que et al., 2010). This demonstrates how GM organisms (GMOs) are becoming more complex, and underlines the need to have efficient regulatory mechanisms to ensure timely decision-making. In most countries, GMOs are subject to regulation. Each of the key GMO developments to date has therefore been overseen by an international regulatory environment which itself has undergone significant developments (Figure 3.2). The international guidelines highlighted in Figure 3.2 are similar in their approach to what a risk assessment should comprise, in that they all agree that it should be a structured, reasoned approach, based on scientific/technical evidence, for considering the chance of harm from activities with a GMO. Risk assessments should aim to identify, characterise and evaluate risks to the health and safety of people or to the environment from activities with GMOs. To do so, they should identify risk by considering what could go wrong and how harm might occur, whilst the identified risk should be characterised by considering how serious the harm could be (consequences) and how likely it is that such harm could occur in the context of the case (Gray, 2012).","author":[{"dropping-particle":"","family":"Craig","given":"Wendy","non-dropping-particle":"","parse-names":false,"suffix":""},{"dropping-particle":"","family":"Ndolo","given":"Dennis Obonyo","non-dropping-particle":"","parse-names":false,"suffix":""},{"dropping-particle":"","family":"Tepfer","given":"Mark","non-dropping-particle":"","parse-names":false,"suffix":""}],"container-title":"Genetically Modified Organisms in Developing Countries: Risk Analysis and Governance","editor":[{"dropping-particle":"","family":"Adenle","given":"Ademola A.","non-dropping-particle":"","parse-names":false,"suffix":""},{"dropping-particle":"","family":"Morris","given":"E. Jane","non-dropping-particle":"","parse-names":false,"suffix":""},{"dropping-particle":"","family":"Murphy","given":"Denis J.","non-dropping-particle":"","parse-names":false,"suffix":""}],"id":"ITEM-1","issued":{"date-parts":[["2017","1"]]},"page":"26-38","publisher":"Cambridge University Press","publisher-place":"Cambridge","title":"A strategy for integrating science into regulatory decision-making for GMOs","type":"chapter"},"uris":["http://www.mendeley.com/documents/?uuid=7ccec211-69e1-493b-8704-6e6e432b14f7"]},{"id":"ITEM-2","itemData":{"DOI":"10.2903/j.efsa.2019.e170708","ISSN":"18314732","abstract":"Pre-market/prospective environmental risk assessments (ERAs) contribute to risk analyses performed to facilitate decisions about the market introduction of regulated stressors. Robust ERAs begin with an explicit problem formulation, which involves among other steps: (1) formally devising plausible pathways to harm that describe how the deployment of a regulated stressor could be harmful; (2) formulating risk hypotheses about the likelihood and severity of such events; (3) identifying the information that will be useful to test the risk hypotheses; and (4) developing a plan to acquire new data for hypothesis testing should tests with existing information be insufficient for decision-making. Here, we apply problem formulation to the assessment of possible adverse effects of RNA interference-based insecticidal genetically modified (GM) plants, GM growth hormone coho salmon, gene drive-modified mosquitoes and classical biological weed control agents on non-target organisms in a prospective manner, and of neonicotinoid insecticides on bees in a retrospective manner. In addition, specific considerations for the problem formulation for the ERA of nanomaterials and for landscape-scale population-level ERAs are given. We argue that applying problem formulation to ERA maximises the usefulness of ERA studies for decision-making, through an iterative process, because: (1) harm is defined explicitly from the start; (2) the construction of risk hypotheses is guided by policy rather than an exhaustive attempt to address any possible differences; (3) existing information is used effectively; (4) new data are collected with a clear purpose; (5) risk is characterised against well-defined criteria of hypothesis corroboration or falsification; and (6) risk assessment conclusions can be communicated clearly. However, problem formulation is still often hindered by the absence of clear policy goals and decision-making criteria (e.g. definition of protection goals and what constitutes harm) that are needed to guide the interpretation of scientific information. We therefore advocate further dialogue between risk assessors and risk managers to clarify how ERAs can address policy goals and decision-making criteria. Ideally, this dialogue should take place for all classes of regulated stressors, as this can promote alignment and consistency on the desired level of protection and maximum tolerable impacts across regulated stressors.","author":[{"dropping-particle":"","family":"Devos","given":"Yann","non-dropping-particle":"","parse-names":false,"suffix":""},{"dropping-particle":"","family":"Craig","given":"Wendy","non-dropping-particle":"","parse-names":false,"suffix":""},{"dropping-particle":"","family":"Devlin","given":"Robert H.","non-dropping-particle":"","parse-names":false,"suffix":""},{"dropping-particle":"","family":"Ippolito","given":"Alessio","non-dropping-particle":"","parse-names":false,"suffix":""},{"dropping-particle":"","family":"Leggatt","given":"Rosalind A.","non-dropping-particle":"","parse-names":false,"suffix":""},{"dropping-particle":"","family":"Romeis","given":"Jörg","non-dropping-particle":"","parse-names":false,"suffix":""},{"dropping-particle":"","family":"Shaw","given":"Richard","non-dropping-particle":"","parse-names":false,"suffix":""},{"dropping-particle":"","family":"Svendsen","given":"Claus","non-dropping-particle":"","parse-names":false,"suffix":""},{"dropping-particle":"","family":"Topping","given":"Christopher J.","non-dropping-particle":"","parse-names":false,"suffix":""}],"container-title":"EFSA Journal","id":"ITEM-2","issue":"S1","issued":{"date-parts":[["2019","7"]]},"publisher":"Wiley-Blackwell Publishing Ltd","title":"Using problem formulation for fit-for-purpose pre-market environmental risk assessments of regulated stressors","type":"article-journal","volume":"17"},"uris":["http://www.mendeley.com/documents/?uuid=d8fbe2d2-64a2-40aa-b5f6-bcafb71aeb68"]},{"id":"ITEM-3","itemData":{"DOI":"10.1016/j.tibtech.2020.11.015","ISSN":"01677799","author":[{"dropping-particle":"","family":"Devos","given":"Yann","non-dropping-particle":"","parse-names":false,"suffix":""},{"dropping-particle":"","family":"Bonsall","given":"Michael B","non-dropping-particle":"","parse-names":false,"suffix":""},{"dropping-particle":"","family":"Firbank","given":"Leslie G","non-dropping-particle":"","parse-names":false,"suffix":""},{"dropping-particle":"","family":"Mumford","given":"John","non-dropping-particle":"","parse-names":false,"suffix":""},{"dropping-particle":"","family":"Nogué","given":"Fabien","non-dropping-particle":"","parse-names":false,"suffix":""},{"dropping-particle":"","family":"Wimmer","given":"Ernst A","non-dropping-particle":"","parse-names":false,"suffix":""}],"container-title":"Trends in Biotechnology","id":"ITEM-3","issue":"xx","issued":{"date-parts":[["2020","12"]]},"page":"1-4","publisher":"Elsevier Ltd","title":"Gene Drive-Modified Organisms: Developing Practical Risk Assessment Guidance","type":"article-journal","volume":"xx"},"uris":["http://www.mendeley.com/documents/?uuid=c7048388-ffdd-4581-91ce-3d5073ee7c1d"]}],"mendeley":{"formattedCitation":"(Wendy Craig et al., 2017; Yann Devos et al., 2019, 2020)","manualFormatting":"(Craig et al., 2017; Devos et al., 2019, 2020)","plainTextFormattedCitation":"(Wendy Craig et al., 2017; Yann Devos et al., 2019, 2020)","previouslyFormattedCitation":"(Wendy Craig et al., 2017; Yann Devos et al., 2019, 2020)"},"properties":{"noteIndex":0},"schema":"https://github.com/citation-style-language/schema/raw/master/csl-citation.json"}</w:instrText>
      </w:r>
      <w:r w:rsidR="009455DB" w:rsidRPr="00121D97">
        <w:rPr>
          <w:rFonts w:ascii="Times New Roman" w:hAnsi="Times New Roman"/>
          <w:color w:val="000000" w:themeColor="text1"/>
          <w:lang w:eastAsia="ar-SA"/>
        </w:rPr>
        <w:fldChar w:fldCharType="separate"/>
      </w:r>
      <w:r w:rsidR="000324F9" w:rsidRPr="00577C00">
        <w:rPr>
          <w:rFonts w:ascii="Times New Roman" w:hAnsi="Times New Roman"/>
          <w:noProof/>
          <w:color w:val="000000" w:themeColor="text1"/>
          <w:lang w:eastAsia="ar-SA"/>
        </w:rPr>
        <w:t>(Craig et al., 2017; Devos et al., 2019, 2020)</w:t>
      </w:r>
      <w:r w:rsidR="009455DB" w:rsidRPr="00121D97">
        <w:rPr>
          <w:rFonts w:ascii="Times New Roman" w:hAnsi="Times New Roman"/>
          <w:color w:val="000000" w:themeColor="text1"/>
          <w:lang w:eastAsia="ar-SA"/>
        </w:rPr>
        <w:fldChar w:fldCharType="end"/>
      </w:r>
      <w:r w:rsidR="00247B1F">
        <w:rPr>
          <w:rFonts w:ascii="Times New Roman" w:hAnsi="Times New Roman"/>
          <w:color w:val="000000" w:themeColor="text1"/>
          <w:lang w:eastAsia="ar-SA"/>
        </w:rPr>
        <w:t>, including the population</w:t>
      </w:r>
      <w:r w:rsidR="00E03841">
        <w:rPr>
          <w:rFonts w:ascii="Times New Roman" w:hAnsi="Times New Roman"/>
          <w:color w:val="000000" w:themeColor="text1"/>
          <w:lang w:eastAsia="ar-SA"/>
        </w:rPr>
        <w:t>s likely to be impacted most</w:t>
      </w:r>
      <w:r w:rsidR="00247B1F">
        <w:rPr>
          <w:rFonts w:ascii="Times New Roman" w:hAnsi="Times New Roman"/>
          <w:color w:val="000000" w:themeColor="text1"/>
          <w:lang w:eastAsia="ar-SA"/>
        </w:rPr>
        <w:t xml:space="preserve"> (</w:t>
      </w:r>
      <w:r w:rsidR="009455DB" w:rsidRPr="36140518">
        <w:rPr>
          <w:rFonts w:ascii="Times New Roman" w:hAnsi="Times New Roman"/>
          <w:color w:val="000000" w:themeColor="text1"/>
          <w:lang w:eastAsia="ar-SA"/>
        </w:rPr>
        <w:t>Se</w:t>
      </w:r>
      <w:r w:rsidR="009455DB">
        <w:rPr>
          <w:rFonts w:ascii="Times New Roman" w:hAnsi="Times New Roman"/>
          <w:color w:val="000000" w:themeColor="text1"/>
          <w:lang w:eastAsia="ar-SA"/>
        </w:rPr>
        <w:t xml:space="preserve">ction </w:t>
      </w:r>
      <w:r w:rsidR="00DB07ED">
        <w:rPr>
          <w:rFonts w:ascii="Times New Roman" w:hAnsi="Times New Roman"/>
          <w:color w:val="000000" w:themeColor="text1"/>
          <w:lang w:eastAsia="ar-SA"/>
        </w:rPr>
        <w:t>5.1.2.)</w:t>
      </w:r>
      <w:r w:rsidR="009455DB" w:rsidRPr="00577C00">
        <w:rPr>
          <w:rFonts w:ascii="Times New Roman" w:hAnsi="Times New Roman"/>
          <w:color w:val="000000" w:themeColor="text1"/>
          <w:lang w:eastAsia="ar-SA"/>
        </w:rPr>
        <w:t>.</w:t>
      </w:r>
      <w:r w:rsidR="00904C65" w:rsidRPr="00577C00">
        <w:rPr>
          <w:rFonts w:ascii="Times New Roman" w:hAnsi="Times New Roman"/>
          <w:color w:val="000000" w:themeColor="text1"/>
          <w:lang w:eastAsia="ar-SA"/>
        </w:rPr>
        <w:t xml:space="preserve"> </w:t>
      </w:r>
      <w:r w:rsidR="006C7F75" w:rsidRPr="00577C00">
        <w:rPr>
          <w:rFonts w:ascii="Times New Roman" w:hAnsi="Times New Roman"/>
          <w:color w:val="000000" w:themeColor="text1"/>
          <w:lang w:eastAsia="ar-SA"/>
        </w:rPr>
        <w:t xml:space="preserve">Conversely, </w:t>
      </w:r>
      <w:r w:rsidR="00792AD1" w:rsidRPr="00577C00">
        <w:rPr>
          <w:rFonts w:ascii="Times New Roman" w:hAnsi="Times New Roman"/>
          <w:color w:val="000000" w:themeColor="text1"/>
          <w:lang w:eastAsia="ar-SA"/>
        </w:rPr>
        <w:t>t</w:t>
      </w:r>
      <w:r w:rsidR="006C7F75" w:rsidRPr="00577C00">
        <w:rPr>
          <w:rFonts w:ascii="Times New Roman" w:hAnsi="Times New Roman"/>
          <w:color w:val="000000" w:themeColor="text1"/>
          <w:lang w:eastAsia="ar-SA"/>
        </w:rPr>
        <w:t>he synthetic biology community needs to be aware of, and respond to, these challenges by engaging in horizon scanning exercises as well as open dialogue with regulatory bodies</w:t>
      </w:r>
      <w:r w:rsidR="00011395" w:rsidRPr="00577C00">
        <w:rPr>
          <w:rFonts w:ascii="Times New Roman" w:hAnsi="Times New Roman"/>
          <w:color w:val="000000" w:themeColor="text1"/>
          <w:lang w:eastAsia="ar-SA"/>
        </w:rPr>
        <w:t>,</w:t>
      </w:r>
      <w:r w:rsidR="006C7F75" w:rsidRPr="00577C00">
        <w:rPr>
          <w:rFonts w:ascii="Times New Roman" w:hAnsi="Times New Roman"/>
          <w:color w:val="000000" w:themeColor="text1"/>
          <w:lang w:eastAsia="ar-SA"/>
        </w:rPr>
        <w:t xml:space="preserve"> the media</w:t>
      </w:r>
      <w:r w:rsidR="00011395" w:rsidRPr="00577C00">
        <w:rPr>
          <w:rFonts w:ascii="Times New Roman" w:hAnsi="Times New Roman"/>
          <w:color w:val="000000" w:themeColor="text1"/>
          <w:lang w:eastAsia="ar-SA"/>
        </w:rPr>
        <w:t xml:space="preserve"> </w:t>
      </w:r>
      <w:r w:rsidR="006C7F75" w:rsidRPr="00577C00">
        <w:rPr>
          <w:rFonts w:ascii="Times New Roman" w:hAnsi="Times New Roman"/>
          <w:color w:val="000000" w:themeColor="text1"/>
          <w:lang w:eastAsia="ar-SA"/>
        </w:rPr>
        <w:t xml:space="preserve">and the </w:t>
      </w:r>
      <w:r w:rsidR="00011395" w:rsidRPr="00577C00">
        <w:rPr>
          <w:rFonts w:ascii="Times New Roman" w:hAnsi="Times New Roman"/>
          <w:color w:val="000000" w:themeColor="text1"/>
          <w:lang w:eastAsia="ar-SA"/>
        </w:rPr>
        <w:t>public</w:t>
      </w:r>
      <w:r w:rsidR="00792AD1" w:rsidRPr="00577C00">
        <w:rPr>
          <w:rFonts w:ascii="Times New Roman" w:hAnsi="Times New Roman"/>
          <w:color w:val="000000" w:themeColor="text1"/>
          <w:lang w:eastAsia="ar-SA"/>
        </w:rPr>
        <w:t xml:space="preserve"> </w:t>
      </w:r>
      <w:r w:rsidR="00792AD1">
        <w:rPr>
          <w:rFonts w:ascii="Times New Roman" w:hAnsi="Times New Roman"/>
          <w:color w:val="000000" w:themeColor="text1"/>
          <w:lang w:val="da-DK" w:eastAsia="ar-SA"/>
        </w:rPr>
        <w:fldChar w:fldCharType="begin" w:fldLock="1"/>
      </w:r>
      <w:r w:rsidR="008F6A90">
        <w:rPr>
          <w:rFonts w:ascii="Times New Roman" w:hAnsi="Times New Roman"/>
          <w:color w:val="000000" w:themeColor="text1"/>
          <w:lang w:eastAsia="ar-SA"/>
        </w:rPr>
        <w:instrText>ADDIN CSL_CITATION {"citationItems":[{"id":"ITEM-1","itemData":{"DOI":"10.3389/fbioe.2019.00175","ISSN":"2296-4185","author":[{"dropping-particle":"","family":"Karoui","given":"Meriem","non-dropping-particle":"El","parse-names":false,"suffix":""},{"dropping-particle":"","family":"Hoyos-Flight","given":"Monica","non-dropping-particle":"","parse-names":false,"suffix":""},{"dropping-particle":"","family":"Fletcher","given":"Liz","non-dropping-particle":"","parse-names":false,"suffix":""}],"container-title":"Frontiers in Bioengineering and Biotechnology","id":"ITEM-1","issued":{"date-parts":[["2019","8","7"]]},"title":"Future Trends in Synthetic Biology—A Report","type":"article-journal","volume":"7"},"uris":["http://www.mendeley.com/documents/?uuid=efd23a29-9e0a-4b56-b43d-137d4d68e02a"]}],"mendeley":{"formattedCitation":"(El Karoui et al., 2019)","plainTextFormattedCitation":"(El Karoui et al., 2019)","previouslyFormattedCitation":"(El Karoui et al., 2019)"},"properties":{"noteIndex":0},"schema":"https://github.com/citation-style-language/schema/raw/master/csl-citation.json"}</w:instrText>
      </w:r>
      <w:r w:rsidR="00792AD1">
        <w:rPr>
          <w:rFonts w:ascii="Times New Roman" w:hAnsi="Times New Roman"/>
          <w:color w:val="000000" w:themeColor="text1"/>
          <w:lang w:val="da-DK" w:eastAsia="ar-SA"/>
        </w:rPr>
        <w:fldChar w:fldCharType="separate"/>
      </w:r>
      <w:r w:rsidR="008F6A90" w:rsidRPr="008F6A90">
        <w:rPr>
          <w:rFonts w:ascii="Times New Roman" w:hAnsi="Times New Roman"/>
          <w:noProof/>
          <w:color w:val="000000" w:themeColor="text1"/>
          <w:lang w:eastAsia="ar-SA"/>
        </w:rPr>
        <w:t>(El Karoui et al., 2019)</w:t>
      </w:r>
      <w:r w:rsidR="00792AD1">
        <w:rPr>
          <w:rFonts w:ascii="Times New Roman" w:hAnsi="Times New Roman"/>
          <w:color w:val="000000" w:themeColor="text1"/>
          <w:lang w:val="da-DK" w:eastAsia="ar-SA"/>
        </w:rPr>
        <w:fldChar w:fldCharType="end"/>
      </w:r>
      <w:r w:rsidR="006C7F75" w:rsidRPr="006C5B83">
        <w:rPr>
          <w:rFonts w:ascii="Times New Roman" w:hAnsi="Times New Roman"/>
          <w:color w:val="000000" w:themeColor="text1"/>
          <w:lang w:eastAsia="ar-SA"/>
        </w:rPr>
        <w:t>.</w:t>
      </w:r>
    </w:p>
    <w:p w14:paraId="166BCE6F" w14:textId="758E9E1F" w:rsidR="009455DB" w:rsidRPr="006D065E" w:rsidRDefault="007D21F3" w:rsidP="009455DB">
      <w:pPr>
        <w:spacing w:before="120" w:after="120" w:line="240" w:lineRule="auto"/>
        <w:jc w:val="both"/>
        <w:rPr>
          <w:rFonts w:ascii="Times New Roman" w:hAnsi="Times New Roman"/>
          <w:color w:val="000000" w:themeColor="text1"/>
          <w:lang w:eastAsia="ar-SA"/>
        </w:rPr>
      </w:pPr>
      <w:r w:rsidRPr="006C5B83">
        <w:rPr>
          <w:rFonts w:ascii="Times New Roman" w:eastAsia="SimSun" w:hAnsi="Times New Roman" w:cs="Calibri"/>
          <w:color w:val="000000" w:themeColor="text1"/>
          <w:lang w:eastAsia="hi-IN" w:bidi="hi-IN"/>
        </w:rPr>
        <w:t xml:space="preserve">As suggested by Oye </w:t>
      </w:r>
      <w:r w:rsidRPr="006C5B83">
        <w:rPr>
          <w:rFonts w:ascii="Times New Roman" w:eastAsia="SimSun" w:hAnsi="Times New Roman" w:cs="Calibri"/>
          <w:i/>
          <w:color w:val="000000" w:themeColor="text1"/>
          <w:lang w:eastAsia="hi-IN" w:bidi="hi-IN"/>
        </w:rPr>
        <w:t>et al</w:t>
      </w:r>
      <w:r w:rsidRPr="006C5B83">
        <w:rPr>
          <w:rFonts w:ascii="Times New Roman" w:eastAsia="SimSun" w:hAnsi="Times New Roman" w:cs="Calibri"/>
          <w:color w:val="000000" w:themeColor="text1"/>
          <w:lang w:eastAsia="hi-IN" w:bidi="hi-IN"/>
        </w:rPr>
        <w:t xml:space="preserve">. </w:t>
      </w:r>
      <w:r w:rsidR="001B2168">
        <w:rPr>
          <w:rFonts w:ascii="Times New Roman" w:eastAsia="SimSun" w:hAnsi="Times New Roman" w:cs="Calibri"/>
          <w:color w:val="000000" w:themeColor="text1"/>
          <w:lang w:eastAsia="hi-IN" w:bidi="hi-IN"/>
        </w:rPr>
        <w:fldChar w:fldCharType="begin" w:fldLock="1"/>
      </w:r>
      <w:r w:rsidR="0029457D">
        <w:rPr>
          <w:rFonts w:ascii="Times New Roman" w:eastAsia="SimSun" w:hAnsi="Times New Roman" w:cs="Calibri"/>
          <w:color w:val="000000" w:themeColor="text1"/>
          <w:lang w:eastAsia="hi-IN" w:bidi="hi-IN"/>
        </w:rPr>
        <w:instrText>ADDIN CSL_CITATION {"citationItems":[{"id":"ITEM-1","itemData":{"DOI":"10.1126/science.1254287","ISSN":"0036-8075","author":[{"dropping-particle":"","family":"Oye","given":"K. A.","non-dropping-particle":"","parse-names":false,"suffix":""},{"dropping-particle":"","family":"Esvelt","given":"K.","non-dropping-particle":"","parse-names":false,"suffix":""},{"dropping-particle":"","family":"Appleton","given":"E.","non-dropping-particle":"","parse-names":false,"suffix":""},{"dropping-particle":"","family":"Catteruccia","given":"F.","non-dropping-particle":"","parse-names":false,"suffix":""},{"dropping-particle":"","family":"Church","given":"G.","non-dropping-particle":"","parse-names":false,"suffix":""},{"dropping-particle":"","family":"Kuiken","given":"T.","non-dropping-particle":"","parse-names":false,"suffix":""},{"dropping-particle":"","family":"Lightfoot","given":"S. B.-Y.","non-dropping-particle":"","parse-names":false,"suffix":""},{"dropping-particle":"","family":"McNamara","given":"J.","non-dropping-particle":"","parse-names":false,"suffix":""},{"dropping-particle":"","family":"Smidler","given":"A.","non-dropping-particle":"","parse-names":false,"suffix":""},{"dropping-particle":"","family":"Collins","given":"J. P.","non-dropping-particle":"","parse-names":false,"suffix":""}],"container-title":"Science","id":"ITEM-1","issue":"6197","issued":{"date-parts":[["2014","8","8"]]},"page":"626-628","title":"Regulating gene drives","type":"article-journal","volume":"345"},"uris":["http://www.mendeley.com/documents/?uuid=0511c235-a877-4856-b7fd-3c44ee48b235"]}],"mendeley":{"formattedCitation":"(K. A. Oye et al., 2014)","manualFormatting":"( 2014)","plainTextFormattedCitation":"(K. A. Oye et al., 2014)","previouslyFormattedCitation":"(K. A. Oye et al., 2014)"},"properties":{"noteIndex":0},"schema":"https://github.com/citation-style-language/schema/raw/master/csl-citation.json"}</w:instrText>
      </w:r>
      <w:r w:rsidR="001B2168">
        <w:rPr>
          <w:rFonts w:ascii="Times New Roman" w:eastAsia="SimSun" w:hAnsi="Times New Roman" w:cs="Calibri"/>
          <w:color w:val="000000" w:themeColor="text1"/>
          <w:lang w:eastAsia="hi-IN" w:bidi="hi-IN"/>
        </w:rPr>
        <w:fldChar w:fldCharType="separate"/>
      </w:r>
      <w:r w:rsidR="001B2168" w:rsidRPr="001B2168">
        <w:rPr>
          <w:rFonts w:ascii="Times New Roman" w:eastAsia="SimSun" w:hAnsi="Times New Roman" w:cs="Calibri"/>
          <w:noProof/>
          <w:color w:val="000000" w:themeColor="text1"/>
          <w:lang w:eastAsia="hi-IN" w:bidi="hi-IN"/>
        </w:rPr>
        <w:t>( 2014)</w:t>
      </w:r>
      <w:r w:rsidR="001B2168">
        <w:rPr>
          <w:rFonts w:ascii="Times New Roman" w:eastAsia="SimSun" w:hAnsi="Times New Roman" w:cs="Calibri"/>
          <w:color w:val="000000" w:themeColor="text1"/>
          <w:lang w:eastAsia="hi-IN" w:bidi="hi-IN"/>
        </w:rPr>
        <w:fldChar w:fldCharType="end"/>
      </w:r>
      <w:r w:rsidRPr="36140518">
        <w:rPr>
          <w:rFonts w:ascii="Times New Roman" w:eastAsia="SimSun" w:hAnsi="Times New Roman" w:cs="Calibri"/>
          <w:color w:val="000000" w:themeColor="text1"/>
          <w:lang w:eastAsia="hi-IN" w:bidi="hi-IN"/>
        </w:rPr>
        <w:t xml:space="preserve">, for emerging technologies that affect the global commons, concepts and applications should be published in advance of construction, testing, and release. This lead time would enable public discussion of environmental and security concerns, research into areas of uncertainty, and development and testing of safety features. It would also allow adaptation of regulations and conventions in light of emerging information on benefits, risks, policy gaps, and, more importantly, it would allow broadly inclusive and well-informed public discussion to determine if, when, and how </w:t>
      </w:r>
      <w:r>
        <w:rPr>
          <w:rFonts w:ascii="Times New Roman" w:eastAsia="SimSun" w:hAnsi="Times New Roman" w:cs="Calibri"/>
          <w:color w:val="000000" w:themeColor="text1"/>
          <w:lang w:eastAsia="hi-IN" w:bidi="hi-IN"/>
        </w:rPr>
        <w:t>some applications (e</w:t>
      </w:r>
      <w:r w:rsidR="00E361F0">
        <w:rPr>
          <w:rFonts w:ascii="Times New Roman" w:eastAsia="SimSun" w:hAnsi="Times New Roman" w:cs="Calibri"/>
          <w:color w:val="000000" w:themeColor="text1"/>
          <w:lang w:eastAsia="hi-IN" w:bidi="hi-IN"/>
        </w:rPr>
        <w:t>.g.</w:t>
      </w:r>
      <w:r>
        <w:rPr>
          <w:rFonts w:ascii="Times New Roman" w:eastAsia="SimSun" w:hAnsi="Times New Roman" w:cs="Calibri"/>
          <w:color w:val="000000" w:themeColor="text1"/>
          <w:lang w:eastAsia="hi-IN" w:bidi="hi-IN"/>
        </w:rPr>
        <w:t xml:space="preserve"> </w:t>
      </w:r>
      <w:r w:rsidRPr="36140518">
        <w:rPr>
          <w:rFonts w:ascii="Times New Roman" w:eastAsia="SimSun" w:hAnsi="Times New Roman" w:cs="Calibri"/>
          <w:color w:val="000000" w:themeColor="text1"/>
          <w:lang w:eastAsia="hi-IN" w:bidi="hi-IN"/>
        </w:rPr>
        <w:t>engineered gene drives</w:t>
      </w:r>
      <w:r>
        <w:rPr>
          <w:rFonts w:ascii="Times New Roman" w:eastAsia="SimSun" w:hAnsi="Times New Roman" w:cs="Calibri"/>
          <w:color w:val="000000" w:themeColor="text1"/>
          <w:lang w:eastAsia="hi-IN" w:bidi="hi-IN"/>
        </w:rPr>
        <w:t>)</w:t>
      </w:r>
      <w:r w:rsidRPr="36140518">
        <w:rPr>
          <w:rFonts w:ascii="Times New Roman" w:eastAsia="SimSun" w:hAnsi="Times New Roman" w:cs="Calibri"/>
          <w:color w:val="000000" w:themeColor="text1"/>
          <w:lang w:eastAsia="hi-IN" w:bidi="hi-IN"/>
        </w:rPr>
        <w:t xml:space="preserve"> should be used </w:t>
      </w:r>
      <w:r w:rsidR="007F403E">
        <w:rPr>
          <w:rFonts w:ascii="Times New Roman" w:eastAsia="SimSun" w:hAnsi="Times New Roman" w:cs="Calibri"/>
          <w:color w:val="000000" w:themeColor="text1"/>
          <w:lang w:eastAsia="hi-IN" w:bidi="hi-IN"/>
        </w:rPr>
        <w:fldChar w:fldCharType="begin" w:fldLock="1"/>
      </w:r>
      <w:r w:rsidR="007F403E">
        <w:rPr>
          <w:rFonts w:ascii="Times New Roman" w:eastAsia="SimSun" w:hAnsi="Times New Roman" w:cs="Calibri"/>
          <w:color w:val="000000" w:themeColor="text1"/>
          <w:lang w:eastAsia="hi-IN" w:bidi="hi-IN"/>
        </w:rPr>
        <w:instrText>ADDIN CSL_CITATION {"citationItems":[{"id":"ITEM-1","itemData":{"author":[{"dropping-particle":"","family":"Secretariat of the Convention on Biological Diversity","given":"","non-dropping-particle":"","parse-names":false,"suffix":""}],"id":"ITEM-1","issued":{"date-parts":[["2015"]]},"page":"19","title":"Report of the Ad Hoc Technical Expert Group on Synthetic Biology","type":"article"},"uris":["http://www.mendeley.com/documents/?uuid=cf2840a9-2b9e-4937-bb8f-607ee2d9469f"]}],"mendeley":{"formattedCitation":"(Secretariat of the Convention on Biological Diversity, 2015a)","manualFormatting":"(Secretariat of the Convention on Biological Diversity, 2015)","plainTextFormattedCitation":"(Secretariat of the Convention on Biological Diversity, 2015a)","previouslyFormattedCitation":"(Secretariat of the Convention on Biological Diversity, 2015a)"},"properties":{"noteIndex":0},"schema":"https://github.com/citation-style-language/schema/raw/master/csl-citation.json"}</w:instrText>
      </w:r>
      <w:r w:rsidR="007F403E">
        <w:rPr>
          <w:rFonts w:ascii="Times New Roman" w:eastAsia="SimSun" w:hAnsi="Times New Roman" w:cs="Calibri"/>
          <w:color w:val="000000" w:themeColor="text1"/>
          <w:lang w:eastAsia="hi-IN" w:bidi="hi-IN"/>
        </w:rPr>
        <w:fldChar w:fldCharType="separate"/>
      </w:r>
      <w:r w:rsidR="007F403E" w:rsidRPr="007F403E">
        <w:rPr>
          <w:rFonts w:ascii="Times New Roman" w:eastAsia="SimSun" w:hAnsi="Times New Roman" w:cs="Calibri"/>
          <w:noProof/>
          <w:color w:val="000000" w:themeColor="text1"/>
          <w:lang w:eastAsia="hi-IN" w:bidi="hi-IN"/>
        </w:rPr>
        <w:t>(Secretariat of the Convention on Biological Diversity, 2015)</w:t>
      </w:r>
      <w:r w:rsidR="007F403E">
        <w:rPr>
          <w:rFonts w:ascii="Times New Roman" w:eastAsia="SimSun" w:hAnsi="Times New Roman" w:cs="Calibri"/>
          <w:color w:val="000000" w:themeColor="text1"/>
          <w:lang w:eastAsia="hi-IN" w:bidi="hi-IN"/>
        </w:rPr>
        <w:fldChar w:fldCharType="end"/>
      </w:r>
      <w:r w:rsidR="00C36540">
        <w:rPr>
          <w:rFonts w:ascii="Times New Roman" w:eastAsia="SimSun" w:hAnsi="Times New Roman" w:cs="Calibri"/>
          <w:color w:val="000000" w:themeColor="text1"/>
          <w:lang w:eastAsia="hi-IN" w:bidi="hi-IN"/>
        </w:rPr>
        <w:t xml:space="preserve">; </w:t>
      </w:r>
      <w:r w:rsidR="00C60D44">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{"citationItems":[{"id":"ITEM-1","itemData":{"author":[{"dropping-particle":"","family":"Secretariat of the Convention on Biological Diversity","given":"","non-dropping-particle":"","parse-names":false,"suffix":""}],"id":"ITEM-1","issued":{"date-parts":[["2018","8"]]},"publisher-place":"Montreal","title":"Socio-economic considerations (Article 26). CBD/CP/MOP/9/10.","type":"report"},"uris":["http://www.mendeley.com/documents/?uuid=5a14d554-dcfb-46a6-81b3-ac8c7c6ab96b"]}],"mendeley":{"formattedCitation":"(Secretariat of the Convention on Biological Diversity, 2018)","manualFormatting":"Secretariat of the Convention on Biological Diversity, 2018)","plainTextFormattedCitation":"(Secretariat of the Convention on Biological Diversity, 2018)","previouslyFormattedCitation":"(Secretariat of the Convention on Biological Diversity, 2018)"},"properties":{"noteIndex":0},"schema":"https://github.com/citation-style-language/schema/raw/master/csl-citation.json"}</w:instrText>
      </w:r>
      <w:r w:rsidR="00C60D44">
        <w:rPr>
          <w:rFonts w:ascii="Times New Roman" w:eastAsia="SimSun" w:hAnsi="Times New Roman" w:cs="Calibri"/>
          <w:color w:val="000000" w:themeColor="text1"/>
          <w:lang w:eastAsia="hi-IN" w:bidi="hi-IN"/>
        </w:rPr>
        <w:fldChar w:fldCharType="separate"/>
      </w:r>
      <w:r w:rsidR="00C60D44" w:rsidRPr="00C60D44">
        <w:rPr>
          <w:rFonts w:ascii="Times New Roman" w:eastAsia="SimSun" w:hAnsi="Times New Roman" w:cs="Calibri"/>
          <w:noProof/>
          <w:color w:val="000000" w:themeColor="text1"/>
          <w:lang w:eastAsia="hi-IN" w:bidi="hi-IN"/>
        </w:rPr>
        <w:t>Secretariat of the Convention on Biological Diversity, 2018)</w:t>
      </w:r>
      <w:r w:rsidR="00C60D44">
        <w:rPr>
          <w:rFonts w:ascii="Times New Roman" w:eastAsia="SimSun" w:hAnsi="Times New Roman" w:cs="Calibri"/>
          <w:color w:val="000000" w:themeColor="text1"/>
          <w:lang w:eastAsia="hi-IN" w:bidi="hi-IN"/>
        </w:rPr>
        <w:fldChar w:fldCharType="end"/>
      </w:r>
      <w:r w:rsidRPr="36140518">
        <w:rPr>
          <w:rFonts w:ascii="Times New Roman" w:eastAsia="SimSun" w:hAnsi="Times New Roman" w:cs="Calibri"/>
          <w:color w:val="000000" w:themeColor="text1"/>
          <w:lang w:eastAsia="hi-IN" w:bidi="hi-IN"/>
        </w:rPr>
        <w:t xml:space="preserve">. This same approach continues to be echoed, for example in a recent survey of experts </w:t>
      </w:r>
      <w:r w:rsidR="007F403E">
        <w:rPr>
          <w:rFonts w:ascii="Times New Roman" w:eastAsia="SimSun" w:hAnsi="Times New Roman" w:cs="Calibri"/>
          <w:color w:val="000000" w:themeColor="text1"/>
          <w:lang w:eastAsia="hi-IN" w:bidi="hi-IN"/>
        </w:rPr>
        <w:fldChar w:fldCharType="begin" w:fldLock="1"/>
      </w:r>
      <w:r w:rsidR="00D97874">
        <w:rPr>
          <w:rFonts w:ascii="Times New Roman" w:eastAsia="SimSun" w:hAnsi="Times New Roman" w:cs="Calibri"/>
          <w:color w:val="000000" w:themeColor="text1"/>
          <w:lang w:eastAsia="hi-IN" w:bidi="hi-IN"/>
        </w:rPr>
        <w:instrText>ADDIN CSL_CITATION {"citationItems":[{"id":"ITEM-1","itemData":{"DOI":"10.1016/j.crbiot.2019.08.001","ISSN":"25902628","author":[{"dropping-particle":"","family":"Lassoued","given":"Rim","non-dropping-particle":"","parse-names":false,"suffix":""},{"dropping-particle":"","family":"Macall","given":"Diego Maximiliano","non-dropping-particle":"","parse-names":false,"suffix":""},{"dropping-particle":"","family":"Smyth","given":"Stuart J.","non-dropping-particle":"","parse-names":false,"suffix":""},{"dropping-particle":"","family":"Phillips","given":"Peter W.B.","non-dropping-particle":"","parse-names":false,"suffix":""},{"dropping-particle":"","family":"Hesseln","given":"Hayley","non-dropping-particle":"","parse-names":false,"suffix":""}],"container-title":"Current Research in Biotechnology","id":"ITEM-1","issued":{"date-parts":[["2019","11"]]},"page":"11-21","title":"Risk and safety considerations of genome edited crops: Expert opinion","type":"article-journal","volume":"1"},"uris":["http://www.mendeley.com/documents/?uuid=8ef46a34-72c4-4a94-bbda-0414ecf765d1"]}],"mendeley":{"formattedCitation":"(Lassoued et al., 2019)","plainTextFormattedCitation":"(Lassoued et al., 2019)","previouslyFormattedCitation":"(Lassoued et al., 2019)"},"properties":{"noteIndex":0},"schema":"https://github.com/citation-style-language/schema/raw/master/csl-citation.json"}</w:instrText>
      </w:r>
      <w:r w:rsidR="007F403E">
        <w:rPr>
          <w:rFonts w:ascii="Times New Roman" w:eastAsia="SimSun" w:hAnsi="Times New Roman" w:cs="Calibri"/>
          <w:color w:val="000000" w:themeColor="text1"/>
          <w:lang w:eastAsia="hi-IN" w:bidi="hi-IN"/>
        </w:rPr>
        <w:fldChar w:fldCharType="separate"/>
      </w:r>
      <w:r w:rsidR="007F403E" w:rsidRPr="007F403E">
        <w:rPr>
          <w:rFonts w:ascii="Times New Roman" w:eastAsia="SimSun" w:hAnsi="Times New Roman" w:cs="Calibri"/>
          <w:noProof/>
          <w:color w:val="000000" w:themeColor="text1"/>
          <w:lang w:eastAsia="hi-IN" w:bidi="hi-IN"/>
        </w:rPr>
        <w:t>(Lassoued et al., 2019)</w:t>
      </w:r>
      <w:r w:rsidR="007F403E">
        <w:rPr>
          <w:rFonts w:ascii="Times New Roman" w:eastAsia="SimSun" w:hAnsi="Times New Roman" w:cs="Calibri"/>
          <w:color w:val="000000" w:themeColor="text1"/>
          <w:lang w:eastAsia="hi-IN" w:bidi="hi-IN"/>
        </w:rPr>
        <w:fldChar w:fldCharType="end"/>
      </w:r>
      <w:r w:rsidRPr="36140518">
        <w:rPr>
          <w:rFonts w:ascii="Times New Roman" w:eastAsia="SimSun" w:hAnsi="Times New Roman" w:cs="Calibri"/>
          <w:color w:val="000000" w:themeColor="text1"/>
          <w:lang w:eastAsia="hi-IN" w:bidi="hi-IN"/>
        </w:rPr>
        <w:t xml:space="preserve"> in which the majority indicated that the regulations for health and safety, followed by export markets, consumers, and the media play a major role in determining where and how New Breeding Techniques</w:t>
      </w:r>
      <w:r w:rsidR="00A877FE">
        <w:rPr>
          <w:rStyle w:val="FootnoteReference"/>
          <w:rFonts w:ascii="Times New Roman" w:eastAsia="SimSun" w:hAnsi="Times New Roman" w:cs="Calibri"/>
          <w:color w:val="000000" w:themeColor="text1"/>
          <w:lang w:eastAsia="hi-IN" w:bidi="hi-IN"/>
        </w:rPr>
        <w:footnoteReference w:id="27"/>
      </w:r>
      <w:r w:rsidR="00677227">
        <w:rPr>
          <w:rFonts w:ascii="Times New Roman" w:eastAsia="SimSun" w:hAnsi="Times New Roman" w:cs="Calibri"/>
          <w:color w:val="000000" w:themeColor="text1"/>
          <w:lang w:eastAsia="hi-IN" w:bidi="hi-IN"/>
        </w:rPr>
        <w:t xml:space="preserve"> </w:t>
      </w:r>
      <w:r w:rsidR="00B511BC">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author":[{"dropping-particle":"","family":"Seyran","given":"Esra","non-dropping-particle":"","parse-names":false,"suffix":""},{"dropping-particle":"","family":"Craig","given":"Wendy","non-dropping-particle":"","parse-names":false,"suffix":""}],"container-title":"AgBioForum","id":"ITEM-1","issue":"1","issued":{"date-parts":[["2018"]]},"title":"New Breeding Techniques and Their Possible Regulation – AgBioForum","type":"article-journal","volume":"21"},"uris":["http://www.mendeley.com/documents/?uuid=e0737d0a-2c56-4687-a299-6ef0456c47d7"]},{"id":"ITEM-2","itemData":{"DOI":"10.9734/ajb2t/2020/v6i330083","abstract":"A new set of breeding techniques, referred to as New Breeding Techniques developed in the last two decades have potential for enhancing improved productivity in crop and animal breeding globally. These include site directed nucleases based genomic editing procedures-CRISPR and Cas associated proteins, Zinc Finger Nucleases, Meganucleases/Homing Endonucleases and Transcription- Activator Like-Effector Nucleases for genome editing and other technologies including- Oligonucleotide-Directed Mutagenesis, Cisgenesis and intragenesis, RNA-Dependent DNA methylation; Transgrafting, Agroinfiltration, Reverse breeding. There are ongoing global debates on whether the processes of and products emerging from these technologies should be regulated as genetically modified organisms or approved as conventional products. Decisions on whether to regulate as GMOs are based both on understanding of the molecular basis of their development and if the GMO intermediate step was used. For example- cisgenesis, can be developed using Agrobacterium tumefaciens methods of transformation, a process used by GMO but if the selection is properly conducted the intermediate GMO elements will be eliminated and the final product will be identical to the conventionally developed crops. Others like Site Directed Nuclease 3 are regulated as GMOs in countries such as United State of America, Canada, European Union, Argentina, Australia. Progress in genome editing research, testing of genome edited bacterial blight resistant rice, development of Guidelines for regulating new breeding techniques or genome editing in Africa is also covered with special reference to South Africa, Kenya and Nigeria. Science- and evidence-based approach to regulation of new breeding techniques among regulators and policy makers should be strongly supported.","author":[{"dropping-particle":"","family":"Obukosia","given":"Silas","non-dropping-particle":"","parse-names":false,"suffix":""},{"dropping-particle":"","family":"Akinbo","given":"Olalekan","non-dropping-particle":"","parse-names":false,"suffix":""},{"dropping-particle":"","family":"Sinebo","given":"Woldeyesus","non-dropping-particle":"","parse-names":false,"suffix":""},{"dropping-particle":"","family":"Savadogo","given":"Moussa","non-dropping-particle":"","parse-names":false,"suffix":""},{"dropping-particle":"","family":"Timpo","given":"Samuel","non-dropping-particle":"","parse-names":false,"suffix":""},{"dropping-particle":"","family":"Adeyemo","given":"Modupe","non-dropping-particle":"","parse-names":false,"suffix":""},{"dropping-particle":"","family":"Akile","given":"Sunday","non-dropping-particle":"","parse-names":false,"suffix":""},{"dropping-particle":"","family":"Kebere","given":"Jean","non-dropping-particle":"","parse-names":false,"suffix":""},{"dropping-particle":"","family":"Ouedraogo","given":"Jeremy","non-dropping-particle":"","parse-names":false,"suffix":""},{"dropping-particle":"","family":"Ambali","given":"Aggrey","non-dropping-particle":"","parse-names":false,"suffix":""},{"dropping-particle":"","family":"Makinde","given":"Diran","non-dropping-particle":"","parse-names":false,"suffix":""}],"container-title":"Asian Journal of Biotechnology and Bioresource Technology","id":"ITEM-2","issue":"3","issued":{"date-parts":[["2020","11"]]},"page":"18-35","publisher":"Sciencedomain International","title":"Update of Regulatory Options of New Breeding Techniques and Biosafety Approaches among Selected Countries: A Review","type":"article-journal","volume":"6"},"uris":["http://www.mendeley.com/documents/?uuid=25e22102-97be-4150-b9be-e1e0186e4827"]}],"mendeley":{"formattedCitation":"(Obukosia et al., 2020; Seyran &amp; Craig, 2018)","plainTextFormattedCitation":"(Obukosia et al., 2020; Seyran &amp; Craig, 2018)","previouslyFormattedCitation":"(Obukosia et al., 2020; Seyran &amp; Craig, 2018)"},"properties":{"noteIndex":0},"schema":"https://github.com/citation-style-language/schema/raw/master/csl-citation.json"}</w:instrText>
      </w:r>
      <w:r w:rsidR="00B511BC">
        <w:rPr>
          <w:rFonts w:ascii="Times New Roman" w:eastAsia="SimSun" w:hAnsi="Times New Roman" w:cs="Calibri"/>
          <w:color w:val="000000" w:themeColor="text1"/>
          <w:lang w:eastAsia="hi-IN" w:bidi="hi-IN"/>
        </w:rPr>
        <w:fldChar w:fldCharType="separate"/>
      </w:r>
      <w:r w:rsidR="00DB3633" w:rsidRPr="00DB3633">
        <w:rPr>
          <w:rFonts w:ascii="Times New Roman" w:eastAsia="SimSun" w:hAnsi="Times New Roman" w:cs="Calibri"/>
          <w:noProof/>
          <w:color w:val="000000" w:themeColor="text1"/>
          <w:lang w:eastAsia="hi-IN" w:bidi="hi-IN"/>
        </w:rPr>
        <w:t>(Obukosia et al., 2020; Seyran &amp; Craig, 2018)</w:t>
      </w:r>
      <w:r w:rsidR="00B511BC">
        <w:rPr>
          <w:rFonts w:ascii="Times New Roman" w:eastAsia="SimSun" w:hAnsi="Times New Roman" w:cs="Calibri"/>
          <w:color w:val="000000" w:themeColor="text1"/>
          <w:lang w:eastAsia="hi-IN" w:bidi="hi-IN"/>
        </w:rPr>
        <w:fldChar w:fldCharType="end"/>
      </w:r>
      <w:r w:rsidRPr="36140518">
        <w:rPr>
          <w:rFonts w:ascii="Times New Roman" w:eastAsia="SimSun" w:hAnsi="Times New Roman" w:cs="Calibri"/>
          <w:color w:val="000000" w:themeColor="text1"/>
          <w:lang w:eastAsia="hi-IN" w:bidi="hi-IN"/>
        </w:rPr>
        <w:t>, including genome editing, will be developed and used in agriculture. Society as a whole therefore has a key role to play in helping decision-makers and regulators better define specific protection goals (or “assessment endpoints”) i.e. the things that society doesn’t want harmed</w:t>
      </w:r>
      <w:r>
        <w:rPr>
          <w:rFonts w:ascii="Times New Roman" w:eastAsia="SimSun" w:hAnsi="Times New Roman" w:cs="Calibri"/>
          <w:color w:val="000000" w:themeColor="text1"/>
          <w:lang w:eastAsia="hi-IN" w:bidi="hi-IN"/>
        </w:rPr>
        <w:t xml:space="preserve"> (</w:t>
      </w:r>
      <w:r w:rsidRPr="00577E98">
        <w:rPr>
          <w:rFonts w:ascii="Times New Roman" w:eastAsia="SimSun" w:hAnsi="Times New Roman" w:cs="Calibri"/>
          <w:color w:val="000000" w:themeColor="text1"/>
          <w:lang w:eastAsia="hi-IN" w:bidi="hi-IN"/>
        </w:rPr>
        <w:t>Se</w:t>
      </w:r>
      <w:r w:rsidRPr="00201A38">
        <w:rPr>
          <w:rFonts w:ascii="Times New Roman" w:eastAsia="SimSun" w:hAnsi="Times New Roman" w:cs="Calibri"/>
          <w:color w:val="000000" w:themeColor="text1"/>
          <w:lang w:eastAsia="hi-IN" w:bidi="hi-IN"/>
        </w:rPr>
        <w:t xml:space="preserve">ction </w:t>
      </w:r>
      <w:r w:rsidR="00031D4D">
        <w:rPr>
          <w:rFonts w:ascii="Times New Roman" w:eastAsia="SimSun" w:hAnsi="Times New Roman" w:cs="Calibri"/>
          <w:color w:val="000000" w:themeColor="text1"/>
          <w:lang w:eastAsia="hi-IN" w:bidi="hi-IN"/>
        </w:rPr>
        <w:t>6</w:t>
      </w:r>
      <w:r w:rsidRPr="00577E98">
        <w:rPr>
          <w:rFonts w:ascii="Times New Roman" w:eastAsia="SimSun" w:hAnsi="Times New Roman" w:cs="Calibri"/>
          <w:color w:val="000000" w:themeColor="text1"/>
          <w:lang w:eastAsia="hi-IN" w:bidi="hi-IN"/>
        </w:rPr>
        <w:t>.</w:t>
      </w:r>
      <w:r>
        <w:rPr>
          <w:rFonts w:ascii="Times New Roman" w:eastAsia="SimSun" w:hAnsi="Times New Roman" w:cs="Calibri"/>
          <w:color w:val="000000" w:themeColor="text1"/>
          <w:lang w:eastAsia="hi-IN" w:bidi="hi-IN"/>
        </w:rPr>
        <w:t>)</w:t>
      </w:r>
      <w:r w:rsidRPr="36140518">
        <w:rPr>
          <w:rFonts w:ascii="Times New Roman" w:eastAsia="SimSun" w:hAnsi="Times New Roman" w:cs="Calibri"/>
          <w:color w:val="000000" w:themeColor="text1"/>
          <w:lang w:eastAsia="hi-IN" w:bidi="hi-IN"/>
        </w:rPr>
        <w:t>, that then dictate</w:t>
      </w:r>
      <w:r w:rsidR="00C90B5A">
        <w:rPr>
          <w:rFonts w:ascii="Times New Roman" w:eastAsia="SimSun" w:hAnsi="Times New Roman" w:cs="Calibri"/>
          <w:color w:val="000000" w:themeColor="text1"/>
          <w:lang w:eastAsia="hi-IN" w:bidi="hi-IN"/>
        </w:rPr>
        <w:t>s</w:t>
      </w:r>
      <w:r w:rsidRPr="36140518">
        <w:rPr>
          <w:rFonts w:ascii="Times New Roman" w:eastAsia="SimSun" w:hAnsi="Times New Roman" w:cs="Calibri"/>
          <w:color w:val="000000" w:themeColor="text1"/>
          <w:lang w:eastAsia="hi-IN" w:bidi="hi-IN"/>
        </w:rPr>
        <w:t xml:space="preserve"> the characteristics of new products or technologies from synthetic biology to be assessed</w:t>
      </w:r>
      <w:r w:rsidR="00C01348">
        <w:rPr>
          <w:rFonts w:ascii="Times New Roman" w:eastAsia="SimSun" w:hAnsi="Times New Roman" w:cs="Calibri"/>
          <w:color w:val="000000" w:themeColor="text1"/>
          <w:lang w:eastAsia="hi-IN" w:bidi="hi-IN"/>
        </w:rPr>
        <w:t xml:space="preserve"> </w:t>
      </w:r>
      <w:r w:rsidR="000666CB">
        <w:rPr>
          <w:rFonts w:ascii="Times New Roman" w:eastAsia="SimSun" w:hAnsi="Times New Roman" w:cs="Calibri"/>
          <w:color w:val="000000" w:themeColor="text1"/>
          <w:lang w:eastAsia="hi-IN" w:bidi="hi-IN"/>
        </w:rPr>
        <w:t xml:space="preserve">both scientifically </w:t>
      </w:r>
      <w:r w:rsidR="000324F9">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{"citationItems":[{"id":"ITEM-1","itemData":{"DOI":"10.1017/9781316585269.004","ISBN":"9781316585269","abstract":"© Cambridge University Press 2017. The first transgenic plants were described in 1983, and, since then, the phased commercialisation of transgenic (or ‘genetically modified’; GM) organisms has increased to the extent that, 30 years later, 181.5 million hectares (Mha) of GM crops were cultivated (James, 2014; Figure 3.1). In addition, products with more and more complex gene–trait combinations (e.g., stacked events) are also now reaching the later stages of product development. Estimates show that 43.7 Mha were planted to stacked events (i.e., events with multiple trait-related transgenes) in 2012, accounting for more than 26% of the 170.3 Mha of GM crops planted worldwide that year (James, 2012). The increasing number of GM traits in recent stacked events has set the trend for the next generation of GM crops. It is estimated that, by the end of 2015, for maize alone, 24 single-trait events will have been commercialised. This potentially translates to over 2,000 triple-stacks and over 12,000 quadruple-stacks that may enter the pipeline (Stein and Rodriguez-Cerezo, 2009). Future stacks are likely to involve not just multiple traits, but the combination of these traits to engineer metabolic pathways and even to introduce a number of pathways into an organism (Halpin, 2005; Naqvi et al., 2009; Que et al., 2010). This demonstrates how GM organisms (GMOs) are becoming more complex, and underlines the need to have efficient regulatory mechanisms to ensure timely decision-making. In most countries, GMOs are subject to regulation. Each of the key GMO developments to date has therefore been overseen by an international regulatory environment which itself has undergone significant developments (Figure 3.2). The international guidelines highlighted in Figure 3.2 are similar in their approach to what a risk assessment should comprise, in that they all agree that it should be a structured, reasoned approach, based on scientific/technical evidence, for considering the chance of harm from activities with a GMO. Risk assessments should aim to identify, characterise and evaluate risks to the health and safety of people or to the environment from activities with GMOs. To do so, they should identify risk by considering what could go wrong and how harm might occur, whilst the identified risk should be characterised by considering how serious the harm could be (consequences) and how likely it is that such harm could occur in the context of the case (Gray, 2012).","author":[{"dropping-particle":"","family":"Craig","given":"W.","non-dropping-particle":"","parse-names":false,"suffix":""},{"dropping-particle":"","family":"Ndolo","given":"D.O.","non-dropping-particle":"","parse-names":false,"suffix":""},{"dropping-particle":"","family":"Tepfer","given":"M.","non-dropping-particle":"","parse-names":false,"suffix":""}],"container-title":"Genetically Modified Organisms in Developing Countries: Risk Analysis and Governance","id":"ITEM-1","issued":{"date-parts":[["2017"]]},"title":"A strategy for integrating science into regulatory decision-making for GMOs","type":"book"},"uris":["http://www.mendeley.com/documents/?uuid=5aaead6d-9f69-49f8-b587-c918ad92bce5"]}],"mendeley":{"formattedCitation":"(W. Craig et al., 2017)","manualFormatting":"(Craig et al., 2017)","plainTextFormattedCitation":"(W. Craig et al., 2017)","previouslyFormattedCitation":"(W. Craig et al., 2017)"},"properties":{"noteIndex":0},"schema":"https://github.com/citation-style-language/schema/raw/master/csl-citation.json"}</w:instrText>
      </w:r>
      <w:r w:rsidR="000324F9">
        <w:rPr>
          <w:rFonts w:ascii="Times New Roman" w:eastAsia="SimSun" w:hAnsi="Times New Roman" w:cs="Calibri"/>
          <w:color w:val="000000" w:themeColor="text1"/>
          <w:lang w:eastAsia="hi-IN" w:bidi="hi-IN"/>
        </w:rPr>
        <w:fldChar w:fldCharType="separate"/>
      </w:r>
      <w:r w:rsidR="000324F9" w:rsidRPr="000324F9">
        <w:rPr>
          <w:rFonts w:ascii="Times New Roman" w:eastAsia="SimSun" w:hAnsi="Times New Roman" w:cs="Calibri"/>
          <w:noProof/>
          <w:color w:val="000000" w:themeColor="text1"/>
          <w:lang w:eastAsia="hi-IN" w:bidi="hi-IN"/>
        </w:rPr>
        <w:t>(Craig et al., 2017)</w:t>
      </w:r>
      <w:r w:rsidR="000324F9">
        <w:rPr>
          <w:rFonts w:ascii="Times New Roman" w:eastAsia="SimSun" w:hAnsi="Times New Roman" w:cs="Calibri"/>
          <w:color w:val="000000" w:themeColor="text1"/>
          <w:lang w:eastAsia="hi-IN" w:bidi="hi-IN"/>
        </w:rPr>
        <w:fldChar w:fldCharType="end"/>
      </w:r>
      <w:r w:rsidR="000666CB">
        <w:rPr>
          <w:rFonts w:ascii="Times New Roman" w:eastAsia="SimSun" w:hAnsi="Times New Roman" w:cs="Calibri"/>
          <w:color w:val="000000" w:themeColor="text1"/>
          <w:lang w:eastAsia="hi-IN" w:bidi="hi-IN"/>
        </w:rPr>
        <w:t xml:space="preserve"> and socio-economically </w:t>
      </w:r>
      <w:r w:rsidR="000666CB">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{"citationItems":[{"id":"ITEM-1","itemData":{"author":[{"dropping-particle":"","family":"Secretariat of the Convention on Biological Diversity","given":"","non-dropping-particle":"","parse-names":false,"suffix":""}],"id":"ITEM-1","issued":{"date-parts":[["2018","8"]]},"publisher-place":"Montreal","title":"Socio-economic considerations (Article 26). CBD/CP/MOP/9/10.","type":"report"},"uris":["http://www.mendeley.com/documents/?uuid=5a14d554-dcfb-46a6-81b3-ac8c7c6ab96b"]}],"mendeley":{"formattedCitation":"(Secretariat of the Convention on Biological Diversity, 2018)","plainTextFormattedCitation":"(Secretariat of the Convention on Biological Diversity, 2018)","previouslyFormattedCitation":"(Secretariat of the Convention on Biological Diversity, 2018)"},"properties":{"noteIndex":0},"schema":"https://github.com/citation-style-language/schema/raw/master/csl-citation.json"}</w:instrText>
      </w:r>
      <w:r w:rsidR="000666CB">
        <w:rPr>
          <w:rFonts w:ascii="Times New Roman" w:eastAsia="SimSun" w:hAnsi="Times New Roman" w:cs="Calibri"/>
          <w:color w:val="000000" w:themeColor="text1"/>
          <w:lang w:eastAsia="hi-IN" w:bidi="hi-IN"/>
        </w:rPr>
        <w:fldChar w:fldCharType="separate"/>
      </w:r>
      <w:r w:rsidR="000666CB" w:rsidRPr="000666CB">
        <w:rPr>
          <w:rFonts w:ascii="Times New Roman" w:eastAsia="SimSun" w:hAnsi="Times New Roman" w:cs="Calibri"/>
          <w:noProof/>
          <w:color w:val="000000" w:themeColor="text1"/>
          <w:lang w:eastAsia="hi-IN" w:bidi="hi-IN"/>
        </w:rPr>
        <w:t>(Secretariat of the Convention on Biological Diversity, 2018)</w:t>
      </w:r>
      <w:r w:rsidR="000666CB">
        <w:rPr>
          <w:rFonts w:ascii="Times New Roman" w:eastAsia="SimSun" w:hAnsi="Times New Roman" w:cs="Calibri"/>
          <w:color w:val="000000" w:themeColor="text1"/>
          <w:lang w:eastAsia="hi-IN" w:bidi="hi-IN"/>
        </w:rPr>
        <w:fldChar w:fldCharType="end"/>
      </w:r>
      <w:r w:rsidRPr="36140518">
        <w:rPr>
          <w:rFonts w:ascii="Times New Roman" w:eastAsia="SimSun" w:hAnsi="Times New Roman" w:cs="Calibri"/>
          <w:color w:val="000000" w:themeColor="text1"/>
          <w:lang w:eastAsia="hi-IN" w:bidi="hi-IN"/>
        </w:rPr>
        <w:t xml:space="preserve">. Then, once the degree of potential harm from the specific case has been assessed, society can once more be key to guiding decision-makers and regulators </w:t>
      </w:r>
      <w:r w:rsidRPr="005502E2">
        <w:rPr>
          <w:rFonts w:ascii="Times New Roman" w:eastAsia="SimSun" w:hAnsi="Times New Roman" w:cs="Calibri"/>
          <w:i/>
          <w:color w:val="000000" w:themeColor="text1"/>
          <w:lang w:eastAsia="hi-IN" w:bidi="hi-IN"/>
        </w:rPr>
        <w:t>a priori</w:t>
      </w:r>
      <w:r w:rsidRPr="36140518">
        <w:rPr>
          <w:rFonts w:ascii="Times New Roman" w:eastAsia="SimSun" w:hAnsi="Times New Roman" w:cs="Calibri"/>
          <w:color w:val="000000" w:themeColor="text1"/>
          <w:lang w:eastAsia="hi-IN" w:bidi="hi-IN"/>
        </w:rPr>
        <w:t xml:space="preserve"> in explicitly determining the extent to which that harm may be acceptable (or not) before any authorisation is considered</w:t>
      </w:r>
      <w:r w:rsidR="003001EC">
        <w:rPr>
          <w:rFonts w:ascii="Times New Roman" w:eastAsia="SimSun" w:hAnsi="Times New Roman" w:cs="Calibri"/>
          <w:color w:val="000000" w:themeColor="text1"/>
          <w:lang w:eastAsia="hi-IN" w:bidi="hi-IN"/>
        </w:rPr>
        <w:t xml:space="preserve"> </w:t>
      </w:r>
      <w:r w:rsidR="00D97874">
        <w:rPr>
          <w:rFonts w:ascii="Times New Roman" w:eastAsia="SimSun" w:hAnsi="Times New Roman" w:cs="Calibri"/>
          <w:color w:val="000000" w:themeColor="text1"/>
          <w:lang w:eastAsia="hi-IN" w:bidi="hi-IN"/>
        </w:rPr>
        <w:fldChar w:fldCharType="begin" w:fldLock="1"/>
      </w:r>
      <w:r w:rsidR="00F80C6F">
        <w:rPr>
          <w:rFonts w:ascii="Times New Roman" w:eastAsia="SimSun" w:hAnsi="Times New Roman" w:cs="Calibri"/>
          <w:color w:val="000000" w:themeColor="text1"/>
          <w:lang w:eastAsia="hi-IN" w:bidi="hi-IN"/>
        </w:rPr>
        <w:instrText>ADDIN CSL_CITATION {"citationItems":[{"id":"ITEM-1","itemData":{"ISBN":"9781742419428","author":[{"dropping-particle":"","family":"Office of the Gene Technology Regulator","given":"","non-dropping-particle":"","parse-names":false,"suffix":""}],"id":"ITEM-1","issued":{"date-parts":[["2013"]]},"title":"Risk Analysis Framework 2013","type":"article"},"uris":["http://www.mendeley.com/documents/?uuid=88ce6230-1448-41f3-a9b2-a2ddf58e2e0d"]}],"mendeley":{"formattedCitation":"(Office of the Gene Technology Regulator, 2013)","plainTextFormattedCitation":"(Office of the Gene Technology Regulator, 2013)","previouslyFormattedCitation":"(Office of the Gene Technology Regulator, 2013)"},"properties":{"noteIndex":0},"schema":"https://github.com/citation-style-language/schema/raw/master/csl-citation.json"}</w:instrText>
      </w:r>
      <w:r w:rsidR="00D97874">
        <w:rPr>
          <w:rFonts w:ascii="Times New Roman" w:eastAsia="SimSun" w:hAnsi="Times New Roman" w:cs="Calibri"/>
          <w:color w:val="000000" w:themeColor="text1"/>
          <w:lang w:eastAsia="hi-IN" w:bidi="hi-IN"/>
        </w:rPr>
        <w:fldChar w:fldCharType="separate"/>
      </w:r>
      <w:r w:rsidR="00F80C6F" w:rsidRPr="00F80C6F">
        <w:rPr>
          <w:rFonts w:ascii="Times New Roman" w:eastAsia="SimSun" w:hAnsi="Times New Roman" w:cs="Calibri"/>
          <w:noProof/>
          <w:color w:val="000000" w:themeColor="text1"/>
          <w:lang w:eastAsia="hi-IN" w:bidi="hi-IN"/>
        </w:rPr>
        <w:t>(Office of the Gene Technology Regulator, 2013)</w:t>
      </w:r>
      <w:r w:rsidR="00D97874">
        <w:rPr>
          <w:rFonts w:ascii="Times New Roman" w:eastAsia="SimSun" w:hAnsi="Times New Roman" w:cs="Calibri"/>
          <w:color w:val="000000" w:themeColor="text1"/>
          <w:lang w:eastAsia="hi-IN" w:bidi="hi-IN"/>
        </w:rPr>
        <w:fldChar w:fldCharType="end"/>
      </w:r>
      <w:r w:rsidRPr="36140518">
        <w:rPr>
          <w:rFonts w:ascii="Times New Roman" w:eastAsia="SimSun" w:hAnsi="Times New Roman" w:cs="Calibri"/>
          <w:color w:val="000000" w:themeColor="text1"/>
          <w:lang w:eastAsia="hi-IN" w:bidi="hi-IN"/>
        </w:rPr>
        <w:t>. This would be extremely helpful, especially in cases where policy objectives are in conflict</w:t>
      </w:r>
      <w:r>
        <w:rPr>
          <w:rFonts w:ascii="Times New Roman" w:eastAsia="SimSun" w:hAnsi="Times New Roman" w:cs="Calibri"/>
          <w:color w:val="000000" w:themeColor="text1"/>
          <w:lang w:eastAsia="hi-IN" w:bidi="hi-IN"/>
        </w:rPr>
        <w:t xml:space="preserve"> or where policy trade-offs may be necessary</w:t>
      </w:r>
      <w:r w:rsidRPr="36140518">
        <w:rPr>
          <w:rFonts w:ascii="Times New Roman" w:eastAsia="SimSun" w:hAnsi="Times New Roman" w:cs="Calibri"/>
          <w:color w:val="000000" w:themeColor="text1"/>
          <w:lang w:eastAsia="hi-IN" w:bidi="hi-IN"/>
        </w:rPr>
        <w:t>, e.g. the suppression of disease vector populations (human health versus biodiversity/environmental protection), the cultivation of improved crop varieties in centres of origin (food security versus biodiversity/environmental protection), product displacement through the replacement of naturally-harvested products with those resulting from synthetic biology (eco-friendly production/environmental protection versus livelihoods of smallholder farmers/rights of indigenous people), etc.</w:t>
      </w:r>
    </w:p>
    <w:p w14:paraId="0CF4DA9E" w14:textId="4936AACB" w:rsidR="00E04F29" w:rsidRPr="00474099" w:rsidRDefault="00C116B1" w:rsidP="00E04F29">
      <w:pPr>
        <w:pStyle w:val="Heading4"/>
        <w:rPr>
          <w:rFonts w:ascii="Times New Roman" w:hAnsi="Times New Roman"/>
          <w:i w:val="0"/>
          <w:lang w:val="en-GB"/>
        </w:rPr>
      </w:pPr>
      <w:r w:rsidRPr="61F8B929">
        <w:rPr>
          <w:rFonts w:ascii="Times New Roman" w:hAnsi="Times New Roman"/>
          <w:i w:val="0"/>
        </w:rPr>
        <w:t>5</w:t>
      </w:r>
      <w:r w:rsidR="00E04F29" w:rsidRPr="00474099">
        <w:rPr>
          <w:rFonts w:ascii="Times New Roman" w:hAnsi="Times New Roman"/>
          <w:i w:val="0"/>
        </w:rPr>
        <w:t>.1.</w:t>
      </w:r>
      <w:r w:rsidR="00E04F29" w:rsidRPr="00474099">
        <w:rPr>
          <w:rFonts w:ascii="Times New Roman" w:hAnsi="Times New Roman"/>
          <w:i w:val="0"/>
          <w:lang w:val="en-US"/>
        </w:rPr>
        <w:t>2</w:t>
      </w:r>
      <w:r w:rsidR="00E04F29" w:rsidRPr="00474099">
        <w:rPr>
          <w:rFonts w:ascii="Times New Roman" w:hAnsi="Times New Roman"/>
          <w:i w:val="0"/>
        </w:rPr>
        <w:t xml:space="preserve">. </w:t>
      </w:r>
      <w:r w:rsidR="004043F6" w:rsidRPr="00474099">
        <w:rPr>
          <w:rFonts w:ascii="Times New Roman" w:hAnsi="Times New Roman"/>
          <w:i w:val="0"/>
        </w:rPr>
        <w:t>Indigenous Peoples and Local Communities (IPLCs</w:t>
      </w:r>
      <w:r w:rsidR="004043F6" w:rsidRPr="61F8B929">
        <w:rPr>
          <w:rFonts w:ascii="Times New Roman" w:hAnsi="Times New Roman"/>
          <w:i w:val="0"/>
        </w:rPr>
        <w:t>)</w:t>
      </w:r>
      <w:r w:rsidR="00E67B03">
        <w:rPr>
          <w:rFonts w:ascii="Times New Roman" w:hAnsi="Times New Roman"/>
          <w:i w:val="0"/>
          <w:lang w:val="en-US"/>
        </w:rPr>
        <w:t xml:space="preserve"> </w:t>
      </w:r>
      <w:r w:rsidR="00D1745C">
        <w:rPr>
          <w:rFonts w:ascii="Times New Roman" w:hAnsi="Times New Roman"/>
          <w:i w:val="0"/>
          <w:lang w:val="en-US"/>
        </w:rPr>
        <w:t>and community engagement</w:t>
      </w:r>
      <w:r w:rsidR="007611D6" w:rsidRPr="61F8B929">
        <w:rPr>
          <w:rFonts w:ascii="Times New Roman" w:hAnsi="Times New Roman"/>
          <w:i w:val="0"/>
          <w:lang w:val="en-GB"/>
        </w:rPr>
        <w:t>.</w:t>
      </w:r>
    </w:p>
    <w:p w14:paraId="199F2122" w14:textId="4104345A" w:rsidR="00D44054" w:rsidRDefault="00D25BC0" w:rsidP="00D44054">
      <w:pPr>
        <w:spacing w:after="120" w:line="240" w:lineRule="auto"/>
        <w:jc w:val="both"/>
        <w:rPr>
          <w:rFonts w:ascii="Times New Roman"/>
        </w:rPr>
      </w:pPr>
      <w:r>
        <w:rPr>
          <w:rFonts w:ascii="Times New Roman"/>
        </w:rPr>
        <w:t xml:space="preserve">Mirroring the above desire for </w:t>
      </w:r>
      <w:r w:rsidR="009D51A6">
        <w:rPr>
          <w:rFonts w:ascii="Times New Roman"/>
        </w:rPr>
        <w:t xml:space="preserve">more explicit </w:t>
      </w:r>
      <w:r>
        <w:rPr>
          <w:rFonts w:ascii="Times New Roman"/>
        </w:rPr>
        <w:t xml:space="preserve">societal involvement in </w:t>
      </w:r>
      <w:r w:rsidR="009D51A6">
        <w:rPr>
          <w:rFonts w:ascii="Times New Roman"/>
        </w:rPr>
        <w:t xml:space="preserve">regulatory decision-making, </w:t>
      </w:r>
      <w:r w:rsidR="00B4517C">
        <w:rPr>
          <w:rFonts w:ascii="Times New Roman"/>
        </w:rPr>
        <w:t>t</w:t>
      </w:r>
      <w:r w:rsidR="00D44054">
        <w:rPr>
          <w:rFonts w:ascii="Times New Roman"/>
        </w:rPr>
        <w:t xml:space="preserve">he concept of </w:t>
      </w:r>
      <w:r w:rsidR="00BD4338">
        <w:rPr>
          <w:rFonts w:ascii="Times New Roman"/>
        </w:rPr>
        <w:t>F</w:t>
      </w:r>
      <w:r w:rsidR="00D44054">
        <w:rPr>
          <w:rFonts w:ascii="Times New Roman"/>
        </w:rPr>
        <w:t xml:space="preserve">ree, </w:t>
      </w:r>
      <w:r w:rsidR="00BD4338">
        <w:rPr>
          <w:rFonts w:ascii="Times New Roman"/>
        </w:rPr>
        <w:t>P</w:t>
      </w:r>
      <w:r w:rsidR="00D44054">
        <w:rPr>
          <w:rFonts w:ascii="Times New Roman"/>
        </w:rPr>
        <w:t xml:space="preserve">rior </w:t>
      </w:r>
      <w:r w:rsidR="00BD4338">
        <w:rPr>
          <w:rFonts w:ascii="Times New Roman"/>
        </w:rPr>
        <w:t>I</w:t>
      </w:r>
      <w:r w:rsidR="00D44054">
        <w:rPr>
          <w:rFonts w:ascii="Times New Roman"/>
        </w:rPr>
        <w:t xml:space="preserve">nformed </w:t>
      </w:r>
      <w:r w:rsidR="00BD4338">
        <w:rPr>
          <w:rFonts w:ascii="Times New Roman"/>
        </w:rPr>
        <w:t>C</w:t>
      </w:r>
      <w:r w:rsidR="00D44054">
        <w:rPr>
          <w:rFonts w:ascii="Times New Roman"/>
        </w:rPr>
        <w:t>onsent (</w:t>
      </w:r>
      <w:r w:rsidR="00D44054" w:rsidRPr="0079128C">
        <w:rPr>
          <w:rFonts w:ascii="Times New Roman"/>
        </w:rPr>
        <w:t>FPIC</w:t>
      </w:r>
      <w:r w:rsidR="00D44054">
        <w:rPr>
          <w:rFonts w:ascii="Times New Roman"/>
        </w:rPr>
        <w:t>)</w:t>
      </w:r>
      <w:r w:rsidR="00D44054" w:rsidRPr="0079128C">
        <w:rPr>
          <w:rFonts w:ascii="Times New Roman"/>
        </w:rPr>
        <w:t xml:space="preserve"> </w:t>
      </w:r>
      <w:r w:rsidR="00D44054">
        <w:rPr>
          <w:rFonts w:ascii="Times New Roman"/>
        </w:rPr>
        <w:t xml:space="preserve">has </w:t>
      </w:r>
      <w:r w:rsidR="00B32D3D">
        <w:rPr>
          <w:rFonts w:ascii="Times New Roman"/>
        </w:rPr>
        <w:t xml:space="preserve">grown steadily in </w:t>
      </w:r>
      <w:r w:rsidR="00D44054">
        <w:rPr>
          <w:rFonts w:ascii="Times New Roman"/>
        </w:rPr>
        <w:t>prominence</w:t>
      </w:r>
      <w:r w:rsidR="00D44054" w:rsidRPr="0079128C">
        <w:rPr>
          <w:rFonts w:ascii="Times New Roman"/>
        </w:rPr>
        <w:t xml:space="preserve"> in the context of conservation and land development decisions impacting </w:t>
      </w:r>
      <w:r w:rsidR="00D44054">
        <w:rPr>
          <w:rFonts w:ascii="Times New Roman"/>
        </w:rPr>
        <w:t>IPLCs</w:t>
      </w:r>
      <w:r w:rsidR="00B4517C">
        <w:rPr>
          <w:rFonts w:ascii="Times New Roman"/>
        </w:rPr>
        <w:t>.</w:t>
      </w:r>
      <w:r w:rsidR="00D44054">
        <w:rPr>
          <w:rFonts w:ascii="Times New Roman"/>
        </w:rPr>
        <w:t xml:space="preserve"> </w:t>
      </w:r>
      <w:r w:rsidR="009D51A6">
        <w:rPr>
          <w:rFonts w:ascii="Times New Roman"/>
        </w:rPr>
        <w:t xml:space="preserve">Originating from </w:t>
      </w:r>
      <w:r w:rsidR="009D51A6" w:rsidRPr="006D19E6">
        <w:rPr>
          <w:rFonts w:ascii="Times New Roman"/>
        </w:rPr>
        <w:t xml:space="preserve">international human rights standards </w:t>
      </w:r>
      <w:r w:rsidR="009D51A6">
        <w:rPr>
          <w:rFonts w:ascii="Times New Roman"/>
        </w:rPr>
        <w:t>associated with the</w:t>
      </w:r>
      <w:r w:rsidR="009D51A6" w:rsidRPr="006D19E6">
        <w:rPr>
          <w:rFonts w:ascii="Times New Roman"/>
        </w:rPr>
        <w:t xml:space="preserve"> right to self-determination</w:t>
      </w:r>
      <w:r w:rsidR="00630B03">
        <w:rPr>
          <w:rStyle w:val="FootnoteReference"/>
          <w:rFonts w:ascii="Times New Roman"/>
        </w:rPr>
        <w:footnoteReference w:id="28"/>
      </w:r>
      <w:r w:rsidR="009D51A6">
        <w:rPr>
          <w:rFonts w:ascii="Times New Roman"/>
        </w:rPr>
        <w:t>, i</w:t>
      </w:r>
      <w:r w:rsidR="00D44054">
        <w:rPr>
          <w:rFonts w:ascii="Times New Roman"/>
        </w:rPr>
        <w:t xml:space="preserve">t </w:t>
      </w:r>
      <w:r w:rsidR="00B4517C">
        <w:rPr>
          <w:rFonts w:ascii="Times New Roman"/>
        </w:rPr>
        <w:t xml:space="preserve">has </w:t>
      </w:r>
      <w:r w:rsidR="00D44054">
        <w:rPr>
          <w:rFonts w:ascii="Times New Roman"/>
        </w:rPr>
        <w:t xml:space="preserve">evolved in the context of </w:t>
      </w:r>
      <w:r w:rsidR="00D44054" w:rsidRPr="006D19E6">
        <w:rPr>
          <w:rFonts w:ascii="Times New Roman"/>
        </w:rPr>
        <w:t xml:space="preserve">decisions that threatened the removal of Indigenous </w:t>
      </w:r>
      <w:r w:rsidR="001D0996">
        <w:rPr>
          <w:rFonts w:ascii="Times New Roman"/>
        </w:rPr>
        <w:t>peoples</w:t>
      </w:r>
      <w:r w:rsidR="00157B46">
        <w:rPr>
          <w:rFonts w:ascii="Times New Roman"/>
        </w:rPr>
        <w:t>’</w:t>
      </w:r>
      <w:r w:rsidR="001D0996">
        <w:rPr>
          <w:rFonts w:ascii="Times New Roman"/>
        </w:rPr>
        <w:t xml:space="preserve"> </w:t>
      </w:r>
      <w:r w:rsidR="00D44054" w:rsidRPr="006D19E6">
        <w:rPr>
          <w:rFonts w:ascii="Times New Roman"/>
        </w:rPr>
        <w:t>communities from their lands</w:t>
      </w:r>
      <w:r w:rsidR="00D44054">
        <w:rPr>
          <w:rFonts w:ascii="Times New Roman"/>
        </w:rPr>
        <w:t xml:space="preserve"> and </w:t>
      </w:r>
      <w:r w:rsidR="002465F2">
        <w:rPr>
          <w:rFonts w:ascii="Times New Roman"/>
        </w:rPr>
        <w:t xml:space="preserve">territories </w:t>
      </w:r>
      <w:r w:rsidR="00D44054">
        <w:rPr>
          <w:rFonts w:ascii="Times New Roman"/>
        </w:rPr>
        <w:t xml:space="preserve">and has been explicitly adopted in </w:t>
      </w:r>
      <w:r w:rsidR="006C4D37">
        <w:rPr>
          <w:rFonts w:ascii="Times New Roman"/>
        </w:rPr>
        <w:t>certain</w:t>
      </w:r>
      <w:r w:rsidR="00D44054">
        <w:rPr>
          <w:rFonts w:ascii="Times New Roman"/>
        </w:rPr>
        <w:t xml:space="preserve"> </w:t>
      </w:r>
      <w:r w:rsidR="00D44054" w:rsidRPr="003D5448">
        <w:rPr>
          <w:rFonts w:ascii="Times New Roman"/>
        </w:rPr>
        <w:t>international instruments that recogni</w:t>
      </w:r>
      <w:r w:rsidR="00D44054">
        <w:rPr>
          <w:rFonts w:ascii="Times New Roman"/>
        </w:rPr>
        <w:t>s</w:t>
      </w:r>
      <w:r w:rsidR="00D44054" w:rsidRPr="003D5448">
        <w:rPr>
          <w:rFonts w:ascii="Times New Roman"/>
        </w:rPr>
        <w:t xml:space="preserve">e the plights of Indigenous </w:t>
      </w:r>
      <w:r w:rsidR="00D44054">
        <w:rPr>
          <w:rFonts w:ascii="Times New Roman"/>
        </w:rPr>
        <w:t>p</w:t>
      </w:r>
      <w:r w:rsidR="00D44054" w:rsidRPr="003D5448">
        <w:rPr>
          <w:rFonts w:ascii="Times New Roman"/>
        </w:rPr>
        <w:t>eoples and defend their rights</w:t>
      </w:r>
      <w:r w:rsidR="00D44054">
        <w:rPr>
          <w:rFonts w:ascii="Times New Roman"/>
        </w:rPr>
        <w:t xml:space="preserve"> </w:t>
      </w:r>
      <w:r w:rsidR="00F80C6F">
        <w:rPr>
          <w:rFonts w:ascii="Times New Roman"/>
        </w:rPr>
        <w:fldChar w:fldCharType="begin" w:fldLock="1"/>
      </w:r>
      <w:r w:rsidR="004254AC">
        <w:rPr>
          <w:rFonts w:ascii="Times New Roman"/>
        </w:rPr>
        <w:instrText xml:space="preserve">ADDIN CSL_CITATION {"citationItems":[{"id":"ITEM-1","itemData":{"DOI":"10.1098/rspb.2019.1484","ISSN":"0962-8452","abstract":"Recent statements by United Nations bodies point to free, prior and informed consent (FPIC) as a potential requirement in the development of engineered gene drive applications. As a concept developed in the context of protecting Indigenous rights to self-determination in land development scenarios, FPIC would need to be extended to apply to the context of ecological editing. Without an explicit framework of application, FPIC could be interpreted as a narrowly framed process of community consultation focused on the social implications of technology, and award little formal or advisory power in decision-making to Indigenous peoples and local communities. In this paper, we argue for an articulation of FPIC that attends to issues of transparency, iterative community-scale consent, and shared power through co-development among Indigenous peoples, local communities, researchers and technology developers. In realizing a comprehensive FPIC process, researchers and developers have an opportunity to incorporate enhanced participation and social guidance mechanisms into the design, development and implementation of engineered gene drive applications.","author":[{"dropping-particle":"","family":"George","given":"Dalton R.","non-dropping-particle":"","parse-names":false,"suffix":""},{"dropping-particle":"","family":"Kuiken","given":"Todd","non-dropping-particle":"","parse-names":false,"suffix":""},{"dropping-particle":"","family":"Delborne","given":"Jason A.","non-dropping-particle":"","parse-names":false,"suffix":""}],"container-title":"Proceedings of the Royal Society B: Biological Sciences","id":"ITEM-1","issue":"1917","issued":{"date-parts":[["2019","12","18"]]},"page":"20191484","title":"Articulating </w:instrText>
      </w:r>
      <w:r w:rsidR="004254AC">
        <w:rPr>
          <w:rFonts w:ascii="Times New Roman"/>
        </w:rPr>
        <w:instrText>‘</w:instrText>
      </w:r>
      <w:r w:rsidR="004254AC">
        <w:rPr>
          <w:rFonts w:ascii="Times New Roman"/>
        </w:rPr>
        <w:instrText>free, prior and informed consent</w:instrText>
      </w:r>
      <w:r w:rsidR="004254AC">
        <w:rPr>
          <w:rFonts w:ascii="Times New Roman"/>
        </w:rPr>
        <w:instrText>’</w:instrText>
      </w:r>
      <w:r w:rsidR="004254AC">
        <w:rPr>
          <w:rFonts w:ascii="Times New Roman"/>
        </w:rPr>
        <w:instrText xml:space="preserve"> (FPIC) for engineered gene drives","type":"article-journal","volume":"286"},"uris":["http://www.mendeley.com/documents/?uuid=3fe1e81b-53db-44f1-a4aa-7ac6513a97de"]}],"mendeley":{"formattedCitation":"(George et al., 2019)","plainTextFormattedCitation":"(George et al., 2019)","previouslyFormattedCitation":"(George et al., 2019)"},"properties":{"noteIndex":0},"schema":"https://github.com/citation-style-language/schema/raw/master/csl-citation.json"}</w:instrText>
      </w:r>
      <w:r w:rsidR="00F80C6F">
        <w:rPr>
          <w:rFonts w:ascii="Times New Roman"/>
        </w:rPr>
        <w:fldChar w:fldCharType="separate"/>
      </w:r>
      <w:r w:rsidR="00F80C6F" w:rsidRPr="00F80C6F">
        <w:rPr>
          <w:rFonts w:ascii="Times New Roman"/>
          <w:noProof/>
        </w:rPr>
        <w:t>(George et al., 2019)</w:t>
      </w:r>
      <w:r w:rsidR="00F80C6F">
        <w:rPr>
          <w:rFonts w:ascii="Times New Roman"/>
        </w:rPr>
        <w:fldChar w:fldCharType="end"/>
      </w:r>
      <w:r w:rsidR="00E34929">
        <w:rPr>
          <w:rFonts w:ascii="Times New Roman"/>
        </w:rPr>
        <w:t>,</w:t>
      </w:r>
      <w:r w:rsidR="00D44054">
        <w:rPr>
          <w:rFonts w:ascii="Times New Roman"/>
        </w:rPr>
        <w:t xml:space="preserve"> </w:t>
      </w:r>
      <w:r w:rsidR="007A0AA8">
        <w:rPr>
          <w:rFonts w:ascii="Times New Roman"/>
        </w:rPr>
        <w:t xml:space="preserve">initially </w:t>
      </w:r>
      <w:r w:rsidR="0081097A">
        <w:rPr>
          <w:rFonts w:ascii="Times New Roman"/>
        </w:rPr>
        <w:t>by</w:t>
      </w:r>
      <w:r w:rsidR="00BB51C6">
        <w:rPr>
          <w:rFonts w:ascii="Times New Roman"/>
        </w:rPr>
        <w:t xml:space="preserve"> </w:t>
      </w:r>
      <w:r w:rsidR="006D18B3">
        <w:rPr>
          <w:rFonts w:ascii="Times New Roman"/>
        </w:rPr>
        <w:t xml:space="preserve">the </w:t>
      </w:r>
      <w:r w:rsidR="006D18B3" w:rsidRPr="00AE26F1">
        <w:rPr>
          <w:rFonts w:ascii="Times New Roman"/>
        </w:rPr>
        <w:t>Indigenous and Tribal P</w:t>
      </w:r>
      <w:r w:rsidR="006D18B3">
        <w:rPr>
          <w:rFonts w:ascii="Times New Roman"/>
        </w:rPr>
        <w:t>opulations</w:t>
      </w:r>
      <w:r w:rsidR="006D18B3" w:rsidRPr="00AE26F1">
        <w:rPr>
          <w:rFonts w:ascii="Times New Roman"/>
        </w:rPr>
        <w:t xml:space="preserve"> Convention</w:t>
      </w:r>
      <w:r w:rsidR="006D18B3">
        <w:rPr>
          <w:rFonts w:ascii="Times New Roman"/>
        </w:rPr>
        <w:t xml:space="preserve"> no. 107</w:t>
      </w:r>
      <w:r w:rsidR="006D18B3" w:rsidRPr="00AE26F1">
        <w:rPr>
          <w:rFonts w:ascii="Times New Roman"/>
        </w:rPr>
        <w:t xml:space="preserve"> </w:t>
      </w:r>
      <w:r w:rsidR="006D18B3">
        <w:rPr>
          <w:rFonts w:ascii="Times New Roman"/>
        </w:rPr>
        <w:t xml:space="preserve">of the </w:t>
      </w:r>
      <w:r w:rsidR="006D18B3" w:rsidRPr="00570810">
        <w:rPr>
          <w:rFonts w:ascii="Times New Roman"/>
        </w:rPr>
        <w:t>International Labour Organization</w:t>
      </w:r>
      <w:r w:rsidR="00A426A9">
        <w:rPr>
          <w:rFonts w:ascii="Times New Roman"/>
        </w:rPr>
        <w:t xml:space="preserve"> adopted in 1957</w:t>
      </w:r>
      <w:r w:rsidR="006D18B3">
        <w:rPr>
          <w:rStyle w:val="FootnoteReference"/>
          <w:rFonts w:ascii="Times New Roman"/>
        </w:rPr>
        <w:footnoteReference w:id="29"/>
      </w:r>
      <w:r w:rsidR="00660A0C">
        <w:rPr>
          <w:rFonts w:ascii="Times New Roman"/>
        </w:rPr>
        <w:t xml:space="preserve"> as revised</w:t>
      </w:r>
      <w:r w:rsidR="00385FBA">
        <w:rPr>
          <w:rFonts w:ascii="Times New Roman"/>
        </w:rPr>
        <w:t xml:space="preserve"> i</w:t>
      </w:r>
      <w:r w:rsidR="006D18B3">
        <w:rPr>
          <w:rFonts w:ascii="Times New Roman"/>
        </w:rPr>
        <w:t xml:space="preserve">n 1989 </w:t>
      </w:r>
      <w:r w:rsidR="00385FBA">
        <w:rPr>
          <w:rFonts w:ascii="Times New Roman"/>
        </w:rPr>
        <w:t xml:space="preserve">by </w:t>
      </w:r>
      <w:r w:rsidR="006D18B3">
        <w:rPr>
          <w:rFonts w:ascii="Times New Roman"/>
        </w:rPr>
        <w:t xml:space="preserve">the </w:t>
      </w:r>
      <w:r w:rsidR="006D18B3" w:rsidRPr="00570810">
        <w:rPr>
          <w:rFonts w:ascii="Times New Roman"/>
        </w:rPr>
        <w:t>Indigenous and Tribal Peoples Convention</w:t>
      </w:r>
      <w:r w:rsidR="006D18B3">
        <w:rPr>
          <w:rFonts w:ascii="Times New Roman"/>
        </w:rPr>
        <w:t xml:space="preserve"> no. 169</w:t>
      </w:r>
      <w:r w:rsidR="00A426A9">
        <w:rPr>
          <w:rFonts w:ascii="Times New Roman"/>
        </w:rPr>
        <w:t>,</w:t>
      </w:r>
      <w:r w:rsidR="00BB51C6">
        <w:rPr>
          <w:rFonts w:ascii="Times New Roman"/>
        </w:rPr>
        <w:t xml:space="preserve"> and subsequently </w:t>
      </w:r>
      <w:r w:rsidR="003F4DE8">
        <w:rPr>
          <w:rFonts w:ascii="Times New Roman"/>
        </w:rPr>
        <w:t>by</w:t>
      </w:r>
      <w:r w:rsidR="00BB51C6">
        <w:rPr>
          <w:rFonts w:ascii="Times New Roman"/>
        </w:rPr>
        <w:t xml:space="preserve"> the </w:t>
      </w:r>
      <w:r w:rsidR="006D18B3" w:rsidRPr="003D5448">
        <w:rPr>
          <w:rFonts w:ascii="Times New Roman"/>
        </w:rPr>
        <w:t>Convention on Biological Diversity</w:t>
      </w:r>
      <w:r w:rsidR="006D18B3">
        <w:rPr>
          <w:rFonts w:ascii="Times New Roman"/>
        </w:rPr>
        <w:t xml:space="preserve"> in 1992</w:t>
      </w:r>
      <w:r w:rsidR="00E266F7">
        <w:rPr>
          <w:rFonts w:ascii="Times New Roman"/>
        </w:rPr>
        <w:t xml:space="preserve"> and the </w:t>
      </w:r>
      <w:r w:rsidR="006D18B3">
        <w:rPr>
          <w:rFonts w:ascii="Times New Roman"/>
        </w:rPr>
        <w:t xml:space="preserve">United Nations Declaration on the Rights of Indigenous Peoples </w:t>
      </w:r>
      <w:r w:rsidR="003F4DE8">
        <w:rPr>
          <w:rFonts w:ascii="Times New Roman"/>
        </w:rPr>
        <w:t xml:space="preserve">adopted by the </w:t>
      </w:r>
      <w:r w:rsidR="003F4DE8" w:rsidRPr="003D5448">
        <w:rPr>
          <w:rFonts w:ascii="Times New Roman"/>
        </w:rPr>
        <w:t>U</w:t>
      </w:r>
      <w:r w:rsidR="003F4DE8">
        <w:rPr>
          <w:rFonts w:ascii="Times New Roman"/>
        </w:rPr>
        <w:t>N General Assembly adopted</w:t>
      </w:r>
      <w:r w:rsidR="006D18B3">
        <w:rPr>
          <w:rFonts w:ascii="Times New Roman"/>
        </w:rPr>
        <w:t xml:space="preserve"> September 2007 (see Sections 9.3.2(a)., 8.1. and 9.3.2(b)., respectively).  </w:t>
      </w:r>
    </w:p>
    <w:p w14:paraId="08C6DE09" w14:textId="33A8B6F5" w:rsidR="00D44054" w:rsidRDefault="00D44054" w:rsidP="001A3D8C">
      <w:pPr>
        <w:spacing w:after="120" w:line="240" w:lineRule="auto"/>
        <w:jc w:val="both"/>
        <w:rPr>
          <w:rFonts w:ascii="Times New Roman"/>
        </w:rPr>
      </w:pPr>
      <w:r>
        <w:rPr>
          <w:rFonts w:ascii="Times New Roman"/>
        </w:rPr>
        <w:t>T</w:t>
      </w:r>
      <w:r w:rsidRPr="00EF00EC">
        <w:rPr>
          <w:rFonts w:ascii="Times New Roman"/>
        </w:rPr>
        <w:t>he</w:t>
      </w:r>
      <w:r>
        <w:rPr>
          <w:rFonts w:ascii="Times New Roman"/>
        </w:rPr>
        <w:t xml:space="preserve">se instruments reflect </w:t>
      </w:r>
      <w:r w:rsidRPr="0018081A">
        <w:rPr>
          <w:rFonts w:ascii="Times New Roman"/>
        </w:rPr>
        <w:t>FPIC as an evolving concept</w:t>
      </w:r>
      <w:r>
        <w:rPr>
          <w:rFonts w:ascii="Times New Roman"/>
        </w:rPr>
        <w:t xml:space="preserve"> and have supported </w:t>
      </w:r>
      <w:r w:rsidRPr="00EF00EC">
        <w:rPr>
          <w:rFonts w:ascii="Times New Roman"/>
        </w:rPr>
        <w:t>an upsurge in initiatives</w:t>
      </w:r>
      <w:r>
        <w:rPr>
          <w:rFonts w:ascii="Times New Roman"/>
        </w:rPr>
        <w:t xml:space="preserve"> focusing on </w:t>
      </w:r>
      <w:r w:rsidRPr="00EF00EC">
        <w:rPr>
          <w:rFonts w:ascii="Times New Roman"/>
        </w:rPr>
        <w:t>participatory development</w:t>
      </w:r>
      <w:r>
        <w:rPr>
          <w:rFonts w:ascii="Times New Roman"/>
        </w:rPr>
        <w:t xml:space="preserve"> and </w:t>
      </w:r>
      <w:r w:rsidRPr="00EF00EC">
        <w:rPr>
          <w:rFonts w:ascii="Times New Roman"/>
        </w:rPr>
        <w:t xml:space="preserve">indigenous </w:t>
      </w:r>
      <w:r>
        <w:rPr>
          <w:rFonts w:ascii="Times New Roman"/>
        </w:rPr>
        <w:t xml:space="preserve">inclusion by </w:t>
      </w:r>
      <w:r w:rsidRPr="00EF00EC">
        <w:rPr>
          <w:rFonts w:ascii="Times New Roman"/>
        </w:rPr>
        <w:t>international and national development</w:t>
      </w:r>
      <w:r>
        <w:rPr>
          <w:rFonts w:ascii="Times New Roman"/>
        </w:rPr>
        <w:t xml:space="preserve">-focused </w:t>
      </w:r>
      <w:r w:rsidRPr="00EF00EC">
        <w:rPr>
          <w:rFonts w:ascii="Times New Roman"/>
        </w:rPr>
        <w:t>agencies</w:t>
      </w:r>
      <w:r>
        <w:rPr>
          <w:rFonts w:ascii="Times New Roman"/>
        </w:rPr>
        <w:t xml:space="preserve"> and organisations. For example, the</w:t>
      </w:r>
      <w:r w:rsidDel="00623E18">
        <w:rPr>
          <w:rFonts w:ascii="Times New Roman"/>
        </w:rPr>
        <w:t xml:space="preserve"> </w:t>
      </w:r>
      <w:r w:rsidRPr="00E84ACA">
        <w:rPr>
          <w:rFonts w:ascii="Times New Roman"/>
        </w:rPr>
        <w:t>Free, Prior and Informed Consent Manual</w:t>
      </w:r>
      <w:r>
        <w:rPr>
          <w:rFonts w:ascii="Times New Roman"/>
        </w:rPr>
        <w:t xml:space="preserve"> from FAO was designed to enable </w:t>
      </w:r>
      <w:r w:rsidRPr="00E84ACA">
        <w:rPr>
          <w:rFonts w:ascii="Times New Roman"/>
        </w:rPr>
        <w:t xml:space="preserve">field practitioners to incorporate FPIC into </w:t>
      </w:r>
      <w:r>
        <w:rPr>
          <w:rFonts w:ascii="Times New Roman"/>
        </w:rPr>
        <w:t xml:space="preserve">the </w:t>
      </w:r>
      <w:r w:rsidRPr="00E84ACA">
        <w:rPr>
          <w:rFonts w:ascii="Times New Roman"/>
        </w:rPr>
        <w:t>design and implementation</w:t>
      </w:r>
      <w:r>
        <w:rPr>
          <w:rFonts w:ascii="Times New Roman"/>
        </w:rPr>
        <w:t xml:space="preserve"> of</w:t>
      </w:r>
      <w:r w:rsidRPr="00DF1333">
        <w:rPr>
          <w:rFonts w:ascii="Times New Roman"/>
        </w:rPr>
        <w:t xml:space="preserve"> </w:t>
      </w:r>
      <w:r w:rsidRPr="00E84ACA">
        <w:rPr>
          <w:rFonts w:ascii="Times New Roman"/>
        </w:rPr>
        <w:t>project</w:t>
      </w:r>
      <w:r>
        <w:rPr>
          <w:rFonts w:ascii="Times New Roman"/>
        </w:rPr>
        <w:t>s</w:t>
      </w:r>
      <w:r w:rsidRPr="00E84ACA">
        <w:rPr>
          <w:rFonts w:ascii="Times New Roman"/>
        </w:rPr>
        <w:t xml:space="preserve"> and programmes, ensuring that </w:t>
      </w:r>
      <w:r>
        <w:rPr>
          <w:rFonts w:ascii="Times New Roman"/>
        </w:rPr>
        <w:t xml:space="preserve">the rights of </w:t>
      </w:r>
      <w:r w:rsidR="00A17F5E">
        <w:rPr>
          <w:rFonts w:ascii="Times New Roman"/>
        </w:rPr>
        <w:t>i</w:t>
      </w:r>
      <w:r w:rsidR="00A17F5E" w:rsidRPr="00E84ACA">
        <w:rPr>
          <w:rFonts w:ascii="Times New Roman"/>
        </w:rPr>
        <w:t xml:space="preserve">ndigenous </w:t>
      </w:r>
      <w:r w:rsidRPr="00E84ACA">
        <w:rPr>
          <w:rFonts w:ascii="Times New Roman"/>
        </w:rPr>
        <w:t>peoples are duly respected</w:t>
      </w:r>
      <w:r w:rsidR="0059716A">
        <w:rPr>
          <w:rFonts w:ascii="Times New Roman"/>
        </w:rPr>
        <w:t>. Further it</w:t>
      </w:r>
      <w:r w:rsidR="00DF6F00">
        <w:rPr>
          <w:rFonts w:ascii="Times New Roman"/>
        </w:rPr>
        <w:t xml:space="preserve"> </w:t>
      </w:r>
      <w:r w:rsidR="0059716A">
        <w:rPr>
          <w:rFonts w:ascii="Times New Roman"/>
        </w:rPr>
        <w:t>notes that e</w:t>
      </w:r>
      <w:r w:rsidR="0059716A" w:rsidRPr="006D32ED">
        <w:rPr>
          <w:rFonts w:ascii="Times New Roman"/>
        </w:rPr>
        <w:t>lements within FPIC are interlinked and</w:t>
      </w:r>
      <w:r w:rsidR="0059716A">
        <w:rPr>
          <w:rFonts w:ascii="Times New Roman"/>
        </w:rPr>
        <w:t xml:space="preserve"> </w:t>
      </w:r>
      <w:r w:rsidR="0059716A" w:rsidRPr="006D32ED">
        <w:rPr>
          <w:rFonts w:ascii="Times New Roman"/>
        </w:rPr>
        <w:t>should not be treated as separate elements</w:t>
      </w:r>
      <w:r>
        <w:rPr>
          <w:rFonts w:ascii="Times New Roman"/>
        </w:rPr>
        <w:t xml:space="preserve"> </w:t>
      </w:r>
      <w:r w:rsidR="004254AC">
        <w:rPr>
          <w:rFonts w:ascii="Times New Roman"/>
        </w:rPr>
        <w:fldChar w:fldCharType="begin" w:fldLock="1"/>
      </w:r>
      <w:r w:rsidR="00A80842">
        <w:rPr>
          <w:rFonts w:ascii="Times New Roman"/>
        </w:rPr>
        <w:instrText>ADDIN CSL_CITATION {"citationItems":[{"id":"ITEM-1","itemData":{"author":[{"dropping-particle":"","family":"Food and Agriculture Organization","given":"","non-dropping-particle":"","parse-names":false,"suffix":""}],"id":"ITEM-1","issued":{"date-parts":[["2016"]]},"number-of-pages":"52","publisher-place":"Rome, Italy","title":"Free Prior and Informed Consent: An indigenous peoples</w:instrText>
      </w:r>
      <w:r w:rsidR="00A80842">
        <w:rPr>
          <w:rFonts w:ascii="Times New Roman"/>
        </w:rPr>
        <w:instrText>’</w:instrText>
      </w:r>
      <w:r w:rsidR="00A80842">
        <w:rPr>
          <w:rFonts w:ascii="Times New Roman"/>
        </w:rPr>
        <w:instrText xml:space="preserve"> right and a good practice for local communities","type":"report"},"uris":["http://www.mendeley.com/documents/?uuid=73d12527-d600-488b-9d0f-734b8800c79a"]}],"mendeley":{"formattedCitation":"(Food and Agriculture Organization, 2016)","manualFormatting":"(FAO, 2016)","plainTextFormattedCitation":"(Food and Agriculture Organization, 2016)","previouslyFormattedCitation":"(Food and Agriculture Organization, 2016)"},"properties":{"noteIndex":0},"schema":"https://github.com/citation-style-language/schema/raw/master/csl-citation.json"}</w:instrText>
      </w:r>
      <w:r w:rsidR="004254AC">
        <w:rPr>
          <w:rFonts w:ascii="Times New Roman"/>
        </w:rPr>
        <w:fldChar w:fldCharType="separate"/>
      </w:r>
      <w:r w:rsidR="004254AC" w:rsidRPr="004254AC">
        <w:rPr>
          <w:rFonts w:ascii="Times New Roman"/>
          <w:noProof/>
        </w:rPr>
        <w:t>(F</w:t>
      </w:r>
      <w:r w:rsidR="004254AC">
        <w:rPr>
          <w:rFonts w:ascii="Times New Roman"/>
          <w:noProof/>
        </w:rPr>
        <w:t>AO, 2016)</w:t>
      </w:r>
      <w:r w:rsidR="004254AC">
        <w:rPr>
          <w:rFonts w:ascii="Times New Roman"/>
        </w:rPr>
        <w:fldChar w:fldCharType="end"/>
      </w:r>
      <w:r>
        <w:rPr>
          <w:rFonts w:ascii="Times New Roman"/>
        </w:rPr>
        <w:t xml:space="preserve">. </w:t>
      </w:r>
      <w:r w:rsidR="00D34EE0">
        <w:rPr>
          <w:rFonts w:ascii="Times New Roman"/>
        </w:rPr>
        <w:t xml:space="preserve">Similarly, </w:t>
      </w:r>
      <w:r w:rsidR="001428FD">
        <w:rPr>
          <w:rFonts w:ascii="Times New Roman"/>
        </w:rPr>
        <w:t>after a 10</w:t>
      </w:r>
      <w:r w:rsidR="0002590D">
        <w:rPr>
          <w:rFonts w:ascii="Times New Roman"/>
        </w:rPr>
        <w:t>-</w:t>
      </w:r>
      <w:r w:rsidR="00F520E3">
        <w:rPr>
          <w:rFonts w:ascii="Times New Roman"/>
        </w:rPr>
        <w:t xml:space="preserve"> to</w:t>
      </w:r>
      <w:r w:rsidR="0002590D">
        <w:rPr>
          <w:rFonts w:ascii="Times New Roman"/>
        </w:rPr>
        <w:t xml:space="preserve"> </w:t>
      </w:r>
      <w:r w:rsidR="001428FD">
        <w:rPr>
          <w:rFonts w:ascii="Times New Roman"/>
        </w:rPr>
        <w:t>12</w:t>
      </w:r>
      <w:r w:rsidR="00DF6F00">
        <w:rPr>
          <w:rFonts w:ascii="Times New Roman"/>
        </w:rPr>
        <w:t>-</w:t>
      </w:r>
      <w:r w:rsidR="001428FD">
        <w:rPr>
          <w:rFonts w:ascii="Times New Roman"/>
        </w:rPr>
        <w:t>year process under Article 8</w:t>
      </w:r>
      <w:r w:rsidR="00BB5FF1">
        <w:rPr>
          <w:rFonts w:ascii="Times New Roman"/>
        </w:rPr>
        <w:t xml:space="preserve">(j) (see </w:t>
      </w:r>
      <w:r w:rsidR="00BB5FF1" w:rsidRPr="00976F85">
        <w:rPr>
          <w:rFonts w:ascii="Times New Roman"/>
        </w:rPr>
        <w:t>Sectio</w:t>
      </w:r>
      <w:r w:rsidR="00BB5FF1" w:rsidRPr="009F70E5">
        <w:rPr>
          <w:rFonts w:ascii="Times New Roman"/>
        </w:rPr>
        <w:t xml:space="preserve">n </w:t>
      </w:r>
      <w:r w:rsidR="00F6234A" w:rsidRPr="00856E87">
        <w:rPr>
          <w:rFonts w:ascii="Times New Roman"/>
        </w:rPr>
        <w:t>8.1.7</w:t>
      </w:r>
      <w:r w:rsidR="00BB5FF1">
        <w:rPr>
          <w:rFonts w:ascii="Times New Roman"/>
        </w:rPr>
        <w:t xml:space="preserve">), </w:t>
      </w:r>
      <w:r w:rsidR="00D34EE0">
        <w:rPr>
          <w:rFonts w:ascii="Times New Roman"/>
        </w:rPr>
        <w:t xml:space="preserve">the CBD </w:t>
      </w:r>
      <w:r w:rsidR="00ED72A9">
        <w:rPr>
          <w:rFonts w:ascii="Times New Roman"/>
        </w:rPr>
        <w:t>developed the Mo</w:t>
      </w:r>
      <w:r w:rsidR="00ED72A9">
        <w:rPr>
          <w:rFonts w:ascii="Times New Roman"/>
        </w:rPr>
        <w:t>’</w:t>
      </w:r>
      <w:r w:rsidR="00ED72A9">
        <w:rPr>
          <w:rFonts w:ascii="Times New Roman"/>
        </w:rPr>
        <w:t xml:space="preserve"> otz Kuxtal </w:t>
      </w:r>
      <w:r w:rsidR="00DB170D">
        <w:rPr>
          <w:rFonts w:ascii="Times New Roman"/>
        </w:rPr>
        <w:t>Voluntary</w:t>
      </w:r>
      <w:r w:rsidR="00ED72A9">
        <w:rPr>
          <w:rFonts w:ascii="Times New Roman"/>
        </w:rPr>
        <w:t xml:space="preserve"> Guidelines </w:t>
      </w:r>
      <w:r w:rsidR="00334E02">
        <w:rPr>
          <w:rFonts w:ascii="Times New Roman"/>
        </w:rPr>
        <w:t>for the development of mechanisms, legislation</w:t>
      </w:r>
      <w:r w:rsidR="00042B53">
        <w:rPr>
          <w:rFonts w:ascii="Times New Roman"/>
        </w:rPr>
        <w:t xml:space="preserve">, administrative or policy measures </w:t>
      </w:r>
      <w:r w:rsidR="00334E02">
        <w:rPr>
          <w:rFonts w:ascii="Times New Roman"/>
        </w:rPr>
        <w:t xml:space="preserve">or other appropriate initiatives to ensure </w:t>
      </w:r>
      <w:r w:rsidR="00DF6F00">
        <w:rPr>
          <w:rFonts w:ascii="Times New Roman"/>
        </w:rPr>
        <w:t>“</w:t>
      </w:r>
      <w:r w:rsidR="00334E02">
        <w:rPr>
          <w:rFonts w:ascii="Times New Roman"/>
        </w:rPr>
        <w:t>prior and informed consent</w:t>
      </w:r>
      <w:r w:rsidR="00DF6F00">
        <w:rPr>
          <w:rFonts w:ascii="Times New Roman"/>
        </w:rPr>
        <w:t>”</w:t>
      </w:r>
      <w:r w:rsidR="00334E02">
        <w:rPr>
          <w:rFonts w:ascii="Times New Roman"/>
        </w:rPr>
        <w:t xml:space="preserve">, </w:t>
      </w:r>
      <w:r w:rsidR="00DF6F00">
        <w:rPr>
          <w:rFonts w:ascii="Times New Roman"/>
        </w:rPr>
        <w:t>“</w:t>
      </w:r>
      <w:r w:rsidR="00DF6F00">
        <w:rPr>
          <w:rFonts w:ascii="Times New Roman"/>
        </w:rPr>
        <w:t>free</w:t>
      </w:r>
      <w:r w:rsidR="00F40F96">
        <w:rPr>
          <w:rFonts w:ascii="Times New Roman"/>
        </w:rPr>
        <w:t>, prior</w:t>
      </w:r>
      <w:r w:rsidR="00334E02">
        <w:rPr>
          <w:rFonts w:ascii="Times New Roman"/>
        </w:rPr>
        <w:t xml:space="preserve"> and </w:t>
      </w:r>
      <w:r w:rsidR="00F40F96">
        <w:rPr>
          <w:rFonts w:ascii="Times New Roman"/>
        </w:rPr>
        <w:t>informed consent</w:t>
      </w:r>
      <w:r w:rsidR="00F40F96">
        <w:rPr>
          <w:rFonts w:ascii="Times New Roman"/>
        </w:rPr>
        <w:t>”</w:t>
      </w:r>
      <w:r w:rsidR="00F40F96">
        <w:rPr>
          <w:rFonts w:ascii="Times New Roman"/>
        </w:rPr>
        <w:t xml:space="preserve"> </w:t>
      </w:r>
      <w:r w:rsidR="00334E02">
        <w:rPr>
          <w:rFonts w:ascii="Times New Roman"/>
        </w:rPr>
        <w:t xml:space="preserve">and </w:t>
      </w:r>
      <w:r w:rsidR="00F40F96">
        <w:rPr>
          <w:rFonts w:ascii="Times New Roman"/>
        </w:rPr>
        <w:t>“</w:t>
      </w:r>
      <w:r w:rsidR="00334E02">
        <w:rPr>
          <w:rFonts w:ascii="Times New Roman"/>
        </w:rPr>
        <w:t>approval and involvement</w:t>
      </w:r>
      <w:r w:rsidR="00F40F96">
        <w:rPr>
          <w:rFonts w:ascii="Times New Roman"/>
        </w:rPr>
        <w:t>”</w:t>
      </w:r>
      <w:r w:rsidR="00C31D73">
        <w:rPr>
          <w:rFonts w:ascii="Times New Roman"/>
        </w:rPr>
        <w:t xml:space="preserve"> </w:t>
      </w:r>
      <w:r w:rsidR="00C248AB">
        <w:rPr>
          <w:rFonts w:ascii="Times New Roman"/>
        </w:rPr>
        <w:t xml:space="preserve">for </w:t>
      </w:r>
      <w:r w:rsidR="00B829AB" w:rsidRPr="00B829AB">
        <w:rPr>
          <w:rFonts w:ascii="Times New Roman"/>
        </w:rPr>
        <w:t>obtain</w:t>
      </w:r>
      <w:r w:rsidR="00C248AB">
        <w:rPr>
          <w:rFonts w:ascii="Times New Roman"/>
        </w:rPr>
        <w:t xml:space="preserve">ing </w:t>
      </w:r>
      <w:r w:rsidR="00B829AB" w:rsidRPr="00B829AB">
        <w:rPr>
          <w:rFonts w:ascii="Times New Roman"/>
        </w:rPr>
        <w:t>a fair and equitable share</w:t>
      </w:r>
      <w:r w:rsidR="00C248AB">
        <w:rPr>
          <w:rFonts w:ascii="Times New Roman"/>
        </w:rPr>
        <w:t xml:space="preserve"> </w:t>
      </w:r>
      <w:r w:rsidR="00B829AB" w:rsidRPr="00B829AB">
        <w:rPr>
          <w:rFonts w:ascii="Times New Roman"/>
        </w:rPr>
        <w:t xml:space="preserve">of benefits arising from the use and application of traditional knowledge </w:t>
      </w:r>
      <w:r w:rsidR="00A80842">
        <w:rPr>
          <w:rFonts w:ascii="Times New Roman"/>
        </w:rPr>
        <w:fldChar w:fldCharType="begin" w:fldLock="1"/>
      </w:r>
      <w:r w:rsidR="00A048BC">
        <w:rPr>
          <w:rFonts w:ascii="Times New Roman"/>
        </w:rPr>
        <w:instrText>ADDIN CSL_CITATION {"citationItems":[{"id":"ITEM-1","itemData":{"author":[{"dropping-particle":"","family":"Secretariat of the Convention on Biological Diversity","given":"","non-dropping-particle":"","parse-names":false,"suffix":""}],"id":"ITEM-1","issued":{"date-parts":[["2019"]]},"number-of-pages":"9","publisher-place":"Montreal, Canada","title":"Mo</w:instrText>
      </w:r>
      <w:r w:rsidR="00A048BC">
        <w:rPr>
          <w:rFonts w:ascii="Times New Roman"/>
        </w:rPr>
        <w:instrText>’</w:instrText>
      </w:r>
      <w:r w:rsidR="00A048BC">
        <w:rPr>
          <w:rFonts w:ascii="Times New Roman"/>
        </w:rPr>
        <w:instrText xml:space="preserve"> otz Kuxtal Voluntary Guidelines","type":"book"},"uris":["http://www.mendeley.com/documents/?uuid=03722048-35cc-4e69-bb80-3fe05f3e693c"]}],"mendeley":{"formattedCitation":"(Secretariat of the Convention on Biological Diversity, 2019a)","manualFormatting":"(SCBD, 2019a)","plainTextFormattedCitation":"(Secretariat of the Convention on Biological Diversity, 2019a)","previouslyFormattedCitation":"(Secretariat of the Convention on Biological Diversity, 2019a)"},"properties":{"noteIndex":0},"schema":"https://github.com/citation-style-language/schema/raw/master/csl-citation.json"}</w:instrText>
      </w:r>
      <w:r w:rsidR="00A80842">
        <w:rPr>
          <w:rFonts w:ascii="Times New Roman"/>
        </w:rPr>
        <w:fldChar w:fldCharType="separate"/>
      </w:r>
      <w:r w:rsidR="00A80842" w:rsidRPr="00A80842">
        <w:rPr>
          <w:rFonts w:ascii="Times New Roman"/>
          <w:noProof/>
        </w:rPr>
        <w:t>(S</w:t>
      </w:r>
      <w:r w:rsidR="008F07C5">
        <w:rPr>
          <w:rFonts w:ascii="Times New Roman"/>
          <w:noProof/>
        </w:rPr>
        <w:t>CBD, 2019a)</w:t>
      </w:r>
      <w:r w:rsidR="00A80842">
        <w:rPr>
          <w:rFonts w:ascii="Times New Roman"/>
        </w:rPr>
        <w:fldChar w:fldCharType="end"/>
      </w:r>
      <w:r w:rsidR="00BB5FF1">
        <w:rPr>
          <w:rFonts w:ascii="Times New Roman"/>
        </w:rPr>
        <w:t>.</w:t>
      </w:r>
      <w:r w:rsidR="00334E02">
        <w:rPr>
          <w:rFonts w:ascii="Times New Roman"/>
        </w:rPr>
        <w:t xml:space="preserve"> </w:t>
      </w:r>
      <w:r>
        <w:rPr>
          <w:rFonts w:ascii="Times New Roman"/>
        </w:rPr>
        <w:t>Simply stated,</w:t>
      </w:r>
      <w:r w:rsidRPr="006D32ED">
        <w:rPr>
          <w:rFonts w:ascii="Times New Roman"/>
        </w:rPr>
        <w:t xml:space="preserve"> consent </w:t>
      </w:r>
      <w:r w:rsidR="00804973">
        <w:rPr>
          <w:rFonts w:ascii="Times New Roman"/>
        </w:rPr>
        <w:t>or approval</w:t>
      </w:r>
      <w:r w:rsidRPr="006D32ED">
        <w:rPr>
          <w:rFonts w:ascii="Times New Roman"/>
        </w:rPr>
        <w:t xml:space="preserve"> should</w:t>
      </w:r>
      <w:r>
        <w:rPr>
          <w:rFonts w:ascii="Times New Roman"/>
        </w:rPr>
        <w:t xml:space="preserve"> </w:t>
      </w:r>
      <w:r w:rsidRPr="006D32ED">
        <w:rPr>
          <w:rFonts w:ascii="Times New Roman"/>
        </w:rPr>
        <w:t>be</w:t>
      </w:r>
      <w:r w:rsidR="00AB13CE">
        <w:rPr>
          <w:rFonts w:ascii="Times New Roman"/>
        </w:rPr>
        <w:t>:</w:t>
      </w:r>
      <w:r w:rsidRPr="006D32ED">
        <w:rPr>
          <w:rFonts w:ascii="Times New Roman"/>
        </w:rPr>
        <w:t xml:space="preserve"> sought before any project, plan or action takes</w:t>
      </w:r>
      <w:r>
        <w:rPr>
          <w:rFonts w:ascii="Times New Roman"/>
        </w:rPr>
        <w:t xml:space="preserve"> </w:t>
      </w:r>
      <w:r w:rsidRPr="006D32ED">
        <w:rPr>
          <w:rFonts w:ascii="Times New Roman"/>
        </w:rPr>
        <w:t>place (prior)</w:t>
      </w:r>
      <w:r w:rsidR="00AB13CE">
        <w:rPr>
          <w:rFonts w:ascii="Times New Roman"/>
        </w:rPr>
        <w:t>;</w:t>
      </w:r>
      <w:r w:rsidRPr="006D32ED">
        <w:rPr>
          <w:rFonts w:ascii="Times New Roman"/>
        </w:rPr>
        <w:t xml:space="preserve"> independently decided</w:t>
      </w:r>
      <w:r>
        <w:rPr>
          <w:rFonts w:ascii="Times New Roman"/>
        </w:rPr>
        <w:t xml:space="preserve"> </w:t>
      </w:r>
      <w:r w:rsidRPr="006D32ED">
        <w:rPr>
          <w:rFonts w:ascii="Times New Roman"/>
        </w:rPr>
        <w:t>upon (</w:t>
      </w:r>
      <w:r w:rsidR="00666060">
        <w:rPr>
          <w:rFonts w:ascii="Times New Roman"/>
        </w:rPr>
        <w:t>without pressure or manipulation</w:t>
      </w:r>
      <w:r w:rsidR="000A4CFD">
        <w:rPr>
          <w:rFonts w:ascii="Times New Roman"/>
        </w:rPr>
        <w:t xml:space="preserve">; </w:t>
      </w:r>
      <w:r w:rsidRPr="006D32ED">
        <w:rPr>
          <w:rFonts w:ascii="Times New Roman"/>
        </w:rPr>
        <w:t>free)</w:t>
      </w:r>
      <w:r w:rsidR="005330DD">
        <w:rPr>
          <w:rFonts w:ascii="Times New Roman"/>
        </w:rPr>
        <w:t>,</w:t>
      </w:r>
      <w:r w:rsidRPr="006D32ED">
        <w:rPr>
          <w:rFonts w:ascii="Times New Roman"/>
        </w:rPr>
        <w:t xml:space="preserve"> and</w:t>
      </w:r>
      <w:r w:rsidR="005330DD">
        <w:rPr>
          <w:rFonts w:ascii="Times New Roman"/>
        </w:rPr>
        <w:t>;</w:t>
      </w:r>
      <w:r w:rsidRPr="006D32ED">
        <w:rPr>
          <w:rFonts w:ascii="Times New Roman"/>
        </w:rPr>
        <w:t xml:space="preserve"> based on accurate, timely and</w:t>
      </w:r>
      <w:r>
        <w:rPr>
          <w:rFonts w:ascii="Times New Roman"/>
        </w:rPr>
        <w:t xml:space="preserve"> </w:t>
      </w:r>
      <w:r w:rsidRPr="006D32ED">
        <w:rPr>
          <w:rFonts w:ascii="Times New Roman"/>
        </w:rPr>
        <w:t>sufficient information provided in a culturally</w:t>
      </w:r>
      <w:r>
        <w:rPr>
          <w:rFonts w:ascii="Times New Roman"/>
        </w:rPr>
        <w:t xml:space="preserve"> </w:t>
      </w:r>
      <w:r w:rsidRPr="006D32ED">
        <w:rPr>
          <w:rFonts w:ascii="Times New Roman"/>
        </w:rPr>
        <w:t>appropriate way (informed) for it to be considered</w:t>
      </w:r>
      <w:r>
        <w:rPr>
          <w:rFonts w:ascii="Times New Roman"/>
        </w:rPr>
        <w:t xml:space="preserve"> </w:t>
      </w:r>
      <w:r w:rsidRPr="006D32ED">
        <w:rPr>
          <w:rFonts w:ascii="Times New Roman"/>
        </w:rPr>
        <w:t>a valid result or outcome of a collective decision</w:t>
      </w:r>
      <w:r>
        <w:rPr>
          <w:rFonts w:ascii="Times New Roman"/>
        </w:rPr>
        <w:t>-</w:t>
      </w:r>
      <w:r w:rsidRPr="006D32ED">
        <w:rPr>
          <w:rFonts w:ascii="Times New Roman"/>
        </w:rPr>
        <w:t>making process</w:t>
      </w:r>
      <w:r w:rsidR="00804973">
        <w:rPr>
          <w:rFonts w:ascii="Times New Roman"/>
        </w:rPr>
        <w:t xml:space="preserve"> </w:t>
      </w:r>
      <w:r w:rsidR="008F07C5">
        <w:rPr>
          <w:rFonts w:ascii="Times New Roman"/>
        </w:rPr>
        <w:fldChar w:fldCharType="begin" w:fldLock="1"/>
      </w:r>
      <w:r w:rsidR="008F07C5">
        <w:rPr>
          <w:rFonts w:ascii="Times New Roman"/>
        </w:rPr>
        <w:instrText>ADDIN CSL_CITATION {"citationItems":[{"id":"ITEM-1","itemData":{"author":[{"dropping-particle":"","family":"Food and Agriculture Organization","given":"","non-dropping-particle":"","parse-names":false,"suffix":""}],"id":"ITEM-1","issued":{"date-parts":[["2016"]]},"number-of-pages":"52","publisher-place":"Rome, Italy","title":"Free Prior and Informed Consent: An indigenous peoples</w:instrText>
      </w:r>
      <w:r w:rsidR="008F07C5">
        <w:rPr>
          <w:rFonts w:ascii="Times New Roman"/>
        </w:rPr>
        <w:instrText>’</w:instrText>
      </w:r>
      <w:r w:rsidR="008F07C5">
        <w:rPr>
          <w:rFonts w:ascii="Times New Roman"/>
        </w:rPr>
        <w:instrText xml:space="preserve"> right and a good practice for local communities","type":"report"},"uris":["http://www.mendeley.com/documents/?uuid=73d12527-d600-488b-9d0f-734b8800c79a"]}],"mendeley":{"formattedCitation":"(Food and Agriculture Organization, 2016)","manualFormatting":"(FAO, 2016;","plainTextFormattedCitation":"(Food and Agriculture Organization, 2016)","previouslyFormattedCitation":"(Food and Agriculture Organization, 2016)"},"properties":{"noteIndex":0},"schema":"https://github.com/citation-style-language/schema/raw/master/csl-citation.json"}</w:instrText>
      </w:r>
      <w:r w:rsidR="008F07C5">
        <w:rPr>
          <w:rFonts w:ascii="Times New Roman"/>
        </w:rPr>
        <w:fldChar w:fldCharType="separate"/>
      </w:r>
      <w:r w:rsidR="008F07C5" w:rsidRPr="004254AC">
        <w:rPr>
          <w:rFonts w:ascii="Times New Roman"/>
          <w:noProof/>
        </w:rPr>
        <w:t>(F</w:t>
      </w:r>
      <w:r w:rsidR="008F07C5">
        <w:rPr>
          <w:rFonts w:ascii="Times New Roman"/>
          <w:noProof/>
        </w:rPr>
        <w:t>AO, 2016;</w:t>
      </w:r>
      <w:r w:rsidR="008F07C5">
        <w:rPr>
          <w:rFonts w:ascii="Times New Roman"/>
        </w:rPr>
        <w:fldChar w:fldCharType="end"/>
      </w:r>
      <w:r w:rsidR="008F07C5">
        <w:rPr>
          <w:rFonts w:ascii="Times New Roman"/>
        </w:rPr>
        <w:t xml:space="preserve"> </w:t>
      </w:r>
      <w:r w:rsidR="008F07C5">
        <w:rPr>
          <w:rFonts w:ascii="Times New Roman"/>
        </w:rPr>
        <w:fldChar w:fldCharType="begin" w:fldLock="1"/>
      </w:r>
      <w:r w:rsidR="00A048BC">
        <w:rPr>
          <w:rFonts w:ascii="Times New Roman"/>
        </w:rPr>
        <w:instrText>ADDIN CSL_CITATION {"citationItems":[{"id":"ITEM-1","itemData":{"author":[{"dropping-particle":"","family":"Secretariat of the Convention on Biological Diversity","given":"","non-dropping-particle":"","parse-names":false,"suffix":""}],"id":"ITEM-1","issued":{"date-parts":[["2019"]]},"number-of-pages":"9","publisher-place":"Montreal, Canada","title":"Mo</w:instrText>
      </w:r>
      <w:r w:rsidR="00A048BC">
        <w:rPr>
          <w:rFonts w:ascii="Times New Roman"/>
        </w:rPr>
        <w:instrText>’</w:instrText>
      </w:r>
      <w:r w:rsidR="00A048BC">
        <w:rPr>
          <w:rFonts w:ascii="Times New Roman"/>
        </w:rPr>
        <w:instrText xml:space="preserve"> otz Kuxtal Voluntary Guidelines","type":"book"},"uris":["http://www.mendeley.com/documents/?uuid=03722048-35cc-4e69-bb80-3fe05f3e693c"]}],"mendeley":{"formattedCitation":"(Secretariat of the Convention on Biological Diversity, 2019a)","manualFormatting":"SCBD, 2019a)","plainTextFormattedCitation":"(Secretariat of the Convention on Biological Diversity, 2019a)","previouslyFormattedCitation":"(Secretariat of the Convention on Biological Diversity, 2019a)"},"properties":{"noteIndex":0},"schema":"https://github.com/citation-style-language/schema/raw/master/csl-citation.json"}</w:instrText>
      </w:r>
      <w:r w:rsidR="008F07C5">
        <w:rPr>
          <w:rFonts w:ascii="Times New Roman"/>
        </w:rPr>
        <w:fldChar w:fldCharType="separate"/>
      </w:r>
      <w:r w:rsidR="008F07C5" w:rsidRPr="00A80842">
        <w:rPr>
          <w:rFonts w:ascii="Times New Roman"/>
          <w:noProof/>
        </w:rPr>
        <w:t>S</w:t>
      </w:r>
      <w:r w:rsidR="008F07C5">
        <w:rPr>
          <w:rFonts w:ascii="Times New Roman"/>
          <w:noProof/>
        </w:rPr>
        <w:t>CBD, 2019a)</w:t>
      </w:r>
      <w:r w:rsidR="008F07C5">
        <w:rPr>
          <w:rFonts w:ascii="Times New Roman"/>
        </w:rPr>
        <w:fldChar w:fldCharType="end"/>
      </w:r>
      <w:r w:rsidR="008F07C5">
        <w:rPr>
          <w:rFonts w:ascii="Times New Roman"/>
          <w:noProof/>
        </w:rPr>
        <w:t>)</w:t>
      </w:r>
      <w:r>
        <w:rPr>
          <w:rFonts w:ascii="Times New Roman"/>
        </w:rPr>
        <w:t>. Further,</w:t>
      </w:r>
      <w:r w:rsidR="007F1441">
        <w:rPr>
          <w:rFonts w:ascii="Times New Roman"/>
        </w:rPr>
        <w:t xml:space="preserve"> </w:t>
      </w:r>
      <w:r w:rsidR="6C861FED" w:rsidRPr="38902166">
        <w:rPr>
          <w:rFonts w:ascii="Times New Roman"/>
        </w:rPr>
        <w:t>F</w:t>
      </w:r>
      <w:r w:rsidR="23E13C33" w:rsidRPr="38902166">
        <w:rPr>
          <w:rFonts w:ascii="Times New Roman"/>
        </w:rPr>
        <w:t>P</w:t>
      </w:r>
      <w:r w:rsidR="6C861FED" w:rsidRPr="38902166">
        <w:rPr>
          <w:rFonts w:ascii="Times New Roman"/>
        </w:rPr>
        <w:t>IC</w:t>
      </w:r>
      <w:r w:rsidRPr="006D32ED">
        <w:rPr>
          <w:rFonts w:ascii="Times New Roman"/>
        </w:rPr>
        <w:t xml:space="preserve"> is not just a result of a process to obtain</w:t>
      </w:r>
      <w:r>
        <w:rPr>
          <w:rFonts w:ascii="Times New Roman"/>
        </w:rPr>
        <w:t xml:space="preserve"> </w:t>
      </w:r>
      <w:r w:rsidRPr="006D32ED">
        <w:rPr>
          <w:rFonts w:ascii="Times New Roman"/>
        </w:rPr>
        <w:t>consent to a particular project; it is also a process in</w:t>
      </w:r>
      <w:r>
        <w:rPr>
          <w:rFonts w:ascii="Times New Roman"/>
        </w:rPr>
        <w:t xml:space="preserve"> </w:t>
      </w:r>
      <w:r w:rsidRPr="006D32ED">
        <w:rPr>
          <w:rFonts w:ascii="Times New Roman"/>
        </w:rPr>
        <w:t xml:space="preserve">itself, and one by which </w:t>
      </w:r>
      <w:r>
        <w:rPr>
          <w:rFonts w:ascii="Times New Roman"/>
        </w:rPr>
        <w:t>IPLCs</w:t>
      </w:r>
      <w:r w:rsidR="00492B78">
        <w:rPr>
          <w:rFonts w:ascii="Times New Roman"/>
        </w:rPr>
        <w:t xml:space="preserve"> are involve</w:t>
      </w:r>
      <w:r w:rsidR="00250E7C">
        <w:rPr>
          <w:rFonts w:ascii="Times New Roman"/>
        </w:rPr>
        <w:t>d</w:t>
      </w:r>
      <w:r w:rsidR="00492B78">
        <w:rPr>
          <w:rFonts w:ascii="Times New Roman"/>
        </w:rPr>
        <w:t xml:space="preserve"> through th</w:t>
      </w:r>
      <w:r w:rsidR="00503120">
        <w:rPr>
          <w:rFonts w:ascii="Times New Roman"/>
        </w:rPr>
        <w:t>e</w:t>
      </w:r>
      <w:r w:rsidR="00492B78">
        <w:rPr>
          <w:rFonts w:ascii="Times New Roman"/>
        </w:rPr>
        <w:t>ir</w:t>
      </w:r>
      <w:r w:rsidR="000B3AC3">
        <w:rPr>
          <w:rFonts w:ascii="Times New Roman"/>
        </w:rPr>
        <w:t xml:space="preserve"> full and effective participation </w:t>
      </w:r>
      <w:r w:rsidR="00ED0CA5">
        <w:rPr>
          <w:rFonts w:ascii="Times New Roman"/>
        </w:rPr>
        <w:t>in</w:t>
      </w:r>
      <w:r>
        <w:rPr>
          <w:rFonts w:ascii="Times New Roman"/>
        </w:rPr>
        <w:t xml:space="preserve"> </w:t>
      </w:r>
      <w:r w:rsidRPr="006D32ED">
        <w:rPr>
          <w:rFonts w:ascii="Times New Roman"/>
        </w:rPr>
        <w:t>discussions and decision-making</w:t>
      </w:r>
      <w:r w:rsidR="00896773">
        <w:rPr>
          <w:rFonts w:ascii="Times New Roman"/>
        </w:rPr>
        <w:t xml:space="preserve"> </w:t>
      </w:r>
      <w:r w:rsidR="008F07C5">
        <w:rPr>
          <w:rFonts w:ascii="Times New Roman"/>
        </w:rPr>
        <w:fldChar w:fldCharType="begin" w:fldLock="1"/>
      </w:r>
      <w:r w:rsidR="008F07C5">
        <w:rPr>
          <w:rFonts w:ascii="Times New Roman"/>
        </w:rPr>
        <w:instrText>ADDIN CSL_CITATION {"citationItems":[{"id":"ITEM-1","itemData":{"author":[{"dropping-particle":"","family":"Food and Agriculture Organization","given":"","non-dropping-particle":"","parse-names":false,"suffix":""}],"id":"ITEM-1","issued":{"date-parts":[["2016"]]},"number-of-pages":"52","publisher-place":"Rome, Italy","title":"Free Prior and Informed Consent: An indigenous peoples</w:instrText>
      </w:r>
      <w:r w:rsidR="008F07C5">
        <w:rPr>
          <w:rFonts w:ascii="Times New Roman"/>
        </w:rPr>
        <w:instrText>’</w:instrText>
      </w:r>
      <w:r w:rsidR="008F07C5">
        <w:rPr>
          <w:rFonts w:ascii="Times New Roman"/>
        </w:rPr>
        <w:instrText xml:space="preserve"> right and a good practice for local communities","type":"report"},"uris":["http://www.mendeley.com/documents/?uuid=73d12527-d600-488b-9d0f-734b8800c79a"]}],"mendeley":{"formattedCitation":"(Food and Agriculture Organization, 2016)","manualFormatting":"(FAO, 2016;","plainTextFormattedCitation":"(Food and Agriculture Organization, 2016)","previouslyFormattedCitation":"(Food and Agriculture Organization, 2016)"},"properties":{"noteIndex":0},"schema":"https://github.com/citation-style-language/schema/raw/master/csl-citation.json"}</w:instrText>
      </w:r>
      <w:r w:rsidR="008F07C5">
        <w:rPr>
          <w:rFonts w:ascii="Times New Roman"/>
        </w:rPr>
        <w:fldChar w:fldCharType="separate"/>
      </w:r>
      <w:r w:rsidR="008F07C5" w:rsidRPr="004254AC">
        <w:rPr>
          <w:rFonts w:ascii="Times New Roman"/>
          <w:noProof/>
        </w:rPr>
        <w:t>(F</w:t>
      </w:r>
      <w:r w:rsidR="008F07C5">
        <w:rPr>
          <w:rFonts w:ascii="Times New Roman"/>
          <w:noProof/>
        </w:rPr>
        <w:t>AO, 2016;</w:t>
      </w:r>
      <w:r w:rsidR="008F07C5">
        <w:rPr>
          <w:rFonts w:ascii="Times New Roman"/>
        </w:rPr>
        <w:fldChar w:fldCharType="end"/>
      </w:r>
      <w:r w:rsidR="008F07C5">
        <w:rPr>
          <w:rFonts w:ascii="Times New Roman"/>
        </w:rPr>
        <w:t xml:space="preserve"> </w:t>
      </w:r>
      <w:r w:rsidR="008F07C5">
        <w:rPr>
          <w:rFonts w:ascii="Times New Roman"/>
        </w:rPr>
        <w:fldChar w:fldCharType="begin" w:fldLock="1"/>
      </w:r>
      <w:r w:rsidR="00A048BC">
        <w:rPr>
          <w:rFonts w:ascii="Times New Roman"/>
        </w:rPr>
        <w:instrText>ADDIN CSL_CITATION {"citationItems":[{"id":"ITEM-1","itemData":{"author":[{"dropping-particle":"","family":"Secretariat of the Convention on Biological Diversity","given":"","non-dropping-particle":"","parse-names":false,"suffix":""}],"id":"ITEM-1","issued":{"date-parts":[["2019"]]},"number-of-pages":"9","publisher-place":"Montreal, Canada","title":"Mo</w:instrText>
      </w:r>
      <w:r w:rsidR="00A048BC">
        <w:rPr>
          <w:rFonts w:ascii="Times New Roman"/>
        </w:rPr>
        <w:instrText>’</w:instrText>
      </w:r>
      <w:r w:rsidR="00A048BC">
        <w:rPr>
          <w:rFonts w:ascii="Times New Roman"/>
        </w:rPr>
        <w:instrText xml:space="preserve"> otz Kuxtal Voluntary Guidelines","type":"book"},"uris":["http://www.mendeley.com/documents/?uuid=03722048-35cc-4e69-bb80-3fe05f3e693c"]}],"mendeley":{"formattedCitation":"(Secretariat of the Convention on Biological Diversity, 2019a)","manualFormatting":"SCBD, 2019a)","plainTextFormattedCitation":"(Secretariat of the Convention on Biological Diversity, 2019a)","previouslyFormattedCitation":"(Secretariat of the Convention on Biological Diversity, 2019a)"},"properties":{"noteIndex":0},"schema":"https://github.com/citation-style-language/schema/raw/master/csl-citation.json"}</w:instrText>
      </w:r>
      <w:r w:rsidR="008F07C5">
        <w:rPr>
          <w:rFonts w:ascii="Times New Roman"/>
        </w:rPr>
        <w:fldChar w:fldCharType="separate"/>
      </w:r>
      <w:r w:rsidR="008F07C5" w:rsidRPr="00A80842">
        <w:rPr>
          <w:rFonts w:ascii="Times New Roman"/>
          <w:noProof/>
        </w:rPr>
        <w:t>S</w:t>
      </w:r>
      <w:r w:rsidR="008F07C5">
        <w:rPr>
          <w:rFonts w:ascii="Times New Roman"/>
          <w:noProof/>
        </w:rPr>
        <w:t>CBD, 2019a)</w:t>
      </w:r>
      <w:r w:rsidR="008F07C5">
        <w:rPr>
          <w:rFonts w:ascii="Times New Roman"/>
        </w:rPr>
        <w:fldChar w:fldCharType="end"/>
      </w:r>
      <w:r>
        <w:rPr>
          <w:rFonts w:ascii="Times New Roman"/>
        </w:rPr>
        <w:t>.</w:t>
      </w:r>
      <w:r w:rsidR="008171A4">
        <w:rPr>
          <w:rFonts w:ascii="Times New Roman"/>
        </w:rPr>
        <w:t xml:space="preserve"> Additionally, </w:t>
      </w:r>
      <w:r w:rsidR="00C42AF3">
        <w:rPr>
          <w:rFonts w:ascii="Times New Roman"/>
        </w:rPr>
        <w:t>“</w:t>
      </w:r>
      <w:r w:rsidR="008171A4">
        <w:rPr>
          <w:rFonts w:ascii="Times New Roman"/>
        </w:rPr>
        <w:t>prior and informed consent</w:t>
      </w:r>
      <w:r w:rsidR="00C42AF3">
        <w:rPr>
          <w:rFonts w:ascii="Times New Roman"/>
        </w:rPr>
        <w:t>”</w:t>
      </w:r>
      <w:r w:rsidR="008171A4">
        <w:rPr>
          <w:rFonts w:ascii="Times New Roman"/>
        </w:rPr>
        <w:t xml:space="preserve"> was also enshrined in the Akw</w:t>
      </w:r>
      <w:r w:rsidR="008171A4">
        <w:rPr>
          <w:rFonts w:ascii="Times New Roman"/>
        </w:rPr>
        <w:t>é</w:t>
      </w:r>
      <w:r w:rsidR="008171A4">
        <w:rPr>
          <w:rFonts w:ascii="Times New Roman"/>
        </w:rPr>
        <w:t xml:space="preserve">: Kon Voluntary Guidelines, which were developed under the CBD for the conduct of cultural, environmental and social impact assessments related to developments that would take place on or likely impact sacred sites, and on lands and waters traditionally occupied or used by IPLCs </w:t>
      </w:r>
      <w:r w:rsidR="00A048BC">
        <w:rPr>
          <w:rFonts w:ascii="Times New Roman"/>
        </w:rPr>
        <w:fldChar w:fldCharType="begin" w:fldLock="1"/>
      </w:r>
      <w:r w:rsidR="0049457D">
        <w:rPr>
          <w:rFonts w:ascii="Times New Roman"/>
        </w:rPr>
        <w:instrText>ADDIN CSL_CITATION {"citationItems":[{"id":"ITEM-1","itemData":{"ISBN":"9292250108","abstract":"The guidelines provide advice on how to incorporate cultural, environmental (including biodiversity-related), and social considerations of indigenous and local communities into new or existing impact-assessment procedures, to ensure appropriate development. They support the full and effective participation of indigenous and local communities in screening, scoping, and development planning exercises, taking into account their traditional knowledge, innovations, and practices.","author":[{"dropping-particle":"","family":"Secretariat of the Convention on Biological Diversity","given":"","non-dropping-particle":"","parse-names":false,"suffix":""}],"id":"ITEM-1","issued":{"date-parts":[["2004"]]},"number-of-pages":"25","publisher":"Secretariat of the Convention on Biological Diversity","title":"Akwé kon : voluntary guidelines for the conduct of cultural, environmental, and social impact assessments regarding developments proposed to take place on, or which are likely to impact on, sacred sites and on lands and waters traditionally occupied or u","type":"book"},"uris":["http://www.mendeley.com/documents/?uuid=b7591a0e-5aa5-4259-9433-a7952b022f4f"]}],"mendeley":{"formattedCitation":"(Secretariat of the Convention on Biological Diversity, 2004)","plainTextFormattedCitation":"(Secretariat of the Convention on Biological Diversity, 2004)","previouslyFormattedCitation":"(Secretariat of the Convention on Biological Diversity, 2004)"},"properties":{"noteIndex":0},"schema":"https://github.com/citation-style-language/schema/raw/master/csl-citation.json"}</w:instrText>
      </w:r>
      <w:r w:rsidR="00A048BC">
        <w:rPr>
          <w:rFonts w:ascii="Times New Roman"/>
        </w:rPr>
        <w:fldChar w:fldCharType="separate"/>
      </w:r>
      <w:r w:rsidR="00A048BC" w:rsidRPr="00A048BC">
        <w:rPr>
          <w:rFonts w:ascii="Times New Roman"/>
          <w:noProof/>
        </w:rPr>
        <w:t>(Secretariat of the Convention on Biological Diversity, 2004)</w:t>
      </w:r>
      <w:r w:rsidR="00A048BC">
        <w:rPr>
          <w:rFonts w:ascii="Times New Roman"/>
        </w:rPr>
        <w:fldChar w:fldCharType="end"/>
      </w:r>
      <w:r w:rsidR="008171A4">
        <w:rPr>
          <w:rFonts w:ascii="Times New Roman"/>
        </w:rPr>
        <w:t xml:space="preserve">. </w:t>
      </w:r>
      <w:r w:rsidR="008171A4" w:rsidDel="008171A4">
        <w:rPr>
          <w:rStyle w:val="CommentReference"/>
          <w:rFonts w:ascii="Times New Roman" w:eastAsia="Times New Roman" w:hAnsi="Times New Roman"/>
          <w:kern w:val="1"/>
          <w:szCs w:val="24"/>
          <w:lang w:val="x-none" w:eastAsia="ar-SA"/>
        </w:rPr>
        <w:t xml:space="preserve"> </w:t>
      </w:r>
    </w:p>
    <w:p w14:paraId="5040BA16" w14:textId="69836D16" w:rsidR="00D44054" w:rsidRDefault="00D44054" w:rsidP="00D44054">
      <w:pPr>
        <w:spacing w:after="120" w:line="240" w:lineRule="auto"/>
        <w:jc w:val="both"/>
        <w:rPr>
          <w:rFonts w:ascii="Times New Roman"/>
        </w:rPr>
      </w:pPr>
      <w:r>
        <w:rPr>
          <w:rFonts w:ascii="Times New Roman"/>
        </w:rPr>
        <w:t xml:space="preserve">Despite the increasing awareness of, and resources available to support, participatory decision-making processes, translating </w:t>
      </w:r>
      <w:r w:rsidRPr="00126C57">
        <w:rPr>
          <w:rFonts w:ascii="Times New Roman"/>
        </w:rPr>
        <w:t>FPIC into practice across national, state, or provincial contexts of land and resource governance</w:t>
      </w:r>
      <w:r>
        <w:rPr>
          <w:rFonts w:ascii="Times New Roman"/>
        </w:rPr>
        <w:t xml:space="preserve"> however</w:t>
      </w:r>
      <w:r w:rsidRPr="00126C57">
        <w:rPr>
          <w:rFonts w:ascii="Times New Roman"/>
        </w:rPr>
        <w:t xml:space="preserve"> has proved challenging</w:t>
      </w:r>
      <w:r>
        <w:rPr>
          <w:rFonts w:ascii="Times New Roman"/>
        </w:rPr>
        <w:t xml:space="preserve"> </w:t>
      </w:r>
      <w:r w:rsidR="00504413">
        <w:rPr>
          <w:rFonts w:ascii="Times New Roman"/>
        </w:rPr>
        <w:fldChar w:fldCharType="begin" w:fldLock="1"/>
      </w:r>
      <w:r w:rsidR="00504413">
        <w:rPr>
          <w:rFonts w:ascii="Times New Roman"/>
        </w:rPr>
        <w:instrText xml:space="preserve">ADDIN CSL_CITATION {"citationItems":[{"id":"ITEM-1","itemData":{"DOI":"10.1098/rspb.2019.1484","ISSN":"0962-8452","abstract":"Recent statements by United Nations bodies point to free, prior and informed consent (FPIC) as a potential requirement in the development of engineered gene drive applications. As a concept developed in the context of protecting Indigenous rights to self-determination in land development scenarios, FPIC would need to be extended to apply to the context of ecological editing. Without an explicit framework of application, FPIC could be interpreted as a narrowly framed process of community consultation focused on the social implications of technology, and award little formal or advisory power in decision-making to Indigenous peoples and local communities. In this paper, we argue for an articulation of FPIC that attends to issues of transparency, iterative community-scale consent, and shared power through co-development among Indigenous peoples, local communities, researchers and technology developers. In realizing a comprehensive FPIC process, researchers and developers have an opportunity to incorporate enhanced participation and social guidance mechanisms into the design, development and implementation of engineered gene drive applications.","author":[{"dropping-particle":"","family":"George","given":"Dalton R.","non-dropping-particle":"","parse-names":false,"suffix":""},{"dropping-particle":"","family":"Kuiken","given":"Todd","non-dropping-particle":"","parse-names":false,"suffix":""},{"dropping-particle":"","family":"Delborne","given":"Jason A.","non-dropping-particle":"","parse-names":false,"suffix":""}],"container-title":"Proceedings of the Royal Society B: Biological Sciences","id":"ITEM-1","issue":"1917","issued":{"date-parts":[["2019","12","18"]]},"page":"20191484","title":"Articulating </w:instrText>
      </w:r>
      <w:r w:rsidR="00504413">
        <w:rPr>
          <w:rFonts w:ascii="Times New Roman"/>
        </w:rPr>
        <w:instrText>‘</w:instrText>
      </w:r>
      <w:r w:rsidR="00504413">
        <w:rPr>
          <w:rFonts w:ascii="Times New Roman"/>
        </w:rPr>
        <w:instrText>free, prior and informed consent</w:instrText>
      </w:r>
      <w:r w:rsidR="00504413">
        <w:rPr>
          <w:rFonts w:ascii="Times New Roman"/>
        </w:rPr>
        <w:instrText>’</w:instrText>
      </w:r>
      <w:r w:rsidR="00504413">
        <w:rPr>
          <w:rFonts w:ascii="Times New Roman"/>
        </w:rPr>
        <w:instrText xml:space="preserve"> (FPIC) for engineered gene drives","type":"article-journal","volume":"286"},"uris":["http://www.mendeley.com/documents/?uuid=3fe1e81b-53db-44f1-a4aa-7ac6513a97de"]}],"mendeley":{"formattedCitation":"(George et al., 2019)","plainTextFormattedCitation":"(George et al., 2019)","previouslyFormattedCitation":"(George et al., 2019)"},"properties":{"noteIndex":0},"schema":"https://github.com/citation-style-language/schema/raw/master/csl-citation.json"}</w:instrText>
      </w:r>
      <w:r w:rsidR="00504413">
        <w:rPr>
          <w:rFonts w:ascii="Times New Roman"/>
        </w:rPr>
        <w:fldChar w:fldCharType="separate"/>
      </w:r>
      <w:r w:rsidR="00504413" w:rsidRPr="00F80C6F">
        <w:rPr>
          <w:rFonts w:ascii="Times New Roman"/>
          <w:noProof/>
        </w:rPr>
        <w:t>(George et al., 2019)</w:t>
      </w:r>
      <w:r w:rsidR="00504413">
        <w:rPr>
          <w:rFonts w:ascii="Times New Roman"/>
        </w:rPr>
        <w:fldChar w:fldCharType="end"/>
      </w:r>
      <w:r w:rsidR="005330DD">
        <w:rPr>
          <w:rFonts w:ascii="Times New Roman"/>
        </w:rPr>
        <w:t xml:space="preserve"> and</w:t>
      </w:r>
      <w:r>
        <w:rPr>
          <w:rFonts w:ascii="Times New Roman"/>
        </w:rPr>
        <w:t xml:space="preserve"> </w:t>
      </w:r>
      <w:r w:rsidR="005330DD">
        <w:rPr>
          <w:rFonts w:ascii="Times New Roman"/>
        </w:rPr>
        <w:t>t</w:t>
      </w:r>
      <w:r>
        <w:rPr>
          <w:rFonts w:ascii="Times New Roman"/>
        </w:rPr>
        <w:t xml:space="preserve">he </w:t>
      </w:r>
      <w:r w:rsidRPr="000763FB">
        <w:rPr>
          <w:rFonts w:ascii="Times New Roman"/>
        </w:rPr>
        <w:t>Convention on Biological Diversity</w:t>
      </w:r>
      <w:r>
        <w:rPr>
          <w:rFonts w:ascii="Times New Roman"/>
        </w:rPr>
        <w:t xml:space="preserve"> is no exception. Enshrined in its preamble and provisions is the recognition of</w:t>
      </w:r>
      <w:r w:rsidRPr="000763FB">
        <w:rPr>
          <w:rFonts w:ascii="Times New Roman"/>
        </w:rPr>
        <w:t xml:space="preserve"> the dependenc</w:t>
      </w:r>
      <w:r>
        <w:rPr>
          <w:rFonts w:ascii="Times New Roman"/>
        </w:rPr>
        <w:t>e</w:t>
      </w:r>
      <w:r w:rsidRPr="000763FB">
        <w:rPr>
          <w:rFonts w:ascii="Times New Roman"/>
        </w:rPr>
        <w:t xml:space="preserve"> of </w:t>
      </w:r>
      <w:r>
        <w:rPr>
          <w:rFonts w:ascii="Times New Roman"/>
        </w:rPr>
        <w:t xml:space="preserve">IPLCs </w:t>
      </w:r>
      <w:r w:rsidRPr="000763FB">
        <w:rPr>
          <w:rFonts w:ascii="Times New Roman"/>
        </w:rPr>
        <w:t>on biological diversity and the</w:t>
      </w:r>
      <w:r>
        <w:rPr>
          <w:rFonts w:ascii="Times New Roman"/>
        </w:rPr>
        <w:t>ir</w:t>
      </w:r>
      <w:r w:rsidRPr="000763FB">
        <w:rPr>
          <w:rFonts w:ascii="Times New Roman"/>
        </w:rPr>
        <w:t xml:space="preserve"> unique role in conserving life on Earth. </w:t>
      </w:r>
      <w:r>
        <w:rPr>
          <w:rFonts w:ascii="Times New Roman"/>
        </w:rPr>
        <w:t xml:space="preserve">Further, issues concerning IPLCs are reflected in the recommendations and decisions of bodies at all </w:t>
      </w:r>
      <w:r w:rsidRPr="5C2DFCAC">
        <w:rPr>
          <w:rFonts w:ascii="Times New Roman"/>
        </w:rPr>
        <w:t>level</w:t>
      </w:r>
      <w:r w:rsidR="6038A9F1" w:rsidRPr="5C2DFCAC">
        <w:rPr>
          <w:rFonts w:ascii="Times New Roman"/>
        </w:rPr>
        <w:t>s</w:t>
      </w:r>
      <w:r>
        <w:rPr>
          <w:rFonts w:ascii="Times New Roman"/>
        </w:rPr>
        <w:t xml:space="preserve"> of the Convention, for example, the </w:t>
      </w:r>
      <w:r w:rsidRPr="00F05C79">
        <w:rPr>
          <w:rFonts w:ascii="Times New Roman"/>
        </w:rPr>
        <w:t xml:space="preserve">2017 AHTEG </w:t>
      </w:r>
      <w:r>
        <w:rPr>
          <w:rFonts w:ascii="Times New Roman"/>
        </w:rPr>
        <w:t>on Synthetic Biology</w:t>
      </w:r>
      <w:r>
        <w:rPr>
          <w:rFonts w:ascii="Times New Roman"/>
        </w:rPr>
        <w:t>’</w:t>
      </w:r>
      <w:r>
        <w:rPr>
          <w:rFonts w:ascii="Times New Roman"/>
        </w:rPr>
        <w:t xml:space="preserve">s recognition that </w:t>
      </w:r>
      <w:r w:rsidRPr="00F05C79">
        <w:rPr>
          <w:rFonts w:ascii="Times New Roman"/>
        </w:rPr>
        <w:t xml:space="preserve">IPLCs regard all components of </w:t>
      </w:r>
      <w:r w:rsidR="00E002C0">
        <w:rPr>
          <w:rFonts w:ascii="Times New Roman"/>
        </w:rPr>
        <w:t>“</w:t>
      </w:r>
      <w:r w:rsidRPr="00F05C79">
        <w:rPr>
          <w:rFonts w:ascii="Times New Roman"/>
        </w:rPr>
        <w:t>Mother Nature</w:t>
      </w:r>
      <w:r w:rsidR="00E002C0">
        <w:rPr>
          <w:rFonts w:ascii="Times New Roman"/>
        </w:rPr>
        <w:t>”</w:t>
      </w:r>
      <w:r w:rsidRPr="00F05C79">
        <w:rPr>
          <w:rFonts w:ascii="Times New Roman"/>
        </w:rPr>
        <w:t xml:space="preserve"> as living entities</w:t>
      </w:r>
      <w:r w:rsidR="00504413">
        <w:rPr>
          <w:rFonts w:ascii="Times New Roman"/>
        </w:rPr>
        <w:t xml:space="preserve"> </w:t>
      </w:r>
      <w:r w:rsidR="0049457D">
        <w:rPr>
          <w:rFonts w:ascii="Times New Roman"/>
        </w:rPr>
        <w:fldChar w:fldCharType="begin" w:fldLock="1"/>
      </w:r>
      <w:r w:rsidR="006B456E">
        <w:rPr>
          <w:rFonts w:ascii="Times New Roman"/>
        </w:rPr>
        <w:instrText>ADDIN CSL_CITATION {"citationItems":[{"id":"ITEM-1","itemData":{"author":[{"dropping-particle":"","family":"Secretariat of the Convention on Biological Diversity","given":"","non-dropping-particle":"","parse-names":false,"suffix":""}],"id":"ITEM-1","issued":{"date-parts":[["2017"]]},"number-of-pages":"17","publisher-place":"Montreal, Canada","title":"Report of the Ad Hoc Technical Expert Group on Synthetic Biology, Montreal, Canada, 5-8 December 2017","type":"report"},"uris":["http://www.mendeley.com/documents/?uuid=0cad52e5-e13a-4ee4-bb8a-ce06c7421c81"]}],"mendeley":{"formattedCitation":"(Secretariat of the Convention on Biological Diversity, 2017)","manualFormatting":"(SCBD, 2017)","plainTextFormattedCitation":"(Secretariat of the Convention on Biological Diversity, 2017)","previouslyFormattedCitation":"(Secretariat of the Convention on Biological Diversity, 2017)"},"properties":{"noteIndex":0},"schema":"https://github.com/citation-style-language/schema/raw/master/csl-citation.json"}</w:instrText>
      </w:r>
      <w:r w:rsidR="0049457D">
        <w:rPr>
          <w:rFonts w:ascii="Times New Roman"/>
        </w:rPr>
        <w:fldChar w:fldCharType="separate"/>
      </w:r>
      <w:r w:rsidR="0049457D" w:rsidRPr="0049457D">
        <w:rPr>
          <w:rFonts w:ascii="Times New Roman"/>
          <w:noProof/>
        </w:rPr>
        <w:t>(S</w:t>
      </w:r>
      <w:r w:rsidR="006B456E">
        <w:rPr>
          <w:rFonts w:ascii="Times New Roman"/>
          <w:noProof/>
        </w:rPr>
        <w:t>CBD</w:t>
      </w:r>
      <w:r w:rsidR="0049457D" w:rsidRPr="0049457D">
        <w:rPr>
          <w:rFonts w:ascii="Times New Roman"/>
          <w:noProof/>
        </w:rPr>
        <w:t>, 2017)</w:t>
      </w:r>
      <w:r w:rsidR="0049457D">
        <w:rPr>
          <w:rFonts w:ascii="Times New Roman"/>
        </w:rPr>
        <w:fldChar w:fldCharType="end"/>
      </w:r>
      <w:r w:rsidR="00E002C0">
        <w:rPr>
          <w:rFonts w:ascii="Times New Roman"/>
        </w:rPr>
        <w:t>. Additionally,</w:t>
      </w:r>
      <w:r>
        <w:rPr>
          <w:rFonts w:ascii="Times New Roman"/>
        </w:rPr>
        <w:t xml:space="preserve"> the 2018 COP 10-14 </w:t>
      </w:r>
      <w:r w:rsidR="00E002C0">
        <w:rPr>
          <w:rFonts w:ascii="Times New Roman"/>
        </w:rPr>
        <w:t>d</w:t>
      </w:r>
      <w:r>
        <w:rPr>
          <w:rFonts w:ascii="Times New Roman"/>
        </w:rPr>
        <w:t>ecision acknowledg</w:t>
      </w:r>
      <w:r w:rsidR="00E002C0">
        <w:rPr>
          <w:rFonts w:ascii="Times New Roman"/>
        </w:rPr>
        <w:t>ed</w:t>
      </w:r>
      <w:r>
        <w:rPr>
          <w:rFonts w:ascii="Times New Roman"/>
        </w:rPr>
        <w:t xml:space="preserve"> the need for FPIC of</w:t>
      </w:r>
      <w:r w:rsidRPr="002005D8">
        <w:rPr>
          <w:rFonts w:ascii="Times New Roman"/>
        </w:rPr>
        <w:t xml:space="preserve"> IPLCs in relation to the </w:t>
      </w:r>
      <w:r>
        <w:rPr>
          <w:rFonts w:ascii="Times New Roman"/>
        </w:rPr>
        <w:t>release of</w:t>
      </w:r>
      <w:r w:rsidRPr="002005D8">
        <w:rPr>
          <w:rFonts w:ascii="Times New Roman"/>
        </w:rPr>
        <w:t xml:space="preserve"> organisms containing engineered gene drives</w:t>
      </w:r>
      <w:r>
        <w:rPr>
          <w:rFonts w:ascii="Times New Roman"/>
        </w:rPr>
        <w:t xml:space="preserve"> (</w:t>
      </w:r>
      <w:r w:rsidR="00E002C0">
        <w:rPr>
          <w:rFonts w:ascii="Times New Roman"/>
        </w:rPr>
        <w:t>see</w:t>
      </w:r>
      <w:r>
        <w:rPr>
          <w:rFonts w:ascii="Times New Roman"/>
        </w:rPr>
        <w:t xml:space="preserve"> Section 8.1.7.).  Yet significant challenges remain in operationalising participatory decision-making and the FPIC of</w:t>
      </w:r>
      <w:r w:rsidRPr="002005D8">
        <w:rPr>
          <w:rFonts w:ascii="Times New Roman"/>
        </w:rPr>
        <w:t xml:space="preserve"> IPLCs</w:t>
      </w:r>
      <w:r>
        <w:rPr>
          <w:rFonts w:ascii="Times New Roman"/>
        </w:rPr>
        <w:t xml:space="preserve">. </w:t>
      </w:r>
    </w:p>
    <w:p w14:paraId="5E2FCE62" w14:textId="6C0FB944" w:rsidR="00D44054" w:rsidRDefault="00D44054" w:rsidP="00D44054">
      <w:pPr>
        <w:spacing w:after="120" w:line="240" w:lineRule="auto"/>
        <w:jc w:val="both"/>
        <w:rPr>
          <w:rFonts w:ascii="Times New Roman"/>
        </w:rPr>
      </w:pPr>
      <w:r>
        <w:rPr>
          <w:rFonts w:ascii="Times New Roman"/>
        </w:rPr>
        <w:t>R</w:t>
      </w:r>
      <w:r w:rsidRPr="006A2BF7">
        <w:rPr>
          <w:rFonts w:ascii="Times New Roman"/>
        </w:rPr>
        <w:t>ecognising</w:t>
      </w:r>
      <w:r w:rsidRPr="006A2BF7">
        <w:rPr>
          <w:rFonts w:ascii="Times New Roman"/>
        </w:rPr>
        <w:t> </w:t>
      </w:r>
      <w:r w:rsidRPr="006A2BF7">
        <w:rPr>
          <w:rFonts w:ascii="Times New Roman"/>
        </w:rPr>
        <w:t>and soliciting indigenous and traditional perspectives on</w:t>
      </w:r>
      <w:r>
        <w:rPr>
          <w:rFonts w:ascii="Times New Roman"/>
        </w:rPr>
        <w:t xml:space="preserve"> synthetic biology, and coherently integrating such perspectives is a persistent challenge. Indeed, </w:t>
      </w:r>
      <w:r w:rsidRPr="006A2BF7">
        <w:rPr>
          <w:rFonts w:ascii="Times New Roman"/>
        </w:rPr>
        <w:t>in the</w:t>
      </w:r>
      <w:r w:rsidRPr="006A2BF7">
        <w:rPr>
          <w:rFonts w:ascii="Times New Roman"/>
        </w:rPr>
        <w:t> </w:t>
      </w:r>
      <w:r w:rsidRPr="006A2BF7">
        <w:rPr>
          <w:rFonts w:ascii="Times New Roman"/>
        </w:rPr>
        <w:t>context of the M</w:t>
      </w:r>
      <w:r w:rsidRPr="006A2BF7">
        <w:rPr>
          <w:rFonts w:ascii="Times New Roman"/>
        </w:rPr>
        <w:t>ā</w:t>
      </w:r>
      <w:r w:rsidRPr="006A2BF7">
        <w:rPr>
          <w:rFonts w:ascii="Times New Roman"/>
        </w:rPr>
        <w:t>ori</w:t>
      </w:r>
      <w:r w:rsidR="00DF3341">
        <w:rPr>
          <w:rFonts w:ascii="Times New Roman"/>
        </w:rPr>
        <w:t xml:space="preserve"> people</w:t>
      </w:r>
      <w:r>
        <w:rPr>
          <w:rFonts w:ascii="Times New Roman"/>
        </w:rPr>
        <w:t>: there</w:t>
      </w:r>
      <w:r w:rsidRPr="006A2BF7">
        <w:rPr>
          <w:rFonts w:ascii="Times New Roman"/>
        </w:rPr>
        <w:t xml:space="preserve"> is no single M</w:t>
      </w:r>
      <w:r w:rsidRPr="006A2BF7">
        <w:rPr>
          <w:rFonts w:ascii="Times New Roman"/>
        </w:rPr>
        <w:t>ā</w:t>
      </w:r>
      <w:r w:rsidRPr="006A2BF7">
        <w:rPr>
          <w:rFonts w:ascii="Times New Roman"/>
        </w:rPr>
        <w:t xml:space="preserve">ori </w:t>
      </w:r>
      <w:r w:rsidRPr="006A2BF7">
        <w:rPr>
          <w:rFonts w:ascii="Times New Roman"/>
        </w:rPr>
        <w:t>“</w:t>
      </w:r>
      <w:r w:rsidRPr="006A2BF7">
        <w:rPr>
          <w:rFonts w:ascii="Times New Roman"/>
        </w:rPr>
        <w:t>perspective</w:t>
      </w:r>
      <w:r w:rsidRPr="006A2BF7">
        <w:rPr>
          <w:rFonts w:ascii="Times New Roman"/>
        </w:rPr>
        <w:t>”</w:t>
      </w:r>
      <w:r w:rsidRPr="006A2BF7">
        <w:rPr>
          <w:rFonts w:ascii="Times New Roman"/>
        </w:rPr>
        <w:t xml:space="preserve"> on synthetic biology, but rather, </w:t>
      </w:r>
      <w:r w:rsidR="00B0367F">
        <w:rPr>
          <w:rFonts w:ascii="Times New Roman"/>
        </w:rPr>
        <w:t xml:space="preserve">there are </w:t>
      </w:r>
      <w:r w:rsidRPr="006A2BF7">
        <w:rPr>
          <w:rFonts w:ascii="Times New Roman"/>
        </w:rPr>
        <w:t>many</w:t>
      </w:r>
      <w:r w:rsidR="00C771E1">
        <w:rPr>
          <w:rFonts w:ascii="Times New Roman"/>
        </w:rPr>
        <w:t>,</w:t>
      </w:r>
      <w:r w:rsidR="00AF70C5">
        <w:rPr>
          <w:rFonts w:ascii="Times New Roman"/>
        </w:rPr>
        <w:t xml:space="preserve"> thus</w:t>
      </w:r>
      <w:r>
        <w:rPr>
          <w:rFonts w:ascii="Times New Roman"/>
        </w:rPr>
        <w:t xml:space="preserve"> </w:t>
      </w:r>
      <w:r w:rsidR="00AF70C5">
        <w:rPr>
          <w:rFonts w:ascii="Times New Roman"/>
        </w:rPr>
        <w:t>u</w:t>
      </w:r>
      <w:r w:rsidRPr="006A2BF7">
        <w:rPr>
          <w:rFonts w:ascii="Times New Roman"/>
        </w:rPr>
        <w:t>nderstanding th</w:t>
      </w:r>
      <w:r>
        <w:rPr>
          <w:rFonts w:ascii="Times New Roman"/>
        </w:rPr>
        <w:t>e</w:t>
      </w:r>
      <w:r w:rsidRPr="006A2BF7">
        <w:rPr>
          <w:rFonts w:ascii="Times New Roman"/>
        </w:rPr>
        <w:t xml:space="preserve"> range of views </w:t>
      </w:r>
      <w:r>
        <w:rPr>
          <w:rFonts w:ascii="Times New Roman"/>
        </w:rPr>
        <w:t xml:space="preserve">within and also across communities requires </w:t>
      </w:r>
      <w:r w:rsidRPr="006A2BF7">
        <w:rPr>
          <w:rFonts w:ascii="Times New Roman"/>
        </w:rPr>
        <w:t>deep engagement with diverse members of potentially affected communities</w:t>
      </w:r>
      <w:r>
        <w:rPr>
          <w:rFonts w:ascii="Times New Roman"/>
        </w:rPr>
        <w:t xml:space="preserve"> </w:t>
      </w:r>
      <w:r w:rsidR="006B456E">
        <w:rPr>
          <w:rFonts w:ascii="Times New Roman" w:eastAsia="SimSun" w:hAnsi="Times New Roman" w:cs="Calibri"/>
          <w:color w:val="000000" w:themeColor="text1"/>
          <w:lang w:eastAsia="hi-IN" w:bidi="hi-IN"/>
        </w:rPr>
        <w:fldChar w:fldCharType="begin" w:fldLock="1"/>
      </w:r>
      <w:r w:rsidR="006B456E">
        <w:rPr>
          <w:rFonts w:ascii="Times New Roman" w:eastAsia="SimSun" w:hAnsi="Times New Roman" w:cs="Calibri"/>
          <w:color w:val="000000" w:themeColor="text1"/>
          <w:lang w:eastAsia="hi-IN" w:bidi="hi-IN"/>
        </w:rPr>
        <w:instrText>ADDIN CSL_CITATION {"citationItems":[{"id":"ITEM-1","itemData":{"DOI":"10.2305/IUCN.CH.2019.05.en","ISBN":"9782831719733","editor":[{"dropping-particle":"","family":"Redford","given":"Kent H.","non-dropping-particle":"","parse-names":false,"suffix":""},{"dropping-particle":"","family":"Brooks","given":"Thomas M.","non-dropping-particle":"","parse-names":false,"suffix":""},{"dropping-particle":"","family":"Macfarlane","given":"Nicholas B.W.","non-dropping-particle":"","parse-names":false,"suffix":""},{"dropping-particle":"","family":"Adams","given":"Jonathan S.","non-dropping-particle":"","parse-names":false,"suffix":""}],"id":"ITEM-1","issued":{"date-parts":[["2019","5","6"]]},"publisher":"IUCN, International Union for Conservation of Nature","title":"Genetic frontiers for conservation: an assessment of synthetic biology and biodiversity conservation: technical assessment","type":"book"},"uris":["http://www.mendeley.com/documents/?uuid=9b6cd793-31c7-4755-8480-3345b89666d3"]}],"mendeley":{"formattedCitation":"(Redford et al., 2019)","manualFormatting":"(Redford et al., 2019)","plainTextFormattedCitation":"(Redford et al., 2019)","previouslyFormattedCitation":"(Redford et al., 2019)"},"properties":{"noteIndex":0},"schema":"https://github.com/citation-style-language/schema/raw/master/csl-citation.json"}</w:instrText>
      </w:r>
      <w:r w:rsidR="006B456E">
        <w:rPr>
          <w:rFonts w:ascii="Times New Roman" w:eastAsia="SimSun" w:hAnsi="Times New Roman" w:cs="Calibri"/>
          <w:color w:val="000000" w:themeColor="text1"/>
          <w:lang w:eastAsia="hi-IN" w:bidi="hi-IN"/>
        </w:rPr>
        <w:fldChar w:fldCharType="separate"/>
      </w:r>
      <w:r w:rsidR="006B456E" w:rsidRPr="00F856DC">
        <w:rPr>
          <w:rFonts w:ascii="Times New Roman" w:eastAsia="SimSun" w:hAnsi="Times New Roman" w:cs="Calibri"/>
          <w:noProof/>
          <w:color w:val="000000" w:themeColor="text1"/>
          <w:lang w:eastAsia="hi-IN" w:bidi="hi-IN"/>
        </w:rPr>
        <w:t>(</w:t>
      </w:r>
      <w:r w:rsidR="006B456E" w:rsidRPr="00E439D7">
        <w:rPr>
          <w:rFonts w:ascii="Times New Roman" w:hAnsi="Times New Roman"/>
          <w:noProof/>
          <w:color w:val="000000" w:themeColor="text1"/>
          <w:lang w:eastAsia="ar-SA"/>
        </w:rPr>
        <w:t>Redford et al., 201</w:t>
      </w:r>
      <w:r w:rsidR="006B456E">
        <w:rPr>
          <w:rFonts w:ascii="Times New Roman" w:hAnsi="Times New Roman"/>
          <w:noProof/>
          <w:color w:val="000000" w:themeColor="text1"/>
          <w:lang w:eastAsia="ar-SA"/>
        </w:rPr>
        <w:t>9</w:t>
      </w:r>
      <w:r w:rsidR="006B456E" w:rsidRPr="00F856DC">
        <w:rPr>
          <w:rFonts w:ascii="Times New Roman" w:eastAsia="SimSun" w:hAnsi="Times New Roman" w:cs="Calibri"/>
          <w:noProof/>
          <w:color w:val="000000" w:themeColor="text1"/>
          <w:lang w:eastAsia="hi-IN" w:bidi="hi-IN"/>
        </w:rPr>
        <w:t>)</w:t>
      </w:r>
      <w:r w:rsidR="006B456E">
        <w:rPr>
          <w:rFonts w:ascii="Times New Roman" w:eastAsia="SimSun" w:hAnsi="Times New Roman" w:cs="Calibri"/>
          <w:color w:val="000000" w:themeColor="text1"/>
          <w:lang w:eastAsia="hi-IN" w:bidi="hi-IN"/>
        </w:rPr>
        <w:fldChar w:fldCharType="end"/>
      </w:r>
      <w:r w:rsidRPr="006A2BF7">
        <w:rPr>
          <w:rFonts w:ascii="Times New Roman"/>
        </w:rPr>
        <w:t>.</w:t>
      </w:r>
      <w:r>
        <w:rPr>
          <w:rFonts w:ascii="Times New Roman"/>
        </w:rPr>
        <w:t xml:space="preserve"> Additionally, </w:t>
      </w:r>
      <w:r w:rsidRPr="006A2BF7">
        <w:rPr>
          <w:rFonts w:ascii="Times New Roman"/>
        </w:rPr>
        <w:t xml:space="preserve">how IPLCs perceive nature, the unique way that they interact with it, and how this can be captured by the global regulatory governance and regulatory scheme, as well as </w:t>
      </w:r>
      <w:r w:rsidR="00AF70C5">
        <w:rPr>
          <w:rFonts w:ascii="Times New Roman"/>
        </w:rPr>
        <w:t>i</w:t>
      </w:r>
      <w:r w:rsidRPr="006A2BF7">
        <w:rPr>
          <w:rFonts w:ascii="Times New Roman"/>
        </w:rPr>
        <w:t>n the risk assessment of impacts</w:t>
      </w:r>
      <w:r>
        <w:rPr>
          <w:rFonts w:ascii="Times New Roman"/>
        </w:rPr>
        <w:t xml:space="preserve"> associated with synthetic biology, each present unique challenges that must be considered and overcome in relation to FPIC</w:t>
      </w:r>
      <w:r w:rsidRPr="006A2BF7">
        <w:rPr>
          <w:rFonts w:ascii="Times New Roman"/>
        </w:rPr>
        <w:t>.</w:t>
      </w:r>
      <w:r>
        <w:rPr>
          <w:rFonts w:ascii="Times New Roman"/>
        </w:rPr>
        <w:t xml:space="preserve"> </w:t>
      </w:r>
    </w:p>
    <w:p w14:paraId="6B0D711F" w14:textId="5E55EADA" w:rsidR="00D44054" w:rsidRDefault="00D44054" w:rsidP="00D44054">
      <w:pPr>
        <w:spacing w:after="120" w:line="240" w:lineRule="auto"/>
        <w:jc w:val="both"/>
        <w:rPr>
          <w:rFonts w:ascii="Times New Roman"/>
        </w:rPr>
      </w:pPr>
      <w:r>
        <w:rPr>
          <w:rFonts w:ascii="Times New Roman"/>
        </w:rPr>
        <w:t>The challenges related to FPIC of</w:t>
      </w:r>
      <w:r w:rsidRPr="002005D8">
        <w:rPr>
          <w:rFonts w:ascii="Times New Roman"/>
        </w:rPr>
        <w:t xml:space="preserve"> IPLCs</w:t>
      </w:r>
      <w:r>
        <w:rPr>
          <w:rFonts w:ascii="Times New Roman"/>
        </w:rPr>
        <w:t xml:space="preserve"> should be considered in the broader context of community engagement and public consultation. Useful guidance in this regard </w:t>
      </w:r>
      <w:r w:rsidR="00E3128C">
        <w:rPr>
          <w:rFonts w:ascii="Times New Roman"/>
        </w:rPr>
        <w:t>was provided in a r</w:t>
      </w:r>
      <w:r>
        <w:rPr>
          <w:rFonts w:ascii="Times New Roman"/>
        </w:rPr>
        <w:t>eport by t</w:t>
      </w:r>
      <w:r w:rsidRPr="0054728F">
        <w:rPr>
          <w:rFonts w:ascii="Times New Roman"/>
        </w:rPr>
        <w:t>he</w:t>
      </w:r>
      <w:r>
        <w:rPr>
          <w:rFonts w:ascii="Times New Roman"/>
        </w:rPr>
        <w:t xml:space="preserve"> US</w:t>
      </w:r>
      <w:r w:rsidR="00E3128C">
        <w:rPr>
          <w:rFonts w:ascii="Times New Roman"/>
        </w:rPr>
        <w:t>A</w:t>
      </w:r>
      <w:r w:rsidR="00E3128C">
        <w:rPr>
          <w:rFonts w:ascii="Times New Roman"/>
        </w:rPr>
        <w:t>’</w:t>
      </w:r>
      <w:r w:rsidR="00E3128C">
        <w:rPr>
          <w:rFonts w:ascii="Times New Roman"/>
        </w:rPr>
        <w:t>s</w:t>
      </w:r>
      <w:r w:rsidRPr="0054728F">
        <w:rPr>
          <w:rFonts w:ascii="Times New Roman"/>
        </w:rPr>
        <w:t xml:space="preserve"> National Academies of Sciences, Engineering, and Medicine </w:t>
      </w:r>
      <w:r>
        <w:rPr>
          <w:rFonts w:ascii="Times New Roman"/>
        </w:rPr>
        <w:t xml:space="preserve">which considered </w:t>
      </w:r>
      <w:r w:rsidRPr="0054728F">
        <w:rPr>
          <w:rFonts w:ascii="Times New Roman"/>
        </w:rPr>
        <w:t>governance and public engagement</w:t>
      </w:r>
      <w:r>
        <w:rPr>
          <w:rFonts w:ascii="Times New Roman"/>
        </w:rPr>
        <w:t xml:space="preserve"> </w:t>
      </w:r>
      <w:r w:rsidRPr="00C35E18">
        <w:rPr>
          <w:rFonts w:ascii="Times New Roman"/>
        </w:rPr>
        <w:t>as related to the developing technology of synthetic biology and gene drives</w:t>
      </w:r>
      <w:r>
        <w:rPr>
          <w:rFonts w:ascii="Times New Roman"/>
        </w:rPr>
        <w:t xml:space="preserve"> and recommended </w:t>
      </w:r>
      <w:r w:rsidRPr="0081480E">
        <w:rPr>
          <w:rFonts w:ascii="Times New Roman"/>
        </w:rPr>
        <w:t xml:space="preserve">effective, and tailored public engagement </w:t>
      </w:r>
      <w:r w:rsidR="006B456E">
        <w:rPr>
          <w:rFonts w:ascii="Times New Roman"/>
        </w:rPr>
        <w:fldChar w:fldCharType="begin" w:fldLock="1"/>
      </w:r>
      <w:r w:rsidR="006B456E">
        <w:rPr>
          <w:rFonts w:ascii="Times New Roman"/>
        </w:rPr>
        <w:instrText>ADDIN CSL_CITATION {"citationItems":[{"id":"ITEM-1","itemData":{"DOI":"10.17226/23405","ISBN":"978-0-309-43787-5","author":[{"dropping-particle":"","family":"National Academies of Sciences Engineering and Medicine","given":"","non-dropping-particle":"","parse-names":false,"suffix":""}],"id":"ITEM-1","issued":{"date-parts":[["2016"]]},"title":"Gene Drives on the Horizon: Advancing Science, Navigating Uncertainty, and Aligning Research with Public Values","type":"article-journal"},"uris":["http://www.mendeley.com/documents/?uuid=ae8b95ff-64c3-4c2e-bbf6-39f7f284457e"]}],"mendeley":{"formattedCitation":"(National Academies of Sciences Engineering and Medicine, 2016a)","manualFormatting":"(National Academies of Sciences Engineering and Medicine, 2016)","plainTextFormattedCitation":"(National Academies of Sciences Engineering and Medicine, 2016a)","previouslyFormattedCitation":"(National Academies of Sciences Engineering and Medicine, 2016a)"},"properties":{"noteIndex":0},"schema":"https://github.com/citation-style-language/schema/raw/master/csl-citation.json"}</w:instrText>
      </w:r>
      <w:r w:rsidR="006B456E">
        <w:rPr>
          <w:rFonts w:ascii="Times New Roman"/>
        </w:rPr>
        <w:fldChar w:fldCharType="separate"/>
      </w:r>
      <w:r w:rsidR="006B456E" w:rsidRPr="006B456E">
        <w:rPr>
          <w:rFonts w:ascii="Times New Roman"/>
          <w:noProof/>
        </w:rPr>
        <w:t>(National Academies of Sciences Engineering and Medicine, 2016)</w:t>
      </w:r>
      <w:r w:rsidR="006B456E">
        <w:rPr>
          <w:rFonts w:ascii="Times New Roman"/>
        </w:rPr>
        <w:fldChar w:fldCharType="end"/>
      </w:r>
      <w:r>
        <w:rPr>
          <w:rFonts w:ascii="Times New Roman"/>
        </w:rPr>
        <w:t xml:space="preserve">. The </w:t>
      </w:r>
      <w:r w:rsidR="00E3128C">
        <w:rPr>
          <w:rFonts w:ascii="Times New Roman"/>
        </w:rPr>
        <w:t>same</w:t>
      </w:r>
      <w:r w:rsidRPr="00C35E18">
        <w:rPr>
          <w:rFonts w:ascii="Times New Roman"/>
        </w:rPr>
        <w:t xml:space="preserve"> report defines engagement as </w:t>
      </w:r>
      <w:r w:rsidRPr="00C35E18">
        <w:rPr>
          <w:rFonts w:ascii="Times New Roman"/>
        </w:rPr>
        <w:t>“</w:t>
      </w:r>
      <w:r w:rsidRPr="00D05CD4">
        <w:rPr>
          <w:rFonts w:ascii="Times New Roman"/>
          <w:i/>
          <w:iCs/>
        </w:rPr>
        <w:t>seeking and facilitating the sharing and exchange of knowledge, perspectives, and preferences between or among groups who often have differences in expertise, power, and values</w:t>
      </w:r>
      <w:r w:rsidRPr="00C35E18">
        <w:rPr>
          <w:rFonts w:ascii="Times New Roman"/>
        </w:rPr>
        <w:t>”</w:t>
      </w:r>
      <w:r w:rsidRPr="00C35E18">
        <w:rPr>
          <w:rFonts w:ascii="Times New Roman"/>
        </w:rPr>
        <w:t xml:space="preserve">. Further, it differentiates communities, stakeholders, and publics, respectively, as </w:t>
      </w:r>
      <w:r w:rsidRPr="00C35E18">
        <w:rPr>
          <w:rFonts w:ascii="Times New Roman"/>
        </w:rPr>
        <w:t>“</w:t>
      </w:r>
      <w:r w:rsidRPr="00D05CD4">
        <w:rPr>
          <w:rFonts w:ascii="Times New Roman"/>
          <w:i/>
          <w:iCs/>
        </w:rPr>
        <w:t>groups of people who live near enough to a potential field trial or release site that they have a tangible and immediate interest in the project</w:t>
      </w:r>
      <w:r w:rsidRPr="00C35E18">
        <w:rPr>
          <w:rFonts w:ascii="Times New Roman"/>
        </w:rPr>
        <w:t>”</w:t>
      </w:r>
      <w:r>
        <w:rPr>
          <w:rFonts w:ascii="Times New Roman"/>
        </w:rPr>
        <w:t>,</w:t>
      </w:r>
      <w:r w:rsidRPr="00C35E18">
        <w:rPr>
          <w:rFonts w:ascii="Times New Roman"/>
        </w:rPr>
        <w:t xml:space="preserve"> and people with </w:t>
      </w:r>
      <w:r w:rsidRPr="00C35E18">
        <w:rPr>
          <w:rFonts w:ascii="Times New Roman"/>
        </w:rPr>
        <w:t>“</w:t>
      </w:r>
      <w:r w:rsidRPr="00D05CD4">
        <w:rPr>
          <w:rFonts w:ascii="Times New Roman"/>
          <w:i/>
          <w:iCs/>
        </w:rPr>
        <w:t>interests sufficient to justify engagement, but may not have geographic proximity to a potential release site</w:t>
      </w:r>
      <w:r w:rsidRPr="00C35E18">
        <w:rPr>
          <w:rFonts w:ascii="Times New Roman"/>
        </w:rPr>
        <w:t>”</w:t>
      </w:r>
      <w:r>
        <w:rPr>
          <w:rFonts w:ascii="Times New Roman"/>
        </w:rPr>
        <w:t>,</w:t>
      </w:r>
      <w:r w:rsidRPr="00C35E18">
        <w:rPr>
          <w:rFonts w:ascii="Times New Roman"/>
        </w:rPr>
        <w:t xml:space="preserve"> and finally </w:t>
      </w:r>
      <w:r w:rsidRPr="00C35E18">
        <w:rPr>
          <w:rFonts w:ascii="Times New Roman"/>
        </w:rPr>
        <w:t>“</w:t>
      </w:r>
      <w:r w:rsidRPr="00D05CD4">
        <w:rPr>
          <w:rFonts w:ascii="Times New Roman"/>
          <w:i/>
          <w:iCs/>
        </w:rPr>
        <w:t>groups who lack the direct connection to a project that stakeholders and communities have but nonetheless have interests, concerns, hopes, fears, and values that can contribute to democratic decision making</w:t>
      </w:r>
      <w:r w:rsidRPr="00C35E18">
        <w:rPr>
          <w:rFonts w:ascii="Times New Roman"/>
        </w:rPr>
        <w:t>”</w:t>
      </w:r>
      <w:r>
        <w:rPr>
          <w:rFonts w:ascii="Times New Roman"/>
        </w:rPr>
        <w:t xml:space="preserve">. Additionally, the report notes that </w:t>
      </w:r>
      <w:r w:rsidR="002D0224">
        <w:rPr>
          <w:rFonts w:ascii="Times New Roman"/>
        </w:rPr>
        <w:t>s</w:t>
      </w:r>
      <w:r>
        <w:rPr>
          <w:rFonts w:ascii="Times New Roman"/>
        </w:rPr>
        <w:t>ynthetic biology typically has cross-border implications and so e</w:t>
      </w:r>
      <w:r w:rsidRPr="00F34AD1">
        <w:rPr>
          <w:rFonts w:ascii="Times New Roman"/>
        </w:rPr>
        <w:t>ngagement of each of these categories of people must be considered on a global scale</w:t>
      </w:r>
      <w:r>
        <w:rPr>
          <w:rFonts w:ascii="Times New Roman"/>
        </w:rPr>
        <w:t xml:space="preserve">, particularly in relation to engineered </w:t>
      </w:r>
      <w:r w:rsidRPr="006A2BF7">
        <w:rPr>
          <w:rFonts w:ascii="Times New Roman"/>
        </w:rPr>
        <w:t>gene-drive modified organisms</w:t>
      </w:r>
      <w:r>
        <w:rPr>
          <w:rFonts w:ascii="Times New Roman"/>
        </w:rPr>
        <w:t xml:space="preserve">, given their potential risk of </w:t>
      </w:r>
      <w:r w:rsidRPr="006A2BF7">
        <w:rPr>
          <w:rFonts w:ascii="Times New Roman"/>
        </w:rPr>
        <w:t>irreversibility</w:t>
      </w:r>
      <w:r>
        <w:rPr>
          <w:rFonts w:ascii="Times New Roman"/>
        </w:rPr>
        <w:t xml:space="preserve"> once released in the wild.</w:t>
      </w:r>
    </w:p>
    <w:p w14:paraId="4E472DB8" w14:textId="543B3708" w:rsidR="00B22AEA" w:rsidRDefault="00902F11" w:rsidP="00D44054">
      <w:pPr>
        <w:spacing w:after="120" w:line="240" w:lineRule="auto"/>
        <w:jc w:val="both"/>
        <w:rPr>
          <w:rFonts w:ascii="Times New Roman"/>
        </w:rPr>
      </w:pPr>
      <w:r>
        <w:rPr>
          <w:rFonts w:ascii="Times New Roman"/>
        </w:rPr>
        <w:t>C</w:t>
      </w:r>
      <w:r w:rsidR="00020B7A" w:rsidRPr="00020B7A">
        <w:rPr>
          <w:rFonts w:ascii="Times New Roman"/>
        </w:rPr>
        <w:t xml:space="preserve">onversations </w:t>
      </w:r>
      <w:r>
        <w:rPr>
          <w:rFonts w:ascii="Times New Roman"/>
        </w:rPr>
        <w:t>have advanced</w:t>
      </w:r>
      <w:r w:rsidR="00431028">
        <w:rPr>
          <w:rFonts w:ascii="Times New Roman"/>
        </w:rPr>
        <w:t xml:space="preserve"> concerning</w:t>
      </w:r>
      <w:r w:rsidR="00020B7A" w:rsidRPr="00020B7A">
        <w:rPr>
          <w:rFonts w:ascii="Times New Roman"/>
        </w:rPr>
        <w:t xml:space="preserve"> the importance of </w:t>
      </w:r>
      <w:r w:rsidR="00546B8F">
        <w:rPr>
          <w:rFonts w:ascii="Times New Roman"/>
        </w:rPr>
        <w:t xml:space="preserve">the </w:t>
      </w:r>
      <w:r w:rsidR="00020B7A" w:rsidRPr="00020B7A">
        <w:rPr>
          <w:rFonts w:ascii="Times New Roman"/>
        </w:rPr>
        <w:t xml:space="preserve">engagement of communities, stakeholders, and members of the public in governing </w:t>
      </w:r>
      <w:r w:rsidR="00092587">
        <w:rPr>
          <w:rFonts w:ascii="Times New Roman"/>
        </w:rPr>
        <w:t>synthetic biology applications</w:t>
      </w:r>
      <w:r w:rsidR="00092587" w:rsidRPr="00020B7A">
        <w:rPr>
          <w:rFonts w:ascii="Times New Roman"/>
        </w:rPr>
        <w:t xml:space="preserve"> </w:t>
      </w:r>
      <w:r w:rsidR="00020B7A" w:rsidRPr="00020B7A">
        <w:rPr>
          <w:rFonts w:ascii="Times New Roman"/>
        </w:rPr>
        <w:t>designed to affect ecosystems, such as the potential release of engineered gene drives. They have yet to result in clear, specific, or enforceable guidelines concerning FPIC of IPLC and participatory decision-making</w:t>
      </w:r>
      <w:r w:rsidR="009227DB">
        <w:rPr>
          <w:rFonts w:ascii="Times New Roman"/>
        </w:rPr>
        <w:t>,</w:t>
      </w:r>
      <w:r w:rsidR="00020B7A" w:rsidRPr="00020B7A">
        <w:rPr>
          <w:rFonts w:ascii="Times New Roman"/>
        </w:rPr>
        <w:t xml:space="preserve"> </w:t>
      </w:r>
      <w:r w:rsidR="009227DB">
        <w:rPr>
          <w:rFonts w:ascii="Times New Roman"/>
        </w:rPr>
        <w:t>h</w:t>
      </w:r>
      <w:r w:rsidR="00020B7A" w:rsidRPr="00020B7A">
        <w:rPr>
          <w:rFonts w:ascii="Times New Roman"/>
        </w:rPr>
        <w:t xml:space="preserve">owever gene drive researchers and developers have begun to pursue strategies of engagement that resemble some of the principles of FPIC </w:t>
      </w:r>
      <w:r w:rsidR="006B456E">
        <w:rPr>
          <w:rFonts w:ascii="Times New Roman"/>
        </w:rPr>
        <w:fldChar w:fldCharType="begin" w:fldLock="1"/>
      </w:r>
      <w:r w:rsidR="006B456E">
        <w:rPr>
          <w:rFonts w:ascii="Times New Roman"/>
        </w:rPr>
        <w:instrText xml:space="preserve">ADDIN CSL_CITATION {"citationItems":[{"id":"ITEM-1","itemData":{"DOI":"10.1098/rspb.2019.1484","ISSN":"0962-8452","abstract":"Recent statements by United Nations bodies point to free, prior and informed consent (FPIC) as a potential requirement in the development of engineered gene drive applications. As a concept developed in the context of protecting Indigenous rights to self-determination in land development scenarios, FPIC would need to be extended to apply to the context of ecological editing. Without an explicit framework of application, FPIC could be interpreted as a narrowly framed process of community consultation focused on the social implications of technology, and award little formal or advisory power in decision-making to Indigenous peoples and local communities. In this paper, we argue for an articulation of FPIC that attends to issues of transparency, iterative community-scale consent, and shared power through co-development among Indigenous peoples, local communities, researchers and technology developers. In realizing a comprehensive FPIC process, researchers and developers have an opportunity to incorporate enhanced participation and social guidance mechanisms into the design, development and implementation of engineered gene drive applications.","author":[{"dropping-particle":"","family":"George","given":"Dalton R.","non-dropping-particle":"","parse-names":false,"suffix":""},{"dropping-particle":"","family":"Kuiken","given":"Todd","non-dropping-particle":"","parse-names":false,"suffix":""},{"dropping-particle":"","family":"Delborne","given":"Jason A.","non-dropping-particle":"","parse-names":false,"suffix":""}],"container-title":"Proceedings of the Royal Society B: Biological Sciences","id":"ITEM-1","issue":"1917","issued":{"date-parts":[["2019","12","18"]]},"page":"20191484","title":"Articulating </w:instrText>
      </w:r>
      <w:r w:rsidR="006B456E">
        <w:rPr>
          <w:rFonts w:ascii="Times New Roman"/>
        </w:rPr>
        <w:instrText>‘</w:instrText>
      </w:r>
      <w:r w:rsidR="006B456E">
        <w:rPr>
          <w:rFonts w:ascii="Times New Roman"/>
        </w:rPr>
        <w:instrText>free, prior and informed consent</w:instrText>
      </w:r>
      <w:r w:rsidR="006B456E">
        <w:rPr>
          <w:rFonts w:ascii="Times New Roman"/>
        </w:rPr>
        <w:instrText>’</w:instrText>
      </w:r>
      <w:r w:rsidR="006B456E">
        <w:rPr>
          <w:rFonts w:ascii="Times New Roman"/>
        </w:rPr>
        <w:instrText xml:space="preserve"> (FPIC) for engineered gene drives","type":"article-journal","volume":"286"},"uris":["http://www.mendeley.com/documents/?uuid=3fe1e81b-53db-44f1-a4aa-7ac6513a97de"]}],"mendeley":{"formattedCitation":"(George et al., 2019)","plainTextFormattedCitation":"(George et al., 2019)","previouslyFormattedCitation":"(George et al., 2019)"},"properties":{"noteIndex":0},"schema":"https://github.com/citation-style-language/schema/raw/master/csl-citation.json"}</w:instrText>
      </w:r>
      <w:r w:rsidR="006B456E">
        <w:rPr>
          <w:rFonts w:ascii="Times New Roman"/>
        </w:rPr>
        <w:fldChar w:fldCharType="separate"/>
      </w:r>
      <w:r w:rsidR="006B456E" w:rsidRPr="006B456E">
        <w:rPr>
          <w:rFonts w:ascii="Times New Roman"/>
          <w:noProof/>
        </w:rPr>
        <w:t>(George et al., 2019)</w:t>
      </w:r>
      <w:r w:rsidR="006B456E">
        <w:rPr>
          <w:rFonts w:ascii="Times New Roman"/>
        </w:rPr>
        <w:fldChar w:fldCharType="end"/>
      </w:r>
      <w:r w:rsidR="00020B7A" w:rsidRPr="00020B7A">
        <w:rPr>
          <w:rFonts w:ascii="Times New Roman"/>
        </w:rPr>
        <w:t>. For example, Target Malaria has organised and funded a strategy of engagement to both educate and seek the approval of communities for experiments that may eventually lead to an engineered gene drive mosquito to combat the spread of malaria</w:t>
      </w:r>
      <w:r w:rsidR="009D3864">
        <w:rPr>
          <w:rStyle w:val="FootnoteReference"/>
          <w:rFonts w:ascii="Times New Roman"/>
        </w:rPr>
        <w:footnoteReference w:id="30"/>
      </w:r>
      <w:r w:rsidR="00020B7A" w:rsidRPr="00020B7A">
        <w:rPr>
          <w:rFonts w:ascii="Times New Roman"/>
        </w:rPr>
        <w:t xml:space="preserve">. Similarly, The Mice </w:t>
      </w:r>
      <w:r w:rsidR="008A5E7E">
        <w:rPr>
          <w:rFonts w:ascii="Times New Roman"/>
        </w:rPr>
        <w:t>A</w:t>
      </w:r>
      <w:r w:rsidR="00020B7A" w:rsidRPr="00020B7A">
        <w:rPr>
          <w:rFonts w:ascii="Times New Roman"/>
        </w:rPr>
        <w:t>gainst Ticks project</w:t>
      </w:r>
      <w:r w:rsidR="000C16F4">
        <w:rPr>
          <w:rStyle w:val="FootnoteReference"/>
          <w:rFonts w:ascii="Times New Roman"/>
        </w:rPr>
        <w:footnoteReference w:id="31"/>
      </w:r>
      <w:r w:rsidR="00020B7A" w:rsidRPr="00020B7A">
        <w:rPr>
          <w:rFonts w:ascii="Times New Roman"/>
        </w:rPr>
        <w:t xml:space="preserve"> has sought community consent prior to the development of a genetically engineered mouse to interrupt Lyme disease transmission, and community steering committees have been formed to guide the research. The need for more robust and standardised approaches to participatory decision-making in the context of synthetic biology applications is considered further in Section 11.</w:t>
      </w:r>
    </w:p>
    <w:p w14:paraId="28CDEBC6" w14:textId="69CD5D5C" w:rsidR="009455DB" w:rsidRPr="00E35E20" w:rsidRDefault="00C116B1" w:rsidP="00E35E20">
      <w:pPr>
        <w:pStyle w:val="Heading3"/>
        <w:rPr>
          <w:rFonts w:eastAsia="SimSun"/>
          <w:lang w:bidi="hi-IN"/>
        </w:rPr>
      </w:pPr>
      <w:bookmarkStart w:id="92" w:name="_Toc70112691"/>
      <w:bookmarkStart w:id="93" w:name="_Toc70685713"/>
      <w:r>
        <w:rPr>
          <w:rFonts w:eastAsia="SimSun"/>
          <w:lang w:val="en-US" w:bidi="hi-IN"/>
        </w:rPr>
        <w:t>5</w:t>
      </w:r>
      <w:r w:rsidR="009455DB" w:rsidRPr="007E7EA6">
        <w:rPr>
          <w:rFonts w:eastAsia="SimSun"/>
          <w:lang w:bidi="hi-IN"/>
        </w:rPr>
        <w:t>.2</w:t>
      </w:r>
      <w:r w:rsidR="000C6386">
        <w:rPr>
          <w:rFonts w:eastAsia="SimSun"/>
          <w:lang w:val="en-US" w:bidi="hi-IN"/>
        </w:rPr>
        <w:t>.</w:t>
      </w:r>
      <w:r w:rsidR="009455DB" w:rsidRPr="007E7EA6">
        <w:rPr>
          <w:rFonts w:eastAsia="SimSun"/>
          <w:lang w:bidi="hi-IN"/>
        </w:rPr>
        <w:t xml:space="preserve"> Economic concerns</w:t>
      </w:r>
      <w:r w:rsidR="000C6386">
        <w:rPr>
          <w:rFonts w:eastAsia="SimSun"/>
          <w:lang w:val="en-US" w:bidi="hi-IN"/>
        </w:rPr>
        <w:t>.</w:t>
      </w:r>
      <w:bookmarkEnd w:id="92"/>
      <w:bookmarkEnd w:id="93"/>
    </w:p>
    <w:p w14:paraId="73089BB3" w14:textId="022C99DB" w:rsidR="007E50F0" w:rsidRPr="003E2162" w:rsidRDefault="00C116B1" w:rsidP="00E35E20">
      <w:pPr>
        <w:pStyle w:val="Heading4"/>
        <w:rPr>
          <w:i w:val="0"/>
        </w:rPr>
      </w:pPr>
      <w:r w:rsidRPr="4B6FB680">
        <w:rPr>
          <w:i w:val="0"/>
        </w:rPr>
        <w:t>5</w:t>
      </w:r>
      <w:r w:rsidR="007E50F0" w:rsidRPr="003E2162">
        <w:rPr>
          <w:i w:val="0"/>
        </w:rPr>
        <w:t>.2.1. International trade</w:t>
      </w:r>
      <w:r w:rsidR="000C6386" w:rsidRPr="003E2162">
        <w:rPr>
          <w:i w:val="0"/>
        </w:rPr>
        <w:t>.</w:t>
      </w:r>
    </w:p>
    <w:p w14:paraId="7EDAD1CF" w14:textId="589404F7" w:rsidR="009455DB" w:rsidRPr="008805B8" w:rsidRDefault="009455DB" w:rsidP="009455DB">
      <w:pPr>
        <w:suppressAutoHyphens/>
        <w:autoSpaceDE w:val="0"/>
        <w:spacing w:before="120" w:after="120" w:line="240" w:lineRule="auto"/>
        <w:jc w:val="both"/>
        <w:rPr>
          <w:rFonts w:ascii="Times New Roman" w:eastAsia="SimSun" w:hAnsi="Times New Roman" w:cs="Calibri"/>
          <w:color w:val="000000" w:themeColor="text1"/>
          <w:lang w:eastAsia="hi-IN" w:bidi="hi-IN"/>
        </w:rPr>
      </w:pPr>
      <w:r w:rsidRPr="008805B8">
        <w:rPr>
          <w:rFonts w:ascii="Times New Roman" w:eastAsia="SimSun" w:hAnsi="Times New Roman" w:cs="Calibri"/>
          <w:color w:val="000000" w:themeColor="text1"/>
          <w:lang w:eastAsia="hi-IN" w:bidi="hi-IN"/>
        </w:rPr>
        <w:t xml:space="preserve">The Cartagena Protocol on Biosafety to the Convention on Biological Diversity </w:t>
      </w:r>
      <w:r w:rsidR="00A85EF3" w:rsidRPr="03666650">
        <w:rPr>
          <w:rFonts w:ascii="Times New Roman" w:eastAsia="SimSun" w:hAnsi="Times New Roman" w:cs="Calibri"/>
          <w:color w:val="000000" w:themeColor="text1"/>
          <w:lang w:eastAsia="hi-IN" w:bidi="hi-IN"/>
        </w:rPr>
        <w:t>contribute</w:t>
      </w:r>
      <w:r w:rsidR="1CB666D7" w:rsidRPr="03666650">
        <w:rPr>
          <w:rFonts w:ascii="Times New Roman" w:eastAsia="SimSun" w:hAnsi="Times New Roman" w:cs="Calibri"/>
          <w:color w:val="000000" w:themeColor="text1"/>
          <w:lang w:eastAsia="hi-IN" w:bidi="hi-IN"/>
        </w:rPr>
        <w:t>s</w:t>
      </w:r>
      <w:r w:rsidR="00A85EF3" w:rsidRPr="00A85EF3">
        <w:rPr>
          <w:rFonts w:ascii="Times New Roman" w:eastAsia="SimSun" w:hAnsi="Times New Roman" w:cs="Calibri"/>
          <w:color w:val="000000" w:themeColor="text1"/>
          <w:lang w:eastAsia="hi-IN" w:bidi="hi-IN"/>
        </w:rPr>
        <w:t xml:space="preserve"> to ensuring an adequate level of protection in the field of the safe transfer, handling and use of living modified organisms </w:t>
      </w:r>
      <w:r w:rsidR="005E36BB" w:rsidRPr="008805B8">
        <w:rPr>
          <w:rFonts w:ascii="Times New Roman" w:eastAsia="SimSun" w:hAnsi="Times New Roman" w:cs="Calibri"/>
          <w:color w:val="000000" w:themeColor="text1"/>
          <w:lang w:eastAsia="hi-IN" w:bidi="hi-IN"/>
        </w:rPr>
        <w:t>(LMOs)</w:t>
      </w:r>
      <w:r w:rsidR="005E36BB">
        <w:rPr>
          <w:rFonts w:ascii="Times New Roman" w:eastAsia="SimSun" w:hAnsi="Times New Roman" w:cs="Calibri"/>
          <w:color w:val="000000" w:themeColor="text1"/>
          <w:lang w:eastAsia="hi-IN" w:bidi="hi-IN"/>
        </w:rPr>
        <w:t xml:space="preserve"> </w:t>
      </w:r>
      <w:r w:rsidR="00A85EF3" w:rsidRPr="00A85EF3">
        <w:rPr>
          <w:rFonts w:ascii="Times New Roman" w:eastAsia="SimSun" w:hAnsi="Times New Roman" w:cs="Calibri"/>
          <w:color w:val="000000" w:themeColor="text1"/>
          <w:lang w:eastAsia="hi-IN" w:bidi="hi-IN"/>
        </w:rPr>
        <w:t>resulting from modern biotechnology</w:t>
      </w:r>
      <w:r w:rsidR="00582E5D">
        <w:rPr>
          <w:rFonts w:ascii="Times New Roman" w:eastAsia="SimSun" w:hAnsi="Times New Roman" w:cs="Calibri"/>
          <w:color w:val="000000" w:themeColor="text1"/>
          <w:lang w:eastAsia="hi-IN" w:bidi="hi-IN"/>
        </w:rPr>
        <w:t>.</w:t>
      </w:r>
      <w:r w:rsidRPr="008805B8">
        <w:rPr>
          <w:rFonts w:ascii="Times New Roman" w:eastAsia="SimSun" w:hAnsi="Times New Roman" w:cs="Calibri"/>
          <w:color w:val="000000" w:themeColor="text1"/>
          <w:lang w:eastAsia="hi-IN" w:bidi="hi-IN"/>
        </w:rPr>
        <w:t xml:space="preserve"> Of note, the Protocol establishes core procedures and a set of standards relating to the import and export of LMOs. </w:t>
      </w:r>
      <w:r w:rsidR="38165BC9" w:rsidRPr="6A5075C4">
        <w:rPr>
          <w:rFonts w:ascii="Times New Roman" w:eastAsia="SimSun" w:hAnsi="Times New Roman" w:cs="Calibri"/>
          <w:color w:val="000000" w:themeColor="text1"/>
          <w:lang w:eastAsia="hi-IN" w:bidi="hi-IN"/>
        </w:rPr>
        <w:t xml:space="preserve">As </w:t>
      </w:r>
      <w:r w:rsidR="01216DCF" w:rsidRPr="6A5075C4">
        <w:rPr>
          <w:rFonts w:ascii="Times New Roman" w:eastAsia="SimSun" w:hAnsi="Times New Roman" w:cs="Calibri"/>
          <w:color w:val="000000" w:themeColor="text1"/>
          <w:lang w:eastAsia="hi-IN" w:bidi="hi-IN"/>
        </w:rPr>
        <w:t xml:space="preserve">such, </w:t>
      </w:r>
      <w:r w:rsidR="1949B7F1" w:rsidRPr="6A5075C4">
        <w:rPr>
          <w:rFonts w:ascii="Times New Roman" w:eastAsia="SimSun" w:hAnsi="Times New Roman" w:cs="Calibri"/>
          <w:color w:val="000000" w:themeColor="text1"/>
          <w:lang w:eastAsia="hi-IN" w:bidi="hi-IN"/>
        </w:rPr>
        <w:t>t</w:t>
      </w:r>
      <w:r w:rsidR="18D8A9BF" w:rsidRPr="6A5075C4">
        <w:rPr>
          <w:rFonts w:ascii="Times New Roman" w:eastAsia="SimSun" w:hAnsi="Times New Roman" w:cs="Calibri"/>
          <w:color w:val="000000" w:themeColor="text1"/>
          <w:lang w:eastAsia="hi-IN" w:bidi="hi-IN"/>
        </w:rPr>
        <w:t>here</w:t>
      </w:r>
      <w:r w:rsidRPr="008805B8">
        <w:rPr>
          <w:rFonts w:ascii="Times New Roman" w:eastAsia="SimSun" w:hAnsi="Times New Roman" w:cs="Calibri"/>
          <w:color w:val="000000" w:themeColor="text1"/>
          <w:lang w:eastAsia="hi-IN" w:bidi="hi-IN"/>
        </w:rPr>
        <w:t xml:space="preserve"> are clear areas of </w:t>
      </w:r>
      <w:r w:rsidR="4EDCA6F1" w:rsidRPr="182DEE6C">
        <w:rPr>
          <w:rFonts w:ascii="Times New Roman" w:eastAsia="SimSun" w:hAnsi="Times New Roman" w:cs="Calibri"/>
          <w:color w:val="000000" w:themeColor="text1"/>
          <w:lang w:eastAsia="hi-IN" w:bidi="hi-IN"/>
        </w:rPr>
        <w:t>linkages</w:t>
      </w:r>
      <w:r w:rsidRPr="008805B8">
        <w:rPr>
          <w:rFonts w:ascii="Times New Roman" w:eastAsia="SimSun" w:hAnsi="Times New Roman" w:cs="Calibri"/>
          <w:color w:val="000000" w:themeColor="text1"/>
          <w:lang w:eastAsia="hi-IN" w:bidi="hi-IN"/>
        </w:rPr>
        <w:t xml:space="preserve"> between the Protocol and </w:t>
      </w:r>
      <w:r w:rsidR="0B9329B0" w:rsidRPr="182DEE6C">
        <w:rPr>
          <w:rFonts w:ascii="Times New Roman" w:eastAsia="SimSun" w:hAnsi="Times New Roman" w:cs="Calibri"/>
          <w:color w:val="000000" w:themeColor="text1"/>
          <w:lang w:eastAsia="hi-IN" w:bidi="hi-IN"/>
        </w:rPr>
        <w:t>international</w:t>
      </w:r>
      <w:r w:rsidR="18D8A9BF" w:rsidRPr="182DEE6C">
        <w:rPr>
          <w:rFonts w:ascii="Times New Roman" w:eastAsia="SimSun" w:hAnsi="Times New Roman" w:cs="Calibri"/>
          <w:color w:val="000000" w:themeColor="text1"/>
          <w:lang w:eastAsia="hi-IN" w:bidi="hi-IN"/>
        </w:rPr>
        <w:t xml:space="preserve"> t</w:t>
      </w:r>
      <w:r w:rsidR="0B9329B0" w:rsidRPr="182DEE6C">
        <w:rPr>
          <w:rFonts w:ascii="Times New Roman" w:eastAsia="SimSun" w:hAnsi="Times New Roman" w:cs="Calibri"/>
          <w:color w:val="000000" w:themeColor="text1"/>
          <w:lang w:eastAsia="hi-IN" w:bidi="hi-IN"/>
        </w:rPr>
        <w:t xml:space="preserve">rade </w:t>
      </w:r>
      <w:r w:rsidRPr="008805B8">
        <w:rPr>
          <w:rFonts w:ascii="Times New Roman" w:eastAsia="SimSun" w:hAnsi="Times New Roman" w:cs="Calibri"/>
          <w:color w:val="000000" w:themeColor="text1"/>
          <w:lang w:eastAsia="hi-IN" w:bidi="hi-IN"/>
        </w:rPr>
        <w:t>rules</w:t>
      </w:r>
      <w:r w:rsidR="0B9329B0" w:rsidRPr="182DEE6C">
        <w:rPr>
          <w:rFonts w:ascii="Times New Roman" w:eastAsia="SimSun" w:hAnsi="Times New Roman" w:cs="Calibri"/>
          <w:color w:val="000000" w:themeColor="text1"/>
          <w:lang w:eastAsia="hi-IN" w:bidi="hi-IN"/>
        </w:rPr>
        <w:t>, in particular</w:t>
      </w:r>
      <w:r w:rsidR="18D8A9BF" w:rsidRPr="182DEE6C">
        <w:rPr>
          <w:rFonts w:ascii="Times New Roman" w:eastAsia="SimSun" w:hAnsi="Times New Roman" w:cs="Calibri"/>
          <w:color w:val="000000" w:themeColor="text1"/>
          <w:lang w:eastAsia="hi-IN" w:bidi="hi-IN"/>
        </w:rPr>
        <w:t xml:space="preserve"> the WTO rules.</w:t>
      </w:r>
      <w:r w:rsidRPr="008805B8">
        <w:rPr>
          <w:rFonts w:ascii="Times New Roman" w:eastAsia="SimSun" w:hAnsi="Times New Roman" w:cs="Calibri"/>
          <w:color w:val="000000" w:themeColor="text1"/>
          <w:lang w:eastAsia="hi-IN" w:bidi="hi-IN"/>
        </w:rPr>
        <w:t xml:space="preserve"> In addition to the Agreement on Technical Barriers to Trade (</w:t>
      </w:r>
      <w:r w:rsidR="66AEE8B3" w:rsidRPr="6799256E">
        <w:rPr>
          <w:rFonts w:ascii="Times New Roman" w:eastAsia="SimSun" w:hAnsi="Times New Roman" w:cs="Calibri"/>
          <w:color w:val="000000" w:themeColor="text1"/>
          <w:lang w:eastAsia="hi-IN" w:bidi="hi-IN"/>
        </w:rPr>
        <w:t>TBT</w:t>
      </w:r>
      <w:r w:rsidRPr="008805B8">
        <w:rPr>
          <w:rFonts w:ascii="Times New Roman" w:eastAsia="SimSun" w:hAnsi="Times New Roman" w:cs="Calibri"/>
          <w:color w:val="000000" w:themeColor="text1"/>
          <w:lang w:eastAsia="hi-IN" w:bidi="hi-IN"/>
        </w:rPr>
        <w:t xml:space="preserve">), and the Agreement on the Application of Sanitary and Phytosanitary Standards (SPS) are relevant. Article </w:t>
      </w:r>
      <w:r w:rsidRPr="00C50077">
        <w:rPr>
          <w:rFonts w:ascii="Times New Roman" w:eastAsia="SimSun" w:hAnsi="Times New Roman" w:cs="Calibri"/>
          <w:color w:val="000000" w:themeColor="text1"/>
          <w:lang w:eastAsia="hi-IN" w:bidi="hi-IN"/>
        </w:rPr>
        <w:t>XX</w:t>
      </w:r>
      <w:r w:rsidRPr="008805B8">
        <w:rPr>
          <w:rFonts w:ascii="Times New Roman" w:eastAsia="SimSun" w:hAnsi="Times New Roman" w:cs="Calibri"/>
          <w:color w:val="000000" w:themeColor="text1"/>
          <w:lang w:eastAsia="hi-IN" w:bidi="hi-IN"/>
        </w:rPr>
        <w:t xml:space="preserve"> of the General Agreement on Tariffs and Trade (GATT) provides for exceptions from GATT rules in order to protect health or the environment</w:t>
      </w:r>
      <w:r w:rsidR="000A7C3C">
        <w:rPr>
          <w:rFonts w:ascii="Times New Roman" w:eastAsia="SimSun" w:hAnsi="Times New Roman" w:cs="Calibri"/>
          <w:color w:val="000000" w:themeColor="text1"/>
          <w:lang w:eastAsia="hi-IN" w:bidi="hi-IN"/>
        </w:rPr>
        <w:t xml:space="preserve"> (</w:t>
      </w:r>
      <w:r w:rsidR="001A488A">
        <w:rPr>
          <w:rFonts w:ascii="Times New Roman" w:eastAsia="SimSun" w:hAnsi="Times New Roman" w:cs="Calibri"/>
          <w:color w:val="000000" w:themeColor="text1"/>
          <w:lang w:eastAsia="hi-IN" w:bidi="hi-IN"/>
        </w:rPr>
        <w:t xml:space="preserve">for further information on these </w:t>
      </w:r>
      <w:r w:rsidR="009F4D9D">
        <w:rPr>
          <w:rFonts w:ascii="Times New Roman" w:eastAsia="SimSun" w:hAnsi="Times New Roman" w:cs="Calibri"/>
          <w:color w:val="000000" w:themeColor="text1"/>
          <w:lang w:eastAsia="hi-IN" w:bidi="hi-IN"/>
        </w:rPr>
        <w:t>Agreements</w:t>
      </w:r>
      <w:r w:rsidR="001A488A">
        <w:rPr>
          <w:rFonts w:ascii="Times New Roman" w:eastAsia="SimSun" w:hAnsi="Times New Roman" w:cs="Calibri"/>
          <w:color w:val="000000" w:themeColor="text1"/>
          <w:lang w:eastAsia="hi-IN" w:bidi="hi-IN"/>
        </w:rPr>
        <w:t xml:space="preserve">, </w:t>
      </w:r>
      <w:r w:rsidR="000A7C3C">
        <w:rPr>
          <w:rFonts w:ascii="Times New Roman" w:eastAsia="SimSun" w:hAnsi="Times New Roman" w:cs="Calibri"/>
          <w:color w:val="000000" w:themeColor="text1"/>
          <w:lang w:eastAsia="hi-IN" w:bidi="hi-IN"/>
        </w:rPr>
        <w:t xml:space="preserve">see </w:t>
      </w:r>
      <w:r w:rsidR="000C2B8F">
        <w:rPr>
          <w:rFonts w:ascii="Times New Roman" w:eastAsia="SimSun" w:hAnsi="Times New Roman" w:cs="Calibri"/>
          <w:color w:val="000000" w:themeColor="text1"/>
          <w:lang w:eastAsia="hi-IN" w:bidi="hi-IN"/>
        </w:rPr>
        <w:t>Section 9</w:t>
      </w:r>
      <w:r w:rsidR="001A488A">
        <w:rPr>
          <w:rFonts w:ascii="Times New Roman" w:eastAsia="SimSun" w:hAnsi="Times New Roman" w:cs="Calibri"/>
          <w:color w:val="000000" w:themeColor="text1"/>
          <w:lang w:eastAsia="hi-IN" w:bidi="hi-IN"/>
        </w:rPr>
        <w:t>.)</w:t>
      </w:r>
      <w:r w:rsidRPr="008805B8">
        <w:rPr>
          <w:rFonts w:ascii="Times New Roman" w:eastAsia="SimSun" w:hAnsi="Times New Roman" w:cs="Calibri"/>
          <w:color w:val="000000" w:themeColor="text1"/>
          <w:lang w:eastAsia="hi-IN" w:bidi="hi-IN"/>
        </w:rPr>
        <w:t>. The different fundamental objectives of the international trade and environmental regimes ha</w:t>
      </w:r>
      <w:r w:rsidR="00D74ED1">
        <w:rPr>
          <w:rFonts w:ascii="Times New Roman" w:eastAsia="SimSun" w:hAnsi="Times New Roman" w:cs="Calibri"/>
          <w:color w:val="000000" w:themeColor="text1"/>
          <w:lang w:eastAsia="hi-IN" w:bidi="hi-IN"/>
        </w:rPr>
        <w:t>ve</w:t>
      </w:r>
      <w:r w:rsidRPr="008805B8">
        <w:rPr>
          <w:rFonts w:ascii="Times New Roman" w:eastAsia="SimSun" w:hAnsi="Times New Roman" w:cs="Calibri"/>
          <w:color w:val="000000" w:themeColor="text1"/>
          <w:lang w:eastAsia="hi-IN" w:bidi="hi-IN"/>
        </w:rPr>
        <w:t xml:space="preserve"> led to conflicts in the regulatory measures taken to achieve these objectives. Strengthening the coherence of these two systems requires measures to be taken at national and supranational levels to ensure </w:t>
      </w:r>
      <w:r w:rsidR="006766B3">
        <w:rPr>
          <w:rFonts w:ascii="Times New Roman" w:eastAsia="SimSun" w:hAnsi="Times New Roman" w:cs="Calibri"/>
          <w:color w:val="000000" w:themeColor="text1"/>
          <w:lang w:eastAsia="hi-IN" w:bidi="hi-IN"/>
        </w:rPr>
        <w:t xml:space="preserve">that </w:t>
      </w:r>
      <w:r w:rsidRPr="008805B8">
        <w:rPr>
          <w:rFonts w:ascii="Times New Roman" w:eastAsia="SimSun" w:hAnsi="Times New Roman" w:cs="Calibri"/>
          <w:color w:val="000000" w:themeColor="text1"/>
          <w:lang w:eastAsia="hi-IN" w:bidi="hi-IN"/>
        </w:rPr>
        <w:t>they are implemented in a mutually supportive manner, and once again, society will have a key role to play.</w:t>
      </w:r>
      <w:r w:rsidR="001B5AF2" w:rsidRPr="001B5AF2">
        <w:t xml:space="preserve"> </w:t>
      </w:r>
      <w:r w:rsidR="001B5AF2" w:rsidRPr="001B5AF2">
        <w:rPr>
          <w:rFonts w:ascii="Times New Roman" w:eastAsia="SimSun" w:hAnsi="Times New Roman" w:cs="Calibri"/>
          <w:color w:val="000000" w:themeColor="text1"/>
          <w:lang w:eastAsia="hi-IN" w:bidi="hi-IN"/>
        </w:rPr>
        <w:t>Further, it has been recently suggested that decision-makers may need formal and quantitative studies on potential economic impacts of handling, for example genome-edited products, under different regulatory scenarios. Such studies would allow them to weigh the impact of different regulatory/policy-making options on the economy (considering trade, agro-industrial innovation and productivity)</w:t>
      </w:r>
      <w:r w:rsidR="00FE6A4A" w:rsidRPr="00FE6A4A">
        <w:rPr>
          <w:rFonts w:ascii="Times New Roman" w:eastAsia="SimSun" w:hAnsi="Times New Roman" w:cs="Calibri"/>
          <w:color w:val="000000" w:themeColor="text1"/>
          <w:lang w:eastAsia="hi-IN" w:bidi="hi-IN"/>
        </w:rPr>
        <w:t xml:space="preserve"> </w:t>
      </w:r>
      <w:r w:rsidR="006B456E">
        <w:rPr>
          <w:rFonts w:ascii="Times New Roman" w:eastAsia="SimSun" w:hAnsi="Times New Roman" w:cs="Calibri"/>
          <w:color w:val="000000" w:themeColor="text1"/>
          <w:lang w:eastAsia="hi-IN" w:bidi="hi-IN"/>
        </w:rPr>
        <w:fldChar w:fldCharType="begin" w:fldLock="1"/>
      </w:r>
      <w:r w:rsidR="006B456E">
        <w:rPr>
          <w:rFonts w:ascii="Times New Roman" w:eastAsia="SimSun" w:hAnsi="Times New Roman" w:cs="Calibri"/>
          <w:color w:val="000000" w:themeColor="text1"/>
          <w:lang w:eastAsia="hi-IN" w:bidi="hi-IN"/>
        </w:rPr>
        <w:instrText>ADDIN CSL_CITATION {"citationItems":[{"id":"ITEM-1","itemData":{"DOI":"10.1080/21645698.2016.1271856","ISSN":"21645701","PMID":"28080208","abstract":"Gene editing technologies are a group of recent innovations in plant breeding using molecular biology, which have in common the capability of introducing a site-directed mutation or deletion in the genome. The first cases of crops improved with these technologies are approaching the market; this has raised an international debate regarding if they should be regulated as genetically modified crops or just as another form of mutagenesis under conventional breeding. This dilemma for policymakers not only entails issues pertaining safety information and legal/regulatory definitions. It also demands borrowing tools developed in the field of social studies of science and technology, as an additional basis for sound decision making.","author":[{"dropping-particle":"","family":"Whelan","given":"Agustina I","non-dropping-particle":"","parse-names":false,"suffix":""},{"dropping-particle":"","family":"Lema","given":"Martin A","non-dropping-particle":"","parse-names":false,"suffix":""}],"container-title":"GM Crops and Food","id":"ITEM-1","issue":"1","issued":{"date-parts":[["2017"]]},"page":"74-83","publisher":"Taylor and Francis Ltd.","title":"A research program for the socioeconomic impacts of gene editing regulation","type":"article-journal","volume":"8"},"uris":["http://www.mendeley.com/documents/?uuid=ffff477e-6de2-4822-8893-63365b54891e"]}],"mendeley":{"formattedCitation":"(Whelan &amp; Lema, 2017)","plainTextFormattedCitation":"(Whelan &amp; Lema, 2017)","previouslyFormattedCitation":"(Whelan &amp; Lema, 2017)"},"properties":{"noteIndex":0},"schema":"https://github.com/citation-style-language/schema/raw/master/csl-citation.json"}</w:instrText>
      </w:r>
      <w:r w:rsidR="006B456E">
        <w:rPr>
          <w:rFonts w:ascii="Times New Roman" w:eastAsia="SimSun" w:hAnsi="Times New Roman" w:cs="Calibri"/>
          <w:color w:val="000000" w:themeColor="text1"/>
          <w:lang w:eastAsia="hi-IN" w:bidi="hi-IN"/>
        </w:rPr>
        <w:fldChar w:fldCharType="separate"/>
      </w:r>
      <w:r w:rsidR="006B456E" w:rsidRPr="006B456E">
        <w:rPr>
          <w:rFonts w:ascii="Times New Roman" w:eastAsia="SimSun" w:hAnsi="Times New Roman" w:cs="Calibri"/>
          <w:noProof/>
          <w:color w:val="000000" w:themeColor="text1"/>
          <w:lang w:eastAsia="hi-IN" w:bidi="hi-IN"/>
        </w:rPr>
        <w:t>(Whelan &amp; Lema, 2017)</w:t>
      </w:r>
      <w:r w:rsidR="006B456E">
        <w:rPr>
          <w:rFonts w:ascii="Times New Roman" w:eastAsia="SimSun" w:hAnsi="Times New Roman" w:cs="Calibri"/>
          <w:color w:val="000000" w:themeColor="text1"/>
          <w:lang w:eastAsia="hi-IN" w:bidi="hi-IN"/>
        </w:rPr>
        <w:fldChar w:fldCharType="end"/>
      </w:r>
      <w:r w:rsidR="001B5AF2" w:rsidRPr="001B5AF2">
        <w:rPr>
          <w:rFonts w:ascii="Times New Roman" w:eastAsia="SimSun" w:hAnsi="Times New Roman" w:cs="Calibri"/>
          <w:color w:val="000000" w:themeColor="text1"/>
          <w:lang w:eastAsia="hi-IN" w:bidi="hi-IN"/>
        </w:rPr>
        <w:t xml:space="preserve">. A formal analysis of the trajectory or dynamics that the interpretative flexibility is taking may be useful to anticipate the social perception of these decisions </w:t>
      </w:r>
      <w:r w:rsidR="006B456E">
        <w:rPr>
          <w:rFonts w:ascii="Times New Roman" w:eastAsia="SimSun" w:hAnsi="Times New Roman" w:cs="Calibri"/>
          <w:color w:val="000000" w:themeColor="text1"/>
          <w:lang w:eastAsia="hi-IN" w:bidi="hi-IN"/>
        </w:rPr>
        <w:fldChar w:fldCharType="begin" w:fldLock="1"/>
      </w:r>
      <w:r w:rsidR="006B456E">
        <w:rPr>
          <w:rFonts w:ascii="Times New Roman" w:eastAsia="SimSun" w:hAnsi="Times New Roman" w:cs="Calibri"/>
          <w:color w:val="000000" w:themeColor="text1"/>
          <w:lang w:eastAsia="hi-IN" w:bidi="hi-IN"/>
        </w:rPr>
        <w:instrText>ADDIN CSL_CITATION {"citationItems":[{"id":"ITEM-1","itemData":{"DOI":"10.3389/fbioe.2018.00079","ISSN":"2296-4185","author":[{"dropping-particle":"","family":"Duensing","given":"Nina","non-dropping-particle":"","parse-names":false,"suffix":""},{"dropping-particle":"","family":"Sprink","given":"Thorben","non-dropping-particle":"","parse-names":false,"suffix":""},{"dropping-particle":"","family":"Parrott","given":"Wayne A.","non-dropping-particle":"","parse-names":false,"suffix":""},{"dropping-particle":"","family":"Fedorova","given":"Maria","non-dropping-particle":"","parse-names":false,"suffix":""},{"dropping-particle":"","family":"Lema","given":"Martin A.","non-dropping-particle":"","parse-names":false,"suffix":""},{"dropping-particle":"","family":"Wolt","given":"Jeffrey D.","non-dropping-particle":"","parse-names":false,"suffix":""},{"dropping-particle":"","family":"Bartsch","given":"Detlef","non-dropping-particle":"","parse-names":false,"suffix":""}],"container-title":"Frontiers in Bioengineering and Biotechnology","id":"ITEM-1","issued":{"date-parts":[["2018","6","18"]]},"title":"Novel Features and Considerations for ERA and Regulation of Crops Produced by Genome Editing","type":"article-journal","volume":"6"},"uris":["http://www.mendeley.com/documents/?uuid=bebd66bf-05cb-4c1e-a730-d83b339c7685"]}],"mendeley":{"formattedCitation":"(Duensing et al., 2018)","plainTextFormattedCitation":"(Duensing et al., 2018)","previouslyFormattedCitation":"(Duensing et al., 2018)"},"properties":{"noteIndex":0},"schema":"https://github.com/citation-style-language/schema/raw/master/csl-citation.json"}</w:instrText>
      </w:r>
      <w:r w:rsidR="006B456E">
        <w:rPr>
          <w:rFonts w:ascii="Times New Roman" w:eastAsia="SimSun" w:hAnsi="Times New Roman" w:cs="Calibri"/>
          <w:color w:val="000000" w:themeColor="text1"/>
          <w:lang w:eastAsia="hi-IN" w:bidi="hi-IN"/>
        </w:rPr>
        <w:fldChar w:fldCharType="separate"/>
      </w:r>
      <w:r w:rsidR="006B456E" w:rsidRPr="006B456E">
        <w:rPr>
          <w:rFonts w:ascii="Times New Roman" w:eastAsia="SimSun" w:hAnsi="Times New Roman" w:cs="Calibri"/>
          <w:noProof/>
          <w:color w:val="000000" w:themeColor="text1"/>
          <w:lang w:eastAsia="hi-IN" w:bidi="hi-IN"/>
        </w:rPr>
        <w:t>(Duensing et al., 2018)</w:t>
      </w:r>
      <w:r w:rsidR="006B456E">
        <w:rPr>
          <w:rFonts w:ascii="Times New Roman" w:eastAsia="SimSun" w:hAnsi="Times New Roman" w:cs="Calibri"/>
          <w:color w:val="000000" w:themeColor="text1"/>
          <w:lang w:eastAsia="hi-IN" w:bidi="hi-IN"/>
        </w:rPr>
        <w:fldChar w:fldCharType="end"/>
      </w:r>
      <w:r w:rsidR="001B5AF2" w:rsidRPr="001B5AF2">
        <w:rPr>
          <w:rFonts w:ascii="Times New Roman" w:eastAsia="SimSun" w:hAnsi="Times New Roman" w:cs="Calibri"/>
          <w:color w:val="000000" w:themeColor="text1"/>
          <w:lang w:eastAsia="hi-IN" w:bidi="hi-IN"/>
        </w:rPr>
        <w:t>.</w:t>
      </w:r>
    </w:p>
    <w:p w14:paraId="0DEC8549" w14:textId="5770C6C0" w:rsidR="007E50F0" w:rsidRPr="003E2162" w:rsidRDefault="00C116B1" w:rsidP="004D77C5">
      <w:pPr>
        <w:pStyle w:val="Heading4"/>
        <w:rPr>
          <w:i w:val="0"/>
        </w:rPr>
      </w:pPr>
      <w:r w:rsidRPr="003E2162">
        <w:rPr>
          <w:i w:val="0"/>
          <w:iCs/>
        </w:rPr>
        <w:t>5</w:t>
      </w:r>
      <w:r w:rsidR="001E6B1B" w:rsidRPr="003E2162">
        <w:rPr>
          <w:i w:val="0"/>
        </w:rPr>
        <w:t>.2.2. Production of analogues</w:t>
      </w:r>
      <w:r w:rsidR="00D04906" w:rsidRPr="003E2162">
        <w:rPr>
          <w:i w:val="0"/>
        </w:rPr>
        <w:t xml:space="preserve"> of naturally occurring molecules</w:t>
      </w:r>
      <w:r w:rsidR="000C6386" w:rsidRPr="003E2162">
        <w:rPr>
          <w:i w:val="0"/>
        </w:rPr>
        <w:t>.</w:t>
      </w:r>
    </w:p>
    <w:p w14:paraId="065E9403" w14:textId="418F54B7" w:rsidR="0090778A" w:rsidRDefault="00616739" w:rsidP="004E6FAB">
      <w:pPr>
        <w:suppressAutoHyphens/>
        <w:autoSpaceDE w:val="0"/>
        <w:spacing w:before="120" w:after="120" w:line="240" w:lineRule="auto"/>
        <w:jc w:val="both"/>
        <w:rPr>
          <w:rFonts w:ascii="Times New Roman" w:eastAsia="SimSun" w:hAnsi="Times New Roman" w:cs="Calibri"/>
          <w:color w:val="000000" w:themeColor="text1"/>
          <w:lang w:eastAsia="hi-IN" w:bidi="hi-IN"/>
        </w:rPr>
      </w:pPr>
      <w:r w:rsidRPr="008805B8">
        <w:rPr>
          <w:rFonts w:ascii="Times New Roman" w:eastAsia="SimSun" w:hAnsi="Times New Roman" w:cs="Calibri"/>
          <w:color w:val="000000" w:themeColor="text1"/>
          <w:lang w:eastAsia="hi-IN" w:bidi="hi-IN"/>
        </w:rPr>
        <w:t xml:space="preserve">As was </w:t>
      </w:r>
      <w:r w:rsidR="00964156" w:rsidRPr="008805B8">
        <w:rPr>
          <w:rFonts w:ascii="Times New Roman" w:eastAsia="SimSun" w:hAnsi="Times New Roman" w:cs="Calibri"/>
          <w:color w:val="000000" w:themeColor="text1"/>
          <w:lang w:eastAsia="hi-IN" w:bidi="hi-IN"/>
        </w:rPr>
        <w:t>reported in Section 3.3.1., s</w:t>
      </w:r>
      <w:r w:rsidR="009455DB" w:rsidRPr="008805B8">
        <w:rPr>
          <w:rFonts w:ascii="Times New Roman" w:eastAsia="SimSun" w:hAnsi="Times New Roman" w:cs="Calibri"/>
          <w:color w:val="000000" w:themeColor="text1"/>
          <w:lang w:eastAsia="hi-IN" w:bidi="hi-IN"/>
        </w:rPr>
        <w:t>ynthetic alternatives and replacements for substances</w:t>
      </w:r>
      <w:r w:rsidR="00047342">
        <w:rPr>
          <w:rFonts w:ascii="Times New Roman" w:eastAsia="SimSun" w:hAnsi="Times New Roman" w:cs="Calibri"/>
          <w:color w:val="000000" w:themeColor="text1"/>
          <w:lang w:eastAsia="hi-IN" w:bidi="hi-IN"/>
        </w:rPr>
        <w:t xml:space="preserve"> or materials</w:t>
      </w:r>
      <w:r w:rsidR="009455DB" w:rsidRPr="008805B8">
        <w:rPr>
          <w:rFonts w:ascii="Times New Roman" w:eastAsia="SimSun" w:hAnsi="Times New Roman" w:cs="Calibri"/>
          <w:color w:val="000000" w:themeColor="text1"/>
          <w:lang w:eastAsia="hi-IN" w:bidi="hi-IN"/>
        </w:rPr>
        <w:t xml:space="preserve"> conventionally derived from nature are gaining ground in research and on the market. </w:t>
      </w:r>
      <w:r w:rsidR="00047342" w:rsidRPr="00047342">
        <w:rPr>
          <w:rFonts w:ascii="Times New Roman" w:eastAsia="SimSun" w:hAnsi="Times New Roman" w:cs="Calibri"/>
          <w:color w:val="000000" w:themeColor="text1"/>
          <w:lang w:eastAsia="hi-IN" w:bidi="hi-IN"/>
        </w:rPr>
        <w:t>There are conservation</w:t>
      </w:r>
      <w:r w:rsidR="00562072">
        <w:rPr>
          <w:rFonts w:ascii="Times New Roman" w:eastAsia="SimSun" w:hAnsi="Times New Roman" w:cs="Calibri"/>
          <w:color w:val="000000" w:themeColor="text1"/>
          <w:lang w:eastAsia="hi-IN" w:bidi="hi-IN"/>
        </w:rPr>
        <w:t>-</w:t>
      </w:r>
      <w:r w:rsidR="00047342" w:rsidRPr="00047342">
        <w:rPr>
          <w:rFonts w:ascii="Times New Roman" w:eastAsia="SimSun" w:hAnsi="Times New Roman" w:cs="Calibri"/>
          <w:color w:val="000000" w:themeColor="text1"/>
          <w:lang w:eastAsia="hi-IN" w:bidi="hi-IN"/>
        </w:rPr>
        <w:t xml:space="preserve">related motivations </w:t>
      </w:r>
      <w:r w:rsidR="002B2B7C">
        <w:rPr>
          <w:rFonts w:ascii="Times New Roman" w:eastAsia="SimSun" w:hAnsi="Times New Roman" w:cs="Calibri"/>
          <w:color w:val="000000" w:themeColor="text1"/>
          <w:lang w:eastAsia="hi-IN" w:bidi="hi-IN"/>
        </w:rPr>
        <w:t xml:space="preserve">for instance </w:t>
      </w:r>
      <w:r w:rsidR="00047342" w:rsidRPr="00047342">
        <w:rPr>
          <w:rFonts w:ascii="Times New Roman" w:eastAsia="SimSun" w:hAnsi="Times New Roman" w:cs="Calibri"/>
          <w:color w:val="000000" w:themeColor="text1"/>
          <w:lang w:eastAsia="hi-IN" w:bidi="hi-IN"/>
        </w:rPr>
        <w:t xml:space="preserve">behind the development of synthetic </w:t>
      </w:r>
      <w:r w:rsidR="0008081E">
        <w:rPr>
          <w:rFonts w:ascii="Times New Roman" w:eastAsia="SimSun" w:hAnsi="Times New Roman" w:cs="Calibri"/>
          <w:color w:val="000000" w:themeColor="text1"/>
          <w:lang w:eastAsia="hi-IN" w:bidi="hi-IN"/>
        </w:rPr>
        <w:t>biology</w:t>
      </w:r>
      <w:r w:rsidR="00F97899">
        <w:rPr>
          <w:rFonts w:ascii="Times New Roman" w:eastAsia="SimSun" w:hAnsi="Times New Roman" w:cs="Calibri"/>
          <w:color w:val="000000" w:themeColor="text1"/>
          <w:lang w:eastAsia="hi-IN" w:bidi="hi-IN"/>
        </w:rPr>
        <w:t>-</w:t>
      </w:r>
      <w:r w:rsidR="00047342" w:rsidRPr="00047342">
        <w:rPr>
          <w:rFonts w:ascii="Times New Roman" w:eastAsia="SimSun" w:hAnsi="Times New Roman" w:cs="Calibri"/>
          <w:color w:val="000000" w:themeColor="text1"/>
          <w:lang w:eastAsia="hi-IN" w:bidi="hi-IN"/>
        </w:rPr>
        <w:t>produced alternatives that could be substitutes for wild caught species (i.e</w:t>
      </w:r>
      <w:r w:rsidR="00862F47">
        <w:rPr>
          <w:rFonts w:ascii="Times New Roman" w:eastAsia="SimSun" w:hAnsi="Times New Roman" w:cs="Calibri"/>
          <w:color w:val="000000" w:themeColor="text1"/>
          <w:lang w:eastAsia="hi-IN" w:bidi="hi-IN"/>
        </w:rPr>
        <w:t>.</w:t>
      </w:r>
      <w:r w:rsidR="00047342" w:rsidRPr="00047342">
        <w:rPr>
          <w:rFonts w:ascii="Times New Roman" w:eastAsia="SimSun" w:hAnsi="Times New Roman" w:cs="Calibri"/>
          <w:color w:val="000000" w:themeColor="text1"/>
          <w:lang w:eastAsia="hi-IN" w:bidi="hi-IN"/>
        </w:rPr>
        <w:t xml:space="preserve"> synthetic rhino horn and synthetic horseshoe crab blood) (see </w:t>
      </w:r>
      <w:r w:rsidR="00513BB7">
        <w:rPr>
          <w:rFonts w:ascii="Times New Roman" w:eastAsia="SimSun" w:hAnsi="Times New Roman" w:cs="Calibri"/>
          <w:color w:val="000000" w:themeColor="text1"/>
          <w:lang w:eastAsia="hi-IN" w:bidi="hi-IN"/>
        </w:rPr>
        <w:t>S</w:t>
      </w:r>
      <w:r w:rsidR="00047342" w:rsidRPr="00047342">
        <w:rPr>
          <w:rFonts w:ascii="Times New Roman" w:eastAsia="SimSun" w:hAnsi="Times New Roman" w:cs="Calibri"/>
          <w:color w:val="000000" w:themeColor="text1"/>
          <w:lang w:eastAsia="hi-IN" w:bidi="hi-IN"/>
        </w:rPr>
        <w:t xml:space="preserve">ection </w:t>
      </w:r>
      <w:r w:rsidR="00513BB7">
        <w:rPr>
          <w:rFonts w:ascii="Times New Roman" w:eastAsia="SimSun" w:hAnsi="Times New Roman" w:cs="Calibri"/>
          <w:color w:val="000000" w:themeColor="text1"/>
          <w:lang w:eastAsia="hi-IN" w:bidi="hi-IN"/>
        </w:rPr>
        <w:t>4.</w:t>
      </w:r>
      <w:r w:rsidR="00047342" w:rsidRPr="00047342">
        <w:rPr>
          <w:rFonts w:ascii="Times New Roman" w:eastAsia="SimSun" w:hAnsi="Times New Roman" w:cs="Calibri"/>
          <w:color w:val="000000" w:themeColor="text1"/>
          <w:lang w:eastAsia="hi-IN" w:bidi="hi-IN"/>
        </w:rPr>
        <w:t>4</w:t>
      </w:r>
      <w:r w:rsidR="00513BB7">
        <w:rPr>
          <w:rFonts w:ascii="Times New Roman" w:eastAsia="SimSun" w:hAnsi="Times New Roman" w:cs="Calibri"/>
          <w:color w:val="000000" w:themeColor="text1"/>
          <w:lang w:eastAsia="hi-IN" w:bidi="hi-IN"/>
        </w:rPr>
        <w:t>.</w:t>
      </w:r>
      <w:r w:rsidR="00047342" w:rsidRPr="00047342">
        <w:rPr>
          <w:rFonts w:ascii="Times New Roman" w:eastAsia="SimSun" w:hAnsi="Times New Roman" w:cs="Calibri"/>
          <w:color w:val="000000" w:themeColor="text1"/>
          <w:lang w:eastAsia="hi-IN" w:bidi="hi-IN"/>
        </w:rPr>
        <w:t>).</w:t>
      </w:r>
      <w:r w:rsidR="00B6743B">
        <w:rPr>
          <w:rFonts w:ascii="Times New Roman" w:eastAsia="SimSun" w:hAnsi="Times New Roman" w:cs="Calibri"/>
          <w:color w:val="000000" w:themeColor="text1"/>
          <w:lang w:eastAsia="hi-IN" w:bidi="hi-IN"/>
        </w:rPr>
        <w:t xml:space="preserve"> </w:t>
      </w:r>
      <w:r w:rsidR="0010451E">
        <w:rPr>
          <w:rFonts w:ascii="Times New Roman" w:eastAsia="SimSun" w:hAnsi="Times New Roman" w:cs="Calibri"/>
          <w:color w:val="000000" w:themeColor="text1"/>
          <w:lang w:eastAsia="hi-IN" w:bidi="hi-IN"/>
        </w:rPr>
        <w:t>Further, m</w:t>
      </w:r>
      <w:r w:rsidR="00AD553C">
        <w:rPr>
          <w:rFonts w:ascii="Times New Roman" w:eastAsia="SimSun" w:hAnsi="Times New Roman" w:cs="Calibri"/>
          <w:color w:val="000000" w:themeColor="text1"/>
          <w:lang w:eastAsia="hi-IN" w:bidi="hi-IN"/>
        </w:rPr>
        <w:t xml:space="preserve">any </w:t>
      </w:r>
      <w:r w:rsidR="0069378F" w:rsidRPr="36140518">
        <w:rPr>
          <w:rFonts w:ascii="Times New Roman" w:eastAsia="SimSun" w:hAnsi="Times New Roman" w:cs="Calibri"/>
          <w:color w:val="000000" w:themeColor="text1"/>
          <w:lang w:eastAsia="hi-IN" w:bidi="hi-IN"/>
        </w:rPr>
        <w:t xml:space="preserve">commercial </w:t>
      </w:r>
      <w:r w:rsidR="0069378F" w:rsidRPr="36140518">
        <w:rPr>
          <w:rFonts w:ascii="Times New Roman" w:hAnsi="Times New Roman" w:cs="Calibri"/>
          <w:color w:val="000000" w:themeColor="text1"/>
          <w:lang w:eastAsia="ar-SA"/>
        </w:rPr>
        <w:t>synthetic biology</w:t>
      </w:r>
      <w:r w:rsidR="0069378F" w:rsidRPr="36140518">
        <w:rPr>
          <w:rFonts w:ascii="Times New Roman" w:eastAsia="SimSun" w:hAnsi="Times New Roman" w:cs="Calibri"/>
          <w:color w:val="000000" w:themeColor="text1"/>
          <w:lang w:eastAsia="hi-IN" w:bidi="hi-IN"/>
        </w:rPr>
        <w:t xml:space="preserve"> applications replicate naturally</w:t>
      </w:r>
      <w:r w:rsidR="00AD553C">
        <w:rPr>
          <w:rFonts w:ascii="Times New Roman" w:eastAsia="SimSun" w:hAnsi="Times New Roman" w:cs="Calibri"/>
          <w:color w:val="000000" w:themeColor="text1"/>
          <w:lang w:eastAsia="hi-IN" w:bidi="hi-IN"/>
        </w:rPr>
        <w:t xml:space="preserve"> </w:t>
      </w:r>
      <w:r w:rsidR="0069378F" w:rsidRPr="36140518">
        <w:rPr>
          <w:rFonts w:ascii="Times New Roman" w:eastAsia="SimSun" w:hAnsi="Times New Roman" w:cs="Calibri"/>
          <w:color w:val="000000" w:themeColor="text1"/>
          <w:lang w:eastAsia="hi-IN" w:bidi="hi-IN"/>
        </w:rPr>
        <w:t xml:space="preserve">occurring molecules that are expensive or difficult to source outside the laboratory or produce in the laboratory using synthetic chemistry </w:t>
      </w:r>
      <w:r w:rsidR="006B456E">
        <w:rPr>
          <w:rFonts w:ascii="Times New Roman" w:eastAsia="SimSun" w:hAnsi="Times New Roman" w:cs="Calibri"/>
          <w:color w:val="000000" w:themeColor="text1"/>
          <w:lang w:eastAsia="hi-IN" w:bidi="hi-IN"/>
        </w:rPr>
        <w:fldChar w:fldCharType="begin" w:fldLock="1"/>
      </w:r>
      <w:r w:rsidR="00EE39F6">
        <w:rPr>
          <w:rFonts w:ascii="Times New Roman" w:eastAsia="SimSun" w:hAnsi="Times New Roman" w:cs="Calibri"/>
          <w:color w:val="000000" w:themeColor="text1"/>
          <w:lang w:eastAsia="hi-IN" w:bidi="hi-IN"/>
        </w:rPr>
        <w:instrText>ADDIN CSL_CITATION {"citationItems":[{"id":"ITEM-1","itemData":{"DOI":"10.1007/s11693-009-9032-9","ISSN":"1872-5325","author":[{"dropping-particle":"","family":"Wellhausen","given":"Rachel","non-dropping-particle":"","parse-names":false,"suffix":""},{"dropping-particle":"","family":"Mukunda","given":"Gautam","non-dropping-particle":"","parse-names":false,"suffix":""}],"container-title":"Systems and Synthetic Biology","id":"ITEM-1","issue":"1-4","issued":{"date-parts":[["2009","12","10"]]},"page":"115-123","title":"Aspects of the political economy of development and synthetic biology","type":"article-journal","volume":"3"},"uris":["http://www.mendeley.com/documents/?uuid=3519e150-d1e0-42bb-be5a-a6eb4ead02b3"]}],"mendeley":{"formattedCitation":"(Wellhausen &amp; Mukunda, 2009)","plainTextFormattedCitation":"(Wellhausen &amp; Mukunda, 2009)","previouslyFormattedCitation":"(Wellhausen &amp; Mukunda, 2009)"},"properties":{"noteIndex":0},"schema":"https://github.com/citation-style-language/schema/raw/master/csl-citation.json"}</w:instrText>
      </w:r>
      <w:r w:rsidR="006B456E">
        <w:rPr>
          <w:rFonts w:ascii="Times New Roman" w:eastAsia="SimSun" w:hAnsi="Times New Roman" w:cs="Calibri"/>
          <w:color w:val="000000" w:themeColor="text1"/>
          <w:lang w:eastAsia="hi-IN" w:bidi="hi-IN"/>
        </w:rPr>
        <w:fldChar w:fldCharType="separate"/>
      </w:r>
      <w:r w:rsidR="006B456E" w:rsidRPr="006B456E">
        <w:rPr>
          <w:rFonts w:ascii="Times New Roman" w:eastAsia="SimSun" w:hAnsi="Times New Roman" w:cs="Calibri"/>
          <w:noProof/>
          <w:color w:val="000000" w:themeColor="text1"/>
          <w:lang w:eastAsia="hi-IN" w:bidi="hi-IN"/>
        </w:rPr>
        <w:t>(Wellhausen &amp; Mukunda, 2009)</w:t>
      </w:r>
      <w:r w:rsidR="006B456E">
        <w:rPr>
          <w:rFonts w:ascii="Times New Roman" w:eastAsia="SimSun" w:hAnsi="Times New Roman" w:cs="Calibri"/>
          <w:color w:val="000000" w:themeColor="text1"/>
          <w:lang w:eastAsia="hi-IN" w:bidi="hi-IN"/>
        </w:rPr>
        <w:fldChar w:fldCharType="end"/>
      </w:r>
      <w:r w:rsidR="0069378F" w:rsidRPr="36140518">
        <w:rPr>
          <w:rFonts w:ascii="Times New Roman" w:eastAsia="SimSun" w:hAnsi="Times New Roman" w:cs="Calibri"/>
          <w:color w:val="000000" w:themeColor="text1"/>
          <w:lang w:eastAsia="hi-IN" w:bidi="hi-IN"/>
        </w:rPr>
        <w:t>.</w:t>
      </w:r>
      <w:r w:rsidR="00AD553C">
        <w:rPr>
          <w:rFonts w:ascii="Times New Roman" w:eastAsia="SimSun" w:hAnsi="Times New Roman" w:cs="Calibri"/>
          <w:color w:val="000000" w:themeColor="text1"/>
          <w:lang w:eastAsia="hi-IN" w:bidi="hi-IN"/>
        </w:rPr>
        <w:t xml:space="preserve"> </w:t>
      </w:r>
      <w:r w:rsidR="00BB71B7" w:rsidRPr="001E6B1B">
        <w:rPr>
          <w:rFonts w:ascii="Times New Roman" w:eastAsia="SimSun" w:hAnsi="Times New Roman" w:cs="Calibri"/>
          <w:color w:val="000000" w:themeColor="text1"/>
          <w:lang w:eastAsia="hi-IN" w:bidi="hi-IN"/>
        </w:rPr>
        <w:t>The main economic driver</w:t>
      </w:r>
      <w:r w:rsidR="00BB71B7">
        <w:rPr>
          <w:rFonts w:ascii="Times New Roman" w:eastAsia="SimSun" w:hAnsi="Times New Roman" w:cs="Calibri"/>
          <w:color w:val="000000" w:themeColor="text1"/>
          <w:lang w:eastAsia="hi-IN" w:bidi="hi-IN"/>
        </w:rPr>
        <w:t>s</w:t>
      </w:r>
      <w:r w:rsidR="00BB71B7" w:rsidRPr="001E6B1B">
        <w:rPr>
          <w:rFonts w:ascii="Times New Roman" w:eastAsia="SimSun" w:hAnsi="Times New Roman" w:cs="Calibri"/>
          <w:color w:val="000000" w:themeColor="text1"/>
          <w:lang w:eastAsia="hi-IN" w:bidi="hi-IN"/>
        </w:rPr>
        <w:t xml:space="preserve"> </w:t>
      </w:r>
      <w:r w:rsidR="00BB71B7">
        <w:rPr>
          <w:rFonts w:ascii="Times New Roman" w:eastAsia="SimSun" w:hAnsi="Times New Roman" w:cs="Calibri"/>
          <w:color w:val="000000" w:themeColor="text1"/>
          <w:lang w:eastAsia="hi-IN" w:bidi="hi-IN"/>
        </w:rPr>
        <w:t>for this</w:t>
      </w:r>
      <w:r w:rsidR="00BB71B7" w:rsidRPr="001E6B1B">
        <w:rPr>
          <w:rFonts w:ascii="Times New Roman" w:eastAsia="SimSun" w:hAnsi="Times New Roman" w:cs="Calibri"/>
          <w:color w:val="000000" w:themeColor="text1"/>
          <w:lang w:eastAsia="hi-IN" w:bidi="hi-IN"/>
        </w:rPr>
        <w:t xml:space="preserve"> </w:t>
      </w:r>
      <w:r w:rsidR="00EC6E6B">
        <w:rPr>
          <w:rFonts w:ascii="Times New Roman" w:eastAsia="SimSun" w:hAnsi="Times New Roman" w:cs="Calibri"/>
          <w:color w:val="000000" w:themeColor="text1"/>
          <w:lang w:eastAsia="hi-IN" w:bidi="hi-IN"/>
        </w:rPr>
        <w:t>appear to be</w:t>
      </w:r>
      <w:r w:rsidR="00D16670">
        <w:rPr>
          <w:rFonts w:ascii="Times New Roman" w:eastAsia="SimSun" w:hAnsi="Times New Roman" w:cs="Calibri"/>
          <w:color w:val="000000" w:themeColor="text1"/>
          <w:lang w:eastAsia="hi-IN" w:bidi="hi-IN"/>
        </w:rPr>
        <w:t xml:space="preserve"> </w:t>
      </w:r>
      <w:r w:rsidR="00225BBA">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{"citationItems":[{"id":"ITEM-1","itemData":{"author":[{"dropping-particle":"","family":"United Nations Conference on Trade and Development","given":"","non-dropping-particle":"","parse-names":false,"suffix":""}],"edition":"UNCTAD/DIT","id":"ITEM-1","issued":{"date-parts":[["2019"]]},"number-of-pages":"39","title":"Synthetic Biology and its Potential Implications for BioTrade and Access and Benefit-Sharing","type":"book"},"uris":["http://www.mendeley.com/documents/?uuid=be9a3c56-7701-45d7-80e1-42e73ea2ad13"]}],"mendeley":{"formattedCitation":"(United Nations Conference on Trade and Development, 2019)","plainTextFormattedCitation":"(United Nations Conference on Trade and Development, 2019)","previouslyFormattedCitation":"(United Nations Conference on Trade and Development, 2019)"},"properties":{"noteIndex":0},"schema":"https://github.com/citation-style-language/schema/raw/master/csl-citation.json"}</w:instrText>
      </w:r>
      <w:r w:rsidR="00225BBA">
        <w:rPr>
          <w:rFonts w:ascii="Times New Roman" w:eastAsia="SimSun" w:hAnsi="Times New Roman" w:cs="Calibri"/>
          <w:color w:val="000000" w:themeColor="text1"/>
          <w:lang w:eastAsia="hi-IN" w:bidi="hi-IN"/>
        </w:rPr>
        <w:fldChar w:fldCharType="separate"/>
      </w:r>
      <w:r w:rsidR="00225BBA" w:rsidRPr="00225BBA">
        <w:rPr>
          <w:rFonts w:ascii="Times New Roman" w:eastAsia="SimSun" w:hAnsi="Times New Roman" w:cs="Calibri"/>
          <w:noProof/>
          <w:color w:val="000000" w:themeColor="text1"/>
          <w:lang w:eastAsia="hi-IN" w:bidi="hi-IN"/>
        </w:rPr>
        <w:t>(United Nations Conference on Trade and Development, 2019)</w:t>
      </w:r>
      <w:r w:rsidR="00225BBA">
        <w:rPr>
          <w:rFonts w:ascii="Times New Roman" w:eastAsia="SimSun" w:hAnsi="Times New Roman" w:cs="Calibri"/>
          <w:color w:val="000000" w:themeColor="text1"/>
          <w:lang w:eastAsia="hi-IN" w:bidi="hi-IN"/>
        </w:rPr>
        <w:fldChar w:fldCharType="end"/>
      </w:r>
      <w:r w:rsidR="00EC6E6B">
        <w:rPr>
          <w:rFonts w:ascii="Times New Roman" w:eastAsia="SimSun" w:hAnsi="Times New Roman" w:cs="Calibri"/>
          <w:color w:val="000000" w:themeColor="text1"/>
          <w:lang w:eastAsia="hi-IN" w:bidi="hi-IN"/>
        </w:rPr>
        <w:t>:</w:t>
      </w:r>
    </w:p>
    <w:p w14:paraId="2FFA1B35" w14:textId="77777777" w:rsidR="0090778A" w:rsidRDefault="00D16670" w:rsidP="008805B8">
      <w:pPr>
        <w:suppressAutoHyphens/>
        <w:autoSpaceDE w:val="0"/>
        <w:spacing w:before="120" w:after="120" w:line="240" w:lineRule="auto"/>
        <w:ind w:left="284" w:hanging="284"/>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1)</w:t>
      </w:r>
      <w:r w:rsidR="00BB71B7" w:rsidRPr="001E6B1B">
        <w:rPr>
          <w:rFonts w:ascii="Times New Roman" w:eastAsia="SimSun" w:hAnsi="Times New Roman" w:cs="Calibri"/>
          <w:color w:val="000000" w:themeColor="text1"/>
          <w:lang w:eastAsia="hi-IN" w:bidi="hi-IN"/>
        </w:rPr>
        <w:t xml:space="preserve"> the</w:t>
      </w:r>
      <w:r w:rsidR="00BB71B7">
        <w:rPr>
          <w:rFonts w:ascii="Times New Roman" w:eastAsia="SimSun" w:hAnsi="Times New Roman" w:cs="Calibri"/>
          <w:color w:val="000000" w:themeColor="text1"/>
          <w:lang w:eastAsia="hi-IN" w:bidi="hi-IN"/>
        </w:rPr>
        <w:t xml:space="preserve"> </w:t>
      </w:r>
      <w:r w:rsidR="00BB71B7" w:rsidRPr="001E6B1B">
        <w:rPr>
          <w:rFonts w:ascii="Times New Roman" w:eastAsia="SimSun" w:hAnsi="Times New Roman" w:cs="Calibri"/>
          <w:color w:val="000000" w:themeColor="text1"/>
          <w:lang w:eastAsia="hi-IN" w:bidi="hi-IN"/>
        </w:rPr>
        <w:t>establish</w:t>
      </w:r>
      <w:r>
        <w:rPr>
          <w:rFonts w:ascii="Times New Roman" w:eastAsia="SimSun" w:hAnsi="Times New Roman" w:cs="Calibri"/>
          <w:color w:val="000000" w:themeColor="text1"/>
          <w:lang w:eastAsia="hi-IN" w:bidi="hi-IN"/>
        </w:rPr>
        <w:t>ment of</w:t>
      </w:r>
      <w:r w:rsidR="00BB71B7" w:rsidRPr="001E6B1B">
        <w:rPr>
          <w:rFonts w:ascii="Times New Roman" w:eastAsia="SimSun" w:hAnsi="Times New Roman" w:cs="Calibri"/>
          <w:color w:val="000000" w:themeColor="text1"/>
          <w:lang w:eastAsia="hi-IN" w:bidi="hi-IN"/>
        </w:rPr>
        <w:t xml:space="preserve"> reliable and economically profitable</w:t>
      </w:r>
      <w:r w:rsidR="00BB71B7">
        <w:rPr>
          <w:rFonts w:ascii="Times New Roman" w:eastAsia="SimSun" w:hAnsi="Times New Roman" w:cs="Calibri"/>
          <w:color w:val="000000" w:themeColor="text1"/>
          <w:lang w:eastAsia="hi-IN" w:bidi="hi-IN"/>
        </w:rPr>
        <w:t xml:space="preserve"> </w:t>
      </w:r>
      <w:r w:rsidR="00BB71B7" w:rsidRPr="001E6B1B">
        <w:rPr>
          <w:rFonts w:ascii="Times New Roman" w:eastAsia="SimSun" w:hAnsi="Times New Roman" w:cs="Calibri"/>
          <w:color w:val="000000" w:themeColor="text1"/>
          <w:lang w:eastAsia="hi-IN" w:bidi="hi-IN"/>
        </w:rPr>
        <w:t>production systems that are environmentally benign in</w:t>
      </w:r>
      <w:r w:rsidR="00BB71B7">
        <w:rPr>
          <w:rFonts w:ascii="Times New Roman" w:eastAsia="SimSun" w:hAnsi="Times New Roman" w:cs="Calibri"/>
          <w:color w:val="000000" w:themeColor="text1"/>
          <w:lang w:eastAsia="hi-IN" w:bidi="hi-IN"/>
        </w:rPr>
        <w:t xml:space="preserve"> </w:t>
      </w:r>
      <w:r w:rsidR="00BB71B7" w:rsidRPr="001E6B1B">
        <w:rPr>
          <w:rFonts w:ascii="Times New Roman" w:eastAsia="SimSun" w:hAnsi="Times New Roman" w:cs="Calibri"/>
          <w:color w:val="000000" w:themeColor="text1"/>
          <w:lang w:eastAsia="hi-IN" w:bidi="hi-IN"/>
        </w:rPr>
        <w:t>comparison with the classic production approaches</w:t>
      </w:r>
      <w:r w:rsidR="00BB71B7">
        <w:rPr>
          <w:rFonts w:ascii="Times New Roman" w:eastAsia="SimSun" w:hAnsi="Times New Roman" w:cs="Calibri"/>
          <w:color w:val="000000" w:themeColor="text1"/>
          <w:lang w:eastAsia="hi-IN" w:bidi="hi-IN"/>
        </w:rPr>
        <w:t xml:space="preserve"> </w:t>
      </w:r>
      <w:r w:rsidR="00BB71B7" w:rsidRPr="001E6B1B">
        <w:rPr>
          <w:rFonts w:ascii="Times New Roman" w:eastAsia="SimSun" w:hAnsi="Times New Roman" w:cs="Calibri"/>
          <w:color w:val="000000" w:themeColor="text1"/>
          <w:lang w:eastAsia="hi-IN" w:bidi="hi-IN"/>
        </w:rPr>
        <w:t>based on large-scale organic chemical synthesis</w:t>
      </w:r>
      <w:r>
        <w:rPr>
          <w:rFonts w:ascii="Times New Roman" w:eastAsia="SimSun" w:hAnsi="Times New Roman" w:cs="Calibri"/>
          <w:color w:val="000000" w:themeColor="text1"/>
          <w:lang w:eastAsia="hi-IN" w:bidi="hi-IN"/>
        </w:rPr>
        <w:t>, and</w:t>
      </w:r>
      <w:r w:rsidR="00EC6E6B">
        <w:rPr>
          <w:rFonts w:ascii="Times New Roman" w:eastAsia="SimSun" w:hAnsi="Times New Roman" w:cs="Calibri"/>
          <w:color w:val="000000" w:themeColor="text1"/>
          <w:lang w:eastAsia="hi-IN" w:bidi="hi-IN"/>
        </w:rPr>
        <w:t>;</w:t>
      </w:r>
    </w:p>
    <w:p w14:paraId="2FDF00B9" w14:textId="77777777" w:rsidR="003128FF" w:rsidDel="002000EF" w:rsidRDefault="00D16670" w:rsidP="002000EF">
      <w:pPr>
        <w:suppressAutoHyphens/>
        <w:autoSpaceDE w:val="0"/>
        <w:spacing w:before="120" w:after="120" w:line="240" w:lineRule="auto"/>
        <w:ind w:left="284" w:hanging="284"/>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2) </w:t>
      </w:r>
      <w:r w:rsidR="00BB71B7" w:rsidRPr="001E6B1B">
        <w:rPr>
          <w:rFonts w:ascii="Times New Roman" w:eastAsia="SimSun" w:hAnsi="Times New Roman" w:cs="Calibri"/>
          <w:color w:val="000000" w:themeColor="text1"/>
          <w:lang w:eastAsia="hi-IN" w:bidi="hi-IN"/>
        </w:rPr>
        <w:t>that legislation in the</w:t>
      </w:r>
      <w:r w:rsidR="00BB71B7">
        <w:rPr>
          <w:rFonts w:ascii="Times New Roman" w:eastAsia="SimSun" w:hAnsi="Times New Roman" w:cs="Calibri"/>
          <w:color w:val="000000" w:themeColor="text1"/>
          <w:lang w:eastAsia="hi-IN" w:bidi="hi-IN"/>
        </w:rPr>
        <w:t xml:space="preserve"> </w:t>
      </w:r>
      <w:r w:rsidR="00BB71B7" w:rsidRPr="001E6B1B">
        <w:rPr>
          <w:rFonts w:ascii="Times New Roman" w:eastAsia="SimSun" w:hAnsi="Times New Roman" w:cs="Calibri"/>
          <w:color w:val="000000" w:themeColor="text1"/>
          <w:lang w:eastAsia="hi-IN" w:bidi="hi-IN"/>
        </w:rPr>
        <w:t xml:space="preserve">European Union and the </w:t>
      </w:r>
      <w:r>
        <w:rPr>
          <w:rFonts w:ascii="Times New Roman" w:eastAsia="SimSun" w:hAnsi="Times New Roman" w:cs="Calibri"/>
          <w:color w:val="000000" w:themeColor="text1"/>
          <w:lang w:eastAsia="hi-IN" w:bidi="hi-IN"/>
        </w:rPr>
        <w:t>USA</w:t>
      </w:r>
      <w:r w:rsidR="00BB71B7">
        <w:rPr>
          <w:rFonts w:ascii="Times New Roman" w:eastAsia="SimSun" w:hAnsi="Times New Roman" w:cs="Calibri"/>
          <w:color w:val="000000" w:themeColor="text1"/>
          <w:lang w:eastAsia="hi-IN" w:bidi="hi-IN"/>
        </w:rPr>
        <w:t xml:space="preserve"> </w:t>
      </w:r>
      <w:r w:rsidR="00BB71B7" w:rsidRPr="001E6B1B">
        <w:rPr>
          <w:rFonts w:ascii="Times New Roman" w:eastAsia="SimSun" w:hAnsi="Times New Roman" w:cs="Calibri"/>
          <w:color w:val="000000" w:themeColor="text1"/>
          <w:lang w:eastAsia="hi-IN" w:bidi="hi-IN"/>
        </w:rPr>
        <w:t>allows compounds produced through a living organism</w:t>
      </w:r>
      <w:r w:rsidR="00BB71B7">
        <w:rPr>
          <w:rFonts w:ascii="Times New Roman" w:eastAsia="SimSun" w:hAnsi="Times New Roman" w:cs="Calibri"/>
          <w:color w:val="000000" w:themeColor="text1"/>
          <w:lang w:eastAsia="hi-IN" w:bidi="hi-IN"/>
        </w:rPr>
        <w:t xml:space="preserve"> </w:t>
      </w:r>
      <w:r w:rsidR="00BB71B7" w:rsidRPr="001E6B1B">
        <w:rPr>
          <w:rFonts w:ascii="Times New Roman" w:eastAsia="SimSun" w:hAnsi="Times New Roman" w:cs="Calibri"/>
          <w:color w:val="000000" w:themeColor="text1"/>
          <w:lang w:eastAsia="hi-IN" w:bidi="hi-IN"/>
        </w:rPr>
        <w:t>to be labelled as ‘natural’ rather than artificial.</w:t>
      </w:r>
    </w:p>
    <w:p w14:paraId="24B1BBA1" w14:textId="13DE5F4E" w:rsidR="008463D1" w:rsidRDefault="00D42C80" w:rsidP="004E6FAB">
      <w:pPr>
        <w:suppressAutoHyphens/>
        <w:autoSpaceDE w:val="0"/>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The</w:t>
      </w:r>
      <w:r w:rsidR="00DC557C" w:rsidRPr="001A2AEA">
        <w:rPr>
          <w:rFonts w:ascii="Times New Roman" w:eastAsia="SimSun" w:hAnsi="Times New Roman" w:cs="Calibri"/>
          <w:color w:val="000000" w:themeColor="text1"/>
          <w:lang w:eastAsia="hi-IN" w:bidi="hi-IN"/>
        </w:rPr>
        <w:t xml:space="preserve"> displacement</w:t>
      </w:r>
      <w:r>
        <w:rPr>
          <w:rFonts w:ascii="Times New Roman" w:eastAsia="SimSun" w:hAnsi="Times New Roman" w:cs="Calibri"/>
          <w:color w:val="000000" w:themeColor="text1"/>
          <w:lang w:eastAsia="hi-IN" w:bidi="hi-IN"/>
        </w:rPr>
        <w:t xml:space="preserve"> of some of the natura</w:t>
      </w:r>
      <w:r w:rsidR="00C21116">
        <w:rPr>
          <w:rFonts w:ascii="Times New Roman" w:eastAsia="SimSun" w:hAnsi="Times New Roman" w:cs="Calibri"/>
          <w:color w:val="000000" w:themeColor="text1"/>
          <w:lang w:eastAsia="hi-IN" w:bidi="hi-IN"/>
        </w:rPr>
        <w:t>l products (i.e</w:t>
      </w:r>
      <w:r w:rsidR="001638C4">
        <w:rPr>
          <w:rFonts w:ascii="Times New Roman" w:eastAsia="SimSun" w:hAnsi="Times New Roman" w:cs="Calibri"/>
          <w:color w:val="000000" w:themeColor="text1"/>
          <w:lang w:eastAsia="hi-IN" w:bidi="hi-IN"/>
        </w:rPr>
        <w:t>.</w:t>
      </w:r>
      <w:r w:rsidR="00C21116">
        <w:rPr>
          <w:rFonts w:ascii="Times New Roman" w:eastAsia="SimSun" w:hAnsi="Times New Roman" w:cs="Calibri"/>
          <w:color w:val="000000" w:themeColor="text1"/>
          <w:lang w:eastAsia="hi-IN" w:bidi="hi-IN"/>
        </w:rPr>
        <w:t xml:space="preserve"> naturally occurring molecules </w:t>
      </w:r>
      <w:r w:rsidR="0025567F">
        <w:rPr>
          <w:rFonts w:ascii="Times New Roman" w:eastAsia="SimSun" w:hAnsi="Times New Roman" w:cs="Calibri"/>
          <w:color w:val="000000" w:themeColor="text1"/>
          <w:lang w:eastAsia="hi-IN" w:bidi="hi-IN"/>
        </w:rPr>
        <w:t>obtained from plants)</w:t>
      </w:r>
      <w:r w:rsidR="00DC557C" w:rsidRPr="001A2AEA">
        <w:rPr>
          <w:rFonts w:ascii="Times New Roman" w:eastAsia="SimSun" w:hAnsi="Times New Roman" w:cs="Calibri"/>
          <w:color w:val="000000" w:themeColor="text1"/>
          <w:lang w:eastAsia="hi-IN" w:bidi="hi-IN"/>
        </w:rPr>
        <w:t xml:space="preserve"> can potentially ease negative pressures on wild or cultivated species</w:t>
      </w:r>
      <w:r w:rsidR="00DC557C" w:rsidRPr="00D42C80">
        <w:rPr>
          <w:rFonts w:ascii="Times New Roman" w:eastAsia="SimSun" w:hAnsi="Times New Roman" w:cs="Calibri"/>
          <w:color w:val="000000" w:themeColor="text1"/>
          <w:lang w:eastAsia="hi-IN" w:bidi="hi-IN"/>
        </w:rPr>
        <w:t>,</w:t>
      </w:r>
      <w:r w:rsidR="00DC557C" w:rsidRPr="36140518">
        <w:rPr>
          <w:rFonts w:ascii="Times New Roman" w:eastAsia="SimSun" w:hAnsi="Times New Roman" w:cs="Calibri"/>
          <w:color w:val="000000" w:themeColor="text1"/>
          <w:lang w:eastAsia="hi-IN" w:bidi="hi-IN"/>
        </w:rPr>
        <w:t xml:space="preserve"> but it can also displace cultivation practices, often in topical and sub-</w:t>
      </w:r>
      <w:r w:rsidR="00DC557C" w:rsidRPr="36140518">
        <w:rPr>
          <w:rFonts w:ascii="Times New Roman" w:hAnsi="Times New Roman"/>
          <w:color w:val="000000" w:themeColor="text1"/>
          <w:lang w:eastAsia="ar-SA"/>
        </w:rPr>
        <w:t>tropical</w:t>
      </w:r>
      <w:r w:rsidR="00DC557C" w:rsidRPr="36140518">
        <w:rPr>
          <w:rFonts w:ascii="Times New Roman" w:eastAsia="SimSun" w:hAnsi="Times New Roman" w:cs="Calibri"/>
          <w:color w:val="000000" w:themeColor="text1"/>
          <w:lang w:eastAsia="hi-IN" w:bidi="hi-IN"/>
        </w:rPr>
        <w:t xml:space="preserve"> regions.</w:t>
      </w:r>
      <w:r w:rsidR="000275CB">
        <w:rPr>
          <w:rFonts w:ascii="Times New Roman" w:eastAsia="SimSun" w:hAnsi="Times New Roman" w:cs="Calibri"/>
          <w:color w:val="000000" w:themeColor="text1"/>
          <w:lang w:eastAsia="hi-IN" w:bidi="hi-IN"/>
        </w:rPr>
        <w:t xml:space="preserve"> </w:t>
      </w:r>
      <w:r w:rsidR="009455DB" w:rsidRPr="0014412F">
        <w:rPr>
          <w:rFonts w:ascii="Times New Roman" w:eastAsia="SimSun" w:hAnsi="Times New Roman" w:cs="Calibri"/>
          <w:color w:val="000000" w:themeColor="text1"/>
          <w:lang w:eastAsia="hi-IN" w:bidi="hi-IN"/>
        </w:rPr>
        <w:t xml:space="preserve">If not handled sensitively, this </w:t>
      </w:r>
      <w:r w:rsidR="00AF7471" w:rsidRPr="0014412F">
        <w:rPr>
          <w:rFonts w:ascii="Times New Roman" w:eastAsia="SimSun" w:hAnsi="Times New Roman" w:cs="Calibri"/>
          <w:color w:val="000000" w:themeColor="text1"/>
          <w:lang w:eastAsia="hi-IN" w:bidi="hi-IN"/>
        </w:rPr>
        <w:t xml:space="preserve">therefore </w:t>
      </w:r>
      <w:r w:rsidR="009455DB" w:rsidRPr="0014412F">
        <w:rPr>
          <w:rFonts w:ascii="Times New Roman" w:eastAsia="SimSun" w:hAnsi="Times New Roman" w:cs="Calibri"/>
          <w:color w:val="000000" w:themeColor="text1"/>
          <w:lang w:eastAsia="hi-IN" w:bidi="hi-IN"/>
        </w:rPr>
        <w:t>may bring them into conflict with, or displace, those naturally sourced products which underpin the livelihoods and fragile economies of smallholder producers</w:t>
      </w:r>
      <w:r w:rsidR="004858BF">
        <w:rPr>
          <w:rFonts w:ascii="Times New Roman" w:eastAsia="SimSun" w:hAnsi="Times New Roman" w:cs="Calibri"/>
          <w:color w:val="000000" w:themeColor="text1"/>
          <w:lang w:eastAsia="hi-IN" w:bidi="hi-IN"/>
        </w:rPr>
        <w:t xml:space="preserve"> </w:t>
      </w:r>
      <w:r w:rsidR="00EE39F6">
        <w:rPr>
          <w:rFonts w:ascii="Times New Roman" w:eastAsia="SimSun" w:hAnsi="Times New Roman" w:cs="Calibri"/>
          <w:color w:val="000000" w:themeColor="text1"/>
          <w:lang w:eastAsia="hi-IN" w:bidi="hi-IN"/>
        </w:rPr>
        <w:fldChar w:fldCharType="begin" w:fldLock="1"/>
      </w:r>
      <w:r w:rsidR="007D692F">
        <w:rPr>
          <w:rFonts w:ascii="Times New Roman" w:eastAsia="SimSun" w:hAnsi="Times New Roman" w:cs="Calibri"/>
          <w:color w:val="000000" w:themeColor="text1"/>
          <w:lang w:eastAsia="hi-IN" w:bidi="hi-IN"/>
        </w:rPr>
        <w:instrText>ADDIN CSL_CITATION {"citationItems":[{"id":"ITEM-1","itemData":{"author":[{"dropping-particle":"","family":"ETC Group","given":"","non-dropping-particle":"","parse-names":false,"suffix":""}],"id":"ITEM-1","issued":{"date-parts":[["2016"]]},"number-of-pages":"67","title":"Synthetic Biology, Biodiversity &amp; Farmers","type":"report"},"uris":["http://www.mendeley.com/documents/?uuid=c8fb9e79-b348-4d0b-9801-625302c61e5d"]},{"id":"ITEM-2","itemData":{"author":[{"dropping-particle":"","family":"ETC Group","given":"","non-dropping-particle":"","parse-names":false,"suffix":""},{"dropping-particle":"","family":"Fibershed","given":"","non-dropping-particle":"","parse-names":false,"suffix":""}],"id":"ITEM-2","issued":{"date-parts":[["2018"]]},"title":"Genetically Engineered Clothes: Synthetic Biology's New Spin on Fast Fashion","type":"article"},"uris":["http://www.mendeley.com/documents/?uuid=e6c86766-a0b0-4a57-9ede-3957cbc98d5b"]},{"id":"ITEM-3","itemData":{"author":[{"dropping-particle":"","family":"United Nations Conference on Trade and Development","given":"","non-dropping-particle":"","parse-names":false,"suffix":""}],"edition":"UNCTAD/DIT","id":"ITEM-3","issued":{"date-parts":[["2019"]]},"number-of-pages":"39","title":"Synthetic Biology and its Potential Implications for BioTrade and Access and Benefit-Sharing","type":"book"},"uris":["http://www.mendeley.com/documents/?uuid=be9a3c56-7701-45d7-80e1-42e73ea2ad13"]}],"mendeley":{"formattedCitation":"(ETC Group, 2016; Fibershed, 2018; United Nations Conference on Trade and Development, 2019)","manualFormatting":"(ETC Group, 2016; ETC Group &amp; Fibershed, 2018; UNCTAD, 2019)","plainTextFormattedCitation":"(ETC Group, 2016; Fibershed, 2018; United Nations Conference on Trade and Development, 2019)","previouslyFormattedCitation":"(ETC Group, 2016; Fibershed, 2018; United Nations Conference on Trade and Development, 2019)"},"properties":{"noteIndex":0},"schema":"https://github.com/citation-style-language/schema/raw/master/csl-citation.json"}</w:instrText>
      </w:r>
      <w:r w:rsidR="00EE39F6">
        <w:rPr>
          <w:rFonts w:ascii="Times New Roman" w:eastAsia="SimSun" w:hAnsi="Times New Roman" w:cs="Calibri"/>
          <w:color w:val="000000" w:themeColor="text1"/>
          <w:lang w:eastAsia="hi-IN" w:bidi="hi-IN"/>
        </w:rPr>
        <w:fldChar w:fldCharType="separate"/>
      </w:r>
      <w:r w:rsidR="00EE39F6" w:rsidRPr="00EE39F6">
        <w:rPr>
          <w:rFonts w:ascii="Times New Roman" w:eastAsia="SimSun" w:hAnsi="Times New Roman" w:cs="Calibri"/>
          <w:noProof/>
          <w:color w:val="000000" w:themeColor="text1"/>
          <w:lang w:eastAsia="hi-IN" w:bidi="hi-IN"/>
        </w:rPr>
        <w:t xml:space="preserve">(ETC Group, 2016; </w:t>
      </w:r>
      <w:r w:rsidR="007D692F">
        <w:rPr>
          <w:rFonts w:ascii="Times New Roman" w:eastAsia="SimSun" w:hAnsi="Times New Roman" w:cs="Calibri"/>
          <w:noProof/>
          <w:color w:val="000000" w:themeColor="text1"/>
          <w:lang w:eastAsia="hi-IN" w:bidi="hi-IN"/>
        </w:rPr>
        <w:t xml:space="preserve">ETC Group &amp; </w:t>
      </w:r>
      <w:r w:rsidR="00EE39F6" w:rsidRPr="00EE39F6">
        <w:rPr>
          <w:rFonts w:ascii="Times New Roman" w:eastAsia="SimSun" w:hAnsi="Times New Roman" w:cs="Calibri"/>
          <w:noProof/>
          <w:color w:val="000000" w:themeColor="text1"/>
          <w:lang w:eastAsia="hi-IN" w:bidi="hi-IN"/>
        </w:rPr>
        <w:t>Fibershed, 2018; U</w:t>
      </w:r>
      <w:r w:rsidR="00EE39F6">
        <w:rPr>
          <w:rFonts w:ascii="Times New Roman" w:eastAsia="SimSun" w:hAnsi="Times New Roman" w:cs="Calibri"/>
          <w:noProof/>
          <w:color w:val="000000" w:themeColor="text1"/>
          <w:lang w:eastAsia="hi-IN" w:bidi="hi-IN"/>
        </w:rPr>
        <w:t>NCTAD</w:t>
      </w:r>
      <w:r w:rsidR="00EE39F6" w:rsidRPr="00EE39F6">
        <w:rPr>
          <w:rFonts w:ascii="Times New Roman" w:eastAsia="SimSun" w:hAnsi="Times New Roman" w:cs="Calibri"/>
          <w:noProof/>
          <w:color w:val="000000" w:themeColor="text1"/>
          <w:lang w:eastAsia="hi-IN" w:bidi="hi-IN"/>
        </w:rPr>
        <w:t>, 2019)</w:t>
      </w:r>
      <w:r w:rsidR="00EE39F6">
        <w:rPr>
          <w:rFonts w:ascii="Times New Roman" w:eastAsia="SimSun" w:hAnsi="Times New Roman" w:cs="Calibri"/>
          <w:color w:val="000000" w:themeColor="text1"/>
          <w:lang w:eastAsia="hi-IN" w:bidi="hi-IN"/>
        </w:rPr>
        <w:fldChar w:fldCharType="end"/>
      </w:r>
      <w:r w:rsidR="004858BF">
        <w:rPr>
          <w:rFonts w:ascii="Times New Roman" w:eastAsia="SimSun" w:hAnsi="Times New Roman" w:cs="Calibri"/>
          <w:color w:val="000000" w:themeColor="text1"/>
          <w:lang w:eastAsia="hi-IN" w:bidi="hi-IN"/>
        </w:rPr>
        <w:t>)</w:t>
      </w:r>
      <w:r w:rsidR="009455DB" w:rsidRPr="0014412F">
        <w:rPr>
          <w:rFonts w:ascii="Times New Roman" w:eastAsia="SimSun" w:hAnsi="Times New Roman" w:cs="Calibri"/>
          <w:color w:val="000000" w:themeColor="text1"/>
          <w:lang w:eastAsia="hi-IN" w:bidi="hi-IN"/>
        </w:rPr>
        <w:t>.</w:t>
      </w:r>
      <w:r w:rsidR="00BB30D2" w:rsidRPr="0014412F">
        <w:rPr>
          <w:rFonts w:ascii="Times New Roman" w:eastAsia="SimSun" w:hAnsi="Times New Roman" w:cs="Calibri"/>
          <w:color w:val="000000" w:themeColor="text1"/>
          <w:lang w:eastAsia="hi-IN" w:bidi="hi-IN"/>
        </w:rPr>
        <w:t xml:space="preserve"> </w:t>
      </w:r>
      <w:r w:rsidR="00BB30D2">
        <w:rPr>
          <w:rFonts w:ascii="Times New Roman" w:eastAsia="SimSun" w:hAnsi="Times New Roman" w:cs="Calibri"/>
          <w:color w:val="000000" w:themeColor="text1"/>
          <w:lang w:eastAsia="hi-IN" w:bidi="hi-IN"/>
        </w:rPr>
        <w:t>T</w:t>
      </w:r>
      <w:r w:rsidR="00BB30D2" w:rsidRPr="36140518">
        <w:rPr>
          <w:rFonts w:ascii="Times New Roman" w:eastAsia="SimSun" w:hAnsi="Times New Roman" w:cs="Calibri"/>
          <w:color w:val="000000" w:themeColor="text1"/>
          <w:lang w:eastAsia="hi-IN" w:bidi="hi-IN"/>
        </w:rPr>
        <w:t xml:space="preserve">he displacement of </w:t>
      </w:r>
      <w:r w:rsidR="00566696" w:rsidRPr="36140518">
        <w:rPr>
          <w:rFonts w:ascii="Times New Roman" w:eastAsia="SimSun" w:hAnsi="Times New Roman" w:cs="Calibri"/>
          <w:color w:val="000000" w:themeColor="text1"/>
          <w:lang w:eastAsia="hi-IN" w:bidi="hi-IN"/>
        </w:rPr>
        <w:t xml:space="preserve">crops </w:t>
      </w:r>
      <w:r w:rsidR="00FB01AA">
        <w:rPr>
          <w:rFonts w:ascii="Times New Roman" w:eastAsia="SimSun" w:hAnsi="Times New Roman" w:cs="Calibri"/>
          <w:color w:val="000000" w:themeColor="text1"/>
          <w:lang w:eastAsia="hi-IN" w:bidi="hi-IN"/>
        </w:rPr>
        <w:t xml:space="preserve">cultivated by </w:t>
      </w:r>
      <w:r w:rsidR="00BB30D2" w:rsidRPr="36140518">
        <w:rPr>
          <w:rFonts w:ascii="Times New Roman" w:eastAsia="SimSun" w:hAnsi="Times New Roman" w:cs="Calibri"/>
          <w:color w:val="000000" w:themeColor="text1"/>
          <w:lang w:eastAsia="hi-IN" w:bidi="hi-IN"/>
        </w:rPr>
        <w:t>small</w:t>
      </w:r>
      <w:r w:rsidR="003547C9">
        <w:rPr>
          <w:rFonts w:ascii="Times New Roman" w:eastAsia="SimSun" w:hAnsi="Times New Roman" w:cs="Calibri"/>
          <w:color w:val="000000" w:themeColor="text1"/>
          <w:lang w:eastAsia="hi-IN" w:bidi="hi-IN"/>
        </w:rPr>
        <w:t>holder</w:t>
      </w:r>
      <w:r w:rsidR="00BB30D2" w:rsidRPr="36140518">
        <w:rPr>
          <w:rFonts w:ascii="Times New Roman" w:eastAsia="SimSun" w:hAnsi="Times New Roman" w:cs="Calibri"/>
          <w:color w:val="000000" w:themeColor="text1"/>
          <w:lang w:eastAsia="hi-IN" w:bidi="hi-IN"/>
        </w:rPr>
        <w:t xml:space="preserve"> farmers is not an impact unique to synthetic biology, nor are the experiences of these farmers pre-determined. Indeed, the displacement of natural products by synthetic biology</w:t>
      </w:r>
      <w:r w:rsidR="00B93188">
        <w:rPr>
          <w:rFonts w:ascii="Times New Roman" w:eastAsia="SimSun" w:hAnsi="Times New Roman" w:cs="Calibri"/>
          <w:color w:val="000000" w:themeColor="text1"/>
          <w:lang w:eastAsia="hi-IN" w:bidi="hi-IN"/>
        </w:rPr>
        <w:t>-</w:t>
      </w:r>
      <w:r w:rsidR="00BB30D2" w:rsidRPr="36140518">
        <w:rPr>
          <w:rFonts w:ascii="Times New Roman" w:eastAsia="SimSun" w:hAnsi="Times New Roman" w:cs="Calibri"/>
          <w:color w:val="000000" w:themeColor="text1"/>
          <w:lang w:eastAsia="hi-IN" w:bidi="hi-IN"/>
        </w:rPr>
        <w:t>produced versions follows a “</w:t>
      </w:r>
      <w:r w:rsidR="00BB30D2" w:rsidRPr="00946E8F">
        <w:rPr>
          <w:rFonts w:ascii="Times New Roman" w:eastAsia="SimSun" w:hAnsi="Times New Roman" w:cs="Calibri"/>
          <w:i/>
          <w:iCs/>
          <w:color w:val="000000" w:themeColor="text1"/>
          <w:lang w:eastAsia="hi-IN" w:bidi="hi-IN"/>
        </w:rPr>
        <w:t>tradition of major technological advances that have displaced former methods of production</w:t>
      </w:r>
      <w:r w:rsidR="00BB30D2" w:rsidRPr="36140518">
        <w:rPr>
          <w:rFonts w:ascii="Times New Roman" w:eastAsia="SimSun" w:hAnsi="Times New Roman" w:cs="Calibri"/>
          <w:color w:val="000000" w:themeColor="text1"/>
          <w:lang w:eastAsia="hi-IN" w:bidi="hi-IN"/>
        </w:rPr>
        <w:t xml:space="preserve">” </w:t>
      </w:r>
      <w:r w:rsidR="00EE39F6">
        <w:rPr>
          <w:rFonts w:ascii="Times New Roman" w:eastAsia="SimSun" w:hAnsi="Times New Roman" w:cs="Calibri"/>
          <w:color w:val="000000" w:themeColor="text1"/>
          <w:lang w:eastAsia="hi-IN" w:bidi="hi-IN"/>
        </w:rPr>
        <w:fldChar w:fldCharType="begin" w:fldLock="1"/>
      </w:r>
      <w:r w:rsidR="006D5441">
        <w:rPr>
          <w:rFonts w:ascii="Times New Roman" w:eastAsia="SimSun" w:hAnsi="Times New Roman" w:cs="Calibri"/>
          <w:color w:val="000000" w:themeColor="text1"/>
          <w:lang w:eastAsia="hi-IN" w:bidi="hi-IN"/>
        </w:rPr>
        <w:instrText>ADDIN CSL_CITATION {"citationItems":[{"id":"ITEM-1","itemData":{"DOI":"10.1007/s11693-009-9032-9","ISSN":"1872-5325","author":[{"dropping-particle":"","family":"Wellhausen","given":"Rachel","non-dropping-particle":"","parse-names":false,"suffix":""},{"dropping-particle":"","family":"Mukunda","given":"Gautam","non-dropping-particle":"","parse-names":false,"suffix":""}],"container-title":"Systems and Synthetic Biology","id":"ITEM-1","issue":"1-4","issued":{"date-parts":[["2009","12","10"]]},"page":"115-123","title":"Aspects of the political economy of development and synthetic biology","type":"article-journal","volume":"3"},"uris":["http://www.mendeley.com/documents/?uuid=3519e150-d1e0-42bb-be5a-a6eb4ead02b3"]}],"mendeley":{"formattedCitation":"(Wellhausen &amp; Mukunda, 2009)","plainTextFormattedCitation":"(Wellhausen &amp; Mukunda, 2009)","previouslyFormattedCitation":"(Wellhausen &amp; Mukunda, 2009)"},"properties":{"noteIndex":0},"schema":"https://github.com/citation-style-language/schema/raw/master/csl-citation.json"}</w:instrText>
      </w:r>
      <w:r w:rsidR="00EE39F6">
        <w:rPr>
          <w:rFonts w:ascii="Times New Roman" w:eastAsia="SimSun" w:hAnsi="Times New Roman" w:cs="Calibri"/>
          <w:color w:val="000000" w:themeColor="text1"/>
          <w:lang w:eastAsia="hi-IN" w:bidi="hi-IN"/>
        </w:rPr>
        <w:fldChar w:fldCharType="separate"/>
      </w:r>
      <w:r w:rsidR="00EE39F6" w:rsidRPr="00EE39F6">
        <w:rPr>
          <w:rFonts w:ascii="Times New Roman" w:eastAsia="SimSun" w:hAnsi="Times New Roman" w:cs="Calibri"/>
          <w:noProof/>
          <w:color w:val="000000" w:themeColor="text1"/>
          <w:lang w:eastAsia="hi-IN" w:bidi="hi-IN"/>
        </w:rPr>
        <w:t>(Wellhausen &amp; Mukunda, 2009)</w:t>
      </w:r>
      <w:r w:rsidR="00EE39F6">
        <w:rPr>
          <w:rFonts w:ascii="Times New Roman" w:eastAsia="SimSun" w:hAnsi="Times New Roman" w:cs="Calibri"/>
          <w:color w:val="000000" w:themeColor="text1"/>
          <w:lang w:eastAsia="hi-IN" w:bidi="hi-IN"/>
        </w:rPr>
        <w:fldChar w:fldCharType="end"/>
      </w:r>
      <w:r w:rsidR="00BB30D2" w:rsidRPr="36140518">
        <w:rPr>
          <w:rFonts w:ascii="Times New Roman" w:eastAsia="SimSun" w:hAnsi="Times New Roman" w:cs="Calibri"/>
          <w:color w:val="000000" w:themeColor="text1"/>
          <w:lang w:eastAsia="hi-IN" w:bidi="hi-IN"/>
        </w:rPr>
        <w:t>.</w:t>
      </w:r>
      <w:r w:rsidR="00F74F0D">
        <w:rPr>
          <w:rFonts w:ascii="Times New Roman" w:eastAsia="SimSun" w:hAnsi="Times New Roman" w:cs="Calibri"/>
          <w:color w:val="000000" w:themeColor="text1"/>
          <w:lang w:eastAsia="hi-IN" w:bidi="hi-IN"/>
        </w:rPr>
        <w:t xml:space="preserve"> </w:t>
      </w:r>
      <w:r w:rsidR="00647A5A">
        <w:rPr>
          <w:rFonts w:ascii="Times New Roman" w:eastAsia="SimSun" w:hAnsi="Times New Roman" w:cs="Calibri"/>
          <w:color w:val="000000" w:themeColor="text1"/>
          <w:lang w:eastAsia="hi-IN" w:bidi="hi-IN"/>
        </w:rPr>
        <w:t xml:space="preserve">However, </w:t>
      </w:r>
      <w:r w:rsidR="000F2BEE">
        <w:rPr>
          <w:rFonts w:ascii="Times New Roman" w:eastAsia="SimSun" w:hAnsi="Times New Roman" w:cs="Calibri"/>
          <w:color w:val="000000" w:themeColor="text1"/>
          <w:lang w:eastAsia="hi-IN" w:bidi="hi-IN"/>
        </w:rPr>
        <w:t xml:space="preserve">the rate </w:t>
      </w:r>
      <w:r w:rsidR="000320AD">
        <w:rPr>
          <w:rFonts w:ascii="Times New Roman" w:eastAsia="SimSun" w:hAnsi="Times New Roman" w:cs="Calibri"/>
          <w:color w:val="000000" w:themeColor="text1"/>
          <w:lang w:eastAsia="hi-IN" w:bidi="hi-IN"/>
        </w:rPr>
        <w:t>to</w:t>
      </w:r>
      <w:r w:rsidR="00ED0808">
        <w:rPr>
          <w:rFonts w:ascii="Times New Roman" w:eastAsia="SimSun" w:hAnsi="Times New Roman" w:cs="Calibri"/>
          <w:color w:val="000000" w:themeColor="text1"/>
          <w:lang w:eastAsia="hi-IN" w:bidi="hi-IN"/>
        </w:rPr>
        <w:t xml:space="preserve"> </w:t>
      </w:r>
      <w:r w:rsidR="000320AD">
        <w:rPr>
          <w:rFonts w:ascii="Times New Roman" w:eastAsia="SimSun" w:hAnsi="Times New Roman" w:cs="Calibri"/>
          <w:color w:val="000000" w:themeColor="text1"/>
          <w:lang w:eastAsia="hi-IN" w:bidi="hi-IN"/>
        </w:rPr>
        <w:t xml:space="preserve">which </w:t>
      </w:r>
      <w:r w:rsidR="000F2BEE">
        <w:rPr>
          <w:rFonts w:ascii="Times New Roman" w:eastAsia="SimSun" w:hAnsi="Times New Roman" w:cs="Calibri"/>
          <w:color w:val="000000" w:themeColor="text1"/>
          <w:lang w:eastAsia="hi-IN" w:bidi="hi-IN"/>
        </w:rPr>
        <w:t>product displacement by</w:t>
      </w:r>
      <w:r w:rsidR="003C1C0B">
        <w:rPr>
          <w:rFonts w:ascii="Times New Roman" w:eastAsia="SimSun" w:hAnsi="Times New Roman" w:cs="Calibri"/>
          <w:color w:val="000000" w:themeColor="text1"/>
          <w:lang w:eastAsia="hi-IN" w:bidi="hi-IN"/>
        </w:rPr>
        <w:t xml:space="preserve"> synthetic biology applications designed to produce analogues of </w:t>
      </w:r>
      <w:r w:rsidR="008348AA">
        <w:rPr>
          <w:rFonts w:ascii="Times New Roman" w:eastAsia="SimSun" w:hAnsi="Times New Roman" w:cs="Calibri"/>
          <w:color w:val="000000" w:themeColor="text1"/>
          <w:lang w:eastAsia="hi-IN" w:bidi="hi-IN"/>
        </w:rPr>
        <w:t>natural occurring molecules</w:t>
      </w:r>
      <w:r w:rsidR="000320AD">
        <w:rPr>
          <w:rFonts w:ascii="Times New Roman" w:eastAsia="SimSun" w:hAnsi="Times New Roman" w:cs="Calibri"/>
          <w:color w:val="000000" w:themeColor="text1"/>
          <w:lang w:eastAsia="hi-IN" w:bidi="hi-IN"/>
        </w:rPr>
        <w:t xml:space="preserve"> occurs is very much </w:t>
      </w:r>
      <w:r w:rsidR="00ED0808">
        <w:rPr>
          <w:rFonts w:ascii="Times New Roman" w:eastAsia="SimSun" w:hAnsi="Times New Roman" w:cs="Calibri"/>
          <w:color w:val="000000" w:themeColor="text1"/>
          <w:lang w:eastAsia="hi-IN" w:bidi="hi-IN"/>
        </w:rPr>
        <w:t>case-specific</w:t>
      </w:r>
      <w:r w:rsidR="00391B53">
        <w:rPr>
          <w:rFonts w:ascii="Times New Roman" w:eastAsia="SimSun" w:hAnsi="Times New Roman" w:cs="Calibri"/>
          <w:color w:val="000000" w:themeColor="text1"/>
          <w:lang w:eastAsia="hi-IN" w:bidi="hi-IN"/>
        </w:rPr>
        <w:t xml:space="preserve"> and more nuanced than originally anticipated</w:t>
      </w:r>
      <w:r w:rsidR="00ED0808">
        <w:rPr>
          <w:rFonts w:ascii="Times New Roman" w:eastAsia="SimSun" w:hAnsi="Times New Roman" w:cs="Calibri"/>
          <w:color w:val="000000" w:themeColor="text1"/>
          <w:lang w:eastAsia="hi-IN" w:bidi="hi-IN"/>
        </w:rPr>
        <w:t>.</w:t>
      </w:r>
    </w:p>
    <w:p w14:paraId="37C872F6" w14:textId="31F5BEE2" w:rsidR="00BF0FA2" w:rsidRPr="000B2D22" w:rsidRDefault="008463D1" w:rsidP="00BF0FA2">
      <w:pPr>
        <w:suppressAutoHyphens/>
        <w:autoSpaceDE w:val="0"/>
        <w:spacing w:before="120" w:after="120" w:line="240" w:lineRule="auto"/>
        <w:jc w:val="both"/>
        <w:rPr>
          <w:rFonts w:ascii="Times New Roman" w:eastAsia="SimSun" w:hAnsi="Times New Roman" w:cs="Calibri"/>
          <w:color w:val="000000" w:themeColor="text1"/>
          <w:lang w:eastAsia="hi-IN" w:bidi="hi-IN"/>
        </w:rPr>
      </w:pPr>
      <w:r w:rsidRPr="69BA3794">
        <w:rPr>
          <w:rFonts w:ascii="Times New Roman" w:eastAsia="SimSun" w:hAnsi="Times New Roman" w:cs="Calibri"/>
          <w:color w:val="000000" w:themeColor="text1"/>
          <w:lang w:eastAsia="hi-IN" w:bidi="hi-IN"/>
        </w:rPr>
        <w:t xml:space="preserve">For example, Evolva and International Flavors and Fragrances, Inc. </w:t>
      </w:r>
      <w:r w:rsidR="008721F7">
        <w:rPr>
          <w:rFonts w:ascii="Times New Roman" w:eastAsia="SimSun" w:hAnsi="Times New Roman" w:cs="Calibri"/>
          <w:color w:val="000000" w:themeColor="text1"/>
          <w:lang w:eastAsia="hi-IN" w:bidi="hi-IN"/>
        </w:rPr>
        <w:t xml:space="preserve">can </w:t>
      </w:r>
      <w:r w:rsidRPr="69BA3794">
        <w:rPr>
          <w:rFonts w:ascii="Times New Roman" w:eastAsia="SimSun" w:hAnsi="Times New Roman" w:cs="Calibri"/>
          <w:color w:val="000000" w:themeColor="text1"/>
          <w:lang w:eastAsia="hi-IN" w:bidi="hi-IN"/>
        </w:rPr>
        <w:t>market their vanillin, which is produced</w:t>
      </w:r>
      <w:r w:rsidR="0054697B">
        <w:rPr>
          <w:rFonts w:ascii="Times New Roman" w:eastAsia="SimSun" w:hAnsi="Times New Roman" w:cs="Calibri"/>
          <w:color w:val="000000" w:themeColor="text1"/>
          <w:lang w:eastAsia="hi-IN" w:bidi="hi-IN"/>
        </w:rPr>
        <w:t xml:space="preserve"> using synthetic biology techniques via</w:t>
      </w:r>
      <w:r w:rsidRPr="69BA3794">
        <w:rPr>
          <w:rFonts w:ascii="Times New Roman" w:eastAsia="SimSun" w:hAnsi="Times New Roman" w:cs="Calibri"/>
          <w:color w:val="000000" w:themeColor="text1"/>
          <w:lang w:eastAsia="hi-IN" w:bidi="hi-IN"/>
        </w:rPr>
        <w:t xml:space="preserve"> fermentation in yeast (</w:t>
      </w:r>
      <w:r w:rsidRPr="00F14969">
        <w:rPr>
          <w:rFonts w:ascii="Times New Roman" w:eastAsia="SimSun" w:hAnsi="Times New Roman" w:cs="Calibri"/>
          <w:color w:val="000000" w:themeColor="text1"/>
          <w:lang w:eastAsia="hi-IN" w:bidi="hi-IN"/>
        </w:rPr>
        <w:t xml:space="preserve">see section </w:t>
      </w:r>
      <w:r w:rsidR="009C7387">
        <w:rPr>
          <w:rFonts w:ascii="Times New Roman" w:eastAsia="SimSun" w:hAnsi="Times New Roman" w:cs="Calibri"/>
          <w:color w:val="000000" w:themeColor="text1"/>
          <w:lang w:eastAsia="hi-IN" w:bidi="hi-IN"/>
        </w:rPr>
        <w:t>3</w:t>
      </w:r>
      <w:r w:rsidRPr="00F14969">
        <w:rPr>
          <w:rFonts w:ascii="Times New Roman" w:eastAsia="SimSun" w:hAnsi="Times New Roman" w:cs="Calibri"/>
          <w:color w:val="000000" w:themeColor="text1"/>
          <w:lang w:eastAsia="hi-IN" w:bidi="hi-IN"/>
        </w:rPr>
        <w:t>.</w:t>
      </w:r>
      <w:r w:rsidR="00961B9E">
        <w:rPr>
          <w:rFonts w:ascii="Times New Roman" w:eastAsia="SimSun" w:hAnsi="Times New Roman" w:cs="Calibri"/>
          <w:color w:val="000000" w:themeColor="text1"/>
          <w:lang w:eastAsia="hi-IN" w:bidi="hi-IN"/>
        </w:rPr>
        <w:t>3.1(d)</w:t>
      </w:r>
      <w:r w:rsidRPr="69BA3794">
        <w:rPr>
          <w:rFonts w:ascii="Times New Roman" w:eastAsia="SimSun" w:hAnsi="Times New Roman" w:cs="Calibri"/>
          <w:color w:val="000000" w:themeColor="text1"/>
          <w:lang w:eastAsia="hi-IN" w:bidi="hi-IN"/>
        </w:rPr>
        <w:t>), as a natural product in the EU</w:t>
      </w:r>
      <w:r w:rsidR="0029301A">
        <w:rPr>
          <w:rFonts w:ascii="Times New Roman" w:eastAsia="SimSun" w:hAnsi="Times New Roman" w:cs="Calibri"/>
          <w:color w:val="000000" w:themeColor="text1"/>
          <w:lang w:eastAsia="hi-IN" w:bidi="hi-IN"/>
        </w:rPr>
        <w:t xml:space="preserve">. </w:t>
      </w:r>
      <w:r w:rsidR="00742ED1">
        <w:rPr>
          <w:rFonts w:ascii="Times New Roman" w:eastAsia="SimSun" w:hAnsi="Times New Roman" w:cs="Calibri"/>
          <w:color w:val="000000" w:themeColor="text1"/>
          <w:lang w:eastAsia="hi-IN" w:bidi="hi-IN"/>
        </w:rPr>
        <w:t>However, a</w:t>
      </w:r>
      <w:r w:rsidR="0029301A">
        <w:rPr>
          <w:rFonts w:ascii="Times New Roman" w:eastAsia="SimSun" w:hAnsi="Times New Roman" w:cs="Calibri"/>
          <w:color w:val="000000" w:themeColor="text1"/>
          <w:lang w:eastAsia="hi-IN" w:bidi="hi-IN"/>
        </w:rPr>
        <w:t xml:space="preserve">s </w:t>
      </w:r>
      <w:r w:rsidR="00057BAC" w:rsidRPr="00F74F0D">
        <w:rPr>
          <w:rFonts w:ascii="Times New Roman" w:eastAsia="SimSun" w:hAnsi="Times New Roman" w:cs="Calibri"/>
          <w:color w:val="000000" w:themeColor="text1"/>
          <w:lang w:eastAsia="hi-IN" w:bidi="hi-IN"/>
        </w:rPr>
        <w:t>naturally sourced vanilla remains</w:t>
      </w:r>
      <w:r w:rsidR="00057BAC">
        <w:rPr>
          <w:rFonts w:ascii="Times New Roman" w:eastAsia="SimSun" w:hAnsi="Times New Roman" w:cs="Calibri"/>
          <w:color w:val="000000" w:themeColor="text1"/>
          <w:lang w:eastAsia="hi-IN" w:bidi="hi-IN"/>
        </w:rPr>
        <w:t xml:space="preserve"> </w:t>
      </w:r>
      <w:r w:rsidR="00057BAC" w:rsidRPr="00F74F0D">
        <w:rPr>
          <w:rFonts w:ascii="Times New Roman" w:eastAsia="SimSun" w:hAnsi="Times New Roman" w:cs="Calibri"/>
          <w:color w:val="000000" w:themeColor="text1"/>
          <w:lang w:eastAsia="hi-IN" w:bidi="hi-IN"/>
        </w:rPr>
        <w:t>highly valued</w:t>
      </w:r>
      <w:r w:rsidR="0046687D">
        <w:rPr>
          <w:rFonts w:ascii="Times New Roman" w:eastAsia="SimSun" w:hAnsi="Times New Roman" w:cs="Calibri"/>
          <w:color w:val="000000" w:themeColor="text1"/>
          <w:lang w:eastAsia="hi-IN" w:bidi="hi-IN"/>
        </w:rPr>
        <w:t xml:space="preserve"> by consumers</w:t>
      </w:r>
      <w:r w:rsidRPr="69BA3794">
        <w:rPr>
          <w:rFonts w:ascii="Times New Roman" w:eastAsia="SimSun" w:hAnsi="Times New Roman" w:cs="Calibri"/>
          <w:color w:val="000000" w:themeColor="text1"/>
          <w:lang w:eastAsia="hi-IN" w:bidi="hi-IN"/>
        </w:rPr>
        <w:t xml:space="preserve">, </w:t>
      </w:r>
      <w:r w:rsidR="00A36E29">
        <w:rPr>
          <w:rFonts w:ascii="Times New Roman" w:eastAsia="SimSun" w:hAnsi="Times New Roman" w:cs="Calibri"/>
          <w:color w:val="000000" w:themeColor="text1"/>
          <w:lang w:eastAsia="hi-IN" w:bidi="hi-IN"/>
        </w:rPr>
        <w:t>i</w:t>
      </w:r>
      <w:r w:rsidR="00A36E29" w:rsidRPr="00F74F0D">
        <w:rPr>
          <w:rFonts w:ascii="Times New Roman" w:eastAsia="SimSun" w:hAnsi="Times New Roman" w:cs="Calibri"/>
          <w:color w:val="000000" w:themeColor="text1"/>
          <w:lang w:eastAsia="hi-IN" w:bidi="hi-IN"/>
        </w:rPr>
        <w:t xml:space="preserve">t seems </w:t>
      </w:r>
      <w:r w:rsidR="0046687D" w:rsidRPr="00F74F0D">
        <w:rPr>
          <w:rFonts w:ascii="Times New Roman" w:eastAsia="SimSun" w:hAnsi="Times New Roman" w:cs="Calibri"/>
          <w:color w:val="000000" w:themeColor="text1"/>
          <w:lang w:eastAsia="hi-IN" w:bidi="hi-IN"/>
        </w:rPr>
        <w:t>mo</w:t>
      </w:r>
      <w:r w:rsidR="0046687D">
        <w:rPr>
          <w:rFonts w:ascii="Times New Roman" w:eastAsia="SimSun" w:hAnsi="Times New Roman" w:cs="Calibri"/>
          <w:color w:val="000000" w:themeColor="text1"/>
          <w:lang w:eastAsia="hi-IN" w:bidi="hi-IN"/>
        </w:rPr>
        <w:t>st</w:t>
      </w:r>
      <w:r w:rsidR="0046687D" w:rsidRPr="00F74F0D">
        <w:rPr>
          <w:rFonts w:ascii="Times New Roman" w:eastAsia="SimSun" w:hAnsi="Times New Roman" w:cs="Calibri"/>
          <w:color w:val="000000" w:themeColor="text1"/>
          <w:lang w:eastAsia="hi-IN" w:bidi="hi-IN"/>
        </w:rPr>
        <w:t xml:space="preserve"> </w:t>
      </w:r>
      <w:r w:rsidR="00A36E29" w:rsidRPr="00F74F0D">
        <w:rPr>
          <w:rFonts w:ascii="Times New Roman" w:eastAsia="SimSun" w:hAnsi="Times New Roman" w:cs="Calibri"/>
          <w:color w:val="000000" w:themeColor="text1"/>
          <w:lang w:eastAsia="hi-IN" w:bidi="hi-IN"/>
        </w:rPr>
        <w:t xml:space="preserve">likely that </w:t>
      </w:r>
      <w:r w:rsidR="00004D34">
        <w:rPr>
          <w:rFonts w:ascii="Times New Roman" w:eastAsia="SimSun" w:hAnsi="Times New Roman" w:cs="Calibri"/>
          <w:color w:val="000000" w:themeColor="text1"/>
          <w:lang w:eastAsia="hi-IN" w:bidi="hi-IN"/>
        </w:rPr>
        <w:t xml:space="preserve">synthetic biology </w:t>
      </w:r>
      <w:r w:rsidR="00A36E29" w:rsidRPr="00F74F0D">
        <w:rPr>
          <w:rFonts w:ascii="Times New Roman" w:eastAsia="SimSun" w:hAnsi="Times New Roman" w:cs="Calibri"/>
          <w:color w:val="000000" w:themeColor="text1"/>
          <w:lang w:eastAsia="hi-IN" w:bidi="hi-IN"/>
        </w:rPr>
        <w:t>vanillin will compete directly with other vanillin</w:t>
      </w:r>
      <w:r w:rsidR="00A36E29">
        <w:rPr>
          <w:rFonts w:ascii="Times New Roman" w:eastAsia="SimSun" w:hAnsi="Times New Roman" w:cs="Calibri"/>
          <w:color w:val="000000" w:themeColor="text1"/>
          <w:lang w:eastAsia="hi-IN" w:bidi="hi-IN"/>
        </w:rPr>
        <w:t xml:space="preserve"> </w:t>
      </w:r>
      <w:r w:rsidR="00A36E29" w:rsidRPr="00F74F0D">
        <w:rPr>
          <w:rFonts w:ascii="Times New Roman" w:eastAsia="SimSun" w:hAnsi="Times New Roman" w:cs="Calibri"/>
          <w:color w:val="000000" w:themeColor="text1"/>
          <w:lang w:eastAsia="hi-IN" w:bidi="hi-IN"/>
        </w:rPr>
        <w:t>resulting from bioconversion</w:t>
      </w:r>
      <w:r w:rsidR="00796D88">
        <w:rPr>
          <w:rFonts w:ascii="Times New Roman" w:eastAsia="SimSun" w:hAnsi="Times New Roman" w:cs="Calibri"/>
          <w:color w:val="000000" w:themeColor="text1"/>
          <w:lang w:eastAsia="hi-IN" w:bidi="hi-IN"/>
        </w:rPr>
        <w:t xml:space="preserve"> instead of </w:t>
      </w:r>
      <w:r w:rsidR="000146AA">
        <w:rPr>
          <w:rFonts w:ascii="Times New Roman" w:eastAsia="SimSun" w:hAnsi="Times New Roman" w:cs="Calibri"/>
          <w:color w:val="000000" w:themeColor="text1"/>
          <w:lang w:eastAsia="hi-IN" w:bidi="hi-IN"/>
        </w:rPr>
        <w:t>replacing natural vanilla</w:t>
      </w:r>
      <w:r w:rsidR="00A0036A">
        <w:rPr>
          <w:rFonts w:ascii="Times New Roman" w:eastAsia="SimSun" w:hAnsi="Times New Roman" w:cs="Calibri"/>
          <w:color w:val="000000" w:themeColor="text1"/>
          <w:lang w:eastAsia="hi-IN" w:bidi="hi-IN"/>
        </w:rPr>
        <w:t xml:space="preserve"> and its associated </w:t>
      </w:r>
      <w:r w:rsidR="00FA1112">
        <w:rPr>
          <w:rFonts w:ascii="Times New Roman" w:eastAsia="SimSun" w:hAnsi="Times New Roman" w:cs="Calibri"/>
          <w:color w:val="000000" w:themeColor="text1"/>
          <w:lang w:eastAsia="hi-IN" w:bidi="hi-IN"/>
        </w:rPr>
        <w:t>cultivation practices</w:t>
      </w:r>
      <w:r w:rsidR="00A36E29">
        <w:rPr>
          <w:rFonts w:ascii="Times New Roman" w:eastAsia="SimSun" w:hAnsi="Times New Roman" w:cs="Calibri"/>
          <w:color w:val="000000" w:themeColor="text1"/>
          <w:lang w:eastAsia="hi-IN" w:bidi="hi-IN"/>
        </w:rPr>
        <w:t xml:space="preserve"> </w:t>
      </w:r>
      <w:r w:rsidR="00F95A6F">
        <w:rPr>
          <w:rFonts w:ascii="Times New Roman" w:eastAsia="SimSun" w:hAnsi="Times New Roman" w:cs="Calibri"/>
          <w:color w:val="000000" w:themeColor="text1"/>
          <w:lang w:eastAsia="hi-IN" w:bidi="hi-IN"/>
        </w:rPr>
        <w:t>(</w:t>
      </w:r>
      <w:r w:rsidR="00051465">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{"citationItems":[{"id":"ITEM-1","itemData":{"author":[{"dropping-particle":"","family":"United Nations Conference on Trade and Development","given":"","non-dropping-particle":"","parse-names":false,"suffix":""}],"edition":"UNCTAD/DIT","id":"ITEM-1","issued":{"date-parts":[["2019"]]},"number-of-pages":"39","title":"Synthetic Biology and its Potential Implications for BioTrade and Access and Benefit-Sharing","type":"book"},"uris":["http://www.mendeley.com/documents/?uuid=be9a3c56-7701-45d7-80e1-42e73ea2ad13"]}],"mendeley":{"formattedCitation":"(United Nations Conference on Trade and Development, 2019)","manualFormatting":"United Nations Conference on Trade and Development 2019)","plainTextFormattedCitation":"(United Nations Conference on Trade and Development, 2019)","previouslyFormattedCitation":"(United Nations Conference on Trade and Development, 2019)"},"properties":{"noteIndex":0},"schema":"https://github.com/citation-style-language/schema/raw/master/csl-citation.json"}</w:instrText>
      </w:r>
      <w:r w:rsidR="00051465">
        <w:rPr>
          <w:rFonts w:ascii="Times New Roman" w:eastAsia="SimSun" w:hAnsi="Times New Roman" w:cs="Calibri"/>
          <w:color w:val="000000" w:themeColor="text1"/>
          <w:lang w:eastAsia="hi-IN" w:bidi="hi-IN"/>
        </w:rPr>
        <w:fldChar w:fldCharType="separate"/>
      </w:r>
      <w:r w:rsidR="00051465" w:rsidRPr="00E50D17">
        <w:rPr>
          <w:rFonts w:ascii="Times New Roman" w:eastAsia="SimSun" w:hAnsi="Times New Roman" w:cs="Calibri"/>
          <w:noProof/>
          <w:color w:val="000000" w:themeColor="text1"/>
          <w:lang w:eastAsia="hi-IN" w:bidi="hi-IN"/>
        </w:rPr>
        <w:t>United Nations Conference on Trade and Development 2019)</w:t>
      </w:r>
      <w:r w:rsidR="00051465">
        <w:rPr>
          <w:rFonts w:ascii="Times New Roman" w:eastAsia="SimSun" w:hAnsi="Times New Roman" w:cs="Calibri"/>
          <w:color w:val="000000" w:themeColor="text1"/>
          <w:lang w:eastAsia="hi-IN" w:bidi="hi-IN"/>
        </w:rPr>
        <w:fldChar w:fldCharType="end"/>
      </w:r>
      <w:r w:rsidR="00641595">
        <w:rPr>
          <w:rFonts w:ascii="Times New Roman" w:eastAsia="SimSun" w:hAnsi="Times New Roman" w:cs="Calibri"/>
          <w:color w:val="000000" w:themeColor="text1"/>
          <w:lang w:eastAsia="hi-IN" w:bidi="hi-IN"/>
        </w:rPr>
        <w:t>.</w:t>
      </w:r>
      <w:r>
        <w:rPr>
          <w:rFonts w:ascii="Times New Roman" w:eastAsia="SimSun" w:hAnsi="Times New Roman" w:cs="Calibri"/>
          <w:color w:val="000000" w:themeColor="text1"/>
          <w:lang w:eastAsia="hi-IN" w:bidi="hi-IN"/>
        </w:rPr>
        <w:t xml:space="preserve"> </w:t>
      </w:r>
      <w:r w:rsidR="00BF0FA2">
        <w:rPr>
          <w:rFonts w:ascii="Times New Roman" w:eastAsia="SimSun" w:hAnsi="Times New Roman" w:cs="Calibri"/>
          <w:color w:val="000000" w:themeColor="text1"/>
          <w:lang w:eastAsia="hi-IN" w:bidi="hi-IN"/>
        </w:rPr>
        <w:t>P</w:t>
      </w:r>
      <w:r w:rsidR="00BF0FA2" w:rsidRPr="000B2D22">
        <w:rPr>
          <w:rFonts w:ascii="Times New Roman" w:eastAsia="SimSun" w:hAnsi="Times New Roman" w:cs="Calibri"/>
          <w:color w:val="000000" w:themeColor="text1"/>
          <w:lang w:eastAsia="hi-IN" w:bidi="hi-IN"/>
        </w:rPr>
        <w:t xml:space="preserve">otential adverse effects could arise </w:t>
      </w:r>
      <w:r w:rsidR="00BF0FA2">
        <w:rPr>
          <w:rFonts w:ascii="Times New Roman" w:eastAsia="SimSun" w:hAnsi="Times New Roman" w:cs="Calibri"/>
          <w:color w:val="000000" w:themeColor="text1"/>
          <w:lang w:eastAsia="hi-IN" w:bidi="hi-IN"/>
        </w:rPr>
        <w:t xml:space="preserve">though </w:t>
      </w:r>
      <w:r w:rsidR="00BF0FA2" w:rsidRPr="000B2D22">
        <w:rPr>
          <w:rFonts w:ascii="Times New Roman" w:eastAsia="SimSun" w:hAnsi="Times New Roman" w:cs="Calibri"/>
          <w:color w:val="000000" w:themeColor="text1"/>
          <w:lang w:eastAsia="hi-IN" w:bidi="hi-IN"/>
        </w:rPr>
        <w:t>if the synthetic product is not appealing to consumers as a perfect substitute for the wild-sourced product e.g. users believe that wild sourced products are more efficacious or the synthetic product lacks the</w:t>
      </w:r>
      <w:r w:rsidR="00B469FE">
        <w:rPr>
          <w:rFonts w:ascii="Times New Roman" w:eastAsia="SimSun" w:hAnsi="Times New Roman" w:cs="Calibri"/>
          <w:color w:val="000000" w:themeColor="text1"/>
          <w:lang w:eastAsia="hi-IN" w:bidi="hi-IN"/>
        </w:rPr>
        <w:t xml:space="preserve"> quality,</w:t>
      </w:r>
      <w:r w:rsidR="00BF0FA2" w:rsidRPr="000B2D22">
        <w:rPr>
          <w:rFonts w:ascii="Times New Roman" w:eastAsia="SimSun" w:hAnsi="Times New Roman" w:cs="Calibri"/>
          <w:color w:val="000000" w:themeColor="text1"/>
          <w:lang w:eastAsia="hi-IN" w:bidi="hi-IN"/>
        </w:rPr>
        <w:t xml:space="preserve"> expense and rarity </w:t>
      </w:r>
      <w:r w:rsidR="006D5441" w:rsidRPr="00B156AF">
        <w:rPr>
          <w:rFonts w:ascii="Times New Roman" w:eastAsia="SimSun" w:hAnsi="Times New Roman" w:cs="Calibri"/>
          <w:color w:val="000000" w:themeColor="text1"/>
          <w:lang w:eastAsia="hi-IN" w:bidi="hi-IN"/>
        </w:rPr>
        <w:fldChar w:fldCharType="begin" w:fldLock="1"/>
      </w:r>
      <w:r w:rsidR="006D5441" w:rsidRPr="00B156AF">
        <w:rPr>
          <w:rFonts w:ascii="Times New Roman" w:eastAsia="SimSun" w:hAnsi="Times New Roman" w:cs="Calibri"/>
          <w:color w:val="000000" w:themeColor="text1"/>
          <w:lang w:eastAsia="hi-IN" w:bidi="hi-IN"/>
        </w:rPr>
        <w:instrText>ADDIN CSL_CITATION {"citationItems":[{"id":"ITEM-1","itemData":{"DOI":"10.1111/j.1523-1739.2007.00802.x","ISSN":"08888892","author":[{"dropping-particle":"","family":"Gratwicke","given":"Brian","non-dropping-particle":"","parse-names":false,"suffix":""},{"dropping-particle":"","family":"Bennett","given":"Elizabeth","non-dropping-particle":"","parse-names":false,"suffix":""},{"dropping-particle":"","family":"Broad","given":"Steven","non-dropping-particle":"","parse-names":false,"suffix":""},{"dropping-particle":"","family":"Christie","given":"Srah","non-dropping-particle":"","parse-names":false,"suffix":""},{"dropping-particle":"","family":"Dutton","given":"Adam","non-dropping-particle":"","parse-names":false,"suffix":""},{"dropping-particle":"","family":"Gabriel","given":"Grace","non-dropping-particle":"","parse-names":false,"suffix":""},{"dropping-particle":"","family":"Kirkpatrick","given":"CRraig","non-dropping-particle":"","parse-names":false,"suffix":""},{"dropping-particle":"","family":"Nowell","given":"Kristin","non-dropping-particle":"","parse-names":false,"suffix":""}],"container-title":"Conservation Biology","id":"ITEM-1","issue":"1","issued":{"date-parts":[["2008","2"]]},"page":"222-223","publisher":"John Wiley &amp; Sons, Ltd","title":"The World Can't Have Wild Tigers and Eat Them, Too","type":"article-journal","volume":"22"},"uris":["http://www.mendeley.com/documents/?uuid=36226523-f323-42bf-9413-d223bb0f4ca5"]},{"id":"ITEM-2","itemData":{"DOI":"10.2305/IUCN.CH.2019.05.en","ISBN":"9782831719733","editor":[{"dropping-particle":"","family":"Redford","given":"Kent H.","non-dropping-particle":"","parse-names":false,"suffix":""},{"dropping-particle":"","family":"Brooks","given":"Thomas M.","non-dropping-particle":"","parse-names":false,"suffix":""},{"dropping-particle":"","family":"Macfarlane","given":"Nicholas B.W.","non-dropping-particle":"","parse-names":false,"suffix":""},{"dropping-particle":"","family":"Adams","given":"Jonathan S.","non-dropping-particle":"","parse-names":false,"suffix":""}],"id":"ITEM-2","issued":{"date-parts":[["2019","5","6"]]},"publisher":"IUCN, International Union for Conservation of Nature","title":"Genetic frontiers for conservation: an assessment of synthetic biology and biodiversity conservation: technical assessment","type":"book"},"uris":["http://www.mendeley.com/documents/?uuid=9b6cd793-31c7-4755-8480-3345b89666d3"]},{"id":"ITEM-3","itemData":{"DOI":"10.1111/cobi.13578","ISSN":"15231739","PMID":"32761656","abstract":"The dominant approach to combating the illegal wildlife trade has traditionally been to restrict the supply of wildlife products. Yet conservationists increasingly recognize the importance of implementing demand-side interventions that target the end consumers in the trade chain. Their aim is to curb the consumption of wildlife or shift consumption to more sustainable alternatives. However, there are still considerable knowledge gaps in understanding of the diversity of consumer motivations in the context of illegal wildlife trade, which includes hundreds of thousands of species, different uses, and diverse contexts. Based on consultation with multiple experts from a diversity of backgrounds, nationalities, and focal taxa, we developed a typology of common motivations held by wildlife consumers that can be used to inform conservation interventions. We identified 5 main motivational categories for wildlife use: experiential, social, functional, financial, and spiritual, each containing subcategories. This framework is intended to facilitate the segmentation of consumers based on psychographics and allow the tailoring of interventions—whether behavior change campaigns, enforcement efforts, or incentive programs—to the specific context in which they will be used. Underlining the importance of consumer research and collaborating with local actors is an important step toward promoting a more systematic approach to the design of demand reduction interventions.","author":[{"dropping-particle":"","family":"Thomas-Walters","given":"Laura","non-dropping-particle":"","parse-names":false,"suffix":""},{"dropping-particle":"","family":"Hinsley","given":"Amy","non-dropping-particle":"","parse-names":false,"suffix":""},{"dropping-particle":"","family":"Bergin","given":"Daniel","non-dropping-particle":"","parse-names":false,"suffix":""},{"dropping-particle":"","family":"Burgess","given":"Gayle","non-dropping-particle":"","parse-names":false,"suffix":""},{"dropping-particle":"","family":"Doughty","given":"Hunter","non-dropping-particle":"","parse-names":false,"suffix":""},{"dropping-particle":"","family":"Eppel","given":"Sara","non-dropping-particle":"","parse-names":false,"suffix":""},{"dropping-particle":"","family":"MacFarlane","given":"Douglas","non-dropping-particle":"","parse-names":false,"suffix":""},{"dropping-particle":""</w:instrText>
      </w:r>
      <w:r w:rsidR="006D5441" w:rsidRPr="00B156AF">
        <w:rPr>
          <w:rFonts w:ascii="Times New Roman" w:eastAsia="SimSun" w:hAnsi="Times New Roman" w:cs="Calibri"/>
          <w:color w:val="000000" w:themeColor="text1"/>
          <w:lang w:val="fr-FR" w:eastAsia="hi-IN" w:bidi="hi-IN"/>
        </w:rPr>
        <w:instrText>,"family":"Meijer","given":"Wander","non-dropping-particle":"","parse-names":false,"suffix":""},{"dropping-particle":"","family":"Lee","given":"Tien Ming","non-dropping-particle":"","parse-names":false,"suffix":""},{"dropping-particle":"","family":"Phelps","given":"Jacob","non-dropping-particle":"","parse-names":false,"suffix":""},{"dropping-particle":"","family":"Smith","given":"Robert J","non-dropping-particle":"","parse-names":false,"suffix":""},{"dropping-particle":"","family":"Wan","given":"Anita K Y","non-dropping-particle":"","parse-names":false,"suffix":""},{"dropping-particle":"","family":"Veríssimo","given":"Diogo","non-dropping-particle":"","parse-names":false,"suffix":""}],"container-title":"Conservation Biology","id":"ITEM-3","issue":"2","issued":{"date-parts":[["2021"]]},"page":"483-491","publisher":"Blackwell Publishing Inc.","title":"Motivations for the use and consumption of wildlife products","type":"article-journal","volume":"35"},"uris":["http://www.mendeley.com/documents/?uuid=d4b8a3c4-26cc-472a-8e34-59b512d3900d"]}],"mendeley":{"formattedCitation":"(Gratwicke et al., 2008; Redford et al., 2019; Thomas-Walters et al., 2021)","plainTextFormattedCitation":"(Gratwicke et al., 2008; Redford et al., 2019; Thomas-Walters et al., 2021)","previouslyFormattedCitation":"(Gratwicke et al., 2008; Redford et al., 2019; Thomas-Walters et al., 2021)"},"properties":{"noteIndex":0},"schema":"https://github.com/citation-style-language/schema/raw/master/csl-citation.json"}</w:instrText>
      </w:r>
      <w:r w:rsidR="006D5441" w:rsidRPr="00B156AF">
        <w:rPr>
          <w:rFonts w:ascii="Times New Roman" w:eastAsia="SimSun" w:hAnsi="Times New Roman" w:cs="Calibri"/>
          <w:color w:val="000000" w:themeColor="text1"/>
          <w:lang w:eastAsia="hi-IN" w:bidi="hi-IN"/>
        </w:rPr>
        <w:fldChar w:fldCharType="separate"/>
      </w:r>
      <w:r w:rsidR="006D5441" w:rsidRPr="00B156AF">
        <w:rPr>
          <w:rFonts w:ascii="Times New Roman" w:eastAsia="SimSun" w:hAnsi="Times New Roman" w:cs="Calibri"/>
          <w:noProof/>
          <w:color w:val="000000" w:themeColor="text1"/>
          <w:lang w:val="fr-CA" w:eastAsia="hi-IN" w:bidi="hi-IN"/>
        </w:rPr>
        <w:t>(Gratwicke et al., 2008; Redford et al., 2019; Thomas-Walters et al., 2021)</w:t>
      </w:r>
      <w:r w:rsidR="006D5441" w:rsidRPr="00B156AF">
        <w:rPr>
          <w:rFonts w:ascii="Times New Roman" w:eastAsia="SimSun" w:hAnsi="Times New Roman" w:cs="Calibri"/>
          <w:color w:val="000000" w:themeColor="text1"/>
          <w:lang w:eastAsia="hi-IN" w:bidi="hi-IN"/>
        </w:rPr>
        <w:fldChar w:fldCharType="end"/>
      </w:r>
      <w:r w:rsidR="00BF0FA2" w:rsidRPr="004316CA">
        <w:rPr>
          <w:rFonts w:ascii="Times New Roman" w:eastAsia="SimSun" w:hAnsi="Times New Roman" w:cs="Calibri"/>
          <w:color w:val="000000" w:themeColor="text1"/>
          <w:lang w:val="fr-CA" w:eastAsia="hi-IN" w:bidi="hi-IN"/>
        </w:rPr>
        <w:t xml:space="preserve">. </w:t>
      </w:r>
      <w:r w:rsidR="00BF0FA2" w:rsidRPr="000B2D22">
        <w:rPr>
          <w:rFonts w:ascii="Times New Roman" w:eastAsia="SimSun" w:hAnsi="Times New Roman" w:cs="Calibri"/>
          <w:color w:val="000000" w:themeColor="text1"/>
          <w:lang w:eastAsia="hi-IN" w:bidi="hi-IN"/>
        </w:rPr>
        <w:t xml:space="preserve">Further, traders may find ways to differentiate between synthetic and natural wildlife products, leading to higher prices for the natural product. Additionally, with a greater availability of synthetic products, more consumers may be attracted and seek the ‘real thing’ or it could lead to greater public acceptance of natural products, such as horns </w:t>
      </w:r>
      <w:r w:rsidR="006D5441">
        <w:rPr>
          <w:rFonts w:ascii="Times New Roman" w:eastAsia="SimSun" w:hAnsi="Times New Roman" w:cs="Calibri"/>
          <w:color w:val="000000" w:themeColor="text1"/>
          <w:lang w:eastAsia="hi-IN" w:bidi="hi-IN"/>
        </w:rPr>
        <w:fldChar w:fldCharType="begin" w:fldLock="1"/>
      </w:r>
      <w:r w:rsidR="0083617B">
        <w:rPr>
          <w:rFonts w:ascii="Times New Roman" w:eastAsia="SimSun" w:hAnsi="Times New Roman" w:cs="Calibri"/>
          <w:color w:val="000000" w:themeColor="text1"/>
          <w:lang w:eastAsia="hi-IN" w:bidi="hi-IN"/>
        </w:rPr>
        <w:instrText>ADDIN CSL_CITATION {"citationItems":[{"id":"ITEM-1","itemData":{"author":[{"dropping-particle":"","family":"Broad","given":"Steven","non-dropping-particle":"","parse-names":false,"suffix":""},{"dropping-particle":"","family":"Burgess","given":"Gayle","non-dropping-particle":"","parse-names":false,"suffix":""}],"container-title":"TRAFFIC Bulletin","id":"ITEM-1","issue":"1","issued":{"date-parts":[["2016"]]},"title":"Synthetic Biology, Product Substitution and the Battle Against Illegal Wildlife Trade","type":"article-journal","volume":"28"},"uris":["http://www.mendeley.com/documents/?uuid=c5224fa5-a1a1-4e58-aee1-9195e0d1e435"]}],"mendeley":{"formattedCitation":"(Broad &amp; Burgess, 2016)","manualFormatting":"(Broad &amp; Burgess, 2016","plainTextFormattedCitation":"(Broad &amp; Burgess, 2016)","previouslyFormattedCitation":"(Broad &amp; Burgess, 2016)"},"properties":{"noteIndex":0},"schema":"https://github.com/citation-style-language/schema/raw/master/csl-citation.json"}</w:instrText>
      </w:r>
      <w:r w:rsidR="006D5441">
        <w:rPr>
          <w:rFonts w:ascii="Times New Roman" w:eastAsia="SimSun" w:hAnsi="Times New Roman" w:cs="Calibri"/>
          <w:color w:val="000000" w:themeColor="text1"/>
          <w:lang w:eastAsia="hi-IN" w:bidi="hi-IN"/>
        </w:rPr>
        <w:fldChar w:fldCharType="separate"/>
      </w:r>
      <w:r w:rsidR="006D5441" w:rsidRPr="006D5441">
        <w:rPr>
          <w:rFonts w:ascii="Times New Roman" w:eastAsia="SimSun" w:hAnsi="Times New Roman" w:cs="Calibri"/>
          <w:noProof/>
          <w:color w:val="000000" w:themeColor="text1"/>
          <w:lang w:eastAsia="hi-IN" w:bidi="hi-IN"/>
        </w:rPr>
        <w:t>(Broad &amp; Burgess, 2016</w:t>
      </w:r>
      <w:r w:rsidR="006D5441">
        <w:rPr>
          <w:rFonts w:ascii="Times New Roman" w:eastAsia="SimSun" w:hAnsi="Times New Roman" w:cs="Calibri"/>
          <w:color w:val="000000" w:themeColor="text1"/>
          <w:lang w:eastAsia="hi-IN" w:bidi="hi-IN"/>
        </w:rPr>
        <w:fldChar w:fldCharType="end"/>
      </w:r>
      <w:r w:rsidR="00684FCB">
        <w:rPr>
          <w:rFonts w:ascii="Times New Roman" w:eastAsia="SimSun" w:hAnsi="Times New Roman" w:cs="Calibri"/>
          <w:color w:val="000000" w:themeColor="text1"/>
          <w:lang w:eastAsia="hi-IN" w:bidi="hi-IN"/>
        </w:rPr>
        <w:t xml:space="preserve">; </w:t>
      </w:r>
      <w:r w:rsidR="00684FCB">
        <w:rPr>
          <w:rFonts w:ascii="Times New Roman" w:eastAsia="SimSun" w:hAnsi="Times New Roman" w:cs="Calibri"/>
          <w:color w:val="000000" w:themeColor="text1"/>
          <w:lang w:eastAsia="hi-IN" w:bidi="hi-IN"/>
        </w:rPr>
        <w:fldChar w:fldCharType="begin" w:fldLock="1"/>
      </w:r>
      <w:r w:rsidR="0083617B">
        <w:rPr>
          <w:rFonts w:ascii="Times New Roman" w:eastAsia="SimSun" w:hAnsi="Times New Roman" w:cs="Calibri"/>
          <w:color w:val="000000" w:themeColor="text1"/>
          <w:lang w:eastAsia="hi-IN" w:bidi="hi-IN"/>
        </w:rPr>
        <w:instrText>ADDIN CSL_CITATION {"citationItems":[{"id":"ITEM-1","itemData":{"author":[{"dropping-particle":"","family":"CITES","given":"","non-dropping-particle":"","parse-names":false,"suffix":""}],"id":"ITEM-1","issued":{"date-parts":[["2018","7"]]},"publisher-place":"Geneva","title":"Interpretation and implementation matters. General compliance and enforcement. Specimens produced from synthetic or cultured DNA","type":"report"},"uris":["http://www.mendeley.com/documents/?uuid=cad0d36f-3d2c-48cf-9813-b6b6574ef64f"]}],"mendeley":{"formattedCitation":"(CITES, 2018)","manualFormatting":"CITES, 2018)","plainTextFormattedCitation":"(CITES, 2018)","previouslyFormattedCitation":"(CITES, 2018)"},"properties":{"noteIndex":0},"schema":"https://github.com/citation-style-language/schema/raw/master/csl-citation.json"}</w:instrText>
      </w:r>
      <w:r w:rsidR="00684FCB">
        <w:rPr>
          <w:rFonts w:ascii="Times New Roman" w:eastAsia="SimSun" w:hAnsi="Times New Roman" w:cs="Calibri"/>
          <w:color w:val="000000" w:themeColor="text1"/>
          <w:lang w:eastAsia="hi-IN" w:bidi="hi-IN"/>
        </w:rPr>
        <w:fldChar w:fldCharType="separate"/>
      </w:r>
      <w:r w:rsidR="00684FCB" w:rsidRPr="00684FCB">
        <w:rPr>
          <w:rFonts w:ascii="Times New Roman" w:eastAsia="SimSun" w:hAnsi="Times New Roman" w:cs="Calibri"/>
          <w:noProof/>
          <w:color w:val="000000" w:themeColor="text1"/>
          <w:lang w:eastAsia="hi-IN" w:bidi="hi-IN"/>
        </w:rPr>
        <w:t>CITES, 2018)</w:t>
      </w:r>
      <w:r w:rsidR="00684FCB">
        <w:rPr>
          <w:rFonts w:ascii="Times New Roman" w:eastAsia="SimSun" w:hAnsi="Times New Roman" w:cs="Calibri"/>
          <w:color w:val="000000" w:themeColor="text1"/>
          <w:lang w:eastAsia="hi-IN" w:bidi="hi-IN"/>
        </w:rPr>
        <w:fldChar w:fldCharType="end"/>
      </w:r>
      <w:r w:rsidR="00BF0FA2" w:rsidRPr="000B2D22">
        <w:rPr>
          <w:rFonts w:ascii="Times New Roman" w:eastAsia="SimSun" w:hAnsi="Times New Roman" w:cs="Calibri"/>
          <w:color w:val="000000" w:themeColor="text1"/>
          <w:lang w:eastAsia="hi-IN" w:bidi="hi-IN"/>
        </w:rPr>
        <w:t>.</w:t>
      </w:r>
    </w:p>
    <w:p w14:paraId="1B31CDE3" w14:textId="70E38B9C" w:rsidR="00012826" w:rsidRPr="00012826" w:rsidRDefault="00012826" w:rsidP="00012826">
      <w:pPr>
        <w:suppressAutoHyphens/>
        <w:autoSpaceDE w:val="0"/>
        <w:spacing w:before="120" w:after="120" w:line="240" w:lineRule="auto"/>
        <w:jc w:val="both"/>
        <w:rPr>
          <w:rFonts w:ascii="Times New Roman" w:eastAsia="SimSun" w:hAnsi="Times New Roman" w:cs="Calibri"/>
          <w:color w:val="000000" w:themeColor="text1"/>
          <w:lang w:eastAsia="hi-IN" w:bidi="hi-IN"/>
        </w:rPr>
      </w:pPr>
      <w:r w:rsidRPr="00012826">
        <w:rPr>
          <w:rFonts w:ascii="Times New Roman" w:eastAsia="SimSun" w:hAnsi="Times New Roman" w:cs="Calibri"/>
          <w:color w:val="000000" w:themeColor="text1"/>
          <w:lang w:eastAsia="hi-IN" w:bidi="hi-IN"/>
        </w:rPr>
        <w:t xml:space="preserve">In the specific case for synthetic horn products, Chen and Sas-Rolfes </w:t>
      </w:r>
      <w:r w:rsidR="0083617B">
        <w:rPr>
          <w:rFonts w:ascii="Times New Roman" w:eastAsia="SimSun" w:hAnsi="Times New Roman" w:cs="Calibri"/>
          <w:color w:val="000000" w:themeColor="text1"/>
          <w:lang w:eastAsia="hi-IN" w:bidi="hi-IN"/>
        </w:rPr>
        <w:fldChar w:fldCharType="begin" w:fldLock="1"/>
      </w:r>
      <w:r w:rsidR="0083617B">
        <w:rPr>
          <w:rFonts w:ascii="Times New Roman" w:eastAsia="SimSun" w:hAnsi="Times New Roman" w:cs="Calibri"/>
          <w:color w:val="000000" w:themeColor="text1"/>
          <w:lang w:eastAsia="hi-IN" w:bidi="hi-IN"/>
        </w:rPr>
        <w:instrText>ADDIN CSL_CITATION {"citationItems":[{"id":"ITEM-1","itemData":{"DOI":"10.1016/j.ecolecon.2020.106873","ISSN":"09218009","abstract":"We present an economic model of a market for wildlife products. We use it to study theoretically the potential impact on the poaching of wildlife animals if a legal market for synthetic wildlife products is created. We show that allowing for a legal trade in synthetic substitutes in general has two opposing effects on poaching level: a price effect that reduces poaching by lowering the revenue generated from poaching; and a laundering effect that encourages poaching by making it easier for poachers to sell their products. When demand for wildlife goods is inelastic, the price effect is bigger, while the laundering effect is smaller; hence, establishing a legal market for synthetic substitutes is more likely to reduce poaching when demand is less sensitive to price changes. Measures that make it more difficult for poachers to launder their products reduce the laundering effect and enhance the conservation value of producing synthetic substitutes.","author":[{"dropping-particle":"","family":"Chen","given":"Frederick","non-dropping-particle":"","parse-names":false,"suffix":""},{"dropping-particle":"","family":"Sas-Rolfes","given":"Michael ’t","non-dropping-particle":"","parse-names":false,"suffix":""}],"container-title":"Ecological Economics","id":"ITEM-1","issued":{"date-parts":[["2021"]]},"publisher":"Elsevier B.V.","title":"Theoretical analysis of a simple permit system for selling synthetic wildlife goods","type":"article-journal","volume":"180"},"uris":["http://www.mendeley.com/documents/?uuid=c6f72b88-5167-4247-8c0e-9eed0ee31ee2"]}],"mendeley":{"formattedCitation":"(F. Chen &amp; Sas-Rolfes, 2021)","manualFormatting":"(2021)","plainTextFormattedCitation":"(F. Chen &amp; Sas-Rolfes, 2021)","previouslyFormattedCitation":"(F. Chen &amp; Sas-Rolfes, 2021)"},"properties":{"noteIndex":0},"schema":"https://github.com/citation-style-language/schema/raw/master/csl-citation.json"}</w:instrText>
      </w:r>
      <w:r w:rsidR="0083617B">
        <w:rPr>
          <w:rFonts w:ascii="Times New Roman" w:eastAsia="SimSun" w:hAnsi="Times New Roman" w:cs="Calibri"/>
          <w:color w:val="000000" w:themeColor="text1"/>
          <w:lang w:eastAsia="hi-IN" w:bidi="hi-IN"/>
        </w:rPr>
        <w:fldChar w:fldCharType="separate"/>
      </w:r>
      <w:r w:rsidR="0083617B" w:rsidRPr="0083617B">
        <w:rPr>
          <w:rFonts w:ascii="Times New Roman" w:eastAsia="SimSun" w:hAnsi="Times New Roman" w:cs="Calibri"/>
          <w:noProof/>
          <w:color w:val="000000" w:themeColor="text1"/>
          <w:lang w:eastAsia="hi-IN" w:bidi="hi-IN"/>
        </w:rPr>
        <w:t>(2021)</w:t>
      </w:r>
      <w:r w:rsidR="0083617B">
        <w:rPr>
          <w:rFonts w:ascii="Times New Roman" w:eastAsia="SimSun" w:hAnsi="Times New Roman" w:cs="Calibri"/>
          <w:color w:val="000000" w:themeColor="text1"/>
          <w:lang w:eastAsia="hi-IN" w:bidi="hi-IN"/>
        </w:rPr>
        <w:fldChar w:fldCharType="end"/>
      </w:r>
      <w:r w:rsidR="00B156AF">
        <w:rPr>
          <w:rFonts w:ascii="Times New Roman" w:eastAsia="SimSun" w:hAnsi="Times New Roman" w:cs="Calibri"/>
          <w:color w:val="000000" w:themeColor="text1"/>
          <w:lang w:eastAsia="hi-IN" w:bidi="hi-IN"/>
        </w:rPr>
        <w:t xml:space="preserve"> </w:t>
      </w:r>
      <w:r w:rsidRPr="00012826">
        <w:rPr>
          <w:rFonts w:ascii="Times New Roman" w:eastAsia="SimSun" w:hAnsi="Times New Roman" w:cs="Calibri"/>
          <w:color w:val="000000" w:themeColor="text1"/>
          <w:lang w:eastAsia="hi-IN" w:bidi="hi-IN"/>
        </w:rPr>
        <w:t>considered a theoretical, economic model for synthetic wildlife and noted two opposing effects on poaching: a price effect and a laundering effect. The authors noted that as synthetic alternatives become available, the price would fall and lead to reduced poaching. In contrast, they noted that the sale of synthetic alternatives may also encourage poaching by making it easier for poachers to sell their illegal goods. They concluded that</w:t>
      </w:r>
      <w:r w:rsidR="0095290D">
        <w:rPr>
          <w:rFonts w:ascii="Times New Roman" w:eastAsia="SimSun" w:hAnsi="Times New Roman" w:cs="Calibri"/>
          <w:color w:val="000000" w:themeColor="text1"/>
          <w:lang w:eastAsia="hi-IN" w:bidi="hi-IN"/>
        </w:rPr>
        <w:t>,</w:t>
      </w:r>
      <w:r w:rsidRPr="00012826">
        <w:rPr>
          <w:rFonts w:ascii="Times New Roman" w:eastAsia="SimSun" w:hAnsi="Times New Roman" w:cs="Calibri"/>
          <w:color w:val="000000" w:themeColor="text1"/>
          <w:lang w:eastAsia="hi-IN" w:bidi="hi-IN"/>
        </w:rPr>
        <w:t xml:space="preserve"> overall</w:t>
      </w:r>
      <w:r w:rsidR="0095290D">
        <w:rPr>
          <w:rFonts w:ascii="Times New Roman" w:eastAsia="SimSun" w:hAnsi="Times New Roman" w:cs="Calibri"/>
          <w:color w:val="000000" w:themeColor="text1"/>
          <w:lang w:eastAsia="hi-IN" w:bidi="hi-IN"/>
        </w:rPr>
        <w:t>,</w:t>
      </w:r>
      <w:r w:rsidRPr="00012826">
        <w:rPr>
          <w:rFonts w:ascii="Times New Roman" w:eastAsia="SimSun" w:hAnsi="Times New Roman" w:cs="Calibri"/>
          <w:color w:val="000000" w:themeColor="text1"/>
          <w:lang w:eastAsia="hi-IN" w:bidi="hi-IN"/>
        </w:rPr>
        <w:t xml:space="preserve"> the reduced price of the products would decrease poaching. In addition, bio-fabricated 3D</w:t>
      </w:r>
      <w:r w:rsidR="000B3173">
        <w:rPr>
          <w:rFonts w:ascii="Times New Roman" w:eastAsia="SimSun" w:hAnsi="Times New Roman" w:cs="Calibri"/>
          <w:color w:val="000000" w:themeColor="text1"/>
          <w:lang w:eastAsia="hi-IN" w:bidi="hi-IN"/>
        </w:rPr>
        <w:t>-</w:t>
      </w:r>
      <w:r w:rsidRPr="00012826">
        <w:rPr>
          <w:rFonts w:ascii="Times New Roman" w:eastAsia="SimSun" w:hAnsi="Times New Roman" w:cs="Calibri"/>
          <w:color w:val="000000" w:themeColor="text1"/>
          <w:lang w:eastAsia="hi-IN" w:bidi="hi-IN"/>
        </w:rPr>
        <w:t xml:space="preserve">printed horn could also be used by as a direct replacement for artisans, which could reduce poaching demand </w:t>
      </w:r>
      <w:r w:rsidR="0083617B">
        <w:rPr>
          <w:rFonts w:ascii="Times New Roman" w:eastAsia="SimSun" w:hAnsi="Times New Roman" w:cs="Calibri"/>
          <w:color w:val="000000" w:themeColor="text1"/>
          <w:lang w:eastAsia="hi-IN" w:bidi="hi-IN"/>
        </w:rPr>
        <w:fldChar w:fldCharType="begin" w:fldLock="1"/>
      </w:r>
      <w:r w:rsidR="00931DC1">
        <w:rPr>
          <w:rFonts w:ascii="Times New Roman" w:eastAsia="SimSun" w:hAnsi="Times New Roman" w:cs="Calibri"/>
          <w:color w:val="000000" w:themeColor="text1"/>
          <w:lang w:eastAsia="hi-IN" w:bidi="hi-IN"/>
        </w:rPr>
        <w:instrText>ADDIN CSL_CITATION {"citationItems":[{"id":"ITEM-1","itemData":{"DOI":"10.1021/acscentsci.7b00592","ISSN":"23747951","abstract":"Some researchers think that lab-grown rhinoceros horn and elephant ivory could reduce demand for the real thing.","author":[{"dropping-particle":"","family":"Pandika","given":"Melissa","non-dropping-particle":"","parse-names":false,"suffix":""}],"container-title":"ACS Central Science","id":"ITEM-1","issue":"12","issued":{"date-parts":[["2017"]]},"page":"1230-1233","publisher":"American Chemical Society","title":"Taking Aim at Poaching with Tissue Engineering","type":"article-journal","volume":"3"},"uris":["http://www.mendeley.com/documents/?uuid=b3f49864-949a-4f41-8497-cd248f1a393d"]}],"mendeley":{"formattedCitation":"(Pandika, 2017)","plainTextFormattedCitation":"(Pandika, 2017)","previouslyFormattedCitation":"(Pandika, 2017)"},"properties":{"noteIndex":0},"schema":"https://github.com/citation-style-language/schema/raw/master/csl-citation.json"}</w:instrText>
      </w:r>
      <w:r w:rsidR="0083617B">
        <w:rPr>
          <w:rFonts w:ascii="Times New Roman" w:eastAsia="SimSun" w:hAnsi="Times New Roman" w:cs="Calibri"/>
          <w:color w:val="000000" w:themeColor="text1"/>
          <w:lang w:eastAsia="hi-IN" w:bidi="hi-IN"/>
        </w:rPr>
        <w:fldChar w:fldCharType="separate"/>
      </w:r>
      <w:r w:rsidR="0083617B" w:rsidRPr="0083617B">
        <w:rPr>
          <w:rFonts w:ascii="Times New Roman" w:eastAsia="SimSun" w:hAnsi="Times New Roman" w:cs="Calibri"/>
          <w:noProof/>
          <w:color w:val="000000" w:themeColor="text1"/>
          <w:lang w:eastAsia="hi-IN" w:bidi="hi-IN"/>
        </w:rPr>
        <w:t>(Pandika, 2017)</w:t>
      </w:r>
      <w:r w:rsidR="0083617B">
        <w:rPr>
          <w:rFonts w:ascii="Times New Roman" w:eastAsia="SimSun" w:hAnsi="Times New Roman" w:cs="Calibri"/>
          <w:color w:val="000000" w:themeColor="text1"/>
          <w:lang w:eastAsia="hi-IN" w:bidi="hi-IN"/>
        </w:rPr>
        <w:fldChar w:fldCharType="end"/>
      </w:r>
      <w:r w:rsidRPr="00012826">
        <w:rPr>
          <w:rFonts w:ascii="Times New Roman" w:eastAsia="SimSun" w:hAnsi="Times New Roman" w:cs="Calibri"/>
          <w:color w:val="000000" w:themeColor="text1"/>
          <w:lang w:eastAsia="hi-IN" w:bidi="hi-IN"/>
        </w:rPr>
        <w:t xml:space="preserve">. However, producers of synthetic horn products may prefer to keep prices at a level high enough </w:t>
      </w:r>
      <w:r w:rsidR="000B648F">
        <w:rPr>
          <w:rFonts w:ascii="Times New Roman" w:eastAsia="SimSun" w:hAnsi="Times New Roman" w:cs="Calibri"/>
          <w:color w:val="000000" w:themeColor="text1"/>
          <w:lang w:eastAsia="hi-IN" w:bidi="hi-IN"/>
        </w:rPr>
        <w:t xml:space="preserve">that </w:t>
      </w:r>
      <w:r w:rsidR="00B1108A">
        <w:rPr>
          <w:rFonts w:ascii="Times New Roman" w:eastAsia="SimSun" w:hAnsi="Times New Roman" w:cs="Calibri"/>
          <w:color w:val="000000" w:themeColor="text1"/>
          <w:lang w:eastAsia="hi-IN" w:bidi="hi-IN"/>
        </w:rPr>
        <w:t>inadvertently</w:t>
      </w:r>
      <w:r w:rsidRPr="00012826">
        <w:rPr>
          <w:rFonts w:ascii="Times New Roman" w:eastAsia="SimSun" w:hAnsi="Times New Roman" w:cs="Calibri"/>
          <w:color w:val="000000" w:themeColor="text1"/>
          <w:lang w:eastAsia="hi-IN" w:bidi="hi-IN"/>
        </w:rPr>
        <w:t xml:space="preserve"> still encourage</w:t>
      </w:r>
      <w:r w:rsidR="00B1108A">
        <w:rPr>
          <w:rFonts w:ascii="Times New Roman" w:eastAsia="SimSun" w:hAnsi="Times New Roman" w:cs="Calibri"/>
          <w:color w:val="000000" w:themeColor="text1"/>
          <w:lang w:eastAsia="hi-IN" w:bidi="hi-IN"/>
        </w:rPr>
        <w:t>s</w:t>
      </w:r>
      <w:r w:rsidRPr="00012826">
        <w:rPr>
          <w:rFonts w:ascii="Times New Roman" w:eastAsia="SimSun" w:hAnsi="Times New Roman" w:cs="Calibri"/>
          <w:color w:val="000000" w:themeColor="text1"/>
          <w:lang w:eastAsia="hi-IN" w:bidi="hi-IN"/>
        </w:rPr>
        <w:t xml:space="preserve"> a significant level of poaching </w:t>
      </w:r>
      <w:r w:rsidR="00931DC1">
        <w:rPr>
          <w:rFonts w:ascii="Times New Roman" w:eastAsia="SimSun" w:hAnsi="Times New Roman" w:cs="Calibri"/>
          <w:color w:val="000000" w:themeColor="text1"/>
          <w:lang w:eastAsia="hi-IN" w:bidi="hi-IN"/>
        </w:rPr>
        <w:fldChar w:fldCharType="begin" w:fldLock="1"/>
      </w:r>
      <w:r w:rsidR="00931DC1">
        <w:rPr>
          <w:rFonts w:ascii="Times New Roman" w:eastAsia="SimSun" w:hAnsi="Times New Roman" w:cs="Calibri"/>
          <w:color w:val="000000" w:themeColor="text1"/>
          <w:lang w:eastAsia="hi-IN" w:bidi="hi-IN"/>
        </w:rPr>
        <w:instrText>ADDIN CSL_CITATION {"citationItems":[{"id":"ITEM-1","itemData":{"DOI":"10.2139/ssrn.2828168","abstract":"To examine the potential impact of synthetic horns to reduce rhino poaching, a formal model of the rhino horn market in which there exist firms with the capability to produce high quality synthetic horns is presented and studied. The analysis shows that whether the availability of synthetic horns would decrease the equilibrium supply of wild horns -- and how much the reduction would be -- depends on market structure -- i.e., how competitive the synthetic horn production sector is -- and on how substitutable the synthetic horns are for wild horns. The implications of these results for conservation policies are derived and discussed. Synthetic horn producers would benefit more by promoting their products as being superior to wild horns, but this could increase horn prices and lead to more rhino poaching. For conservation purposes, it may be beneficial to incentivize firms to produce inferior fakes -- synthetic horns that are engineered to be undesirable in some respect but difficult for buyers to distinguish from wild horns. The analysis also shows that promoting competition in the production of synthetic horns in general is desirable from a conservation standpoint as synthetic horn producers may prefer to keep prices at a high enough level that could still encourage significant amount of poaching.","author":[{"dropping-particle":"","family":"Chen","given":"Frederick","non-dropping-particle":"","parse-names":false,"suffix":""}],"container-title":"SSRN Electronic Journal","id":"ITEM-1","issued":{"date-parts":[["2017"]]},"publisher":"Elsevier BV","title":"The Economics of Synthetic Rhino Horns","type":"article-journal"},"uris":["http://www.mendeley.com/documents/?uuid=248f4416-478a-4c2c-a2ce-261962e52060"]}],"mendeley":{"formattedCitation":"(F. Chen, 2017)","manualFormatting":"(Chen, 2017)","plainTextFormattedCitation":"(F. Chen, 2017)","previouslyFormattedCitation":"(F. Chen, 2017)"},"properties":{"noteIndex":0},"schema":"https://github.com/citation-style-language/schema/raw/master/csl-citation.json"}</w:instrText>
      </w:r>
      <w:r w:rsidR="00931DC1">
        <w:rPr>
          <w:rFonts w:ascii="Times New Roman" w:eastAsia="SimSun" w:hAnsi="Times New Roman" w:cs="Calibri"/>
          <w:color w:val="000000" w:themeColor="text1"/>
          <w:lang w:eastAsia="hi-IN" w:bidi="hi-IN"/>
        </w:rPr>
        <w:fldChar w:fldCharType="separate"/>
      </w:r>
      <w:r w:rsidR="00931DC1" w:rsidRPr="00931DC1">
        <w:rPr>
          <w:rFonts w:ascii="Times New Roman" w:eastAsia="SimSun" w:hAnsi="Times New Roman" w:cs="Calibri"/>
          <w:noProof/>
          <w:color w:val="000000" w:themeColor="text1"/>
          <w:lang w:eastAsia="hi-IN" w:bidi="hi-IN"/>
        </w:rPr>
        <w:t>(Chen, 2017)</w:t>
      </w:r>
      <w:r w:rsidR="00931DC1">
        <w:rPr>
          <w:rFonts w:ascii="Times New Roman" w:eastAsia="SimSun" w:hAnsi="Times New Roman" w:cs="Calibri"/>
          <w:color w:val="000000" w:themeColor="text1"/>
          <w:lang w:eastAsia="hi-IN" w:bidi="hi-IN"/>
        </w:rPr>
        <w:fldChar w:fldCharType="end"/>
      </w:r>
      <w:r w:rsidRPr="00012826">
        <w:rPr>
          <w:rFonts w:ascii="Times New Roman" w:eastAsia="SimSun" w:hAnsi="Times New Roman" w:cs="Calibri"/>
          <w:color w:val="000000" w:themeColor="text1"/>
          <w:lang w:eastAsia="hi-IN" w:bidi="hi-IN"/>
        </w:rPr>
        <w:t>. Therefore, until a product is commercially available, there is a high level of uncertainty surrounding synthetic horn products.</w:t>
      </w:r>
    </w:p>
    <w:p w14:paraId="0A223E09" w14:textId="08490744" w:rsidR="00BB30D2" w:rsidRDefault="00F551B5" w:rsidP="009455DB">
      <w:pPr>
        <w:suppressAutoHyphens/>
        <w:autoSpaceDE w:val="0"/>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An</w:t>
      </w:r>
      <w:r w:rsidR="00B1108A">
        <w:rPr>
          <w:rFonts w:ascii="Times New Roman" w:eastAsia="SimSun" w:hAnsi="Times New Roman" w:cs="Calibri"/>
          <w:color w:val="000000" w:themeColor="text1"/>
          <w:lang w:eastAsia="hi-IN" w:bidi="hi-IN"/>
        </w:rPr>
        <w:t>d finally, an</w:t>
      </w:r>
      <w:r>
        <w:rPr>
          <w:rFonts w:ascii="Times New Roman" w:eastAsia="SimSun" w:hAnsi="Times New Roman" w:cs="Calibri"/>
          <w:color w:val="000000" w:themeColor="text1"/>
          <w:lang w:eastAsia="hi-IN" w:bidi="hi-IN"/>
        </w:rPr>
        <w:t>other example is t</w:t>
      </w:r>
      <w:r w:rsidR="00310757" w:rsidRPr="36140518">
        <w:rPr>
          <w:rFonts w:ascii="Times New Roman" w:eastAsia="SimSun" w:hAnsi="Times New Roman" w:cs="Calibri"/>
          <w:color w:val="000000" w:themeColor="text1"/>
          <w:lang w:eastAsia="hi-IN" w:bidi="hi-IN"/>
        </w:rPr>
        <w:t>he anti-malarial semi-synthetic drug artemisinin</w:t>
      </w:r>
      <w:r w:rsidR="00770727">
        <w:rPr>
          <w:rFonts w:ascii="Times New Roman" w:eastAsia="SimSun" w:hAnsi="Times New Roman" w:cs="Calibri"/>
          <w:color w:val="000000" w:themeColor="text1"/>
          <w:lang w:eastAsia="hi-IN" w:bidi="hi-IN"/>
        </w:rPr>
        <w:t xml:space="preserve"> which</w:t>
      </w:r>
      <w:r w:rsidR="00310757" w:rsidRPr="36140518">
        <w:rPr>
          <w:rFonts w:ascii="Times New Roman" w:eastAsia="SimSun" w:hAnsi="Times New Roman" w:cs="Calibri"/>
          <w:color w:val="000000" w:themeColor="text1"/>
          <w:lang w:eastAsia="hi-IN" w:bidi="hi-IN"/>
        </w:rPr>
        <w:t xml:space="preserve"> is a high-profile example of the trade-offs that may result from product substitutions. </w:t>
      </w:r>
      <w:r w:rsidR="0078528A" w:rsidRPr="36140518">
        <w:rPr>
          <w:rFonts w:ascii="Times New Roman" w:eastAsia="SimSun" w:hAnsi="Times New Roman" w:cs="Calibri"/>
          <w:color w:val="000000" w:themeColor="text1"/>
          <w:lang w:eastAsia="hi-IN" w:bidi="hi-IN"/>
        </w:rPr>
        <w:t xml:space="preserve">The shrub </w:t>
      </w:r>
      <w:r w:rsidR="0078528A" w:rsidRPr="36140518">
        <w:rPr>
          <w:rFonts w:ascii="Times New Roman" w:eastAsia="SimSun" w:hAnsi="Times New Roman" w:cs="Calibri"/>
          <w:i/>
          <w:iCs/>
          <w:color w:val="000000" w:themeColor="text1"/>
          <w:lang w:eastAsia="hi-IN" w:bidi="hi-IN"/>
        </w:rPr>
        <w:t>Artemisia annua</w:t>
      </w:r>
      <w:r w:rsidR="0078528A" w:rsidRPr="36140518">
        <w:rPr>
          <w:rFonts w:ascii="Times New Roman" w:eastAsia="SimSun" w:hAnsi="Times New Roman" w:cs="Calibri"/>
          <w:color w:val="000000" w:themeColor="text1"/>
          <w:lang w:eastAsia="hi-IN" w:bidi="hi-IN"/>
        </w:rPr>
        <w:t xml:space="preserve"> has been used in China for </w:t>
      </w:r>
      <w:r w:rsidR="0078528A" w:rsidRPr="36140518">
        <w:rPr>
          <w:rFonts w:ascii="Times New Roman" w:hAnsi="Times New Roman"/>
          <w:color w:val="000000" w:themeColor="text1"/>
          <w:lang w:eastAsia="ar-SA"/>
        </w:rPr>
        <w:t>centuries</w:t>
      </w:r>
      <w:r w:rsidR="0078528A" w:rsidRPr="36140518">
        <w:rPr>
          <w:rFonts w:ascii="Times New Roman" w:eastAsia="SimSun" w:hAnsi="Times New Roman" w:cs="Calibri"/>
          <w:color w:val="000000" w:themeColor="text1"/>
          <w:lang w:eastAsia="hi-IN" w:bidi="hi-IN"/>
        </w:rPr>
        <w:t xml:space="preserve"> to treat a variety of illnesses, including malaria </w:t>
      </w:r>
      <w:r w:rsidR="00931DC1">
        <w:rPr>
          <w:rFonts w:ascii="Times New Roman" w:eastAsia="SimSun" w:hAnsi="Times New Roman" w:cs="Calibri"/>
          <w:color w:val="000000" w:themeColor="text1"/>
          <w:lang w:eastAsia="hi-IN" w:bidi="hi-IN"/>
        </w:rPr>
        <w:fldChar w:fldCharType="begin" w:fldLock="1"/>
      </w:r>
      <w:r w:rsidR="00931DC1">
        <w:rPr>
          <w:rFonts w:ascii="Times New Roman" w:eastAsia="SimSun" w:hAnsi="Times New Roman" w:cs="Calibri"/>
          <w:color w:val="000000" w:themeColor="text1"/>
          <w:lang w:eastAsia="hi-IN" w:bidi="hi-IN"/>
        </w:rPr>
        <w:instrText>ADDIN CSL_CITATION {"citationItems":[{"id":"ITEM-1","itemData":{"DOI":"10.1126/science.1155165","ISSN":"0036-8075","author":[{"dropping-particle":"","family":"White","given":"N. J.","non-dropping-particle":"","parse-names":false,"suffix":""}],"container-title":"Science","id":"ITEM-1","issue":"5874","issued":{"date-parts":[["2008","4","18"]]},"page":"330-334","title":"Qinghaosu (Artemisinin): The Price of Success","type":"article-journal","volume":"320"},"uris":["http://www.mendeley.com/documents/?uuid=0a075148-8eaf-4680-ae7a-3d367f2c0ed7"]}],"mendeley":{"formattedCitation":"(White, 2008)","plainTextFormattedCitation":"(White, 2008)","previouslyFormattedCitation":"(White, 2008)"},"properties":{"noteIndex":0},"schema":"https://github.com/citation-style-language/schema/raw/master/csl-citation.json"}</w:instrText>
      </w:r>
      <w:r w:rsidR="00931DC1">
        <w:rPr>
          <w:rFonts w:ascii="Times New Roman" w:eastAsia="SimSun" w:hAnsi="Times New Roman" w:cs="Calibri"/>
          <w:color w:val="000000" w:themeColor="text1"/>
          <w:lang w:eastAsia="hi-IN" w:bidi="hi-IN"/>
        </w:rPr>
        <w:fldChar w:fldCharType="separate"/>
      </w:r>
      <w:r w:rsidR="00931DC1" w:rsidRPr="00931DC1">
        <w:rPr>
          <w:rFonts w:ascii="Times New Roman" w:eastAsia="SimSun" w:hAnsi="Times New Roman" w:cs="Calibri"/>
          <w:noProof/>
          <w:color w:val="000000" w:themeColor="text1"/>
          <w:lang w:eastAsia="hi-IN" w:bidi="hi-IN"/>
        </w:rPr>
        <w:t>(White, 2008)</w:t>
      </w:r>
      <w:r w:rsidR="00931DC1">
        <w:rPr>
          <w:rFonts w:ascii="Times New Roman" w:eastAsia="SimSun" w:hAnsi="Times New Roman" w:cs="Calibri"/>
          <w:color w:val="000000" w:themeColor="text1"/>
          <w:lang w:eastAsia="hi-IN" w:bidi="hi-IN"/>
        </w:rPr>
        <w:fldChar w:fldCharType="end"/>
      </w:r>
      <w:r w:rsidR="0078528A" w:rsidRPr="36140518">
        <w:rPr>
          <w:rFonts w:ascii="Times New Roman" w:eastAsia="SimSun" w:hAnsi="Times New Roman" w:cs="Calibri"/>
          <w:color w:val="000000" w:themeColor="text1"/>
          <w:lang w:eastAsia="hi-IN" w:bidi="hi-IN"/>
        </w:rPr>
        <w:t xml:space="preserve">. </w:t>
      </w:r>
      <w:r w:rsidR="007264A4" w:rsidRPr="36140518">
        <w:rPr>
          <w:rFonts w:ascii="Times New Roman" w:eastAsia="SimSun" w:hAnsi="Times New Roman" w:cs="Calibri"/>
          <w:color w:val="000000" w:themeColor="text1"/>
          <w:lang w:eastAsia="hi-IN" w:bidi="hi-IN"/>
        </w:rPr>
        <w:t>OneWorldHealth, Amyris and</w:t>
      </w:r>
      <w:r w:rsidR="00E62887">
        <w:rPr>
          <w:rFonts w:ascii="Times New Roman" w:eastAsia="SimSun" w:hAnsi="Times New Roman" w:cs="Calibri"/>
          <w:color w:val="000000" w:themeColor="text1"/>
          <w:lang w:eastAsia="hi-IN" w:bidi="hi-IN"/>
        </w:rPr>
        <w:t xml:space="preserve"> </w:t>
      </w:r>
      <w:r w:rsidR="007264A4" w:rsidRPr="36140518">
        <w:rPr>
          <w:rFonts w:ascii="Times New Roman" w:eastAsia="SimSun" w:hAnsi="Times New Roman" w:cs="Calibri"/>
          <w:color w:val="000000" w:themeColor="text1"/>
          <w:lang w:eastAsia="hi-IN" w:bidi="hi-IN"/>
        </w:rPr>
        <w:t xml:space="preserve">Sanofi partnered to produce semi-synthetic artemisinin. </w:t>
      </w:r>
      <w:r w:rsidR="00E25048" w:rsidRPr="36140518">
        <w:rPr>
          <w:rFonts w:ascii="Times New Roman" w:eastAsia="SimSun" w:hAnsi="Times New Roman" w:cs="Calibri"/>
          <w:color w:val="000000" w:themeColor="text1"/>
          <w:lang w:eastAsia="hi-IN" w:bidi="hi-IN"/>
        </w:rPr>
        <w:t xml:space="preserve">Wellhausen and Mukunda </w:t>
      </w:r>
      <w:r w:rsidR="00E62887">
        <w:rPr>
          <w:rFonts w:ascii="Times New Roman" w:eastAsia="SimSun" w:hAnsi="Times New Roman" w:cs="Calibri"/>
          <w:color w:val="000000" w:themeColor="text1"/>
          <w:lang w:eastAsia="hi-IN" w:bidi="hi-IN"/>
        </w:rPr>
        <w:t>(20</w:t>
      </w:r>
      <w:r w:rsidR="003F33EA">
        <w:rPr>
          <w:rFonts w:ascii="Times New Roman" w:eastAsia="SimSun" w:hAnsi="Times New Roman" w:cs="Calibri"/>
          <w:color w:val="000000" w:themeColor="text1"/>
          <w:lang w:eastAsia="hi-IN" w:bidi="hi-IN"/>
        </w:rPr>
        <w:t xml:space="preserve">09) </w:t>
      </w:r>
      <w:r w:rsidR="00E25048">
        <w:rPr>
          <w:rFonts w:ascii="Times New Roman" w:eastAsia="SimSun" w:hAnsi="Times New Roman" w:cs="Calibri"/>
          <w:color w:val="000000" w:themeColor="text1"/>
          <w:lang w:eastAsia="hi-IN" w:bidi="hi-IN"/>
        </w:rPr>
        <w:t>expected that</w:t>
      </w:r>
      <w:r w:rsidR="00E25048" w:rsidRPr="36140518">
        <w:rPr>
          <w:rFonts w:ascii="Times New Roman" w:eastAsia="SimSun" w:hAnsi="Times New Roman" w:cs="Calibri"/>
          <w:color w:val="000000" w:themeColor="text1"/>
          <w:lang w:eastAsia="hi-IN" w:bidi="hi-IN"/>
        </w:rPr>
        <w:t xml:space="preserve"> semi-synthetic artemisinin </w:t>
      </w:r>
      <w:r w:rsidR="00E25048">
        <w:rPr>
          <w:rFonts w:ascii="Times New Roman" w:eastAsia="SimSun" w:hAnsi="Times New Roman" w:cs="Calibri"/>
          <w:color w:val="000000" w:themeColor="text1"/>
          <w:lang w:eastAsia="hi-IN" w:bidi="hi-IN"/>
        </w:rPr>
        <w:t xml:space="preserve">(SSA) </w:t>
      </w:r>
      <w:r w:rsidR="00E25048" w:rsidRPr="36140518">
        <w:rPr>
          <w:rFonts w:ascii="Times New Roman" w:eastAsia="SimSun" w:hAnsi="Times New Roman" w:cs="Calibri"/>
          <w:color w:val="000000" w:themeColor="text1"/>
          <w:lang w:eastAsia="hi-IN" w:bidi="hi-IN"/>
        </w:rPr>
        <w:t xml:space="preserve">and other commercial synthetic biology applications </w:t>
      </w:r>
      <w:r w:rsidR="00E25048">
        <w:rPr>
          <w:rFonts w:ascii="Times New Roman" w:eastAsia="SimSun" w:hAnsi="Times New Roman" w:cs="Calibri"/>
          <w:color w:val="000000" w:themeColor="text1"/>
          <w:lang w:eastAsia="hi-IN" w:bidi="hi-IN"/>
        </w:rPr>
        <w:t>to</w:t>
      </w:r>
      <w:r w:rsidR="00E25048" w:rsidRPr="36140518">
        <w:rPr>
          <w:rFonts w:ascii="Times New Roman" w:eastAsia="SimSun" w:hAnsi="Times New Roman" w:cs="Calibri"/>
          <w:color w:val="000000" w:themeColor="text1"/>
          <w:lang w:eastAsia="hi-IN" w:bidi="hi-IN"/>
        </w:rPr>
        <w:t xml:space="preserve"> possibly improv</w:t>
      </w:r>
      <w:r w:rsidR="00E25048">
        <w:rPr>
          <w:rFonts w:ascii="Times New Roman" w:eastAsia="SimSun" w:hAnsi="Times New Roman" w:cs="Calibri"/>
          <w:color w:val="000000" w:themeColor="text1"/>
          <w:lang w:eastAsia="hi-IN" w:bidi="hi-IN"/>
        </w:rPr>
        <w:t>e</w:t>
      </w:r>
      <w:r w:rsidR="00E25048" w:rsidRPr="36140518">
        <w:rPr>
          <w:rFonts w:ascii="Times New Roman" w:eastAsia="SimSun" w:hAnsi="Times New Roman" w:cs="Calibri"/>
          <w:color w:val="000000" w:themeColor="text1"/>
          <w:lang w:eastAsia="hi-IN" w:bidi="hi-IN"/>
        </w:rPr>
        <w:t xml:space="preserve"> health and thus the standard of living in developing countries, while simultaneously displacing labo</w:t>
      </w:r>
      <w:r w:rsidR="00E25048">
        <w:rPr>
          <w:rFonts w:ascii="Times New Roman" w:eastAsia="SimSun" w:hAnsi="Times New Roman" w:cs="Calibri"/>
          <w:color w:val="000000" w:themeColor="text1"/>
          <w:lang w:eastAsia="hi-IN" w:bidi="hi-IN"/>
        </w:rPr>
        <w:t>u</w:t>
      </w:r>
      <w:r w:rsidR="00E25048" w:rsidRPr="36140518">
        <w:rPr>
          <w:rFonts w:ascii="Times New Roman" w:eastAsia="SimSun" w:hAnsi="Times New Roman" w:cs="Calibri"/>
          <w:color w:val="000000" w:themeColor="text1"/>
          <w:lang w:eastAsia="hi-IN" w:bidi="hi-IN"/>
        </w:rPr>
        <w:t>rers, exports, and the tax base of those same countries</w:t>
      </w:r>
      <w:r w:rsidR="003F33EA">
        <w:rPr>
          <w:rFonts w:ascii="Times New Roman" w:eastAsia="SimSun" w:hAnsi="Times New Roman" w:cs="Calibri"/>
          <w:color w:val="000000" w:themeColor="text1"/>
          <w:lang w:eastAsia="hi-IN" w:bidi="hi-IN"/>
        </w:rPr>
        <w:t>.</w:t>
      </w:r>
      <w:r w:rsidR="00E25048" w:rsidRPr="36140518">
        <w:rPr>
          <w:rFonts w:ascii="Times New Roman" w:eastAsia="SimSun" w:hAnsi="Times New Roman" w:cs="Calibri"/>
          <w:color w:val="000000" w:themeColor="text1"/>
          <w:lang w:eastAsia="hi-IN" w:bidi="hi-IN"/>
        </w:rPr>
        <w:t xml:space="preserve"> </w:t>
      </w:r>
      <w:r w:rsidR="00DC6460">
        <w:rPr>
          <w:rFonts w:ascii="Times New Roman" w:eastAsia="SimSun" w:hAnsi="Times New Roman" w:cs="Calibri"/>
          <w:color w:val="000000" w:themeColor="text1"/>
          <w:lang w:eastAsia="hi-IN" w:bidi="hi-IN"/>
        </w:rPr>
        <w:t xml:space="preserve">A recent </w:t>
      </w:r>
      <w:r w:rsidR="008459F4">
        <w:rPr>
          <w:rFonts w:ascii="Times New Roman" w:eastAsia="SimSun" w:hAnsi="Times New Roman" w:cs="Calibri"/>
          <w:color w:val="000000" w:themeColor="text1"/>
          <w:lang w:eastAsia="hi-IN" w:bidi="hi-IN"/>
        </w:rPr>
        <w:t>evaluation</w:t>
      </w:r>
      <w:r w:rsidR="003C6336">
        <w:rPr>
          <w:rFonts w:ascii="Times New Roman" w:eastAsia="SimSun" w:hAnsi="Times New Roman" w:cs="Calibri"/>
          <w:color w:val="000000" w:themeColor="text1"/>
          <w:lang w:eastAsia="hi-IN" w:bidi="hi-IN"/>
        </w:rPr>
        <w:t xml:space="preserve"> </w:t>
      </w:r>
      <w:r w:rsidR="003C6336">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{"citationItems":[{"id":"ITEM-1","itemData":{"author":[{"dropping-particle":"","family":"United Nations Conference on Trade and Development","given":"","non-dropping-particle":"","parse-names":false,"suffix":""}],"edition":"UNCTAD/DIT","id":"ITEM-1","issued":{"date-parts":[["2019"]]},"number-of-pages":"39","title":"Synthetic Biology and its Potential Implications for BioTrade and Access and Benefit-Sharing","type":"book"},"uris":["http://www.mendeley.com/documents/?uuid=be9a3c56-7701-45d7-80e1-42e73ea2ad13"]}],"mendeley":{"formattedCitation":"(United Nations Conference on Trade and Development, 2019)","plainTextFormattedCitation":"(United Nations Conference on Trade and Development, 2019)","previouslyFormattedCitation":"(United Nations Conference on Trade and Development, 2019)"},"properties":{"noteIndex":0},"schema":"https://github.com/citation-style-language/schema/raw/master/csl-citation.json"}</w:instrText>
      </w:r>
      <w:r w:rsidR="003C6336">
        <w:rPr>
          <w:rFonts w:ascii="Times New Roman" w:eastAsia="SimSun" w:hAnsi="Times New Roman" w:cs="Calibri"/>
          <w:color w:val="000000" w:themeColor="text1"/>
          <w:lang w:eastAsia="hi-IN" w:bidi="hi-IN"/>
        </w:rPr>
        <w:fldChar w:fldCharType="separate"/>
      </w:r>
      <w:r w:rsidR="003C6336" w:rsidRPr="00277AC9">
        <w:rPr>
          <w:rFonts w:ascii="Times New Roman" w:eastAsia="SimSun" w:hAnsi="Times New Roman" w:cs="Calibri"/>
          <w:noProof/>
          <w:color w:val="000000" w:themeColor="text1"/>
          <w:lang w:eastAsia="hi-IN" w:bidi="hi-IN"/>
        </w:rPr>
        <w:t>(United Nations Conference on Trade and Development, 2019)</w:t>
      </w:r>
      <w:r w:rsidR="003C6336">
        <w:rPr>
          <w:rFonts w:ascii="Times New Roman" w:eastAsia="SimSun" w:hAnsi="Times New Roman" w:cs="Calibri"/>
          <w:color w:val="000000" w:themeColor="text1"/>
          <w:lang w:eastAsia="hi-IN" w:bidi="hi-IN"/>
        </w:rPr>
        <w:fldChar w:fldCharType="end"/>
      </w:r>
      <w:r w:rsidR="006A4307">
        <w:rPr>
          <w:rFonts w:ascii="Times New Roman" w:eastAsia="SimSun" w:hAnsi="Times New Roman" w:cs="Calibri"/>
          <w:color w:val="000000" w:themeColor="text1"/>
          <w:lang w:eastAsia="hi-IN" w:bidi="hi-IN"/>
        </w:rPr>
        <w:t xml:space="preserve"> </w:t>
      </w:r>
      <w:r w:rsidR="003C6336">
        <w:rPr>
          <w:rFonts w:ascii="Times New Roman" w:eastAsia="SimSun" w:hAnsi="Times New Roman" w:cs="Calibri"/>
          <w:color w:val="000000" w:themeColor="text1"/>
          <w:lang w:eastAsia="hi-IN" w:bidi="hi-IN"/>
        </w:rPr>
        <w:t xml:space="preserve">of </w:t>
      </w:r>
      <w:r w:rsidR="008459F4">
        <w:rPr>
          <w:rFonts w:ascii="Times New Roman" w:eastAsia="SimSun" w:hAnsi="Times New Roman" w:cs="Calibri"/>
          <w:color w:val="000000" w:themeColor="text1"/>
          <w:lang w:eastAsia="hi-IN" w:bidi="hi-IN"/>
        </w:rPr>
        <w:t>whether SSA</w:t>
      </w:r>
      <w:r w:rsidR="00D30975">
        <w:rPr>
          <w:rFonts w:ascii="Times New Roman" w:eastAsia="SimSun" w:hAnsi="Times New Roman" w:cs="Calibri"/>
          <w:color w:val="000000" w:themeColor="text1"/>
          <w:lang w:eastAsia="hi-IN" w:bidi="hi-IN"/>
        </w:rPr>
        <w:t xml:space="preserve"> will </w:t>
      </w:r>
      <w:r w:rsidR="009F7574" w:rsidRPr="009F7574">
        <w:rPr>
          <w:rFonts w:ascii="Times New Roman" w:eastAsia="SimSun" w:hAnsi="Times New Roman" w:cs="Calibri"/>
          <w:color w:val="000000" w:themeColor="text1"/>
          <w:lang w:eastAsia="hi-IN" w:bidi="hi-IN"/>
        </w:rPr>
        <w:t>eventually eliminate, or significantly reduce,</w:t>
      </w:r>
      <w:r w:rsidR="00D30975">
        <w:rPr>
          <w:rFonts w:ascii="Times New Roman" w:eastAsia="SimSun" w:hAnsi="Times New Roman" w:cs="Calibri"/>
          <w:color w:val="000000" w:themeColor="text1"/>
          <w:lang w:eastAsia="hi-IN" w:bidi="hi-IN"/>
        </w:rPr>
        <w:t xml:space="preserve"> </w:t>
      </w:r>
      <w:r w:rsidR="009F7574" w:rsidRPr="009F7574">
        <w:rPr>
          <w:rFonts w:ascii="Times New Roman" w:eastAsia="SimSun" w:hAnsi="Times New Roman" w:cs="Calibri"/>
          <w:color w:val="000000" w:themeColor="text1"/>
          <w:lang w:eastAsia="hi-IN" w:bidi="hi-IN"/>
        </w:rPr>
        <w:t xml:space="preserve">the market for the natural </w:t>
      </w:r>
      <w:r w:rsidR="00B5646F" w:rsidRPr="00103015">
        <w:rPr>
          <w:rFonts w:ascii="Times New Roman" w:eastAsia="SimSun" w:hAnsi="Times New Roman" w:cs="Calibri"/>
          <w:color w:val="000000" w:themeColor="text1"/>
          <w:lang w:eastAsia="hi-IN" w:bidi="hi-IN"/>
        </w:rPr>
        <w:t>artemisinin</w:t>
      </w:r>
      <w:r w:rsidR="00B5646F" w:rsidRPr="009F7574">
        <w:rPr>
          <w:rFonts w:ascii="Times New Roman" w:eastAsia="SimSun" w:hAnsi="Times New Roman" w:cs="Calibri"/>
          <w:color w:val="000000" w:themeColor="text1"/>
          <w:lang w:eastAsia="hi-IN" w:bidi="hi-IN"/>
        </w:rPr>
        <w:t xml:space="preserve"> </w:t>
      </w:r>
      <w:r w:rsidR="009F7574" w:rsidRPr="009F7574">
        <w:rPr>
          <w:rFonts w:ascii="Times New Roman" w:eastAsia="SimSun" w:hAnsi="Times New Roman" w:cs="Calibri"/>
          <w:color w:val="000000" w:themeColor="text1"/>
          <w:lang w:eastAsia="hi-IN" w:bidi="hi-IN"/>
        </w:rPr>
        <w:t>product</w:t>
      </w:r>
      <w:r w:rsidR="00D30975">
        <w:rPr>
          <w:rFonts w:ascii="Times New Roman" w:eastAsia="SimSun" w:hAnsi="Times New Roman" w:cs="Calibri"/>
          <w:color w:val="000000" w:themeColor="text1"/>
          <w:lang w:eastAsia="hi-IN" w:bidi="hi-IN"/>
        </w:rPr>
        <w:t xml:space="preserve"> </w:t>
      </w:r>
      <w:r w:rsidR="008459F4">
        <w:rPr>
          <w:rFonts w:ascii="Times New Roman" w:eastAsia="SimSun" w:hAnsi="Times New Roman" w:cs="Calibri"/>
          <w:color w:val="000000" w:themeColor="text1"/>
          <w:lang w:eastAsia="hi-IN" w:bidi="hi-IN"/>
        </w:rPr>
        <w:t xml:space="preserve">concluded </w:t>
      </w:r>
      <w:r w:rsidR="003F33EA">
        <w:rPr>
          <w:rFonts w:ascii="Times New Roman" w:eastAsia="SimSun" w:hAnsi="Times New Roman" w:cs="Calibri"/>
          <w:color w:val="000000" w:themeColor="text1"/>
          <w:lang w:eastAsia="hi-IN" w:bidi="hi-IN"/>
        </w:rPr>
        <w:t xml:space="preserve">however </w:t>
      </w:r>
      <w:r w:rsidR="008459F4">
        <w:rPr>
          <w:rFonts w:ascii="Times New Roman" w:eastAsia="SimSun" w:hAnsi="Times New Roman" w:cs="Calibri"/>
          <w:color w:val="000000" w:themeColor="text1"/>
          <w:lang w:eastAsia="hi-IN" w:bidi="hi-IN"/>
        </w:rPr>
        <w:t>that it</w:t>
      </w:r>
      <w:r w:rsidR="0004168C">
        <w:rPr>
          <w:rFonts w:ascii="Times New Roman" w:eastAsia="SimSun" w:hAnsi="Times New Roman" w:cs="Calibri"/>
          <w:color w:val="000000" w:themeColor="text1"/>
          <w:lang w:eastAsia="hi-IN" w:bidi="hi-IN"/>
        </w:rPr>
        <w:t xml:space="preserve"> will</w:t>
      </w:r>
      <w:r w:rsidR="00B5646F">
        <w:rPr>
          <w:rFonts w:ascii="Times New Roman" w:eastAsia="SimSun" w:hAnsi="Times New Roman" w:cs="Calibri"/>
          <w:color w:val="000000" w:themeColor="text1"/>
          <w:lang w:eastAsia="hi-IN" w:bidi="hi-IN"/>
        </w:rPr>
        <w:t xml:space="preserve"> </w:t>
      </w:r>
      <w:r w:rsidR="003874F6">
        <w:rPr>
          <w:rFonts w:ascii="Times New Roman" w:eastAsia="SimSun" w:hAnsi="Times New Roman" w:cs="Calibri"/>
          <w:color w:val="000000" w:themeColor="text1"/>
          <w:lang w:eastAsia="hi-IN" w:bidi="hi-IN"/>
        </w:rPr>
        <w:t xml:space="preserve">very much </w:t>
      </w:r>
      <w:r w:rsidR="0004168C" w:rsidRPr="009F7574">
        <w:rPr>
          <w:rFonts w:ascii="Times New Roman" w:eastAsia="SimSun" w:hAnsi="Times New Roman" w:cs="Calibri"/>
          <w:color w:val="000000" w:themeColor="text1"/>
          <w:lang w:eastAsia="hi-IN" w:bidi="hi-IN"/>
        </w:rPr>
        <w:t xml:space="preserve">depend </w:t>
      </w:r>
      <w:r w:rsidR="00B5646F">
        <w:rPr>
          <w:rFonts w:ascii="Times New Roman" w:eastAsia="SimSun" w:hAnsi="Times New Roman" w:cs="Calibri"/>
          <w:color w:val="000000" w:themeColor="text1"/>
          <w:lang w:eastAsia="hi-IN" w:bidi="hi-IN"/>
        </w:rPr>
        <w:t>up</w:t>
      </w:r>
      <w:r w:rsidR="009F7574" w:rsidRPr="009F7574">
        <w:rPr>
          <w:rFonts w:ascii="Times New Roman" w:eastAsia="SimSun" w:hAnsi="Times New Roman" w:cs="Calibri"/>
          <w:color w:val="000000" w:themeColor="text1"/>
          <w:lang w:eastAsia="hi-IN" w:bidi="hi-IN"/>
        </w:rPr>
        <w:t xml:space="preserve">on whether </w:t>
      </w:r>
      <w:r w:rsidR="00B5646F">
        <w:rPr>
          <w:rFonts w:ascii="Times New Roman" w:eastAsia="SimSun" w:hAnsi="Times New Roman" w:cs="Calibri"/>
          <w:color w:val="000000" w:themeColor="text1"/>
          <w:lang w:eastAsia="hi-IN" w:bidi="hi-IN"/>
        </w:rPr>
        <w:t>it</w:t>
      </w:r>
      <w:r w:rsidR="009F7574" w:rsidRPr="009F7574">
        <w:rPr>
          <w:rFonts w:ascii="Times New Roman" w:eastAsia="SimSun" w:hAnsi="Times New Roman" w:cs="Calibri"/>
          <w:color w:val="000000" w:themeColor="text1"/>
          <w:lang w:eastAsia="hi-IN" w:bidi="hi-IN"/>
        </w:rPr>
        <w:t xml:space="preserve"> can compete</w:t>
      </w:r>
      <w:r w:rsidR="00B5646F">
        <w:rPr>
          <w:rFonts w:ascii="Times New Roman" w:eastAsia="SimSun" w:hAnsi="Times New Roman" w:cs="Calibri"/>
          <w:color w:val="000000" w:themeColor="text1"/>
          <w:lang w:eastAsia="hi-IN" w:bidi="hi-IN"/>
        </w:rPr>
        <w:t xml:space="preserve"> </w:t>
      </w:r>
      <w:r w:rsidR="009F7574" w:rsidRPr="009F7574">
        <w:rPr>
          <w:rFonts w:ascii="Times New Roman" w:eastAsia="SimSun" w:hAnsi="Times New Roman" w:cs="Calibri"/>
          <w:color w:val="000000" w:themeColor="text1"/>
          <w:lang w:eastAsia="hi-IN" w:bidi="hi-IN"/>
        </w:rPr>
        <w:t>with the natural product on the basis of price</w:t>
      </w:r>
      <w:r w:rsidR="00B5646F">
        <w:rPr>
          <w:rFonts w:ascii="Times New Roman" w:eastAsia="SimSun" w:hAnsi="Times New Roman" w:cs="Calibri"/>
          <w:color w:val="000000" w:themeColor="text1"/>
          <w:lang w:eastAsia="hi-IN" w:bidi="hi-IN"/>
        </w:rPr>
        <w:t>.</w:t>
      </w:r>
      <w:r w:rsidR="005D6C7B">
        <w:rPr>
          <w:rFonts w:ascii="Times New Roman" w:eastAsia="SimSun" w:hAnsi="Times New Roman" w:cs="Calibri"/>
          <w:color w:val="000000" w:themeColor="text1"/>
          <w:lang w:eastAsia="hi-IN" w:bidi="hi-IN"/>
        </w:rPr>
        <w:t xml:space="preserve"> Due to </w:t>
      </w:r>
      <w:r w:rsidR="00E0577F">
        <w:rPr>
          <w:rFonts w:ascii="Times New Roman" w:eastAsia="SimSun" w:hAnsi="Times New Roman" w:cs="Calibri"/>
          <w:color w:val="000000" w:themeColor="text1"/>
          <w:lang w:eastAsia="hi-IN" w:bidi="hi-IN"/>
        </w:rPr>
        <w:t xml:space="preserve">significant </w:t>
      </w:r>
      <w:r w:rsidR="005D6C7B">
        <w:rPr>
          <w:rFonts w:ascii="Times New Roman" w:eastAsia="SimSun" w:hAnsi="Times New Roman" w:cs="Calibri"/>
          <w:color w:val="000000" w:themeColor="text1"/>
          <w:lang w:eastAsia="hi-IN" w:bidi="hi-IN"/>
        </w:rPr>
        <w:t xml:space="preserve">improvements in extraction </w:t>
      </w:r>
      <w:r w:rsidR="00F14969">
        <w:rPr>
          <w:rFonts w:ascii="Times New Roman" w:eastAsia="SimSun" w:hAnsi="Times New Roman" w:cs="Calibri"/>
          <w:color w:val="000000" w:themeColor="text1"/>
          <w:lang w:eastAsia="hi-IN" w:bidi="hi-IN"/>
        </w:rPr>
        <w:t xml:space="preserve">methods </w:t>
      </w:r>
      <w:r w:rsidR="005D6C7B">
        <w:rPr>
          <w:rFonts w:ascii="Times New Roman" w:eastAsia="SimSun" w:hAnsi="Times New Roman" w:cs="Calibri"/>
          <w:color w:val="000000" w:themeColor="text1"/>
          <w:lang w:eastAsia="hi-IN" w:bidi="hi-IN"/>
        </w:rPr>
        <w:t xml:space="preserve">from </w:t>
      </w:r>
      <w:r w:rsidR="006F3D15" w:rsidRPr="00961503">
        <w:rPr>
          <w:rFonts w:ascii="Times New Roman" w:eastAsia="SimSun" w:hAnsi="Times New Roman" w:cs="Calibri"/>
          <w:i/>
          <w:iCs/>
          <w:color w:val="000000" w:themeColor="text1"/>
          <w:lang w:eastAsia="hi-IN" w:bidi="hi-IN"/>
        </w:rPr>
        <w:t>A. annua</w:t>
      </w:r>
      <w:r w:rsidR="006F3D15">
        <w:rPr>
          <w:rFonts w:ascii="Times New Roman" w:eastAsia="SimSun" w:hAnsi="Times New Roman" w:cs="Calibri"/>
          <w:color w:val="000000" w:themeColor="text1"/>
          <w:lang w:eastAsia="hi-IN" w:bidi="hi-IN"/>
        </w:rPr>
        <w:t xml:space="preserve"> waste products, </w:t>
      </w:r>
      <w:r w:rsidR="00E0577F" w:rsidRPr="00E0577F">
        <w:rPr>
          <w:rFonts w:ascii="Times New Roman" w:eastAsia="SimSun" w:hAnsi="Times New Roman" w:cs="Calibri"/>
          <w:color w:val="000000" w:themeColor="text1"/>
          <w:lang w:eastAsia="hi-IN" w:bidi="hi-IN"/>
        </w:rPr>
        <w:t>naturally sourced artemisinin</w:t>
      </w:r>
      <w:r w:rsidR="00E0577F">
        <w:rPr>
          <w:rFonts w:ascii="Times New Roman" w:eastAsia="SimSun" w:hAnsi="Times New Roman" w:cs="Calibri"/>
          <w:color w:val="000000" w:themeColor="text1"/>
          <w:lang w:eastAsia="hi-IN" w:bidi="hi-IN"/>
        </w:rPr>
        <w:t xml:space="preserve"> is very cost</w:t>
      </w:r>
      <w:r w:rsidR="004E6FAB">
        <w:rPr>
          <w:rFonts w:ascii="Times New Roman" w:eastAsia="SimSun" w:hAnsi="Times New Roman" w:cs="Calibri"/>
          <w:color w:val="000000" w:themeColor="text1"/>
          <w:lang w:eastAsia="hi-IN" w:bidi="hi-IN"/>
        </w:rPr>
        <w:t xml:space="preserve">-competitive, and so </w:t>
      </w:r>
      <w:r w:rsidR="004E6FAB" w:rsidRPr="004E6FAB">
        <w:rPr>
          <w:rFonts w:ascii="Times New Roman" w:eastAsia="SimSun" w:hAnsi="Times New Roman" w:cs="Calibri"/>
          <w:color w:val="000000" w:themeColor="text1"/>
          <w:lang w:eastAsia="hi-IN" w:bidi="hi-IN"/>
        </w:rPr>
        <w:t>for the time being,</w:t>
      </w:r>
      <w:r w:rsidR="00277AC9">
        <w:rPr>
          <w:rFonts w:ascii="Times New Roman" w:eastAsia="SimSun" w:hAnsi="Times New Roman" w:cs="Calibri"/>
          <w:color w:val="000000" w:themeColor="text1"/>
          <w:lang w:eastAsia="hi-IN" w:bidi="hi-IN"/>
        </w:rPr>
        <w:t xml:space="preserve"> </w:t>
      </w:r>
      <w:r w:rsidR="00B90D10">
        <w:rPr>
          <w:rFonts w:ascii="Times New Roman" w:eastAsia="SimSun" w:hAnsi="Times New Roman" w:cs="Calibri"/>
          <w:color w:val="000000" w:themeColor="text1"/>
          <w:lang w:eastAsia="hi-IN" w:bidi="hi-IN"/>
        </w:rPr>
        <w:t>SSA</w:t>
      </w:r>
      <w:r w:rsidR="004E6FAB" w:rsidRPr="004E6FAB">
        <w:rPr>
          <w:rFonts w:ascii="Times New Roman" w:eastAsia="SimSun" w:hAnsi="Times New Roman" w:cs="Calibri"/>
          <w:color w:val="000000" w:themeColor="text1"/>
          <w:lang w:eastAsia="hi-IN" w:bidi="hi-IN"/>
        </w:rPr>
        <w:t xml:space="preserve"> </w:t>
      </w:r>
      <w:r w:rsidR="0004168C">
        <w:rPr>
          <w:rFonts w:ascii="Times New Roman" w:eastAsia="SimSun" w:hAnsi="Times New Roman" w:cs="Calibri"/>
          <w:color w:val="000000" w:themeColor="text1"/>
          <w:lang w:eastAsia="hi-IN" w:bidi="hi-IN"/>
        </w:rPr>
        <w:t>is expected to</w:t>
      </w:r>
      <w:r w:rsidR="004E6FAB" w:rsidRPr="004E6FAB">
        <w:rPr>
          <w:rFonts w:ascii="Times New Roman" w:eastAsia="SimSun" w:hAnsi="Times New Roman" w:cs="Calibri"/>
          <w:color w:val="000000" w:themeColor="text1"/>
          <w:lang w:eastAsia="hi-IN" w:bidi="hi-IN"/>
        </w:rPr>
        <w:t xml:space="preserve"> </w:t>
      </w:r>
      <w:r w:rsidR="00F14969">
        <w:rPr>
          <w:rFonts w:ascii="Times New Roman" w:eastAsia="SimSun" w:hAnsi="Times New Roman" w:cs="Calibri"/>
          <w:color w:val="000000" w:themeColor="text1"/>
          <w:lang w:eastAsia="hi-IN" w:bidi="hi-IN"/>
        </w:rPr>
        <w:t xml:space="preserve">only </w:t>
      </w:r>
      <w:r w:rsidR="004E6FAB" w:rsidRPr="004E6FAB">
        <w:rPr>
          <w:rFonts w:ascii="Times New Roman" w:eastAsia="SimSun" w:hAnsi="Times New Roman" w:cs="Calibri"/>
          <w:color w:val="000000" w:themeColor="text1"/>
          <w:lang w:eastAsia="hi-IN" w:bidi="hi-IN"/>
        </w:rPr>
        <w:t>be a supplemental source to fill gaps</w:t>
      </w:r>
      <w:r w:rsidR="00277AC9">
        <w:rPr>
          <w:rFonts w:ascii="Times New Roman" w:eastAsia="SimSun" w:hAnsi="Times New Roman" w:cs="Calibri"/>
          <w:color w:val="000000" w:themeColor="text1"/>
          <w:lang w:eastAsia="hi-IN" w:bidi="hi-IN"/>
        </w:rPr>
        <w:t xml:space="preserve"> </w:t>
      </w:r>
      <w:r w:rsidR="004E6FAB" w:rsidRPr="004E6FAB">
        <w:rPr>
          <w:rFonts w:ascii="Times New Roman" w:eastAsia="SimSun" w:hAnsi="Times New Roman" w:cs="Calibri"/>
          <w:color w:val="000000" w:themeColor="text1"/>
          <w:lang w:eastAsia="hi-IN" w:bidi="hi-IN"/>
        </w:rPr>
        <w:t>in production or spikes in demand</w:t>
      </w:r>
      <w:r w:rsidR="00277AC9">
        <w:rPr>
          <w:rFonts w:ascii="Times New Roman" w:eastAsia="SimSun" w:hAnsi="Times New Roman" w:cs="Calibri"/>
          <w:color w:val="000000" w:themeColor="text1"/>
          <w:lang w:eastAsia="hi-IN" w:bidi="hi-IN"/>
        </w:rPr>
        <w:t>.</w:t>
      </w:r>
    </w:p>
    <w:p w14:paraId="16FBF64A" w14:textId="1C8599D8" w:rsidR="009455DB" w:rsidRPr="00BA2459" w:rsidRDefault="00C116B1" w:rsidP="00BA2459">
      <w:pPr>
        <w:pStyle w:val="Heading3"/>
        <w:rPr>
          <w:rFonts w:eastAsia="SimSun"/>
          <w:color w:val="000000"/>
          <w:lang w:bidi="hi-IN"/>
        </w:rPr>
      </w:pPr>
      <w:bookmarkStart w:id="94" w:name="_Toc70112692"/>
      <w:bookmarkStart w:id="95" w:name="_Toc70685714"/>
      <w:r>
        <w:rPr>
          <w:rFonts w:eastAsia="SimSun"/>
          <w:lang w:val="en-US" w:bidi="hi-IN"/>
        </w:rPr>
        <w:t>5</w:t>
      </w:r>
      <w:r w:rsidR="009455DB">
        <w:rPr>
          <w:rFonts w:eastAsia="SimSun"/>
          <w:lang w:bidi="hi-IN"/>
        </w:rPr>
        <w:t>.3. Ethical concerns</w:t>
      </w:r>
      <w:r w:rsidR="000C6386">
        <w:rPr>
          <w:rFonts w:eastAsia="SimSun"/>
          <w:lang w:val="en-US" w:bidi="hi-IN"/>
        </w:rPr>
        <w:t>.</w:t>
      </w:r>
      <w:bookmarkEnd w:id="94"/>
      <w:bookmarkEnd w:id="95"/>
    </w:p>
    <w:p w14:paraId="5B243804" w14:textId="18E00E3E" w:rsidR="009455DB" w:rsidRDefault="009455DB" w:rsidP="009455DB">
      <w:pPr>
        <w:spacing w:before="120" w:after="120" w:line="240" w:lineRule="auto"/>
        <w:jc w:val="both"/>
        <w:rPr>
          <w:rFonts w:ascii="Times New Roman" w:hAnsi="Times New Roman" w:cs="Calibri"/>
          <w:color w:val="000000" w:themeColor="text1"/>
          <w:lang w:eastAsia="ar-SA"/>
        </w:rPr>
      </w:pPr>
      <w:r w:rsidRPr="36140518">
        <w:rPr>
          <w:rFonts w:ascii="Times New Roman" w:hAnsi="Times New Roman" w:cs="Calibri"/>
          <w:color w:val="000000" w:themeColor="text1"/>
          <w:lang w:eastAsia="ar-SA"/>
        </w:rPr>
        <w:t>The</w:t>
      </w:r>
      <w:r>
        <w:rPr>
          <w:rFonts w:ascii="Times New Roman" w:hAnsi="Times New Roman" w:cs="Calibri"/>
          <w:color w:val="000000" w:themeColor="text1"/>
          <w:lang w:eastAsia="ar-SA"/>
        </w:rPr>
        <w:t xml:space="preserve"> above</w:t>
      </w:r>
      <w:r w:rsidRPr="36140518">
        <w:rPr>
          <w:rFonts w:ascii="Times New Roman" w:hAnsi="Times New Roman" w:cs="Calibri"/>
          <w:color w:val="000000" w:themeColor="text1"/>
          <w:lang w:eastAsia="ar-SA"/>
        </w:rPr>
        <w:t xml:space="preserve"> examples also demonstrate how synthetic biology can raise ethical issues around harms, benefits and risks. Some risks might be deemed morally </w:t>
      </w:r>
      <w:r>
        <w:rPr>
          <w:rFonts w:ascii="Times New Roman" w:hAnsi="Times New Roman" w:cs="Calibri"/>
          <w:color w:val="000000" w:themeColor="text1"/>
          <w:lang w:eastAsia="ar-SA"/>
        </w:rPr>
        <w:t>un</w:t>
      </w:r>
      <w:r w:rsidRPr="36140518">
        <w:rPr>
          <w:rFonts w:ascii="Times New Roman" w:hAnsi="Times New Roman" w:cs="Calibri"/>
          <w:color w:val="000000" w:themeColor="text1"/>
          <w:lang w:eastAsia="ar-SA"/>
        </w:rPr>
        <w:t xml:space="preserve">acceptable because of the severity of harm and/or the probability of harm occurring (Schmidt </w:t>
      </w:r>
      <w:r w:rsidRPr="36140518">
        <w:rPr>
          <w:rFonts w:ascii="Times New Roman" w:hAnsi="Times New Roman" w:cs="Calibri"/>
          <w:i/>
          <w:iCs/>
          <w:color w:val="000000" w:themeColor="text1"/>
          <w:lang w:eastAsia="ar-SA"/>
        </w:rPr>
        <w:t xml:space="preserve">et al. </w:t>
      </w:r>
      <w:r w:rsidRPr="36140518">
        <w:rPr>
          <w:rFonts w:ascii="Times New Roman" w:hAnsi="Times New Roman" w:cs="Calibri"/>
          <w:color w:val="000000" w:themeColor="text1"/>
          <w:lang w:eastAsia="ar-SA"/>
        </w:rPr>
        <w:t xml:space="preserve">2009). The distribution of potential harms and benefits related to synthetic biology products and technologies is </w:t>
      </w:r>
      <w:r>
        <w:rPr>
          <w:rFonts w:ascii="Times New Roman" w:hAnsi="Times New Roman" w:cs="Calibri"/>
          <w:color w:val="000000" w:themeColor="text1"/>
          <w:lang w:eastAsia="ar-SA"/>
        </w:rPr>
        <w:t>therefore</w:t>
      </w:r>
      <w:r w:rsidRPr="36140518">
        <w:rPr>
          <w:rFonts w:ascii="Times New Roman" w:hAnsi="Times New Roman" w:cs="Calibri"/>
          <w:color w:val="000000" w:themeColor="text1"/>
          <w:lang w:eastAsia="ar-SA"/>
        </w:rPr>
        <w:t xml:space="preserve"> an ethical matter </w:t>
      </w:r>
      <w:r w:rsidR="00931DC1">
        <w:rPr>
          <w:rFonts w:ascii="Times New Roman" w:hAnsi="Times New Roman" w:cs="Calibri"/>
          <w:color w:val="000000" w:themeColor="text1"/>
          <w:lang w:eastAsia="ar-SA"/>
        </w:rPr>
        <w:fldChar w:fldCharType="begin" w:fldLock="1"/>
      </w:r>
      <w:r w:rsidR="00931DC1">
        <w:rPr>
          <w:rFonts w:ascii="Times New Roman" w:hAnsi="Times New Roman" w:cs="Calibri"/>
          <w:color w:val="000000" w:themeColor="text1"/>
          <w:lang w:eastAsia="ar-SA"/>
        </w:rPr>
        <w:instrText>ADDIN CSL_CITATION {"citationItems":[{"id":"ITEM-1","itemData":{"DOI":"10.1007/978-90-481-2678-1","ISBN":"9789048126774","abstract":"Synthetic biology is becoming one of the most dynamic new fields of biology, with the potential to revolutionize the way we do biotechnology today. By applying the toolbox of engineering disciplines to biology, a whole set of potential applications become possible ranging very widely across scientific and engineering disciplines. Some of the potential benefits of synthetic biology, such as the development of low-cost drugs or the production of chemicals and energy by engineered bacteria are enormous. There are, however, also potential and perceived risks due to deliberate or accidental damage. Also, ethical issues of synthetic biology just start being explored, with hardly any ethicists specifically focusing on the area of synthetic biology. This book will be the first of its kind focusing particularly on the safety, security and ethical concerns and other relevant societal aspects of this new emerging field. The foreseen impact of this book will be to stimulate a debate on these societal issues at an early stage. Past experiences, especially in the field of GM-crops and stem cells, have shown the importance of an early societal debate. The community and informed stakeholders recognize this need, but up to now discussions are fragmentary. This book will be the first comprehensive overview on relevant societal issues of synthetic biology, setting the scene for further important discussions within the scientific community and with civil society. © Springer Science+Business Media B.V. 2009.","container-title":"Synthetic Biology: The Technoscience and Its Societal Consequences","editor":[{"dropping-particle":"","family":"Schmidt","given":"Markus","non-dropping-particle":"","parse-names":false,"suffix":""},{"dropping-particle":"","family":"Kelle","given":"Alexander","non-dropping-particle":"","parse-names":false,"suffix":""},{"dropping-particle":"","family":"Ganguli-Mitra","given":"Agomoni","non-dropping-particle":"","parse-names":false,"suffix":""},{"dropping-particle":"De","family":"Vriend","given":"Huib","non-dropping-particle":"","parse-names":false,"suffix":""}],"id":"ITEM-1","issued":{"date-parts":[["2009"]]},"number-of-pages":"1-186","publisher":"Springer Netherlands","title":"Synthetic biology: The technoscience and its societal consequences","type":"book"},"uris":["http://www.mendeley.com/documents/?uuid=40915c28-7f14-4470-ab1f-025694125433"]},{"id":"ITEM-2","itemData":{"author":[{"dropping-particle":"","family":"Nuffield Council on Bioethics","given":"","non-dropping-particle":"","parse-names":false,"suffix":""}],"id":"ITEM-2","issued":{"date-parts":[["2012"]]},"publisher-place":"London, UK","title":"Emerging biotechnologies: technology, choice and the public good","type":"report"},"uris":["http://www.mendeley.com/documents/?uuid=16f74ca2-a5c2-453f-ae16-e59187d01b01"]},{"id":"ITEM-3","itemData":{"author":[{"dropping-particle":"","family":"Parens","given":"Erik","non-dropping-particle":"","parse-names":false,"suffix":""},{"dropping-particle":"","family":"Johnston","given":"Josephine","non-dropping-particle":"","parse-names":false,"suffix":""},{"dropping-particle":"","family":"Moses","given":"Jacob","non-dropping-particle":"","parse-names":false,"suffix":""}],"id":"ITEM-3","issued":{"date-parts":[["2009"]]},"publisher-place":"Washington (DC), USA","title":"Ethical Issues in Synthetic Biology: An Overview of the Debates","type":"report"},"uris":["http://www.mendeley.com/documents/?uuid=b528839e-87a3-454f-afd2-305439763c5c"]}],"mendeley":{"formattedCitation":"(Nuffield Council on Bioethics, 2012; Parens et al., 2009; “Synthetic Biology: The Technoscience and Its Societal Consequences,” 2009)","plainTextFormattedCitation":"(Nuffield Council on Bioethics, 2012; Parens et al., 2009; “Synthetic Biology: The Technoscience and Its Societal Consequences,” 2009)","previouslyFormattedCitation":"(Nuffield Council on Bioethics, 2012; Parens et al., 2009; “Synthetic Biology: The Technoscience and Its Societal Consequences,” 2009)"},"properties":{"noteIndex":0},"schema":"https://github.com/citation-style-language/schema/raw/master/csl-citation.json"}</w:instrText>
      </w:r>
      <w:r w:rsidR="00931DC1">
        <w:rPr>
          <w:rFonts w:ascii="Times New Roman" w:hAnsi="Times New Roman" w:cs="Calibri"/>
          <w:color w:val="000000" w:themeColor="text1"/>
          <w:lang w:eastAsia="ar-SA"/>
        </w:rPr>
        <w:fldChar w:fldCharType="separate"/>
      </w:r>
      <w:r w:rsidR="00931DC1" w:rsidRPr="00931DC1">
        <w:rPr>
          <w:rFonts w:ascii="Times New Roman" w:hAnsi="Times New Roman" w:cs="Calibri"/>
          <w:noProof/>
          <w:color w:val="000000" w:themeColor="text1"/>
          <w:lang w:eastAsia="ar-SA"/>
        </w:rPr>
        <w:t>(Nuffield Council on Bioethics, 2012; Parens et al., 2009; “Synthetic Biology: The Technoscience and Its Societal Consequences,” 2009)</w:t>
      </w:r>
      <w:r w:rsidR="00931DC1">
        <w:rPr>
          <w:rFonts w:ascii="Times New Roman" w:hAnsi="Times New Roman" w:cs="Calibri"/>
          <w:color w:val="000000" w:themeColor="text1"/>
          <w:lang w:eastAsia="ar-SA"/>
        </w:rPr>
        <w:fldChar w:fldCharType="end"/>
      </w:r>
      <w:r w:rsidRPr="36140518">
        <w:rPr>
          <w:rFonts w:ascii="Times New Roman" w:hAnsi="Times New Roman" w:cs="Calibri"/>
          <w:color w:val="000000" w:themeColor="text1"/>
          <w:lang w:eastAsia="ar-SA"/>
        </w:rPr>
        <w:t xml:space="preserve">. What would be an equitable distribution of synthetic biology related harms and benefits, and how can that distribution be achieved? Ethical issues around harms and benefits also incorporate discussions on global justice, and the potential impacts of synthetic biology on the “technology divide” </w:t>
      </w:r>
      <w:r w:rsidR="00931DC1">
        <w:rPr>
          <w:rFonts w:ascii="Times New Roman" w:hAnsi="Times New Roman" w:cs="Calibri"/>
          <w:color w:val="000000" w:themeColor="text1"/>
          <w:lang w:eastAsia="ar-SA"/>
        </w:rPr>
        <w:fldChar w:fldCharType="begin" w:fldLock="1"/>
      </w:r>
      <w:r w:rsidR="00931DC1">
        <w:rPr>
          <w:rFonts w:ascii="Times New Roman" w:hAnsi="Times New Roman" w:cs="Calibri"/>
          <w:color w:val="000000" w:themeColor="text1"/>
          <w:lang w:eastAsia="ar-SA"/>
        </w:rPr>
        <w:instrText>ADDIN CSL_CITATION {"citationItems":[{"id":"ITEM-1","itemData":{"author":[{"dropping-particle":"","family":"European Group on Ethics in Science and New Technologies to the European Commission (EGE)","given":"","non-dropping-particle":"","parse-names":false,"suffix":""}],"id":"ITEM-1","issued":{"date-parts":[["2009"]]},"title":"Ethics of Synthetic Biology. Opinion of the European Group on Ethics in Science and New Technologies to the European Commission.","type":"article"},"uris":["http://www.mendeley.com/documents/?uuid=fed69b83-a719-4478-985e-2333a1c92e9e"]}],"mendeley":{"formattedCitation":"(European Group on Ethics in Science and New Technologies to the European Commission (EGE), 2009)","manualFormatting":"(EGE, 2009","plainTextFormattedCitation":"(European Group on Ethics in Science and New Technologies to the European Commission (EGE), 2009)","previouslyFormattedCitation":"(European Group on Ethics in Science and New Technologies to the European Commission (EGE), 2009)"},"properties":{"noteIndex":0},"schema":"https://github.com/citation-style-language/schema/raw/master/csl-citation.json"}</w:instrText>
      </w:r>
      <w:r w:rsidR="00931DC1">
        <w:rPr>
          <w:rFonts w:ascii="Times New Roman" w:hAnsi="Times New Roman" w:cs="Calibri"/>
          <w:color w:val="000000" w:themeColor="text1"/>
          <w:lang w:eastAsia="ar-SA"/>
        </w:rPr>
        <w:fldChar w:fldCharType="separate"/>
      </w:r>
      <w:r w:rsidR="00931DC1" w:rsidRPr="00931DC1">
        <w:rPr>
          <w:rFonts w:ascii="Times New Roman" w:hAnsi="Times New Roman" w:cs="Calibri"/>
          <w:noProof/>
          <w:color w:val="000000" w:themeColor="text1"/>
          <w:lang w:eastAsia="ar-SA"/>
        </w:rPr>
        <w:t>(</w:t>
      </w:r>
      <w:r w:rsidR="00931DC1">
        <w:rPr>
          <w:rFonts w:ascii="Times New Roman" w:hAnsi="Times New Roman" w:cs="Calibri"/>
          <w:noProof/>
          <w:color w:val="000000" w:themeColor="text1"/>
          <w:lang w:eastAsia="ar-SA"/>
        </w:rPr>
        <w:t>EGE, 2009</w:t>
      </w:r>
      <w:r w:rsidR="00931DC1">
        <w:rPr>
          <w:rFonts w:ascii="Times New Roman" w:hAnsi="Times New Roman" w:cs="Calibri"/>
          <w:color w:val="000000" w:themeColor="text1"/>
          <w:lang w:eastAsia="ar-SA"/>
        </w:rPr>
        <w:fldChar w:fldCharType="end"/>
      </w:r>
      <w:r w:rsidRPr="36140518">
        <w:rPr>
          <w:rFonts w:ascii="Times New Roman" w:hAnsi="Times New Roman" w:cs="Calibri"/>
          <w:color w:val="000000" w:themeColor="text1"/>
          <w:lang w:eastAsia="ar-SA"/>
        </w:rPr>
        <w:t>).</w:t>
      </w:r>
    </w:p>
    <w:p w14:paraId="4B1243C5" w14:textId="0422A618" w:rsidR="00DF10E9" w:rsidRDefault="009455DB" w:rsidP="488716CB">
      <w:pPr>
        <w:spacing w:before="120" w:after="120" w:line="240" w:lineRule="auto"/>
        <w:jc w:val="both"/>
        <w:rPr>
          <w:rFonts w:ascii="Times New Roman" w:eastAsia="SimSun" w:hAnsi="Times New Roman" w:cs="Calibri"/>
          <w:color w:val="000000" w:themeColor="text1"/>
          <w:lang w:eastAsia="hi-IN" w:bidi="hi-IN"/>
        </w:rPr>
      </w:pPr>
      <w:r w:rsidRPr="36140518">
        <w:rPr>
          <w:rFonts w:ascii="Times New Roman" w:eastAsia="SimSun" w:hAnsi="Times New Roman" w:cs="Calibri"/>
          <w:color w:val="000000" w:themeColor="text1"/>
          <w:lang w:eastAsia="hi-IN" w:bidi="hi-IN"/>
        </w:rPr>
        <w:t xml:space="preserve">Questions of synthetic biology’s impact on attitudes to biodiversity and conservation continue to be asked, especially around how synthetic biology will change </w:t>
      </w:r>
      <w:r w:rsidRPr="36140518">
        <w:rPr>
          <w:rFonts w:ascii="Times New Roman" w:hAnsi="Times New Roman"/>
          <w:color w:val="000000" w:themeColor="text1"/>
          <w:lang w:eastAsia="ar-SA"/>
        </w:rPr>
        <w:t>public</w:t>
      </w:r>
      <w:r w:rsidRPr="36140518">
        <w:rPr>
          <w:rFonts w:ascii="Times New Roman" w:eastAsia="SimSun" w:hAnsi="Times New Roman" w:cs="Calibri"/>
          <w:color w:val="000000" w:themeColor="text1"/>
          <w:lang w:eastAsia="hi-IN" w:bidi="hi-IN"/>
        </w:rPr>
        <w:t xml:space="preserve"> perceptions of what is natural, and if it will “challenge the ethical basis for conservation action” </w:t>
      </w:r>
      <w:r w:rsidR="00931DC1">
        <w:rPr>
          <w:rFonts w:ascii="Times New Roman" w:eastAsia="SimSun" w:hAnsi="Times New Roman" w:cs="Calibri"/>
          <w:color w:val="000000" w:themeColor="text1"/>
          <w:lang w:eastAsia="hi-IN" w:bidi="hi-IN"/>
        </w:rPr>
        <w:fldChar w:fldCharType="begin" w:fldLock="1"/>
      </w:r>
      <w:r w:rsidR="00931DC1">
        <w:rPr>
          <w:rFonts w:ascii="Times New Roman" w:eastAsia="SimSun" w:hAnsi="Times New Roman" w:cs="Calibri"/>
          <w:color w:val="000000" w:themeColor="text1"/>
          <w:lang w:eastAsia="hi-IN" w:bidi="hi-IN"/>
        </w:rPr>
        <w:instrText>ADDIN CSL_CITATION {"citationItems":[{"id":"ITEM-1","itemData":{"DOI":"10.1371/journal.pbio.1001530","ISSN":"1545-7885","author":[{"dropping-particle":"","family":"Redford","given":"Kent H.","non-dropping-particle":"","parse-names":false,"suffix":""},{"dropping-particle":"","family":"Adams","given":"William","non-dropping-particle":"","parse-names":false,"suffix":""},{"dropping-particle":"","family":"Mace","given":"Georgina M.","non-dropping-particle":"","parse-names":false,"suffix":""}],"container-title":"PLoS Biology","id":"ITEM-1","issue":"4","issued":{"date-parts":[["2013","4","2"]]},"page":"e1001530","title":"Synthetic Biology and Conservation of Nature: Wicked Problems and Wicked Solutions","type":"article-journal","volume":"11"},"uris":["http://www.mendeley.com/documents/?uuid=fa176fff-56a2-4e83-b4d9-af67191a4d9a"]}],"mendeley":{"formattedCitation":"(Redford et al., 2013)","plainTextFormattedCitation":"(Redford et al., 2013)","previouslyFormattedCitation":"(Redford et al., 2013)"},"properties":{"noteIndex":0},"schema":"https://github.com/citation-style-language/schema/raw/master/csl-citation.json"}</w:instrText>
      </w:r>
      <w:r w:rsidR="00931DC1">
        <w:rPr>
          <w:rFonts w:ascii="Times New Roman" w:eastAsia="SimSun" w:hAnsi="Times New Roman" w:cs="Calibri"/>
          <w:color w:val="000000" w:themeColor="text1"/>
          <w:lang w:eastAsia="hi-IN" w:bidi="hi-IN"/>
        </w:rPr>
        <w:fldChar w:fldCharType="separate"/>
      </w:r>
      <w:r w:rsidR="00931DC1" w:rsidRPr="00931DC1">
        <w:rPr>
          <w:rFonts w:ascii="Times New Roman" w:eastAsia="SimSun" w:hAnsi="Times New Roman" w:cs="Calibri"/>
          <w:noProof/>
          <w:color w:val="000000" w:themeColor="text1"/>
          <w:lang w:eastAsia="hi-IN" w:bidi="hi-IN"/>
        </w:rPr>
        <w:t>(Redford et al., 2013)</w:t>
      </w:r>
      <w:r w:rsidR="00931DC1">
        <w:rPr>
          <w:rFonts w:ascii="Times New Roman" w:eastAsia="SimSun" w:hAnsi="Times New Roman" w:cs="Calibri"/>
          <w:color w:val="000000" w:themeColor="text1"/>
          <w:lang w:eastAsia="hi-IN" w:bidi="hi-IN"/>
        </w:rPr>
        <w:fldChar w:fldCharType="end"/>
      </w:r>
      <w:r w:rsidRPr="36140518">
        <w:rPr>
          <w:rFonts w:ascii="Times New Roman" w:eastAsia="SimSun" w:hAnsi="Times New Roman" w:cs="Calibri"/>
          <w:color w:val="000000" w:themeColor="text1"/>
          <w:lang w:eastAsia="hi-IN" w:bidi="hi-IN"/>
        </w:rPr>
        <w:t xml:space="preserve">. </w:t>
      </w:r>
      <w:r>
        <w:rPr>
          <w:rFonts w:ascii="Times New Roman" w:eastAsia="SimSun" w:hAnsi="Times New Roman" w:cs="Calibri"/>
          <w:color w:val="000000" w:themeColor="text1"/>
          <w:lang w:eastAsia="hi-IN" w:bidi="hi-IN"/>
        </w:rPr>
        <w:t>It has been</w:t>
      </w:r>
      <w:r w:rsidRPr="36140518">
        <w:rPr>
          <w:rFonts w:ascii="Times New Roman" w:eastAsia="SimSun" w:hAnsi="Times New Roman" w:cs="Calibri"/>
          <w:color w:val="000000" w:themeColor="text1"/>
          <w:lang w:eastAsia="hi-IN" w:bidi="hi-IN"/>
        </w:rPr>
        <w:t xml:space="preserve"> speculate</w:t>
      </w:r>
      <w:r>
        <w:rPr>
          <w:rFonts w:ascii="Times New Roman" w:eastAsia="SimSun" w:hAnsi="Times New Roman" w:cs="Calibri"/>
          <w:color w:val="000000" w:themeColor="text1"/>
          <w:lang w:eastAsia="hi-IN" w:bidi="hi-IN"/>
        </w:rPr>
        <w:t>d</w:t>
      </w:r>
      <w:r w:rsidRPr="36140518">
        <w:rPr>
          <w:rFonts w:ascii="Times New Roman" w:eastAsia="SimSun" w:hAnsi="Times New Roman" w:cs="Calibri"/>
          <w:color w:val="000000" w:themeColor="text1"/>
          <w:lang w:eastAsia="hi-IN" w:bidi="hi-IN"/>
        </w:rPr>
        <w:t xml:space="preserve"> that synthetic biology could “encourage an inaccurate model of biodiversity protection as maintaining an inventory of biological units” </w:t>
      </w:r>
      <w:r w:rsidR="00931DC1">
        <w:rPr>
          <w:rFonts w:ascii="Times New Roman" w:eastAsia="SimSun" w:hAnsi="Times New Roman" w:cs="Calibri"/>
          <w:color w:val="000000" w:themeColor="text1"/>
          <w:lang w:eastAsia="hi-IN" w:bidi="hi-IN"/>
        </w:rPr>
        <w:fldChar w:fldCharType="begin" w:fldLock="1"/>
      </w:r>
      <w:r w:rsidR="007779E0">
        <w:rPr>
          <w:rFonts w:ascii="Times New Roman" w:eastAsia="SimSun" w:hAnsi="Times New Roman" w:cs="Calibri"/>
          <w:color w:val="000000" w:themeColor="text1"/>
          <w:lang w:eastAsia="hi-IN" w:bidi="hi-IN"/>
        </w:rPr>
        <w:instrText>ADDIN CSL_CITATION {"citationItems":[{"id":"ITEM-1","itemData":{"author":[{"dropping-particle":"","family":"Norton","given":"Brain","non-dropping-particle":"","parse-names":false,"suffix":""}],"id":"ITEM-1","issued":{"date-parts":[["2010"]]},"title":"Transcript from Meeting 2, Session 5 of the US Presidential Commission on Bioethics","type":"paper-conference"},"uris":["http://www.mendeley.com/documents/?uuid=4d0209d4-9f2a-4d08-aa78-eabf2992ecc8"]}],"mendeley":{"formattedCitation":"(Norton, 2010)","plainTextFormattedCitation":"(Norton, 2010)","previouslyFormattedCitation":"(Norton, 2010)"},"properties":{"noteIndex":0},"schema":"https://github.com/citation-style-language/schema/raw/master/csl-citation.json"}</w:instrText>
      </w:r>
      <w:r w:rsidR="00931DC1">
        <w:rPr>
          <w:rFonts w:ascii="Times New Roman" w:eastAsia="SimSun" w:hAnsi="Times New Roman" w:cs="Calibri"/>
          <w:color w:val="000000" w:themeColor="text1"/>
          <w:lang w:eastAsia="hi-IN" w:bidi="hi-IN"/>
        </w:rPr>
        <w:fldChar w:fldCharType="separate"/>
      </w:r>
      <w:r w:rsidR="00931DC1" w:rsidRPr="00931DC1">
        <w:rPr>
          <w:rFonts w:ascii="Times New Roman" w:eastAsia="SimSun" w:hAnsi="Times New Roman" w:cs="Calibri"/>
          <w:noProof/>
          <w:color w:val="000000" w:themeColor="text1"/>
          <w:lang w:eastAsia="hi-IN" w:bidi="hi-IN"/>
        </w:rPr>
        <w:t>(Norton, 2010)</w:t>
      </w:r>
      <w:r w:rsidR="00931DC1">
        <w:rPr>
          <w:rFonts w:ascii="Times New Roman" w:eastAsia="SimSun" w:hAnsi="Times New Roman" w:cs="Calibri"/>
          <w:color w:val="000000" w:themeColor="text1"/>
          <w:lang w:eastAsia="hi-IN" w:bidi="hi-IN"/>
        </w:rPr>
        <w:fldChar w:fldCharType="end"/>
      </w:r>
      <w:r w:rsidRPr="36140518">
        <w:rPr>
          <w:rFonts w:ascii="Times New Roman" w:eastAsia="SimSun" w:hAnsi="Times New Roman" w:cs="Calibri"/>
          <w:color w:val="000000" w:themeColor="text1"/>
          <w:lang w:eastAsia="hi-IN" w:bidi="hi-IN"/>
        </w:rPr>
        <w:t xml:space="preserve">. Building on this, Redford </w:t>
      </w:r>
      <w:r w:rsidRPr="36140518">
        <w:rPr>
          <w:rFonts w:ascii="Times New Roman" w:eastAsia="SimSun" w:hAnsi="Times New Roman" w:cs="Calibri"/>
          <w:i/>
          <w:iCs/>
          <w:color w:val="000000" w:themeColor="text1"/>
          <w:lang w:eastAsia="hi-IN" w:bidi="hi-IN"/>
        </w:rPr>
        <w:t>et al.</w:t>
      </w:r>
      <w:r>
        <w:rPr>
          <w:rFonts w:ascii="Times New Roman" w:eastAsia="SimSun" w:hAnsi="Times New Roman" w:cs="Calibri"/>
          <w:color w:val="000000" w:themeColor="text1"/>
          <w:lang w:eastAsia="hi-IN" w:bidi="hi-IN"/>
        </w:rPr>
        <w:t xml:space="preserve"> </w:t>
      </w:r>
      <w:r w:rsidR="004847D7">
        <w:rPr>
          <w:rFonts w:ascii="Times New Roman" w:eastAsia="SimSun" w:hAnsi="Times New Roman" w:cs="Calibri"/>
          <w:color w:val="000000" w:themeColor="text1"/>
          <w:lang w:eastAsia="hi-IN" w:bidi="hi-IN"/>
        </w:rPr>
        <w:t>(2013)</w:t>
      </w:r>
      <w:r w:rsidRPr="36140518">
        <w:rPr>
          <w:rFonts w:ascii="Times New Roman" w:eastAsia="SimSun" w:hAnsi="Times New Roman" w:cs="Calibri"/>
          <w:i/>
          <w:iCs/>
          <w:color w:val="000000" w:themeColor="text1"/>
          <w:lang w:eastAsia="hi-IN" w:bidi="hi-IN"/>
        </w:rPr>
        <w:t xml:space="preserve"> </w:t>
      </w:r>
      <w:r w:rsidRPr="36140518">
        <w:rPr>
          <w:rFonts w:ascii="Times New Roman" w:eastAsia="SimSun" w:hAnsi="Times New Roman" w:cs="Calibri"/>
          <w:color w:val="000000" w:themeColor="text1"/>
          <w:lang w:eastAsia="hi-IN" w:bidi="hi-IN"/>
        </w:rPr>
        <w:t>note</w:t>
      </w:r>
      <w:r>
        <w:rPr>
          <w:rFonts w:ascii="Times New Roman" w:eastAsia="SimSun" w:hAnsi="Times New Roman" w:cs="Calibri"/>
          <w:color w:val="000000" w:themeColor="text1"/>
          <w:lang w:eastAsia="hi-IN" w:bidi="hi-IN"/>
        </w:rPr>
        <w:t>d</w:t>
      </w:r>
      <w:r w:rsidRPr="36140518">
        <w:rPr>
          <w:rFonts w:ascii="Times New Roman" w:eastAsia="SimSun" w:hAnsi="Times New Roman" w:cs="Calibri"/>
          <w:color w:val="000000" w:themeColor="text1"/>
          <w:lang w:eastAsia="hi-IN" w:bidi="hi-IN"/>
        </w:rPr>
        <w:t xml:space="preserve"> the increasing importance of ecosystem services in valuing biodiversity,</w:t>
      </w:r>
      <w:r w:rsidR="00534EC1">
        <w:rPr>
          <w:rFonts w:ascii="Times New Roman" w:eastAsia="SimSun" w:hAnsi="Times New Roman" w:cs="Calibri"/>
          <w:color w:val="000000" w:themeColor="text1"/>
          <w:lang w:eastAsia="hi-IN" w:bidi="hi-IN"/>
        </w:rPr>
        <w:t xml:space="preserve"> </w:t>
      </w:r>
      <w:r w:rsidRPr="36140518">
        <w:rPr>
          <w:rFonts w:ascii="Times New Roman" w:eastAsia="SimSun" w:hAnsi="Times New Roman" w:cs="Calibri"/>
          <w:color w:val="000000" w:themeColor="text1"/>
          <w:lang w:eastAsia="hi-IN" w:bidi="hi-IN"/>
        </w:rPr>
        <w:t>and ask</w:t>
      </w:r>
      <w:r>
        <w:rPr>
          <w:rFonts w:ascii="Times New Roman" w:eastAsia="SimSun" w:hAnsi="Times New Roman" w:cs="Calibri"/>
          <w:color w:val="000000" w:themeColor="text1"/>
          <w:lang w:eastAsia="hi-IN" w:bidi="hi-IN"/>
        </w:rPr>
        <w:t>ed</w:t>
      </w:r>
      <w:r w:rsidRPr="36140518">
        <w:rPr>
          <w:rFonts w:ascii="Times New Roman" w:eastAsia="SimSun" w:hAnsi="Times New Roman" w:cs="Calibri"/>
          <w:color w:val="000000" w:themeColor="text1"/>
          <w:lang w:eastAsia="hi-IN" w:bidi="hi-IN"/>
        </w:rPr>
        <w:t xml:space="preserve"> what will happen if ecosystems with synthesised elements are able to out-compete natural ecosystems, “delivering more services with less biodiversity”. </w:t>
      </w:r>
      <w:r w:rsidR="00A75BD5">
        <w:rPr>
          <w:rFonts w:ascii="Times New Roman" w:eastAsia="SimSun" w:hAnsi="Times New Roman" w:cs="Calibri"/>
          <w:color w:val="000000" w:themeColor="text1"/>
          <w:lang w:eastAsia="hi-IN" w:bidi="hi-IN"/>
        </w:rPr>
        <w:t xml:space="preserve">More recently, the debate about the potential use of synthetic biology </w:t>
      </w:r>
      <w:r w:rsidR="00164632">
        <w:rPr>
          <w:rFonts w:ascii="Times New Roman" w:eastAsia="SimSun" w:hAnsi="Times New Roman" w:cs="Calibri"/>
          <w:color w:val="000000" w:themeColor="text1"/>
          <w:lang w:eastAsia="hi-IN" w:bidi="hi-IN"/>
        </w:rPr>
        <w:t xml:space="preserve">with </w:t>
      </w:r>
      <w:r w:rsidR="00593951">
        <w:rPr>
          <w:rFonts w:ascii="Times New Roman" w:eastAsia="SimSun" w:hAnsi="Times New Roman" w:cs="Calibri"/>
          <w:color w:val="000000" w:themeColor="text1"/>
          <w:lang w:eastAsia="hi-IN" w:bidi="hi-IN"/>
        </w:rPr>
        <w:t xml:space="preserve">engineered gene drives have raised </w:t>
      </w:r>
      <w:r w:rsidR="00A1602D">
        <w:rPr>
          <w:rFonts w:ascii="Times New Roman" w:eastAsia="SimSun" w:hAnsi="Times New Roman" w:cs="Calibri"/>
          <w:color w:val="000000" w:themeColor="text1"/>
          <w:lang w:eastAsia="hi-IN" w:bidi="hi-IN"/>
        </w:rPr>
        <w:t xml:space="preserve">concerns not only about the potential impacts on biodiversity, but also ethical concerns about who will/should decide on the use of an application that could potentially spread </w:t>
      </w:r>
      <w:r w:rsidR="00FD4C12">
        <w:rPr>
          <w:rFonts w:ascii="Times New Roman" w:eastAsia="SimSun" w:hAnsi="Times New Roman" w:cs="Calibri"/>
          <w:color w:val="000000" w:themeColor="text1"/>
          <w:lang w:eastAsia="hi-IN" w:bidi="hi-IN"/>
        </w:rPr>
        <w:t xml:space="preserve">across national borders. The scenario of a country approving the application and neighbouring country restricting its use is </w:t>
      </w:r>
      <w:r w:rsidR="003C5434">
        <w:rPr>
          <w:rFonts w:ascii="Times New Roman" w:eastAsia="SimSun" w:hAnsi="Times New Roman" w:cs="Calibri"/>
          <w:color w:val="000000" w:themeColor="text1"/>
          <w:lang w:eastAsia="hi-IN" w:bidi="hi-IN"/>
        </w:rPr>
        <w:t>feasible and</w:t>
      </w:r>
      <w:r w:rsidR="00534EC1">
        <w:rPr>
          <w:rFonts w:ascii="Times New Roman" w:eastAsia="SimSun" w:hAnsi="Times New Roman" w:cs="Calibri"/>
          <w:color w:val="000000" w:themeColor="text1"/>
          <w:lang w:eastAsia="hi-IN" w:bidi="hi-IN"/>
        </w:rPr>
        <w:t xml:space="preserve"> raise</w:t>
      </w:r>
      <w:r w:rsidR="001D357A">
        <w:rPr>
          <w:rFonts w:ascii="Times New Roman" w:eastAsia="SimSun" w:hAnsi="Times New Roman" w:cs="Calibri"/>
          <w:color w:val="000000" w:themeColor="text1"/>
          <w:lang w:eastAsia="hi-IN" w:bidi="hi-IN"/>
        </w:rPr>
        <w:t>s</w:t>
      </w:r>
      <w:r w:rsidR="00534EC1">
        <w:rPr>
          <w:rFonts w:ascii="Times New Roman" w:eastAsia="SimSun" w:hAnsi="Times New Roman" w:cs="Calibri"/>
          <w:color w:val="000000" w:themeColor="text1"/>
          <w:lang w:eastAsia="hi-IN" w:bidi="hi-IN"/>
        </w:rPr>
        <w:t xml:space="preserve"> questions about governance and ethical issues</w:t>
      </w:r>
      <w:r w:rsidR="00BF07B7">
        <w:rPr>
          <w:rFonts w:ascii="Times New Roman" w:eastAsia="SimSun" w:hAnsi="Times New Roman" w:cs="Calibri"/>
          <w:color w:val="000000" w:themeColor="text1"/>
          <w:lang w:eastAsia="hi-IN" w:bidi="hi-IN"/>
        </w:rPr>
        <w:t xml:space="preserve"> that could be also related with the FPIC </w:t>
      </w:r>
      <w:r w:rsidR="00BF07B7" w:rsidRPr="00DF10E9">
        <w:rPr>
          <w:rFonts w:ascii="Times New Roman" w:eastAsia="SimSun" w:hAnsi="Times New Roman" w:cs="Calibri"/>
          <w:color w:val="000000" w:themeColor="text1"/>
          <w:lang w:eastAsia="hi-IN" w:bidi="hi-IN"/>
        </w:rPr>
        <w:t>(see</w:t>
      </w:r>
      <w:r w:rsidR="00E64866" w:rsidRPr="00DF10E9">
        <w:rPr>
          <w:rFonts w:ascii="Times New Roman" w:eastAsia="SimSun" w:hAnsi="Times New Roman" w:cs="Calibri"/>
          <w:color w:val="000000" w:themeColor="text1"/>
          <w:lang w:eastAsia="hi-IN" w:bidi="hi-IN"/>
        </w:rPr>
        <w:t xml:space="preserve"> </w:t>
      </w:r>
      <w:r w:rsidR="00DF10E9">
        <w:rPr>
          <w:rFonts w:ascii="Times New Roman" w:eastAsia="SimSun" w:hAnsi="Times New Roman" w:cs="Calibri"/>
          <w:color w:val="000000" w:themeColor="text1"/>
          <w:lang w:eastAsia="hi-IN" w:bidi="hi-IN"/>
        </w:rPr>
        <w:t xml:space="preserve">Section </w:t>
      </w:r>
      <w:r w:rsidR="00DF10E9" w:rsidRPr="00DF10E9">
        <w:rPr>
          <w:rFonts w:ascii="Times New Roman" w:eastAsia="SimSun" w:hAnsi="Times New Roman" w:cs="Calibri"/>
          <w:color w:val="000000" w:themeColor="text1"/>
          <w:lang w:eastAsia="hi-IN" w:bidi="hi-IN"/>
        </w:rPr>
        <w:t>7</w:t>
      </w:r>
      <w:r w:rsidR="00E64866" w:rsidRPr="00DF10E9">
        <w:rPr>
          <w:rFonts w:ascii="Times New Roman" w:eastAsia="SimSun" w:hAnsi="Times New Roman" w:cs="Calibri"/>
          <w:color w:val="000000" w:themeColor="text1"/>
          <w:lang w:eastAsia="hi-IN" w:bidi="hi-IN"/>
        </w:rPr>
        <w:t>.1.2)</w:t>
      </w:r>
      <w:r w:rsidR="00E64866">
        <w:rPr>
          <w:rFonts w:ascii="Times New Roman" w:eastAsia="SimSun" w:hAnsi="Times New Roman" w:cs="Calibri"/>
          <w:color w:val="000000" w:themeColor="text1"/>
          <w:lang w:eastAsia="hi-IN" w:bidi="hi-IN"/>
        </w:rPr>
        <w:t>.</w:t>
      </w:r>
    </w:p>
    <w:p w14:paraId="2FA04258" w14:textId="646FC666" w:rsidR="009455DB" w:rsidRDefault="009455DB" w:rsidP="488716CB">
      <w:pPr>
        <w:spacing w:before="120" w:after="120" w:line="240" w:lineRule="auto"/>
        <w:jc w:val="both"/>
        <w:rPr>
          <w:rFonts w:ascii="Times New Roman" w:hAnsi="Times New Roman" w:cs="Calibri"/>
          <w:color w:val="000000" w:themeColor="text1"/>
          <w:lang w:eastAsia="ar-SA"/>
        </w:rPr>
      </w:pPr>
      <w:r w:rsidRPr="36140518">
        <w:rPr>
          <w:rFonts w:ascii="Times New Roman" w:hAnsi="Times New Roman" w:cs="Calibri"/>
          <w:color w:val="000000" w:themeColor="text1"/>
          <w:lang w:eastAsia="ar-SA"/>
        </w:rPr>
        <w:t>Synthetic biology is seen by some to raise ethical issues related to intellectual property (IP) rights; others consider synthetic biology as a way to avoid ethical challenges to ‘patenting life</w:t>
      </w:r>
      <w:r>
        <w:rPr>
          <w:rFonts w:ascii="Times New Roman" w:hAnsi="Times New Roman" w:cs="Calibri"/>
          <w:color w:val="000000" w:themeColor="text1"/>
          <w:lang w:eastAsia="ar-SA"/>
        </w:rPr>
        <w:t>’ or to bypass benefit sharing obligations associated with the utilisation of genetic resources</w:t>
      </w:r>
      <w:r w:rsidRPr="36140518">
        <w:rPr>
          <w:rFonts w:ascii="Times New Roman" w:hAnsi="Times New Roman" w:cs="Calibri"/>
          <w:color w:val="000000" w:themeColor="text1"/>
          <w:lang w:eastAsia="ar-SA"/>
        </w:rPr>
        <w:t xml:space="preserve">. </w:t>
      </w:r>
      <w:r w:rsidRPr="00636DD0">
        <w:rPr>
          <w:rFonts w:ascii="Times New Roman" w:hAnsi="Times New Roman" w:cs="Calibri"/>
          <w:color w:val="000000" w:themeColor="text1"/>
          <w:lang w:eastAsia="ar-SA"/>
        </w:rPr>
        <w:t xml:space="preserve">Considerations of justice include the distribution of material and non-material goods. The application of intellectual property rights to synthetic biology, such as patents on DNA sequences or organisms resulting from synthetic biology, could restrict the global distribution of products and knowledge </w:t>
      </w:r>
      <w:r w:rsidR="007779E0">
        <w:rPr>
          <w:rFonts w:ascii="Times New Roman" w:hAnsi="Times New Roman" w:cs="Calibri"/>
          <w:color w:val="000000" w:themeColor="text1"/>
          <w:lang w:eastAsia="ar-SA"/>
        </w:rPr>
        <w:fldChar w:fldCharType="begin" w:fldLock="1"/>
      </w:r>
      <w:r w:rsidR="00442EDD">
        <w:rPr>
          <w:rFonts w:ascii="Times New Roman" w:hAnsi="Times New Roman" w:cs="Calibri"/>
          <w:color w:val="000000" w:themeColor="text1"/>
          <w:lang w:eastAsia="ar-SA"/>
        </w:rPr>
        <w:instrText>ADDIN CSL_CITATION {"citationItems":[{"id":"ITEM-1","itemData":{"author":[{"dropping-particle":"","family":"International Civil Society Working Group on Synthetic Biology (ICSWGSB)","given":"","non-dropping-particle":"","parse-names":false,"suffix":""}],"id":"ITEM-1","issued":{"date-parts":[["2011"]]},"title":"A Submission to the Convention on Biological Diversity’s Subsidiary Body on Scientific, Technical and Technological Advice (SBSTTA) on the Potential Impacts of Synthetic Biology on the Conservation and Use of Synthetic Biology","type":"article"},"uris":["http://www.mendeley.com/documents/?uuid=ff3946f2-48fc-492a-9b5c-9b57471009a8"]},{"id":"ITEM-2","itemData":{"DOI":"10.1007/978-90-481-2678-1_6","author":[{"dropping-particle":"","family":"Schmidt","given":"Markus","non-dropping-particle":"","parse-names":false,"suffix":""}],"container-title":"Synthetic Biology","id":"ITEM-2","issued":{"date-parts":[["2009"]]},"page":"81-100","publisher":"Springer Netherlands","publisher-place":"Dordrecht","title":"Do I Understand What I Can Create?","type":"chapter"},"uris":["http://www.mendeley.com/documents/?uuid=847092bd-64c9-48cb-a9d0-0d40c00b2af7"]},{"id":"ITEM-3","itemData":{"author":[{"dropping-particle":"","family":"ENCH","given":"","non-dropping-particle":"","parse-names":false,"suffix":""}],"id":"ITEM-3","issued":{"date-parts":[["2010"]]},"title":"Synthetic biology-Ethical considerations. Report of the Federal Ethics Committee on Non-Human Biotechnology","type":"article"},"uris":["http://www.mendeley.com/documents/?uuid=6b22f84f-7a7c-4975-b646-323b4a7793e0"]}],"mendeley":{"formattedCitation":"(ENCH, 2010; International Civil Society Working Group on Synthetic Biology (ICSWGSB), 2011; Schmidt, 2009)","manualFormatting":"(ENCH, 2010; ICSWGSB, 2011; Schmidt, 2009)","plainTextFormattedCitation":"(ENCH, 2010; International Civil Society Working Group on Synthetic Biology (ICSWGSB), 2011; Schmidt, 2009)","previouslyFormattedCitation":"(ENCH, 2010; International Civil Society Working Group on Synthetic Biology (ICSWGSB), 2011; Schmidt, 2009)"},"properties":{"noteIndex":0},"schema":"https://github.com/citation-style-language/schema/raw/master/csl-citation.json"}</w:instrText>
      </w:r>
      <w:r w:rsidR="007779E0">
        <w:rPr>
          <w:rFonts w:ascii="Times New Roman" w:hAnsi="Times New Roman" w:cs="Calibri"/>
          <w:color w:val="000000" w:themeColor="text1"/>
          <w:lang w:eastAsia="ar-SA"/>
        </w:rPr>
        <w:fldChar w:fldCharType="separate"/>
      </w:r>
      <w:r w:rsidR="00442EDD" w:rsidRPr="00442EDD">
        <w:rPr>
          <w:rFonts w:ascii="Times New Roman" w:hAnsi="Times New Roman" w:cs="Calibri"/>
          <w:noProof/>
          <w:color w:val="000000" w:themeColor="text1"/>
          <w:lang w:eastAsia="ar-SA"/>
        </w:rPr>
        <w:t>(ENCH, 2010; ICSWGSB, 2011; Schmidt, 2009)</w:t>
      </w:r>
      <w:r w:rsidR="007779E0">
        <w:rPr>
          <w:rFonts w:ascii="Times New Roman" w:hAnsi="Times New Roman" w:cs="Calibri"/>
          <w:color w:val="000000" w:themeColor="text1"/>
          <w:lang w:eastAsia="ar-SA"/>
        </w:rPr>
        <w:fldChar w:fldCharType="end"/>
      </w:r>
      <w:r w:rsidRPr="00636DD0">
        <w:rPr>
          <w:rFonts w:ascii="Times New Roman" w:hAnsi="Times New Roman" w:cs="Calibri"/>
          <w:color w:val="000000" w:themeColor="text1"/>
          <w:lang w:eastAsia="ar-SA"/>
        </w:rPr>
        <w:t xml:space="preserve">. </w:t>
      </w:r>
      <w:r w:rsidRPr="00636DD0">
        <w:rPr>
          <w:rFonts w:ascii="Times New Roman" w:hAnsi="Times New Roman"/>
          <w:color w:val="000000" w:themeColor="text1"/>
          <w:lang w:eastAsia="ar-SA"/>
        </w:rPr>
        <w:t>Civil</w:t>
      </w:r>
      <w:r w:rsidRPr="00636DD0">
        <w:rPr>
          <w:rFonts w:ascii="Times New Roman" w:hAnsi="Times New Roman" w:cs="Calibri"/>
          <w:color w:val="000000" w:themeColor="text1"/>
          <w:lang w:eastAsia="ar-SA"/>
        </w:rPr>
        <w:t xml:space="preserve"> society groups strongly critique the way that IP regimes have been used in agricultural biotechnology to concentrate power with a few corporations, and they see similar patterns of use occurring in synthetic biology </w:t>
      </w:r>
      <w:r w:rsidR="00442EDD">
        <w:rPr>
          <w:rFonts w:ascii="Times New Roman" w:hAnsi="Times New Roman" w:cs="Calibri"/>
          <w:color w:val="000000" w:themeColor="text1"/>
          <w:lang w:eastAsia="ar-SA"/>
        </w:rPr>
        <w:fldChar w:fldCharType="begin" w:fldLock="1"/>
      </w:r>
      <w:r w:rsidR="009352B0">
        <w:rPr>
          <w:rFonts w:ascii="Times New Roman" w:hAnsi="Times New Roman" w:cs="Calibri"/>
          <w:color w:val="000000" w:themeColor="text1"/>
          <w:lang w:eastAsia="ar-SA"/>
        </w:rPr>
        <w:instrText>ADDIN CSL_CITATION {"citationItems":[{"id":"ITEM-1","itemData":{"author":[{"dropping-particle":"","family":"ETC Group","given":"","non-dropping-particle":"","parse-names":false,"suffix":""}],"id":"ITEM-1","issued":{"date-parts":[["2010"]]},"title":"The New Biomassters: Synthetic Biology and the Next Assault on Biodiversity and Livelihoods","type":"report"},"uris":["http://www.mendeley.com/documents/?uuid=efb8684f-29a6-4ad1-a7c7-43c6f6e553e5"]},{"id":"ITEM-2","itemData":{"author":[{"dropping-particle":"","family":"(ICSWGSB)","given":"International Civil Society Working Groupon Synthetic Biology","non-dropping-particle":"","parse-names":false,"suffix":""}],"id":"ITEM-2","issued":{"date-parts":[["2011"]]},"title":"A Submission to the Convention on Biological Diversity's Subsidiary Body on Scientific, Technical and Technological Advice (SBSTTA) on the Potential Impacts of Synthetic Biology on the Conservation and Use of Synthetic Biology","type":"article"},"uris":["http://www.mendeley.com/documents/?uuid=1a15b596-7daf-4917-9f7d-1f7d91697ef6"]},{"id":"ITEM-3","itemData":{"author":[{"dropping-particle":"","family":"Friends of the Earth","given":"","non-dropping-particle":"","parse-names":false,"suffix":""}],"id":"ITEM-3","issued":{"date-parts":[["2010"]]},"publisher-place":"Washington (DC), USA","title":"Synthetic Solutions to the Climate Crisis: The Dangers of Synthetic Biology for Biofuels Production","type":"article"},"uris":["http://www.mendeley.com/documents/?uuid=314c87db-d432-4453-9091-4a8525710b13"]}],"mendeley":{"formattedCitation":"((ICSWGSB), 2011; ETC Group, 2010; Friends of the Earth, 2010)","manualFormatting":"(ICSWGSB, 2011; ETC Group, 2010; Friends of the Earth, 2010)","plainTextFormattedCitation":"((ICSWGSB), 2011; ETC Group, 2010; Friends of the Earth, 2010)","previouslyFormattedCitation":"((ICSWGSB), 2011; ETC Group, 2010; Friends of the Earth, 2010)"},"properties":{"noteIndex":0},"schema":"https://github.com/citation-style-language/schema/raw/master/csl-citation.json"}</w:instrText>
      </w:r>
      <w:r w:rsidR="00442EDD">
        <w:rPr>
          <w:rFonts w:ascii="Times New Roman" w:hAnsi="Times New Roman" w:cs="Calibri"/>
          <w:color w:val="000000" w:themeColor="text1"/>
          <w:lang w:eastAsia="ar-SA"/>
        </w:rPr>
        <w:fldChar w:fldCharType="separate"/>
      </w:r>
      <w:r w:rsidR="00442EDD" w:rsidRPr="00442EDD">
        <w:rPr>
          <w:rFonts w:ascii="Times New Roman" w:hAnsi="Times New Roman" w:cs="Calibri"/>
          <w:noProof/>
          <w:color w:val="000000" w:themeColor="text1"/>
          <w:lang w:eastAsia="ar-SA"/>
        </w:rPr>
        <w:t>(ICSWGSB, 2011; ETC Group, 2010; Friends of the Earth, 2010)</w:t>
      </w:r>
      <w:r w:rsidR="00442EDD">
        <w:rPr>
          <w:rFonts w:ascii="Times New Roman" w:hAnsi="Times New Roman" w:cs="Calibri"/>
          <w:color w:val="000000" w:themeColor="text1"/>
          <w:lang w:eastAsia="ar-SA"/>
        </w:rPr>
        <w:fldChar w:fldCharType="end"/>
      </w:r>
      <w:r w:rsidR="00DA306F">
        <w:rPr>
          <w:rFonts w:ascii="Times New Roman" w:hAnsi="Times New Roman" w:cs="Calibri"/>
          <w:color w:val="000000" w:themeColor="text1"/>
          <w:lang w:eastAsia="ar-SA"/>
        </w:rPr>
        <w:t>.</w:t>
      </w:r>
      <w:r w:rsidRPr="00636DD0">
        <w:rPr>
          <w:rFonts w:ascii="Times New Roman" w:hAnsi="Times New Roman" w:cs="Calibri"/>
          <w:color w:val="000000" w:themeColor="text1"/>
          <w:lang w:eastAsia="ar-SA"/>
        </w:rPr>
        <w:t xml:space="preserve"> Using synthetic biology to design and synthesise DNA sequences is also, however, seen by some as a way to avoid ethical and legal challenges – particularly those related to patenting the sequence information of naturally occurring DNA </w:t>
      </w:r>
      <w:r w:rsidR="009352B0">
        <w:rPr>
          <w:rFonts w:ascii="Times New Roman" w:hAnsi="Times New Roman" w:cs="Calibri"/>
          <w:color w:val="000000" w:themeColor="text1"/>
          <w:lang w:eastAsia="ar-SA"/>
        </w:rPr>
        <w:fldChar w:fldCharType="begin" w:fldLock="1"/>
      </w:r>
      <w:r w:rsidR="009352B0">
        <w:rPr>
          <w:rFonts w:ascii="Times New Roman" w:hAnsi="Times New Roman" w:cs="Calibri"/>
          <w:color w:val="000000" w:themeColor="text1"/>
          <w:lang w:eastAsia="ar-SA"/>
        </w:rPr>
        <w:instrText>ADDIN CSL_CITATION {"citationItems":[{"id":"ITEM-1","itemData":{"author":[{"dropping-particle":"","family":"Torrance","given":"Andrew W","non-dropping-particle":"","parse-names":false,"suffix":""}],"container-title":"Minnesota Journal of Law, Science and Technology","id":"ITEM-1","issue":"2","issued":{"date-parts":[["2010"]]},"page":"629-665","title":"Synthesizing Law for Synthetic Biology","type":"article-journal","volume":"11"},"uris":["http://www.mendeley.com/documents/?uuid=97d2e40c-98ee-4bf7-bcd4-da8ca5747463"]}],"mendeley":{"formattedCitation":"(Torrance, 2010)","plainTextFormattedCitation":"(Torrance, 2010)","previouslyFormattedCitation":"(Torrance, 2010)"},"properties":{"noteIndex":0},"schema":"https://github.com/citation-style-language/schema/raw/master/csl-citation.json"}</w:instrText>
      </w:r>
      <w:r w:rsidR="009352B0">
        <w:rPr>
          <w:rFonts w:ascii="Times New Roman" w:hAnsi="Times New Roman" w:cs="Calibri"/>
          <w:color w:val="000000" w:themeColor="text1"/>
          <w:lang w:eastAsia="ar-SA"/>
        </w:rPr>
        <w:fldChar w:fldCharType="separate"/>
      </w:r>
      <w:r w:rsidR="009352B0" w:rsidRPr="009352B0">
        <w:rPr>
          <w:rFonts w:ascii="Times New Roman" w:hAnsi="Times New Roman" w:cs="Calibri"/>
          <w:noProof/>
          <w:color w:val="000000" w:themeColor="text1"/>
          <w:lang w:eastAsia="ar-SA"/>
        </w:rPr>
        <w:t>(Torrance, 2010)</w:t>
      </w:r>
      <w:r w:rsidR="009352B0">
        <w:rPr>
          <w:rFonts w:ascii="Times New Roman" w:hAnsi="Times New Roman" w:cs="Calibri"/>
          <w:color w:val="000000" w:themeColor="text1"/>
          <w:lang w:eastAsia="ar-SA"/>
        </w:rPr>
        <w:fldChar w:fldCharType="end"/>
      </w:r>
      <w:r w:rsidRPr="00636DD0">
        <w:rPr>
          <w:rFonts w:ascii="Times New Roman" w:hAnsi="Times New Roman" w:cs="Calibri"/>
          <w:color w:val="000000" w:themeColor="text1"/>
          <w:lang w:eastAsia="ar-SA"/>
        </w:rPr>
        <w:t>.  The</w:t>
      </w:r>
      <w:r w:rsidRPr="007D727E">
        <w:rPr>
          <w:rFonts w:ascii="Times New Roman" w:hAnsi="Times New Roman" w:cs="Calibri"/>
          <w:color w:val="000000" w:themeColor="text1"/>
          <w:lang w:eastAsia="ar-SA"/>
        </w:rPr>
        <w:t xml:space="preserve"> potential to synthesise </w:t>
      </w:r>
      <w:r>
        <w:rPr>
          <w:rFonts w:ascii="Times New Roman" w:hAnsi="Times New Roman" w:cs="Calibri"/>
          <w:color w:val="000000" w:themeColor="text1"/>
          <w:lang w:eastAsia="ar-SA"/>
        </w:rPr>
        <w:t xml:space="preserve">DNA </w:t>
      </w:r>
      <w:r w:rsidRPr="007D727E">
        <w:rPr>
          <w:rFonts w:ascii="Times New Roman" w:hAnsi="Times New Roman" w:cs="Calibri"/>
          <w:color w:val="000000" w:themeColor="text1"/>
          <w:lang w:eastAsia="ar-SA"/>
        </w:rPr>
        <w:t xml:space="preserve">sequences </w:t>
      </w:r>
      <w:r>
        <w:rPr>
          <w:rFonts w:ascii="Times New Roman" w:hAnsi="Times New Roman" w:cs="Calibri"/>
          <w:color w:val="000000" w:themeColor="text1"/>
          <w:lang w:eastAsia="ar-SA"/>
        </w:rPr>
        <w:t xml:space="preserve">and downstream metabolic intermediates and pathways </w:t>
      </w:r>
      <w:r w:rsidRPr="003D1EEA">
        <w:rPr>
          <w:rFonts w:ascii="Times New Roman" w:hAnsi="Times New Roman" w:cs="Calibri"/>
          <w:color w:val="000000" w:themeColor="text1"/>
          <w:lang w:eastAsia="ar-SA"/>
        </w:rPr>
        <w:t xml:space="preserve">also raises contrasting views regarding equitable access and benefit sharing </w:t>
      </w:r>
      <w:r>
        <w:rPr>
          <w:rFonts w:ascii="Times New Roman" w:hAnsi="Times New Roman" w:cs="Calibri"/>
          <w:color w:val="000000" w:themeColor="text1"/>
          <w:lang w:eastAsia="ar-SA"/>
        </w:rPr>
        <w:t xml:space="preserve">associated with the utilisation of genetic resources </w:t>
      </w:r>
      <w:r w:rsidRPr="003D1EEA">
        <w:rPr>
          <w:rFonts w:ascii="Times New Roman" w:hAnsi="Times New Roman" w:cs="Calibri"/>
          <w:color w:val="000000" w:themeColor="text1"/>
          <w:lang w:eastAsia="ar-SA"/>
        </w:rPr>
        <w:t xml:space="preserve">as is evident in the discussions in several international fora concerning ‘Digital Sequence Information’ </w:t>
      </w:r>
      <w:r>
        <w:rPr>
          <w:rFonts w:ascii="Times New Roman" w:hAnsi="Times New Roman" w:cs="Calibri"/>
          <w:color w:val="000000" w:themeColor="text1"/>
          <w:lang w:eastAsia="ar-SA"/>
        </w:rPr>
        <w:t>which have been informed by</w:t>
      </w:r>
      <w:r w:rsidR="00E56C7F">
        <w:rPr>
          <w:rFonts w:ascii="Times New Roman" w:hAnsi="Times New Roman" w:cs="Calibri"/>
          <w:color w:val="000000" w:themeColor="text1"/>
          <w:lang w:eastAsia="ar-SA"/>
        </w:rPr>
        <w:t xml:space="preserve"> </w:t>
      </w:r>
      <w:r>
        <w:rPr>
          <w:rFonts w:ascii="Times New Roman" w:hAnsi="Times New Roman" w:cs="Calibri"/>
          <w:color w:val="000000" w:themeColor="text1"/>
          <w:lang w:eastAsia="ar-SA"/>
        </w:rPr>
        <w:t xml:space="preserve">deliberations on synthetic biology within the Convention </w:t>
      </w:r>
      <w:r w:rsidRPr="003D1EEA">
        <w:rPr>
          <w:rFonts w:ascii="Times New Roman" w:hAnsi="Times New Roman" w:cs="Calibri"/>
          <w:color w:val="000000" w:themeColor="text1"/>
          <w:lang w:eastAsia="ar-SA"/>
        </w:rPr>
        <w:t xml:space="preserve">(see </w:t>
      </w:r>
      <w:r w:rsidR="00726CA6">
        <w:rPr>
          <w:rFonts w:ascii="Times New Roman" w:hAnsi="Times New Roman" w:cs="Calibri"/>
          <w:color w:val="000000" w:themeColor="text1"/>
          <w:lang w:eastAsia="ar-SA"/>
        </w:rPr>
        <w:t>S</w:t>
      </w:r>
      <w:r w:rsidRPr="003D1EEA">
        <w:rPr>
          <w:rFonts w:ascii="Times New Roman" w:hAnsi="Times New Roman" w:cs="Calibri"/>
          <w:color w:val="000000" w:themeColor="text1"/>
          <w:lang w:eastAsia="ar-SA"/>
        </w:rPr>
        <w:t xml:space="preserve">ection </w:t>
      </w:r>
      <w:r w:rsidR="00726CA6">
        <w:rPr>
          <w:rFonts w:ascii="Times New Roman" w:hAnsi="Times New Roman" w:cs="Calibri"/>
          <w:color w:val="000000" w:themeColor="text1"/>
          <w:lang w:eastAsia="ar-SA"/>
        </w:rPr>
        <w:t>8.1.5.</w:t>
      </w:r>
      <w:r w:rsidRPr="003D1EEA">
        <w:rPr>
          <w:rFonts w:ascii="Times New Roman" w:hAnsi="Times New Roman" w:cs="Calibri"/>
          <w:color w:val="000000" w:themeColor="text1"/>
          <w:lang w:eastAsia="ar-SA"/>
        </w:rPr>
        <w:t xml:space="preserve"> below)</w:t>
      </w:r>
      <w:r w:rsidRPr="007D727E">
        <w:rPr>
          <w:rFonts w:ascii="Times New Roman" w:hAnsi="Times New Roman" w:cs="Calibri"/>
          <w:color w:val="000000" w:themeColor="text1"/>
          <w:lang w:eastAsia="ar-SA"/>
        </w:rPr>
        <w:t>.</w:t>
      </w:r>
      <w:r w:rsidRPr="36140518">
        <w:rPr>
          <w:rFonts w:ascii="Times New Roman" w:eastAsia="SimSun" w:hAnsi="Times New Roman" w:cs="Calibri"/>
          <w:color w:val="000000" w:themeColor="text1"/>
          <w:lang w:eastAsia="hi-IN" w:bidi="hi-IN"/>
        </w:rPr>
        <w:t xml:space="preserve"> </w:t>
      </w:r>
    </w:p>
    <w:p w14:paraId="1785E811" w14:textId="18FB5F2D" w:rsidR="009455DB" w:rsidRDefault="009455DB" w:rsidP="009455DB">
      <w:pPr>
        <w:spacing w:before="120" w:after="120" w:line="240" w:lineRule="auto"/>
        <w:jc w:val="both"/>
        <w:rPr>
          <w:rFonts w:ascii="Times New Roman" w:hAnsi="Times New Roman" w:cs="Calibri"/>
          <w:color w:val="000000" w:themeColor="text1"/>
          <w:lang w:eastAsia="ar-SA"/>
        </w:rPr>
      </w:pPr>
      <w:r w:rsidRPr="36140518">
        <w:rPr>
          <w:rFonts w:ascii="Times New Roman" w:eastAsia="SimSun" w:hAnsi="Times New Roman" w:cs="Calibri"/>
          <w:color w:val="000000" w:themeColor="text1"/>
          <w:lang w:eastAsia="hi-IN" w:bidi="hi-IN"/>
        </w:rPr>
        <w:t xml:space="preserve">Ethical considerations of biodiversity and of how </w:t>
      </w:r>
      <w:r w:rsidR="00882EF2">
        <w:rPr>
          <w:rFonts w:ascii="Times New Roman" w:eastAsia="SimSun" w:hAnsi="Times New Roman" w:cs="Calibri"/>
          <w:color w:val="000000" w:themeColor="text1"/>
          <w:lang w:eastAsia="hi-IN" w:bidi="hi-IN"/>
        </w:rPr>
        <w:t>people</w:t>
      </w:r>
      <w:r w:rsidRPr="36140518">
        <w:rPr>
          <w:rFonts w:ascii="Times New Roman" w:eastAsia="SimSun" w:hAnsi="Times New Roman" w:cs="Calibri"/>
          <w:color w:val="000000" w:themeColor="text1"/>
          <w:lang w:eastAsia="hi-IN" w:bidi="hi-IN"/>
        </w:rPr>
        <w:t xml:space="preserve"> relate to biodiversity are also recognised as important in the context of the CBD. For example, CBD COP10 </w:t>
      </w:r>
      <w:r w:rsidR="3E683BC0" w:rsidRPr="0E4DA854">
        <w:rPr>
          <w:rFonts w:ascii="Times New Roman" w:eastAsia="SimSun" w:hAnsi="Times New Roman" w:cs="Calibri"/>
          <w:color w:val="000000" w:themeColor="text1"/>
          <w:lang w:eastAsia="hi-IN" w:bidi="hi-IN"/>
        </w:rPr>
        <w:t xml:space="preserve">adopted </w:t>
      </w:r>
      <w:r w:rsidRPr="36140518">
        <w:rPr>
          <w:rFonts w:ascii="Times New Roman" w:eastAsia="SimSun" w:hAnsi="Times New Roman" w:cs="Calibri"/>
          <w:color w:val="000000" w:themeColor="text1"/>
          <w:lang w:eastAsia="hi-IN" w:bidi="hi-IN"/>
        </w:rPr>
        <w:t xml:space="preserve">the </w:t>
      </w:r>
      <w:r w:rsidRPr="36140518">
        <w:rPr>
          <w:rFonts w:ascii="Times New Roman" w:hAnsi="Times New Roman" w:cs="Calibri"/>
          <w:i/>
          <w:iCs/>
          <w:color w:val="000000" w:themeColor="text1"/>
          <w:lang w:eastAsia="ar-SA"/>
        </w:rPr>
        <w:t>Tkarihwaié:ri Code of Ethical Conduct to Ensure Respect for the Cultural and Intellectual Heritage of Indigenous and Local Communities</w:t>
      </w:r>
      <w:r w:rsidRPr="36140518">
        <w:rPr>
          <w:rFonts w:ascii="Times New Roman" w:hAnsi="Times New Roman" w:cs="Calibri"/>
          <w:color w:val="000000" w:themeColor="text1"/>
          <w:lang w:eastAsia="ar-SA"/>
        </w:rPr>
        <w:t xml:space="preserve"> (decision X/42). </w:t>
      </w:r>
      <w:r w:rsidRPr="36140518">
        <w:rPr>
          <w:rFonts w:ascii="Times New Roman" w:eastAsia="SimSun" w:hAnsi="Times New Roman" w:cs="Calibri"/>
          <w:color w:val="000000" w:themeColor="text1"/>
          <w:lang w:eastAsia="hi-IN" w:bidi="hi-IN"/>
        </w:rPr>
        <w:t xml:space="preserve">The </w:t>
      </w:r>
      <w:r w:rsidRPr="36140518">
        <w:rPr>
          <w:rFonts w:ascii="Times New Roman" w:hAnsi="Times New Roman" w:cs="Calibri"/>
          <w:i/>
          <w:iCs/>
          <w:color w:val="000000" w:themeColor="text1"/>
          <w:lang w:eastAsia="ar-SA"/>
        </w:rPr>
        <w:t>Tkarihwaié:ri Code</w:t>
      </w:r>
      <w:r w:rsidRPr="36140518">
        <w:rPr>
          <w:rFonts w:ascii="Times New Roman" w:hAnsi="Times New Roman" w:cs="Calibri"/>
          <w:color w:val="000000" w:themeColor="text1"/>
          <w:lang w:eastAsia="ar-SA"/>
        </w:rPr>
        <w:t xml:space="preserve"> identifies general ethical principles, including: prior informed consent and/or approval and involvement of </w:t>
      </w:r>
      <w:r w:rsidR="669EBD15" w:rsidRPr="0E4DA854">
        <w:rPr>
          <w:rFonts w:ascii="Times New Roman" w:hAnsi="Times New Roman" w:cs="Calibri"/>
          <w:color w:val="000000" w:themeColor="text1"/>
          <w:lang w:eastAsia="ar-SA"/>
        </w:rPr>
        <w:t>I</w:t>
      </w:r>
      <w:r w:rsidR="3EB4C3BD" w:rsidRPr="0E4DA854">
        <w:rPr>
          <w:rFonts w:ascii="Times New Roman" w:hAnsi="Times New Roman" w:cs="Calibri"/>
          <w:color w:val="000000" w:themeColor="text1"/>
          <w:lang w:eastAsia="ar-SA"/>
        </w:rPr>
        <w:t>P</w:t>
      </w:r>
      <w:r w:rsidR="669EBD15" w:rsidRPr="0E4DA854">
        <w:rPr>
          <w:rFonts w:ascii="Times New Roman" w:hAnsi="Times New Roman" w:cs="Calibri"/>
          <w:color w:val="000000" w:themeColor="text1"/>
          <w:lang w:eastAsia="ar-SA"/>
        </w:rPr>
        <w:t>LCs</w:t>
      </w:r>
      <w:r w:rsidRPr="36140518">
        <w:rPr>
          <w:rFonts w:ascii="Times New Roman" w:hAnsi="Times New Roman" w:cs="Calibri"/>
          <w:color w:val="000000" w:themeColor="text1"/>
          <w:lang w:eastAsia="ar-SA"/>
        </w:rPr>
        <w:t xml:space="preserve">; the fair and equitable sharing of benefits with </w:t>
      </w:r>
      <w:r w:rsidR="669EBD15" w:rsidRPr="0E4DA854">
        <w:rPr>
          <w:rFonts w:ascii="Times New Roman" w:hAnsi="Times New Roman" w:cs="Calibri"/>
          <w:color w:val="000000" w:themeColor="text1"/>
          <w:lang w:eastAsia="ar-SA"/>
        </w:rPr>
        <w:t>I</w:t>
      </w:r>
      <w:r w:rsidR="2F5E4F58" w:rsidRPr="0E4DA854">
        <w:rPr>
          <w:rFonts w:ascii="Times New Roman" w:hAnsi="Times New Roman" w:cs="Calibri"/>
          <w:color w:val="000000" w:themeColor="text1"/>
          <w:lang w:eastAsia="ar-SA"/>
        </w:rPr>
        <w:t>P</w:t>
      </w:r>
      <w:r w:rsidR="669EBD15" w:rsidRPr="0E4DA854">
        <w:rPr>
          <w:rFonts w:ascii="Times New Roman" w:hAnsi="Times New Roman" w:cs="Calibri"/>
          <w:color w:val="000000" w:themeColor="text1"/>
          <w:lang w:eastAsia="ar-SA"/>
        </w:rPr>
        <w:t>LCs</w:t>
      </w:r>
      <w:r w:rsidRPr="36140518">
        <w:rPr>
          <w:rFonts w:ascii="Times New Roman" w:hAnsi="Times New Roman" w:cs="Calibri"/>
          <w:color w:val="000000" w:themeColor="text1"/>
          <w:lang w:eastAsia="ar-SA"/>
        </w:rPr>
        <w:t xml:space="preserve">; and the precautionary approach, including relevant </w:t>
      </w:r>
      <w:r w:rsidR="669EBD15" w:rsidRPr="0E4DA854">
        <w:rPr>
          <w:rFonts w:ascii="Times New Roman" w:hAnsi="Times New Roman" w:cs="Calibri"/>
          <w:color w:val="000000" w:themeColor="text1"/>
          <w:lang w:eastAsia="ar-SA"/>
        </w:rPr>
        <w:t>I</w:t>
      </w:r>
      <w:r w:rsidR="407BB912" w:rsidRPr="0E4DA854">
        <w:rPr>
          <w:rFonts w:ascii="Times New Roman" w:hAnsi="Times New Roman" w:cs="Calibri"/>
          <w:color w:val="000000" w:themeColor="text1"/>
          <w:lang w:eastAsia="ar-SA"/>
        </w:rPr>
        <w:t>P</w:t>
      </w:r>
      <w:r w:rsidR="669EBD15" w:rsidRPr="0E4DA854">
        <w:rPr>
          <w:rFonts w:ascii="Times New Roman" w:hAnsi="Times New Roman" w:cs="Calibri"/>
          <w:color w:val="000000" w:themeColor="text1"/>
          <w:lang w:eastAsia="ar-SA"/>
        </w:rPr>
        <w:t>LCs</w:t>
      </w:r>
      <w:r w:rsidRPr="36140518">
        <w:rPr>
          <w:rFonts w:ascii="Times New Roman" w:hAnsi="Times New Roman" w:cs="Calibri"/>
          <w:color w:val="000000" w:themeColor="text1"/>
          <w:lang w:eastAsia="ar-SA"/>
        </w:rPr>
        <w:t xml:space="preserve"> and the use of local criteria and indicators in the prediction </w:t>
      </w:r>
      <w:r w:rsidRPr="36140518">
        <w:rPr>
          <w:rFonts w:ascii="Times New Roman" w:hAnsi="Times New Roman"/>
          <w:color w:val="000000" w:themeColor="text1"/>
          <w:lang w:eastAsia="ar-SA"/>
        </w:rPr>
        <w:t>and</w:t>
      </w:r>
      <w:r w:rsidRPr="36140518">
        <w:rPr>
          <w:rFonts w:ascii="Times New Roman" w:hAnsi="Times New Roman" w:cs="Calibri"/>
          <w:color w:val="000000" w:themeColor="text1"/>
          <w:lang w:eastAsia="ar-SA"/>
        </w:rPr>
        <w:t xml:space="preserve"> assessment of potential harms to biodiversity (decision X/42, Annex A, Section 2(A)).</w:t>
      </w:r>
    </w:p>
    <w:p w14:paraId="12D6442F" w14:textId="093A4930" w:rsidR="00821453" w:rsidRDefault="00000C99" w:rsidP="007E6C7C">
      <w:pPr>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E</w:t>
      </w:r>
      <w:r w:rsidR="009455DB" w:rsidRPr="36140518">
        <w:rPr>
          <w:rFonts w:ascii="Times New Roman" w:eastAsia="SimSun" w:hAnsi="Times New Roman" w:cs="Calibri"/>
          <w:color w:val="000000" w:themeColor="text1"/>
          <w:lang w:eastAsia="hi-IN" w:bidi="hi-IN"/>
        </w:rPr>
        <w:t xml:space="preserve">thicists have actively engaged with the new tools and techniques of synthetic biology </w:t>
      </w:r>
      <w:r>
        <w:rPr>
          <w:rFonts w:ascii="Times New Roman" w:eastAsia="SimSun" w:hAnsi="Times New Roman" w:cs="Calibri"/>
          <w:color w:val="000000" w:themeColor="text1"/>
          <w:lang w:eastAsia="hi-IN" w:bidi="hi-IN"/>
        </w:rPr>
        <w:t xml:space="preserve">for more than 20 years </w:t>
      </w:r>
      <w:r w:rsidR="009352B0">
        <w:rPr>
          <w:rFonts w:ascii="Times New Roman" w:eastAsia="SimSun" w:hAnsi="Times New Roman" w:cs="Calibri"/>
          <w:color w:val="000000" w:themeColor="text1"/>
          <w:lang w:eastAsia="hi-IN" w:bidi="hi-IN"/>
        </w:rPr>
        <w:fldChar w:fldCharType="begin" w:fldLock="1"/>
      </w:r>
      <w:r w:rsidR="009352B0">
        <w:rPr>
          <w:rFonts w:ascii="Times New Roman" w:eastAsia="SimSun" w:hAnsi="Times New Roman" w:cs="Calibri"/>
          <w:color w:val="000000" w:themeColor="text1"/>
          <w:lang w:eastAsia="hi-IN" w:bidi="hi-IN"/>
        </w:rPr>
        <w:instrText>ADDIN CSL_CITATION {"citationItems":[{"id":"ITEM-1","itemData":{"DOI":"10.1126/science.286.5447.2087","ISSN":"00368075","PMID":"10617419","author":[{"dropping-particle":"","family":"Cho","given":"Mildred K","non-dropping-particle":"","parse-names":false,"suffix":""},{"dropping-particle":"","family":"Magnus","given":"David","non-dropping-particle":"","parse-names":false,"suffix":""},{"dropping-particle":"","family":"Caplan","given":"Arthur L","non-dropping-particle":"","parse-names":false,"suffix":""},{"dropping-particle":"","family":"McGee","given":"Daniel","non-dropping-particle":"","parse-names":false,"suffix":""}],"container-title":"Science","id":"ITEM-1","issue":"5447","issued":{"date-parts":[["1999"]]},"page":"2087-2090","publisher":"American Association for the Advancement of Science","title":"Ethical considerations in synthesizing a minimal genome","type":"article-journal","volume":"286"},"uris":["http://www.mendeley.com/documents/?uuid=db22b8d6-eb3d-4dae-ad17-bf0e2765872f"]}],"mendeley":{"formattedCitation":"(Cho et al., 1999)","plainTextFormattedCitation":"(Cho et al., 1999)","previouslyFormattedCitation":"(Cho et al., 1999)"},"properties":{"noteIndex":0},"schema":"https://github.com/citation-style-language/schema/raw/master/csl-citation.json"}</w:instrText>
      </w:r>
      <w:r w:rsidR="009352B0">
        <w:rPr>
          <w:rFonts w:ascii="Times New Roman" w:eastAsia="SimSun" w:hAnsi="Times New Roman" w:cs="Calibri"/>
          <w:color w:val="000000" w:themeColor="text1"/>
          <w:lang w:eastAsia="hi-IN" w:bidi="hi-IN"/>
        </w:rPr>
        <w:fldChar w:fldCharType="separate"/>
      </w:r>
      <w:r w:rsidR="009352B0" w:rsidRPr="009352B0">
        <w:rPr>
          <w:rFonts w:ascii="Times New Roman" w:eastAsia="SimSun" w:hAnsi="Times New Roman" w:cs="Calibri"/>
          <w:noProof/>
          <w:color w:val="000000" w:themeColor="text1"/>
          <w:lang w:eastAsia="hi-IN" w:bidi="hi-IN"/>
        </w:rPr>
        <w:t>(Cho et al., 1999)</w:t>
      </w:r>
      <w:r w:rsidR="009352B0">
        <w:rPr>
          <w:rFonts w:ascii="Times New Roman" w:eastAsia="SimSun" w:hAnsi="Times New Roman" w:cs="Calibri"/>
          <w:color w:val="000000" w:themeColor="text1"/>
          <w:lang w:eastAsia="hi-IN" w:bidi="hi-IN"/>
        </w:rPr>
        <w:fldChar w:fldCharType="end"/>
      </w:r>
      <w:r w:rsidR="0003548C">
        <w:rPr>
          <w:rFonts w:ascii="Times New Roman" w:eastAsia="SimSun" w:hAnsi="Times New Roman" w:cs="Calibri"/>
          <w:color w:val="000000" w:themeColor="text1"/>
          <w:lang w:eastAsia="hi-IN" w:bidi="hi-IN"/>
        </w:rPr>
        <w:t>, with the</w:t>
      </w:r>
      <w:r w:rsidR="00723559" w:rsidRPr="00723559">
        <w:rPr>
          <w:rFonts w:ascii="Times New Roman" w:eastAsia="SimSun" w:hAnsi="Times New Roman" w:cs="Calibri"/>
          <w:color w:val="000000" w:themeColor="text1"/>
          <w:lang w:eastAsia="hi-IN" w:bidi="hi-IN"/>
        </w:rPr>
        <w:t xml:space="preserve"> Nuffield Council on Bioethics</w:t>
      </w:r>
      <w:r w:rsidR="0003548C">
        <w:rPr>
          <w:rFonts w:ascii="Times New Roman" w:eastAsia="SimSun" w:hAnsi="Times New Roman" w:cs="Calibri"/>
          <w:color w:val="000000" w:themeColor="text1"/>
          <w:lang w:eastAsia="hi-IN" w:bidi="hi-IN"/>
        </w:rPr>
        <w:t xml:space="preserve"> </w:t>
      </w:r>
      <w:r w:rsidR="009352B0">
        <w:rPr>
          <w:rFonts w:ascii="Times New Roman" w:eastAsia="SimSun" w:hAnsi="Times New Roman" w:cs="Calibri"/>
          <w:color w:val="000000" w:themeColor="text1"/>
          <w:lang w:eastAsia="hi-IN" w:bidi="hi-IN"/>
        </w:rPr>
        <w:fldChar w:fldCharType="begin" w:fldLock="1"/>
      </w:r>
      <w:r w:rsidR="003602A4">
        <w:rPr>
          <w:rFonts w:ascii="Times New Roman" w:eastAsia="SimSun" w:hAnsi="Times New Roman" w:cs="Calibri"/>
          <w:color w:val="000000" w:themeColor="text1"/>
          <w:lang w:eastAsia="hi-IN" w:bidi="hi-IN"/>
        </w:rPr>
        <w:instrText>ADDIN CSL_CITATION {"citationItems":[{"id":"ITEM-1","itemData":{"author":[{"dropping-particle":"","family":"Nuffield Council on Bioethics","given":"","non-dropping-particle":"","parse-names":false,"suffix":""}],"id":"ITEM-1","issued":{"date-parts":[["2016"]]},"title":"Genome editing","type":"article"},"uris":["http://www.mendeley.com/documents/?uuid=1a2a0f0f-9297-47a3-9743-8a1b219fcff7"]}],"mendeley":{"formattedCitation":"(Nuffield Council on Bioethics, 2016)","manualFormatting":"(2016)","plainTextFormattedCitation":"(Nuffield Council on Bioethics, 2016)","previouslyFormattedCitation":"(Nuffield Council on Bioethics, 2016)"},"properties":{"noteIndex":0},"schema":"https://github.com/citation-style-language/schema/raw/master/csl-citation.json"}</w:instrText>
      </w:r>
      <w:r w:rsidR="009352B0">
        <w:rPr>
          <w:rFonts w:ascii="Times New Roman" w:eastAsia="SimSun" w:hAnsi="Times New Roman" w:cs="Calibri"/>
          <w:color w:val="000000" w:themeColor="text1"/>
          <w:lang w:eastAsia="hi-IN" w:bidi="hi-IN"/>
        </w:rPr>
        <w:fldChar w:fldCharType="separate"/>
      </w:r>
      <w:r w:rsidR="003602A4" w:rsidRPr="003602A4">
        <w:rPr>
          <w:rFonts w:ascii="Times New Roman" w:eastAsia="SimSun" w:hAnsi="Times New Roman" w:cs="Calibri"/>
          <w:noProof/>
          <w:color w:val="000000" w:themeColor="text1"/>
          <w:lang w:eastAsia="hi-IN" w:bidi="hi-IN"/>
        </w:rPr>
        <w:t>(2016)</w:t>
      </w:r>
      <w:r w:rsidR="009352B0">
        <w:rPr>
          <w:rFonts w:ascii="Times New Roman" w:eastAsia="SimSun" w:hAnsi="Times New Roman" w:cs="Calibri"/>
          <w:color w:val="000000" w:themeColor="text1"/>
          <w:lang w:eastAsia="hi-IN" w:bidi="hi-IN"/>
        </w:rPr>
        <w:fldChar w:fldCharType="end"/>
      </w:r>
      <w:r w:rsidR="00C6237B">
        <w:rPr>
          <w:rFonts w:ascii="Times New Roman" w:eastAsia="SimSun" w:hAnsi="Times New Roman" w:cs="Calibri"/>
          <w:color w:val="000000" w:themeColor="text1"/>
          <w:lang w:eastAsia="hi-IN" w:bidi="hi-IN"/>
        </w:rPr>
        <w:t xml:space="preserve"> </w:t>
      </w:r>
      <w:r w:rsidR="0003548C">
        <w:rPr>
          <w:rFonts w:ascii="Times New Roman" w:eastAsia="SimSun" w:hAnsi="Times New Roman" w:cs="Calibri"/>
          <w:color w:val="000000" w:themeColor="text1"/>
          <w:lang w:eastAsia="hi-IN" w:bidi="hi-IN"/>
        </w:rPr>
        <w:t>concluding</w:t>
      </w:r>
      <w:r w:rsidR="00723559" w:rsidRPr="00723559">
        <w:rPr>
          <w:rFonts w:ascii="Times New Roman" w:eastAsia="SimSun" w:hAnsi="Times New Roman" w:cs="Calibri"/>
          <w:color w:val="000000" w:themeColor="text1"/>
          <w:lang w:eastAsia="hi-IN" w:bidi="hi-IN"/>
        </w:rPr>
        <w:t xml:space="preserve"> that the ethical debate on synthetic biology is further exacerbated by the novel mode of action, increased accessibility and speed of use and uptake associated with the technologies and platforms provided. </w:t>
      </w:r>
    </w:p>
    <w:p w14:paraId="56DE2DAE" w14:textId="200E10AB" w:rsidR="00B46B35" w:rsidRPr="00C61ABF" w:rsidRDefault="009455DB" w:rsidP="00C61ABF">
      <w:pPr>
        <w:tabs>
          <w:tab w:val="left" w:pos="9090"/>
        </w:tabs>
        <w:spacing w:before="120" w:after="120" w:line="240" w:lineRule="auto"/>
        <w:jc w:val="both"/>
      </w:pPr>
      <w:r w:rsidRPr="36140518">
        <w:rPr>
          <w:rFonts w:ascii="Times New Roman" w:eastAsia="SimSun" w:hAnsi="Times New Roman" w:cs="Calibri"/>
          <w:color w:val="000000" w:themeColor="text1"/>
          <w:lang w:eastAsia="hi-IN" w:bidi="hi-IN"/>
        </w:rPr>
        <w:t xml:space="preserve">Common considerations have </w:t>
      </w:r>
      <w:r w:rsidR="009B12D6">
        <w:rPr>
          <w:rFonts w:ascii="Times New Roman" w:eastAsia="SimSun" w:hAnsi="Times New Roman" w:cs="Calibri"/>
          <w:color w:val="000000" w:themeColor="text1"/>
          <w:lang w:eastAsia="hi-IN" w:bidi="hi-IN"/>
        </w:rPr>
        <w:t xml:space="preserve">for instance </w:t>
      </w:r>
      <w:r w:rsidRPr="36140518">
        <w:rPr>
          <w:rFonts w:ascii="Times New Roman" w:eastAsia="SimSun" w:hAnsi="Times New Roman" w:cs="Calibri"/>
          <w:color w:val="000000" w:themeColor="text1"/>
          <w:lang w:eastAsia="hi-IN" w:bidi="hi-IN"/>
        </w:rPr>
        <w:t xml:space="preserve">included the ethical debate on whether to ban publications of dual use science discoveries and whether synthetic biologists are “playing God” </w:t>
      </w:r>
      <w:r w:rsidR="003602A4">
        <w:rPr>
          <w:rFonts w:ascii="Times New Roman" w:eastAsia="SimSun" w:hAnsi="Times New Roman" w:cs="Calibri"/>
          <w:color w:val="000000" w:themeColor="text1"/>
          <w:lang w:eastAsia="hi-IN" w:bidi="hi-IN"/>
        </w:rPr>
        <w:fldChar w:fldCharType="begin" w:fldLock="1"/>
      </w:r>
      <w:r w:rsidR="003602A4">
        <w:rPr>
          <w:rFonts w:ascii="Times New Roman" w:eastAsia="SimSun" w:hAnsi="Times New Roman" w:cs="Calibri"/>
          <w:color w:val="000000" w:themeColor="text1"/>
          <w:lang w:eastAsia="hi-IN" w:bidi="hi-IN"/>
        </w:rPr>
        <w:instrText>ADDIN CSL_CITATION {"citationItems":[{"id":"ITEM-1","itemData":{"DOI":"10.1038/nbt0408-387","ISSN":"1087-0156","author":[{"dropping-particle":"","family":"Boldt","given":"Joachim","non-dropping-particle":"","parse-names":false,"suffix":""},{"dropping-particle":"","family":"Müller","given":"Oliver","non-dropping-particle":"","parse-names":false,"suffix":""}],"container-title":"Nature Biotechnology","id":"ITEM-1","issue":"4","issued":{"date-parts":[["2008","4"]]},"page":"387-389","title":"Newtons of the leaves of grass","type":"article-journal","volume":"26"},"uris":["http://www.mendeley.com/documents/?uuid=05ec4a89-08ac-446b-abb5-233f785ded0e"]},{"id":"ITEM-2","itemData":{"DOI":"10.1136/jme.2010.038232","ISSN":"0306-6800","author":[{"dropping-particle":"","family":"Douglas","given":"T.","non-dropping-particle":"","parse-names":false,"suffix":""},{"dropping-particle":"","family":"Savulescu","given":"J.","non-dropping-particle":"","parse-names":false,"suffix":""}],"container-title":"Journal of Medical Ethics","id":"ITEM-2","issue":"11","issued":{"date-parts":[["2010","11","1"]]},"page":"687-693","title":"Synthetic biology and the ethics of knowledge","type":"article-journal","volume":"36"},"uris":["http://www.mendeley.com/documents/?uuid=7c381585-1f45-4db9-8aca-3954ebaa912a"]},{"id":"ITEM-3","itemData":{"DOI":"10.1038/nbt1209-1106","ISSN":"1087-0156","author":[{"dropping-particle":"","family":"Kaebnick","given":"Gregory E","non-dropping-particle":"","parse-names":false,"suffix":""}],"container-title":"Nature Biotechnology","id":"ITEM-3","issue":"12","issued":{"date-parts":[["2009","12"]]},"page":"1106-1108","title":"Should moral objections to synthetic biology affect public policy?","type":"article-journal","volume":"27"},"uris":["http://www.mendeley.com/documents/?uuid=367ae531-40ff-4a03-a240-1668ac91f4d4"]},{"id":"ITEM-4","itemData":{"author":[{"dropping-particle":"","family":"The Royal Academy of Engineering","given":"","non-dropping-particle":"","parse-names":false,"suffix":""}],"id":"ITEM-4","issued":{"date-parts":[["2009"]]},"publisher-place":"London, UK","title":"Synthetic Biology: scope, applications and implications","type":"report"},"uris":["http://www.mendeley.com/documents/?uuid=695b4b59-9ae0-455f-8ce0-ba6220a774b5"]}],"mendeley":{"formattedCitation":"(Boldt &amp; Müller, 2008; Douglas &amp; Savulescu, 2010; Kaebnick, 2009; The Royal Academy of Engineering, 2009)","plainTextFormattedCitation":"(Boldt &amp; Müller, 2008; Douglas &amp; Savulescu, 2010; Kaebnick, 2009; The Royal Academy of Engineering, 2009)","previouslyFormattedCitation":"(Boldt &amp; Müller, 2008; Douglas &amp; Savulescu, 2010; Kaebnick, 2009; The Royal Academy of Engineering, 2009)"},"properties":{"noteIndex":0},"schema":"https://github.com/citation-style-language/schema/raw/master/csl-citation.json"}</w:instrText>
      </w:r>
      <w:r w:rsidR="003602A4">
        <w:rPr>
          <w:rFonts w:ascii="Times New Roman" w:eastAsia="SimSun" w:hAnsi="Times New Roman" w:cs="Calibri"/>
          <w:color w:val="000000" w:themeColor="text1"/>
          <w:lang w:eastAsia="hi-IN" w:bidi="hi-IN"/>
        </w:rPr>
        <w:fldChar w:fldCharType="separate"/>
      </w:r>
      <w:r w:rsidR="003602A4" w:rsidRPr="003602A4">
        <w:rPr>
          <w:rFonts w:ascii="Times New Roman" w:eastAsia="SimSun" w:hAnsi="Times New Roman" w:cs="Calibri"/>
          <w:noProof/>
          <w:color w:val="000000" w:themeColor="text1"/>
          <w:lang w:eastAsia="hi-IN" w:bidi="hi-IN"/>
        </w:rPr>
        <w:t>(Boldt &amp; Müller, 2008; Douglas &amp; Savulescu, 2010; Kaebnick, 2009; The Royal Academy of Engineering, 2009)</w:t>
      </w:r>
      <w:r w:rsidR="003602A4">
        <w:rPr>
          <w:rFonts w:ascii="Times New Roman" w:eastAsia="SimSun" w:hAnsi="Times New Roman" w:cs="Calibri"/>
          <w:color w:val="000000" w:themeColor="text1"/>
          <w:lang w:eastAsia="hi-IN" w:bidi="hi-IN"/>
        </w:rPr>
        <w:fldChar w:fldCharType="end"/>
      </w:r>
      <w:r w:rsidRPr="36140518">
        <w:rPr>
          <w:rFonts w:ascii="Times New Roman" w:eastAsia="SimSun" w:hAnsi="Times New Roman" w:cs="Calibri"/>
          <w:color w:val="000000" w:themeColor="text1"/>
          <w:lang w:eastAsia="hi-IN" w:bidi="hi-IN"/>
        </w:rPr>
        <w:t xml:space="preserve">. </w:t>
      </w:r>
      <w:r w:rsidR="00BD02AE">
        <w:rPr>
          <w:rFonts w:ascii="Times New Roman" w:eastAsia="SimSun" w:hAnsi="Times New Roman" w:cs="Calibri"/>
          <w:color w:val="000000" w:themeColor="text1"/>
          <w:lang w:eastAsia="hi-IN" w:bidi="hi-IN"/>
        </w:rPr>
        <w:t>However</w:t>
      </w:r>
      <w:r w:rsidR="00585A36">
        <w:rPr>
          <w:rFonts w:ascii="Times New Roman" w:eastAsia="SimSun" w:hAnsi="Times New Roman" w:cs="Calibri"/>
          <w:color w:val="000000" w:themeColor="text1"/>
          <w:lang w:eastAsia="hi-IN" w:bidi="hi-IN"/>
        </w:rPr>
        <w:t>,</w:t>
      </w:r>
      <w:r w:rsidR="007F1BA0">
        <w:rPr>
          <w:rFonts w:ascii="Times New Roman" w:eastAsia="SimSun" w:hAnsi="Times New Roman" w:cs="Calibri"/>
          <w:color w:val="000000" w:themeColor="text1"/>
          <w:lang w:eastAsia="hi-IN" w:bidi="hi-IN"/>
        </w:rPr>
        <w:t xml:space="preserve"> for some</w:t>
      </w:r>
      <w:r w:rsidR="006B1718">
        <w:rPr>
          <w:rFonts w:ascii="Times New Roman" w:eastAsia="SimSun" w:hAnsi="Times New Roman" w:cs="Calibri"/>
          <w:color w:val="000000" w:themeColor="text1"/>
          <w:lang w:eastAsia="hi-IN" w:bidi="hi-IN"/>
        </w:rPr>
        <w:t>,</w:t>
      </w:r>
      <w:r w:rsidR="00585A36">
        <w:rPr>
          <w:rFonts w:ascii="Times New Roman" w:eastAsia="SimSun" w:hAnsi="Times New Roman" w:cs="Calibri"/>
          <w:color w:val="000000" w:themeColor="text1"/>
          <w:lang w:eastAsia="hi-IN" w:bidi="hi-IN"/>
        </w:rPr>
        <w:t xml:space="preserve"> </w:t>
      </w:r>
      <w:r w:rsidR="007F1BA0">
        <w:rPr>
          <w:rFonts w:ascii="Times New Roman" w:eastAsia="SimSun" w:hAnsi="Times New Roman" w:cs="Calibri"/>
          <w:color w:val="000000" w:themeColor="text1"/>
          <w:lang w:eastAsia="hi-IN" w:bidi="hi-IN"/>
        </w:rPr>
        <w:t>“</w:t>
      </w:r>
      <w:r w:rsidR="00B46B35" w:rsidRPr="007B33C0">
        <w:rPr>
          <w:rFonts w:ascii="Times New Roman" w:eastAsia="SimSun" w:hAnsi="Times New Roman" w:cs="Calibri"/>
          <w:color w:val="000000" w:themeColor="text1"/>
          <w:lang w:eastAsia="hi-IN" w:bidi="hi-IN"/>
        </w:rPr>
        <w:t>playing God</w:t>
      </w:r>
      <w:r w:rsidR="007F1BA0">
        <w:rPr>
          <w:rFonts w:ascii="Times New Roman" w:eastAsia="SimSun" w:hAnsi="Times New Roman" w:cs="Calibri"/>
          <w:color w:val="000000" w:themeColor="text1"/>
          <w:lang w:eastAsia="hi-IN" w:bidi="hi-IN"/>
        </w:rPr>
        <w:t>” may</w:t>
      </w:r>
      <w:r w:rsidR="00B46B35" w:rsidRPr="007B33C0">
        <w:rPr>
          <w:rFonts w:ascii="Times New Roman" w:eastAsia="SimSun" w:hAnsi="Times New Roman" w:cs="Calibri"/>
          <w:color w:val="000000" w:themeColor="text1"/>
          <w:lang w:eastAsia="hi-IN" w:bidi="hi-IN"/>
        </w:rPr>
        <w:t xml:space="preserve"> not </w:t>
      </w:r>
      <w:r w:rsidR="007F1BA0">
        <w:rPr>
          <w:rFonts w:ascii="Times New Roman" w:eastAsia="SimSun" w:hAnsi="Times New Roman" w:cs="Calibri"/>
          <w:color w:val="000000" w:themeColor="text1"/>
          <w:lang w:eastAsia="hi-IN" w:bidi="hi-IN"/>
        </w:rPr>
        <w:t>be</w:t>
      </w:r>
      <w:r w:rsidR="00B46B35" w:rsidRPr="007B33C0">
        <w:rPr>
          <w:rFonts w:ascii="Times New Roman" w:eastAsia="SimSun" w:hAnsi="Times New Roman" w:cs="Calibri"/>
          <w:color w:val="000000" w:themeColor="text1"/>
          <w:lang w:eastAsia="hi-IN" w:bidi="hi-IN"/>
        </w:rPr>
        <w:t xml:space="preserve"> regarded </w:t>
      </w:r>
      <w:r w:rsidR="001A1440">
        <w:rPr>
          <w:rFonts w:ascii="Times New Roman" w:eastAsia="SimSun" w:hAnsi="Times New Roman" w:cs="Calibri"/>
          <w:color w:val="000000" w:themeColor="text1"/>
          <w:lang w:eastAsia="hi-IN" w:bidi="hi-IN"/>
        </w:rPr>
        <w:t xml:space="preserve">as </w:t>
      </w:r>
      <w:r w:rsidR="00B46B35" w:rsidRPr="007B33C0">
        <w:rPr>
          <w:rFonts w:ascii="Times New Roman" w:eastAsia="SimSun" w:hAnsi="Times New Roman" w:cs="Calibri"/>
          <w:color w:val="000000" w:themeColor="text1"/>
          <w:lang w:eastAsia="hi-IN" w:bidi="hi-IN"/>
        </w:rPr>
        <w:t>problematic</w:t>
      </w:r>
      <w:r w:rsidR="006B1718">
        <w:rPr>
          <w:rFonts w:ascii="Times New Roman" w:eastAsia="SimSun" w:hAnsi="Times New Roman" w:cs="Calibri"/>
          <w:color w:val="000000" w:themeColor="text1"/>
          <w:lang w:eastAsia="hi-IN" w:bidi="hi-IN"/>
        </w:rPr>
        <w:t>al</w:t>
      </w:r>
      <w:r w:rsidR="00164D05">
        <w:rPr>
          <w:rFonts w:ascii="Times New Roman" w:eastAsia="SimSun" w:hAnsi="Times New Roman" w:cs="Calibri"/>
          <w:color w:val="000000" w:themeColor="text1"/>
          <w:lang w:eastAsia="hi-IN" w:bidi="hi-IN"/>
        </w:rPr>
        <w:t>. One could argue that</w:t>
      </w:r>
      <w:r w:rsidR="00B46B35" w:rsidRPr="007B33C0">
        <w:rPr>
          <w:rFonts w:ascii="Times New Roman" w:eastAsia="SimSun" w:hAnsi="Times New Roman" w:cs="Calibri"/>
          <w:color w:val="000000" w:themeColor="text1"/>
          <w:lang w:eastAsia="hi-IN" w:bidi="hi-IN"/>
        </w:rPr>
        <w:t xml:space="preserve"> humans are the God species and should take control over natural processes in order to achieve human flourishing on this planet</w:t>
      </w:r>
      <w:r w:rsidR="00B46B35">
        <w:rPr>
          <w:rFonts w:ascii="Times New Roman" w:eastAsia="SimSun" w:hAnsi="Times New Roman" w:cs="Calibri"/>
          <w:color w:val="000000" w:themeColor="text1"/>
          <w:lang w:eastAsia="hi-IN" w:bidi="hi-IN"/>
        </w:rPr>
        <w:t xml:space="preserve"> </w:t>
      </w:r>
      <w:r w:rsidR="003602A4">
        <w:rPr>
          <w:rFonts w:ascii="Times New Roman" w:eastAsia="SimSun" w:hAnsi="Times New Roman" w:cs="Calibri"/>
          <w:color w:val="000000" w:themeColor="text1"/>
          <w:lang w:eastAsia="hi-IN" w:bidi="hi-IN"/>
        </w:rPr>
        <w:fldChar w:fldCharType="begin" w:fldLock="1"/>
      </w:r>
      <w:r w:rsidR="003602A4">
        <w:rPr>
          <w:rFonts w:ascii="Times New Roman" w:eastAsia="SimSun" w:hAnsi="Times New Roman" w:cs="Calibri"/>
          <w:color w:val="000000" w:themeColor="text1"/>
          <w:lang w:eastAsia="hi-IN" w:bidi="hi-IN"/>
        </w:rPr>
        <w:instrText>ADDIN CSL_CITATION {"citationItems":[{"id":"ITEM-1","itemData":{"DOI":"10.1007/s10806-017-9673-8","ISSN":"1573322X","abstract":"Pedigree dog breeding has been the subject of public debate due to health problems caused by breeding for extreme looks and the narrow genepool of many breeds. Our research aims to provide insights in order to further the animal-ethical, political and society-wide discussion regarding the future of pedigree dog breeding in the Netherlands. Guided by the question ‘How far are we allowed to interfere in the genetic make-up of dogs, through breeding and genetic modification?’, we carried out a multi-method case-driven research, reviewing literature as well as identifying the perceptions of pedigree dog breeding of a variety of parties in the Netherlands. We examined what moral arguments and concepts different stakeholders, including breeders, veterinarians and animal protection societies, put forward when considering this question. While welfare arguments were often used as a final justification, we also frequently encountered arguments beyond welfare in practice, in particular the arguments that certain adaptations were unnatural, that they instrumentalised animals, or that they amounted to playing God. We argue that the way these arguments are employed points to a virtue ethical approach, foregrounding the virtue of temperance, as a balance between extreme positions was sought by our respondents in a variety of ways. Moreover, we argue against a rejection of unnaturalness arguments based on the naturalistic fallacy, as philosophers tend to do. We point out that unnaturalness arguments are related to people’s worldviews, including views on the proper human–animal relationship. We argue that such arguments, which we label ‘life-ethical’, should be the subject of more public discussion and should not be relegated to the private sphere.","author":[{"dropping-particle":"","family":"Bovenkerk","given":"Bernice","non-dropping-particle":"","parse-names":false,"suffix":""},{"dropping-particle":"","family":"Nijland","given":"Hanneke J","non-dropping-particle":"","parse-names":false,"suffix":""}],"container-title":"Journal of Agricultural and Environmental Ethics","id":"ITEM-1","issue":"3","issued":{"date-parts":[["2017"]]},"page":"387-412","publisher":"Springer Netherlands","title":"The Pedigree Dog Breeding Debate in Ethics and Practice: Beyond Welfare Arguments","type":"article-journal","volume":"30"},"uris":["http://www.mendeley.com/documents/?uuid=4a62f7be-ed54-4fff-ad6d-269dc31eac22"]}],"mendeley":{"formattedCitation":"(Bovenkerk &amp; Nijland, 2017)","plainTextFormattedCitation":"(Bovenkerk &amp; Nijland, 2017)","previouslyFormattedCitation":"(Bovenkerk &amp; Nijland, 2017)"},"properties":{"noteIndex":0},"schema":"https://github.com/citation-style-language/schema/raw/master/csl-citation.json"}</w:instrText>
      </w:r>
      <w:r w:rsidR="003602A4">
        <w:rPr>
          <w:rFonts w:ascii="Times New Roman" w:eastAsia="SimSun" w:hAnsi="Times New Roman" w:cs="Calibri"/>
          <w:color w:val="000000" w:themeColor="text1"/>
          <w:lang w:eastAsia="hi-IN" w:bidi="hi-IN"/>
        </w:rPr>
        <w:fldChar w:fldCharType="separate"/>
      </w:r>
      <w:r w:rsidR="003602A4" w:rsidRPr="003602A4">
        <w:rPr>
          <w:rFonts w:ascii="Times New Roman" w:eastAsia="SimSun" w:hAnsi="Times New Roman" w:cs="Calibri"/>
          <w:noProof/>
          <w:color w:val="000000" w:themeColor="text1"/>
          <w:lang w:eastAsia="hi-IN" w:bidi="hi-IN"/>
        </w:rPr>
        <w:t>(Bovenkerk &amp; Nijland, 2017)</w:t>
      </w:r>
      <w:r w:rsidR="003602A4">
        <w:rPr>
          <w:rFonts w:ascii="Times New Roman" w:eastAsia="SimSun" w:hAnsi="Times New Roman" w:cs="Calibri"/>
          <w:color w:val="000000" w:themeColor="text1"/>
          <w:lang w:eastAsia="hi-IN" w:bidi="hi-IN"/>
        </w:rPr>
        <w:fldChar w:fldCharType="end"/>
      </w:r>
      <w:r w:rsidR="00B46B35">
        <w:rPr>
          <w:rFonts w:ascii="Times New Roman" w:eastAsia="SimSun" w:hAnsi="Times New Roman" w:cs="Calibri"/>
          <w:color w:val="000000" w:themeColor="text1"/>
          <w:lang w:eastAsia="hi-IN" w:bidi="hi-IN"/>
        </w:rPr>
        <w:t>.</w:t>
      </w:r>
      <w:r w:rsidR="003343E3">
        <w:rPr>
          <w:rFonts w:ascii="Times New Roman" w:eastAsia="SimSun" w:hAnsi="Times New Roman" w:cs="Calibri"/>
          <w:color w:val="000000" w:themeColor="text1"/>
          <w:lang w:eastAsia="hi-IN" w:bidi="hi-IN"/>
        </w:rPr>
        <w:t xml:space="preserve"> </w:t>
      </w:r>
      <w:r w:rsidR="00BD2527">
        <w:rPr>
          <w:rFonts w:ascii="Times New Roman" w:eastAsia="SimSun" w:hAnsi="Times New Roman" w:cs="Calibri"/>
          <w:color w:val="000000" w:themeColor="text1"/>
          <w:lang w:eastAsia="hi-IN" w:bidi="hi-IN"/>
        </w:rPr>
        <w:t>Thus, the role of human intervention in nature and natural processes, including th</w:t>
      </w:r>
      <w:r w:rsidR="003343E3">
        <w:rPr>
          <w:rFonts w:ascii="Times New Roman" w:eastAsia="SimSun" w:hAnsi="Times New Roman" w:cs="Calibri"/>
          <w:color w:val="000000" w:themeColor="text1"/>
          <w:lang w:eastAsia="hi-IN" w:bidi="hi-IN"/>
        </w:rPr>
        <w:t>is</w:t>
      </w:r>
      <w:r w:rsidR="00BD2527">
        <w:rPr>
          <w:rFonts w:ascii="Times New Roman" w:eastAsia="SimSun" w:hAnsi="Times New Roman" w:cs="Calibri"/>
          <w:color w:val="000000" w:themeColor="text1"/>
          <w:lang w:eastAsia="hi-IN" w:bidi="hi-IN"/>
        </w:rPr>
        <w:t xml:space="preserve"> idea of </w:t>
      </w:r>
      <w:r w:rsidR="00BD2527" w:rsidRPr="00B10439">
        <w:rPr>
          <w:rFonts w:ascii="Times New Roman" w:eastAsia="SimSun" w:hAnsi="Times New Roman" w:cs="Calibri"/>
          <w:i/>
          <w:color w:val="000000" w:themeColor="text1"/>
          <w:lang w:eastAsia="hi-IN" w:bidi="hi-IN"/>
        </w:rPr>
        <w:t>naturalness</w:t>
      </w:r>
      <w:r w:rsidR="00BD2527">
        <w:rPr>
          <w:rFonts w:ascii="Times New Roman" w:eastAsia="SimSun" w:hAnsi="Times New Roman" w:cs="Calibri"/>
          <w:color w:val="000000" w:themeColor="text1"/>
          <w:lang w:eastAsia="hi-IN" w:bidi="hi-IN"/>
        </w:rPr>
        <w:t xml:space="preserve"> </w:t>
      </w:r>
      <w:r w:rsidR="00474440">
        <w:rPr>
          <w:rFonts w:ascii="Times New Roman" w:eastAsia="SimSun" w:hAnsi="Times New Roman" w:cs="Calibri"/>
          <w:color w:val="000000" w:themeColor="text1"/>
          <w:lang w:eastAsia="hi-IN" w:bidi="hi-IN"/>
        </w:rPr>
        <w:t>h</w:t>
      </w:r>
      <w:r w:rsidR="003B6028">
        <w:rPr>
          <w:rFonts w:ascii="Times New Roman" w:eastAsia="SimSun" w:hAnsi="Times New Roman" w:cs="Calibri"/>
          <w:color w:val="000000" w:themeColor="text1"/>
          <w:lang w:eastAsia="hi-IN" w:bidi="hi-IN"/>
        </w:rPr>
        <w:t>a</w:t>
      </w:r>
      <w:r w:rsidR="00FF03E7">
        <w:rPr>
          <w:rFonts w:ascii="Times New Roman" w:eastAsia="SimSun" w:hAnsi="Times New Roman" w:cs="Calibri"/>
          <w:color w:val="000000" w:themeColor="text1"/>
          <w:lang w:eastAsia="hi-IN" w:bidi="hi-IN"/>
        </w:rPr>
        <w:t>ve</w:t>
      </w:r>
      <w:r w:rsidR="003B6028">
        <w:rPr>
          <w:rFonts w:ascii="Times New Roman" w:eastAsia="SimSun" w:hAnsi="Times New Roman" w:cs="Calibri"/>
          <w:color w:val="000000" w:themeColor="text1"/>
          <w:lang w:eastAsia="hi-IN" w:bidi="hi-IN"/>
        </w:rPr>
        <w:t xml:space="preserve"> been raised </w:t>
      </w:r>
      <w:r w:rsidR="00286EAE">
        <w:rPr>
          <w:rFonts w:ascii="Times New Roman" w:eastAsia="SimSun" w:hAnsi="Times New Roman" w:cs="Calibri"/>
          <w:color w:val="000000" w:themeColor="text1"/>
          <w:lang w:eastAsia="hi-IN" w:bidi="hi-IN"/>
        </w:rPr>
        <w:t>as</w:t>
      </w:r>
      <w:r w:rsidR="004E1F95">
        <w:rPr>
          <w:rFonts w:ascii="Times New Roman" w:eastAsia="SimSun" w:hAnsi="Times New Roman" w:cs="Calibri"/>
          <w:color w:val="000000" w:themeColor="text1"/>
          <w:lang w:eastAsia="hi-IN" w:bidi="hi-IN"/>
        </w:rPr>
        <w:t xml:space="preserve"> there </w:t>
      </w:r>
      <w:r w:rsidR="004E1F95" w:rsidRPr="00480268">
        <w:rPr>
          <w:rFonts w:ascii="Times New Roman" w:eastAsia="SimSun" w:hAnsi="Times New Roman" w:cs="Calibri"/>
          <w:color w:val="000000" w:themeColor="text1"/>
          <w:lang w:eastAsia="hi-IN" w:bidi="hi-IN"/>
        </w:rPr>
        <w:t>could be a greater need to understand our values of nature, goals for conservation and the promise of biotechnology</w:t>
      </w:r>
      <w:r w:rsidR="003B6028">
        <w:rPr>
          <w:rFonts w:ascii="Times New Roman" w:eastAsia="SimSun" w:hAnsi="Times New Roman" w:cs="Calibri"/>
          <w:color w:val="000000" w:themeColor="text1"/>
          <w:lang w:eastAsia="hi-IN" w:bidi="hi-IN"/>
        </w:rPr>
        <w:t xml:space="preserve"> </w:t>
      </w:r>
      <w:r w:rsidR="003602A4">
        <w:rPr>
          <w:rFonts w:ascii="Times New Roman" w:eastAsia="SimSun" w:hAnsi="Times New Roman" w:cs="Calibri"/>
          <w:color w:val="000000" w:themeColor="text1"/>
          <w:lang w:eastAsia="hi-IN" w:bidi="hi-IN"/>
        </w:rPr>
        <w:fldChar w:fldCharType="begin" w:fldLock="1"/>
      </w:r>
      <w:r w:rsidR="003602A4">
        <w:rPr>
          <w:rFonts w:ascii="Times New Roman" w:eastAsia="SimSun" w:hAnsi="Times New Roman" w:cs="Calibri"/>
          <w:color w:val="000000" w:themeColor="text1"/>
          <w:lang w:eastAsia="hi-IN" w:bidi="hi-IN"/>
        </w:rPr>
        <w:instrText>ADDIN CSL_CITATION {"citationItems":[{"id":"ITEM-1","itemData":{"DOI":"10.1098/rstb.2018.0106","ISSN":"14712970","PMID":"30905297","abstract":"In recent years, new genome editing technologies have emerged that can edit the genome of non-human animals with progressively increasing efficiency. Despite ongoing academic debate about the ethical implications of these technologies, no comprehensive overview of this debate exists. To address this gap in the literature, we conducted a systematic review of the reasons reported in the academic literature for and against the development and use of genome editing technologies in animals. Most included articles were written by academics from the biomedical or animal sciences. The reported reasons related to seven themes: human health, efficiency, risks and uncertainty, animal welfare, animal dignity, environmental considerations and public acceptability. Our findings illuminate several key considerations about the academic debate, including a low disciplinary diversity in the contributing academics, a scarcity of systematic comparisons of potential consequences of using these technologies, an underrepresentation of animal interests, and a disjunction between the public and academic debate on this topic. As such, this article can be considered a call for a broad range of academics to get increasingly involved in the discussion about genome editing, to incorporate animal interests and systematic comparisons, and to further discuss the aims and methods of public involvement. This article is part of a discussion meeting issue 'The ecology and evolution of prokaryotic CRISPR-Cas adaptive immune systems'.","author":[{"dropping-particle":"De","family":"Graeff","given":"Nienke","non-dropping-particle":"","parse-names":false,"suffix":""},{"dropping-particle":"","family":"Jongsma","given":"Karin R","non-dropping-particle":"","parse-names":false,"suffix":""},{"dropping-particle":"","family":"Johnston","given":"Josephine","non-dropping-particle":"","parse-names":false,"suffix":""},{"dropping-particle":"","family":"Hartley","given":"Sarah","non-dropping-particle":"","parse-names":false,"suffix":""},{"dropping-particle":"","family":"Bredenoord","given":"Annelien L","non-dropping-particle":"","parse-names":false,"suffix":""}],"container-title":"Philosophical Transactions of the Royal Society B: Biological Sciences","id":"ITEM-1","issue":"1772","issued":{"date-parts":[["2019"]]},"publisher":"Royal Society Publishing","title":"The ethics of genome editing in non-human animals: A systematic review of reasons reported in the academic literature","type":"article","volume":"374"},"uris":["http://www.mendeley.com/documents/?uuid=9f660a42-e7d2-4b9d-8f63-33c6ebe5c589"]}],"mendeley":{"formattedCitation":"(Graeff et al., 2019)","plainTextFormattedCitation":"(Graeff et al., 2019)","previouslyFormattedCitation":"(Graeff et al., 2019)"},"properties":{"noteIndex":0},"schema":"https://github.com/citation-style-language/schema/raw/master/csl-citation.json"}</w:instrText>
      </w:r>
      <w:r w:rsidR="003602A4">
        <w:rPr>
          <w:rFonts w:ascii="Times New Roman" w:eastAsia="SimSun" w:hAnsi="Times New Roman" w:cs="Calibri"/>
          <w:color w:val="000000" w:themeColor="text1"/>
          <w:lang w:eastAsia="hi-IN" w:bidi="hi-IN"/>
        </w:rPr>
        <w:fldChar w:fldCharType="separate"/>
      </w:r>
      <w:r w:rsidR="003602A4" w:rsidRPr="003602A4">
        <w:rPr>
          <w:rFonts w:ascii="Times New Roman" w:eastAsia="SimSun" w:hAnsi="Times New Roman" w:cs="Calibri"/>
          <w:noProof/>
          <w:color w:val="000000" w:themeColor="text1"/>
          <w:lang w:eastAsia="hi-IN" w:bidi="hi-IN"/>
        </w:rPr>
        <w:t>(Graeff et al., 2019)</w:t>
      </w:r>
      <w:r w:rsidR="003602A4">
        <w:rPr>
          <w:rFonts w:ascii="Times New Roman" w:eastAsia="SimSun" w:hAnsi="Times New Roman" w:cs="Calibri"/>
          <w:color w:val="000000" w:themeColor="text1"/>
          <w:lang w:eastAsia="hi-IN" w:bidi="hi-IN"/>
        </w:rPr>
        <w:fldChar w:fldCharType="end"/>
      </w:r>
      <w:r w:rsidR="003B6028">
        <w:rPr>
          <w:rFonts w:ascii="Times New Roman" w:eastAsia="SimSun" w:hAnsi="Times New Roman" w:cs="Calibri"/>
          <w:color w:val="000000" w:themeColor="text1"/>
          <w:lang w:eastAsia="hi-IN" w:bidi="hi-IN"/>
        </w:rPr>
        <w:t>.</w:t>
      </w:r>
      <w:r w:rsidR="00BD2527">
        <w:rPr>
          <w:rFonts w:ascii="Times New Roman" w:eastAsia="SimSun" w:hAnsi="Times New Roman" w:cs="Calibri"/>
          <w:color w:val="000000" w:themeColor="text1"/>
          <w:lang w:eastAsia="hi-IN" w:bidi="hi-IN"/>
        </w:rPr>
        <w:t xml:space="preserve"> </w:t>
      </w:r>
      <w:r w:rsidR="0059510B">
        <w:rPr>
          <w:rFonts w:ascii="Times New Roman" w:eastAsia="SimSun" w:hAnsi="Times New Roman" w:cs="Calibri"/>
          <w:color w:val="000000" w:themeColor="text1"/>
          <w:lang w:eastAsia="hi-IN" w:bidi="hi-IN"/>
        </w:rPr>
        <w:t>With the advent of new technologies, the</w:t>
      </w:r>
      <w:r w:rsidR="00BD2527">
        <w:rPr>
          <w:rFonts w:ascii="Times New Roman" w:eastAsia="SimSun" w:hAnsi="Times New Roman" w:cs="Calibri"/>
          <w:color w:val="000000" w:themeColor="text1"/>
          <w:lang w:eastAsia="hi-IN" w:bidi="hi-IN"/>
        </w:rPr>
        <w:t xml:space="preserve"> biophysical influence </w:t>
      </w:r>
      <w:r w:rsidR="0059510B">
        <w:rPr>
          <w:rFonts w:ascii="Times New Roman" w:eastAsia="SimSun" w:hAnsi="Times New Roman" w:cs="Calibri"/>
          <w:color w:val="000000" w:themeColor="text1"/>
          <w:lang w:eastAsia="hi-IN" w:bidi="hi-IN"/>
        </w:rPr>
        <w:t>of humans</w:t>
      </w:r>
      <w:r w:rsidR="00BD2527">
        <w:rPr>
          <w:rFonts w:ascii="Times New Roman" w:eastAsia="SimSun" w:hAnsi="Times New Roman" w:cs="Calibri"/>
          <w:color w:val="000000" w:themeColor="text1"/>
          <w:lang w:eastAsia="hi-IN" w:bidi="hi-IN"/>
        </w:rPr>
        <w:t xml:space="preserve"> on nature could </w:t>
      </w:r>
      <w:r w:rsidR="00E8395C">
        <w:rPr>
          <w:rFonts w:ascii="Times New Roman" w:eastAsia="SimSun" w:hAnsi="Times New Roman" w:cs="Calibri"/>
          <w:color w:val="000000" w:themeColor="text1"/>
          <w:lang w:eastAsia="hi-IN" w:bidi="hi-IN"/>
        </w:rPr>
        <w:t>be more profound</w:t>
      </w:r>
      <w:r w:rsidR="00D93815">
        <w:rPr>
          <w:rFonts w:ascii="Times New Roman" w:eastAsia="SimSun" w:hAnsi="Times New Roman" w:cs="Calibri"/>
          <w:color w:val="000000" w:themeColor="text1"/>
          <w:lang w:eastAsia="hi-IN" w:bidi="hi-IN"/>
        </w:rPr>
        <w:t xml:space="preserve">, </w:t>
      </w:r>
      <w:r w:rsidR="00BD2527">
        <w:rPr>
          <w:rFonts w:ascii="Times New Roman" w:eastAsia="SimSun" w:hAnsi="Times New Roman" w:cs="Calibri"/>
          <w:color w:val="000000" w:themeColor="text1"/>
          <w:lang w:eastAsia="hi-IN" w:bidi="hi-IN"/>
        </w:rPr>
        <w:t>hav</w:t>
      </w:r>
      <w:r w:rsidR="00D93815">
        <w:rPr>
          <w:rFonts w:ascii="Times New Roman" w:eastAsia="SimSun" w:hAnsi="Times New Roman" w:cs="Calibri"/>
          <w:color w:val="000000" w:themeColor="text1"/>
          <w:lang w:eastAsia="hi-IN" w:bidi="hi-IN"/>
        </w:rPr>
        <w:t>ing</w:t>
      </w:r>
      <w:r w:rsidR="00BD2527">
        <w:rPr>
          <w:rFonts w:ascii="Times New Roman" w:eastAsia="SimSun" w:hAnsi="Times New Roman" w:cs="Calibri"/>
          <w:color w:val="000000" w:themeColor="text1"/>
          <w:lang w:eastAsia="hi-IN" w:bidi="hi-IN"/>
        </w:rPr>
        <w:t xml:space="preserve"> implications on biological evolution by controlling whole ecosystems and species </w:t>
      </w:r>
      <w:r w:rsidR="003602A4">
        <w:rPr>
          <w:rFonts w:ascii="Times New Roman" w:eastAsia="SimSun" w:hAnsi="Times New Roman" w:cs="Calibri"/>
          <w:color w:val="000000" w:themeColor="text1"/>
          <w:lang w:eastAsia="hi-IN" w:bidi="hi-IN"/>
        </w:rPr>
        <w:fldChar w:fldCharType="begin" w:fldLock="1"/>
      </w:r>
      <w:r w:rsidR="003602A4">
        <w:rPr>
          <w:rFonts w:ascii="Times New Roman" w:eastAsia="SimSun" w:hAnsi="Times New Roman" w:cs="Calibri"/>
          <w:color w:val="000000" w:themeColor="text1"/>
          <w:lang w:eastAsia="hi-IN" w:bidi="hi-IN"/>
        </w:rPr>
        <w:instrText>ADDIN CSL_CITATION {"citationItems":[{"id":"ITEM-1","itemData":{"DOI":"10.1038/nbt1209-1106","ISSN":"1087-0156","author":[{"dropping-particle":"","family":"Kaebnick","given":"Gregory E","non-dropping-particle":"","parse-names":false,"suffix":""}],"container-title":"Nature Biotechnology","id":"ITEM-1","issue":"12","issued":{"date-parts":[["2009","12"]]},"page":"1106-1108","title":"Should moral objections to synthetic biology affect public policy?","type":"article-journal","volume":"27"},"uris":["http://www.mendeley.com/documents/?uuid=367ae531-40ff-4a03-a240-1668ac91f4d4"]},{"id":"ITEM-2","itemData":{"DOI":"10.1098/rstb.2018.0106","ISSN":"14712970","PMID":"30905297","abstract":"In recent years, new genome editing technologies have emerged that can edit the genome of non-human animals with progressively increasing efficiency. Despite ongoing academic debate about the ethical implications of these technologies, no comprehensive overview of this debate exists. To address this gap in the literature, we conducted a systematic review of the reasons reported in the academic literature for and against the development and use of genome editing technologies in animals. Most included articles were written by academics from the biomedical or animal sciences. The reported reasons related to seven themes: human health, efficiency, risks and uncertainty, animal welfare, animal dignity, environmental considerations and public acceptability. Our findings illuminate several key considerations about the academic debate, including a low disciplinary diversity in the contributing academics, a scarcity of systematic comparisons of potential consequences of using these technologies, an underrepresentation of animal interests, and a disjunction between the public and academic debate on this topic. As such, this article can be considered a call for a broad range of academics to get increasingly involved in the discussion about genome editing, to incorporate animal interests and systematic comparisons, and to further discuss the aims and methods of public involvement. This article is part of a discussion meeting issue 'The ecology and evolution of prokaryotic CRISPR-Cas adaptive immune systems'.","author":[{"dropping-particle":"De","family":"Graeff","given":"Nienke","non-dropping-particle":"","parse-names":false,"suffix":""},{"dropping-particle":"","family":"Jongsma","given":"Karin R","non-dropping-particle":"","parse-names":false,"suffix":""},{"dropping-particle":"","family":"Johnston","given":"Josephine","non-dropping-particle":"","parse-names":false,"suffix":""},{"dropping-particle":"","family":"Hartley","given":"Sarah","non-dropping-particle":"","parse-names":false,"suffix":""},{"dropping-particle":"","family":"Bredenoord","given":"Annelien L","non-dropping-particle":"","parse-names":false,"suffix":""}],"container-title":"Philosophical Transactions of the Royal Society B: Biological Sciences","id":"ITEM-2","issue":"1772","issued":{"date-parts":[["2019"]]},"publisher":"Royal Society Publishing","title":"The ethics of genome editing in non-human animals: A systematic review of reasons reported in the academic literature","type":"article","volume":"374"},"uris":["http://www.mendeley.com/documents/?uuid=9f660a42-e7d2-4b9d-8f63-33c6ebe5c589"]}],"mendeley":{"formattedCitation":"(Graeff et al., 2019; Kaebnick, 2009)","plainTextFormattedCitation":"(Graeff et al., 2019; Kaebnick, 2009)","previouslyFormattedCitation":"(Graeff et al., 2019; Kaebnick, 2009)"},"properties":{"noteIndex":0},"schema":"https://github.com/citation-style-language/schema/raw/master/csl-citation.json"}</w:instrText>
      </w:r>
      <w:r w:rsidR="003602A4">
        <w:rPr>
          <w:rFonts w:ascii="Times New Roman" w:eastAsia="SimSun" w:hAnsi="Times New Roman" w:cs="Calibri"/>
          <w:color w:val="000000" w:themeColor="text1"/>
          <w:lang w:eastAsia="hi-IN" w:bidi="hi-IN"/>
        </w:rPr>
        <w:fldChar w:fldCharType="separate"/>
      </w:r>
      <w:r w:rsidR="003602A4" w:rsidRPr="003602A4">
        <w:rPr>
          <w:rFonts w:ascii="Times New Roman" w:eastAsia="SimSun" w:hAnsi="Times New Roman" w:cs="Calibri"/>
          <w:noProof/>
          <w:color w:val="000000" w:themeColor="text1"/>
          <w:lang w:eastAsia="hi-IN" w:bidi="hi-IN"/>
        </w:rPr>
        <w:t>(Graeff et al., 2019; Kaebnick, 2009)</w:t>
      </w:r>
      <w:r w:rsidR="003602A4">
        <w:rPr>
          <w:rFonts w:ascii="Times New Roman" w:eastAsia="SimSun" w:hAnsi="Times New Roman" w:cs="Calibri"/>
          <w:color w:val="000000" w:themeColor="text1"/>
          <w:lang w:eastAsia="hi-IN" w:bidi="hi-IN"/>
        </w:rPr>
        <w:fldChar w:fldCharType="end"/>
      </w:r>
      <w:r w:rsidR="00BD2527">
        <w:rPr>
          <w:rFonts w:ascii="Times New Roman" w:eastAsia="SimSun" w:hAnsi="Times New Roman" w:cs="Calibri"/>
          <w:color w:val="000000" w:themeColor="text1"/>
          <w:lang w:eastAsia="hi-IN" w:bidi="hi-IN"/>
        </w:rPr>
        <w:t xml:space="preserve">. For example, editing a gene which has evolved over thousands of years could be viewed as a disruption to natural homeostasis </w:t>
      </w:r>
      <w:r w:rsidR="003602A4">
        <w:rPr>
          <w:rFonts w:ascii="Times New Roman" w:eastAsia="SimSun" w:hAnsi="Times New Roman" w:cs="Calibri"/>
          <w:color w:val="000000" w:themeColor="text1"/>
          <w:lang w:eastAsia="hi-IN" w:bidi="hi-IN"/>
        </w:rPr>
        <w:fldChar w:fldCharType="begin" w:fldLock="1"/>
      </w:r>
      <w:r w:rsidR="00680E09">
        <w:rPr>
          <w:rFonts w:ascii="Times New Roman" w:eastAsia="SimSun" w:hAnsi="Times New Roman" w:cs="Calibri"/>
          <w:color w:val="000000" w:themeColor="text1"/>
          <w:lang w:eastAsia="hi-IN" w:bidi="hi-IN"/>
        </w:rPr>
        <w:instrText>ADDIN CSL_CITATION {"citationItems":[{"id":"ITEM-1","itemData":{"DOI":"10.17129/botsci.2628","ISSN":"20074476","abstract":"Background: Metal-nicotianamine transporter (YSL) family protein belongs to the oligopeptide heavy metal transporter group, as characterized in Arabidopsis thaliana. Oligopeptide transporters (OPTs) are a group of membrane-localized proteins, involved in different transport mechanisms, contributing to nitrogen mobilization, glutathione transport and long-distance metal distribution. Metal-nicotianamine transporter gene 3 (YSL3) incorporates the oligopeptide transporter domain, found to transfer several heavy metals in diverse plant species, and among them cadmium transport in Brassica oleracea. Objective: To evaluate and confirm the expression of Metal-nicotianamine transporter (YSL3) under cadmium stress. Studied species: Brassica oleracea var. acephala Study site and dates: Brassica oleracea var. acephala samples were collected from Blagaj region, Bosnia and Herzegovina. Methods: Through a simple bioinformatic approach the interactome partner of Metal-nicotianamine transporter (YSL3) was discovered and annotated. Oligopeptide transporter 3 (OPT3) and Metal-nicotianamine transporter (YSL3) genes were checked for expression levels under cadmium stress. Results: We have identified a strong interacting partner of YSL3, later confirmed as Oligopeptide transporter 3 (OPT3) protein in Brassica oleracea. The in vitro expression analysis by using a qRT-PCR revealed a significant upregulation of YSL3 and OPT3, during Cd stress. Conclusions: These findings indicate that the represented in-silico approach, followed by in vitro gene expression study, successfully confirmed YSL3 and identified OPT3 as a new gene, in correlation to cadmium stress.","author":[{"dropping-particle":"","family":"Šutković","given":"JASMIN","non-dropping-particle":"","parse-names":false,"suffix":""},{"dropping-particle":"","family":"Karić","given":"AJDINA","non-dropping-particle":"","parse-names":false,"suffix":""},{"dropping-particle":"","family":"YILDIRIM","given":"AHMET","non-dropping-particle":"","parse-names":false,"suffix":""}],"container-title":"Botanical Sciences","id":"ITEM-1","issue":"4","issued":{"date-parts":[["2020"]]},"page":"516-523","publisher":"Sociedad Botanica de Mexico, A.C","title":"N silico identification and expression analysis of metal-nicotianamine transporter (ysl3) and oligopeptide transporter 3 (opt3) under cd stress in brassica oleracea var. acephala de cd en brassica oleracea var. acephala","type":"article-journal","volume":"98"},"uris":["http://www.mendeley.com/documents/?uuid=389cb41e-47c0-41c2-88e2-09db0fe9eccb"]}],"mendeley":{"formattedCitation":"(Šutković et al., 2020)","plainTextFormattedCitation":"(Šutković et al., 2020)","previouslyFormattedCitation":"(Šutković et al., 2020)"},"properties":{"noteIndex":0},"schema":"https://github.com/citation-style-language/schema/raw/master/csl-citation.json"}</w:instrText>
      </w:r>
      <w:r w:rsidR="003602A4">
        <w:rPr>
          <w:rFonts w:ascii="Times New Roman" w:eastAsia="SimSun" w:hAnsi="Times New Roman" w:cs="Calibri"/>
          <w:color w:val="000000" w:themeColor="text1"/>
          <w:lang w:eastAsia="hi-IN" w:bidi="hi-IN"/>
        </w:rPr>
        <w:fldChar w:fldCharType="separate"/>
      </w:r>
      <w:r w:rsidR="003602A4" w:rsidRPr="003602A4">
        <w:rPr>
          <w:rFonts w:ascii="Times New Roman" w:eastAsia="SimSun" w:hAnsi="Times New Roman" w:cs="Calibri"/>
          <w:noProof/>
          <w:color w:val="000000" w:themeColor="text1"/>
          <w:lang w:eastAsia="hi-IN" w:bidi="hi-IN"/>
        </w:rPr>
        <w:t>(Šutković et al., 2020)</w:t>
      </w:r>
      <w:r w:rsidR="003602A4">
        <w:rPr>
          <w:rFonts w:ascii="Times New Roman" w:eastAsia="SimSun" w:hAnsi="Times New Roman" w:cs="Calibri"/>
          <w:color w:val="000000" w:themeColor="text1"/>
          <w:lang w:eastAsia="hi-IN" w:bidi="hi-IN"/>
        </w:rPr>
        <w:fldChar w:fldCharType="end"/>
      </w:r>
      <w:r w:rsidR="00BD2527">
        <w:rPr>
          <w:rFonts w:ascii="Times New Roman" w:eastAsia="SimSun" w:hAnsi="Times New Roman" w:cs="Calibri"/>
          <w:color w:val="000000" w:themeColor="text1"/>
          <w:lang w:eastAsia="hi-IN" w:bidi="hi-IN"/>
        </w:rPr>
        <w:t xml:space="preserve">. Further, in the case of modifying genomes, the idea of </w:t>
      </w:r>
      <w:r w:rsidR="00BD2527" w:rsidRPr="00F218B0">
        <w:rPr>
          <w:rFonts w:ascii="Times New Roman" w:eastAsia="SimSun" w:hAnsi="Times New Roman" w:cs="Calibri"/>
          <w:i/>
          <w:iCs/>
          <w:color w:val="000000" w:themeColor="text1"/>
          <w:lang w:eastAsia="hi-IN" w:bidi="hi-IN"/>
        </w:rPr>
        <w:t>integrity</w:t>
      </w:r>
      <w:r w:rsidR="00BD2527">
        <w:rPr>
          <w:rFonts w:ascii="Times New Roman" w:eastAsia="SimSun" w:hAnsi="Times New Roman" w:cs="Calibri"/>
          <w:color w:val="000000" w:themeColor="text1"/>
          <w:lang w:eastAsia="hi-IN" w:bidi="hi-IN"/>
        </w:rPr>
        <w:t xml:space="preserve"> could be challenged with our understanding of how </w:t>
      </w:r>
      <w:r w:rsidR="00EC5346">
        <w:rPr>
          <w:rFonts w:ascii="Times New Roman" w:eastAsia="SimSun" w:hAnsi="Times New Roman" w:cs="Calibri"/>
          <w:color w:val="000000" w:themeColor="text1"/>
          <w:lang w:eastAsia="hi-IN" w:bidi="hi-IN"/>
        </w:rPr>
        <w:t>a</w:t>
      </w:r>
      <w:r w:rsidR="00BD2527">
        <w:rPr>
          <w:rFonts w:ascii="Times New Roman" w:eastAsia="SimSun" w:hAnsi="Times New Roman" w:cs="Calibri"/>
          <w:color w:val="000000" w:themeColor="text1"/>
          <w:lang w:eastAsia="hi-IN" w:bidi="hi-IN"/>
        </w:rPr>
        <w:t xml:space="preserve"> genome constitutes an organism </w:t>
      </w:r>
      <w:r w:rsidR="00680E09">
        <w:rPr>
          <w:rFonts w:ascii="Times New Roman" w:eastAsia="SimSun" w:hAnsi="Times New Roman" w:cs="Calibri"/>
          <w:color w:val="000000" w:themeColor="text1"/>
          <w:lang w:eastAsia="hi-IN" w:bidi="hi-IN"/>
        </w:rPr>
        <w:fldChar w:fldCharType="begin" w:fldLock="1"/>
      </w:r>
      <w:r w:rsidR="00680E09">
        <w:rPr>
          <w:rFonts w:ascii="Times New Roman" w:eastAsia="SimSun" w:hAnsi="Times New Roman" w:cs="Calibri"/>
          <w:color w:val="000000" w:themeColor="text1"/>
          <w:lang w:eastAsia="hi-IN" w:bidi="hi-IN"/>
        </w:rPr>
        <w:instrText>ADDIN CSL_CITATION {"citationItems":[{"id":"ITEM-1","itemData":{"DOI":"10.1007/s10806-017-9673-8","ISSN":"1573322X","abstract":"Pedigree dog breeding has been the subject of public debate due to health problems caused by breeding for extreme looks and the narrow genepool of many breeds. Our research aims to provide insights in order to further the animal-ethical, political and society-wide discussion regarding the future of pedigree dog breeding in the Netherlands. Guided by the question ‘How far are we allowed to interfere in the genetic make-up of dogs, through breeding and genetic modification?’, we carried out a multi-method case-driven research, reviewing literature as well as identifying the perceptions of pedigree dog breeding of a variety of parties in the Netherlands. We examined what moral arguments and concepts different stakeholders, including breeders, veterinarians and animal protection societies, put forward when considering this question. While welfare arguments were often used as a final justification, we also frequently encountered arguments beyond welfare in practice, in particular the arguments that certain adaptations were unnatural, that they instrumentalised animals, or that they amounted to playing God. We argue that the way these arguments are employed points to a virtue ethical approach, foregrounding the virtue of temperance, as a balance between extreme positions was sought by our respondents in a variety of ways. Moreover, we argue against a rejection of unnaturalness arguments based on the naturalistic fallacy, as philosophers tend to do. We point out that unnaturalness arguments are related to people’s worldviews, including views on the proper human–animal relationship. We argue that such arguments, which we label ‘life-ethical’, should be the subject of more public discussion and should not be relegated to the private sphere.","author":[{"dropping-particle":"","family":"Bovenkerk","given":"Bernice","non-dropping-particle":"","parse-names":false,"suffix":""},{"dropping-particle":"","family":"Nijland","given":"Hanneke J","non-dropping-particle":"","parse-names":false,"suffix":""}],"container-title":"Journal of Agricultural and Environmental Ethics","id":"ITEM-1","issue":"3","issued":{"date-parts":[["2017"]]},"page":"387-412","publisher":"Springer Netherlands","title":"The Pedigree Dog Breeding Debate in Ethics and Practice: Beyond Welfare Arguments","type":"article-journal","volume":"30"},"uris":["http://www.mendeley.com/documents/?uuid=4a62f7be-ed54-4fff-ad6d-269dc31eac22"]}],"mendeley":{"formattedCitation":"(Bovenkerk &amp; Nijland, 2017)","plainTextFormattedCitation":"(Bovenkerk &amp; Nijland, 2017)","previouslyFormattedCitation":"(Bovenkerk &amp; Nijland, 2017)"},"properties":{"noteIndex":0},"schema":"https://github.com/citation-style-language/schema/raw/master/csl-citation.json"}</w:instrText>
      </w:r>
      <w:r w:rsidR="00680E09">
        <w:rPr>
          <w:rFonts w:ascii="Times New Roman" w:eastAsia="SimSun" w:hAnsi="Times New Roman" w:cs="Calibri"/>
          <w:color w:val="000000" w:themeColor="text1"/>
          <w:lang w:eastAsia="hi-IN" w:bidi="hi-IN"/>
        </w:rPr>
        <w:fldChar w:fldCharType="separate"/>
      </w:r>
      <w:r w:rsidR="00680E09" w:rsidRPr="00680E09">
        <w:rPr>
          <w:rFonts w:ascii="Times New Roman" w:eastAsia="SimSun" w:hAnsi="Times New Roman" w:cs="Calibri"/>
          <w:noProof/>
          <w:color w:val="000000" w:themeColor="text1"/>
          <w:lang w:eastAsia="hi-IN" w:bidi="hi-IN"/>
        </w:rPr>
        <w:t>(Bovenkerk &amp; Nijland, 2017)</w:t>
      </w:r>
      <w:r w:rsidR="00680E09">
        <w:rPr>
          <w:rFonts w:ascii="Times New Roman" w:eastAsia="SimSun" w:hAnsi="Times New Roman" w:cs="Calibri"/>
          <w:color w:val="000000" w:themeColor="text1"/>
          <w:lang w:eastAsia="hi-IN" w:bidi="hi-IN"/>
        </w:rPr>
        <w:fldChar w:fldCharType="end"/>
      </w:r>
      <w:r w:rsidR="00BD2527">
        <w:rPr>
          <w:rFonts w:ascii="Times New Roman" w:eastAsia="SimSun" w:hAnsi="Times New Roman" w:cs="Calibri"/>
          <w:color w:val="000000" w:themeColor="text1"/>
          <w:lang w:eastAsia="hi-IN" w:bidi="hi-IN"/>
        </w:rPr>
        <w:t>.</w:t>
      </w:r>
      <w:r w:rsidR="00480268" w:rsidRPr="00480268">
        <w:t xml:space="preserve"> </w:t>
      </w:r>
      <w:r w:rsidR="00A73375" w:rsidRPr="00C61ABF">
        <w:rPr>
          <w:rFonts w:ascii="Times New Roman" w:eastAsia="SimSun" w:hAnsi="Times New Roman" w:cs="Calibri"/>
          <w:color w:val="000000" w:themeColor="text1"/>
          <w:lang w:eastAsia="hi-IN" w:bidi="hi-IN"/>
        </w:rPr>
        <w:t>Another common consideration around the possibilities to either using this technology irresponsibly and cause harm, or not using it at all, which could also prove damaging to humans, our welfare, and our planet</w:t>
      </w:r>
      <w:r w:rsidR="00FB2F88">
        <w:rPr>
          <w:rFonts w:ascii="Times New Roman" w:eastAsia="SimSun" w:hAnsi="Times New Roman" w:cs="Calibri"/>
          <w:color w:val="000000" w:themeColor="text1"/>
          <w:lang w:eastAsia="hi-IN" w:bidi="hi-IN"/>
        </w:rPr>
        <w:t xml:space="preserve"> </w:t>
      </w:r>
      <w:r w:rsidR="00680E09">
        <w:rPr>
          <w:rFonts w:ascii="Times New Roman" w:eastAsia="SimSun" w:hAnsi="Times New Roman" w:cs="Calibri"/>
          <w:color w:val="000000" w:themeColor="text1"/>
          <w:lang w:eastAsia="hi-IN" w:bidi="hi-IN"/>
        </w:rPr>
        <w:fldChar w:fldCharType="begin" w:fldLock="1"/>
      </w:r>
      <w:r w:rsidR="00680E09">
        <w:rPr>
          <w:rFonts w:ascii="Times New Roman" w:eastAsia="SimSun" w:hAnsi="Times New Roman" w:cs="Calibri"/>
          <w:color w:val="000000" w:themeColor="text1"/>
          <w:lang w:eastAsia="hi-IN" w:bidi="hi-IN"/>
        </w:rPr>
        <w:instrText>ADDIN CSL_CITATION {"citationItems":[{"id":"ITEM-1","itemData":{"DOI":"10.1126/science.aat4612","ISSN":"0036-8075","author":[{"dropping-particle":"","family":"Kofler","given":"Natalie","non-dropping-particle":"","parse-names":false,"suffix":""},{"dropping-particle":"","family":"Collins","given":"James P.","non-dropping-particle":"","parse-names":false,"suffix":""},{"dropping-particle":"","family":"Kuzma","given":"Jennifer","non-dropping-particle":"","parse-names":false,"suffix":""},{"dropping-particle":"","family":"Marris","given":"Emma","non-dropping-particle":"","parse-names":false,"suffix":""},{"dropping-particle":"","family":"Esvelt","given":"Kevin","non-dropping-particle":"","parse-names":false,"suffix":""},{"dropping-particle":"","family":"Nelson","given":"Michael Paul","non-dropping-particle":"","parse-names":false,"suffix":""},{"dropping-particle":"","family":"Newhouse","given":"Andrew","non-dropping-particle":"","parse-names":false,"suffix":""},{"dropping-particle":"","family":"Rothschild","given":"Lynn J.","non-dropping-particle":"","parse-names":false,"suffix":""},{"dropping-particle":"","family":"Vigliotti","given":"Vivian S.","non-dropping-particle":"","parse-names":false,"suffix":""},{"dropping-particle":"","family":"Semenov","given":"Misha","non-dropping-particle":"","parse-names":false,"suffix":""},{"dropping-particle":"","family":"Jacobsen","given":"Rowan","non-dropping-particle":"","parse-names":false,"suffix":""},{"dropping-particle":"","family":"Dahlman","given":"James E.","non-dropping-particle":"","parse-names":false,"suffix":""},{"dropping-particle":"","family":"Prince","given":"Shannon","non-dropping-particle":"","parse-names":false,"suffix":""},{"dropping-particle":"","family":"Caccone","given":"Adalgisa","non-dropping-particle":"","parse-names":false,"suffix":""},{"dropping-particle":"","family":"Brown","given":"Timothy","non-dropping-particle":"","parse-names":false,"suffix":""},{"dropping-particle":"","family":"Schmitz","given":"Oswald J.","non-dropping-particle":"","parse-names":false,"suffix":""}],"container-title":"Science","id":"ITEM-1","issue":"6414","issued":{"date-parts":[["2018","11","2"]]},"page":"527-529","title":"Editing nature: Local roots of global governance","type":"article-journal","volume":"362"},"uris":["http://www.mendeley.com/documents/?uuid=a8626dc3-b5d7-448f-8f13-4893bf9cfcc1"]}],"mendeley":{"formattedCitation":"(Kofler et al., 2018)","plainTextFormattedCitation":"(Kofler et al., 2018)","previouslyFormattedCitation":"(Kofler et al., 2018)"},"properties":{"noteIndex":0},"schema":"https://github.com/citation-style-language/schema/raw/master/csl-citation.json"}</w:instrText>
      </w:r>
      <w:r w:rsidR="00680E09">
        <w:rPr>
          <w:rFonts w:ascii="Times New Roman" w:eastAsia="SimSun" w:hAnsi="Times New Roman" w:cs="Calibri"/>
          <w:color w:val="000000" w:themeColor="text1"/>
          <w:lang w:eastAsia="hi-IN" w:bidi="hi-IN"/>
        </w:rPr>
        <w:fldChar w:fldCharType="separate"/>
      </w:r>
      <w:r w:rsidR="00680E09" w:rsidRPr="00680E09">
        <w:rPr>
          <w:rFonts w:ascii="Times New Roman" w:eastAsia="SimSun" w:hAnsi="Times New Roman" w:cs="Calibri"/>
          <w:noProof/>
          <w:color w:val="000000" w:themeColor="text1"/>
          <w:lang w:eastAsia="hi-IN" w:bidi="hi-IN"/>
        </w:rPr>
        <w:t>(Kofler et al., 2018)</w:t>
      </w:r>
      <w:r w:rsidR="00680E09">
        <w:rPr>
          <w:rFonts w:ascii="Times New Roman" w:eastAsia="SimSun" w:hAnsi="Times New Roman" w:cs="Calibri"/>
          <w:color w:val="000000" w:themeColor="text1"/>
          <w:lang w:eastAsia="hi-IN" w:bidi="hi-IN"/>
        </w:rPr>
        <w:fldChar w:fldCharType="end"/>
      </w:r>
      <w:r w:rsidR="00C61ABF">
        <w:rPr>
          <w:rFonts w:ascii="Times New Roman" w:eastAsia="SimSun" w:hAnsi="Times New Roman" w:cs="Calibri"/>
          <w:color w:val="000000" w:themeColor="text1"/>
          <w:lang w:eastAsia="hi-IN" w:bidi="hi-IN"/>
        </w:rPr>
        <w:t>.</w:t>
      </w:r>
    </w:p>
    <w:p w14:paraId="104738A9" w14:textId="352AF4C4" w:rsidR="00B46B35" w:rsidRDefault="00D725F2" w:rsidP="007E6C7C">
      <w:pPr>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With regards to animal welfare, the techniques and technologies of synthetic biology </w:t>
      </w:r>
      <w:r w:rsidR="00BA3911">
        <w:rPr>
          <w:rFonts w:ascii="Times New Roman" w:eastAsia="SimSun" w:hAnsi="Times New Roman" w:cs="Calibri"/>
          <w:color w:val="000000" w:themeColor="text1"/>
          <w:lang w:eastAsia="hi-IN" w:bidi="hi-IN"/>
        </w:rPr>
        <w:t xml:space="preserve">have </w:t>
      </w:r>
      <w:r w:rsidR="00F62739">
        <w:rPr>
          <w:rFonts w:ascii="Times New Roman" w:eastAsia="SimSun" w:hAnsi="Times New Roman" w:cs="Calibri"/>
          <w:color w:val="000000" w:themeColor="text1"/>
          <w:lang w:eastAsia="hi-IN" w:bidi="hi-IN"/>
        </w:rPr>
        <w:t xml:space="preserve">the potential </w:t>
      </w:r>
      <w:r w:rsidR="003A65A7">
        <w:rPr>
          <w:rFonts w:ascii="Times New Roman" w:eastAsia="SimSun" w:hAnsi="Times New Roman" w:cs="Calibri"/>
          <w:color w:val="000000" w:themeColor="text1"/>
          <w:lang w:eastAsia="hi-IN" w:bidi="hi-IN"/>
        </w:rPr>
        <w:t xml:space="preserve">to </w:t>
      </w:r>
      <w:r>
        <w:rPr>
          <w:rFonts w:ascii="Times New Roman" w:eastAsia="SimSun" w:hAnsi="Times New Roman" w:cs="Calibri"/>
          <w:color w:val="000000" w:themeColor="text1"/>
          <w:lang w:eastAsia="hi-IN" w:bidi="hi-IN"/>
        </w:rPr>
        <w:t xml:space="preserve">alleviate animal suffering in agricultural settings </w:t>
      </w:r>
      <w:r w:rsidR="00CE446A">
        <w:rPr>
          <w:rFonts w:ascii="Times New Roman" w:eastAsia="SimSun" w:hAnsi="Times New Roman" w:cs="Calibri"/>
          <w:color w:val="000000" w:themeColor="text1"/>
          <w:lang w:eastAsia="hi-IN" w:bidi="hi-IN"/>
        </w:rPr>
        <w:fldChar w:fldCharType="begin" w:fldLock="1"/>
      </w:r>
      <w:r w:rsidR="00CE446A">
        <w:rPr>
          <w:rFonts w:ascii="Times New Roman" w:eastAsia="SimSun" w:hAnsi="Times New Roman" w:cs="Calibri"/>
          <w:color w:val="000000" w:themeColor="text1"/>
          <w:lang w:eastAsia="hi-IN" w:bidi="hi-IN"/>
        </w:rPr>
        <w:instrText>ADDIN CSL_CITATION {"citationItems":[{"id":"ITEM-1","itemData":{"DOI":"10.1098/rstb.2018.0106","ISSN":"14712970","PMID":"30905297","abstract":"In recent years, new genome editing technologies have emerged that can edit the genome of non-human animals with progressively increasing efficiency. Despite ongoing academic debate about the ethical implications of these technologies, no comprehensive overview of this debate exists. To address this gap in the literature, we conducted a systematic review of the reasons reported in the academic literature for and against the development and use of genome editing technologies in animals. Most included articles were written by academics from the biomedical or animal sciences. The reported reasons related to seven themes: human health, efficiency, risks and uncertainty, animal welfare, animal dignity, environmental considerations and public acceptability. Our findings illuminate several key considerations about the academic debate, including a low disciplinary diversity in the contributing academics, a scarcity of systematic comparisons of potential consequences of using these technologies, an underrepresentation of animal interests, and a disjunction between the public and academic debate on this topic. As such, this article can be considered a call for a broad range of academics to get increasingly involved in the discussion about genome editing, to incorporate animal interests and systematic comparisons, and to further discuss the aims and methods of public involvement. This article is part of a discussion meeting issue 'The ecology and evolution of prokaryotic CRISPR-Cas adaptive immune systems'.","author":[{"dropping-particle":"De","family":"Graeff","given":"Nienke","non-dropping-particle":"","parse-names":false,"suffix":""},{"dropping-particle":"","family":"Jongsma","given":"Karin R","non-dropping-particle":"","parse-names":false,"suffix":""},{"dropping-particle":"","family":"Johnston","given":"Josephine","non-dropping-particle":"","parse-names":false,"suffix":""},{"dropping-particle":"","family":"Hartley","given":"Sarah","non-dropping-particle":"","parse-names":false,"suffix":""},{"dropping-particle":"","family":"Bredenoord","given":"Annelien L","non-dropping-particle":"","parse-names":false,"suffix":""}],"container-title":"Philosophical Transactions of the Royal Society B: Biological Sciences","id":"ITEM-1","issue":"1772","issued":{"date-parts":[["2019"]]},"publisher":"Royal Society Publishing","title":"The ethics of genome editing in non-human animals: A systematic review of reasons reported in the academic literature","type":"article","volume":"374"},"uris":["http://www.mendeley.com/documents/?uuid=9f660a42-e7d2-4b9d-8f63-33c6ebe5c589"]}],"mendeley":{"formattedCitation":"(Graeff et al., 2019)","plainTextFormattedCitation":"(Graeff et al., 2019)","previouslyFormattedCitation":"(Graeff et al., 2019)"},"properties":{"noteIndex":0},"schema":"https://github.com/citation-style-language/schema/raw/master/csl-citation.json"}</w:instrText>
      </w:r>
      <w:r w:rsidR="00CE446A">
        <w:rPr>
          <w:rFonts w:ascii="Times New Roman" w:eastAsia="SimSun" w:hAnsi="Times New Roman" w:cs="Calibri"/>
          <w:color w:val="000000" w:themeColor="text1"/>
          <w:lang w:eastAsia="hi-IN" w:bidi="hi-IN"/>
        </w:rPr>
        <w:fldChar w:fldCharType="separate"/>
      </w:r>
      <w:r w:rsidR="00CE446A" w:rsidRPr="003602A4">
        <w:rPr>
          <w:rFonts w:ascii="Times New Roman" w:eastAsia="SimSun" w:hAnsi="Times New Roman" w:cs="Calibri"/>
          <w:noProof/>
          <w:color w:val="000000" w:themeColor="text1"/>
          <w:lang w:eastAsia="hi-IN" w:bidi="hi-IN"/>
        </w:rPr>
        <w:t>(Graeff et al., 2019)</w:t>
      </w:r>
      <w:r w:rsidR="00CE446A">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 xml:space="preserve">. Some could view the application of synthetic biology techniques as analogous to selective breeding, especially in cases where species-specific function is not hampered </w:t>
      </w:r>
      <w:r w:rsidR="00CE446A">
        <w:rPr>
          <w:rFonts w:ascii="Times New Roman" w:eastAsia="SimSun" w:hAnsi="Times New Roman" w:cs="Calibri"/>
          <w:color w:val="000000" w:themeColor="text1"/>
          <w:lang w:eastAsia="hi-IN" w:bidi="hi-IN"/>
        </w:rPr>
        <w:fldChar w:fldCharType="begin" w:fldLock="1"/>
      </w:r>
      <w:r w:rsidR="00CE446A">
        <w:rPr>
          <w:rFonts w:ascii="Times New Roman" w:eastAsia="SimSun" w:hAnsi="Times New Roman" w:cs="Calibri"/>
          <w:color w:val="000000" w:themeColor="text1"/>
          <w:lang w:eastAsia="hi-IN" w:bidi="hi-IN"/>
        </w:rPr>
        <w:instrText>ADDIN CSL_CITATION {"citationItems":[{"id":"ITEM-1","itemData":{"DOI":"10.1007/s10806-017-9673-8","ISSN":"1573322X","abstract":"Pedigree dog breeding has been the subject of public debate due to health problems caused by breeding for extreme looks and the narrow genepool of many breeds. Our research aims to provide insights in order to further the animal-ethical, political and society-wide discussion regarding the future of pedigree dog breeding in the Netherlands. Guided by the question ‘How far are we allowed to interfere in the genetic make-up of dogs, through breeding and genetic modification?’, we carried out a multi-method case-driven research, reviewing literature as well as identifying the perceptions of pedigree dog breeding of a variety of parties in the Netherlands. We examined what moral arguments and concepts different stakeholders, including breeders, veterinarians and animal protection societies, put forward when considering this question. While welfare arguments were often used as a final justification, we also frequently encountered arguments beyond welfare in practice, in particular the arguments that certain adaptations were unnatural, that they instrumentalised animals, or that they amounted to playing God. We argue that the way these arguments are employed points to a virtue ethical approach, foregrounding the virtue of temperance, as a balance between extreme positions was sought by our respondents in a variety of ways. Moreover, we argue against a rejection of unnaturalness arguments based on the naturalistic fallacy, as philosophers tend to do. We point out that unnaturalness arguments are related to people’s worldviews, including views on the proper human–animal relationship. We argue that such arguments, which we label ‘life-ethical’, should be the subject of more public discussion and should not be relegated to the private sphere.","author":[{"dropping-particle":"","family":"Bovenkerk","given":"Bernice","non-dropping-particle":"","parse-names":false,"suffix":""},{"dropping-particle":"","family":"Nijland","given":"Hanneke J","non-dropping-particle":"","parse-names":false,"suffix":""}],"container-title":"Journal of Agricultural and Environmental Ethics","id":"ITEM-1","issue":"3","issued":{"date-parts":[["2017"]]},"page":"387-412","publisher":"Springer Netherlands","title":"The Pedigree Dog Breeding Debate in Ethics and Practice: Beyond Welfare Arguments","type":"article-journal","volume":"30"},"uris":["http://www.mendeley.com/documents/?uuid=4a62f7be-ed54-4fff-ad6d-269dc31eac22"]}],"mendeley":{"formattedCitation":"(Bovenkerk &amp; Nijland, 2017)","plainTextFormattedCitation":"(Bovenkerk &amp; Nijland, 2017)","previouslyFormattedCitation":"(Bovenkerk &amp; Nijland, 2017)"},"properties":{"noteIndex":0},"schema":"https://github.com/citation-style-language/schema/raw/master/csl-citation.json"}</w:instrText>
      </w:r>
      <w:r w:rsidR="00CE446A">
        <w:rPr>
          <w:rFonts w:ascii="Times New Roman" w:eastAsia="SimSun" w:hAnsi="Times New Roman" w:cs="Calibri"/>
          <w:color w:val="000000" w:themeColor="text1"/>
          <w:lang w:eastAsia="hi-IN" w:bidi="hi-IN"/>
        </w:rPr>
        <w:fldChar w:fldCharType="separate"/>
      </w:r>
      <w:r w:rsidR="00CE446A" w:rsidRPr="003602A4">
        <w:rPr>
          <w:rFonts w:ascii="Times New Roman" w:eastAsia="SimSun" w:hAnsi="Times New Roman" w:cs="Calibri"/>
          <w:noProof/>
          <w:color w:val="000000" w:themeColor="text1"/>
          <w:lang w:eastAsia="hi-IN" w:bidi="hi-IN"/>
        </w:rPr>
        <w:t>(Bovenkerk &amp; Nijland, 2017)</w:t>
      </w:r>
      <w:r w:rsidR="00CE446A">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 xml:space="preserve">. </w:t>
      </w:r>
      <w:r w:rsidR="002649CC">
        <w:rPr>
          <w:rFonts w:ascii="Times New Roman" w:eastAsia="SimSun" w:hAnsi="Times New Roman" w:cs="Calibri"/>
          <w:color w:val="000000" w:themeColor="text1"/>
          <w:lang w:eastAsia="hi-IN" w:bidi="hi-IN"/>
        </w:rPr>
        <w:t>O</w:t>
      </w:r>
      <w:r>
        <w:rPr>
          <w:rFonts w:ascii="Times New Roman" w:eastAsia="SimSun" w:hAnsi="Times New Roman" w:cs="Calibri"/>
          <w:color w:val="000000" w:themeColor="text1"/>
          <w:lang w:eastAsia="hi-IN" w:bidi="hi-IN"/>
        </w:rPr>
        <w:t xml:space="preserve">n the other hand, </w:t>
      </w:r>
      <w:r w:rsidR="00A109FC">
        <w:rPr>
          <w:rFonts w:ascii="Times New Roman" w:eastAsia="SimSun" w:hAnsi="Times New Roman" w:cs="Calibri"/>
          <w:color w:val="000000" w:themeColor="text1"/>
          <w:lang w:eastAsia="hi-IN" w:bidi="hi-IN"/>
        </w:rPr>
        <w:t>others</w:t>
      </w:r>
      <w:r>
        <w:rPr>
          <w:rFonts w:ascii="Times New Roman" w:eastAsia="SimSun" w:hAnsi="Times New Roman" w:cs="Calibri"/>
          <w:color w:val="000000" w:themeColor="text1"/>
          <w:lang w:eastAsia="hi-IN" w:bidi="hi-IN"/>
        </w:rPr>
        <w:t xml:space="preserve"> may consider</w:t>
      </w:r>
      <w:r w:rsidR="005A6431">
        <w:rPr>
          <w:rFonts w:ascii="Times New Roman" w:eastAsia="SimSun" w:hAnsi="Times New Roman" w:cs="Calibri"/>
          <w:color w:val="000000" w:themeColor="text1"/>
          <w:lang w:eastAsia="hi-IN" w:bidi="hi-IN"/>
        </w:rPr>
        <w:t xml:space="preserve"> it</w:t>
      </w:r>
      <w:r>
        <w:rPr>
          <w:rFonts w:ascii="Times New Roman" w:eastAsia="SimSun" w:hAnsi="Times New Roman" w:cs="Calibri"/>
          <w:color w:val="000000" w:themeColor="text1"/>
          <w:lang w:eastAsia="hi-IN" w:bidi="hi-IN"/>
        </w:rPr>
        <w:t xml:space="preserve"> to </w:t>
      </w:r>
      <w:r w:rsidRPr="006B05B9">
        <w:rPr>
          <w:rFonts w:ascii="Times New Roman" w:eastAsia="SimSun" w:hAnsi="Times New Roman" w:cs="Calibri"/>
          <w:color w:val="000000" w:themeColor="text1"/>
          <w:lang w:eastAsia="hi-IN" w:bidi="hi-IN"/>
        </w:rPr>
        <w:t xml:space="preserve">be </w:t>
      </w:r>
      <w:r w:rsidRPr="00416C21">
        <w:rPr>
          <w:rFonts w:ascii="Times New Roman" w:eastAsia="SimSun" w:hAnsi="Times New Roman" w:cs="Calibri"/>
          <w:color w:val="000000" w:themeColor="text1"/>
          <w:lang w:eastAsia="hi-IN" w:bidi="hi-IN"/>
        </w:rPr>
        <w:t>an affront</w:t>
      </w:r>
      <w:r w:rsidRPr="006B05B9">
        <w:rPr>
          <w:rFonts w:ascii="Times New Roman" w:eastAsia="SimSun" w:hAnsi="Times New Roman" w:cs="Calibri"/>
          <w:color w:val="000000" w:themeColor="text1"/>
          <w:lang w:eastAsia="hi-IN" w:bidi="hi-IN"/>
        </w:rPr>
        <w:t xml:space="preserve"> to an animal's dignity or could prevent the animal from living according to its instincts</w:t>
      </w:r>
      <w:r>
        <w:rPr>
          <w:rFonts w:ascii="Times New Roman" w:eastAsia="SimSun" w:hAnsi="Times New Roman" w:cs="Calibri"/>
          <w:color w:val="000000" w:themeColor="text1"/>
          <w:lang w:eastAsia="hi-IN" w:bidi="hi-IN"/>
        </w:rPr>
        <w:t>, which may or may not be relevant given our understanding of self-determination and being a moral agent. Additional concerns could also be related to the perpetuated use of animals in research as a result of an increased interest in modifying them, which may contribute to more suffering, especially in the context of off-target effects that may lead to birth defects or postnatal death</w:t>
      </w:r>
      <w:r w:rsidR="004858BF">
        <w:rPr>
          <w:rFonts w:ascii="Times New Roman" w:eastAsia="SimSun" w:hAnsi="Times New Roman" w:cs="Calibri"/>
          <w:color w:val="000000" w:themeColor="text1"/>
          <w:lang w:eastAsia="hi-IN" w:bidi="hi-IN"/>
        </w:rPr>
        <w:t>, or perpetuate poor animal management in intensive farming operations</w:t>
      </w:r>
      <w:r>
        <w:rPr>
          <w:rFonts w:ascii="Times New Roman" w:eastAsia="SimSun" w:hAnsi="Times New Roman" w:cs="Calibri"/>
          <w:color w:val="000000" w:themeColor="text1"/>
          <w:lang w:eastAsia="hi-IN" w:bidi="hi-IN"/>
        </w:rPr>
        <w:t xml:space="preserve"> </w:t>
      </w:r>
      <w:r w:rsidR="00680E09">
        <w:rPr>
          <w:rFonts w:ascii="Times New Roman" w:eastAsia="SimSun" w:hAnsi="Times New Roman" w:cs="Calibri"/>
          <w:color w:val="000000" w:themeColor="text1"/>
          <w:lang w:eastAsia="hi-IN" w:bidi="hi-IN"/>
        </w:rPr>
        <w:fldChar w:fldCharType="begin" w:fldLock="1"/>
      </w:r>
      <w:r w:rsidR="00680E09">
        <w:rPr>
          <w:rFonts w:ascii="Times New Roman" w:eastAsia="SimSun" w:hAnsi="Times New Roman" w:cs="Calibri"/>
          <w:color w:val="000000" w:themeColor="text1"/>
          <w:lang w:eastAsia="hi-IN" w:bidi="hi-IN"/>
        </w:rPr>
        <w:instrText>ADDIN CSL_CITATION {"citationItems":[{"id":"ITEM-1","itemData":{"DOI":"10.1098/rstb.2018.0106","ISSN":"14712970","PMID":"30905297","abstract":"In recent years, new genome editing technologies have emerged that can edit the genome of non-human animals with progressively increasing efficiency. Despite ongoing academic debate about the ethical implications of these technologies, no comprehensive overview of this debate exists. To address this gap in the literature, we conducted a systematic review of the reasons reported in the academic literature for and against the development and use of genome editing technologies in animals. Most included articles were written by academics from the biomedical or animal sciences. The reported reasons related to seven themes: human health, efficiency, risks and uncertainty, animal welfare, animal dignity, environmental considerations and public acceptability. Our findings illuminate several key considerations about the academic debate, including a low disciplinary diversity in the contributing academics, a scarcity of systematic comparisons of potential consequences of using these technologies, an underrepresentation of animal interests, and a disjunction between the public and academic debate on this topic. As such, this article can be considered a call for a broad range of academics to get increasingly involved in the discussion about genome editing, to incorporate animal interests and systematic comparisons, and to further discuss the aims and methods of public involvement. This article is part of a discussion meeting issue 'The ecology and evolution of prokaryotic CRISPR-Cas adaptive immune systems'.","author":[{"dropping-particle":"De","family":"Graeff","given":"Nienke","non-dropping-particle":"","parse-names":false,"suffix":""},{"dropping-particle":"","family":"Jongsma","given":"Karin R","non-dropping-particle":"","parse-names":false,"suffix":""},{"dropping-particle":"","family":"Johnston","given":"Josephine","non-dropping-particle":"","parse-names":false,"suffix":""},{"dropping-particle":"","family":"Hartley","given":"Sarah","non-dropping-particle":"","parse-names":false,"suffix":""},{"dropping-particle":"","family":"Bredenoord","given":"Annelien L","non-dropping-particle":"","parse-names":false,"suffix":""}],"container-title":"Philosophical Transactions of the Royal Society B: Biological Sciences","id":"ITEM-1","issue":"1772","issued":{"date-parts":[["2019"]]},"publisher":"Royal Society Publishing","title":"The ethics of genome editing in non-human animals: A systematic review of reasons reported in the academic literature","type":"article","volume":"374"},"uris":["http://www.mendeley.com/documents/?uuid=9f660a42-e7d2-4b9d-8f63-33c6ebe5c589"]},{"id":"ITEM-2","itemData":{"author":[{"dropping-particle":"","family":"Cotter","given":"Janet","non-dropping-particle":"","parse-names":false,"suffix":""},{"dropping-particle":"","family":"Perls","given":"Dana","non-dropping-particle":"","parse-names":false,"suffix":""}],"id":"ITEM-2","issued":{"date-parts":[["2019"]]},"number-of-pages":"41","title":"Genetically Engineered Animals: From Lab to Factory Farm","type":"report"},"uris":["http://www.mendeley.com/documents/?uuid=a78386cb-dd36-443e-ad88-30aaeccb9600"]}],"mendeley":{"formattedCitation":"(Cotter &amp; Perls, 2019; Graeff et al., 2019)","plainTextFormattedCitation":"(Cotter &amp; Perls, 2019; Graeff et al., 2019)","previouslyFormattedCitation":"(Cotter &amp; Perls, 2019; Graeff et al., 2019)"},"properties":{"noteIndex":0},"schema":"https://github.com/citation-style-language/schema/raw/master/csl-citation.json"}</w:instrText>
      </w:r>
      <w:r w:rsidR="00680E09">
        <w:rPr>
          <w:rFonts w:ascii="Times New Roman" w:eastAsia="SimSun" w:hAnsi="Times New Roman" w:cs="Calibri"/>
          <w:color w:val="000000" w:themeColor="text1"/>
          <w:lang w:eastAsia="hi-IN" w:bidi="hi-IN"/>
        </w:rPr>
        <w:fldChar w:fldCharType="separate"/>
      </w:r>
      <w:r w:rsidR="00680E09" w:rsidRPr="00680E09">
        <w:rPr>
          <w:rFonts w:ascii="Times New Roman" w:eastAsia="SimSun" w:hAnsi="Times New Roman" w:cs="Calibri"/>
          <w:noProof/>
          <w:color w:val="000000" w:themeColor="text1"/>
          <w:lang w:eastAsia="hi-IN" w:bidi="hi-IN"/>
        </w:rPr>
        <w:t>(Cotter &amp; Perls, 2019; Graeff et al., 2019)</w:t>
      </w:r>
      <w:r w:rsidR="00680E09">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 xml:space="preserve">. Further, practices to modify animals may </w:t>
      </w:r>
      <w:r w:rsidR="00537A17">
        <w:rPr>
          <w:rFonts w:ascii="Times New Roman" w:eastAsia="SimSun" w:hAnsi="Times New Roman" w:cs="Calibri"/>
          <w:color w:val="000000" w:themeColor="text1"/>
          <w:lang w:eastAsia="hi-IN" w:bidi="hi-IN"/>
        </w:rPr>
        <w:t xml:space="preserve">be a further </w:t>
      </w:r>
      <w:r>
        <w:rPr>
          <w:rFonts w:ascii="Times New Roman" w:eastAsia="SimSun" w:hAnsi="Times New Roman" w:cs="Calibri"/>
          <w:color w:val="000000" w:themeColor="text1"/>
          <w:lang w:eastAsia="hi-IN" w:bidi="hi-IN"/>
        </w:rPr>
        <w:t>exert</w:t>
      </w:r>
      <w:r w:rsidR="00537A17">
        <w:rPr>
          <w:rFonts w:ascii="Times New Roman" w:eastAsia="SimSun" w:hAnsi="Times New Roman" w:cs="Calibri"/>
          <w:color w:val="000000" w:themeColor="text1"/>
          <w:lang w:eastAsia="hi-IN" w:bidi="hi-IN"/>
        </w:rPr>
        <w:t>ion</w:t>
      </w:r>
      <w:r>
        <w:rPr>
          <w:rFonts w:ascii="Times New Roman" w:eastAsia="SimSun" w:hAnsi="Times New Roman" w:cs="Calibri"/>
          <w:color w:val="000000" w:themeColor="text1"/>
          <w:lang w:eastAsia="hi-IN" w:bidi="hi-IN"/>
        </w:rPr>
        <w:t xml:space="preserve"> </w:t>
      </w:r>
      <w:r w:rsidR="009E53AF">
        <w:rPr>
          <w:rFonts w:ascii="Times New Roman" w:eastAsia="SimSun" w:hAnsi="Times New Roman" w:cs="Calibri"/>
          <w:color w:val="000000" w:themeColor="text1"/>
          <w:lang w:eastAsia="hi-IN" w:bidi="hi-IN"/>
        </w:rPr>
        <w:t xml:space="preserve">of human </w:t>
      </w:r>
      <w:r>
        <w:rPr>
          <w:rFonts w:ascii="Times New Roman" w:eastAsia="SimSun" w:hAnsi="Times New Roman" w:cs="Calibri"/>
          <w:color w:val="000000" w:themeColor="text1"/>
          <w:lang w:eastAsia="hi-IN" w:bidi="hi-IN"/>
        </w:rPr>
        <w:t xml:space="preserve">control </w:t>
      </w:r>
      <w:r w:rsidR="009E53AF">
        <w:rPr>
          <w:rFonts w:ascii="Times New Roman" w:eastAsia="SimSun" w:hAnsi="Times New Roman" w:cs="Calibri"/>
          <w:color w:val="000000" w:themeColor="text1"/>
          <w:lang w:eastAsia="hi-IN" w:bidi="hi-IN"/>
        </w:rPr>
        <w:t>over</w:t>
      </w:r>
      <w:r>
        <w:rPr>
          <w:rFonts w:ascii="Times New Roman" w:eastAsia="SimSun" w:hAnsi="Times New Roman" w:cs="Calibri"/>
          <w:color w:val="000000" w:themeColor="text1"/>
          <w:lang w:eastAsia="hi-IN" w:bidi="hi-IN"/>
        </w:rPr>
        <w:t xml:space="preserve"> animals, which may be morally unacceptable if animals are </w:t>
      </w:r>
      <w:r w:rsidR="009E53AF">
        <w:rPr>
          <w:rFonts w:ascii="Times New Roman" w:eastAsia="SimSun" w:hAnsi="Times New Roman" w:cs="Calibri"/>
          <w:color w:val="000000" w:themeColor="text1"/>
          <w:lang w:eastAsia="hi-IN" w:bidi="hi-IN"/>
        </w:rPr>
        <w:t xml:space="preserve">viewed </w:t>
      </w:r>
      <w:r>
        <w:rPr>
          <w:rFonts w:ascii="Times New Roman" w:eastAsia="SimSun" w:hAnsi="Times New Roman" w:cs="Calibri"/>
          <w:color w:val="000000" w:themeColor="text1"/>
          <w:lang w:eastAsia="hi-IN" w:bidi="hi-IN"/>
        </w:rPr>
        <w:t>only</w:t>
      </w:r>
      <w:r w:rsidR="004E39AD">
        <w:rPr>
          <w:rFonts w:ascii="Times New Roman" w:eastAsia="SimSun" w:hAnsi="Times New Roman" w:cs="Calibri"/>
          <w:color w:val="000000" w:themeColor="text1"/>
          <w:lang w:eastAsia="hi-IN" w:bidi="hi-IN"/>
        </w:rPr>
        <w:t xml:space="preserve"> as</w:t>
      </w:r>
      <w:r>
        <w:rPr>
          <w:rFonts w:ascii="Times New Roman" w:eastAsia="SimSun" w:hAnsi="Times New Roman" w:cs="Calibri"/>
          <w:color w:val="000000" w:themeColor="text1"/>
          <w:lang w:eastAsia="hi-IN" w:bidi="hi-IN"/>
        </w:rPr>
        <w:t xml:space="preserve"> objects for human use </w:t>
      </w:r>
      <w:r w:rsidR="00680E09">
        <w:rPr>
          <w:rFonts w:ascii="Times New Roman" w:eastAsia="SimSun" w:hAnsi="Times New Roman" w:cs="Calibri"/>
          <w:color w:val="000000" w:themeColor="text1"/>
          <w:lang w:eastAsia="hi-IN" w:bidi="hi-IN"/>
        </w:rPr>
        <w:fldChar w:fldCharType="begin" w:fldLock="1"/>
      </w:r>
      <w:r w:rsidR="00A51841">
        <w:rPr>
          <w:rFonts w:ascii="Times New Roman" w:eastAsia="SimSun" w:hAnsi="Times New Roman" w:cs="Calibri"/>
          <w:color w:val="000000" w:themeColor="text1"/>
          <w:lang w:eastAsia="hi-IN" w:bidi="hi-IN"/>
        </w:rPr>
        <w:instrText>ADDIN CSL_CITATION {"citationItems":[{"id":"ITEM-1","itemData":{"DOI":"10.3906/biy-1912-52","ISSN":"13036092","abstract":"Genome editing technologies have led to fundamental changes in genetic science. Among them, CRISPR-Cas9 technology particularly stands out due to its advantages such as easy handling, high accuracy, and low cost. It has made a quick introduction in fields related to humans, animals, and the environment, while raising difficult questions, applications, concerns, and bioethical issues to be discussed. Most concerns stem from the use of CRISPR-Cas9 to genetically alter human germline cells and embryos (called germline genome editing). Germline genome editing leads to serial bioethical issues, such as the occurrence of undesirable changes in the genome, from whom and how informed consent is obtained, and the breeding of the human species (eugenics). However, the bioethical issues that CRISPR-Cas9 technology could cause in the environment, agriculture and livestock should also not be forgotten. In order for CRISPR-Cas9 to be used safely in all areas and to solve potential issues, worldwide legislation should be prepared, taking into account the opinions of both life and social scientists, policy makers, and all other stakeholders of the sectors, and CRISPR-Cas9 applications should be implemented according to such legislations. However, these controls should not restrict scientific freedom. Here, various applications of CRISPR-Cas9 technology, especially in medicine and agriculture, are described and ethical issues related to genome editing using CRISPR-Cas9 technology are discussed. The social and bioethical concerns in relation to human beings, other organisms, and the environment are addressed.","author":[{"dropping-particle":"","family":"Ayanoğlu","given":"Fatma Betül","non-dropping-particle":"","parse-names":false,"suffix":""},{"dropping-particle":"","family":"Elçİn","given":"Ayşe Eser","non-dropping-particle":"","parse-names":false,"suffix":""},{"dropping-particle":"","family":"Elçİn","given":"Yaşar Murat","non-dropping-particle":"","parse-names":false,"suffix":""}],"container-title":"Turkish Journal of Biology","id":"ITEM-1","issue":"2","issued":{"date-parts":[["2020"]]},"page":"110-120","publisher":"Scientific and Technical Research Council of Turkey","title":"Bioethical issues in genome editing by CRISPR-Cas9 technology","type":"article-journal","volume":"44"},"uris":["http://www.mendeley.com/documents/?uuid=0c248eec-cbd6-44ca-afc7-c943c0fd9a85"]}],"mendeley":{"formattedCitation":"(Ayanoğlu et al., 2020)","plainTextFormattedCitation":"(Ayanoğlu et al., 2020)","previouslyFormattedCitation":"(Ayanoğlu et al., 2020)"},"properties":{"noteIndex":0},"schema":"https://github.com/citation-style-language/schema/raw/master/csl-citation.json"}</w:instrText>
      </w:r>
      <w:r w:rsidR="00680E09">
        <w:rPr>
          <w:rFonts w:ascii="Times New Roman" w:eastAsia="SimSun" w:hAnsi="Times New Roman" w:cs="Calibri"/>
          <w:color w:val="000000" w:themeColor="text1"/>
          <w:lang w:eastAsia="hi-IN" w:bidi="hi-IN"/>
        </w:rPr>
        <w:fldChar w:fldCharType="separate"/>
      </w:r>
      <w:r w:rsidR="00680E09" w:rsidRPr="00680E09">
        <w:rPr>
          <w:rFonts w:ascii="Times New Roman" w:eastAsia="SimSun" w:hAnsi="Times New Roman" w:cs="Calibri"/>
          <w:noProof/>
          <w:color w:val="000000" w:themeColor="text1"/>
          <w:lang w:eastAsia="hi-IN" w:bidi="hi-IN"/>
        </w:rPr>
        <w:t>(Ayanoğlu et al., 2020)</w:t>
      </w:r>
      <w:r w:rsidR="00680E09">
        <w:rPr>
          <w:rFonts w:ascii="Times New Roman" w:eastAsia="SimSun" w:hAnsi="Times New Roman" w:cs="Calibri"/>
          <w:color w:val="000000" w:themeColor="text1"/>
          <w:lang w:eastAsia="hi-IN" w:bidi="hi-IN"/>
        </w:rPr>
        <w:fldChar w:fldCharType="end"/>
      </w:r>
      <w:r w:rsidR="007F30EC">
        <w:rPr>
          <w:rFonts w:ascii="Times New Roman" w:eastAsia="SimSun" w:hAnsi="Times New Roman" w:cs="Calibri"/>
          <w:color w:val="000000" w:themeColor="text1"/>
          <w:lang w:eastAsia="hi-IN" w:bidi="hi-IN"/>
        </w:rPr>
        <w:t>.</w:t>
      </w:r>
    </w:p>
    <w:p w14:paraId="43F3AE3F" w14:textId="00B8B661" w:rsidR="5499661E" w:rsidRDefault="00D362A9" w:rsidP="5499661E">
      <w:pPr>
        <w:spacing w:before="120" w:after="120" w:line="240" w:lineRule="auto"/>
        <w:jc w:val="both"/>
        <w:rPr>
          <w:rFonts w:ascii="Times New Roman" w:eastAsia="SimSun" w:hAnsi="Times New Roman" w:cs="Calibri"/>
          <w:color w:val="000000" w:themeColor="text1"/>
          <w:lang w:eastAsia="hi-IN" w:bidi="hi-IN"/>
        </w:rPr>
      </w:pPr>
      <w:r w:rsidRPr="00D362A9">
        <w:rPr>
          <w:rFonts w:ascii="Times New Roman" w:eastAsia="SimSun" w:hAnsi="Times New Roman" w:cs="Calibri"/>
          <w:color w:val="000000" w:themeColor="text1"/>
          <w:lang w:eastAsia="hi-IN" w:bidi="hi-IN"/>
        </w:rPr>
        <w:t xml:space="preserve">In the </w:t>
      </w:r>
      <w:r w:rsidR="00E128F7" w:rsidRPr="00D362A9">
        <w:rPr>
          <w:rFonts w:ascii="Times New Roman" w:eastAsia="SimSun" w:hAnsi="Times New Roman" w:cs="Calibri"/>
          <w:color w:val="000000" w:themeColor="text1"/>
          <w:lang w:eastAsia="hi-IN" w:bidi="hi-IN"/>
        </w:rPr>
        <w:t>field</w:t>
      </w:r>
      <w:r w:rsidR="00E128F7">
        <w:rPr>
          <w:rFonts w:ascii="Times New Roman" w:eastAsia="SimSun" w:hAnsi="Times New Roman" w:cs="Calibri"/>
          <w:color w:val="000000" w:themeColor="text1"/>
          <w:lang w:eastAsia="hi-IN" w:bidi="hi-IN"/>
        </w:rPr>
        <w:t xml:space="preserve"> of</w:t>
      </w:r>
      <w:r w:rsidR="00E128F7" w:rsidRPr="00D362A9">
        <w:rPr>
          <w:rFonts w:ascii="Times New Roman" w:eastAsia="SimSun" w:hAnsi="Times New Roman" w:cs="Calibri"/>
          <w:color w:val="000000" w:themeColor="text1"/>
          <w:lang w:eastAsia="hi-IN" w:bidi="hi-IN"/>
        </w:rPr>
        <w:t xml:space="preserve"> </w:t>
      </w:r>
      <w:r w:rsidRPr="00D362A9">
        <w:rPr>
          <w:rFonts w:ascii="Times New Roman" w:eastAsia="SimSun" w:hAnsi="Times New Roman" w:cs="Calibri"/>
          <w:color w:val="000000" w:themeColor="text1"/>
          <w:lang w:eastAsia="hi-IN" w:bidi="hi-IN"/>
        </w:rPr>
        <w:t>conservation biology, some practitioners have</w:t>
      </w:r>
      <w:r>
        <w:rPr>
          <w:rFonts w:ascii="Times New Roman" w:eastAsia="SimSun" w:hAnsi="Times New Roman" w:cs="Calibri"/>
          <w:color w:val="000000" w:themeColor="text1"/>
          <w:lang w:eastAsia="hi-IN" w:bidi="hi-IN"/>
        </w:rPr>
        <w:t xml:space="preserve"> </w:t>
      </w:r>
      <w:r w:rsidRPr="00D362A9">
        <w:rPr>
          <w:rFonts w:ascii="Times New Roman" w:eastAsia="SimSun" w:hAnsi="Times New Roman" w:cs="Calibri"/>
          <w:color w:val="000000" w:themeColor="text1"/>
          <w:lang w:eastAsia="hi-IN" w:bidi="hi-IN"/>
        </w:rPr>
        <w:t>expressed hope for a convergence between the traditional past</w:t>
      </w:r>
      <w:r>
        <w:rPr>
          <w:rFonts w:ascii="Times New Roman" w:eastAsia="SimSun" w:hAnsi="Times New Roman" w:cs="Calibri"/>
          <w:color w:val="000000" w:themeColor="text1"/>
          <w:lang w:eastAsia="hi-IN" w:bidi="hi-IN"/>
        </w:rPr>
        <w:t>-</w:t>
      </w:r>
      <w:r w:rsidRPr="00D362A9">
        <w:rPr>
          <w:rFonts w:ascii="Times New Roman" w:eastAsia="SimSun" w:hAnsi="Times New Roman" w:cs="Calibri"/>
          <w:color w:val="000000" w:themeColor="text1"/>
          <w:lang w:eastAsia="hi-IN" w:bidi="hi-IN"/>
        </w:rPr>
        <w:t>looking</w:t>
      </w:r>
      <w:r>
        <w:rPr>
          <w:rFonts w:ascii="Times New Roman" w:eastAsia="SimSun" w:hAnsi="Times New Roman" w:cs="Calibri"/>
          <w:color w:val="000000" w:themeColor="text1"/>
          <w:lang w:eastAsia="hi-IN" w:bidi="hi-IN"/>
        </w:rPr>
        <w:t xml:space="preserve"> </w:t>
      </w:r>
      <w:r w:rsidRPr="00D362A9">
        <w:rPr>
          <w:rFonts w:ascii="Times New Roman" w:eastAsia="SimSun" w:hAnsi="Times New Roman" w:cs="Calibri"/>
          <w:color w:val="000000" w:themeColor="text1"/>
          <w:lang w:eastAsia="hi-IN" w:bidi="hi-IN"/>
        </w:rPr>
        <w:t>conservation mindset and the forward-looking optimism</w:t>
      </w:r>
      <w:r>
        <w:rPr>
          <w:rFonts w:ascii="Times New Roman" w:eastAsia="SimSun" w:hAnsi="Times New Roman" w:cs="Calibri"/>
          <w:color w:val="000000" w:themeColor="text1"/>
          <w:lang w:eastAsia="hi-IN" w:bidi="hi-IN"/>
        </w:rPr>
        <w:t xml:space="preserve"> </w:t>
      </w:r>
      <w:r w:rsidRPr="00D362A9">
        <w:rPr>
          <w:rFonts w:ascii="Times New Roman" w:eastAsia="SimSun" w:hAnsi="Times New Roman" w:cs="Calibri"/>
          <w:color w:val="000000" w:themeColor="text1"/>
          <w:lang w:eastAsia="hi-IN" w:bidi="hi-IN"/>
        </w:rPr>
        <w:t>of synthetic biology, with speculation that it could contribute</w:t>
      </w:r>
      <w:r>
        <w:rPr>
          <w:rFonts w:ascii="Times New Roman" w:eastAsia="SimSun" w:hAnsi="Times New Roman" w:cs="Calibri"/>
          <w:color w:val="000000" w:themeColor="text1"/>
          <w:lang w:eastAsia="hi-IN" w:bidi="hi-IN"/>
        </w:rPr>
        <w:t xml:space="preserve"> </w:t>
      </w:r>
      <w:r w:rsidRPr="00D362A9">
        <w:rPr>
          <w:rFonts w:ascii="Times New Roman" w:eastAsia="SimSun" w:hAnsi="Times New Roman" w:cs="Calibri"/>
          <w:color w:val="000000" w:themeColor="text1"/>
          <w:lang w:eastAsia="hi-IN" w:bidi="hi-IN"/>
        </w:rPr>
        <w:t>to saving endangered species and even reviving and restoring</w:t>
      </w:r>
      <w:r>
        <w:rPr>
          <w:rFonts w:ascii="Times New Roman" w:eastAsia="SimSun" w:hAnsi="Times New Roman" w:cs="Calibri"/>
          <w:color w:val="000000" w:themeColor="text1"/>
          <w:lang w:eastAsia="hi-IN" w:bidi="hi-IN"/>
        </w:rPr>
        <w:t xml:space="preserve"> </w:t>
      </w:r>
      <w:r w:rsidRPr="00D362A9">
        <w:rPr>
          <w:rFonts w:ascii="Times New Roman" w:eastAsia="SimSun" w:hAnsi="Times New Roman" w:cs="Calibri"/>
          <w:color w:val="000000" w:themeColor="text1"/>
          <w:lang w:eastAsia="hi-IN" w:bidi="hi-IN"/>
        </w:rPr>
        <w:t xml:space="preserve">extinct species </w:t>
      </w:r>
      <w:r w:rsidR="00A51841">
        <w:rPr>
          <w:rFonts w:ascii="Times New Roman" w:eastAsia="SimSun" w:hAnsi="Times New Roman" w:cs="Calibri"/>
          <w:color w:val="000000" w:themeColor="text1"/>
          <w:lang w:eastAsia="hi-IN" w:bidi="hi-IN"/>
        </w:rPr>
        <w:fldChar w:fldCharType="begin" w:fldLock="1"/>
      </w:r>
      <w:r w:rsidR="00D95484">
        <w:rPr>
          <w:rFonts w:ascii="Times New Roman" w:eastAsia="SimSun" w:hAnsi="Times New Roman" w:cs="Calibri"/>
          <w:color w:val="000000" w:themeColor="text1"/>
          <w:lang w:eastAsia="hi-IN" w:bidi="hi-IN"/>
        </w:rPr>
        <w:instrText>ADDIN CSL_CITATION {"citationItems":[{"id":"ITEM-1","itemData":{"DOI":"10.1017/S0030605314000040","ISSN":"0030-6053","abstract":"Synthetic biology is a broad and fast-moving field of innovation involving the design and construction of new biological parts, and the redesign of existing, natural biological systems to address real world problems. It has many potential applications that may change human relations to the natural world. Synthetic biology is virtually unknown to the conservation community. Based on a meeting in 2013 that brought together these two communities we consider first the differences between the two fields, and second the kinds of opportunities and risks that arise.","author":[{"dropping-particle":"","family":"Redford","given":"Kent H.","non-dropping-particle":"","parse-names":false,"suffix":""},{"dropping-particle":"","family":"Adams","given":"William","non-dropping-particle":"","parse-names":false,"suffix":""},{"dropping-particle":"","family":"Carlson","given":"Rob","non-dropping-particle":"","parse-names":false,"suffix":""},{"dropping-particle":"","family":"Mace","given":"Georgina M.","non-dropping-particle":"","parse-names":false,"suffix":""},{"dropping-particle":"","family":"Ceccarelli","given":"Bertina","non-dropping-particle":"","parse-names":false,"suffix":""}],"container-title":"Oryx","id":"ITEM-1","issue":"3","issued":{"date-parts":[["2014","7","22"]]},"page":"330-336","title":"Synthetic biology and the conservation of biodiversity","type":"article-journal","volume":"48"},"uris":["http://www.mendeley.com/documents/?uuid=67ec3116-469e-4def-83c0-fa745e0e02c3"]},{"id":"ITEM-2","itemData":{"DOI":"10.1371/journal.pbio.1001530","ISSN":"1545-7885","author":[{"dropping-particle":"","family":"Redford","given":"Kent H.","non-dropping-particle":"","parse-names":false,"suffix":""},{"dropping-particle":"","family":"Adams","given":"William","non-dropping-particle":"","parse-names":false,"suffix":""},{"dropping-particle":"","family":"Mace","given":"Georgina M.","non-dropping-particle":"","parse-names":false,"suffix":""}],"container-title":"PLoS Biology","id":"ITEM-2","issue":"4","issued":{"date-parts":[["2013","4","2"]]},"page":"e1001530","title":"Synthetic Biology and Conservation of Nature: Wicked Problems and Wicked Solutions","type":"article-journal","volume":"11"},"uris":["http://www.mendeley.com/documents/?uuid=fa176fff-56a2-4e83-b4d9-af67191a4d9a"]}],"mendeley":{"formattedCitation":"(Redford et al., 2013, 2014)","plainTextFormattedCitation":"(Redford et al., 2013, 2014)","previouslyFormattedCitation":"(Redford et al., 2013, 2014)"},"properties":{"noteIndex":0},"schema":"https://github.com/citation-style-language/schema/raw/master/csl-citation.json"}</w:instrText>
      </w:r>
      <w:r w:rsidR="00A51841">
        <w:rPr>
          <w:rFonts w:ascii="Times New Roman" w:eastAsia="SimSun" w:hAnsi="Times New Roman" w:cs="Calibri"/>
          <w:color w:val="000000" w:themeColor="text1"/>
          <w:lang w:eastAsia="hi-IN" w:bidi="hi-IN"/>
        </w:rPr>
        <w:fldChar w:fldCharType="separate"/>
      </w:r>
      <w:r w:rsidR="00A51841" w:rsidRPr="00A51841">
        <w:rPr>
          <w:rFonts w:ascii="Times New Roman" w:eastAsia="SimSun" w:hAnsi="Times New Roman" w:cs="Calibri"/>
          <w:noProof/>
          <w:color w:val="000000" w:themeColor="text1"/>
          <w:lang w:eastAsia="hi-IN" w:bidi="hi-IN"/>
        </w:rPr>
        <w:t>(Redford et al., 2013, 2014)</w:t>
      </w:r>
      <w:r w:rsidR="00A51841">
        <w:rPr>
          <w:rFonts w:ascii="Times New Roman" w:eastAsia="SimSun" w:hAnsi="Times New Roman" w:cs="Calibri"/>
          <w:color w:val="000000" w:themeColor="text1"/>
          <w:lang w:eastAsia="hi-IN" w:bidi="hi-IN"/>
        </w:rPr>
        <w:fldChar w:fldCharType="end"/>
      </w:r>
      <w:r w:rsidRPr="00D362A9">
        <w:rPr>
          <w:rFonts w:ascii="Times New Roman" w:eastAsia="SimSun" w:hAnsi="Times New Roman" w:cs="Calibri"/>
          <w:color w:val="000000" w:themeColor="text1"/>
          <w:lang w:eastAsia="hi-IN" w:bidi="hi-IN"/>
        </w:rPr>
        <w:t>.</w:t>
      </w:r>
      <w:r w:rsidR="009C68F7">
        <w:rPr>
          <w:rFonts w:ascii="Times New Roman" w:eastAsia="SimSun" w:hAnsi="Times New Roman" w:cs="Calibri"/>
          <w:color w:val="000000" w:themeColor="text1"/>
          <w:lang w:eastAsia="hi-IN" w:bidi="hi-IN"/>
        </w:rPr>
        <w:t xml:space="preserve"> </w:t>
      </w:r>
      <w:r w:rsidR="009C68F7" w:rsidRPr="009C68F7">
        <w:rPr>
          <w:rFonts w:ascii="Times New Roman" w:eastAsia="SimSun" w:hAnsi="Times New Roman" w:cs="Calibri"/>
          <w:color w:val="000000" w:themeColor="text1"/>
          <w:lang w:eastAsia="hi-IN" w:bidi="hi-IN"/>
        </w:rPr>
        <w:t>Underlying this hope</w:t>
      </w:r>
      <w:r w:rsidR="009C68F7">
        <w:rPr>
          <w:rFonts w:ascii="Times New Roman" w:eastAsia="SimSun" w:hAnsi="Times New Roman" w:cs="Calibri"/>
          <w:color w:val="000000" w:themeColor="text1"/>
          <w:lang w:eastAsia="hi-IN" w:bidi="hi-IN"/>
        </w:rPr>
        <w:t xml:space="preserve"> </w:t>
      </w:r>
      <w:r w:rsidR="009C68F7" w:rsidRPr="009C68F7">
        <w:rPr>
          <w:rFonts w:ascii="Times New Roman" w:eastAsia="SimSun" w:hAnsi="Times New Roman" w:cs="Calibri"/>
          <w:color w:val="000000" w:themeColor="text1"/>
          <w:lang w:eastAsia="hi-IN" w:bidi="hi-IN"/>
        </w:rPr>
        <w:t>is recognition that new approaches and strategies are needed to</w:t>
      </w:r>
      <w:r w:rsidR="009C68F7">
        <w:rPr>
          <w:rFonts w:ascii="Times New Roman" w:eastAsia="SimSun" w:hAnsi="Times New Roman" w:cs="Calibri"/>
          <w:color w:val="000000" w:themeColor="text1"/>
          <w:lang w:eastAsia="hi-IN" w:bidi="hi-IN"/>
        </w:rPr>
        <w:t xml:space="preserve"> </w:t>
      </w:r>
      <w:r w:rsidR="009C68F7" w:rsidRPr="009C68F7">
        <w:rPr>
          <w:rFonts w:ascii="Times New Roman" w:eastAsia="SimSun" w:hAnsi="Times New Roman" w:cs="Calibri"/>
          <w:color w:val="000000" w:themeColor="text1"/>
          <w:lang w:eastAsia="hi-IN" w:bidi="hi-IN"/>
        </w:rPr>
        <w:t>address biodiversity loss that continues despite the application</w:t>
      </w:r>
      <w:r w:rsidR="009C68F7">
        <w:rPr>
          <w:rFonts w:ascii="Times New Roman" w:eastAsia="SimSun" w:hAnsi="Times New Roman" w:cs="Calibri"/>
          <w:color w:val="000000" w:themeColor="text1"/>
          <w:lang w:eastAsia="hi-IN" w:bidi="hi-IN"/>
        </w:rPr>
        <w:t xml:space="preserve"> </w:t>
      </w:r>
      <w:r w:rsidR="009C68F7" w:rsidRPr="009C68F7">
        <w:rPr>
          <w:rFonts w:ascii="Times New Roman" w:eastAsia="SimSun" w:hAnsi="Times New Roman" w:cs="Calibri"/>
          <w:color w:val="000000" w:themeColor="text1"/>
          <w:lang w:eastAsia="hi-IN" w:bidi="hi-IN"/>
        </w:rPr>
        <w:t>of conservation efforts.</w:t>
      </w:r>
      <w:r w:rsidR="002D0DA8">
        <w:rPr>
          <w:rFonts w:ascii="Times New Roman" w:eastAsia="SimSun" w:hAnsi="Times New Roman" w:cs="Calibri"/>
          <w:color w:val="000000" w:themeColor="text1"/>
          <w:lang w:eastAsia="hi-IN" w:bidi="hi-IN"/>
        </w:rPr>
        <w:t xml:space="preserve"> </w:t>
      </w:r>
      <w:r w:rsidR="002D0DA8" w:rsidRPr="002D0DA8">
        <w:rPr>
          <w:rFonts w:ascii="Times New Roman" w:eastAsia="SimSun" w:hAnsi="Times New Roman" w:cs="Calibri"/>
          <w:color w:val="000000" w:themeColor="text1"/>
          <w:lang w:eastAsia="hi-IN" w:bidi="hi-IN"/>
        </w:rPr>
        <w:t>The optimism expressed by some is not shared by all</w:t>
      </w:r>
      <w:r w:rsidR="002D0DA8">
        <w:rPr>
          <w:rFonts w:ascii="Times New Roman" w:eastAsia="SimSun" w:hAnsi="Times New Roman" w:cs="Calibri"/>
          <w:color w:val="000000" w:themeColor="text1"/>
          <w:lang w:eastAsia="hi-IN" w:bidi="hi-IN"/>
        </w:rPr>
        <w:t xml:space="preserve"> </w:t>
      </w:r>
      <w:r w:rsidR="002D0DA8" w:rsidRPr="002D0DA8">
        <w:rPr>
          <w:rFonts w:ascii="Times New Roman" w:eastAsia="SimSun" w:hAnsi="Times New Roman" w:cs="Calibri"/>
          <w:color w:val="000000" w:themeColor="text1"/>
          <w:lang w:eastAsia="hi-IN" w:bidi="hi-IN"/>
        </w:rPr>
        <w:t>members of the conservation community, with some expressing</w:t>
      </w:r>
      <w:r w:rsidR="002D0DA8">
        <w:rPr>
          <w:rFonts w:ascii="Times New Roman" w:eastAsia="SimSun" w:hAnsi="Times New Roman" w:cs="Calibri"/>
          <w:color w:val="000000" w:themeColor="text1"/>
          <w:lang w:eastAsia="hi-IN" w:bidi="hi-IN"/>
        </w:rPr>
        <w:t xml:space="preserve"> </w:t>
      </w:r>
      <w:r w:rsidR="002D0DA8" w:rsidRPr="002D0DA8">
        <w:rPr>
          <w:rFonts w:ascii="Times New Roman" w:eastAsia="SimSun" w:hAnsi="Times New Roman" w:cs="Calibri"/>
          <w:color w:val="000000" w:themeColor="text1"/>
          <w:lang w:eastAsia="hi-IN" w:bidi="hi-IN"/>
        </w:rPr>
        <w:t>deep concern</w:t>
      </w:r>
      <w:r w:rsidR="00381D0D">
        <w:rPr>
          <w:rFonts w:ascii="Times New Roman" w:eastAsia="SimSun" w:hAnsi="Times New Roman" w:cs="Calibri"/>
          <w:color w:val="000000" w:themeColor="text1"/>
          <w:lang w:eastAsia="hi-IN" w:bidi="hi-IN"/>
        </w:rPr>
        <w:t xml:space="preserve"> </w:t>
      </w:r>
      <w:r w:rsidR="00381D0D" w:rsidRPr="00381D0D">
        <w:rPr>
          <w:rFonts w:ascii="Times New Roman" w:eastAsia="SimSun" w:hAnsi="Times New Roman" w:cs="Calibri"/>
          <w:color w:val="000000" w:themeColor="text1"/>
          <w:lang w:eastAsia="hi-IN" w:bidi="hi-IN"/>
        </w:rPr>
        <w:t>th</w:t>
      </w:r>
      <w:r w:rsidR="00052556">
        <w:rPr>
          <w:rFonts w:ascii="Times New Roman" w:eastAsia="SimSun" w:hAnsi="Times New Roman" w:cs="Calibri"/>
          <w:color w:val="000000" w:themeColor="text1"/>
          <w:lang w:eastAsia="hi-IN" w:bidi="hi-IN"/>
        </w:rPr>
        <w:t>at a</w:t>
      </w:r>
      <w:r w:rsidR="00052556" w:rsidRPr="00052556">
        <w:rPr>
          <w:rFonts w:ascii="Times New Roman" w:eastAsia="SimSun" w:hAnsi="Times New Roman" w:cs="Calibri"/>
          <w:color w:val="000000" w:themeColor="text1"/>
          <w:lang w:eastAsia="hi-IN" w:bidi="hi-IN"/>
        </w:rPr>
        <w:t>pplications of synthetic biology</w:t>
      </w:r>
      <w:r w:rsidR="00052556">
        <w:rPr>
          <w:rFonts w:ascii="Times New Roman" w:eastAsia="SimSun" w:hAnsi="Times New Roman" w:cs="Calibri"/>
          <w:color w:val="000000" w:themeColor="text1"/>
          <w:lang w:eastAsia="hi-IN" w:bidi="hi-IN"/>
        </w:rPr>
        <w:t xml:space="preserve"> </w:t>
      </w:r>
      <w:r w:rsidR="00381D0D" w:rsidRPr="00381D0D">
        <w:rPr>
          <w:rFonts w:ascii="Times New Roman" w:eastAsia="SimSun" w:hAnsi="Times New Roman" w:cs="Calibri"/>
          <w:color w:val="000000" w:themeColor="text1"/>
          <w:lang w:eastAsia="hi-IN" w:bidi="hi-IN"/>
        </w:rPr>
        <w:t>may serve as</w:t>
      </w:r>
      <w:r w:rsidR="00052556">
        <w:rPr>
          <w:rFonts w:ascii="Times New Roman" w:eastAsia="SimSun" w:hAnsi="Times New Roman" w:cs="Calibri"/>
          <w:color w:val="000000" w:themeColor="text1"/>
          <w:lang w:eastAsia="hi-IN" w:bidi="hi-IN"/>
        </w:rPr>
        <w:t xml:space="preserve"> </w:t>
      </w:r>
      <w:r w:rsidR="00381D0D" w:rsidRPr="00381D0D">
        <w:rPr>
          <w:rFonts w:ascii="Times New Roman" w:eastAsia="SimSun" w:hAnsi="Times New Roman" w:cs="Calibri"/>
          <w:color w:val="000000" w:themeColor="text1"/>
          <w:lang w:eastAsia="hi-IN" w:bidi="hi-IN"/>
        </w:rPr>
        <w:t xml:space="preserve">“Trojan horses” for other “more questionable” applications. </w:t>
      </w:r>
      <w:r w:rsidR="00834BC4">
        <w:rPr>
          <w:rFonts w:ascii="Times New Roman" w:eastAsia="SimSun" w:hAnsi="Times New Roman" w:cs="Calibri"/>
          <w:color w:val="000000" w:themeColor="text1"/>
          <w:lang w:eastAsia="hi-IN" w:bidi="hi-IN"/>
        </w:rPr>
        <w:t>A recent IUCN</w:t>
      </w:r>
      <w:r w:rsidR="00381D0D" w:rsidRPr="00381D0D">
        <w:rPr>
          <w:rFonts w:ascii="Times New Roman" w:eastAsia="SimSun" w:hAnsi="Times New Roman" w:cs="Calibri"/>
          <w:color w:val="000000" w:themeColor="text1"/>
          <w:lang w:eastAsia="hi-IN" w:bidi="hi-IN"/>
        </w:rPr>
        <w:t xml:space="preserve"> report makes a plea</w:t>
      </w:r>
      <w:r w:rsidR="00834BC4">
        <w:rPr>
          <w:rFonts w:ascii="Times New Roman" w:eastAsia="SimSun" w:hAnsi="Times New Roman" w:cs="Calibri"/>
          <w:color w:val="000000" w:themeColor="text1"/>
          <w:lang w:eastAsia="hi-IN" w:bidi="hi-IN"/>
        </w:rPr>
        <w:t xml:space="preserve"> </w:t>
      </w:r>
      <w:r w:rsidR="00381D0D" w:rsidRPr="00381D0D">
        <w:rPr>
          <w:rFonts w:ascii="Times New Roman" w:eastAsia="SimSun" w:hAnsi="Times New Roman" w:cs="Calibri"/>
          <w:color w:val="000000" w:themeColor="text1"/>
          <w:lang w:eastAsia="hi-IN" w:bidi="hi-IN"/>
        </w:rPr>
        <w:t>for the policy debate to be grounded in evidence, emphasi</w:t>
      </w:r>
      <w:r w:rsidR="00834BC4">
        <w:rPr>
          <w:rFonts w:ascii="Times New Roman" w:eastAsia="SimSun" w:hAnsi="Times New Roman" w:cs="Calibri"/>
          <w:color w:val="000000" w:themeColor="text1"/>
          <w:lang w:eastAsia="hi-IN" w:bidi="hi-IN"/>
        </w:rPr>
        <w:t>s</w:t>
      </w:r>
      <w:r w:rsidR="00381D0D" w:rsidRPr="00381D0D">
        <w:rPr>
          <w:rFonts w:ascii="Times New Roman" w:eastAsia="SimSun" w:hAnsi="Times New Roman" w:cs="Calibri"/>
          <w:color w:val="000000" w:themeColor="text1"/>
          <w:lang w:eastAsia="hi-IN" w:bidi="hi-IN"/>
        </w:rPr>
        <w:t>ing</w:t>
      </w:r>
      <w:r w:rsidR="00834BC4">
        <w:rPr>
          <w:rFonts w:ascii="Times New Roman" w:eastAsia="SimSun" w:hAnsi="Times New Roman" w:cs="Calibri"/>
          <w:color w:val="000000" w:themeColor="text1"/>
          <w:lang w:eastAsia="hi-IN" w:bidi="hi-IN"/>
        </w:rPr>
        <w:t xml:space="preserve"> </w:t>
      </w:r>
      <w:r w:rsidR="00381D0D" w:rsidRPr="00381D0D">
        <w:rPr>
          <w:rFonts w:ascii="Times New Roman" w:eastAsia="SimSun" w:hAnsi="Times New Roman" w:cs="Calibri"/>
          <w:color w:val="000000" w:themeColor="text1"/>
          <w:lang w:eastAsia="hi-IN" w:bidi="hi-IN"/>
        </w:rPr>
        <w:t>that conservation practice “</w:t>
      </w:r>
      <w:r w:rsidR="00381D0D" w:rsidRPr="008805B8">
        <w:rPr>
          <w:rFonts w:ascii="Times New Roman" w:eastAsia="SimSun" w:hAnsi="Times New Roman" w:cs="Calibri"/>
          <w:i/>
          <w:iCs/>
          <w:color w:val="000000" w:themeColor="text1"/>
          <w:lang w:eastAsia="hi-IN" w:bidi="hi-IN"/>
        </w:rPr>
        <w:t>needs to be rigorous and defensible,</w:t>
      </w:r>
      <w:r w:rsidR="00834BC4" w:rsidRPr="008805B8">
        <w:rPr>
          <w:rFonts w:ascii="Times New Roman" w:eastAsia="SimSun" w:hAnsi="Times New Roman" w:cs="Calibri"/>
          <w:i/>
          <w:iCs/>
          <w:color w:val="000000" w:themeColor="text1"/>
          <w:lang w:eastAsia="hi-IN" w:bidi="hi-IN"/>
        </w:rPr>
        <w:t xml:space="preserve"> </w:t>
      </w:r>
      <w:r w:rsidR="00381D0D" w:rsidRPr="008805B8">
        <w:rPr>
          <w:rFonts w:ascii="Times New Roman" w:eastAsia="SimSun" w:hAnsi="Times New Roman" w:cs="Calibri"/>
          <w:i/>
          <w:iCs/>
          <w:color w:val="000000" w:themeColor="text1"/>
          <w:lang w:eastAsia="hi-IN" w:bidi="hi-IN"/>
        </w:rPr>
        <w:t>building on impartial standards that are free from ideology or</w:t>
      </w:r>
      <w:r w:rsidR="00834BC4" w:rsidRPr="008805B8">
        <w:rPr>
          <w:rFonts w:ascii="Times New Roman" w:eastAsia="SimSun" w:hAnsi="Times New Roman" w:cs="Calibri"/>
          <w:i/>
          <w:iCs/>
          <w:color w:val="000000" w:themeColor="text1"/>
          <w:lang w:eastAsia="hi-IN" w:bidi="hi-IN"/>
        </w:rPr>
        <w:t xml:space="preserve"> </w:t>
      </w:r>
      <w:r w:rsidR="00381D0D" w:rsidRPr="008805B8">
        <w:rPr>
          <w:rFonts w:ascii="Times New Roman" w:eastAsia="SimSun" w:hAnsi="Times New Roman" w:cs="Calibri"/>
          <w:i/>
          <w:iCs/>
          <w:color w:val="000000" w:themeColor="text1"/>
          <w:lang w:eastAsia="hi-IN" w:bidi="hi-IN"/>
        </w:rPr>
        <w:t>political bias yet transparent in its advocacy for the natural world</w:t>
      </w:r>
      <w:r w:rsidR="00381D0D" w:rsidRPr="00381D0D">
        <w:rPr>
          <w:rFonts w:ascii="Times New Roman" w:eastAsia="SimSun" w:hAnsi="Times New Roman" w:cs="Calibri"/>
          <w:color w:val="000000" w:themeColor="text1"/>
          <w:lang w:eastAsia="hi-IN" w:bidi="hi-IN"/>
        </w:rPr>
        <w:t>”</w:t>
      </w:r>
      <w:r w:rsidR="00586C44">
        <w:rPr>
          <w:rFonts w:ascii="Times New Roman" w:eastAsia="SimSun" w:hAnsi="Times New Roman" w:cs="Calibri"/>
          <w:color w:val="000000" w:themeColor="text1"/>
          <w:lang w:eastAsia="hi-IN" w:bidi="hi-IN"/>
        </w:rPr>
        <w:t xml:space="preserve"> </w:t>
      </w:r>
      <w:r w:rsidR="00D56C01">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{"citationItems":[{"id":"ITEM-1","itemData":{"DOI":"10.2305/IUCN.CH.2019.05.en","ISBN":"9782831719733","editor":[{"dropping-particle":"","family":"Redford","given":"Kent H.","non-dropping-particle":"","parse-names":false,"suffix":""},{"dropping-particle":"","family":"Brooks","given":"Thomas M.","non-dropping-particle":"","parse-names":false,"suffix":""},{"dropping-particle":"","family":"Macfarlane","given":"Nicholas B.W.","non-dropping-particle":"","parse-names":false,"suffix":""},{"dropping-particle":"","family":"Adams","given":"Jonathan S.","non-dropping-particle":"","parse-names":false,"suffix":""}],"id":"ITEM-1","issued":{"date-parts":[["2019","5","6"]]},"publisher":"IUCN, International Union for Conservation of Nature","title":"Genetic frontiers for conservation: an assessment of synthetic biology and biodiversity conservation: technical assessment","type":"book"},"uris":["http://www.mendeley.com/documents/?uuid=9b6cd793-31c7-4755-8480-3345b89666d3"]}],"mendeley":{"formattedCitation":"(Redford et al., 2019)","manualFormatting":"(Redford et al., 2019)","plainTextFormattedCitation":"(Redford et al., 2019)","previouslyFormattedCitation":"(Redford et al., 2019)"},"properties":{"noteIndex":0},"schema":"https://github.com/citation-style-language/schema/raw/master/csl-citation.json"}</w:instrText>
      </w:r>
      <w:r w:rsidR="00D56C01">
        <w:rPr>
          <w:rFonts w:ascii="Times New Roman" w:eastAsia="SimSun" w:hAnsi="Times New Roman" w:cs="Calibri"/>
          <w:color w:val="000000" w:themeColor="text1"/>
          <w:lang w:eastAsia="hi-IN" w:bidi="hi-IN"/>
        </w:rPr>
        <w:fldChar w:fldCharType="separate"/>
      </w:r>
      <w:r w:rsidR="00D56C01" w:rsidRPr="00D56C01">
        <w:rPr>
          <w:rFonts w:ascii="Times New Roman" w:eastAsia="SimSun" w:hAnsi="Times New Roman" w:cs="Calibri"/>
          <w:noProof/>
          <w:color w:val="000000" w:themeColor="text1"/>
          <w:lang w:eastAsia="hi-IN" w:bidi="hi-IN"/>
        </w:rPr>
        <w:t>(</w:t>
      </w:r>
      <w:r w:rsidR="00007ABA" w:rsidRPr="00E439D7">
        <w:rPr>
          <w:rFonts w:ascii="Times New Roman" w:hAnsi="Times New Roman"/>
          <w:noProof/>
          <w:color w:val="000000" w:themeColor="text1"/>
          <w:lang w:eastAsia="ar-SA"/>
        </w:rPr>
        <w:t>Redford et al., 2019</w:t>
      </w:r>
      <w:r w:rsidR="00D56C01" w:rsidRPr="00D56C01">
        <w:rPr>
          <w:rFonts w:ascii="Times New Roman" w:eastAsia="SimSun" w:hAnsi="Times New Roman" w:cs="Calibri"/>
          <w:noProof/>
          <w:color w:val="000000" w:themeColor="text1"/>
          <w:lang w:eastAsia="hi-IN" w:bidi="hi-IN"/>
        </w:rPr>
        <w:t>)</w:t>
      </w:r>
      <w:r w:rsidR="00D56C01">
        <w:rPr>
          <w:rFonts w:ascii="Times New Roman" w:eastAsia="SimSun" w:hAnsi="Times New Roman" w:cs="Calibri"/>
          <w:color w:val="000000" w:themeColor="text1"/>
          <w:lang w:eastAsia="hi-IN" w:bidi="hi-IN"/>
        </w:rPr>
        <w:fldChar w:fldCharType="end"/>
      </w:r>
      <w:r w:rsidR="00381D0D" w:rsidRPr="00381D0D">
        <w:rPr>
          <w:rFonts w:ascii="Times New Roman" w:eastAsia="SimSun" w:hAnsi="Times New Roman" w:cs="Calibri"/>
          <w:color w:val="000000" w:themeColor="text1"/>
          <w:lang w:eastAsia="hi-IN" w:bidi="hi-IN"/>
        </w:rPr>
        <w:t>.</w:t>
      </w:r>
      <w:r w:rsidR="00586C44">
        <w:rPr>
          <w:rFonts w:ascii="Times New Roman" w:eastAsia="SimSun" w:hAnsi="Times New Roman" w:cs="Calibri"/>
          <w:color w:val="000000" w:themeColor="text1"/>
          <w:lang w:eastAsia="hi-IN" w:bidi="hi-IN"/>
        </w:rPr>
        <w:t xml:space="preserve"> </w:t>
      </w:r>
      <w:r w:rsidR="009455DB" w:rsidRPr="36140518">
        <w:rPr>
          <w:rFonts w:ascii="Times New Roman" w:eastAsia="SimSun" w:hAnsi="Times New Roman" w:cs="Calibri"/>
          <w:color w:val="000000" w:themeColor="text1"/>
          <w:lang w:eastAsia="hi-IN" w:bidi="hi-IN"/>
        </w:rPr>
        <w:t>There therefore</w:t>
      </w:r>
      <w:r w:rsidR="009E1A51" w:rsidRPr="36140518">
        <w:rPr>
          <w:rFonts w:ascii="Times New Roman" w:eastAsia="SimSun" w:hAnsi="Times New Roman" w:cs="Calibri"/>
          <w:color w:val="000000" w:themeColor="text1"/>
          <w:lang w:eastAsia="hi-IN" w:bidi="hi-IN"/>
        </w:rPr>
        <w:t xml:space="preserve"> </w:t>
      </w:r>
      <w:r w:rsidR="009455DB" w:rsidRPr="36140518">
        <w:rPr>
          <w:rFonts w:ascii="Times New Roman" w:eastAsia="SimSun" w:hAnsi="Times New Roman" w:cs="Calibri"/>
          <w:color w:val="000000" w:themeColor="text1"/>
          <w:lang w:eastAsia="hi-IN" w:bidi="hi-IN"/>
        </w:rPr>
        <w:t>remains a large scope for society to be further involved in formative discussions concerning the acceptability or otherwise</w:t>
      </w:r>
      <w:r w:rsidR="00DF3786">
        <w:rPr>
          <w:rFonts w:ascii="Times New Roman" w:eastAsia="SimSun" w:hAnsi="Times New Roman" w:cs="Calibri"/>
          <w:color w:val="000000" w:themeColor="text1"/>
          <w:lang w:eastAsia="hi-IN" w:bidi="hi-IN"/>
        </w:rPr>
        <w:t xml:space="preserve">, and thus </w:t>
      </w:r>
      <w:r w:rsidR="009015C2">
        <w:rPr>
          <w:rFonts w:ascii="Times New Roman" w:eastAsia="SimSun" w:hAnsi="Times New Roman" w:cs="Calibri"/>
          <w:color w:val="000000" w:themeColor="text1"/>
          <w:lang w:eastAsia="hi-IN" w:bidi="hi-IN"/>
        </w:rPr>
        <w:t xml:space="preserve">consequently the </w:t>
      </w:r>
      <w:r w:rsidR="00DF3786">
        <w:rPr>
          <w:rFonts w:ascii="Times New Roman" w:eastAsia="SimSun" w:hAnsi="Times New Roman" w:cs="Calibri"/>
          <w:color w:val="000000" w:themeColor="text1"/>
          <w:lang w:eastAsia="hi-IN" w:bidi="hi-IN"/>
        </w:rPr>
        <w:t>regulation</w:t>
      </w:r>
      <w:r w:rsidR="009455DB" w:rsidRPr="36140518">
        <w:rPr>
          <w:rFonts w:ascii="Times New Roman" w:eastAsia="SimSun" w:hAnsi="Times New Roman" w:cs="Calibri"/>
          <w:color w:val="000000" w:themeColor="text1"/>
          <w:lang w:eastAsia="hi-IN" w:bidi="hi-IN"/>
        </w:rPr>
        <w:t xml:space="preserve"> of synthetic biology applications and products.</w:t>
      </w:r>
    </w:p>
    <w:p w14:paraId="228B5FC7" w14:textId="4C6BA66B" w:rsidR="009455DB" w:rsidRPr="007B387E" w:rsidRDefault="00C116B1" w:rsidP="00BA2459">
      <w:pPr>
        <w:pStyle w:val="Heading3"/>
        <w:rPr>
          <w:rFonts w:eastAsia="SimSun"/>
          <w:lang w:bidi="hi-IN"/>
        </w:rPr>
      </w:pPr>
      <w:bookmarkStart w:id="96" w:name="_Toc70112693"/>
      <w:bookmarkStart w:id="97" w:name="_Toc70685715"/>
      <w:r>
        <w:rPr>
          <w:rFonts w:eastAsia="SimSun"/>
          <w:lang w:val="en-US" w:bidi="hi-IN"/>
        </w:rPr>
        <w:t>5</w:t>
      </w:r>
      <w:r w:rsidR="0070028F" w:rsidRPr="000C6386">
        <w:rPr>
          <w:rFonts w:eastAsia="SimSun"/>
          <w:lang w:bidi="hi-IN"/>
        </w:rPr>
        <w:t>.</w:t>
      </w:r>
      <w:r w:rsidR="009455DB" w:rsidRPr="000C6386">
        <w:rPr>
          <w:rFonts w:eastAsia="SimSun"/>
          <w:lang w:bidi="hi-IN"/>
        </w:rPr>
        <w:t>4. Concerns arising from dual-use</w:t>
      </w:r>
      <w:r w:rsidR="000C6386" w:rsidRPr="000C6386">
        <w:rPr>
          <w:rFonts w:eastAsia="SimSun"/>
          <w:lang w:val="en-US" w:bidi="hi-IN"/>
        </w:rPr>
        <w:t>.</w:t>
      </w:r>
      <w:bookmarkEnd w:id="96"/>
      <w:bookmarkEnd w:id="97"/>
    </w:p>
    <w:p w14:paraId="57E619ED" w14:textId="62672C4C" w:rsidR="0019409F" w:rsidRPr="0019409F" w:rsidRDefault="009455DB" w:rsidP="0019409F">
      <w:pPr>
        <w:spacing w:before="120" w:after="120" w:line="240" w:lineRule="auto"/>
        <w:jc w:val="both"/>
        <w:rPr>
          <w:rFonts w:ascii="Times New Roman" w:eastAsia="SimSun" w:hAnsi="Times New Roman" w:cs="Calibri"/>
          <w:color w:val="000000" w:themeColor="text1"/>
          <w:lang w:eastAsia="hi-IN" w:bidi="hi-IN"/>
        </w:rPr>
      </w:pPr>
      <w:r w:rsidRPr="210AB58B">
        <w:rPr>
          <w:rFonts w:ascii="Times New Roman" w:eastAsia="SimSun" w:hAnsi="Times New Roman" w:cs="Calibri"/>
          <w:color w:val="000000" w:themeColor="text1"/>
          <w:lang w:eastAsia="hi-IN" w:bidi="hi-IN"/>
        </w:rPr>
        <w:t xml:space="preserve">Bioterrorism, biological warfare and the construction of novel organisms designed to be hostile to human interests can all potentially be achieved through the </w:t>
      </w:r>
      <w:r w:rsidRPr="00FE0A33">
        <w:rPr>
          <w:rFonts w:ascii="Times New Roman" w:eastAsia="SimSun" w:hAnsi="Times New Roman" w:cs="Calibri"/>
          <w:color w:val="000000" w:themeColor="text1"/>
          <w:lang w:eastAsia="hi-IN" w:bidi="hi-IN"/>
        </w:rPr>
        <w:t>malicious</w:t>
      </w:r>
      <w:r w:rsidRPr="210AB58B">
        <w:rPr>
          <w:rFonts w:ascii="Times New Roman" w:eastAsia="SimSun" w:hAnsi="Times New Roman" w:cs="Calibri"/>
          <w:color w:val="000000" w:themeColor="text1"/>
          <w:lang w:eastAsia="hi-IN" w:bidi="hi-IN"/>
        </w:rPr>
        <w:t xml:space="preserve"> (or dual-) use of synthetic biology. Bioterrorists might, for example, create new pathogenic strains or organisms resistant to existing defences. Currently, it is possible to enhance the virulence of known pathogens with new traits that can contribute to their competence and resistance to existing treatments. For example, a novel type of avian flu virus with enhanced infectivity in mammalian animals may be created, and the H5N1 virus can be modified to evolve into a dangerous human virus </w:t>
      </w:r>
      <w:r w:rsidR="00D95484">
        <w:rPr>
          <w:rFonts w:ascii="Times New Roman" w:eastAsia="SimSun" w:hAnsi="Times New Roman" w:cs="Calibri"/>
          <w:color w:val="000000" w:themeColor="text1"/>
          <w:lang w:eastAsia="hi-IN" w:bidi="hi-IN"/>
        </w:rPr>
        <w:fldChar w:fldCharType="begin" w:fldLock="1"/>
      </w:r>
      <w:r w:rsidR="00D95484">
        <w:rPr>
          <w:rFonts w:ascii="Times New Roman" w:eastAsia="SimSun" w:hAnsi="Times New Roman" w:cs="Calibri"/>
          <w:color w:val="000000" w:themeColor="text1"/>
          <w:lang w:eastAsia="hi-IN" w:bidi="hi-IN"/>
        </w:rPr>
        <w:instrText>ADDIN CSL_CITATION {"citationItems":[{"id":"ITEM-1","itemData":{"DOI":"10.1126/science.1213362","ISSN":"10959203","PMID":"22723413","abstract":"Highly pathogenic avian influenza A/H5N1 virus can cause morbidity and mortality in humans but thus far has not acquired the ability to be transmitted by aerosol or respiratory droplet (\"airborne transmission\") between humans. To address the concern that the virus could acquire this ability under natural conditions, we genetically modified A/H5N1 virus by site-directed mutagenesis and subsequent serial passage in ferrets. The genetically modified A/H5N1 virus acquired mutations during passage in ferrets, ultimately becoming airborne transmissible in ferrets. None of the recipient ferrets died after airborne infection with the mutant A/H5N1 viruses. Four amino acid substitutions in the host receptor-binding protein hemagglutinin, and one in the polymerase complex protein basic polymerase 2, were consistently present in airborne-transmitted viruses. The transmissible viruses were sensitive to the antiviral drug oseltamivir and reacted well with antisera raised against H5 influenza vaccine strains. Thus, avian A/H5N1 influenza viruses can acquire the capacity for airborne transmission between mammals without recombination in an intermediate host and therefore constitute a risk for human pandemic influenza.","author":[{"dropping-particle":"","family":"Herfst","given":"Sander","non-dropping-particle":"","parse-names":false,"suffix":""},{"dropping-particle":"","family":"Schrauwen","given":"Eefje J A","non-dropping-particle":"","parse-names":false,"suffix":""},{"dropping-particle":"","family":"Linster","given":"Martin","non-dropping-particle":"","parse-names":false,"suffix":""},{"dropping-particle":"","family":"Chutinimitkul","given":"Salin","non-dropping-particle":"","parse-names":false,"suffix":""},{"dropping-particle":"De","family":"Wit","given":"Emmie","non-dropping-particle":"","parse-names":false,"suffix":""},{"dropping-particle":"","family":"Munster","given":"Vincent J","non-dropping-particle":"","parse-names":false,"suffix":""},{"dropping-particle":"","family":"Sorrell","given":"Erin M","non-dropping-particle":"","parse-names":false,"suffix":""},{"dropping-particle":"","family":"Bestebroer","given":"Theo M","non-dropping-particle":"","parse-names":false,"suffix":""},{"dropping-particle":"","family":"Burke","given":"David F","non-dropping-particle":"","parse-names":false,"suffix":""},{"dropping-particle":"","family":"Smith","given":"Derek J","non-dropping-particle":"","parse-names":false,"suffix":""},{"dropping-particle":"","family":"Rimmelzwaan","given":"Guus F","non-dropping-particle":"","parse-names":false,"suffix":""},{"dropping-particle":"","family":"Osterhaus","given":"Albert D M E","non-dropping-particle":"","parse-names":false,"suffix":""},{"dropping-particle":"","family":"Fouchier","given":"Ron A M","non-dropping-particle":"","parse-names":false,"suffix":""}],"container-title":"Science","id":"ITEM-1","issue":"6088","issued":{"date-parts":[["2012"]]},"page":"1534-1541","publisher":"American Association for the Advancement of Science","title":"Airborne transmission of influenza A/H5N1 virus between ferrets","type":"article","volume":"336"},"uris":["http://www.mendeley.com/documents/?uuid=431bcf9b-ccb2-41fe-afba-52789c46bc8e"]}],"mendeley":{"formattedCitation":"(Herfst et al., 2012)","plainTextFormattedCitation":"(Herfst et al., 2012)","previouslyFormattedCitation":"(Herfst et al., 2012)"},"properties":{"noteIndex":0},"schema":"https://github.com/citation-style-language/schema/raw/master/csl-citation.json"}</w:instrText>
      </w:r>
      <w:r w:rsidR="00D95484">
        <w:rPr>
          <w:rFonts w:ascii="Times New Roman" w:eastAsia="SimSun" w:hAnsi="Times New Roman" w:cs="Calibri"/>
          <w:color w:val="000000" w:themeColor="text1"/>
          <w:lang w:eastAsia="hi-IN" w:bidi="hi-IN"/>
        </w:rPr>
        <w:fldChar w:fldCharType="separate"/>
      </w:r>
      <w:r w:rsidR="00D95484" w:rsidRPr="00D95484">
        <w:rPr>
          <w:rFonts w:ascii="Times New Roman" w:eastAsia="SimSun" w:hAnsi="Times New Roman" w:cs="Calibri"/>
          <w:noProof/>
          <w:color w:val="000000" w:themeColor="text1"/>
          <w:lang w:eastAsia="hi-IN" w:bidi="hi-IN"/>
        </w:rPr>
        <w:t>(Herfst et al., 2012)</w:t>
      </w:r>
      <w:r w:rsidR="00D95484">
        <w:rPr>
          <w:rFonts w:ascii="Times New Roman" w:eastAsia="SimSun" w:hAnsi="Times New Roman" w:cs="Calibri"/>
          <w:color w:val="000000" w:themeColor="text1"/>
          <w:lang w:eastAsia="hi-IN" w:bidi="hi-IN"/>
        </w:rPr>
        <w:fldChar w:fldCharType="end"/>
      </w:r>
      <w:r w:rsidRPr="210AB58B">
        <w:rPr>
          <w:rFonts w:ascii="Times New Roman" w:eastAsia="SimSun" w:hAnsi="Times New Roman" w:cs="Calibri"/>
          <w:color w:val="000000" w:themeColor="text1"/>
          <w:lang w:eastAsia="hi-IN" w:bidi="hi-IN"/>
        </w:rPr>
        <w:t xml:space="preserve">. It has even been suggested that pathogens might be engineered to attack only a particular genetic subset of a population </w:t>
      </w:r>
      <w:r w:rsidRPr="00121D97">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{"citationItems":[{"id":"ITEM-1","itemData":{"DOI":"10.1089/bsp.2007.0923","ISSN":"15387135","PMID":"18081496","author":[{"dropping-particle":"","family":"Garfinkel","given":"Michele S.","non-dropping-particle":"","parse-names":false,"suffix":""},{"dropping-particle":"","family":"Endy","given":"Drew","non-dropping-particle":"","parse-names":false,"suffix":""},{"dropping-particle":"","family":"Epstein","given":"Gerald L.","non-dropping-particle":"","parse-names":false,"suffix":""},{"dropping-particle":"","family":"Friedman","given":"Robert M.","non-dropping-particle":"","parse-names":false,"suffix":""}],"container-title":"Biosecurity and bioterrorism : biodefense strategy, practice, and science","id":"ITEM-1","issue":"4","issued":{"date-parts":[["2007","12"]]},"page":"359-362","title":"Synthetic genomics | options for governance.","type":"article-journal","volume":"5"},"uris":["http://www.mendeley.com/documents/?uuid=5a511f02-5833-4832-9471-bad237d8d827"]}],"mendeley":{"formattedCitation":"(Garfinkel et al., 2007)","plainTextFormattedCitation":"(Garfinkel et al., 2007)","previouslyFormattedCitation":"(Garfinkel et al., 2007)"},"properties":{"noteIndex":0},"schema":"https://github.com/citation-style-language/schema/raw/master/csl-citation.json"}</w:instrText>
      </w:r>
      <w:r w:rsidRPr="00121D97">
        <w:rPr>
          <w:rFonts w:ascii="Times New Roman" w:eastAsia="SimSun" w:hAnsi="Times New Roman" w:cs="Calibri"/>
          <w:color w:val="000000" w:themeColor="text1"/>
          <w:lang w:eastAsia="hi-IN" w:bidi="hi-IN"/>
        </w:rPr>
        <w:fldChar w:fldCharType="separate"/>
      </w:r>
      <w:r w:rsidRPr="210AB58B">
        <w:rPr>
          <w:rFonts w:ascii="Times New Roman" w:eastAsia="SimSun" w:hAnsi="Times New Roman" w:cs="Calibri"/>
          <w:noProof/>
          <w:color w:val="000000" w:themeColor="text1"/>
          <w:lang w:eastAsia="hi-IN" w:bidi="hi-IN"/>
        </w:rPr>
        <w:t>(Garfinkel et al., 2007)</w:t>
      </w:r>
      <w:r w:rsidRPr="00121D97">
        <w:rPr>
          <w:rFonts w:ascii="Times New Roman" w:eastAsia="SimSun" w:hAnsi="Times New Roman" w:cs="Calibri"/>
          <w:color w:val="000000" w:themeColor="text1"/>
          <w:lang w:eastAsia="hi-IN" w:bidi="hi-IN"/>
        </w:rPr>
        <w:fldChar w:fldCharType="end"/>
      </w:r>
      <w:r w:rsidRPr="210AB58B">
        <w:rPr>
          <w:rFonts w:ascii="Times New Roman" w:eastAsia="SimSun" w:hAnsi="Times New Roman" w:cs="Calibri"/>
          <w:color w:val="000000" w:themeColor="text1"/>
          <w:lang w:eastAsia="hi-IN" w:bidi="hi-IN"/>
        </w:rPr>
        <w:t>.</w:t>
      </w:r>
      <w:r w:rsidRPr="210AB58B">
        <w:rPr>
          <w:rFonts w:ascii="Times New Roman" w:hAnsi="Times New Roman" w:cs="Calibri"/>
          <w:color w:val="000000" w:themeColor="text1"/>
          <w:lang w:eastAsia="ar-SA"/>
        </w:rPr>
        <w:t xml:space="preserve"> Likewise, Mukunda </w:t>
      </w:r>
      <w:r w:rsidRPr="210AB58B">
        <w:rPr>
          <w:rFonts w:ascii="Times New Roman" w:hAnsi="Times New Roman" w:cs="Calibri"/>
          <w:i/>
          <w:iCs/>
          <w:color w:val="000000" w:themeColor="text1"/>
          <w:lang w:eastAsia="ar-SA"/>
        </w:rPr>
        <w:t>et al.</w:t>
      </w:r>
      <w:r w:rsidRPr="210AB58B">
        <w:rPr>
          <w:rFonts w:ascii="Times New Roman" w:hAnsi="Times New Roman" w:cs="Calibri"/>
          <w:color w:val="000000" w:themeColor="text1"/>
          <w:lang w:eastAsia="ar-SA"/>
        </w:rPr>
        <w:t xml:space="preserve"> </w:t>
      </w:r>
      <w:r w:rsidR="00D95484">
        <w:rPr>
          <w:rFonts w:ascii="Times New Roman" w:hAnsi="Times New Roman" w:cs="Calibri"/>
          <w:color w:val="000000" w:themeColor="text1"/>
          <w:lang w:eastAsia="ar-SA"/>
        </w:rPr>
        <w:fldChar w:fldCharType="begin" w:fldLock="1"/>
      </w:r>
      <w:r w:rsidR="00CB56A5">
        <w:rPr>
          <w:rFonts w:ascii="Times New Roman" w:hAnsi="Times New Roman" w:cs="Calibri"/>
          <w:color w:val="000000" w:themeColor="text1"/>
          <w:lang w:eastAsia="ar-SA"/>
        </w:rPr>
        <w:instrText>ADDIN CSL_CITATION {"citationItems":[{"id":"ITEM-1","itemData":{"DOI":"10.2990/28_2_2","ISSN":"0730-9384","abstract":"Synthetic biology seeks to create modular biological parts that can be assembled into useful devices, allowing the modification of biological systems with greater reliability, at lower cost, with greater speed, and by a larger pool of people than has been the case with traditional genetic engineering. We assess the offensive and defensive security implications of synthetic biology based on the insights of leading synthetic biologists into how the technology may develop, the projections of practicing biosecurity authorities on changes in the security context and potential security applications of synthetic biology, and joint appraisals of policy relevant sources of uncertainty. Synthetic biology appears to have minimal security implications in the near term, create modest offensive advantages in the medium term, and strengthen defensive capabilities against natural and engineered biological threats and enable novel potential offensive uses in the long term. To maximize defensive and minimize offensive effects of synthetic biology despite uncertainty, this essay suggests a combination of policy approaches, including community-based efforts, regulation and surveillance, further research, and the deliberate design of security and safety features into the technology.","author":[{"dropping-particle":"","family":"Mukunda","given":"Gautam","non-dropping-particle":"","parse-names":false,"suffix":""},{"dropping-particle":"","family":"Oye","given":"Kenneth A.","non-dropping-particle":"","parse-names":false,"suffix":""},{"dropping-particle":"","family":"Mohr","given":"Scott C.","non-dropping-particle":"","parse-names":false,"suffix":""}],"container-title":"Politics and the Life Sciences","id":"ITEM-1","issue":"2","issued":{"date-parts":[["2009","9","17"]]},"page":"2-26","title":"What rough beast? Synthetic biology, uncertainty, and the future of biosecurity","type":"article-journal","volume":"28"},"uris":["http://www.mendeley.com/documents/?uuid=54996256-3f77-4e2a-9e20-ef8c0bfb1a46"]}],"mendeley":{"formattedCitation":"(Mukunda et al., 2009)","manualFormatting":"(2009)","plainTextFormattedCitation":"(Mukunda et al., 2009)","previouslyFormattedCitation":"(Mukunda et al., 2009)"},"properties":{"noteIndex":0},"schema":"https://github.com/citation-style-language/schema/raw/master/csl-citation.json"}</w:instrText>
      </w:r>
      <w:r w:rsidR="00D95484">
        <w:rPr>
          <w:rFonts w:ascii="Times New Roman" w:hAnsi="Times New Roman" w:cs="Calibri"/>
          <w:color w:val="000000" w:themeColor="text1"/>
          <w:lang w:eastAsia="ar-SA"/>
        </w:rPr>
        <w:fldChar w:fldCharType="separate"/>
      </w:r>
      <w:r w:rsidR="00D95484" w:rsidRPr="00D95484">
        <w:rPr>
          <w:rFonts w:ascii="Times New Roman" w:hAnsi="Times New Roman" w:cs="Calibri"/>
          <w:noProof/>
          <w:color w:val="000000" w:themeColor="text1"/>
          <w:lang w:eastAsia="ar-SA"/>
        </w:rPr>
        <w:t>(2009)</w:t>
      </w:r>
      <w:r w:rsidR="00D95484">
        <w:rPr>
          <w:rFonts w:ascii="Times New Roman" w:hAnsi="Times New Roman" w:cs="Calibri"/>
          <w:color w:val="000000" w:themeColor="text1"/>
          <w:lang w:eastAsia="ar-SA"/>
        </w:rPr>
        <w:fldChar w:fldCharType="end"/>
      </w:r>
      <w:r w:rsidRPr="210AB58B">
        <w:rPr>
          <w:rFonts w:ascii="Times New Roman" w:hAnsi="Times New Roman" w:cs="Calibri"/>
          <w:i/>
          <w:iCs/>
          <w:color w:val="000000" w:themeColor="text1"/>
          <w:lang w:eastAsia="ar-SA"/>
        </w:rPr>
        <w:t xml:space="preserve"> </w:t>
      </w:r>
      <w:r w:rsidRPr="210AB58B">
        <w:rPr>
          <w:rFonts w:ascii="Times New Roman" w:hAnsi="Times New Roman" w:cs="Calibri"/>
          <w:color w:val="000000" w:themeColor="text1"/>
          <w:lang w:eastAsia="ar-SA"/>
        </w:rPr>
        <w:t xml:space="preserve">predicted that biological weapons customised to </w:t>
      </w:r>
      <w:r w:rsidRPr="210AB58B">
        <w:rPr>
          <w:rFonts w:ascii="Times New Roman" w:hAnsi="Times New Roman"/>
          <w:color w:val="000000" w:themeColor="text1"/>
          <w:lang w:eastAsia="ar-SA"/>
        </w:rPr>
        <w:t>attack</w:t>
      </w:r>
      <w:r w:rsidRPr="210AB58B">
        <w:rPr>
          <w:rFonts w:ascii="Times New Roman" w:hAnsi="Times New Roman" w:cs="Calibri"/>
          <w:color w:val="000000" w:themeColor="text1"/>
          <w:lang w:eastAsia="ar-SA"/>
        </w:rPr>
        <w:t xml:space="preserve"> specific groups were highly likely to be developed in the long term (10 or more years), i.e. the period </w:t>
      </w:r>
      <w:r w:rsidR="00EC26A3">
        <w:rPr>
          <w:rFonts w:ascii="Times New Roman" w:hAnsi="Times New Roman" w:cs="Calibri"/>
          <w:color w:val="000000" w:themeColor="text1"/>
          <w:lang w:eastAsia="ar-SA"/>
        </w:rPr>
        <w:t xml:space="preserve">between the previous </w:t>
      </w:r>
      <w:r w:rsidR="00E83E62">
        <w:rPr>
          <w:rFonts w:ascii="Times New Roman" w:hAnsi="Times New Roman" w:cs="Calibri"/>
          <w:color w:val="000000" w:themeColor="text1"/>
          <w:lang w:eastAsia="ar-SA"/>
        </w:rPr>
        <w:t>technical series document and this update</w:t>
      </w:r>
      <w:r w:rsidRPr="210AB58B">
        <w:rPr>
          <w:rFonts w:ascii="Times New Roman" w:hAnsi="Times New Roman" w:cs="Calibri"/>
          <w:color w:val="000000" w:themeColor="text1"/>
          <w:lang w:eastAsia="ar-SA"/>
        </w:rPr>
        <w:t xml:space="preserve">. </w:t>
      </w:r>
      <w:r w:rsidR="009C75D7">
        <w:rPr>
          <w:rFonts w:ascii="Times New Roman" w:hAnsi="Times New Roman" w:cs="Calibri"/>
          <w:color w:val="000000" w:themeColor="text1"/>
          <w:lang w:eastAsia="ar-SA"/>
        </w:rPr>
        <w:t>Although micro</w:t>
      </w:r>
      <w:r w:rsidR="007575BB">
        <w:rPr>
          <w:rFonts w:ascii="Times New Roman" w:hAnsi="Times New Roman" w:cs="Calibri"/>
          <w:color w:val="000000" w:themeColor="text1"/>
          <w:lang w:eastAsia="ar-SA"/>
        </w:rPr>
        <w:t>bes</w:t>
      </w:r>
      <w:r w:rsidR="00B16D15">
        <w:rPr>
          <w:rFonts w:ascii="Times New Roman" w:hAnsi="Times New Roman" w:cs="Calibri"/>
          <w:color w:val="000000" w:themeColor="text1"/>
          <w:lang w:eastAsia="ar-SA"/>
        </w:rPr>
        <w:t xml:space="preserve"> are</w:t>
      </w:r>
      <w:r w:rsidR="00A17691">
        <w:rPr>
          <w:rFonts w:ascii="Times New Roman" w:hAnsi="Times New Roman" w:cs="Calibri"/>
          <w:color w:val="000000" w:themeColor="text1"/>
          <w:lang w:eastAsia="ar-SA"/>
        </w:rPr>
        <w:t xml:space="preserve"> usually the </w:t>
      </w:r>
      <w:r w:rsidR="00BF632D">
        <w:rPr>
          <w:rFonts w:ascii="Times New Roman" w:hAnsi="Times New Roman" w:cs="Calibri"/>
          <w:color w:val="000000" w:themeColor="text1"/>
          <w:lang w:eastAsia="ar-SA"/>
        </w:rPr>
        <w:t xml:space="preserve">main </w:t>
      </w:r>
      <w:r w:rsidR="00055E4E">
        <w:rPr>
          <w:rFonts w:ascii="Times New Roman" w:hAnsi="Times New Roman" w:cs="Calibri"/>
          <w:color w:val="000000" w:themeColor="text1"/>
          <w:lang w:eastAsia="ar-SA"/>
        </w:rPr>
        <w:t xml:space="preserve">platform for the development of applications </w:t>
      </w:r>
      <w:r w:rsidR="008F0D97">
        <w:rPr>
          <w:rFonts w:ascii="Times New Roman" w:hAnsi="Times New Roman" w:cs="Calibri"/>
          <w:color w:val="000000" w:themeColor="text1"/>
          <w:lang w:eastAsia="ar-SA"/>
        </w:rPr>
        <w:t>with mali</w:t>
      </w:r>
      <w:r w:rsidR="00FE2DB3">
        <w:rPr>
          <w:rFonts w:ascii="Times New Roman" w:hAnsi="Times New Roman" w:cs="Calibri"/>
          <w:color w:val="000000" w:themeColor="text1"/>
          <w:lang w:eastAsia="ar-SA"/>
        </w:rPr>
        <w:t>cious intent,</w:t>
      </w:r>
      <w:r w:rsidR="00B16D15">
        <w:rPr>
          <w:rFonts w:ascii="Times New Roman" w:hAnsi="Times New Roman" w:cs="Calibri"/>
          <w:color w:val="000000" w:themeColor="text1"/>
          <w:lang w:eastAsia="ar-SA"/>
        </w:rPr>
        <w:t xml:space="preserve"> </w:t>
      </w:r>
      <w:r w:rsidR="00FE2DB3">
        <w:rPr>
          <w:rFonts w:ascii="Times New Roman" w:hAnsi="Times New Roman" w:cs="Calibri"/>
          <w:color w:val="000000" w:themeColor="text1"/>
          <w:lang w:eastAsia="ar-SA"/>
        </w:rPr>
        <w:t>p</w:t>
      </w:r>
      <w:r>
        <w:rPr>
          <w:rFonts w:ascii="Times New Roman" w:hAnsi="Times New Roman" w:cs="Calibri"/>
          <w:color w:val="000000" w:themeColor="text1"/>
          <w:lang w:eastAsia="ar-SA"/>
        </w:rPr>
        <w:t xml:space="preserve">lants are not immune to </w:t>
      </w:r>
      <w:r w:rsidR="00FE2DB3">
        <w:rPr>
          <w:rFonts w:ascii="Times New Roman" w:hAnsi="Times New Roman" w:cs="Calibri"/>
          <w:color w:val="000000" w:themeColor="text1"/>
          <w:lang w:eastAsia="ar-SA"/>
        </w:rPr>
        <w:t xml:space="preserve">such </w:t>
      </w:r>
      <w:r>
        <w:rPr>
          <w:rFonts w:ascii="Times New Roman" w:hAnsi="Times New Roman" w:cs="Calibri"/>
          <w:color w:val="000000" w:themeColor="text1"/>
          <w:lang w:eastAsia="ar-SA"/>
        </w:rPr>
        <w:t xml:space="preserve">approaches. It has been recently </w:t>
      </w:r>
      <w:r w:rsidRPr="00360AB0">
        <w:rPr>
          <w:rFonts w:ascii="Times New Roman" w:hAnsi="Times New Roman" w:cs="Calibri"/>
          <w:color w:val="000000" w:themeColor="text1"/>
          <w:lang w:eastAsia="ar-SA"/>
        </w:rPr>
        <w:t>suggest</w:t>
      </w:r>
      <w:r>
        <w:rPr>
          <w:rFonts w:ascii="Times New Roman" w:hAnsi="Times New Roman" w:cs="Calibri"/>
          <w:color w:val="000000" w:themeColor="text1"/>
          <w:lang w:eastAsia="ar-SA"/>
        </w:rPr>
        <w:t>ed</w:t>
      </w:r>
      <w:r w:rsidRPr="00360AB0">
        <w:rPr>
          <w:rFonts w:ascii="Times New Roman" w:hAnsi="Times New Roman" w:cs="Calibri"/>
          <w:color w:val="000000" w:themeColor="text1"/>
          <w:lang w:eastAsia="ar-SA"/>
        </w:rPr>
        <w:t xml:space="preserve"> that criminals may exploit modern gene</w:t>
      </w:r>
      <w:r>
        <w:rPr>
          <w:rFonts w:ascii="Times New Roman" w:hAnsi="Times New Roman" w:cs="Calibri"/>
          <w:color w:val="000000" w:themeColor="text1"/>
          <w:lang w:eastAsia="ar-SA"/>
        </w:rPr>
        <w:t xml:space="preserve"> </w:t>
      </w:r>
      <w:r w:rsidRPr="00360AB0">
        <w:rPr>
          <w:rFonts w:ascii="Times New Roman" w:hAnsi="Times New Roman" w:cs="Calibri"/>
          <w:color w:val="000000" w:themeColor="text1"/>
          <w:lang w:eastAsia="ar-SA"/>
        </w:rPr>
        <w:t xml:space="preserve">editing technologies </w:t>
      </w:r>
      <w:r>
        <w:rPr>
          <w:rFonts w:ascii="Times New Roman" w:hAnsi="Times New Roman" w:cs="Calibri"/>
          <w:color w:val="000000" w:themeColor="text1"/>
          <w:lang w:eastAsia="ar-SA"/>
        </w:rPr>
        <w:t>to subject</w:t>
      </w:r>
      <w:r w:rsidRPr="00360AB0">
        <w:rPr>
          <w:rFonts w:ascii="Times New Roman" w:hAnsi="Times New Roman" w:cs="Calibri"/>
          <w:color w:val="000000" w:themeColor="text1"/>
          <w:lang w:eastAsia="ar-SA"/>
        </w:rPr>
        <w:t xml:space="preserve"> market GMOs</w:t>
      </w:r>
      <w:r>
        <w:rPr>
          <w:rFonts w:ascii="Times New Roman" w:hAnsi="Times New Roman" w:cs="Calibri"/>
          <w:color w:val="000000" w:themeColor="text1"/>
          <w:lang w:eastAsia="ar-SA"/>
        </w:rPr>
        <w:t xml:space="preserve"> to </w:t>
      </w:r>
      <w:r w:rsidRPr="00360AB0">
        <w:rPr>
          <w:rFonts w:ascii="Times New Roman" w:hAnsi="Times New Roman" w:cs="Calibri"/>
          <w:color w:val="000000" w:themeColor="text1"/>
          <w:lang w:eastAsia="ar-SA"/>
        </w:rPr>
        <w:t>clandestine manipulation (or the malicious</w:t>
      </w:r>
      <w:r>
        <w:rPr>
          <w:rFonts w:ascii="Times New Roman" w:hAnsi="Times New Roman" w:cs="Calibri"/>
          <w:color w:val="000000" w:themeColor="text1"/>
          <w:lang w:eastAsia="ar-SA"/>
        </w:rPr>
        <w:t xml:space="preserve"> </w:t>
      </w:r>
      <w:r w:rsidRPr="00360AB0">
        <w:rPr>
          <w:rFonts w:ascii="Times New Roman" w:hAnsi="Times New Roman" w:cs="Calibri"/>
          <w:color w:val="000000" w:themeColor="text1"/>
          <w:lang w:eastAsia="ar-SA"/>
        </w:rPr>
        <w:t>insertion of genetic modifications into ostensibly unmodified</w:t>
      </w:r>
      <w:r>
        <w:rPr>
          <w:rFonts w:ascii="Times New Roman" w:hAnsi="Times New Roman" w:cs="Calibri"/>
          <w:color w:val="000000" w:themeColor="text1"/>
          <w:lang w:eastAsia="ar-SA"/>
        </w:rPr>
        <w:t xml:space="preserve"> </w:t>
      </w:r>
      <w:r w:rsidRPr="00360AB0">
        <w:rPr>
          <w:rFonts w:ascii="Times New Roman" w:hAnsi="Times New Roman" w:cs="Calibri"/>
          <w:color w:val="000000" w:themeColor="text1"/>
          <w:lang w:eastAsia="ar-SA"/>
        </w:rPr>
        <w:t>plants)</w:t>
      </w:r>
      <w:r>
        <w:rPr>
          <w:rFonts w:ascii="Times New Roman" w:hAnsi="Times New Roman" w:cs="Calibri"/>
          <w:color w:val="000000" w:themeColor="text1"/>
          <w:lang w:eastAsia="ar-SA"/>
        </w:rPr>
        <w:t>,</w:t>
      </w:r>
      <w:r w:rsidRPr="00360AB0">
        <w:rPr>
          <w:rFonts w:ascii="Times New Roman" w:hAnsi="Times New Roman" w:cs="Calibri"/>
          <w:color w:val="000000" w:themeColor="text1"/>
          <w:lang w:eastAsia="ar-SA"/>
        </w:rPr>
        <w:t xml:space="preserve"> raising the prospect not</w:t>
      </w:r>
      <w:r>
        <w:rPr>
          <w:rFonts w:ascii="Times New Roman" w:hAnsi="Times New Roman" w:cs="Calibri"/>
          <w:color w:val="000000" w:themeColor="text1"/>
          <w:lang w:eastAsia="ar-SA"/>
        </w:rPr>
        <w:t xml:space="preserve"> </w:t>
      </w:r>
      <w:r w:rsidRPr="00360AB0">
        <w:rPr>
          <w:rFonts w:ascii="Times New Roman" w:hAnsi="Times New Roman" w:cs="Calibri"/>
          <w:color w:val="000000" w:themeColor="text1"/>
          <w:lang w:eastAsia="ar-SA"/>
        </w:rPr>
        <w:t>only of direct harm, but of the more likely effects in generating</w:t>
      </w:r>
      <w:r>
        <w:rPr>
          <w:rFonts w:ascii="Times New Roman" w:hAnsi="Times New Roman" w:cs="Calibri"/>
          <w:color w:val="000000" w:themeColor="text1"/>
          <w:lang w:eastAsia="ar-SA"/>
        </w:rPr>
        <w:t xml:space="preserve"> </w:t>
      </w:r>
      <w:r w:rsidRPr="00360AB0">
        <w:rPr>
          <w:rFonts w:ascii="Times New Roman" w:hAnsi="Times New Roman" w:cs="Calibri"/>
          <w:color w:val="000000" w:themeColor="text1"/>
          <w:lang w:eastAsia="ar-SA"/>
        </w:rPr>
        <w:t>public concern, reputational harm of agricultural biotechnology</w:t>
      </w:r>
      <w:r>
        <w:rPr>
          <w:rFonts w:ascii="Times New Roman" w:hAnsi="Times New Roman" w:cs="Calibri"/>
          <w:color w:val="000000" w:themeColor="text1"/>
          <w:lang w:eastAsia="ar-SA"/>
        </w:rPr>
        <w:t xml:space="preserve"> </w:t>
      </w:r>
      <w:r w:rsidRPr="00360AB0">
        <w:rPr>
          <w:rFonts w:ascii="Times New Roman" w:hAnsi="Times New Roman" w:cs="Calibri"/>
          <w:color w:val="000000" w:themeColor="text1"/>
          <w:lang w:eastAsia="ar-SA"/>
        </w:rPr>
        <w:t>companies, lawsuits, and increased import bans of certain plants</w:t>
      </w:r>
      <w:r>
        <w:rPr>
          <w:rFonts w:ascii="Times New Roman" w:hAnsi="Times New Roman" w:cs="Calibri"/>
          <w:color w:val="000000" w:themeColor="text1"/>
          <w:lang w:eastAsia="ar-SA"/>
        </w:rPr>
        <w:t xml:space="preserve"> </w:t>
      </w:r>
      <w:r w:rsidRPr="00360AB0">
        <w:rPr>
          <w:rFonts w:ascii="Times New Roman" w:hAnsi="Times New Roman" w:cs="Calibri"/>
          <w:color w:val="000000" w:themeColor="text1"/>
          <w:lang w:eastAsia="ar-SA"/>
        </w:rPr>
        <w:t>or their derived products</w:t>
      </w:r>
      <w:r>
        <w:rPr>
          <w:rFonts w:ascii="Times New Roman" w:hAnsi="Times New Roman" w:cs="Calibri"/>
          <w:color w:val="000000" w:themeColor="text1"/>
          <w:lang w:eastAsia="ar-SA"/>
        </w:rPr>
        <w:t xml:space="preserve"> </w:t>
      </w:r>
      <w:r>
        <w:rPr>
          <w:rFonts w:ascii="Times New Roman" w:hAnsi="Times New Roman" w:cs="Calibri"/>
          <w:color w:val="000000" w:themeColor="text1"/>
          <w:lang w:eastAsia="ar-SA"/>
        </w:rPr>
        <w:fldChar w:fldCharType="begin" w:fldLock="1"/>
      </w:r>
      <w:r w:rsidR="008F6A90">
        <w:rPr>
          <w:rFonts w:ascii="Times New Roman" w:hAnsi="Times New Roman" w:cs="Calibri"/>
          <w:color w:val="000000" w:themeColor="text1"/>
          <w:lang w:eastAsia="ar-SA"/>
        </w:rPr>
        <w:instrText>ADDIN CSL_CITATION {"citationItems":[{"id":"ITEM-1","itemData":{"DOI":"10.3389/fbioe.2019.00121","ISSN":"2296-4185","author":[{"dropping-particle":"","family":"Mueller","given":"Siguna","non-dropping-particle":"","parse-names":false,"suffix":""}],"container-title":"Frontiers in Bioengineering and Biotechnology","id":"ITEM-1","issued":{"date-parts":[["2019","5","29"]]},"title":"Are Market GM Plants an Unrecognized Platform for Bioterrorism and Biocrime?","type":"article-journal","volume":"7"},"uris":["http://www.mendeley.com/documents/?uuid=6a070656-c72d-4508-a479-a2161c1ad392"]}],"mendeley":{"formattedCitation":"(Mueller, 2019)","plainTextFormattedCitation":"(Mueller, 2019)","previouslyFormattedCitation":"(Mueller, 2019)"},"properties":{"noteIndex":0},"schema":"https://github.com/citation-style-language/schema/raw/master/csl-citation.json"}</w:instrText>
      </w:r>
      <w:r>
        <w:rPr>
          <w:rFonts w:ascii="Times New Roman" w:hAnsi="Times New Roman" w:cs="Calibri"/>
          <w:color w:val="000000" w:themeColor="text1"/>
          <w:lang w:eastAsia="ar-SA"/>
        </w:rPr>
        <w:fldChar w:fldCharType="separate"/>
      </w:r>
      <w:r w:rsidRPr="00D10B4E">
        <w:rPr>
          <w:rFonts w:ascii="Times New Roman" w:hAnsi="Times New Roman" w:cs="Calibri"/>
          <w:noProof/>
          <w:color w:val="000000" w:themeColor="text1"/>
          <w:lang w:eastAsia="ar-SA"/>
        </w:rPr>
        <w:t>(Mueller, 2019)</w:t>
      </w:r>
      <w:r>
        <w:rPr>
          <w:rFonts w:ascii="Times New Roman" w:hAnsi="Times New Roman" w:cs="Calibri"/>
          <w:color w:val="000000" w:themeColor="text1"/>
          <w:lang w:eastAsia="ar-SA"/>
        </w:rPr>
        <w:fldChar w:fldCharType="end"/>
      </w:r>
      <w:r w:rsidRPr="00360AB0">
        <w:rPr>
          <w:rFonts w:ascii="Times New Roman" w:hAnsi="Times New Roman" w:cs="Calibri"/>
          <w:color w:val="000000" w:themeColor="text1"/>
          <w:lang w:eastAsia="ar-SA"/>
        </w:rPr>
        <w:t>.</w:t>
      </w:r>
      <w:r>
        <w:rPr>
          <w:rFonts w:ascii="Times New Roman" w:hAnsi="Times New Roman" w:cs="Calibri"/>
          <w:color w:val="000000" w:themeColor="text1"/>
          <w:lang w:eastAsia="ar-SA"/>
        </w:rPr>
        <w:t xml:space="preserve"> It has been further suggested that when (mis-)used, especially in combination with </w:t>
      </w:r>
      <w:r w:rsidRPr="003027F1">
        <w:rPr>
          <w:rFonts w:ascii="Times New Roman" w:hAnsi="Times New Roman" w:cs="Calibri"/>
          <w:color w:val="000000" w:themeColor="text1"/>
          <w:lang w:eastAsia="ar-SA"/>
        </w:rPr>
        <w:t xml:space="preserve">newer technologies such as </w:t>
      </w:r>
      <w:r w:rsidR="00F90748">
        <w:rPr>
          <w:rFonts w:ascii="Times New Roman" w:hAnsi="Times New Roman" w:cs="Calibri"/>
          <w:color w:val="000000" w:themeColor="text1"/>
          <w:lang w:eastAsia="ar-SA"/>
        </w:rPr>
        <w:t>engineered</w:t>
      </w:r>
      <w:r w:rsidRPr="003027F1">
        <w:rPr>
          <w:rFonts w:ascii="Times New Roman" w:hAnsi="Times New Roman" w:cs="Calibri"/>
          <w:color w:val="000000" w:themeColor="text1"/>
          <w:lang w:eastAsia="ar-SA"/>
        </w:rPr>
        <w:t xml:space="preserve"> gene</w:t>
      </w:r>
      <w:r w:rsidR="00F90748">
        <w:rPr>
          <w:rFonts w:ascii="Times New Roman" w:hAnsi="Times New Roman" w:cs="Calibri"/>
          <w:color w:val="000000" w:themeColor="text1"/>
          <w:lang w:eastAsia="ar-SA"/>
        </w:rPr>
        <w:t xml:space="preserve"> </w:t>
      </w:r>
      <w:r w:rsidRPr="003027F1">
        <w:rPr>
          <w:rFonts w:ascii="Times New Roman" w:hAnsi="Times New Roman" w:cs="Calibri"/>
          <w:color w:val="000000" w:themeColor="text1"/>
          <w:lang w:eastAsia="ar-SA"/>
        </w:rPr>
        <w:t xml:space="preserve">drives, </w:t>
      </w:r>
      <w:r w:rsidR="00B2307E">
        <w:rPr>
          <w:rFonts w:ascii="Times New Roman" w:hAnsi="Times New Roman" w:cs="Calibri"/>
          <w:color w:val="000000" w:themeColor="text1"/>
          <w:lang w:eastAsia="ar-SA"/>
        </w:rPr>
        <w:t>virus-mediated</w:t>
      </w:r>
      <w:r w:rsidRPr="003027F1">
        <w:rPr>
          <w:rFonts w:ascii="Times New Roman" w:hAnsi="Times New Roman" w:cs="Calibri"/>
          <w:color w:val="000000" w:themeColor="text1"/>
          <w:lang w:eastAsia="ar-SA"/>
        </w:rPr>
        <w:t xml:space="preserve"> methods, or </w:t>
      </w:r>
      <w:r w:rsidRPr="00E67C21">
        <w:rPr>
          <w:rFonts w:ascii="Times New Roman" w:hAnsi="Times New Roman" w:cs="Calibri"/>
          <w:i/>
          <w:color w:val="000000" w:themeColor="text1"/>
          <w:lang w:eastAsia="ar-SA"/>
        </w:rPr>
        <w:t>in vitro</w:t>
      </w:r>
      <w:r w:rsidRPr="003027F1">
        <w:rPr>
          <w:rFonts w:ascii="Times New Roman" w:hAnsi="Times New Roman" w:cs="Calibri"/>
          <w:color w:val="000000" w:themeColor="text1"/>
          <w:lang w:eastAsia="ar-SA"/>
        </w:rPr>
        <w:t xml:space="preserve"> evolution techniques</w:t>
      </w:r>
      <w:r>
        <w:rPr>
          <w:rFonts w:ascii="Times New Roman" w:hAnsi="Times New Roman" w:cs="Calibri"/>
          <w:color w:val="000000" w:themeColor="text1"/>
          <w:lang w:eastAsia="ar-SA"/>
        </w:rPr>
        <w:t xml:space="preserve">, </w:t>
      </w:r>
      <w:r w:rsidRPr="003027F1">
        <w:rPr>
          <w:rFonts w:ascii="Times New Roman" w:hAnsi="Times New Roman" w:cs="Calibri"/>
          <w:color w:val="000000" w:themeColor="text1"/>
          <w:lang w:eastAsia="ar-SA"/>
        </w:rPr>
        <w:t>the effectiveness of</w:t>
      </w:r>
      <w:r>
        <w:rPr>
          <w:rFonts w:ascii="Times New Roman" w:hAnsi="Times New Roman" w:cs="Calibri"/>
          <w:color w:val="000000" w:themeColor="text1"/>
          <w:lang w:eastAsia="ar-SA"/>
        </w:rPr>
        <w:t xml:space="preserve"> current </w:t>
      </w:r>
      <w:r w:rsidRPr="003027F1">
        <w:rPr>
          <w:rFonts w:ascii="Times New Roman" w:hAnsi="Times New Roman" w:cs="Calibri"/>
          <w:color w:val="000000" w:themeColor="text1"/>
          <w:lang w:eastAsia="ar-SA"/>
        </w:rPr>
        <w:t>authentication and surveillance protocols may be overridden</w:t>
      </w:r>
      <w:r>
        <w:rPr>
          <w:rFonts w:ascii="Times New Roman" w:hAnsi="Times New Roman" w:cs="Calibri"/>
          <w:color w:val="000000" w:themeColor="text1"/>
          <w:lang w:eastAsia="ar-SA"/>
        </w:rPr>
        <w:t xml:space="preserve">. </w:t>
      </w:r>
      <w:r w:rsidRPr="210AB58B">
        <w:rPr>
          <w:rFonts w:ascii="Times New Roman" w:eastAsia="SimSun" w:hAnsi="Times New Roman" w:cs="Calibri"/>
          <w:color w:val="000000" w:themeColor="text1"/>
          <w:lang w:eastAsia="hi-IN" w:bidi="hi-IN"/>
        </w:rPr>
        <w:t>Unfortunately, it is by no means clear that such abuses could be entirely eliminated, any more than they can be for other ‘dual-use’ technologies.</w:t>
      </w:r>
    </w:p>
    <w:p w14:paraId="5A5D6A69" w14:textId="7DE2D326" w:rsidR="00FE568C" w:rsidRDefault="00FE568C" w:rsidP="009455DB">
      <w:pPr>
        <w:spacing w:before="120" w:after="120" w:line="240" w:lineRule="auto"/>
        <w:jc w:val="both"/>
        <w:rPr>
          <w:rFonts w:ascii="Times New Roman" w:eastAsia="SimSun" w:hAnsi="Times New Roman" w:cs="Calibri"/>
          <w:color w:val="000000" w:themeColor="text1"/>
          <w:highlight w:val="yellow"/>
          <w:lang w:eastAsia="hi-IN" w:bidi="hi-IN"/>
        </w:rPr>
      </w:pPr>
      <w:r>
        <w:rPr>
          <w:rFonts w:ascii="Times New Roman" w:eastAsia="SimSun" w:hAnsi="Times New Roman" w:cs="Calibri"/>
          <w:color w:val="000000" w:themeColor="text1"/>
          <w:lang w:eastAsia="hi-IN" w:bidi="hi-IN"/>
        </w:rPr>
        <w:t>One such example</w:t>
      </w:r>
      <w:r w:rsidR="00C2401E">
        <w:rPr>
          <w:rFonts w:ascii="Times New Roman" w:eastAsia="SimSun" w:hAnsi="Times New Roman" w:cs="Calibri"/>
          <w:color w:val="000000" w:themeColor="text1"/>
          <w:lang w:eastAsia="hi-IN" w:bidi="hi-IN"/>
        </w:rPr>
        <w:t xml:space="preserve"> is</w:t>
      </w:r>
      <w:r>
        <w:rPr>
          <w:rFonts w:ascii="Times New Roman" w:eastAsia="SimSun" w:hAnsi="Times New Roman" w:cs="Calibri"/>
          <w:color w:val="000000" w:themeColor="text1"/>
          <w:lang w:eastAsia="hi-IN" w:bidi="hi-IN"/>
        </w:rPr>
        <w:t xml:space="preserve"> the </w:t>
      </w:r>
      <w:r w:rsidR="00892687">
        <w:rPr>
          <w:rFonts w:ascii="Times New Roman" w:eastAsia="SimSun" w:hAnsi="Times New Roman" w:cs="Calibri"/>
          <w:color w:val="000000" w:themeColor="text1"/>
          <w:lang w:eastAsia="hi-IN" w:bidi="hi-IN"/>
        </w:rPr>
        <w:t xml:space="preserve">“Insect Allies” program funded by DARPA, which </w:t>
      </w:r>
      <w:r w:rsidR="00D0132C">
        <w:rPr>
          <w:rFonts w:ascii="Times New Roman" w:eastAsia="SimSun" w:hAnsi="Times New Roman" w:cs="Calibri"/>
          <w:color w:val="000000" w:themeColor="text1"/>
          <w:lang w:eastAsia="hi-IN" w:bidi="hi-IN"/>
        </w:rPr>
        <w:t>utilises</w:t>
      </w:r>
      <w:r w:rsidR="00892687">
        <w:rPr>
          <w:rFonts w:ascii="Times New Roman" w:eastAsia="SimSun" w:hAnsi="Times New Roman" w:cs="Calibri"/>
          <w:color w:val="000000" w:themeColor="text1"/>
          <w:lang w:eastAsia="hi-IN" w:bidi="hi-IN"/>
        </w:rPr>
        <w:t xml:space="preserve"> </w:t>
      </w:r>
      <w:r w:rsidR="00165A18">
        <w:rPr>
          <w:rFonts w:ascii="Times New Roman" w:eastAsia="SimSun" w:hAnsi="Times New Roman" w:cs="Calibri"/>
          <w:color w:val="000000" w:themeColor="text1"/>
          <w:lang w:eastAsia="hi-IN" w:bidi="hi-IN"/>
        </w:rPr>
        <w:t>HEG</w:t>
      </w:r>
      <w:r w:rsidR="00B34724">
        <w:rPr>
          <w:rFonts w:ascii="Times New Roman" w:eastAsia="SimSun" w:hAnsi="Times New Roman" w:cs="Calibri"/>
          <w:color w:val="000000" w:themeColor="text1"/>
          <w:lang w:eastAsia="hi-IN" w:bidi="hi-IN"/>
        </w:rPr>
        <w:t>A</w:t>
      </w:r>
      <w:r w:rsidR="00165A18">
        <w:rPr>
          <w:rFonts w:ascii="Times New Roman" w:eastAsia="SimSun" w:hAnsi="Times New Roman" w:cs="Calibri"/>
          <w:color w:val="000000" w:themeColor="text1"/>
          <w:lang w:eastAsia="hi-IN" w:bidi="hi-IN"/>
        </w:rPr>
        <w:t xml:space="preserve">As (see </w:t>
      </w:r>
      <w:r w:rsidR="00D0132C">
        <w:rPr>
          <w:rFonts w:ascii="Times New Roman" w:eastAsia="SimSun" w:hAnsi="Times New Roman" w:cs="Calibri"/>
          <w:color w:val="000000" w:themeColor="text1"/>
          <w:lang w:eastAsia="hi-IN" w:bidi="hi-IN"/>
        </w:rPr>
        <w:t>S</w:t>
      </w:r>
      <w:r w:rsidR="00165A18">
        <w:rPr>
          <w:rFonts w:ascii="Times New Roman" w:eastAsia="SimSun" w:hAnsi="Times New Roman" w:cs="Calibri"/>
          <w:color w:val="000000" w:themeColor="text1"/>
          <w:lang w:eastAsia="hi-IN" w:bidi="hi-IN"/>
        </w:rPr>
        <w:t xml:space="preserve">ection </w:t>
      </w:r>
      <w:r w:rsidR="009C7387">
        <w:rPr>
          <w:rFonts w:ascii="Times New Roman" w:eastAsia="SimSun" w:hAnsi="Times New Roman" w:cs="Calibri"/>
          <w:color w:val="000000" w:themeColor="text1"/>
          <w:lang w:eastAsia="hi-IN" w:bidi="hi-IN"/>
        </w:rPr>
        <w:t>3</w:t>
      </w:r>
      <w:r w:rsidR="00FF1980">
        <w:rPr>
          <w:rFonts w:ascii="Times New Roman" w:eastAsia="SimSun" w:hAnsi="Times New Roman" w:cs="Calibri"/>
          <w:color w:val="000000" w:themeColor="text1"/>
          <w:lang w:eastAsia="hi-IN" w:bidi="hi-IN"/>
        </w:rPr>
        <w:t>.2.3(b)</w:t>
      </w:r>
      <w:r w:rsidR="00892687">
        <w:rPr>
          <w:rFonts w:ascii="Times New Roman" w:eastAsia="SimSun" w:hAnsi="Times New Roman" w:cs="Calibri"/>
          <w:color w:val="000000" w:themeColor="text1"/>
          <w:lang w:eastAsia="hi-IN" w:bidi="hi-IN"/>
        </w:rPr>
        <w:t>)</w:t>
      </w:r>
      <w:r w:rsidR="006F1EB2">
        <w:rPr>
          <w:rFonts w:ascii="Times New Roman" w:eastAsia="SimSun" w:hAnsi="Times New Roman" w:cs="Calibri"/>
          <w:color w:val="000000" w:themeColor="text1"/>
          <w:lang w:eastAsia="hi-IN" w:bidi="hi-IN"/>
        </w:rPr>
        <w:t>.</w:t>
      </w:r>
      <w:r w:rsidR="003B5EAA">
        <w:rPr>
          <w:rFonts w:ascii="Times New Roman" w:eastAsia="SimSun" w:hAnsi="Times New Roman" w:cs="Calibri"/>
          <w:color w:val="000000" w:themeColor="text1"/>
          <w:lang w:eastAsia="hi-IN" w:bidi="hi-IN"/>
        </w:rPr>
        <w:t xml:space="preserve"> </w:t>
      </w:r>
      <w:r w:rsidR="000B1BA6">
        <w:rPr>
          <w:rFonts w:ascii="Times New Roman" w:eastAsia="SimSun" w:hAnsi="Times New Roman" w:cs="Calibri"/>
          <w:color w:val="000000" w:themeColor="text1"/>
          <w:lang w:eastAsia="hi-IN" w:bidi="hi-IN"/>
        </w:rPr>
        <w:t xml:space="preserve">The aims of the project are to </w:t>
      </w:r>
      <w:r w:rsidR="00CB48CD">
        <w:rPr>
          <w:rFonts w:ascii="Times New Roman" w:eastAsia="SimSun" w:hAnsi="Times New Roman" w:cs="Calibri"/>
          <w:color w:val="000000" w:themeColor="text1"/>
          <w:lang w:eastAsia="hi-IN" w:bidi="hi-IN"/>
        </w:rPr>
        <w:t xml:space="preserve">develop counter measures against </w:t>
      </w:r>
      <w:r w:rsidR="00E36057">
        <w:rPr>
          <w:rFonts w:ascii="Times New Roman" w:eastAsia="SimSun" w:hAnsi="Times New Roman" w:cs="Calibri"/>
          <w:color w:val="000000" w:themeColor="text1"/>
          <w:lang w:eastAsia="hi-IN" w:bidi="hi-IN"/>
        </w:rPr>
        <w:t>natural</w:t>
      </w:r>
      <w:r w:rsidR="00256F22">
        <w:rPr>
          <w:rFonts w:ascii="Times New Roman" w:eastAsia="SimSun" w:hAnsi="Times New Roman" w:cs="Calibri"/>
          <w:color w:val="000000" w:themeColor="text1"/>
          <w:lang w:eastAsia="hi-IN" w:bidi="hi-IN"/>
        </w:rPr>
        <w:t xml:space="preserve"> </w:t>
      </w:r>
      <w:r w:rsidR="00CC54F4">
        <w:rPr>
          <w:rFonts w:ascii="Times New Roman" w:eastAsia="SimSun" w:hAnsi="Times New Roman" w:cs="Calibri"/>
          <w:color w:val="000000" w:themeColor="text1"/>
          <w:lang w:eastAsia="hi-IN" w:bidi="hi-IN"/>
        </w:rPr>
        <w:t xml:space="preserve">threats, as well as </w:t>
      </w:r>
      <w:r w:rsidR="00514A04">
        <w:rPr>
          <w:rFonts w:ascii="Times New Roman" w:eastAsia="SimSun" w:hAnsi="Times New Roman" w:cs="Calibri"/>
          <w:color w:val="000000" w:themeColor="text1"/>
          <w:lang w:eastAsia="hi-IN" w:bidi="hi-IN"/>
        </w:rPr>
        <w:t>countermeasures against state and non-state actors</w:t>
      </w:r>
      <w:r w:rsidR="00206F61">
        <w:rPr>
          <w:rFonts w:ascii="Times New Roman" w:eastAsia="SimSun" w:hAnsi="Times New Roman" w:cs="Calibri"/>
          <w:color w:val="000000" w:themeColor="text1"/>
          <w:lang w:eastAsia="hi-IN" w:bidi="hi-IN"/>
        </w:rPr>
        <w:t>,</w:t>
      </w:r>
      <w:r w:rsidR="00750560">
        <w:rPr>
          <w:rFonts w:ascii="Times New Roman" w:eastAsia="SimSun" w:hAnsi="Times New Roman" w:cs="Calibri"/>
          <w:color w:val="000000" w:themeColor="text1"/>
          <w:lang w:eastAsia="hi-IN" w:bidi="hi-IN"/>
        </w:rPr>
        <w:t xml:space="preserve"> by releasing </w:t>
      </w:r>
      <w:r w:rsidR="00DB5185">
        <w:rPr>
          <w:rFonts w:ascii="Times New Roman" w:eastAsia="SimSun" w:hAnsi="Times New Roman" w:cs="Calibri"/>
          <w:color w:val="000000" w:themeColor="text1"/>
          <w:lang w:eastAsia="hi-IN" w:bidi="hi-IN"/>
        </w:rPr>
        <w:t xml:space="preserve">insects to disperse modified viruses to </w:t>
      </w:r>
      <w:r w:rsidR="007235FD">
        <w:rPr>
          <w:rFonts w:ascii="Times New Roman" w:eastAsia="SimSun" w:hAnsi="Times New Roman" w:cs="Calibri"/>
          <w:color w:val="000000" w:themeColor="text1"/>
          <w:lang w:eastAsia="hi-IN" w:bidi="hi-IN"/>
        </w:rPr>
        <w:t xml:space="preserve">rapidly </w:t>
      </w:r>
      <w:r w:rsidR="0098720F">
        <w:rPr>
          <w:rFonts w:ascii="Times New Roman" w:eastAsia="SimSun" w:hAnsi="Times New Roman" w:cs="Calibri"/>
          <w:color w:val="000000" w:themeColor="text1"/>
          <w:lang w:eastAsia="hi-IN" w:bidi="hi-IN"/>
        </w:rPr>
        <w:t>introduce traits to</w:t>
      </w:r>
      <w:r w:rsidR="00E80449">
        <w:rPr>
          <w:rFonts w:ascii="Times New Roman" w:eastAsia="SimSun" w:hAnsi="Times New Roman" w:cs="Calibri"/>
          <w:color w:val="000000" w:themeColor="text1"/>
          <w:lang w:eastAsia="hi-IN" w:bidi="hi-IN"/>
        </w:rPr>
        <w:t xml:space="preserve"> crop plants </w:t>
      </w:r>
      <w:r w:rsidR="00CB56A5">
        <w:rPr>
          <w:rFonts w:ascii="Times New Roman" w:eastAsia="SimSun" w:hAnsi="Times New Roman" w:cs="Calibri"/>
          <w:color w:val="000000" w:themeColor="text1"/>
          <w:lang w:eastAsia="hi-IN" w:bidi="hi-IN"/>
        </w:rPr>
        <w:fldChar w:fldCharType="begin" w:fldLock="1"/>
      </w:r>
      <w:r w:rsidR="00310CB4">
        <w:rPr>
          <w:rFonts w:ascii="Times New Roman" w:eastAsia="SimSun" w:hAnsi="Times New Roman" w:cs="Calibri"/>
          <w:color w:val="000000" w:themeColor="text1"/>
          <w:lang w:eastAsia="hi-IN" w:bidi="hi-IN"/>
        </w:rPr>
        <w:instrText>ADDIN CSL_CITATION {"citationItems":[{"id":"ITEM-1","itemData":{"URL":"https://www.darpa.mil/program/insect-allies","accessed":{"date-parts":[["2021","4","1"]]},"author":[{"dropping-particle":"","family":"Defense Advanced Research Projects Agency","given":"","non-dropping-particle":"","parse-names":false,"suffix":""},{"dropping-particle":"","family":"Bextine","given":"Blake","non-dropping-particle":"","parse-names":false,"suffix":""}],"id":"ITEM-1","issued":{"date-parts":[["2021"]]},"title":"Insect Alllies","type":"webpage"},"uris":["http://www.mendeley.com/documents/?uuid=732dac97-254d-4fae-b8bc-ee9737ebae8c"]}],"mendeley":{"formattedCitation":"(Defense Advanced Research Projects Agency &amp; Bextine, 2021)","manualFormatting":"(DARPA, 2021)","plainTextFormattedCitation":"(Defense Advanced Research Projects Agency &amp; Bextine, 2021)","previouslyFormattedCitation":"(Defense Advanced Research Projects Agency &amp; Bextine, 2021)"},"properties":{"noteIndex":0},"schema":"https://github.com/citation-style-language/schema/raw/master/csl-citation.json"}</w:instrText>
      </w:r>
      <w:r w:rsidR="00CB56A5">
        <w:rPr>
          <w:rFonts w:ascii="Times New Roman" w:eastAsia="SimSun" w:hAnsi="Times New Roman" w:cs="Calibri"/>
          <w:color w:val="000000" w:themeColor="text1"/>
          <w:lang w:eastAsia="hi-IN" w:bidi="hi-IN"/>
        </w:rPr>
        <w:fldChar w:fldCharType="separate"/>
      </w:r>
      <w:r w:rsidR="00CB56A5" w:rsidRPr="00CB56A5">
        <w:rPr>
          <w:rFonts w:ascii="Times New Roman" w:eastAsia="SimSun" w:hAnsi="Times New Roman" w:cs="Calibri"/>
          <w:noProof/>
          <w:color w:val="000000" w:themeColor="text1"/>
          <w:lang w:eastAsia="hi-IN" w:bidi="hi-IN"/>
        </w:rPr>
        <w:t>(D</w:t>
      </w:r>
      <w:r w:rsidR="007D5301">
        <w:rPr>
          <w:rFonts w:ascii="Times New Roman" w:eastAsia="SimSun" w:hAnsi="Times New Roman" w:cs="Calibri"/>
          <w:noProof/>
          <w:color w:val="000000" w:themeColor="text1"/>
          <w:lang w:eastAsia="hi-IN" w:bidi="hi-IN"/>
        </w:rPr>
        <w:t>ARPA</w:t>
      </w:r>
      <w:r w:rsidR="00CB56A5" w:rsidRPr="00CB56A5">
        <w:rPr>
          <w:rFonts w:ascii="Times New Roman" w:eastAsia="SimSun" w:hAnsi="Times New Roman" w:cs="Calibri"/>
          <w:noProof/>
          <w:color w:val="000000" w:themeColor="text1"/>
          <w:lang w:eastAsia="hi-IN" w:bidi="hi-IN"/>
        </w:rPr>
        <w:t>, 2021)</w:t>
      </w:r>
      <w:r w:rsidR="00CB56A5">
        <w:rPr>
          <w:rFonts w:ascii="Times New Roman" w:eastAsia="SimSun" w:hAnsi="Times New Roman" w:cs="Calibri"/>
          <w:color w:val="000000" w:themeColor="text1"/>
          <w:lang w:eastAsia="hi-IN" w:bidi="hi-IN"/>
        </w:rPr>
        <w:fldChar w:fldCharType="end"/>
      </w:r>
      <w:r w:rsidR="00E80449">
        <w:rPr>
          <w:rFonts w:ascii="Times New Roman" w:eastAsia="SimSun" w:hAnsi="Times New Roman" w:cs="Calibri"/>
          <w:color w:val="000000" w:themeColor="text1"/>
          <w:lang w:eastAsia="hi-IN" w:bidi="hi-IN"/>
        </w:rPr>
        <w:t>.</w:t>
      </w:r>
      <w:r w:rsidR="00085D7E">
        <w:rPr>
          <w:rFonts w:ascii="Times New Roman" w:eastAsia="SimSun" w:hAnsi="Times New Roman" w:cs="Calibri"/>
          <w:color w:val="000000" w:themeColor="text1"/>
          <w:lang w:eastAsia="hi-IN" w:bidi="hi-IN"/>
        </w:rPr>
        <w:t xml:space="preserve"> However, </w:t>
      </w:r>
      <w:r w:rsidR="00D86A15">
        <w:rPr>
          <w:rFonts w:ascii="Times New Roman" w:eastAsia="SimSun" w:hAnsi="Times New Roman" w:cs="Calibri"/>
          <w:color w:val="000000" w:themeColor="text1"/>
          <w:lang w:eastAsia="hi-IN" w:bidi="hi-IN"/>
        </w:rPr>
        <w:t xml:space="preserve">Reeves et al. </w:t>
      </w:r>
      <w:r w:rsidR="007D5301">
        <w:rPr>
          <w:rFonts w:ascii="Times New Roman" w:eastAsia="SimSun" w:hAnsi="Times New Roman" w:cs="Calibri"/>
          <w:color w:val="000000" w:themeColor="text1"/>
          <w:lang w:eastAsia="hi-IN" w:bidi="hi-IN"/>
        </w:rPr>
        <w:fldChar w:fldCharType="begin" w:fldLock="1"/>
      </w:r>
      <w:r w:rsidR="007D5301">
        <w:rPr>
          <w:rFonts w:ascii="Times New Roman" w:eastAsia="SimSun" w:hAnsi="Times New Roman" w:cs="Calibri"/>
          <w:color w:val="000000" w:themeColor="text1"/>
          <w:lang w:eastAsia="hi-IN" w:bidi="hi-IN"/>
        </w:rPr>
        <w:instrText>ADDIN CSL_CITATION {"citationItems":[{"id":"ITEM-1","itemData":{"DOI":"10.1126/science.aat7664","ISSN":"0036-8075","author":[{"dropping-particle":"","family":"Reeves","given":"R. G.","non-dropping-particle":"","parse-names":false,"suffix":""},{"dropping-particle":"","family":"Voeneky","given":"S.","non-dropping-particle":"","parse-names":false,"suffix":""},{"dropping-particle":"","family":"Caetano-Anollés","given":"D.","non-dropping-particle":"","parse-names":false,"suffix":""},{"dropping-particle":"","family":"Beck","given":"F.","non-dropping-particle":"","parse-names":false,"suffix":""},{"dropping-particle":"","family":"Boëte","given":"C.","non-dropping-particle":"","parse-names":false,"suffix":""}],"container-title":"Science","id":"ITEM-1","issue":"6410","issued":{"date-parts":[["2018","10","5"]]},"page":"35-37","title":"Agricultural research, or a new bioweapon system?","type":"article-journal","volume":"362"},"uris":["http://www.mendeley.com/documents/?uuid=39a00854-fa85-45bf-a24a-0f4fd0213ca8"]}],"mendeley":{"formattedCitation":"(Reeves et al., 2018b)","manualFormatting":"(2018)","plainTextFormattedCitation":"(Reeves et al., 2018b)","previouslyFormattedCitation":"(Reeves et al., 2018b)"},"properties":{"noteIndex":0},"schema":"https://github.com/citation-style-language/schema/raw/master/csl-citation.json"}</w:instrText>
      </w:r>
      <w:r w:rsidR="007D5301">
        <w:rPr>
          <w:rFonts w:ascii="Times New Roman" w:eastAsia="SimSun" w:hAnsi="Times New Roman" w:cs="Calibri"/>
          <w:color w:val="000000" w:themeColor="text1"/>
          <w:lang w:eastAsia="hi-IN" w:bidi="hi-IN"/>
        </w:rPr>
        <w:fldChar w:fldCharType="separate"/>
      </w:r>
      <w:r w:rsidR="007D5301" w:rsidRPr="007D5301">
        <w:rPr>
          <w:rFonts w:ascii="Times New Roman" w:eastAsia="SimSun" w:hAnsi="Times New Roman" w:cs="Calibri"/>
          <w:noProof/>
          <w:color w:val="000000" w:themeColor="text1"/>
          <w:lang w:eastAsia="hi-IN" w:bidi="hi-IN"/>
        </w:rPr>
        <w:t>(2018)</w:t>
      </w:r>
      <w:r w:rsidR="007D5301">
        <w:rPr>
          <w:rFonts w:ascii="Times New Roman" w:eastAsia="SimSun" w:hAnsi="Times New Roman" w:cs="Calibri"/>
          <w:color w:val="000000" w:themeColor="text1"/>
          <w:lang w:eastAsia="hi-IN" w:bidi="hi-IN"/>
        </w:rPr>
        <w:fldChar w:fldCharType="end"/>
      </w:r>
      <w:r w:rsidR="00F14CA6">
        <w:rPr>
          <w:rFonts w:ascii="Times New Roman" w:eastAsia="SimSun" w:hAnsi="Times New Roman" w:cs="Calibri"/>
          <w:color w:val="000000" w:themeColor="text1"/>
          <w:lang w:eastAsia="hi-IN" w:bidi="hi-IN"/>
        </w:rPr>
        <w:t>considered</w:t>
      </w:r>
      <w:r w:rsidR="008A63A7">
        <w:rPr>
          <w:rFonts w:ascii="Times New Roman" w:eastAsia="SimSun" w:hAnsi="Times New Roman" w:cs="Calibri"/>
          <w:color w:val="000000" w:themeColor="text1"/>
          <w:lang w:eastAsia="hi-IN" w:bidi="hi-IN"/>
        </w:rPr>
        <w:t xml:space="preserve"> that the </w:t>
      </w:r>
      <w:r w:rsidR="006145E1">
        <w:rPr>
          <w:rFonts w:ascii="Times New Roman" w:eastAsia="SimSun" w:hAnsi="Times New Roman" w:cs="Calibri"/>
          <w:color w:val="000000" w:themeColor="text1"/>
          <w:lang w:eastAsia="hi-IN" w:bidi="hi-IN"/>
        </w:rPr>
        <w:t xml:space="preserve">knowledge </w:t>
      </w:r>
      <w:r w:rsidR="00F14CA6">
        <w:rPr>
          <w:rFonts w:ascii="Times New Roman" w:eastAsia="SimSun" w:hAnsi="Times New Roman" w:cs="Calibri"/>
          <w:color w:val="000000" w:themeColor="text1"/>
          <w:lang w:eastAsia="hi-IN" w:bidi="hi-IN"/>
        </w:rPr>
        <w:t>potentially</w:t>
      </w:r>
      <w:r w:rsidR="006145E1">
        <w:rPr>
          <w:rFonts w:ascii="Times New Roman" w:eastAsia="SimSun" w:hAnsi="Times New Roman" w:cs="Calibri"/>
          <w:color w:val="000000" w:themeColor="text1"/>
          <w:lang w:eastAsia="hi-IN" w:bidi="hi-IN"/>
        </w:rPr>
        <w:t xml:space="preserve"> gained by the project </w:t>
      </w:r>
      <w:r w:rsidR="00C116A0">
        <w:rPr>
          <w:rFonts w:ascii="Times New Roman" w:eastAsia="SimSun" w:hAnsi="Times New Roman" w:cs="Calibri"/>
          <w:color w:val="000000" w:themeColor="text1"/>
          <w:lang w:eastAsia="hi-IN" w:bidi="hi-IN"/>
        </w:rPr>
        <w:t>appears to be limited</w:t>
      </w:r>
      <w:r w:rsidR="001C3879">
        <w:rPr>
          <w:rFonts w:ascii="Times New Roman" w:eastAsia="SimSun" w:hAnsi="Times New Roman" w:cs="Calibri"/>
          <w:color w:val="000000" w:themeColor="text1"/>
          <w:lang w:eastAsia="hi-IN" w:bidi="hi-IN"/>
        </w:rPr>
        <w:t xml:space="preserve"> in its capacity</w:t>
      </w:r>
      <w:r w:rsidR="00DB5185">
        <w:rPr>
          <w:rFonts w:ascii="Times New Roman" w:eastAsia="SimSun" w:hAnsi="Times New Roman" w:cs="Calibri"/>
          <w:color w:val="000000" w:themeColor="text1"/>
          <w:lang w:eastAsia="hi-IN" w:bidi="hi-IN"/>
        </w:rPr>
        <w:t xml:space="preserve"> to enhance agriculture in the USA or respond to national emergencies</w:t>
      </w:r>
      <w:r w:rsidR="00C116A0">
        <w:rPr>
          <w:rFonts w:ascii="Times New Roman" w:eastAsia="SimSun" w:hAnsi="Times New Roman" w:cs="Calibri"/>
          <w:color w:val="000000" w:themeColor="text1"/>
          <w:lang w:eastAsia="hi-IN" w:bidi="hi-IN"/>
        </w:rPr>
        <w:t>.</w:t>
      </w:r>
      <w:r w:rsidR="006145E1">
        <w:rPr>
          <w:rFonts w:ascii="Times New Roman" w:eastAsia="SimSun" w:hAnsi="Times New Roman" w:cs="Calibri"/>
          <w:color w:val="000000" w:themeColor="text1"/>
          <w:lang w:eastAsia="hi-IN" w:bidi="hi-IN"/>
        </w:rPr>
        <w:t xml:space="preserve"> </w:t>
      </w:r>
      <w:r w:rsidR="000A09D4">
        <w:rPr>
          <w:rFonts w:ascii="Times New Roman" w:eastAsia="SimSun" w:hAnsi="Times New Roman" w:cs="Calibri"/>
          <w:color w:val="000000" w:themeColor="text1"/>
          <w:lang w:eastAsia="hi-IN" w:bidi="hi-IN"/>
        </w:rPr>
        <w:t>The use of insect</w:t>
      </w:r>
      <w:r w:rsidR="000468D2">
        <w:rPr>
          <w:rFonts w:ascii="Times New Roman" w:eastAsia="SimSun" w:hAnsi="Times New Roman" w:cs="Calibri"/>
          <w:color w:val="000000" w:themeColor="text1"/>
          <w:lang w:eastAsia="hi-IN" w:bidi="hi-IN"/>
        </w:rPr>
        <w:t xml:space="preserve"> dispersal</w:t>
      </w:r>
      <w:r w:rsidR="000A09D4">
        <w:rPr>
          <w:rFonts w:ascii="Times New Roman" w:eastAsia="SimSun" w:hAnsi="Times New Roman" w:cs="Calibri"/>
          <w:color w:val="000000" w:themeColor="text1"/>
          <w:lang w:eastAsia="hi-IN" w:bidi="hi-IN"/>
        </w:rPr>
        <w:t xml:space="preserve"> was of particular concern as </w:t>
      </w:r>
      <w:r w:rsidR="000468D2">
        <w:rPr>
          <w:rFonts w:ascii="Times New Roman" w:eastAsia="SimSun" w:hAnsi="Times New Roman" w:cs="Calibri"/>
          <w:color w:val="000000" w:themeColor="text1"/>
          <w:lang w:eastAsia="hi-IN" w:bidi="hi-IN"/>
        </w:rPr>
        <w:t xml:space="preserve">the modified viral agents </w:t>
      </w:r>
      <w:r w:rsidR="001657C0">
        <w:rPr>
          <w:rFonts w:ascii="Times New Roman" w:eastAsia="SimSun" w:hAnsi="Times New Roman" w:cs="Calibri"/>
          <w:color w:val="000000" w:themeColor="text1"/>
          <w:lang w:eastAsia="hi-IN" w:bidi="hi-IN"/>
        </w:rPr>
        <w:t>could also be spread via spraying</w:t>
      </w:r>
      <w:r w:rsidR="00D0215D">
        <w:rPr>
          <w:rFonts w:ascii="Times New Roman" w:eastAsia="SimSun" w:hAnsi="Times New Roman" w:cs="Calibri"/>
          <w:color w:val="000000" w:themeColor="text1"/>
          <w:lang w:eastAsia="hi-IN" w:bidi="hi-IN"/>
        </w:rPr>
        <w:t xml:space="preserve"> without the need for insects</w:t>
      </w:r>
      <w:r w:rsidR="001657C0">
        <w:rPr>
          <w:rFonts w:ascii="Times New Roman" w:eastAsia="SimSun" w:hAnsi="Times New Roman" w:cs="Calibri"/>
          <w:color w:val="000000" w:themeColor="text1"/>
          <w:lang w:eastAsia="hi-IN" w:bidi="hi-IN"/>
        </w:rPr>
        <w:t>.</w:t>
      </w:r>
      <w:r w:rsidR="00F0749C">
        <w:rPr>
          <w:rFonts w:ascii="Times New Roman" w:eastAsia="SimSun" w:hAnsi="Times New Roman" w:cs="Calibri"/>
          <w:color w:val="000000" w:themeColor="text1"/>
          <w:lang w:eastAsia="hi-IN" w:bidi="hi-IN"/>
        </w:rPr>
        <w:t xml:space="preserve"> </w:t>
      </w:r>
      <w:r w:rsidR="0098720F">
        <w:rPr>
          <w:rFonts w:ascii="Times New Roman" w:eastAsia="SimSun" w:hAnsi="Times New Roman" w:cs="Calibri"/>
          <w:color w:val="000000" w:themeColor="text1"/>
          <w:lang w:eastAsia="hi-IN" w:bidi="hi-IN"/>
        </w:rPr>
        <w:t>T</w:t>
      </w:r>
      <w:r w:rsidR="00F0749C">
        <w:rPr>
          <w:rFonts w:ascii="Times New Roman" w:eastAsia="SimSun" w:hAnsi="Times New Roman" w:cs="Calibri"/>
          <w:color w:val="000000" w:themeColor="text1"/>
          <w:lang w:eastAsia="hi-IN" w:bidi="hi-IN"/>
        </w:rPr>
        <w:t>he authors noted that spraying</w:t>
      </w:r>
      <w:r w:rsidR="00AB1D6F">
        <w:rPr>
          <w:rFonts w:ascii="Times New Roman" w:eastAsia="SimSun" w:hAnsi="Times New Roman" w:cs="Calibri"/>
          <w:color w:val="000000" w:themeColor="text1"/>
          <w:lang w:eastAsia="hi-IN" w:bidi="hi-IN"/>
        </w:rPr>
        <w:t xml:space="preserve"> equipment</w:t>
      </w:r>
      <w:r w:rsidR="00D0494B">
        <w:rPr>
          <w:rFonts w:ascii="Times New Roman" w:eastAsia="SimSun" w:hAnsi="Times New Roman" w:cs="Calibri"/>
          <w:color w:val="000000" w:themeColor="text1"/>
          <w:lang w:eastAsia="hi-IN" w:bidi="hi-IN"/>
        </w:rPr>
        <w:t xml:space="preserve"> </w:t>
      </w:r>
      <w:r w:rsidR="00F0749C">
        <w:rPr>
          <w:rFonts w:ascii="Times New Roman" w:eastAsia="SimSun" w:hAnsi="Times New Roman" w:cs="Calibri"/>
          <w:color w:val="000000" w:themeColor="text1"/>
          <w:lang w:eastAsia="hi-IN" w:bidi="hi-IN"/>
        </w:rPr>
        <w:t xml:space="preserve">would be </w:t>
      </w:r>
      <w:r w:rsidR="005905B8">
        <w:rPr>
          <w:rFonts w:ascii="Times New Roman" w:eastAsia="SimSun" w:hAnsi="Times New Roman" w:cs="Calibri"/>
          <w:color w:val="000000" w:themeColor="text1"/>
          <w:lang w:eastAsia="hi-IN" w:bidi="hi-IN"/>
        </w:rPr>
        <w:t>simpler</w:t>
      </w:r>
      <w:r w:rsidR="009E4A71">
        <w:rPr>
          <w:rFonts w:ascii="Times New Roman" w:eastAsia="SimSun" w:hAnsi="Times New Roman" w:cs="Calibri"/>
          <w:color w:val="000000" w:themeColor="text1"/>
          <w:lang w:eastAsia="hi-IN" w:bidi="hi-IN"/>
        </w:rPr>
        <w:t xml:space="preserve"> to scale up in times of emergency than the difficult process of </w:t>
      </w:r>
      <w:r w:rsidR="00505D57">
        <w:rPr>
          <w:rFonts w:ascii="Times New Roman" w:eastAsia="SimSun" w:hAnsi="Times New Roman" w:cs="Calibri"/>
          <w:color w:val="000000" w:themeColor="text1"/>
          <w:lang w:eastAsia="hi-IN" w:bidi="hi-IN"/>
        </w:rPr>
        <w:t>increasing insect production systems</w:t>
      </w:r>
      <w:r w:rsidR="00231B0F">
        <w:rPr>
          <w:rFonts w:ascii="Times New Roman" w:eastAsia="SimSun" w:hAnsi="Times New Roman" w:cs="Calibri"/>
          <w:color w:val="000000" w:themeColor="text1"/>
          <w:lang w:eastAsia="hi-IN" w:bidi="hi-IN"/>
        </w:rPr>
        <w:t>.</w:t>
      </w:r>
      <w:r w:rsidR="00C116A0">
        <w:rPr>
          <w:rFonts w:ascii="Times New Roman" w:eastAsia="SimSun" w:hAnsi="Times New Roman" w:cs="Calibri"/>
          <w:color w:val="000000" w:themeColor="text1"/>
          <w:lang w:eastAsia="hi-IN" w:bidi="hi-IN"/>
        </w:rPr>
        <w:t xml:space="preserve"> </w:t>
      </w:r>
      <w:r w:rsidR="00544ED9">
        <w:rPr>
          <w:rFonts w:ascii="Times New Roman" w:eastAsia="SimSun" w:hAnsi="Times New Roman" w:cs="Calibri"/>
          <w:color w:val="000000" w:themeColor="text1"/>
          <w:lang w:eastAsia="hi-IN" w:bidi="hi-IN"/>
        </w:rPr>
        <w:t xml:space="preserve">Noting omission of </w:t>
      </w:r>
      <w:r w:rsidR="00A143F8">
        <w:rPr>
          <w:rFonts w:ascii="Times New Roman" w:eastAsia="SimSun" w:hAnsi="Times New Roman" w:cs="Calibri"/>
          <w:color w:val="000000" w:themeColor="text1"/>
          <w:lang w:eastAsia="hi-IN" w:bidi="hi-IN"/>
        </w:rPr>
        <w:t>regulation from the press release</w:t>
      </w:r>
      <w:r w:rsidR="00B95245">
        <w:rPr>
          <w:rFonts w:ascii="Times New Roman" w:eastAsia="SimSun" w:hAnsi="Times New Roman" w:cs="Calibri"/>
          <w:color w:val="000000" w:themeColor="text1"/>
          <w:lang w:eastAsia="hi-IN" w:bidi="hi-IN"/>
        </w:rPr>
        <w:t>s</w:t>
      </w:r>
      <w:r w:rsidR="003F0526">
        <w:rPr>
          <w:rFonts w:ascii="Times New Roman" w:eastAsia="SimSun" w:hAnsi="Times New Roman" w:cs="Calibri"/>
          <w:color w:val="000000" w:themeColor="text1"/>
          <w:lang w:eastAsia="hi-IN" w:bidi="hi-IN"/>
        </w:rPr>
        <w:t xml:space="preserve">, </w:t>
      </w:r>
      <w:r w:rsidR="00CD1338">
        <w:rPr>
          <w:rFonts w:ascii="Times New Roman" w:eastAsia="SimSun" w:hAnsi="Times New Roman" w:cs="Calibri"/>
          <w:color w:val="000000" w:themeColor="text1"/>
          <w:lang w:eastAsia="hi-IN" w:bidi="hi-IN"/>
        </w:rPr>
        <w:t>the lack of robust explanations</w:t>
      </w:r>
      <w:r w:rsidR="001C2FF5">
        <w:rPr>
          <w:rFonts w:ascii="Times New Roman" w:eastAsia="SimSun" w:hAnsi="Times New Roman" w:cs="Calibri"/>
          <w:color w:val="000000" w:themeColor="text1"/>
          <w:lang w:eastAsia="hi-IN" w:bidi="hi-IN"/>
        </w:rPr>
        <w:t xml:space="preserve"> and publicly available analyses on trade and biosafety</w:t>
      </w:r>
      <w:r w:rsidR="00A143F8">
        <w:rPr>
          <w:rFonts w:ascii="Times New Roman" w:eastAsia="SimSun" w:hAnsi="Times New Roman" w:cs="Calibri"/>
          <w:color w:val="000000" w:themeColor="text1"/>
          <w:lang w:eastAsia="hi-IN" w:bidi="hi-IN"/>
        </w:rPr>
        <w:t xml:space="preserve">, the authors </w:t>
      </w:r>
      <w:r w:rsidR="00BB6CA0">
        <w:rPr>
          <w:rFonts w:ascii="Times New Roman" w:eastAsia="SimSun" w:hAnsi="Times New Roman" w:cs="Calibri"/>
          <w:color w:val="000000" w:themeColor="text1"/>
          <w:lang w:eastAsia="hi-IN" w:bidi="hi-IN"/>
        </w:rPr>
        <w:t xml:space="preserve">questioned </w:t>
      </w:r>
      <w:r w:rsidR="00543450">
        <w:rPr>
          <w:rFonts w:ascii="Times New Roman" w:eastAsia="SimSun" w:hAnsi="Times New Roman" w:cs="Calibri"/>
          <w:color w:val="000000" w:themeColor="text1"/>
          <w:lang w:eastAsia="hi-IN" w:bidi="hi-IN"/>
        </w:rPr>
        <w:t>if</w:t>
      </w:r>
      <w:r w:rsidR="00BB6CA0">
        <w:rPr>
          <w:rFonts w:ascii="Times New Roman" w:eastAsia="SimSun" w:hAnsi="Times New Roman" w:cs="Calibri"/>
          <w:color w:val="000000" w:themeColor="text1"/>
          <w:lang w:eastAsia="hi-IN" w:bidi="hi-IN"/>
        </w:rPr>
        <w:t xml:space="preserve"> </w:t>
      </w:r>
      <w:r w:rsidR="005905B8">
        <w:rPr>
          <w:rFonts w:ascii="Times New Roman" w:eastAsia="SimSun" w:hAnsi="Times New Roman" w:cs="Calibri"/>
          <w:color w:val="000000" w:themeColor="text1"/>
          <w:lang w:eastAsia="hi-IN" w:bidi="hi-IN"/>
        </w:rPr>
        <w:t>the goal of the</w:t>
      </w:r>
      <w:r w:rsidR="00BB6CA0">
        <w:rPr>
          <w:rFonts w:ascii="Times New Roman" w:eastAsia="SimSun" w:hAnsi="Times New Roman" w:cs="Calibri"/>
          <w:color w:val="000000" w:themeColor="text1"/>
          <w:lang w:eastAsia="hi-IN" w:bidi="hi-IN"/>
        </w:rPr>
        <w:t xml:space="preserve"> </w:t>
      </w:r>
      <w:r w:rsidR="00D93B8F">
        <w:rPr>
          <w:rFonts w:ascii="Times New Roman" w:eastAsia="SimSun" w:hAnsi="Times New Roman" w:cs="Calibri"/>
          <w:color w:val="000000" w:themeColor="text1"/>
          <w:lang w:eastAsia="hi-IN" w:bidi="hi-IN"/>
        </w:rPr>
        <w:t xml:space="preserve">project was to develop </w:t>
      </w:r>
      <w:r w:rsidR="00D97799">
        <w:rPr>
          <w:rFonts w:ascii="Times New Roman" w:eastAsia="SimSun" w:hAnsi="Times New Roman" w:cs="Calibri"/>
          <w:color w:val="000000" w:themeColor="text1"/>
          <w:lang w:eastAsia="hi-IN" w:bidi="hi-IN"/>
        </w:rPr>
        <w:t>novel</w:t>
      </w:r>
      <w:r w:rsidR="00D93B8F">
        <w:rPr>
          <w:rFonts w:ascii="Times New Roman" w:eastAsia="SimSun" w:hAnsi="Times New Roman" w:cs="Calibri"/>
          <w:color w:val="000000" w:themeColor="text1"/>
          <w:lang w:eastAsia="hi-IN" w:bidi="hi-IN"/>
        </w:rPr>
        <w:t xml:space="preserve"> bioweapons, which would violate the Biological Weapons Convention</w:t>
      </w:r>
      <w:r w:rsidR="001C514E">
        <w:rPr>
          <w:rFonts w:ascii="Times New Roman" w:eastAsia="SimSun" w:hAnsi="Times New Roman" w:cs="Calibri"/>
          <w:color w:val="000000" w:themeColor="text1"/>
          <w:lang w:eastAsia="hi-IN" w:bidi="hi-IN"/>
        </w:rPr>
        <w:t xml:space="preserve"> (</w:t>
      </w:r>
      <w:r w:rsidR="00E45EA5">
        <w:rPr>
          <w:rFonts w:ascii="Times New Roman" w:eastAsia="SimSun" w:hAnsi="Times New Roman" w:cs="Calibri"/>
          <w:color w:val="000000" w:themeColor="text1"/>
          <w:lang w:eastAsia="hi-IN" w:bidi="hi-IN"/>
        </w:rPr>
        <w:t xml:space="preserve">BWC; </w:t>
      </w:r>
      <w:r w:rsidR="00B24FBD">
        <w:rPr>
          <w:rFonts w:ascii="Times New Roman" w:eastAsia="SimSun" w:hAnsi="Times New Roman" w:cs="Calibri"/>
          <w:color w:val="000000" w:themeColor="text1"/>
          <w:lang w:eastAsia="hi-IN" w:bidi="hi-IN"/>
        </w:rPr>
        <w:t>S</w:t>
      </w:r>
      <w:r w:rsidR="001C514E">
        <w:rPr>
          <w:rFonts w:ascii="Times New Roman" w:eastAsia="SimSun" w:hAnsi="Times New Roman" w:cs="Calibri"/>
          <w:color w:val="000000" w:themeColor="text1"/>
          <w:lang w:eastAsia="hi-IN" w:bidi="hi-IN"/>
        </w:rPr>
        <w:t xml:space="preserve">ection </w:t>
      </w:r>
      <w:r w:rsidR="00B24FBD">
        <w:rPr>
          <w:rFonts w:ascii="Times New Roman" w:eastAsia="SimSun" w:hAnsi="Times New Roman" w:cs="Calibri"/>
          <w:color w:val="000000" w:themeColor="text1"/>
          <w:lang w:eastAsia="hi-IN" w:bidi="hi-IN"/>
        </w:rPr>
        <w:t>9.3</w:t>
      </w:r>
      <w:r w:rsidR="00BE7ACD">
        <w:rPr>
          <w:rFonts w:ascii="Times New Roman" w:eastAsia="SimSun" w:hAnsi="Times New Roman" w:cs="Calibri"/>
          <w:color w:val="000000" w:themeColor="text1"/>
          <w:lang w:eastAsia="hi-IN" w:bidi="hi-IN"/>
        </w:rPr>
        <w:t>(c)</w:t>
      </w:r>
      <w:r w:rsidR="001C514E">
        <w:rPr>
          <w:rFonts w:ascii="Times New Roman" w:eastAsia="SimSun" w:hAnsi="Times New Roman" w:cs="Calibri"/>
          <w:color w:val="000000" w:themeColor="text1"/>
          <w:lang w:eastAsia="hi-IN" w:bidi="hi-IN"/>
        </w:rPr>
        <w:t>)</w:t>
      </w:r>
      <w:r w:rsidR="008C5C98">
        <w:rPr>
          <w:rFonts w:ascii="Times New Roman" w:eastAsia="SimSun" w:hAnsi="Times New Roman" w:cs="Calibri"/>
          <w:color w:val="000000" w:themeColor="text1"/>
          <w:lang w:eastAsia="hi-IN" w:bidi="hi-IN"/>
        </w:rPr>
        <w:t>, and</w:t>
      </w:r>
      <w:r w:rsidR="005905B8">
        <w:rPr>
          <w:rFonts w:ascii="Times New Roman" w:eastAsia="SimSun" w:hAnsi="Times New Roman" w:cs="Calibri"/>
          <w:color w:val="000000" w:themeColor="text1"/>
          <w:lang w:eastAsia="hi-IN" w:bidi="hi-IN"/>
        </w:rPr>
        <w:t xml:space="preserve"> voiced</w:t>
      </w:r>
      <w:r w:rsidR="00B802A8">
        <w:rPr>
          <w:rFonts w:ascii="Times New Roman" w:eastAsia="SimSun" w:hAnsi="Times New Roman" w:cs="Calibri"/>
          <w:color w:val="000000" w:themeColor="text1"/>
          <w:lang w:eastAsia="hi-IN" w:bidi="hi-IN"/>
        </w:rPr>
        <w:t xml:space="preserve"> concern that this may lead to other nations developing their own bioweapons.</w:t>
      </w:r>
      <w:r w:rsidR="008C5C98">
        <w:rPr>
          <w:rFonts w:ascii="Times New Roman" w:eastAsia="SimSun" w:hAnsi="Times New Roman" w:cs="Calibri"/>
          <w:color w:val="000000" w:themeColor="text1"/>
          <w:lang w:eastAsia="hi-IN" w:bidi="hi-IN"/>
        </w:rPr>
        <w:t xml:space="preserve"> </w:t>
      </w:r>
      <w:r w:rsidR="00F86C2E">
        <w:rPr>
          <w:rFonts w:ascii="Times New Roman" w:eastAsia="SimSun" w:hAnsi="Times New Roman" w:cs="Calibri"/>
          <w:color w:val="000000" w:themeColor="text1"/>
          <w:lang w:eastAsia="hi-IN" w:bidi="hi-IN"/>
        </w:rPr>
        <w:t>Further, it was noted that funding for projects reflected an applied nature due to the explicit discounting of project</w:t>
      </w:r>
      <w:r w:rsidR="00164AC7">
        <w:rPr>
          <w:rFonts w:ascii="Times New Roman" w:eastAsia="SimSun" w:hAnsi="Times New Roman" w:cs="Calibri"/>
          <w:color w:val="000000" w:themeColor="text1"/>
          <w:lang w:eastAsia="hi-IN" w:bidi="hi-IN"/>
        </w:rPr>
        <w:t>s based</w:t>
      </w:r>
      <w:r w:rsidR="00F86C2E">
        <w:rPr>
          <w:rFonts w:ascii="Times New Roman" w:eastAsia="SimSun" w:hAnsi="Times New Roman" w:cs="Calibri"/>
          <w:color w:val="000000" w:themeColor="text1"/>
          <w:lang w:eastAsia="hi-IN" w:bidi="hi-IN"/>
        </w:rPr>
        <w:t xml:space="preserve"> on model plant organisms, such as tobacco or </w:t>
      </w:r>
      <w:r w:rsidR="00F86C2E">
        <w:rPr>
          <w:rFonts w:ascii="Times New Roman" w:eastAsia="SimSun" w:hAnsi="Times New Roman" w:cs="Calibri"/>
          <w:i/>
          <w:iCs/>
          <w:color w:val="000000" w:themeColor="text1"/>
          <w:lang w:eastAsia="hi-IN" w:bidi="hi-IN"/>
        </w:rPr>
        <w:t>A. thaliana</w:t>
      </w:r>
      <w:r w:rsidR="00164AC7">
        <w:rPr>
          <w:rFonts w:ascii="Times New Roman" w:eastAsia="SimSun" w:hAnsi="Times New Roman" w:cs="Calibri"/>
          <w:color w:val="000000" w:themeColor="text1"/>
          <w:lang w:eastAsia="hi-IN" w:bidi="hi-IN"/>
        </w:rPr>
        <w:t>,</w:t>
      </w:r>
      <w:r w:rsidR="00E51A48">
        <w:rPr>
          <w:rFonts w:ascii="Times New Roman" w:eastAsia="SimSun" w:hAnsi="Times New Roman" w:cs="Calibri"/>
          <w:color w:val="000000" w:themeColor="text1"/>
          <w:lang w:eastAsia="hi-IN" w:bidi="hi-IN"/>
        </w:rPr>
        <w:t xml:space="preserve"> and</w:t>
      </w:r>
      <w:r w:rsidR="00164AC7">
        <w:rPr>
          <w:rFonts w:ascii="Times New Roman" w:eastAsia="SimSun" w:hAnsi="Times New Roman" w:cs="Calibri"/>
          <w:color w:val="000000" w:themeColor="text1"/>
          <w:lang w:eastAsia="hi-IN" w:bidi="hi-IN"/>
        </w:rPr>
        <w:t xml:space="preserve"> focusing on crops</w:t>
      </w:r>
      <w:r w:rsidR="00DB51D8">
        <w:rPr>
          <w:rFonts w:ascii="Times New Roman" w:eastAsia="SimSun" w:hAnsi="Times New Roman" w:cs="Calibri"/>
          <w:color w:val="000000" w:themeColor="text1"/>
          <w:lang w:eastAsia="hi-IN" w:bidi="hi-IN"/>
        </w:rPr>
        <w:t xml:space="preserve"> of agricultural importance</w:t>
      </w:r>
      <w:r w:rsidR="00164AC7">
        <w:rPr>
          <w:rFonts w:ascii="Times New Roman" w:eastAsia="SimSun" w:hAnsi="Times New Roman" w:cs="Calibri"/>
          <w:color w:val="000000" w:themeColor="text1"/>
          <w:lang w:eastAsia="hi-IN" w:bidi="hi-IN"/>
        </w:rPr>
        <w:t>, such as maize</w:t>
      </w:r>
      <w:r w:rsidR="00DB51D8">
        <w:rPr>
          <w:rFonts w:ascii="Times New Roman" w:eastAsia="SimSun" w:hAnsi="Times New Roman" w:cs="Calibri"/>
          <w:color w:val="000000" w:themeColor="text1"/>
          <w:lang w:eastAsia="hi-IN" w:bidi="hi-IN"/>
        </w:rPr>
        <w:t xml:space="preserve">, rice, cassava, </w:t>
      </w:r>
      <w:r w:rsidR="00BA7EBB">
        <w:rPr>
          <w:rFonts w:ascii="Times New Roman" w:eastAsia="SimSun" w:hAnsi="Times New Roman" w:cs="Calibri"/>
          <w:color w:val="000000" w:themeColor="text1"/>
          <w:lang w:eastAsia="hi-IN" w:bidi="hi-IN"/>
        </w:rPr>
        <w:t>cowpea,</w:t>
      </w:r>
      <w:r w:rsidR="00DB51D8">
        <w:rPr>
          <w:rFonts w:ascii="Times New Roman" w:eastAsia="SimSun" w:hAnsi="Times New Roman" w:cs="Calibri"/>
          <w:color w:val="000000" w:themeColor="text1"/>
          <w:lang w:eastAsia="hi-IN" w:bidi="hi-IN"/>
        </w:rPr>
        <w:t xml:space="preserve"> wheat, </w:t>
      </w:r>
      <w:r w:rsidR="00BA7EBB">
        <w:rPr>
          <w:rFonts w:ascii="Times New Roman" w:eastAsia="SimSun" w:hAnsi="Times New Roman" w:cs="Calibri"/>
          <w:color w:val="000000" w:themeColor="text1"/>
          <w:lang w:eastAsia="hi-IN" w:bidi="hi-IN"/>
        </w:rPr>
        <w:t>potato,</w:t>
      </w:r>
      <w:r w:rsidR="00DB51D8">
        <w:rPr>
          <w:rFonts w:ascii="Times New Roman" w:eastAsia="SimSun" w:hAnsi="Times New Roman" w:cs="Calibri"/>
          <w:color w:val="000000" w:themeColor="text1"/>
          <w:lang w:eastAsia="hi-IN" w:bidi="hi-IN"/>
        </w:rPr>
        <w:t xml:space="preserve"> etc</w:t>
      </w:r>
      <w:r w:rsidR="004515FB">
        <w:rPr>
          <w:rFonts w:ascii="Times New Roman" w:eastAsia="SimSun" w:hAnsi="Times New Roman" w:cs="Calibri"/>
          <w:color w:val="000000" w:themeColor="text1"/>
          <w:lang w:eastAsia="hi-IN" w:bidi="hi-IN"/>
        </w:rPr>
        <w:t xml:space="preserve">. </w:t>
      </w:r>
      <w:r w:rsidR="007D5301">
        <w:rPr>
          <w:rFonts w:ascii="Times New Roman" w:eastAsia="SimSun" w:hAnsi="Times New Roman" w:cs="Calibri"/>
          <w:color w:val="000000" w:themeColor="text1"/>
          <w:lang w:eastAsia="hi-IN" w:bidi="hi-IN"/>
        </w:rPr>
        <w:fldChar w:fldCharType="begin" w:fldLock="1"/>
      </w:r>
      <w:r w:rsidR="007114E8">
        <w:rPr>
          <w:rFonts w:ascii="Times New Roman" w:eastAsia="SimSun" w:hAnsi="Times New Roman" w:cs="Calibri"/>
          <w:color w:val="000000" w:themeColor="text1"/>
          <w:lang w:eastAsia="hi-IN" w:bidi="hi-IN"/>
        </w:rPr>
        <w:instrText>ADDIN CSL_CITATION {"citationItems":[{"id":"ITEM-1","itemData":{"author":[{"dropping-particle":"","family":"Defense Advanced Research Projects Agency","given":"","non-dropping-particle":"","parse-names":false,"suffix":""}],"id":"ITEM-1","issued":{"date-parts":[["2016"]]},"page":"38","publisher":"Biological Technologies Office","publisher-place":"Arlington, United States of America","title":"Insect Allies","type":"article"},"uris":["http://www.mendeley.com/documents/?uuid=8e9d1f69-9132-49b0-a394-739bfb1901f1"]}],"mendeley":{"formattedCitation":"(Defense Advanced Research Projects Agency, 2016)","manualFormatting":"(DARPA, 2016)","plainTextFormattedCitation":"(Defense Advanced Research Projects Agency, 2016)","previouslyFormattedCitation":"(Defense Advanced Research Projects Agency, 2016)"},"properties":{"noteIndex":0},"schema":"https://github.com/citation-style-language/schema/raw/master/csl-citation.json"}</w:instrText>
      </w:r>
      <w:r w:rsidR="007D5301">
        <w:rPr>
          <w:rFonts w:ascii="Times New Roman" w:eastAsia="SimSun" w:hAnsi="Times New Roman" w:cs="Calibri"/>
          <w:color w:val="000000" w:themeColor="text1"/>
          <w:lang w:eastAsia="hi-IN" w:bidi="hi-IN"/>
        </w:rPr>
        <w:fldChar w:fldCharType="separate"/>
      </w:r>
      <w:r w:rsidR="007D5301" w:rsidRPr="007D5301">
        <w:rPr>
          <w:rFonts w:ascii="Times New Roman" w:eastAsia="SimSun" w:hAnsi="Times New Roman" w:cs="Calibri"/>
          <w:noProof/>
          <w:color w:val="000000" w:themeColor="text1"/>
          <w:lang w:eastAsia="hi-IN" w:bidi="hi-IN"/>
        </w:rPr>
        <w:t>(D</w:t>
      </w:r>
      <w:r w:rsidR="007D5301">
        <w:rPr>
          <w:rFonts w:ascii="Times New Roman" w:eastAsia="SimSun" w:hAnsi="Times New Roman" w:cs="Calibri"/>
          <w:noProof/>
          <w:color w:val="000000" w:themeColor="text1"/>
          <w:lang w:eastAsia="hi-IN" w:bidi="hi-IN"/>
        </w:rPr>
        <w:t>ARPA</w:t>
      </w:r>
      <w:r w:rsidR="007D5301" w:rsidRPr="007D5301">
        <w:rPr>
          <w:rFonts w:ascii="Times New Roman" w:eastAsia="SimSun" w:hAnsi="Times New Roman" w:cs="Calibri"/>
          <w:noProof/>
          <w:color w:val="000000" w:themeColor="text1"/>
          <w:lang w:eastAsia="hi-IN" w:bidi="hi-IN"/>
        </w:rPr>
        <w:t>, 2016)</w:t>
      </w:r>
      <w:r w:rsidR="007D5301">
        <w:rPr>
          <w:rFonts w:ascii="Times New Roman" w:eastAsia="SimSun" w:hAnsi="Times New Roman" w:cs="Calibri"/>
          <w:color w:val="000000" w:themeColor="text1"/>
          <w:lang w:eastAsia="hi-IN" w:bidi="hi-IN"/>
        </w:rPr>
        <w:fldChar w:fldCharType="end"/>
      </w:r>
      <w:r w:rsidR="00164AC7">
        <w:rPr>
          <w:rFonts w:ascii="Times New Roman" w:eastAsia="SimSun" w:hAnsi="Times New Roman" w:cs="Calibri"/>
          <w:color w:val="000000" w:themeColor="text1"/>
          <w:lang w:eastAsia="hi-IN" w:bidi="hi-IN"/>
        </w:rPr>
        <w:t>.</w:t>
      </w:r>
      <w:r w:rsidR="00F86C2E">
        <w:rPr>
          <w:rFonts w:ascii="Times New Roman" w:eastAsia="SimSun" w:hAnsi="Times New Roman" w:cs="Calibri"/>
          <w:color w:val="000000" w:themeColor="text1"/>
          <w:lang w:eastAsia="hi-IN" w:bidi="hi-IN"/>
        </w:rPr>
        <w:t xml:space="preserve"> Thus, it could be </w:t>
      </w:r>
      <w:r w:rsidR="00856AC4">
        <w:rPr>
          <w:rFonts w:ascii="Times New Roman" w:eastAsia="SimSun" w:hAnsi="Times New Roman" w:cs="Calibri"/>
          <w:color w:val="000000" w:themeColor="text1"/>
          <w:lang w:eastAsia="hi-IN" w:bidi="hi-IN"/>
        </w:rPr>
        <w:t>theorised</w:t>
      </w:r>
      <w:r w:rsidR="00F86C2E">
        <w:rPr>
          <w:rFonts w:ascii="Times New Roman" w:eastAsia="SimSun" w:hAnsi="Times New Roman" w:cs="Calibri"/>
          <w:color w:val="000000" w:themeColor="text1"/>
          <w:lang w:eastAsia="hi-IN" w:bidi="hi-IN"/>
        </w:rPr>
        <w:t xml:space="preserve"> that</w:t>
      </w:r>
      <w:r w:rsidR="00164AC7">
        <w:rPr>
          <w:rFonts w:ascii="Times New Roman" w:eastAsia="SimSun" w:hAnsi="Times New Roman" w:cs="Calibri"/>
          <w:color w:val="000000" w:themeColor="text1"/>
          <w:lang w:eastAsia="hi-IN" w:bidi="hi-IN"/>
        </w:rPr>
        <w:t xml:space="preserve"> such applications could have food security implication</w:t>
      </w:r>
      <w:r w:rsidR="002A6426">
        <w:rPr>
          <w:rFonts w:ascii="Times New Roman" w:eastAsia="SimSun" w:hAnsi="Times New Roman" w:cs="Calibri"/>
          <w:color w:val="000000" w:themeColor="text1"/>
          <w:lang w:eastAsia="hi-IN" w:bidi="hi-IN"/>
        </w:rPr>
        <w:t>s</w:t>
      </w:r>
      <w:r w:rsidR="00164AC7">
        <w:rPr>
          <w:rFonts w:ascii="Times New Roman" w:eastAsia="SimSun" w:hAnsi="Times New Roman" w:cs="Calibri"/>
          <w:color w:val="000000" w:themeColor="text1"/>
          <w:lang w:eastAsia="hi-IN" w:bidi="hi-IN"/>
        </w:rPr>
        <w:t xml:space="preserve"> </w:t>
      </w:r>
      <w:r w:rsidR="00BA7EBB">
        <w:rPr>
          <w:rFonts w:ascii="Times New Roman" w:eastAsia="SimSun" w:hAnsi="Times New Roman" w:cs="Calibri"/>
          <w:color w:val="000000" w:themeColor="text1"/>
          <w:lang w:eastAsia="hi-IN" w:bidi="hi-IN"/>
        </w:rPr>
        <w:t xml:space="preserve">if deployed </w:t>
      </w:r>
      <w:r w:rsidR="00164AC7">
        <w:rPr>
          <w:rFonts w:ascii="Times New Roman" w:eastAsia="SimSun" w:hAnsi="Times New Roman" w:cs="Calibri"/>
          <w:color w:val="000000" w:themeColor="text1"/>
          <w:lang w:eastAsia="hi-IN" w:bidi="hi-IN"/>
        </w:rPr>
        <w:t>(Reeves et al. 2018).</w:t>
      </w:r>
    </w:p>
    <w:p w14:paraId="317D81A0" w14:textId="0A8019C7" w:rsidR="009455DB" w:rsidRDefault="003436C0" w:rsidP="009455DB">
      <w:pPr>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Beyond actions</w:t>
      </w:r>
      <w:r w:rsidR="009455DB" w:rsidRPr="0022267E">
        <w:rPr>
          <w:rFonts w:ascii="Times New Roman" w:eastAsia="SimSun" w:hAnsi="Times New Roman" w:cs="Calibri"/>
          <w:color w:val="000000" w:themeColor="text1"/>
          <w:lang w:eastAsia="hi-IN" w:bidi="hi-IN"/>
        </w:rPr>
        <w:t xml:space="preserve"> </w:t>
      </w:r>
      <w:r>
        <w:rPr>
          <w:rFonts w:ascii="Times New Roman" w:eastAsia="SimSun" w:hAnsi="Times New Roman" w:cs="Calibri"/>
          <w:color w:val="000000" w:themeColor="text1"/>
          <w:lang w:eastAsia="hi-IN" w:bidi="hi-IN"/>
        </w:rPr>
        <w:t xml:space="preserve">potentially </w:t>
      </w:r>
      <w:r w:rsidR="009455DB" w:rsidRPr="0022267E">
        <w:rPr>
          <w:rFonts w:ascii="Times New Roman" w:eastAsia="SimSun" w:hAnsi="Times New Roman" w:cs="Calibri"/>
          <w:color w:val="000000" w:themeColor="text1"/>
          <w:lang w:eastAsia="hi-IN" w:bidi="hi-IN"/>
        </w:rPr>
        <w:t>coordinated</w:t>
      </w:r>
      <w:r w:rsidR="009455DB" w:rsidRPr="210AB58B">
        <w:rPr>
          <w:rFonts w:ascii="Times New Roman" w:eastAsia="SimSun" w:hAnsi="Times New Roman" w:cs="Calibri"/>
          <w:color w:val="000000" w:themeColor="text1"/>
          <w:lang w:eastAsia="hi-IN" w:bidi="hi-IN"/>
        </w:rPr>
        <w:t xml:space="preserve"> by governments or organised groups, there are </w:t>
      </w:r>
      <w:r w:rsidR="00E92136">
        <w:rPr>
          <w:rFonts w:ascii="Times New Roman" w:eastAsia="SimSun" w:hAnsi="Times New Roman" w:cs="Calibri"/>
          <w:color w:val="000000" w:themeColor="text1"/>
          <w:lang w:eastAsia="hi-IN" w:bidi="hi-IN"/>
        </w:rPr>
        <w:t xml:space="preserve">additional </w:t>
      </w:r>
      <w:r w:rsidR="009455DB" w:rsidRPr="210AB58B">
        <w:rPr>
          <w:rFonts w:ascii="Times New Roman" w:eastAsia="SimSun" w:hAnsi="Times New Roman" w:cs="Calibri"/>
          <w:color w:val="000000" w:themeColor="text1"/>
          <w:lang w:eastAsia="hi-IN" w:bidi="hi-IN"/>
        </w:rPr>
        <w:t xml:space="preserve">concerns </w:t>
      </w:r>
      <w:r w:rsidR="00E92136">
        <w:rPr>
          <w:rFonts w:ascii="Times New Roman" w:eastAsia="SimSun" w:hAnsi="Times New Roman" w:cs="Calibri"/>
          <w:color w:val="000000" w:themeColor="text1"/>
          <w:lang w:eastAsia="hi-IN" w:bidi="hi-IN"/>
        </w:rPr>
        <w:t xml:space="preserve">over </w:t>
      </w:r>
      <w:r w:rsidR="009455DB" w:rsidRPr="210AB58B">
        <w:rPr>
          <w:rFonts w:ascii="Times New Roman" w:eastAsia="SimSun" w:hAnsi="Times New Roman" w:cs="Calibri"/>
          <w:color w:val="000000" w:themeColor="text1"/>
          <w:lang w:eastAsia="hi-IN" w:bidi="hi-IN"/>
        </w:rPr>
        <w:t xml:space="preserve">the </w:t>
      </w:r>
      <w:r w:rsidR="00FE0A91">
        <w:rPr>
          <w:rFonts w:ascii="Times New Roman" w:eastAsia="SimSun" w:hAnsi="Times New Roman" w:cs="Calibri"/>
          <w:color w:val="000000" w:themeColor="text1"/>
          <w:lang w:eastAsia="hi-IN" w:bidi="hi-IN"/>
        </w:rPr>
        <w:t>potential</w:t>
      </w:r>
      <w:r w:rsidR="009455DB" w:rsidRPr="210AB58B">
        <w:rPr>
          <w:rFonts w:ascii="Times New Roman" w:eastAsia="SimSun" w:hAnsi="Times New Roman" w:cs="Calibri"/>
          <w:color w:val="000000" w:themeColor="text1"/>
          <w:lang w:eastAsia="hi-IN" w:bidi="hi-IN"/>
        </w:rPr>
        <w:t xml:space="preserve"> emergence of a ‘bio-hacker’ culture in which lone individuals </w:t>
      </w:r>
      <w:r w:rsidR="00FC75F9">
        <w:rPr>
          <w:rFonts w:ascii="Times New Roman" w:eastAsia="SimSun" w:hAnsi="Times New Roman" w:cs="Calibri"/>
          <w:color w:val="000000" w:themeColor="text1"/>
          <w:lang w:eastAsia="hi-IN" w:bidi="hi-IN"/>
        </w:rPr>
        <w:t xml:space="preserve">could theoretically </w:t>
      </w:r>
      <w:r w:rsidR="009455DB" w:rsidRPr="210AB58B">
        <w:rPr>
          <w:rFonts w:ascii="Times New Roman" w:eastAsia="SimSun" w:hAnsi="Times New Roman" w:cs="Calibri"/>
          <w:color w:val="000000" w:themeColor="text1"/>
          <w:lang w:eastAsia="hi-IN" w:bidi="hi-IN"/>
        </w:rPr>
        <w:t xml:space="preserve">develop dangerous organisms </w:t>
      </w:r>
      <w:r w:rsidR="00FC75F9">
        <w:rPr>
          <w:rFonts w:ascii="Times New Roman" w:eastAsia="SimSun" w:hAnsi="Times New Roman" w:cs="Calibri"/>
          <w:color w:val="000000" w:themeColor="text1"/>
          <w:lang w:eastAsia="hi-IN" w:bidi="hi-IN"/>
        </w:rPr>
        <w:t>analogous to</w:t>
      </w:r>
      <w:r w:rsidR="00EA0BF1">
        <w:rPr>
          <w:rFonts w:ascii="Times New Roman" w:eastAsia="SimSun" w:hAnsi="Times New Roman" w:cs="Calibri"/>
          <w:color w:val="000000" w:themeColor="text1"/>
          <w:lang w:eastAsia="hi-IN" w:bidi="hi-IN"/>
        </w:rPr>
        <w:t xml:space="preserve"> the creation of</w:t>
      </w:r>
      <w:r w:rsidR="009455DB" w:rsidRPr="210AB58B">
        <w:rPr>
          <w:rFonts w:ascii="Times New Roman" w:eastAsia="SimSun" w:hAnsi="Times New Roman" w:cs="Calibri"/>
          <w:color w:val="000000" w:themeColor="text1"/>
          <w:lang w:eastAsia="hi-IN" w:bidi="hi-IN"/>
        </w:rPr>
        <w:t xml:space="preserve"> computer viruses. The basic technologies for systematic genetic modification of organisms are widely available and are becoming cheaper, although it is easy to underestimate the degree of technical proficiency, experience and resources needed to make effective use of them. Many researchers in the field anticipate that the real harms that might be inflicted by such ‘hacker’ activities are probably small, they nonetheless warrant careful consideration</w:t>
      </w:r>
      <w:r w:rsidR="009455DB">
        <w:rPr>
          <w:rFonts w:ascii="Times New Roman" w:eastAsia="SimSun" w:hAnsi="Times New Roman" w:cs="Calibri"/>
          <w:color w:val="000000" w:themeColor="text1"/>
          <w:lang w:eastAsia="hi-IN" w:bidi="hi-IN"/>
        </w:rPr>
        <w:t xml:space="preserve"> </w:t>
      </w:r>
      <w:r w:rsidR="009455DB">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{"citationItems":[{"id":"ITEM-1","itemData":{"DOI":"10.3389/fbioe.2019.00121","ISSN":"2296-4185","author":[{"dropping-particle":"","family":"Mueller","given":"Siguna","non-dropping-particle":"","parse-names":false,"suffix":""}],"container-title":"Frontiers in Bioengineering and Biotechnology","id":"ITEM-1","issued":{"date-parts":[["2019","5","29"]]},"title":"Are Market GM Plants an Unrecognized Platform for Bioterrorism and Biocrime?","type":"article-journal","volume":"7"},"uris":["http://www.mendeley.com/documents/?uuid=6a070656-c72d-4508-a479-a2161c1ad392"]}],"mendeley":{"formattedCitation":"(Mueller, 2019)","plainTextFormattedCitation":"(Mueller, 2019)","previouslyFormattedCitation":"(Mueller, 2019)"},"properties":{"noteIndex":0},"schema":"https://github.com/citation-style-language/schema/raw/master/csl-citation.json"}</w:instrText>
      </w:r>
      <w:r w:rsidR="009455DB">
        <w:rPr>
          <w:rFonts w:ascii="Times New Roman" w:eastAsia="SimSun" w:hAnsi="Times New Roman" w:cs="Calibri"/>
          <w:color w:val="000000" w:themeColor="text1"/>
          <w:lang w:eastAsia="hi-IN" w:bidi="hi-IN"/>
        </w:rPr>
        <w:fldChar w:fldCharType="separate"/>
      </w:r>
      <w:r w:rsidR="009455DB" w:rsidRPr="00E72B2C">
        <w:rPr>
          <w:rFonts w:ascii="Times New Roman" w:eastAsia="SimSun" w:hAnsi="Times New Roman" w:cs="Calibri"/>
          <w:noProof/>
          <w:color w:val="000000" w:themeColor="text1"/>
          <w:lang w:eastAsia="hi-IN" w:bidi="hi-IN"/>
        </w:rPr>
        <w:t>(Mueller, 2019)</w:t>
      </w:r>
      <w:r w:rsidR="009455DB">
        <w:rPr>
          <w:rFonts w:ascii="Times New Roman" w:eastAsia="SimSun" w:hAnsi="Times New Roman" w:cs="Calibri"/>
          <w:color w:val="000000" w:themeColor="text1"/>
          <w:lang w:eastAsia="hi-IN" w:bidi="hi-IN"/>
        </w:rPr>
        <w:fldChar w:fldCharType="end"/>
      </w:r>
      <w:r w:rsidR="009455DB">
        <w:rPr>
          <w:rFonts w:ascii="Times New Roman" w:eastAsia="SimSun" w:hAnsi="Times New Roman" w:cs="Calibri"/>
          <w:color w:val="000000" w:themeColor="text1"/>
          <w:lang w:eastAsia="hi-IN" w:bidi="hi-IN"/>
        </w:rPr>
        <w:t xml:space="preserve">. </w:t>
      </w:r>
      <w:r w:rsidR="003F5640" w:rsidRPr="0035556D">
        <w:rPr>
          <w:rFonts w:ascii="Times New Roman" w:eastAsia="SimSun" w:hAnsi="Times New Roman" w:cs="Calibri"/>
          <w:color w:val="000000" w:themeColor="text1"/>
          <w:lang w:eastAsia="hi-IN" w:bidi="hi-IN"/>
        </w:rPr>
        <w:t xml:space="preserve">Scientists, their host institutions and funding bodies should </w:t>
      </w:r>
      <w:r w:rsidR="003F5640">
        <w:rPr>
          <w:rFonts w:ascii="Times New Roman" w:eastAsia="SimSun" w:hAnsi="Times New Roman" w:cs="Calibri"/>
          <w:color w:val="000000" w:themeColor="text1"/>
          <w:lang w:eastAsia="hi-IN" w:bidi="hi-IN"/>
        </w:rPr>
        <w:t>therefore</w:t>
      </w:r>
      <w:r w:rsidR="003F5640" w:rsidRPr="0035556D">
        <w:rPr>
          <w:rFonts w:ascii="Times New Roman" w:eastAsia="SimSun" w:hAnsi="Times New Roman" w:cs="Calibri"/>
          <w:color w:val="000000" w:themeColor="text1"/>
          <w:lang w:eastAsia="hi-IN" w:bidi="hi-IN"/>
        </w:rPr>
        <w:t xml:space="preserve"> </w:t>
      </w:r>
      <w:r w:rsidR="00B52D2A">
        <w:rPr>
          <w:rFonts w:ascii="Times New Roman" w:eastAsia="SimSun" w:hAnsi="Times New Roman" w:cs="Calibri"/>
          <w:color w:val="000000" w:themeColor="text1"/>
          <w:lang w:eastAsia="hi-IN" w:bidi="hi-IN"/>
        </w:rPr>
        <w:t xml:space="preserve">seriously </w:t>
      </w:r>
      <w:r w:rsidR="003F5640" w:rsidRPr="0035556D">
        <w:rPr>
          <w:rFonts w:ascii="Times New Roman" w:eastAsia="SimSun" w:hAnsi="Times New Roman" w:cs="Calibri"/>
          <w:color w:val="000000" w:themeColor="text1"/>
          <w:lang w:eastAsia="hi-IN" w:bidi="hi-IN"/>
        </w:rPr>
        <w:t>consider whether the</w:t>
      </w:r>
      <w:r w:rsidR="003F5640">
        <w:rPr>
          <w:rFonts w:ascii="Times New Roman" w:eastAsia="SimSun" w:hAnsi="Times New Roman" w:cs="Calibri"/>
          <w:color w:val="000000" w:themeColor="text1"/>
          <w:lang w:eastAsia="hi-IN" w:bidi="hi-IN"/>
        </w:rPr>
        <w:t>ir</w:t>
      </w:r>
      <w:r w:rsidR="003F5640" w:rsidRPr="0035556D">
        <w:rPr>
          <w:rFonts w:ascii="Times New Roman" w:eastAsia="SimSun" w:hAnsi="Times New Roman" w:cs="Calibri"/>
          <w:color w:val="000000" w:themeColor="text1"/>
          <w:lang w:eastAsia="hi-IN" w:bidi="hi-IN"/>
        </w:rPr>
        <w:t xml:space="preserve"> research could be misused</w:t>
      </w:r>
      <w:r w:rsidR="008C14FD">
        <w:rPr>
          <w:rFonts w:ascii="Times New Roman" w:eastAsia="SimSun" w:hAnsi="Times New Roman" w:cs="Calibri"/>
          <w:color w:val="000000" w:themeColor="text1"/>
          <w:lang w:eastAsia="hi-IN" w:bidi="hi-IN"/>
        </w:rPr>
        <w:t>,</w:t>
      </w:r>
      <w:r w:rsidR="003F5640">
        <w:rPr>
          <w:rFonts w:ascii="Times New Roman" w:eastAsia="SimSun" w:hAnsi="Times New Roman" w:cs="Calibri"/>
          <w:color w:val="000000" w:themeColor="text1"/>
          <w:lang w:eastAsia="hi-IN" w:bidi="hi-IN"/>
        </w:rPr>
        <w:t xml:space="preserve"> and</w:t>
      </w:r>
      <w:r w:rsidR="008C14FD">
        <w:rPr>
          <w:rFonts w:ascii="Times New Roman" w:eastAsia="SimSun" w:hAnsi="Times New Roman" w:cs="Calibri"/>
          <w:color w:val="000000" w:themeColor="text1"/>
          <w:lang w:eastAsia="hi-IN" w:bidi="hi-IN"/>
        </w:rPr>
        <w:t xml:space="preserve"> in cases where it could,</w:t>
      </w:r>
      <w:r w:rsidR="003F5640">
        <w:rPr>
          <w:rFonts w:ascii="Times New Roman" w:eastAsia="SimSun" w:hAnsi="Times New Roman" w:cs="Calibri"/>
          <w:color w:val="000000" w:themeColor="text1"/>
          <w:lang w:eastAsia="hi-IN" w:bidi="hi-IN"/>
        </w:rPr>
        <w:t xml:space="preserve"> implement </w:t>
      </w:r>
      <w:r w:rsidR="00B52D2A">
        <w:rPr>
          <w:rFonts w:ascii="Times New Roman" w:eastAsia="SimSun" w:hAnsi="Times New Roman" w:cs="Calibri"/>
          <w:color w:val="000000" w:themeColor="text1"/>
          <w:lang w:eastAsia="hi-IN" w:bidi="hi-IN"/>
        </w:rPr>
        <w:t xml:space="preserve">and clearly communicate </w:t>
      </w:r>
      <w:r w:rsidR="003F5640">
        <w:rPr>
          <w:rFonts w:ascii="Times New Roman" w:eastAsia="SimSun" w:hAnsi="Times New Roman" w:cs="Calibri"/>
          <w:color w:val="000000" w:themeColor="text1"/>
          <w:lang w:eastAsia="hi-IN" w:bidi="hi-IN"/>
        </w:rPr>
        <w:t>m</w:t>
      </w:r>
      <w:r w:rsidR="003F5640" w:rsidRPr="003F5640">
        <w:rPr>
          <w:rFonts w:ascii="Times New Roman" w:eastAsia="SimSun" w:hAnsi="Times New Roman" w:cs="Calibri"/>
          <w:color w:val="000000" w:themeColor="text1"/>
          <w:lang w:eastAsia="hi-IN" w:bidi="hi-IN"/>
        </w:rPr>
        <w:t xml:space="preserve">easures </w:t>
      </w:r>
      <w:r w:rsidR="003F5640">
        <w:rPr>
          <w:rFonts w:ascii="Times New Roman" w:eastAsia="SimSun" w:hAnsi="Times New Roman" w:cs="Calibri"/>
          <w:color w:val="000000" w:themeColor="text1"/>
          <w:lang w:eastAsia="hi-IN" w:bidi="hi-IN"/>
        </w:rPr>
        <w:t>to</w:t>
      </w:r>
      <w:r w:rsidR="003F5640" w:rsidRPr="003F5640">
        <w:rPr>
          <w:rFonts w:ascii="Times New Roman" w:eastAsia="SimSun" w:hAnsi="Times New Roman" w:cs="Calibri"/>
          <w:color w:val="000000" w:themeColor="text1"/>
          <w:lang w:eastAsia="hi-IN" w:bidi="hi-IN"/>
        </w:rPr>
        <w:t xml:space="preserve"> reduce the likelihood of misuse and its consequences</w:t>
      </w:r>
      <w:r w:rsidR="008C14FD">
        <w:rPr>
          <w:rFonts w:ascii="Times New Roman" w:eastAsia="SimSun" w:hAnsi="Times New Roman" w:cs="Calibri"/>
          <w:color w:val="000000" w:themeColor="text1"/>
          <w:lang w:eastAsia="hi-IN" w:bidi="hi-IN"/>
        </w:rPr>
        <w:t xml:space="preserve"> </w:t>
      </w:r>
      <w:r w:rsidR="008C14FD">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10.3389/fbioe.2019.00175","ISSN":"2296-4185","author":[{"dropping-particle":"","family":"Karoui","given":"Meriem","non-dropping-particle":"El","parse-names":false,"suffix":""},{"dropping-particle":"","family":"Hoyos-Flight","given":"Monica","non-dropping-particle":"","parse-names":false,"suffix":""},{"dropping-particle":"","family":"Fletcher","given":"Liz","non-dropping-particle":"","parse-names":false,"suffix":""}],"container-title":"Frontiers in Bioengineering and Biotechnology","id":"ITEM-1","issued":{"date-parts":[["2019","8","7"]]},"title":"Future Trends in Synthetic Biology—A Report","type":"article-journal","volume":"7"},"uris":["http://www.mendeley.com/documents/?uuid=efd23a29-9e0a-4b56-b43d-137d4d68e02a"]}],"mendeley":{"formattedCitation":"(El Karoui et al., 2019)","plainTextFormattedCitation":"(El Karoui et al., 2019)","previouslyFormattedCitation":"(El Karoui et al., 2019)"},"properties":{"noteIndex":0},"schema":"https://github.com/citation-style-language/schema/raw/master/csl-citation.json"}</w:instrText>
      </w:r>
      <w:r w:rsidR="008C14FD">
        <w:rPr>
          <w:rFonts w:ascii="Times New Roman" w:eastAsia="SimSun" w:hAnsi="Times New Roman" w:cs="Calibri"/>
          <w:color w:val="000000" w:themeColor="text1"/>
          <w:lang w:eastAsia="hi-IN" w:bidi="hi-IN"/>
        </w:rPr>
        <w:fldChar w:fldCharType="separate"/>
      </w:r>
      <w:r w:rsidR="008F6A90" w:rsidRPr="008F6A90">
        <w:rPr>
          <w:rFonts w:ascii="Times New Roman" w:eastAsia="SimSun" w:hAnsi="Times New Roman" w:cs="Calibri"/>
          <w:noProof/>
          <w:color w:val="000000" w:themeColor="text1"/>
          <w:lang w:eastAsia="hi-IN" w:bidi="hi-IN"/>
        </w:rPr>
        <w:t>(El Karoui et al., 2019)</w:t>
      </w:r>
      <w:r w:rsidR="008C14FD">
        <w:rPr>
          <w:rFonts w:ascii="Times New Roman" w:eastAsia="SimSun" w:hAnsi="Times New Roman" w:cs="Calibri"/>
          <w:color w:val="000000" w:themeColor="text1"/>
          <w:lang w:eastAsia="hi-IN" w:bidi="hi-IN"/>
        </w:rPr>
        <w:fldChar w:fldCharType="end"/>
      </w:r>
      <w:r w:rsidR="003F5640" w:rsidRPr="0035556D">
        <w:rPr>
          <w:rFonts w:ascii="Times New Roman" w:eastAsia="SimSun" w:hAnsi="Times New Roman" w:cs="Calibri"/>
          <w:color w:val="000000" w:themeColor="text1"/>
          <w:lang w:eastAsia="hi-IN" w:bidi="hi-IN"/>
        </w:rPr>
        <w:t xml:space="preserve">. </w:t>
      </w:r>
      <w:r w:rsidR="009455DB">
        <w:rPr>
          <w:rFonts w:ascii="Times New Roman" w:eastAsia="SimSun" w:hAnsi="Times New Roman" w:cs="Calibri"/>
          <w:color w:val="000000" w:themeColor="text1"/>
          <w:lang w:eastAsia="hi-IN" w:bidi="hi-IN"/>
        </w:rPr>
        <w:t>Further</w:t>
      </w:r>
      <w:r w:rsidR="009455DB" w:rsidRPr="210AB58B">
        <w:rPr>
          <w:rFonts w:ascii="Times New Roman" w:eastAsia="SimSun" w:hAnsi="Times New Roman" w:cs="Calibri"/>
          <w:color w:val="000000" w:themeColor="text1"/>
          <w:lang w:eastAsia="hi-IN" w:bidi="hi-IN"/>
        </w:rPr>
        <w:t>, it is difficult to see how they might be prevented – the question is therefore more about law enforcement than scientific protocol.</w:t>
      </w:r>
    </w:p>
    <w:p w14:paraId="36860622" w14:textId="63CF9F50" w:rsidR="00E56341" w:rsidRDefault="00FE4DDC" w:rsidP="009455DB">
      <w:pPr>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As of 2019, no country regulates the sales of synthetic DNA </w:t>
      </w:r>
      <w:r w:rsidR="007114E8">
        <w:rPr>
          <w:rFonts w:ascii="Times New Roman" w:eastAsia="SimSun" w:hAnsi="Times New Roman" w:cs="Calibri"/>
          <w:color w:val="000000" w:themeColor="text1"/>
          <w:lang w:eastAsia="hi-IN" w:bidi="hi-IN"/>
        </w:rPr>
        <w:fldChar w:fldCharType="begin" w:fldLock="1"/>
      </w:r>
      <w:r w:rsidR="00A132AF">
        <w:rPr>
          <w:rFonts w:ascii="Times New Roman" w:eastAsia="SimSun" w:hAnsi="Times New Roman" w:cs="Calibri"/>
          <w:color w:val="000000" w:themeColor="text1"/>
          <w:lang w:eastAsia="hi-IN" w:bidi="hi-IN"/>
        </w:rPr>
        <w:instrText>ADDIN CSL_CITATION {"citationItems":[{"id":"ITEM-1","itemData":{"DOI":"10.1080/0163660X.2020.1770969","ISSN":"0163-660X","author":[{"dropping-particle":"","family":"Koblentz","given":"Gregory D.","non-dropping-particle":"","parse-names":false,"suffix":""}],"container-title":"The Washington Quarterly","id":"ITEM-1","issue":"2","issued":{"date-parts":[["2020","4","2"]]},"page":"177-196","title":"Emerging Technologies and the Future of CBRN Terrorism","type":"article-journal","volume":"43"},"uris":["http://www.mendeley.com/documents/?uuid=b7ef21ef-a5d5-41d3-9236-69935dce42b2"]}],"mendeley":{"formattedCitation":"(Koblentz, 2020)","plainTextFormattedCitation":"(Koblentz, 2020)","previouslyFormattedCitation":"(Koblentz, 2020)"},"properties":{"noteIndex":0},"schema":"https://github.com/citation-style-language/schema/raw/master/csl-citation.json"}</w:instrText>
      </w:r>
      <w:r w:rsidR="007114E8">
        <w:rPr>
          <w:rFonts w:ascii="Times New Roman" w:eastAsia="SimSun" w:hAnsi="Times New Roman" w:cs="Calibri"/>
          <w:color w:val="000000" w:themeColor="text1"/>
          <w:lang w:eastAsia="hi-IN" w:bidi="hi-IN"/>
        </w:rPr>
        <w:fldChar w:fldCharType="separate"/>
      </w:r>
      <w:r w:rsidR="007114E8" w:rsidRPr="007114E8">
        <w:rPr>
          <w:rFonts w:ascii="Times New Roman" w:eastAsia="SimSun" w:hAnsi="Times New Roman" w:cs="Calibri"/>
          <w:noProof/>
          <w:color w:val="000000" w:themeColor="text1"/>
          <w:lang w:eastAsia="hi-IN" w:bidi="hi-IN"/>
        </w:rPr>
        <w:t>(Koblentz, 2020)</w:t>
      </w:r>
      <w:r w:rsidR="007114E8">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 However</w:t>
      </w:r>
      <w:r w:rsidR="009455DB">
        <w:rPr>
          <w:rFonts w:ascii="Times New Roman" w:eastAsia="SimSun" w:hAnsi="Times New Roman" w:cs="Calibri"/>
          <w:color w:val="000000" w:themeColor="text1"/>
          <w:lang w:eastAsia="hi-IN" w:bidi="hi-IN"/>
        </w:rPr>
        <w:t xml:space="preserve">, the majority of </w:t>
      </w:r>
      <w:r w:rsidR="009455DB" w:rsidRPr="00381C5D">
        <w:rPr>
          <w:rFonts w:ascii="Times New Roman" w:eastAsia="SimSun" w:hAnsi="Times New Roman" w:cs="Calibri"/>
          <w:color w:val="000000" w:themeColor="text1"/>
          <w:lang w:eastAsia="hi-IN" w:bidi="hi-IN"/>
        </w:rPr>
        <w:t xml:space="preserve">double-stranded DNA </w:t>
      </w:r>
      <w:r w:rsidR="009455DB">
        <w:rPr>
          <w:rFonts w:ascii="Times New Roman" w:eastAsia="SimSun" w:hAnsi="Times New Roman" w:cs="Calibri"/>
          <w:color w:val="000000" w:themeColor="text1"/>
          <w:lang w:eastAsia="hi-IN" w:bidi="hi-IN"/>
        </w:rPr>
        <w:t xml:space="preserve">sequences are made to order by </w:t>
      </w:r>
      <w:r w:rsidR="009455DB" w:rsidRPr="00F325D6">
        <w:rPr>
          <w:rFonts w:ascii="Times New Roman" w:eastAsia="SimSun" w:hAnsi="Times New Roman" w:cs="Calibri"/>
          <w:color w:val="000000" w:themeColor="text1"/>
          <w:lang w:eastAsia="hi-IN" w:bidi="hi-IN"/>
        </w:rPr>
        <w:t>commercial providers</w:t>
      </w:r>
      <w:r w:rsidR="009455DB">
        <w:rPr>
          <w:rFonts w:ascii="Times New Roman" w:eastAsia="SimSun" w:hAnsi="Times New Roman" w:cs="Calibri"/>
          <w:color w:val="000000" w:themeColor="text1"/>
          <w:lang w:eastAsia="hi-IN" w:bidi="hi-IN"/>
        </w:rPr>
        <w:t xml:space="preserve"> </w:t>
      </w:r>
      <w:r w:rsidR="00841573">
        <w:rPr>
          <w:rFonts w:ascii="Times New Roman" w:eastAsia="SimSun" w:hAnsi="Times New Roman" w:cs="Calibri"/>
          <w:color w:val="000000" w:themeColor="text1"/>
          <w:lang w:eastAsia="hi-IN" w:bidi="hi-IN"/>
        </w:rPr>
        <w:t>who are members of</w:t>
      </w:r>
      <w:r w:rsidR="009455DB" w:rsidRPr="008F3C72">
        <w:rPr>
          <w:rFonts w:ascii="Times New Roman" w:eastAsia="SimSun" w:hAnsi="Times New Roman" w:cs="Calibri"/>
          <w:color w:val="000000" w:themeColor="text1"/>
          <w:lang w:eastAsia="hi-IN" w:bidi="hi-IN"/>
        </w:rPr>
        <w:t xml:space="preserve"> a group</w:t>
      </w:r>
      <w:r w:rsidR="00054CEF">
        <w:rPr>
          <w:rFonts w:ascii="Times New Roman" w:eastAsia="SimSun" w:hAnsi="Times New Roman" w:cs="Calibri"/>
          <w:color w:val="000000" w:themeColor="text1"/>
          <w:lang w:eastAsia="hi-IN" w:bidi="hi-IN"/>
        </w:rPr>
        <w:t>,</w:t>
      </w:r>
      <w:r w:rsidR="009455DB" w:rsidRPr="008F3C72">
        <w:rPr>
          <w:rFonts w:ascii="Times New Roman" w:eastAsia="SimSun" w:hAnsi="Times New Roman" w:cs="Calibri"/>
          <w:color w:val="000000" w:themeColor="text1"/>
          <w:lang w:eastAsia="hi-IN" w:bidi="hi-IN"/>
        </w:rPr>
        <w:t xml:space="preserve"> known as the International Gene Synthesis Consortium (IGSC</w:t>
      </w:r>
      <w:r w:rsidR="003177C1">
        <w:rPr>
          <w:rFonts w:ascii="Times New Roman" w:eastAsia="SimSun" w:hAnsi="Times New Roman" w:cs="Calibri"/>
          <w:color w:val="000000" w:themeColor="text1"/>
          <w:lang w:eastAsia="hi-IN" w:bidi="hi-IN"/>
        </w:rPr>
        <w:t>)</w:t>
      </w:r>
      <w:r w:rsidR="003177C1">
        <w:rPr>
          <w:rStyle w:val="FootnoteReference"/>
          <w:rFonts w:ascii="Times New Roman" w:eastAsia="SimSun" w:hAnsi="Times New Roman" w:cs="Calibri"/>
          <w:color w:val="000000" w:themeColor="text1"/>
          <w:lang w:eastAsia="hi-IN" w:bidi="hi-IN"/>
        </w:rPr>
        <w:footnoteReference w:id="32"/>
      </w:r>
      <w:r w:rsidR="00054CEF">
        <w:rPr>
          <w:rFonts w:ascii="Times New Roman" w:eastAsia="SimSun" w:hAnsi="Times New Roman" w:cs="Calibri"/>
          <w:color w:val="000000" w:themeColor="text1"/>
          <w:lang w:eastAsia="hi-IN" w:bidi="hi-IN"/>
        </w:rPr>
        <w:t>,</w:t>
      </w:r>
      <w:r w:rsidR="009455DB" w:rsidRPr="008F3C72">
        <w:rPr>
          <w:rFonts w:ascii="Times New Roman" w:eastAsia="SimSun" w:hAnsi="Times New Roman" w:cs="Calibri"/>
          <w:color w:val="000000" w:themeColor="text1"/>
          <w:lang w:eastAsia="hi-IN" w:bidi="hi-IN"/>
        </w:rPr>
        <w:t xml:space="preserve"> </w:t>
      </w:r>
      <w:r w:rsidR="009455DB">
        <w:rPr>
          <w:rFonts w:ascii="Times New Roman" w:eastAsia="SimSun" w:hAnsi="Times New Roman" w:cs="Calibri"/>
          <w:color w:val="000000" w:themeColor="text1"/>
          <w:lang w:eastAsia="hi-IN" w:bidi="hi-IN"/>
        </w:rPr>
        <w:t xml:space="preserve">which </w:t>
      </w:r>
      <w:r w:rsidR="009455DB" w:rsidRPr="008F3C72">
        <w:rPr>
          <w:rFonts w:ascii="Times New Roman" w:eastAsia="SimSun" w:hAnsi="Times New Roman" w:cs="Calibri"/>
          <w:color w:val="000000" w:themeColor="text1"/>
          <w:lang w:eastAsia="hi-IN" w:bidi="hi-IN"/>
        </w:rPr>
        <w:t>implement</w:t>
      </w:r>
      <w:r w:rsidR="009455DB">
        <w:rPr>
          <w:rFonts w:ascii="Times New Roman" w:eastAsia="SimSun" w:hAnsi="Times New Roman" w:cs="Calibri"/>
          <w:color w:val="000000" w:themeColor="text1"/>
          <w:lang w:eastAsia="hi-IN" w:bidi="hi-IN"/>
        </w:rPr>
        <w:t>s</w:t>
      </w:r>
      <w:r w:rsidR="009455DB" w:rsidRPr="008F3C72">
        <w:rPr>
          <w:rFonts w:ascii="Times New Roman" w:eastAsia="SimSun" w:hAnsi="Times New Roman" w:cs="Calibri"/>
          <w:color w:val="000000" w:themeColor="text1"/>
          <w:lang w:eastAsia="hi-IN" w:bidi="hi-IN"/>
        </w:rPr>
        <w:t xml:space="preserve"> </w:t>
      </w:r>
      <w:r w:rsidR="009455DB">
        <w:rPr>
          <w:rFonts w:ascii="Times New Roman" w:eastAsia="SimSun" w:hAnsi="Times New Roman" w:cs="Calibri"/>
          <w:color w:val="000000" w:themeColor="text1"/>
          <w:lang w:eastAsia="hi-IN" w:bidi="hi-IN"/>
        </w:rPr>
        <w:t>a</w:t>
      </w:r>
      <w:r w:rsidR="009455DB" w:rsidRPr="008F3C72">
        <w:rPr>
          <w:rFonts w:ascii="Times New Roman" w:eastAsia="SimSun" w:hAnsi="Times New Roman" w:cs="Calibri"/>
          <w:color w:val="000000" w:themeColor="text1"/>
          <w:lang w:eastAsia="hi-IN" w:bidi="hi-IN"/>
        </w:rPr>
        <w:t xml:space="preserve"> Harmoni</w:t>
      </w:r>
      <w:r w:rsidR="009455DB">
        <w:rPr>
          <w:rFonts w:ascii="Times New Roman" w:eastAsia="SimSun" w:hAnsi="Times New Roman" w:cs="Calibri"/>
          <w:color w:val="000000" w:themeColor="text1"/>
          <w:lang w:eastAsia="hi-IN" w:bidi="hi-IN"/>
        </w:rPr>
        <w:t>s</w:t>
      </w:r>
      <w:r w:rsidR="009455DB" w:rsidRPr="008F3C72">
        <w:rPr>
          <w:rFonts w:ascii="Times New Roman" w:eastAsia="SimSun" w:hAnsi="Times New Roman" w:cs="Calibri"/>
          <w:color w:val="000000" w:themeColor="text1"/>
          <w:lang w:eastAsia="hi-IN" w:bidi="hi-IN"/>
        </w:rPr>
        <w:t xml:space="preserve">ed Screening Protocol </w:t>
      </w:r>
      <w:r w:rsidR="009455DB" w:rsidRPr="00B64D35">
        <w:rPr>
          <w:rFonts w:ascii="Times New Roman" w:eastAsia="SimSun" w:hAnsi="Times New Roman" w:cs="Calibri"/>
          <w:color w:val="000000" w:themeColor="text1"/>
          <w:lang w:eastAsia="hi-IN" w:bidi="hi-IN"/>
        </w:rPr>
        <w:t>to voluntarily screen all orders</w:t>
      </w:r>
      <w:r w:rsidR="009455DB" w:rsidRPr="008F3C72">
        <w:rPr>
          <w:rFonts w:ascii="Times New Roman" w:eastAsia="SimSun" w:hAnsi="Times New Roman" w:cs="Calibri"/>
          <w:color w:val="000000" w:themeColor="text1"/>
          <w:lang w:eastAsia="hi-IN" w:bidi="hi-IN"/>
        </w:rPr>
        <w:t xml:space="preserve"> in alignment with </w:t>
      </w:r>
      <w:r w:rsidR="009455DB">
        <w:rPr>
          <w:rFonts w:ascii="Times New Roman" w:eastAsia="SimSun" w:hAnsi="Times New Roman" w:cs="Calibri"/>
          <w:color w:val="000000" w:themeColor="text1"/>
          <w:lang w:eastAsia="hi-IN" w:bidi="hi-IN"/>
        </w:rPr>
        <w:t>g</w:t>
      </w:r>
      <w:r w:rsidR="009455DB" w:rsidRPr="008F3C72">
        <w:rPr>
          <w:rFonts w:ascii="Times New Roman" w:eastAsia="SimSun" w:hAnsi="Times New Roman" w:cs="Calibri"/>
          <w:color w:val="000000" w:themeColor="text1"/>
          <w:lang w:eastAsia="hi-IN" w:bidi="hi-IN"/>
        </w:rPr>
        <w:t>uidance</w:t>
      </w:r>
      <w:r w:rsidR="009455DB">
        <w:rPr>
          <w:rStyle w:val="FootnoteReference"/>
          <w:rFonts w:ascii="Times New Roman" w:eastAsia="SimSun" w:hAnsi="Times New Roman" w:cs="Calibri"/>
          <w:color w:val="000000" w:themeColor="text1"/>
          <w:lang w:eastAsia="hi-IN" w:bidi="hi-IN"/>
        </w:rPr>
        <w:footnoteReference w:id="33"/>
      </w:r>
      <w:r w:rsidR="009455DB">
        <w:rPr>
          <w:rFonts w:ascii="Times New Roman" w:eastAsia="SimSun" w:hAnsi="Times New Roman" w:cs="Calibri"/>
          <w:color w:val="000000" w:themeColor="text1"/>
          <w:lang w:eastAsia="hi-IN" w:bidi="hi-IN"/>
        </w:rPr>
        <w:t xml:space="preserve"> from the </w:t>
      </w:r>
      <w:r w:rsidR="009455DB" w:rsidRPr="005E2C6F">
        <w:rPr>
          <w:rFonts w:ascii="Times New Roman" w:eastAsia="SimSun" w:hAnsi="Times New Roman" w:cs="Calibri"/>
          <w:color w:val="000000" w:themeColor="text1"/>
          <w:lang w:eastAsia="hi-IN" w:bidi="hi-IN"/>
        </w:rPr>
        <w:t>US</w:t>
      </w:r>
      <w:r w:rsidR="009455DB">
        <w:rPr>
          <w:rFonts w:ascii="Times New Roman" w:eastAsia="SimSun" w:hAnsi="Times New Roman" w:cs="Calibri"/>
          <w:color w:val="000000" w:themeColor="text1"/>
          <w:lang w:eastAsia="hi-IN" w:bidi="hi-IN"/>
        </w:rPr>
        <w:t>A’s</w:t>
      </w:r>
      <w:r w:rsidR="009455DB" w:rsidRPr="005E2C6F">
        <w:rPr>
          <w:rFonts w:ascii="Times New Roman" w:eastAsia="SimSun" w:hAnsi="Times New Roman" w:cs="Calibri"/>
          <w:color w:val="000000" w:themeColor="text1"/>
          <w:lang w:eastAsia="hi-IN" w:bidi="hi-IN"/>
        </w:rPr>
        <w:t xml:space="preserve"> Department of Health and Human Services</w:t>
      </w:r>
      <w:r w:rsidR="009455DB" w:rsidRPr="008F3C72">
        <w:rPr>
          <w:rFonts w:ascii="Times New Roman" w:eastAsia="SimSun" w:hAnsi="Times New Roman" w:cs="Calibri"/>
          <w:color w:val="000000" w:themeColor="text1"/>
          <w:lang w:eastAsia="hi-IN" w:bidi="hi-IN"/>
        </w:rPr>
        <w:t>. While there is not a single DNA screening algorithm used by all IGSC members, DNA-screening software typically align</w:t>
      </w:r>
      <w:r w:rsidR="009455DB">
        <w:rPr>
          <w:rFonts w:ascii="Times New Roman" w:eastAsia="SimSun" w:hAnsi="Times New Roman" w:cs="Calibri"/>
          <w:color w:val="000000" w:themeColor="text1"/>
          <w:lang w:eastAsia="hi-IN" w:bidi="hi-IN"/>
        </w:rPr>
        <w:t>s</w:t>
      </w:r>
      <w:r w:rsidR="009455DB" w:rsidRPr="008F3C72">
        <w:rPr>
          <w:rFonts w:ascii="Times New Roman" w:eastAsia="SimSun" w:hAnsi="Times New Roman" w:cs="Calibri"/>
          <w:color w:val="000000" w:themeColor="text1"/>
          <w:lang w:eastAsia="hi-IN" w:bidi="hi-IN"/>
        </w:rPr>
        <w:t xml:space="preserve"> a query sequence </w:t>
      </w:r>
      <w:r w:rsidR="00C56027">
        <w:rPr>
          <w:rFonts w:ascii="Times New Roman" w:eastAsia="SimSun" w:hAnsi="Times New Roman" w:cs="Calibri"/>
          <w:color w:val="000000" w:themeColor="text1"/>
          <w:lang w:eastAsia="hi-IN" w:bidi="hi-IN"/>
        </w:rPr>
        <w:t xml:space="preserve">and 200 bp sub-sequences </w:t>
      </w:r>
      <w:r w:rsidR="009455DB" w:rsidRPr="008F3C72">
        <w:rPr>
          <w:rFonts w:ascii="Times New Roman" w:eastAsia="SimSun" w:hAnsi="Times New Roman" w:cs="Calibri"/>
          <w:color w:val="000000" w:themeColor="text1"/>
          <w:lang w:eastAsia="hi-IN" w:bidi="hi-IN"/>
        </w:rPr>
        <w:t>to a relatively short list of biological toxins and select agent genomes, genes, or proteins</w:t>
      </w:r>
      <w:r w:rsidR="009455DB">
        <w:rPr>
          <w:rFonts w:ascii="Times New Roman" w:eastAsia="SimSun" w:hAnsi="Times New Roman" w:cs="Calibri"/>
          <w:color w:val="000000" w:themeColor="text1"/>
          <w:lang w:eastAsia="hi-IN" w:bidi="hi-IN"/>
        </w:rPr>
        <w:t xml:space="preserve"> as a means of</w:t>
      </w:r>
      <w:r w:rsidR="009455DB" w:rsidRPr="0048577D">
        <w:rPr>
          <w:rFonts w:ascii="Times New Roman" w:eastAsia="SimSun" w:hAnsi="Times New Roman" w:cs="Calibri"/>
          <w:color w:val="000000" w:themeColor="text1"/>
          <w:lang w:eastAsia="hi-IN" w:bidi="hi-IN"/>
        </w:rPr>
        <w:t xml:space="preserve"> addressing biosecurity concerns associated with</w:t>
      </w:r>
      <w:r w:rsidR="009455DB">
        <w:rPr>
          <w:rFonts w:ascii="Times New Roman" w:eastAsia="SimSun" w:hAnsi="Times New Roman" w:cs="Calibri"/>
          <w:color w:val="000000" w:themeColor="text1"/>
          <w:lang w:eastAsia="hi-IN" w:bidi="hi-IN"/>
        </w:rPr>
        <w:t xml:space="preserve"> </w:t>
      </w:r>
      <w:r w:rsidR="009455DB" w:rsidRPr="0048577D">
        <w:rPr>
          <w:rFonts w:ascii="Times New Roman" w:eastAsia="SimSun" w:hAnsi="Times New Roman" w:cs="Calibri"/>
          <w:color w:val="000000" w:themeColor="text1"/>
          <w:lang w:eastAsia="hi-IN" w:bidi="hi-IN"/>
        </w:rPr>
        <w:t>the potential misuse of their products to bypass existing regulatory controls</w:t>
      </w:r>
      <w:r w:rsidR="009455DB">
        <w:rPr>
          <w:rFonts w:ascii="Times New Roman" w:eastAsia="SimSun" w:hAnsi="Times New Roman" w:cs="Calibri"/>
          <w:color w:val="000000" w:themeColor="text1"/>
          <w:lang w:eastAsia="hi-IN" w:bidi="hi-IN"/>
        </w:rPr>
        <w:t xml:space="preserve"> </w:t>
      </w:r>
      <w:r w:rsidR="009455DB" w:rsidRPr="00121D97">
        <w:rPr>
          <w:rFonts w:ascii="Times New Roman" w:eastAsia="SimSun" w:hAnsi="Times New Roman" w:cs="Calibri"/>
          <w:color w:val="000000" w:themeColor="text1"/>
          <w:lang w:eastAsia="hi-IN" w:bidi="hi-IN"/>
        </w:rPr>
        <w:fldChar w:fldCharType="begin" w:fldLock="1"/>
      </w:r>
      <w:r w:rsidR="00A132AF">
        <w:rPr>
          <w:rFonts w:ascii="Times New Roman" w:eastAsia="SimSun" w:hAnsi="Times New Roman" w:cs="Calibri"/>
          <w:color w:val="000000" w:themeColor="text1"/>
          <w:lang w:eastAsia="hi-IN" w:bidi="hi-IN"/>
        </w:rPr>
        <w:instrText>ADDIN CSL_CITATION {"citationItems":[{"id":"ITEM-1","itemData":{"DOI":"10.1371/JOURNAL.PPAT.1008649","ISSN":"15537374","PMID":"32760120","abstract":"DNA synthesis technologies are enabling rapid advancements in the field of synthetic biology, which involves the design and fabrication of novel biological components. The immense promise of DNA synthesis technology is unmistakable, but so is its potential for intentional or accidental misuse. In the interest of biosecurity, the United States Department of Health and Human Services (HHS) issued its Screening Framework Guidance for Providers of Synthetic Double-Stranded DNA in 2010, which calls on commercial providers of double-stranded DNA (dsDNA) to voluntarily screen all orders. Most notably, a group of dsDNA synthesis companies known as the International Gene Synthesis Consortium (IGSC) has implemented the Harmonized Screening Protocol (HSP) in alignment with the HHS Guidance. While there is not a single DNA screening algorithm used by all IGSC members, DNA-screening software typically follows HSP guidance by aligning a query sequence to a relatively short list of biological toxins and select agent genomes, genes, or proteins. We herein describe challenges involved in the current screening process, ideas for improvements, and examples that illustrate why current obstacles to advancement are so critical to overcome.","author":[{"dropping-particle":"","family":"Leo Elworth","given":"R. A.","non-dropping-particle":"","parse-names":false,"suffix":""},{"dropping-particle":"","family":"Diaz","given":"Christian","non-dropping-particle":"","parse-names":false,"suffix":""},{"dropping-particle":"","family":"Yang","given":"Jing","non-dropping-particle":"","parse-names":false,"suffix":""},{"dropping-particle":"","family":"Figueiredo","given":"Paul","non-dropping-particle":"de","parse-names":false,"suffix":""},{"dropping-particle":"","family":"Ternus","given":"Krista","non-dropping-particle":"","parse-names":false,"suffix":""},{"dropping-particle":"","family":"Treangen","given":"Todd","non-dropping-particle":"","parse-names":false,"suffix":""}],"container-title":"PLoS Pathogens","id":"ITEM-1","issue":"8","issued":{"date-parts":[["2020","8"]]},"page":"e1008649","publisher":"Public Library of Science","title":"Synthetic DNA and biosecurity: Nuances of predicting pathogenicity and the impetus for novel computational approaches for screening oligonucleotides","type":"article-journal","volume":"16"},"uris":["http://www.mendeley.com/documents/?uuid=4825074c-d985-422a-a8a4-ecfb34628dd7"]}],"mendeley":{"formattedCitation":"(Leo Elworth et al., 2020)","manualFormatting":"( Elworth et al., 2020)","plainTextFormattedCitation":"(Leo Elworth et al., 2020)","previouslyFormattedCitation":"(Leo Elworth et al., 2020)"},"properties":{"noteIndex":0},"schema":"https://github.com/citation-style-language/schema/raw/master/csl-citation.json"}</w:instrText>
      </w:r>
      <w:r w:rsidR="009455DB" w:rsidRPr="00121D97">
        <w:rPr>
          <w:rFonts w:ascii="Times New Roman" w:eastAsia="SimSun" w:hAnsi="Times New Roman" w:cs="Calibri"/>
          <w:color w:val="000000" w:themeColor="text1"/>
          <w:lang w:eastAsia="hi-IN" w:bidi="hi-IN"/>
        </w:rPr>
        <w:fldChar w:fldCharType="separate"/>
      </w:r>
      <w:r w:rsidR="009455DB" w:rsidRPr="005D59CD">
        <w:rPr>
          <w:rFonts w:ascii="Times New Roman" w:eastAsia="SimSun" w:hAnsi="Times New Roman" w:cs="Calibri"/>
          <w:noProof/>
          <w:color w:val="000000" w:themeColor="text1"/>
          <w:lang w:eastAsia="hi-IN" w:bidi="hi-IN"/>
        </w:rPr>
        <w:t>( Elworth et al., 2020)</w:t>
      </w:r>
      <w:r w:rsidR="009455DB" w:rsidRPr="00121D97">
        <w:rPr>
          <w:rFonts w:ascii="Times New Roman" w:eastAsia="SimSun" w:hAnsi="Times New Roman" w:cs="Calibri"/>
          <w:color w:val="000000" w:themeColor="text1"/>
          <w:lang w:eastAsia="hi-IN" w:bidi="hi-IN"/>
        </w:rPr>
        <w:fldChar w:fldCharType="end"/>
      </w:r>
      <w:r w:rsidR="009455DB">
        <w:rPr>
          <w:rFonts w:ascii="Times New Roman" w:eastAsia="SimSun" w:hAnsi="Times New Roman" w:cs="Calibri"/>
          <w:color w:val="000000" w:themeColor="text1"/>
          <w:lang w:eastAsia="hi-IN" w:bidi="hi-IN"/>
        </w:rPr>
        <w:t>.</w:t>
      </w:r>
      <w:r w:rsidR="00C15B62">
        <w:rPr>
          <w:rFonts w:ascii="Times New Roman" w:eastAsia="SimSun" w:hAnsi="Times New Roman" w:cs="Calibri"/>
          <w:color w:val="000000" w:themeColor="text1"/>
          <w:lang w:eastAsia="hi-IN" w:bidi="hi-IN"/>
        </w:rPr>
        <w:t xml:space="preserve"> </w:t>
      </w:r>
      <w:r w:rsidR="009455DB">
        <w:rPr>
          <w:rFonts w:ascii="Times New Roman" w:eastAsia="SimSun" w:hAnsi="Times New Roman" w:cs="Calibri"/>
          <w:color w:val="000000" w:themeColor="text1"/>
          <w:lang w:eastAsia="hi-IN" w:bidi="hi-IN"/>
        </w:rPr>
        <w:t>C</w:t>
      </w:r>
      <w:r w:rsidR="009455DB" w:rsidRPr="008F3C72">
        <w:rPr>
          <w:rFonts w:ascii="Times New Roman" w:eastAsia="SimSun" w:hAnsi="Times New Roman" w:cs="Calibri"/>
          <w:color w:val="000000" w:themeColor="text1"/>
          <w:lang w:eastAsia="hi-IN" w:bidi="hi-IN"/>
        </w:rPr>
        <w:t xml:space="preserve">hallenges </w:t>
      </w:r>
      <w:r w:rsidR="009455DB">
        <w:rPr>
          <w:rFonts w:ascii="Times New Roman" w:eastAsia="SimSun" w:hAnsi="Times New Roman" w:cs="Calibri"/>
          <w:color w:val="000000" w:themeColor="text1"/>
          <w:lang w:eastAsia="hi-IN" w:bidi="hi-IN"/>
        </w:rPr>
        <w:t xml:space="preserve">have been identified </w:t>
      </w:r>
      <w:r w:rsidR="009455DB" w:rsidRPr="008F3C72">
        <w:rPr>
          <w:rFonts w:ascii="Times New Roman" w:eastAsia="SimSun" w:hAnsi="Times New Roman" w:cs="Calibri"/>
          <w:color w:val="000000" w:themeColor="text1"/>
          <w:lang w:eastAsia="hi-IN" w:bidi="hi-IN"/>
        </w:rPr>
        <w:t xml:space="preserve">in the </w:t>
      </w:r>
      <w:r w:rsidR="009455DB">
        <w:rPr>
          <w:rFonts w:ascii="Times New Roman" w:eastAsia="SimSun" w:hAnsi="Times New Roman" w:cs="Calibri"/>
          <w:color w:val="000000" w:themeColor="text1"/>
          <w:lang w:eastAsia="hi-IN" w:bidi="hi-IN"/>
        </w:rPr>
        <w:t xml:space="preserve">implementation of </w:t>
      </w:r>
      <w:r w:rsidR="009716AA">
        <w:rPr>
          <w:rFonts w:ascii="Times New Roman" w:eastAsia="SimSun" w:hAnsi="Times New Roman" w:cs="Calibri"/>
          <w:color w:val="000000" w:themeColor="text1"/>
          <w:lang w:eastAsia="hi-IN" w:bidi="hi-IN"/>
        </w:rPr>
        <w:t>the</w:t>
      </w:r>
      <w:r w:rsidR="009455DB">
        <w:rPr>
          <w:rFonts w:ascii="Times New Roman" w:eastAsia="SimSun" w:hAnsi="Times New Roman" w:cs="Calibri"/>
          <w:color w:val="000000" w:themeColor="text1"/>
          <w:lang w:eastAsia="hi-IN" w:bidi="hi-IN"/>
        </w:rPr>
        <w:t xml:space="preserve"> </w:t>
      </w:r>
      <w:r w:rsidR="009455DB" w:rsidRPr="008F3C72">
        <w:rPr>
          <w:rFonts w:ascii="Times New Roman" w:eastAsia="SimSun" w:hAnsi="Times New Roman" w:cs="Calibri"/>
          <w:color w:val="000000" w:themeColor="text1"/>
          <w:lang w:eastAsia="hi-IN" w:bidi="hi-IN"/>
        </w:rPr>
        <w:t>current screening process</w:t>
      </w:r>
      <w:r w:rsidR="009455DB">
        <w:rPr>
          <w:rFonts w:ascii="Times New Roman" w:eastAsia="SimSun" w:hAnsi="Times New Roman" w:cs="Calibri"/>
          <w:color w:val="000000" w:themeColor="text1"/>
          <w:lang w:eastAsia="hi-IN" w:bidi="hi-IN"/>
        </w:rPr>
        <w:t xml:space="preserve"> since its inception in 2010, to the extent that there is an open call for </w:t>
      </w:r>
      <w:r w:rsidR="009455DB" w:rsidRPr="00045BA8">
        <w:rPr>
          <w:rFonts w:ascii="Times New Roman" w:eastAsia="SimSun" w:hAnsi="Times New Roman" w:cs="Calibri"/>
          <w:color w:val="000000" w:themeColor="text1"/>
          <w:lang w:eastAsia="hi-IN" w:bidi="hi-IN"/>
        </w:rPr>
        <w:t xml:space="preserve">public comments on whether and, if so, how the </w:t>
      </w:r>
      <w:r w:rsidR="009455DB">
        <w:rPr>
          <w:rFonts w:ascii="Times New Roman" w:eastAsia="SimSun" w:hAnsi="Times New Roman" w:cs="Calibri"/>
          <w:color w:val="000000" w:themeColor="text1"/>
          <w:lang w:eastAsia="hi-IN" w:bidi="hi-IN"/>
        </w:rPr>
        <w:t>g</w:t>
      </w:r>
      <w:r w:rsidR="009455DB" w:rsidRPr="00045BA8">
        <w:rPr>
          <w:rFonts w:ascii="Times New Roman" w:eastAsia="SimSun" w:hAnsi="Times New Roman" w:cs="Calibri"/>
          <w:color w:val="000000" w:themeColor="text1"/>
          <w:lang w:eastAsia="hi-IN" w:bidi="hi-IN"/>
        </w:rPr>
        <w:t>uidance should be modified to address new and emerging challenges posed by advances in this area</w:t>
      </w:r>
      <w:r w:rsidR="009455DB">
        <w:rPr>
          <w:rFonts w:ascii="Times New Roman" w:eastAsia="SimSun" w:hAnsi="Times New Roman" w:cs="Calibri"/>
          <w:color w:val="000000" w:themeColor="text1"/>
          <w:lang w:eastAsia="hi-IN" w:bidi="hi-IN"/>
        </w:rPr>
        <w:t xml:space="preserve"> </w:t>
      </w:r>
      <w:r w:rsidR="009455DB" w:rsidRPr="00121D97">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{"citationItems":[{"id":"ITEM-1","itemData":{"author":[{"dropping-particle":"","family":"USA Health and Human Services Department","given":"","non-dropping-particle":"","parse-names":false,"suffix":""}],"container-title":"Federal Register","id":"ITEM-1","issued":{"date-parts":[["2020"]]},"page":"52611-52613","title":"Review and Revision of the Screening Framework Guidance for Providers of Synthetic Double-Stranded DNA. 85 FR 52611. 2020-18444.","type":"article-journal"},"uris":["http://www.mendeley.com/documents/?uuid=9299d000-d21a-46cd-81b8-8c5a28675aec"]}],"mendeley":{"formattedCitation":"(USA Health and Human Services Department, 2020)","plainTextFormattedCitation":"(USA Health and Human Services Department, 2020)","previouslyFormattedCitation":"(USA Health and Human Services Department, 2020)"},"properties":{"noteIndex":0},"schema":"https://github.com/citation-style-language/schema/raw/master/csl-citation.json"}</w:instrText>
      </w:r>
      <w:r w:rsidR="009455DB" w:rsidRPr="00121D97">
        <w:rPr>
          <w:rFonts w:ascii="Times New Roman" w:eastAsia="SimSun" w:hAnsi="Times New Roman" w:cs="Calibri"/>
          <w:color w:val="000000" w:themeColor="text1"/>
          <w:lang w:eastAsia="hi-IN" w:bidi="hi-IN"/>
        </w:rPr>
        <w:fldChar w:fldCharType="separate"/>
      </w:r>
      <w:r w:rsidR="009455DB" w:rsidRPr="00C02E25">
        <w:rPr>
          <w:rFonts w:ascii="Times New Roman" w:eastAsia="SimSun" w:hAnsi="Times New Roman" w:cs="Calibri"/>
          <w:noProof/>
          <w:color w:val="000000" w:themeColor="text1"/>
          <w:lang w:eastAsia="hi-IN" w:bidi="hi-IN"/>
        </w:rPr>
        <w:t>(USA Health and Human Services Department, 2020)</w:t>
      </w:r>
      <w:r w:rsidR="009455DB" w:rsidRPr="00121D97">
        <w:rPr>
          <w:rFonts w:ascii="Times New Roman" w:eastAsia="SimSun" w:hAnsi="Times New Roman" w:cs="Calibri"/>
          <w:color w:val="000000" w:themeColor="text1"/>
          <w:lang w:eastAsia="hi-IN" w:bidi="hi-IN"/>
        </w:rPr>
        <w:fldChar w:fldCharType="end"/>
      </w:r>
      <w:r w:rsidR="009455DB">
        <w:rPr>
          <w:rFonts w:ascii="Times New Roman" w:eastAsia="SimSun" w:hAnsi="Times New Roman" w:cs="Calibri"/>
          <w:color w:val="000000" w:themeColor="text1"/>
          <w:lang w:eastAsia="hi-IN" w:bidi="hi-IN"/>
        </w:rPr>
        <w:t xml:space="preserve">. </w:t>
      </w:r>
      <w:r w:rsidR="00D23678">
        <w:rPr>
          <w:rFonts w:ascii="Times New Roman" w:eastAsia="SimSun" w:hAnsi="Times New Roman" w:cs="Calibri"/>
          <w:color w:val="000000" w:themeColor="text1"/>
          <w:lang w:eastAsia="hi-IN" w:bidi="hi-IN"/>
        </w:rPr>
        <w:t>Further, there have also been suggestions to increase cyber-biosecurity for</w:t>
      </w:r>
      <w:r w:rsidR="002D0843">
        <w:rPr>
          <w:rFonts w:ascii="Times New Roman" w:eastAsia="SimSun" w:hAnsi="Times New Roman" w:cs="Calibri"/>
          <w:color w:val="000000" w:themeColor="text1"/>
          <w:lang w:eastAsia="hi-IN" w:bidi="hi-IN"/>
        </w:rPr>
        <w:t xml:space="preserve"> DNA </w:t>
      </w:r>
      <w:r w:rsidR="00D23678">
        <w:rPr>
          <w:rFonts w:ascii="Times New Roman" w:eastAsia="SimSun" w:hAnsi="Times New Roman" w:cs="Calibri"/>
          <w:color w:val="000000" w:themeColor="text1"/>
          <w:lang w:eastAsia="hi-IN" w:bidi="hi-IN"/>
        </w:rPr>
        <w:t>synthesis</w:t>
      </w:r>
      <w:r>
        <w:rPr>
          <w:rFonts w:ascii="Times New Roman" w:eastAsia="SimSun" w:hAnsi="Times New Roman" w:cs="Calibri"/>
          <w:color w:val="000000" w:themeColor="text1"/>
          <w:lang w:eastAsia="hi-IN" w:bidi="hi-IN"/>
        </w:rPr>
        <w:t xml:space="preserve"> and laboratories</w:t>
      </w:r>
      <w:r w:rsidR="00D23678">
        <w:rPr>
          <w:rFonts w:ascii="Times New Roman" w:eastAsia="SimSun" w:hAnsi="Times New Roman" w:cs="Calibri"/>
          <w:color w:val="000000" w:themeColor="text1"/>
          <w:lang w:eastAsia="hi-IN" w:bidi="hi-IN"/>
        </w:rPr>
        <w:t>.</w:t>
      </w:r>
      <w:r w:rsidR="00C02C7E">
        <w:rPr>
          <w:rFonts w:ascii="Times New Roman" w:eastAsia="SimSun" w:hAnsi="Times New Roman" w:cs="Calibri"/>
          <w:color w:val="000000" w:themeColor="text1"/>
          <w:lang w:eastAsia="hi-IN" w:bidi="hi-IN"/>
        </w:rPr>
        <w:t xml:space="preserve"> </w:t>
      </w:r>
      <w:r w:rsidR="00BB2931">
        <w:rPr>
          <w:rFonts w:ascii="Times New Roman" w:eastAsia="SimSun" w:hAnsi="Times New Roman" w:cs="Calibri"/>
          <w:color w:val="000000" w:themeColor="text1"/>
          <w:lang w:eastAsia="hi-IN" w:bidi="hi-IN"/>
        </w:rPr>
        <w:t>DNA obfuscation, based on cyber-hacking malicious code obfuscation</w:t>
      </w:r>
      <w:r w:rsidR="00DE3F87">
        <w:rPr>
          <w:rStyle w:val="FootnoteReference"/>
          <w:rFonts w:ascii="Times New Roman" w:eastAsia="SimSun" w:hAnsi="Times New Roman" w:cs="Calibri"/>
          <w:color w:val="000000" w:themeColor="text1"/>
          <w:lang w:eastAsia="hi-IN" w:bidi="hi-IN"/>
        </w:rPr>
        <w:footnoteReference w:id="34"/>
      </w:r>
      <w:r w:rsidR="00BB2931">
        <w:rPr>
          <w:rFonts w:ascii="Times New Roman" w:eastAsia="SimSun" w:hAnsi="Times New Roman" w:cs="Calibri"/>
          <w:color w:val="000000" w:themeColor="text1"/>
          <w:lang w:eastAsia="hi-IN" w:bidi="hi-IN"/>
        </w:rPr>
        <w:t>, could allow</w:t>
      </w:r>
      <w:r w:rsidR="000F64D1">
        <w:rPr>
          <w:rFonts w:ascii="Times New Roman" w:eastAsia="SimSun" w:hAnsi="Times New Roman" w:cs="Calibri"/>
          <w:color w:val="000000" w:themeColor="text1"/>
          <w:lang w:eastAsia="hi-IN" w:bidi="hi-IN"/>
        </w:rPr>
        <w:t xml:space="preserve"> an unknowing biologist to use a </w:t>
      </w:r>
      <w:r w:rsidR="000B69A7">
        <w:rPr>
          <w:rFonts w:ascii="Times New Roman" w:eastAsia="SimSun" w:hAnsi="Times New Roman" w:cs="Calibri"/>
          <w:color w:val="000000" w:themeColor="text1"/>
          <w:lang w:eastAsia="hi-IN" w:bidi="hi-IN"/>
        </w:rPr>
        <w:t xml:space="preserve">malicious </w:t>
      </w:r>
      <w:r w:rsidR="000F64D1">
        <w:rPr>
          <w:rFonts w:ascii="Times New Roman" w:eastAsia="SimSun" w:hAnsi="Times New Roman" w:cs="Calibri"/>
          <w:color w:val="000000" w:themeColor="text1"/>
          <w:lang w:eastAsia="hi-IN" w:bidi="hi-IN"/>
        </w:rPr>
        <w:t xml:space="preserve">sequence, leading to </w:t>
      </w:r>
      <w:r w:rsidR="00DE3F87">
        <w:rPr>
          <w:rFonts w:ascii="Times New Roman" w:eastAsia="SimSun" w:hAnsi="Times New Roman" w:cs="Calibri"/>
          <w:color w:val="000000" w:themeColor="text1"/>
          <w:lang w:eastAsia="hi-IN" w:bidi="hi-IN"/>
        </w:rPr>
        <w:t>their</w:t>
      </w:r>
      <w:r w:rsidR="000F64D1">
        <w:rPr>
          <w:rFonts w:ascii="Times New Roman" w:eastAsia="SimSun" w:hAnsi="Times New Roman" w:cs="Calibri"/>
          <w:color w:val="000000" w:themeColor="text1"/>
          <w:lang w:eastAsia="hi-IN" w:bidi="hi-IN"/>
        </w:rPr>
        <w:t xml:space="preserve"> exposure</w:t>
      </w:r>
      <w:r w:rsidR="000B69A7">
        <w:rPr>
          <w:rFonts w:ascii="Times New Roman" w:eastAsia="SimSun" w:hAnsi="Times New Roman" w:cs="Calibri"/>
          <w:color w:val="000000" w:themeColor="text1"/>
          <w:lang w:eastAsia="hi-IN" w:bidi="hi-IN"/>
        </w:rPr>
        <w:t xml:space="preserve"> </w:t>
      </w:r>
      <w:r w:rsidR="00781679">
        <w:rPr>
          <w:rFonts w:ascii="Times New Roman" w:eastAsia="SimSun" w:hAnsi="Times New Roman" w:cs="Calibri"/>
          <w:color w:val="000000" w:themeColor="text1"/>
          <w:lang w:eastAsia="hi-IN" w:bidi="hi-IN"/>
        </w:rPr>
        <w:t>to</w:t>
      </w:r>
      <w:r w:rsidR="000B69A7">
        <w:rPr>
          <w:rFonts w:ascii="Times New Roman" w:eastAsia="SimSun" w:hAnsi="Times New Roman" w:cs="Calibri"/>
          <w:color w:val="000000" w:themeColor="text1"/>
          <w:lang w:eastAsia="hi-IN" w:bidi="hi-IN"/>
        </w:rPr>
        <w:t xml:space="preserve"> a </w:t>
      </w:r>
      <w:r w:rsidR="00B97D2B">
        <w:rPr>
          <w:rFonts w:ascii="Times New Roman" w:eastAsia="SimSun" w:hAnsi="Times New Roman" w:cs="Calibri"/>
          <w:color w:val="000000" w:themeColor="text1"/>
          <w:lang w:eastAsia="hi-IN" w:bidi="hi-IN"/>
        </w:rPr>
        <w:t xml:space="preserve">dangerous </w:t>
      </w:r>
      <w:r w:rsidR="000B69A7">
        <w:rPr>
          <w:rFonts w:ascii="Times New Roman" w:eastAsia="SimSun" w:hAnsi="Times New Roman" w:cs="Calibri"/>
          <w:color w:val="000000" w:themeColor="text1"/>
          <w:lang w:eastAsia="hi-IN" w:bidi="hi-IN"/>
        </w:rPr>
        <w:t>agent</w:t>
      </w:r>
      <w:r w:rsidR="000F64D1">
        <w:rPr>
          <w:rFonts w:ascii="Times New Roman" w:eastAsia="SimSun" w:hAnsi="Times New Roman" w:cs="Calibri"/>
          <w:color w:val="000000" w:themeColor="text1"/>
          <w:lang w:eastAsia="hi-IN" w:bidi="hi-IN"/>
        </w:rPr>
        <w:t xml:space="preserve">. </w:t>
      </w:r>
      <w:r>
        <w:rPr>
          <w:rFonts w:ascii="Times New Roman" w:eastAsia="SimSun" w:hAnsi="Times New Roman" w:cs="Calibri"/>
          <w:color w:val="000000" w:themeColor="text1"/>
          <w:lang w:eastAsia="hi-IN" w:bidi="hi-IN"/>
        </w:rPr>
        <w:t>In a</w:t>
      </w:r>
      <w:r w:rsidR="00C02C7E">
        <w:rPr>
          <w:rFonts w:ascii="Times New Roman" w:eastAsia="SimSun" w:hAnsi="Times New Roman" w:cs="Calibri"/>
          <w:color w:val="000000" w:themeColor="text1"/>
          <w:lang w:eastAsia="hi-IN" w:bidi="hi-IN"/>
        </w:rPr>
        <w:t xml:space="preserve"> proof-of-concept experiment</w:t>
      </w:r>
      <w:r>
        <w:rPr>
          <w:rFonts w:ascii="Times New Roman" w:eastAsia="SimSun" w:hAnsi="Times New Roman" w:cs="Calibri"/>
          <w:color w:val="000000" w:themeColor="text1"/>
          <w:lang w:eastAsia="hi-IN" w:bidi="hi-IN"/>
        </w:rPr>
        <w:t>,</w:t>
      </w:r>
      <w:r w:rsidR="00C02C7E">
        <w:rPr>
          <w:rFonts w:ascii="Times New Roman" w:eastAsia="SimSun" w:hAnsi="Times New Roman" w:cs="Calibri"/>
          <w:color w:val="000000" w:themeColor="text1"/>
          <w:lang w:eastAsia="hi-IN" w:bidi="hi-IN"/>
        </w:rPr>
        <w:t xml:space="preserve"> researchers </w:t>
      </w:r>
      <w:r w:rsidR="00E5559D">
        <w:rPr>
          <w:rFonts w:ascii="Times New Roman" w:eastAsia="SimSun" w:hAnsi="Times New Roman" w:cs="Calibri"/>
          <w:color w:val="000000" w:themeColor="text1"/>
          <w:lang w:eastAsia="hi-IN" w:bidi="hi-IN"/>
        </w:rPr>
        <w:t xml:space="preserve">were able to successfully </w:t>
      </w:r>
      <w:r w:rsidR="003D4440">
        <w:rPr>
          <w:rFonts w:ascii="Times New Roman" w:eastAsia="SimSun" w:hAnsi="Times New Roman" w:cs="Calibri"/>
          <w:color w:val="000000" w:themeColor="text1"/>
          <w:lang w:eastAsia="hi-IN" w:bidi="hi-IN"/>
        </w:rPr>
        <w:t xml:space="preserve">order a toxic peptide from a </w:t>
      </w:r>
      <w:r>
        <w:rPr>
          <w:rFonts w:ascii="Times New Roman" w:eastAsia="SimSun" w:hAnsi="Times New Roman" w:cs="Calibri"/>
          <w:color w:val="000000" w:themeColor="text1"/>
          <w:lang w:eastAsia="hi-IN" w:bidi="hi-IN"/>
        </w:rPr>
        <w:t>DNA synthesis</w:t>
      </w:r>
      <w:r w:rsidR="003D4440">
        <w:rPr>
          <w:rFonts w:ascii="Times New Roman" w:eastAsia="SimSun" w:hAnsi="Times New Roman" w:cs="Calibri"/>
          <w:color w:val="000000" w:themeColor="text1"/>
          <w:lang w:eastAsia="hi-IN" w:bidi="hi-IN"/>
        </w:rPr>
        <w:t xml:space="preserve"> company</w:t>
      </w:r>
      <w:r w:rsidR="000F64D1">
        <w:rPr>
          <w:rFonts w:ascii="Times New Roman" w:eastAsia="SimSun" w:hAnsi="Times New Roman" w:cs="Calibri"/>
          <w:color w:val="000000" w:themeColor="text1"/>
          <w:lang w:eastAsia="hi-IN" w:bidi="hi-IN"/>
        </w:rPr>
        <w:t xml:space="preserve"> </w:t>
      </w:r>
      <w:r w:rsidR="00A132AF">
        <w:rPr>
          <w:rFonts w:ascii="Times New Roman" w:eastAsia="SimSun" w:hAnsi="Times New Roman" w:cs="Calibri"/>
          <w:color w:val="000000" w:themeColor="text1"/>
          <w:lang w:eastAsia="hi-IN" w:bidi="hi-IN"/>
        </w:rPr>
        <w:fldChar w:fldCharType="begin" w:fldLock="1"/>
      </w:r>
      <w:r w:rsidR="001D65BD">
        <w:rPr>
          <w:rFonts w:ascii="Times New Roman" w:eastAsia="SimSun" w:hAnsi="Times New Roman" w:cs="Calibri"/>
          <w:color w:val="000000" w:themeColor="text1"/>
          <w:lang w:eastAsia="hi-IN" w:bidi="hi-IN"/>
        </w:rPr>
        <w:instrText>ADDIN CSL_CITATION {"citationItems":[{"id":"ITEM-1","itemData":{"DOI":"10.1038/s41587-020-00761-y","ISSN":"1087-0156","author":[{"dropping-particle":"","family":"Puzis","given":"Rami","non-dropping-particle":"","parse-names":false,"suffix":""},{"dropping-particle":"","family":"Farbiash","given":"Dor","non-dropping-particle":"","parse-names":false,"suffix":""},{"dropping-particle":"","family":"Brodt","given":"Oleg","non-dropping-particle":"","parse-names":false,"suffix":""},{"dropping-particle":"","family":"Elovici","given":"Yuval","non-dropping-particle":"","parse-names":false,"suffix":""},{"dropping-particle":"","family":"Greenbaum","given":"Dov","non-dropping-particle":"","parse-names":false,"suffix":""}],"container-title":"Nature Biotechnology","id":"ITEM-1","issue":"12","issued":{"date-parts":[["2020","12","27"]]},"page":"1379-1381","title":"Increased cyber-biosecurity for DNA synthesis","type":"article-journal","volume":"38"},"uris":["http://www.mendeley.com/documents/?uuid=6c903cfe-3f9d-459c-bc20-85d4ddedf39a"]}],"mendeley":{"formattedCitation":"(Puzis et al., 2020)","plainTextFormattedCitation":"(Puzis et al., 2020)","previouslyFormattedCitation":"(Puzis et al., 2020)"},"properties":{"noteIndex":0},"schema":"https://github.com/citation-style-language/schema/raw/master/csl-citation.json"}</w:instrText>
      </w:r>
      <w:r w:rsidR="00A132AF">
        <w:rPr>
          <w:rFonts w:ascii="Times New Roman" w:eastAsia="SimSun" w:hAnsi="Times New Roman" w:cs="Calibri"/>
          <w:color w:val="000000" w:themeColor="text1"/>
          <w:lang w:eastAsia="hi-IN" w:bidi="hi-IN"/>
        </w:rPr>
        <w:fldChar w:fldCharType="separate"/>
      </w:r>
      <w:r w:rsidR="00A132AF" w:rsidRPr="00A132AF">
        <w:rPr>
          <w:rFonts w:ascii="Times New Roman" w:eastAsia="SimSun" w:hAnsi="Times New Roman" w:cs="Calibri"/>
          <w:noProof/>
          <w:color w:val="000000" w:themeColor="text1"/>
          <w:lang w:eastAsia="hi-IN" w:bidi="hi-IN"/>
        </w:rPr>
        <w:t>(Puzis et al., 2020)</w:t>
      </w:r>
      <w:r w:rsidR="00A132AF">
        <w:rPr>
          <w:rFonts w:ascii="Times New Roman" w:eastAsia="SimSun" w:hAnsi="Times New Roman" w:cs="Calibri"/>
          <w:color w:val="000000" w:themeColor="text1"/>
          <w:lang w:eastAsia="hi-IN" w:bidi="hi-IN"/>
        </w:rPr>
        <w:fldChar w:fldCharType="end"/>
      </w:r>
      <w:r w:rsidR="003D4440">
        <w:rPr>
          <w:rFonts w:ascii="Times New Roman" w:eastAsia="SimSun" w:hAnsi="Times New Roman" w:cs="Calibri"/>
          <w:color w:val="000000" w:themeColor="text1"/>
          <w:lang w:eastAsia="hi-IN" w:bidi="hi-IN"/>
        </w:rPr>
        <w:t>.</w:t>
      </w:r>
    </w:p>
    <w:p w14:paraId="2E280DE2" w14:textId="0F9A8358" w:rsidR="009455DB" w:rsidRDefault="009455DB" w:rsidP="009455DB">
      <w:pPr>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One such challenge is that</w:t>
      </w:r>
      <w:r w:rsidR="006A1AB4">
        <w:rPr>
          <w:rFonts w:ascii="Times New Roman" w:eastAsia="SimSun" w:hAnsi="Times New Roman" w:cs="Calibri"/>
          <w:color w:val="000000" w:themeColor="text1"/>
          <w:lang w:eastAsia="hi-IN" w:bidi="hi-IN"/>
        </w:rPr>
        <w:t>,</w:t>
      </w:r>
      <w:r w:rsidRPr="210AB58B">
        <w:rPr>
          <w:rFonts w:ascii="Times New Roman" w:eastAsia="SimSun" w:hAnsi="Times New Roman" w:cs="Calibri"/>
          <w:color w:val="000000" w:themeColor="text1"/>
          <w:lang w:eastAsia="hi-IN" w:bidi="hi-IN"/>
        </w:rPr>
        <w:t xml:space="preserve"> as these technologies become ever more accessible</w:t>
      </w:r>
      <w:r>
        <w:rPr>
          <w:rFonts w:ascii="Times New Roman" w:eastAsia="SimSun" w:hAnsi="Times New Roman" w:cs="Calibri"/>
          <w:color w:val="000000" w:themeColor="text1"/>
          <w:lang w:eastAsia="hi-IN" w:bidi="hi-IN"/>
        </w:rPr>
        <w:t>,</w:t>
      </w:r>
      <w:r w:rsidRPr="210AB58B">
        <w:rPr>
          <w:rFonts w:ascii="Times New Roman" w:eastAsia="SimSun" w:hAnsi="Times New Roman" w:cs="Calibri"/>
          <w:color w:val="000000" w:themeColor="text1"/>
          <w:lang w:eastAsia="hi-IN" w:bidi="hi-IN"/>
        </w:rPr>
        <w:t xml:space="preserve"> gene sequences can be procured by means other than through companies capable of sophisticated customer screening procedures. It may be that the threat is much greater from state-sponsored terrorism (for which DNA synthesis would be hard to control or monitor) than from amateur activities. However, it is important not to underestimate the difficulty of moving from research in a laboratory, let alone a “bio-hacker” garage, to a functioning product that can be disseminated widely. Incorporating synthetic biology techniques into research on biology does not mean that the resulting products can be easily developed as if they were just another piece of hardware or software.</w:t>
      </w:r>
    </w:p>
    <w:p w14:paraId="51A96207" w14:textId="59949B2D" w:rsidR="009455DB" w:rsidRDefault="009455DB" w:rsidP="009455DB">
      <w:pPr>
        <w:spacing w:before="120" w:after="120" w:line="240" w:lineRule="auto"/>
        <w:jc w:val="both"/>
        <w:rPr>
          <w:rFonts w:ascii="Times New Roman" w:eastAsia="SimSun" w:hAnsi="Times New Roman" w:cs="Calibri"/>
          <w:color w:val="000000" w:themeColor="text1"/>
          <w:lang w:eastAsia="hi-IN" w:bidi="hi-IN"/>
        </w:rPr>
      </w:pPr>
      <w:r w:rsidRPr="210AB58B">
        <w:rPr>
          <w:rFonts w:ascii="Times New Roman" w:eastAsia="SimSun" w:hAnsi="Times New Roman" w:cs="Calibri"/>
          <w:color w:val="000000" w:themeColor="text1"/>
          <w:lang w:eastAsia="hi-IN" w:bidi="hi-IN"/>
        </w:rPr>
        <w:t xml:space="preserve">The dissemination of the technology, knowledge and capabilities involved in synthetic biology </w:t>
      </w:r>
      <w:r>
        <w:rPr>
          <w:rFonts w:ascii="Times New Roman" w:eastAsia="SimSun" w:hAnsi="Times New Roman" w:cs="Calibri"/>
          <w:color w:val="000000" w:themeColor="text1"/>
          <w:lang w:eastAsia="hi-IN" w:bidi="hi-IN"/>
        </w:rPr>
        <w:t xml:space="preserve">both within and </w:t>
      </w:r>
      <w:r w:rsidRPr="210AB58B">
        <w:rPr>
          <w:rFonts w:ascii="Times New Roman" w:eastAsia="SimSun" w:hAnsi="Times New Roman" w:cs="Calibri"/>
          <w:color w:val="000000" w:themeColor="text1"/>
          <w:lang w:eastAsia="hi-IN" w:bidi="hi-IN"/>
        </w:rPr>
        <w:t xml:space="preserve">beyond the professional biotechnology community will have two (potentially overlapping) strands </w:t>
      </w:r>
      <w:r w:rsidRPr="00121D97">
        <w:rPr>
          <w:rFonts w:ascii="Times New Roman" w:eastAsia="SimSun" w:hAnsi="Times New Roman" w:cs="Calibri"/>
          <w:color w:val="000000" w:themeColor="text1"/>
          <w:lang w:eastAsia="hi-IN" w:bidi="hi-IN"/>
        </w:rPr>
        <w:fldChar w:fldCharType="begin" w:fldLock="1"/>
      </w:r>
      <w:r w:rsidR="00C845A7">
        <w:rPr>
          <w:rFonts w:ascii="Times New Roman" w:eastAsia="SimSun" w:hAnsi="Times New Roman" w:cs="Calibri"/>
          <w:color w:val="000000" w:themeColor="text1"/>
          <w:lang w:eastAsia="hi-IN" w:bidi="hi-IN"/>
        </w:rPr>
        <w:instrText>ADDIN CSL_CITATION {"citationItems":[{"id":"ITEM-1","itemData":{"ISBN":"9782970067238","author":[{"dropping-particle":"","family":"International Risk Governance Council","given":"","non-dropping-particle":"","parse-names":false,"suffix":""}],"container-title":"Concept Note","id":"ITEM-1","issued":{"date-parts":[["2009"]]},"page":"1-28","publisher":"International Risk Governance Council","publisher-place":"Geneva","title":"Risk Governance of Synthetic Biology","type":"article"},"uris":["http://www.mendeley.com/documents/?uuid=0899173a-26d8-41d9-b6f1-2a2fdedb6f8a"]},{"id":"ITEM-2","itemData":{"ISBN":"9292255843","author":[{"dropping-particle":"","family":"Secretariat of the Convention on Biological Diversity","given":"","non-dropping-particle":"","parse-names":false,"suffix":""}],"id":"ITEM-2","issued":{"date-parts":[["2015"]]},"number-of-pages":"118","publisher-place":"Montreal","title":"Synthetic Biology. CBD Technical Series No. 82","type":"report"},"uris":["http://www.mendeley.com/documents/?uuid=d386d238-fe2c-4ca7-8510-47f604ef2925"]}],"mendeley":{"formattedCitation":"(International Risk Governance Council, 2009; Secretariat of the Convention on Biological Diversity, 2015b)","manualFormatting":"(International Risk Governance Council, 2009; Secretariat of the Convention on Biological Diversity, 2015; USA  National Academies of Sciences &amp; Engineering, 2016; InterAcademy Partnership, 2018)","plainTextFormattedCitation":"(International Risk Governance Council, 2009; Secretariat of the Convention on Biological Diversity, 2015b)","previouslyFormattedCitation":"(International Risk Governance Council, 2009; Secretariat of the Convention on Biological Diversity, 2015b)"},"properties":{"noteIndex":0},"schema":"https://github.com/citation-style-language/schema/raw/master/csl-citation.json"}</w:instrText>
      </w:r>
      <w:r w:rsidRPr="00121D97">
        <w:rPr>
          <w:rFonts w:ascii="Times New Roman" w:eastAsia="SimSun" w:hAnsi="Times New Roman" w:cs="Calibri"/>
          <w:color w:val="000000" w:themeColor="text1"/>
          <w:lang w:eastAsia="hi-IN" w:bidi="hi-IN"/>
        </w:rPr>
        <w:fldChar w:fldCharType="separate"/>
      </w:r>
      <w:r w:rsidRPr="210AB58B">
        <w:rPr>
          <w:rFonts w:ascii="Times New Roman" w:eastAsia="SimSun" w:hAnsi="Times New Roman" w:cs="Calibri"/>
          <w:noProof/>
          <w:color w:val="000000" w:themeColor="text1"/>
          <w:lang w:eastAsia="hi-IN" w:bidi="hi-IN"/>
        </w:rPr>
        <w:t>(International Risk Governance Council, 2009; Secretariat of the Convention on Biological Diversity, 2015</w:t>
      </w:r>
      <w:r>
        <w:rPr>
          <w:rFonts w:ascii="Times New Roman" w:eastAsia="SimSun" w:hAnsi="Times New Roman" w:cs="Calibri"/>
          <w:noProof/>
          <w:color w:val="000000" w:themeColor="text1"/>
          <w:lang w:eastAsia="hi-IN" w:bidi="hi-IN"/>
        </w:rPr>
        <w:t xml:space="preserve">; </w:t>
      </w:r>
      <w:r>
        <w:rPr>
          <w:rFonts w:ascii="Times New Roman" w:eastAsia="SimSun" w:hAnsi="Times New Roman" w:cs="Calibri"/>
          <w:noProof/>
          <w:color w:val="000000" w:themeColor="text1"/>
          <w:lang w:eastAsia="hi-IN" w:bidi="hi-IN"/>
        </w:rPr>
        <w:fldChar w:fldCharType="begin" w:fldLock="1"/>
      </w:r>
      <w:r w:rsidR="006B456E">
        <w:rPr>
          <w:rFonts w:ascii="Times New Roman" w:eastAsia="SimSun" w:hAnsi="Times New Roman" w:cs="Calibri"/>
          <w:noProof/>
          <w:color w:val="000000" w:themeColor="text1"/>
          <w:lang w:eastAsia="hi-IN" w:bidi="hi-IN"/>
        </w:rPr>
        <w:instrText>ADDIN CSL_CITATION {"citationItems":[{"id":"ITEM-1","itemData":{"DOI":"10.17226/23405","ISBN":"978-0-309-43787-5","author":[{"dropping-particle":"","family":"National Academies of Sciences Engineering and Medicine","given":"","non-dropping-particle":"","parse-names":false,"suffix":""}],"id":"ITEM-1","issued":{"date-parts":[["2016","7","28"]]},"publisher":"National Academies Press","publisher-place":"Washington, D.C.","title":"Gene Drives on the Horizon: Advancing Science, Navigating Uncertainty, and Aligning Research with Public Values","type":"book"},"uris":["http://www.mendeley.com/documents/?uuid=41b0c447-07be-40d4-8c3a-29e8c76c6932"]}],"mendeley":{"formattedCitation":"(National Academies of Sciences Engineering and Medicine, 2016b)","manualFormatting":"USA  National Academies of Sciences &amp; Engineering, 2016","plainTextFormattedCitation":"(National Academies of Sciences Engineering and Medicine, 2016b)","previouslyFormattedCitation":"(National Academies of Sciences Engineering and Medicine, 2016b)"},"properties":{"noteIndex":0},"schema":"https://github.com/citation-style-language/schema/raw/master/csl-citation.json"}</w:instrText>
      </w:r>
      <w:r>
        <w:rPr>
          <w:rFonts w:ascii="Times New Roman" w:eastAsia="SimSun" w:hAnsi="Times New Roman" w:cs="Calibri"/>
          <w:noProof/>
          <w:color w:val="000000" w:themeColor="text1"/>
          <w:lang w:eastAsia="hi-IN" w:bidi="hi-IN"/>
        </w:rPr>
        <w:fldChar w:fldCharType="separate"/>
      </w:r>
      <w:r w:rsidRPr="009E7FC0">
        <w:rPr>
          <w:rFonts w:ascii="Times New Roman" w:eastAsia="SimSun" w:hAnsi="Times New Roman" w:cs="Calibri"/>
          <w:noProof/>
          <w:color w:val="000000" w:themeColor="text1"/>
          <w:lang w:eastAsia="hi-IN" w:bidi="hi-IN"/>
        </w:rPr>
        <w:t>USA  National Academies of Sciences &amp; Engineering, 2016</w:t>
      </w:r>
      <w:r>
        <w:rPr>
          <w:rFonts w:ascii="Times New Roman" w:eastAsia="SimSun" w:hAnsi="Times New Roman" w:cs="Calibri"/>
          <w:noProof/>
          <w:color w:val="000000" w:themeColor="text1"/>
          <w:lang w:eastAsia="hi-IN" w:bidi="hi-IN"/>
        </w:rPr>
        <w:fldChar w:fldCharType="end"/>
      </w:r>
      <w:r>
        <w:rPr>
          <w:rFonts w:ascii="Times New Roman" w:eastAsia="SimSun" w:hAnsi="Times New Roman" w:cs="Calibri"/>
          <w:noProof/>
          <w:color w:val="000000" w:themeColor="text1"/>
          <w:lang w:eastAsia="hi-IN" w:bidi="hi-IN"/>
        </w:rPr>
        <w:t xml:space="preserve">; </w:t>
      </w:r>
      <w:r>
        <w:rPr>
          <w:rFonts w:ascii="Times New Roman" w:eastAsia="SimSun" w:hAnsi="Times New Roman" w:cs="Calibri"/>
          <w:noProof/>
          <w:color w:val="000000" w:themeColor="text1"/>
          <w:lang w:eastAsia="hi-IN" w:bidi="hi-IN"/>
        </w:rPr>
        <w:fldChar w:fldCharType="begin" w:fldLock="1"/>
      </w:r>
      <w:r w:rsidR="008F6A90">
        <w:rPr>
          <w:rFonts w:ascii="Times New Roman" w:eastAsia="SimSun" w:hAnsi="Times New Roman" w:cs="Calibri"/>
          <w:noProof/>
          <w:color w:val="000000" w:themeColor="text1"/>
          <w:lang w:eastAsia="hi-IN" w:bidi="hi-IN"/>
        </w:rPr>
        <w:instrText>ADDIN CSL_CITATION {"citationItems":[{"id":"ITEM-1","itemData":{"abstract":"This report, the proceedings of a workshop “Assessing the security implications of genome editing technology” is published by the InterAcademy Partnership (IAP). IAP is the global network of more than 130 national academies of science, medicine and engineering, together with four regional networks of academies in Africa, the Americas, Asia and Europe. These academies work together to support the role of science in seeking solutions to the world’s most challenging problems. The workshop workshop was held in Herrenhausen, Germany, on 11-13 October 2017 organised by US National Academies of Science, Engineering and Medicine (NASEM), the European Academies Science Advisory Council (EASAC) and the German National Academy of Sciences Leopoldina, to review the latest advances in genome editing and their societal implications.","author":[{"dropping-particle":"","family":"InterAcademy Partnership","given":"","non-dropping-particle":"","parse-names":false,"suffix":""}],"id":"ITEM-1","issued":{"date-parts":[["2018","1"]]},"title":"Assessing the Security Implications of Genome Editing Technology: Report of an international workshop","type":"webpage"},"uris":["http://www.mendeley.com/documents/?uuid=23197212-3ffe-4534-b2a8-9f81411681a6"]}],"mendeley":{"formattedCitation":"(InterAcademy Partnership, 2018)","manualFormatting":"InterAcademy Partnership, 2018","plainTextFormattedCitation":"(InterAcademy Partnership, 2018)","previouslyFormattedCitation":"(InterAcademy Partnership, 2018)"},"properties":{"noteIndex":0},"schema":"https://github.com/citation-style-language/schema/raw/master/csl-citation.json"}</w:instrText>
      </w:r>
      <w:r>
        <w:rPr>
          <w:rFonts w:ascii="Times New Roman" w:eastAsia="SimSun" w:hAnsi="Times New Roman" w:cs="Calibri"/>
          <w:noProof/>
          <w:color w:val="000000" w:themeColor="text1"/>
          <w:lang w:eastAsia="hi-IN" w:bidi="hi-IN"/>
        </w:rPr>
        <w:fldChar w:fldCharType="separate"/>
      </w:r>
      <w:r w:rsidRPr="00DE751A">
        <w:rPr>
          <w:rFonts w:ascii="Times New Roman" w:eastAsia="SimSun" w:hAnsi="Times New Roman" w:cs="Calibri"/>
          <w:noProof/>
          <w:color w:val="000000" w:themeColor="text1"/>
          <w:lang w:eastAsia="hi-IN" w:bidi="hi-IN"/>
        </w:rPr>
        <w:t>InterAcademy Partnership, 2018</w:t>
      </w:r>
      <w:r>
        <w:rPr>
          <w:rFonts w:ascii="Times New Roman" w:eastAsia="SimSun" w:hAnsi="Times New Roman" w:cs="Calibri"/>
          <w:noProof/>
          <w:color w:val="000000" w:themeColor="text1"/>
          <w:lang w:eastAsia="hi-IN" w:bidi="hi-IN"/>
        </w:rPr>
        <w:fldChar w:fldCharType="end"/>
      </w:r>
      <w:r w:rsidRPr="210AB58B">
        <w:rPr>
          <w:rFonts w:ascii="Times New Roman" w:eastAsia="SimSun" w:hAnsi="Times New Roman" w:cs="Calibri"/>
          <w:noProof/>
          <w:color w:val="000000" w:themeColor="text1"/>
          <w:lang w:eastAsia="hi-IN" w:bidi="hi-IN"/>
        </w:rPr>
        <w:t>)</w:t>
      </w:r>
      <w:r w:rsidRPr="00121D97">
        <w:rPr>
          <w:rFonts w:ascii="Times New Roman" w:eastAsia="SimSun" w:hAnsi="Times New Roman" w:cs="Calibri"/>
          <w:color w:val="000000" w:themeColor="text1"/>
          <w:lang w:eastAsia="hi-IN" w:bidi="hi-IN"/>
        </w:rPr>
        <w:fldChar w:fldCharType="end"/>
      </w:r>
      <w:r w:rsidRPr="210AB58B">
        <w:rPr>
          <w:rFonts w:ascii="Times New Roman" w:eastAsia="SimSun" w:hAnsi="Times New Roman" w:cs="Calibri"/>
          <w:color w:val="000000" w:themeColor="text1"/>
          <w:lang w:eastAsia="hi-IN" w:bidi="hi-IN"/>
        </w:rPr>
        <w:t>:</w:t>
      </w:r>
    </w:p>
    <w:p w14:paraId="6A2298F5" w14:textId="77777777" w:rsidR="009455DB" w:rsidRDefault="009455DB" w:rsidP="001C3594">
      <w:pPr>
        <w:pStyle w:val="ListParagraph"/>
        <w:numPr>
          <w:ilvl w:val="0"/>
          <w:numId w:val="94"/>
        </w:numPr>
        <w:spacing w:before="120" w:after="120" w:line="240" w:lineRule="auto"/>
        <w:ind w:left="567"/>
        <w:jc w:val="both"/>
        <w:rPr>
          <w:rFonts w:ascii="Times New Roman" w:eastAsia="Times New Roman" w:hAnsi="Times New Roman"/>
          <w:color w:val="000000" w:themeColor="text1"/>
          <w:lang w:eastAsia="hi-IN" w:bidi="hi-IN"/>
        </w:rPr>
      </w:pPr>
      <w:r w:rsidRPr="210AB58B">
        <w:rPr>
          <w:rFonts w:ascii="Times New Roman" w:eastAsia="SimSun" w:hAnsi="Times New Roman" w:cs="Calibri"/>
          <w:color w:val="000000" w:themeColor="text1"/>
          <w:lang w:eastAsia="hi-IN" w:bidi="hi-IN"/>
        </w:rPr>
        <w:t>Professional groups such as engineers and computer scientists, educated in disciplines that do not routinely entail formal training in biosafety, may acquire these capabilities. In consequence, there needs to be a dialogue between all relevant researchers and regulators on what responsible conduct might entail in this field, and education about the risks of, and guidance on best practice for, biosafety principles and practices applicable to synthetic biology. A review of biosafety standards should also be conducted to identify differences between standards and actual laboratory practices.</w:t>
      </w:r>
    </w:p>
    <w:p w14:paraId="4C52D6DB" w14:textId="77777777" w:rsidR="009455DB" w:rsidRDefault="009455DB" w:rsidP="001C3594">
      <w:pPr>
        <w:pStyle w:val="ListParagraph"/>
        <w:numPr>
          <w:ilvl w:val="0"/>
          <w:numId w:val="94"/>
        </w:numPr>
        <w:spacing w:before="120" w:after="120" w:line="240" w:lineRule="auto"/>
        <w:ind w:left="567"/>
        <w:jc w:val="both"/>
        <w:rPr>
          <w:rFonts w:ascii="Times New Roman" w:eastAsia="Times New Roman" w:hAnsi="Times New Roman"/>
          <w:color w:val="000000" w:themeColor="text1"/>
          <w:lang w:eastAsia="hi-IN" w:bidi="hi-IN"/>
        </w:rPr>
      </w:pPr>
      <w:r w:rsidRPr="210AB58B">
        <w:rPr>
          <w:rFonts w:ascii="Times New Roman" w:eastAsia="SimSun" w:hAnsi="Times New Roman" w:cs="Calibri"/>
          <w:color w:val="000000" w:themeColor="text1"/>
          <w:lang w:eastAsia="hi-IN" w:bidi="hi-IN"/>
        </w:rPr>
        <w:t>Dissemination may extend beyond academic and professional circles as biological engineering becomes more accessible. This may include less responsible individuals and organisations. Legitimate researchers can help governments and regulators to find ways to prevent other actors from using the technology for illicit purposes. An appropriate balance also needs to be found between top-down command and control and bottom-up education and awareness initiatives, including the fostering of a culture of responsibility and the de-glamorisation of the kind of antisocial activities already evident in the creation of computer viruses.</w:t>
      </w:r>
    </w:p>
    <w:p w14:paraId="794B2A85" w14:textId="18EA116C" w:rsidR="00A268DA" w:rsidRPr="00A268DA" w:rsidRDefault="009455DB" w:rsidP="00D0085E">
      <w:pPr>
        <w:spacing w:before="120" w:after="120" w:line="240" w:lineRule="auto"/>
        <w:jc w:val="both"/>
        <w:rPr>
          <w:rFonts w:ascii="Times New Roman" w:eastAsia="Times New Roman" w:hAnsi="Times New Roman"/>
          <w:b/>
          <w:bCs/>
          <w:kern w:val="1"/>
          <w:lang w:eastAsia="ar-SA"/>
        </w:rPr>
      </w:pPr>
      <w:r w:rsidRPr="007E7EA6">
        <w:rPr>
          <w:rFonts w:ascii="Times New Roman" w:hAnsi="Times New Roman" w:cs="Calibri"/>
          <w:color w:val="000000" w:themeColor="text1"/>
          <w:lang w:eastAsia="ar-SA"/>
        </w:rPr>
        <w:t>In a positive light, synthetic biology could provide tools for responding to biosecurity risks arising from harmful dual-use. The US</w:t>
      </w:r>
      <w:r w:rsidR="00313957">
        <w:rPr>
          <w:rFonts w:ascii="Times New Roman" w:hAnsi="Times New Roman" w:cs="Calibri"/>
          <w:color w:val="000000" w:themeColor="text1"/>
          <w:lang w:eastAsia="ar-SA"/>
        </w:rPr>
        <w:t>A’s</w:t>
      </w:r>
      <w:r w:rsidRPr="007E7EA6">
        <w:rPr>
          <w:rFonts w:ascii="Times New Roman" w:hAnsi="Times New Roman" w:cs="Calibri"/>
          <w:color w:val="000000" w:themeColor="text1"/>
          <w:lang w:eastAsia="ar-SA"/>
        </w:rPr>
        <w:t xml:space="preserve"> </w:t>
      </w:r>
      <w:r w:rsidR="00296589" w:rsidRPr="00296589">
        <w:rPr>
          <w:rFonts w:ascii="Times New Roman" w:hAnsi="Times New Roman" w:cs="Calibri"/>
          <w:color w:val="000000" w:themeColor="text1"/>
          <w:lang w:eastAsia="ar-SA"/>
        </w:rPr>
        <w:t xml:space="preserve">Presidential Commission for the Study of Bioethical Issues </w:t>
      </w:r>
      <w:r w:rsidR="00296589">
        <w:rPr>
          <w:rFonts w:ascii="Times New Roman" w:hAnsi="Times New Roman" w:cs="Calibri"/>
          <w:color w:val="000000" w:themeColor="text1"/>
          <w:lang w:eastAsia="ar-SA"/>
        </w:rPr>
        <w:t>(</w:t>
      </w:r>
      <w:r w:rsidRPr="00296589">
        <w:rPr>
          <w:rFonts w:ascii="Times New Roman" w:hAnsi="Times New Roman" w:cs="Calibri"/>
          <w:color w:val="000000" w:themeColor="text1"/>
          <w:lang w:eastAsia="ar-SA"/>
        </w:rPr>
        <w:t>PCSBI</w:t>
      </w:r>
      <w:r w:rsidR="00296589">
        <w:rPr>
          <w:rFonts w:ascii="Times New Roman" w:hAnsi="Times New Roman" w:cs="Calibri"/>
          <w:color w:val="000000" w:themeColor="text1"/>
          <w:lang w:eastAsia="ar-SA"/>
        </w:rPr>
        <w:t>)</w:t>
      </w:r>
      <w:r w:rsidRPr="007E7EA6">
        <w:rPr>
          <w:rFonts w:ascii="Times New Roman" w:hAnsi="Times New Roman" w:cs="Calibri"/>
          <w:color w:val="000000" w:themeColor="text1"/>
          <w:lang w:eastAsia="ar-SA"/>
        </w:rPr>
        <w:t xml:space="preserve"> claims it is “easy to anticipate potential benefits” of synthetic biology to biosecurity, such as identifying biological agents of concern and countering biosecurity threats (PCSBI 2010). </w:t>
      </w:r>
      <w:r w:rsidRPr="00FF249A">
        <w:rPr>
          <w:rFonts w:ascii="Times New Roman" w:hAnsi="Times New Roman" w:cs="Calibri"/>
          <w:color w:val="000000" w:themeColor="text1"/>
          <w:lang w:eastAsia="ar-SA"/>
        </w:rPr>
        <w:t>Synthetic biologist Drew Endy urges that synthetic biology be understood in terms of its “net contribution</w:t>
      </w:r>
      <w:r w:rsidRPr="00157664">
        <w:rPr>
          <w:rFonts w:ascii="Times New Roman" w:hAnsi="Times New Roman" w:cs="Calibri"/>
          <w:color w:val="000000" w:themeColor="text1"/>
          <w:lang w:eastAsia="ar-SA"/>
        </w:rPr>
        <w:t xml:space="preserve"> to risk exposure and not only risk creation” </w:t>
      </w:r>
      <w:r w:rsidR="00883E95">
        <w:rPr>
          <w:rFonts w:ascii="Times New Roman" w:hAnsi="Times New Roman" w:cs="Calibri"/>
          <w:color w:val="000000" w:themeColor="text1"/>
          <w:lang w:eastAsia="ar-SA"/>
        </w:rPr>
        <w:fldChar w:fldCharType="begin" w:fldLock="1"/>
      </w:r>
      <w:r w:rsidR="00B4550C">
        <w:rPr>
          <w:rFonts w:ascii="Times New Roman" w:hAnsi="Times New Roman" w:cs="Calibri"/>
          <w:color w:val="000000" w:themeColor="text1"/>
          <w:lang w:eastAsia="ar-SA"/>
        </w:rPr>
        <w:instrText>ADDIN CSL_CITATION {"citationItems":[{"id":"ITEM-1","itemData":{"DOI":"10.1038/nature04342","ISSN":"0028-0836","author":[{"dropping-particle":"","family":"Endy","given":"Drew","non-dropping-particle":"","parse-names":false,"suffix":""}],"container-title":"Nature","id":"ITEM-1","issue":"7067","issued":{"date-parts":[["2005","11","24"]]},"page":"449-453","title":"Foundations for engineering biology","type":"article-journal","volume":"438"},"uris":["http://www.mendeley.com/documents/?uuid=4cccec1e-80bf-42c8-bf79-3fbc7e1c01b8"]}],"mendeley":{"formattedCitation":"(Endy, 2005)","plainTextFormattedCitation":"(Endy, 2005)","previouslyFormattedCitation":"(Endy, 2005)"},"properties":{"noteIndex":0},"schema":"https://github.com/citation-style-language/schema/raw/master/csl-citation.json"}</w:instrText>
      </w:r>
      <w:r w:rsidR="00883E95">
        <w:rPr>
          <w:rFonts w:ascii="Times New Roman" w:hAnsi="Times New Roman" w:cs="Calibri"/>
          <w:color w:val="000000" w:themeColor="text1"/>
          <w:lang w:eastAsia="ar-SA"/>
        </w:rPr>
        <w:fldChar w:fldCharType="separate"/>
      </w:r>
      <w:r w:rsidR="00883E95" w:rsidRPr="00883E95">
        <w:rPr>
          <w:rFonts w:ascii="Times New Roman" w:hAnsi="Times New Roman" w:cs="Calibri"/>
          <w:noProof/>
          <w:color w:val="000000" w:themeColor="text1"/>
          <w:lang w:eastAsia="ar-SA"/>
        </w:rPr>
        <w:t>(Endy, 2005)</w:t>
      </w:r>
      <w:r w:rsidR="00883E95">
        <w:rPr>
          <w:rFonts w:ascii="Times New Roman" w:hAnsi="Times New Roman" w:cs="Calibri"/>
          <w:color w:val="000000" w:themeColor="text1"/>
          <w:lang w:eastAsia="ar-SA"/>
        </w:rPr>
        <w:fldChar w:fldCharType="end"/>
      </w:r>
      <w:r w:rsidRPr="00157664">
        <w:rPr>
          <w:rFonts w:ascii="Times New Roman" w:hAnsi="Times New Roman" w:cs="Calibri"/>
          <w:color w:val="000000" w:themeColor="text1"/>
          <w:lang w:eastAsia="ar-SA"/>
        </w:rPr>
        <w:t>.</w:t>
      </w:r>
      <w:r w:rsidRPr="007E7EA6">
        <w:rPr>
          <w:rFonts w:ascii="Times New Roman" w:hAnsi="Times New Roman" w:cs="Calibri"/>
          <w:color w:val="000000" w:themeColor="text1"/>
          <w:lang w:eastAsia="ar-SA"/>
        </w:rPr>
        <w:t xml:space="preserve"> Thus, although synthetic biology can be used to create threats</w:t>
      </w:r>
      <w:r>
        <w:rPr>
          <w:rFonts w:ascii="Times New Roman" w:hAnsi="Times New Roman" w:cs="Calibri"/>
          <w:color w:val="000000" w:themeColor="text1"/>
          <w:lang w:eastAsia="ar-SA"/>
        </w:rPr>
        <w:t xml:space="preserve">, </w:t>
      </w:r>
      <w:r w:rsidRPr="007E7EA6">
        <w:rPr>
          <w:rFonts w:ascii="Times New Roman" w:hAnsi="Times New Roman" w:cs="Calibri"/>
          <w:color w:val="000000" w:themeColor="text1"/>
          <w:lang w:eastAsia="ar-SA"/>
        </w:rPr>
        <w:t xml:space="preserve">synthetic biology </w:t>
      </w:r>
      <w:r w:rsidR="00DF33F3" w:rsidRPr="007E7EA6">
        <w:rPr>
          <w:rFonts w:ascii="Times New Roman" w:hAnsi="Times New Roman" w:cs="Calibri"/>
          <w:color w:val="000000" w:themeColor="text1"/>
          <w:lang w:eastAsia="ar-SA"/>
        </w:rPr>
        <w:t>c</w:t>
      </w:r>
      <w:r w:rsidR="00DF33F3">
        <w:rPr>
          <w:rFonts w:ascii="Times New Roman" w:hAnsi="Times New Roman" w:cs="Calibri"/>
          <w:color w:val="000000" w:themeColor="text1"/>
          <w:lang w:eastAsia="ar-SA"/>
        </w:rPr>
        <w:t>an</w:t>
      </w:r>
      <w:r w:rsidRPr="007E7EA6">
        <w:rPr>
          <w:rFonts w:ascii="Times New Roman" w:hAnsi="Times New Roman" w:cs="Calibri"/>
          <w:color w:val="000000" w:themeColor="text1"/>
          <w:lang w:eastAsia="ar-SA"/>
        </w:rPr>
        <w:t xml:space="preserve"> </w:t>
      </w:r>
      <w:r w:rsidR="005B24B4">
        <w:rPr>
          <w:rFonts w:ascii="Times New Roman" w:hAnsi="Times New Roman" w:cs="Calibri"/>
          <w:color w:val="000000" w:themeColor="text1"/>
          <w:lang w:eastAsia="ar-SA"/>
        </w:rPr>
        <w:t>also</w:t>
      </w:r>
      <w:r w:rsidRPr="007E7EA6">
        <w:rPr>
          <w:rFonts w:ascii="Times New Roman" w:hAnsi="Times New Roman" w:cs="Calibri"/>
          <w:color w:val="000000" w:themeColor="text1"/>
          <w:lang w:eastAsia="ar-SA"/>
        </w:rPr>
        <w:t xml:space="preserve"> be used for defence, such as improved surveillance to detect pathogenic agents, accelerate vaccine production, and provide therapies for some pathogens </w:t>
      </w:r>
      <w:r w:rsidR="001D65BD">
        <w:rPr>
          <w:rFonts w:ascii="Times New Roman" w:hAnsi="Times New Roman" w:cs="Calibri"/>
          <w:color w:val="000000" w:themeColor="text1"/>
          <w:lang w:eastAsia="ar-SA"/>
        </w:rPr>
        <w:fldChar w:fldCharType="begin" w:fldLock="1"/>
      </w:r>
      <w:r w:rsidR="000061FB">
        <w:rPr>
          <w:rFonts w:ascii="Times New Roman" w:hAnsi="Times New Roman" w:cs="Calibri"/>
          <w:color w:val="000000" w:themeColor="text1"/>
          <w:lang w:eastAsia="ar-SA"/>
        </w:rPr>
        <w:instrText>ADDIN CSL_CITATION {"citationItems":[{"id":"ITEM-1","itemData":{"DOI":"10.1038/nature04342","ISSN":"0028-0836","author":[{"dropping-particle":"","family":"Endy","given":"Drew","non-dropping-particle":"","parse-names":false,"suffix":""}],"container-title":"Nature","id":"ITEM-1","issue":"7067","issued":{"date-parts":[["2005","11","24"]]},"page":"449-453","title":"Foundations for engineering biology","type":"article-journal","volume":"438"},"uris":["http://www.mendeley.com/documents/?uuid=4cccec1e-80bf-42c8-bf79-3fbc7e1c01b8"]},{"id":"ITEM-2","itemData":{"DOI":"10.2990/28_2_2","ISSN":"0730-9384","abstract":"Synthetic biology seeks to create modular biological parts that can be assembled into useful devices, allowing the modification of biological systems with greater reliability, at lower cost, with greater speed, and by a larger pool of people than has been the case with traditional genetic engineering. We assess the offensive and defensive security implications of synthetic biology based on the insights of leading synthetic biologists into how the technology may develop, the projections of practicing biosecurity authorities on changes in the security context and potential security applications of synthetic biology, and joint appraisals of policy relevant sources of uncertainty. Synthetic biology appears to have minimal security implications in the near term, create modest offensive advantages in the medium term, and strengthen defensive capabilities against natural and engineered biological threats and enable novel potential offensive uses in the long term. To maximize defensive and minimize offensive effects of synthetic biology despite uncertainty, this essay suggests a combination of policy approaches, including community-based efforts, regulation and surveillance, further research, and the deliberate design of security and safety features into the technology.","author":[{"dropping-particle":"","family":"Mukunda","given":"Gautam","non-dropping-particle":"","parse-names":false,"suffix":""},{"dropping-particle":"","family":"Oye","given":"Kenneth A.","non-dropping-particle":"","parse-names":false,"suffix":""},{"dropping-particle":"","family":"Mohr","given":"Scott C.","non-dropping-particle":"","parse-names":false,"suffix":""}],"container-title":"Politics and the Life Sciences","id":"ITEM-2","issue":"2","issued":{"date-parts":[["2009","9","17"]]},"page":"2-26","title":"What rough beast? Synthetic biology, uncertainty, and the future of biosecurity","type":"article-journal","volume":"28"},"uris":["http://www.mendeley.com/documents/?uuid=54996256-3f77-4e2a-9e20-ef8c0bfb1a46"]}],"mendeley":{"formattedCitation":"(Endy, 2005; Mukunda et al., 2009)","plainTextFormattedCitation":"(Endy, 2005; Mukunda et al., 2009)","previouslyFormattedCitation":"(Endy, 2005; Mukunda et al., 2009)"},"properties":{"noteIndex":0},"schema":"https://github.com/citation-style-language/schema/raw/master/csl-citation.json"}</w:instrText>
      </w:r>
      <w:r w:rsidR="001D65BD">
        <w:rPr>
          <w:rFonts w:ascii="Times New Roman" w:hAnsi="Times New Roman" w:cs="Calibri"/>
          <w:color w:val="000000" w:themeColor="text1"/>
          <w:lang w:eastAsia="ar-SA"/>
        </w:rPr>
        <w:fldChar w:fldCharType="separate"/>
      </w:r>
      <w:r w:rsidR="001D65BD" w:rsidRPr="001D65BD">
        <w:rPr>
          <w:rFonts w:ascii="Times New Roman" w:hAnsi="Times New Roman" w:cs="Calibri"/>
          <w:noProof/>
          <w:color w:val="000000" w:themeColor="text1"/>
          <w:lang w:eastAsia="ar-SA"/>
        </w:rPr>
        <w:t>(Endy, 2005; Mukunda et al., 2009)</w:t>
      </w:r>
      <w:r w:rsidR="001D65BD">
        <w:rPr>
          <w:rFonts w:ascii="Times New Roman" w:hAnsi="Times New Roman" w:cs="Calibri"/>
          <w:color w:val="000000" w:themeColor="text1"/>
          <w:lang w:eastAsia="ar-SA"/>
        </w:rPr>
        <w:fldChar w:fldCharType="end"/>
      </w:r>
      <w:r w:rsidRPr="007E7EA6">
        <w:rPr>
          <w:rFonts w:ascii="Times New Roman" w:hAnsi="Times New Roman" w:cs="Calibri"/>
          <w:color w:val="000000" w:themeColor="text1"/>
          <w:lang w:eastAsia="ar-SA"/>
        </w:rPr>
        <w:t xml:space="preserve">. The latter has been exemplified by the world’s reaction to the current COVID-19 pandemic, where a </w:t>
      </w:r>
      <w:r w:rsidR="005B24B4">
        <w:rPr>
          <w:rFonts w:ascii="Times New Roman" w:hAnsi="Times New Roman" w:cs="Calibri"/>
          <w:color w:val="000000" w:themeColor="text1"/>
          <w:lang w:eastAsia="ar-SA"/>
        </w:rPr>
        <w:t>novel</w:t>
      </w:r>
      <w:r w:rsidRPr="007E7EA6">
        <w:rPr>
          <w:rFonts w:ascii="Times New Roman" w:hAnsi="Times New Roman" w:cs="Calibri"/>
          <w:color w:val="000000" w:themeColor="text1"/>
          <w:lang w:eastAsia="ar-SA"/>
        </w:rPr>
        <w:t xml:space="preserve"> coronavirus was detected, sequenced, and various vaccine strategies developed, resulting in numerous vaccine candidates successfully passing the three stages of clinical trials and obtaining regulatory approval, and vaccinations programmes begun around the world – all within a period of 12 months; a remarkably short timeframe never seen before</w:t>
      </w:r>
      <w:r w:rsidR="001B2630">
        <w:rPr>
          <w:rFonts w:ascii="Times New Roman" w:hAnsi="Times New Roman" w:cs="Calibri"/>
          <w:color w:val="000000" w:themeColor="text1"/>
          <w:lang w:eastAsia="ar-SA"/>
        </w:rPr>
        <w:t xml:space="preserve"> </w:t>
      </w:r>
      <w:r w:rsidR="004D0ABD">
        <w:rPr>
          <w:rFonts w:ascii="Times New Roman" w:hAnsi="Times New Roman" w:cs="Calibri"/>
          <w:color w:val="000000" w:themeColor="text1"/>
          <w:lang w:eastAsia="ar-SA"/>
        </w:rPr>
        <w:fldChar w:fldCharType="begin" w:fldLock="1"/>
      </w:r>
      <w:r w:rsidR="008F6A90">
        <w:rPr>
          <w:rFonts w:ascii="Times New Roman" w:hAnsi="Times New Roman" w:cs="Calibri"/>
          <w:color w:val="000000" w:themeColor="text1"/>
          <w:lang w:eastAsia="ar-SA"/>
        </w:rPr>
        <w:instrText>ADDIN CSL_CITATION {"citationItems":[{"id":"ITEM-1","itemData":{"DOI":"10.1016/j.micinf.2020.05.001","ISSN":"1769714X","PMID":"32387332","abstract":"A novel coronavirus, designated as SARS-CoV-2, first emerged in Wuhan City, Hubei Province, China, in late December 2019. The rapidly increasing number of cases has caused worldwide panic. In this review, we describe some currently applied diagnostic approaches, as well as therapeutics and vaccines, to prevent, treat and control further outbreaks of SARS-CoV-2 infection.","author":[{"dropping-particle":"","family":"Zhang","given":"Naru","non-dropping-particle":"","parse-names":false,"suffix":""},{"dropping-particle":"","family":"Li","given":"Chaoqun","non-dropping-particle":"","parse-names":false,"suffix":""},{"dropping-particle":"","family":"Hu","given":"Yue","non-dropping-particle":"","parse-names":false,"suffix":""},{"dropping-particle":"","family":"Li","given":"Kangchen","non-dropping-particle":"","parse-names":false,"suffix":""},{"dropping-particle":"","family":"Liang","given":"Jintian","non-dropping-particle":"","parse-names":false,"suffix":""},{"dropping-particle":"","family":"Wang","given":"Lili","non-dropping-particle":"","parse-names":false,"suffix":""},{"dropping-particle":"","family":"Du","given":"Lanying","non-dropping-particle":"","parse-names":false,"suffix":""},{"dropping-particle":"","family":"Jiang","given":"Shibo","non-dropping-particle":"","parse-names":false,"suffix":""}],"container-title":"Microbes and Infection","id":"ITEM-1","issue":"6-7","issued":{"date-parts":[["2020","7"]]},"page":"231-235","publisher":"Elsevier Masson s.r.l.","title":"Current development of COVID-19 diagnostics, vaccines and therapeutics","type":"article-journal","volume":"22"},"uris":["http://www.mendeley.com/documents/?uuid=f29df5d8-9ee6-42c8-9c4f-a2f7e93ad85a"]}],"mendeley":{"formattedCitation":"(N. Zhang et al., 2020)","manualFormatting":"(Zhang et al., 2020)","plainTextFormattedCitation":"(N. Zhang et al., 2020)","previouslyFormattedCitation":"(N. Zhang et al., 2020)"},"properties":{"noteIndex":0},"schema":"https://github.com/citation-style-language/schema/raw/master/csl-citation.json"}</w:instrText>
      </w:r>
      <w:r w:rsidR="004D0ABD">
        <w:rPr>
          <w:rFonts w:ascii="Times New Roman" w:hAnsi="Times New Roman" w:cs="Calibri"/>
          <w:color w:val="000000" w:themeColor="text1"/>
          <w:lang w:eastAsia="ar-SA"/>
        </w:rPr>
        <w:fldChar w:fldCharType="separate"/>
      </w:r>
      <w:r w:rsidR="004D0ABD" w:rsidRPr="004D0ABD">
        <w:rPr>
          <w:rFonts w:ascii="Times New Roman" w:hAnsi="Times New Roman" w:cs="Calibri"/>
          <w:noProof/>
          <w:color w:val="000000" w:themeColor="text1"/>
          <w:lang w:eastAsia="ar-SA"/>
        </w:rPr>
        <w:t>(Zhang et al., 2020)</w:t>
      </w:r>
      <w:r w:rsidR="004D0ABD">
        <w:rPr>
          <w:rFonts w:ascii="Times New Roman" w:hAnsi="Times New Roman" w:cs="Calibri"/>
          <w:color w:val="000000" w:themeColor="text1"/>
          <w:lang w:eastAsia="ar-SA"/>
        </w:rPr>
        <w:fldChar w:fldCharType="end"/>
      </w:r>
      <w:r w:rsidRPr="007E7EA6">
        <w:rPr>
          <w:rFonts w:ascii="Times New Roman" w:hAnsi="Times New Roman" w:cs="Calibri"/>
          <w:color w:val="000000" w:themeColor="text1"/>
          <w:lang w:eastAsia="ar-SA"/>
        </w:rPr>
        <w:t>.</w:t>
      </w:r>
    </w:p>
    <w:p w14:paraId="04A91684" w14:textId="602FD913" w:rsidR="00BD4EBC" w:rsidRPr="00C53022" w:rsidRDefault="00D01803" w:rsidP="00D01803">
      <w:pPr>
        <w:pStyle w:val="Heading2"/>
        <w:spacing w:before="240"/>
        <w:rPr>
          <w:rFonts w:eastAsia="SimSun"/>
          <w:lang w:bidi="hi-IN"/>
        </w:rPr>
      </w:pPr>
      <w:bookmarkStart w:id="98" w:name="_Toc65609801"/>
      <w:bookmarkStart w:id="99" w:name="_Toc70112694"/>
      <w:bookmarkStart w:id="100" w:name="_Toc70685716"/>
      <w:r>
        <w:rPr>
          <w:rStyle w:val="Heading2Char"/>
          <w:rFonts w:eastAsia="SimSun"/>
          <w:b/>
          <w:bCs/>
          <w:i/>
          <w:iCs/>
          <w:lang w:val="en-GB"/>
        </w:rPr>
        <w:t>6</w:t>
      </w:r>
      <w:r w:rsidRPr="004F336C">
        <w:rPr>
          <w:rStyle w:val="Heading2Char"/>
          <w:rFonts w:eastAsia="SimSun"/>
          <w:b/>
          <w:bCs/>
          <w:i/>
          <w:iCs/>
          <w:lang w:val="en-GB"/>
        </w:rPr>
        <w:t xml:space="preserve">. </w:t>
      </w:r>
      <w:bookmarkEnd w:id="98"/>
      <w:r w:rsidR="00182CF6">
        <w:rPr>
          <w:rStyle w:val="Heading2Char"/>
          <w:rFonts w:eastAsia="SimSun"/>
          <w:b/>
          <w:i/>
          <w:iCs/>
          <w:lang w:val="en-US"/>
        </w:rPr>
        <w:t xml:space="preserve">General </w:t>
      </w:r>
      <w:r>
        <w:rPr>
          <w:rStyle w:val="Heading2Char"/>
          <w:rFonts w:eastAsia="SimSun"/>
          <w:b/>
          <w:i/>
          <w:iCs/>
          <w:lang w:val="en-US"/>
        </w:rPr>
        <w:t>Biosafety Concerns Associated with Synthetic Biology Applications.</w:t>
      </w:r>
      <w:bookmarkEnd w:id="99"/>
      <w:bookmarkEnd w:id="100"/>
    </w:p>
    <w:p w14:paraId="2069BB0B" w14:textId="3BBF37CA" w:rsidR="003573A5" w:rsidRPr="003573A5" w:rsidRDefault="00182CF6" w:rsidP="003573A5">
      <w:pPr>
        <w:spacing w:before="120" w:after="120" w:line="240" w:lineRule="auto"/>
        <w:jc w:val="both"/>
        <w:rPr>
          <w:rFonts w:ascii="Times New Roman" w:hAnsi="Times New Roman"/>
          <w:color w:val="000000" w:themeColor="text1"/>
          <w:lang w:eastAsia="ar-SA"/>
        </w:rPr>
      </w:pPr>
      <w:r w:rsidRPr="00182CF6">
        <w:rPr>
          <w:rFonts w:ascii="Times New Roman" w:hAnsi="Times New Roman"/>
          <w:color w:val="000000" w:themeColor="text1"/>
          <w:lang w:eastAsia="ar-SA"/>
        </w:rPr>
        <w:t xml:space="preserve">While </w:t>
      </w:r>
      <w:r w:rsidR="00AE61E0">
        <w:rPr>
          <w:rFonts w:ascii="Times New Roman" w:hAnsi="Times New Roman"/>
          <w:color w:val="000000" w:themeColor="text1"/>
          <w:lang w:eastAsia="ar-SA"/>
        </w:rPr>
        <w:t>S</w:t>
      </w:r>
      <w:r w:rsidRPr="00182CF6">
        <w:rPr>
          <w:rFonts w:ascii="Times New Roman" w:hAnsi="Times New Roman"/>
          <w:color w:val="000000" w:themeColor="text1"/>
          <w:lang w:eastAsia="ar-SA"/>
        </w:rPr>
        <w:t>ection</w:t>
      </w:r>
      <w:r w:rsidR="00F874D0">
        <w:rPr>
          <w:rFonts w:ascii="Times New Roman" w:hAnsi="Times New Roman"/>
          <w:color w:val="000000" w:themeColor="text1"/>
          <w:lang w:eastAsia="ar-SA"/>
        </w:rPr>
        <w:t xml:space="preserve"> </w:t>
      </w:r>
      <w:r w:rsidR="00E40E5D">
        <w:rPr>
          <w:rFonts w:ascii="Times New Roman" w:hAnsi="Times New Roman"/>
          <w:color w:val="000000" w:themeColor="text1"/>
          <w:lang w:eastAsia="ar-SA"/>
        </w:rPr>
        <w:t>5</w:t>
      </w:r>
      <w:r w:rsidRPr="00182CF6">
        <w:rPr>
          <w:rFonts w:ascii="Times New Roman" w:hAnsi="Times New Roman"/>
          <w:color w:val="000000" w:themeColor="text1"/>
          <w:lang w:eastAsia="ar-SA"/>
        </w:rPr>
        <w:t xml:space="preserve"> provided examples on </w:t>
      </w:r>
      <w:r w:rsidR="004A6E29">
        <w:rPr>
          <w:rFonts w:ascii="Times New Roman" w:hAnsi="Times New Roman"/>
          <w:color w:val="000000" w:themeColor="text1"/>
          <w:lang w:eastAsia="ar-SA"/>
        </w:rPr>
        <w:t xml:space="preserve">the </w:t>
      </w:r>
      <w:r w:rsidRPr="00182CF6">
        <w:rPr>
          <w:rFonts w:ascii="Times New Roman" w:hAnsi="Times New Roman"/>
          <w:color w:val="000000" w:themeColor="text1"/>
          <w:lang w:eastAsia="ar-SA"/>
        </w:rPr>
        <w:t xml:space="preserve">potential impacts (positive or negative) associated with specific synthetic biology applications, this section focuses on general biosafety concerns related to the accidental or intentional release of organisms resulting from synthetic biology. These concerns and the way they </w:t>
      </w:r>
      <w:r w:rsidR="00C72EC1">
        <w:rPr>
          <w:rFonts w:ascii="Times New Roman" w:hAnsi="Times New Roman"/>
          <w:color w:val="000000" w:themeColor="text1"/>
          <w:lang w:eastAsia="ar-SA"/>
        </w:rPr>
        <w:t>may</w:t>
      </w:r>
      <w:r w:rsidRPr="00182CF6">
        <w:rPr>
          <w:rFonts w:ascii="Times New Roman" w:hAnsi="Times New Roman"/>
          <w:color w:val="000000" w:themeColor="text1"/>
          <w:lang w:eastAsia="ar-SA"/>
        </w:rPr>
        <w:t xml:space="preserve"> be addressed under biosafety systems will vary and depend on the type of organism, intended use and receiving environment. The suitability of existing risk assessment methodologies </w:t>
      </w:r>
      <w:r w:rsidR="00A72365">
        <w:rPr>
          <w:rFonts w:ascii="Times New Roman" w:hAnsi="Times New Roman"/>
          <w:color w:val="000000" w:themeColor="text1"/>
          <w:lang w:eastAsia="ar-SA"/>
        </w:rPr>
        <w:t>as well as potential management strategies are</w:t>
      </w:r>
      <w:r w:rsidRPr="00182CF6">
        <w:rPr>
          <w:rFonts w:ascii="Times New Roman" w:hAnsi="Times New Roman"/>
          <w:color w:val="000000" w:themeColor="text1"/>
          <w:lang w:eastAsia="ar-SA"/>
        </w:rPr>
        <w:t xml:space="preserve"> </w:t>
      </w:r>
      <w:r w:rsidR="00D505E6">
        <w:rPr>
          <w:rFonts w:ascii="Times New Roman" w:hAnsi="Times New Roman"/>
          <w:color w:val="000000" w:themeColor="text1"/>
          <w:lang w:eastAsia="ar-SA"/>
        </w:rPr>
        <w:t xml:space="preserve">also </w:t>
      </w:r>
      <w:r w:rsidRPr="00182CF6">
        <w:rPr>
          <w:rFonts w:ascii="Times New Roman" w:hAnsi="Times New Roman"/>
          <w:color w:val="000000" w:themeColor="text1"/>
          <w:lang w:eastAsia="ar-SA"/>
        </w:rPr>
        <w:t>discussed</w:t>
      </w:r>
      <w:r w:rsidR="00CD7A46">
        <w:rPr>
          <w:rFonts w:ascii="Times New Roman" w:hAnsi="Times New Roman"/>
          <w:color w:val="000000" w:themeColor="text1"/>
          <w:lang w:eastAsia="ar-SA"/>
        </w:rPr>
        <w:t>. The section</w:t>
      </w:r>
      <w:r w:rsidRPr="00182CF6">
        <w:rPr>
          <w:rFonts w:ascii="Times New Roman" w:hAnsi="Times New Roman"/>
          <w:color w:val="000000" w:themeColor="text1"/>
          <w:lang w:eastAsia="ar-SA"/>
        </w:rPr>
        <w:t xml:space="preserve"> does not intend to be a </w:t>
      </w:r>
      <w:r w:rsidR="004B7B75">
        <w:rPr>
          <w:rFonts w:ascii="Times New Roman" w:hAnsi="Times New Roman"/>
          <w:color w:val="000000" w:themeColor="text1"/>
          <w:lang w:eastAsia="ar-SA"/>
        </w:rPr>
        <w:t xml:space="preserve">comprehensive </w:t>
      </w:r>
      <w:r w:rsidRPr="00182CF6">
        <w:rPr>
          <w:rFonts w:ascii="Times New Roman" w:hAnsi="Times New Roman"/>
          <w:color w:val="000000" w:themeColor="text1"/>
          <w:lang w:eastAsia="ar-SA"/>
        </w:rPr>
        <w:t>list or guide of issues to be considered under any specific assessment, as every potential analysis will have to be done on a case-by-case bas</w:t>
      </w:r>
      <w:r w:rsidR="00D422AD">
        <w:rPr>
          <w:rFonts w:ascii="Times New Roman" w:hAnsi="Times New Roman"/>
          <w:color w:val="000000" w:themeColor="text1"/>
          <w:lang w:eastAsia="ar-SA"/>
        </w:rPr>
        <w:t>i</w:t>
      </w:r>
      <w:r w:rsidR="00CD7A46">
        <w:rPr>
          <w:rFonts w:ascii="Times New Roman" w:hAnsi="Times New Roman"/>
          <w:color w:val="000000" w:themeColor="text1"/>
          <w:lang w:eastAsia="ar-SA"/>
        </w:rPr>
        <w:t>s</w:t>
      </w:r>
      <w:r w:rsidRPr="00182CF6">
        <w:rPr>
          <w:rFonts w:ascii="Times New Roman" w:hAnsi="Times New Roman"/>
          <w:color w:val="000000" w:themeColor="text1"/>
          <w:lang w:eastAsia="ar-SA"/>
        </w:rPr>
        <w:t xml:space="preserve"> and in accordance with national and international regulations. </w:t>
      </w:r>
    </w:p>
    <w:p w14:paraId="2F301E87" w14:textId="73F6845C" w:rsidR="008C433F" w:rsidRDefault="00DF229D" w:rsidP="00EE15F4">
      <w:pPr>
        <w:pStyle w:val="Heading3"/>
        <w:rPr>
          <w:rFonts w:asciiTheme="majorBidi" w:eastAsia="SimSun" w:hAnsiTheme="majorBidi" w:cstheme="majorBidi"/>
          <w:b/>
          <w:bCs/>
          <w:lang w:val="en-US"/>
        </w:rPr>
      </w:pPr>
      <w:bookmarkStart w:id="101" w:name="_Toc70112695"/>
      <w:bookmarkStart w:id="102" w:name="_Toc70685717"/>
      <w:r w:rsidRPr="00E214A3">
        <w:rPr>
          <w:rFonts w:eastAsia="SimSun"/>
        </w:rPr>
        <w:t>6</w:t>
      </w:r>
      <w:r w:rsidR="008C433F" w:rsidRPr="00E214A3">
        <w:rPr>
          <w:rFonts w:eastAsia="SimSun"/>
        </w:rPr>
        <w:t>.1</w:t>
      </w:r>
      <w:r w:rsidR="005845B9" w:rsidRPr="00E214A3">
        <w:rPr>
          <w:rFonts w:eastAsia="SimSun"/>
        </w:rPr>
        <w:t>.</w:t>
      </w:r>
      <w:r w:rsidR="008C433F" w:rsidRPr="00E214A3">
        <w:rPr>
          <w:rFonts w:eastAsia="SimSun"/>
        </w:rPr>
        <w:t xml:space="preserve"> Adequacy of risk a</w:t>
      </w:r>
      <w:r w:rsidR="008C433F" w:rsidRPr="00E214A3">
        <w:rPr>
          <w:rFonts w:asciiTheme="majorBidi" w:eastAsia="SimSun" w:hAnsiTheme="majorBidi" w:cstheme="majorBidi"/>
          <w:lang w:val="en-US"/>
        </w:rPr>
        <w:t>ssessment methodologies</w:t>
      </w:r>
      <w:bookmarkEnd w:id="101"/>
      <w:bookmarkEnd w:id="102"/>
    </w:p>
    <w:p w14:paraId="07194FEF" w14:textId="7664C15C" w:rsidR="00DD454F" w:rsidRPr="00A5667D" w:rsidRDefault="008C433F">
      <w:pPr>
        <w:spacing w:before="120" w:after="120" w:line="240" w:lineRule="auto"/>
        <w:jc w:val="both"/>
        <w:rPr>
          <w:rFonts w:ascii="Times New Roman" w:hAnsi="Times New Roman"/>
          <w:color w:val="000000" w:themeColor="text1"/>
          <w:lang w:eastAsia="ar-SA"/>
        </w:rPr>
      </w:pPr>
      <w:r w:rsidRPr="528C05F3">
        <w:rPr>
          <w:rFonts w:ascii="Times New Roman" w:hAnsi="Times New Roman"/>
          <w:color w:val="000000" w:themeColor="text1"/>
          <w:lang w:eastAsia="ar-SA"/>
        </w:rPr>
        <w:t xml:space="preserve">The wide range of synthetic biology applications </w:t>
      </w:r>
      <w:r w:rsidR="00B61A51">
        <w:rPr>
          <w:rFonts w:ascii="Times New Roman" w:hAnsi="Times New Roman"/>
          <w:color w:val="000000" w:themeColor="text1"/>
          <w:lang w:eastAsia="ar-SA"/>
        </w:rPr>
        <w:t xml:space="preserve">under development (Section </w:t>
      </w:r>
      <w:r w:rsidR="00135D0E">
        <w:rPr>
          <w:rFonts w:ascii="Times New Roman" w:hAnsi="Times New Roman"/>
          <w:color w:val="000000" w:themeColor="text1"/>
          <w:lang w:eastAsia="ar-SA"/>
        </w:rPr>
        <w:t>3</w:t>
      </w:r>
      <w:r w:rsidR="00762221">
        <w:rPr>
          <w:rFonts w:ascii="Times New Roman" w:hAnsi="Times New Roman"/>
          <w:color w:val="000000" w:themeColor="text1"/>
          <w:lang w:eastAsia="ar-SA"/>
        </w:rPr>
        <w:t>.)</w:t>
      </w:r>
      <w:r w:rsidRPr="528C05F3">
        <w:rPr>
          <w:rFonts w:ascii="Times New Roman" w:hAnsi="Times New Roman"/>
          <w:color w:val="000000" w:themeColor="text1"/>
          <w:lang w:eastAsia="ar-SA"/>
        </w:rPr>
        <w:t xml:space="preserve"> exemplifies the different types and characteristics of such synthetic biology organisms and products. While some might present less complexity and novelty compared to those produced by other methods or those coming for example from genetic engineering (i.e</w:t>
      </w:r>
      <w:r w:rsidR="00B61A51">
        <w:rPr>
          <w:rFonts w:ascii="Times New Roman" w:hAnsi="Times New Roman"/>
          <w:color w:val="000000" w:themeColor="text1"/>
          <w:lang w:eastAsia="ar-SA"/>
        </w:rPr>
        <w:t>.</w:t>
      </w:r>
      <w:r w:rsidRPr="528C05F3">
        <w:rPr>
          <w:rFonts w:ascii="Times New Roman" w:hAnsi="Times New Roman"/>
          <w:color w:val="000000" w:themeColor="text1"/>
          <w:lang w:eastAsia="ar-SA"/>
        </w:rPr>
        <w:t xml:space="preserve"> LMOs), some might represent a completely new organism. Therefore, the adequacy of current methodologies for </w:t>
      </w:r>
      <w:r w:rsidR="00F62836">
        <w:rPr>
          <w:rFonts w:ascii="Times New Roman" w:hAnsi="Times New Roman"/>
          <w:color w:val="000000" w:themeColor="text1"/>
          <w:lang w:eastAsia="ar-SA"/>
        </w:rPr>
        <w:t xml:space="preserve">the </w:t>
      </w:r>
      <w:r w:rsidRPr="528C05F3">
        <w:rPr>
          <w:rFonts w:ascii="Times New Roman" w:hAnsi="Times New Roman"/>
          <w:color w:val="000000" w:themeColor="text1"/>
          <w:lang w:eastAsia="ar-SA"/>
        </w:rPr>
        <w:t>environmental risk assessment of synthetic biology products might depend on how the</w:t>
      </w:r>
      <w:r w:rsidR="001D4E96">
        <w:rPr>
          <w:rFonts w:ascii="Times New Roman" w:hAnsi="Times New Roman"/>
          <w:color w:val="000000" w:themeColor="text1"/>
          <w:lang w:eastAsia="ar-SA"/>
        </w:rPr>
        <w:t>ir</w:t>
      </w:r>
      <w:r w:rsidRPr="528C05F3">
        <w:rPr>
          <w:rFonts w:ascii="Times New Roman" w:hAnsi="Times New Roman"/>
          <w:color w:val="000000" w:themeColor="text1"/>
          <w:lang w:eastAsia="ar-SA"/>
        </w:rPr>
        <w:t xml:space="preserve"> novelty and complexity is perceived </w:t>
      </w:r>
      <w:bookmarkStart w:id="103" w:name="_Hlk66103923"/>
      <w:r w:rsidR="000061FB">
        <w:rPr>
          <w:rFonts w:ascii="Times New Roman" w:hAnsi="Times New Roman"/>
          <w:color w:val="000000" w:themeColor="text1"/>
          <w:lang w:eastAsia="ar-SA"/>
        </w:rPr>
        <w:fldChar w:fldCharType="begin" w:fldLock="1"/>
      </w:r>
      <w:r w:rsidR="000061FB">
        <w:rPr>
          <w:rFonts w:ascii="Times New Roman" w:hAnsi="Times New Roman"/>
          <w:color w:val="000000" w:themeColor="text1"/>
          <w:lang w:eastAsia="ar-SA"/>
        </w:rPr>
        <w:instrText>ADDIN CSL_CITATION {"citationItems":[{"id":"ITEM-1","itemData":{"author":[{"dropping-particle":"","family":"Wikmark","given":"Odd-Gunnar","non-dropping-particle":"","parse-names":false,"suffix":""},{"dropping-particle":"","family":"Brautaset","given":"Trygve","non-dropping-particle":"","parse-names":false,"suffix":""},{"dropping-particle":"","family":"Agapito-Tenfen","given":"Sarah Z.","non-dropping-particle":"","parse-names":false,"suffix":""},{"dropping-particle":"","family":"Okoli","given":"Arinze Stanley","non-dropping-particle":"","parse-names":false,"suffix":""},{"dropping-particle":"","family":"Myhr","given":"Anne Ingeborg","non-dropping-particle":"","parse-names":false,"suffix":""},{"dropping-particle":"","family":"Binimelis","given":"Rosa","non-dropping-particle":"","parse-names":false,"suffix":""},{"dropping-particle":"","family":"Ching","given":"Lim Li","non-dropping-particle":"","parse-names":false,"suffix":""}],"id":"ITEM-1","issued":{"date-parts":[["2016"]]},"page":"69","publisher-place":"Tromsø, Norway","title":"Synthetic biology - biosafety and contribution to addressing societal challenges","type":"article"},"uris":["http://www.mendeley.com/documents/?uuid=64aec23a-5fb9-4b20-9acb-1a4c7fa4ec07"]}],"mendeley":{"formattedCitation":"(Wikmark et al., 2016)","plainTextFormattedCitation":"(Wikmark et al., 2016)","previouslyFormattedCitation":"(Wikmark et al., 2016)"},"properties":{"noteIndex":0},"schema":"https://github.com/citation-style-language/schema/raw/master/csl-citation.json"}</w:instrText>
      </w:r>
      <w:r w:rsidR="000061FB">
        <w:rPr>
          <w:rFonts w:ascii="Times New Roman" w:hAnsi="Times New Roman"/>
          <w:color w:val="000000" w:themeColor="text1"/>
          <w:lang w:eastAsia="ar-SA"/>
        </w:rPr>
        <w:fldChar w:fldCharType="separate"/>
      </w:r>
      <w:r w:rsidR="000061FB" w:rsidRPr="000061FB">
        <w:rPr>
          <w:rFonts w:ascii="Times New Roman" w:hAnsi="Times New Roman"/>
          <w:noProof/>
          <w:color w:val="000000" w:themeColor="text1"/>
          <w:lang w:eastAsia="ar-SA"/>
        </w:rPr>
        <w:t>(Wikmark et al., 2016)</w:t>
      </w:r>
      <w:r w:rsidR="000061FB">
        <w:rPr>
          <w:rFonts w:ascii="Times New Roman" w:hAnsi="Times New Roman"/>
          <w:color w:val="000000" w:themeColor="text1"/>
          <w:lang w:eastAsia="ar-SA"/>
        </w:rPr>
        <w:fldChar w:fldCharType="end"/>
      </w:r>
      <w:bookmarkEnd w:id="103"/>
      <w:r w:rsidRPr="528C05F3">
        <w:rPr>
          <w:rFonts w:ascii="Times New Roman" w:hAnsi="Times New Roman"/>
          <w:color w:val="000000" w:themeColor="text1"/>
          <w:lang w:eastAsia="ar-SA"/>
        </w:rPr>
        <w:t>. Different methods and techniques of synthetic biology may need different forms and levels of oversight. Thus, any new risk assessments, cost-benefit analyses and regulations must flexibly encompass different applications, uses and products</w:t>
      </w:r>
      <w:r w:rsidRPr="0035301F">
        <w:rPr>
          <w:rFonts w:ascii="Times New Roman" w:hAnsi="Times New Roman"/>
          <w:color w:val="000000" w:themeColor="text1"/>
          <w:lang w:eastAsia="ar-SA"/>
        </w:rPr>
        <w:t xml:space="preserve"> </w:t>
      </w:r>
      <w:r w:rsidR="000061FB">
        <w:rPr>
          <w:rFonts w:ascii="Times New Roman" w:hAnsi="Times New Roman"/>
          <w:color w:val="000000" w:themeColor="text1"/>
          <w:lang w:eastAsia="ar-SA"/>
        </w:rPr>
        <w:fldChar w:fldCharType="begin" w:fldLock="1"/>
      </w:r>
      <w:r w:rsidR="00825187">
        <w:rPr>
          <w:rFonts w:ascii="Times New Roman" w:hAnsi="Times New Roman"/>
          <w:color w:val="000000" w:themeColor="text1"/>
          <w:lang w:eastAsia="ar-SA"/>
        </w:rPr>
        <w:instrText>ADDIN CSL_CITATION {"citationItems":[{"id":"ITEM-1","itemData":{"author":[{"dropping-particle":"","family":"ETC Group","given":"","non-dropping-particle":"","parse-names":false,"suffix":""}],"container-title":"Etc Group","id":"ITEM-1","issued":{"date-parts":[["2012"]]},"number-of-pages":"10","title":"Moving Beyond Technology Transfer : The Case for Technology Assessment","type":"report"},"uris":["http://www.mendeley.com/documents/?uuid=519e44a8-c992-46f2-83aa-98ffc9ecb3f8"]}],"mendeley":{"formattedCitation":"(ETC Group, 2012)","plainTextFormattedCitation":"(ETC Group, 2012)","previouslyFormattedCitation":"(ETC Group, 2012)"},"properties":{"noteIndex":0},"schema":"https://github.com/citation-style-language/schema/raw/master/csl-citation.json"}</w:instrText>
      </w:r>
      <w:r w:rsidR="000061FB">
        <w:rPr>
          <w:rFonts w:ascii="Times New Roman" w:hAnsi="Times New Roman"/>
          <w:color w:val="000000" w:themeColor="text1"/>
          <w:lang w:eastAsia="ar-SA"/>
        </w:rPr>
        <w:fldChar w:fldCharType="separate"/>
      </w:r>
      <w:r w:rsidR="000061FB" w:rsidRPr="000061FB">
        <w:rPr>
          <w:rFonts w:ascii="Times New Roman" w:hAnsi="Times New Roman"/>
          <w:noProof/>
          <w:color w:val="000000" w:themeColor="text1"/>
          <w:lang w:eastAsia="ar-SA"/>
        </w:rPr>
        <w:t>(ETC Group, 2012)</w:t>
      </w:r>
      <w:r w:rsidR="000061FB">
        <w:rPr>
          <w:rFonts w:ascii="Times New Roman" w:hAnsi="Times New Roman"/>
          <w:color w:val="000000" w:themeColor="text1"/>
          <w:lang w:eastAsia="ar-SA"/>
        </w:rPr>
        <w:fldChar w:fldCharType="end"/>
      </w:r>
      <w:r w:rsidR="0035301F">
        <w:rPr>
          <w:rFonts w:ascii="Times New Roman" w:hAnsi="Times New Roman"/>
          <w:color w:val="000000" w:themeColor="text1"/>
          <w:lang w:eastAsia="ar-SA"/>
        </w:rPr>
        <w:t>.</w:t>
      </w:r>
      <w:r w:rsidR="00913D89" w:rsidRPr="00A5667D">
        <w:rPr>
          <w:rFonts w:ascii="Times New Roman" w:hAnsi="Times New Roman"/>
          <w:color w:val="000000" w:themeColor="text1"/>
          <w:lang w:eastAsia="ar-SA"/>
        </w:rPr>
        <w:t xml:space="preserve"> </w:t>
      </w:r>
      <w:r w:rsidR="24F0965C" w:rsidRPr="00A5667D">
        <w:rPr>
          <w:rFonts w:ascii="Times New Roman" w:hAnsi="Times New Roman"/>
          <w:color w:val="000000" w:themeColor="text1"/>
          <w:lang w:eastAsia="ar-SA"/>
        </w:rPr>
        <w:t>An additional element for considerati</w:t>
      </w:r>
      <w:r w:rsidR="70236D33" w:rsidRPr="00A5667D">
        <w:rPr>
          <w:rFonts w:ascii="Times New Roman" w:hAnsi="Times New Roman"/>
          <w:color w:val="000000" w:themeColor="text1"/>
          <w:lang w:eastAsia="ar-SA"/>
        </w:rPr>
        <w:t>on in this regard may also be the appropriateness of a product</w:t>
      </w:r>
      <w:r w:rsidR="00642266">
        <w:rPr>
          <w:rFonts w:ascii="Times New Roman" w:hAnsi="Times New Roman"/>
          <w:color w:val="000000" w:themeColor="text1"/>
          <w:lang w:eastAsia="ar-SA"/>
        </w:rPr>
        <w:t>-</w:t>
      </w:r>
      <w:r w:rsidR="31529952" w:rsidRPr="00A5667D">
        <w:rPr>
          <w:rFonts w:ascii="Times New Roman" w:hAnsi="Times New Roman"/>
          <w:color w:val="000000" w:themeColor="text1"/>
          <w:lang w:eastAsia="ar-SA"/>
        </w:rPr>
        <w:t>based or process</w:t>
      </w:r>
      <w:r w:rsidR="00913D89" w:rsidRPr="00A5667D">
        <w:rPr>
          <w:rFonts w:ascii="Times New Roman" w:hAnsi="Times New Roman"/>
          <w:color w:val="000000" w:themeColor="text1"/>
          <w:lang w:eastAsia="ar-SA"/>
        </w:rPr>
        <w:t>-</w:t>
      </w:r>
      <w:r w:rsidR="31529952" w:rsidRPr="00A5667D">
        <w:rPr>
          <w:rFonts w:ascii="Times New Roman" w:hAnsi="Times New Roman"/>
          <w:color w:val="000000" w:themeColor="text1"/>
          <w:lang w:eastAsia="ar-SA"/>
        </w:rPr>
        <w:t xml:space="preserve">based approach to inform the risk assessment process </w:t>
      </w:r>
      <w:r w:rsidR="0000211B">
        <w:rPr>
          <w:rFonts w:ascii="Times New Roman" w:hAnsi="Times New Roman"/>
          <w:color w:val="000000" w:themeColor="text1"/>
          <w:lang w:eastAsia="ar-SA"/>
        </w:rPr>
        <w:fldChar w:fldCharType="begin" w:fldLock="1"/>
      </w:r>
      <w:r w:rsidR="00354BEE">
        <w:rPr>
          <w:rFonts w:ascii="Times New Roman" w:hAnsi="Times New Roman"/>
          <w:color w:val="000000" w:themeColor="text1"/>
          <w:lang w:eastAsia="ar-SA"/>
        </w:rPr>
        <w:instrText>ADDIN CSL_CITATION {"citationItems":[{"id":"ITEM-1","itemData":{"DOI":"10.17159/assaf.2016/0011","author":[{"dropping-particle":"","family":"Academy of Science of South Africa","given":"","non-dropping-particle":"","parse-names":false,"suffix":""}],"id":"ITEM-1","issued":{"date-parts":[["2016"]]},"title":"The Regulatory Implications of New Breeding Techniques","type":"report"},"uris":["http://www.mendeley.com/documents/?uuid=3bc0ffa2-4cee-4a36-b7d7-1435d2aa23f0"]}],"mendeley":{"formattedCitation":"(Academy of Science of South Africa, 2016)","plainTextFormattedCitation":"(Academy of Science of South Africa, 2016)","previouslyFormattedCitation":"(Academy of Science of South Africa, 2016)"},"properties":{"noteIndex":0},"schema":"https://github.com/citation-style-language/schema/raw/master/csl-citation.json"}</w:instrText>
      </w:r>
      <w:r w:rsidR="0000211B">
        <w:rPr>
          <w:rFonts w:ascii="Times New Roman" w:hAnsi="Times New Roman"/>
          <w:color w:val="000000" w:themeColor="text1"/>
          <w:lang w:eastAsia="ar-SA"/>
        </w:rPr>
        <w:fldChar w:fldCharType="separate"/>
      </w:r>
      <w:r w:rsidR="0000211B" w:rsidRPr="0000211B">
        <w:rPr>
          <w:rFonts w:ascii="Times New Roman" w:hAnsi="Times New Roman"/>
          <w:noProof/>
          <w:color w:val="000000" w:themeColor="text1"/>
          <w:lang w:eastAsia="ar-SA"/>
        </w:rPr>
        <w:t>(Academy of Science of South Africa, 2016)</w:t>
      </w:r>
      <w:r w:rsidR="0000211B">
        <w:rPr>
          <w:rFonts w:ascii="Times New Roman" w:hAnsi="Times New Roman"/>
          <w:color w:val="000000" w:themeColor="text1"/>
          <w:lang w:eastAsia="ar-SA"/>
        </w:rPr>
        <w:fldChar w:fldCharType="end"/>
      </w:r>
      <w:r w:rsidR="5A717F2E" w:rsidRPr="00A5667D">
        <w:rPr>
          <w:rFonts w:ascii="Times New Roman" w:hAnsi="Times New Roman"/>
          <w:color w:val="000000" w:themeColor="text1"/>
          <w:lang w:eastAsia="ar-SA"/>
        </w:rPr>
        <w:t>.</w:t>
      </w:r>
      <w:r w:rsidR="5FCE4BCA" w:rsidRPr="00A5667D">
        <w:rPr>
          <w:rFonts w:ascii="Times New Roman" w:hAnsi="Times New Roman"/>
          <w:color w:val="000000" w:themeColor="text1"/>
          <w:lang w:eastAsia="ar-SA"/>
        </w:rPr>
        <w:t xml:space="preserve"> </w:t>
      </w:r>
      <w:bookmarkStart w:id="104" w:name="_Hlk66114100"/>
    </w:p>
    <w:bookmarkEnd w:id="104"/>
    <w:p w14:paraId="5201D9D4" w14:textId="204DE00E" w:rsidR="008C433F" w:rsidRPr="00782BB0" w:rsidRDefault="008C433F" w:rsidP="00913D89">
      <w:pPr>
        <w:spacing w:before="120" w:after="120" w:line="240" w:lineRule="auto"/>
        <w:jc w:val="both"/>
        <w:rPr>
          <w:rFonts w:ascii="Times New Roman" w:hAnsi="Times New Roman"/>
          <w:color w:val="000000" w:themeColor="text1"/>
          <w:lang w:eastAsia="ar-SA"/>
        </w:rPr>
      </w:pPr>
      <w:r>
        <w:rPr>
          <w:rFonts w:ascii="Times New Roman" w:hAnsi="Times New Roman"/>
          <w:color w:val="000000" w:themeColor="text1"/>
          <w:lang w:eastAsia="ar-SA"/>
        </w:rPr>
        <w:t>Any requests for</w:t>
      </w:r>
      <w:r w:rsidRPr="00F72C18">
        <w:rPr>
          <w:rFonts w:ascii="Times New Roman" w:hAnsi="Times New Roman"/>
          <w:color w:val="000000" w:themeColor="text1"/>
          <w:lang w:eastAsia="ar-SA"/>
        </w:rPr>
        <w:t xml:space="preserve"> </w:t>
      </w:r>
      <w:r>
        <w:rPr>
          <w:rFonts w:ascii="Times New Roman" w:hAnsi="Times New Roman"/>
          <w:color w:val="000000" w:themeColor="text1"/>
          <w:lang w:eastAsia="ar-SA"/>
        </w:rPr>
        <w:t>synthetic biology applications</w:t>
      </w:r>
      <w:r w:rsidRPr="00F72C18">
        <w:rPr>
          <w:rFonts w:ascii="Times New Roman" w:hAnsi="Times New Roman"/>
          <w:color w:val="000000" w:themeColor="text1"/>
          <w:lang w:eastAsia="ar-SA"/>
        </w:rPr>
        <w:t xml:space="preserve"> </w:t>
      </w:r>
      <w:r>
        <w:rPr>
          <w:rFonts w:ascii="Times New Roman" w:hAnsi="Times New Roman"/>
          <w:color w:val="000000" w:themeColor="text1"/>
          <w:lang w:eastAsia="ar-SA"/>
        </w:rPr>
        <w:t xml:space="preserve">to be used in unmanaged or managed settings </w:t>
      </w:r>
      <w:r w:rsidRPr="00F72C18">
        <w:rPr>
          <w:rFonts w:ascii="Times New Roman" w:hAnsi="Times New Roman"/>
          <w:color w:val="000000" w:themeColor="text1"/>
          <w:lang w:eastAsia="ar-SA"/>
        </w:rPr>
        <w:t xml:space="preserve">will likely be </w:t>
      </w:r>
      <w:r>
        <w:rPr>
          <w:rFonts w:ascii="Times New Roman" w:hAnsi="Times New Roman"/>
          <w:color w:val="000000" w:themeColor="text1"/>
          <w:lang w:eastAsia="ar-SA"/>
        </w:rPr>
        <w:t>evaluated</w:t>
      </w:r>
      <w:r w:rsidRPr="00F72C18">
        <w:rPr>
          <w:rFonts w:ascii="Times New Roman" w:hAnsi="Times New Roman"/>
          <w:color w:val="000000" w:themeColor="text1"/>
          <w:lang w:eastAsia="ar-SA"/>
        </w:rPr>
        <w:t xml:space="preserve"> within a risk-based </w:t>
      </w:r>
      <w:r>
        <w:rPr>
          <w:rFonts w:ascii="Times New Roman" w:hAnsi="Times New Roman"/>
          <w:color w:val="000000" w:themeColor="text1"/>
          <w:lang w:eastAsia="ar-SA"/>
        </w:rPr>
        <w:t xml:space="preserve">regulatory </w:t>
      </w:r>
      <w:r w:rsidRPr="00F72C18">
        <w:rPr>
          <w:rFonts w:ascii="Times New Roman" w:hAnsi="Times New Roman"/>
          <w:color w:val="000000" w:themeColor="text1"/>
          <w:lang w:eastAsia="ar-SA"/>
        </w:rPr>
        <w:t>decision-making process. This process will be influenced by</w:t>
      </w:r>
      <w:r w:rsidR="004F128C">
        <w:rPr>
          <w:rFonts w:ascii="Times New Roman" w:hAnsi="Times New Roman"/>
          <w:color w:val="000000" w:themeColor="text1"/>
          <w:lang w:eastAsia="ar-SA"/>
        </w:rPr>
        <w:t>,</w:t>
      </w:r>
      <w:r w:rsidR="005E3DC3">
        <w:rPr>
          <w:rFonts w:ascii="Times New Roman" w:hAnsi="Times New Roman"/>
          <w:color w:val="000000" w:themeColor="text1"/>
          <w:lang w:eastAsia="ar-SA"/>
        </w:rPr>
        <w:t xml:space="preserve"> for instance</w:t>
      </w:r>
      <w:r w:rsidR="004F128C">
        <w:rPr>
          <w:rFonts w:ascii="Times New Roman" w:hAnsi="Times New Roman"/>
          <w:color w:val="000000" w:themeColor="text1"/>
          <w:lang w:eastAsia="ar-SA"/>
        </w:rPr>
        <w:t>,</w:t>
      </w:r>
      <w:r w:rsidRPr="00F72C18">
        <w:rPr>
          <w:rFonts w:ascii="Times New Roman" w:hAnsi="Times New Roman"/>
          <w:color w:val="000000" w:themeColor="text1"/>
          <w:lang w:eastAsia="ar-SA"/>
        </w:rPr>
        <w:t xml:space="preserve"> ethical, socio-cultural, epidemiological, ecological and economic considerations</w:t>
      </w:r>
      <w:r>
        <w:rPr>
          <w:rFonts w:ascii="Times New Roman" w:hAnsi="Times New Roman"/>
          <w:color w:val="000000" w:themeColor="text1"/>
          <w:lang w:eastAsia="ar-SA"/>
        </w:rPr>
        <w:t xml:space="preserve"> (see previous two sections)</w:t>
      </w:r>
      <w:r w:rsidRPr="00F72C18">
        <w:rPr>
          <w:rFonts w:ascii="Times New Roman" w:hAnsi="Times New Roman"/>
          <w:color w:val="000000" w:themeColor="text1"/>
          <w:lang w:eastAsia="ar-SA"/>
        </w:rPr>
        <w:t>, and the process should include mechanisms that facilitate the effective engagement of stakeholders and help integrate these considerations within the overall decision-making process</w:t>
      </w:r>
      <w:r>
        <w:rPr>
          <w:rFonts w:ascii="Times New Roman" w:hAnsi="Times New Roman"/>
          <w:color w:val="000000" w:themeColor="text1"/>
          <w:lang w:eastAsia="ar-SA"/>
        </w:rPr>
        <w:t xml:space="preserve"> </w:t>
      </w:r>
      <w:r w:rsidRPr="00DE2025">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{"citationItems":[{"id":"ITEM-1","itemData":{"DOI":"10.1080/23299460.2017.1415585","ISSN":"2329-9460","author":[{"dropping-particle":"","family":"Hayes","given":"Keith R.","non-dropping-particle":"","parse-names":false,"suffix":""},{"dropping-particle":"","family":"Hosack","given":"Geoffrey R.","non-dropping-particle":"","parse-names":false,"suffix":""},{"dropping-particle":"V.","family":"Dana","given":"Genya","non-dropping-particle":"","parse-names":false,"suffix":""},{"dropping-particle":"","family":"Foster","given":"Scott D.","non-dropping-particle":"","parse-names":false,"suffix":""},{"dropping-particle":"","family":"Ford","given":"Jessica H.","non-dropping-particle":"","parse-names":false,"suffix":""},{"dropping-particle":"","family":"Thresher","given":"Ron","non-dropping-particle":"","parse-names":false,"suffix":""},{"dropping-particle":"","family":"Ickowicz","given":"Adrien","non-dropping-particle":"","parse-names":false,"suffix":""},{"dropping-particle":"","family":"Peel","given":"David","non-dropping-particle":"","parse-names":false,"suffix":""},{"dropping-particle":"","family":"Tizard","given":"Mark","non-dropping-particle":"","parse-names":false,"suffix":""},{"dropping-particle":"","family":"Barro","given":"Paul","non-dropping-particle":"De","parse-names":false,"suffix":""},{"dropping-particle":"","family":"Strive","given":"Tanja","non-dropping-particle":"","parse-names":false,"suffix":""},{"dropping-particle":"","family":"Dambacher","given":"Jeffrey M.","non-dropping-particle":"","parse-names":false,"suffix":""}],"container-title":"Journal of Responsible Innovation","id":"ITEM-1","issue":"sup1","issued":{"date-parts":[["2018","1","24"]]},"page":"S139-S158","title":"Identifying and detecting potentially adverse ecological outcomes associated with the release of gene-drive modified organisms","type":"article-journal","volume":"5"},"uris":["http://www.mendeley.com/documents/?uuid=f1cdced8-11ce-41d6-aa54-5f672d1c8ae5"]}],"mendeley":{"formattedCitation":"(Hayes et al., 2018)","manualFormatting":"(Hayes et al., 2018; see Section 7)","plainTextFormattedCitation":"(Hayes et al., 2018)","previouslyFormattedCitation":"(Hayes et al., 2018)"},"properties":{"noteIndex":0},"schema":"https://github.com/citation-style-language/schema/raw/master/csl-citation.json"}</w:instrText>
      </w:r>
      <w:r w:rsidRPr="00DE2025">
        <w:rPr>
          <w:rFonts w:ascii="Times New Roman" w:hAnsi="Times New Roman"/>
          <w:color w:val="000000" w:themeColor="text1"/>
          <w:lang w:eastAsia="ar-SA"/>
        </w:rPr>
        <w:fldChar w:fldCharType="separate"/>
      </w:r>
      <w:r w:rsidRPr="005254FE">
        <w:rPr>
          <w:rFonts w:ascii="Times New Roman" w:hAnsi="Times New Roman"/>
          <w:noProof/>
          <w:color w:val="000000" w:themeColor="text1"/>
          <w:lang w:eastAsia="ar-SA"/>
        </w:rPr>
        <w:t xml:space="preserve">(Hayes et al., 2018; see </w:t>
      </w:r>
      <w:r w:rsidRPr="00782BB0">
        <w:rPr>
          <w:rFonts w:ascii="Times New Roman" w:hAnsi="Times New Roman"/>
          <w:noProof/>
          <w:color w:val="000000" w:themeColor="text1"/>
          <w:lang w:eastAsia="ar-SA"/>
        </w:rPr>
        <w:t xml:space="preserve">Section </w:t>
      </w:r>
      <w:r w:rsidR="00D67EFA">
        <w:rPr>
          <w:rFonts w:ascii="Times New Roman" w:hAnsi="Times New Roman"/>
          <w:noProof/>
          <w:color w:val="000000" w:themeColor="text1"/>
          <w:lang w:eastAsia="ar-SA"/>
        </w:rPr>
        <w:t>7</w:t>
      </w:r>
      <w:r w:rsidRPr="005254FE">
        <w:rPr>
          <w:rFonts w:ascii="Times New Roman" w:hAnsi="Times New Roman"/>
          <w:noProof/>
          <w:color w:val="000000" w:themeColor="text1"/>
          <w:lang w:eastAsia="ar-SA"/>
        </w:rPr>
        <w:t>)</w:t>
      </w:r>
      <w:r w:rsidRPr="00DE2025">
        <w:rPr>
          <w:rFonts w:ascii="Times New Roman" w:hAnsi="Times New Roman"/>
          <w:color w:val="000000" w:themeColor="text1"/>
          <w:lang w:eastAsia="ar-SA"/>
        </w:rPr>
        <w:fldChar w:fldCharType="end"/>
      </w:r>
      <w:r>
        <w:rPr>
          <w:rFonts w:ascii="Times New Roman" w:hAnsi="Times New Roman"/>
          <w:color w:val="000000" w:themeColor="text1"/>
          <w:lang w:eastAsia="ar-SA"/>
        </w:rPr>
        <w:t>. These applications are</w:t>
      </w:r>
      <w:r w:rsidRPr="00170305">
        <w:rPr>
          <w:rFonts w:ascii="Times New Roman" w:hAnsi="Times New Roman"/>
          <w:color w:val="000000" w:themeColor="text1"/>
          <w:lang w:eastAsia="ar-SA"/>
        </w:rPr>
        <w:t xml:space="preserve"> challeng</w:t>
      </w:r>
      <w:r>
        <w:rPr>
          <w:rFonts w:ascii="Times New Roman" w:hAnsi="Times New Roman"/>
          <w:color w:val="000000" w:themeColor="text1"/>
          <w:lang w:eastAsia="ar-SA"/>
        </w:rPr>
        <w:t>ing</w:t>
      </w:r>
      <w:r w:rsidRPr="00170305">
        <w:rPr>
          <w:rFonts w:ascii="Times New Roman" w:hAnsi="Times New Roman"/>
          <w:color w:val="000000" w:themeColor="text1"/>
          <w:lang w:eastAsia="ar-SA"/>
        </w:rPr>
        <w:t xml:space="preserve"> existing regulatory system</w:t>
      </w:r>
      <w:r>
        <w:rPr>
          <w:rFonts w:ascii="Times New Roman" w:hAnsi="Times New Roman"/>
          <w:color w:val="000000" w:themeColor="text1"/>
          <w:lang w:eastAsia="ar-SA"/>
        </w:rPr>
        <w:t>s</w:t>
      </w:r>
      <w:r w:rsidRPr="00170305">
        <w:rPr>
          <w:rFonts w:ascii="Times New Roman" w:hAnsi="Times New Roman"/>
          <w:color w:val="000000" w:themeColor="text1"/>
          <w:lang w:eastAsia="ar-SA"/>
        </w:rPr>
        <w:t xml:space="preserve"> in an unprecedented fashion</w:t>
      </w:r>
      <w:r>
        <w:rPr>
          <w:rFonts w:ascii="Times New Roman" w:hAnsi="Times New Roman"/>
          <w:color w:val="000000" w:themeColor="text1"/>
          <w:lang w:eastAsia="ar-SA"/>
        </w:rPr>
        <w:t xml:space="preserve"> due to the need</w:t>
      </w:r>
      <w:r w:rsidRPr="00170305">
        <w:rPr>
          <w:rFonts w:ascii="Times New Roman" w:hAnsi="Times New Roman"/>
          <w:color w:val="000000" w:themeColor="text1"/>
          <w:lang w:eastAsia="ar-SA"/>
        </w:rPr>
        <w:t xml:space="preserve"> to address novel risks and impacts, </w:t>
      </w:r>
      <w:r>
        <w:rPr>
          <w:rFonts w:ascii="Times New Roman" w:hAnsi="Times New Roman"/>
          <w:color w:val="000000" w:themeColor="text1"/>
          <w:lang w:eastAsia="ar-SA"/>
        </w:rPr>
        <w:t xml:space="preserve">the </w:t>
      </w:r>
      <w:r w:rsidRPr="00170305">
        <w:rPr>
          <w:rFonts w:ascii="Times New Roman" w:hAnsi="Times New Roman"/>
          <w:color w:val="000000" w:themeColor="text1"/>
          <w:lang w:eastAsia="ar-SA"/>
        </w:rPr>
        <w:t xml:space="preserve">high levels of uncertainty and </w:t>
      </w:r>
      <w:r>
        <w:rPr>
          <w:rFonts w:ascii="Times New Roman" w:hAnsi="Times New Roman"/>
          <w:color w:val="000000" w:themeColor="text1"/>
          <w:lang w:eastAsia="ar-SA"/>
        </w:rPr>
        <w:t xml:space="preserve">currently </w:t>
      </w:r>
      <w:r w:rsidRPr="00170305">
        <w:rPr>
          <w:rFonts w:ascii="Times New Roman" w:hAnsi="Times New Roman"/>
          <w:color w:val="000000" w:themeColor="text1"/>
          <w:lang w:eastAsia="ar-SA"/>
        </w:rPr>
        <w:t>untested mechanisms for observation and monitoring</w:t>
      </w:r>
      <w:r>
        <w:rPr>
          <w:rFonts w:ascii="Times New Roman" w:hAnsi="Times New Roman"/>
          <w:color w:val="000000" w:themeColor="text1"/>
          <w:lang w:eastAsia="ar-SA"/>
        </w:rPr>
        <w:t xml:space="preserve"> (Duensing et al. 2018)</w:t>
      </w:r>
      <w:r w:rsidRPr="00170305">
        <w:rPr>
          <w:rFonts w:ascii="Times New Roman" w:hAnsi="Times New Roman"/>
          <w:color w:val="000000" w:themeColor="text1"/>
          <w:lang w:eastAsia="ar-SA"/>
        </w:rPr>
        <w:t>. T</w:t>
      </w:r>
      <w:r>
        <w:rPr>
          <w:rFonts w:ascii="Times New Roman" w:hAnsi="Times New Roman"/>
          <w:color w:val="000000" w:themeColor="text1"/>
          <w:lang w:eastAsia="ar-SA"/>
        </w:rPr>
        <w:t>ogether, t</w:t>
      </w:r>
      <w:r w:rsidRPr="00170305">
        <w:rPr>
          <w:rFonts w:ascii="Times New Roman" w:hAnsi="Times New Roman"/>
          <w:color w:val="000000" w:themeColor="text1"/>
          <w:lang w:eastAsia="ar-SA"/>
        </w:rPr>
        <w:t>h</w:t>
      </w:r>
      <w:r>
        <w:rPr>
          <w:rFonts w:ascii="Times New Roman" w:hAnsi="Times New Roman"/>
          <w:color w:val="000000" w:themeColor="text1"/>
          <w:lang w:eastAsia="ar-SA"/>
        </w:rPr>
        <w:t>e</w:t>
      </w:r>
      <w:r w:rsidRPr="00170305">
        <w:rPr>
          <w:rFonts w:ascii="Times New Roman" w:hAnsi="Times New Roman"/>
          <w:color w:val="000000" w:themeColor="text1"/>
          <w:lang w:eastAsia="ar-SA"/>
        </w:rPr>
        <w:t>s</w:t>
      </w:r>
      <w:r>
        <w:rPr>
          <w:rFonts w:ascii="Times New Roman" w:hAnsi="Times New Roman"/>
          <w:color w:val="000000" w:themeColor="text1"/>
          <w:lang w:eastAsia="ar-SA"/>
        </w:rPr>
        <w:t>e</w:t>
      </w:r>
      <w:r w:rsidRPr="00170305">
        <w:rPr>
          <w:rFonts w:ascii="Times New Roman" w:hAnsi="Times New Roman"/>
          <w:color w:val="000000" w:themeColor="text1"/>
          <w:lang w:eastAsia="ar-SA"/>
        </w:rPr>
        <w:t xml:space="preserve"> </w:t>
      </w:r>
      <w:r>
        <w:rPr>
          <w:rFonts w:ascii="Times New Roman" w:hAnsi="Times New Roman"/>
          <w:color w:val="000000" w:themeColor="text1"/>
          <w:lang w:eastAsia="ar-SA"/>
        </w:rPr>
        <w:t>are</w:t>
      </w:r>
      <w:r w:rsidRPr="00170305">
        <w:rPr>
          <w:rFonts w:ascii="Times New Roman" w:hAnsi="Times New Roman"/>
          <w:color w:val="000000" w:themeColor="text1"/>
          <w:lang w:eastAsia="ar-SA"/>
        </w:rPr>
        <w:t xml:space="preserve"> compounded by the ever-increasing pace of development of these technologies </w:t>
      </w:r>
      <w:r>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{"citationItems":[{"id":"ITEM-1","itemData":{"DOI":"10.1016/j.envsci.2019.04.016","ISSN":"18736416","abstract":"Coral reef restoration is gaining considerable momentum globally in response to climate change and other anthropogenic impacts on coral reefs. In Australia, as part of the Reef Restoration and Adaptation Program (RRAP), a range of unconventional interventions are currently being investigated to help the Great Barrier Reef resist, repair and recover from climate change. Many of these interventions are based on innovative approaches, such as assisted evolution. The regulatory environment is likely to be critical in determining the feasibility and viability of reef restoration and adaptation interventions. It influences what, where and how to restore, who should be responsible for, engaged in, and benefit from restoration. This study explores the regulatory implications of proposed restoration and adaptation interventions in the context of the Great Barrier Reef. This includes mapping the existing regulatory and governance landscape, establishing an approach to account for regulatory requirements of restoration and adaptation interventions, and examining regulatory issues associated with their development and deployment. The study also scopes administrative capacity; i.e., the capacity of regulators in terms of resources and skills required to assess novel risks and impacts of reef restoration and adaptation interventions. It provides important insights that may prove useful for other jurisdictions, where ecosystem restoration and adaptation has become an imperative under a fast-changing climate.","author":[{"dropping-particle":"","family":"Fidelman","given":"P.","non-dropping-particle":"","parse-names":false,"suffix":""},{"dropping-particle":"","family":"McGrath","given":"C.","non-dropping-particle":"","parse-names":false,"suffix":""},{"dropping-particle":"","family":"Newlands","given":"Maxine","non-dropping-particle":"","parse-names":false,"suffix":""},{"dropping-particle":"","family":"Dobbs","given":"Kirstin","non-dropping-particle":"","parse-names":false,"suffix":""},{"dropping-particle":"","family":"Jago","given":"Belinda","non-dropping-particle":"","parse-names":false,"suffix":""},{"dropping-particle":"","family":"Hussey","given":"K.","non-dropping-particle":"","parse-names":false,"suffix":""}],"container-title":"Environmental Science and Policy","id":"ITEM-1","issued":{"date-parts":[["2019","10"]]},"page":"221-229","publisher":"Elsevier Ltd","title":"Regulatory implications of coral reef restoration and adaptation under a changing climate","type":"article-journal","volume":"100"},"uris":["http://www.mendeley.com/documents/?uuid=87d270ef-76f2-43be-96bd-3939e2bea9de"]}],"mendeley":{"formattedCitation":"(Fidelman et al., 2019)","plainTextFormattedCitation":"(Fidelman et al., 2019)","previouslyFormattedCitation":"(Fidelman et al., 2019)"},"properties":{"noteIndex":0},"schema":"https://github.com/citation-style-language/schema/raw/master/csl-citation.json"}</w:instrText>
      </w:r>
      <w:r>
        <w:rPr>
          <w:rFonts w:ascii="Times New Roman" w:hAnsi="Times New Roman"/>
          <w:color w:val="000000" w:themeColor="text1"/>
          <w:lang w:eastAsia="ar-SA"/>
        </w:rPr>
        <w:fldChar w:fldCharType="separate"/>
      </w:r>
      <w:r w:rsidRPr="00C24666">
        <w:rPr>
          <w:rFonts w:ascii="Times New Roman" w:hAnsi="Times New Roman"/>
          <w:noProof/>
          <w:color w:val="000000" w:themeColor="text1"/>
          <w:lang w:eastAsia="ar-SA"/>
        </w:rPr>
        <w:t>(Fidelman et al., 2019)</w:t>
      </w:r>
      <w:r>
        <w:rPr>
          <w:rFonts w:ascii="Times New Roman" w:hAnsi="Times New Roman"/>
          <w:color w:val="000000" w:themeColor="text1"/>
          <w:lang w:eastAsia="ar-SA"/>
        </w:rPr>
        <w:fldChar w:fldCharType="end"/>
      </w:r>
      <w:r w:rsidRPr="00170305">
        <w:rPr>
          <w:rFonts w:ascii="Times New Roman" w:hAnsi="Times New Roman"/>
          <w:color w:val="000000" w:themeColor="text1"/>
          <w:lang w:eastAsia="ar-SA"/>
        </w:rPr>
        <w:t>.</w:t>
      </w:r>
      <w:r>
        <w:rPr>
          <w:rFonts w:ascii="Times New Roman" w:hAnsi="Times New Roman"/>
          <w:color w:val="000000" w:themeColor="text1"/>
          <w:lang w:eastAsia="ar-SA"/>
        </w:rPr>
        <w:t xml:space="preserve"> To date, regulatory</w:t>
      </w:r>
      <w:r w:rsidRPr="00D175A9">
        <w:rPr>
          <w:rFonts w:ascii="Times New Roman" w:hAnsi="Times New Roman"/>
          <w:color w:val="000000" w:themeColor="text1"/>
          <w:lang w:eastAsia="ar-SA"/>
        </w:rPr>
        <w:t xml:space="preserve"> practice</w:t>
      </w:r>
      <w:r>
        <w:rPr>
          <w:rFonts w:ascii="Times New Roman" w:hAnsi="Times New Roman"/>
          <w:color w:val="000000" w:themeColor="text1"/>
          <w:lang w:eastAsia="ar-SA"/>
        </w:rPr>
        <w:t>s have</w:t>
      </w:r>
      <w:r w:rsidRPr="00D175A9">
        <w:rPr>
          <w:rFonts w:ascii="Times New Roman" w:hAnsi="Times New Roman"/>
          <w:color w:val="000000" w:themeColor="text1"/>
          <w:lang w:eastAsia="ar-SA"/>
        </w:rPr>
        <w:t xml:space="preserve"> relie</w:t>
      </w:r>
      <w:r>
        <w:rPr>
          <w:rFonts w:ascii="Times New Roman" w:hAnsi="Times New Roman"/>
          <w:color w:val="000000" w:themeColor="text1"/>
          <w:lang w:eastAsia="ar-SA"/>
        </w:rPr>
        <w:t>d</w:t>
      </w:r>
      <w:r w:rsidRPr="00D175A9">
        <w:rPr>
          <w:rFonts w:ascii="Times New Roman" w:hAnsi="Times New Roman"/>
          <w:color w:val="000000" w:themeColor="text1"/>
          <w:lang w:eastAsia="ar-SA"/>
        </w:rPr>
        <w:t xml:space="preserve"> upon risk assessment to quantify</w:t>
      </w:r>
      <w:r>
        <w:rPr>
          <w:rFonts w:ascii="Times New Roman" w:hAnsi="Times New Roman"/>
          <w:color w:val="000000" w:themeColor="text1"/>
          <w:lang w:eastAsia="ar-SA"/>
        </w:rPr>
        <w:t xml:space="preserve"> </w:t>
      </w:r>
      <w:r w:rsidRPr="00D175A9">
        <w:rPr>
          <w:rFonts w:ascii="Times New Roman" w:hAnsi="Times New Roman"/>
          <w:color w:val="000000" w:themeColor="text1"/>
          <w:lang w:eastAsia="ar-SA"/>
        </w:rPr>
        <w:t xml:space="preserve">the risks of materials and technologies and upon management to </w:t>
      </w:r>
      <w:r>
        <w:rPr>
          <w:rFonts w:ascii="Times New Roman" w:hAnsi="Times New Roman"/>
          <w:color w:val="000000" w:themeColor="text1"/>
          <w:lang w:eastAsia="ar-SA"/>
        </w:rPr>
        <w:t>restrict</w:t>
      </w:r>
      <w:r w:rsidRPr="00D175A9">
        <w:rPr>
          <w:rFonts w:ascii="Times New Roman" w:hAnsi="Times New Roman"/>
          <w:color w:val="000000" w:themeColor="text1"/>
          <w:lang w:eastAsia="ar-SA"/>
        </w:rPr>
        <w:t xml:space="preserve"> risks</w:t>
      </w:r>
      <w:r w:rsidRPr="001A25C0">
        <w:rPr>
          <w:rFonts w:ascii="Times New Roman" w:hAnsi="Times New Roman"/>
          <w:color w:val="000000" w:themeColor="text1"/>
          <w:lang w:eastAsia="ar-SA"/>
        </w:rPr>
        <w:t xml:space="preserve"> </w:t>
      </w:r>
      <w:r w:rsidRPr="00D175A9">
        <w:rPr>
          <w:rFonts w:ascii="Times New Roman" w:hAnsi="Times New Roman"/>
          <w:color w:val="000000" w:themeColor="text1"/>
          <w:lang w:eastAsia="ar-SA"/>
        </w:rPr>
        <w:t>to acceptable levels, typically by limiting exposure of</w:t>
      </w:r>
      <w:r>
        <w:rPr>
          <w:rFonts w:ascii="Times New Roman" w:hAnsi="Times New Roman"/>
          <w:color w:val="000000" w:themeColor="text1"/>
          <w:lang w:eastAsia="ar-SA"/>
        </w:rPr>
        <w:t xml:space="preserve"> h</w:t>
      </w:r>
      <w:r w:rsidRPr="00D175A9">
        <w:rPr>
          <w:rFonts w:ascii="Times New Roman" w:hAnsi="Times New Roman"/>
          <w:color w:val="000000" w:themeColor="text1"/>
          <w:lang w:eastAsia="ar-SA"/>
        </w:rPr>
        <w:t xml:space="preserve">umans and environmental receptors </w:t>
      </w:r>
      <w:r>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{"citationItems":[{"id":"ITEM-1","itemData":{"DOI":"10.1007/s10669-018-9686-5","ISSN":"21945411","abstract":"Various emerging technologies challenge existing governance processes to identify, assess, and manage risk. Though the existing risk-based paradigm has been essential for assessment of many chemical, biological, radiological, and nuclear technologies, a complementary approach may be warranted for the early-stage assessment and management challenges of high uncertainty technologies ranging from nanotechnology to synthetic biology to artificial intelligence, among many others. This paper argues for a risk governance approach that integrates quantitative experimental information alongside qualitative expert insight to characterize and balance the risks, benefits, costs, and societal implications of emerging technologies. Various articles in scholarly literature have highlighted differing points of how to address technological uncertainty, and this article builds upon such knowledge to explain how an emerging technology risk governance process should be driven by a multi-stakeholder effort, incorporate various disparate sources of information, review various endpoints and outcomes, and comparatively assess emerging technology performance against existing conventional products in a given application area. At least in the early stages of development when quantitative data for risk assessment remain incomplete or limited, such an approach can be valuable for policymakers and decision makers to evaluate the impact that such technologies may have upon human and environmental health.","author":[{"dropping-particle":"","family":"Linkov","given":"Igor","non-dropping-particle":"","parse-names":false,"suffix":""},{"dropping-particle":"","family":"Trump","given":"Benjamin D.","non-dropping-particle":"","parse-names":false,"suffix":""},{"dropping-particle":"","family":"Anklam","given":"Elke","non-dropping-particle":"","parse-names":false,"suffix":""},{"dropping-particle":"","family":"Berube","given":"David","non-dropping-particle":"","parse-names":false,"suffix":""},{"dropping-particle":"","family":"Boisseasu","given":"Patrick","non-dropping-particle":"","parse-names":false,"suffix":""},{"dropping-particle":"","family":"Cummings","given":"Christopher","non-dropping-particle":"","parse-names":false,"suffix":""},{"dropping-particle":"","family":"Ferson","given":"Scott","non-dropping-particle":"","parse-names":false,"suffix":""},{"dropping-particle":"","family":"Florin","given":"Marie Valentine","non-dropping-particle":"","parse-names":false,"suffix":""},{"dropping-particle":"","family":"Goldstein","given":"Bernard","non-dropping-particle":"","parse-names":false,"suffix":""},{"dropping-particle":"","family":"Hristozov","given":"Danail","non-dropping-particle":"","parse-names":false,"suffix":""},{"dropping-particle":"","family":"Jensen","given":"Keld Alstrup","non-dropping-particle":"","parse-names":false,"suffix":""},{"dropping-particle":"","family":"Katalagarianakis","given":"Georgios","non-dropping-particle":"","parse-names":false,"suffix":""},{"dropping-particle":"","family":"Kuzma","given":"Jennifer","non-dropping-particle":"","parse-names":false,"suffix":""},{"dropping-particle":"","family":"Lambert","given":"James H.","non-dropping-particle":"","parse-names":false,"suffix":""},{"dropping-particle":"","family":"Malloy","given":"Timothy","non-dropping-particle":"","parse-names":false,"suffix":""},{"dropping-particle":"","family":"Malsch","given":"Ineke","non-dropping-particle":"","parse-names":false,"suffix":""},{"dropping-particle":"","family":"Marcomini","given":"Antonio","non-dropping-particle":"","parse-names":false,"suffix":""},{"dropping-particle":"","family":"Merad","given":"Myriam","non-dropping-particle":"","parse-names":false,"suffix":""},{"dropping-particle":"","family":"Palma-Oliveira","given":"José","non-dropping-particle":"","parse-names":false,"suffix":""},{"dropping-particle":"","family":"Perkins","given":"Edward","non-dropping-particle":"","parse-names":false,"suffix":""},{"dropping-particle":"","family":"Renn","given":"Ortwin","non-dropping-particle":"","parse-names":false,"suffix":""},{"dropping-particle":"","family":"Seager","given":"Thomas","non-dropping-particle":"","parse-names":false,"suffix":""},{"dropping-particle":"","family":"Stone","given":"Vicki","non-dropping-particle":"","parse-names":false,"suffix":""},{"dropping-particle":"","family":"Vallero","given":"Daniel","non-dropping-particle":"","parse-names":false,"suffix":""},{"dropping-particle":"","family":"Vermeire","given":"Theo","non-dropping-particle":"","parse-names":false,"suffix":""}],"container-title":"Environment Systems and Decisions","id":"ITEM-1","issue":"2","issued":{"date-parts":[["2018","6"]]},"page":"170-176","publisher":"Springer New York LLC","title":"Comparative, collaborative, and integrative risk governance for emerging technologies","type":"article-journal","volume":"38"},"uris":["http://www.mendeley.com/documents/?uuid=2599ecd5-133d-4ec5-a965-f6609bafa23b"]}],"mendeley":{"formattedCitation":"(Linkov et al., 2018)","plainTextFormattedCitation":"(Linkov et al., 2018)","previouslyFormattedCitation":"(Linkov et al., 2018)"},"properties":{"noteIndex":0},"schema":"https://github.com/citation-style-language/schema/raw/master/csl-citation.json"}</w:instrText>
      </w:r>
      <w:r>
        <w:rPr>
          <w:rFonts w:ascii="Times New Roman" w:hAnsi="Times New Roman"/>
          <w:color w:val="000000" w:themeColor="text1"/>
          <w:lang w:eastAsia="ar-SA"/>
        </w:rPr>
        <w:fldChar w:fldCharType="separate"/>
      </w:r>
      <w:r w:rsidRPr="00021506">
        <w:rPr>
          <w:rFonts w:ascii="Times New Roman" w:hAnsi="Times New Roman"/>
          <w:noProof/>
          <w:color w:val="000000" w:themeColor="text1"/>
          <w:lang w:eastAsia="ar-SA"/>
        </w:rPr>
        <w:t>(Linkov et al., 2018)</w:t>
      </w:r>
      <w:r>
        <w:rPr>
          <w:rFonts w:ascii="Times New Roman" w:hAnsi="Times New Roman"/>
          <w:color w:val="000000" w:themeColor="text1"/>
          <w:lang w:eastAsia="ar-SA"/>
        </w:rPr>
        <w:fldChar w:fldCharType="end"/>
      </w:r>
      <w:r>
        <w:rPr>
          <w:rFonts w:ascii="Times New Roman" w:hAnsi="Times New Roman"/>
          <w:color w:val="000000" w:themeColor="text1"/>
          <w:lang w:eastAsia="ar-SA"/>
        </w:rPr>
        <w:t>.</w:t>
      </w:r>
      <w:r w:rsidRPr="36140518">
        <w:rPr>
          <w:rFonts w:ascii="Times New Roman" w:hAnsi="Times New Roman"/>
          <w:color w:val="000000" w:themeColor="text1"/>
          <w:lang w:eastAsia="ar-SA"/>
        </w:rPr>
        <w:t xml:space="preserve"> </w:t>
      </w:r>
      <w:r>
        <w:rPr>
          <w:rFonts w:ascii="Times New Roman" w:hAnsi="Times New Roman"/>
          <w:color w:val="000000" w:themeColor="text1"/>
          <w:lang w:eastAsia="ar-SA"/>
        </w:rPr>
        <w:t>However, t</w:t>
      </w:r>
      <w:r w:rsidRPr="36140518">
        <w:rPr>
          <w:rFonts w:ascii="Times New Roman" w:hAnsi="Times New Roman"/>
          <w:color w:val="000000" w:themeColor="text1"/>
          <w:lang w:eastAsia="ar-SA"/>
        </w:rPr>
        <w:t xml:space="preserve">he degree to which a risk is acceptable </w:t>
      </w:r>
      <w:r w:rsidRPr="00DF08CC">
        <w:rPr>
          <w:rFonts w:ascii="Times New Roman" w:hAnsi="Times New Roman"/>
          <w:color w:val="000000" w:themeColor="text1"/>
          <w:lang w:eastAsia="ar-SA"/>
        </w:rPr>
        <w:t>cannot be determined purely scientifically</w:t>
      </w:r>
      <w:r>
        <w:rPr>
          <w:rFonts w:ascii="Times New Roman" w:hAnsi="Times New Roman"/>
          <w:color w:val="000000" w:themeColor="text1"/>
          <w:lang w:eastAsia="ar-SA"/>
        </w:rPr>
        <w:t>;</w:t>
      </w:r>
      <w:r w:rsidRPr="00DF08CC">
        <w:rPr>
          <w:rFonts w:ascii="Times New Roman" w:hAnsi="Times New Roman"/>
          <w:color w:val="000000" w:themeColor="text1"/>
          <w:lang w:eastAsia="ar-SA"/>
        </w:rPr>
        <w:t xml:space="preserve"> science can predict the likelihood of certain effects, but non-scientific criteria must be included in the process of judging their acceptability</w:t>
      </w:r>
      <w:r>
        <w:rPr>
          <w:rFonts w:ascii="Times New Roman" w:hAnsi="Times New Roman"/>
          <w:color w:val="000000" w:themeColor="text1"/>
          <w:lang w:eastAsia="ar-SA"/>
        </w:rPr>
        <w:t xml:space="preserve"> </w:t>
      </w:r>
      <w:r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{"citationItems":[{"id":"ITEM-1","itemData":{"DOI":"10.1016/j.tplants.2006.11.004","ISSN":"13601385","PMID":"17161972","abstract":"The debate concerning genetically modified crops illustrates confusion between the role of scientists and that of wider society in regulatory decision making. We identify two fundamental misunderstandings, which, if rectified, would allow progress with confidence. First, scientific risk assessment needs to test well-defined hypotheses, not simply collect data. Second, risk assessments need to be placed in the wider context of risk analysis to enable the wider 'non-scientific' questions to be considered in regulatory decision making. Such integration and understanding is urgently required because the challenges to regulation will escalate as scientific progress advances. © 2006 Elsevier Ltd. All rights reserved.","author":[{"dropping-particle":"","family":"Johnson","given":"Katy L.","non-dropping-particle":"","parse-names":false,"suffix":""},{"dropping-particle":"","family":"Raybould","given":"Alan F.","non-dropping-particle":"","parse-names":false,"suffix":""},{"dropping-particle":"","family":"Hudson","given":"Malcolm D.","non-dropping-particle":"","parse-names":false,"suffix":""},{"dropping-particle":"","family":"Poppy","given":"Guy M.","non-dropping-particle":"","parse-names":false,"suffix":""}],"container-title":"Trends in Plant Science","id":"ITEM-1","issue":"1","issued":{"date-parts":[["2007","1"]]},"page":"1-5","publisher":"Elsevier Current Trends","title":"How does scientific risk assessment of GM crops fit within the wider risk analysis?","type":"article-journal","volume":"12"},"uris":["http://www.mendeley.com/documents/?uuid=4d003c2b-5346-41e1-a117-76a661e37fd1"]}],"mendeley":{"formattedCitation":"(Johnson et al., 2007)","plainTextFormattedCitation":"(Johnson et al., 2007)","previouslyFormattedCitation":"(Johnson et al., 2007)"},"properties":{"noteIndex":0},"schema":"https://github.com/citation-style-language/schema/raw/master/csl-citation.json"}</w:instrText>
      </w:r>
      <w:r w:rsidRPr="00121D97">
        <w:rPr>
          <w:rFonts w:ascii="Times New Roman" w:hAnsi="Times New Roman"/>
          <w:color w:val="000000" w:themeColor="text1"/>
          <w:lang w:eastAsia="ar-SA"/>
        </w:rPr>
        <w:fldChar w:fldCharType="separate"/>
      </w:r>
      <w:r w:rsidRPr="00AD1158">
        <w:rPr>
          <w:rFonts w:ascii="Times New Roman" w:hAnsi="Times New Roman"/>
          <w:noProof/>
          <w:color w:val="000000" w:themeColor="text1"/>
          <w:lang w:eastAsia="ar-SA"/>
        </w:rPr>
        <w:t>(Johnson et al., 2007)</w:t>
      </w:r>
      <w:r w:rsidRPr="00121D97">
        <w:rPr>
          <w:rFonts w:ascii="Times New Roman" w:hAnsi="Times New Roman"/>
          <w:color w:val="000000" w:themeColor="text1"/>
          <w:lang w:eastAsia="ar-SA"/>
        </w:rPr>
        <w:fldChar w:fldCharType="end"/>
      </w:r>
      <w:r>
        <w:rPr>
          <w:rFonts w:ascii="Times New Roman" w:hAnsi="Times New Roman"/>
          <w:color w:val="000000" w:themeColor="text1"/>
          <w:lang w:eastAsia="ar-SA"/>
        </w:rPr>
        <w:t>.</w:t>
      </w:r>
      <w:r w:rsidRPr="00DF08CC">
        <w:rPr>
          <w:rFonts w:ascii="Times New Roman" w:hAnsi="Times New Roman"/>
          <w:color w:val="000000" w:themeColor="text1"/>
          <w:lang w:eastAsia="ar-SA"/>
        </w:rPr>
        <w:t xml:space="preserve"> </w:t>
      </w:r>
      <w:r>
        <w:rPr>
          <w:rFonts w:ascii="Times New Roman" w:hAnsi="Times New Roman"/>
          <w:color w:val="000000" w:themeColor="text1"/>
          <w:lang w:eastAsia="ar-SA"/>
        </w:rPr>
        <w:t xml:space="preserve">Thus, the acceptability of any risk </w:t>
      </w:r>
      <w:r w:rsidRPr="36140518">
        <w:rPr>
          <w:rFonts w:ascii="Times New Roman" w:hAnsi="Times New Roman"/>
          <w:color w:val="000000" w:themeColor="text1"/>
          <w:lang w:eastAsia="ar-SA"/>
        </w:rPr>
        <w:t xml:space="preserve">is a social construct, </w:t>
      </w:r>
      <w:r>
        <w:rPr>
          <w:rFonts w:ascii="Times New Roman" w:hAnsi="Times New Roman"/>
          <w:color w:val="000000" w:themeColor="text1"/>
          <w:lang w:eastAsia="ar-SA"/>
        </w:rPr>
        <w:t xml:space="preserve">as are the guiding policy goals, </w:t>
      </w:r>
      <w:r w:rsidRPr="36140518">
        <w:rPr>
          <w:rFonts w:ascii="Times New Roman" w:hAnsi="Times New Roman"/>
          <w:color w:val="000000" w:themeColor="text1"/>
          <w:lang w:eastAsia="ar-SA"/>
        </w:rPr>
        <w:t xml:space="preserve">and should be informed through consultation with a broad set of stakeholders </w:t>
      </w:r>
      <w:r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{"citationItems":[{"id":"ITEM-1","itemData":{"DOI":"10.1017/9781316585269.004","ISBN":"9781316585269","abstract":"The first transgenic plants were described in 1983, and, since then, the phased commercialisation of transgenic (or ‘genetically modified’; GM) organisms has increased to the extent that, 30 years later, 181.5 million hectares (Mha) of GM crops were cultivated (James, 2014; Figure 3.1). In addition, products with more and more complex gene–trait combinations (e.g., stacked events) are also now reaching the later stages of product development. Estimates show that 43.7 Mha were planted to stacked events (i.e., events with multiple trait-related transgenes) in 2012, accounting for more than 26% of the 170.3 Mha of GM crops planted worldwide that year (James, 2012). The increasing number of GM traits in recent stacked events has set the trend for the next generation of GM crops. It is estimated that, by the end of 2015, for maize alone, 24 single-trait events will have been commercialised. This potentially translates to over 2,000 triple-stacks and over 12,000 quadruple-stacks that may enter the pipeline (Stein and Rodriguez-Cerezo, 2009). Future stacks are likely to involve not just multiple traits, but the combination of these traits to engineer metabolic pathways and even to introduce a number of pathways into an organism (Halpin, 2005; Naqvi et al., 2009; Que et al., 2010). This demonstrates how GM organisms (GMOs) are becoming more complex, and underlines the need to have efficient regulatory mechanisms to ensure timely decision-making. In most countries, GMOs are subject to regulation. Each of the key GMO developments to date has therefore been overseen by an international regulatory environment which itself has undergone significant developments (Figure 3.2). The international guidelines highlighted in Figure 3.2 are similar in their approach to what a risk assessment should comprise, in that they all agree that it should be a structured, reasoned approach, based on scientific/technical evidence, for considering the chance of harm from activities with a GMO. Risk assessments should aim to identify, characterise and evaluate risks to the health and safety of people or to the environment from activities with GMOs. To do so, they should identify risk by considering what could go wrong and how harm might occur, whilst the identified risk should be characterised by considering how serious the harm could be (consequences) and how likely it is that such harm could occur in the context of the case (Gray, 2012).","author":[{"dropping-particle":"","family":"Craig","given":"Wendy","non-dropping-particle":"","parse-names":false,"suffix":""},{"dropping-particle":"","family":"Ndolo","given":"Dennis Obonyo","non-dropping-particle":"","parse-names":false,"suffix":""},{"dropping-particle":"","family":"Tepfer","given":"Mark","non-dropping-particle":"","parse-names":false,"suffix":""}],"container-title":"Genetically Modified Organisms in Developing Countries: Risk Analysis and Governance","editor":[{"dropping-particle":"","family":"Adenle","given":"Ademola A.","non-dropping-particle":"","parse-names":false,"suffix":""},{"dropping-particle":"","family":"Morris","given":"E. Jane","non-dropping-particle":"","parse-names":false,"suffix":""},{"dropping-particle":"","family":"Murphy","given":"Denis J.","non-dropping-particle":"","parse-names":false,"suffix":""}],"id":"ITEM-1","issued":{"date-parts":[["2017","1"]]},"page":"26-38","publisher":"Cambridge University Press","publisher-place":"Cambridge","title":"A strategy for integrating science into regulatory decision-making for GMOs","type":"chapter"},"uris":["http://www.mendeley.com/documents/?uuid=7ccec211-69e1-493b-8704-6e6e432b14f7"]},{"id":"ITEM-2","itemData":{"DOI":"10.2903/j.efsa.2019.e170708","ISSN":"18314732","abstract":"Pre-market/prospective environmental risk assessments (ERAs) contribute to risk analyses performed to facilitate decisions about the market introduction of regulated stressors. Robust ERAs begin with an explicit problem formulation, which involves among other steps: (1) formally devising plausible pathways to harm that describe how the deployment of a regulated stressor could be harmful; (2) formulating risk hypotheses about the likelihood and severity of such events; (3) identifying the information that will be useful to test the risk hypotheses; and (4) developing a plan to acquire new data for hypothesis testing should tests with existing information be insufficient for decision-making. Here, we apply problem formulation to the assessment of possible adverse effects of RNA interference-based insecticidal genetically modified (GM) plants, GM growth hormone coho salmon, gene drive-modified mosquitoes and classical biological weed control agents on non-target organisms in a prospective manner, and of neonicotinoid insecticides on bees in a retrospective manner. In addition, specific considerations for the problem formulation for the ERA of nanomaterials and for landscape-scale population-level ERAs are given. We argue that applying problem formulation to ERA maximises the usefulness of ERA studies for decision-making, through an iterative process, because: (1) harm is defined explicitly from the start; (2) the construction of risk hypotheses is guided by policy rather than an exhaustive attempt to address any possible differences; (3) existing information is used effectively; (4) new data are collected with a clear purpose; (5) risk is characterised against well-defined criteria of hypothesis corroboration or falsification; and (6) risk assessment conclusions can be communicated clearly. However, problem formulation is still often hindered by the absence of clear policy goals and decision-making criteria (e.g. definition of protection goals and what constitutes harm) that are needed to guide the interpretation of scientific information. We therefore advocate further dialogue between risk assessors and risk managers to clarify how ERAs can address policy goals and decision-making criteria. Ideally, this dialogue should take place for all classes of regulated stressors, as this can promote alignment and consistency on the desired level of protection and maximum tolerable impacts across regulated stressors.","author":[{"dropping-particle":"","family":"Devos","given":"Yann","non-dropping-particle":"","parse-names":false,"suffix":""},{"dropping-particle":"","family":"Craig","given":"Wendy","non-dropping-particle":"","parse-names":false,"suffix":""},{"dropping-particle":"","family":"Devlin","given":"Robert H.","non-dropping-particle":"","parse-names":false,"suffix":""},{"dropping-particle":"","family":"Ippolito","given":"Alessio","non-dropping-particle":"","parse-names":false,"suffix":""},{"dropping-particle":"","family":"Leggatt","given":"Rosalind A.","non-dropping-particle":"","parse-names":false,"suffix":""},{"dropping-particle":"","family":"Romeis","given":"Jörg","non-dropping-particle":"","parse-names":false,"suffix":""},{"dropping-particle":"","family":"Shaw","given":"Richard","non-dropping-particle":"","parse-names":false,"suffix":""},{"dropping-particle":"","family":"Svendsen","given":"Claus","non-dropping-particle":"","parse-names":false,"suffix":""},{"dropping-particle":"","family":"Topping","given":"Christopher J.","non-dropping-particle":"","parse-names":false,"suffix":""}],"container-title":"EFSA Journal","id":"ITEM-2","issue":"S1","issued":{"date-parts":[["2019","7"]]},"publisher":"Wiley-Blackwell Publishing Ltd","title":"Using problem formulation for fit-for-purpose pre-market environmental risk assessments of regulated stressors","type":"article-journal","volume":"17"},"uris":["http://www.mendeley.com/documents/?uuid=d8fbe2d2-64a2-40aa-b5f6-bcafb71aeb68"]},{"id":"ITEM-3","itemData":{"DOI":"10.1016/j.tibtech.2020.11.015","ISSN":"01677799","author":[{"dropping-particle":"","family":"Devos","given":"Yann","non-dropping-particle":"","parse-names":false,"suffix":""},{"dropping-particle":"","family":"Bonsall","given":"Michael B","non-dropping-particle":"","parse-names":false,"suffix":""},{"dropping-particle":"","family":"Firbank","given":"Leslie G","non-dropping-particle":"","parse-names":false,"suffix":""},{"dropping-particle":"","family":"Mumford","given":"John","non-dropping-particle":"","parse-names":false,"suffix":""},{"dropping-particle":"","family":"Nogué","given":"Fabien","non-dropping-particle":"","parse-names":false,"suffix":""},{"dropping-particle":"","family":"Wimmer","given":"Ernst A","non-dropping-particle":"","parse-names":false,"suffix":""}],"container-title":"Trends in Biotechnology","id":"ITEM-3","issue":"xx","issued":{"date-parts":[["2020","12"]]},"page":"1-4","publisher":"Elsevier Ltd","title":"Gene Drive-Modified Organisms: Developing Practical Risk Assessment Guidance","type":"article-journal","volume":"xx"},"uris":["http://www.mendeley.com/documents/?uuid=c7048388-ffdd-4581-91ce-3d5073ee7c1d"]}],"mendeley":{"formattedCitation":"(Wendy Craig et al., 2017; Yann Devos et al., 2019, 2020)","manualFormatting":"(Craig et al., 2017; Devos et al., 2019, 2020)","plainTextFormattedCitation":"(Wendy Craig et al., 2017; Yann Devos et al., 2019, 2020)","previouslyFormattedCitation":"(Wendy Craig et al., 2017; Yann Devos et al., 2019, 2020)"},"properties":{"noteIndex":0},"schema":"https://github.com/citation-style-language/schema/raw/master/csl-citation.json"}</w:instrText>
      </w:r>
      <w:r w:rsidRPr="00121D97">
        <w:rPr>
          <w:rFonts w:ascii="Times New Roman" w:hAnsi="Times New Roman"/>
          <w:color w:val="000000" w:themeColor="text1"/>
          <w:lang w:eastAsia="ar-SA"/>
        </w:rPr>
        <w:fldChar w:fldCharType="separate"/>
      </w:r>
      <w:r w:rsidR="000324F9" w:rsidRPr="000324F9">
        <w:rPr>
          <w:rFonts w:ascii="Times New Roman" w:hAnsi="Times New Roman"/>
          <w:noProof/>
          <w:color w:val="000000" w:themeColor="text1"/>
          <w:lang w:eastAsia="ar-SA"/>
        </w:rPr>
        <w:t>(Craig et al., 2017; Devos et al., 2019, 2020)</w:t>
      </w:r>
      <w:r w:rsidRPr="00121D97">
        <w:rPr>
          <w:rFonts w:ascii="Times New Roman" w:hAnsi="Times New Roman"/>
          <w:color w:val="000000" w:themeColor="text1"/>
          <w:lang w:eastAsia="ar-SA"/>
        </w:rPr>
        <w:fldChar w:fldCharType="end"/>
      </w:r>
      <w:r w:rsidRPr="36140518">
        <w:rPr>
          <w:rFonts w:ascii="Times New Roman" w:hAnsi="Times New Roman"/>
          <w:color w:val="000000" w:themeColor="text1"/>
          <w:lang w:eastAsia="ar-SA"/>
        </w:rPr>
        <w:t>.</w:t>
      </w:r>
    </w:p>
    <w:p w14:paraId="2C0E72A8" w14:textId="3AFD2497" w:rsidR="008C433F" w:rsidRDefault="008C433F" w:rsidP="008C433F">
      <w:pPr>
        <w:spacing w:before="120" w:after="120" w:line="240" w:lineRule="auto"/>
        <w:jc w:val="both"/>
        <w:rPr>
          <w:rFonts w:ascii="Times New Roman" w:hAnsi="Times New Roman"/>
          <w:color w:val="000000" w:themeColor="text1"/>
          <w:lang w:eastAsia="ar-SA"/>
        </w:rPr>
      </w:pPr>
      <w:r w:rsidRPr="69BA3794">
        <w:rPr>
          <w:rFonts w:ascii="Times New Roman" w:hAnsi="Times New Roman"/>
          <w:color w:val="000000" w:themeColor="text1"/>
          <w:lang w:eastAsia="ar-SA"/>
        </w:rPr>
        <w:t xml:space="preserve">The overall aim of a risk </w:t>
      </w:r>
      <w:r w:rsidRPr="60A86203">
        <w:rPr>
          <w:rFonts w:ascii="Times New Roman" w:hAnsi="Times New Roman"/>
          <w:color w:val="000000" w:themeColor="text1"/>
          <w:lang w:eastAsia="ar-SA"/>
        </w:rPr>
        <w:t>assessment</w:t>
      </w:r>
      <w:r w:rsidRPr="69BA3794">
        <w:rPr>
          <w:rFonts w:ascii="Times New Roman" w:hAnsi="Times New Roman"/>
          <w:color w:val="000000" w:themeColor="text1"/>
          <w:lang w:eastAsia="ar-SA"/>
        </w:rPr>
        <w:t xml:space="preserve"> is to identify, characterise and evaluate risks to the environment and to the health and safety of people. Essentially, to do so, </w:t>
      </w:r>
      <w:r>
        <w:rPr>
          <w:rFonts w:ascii="Times New Roman" w:hAnsi="Times New Roman"/>
          <w:color w:val="000000" w:themeColor="text1"/>
          <w:lang w:eastAsia="ar-SA"/>
        </w:rPr>
        <w:t>a potential risk is</w:t>
      </w:r>
      <w:r w:rsidRPr="69BA3794">
        <w:rPr>
          <w:rFonts w:ascii="Times New Roman" w:hAnsi="Times New Roman"/>
          <w:color w:val="000000" w:themeColor="text1"/>
          <w:lang w:eastAsia="ar-SA"/>
        </w:rPr>
        <w:t xml:space="preserve"> identif</w:t>
      </w:r>
      <w:r>
        <w:rPr>
          <w:rFonts w:ascii="Times New Roman" w:hAnsi="Times New Roman"/>
          <w:color w:val="000000" w:themeColor="text1"/>
          <w:lang w:eastAsia="ar-SA"/>
        </w:rPr>
        <w:t>ied</w:t>
      </w:r>
      <w:r w:rsidRPr="69BA3794">
        <w:rPr>
          <w:rFonts w:ascii="Times New Roman" w:hAnsi="Times New Roman"/>
          <w:color w:val="000000" w:themeColor="text1"/>
          <w:lang w:eastAsia="ar-SA"/>
        </w:rPr>
        <w:t xml:space="preserve"> by considering what could go wrong and how harm might occur, whilst the identified risk is characterised by considering how serious the harm could be (consequences) and how likely that harm could occur within the context of the case </w:t>
      </w:r>
      <w:r w:rsidRPr="00121D97">
        <w:rPr>
          <w:rFonts w:ascii="Times New Roman" w:hAnsi="Times New Roman"/>
          <w:color w:val="000000" w:themeColor="text1"/>
          <w:lang w:eastAsia="ar-SA"/>
        </w:rPr>
        <w:fldChar w:fldCharType="begin" w:fldLock="1"/>
      </w:r>
      <w:r w:rsidR="00A02DC3">
        <w:rPr>
          <w:rFonts w:ascii="Times New Roman" w:hAnsi="Times New Roman"/>
          <w:color w:val="000000" w:themeColor="text1"/>
          <w:lang w:eastAsia="ar-SA"/>
        </w:rPr>
        <w:instrText>ADDIN CSL_CITATION {"citationItems":[{"id":"ITEM-1","itemData":{"abstract":"Problem Formulation, a tried and tested aspect of Environmental Risk Assessment (ERA), is increasingly being applied to assess the potential risks associated with the cultivation of genetically modified (GM) crops. The first step in the ERA, problem formulation is a way of focussing on those aspects of the environment which most need protection or are most at risk of harm, framing relevant scenarios in which they may be harmed and devising a plan to test whether such harm may occur. In the first phase, problem context, broad concerns about the environment, in the form of protection goals, are identified and utilised to select those entities of value in the environment which could be adversely affected by cultivation of the specific crop. In the second phase, problem definition, those postulated risks which warrant it are further analysed by constructing exposure scenarios which link the growing of the crop to a potentially adverse affect on the valued entity, and this link, or pathway, is then translated into a set of scientifically testable risk hypotheses. The testing of risk hypotheses forms the basis of the analysis plan for characterising identified risks. Operationally, problem formulation can be recast as a sequence of questions which a risk assessor is required to address: (1) What do we not want to see harmed? What must be protected? (2) Can we envision a way in which they could be harmed? (3) How can we assess whether they are likely to be harmed? and (4) Does it matter? What is the regulatory context? The first and last of these questions will be answered in the context of societal concerns and policy. Only questions 2 and 3 are amenable to evidence-based, scientific analysis. The issues most frequently raised in ERA for GM crops are the potential for the plant to become weedy or invasive, the problems which might arise from gene flow to wild or weedy relatives, the potential of the plant to adversely impact non-target species and the potential adverse effects on biodiversity. These topics, together with the potential of the GM plant to become a plant pest, are covered by the five environmental safety assessment criteria applied by the regulatory","author":[{"dropping-particle":"","family":"Gray","given":"Alan","non-dropping-particle":"","parse-names":false,"suffix":""}],"container-title":"Collection of Biosafety Reviews","id":"ITEM-1","issued":{"date-parts":[["2012"]]},"number-of-pages":"10-65","title":"Problem Formulation in Environmental Risk Assessment for Genetically Modified Crops: A Practitioner's Approach","type":"report","volume":"6"},"uris":["http://www.mendeley.com/documents/?uuid=e765cda5-7894-49be-978d-9b56d7066667"]}],"mendeley":{"formattedCitation":"(A. Gray, 2012)","plainTextFormattedCitation":"(A. Gray, 2012)","previouslyFormattedCitation":"(A. Gray, 2012)"},"properties":{"noteIndex":0},"schema":"https://github.com/citation-style-language/schema/raw/master/csl-citation.json"}</w:instrText>
      </w:r>
      <w:r w:rsidRPr="00121D97">
        <w:rPr>
          <w:rFonts w:ascii="Times New Roman" w:hAnsi="Times New Roman"/>
          <w:color w:val="000000" w:themeColor="text1"/>
          <w:lang w:eastAsia="ar-SA"/>
        </w:rPr>
        <w:fldChar w:fldCharType="separate"/>
      </w:r>
      <w:r w:rsidR="00882C3F" w:rsidRPr="00882C3F">
        <w:rPr>
          <w:rFonts w:ascii="Times New Roman" w:hAnsi="Times New Roman"/>
          <w:noProof/>
          <w:color w:val="000000" w:themeColor="text1"/>
          <w:lang w:eastAsia="ar-SA"/>
        </w:rPr>
        <w:t>(A. Gray, 2012)</w:t>
      </w:r>
      <w:r w:rsidRPr="00121D97">
        <w:rPr>
          <w:rFonts w:ascii="Times New Roman" w:hAnsi="Times New Roman"/>
          <w:color w:val="000000" w:themeColor="text1"/>
          <w:lang w:eastAsia="ar-SA"/>
        </w:rPr>
        <w:fldChar w:fldCharType="end"/>
      </w:r>
      <w:r w:rsidRPr="69BA3794">
        <w:rPr>
          <w:rFonts w:ascii="Times New Roman" w:hAnsi="Times New Roman"/>
          <w:color w:val="000000" w:themeColor="text1"/>
          <w:lang w:eastAsia="ar-SA"/>
        </w:rPr>
        <w:t xml:space="preserve">. This is consistent with a long-standing understanding in other domains that risk is the combination of the magnitude of the consequences of a hazard with the likelihood that the consequences will occur. By integrating consequences and likelihood, the level of risk can be evaluated, and the need for any measures to reduce it considered where pertinent. </w:t>
      </w:r>
      <w:r w:rsidRPr="36140518">
        <w:rPr>
          <w:rFonts w:ascii="Times New Roman" w:hAnsi="Times New Roman"/>
          <w:color w:val="000000" w:themeColor="text1"/>
          <w:lang w:eastAsia="ar-SA"/>
        </w:rPr>
        <w:t xml:space="preserve">Risks are characterised by testing specific hypotheses on the probability that harm will occur and the severity of </w:t>
      </w:r>
      <w:r>
        <w:rPr>
          <w:rFonts w:ascii="Times New Roman" w:hAnsi="Times New Roman"/>
          <w:color w:val="000000" w:themeColor="text1"/>
          <w:lang w:eastAsia="ar-SA"/>
        </w:rPr>
        <w:t xml:space="preserve">the </w:t>
      </w:r>
      <w:r w:rsidRPr="36140518">
        <w:rPr>
          <w:rFonts w:ascii="Times New Roman" w:hAnsi="Times New Roman"/>
          <w:color w:val="000000" w:themeColor="text1"/>
          <w:lang w:eastAsia="ar-SA"/>
        </w:rPr>
        <w:t>harm if it occurs. This process is framed by a problem formulation approach that articulates relevant policy goals, determines criteria for assessing risks, and devises tests of risk hypotheses that address those criteria</w:t>
      </w:r>
      <w:r w:rsidR="00831AF1">
        <w:rPr>
          <w:rFonts w:ascii="Times New Roman" w:hAnsi="Times New Roman"/>
          <w:color w:val="000000" w:themeColor="text1"/>
          <w:lang w:eastAsia="ar-SA"/>
        </w:rPr>
        <w:t xml:space="preserve"> </w:t>
      </w:r>
      <w:r w:rsidR="00831AF1">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{"citationItems":[{"id":"ITEM-1","itemData":{"DOI":"10.2903/j.efsa.2019.e170708","ISSN":"18314732","abstract":"© 2019 European Food Safety Authority. EFSA Journal published by John Wiley and Sons Ltd on behalf of European Food Safety Authority. Pre-market/prospective environmental risk assessments (ERAs) contribute to risk analyses performed to facilitate decisions about the market introduction of regulated stressors. Robust ERAs begin with an explicit problem formulation, which involves among other steps: (1) formally devising plausible pathways to harm that describe how the deployment of a regulated stressor could be harmful; (2) formulating risk hypotheses about the likelihood and severity of such events; (3) identifying the information that will be useful to test the risk hypotheses; and (4) developing a plan to acquire new data for hypothesis testing should tests with existing information be insufficient for decision-making. Here, we apply problem formulation to the assessment of possible adverse effects of RNA interference-based insecticidal genetically modified (GM) plants, GM growth hormone coho salmon, gene drive-modified mosquitoes and classical biological weed control agents on non-target organisms in a prospective manner, and of neonicotinoid insecticides on bees in a retrospective manner. In addition, specific considerations for the problem formulation for the ERA of nanomaterials and for landscape-scale population-level ERAs are given. We argue that applying problem formulation to ERA maximises the usefulness of ERA studies for decision-making, through an iterative process, because: (1) harm is defined explicitly from the start; (2) the construction of risk hypotheses is guided by policy rather than an exhaustive attempt to address any possible differences; (3) existing information is used effectively; (4) new data are collected with a clear purpose; (5) risk is characterised against well-defined criteria of hypothesis corroboration or falsification; and (6) risk assessment conclusions can be communicated clearly. However, problem formulation is still often hindered by the absence of clear policy goals and decision-making criteria (e.g. definition of protection goals and what constitutes harm) that are needed to guide the interpretation of scientific information. We therefore advocate further dialogue between risk assessors and risk managers to clarify how ERAs can address policy goals and decision-making criteria. Ideally, this dialogue should take place for all classes of regulated stressors, as this can promote alignment and consistency on the d…","author":[{"dropping-particle":"","family":"Devos","given":"Y.","non-dropping-particle":"","parse-names":false,"suffix":""},{"dropping-particle":"","family":"Craig","given":"W.","non-dropping-particle":"","parse-names":false,"suffix":""},{"dropping-particle":"","family":"Devlin","given":"R.H.","non-dropping-particle":"","parse-names":false,"suffix":""},{"dropping-particle":"","family":"Ippolito","given":"A.","non-dropping-particle":"","parse-names":false,"suffix":""},{"dropping-particle":"","family":"Leggatt","given":"R.A.","non-dropping-particle":"","parse-names":false,"suffix":""},{"dropping-particle":"","family":"Romeis","given":"J.","non-dropping-particle":"","parse-names":false,"suffix":""},{"dropping-particle":"","family":"Shaw","given":"R.","non-dropping-particle":"","parse-names":false,"suffix":""},{"dropping-particle":"","family":"Svendsen","given":"C.","non-dropping-particle":"","parse-names":false,"suffix":""},{"dropping-particle":"","family":"Topping","given":"C.J.","non-dropping-particle":"","parse-names":false,"suffix":""}],"container-title":"EFSA Journal","id":"ITEM-1","issue":"S1","issued":{"date-parts":[["2019"]]},"title":"Using problem formulation for fit-for-purpose pre-market environmental risk assessments of regulated stressors","type":"article-journal","volume":"17"},"uris":["http://www.mendeley.com/documents/?uuid=b3015b50-d592-4703-a26f-07371fe87eff"]},{"id":"ITEM-2","itemData":{"DOI":"10.1017/9781316585269.004","ISBN":"9781316585269","abstract":"© Cambridge University Press 2017. The first transgenic plants were described in 1983, and, since then, the phased commercialisation of transgenic (or ‘genetically modified’; GM) organisms has increased to the extent that, 30 years later, 181.5 million hectares (Mha) of GM crops were cultivated (James, 2014; Figure 3.1). In addition, products with more and more complex gene–trait combinations (e.g., stacked events) are also now reaching the later stages of product development. Estimates show that 43.7 Mha were planted to stacked events (i.e., events with multiple trait-related transgenes) in 2012, accounting for more than 26% of the 170.3 Mha of GM crops planted worldwide that year (James, 2012). The increasing number of GM traits in recent stacked events has set the trend for the next generation of GM crops. It is estimated that, by the end of 2015, for maize alone, 24 single-trait events will have been commercialised. This potentially translates to over 2,000 triple-stacks and over 12,000 quadruple-stacks that may enter the pipeline (Stein and Rodriguez-Cerezo, 2009). Future stacks are likely to involve not just multiple traits, but the combination of these traits to engineer metabolic pathways and even to introduce a number of pathways into an organism (Halpin, 2005; Naqvi et al., 2009; Que et al., 2010). This demonstrates how GM organisms (GMOs) are becoming more complex, and underlines the need to have efficient regulatory mechanisms to ensure timely decision-making. In most countries, GMOs are subject to regulation. Each of the key GMO developments to date has therefore been overseen by an international regulatory environment which itself has undergone significant developments (Figure 3.2). The international guidelines highlighted in Figure 3.2 are similar in their approach to what a risk assessment should comprise, in that they all agree that it should be a structured, reasoned approach, based on scientific/technical evidence, for considering the chance of harm from activities with a GMO. Risk assessments should aim to identify, characterise and evaluate risks to the health and safety of people or to the environment from activities with GMOs. To do so, they should identify risk by considering what could go wrong and how harm might occur, whilst the identified risk should be characterised by considering how serious the harm could be (consequences) and how likely it is that such harm could occur in the context of the case (Gray, 2012).","author":[{"dropping-particle":"","family":"Craig","given":"W.","non-dropping-particle":"","parse-names":false,"suffix":""},{"dropping-particle":"","family":"Ndolo","given":"D.O.","non-dropping-particle":"","parse-names":false,"suffix":""},{"dropping-particle":"","family":"Tepfer","given":"M.","non-dropping-particle":"","parse-names":false,"suffix":""}],"container-title":"Genetically Modified Organisms in Developing Countries: Risk Analysis and Governance","id":"ITEM-2","issued":{"date-parts":[["2017"]]},"title":"A strategy for integrating science into regulatory decision-making for GMOs","type":"book"},"uris":["http://www.mendeley.com/documents/?uuid=5aaead6d-9f69-49f8-b587-c918ad92bce5"]}],"mendeley":{"formattedCitation":"(W. Craig et al., 2017; Y. Devos et al., 2019)","manualFormatting":"(Craig et al., 2017; Devos et al., 2019)","plainTextFormattedCitation":"(W. Craig et al., 2017; Y. Devos et al., 2019)","previouslyFormattedCitation":"(W. Craig et al., 2017; Y. Devos et al., 2019)"},"properties":{"noteIndex":0},"schema":"https://github.com/citation-style-language/schema/raw/master/csl-citation.json"}</w:instrText>
      </w:r>
      <w:r w:rsidR="00831AF1">
        <w:rPr>
          <w:rFonts w:ascii="Times New Roman" w:hAnsi="Times New Roman"/>
          <w:color w:val="000000" w:themeColor="text1"/>
          <w:lang w:eastAsia="ar-SA"/>
        </w:rPr>
        <w:fldChar w:fldCharType="separate"/>
      </w:r>
      <w:r w:rsidR="00831AF1" w:rsidRPr="00831AF1">
        <w:rPr>
          <w:rFonts w:ascii="Times New Roman" w:hAnsi="Times New Roman"/>
          <w:noProof/>
          <w:color w:val="000000" w:themeColor="text1"/>
          <w:lang w:eastAsia="ar-SA"/>
        </w:rPr>
        <w:t>(Craig et al., 2017; Devos et al., 2019)</w:t>
      </w:r>
      <w:r w:rsidR="00831AF1">
        <w:rPr>
          <w:rFonts w:ascii="Times New Roman" w:hAnsi="Times New Roman"/>
          <w:color w:val="000000" w:themeColor="text1"/>
          <w:lang w:eastAsia="ar-SA"/>
        </w:rPr>
        <w:fldChar w:fldCharType="end"/>
      </w:r>
      <w:r w:rsidRPr="36140518">
        <w:rPr>
          <w:rFonts w:ascii="Times New Roman" w:hAnsi="Times New Roman"/>
          <w:color w:val="000000" w:themeColor="text1"/>
          <w:lang w:eastAsia="ar-SA"/>
        </w:rPr>
        <w:t>.</w:t>
      </w:r>
    </w:p>
    <w:p w14:paraId="41516C4D" w14:textId="3197C8F8" w:rsidR="008C433F" w:rsidRDefault="008C433F" w:rsidP="008C433F">
      <w:pPr>
        <w:spacing w:before="120" w:after="120" w:line="240" w:lineRule="auto"/>
        <w:jc w:val="both"/>
        <w:rPr>
          <w:rFonts w:ascii="Times New Roman" w:hAnsi="Times New Roman"/>
          <w:color w:val="000000" w:themeColor="text1"/>
          <w:lang w:eastAsia="ar-SA"/>
        </w:rPr>
      </w:pPr>
      <w:r w:rsidRPr="69BA3794">
        <w:rPr>
          <w:rFonts w:ascii="Times New Roman" w:hAnsi="Times New Roman"/>
          <w:color w:val="000000" w:themeColor="text1"/>
          <w:lang w:eastAsia="ar-SA"/>
        </w:rPr>
        <w:t xml:space="preserve">Although the risk assessment methodologies may differ between </w:t>
      </w:r>
      <w:r>
        <w:rPr>
          <w:rFonts w:ascii="Times New Roman" w:hAnsi="Times New Roman"/>
          <w:color w:val="000000" w:themeColor="text1"/>
          <w:lang w:eastAsia="ar-SA"/>
        </w:rPr>
        <w:t>countries</w:t>
      </w:r>
      <w:r w:rsidRPr="69BA3794">
        <w:rPr>
          <w:rFonts w:ascii="Times New Roman" w:hAnsi="Times New Roman"/>
          <w:color w:val="000000" w:themeColor="text1"/>
          <w:lang w:eastAsia="ar-SA"/>
        </w:rPr>
        <w:t xml:space="preserve"> and their regulatory authorities, </w:t>
      </w:r>
      <w:r>
        <w:rPr>
          <w:rFonts w:ascii="Times New Roman" w:hAnsi="Times New Roman"/>
          <w:color w:val="000000" w:themeColor="text1"/>
          <w:lang w:eastAsia="ar-SA"/>
        </w:rPr>
        <w:t xml:space="preserve">the risk assessment is a process based in science that, as mentioned before, is aimed at informing the decision-making process. For the specific case of synthetic biology organisms that fall within the definition of  a living modified organisms as per the Cartagena Protocol, </w:t>
      </w:r>
      <w:r w:rsidRPr="69BA3794">
        <w:rPr>
          <w:rFonts w:ascii="Times New Roman" w:hAnsi="Times New Roman"/>
          <w:color w:val="000000" w:themeColor="text1"/>
          <w:lang w:eastAsia="ar-SA"/>
        </w:rPr>
        <w:t xml:space="preserve">the ‘Points to Consider’ in Annex III of the Protocol </w:t>
      </w:r>
      <w:r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{"citationItems":[{"id":"ITEM-1","itemData":{"ISBN":"9280719246","author":[{"dropping-particle":"","family":"Secretariat of the Convention on Biological Diversity","given":"","non-dropping-particle":"","parse-names":false,"suffix":""}],"id":"ITEM-1","issued":{"date-parts":[["2000"]]},"publisher-place":"Montreal","title":"Cartagena Protocol on Biosafety to the Convention on Biological Diversity. Text and Annexes","type":"report"},"uris":["http://www.mendeley.com/documents/?uuid=580d2c1b-0b52-43e9-98cb-d69b4f2c79c9"]}],"mendeley":{"formattedCitation":"(Secretariat of the Convention on Biological Diversity, 2000)","manualFormatting":"(Secretariat of the Convention on Biological Diversity, 2000a; Section 8.2.)","plainTextFormattedCitation":"(Secretariat of the Convention on Biological Diversity, 2000)","previouslyFormattedCitation":"(Secretariat of the Convention on Biological Diversity, 2000)"},"properties":{"noteIndex":0},"schema":"https://github.com/citation-style-language/schema/raw/master/csl-citation.json"}</w:instrText>
      </w:r>
      <w:r w:rsidRPr="00121D97">
        <w:rPr>
          <w:rFonts w:ascii="Times New Roman" w:hAnsi="Times New Roman"/>
          <w:color w:val="000000" w:themeColor="text1"/>
          <w:lang w:eastAsia="ar-SA"/>
        </w:rPr>
        <w:fldChar w:fldCharType="separate"/>
      </w:r>
      <w:r w:rsidRPr="69BA3794">
        <w:rPr>
          <w:rFonts w:ascii="Times New Roman" w:hAnsi="Times New Roman"/>
          <w:noProof/>
          <w:color w:val="000000" w:themeColor="text1"/>
          <w:lang w:eastAsia="ar-SA"/>
        </w:rPr>
        <w:t>(Secretariat of the Convention on Biological Diversity, 2000a</w:t>
      </w:r>
      <w:r>
        <w:rPr>
          <w:rFonts w:ascii="Times New Roman" w:hAnsi="Times New Roman"/>
          <w:noProof/>
          <w:color w:val="000000" w:themeColor="text1"/>
          <w:lang w:eastAsia="ar-SA"/>
        </w:rPr>
        <w:t>; Section 8.2.</w:t>
      </w:r>
      <w:r w:rsidRPr="69BA3794">
        <w:rPr>
          <w:rFonts w:ascii="Times New Roman" w:hAnsi="Times New Roman"/>
          <w:noProof/>
          <w:color w:val="000000" w:themeColor="text1"/>
          <w:lang w:eastAsia="ar-SA"/>
        </w:rPr>
        <w:t>)</w:t>
      </w:r>
      <w:r w:rsidRPr="00121D97">
        <w:rPr>
          <w:rFonts w:ascii="Times New Roman" w:hAnsi="Times New Roman"/>
          <w:color w:val="000000" w:themeColor="text1"/>
          <w:lang w:eastAsia="ar-SA"/>
        </w:rPr>
        <w:fldChar w:fldCharType="end"/>
      </w:r>
      <w:r w:rsidRPr="69BA3794">
        <w:rPr>
          <w:rFonts w:ascii="Times New Roman" w:hAnsi="Times New Roman"/>
          <w:color w:val="000000" w:themeColor="text1"/>
          <w:lang w:eastAsia="ar-SA"/>
        </w:rPr>
        <w:t xml:space="preserve"> is a good summary of the types of information that are regularly considered during a risk assessment, and that may be extended/adapted to </w:t>
      </w:r>
      <w:r>
        <w:rPr>
          <w:rFonts w:ascii="Times New Roman" w:hAnsi="Times New Roman"/>
          <w:color w:val="000000" w:themeColor="text1"/>
          <w:lang w:eastAsia="ar-SA"/>
        </w:rPr>
        <w:t>some applications resulting from</w:t>
      </w:r>
      <w:r w:rsidRPr="69BA3794">
        <w:rPr>
          <w:rFonts w:ascii="Times New Roman" w:hAnsi="Times New Roman"/>
          <w:color w:val="000000" w:themeColor="text1"/>
          <w:lang w:eastAsia="ar-SA"/>
        </w:rPr>
        <w:t xml:space="preserve"> synthetic biology</w:t>
      </w:r>
      <w:r>
        <w:rPr>
          <w:rFonts w:ascii="Times New Roman" w:hAnsi="Times New Roman"/>
          <w:color w:val="000000" w:themeColor="text1"/>
          <w:lang w:eastAsia="ar-SA"/>
        </w:rPr>
        <w:t xml:space="preserve">. </w:t>
      </w:r>
      <w:r w:rsidRPr="69BA3794" w:rsidDel="001C62B8">
        <w:rPr>
          <w:rFonts w:ascii="Times New Roman" w:hAnsi="Times New Roman"/>
          <w:color w:val="000000" w:themeColor="text1"/>
          <w:lang w:eastAsia="ar-SA"/>
        </w:rPr>
        <w:t xml:space="preserve"> </w:t>
      </w:r>
    </w:p>
    <w:p w14:paraId="3A476B22" w14:textId="5CD76D31" w:rsidR="00CC5DFF" w:rsidRDefault="00CC5DFF" w:rsidP="008C433F">
      <w:pPr>
        <w:spacing w:before="120" w:after="120" w:line="240" w:lineRule="auto"/>
        <w:jc w:val="both"/>
        <w:rPr>
          <w:rFonts w:ascii="Times New Roman" w:hAnsi="Times New Roman"/>
          <w:color w:val="000000" w:themeColor="text1"/>
          <w:lang w:eastAsia="ar-SA"/>
        </w:rPr>
      </w:pPr>
      <w:r>
        <w:rPr>
          <w:rFonts w:ascii="Times New Roman" w:hAnsi="Times New Roman"/>
          <w:color w:val="000000" w:themeColor="text1"/>
          <w:lang w:eastAsia="ar-SA"/>
        </w:rPr>
        <w:t>Here below some consideration</w:t>
      </w:r>
      <w:r w:rsidR="00EB7CAF">
        <w:rPr>
          <w:rFonts w:ascii="Times New Roman" w:hAnsi="Times New Roman"/>
          <w:color w:val="000000" w:themeColor="text1"/>
          <w:lang w:eastAsia="ar-SA"/>
        </w:rPr>
        <w:t>s</w:t>
      </w:r>
      <w:r>
        <w:rPr>
          <w:rFonts w:ascii="Times New Roman" w:hAnsi="Times New Roman"/>
          <w:color w:val="000000" w:themeColor="text1"/>
          <w:lang w:eastAsia="ar-SA"/>
        </w:rPr>
        <w:t xml:space="preserve"> regarding risk assessment for three synthetic biology supporting technologies </w:t>
      </w:r>
      <w:r w:rsidR="00B154B6" w:rsidRPr="00B154B6">
        <w:rPr>
          <w:rFonts w:ascii="Times New Roman" w:hAnsi="Times New Roman"/>
          <w:color w:val="000000" w:themeColor="text1"/>
          <w:lang w:eastAsia="ar-SA"/>
        </w:rPr>
        <w:t xml:space="preserve">that have received </w:t>
      </w:r>
      <w:r w:rsidR="00EB7CAF">
        <w:rPr>
          <w:rFonts w:ascii="Times New Roman" w:hAnsi="Times New Roman"/>
          <w:color w:val="000000" w:themeColor="text1"/>
          <w:lang w:eastAsia="ar-SA"/>
        </w:rPr>
        <w:t xml:space="preserve">considerable </w:t>
      </w:r>
      <w:r w:rsidR="00B154B6" w:rsidRPr="00B154B6">
        <w:rPr>
          <w:rFonts w:ascii="Times New Roman" w:hAnsi="Times New Roman"/>
          <w:color w:val="000000" w:themeColor="text1"/>
          <w:lang w:eastAsia="ar-SA"/>
        </w:rPr>
        <w:t>regulatory attention</w:t>
      </w:r>
      <w:r w:rsidR="00EB7CAF">
        <w:rPr>
          <w:rFonts w:ascii="Times New Roman" w:hAnsi="Times New Roman"/>
          <w:color w:val="000000" w:themeColor="text1"/>
          <w:lang w:eastAsia="ar-SA"/>
        </w:rPr>
        <w:t xml:space="preserve"> to date</w:t>
      </w:r>
      <w:r w:rsidR="00B154B6" w:rsidRPr="00B154B6">
        <w:rPr>
          <w:rFonts w:ascii="Times New Roman" w:hAnsi="Times New Roman"/>
          <w:color w:val="000000" w:themeColor="text1"/>
          <w:lang w:eastAsia="ar-SA"/>
        </w:rPr>
        <w:t xml:space="preserve"> </w:t>
      </w:r>
      <w:r>
        <w:rPr>
          <w:rFonts w:ascii="Times New Roman" w:hAnsi="Times New Roman"/>
          <w:color w:val="000000" w:themeColor="text1"/>
          <w:lang w:eastAsia="ar-SA"/>
        </w:rPr>
        <w:t>are presented.</w:t>
      </w:r>
    </w:p>
    <w:p w14:paraId="6BB49492" w14:textId="718BF04D" w:rsidR="008C433F" w:rsidRPr="001F3892" w:rsidRDefault="00DF24E7" w:rsidP="001F3892">
      <w:pPr>
        <w:pStyle w:val="Heading4"/>
        <w:rPr>
          <w:rFonts w:asciiTheme="minorHAnsi" w:hAnsiTheme="minorHAnsi"/>
          <w:i w:val="0"/>
          <w:kern w:val="0"/>
          <w:lang w:val="en-US"/>
        </w:rPr>
      </w:pPr>
      <w:r w:rsidRPr="001F3892">
        <w:rPr>
          <w:i w:val="0"/>
        </w:rPr>
        <w:t>6</w:t>
      </w:r>
      <w:r w:rsidR="00EB7CAF" w:rsidRPr="001F3892">
        <w:rPr>
          <w:i w:val="0"/>
        </w:rPr>
        <w:t>.1.1</w:t>
      </w:r>
      <w:r w:rsidR="003661BC">
        <w:rPr>
          <w:rFonts w:asciiTheme="minorHAnsi" w:hAnsiTheme="minorHAnsi"/>
          <w:i w:val="0"/>
          <w:iCs/>
          <w:lang w:val="en-US"/>
        </w:rPr>
        <w:t>.</w:t>
      </w:r>
      <w:r w:rsidR="00EB7CAF" w:rsidRPr="001F3892">
        <w:rPr>
          <w:i w:val="0"/>
        </w:rPr>
        <w:t xml:space="preserve"> </w:t>
      </w:r>
      <w:r w:rsidR="008C433F" w:rsidRPr="001F3892">
        <w:rPr>
          <w:i w:val="0"/>
        </w:rPr>
        <w:t>Engineered gene drives</w:t>
      </w:r>
      <w:r w:rsidR="001F3892">
        <w:rPr>
          <w:rFonts w:asciiTheme="minorHAnsi" w:hAnsiTheme="minorHAnsi"/>
          <w:i w:val="0"/>
          <w:iCs/>
          <w:lang w:val="en-US"/>
        </w:rPr>
        <w:t>.</w:t>
      </w:r>
    </w:p>
    <w:p w14:paraId="09B493A3" w14:textId="7487497F" w:rsidR="008C433F" w:rsidRPr="00630314" w:rsidRDefault="008C433F" w:rsidP="00071B21">
      <w:pPr>
        <w:spacing w:before="120" w:after="120" w:line="240" w:lineRule="auto"/>
        <w:jc w:val="both"/>
        <w:rPr>
          <w:rFonts w:ascii="Times New Roman" w:eastAsia="SimSun" w:hAnsi="Times New Roman" w:cs="Calibri"/>
          <w:color w:val="000000" w:themeColor="text1"/>
          <w:lang w:eastAsia="hi-IN" w:bidi="hi-IN"/>
        </w:rPr>
      </w:pPr>
      <w:r w:rsidRPr="00630314">
        <w:rPr>
          <w:rFonts w:ascii="Times New Roman" w:eastAsia="SimSun" w:hAnsi="Times New Roman" w:cs="Calibri"/>
          <w:color w:val="000000" w:themeColor="text1"/>
          <w:lang w:eastAsia="hi-IN" w:bidi="hi-IN"/>
        </w:rPr>
        <w:t xml:space="preserve">As for other products of biotechnology, regulators are expected to consider, on a case-by-case basis, the potential risks and benefits from any new approach to control </w:t>
      </w:r>
      <w:r w:rsidR="003066E5">
        <w:rPr>
          <w:rFonts w:ascii="Times New Roman" w:eastAsia="SimSun" w:hAnsi="Times New Roman" w:cs="Calibri"/>
          <w:color w:val="000000" w:themeColor="text1"/>
          <w:lang w:eastAsia="hi-IN" w:bidi="hi-IN"/>
        </w:rPr>
        <w:t>for instance</w:t>
      </w:r>
      <w:r w:rsidRPr="00630314">
        <w:rPr>
          <w:rFonts w:ascii="Times New Roman" w:eastAsia="SimSun" w:hAnsi="Times New Roman" w:cs="Calibri"/>
          <w:color w:val="000000" w:themeColor="text1"/>
          <w:lang w:eastAsia="hi-IN" w:bidi="hi-IN"/>
        </w:rPr>
        <w:t xml:space="preserve"> invasive alien species and pests </w:t>
      </w:r>
      <w:r w:rsidR="003066E5">
        <w:rPr>
          <w:rFonts w:ascii="Times New Roman" w:eastAsia="SimSun" w:hAnsi="Times New Roman" w:cs="Calibri"/>
          <w:color w:val="000000" w:themeColor="text1"/>
          <w:lang w:eastAsia="hi-IN" w:bidi="hi-IN"/>
        </w:rPr>
        <w:t xml:space="preserve">(see </w:t>
      </w:r>
      <w:r w:rsidR="00853410">
        <w:rPr>
          <w:rFonts w:ascii="Times New Roman" w:eastAsia="SimSun" w:hAnsi="Times New Roman" w:cs="Calibri"/>
          <w:color w:val="000000" w:themeColor="text1"/>
          <w:lang w:eastAsia="hi-IN" w:bidi="hi-IN"/>
        </w:rPr>
        <w:t>S</w:t>
      </w:r>
      <w:r w:rsidR="003066E5">
        <w:rPr>
          <w:rFonts w:ascii="Times New Roman" w:eastAsia="SimSun" w:hAnsi="Times New Roman" w:cs="Calibri"/>
          <w:color w:val="000000" w:themeColor="text1"/>
          <w:lang w:eastAsia="hi-IN" w:bidi="hi-IN"/>
        </w:rPr>
        <w:t xml:space="preserve">ection </w:t>
      </w:r>
      <w:r w:rsidR="00204D38">
        <w:rPr>
          <w:rFonts w:ascii="Times New Roman" w:eastAsia="SimSun" w:hAnsi="Times New Roman" w:cs="Calibri"/>
          <w:color w:val="000000" w:themeColor="text1"/>
          <w:lang w:eastAsia="hi-IN" w:bidi="hi-IN"/>
        </w:rPr>
        <w:t>4.1</w:t>
      </w:r>
      <w:r w:rsidR="003066E5">
        <w:rPr>
          <w:rFonts w:ascii="Times New Roman" w:eastAsia="SimSun" w:hAnsi="Times New Roman" w:cs="Calibri"/>
          <w:color w:val="000000" w:themeColor="text1"/>
          <w:lang w:eastAsia="hi-IN" w:bidi="hi-IN"/>
        </w:rPr>
        <w:t xml:space="preserve">) </w:t>
      </w:r>
      <w:r w:rsidRPr="00630314">
        <w:rPr>
          <w:rFonts w:ascii="Times New Roman" w:eastAsia="SimSun" w:hAnsi="Times New Roman" w:cs="Calibri"/>
          <w:color w:val="000000" w:themeColor="text1"/>
          <w:lang w:eastAsia="hi-IN" w:bidi="hi-IN"/>
        </w:rPr>
        <w:t xml:space="preserve">compared with </w:t>
      </w:r>
      <w:r w:rsidR="00B91415">
        <w:rPr>
          <w:rFonts w:ascii="Times New Roman" w:eastAsia="SimSun" w:hAnsi="Times New Roman" w:cs="Calibri"/>
          <w:color w:val="000000" w:themeColor="text1"/>
          <w:lang w:eastAsia="hi-IN" w:bidi="hi-IN"/>
        </w:rPr>
        <w:t>those</w:t>
      </w:r>
      <w:r w:rsidRPr="00630314">
        <w:rPr>
          <w:rFonts w:ascii="Times New Roman" w:eastAsia="SimSun" w:hAnsi="Times New Roman" w:cs="Calibri"/>
          <w:color w:val="000000" w:themeColor="text1"/>
          <w:lang w:eastAsia="hi-IN" w:bidi="hi-IN"/>
        </w:rPr>
        <w:t xml:space="preserve"> from currently available methods. Some regulatory agencies are in the process of reviewing or have already reviewed their procedures for research with engineered gene drive organisms in containment and acknowledge that the general principles and methodology for risk assessment and management, experience</w:t>
      </w:r>
      <w:r w:rsidR="00B51DD3">
        <w:rPr>
          <w:rFonts w:ascii="Times New Roman" w:eastAsia="SimSun" w:hAnsi="Times New Roman" w:cs="Calibri"/>
          <w:color w:val="000000" w:themeColor="text1"/>
          <w:lang w:eastAsia="hi-IN" w:bidi="hi-IN"/>
        </w:rPr>
        <w:t>s</w:t>
      </w:r>
      <w:r w:rsidRPr="00630314">
        <w:rPr>
          <w:rFonts w:ascii="Times New Roman" w:eastAsia="SimSun" w:hAnsi="Times New Roman" w:cs="Calibri"/>
          <w:color w:val="000000" w:themeColor="text1"/>
          <w:lang w:eastAsia="hi-IN" w:bidi="hi-IN"/>
        </w:rPr>
        <w:t xml:space="preserve"> from </w:t>
      </w:r>
      <w:r w:rsidR="003066E5">
        <w:rPr>
          <w:rFonts w:ascii="Times New Roman" w:eastAsia="SimSun" w:hAnsi="Times New Roman" w:cs="Calibri"/>
          <w:color w:val="000000" w:themeColor="text1"/>
          <w:lang w:eastAsia="hi-IN" w:bidi="hi-IN"/>
        </w:rPr>
        <w:t>LMO</w:t>
      </w:r>
      <w:r w:rsidRPr="00630314">
        <w:rPr>
          <w:rFonts w:ascii="Times New Roman" w:eastAsia="SimSun" w:hAnsi="Times New Roman" w:cs="Calibri"/>
          <w:color w:val="000000" w:themeColor="text1"/>
          <w:lang w:eastAsia="hi-IN" w:bidi="hi-IN"/>
        </w:rPr>
        <w:t xml:space="preserve"> risk assessment, as well as knowledge from fields such as biocontrol agents and invasive alien species, will </w:t>
      </w:r>
      <w:r w:rsidR="00B26EA8">
        <w:rPr>
          <w:rFonts w:ascii="Times New Roman" w:eastAsia="SimSun" w:hAnsi="Times New Roman" w:cs="Calibri"/>
          <w:color w:val="000000" w:themeColor="text1"/>
          <w:lang w:eastAsia="hi-IN" w:bidi="hi-IN"/>
        </w:rPr>
        <w:t xml:space="preserve">all </w:t>
      </w:r>
      <w:r w:rsidRPr="00630314">
        <w:rPr>
          <w:rFonts w:ascii="Times New Roman" w:eastAsia="SimSun" w:hAnsi="Times New Roman" w:cs="Calibri"/>
          <w:color w:val="000000" w:themeColor="text1"/>
          <w:lang w:eastAsia="hi-IN" w:bidi="hi-IN"/>
        </w:rPr>
        <w:t>be relevant to performing risk assessment</w:t>
      </w:r>
      <w:r w:rsidR="00B26EA8">
        <w:rPr>
          <w:rFonts w:ascii="Times New Roman" w:eastAsia="SimSun" w:hAnsi="Times New Roman" w:cs="Calibri"/>
          <w:color w:val="000000" w:themeColor="text1"/>
          <w:lang w:eastAsia="hi-IN" w:bidi="hi-IN"/>
        </w:rPr>
        <w:t>s</w:t>
      </w:r>
      <w:r w:rsidRPr="00630314">
        <w:rPr>
          <w:rFonts w:ascii="Times New Roman" w:eastAsia="SimSun" w:hAnsi="Times New Roman" w:cs="Calibri"/>
          <w:color w:val="000000" w:themeColor="text1"/>
          <w:lang w:eastAsia="hi-IN" w:bidi="hi-IN"/>
        </w:rPr>
        <w:t xml:space="preserve"> of organisms containing engineered gene drives</w:t>
      </w:r>
      <w:r w:rsidR="006007C6">
        <w:rPr>
          <w:rFonts w:ascii="Times New Roman" w:eastAsia="SimSun" w:hAnsi="Times New Roman" w:cs="Calibri"/>
          <w:color w:val="000000" w:themeColor="text1"/>
          <w:lang w:eastAsia="hi-IN" w:bidi="hi-IN"/>
        </w:rPr>
        <w:t xml:space="preserve"> </w:t>
      </w:r>
      <w:r w:rsidR="00825187">
        <w:rPr>
          <w:rFonts w:ascii="Times New Roman" w:eastAsia="SimSun" w:hAnsi="Times New Roman" w:cs="Calibri"/>
          <w:color w:val="000000" w:themeColor="text1"/>
          <w:lang w:eastAsia="hi-IN" w:bidi="hi-IN"/>
        </w:rPr>
        <w:fldChar w:fldCharType="begin" w:fldLock="1"/>
      </w:r>
      <w:r w:rsidR="00E35037">
        <w:rPr>
          <w:rFonts w:ascii="Times New Roman" w:eastAsia="SimSun" w:hAnsi="Times New Roman" w:cs="Calibri"/>
          <w:color w:val="000000" w:themeColor="text1"/>
          <w:lang w:eastAsia="hi-IN" w:bidi="hi-IN"/>
        </w:rPr>
        <w:instrText>ADDIN CSL_CITATION {"citationItems":[{"id":"ITEM-1","itemData":{"DOI":"10.2903/j.efsa.2020.6297","ISSN":"18314732","abstract":"Advances in molecular and synthetic biology are enabling the engineering of gene drives in insects for disease vector/pest control. Engineered gene drives (that bias their own inheritance) can be designed either to suppress interbreeding target populations or modify them with a new genotype. Depending on the engineered gene drive system, theoretically, a genetic modification of interest could spread through target populations and persist indefinitely, or be restricted in its spread or persistence. While research on engineered gene drives and their applications in insects is advancing at a fast pace, it will take several years for technological developments to move to practical applications for deliberate release into the environment. Some gene drive modified insects (GDMIs) have been tested experimentally in the laboratory, but none has been assessed in small-scale confined field trials or in open release trials as yet. There is concern that the deliberate release of GDMIs in the environment may have possible irreversible and unintended consequences. As a proactive measure, the European Food Safety Authority (EFSA) has been requested by the European Commission to review whether its previously published guidelines for the risk assessment of genetically modified animals (EFSA, 2012 and 2013), including insects (GMIs), are adequate and sufficient for GDMIs, primarily disease vectors, agricultural pests and invasive species, for deliberate release into the environment. Under this mandate, EFSA was not requested to develop risk assessment guidelines for GDMIs. In this Scientific Opinion, the Panel on Genetically Modified Organisms (GMO) concludes that EFSA's guidelines are adequate, but insufficient for the molecular characterisation (MC), environmental risk assessment (ERA) and post-market environmental monitoring (PMEM) of GDMIs. While the MC,ERA and PMEM of GDMIs can build on the existing risk assessment framework for GMIs that do not contain engineered gene drives, there are specific areas where further guidance is needed for GDMIs.","author":[{"dropping-particle":"","family":"Naegeli","given":"Hanspeter","non-dropping-particle":"","parse-names":false,"suffix":""},{"dropping-particle":"","family":"Bresson","given":"Jean Louis","non-dropping-particle":"","parse-names":false,"suffix":""},{"dropping-particle":"","family":"Dalmay","given":"Tamas","non-dropping-particle":"","parse-names":false,"suffix":""},{"dropping-particle":"","family":"Dewhurst","given":"Ian C","non-dropping-particle":"","parse-names":false,"suffix":""},{"dropping-particle":"","family":"Epstein","given":"Michelle M","non-dropping-particle":"","parse-names":false,"suffix":""},{"dropping-particle":"","family":"Guerche","given":"Philippe","non-dropping-particle":"","parse-names":false,"suffix":""},{"dropping-particle":"","family":"Hejatko","given":"Jan","non-dropping-particle":"","parse-names":false,"suffix":""},{"dropping-particle":"","family":"Moreno","given":"Francisco J","non-dropping-particle":"","parse-names":false,"suffix":""},{"dropping-particle":"","family":"Mullins","given":"Ewen","non-dropping-particle":"","parse-names":false,"suffix":""},{"dropping-particle":"","family":"Nogué","given":"Fabien","non-dropping-particle":"","parse-names":false,"suffix":""},{"dropping-particle":"","family":"Rostoks","given":"Nils","non-dropping-particle":"","parse-names":false,"suffix":""},{"dropping-particle":"","family":"Serrano","given":"Jose J Sánchez","non-dropping-particle":"","parse-names":false,"suffix":""},{"dropping-particle":"","family":"Savoini","given":"Giovanni","non-dropping-particle":"","parse-names":false,"suffix":""},{"dropping-particle":"","family":"Veromann","given":"Eve","non-dropping-particle":"","parse-names":false,"suffix":""},{"dropping-particle":"","family":"Veronesi","given":"Fabio","non-dropping-particle":"","parse-names":false,"suffix":""},{"dropping-particle":"","family":"Bonsall","given":"Michael B","non-dropping-particle":"","parse-names":false,"suffix":""},{"dropping-particle":"","family":"Mumford","given":"John","non-dropping-particle":"","parse-names":false,"suffix":""},{"dropping-particle":"","family":"Wimmer","given":"Ernst A","non-dropping-particle":"","parse-names":false,"suffix":""},{"dropping-particle":"","family":"Devos","given":"Yann","non-dropping-particle":"","parse-names":false,"suffix":""},{"dropping-particle":"","family":"Paraskevopoulos","given":"Konstantinos","non-dropping-particle":"","parse-names":false,"suffix":""},{"dropping-particle":"","family":"Firbank","given":"Leslie G","non-dropping-particle":"","parse-names":false,"suffix":""}],"container-title":"EFSA Journal","id":"ITEM-1","issue":"11","issued":{"date-parts":[["2020"]]},"publisher":"Blackwell Publishing Ltd","title":"Adequacy and sufficiency evaluation of existing EFSA guidelines for the molecular characterisation, environmental risk assessment and post-market environmental monitoring of genetically modified insects containing engineered gene drives","type":"article-journal","volume":"18"},"uris":["http://www.mendeley.com/documents/?uuid=1afe5458-2203-4d9f-96de-52e7586ae8c7"]},{"id":"ITEM-2","itemData":{"DOI":"10.17226/23405","ISBN":"978-0-309-43787-5","author":[{"dropping-particle":"","family":"National Academies of Sciences Engineering and Medicine","given":"","non-dropping-particle":"","parse-names":false,"suffix":""}],"id":"ITEM-2","issued":{"date-parts":[["2016"]]},"title":"Gene Drives on the Horizon: Advancing Science, Navigating Uncertainty, and Aligning Research with Public Values","type":"article-journal"},"uris":["http://www.mendeley.com/documents/?uuid=ae8b95ff-64c3-4c2e-bbf6-39f7f284457e"]},{"id":"ITEM-3","itemData":{"author":[{"dropping-particle":"","family":"Australian Academy of Science","given":"","non-dropping-particle":"","parse-names":false,"suffix":""}],"id":"ITEM-3","issued":{"date-parts":[["2017"]]},"number-of-pages":"1-15","publisher-place":"Canberra, Australia","title":"Synthetic gene drives in Australia: Implications of emerging technologies","type":"report"},"uris":["http://www.mendeley.com/documents/?uuid=c9052545-e9c0-45bc-8fbe-8a5a0f964275"]},{"id":"ITEM-4","itemData":{"author":[{"dropping-particle":"","family":"Haut Conseil des Biotechnologies","given":"","non-dropping-particle":"","parse-names":false,"suffix":""}],"id":"ITEM-4","issued":{"date-parts":[["2017"]]},"page":"142","publisher-place":"Paris, France","title":"Scientific Opinion in response to the referral of 12 October 2015 concerning the use of genetically modified mosquitoes for vector control","type":"article"},"uris":["http://www.mendeley.com/documents/?uuid=820aeea1-ca12-4d31-a29e-bc3a4dedfc41"]},{"id":"ITEM-5","itemData":{"DOI":"10.21945/RIVM-2018-0090","author":[{"dropping-particle":"","family":"Vlugt","given":"CJB","non-dropping-particle":"van der","parse-names":false,"suffix":""},{"dropping-particle":"","family":"Akker","given":"HCM","non-dropping-particle":"van den","parse-names":false,"suffix":""},{"dropping-particle":"","family":"Roesink","given":"CH","non-dropping-particle":"","parse-names":false,"suffix":""},{"dropping-particle":"","family":"Westra","given":"J","non-dropping-particle":"","parse-names":false,"suffix":""}],"id":"ITEM-5","issued":{"date-parts":[["2018"]]},"number-of-pages":"31","publisher-place":"Bilthoven, the Netherlands","title":"Risk assessment method for activities involving organisms with a gene drive under contained use","type":"report"},"uris":["http://www.mendeley.com/documents/?uuid=c2dfddae-b941-4a63-8b0b-ef7f251befd6"]},{"id":"ITEM-6","itemData":{"author":[{"dropping-particle":"","family":"Smets","given":"Greet","non-dropping-particle":"","parse-names":false,"suffix":""},{"dropping-particle":"","family":"Rüdelsheim","given":"Patrick","non-dropping-particle":"","parse-names":false,"suffix":""}],"id":"ITEM-6","issued":{"date-parts":[["2020"]]},"number-of-pages":"61","publisher-place":"Montreal, Canada","title":"Study on Risk Assessment Application of annex I of decision CP 9/13 to living modified organisms containing engineered gene drives","type":"report"},"uris":["http://www.mendeley.com/documents/?uuid=bbaf06cb-ae4f-4624-bc64-9808a3959b3d"]}],"mendeley":{"formattedCitation":"(Australian Academy of Science, 2017; Haut Conseil des Biotechnologies, 2017; Naegeli et al., 2020; National Academies of Sciences Engineering and Medicine, 2016a; Smets &amp; Rüdelsheim, 2020; van der Vlugt et al., 2018)","manualFormatting":"(Australian Academy of Science, 2017; Haut Conseil des Biotechnologies, 2017; Naegeli et al., 2020; National Academies of Sciences Engineering and Medicine, 2016; Smets &amp; Rüdelsheim, 2020; van der Vlugt et al., 2018)","plainTextFormattedCitation":"(Australian Academy of Science, 2017; Haut Conseil des Biotechnologies, 2017; Naegeli et al., 2020; National Academies of Sciences Engineering and Medicine, 2016a; Smets &amp; Rüdelsheim, 2020; van der Vlugt et al., 2018)","previouslyFormattedCitation":"(Australian Academy of Science, 2017; Haut Conseil des Biotechnologies, 2017; Naegeli et al., 2020; National Academies of Sciences Engineering and Medicine, 2016a; Smets &amp; Rüdelsheim, 2020; van der Vlugt et al., 2018)"},"properties":{"noteIndex":0},"schema":"https://github.com/citation-style-language/schema/raw/master/csl-citation.json"}</w:instrText>
      </w:r>
      <w:r w:rsidR="00825187">
        <w:rPr>
          <w:rFonts w:ascii="Times New Roman" w:eastAsia="SimSun" w:hAnsi="Times New Roman" w:cs="Calibri"/>
          <w:color w:val="000000" w:themeColor="text1"/>
          <w:lang w:eastAsia="hi-IN" w:bidi="hi-IN"/>
        </w:rPr>
        <w:fldChar w:fldCharType="separate"/>
      </w:r>
      <w:r w:rsidR="003F422A" w:rsidRPr="003F422A">
        <w:rPr>
          <w:rFonts w:ascii="Times New Roman" w:eastAsia="SimSun" w:hAnsi="Times New Roman" w:cs="Calibri"/>
          <w:noProof/>
          <w:color w:val="000000" w:themeColor="text1"/>
          <w:lang w:eastAsia="hi-IN" w:bidi="hi-IN"/>
        </w:rPr>
        <w:t>(Australian Academy of Science, 2017; Haut Conseil des Biotechnologies, 2017; Naegeli et al., 2020; National Academies of Sciences Engineering and Medicine, 2016; Smets &amp; Rüdelsheim, 2020; van der Vlugt et al., 2018)</w:t>
      </w:r>
      <w:r w:rsidR="00825187">
        <w:rPr>
          <w:rFonts w:ascii="Times New Roman" w:eastAsia="SimSun" w:hAnsi="Times New Roman" w:cs="Calibri"/>
          <w:color w:val="000000" w:themeColor="text1"/>
          <w:lang w:eastAsia="hi-IN" w:bidi="hi-IN"/>
        </w:rPr>
        <w:fldChar w:fldCharType="end"/>
      </w:r>
      <w:r w:rsidRPr="00630314">
        <w:rPr>
          <w:rFonts w:ascii="Times New Roman" w:eastAsia="SimSun" w:hAnsi="Times New Roman" w:cs="Calibri"/>
          <w:color w:val="000000" w:themeColor="text1"/>
          <w:lang w:eastAsia="hi-IN" w:bidi="hi-IN"/>
        </w:rPr>
        <w:t xml:space="preserve">. Challenges that are anticipated when performing environmental releases of such organisms are mainly related to the targeting </w:t>
      </w:r>
      <w:r w:rsidR="00853630">
        <w:rPr>
          <w:rFonts w:ascii="Times New Roman" w:eastAsia="SimSun" w:hAnsi="Times New Roman" w:cs="Calibri"/>
          <w:color w:val="000000" w:themeColor="text1"/>
          <w:lang w:eastAsia="hi-IN" w:bidi="hi-IN"/>
        </w:rPr>
        <w:t>of</w:t>
      </w:r>
      <w:r w:rsidRPr="00630314">
        <w:rPr>
          <w:rFonts w:ascii="Times New Roman" w:eastAsia="SimSun" w:hAnsi="Times New Roman" w:cs="Calibri"/>
          <w:color w:val="000000" w:themeColor="text1"/>
          <w:lang w:eastAsia="hi-IN" w:bidi="hi-IN"/>
        </w:rPr>
        <w:t xml:space="preserve"> wild populations and may be irreversible, and thus the step-wise approach to environmental releases, as practiced with other types of </w:t>
      </w:r>
      <w:r w:rsidR="0007426C">
        <w:rPr>
          <w:rFonts w:ascii="Times New Roman" w:eastAsia="SimSun" w:hAnsi="Times New Roman" w:cs="Calibri"/>
          <w:color w:val="000000" w:themeColor="text1"/>
          <w:lang w:eastAsia="hi-IN" w:bidi="hi-IN"/>
        </w:rPr>
        <w:t>L</w:t>
      </w:r>
      <w:r w:rsidRPr="00630314">
        <w:rPr>
          <w:rFonts w:ascii="Times New Roman" w:eastAsia="SimSun" w:hAnsi="Times New Roman" w:cs="Calibri"/>
          <w:color w:val="000000" w:themeColor="text1"/>
          <w:lang w:eastAsia="hi-IN" w:bidi="hi-IN"/>
        </w:rPr>
        <w:t xml:space="preserve">MOs, may require adaptation </w:t>
      </w:r>
      <w:r w:rsidR="003F422A">
        <w:rPr>
          <w:rFonts w:ascii="Times New Roman" w:eastAsia="SimSun" w:hAnsi="Times New Roman" w:cs="Calibri"/>
          <w:color w:val="000000" w:themeColor="text1"/>
          <w:lang w:eastAsia="hi-IN" w:bidi="hi-IN"/>
        </w:rPr>
        <w:fldChar w:fldCharType="begin" w:fldLock="1"/>
      </w:r>
      <w:r w:rsidR="001679C1">
        <w:rPr>
          <w:rFonts w:ascii="Times New Roman" w:eastAsia="SimSun" w:hAnsi="Times New Roman" w:cs="Calibri"/>
          <w:color w:val="000000" w:themeColor="text1"/>
          <w:lang w:eastAsia="hi-IN" w:bidi="hi-IN"/>
        </w:rPr>
        <w:instrText>ADDIN CSL_CITATION {"citationItems":[{"id":"ITEM-1","itemData":{"DOI":"10.3389/fbioe.2020.00310","ISSN":"22964185","abstract":"The primary international forum deliberating the regulation of “synthetic biology” is the Convention on Biological Diversity (CBD), along with its subsidiary agreements concerned with the biosafety of living modified organisms (LMOs; Cartagena Protocol on Biosafety to the CBD), and access and benefit sharing in relation to genetic resources (Nagoya Protocol to the CBD). This discussion has been underway for almost 10 years under the CBD agenda items of “synthetic biology” and “new and emerging issues relating to the conservation and sustainable use of biological diversity,” and more recently within the scope of Cartagena Protocol topics including risk assessment and risk management, and “digital sequence information” jointly with the Nagoya Protocol. There is no internationally accepted definition of “synthetic biology,” with it used as an umbrella term in this forum to capture “new” biotechnologies and “new” applications of established biotechnologies, whether actual or conceptual. The CBD debates are characterized by polarized views on the adequacy of existing regulatory mechanisms for “new” types of LMOs, including the scope of the current regulatory frameworks, and procedures and tools for risk assessment and risk mitigation and/or management. This paper provides an overview of international developments in biotechnology regulation, including the application of the Cartagena Protocol and relevant policy developments, and reviews the development of the synthetic biology debate under the CBD and its Protocols, including the major issues expected in the lead up to and during the 2020 Biodiversity Conference.","author":[{"dropping-particle":"","family":"Keiper","given":"Felicity","non-dropping-particle":"","parse-names":false,"suffix":""},{"dropping-particle":"","family":"Atanassova","given":"Ana","non-dropping-particle":"","parse-names":false,"suffix":""}],"container-title":"Frontiers in Bioengineering and Biotechnology","id":"ITEM-1","issued":{"date-parts":[["2020","4"]]},"publisher":"Frontiers Media S.A.","title":"Regulation of Synthetic Biology: Developments Under the Convention on Biological Diversity and Its Protocols","type":"article","volume":"8"},"uris":["http://www.mendeley.com/documents/?uuid=23393071-c58e-4e1d-9c5d-5c2f47ddcef4"]}],"mendeley":{"formattedCitation":"(Keiper &amp; Atanassova, 2020)","plainTextFormattedCitation":"(Keiper &amp; Atanassova, 2020)","previouslyFormattedCitation":"(Keiper &amp; Atanassova, 2020)"},"properties":{"noteIndex":0},"schema":"https://github.com/citation-style-language/schema/raw/master/csl-citation.json"}</w:instrText>
      </w:r>
      <w:r w:rsidR="003F422A">
        <w:rPr>
          <w:rFonts w:ascii="Times New Roman" w:eastAsia="SimSun" w:hAnsi="Times New Roman" w:cs="Calibri"/>
          <w:color w:val="000000" w:themeColor="text1"/>
          <w:lang w:eastAsia="hi-IN" w:bidi="hi-IN"/>
        </w:rPr>
        <w:fldChar w:fldCharType="separate"/>
      </w:r>
      <w:r w:rsidR="003F422A" w:rsidRPr="003F422A">
        <w:rPr>
          <w:rFonts w:ascii="Times New Roman" w:eastAsia="SimSun" w:hAnsi="Times New Roman" w:cs="Calibri"/>
          <w:noProof/>
          <w:color w:val="000000" w:themeColor="text1"/>
          <w:lang w:eastAsia="hi-IN" w:bidi="hi-IN"/>
        </w:rPr>
        <w:t>(Keiper &amp; Atanassova, 2020)</w:t>
      </w:r>
      <w:r w:rsidR="003F422A">
        <w:rPr>
          <w:rFonts w:ascii="Times New Roman" w:eastAsia="SimSun" w:hAnsi="Times New Roman" w:cs="Calibri"/>
          <w:color w:val="000000" w:themeColor="text1"/>
          <w:lang w:eastAsia="hi-IN" w:bidi="hi-IN"/>
        </w:rPr>
        <w:fldChar w:fldCharType="end"/>
      </w:r>
      <w:r w:rsidRPr="00630314">
        <w:rPr>
          <w:rFonts w:ascii="Times New Roman" w:eastAsia="SimSun" w:hAnsi="Times New Roman" w:cs="Calibri"/>
          <w:color w:val="000000" w:themeColor="text1"/>
          <w:lang w:eastAsia="hi-IN" w:bidi="hi-IN"/>
        </w:rPr>
        <w:t>.</w:t>
      </w:r>
      <w:r w:rsidRPr="005E51F8">
        <w:rPr>
          <w:rFonts w:ascii="Times New Roman" w:eastAsia="SimSun" w:hAnsi="Times New Roman" w:cs="Calibri"/>
          <w:color w:val="000000" w:themeColor="text1"/>
          <w:lang w:eastAsia="hi-IN" w:bidi="hi-IN"/>
        </w:rPr>
        <w:t xml:space="preserve"> </w:t>
      </w:r>
      <w:r w:rsidR="00004FBA" w:rsidRPr="00444E1D">
        <w:rPr>
          <w:rFonts w:ascii="Times New Roman" w:eastAsia="SimSun" w:hAnsi="Times New Roman" w:cs="Calibri"/>
          <w:color w:val="000000" w:themeColor="text1"/>
          <w:lang w:eastAsia="hi-IN" w:bidi="hi-IN"/>
        </w:rPr>
        <w:t xml:space="preserve">This opens unprecedented challenges for risk assessment, because for the first time we are faced with a </w:t>
      </w:r>
      <w:r w:rsidR="005E51F8" w:rsidRPr="00444E1D">
        <w:rPr>
          <w:rFonts w:ascii="Times New Roman" w:eastAsia="SimSun" w:hAnsi="Times New Roman" w:cs="Calibri"/>
          <w:color w:val="000000" w:themeColor="text1"/>
          <w:lang w:eastAsia="hi-IN" w:bidi="hi-IN"/>
        </w:rPr>
        <w:t>technology</w:t>
      </w:r>
      <w:r w:rsidR="00004FBA" w:rsidRPr="00444E1D">
        <w:rPr>
          <w:rFonts w:ascii="Times New Roman" w:eastAsia="SimSun" w:hAnsi="Times New Roman" w:cs="Calibri"/>
          <w:color w:val="000000" w:themeColor="text1"/>
          <w:lang w:eastAsia="hi-IN" w:bidi="hi-IN"/>
        </w:rPr>
        <w:t xml:space="preserve"> whose potential ecological and health impacts cannot be adequately assessed without first deploying it</w:t>
      </w:r>
      <w:r w:rsidR="005E51F8" w:rsidRPr="00444E1D">
        <w:rPr>
          <w:rFonts w:ascii="Times New Roman" w:eastAsia="SimSun" w:hAnsi="Times New Roman" w:cs="Calibri"/>
          <w:color w:val="000000" w:themeColor="text1"/>
          <w:lang w:eastAsia="hi-IN" w:bidi="hi-IN"/>
        </w:rPr>
        <w:t xml:space="preserve"> </w:t>
      </w:r>
      <w:r w:rsidR="0004171D">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author":[{"dropping-particle":"","family":"Sirinathsinghji","given":"Eva","non-dropping-particle":"","parse-names":false,"suffix":""}],"id":"ITEM-1","issued":{"date-parts":[["2019","5"]]},"publisher-place":"Johannesburg","title":"Gene Drive Organisms. What Africa Should Know About Actors Motives and Threats to Biodiversity and Food Systems","type":"report"},"uris":["http://www.mendeley.com/documents/?uuid=adadf1da-3ab3-4f71-a475-29180a3c3318"]}],"mendeley":{"formattedCitation":"(Sirinathsinghji, 2019)","plainTextFormattedCitation":"(Sirinathsinghji, 2019)","previouslyFormattedCitation":"(Sirinathsinghji, 2019)"},"properties":{"noteIndex":0},"schema":"https://github.com/citation-style-language/schema/raw/master/csl-citation.json"}</w:instrText>
      </w:r>
      <w:r w:rsidR="0004171D">
        <w:rPr>
          <w:rFonts w:ascii="Times New Roman" w:eastAsia="SimSun" w:hAnsi="Times New Roman" w:cs="Calibri"/>
          <w:color w:val="000000" w:themeColor="text1"/>
          <w:lang w:eastAsia="hi-IN" w:bidi="hi-IN"/>
        </w:rPr>
        <w:fldChar w:fldCharType="separate"/>
      </w:r>
      <w:r w:rsidR="0004171D" w:rsidRPr="0004171D">
        <w:rPr>
          <w:rFonts w:ascii="Times New Roman" w:eastAsia="SimSun" w:hAnsi="Times New Roman" w:cs="Calibri"/>
          <w:noProof/>
          <w:color w:val="000000" w:themeColor="text1"/>
          <w:lang w:eastAsia="hi-IN" w:bidi="hi-IN"/>
        </w:rPr>
        <w:t>(Sirinathsinghji, 2019)</w:t>
      </w:r>
      <w:r w:rsidR="0004171D">
        <w:rPr>
          <w:rFonts w:ascii="Times New Roman" w:eastAsia="SimSun" w:hAnsi="Times New Roman" w:cs="Calibri"/>
          <w:color w:val="000000" w:themeColor="text1"/>
          <w:lang w:eastAsia="hi-IN" w:bidi="hi-IN"/>
        </w:rPr>
        <w:fldChar w:fldCharType="end"/>
      </w:r>
      <w:r w:rsidR="0004171D">
        <w:rPr>
          <w:rFonts w:ascii="Times New Roman" w:eastAsia="SimSun" w:hAnsi="Times New Roman" w:cs="Calibri"/>
          <w:color w:val="000000" w:themeColor="text1"/>
          <w:lang w:eastAsia="hi-IN" w:bidi="hi-IN"/>
        </w:rPr>
        <w:t>.</w:t>
      </w:r>
    </w:p>
    <w:p w14:paraId="25A886AF" w14:textId="5593395F" w:rsidR="00AD601B" w:rsidRPr="002D336D" w:rsidRDefault="00706764" w:rsidP="00071B21">
      <w:pPr>
        <w:spacing w:before="120" w:after="120" w:line="240" w:lineRule="auto"/>
        <w:jc w:val="both"/>
        <w:rPr>
          <w:rFonts w:ascii="Times New Roman" w:eastAsia="SimSun" w:hAnsi="Times New Roman"/>
          <w:color w:val="000000" w:themeColor="text1"/>
          <w:lang w:eastAsia="hi-IN" w:bidi="hi-IN"/>
        </w:rPr>
      </w:pPr>
      <w:r>
        <w:rPr>
          <w:rFonts w:ascii="Times New Roman" w:eastAsia="SimSun" w:hAnsi="Times New Roman" w:cs="Calibri"/>
          <w:color w:val="000000" w:themeColor="text1"/>
          <w:lang w:eastAsia="hi-IN" w:bidi="hi-IN"/>
        </w:rPr>
        <w:t xml:space="preserve">It has been </w:t>
      </w:r>
      <w:r w:rsidR="004E5BA5">
        <w:rPr>
          <w:rFonts w:ascii="Times New Roman" w:eastAsia="SimSun" w:hAnsi="Times New Roman" w:cs="Calibri"/>
          <w:color w:val="000000" w:themeColor="text1"/>
          <w:lang w:eastAsia="hi-IN" w:bidi="hi-IN"/>
        </w:rPr>
        <w:t>reported</w:t>
      </w:r>
      <w:r w:rsidR="00AD601B" w:rsidRPr="00AD601B">
        <w:rPr>
          <w:rFonts w:ascii="Times New Roman" w:eastAsia="SimSun" w:hAnsi="Times New Roman" w:cs="Calibri"/>
          <w:color w:val="000000" w:themeColor="text1"/>
          <w:lang w:eastAsia="hi-IN" w:bidi="hi-IN"/>
        </w:rPr>
        <w:t xml:space="preserve"> that engineered gene drives designed to “</w:t>
      </w:r>
      <w:r w:rsidR="00AD601B" w:rsidRPr="00EA30E0">
        <w:rPr>
          <w:rFonts w:ascii="Times New Roman" w:eastAsia="SimSun" w:hAnsi="Times New Roman" w:cs="Calibri"/>
          <w:i/>
          <w:color w:val="000000" w:themeColor="text1"/>
          <w:lang w:eastAsia="hi-IN" w:bidi="hi-IN"/>
        </w:rPr>
        <w:t>suppress or enhance a species population at a rate that is faster than natural ecological processes or evolutionary rates</w:t>
      </w:r>
      <w:r w:rsidR="00AD601B" w:rsidRPr="00AD601B">
        <w:rPr>
          <w:rFonts w:ascii="Times New Roman" w:eastAsia="SimSun" w:hAnsi="Times New Roman" w:cs="Calibri"/>
          <w:color w:val="000000" w:themeColor="text1"/>
          <w:lang w:eastAsia="hi-IN" w:bidi="hi-IN"/>
        </w:rPr>
        <w:t xml:space="preserve">” may require the definition of additional pathways to risk assessment endpoints </w:t>
      </w:r>
      <w:r w:rsidR="001679C1">
        <w:rPr>
          <w:rFonts w:ascii="Times New Roman" w:eastAsia="SimSun" w:hAnsi="Times New Roman" w:cs="Calibri"/>
          <w:color w:val="000000" w:themeColor="text1"/>
          <w:lang w:eastAsia="hi-IN" w:bidi="hi-IN"/>
        </w:rPr>
        <w:fldChar w:fldCharType="begin" w:fldLock="1"/>
      </w:r>
      <w:r w:rsidR="001679C1">
        <w:rPr>
          <w:rFonts w:ascii="Times New Roman" w:eastAsia="SimSun" w:hAnsi="Times New Roman" w:cs="Calibri"/>
          <w:color w:val="000000" w:themeColor="text1"/>
          <w:lang w:eastAsia="hi-IN" w:bidi="hi-IN"/>
        </w:rPr>
        <w:instrText>ADDIN CSL_CITATION {"citationItems":[{"id":"ITEM-1","itemData":{"DOI":"10.17226/24605","ISBN":"978-0-309-45205-2","author":[{"dropping-particle":"","family":"National Academies of Sciences Engineering and Medicine","given":"","non-dropping-particle":"","parse-names":false,"suffix":""}],"id":"ITEM-1","issued":{"date-parts":[["2017","6","28"]]},"publisher":"National Academies Press","publisher-place":"Washington, D.C.","title":"Preparing for Future Products of Biotechnology","type":"report"},"uris":["http://www.mendeley.com/documents/?uuid=8ec5ff2f-662a-441a-84c1-511cce593868"]}],"mendeley":{"formattedCitation":"(National Academies of Sciences Engineering and Medicine, 2017)","plainTextFormattedCitation":"(National Academies of Sciences Engineering and Medicine, 2017)","previouslyFormattedCitation":"(National Academies of Sciences Engineering and Medicine, 2017)"},"properties":{"noteIndex":0},"schema":"https://github.com/citation-style-language/schema/raw/master/csl-citation.json"}</w:instrText>
      </w:r>
      <w:r w:rsidR="001679C1">
        <w:rPr>
          <w:rFonts w:ascii="Times New Roman" w:eastAsia="SimSun" w:hAnsi="Times New Roman" w:cs="Calibri"/>
          <w:color w:val="000000" w:themeColor="text1"/>
          <w:lang w:eastAsia="hi-IN" w:bidi="hi-IN"/>
        </w:rPr>
        <w:fldChar w:fldCharType="separate"/>
      </w:r>
      <w:r w:rsidR="001679C1" w:rsidRPr="001679C1">
        <w:rPr>
          <w:rFonts w:ascii="Times New Roman" w:eastAsia="SimSun" w:hAnsi="Times New Roman" w:cs="Calibri"/>
          <w:noProof/>
          <w:color w:val="000000" w:themeColor="text1"/>
          <w:lang w:eastAsia="hi-IN" w:bidi="hi-IN"/>
        </w:rPr>
        <w:t>(National Academies of Sciences Engineering and Medicine, 2017)</w:t>
      </w:r>
      <w:r w:rsidR="001679C1">
        <w:rPr>
          <w:rFonts w:ascii="Times New Roman" w:eastAsia="SimSun" w:hAnsi="Times New Roman" w:cs="Calibri"/>
          <w:color w:val="000000" w:themeColor="text1"/>
          <w:lang w:eastAsia="hi-IN" w:bidi="hi-IN"/>
        </w:rPr>
        <w:fldChar w:fldCharType="end"/>
      </w:r>
      <w:r w:rsidR="00AD601B" w:rsidRPr="00AD601B">
        <w:rPr>
          <w:rFonts w:ascii="Times New Roman" w:eastAsia="SimSun" w:hAnsi="Times New Roman" w:cs="Calibri"/>
          <w:color w:val="000000" w:themeColor="text1"/>
          <w:lang w:eastAsia="hi-IN" w:bidi="hi-IN"/>
        </w:rPr>
        <w:t xml:space="preserve">. Recently, the European Food Safety Authority (EFSA) noted that the temporal and spatial scope of gene drive-engineered insects once released precludes testing by observation at such scales. As such, they are concerned that the molecular characterisation, environmental risk assessment and post-market environmental monitoring specifically of gene drive-engineered insects are insufficient and thus want further guidance to be developed which builds upon existing approaches </w:t>
      </w:r>
      <w:r w:rsidR="001679C1">
        <w:rPr>
          <w:rFonts w:ascii="Times New Roman" w:eastAsia="SimSun" w:hAnsi="Times New Roman" w:cs="Calibri"/>
          <w:color w:val="000000" w:themeColor="text1"/>
          <w:lang w:eastAsia="hi-IN" w:bidi="hi-IN"/>
        </w:rPr>
        <w:fldChar w:fldCharType="begin" w:fldLock="1"/>
      </w:r>
      <w:r w:rsidR="005C0F9E">
        <w:rPr>
          <w:rFonts w:ascii="Times New Roman" w:eastAsia="SimSun" w:hAnsi="Times New Roman" w:cs="Calibri"/>
          <w:color w:val="000000" w:themeColor="text1"/>
          <w:lang w:eastAsia="hi-IN" w:bidi="hi-IN"/>
        </w:rPr>
        <w:instrText>ADDIN CSL_CITATION {"citationItems":[{"id":"ITEM-1","itemData":{"DOI":"10.2903/j.efsa.2020.6297","ISSN":"18314732","abstract":"Advances in molecular and synthetic biology are enabling the engineering of gene drives in insects for disease vector/pest control. Engineered gene drives (that bias their own inheritance) can be designed either to suppress interbreeding target populations or modify them with a new genotype. Depending on the engineered gene drive system, theoretically, a genetic modification of interest could spread through target populations and persist indefinitely, or be restricted in its spread or persistence. While research on engineered gene drives and their applications in insects is advancing at a fast pace, it will take several years for technological developments to move to practical applications for deliberate release into the environment. Some gene drive modified insects (GDMIs) have been tested experimentally in the laboratory, but none has been assessed in small-scale confined field trials or in open release trials as yet. There is concern that the deliberate release of GDMIs in the environment may have possible irreversible and unintended consequences. As a proactive measure, the European Food Safety Authority (EFSA) has been requested by the European Commission to review whether its previously published guidelines for the risk assessment of genetically modified animals (EFSA, 2012 and 2013), including insects (GMIs), are adequate and sufficient for GDMIs, primarily disease vectors, agricultural pests and invasive species, for deliberate release into the environment. Under this mandate, EFSA was not requested to develop risk assessment guidelines for GDMIs. In this Scientific Opinion, the Panel on Genetically Modified Organisms (GMO) concludes that EFSA's guidelines are adequate, but insufficient for the molecular characterisation (MC), environmental risk assessment (ERA) and post-market environmental monitoring (PMEM) of GDMIs. While the MC,ERA and PMEM of GDMIs can build on the existing risk assessment framework for GMIs that do not contain engineered gene drives, there are specific areas where further guidance is needed for GDMIs.","author":[{"dropping-particle":"","family":"Naegeli","given":"Hanspeter","non-dropping-particle":"","parse-names":false,"suffix":""},{"dropping-particle":"","family":"Bresson","given":"Jean Louis","non-dropping-particle":"","parse-names":false,"suffix":""},{"dropping-particle":"","family":"Dalmay","given":"Tamas","non-dropping-particle":"","parse-names":false,"suffix":""},{"dropping-particle":"","family":"Dewhurst","given":"Ian C","non-dropping-particle":"","parse-names":false,"suffix":""},{"dropping-particle":"","family":"Epstein","given":"Michelle M","non-dropping-particle":"","parse-names":false,"suffix":""},{"dropping-particle":"","family":"Guerche","given":"Philippe","non-dropping-particle":"","parse-names":false,"suffix":""},{"dropping-particle":"","family":"Hejatko","given":"Jan","non-dropping-particle":"","parse-names":false,"suffix":""},{"dropping-particle":"","family":"Moreno","given":"Francisco J","non-dropping-particle":"","parse-names":false,"suffix":""},{"dropping-particle":"","family":"Mullins","given":"Ewen","non-dropping-particle":"","parse-names":false,"suffix":""},{"dropping-particle":"","family":"Nogué","given":"Fabien","non-dropping-particle":"","parse-names":false,"suffix":""},{"dropping-particle":"","family":"Rostoks","given":"Nils","non-dropping-particle":"","parse-names":false,"suffix":""},{"dropping-particle":"","family":"Serrano","given":"Jose J Sánchez","non-dropping-particle":"","parse-names":false,"suffix":""},{"dropping-particle":"","family":"Savoini","given":"Giovanni","non-dropping-particle":"","parse-names":false,"suffix":""},{"dropping-particle":"","family":"Veromann","given":"Eve","non-dropping-particle":"","parse-names":false,"suffix":""},{"dropping-particle":"","family":"Veronesi","given":"Fabio","non-dropping-particle":"","parse-names":false,"suffix":""},{"dropping-particle":"","family":"Bonsall","given":"Michael B","non-dropping-particle":"","parse-names":false,"suffix":""},{"dropping-particle":"","family":"Mumford","given":"John","non-dropping-particle":"","parse-names":false,"suffix":""},{"dropping-particle":"","family":"Wimmer","given":"Ernst A","non-dropping-particle":"","parse-names":false,"suffix":""},{"dropping-particle":"","family":"Devos","given":"Yann","non-dropping-particle":"","parse-names":false,"suffix":""},{"dropping-particle":"","family":"Paraskevopoulos","given":"Konstantinos","non-dropping-particle":"","parse-names":false,"suffix":""},{"dropping-particle":"","family":"Firbank","given":"Leslie G","non-dropping-particle":"","parse-names":false,"suffix":""}],"container-title":"EFSA Journal","id":"ITEM-1","issue":"11","issued":{"date-parts":[["2020"]]},"publisher":"Blackwell Publishing Ltd","title":"Adequacy and sufficiency evaluation of existing EFSA guidelines for the molecular characterisation, environmental risk assessment and post-market environmental monitoring of genetically modified insects containing engineered gene drives","type":"article-journal","volume":"18"},"uris":["http://www.mendeley.com/documents/?uuid=1afe5458-2203-4d9f-96de-52e7586ae8c7"]}],"mendeley":{"formattedCitation":"(Naegeli et al., 2020)","plainTextFormattedCitation":"(Naegeli et al., 2020)","previouslyFormattedCitation":"(Naegeli et al., 2020)"},"properties":{"noteIndex":0},"schema":"https://github.com/citation-style-language/schema/raw/master/csl-citation.json"}</w:instrText>
      </w:r>
      <w:r w:rsidR="001679C1">
        <w:rPr>
          <w:rFonts w:ascii="Times New Roman" w:eastAsia="SimSun" w:hAnsi="Times New Roman" w:cs="Calibri"/>
          <w:color w:val="000000" w:themeColor="text1"/>
          <w:lang w:eastAsia="hi-IN" w:bidi="hi-IN"/>
        </w:rPr>
        <w:fldChar w:fldCharType="separate"/>
      </w:r>
      <w:r w:rsidR="001679C1" w:rsidRPr="001679C1">
        <w:rPr>
          <w:rFonts w:ascii="Times New Roman" w:eastAsia="SimSun" w:hAnsi="Times New Roman" w:cs="Calibri"/>
          <w:noProof/>
          <w:color w:val="000000" w:themeColor="text1"/>
          <w:lang w:eastAsia="hi-IN" w:bidi="hi-IN"/>
        </w:rPr>
        <w:t>(Naegeli et al., 2020)</w:t>
      </w:r>
      <w:r w:rsidR="001679C1">
        <w:rPr>
          <w:rFonts w:ascii="Times New Roman" w:eastAsia="SimSun" w:hAnsi="Times New Roman" w:cs="Calibri"/>
          <w:color w:val="000000" w:themeColor="text1"/>
          <w:lang w:eastAsia="hi-IN" w:bidi="hi-IN"/>
        </w:rPr>
        <w:fldChar w:fldCharType="end"/>
      </w:r>
      <w:r w:rsidR="00AD601B" w:rsidRPr="00AD601B">
        <w:rPr>
          <w:rFonts w:ascii="Times New Roman" w:eastAsia="SimSun" w:hAnsi="Times New Roman" w:cs="Calibri"/>
          <w:color w:val="000000" w:themeColor="text1"/>
          <w:lang w:eastAsia="hi-IN" w:bidi="hi-IN"/>
        </w:rPr>
        <w:t xml:space="preserve">. These sentiments, and others, were echoed by the AHTEG on Risk Assessment under the Cartagena Protocol, who recommended the development of further guidance on applications featuring engineered gene drive systems </w:t>
      </w:r>
      <w:r w:rsidR="005C0F9E">
        <w:rPr>
          <w:rFonts w:ascii="Times New Roman" w:eastAsia="SimSun" w:hAnsi="Times New Roman" w:cs="Calibri"/>
          <w:color w:val="000000" w:themeColor="text1"/>
          <w:lang w:eastAsia="hi-IN" w:bidi="hi-IN"/>
        </w:rPr>
        <w:fldChar w:fldCharType="begin" w:fldLock="1"/>
      </w:r>
      <w:r w:rsidR="008761FC">
        <w:rPr>
          <w:rFonts w:ascii="Times New Roman" w:eastAsia="SimSun" w:hAnsi="Times New Roman" w:cs="Calibri"/>
          <w:color w:val="000000" w:themeColor="text1"/>
          <w:lang w:eastAsia="hi-IN" w:bidi="hi-IN"/>
        </w:rPr>
        <w:instrText>ADDIN CSL_CITATION {"citationItems":[{"id":"ITEM-1","itemData":{"author":[{"dropping-particle":"","family":"Secretariat of the Convention on Biological Diversity","given":"","non-dropping-particle":"","parse-names":false,"suffix":""}],"id":"ITEM-1","issued":{"date-parts":[["2020","4"]]},"title":"Report of the Ad Hoc Technical Expert Group on Risk Assessment. Montreal, Canada, 30 March-3 April 2020. CBD/CP/RA/AHTEG/2020/1/5. ","type":"webpage"},"uris":["http://www.mendeley.com/documents/?uuid=78052ec6-5d46-4bf9-866e-3e71473f56a1"]}],"mendeley":{"formattedCitation":"(Secretariat of the Convention on Biological Diversity, 2020d)","manualFormatting":"(Secretariat of the Convention on Biological Diversity, 2020c)","plainTextFormattedCitation":"(Secretariat of the Convention on Biological Diversity, 2020d)","previouslyFormattedCitation":"(Secretariat of the Convention on Biological Diversity, 2020d)"},"properties":{"noteIndex":0},"schema":"https://github.com/citation-style-language/schema/raw/master/csl-citation.json"}</w:instrText>
      </w:r>
      <w:r w:rsidR="005C0F9E">
        <w:rPr>
          <w:rFonts w:ascii="Times New Roman" w:eastAsia="SimSun" w:hAnsi="Times New Roman" w:cs="Calibri"/>
          <w:color w:val="000000" w:themeColor="text1"/>
          <w:lang w:eastAsia="hi-IN" w:bidi="hi-IN"/>
        </w:rPr>
        <w:fldChar w:fldCharType="separate"/>
      </w:r>
      <w:r w:rsidR="00CE6A7C" w:rsidRPr="00CE6A7C">
        <w:rPr>
          <w:rFonts w:ascii="Times New Roman" w:eastAsia="SimSun" w:hAnsi="Times New Roman" w:cs="Calibri"/>
          <w:noProof/>
          <w:color w:val="000000" w:themeColor="text1"/>
          <w:lang w:eastAsia="hi-IN" w:bidi="hi-IN"/>
        </w:rPr>
        <w:t>(Secretariat of the Convention on Biological Diversity, 2020</w:t>
      </w:r>
      <w:r w:rsidR="008761FC">
        <w:rPr>
          <w:rFonts w:ascii="Times New Roman" w:eastAsia="SimSun" w:hAnsi="Times New Roman" w:cs="Calibri"/>
          <w:noProof/>
          <w:color w:val="000000" w:themeColor="text1"/>
          <w:lang w:eastAsia="hi-IN" w:bidi="hi-IN"/>
        </w:rPr>
        <w:t>c</w:t>
      </w:r>
      <w:r w:rsidR="00CE6A7C" w:rsidRPr="00CE6A7C">
        <w:rPr>
          <w:rFonts w:ascii="Times New Roman" w:eastAsia="SimSun" w:hAnsi="Times New Roman" w:cs="Calibri"/>
          <w:noProof/>
          <w:color w:val="000000" w:themeColor="text1"/>
          <w:lang w:eastAsia="hi-IN" w:bidi="hi-IN"/>
        </w:rPr>
        <w:t>)</w:t>
      </w:r>
      <w:r w:rsidR="005C0F9E">
        <w:rPr>
          <w:rFonts w:ascii="Times New Roman" w:eastAsia="SimSun" w:hAnsi="Times New Roman" w:cs="Calibri"/>
          <w:color w:val="000000" w:themeColor="text1"/>
          <w:lang w:eastAsia="hi-IN" w:bidi="hi-IN"/>
        </w:rPr>
        <w:fldChar w:fldCharType="end"/>
      </w:r>
      <w:r w:rsidR="00AD601B" w:rsidRPr="00AD601B">
        <w:rPr>
          <w:rFonts w:ascii="Times New Roman" w:eastAsia="SimSun" w:hAnsi="Times New Roman" w:cs="Calibri"/>
          <w:color w:val="000000" w:themeColor="text1"/>
          <w:lang w:eastAsia="hi-IN" w:bidi="hi-IN"/>
        </w:rPr>
        <w:t>. Although it recognised that existing risk assessment methodologies may still be applicable for such organisms, the group indicated that specific technical or methodological challenges require further attention</w:t>
      </w:r>
      <w:r w:rsidR="00A32E4A">
        <w:rPr>
          <w:rFonts w:ascii="Times New Roman" w:eastAsia="SimSun" w:hAnsi="Times New Roman" w:cs="Calibri"/>
          <w:color w:val="000000" w:themeColor="text1"/>
          <w:lang w:eastAsia="hi-IN" w:bidi="hi-IN"/>
        </w:rPr>
        <w:t>, including:</w:t>
      </w:r>
      <w:r w:rsidR="00AD601B" w:rsidRPr="00AD601B">
        <w:rPr>
          <w:rFonts w:ascii="Times New Roman" w:eastAsia="SimSun" w:hAnsi="Times New Roman" w:cs="Calibri"/>
          <w:color w:val="000000" w:themeColor="text1"/>
          <w:lang w:eastAsia="hi-IN" w:bidi="hi-IN"/>
        </w:rPr>
        <w:t xml:space="preserve"> a lack of data to inform the risk assessment process; the limited applicability of some aspects of risk assessment methodologies to </w:t>
      </w:r>
      <w:r w:rsidR="004E2684">
        <w:rPr>
          <w:rFonts w:ascii="Times New Roman" w:eastAsia="SimSun" w:hAnsi="Times New Roman" w:cs="Calibri"/>
          <w:color w:val="000000" w:themeColor="text1"/>
          <w:lang w:eastAsia="hi-IN" w:bidi="hi-IN"/>
        </w:rPr>
        <w:t>LMO</w:t>
      </w:r>
      <w:r w:rsidR="00AD601B" w:rsidRPr="00AD601B">
        <w:rPr>
          <w:rFonts w:ascii="Times New Roman" w:eastAsia="SimSun" w:hAnsi="Times New Roman" w:cs="Calibri"/>
          <w:color w:val="000000" w:themeColor="text1"/>
          <w:lang w:eastAsia="hi-IN" w:bidi="hi-IN"/>
        </w:rPr>
        <w:t>s containing engineered gene drives</w:t>
      </w:r>
      <w:r w:rsidR="007E3AB3">
        <w:rPr>
          <w:rFonts w:ascii="Times New Roman" w:eastAsia="SimSun" w:hAnsi="Times New Roman" w:cs="Calibri"/>
          <w:color w:val="000000" w:themeColor="text1"/>
          <w:lang w:eastAsia="hi-IN" w:bidi="hi-IN"/>
        </w:rPr>
        <w:t xml:space="preserve"> (</w:t>
      </w:r>
      <w:r w:rsidR="00AD601B" w:rsidRPr="00AD601B">
        <w:rPr>
          <w:rFonts w:ascii="Times New Roman" w:eastAsia="SimSun" w:hAnsi="Times New Roman" w:cs="Calibri"/>
          <w:color w:val="000000" w:themeColor="text1"/>
          <w:lang w:eastAsia="hi-IN" w:bidi="hi-IN"/>
        </w:rPr>
        <w:t>such as challenges to the comparative risk assessment framework and monitoring methods</w:t>
      </w:r>
      <w:r w:rsidR="007E3AB3">
        <w:rPr>
          <w:rFonts w:ascii="Times New Roman" w:eastAsia="SimSun" w:hAnsi="Times New Roman" w:cs="Calibri"/>
          <w:color w:val="000000" w:themeColor="text1"/>
          <w:lang w:eastAsia="hi-IN" w:bidi="hi-IN"/>
        </w:rPr>
        <w:t>)</w:t>
      </w:r>
      <w:r w:rsidR="000A4787">
        <w:rPr>
          <w:rFonts w:ascii="Times New Roman" w:eastAsia="SimSun" w:hAnsi="Times New Roman" w:cs="Calibri"/>
          <w:color w:val="000000" w:themeColor="text1"/>
          <w:lang w:eastAsia="hi-IN" w:bidi="hi-IN"/>
        </w:rPr>
        <w:t>;</w:t>
      </w:r>
      <w:r w:rsidR="00AD601B" w:rsidRPr="00AD601B">
        <w:rPr>
          <w:rFonts w:ascii="Times New Roman" w:eastAsia="SimSun" w:hAnsi="Times New Roman" w:cs="Calibri"/>
          <w:color w:val="000000" w:themeColor="text1"/>
          <w:lang w:eastAsia="hi-IN" w:bidi="hi-IN"/>
        </w:rPr>
        <w:t xml:space="preserve"> </w:t>
      </w:r>
      <w:r w:rsidR="00F83C91">
        <w:rPr>
          <w:rFonts w:ascii="Times New Roman" w:eastAsia="SimSun" w:hAnsi="Times New Roman" w:cs="Calibri"/>
          <w:color w:val="000000" w:themeColor="text1"/>
          <w:lang w:eastAsia="hi-IN" w:bidi="hi-IN"/>
        </w:rPr>
        <w:t>a</w:t>
      </w:r>
      <w:r w:rsidR="00AD601B" w:rsidRPr="00AD601B">
        <w:rPr>
          <w:rFonts w:ascii="Times New Roman" w:eastAsia="SimSun" w:hAnsi="Times New Roman" w:cs="Calibri"/>
          <w:color w:val="000000" w:themeColor="text1"/>
          <w:lang w:eastAsia="hi-IN" w:bidi="hi-IN"/>
        </w:rPr>
        <w:t xml:space="preserve"> lack of guidance on how to assess </w:t>
      </w:r>
      <w:r w:rsidR="00AD601B" w:rsidRPr="005816CB">
        <w:rPr>
          <w:rFonts w:ascii="Times New Roman" w:eastAsia="SimSun" w:hAnsi="Times New Roman"/>
          <w:color w:val="000000" w:themeColor="text1"/>
          <w:lang w:eastAsia="hi-IN" w:bidi="hi-IN"/>
        </w:rPr>
        <w:t>uncertainty</w:t>
      </w:r>
      <w:r w:rsidR="00F83C91">
        <w:rPr>
          <w:rFonts w:ascii="Times New Roman" w:eastAsia="SimSun" w:hAnsi="Times New Roman"/>
          <w:color w:val="000000" w:themeColor="text1"/>
          <w:lang w:eastAsia="hi-IN" w:bidi="hi-IN"/>
        </w:rPr>
        <w:t>;</w:t>
      </w:r>
      <w:r w:rsidR="00AD601B" w:rsidRPr="005816CB">
        <w:rPr>
          <w:rFonts w:ascii="Times New Roman" w:eastAsia="SimSun" w:hAnsi="Times New Roman"/>
          <w:color w:val="000000" w:themeColor="text1"/>
          <w:lang w:eastAsia="hi-IN" w:bidi="hi-IN"/>
        </w:rPr>
        <w:t xml:space="preserve"> </w:t>
      </w:r>
      <w:r w:rsidR="00F83C91">
        <w:rPr>
          <w:rFonts w:ascii="Times New Roman" w:eastAsia="SimSun" w:hAnsi="Times New Roman"/>
          <w:color w:val="000000" w:themeColor="text1"/>
          <w:lang w:eastAsia="hi-IN" w:bidi="hi-IN"/>
        </w:rPr>
        <w:t>a</w:t>
      </w:r>
      <w:r w:rsidR="00AD601B">
        <w:rPr>
          <w:rFonts w:ascii="Times New Roman" w:eastAsia="SimSun" w:hAnsi="Times New Roman"/>
          <w:color w:val="000000" w:themeColor="text1"/>
          <w:lang w:eastAsia="hi-IN" w:bidi="hi-IN"/>
        </w:rPr>
        <w:t xml:space="preserve"> </w:t>
      </w:r>
      <w:r w:rsidR="00AD601B" w:rsidRPr="005816CB">
        <w:rPr>
          <w:rFonts w:ascii="Times New Roman" w:eastAsia="SimSun" w:hAnsi="Times New Roman"/>
          <w:color w:val="000000" w:themeColor="text1"/>
          <w:lang w:eastAsia="hi-IN" w:bidi="hi-IN"/>
        </w:rPr>
        <w:t xml:space="preserve">lack of validated modelling tools; and </w:t>
      </w:r>
      <w:r w:rsidR="00E56E2D">
        <w:rPr>
          <w:rFonts w:ascii="Times New Roman" w:eastAsia="SimSun" w:hAnsi="Times New Roman"/>
          <w:color w:val="000000" w:themeColor="text1"/>
          <w:lang w:eastAsia="hi-IN" w:bidi="hi-IN"/>
        </w:rPr>
        <w:t xml:space="preserve">a </w:t>
      </w:r>
      <w:r w:rsidR="00AD601B" w:rsidRPr="005816CB">
        <w:rPr>
          <w:rFonts w:ascii="Times New Roman" w:eastAsia="SimSun" w:hAnsi="Times New Roman"/>
          <w:color w:val="000000" w:themeColor="text1"/>
          <w:lang w:eastAsia="hi-IN" w:bidi="hi-IN"/>
        </w:rPr>
        <w:t>lack of experience or capacity.</w:t>
      </w:r>
    </w:p>
    <w:p w14:paraId="68F6E7D5" w14:textId="710CE2D2" w:rsidR="00F91A94" w:rsidRDefault="000769E3" w:rsidP="00F13BFC">
      <w:pPr>
        <w:spacing w:after="120" w:line="240" w:lineRule="auto"/>
        <w:jc w:val="both"/>
        <w:rPr>
          <w:rFonts w:ascii="Times New Roman" w:hAnsi="Times New Roman"/>
          <w:color w:val="000000" w:themeColor="text1"/>
          <w:lang w:eastAsia="ar-SA"/>
        </w:rPr>
      </w:pPr>
      <w:r w:rsidRPr="00B048B9">
        <w:rPr>
          <w:rFonts w:ascii="Times New Roman" w:eastAsia="SimSun" w:hAnsi="Times New Roman"/>
          <w:color w:val="000000" w:themeColor="text1"/>
          <w:lang w:eastAsia="hi-IN" w:bidi="hi-IN"/>
        </w:rPr>
        <w:t xml:space="preserve">The AHTEG also </w:t>
      </w:r>
      <w:r w:rsidR="0019052D" w:rsidRPr="00B048B9">
        <w:rPr>
          <w:rFonts w:ascii="Times New Roman" w:eastAsia="SimSun" w:hAnsi="Times New Roman"/>
          <w:color w:val="000000" w:themeColor="text1"/>
          <w:lang w:eastAsia="hi-IN" w:bidi="hi-IN"/>
        </w:rPr>
        <w:t>recogni</w:t>
      </w:r>
      <w:r w:rsidR="0019052D">
        <w:rPr>
          <w:rFonts w:ascii="Times New Roman" w:eastAsia="SimSun" w:hAnsi="Times New Roman"/>
          <w:color w:val="000000" w:themeColor="text1"/>
          <w:lang w:eastAsia="hi-IN" w:bidi="hi-IN"/>
        </w:rPr>
        <w:t>s</w:t>
      </w:r>
      <w:r w:rsidR="0019052D" w:rsidRPr="00B048B9">
        <w:rPr>
          <w:rFonts w:ascii="Times New Roman" w:eastAsia="SimSun" w:hAnsi="Times New Roman"/>
          <w:color w:val="000000" w:themeColor="text1"/>
          <w:lang w:eastAsia="hi-IN" w:bidi="hi-IN"/>
        </w:rPr>
        <w:t xml:space="preserve">ed </w:t>
      </w:r>
      <w:r w:rsidRPr="00B048B9">
        <w:rPr>
          <w:rFonts w:ascii="Times New Roman" w:eastAsia="SimSun" w:hAnsi="Times New Roman"/>
          <w:color w:val="000000" w:themeColor="text1"/>
          <w:lang w:eastAsia="hi-IN" w:bidi="hi-IN"/>
        </w:rPr>
        <w:t xml:space="preserve">that solutions to the challenges posed by LMOs with engineered gene drives will entail reconsideration of risk assessment and monitoring methods, as well as making more widely available the necessary expertise, training and resources required and the participation of indigenous peoples and local communities. </w:t>
      </w:r>
      <w:r w:rsidR="00955C65" w:rsidRPr="00816104">
        <w:rPr>
          <w:rFonts w:ascii="Times New Roman" w:hAnsi="Times New Roman"/>
          <w:color w:val="000000" w:themeColor="text1"/>
          <w:lang w:eastAsia="ar-SA"/>
        </w:rPr>
        <w:t xml:space="preserve">Due to the complexity of </w:t>
      </w:r>
      <w:r w:rsidR="00D0236A" w:rsidRPr="00816104">
        <w:rPr>
          <w:rFonts w:ascii="Times New Roman" w:hAnsi="Times New Roman"/>
          <w:color w:val="000000" w:themeColor="text1"/>
          <w:lang w:eastAsia="ar-SA"/>
        </w:rPr>
        <w:t>organisms containing engineered gene drives</w:t>
      </w:r>
      <w:r w:rsidR="00955C65" w:rsidRPr="00F13BFC">
        <w:rPr>
          <w:rFonts w:ascii="Times New Roman" w:hAnsi="Times New Roman"/>
          <w:color w:val="000000" w:themeColor="text1"/>
          <w:lang w:eastAsia="ar-SA"/>
        </w:rPr>
        <w:t xml:space="preserve"> and its interaction with the environment, </w:t>
      </w:r>
      <w:r w:rsidR="00AB6EA1">
        <w:rPr>
          <w:rFonts w:ascii="Times New Roman" w:hAnsi="Times New Roman"/>
          <w:color w:val="000000" w:themeColor="text1"/>
          <w:lang w:eastAsia="ar-SA"/>
        </w:rPr>
        <w:t xml:space="preserve">questions have been raised </w:t>
      </w:r>
      <w:r w:rsidR="00947350">
        <w:rPr>
          <w:rFonts w:ascii="Times New Roman" w:hAnsi="Times New Roman"/>
          <w:color w:val="000000" w:themeColor="text1"/>
          <w:lang w:eastAsia="ar-SA"/>
        </w:rPr>
        <w:t>concernin</w:t>
      </w:r>
      <w:r w:rsidR="00816104">
        <w:rPr>
          <w:rFonts w:ascii="Times New Roman" w:hAnsi="Times New Roman"/>
          <w:color w:val="000000" w:themeColor="text1"/>
          <w:lang w:eastAsia="ar-SA"/>
        </w:rPr>
        <w:t xml:space="preserve">g whether </w:t>
      </w:r>
      <w:r w:rsidR="00955C65" w:rsidRPr="00F13BFC">
        <w:rPr>
          <w:rFonts w:ascii="Times New Roman" w:hAnsi="Times New Roman"/>
          <w:color w:val="000000" w:themeColor="text1"/>
          <w:lang w:eastAsia="ar-SA"/>
        </w:rPr>
        <w:t>risk assessment could result in sufficiently reliable conclusions</w:t>
      </w:r>
      <w:r w:rsidR="00D0236A" w:rsidRPr="00F13BFC">
        <w:rPr>
          <w:rFonts w:ascii="Times New Roman" w:hAnsi="Times New Roman"/>
          <w:color w:val="000000" w:themeColor="text1"/>
          <w:lang w:eastAsia="ar-SA"/>
        </w:rPr>
        <w:t xml:space="preserve"> </w:t>
      </w:r>
      <w:r w:rsidR="00315C3D">
        <w:rPr>
          <w:rFonts w:ascii="Times New Roman" w:hAnsi="Times New Roman"/>
          <w:color w:val="000000" w:themeColor="text1"/>
          <w:lang w:eastAsia="ar-SA"/>
        </w:rPr>
        <w:fldChar w:fldCharType="begin" w:fldLock="1"/>
      </w:r>
      <w:r w:rsidR="00315C3D">
        <w:rPr>
          <w:rFonts w:ascii="Times New Roman" w:hAnsi="Times New Roman"/>
          <w:color w:val="000000" w:themeColor="text1"/>
          <w:lang w:eastAsia="ar-SA"/>
        </w:rPr>
        <w:instrText>ADDIN CSL_CITATION {"citationItems":[{"id":"ITEM-1","itemData":{"ISBN":"978-3-99004-524-4","author":[{"dropping-particle":"","family":"Dolezol","given":"Marion","non-dropping-particle":"","parse-names":false,"suffix":""},{"dropping-particle":"","family":"Simon","given":"Samson","non-dropping-particle":"","parse-names":false,"suffix":""},{"dropping-particle":"","family":"Otto","given":"Mathias","non-dropping-particle":"","parse-names":false,"suffix":""},{"dropping-particle":"","family":"Engelhard","given":"Margret","non-dropping-particle":"","parse-names":false,"suffix":""},{"dropping-particle":"","family":"Züghart","given":"Wiebke","non-dropping-particle":"","parse-names":false,"suffix":""}],"id":"ITEM-1","issue":"REP-0705","issued":{"date-parts":[["2020"]]},"number-of-pages":"37","publisher-place":"Vienna, Austria","title":"Gene drive organisms: Implications for the Environment and Nature Conservation","type":"report"},"uris":["http://www.mendeley.com/documents/?uuid=938c4730-afe8-4b77-b0f5-57b5a4f549b6"]}],"mendeley":{"formattedCitation":"(Dolezol et al., 2020)","plainTextFormattedCitation":"(Dolezol et al., 2020)","previouslyFormattedCitation":"(Dolezol et al., 2020)"},"properties":{"noteIndex":0},"schema":"https://github.com/citation-style-language/schema/raw/master/csl-citation.json"}</w:instrText>
      </w:r>
      <w:r w:rsidR="00315C3D">
        <w:rPr>
          <w:rFonts w:ascii="Times New Roman" w:hAnsi="Times New Roman"/>
          <w:color w:val="000000" w:themeColor="text1"/>
          <w:lang w:eastAsia="ar-SA"/>
        </w:rPr>
        <w:fldChar w:fldCharType="separate"/>
      </w:r>
      <w:r w:rsidR="00315C3D" w:rsidRPr="00315C3D">
        <w:rPr>
          <w:rFonts w:ascii="Times New Roman" w:hAnsi="Times New Roman"/>
          <w:noProof/>
          <w:color w:val="000000" w:themeColor="text1"/>
          <w:lang w:eastAsia="ar-SA"/>
        </w:rPr>
        <w:t>(Dolezol et al., 2020)</w:t>
      </w:r>
      <w:r w:rsidR="00315C3D">
        <w:rPr>
          <w:rFonts w:ascii="Times New Roman" w:hAnsi="Times New Roman"/>
          <w:color w:val="000000" w:themeColor="text1"/>
          <w:lang w:eastAsia="ar-SA"/>
        </w:rPr>
        <w:fldChar w:fldCharType="end"/>
      </w:r>
      <w:r w:rsidRPr="00F13BFC">
        <w:rPr>
          <w:rFonts w:ascii="Times New Roman" w:hAnsi="Times New Roman"/>
          <w:color w:val="000000" w:themeColor="text1"/>
          <w:lang w:eastAsia="ar-SA"/>
        </w:rPr>
        <w:t>.</w:t>
      </w:r>
      <w:r w:rsidR="00BC5291">
        <w:rPr>
          <w:rFonts w:ascii="Times New Roman" w:hAnsi="Times New Roman"/>
          <w:color w:val="000000" w:themeColor="text1"/>
          <w:lang w:eastAsia="ar-SA"/>
        </w:rPr>
        <w:t xml:space="preserve"> </w:t>
      </w:r>
      <w:r w:rsidR="0023685E">
        <w:rPr>
          <w:rFonts w:ascii="Times New Roman" w:hAnsi="Times New Roman"/>
          <w:color w:val="000000" w:themeColor="text1"/>
          <w:lang w:eastAsia="ar-SA"/>
        </w:rPr>
        <w:t xml:space="preserve">Further, </w:t>
      </w:r>
      <w:r w:rsidR="00C56599">
        <w:rPr>
          <w:rFonts w:ascii="Times New Roman" w:hAnsi="Times New Roman"/>
          <w:color w:val="000000" w:themeColor="text1"/>
          <w:lang w:eastAsia="ar-SA"/>
        </w:rPr>
        <w:t xml:space="preserve">the </w:t>
      </w:r>
      <w:r w:rsidR="0023685E">
        <w:rPr>
          <w:rFonts w:ascii="Times New Roman" w:hAnsi="Times New Roman"/>
          <w:color w:val="000000" w:themeColor="text1"/>
          <w:lang w:eastAsia="ar-SA"/>
        </w:rPr>
        <w:t>r</w:t>
      </w:r>
      <w:r w:rsidR="00F91A94" w:rsidRPr="00F91A94">
        <w:rPr>
          <w:rFonts w:ascii="Times New Roman" w:hAnsi="Times New Roman"/>
          <w:color w:val="000000" w:themeColor="text1"/>
          <w:lang w:eastAsia="ar-SA"/>
        </w:rPr>
        <w:t xml:space="preserve">isk assessment of </w:t>
      </w:r>
      <w:r w:rsidR="00BC5291">
        <w:rPr>
          <w:rFonts w:ascii="Times New Roman" w:hAnsi="Times New Roman"/>
          <w:color w:val="000000" w:themeColor="text1"/>
          <w:lang w:eastAsia="ar-SA"/>
        </w:rPr>
        <w:t xml:space="preserve">engineered </w:t>
      </w:r>
      <w:r w:rsidR="00F91A94" w:rsidRPr="00F91A94">
        <w:rPr>
          <w:rFonts w:ascii="Times New Roman" w:hAnsi="Times New Roman"/>
          <w:color w:val="000000" w:themeColor="text1"/>
          <w:lang w:eastAsia="ar-SA"/>
        </w:rPr>
        <w:t xml:space="preserve">gene drive organisms will </w:t>
      </w:r>
      <w:r w:rsidR="00BC5291">
        <w:rPr>
          <w:rFonts w:ascii="Times New Roman" w:hAnsi="Times New Roman"/>
          <w:color w:val="000000" w:themeColor="text1"/>
          <w:lang w:eastAsia="ar-SA"/>
        </w:rPr>
        <w:t xml:space="preserve">also </w:t>
      </w:r>
      <w:r w:rsidR="00F91A94" w:rsidRPr="00F91A94">
        <w:rPr>
          <w:rFonts w:ascii="Times New Roman" w:hAnsi="Times New Roman"/>
          <w:color w:val="000000" w:themeColor="text1"/>
          <w:lang w:eastAsia="ar-SA"/>
        </w:rPr>
        <w:t>require the development of new tools to complement established methodologies</w:t>
      </w:r>
      <w:r w:rsidR="002265A3">
        <w:rPr>
          <w:rFonts w:ascii="Times New Roman" w:hAnsi="Times New Roman"/>
          <w:color w:val="000000" w:themeColor="text1"/>
          <w:lang w:eastAsia="ar-SA"/>
        </w:rPr>
        <w:t>, including</w:t>
      </w:r>
      <w:r w:rsidR="00F91A94" w:rsidRPr="00F91A94">
        <w:rPr>
          <w:rFonts w:ascii="Times New Roman" w:hAnsi="Times New Roman"/>
          <w:color w:val="000000" w:themeColor="text1"/>
          <w:lang w:eastAsia="ar-SA"/>
        </w:rPr>
        <w:t xml:space="preserve"> the use of models to help predict the ecological consequences of released </w:t>
      </w:r>
      <w:r w:rsidR="00BC5291">
        <w:rPr>
          <w:rFonts w:ascii="Times New Roman" w:hAnsi="Times New Roman"/>
          <w:color w:val="000000" w:themeColor="text1"/>
          <w:lang w:eastAsia="ar-SA"/>
        </w:rPr>
        <w:t xml:space="preserve">engineered </w:t>
      </w:r>
      <w:r w:rsidR="00F91A94" w:rsidRPr="00F91A94">
        <w:rPr>
          <w:rFonts w:ascii="Times New Roman" w:hAnsi="Times New Roman"/>
          <w:color w:val="000000" w:themeColor="text1"/>
          <w:lang w:eastAsia="ar-SA"/>
        </w:rPr>
        <w:t>gene drive organisms. Unlike non-</w:t>
      </w:r>
      <w:r w:rsidR="002265A3">
        <w:rPr>
          <w:rFonts w:ascii="Times New Roman" w:hAnsi="Times New Roman"/>
          <w:color w:val="000000" w:themeColor="text1"/>
          <w:lang w:eastAsia="ar-SA"/>
        </w:rPr>
        <w:t xml:space="preserve">engineered </w:t>
      </w:r>
      <w:r w:rsidR="00F91A94" w:rsidRPr="00F91A94">
        <w:rPr>
          <w:rFonts w:ascii="Times New Roman" w:hAnsi="Times New Roman"/>
          <w:color w:val="000000" w:themeColor="text1"/>
          <w:lang w:eastAsia="ar-SA"/>
        </w:rPr>
        <w:t xml:space="preserve">gene drive organisms which can be limited in time and space and therefore provide data </w:t>
      </w:r>
      <w:r w:rsidR="00A41638">
        <w:rPr>
          <w:rFonts w:ascii="Times New Roman" w:hAnsi="Times New Roman"/>
          <w:color w:val="000000" w:themeColor="text1"/>
          <w:lang w:eastAsia="ar-SA"/>
        </w:rPr>
        <w:t>from</w:t>
      </w:r>
      <w:r w:rsidR="00F91A94" w:rsidRPr="00F91A94">
        <w:rPr>
          <w:rFonts w:ascii="Times New Roman" w:hAnsi="Times New Roman"/>
          <w:color w:val="000000" w:themeColor="text1"/>
          <w:lang w:eastAsia="ar-SA"/>
        </w:rPr>
        <w:t xml:space="preserve"> small</w:t>
      </w:r>
      <w:r w:rsidR="002265A3">
        <w:rPr>
          <w:rFonts w:ascii="Times New Roman" w:hAnsi="Times New Roman"/>
          <w:color w:val="000000" w:themeColor="text1"/>
          <w:lang w:eastAsia="ar-SA"/>
        </w:rPr>
        <w:t>-</w:t>
      </w:r>
      <w:r w:rsidR="00F91A94" w:rsidRPr="00F91A94">
        <w:rPr>
          <w:rFonts w:ascii="Times New Roman" w:hAnsi="Times New Roman"/>
          <w:color w:val="000000" w:themeColor="text1"/>
          <w:lang w:eastAsia="ar-SA"/>
        </w:rPr>
        <w:t>scale tests that can be relevant to large</w:t>
      </w:r>
      <w:r w:rsidR="003F29E8">
        <w:rPr>
          <w:rFonts w:ascii="Times New Roman" w:hAnsi="Times New Roman"/>
          <w:color w:val="000000" w:themeColor="text1"/>
          <w:lang w:eastAsia="ar-SA"/>
        </w:rPr>
        <w:t>-</w:t>
      </w:r>
      <w:r w:rsidR="00F91A94" w:rsidRPr="00F91A94">
        <w:rPr>
          <w:rFonts w:ascii="Times New Roman" w:hAnsi="Times New Roman"/>
          <w:color w:val="000000" w:themeColor="text1"/>
          <w:lang w:eastAsia="ar-SA"/>
        </w:rPr>
        <w:t xml:space="preserve">scale releases, the potential </w:t>
      </w:r>
      <w:r w:rsidR="00341DA4">
        <w:rPr>
          <w:rFonts w:ascii="Times New Roman" w:hAnsi="Times New Roman"/>
          <w:color w:val="000000" w:themeColor="text1"/>
          <w:lang w:eastAsia="ar-SA"/>
        </w:rPr>
        <w:t xml:space="preserve">of engineered </w:t>
      </w:r>
      <w:r w:rsidR="00F91A94" w:rsidRPr="00F91A94">
        <w:rPr>
          <w:rFonts w:ascii="Times New Roman" w:hAnsi="Times New Roman"/>
          <w:color w:val="000000" w:themeColor="text1"/>
          <w:lang w:eastAsia="ar-SA"/>
        </w:rPr>
        <w:t xml:space="preserve">gene drive organisms </w:t>
      </w:r>
      <w:r w:rsidR="00341DA4">
        <w:rPr>
          <w:rFonts w:ascii="Times New Roman" w:hAnsi="Times New Roman"/>
          <w:color w:val="000000" w:themeColor="text1"/>
          <w:lang w:eastAsia="ar-SA"/>
        </w:rPr>
        <w:t>to</w:t>
      </w:r>
      <w:r w:rsidR="00341DA4" w:rsidRPr="00F91A94">
        <w:rPr>
          <w:rFonts w:ascii="Times New Roman" w:hAnsi="Times New Roman"/>
          <w:color w:val="000000" w:themeColor="text1"/>
          <w:lang w:eastAsia="ar-SA"/>
        </w:rPr>
        <w:t xml:space="preserve"> </w:t>
      </w:r>
      <w:r w:rsidR="0003518A" w:rsidRPr="00F91A94">
        <w:rPr>
          <w:rFonts w:ascii="Times New Roman" w:hAnsi="Times New Roman"/>
          <w:color w:val="000000" w:themeColor="text1"/>
          <w:lang w:eastAsia="ar-SA"/>
        </w:rPr>
        <w:t xml:space="preserve">spread </w:t>
      </w:r>
      <w:r w:rsidR="0003518A">
        <w:rPr>
          <w:rFonts w:ascii="Times New Roman" w:hAnsi="Times New Roman"/>
          <w:color w:val="000000" w:themeColor="text1"/>
          <w:lang w:eastAsia="ar-SA"/>
        </w:rPr>
        <w:t xml:space="preserve">over </w:t>
      </w:r>
      <w:r w:rsidR="00341DA4" w:rsidRPr="00F91A94">
        <w:rPr>
          <w:rFonts w:ascii="Times New Roman" w:hAnsi="Times New Roman"/>
          <w:color w:val="000000" w:themeColor="text1"/>
          <w:lang w:eastAsia="ar-SA"/>
        </w:rPr>
        <w:t>large</w:t>
      </w:r>
      <w:r w:rsidR="00254BAE">
        <w:rPr>
          <w:rFonts w:ascii="Times New Roman" w:hAnsi="Times New Roman"/>
          <w:color w:val="000000" w:themeColor="text1"/>
          <w:lang w:eastAsia="ar-SA"/>
        </w:rPr>
        <w:t xml:space="preserve"> </w:t>
      </w:r>
      <w:r w:rsidR="00154C04">
        <w:rPr>
          <w:rFonts w:ascii="Times New Roman" w:hAnsi="Times New Roman"/>
          <w:color w:val="000000" w:themeColor="text1"/>
          <w:lang w:eastAsia="ar-SA"/>
        </w:rPr>
        <w:t>areas and landscapes</w:t>
      </w:r>
      <w:r w:rsidR="00AC463E">
        <w:rPr>
          <w:rFonts w:ascii="Times New Roman" w:hAnsi="Times New Roman"/>
          <w:color w:val="000000" w:themeColor="text1"/>
          <w:lang w:eastAsia="ar-SA"/>
        </w:rPr>
        <w:t>,</w:t>
      </w:r>
      <w:r w:rsidR="00341DA4" w:rsidRPr="00F91A94">
        <w:rPr>
          <w:rFonts w:ascii="Times New Roman" w:hAnsi="Times New Roman"/>
          <w:color w:val="000000" w:themeColor="text1"/>
          <w:lang w:eastAsia="ar-SA"/>
        </w:rPr>
        <w:t xml:space="preserve"> </w:t>
      </w:r>
      <w:r w:rsidR="00F91A94" w:rsidRPr="00F91A94">
        <w:rPr>
          <w:rFonts w:ascii="Times New Roman" w:hAnsi="Times New Roman"/>
          <w:color w:val="000000" w:themeColor="text1"/>
          <w:lang w:eastAsia="ar-SA"/>
        </w:rPr>
        <w:t xml:space="preserve">even from a limited release </w:t>
      </w:r>
      <w:r w:rsidR="00616545">
        <w:rPr>
          <w:rFonts w:ascii="Times New Roman" w:hAnsi="Times New Roman"/>
          <w:color w:val="000000" w:themeColor="text1"/>
          <w:lang w:eastAsia="ar-SA"/>
        </w:rPr>
        <w:t>or</w:t>
      </w:r>
      <w:r w:rsidR="00F91A94" w:rsidRPr="00F91A94">
        <w:rPr>
          <w:rFonts w:ascii="Times New Roman" w:hAnsi="Times New Roman"/>
          <w:color w:val="000000" w:themeColor="text1"/>
          <w:lang w:eastAsia="ar-SA"/>
        </w:rPr>
        <w:t xml:space="preserve"> well-isolated trials</w:t>
      </w:r>
      <w:r w:rsidR="00AC463E">
        <w:rPr>
          <w:rFonts w:ascii="Times New Roman" w:hAnsi="Times New Roman"/>
          <w:color w:val="000000" w:themeColor="text1"/>
          <w:lang w:eastAsia="ar-SA"/>
        </w:rPr>
        <w:t>,</w:t>
      </w:r>
      <w:r w:rsidR="00F91A94" w:rsidRPr="00F91A94">
        <w:rPr>
          <w:rFonts w:ascii="Times New Roman" w:hAnsi="Times New Roman"/>
          <w:color w:val="000000" w:themeColor="text1"/>
          <w:lang w:eastAsia="ar-SA"/>
        </w:rPr>
        <w:t xml:space="preserve"> means that risk assessors will need to consider models and forecasts in their </w:t>
      </w:r>
      <w:r w:rsidR="00616545">
        <w:rPr>
          <w:rFonts w:ascii="Times New Roman" w:hAnsi="Times New Roman"/>
          <w:color w:val="000000" w:themeColor="text1"/>
          <w:lang w:eastAsia="ar-SA"/>
        </w:rPr>
        <w:t>assessments</w:t>
      </w:r>
      <w:r w:rsidR="00F91A94" w:rsidRPr="00F91A94">
        <w:rPr>
          <w:rFonts w:ascii="Times New Roman" w:hAnsi="Times New Roman"/>
          <w:color w:val="000000" w:themeColor="text1"/>
          <w:lang w:eastAsia="ar-SA"/>
        </w:rPr>
        <w:t>.</w:t>
      </w:r>
      <w:r w:rsidR="00F70421" w:rsidRPr="00F70421">
        <w:t xml:space="preserve"> </w:t>
      </w:r>
      <w:r w:rsidR="00F70421" w:rsidRPr="00F70421">
        <w:rPr>
          <w:rFonts w:ascii="Times New Roman" w:hAnsi="Times New Roman"/>
        </w:rPr>
        <w:t>However, a</w:t>
      </w:r>
      <w:r w:rsidR="00F70421" w:rsidRPr="00F70421">
        <w:rPr>
          <w:rFonts w:ascii="Times New Roman" w:hAnsi="Times New Roman"/>
          <w:color w:val="000000" w:themeColor="text1"/>
          <w:lang w:eastAsia="ar-SA"/>
        </w:rPr>
        <w:t xml:space="preserve">s </w:t>
      </w:r>
      <w:r w:rsidR="007D3D43">
        <w:rPr>
          <w:rFonts w:ascii="Times New Roman" w:hAnsi="Times New Roman"/>
          <w:color w:val="000000" w:themeColor="text1"/>
          <w:lang w:eastAsia="ar-SA"/>
        </w:rPr>
        <w:t xml:space="preserve">the development of </w:t>
      </w:r>
      <w:r w:rsidR="00F70421">
        <w:rPr>
          <w:rFonts w:ascii="Times New Roman" w:hAnsi="Times New Roman"/>
          <w:color w:val="000000" w:themeColor="text1"/>
          <w:lang w:eastAsia="ar-SA"/>
        </w:rPr>
        <w:t>engineered gene drive</w:t>
      </w:r>
      <w:r w:rsidR="00F70421" w:rsidRPr="00F70421">
        <w:rPr>
          <w:rFonts w:ascii="Times New Roman" w:hAnsi="Times New Roman"/>
          <w:color w:val="000000" w:themeColor="text1"/>
          <w:lang w:eastAsia="ar-SA"/>
        </w:rPr>
        <w:t xml:space="preserve"> </w:t>
      </w:r>
      <w:r w:rsidR="00F70421">
        <w:rPr>
          <w:rFonts w:ascii="Times New Roman" w:hAnsi="Times New Roman"/>
          <w:color w:val="000000" w:themeColor="text1"/>
          <w:lang w:eastAsia="ar-SA"/>
        </w:rPr>
        <w:t>organisms near</w:t>
      </w:r>
      <w:r w:rsidR="007D3D43">
        <w:rPr>
          <w:rFonts w:ascii="Times New Roman" w:hAnsi="Times New Roman"/>
          <w:color w:val="000000" w:themeColor="text1"/>
          <w:lang w:eastAsia="ar-SA"/>
        </w:rPr>
        <w:t xml:space="preserve"> potential release</w:t>
      </w:r>
      <w:r w:rsidR="00F70421" w:rsidRPr="00F70421">
        <w:rPr>
          <w:rFonts w:ascii="Times New Roman" w:hAnsi="Times New Roman"/>
          <w:color w:val="000000" w:themeColor="text1"/>
          <w:lang w:eastAsia="ar-SA"/>
        </w:rPr>
        <w:t>, further ecological work will be essential to enhance model predictions</w:t>
      </w:r>
      <w:r w:rsidR="007D3D43">
        <w:rPr>
          <w:rFonts w:ascii="Times New Roman" w:hAnsi="Times New Roman"/>
          <w:color w:val="000000" w:themeColor="text1"/>
          <w:lang w:eastAsia="ar-SA"/>
        </w:rPr>
        <w:t xml:space="preserve"> </w:t>
      </w:r>
      <w:r w:rsidR="007D3D43">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{"citationItems":[{"id":"ITEM-1","itemData":{"DOI":"10.1186/s12915-020-0759-9","ISSN":"17417007","PMID":"32398005","abstract":"Background: The discovery of CRISPR-based gene editing and its application to homing-based gene drive systems has been greeted with excitement, for its potential to control mosquito-borne diseases on a wide scale, and concern, for the invasiveness and potential irreversibility of a release. Gene drive systems that display threshold-dependent behavior could potentially be used during the trial phase of this technology, or when localized control is otherwise desired, as simple models predict them to spread into partially isolated populations in a confineable manner, and to be reversible through releases of wild-type organisms. Here, we model hypothetical releases of two recently engineered threshold-dependent gene drive systems-reciprocal chromosomal translocations and a form of toxin-antidote-based underdominance known as UDMEL-to explore their ability to be confined and remediated. Results: We simulate releases of Aedes aegypti, the mosquito vector of dengue, Zika, and other arboviruses, in Yorkeys Knob, a suburb of Cairns, Australia, where previous biological control interventions have been undertaken on this species. We monitor spread to the neighboring suburb of Trinity Park to assess confinement. Results suggest that translocations could be introduced on a suburban scale, and remediated through releases of non-disease-transmitting male mosquitoes with release sizes on the scale of what has been previously implemented. UDMEL requires fewer releases to introduce, but more releases to remediate, including of females capable of disease transmission. Both systems are expected to be confineable to the release site; however, spillover of translocations into neighboring populations is less likely. Conclusions: Our analysis supports the use of translocations as a threshold-dependent drive system capable of spreading disease-refractory genes into Ae. aegypti populations in a confineable and reversible manner. It also highlights increased release requirements when incorporating life history and population structure into models. As the technology nears implementation, further ecological work will be essential to enhance model predictions in preparation for field trials.","author":[{"dropping-particle":"","family":"Sánchez C","given":"Héctor M.","non-dropping-particle":"","parse-names":false,"suffix":""},{"dropping-particle":"","family":"Bennett","given":"Jared B.","non-dropping-particle":"","parse-names":false,"suffix":""},{"dropping-particle":"","family":"Wu","given":"Sean L.","non-dropping-particle":"","parse-names":false,"suffix":""},{"dropping-particle":"","family":"Rašić","given":"Gordana","non-dropping-particle":"","parse-names":false,"suffix":""},{"dropping-particle":"","family":"Akbari","given":"Omar S.","non-dropping-particle":"","parse-names":false,"suffix":""},{"dropping-particle":"","family":"Marshall","given":"John M.","non-dropping-particle":"","parse-names":false,"suffix":""}],"container-title":"BMC Biology","id":"ITEM-1","issue":"1","issued":{"date-parts":[["2020","5"]]},"page":"50","publisher":"BioMed Central Ltd.","title":"Modeling confinement and reversibility of threshold-dependent gene drive systems in spatially-explicit Aedes aegypti populations","type":"article-journal","volume":"18"},"uris":["http://www.mendeley.com/documents/?uuid=0007ecba-6213-428c-9feb-30afd2b48068"]}],"mendeley":{"formattedCitation":"(Sánchez C et al., 2020)","manualFormatting":"(Sánchez et al., 2020)","plainTextFormattedCitation":"(Sánchez C et al., 2020)","previouslyFormattedCitation":"(Sánchez C et al., 2020)"},"properties":{"noteIndex":0},"schema":"https://github.com/citation-style-language/schema/raw/master/csl-citation.json"}</w:instrText>
      </w:r>
      <w:r w:rsidR="007D3D43">
        <w:rPr>
          <w:rFonts w:ascii="Times New Roman" w:hAnsi="Times New Roman"/>
          <w:color w:val="000000" w:themeColor="text1"/>
          <w:lang w:eastAsia="ar-SA"/>
        </w:rPr>
        <w:fldChar w:fldCharType="separate"/>
      </w:r>
      <w:r w:rsidR="007D3D43" w:rsidRPr="007D3D43">
        <w:rPr>
          <w:rFonts w:ascii="Times New Roman" w:hAnsi="Times New Roman"/>
          <w:noProof/>
          <w:color w:val="000000" w:themeColor="text1"/>
          <w:lang w:eastAsia="ar-SA"/>
        </w:rPr>
        <w:t>(Sánchez et al., 2020)</w:t>
      </w:r>
      <w:r w:rsidR="007D3D43">
        <w:rPr>
          <w:rFonts w:ascii="Times New Roman" w:hAnsi="Times New Roman"/>
          <w:color w:val="000000" w:themeColor="text1"/>
          <w:lang w:eastAsia="ar-SA"/>
        </w:rPr>
        <w:fldChar w:fldCharType="end"/>
      </w:r>
      <w:r w:rsidR="00F70421" w:rsidRPr="00F70421">
        <w:rPr>
          <w:rFonts w:ascii="Times New Roman" w:hAnsi="Times New Roman"/>
          <w:color w:val="000000" w:themeColor="text1"/>
          <w:lang w:eastAsia="ar-SA"/>
        </w:rPr>
        <w:t>.</w:t>
      </w:r>
    </w:p>
    <w:p w14:paraId="3C6B3458" w14:textId="59A9B18B" w:rsidR="008C433F" w:rsidRPr="001F3892" w:rsidRDefault="006C6223" w:rsidP="007116C5">
      <w:pPr>
        <w:pStyle w:val="Heading4"/>
        <w:rPr>
          <w:rFonts w:asciiTheme="minorHAnsi" w:hAnsiTheme="minorHAnsi"/>
          <w:i w:val="0"/>
          <w:lang w:val="en-US"/>
        </w:rPr>
      </w:pPr>
      <w:r w:rsidRPr="003661BC">
        <w:rPr>
          <w:i w:val="0"/>
        </w:rPr>
        <w:t>6</w:t>
      </w:r>
      <w:r w:rsidR="00EB7CAF" w:rsidRPr="003661BC">
        <w:rPr>
          <w:i w:val="0"/>
        </w:rPr>
        <w:t>.1.2</w:t>
      </w:r>
      <w:r w:rsidR="003661BC" w:rsidRPr="003661BC">
        <w:rPr>
          <w:i w:val="0"/>
          <w:iCs/>
        </w:rPr>
        <w:t>.</w:t>
      </w:r>
      <w:r w:rsidR="00EB7CAF" w:rsidRPr="003661BC">
        <w:rPr>
          <w:i w:val="0"/>
        </w:rPr>
        <w:t xml:space="preserve"> </w:t>
      </w:r>
      <w:r w:rsidR="008C433F" w:rsidRPr="003661BC">
        <w:rPr>
          <w:i w:val="0"/>
        </w:rPr>
        <w:t>Genome editing</w:t>
      </w:r>
      <w:r w:rsidR="001F3892">
        <w:rPr>
          <w:rFonts w:asciiTheme="minorHAnsi" w:hAnsiTheme="minorHAnsi"/>
          <w:i w:val="0"/>
          <w:iCs/>
          <w:lang w:val="en-US"/>
        </w:rPr>
        <w:t>.</w:t>
      </w:r>
    </w:p>
    <w:p w14:paraId="495C48BB" w14:textId="5E9D20E1" w:rsidR="00D0188E" w:rsidRDefault="00032D77" w:rsidP="00D0188E">
      <w:pPr>
        <w:spacing w:line="240" w:lineRule="auto"/>
        <w:jc w:val="both"/>
        <w:rPr>
          <w:rFonts w:ascii="Times New Roman" w:hAnsi="Times New Roman"/>
          <w:color w:val="000000" w:themeColor="text1"/>
          <w:lang w:eastAsia="ar-SA"/>
        </w:rPr>
      </w:pPr>
      <w:r>
        <w:rPr>
          <w:rFonts w:ascii="Times New Roman" w:hAnsi="Times New Roman"/>
          <w:color w:val="000000" w:themeColor="text1"/>
          <w:lang w:eastAsia="ar-SA"/>
        </w:rPr>
        <w:t>Discussions on how to assess and</w:t>
      </w:r>
      <w:r w:rsidR="00D0188E" w:rsidRPr="00D0188E">
        <w:rPr>
          <w:rFonts w:ascii="Times New Roman" w:hAnsi="Times New Roman"/>
          <w:color w:val="000000" w:themeColor="text1"/>
          <w:lang w:eastAsia="ar-SA"/>
        </w:rPr>
        <w:t xml:space="preserve"> regulate genome edited plants essentially </w:t>
      </w:r>
      <w:r w:rsidR="007F53C5">
        <w:rPr>
          <w:rFonts w:ascii="Times New Roman" w:hAnsi="Times New Roman"/>
          <w:color w:val="000000" w:themeColor="text1"/>
          <w:lang w:eastAsia="ar-SA"/>
        </w:rPr>
        <w:t>revolve around</w:t>
      </w:r>
      <w:r w:rsidR="00D0188E" w:rsidRPr="00D0188E">
        <w:rPr>
          <w:rFonts w:ascii="Times New Roman" w:hAnsi="Times New Roman"/>
          <w:color w:val="000000" w:themeColor="text1"/>
          <w:lang w:eastAsia="ar-SA"/>
        </w:rPr>
        <w:t xml:space="preserve"> two </w:t>
      </w:r>
      <w:r w:rsidR="00FA11A4">
        <w:rPr>
          <w:rFonts w:ascii="Times New Roman" w:hAnsi="Times New Roman"/>
          <w:color w:val="000000" w:themeColor="text1"/>
          <w:lang w:eastAsia="ar-SA"/>
        </w:rPr>
        <w:t>approaches</w:t>
      </w:r>
      <w:r w:rsidR="00D0188E" w:rsidRPr="00D0188E">
        <w:rPr>
          <w:rFonts w:ascii="Times New Roman" w:hAnsi="Times New Roman"/>
          <w:color w:val="000000" w:themeColor="text1"/>
          <w:lang w:eastAsia="ar-SA"/>
        </w:rPr>
        <w:t>. Those who consider (certain types of) genome edited plants of low or negligible risks and those who highlight uncertainties and knowledge gaps</w:t>
      </w:r>
      <w:r w:rsidR="00B31E84">
        <w:rPr>
          <w:rFonts w:ascii="Times New Roman" w:hAnsi="Times New Roman"/>
          <w:color w:val="000000" w:themeColor="text1"/>
          <w:lang w:eastAsia="ar-SA"/>
        </w:rPr>
        <w:t>.</w:t>
      </w:r>
      <w:r w:rsidR="00A43C62">
        <w:rPr>
          <w:rFonts w:ascii="Times New Roman" w:hAnsi="Times New Roman"/>
          <w:color w:val="000000" w:themeColor="text1"/>
          <w:lang w:eastAsia="ar-SA"/>
        </w:rPr>
        <w:t xml:space="preserve"> </w:t>
      </w:r>
      <w:r w:rsidR="00315C3D">
        <w:rPr>
          <w:rFonts w:ascii="Times New Roman" w:hAnsi="Times New Roman"/>
          <w:color w:val="000000" w:themeColor="text1"/>
          <w:lang w:eastAsia="ar-SA"/>
        </w:rPr>
        <w:fldChar w:fldCharType="begin" w:fldLock="1"/>
      </w:r>
      <w:r w:rsidR="00166627">
        <w:rPr>
          <w:rFonts w:ascii="Times New Roman" w:hAnsi="Times New Roman"/>
          <w:color w:val="000000" w:themeColor="text1"/>
          <w:lang w:eastAsia="ar-SA"/>
        </w:rPr>
        <w:instrText>ADDIN CSL_CITATION {"citationItems":[{"id":"ITEM-1","itemData":{"DOI":"10.3389/fpls.2020.00284","ISSN":"1664-462X","author":[{"dropping-particle":"","family":"Schiemann","given":"Joachim","non-dropping-particle":"","parse-names":false,"suffix":""},{"dropping-particle":"","family":"Robienski","given":"Jürgen","non-dropping-particle":"","parse-names":false,"suffix":""},{"dropping-particle":"","family":"Schleissing","given":"Stephan","non-dropping-particle":"","parse-names":false,"suffix":""},{"dropping-particle":"","family":"Spök","given":"Armin","non-dropping-particle":"","parse-names":false,"suffix":""},{"dropping-particle":"","family":"Sprink","given":"Thorben","non-dropping-particle":"","parse-names":false,"suffix":""},{"dropping-particle":"","family":"Wilhelm","given":"Ralf Alexander","non-dropping-particle":"","parse-names":false,"suffix":""}],"container-title":"Frontiers in Plant Science","id":"ITEM-1","issued":{"date-parts":[["2020","3","11"]]},"title":"Editorial: Plant Genome Editing – Policies and Governance","type":"article-journal","volume":"11"},"uris":["http://www.mendeley.com/documents/?uuid=6e680cbb-56d5-4de4-b6a2-1df7c078d6a1"]}],"mendeley":{"formattedCitation":"(Schiemann et al., 2020)","plainTextFormattedCitation":"(Schiemann et al., 2020)","previouslyFormattedCitation":"(Schiemann et al., 2020)"},"properties":{"noteIndex":0},"schema":"https://github.com/citation-style-language/schema/raw/master/csl-citation.json"}</w:instrText>
      </w:r>
      <w:r w:rsidR="00315C3D">
        <w:rPr>
          <w:rFonts w:ascii="Times New Roman" w:hAnsi="Times New Roman"/>
          <w:color w:val="000000" w:themeColor="text1"/>
          <w:lang w:eastAsia="ar-SA"/>
        </w:rPr>
        <w:fldChar w:fldCharType="separate"/>
      </w:r>
      <w:r w:rsidR="00315C3D" w:rsidRPr="00315C3D">
        <w:rPr>
          <w:rFonts w:ascii="Times New Roman" w:hAnsi="Times New Roman"/>
          <w:noProof/>
          <w:color w:val="000000" w:themeColor="text1"/>
          <w:lang w:eastAsia="ar-SA"/>
        </w:rPr>
        <w:t>(Schiemann et al., 2020)</w:t>
      </w:r>
      <w:r w:rsidR="00315C3D">
        <w:rPr>
          <w:rFonts w:ascii="Times New Roman" w:hAnsi="Times New Roman"/>
          <w:color w:val="000000" w:themeColor="text1"/>
          <w:lang w:eastAsia="ar-SA"/>
        </w:rPr>
        <w:fldChar w:fldCharType="end"/>
      </w:r>
      <w:r w:rsidR="00A22308">
        <w:rPr>
          <w:rFonts w:ascii="Times New Roman" w:hAnsi="Times New Roman"/>
          <w:color w:val="000000" w:themeColor="text1"/>
          <w:lang w:eastAsia="ar-SA"/>
        </w:rPr>
        <w:t xml:space="preserve"> The latter </w:t>
      </w:r>
      <w:r w:rsidR="00E54760">
        <w:rPr>
          <w:rFonts w:ascii="Times New Roman" w:hAnsi="Times New Roman"/>
          <w:color w:val="000000" w:themeColor="text1"/>
          <w:lang w:eastAsia="ar-SA"/>
        </w:rPr>
        <w:t>captures</w:t>
      </w:r>
      <w:r w:rsidR="00A22308">
        <w:rPr>
          <w:rFonts w:ascii="Times New Roman" w:hAnsi="Times New Roman"/>
          <w:color w:val="000000" w:themeColor="text1"/>
          <w:lang w:eastAsia="ar-SA"/>
        </w:rPr>
        <w:t xml:space="preserve"> concerns </w:t>
      </w:r>
      <w:r w:rsidR="00E95FB8">
        <w:rPr>
          <w:rFonts w:ascii="Times New Roman" w:hAnsi="Times New Roman"/>
          <w:color w:val="000000" w:themeColor="text1"/>
          <w:lang w:eastAsia="ar-SA"/>
        </w:rPr>
        <w:t xml:space="preserve">about </w:t>
      </w:r>
      <w:r w:rsidR="00135667">
        <w:rPr>
          <w:rFonts w:ascii="Times New Roman" w:hAnsi="Times New Roman"/>
          <w:color w:val="000000" w:themeColor="text1"/>
          <w:lang w:eastAsia="ar-SA"/>
        </w:rPr>
        <w:t>for instance,</w:t>
      </w:r>
      <w:r w:rsidR="00A22308" w:rsidRPr="00A22308">
        <w:rPr>
          <w:rFonts w:ascii="Times New Roman" w:hAnsi="Times New Roman"/>
          <w:color w:val="000000" w:themeColor="text1"/>
          <w:lang w:eastAsia="ar-SA"/>
        </w:rPr>
        <w:t xml:space="preserve"> genome editing allowing for modifications that would not otherwise naturally arise </w:t>
      </w:r>
      <w:r w:rsidR="00166627">
        <w:rPr>
          <w:rFonts w:ascii="Times New Roman" w:hAnsi="Times New Roman"/>
          <w:color w:val="000000" w:themeColor="text1"/>
          <w:lang w:eastAsia="ar-SA"/>
        </w:rPr>
        <w:fldChar w:fldCharType="begin" w:fldLock="1"/>
      </w:r>
      <w:r w:rsidR="00A33086">
        <w:rPr>
          <w:rFonts w:ascii="Times New Roman" w:hAnsi="Times New Roman"/>
          <w:color w:val="000000" w:themeColor="text1"/>
          <w:lang w:eastAsia="ar-SA"/>
        </w:rPr>
        <w:instrText>ADDIN CSL_CITATION {"citationItems":[{"id":"ITEM-1","itemData":{"DOI":"10.1186/s12302-020-00361-2","ISSN":"2190-4707","author":[{"dropping-particle":"","family":"Kawall","given":"Katharina","non-dropping-particle":"","parse-names":false,"suffix":""},{"dropping-particle":"","family":"Cotter","given":"Janet","non-dropping-particle":"","parse-names":false,"suffix":""},{"dropping-particle":"","family":"Then","given":"Christoph","non-dropping-particle":"","parse-names":false,"suffix":""}],"container-title":"Environmental Sciences Europe","id":"ITEM-1","issue":"1","issued":{"date-parts":[["2020","12","11"]]},"page":"106","title":"Broadening the GMO risk assessment in the EU for genome editing technologies in agriculture","type":"article-journal","volume":"32"},"uris":["http://www.mendeley.com/documents/?uuid=be787a49-8617-4d3b-9cba-c5be2155e8f4"]},{"id":"ITEM-2","itemData":{"author":[{"dropping-particle":"","family":"African Centre for Biodiversity","given":"","non-dropping-particle":"","parse-names":false,"suffix":""}],"id":"ITEM-2","issued":{"date-parts":[["2020","10"]]},"title":"Genome Editing. The Next GM Techno Fix Doomed To Fail. Regulatory Issues and Threats for Africa.","type":"report"},"uris":["http://www.mendeley.com/documents/?uuid=fb5ca4d2-9550-47af-b6ae-d2c4606dfaad"]}],"mendeley":{"formattedCitation":"(African Centre for Biodiversity, 2020; Kawall et al., 2020)","plainTextFormattedCitation":"(African Centre for Biodiversity, 2020; Kawall et al., 2020)","previouslyFormattedCitation":"(African Centre for Biodiversity, 2020; Kawall et al., 2020)"},"properties":{"noteIndex":0},"schema":"https://github.com/citation-style-language/schema/raw/master/csl-citation.json"}</w:instrText>
      </w:r>
      <w:r w:rsidR="00166627">
        <w:rPr>
          <w:rFonts w:ascii="Times New Roman" w:hAnsi="Times New Roman"/>
          <w:color w:val="000000" w:themeColor="text1"/>
          <w:lang w:eastAsia="ar-SA"/>
        </w:rPr>
        <w:fldChar w:fldCharType="separate"/>
      </w:r>
      <w:r w:rsidR="00166627" w:rsidRPr="00166627">
        <w:rPr>
          <w:rFonts w:ascii="Times New Roman" w:hAnsi="Times New Roman"/>
          <w:noProof/>
          <w:color w:val="000000" w:themeColor="text1"/>
          <w:lang w:eastAsia="ar-SA"/>
        </w:rPr>
        <w:t>(African Centre for Biodiversity, 2020; Kawall et al., 2020)</w:t>
      </w:r>
      <w:r w:rsidR="00166627">
        <w:rPr>
          <w:rFonts w:ascii="Times New Roman" w:hAnsi="Times New Roman"/>
          <w:color w:val="000000" w:themeColor="text1"/>
          <w:lang w:eastAsia="ar-SA"/>
        </w:rPr>
        <w:fldChar w:fldCharType="end"/>
      </w:r>
      <w:r w:rsidR="00166627">
        <w:rPr>
          <w:rFonts w:ascii="Times New Roman" w:hAnsi="Times New Roman"/>
          <w:color w:val="000000" w:themeColor="text1"/>
          <w:lang w:eastAsia="ar-SA"/>
        </w:rPr>
        <w:t>i</w:t>
      </w:r>
      <w:r w:rsidR="00B92BDB">
        <w:rPr>
          <w:rFonts w:ascii="Times New Roman" w:hAnsi="Times New Roman"/>
          <w:color w:val="000000" w:themeColor="text1"/>
          <w:lang w:eastAsia="ar-SA"/>
        </w:rPr>
        <w:t>.</w:t>
      </w:r>
    </w:p>
    <w:p w14:paraId="4229204A" w14:textId="0F38E849" w:rsidR="001042FB" w:rsidRPr="001042FB" w:rsidRDefault="008C433F" w:rsidP="00953428">
      <w:pPr>
        <w:spacing w:line="240" w:lineRule="auto"/>
        <w:jc w:val="both"/>
        <w:rPr>
          <w:rFonts w:ascii="Times New Roman" w:hAnsi="Times New Roman"/>
          <w:color w:val="000000" w:themeColor="text1"/>
          <w:lang w:eastAsia="ar-SA"/>
        </w:rPr>
      </w:pPr>
      <w:r w:rsidRPr="005C641E">
        <w:rPr>
          <w:rFonts w:ascii="Times New Roman" w:hAnsi="Times New Roman"/>
          <w:color w:val="000000" w:themeColor="text1"/>
          <w:lang w:eastAsia="ar-SA"/>
        </w:rPr>
        <w:t xml:space="preserve">When it comes to risk assessment considerations associated with potential unintended effects or off-target cutting in genome-edited plants, they need to be viewed in the context of the well-documented dynamic nature and plasticity of plant genomes. The potential for unintended changes in the genome is not a unique feature of genome editing where any potential imprecision is expected to be significantly lower than the rates of spontaneous mutations or classical mutagenesis </w:t>
      </w:r>
      <w:r w:rsidR="00A33086">
        <w:rPr>
          <w:rFonts w:ascii="Times New Roman" w:hAnsi="Times New Roman"/>
          <w:color w:val="000000" w:themeColor="text1"/>
          <w:lang w:eastAsia="ar-SA"/>
        </w:rPr>
        <w:fldChar w:fldCharType="begin" w:fldLock="1"/>
      </w:r>
      <w:r w:rsidR="005A42AC">
        <w:rPr>
          <w:rFonts w:ascii="Times New Roman" w:hAnsi="Times New Roman"/>
          <w:color w:val="000000" w:themeColor="text1"/>
          <w:lang w:eastAsia="ar-SA"/>
        </w:rPr>
        <w:instrText>ADDIN CSL_CITATION {"citationItems":[{"id":"ITEM-1","itemData":{"DOI":"10.3389/fbioe.2018.00079","ISSN":"2296-4185","author":[{"dropping-particle":"","family":"Duensing","given":"Nina","non-dropping-particle":"","parse-names":false,"suffix":""},{"dropping-particle":"","family":"Sprink","given":"Thorben","non-dropping-particle":"","parse-names":false,"suffix":""},{"dropping-particle":"","family":"Parrott","given":"Wayne A.","non-dropping-particle":"","parse-names":false,"suffix":""},{"dropping-particle":"","family":"Fedorova","given":"Maria","non-dropping-particle":"","parse-names":false,"suffix":""},{"dropping-particle":"","family":"Lema","given":"Martin A.","non-dropping-particle":"","parse-names":false,"suffix":""},{"dropping-particle":"","family":"Wolt","given":"Jeffrey D.","non-dropping-particle":"","parse-names":false,"suffix":""},{"dropping-particle":"","family":"Bartsch","given":"Detlef","non-dropping-particle":"","parse-names":false,"suffix":""}],"container-title":"Frontiers in Bioengineering and Biotechnology","id":"ITEM-1","issued":{"date-parts":[["2018","6","18"]]},"title":"Novel Features and Considerations for ERA and Regulation of Crops Produced by Genome Editing","type":"article-journal","volume":"6"},"uris":["http://www.mendeley.com/documents/?uuid=bebd66bf-05cb-4c1e-a730-d83b339c7685"]}],"mendeley":{"formattedCitation":"(Duensing et al., 2018)","plainTextFormattedCitation":"(Duensing et al., 2018)","previouslyFormattedCitation":"(Duensing et al., 2018)"},"properties":{"noteIndex":0},"schema":"https://github.com/citation-style-language/schema/raw/master/csl-citation.json"}</w:instrText>
      </w:r>
      <w:r w:rsidR="00A33086">
        <w:rPr>
          <w:rFonts w:ascii="Times New Roman" w:hAnsi="Times New Roman"/>
          <w:color w:val="000000" w:themeColor="text1"/>
          <w:lang w:eastAsia="ar-SA"/>
        </w:rPr>
        <w:fldChar w:fldCharType="separate"/>
      </w:r>
      <w:r w:rsidR="00A33086" w:rsidRPr="00A33086">
        <w:rPr>
          <w:rFonts w:ascii="Times New Roman" w:hAnsi="Times New Roman"/>
          <w:noProof/>
          <w:color w:val="000000" w:themeColor="text1"/>
          <w:lang w:eastAsia="ar-SA"/>
        </w:rPr>
        <w:t>(Duensing et al., 2018)</w:t>
      </w:r>
      <w:r w:rsidR="00A33086">
        <w:rPr>
          <w:rFonts w:ascii="Times New Roman" w:hAnsi="Times New Roman"/>
          <w:color w:val="000000" w:themeColor="text1"/>
          <w:lang w:eastAsia="ar-SA"/>
        </w:rPr>
        <w:fldChar w:fldCharType="end"/>
      </w:r>
      <w:r w:rsidRPr="005C641E">
        <w:rPr>
          <w:rFonts w:ascii="Times New Roman" w:hAnsi="Times New Roman"/>
          <w:color w:val="000000" w:themeColor="text1"/>
          <w:lang w:eastAsia="ar-SA"/>
        </w:rPr>
        <w:t xml:space="preserve">. </w:t>
      </w:r>
      <w:r w:rsidR="00527F92">
        <w:rPr>
          <w:rFonts w:ascii="Times New Roman" w:hAnsi="Times New Roman"/>
          <w:color w:val="000000" w:themeColor="text1"/>
          <w:lang w:eastAsia="ar-SA"/>
        </w:rPr>
        <w:t>It</w:t>
      </w:r>
      <w:r w:rsidR="004133B2">
        <w:rPr>
          <w:rFonts w:ascii="Times New Roman" w:hAnsi="Times New Roman"/>
          <w:color w:val="000000" w:themeColor="text1"/>
          <w:lang w:eastAsia="ar-SA"/>
        </w:rPr>
        <w:t xml:space="preserve"> has</w:t>
      </w:r>
      <w:r w:rsidR="00527F92">
        <w:rPr>
          <w:rFonts w:ascii="Times New Roman" w:hAnsi="Times New Roman"/>
          <w:color w:val="000000" w:themeColor="text1"/>
          <w:lang w:eastAsia="ar-SA"/>
        </w:rPr>
        <w:t xml:space="preserve"> also been noted that t</w:t>
      </w:r>
      <w:r w:rsidR="00DB410C" w:rsidRPr="00DB410C">
        <w:rPr>
          <w:rFonts w:ascii="Times New Roman" w:hAnsi="Times New Roman"/>
          <w:color w:val="000000" w:themeColor="text1"/>
          <w:lang w:eastAsia="ar-SA"/>
        </w:rPr>
        <w:t xml:space="preserve">he precision of genome editing </w:t>
      </w:r>
      <w:r w:rsidR="00527F92">
        <w:rPr>
          <w:rFonts w:ascii="Times New Roman" w:hAnsi="Times New Roman"/>
          <w:color w:val="000000" w:themeColor="text1"/>
          <w:lang w:eastAsia="ar-SA"/>
        </w:rPr>
        <w:t>could</w:t>
      </w:r>
      <w:r w:rsidR="00DB410C" w:rsidRPr="00DB410C">
        <w:rPr>
          <w:rFonts w:ascii="Times New Roman" w:hAnsi="Times New Roman"/>
          <w:color w:val="000000" w:themeColor="text1"/>
          <w:lang w:eastAsia="ar-SA"/>
        </w:rPr>
        <w:t xml:space="preserve"> lower the frequency of some </w:t>
      </w:r>
      <w:r w:rsidR="004133B2">
        <w:rPr>
          <w:rFonts w:ascii="Times New Roman" w:hAnsi="Times New Roman"/>
          <w:color w:val="000000" w:themeColor="text1"/>
          <w:lang w:eastAsia="ar-SA"/>
        </w:rPr>
        <w:t>unintended</w:t>
      </w:r>
      <w:r w:rsidR="00DB410C" w:rsidRPr="00DB410C">
        <w:rPr>
          <w:rFonts w:ascii="Times New Roman" w:hAnsi="Times New Roman"/>
          <w:color w:val="000000" w:themeColor="text1"/>
          <w:lang w:eastAsia="ar-SA"/>
        </w:rPr>
        <w:t xml:space="preserve"> events</w:t>
      </w:r>
      <w:r w:rsidR="00BD5B7F">
        <w:rPr>
          <w:rFonts w:ascii="Times New Roman" w:hAnsi="Times New Roman"/>
          <w:color w:val="000000" w:themeColor="text1"/>
          <w:lang w:eastAsia="ar-SA"/>
        </w:rPr>
        <w:t xml:space="preserve"> </w:t>
      </w:r>
      <w:r w:rsidR="006F1C44">
        <w:rPr>
          <w:rFonts w:ascii="Times New Roman" w:hAnsi="Times New Roman"/>
          <w:color w:val="000000" w:themeColor="text1"/>
          <w:lang w:eastAsia="ar-SA"/>
        </w:rPr>
        <w:fldChar w:fldCharType="begin" w:fldLock="1"/>
      </w:r>
      <w:r w:rsidR="00640A18">
        <w:rPr>
          <w:rFonts w:ascii="Times New Roman" w:hAnsi="Times New Roman"/>
          <w:color w:val="000000" w:themeColor="text1"/>
          <w:lang w:eastAsia="ar-SA"/>
        </w:rPr>
        <w:instrText>ADDIN CSL_CITATION {"citationItems":[{"id":"ITEM-1","itemData":{"DOI":"10.1016/j.crbiot.2019.08.001","ISSN":"25902628","author":[{"dropping-particle":"","family":"Lassoued","given":"Rim","non-dropping-particle":"","parse-names":false,"suffix":""},{"dropping-particle":"","family":"Macall","given":"Diego Maximiliano","non-dropping-particle":"","parse-names":false,"suffix":""},{"dropping-particle":"","family":"Smyth","given":"Stuart J.","non-dropping-particle":"","parse-names":false,"suffix":""},{"dropping-particle":"","family":"Phillips","given":"Peter W.B.","non-dropping-particle":"","parse-names":false,"suffix":""},{"dropping-particle":"","family":"Hesseln","given":"Hayley","non-dropping-particle":"","parse-names":false,"suffix":""}],"container-title":"Current Research in Biotechnology","id":"ITEM-1","issued":{"date-parts":[["2019","11"]]},"page":"11-21","title":"Risk and safety considerations of genome edited crops: Expert opinion","type":"article-journal","volume":"1"},"uris":["http://www.mendeley.com/documents/?uuid=8ef46a34-72c4-4a94-bbda-0414ecf765d1"]}],"mendeley":{"formattedCitation":"(Lassoued et al., 2019)","plainTextFormattedCitation":"(Lassoued et al., 2019)","previouslyFormattedCitation":"(Lassoued et al., 2019)"},"properties":{"noteIndex":0},"schema":"https://github.com/citation-style-language/schema/raw/master/csl-citation.json"}</w:instrText>
      </w:r>
      <w:r w:rsidR="006F1C44">
        <w:rPr>
          <w:rFonts w:ascii="Times New Roman" w:hAnsi="Times New Roman"/>
          <w:color w:val="000000" w:themeColor="text1"/>
          <w:lang w:eastAsia="ar-SA"/>
        </w:rPr>
        <w:fldChar w:fldCharType="separate"/>
      </w:r>
      <w:r w:rsidR="006F1C44" w:rsidRPr="006F1C44">
        <w:rPr>
          <w:rFonts w:ascii="Times New Roman" w:hAnsi="Times New Roman"/>
          <w:noProof/>
          <w:color w:val="000000" w:themeColor="text1"/>
          <w:lang w:eastAsia="ar-SA"/>
        </w:rPr>
        <w:t>(Lassoued et al., 2019)</w:t>
      </w:r>
      <w:r w:rsidR="006F1C44">
        <w:rPr>
          <w:rFonts w:ascii="Times New Roman" w:hAnsi="Times New Roman"/>
          <w:color w:val="000000" w:themeColor="text1"/>
          <w:lang w:eastAsia="ar-SA"/>
        </w:rPr>
        <w:fldChar w:fldCharType="end"/>
      </w:r>
      <w:r w:rsidR="00DB410C" w:rsidRPr="00DB410C">
        <w:rPr>
          <w:rFonts w:ascii="Times New Roman" w:hAnsi="Times New Roman"/>
          <w:color w:val="000000" w:themeColor="text1"/>
          <w:lang w:eastAsia="ar-SA"/>
        </w:rPr>
        <w:t xml:space="preserve">. </w:t>
      </w:r>
      <w:r w:rsidR="00E67E65">
        <w:rPr>
          <w:rFonts w:ascii="Times New Roman" w:hAnsi="Times New Roman"/>
          <w:color w:val="000000" w:themeColor="text1"/>
          <w:lang w:eastAsia="ar-SA"/>
        </w:rPr>
        <w:t>However</w:t>
      </w:r>
      <w:r w:rsidR="00DB410C" w:rsidRPr="00DB410C">
        <w:rPr>
          <w:rFonts w:ascii="Times New Roman" w:hAnsi="Times New Roman"/>
          <w:color w:val="000000" w:themeColor="text1"/>
          <w:lang w:eastAsia="ar-SA"/>
        </w:rPr>
        <w:t>, for staple food crops with large and complex genomes, such as wheat, barley or maize, off-target editing is more likely to occur</w:t>
      </w:r>
      <w:r w:rsidR="00087CDF">
        <w:rPr>
          <w:rFonts w:ascii="Times New Roman" w:hAnsi="Times New Roman"/>
          <w:color w:val="000000" w:themeColor="text1"/>
          <w:lang w:eastAsia="ar-SA"/>
        </w:rPr>
        <w:t xml:space="preserve">. </w:t>
      </w:r>
      <w:r w:rsidR="002A589C">
        <w:rPr>
          <w:rFonts w:ascii="Times New Roman" w:hAnsi="Times New Roman"/>
          <w:color w:val="000000" w:themeColor="text1"/>
          <w:lang w:eastAsia="ar-SA"/>
        </w:rPr>
        <w:fldChar w:fldCharType="begin" w:fldLock="1"/>
      </w:r>
      <w:r w:rsidR="006F1C44">
        <w:rPr>
          <w:rFonts w:ascii="Times New Roman" w:hAnsi="Times New Roman"/>
          <w:color w:val="000000" w:themeColor="text1"/>
          <w:lang w:eastAsia="ar-SA"/>
        </w:rPr>
        <w:instrText>ADDIN CSL_CITATION {"citationItems":[{"id":"ITEM-1","itemData":{"author":[{"dropping-particle":"","family":"Agapito-Tenfen","given":"Sarah Z.","non-dropping-particle":"","parse-names":false,"suffix":""}],"container-title":"Biosafety Breifing","id":"ITEM-1","issued":{"date-parts":[["2016"]]},"page":"11","publisher":"Third World Network &amp; African Centre for Biodiversity","publisher-place":"Penang, Malaysia &amp; Johannesburg, South Africa","title":"Biosafety aspects of genome-editing techniques","type":"article"},"uris":["http://www.mendeley.com/documents/?uuid=fec55f57-635a-41ae-a6bb-f99da20ba224"]}],"mendeley":{"formattedCitation":"(Agapito-Tenfen, 2016)","plainTextFormattedCitation":"(Agapito-Tenfen, 2016)","previouslyFormattedCitation":"(Agapito-Tenfen, 2016)"},"properties":{"noteIndex":0},"schema":"https://github.com/citation-style-language/schema/raw/master/csl-citation.json"}</w:instrText>
      </w:r>
      <w:r w:rsidR="002A589C">
        <w:rPr>
          <w:rFonts w:ascii="Times New Roman" w:hAnsi="Times New Roman"/>
          <w:color w:val="000000" w:themeColor="text1"/>
          <w:lang w:eastAsia="ar-SA"/>
        </w:rPr>
        <w:fldChar w:fldCharType="separate"/>
      </w:r>
      <w:r w:rsidR="002A589C" w:rsidRPr="002A589C">
        <w:rPr>
          <w:rFonts w:ascii="Times New Roman" w:hAnsi="Times New Roman"/>
          <w:noProof/>
          <w:color w:val="000000" w:themeColor="text1"/>
          <w:lang w:eastAsia="ar-SA"/>
        </w:rPr>
        <w:t>(Agapito-Tenfen, 2016)</w:t>
      </w:r>
      <w:r w:rsidR="002A589C">
        <w:rPr>
          <w:rFonts w:ascii="Times New Roman" w:hAnsi="Times New Roman"/>
          <w:color w:val="000000" w:themeColor="text1"/>
          <w:lang w:eastAsia="ar-SA"/>
        </w:rPr>
        <w:fldChar w:fldCharType="end"/>
      </w:r>
      <w:r w:rsidR="00DB410C">
        <w:rPr>
          <w:rFonts w:ascii="Times New Roman" w:hAnsi="Times New Roman"/>
          <w:color w:val="000000" w:themeColor="text1"/>
          <w:lang w:eastAsia="ar-SA"/>
        </w:rPr>
        <w:t xml:space="preserve">. </w:t>
      </w:r>
      <w:r w:rsidR="001042FB" w:rsidRPr="001042FB">
        <w:t xml:space="preserve"> </w:t>
      </w:r>
    </w:p>
    <w:p w14:paraId="2F091529" w14:textId="64198196" w:rsidR="002E5EA8" w:rsidRDefault="001042FB" w:rsidP="00DB410C">
      <w:pPr>
        <w:spacing w:line="240" w:lineRule="auto"/>
        <w:jc w:val="both"/>
        <w:rPr>
          <w:rFonts w:ascii="Times New Roman" w:hAnsi="Times New Roman"/>
          <w:color w:val="000000" w:themeColor="text1"/>
          <w:lang w:eastAsia="ar-SA"/>
        </w:rPr>
      </w:pPr>
      <w:r>
        <w:rPr>
          <w:rFonts w:ascii="Times New Roman" w:hAnsi="Times New Roman"/>
          <w:color w:val="000000" w:themeColor="text1"/>
          <w:lang w:eastAsia="ar-SA"/>
        </w:rPr>
        <w:t xml:space="preserve">It’s been </w:t>
      </w:r>
      <w:r w:rsidRPr="001042FB">
        <w:rPr>
          <w:rFonts w:ascii="Times New Roman" w:hAnsi="Times New Roman"/>
          <w:color w:val="000000" w:themeColor="text1"/>
          <w:lang w:eastAsia="ar-SA"/>
        </w:rPr>
        <w:t>argue</w:t>
      </w:r>
      <w:r>
        <w:rPr>
          <w:rFonts w:ascii="Times New Roman" w:hAnsi="Times New Roman"/>
          <w:color w:val="000000" w:themeColor="text1"/>
          <w:lang w:eastAsia="ar-SA"/>
        </w:rPr>
        <w:t>d that</w:t>
      </w:r>
      <w:r w:rsidRPr="001042FB">
        <w:rPr>
          <w:rFonts w:ascii="Times New Roman" w:hAnsi="Times New Roman"/>
          <w:color w:val="000000" w:themeColor="text1"/>
          <w:lang w:eastAsia="ar-SA"/>
        </w:rPr>
        <w:t xml:space="preserve"> the current approach to risk assessment is not designed to detect unintended consequences of employing </w:t>
      </w:r>
      <w:r>
        <w:rPr>
          <w:rFonts w:ascii="Times New Roman" w:hAnsi="Times New Roman"/>
          <w:color w:val="000000" w:themeColor="text1"/>
          <w:lang w:eastAsia="ar-SA"/>
        </w:rPr>
        <w:t>some new breading techniques</w:t>
      </w:r>
      <w:r w:rsidRPr="001042FB">
        <w:rPr>
          <w:rFonts w:ascii="Times New Roman" w:hAnsi="Times New Roman"/>
          <w:color w:val="000000" w:themeColor="text1"/>
          <w:lang w:eastAsia="ar-SA"/>
        </w:rPr>
        <w:t xml:space="preserve"> </w:t>
      </w:r>
      <w:r>
        <w:rPr>
          <w:rFonts w:ascii="Times New Roman" w:hAnsi="Times New Roman"/>
          <w:color w:val="000000" w:themeColor="text1"/>
          <w:lang w:eastAsia="ar-SA"/>
        </w:rPr>
        <w:t>(</w:t>
      </w:r>
      <w:r w:rsidR="00F63C77">
        <w:rPr>
          <w:rFonts w:ascii="Times New Roman" w:hAnsi="Times New Roman"/>
          <w:color w:val="000000" w:themeColor="text1"/>
          <w:lang w:eastAsia="ar-SA"/>
        </w:rPr>
        <w:t>i.e genome editing</w:t>
      </w:r>
      <w:r w:rsidRPr="001042FB">
        <w:rPr>
          <w:rFonts w:ascii="Times New Roman" w:hAnsi="Times New Roman"/>
          <w:color w:val="000000" w:themeColor="text1"/>
          <w:lang w:eastAsia="ar-SA"/>
        </w:rPr>
        <w:t xml:space="preserve"> </w:t>
      </w:r>
      <w:r w:rsidR="00B14CF7" w:rsidRPr="00883E95">
        <w:rPr>
          <w:rFonts w:ascii="Times New Roman" w:hAnsi="Times New Roman"/>
          <w:color w:val="000000" w:themeColor="text1"/>
          <w:lang w:eastAsia="ar-SA"/>
        </w:rPr>
        <w:fldChar w:fldCharType="begin" w:fldLock="1"/>
      </w:r>
      <w:r w:rsidR="00593AAA">
        <w:rPr>
          <w:rFonts w:ascii="Times New Roman" w:hAnsi="Times New Roman"/>
          <w:color w:val="000000" w:themeColor="text1"/>
          <w:lang w:eastAsia="ar-SA"/>
        </w:rPr>
        <w:instrText>ADDIN CSL_CITATION {"citationItems":[{"id":"ITEM-1","itemData":{"DOI":"10.1016/j.tplants.2018.09.011","ISSN":"13601385","author":[{"dropping-particle":"","family":"Christ","given":"Bastien","non-dropping-particle":"","parse-names":false,"suffix":""},{"dropping-particle":"","family":"Pluskal","given":"Tomáš","non-dropping-particle":"","parse-names":false,"suffix":""},{"dropping-particle":"","family":"Aubry","given":"Sylvain","non-dropping-particle":"","parse-names":false,"suffix":""},{"dropping-particle":"","family":"Weng","given":"Jing-Ke","non-dropping-particle":"","parse-names":false,"suffix":""}],"container-title":"Trends in Plant Science","id":"ITEM-1","issue":"12","issued":{"date-parts":[["2018","12"]]},"page":"1047-1056","title":"Contribution of Untargeted Metabolomics for Future Assessment of Biotech Crops","type":"article-journal","volume":"23"},"uris":["http://www.mendeley.com/documents/?uuid=cf3ee884-7677-4e0e-b83a-cf0eed0e3c6e"]}],"mendeley":{"formattedCitation":"(Christ et al., 2018)","manualFormatting":"; Christ et al., 2018)","plainTextFormattedCitation":"(Christ et al., 2018)","previouslyFormattedCitation":"(Christ et al., 2018)"},"properties":{"noteIndex":0},"schema":"https://github.com/citation-style-language/schema/raw/master/csl-citation.json"}</w:instrText>
      </w:r>
      <w:r w:rsidR="00B14CF7" w:rsidRPr="00883E95">
        <w:rPr>
          <w:rFonts w:ascii="Times New Roman" w:hAnsi="Times New Roman"/>
          <w:color w:val="000000" w:themeColor="text1"/>
          <w:lang w:eastAsia="ar-SA"/>
        </w:rPr>
        <w:fldChar w:fldCharType="separate"/>
      </w:r>
      <w:r w:rsidR="000E611F">
        <w:rPr>
          <w:rFonts w:ascii="Times New Roman" w:hAnsi="Times New Roman"/>
          <w:noProof/>
          <w:color w:val="000000" w:themeColor="text1"/>
          <w:lang w:eastAsia="ar-SA"/>
        </w:rPr>
        <w:t xml:space="preserve">; </w:t>
      </w:r>
      <w:r w:rsidR="00B14CF7" w:rsidRPr="00883E95">
        <w:rPr>
          <w:rFonts w:ascii="Times New Roman" w:hAnsi="Times New Roman"/>
          <w:noProof/>
          <w:color w:val="000000" w:themeColor="text1"/>
          <w:lang w:eastAsia="ar-SA"/>
        </w:rPr>
        <w:t>Christ et al., 2018)</w:t>
      </w:r>
      <w:r w:rsidR="00B14CF7" w:rsidRPr="00883E95">
        <w:rPr>
          <w:rFonts w:ascii="Times New Roman" w:hAnsi="Times New Roman"/>
          <w:color w:val="000000" w:themeColor="text1"/>
          <w:lang w:eastAsia="ar-SA"/>
        </w:rPr>
        <w:fldChar w:fldCharType="end"/>
      </w:r>
      <w:r w:rsidRPr="001042FB">
        <w:rPr>
          <w:rFonts w:ascii="Times New Roman" w:hAnsi="Times New Roman"/>
          <w:color w:val="000000" w:themeColor="text1"/>
          <w:lang w:eastAsia="ar-SA"/>
        </w:rPr>
        <w:t xml:space="preserve">. </w:t>
      </w:r>
      <w:r>
        <w:rPr>
          <w:rFonts w:ascii="Times New Roman" w:hAnsi="Times New Roman"/>
          <w:color w:val="000000" w:themeColor="text1"/>
          <w:lang w:eastAsia="ar-SA"/>
        </w:rPr>
        <w:t>In response to</w:t>
      </w:r>
      <w:r w:rsidRPr="001042FB">
        <w:rPr>
          <w:rFonts w:ascii="Times New Roman" w:hAnsi="Times New Roman"/>
          <w:color w:val="000000" w:themeColor="text1"/>
          <w:lang w:eastAsia="ar-SA"/>
        </w:rPr>
        <w:t xml:space="preserve"> this, </w:t>
      </w:r>
      <w:r w:rsidR="00FF29D0">
        <w:rPr>
          <w:rFonts w:ascii="Times New Roman" w:hAnsi="Times New Roman"/>
          <w:color w:val="000000" w:themeColor="text1"/>
          <w:lang w:eastAsia="ar-SA"/>
        </w:rPr>
        <w:t xml:space="preserve">there have been proposals that </w:t>
      </w:r>
      <w:r w:rsidRPr="001042FB">
        <w:rPr>
          <w:rFonts w:ascii="Times New Roman" w:hAnsi="Times New Roman"/>
          <w:color w:val="000000" w:themeColor="text1"/>
          <w:lang w:eastAsia="ar-SA"/>
        </w:rPr>
        <w:t xml:space="preserve">untargeted metabolomics could be part of a routine protocol assessing </w:t>
      </w:r>
      <w:r w:rsidR="00FF29D0">
        <w:rPr>
          <w:rFonts w:ascii="Times New Roman" w:hAnsi="Times New Roman"/>
          <w:color w:val="000000" w:themeColor="text1"/>
          <w:lang w:eastAsia="ar-SA"/>
        </w:rPr>
        <w:t>gene edited</w:t>
      </w:r>
      <w:r w:rsidRPr="001042FB">
        <w:rPr>
          <w:rFonts w:ascii="Times New Roman" w:hAnsi="Times New Roman"/>
          <w:color w:val="000000" w:themeColor="text1"/>
          <w:lang w:eastAsia="ar-SA"/>
        </w:rPr>
        <w:t xml:space="preserve"> crops. However, </w:t>
      </w:r>
      <w:r w:rsidR="00FF29D0">
        <w:rPr>
          <w:rFonts w:ascii="Times New Roman" w:hAnsi="Times New Roman"/>
          <w:color w:val="000000" w:themeColor="text1"/>
          <w:lang w:eastAsia="ar-SA"/>
        </w:rPr>
        <w:t>the use of</w:t>
      </w:r>
      <w:r w:rsidRPr="001042FB">
        <w:rPr>
          <w:rFonts w:ascii="Times New Roman" w:hAnsi="Times New Roman"/>
          <w:color w:val="000000" w:themeColor="text1"/>
          <w:lang w:eastAsia="ar-SA"/>
        </w:rPr>
        <w:t xml:space="preserve"> untargeted metabolites in the characterization of </w:t>
      </w:r>
      <w:r w:rsidR="00FF29D0">
        <w:rPr>
          <w:rFonts w:ascii="Times New Roman" w:hAnsi="Times New Roman"/>
          <w:color w:val="000000" w:themeColor="text1"/>
          <w:lang w:eastAsia="ar-SA"/>
        </w:rPr>
        <w:t xml:space="preserve">these </w:t>
      </w:r>
      <w:r w:rsidRPr="001042FB">
        <w:rPr>
          <w:rFonts w:ascii="Times New Roman" w:hAnsi="Times New Roman"/>
          <w:color w:val="000000" w:themeColor="text1"/>
          <w:lang w:eastAsia="ar-SA"/>
        </w:rPr>
        <w:t xml:space="preserve">crops has </w:t>
      </w:r>
      <w:r w:rsidR="00FF29D0">
        <w:rPr>
          <w:rFonts w:ascii="Times New Roman" w:hAnsi="Times New Roman"/>
          <w:color w:val="000000" w:themeColor="text1"/>
          <w:lang w:eastAsia="ar-SA"/>
        </w:rPr>
        <w:t>also</w:t>
      </w:r>
      <w:r w:rsidRPr="001042FB">
        <w:rPr>
          <w:rFonts w:ascii="Times New Roman" w:hAnsi="Times New Roman"/>
          <w:color w:val="000000" w:themeColor="text1"/>
          <w:lang w:eastAsia="ar-SA"/>
        </w:rPr>
        <w:t xml:space="preserve"> been subject of criticism </w:t>
      </w:r>
      <w:r w:rsidR="00593AAA" w:rsidRPr="00883E95">
        <w:rPr>
          <w:rFonts w:ascii="Times New Roman" w:hAnsi="Times New Roman"/>
          <w:color w:val="000000" w:themeColor="text1"/>
          <w:lang w:eastAsia="ar-SA"/>
        </w:rPr>
        <w:fldChar w:fldCharType="begin" w:fldLock="1"/>
      </w:r>
      <w:r w:rsidR="002A589C">
        <w:rPr>
          <w:rFonts w:ascii="Times New Roman" w:hAnsi="Times New Roman"/>
          <w:color w:val="000000" w:themeColor="text1"/>
          <w:lang w:eastAsia="ar-SA"/>
        </w:rPr>
        <w:instrText>ADDIN CSL_CITATION {"citationItems":[{"id":"ITEM-1","itemData":{"DOI":"10.1080/136698701750128088","ISSN":"1366-9877","author":[{"dropping-particle":"","family":"Marchant","given":"Gary E.","non-dropping-particle":"","parse-names":false,"suffix":""}],"container-title":"Journal of Risk Research","id":"ITEM-1","issue":"2","issued":{"date-parts":[["2001","4"]]},"page":"143-157","title":"The precautionary principle: an 'unprincipled' approach to biotechnology regulation","type":"article-journal","volume":"4"},"uris":["http://www.mendeley.com/documents/?uuid=f86f7497-eab2-46ba-a5a9-874a0c900f41"]},{"id":"ITEM-2","itemData":{"author":[{"dropping-particle":"","family":"Court of Justice of the European Union","given":"","non-dropping-particle":"","parse-names":false,"suffix":""}],"id":"ITEM-2","issued":{"date-parts":[["2018"]]},"title":"Judgment Of the Court (Grand Chamber): Mutagenesis — Directive 2001/18/EC, Interpretation and assessment of validity — Notion of ‘genetically modified organism’ — Common catalogue of varieties of agricultural plant species — New techniques of mutagenesis","type":"article"},"uris":["http://www.mendeley.com/documents/?uuid=7b66d6d7-e499-4456-8bed-01f8a7b906fb"]},{"id":"ITEM-3","itemData":{"DOI":"10.1016/j.crbiot.2019.08.001","ISSN":"25902628","author":[{"dropping-particle":"","family":"Lassoued","given":"Rim","non-dropping-particle":"","parse-names":false,"suffix":""},{"dropping-particle":"","family":"Macall","given":"Diego Maximiliano","non-dropping-particle":"","parse-names":false,"suffix":""},{"dropping-particle":"","family":"Smyth","given":"Stuart J.","non-dropping-particle":"","parse-names":false,"suffix":""},{"dropping-particle":"","family":"Phillips","given":"Peter W.B.","non-dropping-particle":"","parse-names":false,"suffix":""},{"dropping-particle":"","family":"Hesseln","given":"Hayley","non-dropping-particle":"","parse-names":false,"suffix":""}],"container-title":"Current Research in Biotechnology","id":"ITEM-3","issued":{"date-parts":[["2019","11"]]},"page":"11-21","title":"Risk and safety considerations of genome edited crops: Expert opinion","type":"article-journal","volume":"1"},"uris":["http://www.mendeley.com/documents/?uuid=8ef46a34-72c4-4a94-bbda-0414ecf765d1"]}],"mendeley":{"formattedCitation":"(Court of Justice of the European Union, 2018; Lassoued et al., 2019; Marchant, 2001)","plainTextFormattedCitation":"(Court of Justice of the European Union, 2018; Lassoued et al., 2019; Marchant, 2001)","previouslyFormattedCitation":"(Court of Justice of the European Union, 2018; Lassoued et al., 2019; Marchant, 2001)"},"properties":{"noteIndex":0},"schema":"https://github.com/citation-style-language/schema/raw/master/csl-citation.json"}</w:instrText>
      </w:r>
      <w:r w:rsidR="00593AAA" w:rsidRPr="00883E95">
        <w:rPr>
          <w:rFonts w:ascii="Times New Roman" w:hAnsi="Times New Roman"/>
          <w:color w:val="000000" w:themeColor="text1"/>
          <w:lang w:eastAsia="ar-SA"/>
        </w:rPr>
        <w:fldChar w:fldCharType="separate"/>
      </w:r>
      <w:r w:rsidR="00593AAA" w:rsidRPr="00883E95">
        <w:rPr>
          <w:rFonts w:ascii="Times New Roman" w:hAnsi="Times New Roman"/>
          <w:noProof/>
          <w:color w:val="000000" w:themeColor="text1"/>
          <w:lang w:eastAsia="ar-SA"/>
        </w:rPr>
        <w:t>(Court of Justice of the European Union, 2018; Lassoued et al., 2019; Marchant, 2001)</w:t>
      </w:r>
      <w:r w:rsidR="00593AAA" w:rsidRPr="00883E95">
        <w:rPr>
          <w:rFonts w:ascii="Times New Roman" w:hAnsi="Times New Roman"/>
          <w:color w:val="000000" w:themeColor="text1"/>
          <w:lang w:eastAsia="ar-SA"/>
        </w:rPr>
        <w:fldChar w:fldCharType="end"/>
      </w:r>
      <w:r w:rsidR="00593AAA">
        <w:rPr>
          <w:rFonts w:ascii="Times New Roman" w:hAnsi="Times New Roman"/>
          <w:color w:val="000000" w:themeColor="text1"/>
          <w:lang w:eastAsia="ar-SA"/>
        </w:rPr>
        <w:t>.</w:t>
      </w:r>
      <w:r w:rsidR="001140C8">
        <w:rPr>
          <w:rFonts w:ascii="Times New Roman" w:hAnsi="Times New Roman"/>
          <w:color w:val="000000" w:themeColor="text1"/>
          <w:lang w:eastAsia="ar-SA"/>
        </w:rPr>
        <w:t xml:space="preserve"> In a separate proposal,</w:t>
      </w:r>
      <w:r w:rsidR="000B1821">
        <w:rPr>
          <w:rFonts w:ascii="Times New Roman" w:hAnsi="Times New Roman"/>
          <w:color w:val="000000" w:themeColor="text1"/>
          <w:lang w:eastAsia="ar-SA"/>
        </w:rPr>
        <w:t xml:space="preserve"> risk assessments could be tailored to the levels of uncertainty to be expected. For example, a “risk assessment light” could be implemented for cases with minimal changes and familiarity with the particular trait or plant of use</w:t>
      </w:r>
      <w:r w:rsidR="007E65D3">
        <w:rPr>
          <w:rFonts w:ascii="Times New Roman" w:hAnsi="Times New Roman"/>
          <w:color w:val="000000" w:themeColor="text1"/>
          <w:lang w:eastAsia="ar-SA"/>
        </w:rPr>
        <w:t xml:space="preserve"> </w:t>
      </w:r>
      <w:r w:rsidR="007E65D3">
        <w:rPr>
          <w:rFonts w:ascii="Times New Roman" w:hAnsi="Times New Roman"/>
          <w:color w:val="000000" w:themeColor="text1"/>
          <w:lang w:eastAsia="ar-SA"/>
        </w:rPr>
        <w:fldChar w:fldCharType="begin" w:fldLock="1"/>
      </w:r>
      <w:r w:rsidR="00730C2C">
        <w:rPr>
          <w:rFonts w:ascii="Times New Roman" w:hAnsi="Times New Roman"/>
          <w:color w:val="000000" w:themeColor="text1"/>
          <w:lang w:eastAsia="ar-SA"/>
        </w:rPr>
        <w:instrText>ADDIN CSL_CITATION {"citationItems":[{"id":"ITEM-1","itemData":{"DOI":"10.3389/fpls.2020.00284","ISSN":"1664-462X","author":[{"dropping-particle":"","family":"Schiemann","given":"Joachim","non-dropping-particle":"","parse-names":false,"suffix":""},{"dropping-particle":"","family":"Robienski","given":"Jürgen","non-dropping-particle":"","parse-names":false,"suffix":""},{"dropping-particle":"","family":"Schleissing","given":"Stephan","non-dropping-particle":"","parse-names":false,"suffix":""},{"dropping-particle":"","family":"Spök","given":"Armin","non-dropping-particle":"","parse-names":false,"suffix":""},{"dropping-particle":"","family":"Sprink","given":"Thorben","non-dropping-particle":"","parse-names":false,"suffix":""},{"dropping-particle":"","family":"Wilhelm","given":"Ralf Alexander","non-dropping-particle":"","parse-names":false,"suffix":""}],"container-title":"Frontiers in Plant Science","id":"ITEM-1","issued":{"date-parts":[["2020","3","11"]]},"title":"Editorial: Plant Genome Editing – Policies and Governance","type":"article-journal","volume":"11"},"uris":["http://www.mendeley.com/documents/?uuid=6e680cbb-56d5-4de4-b6a2-1df7c078d6a1"]},{"id":"ITEM-2","itemData":{"DOI":"10.3389/fbioe.2019.00031","ISSN":"2296-4185","author":[{"dropping-particle":"","family":"Eckerstorfer","given":"Michael F.","non-dropping-particle":"","parse-names":false,"suffix":""},{"dropping-particle":"","family":"Dolezel","given":"Marion","non-dropping-particle":"","parse-names":false,"suffix":""},{"dropping-particle":"","family":"Heissenberger","given":"Andreas","non-dropping-particle":"","parse-names":false,"suffix":""},{"dropping-particle":"","family":"Miklau","given":"Marianne","non-dropping-particle":"","parse-names":false,"suffix":""},{"dropping-particle":"","family":"Reichenbecher","given":"Wolfram","non-dropping-particle":"","parse-names":false,"suffix":""},{"dropping-particle":"","family":"Steinbrecher","given":"Ricarda A.","non-dropping-particle":"","parse-names":false,"suffix":""},{"dropping-particle":"","family":"Waßmann","given":"Friedrich","non-dropping-particle":"","parse-names":false,"suffix":""}],"container-title":"Frontiers in Bioengineering and Biotechnology","id":"ITEM-2","issued":{"date-parts":[["2019","3","5"]]},"title":"An EU Perspective on Biosafety Considerations for Plants Developed by Genome Editing and Other New Genetic Modification Techniques (nGMs)","type":"article-journal","volume":"7"},"uris":["http://www.mendeley.com/documents/?uuid=2b689dca-8340-44c6-a297-11e6438f05e3"]}],"mendeley":{"formattedCitation":"(Eckerstorfer, Dolezel, et al., 2019; Schiemann et al., 2020)","plainTextFormattedCitation":"(Eckerstorfer, Dolezel, et al., 2019; Schiemann et al., 2020)","previouslyFormattedCitation":"(Eckerstorfer, Dolezel, et al., 2019; Schiemann et al., 2020)"},"properties":{"noteIndex":0},"schema":"https://github.com/citation-style-language/schema/raw/master/csl-citation.json"}</w:instrText>
      </w:r>
      <w:r w:rsidR="007E65D3">
        <w:rPr>
          <w:rFonts w:ascii="Times New Roman" w:hAnsi="Times New Roman"/>
          <w:color w:val="000000" w:themeColor="text1"/>
          <w:lang w:eastAsia="ar-SA"/>
        </w:rPr>
        <w:fldChar w:fldCharType="separate"/>
      </w:r>
      <w:r w:rsidR="00BB390F" w:rsidRPr="00BB390F">
        <w:rPr>
          <w:rFonts w:ascii="Times New Roman" w:hAnsi="Times New Roman"/>
          <w:noProof/>
          <w:color w:val="000000" w:themeColor="text1"/>
          <w:lang w:eastAsia="ar-SA"/>
        </w:rPr>
        <w:t>(Eckerstorfer, Dolezel, et al., 2019; Schiemann et al., 2020)</w:t>
      </w:r>
      <w:r w:rsidR="007E65D3">
        <w:rPr>
          <w:rFonts w:ascii="Times New Roman" w:hAnsi="Times New Roman"/>
          <w:color w:val="000000" w:themeColor="text1"/>
          <w:lang w:eastAsia="ar-SA"/>
        </w:rPr>
        <w:fldChar w:fldCharType="end"/>
      </w:r>
      <w:r w:rsidR="000B1821">
        <w:rPr>
          <w:rFonts w:ascii="Times New Roman" w:hAnsi="Times New Roman"/>
          <w:color w:val="000000" w:themeColor="text1"/>
          <w:lang w:eastAsia="ar-SA"/>
        </w:rPr>
        <w:t>.</w:t>
      </w:r>
      <w:r w:rsidR="002E5EA8" w:rsidRPr="00487E67">
        <w:rPr>
          <w:rFonts w:ascii="Times New Roman" w:hAnsi="Times New Roman"/>
          <w:color w:val="000000" w:themeColor="text1"/>
          <w:lang w:eastAsia="ar-SA"/>
        </w:rPr>
        <w:t xml:space="preserve">Several traits </w:t>
      </w:r>
      <w:r w:rsidR="00C62E76">
        <w:rPr>
          <w:rFonts w:ascii="Times New Roman" w:hAnsi="Times New Roman"/>
          <w:color w:val="000000" w:themeColor="text1"/>
          <w:lang w:eastAsia="ar-SA"/>
        </w:rPr>
        <w:t xml:space="preserve">beginning to appear </w:t>
      </w:r>
      <w:r w:rsidR="00502B4A" w:rsidRPr="00487E67">
        <w:rPr>
          <w:rFonts w:ascii="Times New Roman" w:hAnsi="Times New Roman"/>
          <w:color w:val="000000" w:themeColor="text1"/>
          <w:lang w:eastAsia="ar-SA"/>
        </w:rPr>
        <w:t xml:space="preserve">in plants </w:t>
      </w:r>
      <w:r w:rsidR="00502B4A">
        <w:rPr>
          <w:rFonts w:ascii="Times New Roman" w:hAnsi="Times New Roman"/>
          <w:color w:val="000000" w:themeColor="text1"/>
          <w:lang w:eastAsia="ar-SA"/>
        </w:rPr>
        <w:t xml:space="preserve">being developed </w:t>
      </w:r>
      <w:r w:rsidR="002E5EA8" w:rsidRPr="00487E67">
        <w:rPr>
          <w:rFonts w:ascii="Times New Roman" w:hAnsi="Times New Roman"/>
          <w:color w:val="000000" w:themeColor="text1"/>
          <w:lang w:eastAsia="ar-SA"/>
        </w:rPr>
        <w:t>f</w:t>
      </w:r>
      <w:r w:rsidR="0067355C" w:rsidRPr="00487E67">
        <w:rPr>
          <w:rFonts w:ascii="Times New Roman" w:hAnsi="Times New Roman"/>
          <w:color w:val="000000" w:themeColor="text1"/>
          <w:lang w:eastAsia="ar-SA"/>
        </w:rPr>
        <w:t>rom</w:t>
      </w:r>
      <w:r w:rsidR="002E5EA8" w:rsidRPr="00487E67">
        <w:rPr>
          <w:rFonts w:ascii="Times New Roman" w:hAnsi="Times New Roman"/>
          <w:color w:val="000000" w:themeColor="text1"/>
          <w:lang w:eastAsia="ar-SA"/>
        </w:rPr>
        <w:t xml:space="preserve"> new genetic modification techn</w:t>
      </w:r>
      <w:r w:rsidR="0067355C" w:rsidRPr="00487E67">
        <w:rPr>
          <w:rFonts w:ascii="Times New Roman" w:hAnsi="Times New Roman"/>
          <w:color w:val="000000" w:themeColor="text1"/>
          <w:lang w:eastAsia="ar-SA"/>
        </w:rPr>
        <w:t>iques (e.g</w:t>
      </w:r>
      <w:r w:rsidR="00D94591">
        <w:rPr>
          <w:rFonts w:ascii="Times New Roman" w:hAnsi="Times New Roman"/>
          <w:color w:val="000000" w:themeColor="text1"/>
          <w:lang w:eastAsia="ar-SA"/>
        </w:rPr>
        <w:t>.</w:t>
      </w:r>
      <w:r w:rsidR="0067355C" w:rsidRPr="00487E67">
        <w:rPr>
          <w:rFonts w:ascii="Times New Roman" w:hAnsi="Times New Roman"/>
          <w:color w:val="000000" w:themeColor="text1"/>
          <w:lang w:eastAsia="ar-SA"/>
        </w:rPr>
        <w:t xml:space="preserve"> </w:t>
      </w:r>
      <w:r w:rsidR="002E5EA8" w:rsidRPr="00487E67">
        <w:rPr>
          <w:rFonts w:ascii="Times New Roman" w:hAnsi="Times New Roman"/>
          <w:color w:val="000000" w:themeColor="text1"/>
          <w:lang w:eastAsia="ar-SA"/>
        </w:rPr>
        <w:t xml:space="preserve">herbicide resistance, modified composition) </w:t>
      </w:r>
      <w:r w:rsidR="00A21F15" w:rsidRPr="00487E67">
        <w:rPr>
          <w:rFonts w:ascii="Times New Roman" w:hAnsi="Times New Roman"/>
          <w:color w:val="000000" w:themeColor="text1"/>
          <w:lang w:eastAsia="ar-SA"/>
        </w:rPr>
        <w:t xml:space="preserve">are </w:t>
      </w:r>
      <w:r w:rsidR="00A21F15">
        <w:rPr>
          <w:rFonts w:ascii="Times New Roman" w:hAnsi="Times New Roman"/>
          <w:color w:val="000000" w:themeColor="text1"/>
          <w:lang w:eastAsia="ar-SA"/>
        </w:rPr>
        <w:t>becoming</w:t>
      </w:r>
      <w:r w:rsidR="00A21F15" w:rsidRPr="00487E67">
        <w:rPr>
          <w:rFonts w:ascii="Times New Roman" w:hAnsi="Times New Roman"/>
          <w:color w:val="000000" w:themeColor="text1"/>
          <w:lang w:eastAsia="ar-SA"/>
        </w:rPr>
        <w:t xml:space="preserve"> particularly relevant</w:t>
      </w:r>
      <w:r w:rsidR="00A979FB">
        <w:rPr>
          <w:rFonts w:ascii="Times New Roman" w:hAnsi="Times New Roman"/>
          <w:color w:val="000000" w:themeColor="text1"/>
          <w:lang w:eastAsia="ar-SA"/>
        </w:rPr>
        <w:t xml:space="preserve">, </w:t>
      </w:r>
      <w:r w:rsidR="00CD0285">
        <w:rPr>
          <w:rFonts w:ascii="Times New Roman" w:hAnsi="Times New Roman"/>
          <w:color w:val="000000" w:themeColor="text1"/>
          <w:lang w:eastAsia="ar-SA"/>
        </w:rPr>
        <w:t>especially as s</w:t>
      </w:r>
      <w:r w:rsidR="002E5EA8" w:rsidRPr="00487E67">
        <w:rPr>
          <w:rFonts w:ascii="Times New Roman" w:hAnsi="Times New Roman"/>
          <w:color w:val="000000" w:themeColor="text1"/>
          <w:lang w:eastAsia="ar-SA"/>
        </w:rPr>
        <w:t xml:space="preserve">ome traits are already </w:t>
      </w:r>
      <w:r w:rsidR="00CD0285">
        <w:rPr>
          <w:rFonts w:ascii="Times New Roman" w:hAnsi="Times New Roman"/>
          <w:color w:val="000000" w:themeColor="text1"/>
          <w:lang w:eastAsia="ar-SA"/>
        </w:rPr>
        <w:t>famili</w:t>
      </w:r>
      <w:r w:rsidR="00B818B4">
        <w:rPr>
          <w:rFonts w:ascii="Times New Roman" w:hAnsi="Times New Roman"/>
          <w:color w:val="000000" w:themeColor="text1"/>
          <w:lang w:eastAsia="ar-SA"/>
        </w:rPr>
        <w:t>ar</w:t>
      </w:r>
      <w:r w:rsidR="002E5EA8" w:rsidRPr="00487E67">
        <w:rPr>
          <w:rFonts w:ascii="Times New Roman" w:hAnsi="Times New Roman"/>
          <w:color w:val="000000" w:themeColor="text1"/>
          <w:lang w:eastAsia="ar-SA"/>
        </w:rPr>
        <w:t xml:space="preserve"> from existing </w:t>
      </w:r>
      <w:r w:rsidR="00242CB7">
        <w:rPr>
          <w:rFonts w:ascii="Times New Roman" w:hAnsi="Times New Roman"/>
          <w:color w:val="000000" w:themeColor="text1"/>
          <w:lang w:eastAsia="ar-SA"/>
        </w:rPr>
        <w:t>L</w:t>
      </w:r>
      <w:r w:rsidR="002E5EA8" w:rsidRPr="00487E67">
        <w:rPr>
          <w:rFonts w:ascii="Times New Roman" w:hAnsi="Times New Roman"/>
          <w:color w:val="000000" w:themeColor="text1"/>
          <w:lang w:eastAsia="ar-SA"/>
        </w:rPr>
        <w:t xml:space="preserve">M crops. Other traits </w:t>
      </w:r>
      <w:r w:rsidR="00B715BC">
        <w:rPr>
          <w:rFonts w:ascii="Times New Roman" w:hAnsi="Times New Roman"/>
          <w:color w:val="000000" w:themeColor="text1"/>
          <w:lang w:eastAsia="ar-SA"/>
        </w:rPr>
        <w:t xml:space="preserve">being developed </w:t>
      </w:r>
      <w:r w:rsidR="002E5EA8" w:rsidRPr="00487E67">
        <w:rPr>
          <w:rFonts w:ascii="Times New Roman" w:hAnsi="Times New Roman"/>
          <w:color w:val="000000" w:themeColor="text1"/>
          <w:lang w:eastAsia="ar-SA"/>
        </w:rPr>
        <w:t>in plants</w:t>
      </w:r>
      <w:r w:rsidR="000106A8" w:rsidRPr="00487E67">
        <w:rPr>
          <w:rFonts w:ascii="Times New Roman" w:hAnsi="Times New Roman"/>
          <w:color w:val="000000" w:themeColor="text1"/>
          <w:lang w:eastAsia="ar-SA"/>
        </w:rPr>
        <w:t xml:space="preserve"> </w:t>
      </w:r>
      <w:r w:rsidR="00B715BC">
        <w:rPr>
          <w:rFonts w:ascii="Times New Roman" w:hAnsi="Times New Roman"/>
          <w:color w:val="000000" w:themeColor="text1"/>
          <w:lang w:eastAsia="ar-SA"/>
        </w:rPr>
        <w:t>however</w:t>
      </w:r>
      <w:r w:rsidR="002E5EA8" w:rsidRPr="00487E67">
        <w:rPr>
          <w:rFonts w:ascii="Times New Roman" w:hAnsi="Times New Roman"/>
          <w:color w:val="000000" w:themeColor="text1"/>
          <w:lang w:eastAsia="ar-SA"/>
        </w:rPr>
        <w:t xml:space="preserve"> are novel; meaning they are not present in agricultural plants currently cultivated, and their underlying physiological mechanisms are not yet sufficiently elucidated. Characteristics of some genome editing applications, e.g., the small extent of genomic sequence change and their higher targeting efficiency, i.e., precision, cannot be considered an indication of safety </w:t>
      </w:r>
      <w:r w:rsidR="002E5EA8" w:rsidRPr="00AE6D09">
        <w:rPr>
          <w:rFonts w:ascii="Times New Roman" w:hAnsi="Times New Roman"/>
          <w:i/>
          <w:color w:val="000000" w:themeColor="text1"/>
          <w:lang w:eastAsia="ar-SA"/>
        </w:rPr>
        <w:t>per se</w:t>
      </w:r>
      <w:r w:rsidR="002E5EA8" w:rsidRPr="00487E67">
        <w:rPr>
          <w:rFonts w:ascii="Times New Roman" w:hAnsi="Times New Roman"/>
          <w:color w:val="000000" w:themeColor="text1"/>
          <w:lang w:eastAsia="ar-SA"/>
        </w:rPr>
        <w:t>, especially in relation to novel traits</w:t>
      </w:r>
      <w:r w:rsidR="00006C3B">
        <w:rPr>
          <w:rFonts w:ascii="Times New Roman" w:hAnsi="Times New Roman"/>
          <w:color w:val="000000" w:themeColor="text1"/>
          <w:lang w:eastAsia="ar-SA"/>
        </w:rPr>
        <w:t xml:space="preserve"> </w:t>
      </w:r>
      <w:r w:rsidR="00006C3B">
        <w:rPr>
          <w:rFonts w:ascii="Times New Roman" w:hAnsi="Times New Roman"/>
          <w:color w:val="000000" w:themeColor="text1"/>
          <w:lang w:eastAsia="ar-SA"/>
        </w:rPr>
        <w:fldChar w:fldCharType="begin" w:fldLock="1"/>
      </w:r>
      <w:r w:rsidR="00C10F2C">
        <w:rPr>
          <w:rFonts w:ascii="Times New Roman" w:hAnsi="Times New Roman"/>
          <w:color w:val="000000" w:themeColor="text1"/>
          <w:lang w:eastAsia="ar-SA"/>
        </w:rPr>
        <w:instrText>ADDIN CSL_CITATION {"citationItems":[{"id":"ITEM-1","itemData":{"DOI":"10.3389/fbioe.2019.00031","ISSN":"2296-4185","author":[{"dropping-particle":"","family":"Eckerstorfer","given":"Michael F.","non-dropping-particle":"","parse-names":false,"suffix":""},{"dropping-particle":"","family":"Dolezel","given":"Marion","non-dropping-particle":"","parse-names":false,"suffix":""},{"dropping-particle":"","family":"Heissenberger","given":"Andreas","non-dropping-particle":"","parse-names":false,"suffix":""},{"dropping-particle":"","family":"Miklau","given":"Marianne","non-dropping-particle":"","parse-names":false,"suffix":""},{"dropping-particle":"","family":"Reichenbecher","given":"Wolfram","non-dropping-particle":"","parse-names":false,"suffix":""},{"dropping-particle":"","family":"Steinbrecher","given":"Ricarda A.","non-dropping-particle":"","parse-names":false,"suffix":""},{"dropping-particle":"","family":"Waßmann","given":"Friedrich","non-dropping-particle":"","parse-names":false,"suffix":""}],"container-title":"Frontiers in Bioengineering and Biotechnology","id":"ITEM-1","issued":{"date-parts":[["2019","3","5"]]},"title":"An EU Perspective on Biosafety Considerations for Plants Developed by Genome Editing and Other New Genetic Modification Techniques (nGMs)","type":"article-journal","volume":"7"},"uris":["http://www.mendeley.com/documents/?uuid=2b689dca-8340-44c6-a297-11e6438f05e3"]}],"mendeley":{"formattedCitation":"(Eckerstorfer, Dolezel, et al., 2019)","plainTextFormattedCitation":"(Eckerstorfer, Dolezel, et al., 2019)","previouslyFormattedCitation":"(Eckerstorfer, Dolezel, et al., 2019)"},"properties":{"noteIndex":0},"schema":"https://github.com/citation-style-language/schema/raw/master/csl-citation.json"}</w:instrText>
      </w:r>
      <w:r w:rsidR="00006C3B">
        <w:rPr>
          <w:rFonts w:ascii="Times New Roman" w:hAnsi="Times New Roman"/>
          <w:color w:val="000000" w:themeColor="text1"/>
          <w:lang w:eastAsia="ar-SA"/>
        </w:rPr>
        <w:fldChar w:fldCharType="separate"/>
      </w:r>
      <w:r w:rsidR="00006C3B" w:rsidRPr="00006C3B">
        <w:rPr>
          <w:rFonts w:ascii="Times New Roman" w:hAnsi="Times New Roman"/>
          <w:noProof/>
          <w:color w:val="000000" w:themeColor="text1"/>
          <w:lang w:eastAsia="ar-SA"/>
        </w:rPr>
        <w:t>(Eckerstorfer, Dolezel, et al., 2019)</w:t>
      </w:r>
      <w:r w:rsidR="00006C3B">
        <w:rPr>
          <w:rFonts w:ascii="Times New Roman" w:hAnsi="Times New Roman"/>
          <w:color w:val="000000" w:themeColor="text1"/>
          <w:lang w:eastAsia="ar-SA"/>
        </w:rPr>
        <w:fldChar w:fldCharType="end"/>
      </w:r>
      <w:r w:rsidR="005A2759">
        <w:rPr>
          <w:rFonts w:ascii="Times New Roman" w:hAnsi="Times New Roman"/>
          <w:color w:val="000000" w:themeColor="text1"/>
          <w:lang w:eastAsia="ar-SA"/>
        </w:rPr>
        <w:t>.</w:t>
      </w:r>
    </w:p>
    <w:p w14:paraId="5D03DDE5" w14:textId="27DA77CA" w:rsidR="00D73752" w:rsidRDefault="00B5365E" w:rsidP="00DB410C">
      <w:pPr>
        <w:spacing w:line="240" w:lineRule="auto"/>
        <w:jc w:val="both"/>
        <w:rPr>
          <w:rFonts w:ascii="Times New Roman" w:hAnsi="Times New Roman"/>
          <w:color w:val="000000" w:themeColor="text1"/>
          <w:lang w:eastAsia="ar-SA"/>
        </w:rPr>
      </w:pPr>
      <w:r>
        <w:rPr>
          <w:rFonts w:ascii="Times New Roman" w:hAnsi="Times New Roman"/>
          <w:color w:val="000000" w:themeColor="text1"/>
          <w:lang w:eastAsia="ar-SA"/>
        </w:rPr>
        <w:t>As discussions about the safety of genome edited organisms continues</w:t>
      </w:r>
      <w:r w:rsidR="00C77E6E">
        <w:rPr>
          <w:rFonts w:ascii="Times New Roman" w:hAnsi="Times New Roman"/>
          <w:color w:val="000000" w:themeColor="text1"/>
          <w:lang w:eastAsia="ar-SA"/>
        </w:rPr>
        <w:t xml:space="preserve"> and information becomes available</w:t>
      </w:r>
      <w:r>
        <w:rPr>
          <w:rFonts w:ascii="Times New Roman" w:hAnsi="Times New Roman"/>
          <w:color w:val="000000" w:themeColor="text1"/>
          <w:lang w:eastAsia="ar-SA"/>
        </w:rPr>
        <w:t xml:space="preserve">, countries are starting to discuss </w:t>
      </w:r>
      <w:r w:rsidR="00DC148C">
        <w:rPr>
          <w:rFonts w:ascii="Times New Roman" w:hAnsi="Times New Roman"/>
          <w:color w:val="000000" w:themeColor="text1"/>
          <w:lang w:eastAsia="ar-SA"/>
        </w:rPr>
        <w:t>ho</w:t>
      </w:r>
      <w:r w:rsidR="00933841">
        <w:rPr>
          <w:rFonts w:ascii="Times New Roman" w:hAnsi="Times New Roman"/>
          <w:color w:val="000000" w:themeColor="text1"/>
          <w:lang w:eastAsia="ar-SA"/>
        </w:rPr>
        <w:t>w</w:t>
      </w:r>
      <w:r w:rsidR="00DC148C">
        <w:rPr>
          <w:rFonts w:ascii="Times New Roman" w:hAnsi="Times New Roman"/>
          <w:color w:val="000000" w:themeColor="text1"/>
          <w:lang w:eastAsia="ar-SA"/>
        </w:rPr>
        <w:t xml:space="preserve"> best to assess any potential risks that may come from their use. For instance, t</w:t>
      </w:r>
      <w:r w:rsidR="008C433F">
        <w:rPr>
          <w:rFonts w:ascii="Times New Roman" w:hAnsi="Times New Roman"/>
          <w:color w:val="000000" w:themeColor="text1"/>
          <w:lang w:eastAsia="ar-SA"/>
        </w:rPr>
        <w:t>he</w:t>
      </w:r>
      <w:r w:rsidR="008C433F" w:rsidRPr="005C641E">
        <w:rPr>
          <w:rFonts w:ascii="Times New Roman" w:hAnsi="Times New Roman"/>
          <w:color w:val="000000" w:themeColor="text1"/>
          <w:lang w:eastAsia="ar-SA"/>
        </w:rPr>
        <w:t xml:space="preserve"> </w:t>
      </w:r>
      <w:r w:rsidR="005D428C">
        <w:rPr>
          <w:rFonts w:ascii="Times New Roman" w:hAnsi="Times New Roman"/>
          <w:color w:val="000000" w:themeColor="text1"/>
          <w:lang w:eastAsia="ar-SA"/>
        </w:rPr>
        <w:t xml:space="preserve">EFSA </w:t>
      </w:r>
      <w:r w:rsidR="008C433F" w:rsidRPr="005C641E">
        <w:rPr>
          <w:rFonts w:ascii="Times New Roman" w:hAnsi="Times New Roman"/>
          <w:color w:val="000000" w:themeColor="text1"/>
          <w:lang w:eastAsia="ar-SA"/>
        </w:rPr>
        <w:t xml:space="preserve">GMO Panel considered that its existing guidance for risk assessment of food and feed from </w:t>
      </w:r>
      <w:r w:rsidR="00BA5EFC">
        <w:rPr>
          <w:rFonts w:ascii="Times New Roman" w:hAnsi="Times New Roman"/>
          <w:color w:val="000000" w:themeColor="text1"/>
          <w:lang w:eastAsia="ar-SA"/>
        </w:rPr>
        <w:t>genetically modified</w:t>
      </w:r>
      <w:r w:rsidR="00BA5EFC" w:rsidRPr="005C641E">
        <w:rPr>
          <w:rFonts w:ascii="Times New Roman" w:hAnsi="Times New Roman"/>
          <w:color w:val="000000" w:themeColor="text1"/>
          <w:lang w:eastAsia="ar-SA"/>
        </w:rPr>
        <w:t xml:space="preserve"> </w:t>
      </w:r>
      <w:r w:rsidR="008C433F" w:rsidRPr="005C641E">
        <w:rPr>
          <w:rFonts w:ascii="Times New Roman" w:hAnsi="Times New Roman"/>
          <w:color w:val="000000" w:themeColor="text1"/>
          <w:lang w:eastAsia="ar-SA"/>
        </w:rPr>
        <w:t>plants and the guidance on the environmental risk assessment of the same are sufficient,</w:t>
      </w:r>
      <w:r w:rsidR="0063746C">
        <w:rPr>
          <w:rFonts w:ascii="Times New Roman" w:hAnsi="Times New Roman"/>
          <w:color w:val="000000" w:themeColor="text1"/>
          <w:lang w:eastAsia="ar-SA"/>
        </w:rPr>
        <w:t xml:space="preserve"> </w:t>
      </w:r>
      <w:r w:rsidR="008C433F" w:rsidRPr="005C641E">
        <w:rPr>
          <w:rFonts w:ascii="Times New Roman" w:hAnsi="Times New Roman"/>
          <w:color w:val="000000" w:themeColor="text1"/>
          <w:lang w:eastAsia="ar-SA"/>
        </w:rPr>
        <w:t>but are only partially applicable to plants generated via SDN-1, SDN-2 or ODM. They went further to state that the information requirements of those guidance documents that are linked to the presence of exogenous DNA are not relevant for the risk assessment of plants developed via SDN-1, SDN-2 or ODM approaches if the genome of the final product does not contain exogenous DNA</w:t>
      </w:r>
      <w:r w:rsidR="008C433F">
        <w:rPr>
          <w:rFonts w:ascii="Times New Roman" w:hAnsi="Times New Roman"/>
          <w:color w:val="000000" w:themeColor="text1"/>
          <w:lang w:eastAsia="ar-SA"/>
        </w:rPr>
        <w:t>.</w:t>
      </w:r>
      <w:r w:rsidR="00362E9A" w:rsidRPr="00BD32FB">
        <w:rPr>
          <w:rFonts w:ascii="Times New Roman" w:hAnsi="Times New Roman"/>
          <w:color w:val="000000" w:themeColor="text1"/>
          <w:lang w:eastAsia="ar-SA"/>
        </w:rPr>
        <w:t xml:space="preserve"> The </w:t>
      </w:r>
      <w:r w:rsidR="007E12E7">
        <w:rPr>
          <w:rFonts w:ascii="Times New Roman" w:hAnsi="Times New Roman"/>
          <w:color w:val="000000" w:themeColor="text1"/>
          <w:lang w:eastAsia="ar-SA"/>
        </w:rPr>
        <w:t>USA</w:t>
      </w:r>
      <w:r w:rsidR="00362E9A">
        <w:rPr>
          <w:rFonts w:ascii="Times New Roman" w:hAnsi="Times New Roman"/>
          <w:color w:val="000000" w:themeColor="text1"/>
          <w:lang w:eastAsia="ar-SA"/>
        </w:rPr>
        <w:t xml:space="preserve"> </w:t>
      </w:r>
      <w:r w:rsidR="00362E9A" w:rsidRPr="001D7860">
        <w:rPr>
          <w:rFonts w:ascii="Times New Roman" w:hAnsi="Times New Roman"/>
          <w:color w:val="000000" w:themeColor="text1"/>
          <w:lang w:eastAsia="ar-SA"/>
        </w:rPr>
        <w:t>National Academy of Sciences</w:t>
      </w:r>
      <w:r w:rsidR="00362E9A">
        <w:rPr>
          <w:rFonts w:ascii="Times New Roman" w:hAnsi="Times New Roman"/>
          <w:color w:val="000000" w:themeColor="text1"/>
          <w:lang w:eastAsia="ar-SA"/>
        </w:rPr>
        <w:t xml:space="preserve"> </w:t>
      </w:r>
      <w:r w:rsidR="005A42AC">
        <w:rPr>
          <w:rFonts w:ascii="Times New Roman" w:hAnsi="Times New Roman"/>
          <w:color w:val="000000" w:themeColor="text1"/>
          <w:lang w:eastAsia="ar-SA"/>
        </w:rPr>
        <w:fldChar w:fldCharType="begin" w:fldLock="1"/>
      </w:r>
      <w:r w:rsidR="005A42AC">
        <w:rPr>
          <w:rFonts w:ascii="Times New Roman" w:hAnsi="Times New Roman"/>
          <w:color w:val="000000" w:themeColor="text1"/>
          <w:lang w:eastAsia="ar-SA"/>
        </w:rPr>
        <w:instrText>ADDIN CSL_CITATION {"citationItems":[{"id":"ITEM-1","itemData":{"DOI":"10.17226/24605","ISBN":"978-0-309-45205-2","author":[{"dropping-particle":"","family":"National Academies of Sciences Engineering and Medicine","given":"","non-dropping-particle":"","parse-names":false,"suffix":""}],"id":"ITEM-1","issued":{"date-parts":[["2017","6","28"]]},"publisher":"National Academies Press","publisher-place":"Washington, D.C.","title":"Preparing for Future Products of Biotechnology","type":"report"},"uris":["http://www.mendeley.com/documents/?uuid=a481f623-38ff-4a6b-bc9a-b3731fe18ebc"]}],"mendeley":{"formattedCitation":"(National Academies of Sciences Engineering and Medicine, 2017)","manualFormatting":"(2017)","plainTextFormattedCitation":"(National Academies of Sciences Engineering and Medicine, 2017)","previouslyFormattedCitation":"(National Academies of Sciences Engineering and Medicine, 2017)"},"properties":{"noteIndex":0},"schema":"https://github.com/citation-style-language/schema/raw/master/csl-citation.json"}</w:instrText>
      </w:r>
      <w:r w:rsidR="005A42AC">
        <w:rPr>
          <w:rFonts w:ascii="Times New Roman" w:hAnsi="Times New Roman"/>
          <w:color w:val="000000" w:themeColor="text1"/>
          <w:lang w:eastAsia="ar-SA"/>
        </w:rPr>
        <w:fldChar w:fldCharType="separate"/>
      </w:r>
      <w:r w:rsidR="005A42AC" w:rsidRPr="005A42AC">
        <w:rPr>
          <w:rFonts w:ascii="Times New Roman" w:hAnsi="Times New Roman"/>
          <w:noProof/>
          <w:color w:val="000000" w:themeColor="text1"/>
          <w:lang w:eastAsia="ar-SA"/>
        </w:rPr>
        <w:t>(2017)</w:t>
      </w:r>
      <w:r w:rsidR="005A42AC">
        <w:rPr>
          <w:rFonts w:ascii="Times New Roman" w:hAnsi="Times New Roman"/>
          <w:color w:val="000000" w:themeColor="text1"/>
          <w:lang w:eastAsia="ar-SA"/>
        </w:rPr>
        <w:fldChar w:fldCharType="end"/>
      </w:r>
      <w:r w:rsidR="00DC7EA9">
        <w:rPr>
          <w:rFonts w:ascii="Times New Roman" w:hAnsi="Times New Roman"/>
          <w:color w:val="000000" w:themeColor="text1"/>
          <w:lang w:eastAsia="ar-SA"/>
        </w:rPr>
        <w:t xml:space="preserve"> </w:t>
      </w:r>
      <w:r w:rsidR="00362E9A" w:rsidRPr="007E12E7">
        <w:rPr>
          <w:rFonts w:ascii="Times New Roman" w:hAnsi="Times New Roman"/>
          <w:color w:val="000000" w:themeColor="text1"/>
          <w:lang w:eastAsia="ar-SA"/>
        </w:rPr>
        <w:t xml:space="preserve">indicated that </w:t>
      </w:r>
      <w:r w:rsidR="004171C3" w:rsidRPr="007E12E7">
        <w:rPr>
          <w:rFonts w:ascii="Times New Roman" w:hAnsi="Times New Roman"/>
          <w:color w:val="000000" w:themeColor="text1"/>
          <w:lang w:eastAsia="ar-SA"/>
        </w:rPr>
        <w:t xml:space="preserve">for </w:t>
      </w:r>
      <w:r w:rsidR="00362E9A" w:rsidRPr="00362E9A">
        <w:rPr>
          <w:rFonts w:ascii="Times New Roman" w:hAnsi="Times New Roman"/>
          <w:color w:val="000000" w:themeColor="text1"/>
          <w:lang w:eastAsia="ar-SA"/>
        </w:rPr>
        <w:t xml:space="preserve">products </w:t>
      </w:r>
      <w:r w:rsidR="004171C3">
        <w:rPr>
          <w:rFonts w:ascii="Times New Roman" w:hAnsi="Times New Roman"/>
          <w:color w:val="000000" w:themeColor="text1"/>
          <w:lang w:eastAsia="ar-SA"/>
        </w:rPr>
        <w:t>such as</w:t>
      </w:r>
      <w:r w:rsidR="00362E9A" w:rsidRPr="00362E9A">
        <w:rPr>
          <w:rFonts w:ascii="Times New Roman" w:hAnsi="Times New Roman"/>
          <w:color w:val="000000" w:themeColor="text1"/>
          <w:lang w:eastAsia="ar-SA"/>
        </w:rPr>
        <w:t xml:space="preserve"> “next generation” GM crops, it was not anticipated that risk assessment endpoints would be different from previously assessed GM crops.</w:t>
      </w:r>
      <w:r w:rsidR="00435EAB">
        <w:rPr>
          <w:rFonts w:ascii="Times New Roman" w:hAnsi="Times New Roman"/>
          <w:color w:val="000000" w:themeColor="text1"/>
          <w:lang w:eastAsia="ar-SA"/>
        </w:rPr>
        <w:t xml:space="preserve"> </w:t>
      </w:r>
      <w:r w:rsidR="00891F7A">
        <w:rPr>
          <w:rFonts w:ascii="Times New Roman" w:hAnsi="Times New Roman"/>
          <w:color w:val="000000" w:themeColor="text1"/>
          <w:lang w:eastAsia="ar-SA"/>
        </w:rPr>
        <w:t>In France, t</w:t>
      </w:r>
      <w:r w:rsidR="00E820B2" w:rsidRPr="00E820B2">
        <w:rPr>
          <w:rFonts w:ascii="Times New Roman" w:hAnsi="Times New Roman"/>
          <w:color w:val="000000" w:themeColor="text1"/>
          <w:lang w:eastAsia="ar-SA"/>
        </w:rPr>
        <w:t xml:space="preserve">he Scientific Committee of the High Council for biotechnology, identified </w:t>
      </w:r>
      <w:r w:rsidR="006C0D11">
        <w:rPr>
          <w:rFonts w:ascii="Times New Roman" w:hAnsi="Times New Roman"/>
          <w:color w:val="000000" w:themeColor="text1"/>
          <w:lang w:eastAsia="ar-SA"/>
        </w:rPr>
        <w:t xml:space="preserve">the following </w:t>
      </w:r>
      <w:r w:rsidR="00E820B2" w:rsidRPr="00E820B2">
        <w:rPr>
          <w:rFonts w:ascii="Times New Roman" w:hAnsi="Times New Roman"/>
          <w:color w:val="000000" w:themeColor="text1"/>
          <w:lang w:eastAsia="ar-SA"/>
        </w:rPr>
        <w:t xml:space="preserve">three points to consider in terms of hazards </w:t>
      </w:r>
      <w:r w:rsidR="00891F7A">
        <w:rPr>
          <w:rFonts w:ascii="Times New Roman" w:hAnsi="Times New Roman"/>
          <w:color w:val="000000" w:themeColor="text1"/>
          <w:lang w:eastAsia="ar-SA"/>
        </w:rPr>
        <w:t xml:space="preserve">related to </w:t>
      </w:r>
      <w:r w:rsidR="00E820B2" w:rsidRPr="00E820B2">
        <w:rPr>
          <w:rFonts w:ascii="Times New Roman" w:hAnsi="Times New Roman"/>
          <w:color w:val="000000" w:themeColor="text1"/>
          <w:lang w:eastAsia="ar-SA"/>
        </w:rPr>
        <w:t>environment</w:t>
      </w:r>
      <w:r w:rsidR="00891F7A">
        <w:rPr>
          <w:rFonts w:ascii="Times New Roman" w:hAnsi="Times New Roman"/>
          <w:color w:val="000000" w:themeColor="text1"/>
          <w:lang w:eastAsia="ar-SA"/>
        </w:rPr>
        <w:t xml:space="preserve"> and health</w:t>
      </w:r>
      <w:r w:rsidR="00E820B2" w:rsidRPr="00E820B2">
        <w:rPr>
          <w:rFonts w:ascii="Times New Roman" w:hAnsi="Times New Roman"/>
          <w:color w:val="000000" w:themeColor="text1"/>
          <w:lang w:eastAsia="ar-SA"/>
        </w:rPr>
        <w:t>, as compared to conventional breeding: (1) technical unintended effects related to effector persistence as well as risks associated with off-target modifications or other unintended genome modifications, (2) risks arising from the desired trait and its novelty in the plant, and (3) risks associated with the potential modification of plant breeding practices, owing to efficacy and technical ease-of-use of genome editing, be it for single traits or for combined modifications (multiplex genome editing</w:t>
      </w:r>
      <w:r w:rsidR="00640A18">
        <w:rPr>
          <w:rFonts w:ascii="Times New Roman" w:hAnsi="Times New Roman"/>
          <w:color w:val="000000" w:themeColor="text1"/>
          <w:lang w:eastAsia="ar-SA"/>
        </w:rPr>
        <w:t>;</w:t>
      </w:r>
      <w:r w:rsidR="001254C4">
        <w:rPr>
          <w:rFonts w:ascii="Times New Roman" w:hAnsi="Times New Roman"/>
          <w:color w:val="000000" w:themeColor="text1"/>
          <w:lang w:eastAsia="ar-SA"/>
        </w:rPr>
        <w:t xml:space="preserve"> </w:t>
      </w:r>
      <w:r w:rsidR="00640A18">
        <w:rPr>
          <w:rFonts w:ascii="Times New Roman" w:hAnsi="Times New Roman"/>
          <w:color w:val="000000" w:themeColor="text1"/>
          <w:lang w:eastAsia="ar-SA"/>
        </w:rPr>
        <w:fldChar w:fldCharType="begin" w:fldLock="1"/>
      </w:r>
      <w:r w:rsidR="00DE2EA7">
        <w:rPr>
          <w:rFonts w:ascii="Times New Roman" w:hAnsi="Times New Roman"/>
          <w:color w:val="000000" w:themeColor="text1"/>
          <w:lang w:eastAsia="ar-SA"/>
        </w:rPr>
        <w:instrText>ADDIN CSL_CITATION {"citationItems":[{"id":"ITEM-1","itemData":{"DOI":"10.1007/s11248-019-00146-1","ISSN":"0962-8819","author":[{"dropping-particle":"","family":"Troadec","given":"Marie-Bérengère","non-dropping-particle":"","parse-names":false,"suffix":""},{"dropping-particle":"","family":"Pagès","given":"Jean-Christophe","non-dropping-particle":"","parse-names":false,"suffix":""}],"container-title":"Transgenic Research","id":"ITEM-1","issue":"S2","issued":{"date-parts":[["2019","8","18"]]},"page":"125-133","title":"Where are we with unintended effects in genome editing applications from DNA to phenotype: focus on plant applications","type":"article-journal","volume":"28"},"uris":["http://www.mendeley.com/documents/?uuid=b35469d1-42c4-4b1e-9b64-6e3ee03f9f1c"]}],"mendeley":{"formattedCitation":"(Troadec &amp; Pagès, 2019)","manualFormatting":"Troadec &amp; Pagès, 2019)","plainTextFormattedCitation":"(Troadec &amp; Pagès, 2019)","previouslyFormattedCitation":"(Troadec &amp; Pagès, 2019)"},"properties":{"noteIndex":0},"schema":"https://github.com/citation-style-language/schema/raw/master/csl-citation.json"}</w:instrText>
      </w:r>
      <w:r w:rsidR="00640A18">
        <w:rPr>
          <w:rFonts w:ascii="Times New Roman" w:hAnsi="Times New Roman"/>
          <w:color w:val="000000" w:themeColor="text1"/>
          <w:lang w:eastAsia="ar-SA"/>
        </w:rPr>
        <w:fldChar w:fldCharType="separate"/>
      </w:r>
      <w:r w:rsidR="00640A18" w:rsidRPr="00640A18">
        <w:rPr>
          <w:rFonts w:ascii="Times New Roman" w:hAnsi="Times New Roman"/>
          <w:noProof/>
          <w:color w:val="000000" w:themeColor="text1"/>
          <w:lang w:eastAsia="ar-SA"/>
        </w:rPr>
        <w:t>Troadec &amp; Pagès, 2019)</w:t>
      </w:r>
      <w:r w:rsidR="00640A18">
        <w:rPr>
          <w:rFonts w:ascii="Times New Roman" w:hAnsi="Times New Roman"/>
          <w:color w:val="000000" w:themeColor="text1"/>
          <w:lang w:eastAsia="ar-SA"/>
        </w:rPr>
        <w:fldChar w:fldCharType="end"/>
      </w:r>
      <w:r w:rsidR="00640A18">
        <w:rPr>
          <w:rFonts w:ascii="Times New Roman" w:hAnsi="Times New Roman"/>
          <w:color w:val="000000" w:themeColor="text1"/>
          <w:lang w:eastAsia="ar-SA"/>
        </w:rPr>
        <w:t>.</w:t>
      </w:r>
      <w:r w:rsidR="00640A18" w:rsidDel="00640A18">
        <w:rPr>
          <w:rFonts w:ascii="Times New Roman" w:hAnsi="Times New Roman"/>
          <w:color w:val="000000" w:themeColor="text1"/>
          <w:lang w:eastAsia="ar-SA"/>
        </w:rPr>
        <w:t xml:space="preserve"> </w:t>
      </w:r>
      <w:r w:rsidR="00435EAB">
        <w:rPr>
          <w:rFonts w:ascii="Times New Roman" w:hAnsi="Times New Roman"/>
          <w:color w:val="000000" w:themeColor="text1"/>
          <w:lang w:eastAsia="ar-SA"/>
        </w:rPr>
        <w:t xml:space="preserve"> </w:t>
      </w:r>
    </w:p>
    <w:p w14:paraId="59AE4ED2" w14:textId="1B9B2D31" w:rsidR="00D32BE5" w:rsidRPr="00087CDF" w:rsidRDefault="00D32BE5" w:rsidP="007169E6">
      <w:pPr>
        <w:spacing w:line="240" w:lineRule="auto"/>
        <w:jc w:val="both"/>
        <w:rPr>
          <w:rFonts w:ascii="Times New Roman" w:hAnsi="Times New Roman"/>
          <w:color w:val="000000" w:themeColor="text1"/>
          <w:lang w:val="en-US" w:eastAsia="ar-SA"/>
        </w:rPr>
      </w:pPr>
      <w:r>
        <w:rPr>
          <w:rFonts w:ascii="Times New Roman" w:hAnsi="Times New Roman"/>
          <w:color w:val="000000" w:themeColor="text1"/>
          <w:lang w:eastAsia="ar-SA"/>
        </w:rPr>
        <w:t xml:space="preserve">In the context of animals, it was suggested that similar risk assessment methodologies used to assess plants could be applied to the case of animals </w:t>
      </w:r>
      <w:r w:rsidR="008F6A90">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{"citationItems":[{"id":"ITEM-1","itemData":{"DOI":"10.7554/eLife.26295","ISSN":"2050-084X","abstract":"An EASAC working group on genome editing recommends that regulators should focus on specific applications of these new techniques rather than attempting to regulate genome editing itself as a new technology.","author":[{"dropping-particle":"","family":"Fears","given":"Robin","non-dropping-particle":"","parse-names":false,"suffix":""},{"dropping-particle":"","family":"Meulen","given":"Volker","non-dropping-particle":"ter","parse-names":false,"suffix":""}],"container-title":"eLife","id":"ITEM-1","issued":{"date-parts":[["2017","4","4"]]},"title":"How should the applications of genome editing be assessed and regulated?","type":"article-journal","volume":"6"},"uris":["http://www.mendeley.com/documents/?uuid=25a0a6de-2363-4c42-9c94-e3d3ac79716f"]}],"mendeley":{"formattedCitation":"(Fears &amp; ter Meulen, 2017)","plainTextFormattedCitation":"(Fears &amp; ter Meulen, 2017)","previouslyFormattedCitation":"(Fears &amp; ter Meulen, 2017)"},"properties":{"noteIndex":0},"schema":"https://github.com/citation-style-language/schema/raw/master/csl-citation.json"}</w:instrText>
      </w:r>
      <w:r w:rsidR="008F6A90">
        <w:rPr>
          <w:rFonts w:ascii="Times New Roman" w:hAnsi="Times New Roman"/>
          <w:color w:val="000000" w:themeColor="text1"/>
          <w:lang w:eastAsia="ar-SA"/>
        </w:rPr>
        <w:fldChar w:fldCharType="separate"/>
      </w:r>
      <w:r w:rsidR="008F6A90" w:rsidRPr="008F6A90">
        <w:rPr>
          <w:rFonts w:ascii="Times New Roman" w:hAnsi="Times New Roman"/>
          <w:noProof/>
          <w:color w:val="000000" w:themeColor="text1"/>
          <w:lang w:eastAsia="ar-SA"/>
        </w:rPr>
        <w:t>(Fears &amp; ter Meulen, 2017)</w:t>
      </w:r>
      <w:r w:rsidR="008F6A90">
        <w:rPr>
          <w:rFonts w:ascii="Times New Roman" w:hAnsi="Times New Roman"/>
          <w:color w:val="000000" w:themeColor="text1"/>
          <w:lang w:eastAsia="ar-SA"/>
        </w:rPr>
        <w:fldChar w:fldCharType="end"/>
      </w:r>
      <w:r>
        <w:rPr>
          <w:rFonts w:ascii="Times New Roman" w:hAnsi="Times New Roman"/>
          <w:color w:val="000000" w:themeColor="text1"/>
          <w:lang w:eastAsia="ar-SA"/>
        </w:rPr>
        <w:t xml:space="preserve">. As is the case for plants, it could be anticipated that genome editing techniques applied to animals may also produce unintended (off-target) changes in addition to the intended genomic edition itself </w:t>
      </w:r>
      <w:r w:rsidR="008F6A90">
        <w:rPr>
          <w:rFonts w:ascii="Times New Roman" w:hAnsi="Times New Roman"/>
          <w:color w:val="000000" w:themeColor="text1"/>
          <w:lang w:eastAsia="ar-SA"/>
        </w:rPr>
        <w:fldChar w:fldCharType="begin" w:fldLock="1"/>
      </w:r>
      <w:r w:rsidR="002A34FC">
        <w:rPr>
          <w:rFonts w:ascii="Times New Roman" w:hAnsi="Times New Roman"/>
          <w:color w:val="000000" w:themeColor="text1"/>
          <w:lang w:eastAsia="ar-SA"/>
        </w:rPr>
        <w:instrText>ADDIN CSL_CITATION {"citationItems":[{"id":"ITEM-1","itemData":{"DOI":"10.1186/s12302-020-00361-2","ISSN":"2190-4707","author":[{"dropping-particle":"","family":"Kawall","given":"Katharina","non-dropping-particle":"","parse-names":false,"suffix":""},{"dropping-particle":"","family":"Cotter","given":"Janet","non-dropping-particle":"","parse-names":false,"suffix":""},{"dropping-particle":"","family":"Then","given":"Christoph","non-dropping-particle":"","parse-names":false,"suffix":""}],"container-title":"Environmental Sciences Europe","id":"ITEM-1","issue":"1","issued":{"date-parts":[["2020","12","11"]]},"page":"106","title":"Broadening the GMO risk assessment in the EU for genome editing technologies in agriculture","type":"article-journal","volume":"32"},"uris":["http://www.mendeley.com/documents/?uuid=be787a49-8617-4d3b-9cba-c5be2155e8f4"]}],"mendeley":{"formattedCitation":"(Kawall et al., 2020)","plainTextFormattedCitation":"(Kawall et al., 2020)","previouslyFormattedCitation":"(Kawall et al., 2020)"},"properties":{"noteIndex":0},"schema":"https://github.com/citation-style-language/schema/raw/master/csl-citation.json"}</w:instrText>
      </w:r>
      <w:r w:rsidR="008F6A90">
        <w:rPr>
          <w:rFonts w:ascii="Times New Roman" w:hAnsi="Times New Roman"/>
          <w:color w:val="000000" w:themeColor="text1"/>
          <w:lang w:eastAsia="ar-SA"/>
        </w:rPr>
        <w:fldChar w:fldCharType="separate"/>
      </w:r>
      <w:r w:rsidR="002A34FC" w:rsidRPr="002A34FC">
        <w:rPr>
          <w:rFonts w:ascii="Times New Roman" w:hAnsi="Times New Roman"/>
          <w:noProof/>
          <w:color w:val="000000" w:themeColor="text1"/>
          <w:lang w:eastAsia="ar-SA"/>
        </w:rPr>
        <w:t>(Kawall et al., 2020)</w:t>
      </w:r>
      <w:r w:rsidR="008F6A90">
        <w:rPr>
          <w:rFonts w:ascii="Times New Roman" w:hAnsi="Times New Roman"/>
          <w:color w:val="000000" w:themeColor="text1"/>
          <w:lang w:eastAsia="ar-SA"/>
        </w:rPr>
        <w:fldChar w:fldCharType="end"/>
      </w:r>
      <w:r>
        <w:rPr>
          <w:rFonts w:ascii="Times New Roman" w:hAnsi="Times New Roman"/>
          <w:color w:val="000000" w:themeColor="text1"/>
          <w:lang w:eastAsia="ar-SA"/>
        </w:rPr>
        <w:t xml:space="preserve">. But, in cases of SDN-1, SDN-2 and ODM, the changes could be equivalent to changes expected from classical breeding, thus may not pose unique challenges </w:t>
      </w:r>
      <w:r w:rsidR="008323A5">
        <w:rPr>
          <w:rFonts w:ascii="Times New Roman" w:hAnsi="Times New Roman"/>
          <w:color w:val="000000" w:themeColor="text1"/>
          <w:lang w:eastAsia="ar-SA"/>
        </w:rPr>
        <w:fldChar w:fldCharType="begin" w:fldLock="1"/>
      </w:r>
      <w:r w:rsidR="00E52B30">
        <w:rPr>
          <w:rFonts w:ascii="Times New Roman" w:hAnsi="Times New Roman"/>
          <w:color w:val="000000" w:themeColor="text1"/>
          <w:lang w:eastAsia="ar-SA"/>
        </w:rPr>
        <w:instrText>ADDIN CSL_CITATION {"citationItems":[{"id":"ITEM-1","itemData":{"DOI":"10.1080/21645698.2015.1134405","ISSN":"2164-5698","author":[{"dropping-particle":"","family":"Jones","given":"Huw D","non-dropping-particle":"","parse-names":false,"suffix":""}],"container-title":"GM Crops &amp; Food","id":"ITEM-1","issue":"4","issued":{"date-parts":[["2015","10","2"]]},"page":"223-232","title":"Future of breeding by genome editing is in the hands of regulators","type":"article-journal","volume":"6"},"uris":["http://www.mendeley.com/documents/?uuid=865a381d-23b3-434d-a628-dd3b271f9bf3"]},{"id":"ITEM-2","itemData":{"DOI":"10.1111/pbi.13383","ISSN":"14677644","author":[{"dropping-particle":"","family":"Zhang","given":"Debin","non-dropping-particle":"","parse-names":false,"suffix":""},{"dropping-particle":"","family":"Hussain","given":"Amjad","non-dropping-particle":"","parse-names":false,"suffix":""},{"dropping-particle":"","family":"Manghwar","given":"Hakim","non-dropping-particle":"","parse-names":false,"suffix":""},{"dropping-particle":"","family":"Xie","given":"Kabin","non-dropping-particle":"","parse-names":false,"suffix":""},{"dropping-particle":"","family":"Xie","given":"Shengsong","non-dropping-particle":"","parse-names":false,"suffix":""},{"dropping-particle":"","family":"Zhao","given":"Shuhong","non-dropping-particle":"","parse-names":false,"suffix":""},{"dropping-particle":"","family":"Larkin","given":"Robert M.","non-dropping-particle":"","parse-names":false,"suffix":""},{"dropping-particle":"","family":"Qing","given":"Ping","non-dropping-particle":"","parse-names":false,"suffix":""},{"dropping-particle":"","family":"Jin","given":"Shuangxia","non-dropping-particle":"","parse-names":false,"suffix":""},{"dropping-particle":"","family":"Ding","given":"Fang","non-dropping-particle":"","parse-names":false,"suffix":""}],"container-title":"Plant Biotechnology Journal","id":"ITEM-2","issued":{"date-parts":[["2020","4","9"]]},"title":"Genome editing with the CRISPR-Cas system: an art, ethics and global regulatory perspective","type":"article-journal"},"uris":["http://www.mendeley.com/documents/?uuid=9b7b75bf-0ed3-41b3-a777-76f0eef4b829"]}],"mendeley":{"formattedCitation":"(Jones, 2015; D. Zhang et al., 2020a)","plainTextFormattedCitation":"(Jones, 2015; D. Zhang et al., 2020a)","previouslyFormattedCitation":"(Jones, 2015; D. Zhang et al., 2020a)"},"properties":{"noteIndex":0},"schema":"https://github.com/citation-style-language/schema/raw/master/csl-citation.json"}</w:instrText>
      </w:r>
      <w:r w:rsidR="008323A5">
        <w:rPr>
          <w:rFonts w:ascii="Times New Roman" w:hAnsi="Times New Roman"/>
          <w:color w:val="000000" w:themeColor="text1"/>
          <w:lang w:eastAsia="ar-SA"/>
        </w:rPr>
        <w:fldChar w:fldCharType="separate"/>
      </w:r>
      <w:r w:rsidR="0049204D" w:rsidRPr="0049204D">
        <w:rPr>
          <w:rFonts w:ascii="Times New Roman" w:hAnsi="Times New Roman"/>
          <w:noProof/>
          <w:color w:val="000000" w:themeColor="text1"/>
          <w:lang w:eastAsia="ar-SA"/>
        </w:rPr>
        <w:t>(Jones, 2015; D. Zhang et al., 2020a)</w:t>
      </w:r>
      <w:r w:rsidR="008323A5">
        <w:rPr>
          <w:rFonts w:ascii="Times New Roman" w:hAnsi="Times New Roman"/>
          <w:color w:val="000000" w:themeColor="text1"/>
          <w:lang w:eastAsia="ar-SA"/>
        </w:rPr>
        <w:fldChar w:fldCharType="end"/>
      </w:r>
      <w:r>
        <w:rPr>
          <w:rFonts w:ascii="Times New Roman" w:hAnsi="Times New Roman"/>
          <w:color w:val="000000" w:themeColor="text1"/>
          <w:lang w:eastAsia="ar-SA"/>
        </w:rPr>
        <w:t xml:space="preserve">. However, a lack of scientific data on engineered animals, how animal systems respond to genome editing, mosaicism produced from animal cloning methods (e.g. somatic nuclear transfer) and complicated genetics (e.g. pleiotropy, alternative splicing) could complicate the perception and evaluation of risk </w:t>
      </w:r>
      <w:r w:rsidR="002A34FC">
        <w:rPr>
          <w:rFonts w:ascii="Times New Roman" w:hAnsi="Times New Roman"/>
          <w:color w:val="000000" w:themeColor="text1"/>
          <w:lang w:eastAsia="ar-SA"/>
        </w:rPr>
        <w:fldChar w:fldCharType="begin" w:fldLock="1"/>
      </w:r>
      <w:r w:rsidR="002A34FC">
        <w:rPr>
          <w:rFonts w:ascii="Times New Roman" w:hAnsi="Times New Roman"/>
          <w:color w:val="000000" w:themeColor="text1"/>
          <w:lang w:eastAsia="ar-SA"/>
        </w:rPr>
        <w:instrText>ADDIN CSL_CITATION {"citationItems":[{"id":"ITEM-1","itemData":{"author":[{"dropping-particle":"","family":"Cotter","given":"Janet","non-dropping-particle":"","parse-names":false,"suffix":""},{"dropping-particle":"","family":"Perls","given":"Dana","non-dropping-particle":"","parse-names":false,"suffix":""}],"id":"ITEM-1","issue</w:instrText>
      </w:r>
      <w:r w:rsidR="002A34FC" w:rsidRPr="00087CDF">
        <w:rPr>
          <w:rFonts w:ascii="Times New Roman" w:hAnsi="Times New Roman"/>
          <w:color w:val="000000" w:themeColor="text1"/>
          <w:lang w:val="en-US" w:eastAsia="ar-SA"/>
        </w:rPr>
        <w:instrText>d":{"date-parts":[["2019"]]},"number-of-pages":"41","title":"Genetically Engineered Animals: From Lab to Factory Farm","type":"report"},"uris":["http://www.mendeley.com/documents/?uuid=a78386cb-dd36-443e-ad88-30aaeccb9600"]},{"id":"ITEM-2","itemData":{"DOI":"10.3168/jds.2017-12962","ISSN":"00220302","author":[{"dropping-particle":"","family":"Eriksson","given":"S.","non-dropping-particle":"","parse-names":false,"suffix":""},{"dropping-particle":"","family":"Jonas","given":"E.","non-dropping-particle":"","parse-names":false,"suffix":""},{"dropping-particle":"","family":"Rydhmer","given":"L.","non-dropping-particle":"","parse-names":false,"suffix":""},{"dropping-particle":"","family":"Röcklinsberg","given":"H.","non-dropping-particle":"","parse-names":false,"suffix":""}],"container-title":"Journal of Dairy Science","id":"ITEM-2","issue":"1","issued":{"date-parts":[["2018","1"]]},"page":"1-17","title":"Invited review: Breeding and ethical perspectives on genetically modified and genome edited cattle","type":"article-journal","volume":"101"},"uris":["http://www.mendeley.com/documents/?uuid=cb563eec-e776-4fdc-a279-c8b5636d3fe5"]}],"mendeley":{"formattedCitation":"(Cotter &amp; Perls, 2019; Eriksson et al., 2018)","plainTextFormattedCitation":"(Cotter &amp; Perls, 2019; Eriksson et al., 2018)","previouslyFormattedCitation":"(Cotter &amp; Perls, 2019; Eriksson et al., 2018)"},"properties":{"noteIndex":0},"schema":"https://github.com/citation-style-language/schema/raw/master/csl-citation.json"}</w:instrText>
      </w:r>
      <w:r w:rsidR="002A34FC">
        <w:rPr>
          <w:rFonts w:ascii="Times New Roman" w:hAnsi="Times New Roman"/>
          <w:color w:val="000000" w:themeColor="text1"/>
          <w:lang w:eastAsia="ar-SA"/>
        </w:rPr>
        <w:fldChar w:fldCharType="separate"/>
      </w:r>
      <w:r w:rsidR="002A34FC" w:rsidRPr="00087CDF">
        <w:rPr>
          <w:rFonts w:ascii="Times New Roman" w:hAnsi="Times New Roman"/>
          <w:noProof/>
          <w:color w:val="000000" w:themeColor="text1"/>
          <w:lang w:val="en-US" w:eastAsia="ar-SA"/>
        </w:rPr>
        <w:t>(Cotter &amp; Perls, 2019; Eriksson et al., 2018)</w:t>
      </w:r>
      <w:r w:rsidR="002A34FC">
        <w:rPr>
          <w:rFonts w:ascii="Times New Roman" w:hAnsi="Times New Roman"/>
          <w:color w:val="000000" w:themeColor="text1"/>
          <w:lang w:eastAsia="ar-SA"/>
        </w:rPr>
        <w:fldChar w:fldCharType="end"/>
      </w:r>
      <w:r w:rsidRPr="00087CDF">
        <w:rPr>
          <w:rFonts w:ascii="Times New Roman" w:hAnsi="Times New Roman"/>
          <w:color w:val="000000" w:themeColor="text1"/>
          <w:lang w:val="en-US" w:eastAsia="ar-SA"/>
        </w:rPr>
        <w:t>.</w:t>
      </w:r>
    </w:p>
    <w:p w14:paraId="179DCF4E" w14:textId="24469CE7" w:rsidR="008C433F" w:rsidRDefault="00AA1FD2" w:rsidP="001F3892">
      <w:pPr>
        <w:spacing w:line="240" w:lineRule="auto"/>
        <w:jc w:val="both"/>
        <w:rPr>
          <w:rFonts w:ascii="Times New Roman" w:hAnsi="Times New Roman"/>
          <w:color w:val="000000" w:themeColor="text1"/>
          <w:lang w:eastAsia="ar-SA"/>
        </w:rPr>
      </w:pPr>
      <w:r w:rsidRPr="003661BC">
        <w:rPr>
          <w:rStyle w:val="Heading4Char"/>
          <w:i w:val="0"/>
        </w:rPr>
        <w:t>6</w:t>
      </w:r>
      <w:r w:rsidR="00EB7CAF" w:rsidRPr="003661BC">
        <w:rPr>
          <w:rStyle w:val="Heading4Char"/>
          <w:i w:val="0"/>
        </w:rPr>
        <w:t>.1.3</w:t>
      </w:r>
      <w:r w:rsidR="003661BC">
        <w:rPr>
          <w:rStyle w:val="Heading4Char"/>
          <w:i w:val="0"/>
          <w:iCs/>
        </w:rPr>
        <w:t>.</w:t>
      </w:r>
      <w:r w:rsidR="00EB7CAF" w:rsidRPr="003661BC">
        <w:rPr>
          <w:rStyle w:val="Heading4Char"/>
          <w:i w:val="0"/>
        </w:rPr>
        <w:t xml:space="preserve"> </w:t>
      </w:r>
      <w:r w:rsidR="00A42394" w:rsidRPr="003661BC">
        <w:rPr>
          <w:rStyle w:val="Heading4Char"/>
          <w:i w:val="0"/>
        </w:rPr>
        <w:t>RNA-</w:t>
      </w:r>
      <w:r w:rsidR="00123C8F">
        <w:rPr>
          <w:rStyle w:val="Heading4Char"/>
          <w:i w:val="0"/>
        </w:rPr>
        <w:t>b</w:t>
      </w:r>
      <w:r w:rsidR="00A42394" w:rsidRPr="003661BC">
        <w:rPr>
          <w:rStyle w:val="Heading4Char"/>
          <w:i w:val="0"/>
        </w:rPr>
        <w:t>ased technologies.</w:t>
      </w:r>
      <w:r w:rsidR="00A42394">
        <w:rPr>
          <w:rFonts w:ascii="Times New Roman" w:hAnsi="Times New Roman"/>
          <w:color w:val="000000" w:themeColor="text1"/>
          <w:lang w:eastAsia="ar-SA"/>
        </w:rPr>
        <w:t xml:space="preserve"> </w:t>
      </w:r>
    </w:p>
    <w:p w14:paraId="4B3FDD41" w14:textId="14F462A1" w:rsidR="006062D9" w:rsidRDefault="008C433F" w:rsidP="001F3892">
      <w:pPr>
        <w:spacing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D</w:t>
      </w:r>
      <w:r w:rsidRPr="000C4139">
        <w:rPr>
          <w:rFonts w:ascii="Times New Roman" w:eastAsia="SimSun" w:hAnsi="Times New Roman" w:cs="Calibri"/>
          <w:color w:val="000000" w:themeColor="text1"/>
          <w:lang w:eastAsia="hi-IN" w:bidi="hi-IN"/>
        </w:rPr>
        <w:t xml:space="preserve">ebate over RNAi-based GM plants </w:t>
      </w:r>
      <w:r>
        <w:rPr>
          <w:rFonts w:ascii="Times New Roman" w:eastAsia="SimSun" w:hAnsi="Times New Roman" w:cs="Calibri"/>
          <w:color w:val="000000" w:themeColor="text1"/>
          <w:lang w:eastAsia="hi-IN" w:bidi="hi-IN"/>
        </w:rPr>
        <w:t>provides an example of the different points of view that emerged when discussing the approaches to asse</w:t>
      </w:r>
      <w:r w:rsidR="000B219F">
        <w:rPr>
          <w:rFonts w:ascii="Times New Roman" w:eastAsia="SimSun" w:hAnsi="Times New Roman" w:cs="Calibri"/>
          <w:color w:val="000000" w:themeColor="text1"/>
          <w:lang w:eastAsia="hi-IN" w:bidi="hi-IN"/>
        </w:rPr>
        <w:t>s</w:t>
      </w:r>
      <w:r>
        <w:rPr>
          <w:rFonts w:ascii="Times New Roman" w:eastAsia="SimSun" w:hAnsi="Times New Roman" w:cs="Calibri"/>
          <w:color w:val="000000" w:themeColor="text1"/>
          <w:lang w:eastAsia="hi-IN" w:bidi="hi-IN"/>
        </w:rPr>
        <w:t xml:space="preserve">s potential impacts from this technology. </w:t>
      </w:r>
      <w:r w:rsidRPr="000C4139">
        <w:rPr>
          <w:rFonts w:ascii="Times New Roman" w:eastAsia="SimSun" w:hAnsi="Times New Roman" w:cs="Calibri"/>
          <w:color w:val="000000" w:themeColor="text1"/>
          <w:lang w:eastAsia="hi-IN" w:bidi="hi-IN"/>
        </w:rPr>
        <w:t xml:space="preserve">While some regulators considered RNAi-based GM plants </w:t>
      </w:r>
      <w:r w:rsidR="00B074F8">
        <w:rPr>
          <w:rFonts w:ascii="Times New Roman" w:eastAsia="SimSun" w:hAnsi="Times New Roman" w:cs="Calibri"/>
          <w:color w:val="000000" w:themeColor="text1"/>
          <w:lang w:eastAsia="hi-IN" w:bidi="hi-IN"/>
        </w:rPr>
        <w:t xml:space="preserve">to be </w:t>
      </w:r>
      <w:r w:rsidRPr="000C4139">
        <w:rPr>
          <w:rFonts w:ascii="Times New Roman" w:eastAsia="SimSun" w:hAnsi="Times New Roman" w:cs="Calibri"/>
          <w:color w:val="000000" w:themeColor="text1"/>
          <w:lang w:eastAsia="hi-IN" w:bidi="hi-IN"/>
        </w:rPr>
        <w:t xml:space="preserve">no different from any other GM plant </w:t>
      </w:r>
      <w:r w:rsidR="005A42AC">
        <w:rPr>
          <w:rFonts w:ascii="Times New Roman" w:eastAsia="SimSun" w:hAnsi="Times New Roman" w:cs="Calibri"/>
          <w:color w:val="000000" w:themeColor="text1"/>
          <w:lang w:eastAsia="hi-IN" w:bidi="hi-IN"/>
        </w:rPr>
        <w:fldChar w:fldCharType="begin" w:fldLock="1"/>
      </w:r>
      <w:r w:rsidR="00B4550C">
        <w:rPr>
          <w:rFonts w:ascii="Times New Roman" w:eastAsia="SimSun" w:hAnsi="Times New Roman" w:cs="Calibri"/>
          <w:color w:val="000000" w:themeColor="text1"/>
          <w:lang w:eastAsia="hi-IN" w:bidi="hi-IN"/>
        </w:rPr>
        <w:instrText>ADDIN CSL_CITATION {"citationItems":[{"id":"ITEM-1","itemData":{"DOI":"10.1016/j.envint.2013.02.010","ISSN":"01604120","author":[{"dropping-particle":"","family":"Heinemann","given":"Jack A.","non-dropping-particle":"","parse-names":false,"suffix":""},{"dropping-particle":"","family":"Agapito-Tenfen","given":"Sarah Zanon","non-dropping-particle":"","parse-names":false,"suffix":""},{"dropping-particle":"","family":"Carman","given":"Judy A.","non-dropping-particle":"","parse-names":false,"suffix":""}],"container-title":"Environment International","id":"ITEM-1","issued":{"date-parts":[["2013","5"]]},"page":"43-55","title":"A comparative evaluation of the regulation of GM crops or products containing dsRNA and suggested improvements to risk assessments","type":"article-journal","volume":"55"},"uris":["http://www.mendeley.com/documents/?uuid=93775d8e-a2d6-4a2d-8dcd-23795cbb798e"]}],"mendeley":{"formattedCitation":"(J. A. Heinemann et al., 2013)","manualFormatting":"(Heinemann et al., 2013)","plainTextFormattedCitation":"(J. A. Heinemann et al., 2013)","previouslyFormattedCitation":"(J. A. Heinemann et al., 2013)"},"properties":{"noteIndex":0},"schema":"https://github.com/citation-style-language/schema/raw/master/csl-citation.json"}</w:instrText>
      </w:r>
      <w:r w:rsidR="005A42AC">
        <w:rPr>
          <w:rFonts w:ascii="Times New Roman" w:eastAsia="SimSun" w:hAnsi="Times New Roman" w:cs="Calibri"/>
          <w:color w:val="000000" w:themeColor="text1"/>
          <w:lang w:eastAsia="hi-IN" w:bidi="hi-IN"/>
        </w:rPr>
        <w:fldChar w:fldCharType="separate"/>
      </w:r>
      <w:r w:rsidR="005A42AC" w:rsidRPr="005A42AC">
        <w:rPr>
          <w:rFonts w:ascii="Times New Roman" w:eastAsia="SimSun" w:hAnsi="Times New Roman" w:cs="Calibri"/>
          <w:noProof/>
          <w:color w:val="000000" w:themeColor="text1"/>
          <w:lang w:eastAsia="hi-IN" w:bidi="hi-IN"/>
        </w:rPr>
        <w:t>(Heinemann et al., 2013)</w:t>
      </w:r>
      <w:r w:rsidR="005A42AC">
        <w:rPr>
          <w:rFonts w:ascii="Times New Roman" w:eastAsia="SimSun" w:hAnsi="Times New Roman" w:cs="Calibri"/>
          <w:color w:val="000000" w:themeColor="text1"/>
          <w:lang w:eastAsia="hi-IN" w:bidi="hi-IN"/>
        </w:rPr>
        <w:fldChar w:fldCharType="end"/>
      </w:r>
      <w:r w:rsidRPr="000C4139">
        <w:rPr>
          <w:rFonts w:ascii="Times New Roman" w:eastAsia="SimSun" w:hAnsi="Times New Roman" w:cs="Calibri"/>
          <w:color w:val="000000" w:themeColor="text1"/>
          <w:lang w:eastAsia="hi-IN" w:bidi="hi-IN"/>
        </w:rPr>
        <w:t xml:space="preserve">, others have acknowledged that </w:t>
      </w:r>
      <w:r>
        <w:rPr>
          <w:rFonts w:ascii="Times New Roman" w:eastAsia="SimSun" w:hAnsi="Times New Roman" w:cs="Calibri"/>
          <w:color w:val="000000" w:themeColor="text1"/>
          <w:lang w:eastAsia="hi-IN" w:bidi="hi-IN"/>
        </w:rPr>
        <w:t>they</w:t>
      </w:r>
      <w:r w:rsidRPr="000C4139">
        <w:rPr>
          <w:rFonts w:ascii="Times New Roman" w:eastAsia="SimSun" w:hAnsi="Times New Roman" w:cs="Calibri"/>
          <w:color w:val="000000" w:themeColor="text1"/>
          <w:lang w:eastAsia="hi-IN" w:bidi="hi-IN"/>
        </w:rPr>
        <w:t xml:space="preserve"> might affect their present approach for risk assessment </w:t>
      </w:r>
      <w:r w:rsidR="00E706A1">
        <w:rPr>
          <w:rFonts w:ascii="Times New Roman" w:eastAsia="SimSun" w:hAnsi="Times New Roman" w:cs="Calibri"/>
          <w:color w:val="000000" w:themeColor="text1"/>
          <w:lang w:eastAsia="hi-IN" w:bidi="hi-IN"/>
        </w:rPr>
        <w:fldChar w:fldCharType="begin" w:fldLock="1"/>
      </w:r>
      <w:r w:rsidR="00E706A1">
        <w:rPr>
          <w:rFonts w:ascii="Times New Roman" w:eastAsia="SimSun" w:hAnsi="Times New Roman" w:cs="Calibri"/>
          <w:color w:val="000000" w:themeColor="text1"/>
          <w:lang w:eastAsia="hi-IN" w:bidi="hi-IN"/>
        </w:rPr>
        <w:instrText>ADDIN CSL_CITATION {"citationItems":[{"id":"ITEM-1","itemData":{"DOI":"10.2903/sp.efsa.2014.EN-705","ISSN":"23978325","author":[{"dropping-particle":"","family":"EFSA","given":"","non-dropping-particle":"","parse-names":false,"suffix":""}],"container-titl</w:instrText>
      </w:r>
      <w:r w:rsidR="00E706A1">
        <w:rPr>
          <w:rFonts w:ascii="Times New Roman" w:eastAsia="SimSun" w:hAnsi="Times New Roman" w:cs="Calibri" w:hint="eastAsia"/>
          <w:color w:val="000000" w:themeColor="text1"/>
          <w:lang w:eastAsia="hi-IN" w:bidi="hi-IN"/>
        </w:rPr>
        <w:instrText xml:space="preserve">e":"EFSA Supporting Publications","id":"ITEM-1","issue":"12","issued":{"date-parts":[["2014","12"]]},"title":"International scientific workshop </w:instrText>
      </w:r>
      <w:r w:rsidR="00E706A1">
        <w:rPr>
          <w:rFonts w:ascii="Times New Roman" w:eastAsia="SimSun" w:hAnsi="Times New Roman" w:cs="Calibri" w:hint="eastAsia"/>
          <w:color w:val="000000" w:themeColor="text1"/>
          <w:lang w:eastAsia="hi-IN" w:bidi="hi-IN"/>
        </w:rPr>
        <w:instrText>‘</w:instrText>
      </w:r>
      <w:r w:rsidR="00E706A1">
        <w:rPr>
          <w:rFonts w:ascii="Times New Roman" w:eastAsia="SimSun" w:hAnsi="Times New Roman" w:cs="Calibri" w:hint="eastAsia"/>
          <w:color w:val="000000" w:themeColor="text1"/>
          <w:lang w:eastAsia="hi-IN" w:bidi="hi-IN"/>
        </w:rPr>
        <w:instrText>Risk assessment considerations for RNAi</w:instrText>
      </w:r>
      <w:r w:rsidR="00E706A1">
        <w:rPr>
          <w:rFonts w:ascii="Times New Roman" w:eastAsia="SimSun" w:hAnsi="Times New Roman" w:cs="Calibri" w:hint="eastAsia"/>
          <w:color w:val="000000" w:themeColor="text1"/>
          <w:lang w:eastAsia="hi-IN" w:bidi="hi-IN"/>
        </w:rPr>
        <w:instrText>‐</w:instrText>
      </w:r>
      <w:r w:rsidR="00E706A1">
        <w:rPr>
          <w:rFonts w:ascii="Times New Roman" w:eastAsia="SimSun" w:hAnsi="Times New Roman" w:cs="Calibri" w:hint="eastAsia"/>
          <w:color w:val="000000" w:themeColor="text1"/>
          <w:lang w:eastAsia="hi-IN" w:bidi="hi-IN"/>
        </w:rPr>
        <w:instrText>based GM plants</w:instrText>
      </w:r>
      <w:r w:rsidR="00E706A1">
        <w:rPr>
          <w:rFonts w:ascii="Times New Roman" w:eastAsia="SimSun" w:hAnsi="Times New Roman" w:cs="Calibri" w:hint="eastAsia"/>
          <w:color w:val="000000" w:themeColor="text1"/>
          <w:lang w:eastAsia="hi-IN" w:bidi="hi-IN"/>
        </w:rPr>
        <w:instrText>’</w:instrText>
      </w:r>
      <w:r w:rsidR="00E706A1">
        <w:rPr>
          <w:rFonts w:ascii="Times New Roman" w:eastAsia="SimSun" w:hAnsi="Times New Roman" w:cs="Calibri" w:hint="eastAsia"/>
          <w:color w:val="000000" w:themeColor="text1"/>
          <w:lang w:eastAsia="hi-IN" w:bidi="hi-IN"/>
        </w:rPr>
        <w:instrText>","type":"article-journal","volume":"11"},"uris":["htt</w:instrText>
      </w:r>
      <w:r w:rsidR="00E706A1">
        <w:rPr>
          <w:rFonts w:ascii="Times New Roman" w:eastAsia="SimSun" w:hAnsi="Times New Roman" w:cs="Calibri"/>
          <w:color w:val="000000" w:themeColor="text1"/>
          <w:lang w:eastAsia="hi-IN" w:bidi="hi-IN"/>
        </w:rPr>
        <w:instrText>p://www.mendeley.com/documents/?uuid=62c861d6-a38e-40a0-95b2-dfa3c81b3d0a"]}],"mendeley":{"formattedCitation":"(EFSA, 2014)","plainTextFormattedCitation":"(EFSA, 2014)","previouslyFormattedCitation":"(EFSA, 2014)"},"properties":{"noteIndex":0},"schema":"https://github.com/citation-style-language/schema/raw/master/csl-citation.json"}</w:instrText>
      </w:r>
      <w:r w:rsidR="00E706A1">
        <w:rPr>
          <w:rFonts w:ascii="Times New Roman" w:eastAsia="SimSun" w:hAnsi="Times New Roman" w:cs="Calibri"/>
          <w:color w:val="000000" w:themeColor="text1"/>
          <w:lang w:eastAsia="hi-IN" w:bidi="hi-IN"/>
        </w:rPr>
        <w:fldChar w:fldCharType="separate"/>
      </w:r>
      <w:r w:rsidR="00E706A1" w:rsidRPr="00E706A1">
        <w:rPr>
          <w:rFonts w:ascii="Times New Roman" w:eastAsia="SimSun" w:hAnsi="Times New Roman" w:cs="Calibri"/>
          <w:noProof/>
          <w:color w:val="000000" w:themeColor="text1"/>
          <w:lang w:eastAsia="hi-IN" w:bidi="hi-IN"/>
        </w:rPr>
        <w:t>(EFSA, 2014)</w:t>
      </w:r>
      <w:r w:rsidR="00E706A1">
        <w:rPr>
          <w:rFonts w:ascii="Times New Roman" w:eastAsia="SimSun" w:hAnsi="Times New Roman" w:cs="Calibri"/>
          <w:color w:val="000000" w:themeColor="text1"/>
          <w:lang w:eastAsia="hi-IN" w:bidi="hi-IN"/>
        </w:rPr>
        <w:fldChar w:fldCharType="end"/>
      </w:r>
      <w:r w:rsidRPr="000C4139">
        <w:rPr>
          <w:rFonts w:ascii="Times New Roman" w:eastAsia="SimSun" w:hAnsi="Times New Roman" w:cs="Calibri"/>
          <w:color w:val="000000" w:themeColor="text1"/>
          <w:lang w:eastAsia="hi-IN" w:bidi="hi-IN"/>
        </w:rPr>
        <w:t xml:space="preserve">. </w:t>
      </w:r>
      <w:r w:rsidR="00B247C6" w:rsidRPr="00525712">
        <w:rPr>
          <w:rFonts w:ascii="Times New Roman" w:eastAsia="SimSun" w:hAnsi="Times New Roman" w:cs="Calibri"/>
          <w:color w:val="000000" w:themeColor="text1"/>
          <w:lang w:eastAsia="hi-IN" w:bidi="hi-IN"/>
        </w:rPr>
        <w:t xml:space="preserve">It has been proposed that risk assessment strategies followed for current GM plants, and which are based on the comparative analysis of the molecular, compositional, and agronomic/phenotypic characteristics of the GM plant and its conventional counterpart, remain applicable and adequate for the evaluation of RNAi-based plants </w:t>
      </w:r>
      <w:r w:rsidR="00E706A1">
        <w:rPr>
          <w:rFonts w:ascii="Times New Roman" w:eastAsia="SimSun" w:hAnsi="Times New Roman" w:cs="Calibri"/>
          <w:color w:val="000000" w:themeColor="text1"/>
          <w:lang w:eastAsia="hi-IN" w:bidi="hi-IN"/>
        </w:rPr>
        <w:fldChar w:fldCharType="begin" w:fldLock="1"/>
      </w:r>
      <w:r w:rsidR="00E706A1">
        <w:rPr>
          <w:rFonts w:ascii="Times New Roman" w:eastAsia="SimSun" w:hAnsi="Times New Roman" w:cs="Calibri"/>
          <w:color w:val="000000" w:themeColor="text1"/>
          <w:lang w:eastAsia="hi-IN" w:bidi="hi-IN"/>
        </w:rPr>
        <w:instrText>ADDIN CSL_CITATION {"citationItems":[{"id":"ITEM-1","itemData":{"DOI":"10.1016/j.tibtech.2014.12.003","ISSN":"01677799","author":[{"dropping-particle":"","family":"Casacuberta","given":"Josep M.","non-dropping-particle":"","parse-names":false,"suffix":""},{"dropping-particle":"","family":"Devos","given":"Yann","non-dropping-particle":"","parse-names":false,"suffix":""},{"dropping-particle":"","family":"Jardin","given":"Patrick","non-dropping-particle":"du","parse-names":false,"suffix":""},{"dropping-particle":"","family":"Ramon","given":"Matthew","non-dropping-particle":"","parse-names":false,"suffix":""},{"dropping-particle":"","family":"Vaucheret","given":"Hervé","non-dropping-particle":"","parse-names":false,"suffix":""},{"dropping-particle":"","family":"Nogué","given":"Fabien","non-dropping-particle":"","parse-names":false,"suffix":""}],"container-title":"Trends in Biotechnology","id":"ITEM-1","issue":"3","issued":{"date-parts":[["2015","3"]]},"page":"145-147","title":"Biotechnological uses of RNAi in plants: risk assessment considerations","type":"article-journal","volume":"33"},"uris":["http://www.mendeley.com/documents/?uuid=48c530ad-279a-4b6f-bb2d-9724f7395506"]}],"mendeley":{"formattedCitation":"(Casacuberta et al., 2015)","plainTextFormattedCitation":"(Casacuberta et al., 2015)","previouslyFormattedCitation":"(Casacuberta et al., 2015)"},"properties":{"noteIndex":0},"schema":"https://github.com/citation-style-language/schema/raw/master/csl-citation.json"}</w:instrText>
      </w:r>
      <w:r w:rsidR="00E706A1">
        <w:rPr>
          <w:rFonts w:ascii="Times New Roman" w:eastAsia="SimSun" w:hAnsi="Times New Roman" w:cs="Calibri"/>
          <w:color w:val="000000" w:themeColor="text1"/>
          <w:lang w:eastAsia="hi-IN" w:bidi="hi-IN"/>
        </w:rPr>
        <w:fldChar w:fldCharType="separate"/>
      </w:r>
      <w:r w:rsidR="00E706A1" w:rsidRPr="00E706A1">
        <w:rPr>
          <w:rFonts w:ascii="Times New Roman" w:eastAsia="SimSun" w:hAnsi="Times New Roman" w:cs="Calibri"/>
          <w:noProof/>
          <w:color w:val="000000" w:themeColor="text1"/>
          <w:lang w:eastAsia="hi-IN" w:bidi="hi-IN"/>
        </w:rPr>
        <w:t>(Casacuberta et al., 2015)</w:t>
      </w:r>
      <w:r w:rsidR="00E706A1">
        <w:rPr>
          <w:rFonts w:ascii="Times New Roman" w:eastAsia="SimSun" w:hAnsi="Times New Roman" w:cs="Calibri"/>
          <w:color w:val="000000" w:themeColor="text1"/>
          <w:lang w:eastAsia="hi-IN" w:bidi="hi-IN"/>
        </w:rPr>
        <w:fldChar w:fldCharType="end"/>
      </w:r>
      <w:r w:rsidR="00B247C6" w:rsidRPr="00525712">
        <w:rPr>
          <w:rFonts w:ascii="Times New Roman" w:eastAsia="SimSun" w:hAnsi="Times New Roman" w:cs="Calibri"/>
          <w:color w:val="000000" w:themeColor="text1"/>
          <w:lang w:eastAsia="hi-IN" w:bidi="hi-IN"/>
        </w:rPr>
        <w:t>.</w:t>
      </w:r>
      <w:r w:rsidR="00711EA7" w:rsidRPr="00711EA7">
        <w:t xml:space="preserve"> </w:t>
      </w:r>
      <w:r w:rsidR="0020786A">
        <w:rPr>
          <w:rFonts w:ascii="Times New Roman" w:eastAsia="SimSun" w:hAnsi="Times New Roman" w:cs="Calibri"/>
          <w:color w:val="000000" w:themeColor="text1"/>
          <w:lang w:eastAsia="hi-IN" w:bidi="hi-IN"/>
        </w:rPr>
        <w:t xml:space="preserve">However, it has also been </w:t>
      </w:r>
      <w:r w:rsidR="00845C50">
        <w:rPr>
          <w:rFonts w:ascii="Times New Roman" w:eastAsia="SimSun" w:hAnsi="Times New Roman" w:cs="Calibri"/>
          <w:color w:val="000000" w:themeColor="text1"/>
          <w:lang w:eastAsia="hi-IN" w:bidi="hi-IN"/>
        </w:rPr>
        <w:t>noted</w:t>
      </w:r>
      <w:r w:rsidR="0020786A">
        <w:rPr>
          <w:rFonts w:ascii="Times New Roman" w:eastAsia="SimSun" w:hAnsi="Times New Roman" w:cs="Calibri"/>
          <w:color w:val="000000" w:themeColor="text1"/>
          <w:lang w:eastAsia="hi-IN" w:bidi="hi-IN"/>
        </w:rPr>
        <w:t xml:space="preserve"> that t</w:t>
      </w:r>
      <w:r w:rsidR="00857BBD" w:rsidRPr="00525712">
        <w:rPr>
          <w:rFonts w:ascii="Times New Roman" w:eastAsia="SimSun" w:hAnsi="Times New Roman" w:cs="Calibri"/>
          <w:color w:val="000000" w:themeColor="text1"/>
          <w:lang w:eastAsia="hi-IN" w:bidi="hi-IN"/>
        </w:rPr>
        <w:t>he risk assessment of RNAi-based plants presents some peculiarities compared with that of currently commercialised GM crops. Risks associated with the intended changes in current GM crops are usually related to the newly expressed proteins (e.g., possible toxicity and allergenicity), however these are not necessarily relevant for RNAi-based plants</w:t>
      </w:r>
      <w:r w:rsidR="000456BB" w:rsidRPr="000456BB">
        <w:t xml:space="preserve"> </w:t>
      </w:r>
      <w:r w:rsidR="00E706A1">
        <w:rPr>
          <w:rFonts w:ascii="Times New Roman" w:eastAsia="SimSun" w:hAnsi="Times New Roman" w:cs="Calibri"/>
          <w:color w:val="000000" w:themeColor="text1"/>
          <w:lang w:eastAsia="hi-IN" w:bidi="hi-IN"/>
        </w:rPr>
        <w:fldChar w:fldCharType="begin" w:fldLock="1"/>
      </w:r>
      <w:r w:rsidR="00317CAF">
        <w:rPr>
          <w:rFonts w:ascii="Times New Roman" w:eastAsia="SimSun" w:hAnsi="Times New Roman" w:cs="Calibri"/>
          <w:color w:val="000000" w:themeColor="text1"/>
          <w:lang w:eastAsia="hi-IN" w:bidi="hi-IN"/>
        </w:rPr>
        <w:instrText>ADDIN CSL_CITATION {"citationItems":[{"id":"ITEM-1","itemData":{"DOI":"10.1016/j.tibtech.2014.12.003","ISSN":"01677799","author":[{"dropping-particle":"","family":"Casacuberta","given":"Josep M.","non-dropping-particle":"","parse-names":false,"suffix":""},{"dropping-particle":"","family":"Devos","given":"Yann","non-dropping-particle":"","parse-names":false,"suffix":""},{"dropping-particle":"","family":"Jardin","given":"Patrick","non-dropping-particle":"du","parse-names":false,"suffix":""},{"dropping-particle":"","family":"Ramon","given":"Matthew","non-dropping-particle":"","parse-names":false,"suffix":""},{"dropping-particle":"","family":"Vaucheret","given":"Hervé","non-dropping-particle":"","parse-names":false,"suffix":""},{"dropping-particle":"","family":"Nogué","given":"Fabien","non-dropping-particle":"","parse-names":false,"suffix":""}],"container-title":"Trends in Biotechnology","id":"ITEM-1","issue":"3","issued":{"date-parts":[["2015","3"]]},"page":"145-147","title":"Biotechnological uses of RNAi in plants: risk assessment considerations","type":"article-journal","volume":"33"},"uris":["http://www.mendeley.com/documents/?uuid=48c530ad-279a-4b6f-bb2d-9724f7395506"]},{"id":"ITEM-2","itemData":{"DOI":"10.3389/fpls.2020.00940","ISSN":"1664-462X","author":[{"dropping-particle":"","family":"Arpaia","given":"Salvatore","non-dropping-particle":"","parse-names":false,"suffix":""},{"dropping-particle":"","family":"Christiaens","given":"Olivier","non-dropping-particle":"","parse-names":false,"suffix":""},{"dropping-particle":"","family":"Giddings","given":"Kara","non-dropping-particle":"","parse-names":false,"suffix":""},{"dropping-particle":"","family":"Jones","given":"Huw","non-dropping-particle":"","parse-names":false,"suffix":""},{"dropping-particle":"","family":"Mezzetti","given":"Bruno","non-dropping-particle":"","parse-names":false,"suffix":""},{"dropping-particle":"","family":"Moronta-Barrios","given":"Felix","non-dropping-particle":"","parse-names":false,"suffix":""},{"dropping-particle":"","family":"Perry","given":"Joe N.","non-dropping-particle":"","parse-names":false,"suffix":""},{"dropping-particle":"","family":"Sweet","given":"Jeremy B.","non-dropping-particle":"","parse-names":false,"suffix":""},{"dropping-particle":"","family":"Taning","given":"Clauvis N. T.","non-dropping-particle":"","parse-names":false,"suffix":""},{"dropping-particle":"","family":"Smagghe","given":"Guy","non-dropping-particle":"","parse-names":false,"suffix":""},{"dropping-particle":"","family":"Dietz-Pfeilstetter","given":"Antje","non-dropping-particle":"","parse-names":false,"suffix":""}],"container-title":"Frontiers in Plant Science","id":"ITEM-2","issued":{"date-parts":[["2020","6","24"]]},"title":"Biosafety of GM Crop Plants Expressing dsRNA: Data Requirements and EU Regulatory Considerations","type":"article-journal","volume":"11"},"uris":["http://www.mendeley.com/documents/?uuid=c0a844f3-c253-42fc-a15d-1aebf1473bc8"]}],"mendeley":{"formattedCitation":"(Arpaia et al., 2020; Casacuberta et al., 2015)","plainTextFormattedCitation":"(Arpaia et al., 2020; Casacuberta et al., 2015)","previouslyFormattedCitation":"(Arpaia et al., 2020; Casacuberta et al., 2015)"},"properties":{"noteIndex":0},"schema":"https://github.com/citation-style-language/schema/raw/master/csl-citation.json"}</w:instrText>
      </w:r>
      <w:r w:rsidR="00E706A1">
        <w:rPr>
          <w:rFonts w:ascii="Times New Roman" w:eastAsia="SimSun" w:hAnsi="Times New Roman" w:cs="Calibri"/>
          <w:color w:val="000000" w:themeColor="text1"/>
          <w:lang w:eastAsia="hi-IN" w:bidi="hi-IN"/>
        </w:rPr>
        <w:fldChar w:fldCharType="separate"/>
      </w:r>
      <w:r w:rsidR="00E821C6" w:rsidRPr="00E821C6">
        <w:rPr>
          <w:rFonts w:ascii="Times New Roman" w:eastAsia="SimSun" w:hAnsi="Times New Roman" w:cs="Calibri"/>
          <w:noProof/>
          <w:color w:val="000000" w:themeColor="text1"/>
          <w:lang w:eastAsia="hi-IN" w:bidi="hi-IN"/>
        </w:rPr>
        <w:t>(Arpaia et al., 2020; Casacuberta et al., 2015)</w:t>
      </w:r>
      <w:r w:rsidR="00E706A1">
        <w:rPr>
          <w:rFonts w:ascii="Times New Roman" w:eastAsia="SimSun" w:hAnsi="Times New Roman" w:cs="Calibri"/>
          <w:color w:val="000000" w:themeColor="text1"/>
          <w:lang w:eastAsia="hi-IN" w:bidi="hi-IN"/>
        </w:rPr>
        <w:fldChar w:fldCharType="end"/>
      </w:r>
      <w:r w:rsidR="000456BB">
        <w:rPr>
          <w:rFonts w:ascii="Times New Roman" w:eastAsia="SimSun" w:hAnsi="Times New Roman" w:cs="Calibri"/>
          <w:color w:val="000000" w:themeColor="text1"/>
          <w:lang w:eastAsia="hi-IN" w:bidi="hi-IN"/>
        </w:rPr>
        <w:t>.</w:t>
      </w:r>
      <w:r w:rsidR="00857BBD" w:rsidRPr="00525712">
        <w:rPr>
          <w:rFonts w:ascii="Times New Roman" w:eastAsia="SimSun" w:hAnsi="Times New Roman" w:cs="Calibri"/>
          <w:color w:val="000000" w:themeColor="text1"/>
          <w:lang w:eastAsia="hi-IN" w:bidi="hi-IN"/>
        </w:rPr>
        <w:t xml:space="preserve"> Notably, the decreased expression of a target gene may have safety implications in particular cases (e.g., if a substrate of a silenced enzyme accumulates to toxic levels) and thus should be fully assessed if </w:t>
      </w:r>
      <w:r w:rsidR="00684BAE" w:rsidRPr="00525712" w:rsidDel="00857BBD">
        <w:rPr>
          <w:rFonts w:ascii="Times New Roman" w:eastAsia="SimSun" w:hAnsi="Times New Roman" w:cs="Calibri"/>
          <w:color w:val="000000" w:themeColor="text1"/>
          <w:lang w:eastAsia="hi-IN" w:bidi="hi-IN"/>
        </w:rPr>
        <w:t>identified</w:t>
      </w:r>
      <w:r w:rsidR="00DD286B">
        <w:rPr>
          <w:rFonts w:ascii="Times New Roman" w:eastAsia="SimSun" w:hAnsi="Times New Roman" w:cs="Calibri"/>
          <w:color w:val="000000" w:themeColor="text1"/>
          <w:lang w:eastAsia="hi-IN" w:bidi="hi-IN"/>
        </w:rPr>
        <w:t xml:space="preserve"> </w:t>
      </w:r>
      <w:r w:rsidR="00F64B72" w:rsidRPr="00525712">
        <w:rPr>
          <w:rFonts w:ascii="Times New Roman" w:eastAsia="SimSun" w:hAnsi="Times New Roman" w:cs="Calibri"/>
          <w:color w:val="000000" w:themeColor="text1"/>
          <w:lang w:eastAsia="hi-IN" w:bidi="hi-IN"/>
        </w:rPr>
        <w:t>(Casacuberta et al., 2015)</w:t>
      </w:r>
      <w:r w:rsidR="000456BB">
        <w:rPr>
          <w:rFonts w:ascii="Times New Roman" w:eastAsia="SimSun" w:hAnsi="Times New Roman" w:cs="Calibri"/>
          <w:color w:val="000000" w:themeColor="text1"/>
          <w:lang w:eastAsia="hi-IN" w:bidi="hi-IN"/>
        </w:rPr>
        <w:t>.</w:t>
      </w:r>
      <w:r w:rsidR="000456BB" w:rsidRPr="000456BB">
        <w:rPr>
          <w:rFonts w:ascii="Times New Roman" w:eastAsia="SimSun" w:hAnsi="Times New Roman" w:cs="Calibri"/>
          <w:color w:val="000000" w:themeColor="text1"/>
          <w:lang w:eastAsia="hi-IN" w:bidi="hi-IN"/>
        </w:rPr>
        <w:t xml:space="preserve"> </w:t>
      </w:r>
    </w:p>
    <w:p w14:paraId="57C26369" w14:textId="618A72BE" w:rsidR="008776CB" w:rsidRPr="000C4139" w:rsidRDefault="008776CB" w:rsidP="001F3892">
      <w:pPr>
        <w:spacing w:line="240" w:lineRule="auto"/>
        <w:jc w:val="both"/>
        <w:rPr>
          <w:rFonts w:ascii="Times New Roman" w:eastAsia="SimSun" w:hAnsi="Times New Roman" w:cs="Calibri"/>
          <w:color w:val="000000" w:themeColor="text1"/>
          <w:lang w:eastAsia="hi-IN" w:bidi="hi-IN"/>
        </w:rPr>
      </w:pPr>
      <w:r w:rsidRPr="000C4139">
        <w:rPr>
          <w:rFonts w:ascii="Times New Roman" w:eastAsia="SimSun" w:hAnsi="Times New Roman" w:cs="Calibri"/>
          <w:color w:val="000000" w:themeColor="text1"/>
          <w:lang w:eastAsia="hi-IN" w:bidi="hi-IN"/>
        </w:rPr>
        <w:t xml:space="preserve">EFSA </w:t>
      </w:r>
      <w:r w:rsidR="00E7744A" w:rsidRPr="000C4139">
        <w:rPr>
          <w:rFonts w:ascii="Times New Roman" w:eastAsia="SimSun" w:hAnsi="Times New Roman" w:cs="Calibri"/>
          <w:color w:val="000000" w:themeColor="text1"/>
          <w:lang w:eastAsia="hi-IN" w:bidi="hi-IN"/>
        </w:rPr>
        <w:t>organi</w:t>
      </w:r>
      <w:r w:rsidR="00E7744A">
        <w:rPr>
          <w:rFonts w:ascii="Times New Roman" w:eastAsia="SimSun" w:hAnsi="Times New Roman" w:cs="Calibri"/>
          <w:color w:val="000000" w:themeColor="text1"/>
          <w:lang w:eastAsia="hi-IN" w:bidi="hi-IN"/>
        </w:rPr>
        <w:t>s</w:t>
      </w:r>
      <w:r w:rsidR="00E7744A" w:rsidRPr="000C4139">
        <w:rPr>
          <w:rFonts w:ascii="Times New Roman" w:eastAsia="SimSun" w:hAnsi="Times New Roman" w:cs="Calibri"/>
          <w:color w:val="000000" w:themeColor="text1"/>
          <w:lang w:eastAsia="hi-IN" w:bidi="hi-IN"/>
        </w:rPr>
        <w:t>ed</w:t>
      </w:r>
      <w:r w:rsidRPr="000C4139">
        <w:rPr>
          <w:rFonts w:ascii="Times New Roman" w:eastAsia="SimSun" w:hAnsi="Times New Roman" w:cs="Calibri"/>
          <w:color w:val="000000" w:themeColor="text1"/>
          <w:lang w:eastAsia="hi-IN" w:bidi="hi-IN"/>
        </w:rPr>
        <w:t xml:space="preserve"> an international workshop in 2014 to discuss potential risks associated with RNAi-based GM plants and to identify issues unique to their risk assessment. In their report, scientists and regulators highlighted that baseline data are key to inform the risk assessment of RNAi-based GM plants and that the knowledge on RNAi mechanisms is rapidly evolving but still lack sufficient knowledge of mechanisms governing mRNA</w:t>
      </w:r>
      <w:r>
        <w:rPr>
          <w:rFonts w:ascii="Times New Roman" w:eastAsia="SimSun" w:hAnsi="Times New Roman" w:cs="Calibri"/>
          <w:color w:val="000000" w:themeColor="text1"/>
          <w:lang w:eastAsia="hi-IN" w:bidi="hi-IN"/>
        </w:rPr>
        <w:t>-</w:t>
      </w:r>
      <w:r w:rsidRPr="000C4139">
        <w:rPr>
          <w:rFonts w:ascii="Times New Roman" w:eastAsia="SimSun" w:hAnsi="Times New Roman" w:cs="Calibri"/>
          <w:color w:val="000000" w:themeColor="text1"/>
          <w:lang w:eastAsia="hi-IN" w:bidi="hi-IN"/>
        </w:rPr>
        <w:t>small RNA interactions (Casacuberta et al., 2015). In the meantime, Brazil, New Zealand</w:t>
      </w:r>
      <w:r w:rsidR="000B219F">
        <w:rPr>
          <w:rFonts w:ascii="Times New Roman" w:eastAsia="SimSun" w:hAnsi="Times New Roman" w:cs="Calibri"/>
          <w:color w:val="000000" w:themeColor="text1"/>
          <w:lang w:eastAsia="hi-IN" w:bidi="hi-IN"/>
        </w:rPr>
        <w:t>,</w:t>
      </w:r>
      <w:r w:rsidRPr="000C4139">
        <w:rPr>
          <w:rFonts w:ascii="Times New Roman" w:eastAsia="SimSun" w:hAnsi="Times New Roman" w:cs="Calibri"/>
          <w:color w:val="000000" w:themeColor="text1"/>
          <w:lang w:eastAsia="hi-IN" w:bidi="hi-IN"/>
        </w:rPr>
        <w:t xml:space="preserve"> and Australia have approved RNAi-based GM plant events for environmental and food/feed </w:t>
      </w:r>
      <w:r w:rsidR="00E7744A" w:rsidRPr="000C4139">
        <w:rPr>
          <w:rFonts w:ascii="Times New Roman" w:eastAsia="SimSun" w:hAnsi="Times New Roman" w:cs="Calibri"/>
          <w:color w:val="000000" w:themeColor="text1"/>
          <w:lang w:eastAsia="hi-IN" w:bidi="hi-IN"/>
        </w:rPr>
        <w:t>commerciali</w:t>
      </w:r>
      <w:r w:rsidR="00E7744A">
        <w:rPr>
          <w:rFonts w:ascii="Times New Roman" w:eastAsia="SimSun" w:hAnsi="Times New Roman" w:cs="Calibri"/>
          <w:color w:val="000000" w:themeColor="text1"/>
          <w:lang w:eastAsia="hi-IN" w:bidi="hi-IN"/>
        </w:rPr>
        <w:t>s</w:t>
      </w:r>
      <w:r w:rsidR="00E7744A" w:rsidRPr="000C4139">
        <w:rPr>
          <w:rFonts w:ascii="Times New Roman" w:eastAsia="SimSun" w:hAnsi="Times New Roman" w:cs="Calibri"/>
          <w:color w:val="000000" w:themeColor="text1"/>
          <w:lang w:eastAsia="hi-IN" w:bidi="hi-IN"/>
        </w:rPr>
        <w:t>ation</w:t>
      </w:r>
      <w:r w:rsidRPr="000C4139">
        <w:rPr>
          <w:rFonts w:ascii="Times New Roman" w:eastAsia="SimSun" w:hAnsi="Times New Roman" w:cs="Calibri"/>
          <w:color w:val="000000" w:themeColor="text1"/>
          <w:lang w:eastAsia="hi-IN" w:bidi="hi-IN"/>
        </w:rPr>
        <w:t xml:space="preserve"> without any changes or adaptations in their risk assessment procedure. This is a clear example o</w:t>
      </w:r>
      <w:r w:rsidR="00E7744A">
        <w:rPr>
          <w:rFonts w:ascii="Times New Roman" w:eastAsia="SimSun" w:hAnsi="Times New Roman" w:cs="Calibri"/>
          <w:color w:val="000000" w:themeColor="text1"/>
          <w:lang w:eastAsia="hi-IN" w:bidi="hi-IN"/>
        </w:rPr>
        <w:t>f</w:t>
      </w:r>
      <w:r w:rsidRPr="000C4139">
        <w:rPr>
          <w:rFonts w:ascii="Times New Roman" w:eastAsia="SimSun" w:hAnsi="Times New Roman" w:cs="Calibri"/>
          <w:color w:val="000000" w:themeColor="text1"/>
          <w:lang w:eastAsia="hi-IN" w:bidi="hi-IN"/>
        </w:rPr>
        <w:t xml:space="preserve"> how different regulators perceive novelty and how they decide to act</w:t>
      </w:r>
      <w:r>
        <w:rPr>
          <w:rFonts w:ascii="Times New Roman" w:eastAsia="SimSun" w:hAnsi="Times New Roman" w:cs="Calibri"/>
          <w:color w:val="000000" w:themeColor="text1"/>
          <w:lang w:eastAsia="hi-IN" w:bidi="hi-IN"/>
        </w:rPr>
        <w:t xml:space="preserve"> </w:t>
      </w:r>
      <w:r w:rsidR="005B0536">
        <w:rPr>
          <w:rFonts w:ascii="Times New Roman" w:eastAsia="SimSun" w:hAnsi="Times New Roman" w:cs="Calibri"/>
          <w:color w:val="000000" w:themeColor="text1"/>
          <w:lang w:eastAsia="hi-IN" w:bidi="hi-IN"/>
        </w:rPr>
        <w:fldChar w:fldCharType="begin" w:fldLock="1"/>
      </w:r>
      <w:r w:rsidR="005B0536">
        <w:rPr>
          <w:rFonts w:ascii="Times New Roman" w:eastAsia="SimSun" w:hAnsi="Times New Roman" w:cs="Calibri"/>
          <w:color w:val="000000" w:themeColor="text1"/>
          <w:lang w:eastAsia="hi-IN" w:bidi="hi-IN"/>
        </w:rPr>
        <w:instrText>ADDIN CSL_CITATION {"citationItems":[{"id":"ITEM-1","itemData":{"author":[{"dropping-particle":"","family":"Wikmark","given":"Odd-Gunnar","non-dropping-particle":"","parse-names":false,"suffix":""},{"dropping-particle":"","family":"Brautaset","given":"Trygve","non-dropping-particle":"","parse-names":false,"suffix":""},{"dropping-particle":"","family":"Agapito-Tenfen","given":"Sarah Z.","non-dropping-particle":"","parse-names":false,"suffix":""},{"dropping-particle":"","family":"Okoli","given":"Arinze Stanley","non-dropping-particle":"","parse-names":false,"suffix":""},{"dropping-particle":"","family":"Myhr","given":"Anne Ingeborg","non-dropping-particle":"","parse-names":false,"suffix":""},{"dropping-particle":"","family":"Binimelis","given":"Rosa","non-dropping-particle":"","parse-names":false,"suffix":""},{"dropping-particle":"","family":"Ching","given":"Lim Li","non-dropping-particle":"","parse-names":false,"suffix":""}],"id":"ITEM-1","issued":{"date-parts":[["2016"]]},"page":"69","publisher-place":"Tromsø, Norway","title":"Synthetic biology - biosafety and contribution to addressing societal challenges","type":"article"},"uris":["http://www.mendeley.com/documents/?uuid=64aec23a-5fb9-4b20-9acb-1a4c7fa4ec07"]}],"mendeley":{"formattedCitation":"(Wikmark et al., 2016)","plainTextFormattedCitation":"(Wikmark et al., 2016)","previouslyFormattedCitation":"(Wikmark et al., 2016)"},"properties":{"noteIndex":0},"schema":"https://github.com/citation-style-language/schema/raw/master/csl-citation.json"}</w:instrText>
      </w:r>
      <w:r w:rsidR="005B0536">
        <w:rPr>
          <w:rFonts w:ascii="Times New Roman" w:eastAsia="SimSun" w:hAnsi="Times New Roman" w:cs="Calibri"/>
          <w:color w:val="000000" w:themeColor="text1"/>
          <w:lang w:eastAsia="hi-IN" w:bidi="hi-IN"/>
        </w:rPr>
        <w:fldChar w:fldCharType="separate"/>
      </w:r>
      <w:r w:rsidR="005B0536" w:rsidRPr="005B0536">
        <w:rPr>
          <w:rFonts w:ascii="Times New Roman" w:eastAsia="SimSun" w:hAnsi="Times New Roman" w:cs="Calibri"/>
          <w:noProof/>
          <w:color w:val="000000" w:themeColor="text1"/>
          <w:lang w:eastAsia="hi-IN" w:bidi="hi-IN"/>
        </w:rPr>
        <w:t>(Wikmark et al., 2016)</w:t>
      </w:r>
      <w:r w:rsidR="005B0536">
        <w:rPr>
          <w:rFonts w:ascii="Times New Roman" w:eastAsia="SimSun" w:hAnsi="Times New Roman" w:cs="Calibri"/>
          <w:color w:val="000000" w:themeColor="text1"/>
          <w:lang w:eastAsia="hi-IN" w:bidi="hi-IN"/>
        </w:rPr>
        <w:fldChar w:fldCharType="end"/>
      </w:r>
      <w:r w:rsidR="00E7744A">
        <w:rPr>
          <w:rFonts w:ascii="Times New Roman" w:eastAsia="SimSun" w:hAnsi="Times New Roman" w:cs="Calibri"/>
          <w:color w:val="000000" w:themeColor="text1"/>
          <w:lang w:eastAsia="hi-IN" w:bidi="hi-IN"/>
        </w:rPr>
        <w:t>.</w:t>
      </w:r>
      <w:r w:rsidRPr="00BA24E2">
        <w:rPr>
          <w:rFonts w:ascii="Times New Roman" w:eastAsia="SimSun" w:hAnsi="Times New Roman" w:cs="Calibri"/>
          <w:color w:val="000000" w:themeColor="text1"/>
          <w:lang w:eastAsia="hi-IN" w:bidi="hi-IN"/>
        </w:rPr>
        <w:t xml:space="preserve">  </w:t>
      </w:r>
    </w:p>
    <w:p w14:paraId="7C9C6FB0" w14:textId="760C1283" w:rsidR="005B1589" w:rsidRDefault="001D6202" w:rsidP="0033416F">
      <w:pPr>
        <w:suppressAutoHyphens/>
        <w:autoSpaceDE w:val="0"/>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For</w:t>
      </w:r>
      <w:r w:rsidR="00CD65AA">
        <w:rPr>
          <w:rFonts w:ascii="Times New Roman" w:eastAsia="SimSun" w:hAnsi="Times New Roman" w:cs="Calibri"/>
          <w:color w:val="000000" w:themeColor="text1"/>
          <w:lang w:eastAsia="hi-IN" w:bidi="hi-IN"/>
        </w:rPr>
        <w:t xml:space="preserve"> RNAi </w:t>
      </w:r>
      <w:r w:rsidR="005B1589" w:rsidDel="00CD65AA">
        <w:rPr>
          <w:rFonts w:ascii="Times New Roman" w:eastAsia="SimSun" w:hAnsi="Times New Roman" w:cs="Calibri"/>
          <w:color w:val="000000" w:themeColor="text1"/>
          <w:lang w:eastAsia="hi-IN" w:bidi="hi-IN"/>
        </w:rPr>
        <w:t xml:space="preserve">used </w:t>
      </w:r>
      <w:r w:rsidR="005C6633">
        <w:rPr>
          <w:rFonts w:ascii="Times New Roman" w:eastAsia="SimSun" w:hAnsi="Times New Roman" w:cs="Calibri"/>
          <w:color w:val="000000" w:themeColor="text1"/>
          <w:lang w:eastAsia="hi-IN" w:bidi="hi-IN"/>
        </w:rPr>
        <w:t xml:space="preserve">instead </w:t>
      </w:r>
      <w:r w:rsidR="008D76B5">
        <w:rPr>
          <w:rFonts w:ascii="Times New Roman" w:eastAsia="SimSun" w:hAnsi="Times New Roman" w:cs="Calibri"/>
          <w:color w:val="000000" w:themeColor="text1"/>
          <w:lang w:eastAsia="hi-IN" w:bidi="hi-IN"/>
        </w:rPr>
        <w:t xml:space="preserve">in </w:t>
      </w:r>
      <w:r w:rsidR="005B1589" w:rsidDel="000B219F">
        <w:rPr>
          <w:rFonts w:ascii="Times New Roman" w:eastAsia="SimSun" w:hAnsi="Times New Roman" w:cs="Calibri"/>
          <w:color w:val="000000" w:themeColor="text1"/>
          <w:lang w:eastAsia="hi-IN" w:bidi="hi-IN"/>
        </w:rPr>
        <w:t>a</w:t>
      </w:r>
      <w:r w:rsidR="005B1589">
        <w:rPr>
          <w:rFonts w:ascii="Times New Roman" w:eastAsia="SimSun" w:hAnsi="Times New Roman" w:cs="Calibri"/>
          <w:color w:val="000000" w:themeColor="text1"/>
          <w:lang w:eastAsia="hi-IN" w:bidi="hi-IN"/>
        </w:rPr>
        <w:t xml:space="preserve"> spray, </w:t>
      </w:r>
      <w:r w:rsidR="00CA4750">
        <w:rPr>
          <w:rFonts w:ascii="Times New Roman" w:eastAsia="SimSun" w:hAnsi="Times New Roman" w:cs="Calibri"/>
          <w:color w:val="000000" w:themeColor="text1"/>
          <w:lang w:eastAsia="hi-IN" w:bidi="hi-IN"/>
        </w:rPr>
        <w:t>it was noted</w:t>
      </w:r>
      <w:r w:rsidR="00B55173" w:rsidRPr="00415176" w:rsidDel="00857BBD">
        <w:rPr>
          <w:rFonts w:ascii="Times New Roman" w:eastAsia="SimSun" w:hAnsi="Times New Roman" w:cs="Calibri"/>
          <w:color w:val="000000" w:themeColor="text1"/>
          <w:lang w:eastAsia="hi-IN" w:bidi="hi-IN"/>
        </w:rPr>
        <w:t xml:space="preserve"> that dsRNA is a natural biological molecule that is readily degraded in nature and biological systems, specific formulations to ensure its stability and effective delivery to targets will be required on a case-by-case basis </w:t>
      </w:r>
      <w:r w:rsidR="005B0536">
        <w:rPr>
          <w:rFonts w:ascii="Times New Roman" w:eastAsia="SimSun" w:hAnsi="Times New Roman" w:cs="Calibri"/>
          <w:color w:val="000000" w:themeColor="text1"/>
          <w:lang w:eastAsia="hi-IN" w:bidi="hi-IN"/>
        </w:rPr>
        <w:fldChar w:fldCharType="begin" w:fldLock="1"/>
      </w:r>
      <w:r w:rsidR="005B0536">
        <w:rPr>
          <w:rFonts w:ascii="Times New Roman" w:eastAsia="SimSun" w:hAnsi="Times New Roman" w:cs="Calibri"/>
          <w:color w:val="000000" w:themeColor="text1"/>
          <w:lang w:eastAsia="hi-IN" w:bidi="hi-IN"/>
        </w:rPr>
        <w:instrText>ADDIN CSL_CITATION {"citationItems":[{"id":"ITEM-1","itemData":{"DOI":"10.1007/s10340-020-01273-z","ISSN":"16124766","abstract":"Double-stranded RNA (dsRNA) designed to target genes in a sequence-specific manner can be valuable in pest control. However, in scenarios where a nontarget could be susceptible and is predicted to be exposed to insecticidal dsRNA in the environment, it is useful to understand possible gene silencing effects in the nontarget. In this study, a sequence complementarity-based approach was used to evaluate potential gene silencing effects in the bumblebee, Bombus terrestris, following oral exposure to a fusion dsRNA product (Ba-dsCOP-vg) specifically designed to target both alpha-coatomer (alphaCOP) and vitellogenin (vg) in the pest pollen beetle, Brassicogethes aeneus. The susceptibility of bumblebees to ingested dsRNA was first evaluated by feeding them with bumblebee-specific dsRNA (Bt-dsCOP-vg) (1 µg/µl) targeting its alphaCOP and vg. A respective 50% and 47% reduction in the transcripts of alphaCOP and vg at 96 h post exposure confirmed its susceptibility to the ingested dsRNA. Using computational tools, a pool of all possible continuous 22-nucleotide stretches from Ba-dsCOP-vg was generated and mapped to all potential off-target genes in the B. terrestris genome, with at least a 13-nt match within the 22-nt stretch. A set of criteria based on sequence complementarity was then used to select 24 potential off-targets for transcript analysis in bumblebees. Following ingestion of Ba-dsCOP-vg (1 µg/µl), no reduction was found in the transcript level for all off-targets, including an off-target with 20-continuous-nt matches. Our findings provide guidance to future risk analysis of dsRNA products and for risk assessments frameworks that incorporate sequence complementarity-based analysis for off-target predictions.","author":[{"dropping-particle":"","family":"Taning","given":"Clauvis Nji Tizi","non-dropping-particle":"","parse-names":false,"suffix":""},{"dropping-particle":"","family":"Gui","given":"Shunhua","non-dropping-particle":"","parse-names":false,"suffix":""},{"dropping-particle":"","family":"Schutter","given":"Kristof","non-dropping-particle":"De","parse-names":false,"suffix":""},{"dropping-particle":"","family":"Jahani","given":"Mona","non-dropping-particle":"","parse-names":false,"suffix":""},{"dropping-particle":"","family":"Castellanos","given":"Nathaly Lara","non-dropping-particle":"","parse-names":false,"suffix":""},{"dropping-particle":"","family":"Christiaens","given":"Olivier","non-dropping-particle":"","parse-names":false,"suffix":""},{"dropping-particle":"","family":"Smagghe","given":"Guy","non-dropping-particle":"","parse-names":false,"suffix":""}],"container-title":"Journal of Pest Science","id":"ITEM-1","issued":{"date-parts":[["2020","8"]]},"page":"1-17","publisher":"Springer","title":"A sequence complementarity-based approach for evaluating off-target transcript knockdown in Bombus terrestris, following ingestion of pest-specific dsRNA","type":"article-journal"},"uris":["http://www.mendeley.com/documents/?uuid=e03a3554-ea95-4e53-85b6-dea73b7393d4"]}],"mendeley":{"formattedCitation":"(Taning et al., 2020)","plainTextFormattedCitation":"(Taning et al., 2020)","previouslyFormattedCitation":"(Taning et al., 2020)"},"properties":{"noteIndex":0},"schema":"https://github.com/citation-style-language/schema/raw/master/csl-citation.json"}</w:instrText>
      </w:r>
      <w:r w:rsidR="005B0536">
        <w:rPr>
          <w:rFonts w:ascii="Times New Roman" w:eastAsia="SimSun" w:hAnsi="Times New Roman" w:cs="Calibri"/>
          <w:color w:val="000000" w:themeColor="text1"/>
          <w:lang w:eastAsia="hi-IN" w:bidi="hi-IN"/>
        </w:rPr>
        <w:fldChar w:fldCharType="separate"/>
      </w:r>
      <w:r w:rsidR="005B0536" w:rsidRPr="005B0536">
        <w:rPr>
          <w:rFonts w:ascii="Times New Roman" w:eastAsia="SimSun" w:hAnsi="Times New Roman" w:cs="Calibri"/>
          <w:noProof/>
          <w:color w:val="000000" w:themeColor="text1"/>
          <w:lang w:eastAsia="hi-IN" w:bidi="hi-IN"/>
        </w:rPr>
        <w:t>(Taning et al., 2020)</w:t>
      </w:r>
      <w:r w:rsidR="005B0536">
        <w:rPr>
          <w:rFonts w:ascii="Times New Roman" w:eastAsia="SimSun" w:hAnsi="Times New Roman" w:cs="Calibri"/>
          <w:color w:val="000000" w:themeColor="text1"/>
          <w:lang w:eastAsia="hi-IN" w:bidi="hi-IN"/>
        </w:rPr>
        <w:fldChar w:fldCharType="end"/>
      </w:r>
      <w:r w:rsidR="00B55173" w:rsidRPr="00415176" w:rsidDel="00857BBD">
        <w:rPr>
          <w:rFonts w:ascii="Times New Roman" w:eastAsia="SimSun" w:hAnsi="Times New Roman" w:cs="Calibri"/>
          <w:color w:val="000000" w:themeColor="text1"/>
          <w:lang w:eastAsia="hi-IN" w:bidi="hi-IN"/>
        </w:rPr>
        <w:t>. Thus, it represents a novel type of biological protection/“biopesticide” and it is important that safety assessments for plant protection products are adapted to allow introduction</w:t>
      </w:r>
      <w:r w:rsidR="00CA4750">
        <w:rPr>
          <w:rFonts w:ascii="Times New Roman" w:eastAsia="SimSun" w:hAnsi="Times New Roman" w:cs="Calibri"/>
          <w:color w:val="000000" w:themeColor="text1"/>
          <w:lang w:eastAsia="hi-IN" w:bidi="hi-IN"/>
        </w:rPr>
        <w:t>s</w:t>
      </w:r>
      <w:r w:rsidR="00B55173" w:rsidRPr="00415176" w:rsidDel="00857BBD">
        <w:rPr>
          <w:rFonts w:ascii="Times New Roman" w:eastAsia="SimSun" w:hAnsi="Times New Roman" w:cs="Calibri"/>
          <w:color w:val="000000" w:themeColor="text1"/>
          <w:lang w:eastAsia="hi-IN" w:bidi="hi-IN"/>
        </w:rPr>
        <w:t xml:space="preserve"> of this technology. Existing </w:t>
      </w:r>
      <w:r w:rsidR="00DE4BB2">
        <w:rPr>
          <w:rFonts w:ascii="Times New Roman" w:eastAsia="SimSun" w:hAnsi="Times New Roman" w:cs="Calibri"/>
          <w:color w:val="000000" w:themeColor="text1"/>
          <w:lang w:eastAsia="hi-IN" w:bidi="hi-IN"/>
        </w:rPr>
        <w:t>plant protection product</w:t>
      </w:r>
      <w:r w:rsidR="00B55173" w:rsidRPr="00415176" w:rsidDel="00857BBD">
        <w:rPr>
          <w:rFonts w:ascii="Times New Roman" w:eastAsia="SimSun" w:hAnsi="Times New Roman" w:cs="Calibri"/>
          <w:color w:val="000000" w:themeColor="text1"/>
          <w:lang w:eastAsia="hi-IN" w:bidi="hi-IN"/>
        </w:rPr>
        <w:t xml:space="preserve"> risk assessment approaches can be reliably used to evaluate dsRNA-based products for topical application, with adaptations only required on a case-by</w:t>
      </w:r>
      <w:r w:rsidR="00D6533D">
        <w:rPr>
          <w:rFonts w:ascii="Times New Roman" w:eastAsia="SimSun" w:hAnsi="Times New Roman" w:cs="Calibri"/>
          <w:color w:val="000000" w:themeColor="text1"/>
          <w:lang w:eastAsia="hi-IN" w:bidi="hi-IN"/>
        </w:rPr>
        <w:t>-</w:t>
      </w:r>
      <w:r w:rsidR="00B55173" w:rsidRPr="00415176" w:rsidDel="00857BBD">
        <w:rPr>
          <w:rFonts w:ascii="Times New Roman" w:eastAsia="SimSun" w:hAnsi="Times New Roman" w:cs="Calibri"/>
          <w:color w:val="000000" w:themeColor="text1"/>
          <w:lang w:eastAsia="hi-IN" w:bidi="hi-IN"/>
        </w:rPr>
        <w:t xml:space="preserve">case basis where additional research might be necessary to assess risk </w:t>
      </w:r>
      <w:r w:rsidR="005B0536">
        <w:rPr>
          <w:rFonts w:ascii="Times New Roman" w:eastAsia="SimSun" w:hAnsi="Times New Roman" w:cs="Calibri"/>
          <w:color w:val="000000" w:themeColor="text1"/>
          <w:lang w:eastAsia="hi-IN" w:bidi="hi-IN"/>
        </w:rPr>
        <w:fldChar w:fldCharType="begin" w:fldLock="1"/>
      </w:r>
      <w:r w:rsidR="005B0536">
        <w:rPr>
          <w:rFonts w:ascii="Times New Roman" w:eastAsia="SimSun" w:hAnsi="Times New Roman" w:cs="Calibri"/>
          <w:color w:val="000000" w:themeColor="text1"/>
          <w:lang w:eastAsia="hi-IN" w:bidi="hi-IN"/>
        </w:rPr>
        <w:instrText>ADDIN CSL_CITATION {"citationItems":[{"id":"ITEM-1","itemData":{"DOI":"10.1007/s10340-020-01238-2","ISSN":"16124766","abstract":"RNA interference (RNAi) is being developed and exploited to improve plants by modifying endogenous gene expression as well as to target pest and pathogen genes both within plants (i.e. host-induced gene silencing) and/or as topical applications (e.g. spray-induced gene silencing). RNAi is a natural mechanism which can be exploited to make a major contribution towards integrated pest management and sustainable agricultural strategies needed worldwide to secure current and future food production. RNAi plants are being assessed and regulated using existing regulatory frameworks for GMO. However, there is an urgent need to develop appropriate science-based risk assessment procedures for topical RNAi applications within existing plant protection products legislation.","author":[{"dropping-particle":"","family":"Mezzetti","given":"Bruno","non-dropping-particle":"","parse-names":false,"suffix":""},{"dropping-particle":"","family":"Smagghe","given":"Guy","non-dropping-particle":"","parse-names":false,"suffix":""},{"dropping-particle":"","family":"Arpaia","given":"Salvatore","non-dropping-particle":"","parse-names":false,"suffix":""},{"dropping-particle":"","family":"Christiaens","given":"Olivier","non-dropping-particle":"","parse-names":false,"suffix":""},{"dropping-particle":"","family":"Dietz-Pfeilstetter","given":"Antje","non-dropping-particle":"","parse-names":false,"suffix":""},{"dropping-particle":"","family":"Jones","given":"Huw","non-dropping-particle":"","parse-names":false,"suffix":""},{"dropping-particle":"","family":"Kostov","given":"Kaloyan","non-dropping-particle":"","parse-names":false,"suffix":""},{"dropping-particle":"","family":"Sabbadini","given":"Silvia","non-dropping-particle":"","parse-names":false,"suffix":""},{"dropping-particle":"","family":"Opsahl-Sorteberg","given":"Hilde Gunn","non-dropping-particle":"","parse-names":false,"suffix":""},{"dropping-particle":"","family":"Ventura","given":"Vera","non-dropping-particle":"","parse-names":false,"suffix":""},{"dropping-particle":"","family":"Taning","given":"Clauvis Nji Tizi","non-dropping-particle":"","parse-names":false,"suffix":""},{"dropping-particle":"","family":"Sweet","given":"Jeremy","non-dropping-particle":"","parse-names":false,"suffix":""}],"container-title":"Journal of Pest Science","id":"ITEM-1","issue":"4","issued":{"date-parts":[["2020","9"]]},"page":"1125-1130","publisher":"Springer","title":"RNAi: What is its position in agriculture?","type":"article-journal","volume":"93"},"uris":["http://www.mendeley.com/documents/?uuid=00b2335d-e147-4c11-8ef2-72dcfb117bde"]}],"mendeley":{"formattedCitation":"(Mezzetti et al., 2020)","plainTextFormattedCitation":"(Mezzetti et al., 2020)","previouslyFormattedCitation":"(Mezzetti et al., 2020)"},"properties":{"noteIndex":0},"schema":"https://github.com/citation-style-language/schema/raw/master/csl-citation.json"}</w:instrText>
      </w:r>
      <w:r w:rsidR="005B0536">
        <w:rPr>
          <w:rFonts w:ascii="Times New Roman" w:eastAsia="SimSun" w:hAnsi="Times New Roman" w:cs="Calibri"/>
          <w:color w:val="000000" w:themeColor="text1"/>
          <w:lang w:eastAsia="hi-IN" w:bidi="hi-IN"/>
        </w:rPr>
        <w:fldChar w:fldCharType="separate"/>
      </w:r>
      <w:r w:rsidR="005B0536" w:rsidRPr="005B0536">
        <w:rPr>
          <w:rFonts w:ascii="Times New Roman" w:eastAsia="SimSun" w:hAnsi="Times New Roman" w:cs="Calibri"/>
          <w:noProof/>
          <w:color w:val="000000" w:themeColor="text1"/>
          <w:lang w:eastAsia="hi-IN" w:bidi="hi-IN"/>
        </w:rPr>
        <w:t>(Mezzetti et al., 2020)</w:t>
      </w:r>
      <w:r w:rsidR="005B0536">
        <w:rPr>
          <w:rFonts w:ascii="Times New Roman" w:eastAsia="SimSun" w:hAnsi="Times New Roman" w:cs="Calibri"/>
          <w:color w:val="000000" w:themeColor="text1"/>
          <w:lang w:eastAsia="hi-IN" w:bidi="hi-IN"/>
        </w:rPr>
        <w:fldChar w:fldCharType="end"/>
      </w:r>
      <w:r w:rsidR="009C2F11">
        <w:rPr>
          <w:rFonts w:ascii="Times New Roman" w:eastAsia="SimSun" w:hAnsi="Times New Roman" w:cs="Calibri"/>
          <w:color w:val="000000" w:themeColor="text1"/>
          <w:lang w:eastAsia="hi-IN" w:bidi="hi-IN"/>
        </w:rPr>
        <w:t>.</w:t>
      </w:r>
      <w:r w:rsidR="006062D9">
        <w:rPr>
          <w:rFonts w:ascii="Times New Roman" w:eastAsia="SimSun" w:hAnsi="Times New Roman" w:cs="Calibri"/>
          <w:color w:val="000000" w:themeColor="text1"/>
          <w:lang w:eastAsia="hi-IN" w:bidi="hi-IN"/>
        </w:rPr>
        <w:t xml:space="preserve">    </w:t>
      </w:r>
    </w:p>
    <w:p w14:paraId="3B3AB576" w14:textId="0989018F" w:rsidR="0033416F" w:rsidRDefault="0033416F" w:rsidP="009C2F11">
      <w:pPr>
        <w:suppressAutoHyphens/>
        <w:autoSpaceDE w:val="0"/>
        <w:spacing w:before="120" w:after="120" w:line="240" w:lineRule="auto"/>
        <w:jc w:val="both"/>
        <w:rPr>
          <w:rFonts w:ascii="Times New Roman" w:eastAsia="SimSun" w:hAnsi="Times New Roman" w:cs="Calibri"/>
          <w:color w:val="000000" w:themeColor="text1"/>
          <w:lang w:eastAsia="hi-IN" w:bidi="hi-IN"/>
        </w:rPr>
      </w:pPr>
      <w:r w:rsidRPr="4D7AD438">
        <w:rPr>
          <w:rFonts w:ascii="Times New Roman" w:eastAsia="SimSun" w:hAnsi="Times New Roman" w:cs="Calibri"/>
          <w:color w:val="000000" w:themeColor="text1"/>
          <w:lang w:eastAsia="hi-IN" w:bidi="hi-IN"/>
        </w:rPr>
        <w:t>The evaluation of the potential risk associated with the silencing of an off-target gene is specific to RNAi technology.</w:t>
      </w:r>
      <w:r>
        <w:rPr>
          <w:rFonts w:ascii="Times New Roman" w:eastAsia="SimSun" w:hAnsi="Times New Roman" w:cs="Calibri"/>
          <w:color w:val="000000" w:themeColor="text1"/>
          <w:lang w:eastAsia="hi-IN" w:bidi="hi-IN"/>
        </w:rPr>
        <w:t xml:space="preserve"> When used in spray formulations, Werner et al. </w:t>
      </w:r>
      <w:r w:rsidRPr="00121D97">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{"citationItems":[{"id":"ITEM-1","itemData":{"DOI":"10.3389/fpls.2020.00476","ISSN":"1664-462X","abstract":"Over the last decade, several studies have revealed the enormous potential of RNA-silencing strategies as a potential alternative to conventional pesticides for plant protection. We have previously shown that targeted gene silencing mediated by an in planta expression of non-coding inhibitory double-stranded RNAs (dsRNAs) can protect host plants against various diseases with unprecedented efficiency. In addition to the generation of RNA-silencing (RNAi) signals in planta, plants can be protected from pathogens, and pests by spray-applied RNA-based biopesticides. Despite the striking efficiency of RNA-silencing-based technologies holds for agriculture, the molecular mechanisms underlying spray-induced gene silencing (SIGS) strategies are virtually unresolved, a requirement for successful future application in the field. Based on our previous work, we predict that the molecular mechanism of SIGS is controlled by the fungal-silencing machinery. In this study, we used SIGS to compare the silencing efficiencies of computationally-designed vs. manually-designed dsRNA constructs targeting ARGONAUTE and DICER genes of Fusarium graminearum (Fg). We found that targeting key components of the fungal RNAi machinery via SIGS could protect barley leaves from Fg infection and that the manual design of dsRNAs resulted in higher gene-silencing efficiencies than the tool-based design. Moreover, our results indicate the possibility of cross-kingdom RNA silencing in the Fg-barley interaction, a phenomenon in which sRNAs operate as effector molecules to induce gene silencing between species from different kingdoms, such as a plant host and their interacting pathogens.","author":[{"dropping-particle":"","family":"Werner","given":"Bernhard Timo","non-dropping-particle":"","parse-names":false,"suffix":""},{"dropping-particle":"","family":"Gaffar","given":"Fatima Yousiff","non-dropping-particle":"","parse-names":false,"suffix":""},{"dropping-particle":"","family":"Schuemann","given":"Johannes","non-dropping-particle":"","parse-names":false,"suffix":""},{"dropping-particle":"","family":"Biedenkopf","given":"Dagmar","non-dropping-particle":"","parse-names":false,"suffix":""},{"dropping-particle":"","family":"Koch","given":"Aline Michaela","non-dropping-particle":"","parse-names":false,"suffix":""}],"container-title":"Frontiers in Plant Science","id":"ITEM-1","issued":{"date-parts":[["2020","4"]]},"page":"476","publisher":"Frontiers Media S.A.","title":"RNA-Spray-Mediated Silencing of Fusarium graminearum AGO and DCL Genes Improve Barley Disease Resistance","type":"article-journal","volume":"11"},"uris":["http://www.mendeley.com/documents/?uuid=a426bb66-3e7e-4bcc-8830-9becc8a21c79"]}],"mendeley":{"formattedCitation":"(Werner et al., 2020)","manualFormatting":"(2020)","plainTextFormattedCitation":"(Werner et al., 2020)","previouslyFormattedCitation":"(Werner et al., 2020)"},"properties":{"noteIndex":0},"schema":"https://github.com/citation-style-language/schema/raw/master/csl-citation.json"}</w:instrText>
      </w:r>
      <w:r w:rsidRPr="00121D97">
        <w:rPr>
          <w:rFonts w:ascii="Times New Roman" w:eastAsia="SimSun" w:hAnsi="Times New Roman" w:cs="Calibri"/>
          <w:color w:val="000000" w:themeColor="text1"/>
          <w:lang w:eastAsia="hi-IN" w:bidi="hi-IN"/>
        </w:rPr>
        <w:fldChar w:fldCharType="separate"/>
      </w:r>
      <w:r w:rsidRPr="00A929EF">
        <w:rPr>
          <w:rFonts w:ascii="Times New Roman" w:eastAsia="SimSun" w:hAnsi="Times New Roman" w:cs="Calibri"/>
          <w:noProof/>
          <w:color w:val="000000" w:themeColor="text1"/>
          <w:lang w:eastAsia="hi-IN" w:bidi="hi-IN"/>
        </w:rPr>
        <w:t>(2020)</w:t>
      </w:r>
      <w:r w:rsidRPr="00121D97">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 xml:space="preserve"> have reported that s</w:t>
      </w:r>
      <w:r w:rsidRPr="00291110">
        <w:rPr>
          <w:rFonts w:ascii="Times New Roman" w:eastAsia="SimSun" w:hAnsi="Times New Roman" w:cs="Calibri"/>
          <w:color w:val="000000" w:themeColor="text1"/>
          <w:lang w:eastAsia="hi-IN" w:bidi="hi-IN"/>
        </w:rPr>
        <w:t xml:space="preserve">horter target sequences, which are also specifically selected to produce potential siRNAs with a minimal potential to silence unintended targets, could greatly reduce off-target effects. Therefore, </w:t>
      </w:r>
      <w:r>
        <w:rPr>
          <w:rFonts w:ascii="Times New Roman" w:eastAsia="SimSun" w:hAnsi="Times New Roman" w:cs="Calibri"/>
          <w:color w:val="000000" w:themeColor="text1"/>
          <w:lang w:eastAsia="hi-IN" w:bidi="hi-IN"/>
        </w:rPr>
        <w:t>they have suggested</w:t>
      </w:r>
      <w:r w:rsidRPr="00291110">
        <w:rPr>
          <w:rFonts w:ascii="Times New Roman" w:eastAsia="SimSun" w:hAnsi="Times New Roman" w:cs="Calibri"/>
          <w:color w:val="000000" w:themeColor="text1"/>
          <w:lang w:eastAsia="hi-IN" w:bidi="hi-IN"/>
        </w:rPr>
        <w:t xml:space="preserve"> using minimal-length dsRNA sequences carefully selected based on known design criteria requirements. Another possible way to achieve high silencing efficiencies while retaining high target specificity (less off-target effect</w:t>
      </w:r>
      <w:r w:rsidR="003A1E0A">
        <w:rPr>
          <w:rFonts w:ascii="Times New Roman" w:eastAsia="SimSun" w:hAnsi="Times New Roman" w:cs="Calibri"/>
          <w:color w:val="000000" w:themeColor="text1"/>
          <w:lang w:eastAsia="hi-IN" w:bidi="hi-IN"/>
        </w:rPr>
        <w:t>s</w:t>
      </w:r>
      <w:r w:rsidRPr="00291110">
        <w:rPr>
          <w:rFonts w:ascii="Times New Roman" w:eastAsia="SimSun" w:hAnsi="Times New Roman" w:cs="Calibri"/>
          <w:color w:val="000000" w:themeColor="text1"/>
          <w:lang w:eastAsia="hi-IN" w:bidi="hi-IN"/>
        </w:rPr>
        <w:t xml:space="preserve">) could be the </w:t>
      </w:r>
      <w:r>
        <w:rPr>
          <w:rFonts w:ascii="Times New Roman" w:eastAsia="SimSun" w:hAnsi="Times New Roman" w:cs="Calibri"/>
          <w:color w:val="000000" w:themeColor="text1"/>
          <w:lang w:eastAsia="hi-IN" w:bidi="hi-IN"/>
        </w:rPr>
        <w:t>use</w:t>
      </w:r>
      <w:r w:rsidRPr="00291110">
        <w:rPr>
          <w:rFonts w:ascii="Times New Roman" w:eastAsia="SimSun" w:hAnsi="Times New Roman" w:cs="Calibri"/>
          <w:color w:val="000000" w:themeColor="text1"/>
          <w:lang w:eastAsia="hi-IN" w:bidi="hi-IN"/>
        </w:rPr>
        <w:t xml:space="preserve"> of dsRNAs repeating a shorter tool-designed sequence several times</w:t>
      </w:r>
      <w:r w:rsidR="003A1E0A">
        <w:rPr>
          <w:rFonts w:ascii="Times New Roman" w:eastAsia="SimSun" w:hAnsi="Times New Roman" w:cs="Calibri"/>
          <w:color w:val="000000" w:themeColor="text1"/>
          <w:lang w:eastAsia="hi-IN" w:bidi="hi-IN"/>
        </w:rPr>
        <w:t xml:space="preserve"> (</w:t>
      </w:r>
      <w:r w:rsidR="00C83FE8">
        <w:rPr>
          <w:rFonts w:ascii="Times New Roman" w:eastAsia="SimSun" w:hAnsi="Times New Roman" w:cs="Calibri"/>
          <w:color w:val="000000" w:themeColor="text1"/>
          <w:lang w:eastAsia="hi-IN" w:bidi="hi-IN"/>
        </w:rPr>
        <w:t>Werner et al. 2020</w:t>
      </w:r>
      <w:r w:rsidR="003A1E0A">
        <w:rPr>
          <w:rFonts w:ascii="Times New Roman" w:eastAsia="SimSun" w:hAnsi="Times New Roman" w:cs="Calibri"/>
          <w:color w:val="000000" w:themeColor="text1"/>
          <w:lang w:eastAsia="hi-IN" w:bidi="hi-IN"/>
        </w:rPr>
        <w:t>)</w:t>
      </w:r>
      <w:r w:rsidRPr="00291110">
        <w:rPr>
          <w:rFonts w:ascii="Times New Roman" w:eastAsia="SimSun" w:hAnsi="Times New Roman" w:cs="Calibri"/>
          <w:color w:val="000000" w:themeColor="text1"/>
          <w:lang w:eastAsia="hi-IN" w:bidi="hi-IN"/>
        </w:rPr>
        <w:t>.</w:t>
      </w:r>
      <w:r>
        <w:rPr>
          <w:rFonts w:ascii="Times New Roman" w:eastAsia="SimSun" w:hAnsi="Times New Roman" w:cs="Calibri"/>
          <w:color w:val="000000" w:themeColor="text1"/>
          <w:lang w:eastAsia="hi-IN" w:bidi="hi-IN"/>
        </w:rPr>
        <w:t xml:space="preserve"> </w:t>
      </w:r>
      <w:r w:rsidR="00E00251">
        <w:rPr>
          <w:rFonts w:ascii="Times New Roman" w:eastAsia="SimSun" w:hAnsi="Times New Roman" w:cs="Calibri"/>
          <w:color w:val="000000" w:themeColor="text1"/>
          <w:lang w:eastAsia="hi-IN" w:bidi="hi-IN"/>
        </w:rPr>
        <w:t>Additionally,</w:t>
      </w:r>
      <w:r w:rsidR="003A6E5C">
        <w:rPr>
          <w:rFonts w:ascii="Times New Roman" w:eastAsia="SimSun" w:hAnsi="Times New Roman" w:cs="Calibri"/>
          <w:color w:val="000000" w:themeColor="text1"/>
          <w:lang w:eastAsia="hi-IN" w:bidi="hi-IN"/>
        </w:rPr>
        <w:t xml:space="preserve"> </w:t>
      </w:r>
      <w:r w:rsidR="002C3875">
        <w:rPr>
          <w:rFonts w:ascii="Times New Roman" w:eastAsia="SimSun" w:hAnsi="Times New Roman" w:cs="Calibri"/>
          <w:color w:val="000000" w:themeColor="text1"/>
          <w:lang w:eastAsia="hi-IN" w:bidi="hi-IN"/>
        </w:rPr>
        <w:t xml:space="preserve">if </w:t>
      </w:r>
      <w:r w:rsidR="003A6E5C">
        <w:rPr>
          <w:rFonts w:ascii="Times New Roman" w:eastAsia="SimSun" w:hAnsi="Times New Roman" w:cs="Calibri"/>
          <w:color w:val="000000" w:themeColor="text1"/>
          <w:lang w:eastAsia="hi-IN" w:bidi="hi-IN"/>
        </w:rPr>
        <w:t>l</w:t>
      </w:r>
      <w:r w:rsidR="00B01A78">
        <w:rPr>
          <w:rFonts w:ascii="Times New Roman" w:eastAsia="SimSun" w:hAnsi="Times New Roman" w:cs="Calibri"/>
          <w:color w:val="000000" w:themeColor="text1"/>
          <w:lang w:eastAsia="hi-IN" w:bidi="hi-IN"/>
        </w:rPr>
        <w:t xml:space="preserve">ess conserved regions </w:t>
      </w:r>
      <w:r w:rsidR="002C3875">
        <w:rPr>
          <w:rFonts w:ascii="Times New Roman" w:eastAsia="SimSun" w:hAnsi="Times New Roman" w:cs="Calibri"/>
          <w:color w:val="000000" w:themeColor="text1"/>
          <w:lang w:eastAsia="hi-IN" w:bidi="hi-IN"/>
        </w:rPr>
        <w:t>of the mRNA are</w:t>
      </w:r>
      <w:r w:rsidR="00D046C4">
        <w:rPr>
          <w:rFonts w:ascii="Times New Roman" w:eastAsia="SimSun" w:hAnsi="Times New Roman" w:cs="Calibri"/>
          <w:color w:val="000000" w:themeColor="text1"/>
          <w:lang w:eastAsia="hi-IN" w:bidi="hi-IN"/>
        </w:rPr>
        <w:t xml:space="preserve"> </w:t>
      </w:r>
      <w:r w:rsidR="00B01A78">
        <w:rPr>
          <w:rFonts w:ascii="Times New Roman" w:eastAsia="SimSun" w:hAnsi="Times New Roman" w:cs="Calibri"/>
          <w:color w:val="000000" w:themeColor="text1"/>
          <w:lang w:eastAsia="hi-IN" w:bidi="hi-IN"/>
        </w:rPr>
        <w:t>targeted</w:t>
      </w:r>
      <w:r w:rsidR="002C3875">
        <w:rPr>
          <w:rFonts w:ascii="Times New Roman" w:eastAsia="SimSun" w:hAnsi="Times New Roman" w:cs="Calibri"/>
          <w:color w:val="000000" w:themeColor="text1"/>
          <w:lang w:eastAsia="hi-IN" w:bidi="hi-IN"/>
        </w:rPr>
        <w:t>,</w:t>
      </w:r>
      <w:r w:rsidR="002C3875" w:rsidDel="00BF5ED8">
        <w:rPr>
          <w:rFonts w:ascii="Times New Roman" w:eastAsia="SimSun" w:hAnsi="Times New Roman" w:cs="Calibri"/>
          <w:color w:val="000000" w:themeColor="text1"/>
          <w:lang w:eastAsia="hi-IN" w:bidi="hi-IN"/>
        </w:rPr>
        <w:t xml:space="preserve"> </w:t>
      </w:r>
      <w:r w:rsidR="00063FA2">
        <w:rPr>
          <w:rFonts w:ascii="Times New Roman" w:eastAsia="SimSun" w:hAnsi="Times New Roman" w:cs="Calibri"/>
          <w:color w:val="000000" w:themeColor="text1"/>
          <w:lang w:eastAsia="hi-IN" w:bidi="hi-IN"/>
        </w:rPr>
        <w:t xml:space="preserve">homology </w:t>
      </w:r>
      <w:r w:rsidR="002C3875">
        <w:rPr>
          <w:rFonts w:ascii="Times New Roman" w:eastAsia="SimSun" w:hAnsi="Times New Roman" w:cs="Calibri"/>
          <w:color w:val="000000" w:themeColor="text1"/>
          <w:lang w:eastAsia="hi-IN" w:bidi="hi-IN"/>
        </w:rPr>
        <w:t xml:space="preserve">could be limited </w:t>
      </w:r>
      <w:r w:rsidR="00063FA2">
        <w:rPr>
          <w:rFonts w:ascii="Times New Roman" w:eastAsia="SimSun" w:hAnsi="Times New Roman" w:cs="Calibri"/>
          <w:color w:val="000000" w:themeColor="text1"/>
          <w:lang w:eastAsia="hi-IN" w:bidi="hi-IN"/>
        </w:rPr>
        <w:t>between sequences</w:t>
      </w:r>
      <w:r w:rsidR="00D046C4">
        <w:rPr>
          <w:rFonts w:ascii="Times New Roman" w:eastAsia="SimSun" w:hAnsi="Times New Roman" w:cs="Calibri"/>
          <w:color w:val="000000" w:themeColor="text1"/>
          <w:lang w:eastAsia="hi-IN" w:bidi="hi-IN"/>
        </w:rPr>
        <w:t xml:space="preserve"> and therefore decrease the potential for </w:t>
      </w:r>
      <w:r w:rsidR="00AA4F2C">
        <w:rPr>
          <w:rFonts w:ascii="Times New Roman" w:eastAsia="SimSun" w:hAnsi="Times New Roman" w:cs="Calibri"/>
          <w:color w:val="000000" w:themeColor="text1"/>
          <w:lang w:eastAsia="hi-IN" w:bidi="hi-IN"/>
        </w:rPr>
        <w:t xml:space="preserve">off-targets </w:t>
      </w:r>
      <w:r w:rsidR="00DE1496">
        <w:rPr>
          <w:rFonts w:ascii="Times New Roman" w:eastAsia="SimSun" w:hAnsi="Times New Roman" w:cs="Calibri"/>
          <w:color w:val="000000" w:themeColor="text1"/>
          <w:lang w:eastAsia="hi-IN" w:bidi="hi-IN"/>
        </w:rPr>
        <w:t xml:space="preserve">effects </w:t>
      </w:r>
      <w:r w:rsidR="005B0536">
        <w:rPr>
          <w:rFonts w:ascii="Times New Roman" w:eastAsia="SimSun" w:hAnsi="Times New Roman" w:cs="Calibri"/>
          <w:color w:val="000000" w:themeColor="text1"/>
          <w:lang w:eastAsia="hi-IN" w:bidi="hi-IN"/>
        </w:rPr>
        <w:fldChar w:fldCharType="begin" w:fldLock="1"/>
      </w:r>
      <w:r w:rsidR="005B0536">
        <w:rPr>
          <w:rFonts w:ascii="Times New Roman" w:eastAsia="SimSun" w:hAnsi="Times New Roman" w:cs="Calibri"/>
          <w:color w:val="000000" w:themeColor="text1"/>
          <w:lang w:eastAsia="hi-IN" w:bidi="hi-IN"/>
        </w:rPr>
        <w:instrText>ADDIN CSL_CITATION {"citationItems":[{"id":"ITEM-1","itemData":{"DOI":"10.3389/fpls.2020.00051","ISSN":"1664-462X","abstract":"Sustainable agriculture relies on practices and technologies that combine effectiveness with a minimal environmental footprint. RNA interference (RNAi), a eukaryotic process in which transcript expression is reduced in a sequence-specific manner, can be co-opted for the control of plant pests and pathogens in a topical application system. Double stranded RNA, the key trigger molecule of RNAi, has been shown to provide protection without the need for integration of dsRNA-expressing constructs as transgenes. Consequently, development of RNA-based biopesticides is gaining momentum as a narrow-spectrum alternative to chemical-based control measures, with pests and pathogens targeted with accuracy and specificity. Limitations for a commercially viable product to overcome include stable delivery of the topically applied dsRNA and extension of the time period of protection. In addition to the research focus on delivery of dsRNA, development of regulatory frameworks, risk identification and establishing avoidance and mitigation strategies is key to widespread deployment of topical RNAi technologies. Once in place, these measures will provide the crop protection industry with the certainty necessary to expend resources on the development of innovative dsRNA based products. Readily evident risks to human health appear minimal, with multiple barriers to uptake and a long history of consumption of dsRNA from plant material. Unintended impacts to the environment are expected to be most apparent in species closely related to the target. Holistic design practices, which incorporate bioinformatics-based dsRNA selection along with experimental testing, represent important techniques for elimination of adverse impacts.","author":[{"dropping-particle":"","family":"Fletcher","given":"Stephen J","non-dropping-particle":"","parse-names":false,"suffix":""},{"dropping-particle":"","family":"Reeves","given":"Philip T","non-dropping-particle":"","parse-names":false,"suffix":""},{"dropping-particle":"","family":"Hoang","given":"Bao Tram","non-dropping-particle":"","parse-names":false,"suffix":""},{"dropping-particle":"","family":"Mitter","given":"Neena","non-dropping-particle":"","parse-names":false,"suffix":""}],"container-title":"Frontiers in Plant Science","id":"ITEM-1","issued":{"date-parts":[["2020","2"]]},"page":"51","publisher":"Frontiers Media SA","title":"A Perspective on RNAi-Based Biopesticides","type":"article-journal","volume":"11"},"uris":["http://www.mendeley.com/documents/?uuid=fffc4f16-a7cf-4f3a-9689-27b16467c353"]}],"mendeley":{"formattedCitation":"(Fletcher et al., 2020)","plainTextFormattedCitation":"(Fletcher et al., 2020)","previouslyFormattedCitation":"(Fletcher et al., 2020)"},"properties":{"noteIndex":0},"schema":"https://github.com/citation-style-language/schema/raw/master/csl-citation.json"}</w:instrText>
      </w:r>
      <w:r w:rsidR="005B0536">
        <w:rPr>
          <w:rFonts w:ascii="Times New Roman" w:eastAsia="SimSun" w:hAnsi="Times New Roman" w:cs="Calibri"/>
          <w:color w:val="000000" w:themeColor="text1"/>
          <w:lang w:eastAsia="hi-IN" w:bidi="hi-IN"/>
        </w:rPr>
        <w:fldChar w:fldCharType="separate"/>
      </w:r>
      <w:r w:rsidR="005B0536" w:rsidRPr="005B0536">
        <w:rPr>
          <w:rFonts w:ascii="Times New Roman" w:eastAsia="SimSun" w:hAnsi="Times New Roman" w:cs="Calibri"/>
          <w:noProof/>
          <w:color w:val="000000" w:themeColor="text1"/>
          <w:lang w:eastAsia="hi-IN" w:bidi="hi-IN"/>
        </w:rPr>
        <w:t>(Fletcher et al., 2020)</w:t>
      </w:r>
      <w:r w:rsidR="005B0536">
        <w:rPr>
          <w:rFonts w:ascii="Times New Roman" w:eastAsia="SimSun" w:hAnsi="Times New Roman" w:cs="Calibri"/>
          <w:color w:val="000000" w:themeColor="text1"/>
          <w:lang w:eastAsia="hi-IN" w:bidi="hi-IN"/>
        </w:rPr>
        <w:fldChar w:fldCharType="end"/>
      </w:r>
      <w:r w:rsidR="00DE1496">
        <w:rPr>
          <w:rFonts w:ascii="Times New Roman" w:eastAsia="SimSun" w:hAnsi="Times New Roman" w:cs="Calibri"/>
          <w:color w:val="000000" w:themeColor="text1"/>
          <w:lang w:eastAsia="hi-IN" w:bidi="hi-IN"/>
        </w:rPr>
        <w:t>.</w:t>
      </w:r>
      <w:r w:rsidR="00FC21FC">
        <w:rPr>
          <w:rFonts w:ascii="Times New Roman" w:eastAsia="SimSun" w:hAnsi="Times New Roman" w:cs="Calibri"/>
          <w:color w:val="000000" w:themeColor="text1"/>
          <w:lang w:eastAsia="hi-IN" w:bidi="hi-IN"/>
        </w:rPr>
        <w:t>At the whole organism level</w:t>
      </w:r>
      <w:r w:rsidR="00AC3346">
        <w:rPr>
          <w:rFonts w:ascii="Times New Roman" w:eastAsia="SimSun" w:hAnsi="Times New Roman" w:cs="Calibri"/>
          <w:color w:val="000000" w:themeColor="text1"/>
          <w:lang w:eastAsia="hi-IN" w:bidi="hi-IN"/>
        </w:rPr>
        <w:t xml:space="preserve">, </w:t>
      </w:r>
      <w:r w:rsidR="00C1346A" w:rsidRPr="00C1346A">
        <w:rPr>
          <w:rFonts w:ascii="Times New Roman" w:eastAsia="SimSun" w:hAnsi="Times New Roman" w:cs="Calibri"/>
          <w:color w:val="000000" w:themeColor="text1"/>
          <w:lang w:eastAsia="hi-IN" w:bidi="hi-IN"/>
        </w:rPr>
        <w:t xml:space="preserve">the carrier to which the RNA </w:t>
      </w:r>
      <w:r w:rsidR="00AC3346">
        <w:rPr>
          <w:rFonts w:ascii="Times New Roman" w:eastAsia="SimSun" w:hAnsi="Times New Roman" w:cs="Calibri"/>
          <w:color w:val="000000" w:themeColor="text1"/>
          <w:lang w:eastAsia="hi-IN" w:bidi="hi-IN"/>
        </w:rPr>
        <w:t>molecules are</w:t>
      </w:r>
      <w:r w:rsidR="00C1346A" w:rsidRPr="00C1346A">
        <w:rPr>
          <w:rFonts w:ascii="Times New Roman" w:eastAsia="SimSun" w:hAnsi="Times New Roman" w:cs="Calibri"/>
          <w:color w:val="000000" w:themeColor="text1"/>
          <w:lang w:eastAsia="hi-IN" w:bidi="hi-IN"/>
        </w:rPr>
        <w:t xml:space="preserve"> bound or the formulation in which </w:t>
      </w:r>
      <w:r w:rsidR="00AC3346">
        <w:rPr>
          <w:rFonts w:ascii="Times New Roman" w:eastAsia="SimSun" w:hAnsi="Times New Roman" w:cs="Calibri"/>
          <w:color w:val="000000" w:themeColor="text1"/>
          <w:lang w:eastAsia="hi-IN" w:bidi="hi-IN"/>
        </w:rPr>
        <w:t>they</w:t>
      </w:r>
      <w:r w:rsidR="00C1346A" w:rsidRPr="00C1346A">
        <w:rPr>
          <w:rFonts w:ascii="Times New Roman" w:eastAsia="SimSun" w:hAnsi="Times New Roman" w:cs="Calibri"/>
          <w:color w:val="000000" w:themeColor="text1"/>
          <w:lang w:eastAsia="hi-IN" w:bidi="hi-IN"/>
        </w:rPr>
        <w:t xml:space="preserve"> </w:t>
      </w:r>
      <w:r w:rsidR="00AC3346">
        <w:rPr>
          <w:rFonts w:ascii="Times New Roman" w:eastAsia="SimSun" w:hAnsi="Times New Roman" w:cs="Calibri"/>
          <w:color w:val="000000" w:themeColor="text1"/>
          <w:lang w:eastAsia="hi-IN" w:bidi="hi-IN"/>
        </w:rPr>
        <w:t>are</w:t>
      </w:r>
      <w:r w:rsidR="00C1346A" w:rsidRPr="00C1346A">
        <w:rPr>
          <w:rFonts w:ascii="Times New Roman" w:eastAsia="SimSun" w:hAnsi="Times New Roman" w:cs="Calibri"/>
          <w:color w:val="000000" w:themeColor="text1"/>
          <w:lang w:eastAsia="hi-IN" w:bidi="hi-IN"/>
        </w:rPr>
        <w:t xml:space="preserve"> applied will be of </w:t>
      </w:r>
      <w:r w:rsidR="00AC3346">
        <w:rPr>
          <w:rFonts w:ascii="Times New Roman" w:eastAsia="SimSun" w:hAnsi="Times New Roman" w:cs="Calibri"/>
          <w:color w:val="000000" w:themeColor="text1"/>
          <w:lang w:eastAsia="hi-IN" w:bidi="hi-IN"/>
        </w:rPr>
        <w:t>significant</w:t>
      </w:r>
      <w:r w:rsidR="00C1346A" w:rsidRPr="00C1346A">
        <w:rPr>
          <w:rFonts w:ascii="Times New Roman" w:eastAsia="SimSun" w:hAnsi="Times New Roman" w:cs="Calibri"/>
          <w:color w:val="000000" w:themeColor="text1"/>
          <w:lang w:eastAsia="hi-IN" w:bidi="hi-IN"/>
        </w:rPr>
        <w:t xml:space="preserve"> importance </w:t>
      </w:r>
      <w:r w:rsidR="00AC3346">
        <w:rPr>
          <w:rFonts w:ascii="Times New Roman" w:eastAsia="SimSun" w:hAnsi="Times New Roman" w:cs="Calibri"/>
          <w:color w:val="000000" w:themeColor="text1"/>
          <w:lang w:eastAsia="hi-IN" w:bidi="hi-IN"/>
        </w:rPr>
        <w:t>in the dete</w:t>
      </w:r>
      <w:r w:rsidR="009D51A6">
        <w:rPr>
          <w:rFonts w:ascii="Times New Roman" w:eastAsia="SimSun" w:hAnsi="Times New Roman" w:cs="Calibri"/>
          <w:color w:val="000000" w:themeColor="text1"/>
          <w:lang w:eastAsia="hi-IN" w:bidi="hi-IN"/>
        </w:rPr>
        <w:t>r</w:t>
      </w:r>
      <w:r w:rsidR="00AC3346">
        <w:rPr>
          <w:rFonts w:ascii="Times New Roman" w:eastAsia="SimSun" w:hAnsi="Times New Roman" w:cs="Calibri"/>
          <w:color w:val="000000" w:themeColor="text1"/>
          <w:lang w:eastAsia="hi-IN" w:bidi="hi-IN"/>
        </w:rPr>
        <w:t>mination of potential risk to unintended organisms</w:t>
      </w:r>
      <w:r w:rsidR="00AC3346" w:rsidRPr="00C1346A">
        <w:rPr>
          <w:rFonts w:ascii="Times New Roman" w:eastAsia="SimSun" w:hAnsi="Times New Roman" w:cs="Calibri"/>
          <w:color w:val="000000" w:themeColor="text1"/>
          <w:lang w:eastAsia="hi-IN" w:bidi="hi-IN"/>
        </w:rPr>
        <w:t xml:space="preserve"> </w:t>
      </w:r>
      <w:r w:rsidR="007F5B96">
        <w:rPr>
          <w:rFonts w:ascii="Times New Roman" w:eastAsia="SimSun" w:hAnsi="Times New Roman" w:cs="Calibri"/>
          <w:color w:val="000000" w:themeColor="text1"/>
          <w:lang w:eastAsia="hi-IN" w:bidi="hi-IN"/>
        </w:rPr>
        <w:t>(non-target organisms)</w:t>
      </w:r>
      <w:r w:rsidR="00FC21FC">
        <w:rPr>
          <w:rFonts w:ascii="Times New Roman" w:eastAsia="SimSun" w:hAnsi="Times New Roman" w:cs="Calibri"/>
          <w:color w:val="000000" w:themeColor="text1"/>
          <w:lang w:eastAsia="hi-IN" w:bidi="hi-IN"/>
        </w:rPr>
        <w:t>,</w:t>
      </w:r>
      <w:r w:rsidR="007F5B96">
        <w:rPr>
          <w:rFonts w:ascii="Times New Roman" w:eastAsia="SimSun" w:hAnsi="Times New Roman" w:cs="Calibri"/>
          <w:color w:val="000000" w:themeColor="text1"/>
          <w:lang w:eastAsia="hi-IN" w:bidi="hi-IN"/>
        </w:rPr>
        <w:t xml:space="preserve"> </w:t>
      </w:r>
      <w:r w:rsidR="00C1346A" w:rsidRPr="00C1346A">
        <w:rPr>
          <w:rFonts w:ascii="Times New Roman" w:eastAsia="SimSun" w:hAnsi="Times New Roman" w:cs="Calibri"/>
          <w:color w:val="000000" w:themeColor="text1"/>
          <w:lang w:eastAsia="hi-IN" w:bidi="hi-IN"/>
        </w:rPr>
        <w:t xml:space="preserve">as </w:t>
      </w:r>
      <w:r w:rsidR="007F5B96">
        <w:rPr>
          <w:rFonts w:ascii="Times New Roman" w:eastAsia="SimSun" w:hAnsi="Times New Roman" w:cs="Calibri"/>
          <w:color w:val="000000" w:themeColor="text1"/>
          <w:lang w:eastAsia="hi-IN" w:bidi="hi-IN"/>
        </w:rPr>
        <w:t>each will</w:t>
      </w:r>
      <w:r w:rsidR="00C1346A" w:rsidRPr="00C1346A">
        <w:rPr>
          <w:rFonts w:ascii="Times New Roman" w:eastAsia="SimSun" w:hAnsi="Times New Roman" w:cs="Calibri"/>
          <w:color w:val="000000" w:themeColor="text1"/>
          <w:lang w:eastAsia="hi-IN" w:bidi="hi-IN"/>
        </w:rPr>
        <w:t xml:space="preserve"> not only affect the level at which</w:t>
      </w:r>
      <w:r w:rsidR="007F5B96">
        <w:rPr>
          <w:rFonts w:ascii="Times New Roman" w:eastAsia="SimSun" w:hAnsi="Times New Roman" w:cs="Calibri"/>
          <w:color w:val="000000" w:themeColor="text1"/>
          <w:lang w:eastAsia="hi-IN" w:bidi="hi-IN"/>
        </w:rPr>
        <w:t xml:space="preserve"> </w:t>
      </w:r>
      <w:r w:rsidR="000A6F73">
        <w:rPr>
          <w:rFonts w:ascii="Times New Roman" w:eastAsia="SimSun" w:hAnsi="Times New Roman" w:cs="Calibri"/>
          <w:color w:val="000000" w:themeColor="text1"/>
          <w:lang w:eastAsia="hi-IN" w:bidi="hi-IN"/>
        </w:rPr>
        <w:t>non-target organisms</w:t>
      </w:r>
      <w:r w:rsidR="00C1346A" w:rsidRPr="00C1346A">
        <w:rPr>
          <w:rFonts w:ascii="Times New Roman" w:eastAsia="SimSun" w:hAnsi="Times New Roman" w:cs="Calibri"/>
          <w:color w:val="000000" w:themeColor="text1"/>
          <w:lang w:eastAsia="hi-IN" w:bidi="hi-IN"/>
        </w:rPr>
        <w:t xml:space="preserve"> will be exposed, i.e., the stability and distribution of the active compound in the environment and in </w:t>
      </w:r>
      <w:r w:rsidR="00C1346A" w:rsidDel="003E7340">
        <w:rPr>
          <w:rFonts w:ascii="Times New Roman" w:eastAsia="SimSun" w:hAnsi="Times New Roman" w:cs="Calibri"/>
          <w:color w:val="000000" w:themeColor="text1"/>
          <w:lang w:eastAsia="hi-IN" w:bidi="hi-IN"/>
        </w:rPr>
        <w:t xml:space="preserve">the </w:t>
      </w:r>
      <w:r w:rsidR="003E7340">
        <w:rPr>
          <w:rFonts w:ascii="Times New Roman" w:eastAsia="SimSun" w:hAnsi="Times New Roman" w:cs="Calibri"/>
          <w:color w:val="000000" w:themeColor="text1"/>
          <w:lang w:eastAsia="hi-IN" w:bidi="hi-IN"/>
        </w:rPr>
        <w:t>target organism</w:t>
      </w:r>
      <w:r w:rsidR="00C1346A" w:rsidRPr="00C1346A">
        <w:rPr>
          <w:rFonts w:ascii="Times New Roman" w:eastAsia="SimSun" w:hAnsi="Times New Roman" w:cs="Calibri"/>
          <w:color w:val="000000" w:themeColor="text1"/>
          <w:lang w:eastAsia="hi-IN" w:bidi="hi-IN"/>
        </w:rPr>
        <w:t>, but also the extent of the RNAi respons</w:t>
      </w:r>
      <w:r w:rsidR="007F5B96">
        <w:rPr>
          <w:rFonts w:ascii="Times New Roman" w:eastAsia="SimSun" w:hAnsi="Times New Roman" w:cs="Calibri"/>
          <w:color w:val="000000" w:themeColor="text1"/>
          <w:lang w:eastAsia="hi-IN" w:bidi="hi-IN"/>
        </w:rPr>
        <w:t xml:space="preserve">e </w:t>
      </w:r>
      <w:r w:rsidR="007F5B96">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{"citationItems":[{"id":"ITEM-1","itemData":{"DOI":"10.3389/fpls.2020.00679","ISSN":"1664462X","abstract":"RNA interference (RNAi) is a powerful technology that offers new opportunities for pest control through silencing of genes that are essential for the survival of arthropod pests. The approach relies on sequence-specificity of applied double-stranded (ds) RNA that can be designed to have a very narrow spectrum of both the target gene product (RNA) as well as the target organism, and thus allowing highly targeted pest control. Successful RNAi has been reported from a number of arthropod species belonging to various orders. Pest control may be achieved by applying dsRNA as foliar sprays. One of the main concerns related to the use of dsRNA is adverse environmental effects particularly on valued non-target species. Arthropods form an important part of the biodiversity in agricultural landscapes and contribute important ecosystem services. Consequently, environmental risk assessment (ERA) for potential impacts that plant protection products may have on valued non-target arthropods is legally required prior to their placement on the market. We describe how problem formulation can be used to set the context and to develop plausible pathways on how the application of dsRNA-based products could harm valued non-target arthropod species, such as those contributing to biological pest control. The current knowledge regarding the exposure to and the hazard posed by dsRNA in spray products for non-target arthropods is reviewed and suggestions are provided on how to select the most suitable test species and to conduct laboratory-based toxicity studies that provide robust, reliable and interpretable results to support the ERA.","author":[{"dropping-particle":"","family":"Romeis","given":"Jörg","non-dropping-particle":"","parse-names":false,"suffix":""},{"dropping-particle":"","family":"Widmer","given":"Franco","non-dropping-particle":"","parse-names":false,"suffix":""}],"container-title":"Frontiers in Plant Science","id":"ITEM-1","issued":{"date-parts":[["2020","6"]]},"page":"679","publisher":"Frontiers Media S.A.","title":"Assessing the Risks of Topically Applied dsRNA-Based Products to Non-target Arthropods","type":"article-journal","volume":"11"},"uris":["http://www.mendeley.com/documents/?uuid=1dee5f6e-499e-43b3-8c02-c2089e7a8fe1"]}],"mendeley":{"formattedCitation":"(Romeis &amp; Widmer, 2020)","plainTextFormattedCitation":"(Romeis &amp; Widmer, 2020)","previouslyFormattedCitation":"(Romeis &amp; Widmer, 2020)"},"properties":{"noteIndex":0},"schema":"https://github.com/citation-style-language/schema/raw/master/csl-citation.json"}</w:instrText>
      </w:r>
      <w:r w:rsidR="007F5B96">
        <w:rPr>
          <w:rFonts w:ascii="Times New Roman" w:eastAsia="SimSun" w:hAnsi="Times New Roman" w:cs="Calibri"/>
          <w:color w:val="000000" w:themeColor="text1"/>
          <w:lang w:eastAsia="hi-IN" w:bidi="hi-IN"/>
        </w:rPr>
        <w:fldChar w:fldCharType="separate"/>
      </w:r>
      <w:r w:rsidR="007F5B96" w:rsidRPr="007F5B96">
        <w:rPr>
          <w:rFonts w:ascii="Times New Roman" w:eastAsia="SimSun" w:hAnsi="Times New Roman" w:cs="Calibri"/>
          <w:noProof/>
          <w:color w:val="000000" w:themeColor="text1"/>
          <w:lang w:eastAsia="hi-IN" w:bidi="hi-IN"/>
        </w:rPr>
        <w:t>(Romeis &amp; Widmer, 2020)</w:t>
      </w:r>
      <w:r w:rsidR="007F5B96">
        <w:rPr>
          <w:rFonts w:ascii="Times New Roman" w:eastAsia="SimSun" w:hAnsi="Times New Roman" w:cs="Calibri"/>
          <w:color w:val="000000" w:themeColor="text1"/>
          <w:lang w:eastAsia="hi-IN" w:bidi="hi-IN"/>
        </w:rPr>
        <w:fldChar w:fldCharType="end"/>
      </w:r>
      <w:r w:rsidR="007F5B96">
        <w:rPr>
          <w:rFonts w:ascii="Times New Roman" w:eastAsia="SimSun" w:hAnsi="Times New Roman" w:cs="Calibri"/>
          <w:color w:val="000000" w:themeColor="text1"/>
          <w:lang w:eastAsia="hi-IN" w:bidi="hi-IN"/>
        </w:rPr>
        <w:t xml:space="preserve">. </w:t>
      </w:r>
      <w:r w:rsidR="00FC21FC">
        <w:rPr>
          <w:rFonts w:ascii="Times New Roman" w:eastAsia="SimSun" w:hAnsi="Times New Roman" w:cs="Calibri"/>
          <w:color w:val="000000" w:themeColor="text1"/>
          <w:lang w:eastAsia="hi-IN" w:bidi="hi-IN"/>
        </w:rPr>
        <w:t>Further, r</w:t>
      </w:r>
      <w:r w:rsidR="002B01FD" w:rsidRPr="002B01FD">
        <w:rPr>
          <w:rFonts w:ascii="Times New Roman" w:eastAsia="SimSun" w:hAnsi="Times New Roman" w:cs="Calibri"/>
          <w:color w:val="000000" w:themeColor="text1"/>
          <w:lang w:eastAsia="hi-IN" w:bidi="hi-IN"/>
        </w:rPr>
        <w:t xml:space="preserve">egulators </w:t>
      </w:r>
      <w:r w:rsidR="00FC21FC">
        <w:rPr>
          <w:rFonts w:ascii="Times New Roman" w:eastAsia="SimSun" w:hAnsi="Times New Roman" w:cs="Calibri"/>
          <w:color w:val="000000" w:themeColor="text1"/>
          <w:lang w:eastAsia="hi-IN" w:bidi="hi-IN"/>
        </w:rPr>
        <w:t>in</w:t>
      </w:r>
      <w:r w:rsidR="002B01FD" w:rsidRPr="002B01FD">
        <w:rPr>
          <w:rFonts w:ascii="Times New Roman" w:eastAsia="SimSun" w:hAnsi="Times New Roman" w:cs="Calibri"/>
          <w:color w:val="000000" w:themeColor="text1"/>
          <w:lang w:eastAsia="hi-IN" w:bidi="hi-IN"/>
        </w:rPr>
        <w:t xml:space="preserve"> the </w:t>
      </w:r>
      <w:r w:rsidR="002B01FD">
        <w:rPr>
          <w:rFonts w:ascii="Times New Roman" w:eastAsia="SimSun" w:hAnsi="Times New Roman" w:cs="Calibri"/>
          <w:color w:val="000000" w:themeColor="text1"/>
          <w:lang w:eastAsia="hi-IN" w:bidi="hi-IN"/>
        </w:rPr>
        <w:t>USA</w:t>
      </w:r>
      <w:r w:rsidR="002B01FD" w:rsidRPr="002B01FD">
        <w:rPr>
          <w:rFonts w:ascii="Times New Roman" w:eastAsia="SimSun" w:hAnsi="Times New Roman" w:cs="Calibri"/>
          <w:color w:val="000000" w:themeColor="text1"/>
          <w:lang w:eastAsia="hi-IN" w:bidi="hi-IN"/>
        </w:rPr>
        <w:t xml:space="preserve"> and the EU </w:t>
      </w:r>
      <w:r w:rsidR="002B01FD">
        <w:rPr>
          <w:rFonts w:ascii="Times New Roman" w:eastAsia="SimSun" w:hAnsi="Times New Roman" w:cs="Calibri"/>
          <w:color w:val="000000" w:themeColor="text1"/>
          <w:lang w:eastAsia="hi-IN" w:bidi="hi-IN"/>
        </w:rPr>
        <w:t xml:space="preserve">have </w:t>
      </w:r>
      <w:r w:rsidR="002B01FD" w:rsidRPr="002B01FD">
        <w:rPr>
          <w:rFonts w:ascii="Times New Roman" w:eastAsia="SimSun" w:hAnsi="Times New Roman" w:cs="Calibri"/>
          <w:color w:val="000000" w:themeColor="text1"/>
          <w:lang w:eastAsia="hi-IN" w:bidi="hi-IN"/>
        </w:rPr>
        <w:t>both expressed concern about exposure routes and how testing requirements may change with different formulations</w:t>
      </w:r>
      <w:r w:rsidR="00A70BD1">
        <w:rPr>
          <w:rFonts w:ascii="Times New Roman" w:eastAsia="SimSun" w:hAnsi="Times New Roman" w:cs="Calibri"/>
          <w:color w:val="000000" w:themeColor="text1"/>
          <w:lang w:eastAsia="hi-IN" w:bidi="hi-IN"/>
        </w:rPr>
        <w:t xml:space="preserve">. Thus, </w:t>
      </w:r>
      <w:r w:rsidR="00E37091">
        <w:rPr>
          <w:rFonts w:ascii="Times New Roman" w:eastAsia="SimSun" w:hAnsi="Times New Roman" w:cs="Calibri"/>
          <w:color w:val="000000" w:themeColor="text1"/>
          <w:lang w:eastAsia="hi-IN" w:bidi="hi-IN"/>
        </w:rPr>
        <w:t xml:space="preserve">it was </w:t>
      </w:r>
      <w:r w:rsidR="00224132">
        <w:rPr>
          <w:rFonts w:ascii="Times New Roman" w:eastAsia="SimSun" w:hAnsi="Times New Roman" w:cs="Calibri"/>
          <w:color w:val="000000" w:themeColor="text1"/>
          <w:lang w:eastAsia="hi-IN" w:bidi="hi-IN"/>
        </w:rPr>
        <w:t>proposed</w:t>
      </w:r>
      <w:r w:rsidR="00224132" w:rsidDel="006C20D0">
        <w:rPr>
          <w:rFonts w:ascii="Times New Roman" w:eastAsia="SimSun" w:hAnsi="Times New Roman" w:cs="Calibri"/>
          <w:color w:val="000000" w:themeColor="text1"/>
          <w:lang w:eastAsia="hi-IN" w:bidi="hi-IN"/>
        </w:rPr>
        <w:t xml:space="preserve"> </w:t>
      </w:r>
      <w:r w:rsidR="00224132">
        <w:rPr>
          <w:rFonts w:ascii="Times New Roman" w:eastAsia="SimSun" w:hAnsi="Times New Roman" w:cs="Calibri"/>
          <w:color w:val="000000" w:themeColor="text1"/>
          <w:lang w:eastAsia="hi-IN" w:bidi="hi-IN"/>
        </w:rPr>
        <w:t xml:space="preserve">that it may be necessary to </w:t>
      </w:r>
      <w:r w:rsidR="00224132" w:rsidRPr="00224132">
        <w:rPr>
          <w:rFonts w:ascii="Times New Roman" w:eastAsia="SimSun" w:hAnsi="Times New Roman" w:cs="Calibri"/>
          <w:color w:val="000000" w:themeColor="text1"/>
          <w:lang w:eastAsia="hi-IN" w:bidi="hi-IN"/>
        </w:rPr>
        <w:t>test</w:t>
      </w:r>
      <w:r w:rsidR="00224132">
        <w:rPr>
          <w:rFonts w:ascii="Times New Roman" w:eastAsia="SimSun" w:hAnsi="Times New Roman" w:cs="Calibri"/>
          <w:color w:val="000000" w:themeColor="text1"/>
          <w:lang w:eastAsia="hi-IN" w:bidi="hi-IN"/>
        </w:rPr>
        <w:t xml:space="preserve"> target</w:t>
      </w:r>
      <w:r w:rsidR="00224132" w:rsidRPr="00224132">
        <w:rPr>
          <w:rFonts w:ascii="Times New Roman" w:eastAsia="SimSun" w:hAnsi="Times New Roman" w:cs="Calibri"/>
          <w:color w:val="000000" w:themeColor="text1"/>
          <w:lang w:eastAsia="hi-IN" w:bidi="hi-IN"/>
        </w:rPr>
        <w:t xml:space="preserve"> organisms at various life stages due to differential sensitivities to RNAi</w:t>
      </w:r>
      <w:r w:rsidR="00224132">
        <w:rPr>
          <w:rFonts w:ascii="Times New Roman" w:eastAsia="SimSun" w:hAnsi="Times New Roman" w:cs="Calibri"/>
          <w:color w:val="000000" w:themeColor="text1"/>
          <w:lang w:eastAsia="hi-IN" w:bidi="hi-IN"/>
        </w:rPr>
        <w:t xml:space="preserve">, </w:t>
      </w:r>
      <w:r w:rsidR="00C57F21">
        <w:rPr>
          <w:rFonts w:ascii="Times New Roman" w:eastAsia="SimSun" w:hAnsi="Times New Roman" w:cs="Calibri"/>
          <w:color w:val="000000" w:themeColor="text1"/>
          <w:lang w:eastAsia="hi-IN" w:bidi="hi-IN"/>
        </w:rPr>
        <w:t xml:space="preserve">and </w:t>
      </w:r>
      <w:r w:rsidR="00224132">
        <w:rPr>
          <w:rFonts w:ascii="Times New Roman" w:eastAsia="SimSun" w:hAnsi="Times New Roman" w:cs="Calibri"/>
          <w:color w:val="000000" w:themeColor="text1"/>
          <w:lang w:eastAsia="hi-IN" w:bidi="hi-IN"/>
        </w:rPr>
        <w:t>p</w:t>
      </w:r>
      <w:r w:rsidR="00224132" w:rsidRPr="00224132">
        <w:rPr>
          <w:rFonts w:ascii="Times New Roman" w:eastAsia="SimSun" w:hAnsi="Times New Roman" w:cs="Calibri"/>
          <w:color w:val="000000" w:themeColor="text1"/>
          <w:lang w:eastAsia="hi-IN" w:bidi="hi-IN"/>
        </w:rPr>
        <w:t xml:space="preserve">rotocols for addressing hazards </w:t>
      </w:r>
      <w:r w:rsidR="00C57F21">
        <w:rPr>
          <w:rFonts w:ascii="Times New Roman" w:eastAsia="SimSun" w:hAnsi="Times New Roman" w:cs="Calibri"/>
          <w:color w:val="000000" w:themeColor="text1"/>
          <w:lang w:eastAsia="hi-IN" w:bidi="hi-IN"/>
        </w:rPr>
        <w:t>of</w:t>
      </w:r>
      <w:r w:rsidR="00224132" w:rsidRPr="00224132">
        <w:rPr>
          <w:rFonts w:ascii="Times New Roman" w:eastAsia="SimSun" w:hAnsi="Times New Roman" w:cs="Calibri"/>
          <w:color w:val="000000" w:themeColor="text1"/>
          <w:lang w:eastAsia="hi-IN" w:bidi="hi-IN"/>
        </w:rPr>
        <w:t xml:space="preserve"> dsRNA-based products </w:t>
      </w:r>
      <w:r w:rsidR="00224132">
        <w:rPr>
          <w:rFonts w:ascii="Times New Roman" w:eastAsia="SimSun" w:hAnsi="Times New Roman" w:cs="Calibri"/>
          <w:color w:val="000000" w:themeColor="text1"/>
          <w:lang w:eastAsia="hi-IN" w:bidi="hi-IN"/>
        </w:rPr>
        <w:t xml:space="preserve">will </w:t>
      </w:r>
      <w:r w:rsidR="00224132" w:rsidRPr="00224132">
        <w:rPr>
          <w:rFonts w:ascii="Times New Roman" w:eastAsia="SimSun" w:hAnsi="Times New Roman" w:cs="Calibri"/>
          <w:color w:val="000000" w:themeColor="text1"/>
          <w:lang w:eastAsia="hi-IN" w:bidi="hi-IN"/>
        </w:rPr>
        <w:t>require revision compared to those for conventional pesticides because</w:t>
      </w:r>
      <w:r w:rsidR="00224132">
        <w:rPr>
          <w:rFonts w:ascii="Times New Roman" w:eastAsia="SimSun" w:hAnsi="Times New Roman" w:cs="Calibri"/>
          <w:color w:val="000000" w:themeColor="text1"/>
          <w:lang w:eastAsia="hi-IN" w:bidi="hi-IN"/>
        </w:rPr>
        <w:t xml:space="preserve"> of the longer </w:t>
      </w:r>
      <w:r w:rsidR="00764F26">
        <w:rPr>
          <w:rFonts w:ascii="Times New Roman" w:eastAsia="SimSun" w:hAnsi="Times New Roman" w:cs="Calibri"/>
          <w:color w:val="000000" w:themeColor="text1"/>
          <w:lang w:eastAsia="hi-IN" w:bidi="hi-IN"/>
        </w:rPr>
        <w:t>time period necessary for</w:t>
      </w:r>
      <w:r w:rsidR="00224132" w:rsidRPr="00224132">
        <w:rPr>
          <w:rFonts w:ascii="Times New Roman" w:eastAsia="SimSun" w:hAnsi="Times New Roman" w:cs="Calibri"/>
          <w:color w:val="000000" w:themeColor="text1"/>
          <w:lang w:eastAsia="hi-IN" w:bidi="hi-IN"/>
        </w:rPr>
        <w:t xml:space="preserve"> dsRNA-based products to display efficacy</w:t>
      </w:r>
      <w:r w:rsidR="00764F26">
        <w:rPr>
          <w:rFonts w:ascii="Times New Roman" w:eastAsia="SimSun" w:hAnsi="Times New Roman" w:cs="Calibri"/>
          <w:color w:val="000000" w:themeColor="text1"/>
          <w:lang w:eastAsia="hi-IN" w:bidi="hi-IN"/>
        </w:rPr>
        <w:t xml:space="preserve"> </w:t>
      </w:r>
      <w:r w:rsidR="00764F26">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{"citationItems":[{"id":"ITEM-1","itemData":{"DOI":"10.3389/fpls.2020.00740","ISSN":"1664-462X","abstract":"RNA interference (RNAi) is a biological process in which double-stranded ribonucleic acid (dsRNA) molecules inhibit protein expression. In recent years, the application of dsRNA has been used in the development of agricultural products for pest control. The 2019 Organisation for Economic Cooperation and Development (OECD) Conference on RNAi Based Pesticides (“the Conference”) brought together academic, industry, and government experts in various aspects of RNAi to discuss the current state of knowledge and topics to help in developing considerations for risk assessment. The Conference focused on environment, with some discussion of human health. Along with presentations on the use of dsRNA-based products in agriculture, government regulation, risk assessment, and a background on the Draft OECD Working Paper on “Considerations for the Environmental Risk Assessment of the Application of Sprayed or Externally Applied dsRNA-Based Pesticides” (“OECD Working Paper”), the Conference included panel discussions from presenters at the end of each session and a larger discussion session with Conference participants on the environmental fate of dsRNA, non-target organism (NTO) risk assessment, and human health risk assessment. This paper summarizes input from presenters and Conference participants during these discussions. Key considerations from these discussions have already been incorporated into the OECD Working Paper, that once finalized and published, will facilitate regulators in evaluating externally applied dsRNA-based products for potential environmental risks.","author":[{"dropping-particle":"","family":"Mendelsohn","given":"Michael L.","non-dropping-particle":"","parse-names":false,"suffix":""},{"dropping-particle":"","family":"Gathmann","given":"Achim","non-dropping-particle":"","parse-names":false,"suffix":""},{"dropping-particle":"","family":"Kardassi","given":"Dimitra","non-dropping-particle":"","parse-names":false,"suffix":""},{"dropping-particle":"","family":"Sachana","given":"Magdalini","non-dropping-particle":"","parse-names":false,"suffix":""},{"dropping-particle":"","family":"Hopwood","given":"Emily M.","non-dropping-particle":"","parse-names":false,"suffix":""},{"dropping-particle":"","family":"Dietz-Pfeilstetter","given":"Antje","non-dropping-particle":"","parse-names":false,"suffix":""},{"dropping-particle":"","family":"Michelsen-Correa","given":"Stephani","non-dropping-particle":"","parse-names":false,"suffix":""},{"dropping-particle":"","family":"Fletcher","given":"Stephen J.","non-dropping-particle":"","parse-names":false,"suffix":""},{"dropping-particle":"","family":"Székács","given":"András","non-dropping-particle":"","parse-names":false,"suffix":""}],"container-title":"Frontiers in Plant Science","id":"ITEM-1","issued":{"date-parts":[["2020","5"]]},"page":"740","publisher":"Frontiers Media S.A.","title":"Summary of Discussions From the 2019 OECD Conference on RNAi Based Pesticides","type":"article-journal","volume":"11"},"uris":["http://www.mendeley.com/documents/?uuid=ab6a36eb-44b1-44b4-b8db-e0b83af97aa5"]}],"mendeley":{"formattedCitation":"(Mendelsohn et al., 2020)","plainTextFormattedCitation":"(Mendelsohn et al., 2020)","previouslyFormattedCitation":"(Mendelsohn et al., 2020)"},"properties":{"noteIndex":0},"schema":"https://github.com/citation-style-language/schema/raw/master/csl-citation.json"}</w:instrText>
      </w:r>
      <w:r w:rsidR="00764F26">
        <w:rPr>
          <w:rFonts w:ascii="Times New Roman" w:eastAsia="SimSun" w:hAnsi="Times New Roman" w:cs="Calibri"/>
          <w:color w:val="000000" w:themeColor="text1"/>
          <w:lang w:eastAsia="hi-IN" w:bidi="hi-IN"/>
        </w:rPr>
        <w:fldChar w:fldCharType="separate"/>
      </w:r>
      <w:r w:rsidR="00764F26" w:rsidRPr="00764F26">
        <w:rPr>
          <w:rFonts w:ascii="Times New Roman" w:eastAsia="SimSun" w:hAnsi="Times New Roman" w:cs="Calibri"/>
          <w:noProof/>
          <w:color w:val="000000" w:themeColor="text1"/>
          <w:lang w:eastAsia="hi-IN" w:bidi="hi-IN"/>
        </w:rPr>
        <w:t>(Mendelsohn et al., 2020)</w:t>
      </w:r>
      <w:r w:rsidR="00764F26">
        <w:rPr>
          <w:rFonts w:ascii="Times New Roman" w:eastAsia="SimSun" w:hAnsi="Times New Roman" w:cs="Calibri"/>
          <w:color w:val="000000" w:themeColor="text1"/>
          <w:lang w:eastAsia="hi-IN" w:bidi="hi-IN"/>
        </w:rPr>
        <w:fldChar w:fldCharType="end"/>
      </w:r>
      <w:r w:rsidR="00764F26">
        <w:rPr>
          <w:rFonts w:ascii="Times New Roman" w:eastAsia="SimSun" w:hAnsi="Times New Roman" w:cs="Calibri"/>
          <w:color w:val="000000" w:themeColor="text1"/>
          <w:lang w:eastAsia="hi-IN" w:bidi="hi-IN"/>
        </w:rPr>
        <w:t>.</w:t>
      </w:r>
    </w:p>
    <w:p w14:paraId="0EC0FA66" w14:textId="25A86AD6" w:rsidR="00941648" w:rsidRDefault="00941648" w:rsidP="00AF2E2C">
      <w:pPr>
        <w:spacing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While new research and </w:t>
      </w:r>
      <w:r w:rsidR="009744B7">
        <w:rPr>
          <w:rFonts w:ascii="Times New Roman" w:eastAsia="SimSun" w:hAnsi="Times New Roman" w:cs="Calibri"/>
          <w:color w:val="000000" w:themeColor="text1"/>
          <w:lang w:eastAsia="hi-IN" w:bidi="hi-IN"/>
        </w:rPr>
        <w:t xml:space="preserve">bioinformatic analyses </w:t>
      </w:r>
      <w:r>
        <w:rPr>
          <w:rFonts w:ascii="Times New Roman" w:eastAsia="SimSun" w:hAnsi="Times New Roman" w:cs="Calibri"/>
          <w:color w:val="000000" w:themeColor="text1"/>
          <w:lang w:eastAsia="hi-IN" w:bidi="hi-IN"/>
        </w:rPr>
        <w:t>investigate the potential environmental impacts for RNAi technolog</w:t>
      </w:r>
      <w:r w:rsidR="009C6BD6">
        <w:rPr>
          <w:rFonts w:ascii="Times New Roman" w:eastAsia="SimSun" w:hAnsi="Times New Roman" w:cs="Calibri"/>
          <w:color w:val="000000" w:themeColor="text1"/>
          <w:lang w:eastAsia="hi-IN" w:bidi="hi-IN"/>
        </w:rPr>
        <w:t>ies</w:t>
      </w:r>
      <w:r>
        <w:rPr>
          <w:rFonts w:ascii="Times New Roman" w:eastAsia="SimSun" w:hAnsi="Times New Roman" w:cs="Calibri"/>
          <w:color w:val="000000" w:themeColor="text1"/>
          <w:lang w:eastAsia="hi-IN" w:bidi="hi-IN"/>
        </w:rPr>
        <w:t>, several considerations are yet to be addressed</w:t>
      </w:r>
      <w:r w:rsidR="006B3E49">
        <w:rPr>
          <w:rFonts w:ascii="Times New Roman" w:eastAsia="SimSun" w:hAnsi="Times New Roman" w:cs="Calibri"/>
          <w:color w:val="000000" w:themeColor="text1"/>
          <w:lang w:eastAsia="hi-IN" w:bidi="hi-IN"/>
        </w:rPr>
        <w:t xml:space="preserve"> </w:t>
      </w:r>
      <w:r w:rsidR="000E72A9">
        <w:rPr>
          <w:rFonts w:ascii="Times New Roman" w:eastAsia="SimSun" w:hAnsi="Times New Roman" w:cs="Calibri"/>
          <w:color w:val="000000" w:themeColor="text1"/>
          <w:lang w:eastAsia="hi-IN" w:bidi="hi-IN"/>
        </w:rPr>
        <w:t xml:space="preserve">that </w:t>
      </w:r>
      <w:r>
        <w:rPr>
          <w:rFonts w:ascii="Times New Roman" w:eastAsia="SimSun" w:hAnsi="Times New Roman" w:cs="Calibri"/>
          <w:color w:val="000000" w:themeColor="text1"/>
          <w:lang w:eastAsia="hi-IN" w:bidi="hi-IN"/>
        </w:rPr>
        <w:t>may impact the evaluation of risk for these applications</w:t>
      </w:r>
      <w:r w:rsidR="006B3E49">
        <w:rPr>
          <w:rFonts w:ascii="Times New Roman" w:eastAsia="SimSun" w:hAnsi="Times New Roman" w:cs="Calibri"/>
          <w:color w:val="000000" w:themeColor="text1"/>
          <w:lang w:eastAsia="hi-IN" w:bidi="hi-IN"/>
        </w:rPr>
        <w:t xml:space="preserve"> if deemed to be significant</w:t>
      </w:r>
      <w:r>
        <w:rPr>
          <w:rFonts w:ascii="Times New Roman" w:eastAsia="SimSun" w:hAnsi="Times New Roman" w:cs="Calibri"/>
          <w:color w:val="000000" w:themeColor="text1"/>
          <w:lang w:eastAsia="hi-IN" w:bidi="hi-IN"/>
        </w:rPr>
        <w:t>. These include:</w:t>
      </w:r>
    </w:p>
    <w:p w14:paraId="23152E31" w14:textId="680D7582" w:rsidR="00941648" w:rsidRDefault="00DA4EB9" w:rsidP="00AF2E2C">
      <w:pPr>
        <w:pStyle w:val="ListParagraph"/>
        <w:numPr>
          <w:ilvl w:val="0"/>
          <w:numId w:val="191"/>
        </w:numPr>
        <w:spacing w:line="240" w:lineRule="auto"/>
        <w:ind w:left="284" w:hanging="284"/>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t</w:t>
      </w:r>
      <w:r w:rsidR="007B094E">
        <w:rPr>
          <w:rFonts w:ascii="Times New Roman" w:eastAsia="SimSun" w:hAnsi="Times New Roman" w:cs="Calibri"/>
          <w:color w:val="000000" w:themeColor="text1"/>
          <w:lang w:eastAsia="hi-IN" w:bidi="hi-IN"/>
        </w:rPr>
        <w:t>he availability of genomic and transcriptomic sequence data</w:t>
      </w:r>
      <w:r w:rsidR="0088266E">
        <w:rPr>
          <w:rFonts w:ascii="Times New Roman" w:eastAsia="SimSun" w:hAnsi="Times New Roman" w:cs="Calibri"/>
          <w:color w:val="000000" w:themeColor="text1"/>
          <w:lang w:eastAsia="hi-IN" w:bidi="hi-IN"/>
        </w:rPr>
        <w:t>sets</w:t>
      </w:r>
      <w:r w:rsidR="007B094E">
        <w:rPr>
          <w:rFonts w:ascii="Times New Roman" w:eastAsia="SimSun" w:hAnsi="Times New Roman" w:cs="Calibri"/>
          <w:color w:val="000000" w:themeColor="text1"/>
          <w:lang w:eastAsia="hi-IN" w:bidi="hi-IN"/>
        </w:rPr>
        <w:t xml:space="preserve"> for organisms. Off-target effects may not </w:t>
      </w:r>
      <w:r w:rsidR="000C1455">
        <w:rPr>
          <w:rFonts w:ascii="Times New Roman" w:eastAsia="SimSun" w:hAnsi="Times New Roman" w:cs="Calibri"/>
          <w:color w:val="000000" w:themeColor="text1"/>
          <w:lang w:eastAsia="hi-IN" w:bidi="hi-IN"/>
        </w:rPr>
        <w:t xml:space="preserve">be </w:t>
      </w:r>
      <w:r w:rsidR="00AB54A3">
        <w:rPr>
          <w:rFonts w:ascii="Times New Roman" w:eastAsia="SimSun" w:hAnsi="Times New Roman" w:cs="Calibri"/>
          <w:color w:val="000000" w:themeColor="text1"/>
          <w:lang w:eastAsia="hi-IN" w:bidi="hi-IN"/>
        </w:rPr>
        <w:t>predicted</w:t>
      </w:r>
      <w:r w:rsidR="007B094E">
        <w:rPr>
          <w:rFonts w:ascii="Times New Roman" w:eastAsia="SimSun" w:hAnsi="Times New Roman" w:cs="Calibri"/>
          <w:color w:val="000000" w:themeColor="text1"/>
          <w:lang w:eastAsia="hi-IN" w:bidi="hi-IN"/>
        </w:rPr>
        <w:t xml:space="preserve"> </w:t>
      </w:r>
      <w:r w:rsidR="004B1C09">
        <w:rPr>
          <w:rFonts w:ascii="Times New Roman" w:eastAsia="SimSun" w:hAnsi="Times New Roman" w:cs="Calibri"/>
          <w:color w:val="000000" w:themeColor="text1"/>
          <w:lang w:eastAsia="hi-IN" w:bidi="hi-IN"/>
        </w:rPr>
        <w:t xml:space="preserve">if </w:t>
      </w:r>
      <w:r w:rsidR="00C669B5">
        <w:rPr>
          <w:rFonts w:ascii="Times New Roman" w:eastAsia="SimSun" w:hAnsi="Times New Roman" w:cs="Calibri"/>
          <w:color w:val="000000" w:themeColor="text1"/>
          <w:lang w:eastAsia="hi-IN" w:bidi="hi-IN"/>
        </w:rPr>
        <w:t xml:space="preserve">sequence </w:t>
      </w:r>
      <w:r w:rsidR="004B1C09">
        <w:rPr>
          <w:rFonts w:ascii="Times New Roman" w:eastAsia="SimSun" w:hAnsi="Times New Roman" w:cs="Calibri"/>
          <w:color w:val="000000" w:themeColor="text1"/>
          <w:lang w:eastAsia="hi-IN" w:bidi="hi-IN"/>
        </w:rPr>
        <w:t>data is not available</w:t>
      </w:r>
      <w:r w:rsidR="004E0EDB">
        <w:rPr>
          <w:rFonts w:ascii="Times New Roman" w:eastAsia="SimSun" w:hAnsi="Times New Roman" w:cs="Calibri"/>
          <w:color w:val="000000" w:themeColor="text1"/>
          <w:lang w:eastAsia="hi-IN" w:bidi="hi-IN"/>
        </w:rPr>
        <w:t xml:space="preserve"> </w:t>
      </w:r>
      <w:r w:rsidR="005B0536">
        <w:rPr>
          <w:rFonts w:ascii="Times New Roman" w:eastAsia="SimSun" w:hAnsi="Times New Roman" w:cs="Calibri"/>
          <w:color w:val="000000" w:themeColor="text1"/>
          <w:lang w:eastAsia="hi-IN" w:bidi="hi-IN"/>
        </w:rPr>
        <w:fldChar w:fldCharType="begin" w:fldLock="1"/>
      </w:r>
      <w:r w:rsidR="00E821C6">
        <w:rPr>
          <w:rFonts w:ascii="Times New Roman" w:eastAsia="SimSun" w:hAnsi="Times New Roman" w:cs="Calibri"/>
          <w:color w:val="000000" w:themeColor="text1"/>
          <w:lang w:eastAsia="hi-IN" w:bidi="hi-IN"/>
        </w:rPr>
        <w:instrText>ADDIN CSL_CITATION {"citationItems":[{"id":"ITEM-1","itemData":{"DOI":"10.3389/fpls.2020.00051","ISSN":"1664-462X","abstract":"Sustainable agriculture relies on practices and technologies that combine effectiveness with a minimal environmental footprint. RNA interference (RNAi), a eukaryotic process in which transcript expression is reduced in a sequence-specific manner, can be co-opted for the control of plant pests and pathogens in a topical application system. Double stranded RNA, the key trigger molecule of RNAi, has been shown to provide protection without the need for integration of dsRNA-expressing constructs as transgenes. Consequently, development of RNA-based biopesticides is gaining momentum as a narrow-spectrum alternative to chemical-based control measures, with pests and pathogens targeted with accuracy and specificity. Limitations for a commercially viable product to overcome include stable delivery of the topically applied dsRNA and extension of the time period of protection. In addition to the research focus on delivery of dsRNA, development of regulatory frameworks, risk identification and establishing avoidance and mitigation strategies is key to widespread deployment of topical RNAi technologies. Once in place, these measures will provide the crop protection industry with the certainty necessary to expend resources on the development of innovative dsRNA based products. Readily evident risks to human health appear minimal, with multiple barriers to uptake and a long history of consumption of dsRNA from plant material. Unintended impacts to the environment are expected to be most apparent in species closely related to the target. Holistic design practices, which incorporate bioinformatics-based dsRNA selection along with experimental testing, represent important techniques for elimination of adverse impacts.","author":[{"dropping-particle":"","family":"Fletcher","given":"Stephen J","non-dropping-particle":"","parse-names":false,"suffix":""},{"dropping-particle":"","family":"Reeves","given":"Philip T","non-dropping-particle":"","parse-names":false,"suffix":""},{"dropping-particle":"","family":"Hoang","given":"Bao Tram","non-dropping-particle":"","parse-names":false,"suffix":""},{"dropping-particle":"","family":"Mitter","given":"Neena","non-dropping-particle":"","parse-names":false,"suffix":""}],"container-title":"Frontiers in Plant Science","id":"ITEM-1","issued":{"date-parts":[["2020","2"]]},"page":"51","publisher":"Frontiers Media SA","title":"A Perspective on RNAi-Based Biopesticides","type":"article-journal","volume":"11"},"uris":["http://www.mendeley.com/documents/?uuid=fffc4f16-a7cf-4f3a-9689-27b16467c353"]}],"mendeley":{"formattedCitation":"(Fletcher et al., 2020)","plainTextFormattedCitation":"(Fletcher et al., 2020)","previouslyFormattedCitation":"(Fletcher et al., 2020)"},"properties":{"noteIndex":0},"schema":"https://github.com/citation-style-language/schema/raw/master/csl-citation.json"}</w:instrText>
      </w:r>
      <w:r w:rsidR="005B0536">
        <w:rPr>
          <w:rFonts w:ascii="Times New Roman" w:eastAsia="SimSun" w:hAnsi="Times New Roman" w:cs="Calibri"/>
          <w:color w:val="000000" w:themeColor="text1"/>
          <w:lang w:eastAsia="hi-IN" w:bidi="hi-IN"/>
        </w:rPr>
        <w:fldChar w:fldCharType="separate"/>
      </w:r>
      <w:r w:rsidR="005B0536" w:rsidRPr="005B0536">
        <w:rPr>
          <w:rFonts w:ascii="Times New Roman" w:eastAsia="SimSun" w:hAnsi="Times New Roman" w:cs="Calibri"/>
          <w:noProof/>
          <w:color w:val="000000" w:themeColor="text1"/>
          <w:lang w:eastAsia="hi-IN" w:bidi="hi-IN"/>
        </w:rPr>
        <w:t>(Fletcher et al., 2020)</w:t>
      </w:r>
      <w:r w:rsidR="005B0536">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w:t>
      </w:r>
    </w:p>
    <w:p w14:paraId="30E40A16" w14:textId="289243C7" w:rsidR="004B1C09" w:rsidRDefault="00DA4EB9" w:rsidP="00AF2E2C">
      <w:pPr>
        <w:pStyle w:val="ListParagraph"/>
        <w:numPr>
          <w:ilvl w:val="0"/>
          <w:numId w:val="191"/>
        </w:numPr>
        <w:spacing w:line="240" w:lineRule="auto"/>
        <w:ind w:left="284" w:hanging="284"/>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the </w:t>
      </w:r>
      <w:r w:rsidR="004B1C09">
        <w:rPr>
          <w:rFonts w:ascii="Times New Roman" w:eastAsia="SimSun" w:hAnsi="Times New Roman" w:cs="Calibri"/>
          <w:color w:val="000000" w:themeColor="text1"/>
          <w:lang w:eastAsia="hi-IN" w:bidi="hi-IN"/>
        </w:rPr>
        <w:t xml:space="preserve">tolerance of sequence mismatches between the </w:t>
      </w:r>
      <w:r w:rsidR="005901A9">
        <w:rPr>
          <w:rFonts w:ascii="Times New Roman" w:eastAsia="SimSun" w:hAnsi="Times New Roman" w:cs="Calibri"/>
          <w:color w:val="000000" w:themeColor="text1"/>
          <w:lang w:eastAsia="hi-IN" w:bidi="hi-IN"/>
        </w:rPr>
        <w:t xml:space="preserve">designed RNA molecules. In some cases, it has been noted that mismatches in specific locations </w:t>
      </w:r>
      <w:r w:rsidR="00D41F2F">
        <w:rPr>
          <w:rFonts w:ascii="Times New Roman" w:eastAsia="SimSun" w:hAnsi="Times New Roman" w:cs="Calibri"/>
          <w:color w:val="000000" w:themeColor="text1"/>
          <w:lang w:eastAsia="hi-IN" w:bidi="hi-IN"/>
        </w:rPr>
        <w:t>or in sequences without perfect (100%) complementarity may still elicit a silencing response</w:t>
      </w:r>
      <w:r w:rsidR="001E3A7E">
        <w:rPr>
          <w:rFonts w:ascii="Times New Roman" w:eastAsia="SimSun" w:hAnsi="Times New Roman" w:cs="Calibri"/>
          <w:color w:val="000000" w:themeColor="text1"/>
          <w:lang w:eastAsia="hi-IN" w:bidi="hi-IN"/>
        </w:rPr>
        <w:t xml:space="preserve"> </w:t>
      </w:r>
      <w:r w:rsidR="00317CAF">
        <w:rPr>
          <w:rFonts w:ascii="Times New Roman" w:eastAsia="SimSun" w:hAnsi="Times New Roman" w:cs="Calibri"/>
          <w:color w:val="000000" w:themeColor="text1"/>
          <w:lang w:eastAsia="hi-IN" w:bidi="hi-IN"/>
        </w:rPr>
        <w:fldChar w:fldCharType="begin" w:fldLock="1"/>
      </w:r>
      <w:r w:rsidR="00317CAF">
        <w:rPr>
          <w:rFonts w:ascii="Times New Roman" w:eastAsia="SimSun" w:hAnsi="Times New Roman" w:cs="Calibri"/>
          <w:color w:val="000000" w:themeColor="text1"/>
          <w:lang w:eastAsia="hi-IN" w:bidi="hi-IN"/>
        </w:rPr>
        <w:instrText>ADDIN CSL_CITATION {"citationItems":[{"id":"ITEM-1","itemData":{"DOI":"10.3389/fpls.2020.00940","ISSN":"1664-462X","author":[{"dropping-particle":"","family":"Arpaia","given":"Salvatore","non-dropping-particle":"","parse-names":false,"suffix":""},{"dropping-particle":"","family":"Christiaens","given":"Olivier","non-dropping-particle":"","parse-names":false,"suffix":""},{"dropping-particle":"","family":"Giddings","given":"Kara","non-dropping-particle":"","parse-names":false,"suffix":""},{"dropping-particle":"","family":"Jones","given":"Huw","non-dropping-particle":"","parse-names":false,"suffix":""},{"dropping-particle":"","family":"Mezzetti","given":"Bruno","non-dropping-particle":"","parse-names":false,"suffix":""},{"dropping-particle":"","family":"Moronta-Barrios","given":"Felix","non-dropping-particle":"","parse-names":false,"suffix":""},{"dropping-particle":"","family":"Perry","given":"Joe N.","non-dropping-particle":"","parse-names":false,"suffix":""},{"dropping-particle":"","family":"Sweet","given":"Jeremy B.","non-dropping-particle":"","parse-names":false,"suffix":""},{"dropping-particle":"","family":"Taning","given":"Clauvis N. T.","non-dropping-particle":"","parse-names":false,"suffix":""},{"dropping-particle":"","family":"Smagghe","given":"Guy","non-dropping-particle":"","parse-names":false,"suffix":""},{"dropping-particle":"","family":"Dietz-Pfeilstetter","given":"Antje","non-dropping-particle":"","parse-names":false,"suffix":""}],"container-title":"Frontiers in Plant Science","id":"ITEM-1","issued":{"date-parts":[["2020","6","24"]]},"title":"Biosafety of GM Crop Plants Expressing dsRNA: Data Requirements and EU Regulatory Considerations","type":"article-journal","volume":"11"},"uris":["http://www.mendeley.com/documents/?uuid=c0a844f3-c253-42fc-a15d-1aebf1473bc8"]},{"id":"ITEM-2","itemData":{"DOI":"10.1080/15476286.2020.1868680","ISSN":"1547-6286","author":[{"dropping-particle":"","family":"Chen","given":"Jiasheng","non-dropping-particle":"","parse-names":false,"suffix":""},{"dropping-particle":"","family":"Peng","given":"Yingchuan","non-dropping-particle":"","parse-names":false,"suffix":""},{"dropping-particle":"","family":"Zhang","given":"Hainan","non-dropping-particle":"","parse-names":false,"suffix":""},{"dropping-particle":"","family":"Wang","given":"Kangxu","non-dropping-particle":"","parse-names":false,"suffix":""},{"dropping-particle":"","family":"Zhao","given":"Chunqing","non-dropping-particle":"","parse-names":false,"suffix":""},{"dropping-particle":"","family":"Zhu","given":"Guanheng","non-dropping-particle":"","parse-names":false,"suffix":""},{"dropping-particle":"","family":"Reddy Palli","given":"Subba","non-dropping-particle":"","parse-names":false,"suffix":""},{"dropping-particle":"","family":"Han","given":"Zhaojun","non-dropping-particle":"","parse-names":false,"suffix":""}],"container-title":"RNA Biology","id":"ITEM-2","issued":{"date-parts":[["2021","1","4"]]},"page":"1-13","title":"Off-target effects of RNAi correlate with the mismatch rate between dsRNA and non-target mRNA","type":"article-journal"},"uris":["http://www.mendeley.com/documents/?uuid=4c753713-ada8-4ecb-b025-ff6d9c71c910"]}],"mendeley":{"formattedCitation":"(Arpaia et al., 2020; J. Chen et al., 2021)","plainTextFormattedCitation":"(Arpaia et al., 2020; J. Chen et al., 2021)","previouslyFormattedCitation":"(Arpaia et al., 2020; J. Chen et al., 2021)"},"properties":{"noteIndex":0},"schema":"https://github.com/citation-style-language/schema/raw/master/csl-citation.json"}</w:instrText>
      </w:r>
      <w:r w:rsidR="00317CAF">
        <w:rPr>
          <w:rFonts w:ascii="Times New Roman" w:eastAsia="SimSun" w:hAnsi="Times New Roman" w:cs="Calibri"/>
          <w:color w:val="000000" w:themeColor="text1"/>
          <w:lang w:eastAsia="hi-IN" w:bidi="hi-IN"/>
        </w:rPr>
        <w:fldChar w:fldCharType="separate"/>
      </w:r>
      <w:r w:rsidR="00317CAF" w:rsidRPr="00317CAF">
        <w:rPr>
          <w:rFonts w:ascii="Times New Roman" w:eastAsia="SimSun" w:hAnsi="Times New Roman" w:cs="Calibri"/>
          <w:noProof/>
          <w:color w:val="000000" w:themeColor="text1"/>
          <w:lang w:eastAsia="hi-IN" w:bidi="hi-IN"/>
        </w:rPr>
        <w:t>(Arpaia et al., 2020; J. Chen et al., 2021)</w:t>
      </w:r>
      <w:r w:rsidR="00317CAF">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w:t>
      </w:r>
    </w:p>
    <w:p w14:paraId="1F1D761F" w14:textId="4433523C" w:rsidR="009129FC" w:rsidRDefault="00FB65C6" w:rsidP="005D5924">
      <w:pPr>
        <w:pStyle w:val="ListParagraph"/>
        <w:numPr>
          <w:ilvl w:val="0"/>
          <w:numId w:val="191"/>
        </w:numPr>
        <w:spacing w:line="240" w:lineRule="auto"/>
        <w:ind w:left="284" w:hanging="284"/>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the </w:t>
      </w:r>
      <w:r w:rsidR="00DA4EB9">
        <w:rPr>
          <w:rFonts w:ascii="Times New Roman" w:eastAsia="SimSun" w:hAnsi="Times New Roman" w:cs="Calibri"/>
          <w:color w:val="000000" w:themeColor="text1"/>
          <w:lang w:eastAsia="hi-IN" w:bidi="hi-IN"/>
        </w:rPr>
        <w:t>f</w:t>
      </w:r>
      <w:r w:rsidR="00CE603A">
        <w:rPr>
          <w:rFonts w:ascii="Times New Roman" w:eastAsia="SimSun" w:hAnsi="Times New Roman" w:cs="Calibri"/>
          <w:color w:val="000000" w:themeColor="text1"/>
          <w:lang w:eastAsia="hi-IN" w:bidi="hi-IN"/>
        </w:rPr>
        <w:t xml:space="preserve">ormulation and chemistry of dsRNA products. </w:t>
      </w:r>
      <w:r w:rsidR="00D41F2F">
        <w:rPr>
          <w:rFonts w:ascii="Times New Roman" w:eastAsia="SimSun" w:hAnsi="Times New Roman" w:cs="Calibri"/>
          <w:color w:val="000000" w:themeColor="text1"/>
          <w:lang w:eastAsia="hi-IN" w:bidi="hi-IN"/>
        </w:rPr>
        <w:t>In current formulations (i.e. naked dsRNA molecules), it has been observed that dsRNAs are rapidly degraded in soils, on leaves and in aquatic environments, likely due to microbial metabolism, environmental nucleases and/or ultraviolet radiation</w:t>
      </w:r>
      <w:r w:rsidR="00C27898">
        <w:rPr>
          <w:rFonts w:ascii="Times New Roman" w:eastAsia="SimSun" w:hAnsi="Times New Roman" w:cs="Calibri"/>
          <w:color w:val="000000" w:themeColor="text1"/>
          <w:lang w:eastAsia="hi-IN" w:bidi="hi-IN"/>
        </w:rPr>
        <w:t xml:space="preserve"> </w:t>
      </w:r>
      <w:r w:rsidR="00317CAF">
        <w:rPr>
          <w:rFonts w:ascii="Times New Roman" w:eastAsia="SimSun" w:hAnsi="Times New Roman" w:cs="Calibri"/>
          <w:color w:val="000000" w:themeColor="text1"/>
          <w:lang w:eastAsia="hi-IN" w:bidi="hi-IN"/>
        </w:rPr>
        <w:fldChar w:fldCharType="begin" w:fldLock="1"/>
      </w:r>
      <w:r w:rsidR="00B4550C">
        <w:rPr>
          <w:rFonts w:ascii="Times New Roman" w:eastAsia="SimSun" w:hAnsi="Times New Roman" w:cs="Calibri"/>
          <w:color w:val="000000" w:themeColor="text1"/>
          <w:lang w:eastAsia="hi-IN" w:bidi="hi-IN"/>
        </w:rPr>
        <w:instrText>ADDIN CSL_CITATION {"citationItems":[{"id":"ITEM-1","itemData":{"DOI":"10.3389/fpls.2020.00021","ISSN":"1664-462X","author":[{"dropping-particle":"","family":"Bachman","given":"Pamela","non-dropping-particle":"","parse-names":false,"suffix":""},{"dropping-particle":"","family":"Fischer","given":"Joshua","non-dropping-particle":"","parse-names":false,"suffix":""},{"dropping-particle":"","family":"Song","given":"Zihong","non-dropping-particle":"","parse-names":false,"suffix":""},{"dropping-particle":"","family":"Urbanczyk-Wochniak","given":"Ewa","non-dropping-particle":"","parse-names":false,"suffix":""},{"dropping-particle":"","family":"Watson","given":"Greg","non-dropping-particle":"","parse-names":false,"suffix":""}],"container-title":"Frontiers in Plant Science","id":"ITEM-1","issued":{"date-parts":[["2020","2","6"]]},"title":"Environmental Fate and Dissipation of Applied dsRNA in Soil, Aquatic Systems, and Plants","type":"article-journal","volume":"11"},"uris":["http://www.mendeley.com/documents/?uuid=7b2dd6f0-d870-4d01-ae1b-c6be1aca9081"]}],"mendeley":{"formattedCitation":"(P. Bachman et al., 2020)","manualFormatting":"(Bachman et al., 2020)","plainTextFormattedCitation":"(P. Bachman et al., 2020)","previouslyFormattedCitation":"(P. Bachman et al., 2020)"},"properties":{"noteIndex":0},"schema":"https://github.com/citation-style-language/schema/raw/master/csl-citation.json"}</w:instrText>
      </w:r>
      <w:r w:rsidR="00317CAF">
        <w:rPr>
          <w:rFonts w:ascii="Times New Roman" w:eastAsia="SimSun" w:hAnsi="Times New Roman" w:cs="Calibri"/>
          <w:color w:val="000000" w:themeColor="text1"/>
          <w:lang w:eastAsia="hi-IN" w:bidi="hi-IN"/>
        </w:rPr>
        <w:fldChar w:fldCharType="separate"/>
      </w:r>
      <w:r w:rsidR="00317CAF" w:rsidRPr="00317CAF">
        <w:rPr>
          <w:rFonts w:ascii="Times New Roman" w:eastAsia="SimSun" w:hAnsi="Times New Roman" w:cs="Calibri"/>
          <w:noProof/>
          <w:color w:val="000000" w:themeColor="text1"/>
          <w:lang w:eastAsia="hi-IN" w:bidi="hi-IN"/>
        </w:rPr>
        <w:t>(Bachman et al., 2020)</w:t>
      </w:r>
      <w:r w:rsidR="00317CAF">
        <w:rPr>
          <w:rFonts w:ascii="Times New Roman" w:eastAsia="SimSun" w:hAnsi="Times New Roman" w:cs="Calibri"/>
          <w:color w:val="000000" w:themeColor="text1"/>
          <w:lang w:eastAsia="hi-IN" w:bidi="hi-IN"/>
        </w:rPr>
        <w:fldChar w:fldCharType="end"/>
      </w:r>
      <w:r w:rsidR="00D41F2F">
        <w:rPr>
          <w:rFonts w:ascii="Times New Roman" w:eastAsia="SimSun" w:hAnsi="Times New Roman" w:cs="Calibri"/>
          <w:color w:val="000000" w:themeColor="text1"/>
          <w:lang w:eastAsia="hi-IN" w:bidi="hi-IN"/>
        </w:rPr>
        <w:t xml:space="preserve">. However, </w:t>
      </w:r>
      <w:r w:rsidR="00FB21D5">
        <w:rPr>
          <w:rFonts w:ascii="Times New Roman" w:eastAsia="SimSun" w:hAnsi="Times New Roman" w:cs="Calibri"/>
          <w:color w:val="000000" w:themeColor="text1"/>
          <w:lang w:eastAsia="hi-IN" w:bidi="hi-IN"/>
        </w:rPr>
        <w:t>altered</w:t>
      </w:r>
      <w:r w:rsidR="00D41F2F">
        <w:rPr>
          <w:rFonts w:ascii="Times New Roman" w:eastAsia="SimSun" w:hAnsi="Times New Roman" w:cs="Calibri"/>
          <w:color w:val="000000" w:themeColor="text1"/>
          <w:lang w:eastAsia="hi-IN" w:bidi="hi-IN"/>
        </w:rPr>
        <w:t xml:space="preserve"> formulations (e.g. clay nanosheets, chemical modifications to nucleotides</w:t>
      </w:r>
      <w:r w:rsidR="00FB21D5">
        <w:rPr>
          <w:rFonts w:ascii="Times New Roman" w:eastAsia="SimSun" w:hAnsi="Times New Roman" w:cs="Calibri"/>
          <w:color w:val="000000" w:themeColor="text1"/>
          <w:lang w:eastAsia="hi-IN" w:bidi="hi-IN"/>
        </w:rPr>
        <w:t>, cationic polymers) may increase stability within the environment</w:t>
      </w:r>
      <w:r w:rsidR="00F340FF">
        <w:rPr>
          <w:rFonts w:ascii="Times New Roman" w:eastAsia="SimSun" w:hAnsi="Times New Roman" w:cs="Calibri"/>
          <w:color w:val="000000" w:themeColor="text1"/>
          <w:lang w:eastAsia="hi-IN" w:bidi="hi-IN"/>
        </w:rPr>
        <w:t xml:space="preserve"> and </w:t>
      </w:r>
      <w:r w:rsidR="0061795C">
        <w:rPr>
          <w:rFonts w:ascii="Times New Roman" w:eastAsia="SimSun" w:hAnsi="Times New Roman" w:cs="Calibri"/>
          <w:color w:val="000000" w:themeColor="text1"/>
          <w:lang w:eastAsia="hi-IN" w:bidi="hi-IN"/>
        </w:rPr>
        <w:t xml:space="preserve">increase uptake of dsRNA applications, thus </w:t>
      </w:r>
      <w:r w:rsidR="003B2472">
        <w:rPr>
          <w:rFonts w:ascii="Times New Roman" w:eastAsia="SimSun" w:hAnsi="Times New Roman" w:cs="Calibri"/>
          <w:color w:val="000000" w:themeColor="text1"/>
          <w:lang w:eastAsia="hi-IN" w:bidi="hi-IN"/>
        </w:rPr>
        <w:t>pos</w:t>
      </w:r>
      <w:r w:rsidR="0061795C">
        <w:rPr>
          <w:rFonts w:ascii="Times New Roman" w:eastAsia="SimSun" w:hAnsi="Times New Roman" w:cs="Calibri"/>
          <w:color w:val="000000" w:themeColor="text1"/>
          <w:lang w:eastAsia="hi-IN" w:bidi="hi-IN"/>
        </w:rPr>
        <w:t>ing</w:t>
      </w:r>
      <w:r w:rsidR="003B2472">
        <w:rPr>
          <w:rFonts w:ascii="Times New Roman" w:eastAsia="SimSun" w:hAnsi="Times New Roman" w:cs="Calibri"/>
          <w:color w:val="000000" w:themeColor="text1"/>
          <w:lang w:eastAsia="hi-IN" w:bidi="hi-IN"/>
        </w:rPr>
        <w:t xml:space="preserve"> further questions surrounding </w:t>
      </w:r>
      <w:r w:rsidR="00FE6290">
        <w:rPr>
          <w:rFonts w:ascii="Times New Roman" w:eastAsia="SimSun" w:hAnsi="Times New Roman" w:cs="Calibri"/>
          <w:color w:val="000000" w:themeColor="text1"/>
          <w:lang w:eastAsia="hi-IN" w:bidi="hi-IN"/>
        </w:rPr>
        <w:t xml:space="preserve">their </w:t>
      </w:r>
      <w:r w:rsidR="003B2472">
        <w:rPr>
          <w:rFonts w:ascii="Times New Roman" w:eastAsia="SimSun" w:hAnsi="Times New Roman" w:cs="Calibri"/>
          <w:color w:val="000000" w:themeColor="text1"/>
          <w:lang w:eastAsia="hi-IN" w:bidi="hi-IN"/>
        </w:rPr>
        <w:t>environmental fate</w:t>
      </w:r>
      <w:r w:rsidR="00CE4438">
        <w:rPr>
          <w:rFonts w:ascii="Times New Roman" w:eastAsia="SimSun" w:hAnsi="Times New Roman" w:cs="Calibri"/>
          <w:color w:val="000000" w:themeColor="text1"/>
          <w:lang w:eastAsia="hi-IN" w:bidi="hi-IN"/>
        </w:rPr>
        <w:t xml:space="preserve"> </w:t>
      </w:r>
      <w:r w:rsidR="005A597E">
        <w:rPr>
          <w:rFonts w:ascii="Times New Roman" w:eastAsia="SimSun" w:hAnsi="Times New Roman" w:cs="Calibri"/>
          <w:color w:val="000000" w:themeColor="text1"/>
          <w:lang w:eastAsia="hi-IN" w:bidi="hi-IN"/>
        </w:rPr>
        <w:fldChar w:fldCharType="begin" w:fldLock="1"/>
      </w:r>
      <w:r w:rsidR="00937C2C">
        <w:rPr>
          <w:rFonts w:ascii="Times New Roman" w:eastAsia="SimSun" w:hAnsi="Times New Roman" w:cs="Calibri"/>
          <w:color w:val="000000" w:themeColor="text1"/>
          <w:lang w:eastAsia="hi-IN" w:bidi="hi-IN"/>
        </w:rPr>
        <w:instrText>ADDIN CSL_CITATION {"citationItems":[{"id":"ITEM-1","itemData":{"abstract":"RNAi in crop protection can be achieved not only by plant-incorporated protectants through plant transformation (transgenic) but also by nontransformative strategies such as formulations of sprayable dsRNAs used as direct control agents, resistance factor repressors, or developmental disruptors. Therefore, the RNAi-based biopesticides are expected to reach the market also in the form of nontransgenic strategies such as sprayable products, stem injection, root drenching, seed treatment, or powder/granule. While the delivery of dsRNA by transgenic expression is well established, it requires generations of crop plants and is costly, which may take years and delays for practical application, depending on the regulatory rules, plant transformability, genetic stability , and public acceptance of genetically modified crop species. DsRNA delivery as a nontransgenic approach was already published as a proof-of-concept work, so it is time to point out some directions on how the real potential for agriculture and crop protection is.","author":[{"dropping-particle":"","family":"Cagliari","given":"Deise","non-dropping-particle":"","parse-names":false,"suffix":""},{"dropping-particle":"","family":"Avila","given":"Ericmar","non-dropping-particle":"","parse-names":false,"suffix":""},{"dropping-particle":"","family":"Santos","given":"Dos","non-dropping-particle":"","parse-names":false,"suffix":""},{"dropping-particle":"","family":"Dias","given":"Naymã","non-dropping-particle":"","parse-names":false,"suffix":""},{"dropping-particle":"","family":"Smagghe","given":"Guy","non-dropping-particle":"","parse-names":false,"suffix":""},{"dropping-particle":"","family":"Zotti","given":"Moises","non-dropping-particle":"","parse-names":false,"suffix":""}],"id":"ITEM-1","issued":{"date-parts":[["2016"]]},"title":"Provisional chapter Nontransformative Strategies for RNAi in Crop Protection","type":"report"},"uris":["http://www.mendeley.com/documents/?uuid=50c61851-ec8e-48bb-91d9-6619e573f542"]},{"id":"ITEM-2","itemData":{"DOI":"10.1016/j.bsheal.2019.09.003","ISSN":"25900536","author":[{"dropping-particle":"","family":"Heinemann","given":"Jack A.","non-dropping-particle":"","parse-names":false,"suffix":""},{"dropping-particle":"","family":"Walker","given":"Sophie","non-dropping-particle":"","parse-names":false,"suffix":""}],"container-title":"Biosafety and Health","id":"ITEM-2","issue":"3","issued":{"date-parts":[["2019","12"]]},"page":"113-123","title":"Environmentally applied nucleic acids and proteins for purposes of engineering changes to genes and other genetic material","type":"article-journal","volume":"1"},"uris":["http://www.mendeley.com/documents/?uuid=b5a07988-4e76-446b-aa79-a89b2202b73f"]},{"id":"ITEM-3","itemData":{"DOI":"10.3389/fpls.2020.00407","ISSN":"1664-462X","author":[{"dropping-particle":"","family":"Rodrigues","given":"Thais B.","non-dropping-particle":"","parse-names":false,"suffix":""},{"dropping-particle":"","family":"Petrick","given":"Jay S.","non-dropping-particle":"","parse-names":false,"suffix":""}],"container-title":"Frontiers in Plant Science","id":"ITEM-3","issued":{"date-parts":[["2020","4","23"]]},"title":"Safety Considerations for Humans and Other Vertebrates Regarding Agricultural Uses of Externally Applied RNA Molecules","type":"article-journal","volume":"11"},"uris":["http://www.mendeley.com/documents/?uuid=66d6d0bd-805c-4fe6-acd9-1ed364fae9a2"]}],"mendeley":{"formattedCitation":"(Cagliari et al., 2016; J. A. Heinemann &amp; Walker, 2019; Rodrigues &amp; Petrick, 2020)","manualFormatting":"(Cagliari et al., 2016; Heinemann &amp; Walker, 2019; Rodrigues &amp; Petrick, 2020)","plainTextFormattedCitation":"(Cagliari et al., 2016; J. A. Heinemann &amp; Walker, 2019; Rodrigues &amp; Petrick, 2020)","previouslyFormattedCitation":"(Cagliari et al., 2016; J. A. Heinemann &amp; Walker, 2019; Rodrigues &amp; Petrick, 2020)"},"properties":{"noteIndex":0},"schema":"https://github.com/citation-style-language/schema/raw/master/csl-citation.json"}</w:instrText>
      </w:r>
      <w:r w:rsidR="005A597E">
        <w:rPr>
          <w:rFonts w:ascii="Times New Roman" w:eastAsia="SimSun" w:hAnsi="Times New Roman" w:cs="Calibri"/>
          <w:color w:val="000000" w:themeColor="text1"/>
          <w:lang w:eastAsia="hi-IN" w:bidi="hi-IN"/>
        </w:rPr>
        <w:fldChar w:fldCharType="separate"/>
      </w:r>
      <w:r w:rsidR="00937C2C" w:rsidRPr="00937C2C">
        <w:rPr>
          <w:rFonts w:ascii="Times New Roman" w:eastAsia="SimSun" w:hAnsi="Times New Roman" w:cs="Calibri"/>
          <w:noProof/>
          <w:color w:val="000000" w:themeColor="text1"/>
          <w:lang w:eastAsia="hi-IN" w:bidi="hi-IN"/>
        </w:rPr>
        <w:t>(Cagliari et al., 2016; Heinemann &amp; Walker, 2019; Rodrigues &amp; Petrick, 2020)</w:t>
      </w:r>
      <w:r w:rsidR="005A597E">
        <w:rPr>
          <w:rFonts w:ascii="Times New Roman" w:eastAsia="SimSun" w:hAnsi="Times New Roman" w:cs="Calibri"/>
          <w:color w:val="000000" w:themeColor="text1"/>
          <w:lang w:eastAsia="hi-IN" w:bidi="hi-IN"/>
        </w:rPr>
        <w:fldChar w:fldCharType="end"/>
      </w:r>
      <w:r w:rsidR="00DA4EB9">
        <w:rPr>
          <w:rFonts w:ascii="Times New Roman" w:eastAsia="SimSun" w:hAnsi="Times New Roman" w:cs="Calibri"/>
          <w:color w:val="000000" w:themeColor="text1"/>
          <w:lang w:eastAsia="hi-IN" w:bidi="hi-IN"/>
        </w:rPr>
        <w:t>;</w:t>
      </w:r>
    </w:p>
    <w:p w14:paraId="57B7FBEC" w14:textId="44E99462" w:rsidR="00D00E5C" w:rsidRDefault="00DA4EB9" w:rsidP="00AF2E2C">
      <w:pPr>
        <w:pStyle w:val="ListParagraph"/>
        <w:numPr>
          <w:ilvl w:val="0"/>
          <w:numId w:val="191"/>
        </w:numPr>
        <w:spacing w:line="240" w:lineRule="auto"/>
        <w:ind w:left="284" w:hanging="284"/>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r</w:t>
      </w:r>
      <w:r w:rsidR="000866D1">
        <w:rPr>
          <w:rFonts w:ascii="Times New Roman" w:eastAsia="SimSun" w:hAnsi="Times New Roman" w:cs="Calibri"/>
          <w:color w:val="000000" w:themeColor="text1"/>
          <w:lang w:eastAsia="hi-IN" w:bidi="hi-IN"/>
        </w:rPr>
        <w:t xml:space="preserve">esistance. </w:t>
      </w:r>
      <w:r w:rsidR="00D00E5C">
        <w:rPr>
          <w:rFonts w:ascii="Times New Roman" w:eastAsia="SimSun" w:hAnsi="Times New Roman" w:cs="Calibri"/>
          <w:color w:val="000000" w:themeColor="text1"/>
          <w:lang w:eastAsia="hi-IN" w:bidi="hi-IN"/>
        </w:rPr>
        <w:t>Due to the sequence specific nature of the technology, it is likely that resistance attributable to changes in sequence can be</w:t>
      </w:r>
      <w:r w:rsidR="000866D1">
        <w:rPr>
          <w:rFonts w:ascii="Times New Roman" w:eastAsia="SimSun" w:hAnsi="Times New Roman" w:cs="Calibri"/>
          <w:color w:val="000000" w:themeColor="text1"/>
          <w:lang w:eastAsia="hi-IN" w:bidi="hi-IN"/>
        </w:rPr>
        <w:t xml:space="preserve"> mitigated through a</w:t>
      </w:r>
      <w:r w:rsidR="00D00E5C">
        <w:rPr>
          <w:rFonts w:ascii="Times New Roman" w:eastAsia="SimSun" w:hAnsi="Times New Roman" w:cs="Calibri"/>
          <w:color w:val="000000" w:themeColor="text1"/>
          <w:lang w:eastAsia="hi-IN" w:bidi="hi-IN"/>
        </w:rPr>
        <w:t xml:space="preserve"> re-designed</w:t>
      </w:r>
      <w:r w:rsidR="000866D1">
        <w:rPr>
          <w:rFonts w:ascii="Times New Roman" w:eastAsia="SimSun" w:hAnsi="Times New Roman" w:cs="Calibri"/>
          <w:color w:val="000000" w:themeColor="text1"/>
          <w:lang w:eastAsia="hi-IN" w:bidi="hi-IN"/>
        </w:rPr>
        <w:t xml:space="preserve"> molecule. However</w:t>
      </w:r>
      <w:r w:rsidR="00D00E5C">
        <w:rPr>
          <w:rFonts w:ascii="Times New Roman" w:eastAsia="SimSun" w:hAnsi="Times New Roman" w:cs="Calibri"/>
          <w:color w:val="000000" w:themeColor="text1"/>
          <w:lang w:eastAsia="hi-IN" w:bidi="hi-IN"/>
        </w:rPr>
        <w:t>, question</w:t>
      </w:r>
      <w:r w:rsidR="000866D1">
        <w:rPr>
          <w:rFonts w:ascii="Times New Roman" w:eastAsia="SimSun" w:hAnsi="Times New Roman" w:cs="Calibri"/>
          <w:color w:val="000000" w:themeColor="text1"/>
          <w:lang w:eastAsia="hi-IN" w:bidi="hi-IN"/>
        </w:rPr>
        <w:t>s</w:t>
      </w:r>
      <w:r w:rsidR="00D00E5C">
        <w:rPr>
          <w:rFonts w:ascii="Times New Roman" w:eastAsia="SimSun" w:hAnsi="Times New Roman" w:cs="Calibri"/>
          <w:color w:val="000000" w:themeColor="text1"/>
          <w:lang w:eastAsia="hi-IN" w:bidi="hi-IN"/>
        </w:rPr>
        <w:t xml:space="preserve"> remain regarding resistance caused by changes uptake of the molecules, as observed in corn rootworm experiments </w:t>
      </w:r>
      <w:r w:rsidR="005A597E">
        <w:rPr>
          <w:rFonts w:ascii="Times New Roman" w:eastAsia="SimSun" w:hAnsi="Times New Roman" w:cs="Calibri"/>
          <w:color w:val="000000" w:themeColor="text1"/>
          <w:lang w:eastAsia="hi-IN" w:bidi="hi-IN"/>
        </w:rPr>
        <w:fldChar w:fldCharType="begin" w:fldLock="1"/>
      </w:r>
      <w:r w:rsidR="005A597E">
        <w:rPr>
          <w:rFonts w:ascii="Times New Roman" w:eastAsia="SimSun" w:hAnsi="Times New Roman" w:cs="Calibri"/>
          <w:color w:val="000000" w:themeColor="text1"/>
          <w:lang w:eastAsia="hi-IN" w:bidi="hi-IN"/>
        </w:rPr>
        <w:instrText>ADDIN CSL_CITATION {"citationItems":[{"id":"ITEM-1","itemData":{"DOI":"10.1371/journal.pone.0197059","ISSN":"1932-6203","author":[{"dropping-particle":"","family":"Khajuria","given":"Chitvan","non-dropping-particle":"","parse-names":false,"suffix":""},{"dropping-particle":"","family":"Ivashuta","given":"Sergey","non-dropping-particle":"","parse-names":false,"suffix":""},{"dropping-particle":"","family":"Wiggins","given":"Elizabeth","non-dropping-particle":"","parse-names":false,"suffix":""},{"dropping-particle":"","family":"Flagel","given":"Lex","non-dropping-particle":"","parse-names":false,"suffix":""},{"dropping-particle":"","family":"Moar","given":"William","non-dropping-particle":"","parse-names":false,"suffix":""},{"dropping-particle":"","family":"Pleau","given":"Michael","non-dropping-particle":"","parse-names":false,"suffix":""},{"dropping-particle":"","family":"Miller","given":"Kaylee","non-dropping-particle":"","parse-names":false,"suffix":""},{"dropping-particle":"","family":"Zhang","given":"Yuanji","non-dropping-particle":"","parse-names":false,"suffix":""},{"dropping-particle":"","family":"Ramaseshadri","given":"Parthasarathy","non-dropping-particle":"","parse-names":false,"suffix":""},{"dropping-particle":"","family":"Jiang","given":"Changjian","non-dropping-particle":"","parse-names":false,"suffix":""},{"dropping-particle":"","family":"Hodge","given":"Tracey","non-dropping-particle":"","parse-names":false,"suffix":""},{"dropping-particle":"","family":"Jensen","given":"Peter","non-dropping-particle":"","parse-names":false,"suffix":""},{"dropping-particle":"","family":"Chen","given":"Mao","non-dropping-particle":"","parse-names":false,"suffix":""},{"dropping-particle":"","family":"Gowda","given":"Anilkumar","non-dropping-particle":"","parse-names":false,"suffix":""},{"dropping-particle":"","family":"McNulty","given":"Brian","non-dropping-particle":"","parse-names":false,"suffix":""},{"dropping-particle":"","family":"Vazquez","given":"Cara","non-dropping-particle":"","parse-names":false,"suffix":""},{"dropping-particle":"","family":"Bolognesi","given":"Renata","non-dropping-particle":"","parse-names":false,"suffix":""},{"dropping-particle":"","family":"Haas","given":"Jeffrey","non-dropping-particle":"","parse-names":false,"suffix":""},{"dropping-particle":"","family":"Head","given":"Graham","non-dropping-particle":"","parse-names":false,"suffix":""},{"dropping-particle":"","family":"Clark","given":"Thomas","non-dropping-particle":"","parse-names":false,"suffix":""}],"container-title":"PLOS ONE","editor":[{"dropping-particle":"","family":"Palli","given":"Subba Reddy","non-dropping-particle":"","parse-names":false,"suffix":""}],"id":"ITEM-1","issue":"5","issued":{"date-parts":[["2018","5","14"]]},"page":"e0197059","title":"Development and characterization of the first dsRNA-resistant insect population from western corn rootworm, Diabrotica virgifera virgifera LeConte","type":"article-journal","volume":"13"},"uris":["http://www.mendeley.com/documents/?uuid=b79efc8a-eccd-4a96-9133-d33fc33156e7"]},{"id":"ITEM-2","itemData":{"DOI":"10.3390/plants9121780","ISSN":"2223-7747","abstract":"Efforts to develop more environmentally friendly alternatives to traditional broad-spectrum pesticides in agriculture have recently turned to RNA interference (RNAi) technology. With the built-in, sequence-specific knockdown of gene targets following delivery of double-stranded RNA (dsRNA), RNAi offers the promise of controlling pests and pathogens without adversely affecting non-target species. Significant advances in the efficacy of this technology have been observed in a wide range of species, including many insect pests and fungal pathogens. Two different dsRNA application methods are being developed. First, host induced gene silencing (HIGS) harnesses dsRNA production through the thoughtful and precise engineering of transgenic plants and second, spray induced gene silencing (SIGS) that uses surface applications of a topically applied dsRNA molecule. Regardless of the dsRNA delivery method, one aspect that is critical to the success of RNAi is the ability of the target organism to internalize the dsRNA and take advantage of the host RNAi cellular machinery. The efficiency of dsRNA uptake mechanisms varies across species, and in some uptake is negligible, rendering them effectively resistant to this new generation of control technologies. If RNAi-based methods of control are to be used widely, it is critically important to understand the mechanisms underpinning dsRNA uptake. Understanding dsRNA uptake mechanisms will also provide insight into the design and formulation of dsRNAs for improved delivery and provide clues into the development of potential host resistance to these technologies.","author":[{"dropping-particle":"","family":"Wytinck","given":"Nick","non-dropping-particle":"","parse-names":false,"suffix":""},{"dropping-particle":"","family":"Manchur","given":"Christopher L.","non-dropping-particle":"","parse-names":false,"suffix":""},{"dropping-particle":"","family":"Li","given":"Vivian H.","non-dropping-particle":"","parse-names":false,"suffix":""},{"dropping-particle":"","family":"Whyard","given":"Steve","non-dropping-particle":"","parse-names":false,"suffix":""},{"dropping-particle":"","family":"Belmonte","given":"Mark F.","non-dropping-particle":"","parse-names":false,"suffix":""}],"container-title":"Plants","id":"ITEM-2","issue":"12","issued":{"date-parts":[["2020","12","16"]]},"page":"1780","title":"dsRNA Uptake in Plant Pests and Pathogens: Insights into RNAi-Based Insect and Fungal Control Technology","type":"article-journal","volume":"9"},"uris":["http://www.mendeley.com/documents/?uuid=0924a51e-71c0-4626-8192-04182916180e"]}],"mendeley":{"formattedCitation":"(Khajuria et al., 2018; Wytinck et al., 2020)","plainTextFormattedCitation":"(Khajuria et al., 2018; Wytinck et al., 2020)","previouslyFormattedCitation":"(Khajuria et al., 2018; Wytinck et al., 2020)"},"properties":{"noteIndex":0},"schema":"https://github.com/citation-style-language/schema/raw/master/csl-citation.json"}</w:instrText>
      </w:r>
      <w:r w:rsidR="005A597E">
        <w:rPr>
          <w:rFonts w:ascii="Times New Roman" w:eastAsia="SimSun" w:hAnsi="Times New Roman" w:cs="Calibri"/>
          <w:color w:val="000000" w:themeColor="text1"/>
          <w:lang w:eastAsia="hi-IN" w:bidi="hi-IN"/>
        </w:rPr>
        <w:fldChar w:fldCharType="separate"/>
      </w:r>
      <w:r w:rsidR="005A597E" w:rsidRPr="005A597E">
        <w:rPr>
          <w:rFonts w:ascii="Times New Roman" w:eastAsia="SimSun" w:hAnsi="Times New Roman" w:cs="Calibri"/>
          <w:noProof/>
          <w:color w:val="000000" w:themeColor="text1"/>
          <w:lang w:eastAsia="hi-IN" w:bidi="hi-IN"/>
        </w:rPr>
        <w:t>(Khajuria et al., 2018; Wytinck et al., 2020)</w:t>
      </w:r>
      <w:r w:rsidR="005A597E">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 and</w:t>
      </w:r>
    </w:p>
    <w:p w14:paraId="517FA265" w14:textId="4FEE40ED" w:rsidR="00A302A7" w:rsidRDefault="001E6D27" w:rsidP="00AF2E2C">
      <w:pPr>
        <w:pStyle w:val="ListParagraph"/>
        <w:numPr>
          <w:ilvl w:val="0"/>
          <w:numId w:val="191"/>
        </w:numPr>
        <w:spacing w:line="240" w:lineRule="auto"/>
        <w:ind w:left="284" w:hanging="284"/>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an </w:t>
      </w:r>
      <w:r w:rsidR="00DA4EB9">
        <w:rPr>
          <w:rFonts w:ascii="Times New Roman" w:eastAsia="SimSun" w:hAnsi="Times New Roman" w:cs="Calibri"/>
          <w:color w:val="000000" w:themeColor="text1"/>
          <w:lang w:eastAsia="hi-IN" w:bidi="hi-IN"/>
        </w:rPr>
        <w:t>u</w:t>
      </w:r>
      <w:r w:rsidR="001B6C75">
        <w:rPr>
          <w:rFonts w:ascii="Times New Roman" w:eastAsia="SimSun" w:hAnsi="Times New Roman" w:cs="Calibri"/>
          <w:color w:val="000000" w:themeColor="text1"/>
          <w:lang w:eastAsia="hi-IN" w:bidi="hi-IN"/>
        </w:rPr>
        <w:t>nderstanding of e</w:t>
      </w:r>
      <w:r w:rsidR="00A302A7">
        <w:rPr>
          <w:rFonts w:ascii="Times New Roman" w:eastAsia="SimSun" w:hAnsi="Times New Roman" w:cs="Calibri"/>
          <w:color w:val="000000" w:themeColor="text1"/>
          <w:lang w:eastAsia="hi-IN" w:bidi="hi-IN"/>
        </w:rPr>
        <w:t xml:space="preserve">pigenetic changes induced by exogenous RNAi </w:t>
      </w:r>
      <w:r w:rsidR="005A597E">
        <w:rPr>
          <w:rFonts w:ascii="Times New Roman" w:eastAsia="SimSun" w:hAnsi="Times New Roman" w:cs="Calibri"/>
          <w:color w:val="000000" w:themeColor="text1"/>
          <w:lang w:eastAsia="hi-IN" w:bidi="hi-IN"/>
        </w:rPr>
        <w:fldChar w:fldCharType="begin" w:fldLock="1"/>
      </w:r>
      <w:r w:rsidR="005A597E">
        <w:rPr>
          <w:rFonts w:ascii="Times New Roman" w:eastAsia="SimSun" w:hAnsi="Times New Roman" w:cs="Calibri"/>
          <w:color w:val="000000" w:themeColor="text1"/>
          <w:lang w:eastAsia="hi-IN" w:bidi="hi-IN"/>
        </w:rPr>
        <w:instrText>ADDIN CSL_CITATION {"citationItems":[{"id":"ITEM-1","itemData":{"DOI":"10.3390/plants9060673","ISSN":"2223-7747","abstract":"Exogenous RNA interference (exo-RNAi) is a powerful transgene-free tool in modern crop improvement and protection platforms. In exo-RNAi approaches, double-stranded RNAs (dsRNAs) or short-interfering RNAs (siRNAs) are externally applied in plants in order to selectively trigger degradation of target mRNAs. Yet, the applied dsRNAs may also trigger unintended epigenetic alterations and result in epigenetically modified plants, an issue that has not been sufficiently addressed and which merits more careful consideration.","author":[{"dropping-particle":"","family":"Dalakouras","given":"Athanasios","non-dropping-particle":"","parse-names":false,"suffix":""},{"dropping-particle":"","family":"Papadopoulou","given":"Kalliope K.","non-dropping-particle":"","parse-names":false,"suffix":""}],"container-title":"Plants","id":"ITEM-1","issue":"6","issued":{"date-parts":[["2020","5","26"]]},"page":"673","title":"Epigenetic Modifications: An Unexplored Facet of Exogenous RNA Application in Plants","type":"article-journal","volume":"9"},"uris":["http://www.mendeley.com/documents/?uuid=1bb86ce6-1077-4e6c-94d8-f1f770607e80"]}],"mendeley":{"formattedCitation":"(Dalakouras &amp; Papadopoulou, 2020)","plainTextFormattedCitation":"(Dalakouras &amp; Papadopoulou, 2020)","previouslyFormattedCitation":"(Dalakouras &amp; Papadopoulou, 2020)"},"properties":{"noteIndex":0},"schema":"https://github.com/citation-style-language/schema/raw/master/csl-citation.json"}</w:instrText>
      </w:r>
      <w:r w:rsidR="005A597E">
        <w:rPr>
          <w:rFonts w:ascii="Times New Roman" w:eastAsia="SimSun" w:hAnsi="Times New Roman" w:cs="Calibri"/>
          <w:color w:val="000000" w:themeColor="text1"/>
          <w:lang w:eastAsia="hi-IN" w:bidi="hi-IN"/>
        </w:rPr>
        <w:fldChar w:fldCharType="separate"/>
      </w:r>
      <w:r w:rsidR="005A597E" w:rsidRPr="005A597E">
        <w:rPr>
          <w:rFonts w:ascii="Times New Roman" w:eastAsia="SimSun" w:hAnsi="Times New Roman" w:cs="Calibri"/>
          <w:noProof/>
          <w:color w:val="000000" w:themeColor="text1"/>
          <w:lang w:eastAsia="hi-IN" w:bidi="hi-IN"/>
        </w:rPr>
        <w:t>(Dalakouras &amp; Papadopoulou, 2020)</w:t>
      </w:r>
      <w:r w:rsidR="005A597E">
        <w:rPr>
          <w:rFonts w:ascii="Times New Roman" w:eastAsia="SimSun" w:hAnsi="Times New Roman" w:cs="Calibri"/>
          <w:color w:val="000000" w:themeColor="text1"/>
          <w:lang w:eastAsia="hi-IN" w:bidi="hi-IN"/>
        </w:rPr>
        <w:fldChar w:fldCharType="end"/>
      </w:r>
      <w:r w:rsidR="00A302A7">
        <w:rPr>
          <w:rFonts w:ascii="Times New Roman" w:eastAsia="SimSun" w:hAnsi="Times New Roman" w:cs="Calibri"/>
          <w:color w:val="000000" w:themeColor="text1"/>
          <w:lang w:eastAsia="hi-IN" w:bidi="hi-IN"/>
        </w:rPr>
        <w:t xml:space="preserve">. </w:t>
      </w:r>
    </w:p>
    <w:p w14:paraId="6ED5C302" w14:textId="023DAF53" w:rsidR="00CC2FBC" w:rsidRPr="00AF2E2C" w:rsidRDefault="00DA4EB9" w:rsidP="00AF2E2C">
      <w:pPr>
        <w:pStyle w:val="ListParagraph"/>
        <w:numPr>
          <w:ilvl w:val="0"/>
          <w:numId w:val="191"/>
        </w:numPr>
        <w:spacing w:line="240" w:lineRule="auto"/>
        <w:ind w:left="284" w:hanging="284"/>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d</w:t>
      </w:r>
      <w:r w:rsidR="00CC2FBC">
        <w:rPr>
          <w:rFonts w:ascii="Times New Roman" w:eastAsia="SimSun" w:hAnsi="Times New Roman" w:cs="Calibri"/>
          <w:color w:val="000000" w:themeColor="text1"/>
          <w:lang w:eastAsia="hi-IN" w:bidi="hi-IN"/>
        </w:rPr>
        <w:t>ifferential responses depending on environmental conditions and stage of development. Off-target testing should include different life stages of organisms as</w:t>
      </w:r>
      <w:r w:rsidR="00440502">
        <w:rPr>
          <w:rFonts w:ascii="Times New Roman" w:eastAsia="SimSun" w:hAnsi="Times New Roman" w:cs="Calibri"/>
          <w:color w:val="000000" w:themeColor="text1"/>
          <w:lang w:eastAsia="hi-IN" w:bidi="hi-IN"/>
        </w:rPr>
        <w:t xml:space="preserve"> accumulations of</w:t>
      </w:r>
      <w:r w:rsidR="00CC2FBC">
        <w:rPr>
          <w:rFonts w:ascii="Times New Roman" w:eastAsia="SimSun" w:hAnsi="Times New Roman" w:cs="Calibri"/>
          <w:color w:val="000000" w:themeColor="text1"/>
          <w:lang w:eastAsia="hi-IN" w:bidi="hi-IN"/>
        </w:rPr>
        <w:t xml:space="preserve"> transcripts </w:t>
      </w:r>
      <w:r w:rsidR="00440502">
        <w:rPr>
          <w:rFonts w:ascii="Times New Roman" w:eastAsia="SimSun" w:hAnsi="Times New Roman" w:cs="Calibri"/>
          <w:color w:val="000000" w:themeColor="text1"/>
          <w:lang w:eastAsia="hi-IN" w:bidi="hi-IN"/>
        </w:rPr>
        <w:t xml:space="preserve">will be differential during the lifecycle </w:t>
      </w:r>
      <w:r w:rsidR="005A597E">
        <w:rPr>
          <w:rFonts w:ascii="Times New Roman" w:eastAsia="SimSun" w:hAnsi="Times New Roman" w:cs="Calibri"/>
          <w:color w:val="000000" w:themeColor="text1"/>
          <w:lang w:eastAsia="hi-IN" w:bidi="hi-IN"/>
        </w:rPr>
        <w:fldChar w:fldCharType="begin" w:fldLock="1"/>
      </w:r>
      <w:r w:rsidR="005A597E">
        <w:rPr>
          <w:rFonts w:ascii="Times New Roman" w:eastAsia="SimSun" w:hAnsi="Times New Roman" w:cs="Calibri"/>
          <w:color w:val="000000" w:themeColor="text1"/>
          <w:lang w:eastAsia="hi-IN" w:bidi="hi-IN"/>
        </w:rPr>
        <w:instrText>ADDIN CSL_CITATION {"citationItems":[{"id":"ITEM-1","itemData":{"DOI":"10.3389/fphys.2018.01912","ISSN":"1664-042X","author":[{"dropping-particle":"","family":"Vogel","given":"Elise","non-dropping-particle":"","parse-names":false,"suffix":""},{"dropping-particle":"","family":"Santos","given":"Dulce","non-dropping-particle":"","parse-names":false,"suffix":""},{"dropping-particle":"","family":"Mingels","given":"Lina","non-dropping-particle":"","parse-names":false,"suffix":""},{"dropping-particle":"","family":"Verdonckt","given":"Thomas-Wolf","non-dropping-particle":"","parse-names":false,"suffix":""},{"dropping-particle":"Vanden","family":"Broeck","given":"Jozef","non-dropping-particle":"","parse-names":false,"suffix":""}],"container-title":"Frontiers in Physiology","id":"ITEM-1","issued":{"date-parts":[["2019","1","11"]]},"title":"RNA Interference in Insects: Protecting Beneficials and Controlling Pests","type":"article-journal","volume":"9"},"uris":["http://www.mendeley.com/documents/?uuid=f672ae68-19c0-4b47-806f-baa29ba7cc2b"]}],"mendeley":{"formattedCitation":"(Vogel et al., 2019)","plainTextFormattedCitation":"(Vogel et al., 2019)","previouslyFormattedCitation":"(Vogel et al., 2019)"},"properties":{"noteIndex":0},"schema":"https://github.com/citation-style-language/schema/raw/master/csl-citation.json"}</w:instrText>
      </w:r>
      <w:r w:rsidR="005A597E">
        <w:rPr>
          <w:rFonts w:ascii="Times New Roman" w:eastAsia="SimSun" w:hAnsi="Times New Roman" w:cs="Calibri"/>
          <w:color w:val="000000" w:themeColor="text1"/>
          <w:lang w:eastAsia="hi-IN" w:bidi="hi-IN"/>
        </w:rPr>
        <w:fldChar w:fldCharType="separate"/>
      </w:r>
      <w:r w:rsidR="005A597E" w:rsidRPr="005A597E">
        <w:rPr>
          <w:rFonts w:ascii="Times New Roman" w:eastAsia="SimSun" w:hAnsi="Times New Roman" w:cs="Calibri"/>
          <w:noProof/>
          <w:color w:val="000000" w:themeColor="text1"/>
          <w:lang w:eastAsia="hi-IN" w:bidi="hi-IN"/>
        </w:rPr>
        <w:t>(Vogel et al., 2019)</w:t>
      </w:r>
      <w:r w:rsidR="005A597E">
        <w:rPr>
          <w:rFonts w:ascii="Times New Roman" w:eastAsia="SimSun" w:hAnsi="Times New Roman" w:cs="Calibri"/>
          <w:color w:val="000000" w:themeColor="text1"/>
          <w:lang w:eastAsia="hi-IN" w:bidi="hi-IN"/>
        </w:rPr>
        <w:fldChar w:fldCharType="end"/>
      </w:r>
      <w:r w:rsidR="00F42192">
        <w:rPr>
          <w:rFonts w:ascii="Times New Roman" w:eastAsia="SimSun" w:hAnsi="Times New Roman" w:cs="Calibri"/>
          <w:color w:val="000000" w:themeColor="text1"/>
          <w:lang w:eastAsia="hi-IN" w:bidi="hi-IN"/>
        </w:rPr>
        <w:t xml:space="preserve">. </w:t>
      </w:r>
    </w:p>
    <w:p w14:paraId="44220A9F" w14:textId="4DE282B6" w:rsidR="008C433F" w:rsidRPr="006A4963" w:rsidRDefault="00C30D6B" w:rsidP="006A4963">
      <w:pPr>
        <w:pStyle w:val="Heading3"/>
      </w:pPr>
      <w:bookmarkStart w:id="105" w:name="_Toc70112696"/>
      <w:bookmarkStart w:id="106" w:name="_Toc70685718"/>
      <w:r w:rsidRPr="006A4963">
        <w:t>6</w:t>
      </w:r>
      <w:r w:rsidR="008C433F" w:rsidRPr="006A4963">
        <w:t>.2</w:t>
      </w:r>
      <w:r w:rsidR="00D1015B" w:rsidRPr="006A4963">
        <w:t>.</w:t>
      </w:r>
      <w:r w:rsidR="008C433F" w:rsidRPr="006A4963">
        <w:t xml:space="preserve"> Mitigation and management strategies</w:t>
      </w:r>
      <w:r w:rsidR="00D1015B" w:rsidRPr="006A4963">
        <w:t>.</w:t>
      </w:r>
      <w:bookmarkEnd w:id="105"/>
      <w:bookmarkEnd w:id="106"/>
    </w:p>
    <w:p w14:paraId="68FE4F86" w14:textId="0BAFB4F3" w:rsidR="008C433F" w:rsidRPr="003D4C1C" w:rsidRDefault="008C433F" w:rsidP="005D5924">
      <w:pPr>
        <w:spacing w:line="240" w:lineRule="auto"/>
        <w:jc w:val="both"/>
        <w:rPr>
          <w:rFonts w:asciiTheme="majorBidi" w:hAnsiTheme="majorBidi" w:cstheme="majorBidi"/>
          <w:lang w:eastAsia="ar-SA"/>
        </w:rPr>
      </w:pPr>
      <w:r w:rsidRPr="003D4C1C">
        <w:rPr>
          <w:rFonts w:asciiTheme="majorBidi" w:hAnsiTheme="majorBidi" w:cstheme="majorBidi"/>
          <w:lang w:eastAsia="ar-SA"/>
        </w:rPr>
        <w:t xml:space="preserve">Amongst synthetic biologists and in policy discussions, a commonly suggested response to the limitations of physical containment and the possibility of organisms successfully designed for environmental release is that synthetic biology be used to design organisms with “built-in safety features” </w:t>
      </w:r>
      <w:r w:rsidR="005A597E">
        <w:rPr>
          <w:rFonts w:asciiTheme="majorBidi" w:hAnsiTheme="majorBidi" w:cstheme="majorBidi"/>
          <w:lang w:eastAsia="ar-SA"/>
        </w:rPr>
        <w:fldChar w:fldCharType="begin" w:fldLock="1"/>
      </w:r>
      <w:r w:rsidR="00321EEC">
        <w:rPr>
          <w:rFonts w:asciiTheme="majorBidi" w:hAnsiTheme="majorBidi" w:cstheme="majorBidi"/>
          <w:lang w:eastAsia="ar-SA"/>
        </w:rPr>
        <w:instrText>ADDIN CSL_CITATION {"citationItems":[{"id":"ITEM-1","itemData":{"author":[{"dropping-particle":"","family":"Secretariat of the Convention on Biological Diversity","given":"","non-dropping-particle":"","parse-names":false,"suffix":""}],"id":"ITEM-1","issued":{"date-parts":[["2015"]]},"page":"19","title":"Report of the Ad Hoc Technical Expert Group on Synthetic Biology","type":"article"},"uris":["http://www.mendeley.com/documents/?uuid=cf2840a9-2b9e-4937-bb8f-607ee2d9469f"]}],"mendeley":{"formattedCitation":"(Secretariat of the Convention on Biological Diversity, 2015a)","manualFormatting":"(Secretariat of the Convention on Biological Diversity, 2015)","plainTextFormattedCitation":"(Secretariat of the Convention on Biological Diversity, 2015a)","previouslyFormattedCitation":"(Secretariat of the Convention on Biological Diversity, 2015a)"},"properties":{"noteIndex":0},"schema":"https://github.com/citation-style-language/schema/raw/master/csl-citation.json"}</w:instrText>
      </w:r>
      <w:r w:rsidR="005A597E">
        <w:rPr>
          <w:rFonts w:asciiTheme="majorBidi" w:hAnsiTheme="majorBidi" w:cstheme="majorBidi"/>
          <w:lang w:eastAsia="ar-SA"/>
        </w:rPr>
        <w:fldChar w:fldCharType="separate"/>
      </w:r>
      <w:r w:rsidR="005A597E" w:rsidRPr="005A597E">
        <w:rPr>
          <w:rFonts w:asciiTheme="majorBidi" w:hAnsiTheme="majorBidi" w:cstheme="majorBidi"/>
          <w:noProof/>
          <w:lang w:eastAsia="ar-SA"/>
        </w:rPr>
        <w:t>(Secretariat of the Convention on Biological Diversity, 2015)</w:t>
      </w:r>
      <w:r w:rsidR="005A597E">
        <w:rPr>
          <w:rFonts w:asciiTheme="majorBidi" w:hAnsiTheme="majorBidi" w:cstheme="majorBidi"/>
          <w:lang w:eastAsia="ar-SA"/>
        </w:rPr>
        <w:fldChar w:fldCharType="end"/>
      </w:r>
      <w:r w:rsidRPr="003D4C1C">
        <w:rPr>
          <w:rFonts w:asciiTheme="majorBidi" w:hAnsiTheme="majorBidi" w:cstheme="majorBidi"/>
          <w:lang w:eastAsia="ar-SA"/>
        </w:rPr>
        <w:t>. As such, following the identification of po</w:t>
      </w:r>
      <w:r w:rsidR="002B1217">
        <w:rPr>
          <w:rFonts w:asciiTheme="majorBidi" w:hAnsiTheme="majorBidi" w:cstheme="majorBidi"/>
          <w:lang w:eastAsia="ar-SA"/>
        </w:rPr>
        <w:t>tential</w:t>
      </w:r>
      <w:r w:rsidRPr="003D4C1C">
        <w:rPr>
          <w:rFonts w:asciiTheme="majorBidi" w:hAnsiTheme="majorBidi" w:cstheme="majorBidi"/>
          <w:lang w:eastAsia="ar-SA"/>
        </w:rPr>
        <w:t xml:space="preserve"> negative impacts on biodiversity associated with the application of synthetic biology to especially bacteria, insects and plants, a few molecular approaches have been proposed to contribute to risk mitigation strategies. For example, genetic techniques exist that permit the site-specific excision of unnecessary DNA, so that only the sequences of interest remain. Other mechanisms exist whereby the host organisms contain conditional suicide genes that may be activated under certain conditions. These methods act to prevent the spread and survival of the host organisms in the environment, and to prevent horizontal gene flow to wild or cultivated relatives.</w:t>
      </w:r>
    </w:p>
    <w:p w14:paraId="7DE554E5" w14:textId="6EBD9754" w:rsidR="008C433F" w:rsidRPr="003D4C1C" w:rsidRDefault="008C433F" w:rsidP="005D5924">
      <w:pPr>
        <w:spacing w:line="240" w:lineRule="auto"/>
        <w:jc w:val="both"/>
        <w:rPr>
          <w:rFonts w:asciiTheme="majorBidi" w:hAnsiTheme="majorBidi" w:cstheme="majorBidi"/>
          <w:lang w:eastAsia="ar-SA"/>
        </w:rPr>
      </w:pPr>
      <w:r w:rsidRPr="003D4C1C">
        <w:rPr>
          <w:rFonts w:asciiTheme="majorBidi" w:hAnsiTheme="majorBidi" w:cstheme="majorBidi"/>
          <w:lang w:eastAsia="ar-SA"/>
        </w:rPr>
        <w:t xml:space="preserve">There are a number of general areas of research that aim to develop built-in safety features: site-specific recombination, induced lethality; horizontal and vertical gene transfer prevention; trophic containment; and semantic containment </w:t>
      </w:r>
      <w:r w:rsidR="005A597E">
        <w:rPr>
          <w:rFonts w:asciiTheme="majorBidi" w:hAnsiTheme="majorBidi" w:cstheme="majorBidi"/>
          <w:lang w:eastAsia="ar-SA"/>
        </w:rPr>
        <w:fldChar w:fldCharType="begin" w:fldLock="1"/>
      </w:r>
      <w:r w:rsidR="00321EEC">
        <w:rPr>
          <w:rFonts w:asciiTheme="majorBidi" w:hAnsiTheme="majorBidi" w:cstheme="majorBidi"/>
          <w:lang w:eastAsia="ar-SA"/>
        </w:rPr>
        <w:instrText>ADDIN CSL_CITATION {"citationItems":[{"id":"ITEM-1","itemData":{"author":[{"dropping-particle":"","family":"Secretariat of the Convention on Biological Diversity","given":"","non-dropping-particle":"","parse-names":false,"suffix":""}],"id":"ITEM-1","issued":{"date-parts":[["2015"]]},"page":"19","title":"Report of the Ad Hoc Technical Expert Group on Synthetic Biology","type":"article"},"uris":["http://www.mendeley.com/documents/?uuid=cf2840a9-2b9e-4937-bb8f-607ee2d9469f"]}],"mendeley":{"formattedCitation":"(Secretariat of the Convention on Biological Diversity, 2015a)","manualFormatting":"(Secretariat of the Convention on Biological Diversity, 2015)","plainTextFormattedCitation":"(Secretariat of the Convention on Biological Diversity, 2015a)","previouslyFormattedCitation":"(Secretariat of the Convention on Biological Diversity, 2015a)"},"properties":{"noteIndex":0},"schema":"https://github.com/citation-style-language/schema/raw/master/csl-citation.json"}</w:instrText>
      </w:r>
      <w:r w:rsidR="005A597E">
        <w:rPr>
          <w:rFonts w:asciiTheme="majorBidi" w:hAnsiTheme="majorBidi" w:cstheme="majorBidi"/>
          <w:lang w:eastAsia="ar-SA"/>
        </w:rPr>
        <w:fldChar w:fldCharType="separate"/>
      </w:r>
      <w:r w:rsidR="005A597E" w:rsidRPr="005A597E">
        <w:rPr>
          <w:rFonts w:asciiTheme="majorBidi" w:hAnsiTheme="majorBidi" w:cstheme="majorBidi"/>
          <w:noProof/>
          <w:lang w:eastAsia="ar-SA"/>
        </w:rPr>
        <w:t>(Secretariat of the Convention on Biological Diversity, 2015)</w:t>
      </w:r>
      <w:r w:rsidR="005A597E">
        <w:rPr>
          <w:rFonts w:asciiTheme="majorBidi" w:hAnsiTheme="majorBidi" w:cstheme="majorBidi"/>
          <w:lang w:eastAsia="ar-SA"/>
        </w:rPr>
        <w:fldChar w:fldCharType="end"/>
      </w:r>
      <w:r w:rsidRPr="003D4C1C">
        <w:rPr>
          <w:rFonts w:asciiTheme="majorBidi" w:hAnsiTheme="majorBidi" w:cstheme="majorBidi"/>
          <w:lang w:eastAsia="ar-SA"/>
        </w:rPr>
        <w:t xml:space="preserve">. </w:t>
      </w:r>
      <w:r w:rsidR="00CA34EB">
        <w:rPr>
          <w:rFonts w:asciiTheme="majorBidi" w:hAnsiTheme="majorBidi" w:cstheme="majorBidi"/>
          <w:lang w:eastAsia="ar-SA"/>
        </w:rPr>
        <w:t>Some of t</w:t>
      </w:r>
      <w:r w:rsidRPr="003D4C1C">
        <w:rPr>
          <w:rFonts w:asciiTheme="majorBidi" w:hAnsiTheme="majorBidi" w:cstheme="majorBidi"/>
          <w:lang w:eastAsia="ar-SA"/>
        </w:rPr>
        <w:t>hese</w:t>
      </w:r>
      <w:r w:rsidR="00CA34EB">
        <w:rPr>
          <w:rFonts w:asciiTheme="majorBidi" w:hAnsiTheme="majorBidi" w:cstheme="majorBidi"/>
          <w:lang w:eastAsia="ar-SA"/>
        </w:rPr>
        <w:t>, and others</w:t>
      </w:r>
      <w:r w:rsidR="005E2ABD">
        <w:rPr>
          <w:rFonts w:asciiTheme="majorBidi" w:hAnsiTheme="majorBidi" w:cstheme="majorBidi"/>
          <w:lang w:eastAsia="ar-SA"/>
        </w:rPr>
        <w:t>,</w:t>
      </w:r>
      <w:r w:rsidRPr="003D4C1C">
        <w:rPr>
          <w:rFonts w:asciiTheme="majorBidi" w:hAnsiTheme="majorBidi" w:cstheme="majorBidi"/>
          <w:lang w:eastAsia="ar-SA"/>
        </w:rPr>
        <w:t xml:space="preserve"> are discussed in following.</w:t>
      </w:r>
    </w:p>
    <w:p w14:paraId="61F6C967" w14:textId="2F5ABBEA" w:rsidR="008C433F" w:rsidRPr="00D1015B" w:rsidRDefault="00C30D6B" w:rsidP="007116C5">
      <w:pPr>
        <w:pStyle w:val="Heading4"/>
        <w:rPr>
          <w:rFonts w:asciiTheme="minorHAnsi" w:hAnsiTheme="minorHAnsi"/>
          <w:i w:val="0"/>
          <w:lang w:val="en-US"/>
        </w:rPr>
      </w:pPr>
      <w:r w:rsidRPr="00D1015B">
        <w:rPr>
          <w:i w:val="0"/>
        </w:rPr>
        <w:t>6</w:t>
      </w:r>
      <w:r w:rsidR="00C11E13" w:rsidRPr="00D1015B">
        <w:rPr>
          <w:i w:val="0"/>
        </w:rPr>
        <w:t>.2</w:t>
      </w:r>
      <w:r w:rsidR="008C433F" w:rsidRPr="00D1015B">
        <w:rPr>
          <w:i w:val="0"/>
        </w:rPr>
        <w:t>.1. Removing unwanted inserted sequences</w:t>
      </w:r>
      <w:r w:rsidR="00D1015B">
        <w:rPr>
          <w:rFonts w:asciiTheme="minorHAnsi" w:hAnsiTheme="minorHAnsi"/>
          <w:i w:val="0"/>
          <w:iCs/>
          <w:lang w:val="en-US"/>
        </w:rPr>
        <w:t>.</w:t>
      </w:r>
    </w:p>
    <w:p w14:paraId="53996A21" w14:textId="3D164846" w:rsidR="008C433F" w:rsidRPr="003D4C1C" w:rsidRDefault="008C433F" w:rsidP="001F3892">
      <w:pPr>
        <w:spacing w:line="240" w:lineRule="auto"/>
        <w:jc w:val="both"/>
        <w:rPr>
          <w:rFonts w:asciiTheme="majorBidi" w:hAnsiTheme="majorBidi" w:cstheme="majorBidi"/>
          <w:lang w:eastAsia="ar-SA"/>
        </w:rPr>
      </w:pPr>
      <w:r w:rsidRPr="003D4C1C">
        <w:rPr>
          <w:rFonts w:asciiTheme="majorBidi" w:hAnsiTheme="majorBidi" w:cstheme="majorBidi"/>
          <w:lang w:eastAsia="ar-SA"/>
        </w:rPr>
        <w:t xml:space="preserve">Site-specific recombination systems are common in prokaryotes and lower eukaryotes such as yeast and serve various biological functions </w:t>
      </w:r>
      <w:r w:rsidR="00321EEC">
        <w:rPr>
          <w:rFonts w:asciiTheme="majorBidi" w:hAnsiTheme="majorBidi" w:cstheme="majorBidi"/>
          <w:lang w:eastAsia="ar-SA"/>
        </w:rPr>
        <w:fldChar w:fldCharType="begin" w:fldLock="1"/>
      </w:r>
      <w:r w:rsidR="0080517B">
        <w:rPr>
          <w:rFonts w:asciiTheme="majorBidi" w:hAnsiTheme="majorBidi" w:cstheme="majorBidi"/>
          <w:lang w:eastAsia="ar-SA"/>
        </w:rPr>
        <w:instrText>ADDIN CSL_CITATION {"citationItems":[{"id":"ITEM-1","itemData":{"DOI":"10.1146/annurev.biochem.73.011303.073908","ISSN":"0066-4154","author":[{"dropping-particle":"","family":"Grindley","given":"Nigel D.F.","non-dropping-particle":"","parse-names":false,"suffix":""},{"dropping-particle":"","family":"Whiteson","given":"Katrine L.","non-dropping-particle":"","parse-names":false,"suffix":""},{"dropping-particle":"","family":"Rice","given":"Phoebe A.","non-dropping-particle":"","parse-names":false,"suffix":""}],"container-title":"Annual Review of Biochemistry","id":"ITEM-1","issue":"1","issued":{"date-parts":[["2006","6"]]},"page":"567-605","title":"Mechanisms of Site-Specific Recombination","type":"article-journal","volume":"75"},"uris":["http://www.mendeley.com/documents/?uuid=a59df094-b24e-49cf-a184-b61da6789dd4"]}],"mendeley":{"formattedCitation":"(Grindley et al., 2006)","plainTextFormattedCitation":"(Grindley et al., 2006)","previouslyFormattedCitation":"(Grindley et al., 2006)"},"properties":{"noteIndex":0},"schema":"https://github.com/citation-style-language/schema/raw/master/csl-citation.json"}</w:instrText>
      </w:r>
      <w:r w:rsidR="00321EEC">
        <w:rPr>
          <w:rFonts w:asciiTheme="majorBidi" w:hAnsiTheme="majorBidi" w:cstheme="majorBidi"/>
          <w:lang w:eastAsia="ar-SA"/>
        </w:rPr>
        <w:fldChar w:fldCharType="separate"/>
      </w:r>
      <w:r w:rsidR="00321EEC" w:rsidRPr="00321EEC">
        <w:rPr>
          <w:rFonts w:asciiTheme="majorBidi" w:hAnsiTheme="majorBidi" w:cstheme="majorBidi"/>
          <w:noProof/>
          <w:lang w:eastAsia="ar-SA"/>
        </w:rPr>
        <w:t>(Grindley et al., 2006)</w:t>
      </w:r>
      <w:r w:rsidR="00321EEC">
        <w:rPr>
          <w:rFonts w:asciiTheme="majorBidi" w:hAnsiTheme="majorBidi" w:cstheme="majorBidi"/>
          <w:lang w:eastAsia="ar-SA"/>
        </w:rPr>
        <w:fldChar w:fldCharType="end"/>
      </w:r>
      <w:r w:rsidRPr="003D4C1C">
        <w:rPr>
          <w:rFonts w:asciiTheme="majorBidi" w:hAnsiTheme="majorBidi" w:cstheme="majorBidi"/>
          <w:lang w:eastAsia="ar-SA"/>
        </w:rPr>
        <w:t>. The recombinase protein catalyses recombination of DNA between two recognition sites. The outcome of the recombination can be site-specific excision, integration, inversion</w:t>
      </w:r>
      <w:r w:rsidR="00E37534">
        <w:rPr>
          <w:rFonts w:asciiTheme="majorBidi" w:hAnsiTheme="majorBidi" w:cstheme="majorBidi"/>
          <w:lang w:eastAsia="ar-SA"/>
        </w:rPr>
        <w:t>,</w:t>
      </w:r>
      <w:r w:rsidRPr="003D4C1C">
        <w:rPr>
          <w:rFonts w:asciiTheme="majorBidi" w:hAnsiTheme="majorBidi" w:cstheme="majorBidi"/>
          <w:lang w:eastAsia="ar-SA"/>
        </w:rPr>
        <w:t xml:space="preserve"> or translocation depending on the position and the relative orientation of the two recognition sites on the DNA molecules (either linear or circular form), and the type of reaction is dependent on enzyme type. </w:t>
      </w:r>
      <w:r w:rsidRPr="00B4550C">
        <w:rPr>
          <w:rFonts w:asciiTheme="majorBidi" w:hAnsiTheme="majorBidi" w:cstheme="majorBidi"/>
          <w:i/>
          <w:iCs/>
          <w:lang w:eastAsia="ar-SA"/>
        </w:rPr>
        <w:t>Cre-lox</w:t>
      </w:r>
      <w:r w:rsidRPr="003D4C1C">
        <w:rPr>
          <w:rFonts w:asciiTheme="majorBidi" w:hAnsiTheme="majorBidi" w:cstheme="majorBidi"/>
          <w:lang w:eastAsia="ar-SA"/>
        </w:rPr>
        <w:t xml:space="preserve"> site-specific recombination system was first used to remove extraneous genetic sequences in tobacco </w:t>
      </w:r>
      <w:r w:rsidR="0080517B">
        <w:rPr>
          <w:rFonts w:asciiTheme="majorBidi" w:hAnsiTheme="majorBidi" w:cstheme="majorBidi"/>
          <w:lang w:eastAsia="ar-SA"/>
        </w:rPr>
        <w:fldChar w:fldCharType="begin" w:fldLock="1"/>
      </w:r>
      <w:r w:rsidR="00A1517E">
        <w:rPr>
          <w:rFonts w:asciiTheme="majorBidi" w:hAnsiTheme="majorBidi" w:cstheme="majorBidi"/>
          <w:lang w:eastAsia="ar-SA"/>
        </w:rPr>
        <w:instrText>ADDIN CSL_CITATION {"citationItems":[{"id":"ITEM-1","itemData":{"DOI":"10.1016/0378-1119(90)90165-N","ISSN":"03781119","author":[{"dropping-particle":"","family":"Dale","given":"Emily C.","non-dropping-particle":"","parse-names":false,"suffix":""},{"dropping-particle":"","family":"Ow","given":"David W.","non-dropping-particle":"","parse-names":false,"suffix":""}],"container-title":"Gene","id":"ITEM-1","issue":"1","issued":{"date-parts":[["1990","1"]]},"page":"79-85","title":"Intra- and intramolecular site-specific recombination in plant cells mediated by bacteriophage P1 recombinase","type":"article-journal","volume":"91"},"uris":["http://www.mendeley.com/documents/?uuid=6f915540-e291-4832-897d-d8e4ce6cb6d3"]}],"mendeley":{"formattedCitation":"(Dale &amp; Ow, 1990)","plainTextFormattedCitation":"(Dale &amp; Ow, 1990)","previouslyFormattedCitation":"(Dale &amp; Ow, 1990)"},"properties":{"noteIndex":0},"schema":"https://github.com/citation-style-language/schema/raw/master/csl-citation.json"}</w:instrText>
      </w:r>
      <w:r w:rsidR="0080517B">
        <w:rPr>
          <w:rFonts w:asciiTheme="majorBidi" w:hAnsiTheme="majorBidi" w:cstheme="majorBidi"/>
          <w:lang w:eastAsia="ar-SA"/>
        </w:rPr>
        <w:fldChar w:fldCharType="separate"/>
      </w:r>
      <w:r w:rsidR="0080517B" w:rsidRPr="0080517B">
        <w:rPr>
          <w:rFonts w:asciiTheme="majorBidi" w:hAnsiTheme="majorBidi" w:cstheme="majorBidi"/>
          <w:noProof/>
          <w:lang w:eastAsia="ar-SA"/>
        </w:rPr>
        <w:t>(Dale &amp; Ow, 1990)</w:t>
      </w:r>
      <w:r w:rsidR="0080517B">
        <w:rPr>
          <w:rFonts w:asciiTheme="majorBidi" w:hAnsiTheme="majorBidi" w:cstheme="majorBidi"/>
          <w:lang w:eastAsia="ar-SA"/>
        </w:rPr>
        <w:fldChar w:fldCharType="end"/>
      </w:r>
      <w:r w:rsidRPr="003D4C1C">
        <w:rPr>
          <w:rFonts w:asciiTheme="majorBidi" w:hAnsiTheme="majorBidi" w:cstheme="majorBidi"/>
          <w:lang w:eastAsia="ar-SA"/>
        </w:rPr>
        <w:t xml:space="preserve">. Since then, </w:t>
      </w:r>
      <w:r w:rsidRPr="00B4550C">
        <w:rPr>
          <w:rFonts w:asciiTheme="majorBidi" w:hAnsiTheme="majorBidi" w:cstheme="majorBidi"/>
          <w:i/>
          <w:iCs/>
          <w:lang w:eastAsia="ar-SA"/>
        </w:rPr>
        <w:t>Cre-lox</w:t>
      </w:r>
      <w:r w:rsidRPr="003D4C1C">
        <w:rPr>
          <w:rFonts w:asciiTheme="majorBidi" w:hAnsiTheme="majorBidi" w:cstheme="majorBidi"/>
          <w:lang w:eastAsia="ar-SA"/>
        </w:rPr>
        <w:t xml:space="preserve"> or other later-identified site-specific recombination systems (e.g. meganucleases, TALENs and ZFNs) have been used to eliminate undesirable inserted sequences in an ever-widening range of plants </w:t>
      </w:r>
      <w:r w:rsidR="00A1517E">
        <w:rPr>
          <w:rFonts w:asciiTheme="majorBidi" w:hAnsiTheme="majorBidi" w:cstheme="majorBidi"/>
          <w:lang w:eastAsia="ar-SA"/>
        </w:rPr>
        <w:fldChar w:fldCharType="begin" w:fldLock="1"/>
      </w:r>
      <w:r w:rsidR="00F54523">
        <w:rPr>
          <w:rFonts w:asciiTheme="majorBidi" w:hAnsiTheme="majorBidi" w:cstheme="majorBidi"/>
          <w:lang w:eastAsia="ar-SA"/>
        </w:rPr>
        <w:instrText>ADDIN CSL_CITATION {"citationItems":[{"id":"ITEM-1","itemData":{"DOI":"10.1007/s11627-008-9140-3","ISSN":"1054-5476","author":[{"dropping-particle":"","family":"Gidoni","given":"David","non-dropping-particle":"","parse-names":false,"suffix":""},{"dropping-particle":"","family":"Srivastava","given":"Vibha","non-dropping-particle":"","parse-names":false,"suffix":""},{"dropping-particle":"","family":"Carmi","given":"Nir","non-dropping-particle":"","parse-names":false,"suffix":""}],"container-title":"In Vitro Cellular &amp; Developmental Biology - Plant","id":"ITEM-1","issue":"6","issued":{"date-parts":[["2008","12","14"]]},"page":"457-467","title":"Site-specific excisional recombination strategies for elimination of undesirable transgenes from crop plants","type":"article-journal","volume":"44"},"uris":["http://www.mendeley.com/documents/?uuid=8418ace6-6ee4-477c-ba91-3ab7362572e8"]},{"id":"ITEM-2","itemData":{"DOI":"10.1186/1472-6750-13-36","ISSN":"1472-6750","author":[{"dropping-particle":"","family":"Yau","given":"Yuan-Yeu","non-dropping-particle":"","parse-names":false,"suffix":""},{"dropping-particle":"","family":"Stewart","given":"C Neal","non-dropping-particle":"","parse-names":false,"suffix":""}],"container-title":"BMC Biotechnology","id":"ITEM-2","issue":"1","issued":{"date-parts":[["2013","12","23"]]},"page":"36","title":"Less is more: strategies to remove marker genes from transgenic plants","type":"article-journal","volume":"13"},"uris":["http://www.mendeley.com/documents/?uuid=57967e99-5182-49d9-ae9b-9548ef3b8d5d"]}],"mendeley":{"formattedCitation":"(Gidoni et al., 2008; Yau &amp; Stewart, 2013)","plainTextFormattedCitation":"(Gidoni et al., 2008; Yau &amp; Stewart, 2013)","previouslyFormattedCitation":"(Gidoni et al., 2008; Yau &amp; Stewart, 2013)"},"properties":{"noteIndex":0},"schema":"https://github.com/citation-style-language/schema/raw/master/csl-citation.json"}</w:instrText>
      </w:r>
      <w:r w:rsidR="00A1517E">
        <w:rPr>
          <w:rFonts w:asciiTheme="majorBidi" w:hAnsiTheme="majorBidi" w:cstheme="majorBidi"/>
          <w:lang w:eastAsia="ar-SA"/>
        </w:rPr>
        <w:fldChar w:fldCharType="separate"/>
      </w:r>
      <w:r w:rsidR="00A1517E" w:rsidRPr="00A1517E">
        <w:rPr>
          <w:rFonts w:asciiTheme="majorBidi" w:hAnsiTheme="majorBidi" w:cstheme="majorBidi"/>
          <w:noProof/>
          <w:lang w:eastAsia="ar-SA"/>
        </w:rPr>
        <w:t>(Gidoni et al., 2008; Yau &amp; Stewart, 2013)</w:t>
      </w:r>
      <w:r w:rsidR="00A1517E">
        <w:rPr>
          <w:rFonts w:asciiTheme="majorBidi" w:hAnsiTheme="majorBidi" w:cstheme="majorBidi"/>
          <w:lang w:eastAsia="ar-SA"/>
        </w:rPr>
        <w:fldChar w:fldCharType="end"/>
      </w:r>
      <w:r w:rsidRPr="003D4C1C">
        <w:rPr>
          <w:rFonts w:asciiTheme="majorBidi" w:hAnsiTheme="majorBidi" w:cstheme="majorBidi"/>
          <w:lang w:eastAsia="ar-SA"/>
        </w:rPr>
        <w:t>.</w:t>
      </w:r>
    </w:p>
    <w:p w14:paraId="3F895B8A" w14:textId="351056CC" w:rsidR="008C433F" w:rsidRPr="00AE65A3" w:rsidRDefault="00C30D6B" w:rsidP="00AE65A3">
      <w:pPr>
        <w:pStyle w:val="Heading4"/>
        <w:rPr>
          <w:i w:val="0"/>
        </w:rPr>
      </w:pPr>
      <w:r w:rsidRPr="00AE65A3">
        <w:rPr>
          <w:i w:val="0"/>
        </w:rPr>
        <w:t>6</w:t>
      </w:r>
      <w:r w:rsidR="008C433F" w:rsidRPr="00AE65A3">
        <w:rPr>
          <w:i w:val="0"/>
        </w:rPr>
        <w:t>.2.2. Use of lethality and synthetic resistance</w:t>
      </w:r>
      <w:r w:rsidR="00E37534" w:rsidRPr="00AE65A3">
        <w:rPr>
          <w:i w:val="0"/>
        </w:rPr>
        <w:t>.</w:t>
      </w:r>
    </w:p>
    <w:p w14:paraId="13899806" w14:textId="606D483A" w:rsidR="008C433F" w:rsidRPr="003D4C1C" w:rsidRDefault="008C433F" w:rsidP="00AE7B1F">
      <w:pPr>
        <w:spacing w:line="240" w:lineRule="auto"/>
        <w:jc w:val="both"/>
        <w:rPr>
          <w:rFonts w:asciiTheme="majorBidi" w:hAnsiTheme="majorBidi" w:cstheme="majorBidi"/>
          <w:lang w:eastAsia="ar-SA"/>
        </w:rPr>
      </w:pPr>
      <w:r w:rsidRPr="003D4C1C">
        <w:rPr>
          <w:rFonts w:asciiTheme="majorBidi" w:hAnsiTheme="majorBidi" w:cstheme="majorBidi"/>
          <w:lang w:eastAsia="ar-SA"/>
        </w:rPr>
        <w:t xml:space="preserve">When considering engineered induced lethality (also referred to as “kill switch” or “suicide gene”) (Section </w:t>
      </w:r>
      <w:r w:rsidR="00143A1B" w:rsidRPr="003D4C1C">
        <w:rPr>
          <w:rFonts w:asciiTheme="majorBidi" w:hAnsiTheme="majorBidi" w:cstheme="majorBidi"/>
          <w:lang w:eastAsia="ar-SA"/>
        </w:rPr>
        <w:t xml:space="preserve">Section </w:t>
      </w:r>
      <w:r w:rsidRPr="003D4C1C">
        <w:rPr>
          <w:rFonts w:asciiTheme="majorBidi" w:hAnsiTheme="majorBidi" w:cstheme="majorBidi"/>
          <w:lang w:eastAsia="ar-SA"/>
        </w:rPr>
        <w:t>3</w:t>
      </w:r>
      <w:r w:rsidR="00143A1B">
        <w:rPr>
          <w:rFonts w:asciiTheme="majorBidi" w:hAnsiTheme="majorBidi" w:cstheme="majorBidi"/>
          <w:lang w:eastAsia="ar-SA"/>
        </w:rPr>
        <w:t>.3</w:t>
      </w:r>
      <w:r w:rsidR="00143A1B" w:rsidRPr="003D4C1C">
        <w:rPr>
          <w:rFonts w:asciiTheme="majorBidi" w:hAnsiTheme="majorBidi" w:cstheme="majorBidi"/>
          <w:lang w:eastAsia="ar-SA"/>
        </w:rPr>
        <w:t>.3</w:t>
      </w:r>
      <w:r w:rsidR="00143A1B">
        <w:rPr>
          <w:rFonts w:asciiTheme="majorBidi" w:hAnsiTheme="majorBidi" w:cstheme="majorBidi"/>
          <w:lang w:eastAsia="ar-SA"/>
        </w:rPr>
        <w:t>(d)</w:t>
      </w:r>
      <w:r w:rsidRPr="003D4C1C">
        <w:rPr>
          <w:rFonts w:asciiTheme="majorBidi" w:hAnsiTheme="majorBidi" w:cstheme="majorBidi"/>
          <w:lang w:eastAsia="ar-SA"/>
        </w:rPr>
        <w:t xml:space="preserve">.), as discussed by Wright et al. </w:t>
      </w:r>
      <w:r w:rsidR="00F54523">
        <w:rPr>
          <w:rFonts w:asciiTheme="majorBidi" w:hAnsiTheme="majorBidi" w:cstheme="majorBidi"/>
          <w:lang w:eastAsia="ar-SA"/>
        </w:rPr>
        <w:fldChar w:fldCharType="begin" w:fldLock="1"/>
      </w:r>
      <w:r w:rsidR="00F54523">
        <w:rPr>
          <w:rFonts w:asciiTheme="majorBidi" w:hAnsiTheme="majorBidi" w:cstheme="majorBidi"/>
          <w:lang w:eastAsia="ar-SA"/>
        </w:rPr>
        <w:instrText>ADDIN CSL_CITATION {"citationItems":[{"id":"ITEM-1","itemData":{"DOI":"10.1099/mic.0.066308-0","ISSN":"1350-0872","author":[{"dropping-particle":"","family":"Wright","given":"Oliver","non-dropping-particle":"","parse-names":false,"suffix":""},{"dropping-particle":"","family":"Stan","given":"Guy-Bart","non-dropping-particle":"","parse-names":false,"suffix":""},{"dropping-particle":"","family":"Ellis","given":"Tom","non-dropping-particle":"","parse-names":false,"suffix":""}],"container-title":"Microbiology","id":"ITEM-1","issue":"Pt_7","issued":{"date-parts":[["2013","7","1"]]},"page":"1221-1235","title":"Building-in biosafety for synthetic biology","type":"article-journal","volume":"159"},"uris":["http://www.mendeley.com/documents/?uuid=66426117-e27d-4707-a3a6-16520deabc09"]}],"mendeley":{"formattedCitation":"(Wright et al., 2013)","manualFormatting":"(2013)","plainTextFormattedCitation":"(Wright et al., 2013)","previouslyFormattedCitation":"(Wright et al., 2013)"},"properties":{"noteIndex":0},"schema":"https://github.com/citation-style-language/schema/raw/master/csl-citation.json"}</w:instrText>
      </w:r>
      <w:r w:rsidR="00F54523">
        <w:rPr>
          <w:rFonts w:asciiTheme="majorBidi" w:hAnsiTheme="majorBidi" w:cstheme="majorBidi"/>
          <w:lang w:eastAsia="ar-SA"/>
        </w:rPr>
        <w:fldChar w:fldCharType="separate"/>
      </w:r>
      <w:r w:rsidR="00F54523" w:rsidRPr="00087CDF">
        <w:rPr>
          <w:rFonts w:asciiTheme="majorBidi" w:hAnsiTheme="majorBidi" w:cstheme="majorBidi"/>
          <w:noProof/>
          <w:lang w:val="fr-CA" w:eastAsia="ar-SA"/>
        </w:rPr>
        <w:t>(2013)</w:t>
      </w:r>
      <w:r w:rsidR="00F54523">
        <w:rPr>
          <w:rFonts w:asciiTheme="majorBidi" w:hAnsiTheme="majorBidi" w:cstheme="majorBidi"/>
          <w:lang w:eastAsia="ar-SA"/>
        </w:rPr>
        <w:fldChar w:fldCharType="end"/>
      </w:r>
      <w:r w:rsidRPr="00087CDF">
        <w:rPr>
          <w:rFonts w:asciiTheme="majorBidi" w:hAnsiTheme="majorBidi" w:cstheme="majorBidi"/>
          <w:lang w:val="fr-CA" w:eastAsia="ar-SA"/>
        </w:rPr>
        <w:t xml:space="preserve">, Schmidt and de Lorenzo </w:t>
      </w:r>
      <w:r w:rsidR="00F54523">
        <w:rPr>
          <w:rFonts w:asciiTheme="majorBidi" w:hAnsiTheme="majorBidi" w:cstheme="majorBidi"/>
          <w:lang w:eastAsia="ar-SA"/>
        </w:rPr>
        <w:fldChar w:fldCharType="begin" w:fldLock="1"/>
      </w:r>
      <w:r w:rsidR="00F54523">
        <w:rPr>
          <w:rFonts w:asciiTheme="majorBidi" w:hAnsiTheme="majorBidi" w:cstheme="majorBidi"/>
          <w:lang w:val="fr-CA" w:eastAsia="ar-SA"/>
        </w:rPr>
        <w:instrText>ADDIN CSL_CITATION {"citationItems":[{"id":"ITEM-1","itemData":{"DOI":"10.1016/j.febslet.2012.02.022","ISSN":"00145793","author":[{"dropping-particle":"","family":"Schmidt","given":"Markus","non-dropping-particle":"","parse-names":false,"suffix":""},{"dropping-particle":"","family":"Lorenzo","given":"Víctor","non-dropping-particle":"de","parse-names":false,"suffix":""}],"container-title":"FEBS Letters","id":"ITEM-1","issue":"15","issued":{"date-parts":[["2012","7","16"]]},"page":"2199-2206","title":"Synthetic constructs in/for the environment: Managing the interplay between natural and engineered Biology","type":"article-journal","volume":"586"},"uris":["http://www.mendeley.com/documents/?uuid=c242f4e1-62c7-4ca8-abaf-d2f20f2e0d7f"]}],"mendeley":{"formattedCitation":"(Schmidt &amp; de Lorenzo, 2012)","manualFormatting":"(2012)","plainTextFormattedCitation":"(Schmidt &amp; de Lorenzo, 2012)","previouslyFormattedCitation":"(Schmidt &amp; de Lorenzo, 2012)"},"properties":{"noteIndex":0},"schema":"https://github.com/citation-style-language/schema/raw/master/csl-citation.json"}</w:instrText>
      </w:r>
      <w:r w:rsidR="00F54523">
        <w:rPr>
          <w:rFonts w:asciiTheme="majorBidi" w:hAnsiTheme="majorBidi" w:cstheme="majorBidi"/>
          <w:lang w:eastAsia="ar-SA"/>
        </w:rPr>
        <w:fldChar w:fldCharType="separate"/>
      </w:r>
      <w:r w:rsidR="00F54523" w:rsidRPr="00087CDF">
        <w:rPr>
          <w:rFonts w:asciiTheme="majorBidi" w:hAnsiTheme="majorBidi" w:cstheme="majorBidi"/>
          <w:noProof/>
          <w:lang w:val="fr-CA" w:eastAsia="ar-SA"/>
        </w:rPr>
        <w:t>(2012)</w:t>
      </w:r>
      <w:r w:rsidR="00F54523">
        <w:rPr>
          <w:rFonts w:asciiTheme="majorBidi" w:hAnsiTheme="majorBidi" w:cstheme="majorBidi"/>
          <w:lang w:eastAsia="ar-SA"/>
        </w:rPr>
        <w:fldChar w:fldCharType="end"/>
      </w:r>
      <w:r w:rsidRPr="00087CDF">
        <w:rPr>
          <w:rFonts w:asciiTheme="majorBidi" w:hAnsiTheme="majorBidi" w:cstheme="majorBidi"/>
          <w:lang w:val="fr-CA" w:eastAsia="ar-SA"/>
        </w:rPr>
        <w:t xml:space="preserve">, and Moe-Behrens et al. </w:t>
      </w:r>
      <w:r w:rsidR="00F54523">
        <w:rPr>
          <w:rFonts w:asciiTheme="majorBidi" w:hAnsiTheme="majorBidi" w:cstheme="majorBidi"/>
          <w:lang w:val="fr-CA" w:eastAsia="ar-SA"/>
        </w:rPr>
        <w:fldChar w:fldCharType="begin" w:fldLock="1"/>
      </w:r>
      <w:r w:rsidR="00F54523">
        <w:rPr>
          <w:rFonts w:asciiTheme="majorBidi" w:hAnsiTheme="majorBidi" w:cstheme="majorBidi"/>
          <w:lang w:val="fr-CA" w:eastAsia="ar-SA"/>
        </w:rPr>
        <w:instrText>ADDIN CSL_CITATION {"citationItems":[{"id":"ITEM-1","itemData":{"DOI":"10.3389/fmicb.2013.00005","ISSN":"1664-302X","author":[{"dropping-particle":"","family":"Moe-Behrens","given":"Gerd H. G.","non-dropping-particle":"","parse-names":false,"suffix":""},{"dropping-particle":"","family":"Davis","given":"Rene","non-dropping-particle":"","parse-names":false,"suffix":""},{"dropping-particle":"","family":"Haynes","given":"Karmella A.","non-dropping-particle":"","parse-names":false,"suffix":""}],"container-title":"Frontiers in Microbiology","id":"ITEM-1","issued":{"date-parts":[["2013"]]},"title":"Preparing synthetic biology for the world","type":"article-journal","volume":"4"},"uris":["http://www.mendeley.com/documents/?uuid=fa6aa38b-c545-4a6b-8a92-30be9407ecd6"]}],"mendeley":{"formattedCitation":"(Moe-Behrens et al., 2013)","manualFormatting":"(2013)","plainTextFormattedCitation":"(Moe-Behrens et al., 2013)","previouslyFormattedCitation":"(Moe-Behrens et al., 2013)"},"properties":{"noteIndex":0},"schema":"https://github.com/citation-style-language/schema/raw/master/csl-citation.json"}</w:instrText>
      </w:r>
      <w:r w:rsidR="00F54523">
        <w:rPr>
          <w:rFonts w:asciiTheme="majorBidi" w:hAnsiTheme="majorBidi" w:cstheme="majorBidi"/>
          <w:lang w:val="fr-CA" w:eastAsia="ar-SA"/>
        </w:rPr>
        <w:fldChar w:fldCharType="separate"/>
      </w:r>
      <w:r w:rsidR="00F54523" w:rsidRPr="00087CDF">
        <w:rPr>
          <w:rFonts w:asciiTheme="majorBidi" w:hAnsiTheme="majorBidi" w:cstheme="majorBidi"/>
          <w:noProof/>
          <w:lang w:val="en-US" w:eastAsia="ar-SA"/>
        </w:rPr>
        <w:t>(2013)</w:t>
      </w:r>
      <w:r w:rsidR="00F54523">
        <w:rPr>
          <w:rFonts w:asciiTheme="majorBidi" w:hAnsiTheme="majorBidi" w:cstheme="majorBidi"/>
          <w:lang w:val="fr-CA" w:eastAsia="ar-SA"/>
        </w:rPr>
        <w:fldChar w:fldCharType="end"/>
      </w:r>
      <w:r w:rsidRPr="003D4C1C">
        <w:rPr>
          <w:rFonts w:asciiTheme="majorBidi" w:hAnsiTheme="majorBidi" w:cstheme="majorBidi"/>
          <w:lang w:eastAsia="ar-SA"/>
        </w:rPr>
        <w:t xml:space="preserve">, kill switches in microbes are prone to failure and thus has implications for the design of genetically engineered bacterial product for environmental applications (Section </w:t>
      </w:r>
      <w:r w:rsidR="00143A1B">
        <w:rPr>
          <w:rFonts w:asciiTheme="majorBidi" w:hAnsiTheme="majorBidi" w:cstheme="majorBidi"/>
          <w:lang w:eastAsia="ar-SA"/>
        </w:rPr>
        <w:t>6.2</w:t>
      </w:r>
      <w:r w:rsidRPr="003D4C1C">
        <w:rPr>
          <w:rFonts w:asciiTheme="majorBidi" w:hAnsiTheme="majorBidi" w:cstheme="majorBidi"/>
          <w:lang w:eastAsia="ar-SA"/>
        </w:rPr>
        <w:t>.3.). The selective pressure acting to inactivate or lose suicide genes (i.e. through mutation) is expected to be stronger than for other genes precisely because the suicide genes are expressly designed to kill the host cell. Moreover, while suicide genes are intended to be active only under certain conditions, there may be varying amounts of “leaky” expression, which means that the selective pressure is present even under normal conditions where the host cells are intended to thrive. Wright et al. (2013) corroborate this notion by writing that “dependency devices based solely on toxins seem designed for failure due to their inability to withstand mutation over time”. Approaches to use built-in biocontainment strategies in engineered gene drives are discussed next (</w:t>
      </w:r>
      <w:r w:rsidRPr="00AE7B1F">
        <w:rPr>
          <w:rFonts w:asciiTheme="majorBidi" w:hAnsiTheme="majorBidi" w:cstheme="majorBidi"/>
          <w:lang w:eastAsia="ar-SA"/>
        </w:rPr>
        <w:t xml:space="preserve">Section </w:t>
      </w:r>
      <w:r w:rsidR="00AE7B1F" w:rsidRPr="00AE7B1F">
        <w:rPr>
          <w:rFonts w:asciiTheme="majorBidi" w:hAnsiTheme="majorBidi" w:cstheme="majorBidi"/>
          <w:lang w:eastAsia="ar-SA"/>
        </w:rPr>
        <w:t>6.2</w:t>
      </w:r>
      <w:r w:rsidRPr="00AE7B1F">
        <w:rPr>
          <w:rFonts w:asciiTheme="majorBidi" w:hAnsiTheme="majorBidi" w:cstheme="majorBidi"/>
          <w:lang w:eastAsia="ar-SA"/>
        </w:rPr>
        <w:t>.3</w:t>
      </w:r>
      <w:r w:rsidRPr="003D4C1C">
        <w:rPr>
          <w:rFonts w:asciiTheme="majorBidi" w:hAnsiTheme="majorBidi" w:cstheme="majorBidi"/>
          <w:lang w:eastAsia="ar-SA"/>
        </w:rPr>
        <w:t>.).</w:t>
      </w:r>
    </w:p>
    <w:p w14:paraId="2099DE52" w14:textId="4EDEA7C6" w:rsidR="008C433F" w:rsidRPr="00D1015B" w:rsidRDefault="00C30D6B" w:rsidP="007116C5">
      <w:pPr>
        <w:pStyle w:val="Heading4"/>
        <w:rPr>
          <w:i w:val="0"/>
        </w:rPr>
      </w:pPr>
      <w:r w:rsidRPr="00D1015B">
        <w:rPr>
          <w:i w:val="0"/>
        </w:rPr>
        <w:t>6</w:t>
      </w:r>
      <w:r w:rsidR="00C11E13" w:rsidRPr="00D1015B">
        <w:rPr>
          <w:i w:val="0"/>
        </w:rPr>
        <w:t>.2</w:t>
      </w:r>
      <w:r w:rsidR="008C433F" w:rsidRPr="00D1015B">
        <w:rPr>
          <w:i w:val="0"/>
        </w:rPr>
        <w:t>.3. Genetic biocontainment approaches</w:t>
      </w:r>
      <w:r w:rsidR="00E37534" w:rsidRPr="00D1015B">
        <w:rPr>
          <w:i w:val="0"/>
        </w:rPr>
        <w:t>.</w:t>
      </w:r>
      <w:r w:rsidR="008C433F" w:rsidRPr="00D1015B">
        <w:rPr>
          <w:i w:val="0"/>
        </w:rPr>
        <w:t xml:space="preserve"> </w:t>
      </w:r>
    </w:p>
    <w:p w14:paraId="49F2B5D9" w14:textId="448A08B2" w:rsidR="008C433F" w:rsidRPr="003D4C1C" w:rsidRDefault="008C433F" w:rsidP="00B47952">
      <w:pPr>
        <w:spacing w:line="240" w:lineRule="auto"/>
        <w:jc w:val="both"/>
        <w:rPr>
          <w:rFonts w:asciiTheme="majorBidi" w:hAnsiTheme="majorBidi" w:cstheme="majorBidi"/>
          <w:lang w:eastAsia="ar-SA"/>
        </w:rPr>
      </w:pPr>
      <w:r w:rsidRPr="003D4C1C">
        <w:rPr>
          <w:rFonts w:asciiTheme="majorBidi" w:hAnsiTheme="majorBidi" w:cstheme="majorBidi"/>
          <w:lang w:eastAsia="ar-SA"/>
        </w:rPr>
        <w:t xml:space="preserve">The co-incorporation of a genetically engineered bio-containment system offers an increased ability to help control the spread of engineered gene drives and mitigate derived risks. In fact, several risk mitigation strategies have been proposed with the most advanced applications being developed based on RIDL </w:t>
      </w:r>
      <w:r w:rsidR="00F54523">
        <w:rPr>
          <w:rFonts w:asciiTheme="majorBidi" w:hAnsiTheme="majorBidi" w:cstheme="majorBidi"/>
          <w:lang w:eastAsia="ar-SA"/>
        </w:rPr>
        <w:fldChar w:fldCharType="begin" w:fldLock="1"/>
      </w:r>
      <w:r w:rsidR="00F54523">
        <w:rPr>
          <w:rFonts w:asciiTheme="majorBidi" w:hAnsiTheme="majorBidi" w:cstheme="majorBidi"/>
          <w:lang w:eastAsia="ar-SA"/>
        </w:rPr>
        <w:instrText>ADDIN CSL_CITATION {"citationItems":[{"id":"ITEM-1","itemData":{"DOI":"10.1126/science.287.5462.2474","ISSN":"00368075","PMID":"10741964","abstract":"A major modification to the sterile insect technique is described, in which transgenic insects homozygous for a dominant, repressible, female- specific lethal gene system are used. We demonstrate two methods that give the required genetic characteristics in an otherwise wild-type genetic background. The first system uses a sex-specific promoter or enhancer to drive the expression of a repressible transcription factor, which in turn controls the expression of a toxic gene product. The second system uses non- sex-specific expression of the repressible transcription factor to regulate a selectively lethal gene product. Both methods work efficiently in Drosophila melanogaster, and we expect these principles to be widely applicable to more economically important organisms.","author":[{"dropping-particle":"","family":"Thomas","given":"Dean D.","non-dropping-particle":"","parse-names":false,"suffix":""},{"dropping-particle":"","family":"Donnelly","given":"Christl A.","non-dropping-particle":"","parse-names":false,"suffix":""},{"dropping-particle":"","family":"Wood","given":"Roger J.","non-dropping-particle":"","parse-names":false,"suffix":""},{"dropping-particle":"","family":"Alphey","given":"Luke S.","non-dropping-particle":"","parse-names":false,"suffix":""}],"container-title":"Science","id":"ITEM-1","issue":"5462","issued":{"date-parts":[["2000","3"]]},"page":"2474-2476","publisher":"American Association for the Advancement of Science","title":"Insect population control using a dominant, repressible, lethal genetic system","type":"article-journal","volume":"287"},"uris":["http://www.mendeley.com/documents/?uuid=132e97fa-188c-4cab-b19b-b3bd2d66c61b"]}],"mendeley":{"formattedCitation":"(Thomas et al., 2000)","plainTextFormattedCitation":"(Thomas et al., 2000)","previouslyFormattedCitation":"(Thomas et al., 2000)"},"properties":{"noteIndex":0},"schema":"https://github.com/citation-style-language/schema/raw/master/csl-citation.json"}</w:instrText>
      </w:r>
      <w:r w:rsidR="00F54523">
        <w:rPr>
          <w:rFonts w:asciiTheme="majorBidi" w:hAnsiTheme="majorBidi" w:cstheme="majorBidi"/>
          <w:lang w:eastAsia="ar-SA"/>
        </w:rPr>
        <w:fldChar w:fldCharType="separate"/>
      </w:r>
      <w:r w:rsidR="00F54523" w:rsidRPr="00F54523">
        <w:rPr>
          <w:rFonts w:asciiTheme="majorBidi" w:hAnsiTheme="majorBidi" w:cstheme="majorBidi"/>
          <w:noProof/>
          <w:lang w:eastAsia="ar-SA"/>
        </w:rPr>
        <w:t>(Thomas et al., 2000)</w:t>
      </w:r>
      <w:r w:rsidR="00F54523">
        <w:rPr>
          <w:rFonts w:asciiTheme="majorBidi" w:hAnsiTheme="majorBidi" w:cstheme="majorBidi"/>
          <w:lang w:eastAsia="ar-SA"/>
        </w:rPr>
        <w:fldChar w:fldCharType="end"/>
      </w:r>
      <w:r w:rsidRPr="003D4C1C">
        <w:rPr>
          <w:rFonts w:asciiTheme="majorBidi" w:hAnsiTheme="majorBidi" w:cstheme="majorBidi"/>
          <w:lang w:eastAsia="ar-SA"/>
        </w:rPr>
        <w:t xml:space="preserve"> (Section </w:t>
      </w:r>
      <w:r w:rsidR="009B6D43">
        <w:rPr>
          <w:rFonts w:asciiTheme="majorBidi" w:hAnsiTheme="majorBidi" w:cstheme="majorBidi"/>
          <w:lang w:eastAsia="ar-SA"/>
        </w:rPr>
        <w:t>3</w:t>
      </w:r>
      <w:r w:rsidRPr="003D4C1C">
        <w:rPr>
          <w:rFonts w:asciiTheme="majorBidi" w:hAnsiTheme="majorBidi" w:cstheme="majorBidi"/>
          <w:lang w:eastAsia="ar-SA"/>
        </w:rPr>
        <w:t>.2.2</w:t>
      </w:r>
      <w:r w:rsidR="009B6D43">
        <w:rPr>
          <w:rFonts w:asciiTheme="majorBidi" w:hAnsiTheme="majorBidi" w:cstheme="majorBidi"/>
          <w:lang w:eastAsia="ar-SA"/>
        </w:rPr>
        <w:t>(d)</w:t>
      </w:r>
      <w:r w:rsidRPr="003D4C1C">
        <w:rPr>
          <w:rFonts w:asciiTheme="majorBidi" w:hAnsiTheme="majorBidi" w:cstheme="majorBidi"/>
          <w:lang w:eastAsia="ar-SA"/>
        </w:rPr>
        <w:t xml:space="preserve">.). Another strategy is to develop applications which use engineered gene drives whose non-Mendelian transmission is conditional on the presence of synthetic molecules in the environment of the target species, so that the removal of the synthetic molecule is expected to stop the spread of the gene drive, and natural selection to remove the drive from the population </w:t>
      </w:r>
      <w:r w:rsidR="00F54523">
        <w:rPr>
          <w:rFonts w:asciiTheme="majorBidi" w:hAnsiTheme="majorBidi" w:cstheme="majorBidi"/>
          <w:lang w:eastAsia="ar-SA"/>
        </w:rPr>
        <w:fldChar w:fldCharType="begin" w:fldLock="1"/>
      </w:r>
      <w:r w:rsidR="00F54523">
        <w:rPr>
          <w:rFonts w:asciiTheme="majorBidi" w:hAnsiTheme="majorBidi" w:cstheme="majorBidi"/>
          <w:lang w:eastAsia="ar-SA"/>
        </w:rPr>
        <w:instrText>ADDIN CSL_CITATION {"citationItems":[{"id":"ITEM-1","itemData":{"DOI":"10.7554/eLife.03401","ISSN":"2050-084X","abstract":"Gene drives may be capable of addressing ecological problems by altering entire populations of wild organisms, but their use has remained largely theoretical due to technical constraints. Here we consider the potential for RNA-guided gene drives based on the CRISPR nuclease Cas9 to serve as a general method for spreading altered traits through wild populations over many generations. We detail likely capabilities, discuss limitations, and provide novel precautionary strategies to control the spread of gene drives and reverse genomic changes. The ability to edit populations of sexual species would offer substantial benefits to humanity and the environment. For example, RNA-guided gene drives could potentially prevent the spread of disease, support agriculture by reversing pesticide and herbicide resistance in insects and weeds, and control damaging invasive species. However, the possibility of unwanted ecological effects and near-certainty of spread across political borders demand careful assessment of each potential application. We call for thoughtful, inclusive, and well-informed public discussions to explore the responsible use of this currently theoretical technology.","author":[{"dropping-particle":"","family":"Esvelt","given":"Kevin M","non-dropping-particle":"","parse-names":false,"suffix":""},{"dropping-particle":"","family":"Smidler","given":"Andrea L","non-dropping-particle":"","parse-names":false,"suffix":""},{"dropping-particle":"","family":"Catteruccia","given":"Flaminia","non-dropping-particle":"","parse-names":false,"suffix":""},{"dropping-particle":"","family":"Church","given":"George M","non-dropping-particle":"","parse-names":false,"suffix":""}],"container-title":"eLife","id":"ITEM-1","issued":{"date-parts":[["2014","7","17"]]},"title":"Concerning RNA-guided gene drives for the alteration of wild populations","type":"article-journal","volume":"3"},"uris":["http://www.mendeley.com/documents/?uuid=2848a82e-08b3-4c04-b96a-1567e0b0c414"]},{"id":"ITEM-2","itemData":{"DOI":"10.1038/s41467-019-13977-7","ISSN":"20411723","PMID":"31953404","abstract":"CRISPR-based gene drives can spread through wild populations by biasing their own transmission above the 50% value predicted by Mendelian inheritance. These technologies offer population-engineering solutions for combating vector-borne diseases, managing crop pests, and supporting ecosystem conservation efforts. Current technologies raise safety concerns for unintended gene propagation. Herein, we address such concerns by splitting the drive components, Cas9 and gRNAs, into separate alleles to form a trans-complementing split–gene-drive (tGD) and demonstrate its ability to promote super-Mendelian inheritance of the separate transgenes. This dual-component configuration allows for combinatorial transgene optimization and increases safety by restricting escape concerns to experimentation windows. We employ the tGD and a small–molecule-controlled version to investigate the biology of component inheritance and resistant allele formation, and to study the effects of maternal inheritance and impaired homology on efficiency. Lastly, mathematical modeling of tGD spread within populations reveals potential advantages for improving current gene-drive technologies for field population modification.","author":[{"dropping-particle":"Del","family":"Amo","given":"Víctor López","non-dropping-particle":"","parse-names":false,"suffix":""},{"dropping-particle":"","family":"Bishop","given":"Alena L","non-dropping-particle":"","parse-names":false,"suffix":""},{"dropping-particle":"","family":"C","given":"Héctor M Sánchez","non-dropping-particle":"","parse-names":false,"suffix":""},{"dropping-particle":"","family":"Bennett","given":"Jared B","non-dropping-particle":"","parse-names":false,"suffix":""},{"dropping-particle":"","family":"Feng","given":"Xuechun","non-dropping-particle":"","parse-names":false,"suffix":""},{"dropping-particle":"","family":"Marshall","given":"John M","non-dropping-particle":"","parse-names":false,"suffix":""},{"dropping-particle":"","family":"Bier","given":"Ethan","non-dropping-particle":"","parse-names":false,"suffix":""},{"dropping-particle":"","family":"Gantz","given":"Valentino M","non-dropping-particle":"","parse-names":false,"suffix":""}],"container-title":"Nature Communications","id":"ITEM-2","issue":"1","issued":{"date-parts":[["2020"]]},"page":"1-12","publisher":"Nature Research","title":"A transcomplementing gene drive provides a flexible platform for laboratory investigation and potential field deployment","type":"article-journal","volume":"11"},"uris":["http://www.mendeley.com/documents/?uuid=5b7e78be-3462-4350-b1e9-1bccd62f3537"]}],"mendeley":{"formattedCitation":"(Amo et al., 2020; K. M. Esvelt et al., 2014)","manualFormatting":"(Amo et al., 2020; Esvelt et al., 2014)","plainTextFormattedCitation":"(Amo et al., 2020; K. M. Esvelt et al., 2014)","previouslyFormattedCitation":"(Amo et al., 2020; K. M. Esvelt et al., 2014)"},"properties":{"noteIndex":0},"schema":"https://github.com/citation-style-language/schema/raw/master/csl-citation.json"}</w:instrText>
      </w:r>
      <w:r w:rsidR="00F54523">
        <w:rPr>
          <w:rFonts w:asciiTheme="majorBidi" w:hAnsiTheme="majorBidi" w:cstheme="majorBidi"/>
          <w:lang w:eastAsia="ar-SA"/>
        </w:rPr>
        <w:fldChar w:fldCharType="separate"/>
      </w:r>
      <w:r w:rsidR="00F54523" w:rsidRPr="00F54523">
        <w:rPr>
          <w:rFonts w:asciiTheme="majorBidi" w:hAnsiTheme="majorBidi" w:cstheme="majorBidi"/>
          <w:noProof/>
          <w:lang w:eastAsia="ar-SA"/>
        </w:rPr>
        <w:t>(Amo et al., 2020; Esvelt et al., 2014)</w:t>
      </w:r>
      <w:r w:rsidR="00F54523">
        <w:rPr>
          <w:rFonts w:asciiTheme="majorBidi" w:hAnsiTheme="majorBidi" w:cstheme="majorBidi"/>
          <w:lang w:eastAsia="ar-SA"/>
        </w:rPr>
        <w:fldChar w:fldCharType="end"/>
      </w:r>
      <w:r w:rsidRPr="003D4C1C">
        <w:rPr>
          <w:rFonts w:asciiTheme="majorBidi" w:hAnsiTheme="majorBidi" w:cstheme="majorBidi"/>
          <w:lang w:eastAsia="ar-SA"/>
        </w:rPr>
        <w:t xml:space="preserve">. However, the development of such molecule-dependent drives is still at its infancy and may have to be tailored for each ecosystem and target species </w:t>
      </w:r>
      <w:r w:rsidR="00F54523">
        <w:rPr>
          <w:rFonts w:asciiTheme="majorBidi" w:hAnsiTheme="majorBidi" w:cstheme="majorBidi"/>
          <w:lang w:eastAsia="ar-SA"/>
        </w:rPr>
        <w:fldChar w:fldCharType="begin" w:fldLock="1"/>
      </w:r>
      <w:r w:rsidR="00F54523">
        <w:rPr>
          <w:rFonts w:asciiTheme="majorBidi" w:hAnsiTheme="majorBidi" w:cstheme="majorBidi"/>
          <w:lang w:eastAsia="ar-SA"/>
        </w:rPr>
        <w:instrText>ADDIN CSL_CITATION {"citationItems":[{"id":"ITEM-1","itemData":{"DOI":"10.1534/g3.120.401484","ISSN":"21601836","PMID":"32727921","abstract":"CRISPR-based homing gene drive is a genetic control technique aiming to modify or eradicate natural populations. This technique is based on the release of individuals carrying an engineered piece of DNA that can be preferentially inherited by the progeny. The development of countermeasures is important to control the spread of gene drives, should they result in unanticipated damages. One proposed countermeasure is the introduction of individuals carrying a brake construct that targets and inactivates the drive allele but leaves the wild-type allele unaffected. Here we develop models to investigate the efficiency of such brakes. We consider a variable population size and use a combination of analytical and numerical methods to determine the conditions where a brake can prevent the extinction of a population targeted by an eradication drive. We find that a brake is not guaranteed to prevent eradication and that characteristics of both the brake and the drive affect the likelihood of recovering the wild-type population. In particular, brakes that restore fitness are more efficient than brakes that do not. Our model also indicates that threshold-dependent drives (drives that can spread only when introduced above a threshold) are more amenable to control with a brake than drives that can spread from an arbitrary low introduction frequency (threshold-independent drives). Based on our results, we provide practical recommendations and discuss safety issues.","author":[{"dropping-particle":"","family":"Rode","given":"Nicolas O.","non-dropping-particle":"","parse-names":false,"suffix":""},{"dropping-particle":"","family":"Courtier-Orgogozo","given":"Virginie","non-dropping-particle":"","parse-names":false,"suffix":""},{"dropping-particle":"","family":"Débarre","given":"Florence","non-dropping-particle":"","parse-names":false,"suffix":""}],"container-title":"G3: Genes, Genomes, Genetics","id":"ITEM-1","issue":"9","issued":{"date-parts":[["2020","9"]]},"page":"3403-3415","publisher":"Genetics Society of America","title":"Can a population targeted by a CRISPR-based homing gene drive be rescued?","type":"article-journal","volume":"10"},"uris":["http://www.mendeley.com/documents/?uuid=897ccb39-43da-4c14-9a4e-f691f9cc4da6"]}],"mendeley":{"formattedCitation":"(Rode et al., 2020)","plainTextFormattedCitation":"(Rode et al., 2020)","previouslyFormattedCitation":"(Rode et al., 2020)"},"properties":{"noteIndex":0},"schema":"https://github.com/citation-style-language/schema/raw/master/csl-citation.json"}</w:instrText>
      </w:r>
      <w:r w:rsidR="00F54523">
        <w:rPr>
          <w:rFonts w:asciiTheme="majorBidi" w:hAnsiTheme="majorBidi" w:cstheme="majorBidi"/>
          <w:lang w:eastAsia="ar-SA"/>
        </w:rPr>
        <w:fldChar w:fldCharType="separate"/>
      </w:r>
      <w:r w:rsidR="00F54523" w:rsidRPr="00F54523">
        <w:rPr>
          <w:rFonts w:asciiTheme="majorBidi" w:hAnsiTheme="majorBidi" w:cstheme="majorBidi"/>
          <w:noProof/>
          <w:lang w:eastAsia="ar-SA"/>
        </w:rPr>
        <w:t>(Rode et al., 2020)</w:t>
      </w:r>
      <w:r w:rsidR="00F54523">
        <w:rPr>
          <w:rFonts w:asciiTheme="majorBidi" w:hAnsiTheme="majorBidi" w:cstheme="majorBidi"/>
          <w:lang w:eastAsia="ar-SA"/>
        </w:rPr>
        <w:fldChar w:fldCharType="end"/>
      </w:r>
      <w:r w:rsidRPr="003D4C1C">
        <w:rPr>
          <w:rFonts w:asciiTheme="majorBidi" w:hAnsiTheme="majorBidi" w:cstheme="majorBidi"/>
          <w:lang w:eastAsia="ar-SA"/>
        </w:rPr>
        <w:t>.</w:t>
      </w:r>
    </w:p>
    <w:p w14:paraId="7F37194C" w14:textId="3DCCC277" w:rsidR="008C433F" w:rsidRPr="003D4C1C" w:rsidRDefault="008C433F" w:rsidP="00B47952">
      <w:pPr>
        <w:spacing w:line="240" w:lineRule="auto"/>
        <w:jc w:val="both"/>
        <w:rPr>
          <w:rFonts w:asciiTheme="majorBidi" w:hAnsiTheme="majorBidi" w:cstheme="majorBidi"/>
          <w:lang w:eastAsia="ar-SA"/>
        </w:rPr>
      </w:pPr>
      <w:r w:rsidRPr="003D4C1C">
        <w:rPr>
          <w:rFonts w:asciiTheme="majorBidi" w:hAnsiTheme="majorBidi" w:cstheme="majorBidi"/>
          <w:lang w:eastAsia="ar-SA"/>
        </w:rPr>
        <w:t xml:space="preserve">In yet another strategy, specifically for insects, the idea is to introduce resistant individuals carrying a modified target locus that prevents homing (“synthetic resistant” allele; Champer et al., 2016; Vella et al., 2017). However, this strategy results in a modified population with 100% resistant individuals and does not allow the full recovery of the original wild-type population </w:t>
      </w:r>
      <w:r w:rsidR="00F54523">
        <w:rPr>
          <w:rFonts w:asciiTheme="majorBidi" w:hAnsiTheme="majorBidi" w:cstheme="majorBidi"/>
          <w:lang w:eastAsia="ar-SA"/>
        </w:rPr>
        <w:fldChar w:fldCharType="begin" w:fldLock="1"/>
      </w:r>
      <w:r w:rsidR="00F54523">
        <w:rPr>
          <w:rFonts w:asciiTheme="majorBidi" w:hAnsiTheme="majorBidi" w:cstheme="majorBidi"/>
          <w:lang w:eastAsia="ar-SA"/>
        </w:rPr>
        <w:instrText>ADDIN CSL_CITATION {"citationItems":[{"id":"ITEM-1","itemData":{"DOI":"10.1534/g3.120.401484","ISSN":"21601836","PMID":"32727921","abstract":"CRISPR-based homing gene drive is a genetic control technique aiming to modify or eradicate natural populations. This technique is based on the release of individuals carrying an engineered piece of DNA that can be preferentially inherited by the progeny. The development of countermeasures is important to control the spread of gene drives, should they result in unanticipated damages. One proposed countermeasure is the introduction of individuals carrying a brake construct that targets and inactivates the drive allele but leaves the wild-type allele unaffected. Here we develop models to investigate the efficiency of such brakes. We consider a variable population size and use a combination of analytical and numerical methods to determine the conditions where a brake can prevent the extinction of a population targeted by an eradication drive. We find that a brake is not guaranteed to prevent eradication and that characteristics of both the brake and the drive affect the likelihood of recovering the wild-type population. In particular, brakes that restore fitness are more efficient than brakes that do not. Our model also indicates that threshold-dependent drives (drives that can spread only when introduced above a threshold) are more amenable to control with a brake than drives that can spread from an arbitrary low introduction frequency (threshold-independent drives). Based on our results, we provide practical recommendations and discuss safety issues.","author":[{"dropping-particle":"","family":"Rode","given":"Nicolas O.","non-dropping-particle":"","parse-names":false,"suffix":""},{"dropping-particle":"","family":"Courtier-Orgogozo","given":"Virginie","non-dropping-particle":"","parse-names":false,"suffix":""},{"dropping-particle":"","family":"Débarre","given":"Florence","non-dropping-particle":"","parse-names":false,"suffix":""}],"container-title":"G3: Genes, Genomes, Genetics","id":"ITEM-1","issue":"9","issued":{"date-parts":[["2020","9"]]},"page":"3403-3415","publisher":"Genetics Society of America","title":"Can a population targeted by a CRISPR-based homing gene drive be rescued?","type":"article-journal","volume":"10"},"uris":["http://www.mendeley.com/documents/?uuid=897ccb39-43da-4c14-9a4e-f691f9cc4da6"]}],"mendeley":{"formattedCitation":"(Rode et al., 2020)","plainTextFormattedCitation":"(Rode et al., 2020)","previouslyFormattedCitation":"(Rode et al., 2020)"},"properties":{"noteIndex":0},"schema":"https://github.com/citation-style-language/schema/raw/master/csl-citation.json"}</w:instrText>
      </w:r>
      <w:r w:rsidR="00F54523">
        <w:rPr>
          <w:rFonts w:asciiTheme="majorBidi" w:hAnsiTheme="majorBidi" w:cstheme="majorBidi"/>
          <w:lang w:eastAsia="ar-SA"/>
        </w:rPr>
        <w:fldChar w:fldCharType="separate"/>
      </w:r>
      <w:r w:rsidR="00F54523" w:rsidRPr="00F54523">
        <w:rPr>
          <w:rFonts w:asciiTheme="majorBidi" w:hAnsiTheme="majorBidi" w:cstheme="majorBidi"/>
          <w:noProof/>
          <w:lang w:eastAsia="ar-SA"/>
        </w:rPr>
        <w:t>(Rode et al., 2020)</w:t>
      </w:r>
      <w:r w:rsidR="00F54523">
        <w:rPr>
          <w:rFonts w:asciiTheme="majorBidi" w:hAnsiTheme="majorBidi" w:cstheme="majorBidi"/>
          <w:lang w:eastAsia="ar-SA"/>
        </w:rPr>
        <w:fldChar w:fldCharType="end"/>
      </w:r>
      <w:r w:rsidRPr="003D4C1C">
        <w:rPr>
          <w:rFonts w:asciiTheme="majorBidi" w:hAnsiTheme="majorBidi" w:cstheme="majorBidi"/>
          <w:lang w:eastAsia="ar-SA"/>
        </w:rPr>
        <w:t xml:space="preserve">. In addition, synthetic resistant alleles are predicted to be rather ineffective against replacement drives with small fitness costs </w:t>
      </w:r>
      <w:r w:rsidR="00F54523">
        <w:rPr>
          <w:rFonts w:asciiTheme="majorBidi" w:hAnsiTheme="majorBidi" w:cstheme="majorBidi"/>
          <w:lang w:eastAsia="ar-SA"/>
        </w:rPr>
        <w:fldChar w:fldCharType="begin" w:fldLock="1"/>
      </w:r>
      <w:r w:rsidR="00F54523">
        <w:rPr>
          <w:rFonts w:asciiTheme="majorBidi" w:hAnsiTheme="majorBidi" w:cstheme="majorBidi"/>
          <w:lang w:eastAsia="ar-SA"/>
        </w:rPr>
        <w:instrText>ADDIN CSL_CITATION {"citationItems":[{"id":"ITEM-1","itemData":{"DOI":"10.1038/s41598-017-10633-2","ISSN":"2045-2322","abstract":"A gene drive biases inheritance of a gene so that it increases in frequency within a population even when the gene confers no fitness benefit. There has been renewed interest in environmental releases of engineered gene drives due to recent proof of principle experiments with the CRISPR-Cas9 system as a drive mechanism. Release of modified organisms, however, is controversial, especially when the drive mechanism could theoretically alter all individuals of a species. Thus, it is desirable to have countermeasures to reverse a drive if a problem arises. Several genetic mechanisms for limiting or eliminating gene drives have been proposed and/or developed, including synthetic resistance, reversal drives, and immunizing reversal drives. While predictions about efficacy of these mechanisms have been optimistic, we lack detailed analyses of their expected dynamics. We develop a discrete time model for population genetics of a drive and proposed genetic countermeasures. Efficacy of drive reversal varies between countermeasures. For some parameter values, the model predicts unexpected behavior including polymorphic equilibria and oscillatory dynamics. The timing and number of released individuals containing a genetic countermeasure can substantially impact outcomes. The choice among countermeasures by researchers and regulators will depend on specific goals and population parameters of target populations.","author":[{"dropping-particle":"","family":"Vella","given":"Michael R","non-dropping-particle":"","parse-names":false,"suffix":""},{"dropping-particle":"","family":"Gunning","given":"Christian E","non-dropping-particle":"","parse-names":false,"suffix":""},{"dropping-particle":"","family":"Lloyd","given":"Alun L","non-dropping-particle":"","parse-names":false,"suffix":""},{"dropping-particle":"","family":"Gould","given":"Fred","non-dropping-particle":"","parse-names":false,"suffix":""}],"container-title":"Scientific Reports","id":"ITEM-1","issue":"1","issued":{"date-parts":[["2017"]]},"page":"11038","title":"Evaluating strategies for reversing CRISPR-Cas9 gene drives","type":"article-journal","volume":"7"},"uris":["http://www.mendeley.com/documents/?uuid=643ab329-6eaa-4aa3-9e89-10542268612c"]}],"mendeley":{"formattedCitation":"(Vella et al., 2017)","plainTextFormattedCitation":"(Vella et al., 2017)","previouslyFormattedCitation":"(Vella et al., 2017)"},"properties":{"noteIndex":0},"schema":"https://github.com/citation-style-language/schema/raw/master/csl-citation.json"}</w:instrText>
      </w:r>
      <w:r w:rsidR="00F54523">
        <w:rPr>
          <w:rFonts w:asciiTheme="majorBidi" w:hAnsiTheme="majorBidi" w:cstheme="majorBidi"/>
          <w:lang w:eastAsia="ar-SA"/>
        </w:rPr>
        <w:fldChar w:fldCharType="separate"/>
      </w:r>
      <w:r w:rsidR="00F54523" w:rsidRPr="00F54523">
        <w:rPr>
          <w:rFonts w:asciiTheme="majorBidi" w:hAnsiTheme="majorBidi" w:cstheme="majorBidi"/>
          <w:noProof/>
          <w:lang w:eastAsia="ar-SA"/>
        </w:rPr>
        <w:t>(Vella et al., 2017)</w:t>
      </w:r>
      <w:r w:rsidR="00F54523">
        <w:rPr>
          <w:rFonts w:asciiTheme="majorBidi" w:hAnsiTheme="majorBidi" w:cstheme="majorBidi"/>
          <w:lang w:eastAsia="ar-SA"/>
        </w:rPr>
        <w:fldChar w:fldCharType="end"/>
      </w:r>
      <w:r w:rsidRPr="003D4C1C">
        <w:rPr>
          <w:rFonts w:asciiTheme="majorBidi" w:hAnsiTheme="majorBidi" w:cstheme="majorBidi"/>
          <w:lang w:eastAsia="ar-SA"/>
        </w:rPr>
        <w:t xml:space="preserve">, because of the limited selective advantage of synthetic resistant alleles. Finally, another strategy has been proposed to release suppressor individuals that carry a new piece of DNA which will eventually lead to the knock-out of the initial gene drive </w:t>
      </w:r>
      <w:r w:rsidR="00F54523">
        <w:rPr>
          <w:rFonts w:asciiTheme="majorBidi" w:hAnsiTheme="majorBidi" w:cstheme="majorBidi"/>
          <w:lang w:eastAsia="ar-SA"/>
        </w:rPr>
        <w:fldChar w:fldCharType="begin" w:fldLock="1"/>
      </w:r>
      <w:r w:rsidR="00D0151D">
        <w:rPr>
          <w:rFonts w:asciiTheme="majorBidi" w:hAnsiTheme="majorBidi" w:cstheme="majorBidi"/>
          <w:lang w:eastAsia="ar-SA"/>
        </w:rPr>
        <w:instrText>ADDIN CSL_CITATION {"citationItems":[{"id":"ITEM-1","itemData":{"DOI":"10.7554/eLife.03401","ISSN":"2050-084X","abstract":"Gene drives may be capable of addressing ecological problems by altering entire populations of wild organisms, but their use has remained largely theoretical due to technical constraints. Here we consider the potential for RNA-guided gene drives based on the CRISPR nuclease Cas9 to serve as a general method for spreading altered traits through wild populations over many generations. We detail likely capabilities, discuss limitations, and provide novel precautionary strategies to control the spread of gene drives and reverse genomic changes. The ability to edit populations of sexual species would offer substantial benefits to humanity and the environment. For example, RNA-guided gene drives could potentially prevent the spread of disease, support agriculture by reversing pesticide and herbicide resistance in insects and weeds, and control damaging invasive species. However, the possibility of unwanted ecological effects and near-certainty of spread across political borders demand careful assessment of each potential application. We call for thoughtful, inclusive, and well-informed public discussions to explore the responsible use of this currently theoretical technology.","author":[{"dropping-particle":"","family":"Esvelt","given":"Kevin M","non-dropping-particle":"","parse-names":false,"suffix":""},{"dropping-particle":"","family":"Smidler","given":"Andrea L","non-dropping-particle":"","parse-names":false,"suffix":""},{"dropping-particle":"","family":"Catteruccia","given":"Flaminia","non-dropping-particle":"","parse-names":false,"suffix":""},{"dropping-particle":"","family":"Church","given":"George M","non-dropping-particle":"","parse-names":false,"suffix":""}],"container-title":"eLife","id":"ITEM-1","issued":{"date-parts":[["2014","7","17"]]},"title":"Concerning RNA-guided gene drives for the alteration of wild populations","type":"article-journal","volume":"3"},"uris":["http://www.mendeley.com/documents/?uuid=2848a82e-08b3-4c04-b96a-1567e0b0c414"]},{"id":"ITEM-2","itemData":{"DOI":"10.1021/acschembio.7b00923","ISSN":"1554-8929","author":[{"dropping-particle":"","family":"Marshall","given":"John M.","non-dropping-particle":"","parse-names":false,"suffix":""},{"dropping-particle":"","family":"Akbari","given":"Omar S.","non-dropping-particle":"","parse-names":false,"suffix":""}],"container-title":"ACS Chemical Biology","id":"ITEM-2","issue":"2","issued":{"date-parts":[["2018","2","16"]]},"page":"424-430","title":"Can CRISPR-Based Gene Drive Be Confined in the Wild? A Question for Molecular and Population Biology","type":"article-journal","volume":"13"},"uris":["http://www.mendeley.com/documents/?uuid=52249094-7ed3-4ec3-99b3-fa2e620a0f51"]}],"mendeley":{"formattedCitation":"(K. M. Esvelt et al., 2014; Marshall &amp; Akbari, 2018)","manualFormatting":"(Esvelt et al., 2014; Marshall &amp; Akbari, 2018)","plainTextFormattedCitation":"(K. M. Esvelt et al., 2014; Marshall &amp; Akbari, 2018)","previouslyFormattedCitation":"(K. M. Esvelt et al., 2014; Marshall &amp; Akbari, 2018)"},"properties":{"noteIndex":0},"schema":"https://github.com/citation-style-language/schema/raw/master/csl-citation.json"}</w:instrText>
      </w:r>
      <w:r w:rsidR="00F54523">
        <w:rPr>
          <w:rFonts w:asciiTheme="majorBidi" w:hAnsiTheme="majorBidi" w:cstheme="majorBidi"/>
          <w:lang w:eastAsia="ar-SA"/>
        </w:rPr>
        <w:fldChar w:fldCharType="separate"/>
      </w:r>
      <w:r w:rsidR="00F54523" w:rsidRPr="00F54523">
        <w:rPr>
          <w:rFonts w:asciiTheme="majorBidi" w:hAnsiTheme="majorBidi" w:cstheme="majorBidi"/>
          <w:noProof/>
          <w:lang w:eastAsia="ar-SA"/>
        </w:rPr>
        <w:t>(Esvelt et al., 2014; Marshall &amp; Akbari, 2018)</w:t>
      </w:r>
      <w:r w:rsidR="00F54523">
        <w:rPr>
          <w:rFonts w:asciiTheme="majorBidi" w:hAnsiTheme="majorBidi" w:cstheme="majorBidi"/>
          <w:lang w:eastAsia="ar-SA"/>
        </w:rPr>
        <w:fldChar w:fldCharType="end"/>
      </w:r>
      <w:r w:rsidRPr="003D4C1C">
        <w:rPr>
          <w:rFonts w:asciiTheme="majorBidi" w:hAnsiTheme="majorBidi" w:cstheme="majorBidi"/>
          <w:lang w:eastAsia="ar-SA"/>
        </w:rPr>
        <w:t>. These alternative mitigation strategies rely on gene conversion and can be used against virtually any type of CRISPR-based homing gene drive (Rode et al., 2020). Two types can be distinguished:</w:t>
      </w:r>
    </w:p>
    <w:p w14:paraId="7FD28625" w14:textId="695692FA" w:rsidR="008C433F" w:rsidRPr="003D4C1C" w:rsidRDefault="008C433F" w:rsidP="005B1649">
      <w:pPr>
        <w:spacing w:after="120" w:line="240" w:lineRule="auto"/>
        <w:ind w:left="284" w:hanging="284"/>
        <w:jc w:val="both"/>
        <w:rPr>
          <w:rFonts w:asciiTheme="majorBidi" w:hAnsiTheme="majorBidi" w:cstheme="majorBidi"/>
          <w:lang w:eastAsia="ar-SA"/>
        </w:rPr>
      </w:pPr>
      <w:r w:rsidRPr="003D4C1C">
        <w:rPr>
          <w:rFonts w:asciiTheme="majorBidi" w:hAnsiTheme="majorBidi" w:cstheme="majorBidi"/>
          <w:lang w:eastAsia="ar-SA"/>
        </w:rPr>
        <w:t>1)</w:t>
      </w:r>
      <w:r w:rsidRPr="003D4C1C">
        <w:rPr>
          <w:rFonts w:asciiTheme="majorBidi" w:hAnsiTheme="majorBidi" w:cstheme="majorBidi"/>
          <w:lang w:eastAsia="ar-SA"/>
        </w:rPr>
        <w:tab/>
        <w:t xml:space="preserve">those strategies that include the </w:t>
      </w:r>
      <w:r w:rsidRPr="008B66E2">
        <w:rPr>
          <w:rFonts w:asciiTheme="majorBidi" w:hAnsiTheme="majorBidi" w:cstheme="majorBidi"/>
          <w:i/>
          <w:iCs/>
          <w:lang w:eastAsia="ar-SA"/>
        </w:rPr>
        <w:t xml:space="preserve">cas9 </w:t>
      </w:r>
      <w:r w:rsidRPr="003D4C1C">
        <w:rPr>
          <w:rFonts w:asciiTheme="majorBidi" w:hAnsiTheme="majorBidi" w:cstheme="majorBidi"/>
          <w:lang w:eastAsia="ar-SA"/>
        </w:rPr>
        <w:t>gene and that can target either the drive allele only (reversal drives sensu [</w:t>
      </w:r>
      <w:r w:rsidR="00B4550C">
        <w:rPr>
          <w:rFonts w:asciiTheme="majorBidi" w:hAnsiTheme="majorBidi" w:cstheme="majorBidi"/>
          <w:lang w:eastAsia="ar-SA"/>
        </w:rPr>
        <w:fldChar w:fldCharType="begin" w:fldLock="1"/>
      </w:r>
      <w:r w:rsidR="00B4550C">
        <w:rPr>
          <w:rFonts w:asciiTheme="majorBidi" w:hAnsiTheme="majorBidi" w:cstheme="majorBidi"/>
          <w:lang w:eastAsia="ar-SA"/>
        </w:rPr>
        <w:instrText>ADDIN CSL_CITATION {"citationItems":[{"id":"ITEM-1","itemData":{"DOI":"10.7554/eLife.03401","ISSN":"2050-084X","abstract":"Gene drives may be capable of addressing ecological problems by altering entire populations of wild organisms, but their use has remained largely theoretical due to technical constraints. Here we consider the potential for RNA-guided gene drives based on the CRISPR nuclease Cas9 to serve as a general method for spreading altered traits through wild populations over many generations. We detail likely capabilities, discuss limitations, and provide novel precautionary strategies to control the spread of gene drives and reverse genomic changes. The ability to edit populations of sexual species would offer substantial benefits to humanity and the environment. For example, RNA-guided gene drives could potentially prevent the spread of disease, support agriculture by reversing pesticide and herbicide resistance in insects and weeds, and control damaging invasive species. However, the possibility of unwanted ecological effects and near-certainty of spread across political borders demand careful assessment of each potential application. We call for thoughtful, inclusive, and well-informed public discussions to explore the responsible use of this currently theoretical technology.","author":[{"dropping-particle":"","family":"Esvelt","given":"Kevin M","non-dropping-particle":"","parse-names":false,"suffix":""},{"dropping-particle":"","family":"Smidler","given":"Andrea L","non-dropping-particle":"","parse-names":false,"suffix":""},{"dropping-particle":"","family":"Catteruccia","given":"Flaminia","non-dropping-particle":"","parse-names":false,"suffix":""},{"dropping-particle":"","family":"Church","given":"George M","non-dropping-particle":"","parse-names":false,"suffix":""}],"container-title":"eLife","id":"ITEM-1","issued":{"date-parts":[["2014","7","17"]]},"title":"Concerning RNA-guided gene drives for the alteration of wild populations","type":"article-journal","volume":"3"},"uris":["http://www.mendeley.com/documents/?uuid=2848a82e-08b3-4c04-b96a-1567e0b0c414"]}],"mendeley":{"formattedCitation":"(K. M. Esvelt et al., 2014)","manualFormatting":"Esvelt et al., 2014","plainTextFormattedCitation":"(K. M. Esvelt et al., 2014)","previouslyFormattedCitation":"(K. M. Esvelt et al., 2014)"},"properties":{"noteIndex":0},"schema":"https://github.com/citation-style-language/schema/raw/master/csl-citation.json"}</w:instrText>
      </w:r>
      <w:r w:rsidR="00B4550C">
        <w:rPr>
          <w:rFonts w:asciiTheme="majorBidi" w:hAnsiTheme="majorBidi" w:cstheme="majorBidi"/>
          <w:lang w:eastAsia="ar-SA"/>
        </w:rPr>
        <w:fldChar w:fldCharType="separate"/>
      </w:r>
      <w:r w:rsidR="00B4550C" w:rsidRPr="00B4550C">
        <w:rPr>
          <w:rFonts w:asciiTheme="majorBidi" w:hAnsiTheme="majorBidi" w:cstheme="majorBidi"/>
          <w:noProof/>
          <w:lang w:eastAsia="ar-SA"/>
        </w:rPr>
        <w:t>Esvelt et al., 2014</w:t>
      </w:r>
      <w:r w:rsidR="00B4550C">
        <w:rPr>
          <w:rFonts w:asciiTheme="majorBidi" w:hAnsiTheme="majorBidi" w:cstheme="majorBidi"/>
          <w:lang w:eastAsia="ar-SA"/>
        </w:rPr>
        <w:fldChar w:fldCharType="end"/>
      </w:r>
      <w:r w:rsidRPr="003D4C1C">
        <w:rPr>
          <w:rFonts w:asciiTheme="majorBidi" w:hAnsiTheme="majorBidi" w:cstheme="majorBidi"/>
          <w:lang w:eastAsia="ar-SA"/>
        </w:rPr>
        <w:t>]; overwriting drives [</w:t>
      </w:r>
      <w:r w:rsidR="008B07A4">
        <w:rPr>
          <w:rFonts w:asciiTheme="majorBidi" w:hAnsiTheme="majorBidi" w:cstheme="majorBidi"/>
          <w:lang w:eastAsia="ar-SA"/>
        </w:rPr>
        <w:fldChar w:fldCharType="begin" w:fldLock="1"/>
      </w:r>
      <w:r w:rsidR="00D0151D">
        <w:rPr>
          <w:rFonts w:asciiTheme="majorBidi" w:hAnsiTheme="majorBidi" w:cstheme="majorBidi"/>
          <w:lang w:eastAsia="ar-SA"/>
        </w:rPr>
        <w:instrText>ADDIN CSL_CITATION {"citationItems":[{"id":"ITEM-1","itemData":{"DOI":"10.1038/nbt.3412","ISSN":"1087-0156","author":[{"dropping-particle":"","family":"DiCarlo","given":"James E","non-dropping-particle":"","parse-names":false,"suffix":""},{"dropping-particle":"","family":"Chavez","given":"Alejandro","non-dropping-particle":"","parse-names":false,"suffix":""},{"dropping-particle":"","family":"Dietz","given":"Sven L","non-dropping-particle":"","parse-names":false,"suffix":""},{"dropping-particle":"","family":"Esvelt","given":"Kevin M","non-dropping-particle":"","parse-names":false,"suffix":""},{"dropping-particle":"","family":"Church","given":"George M","non-dropping-particle":"","parse-names":false,"suffix":""}],"container-title":"Nature Biotechnology","id":"ITEM-1","issue":"12","issued":{"date-parts":[["2015","12","16"]]},"page":"1250-1255","title":"Safeguarding CRISPR-Cas9 gene drives in yeast","type":"article-journal","volume":"33"},"uris":["http://www.mendeley.com/documents/?uuid=533fd4d3-01fc-46f4-a456-7d79cceb7cd0"]}],"mendeley":{"formattedCitation":"(DiCarlo et al., 2015)","manualFormatting":"DiCarlo et al., 2015","plainTextFormattedCitation":"(DiCarlo et al., 2015)","previouslyFormattedCitation":"(DiCarlo et al., 2015)"},"properties":{"noteIndex":0},"schema":"https://github.com/citation-style-language/schema/raw/master/csl-citation.json"}</w:instrText>
      </w:r>
      <w:r w:rsidR="008B07A4">
        <w:rPr>
          <w:rFonts w:asciiTheme="majorBidi" w:hAnsiTheme="majorBidi" w:cstheme="majorBidi"/>
          <w:lang w:eastAsia="ar-SA"/>
        </w:rPr>
        <w:fldChar w:fldCharType="separate"/>
      </w:r>
      <w:r w:rsidR="008B07A4" w:rsidRPr="008B07A4">
        <w:rPr>
          <w:rFonts w:asciiTheme="majorBidi" w:hAnsiTheme="majorBidi" w:cstheme="majorBidi"/>
          <w:noProof/>
          <w:lang w:eastAsia="ar-SA"/>
        </w:rPr>
        <w:t>DiCarlo et al., 2015</w:t>
      </w:r>
      <w:r w:rsidR="008B07A4">
        <w:rPr>
          <w:rFonts w:asciiTheme="majorBidi" w:hAnsiTheme="majorBidi" w:cstheme="majorBidi"/>
          <w:lang w:eastAsia="ar-SA"/>
        </w:rPr>
        <w:fldChar w:fldCharType="end"/>
      </w:r>
      <w:r w:rsidRPr="003D4C1C">
        <w:rPr>
          <w:rFonts w:asciiTheme="majorBidi" w:hAnsiTheme="majorBidi" w:cstheme="majorBidi"/>
          <w:lang w:eastAsia="ar-SA"/>
        </w:rPr>
        <w:t xml:space="preserve">]) or both the drive and wild-type alleles (immunising reversal drive; Esvelt et al., 2014; </w:t>
      </w:r>
      <w:r w:rsidR="00B4550C">
        <w:rPr>
          <w:rFonts w:asciiTheme="majorBidi" w:hAnsiTheme="majorBidi" w:cstheme="majorBidi"/>
          <w:lang w:eastAsia="ar-SA"/>
        </w:rPr>
        <w:fldChar w:fldCharType="begin" w:fldLock="1"/>
      </w:r>
      <w:r w:rsidR="00EB320D">
        <w:rPr>
          <w:rFonts w:asciiTheme="majorBidi" w:hAnsiTheme="majorBidi" w:cstheme="majorBidi"/>
          <w:lang w:eastAsia="ar-SA"/>
        </w:rPr>
        <w:instrText>ADDIN CSL_CITATION {"citationItems":[{"id":"ITEM-1","itemData":{"DOI":"10.1038/s41598-017-10633-2","ISSN":"2045-2322","abstract":"A gene drive biases inheritance of a gene so that it increases in frequency within a population even when the gene confers no fitness benefit. There has been renewed interest in environmental releases of engineered gene drives due to recent proof of principle experiments with the CRISPR-Cas9 system as a drive mechanism. Release of modified organisms, however, is controversial, especially when the drive mechanism could theoretically alter all individuals of a species. Thus, it is desirable to have countermeasures to reverse a drive if a problem arises. Several genetic mechanisms for limiting or eliminating gene drives have been proposed and/or developed, including synthetic resistance, reversal drives, and immunizing reversal drives. While predictions about efficacy of these mechanisms have been optimistic, we lack detailed analyses of their expected dynamics. We develop a discrete time model for population genetics of a drive and proposed genetic countermeasures. Efficacy of drive reversal varies between countermeasures. For some parameter values, the model predicts unexpected behavior including polymorphic equilibria and oscillatory dynamics. The timing and number of released individuals containing a genetic countermeasure can substantially impact outcomes. The choice among countermeasures by researchers and regulators will depend on specific goals and population parameters of target populations.","author":[{"dropping-particle":"","family":"Vella","given":"Michael R","non-dropping-particle":"","parse-names":false,"suffix":""},{"dropping-particle":"","family":"Gunning","given":"Christian E","non-dropping-particle":"","parse-names":false,"suffix":""},{"dropping-particle":"","family":"Lloyd","given":"Alun L","non-dropping-particle":"","parse-names":false,"suffix":""},{"dropping-particle":"","family":"Gould","given":"Fred","non-dropping-particle":"","parse-names":false,"suffix":""}],"container-title":"Scientific Reports","id":"ITEM-1","issue":"1","issued":{"date-parts":[["2017"]]},"page":"11038","title":"Evaluating strategies for reversing CRISPR-Cas9 gene drives","type":"article-journal","volume":"7"},"uris":["http://www.mendeley.com/documents/?uuid=643ab329-6eaa-4aa3-9e89-10542268612c"]}],"mendeley":{"formattedCitation":"(Vella et al., 2017)","manualFormatting":"Vella et al., 2017)","plainTextFormattedCitation":"(Vella et al., 2017)","previouslyFormattedCitation":"(Vella et al., 2017)"},"properties":{"noteIndex":0},"schema":"https://github.com/citation-style-language/schema/raw/master/csl-citation.json"}</w:instrText>
      </w:r>
      <w:r w:rsidR="00B4550C">
        <w:rPr>
          <w:rFonts w:asciiTheme="majorBidi" w:hAnsiTheme="majorBidi" w:cstheme="majorBidi"/>
          <w:lang w:eastAsia="ar-SA"/>
        </w:rPr>
        <w:fldChar w:fldCharType="separate"/>
      </w:r>
      <w:r w:rsidR="00B4550C" w:rsidRPr="00B4550C">
        <w:rPr>
          <w:rFonts w:asciiTheme="majorBidi" w:hAnsiTheme="majorBidi" w:cstheme="majorBidi"/>
          <w:noProof/>
          <w:lang w:eastAsia="ar-SA"/>
        </w:rPr>
        <w:t>Vella et al., 2017</w:t>
      </w:r>
      <w:r w:rsidR="00B4550C">
        <w:rPr>
          <w:rFonts w:asciiTheme="majorBidi" w:hAnsiTheme="majorBidi" w:cstheme="majorBidi"/>
          <w:noProof/>
          <w:lang w:eastAsia="ar-SA"/>
        </w:rPr>
        <w:t>)</w:t>
      </w:r>
      <w:r w:rsidR="00B4550C">
        <w:rPr>
          <w:rFonts w:asciiTheme="majorBidi" w:hAnsiTheme="majorBidi" w:cstheme="majorBidi"/>
          <w:lang w:eastAsia="ar-SA"/>
        </w:rPr>
        <w:fldChar w:fldCharType="end"/>
      </w:r>
      <w:r w:rsidRPr="003D4C1C">
        <w:rPr>
          <w:rFonts w:asciiTheme="majorBidi" w:hAnsiTheme="majorBidi" w:cstheme="majorBidi"/>
          <w:lang w:eastAsia="ar-SA"/>
        </w:rPr>
        <w:t xml:space="preserve">. However, with these strategies, a functional </w:t>
      </w:r>
      <w:r w:rsidRPr="005B1649">
        <w:rPr>
          <w:rFonts w:asciiTheme="majorBidi" w:hAnsiTheme="majorBidi" w:cstheme="majorBidi"/>
          <w:i/>
          <w:lang w:eastAsia="ar-SA"/>
        </w:rPr>
        <w:t>cas9</w:t>
      </w:r>
      <w:r w:rsidRPr="003D4C1C">
        <w:rPr>
          <w:rFonts w:asciiTheme="majorBidi" w:hAnsiTheme="majorBidi" w:cstheme="majorBidi"/>
          <w:lang w:eastAsia="ar-SA"/>
        </w:rPr>
        <w:t xml:space="preserve"> gene will remain in the final population, which may increase the risk of subsequent genetic modifications such as translocations, and of possible negative environmental outcomes </w:t>
      </w:r>
      <w:r w:rsidR="00D0151D">
        <w:rPr>
          <w:rFonts w:asciiTheme="majorBidi" w:hAnsiTheme="majorBidi" w:cstheme="majorBidi"/>
          <w:lang w:eastAsia="ar-SA"/>
        </w:rPr>
        <w:fldChar w:fldCharType="begin" w:fldLock="1"/>
      </w:r>
      <w:r w:rsidR="000D0497">
        <w:rPr>
          <w:rFonts w:asciiTheme="majorBidi" w:hAnsiTheme="majorBidi" w:cstheme="majorBidi"/>
          <w:lang w:eastAsia="ar-SA"/>
        </w:rPr>
        <w:instrText>ADDIN CSL_CITATION {"citationItems":[{"id":"ITEM-1","itemData":{"DOI":"10.15252/embr.201744822","ISSN":"1469-221X","PMID":"28784604","author":[{"dropping-particle":"","family":"Courtier‐Orgogozo","given":"Virginie","non-dropping-particle":"","parse-names":false,"suffix":""},{"dropping-particle":"","family":"Morizot","given":"Baptiste","non-dropping-particle":"","parse-names":false,"suffix":""},{"dropping-particle":"","family":"Boëte","given":"Christophe","non-dropping-particle":"","parse-names":false,"suffix":""}],"container-title":"EMBO reports","id":"ITEM-1","issue":"9","issued":{"date-parts":[["2017"]]},"page":"1481","publisher":"EMBO","title":"Using CRISPR ‐based gene drive for agriculture pest control","type":"article-journal","volume":"18"},"uris":["http://www.mendeley.com/documents/?uuid=9762cb0f-d52b-4d96-9ead-01dac0e9636c"]}],"mendeley":{"formattedCitation":"(Courtier‐Orgogozo et al., 2017)","plainTextFormattedCitation":"(Courtier‐Orgogozo et al., 2017)","previouslyFormattedCitation":"(Courtier‐Orgogozo et al., 2017)"},"properties":{"noteIndex":0},"schema":"https://github.com/citation-style-language/schema/raw/master/csl-citation.json"}</w:instrText>
      </w:r>
      <w:r w:rsidR="00D0151D">
        <w:rPr>
          <w:rFonts w:asciiTheme="majorBidi" w:hAnsiTheme="majorBidi" w:cstheme="majorBidi"/>
          <w:lang w:eastAsia="ar-SA"/>
        </w:rPr>
        <w:fldChar w:fldCharType="separate"/>
      </w:r>
      <w:r w:rsidR="00D0151D" w:rsidRPr="00D0151D">
        <w:rPr>
          <w:rFonts w:asciiTheme="majorBidi" w:hAnsiTheme="majorBidi" w:cstheme="majorBidi"/>
          <w:noProof/>
          <w:lang w:eastAsia="ar-SA"/>
        </w:rPr>
        <w:t>(Courtier‐Orgogozo et al., 2017)</w:t>
      </w:r>
      <w:r w:rsidR="00D0151D">
        <w:rPr>
          <w:rFonts w:asciiTheme="majorBidi" w:hAnsiTheme="majorBidi" w:cstheme="majorBidi"/>
          <w:lang w:eastAsia="ar-SA"/>
        </w:rPr>
        <w:fldChar w:fldCharType="end"/>
      </w:r>
      <w:r w:rsidRPr="003D4C1C">
        <w:rPr>
          <w:rFonts w:asciiTheme="majorBidi" w:hAnsiTheme="majorBidi" w:cstheme="majorBidi"/>
          <w:lang w:eastAsia="ar-SA"/>
        </w:rPr>
        <w:t>.</w:t>
      </w:r>
    </w:p>
    <w:p w14:paraId="1A0A1050" w14:textId="5BA6B28A" w:rsidR="00E110D6" w:rsidRDefault="008C433F" w:rsidP="00E43A34">
      <w:pPr>
        <w:spacing w:after="120" w:line="240" w:lineRule="auto"/>
        <w:ind w:left="284" w:hanging="284"/>
        <w:jc w:val="both"/>
        <w:rPr>
          <w:rFonts w:asciiTheme="majorBidi" w:hAnsiTheme="majorBidi" w:cstheme="majorBidi"/>
          <w:lang w:eastAsia="ar-SA"/>
        </w:rPr>
      </w:pPr>
      <w:r w:rsidRPr="003D4C1C">
        <w:rPr>
          <w:rFonts w:asciiTheme="majorBidi" w:hAnsiTheme="majorBidi" w:cstheme="majorBidi"/>
          <w:lang w:eastAsia="ar-SA"/>
        </w:rPr>
        <w:t>2)</w:t>
      </w:r>
      <w:r w:rsidRPr="003D4C1C">
        <w:rPr>
          <w:rFonts w:asciiTheme="majorBidi" w:hAnsiTheme="majorBidi" w:cstheme="majorBidi"/>
          <w:lang w:eastAsia="ar-SA"/>
        </w:rPr>
        <w:tab/>
        <w:t xml:space="preserve">those strategies that do not encode </w:t>
      </w:r>
      <w:r w:rsidRPr="005B1649">
        <w:rPr>
          <w:rFonts w:asciiTheme="majorBidi" w:hAnsiTheme="majorBidi" w:cstheme="majorBidi"/>
          <w:i/>
          <w:lang w:eastAsia="ar-SA"/>
        </w:rPr>
        <w:t>cas9</w:t>
      </w:r>
      <w:r w:rsidRPr="003D4C1C">
        <w:rPr>
          <w:rFonts w:asciiTheme="majorBidi" w:hAnsiTheme="majorBidi" w:cstheme="majorBidi"/>
          <w:lang w:eastAsia="ar-SA"/>
        </w:rPr>
        <w:t xml:space="preserve"> and rely instead on the </w:t>
      </w:r>
      <w:r w:rsidRPr="005B1649">
        <w:rPr>
          <w:rFonts w:asciiTheme="majorBidi" w:hAnsiTheme="majorBidi" w:cstheme="majorBidi"/>
          <w:i/>
          <w:lang w:eastAsia="ar-SA"/>
        </w:rPr>
        <w:t>cas9</w:t>
      </w:r>
      <w:r w:rsidRPr="003D4C1C">
        <w:rPr>
          <w:rFonts w:asciiTheme="majorBidi" w:hAnsiTheme="majorBidi" w:cstheme="majorBidi"/>
          <w:lang w:eastAsia="ar-SA"/>
        </w:rPr>
        <w:t xml:space="preserve"> gene present in the initial gene drive construct. They can be contained in a single locus (ERACR: element for reversing the autocatalytic chain reaction, </w:t>
      </w:r>
      <w:r w:rsidR="000D0497">
        <w:rPr>
          <w:rFonts w:asciiTheme="majorBidi" w:hAnsiTheme="majorBidi" w:cstheme="majorBidi"/>
          <w:lang w:eastAsia="ar-SA"/>
        </w:rPr>
        <w:fldChar w:fldCharType="begin" w:fldLock="1"/>
      </w:r>
      <w:r w:rsidR="003730D3">
        <w:rPr>
          <w:rFonts w:asciiTheme="majorBidi" w:hAnsiTheme="majorBidi" w:cstheme="majorBidi"/>
          <w:lang w:eastAsia="ar-SA"/>
        </w:rPr>
        <w:instrText>ADDIN CSL_CITATION {"citationItems":[{"id":"ITEM-1","itemData":{"DOI":"10.1126/science.aaa5945","ISSN":"0036-8075","author":[{"dropping-particle":"","family":"Gantz","given":"V. M.","non-dropping-particle":"","parse-names":false,"suffix":""},{"dropping-particle":"","family":"Bier","given":"E.","non-dropping-particle":"","parse-names":false,"suffix":""}],"container-title":"Science","id":"ITEM-1","issue":"6233","issued":{"date-parts":[["2015","4","24"]]},"page":"442-444","title":"The mutagenic chain reaction: A method for converting heterozygous to homozygous mutations","type":"article-journal","volume":"348"},"uris":["http://www.mendeley.com/documents/?uuid=3ebd251e-4cdf-4022-ac17-7dcf52de5ada"]}],"mendeley":{"formattedCitation":"(Gantz &amp; Bier, 2015)","manualFormatting":"Gantz &amp; Bier, 2015","plainTextFormattedCitation":"(Gantz &amp; Bier, 2015)","previouslyFormattedCitation":"(Gantz &amp; Bier, 2015)"},"properties":{"noteIndex":0},"schema":"https://github.com/citation-style-language/schema/raw/master/csl-citation.json"}</w:instrText>
      </w:r>
      <w:r w:rsidR="000D0497">
        <w:rPr>
          <w:rFonts w:asciiTheme="majorBidi" w:hAnsiTheme="majorBidi" w:cstheme="majorBidi"/>
          <w:lang w:eastAsia="ar-SA"/>
        </w:rPr>
        <w:fldChar w:fldCharType="separate"/>
      </w:r>
      <w:r w:rsidR="000D0497" w:rsidRPr="000D0497">
        <w:rPr>
          <w:rFonts w:asciiTheme="majorBidi" w:hAnsiTheme="majorBidi" w:cstheme="majorBidi"/>
          <w:noProof/>
          <w:lang w:eastAsia="ar-SA"/>
        </w:rPr>
        <w:t>Gantz &amp; Bier, 2015</w:t>
      </w:r>
      <w:r w:rsidR="000D0497">
        <w:rPr>
          <w:rFonts w:asciiTheme="majorBidi" w:hAnsiTheme="majorBidi" w:cstheme="majorBidi"/>
          <w:lang w:eastAsia="ar-SA"/>
        </w:rPr>
        <w:fldChar w:fldCharType="end"/>
      </w:r>
      <w:r w:rsidRPr="003D4C1C">
        <w:rPr>
          <w:rFonts w:asciiTheme="majorBidi" w:hAnsiTheme="majorBidi" w:cstheme="majorBidi"/>
          <w:lang w:eastAsia="ar-SA"/>
        </w:rPr>
        <w:t xml:space="preserve">; CATCHA: Cas9-triggered chain ablation, </w:t>
      </w:r>
      <w:r w:rsidR="003730D3">
        <w:rPr>
          <w:rFonts w:asciiTheme="majorBidi" w:hAnsiTheme="majorBidi" w:cstheme="majorBidi"/>
          <w:lang w:eastAsia="ar-SA"/>
        </w:rPr>
        <w:fldChar w:fldCharType="begin" w:fldLock="1"/>
      </w:r>
      <w:r w:rsidR="003730D3">
        <w:rPr>
          <w:rFonts w:asciiTheme="majorBidi" w:hAnsiTheme="majorBidi" w:cstheme="majorBidi"/>
          <w:lang w:eastAsia="ar-SA"/>
        </w:rPr>
        <w:instrText>ADDIN CSL_CITATION {"citationItems":[{"id":"ITEM-1","itemData":{"DOI":"10.1038/nbt.3444","ISSN":"1087-0156","author":[{"dropping-particle":"","family":"Wu","given":"Bing","non-dropping-particle":"","parse-names":false,"suffix":""},{"dropping-particle":"","family":"Luo","given":"Liqun","non-dropping-particle":"","parse-names":false,"suffix":""},{"dropping-particle":"","family":"Gao","given":"Xiaojing J","non-dropping-particle":"","parse-names":false,"suffix":""}],"container-title":"Nature Biotechnology","id":"ITEM-1","issue":"2","issued":{"date-parts":[["2016","2","5"]]},"page":"137-138","title":"Cas9-triggered chain ablation of cas9 as a gene drive brake","type":"article-journal","volume":"34"},"uris":["http://www.mendeley.com/documents/?uuid=f9122996-0d46-42f5-8958-4039c7f5f2eb"]}],"mendeley":{"formattedCitation":"(B. Wu et al., 2016)","manualFormatting":" Wu et al., 2016)","plainTextFormattedCitation":"(B. Wu et al., 2016)","previouslyFormattedCitation":"(B. Wu et al., 2016)"},"properties":{"noteIndex":0},"schema":"https://github.com/citation-style-language/schema/raw/master/csl-citation.json"}</w:instrText>
      </w:r>
      <w:r w:rsidR="003730D3">
        <w:rPr>
          <w:rFonts w:asciiTheme="majorBidi" w:hAnsiTheme="majorBidi" w:cstheme="majorBidi"/>
          <w:lang w:eastAsia="ar-SA"/>
        </w:rPr>
        <w:fldChar w:fldCharType="separate"/>
      </w:r>
      <w:r w:rsidR="003730D3" w:rsidRPr="003730D3">
        <w:rPr>
          <w:rFonts w:asciiTheme="majorBidi" w:hAnsiTheme="majorBidi" w:cstheme="majorBidi"/>
          <w:noProof/>
          <w:lang w:eastAsia="ar-SA"/>
        </w:rPr>
        <w:t xml:space="preserve"> Wu et al., 2016)</w:t>
      </w:r>
      <w:r w:rsidR="003730D3">
        <w:rPr>
          <w:rFonts w:asciiTheme="majorBidi" w:hAnsiTheme="majorBidi" w:cstheme="majorBidi"/>
          <w:lang w:eastAsia="ar-SA"/>
        </w:rPr>
        <w:fldChar w:fldCharType="end"/>
      </w:r>
      <w:r w:rsidRPr="003D4C1C">
        <w:rPr>
          <w:rFonts w:asciiTheme="majorBidi" w:hAnsiTheme="majorBidi" w:cstheme="majorBidi"/>
          <w:lang w:eastAsia="ar-SA"/>
        </w:rPr>
        <w:t xml:space="preserve">, or be across two loci (CHACR: construct hitchhiking on the autocatalytic chain reaction, Gantz &amp; Bier, 2016). These mitigation strategies may be safer for the environment, due to the absence of a functional </w:t>
      </w:r>
      <w:r w:rsidRPr="005B1649">
        <w:rPr>
          <w:rFonts w:asciiTheme="majorBidi" w:hAnsiTheme="majorBidi" w:cstheme="majorBidi"/>
          <w:i/>
          <w:lang w:eastAsia="ar-SA"/>
        </w:rPr>
        <w:t>cas9</w:t>
      </w:r>
      <w:r w:rsidRPr="003D4C1C">
        <w:rPr>
          <w:rFonts w:asciiTheme="majorBidi" w:hAnsiTheme="majorBidi" w:cstheme="majorBidi"/>
          <w:lang w:eastAsia="ar-SA"/>
        </w:rPr>
        <w:t xml:space="preserve"> gene.</w:t>
      </w:r>
      <w:r w:rsidR="00E110D6">
        <w:rPr>
          <w:rFonts w:asciiTheme="majorBidi" w:hAnsiTheme="majorBidi" w:cstheme="majorBidi"/>
          <w:lang w:eastAsia="ar-SA"/>
        </w:rPr>
        <w:t xml:space="preserve"> </w:t>
      </w:r>
      <w:r w:rsidR="00F745EE">
        <w:rPr>
          <w:rFonts w:asciiTheme="majorBidi" w:hAnsiTheme="majorBidi" w:cstheme="majorBidi"/>
          <w:lang w:eastAsia="ar-SA"/>
        </w:rPr>
        <w:t>Thus far, CATCHA brak</w:t>
      </w:r>
      <w:r w:rsidR="00F04373">
        <w:rPr>
          <w:rFonts w:asciiTheme="majorBidi" w:hAnsiTheme="majorBidi" w:cstheme="majorBidi"/>
          <w:lang w:eastAsia="ar-SA"/>
        </w:rPr>
        <w:t>es,</w:t>
      </w:r>
      <w:r w:rsidR="00F745EE">
        <w:rPr>
          <w:rFonts w:asciiTheme="majorBidi" w:hAnsiTheme="majorBidi" w:cstheme="majorBidi"/>
          <w:lang w:eastAsia="ar-SA"/>
        </w:rPr>
        <w:t xml:space="preserve"> erasing CHACR (e-CHACR</w:t>
      </w:r>
      <w:r w:rsidR="002735B6">
        <w:rPr>
          <w:rFonts w:asciiTheme="majorBidi" w:hAnsiTheme="majorBidi" w:cstheme="majorBidi"/>
          <w:lang w:eastAsia="ar-SA"/>
        </w:rPr>
        <w:t xml:space="preserve">; </w:t>
      </w:r>
      <w:r w:rsidR="002735B6">
        <w:rPr>
          <w:rFonts w:asciiTheme="majorBidi" w:hAnsiTheme="majorBidi" w:cstheme="majorBidi"/>
          <w:i/>
          <w:iCs/>
          <w:lang w:eastAsia="ar-SA"/>
        </w:rPr>
        <w:t xml:space="preserve">cas9 </w:t>
      </w:r>
      <w:r w:rsidR="002735B6">
        <w:rPr>
          <w:rFonts w:asciiTheme="majorBidi" w:hAnsiTheme="majorBidi" w:cstheme="majorBidi"/>
          <w:lang w:eastAsia="ar-SA"/>
        </w:rPr>
        <w:t>inactivation</w:t>
      </w:r>
      <w:r w:rsidR="00F745EE">
        <w:rPr>
          <w:rFonts w:asciiTheme="majorBidi" w:hAnsiTheme="majorBidi" w:cstheme="majorBidi"/>
          <w:lang w:eastAsia="ar-SA"/>
        </w:rPr>
        <w:t xml:space="preserve">) and </w:t>
      </w:r>
      <w:r w:rsidR="0015175A">
        <w:rPr>
          <w:rFonts w:asciiTheme="majorBidi" w:hAnsiTheme="majorBidi" w:cstheme="majorBidi"/>
          <w:lang w:eastAsia="ar-SA"/>
        </w:rPr>
        <w:t xml:space="preserve">ERACR </w:t>
      </w:r>
      <w:r w:rsidR="002735B6">
        <w:rPr>
          <w:rFonts w:asciiTheme="majorBidi" w:hAnsiTheme="majorBidi" w:cstheme="majorBidi"/>
          <w:lang w:eastAsia="ar-SA"/>
        </w:rPr>
        <w:t>(</w:t>
      </w:r>
      <w:r w:rsidR="002735B6">
        <w:rPr>
          <w:rFonts w:asciiTheme="majorBidi" w:hAnsiTheme="majorBidi" w:cstheme="majorBidi"/>
          <w:i/>
          <w:iCs/>
          <w:lang w:eastAsia="ar-SA"/>
        </w:rPr>
        <w:t xml:space="preserve">cas9 </w:t>
      </w:r>
      <w:r w:rsidR="002735B6">
        <w:rPr>
          <w:rFonts w:asciiTheme="majorBidi" w:hAnsiTheme="majorBidi" w:cstheme="majorBidi"/>
          <w:lang w:eastAsia="ar-SA"/>
        </w:rPr>
        <w:t xml:space="preserve">deletion and replacement) </w:t>
      </w:r>
      <w:r w:rsidR="0015175A">
        <w:rPr>
          <w:rFonts w:asciiTheme="majorBidi" w:hAnsiTheme="majorBidi" w:cstheme="majorBidi"/>
          <w:lang w:eastAsia="ar-SA"/>
        </w:rPr>
        <w:t>have been implemented in the laboratory</w:t>
      </w:r>
      <w:r w:rsidR="00926401">
        <w:rPr>
          <w:rFonts w:asciiTheme="majorBidi" w:hAnsiTheme="majorBidi" w:cstheme="majorBidi"/>
          <w:lang w:eastAsia="ar-SA"/>
        </w:rPr>
        <w:t xml:space="preserve">, </w:t>
      </w:r>
      <w:r w:rsidR="00926401" w:rsidRPr="005B1649">
        <w:rPr>
          <w:rFonts w:asciiTheme="majorBidi" w:hAnsiTheme="majorBidi" w:cstheme="majorBidi"/>
          <w:lang w:eastAsia="ar-SA"/>
        </w:rPr>
        <w:t xml:space="preserve">demonstrating to be effective </w:t>
      </w:r>
      <w:r w:rsidR="00F65DD8" w:rsidRPr="005B1649">
        <w:rPr>
          <w:rFonts w:asciiTheme="majorBidi" w:hAnsiTheme="majorBidi" w:cstheme="majorBidi"/>
          <w:lang w:eastAsia="ar-SA"/>
        </w:rPr>
        <w:t>at</w:t>
      </w:r>
      <w:r w:rsidR="008B58DD" w:rsidRPr="005B1649">
        <w:rPr>
          <w:rFonts w:asciiTheme="majorBidi" w:hAnsiTheme="majorBidi" w:cstheme="majorBidi"/>
          <w:lang w:eastAsia="ar-SA"/>
        </w:rPr>
        <w:t xml:space="preserve"> </w:t>
      </w:r>
      <w:r w:rsidR="005B1649" w:rsidRPr="005B1649">
        <w:rPr>
          <w:rFonts w:asciiTheme="majorBidi" w:hAnsiTheme="majorBidi" w:cstheme="majorBidi"/>
          <w:lang w:eastAsia="ar-SA"/>
        </w:rPr>
        <w:t>neutralising</w:t>
      </w:r>
      <w:r w:rsidR="008B58DD" w:rsidRPr="005B1649">
        <w:rPr>
          <w:rFonts w:asciiTheme="majorBidi" w:hAnsiTheme="majorBidi" w:cstheme="majorBidi"/>
          <w:lang w:eastAsia="ar-SA"/>
        </w:rPr>
        <w:t xml:space="preserve"> </w:t>
      </w:r>
      <w:r w:rsidR="000D0362">
        <w:rPr>
          <w:rFonts w:asciiTheme="majorBidi" w:hAnsiTheme="majorBidi" w:cstheme="majorBidi"/>
          <w:lang w:eastAsia="ar-SA"/>
        </w:rPr>
        <w:t>an</w:t>
      </w:r>
      <w:r w:rsidR="008B58DD" w:rsidRPr="005B1649">
        <w:rPr>
          <w:rFonts w:asciiTheme="majorBidi" w:hAnsiTheme="majorBidi" w:cstheme="majorBidi"/>
          <w:lang w:eastAsia="ar-SA"/>
        </w:rPr>
        <w:t xml:space="preserve"> engineered gene drive</w:t>
      </w:r>
      <w:r w:rsidR="0015175A">
        <w:rPr>
          <w:rFonts w:asciiTheme="majorBidi" w:hAnsiTheme="majorBidi" w:cstheme="majorBidi"/>
          <w:lang w:eastAsia="ar-SA"/>
        </w:rPr>
        <w:t xml:space="preserve"> </w:t>
      </w:r>
      <w:r w:rsidR="003730D3">
        <w:rPr>
          <w:rFonts w:asciiTheme="majorBidi" w:hAnsiTheme="majorBidi" w:cstheme="majorBidi"/>
          <w:lang w:eastAsia="ar-SA"/>
        </w:rPr>
        <w:fldChar w:fldCharType="begin" w:fldLock="1"/>
      </w:r>
      <w:r w:rsidR="00B4550C">
        <w:rPr>
          <w:rFonts w:asciiTheme="majorBidi" w:hAnsiTheme="majorBidi" w:cstheme="majorBidi"/>
          <w:lang w:eastAsia="ar-SA"/>
        </w:rPr>
        <w:instrText>ADDIN CSL_CITATION {"citationItems":[{"id":"ITEM-1","itemData":{"DOI":"10.1038/nbt.3444","ISSN":"1087-0156","author":[{"dropping-particle":"","family":"Wu","given":"Bing","non-dropping-particle":"","parse-names":false,"suffix":""},{"dropping-particle":"","family":"Luo","given":"Liqun","non-dropping-particle":"","parse-names":false,"suffix":""},{"dropping-particle":"","family":"Gao","given":"Xiaojing J","non-dropping-particle":"","parse-names":false,"suffix":""}],"container-title":"Nature Biotechnology","id":"ITEM-1","issue":"2","issued":{"date-parts":[["2016","2","5"]]},"page":"137-138","title":"Cas9-triggered chain ablation of cas9 as a gene drive brake","type":"article-journal","volume":"34"},"uris":["http://www.mendeley.com/documents/?uuid=f9122996-0d46-42f5-8958-4039c7f5f2eb"]},{"id":"ITEM-2","itemData":{"DOI":"10.1016/j.molcel.2020.09.003","ISSN":"10974164","PMID":"32949493","abstract":"CRISPR-Cas9-based gene drive systems possess the inherent capacity to spread progressively throughout target populations. Here we describe two self-copying (or active) guide RNA-only genetic elements, called e-CHACRs and ERACRs. These elements use Cas9 produced in trans by a gene drive either to inactivate the cas9 transgene (e-CHACRs) or to delete and replace the gene drive (ERACRs). e-CHACRs can be inserted at various genomic locations and carry two or more gRNAs, the first copying the e-CHACR and the second mutating and inactivating the cas9 transgene. Alternatively, ERACRs are inserted at the same genomic location as a gene drive, carrying two gRNAs that cut on either side of the gene drive to excise it. e-CHACRs efficiently inactivate Cas9 and can drive to completion in cage experiments. Similarly, ERACRs, particularly those carrying a recoded cDNA-restoring endogenous gene activity, can drive reliably to fully replace a gene drive. We compare the strengths of these two systems.","author":[{"dropping-particle":"","family":"Xu","given":"Xiang Ru Shannon","non-dropping-particle":"","parse-names":false,"suffix":""},{"dropping-particle":"","family":"Bulger","given":"Emily A.","non-dropping-particle":"","parse-names":false,"suffix":""},{"dropping-particle":"","family":"Gantz","given":"Valentino M.","non-dropping-particle":"","parse-names":false,"suffix":""},{"dropping-particle":"","family":"Klanseck","given":"Carissa","non-dropping-particle":"","parse-names":false,"suffix":""},{"dropping-particle":"","family":"Heimler","given":"Stephanie R.","non-dropping-particle":"","parse-names":false,"suffix":""},{"dropping-particle":"","family":"Auradkar","given":"Ankush","non-dropping-particle":"","parse-names":false,"suffix":""},{"dropping-particle":"","family":"Bennett","given":"Jared B.","non-dropping-particle":"","parse-names":false,"suffix":""},{"dropping-particle":"","family":"Miller","given":"Lauren Ashley","non-dropping-particle":"","parse-names":false,"suffix":""},{"dropping-particle":"","family":"Leahy","given":"Sarah","non-dropping-particle":"","parse-names":false,"suffix":""},{"dropping-particle":"","family":"Juste","given":"Sara Sanz","non-dropping-particle":"","parse-names":false,"suffix":""},{"dropping-particle":"","family":"Buchman","given":"Anna","non-dropping-particle":"","parse-names":false,"suffix":""},{"dropping-particle":"","family":"Akbari","given":"Omar S.","non-dropping-particle":"","parse-names":false,"suffix":""},{"dropping-particle":"","family":"Marshall","given":"John M.","non-dropping-particle":"","parse-names":false,"suffix":""},{"dropping-particle":"","family":"Bier","given":"Ethan","non-dropping-particle":"","parse-names":false,"suffix":""}],"container-title":"Molecular Cell","id":"ITEM-2","issue":"2","issued":{"date-parts":[["2020","10"]]},"page":"246-262.e4","publisher":"Cell Press","title":"Active Genetic Neutralizing Elements for Halting or Deleting Gene Drives","type":"article-journal","volume":"80"},"uris":["http://www.mendeley.com/documents/?uuid=a04b4298-afcb-44da-9559-5a962cdef6ef"]}],"mendeley":{"formattedCitation":"(B. Wu et al., 2016; X. R. S. Xu et al., 2020)","manualFormatting":"(Wu et al., 2016; Xu et al., 2020)","plainTextFormattedCitation":"(B. Wu et al., 2016; X. R. S. Xu et al., 2020)","previouslyFormattedCitation":"(B. Wu et al., 2016; X. R. S. Xu et al., 2020)"},"properties":{"noteIndex":0},"schema":"https://github.com/citation-style-language/schema/raw/master/csl-citation.json"}</w:instrText>
      </w:r>
      <w:r w:rsidR="003730D3">
        <w:rPr>
          <w:rFonts w:asciiTheme="majorBidi" w:hAnsiTheme="majorBidi" w:cstheme="majorBidi"/>
          <w:lang w:eastAsia="ar-SA"/>
        </w:rPr>
        <w:fldChar w:fldCharType="separate"/>
      </w:r>
      <w:r w:rsidR="003730D3" w:rsidRPr="003730D3">
        <w:rPr>
          <w:rFonts w:asciiTheme="majorBidi" w:hAnsiTheme="majorBidi" w:cstheme="majorBidi"/>
          <w:noProof/>
          <w:lang w:eastAsia="ar-SA"/>
        </w:rPr>
        <w:t>(Wu et al., 2016; Xu et al., 2020)</w:t>
      </w:r>
      <w:r w:rsidR="003730D3">
        <w:rPr>
          <w:rFonts w:asciiTheme="majorBidi" w:hAnsiTheme="majorBidi" w:cstheme="majorBidi"/>
          <w:lang w:eastAsia="ar-SA"/>
        </w:rPr>
        <w:fldChar w:fldCharType="end"/>
      </w:r>
      <w:r w:rsidR="0015175A">
        <w:rPr>
          <w:rFonts w:asciiTheme="majorBidi" w:hAnsiTheme="majorBidi" w:cstheme="majorBidi"/>
          <w:lang w:eastAsia="ar-SA"/>
        </w:rPr>
        <w:t xml:space="preserve">. </w:t>
      </w:r>
      <w:r w:rsidR="00594CC4">
        <w:rPr>
          <w:rFonts w:asciiTheme="majorBidi" w:hAnsiTheme="majorBidi" w:cstheme="majorBidi"/>
          <w:lang w:eastAsia="ar-SA"/>
        </w:rPr>
        <w:t>For the e-CHACR</w:t>
      </w:r>
      <w:r w:rsidR="004479CC">
        <w:rPr>
          <w:rFonts w:asciiTheme="majorBidi" w:hAnsiTheme="majorBidi" w:cstheme="majorBidi"/>
          <w:lang w:eastAsia="ar-SA"/>
        </w:rPr>
        <w:t xml:space="preserve"> and ERACR systems, the </w:t>
      </w:r>
      <w:r w:rsidR="004479CC">
        <w:rPr>
          <w:rFonts w:asciiTheme="majorBidi" w:hAnsiTheme="majorBidi" w:cstheme="majorBidi"/>
          <w:i/>
          <w:iCs/>
          <w:lang w:eastAsia="ar-SA"/>
        </w:rPr>
        <w:t>trans-</w:t>
      </w:r>
      <w:r w:rsidR="004479CC">
        <w:rPr>
          <w:rFonts w:asciiTheme="majorBidi" w:hAnsiTheme="majorBidi" w:cstheme="majorBidi"/>
          <w:lang w:eastAsia="ar-SA"/>
        </w:rPr>
        <w:t>acting elements drove to completion within 10 generations</w:t>
      </w:r>
      <w:r w:rsidR="004C30BF">
        <w:rPr>
          <w:rFonts w:asciiTheme="majorBidi" w:hAnsiTheme="majorBidi" w:cstheme="majorBidi"/>
          <w:lang w:eastAsia="ar-SA"/>
        </w:rPr>
        <w:t xml:space="preserve"> </w:t>
      </w:r>
      <w:r w:rsidR="00075C65">
        <w:rPr>
          <w:rFonts w:asciiTheme="majorBidi" w:hAnsiTheme="majorBidi" w:cstheme="majorBidi"/>
          <w:lang w:eastAsia="ar-SA"/>
        </w:rPr>
        <w:t xml:space="preserve">with the </w:t>
      </w:r>
      <w:r w:rsidR="00B71239">
        <w:rPr>
          <w:rFonts w:asciiTheme="majorBidi" w:hAnsiTheme="majorBidi" w:cstheme="majorBidi"/>
          <w:lang w:eastAsia="ar-SA"/>
        </w:rPr>
        <w:t xml:space="preserve">e-CHACR system copying and replacing </w:t>
      </w:r>
      <w:r w:rsidR="00BE402F">
        <w:rPr>
          <w:rFonts w:asciiTheme="majorBidi" w:hAnsiTheme="majorBidi" w:cstheme="majorBidi"/>
          <w:i/>
          <w:iCs/>
          <w:lang w:eastAsia="ar-SA"/>
        </w:rPr>
        <w:t xml:space="preserve">cas9 </w:t>
      </w:r>
      <w:r w:rsidR="00BE402F">
        <w:rPr>
          <w:rFonts w:asciiTheme="majorBidi" w:hAnsiTheme="majorBidi" w:cstheme="majorBidi"/>
          <w:lang w:eastAsia="ar-SA"/>
        </w:rPr>
        <w:t xml:space="preserve">~99% of the time (Xu et al. 2020). </w:t>
      </w:r>
      <w:r w:rsidR="00560F30">
        <w:rPr>
          <w:rFonts w:asciiTheme="majorBidi" w:hAnsiTheme="majorBidi" w:cstheme="majorBidi"/>
          <w:lang w:eastAsia="ar-SA"/>
        </w:rPr>
        <w:t xml:space="preserve">In progeny assays, CATCHA converted </w:t>
      </w:r>
      <w:r w:rsidR="00560F30">
        <w:rPr>
          <w:rFonts w:asciiTheme="majorBidi" w:hAnsiTheme="majorBidi" w:cstheme="majorBidi"/>
          <w:i/>
          <w:iCs/>
          <w:lang w:eastAsia="ar-SA"/>
        </w:rPr>
        <w:t>cas9</w:t>
      </w:r>
      <w:r w:rsidR="0005265B">
        <w:rPr>
          <w:rFonts w:asciiTheme="majorBidi" w:hAnsiTheme="majorBidi" w:cstheme="majorBidi"/>
          <w:i/>
          <w:iCs/>
          <w:lang w:eastAsia="ar-SA"/>
        </w:rPr>
        <w:t xml:space="preserve"> </w:t>
      </w:r>
      <w:r w:rsidR="0005265B">
        <w:rPr>
          <w:rFonts w:asciiTheme="majorBidi" w:hAnsiTheme="majorBidi" w:cstheme="majorBidi"/>
          <w:lang w:eastAsia="ar-SA"/>
        </w:rPr>
        <w:t>between 57 to</w:t>
      </w:r>
      <w:r w:rsidR="00560F30">
        <w:rPr>
          <w:rFonts w:asciiTheme="majorBidi" w:hAnsiTheme="majorBidi" w:cstheme="majorBidi"/>
          <w:lang w:eastAsia="ar-SA"/>
        </w:rPr>
        <w:t xml:space="preserve"> </w:t>
      </w:r>
      <w:r w:rsidR="004D5B4B">
        <w:rPr>
          <w:rFonts w:asciiTheme="majorBidi" w:hAnsiTheme="majorBidi" w:cstheme="majorBidi"/>
          <w:lang w:eastAsia="ar-SA"/>
        </w:rPr>
        <w:t>85</w:t>
      </w:r>
      <w:r w:rsidR="00560F30">
        <w:rPr>
          <w:rFonts w:asciiTheme="majorBidi" w:hAnsiTheme="majorBidi" w:cstheme="majorBidi"/>
          <w:lang w:eastAsia="ar-SA"/>
        </w:rPr>
        <w:t>% of the time</w:t>
      </w:r>
      <w:r w:rsidR="00E110D6">
        <w:rPr>
          <w:rFonts w:asciiTheme="majorBidi" w:hAnsiTheme="majorBidi" w:cstheme="majorBidi"/>
          <w:lang w:eastAsia="ar-SA"/>
        </w:rPr>
        <w:t xml:space="preserve"> (Wu et al. 2016)</w:t>
      </w:r>
      <w:r w:rsidR="005C006B">
        <w:rPr>
          <w:rFonts w:asciiTheme="majorBidi" w:hAnsiTheme="majorBidi" w:cstheme="majorBidi"/>
          <w:lang w:eastAsia="ar-SA"/>
        </w:rPr>
        <w:t xml:space="preserve">. </w:t>
      </w:r>
      <w:r w:rsidR="00F452AA">
        <w:rPr>
          <w:rFonts w:asciiTheme="majorBidi" w:hAnsiTheme="majorBidi" w:cstheme="majorBidi"/>
          <w:lang w:eastAsia="ar-SA"/>
        </w:rPr>
        <w:t xml:space="preserve">It was predicted that </w:t>
      </w:r>
      <w:r w:rsidR="00A01E4B" w:rsidRPr="005B75E0">
        <w:rPr>
          <w:rFonts w:asciiTheme="majorBidi" w:hAnsiTheme="majorBidi" w:cstheme="majorBidi"/>
          <w:lang w:eastAsia="ar-SA"/>
        </w:rPr>
        <w:t>CHACR may be slow to spread due to its two-locus structure, while ERACR may be sensitive to the evolution of resistance at its target sites (</w:t>
      </w:r>
      <w:r w:rsidR="00A01E4B" w:rsidRPr="005B75E0">
        <w:rPr>
          <w:rFonts w:asciiTheme="majorBidi" w:hAnsiTheme="majorBidi" w:cstheme="majorBidi"/>
          <w:i/>
          <w:lang w:eastAsia="ar-SA"/>
        </w:rPr>
        <w:t>cas9</w:t>
      </w:r>
      <w:r w:rsidR="00A01E4B" w:rsidRPr="005B75E0">
        <w:rPr>
          <w:rFonts w:asciiTheme="majorBidi" w:hAnsiTheme="majorBidi" w:cstheme="majorBidi"/>
          <w:lang w:eastAsia="ar-SA"/>
        </w:rPr>
        <w:t>-flanking sequences whose mutation does not affect enzyme function) (Rode et al., 2020).</w:t>
      </w:r>
    </w:p>
    <w:p w14:paraId="756F78AB" w14:textId="3BAE07C3" w:rsidR="008C433F" w:rsidRPr="000C4139" w:rsidRDefault="00841831" w:rsidP="00794342">
      <w:pPr>
        <w:spacing w:after="120" w:line="240" w:lineRule="auto"/>
        <w:jc w:val="both"/>
        <w:rPr>
          <w:rFonts w:asciiTheme="majorBidi" w:hAnsiTheme="majorBidi" w:cstheme="majorBidi"/>
          <w:lang w:eastAsia="ar-SA"/>
        </w:rPr>
      </w:pPr>
      <w:r w:rsidRPr="00841831">
        <w:rPr>
          <w:rFonts w:asciiTheme="majorBidi" w:hAnsiTheme="majorBidi" w:cstheme="majorBidi"/>
          <w:lang w:eastAsia="ar-SA"/>
        </w:rPr>
        <w:t xml:space="preserve">However, strategies for remediating effects of gene drive releases suffer from many of the limitations and uncertainties of the engineered gene drives they are designed to undo e.g. potential for resistance development, efficiency, and off-target effects </w:t>
      </w:r>
      <w:r w:rsidR="003730D3">
        <w:rPr>
          <w:rFonts w:asciiTheme="majorBidi" w:hAnsiTheme="majorBidi" w:cstheme="majorBidi"/>
          <w:lang w:eastAsia="ar-SA"/>
        </w:rPr>
        <w:fldChar w:fldCharType="begin" w:fldLock="1"/>
      </w:r>
      <w:r w:rsidR="0088780B">
        <w:rPr>
          <w:rFonts w:asciiTheme="majorBidi" w:hAnsiTheme="majorBidi" w:cstheme="majorBidi"/>
          <w:lang w:eastAsia="ar-SA"/>
        </w:rPr>
        <w:instrText>ADDIN CSL_CITATION {"citationItems":[{"id":"ITEM-1","itemData":{"author":[{"dropping-particle":"","family":"Sirinathsinghji","given":"Eva","non-dropping-particle":"","parse-names":false,"suffix":""}],"id":"ITEM-1","issued":{"date-parts":[["2019","5"]]},"publisher-place":"Johannesburg","title":"Gene Drive Organisms. What Africa Should Know About Actors Motives and Threats to Biodiversity and Food Systems","type":"report"},"uris":["http://www.mendeley.com/documents/?uuid=adadf1da-3ab3-4f71-a475-29180a3c3318"]}],"mendeley":{"formattedCitation":"(Sirinathsinghji, 2019)","plainTextFormattedCitation":"(Sirinathsinghji, 2019)","previouslyFormattedCitation":"(Sirinathsinghji, 2019)"},"properties":{"noteIndex":0},"schema":"https://github.com/citation-style-language/schema/raw/master/csl-citation.json"}</w:instrText>
      </w:r>
      <w:r w:rsidR="003730D3">
        <w:rPr>
          <w:rFonts w:asciiTheme="majorBidi" w:hAnsiTheme="majorBidi" w:cstheme="majorBidi"/>
          <w:lang w:eastAsia="ar-SA"/>
        </w:rPr>
        <w:fldChar w:fldCharType="separate"/>
      </w:r>
      <w:r w:rsidR="003730D3" w:rsidRPr="003730D3">
        <w:rPr>
          <w:rFonts w:asciiTheme="majorBidi" w:hAnsiTheme="majorBidi" w:cstheme="majorBidi"/>
          <w:noProof/>
          <w:lang w:eastAsia="ar-SA"/>
        </w:rPr>
        <w:t>(Sirinathsinghji, 2019)</w:t>
      </w:r>
      <w:r w:rsidR="003730D3">
        <w:rPr>
          <w:rFonts w:asciiTheme="majorBidi" w:hAnsiTheme="majorBidi" w:cstheme="majorBidi"/>
          <w:lang w:eastAsia="ar-SA"/>
        </w:rPr>
        <w:fldChar w:fldCharType="end"/>
      </w:r>
      <w:r w:rsidRPr="00841831">
        <w:rPr>
          <w:rFonts w:asciiTheme="majorBidi" w:hAnsiTheme="majorBidi" w:cstheme="majorBidi"/>
          <w:lang w:eastAsia="ar-SA"/>
        </w:rPr>
        <w:t xml:space="preserve">. This can be exemplified by the CATCHA, e-CHACR and ERACR systems, where the authors suggested further design considerations are warranted due to unexpected and off-target effects (e.g. the use of two gRNAs, </w:t>
      </w:r>
      <w:r w:rsidR="00E43A34" w:rsidRPr="00841831">
        <w:rPr>
          <w:rFonts w:asciiTheme="majorBidi" w:hAnsiTheme="majorBidi" w:cstheme="majorBidi"/>
          <w:lang w:eastAsia="ar-SA"/>
        </w:rPr>
        <w:t>optimi</w:t>
      </w:r>
      <w:r w:rsidR="00E43A34">
        <w:rPr>
          <w:rFonts w:asciiTheme="majorBidi" w:hAnsiTheme="majorBidi" w:cstheme="majorBidi"/>
          <w:lang w:eastAsia="ar-SA"/>
        </w:rPr>
        <w:t>s</w:t>
      </w:r>
      <w:r w:rsidR="00E43A34" w:rsidRPr="00841831">
        <w:rPr>
          <w:rFonts w:asciiTheme="majorBidi" w:hAnsiTheme="majorBidi" w:cstheme="majorBidi"/>
          <w:lang w:eastAsia="ar-SA"/>
        </w:rPr>
        <w:t>ing</w:t>
      </w:r>
      <w:r w:rsidRPr="00841831">
        <w:rPr>
          <w:rFonts w:asciiTheme="majorBidi" w:hAnsiTheme="majorBidi" w:cstheme="majorBidi"/>
          <w:lang w:eastAsia="ar-SA"/>
        </w:rPr>
        <w:t xml:space="preserve"> gRNAs). For CATCHA, the authors </w:t>
      </w:r>
      <w:r w:rsidR="00AF11AC" w:rsidRPr="00841831">
        <w:rPr>
          <w:rFonts w:asciiTheme="majorBidi" w:hAnsiTheme="majorBidi" w:cstheme="majorBidi"/>
          <w:lang w:eastAsia="ar-SA"/>
        </w:rPr>
        <w:t>hypothesi</w:t>
      </w:r>
      <w:r w:rsidR="00AF11AC">
        <w:rPr>
          <w:rFonts w:asciiTheme="majorBidi" w:hAnsiTheme="majorBidi" w:cstheme="majorBidi"/>
          <w:lang w:eastAsia="ar-SA"/>
        </w:rPr>
        <w:t>s</w:t>
      </w:r>
      <w:r w:rsidR="00AF11AC" w:rsidRPr="00841831">
        <w:rPr>
          <w:rFonts w:asciiTheme="majorBidi" w:hAnsiTheme="majorBidi" w:cstheme="majorBidi"/>
          <w:lang w:eastAsia="ar-SA"/>
        </w:rPr>
        <w:t>ed</w:t>
      </w:r>
      <w:r w:rsidRPr="00841831">
        <w:rPr>
          <w:rFonts w:asciiTheme="majorBidi" w:hAnsiTheme="majorBidi" w:cstheme="majorBidi"/>
          <w:lang w:eastAsia="ar-SA"/>
        </w:rPr>
        <w:t xml:space="preserve"> that some progeny where the CATCHA did not copy, likely contained non-functional </w:t>
      </w:r>
      <w:r w:rsidRPr="00AF11AC">
        <w:rPr>
          <w:rFonts w:asciiTheme="majorBidi" w:hAnsiTheme="majorBidi" w:cstheme="majorBidi"/>
          <w:i/>
          <w:lang w:eastAsia="ar-SA"/>
        </w:rPr>
        <w:t>cas9</w:t>
      </w:r>
      <w:r w:rsidRPr="00841831">
        <w:rPr>
          <w:rFonts w:asciiTheme="majorBidi" w:hAnsiTheme="majorBidi" w:cstheme="majorBidi"/>
          <w:lang w:eastAsia="ar-SA"/>
        </w:rPr>
        <w:t xml:space="preserve"> due to indels cause</w:t>
      </w:r>
      <w:r w:rsidR="00AF11AC">
        <w:rPr>
          <w:rFonts w:asciiTheme="majorBidi" w:hAnsiTheme="majorBidi" w:cstheme="majorBidi"/>
          <w:lang w:eastAsia="ar-SA"/>
        </w:rPr>
        <w:t>d</w:t>
      </w:r>
      <w:r w:rsidRPr="00841831">
        <w:rPr>
          <w:rFonts w:asciiTheme="majorBidi" w:hAnsiTheme="majorBidi" w:cstheme="majorBidi"/>
          <w:lang w:eastAsia="ar-SA"/>
        </w:rPr>
        <w:t xml:space="preserve"> by non-homologous end joining (Wu et al. 2016). In the case </w:t>
      </w:r>
      <w:r w:rsidR="00AF11AC">
        <w:rPr>
          <w:rFonts w:asciiTheme="majorBidi" w:hAnsiTheme="majorBidi" w:cstheme="majorBidi"/>
          <w:lang w:eastAsia="ar-SA"/>
        </w:rPr>
        <w:t>of</w:t>
      </w:r>
      <w:r w:rsidRPr="00841831">
        <w:rPr>
          <w:rFonts w:asciiTheme="majorBidi" w:hAnsiTheme="majorBidi" w:cstheme="majorBidi"/>
          <w:lang w:eastAsia="ar-SA"/>
        </w:rPr>
        <w:t xml:space="preserve"> e-CHACR, a biased inheritance of donor chromosomes was observed and attributed to cutting twice or induced male or homozygous lethality (when located on the X chromosome). For ERACR, the action of the element damaged the chromosome, resulting in other outcomes, including the failure to delete </w:t>
      </w:r>
      <w:r w:rsidRPr="00AF11AC">
        <w:rPr>
          <w:rFonts w:asciiTheme="majorBidi" w:hAnsiTheme="majorBidi" w:cstheme="majorBidi"/>
          <w:i/>
          <w:lang w:eastAsia="ar-SA"/>
        </w:rPr>
        <w:t>cas9</w:t>
      </w:r>
      <w:r w:rsidRPr="00841831">
        <w:rPr>
          <w:rFonts w:asciiTheme="majorBidi" w:hAnsiTheme="majorBidi" w:cstheme="majorBidi"/>
          <w:lang w:eastAsia="ar-SA"/>
        </w:rPr>
        <w:t xml:space="preserve">, </w:t>
      </w:r>
      <w:r w:rsidR="00AF11AC">
        <w:rPr>
          <w:rFonts w:asciiTheme="majorBidi" w:hAnsiTheme="majorBidi" w:cstheme="majorBidi"/>
          <w:lang w:eastAsia="ar-SA"/>
        </w:rPr>
        <w:t xml:space="preserve">the </w:t>
      </w:r>
      <w:r w:rsidRPr="00841831">
        <w:rPr>
          <w:rFonts w:asciiTheme="majorBidi" w:hAnsiTheme="majorBidi" w:cstheme="majorBidi"/>
          <w:lang w:eastAsia="ar-SA"/>
        </w:rPr>
        <w:t xml:space="preserve">deletion of </w:t>
      </w:r>
      <w:r w:rsidRPr="00AF11AC">
        <w:rPr>
          <w:rFonts w:asciiTheme="majorBidi" w:hAnsiTheme="majorBidi" w:cstheme="majorBidi"/>
          <w:i/>
          <w:lang w:eastAsia="ar-SA"/>
        </w:rPr>
        <w:t>cas9</w:t>
      </w:r>
      <w:r w:rsidRPr="00841831">
        <w:rPr>
          <w:rFonts w:asciiTheme="majorBidi" w:hAnsiTheme="majorBidi" w:cstheme="majorBidi"/>
          <w:lang w:eastAsia="ar-SA"/>
        </w:rPr>
        <w:t xml:space="preserve"> without copying the ERACR element, and rare recombination events. Resistance was also observed, but damaged caused to the chromosome carried higher fitness costs than retaining the drive element </w:t>
      </w:r>
      <w:r w:rsidR="00251210">
        <w:rPr>
          <w:rFonts w:asciiTheme="majorBidi" w:hAnsiTheme="majorBidi" w:cstheme="majorBidi"/>
          <w:lang w:eastAsia="ar-SA"/>
        </w:rPr>
        <w:fldChar w:fldCharType="begin" w:fldLock="1"/>
      </w:r>
      <w:r w:rsidR="008F6A90">
        <w:rPr>
          <w:rFonts w:asciiTheme="majorBidi" w:hAnsiTheme="majorBidi" w:cstheme="majorBidi"/>
          <w:lang w:eastAsia="ar-SA"/>
        </w:rPr>
        <w:instrText>ADDIN CSL_CITATION {"citationItems":[{"id":"ITEM-1","itemData":{"DOI":"10.1016/j.molcel.2020.09.003","ISSN":"10974164","PMID":"32949493","abstract":"CRISPR-Cas9-based gene drive systems possess the inherent capacity to spread progressively throughout target populations. Here we describe two self-copying (or active) guide RNA-only genetic elements, called e-CHACRs and ERACRs. These elements use Cas9 produced in trans by a gene drive either to inactivate the cas9 transgene (e-CHACRs) or to delete and replace the gene drive (ERACRs). e-CHACRs can be inserted at various genomic locations and carry two or more gRNAs, the first copying the e-CHACR and the second mutating and inactivating the cas9 transgene. Alternatively, ERACRs are inserted at the same genomic location as a gene drive, carrying two gRNAs that cut on either side of the gene drive to excise it. e-CHACRs efficiently inactivate Cas9 and can drive to completion in cage experiments. Similarly, ERACRs, particularly those carrying a recoded cDNA-restoring endogenous gene activity, can drive reliably to fully replace a gene drive. We compare the strengths of these two systems.","author":[{"dropping-particle":"","family":"Xu","given":"Xiang Ru Shannon","non-dropping-particle":"","parse-names":false,"suffix":""},{"dropping-particle":"","family":"Bulger","given":"Emily A.","non-dropping-particle":"","parse-names":false,"suffix":""},{"dropping-particle":"","family":"Gantz","given":"Valentino M.","non-dropping-particle":"","parse-names":false,"suffix":""},{"dropping-particle":"","family":"Klanseck","given":"Carissa","non-dropping-particle":"","parse-names":false,"suffix":""},{"dropping-particle":"","family":"Heimler","given":"Stephanie R.","non-dropping-particle":"","parse-names":false,"suffix":""},{"dropping-particle":"","family":"Auradkar","given":"Ankush","non-dropping-particle":"","parse-names":false,"suffix":""},{"dropping-particle":"","family":"Bennett","given":"Jared B.","non-dropping-particle":"","parse-names":false,"suffix":""},{"dropping-particle":"","family":"Miller","given":"Lauren Ashley","non-dropping-particle":"","parse-names":false,"suffix":""},{"dropping-particle":"","family":"Leahy","given":"Sarah","non-dropping-particle":"","parse-names":false,"suffix":""},{"dropping-particle":"","family":"Juste","given":"Sara Sanz","non-dropping-particle":"","parse-names":false,"suffix":""},{"dropping-particle":"","family":"Buchman","given":"Anna","non-dropping-particle":"","parse-names":false,"suffix":""},{"dropping-particle":"","family":"Akbari","given":"Omar S.","non-dropping-particle":"","parse-names":false,"suffix":""},{"dropping-particle":"","family":"Marshall","given":"John M.","non-dropping-particle":"","parse-names":false,"suffix":""},{"dropping-particle":"","family":"Bier","given":"Ethan","non-dropping-particle":"","parse-names":false,"suffix":""}],"container-title":"Molecular Cell","id":"ITEM-1","issue":"2","issued":{"date-parts":[["2020","10"]]},"page":"246-262.e4","publisher":"Cell Press","title":"Active Genetic Neutralizing Elements for Halting or Deleting Gene Drives","type":"article-journal","volume":"80"},"uris":["http://www.mendeley.com/documents/?uuid=a04b4298-afcb-44da-9559-5a962cdef6ef"]}],"mendeley":{"formattedCitation":"(X. R. S. Xu et al., 2020)","manualFormatting":"(Xu et al., 2020)","plainTextFormattedCitation":"(X. R. S. Xu et al., 2020)","previouslyFormattedCitation":"(X. R. S. Xu et al., 2020)"},"properties":{"noteIndex":0},"schema":"https://github.com/citation-style-language/schema/raw/master/csl-citation.json"}</w:instrText>
      </w:r>
      <w:r w:rsidR="00251210">
        <w:rPr>
          <w:rFonts w:asciiTheme="majorBidi" w:hAnsiTheme="majorBidi" w:cstheme="majorBidi"/>
          <w:lang w:eastAsia="ar-SA"/>
        </w:rPr>
        <w:fldChar w:fldCharType="separate"/>
      </w:r>
      <w:r w:rsidR="00251210" w:rsidRPr="00251210">
        <w:rPr>
          <w:rFonts w:asciiTheme="majorBidi" w:hAnsiTheme="majorBidi" w:cstheme="majorBidi"/>
          <w:noProof/>
          <w:lang w:eastAsia="ar-SA"/>
        </w:rPr>
        <w:t>(Xu et al., 2020)</w:t>
      </w:r>
      <w:r w:rsidR="00251210">
        <w:rPr>
          <w:rFonts w:asciiTheme="majorBidi" w:hAnsiTheme="majorBidi" w:cstheme="majorBidi"/>
          <w:lang w:eastAsia="ar-SA"/>
        </w:rPr>
        <w:fldChar w:fldCharType="end"/>
      </w:r>
      <w:r w:rsidRPr="00841831">
        <w:rPr>
          <w:rFonts w:asciiTheme="majorBidi" w:hAnsiTheme="majorBidi" w:cstheme="majorBidi"/>
          <w:lang w:eastAsia="ar-SA"/>
        </w:rPr>
        <w:t>.</w:t>
      </w:r>
      <w:r w:rsidR="00B93602" w:rsidRPr="00B93602">
        <w:t xml:space="preserve"> </w:t>
      </w:r>
      <w:r w:rsidR="00B93602" w:rsidRPr="00251210">
        <w:rPr>
          <w:rFonts w:ascii="Times New Roman" w:hAnsi="Times New Roman"/>
        </w:rPr>
        <w:t xml:space="preserve">Thus, the same authors </w:t>
      </w:r>
      <w:r w:rsidR="00251210" w:rsidRPr="00251210">
        <w:rPr>
          <w:rFonts w:ascii="Times New Roman" w:hAnsi="Times New Roman"/>
        </w:rPr>
        <w:t>concur</w:t>
      </w:r>
      <w:r w:rsidR="00EB677F">
        <w:rPr>
          <w:rFonts w:ascii="Times New Roman" w:hAnsi="Times New Roman"/>
        </w:rPr>
        <w:t>red</w:t>
      </w:r>
      <w:r w:rsidR="00251210" w:rsidRPr="00251210">
        <w:rPr>
          <w:rFonts w:ascii="Times New Roman" w:hAnsi="Times New Roman"/>
        </w:rPr>
        <w:t xml:space="preserve"> </w:t>
      </w:r>
      <w:r w:rsidR="00251210">
        <w:rPr>
          <w:rFonts w:ascii="Times New Roman" w:hAnsi="Times New Roman"/>
        </w:rPr>
        <w:t>with the</w:t>
      </w:r>
      <w:r w:rsidR="001C0FF7">
        <w:rPr>
          <w:rFonts w:ascii="Times New Roman" w:hAnsi="Times New Roman"/>
        </w:rPr>
        <w:t xml:space="preserve"> recommendations of the</w:t>
      </w:r>
      <w:r w:rsidR="00251210">
        <w:rPr>
          <w:rFonts w:ascii="Times New Roman" w:hAnsi="Times New Roman"/>
        </w:rPr>
        <w:t xml:space="preserve"> </w:t>
      </w:r>
      <w:r w:rsidR="005B75E0">
        <w:rPr>
          <w:rFonts w:ascii="Times New Roman" w:hAnsi="Times New Roman"/>
        </w:rPr>
        <w:fldChar w:fldCharType="begin" w:fldLock="1"/>
      </w:r>
      <w:r w:rsidR="006B456E">
        <w:rPr>
          <w:rFonts w:ascii="Times New Roman" w:hAnsi="Times New Roman"/>
        </w:rPr>
        <w:instrText>ADDIN CSL_CITATION {"citationItems":[{"id":"ITEM-1","itemData":{"DOI":"10.17226/23405","ISBN":"978-0-309-43787-5","author":[{"dropping-particle":"","family":"National Academies of Sciences Engineering and Medicine","given":"","non-dropping-particle":"","parse-names":false,"suffix":""}],"id":"ITEM-1","issued":{"date-parts":[["2016","7","28"]]},"publisher":"National Academies Press","publisher-place":"Washington, D.C.","title":"Gene Drives on the Horizon: Advancing Science, Navigating Uncertainty, and Aligning Research with Public Values","type":"book"},"uris":["http://www.mendeley.com/documents/?uuid=41b0c447-07be-40d4-8c3a-29e8c76c6932"]}],"mendeley":{"formattedCitation":"(National Academies of Sciences Engineering and Medicine, 2016b)","manualFormatting":"USA  National Academies of Sciences &amp; Engineering (2016)","plainTextFormattedCitation":"(National Academies of Sciences Engineering and Medicine, 2016b)","previouslyFormattedCitation":"(National Academies of Sciences Engineering and Medicine, 2016b)"},"properties":{"noteIndex":0},"schema":"https://github.com/citation-style-language/schema/raw/master/csl-citation.json"}</w:instrText>
      </w:r>
      <w:r w:rsidR="005B75E0">
        <w:rPr>
          <w:rFonts w:ascii="Times New Roman" w:hAnsi="Times New Roman"/>
        </w:rPr>
        <w:fldChar w:fldCharType="separate"/>
      </w:r>
      <w:r w:rsidR="005B75E0" w:rsidRPr="005B75E0">
        <w:rPr>
          <w:rFonts w:ascii="Times New Roman" w:hAnsi="Times New Roman"/>
          <w:noProof/>
        </w:rPr>
        <w:t xml:space="preserve">USA  National Academies of Sciences &amp; Engineering </w:t>
      </w:r>
      <w:r w:rsidR="0078129C">
        <w:rPr>
          <w:rFonts w:ascii="Times New Roman" w:hAnsi="Times New Roman"/>
          <w:noProof/>
        </w:rPr>
        <w:t>(</w:t>
      </w:r>
      <w:r w:rsidR="005B75E0" w:rsidRPr="005B75E0">
        <w:rPr>
          <w:rFonts w:ascii="Times New Roman" w:hAnsi="Times New Roman"/>
          <w:noProof/>
        </w:rPr>
        <w:t>2016)</w:t>
      </w:r>
      <w:r w:rsidR="005B75E0">
        <w:rPr>
          <w:rFonts w:ascii="Times New Roman" w:hAnsi="Times New Roman"/>
        </w:rPr>
        <w:fldChar w:fldCharType="end"/>
      </w:r>
      <w:r w:rsidR="005B75E0">
        <w:rPr>
          <w:rFonts w:ascii="Times New Roman" w:hAnsi="Times New Roman"/>
        </w:rPr>
        <w:t xml:space="preserve"> </w:t>
      </w:r>
      <w:r w:rsidR="00251210" w:rsidRPr="00251210">
        <w:rPr>
          <w:rFonts w:ascii="Times New Roman" w:hAnsi="Times New Roman"/>
        </w:rPr>
        <w:t>that</w:t>
      </w:r>
      <w:r w:rsidR="00251210">
        <w:rPr>
          <w:rFonts w:ascii="Times New Roman" w:hAnsi="Times New Roman"/>
        </w:rPr>
        <w:t xml:space="preserve"> </w:t>
      </w:r>
      <w:r w:rsidR="00B93602" w:rsidRPr="00B93602">
        <w:rPr>
          <w:rFonts w:asciiTheme="majorBidi" w:hAnsiTheme="majorBidi" w:cstheme="majorBidi"/>
          <w:lang w:eastAsia="ar-SA"/>
        </w:rPr>
        <w:t xml:space="preserve">the decision to </w:t>
      </w:r>
      <w:r w:rsidR="00D31AFB">
        <w:rPr>
          <w:rFonts w:asciiTheme="majorBidi" w:hAnsiTheme="majorBidi" w:cstheme="majorBidi"/>
          <w:lang w:eastAsia="ar-SA"/>
        </w:rPr>
        <w:t>proceed</w:t>
      </w:r>
      <w:r w:rsidR="00B93602" w:rsidRPr="00B93602">
        <w:rPr>
          <w:rFonts w:asciiTheme="majorBidi" w:hAnsiTheme="majorBidi" w:cstheme="majorBidi"/>
          <w:lang w:eastAsia="ar-SA"/>
        </w:rPr>
        <w:t xml:space="preserve"> with potential releases of </w:t>
      </w:r>
      <w:r w:rsidR="00B93602">
        <w:rPr>
          <w:rFonts w:asciiTheme="majorBidi" w:hAnsiTheme="majorBidi" w:cstheme="majorBidi"/>
          <w:lang w:eastAsia="ar-SA"/>
        </w:rPr>
        <w:t xml:space="preserve">engineered </w:t>
      </w:r>
      <w:r w:rsidR="00B93602" w:rsidRPr="00B93602">
        <w:rPr>
          <w:rFonts w:asciiTheme="majorBidi" w:hAnsiTheme="majorBidi" w:cstheme="majorBidi"/>
          <w:lang w:eastAsia="ar-SA"/>
        </w:rPr>
        <w:t>gene drive systems should not be predicated on constructing neutrali</w:t>
      </w:r>
      <w:r w:rsidR="00B93602">
        <w:rPr>
          <w:rFonts w:asciiTheme="majorBidi" w:hAnsiTheme="majorBidi" w:cstheme="majorBidi"/>
          <w:lang w:eastAsia="ar-SA"/>
        </w:rPr>
        <w:t>s</w:t>
      </w:r>
      <w:r w:rsidR="00B93602" w:rsidRPr="00B93602">
        <w:rPr>
          <w:rFonts w:asciiTheme="majorBidi" w:hAnsiTheme="majorBidi" w:cstheme="majorBidi"/>
          <w:lang w:eastAsia="ar-SA"/>
        </w:rPr>
        <w:t>ing elements and that such systems should be developed only for precautionary purposes.</w:t>
      </w:r>
      <w:r w:rsidR="00561D5E">
        <w:rPr>
          <w:rFonts w:asciiTheme="majorBidi" w:hAnsiTheme="majorBidi" w:cstheme="majorBidi"/>
          <w:lang w:eastAsia="ar-SA"/>
        </w:rPr>
        <w:t xml:space="preserve"> </w:t>
      </w:r>
    </w:p>
    <w:p w14:paraId="0F2B5D98" w14:textId="30917D8D" w:rsidR="00794342" w:rsidRPr="005A7B6C" w:rsidRDefault="00794342" w:rsidP="008C7EDF">
      <w:pPr>
        <w:pStyle w:val="Heading4"/>
        <w:rPr>
          <w:rFonts w:ascii="Times New Roman" w:hAnsi="Times New Roman"/>
          <w:i w:val="0"/>
          <w:iCs/>
        </w:rPr>
      </w:pPr>
      <w:r w:rsidRPr="005A7B6C">
        <w:rPr>
          <w:rFonts w:ascii="Times New Roman" w:hAnsi="Times New Roman"/>
          <w:i w:val="0"/>
          <w:iCs/>
        </w:rPr>
        <w:t xml:space="preserve">6.2.4. </w:t>
      </w:r>
      <w:r w:rsidR="001503A7" w:rsidRPr="005A7B6C">
        <w:rPr>
          <w:rFonts w:ascii="Times New Roman" w:hAnsi="Times New Roman"/>
          <w:i w:val="0"/>
          <w:iCs/>
          <w:lang w:val="en-GB"/>
        </w:rPr>
        <w:t>P</w:t>
      </w:r>
      <w:r w:rsidR="001503A7" w:rsidRPr="005A7B6C">
        <w:rPr>
          <w:rFonts w:ascii="Times New Roman" w:hAnsi="Times New Roman"/>
          <w:i w:val="0"/>
          <w:iCs/>
        </w:rPr>
        <w:t xml:space="preserve">ost-release </w:t>
      </w:r>
      <w:r w:rsidR="001503A7" w:rsidRPr="005A7B6C">
        <w:rPr>
          <w:rFonts w:ascii="Times New Roman" w:hAnsi="Times New Roman"/>
          <w:i w:val="0"/>
          <w:iCs/>
          <w:lang w:val="en-GB"/>
        </w:rPr>
        <w:t>r</w:t>
      </w:r>
      <w:r w:rsidRPr="005A7B6C">
        <w:rPr>
          <w:rFonts w:ascii="Times New Roman" w:hAnsi="Times New Roman"/>
          <w:i w:val="0"/>
          <w:iCs/>
        </w:rPr>
        <w:t>emoval of synthetic biology applications</w:t>
      </w:r>
      <w:r w:rsidR="005A7B6C" w:rsidRPr="005A7B6C">
        <w:rPr>
          <w:rFonts w:ascii="Times New Roman" w:hAnsi="Times New Roman"/>
          <w:i w:val="0"/>
          <w:iCs/>
          <w:lang w:val="en-US"/>
        </w:rPr>
        <w:t>.</w:t>
      </w:r>
      <w:r w:rsidRPr="005A7B6C">
        <w:rPr>
          <w:rFonts w:ascii="Times New Roman" w:hAnsi="Times New Roman"/>
          <w:i w:val="0"/>
          <w:iCs/>
        </w:rPr>
        <w:t xml:space="preserve"> </w:t>
      </w:r>
    </w:p>
    <w:p w14:paraId="74E9130A" w14:textId="23BE1835" w:rsidR="002D65F9" w:rsidRPr="001952AA" w:rsidRDefault="00794342" w:rsidP="001952AA">
      <w:pPr>
        <w:spacing w:after="0" w:line="240" w:lineRule="auto"/>
        <w:jc w:val="both"/>
        <w:rPr>
          <w:rFonts w:asciiTheme="majorBidi" w:hAnsiTheme="majorBidi" w:cstheme="majorBidi"/>
          <w:lang w:eastAsia="ar-SA"/>
        </w:rPr>
      </w:pPr>
      <w:r>
        <w:rPr>
          <w:rFonts w:asciiTheme="majorBidi" w:hAnsiTheme="majorBidi" w:cstheme="majorBidi"/>
          <w:lang w:eastAsia="ar-SA"/>
        </w:rPr>
        <w:t xml:space="preserve">Some synthetic biology developers are beginning to explore the possibility of developing mechanisms by which </w:t>
      </w:r>
      <w:r w:rsidR="008C7EDF">
        <w:rPr>
          <w:rFonts w:asciiTheme="majorBidi" w:hAnsiTheme="majorBidi" w:cstheme="majorBidi"/>
          <w:lang w:eastAsia="ar-SA"/>
        </w:rPr>
        <w:t>organisms containing engineered gene drives could be removed from the environment post-release</w:t>
      </w:r>
      <w:r w:rsidRPr="00794342">
        <w:rPr>
          <w:rFonts w:asciiTheme="majorBidi" w:hAnsiTheme="majorBidi" w:cstheme="majorBidi"/>
          <w:lang w:eastAsia="ar-SA"/>
        </w:rPr>
        <w:t>. Current ideas include gene drives that counter other gene drives (anti-drives), drives with built-in limitations (daisy-chain drives), or underdominance drives</w:t>
      </w:r>
      <w:r w:rsidR="003D3FD0">
        <w:rPr>
          <w:rFonts w:asciiTheme="majorBidi" w:hAnsiTheme="majorBidi" w:cstheme="majorBidi"/>
          <w:lang w:eastAsia="ar-SA"/>
        </w:rPr>
        <w:t xml:space="preserve"> </w:t>
      </w:r>
      <w:r w:rsidR="007E0372">
        <w:rPr>
          <w:rFonts w:asciiTheme="majorBidi" w:hAnsiTheme="majorBidi" w:cstheme="majorBidi"/>
          <w:lang w:eastAsia="ar-SA"/>
        </w:rPr>
        <w:fldChar w:fldCharType="begin" w:fldLock="1"/>
      </w:r>
      <w:r w:rsidR="008F6A90">
        <w:rPr>
          <w:rFonts w:asciiTheme="majorBidi" w:hAnsiTheme="majorBidi" w:cstheme="majorBidi"/>
          <w:lang w:eastAsia="ar-SA"/>
        </w:rPr>
        <w:instrText>ADDIN CSL_CITATION {"citationItems":[{"id":"ITEM-1","itemData":{"DOI":"10.1038/s41598-019-54805-8","ISSN":"2045-2322","author":[{"dropping-particle":"","family":"Heffel","given":"Matthew G.","non-dropping-particle":"","parse-names":false,"suffix":""},{"dropping-particle":"","family":"Finnigan","given":"Gregory C.","non-dropping-particle":"","parse-names":false,"suffix":""}],"container-title":"Scientific Reports","id":"ITEM-1","issue":"1","issued":{"date-parts":[["2019","12","27"]]},"page":"20050","title":"Mathematical modeling of self-contained CRISPR gene drive reversal systems","type":"article-journal","volume":"9"},"uris":["http://www.mendeley.com/documents/?uuid=59df4213-b81f-49c6-b84e-412af3c712f5"]}],"mendeley":{"formattedCitation":"(Heffel &amp; Finnigan, 2019)","plainTextFormattedCitation":"(Heffel &amp; Finnigan, 2019)","previouslyFormattedCitation":"(Heffel &amp; Finnigan, 2019)"},"properties":{"noteIndex":0},"schema":"https://github.com/citation-style-language/schema/raw/master/csl-citation.json"}</w:instrText>
      </w:r>
      <w:r w:rsidR="007E0372">
        <w:rPr>
          <w:rFonts w:asciiTheme="majorBidi" w:hAnsiTheme="majorBidi" w:cstheme="majorBidi"/>
          <w:lang w:eastAsia="ar-SA"/>
        </w:rPr>
        <w:fldChar w:fldCharType="separate"/>
      </w:r>
      <w:r w:rsidR="007E0372" w:rsidRPr="007E0372">
        <w:rPr>
          <w:rFonts w:asciiTheme="majorBidi" w:hAnsiTheme="majorBidi" w:cstheme="majorBidi"/>
          <w:noProof/>
          <w:lang w:eastAsia="ar-SA"/>
        </w:rPr>
        <w:t>(Heffel &amp; Finnigan, 2019)</w:t>
      </w:r>
      <w:r w:rsidR="007E0372">
        <w:rPr>
          <w:rFonts w:asciiTheme="majorBidi" w:hAnsiTheme="majorBidi" w:cstheme="majorBidi"/>
          <w:lang w:eastAsia="ar-SA"/>
        </w:rPr>
        <w:fldChar w:fldCharType="end"/>
      </w:r>
      <w:r w:rsidRPr="00794342">
        <w:rPr>
          <w:rFonts w:asciiTheme="majorBidi" w:hAnsiTheme="majorBidi" w:cstheme="majorBidi"/>
          <w:lang w:eastAsia="ar-SA"/>
        </w:rPr>
        <w:t xml:space="preserve">. In the case of the anti-drives, a standard reversal system only targets </w:t>
      </w:r>
      <w:r w:rsidR="006D332D">
        <w:rPr>
          <w:rFonts w:asciiTheme="majorBidi" w:hAnsiTheme="majorBidi" w:cstheme="majorBidi"/>
          <w:lang w:eastAsia="ar-SA"/>
        </w:rPr>
        <w:t>engineered gene drive</w:t>
      </w:r>
      <w:r w:rsidRPr="00794342">
        <w:rPr>
          <w:rFonts w:asciiTheme="majorBidi" w:hAnsiTheme="majorBidi" w:cstheme="majorBidi"/>
          <w:lang w:eastAsia="ar-SA"/>
        </w:rPr>
        <w:t xml:space="preserve"> individuals; immuni</w:t>
      </w:r>
      <w:r w:rsidR="006202BD">
        <w:rPr>
          <w:rFonts w:asciiTheme="majorBidi" w:hAnsiTheme="majorBidi" w:cstheme="majorBidi"/>
          <w:lang w:eastAsia="ar-SA"/>
        </w:rPr>
        <w:t>s</w:t>
      </w:r>
      <w:r w:rsidRPr="00794342">
        <w:rPr>
          <w:rFonts w:asciiTheme="majorBidi" w:hAnsiTheme="majorBidi" w:cstheme="majorBidi"/>
          <w:lang w:eastAsia="ar-SA"/>
        </w:rPr>
        <w:t xml:space="preserve">ing anti-drives are able to target both </w:t>
      </w:r>
      <w:r w:rsidR="006D332D">
        <w:rPr>
          <w:rFonts w:asciiTheme="majorBidi" w:hAnsiTheme="majorBidi" w:cstheme="majorBidi"/>
          <w:lang w:eastAsia="ar-SA"/>
        </w:rPr>
        <w:t>engineered gene drive</w:t>
      </w:r>
      <w:r w:rsidRPr="00794342">
        <w:rPr>
          <w:rFonts w:asciiTheme="majorBidi" w:hAnsiTheme="majorBidi" w:cstheme="majorBidi"/>
          <w:lang w:eastAsia="ar-SA"/>
        </w:rPr>
        <w:t xml:space="preserve"> and </w:t>
      </w:r>
      <w:r w:rsidR="007538D4">
        <w:rPr>
          <w:rFonts w:asciiTheme="majorBidi" w:hAnsiTheme="majorBidi" w:cstheme="majorBidi"/>
          <w:lang w:eastAsia="ar-SA"/>
        </w:rPr>
        <w:t>wild-type</w:t>
      </w:r>
      <w:r w:rsidRPr="00794342">
        <w:rPr>
          <w:rFonts w:asciiTheme="majorBidi" w:hAnsiTheme="majorBidi" w:cstheme="majorBidi"/>
          <w:lang w:eastAsia="ar-SA"/>
        </w:rPr>
        <w:t xml:space="preserve"> individuals. For some scenarios, </w:t>
      </w:r>
      <w:r w:rsidR="006D332D" w:rsidRPr="00794342">
        <w:rPr>
          <w:rFonts w:asciiTheme="majorBidi" w:hAnsiTheme="majorBidi" w:cstheme="majorBidi"/>
          <w:lang w:eastAsia="ar-SA"/>
        </w:rPr>
        <w:t>anti-drives</w:t>
      </w:r>
      <w:r w:rsidRPr="00794342">
        <w:rPr>
          <w:rFonts w:asciiTheme="majorBidi" w:hAnsiTheme="majorBidi" w:cstheme="majorBidi"/>
          <w:lang w:eastAsia="ar-SA"/>
        </w:rPr>
        <w:t xml:space="preserve"> systems may not eliminate drives within a population, and, instead, might achieve a stable equilibrium. Moreover, without additional modifications, </w:t>
      </w:r>
      <w:r w:rsidR="006D332D" w:rsidRPr="00794342">
        <w:rPr>
          <w:rFonts w:asciiTheme="majorBidi" w:hAnsiTheme="majorBidi" w:cstheme="majorBidi"/>
          <w:lang w:eastAsia="ar-SA"/>
        </w:rPr>
        <w:t>anti-drives</w:t>
      </w:r>
      <w:r w:rsidRPr="00794342">
        <w:rPr>
          <w:rFonts w:asciiTheme="majorBidi" w:hAnsiTheme="majorBidi" w:cstheme="majorBidi"/>
          <w:lang w:eastAsia="ar-SA"/>
        </w:rPr>
        <w:t xml:space="preserve"> systems require construction at the same locus that the </w:t>
      </w:r>
      <w:r w:rsidR="006D332D">
        <w:rPr>
          <w:rFonts w:asciiTheme="majorBidi" w:hAnsiTheme="majorBidi" w:cstheme="majorBidi"/>
          <w:lang w:eastAsia="ar-SA"/>
        </w:rPr>
        <w:t>engineered gene drive</w:t>
      </w:r>
      <w:r w:rsidRPr="00794342">
        <w:rPr>
          <w:rFonts w:asciiTheme="majorBidi" w:hAnsiTheme="majorBidi" w:cstheme="majorBidi"/>
          <w:lang w:eastAsia="ar-SA"/>
        </w:rPr>
        <w:t xml:space="preserve"> was originally installed. This might prove challenging in some scenarios where anti-drives are not already engineered and available for release</w:t>
      </w:r>
      <w:r w:rsidR="00DC1910">
        <w:rPr>
          <w:rFonts w:asciiTheme="majorBidi" w:hAnsiTheme="majorBidi" w:cstheme="majorBidi"/>
          <w:lang w:eastAsia="ar-SA"/>
        </w:rPr>
        <w:t xml:space="preserve"> </w:t>
      </w:r>
      <w:r w:rsidR="00DC1910">
        <w:rPr>
          <w:rFonts w:asciiTheme="majorBidi" w:hAnsiTheme="majorBidi" w:cstheme="majorBidi"/>
          <w:lang w:eastAsia="ar-SA"/>
        </w:rPr>
        <w:fldChar w:fldCharType="begin" w:fldLock="1"/>
      </w:r>
      <w:r w:rsidR="008F6A90">
        <w:rPr>
          <w:rFonts w:asciiTheme="majorBidi" w:hAnsiTheme="majorBidi" w:cstheme="majorBidi"/>
          <w:lang w:eastAsia="ar-SA"/>
        </w:rPr>
        <w:instrText>ADDIN CSL_CITATION {"citationItems":[{"id":"ITEM-1","itemData":{"DOI":"10.1038/s41598-019-54805-8","ISSN":"2045-2322","author":[{"dropping-particle":"","family":"Heffel","given":"Matthew G.","non-dropping-particle":"","parse-names":false,"suffix":""},{"dropping-particle":"","family":"Finnigan","given":"Gregory C.","non-dropping-particle":"","parse-names":false,"suffix":""}],"container-title":"Scientific Reports","id":"ITEM-1","issue":"1","issued":{"date-parts":[["2019","12","27"]]},"page":"20050","title":"Mathematical modeling of self-contained CRISPR gene drive reversal systems","type":"article-journal","volume":"9"},"uris":["http://www.mendeley.com/documents/?uuid=59df4213-b81f-49c6-b84e-412af3c712f5"]}],"mendeley":{"formattedCitation":"(Heffel &amp; Finnigan, 2019)","plainTextFormattedCitation":"(Heffel &amp; Finnigan, 2019)","previouslyFormattedCitation":"(Heffel &amp; Finnigan, 2019)"},"properties":{"noteIndex":0},"schema":"https://github.com/citation-style-language/schema/raw/master/csl-citation.json"}</w:instrText>
      </w:r>
      <w:r w:rsidR="00DC1910">
        <w:rPr>
          <w:rFonts w:asciiTheme="majorBidi" w:hAnsiTheme="majorBidi" w:cstheme="majorBidi"/>
          <w:lang w:eastAsia="ar-SA"/>
        </w:rPr>
        <w:fldChar w:fldCharType="separate"/>
      </w:r>
      <w:r w:rsidR="00DC1910" w:rsidRPr="00DC1910">
        <w:rPr>
          <w:rFonts w:asciiTheme="majorBidi" w:hAnsiTheme="majorBidi" w:cstheme="majorBidi"/>
          <w:noProof/>
          <w:lang w:eastAsia="ar-SA"/>
        </w:rPr>
        <w:t>(Heffel &amp; Finnigan, 2019)</w:t>
      </w:r>
      <w:r w:rsidR="00DC1910">
        <w:rPr>
          <w:rFonts w:asciiTheme="majorBidi" w:hAnsiTheme="majorBidi" w:cstheme="majorBidi"/>
          <w:lang w:eastAsia="ar-SA"/>
        </w:rPr>
        <w:fldChar w:fldCharType="end"/>
      </w:r>
      <w:r w:rsidRPr="00794342">
        <w:rPr>
          <w:rFonts w:asciiTheme="majorBidi" w:hAnsiTheme="majorBidi" w:cstheme="majorBidi"/>
          <w:lang w:eastAsia="ar-SA"/>
        </w:rPr>
        <w:t>. Daisy-chain systems can provide local spread of a drive element but they cannot propagate at the same scale as traditional drives; the goal is limited spread of drives, rather than targeted removal of active drives</w:t>
      </w:r>
      <w:r w:rsidR="0049634B">
        <w:rPr>
          <w:rFonts w:asciiTheme="majorBidi" w:hAnsiTheme="majorBidi" w:cstheme="majorBidi"/>
          <w:lang w:eastAsia="ar-SA"/>
        </w:rPr>
        <w:t xml:space="preserve"> </w:t>
      </w:r>
      <w:r w:rsidR="00D2133A">
        <w:rPr>
          <w:rFonts w:asciiTheme="majorBidi" w:hAnsiTheme="majorBidi" w:cstheme="majorBidi"/>
          <w:lang w:eastAsia="ar-SA"/>
        </w:rPr>
        <w:fldChar w:fldCharType="begin" w:fldLock="1"/>
      </w:r>
      <w:r w:rsidR="008F6A90">
        <w:rPr>
          <w:rFonts w:asciiTheme="majorBidi" w:hAnsiTheme="majorBidi" w:cstheme="majorBidi"/>
          <w:lang w:eastAsia="ar-SA"/>
        </w:rPr>
        <w:instrText>ADDIN CSL_CITATION {"citationItems":[{"id":"ITEM-1","itemData":{"DOI":"10.1073/pnas.1716358116","ISSN":"0027-8424","abstract":"If they are able to spread in wild populations, CRISPR-based gene-drive elements would provide new ways to address ecological problems by altering the traits of wild organisms, but the potential for uncontrolled spread tremendously complicates ethical development and use. Here, we detail a self-exhausting form of CRISPR-based drive system comprising genetic elements arranged in a daisy chain such that each drives the next. “Daisy-drive” systems can locally duplicate any effect achievable by using an equivalent self-propagating drive system, but their capacity to spread is limited by the successive loss of nondriving elements from one end of the chain. Releasing daisy-drive organisms constituting a small fraction of the local wild population can drive a useful genetic element nearly to local fixation for a wide range of fitness parameters without self-propagating spread. We additionally report numerous highly active guide RNA sequences sharing minimal homology that may enable evolutionarily stable daisy drive as well as self-propagating CRISPR-based gene drive. Especially when combined with threshold dependence, daisy drives could simplify decision-making and promote ethical use by enabling local communities to decide whether, when, and how to alter local ecosystems.","author":[{"dropping-particle":"","family":"Noble","given":"Charleston","non-dropping-particle":"","parse-names":false,"suffix":""},{"dropping-particle":"","family":"Min","given":"John","non-dropping-particle":"","parse-names":false,"suffix":""},{"dropping-particle":"","family":"Olejarz","given":"Jason","non-dropping-particle":"","parse-names":false,"suffix":""},{"dropping-particle":"","family":"Buchthal","given":"Joanna","non-dropping-particle":"","parse-names":false,"suffix":""},{"dropping-particle":"","family":"Chavez","given":"Alejandro","non-dropping-particle":"","parse-names":false,"suffix":""},{"dropping-particle":"","family":"Smidler","given":"Andrea L.","non-dropping-particle":"","parse-names":false,"suffix":""},{"dropping-particle":"","family":"DeBenedictis","given":"Erika A.","non-dropping-particle":"","parse-names":false,"suffix":""},{"dropping-particle":"","family":"Church","given":"George M.","non-dropping-particle":"","parse-names":false,"suffix":""},{"dropping-particle":"","family":"Nowak","given":"Martin A.","non-dropping-particle":"","parse-names":false,"suffix":""},{"dropping-particle":"","family":"Esvelt","given":"Kevin M.","non-dropping-particle":"","parse-names":false,"suffix":""}],"container-title":"Proceedings of the National Academy of Sciences","id":"ITEM-1","issue":"17","issued":{"date-parts":[["2019","4","23"]]},"page":"8275-8282","title":"Daisy-chain gene drives for the alteration of local populations","type":"article-journal","volume":"116"},"uris":["http://www.mendeley.com/documents/?uuid=3e46b783-2e95-4dab-8944-10c6d38512e0"]}],"mendeley":{"formattedCitation":"(Noble et al., 2019)","plainTextFormattedCitation":"(Noble et al., 2019)","previouslyFormattedCitation":"(Noble et al., 2019)"},"properties":{"noteIndex":0},"schema":"https://github.com/citation-style-language/schema/raw/master/csl-citation.json"}</w:instrText>
      </w:r>
      <w:r w:rsidR="00D2133A">
        <w:rPr>
          <w:rFonts w:asciiTheme="majorBidi" w:hAnsiTheme="majorBidi" w:cstheme="majorBidi"/>
          <w:lang w:eastAsia="ar-SA"/>
        </w:rPr>
        <w:fldChar w:fldCharType="separate"/>
      </w:r>
      <w:r w:rsidR="00D2133A" w:rsidRPr="00D2133A">
        <w:rPr>
          <w:rFonts w:asciiTheme="majorBidi" w:hAnsiTheme="majorBidi" w:cstheme="majorBidi"/>
          <w:noProof/>
          <w:lang w:eastAsia="ar-SA"/>
        </w:rPr>
        <w:t>(Noble et al., 2019)</w:t>
      </w:r>
      <w:r w:rsidR="00D2133A">
        <w:rPr>
          <w:rFonts w:asciiTheme="majorBidi" w:hAnsiTheme="majorBidi" w:cstheme="majorBidi"/>
          <w:lang w:eastAsia="ar-SA"/>
        </w:rPr>
        <w:fldChar w:fldCharType="end"/>
      </w:r>
      <w:r w:rsidRPr="00794342">
        <w:rPr>
          <w:rFonts w:asciiTheme="majorBidi" w:hAnsiTheme="majorBidi" w:cstheme="majorBidi"/>
          <w:lang w:eastAsia="ar-SA"/>
        </w:rPr>
        <w:t xml:space="preserve">. Finally, in the case of </w:t>
      </w:r>
      <w:r w:rsidR="006D332D" w:rsidRPr="00794342">
        <w:rPr>
          <w:rFonts w:asciiTheme="majorBidi" w:hAnsiTheme="majorBidi" w:cstheme="majorBidi"/>
          <w:lang w:eastAsia="ar-SA"/>
        </w:rPr>
        <w:t>underdominance drive</w:t>
      </w:r>
      <w:r w:rsidRPr="00794342">
        <w:rPr>
          <w:rFonts w:asciiTheme="majorBidi" w:hAnsiTheme="majorBidi" w:cstheme="majorBidi"/>
          <w:lang w:eastAsia="ar-SA"/>
        </w:rPr>
        <w:t xml:space="preserve"> systems, proposals for population reversal requires </w:t>
      </w:r>
      <w:r w:rsidR="007C28F8">
        <w:rPr>
          <w:rFonts w:asciiTheme="majorBidi" w:hAnsiTheme="majorBidi" w:cstheme="majorBidi"/>
          <w:lang w:eastAsia="ar-SA"/>
        </w:rPr>
        <w:t>inundation</w:t>
      </w:r>
      <w:r w:rsidRPr="00794342">
        <w:rPr>
          <w:rFonts w:asciiTheme="majorBidi" w:hAnsiTheme="majorBidi" w:cstheme="majorBidi"/>
          <w:lang w:eastAsia="ar-SA"/>
        </w:rPr>
        <w:t xml:space="preserve"> </w:t>
      </w:r>
      <w:r w:rsidR="00AB24C0">
        <w:rPr>
          <w:rFonts w:asciiTheme="majorBidi" w:hAnsiTheme="majorBidi" w:cstheme="majorBidi"/>
          <w:lang w:eastAsia="ar-SA"/>
        </w:rPr>
        <w:t>with</w:t>
      </w:r>
      <w:r w:rsidRPr="00794342">
        <w:rPr>
          <w:rFonts w:asciiTheme="majorBidi" w:hAnsiTheme="majorBidi" w:cstheme="majorBidi"/>
          <w:lang w:eastAsia="ar-SA"/>
        </w:rPr>
        <w:t xml:space="preserve"> either wild-type individuals</w:t>
      </w:r>
      <w:r w:rsidR="0049634B">
        <w:rPr>
          <w:rFonts w:asciiTheme="majorBidi" w:hAnsiTheme="majorBidi" w:cstheme="majorBidi"/>
          <w:lang w:eastAsia="ar-SA"/>
        </w:rPr>
        <w:t xml:space="preserve"> </w:t>
      </w:r>
      <w:r w:rsidR="0049634B">
        <w:rPr>
          <w:rFonts w:asciiTheme="majorBidi" w:hAnsiTheme="majorBidi" w:cstheme="majorBidi"/>
          <w:lang w:eastAsia="ar-SA"/>
        </w:rPr>
        <w:fldChar w:fldCharType="begin" w:fldLock="1"/>
      </w:r>
      <w:r w:rsidR="008F6A90">
        <w:rPr>
          <w:rFonts w:asciiTheme="majorBidi" w:hAnsiTheme="majorBidi" w:cstheme="majorBidi"/>
          <w:lang w:eastAsia="ar-SA"/>
        </w:rPr>
        <w:instrText>ADDIN CSL_CITATION {"citationItems":[{"id":"ITEM-1","itemData":{"DOI":"10.1038/nrg.2015.34","ISSN":"1471-0056","author":[{"dropping-particle":"","family":"Champer","given":"Jackson","non-dropping-particle":"","parse-names":false,"suffix":""},{"dropping-particle":"","family":"Buchman","given":"Anna","non-dropping-particle":"","parse-names":false,"suffix":""},{"dropping-particle":"","family":"Akbari","given":"Omar S.","non-dropping-particle":"","parse-names":false,"suffix":""}],"container-title":"Nature Reviews Genetics","id":"ITEM-1","issue":"3","issued":{"date-parts":[["2016","3","15"]]},"page":"146-159","title":"Cheating evolution: engineering gene drives to manipulate the fate of wild populations","type":"article-journal","volume":"17"},"uris":["http://www.mendeley.com/documents/?uuid=6eb1e7e8-ef15-411a-953f-9dbbae406e5c"]}],"mendeley":{"formattedCitation":"(Champer et al., 2016)","plainTextFormattedCitation":"(Champer et al., 2016)","previouslyFormattedCitation":"(Champer et al., 2016)"},"properties":{"noteIndex":0},"schema":"https://github.com/citation-style-language/schema/raw/master/csl-citation.json"}</w:instrText>
      </w:r>
      <w:r w:rsidR="0049634B">
        <w:rPr>
          <w:rFonts w:asciiTheme="majorBidi" w:hAnsiTheme="majorBidi" w:cstheme="majorBidi"/>
          <w:lang w:eastAsia="ar-SA"/>
        </w:rPr>
        <w:fldChar w:fldCharType="separate"/>
      </w:r>
      <w:r w:rsidR="0049634B" w:rsidRPr="0049634B">
        <w:rPr>
          <w:rFonts w:asciiTheme="majorBidi" w:hAnsiTheme="majorBidi" w:cstheme="majorBidi"/>
          <w:noProof/>
          <w:lang w:eastAsia="ar-SA"/>
        </w:rPr>
        <w:t>(Champer et al., 2016)</w:t>
      </w:r>
      <w:r w:rsidR="0049634B">
        <w:rPr>
          <w:rFonts w:asciiTheme="majorBidi" w:hAnsiTheme="majorBidi" w:cstheme="majorBidi"/>
          <w:lang w:eastAsia="ar-SA"/>
        </w:rPr>
        <w:fldChar w:fldCharType="end"/>
      </w:r>
      <w:r w:rsidRPr="00794342">
        <w:rPr>
          <w:rFonts w:asciiTheme="majorBidi" w:hAnsiTheme="majorBidi" w:cstheme="majorBidi"/>
          <w:lang w:eastAsia="ar-SA"/>
        </w:rPr>
        <w:t xml:space="preserve"> or “free suppressor” individuals</w:t>
      </w:r>
      <w:r w:rsidR="0049634B">
        <w:rPr>
          <w:rFonts w:asciiTheme="majorBidi" w:hAnsiTheme="majorBidi" w:cstheme="majorBidi"/>
          <w:lang w:eastAsia="ar-SA"/>
        </w:rPr>
        <w:t xml:space="preserve"> </w:t>
      </w:r>
      <w:r w:rsidR="0049634B">
        <w:rPr>
          <w:rFonts w:asciiTheme="majorBidi" w:hAnsiTheme="majorBidi" w:cstheme="majorBidi"/>
          <w:lang w:eastAsia="ar-SA"/>
        </w:rPr>
        <w:fldChar w:fldCharType="begin" w:fldLock="1"/>
      </w:r>
      <w:r w:rsidR="008F6A90">
        <w:rPr>
          <w:rFonts w:asciiTheme="majorBidi" w:hAnsiTheme="majorBidi" w:cstheme="majorBidi"/>
          <w:lang w:eastAsia="ar-SA"/>
        </w:rPr>
        <w:instrText>ADDIN CSL_CITATION {"citationItems":[{"id":"ITEM-1","itemData":{"DOI":"10.1371/journal.pcbi.1006059","ISSN":"1553-7358","author":[{"dropping-particle":"","family":"Edgington","given":"Matthew P.","non-dropping-particle":"","parse-names":false,"suffix":""},{"dropping-particle":"","family":"Alphey","given":"Luke S.","non-dropping-particle":"","parse-names":false,"suffix":""}],"container-title":"PLOS Computational Biology","editor":[{"dropping-particle":"","family":"Traulsen","given":"Arne","non-dropping-particle":"","parse-names":false,"suffix":""}],"id":"ITEM-1","issue":"3","issued":{"date-parts":[["2018","3","23"]]},"page":"e1006059","title":"Population dynamics of engineered underdominance and killer-rescue gene drives in the control of disease vectors","type":"article-journal","volume":"14"},"uris":["http://www.mendeley.com/documents/?uuid=ab242f40-721d-4cee-9023-0a18d64a7f64"]}],"mendeley":{"formattedCitation":"(Edgington &amp; Alphey, 2018)","plainTextFormattedCitation":"(Edgington &amp; Alphey, 2018)","previouslyFormattedCitation":"(Edgington &amp; Alphey, 2018)"},"properties":{"noteIndex":0},"schema":"https://github.com/citation-style-language/schema/raw/master/csl-citation.json"}</w:instrText>
      </w:r>
      <w:r w:rsidR="0049634B">
        <w:rPr>
          <w:rFonts w:asciiTheme="majorBidi" w:hAnsiTheme="majorBidi" w:cstheme="majorBidi"/>
          <w:lang w:eastAsia="ar-SA"/>
        </w:rPr>
        <w:fldChar w:fldCharType="separate"/>
      </w:r>
      <w:r w:rsidR="0049634B" w:rsidRPr="0049634B">
        <w:rPr>
          <w:rFonts w:asciiTheme="majorBidi" w:hAnsiTheme="majorBidi" w:cstheme="majorBidi"/>
          <w:noProof/>
          <w:lang w:eastAsia="ar-SA"/>
        </w:rPr>
        <w:t>(Edgington &amp; Alphey, 2018)</w:t>
      </w:r>
      <w:r w:rsidR="0049634B">
        <w:rPr>
          <w:rFonts w:asciiTheme="majorBidi" w:hAnsiTheme="majorBidi" w:cstheme="majorBidi"/>
          <w:lang w:eastAsia="ar-SA"/>
        </w:rPr>
        <w:fldChar w:fldCharType="end"/>
      </w:r>
      <w:r w:rsidRPr="00794342">
        <w:rPr>
          <w:rFonts w:asciiTheme="majorBidi" w:hAnsiTheme="majorBidi" w:cstheme="majorBidi"/>
          <w:lang w:eastAsia="ar-SA"/>
        </w:rPr>
        <w:t>.</w:t>
      </w:r>
      <w:r>
        <w:rPr>
          <w:rFonts w:asciiTheme="majorBidi" w:hAnsiTheme="majorBidi" w:cstheme="majorBidi"/>
          <w:lang w:eastAsia="ar-SA"/>
        </w:rPr>
        <w:t xml:space="preserve"> </w:t>
      </w:r>
      <w:r w:rsidR="006D332D">
        <w:rPr>
          <w:rFonts w:asciiTheme="majorBidi" w:hAnsiTheme="majorBidi" w:cstheme="majorBidi"/>
          <w:lang w:eastAsia="ar-SA"/>
        </w:rPr>
        <w:t>T</w:t>
      </w:r>
      <w:r w:rsidR="006D332D" w:rsidRPr="006D332D">
        <w:rPr>
          <w:rFonts w:asciiTheme="majorBidi" w:hAnsiTheme="majorBidi" w:cstheme="majorBidi"/>
          <w:lang w:eastAsia="ar-SA"/>
        </w:rPr>
        <w:t>he</w:t>
      </w:r>
      <w:r w:rsidR="006214EB">
        <w:rPr>
          <w:rFonts w:asciiTheme="majorBidi" w:hAnsiTheme="majorBidi" w:cstheme="majorBidi"/>
          <w:lang w:eastAsia="ar-SA"/>
        </w:rPr>
        <w:t xml:space="preserve"> incorporation of one of the</w:t>
      </w:r>
      <w:r w:rsidR="006D332D" w:rsidRPr="006D332D">
        <w:rPr>
          <w:rFonts w:asciiTheme="majorBidi" w:hAnsiTheme="majorBidi" w:cstheme="majorBidi"/>
          <w:lang w:eastAsia="ar-SA"/>
        </w:rPr>
        <w:t xml:space="preserve">se types of safety mechanisms </w:t>
      </w:r>
      <w:r w:rsidR="006D332D">
        <w:rPr>
          <w:rFonts w:asciiTheme="majorBidi" w:hAnsiTheme="majorBidi" w:cstheme="majorBidi"/>
          <w:lang w:eastAsia="ar-SA"/>
        </w:rPr>
        <w:t>c</w:t>
      </w:r>
      <w:r w:rsidR="006D332D" w:rsidRPr="006D332D">
        <w:rPr>
          <w:rFonts w:asciiTheme="majorBidi" w:hAnsiTheme="majorBidi" w:cstheme="majorBidi"/>
          <w:lang w:eastAsia="ar-SA"/>
        </w:rPr>
        <w:t xml:space="preserve">ould </w:t>
      </w:r>
      <w:r w:rsidR="006D332D">
        <w:rPr>
          <w:rFonts w:asciiTheme="majorBidi" w:hAnsiTheme="majorBidi" w:cstheme="majorBidi"/>
          <w:lang w:eastAsia="ar-SA"/>
        </w:rPr>
        <w:t xml:space="preserve">potentially </w:t>
      </w:r>
      <w:r w:rsidR="006D332D" w:rsidRPr="006D332D">
        <w:rPr>
          <w:rFonts w:asciiTheme="majorBidi" w:hAnsiTheme="majorBidi" w:cstheme="majorBidi"/>
          <w:lang w:eastAsia="ar-SA"/>
        </w:rPr>
        <w:t xml:space="preserve">provide additional levels of control and programmability that are not currently possible in simple </w:t>
      </w:r>
      <w:r w:rsidR="006214EB">
        <w:rPr>
          <w:rFonts w:asciiTheme="majorBidi" w:hAnsiTheme="majorBidi" w:cstheme="majorBidi"/>
          <w:lang w:eastAsia="ar-SA"/>
        </w:rPr>
        <w:t xml:space="preserve">engineered </w:t>
      </w:r>
      <w:r w:rsidR="006D332D">
        <w:rPr>
          <w:rFonts w:asciiTheme="majorBidi" w:hAnsiTheme="majorBidi" w:cstheme="majorBidi"/>
          <w:lang w:eastAsia="ar-SA"/>
        </w:rPr>
        <w:t>gene drive</w:t>
      </w:r>
      <w:r w:rsidR="006D332D" w:rsidRPr="006D332D">
        <w:rPr>
          <w:rFonts w:asciiTheme="majorBidi" w:hAnsiTheme="majorBidi" w:cstheme="majorBidi"/>
          <w:lang w:eastAsia="ar-SA"/>
        </w:rPr>
        <w:t xml:space="preserve"> setups that are designed with only initial parameters and a single outcome. Furthermore, failsafe systems to protect the original </w:t>
      </w:r>
      <w:r w:rsidR="006D332D">
        <w:rPr>
          <w:rFonts w:asciiTheme="majorBidi" w:hAnsiTheme="majorBidi" w:cstheme="majorBidi"/>
          <w:lang w:eastAsia="ar-SA"/>
        </w:rPr>
        <w:t>wild</w:t>
      </w:r>
      <w:r w:rsidR="006D332D" w:rsidRPr="006D332D">
        <w:rPr>
          <w:rFonts w:asciiTheme="majorBidi" w:hAnsiTheme="majorBidi" w:cstheme="majorBidi"/>
          <w:lang w:eastAsia="ar-SA"/>
        </w:rPr>
        <w:t xml:space="preserve"> species, even if never used in application, </w:t>
      </w:r>
      <w:r w:rsidR="006214EB">
        <w:rPr>
          <w:rFonts w:asciiTheme="majorBidi" w:hAnsiTheme="majorBidi" w:cstheme="majorBidi"/>
          <w:lang w:eastAsia="ar-SA"/>
        </w:rPr>
        <w:t>could be seen</w:t>
      </w:r>
      <w:r w:rsidR="006D332D" w:rsidRPr="006D332D">
        <w:rPr>
          <w:rFonts w:asciiTheme="majorBidi" w:hAnsiTheme="majorBidi" w:cstheme="majorBidi"/>
          <w:lang w:eastAsia="ar-SA"/>
        </w:rPr>
        <w:t xml:space="preserve"> </w:t>
      </w:r>
      <w:r w:rsidR="007C28F8">
        <w:rPr>
          <w:rFonts w:asciiTheme="majorBidi" w:hAnsiTheme="majorBidi" w:cstheme="majorBidi"/>
          <w:lang w:eastAsia="ar-SA"/>
        </w:rPr>
        <w:t xml:space="preserve">as a </w:t>
      </w:r>
      <w:r w:rsidR="006D332D" w:rsidRPr="006D332D">
        <w:rPr>
          <w:rFonts w:asciiTheme="majorBidi" w:hAnsiTheme="majorBidi" w:cstheme="majorBidi"/>
          <w:lang w:eastAsia="ar-SA"/>
        </w:rPr>
        <w:t xml:space="preserve">critical step towards gaining support for </w:t>
      </w:r>
      <w:r w:rsidR="007C28F8">
        <w:rPr>
          <w:rFonts w:asciiTheme="majorBidi" w:hAnsiTheme="majorBidi" w:cstheme="majorBidi"/>
          <w:lang w:eastAsia="ar-SA"/>
        </w:rPr>
        <w:t>the release</w:t>
      </w:r>
      <w:r w:rsidR="006D332D" w:rsidRPr="006D332D">
        <w:rPr>
          <w:rFonts w:asciiTheme="majorBidi" w:hAnsiTheme="majorBidi" w:cstheme="majorBidi"/>
          <w:lang w:eastAsia="ar-SA"/>
        </w:rPr>
        <w:t xml:space="preserve"> of </w:t>
      </w:r>
      <w:r w:rsidR="006214EB">
        <w:rPr>
          <w:rFonts w:asciiTheme="majorBidi" w:hAnsiTheme="majorBidi" w:cstheme="majorBidi"/>
          <w:lang w:eastAsia="ar-SA"/>
        </w:rPr>
        <w:t xml:space="preserve">engineered </w:t>
      </w:r>
      <w:r w:rsidR="006D332D" w:rsidRPr="006D332D">
        <w:rPr>
          <w:rFonts w:asciiTheme="majorBidi" w:hAnsiTheme="majorBidi" w:cstheme="majorBidi"/>
          <w:lang w:eastAsia="ar-SA"/>
        </w:rPr>
        <w:t xml:space="preserve">gene drives </w:t>
      </w:r>
      <w:r w:rsidR="007C28F8">
        <w:rPr>
          <w:rFonts w:asciiTheme="majorBidi" w:hAnsiTheme="majorBidi" w:cstheme="majorBidi"/>
          <w:lang w:eastAsia="ar-SA"/>
        </w:rPr>
        <w:t xml:space="preserve">organisms </w:t>
      </w:r>
      <w:r w:rsidR="006D332D" w:rsidRPr="006D332D">
        <w:rPr>
          <w:rFonts w:asciiTheme="majorBidi" w:hAnsiTheme="majorBidi" w:cstheme="majorBidi"/>
          <w:lang w:eastAsia="ar-SA"/>
        </w:rPr>
        <w:t>within native ecosystems</w:t>
      </w:r>
      <w:r w:rsidR="00851F02">
        <w:rPr>
          <w:rFonts w:asciiTheme="majorBidi" w:hAnsiTheme="majorBidi" w:cstheme="majorBidi"/>
          <w:lang w:eastAsia="ar-SA"/>
        </w:rPr>
        <w:t xml:space="preserve"> </w:t>
      </w:r>
      <w:r w:rsidR="00851F02">
        <w:rPr>
          <w:rFonts w:asciiTheme="majorBidi" w:hAnsiTheme="majorBidi" w:cstheme="majorBidi"/>
          <w:lang w:eastAsia="ar-SA"/>
        </w:rPr>
        <w:fldChar w:fldCharType="begin" w:fldLock="1"/>
      </w:r>
      <w:r w:rsidR="00902D90">
        <w:rPr>
          <w:rFonts w:asciiTheme="majorBidi" w:hAnsiTheme="majorBidi" w:cstheme="majorBidi"/>
          <w:lang w:eastAsia="ar-SA"/>
        </w:rPr>
        <w:instrText>ADDIN CSL_CITATION {"citationItems":[{"id":"ITEM-1","itemData":{"DOI":"10.1038/s41598-019-54805-8","ISSN":"2045-2322","author":[{"dropping-particle":"","family":"Heffel","given":"Matthew G.","non-dropping-particle":"","parse-names":false,"suffix":""},{"dropping-particle":"","family":"Finnigan","given":"Gregory C.","non-dropping-particle":"","parse-names":false,"suffix":""}],"container-title":"Scientific Reports","id":"ITEM-1","issue":"1","issued":{"date-parts":[["2019","12","27"]]},"page":"20050","title":"Mathematical modeling of self-contained CRISPR gene drive reversal systems","type":"article-journal","volume":"9"},"uris":["http://www.mendeley.com/documents/?uuid=3922a517-91f5-4d30-8974-f405f44b5567"]}],"mendeley":{"formattedCitation":"(Heffel &amp; Finnigan, 2019)","plainTextFormattedCitation":"(Heffel &amp; Finnigan, 2019)","previouslyFormattedCitation":"(Heffel &amp; Finnigan, 2019)"},"properties":{"noteIndex":0},"schema":"https://github.com/citation-style-language/schema/raw/master/csl-citation.json"}</w:instrText>
      </w:r>
      <w:r w:rsidR="00851F02">
        <w:rPr>
          <w:rFonts w:asciiTheme="majorBidi" w:hAnsiTheme="majorBidi" w:cstheme="majorBidi"/>
          <w:lang w:eastAsia="ar-SA"/>
        </w:rPr>
        <w:fldChar w:fldCharType="separate"/>
      </w:r>
      <w:r w:rsidR="00851F02" w:rsidRPr="00851F02">
        <w:rPr>
          <w:rFonts w:asciiTheme="majorBidi" w:hAnsiTheme="majorBidi" w:cstheme="majorBidi"/>
          <w:noProof/>
          <w:lang w:eastAsia="ar-SA"/>
        </w:rPr>
        <w:t>(Heffel &amp; Finnigan, 2019)</w:t>
      </w:r>
      <w:r w:rsidR="00851F02">
        <w:rPr>
          <w:rFonts w:asciiTheme="majorBidi" w:hAnsiTheme="majorBidi" w:cstheme="majorBidi"/>
          <w:lang w:eastAsia="ar-SA"/>
        </w:rPr>
        <w:fldChar w:fldCharType="end"/>
      </w:r>
      <w:r w:rsidR="006D332D" w:rsidRPr="006D332D">
        <w:rPr>
          <w:rFonts w:asciiTheme="majorBidi" w:hAnsiTheme="majorBidi" w:cstheme="majorBidi"/>
          <w:lang w:eastAsia="ar-SA"/>
        </w:rPr>
        <w:t>.</w:t>
      </w:r>
    </w:p>
    <w:p w14:paraId="07EE961B" w14:textId="66FD72E8" w:rsidR="00933B77" w:rsidRPr="004370D3" w:rsidRDefault="007D532C" w:rsidP="00DF7C5E">
      <w:pPr>
        <w:pStyle w:val="Heading4"/>
        <w:rPr>
          <w:rFonts w:ascii="Times New Roman" w:hAnsi="Times New Roman"/>
          <w:i w:val="0"/>
          <w:iCs/>
        </w:rPr>
      </w:pPr>
      <w:r w:rsidRPr="00184541">
        <w:rPr>
          <w:i w:val="0"/>
        </w:rPr>
        <w:t>6.2.</w:t>
      </w:r>
      <w:r w:rsidR="00794342" w:rsidRPr="00184541">
        <w:rPr>
          <w:i w:val="0"/>
          <w:lang w:val="en-US"/>
        </w:rPr>
        <w:t>5</w:t>
      </w:r>
      <w:r w:rsidRPr="00184541">
        <w:rPr>
          <w:i w:val="0"/>
        </w:rPr>
        <w:t xml:space="preserve">. </w:t>
      </w:r>
      <w:r w:rsidR="008E69A7" w:rsidRPr="008A4084">
        <w:rPr>
          <w:i w:val="0"/>
        </w:rPr>
        <w:t xml:space="preserve">Detection and identification </w:t>
      </w:r>
      <w:r w:rsidR="008E69A7" w:rsidRPr="00016D38">
        <w:rPr>
          <w:i w:val="0"/>
        </w:rPr>
        <w:t xml:space="preserve">of </w:t>
      </w:r>
      <w:r w:rsidR="00332FF8" w:rsidRPr="005030BC">
        <w:rPr>
          <w:i w:val="0"/>
        </w:rPr>
        <w:t xml:space="preserve">synthetic biology </w:t>
      </w:r>
      <w:r w:rsidR="00332FF8" w:rsidRPr="004370D3">
        <w:rPr>
          <w:rFonts w:ascii="Times New Roman" w:hAnsi="Times New Roman"/>
          <w:i w:val="0"/>
        </w:rPr>
        <w:t>organisms</w:t>
      </w:r>
      <w:r w:rsidR="0049425D">
        <w:rPr>
          <w:rFonts w:ascii="Times New Roman" w:hAnsi="Times New Roman"/>
          <w:i w:val="0"/>
          <w:lang w:val="en-US"/>
        </w:rPr>
        <w:t>.</w:t>
      </w:r>
    </w:p>
    <w:p w14:paraId="0AFA41C1" w14:textId="48BBC471" w:rsidR="006802B2" w:rsidRPr="006802B2" w:rsidRDefault="00174050" w:rsidP="001653B3">
      <w:pPr>
        <w:spacing w:after="120" w:line="240" w:lineRule="auto"/>
        <w:jc w:val="both"/>
        <w:rPr>
          <w:rFonts w:asciiTheme="majorBidi" w:hAnsiTheme="majorBidi" w:cstheme="majorBidi"/>
          <w:lang w:eastAsia="ar-SA"/>
        </w:rPr>
      </w:pPr>
      <w:r>
        <w:rPr>
          <w:rFonts w:asciiTheme="majorBidi" w:hAnsiTheme="majorBidi" w:cstheme="majorBidi"/>
          <w:lang w:eastAsia="ar-SA"/>
        </w:rPr>
        <w:t>Current</w:t>
      </w:r>
      <w:r w:rsidR="00DF7C5E" w:rsidRPr="00DF7C5E">
        <w:rPr>
          <w:rFonts w:asciiTheme="majorBidi" w:hAnsiTheme="majorBidi" w:cstheme="majorBidi"/>
          <w:lang w:eastAsia="ar-SA"/>
        </w:rPr>
        <w:t xml:space="preserve"> </w:t>
      </w:r>
      <w:r w:rsidR="00016D38">
        <w:rPr>
          <w:rFonts w:asciiTheme="majorBidi" w:hAnsiTheme="majorBidi" w:cstheme="majorBidi"/>
          <w:lang w:eastAsia="ar-SA"/>
        </w:rPr>
        <w:t>L</w:t>
      </w:r>
      <w:r w:rsidR="00DF7C5E" w:rsidRPr="00DF7C5E">
        <w:rPr>
          <w:rFonts w:asciiTheme="majorBidi" w:hAnsiTheme="majorBidi" w:cstheme="majorBidi"/>
          <w:lang w:eastAsia="ar-SA"/>
        </w:rPr>
        <w:t>MOs are detectable, identifiable, and quantifiable by polymerase chain reaction (PCR) methods, which target the stable integration site of “foreign” DNA elements in a genome</w:t>
      </w:r>
      <w:r w:rsidR="003F236B">
        <w:rPr>
          <w:rFonts w:asciiTheme="majorBidi" w:hAnsiTheme="majorBidi" w:cstheme="majorBidi"/>
          <w:lang w:eastAsia="ar-SA"/>
        </w:rPr>
        <w:t xml:space="preserve"> </w:t>
      </w:r>
      <w:r w:rsidR="00756E0D">
        <w:rPr>
          <w:rFonts w:asciiTheme="majorBidi" w:hAnsiTheme="majorBidi" w:cstheme="majorBidi"/>
          <w:lang w:eastAsia="ar-SA"/>
        </w:rPr>
        <w:fldChar w:fldCharType="begin" w:fldLock="1"/>
      </w:r>
      <w:r w:rsidR="008F6A90">
        <w:rPr>
          <w:rFonts w:asciiTheme="majorBidi" w:hAnsiTheme="majorBidi" w:cstheme="majorBidi"/>
          <w:lang w:eastAsia="ar-SA"/>
        </w:rPr>
        <w:instrText>ADDIN CSL_CITATION {"citationItems":[{"id":"ITEM-1","itemData":{"DOI":"10.1155/2015/392872","ISSN":"23146141","PMID":"26550567","abstract":"In many countries, genetically modified organisms (GMO) legislations have been established in order to guarantee the traceability of food/feed products on the market and to protect the consumer freedom of choice. Therefore, several GMO detection strategies, mainly based on DNA, have been developed to implement these legislations. Due to its numerous advantages, the quantitative PCR (qPCR) is the method of choice for the enforcement laboratories in GMO routine analysis. However, given the increasing number and diversity of GMO developed and put on the market around the world, some technical hurdles could be encountered with the qPCR technology, mainly owing to its inherent properties. To address these challenges, alternative GMO detection methods have been developed, allowing faster detections of single GM target (e.g., loop-mediated isothermal amplification), simultaneous detections of multiple GM targets (e.g., PCR capillary gel electrophoresis, microarray, and Luminex), more accurate quantification of GM targets (e.g., digital PCR), or characterization of partially known (e.g., DNA walking and Next Generation Sequencing (NGS)) or unknown (e.g., NGS) GMO. The benefits and drawbacks of these methods are discussed in this review.","author":[{"dropping-particle":"","family":"Fraiture","given":"Marie Alice","non-dropping-particle":"","parse-names":false,"suffix":""},{"dropping-particle":"","family":"Herman","given":"Philippe","non-dropping-particle":"","parse-names":false,"suffix":""},{"dropping-particle":"","family":"Taverniers","given":"Isabel","non-dropping-particle":"","parse-names":false,"suffix":""},{"dropping-particle":"","family":"Loose","given":"Marc","non-dropping-particle":"De","parse-names":false,"suffix":""},{"dropping-particle":"","family":"Deforce","given":"Dieter","non-dropping-particle":"","parse-names":false,"suffix":""},{"dropping-particle":"","family":"Roosens","given":"Nancy H.","non-dropping-particle":"","parse-names":false,"suffix":""}],"container-title":"BioMed Research International","id":"ITEM-1","issued":{"date-parts":[["2015"]]},"publisher":"Hindawi Limited","title":"Current and New Approaches in GMO Detection: Challenges and Solutions","type":"article-journal","volume":"2015"},"uris":["http://www.mendeley.com/documents/?uuid=62055f18-c63e-4c63-881b-7ba880978a01"]}],"mendeley":{"formattedCitation":"(Fraiture et al., 2015)","plainTextFormattedCitation":"(Fraiture et al., 2015)","previouslyFormattedCitation":"(Fraiture et al., 2015)"},"properties":{"noteIndex":0},"schema":"https://github.com/citation-style-language/schema/raw/master/csl-citation.json"}</w:instrText>
      </w:r>
      <w:r w:rsidR="00756E0D">
        <w:rPr>
          <w:rFonts w:asciiTheme="majorBidi" w:hAnsiTheme="majorBidi" w:cstheme="majorBidi"/>
          <w:lang w:eastAsia="ar-SA"/>
        </w:rPr>
        <w:fldChar w:fldCharType="separate"/>
      </w:r>
      <w:r w:rsidR="00756E0D" w:rsidRPr="00756E0D">
        <w:rPr>
          <w:rFonts w:asciiTheme="majorBidi" w:hAnsiTheme="majorBidi" w:cstheme="majorBidi"/>
          <w:noProof/>
          <w:lang w:eastAsia="ar-SA"/>
        </w:rPr>
        <w:t>(Fraiture et al., 2015)</w:t>
      </w:r>
      <w:r w:rsidR="00756E0D">
        <w:rPr>
          <w:rFonts w:asciiTheme="majorBidi" w:hAnsiTheme="majorBidi" w:cstheme="majorBidi"/>
          <w:lang w:eastAsia="ar-SA"/>
        </w:rPr>
        <w:fldChar w:fldCharType="end"/>
      </w:r>
      <w:r w:rsidR="00DF7C5E" w:rsidRPr="00DF7C5E">
        <w:rPr>
          <w:rFonts w:asciiTheme="majorBidi" w:hAnsiTheme="majorBidi" w:cstheme="majorBidi"/>
          <w:lang w:eastAsia="ar-SA"/>
        </w:rPr>
        <w:t xml:space="preserve">. </w:t>
      </w:r>
      <w:r w:rsidR="00C920FE">
        <w:rPr>
          <w:rFonts w:asciiTheme="majorBidi" w:hAnsiTheme="majorBidi" w:cstheme="majorBidi"/>
          <w:lang w:eastAsia="ar-SA"/>
        </w:rPr>
        <w:t>Organism</w:t>
      </w:r>
      <w:r w:rsidR="00DF7C5E" w:rsidRPr="00DF7C5E">
        <w:rPr>
          <w:rFonts w:asciiTheme="majorBidi" w:hAnsiTheme="majorBidi" w:cstheme="majorBidi"/>
          <w:lang w:eastAsia="ar-SA"/>
        </w:rPr>
        <w:t xml:space="preserve">s produced by the application of </w:t>
      </w:r>
      <w:r w:rsidR="00C920FE">
        <w:rPr>
          <w:rFonts w:asciiTheme="majorBidi" w:hAnsiTheme="majorBidi" w:cstheme="majorBidi"/>
          <w:lang w:eastAsia="ar-SA"/>
        </w:rPr>
        <w:t>synthetic biology</w:t>
      </w:r>
      <w:r w:rsidR="00DF7C5E" w:rsidRPr="00DF7C5E">
        <w:rPr>
          <w:rFonts w:asciiTheme="majorBidi" w:hAnsiTheme="majorBidi" w:cstheme="majorBidi"/>
          <w:lang w:eastAsia="ar-SA"/>
        </w:rPr>
        <w:t xml:space="preserve"> techniques</w:t>
      </w:r>
      <w:r w:rsidR="00C920FE">
        <w:rPr>
          <w:rFonts w:asciiTheme="majorBidi" w:hAnsiTheme="majorBidi" w:cstheme="majorBidi"/>
          <w:lang w:eastAsia="ar-SA"/>
        </w:rPr>
        <w:t>, such as</w:t>
      </w:r>
      <w:r w:rsidR="00DF7C5E" w:rsidRPr="00DF7C5E">
        <w:rPr>
          <w:rFonts w:asciiTheme="majorBidi" w:hAnsiTheme="majorBidi" w:cstheme="majorBidi"/>
          <w:lang w:eastAsia="ar-SA"/>
        </w:rPr>
        <w:t xml:space="preserve"> genome editing, may however lack integrations of any foreign DNA or corresponding genetic elements commonly used </w:t>
      </w:r>
      <w:r w:rsidR="006B5A6E">
        <w:rPr>
          <w:rFonts w:asciiTheme="majorBidi" w:hAnsiTheme="majorBidi" w:cstheme="majorBidi"/>
          <w:lang w:eastAsia="ar-SA"/>
        </w:rPr>
        <w:t xml:space="preserve">in </w:t>
      </w:r>
      <w:r w:rsidR="00624C15">
        <w:rPr>
          <w:rFonts w:asciiTheme="majorBidi" w:hAnsiTheme="majorBidi" w:cstheme="majorBidi"/>
          <w:lang w:eastAsia="ar-SA"/>
        </w:rPr>
        <w:t>classical genetic engineering.</w:t>
      </w:r>
      <w:r w:rsidR="00DF7C5E" w:rsidRPr="00DF7C5E">
        <w:rPr>
          <w:rFonts w:asciiTheme="majorBidi" w:hAnsiTheme="majorBidi" w:cstheme="majorBidi"/>
          <w:lang w:eastAsia="ar-SA"/>
        </w:rPr>
        <w:t xml:space="preserve"> </w:t>
      </w:r>
      <w:r w:rsidR="00C8417D">
        <w:rPr>
          <w:rFonts w:asciiTheme="majorBidi" w:hAnsiTheme="majorBidi" w:cstheme="majorBidi"/>
          <w:lang w:eastAsia="ar-SA"/>
        </w:rPr>
        <w:t xml:space="preserve">This has important repercussions </w:t>
      </w:r>
      <w:r w:rsidR="003D55C7">
        <w:rPr>
          <w:rFonts w:asciiTheme="majorBidi" w:hAnsiTheme="majorBidi" w:cstheme="majorBidi"/>
          <w:lang w:eastAsia="ar-SA"/>
        </w:rPr>
        <w:t>f</w:t>
      </w:r>
      <w:r w:rsidR="00C8417D">
        <w:rPr>
          <w:rFonts w:asciiTheme="majorBidi" w:hAnsiTheme="majorBidi" w:cstheme="majorBidi"/>
          <w:lang w:eastAsia="ar-SA"/>
        </w:rPr>
        <w:t>o</w:t>
      </w:r>
      <w:r w:rsidR="003D55C7">
        <w:rPr>
          <w:rFonts w:asciiTheme="majorBidi" w:hAnsiTheme="majorBidi" w:cstheme="majorBidi"/>
          <w:lang w:eastAsia="ar-SA"/>
        </w:rPr>
        <w:t>r</w:t>
      </w:r>
      <w:r w:rsidR="00C8417D">
        <w:rPr>
          <w:rFonts w:asciiTheme="majorBidi" w:hAnsiTheme="majorBidi" w:cstheme="majorBidi"/>
          <w:lang w:eastAsia="ar-SA"/>
        </w:rPr>
        <w:t xml:space="preserve"> </w:t>
      </w:r>
      <w:r w:rsidR="003D55C7">
        <w:rPr>
          <w:rFonts w:asciiTheme="majorBidi" w:hAnsiTheme="majorBidi" w:cstheme="majorBidi"/>
          <w:lang w:eastAsia="ar-SA"/>
        </w:rPr>
        <w:t xml:space="preserve">the </w:t>
      </w:r>
      <w:r w:rsidR="00C8417D">
        <w:rPr>
          <w:rFonts w:asciiTheme="majorBidi" w:hAnsiTheme="majorBidi" w:cstheme="majorBidi"/>
          <w:lang w:eastAsia="ar-SA"/>
        </w:rPr>
        <w:t>effective detect</w:t>
      </w:r>
      <w:r w:rsidR="003D55C7">
        <w:rPr>
          <w:rFonts w:asciiTheme="majorBidi" w:hAnsiTheme="majorBidi" w:cstheme="majorBidi"/>
          <w:lang w:eastAsia="ar-SA"/>
        </w:rPr>
        <w:t>ion</w:t>
      </w:r>
      <w:r w:rsidR="00C8417D">
        <w:rPr>
          <w:rFonts w:asciiTheme="majorBidi" w:hAnsiTheme="majorBidi" w:cstheme="majorBidi"/>
          <w:lang w:eastAsia="ar-SA"/>
        </w:rPr>
        <w:t xml:space="preserve"> and identif</w:t>
      </w:r>
      <w:r w:rsidR="00920664">
        <w:rPr>
          <w:rFonts w:asciiTheme="majorBidi" w:hAnsiTheme="majorBidi" w:cstheme="majorBidi"/>
          <w:lang w:eastAsia="ar-SA"/>
        </w:rPr>
        <w:t xml:space="preserve">ication of </w:t>
      </w:r>
      <w:r w:rsidR="00804C7E">
        <w:rPr>
          <w:rFonts w:asciiTheme="majorBidi" w:hAnsiTheme="majorBidi" w:cstheme="majorBidi"/>
          <w:lang w:eastAsia="ar-SA"/>
        </w:rPr>
        <w:t>synthetic organisms</w:t>
      </w:r>
      <w:r w:rsidR="000742DC">
        <w:rPr>
          <w:rFonts w:asciiTheme="majorBidi" w:hAnsiTheme="majorBidi" w:cstheme="majorBidi"/>
          <w:lang w:eastAsia="ar-SA"/>
        </w:rPr>
        <w:t>, and espe</w:t>
      </w:r>
      <w:r w:rsidR="0087238F">
        <w:rPr>
          <w:rFonts w:asciiTheme="majorBidi" w:hAnsiTheme="majorBidi" w:cstheme="majorBidi"/>
          <w:lang w:eastAsia="ar-SA"/>
        </w:rPr>
        <w:t xml:space="preserve">cially </w:t>
      </w:r>
      <w:r w:rsidR="004A762A">
        <w:rPr>
          <w:rFonts w:asciiTheme="majorBidi" w:hAnsiTheme="majorBidi" w:cstheme="majorBidi"/>
          <w:lang w:eastAsia="ar-SA"/>
        </w:rPr>
        <w:t xml:space="preserve">for those </w:t>
      </w:r>
      <w:r w:rsidR="00B3070C">
        <w:rPr>
          <w:rFonts w:asciiTheme="majorBidi" w:hAnsiTheme="majorBidi" w:cstheme="majorBidi"/>
          <w:lang w:eastAsia="ar-SA"/>
        </w:rPr>
        <w:t xml:space="preserve">authorised for </w:t>
      </w:r>
      <w:r w:rsidR="001533BB">
        <w:rPr>
          <w:rFonts w:asciiTheme="majorBidi" w:hAnsiTheme="majorBidi" w:cstheme="majorBidi"/>
          <w:lang w:eastAsia="ar-SA"/>
        </w:rPr>
        <w:t>international trade</w:t>
      </w:r>
      <w:r w:rsidR="00A47135">
        <w:rPr>
          <w:rFonts w:asciiTheme="majorBidi" w:hAnsiTheme="majorBidi" w:cstheme="majorBidi"/>
          <w:lang w:eastAsia="ar-SA"/>
        </w:rPr>
        <w:t xml:space="preserve"> (currently </w:t>
      </w:r>
      <w:r w:rsidR="000857FA">
        <w:rPr>
          <w:rFonts w:asciiTheme="majorBidi" w:hAnsiTheme="majorBidi" w:cstheme="majorBidi"/>
          <w:lang w:eastAsia="ar-SA"/>
        </w:rPr>
        <w:t>plant-based commodities)</w:t>
      </w:r>
      <w:r w:rsidR="00A47135">
        <w:rPr>
          <w:rFonts w:asciiTheme="majorBidi" w:hAnsiTheme="majorBidi" w:cstheme="majorBidi"/>
          <w:lang w:eastAsia="ar-SA"/>
        </w:rPr>
        <w:t>.</w:t>
      </w:r>
      <w:r w:rsidR="00C8417D">
        <w:rPr>
          <w:rFonts w:asciiTheme="majorBidi" w:hAnsiTheme="majorBidi" w:cstheme="majorBidi"/>
          <w:lang w:eastAsia="ar-SA"/>
        </w:rPr>
        <w:t xml:space="preserve"> </w:t>
      </w:r>
      <w:r w:rsidR="00624C15">
        <w:rPr>
          <w:rFonts w:asciiTheme="majorBidi" w:hAnsiTheme="majorBidi" w:cstheme="majorBidi"/>
          <w:lang w:eastAsia="ar-SA"/>
        </w:rPr>
        <w:t xml:space="preserve">As </w:t>
      </w:r>
      <w:r w:rsidR="00D424AC">
        <w:rPr>
          <w:rFonts w:asciiTheme="majorBidi" w:hAnsiTheme="majorBidi" w:cstheme="majorBidi"/>
          <w:lang w:eastAsia="ar-SA"/>
        </w:rPr>
        <w:t xml:space="preserve">explained </w:t>
      </w:r>
      <w:r w:rsidR="00821D56">
        <w:rPr>
          <w:rFonts w:asciiTheme="majorBidi" w:hAnsiTheme="majorBidi" w:cstheme="majorBidi"/>
          <w:lang w:eastAsia="ar-SA"/>
        </w:rPr>
        <w:t>earlier</w:t>
      </w:r>
      <w:r w:rsidR="00D424AC">
        <w:rPr>
          <w:rFonts w:asciiTheme="majorBidi" w:hAnsiTheme="majorBidi" w:cstheme="majorBidi"/>
          <w:lang w:eastAsia="ar-SA"/>
        </w:rPr>
        <w:t>, t</w:t>
      </w:r>
      <w:r w:rsidR="00DF7C5E" w:rsidRPr="00DF7C5E">
        <w:rPr>
          <w:rFonts w:asciiTheme="majorBidi" w:hAnsiTheme="majorBidi" w:cstheme="majorBidi"/>
          <w:lang w:eastAsia="ar-SA"/>
        </w:rPr>
        <w:t xml:space="preserve">he application of genome editing </w:t>
      </w:r>
      <w:r w:rsidR="00650A31">
        <w:rPr>
          <w:rFonts w:asciiTheme="majorBidi" w:hAnsiTheme="majorBidi" w:cstheme="majorBidi"/>
          <w:lang w:eastAsia="ar-SA"/>
        </w:rPr>
        <w:t xml:space="preserve">can introduce </w:t>
      </w:r>
      <w:r w:rsidR="00CB7987">
        <w:rPr>
          <w:rFonts w:asciiTheme="majorBidi" w:hAnsiTheme="majorBidi" w:cstheme="majorBidi"/>
          <w:lang w:eastAsia="ar-SA"/>
        </w:rPr>
        <w:t>small</w:t>
      </w:r>
      <w:r w:rsidR="00650A31">
        <w:rPr>
          <w:rFonts w:asciiTheme="majorBidi" w:hAnsiTheme="majorBidi" w:cstheme="majorBidi"/>
          <w:lang w:eastAsia="ar-SA"/>
        </w:rPr>
        <w:t xml:space="preserve"> changes and </w:t>
      </w:r>
      <w:r w:rsidR="00DF7C5E" w:rsidRPr="00DF7C5E">
        <w:rPr>
          <w:rFonts w:asciiTheme="majorBidi" w:hAnsiTheme="majorBidi" w:cstheme="majorBidi"/>
          <w:lang w:eastAsia="ar-SA"/>
        </w:rPr>
        <w:t>aims to minimi</w:t>
      </w:r>
      <w:r w:rsidR="00D424AC">
        <w:rPr>
          <w:rFonts w:asciiTheme="majorBidi" w:hAnsiTheme="majorBidi" w:cstheme="majorBidi"/>
          <w:lang w:eastAsia="ar-SA"/>
        </w:rPr>
        <w:t>s</w:t>
      </w:r>
      <w:r w:rsidR="00DF7C5E" w:rsidRPr="00DF7C5E">
        <w:rPr>
          <w:rFonts w:asciiTheme="majorBidi" w:hAnsiTheme="majorBidi" w:cstheme="majorBidi"/>
          <w:lang w:eastAsia="ar-SA"/>
        </w:rPr>
        <w:t>e the amount of unintended off-target alterations</w:t>
      </w:r>
      <w:r w:rsidR="00026841">
        <w:rPr>
          <w:rFonts w:asciiTheme="majorBidi" w:hAnsiTheme="majorBidi" w:cstheme="majorBidi"/>
          <w:lang w:eastAsia="ar-SA"/>
        </w:rPr>
        <w:t xml:space="preserve"> in the target genome</w:t>
      </w:r>
      <w:r w:rsidR="00821D56">
        <w:rPr>
          <w:rFonts w:asciiTheme="majorBidi" w:hAnsiTheme="majorBidi" w:cstheme="majorBidi"/>
          <w:lang w:eastAsia="ar-SA"/>
        </w:rPr>
        <w:t>. When used in plants</w:t>
      </w:r>
      <w:r w:rsidR="00DF7C5E" w:rsidRPr="00DF7C5E">
        <w:rPr>
          <w:rFonts w:asciiTheme="majorBidi" w:hAnsiTheme="majorBidi" w:cstheme="majorBidi"/>
          <w:lang w:eastAsia="ar-SA"/>
        </w:rPr>
        <w:t xml:space="preserve">, </w:t>
      </w:r>
      <w:r w:rsidR="00C01428">
        <w:rPr>
          <w:rFonts w:asciiTheme="majorBidi" w:hAnsiTheme="majorBidi" w:cstheme="majorBidi"/>
          <w:lang w:eastAsia="ar-SA"/>
        </w:rPr>
        <w:t xml:space="preserve">together with </w:t>
      </w:r>
      <w:r w:rsidR="00DF7C5E" w:rsidRPr="00DF7C5E">
        <w:rPr>
          <w:rFonts w:asciiTheme="majorBidi" w:hAnsiTheme="majorBidi" w:cstheme="majorBidi"/>
          <w:lang w:eastAsia="ar-SA"/>
        </w:rPr>
        <w:t>subsequent backcrossing and selection steps</w:t>
      </w:r>
      <w:r w:rsidR="006F4F67">
        <w:rPr>
          <w:rFonts w:asciiTheme="majorBidi" w:hAnsiTheme="majorBidi" w:cstheme="majorBidi"/>
          <w:lang w:eastAsia="ar-SA"/>
        </w:rPr>
        <w:t>,</w:t>
      </w:r>
      <w:r w:rsidR="00DF7C5E" w:rsidRPr="00DF7C5E">
        <w:rPr>
          <w:rFonts w:asciiTheme="majorBidi" w:hAnsiTheme="majorBidi" w:cstheme="majorBidi"/>
          <w:lang w:eastAsia="ar-SA"/>
        </w:rPr>
        <w:t xml:space="preserve"> the </w:t>
      </w:r>
      <w:r w:rsidR="00AE4FF9">
        <w:rPr>
          <w:rFonts w:asciiTheme="majorBidi" w:hAnsiTheme="majorBidi" w:cstheme="majorBidi"/>
          <w:lang w:eastAsia="ar-SA"/>
        </w:rPr>
        <w:t xml:space="preserve">intended </w:t>
      </w:r>
      <w:r w:rsidR="00DF7C5E" w:rsidRPr="00DF7C5E">
        <w:rPr>
          <w:rFonts w:asciiTheme="majorBidi" w:hAnsiTheme="majorBidi" w:cstheme="majorBidi"/>
          <w:lang w:eastAsia="ar-SA"/>
        </w:rPr>
        <w:t>alteration</w:t>
      </w:r>
      <w:r w:rsidR="00AE4FF9">
        <w:rPr>
          <w:rFonts w:asciiTheme="majorBidi" w:hAnsiTheme="majorBidi" w:cstheme="majorBidi"/>
          <w:lang w:eastAsia="ar-SA"/>
        </w:rPr>
        <w:t xml:space="preserve"> </w:t>
      </w:r>
      <w:r w:rsidR="00410A8C">
        <w:rPr>
          <w:rFonts w:asciiTheme="majorBidi" w:hAnsiTheme="majorBidi" w:cstheme="majorBidi"/>
          <w:lang w:eastAsia="ar-SA"/>
        </w:rPr>
        <w:t>may be</w:t>
      </w:r>
      <w:r w:rsidR="00AE4FF9">
        <w:rPr>
          <w:rFonts w:asciiTheme="majorBidi" w:hAnsiTheme="majorBidi" w:cstheme="majorBidi"/>
          <w:lang w:eastAsia="ar-SA"/>
        </w:rPr>
        <w:t xml:space="preserve"> limited</w:t>
      </w:r>
      <w:r w:rsidR="00DF7C5E" w:rsidRPr="00DF7C5E">
        <w:rPr>
          <w:rFonts w:asciiTheme="majorBidi" w:hAnsiTheme="majorBidi" w:cstheme="majorBidi"/>
          <w:lang w:eastAsia="ar-SA"/>
        </w:rPr>
        <w:t xml:space="preserve"> exclusively to the target site without leaving other permanent changes in the genome </w:t>
      </w:r>
      <w:r w:rsidR="00CD0E3E">
        <w:rPr>
          <w:rFonts w:asciiTheme="majorBidi" w:hAnsiTheme="majorBidi" w:cstheme="majorBidi"/>
          <w:lang w:eastAsia="ar-SA"/>
        </w:rPr>
        <w:fldChar w:fldCharType="begin" w:fldLock="1"/>
      </w:r>
      <w:r w:rsidR="00CD0E3E">
        <w:rPr>
          <w:rFonts w:asciiTheme="majorBidi" w:hAnsiTheme="majorBidi" w:cstheme="majorBidi"/>
          <w:lang w:eastAsia="ar-SA"/>
        </w:rPr>
        <w:instrText>ADDIN CSL_CITATION {"citationItems":[{"id":"ITEM-1","itemData":{"DOI":"10.1038/nbt.2969","ISSN":"1087-0156","author":[{"dropping-particle":"","family":"Wang","given":"Yanpeng","non-dropping-particle":"","parse-names":false,"suffix":""},{"dropping-particle":"","family":"Cheng","given":"Xi","non-dropping-particle":"","parse-names":false,"suffix":""},{"dropping-particle":"","family":"Shan","given":"Qiwei","non-dropping-particle":"","parse-names":false,"suffix":""},{"dropping-particle":"","family":"Zhang","given":"Yi","non-dropping-particle":"","parse-names":false,"suffix":""},{"dropping-particle":"","family":"Liu","given":"Jinxing","non-dropping-particle":"","parse-names":false,"suffix":""},{"dropping-particle":"","family":"Gao","given":"Caixia","non-dropping-particle":"","parse-names":false,"suffix":""},{"dropping-particle":"","family":"Qiu","given":"Jin-Long","non-dropping-particle":"","parse-names":false,"suffix":""}],"container-title":"Nature Biotechnology","id":"ITEM-1","issue":"9","issued":{"date-parts":[["2014","9","20"]]},"page":"947-951","title":"Simultaneous editing of three homoeoalleles in hexaploid bread wheat confers heritable resistance to powdery mildew","type":"article-journal","volume":"32"},"uris":["http://www.mendeley.com/documents/?uuid=16356145-546d-49a2-90d1-4cb1a1753474"]}],"mendeley":{"formattedCitation":"(Y. Wang et al., 2014)","plainTextFormattedCitation":"(Y. Wang et al., 2014)","previouslyFormattedCitation":"(Y. Wang et al., 2014)"},"properties":{"noteIndex":0},"schema":"https://github.com/citation-style-language/schema/raw/master/csl-citation.json"}</w:instrText>
      </w:r>
      <w:r w:rsidR="00CD0E3E">
        <w:rPr>
          <w:rFonts w:asciiTheme="majorBidi" w:hAnsiTheme="majorBidi" w:cstheme="majorBidi"/>
          <w:lang w:eastAsia="ar-SA"/>
        </w:rPr>
        <w:fldChar w:fldCharType="separate"/>
      </w:r>
      <w:r w:rsidR="00CD0E3E" w:rsidRPr="00CD0E3E">
        <w:rPr>
          <w:rFonts w:asciiTheme="majorBidi" w:hAnsiTheme="majorBidi" w:cstheme="majorBidi"/>
          <w:noProof/>
          <w:lang w:eastAsia="ar-SA"/>
        </w:rPr>
        <w:t>(Y. Wang et al., 2014)</w:t>
      </w:r>
      <w:r w:rsidR="00CD0E3E">
        <w:rPr>
          <w:rFonts w:asciiTheme="majorBidi" w:hAnsiTheme="majorBidi" w:cstheme="majorBidi"/>
          <w:lang w:eastAsia="ar-SA"/>
        </w:rPr>
        <w:fldChar w:fldCharType="end"/>
      </w:r>
      <w:r w:rsidR="00DF7C5E" w:rsidRPr="00DF7C5E">
        <w:rPr>
          <w:rFonts w:asciiTheme="majorBidi" w:hAnsiTheme="majorBidi" w:cstheme="majorBidi"/>
          <w:lang w:eastAsia="ar-SA"/>
        </w:rPr>
        <w:t xml:space="preserve">. As a result, the genome sequence of a genome-edited plant may differ only minimally from its parental one </w:t>
      </w:r>
      <w:r w:rsidR="00CD0E3E">
        <w:rPr>
          <w:rFonts w:asciiTheme="majorBidi" w:hAnsiTheme="majorBidi" w:cstheme="majorBidi"/>
          <w:lang w:eastAsia="ar-SA"/>
        </w:rPr>
        <w:fldChar w:fldCharType="begin" w:fldLock="1"/>
      </w:r>
      <w:r w:rsidR="00B90F27">
        <w:rPr>
          <w:rFonts w:asciiTheme="majorBidi" w:hAnsiTheme="majorBidi" w:cstheme="majorBidi"/>
          <w:lang w:eastAsia="ar-SA"/>
        </w:rPr>
        <w:instrText>ADDIN CSL_CITATION {"citationItems":[{"id":"ITEM-1","itemData":{"DOI":"10.1038/srep27810","ISSN":"2045-2322","author":[{"dropping-particle":"","family":"Shin","given":"Sung-Eun","non-dropping-particle":"","parse-names":false,"suffix":""},{"dropping-particle":"","family":"Lim","given":"Jong-Min","non-dropping-particle":"","parse-names":false,"suffix":""},{"dropping-particle":"","family":"Koh","given":"Hyun Gi","non-dropping-particle":"","parse-names":false,"suffix":""},{"dropping-particle":"","family":"Kim","given":"Eun Kyung","non-dropping-particle":"","parse-names":false,"suffix":""},{"dropping-particle":"","family":"Kang","given":"Nam Kyu","non-dropping-particle":"","parse-names":false,"suffix":""},{"dropping-particle":"","family":"Jeon","given":"Seungjib","non-dropping-particle":"","parse-names":false,"suffix":""},{"dropping-particle":"","family":"Kwon","given":"Sohee","non-dropping-particle":"","parse-names":false,"suffix":""},{"dropping-particle":"","family":"Shin","given":"Won-Sub","non-dropping-particle":"","parse-names":false,"suffix":""},{"dropping-particle":"","family":"Lee","given":"Bongsoo","non-dropping-particle":"","parse-names":false,"suffix":""},{"dropping-particle":"","family":"Hwangbo","given":"Kwon","non-dropping-particle":"","parse-names":false,"suffix":""},{"dropping-particle":"","family":"Kim","given":"Jungeun","non-dropping-particle":"","parse-names":false,"suffix":""},{"dropping-particle":"","family":"Ye","given":"Sung Hyeok","non-dropping-particle":"","parse-names":false,"suffix":""},{"dropping-particle":"","family":"Yun","given":"Jae-Young","non-dropping-particle":"","parse-names":false,"suffix":""},{"dropping-particle":"","family":"Seo","given":"Hogyun","non-dropping-particle":"","parse-names":false,"suffix":""},{"dropping-particle":"","family":"Oh","given":"Hee-Mock","non-dropping-particle":"","parse-names":false,"suffix":""},{"dropping-particle":"","family":"Kim","given":"Kyung-Jin","non-dropping-particle":"","parse-names":false,"suffix":""},{"dropping-particle":"","family":"Kim","given":"Jin-Soo","non-dropping-particle":"","parse-names":false,"suffix":""},{"dropping-particle":"","family":"Jeong","given":"Won-Joong","non-dropping-particle":"","parse-names":false,"suffix":""},{"dropping-particle":"","family":"Chang","given":"Yong Keun","non-dropping-particle":"","parse-names":false,"suffix":""},{"dropping-particle":"","family":"Jeong","given":"Byeong-ryool","non-dropping-particle":"","parse-names":false,"suffix":""}],"container-title":"Scientific Reports","id":"ITEM-1","issue":"1","issued":{"date-parts":[["2016","6","13"]]},"page":"27810","title":"CRISPR/Cas9-induced knockout and knock-in mutations in Chlamydomonas reinhardtii","type":"article-journal","volume":"6"},"uris":["http://www.mendeley.com/documents/?uuid=1502f8cd-cbad-4015-b72b-f8dce47aa2e5"]}],"mendeley":{"formattedCitation":"(Shin et al., 2016)","plainTextFormattedCitation":"(Shin et al., 2016)","previouslyFormattedCitation":"(Shin et al., 2016)"},"properties":{"noteIndex":0},"schema":"https://github.com/citation-style-language/schema/raw/master/csl-citation.json"}</w:instrText>
      </w:r>
      <w:r w:rsidR="00CD0E3E">
        <w:rPr>
          <w:rFonts w:asciiTheme="majorBidi" w:hAnsiTheme="majorBidi" w:cstheme="majorBidi"/>
          <w:lang w:eastAsia="ar-SA"/>
        </w:rPr>
        <w:fldChar w:fldCharType="separate"/>
      </w:r>
      <w:r w:rsidR="00CD0E3E" w:rsidRPr="00CD0E3E">
        <w:rPr>
          <w:rFonts w:asciiTheme="majorBidi" w:hAnsiTheme="majorBidi" w:cstheme="majorBidi"/>
          <w:noProof/>
          <w:lang w:eastAsia="ar-SA"/>
        </w:rPr>
        <w:t>(Shin et al., 2016)</w:t>
      </w:r>
      <w:r w:rsidR="00CD0E3E">
        <w:rPr>
          <w:rFonts w:asciiTheme="majorBidi" w:hAnsiTheme="majorBidi" w:cstheme="majorBidi"/>
          <w:lang w:eastAsia="ar-SA"/>
        </w:rPr>
        <w:fldChar w:fldCharType="end"/>
      </w:r>
      <w:r w:rsidR="00173F0F">
        <w:rPr>
          <w:rFonts w:asciiTheme="majorBidi" w:hAnsiTheme="majorBidi" w:cstheme="majorBidi"/>
          <w:lang w:eastAsia="ar-SA"/>
        </w:rPr>
        <w:t>,</w:t>
      </w:r>
      <w:r w:rsidR="00173F0F" w:rsidRPr="00173F0F">
        <w:t xml:space="preserve"> </w:t>
      </w:r>
      <w:r w:rsidR="00173F0F">
        <w:rPr>
          <w:rFonts w:asciiTheme="majorBidi" w:hAnsiTheme="majorBidi" w:cstheme="majorBidi"/>
          <w:lang w:eastAsia="ar-SA"/>
        </w:rPr>
        <w:t>such</w:t>
      </w:r>
      <w:r w:rsidR="00173F0F" w:rsidRPr="00173F0F">
        <w:rPr>
          <w:rFonts w:asciiTheme="majorBidi" w:hAnsiTheme="majorBidi" w:cstheme="majorBidi"/>
          <w:lang w:eastAsia="ar-SA"/>
        </w:rPr>
        <w:t xml:space="preserve"> as the substitution, insertion or deletion (indel) of only a single nucleotide</w:t>
      </w:r>
      <w:r w:rsidR="00CD0E3E">
        <w:rPr>
          <w:rFonts w:asciiTheme="majorBidi" w:hAnsiTheme="majorBidi" w:cstheme="majorBidi"/>
          <w:lang w:eastAsia="ar-SA"/>
        </w:rPr>
        <w:t xml:space="preserve"> </w:t>
      </w:r>
      <w:r w:rsidR="00B90F27">
        <w:rPr>
          <w:rFonts w:asciiTheme="majorBidi" w:hAnsiTheme="majorBidi" w:cstheme="majorBidi"/>
          <w:lang w:eastAsia="ar-SA"/>
        </w:rPr>
        <w:fldChar w:fldCharType="begin" w:fldLock="1"/>
      </w:r>
      <w:r w:rsidR="00B90F27">
        <w:rPr>
          <w:rFonts w:asciiTheme="majorBidi" w:hAnsiTheme="majorBidi" w:cstheme="majorBidi"/>
          <w:lang w:eastAsia="ar-SA"/>
        </w:rPr>
        <w:instrText>ADDIN CSL_CITATION {"citationItems":[{"id":"ITEM-1","itemData":{"DOI":"10.3389/fpls.2019.00236","ISSN":"1664-462X","author":[{"dropping-particle":"","family":"Grohmann","given":"Lutz","non-dropping-particle":"","parse-names":false,"suffix":""},{"dropping-particle":"","family":"Keilwagen","given":"Jens","non-dropping-particle":"","parse-names":false,"suffix":""},{"dropping-particle":"","family":"Duensing","given":"Nina","non-dropping-particle":"","parse-names":false,"suffix":""},{"dropping-particle":"","family":"Dagand","given":"Emilie","non-dropping-particle":"","parse-names":false,"suffix":""},{"dropping-particle":"","family":"Hartung","given":"Frank","non-dropping-particle":"","parse-names":false,"suffix":""},{"dropping-particle":"","family":"Wilhelm","given":"Ralf","non-dropping-particle":"","parse-names":false,"suffix":""},{"dropping-particle":"","family":"Bendiek","given":"Joachim","non-dropping-particle":"","parse-names":false,"suffix":""},{"dropping-particle":"","family":"Sprink","given":"Thorben","non-dropping-particle":"","parse-names":false,"suffix":""}],"container-title":"Frontiers in Plant Science","id":"ITEM-1","issued":{"date-parts":[["2019","3","12"]]},"title":"Detection and Identification of Genome Editing in Plants: Challenges and Opportunities","type":"article-journal","volume":"10"},"uris":["http://www.mendeley.com/documents/?uuid=3ef28ffe-ae9e-4d07-9e8b-8a2ea23f1cc2"]}],"mendeley":{"formattedCitation":"(Grohmann et al., 2019)","plainTextFormattedCitation":"(Grohmann et al., 2019)","previouslyFormattedCitation":"(Grohmann et al., 2019)"},"properties":{"noteIndex":0},"schema":"https://github.com/citation-style-language/schema/raw/master/csl-citation.json"}</w:instrText>
      </w:r>
      <w:r w:rsidR="00B90F27">
        <w:rPr>
          <w:rFonts w:asciiTheme="majorBidi" w:hAnsiTheme="majorBidi" w:cstheme="majorBidi"/>
          <w:lang w:eastAsia="ar-SA"/>
        </w:rPr>
        <w:fldChar w:fldCharType="separate"/>
      </w:r>
      <w:r w:rsidR="00B90F27" w:rsidRPr="00B90F27">
        <w:rPr>
          <w:rFonts w:asciiTheme="majorBidi" w:hAnsiTheme="majorBidi" w:cstheme="majorBidi"/>
          <w:noProof/>
          <w:lang w:eastAsia="ar-SA"/>
        </w:rPr>
        <w:t>(Grohmann et al., 2019)</w:t>
      </w:r>
      <w:r w:rsidR="00B90F27">
        <w:rPr>
          <w:rFonts w:asciiTheme="majorBidi" w:hAnsiTheme="majorBidi" w:cstheme="majorBidi"/>
          <w:lang w:eastAsia="ar-SA"/>
        </w:rPr>
        <w:fldChar w:fldCharType="end"/>
      </w:r>
      <w:r w:rsidR="00173F0F" w:rsidRPr="00173F0F">
        <w:rPr>
          <w:rFonts w:asciiTheme="majorBidi" w:hAnsiTheme="majorBidi" w:cstheme="majorBidi"/>
          <w:lang w:eastAsia="ar-SA"/>
        </w:rPr>
        <w:t>.</w:t>
      </w:r>
    </w:p>
    <w:p w14:paraId="19341152" w14:textId="10DC9997" w:rsidR="00804279" w:rsidRDefault="00815CEF" w:rsidP="00BB775E">
      <w:pPr>
        <w:spacing w:after="120" w:line="240" w:lineRule="auto"/>
        <w:jc w:val="both"/>
        <w:rPr>
          <w:rFonts w:asciiTheme="majorBidi" w:hAnsiTheme="majorBidi" w:cstheme="majorBidi"/>
          <w:lang w:eastAsia="ar-SA"/>
        </w:rPr>
      </w:pPr>
      <w:r w:rsidRPr="00815CEF">
        <w:rPr>
          <w:rFonts w:asciiTheme="majorBidi" w:hAnsiTheme="majorBidi" w:cstheme="majorBidi"/>
          <w:lang w:eastAsia="ar-SA"/>
        </w:rPr>
        <w:t xml:space="preserve">If a known insertion is present, PCR-based methods will </w:t>
      </w:r>
      <w:r w:rsidR="00AB5D10">
        <w:rPr>
          <w:rFonts w:asciiTheme="majorBidi" w:hAnsiTheme="majorBidi" w:cstheme="majorBidi"/>
          <w:lang w:eastAsia="ar-SA"/>
        </w:rPr>
        <w:t xml:space="preserve">likely </w:t>
      </w:r>
      <w:r w:rsidR="00045D4B">
        <w:rPr>
          <w:rFonts w:asciiTheme="majorBidi" w:hAnsiTheme="majorBidi" w:cstheme="majorBidi"/>
          <w:lang w:eastAsia="ar-SA"/>
        </w:rPr>
        <w:t xml:space="preserve">be </w:t>
      </w:r>
      <w:r>
        <w:rPr>
          <w:rFonts w:asciiTheme="majorBidi" w:hAnsiTheme="majorBidi" w:cstheme="majorBidi"/>
          <w:lang w:eastAsia="ar-SA"/>
        </w:rPr>
        <w:t>the method of choice as they</w:t>
      </w:r>
      <w:r w:rsidRPr="00815CEF">
        <w:rPr>
          <w:rFonts w:asciiTheme="majorBidi" w:hAnsiTheme="majorBidi" w:cstheme="majorBidi"/>
          <w:lang w:eastAsia="ar-SA"/>
        </w:rPr>
        <w:t xml:space="preserve"> are highly specific and sensitive. Based on the experience from GMO testing, it should be feasible to establish event-specific PCR methods targeting larger nucleotide sequence changes induced by genome editing (for example SDN3). Short sequence changes (substitutions or indels of one or a few nucleotides) induced by SDN1, SDN2, or ODM should also be detectable using a specific probe, for example, </w:t>
      </w:r>
      <w:r w:rsidR="00925B11">
        <w:rPr>
          <w:rFonts w:asciiTheme="majorBidi" w:hAnsiTheme="majorBidi" w:cstheme="majorBidi"/>
          <w:lang w:eastAsia="ar-SA"/>
        </w:rPr>
        <w:t xml:space="preserve">in </w:t>
      </w:r>
      <w:r w:rsidRPr="00815CEF">
        <w:rPr>
          <w:rFonts w:asciiTheme="majorBidi" w:hAnsiTheme="majorBidi" w:cstheme="majorBidi"/>
          <w:lang w:eastAsia="ar-SA"/>
        </w:rPr>
        <w:t>real-time PCR or digital PCR</w:t>
      </w:r>
      <w:r w:rsidR="00925B11">
        <w:rPr>
          <w:rFonts w:asciiTheme="majorBidi" w:hAnsiTheme="majorBidi" w:cstheme="majorBidi"/>
          <w:lang w:eastAsia="ar-SA"/>
        </w:rPr>
        <w:t xml:space="preserve"> assays</w:t>
      </w:r>
      <w:r w:rsidRPr="00815CEF">
        <w:rPr>
          <w:rFonts w:asciiTheme="majorBidi" w:hAnsiTheme="majorBidi" w:cstheme="majorBidi"/>
          <w:lang w:eastAsia="ar-SA"/>
        </w:rPr>
        <w:t xml:space="preserve"> </w:t>
      </w:r>
      <w:r w:rsidR="00154E43" w:rsidRPr="00031D83">
        <w:rPr>
          <w:rFonts w:asciiTheme="majorBidi" w:hAnsiTheme="majorBidi" w:cstheme="majorBidi"/>
          <w:lang w:eastAsia="ar-SA"/>
        </w:rPr>
        <w:fldChar w:fldCharType="begin" w:fldLock="1"/>
      </w:r>
      <w:r w:rsidR="00031D83" w:rsidRPr="00031D83">
        <w:rPr>
          <w:rFonts w:asciiTheme="majorBidi" w:hAnsiTheme="majorBidi" w:cstheme="majorBidi"/>
          <w:lang w:eastAsia="ar-SA"/>
        </w:rPr>
        <w:instrText>ADDIN CSL_CITATION {"citationItems":[{"id":"ITEM-1","itemData":{"DOI":"10.1007/s12355-015-0408-8","ISSN":"09740740","abstract":"Real-time PCR (qPCR) allelic discrimination and high-resolution melting (HRM) methods are widely adopted for the detection of single nucleotide polymorphisms (SNP). Digital PCR (dPCR) is a new method recently proposed for the detection of low-frequency and/or rare SNP. The molecular marker SNP_BvBTC1 is used in sugar beet to distinguish between annual and biennial flowering plants. The CC genotype at this SNP locus is associated with biennial beets, while the CA and AA genotypes are typically found in annual beets. In this study, we compared the sensitivity of qPCR, HRM and dPCR in detecting the allele A from two pools of bulk beet DNA composed of 90 biennial + 10 annual plants (B1) and 99 biennial + 1 annual plant (B2), respectively. All annual plants were found to have the AA genotype. qPCR could not detect allele A in either the B1 or B2 pool and HRM detected allele A only at moderate frequencies (10 %), in the B1 pool. dPCR, on the contrary, was able to detect allele A in both pools. We therefore concluded that dPCR is a suitable method for the quantitation of SNP_BvBTC1 within bulked DNA samples of sugar beet.","author":[{"dropping-particle":"","family":"Stevanato","given":"Piergiorgio","non-dropping-particle":"","parse-names":false,"suffix":""},{"dropping-particle":"","family":"Biscarini","given":"Filippo","non-dropping-particle":"","parse-names":false,"suffix":""}],"container-title":"Sugar Tech","id":"ITEM-1","issue":"4","issued":{"date-parts":[["2016","8"]]},"page":"429-432","publisher":"Springer India","title":"Digital PCR as New Approach to SNP Genotyping in Sugar Beet","type":"article-journal","volume":"18"},"uris":["http://www.mendeley.com/documents/?uuid=368dd587-9c0c-44ef-abf9-0d921680b3bd"]}],"mendeley":{"formattedCitation":"(Stevanato &amp; Biscarini, 2016)","plainTextFormattedCitation":"(Stevanato &amp; Biscarini, 2016)","previouslyFormattedCitation":"(Stevanato &amp; Biscarini, 2016)"},"properties":{"noteIndex":0},"schema":"https://github.com/citation-style-language/schema/raw/master/csl-citation.json"}</w:instrText>
      </w:r>
      <w:r w:rsidR="00154E43" w:rsidRPr="00031D83">
        <w:rPr>
          <w:rFonts w:asciiTheme="majorBidi" w:hAnsiTheme="majorBidi" w:cstheme="majorBidi"/>
          <w:lang w:eastAsia="ar-SA"/>
        </w:rPr>
        <w:fldChar w:fldCharType="separate"/>
      </w:r>
      <w:r w:rsidR="00154E43" w:rsidRPr="00031D83">
        <w:rPr>
          <w:rFonts w:asciiTheme="majorBidi" w:hAnsiTheme="majorBidi" w:cstheme="majorBidi"/>
          <w:noProof/>
          <w:lang w:eastAsia="ar-SA"/>
        </w:rPr>
        <w:t>(Stevanato &amp; Biscarini, 2016)</w:t>
      </w:r>
      <w:r w:rsidR="00154E43" w:rsidRPr="00031D83">
        <w:rPr>
          <w:rFonts w:asciiTheme="majorBidi" w:hAnsiTheme="majorBidi" w:cstheme="majorBidi"/>
          <w:lang w:eastAsia="ar-SA"/>
        </w:rPr>
        <w:fldChar w:fldCharType="end"/>
      </w:r>
      <w:r w:rsidRPr="00031D83">
        <w:rPr>
          <w:rFonts w:asciiTheme="majorBidi" w:hAnsiTheme="majorBidi" w:cstheme="majorBidi"/>
          <w:lang w:eastAsia="ar-SA"/>
        </w:rPr>
        <w:t>.</w:t>
      </w:r>
      <w:r w:rsidR="002848EA" w:rsidRPr="00031D83">
        <w:rPr>
          <w:rFonts w:asciiTheme="majorBidi" w:hAnsiTheme="majorBidi" w:cstheme="majorBidi"/>
          <w:lang w:eastAsia="ar-SA"/>
        </w:rPr>
        <w:t xml:space="preserve"> Single nucleotide polymorphism (SNP) genotyping approaches can be used to detect very small sequence differences of one or a few nucleotides, provided an adequate reference sequence is available </w:t>
      </w:r>
      <w:r w:rsidR="00031D83" w:rsidRPr="00B4550C">
        <w:rPr>
          <w:rFonts w:asciiTheme="majorBidi" w:hAnsiTheme="majorBidi" w:cstheme="majorBidi"/>
          <w:lang w:eastAsia="ar-SA"/>
        </w:rPr>
        <w:fldChar w:fldCharType="begin" w:fldLock="1"/>
      </w:r>
      <w:r w:rsidR="00031D83" w:rsidRPr="00B4550C">
        <w:rPr>
          <w:rFonts w:asciiTheme="majorBidi" w:hAnsiTheme="majorBidi" w:cstheme="majorBidi"/>
          <w:lang w:eastAsia="ar-SA"/>
        </w:rPr>
        <w:instrText>ADDIN CSL_CITATION {"citationItems":[{"id":"ITEM-1","itemData":{"DOI":"10.1373/clinchem.2014.221366","ISSN":"0009-9147","abstract":"Background: Digital PCR (dPCR) is an increasingly popular manifestation of PCR that offers a number of unique advantages when applied to preclinical research, particularly when used to detect rare mutations and in the precise quantification of nucleic acids. As is common with many new research methods, the application of dPCR to potential clinical scenarios is also being increasingly described.\nContent: This review addresses some of the factors that need to be considered in the application of dPCR. Compared to real-time quantitative PCR (qPCR), dPCR clearly has the potential to offer more sensitive and considerably more reproducible clinical methods that could lend themselves to diagnostic, prognostic, and predictive tests. But for this to be realized the technology will need to be further developed to reduce cost and simplify application. Concomitantly the preclinical research will need be reported with a comprehensive understanding of the associated errors. dPCR benefits from a far more predictable variance than qPCR but is as susceptible to upstream errors associated with factors like sampling and extraction. dPCR can also suffer systematic bias, particularly leading to underestimation, and internal positive controls are likely to be as important for dPCR as they are for qPCR, especially when reporting the absence of a sequence.\nSummary: In this review we highlight some of the considerations that may be needed when applying dPCR and discuss sources of error. The factors discussed here aim to assist in the translation of dPCR to diagnostic, predictive, or prognostic applications.","author":[{"dropping-particle":"","family":"Huggett","given":"Jim F","non-dropping-particle":"","parse-names":false,"suffix":""},{"dropping-particle":"","family":"Cowen","given":"Simon","non-dropping-particle":"","parse-names":false,"suffix":""},{"dropping-particle":"","family":"Foy","given":"Carole A","non-dropping-particle":"","parse-names":false,"suffix":""}],"container-title":"Clinical Chemistry","id":"ITEM-1","issue":"1","issued":{"date-parts":[["2015","1"]]},"page":"79-88","publisher":"American Association for Clinical Chemistry Inc.","title":"Considerations for Digital PCR as an Accurate Molecular Diagnostic Tool","type":"article-journal","volume":"61"},"uris":["http://www.mendeley.com/documents/?uuid=2786f3ec-e0ce-41d8-886a-71978ea89b58"]}],"mendeley":{"formattedCitation":"(Huggett et al., 2015)","plainTextFormattedCitation":"(Huggett et al., 2015)","previouslyFormattedCitation":"(Huggett et al., 2015)"},"properties":{"noteIndex":0},"schema":"https://github.com/citation-style-language/schema/raw/master/csl-citation.json"}</w:instrText>
      </w:r>
      <w:r w:rsidR="00031D83" w:rsidRPr="00B4550C">
        <w:rPr>
          <w:rFonts w:asciiTheme="majorBidi" w:hAnsiTheme="majorBidi" w:cstheme="majorBidi"/>
          <w:lang w:eastAsia="ar-SA"/>
        </w:rPr>
        <w:fldChar w:fldCharType="separate"/>
      </w:r>
      <w:r w:rsidR="00031D83" w:rsidRPr="00B4550C">
        <w:rPr>
          <w:rFonts w:asciiTheme="majorBidi" w:hAnsiTheme="majorBidi" w:cstheme="majorBidi"/>
          <w:noProof/>
          <w:lang w:eastAsia="ar-SA"/>
        </w:rPr>
        <w:t>(Huggett et al., 2015)</w:t>
      </w:r>
      <w:r w:rsidR="00031D83" w:rsidRPr="00B4550C">
        <w:rPr>
          <w:rFonts w:asciiTheme="majorBidi" w:hAnsiTheme="majorBidi" w:cstheme="majorBidi"/>
          <w:lang w:eastAsia="ar-SA"/>
        </w:rPr>
        <w:fldChar w:fldCharType="end"/>
      </w:r>
      <w:r w:rsidR="002848EA" w:rsidRPr="00031D83">
        <w:rPr>
          <w:rFonts w:asciiTheme="majorBidi" w:hAnsiTheme="majorBidi" w:cstheme="majorBidi"/>
          <w:lang w:eastAsia="ar-SA"/>
        </w:rPr>
        <w:t xml:space="preserve">. </w:t>
      </w:r>
      <w:r w:rsidR="0007592E" w:rsidRPr="00031D83">
        <w:rPr>
          <w:rFonts w:asciiTheme="majorBidi" w:hAnsiTheme="majorBidi" w:cstheme="majorBidi"/>
          <w:lang w:eastAsia="ar-SA"/>
        </w:rPr>
        <w:t>However, c</w:t>
      </w:r>
      <w:r w:rsidR="00C62652" w:rsidRPr="00031D83">
        <w:rPr>
          <w:rFonts w:asciiTheme="majorBidi" w:hAnsiTheme="majorBidi" w:cstheme="majorBidi"/>
          <w:lang w:eastAsia="ar-SA"/>
        </w:rPr>
        <w:t xml:space="preserve">oncerns have been raised regarding the feasibility of </w:t>
      </w:r>
      <w:r w:rsidR="002848EA" w:rsidRPr="00031D83">
        <w:rPr>
          <w:rFonts w:asciiTheme="majorBidi" w:hAnsiTheme="majorBidi" w:cstheme="majorBidi"/>
          <w:lang w:eastAsia="ar-SA"/>
        </w:rPr>
        <w:t>develop</w:t>
      </w:r>
      <w:r w:rsidR="00C62652" w:rsidRPr="007E6489">
        <w:rPr>
          <w:rFonts w:asciiTheme="majorBidi" w:hAnsiTheme="majorBidi" w:cstheme="majorBidi"/>
          <w:lang w:eastAsia="ar-SA"/>
        </w:rPr>
        <w:t>ing</w:t>
      </w:r>
      <w:r w:rsidR="002848EA" w:rsidRPr="007E6489">
        <w:rPr>
          <w:rFonts w:asciiTheme="majorBidi" w:hAnsiTheme="majorBidi" w:cstheme="majorBidi"/>
          <w:lang w:eastAsia="ar-SA"/>
        </w:rPr>
        <w:t xml:space="preserve"> a robust and specific PCR-based quantification assay for the presence of genome-edited material that is applicable for routine testing of composite food samples at levels of 0.9 or 0.1</w:t>
      </w:r>
      <w:r w:rsidR="00184DDF" w:rsidRPr="007E6489">
        <w:rPr>
          <w:rFonts w:asciiTheme="majorBidi" w:hAnsiTheme="majorBidi" w:cstheme="majorBidi"/>
          <w:lang w:eastAsia="ar-SA"/>
        </w:rPr>
        <w:t xml:space="preserve"> </w:t>
      </w:r>
      <w:r w:rsidR="002848EA" w:rsidRPr="007E6489">
        <w:rPr>
          <w:rFonts w:asciiTheme="majorBidi" w:hAnsiTheme="majorBidi" w:cstheme="majorBidi"/>
          <w:lang w:eastAsia="ar-SA"/>
        </w:rPr>
        <w:t xml:space="preserve">% of genetically modified material </w:t>
      </w:r>
      <w:r w:rsidR="00031D83" w:rsidRPr="00031D83">
        <w:rPr>
          <w:rFonts w:asciiTheme="majorBidi" w:hAnsiTheme="majorBidi" w:cstheme="majorBidi"/>
          <w:lang w:eastAsia="ar-SA"/>
        </w:rPr>
        <w:fldChar w:fldCharType="begin" w:fldLock="1"/>
      </w:r>
      <w:r w:rsidR="00031D83">
        <w:rPr>
          <w:rFonts w:asciiTheme="majorBidi" w:hAnsiTheme="majorBidi" w:cstheme="majorBidi"/>
          <w:lang w:eastAsia="ar-SA"/>
        </w:rPr>
        <w:instrText>ADDIN CSL_CITATION {"citationItems":[{"id":"ITEM-1","itemData":{"author":[{"dropping-particle":"","family":"Emons","given":"H","non-dropping-particle":"","parse-names":false,"suffix":""},{"dropping-particle":"","family":"Broothaerts","given":"W","non-dropping-particle":"","parse-names":false,"suffix":""},{"dropping-particle":"","family":"Bonfini","given":"L","non-dropping-particle":"","parse-names":false,"suffix":""},{"dropping-particle":"","family":"Corbisier P.","given":"","non-dropping-particle":"","parse-names":false,"suffix":""},{"dropping-particle":"","family":"Gatto F.","given":"","non-dropping-particle":"","parse-names":false,"suffix":""},{"dropping-particle":"","family":"Jacchia S.","given":"","non-dropping-particle":"","parse-names":false,"suffix":""},{"dropping-particle":"","family":"al.","given":"Et","non-dropping-particle":"","parse-names":false,"suffix":""}],"id":"ITEM-1","issued":{"date-parts":[["2018"]]},"publisher-place":"Luxembourg","title":"Challenges for the detection of genetically modified food or feed originating from genome editing. EUR 29391 EN","type":"report"},"uris":["http://www.mendeley.com/documents/?uuid=6bd4470c-de82-42b0-a5c2-e8f7db4bd077"]}],"mendeley":{"formattedCitation":"(Emons et al., 2018)","plainTextFormattedCitation":"(Emons et al., 2018)","previouslyFormattedCitation":"(Emons et al., 2018)"},"properties":{"noteIndex":0},"schema":"https://github.com/citation-style-language/schema/raw/master/csl-citation.json"}</w:instrText>
      </w:r>
      <w:r w:rsidR="00031D83" w:rsidRPr="00031D83">
        <w:rPr>
          <w:rFonts w:asciiTheme="majorBidi" w:hAnsiTheme="majorBidi" w:cstheme="majorBidi"/>
          <w:lang w:eastAsia="ar-SA"/>
        </w:rPr>
        <w:fldChar w:fldCharType="separate"/>
      </w:r>
      <w:r w:rsidR="00031D83" w:rsidRPr="00031D83">
        <w:rPr>
          <w:rFonts w:asciiTheme="majorBidi" w:hAnsiTheme="majorBidi" w:cstheme="majorBidi"/>
          <w:noProof/>
          <w:lang w:eastAsia="ar-SA"/>
        </w:rPr>
        <w:t>(Emons et al., 2018)</w:t>
      </w:r>
      <w:r w:rsidR="00031D83" w:rsidRPr="00031D83">
        <w:rPr>
          <w:rFonts w:asciiTheme="majorBidi" w:hAnsiTheme="majorBidi" w:cstheme="majorBidi"/>
          <w:lang w:eastAsia="ar-SA"/>
        </w:rPr>
        <w:fldChar w:fldCharType="end"/>
      </w:r>
      <w:r w:rsidR="002848EA" w:rsidRPr="00031D83">
        <w:rPr>
          <w:rFonts w:asciiTheme="majorBidi" w:hAnsiTheme="majorBidi" w:cstheme="majorBidi"/>
          <w:lang w:eastAsia="ar-SA"/>
        </w:rPr>
        <w:t>.</w:t>
      </w:r>
      <w:r w:rsidR="00C62652" w:rsidRPr="00031D83">
        <w:rPr>
          <w:rFonts w:asciiTheme="majorBidi" w:hAnsiTheme="majorBidi" w:cstheme="majorBidi"/>
          <w:lang w:eastAsia="ar-SA"/>
        </w:rPr>
        <w:t xml:space="preserve"> Despite this concern, </w:t>
      </w:r>
      <w:r w:rsidR="0007592E" w:rsidRPr="00031D83">
        <w:rPr>
          <w:rFonts w:asciiTheme="majorBidi" w:hAnsiTheme="majorBidi" w:cstheme="majorBidi"/>
          <w:lang w:eastAsia="ar-SA"/>
        </w:rPr>
        <w:t xml:space="preserve">recent </w:t>
      </w:r>
      <w:r w:rsidR="00240A7D" w:rsidRPr="00031D83">
        <w:rPr>
          <w:rFonts w:asciiTheme="majorBidi" w:hAnsiTheme="majorBidi" w:cstheme="majorBidi"/>
          <w:lang w:eastAsia="ar-SA"/>
        </w:rPr>
        <w:t xml:space="preserve">developments have demonstrated the </w:t>
      </w:r>
      <w:r w:rsidR="0019624A" w:rsidRPr="00031D83">
        <w:rPr>
          <w:rFonts w:asciiTheme="majorBidi" w:hAnsiTheme="majorBidi" w:cstheme="majorBidi"/>
          <w:lang w:eastAsia="ar-SA"/>
        </w:rPr>
        <w:t xml:space="preserve">potential </w:t>
      </w:r>
      <w:r w:rsidR="00240A7D" w:rsidRPr="00031D83">
        <w:rPr>
          <w:rFonts w:asciiTheme="majorBidi" w:hAnsiTheme="majorBidi" w:cstheme="majorBidi"/>
          <w:lang w:eastAsia="ar-SA"/>
        </w:rPr>
        <w:t xml:space="preserve">possibility of detecting and quantifying </w:t>
      </w:r>
      <w:r w:rsidR="0055241C" w:rsidRPr="007E6489">
        <w:rPr>
          <w:rFonts w:asciiTheme="majorBidi" w:hAnsiTheme="majorBidi" w:cstheme="majorBidi"/>
          <w:lang w:eastAsia="ar-SA"/>
        </w:rPr>
        <w:t>genome</w:t>
      </w:r>
      <w:r w:rsidR="0055241C">
        <w:rPr>
          <w:rFonts w:asciiTheme="majorBidi" w:hAnsiTheme="majorBidi" w:cstheme="majorBidi"/>
          <w:lang w:eastAsia="ar-SA"/>
        </w:rPr>
        <w:t xml:space="preserve"> edited </w:t>
      </w:r>
      <w:r w:rsidR="00CB4C0F">
        <w:rPr>
          <w:rFonts w:asciiTheme="majorBidi" w:hAnsiTheme="majorBidi" w:cstheme="majorBidi"/>
          <w:lang w:eastAsia="ar-SA"/>
        </w:rPr>
        <w:t>canola and rice</w:t>
      </w:r>
      <w:r w:rsidR="00086E6F">
        <w:rPr>
          <w:rFonts w:asciiTheme="majorBidi" w:hAnsiTheme="majorBidi" w:cstheme="majorBidi"/>
          <w:lang w:eastAsia="ar-SA"/>
        </w:rPr>
        <w:t xml:space="preserve"> </w:t>
      </w:r>
      <w:r w:rsidR="00184DDF">
        <w:rPr>
          <w:rFonts w:asciiTheme="majorBidi" w:hAnsiTheme="majorBidi" w:cstheme="majorBidi"/>
          <w:lang w:eastAsia="ar-SA"/>
        </w:rPr>
        <w:t xml:space="preserve">utilising </w:t>
      </w:r>
      <w:r w:rsidR="00E253C2">
        <w:rPr>
          <w:rFonts w:asciiTheme="majorBidi" w:hAnsiTheme="majorBidi" w:cstheme="majorBidi"/>
          <w:lang w:eastAsia="ar-SA"/>
        </w:rPr>
        <w:t>real-time quantitative PCR and d</w:t>
      </w:r>
      <w:r w:rsidR="009628F4">
        <w:rPr>
          <w:rFonts w:asciiTheme="majorBidi" w:hAnsiTheme="majorBidi" w:cstheme="majorBidi"/>
          <w:lang w:eastAsia="ar-SA"/>
        </w:rPr>
        <w:t>roplet d</w:t>
      </w:r>
      <w:r w:rsidR="00E253C2">
        <w:rPr>
          <w:rFonts w:asciiTheme="majorBidi" w:hAnsiTheme="majorBidi" w:cstheme="majorBidi"/>
          <w:lang w:eastAsia="ar-SA"/>
        </w:rPr>
        <w:t>igital PCR</w:t>
      </w:r>
      <w:r w:rsidR="0055241C">
        <w:rPr>
          <w:rFonts w:asciiTheme="majorBidi" w:hAnsiTheme="majorBidi" w:cstheme="majorBidi"/>
          <w:lang w:eastAsia="ar-SA"/>
        </w:rPr>
        <w:t>, respectively</w:t>
      </w:r>
      <w:r w:rsidR="009628F4">
        <w:rPr>
          <w:rFonts w:asciiTheme="majorBidi" w:hAnsiTheme="majorBidi" w:cstheme="majorBidi"/>
          <w:lang w:eastAsia="ar-SA"/>
        </w:rPr>
        <w:t xml:space="preserve"> </w:t>
      </w:r>
      <w:r w:rsidR="0088780B">
        <w:rPr>
          <w:rFonts w:asciiTheme="majorBidi" w:hAnsiTheme="majorBidi" w:cstheme="majorBidi"/>
          <w:lang w:eastAsia="ar-SA"/>
        </w:rPr>
        <w:fldChar w:fldCharType="begin" w:fldLock="1"/>
      </w:r>
      <w:r w:rsidR="0088780B">
        <w:rPr>
          <w:rFonts w:asciiTheme="majorBidi" w:hAnsiTheme="majorBidi" w:cstheme="majorBidi"/>
          <w:lang w:eastAsia="ar-SA"/>
        </w:rPr>
        <w:instrText>ADDIN CSL_CITATION {"citationItems":[{"id":"ITEM-1","itemData":{"DOI":"10.3390/foods9091245","ISSN":"2304-8158","abstract":"Discussion regarding the regulatory status of genome-edited crops has focused on precision of editing and on doubts regarding the feasibility of analytical monitoring compliant with existing GMO regulations. Effective detection methods are important, both for regulatory enforcement and traceability in case of biosafety, environmental or socio-economic impacts. Here, we approach the analysis question for the first time in the laboratory and report the successful development of a quantitative PCR detection method for the first commercialized genome-edited crop, a canola with a single base pair edit conferring herbicide tolerance. The method is highly sensitive and specific (quantification limit, 0.05%), compatible with the standards of practice, equipment and expertise typical in GMO laboratories, and readily integrable into their analytical workflows, including use of the matrix approach. The method, validated by an independent laboratory, meets all legal requirements for GMO analytical methods in jurisdictions such as the EU, is consistent with ISO17025 accreditation standards and has been placed in the public domain. Having developed a qPCR method for the most challenging class of genome edits, single-nucleotide variants, this research suggests that qPCR-based method development may be applicable to virtually any genome-edited organism. This advance resolves doubts regarding the feasibility of extending the regulatory approach currently employed for recombinant DNA-based GMOs to genome-edited organisms.","author":[{"dropping-particle":"","family":"Chhalliyil","given":"Pradheep","non-dropping-particle":"","parse-names":false,"suffix":""},{"dropping-particle":"","family":"Ilves","given":"Heini","non-dropping-particle":"","parse-names":false,"suffix":""},{"dropping-particle":"","family":"Kazakov","given":"Sergei A.","non-dropping-particle":"","parse-names":false,"suffix":""},{"dropping-particle":"","family":"Howard","given":"Stephanie J.","non-dropping-particle":"","parse-names":false,"suffix":""},{"dropping-particle":"","family":"Johnston","given":"Brian H.","non-dropping-particle":"","parse-names":false,"suffix":""},{"dropping-particle":"","family":"Fagan","given":"John","non-dropping-particle":"","parse-names":false,"suffix":""}],"container-title":"Foods","id":"ITEM-1","issue":"9","issued":{"date-parts":[["2020","9","7"]]},"page":"1245","title":"A Real-Time Quantitative PCR Method Specific for Detection and Quantification of the First Commercialized Genome-Edited Plant","type":"article-journal","volume":"9"},"uris":["http://www.mendeley.com/documents/?uuid=2a2e2cf0-c71e-44c3-885e-38f1df3d776f"]},{"id":"ITEM-2","itemData":{"DOI":"10.3389/fpls.2020.610790","ISSN":"1664-462X","abstract":"Gene-editing techniques are becoming powerful tools for modifying target genes in organisms. Although several methods have been reported that detect mutations at targeted loci induced by the CRISPR/Cas system in different organisms, they are semiquantitative and have difficulty in the detection of mutants in processed food samples containing low initial concentrations of DNA and may not accurately quantify editing frequency, especially at very low frequencies in a complex polyploid plant genome. In this study, we developed a duplexed dPCR-based method for the detection and evaluation of gene-editing frequencies in plants. We described the design, performance, accurate quantification, and comparison with other detection systems. The results show that the dPCR-based method is sensitive to different kinds of gene-editing mutations induced by gene-editing. Moreover, the method is applicable to polyploid plants and processed food samples containing low initial concentrations of DNA. Compared with qPCR and NGS-based methods, the dPCR method has a lower limit of detection (LOD) of the editing frequency and a better relationship with the expected editing frequency in detecting the edited region of gene-edited rice samples. Taken together, the duplexed dPCR assay is accurate and precise, and it will be a powerful tool for the detection and evaluation of gene-editing frequencies in plants in gene-editing technology.","author":[{"dropping-particle":"","family":"Peng","given":"Cheng","non-dropping-particle":"","parse-names":false,"suffix":""},{"dropping-particle":"","family":"Zheng","given":"Ming","non-dropping-particle":"","parse-names":false,"suffix":""},{"dropping-particle":"","family":"Ding","given":"Lin","non-dropping-particle":"","parse-names":false,"suffix":""},{"dropping-particle":"","family":"Chen","given":"Xiaoyun","non-dropping-particle":"","parse-names":false,"suffix":""},{"dropping-particle":"","family":"Wang","given":"Xiaofu","non-dropping-particle":"","parse-names":false,"suffix":""},{"dropping-particle":"","family":"Feng","given":"Xuping","non-dropping-particle":"","parse-names":false,"suffix":""},{"dropping-particle":"","family":"Wang","given":"Junmin","non-dropping-particle":"","parse-names":false,"suffix":""},{"dropping-particle":"","family":"Xu","given":"Junfeng","non-dropping-particle":"","parse-names":false,"suffix":""}],"container-title":"Frontiers in Plant Science","id":"ITEM-2","issued":{"date-parts":[["2020","12","14"]]},"title":"Accurate Detection and Evaluation of the Gene-Editing Frequency in Plants Using Droplet Digital PCR","type":"article-journal","volume":"11"},"uris":["http://www.mendeley.com/documents/?uuid=1602bcce-1105-409d-b013-b5b0e698afb6"]}],"mendeley":{"formattedCitation":"(Chhalliyil et al., 2020; Peng et al., 2020)","plainTextFormattedCitation":"(Chhalliyil et al., 2020; Peng et al., 2020)","previouslyFormattedCitation":"(Chhalliyil et al., 2020; Peng et al., 2020)"},"properties":{"noteIndex":0},"schema":"https://github.com/citation-style-language/schema/raw/master/csl-citation.json"}</w:instrText>
      </w:r>
      <w:r w:rsidR="0088780B">
        <w:rPr>
          <w:rFonts w:asciiTheme="majorBidi" w:hAnsiTheme="majorBidi" w:cstheme="majorBidi"/>
          <w:lang w:eastAsia="ar-SA"/>
        </w:rPr>
        <w:fldChar w:fldCharType="separate"/>
      </w:r>
      <w:r w:rsidR="0088780B" w:rsidRPr="0088780B">
        <w:rPr>
          <w:rFonts w:asciiTheme="majorBidi" w:hAnsiTheme="majorBidi" w:cstheme="majorBidi"/>
          <w:noProof/>
          <w:lang w:eastAsia="ar-SA"/>
        </w:rPr>
        <w:t>(Chhalliyil et al., 2020; Peng et al., 2020)</w:t>
      </w:r>
      <w:r w:rsidR="0088780B">
        <w:rPr>
          <w:rFonts w:asciiTheme="majorBidi" w:hAnsiTheme="majorBidi" w:cstheme="majorBidi"/>
          <w:lang w:eastAsia="ar-SA"/>
        </w:rPr>
        <w:fldChar w:fldCharType="end"/>
      </w:r>
      <w:r w:rsidR="00086E6F">
        <w:rPr>
          <w:rFonts w:asciiTheme="majorBidi" w:hAnsiTheme="majorBidi" w:cstheme="majorBidi"/>
          <w:lang w:eastAsia="ar-SA"/>
        </w:rPr>
        <w:t>.</w:t>
      </w:r>
      <w:r w:rsidR="0055241C">
        <w:rPr>
          <w:rFonts w:asciiTheme="majorBidi" w:hAnsiTheme="majorBidi" w:cstheme="majorBidi"/>
          <w:lang w:eastAsia="ar-SA"/>
        </w:rPr>
        <w:t xml:space="preserve"> </w:t>
      </w:r>
      <w:r w:rsidR="006B7088">
        <w:rPr>
          <w:rFonts w:asciiTheme="majorBidi" w:hAnsiTheme="majorBidi" w:cstheme="majorBidi"/>
          <w:lang w:eastAsia="ar-SA"/>
        </w:rPr>
        <w:t>In particula</w:t>
      </w:r>
      <w:r w:rsidR="0055241C">
        <w:rPr>
          <w:rFonts w:asciiTheme="majorBidi" w:hAnsiTheme="majorBidi" w:cstheme="majorBidi"/>
          <w:lang w:eastAsia="ar-SA"/>
        </w:rPr>
        <w:t xml:space="preserve">r, the method for detecting </w:t>
      </w:r>
      <w:r w:rsidR="00B63663">
        <w:rPr>
          <w:rFonts w:asciiTheme="majorBidi" w:hAnsiTheme="majorBidi" w:cstheme="majorBidi"/>
          <w:lang w:eastAsia="ar-SA"/>
        </w:rPr>
        <w:t xml:space="preserve">the </w:t>
      </w:r>
      <w:r w:rsidR="0055241C">
        <w:rPr>
          <w:rFonts w:asciiTheme="majorBidi" w:hAnsiTheme="majorBidi" w:cstheme="majorBidi"/>
          <w:lang w:eastAsia="ar-SA"/>
        </w:rPr>
        <w:t xml:space="preserve">genome edited </w:t>
      </w:r>
      <w:r w:rsidR="00184DDF">
        <w:rPr>
          <w:rFonts w:asciiTheme="majorBidi" w:hAnsiTheme="majorBidi" w:cstheme="majorBidi"/>
          <w:lang w:eastAsia="ar-SA"/>
        </w:rPr>
        <w:t xml:space="preserve">oilseed rape </w:t>
      </w:r>
      <w:r w:rsidR="0055241C">
        <w:rPr>
          <w:rFonts w:asciiTheme="majorBidi" w:hAnsiTheme="majorBidi" w:cstheme="majorBidi"/>
          <w:lang w:eastAsia="ar-SA"/>
        </w:rPr>
        <w:t>demonstrated consistency with ISO170</w:t>
      </w:r>
      <w:r w:rsidR="00B0223C">
        <w:rPr>
          <w:rFonts w:asciiTheme="majorBidi" w:hAnsiTheme="majorBidi" w:cstheme="majorBidi"/>
          <w:lang w:eastAsia="ar-SA"/>
        </w:rPr>
        <w:t>25</w:t>
      </w:r>
      <w:r w:rsidR="00B0223C">
        <w:rPr>
          <w:rStyle w:val="FootnoteReference"/>
          <w:rFonts w:asciiTheme="majorBidi" w:hAnsiTheme="majorBidi" w:cstheme="majorBidi"/>
          <w:lang w:eastAsia="ar-SA"/>
        </w:rPr>
        <w:footnoteReference w:id="35"/>
      </w:r>
      <w:r w:rsidR="00B0223C">
        <w:rPr>
          <w:rFonts w:asciiTheme="majorBidi" w:hAnsiTheme="majorBidi" w:cstheme="majorBidi"/>
          <w:lang w:eastAsia="ar-SA"/>
        </w:rPr>
        <w:t xml:space="preserve"> standards</w:t>
      </w:r>
      <w:r w:rsidR="00CC0302">
        <w:rPr>
          <w:rFonts w:asciiTheme="majorBidi" w:hAnsiTheme="majorBidi" w:cstheme="majorBidi"/>
          <w:lang w:eastAsia="ar-SA"/>
        </w:rPr>
        <w:t xml:space="preserve"> </w:t>
      </w:r>
      <w:r w:rsidR="0088780B">
        <w:rPr>
          <w:rFonts w:asciiTheme="majorBidi" w:hAnsiTheme="majorBidi" w:cstheme="majorBidi"/>
          <w:lang w:eastAsia="ar-SA"/>
        </w:rPr>
        <w:fldChar w:fldCharType="begin" w:fldLock="1"/>
      </w:r>
      <w:r w:rsidR="0088780B">
        <w:rPr>
          <w:rFonts w:asciiTheme="majorBidi" w:hAnsiTheme="majorBidi" w:cstheme="majorBidi"/>
          <w:lang w:eastAsia="ar-SA"/>
        </w:rPr>
        <w:instrText>ADDIN CSL_CITATION {"citationItems":[{"id":"ITEM-1","itemData":{"DOI":"10.3390/foods9091245","ISSN":"2304-8158","abstract":"Discussion regarding the regulatory status of genome-edited crops has focused on precision of editing and on doubts regarding the feasibility of analytical monitoring compliant with existing GMO regulations. Effective detection methods are important, both for regulatory enforcement and traceability in case of biosafety, environmental or socio-economic impacts. Here, we approach the analysis question for the first time in the laboratory and report the successful development of a quantitative PCR detection method for the first commercialized genome-edited crop, a canola with a single base pair edit conferring herbicide tolerance. The method is highly sensitive and specific (quantification limit, 0.05%), compatible with the standards of practice, equipment and expertise typical in GMO laboratories, and readily integrable into their analytical workflows, including use of the matrix approach. The method, validated by an independent laboratory, meets all legal requirements for GMO analytical methods in jurisdictions such as the EU, is consistent with ISO17025 accreditation standards and has been placed in the public domain. Having developed a qPCR method for the most challenging class of genome edits, single-nucleotide variants, this research suggests that qPCR-based method development may be applicable to virtually any genome-edited organism. This advance resolves doubts regarding the feasibility of extending the regulatory approach currently employed for recombinant DNA-based GMOs to genome-edited organisms.","author":[{"dropping-particle":"","family":"Chhalliyil","given":"Pradheep","non-dropping-particle":"","parse-names":false,"suffix":""},{"dropping-particle":"","family":"Ilves","given":"Heini","non-dropping-particle":"","parse-names":false,"suffix":""},{"dropping-particle":"","family":"Kazakov","given":"Sergei A.","non-dropping-particle":"","parse-names":false,"suffix":""},{"dropping-particle":"","family":"Howard","given":"Stephanie J.","non-dropping-particle":"","parse-names":false,"suffix":""},{"dropping-particle":"","family":"Johnston","given":"Brian H.","non-dropping-particle":"","parse-names":false,"suffix":""},{"dropping-particle":"","family":"Fagan","given":"John","non-dropping-particle":"","parse-names":false,"suffix":""}],"container-title":"Foods","id":"ITEM-1","issue":"9","issued":{"date-parts":[["2020","9","7"]]},"page":"1245","title":"A Real-Time Quantitative PCR Method Specific for Detection and Quantification of the First Commercialized Genome-Edited Plant","type":"article-journal","volume":"9"},"uris":["http://www.mendeley.com/documents/?uuid=2a2e2cf0-c71e-44c3-885e-38f1df3d776f"]}],"mendeley":{"formattedCitation":"(Chhalliyil et al., 2020)","plainTextFormattedCitation":"(Chhalliyil et al., 2020)","previouslyFormattedCitation":"(Chhalliyil et al., 2020)"},"properties":{"noteIndex":0},"schema":"https://github.com/citation-style-language/schema/raw/master/csl-citation.json"}</w:instrText>
      </w:r>
      <w:r w:rsidR="0088780B">
        <w:rPr>
          <w:rFonts w:asciiTheme="majorBidi" w:hAnsiTheme="majorBidi" w:cstheme="majorBidi"/>
          <w:lang w:eastAsia="ar-SA"/>
        </w:rPr>
        <w:fldChar w:fldCharType="separate"/>
      </w:r>
      <w:r w:rsidR="0088780B" w:rsidRPr="0088780B">
        <w:rPr>
          <w:rFonts w:asciiTheme="majorBidi" w:hAnsiTheme="majorBidi" w:cstheme="majorBidi"/>
          <w:noProof/>
          <w:lang w:eastAsia="ar-SA"/>
        </w:rPr>
        <w:t>(Chhalliyil et al., 2020)</w:t>
      </w:r>
      <w:r w:rsidR="0088780B">
        <w:rPr>
          <w:rFonts w:asciiTheme="majorBidi" w:hAnsiTheme="majorBidi" w:cstheme="majorBidi"/>
          <w:lang w:eastAsia="ar-SA"/>
        </w:rPr>
        <w:fldChar w:fldCharType="end"/>
      </w:r>
      <w:r w:rsidR="00B0223C">
        <w:rPr>
          <w:rFonts w:asciiTheme="majorBidi" w:hAnsiTheme="majorBidi" w:cstheme="majorBidi"/>
          <w:lang w:eastAsia="ar-SA"/>
        </w:rPr>
        <w:t xml:space="preserve">. </w:t>
      </w:r>
    </w:p>
    <w:p w14:paraId="317B0F11" w14:textId="53E0A454" w:rsidR="008B7DFE" w:rsidRDefault="002E2B14" w:rsidP="00B02E0F">
      <w:pPr>
        <w:spacing w:after="120" w:line="240" w:lineRule="auto"/>
        <w:jc w:val="both"/>
        <w:rPr>
          <w:rFonts w:asciiTheme="majorBidi" w:hAnsiTheme="majorBidi" w:cstheme="majorBidi"/>
          <w:lang w:eastAsia="ar-SA"/>
        </w:rPr>
      </w:pPr>
      <w:r w:rsidRPr="002E2B14">
        <w:rPr>
          <w:rFonts w:asciiTheme="majorBidi" w:hAnsiTheme="majorBidi" w:cstheme="majorBidi"/>
          <w:lang w:eastAsia="ar-SA"/>
        </w:rPr>
        <w:t xml:space="preserve">Should a specific sequence that is different to the reference be detected, it </w:t>
      </w:r>
      <w:r w:rsidR="009545AE">
        <w:rPr>
          <w:rFonts w:asciiTheme="majorBidi" w:hAnsiTheme="majorBidi" w:cstheme="majorBidi"/>
          <w:lang w:eastAsia="ar-SA"/>
        </w:rPr>
        <w:t xml:space="preserve">may </w:t>
      </w:r>
      <w:r w:rsidRPr="002E2B14">
        <w:rPr>
          <w:rFonts w:asciiTheme="majorBidi" w:hAnsiTheme="majorBidi" w:cstheme="majorBidi"/>
          <w:lang w:eastAsia="ar-SA"/>
        </w:rPr>
        <w:t>need to be clarified whether this sequence occurred naturally or whether it was introduced by a genome modification technique. As conventional mutagenesis techniques, such as irradiation or mutagenic chemicals, as well as genome editing applications, do not leave specific imprints in the genome, it may be impossible to identify the technique</w:t>
      </w:r>
      <w:r w:rsidR="006B7088">
        <w:rPr>
          <w:rFonts w:asciiTheme="majorBidi" w:hAnsiTheme="majorBidi" w:cstheme="majorBidi"/>
          <w:lang w:eastAsia="ar-SA"/>
        </w:rPr>
        <w:t xml:space="preserve"> applied</w:t>
      </w:r>
      <w:r w:rsidRPr="002E2B14">
        <w:rPr>
          <w:rFonts w:asciiTheme="majorBidi" w:hAnsiTheme="majorBidi" w:cstheme="majorBidi"/>
          <w:lang w:eastAsia="ar-SA"/>
        </w:rPr>
        <w:t xml:space="preserve"> </w:t>
      </w:r>
      <w:r w:rsidR="005B5C6B">
        <w:rPr>
          <w:rFonts w:asciiTheme="majorBidi" w:hAnsiTheme="majorBidi" w:cstheme="majorBidi"/>
          <w:lang w:eastAsia="ar-SA"/>
        </w:rPr>
        <w:t xml:space="preserve">to </w:t>
      </w:r>
      <w:r w:rsidR="00157512">
        <w:rPr>
          <w:rFonts w:asciiTheme="majorBidi" w:hAnsiTheme="majorBidi" w:cstheme="majorBidi"/>
          <w:lang w:eastAsia="ar-SA"/>
        </w:rPr>
        <w:t>change the</w:t>
      </w:r>
      <w:r w:rsidRPr="002E2B14">
        <w:rPr>
          <w:rFonts w:asciiTheme="majorBidi" w:hAnsiTheme="majorBidi" w:cstheme="majorBidi"/>
          <w:lang w:eastAsia="ar-SA"/>
        </w:rPr>
        <w:t xml:space="preserve"> DNA. After considering the range of molecular options currently available, as well as the extent of data from requisite accompanying documentation e.g. concerning origin and pedigree, </w:t>
      </w:r>
      <w:r w:rsidRPr="003C2B28">
        <w:rPr>
          <w:rFonts w:asciiTheme="majorBidi" w:hAnsiTheme="majorBidi" w:cstheme="majorBidi"/>
          <w:lang w:eastAsia="ar-SA"/>
        </w:rPr>
        <w:t xml:space="preserve">Grohmann et al. </w:t>
      </w:r>
      <w:r w:rsidR="0088780B">
        <w:rPr>
          <w:rFonts w:asciiTheme="majorBidi" w:hAnsiTheme="majorBidi" w:cstheme="majorBidi"/>
          <w:lang w:eastAsia="ar-SA"/>
        </w:rPr>
        <w:fldChar w:fldCharType="begin" w:fldLock="1"/>
      </w:r>
      <w:r w:rsidR="00754079">
        <w:rPr>
          <w:rFonts w:asciiTheme="majorBidi" w:hAnsiTheme="majorBidi" w:cstheme="majorBidi"/>
          <w:lang w:eastAsia="ar-SA"/>
        </w:rPr>
        <w:instrText>ADDIN CSL_CITATION {"citationItems":[{"id":"ITEM-1","itemData":{"DOI":"10.3389/fpls.2019.00236","ISSN":"1664-462X","author":[{"dropping-particle":"","family":"Grohmann","given":"Lutz","non-dropping-particle":"","parse-names":false,"suffix":""},{"dropping-particle":"","family":"Keilwagen","given":"Jens","non-dropping-particle":"","parse-names":false,"suffix":""},{"dropping-particle":"","family":"Duensing","given":"Nina","non-dropping-particle":"","parse-names":false,"suffix":""},{"dropping-particle":"","family":"Dagand","given":"Emilie","non-dropping-particle":"","parse-names":false,"suffix":""},{"dropping-particle":"","family":"Hartung","given":"Frank","non-dropping-particle":"","parse-names":false,"suffix":""},{"dropping-particle":"","family":"Wilhelm","given":"Ralf","non-dropping-particle":"","parse-names":false,"suffix":""},{"dropping-particle":"","family":"Bendiek","given":"Joachim","non-dropping-particle":"","parse-names":false,"suffix":""},{"dropping-particle":"","family":"Sprink","given":"Thorben","non-dropping-particle":"","parse-names":false,"suffix":""}],"container-title":"Frontiers in Plant Science","id":"ITEM-1","issued":{"date-parts":[["2019","3","12"]]},"title":"Detection and Identification of Genome Editing in Plants: Challenges and Opportunities","type":"article-journal","volume":"10"},"uris":["http://www.mendeley.com/documents/?uuid=3ef28ffe-ae9e-4d07-9e8b-8a2ea23f1cc2"]}],"mendeley":{"formattedCitation":"(Grohmann et al., 2019)","manualFormatting":"(2019)","plainTextFormattedCitation":"(Grohmann et al., 2019)","previouslyFormattedCitation":"(Grohmann et al., 2019)"},"properties":{"noteIndex":0},"schema":"https://github.com/citation-style-language/schema/raw/master/csl-citation.json"}</w:instrText>
      </w:r>
      <w:r w:rsidR="0088780B">
        <w:rPr>
          <w:rFonts w:asciiTheme="majorBidi" w:hAnsiTheme="majorBidi" w:cstheme="majorBidi"/>
          <w:lang w:eastAsia="ar-SA"/>
        </w:rPr>
        <w:fldChar w:fldCharType="separate"/>
      </w:r>
      <w:r w:rsidR="0088780B" w:rsidRPr="0088780B">
        <w:rPr>
          <w:rFonts w:asciiTheme="majorBidi" w:hAnsiTheme="majorBidi" w:cstheme="majorBidi"/>
          <w:noProof/>
          <w:lang w:eastAsia="ar-SA"/>
        </w:rPr>
        <w:t>(2019)</w:t>
      </w:r>
      <w:r w:rsidR="0088780B">
        <w:rPr>
          <w:rFonts w:asciiTheme="majorBidi" w:hAnsiTheme="majorBidi" w:cstheme="majorBidi"/>
          <w:lang w:eastAsia="ar-SA"/>
        </w:rPr>
        <w:fldChar w:fldCharType="end"/>
      </w:r>
      <w:r w:rsidRPr="003C2B28">
        <w:rPr>
          <w:rFonts w:asciiTheme="majorBidi" w:hAnsiTheme="majorBidi" w:cstheme="majorBidi"/>
          <w:lang w:eastAsia="ar-SA"/>
        </w:rPr>
        <w:t xml:space="preserve"> concluded that the </w:t>
      </w:r>
      <w:r w:rsidRPr="00F5152B">
        <w:rPr>
          <w:rFonts w:asciiTheme="majorBidi" w:hAnsiTheme="majorBidi" w:cstheme="majorBidi"/>
          <w:lang w:eastAsia="ar-SA"/>
        </w:rPr>
        <w:t xml:space="preserve">identification of specific genotypes in heterogeneous samples (commodities) </w:t>
      </w:r>
      <w:r w:rsidR="00FC52CE" w:rsidRPr="00B40F90">
        <w:rPr>
          <w:rFonts w:asciiTheme="majorBidi" w:hAnsiTheme="majorBidi" w:cstheme="majorBidi"/>
          <w:lang w:eastAsia="ar-SA"/>
        </w:rPr>
        <w:t>could</w:t>
      </w:r>
      <w:r w:rsidR="00FC52CE" w:rsidRPr="003C2B28">
        <w:rPr>
          <w:rFonts w:asciiTheme="majorBidi" w:hAnsiTheme="majorBidi" w:cstheme="majorBidi"/>
          <w:lang w:eastAsia="ar-SA"/>
        </w:rPr>
        <w:t xml:space="preserve"> </w:t>
      </w:r>
      <w:r w:rsidRPr="003C2B28">
        <w:rPr>
          <w:rFonts w:asciiTheme="majorBidi" w:hAnsiTheme="majorBidi" w:cstheme="majorBidi"/>
          <w:lang w:eastAsia="ar-SA"/>
        </w:rPr>
        <w:t xml:space="preserve">be </w:t>
      </w:r>
      <w:r w:rsidRPr="00F5152B">
        <w:rPr>
          <w:rFonts w:asciiTheme="majorBidi" w:hAnsiTheme="majorBidi" w:cstheme="majorBidi"/>
          <w:lang w:eastAsia="ar-SA"/>
        </w:rPr>
        <w:t>expensive</w:t>
      </w:r>
      <w:r w:rsidR="00FC52CE" w:rsidRPr="001C6032">
        <w:rPr>
          <w:rFonts w:asciiTheme="majorBidi" w:hAnsiTheme="majorBidi" w:cstheme="majorBidi"/>
          <w:lang w:eastAsia="ar-SA"/>
        </w:rPr>
        <w:t>,</w:t>
      </w:r>
      <w:r w:rsidRPr="003C2B28">
        <w:rPr>
          <w:rFonts w:asciiTheme="majorBidi" w:hAnsiTheme="majorBidi" w:cstheme="majorBidi"/>
          <w:lang w:eastAsia="ar-SA"/>
        </w:rPr>
        <w:t xml:space="preserve"> ti</w:t>
      </w:r>
      <w:r w:rsidRPr="00F5152B">
        <w:rPr>
          <w:rFonts w:asciiTheme="majorBidi" w:hAnsiTheme="majorBidi" w:cstheme="majorBidi"/>
          <w:lang w:eastAsia="ar-SA"/>
        </w:rPr>
        <w:t>me consuming,</w:t>
      </w:r>
      <w:r w:rsidR="00F5152B">
        <w:rPr>
          <w:rFonts w:asciiTheme="majorBidi" w:hAnsiTheme="majorBidi" w:cstheme="majorBidi"/>
          <w:lang w:eastAsia="ar-SA"/>
        </w:rPr>
        <w:t xml:space="preserve"> and</w:t>
      </w:r>
      <w:r w:rsidRPr="00F5152B">
        <w:rPr>
          <w:rFonts w:asciiTheme="majorBidi" w:hAnsiTheme="majorBidi" w:cstheme="majorBidi"/>
          <w:lang w:eastAsia="ar-SA"/>
        </w:rPr>
        <w:t xml:space="preserve"> </w:t>
      </w:r>
      <w:r w:rsidR="003C2B28" w:rsidRPr="00851A43">
        <w:rPr>
          <w:rFonts w:asciiTheme="majorBidi" w:hAnsiTheme="majorBidi" w:cstheme="majorBidi"/>
          <w:lang w:eastAsia="ar-SA"/>
        </w:rPr>
        <w:t xml:space="preserve">technically challenging </w:t>
      </w:r>
      <w:r w:rsidR="00F5152B">
        <w:rPr>
          <w:rFonts w:asciiTheme="majorBidi" w:hAnsiTheme="majorBidi" w:cstheme="majorBidi"/>
          <w:lang w:eastAsia="ar-SA"/>
        </w:rPr>
        <w:t xml:space="preserve">(potentially impossible) </w:t>
      </w:r>
      <w:r w:rsidR="003C2B28" w:rsidRPr="00851A43">
        <w:rPr>
          <w:rFonts w:asciiTheme="majorBidi" w:hAnsiTheme="majorBidi" w:cstheme="majorBidi"/>
          <w:lang w:eastAsia="ar-SA"/>
        </w:rPr>
        <w:t xml:space="preserve">due to the </w:t>
      </w:r>
      <w:r w:rsidR="003C2B28" w:rsidRPr="001C6032">
        <w:rPr>
          <w:rFonts w:asciiTheme="majorBidi" w:hAnsiTheme="majorBidi" w:cstheme="majorBidi"/>
          <w:lang w:eastAsia="ar-SA"/>
        </w:rPr>
        <w:t>likely</w:t>
      </w:r>
      <w:r w:rsidRPr="003C2B28">
        <w:rPr>
          <w:rFonts w:asciiTheme="majorBidi" w:hAnsiTheme="majorBidi" w:cstheme="majorBidi"/>
          <w:lang w:eastAsia="ar-SA"/>
        </w:rPr>
        <w:t xml:space="preserve"> rel</w:t>
      </w:r>
      <w:r w:rsidR="003C2B28" w:rsidRPr="001C6032">
        <w:rPr>
          <w:rFonts w:asciiTheme="majorBidi" w:hAnsiTheme="majorBidi" w:cstheme="majorBidi"/>
          <w:lang w:eastAsia="ar-SA"/>
        </w:rPr>
        <w:t>iance</w:t>
      </w:r>
      <w:r w:rsidRPr="003C2B28">
        <w:rPr>
          <w:rFonts w:asciiTheme="majorBidi" w:hAnsiTheme="majorBidi" w:cstheme="majorBidi"/>
          <w:lang w:eastAsia="ar-SA"/>
        </w:rPr>
        <w:t xml:space="preserve"> on whole </w:t>
      </w:r>
      <w:r w:rsidRPr="00F5152B">
        <w:rPr>
          <w:rFonts w:asciiTheme="majorBidi" w:hAnsiTheme="majorBidi" w:cstheme="majorBidi"/>
          <w:lang w:eastAsia="ar-SA"/>
        </w:rPr>
        <w:t>genome sequencing</w:t>
      </w:r>
      <w:r w:rsidR="00847A45">
        <w:rPr>
          <w:rFonts w:asciiTheme="majorBidi" w:hAnsiTheme="majorBidi" w:cstheme="majorBidi"/>
          <w:lang w:eastAsia="ar-SA"/>
        </w:rPr>
        <w:t xml:space="preserve"> and complexity of certain plant genomes</w:t>
      </w:r>
      <w:r w:rsidRPr="00F5152B">
        <w:rPr>
          <w:rFonts w:asciiTheme="majorBidi" w:hAnsiTheme="majorBidi" w:cstheme="majorBidi"/>
          <w:lang w:eastAsia="ar-SA"/>
        </w:rPr>
        <w:t>.</w:t>
      </w:r>
      <w:r w:rsidRPr="002E2B14">
        <w:rPr>
          <w:rFonts w:asciiTheme="majorBidi" w:hAnsiTheme="majorBidi" w:cstheme="majorBidi"/>
          <w:lang w:eastAsia="ar-SA"/>
        </w:rPr>
        <w:t xml:space="preserve"> </w:t>
      </w:r>
      <w:r w:rsidR="00245371">
        <w:rPr>
          <w:rFonts w:asciiTheme="majorBidi" w:hAnsiTheme="majorBidi" w:cstheme="majorBidi"/>
          <w:lang w:eastAsia="ar-SA"/>
        </w:rPr>
        <w:t>T</w:t>
      </w:r>
      <w:r w:rsidR="00656115">
        <w:rPr>
          <w:rFonts w:asciiTheme="majorBidi" w:hAnsiTheme="majorBidi" w:cstheme="majorBidi"/>
          <w:lang w:eastAsia="ar-SA"/>
        </w:rPr>
        <w:t>hus</w:t>
      </w:r>
      <w:r w:rsidR="00040183">
        <w:rPr>
          <w:rFonts w:asciiTheme="majorBidi" w:hAnsiTheme="majorBidi" w:cstheme="majorBidi"/>
          <w:lang w:eastAsia="ar-SA"/>
        </w:rPr>
        <w:t>,</w:t>
      </w:r>
      <w:r w:rsidR="00656115">
        <w:rPr>
          <w:rFonts w:asciiTheme="majorBidi" w:hAnsiTheme="majorBidi" w:cstheme="majorBidi"/>
          <w:lang w:eastAsia="ar-SA"/>
        </w:rPr>
        <w:t xml:space="preserve"> to</w:t>
      </w:r>
      <w:r w:rsidR="00245371">
        <w:rPr>
          <w:rFonts w:asciiTheme="majorBidi" w:hAnsiTheme="majorBidi" w:cstheme="majorBidi"/>
          <w:lang w:eastAsia="ar-SA"/>
        </w:rPr>
        <w:t xml:space="preserve"> assist with</w:t>
      </w:r>
      <w:r w:rsidR="001F5A90">
        <w:rPr>
          <w:rFonts w:asciiTheme="majorBidi" w:hAnsiTheme="majorBidi" w:cstheme="majorBidi"/>
          <w:lang w:eastAsia="ar-SA"/>
        </w:rPr>
        <w:t xml:space="preserve"> some of these complexities</w:t>
      </w:r>
      <w:r w:rsidR="003C2B28">
        <w:rPr>
          <w:rFonts w:asciiTheme="majorBidi" w:hAnsiTheme="majorBidi" w:cstheme="majorBidi"/>
          <w:lang w:eastAsia="ar-SA"/>
        </w:rPr>
        <w:t xml:space="preserve">, it was suggested that </w:t>
      </w:r>
      <w:r w:rsidR="006627D5">
        <w:rPr>
          <w:rFonts w:asciiTheme="majorBidi" w:hAnsiTheme="majorBidi" w:cstheme="majorBidi"/>
          <w:lang w:eastAsia="ar-SA"/>
        </w:rPr>
        <w:t>there could be a need for a</w:t>
      </w:r>
      <w:r w:rsidR="00F10B75">
        <w:rPr>
          <w:rFonts w:asciiTheme="majorBidi" w:hAnsiTheme="majorBidi" w:cstheme="majorBidi"/>
          <w:lang w:eastAsia="ar-SA"/>
        </w:rPr>
        <w:t>n anticipatory</w:t>
      </w:r>
      <w:r w:rsidR="006627D5">
        <w:rPr>
          <w:rFonts w:asciiTheme="majorBidi" w:hAnsiTheme="majorBidi" w:cstheme="majorBidi"/>
          <w:lang w:eastAsia="ar-SA"/>
        </w:rPr>
        <w:t xml:space="preserve"> framework to exchange data </w:t>
      </w:r>
      <w:r w:rsidR="002A5263">
        <w:rPr>
          <w:rFonts w:asciiTheme="majorBidi" w:hAnsiTheme="majorBidi" w:cstheme="majorBidi"/>
          <w:lang w:eastAsia="ar-SA"/>
        </w:rPr>
        <w:t xml:space="preserve">and </w:t>
      </w:r>
      <w:r w:rsidR="00986604">
        <w:rPr>
          <w:rFonts w:asciiTheme="majorBidi" w:hAnsiTheme="majorBidi" w:cstheme="majorBidi"/>
          <w:lang w:eastAsia="ar-SA"/>
        </w:rPr>
        <w:t xml:space="preserve">exercise </w:t>
      </w:r>
      <w:r w:rsidR="00416B7F">
        <w:rPr>
          <w:rFonts w:asciiTheme="majorBidi" w:hAnsiTheme="majorBidi" w:cstheme="majorBidi"/>
          <w:lang w:eastAsia="ar-SA"/>
        </w:rPr>
        <w:t xml:space="preserve">(voluntary) </w:t>
      </w:r>
      <w:r w:rsidR="00986604">
        <w:rPr>
          <w:rFonts w:asciiTheme="majorBidi" w:hAnsiTheme="majorBidi" w:cstheme="majorBidi"/>
          <w:lang w:eastAsia="ar-SA"/>
        </w:rPr>
        <w:t xml:space="preserve">information </w:t>
      </w:r>
      <w:r w:rsidR="002A5263">
        <w:rPr>
          <w:rFonts w:asciiTheme="majorBidi" w:hAnsiTheme="majorBidi" w:cstheme="majorBidi"/>
          <w:lang w:eastAsia="ar-SA"/>
        </w:rPr>
        <w:t xml:space="preserve">disclosure </w:t>
      </w:r>
      <w:r w:rsidR="00986604">
        <w:rPr>
          <w:rFonts w:asciiTheme="majorBidi" w:hAnsiTheme="majorBidi" w:cstheme="majorBidi"/>
          <w:lang w:eastAsia="ar-SA"/>
        </w:rPr>
        <w:t xml:space="preserve">practices </w:t>
      </w:r>
      <w:r w:rsidR="00E053A5">
        <w:rPr>
          <w:rFonts w:asciiTheme="majorBidi" w:hAnsiTheme="majorBidi" w:cstheme="majorBidi"/>
          <w:lang w:eastAsia="ar-SA"/>
        </w:rPr>
        <w:t xml:space="preserve">to </w:t>
      </w:r>
      <w:r w:rsidR="00416B7F">
        <w:rPr>
          <w:rFonts w:asciiTheme="majorBidi" w:hAnsiTheme="majorBidi" w:cstheme="majorBidi"/>
          <w:lang w:eastAsia="ar-SA"/>
        </w:rPr>
        <w:t xml:space="preserve">establish sufficient information </w:t>
      </w:r>
      <w:r w:rsidR="00986604">
        <w:rPr>
          <w:rFonts w:asciiTheme="majorBidi" w:hAnsiTheme="majorBidi" w:cstheme="majorBidi"/>
          <w:lang w:eastAsia="ar-SA"/>
        </w:rPr>
        <w:t xml:space="preserve">for </w:t>
      </w:r>
      <w:r w:rsidR="00416B7F">
        <w:rPr>
          <w:rFonts w:asciiTheme="majorBidi" w:hAnsiTheme="majorBidi" w:cstheme="majorBidi"/>
          <w:lang w:eastAsia="ar-SA"/>
        </w:rPr>
        <w:t>identify</w:t>
      </w:r>
      <w:r w:rsidR="00986604">
        <w:rPr>
          <w:rFonts w:asciiTheme="majorBidi" w:hAnsiTheme="majorBidi" w:cstheme="majorBidi"/>
          <w:lang w:eastAsia="ar-SA"/>
        </w:rPr>
        <w:t>ing</w:t>
      </w:r>
      <w:r w:rsidR="00416B7F">
        <w:rPr>
          <w:rFonts w:asciiTheme="majorBidi" w:hAnsiTheme="majorBidi" w:cstheme="majorBidi"/>
          <w:lang w:eastAsia="ar-SA"/>
        </w:rPr>
        <w:t xml:space="preserve"> </w:t>
      </w:r>
      <w:r w:rsidR="00B40745">
        <w:rPr>
          <w:rFonts w:asciiTheme="majorBidi" w:hAnsiTheme="majorBidi" w:cstheme="majorBidi"/>
          <w:lang w:eastAsia="ar-SA"/>
        </w:rPr>
        <w:t xml:space="preserve">specific </w:t>
      </w:r>
      <w:r w:rsidR="00B02E0F">
        <w:rPr>
          <w:rFonts w:asciiTheme="majorBidi" w:hAnsiTheme="majorBidi" w:cstheme="majorBidi"/>
          <w:lang w:eastAsia="ar-SA"/>
        </w:rPr>
        <w:t>genome-edited products</w:t>
      </w:r>
      <w:r w:rsidR="00B40745">
        <w:rPr>
          <w:rFonts w:asciiTheme="majorBidi" w:hAnsiTheme="majorBidi" w:cstheme="majorBidi"/>
          <w:lang w:eastAsia="ar-SA"/>
        </w:rPr>
        <w:t xml:space="preserve">, </w:t>
      </w:r>
      <w:r w:rsidR="00F10B75">
        <w:rPr>
          <w:rFonts w:asciiTheme="majorBidi" w:hAnsiTheme="majorBidi" w:cstheme="majorBidi"/>
          <w:lang w:eastAsia="ar-SA"/>
        </w:rPr>
        <w:t>if</w:t>
      </w:r>
      <w:r w:rsidR="002266BD">
        <w:rPr>
          <w:rFonts w:asciiTheme="majorBidi" w:hAnsiTheme="majorBidi" w:cstheme="majorBidi"/>
          <w:lang w:eastAsia="ar-SA"/>
        </w:rPr>
        <w:t xml:space="preserve"> </w:t>
      </w:r>
      <w:r w:rsidR="00B02E0F">
        <w:rPr>
          <w:rFonts w:asciiTheme="majorBidi" w:hAnsiTheme="majorBidi" w:cstheme="majorBidi"/>
          <w:lang w:eastAsia="ar-SA"/>
        </w:rPr>
        <w:t xml:space="preserve">such organisms </w:t>
      </w:r>
      <w:r w:rsidR="007E4251">
        <w:rPr>
          <w:rFonts w:asciiTheme="majorBidi" w:hAnsiTheme="majorBidi" w:cstheme="majorBidi"/>
          <w:lang w:eastAsia="ar-SA"/>
        </w:rPr>
        <w:t xml:space="preserve">were </w:t>
      </w:r>
      <w:r w:rsidR="002266BD">
        <w:rPr>
          <w:rFonts w:asciiTheme="majorBidi" w:hAnsiTheme="majorBidi" w:cstheme="majorBidi"/>
          <w:lang w:eastAsia="ar-SA"/>
        </w:rPr>
        <w:t>regulated</w:t>
      </w:r>
      <w:r w:rsidR="006C0DA7">
        <w:rPr>
          <w:rFonts w:asciiTheme="majorBidi" w:hAnsiTheme="majorBidi" w:cstheme="majorBidi"/>
          <w:lang w:eastAsia="ar-SA"/>
        </w:rPr>
        <w:t xml:space="preserve"> </w:t>
      </w:r>
      <w:r w:rsidR="00754079">
        <w:rPr>
          <w:rFonts w:asciiTheme="majorBidi" w:hAnsiTheme="majorBidi" w:cstheme="majorBidi"/>
          <w:lang w:eastAsia="ar-SA"/>
        </w:rPr>
        <w:fldChar w:fldCharType="begin" w:fldLock="1"/>
      </w:r>
      <w:r w:rsidR="00754079">
        <w:rPr>
          <w:rFonts w:asciiTheme="majorBidi" w:hAnsiTheme="majorBidi" w:cstheme="majorBidi"/>
          <w:lang w:eastAsia="ar-SA"/>
        </w:rPr>
        <w:instrText>ADDIN CSL_CITATION {"citationItems":[{"id":"ITEM-1","itemData":{"DOI":"10.3390/foods10020430","ISSN":"2304-8158","abstract":"It is difficult to trace and identify genome-edited food and feed products if relevant information is not made available to competent authorities. This results in major challenges, as genetically modified organism (GMO) regulatory frameworks for food and feed that apply to countries such as the member states of the European Union (EU) require enforcement based on detection. An international anticipatory detection and identification framework for voluntary collaboration and collation of disclosed information on genome-edited plants could be a valuable tool to address these challenges caused by data gaps. Scrutinizing different information sources and establishing a level of information that is sufficient to unambiguously conclude on the application of genome editing in the plant breeding process can support the identification of genome-edited products by complementing the results of analytical detection. International coordination to set up an appropriate state-of-the-art database is recommended to overcome the difficulty caused by the non-harmonized bio-safety regulation requirements of genome-edited food and feed products in various countries. This approach helps to avoid trade disruptions and to facilitate GMO/non-GMO labeling schemes. Implementation of the legal requirements for genome-edited food and feed products in the EU and elsewhere would substantially benefit from such an anticipatory framework.","author":[{"dropping-particle":"","family":"Ribarits","given":"Alexandra","non-dropping-particle":"","parse-names":false,"suffix":""},{"dropping-particle":"","family":"Eckerstorfer","given":"Michael","non-dropping-particle":"","parse-names":false,"suffix":""},{"dropping-particle":"","family":"Simon","given":"Samson","non-dropping-particle":"","parse-names":false,"suffix":""},{"dropping-particle":"","family":"Stepanek","given":"Walter","non-dropping-particle":"","parse-names":false,"suffix":""}],"container-title":"Foods","id":"ITEM-1","issue":"2","issued":{"date-parts":[["2021","2","16"]]},"page":"430","title":"Genome-Edited Plants: Opportunities and Challenges for an Anticipatory Detection and Identification Framework","type":"article-journal","volume":"10"},"uris":["http://www.mendeley.com/documents/?uuid=3f20f2be-ed95-4c1f-9632-e55f88d5f2e8"]}],"mendeley":{"formattedCitation":"(Ribarits et al., 2021)","plainTextFormattedCitation":"(Ribarits et al., 2021)","previouslyFormattedCitation":"(Ribarits et al., 2021)"},"properties":{"noteIndex":0},"schema":"https://github.com/citation-style-language/schema/raw/master/csl-citation.json"}</w:instrText>
      </w:r>
      <w:r w:rsidR="00754079">
        <w:rPr>
          <w:rFonts w:asciiTheme="majorBidi" w:hAnsiTheme="majorBidi" w:cstheme="majorBidi"/>
          <w:lang w:eastAsia="ar-SA"/>
        </w:rPr>
        <w:fldChar w:fldCharType="separate"/>
      </w:r>
      <w:r w:rsidR="00754079" w:rsidRPr="00754079">
        <w:rPr>
          <w:rFonts w:asciiTheme="majorBidi" w:hAnsiTheme="majorBidi" w:cstheme="majorBidi"/>
          <w:noProof/>
          <w:lang w:eastAsia="ar-SA"/>
        </w:rPr>
        <w:t>(Ribarits et al., 2021)</w:t>
      </w:r>
      <w:r w:rsidR="00754079">
        <w:rPr>
          <w:rFonts w:asciiTheme="majorBidi" w:hAnsiTheme="majorBidi" w:cstheme="majorBidi"/>
          <w:lang w:eastAsia="ar-SA"/>
        </w:rPr>
        <w:fldChar w:fldCharType="end"/>
      </w:r>
      <w:r w:rsidR="002266BD">
        <w:rPr>
          <w:rFonts w:asciiTheme="majorBidi" w:hAnsiTheme="majorBidi" w:cstheme="majorBidi"/>
          <w:lang w:eastAsia="ar-SA"/>
        </w:rPr>
        <w:t>.</w:t>
      </w:r>
      <w:r w:rsidR="008C7F18">
        <w:rPr>
          <w:rFonts w:asciiTheme="majorBidi" w:hAnsiTheme="majorBidi" w:cstheme="majorBidi"/>
          <w:lang w:eastAsia="ar-SA"/>
        </w:rPr>
        <w:t xml:space="preserve"> Others</w:t>
      </w:r>
      <w:r w:rsidR="001D6B6B">
        <w:rPr>
          <w:rFonts w:asciiTheme="majorBidi" w:hAnsiTheme="majorBidi" w:cstheme="majorBidi"/>
          <w:lang w:eastAsia="ar-SA"/>
        </w:rPr>
        <w:t>,</w:t>
      </w:r>
      <w:r w:rsidR="008C7F18">
        <w:rPr>
          <w:rFonts w:asciiTheme="majorBidi" w:hAnsiTheme="majorBidi" w:cstheme="majorBidi"/>
          <w:lang w:eastAsia="ar-SA"/>
        </w:rPr>
        <w:t xml:space="preserve"> </w:t>
      </w:r>
      <w:r w:rsidR="00DC5AE7">
        <w:rPr>
          <w:rFonts w:asciiTheme="majorBidi" w:hAnsiTheme="majorBidi" w:cstheme="majorBidi"/>
          <w:lang w:eastAsia="ar-SA"/>
        </w:rPr>
        <w:t>however</w:t>
      </w:r>
      <w:r w:rsidR="001D6B6B">
        <w:rPr>
          <w:rFonts w:asciiTheme="majorBidi" w:hAnsiTheme="majorBidi" w:cstheme="majorBidi"/>
          <w:lang w:eastAsia="ar-SA"/>
        </w:rPr>
        <w:t>,</w:t>
      </w:r>
      <w:r w:rsidR="00DC5AE7">
        <w:rPr>
          <w:rFonts w:asciiTheme="majorBidi" w:hAnsiTheme="majorBidi" w:cstheme="majorBidi"/>
          <w:lang w:eastAsia="ar-SA"/>
        </w:rPr>
        <w:t xml:space="preserve"> </w:t>
      </w:r>
      <w:r w:rsidR="009204A7">
        <w:rPr>
          <w:rFonts w:asciiTheme="majorBidi" w:hAnsiTheme="majorBidi" w:cstheme="majorBidi"/>
          <w:lang w:eastAsia="ar-SA"/>
        </w:rPr>
        <w:t>consider t</w:t>
      </w:r>
      <w:r w:rsidR="009204A7" w:rsidRPr="009204A7">
        <w:rPr>
          <w:rFonts w:asciiTheme="majorBidi" w:hAnsiTheme="majorBidi" w:cstheme="majorBidi"/>
          <w:lang w:eastAsia="ar-SA"/>
        </w:rPr>
        <w:t xml:space="preserve">he technological problems </w:t>
      </w:r>
      <w:r w:rsidR="009204A7">
        <w:rPr>
          <w:rFonts w:asciiTheme="majorBidi" w:hAnsiTheme="majorBidi" w:cstheme="majorBidi"/>
          <w:lang w:eastAsia="ar-SA"/>
        </w:rPr>
        <w:t xml:space="preserve">to be </w:t>
      </w:r>
      <w:r w:rsidR="009204A7" w:rsidRPr="009204A7">
        <w:rPr>
          <w:rFonts w:asciiTheme="majorBidi" w:hAnsiTheme="majorBidi" w:cstheme="majorBidi"/>
          <w:lang w:eastAsia="ar-SA"/>
        </w:rPr>
        <w:t>surmountable</w:t>
      </w:r>
      <w:r w:rsidR="001D6B6B">
        <w:rPr>
          <w:rFonts w:asciiTheme="majorBidi" w:hAnsiTheme="majorBidi" w:cstheme="majorBidi"/>
          <w:lang w:eastAsia="ar-SA"/>
        </w:rPr>
        <w:t xml:space="preserve"> should there be the </w:t>
      </w:r>
      <w:r w:rsidR="009204A7" w:rsidRPr="009204A7">
        <w:rPr>
          <w:rFonts w:asciiTheme="majorBidi" w:hAnsiTheme="majorBidi" w:cstheme="majorBidi"/>
          <w:lang w:eastAsia="ar-SA"/>
        </w:rPr>
        <w:t>political will to do so</w:t>
      </w:r>
      <w:r w:rsidR="001D6B6B">
        <w:rPr>
          <w:rFonts w:asciiTheme="majorBidi" w:hAnsiTheme="majorBidi" w:cstheme="majorBidi"/>
          <w:lang w:eastAsia="ar-SA"/>
        </w:rPr>
        <w:t xml:space="preserve"> </w:t>
      </w:r>
      <w:r w:rsidR="00754079">
        <w:rPr>
          <w:rFonts w:asciiTheme="majorBidi" w:hAnsiTheme="majorBidi" w:cstheme="majorBidi"/>
          <w:lang w:eastAsia="ar-SA"/>
        </w:rPr>
        <w:fldChar w:fldCharType="begin" w:fldLock="1"/>
      </w:r>
      <w:r w:rsidR="00754079">
        <w:rPr>
          <w:rFonts w:asciiTheme="majorBidi" w:hAnsiTheme="majorBidi" w:cstheme="majorBidi"/>
          <w:lang w:eastAsia="ar-SA"/>
        </w:rPr>
        <w:instrText>ADDIN CSL_CITATION {"citationItems":[{"id":"ITEM-1","itemData":{"DOI":"10.1186/s12302-020-00361-2","ISSN":"2190-4707","author":[{"dropping-particle":"","family":"Kawall","given":"Katharina","non-dropping-particle":"","parse-names":false,"suffix":""},{"dropping-particle":"","family":"Cotter","given":"Janet","non-dropping-particle":"","parse-names":false,"suffix":""},{"dropping-particle":"","family":"Then","given":"Christoph","non-dropping-particle":"","parse-names":false,"suffix":""}],"container-title":"Environmental Sciences Europe","id":"ITEM-1","issue":"1","issued":{"date-parts":[["2020","12","11"]]},"page":"106","title":"Broadening the GMO risk assessment in the EU for genome editing technologies in agriculture","type":"article-journal","volume":"32"},"uris":["http://www.mendeley.com/documents/?uuid=be787a49-8617-4d3b-9cba-c5be2155e8f4"]}],"mendeley":{"formattedCitation":"(Kawall et al., 2020)","plainTextFormattedCitation":"(Kawall et al., 2020)","previouslyFormattedCitation":"(Kawall et al., 2020)"},"properties":{"noteIndex":0},"schema":"https://github.com/citation-style-language/schema/raw/master/csl-citation.json"}</w:instrText>
      </w:r>
      <w:r w:rsidR="00754079">
        <w:rPr>
          <w:rFonts w:asciiTheme="majorBidi" w:hAnsiTheme="majorBidi" w:cstheme="majorBidi"/>
          <w:lang w:eastAsia="ar-SA"/>
        </w:rPr>
        <w:fldChar w:fldCharType="separate"/>
      </w:r>
      <w:r w:rsidR="00754079" w:rsidRPr="00754079">
        <w:rPr>
          <w:rFonts w:asciiTheme="majorBidi" w:hAnsiTheme="majorBidi" w:cstheme="majorBidi"/>
          <w:noProof/>
          <w:lang w:eastAsia="ar-SA"/>
        </w:rPr>
        <w:t>(Kawall et al., 2020)</w:t>
      </w:r>
      <w:r w:rsidR="00754079">
        <w:rPr>
          <w:rFonts w:asciiTheme="majorBidi" w:hAnsiTheme="majorBidi" w:cstheme="majorBidi"/>
          <w:lang w:eastAsia="ar-SA"/>
        </w:rPr>
        <w:fldChar w:fldCharType="end"/>
      </w:r>
      <w:r w:rsidR="009204A7" w:rsidRPr="009204A7">
        <w:rPr>
          <w:rFonts w:asciiTheme="majorBidi" w:hAnsiTheme="majorBidi" w:cstheme="majorBidi"/>
          <w:lang w:eastAsia="ar-SA"/>
        </w:rPr>
        <w:t>.</w:t>
      </w:r>
    </w:p>
    <w:p w14:paraId="7CDE1F26" w14:textId="497B7398" w:rsidR="00694D90" w:rsidRDefault="009510C6" w:rsidP="003646C1">
      <w:pPr>
        <w:spacing w:after="120" w:line="240" w:lineRule="auto"/>
        <w:jc w:val="both"/>
        <w:rPr>
          <w:rFonts w:asciiTheme="majorBidi" w:hAnsiTheme="majorBidi" w:cstheme="majorBidi"/>
          <w:lang w:eastAsia="ar-SA"/>
        </w:rPr>
      </w:pPr>
      <w:r>
        <w:rPr>
          <w:rFonts w:asciiTheme="majorBidi" w:hAnsiTheme="majorBidi" w:cstheme="majorBidi"/>
          <w:lang w:eastAsia="ar-SA"/>
        </w:rPr>
        <w:t xml:space="preserve">For organisms produced through other types of synthetic biology tools, </w:t>
      </w:r>
      <w:r w:rsidR="008B7DFE" w:rsidRPr="00865385">
        <w:rPr>
          <w:rFonts w:asciiTheme="majorBidi" w:hAnsiTheme="majorBidi" w:cstheme="majorBidi"/>
          <w:lang w:eastAsia="ar-SA"/>
        </w:rPr>
        <w:t xml:space="preserve">DNA watermarks or barcodes, i.e., unique synthetic DNA sequences embedded in multiple loci of synthetic genomes, </w:t>
      </w:r>
      <w:r w:rsidR="008B7DFE">
        <w:rPr>
          <w:rFonts w:asciiTheme="majorBidi" w:hAnsiTheme="majorBidi" w:cstheme="majorBidi"/>
          <w:lang w:eastAsia="ar-SA"/>
        </w:rPr>
        <w:t xml:space="preserve">were originally proposed </w:t>
      </w:r>
      <w:r w:rsidR="008B7DFE" w:rsidRPr="00865385">
        <w:rPr>
          <w:rFonts w:asciiTheme="majorBidi" w:hAnsiTheme="majorBidi" w:cstheme="majorBidi"/>
          <w:lang w:eastAsia="ar-SA"/>
        </w:rPr>
        <w:t>for isolating or identifying and tracking synthetic organisms</w:t>
      </w:r>
      <w:r w:rsidR="008B7DFE">
        <w:rPr>
          <w:rFonts w:asciiTheme="majorBidi" w:hAnsiTheme="majorBidi" w:cstheme="majorBidi"/>
          <w:lang w:eastAsia="ar-SA"/>
        </w:rPr>
        <w:t xml:space="preserve">, especially microbes </w:t>
      </w:r>
      <w:r w:rsidR="00031D83" w:rsidRPr="00EB320D">
        <w:rPr>
          <w:rFonts w:asciiTheme="majorBidi" w:hAnsiTheme="majorBidi" w:cstheme="majorBidi"/>
          <w:lang w:eastAsia="ar-SA"/>
        </w:rPr>
        <w:fldChar w:fldCharType="begin" w:fldLock="1"/>
      </w:r>
      <w:r w:rsidR="007E6489">
        <w:rPr>
          <w:rFonts w:asciiTheme="majorBidi" w:hAnsiTheme="majorBidi" w:cstheme="majorBidi"/>
          <w:lang w:eastAsia="ar-SA"/>
        </w:rPr>
        <w:instrText>ADDIN CSL_CITATION {"citationItems":[{"id":"ITEM-1","itemData":{"DOI":"10.1371/journal.ppat.1000950","ISSN":"1553-7374","author":[{"dropping-particle":"","family":"Jupiter","given":"Daniel C","non-dropping-particle":"","parse-names":false,"suffix":""},{"dropping-particle":"","family":"Ficht","given":"Thomas A","non-dropping-particle":"","parse-names":false,"suffix":""},{"dropping-particle":"","family":"Samuel","given":"James","non-dropping-particle":"","parse-names":false,"suffix":""},{"dropping-particle":"","family":"Qin","given":"Qing-Ming","non-dropping-particle":"","parse-names":false,"suffix":""},{"dropping-particle":"","family":"Figueiredo","given":"Paul","non-dropping-particle":"de","parse-names":false,"suffix":""}],"container-title":"PLoS Pathogens","editor":[{"dropping-particle":"","family":"Rall","given":"Glenn F","non-dropping-particle":"","parse-names":false,"suffix":""}],"id":"ITEM-1","issue":"6","issued":{"date-parts":[["2010","6"]]},"page":"e1000950","publisher":"Public Library of Science","title":"DNA Watermarking of Infectious Agents: Progress and Prospects","type":"article-journal","volume":"6"},"uris":["http://www.mendeley.com/documents/?uuid=e09b7243-534f-40fc-91eb-bd3c2847ad51"]}],"mendeley":{"formattedCitation":"(Jupiter et al., 2010)","plainTextFormattedCitation":"(Jupiter et al., 2010)","previouslyFormattedCitation":"(Jupiter et al., 2010)"},"properties":{"noteIndex":0},"schema":"https://github.com/citation-style-language/schema/raw/master/csl-citation.json"}</w:instrText>
      </w:r>
      <w:r w:rsidR="00031D83" w:rsidRPr="00EB320D">
        <w:rPr>
          <w:rFonts w:asciiTheme="majorBidi" w:hAnsiTheme="majorBidi" w:cstheme="majorBidi"/>
          <w:lang w:eastAsia="ar-SA"/>
        </w:rPr>
        <w:fldChar w:fldCharType="separate"/>
      </w:r>
      <w:r w:rsidR="00031D83" w:rsidRPr="00EB320D">
        <w:rPr>
          <w:rFonts w:asciiTheme="majorBidi" w:hAnsiTheme="majorBidi" w:cstheme="majorBidi"/>
          <w:noProof/>
          <w:lang w:eastAsia="ar-SA"/>
        </w:rPr>
        <w:t>(Jupiter et al., 2010)</w:t>
      </w:r>
      <w:r w:rsidR="00031D83" w:rsidRPr="00EB320D">
        <w:rPr>
          <w:rFonts w:asciiTheme="majorBidi" w:hAnsiTheme="majorBidi" w:cstheme="majorBidi"/>
          <w:lang w:eastAsia="ar-SA"/>
        </w:rPr>
        <w:fldChar w:fldCharType="end"/>
      </w:r>
      <w:r w:rsidR="008B7DFE">
        <w:rPr>
          <w:rFonts w:asciiTheme="majorBidi" w:hAnsiTheme="majorBidi" w:cstheme="majorBidi"/>
          <w:lang w:eastAsia="ar-SA"/>
        </w:rPr>
        <w:t xml:space="preserve">. This idea has since morphed into “DNA signatures”, but through the advancement of technologies, inherent vulnerabilities have been identified which </w:t>
      </w:r>
      <w:r w:rsidR="008B7DFE" w:rsidRPr="00824045">
        <w:rPr>
          <w:rFonts w:asciiTheme="majorBidi" w:hAnsiTheme="majorBidi" w:cstheme="majorBidi"/>
          <w:lang w:eastAsia="ar-SA"/>
        </w:rPr>
        <w:t xml:space="preserve">may intentionally be exploited to support the counterfeiting of </w:t>
      </w:r>
      <w:r w:rsidR="008B7DFE">
        <w:rPr>
          <w:rFonts w:asciiTheme="majorBidi" w:hAnsiTheme="majorBidi" w:cstheme="majorBidi"/>
          <w:lang w:eastAsia="ar-SA"/>
        </w:rPr>
        <w:t>the synthetic host o</w:t>
      </w:r>
      <w:r w:rsidR="008B7DFE" w:rsidRPr="00824045">
        <w:rPr>
          <w:rFonts w:asciiTheme="majorBidi" w:hAnsiTheme="majorBidi" w:cstheme="majorBidi"/>
          <w:lang w:eastAsia="ar-SA"/>
        </w:rPr>
        <w:t>rganism</w:t>
      </w:r>
      <w:r w:rsidR="008B7DFE">
        <w:rPr>
          <w:rFonts w:asciiTheme="majorBidi" w:hAnsiTheme="majorBidi" w:cstheme="majorBidi"/>
          <w:lang w:eastAsia="ar-SA"/>
        </w:rPr>
        <w:t xml:space="preserve"> necessitating the </w:t>
      </w:r>
      <w:r w:rsidR="00EC5E78">
        <w:rPr>
          <w:rFonts w:asciiTheme="majorBidi" w:hAnsiTheme="majorBidi" w:cstheme="majorBidi"/>
          <w:lang w:eastAsia="ar-SA"/>
        </w:rPr>
        <w:t xml:space="preserve">potential </w:t>
      </w:r>
      <w:r w:rsidR="008B7DFE" w:rsidRPr="009806AF">
        <w:rPr>
          <w:rFonts w:asciiTheme="majorBidi" w:hAnsiTheme="majorBidi" w:cstheme="majorBidi"/>
          <w:lang w:eastAsia="ar-SA"/>
        </w:rPr>
        <w:t>re-conceptuali</w:t>
      </w:r>
      <w:r w:rsidR="008B7DFE">
        <w:rPr>
          <w:rFonts w:asciiTheme="majorBidi" w:hAnsiTheme="majorBidi" w:cstheme="majorBidi"/>
          <w:lang w:eastAsia="ar-SA"/>
        </w:rPr>
        <w:t>s</w:t>
      </w:r>
      <w:r w:rsidR="008B7DFE" w:rsidRPr="009806AF">
        <w:rPr>
          <w:rFonts w:asciiTheme="majorBidi" w:hAnsiTheme="majorBidi" w:cstheme="majorBidi"/>
          <w:lang w:eastAsia="ar-SA"/>
        </w:rPr>
        <w:t>ation of how DNA signatures</w:t>
      </w:r>
      <w:r w:rsidR="008B7DFE">
        <w:rPr>
          <w:rFonts w:asciiTheme="majorBidi" w:hAnsiTheme="majorBidi" w:cstheme="majorBidi"/>
          <w:lang w:eastAsia="ar-SA"/>
        </w:rPr>
        <w:t xml:space="preserve"> may reliably contribute to the </w:t>
      </w:r>
      <w:r w:rsidR="00EC5E78">
        <w:rPr>
          <w:rFonts w:asciiTheme="majorBidi" w:hAnsiTheme="majorBidi" w:cstheme="majorBidi"/>
          <w:lang w:eastAsia="ar-SA"/>
        </w:rPr>
        <w:t>i</w:t>
      </w:r>
      <w:r w:rsidR="008B7DFE">
        <w:rPr>
          <w:rFonts w:asciiTheme="majorBidi" w:hAnsiTheme="majorBidi" w:cstheme="majorBidi"/>
          <w:lang w:eastAsia="ar-SA"/>
        </w:rPr>
        <w:t>dentification and trac</w:t>
      </w:r>
      <w:r w:rsidR="00DE5589">
        <w:rPr>
          <w:rFonts w:asciiTheme="majorBidi" w:hAnsiTheme="majorBidi" w:cstheme="majorBidi"/>
          <w:lang w:eastAsia="ar-SA"/>
        </w:rPr>
        <w:t>eability</w:t>
      </w:r>
      <w:r w:rsidR="008B7DFE">
        <w:rPr>
          <w:rFonts w:asciiTheme="majorBidi" w:hAnsiTheme="majorBidi" w:cstheme="majorBidi"/>
          <w:lang w:eastAsia="ar-SA"/>
        </w:rPr>
        <w:t xml:space="preserve"> of synthetic organisms </w:t>
      </w:r>
      <w:r w:rsidR="00754079">
        <w:rPr>
          <w:rFonts w:asciiTheme="majorBidi" w:hAnsiTheme="majorBidi" w:cstheme="majorBidi"/>
          <w:lang w:eastAsia="ar-SA"/>
        </w:rPr>
        <w:fldChar w:fldCharType="begin" w:fldLock="1"/>
      </w:r>
      <w:r w:rsidR="00754079">
        <w:rPr>
          <w:rFonts w:asciiTheme="majorBidi" w:hAnsiTheme="majorBidi" w:cstheme="majorBidi"/>
          <w:lang w:eastAsia="ar-SA"/>
        </w:rPr>
        <w:instrText>ADDIN CSL_CITATION {"citationItems":[{"id":"ITEM-1","itemData":{"DOI":"10.3389/fbioe.2019.00121","ISSN":"2296-4185","author":[{"dropping-particle":"","family":"Mueller","given":"Siguna","non-dropping-particle":"","parse-names":false,"suffix":""}],"container-title":"Frontiers in Bioengineering and Biotechnology","id":"ITEM-1","issued":{"date-parts":[["2019","5","29"]]},"title":"Are Market GM Plants an Unrecognized Platform for Bioterrorism and Biocrime?","type":"article-journal","volume":"7"},"uris":["http://www.mendeley.com/documents/?uuid=6a070656-c72d-4508-a479-a2161c1ad392"]}],"mendeley":{"formattedCitation":"(Mueller, 2019)","plainTextFormattedCitation":"(Mueller, 2019)","previouslyFormattedCitation":"(Mueller, 2019)"},"properties":{"noteIndex":0},"schema":"https://github.com/citation-style-language/schema/raw/master/csl-citation.json"}</w:instrText>
      </w:r>
      <w:r w:rsidR="00754079">
        <w:rPr>
          <w:rFonts w:asciiTheme="majorBidi" w:hAnsiTheme="majorBidi" w:cstheme="majorBidi"/>
          <w:lang w:eastAsia="ar-SA"/>
        </w:rPr>
        <w:fldChar w:fldCharType="separate"/>
      </w:r>
      <w:r w:rsidR="00754079" w:rsidRPr="00754079">
        <w:rPr>
          <w:rFonts w:asciiTheme="majorBidi" w:hAnsiTheme="majorBidi" w:cstheme="majorBidi"/>
          <w:noProof/>
          <w:lang w:eastAsia="ar-SA"/>
        </w:rPr>
        <w:t>(Mueller, 2019)</w:t>
      </w:r>
      <w:r w:rsidR="00754079">
        <w:rPr>
          <w:rFonts w:asciiTheme="majorBidi" w:hAnsiTheme="majorBidi" w:cstheme="majorBidi"/>
          <w:lang w:eastAsia="ar-SA"/>
        </w:rPr>
        <w:fldChar w:fldCharType="end"/>
      </w:r>
      <w:r w:rsidR="008B7DFE" w:rsidRPr="00865385">
        <w:rPr>
          <w:rFonts w:asciiTheme="majorBidi" w:hAnsiTheme="majorBidi" w:cstheme="majorBidi"/>
          <w:lang w:eastAsia="ar-SA"/>
        </w:rPr>
        <w:t xml:space="preserve">. </w:t>
      </w:r>
    </w:p>
    <w:p w14:paraId="5A50A2F4" w14:textId="6B816624" w:rsidR="00FF264E" w:rsidRDefault="00783A8B" w:rsidP="009C0194">
      <w:pPr>
        <w:spacing w:after="120" w:line="240" w:lineRule="auto"/>
        <w:jc w:val="both"/>
        <w:rPr>
          <w:rFonts w:asciiTheme="majorBidi" w:hAnsiTheme="majorBidi" w:cstheme="majorBidi"/>
          <w:lang w:eastAsia="ar-SA"/>
        </w:rPr>
      </w:pPr>
      <w:r>
        <w:rPr>
          <w:rFonts w:asciiTheme="majorBidi" w:hAnsiTheme="majorBidi" w:cstheme="majorBidi"/>
          <w:lang w:eastAsia="ar-SA"/>
        </w:rPr>
        <w:t xml:space="preserve">Apart from considerations related to DNA, </w:t>
      </w:r>
      <w:r w:rsidR="008B7DFE" w:rsidRPr="002E2B14">
        <w:rPr>
          <w:rFonts w:asciiTheme="majorBidi" w:hAnsiTheme="majorBidi" w:cstheme="majorBidi"/>
          <w:lang w:eastAsia="ar-SA"/>
        </w:rPr>
        <w:t>protein</w:t>
      </w:r>
      <w:r w:rsidR="00462EDD">
        <w:rPr>
          <w:rFonts w:asciiTheme="majorBidi" w:hAnsiTheme="majorBidi" w:cstheme="majorBidi"/>
          <w:lang w:eastAsia="ar-SA"/>
        </w:rPr>
        <w:t xml:space="preserve">s could also facilitate detection and identification of organisms produced through synthetic biology. </w:t>
      </w:r>
      <w:r w:rsidR="00A23B97">
        <w:rPr>
          <w:rFonts w:asciiTheme="majorBidi" w:hAnsiTheme="majorBidi" w:cstheme="majorBidi"/>
          <w:lang w:eastAsia="ar-SA"/>
        </w:rPr>
        <w:t xml:space="preserve">It is likely that </w:t>
      </w:r>
      <w:r w:rsidR="00694D90">
        <w:rPr>
          <w:rFonts w:asciiTheme="majorBidi" w:hAnsiTheme="majorBidi" w:cstheme="majorBidi"/>
          <w:lang w:eastAsia="ar-SA"/>
        </w:rPr>
        <w:t>a</w:t>
      </w:r>
      <w:r w:rsidR="005A536E">
        <w:rPr>
          <w:rFonts w:asciiTheme="majorBidi" w:hAnsiTheme="majorBidi" w:cstheme="majorBidi"/>
          <w:lang w:eastAsia="ar-SA"/>
        </w:rPr>
        <w:t xml:space="preserve"> (novel)</w:t>
      </w:r>
      <w:r w:rsidR="00694D90">
        <w:rPr>
          <w:rFonts w:asciiTheme="majorBidi" w:hAnsiTheme="majorBidi" w:cstheme="majorBidi"/>
          <w:lang w:eastAsia="ar-SA"/>
        </w:rPr>
        <w:t xml:space="preserve"> </w:t>
      </w:r>
      <w:r w:rsidR="00753F0D">
        <w:rPr>
          <w:rFonts w:asciiTheme="majorBidi" w:hAnsiTheme="majorBidi" w:cstheme="majorBidi"/>
          <w:lang w:eastAsia="ar-SA"/>
        </w:rPr>
        <w:t>p</w:t>
      </w:r>
      <w:r w:rsidR="00694D90">
        <w:rPr>
          <w:rFonts w:asciiTheme="majorBidi" w:hAnsiTheme="majorBidi" w:cstheme="majorBidi"/>
          <w:lang w:eastAsia="ar-SA"/>
        </w:rPr>
        <w:t>rotein</w:t>
      </w:r>
      <w:r w:rsidR="00753F0D">
        <w:rPr>
          <w:rFonts w:asciiTheme="majorBidi" w:hAnsiTheme="majorBidi" w:cstheme="majorBidi"/>
          <w:lang w:eastAsia="ar-SA"/>
        </w:rPr>
        <w:t xml:space="preserve"> expressed</w:t>
      </w:r>
      <w:r w:rsidR="00694D90">
        <w:rPr>
          <w:rFonts w:asciiTheme="majorBidi" w:hAnsiTheme="majorBidi" w:cstheme="majorBidi"/>
          <w:lang w:eastAsia="ar-SA"/>
        </w:rPr>
        <w:t xml:space="preserve"> by an organism would allow for protein-based detection methodologies</w:t>
      </w:r>
      <w:r w:rsidR="001D36F4">
        <w:rPr>
          <w:rFonts w:asciiTheme="majorBidi" w:hAnsiTheme="majorBidi" w:cstheme="majorBidi"/>
          <w:lang w:eastAsia="ar-SA"/>
        </w:rPr>
        <w:t xml:space="preserve"> </w:t>
      </w:r>
      <w:r w:rsidR="00754079">
        <w:rPr>
          <w:rFonts w:asciiTheme="majorBidi" w:hAnsiTheme="majorBidi" w:cstheme="majorBidi"/>
          <w:lang w:eastAsia="ar-SA"/>
        </w:rPr>
        <w:fldChar w:fldCharType="begin" w:fldLock="1"/>
      </w:r>
      <w:r w:rsidR="00800C56">
        <w:rPr>
          <w:rFonts w:asciiTheme="majorBidi" w:hAnsiTheme="majorBidi" w:cstheme="majorBidi"/>
          <w:lang w:eastAsia="ar-SA"/>
        </w:rPr>
        <w:instrText>ADDIN CSL_CITATION {"citationItems":[{"id":"ITEM-1","itemData":{"DOI":"10.1021/acs.jafc.8b05157","ISSN":"0021-8561","author":[{"dropping-particle":"","family":"Alarcon","given":"Clara M.","non-dropping-particle":"","parse-names":false,"suffix":""},{"dropping-particle":"","family":"Shan","given":"Guomin","non-dropping-particle":"","parse-names":false,"suffix":""},{"dropping-particle":"","family":"Layton","given":"Dean T.","non-dropping-particle":"","parse-names":false,"suffix":""},{"dropping-particle":"","family":"Bell","given":"Tandace A.","non-dropping-particle":"","parse-names":false,"suffix":""},{"dropping-particle":"","family":"Whipkey","given":"Susan","non-dropping-particle":"","parse-names":false,"suffix":""},{"dropping-particle":"","family":"Shillito","given":"Raymond D.","non-dropping-particle":"","parse-names":false,"suffix":""}],"container-title":"Journal of Agricultural and Food Chemistry","id":"ITEM-1","issue":"4","issued":{"date-parts":[["2019","1","30"]]},"page":"1019-1028","title":"Application of DNA- and Protein-Based Detection Methods in Agricultural Biotechnology","type":"article-journal","volume":"67"},"uris":["http://www.mendeley.com/documents/?uuid=c6bdf535-9643-4450-9de3-d50d56ac3c1a"]}],"mendeley":{"formattedCitation":"(Alarcon et al., 2019)","plainTextFormattedCitation":"(Alarcon et al., 2019)","previouslyFormattedCitation":"(Alarcon et al., 2019)"},"properties":{"noteIndex":0},"schema":"https://github.com/citation-style-language/schema/raw/master/csl-citation.json"}</w:instrText>
      </w:r>
      <w:r w:rsidR="00754079">
        <w:rPr>
          <w:rFonts w:asciiTheme="majorBidi" w:hAnsiTheme="majorBidi" w:cstheme="majorBidi"/>
          <w:lang w:eastAsia="ar-SA"/>
        </w:rPr>
        <w:fldChar w:fldCharType="separate"/>
      </w:r>
      <w:r w:rsidR="00754079" w:rsidRPr="00754079">
        <w:rPr>
          <w:rFonts w:asciiTheme="majorBidi" w:hAnsiTheme="majorBidi" w:cstheme="majorBidi"/>
          <w:noProof/>
          <w:lang w:eastAsia="ar-SA"/>
        </w:rPr>
        <w:t>(Alarcon et al., 2019)</w:t>
      </w:r>
      <w:r w:rsidR="00754079">
        <w:rPr>
          <w:rFonts w:asciiTheme="majorBidi" w:hAnsiTheme="majorBidi" w:cstheme="majorBidi"/>
          <w:lang w:eastAsia="ar-SA"/>
        </w:rPr>
        <w:fldChar w:fldCharType="end"/>
      </w:r>
      <w:r w:rsidR="00694D90">
        <w:rPr>
          <w:rFonts w:asciiTheme="majorBidi" w:hAnsiTheme="majorBidi" w:cstheme="majorBidi"/>
          <w:lang w:eastAsia="ar-SA"/>
        </w:rPr>
        <w:t>. Further</w:t>
      </w:r>
      <w:r w:rsidR="00462EDD">
        <w:rPr>
          <w:rFonts w:asciiTheme="majorBidi" w:hAnsiTheme="majorBidi" w:cstheme="majorBidi"/>
          <w:lang w:eastAsia="ar-SA"/>
        </w:rPr>
        <w:t>,</w:t>
      </w:r>
      <w:r w:rsidR="008B7DFE" w:rsidRPr="002E2B14">
        <w:rPr>
          <w:rFonts w:asciiTheme="majorBidi" w:hAnsiTheme="majorBidi" w:cstheme="majorBidi"/>
          <w:lang w:eastAsia="ar-SA"/>
        </w:rPr>
        <w:t xml:space="preserve"> </w:t>
      </w:r>
      <w:r w:rsidR="00200866">
        <w:rPr>
          <w:rFonts w:asciiTheme="majorBidi" w:hAnsiTheme="majorBidi" w:cstheme="majorBidi"/>
          <w:lang w:eastAsia="ar-SA"/>
        </w:rPr>
        <w:t>it was</w:t>
      </w:r>
      <w:r w:rsidR="008B7DFE" w:rsidRPr="002E2B14">
        <w:rPr>
          <w:rFonts w:asciiTheme="majorBidi" w:hAnsiTheme="majorBidi" w:cstheme="majorBidi"/>
          <w:lang w:eastAsia="ar-SA"/>
        </w:rPr>
        <w:t xml:space="preserve"> proposed that minor changes can deliberately be made to the protein sequence of the synthetically produced protein as a positive identification tool (“label”)</w:t>
      </w:r>
      <w:r w:rsidR="008B7DFE">
        <w:rPr>
          <w:rFonts w:asciiTheme="majorBidi" w:hAnsiTheme="majorBidi" w:cstheme="majorBidi"/>
          <w:lang w:eastAsia="ar-SA"/>
        </w:rPr>
        <w:t xml:space="preserve"> (CITES 2018)</w:t>
      </w:r>
      <w:r w:rsidR="008B7DFE" w:rsidRPr="002E2B14">
        <w:rPr>
          <w:rFonts w:asciiTheme="majorBidi" w:hAnsiTheme="majorBidi" w:cstheme="majorBidi"/>
          <w:lang w:eastAsia="ar-SA"/>
        </w:rPr>
        <w:t>.</w:t>
      </w:r>
      <w:r w:rsidR="008B7DFE">
        <w:rPr>
          <w:rFonts w:asciiTheme="majorBidi" w:hAnsiTheme="majorBidi" w:cstheme="majorBidi"/>
          <w:lang w:eastAsia="ar-SA"/>
        </w:rPr>
        <w:t xml:space="preserve"> Further, organisms produced through synthetic biology could have an additional fluorescent protein marker, such as the DsRed2 protein in the case of Oxitec’s self-limiting insects (</w:t>
      </w:r>
      <w:r w:rsidR="00A64DDA">
        <w:rPr>
          <w:rFonts w:asciiTheme="majorBidi" w:hAnsiTheme="majorBidi" w:cstheme="majorBidi"/>
          <w:lang w:eastAsia="ar-SA"/>
        </w:rPr>
        <w:t>S</w:t>
      </w:r>
      <w:r w:rsidR="008B7DFE">
        <w:rPr>
          <w:rFonts w:asciiTheme="majorBidi" w:hAnsiTheme="majorBidi" w:cstheme="majorBidi"/>
          <w:lang w:eastAsia="ar-SA"/>
        </w:rPr>
        <w:t>ection 3.2.1(d)</w:t>
      </w:r>
      <w:r w:rsidR="00A64DDA">
        <w:rPr>
          <w:rFonts w:asciiTheme="majorBidi" w:hAnsiTheme="majorBidi" w:cstheme="majorBidi"/>
          <w:lang w:eastAsia="ar-SA"/>
        </w:rPr>
        <w:t>.</w:t>
      </w:r>
      <w:r w:rsidR="008B7DFE">
        <w:rPr>
          <w:rFonts w:asciiTheme="majorBidi" w:hAnsiTheme="majorBidi" w:cstheme="majorBidi"/>
          <w:lang w:eastAsia="ar-SA"/>
        </w:rPr>
        <w:t xml:space="preserve">), for visual detection via a suitable epi-fluorescent microscope </w:t>
      </w:r>
      <w:r w:rsidR="00800C56">
        <w:rPr>
          <w:rFonts w:asciiTheme="majorBidi" w:hAnsiTheme="majorBidi" w:cstheme="majorBidi"/>
          <w:lang w:eastAsia="ar-SA"/>
        </w:rPr>
        <w:fldChar w:fldCharType="begin" w:fldLock="1"/>
      </w:r>
      <w:r w:rsidR="00BE7F45">
        <w:rPr>
          <w:rFonts w:asciiTheme="majorBidi" w:hAnsiTheme="majorBidi" w:cstheme="majorBidi"/>
          <w:lang w:eastAsia="ar-SA"/>
        </w:rPr>
        <w:instrText>ADDIN CSL_CITATION {"citationItems":[{"id":"ITEM-1","itemData":{"author":[{"dropping-particle":"","family":"Beech","given":"C","non-dropping-particle":"","parse-names":false,"suffix":""},{"dropping-particle":"","family":"Koukidou","given":"M","non-dropping-particle":"","parse-names":false,"suffix":""},{"dropping-particle":"","family":"Morrison","given":"N","non-dropping-particle":"","parse-names":false,"suffix":""},{"dropping-particle":"","family":"Alphey","given":"L","non-dropping-particle":"","parse-names":false,"suffix":""}],"container-title":"Collection of Biosafety Reviews Vol. 6","id":"ITEM-1","issued":{"date-parts":[["2012"]]},"page":"66-124","publisher":"International Centre for Genetic Engineering and Biotechnology","title":"Genetically Modified Insects: Science, Use, Status and Regulation","type":"chapter"},"uris":["http://www.mendeley.com/documents/?uuid=e81915a3-3e5c-4c86-b010-af89ecb4032d"]},{"id":"ITEM-2","itemData":{"DOI":"10.1016/j.envsci.2020.02.016","ISSN":"14629011","author":[{"dropping-particle":"","family":"Romeis","given":"Jörg","non-dropping-particle":"","parse-names":false,"suffix":""},{"dropping-particle":"","family":"Collatz","given":"Jana","non-dropping-particle":"","parse-names":false,"suffix":""},{"dropping-particle":"","family":"Glandorf","given":"Debora C.M.","non-dropping-particle":"","parse-names":false,"suffix":""},{"dropping-particle":"","family":"Bonsall","given":"Michael B.","non-dropping-particle":"","parse-names":false,"suffix":""}],"container-title":"Environmental Science &amp; Policy","id":"ITEM-2","issued":{"date-parts":[["2020","6"]]},"page":"19-36","title":"The value of existing regulatory frameworks for the environmental risk assessment of agricultural pest control using gene drives","type":"article-journal","volume":"108"},"uris":["http://www.mendeley.com/documents/?uuid=7f69530c-6e20-4146-b786-2ea24c71e5f3"]}],"mendeley":{"formattedCitation":"(Beech et al., 2012; Romeis et al., 2020)","plainTextFormattedCitation":"(Beech et al., 2012; Romeis et al., 2020)","previouslyFormattedCitation":"(Beech et al., 2012; Romeis et al., 2020)"},"properties":{"noteIndex":0},"schema":"https://github.com/citation-style-language/schema/raw/master/csl-citation.json"}</w:instrText>
      </w:r>
      <w:r w:rsidR="00800C56">
        <w:rPr>
          <w:rFonts w:asciiTheme="majorBidi" w:hAnsiTheme="majorBidi" w:cstheme="majorBidi"/>
          <w:lang w:eastAsia="ar-SA"/>
        </w:rPr>
        <w:fldChar w:fldCharType="separate"/>
      </w:r>
      <w:r w:rsidR="00D311EA" w:rsidRPr="00D311EA">
        <w:rPr>
          <w:rFonts w:asciiTheme="majorBidi" w:hAnsiTheme="majorBidi" w:cstheme="majorBidi"/>
          <w:noProof/>
          <w:lang w:eastAsia="ar-SA"/>
        </w:rPr>
        <w:t>(Beech et al., 2012; Romeis et al., 2020)</w:t>
      </w:r>
      <w:r w:rsidR="00800C56">
        <w:rPr>
          <w:rFonts w:asciiTheme="majorBidi" w:hAnsiTheme="majorBidi" w:cstheme="majorBidi"/>
          <w:lang w:eastAsia="ar-SA"/>
        </w:rPr>
        <w:fldChar w:fldCharType="end"/>
      </w:r>
      <w:r w:rsidR="008B7DFE">
        <w:rPr>
          <w:rFonts w:asciiTheme="majorBidi" w:hAnsiTheme="majorBidi" w:cstheme="majorBidi"/>
          <w:lang w:eastAsia="ar-SA"/>
        </w:rPr>
        <w:t xml:space="preserve">. </w:t>
      </w:r>
      <w:r w:rsidR="00C142B3">
        <w:rPr>
          <w:rFonts w:asciiTheme="majorBidi" w:hAnsiTheme="majorBidi" w:cstheme="majorBidi"/>
          <w:lang w:eastAsia="ar-SA"/>
        </w:rPr>
        <w:t>Overall</w:t>
      </w:r>
      <w:r w:rsidR="00407B5E">
        <w:rPr>
          <w:rFonts w:asciiTheme="majorBidi" w:hAnsiTheme="majorBidi" w:cstheme="majorBidi"/>
          <w:lang w:eastAsia="ar-SA"/>
        </w:rPr>
        <w:t>,</w:t>
      </w:r>
      <w:r w:rsidR="00C142B3">
        <w:rPr>
          <w:rFonts w:asciiTheme="majorBidi" w:hAnsiTheme="majorBidi" w:cstheme="majorBidi"/>
          <w:lang w:eastAsia="ar-SA"/>
        </w:rPr>
        <w:t xml:space="preserve"> </w:t>
      </w:r>
      <w:r w:rsidR="00397807">
        <w:rPr>
          <w:rFonts w:asciiTheme="majorBidi" w:hAnsiTheme="majorBidi" w:cstheme="majorBidi"/>
          <w:lang w:eastAsia="ar-SA"/>
        </w:rPr>
        <w:t>for</w:t>
      </w:r>
      <w:r w:rsidR="00C142B3">
        <w:rPr>
          <w:rFonts w:asciiTheme="majorBidi" w:hAnsiTheme="majorBidi" w:cstheme="majorBidi"/>
          <w:lang w:eastAsia="ar-SA"/>
        </w:rPr>
        <w:t xml:space="preserve"> organisms produced through synthetic biology, it was highlighted that although experience and technical capacities were lacking, technologies continue to be developed and could be tested for feasibility</w:t>
      </w:r>
      <w:r w:rsidR="00397807">
        <w:rPr>
          <w:rFonts w:asciiTheme="majorBidi" w:hAnsiTheme="majorBidi" w:cstheme="majorBidi"/>
          <w:lang w:eastAsia="ar-SA"/>
        </w:rPr>
        <w:t xml:space="preserve"> </w:t>
      </w:r>
      <w:r w:rsidR="00113671">
        <w:rPr>
          <w:rFonts w:asciiTheme="majorBidi" w:hAnsiTheme="majorBidi" w:cstheme="majorBidi"/>
          <w:lang w:eastAsia="ar-SA"/>
        </w:rPr>
        <w:fldChar w:fldCharType="begin" w:fldLock="1"/>
      </w:r>
      <w:r w:rsidR="00B85E21">
        <w:rPr>
          <w:rFonts w:asciiTheme="majorBidi" w:hAnsiTheme="majorBidi" w:cstheme="majorBidi"/>
          <w:lang w:eastAsia="ar-SA"/>
        </w:rPr>
        <w:instrText>ADDIN CSL_CITATION {"citationItems":[{"id":"ITEM-1","itemData":{"DOI":"10.3389/fbioe.2020.00310","ISSN":"22964185","abstract":"The primary international forum deliberating the regulation of “synthetic biology” is the Convention on Biological Diversity (CBD), along with its subsidiary agreements concerned with the biosafety of living modified organisms (LMOs; Cartagena Protocol on Biosafety to the CBD), and access and benefit sharing in relation to genetic resources (Nagoya Protocol to the CBD). This discussion has been underway for almost 10 years under the CBD agenda items of “synthetic biology” and “new and emerging issues relating to the conservation and sustainable use of biological diversity,” and more recently within the scope of Cartagena Protocol topics including risk assessment and risk management, and “digital sequence information” jointly with the Nagoya Protocol. There is no internationally accepted definition of “synthetic biology,” with it used as an umbrella term in this forum to capture “new” biotechnologies and “new” applications of established biotechnologies, whether actual or conceptual. The CBD debates are characterized by polarized views on the adequacy of existing regulatory mechanisms for “new” types of LMOs, including the scope of the current regulatory frameworks, and procedures and tools for risk assessment and risk mitigation and/or management. This paper provides an overview of international developments in biotechnology regulation, including the application of the Cartagena Protocol and relevant policy developments, and reviews the development of the synthetic biology debate under the CBD and its Protocols, including the major issues expected in the lead up to and during the 2020 Biodiversity Conference.","author":[{"dropping-particle":"","family":"Keiper","given":"Felicity","non-dropping-particle":"","parse-names":false,"suffix":""},{"dropping-particle":"","family":"Atanassova","given":"Ana","non-dropping-particle":"","parse-names":false,"suffix":""}],"container-title":"Frontiers in Bioengineering and Biotechnology","id":"ITEM-1","issued":{"date-parts":[["2020","4"]]},"publisher":"Frontiers Media S.A.","title":"Regulation of Synthetic Biology: Developments Under the Convention on Biological Diversity and Its Protocols","type":"article","volume":"8"},"uris":["http://www.mendeley.com/documents/?uuid=23393071-c58e-4e1d-9c5d-5c2f47ddcef4"]}],"mendeley":{"formattedCitation":"(Keiper &amp; Atanassova, 2020)","plainTextFormattedCitation":"(Keiper &amp; Atanassova, 2020)","previouslyFormattedCitation":"(Keiper &amp; Atanassova, 2020)"},"properties":{"noteIndex":0},"schema":"https://github.com/citation-style-language/schema/raw/master/csl-citation.json"}</w:instrText>
      </w:r>
      <w:r w:rsidR="00113671">
        <w:rPr>
          <w:rFonts w:asciiTheme="majorBidi" w:hAnsiTheme="majorBidi" w:cstheme="majorBidi"/>
          <w:lang w:eastAsia="ar-SA"/>
        </w:rPr>
        <w:fldChar w:fldCharType="separate"/>
      </w:r>
      <w:r w:rsidR="00113671" w:rsidRPr="00113671">
        <w:rPr>
          <w:rFonts w:asciiTheme="majorBidi" w:hAnsiTheme="majorBidi" w:cstheme="majorBidi"/>
          <w:noProof/>
          <w:lang w:eastAsia="ar-SA"/>
        </w:rPr>
        <w:t>(Keiper &amp; Atanassova, 2020)</w:t>
      </w:r>
      <w:r w:rsidR="00113671">
        <w:rPr>
          <w:rFonts w:asciiTheme="majorBidi" w:hAnsiTheme="majorBidi" w:cstheme="majorBidi"/>
          <w:lang w:eastAsia="ar-SA"/>
        </w:rPr>
        <w:fldChar w:fldCharType="end"/>
      </w:r>
      <w:r w:rsidR="00C142B3">
        <w:rPr>
          <w:rFonts w:asciiTheme="majorBidi" w:hAnsiTheme="majorBidi" w:cstheme="majorBidi"/>
          <w:lang w:eastAsia="ar-SA"/>
        </w:rPr>
        <w:t>.</w:t>
      </w:r>
      <w:r w:rsidR="008A7970">
        <w:rPr>
          <w:rFonts w:asciiTheme="majorBidi" w:hAnsiTheme="majorBidi" w:cstheme="majorBidi"/>
          <w:lang w:eastAsia="ar-SA"/>
        </w:rPr>
        <w:t xml:space="preserve"> </w:t>
      </w:r>
    </w:p>
    <w:p w14:paraId="50752584" w14:textId="1846E3CB" w:rsidR="008C433F" w:rsidRPr="001D262D" w:rsidRDefault="000C2329" w:rsidP="00F171D1">
      <w:pPr>
        <w:pStyle w:val="Heading2"/>
        <w:spacing w:before="240"/>
        <w:rPr>
          <w:rFonts w:eastAsia="SimSun"/>
          <w:i w:val="0"/>
          <w:lang w:val="en-US"/>
        </w:rPr>
      </w:pPr>
      <w:bookmarkStart w:id="107" w:name="_Toc70112697"/>
      <w:bookmarkStart w:id="108" w:name="_Toc70685719"/>
      <w:r w:rsidRPr="005A2F04">
        <w:rPr>
          <w:rFonts w:eastAsia="SimSun"/>
          <w:i w:val="0"/>
          <w:iCs w:val="0"/>
          <w:lang w:val="en-US"/>
        </w:rPr>
        <w:t>E</w:t>
      </w:r>
      <w:r w:rsidR="008C433F" w:rsidRPr="001D262D">
        <w:rPr>
          <w:rFonts w:eastAsia="SimSun"/>
          <w:i w:val="0"/>
          <w:iCs w:val="0"/>
          <w:lang w:val="en-US"/>
        </w:rPr>
        <w:t>.</w:t>
      </w:r>
      <w:r w:rsidR="001E4623">
        <w:rPr>
          <w:rFonts w:eastAsia="SimSun"/>
          <w:i w:val="0"/>
          <w:iCs w:val="0"/>
          <w:lang w:val="en-US"/>
        </w:rPr>
        <w:t xml:space="preserve"> </w:t>
      </w:r>
      <w:r w:rsidR="008C433F" w:rsidRPr="001D262D">
        <w:rPr>
          <w:rFonts w:eastAsia="SimSun"/>
          <w:i w:val="0"/>
          <w:lang w:val="en-US"/>
        </w:rPr>
        <w:t>SYNTHETIC BIOLOGY GOVERNANCE AND REGULATORY PERSPECTIVES</w:t>
      </w:r>
      <w:bookmarkEnd w:id="107"/>
      <w:bookmarkEnd w:id="108"/>
    </w:p>
    <w:p w14:paraId="56606F7B" w14:textId="51304F65" w:rsidR="005E1D3B" w:rsidRPr="001D262D" w:rsidRDefault="00BE27F5" w:rsidP="001D262D">
      <w:pPr>
        <w:pStyle w:val="Heading2"/>
      </w:pPr>
      <w:bookmarkStart w:id="109" w:name="_Toc70112698"/>
      <w:bookmarkStart w:id="110" w:name="_Toc70685720"/>
      <w:r>
        <w:t>7</w:t>
      </w:r>
      <w:r w:rsidR="008C433F">
        <w:t>.</w:t>
      </w:r>
      <w:r w:rsidR="00B32C1B">
        <w:t xml:space="preserve"> </w:t>
      </w:r>
      <w:r w:rsidR="00E663DD">
        <w:t xml:space="preserve">The </w:t>
      </w:r>
      <w:r w:rsidR="006E4AB8">
        <w:t xml:space="preserve">Governance and </w:t>
      </w:r>
      <w:r w:rsidR="00E663DD">
        <w:t>Regulation</w:t>
      </w:r>
      <w:r w:rsidR="006E4AB8">
        <w:t xml:space="preserve"> of Synthetic Biology</w:t>
      </w:r>
      <w:bookmarkEnd w:id="109"/>
      <w:bookmarkEnd w:id="110"/>
      <w:r w:rsidR="00E663DD">
        <w:t xml:space="preserve"> </w:t>
      </w:r>
    </w:p>
    <w:p w14:paraId="70B55FE1" w14:textId="1B598C07" w:rsidR="005E1D3B" w:rsidRDefault="00B32C1B" w:rsidP="00D57F39">
      <w:pPr>
        <w:spacing w:before="120" w:after="120" w:line="240" w:lineRule="auto"/>
        <w:jc w:val="both"/>
        <w:rPr>
          <w:rFonts w:ascii="Times New Roman" w:hAnsi="Times New Roman"/>
          <w:i/>
          <w:iCs/>
          <w:color w:val="000000" w:themeColor="text1"/>
          <w:lang w:eastAsia="ar-SA"/>
        </w:rPr>
      </w:pPr>
      <w:r w:rsidRPr="69BA3794">
        <w:rPr>
          <w:rFonts w:ascii="Times New Roman" w:hAnsi="Times New Roman"/>
          <w:color w:val="000000" w:themeColor="text1"/>
          <w:lang w:eastAsia="ar-SA"/>
        </w:rPr>
        <w:t xml:space="preserve">Now that products of synthetic biology are </w:t>
      </w:r>
      <w:r>
        <w:rPr>
          <w:rFonts w:ascii="Times New Roman" w:hAnsi="Times New Roman"/>
          <w:color w:val="000000" w:themeColor="text1"/>
          <w:lang w:eastAsia="ar-SA"/>
        </w:rPr>
        <w:t xml:space="preserve">entering advanced stages of </w:t>
      </w:r>
      <w:r w:rsidRPr="69BA3794">
        <w:rPr>
          <w:rFonts w:ascii="Times New Roman" w:hAnsi="Times New Roman"/>
          <w:color w:val="000000" w:themeColor="text1"/>
          <w:lang w:eastAsia="ar-SA"/>
        </w:rPr>
        <w:t>develop</w:t>
      </w:r>
      <w:r>
        <w:rPr>
          <w:rFonts w:ascii="Times New Roman" w:hAnsi="Times New Roman"/>
          <w:color w:val="000000" w:themeColor="text1"/>
          <w:lang w:eastAsia="ar-SA"/>
        </w:rPr>
        <w:t>ment</w:t>
      </w:r>
      <w:r w:rsidRPr="69BA3794">
        <w:rPr>
          <w:rFonts w:ascii="Times New Roman" w:hAnsi="Times New Roman"/>
          <w:color w:val="000000" w:themeColor="text1"/>
          <w:lang w:eastAsia="ar-SA"/>
        </w:rPr>
        <w:t xml:space="preserve"> and are beginning to become commercially available (Section </w:t>
      </w:r>
      <w:r w:rsidR="008D2C26">
        <w:rPr>
          <w:rFonts w:ascii="Times New Roman" w:hAnsi="Times New Roman"/>
          <w:color w:val="000000" w:themeColor="text1"/>
          <w:lang w:eastAsia="ar-SA"/>
        </w:rPr>
        <w:t>3</w:t>
      </w:r>
      <w:r w:rsidRPr="69BA3794">
        <w:rPr>
          <w:rFonts w:ascii="Times New Roman" w:hAnsi="Times New Roman"/>
          <w:color w:val="000000" w:themeColor="text1"/>
          <w:lang w:eastAsia="ar-SA"/>
        </w:rPr>
        <w:t xml:space="preserve">), this is bringing challenges to </w:t>
      </w:r>
      <w:r>
        <w:rPr>
          <w:rFonts w:ascii="Times New Roman" w:hAnsi="Times New Roman"/>
          <w:color w:val="000000" w:themeColor="text1"/>
          <w:lang w:eastAsia="ar-SA"/>
        </w:rPr>
        <w:t>building</w:t>
      </w:r>
      <w:r w:rsidRPr="69BA3794">
        <w:rPr>
          <w:rFonts w:ascii="Times New Roman" w:hAnsi="Times New Roman"/>
          <w:color w:val="000000" w:themeColor="text1"/>
          <w:lang w:eastAsia="ar-SA"/>
        </w:rPr>
        <w:t xml:space="preserve"> consensus on whether (in some cases) and how they are to be regulated</w:t>
      </w:r>
      <w:r>
        <w:rPr>
          <w:rFonts w:ascii="Times New Roman" w:hAnsi="Times New Roman"/>
          <w:color w:val="000000" w:themeColor="text1"/>
          <w:lang w:eastAsia="ar-SA"/>
        </w:rPr>
        <w:t>, either</w:t>
      </w:r>
      <w:r w:rsidRPr="69BA3794">
        <w:rPr>
          <w:rFonts w:ascii="Times New Roman" w:hAnsi="Times New Roman"/>
          <w:color w:val="000000" w:themeColor="text1"/>
          <w:lang w:eastAsia="ar-SA"/>
        </w:rPr>
        <w:t xml:space="preserve"> under the same </w:t>
      </w:r>
      <w:r w:rsidRPr="60A86203">
        <w:rPr>
          <w:rFonts w:ascii="Times New Roman" w:hAnsi="Times New Roman"/>
          <w:color w:val="000000" w:themeColor="text1"/>
          <w:lang w:eastAsia="ar-SA"/>
        </w:rPr>
        <w:t>regime</w:t>
      </w:r>
      <w:r>
        <w:rPr>
          <w:rFonts w:ascii="Times New Roman" w:hAnsi="Times New Roman"/>
          <w:color w:val="000000" w:themeColor="text1"/>
          <w:lang w:eastAsia="ar-SA"/>
        </w:rPr>
        <w:t>s</w:t>
      </w:r>
      <w:r w:rsidRPr="69BA3794">
        <w:rPr>
          <w:rFonts w:ascii="Times New Roman" w:hAnsi="Times New Roman"/>
          <w:color w:val="000000" w:themeColor="text1"/>
          <w:lang w:eastAsia="ar-SA"/>
        </w:rPr>
        <w:t xml:space="preserve"> </w:t>
      </w:r>
      <w:r>
        <w:rPr>
          <w:rFonts w:ascii="Times New Roman" w:hAnsi="Times New Roman"/>
          <w:color w:val="000000" w:themeColor="text1"/>
          <w:lang w:eastAsia="ar-SA"/>
        </w:rPr>
        <w:t xml:space="preserve">as classical genetic engineering albeit with </w:t>
      </w:r>
      <w:r w:rsidRPr="60A86203">
        <w:rPr>
          <w:rFonts w:ascii="Times New Roman" w:hAnsi="Times New Roman"/>
          <w:color w:val="000000" w:themeColor="text1"/>
          <w:lang w:eastAsia="ar-SA"/>
        </w:rPr>
        <w:t>adapt</w:t>
      </w:r>
      <w:r>
        <w:rPr>
          <w:rFonts w:ascii="Times New Roman" w:hAnsi="Times New Roman"/>
          <w:color w:val="000000" w:themeColor="text1"/>
          <w:lang w:eastAsia="ar-SA"/>
        </w:rPr>
        <w:t>ations, or under new regimes yet</w:t>
      </w:r>
      <w:r w:rsidRPr="69BA3794">
        <w:rPr>
          <w:rFonts w:ascii="Times New Roman" w:hAnsi="Times New Roman"/>
          <w:color w:val="000000" w:themeColor="text1"/>
          <w:lang w:eastAsia="ar-SA"/>
        </w:rPr>
        <w:t xml:space="preserve"> to </w:t>
      </w:r>
      <w:r>
        <w:rPr>
          <w:rFonts w:ascii="Times New Roman" w:hAnsi="Times New Roman"/>
          <w:color w:val="000000" w:themeColor="text1"/>
          <w:lang w:eastAsia="ar-SA"/>
        </w:rPr>
        <w:t xml:space="preserve">emerge </w:t>
      </w:r>
      <w:r w:rsidRPr="00121D97">
        <w:rPr>
          <w:rFonts w:ascii="Times New Roman" w:hAnsi="Times New Roman"/>
          <w:color w:val="000000" w:themeColor="text1"/>
          <w:lang w:eastAsia="ar-SA"/>
        </w:rPr>
        <w:fldChar w:fldCharType="begin" w:fldLock="1"/>
      </w:r>
      <w:r w:rsidR="00EB320D">
        <w:rPr>
          <w:rFonts w:ascii="Times New Roman" w:hAnsi="Times New Roman"/>
          <w:color w:val="000000" w:themeColor="text1"/>
          <w:lang w:eastAsia="ar-SA"/>
        </w:rPr>
        <w:instrText>ADDIN CSL_CITATION {"citationItems":[{"id":"ITEM-1","itemData":{"abstract":"Worldwide, an increasing number of regulatory systems have begun to consider applications for the authorization of activities involving geneedited organisms for agri-food use. Although a handful of countries have made advances in establishing regulatory criteria and gathering practical experience in this regard, there is still a general need for regulatory cooperation concerning capacity building and development of harmonized criteria. Consequently, many biotechnology regulators need to quickly become more acquainted with the numerous technological possibilities enclosed under the concept of “gene editing”, and to incorporate criteria for their regulatory assessment. This article contains a simplified introduction to the state of the art in genome editing, described from a regulatory perspective. In particular, two issues of higher practical importance are covered in detail, namely, o -target e ects and unintended DNA insertions. The detailed review of current evidence regarding those issues serves as the basis for proposing concrete regulatory criteria to address them.","author":[{"dropping-particle":"","family":"Lema","given":"Martin A","non-dropping-particle":"","parse-names":false,"suffix":""}],"container-title":"Journal of Regulatory Science","id":"ITEM-1","issue":"1","issued":{"date-parts":[["2021"]]},"page":"1-15","title":"Regulatory Science Regulatory Assessment of O ff -Target Changes and Spurious DNA Insertions in Gene-Edited Organisms for Agri-Food Use","type":"article-journal","volume":"9"},"uris":["http://www.mendeley.com/documents/?uuid=f3c81310-f2cc-4bda-9f0c-2aad648ba109"]}],"mendeley":{"formattedCitation":"(Martin A Lema, 2021)","manualFormatting":"(Lema, 2021)","plainTextFormattedCitation":"(Martin A Lema, 2021)","previouslyFormattedCitation":"(Martin A Lema, 2021)"},"properties":{"noteIndex":0},"schema":"https://github.com/citation-style-language/schema/raw/master/csl-citation.json"}</w:instrText>
      </w:r>
      <w:r w:rsidRPr="00121D97">
        <w:rPr>
          <w:rFonts w:ascii="Times New Roman" w:hAnsi="Times New Roman"/>
          <w:color w:val="000000" w:themeColor="text1"/>
          <w:lang w:eastAsia="ar-SA"/>
        </w:rPr>
        <w:fldChar w:fldCharType="separate"/>
      </w:r>
      <w:r w:rsidRPr="008D3715">
        <w:rPr>
          <w:rFonts w:ascii="Times New Roman" w:hAnsi="Times New Roman"/>
          <w:noProof/>
          <w:color w:val="000000" w:themeColor="text1"/>
          <w:lang w:eastAsia="ar-SA"/>
        </w:rPr>
        <w:t>(Lema, 2021)</w:t>
      </w:r>
      <w:r w:rsidRPr="00121D97">
        <w:rPr>
          <w:rFonts w:ascii="Times New Roman" w:hAnsi="Times New Roman"/>
          <w:color w:val="000000" w:themeColor="text1"/>
          <w:lang w:eastAsia="ar-SA"/>
        </w:rPr>
        <w:fldChar w:fldCharType="end"/>
      </w:r>
      <w:r w:rsidRPr="60A86203">
        <w:rPr>
          <w:rFonts w:ascii="Times New Roman" w:hAnsi="Times New Roman"/>
          <w:color w:val="000000" w:themeColor="text1"/>
          <w:lang w:eastAsia="ar-SA"/>
        </w:rPr>
        <w:t>.</w:t>
      </w:r>
      <w:r w:rsidRPr="69BA3794">
        <w:rPr>
          <w:rFonts w:ascii="Times New Roman" w:hAnsi="Times New Roman"/>
          <w:color w:val="000000" w:themeColor="text1"/>
          <w:lang w:eastAsia="ar-SA"/>
        </w:rPr>
        <w:t xml:space="preserve"> </w:t>
      </w:r>
      <w:r>
        <w:rPr>
          <w:rFonts w:ascii="Times New Roman" w:hAnsi="Times New Roman"/>
          <w:color w:val="000000" w:themeColor="text1"/>
          <w:lang w:eastAsia="ar-SA"/>
        </w:rPr>
        <w:t>T</w:t>
      </w:r>
      <w:r w:rsidRPr="00012A98">
        <w:rPr>
          <w:rFonts w:ascii="Times New Roman" w:hAnsi="Times New Roman"/>
          <w:color w:val="000000" w:themeColor="text1"/>
          <w:lang w:eastAsia="ar-SA"/>
        </w:rPr>
        <w:t>he current debates</w:t>
      </w:r>
      <w:r>
        <w:rPr>
          <w:rFonts w:ascii="Times New Roman" w:hAnsi="Times New Roman"/>
          <w:color w:val="000000" w:themeColor="text1"/>
          <w:lang w:eastAsia="ar-SA"/>
        </w:rPr>
        <w:t xml:space="preserve"> echo a similar</w:t>
      </w:r>
      <w:r w:rsidRPr="00012A98">
        <w:rPr>
          <w:rFonts w:ascii="Times New Roman" w:hAnsi="Times New Roman"/>
          <w:color w:val="000000" w:themeColor="text1"/>
          <w:lang w:eastAsia="ar-SA"/>
        </w:rPr>
        <w:t xml:space="preserve"> range</w:t>
      </w:r>
      <w:r>
        <w:rPr>
          <w:rFonts w:ascii="Times New Roman" w:hAnsi="Times New Roman"/>
          <w:color w:val="000000" w:themeColor="text1"/>
          <w:lang w:eastAsia="ar-SA"/>
        </w:rPr>
        <w:t xml:space="preserve"> </w:t>
      </w:r>
      <w:r w:rsidRPr="00012A98">
        <w:rPr>
          <w:rFonts w:ascii="Times New Roman" w:hAnsi="Times New Roman"/>
          <w:color w:val="000000" w:themeColor="text1"/>
          <w:lang w:eastAsia="ar-SA"/>
        </w:rPr>
        <w:t>of views expressed</w:t>
      </w:r>
      <w:r>
        <w:rPr>
          <w:rFonts w:ascii="Times New Roman" w:hAnsi="Times New Roman"/>
          <w:color w:val="000000" w:themeColor="text1"/>
          <w:lang w:eastAsia="ar-SA"/>
        </w:rPr>
        <w:t xml:space="preserve"> at the emergence of classical genetic engineering </w:t>
      </w:r>
      <w:r w:rsidRPr="00121D97">
        <w:rPr>
          <w:rFonts w:ascii="Times New Roman" w:hAnsi="Times New Roman"/>
          <w:color w:val="000000" w:themeColor="text1"/>
          <w:lang w:eastAsia="ar-SA"/>
        </w:rPr>
        <w:fldChar w:fldCharType="begin" w:fldLock="1"/>
      </w:r>
      <w:r w:rsidR="008F6A90">
        <w:rPr>
          <w:rFonts w:ascii="Times New Roman" w:hAnsi="Times New Roman"/>
          <w:color w:val="000000" w:themeColor="text1"/>
          <w:lang w:eastAsia="ar-SA"/>
        </w:rPr>
        <w:instrText>ADDIN CSL_CITATION {"citationItems":[{"id":"ITEM-1","itemData":{"DOI":"10.3389/fbioe.2020.00310","ISSN":"22964185","abstract":"The primary international forum deliberating the regulation of “synthetic biology” is the Convention on Biological Diversity (CBD), along with its subsidiary agreements concerned with the biosafety of living modified organisms (LMOs; Cartagena Protocol on Biosafety to the CBD), and access and benefit sharing in relation to genetic resources (Nagoya Protocol to the CBD). This discussion has been underway for almost 10 years under the CBD agenda items of “synthetic biology” and “new and emerging issues relating to the conservation and sustainable use of biological diversity,” and more recently within the scope of Cartagena Protocol topics including risk assessment and risk management, and “digital sequence information” jointly with the Nagoya Protocol. There is no internationally accepted definition of “synthetic biology,” with it used as an umbrella term in this forum to capture “new” biotechnologies and “new” applications of established biotechnologies, whether actual or conceptual. The CBD debates are characterized by polarized views on the adequacy of existing regulatory mechanisms for “new” types of LMOs, including the scope of the current regulatory frameworks, and procedures and tools for risk assessment and risk mitigation and/or management. This paper provides an overview of international developments in biotechnology regulation, including the application of the Cartagena Protocol and relevant policy developments, and reviews the development of the synthetic biology debate under the CBD and its Protocols, including the major issues expected in the lead up to and during the 2020 Biodiversity Conference.","author":[{"dropping-particle":"","family":"Keiper","given":"Felicity","non-dropping-particle":"","parse-names":false,"suffix":""},{"dropping-particle":"","family":"Atanassova","given":"Ana","non-dropping-particle":"","parse-names":false,"suffix":""}],"container-title":"Frontiers in Bioengineering and Biotechnology","id":"ITEM-1","issued":{"date-parts":[["2020","4"]]},"publisher":"Frontiers Media S.A.","title":"Regulation of Synthetic Biology: Developments Under the Convention on Biological Diversity and Its Protocols","type":"article","volume":"8"},"uris":["http://www.mendeley.com/documents/?uuid=23393071-c58e-4e1d-9c5d-5c2f47ddcef4"]}],"mendeley":{"formattedCitation":"(Keiper &amp; Atanassova, 2020)","plainTextFormattedCitation":"(Keiper &amp; Atanassova, 2020)","previouslyFormattedCitation":"(Keiper &amp; Atanassova, 2020)"},"properties":{"noteIndex":0},"schema":"https://github.com/citation-style-language/schema/raw/master/csl-citation.json"}</w:instrText>
      </w:r>
      <w:r w:rsidRPr="00121D97">
        <w:rPr>
          <w:rFonts w:ascii="Times New Roman" w:hAnsi="Times New Roman"/>
          <w:color w:val="000000" w:themeColor="text1"/>
          <w:lang w:eastAsia="ar-SA"/>
        </w:rPr>
        <w:fldChar w:fldCharType="separate"/>
      </w:r>
      <w:r w:rsidRPr="00A4269E">
        <w:rPr>
          <w:rFonts w:ascii="Times New Roman" w:hAnsi="Times New Roman"/>
          <w:noProof/>
          <w:color w:val="000000" w:themeColor="text1"/>
          <w:lang w:eastAsia="ar-SA"/>
        </w:rPr>
        <w:t>(Keiper &amp; Atanassova, 2020)</w:t>
      </w:r>
      <w:r w:rsidRPr="00121D97">
        <w:rPr>
          <w:rFonts w:ascii="Times New Roman" w:hAnsi="Times New Roman"/>
          <w:color w:val="000000" w:themeColor="text1"/>
          <w:lang w:eastAsia="ar-SA"/>
        </w:rPr>
        <w:fldChar w:fldCharType="end"/>
      </w:r>
      <w:r w:rsidRPr="00012A98">
        <w:rPr>
          <w:rFonts w:ascii="Times New Roman" w:hAnsi="Times New Roman"/>
          <w:color w:val="000000" w:themeColor="text1"/>
          <w:lang w:eastAsia="ar-SA"/>
        </w:rPr>
        <w:t>: from biotechnological developments being</w:t>
      </w:r>
      <w:r>
        <w:rPr>
          <w:rFonts w:ascii="Times New Roman" w:hAnsi="Times New Roman"/>
          <w:color w:val="000000" w:themeColor="text1"/>
          <w:lang w:eastAsia="ar-SA"/>
        </w:rPr>
        <w:t xml:space="preserve"> </w:t>
      </w:r>
      <w:r w:rsidRPr="00012A98">
        <w:rPr>
          <w:rFonts w:ascii="Times New Roman" w:hAnsi="Times New Roman"/>
          <w:color w:val="000000" w:themeColor="text1"/>
          <w:lang w:eastAsia="ar-SA"/>
        </w:rPr>
        <w:t>inherently risky and requiring stringent regulation based on</w:t>
      </w:r>
      <w:r>
        <w:rPr>
          <w:rFonts w:ascii="Times New Roman" w:hAnsi="Times New Roman"/>
          <w:color w:val="000000" w:themeColor="text1"/>
          <w:lang w:eastAsia="ar-SA"/>
        </w:rPr>
        <w:t xml:space="preserve"> </w:t>
      </w:r>
      <w:r w:rsidRPr="00012A98">
        <w:rPr>
          <w:rFonts w:ascii="Times New Roman" w:hAnsi="Times New Roman"/>
          <w:color w:val="000000" w:themeColor="text1"/>
          <w:lang w:eastAsia="ar-SA"/>
        </w:rPr>
        <w:t>the precautionary approach, through to these technologies not</w:t>
      </w:r>
      <w:r>
        <w:rPr>
          <w:rFonts w:ascii="Times New Roman" w:hAnsi="Times New Roman"/>
          <w:color w:val="000000" w:themeColor="text1"/>
          <w:lang w:eastAsia="ar-SA"/>
        </w:rPr>
        <w:t xml:space="preserve"> </w:t>
      </w:r>
      <w:r w:rsidRPr="00012A98">
        <w:rPr>
          <w:rFonts w:ascii="Times New Roman" w:hAnsi="Times New Roman"/>
          <w:color w:val="000000" w:themeColor="text1"/>
          <w:lang w:eastAsia="ar-SA"/>
        </w:rPr>
        <w:t xml:space="preserve">presenting </w:t>
      </w:r>
      <w:r>
        <w:rPr>
          <w:rFonts w:ascii="Times New Roman" w:hAnsi="Times New Roman"/>
          <w:color w:val="000000" w:themeColor="text1"/>
          <w:lang w:eastAsia="ar-SA"/>
        </w:rPr>
        <w:t xml:space="preserve">any </w:t>
      </w:r>
      <w:r w:rsidRPr="00012A98">
        <w:rPr>
          <w:rFonts w:ascii="Times New Roman" w:hAnsi="Times New Roman"/>
          <w:color w:val="000000" w:themeColor="text1"/>
          <w:lang w:eastAsia="ar-SA"/>
        </w:rPr>
        <w:t xml:space="preserve">unique or novel risks. </w:t>
      </w:r>
      <w:r>
        <w:rPr>
          <w:rFonts w:ascii="Times New Roman" w:hAnsi="Times New Roman"/>
          <w:color w:val="000000" w:themeColor="text1"/>
          <w:lang w:eastAsia="ar-SA"/>
        </w:rPr>
        <w:t xml:space="preserve">If discussions to date are anything to go by, </w:t>
      </w:r>
      <w:r w:rsidRPr="69BA3794">
        <w:rPr>
          <w:rFonts w:ascii="Times New Roman" w:hAnsi="Times New Roman"/>
          <w:color w:val="000000" w:themeColor="text1"/>
          <w:lang w:eastAsia="ar-SA"/>
        </w:rPr>
        <w:t xml:space="preserve">those </w:t>
      </w:r>
      <w:r>
        <w:rPr>
          <w:rFonts w:ascii="Times New Roman" w:hAnsi="Times New Roman"/>
          <w:color w:val="000000" w:themeColor="text1"/>
          <w:lang w:eastAsia="ar-SA"/>
        </w:rPr>
        <w:t>likely to fall under</w:t>
      </w:r>
      <w:r w:rsidRPr="69BA3794">
        <w:rPr>
          <w:rFonts w:ascii="Times New Roman" w:hAnsi="Times New Roman"/>
          <w:color w:val="000000" w:themeColor="text1"/>
          <w:lang w:eastAsia="ar-SA"/>
        </w:rPr>
        <w:t xml:space="preserve"> </w:t>
      </w:r>
      <w:r>
        <w:rPr>
          <w:rFonts w:ascii="Times New Roman" w:hAnsi="Times New Roman"/>
          <w:color w:val="000000" w:themeColor="text1"/>
          <w:lang w:eastAsia="ar-SA"/>
        </w:rPr>
        <w:t>regulation</w:t>
      </w:r>
      <w:r w:rsidRPr="69BA3794">
        <w:rPr>
          <w:rFonts w:ascii="Times New Roman" w:hAnsi="Times New Roman"/>
          <w:color w:val="000000" w:themeColor="text1"/>
          <w:lang w:eastAsia="ar-SA"/>
        </w:rPr>
        <w:t xml:space="preserve"> will be subject to a </w:t>
      </w:r>
      <w:r>
        <w:rPr>
          <w:rFonts w:ascii="Times New Roman" w:hAnsi="Times New Roman"/>
          <w:color w:val="000000" w:themeColor="text1"/>
          <w:lang w:eastAsia="ar-SA"/>
        </w:rPr>
        <w:t>thorough</w:t>
      </w:r>
      <w:r w:rsidRPr="69BA3794">
        <w:rPr>
          <w:rFonts w:ascii="Times New Roman" w:hAnsi="Times New Roman"/>
          <w:color w:val="000000" w:themeColor="text1"/>
          <w:lang w:eastAsia="ar-SA"/>
        </w:rPr>
        <w:t xml:space="preserve"> </w:t>
      </w:r>
      <w:r w:rsidRPr="3A38BC59">
        <w:rPr>
          <w:rFonts w:ascii="Times New Roman" w:hAnsi="Times New Roman"/>
          <w:color w:val="000000" w:themeColor="text1"/>
          <w:lang w:eastAsia="ar-SA"/>
        </w:rPr>
        <w:t>analys</w:t>
      </w:r>
      <w:r w:rsidRPr="5B5E7A54">
        <w:rPr>
          <w:rFonts w:ascii="Times New Roman" w:hAnsi="Times New Roman"/>
          <w:color w:val="000000" w:themeColor="text1"/>
          <w:lang w:eastAsia="ar-SA"/>
        </w:rPr>
        <w:t>is</w:t>
      </w:r>
      <w:r w:rsidRPr="69BA3794">
        <w:rPr>
          <w:rFonts w:ascii="Times New Roman" w:hAnsi="Times New Roman"/>
          <w:color w:val="000000" w:themeColor="text1"/>
          <w:lang w:eastAsia="ar-SA"/>
        </w:rPr>
        <w:t xml:space="preserve"> of their</w:t>
      </w:r>
      <w:r w:rsidRPr="69BA3794">
        <w:rPr>
          <w:rFonts w:ascii="Times New Roman" w:hAnsi="Times New Roman"/>
          <w:color w:val="000000"/>
          <w:kern w:val="1"/>
          <w:lang w:eastAsia="ar-SA"/>
        </w:rPr>
        <w:t xml:space="preserve"> different potential impacts, both</w:t>
      </w:r>
      <w:r>
        <w:rPr>
          <w:rFonts w:ascii="Times New Roman" w:hAnsi="Times New Roman"/>
          <w:color w:val="000000"/>
          <w:kern w:val="1"/>
          <w:lang w:eastAsia="ar-SA"/>
        </w:rPr>
        <w:t xml:space="preserve"> directly (</w:t>
      </w:r>
      <w:r>
        <w:rPr>
          <w:rFonts w:ascii="Times New Roman" w:hAnsi="Times New Roman"/>
          <w:color w:val="000000" w:themeColor="text1"/>
          <w:lang w:eastAsia="ar-SA"/>
        </w:rPr>
        <w:t xml:space="preserve">Section </w:t>
      </w:r>
      <w:r w:rsidR="00354F53">
        <w:rPr>
          <w:rFonts w:ascii="Times New Roman" w:hAnsi="Times New Roman"/>
          <w:color w:val="000000" w:themeColor="text1"/>
          <w:lang w:eastAsia="ar-SA"/>
        </w:rPr>
        <w:t>4</w:t>
      </w:r>
      <w:r w:rsidRPr="69BA3794">
        <w:rPr>
          <w:rFonts w:ascii="Times New Roman" w:hAnsi="Times New Roman"/>
          <w:color w:val="000000" w:themeColor="text1"/>
          <w:lang w:eastAsia="ar-SA"/>
        </w:rPr>
        <w:t>)</w:t>
      </w:r>
      <w:r>
        <w:rPr>
          <w:rFonts w:ascii="Times New Roman" w:hAnsi="Times New Roman"/>
          <w:color w:val="000000" w:themeColor="text1"/>
          <w:lang w:eastAsia="ar-SA"/>
        </w:rPr>
        <w:t>,</w:t>
      </w:r>
      <w:r w:rsidRPr="69BA3794">
        <w:rPr>
          <w:rFonts w:ascii="Times New Roman" w:hAnsi="Times New Roman"/>
          <w:color w:val="000000" w:themeColor="text1"/>
          <w:lang w:eastAsia="ar-SA"/>
        </w:rPr>
        <w:t xml:space="preserve"> </w:t>
      </w:r>
      <w:r w:rsidRPr="69BA3794">
        <w:rPr>
          <w:rFonts w:ascii="Times New Roman" w:hAnsi="Times New Roman"/>
          <w:color w:val="000000"/>
          <w:kern w:val="1"/>
          <w:lang w:eastAsia="ar-SA"/>
        </w:rPr>
        <w:t>and</w:t>
      </w:r>
      <w:r>
        <w:rPr>
          <w:rFonts w:ascii="Times New Roman" w:hAnsi="Times New Roman"/>
          <w:color w:val="000000"/>
          <w:kern w:val="1"/>
          <w:lang w:eastAsia="ar-SA"/>
        </w:rPr>
        <w:t xml:space="preserve"> more broadly</w:t>
      </w:r>
      <w:r w:rsidRPr="69BA3794">
        <w:rPr>
          <w:rFonts w:ascii="Times New Roman" w:hAnsi="Times New Roman"/>
          <w:color w:val="000000"/>
          <w:kern w:val="1"/>
          <w:lang w:eastAsia="ar-SA"/>
        </w:rPr>
        <w:t xml:space="preserve"> </w:t>
      </w:r>
      <w:r>
        <w:rPr>
          <w:rFonts w:ascii="Times New Roman" w:hAnsi="Times New Roman"/>
          <w:color w:val="000000"/>
          <w:kern w:val="1"/>
          <w:lang w:eastAsia="ar-SA"/>
        </w:rPr>
        <w:t>(</w:t>
      </w:r>
      <w:r>
        <w:rPr>
          <w:rFonts w:ascii="Times New Roman" w:hAnsi="Times New Roman"/>
          <w:color w:val="000000" w:themeColor="text1"/>
          <w:lang w:eastAsia="ar-SA"/>
        </w:rPr>
        <w:t xml:space="preserve">Section </w:t>
      </w:r>
      <w:r w:rsidR="00354F53">
        <w:rPr>
          <w:rFonts w:ascii="Times New Roman" w:hAnsi="Times New Roman"/>
          <w:color w:val="000000" w:themeColor="text1"/>
          <w:lang w:eastAsia="ar-SA"/>
        </w:rPr>
        <w:t>5</w:t>
      </w:r>
      <w:r w:rsidRPr="69BA3794">
        <w:rPr>
          <w:rFonts w:ascii="Times New Roman" w:hAnsi="Times New Roman"/>
          <w:color w:val="000000" w:themeColor="text1"/>
          <w:lang w:eastAsia="ar-SA"/>
        </w:rPr>
        <w:t>)</w:t>
      </w:r>
      <w:r w:rsidRPr="69BA3794">
        <w:rPr>
          <w:rFonts w:ascii="Times New Roman" w:hAnsi="Times New Roman"/>
          <w:color w:val="000000"/>
          <w:kern w:val="1"/>
          <w:lang w:eastAsia="ar-SA"/>
        </w:rPr>
        <w:t xml:space="preserve"> on biodiversity-related issues</w:t>
      </w:r>
      <w:r>
        <w:rPr>
          <w:rFonts w:ascii="Times New Roman" w:hAnsi="Times New Roman"/>
          <w:color w:val="000000"/>
          <w:kern w:val="1"/>
          <w:lang w:eastAsia="ar-SA"/>
        </w:rPr>
        <w:t xml:space="preserve"> and others</w:t>
      </w:r>
      <w:r w:rsidRPr="69BA3794">
        <w:rPr>
          <w:rFonts w:ascii="Times New Roman" w:hAnsi="Times New Roman"/>
          <w:color w:val="000000" w:themeColor="text1"/>
          <w:lang w:eastAsia="ar-SA"/>
        </w:rPr>
        <w:t xml:space="preserve"> before any authorisation will be given</w:t>
      </w:r>
      <w:r w:rsidRPr="65A51B64">
        <w:rPr>
          <w:rFonts w:ascii="Times New Roman" w:hAnsi="Times New Roman"/>
          <w:color w:val="000000"/>
          <w:kern w:val="1"/>
          <w:lang w:eastAsia="ar-SA"/>
        </w:rPr>
        <w:t>.</w:t>
      </w:r>
      <w:r w:rsidR="000E5089">
        <w:rPr>
          <w:rFonts w:ascii="Times New Roman" w:hAnsi="Times New Roman"/>
          <w:color w:val="000000"/>
          <w:kern w:val="1"/>
          <w:lang w:eastAsia="ar-SA"/>
        </w:rPr>
        <w:t xml:space="preserve"> This section discusses </w:t>
      </w:r>
      <w:r w:rsidR="00FD5863">
        <w:rPr>
          <w:rFonts w:ascii="Times New Roman" w:hAnsi="Times New Roman"/>
          <w:color w:val="000000"/>
          <w:kern w:val="1"/>
          <w:lang w:eastAsia="ar-SA"/>
        </w:rPr>
        <w:t xml:space="preserve">the various regulatory approaches that are beginning to emerge following the commercialisation of the first applications of synthetic biology, along with </w:t>
      </w:r>
      <w:r w:rsidR="00F801EA">
        <w:rPr>
          <w:rFonts w:ascii="Times New Roman" w:hAnsi="Times New Roman"/>
          <w:color w:val="000000"/>
          <w:kern w:val="1"/>
          <w:lang w:eastAsia="ar-SA"/>
        </w:rPr>
        <w:t xml:space="preserve">challenges </w:t>
      </w:r>
      <w:r w:rsidR="00085901">
        <w:rPr>
          <w:rFonts w:ascii="Times New Roman" w:hAnsi="Times New Roman"/>
          <w:color w:val="000000"/>
          <w:kern w:val="1"/>
          <w:lang w:eastAsia="ar-SA"/>
        </w:rPr>
        <w:t xml:space="preserve">that have </w:t>
      </w:r>
      <w:r w:rsidR="00F801EA">
        <w:rPr>
          <w:rFonts w:ascii="Times New Roman" w:hAnsi="Times New Roman"/>
          <w:color w:val="000000"/>
          <w:kern w:val="1"/>
          <w:lang w:eastAsia="ar-SA"/>
        </w:rPr>
        <w:t xml:space="preserve">arisen </w:t>
      </w:r>
      <w:r w:rsidR="000612C3">
        <w:rPr>
          <w:rFonts w:ascii="Times New Roman" w:hAnsi="Times New Roman"/>
          <w:color w:val="000000"/>
          <w:kern w:val="1"/>
          <w:lang w:eastAsia="ar-SA"/>
        </w:rPr>
        <w:t xml:space="preserve">as countries begin to decide </w:t>
      </w:r>
      <w:r w:rsidR="00467E6F">
        <w:rPr>
          <w:rFonts w:ascii="Times New Roman" w:hAnsi="Times New Roman"/>
          <w:color w:val="000000"/>
          <w:kern w:val="1"/>
          <w:lang w:eastAsia="ar-SA"/>
        </w:rPr>
        <w:t xml:space="preserve">how to </w:t>
      </w:r>
      <w:r w:rsidR="00C05FCF">
        <w:rPr>
          <w:rFonts w:ascii="Times New Roman" w:hAnsi="Times New Roman"/>
          <w:color w:val="000000"/>
          <w:kern w:val="1"/>
          <w:lang w:eastAsia="ar-SA"/>
        </w:rPr>
        <w:t>best</w:t>
      </w:r>
      <w:r w:rsidR="00F5499A">
        <w:rPr>
          <w:rFonts w:ascii="Times New Roman" w:hAnsi="Times New Roman"/>
          <w:color w:val="000000"/>
          <w:kern w:val="1"/>
          <w:lang w:eastAsia="ar-SA"/>
        </w:rPr>
        <w:t xml:space="preserve"> </w:t>
      </w:r>
      <w:r w:rsidR="00C05FCF">
        <w:rPr>
          <w:rFonts w:ascii="Times New Roman" w:hAnsi="Times New Roman"/>
          <w:color w:val="000000"/>
          <w:kern w:val="1"/>
          <w:lang w:eastAsia="ar-SA"/>
        </w:rPr>
        <w:t xml:space="preserve">to utilise </w:t>
      </w:r>
      <w:r w:rsidR="00F5499A">
        <w:rPr>
          <w:rFonts w:ascii="Times New Roman" w:hAnsi="Times New Roman"/>
          <w:color w:val="000000"/>
          <w:kern w:val="1"/>
          <w:lang w:eastAsia="ar-SA"/>
        </w:rPr>
        <w:t xml:space="preserve">(or not) </w:t>
      </w:r>
      <w:r w:rsidR="00C05FCF">
        <w:rPr>
          <w:rFonts w:ascii="Times New Roman" w:hAnsi="Times New Roman"/>
          <w:color w:val="000000"/>
          <w:kern w:val="1"/>
          <w:lang w:eastAsia="ar-SA"/>
        </w:rPr>
        <w:t xml:space="preserve">the </w:t>
      </w:r>
      <w:r w:rsidR="00F5499A">
        <w:rPr>
          <w:rFonts w:ascii="Times New Roman" w:hAnsi="Times New Roman"/>
          <w:color w:val="000000"/>
          <w:kern w:val="1"/>
          <w:lang w:eastAsia="ar-SA"/>
        </w:rPr>
        <w:t xml:space="preserve">various </w:t>
      </w:r>
      <w:r w:rsidR="00D57F39">
        <w:rPr>
          <w:rFonts w:ascii="Times New Roman" w:hAnsi="Times New Roman"/>
          <w:color w:val="000000"/>
          <w:kern w:val="1"/>
          <w:lang w:eastAsia="ar-SA"/>
        </w:rPr>
        <w:t xml:space="preserve">synthetic biology </w:t>
      </w:r>
      <w:r w:rsidR="00F5499A">
        <w:rPr>
          <w:rFonts w:ascii="Times New Roman" w:hAnsi="Times New Roman"/>
          <w:color w:val="000000"/>
          <w:kern w:val="1"/>
          <w:lang w:eastAsia="ar-SA"/>
        </w:rPr>
        <w:t>technologies</w:t>
      </w:r>
      <w:r w:rsidR="00D57F39">
        <w:rPr>
          <w:rFonts w:ascii="Times New Roman" w:hAnsi="Times New Roman"/>
          <w:color w:val="000000"/>
          <w:kern w:val="1"/>
          <w:lang w:eastAsia="ar-SA"/>
        </w:rPr>
        <w:t>.</w:t>
      </w:r>
    </w:p>
    <w:p w14:paraId="392D1A49" w14:textId="5AE53AEE" w:rsidR="008C433F" w:rsidRPr="000C4139" w:rsidRDefault="00BE27F5" w:rsidP="001E2AB2">
      <w:pPr>
        <w:pStyle w:val="Heading3"/>
        <w:rPr>
          <w:i w:val="0"/>
          <w:iCs w:val="0"/>
          <w:color w:val="000000" w:themeColor="text1"/>
          <w:lang w:val="en-GB"/>
        </w:rPr>
      </w:pPr>
      <w:bookmarkStart w:id="111" w:name="_Toc70112699"/>
      <w:bookmarkStart w:id="112" w:name="_Toc70685721"/>
      <w:r w:rsidRPr="001E2AB2">
        <w:rPr>
          <w:rStyle w:val="Heading2Char"/>
          <w:rFonts w:eastAsia="Calibri"/>
          <w:b w:val="0"/>
          <w:i/>
        </w:rPr>
        <w:t>7</w:t>
      </w:r>
      <w:r w:rsidR="008C433F" w:rsidRPr="001E2AB2">
        <w:rPr>
          <w:rStyle w:val="Heading2Char"/>
          <w:rFonts w:eastAsia="Calibri"/>
          <w:b w:val="0"/>
          <w:i/>
        </w:rPr>
        <w:t xml:space="preserve">.1. Current regulatory practices and </w:t>
      </w:r>
      <w:r w:rsidR="003C6FAC" w:rsidRPr="001E2AB2">
        <w:rPr>
          <w:rStyle w:val="Heading2Char"/>
          <w:rFonts w:eastAsia="Calibri"/>
          <w:b w:val="0"/>
          <w:i/>
        </w:rPr>
        <w:t>approaches related to</w:t>
      </w:r>
      <w:r w:rsidR="008C433F" w:rsidRPr="001E2AB2">
        <w:rPr>
          <w:rStyle w:val="Heading2Char"/>
          <w:rFonts w:eastAsia="Calibri"/>
          <w:b w:val="0"/>
          <w:i/>
        </w:rPr>
        <w:t xml:space="preserve"> synthetic biology</w:t>
      </w:r>
      <w:r w:rsidR="00FA12D8" w:rsidRPr="001E2AB2">
        <w:rPr>
          <w:i w:val="0"/>
          <w:color w:val="000000" w:themeColor="text1"/>
          <w:lang w:val="en-GB"/>
        </w:rPr>
        <w:t>.</w:t>
      </w:r>
      <w:bookmarkEnd w:id="111"/>
      <w:bookmarkEnd w:id="112"/>
    </w:p>
    <w:p w14:paraId="110E8A54" w14:textId="67F7B474" w:rsidR="008C433F" w:rsidRDefault="008C433F" w:rsidP="008C433F">
      <w:pPr>
        <w:spacing w:before="120" w:after="120" w:line="240" w:lineRule="auto"/>
        <w:jc w:val="both"/>
        <w:rPr>
          <w:rFonts w:ascii="Times New Roman" w:hAnsi="Times New Roman"/>
          <w:color w:val="000000" w:themeColor="text1"/>
          <w:lang w:eastAsia="ar-SA"/>
        </w:rPr>
      </w:pPr>
      <w:r>
        <w:rPr>
          <w:rFonts w:ascii="Times New Roman" w:hAnsi="Times New Roman"/>
          <w:color w:val="000000" w:themeColor="text1"/>
          <w:lang w:eastAsia="ar-SA"/>
        </w:rPr>
        <w:t>As mentioned on the previous section, requests for use and release of</w:t>
      </w:r>
      <w:r w:rsidRPr="00F72C18">
        <w:rPr>
          <w:rFonts w:ascii="Times New Roman" w:hAnsi="Times New Roman"/>
          <w:color w:val="000000" w:themeColor="text1"/>
          <w:lang w:eastAsia="ar-SA"/>
        </w:rPr>
        <w:t xml:space="preserve"> </w:t>
      </w:r>
      <w:r>
        <w:rPr>
          <w:rFonts w:ascii="Times New Roman" w:hAnsi="Times New Roman"/>
          <w:color w:val="000000" w:themeColor="text1"/>
          <w:lang w:eastAsia="ar-SA"/>
        </w:rPr>
        <w:t>synthetic biology applications</w:t>
      </w:r>
      <w:r w:rsidRPr="00F72C18">
        <w:rPr>
          <w:rFonts w:ascii="Times New Roman" w:hAnsi="Times New Roman"/>
          <w:color w:val="000000" w:themeColor="text1"/>
          <w:lang w:eastAsia="ar-SA"/>
        </w:rPr>
        <w:t xml:space="preserve"> will likely be </w:t>
      </w:r>
      <w:r>
        <w:rPr>
          <w:rFonts w:ascii="Times New Roman" w:hAnsi="Times New Roman"/>
          <w:color w:val="000000" w:themeColor="text1"/>
          <w:lang w:eastAsia="ar-SA"/>
        </w:rPr>
        <w:t>evaluated</w:t>
      </w:r>
      <w:r w:rsidRPr="00F72C18">
        <w:rPr>
          <w:rFonts w:ascii="Times New Roman" w:hAnsi="Times New Roman"/>
          <w:color w:val="000000" w:themeColor="text1"/>
          <w:lang w:eastAsia="ar-SA"/>
        </w:rPr>
        <w:t xml:space="preserve"> within a risk-based </w:t>
      </w:r>
      <w:r>
        <w:rPr>
          <w:rFonts w:ascii="Times New Roman" w:hAnsi="Times New Roman"/>
          <w:color w:val="000000" w:themeColor="text1"/>
          <w:lang w:eastAsia="ar-SA"/>
        </w:rPr>
        <w:t xml:space="preserve">regulatory </w:t>
      </w:r>
      <w:r w:rsidRPr="00F72C18">
        <w:rPr>
          <w:rFonts w:ascii="Times New Roman" w:hAnsi="Times New Roman"/>
          <w:color w:val="000000" w:themeColor="text1"/>
          <w:lang w:eastAsia="ar-SA"/>
        </w:rPr>
        <w:t>decision-making process</w:t>
      </w:r>
      <w:r>
        <w:rPr>
          <w:rFonts w:ascii="Times New Roman" w:hAnsi="Times New Roman"/>
          <w:color w:val="000000" w:themeColor="text1"/>
          <w:lang w:eastAsia="ar-SA"/>
        </w:rPr>
        <w:t xml:space="preserve"> which </w:t>
      </w:r>
      <w:r w:rsidRPr="00F72C18">
        <w:rPr>
          <w:rFonts w:ascii="Times New Roman" w:hAnsi="Times New Roman"/>
          <w:color w:val="000000" w:themeColor="text1"/>
          <w:lang w:eastAsia="ar-SA"/>
        </w:rPr>
        <w:t>will be influenced by ethical, socio-cultural, epidemiological, ecological and economic considerations</w:t>
      </w:r>
      <w:r>
        <w:rPr>
          <w:rFonts w:ascii="Times New Roman" w:hAnsi="Times New Roman"/>
          <w:color w:val="000000" w:themeColor="text1"/>
          <w:lang w:eastAsia="ar-SA"/>
        </w:rPr>
        <w:t xml:space="preserve">. </w:t>
      </w:r>
      <w:r w:rsidRPr="00C97638">
        <w:rPr>
          <w:rFonts w:ascii="Times New Roman" w:hAnsi="Times New Roman"/>
          <w:color w:val="000000" w:themeColor="text1"/>
          <w:lang w:eastAsia="ar-SA"/>
        </w:rPr>
        <w:t>Furthermore, potential risks of synthetic biology must be weighed against the benefits</w:t>
      </w:r>
      <w:r>
        <w:rPr>
          <w:rFonts w:ascii="Times New Roman" w:hAnsi="Times New Roman"/>
          <w:color w:val="000000" w:themeColor="text1"/>
          <w:lang w:eastAsia="ar-SA"/>
        </w:rPr>
        <w:t xml:space="preserve"> </w:t>
      </w:r>
      <w:r w:rsidRPr="00C97638">
        <w:rPr>
          <w:rFonts w:ascii="Times New Roman" w:hAnsi="Times New Roman"/>
          <w:color w:val="000000" w:themeColor="text1"/>
          <w:lang w:eastAsia="ar-SA"/>
        </w:rPr>
        <w:t>and considering that there could also be</w:t>
      </w:r>
      <w:r>
        <w:rPr>
          <w:rFonts w:ascii="Times New Roman" w:hAnsi="Times New Roman"/>
          <w:color w:val="000000" w:themeColor="text1"/>
          <w:lang w:eastAsia="ar-SA"/>
        </w:rPr>
        <w:t xml:space="preserve"> </w:t>
      </w:r>
      <w:r w:rsidRPr="00C97638">
        <w:rPr>
          <w:rFonts w:ascii="Times New Roman" w:hAnsi="Times New Roman"/>
          <w:color w:val="000000" w:themeColor="text1"/>
          <w:lang w:eastAsia="ar-SA"/>
        </w:rPr>
        <w:t>ethical components to the decision to use or not a new technology</w:t>
      </w:r>
      <w:r>
        <w:rPr>
          <w:rFonts w:ascii="Times New Roman" w:hAnsi="Times New Roman"/>
          <w:color w:val="000000" w:themeColor="text1"/>
          <w:lang w:eastAsia="ar-SA"/>
        </w:rPr>
        <w:t>.</w:t>
      </w:r>
    </w:p>
    <w:p w14:paraId="75DD85D7" w14:textId="439B5550" w:rsidR="008C433F" w:rsidRPr="000C4139" w:rsidRDefault="008C433F" w:rsidP="008C433F">
      <w:pPr>
        <w:spacing w:before="120" w:after="120" w:line="240" w:lineRule="auto"/>
        <w:jc w:val="both"/>
        <w:rPr>
          <w:rFonts w:ascii="Times New Roman" w:hAnsi="Times New Roman"/>
          <w:color w:val="000000" w:themeColor="text1"/>
          <w:lang w:eastAsia="ar-SA"/>
        </w:rPr>
      </w:pPr>
      <w:r w:rsidRPr="0051550C">
        <w:rPr>
          <w:rFonts w:ascii="Times New Roman" w:hAnsi="Times New Roman"/>
          <w:color w:val="000000" w:themeColor="text1"/>
          <w:lang w:eastAsia="ar-SA"/>
        </w:rPr>
        <w:t>As regulatory authorisation is increasingly being sought as more and more synthetic biology applications proceed through advance development to commercial activity, regulatory authorities have begun to publish the results of discussions that they have had in order to better inform developers, decision-makers and the wider public of how they will interpret their legal framework in this light</w:t>
      </w:r>
      <w:r>
        <w:rPr>
          <w:rFonts w:ascii="Times New Roman" w:hAnsi="Times New Roman"/>
          <w:color w:val="000000" w:themeColor="text1"/>
          <w:lang w:eastAsia="ar-SA"/>
        </w:rPr>
        <w:t>.</w:t>
      </w:r>
      <w:r w:rsidRPr="00A748DE">
        <w:t xml:space="preserve"> </w:t>
      </w:r>
      <w:r w:rsidRPr="00A748DE">
        <w:rPr>
          <w:rFonts w:ascii="Times New Roman" w:hAnsi="Times New Roman"/>
          <w:color w:val="000000" w:themeColor="text1"/>
          <w:lang w:eastAsia="ar-SA"/>
        </w:rPr>
        <w:t>The main technologies that have received regulatory attention to date are genome editing, engineered gene drives and RNAi technology, and are discussed below.</w:t>
      </w:r>
    </w:p>
    <w:p w14:paraId="7C13BD62" w14:textId="48584B05" w:rsidR="008C433F" w:rsidRPr="0078129C" w:rsidRDefault="00FC3E7A" w:rsidP="0062682B">
      <w:pPr>
        <w:pStyle w:val="Heading4"/>
        <w:rPr>
          <w:i w:val="0"/>
        </w:rPr>
      </w:pPr>
      <w:r w:rsidRPr="0062682B">
        <w:rPr>
          <w:i w:val="0"/>
          <w:iCs/>
        </w:rPr>
        <w:t>7</w:t>
      </w:r>
      <w:r w:rsidR="00FA12D8" w:rsidRPr="0062682B">
        <w:rPr>
          <w:i w:val="0"/>
        </w:rPr>
        <w:t>.</w:t>
      </w:r>
      <w:r w:rsidR="008C433F" w:rsidRPr="0062682B">
        <w:rPr>
          <w:i w:val="0"/>
        </w:rPr>
        <w:t>1.1. Genome-editing</w:t>
      </w:r>
      <w:r w:rsidR="00FA12D8" w:rsidRPr="0062682B">
        <w:rPr>
          <w:i w:val="0"/>
        </w:rPr>
        <w:t>.</w:t>
      </w:r>
    </w:p>
    <w:p w14:paraId="0E90DC11" w14:textId="0CFF8DE3" w:rsidR="003642F4" w:rsidRPr="003642F4" w:rsidRDefault="008C433F" w:rsidP="00E61D47">
      <w:pPr>
        <w:suppressAutoHyphens/>
        <w:autoSpaceDE w:val="0"/>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A</w:t>
      </w:r>
      <w:r w:rsidRPr="69BA3794">
        <w:rPr>
          <w:rFonts w:ascii="Times New Roman" w:eastAsia="SimSun" w:hAnsi="Times New Roman" w:cs="Calibri"/>
          <w:color w:val="000000" w:themeColor="text1"/>
          <w:lang w:eastAsia="hi-IN" w:bidi="hi-IN"/>
        </w:rPr>
        <w:t xml:space="preserve"> wide range</w:t>
      </w:r>
      <w:r>
        <w:rPr>
          <w:rFonts w:ascii="Times New Roman" w:eastAsia="SimSun" w:hAnsi="Times New Roman" w:cs="Calibri"/>
          <w:color w:val="000000" w:themeColor="text1"/>
          <w:lang w:eastAsia="hi-IN" w:bidi="hi-IN"/>
        </w:rPr>
        <w:t xml:space="preserve"> of positions </w:t>
      </w:r>
      <w:r w:rsidR="00A03A6B">
        <w:rPr>
          <w:rFonts w:ascii="Times New Roman" w:eastAsia="SimSun" w:hAnsi="Times New Roman" w:cs="Calibri"/>
          <w:color w:val="000000" w:themeColor="text1"/>
          <w:lang w:eastAsia="hi-IN" w:bidi="hi-IN"/>
        </w:rPr>
        <w:t>are</w:t>
      </w:r>
      <w:r w:rsidRPr="69BA3794">
        <w:rPr>
          <w:rFonts w:ascii="Times New Roman" w:eastAsia="SimSun" w:hAnsi="Times New Roman" w:cs="Calibri"/>
          <w:color w:val="000000" w:themeColor="text1"/>
          <w:lang w:eastAsia="hi-IN" w:bidi="hi-IN"/>
        </w:rPr>
        <w:t xml:space="preserve"> taken by regulatory authorities in countries across the globe when addressing whether </w:t>
      </w:r>
      <w:r>
        <w:rPr>
          <w:rFonts w:ascii="Times New Roman" w:eastAsia="SimSun" w:hAnsi="Times New Roman" w:cs="Calibri"/>
          <w:color w:val="000000" w:themeColor="text1"/>
          <w:lang w:eastAsia="hi-IN" w:bidi="hi-IN"/>
        </w:rPr>
        <w:t>applications</w:t>
      </w:r>
      <w:r w:rsidRPr="69BA3794">
        <w:rPr>
          <w:rFonts w:ascii="Times New Roman" w:eastAsia="SimSun" w:hAnsi="Times New Roman" w:cs="Calibri"/>
          <w:color w:val="000000" w:themeColor="text1"/>
          <w:lang w:eastAsia="hi-IN" w:bidi="hi-IN"/>
        </w:rPr>
        <w:t xml:space="preserve"> </w:t>
      </w:r>
      <w:r>
        <w:rPr>
          <w:rFonts w:ascii="Times New Roman" w:eastAsia="SimSun" w:hAnsi="Times New Roman" w:cs="Calibri"/>
          <w:color w:val="000000" w:themeColor="text1"/>
          <w:lang w:eastAsia="hi-IN" w:bidi="hi-IN"/>
        </w:rPr>
        <w:t xml:space="preserve">using genome editing </w:t>
      </w:r>
      <w:r w:rsidRPr="69BA3794">
        <w:rPr>
          <w:rFonts w:ascii="Times New Roman" w:eastAsia="SimSun" w:hAnsi="Times New Roman" w:cs="Calibri"/>
          <w:color w:val="000000" w:themeColor="text1"/>
          <w:lang w:eastAsia="hi-IN" w:bidi="hi-IN"/>
        </w:rPr>
        <w:t xml:space="preserve">will fall within their regulatory purview; positions that largely depend in most cases on whether modifications appeared as natural mutations, untargeted due to radiation-based or chemical mutagenesis or targeted by the use of transgenesis or genome editing technologies </w:t>
      </w:r>
      <w:r w:rsidRPr="00121D97">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{"citationItems":[{"id":"ITEM-1","itemData":{"DOI":"10.3389/fpls.2020.586027","ISSN":"1664462X","abstract":"Products of genome editing as the most promising “New Plant Breeding Technology” (NPBT) have made the transition from the lab to the market in a short time. Globally, research activities employing genome editing are constantly expanding and more and more plants with market-oriented traits are being developed, while companies already released the first genome-edited crops to the market. Few countries, most of which are located in the Americas, have adapted legislations to these technologies or released guidelines supporting the use of genome editing. Other countries are debating the path to come either because there is no clarity on the legal classification or due consensus is hampered by a renewed GMO debate. In recent years (2017 - 2020), eight countries have introduced guidelines clarifying the legal status of genome edited products and many of those are actively committed to international harmonization of their policies. In this publication we give an overview on the current and potentially future international regulatory environment and an update on plants derived by genome editing with market oriented traits.","author":[{"dropping-particle":"","family":"Menz","given":"Jochen","non-dropping-particle":"","parse-names":false,"suffix":""},{"dropping-particle":"","family":"Modrzejewski","given":"Dominik","non-dropping-particle":"","parse-names":false,"suffix":""},{"dropping-particle":"","family":"Hartung","given":"Frank","non-dropping-particle":"","parse-names":false,"suffix":""},{"dropping-particle":"","family":"Wilhelm","given":"Ralf","non-dropping-particle":"","parse-names":false,"suffix":""},{"dropping-particle":"","family":"Sprink","given":"Thorben","non-dropping-particle":"","parse-names":false,"suffix":""}],"container-title":"Frontiers in Plant Science","id":"ITEM-1","issue":"October","issued":{"date-parts":[["2020"]]},"title":"Genome Edited Crops Touch the Market: A View on the Global Development and Regulatory Environment","type":"article-journal","volume":"11"},"uris":["http://www.mendeley.com/documents/?uuid=b19eeb8b-823a-47b4-a4a6-4df3cc472290"]}],"mendeley":{"formattedCitation":"(Menz et al., 2020)","manualFormatting":"(Custers et al., 2019; Menz et al., 2020)","plainTextFormattedCitation":"(Menz et al., 2020)","previouslyFormattedCitation":"(Menz et al., 2020)"},"properties":{"noteIndex":0},"schema":"https://github.com/citation-style-language/schema/raw/master/csl-citation.json"}</w:instrText>
      </w:r>
      <w:r w:rsidRPr="00121D97">
        <w:rPr>
          <w:rFonts w:ascii="Times New Roman" w:eastAsia="SimSun" w:hAnsi="Times New Roman" w:cs="Calibri"/>
          <w:color w:val="000000" w:themeColor="text1"/>
          <w:lang w:eastAsia="hi-IN" w:bidi="hi-IN"/>
        </w:rPr>
        <w:fldChar w:fldCharType="separate"/>
      </w:r>
      <w:r w:rsidRPr="00F1798B">
        <w:rPr>
          <w:rFonts w:ascii="Times New Roman" w:eastAsia="SimSun" w:hAnsi="Times New Roman" w:cs="Calibri"/>
          <w:noProof/>
          <w:color w:val="000000" w:themeColor="text1"/>
          <w:lang w:eastAsia="hi-IN" w:bidi="hi-IN"/>
        </w:rPr>
        <w:t>(Custers et al., 2019</w:t>
      </w:r>
      <w:r>
        <w:rPr>
          <w:rFonts w:ascii="Times New Roman" w:eastAsia="SimSun" w:hAnsi="Times New Roman" w:cs="Calibri"/>
          <w:noProof/>
          <w:color w:val="000000" w:themeColor="text1"/>
          <w:lang w:eastAsia="hi-IN" w:bidi="hi-IN"/>
        </w:rPr>
        <w:t>;</w:t>
      </w:r>
      <w:r w:rsidRPr="00424790">
        <w:rPr>
          <w:rFonts w:ascii="Times New Roman" w:eastAsia="SimSun" w:hAnsi="Times New Roman" w:cs="Calibri"/>
          <w:noProof/>
          <w:color w:val="000000" w:themeColor="text1"/>
          <w:lang w:eastAsia="hi-IN" w:bidi="hi-IN"/>
        </w:rPr>
        <w:t xml:space="preserve"> </w:t>
      </w:r>
      <w:r w:rsidRPr="69BA3794">
        <w:rPr>
          <w:rFonts w:ascii="Times New Roman" w:eastAsia="SimSun" w:hAnsi="Times New Roman" w:cs="Calibri"/>
          <w:noProof/>
          <w:color w:val="000000" w:themeColor="text1"/>
          <w:lang w:eastAsia="hi-IN" w:bidi="hi-IN"/>
        </w:rPr>
        <w:t>Menz et al., 2020)</w:t>
      </w:r>
      <w:r w:rsidRPr="00121D97">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 xml:space="preserve">. </w:t>
      </w:r>
      <w:r w:rsidRPr="00041306">
        <w:rPr>
          <w:rFonts w:ascii="Times New Roman" w:eastAsia="SimSun" w:hAnsi="Times New Roman" w:cs="Calibri"/>
          <w:color w:val="000000" w:themeColor="text1"/>
          <w:lang w:eastAsia="hi-IN" w:bidi="hi-IN"/>
        </w:rPr>
        <w:t xml:space="preserve">Those genome editing applications that do not aim at the insertion of foreign genes, but at inducing site-specific mutations at single loci of a plant's own genetic material, are able to create organisms that could have </w:t>
      </w:r>
      <w:r w:rsidR="00E1308A">
        <w:rPr>
          <w:rFonts w:ascii="Times New Roman" w:eastAsia="SimSun" w:hAnsi="Times New Roman" w:cs="Calibri"/>
          <w:color w:val="000000" w:themeColor="text1"/>
          <w:lang w:eastAsia="hi-IN" w:bidi="hi-IN"/>
        </w:rPr>
        <w:t>theoretically</w:t>
      </w:r>
      <w:r w:rsidRPr="00041306">
        <w:rPr>
          <w:rFonts w:ascii="Times New Roman" w:eastAsia="SimSun" w:hAnsi="Times New Roman" w:cs="Calibri"/>
          <w:color w:val="000000" w:themeColor="text1"/>
          <w:lang w:eastAsia="hi-IN" w:bidi="hi-IN"/>
        </w:rPr>
        <w:t xml:space="preserve"> come into existence naturally or through conventional breeding. Thus, although few regulators in some countries have instituted mechanisms for addressing the regulatory status of crops derived from genome editing </w:t>
      </w:r>
      <w:r w:rsidR="00BE7F45">
        <w:rPr>
          <w:rFonts w:ascii="Times New Roman" w:eastAsia="SimSun" w:hAnsi="Times New Roman" w:cs="Calibri"/>
          <w:color w:val="000000" w:themeColor="text1"/>
          <w:lang w:eastAsia="hi-IN" w:bidi="hi-IN"/>
        </w:rPr>
        <w:fldChar w:fldCharType="begin" w:fldLock="1"/>
      </w:r>
      <w:r w:rsidR="00355970">
        <w:rPr>
          <w:rFonts w:ascii="Times New Roman" w:eastAsia="SimSun" w:hAnsi="Times New Roman" w:cs="Calibri"/>
          <w:color w:val="000000" w:themeColor="text1"/>
          <w:lang w:eastAsia="hi-IN" w:bidi="hi-IN"/>
        </w:rPr>
        <w:instrText>ADDIN CSL_CITATION {"citationItems":[{"id":"ITEM-1","itemData":{"DOI":"10.1080/21645698.2015.1114698","ISSN":"2164-5698","author":[{"dropping-particle":"","family":"Whelan","given":"Agustina I","non-dropping-particle":"","parse-names":false,"suffix":""},{"dropping-particle":"","family":"Lema","given":"Martin A","non-dropping-particle":"","parse-names":false,"suffix":""}],"container-title":"GM Crops &amp; Food","id":"ITEM-1","issue":"4","issued":{"date-parts":[["2015","10","2"]]},"page":"253-265","title":"Regulatory framework for gene editing and other new breeding techniques (NBTs) in Argentina","type":"article-journal","volume":"6"},"uris":["http://www.mendeley.com/documents/?uuid=3d7a91bd-3393-47d4-a731-95c19d42f649"]},{"id":"ITEM-2","itemData":{"DOI":"10.1111/pbi.12444","ISSN":"1467-7644","author":[{"dropping-particle":"","family":"Wolt","given":"Jeffrey D.","non-dropping-particle":"","parse-names":false,"suffix":""},{"dropping-particle":"","family":"Wang","given":"Kan","non-dropping-particle":"","parse-names":false,"suffix":""},{"dropping-particle":"","family":"Yang","given":"Bing","non-dropping-particle":"","parse-names":false,"suffix":""}],"container-title":"Plant Biotechnology Journal","id":"ITEM-2","issue":"2","issued":{"date-parts":[["2016","2","7"]]</w:instrText>
      </w:r>
      <w:r w:rsidR="00355970">
        <w:rPr>
          <w:rFonts w:ascii="Times New Roman" w:eastAsia="SimSun" w:hAnsi="Times New Roman" w:cs="Calibri" w:hint="eastAsia"/>
          <w:color w:val="000000" w:themeColor="text1"/>
          <w:lang w:eastAsia="hi-IN" w:bidi="hi-IN"/>
        </w:rPr>
        <w:instrText>},"page":"510-518","title":"The Regulatory Status of Genome</w:instrText>
      </w:r>
      <w:r w:rsidR="00355970">
        <w:rPr>
          <w:rFonts w:ascii="Times New Roman" w:eastAsia="SimSun" w:hAnsi="Times New Roman" w:cs="Calibri" w:hint="eastAsia"/>
          <w:color w:val="000000" w:themeColor="text1"/>
          <w:lang w:eastAsia="hi-IN" w:bidi="hi-IN"/>
        </w:rPr>
        <w:instrText>‐</w:instrText>
      </w:r>
      <w:r w:rsidR="00355970">
        <w:rPr>
          <w:rFonts w:ascii="Times New Roman" w:eastAsia="SimSun" w:hAnsi="Times New Roman" w:cs="Calibri" w:hint="eastAsia"/>
          <w:color w:val="000000" w:themeColor="text1"/>
          <w:lang w:eastAsia="hi-IN" w:bidi="hi-IN"/>
        </w:rPr>
        <w:instrText>edited Crops","type":"article-journal","volume":"14"},"uris":["http://www.mendeley.com/documents/?uuid=f109d980-62a0-45f0-a76b-efa0d6794481"]}],"mendeley":{"formattedCitation":"(Whelan &amp; Lema, 20</w:instrText>
      </w:r>
      <w:r w:rsidR="00355970">
        <w:rPr>
          <w:rFonts w:ascii="Times New Roman" w:eastAsia="SimSun" w:hAnsi="Times New Roman" w:cs="Calibri"/>
          <w:color w:val="000000" w:themeColor="text1"/>
          <w:lang w:eastAsia="hi-IN" w:bidi="hi-IN"/>
        </w:rPr>
        <w:instrText>15; Wolt et al., 2016)","plainTextFormattedCitation":"(Whelan &amp; Lema, 2015; Wolt et al., 2016)","previouslyFormattedCitation":"(Whelan &amp; Lema, 2015; Wolt et al., 2016)"},"properties":{"noteIndex":0},"schema":"https://github.com/citation-style-language/schema/raw/master/csl-citation.json"}</w:instrText>
      </w:r>
      <w:r w:rsidR="00BE7F45">
        <w:rPr>
          <w:rFonts w:ascii="Times New Roman" w:eastAsia="SimSun" w:hAnsi="Times New Roman" w:cs="Calibri"/>
          <w:color w:val="000000" w:themeColor="text1"/>
          <w:lang w:eastAsia="hi-IN" w:bidi="hi-IN"/>
        </w:rPr>
        <w:fldChar w:fldCharType="separate"/>
      </w:r>
      <w:r w:rsidR="00C72340" w:rsidRPr="00C72340">
        <w:rPr>
          <w:rFonts w:ascii="Times New Roman" w:eastAsia="SimSun" w:hAnsi="Times New Roman" w:cs="Calibri"/>
          <w:noProof/>
          <w:color w:val="000000" w:themeColor="text1"/>
          <w:lang w:eastAsia="hi-IN" w:bidi="hi-IN"/>
        </w:rPr>
        <w:t>(Whelan &amp; Lema, 2015; Wolt et al., 2016)</w:t>
      </w:r>
      <w:r w:rsidR="00BE7F45">
        <w:rPr>
          <w:rFonts w:ascii="Times New Roman" w:eastAsia="SimSun" w:hAnsi="Times New Roman" w:cs="Calibri"/>
          <w:color w:val="000000" w:themeColor="text1"/>
          <w:lang w:eastAsia="hi-IN" w:bidi="hi-IN"/>
        </w:rPr>
        <w:fldChar w:fldCharType="end"/>
      </w:r>
      <w:r w:rsidRPr="00041306">
        <w:rPr>
          <w:rFonts w:ascii="Times New Roman" w:eastAsia="SimSun" w:hAnsi="Times New Roman" w:cs="Calibri"/>
          <w:color w:val="000000" w:themeColor="text1"/>
          <w:lang w:eastAsia="hi-IN" w:bidi="hi-IN"/>
        </w:rPr>
        <w:t>, decisions as to whether or not they require legal regulation lag behind in most countries</w:t>
      </w:r>
      <w:r>
        <w:rPr>
          <w:rFonts w:ascii="Times New Roman" w:eastAsia="SimSun" w:hAnsi="Times New Roman" w:cs="Calibri"/>
          <w:color w:val="000000" w:themeColor="text1"/>
          <w:lang w:eastAsia="hi-IN" w:bidi="hi-IN"/>
        </w:rPr>
        <w:t xml:space="preserve"> </w:t>
      </w:r>
      <w:r w:rsidR="003B2607">
        <w:rPr>
          <w:rFonts w:ascii="Times New Roman" w:eastAsia="SimSun" w:hAnsi="Times New Roman" w:cs="Calibri"/>
          <w:color w:val="000000" w:themeColor="text1"/>
          <w:lang w:eastAsia="hi-IN" w:bidi="hi-IN"/>
        </w:rPr>
        <w:fldChar w:fldCharType="begin" w:fldLock="1"/>
      </w:r>
      <w:r w:rsidR="003B2607">
        <w:rPr>
          <w:rFonts w:ascii="Times New Roman" w:eastAsia="SimSun" w:hAnsi="Times New Roman" w:cs="Calibri"/>
          <w:color w:val="000000" w:themeColor="text1"/>
          <w:lang w:eastAsia="hi-IN" w:bidi="hi-IN"/>
        </w:rPr>
        <w:instrText>ADDIN CSL_CITATION {"citationItems":[{"id":"ITEM-1","itemData":{"DOI":"10.3389/fbioe.2018.00079","ISSN":"2296-4185","author":[{"dropping-particle":"","family":"Duensing","given":"Nina","non-dropping-particle":"","parse-names":false,"suffix":""},{"dropping-particle":"","family":"Sprink","given":"Thorben","non-dropping-particle":"","parse-names":false,"suffix":""},{"dropping-particle":"","family":"Parrott","given":"Wayne A.","non-dropping-particle":"","parse-names":false,"suffix":""},{"dropping-particle":"","family":"Fedorova","given":"Maria","non-dropping-particle":"","parse-names":false,"suffix":""},{"dropping-particle":"","family":"Lema","given":"Martin A.","non-dropping-particle":"","parse-names":false,"suffix":""},{"dropping-particle":"","family":"Wolt","given":"Jeffrey D.","non-dropping-particle":"","parse-names":false,"suffix":""},{"dropping-particle":"","family":"Bartsch","given":"Detlef","non-dropping-particle":"","parse-names":false,"suffix":""}],"container-title":"Frontiers in Bioengineering and Biotechnology","id":"ITEM-1","issued":{"date-parts":[["2018","6","18"]]},"title":"Novel Features and Considerations for ERA and Regulation of Crops Produced by Genome Editing","type":"article-journal","volume":"6"},"uris":["http://www.mendeley.com/documents/?uuid=bebd66bf-05cb-4c1e-a730-d83b339c7685"]}],"mendeley":{"formattedCitation":"(Duensing et al., 2018)","plainTextFormattedCitation":"(Duensing et al., 2018)","previouslyFormattedCitation":"(Duensing et al., 2018)"},"properties":{"noteIndex":0},"schema":"https://github.com/citation-style-language/schema/raw/master/csl-citation.json"}</w:instrText>
      </w:r>
      <w:r w:rsidR="003B2607">
        <w:rPr>
          <w:rFonts w:ascii="Times New Roman" w:eastAsia="SimSun" w:hAnsi="Times New Roman" w:cs="Calibri"/>
          <w:color w:val="000000" w:themeColor="text1"/>
          <w:lang w:eastAsia="hi-IN" w:bidi="hi-IN"/>
        </w:rPr>
        <w:fldChar w:fldCharType="separate"/>
      </w:r>
      <w:r w:rsidR="003B2607" w:rsidRPr="003B2607">
        <w:rPr>
          <w:rFonts w:ascii="Times New Roman" w:eastAsia="SimSun" w:hAnsi="Times New Roman" w:cs="Calibri"/>
          <w:noProof/>
          <w:color w:val="000000" w:themeColor="text1"/>
          <w:lang w:eastAsia="hi-IN" w:bidi="hi-IN"/>
        </w:rPr>
        <w:t>(Duensing et al., 2018)</w:t>
      </w:r>
      <w:r w:rsidR="003B2607">
        <w:rPr>
          <w:rFonts w:ascii="Times New Roman" w:eastAsia="SimSun" w:hAnsi="Times New Roman" w:cs="Calibri"/>
          <w:color w:val="000000" w:themeColor="text1"/>
          <w:lang w:eastAsia="hi-IN" w:bidi="hi-IN"/>
        </w:rPr>
        <w:fldChar w:fldCharType="end"/>
      </w:r>
      <w:r w:rsidRPr="00041306">
        <w:rPr>
          <w:rFonts w:ascii="Times New Roman" w:eastAsia="SimSun" w:hAnsi="Times New Roman" w:cs="Calibri"/>
          <w:color w:val="000000" w:themeColor="text1"/>
          <w:lang w:eastAsia="hi-IN" w:bidi="hi-IN"/>
        </w:rPr>
        <w:t>.</w:t>
      </w:r>
      <w:r>
        <w:rPr>
          <w:rFonts w:ascii="Times New Roman" w:eastAsia="SimSun" w:hAnsi="Times New Roman" w:cs="Calibri"/>
          <w:color w:val="000000" w:themeColor="text1"/>
          <w:lang w:eastAsia="hi-IN" w:bidi="hi-IN"/>
        </w:rPr>
        <w:t xml:space="preserve"> Therefore, at one end of the range is the </w:t>
      </w:r>
      <w:r w:rsidRPr="002F315A">
        <w:rPr>
          <w:rFonts w:ascii="Times New Roman" w:eastAsia="SimSun" w:hAnsi="Times New Roman" w:cs="Calibri"/>
          <w:color w:val="000000" w:themeColor="text1"/>
          <w:lang w:eastAsia="hi-IN" w:bidi="hi-IN"/>
        </w:rPr>
        <w:t>creat</w:t>
      </w:r>
      <w:r>
        <w:rPr>
          <w:rFonts w:ascii="Times New Roman" w:eastAsia="SimSun" w:hAnsi="Times New Roman" w:cs="Calibri"/>
          <w:color w:val="000000" w:themeColor="text1"/>
          <w:lang w:eastAsia="hi-IN" w:bidi="hi-IN"/>
        </w:rPr>
        <w:t>ion of</w:t>
      </w:r>
      <w:r w:rsidRPr="002F315A">
        <w:rPr>
          <w:rFonts w:ascii="Times New Roman" w:eastAsia="SimSun" w:hAnsi="Times New Roman" w:cs="Calibri"/>
          <w:color w:val="000000" w:themeColor="text1"/>
          <w:lang w:eastAsia="hi-IN" w:bidi="hi-IN"/>
        </w:rPr>
        <w:t xml:space="preserve"> exclusions </w:t>
      </w:r>
      <w:r>
        <w:rPr>
          <w:rFonts w:ascii="Times New Roman" w:eastAsia="SimSun" w:hAnsi="Times New Roman" w:cs="Calibri"/>
          <w:color w:val="000000" w:themeColor="text1"/>
          <w:lang w:eastAsia="hi-IN" w:bidi="hi-IN"/>
        </w:rPr>
        <w:t xml:space="preserve">by a </w:t>
      </w:r>
      <w:r w:rsidRPr="002F315A">
        <w:rPr>
          <w:rFonts w:ascii="Times New Roman" w:eastAsia="SimSun" w:hAnsi="Times New Roman" w:cs="Calibri"/>
          <w:color w:val="000000" w:themeColor="text1"/>
          <w:lang w:eastAsia="hi-IN" w:bidi="hi-IN"/>
        </w:rPr>
        <w:t>number of governments</w:t>
      </w:r>
      <w:r>
        <w:rPr>
          <w:rFonts w:ascii="Times New Roman" w:eastAsia="SimSun" w:hAnsi="Times New Roman" w:cs="Calibri"/>
          <w:color w:val="000000" w:themeColor="text1"/>
          <w:lang w:eastAsia="hi-IN" w:bidi="hi-IN"/>
        </w:rPr>
        <w:t xml:space="preserve"> </w:t>
      </w:r>
      <w:r w:rsidRPr="002F315A">
        <w:rPr>
          <w:rFonts w:ascii="Times New Roman" w:eastAsia="SimSun" w:hAnsi="Times New Roman" w:cs="Calibri"/>
          <w:color w:val="000000" w:themeColor="text1"/>
          <w:lang w:eastAsia="hi-IN" w:bidi="hi-IN"/>
        </w:rPr>
        <w:t>for certain categories of genome editing</w:t>
      </w:r>
      <w:r>
        <w:rPr>
          <w:rFonts w:ascii="Times New Roman" w:eastAsia="SimSun" w:hAnsi="Times New Roman" w:cs="Calibri"/>
          <w:color w:val="000000" w:themeColor="text1"/>
          <w:lang w:eastAsia="hi-IN" w:bidi="hi-IN"/>
        </w:rPr>
        <w:t xml:space="preserve"> </w:t>
      </w:r>
      <w:r w:rsidRPr="002F315A">
        <w:rPr>
          <w:rFonts w:ascii="Times New Roman" w:eastAsia="SimSun" w:hAnsi="Times New Roman" w:cs="Calibri"/>
          <w:color w:val="000000" w:themeColor="text1"/>
          <w:lang w:eastAsia="hi-IN" w:bidi="hi-IN"/>
        </w:rPr>
        <w:t>technologies or products where these could have also been</w:t>
      </w:r>
      <w:r>
        <w:rPr>
          <w:rFonts w:ascii="Times New Roman" w:eastAsia="SimSun" w:hAnsi="Times New Roman" w:cs="Calibri"/>
          <w:color w:val="000000" w:themeColor="text1"/>
          <w:lang w:eastAsia="hi-IN" w:bidi="hi-IN"/>
        </w:rPr>
        <w:t xml:space="preserve"> </w:t>
      </w:r>
      <w:r w:rsidRPr="002F315A">
        <w:rPr>
          <w:rFonts w:ascii="Times New Roman" w:eastAsia="SimSun" w:hAnsi="Times New Roman" w:cs="Calibri"/>
          <w:color w:val="000000" w:themeColor="text1"/>
          <w:lang w:eastAsia="hi-IN" w:bidi="hi-IN"/>
        </w:rPr>
        <w:t>obtained through spontaneous processes or through the use</w:t>
      </w:r>
      <w:r>
        <w:rPr>
          <w:rFonts w:ascii="Times New Roman" w:eastAsia="SimSun" w:hAnsi="Times New Roman" w:cs="Calibri"/>
          <w:color w:val="000000" w:themeColor="text1"/>
          <w:lang w:eastAsia="hi-IN" w:bidi="hi-IN"/>
        </w:rPr>
        <w:t xml:space="preserve"> </w:t>
      </w:r>
      <w:r w:rsidRPr="002F315A">
        <w:rPr>
          <w:rFonts w:ascii="Times New Roman" w:eastAsia="SimSun" w:hAnsi="Times New Roman" w:cs="Calibri"/>
          <w:color w:val="000000" w:themeColor="text1"/>
          <w:lang w:eastAsia="hi-IN" w:bidi="hi-IN"/>
        </w:rPr>
        <w:t xml:space="preserve">of other (conventional) tools and methods </w:t>
      </w:r>
      <w:r w:rsidR="00355970" w:rsidRPr="00EB320D">
        <w:rPr>
          <w:rFonts w:ascii="Times New Roman" w:eastAsia="SimSun" w:hAnsi="Times New Roman" w:cs="Calibri"/>
          <w:color w:val="000000" w:themeColor="text1"/>
          <w:lang w:eastAsia="hi-IN" w:bidi="hi-IN"/>
        </w:rPr>
        <w:fldChar w:fldCharType="begin" w:fldLock="1"/>
      </w:r>
      <w:r w:rsidR="004E1C6C" w:rsidRPr="00087CDF">
        <w:rPr>
          <w:rFonts w:ascii="Times New Roman" w:eastAsia="SimSun" w:hAnsi="Times New Roman" w:cs="Calibri"/>
          <w:color w:val="000000" w:themeColor="text1"/>
          <w:lang w:eastAsia="hi-IN" w:bidi="hi-IN"/>
        </w:rPr>
        <w:instrText>ADDIN CSL_CITATION {"citationItems":[{"id":"ITEM-1","itemData":{"DOI":"10.1007/978-3-030-17119-3","ISBN":"978-3-030-17118-6","editor":[{"dropping-particle":"","family":"Dederer","given":"Hans-Georg","non-dropping-particle":"","parse-names":false,"suffix":""},{"dropping-particle":"","family":"Hamburger","given":"David","non-dropping-particle":"","parse-names":false,"suffix":""}],"id":"ITEM-1","issued":{"date-parts":[["2019"]]},"publisher":"Springer International Publishing","publisher-place":"Cham","title":"Regulation of Genome Editing in Plant Biotechnology","type":"book"},"uris":["http://www.mendeley.com/documents/?uuid=09f325d1-e6a7-4fa4-a77e-13b3b24389c6"]}],"mendeley":{"formattedCitation":"(Dederer &amp; Hamburger, 2019)","plainTextFormattedCitation":"(Dederer &amp; Hamburger, 2019)","previouslyFormattedCitation":"(Dederer &amp; Hamburger, 2019)"},"properties":{"noteIndex":0},"schema":"https://github.com/citation-style-language/schema/raw/master/csl-citation.json"}</w:instrText>
      </w:r>
      <w:r w:rsidR="00355970" w:rsidRPr="00EB320D">
        <w:rPr>
          <w:rFonts w:ascii="Times New Roman" w:eastAsia="SimSun" w:hAnsi="Times New Roman" w:cs="Calibri"/>
          <w:color w:val="000000" w:themeColor="text1"/>
          <w:lang w:eastAsia="hi-IN" w:bidi="hi-IN"/>
        </w:rPr>
        <w:fldChar w:fldCharType="separate"/>
      </w:r>
      <w:r w:rsidR="00355970" w:rsidRPr="00EB320D">
        <w:rPr>
          <w:rFonts w:ascii="Times New Roman" w:eastAsia="SimSun" w:hAnsi="Times New Roman" w:cs="Calibri"/>
          <w:noProof/>
          <w:color w:val="000000" w:themeColor="text1"/>
          <w:lang w:eastAsia="hi-IN" w:bidi="hi-IN"/>
        </w:rPr>
        <w:t>(Dederer &amp; Hamburger, 2019)</w:t>
      </w:r>
      <w:r w:rsidR="00355970" w:rsidRPr="00EB320D">
        <w:rPr>
          <w:rFonts w:ascii="Times New Roman" w:eastAsia="SimSun" w:hAnsi="Times New Roman" w:cs="Calibri"/>
          <w:color w:val="000000" w:themeColor="text1"/>
          <w:lang w:eastAsia="hi-IN" w:bidi="hi-IN"/>
        </w:rPr>
        <w:fldChar w:fldCharType="end"/>
      </w:r>
      <w:r w:rsidRPr="00087CDF">
        <w:rPr>
          <w:rFonts w:ascii="Times New Roman" w:eastAsia="SimSun" w:hAnsi="Times New Roman" w:cs="Calibri"/>
          <w:color w:val="000000" w:themeColor="text1"/>
          <w:lang w:eastAsia="hi-IN" w:bidi="hi-IN"/>
        </w:rPr>
        <w:t>.</w:t>
      </w:r>
      <w:r w:rsidRPr="002F315A">
        <w:rPr>
          <w:rFonts w:ascii="Times New Roman" w:eastAsia="SimSun" w:hAnsi="Times New Roman" w:cs="Calibri"/>
          <w:color w:val="000000" w:themeColor="text1"/>
          <w:lang w:eastAsia="hi-IN" w:bidi="hi-IN"/>
        </w:rPr>
        <w:t xml:space="preserve"> Those countries have implemented such</w:t>
      </w:r>
      <w:r>
        <w:rPr>
          <w:rFonts w:ascii="Times New Roman" w:eastAsia="SimSun" w:hAnsi="Times New Roman" w:cs="Calibri"/>
          <w:color w:val="000000" w:themeColor="text1"/>
          <w:lang w:eastAsia="hi-IN" w:bidi="hi-IN"/>
        </w:rPr>
        <w:t xml:space="preserve"> </w:t>
      </w:r>
      <w:r w:rsidRPr="002F315A">
        <w:rPr>
          <w:rFonts w:ascii="Times New Roman" w:eastAsia="SimSun" w:hAnsi="Times New Roman" w:cs="Calibri"/>
          <w:color w:val="000000" w:themeColor="text1"/>
          <w:lang w:eastAsia="hi-IN" w:bidi="hi-IN"/>
        </w:rPr>
        <w:t xml:space="preserve">exclusions based on their implementation of the definition of “modern biotechnology” </w:t>
      </w:r>
      <w:r>
        <w:rPr>
          <w:rFonts w:ascii="Times New Roman" w:eastAsia="SimSun" w:hAnsi="Times New Roman" w:cs="Calibri"/>
          <w:color w:val="000000" w:themeColor="text1"/>
          <w:lang w:eastAsia="hi-IN" w:bidi="hi-IN"/>
        </w:rPr>
        <w:t xml:space="preserve">characterised by the </w:t>
      </w:r>
      <w:r w:rsidRPr="002F315A">
        <w:rPr>
          <w:rFonts w:ascii="Times New Roman" w:eastAsia="SimSun" w:hAnsi="Times New Roman" w:cs="Calibri"/>
          <w:color w:val="000000" w:themeColor="text1"/>
          <w:lang w:eastAsia="hi-IN" w:bidi="hi-IN"/>
        </w:rPr>
        <w:t>Cartagena</w:t>
      </w:r>
      <w:r>
        <w:rPr>
          <w:rFonts w:ascii="Times New Roman" w:eastAsia="SimSun" w:hAnsi="Times New Roman" w:cs="Calibri"/>
          <w:color w:val="000000" w:themeColor="text1"/>
          <w:lang w:eastAsia="hi-IN" w:bidi="hi-IN"/>
        </w:rPr>
        <w:t xml:space="preserve"> </w:t>
      </w:r>
      <w:r w:rsidRPr="002F315A">
        <w:rPr>
          <w:rFonts w:ascii="Times New Roman" w:eastAsia="SimSun" w:hAnsi="Times New Roman" w:cs="Calibri"/>
          <w:color w:val="000000" w:themeColor="text1"/>
          <w:lang w:eastAsia="hi-IN" w:bidi="hi-IN"/>
        </w:rPr>
        <w:t>Protocol whereby a “novel</w:t>
      </w:r>
      <w:r>
        <w:rPr>
          <w:rFonts w:ascii="Times New Roman" w:eastAsia="SimSun" w:hAnsi="Times New Roman" w:cs="Calibri"/>
          <w:color w:val="000000" w:themeColor="text1"/>
          <w:lang w:eastAsia="hi-IN" w:bidi="hi-IN"/>
        </w:rPr>
        <w:t xml:space="preserve"> </w:t>
      </w:r>
      <w:r w:rsidRPr="002F315A">
        <w:rPr>
          <w:rFonts w:ascii="Times New Roman" w:eastAsia="SimSun" w:hAnsi="Times New Roman" w:cs="Calibri"/>
          <w:color w:val="000000" w:themeColor="text1"/>
          <w:lang w:eastAsia="hi-IN" w:bidi="hi-IN"/>
        </w:rPr>
        <w:t>combination of genetic material” does not involve DNA changes</w:t>
      </w:r>
      <w:r>
        <w:rPr>
          <w:rFonts w:ascii="Times New Roman" w:eastAsia="SimSun" w:hAnsi="Times New Roman" w:cs="Calibri"/>
          <w:color w:val="000000" w:themeColor="text1"/>
          <w:lang w:eastAsia="hi-IN" w:bidi="hi-IN"/>
        </w:rPr>
        <w:t xml:space="preserve"> </w:t>
      </w:r>
      <w:r w:rsidRPr="002F315A">
        <w:rPr>
          <w:rFonts w:ascii="Times New Roman" w:eastAsia="SimSun" w:hAnsi="Times New Roman" w:cs="Calibri"/>
          <w:color w:val="000000" w:themeColor="text1"/>
          <w:lang w:eastAsia="hi-IN" w:bidi="hi-IN"/>
        </w:rPr>
        <w:t>that could have been obtained spontaneously or with the use</w:t>
      </w:r>
      <w:r>
        <w:rPr>
          <w:rFonts w:ascii="Times New Roman" w:eastAsia="SimSun" w:hAnsi="Times New Roman" w:cs="Calibri"/>
          <w:color w:val="000000" w:themeColor="text1"/>
          <w:lang w:eastAsia="hi-IN" w:bidi="hi-IN"/>
        </w:rPr>
        <w:t xml:space="preserve"> </w:t>
      </w:r>
      <w:r w:rsidRPr="002F315A">
        <w:rPr>
          <w:rFonts w:ascii="Times New Roman" w:eastAsia="SimSun" w:hAnsi="Times New Roman" w:cs="Calibri"/>
          <w:color w:val="000000" w:themeColor="text1"/>
          <w:lang w:eastAsia="hi-IN" w:bidi="hi-IN"/>
        </w:rPr>
        <w:t>of other methods. In these cases, the organism is managed</w:t>
      </w:r>
      <w:r>
        <w:rPr>
          <w:rFonts w:ascii="Times New Roman" w:eastAsia="SimSun" w:hAnsi="Times New Roman" w:cs="Calibri"/>
          <w:color w:val="000000" w:themeColor="text1"/>
          <w:lang w:eastAsia="hi-IN" w:bidi="hi-IN"/>
        </w:rPr>
        <w:t xml:space="preserve"> </w:t>
      </w:r>
      <w:r w:rsidRPr="002F315A">
        <w:rPr>
          <w:rFonts w:ascii="Times New Roman" w:eastAsia="SimSun" w:hAnsi="Times New Roman" w:cs="Calibri"/>
          <w:color w:val="000000" w:themeColor="text1"/>
          <w:lang w:eastAsia="hi-IN" w:bidi="hi-IN"/>
        </w:rPr>
        <w:t>in the same way as other non-</w:t>
      </w:r>
      <w:r>
        <w:rPr>
          <w:rFonts w:ascii="Times New Roman" w:eastAsia="SimSun" w:hAnsi="Times New Roman" w:cs="Calibri"/>
          <w:color w:val="000000" w:themeColor="text1"/>
          <w:lang w:eastAsia="hi-IN" w:bidi="hi-IN"/>
        </w:rPr>
        <w:t>G</w:t>
      </w:r>
      <w:r w:rsidRPr="002F315A">
        <w:rPr>
          <w:rFonts w:ascii="Times New Roman" w:eastAsia="SimSun" w:hAnsi="Times New Roman" w:cs="Calibri"/>
          <w:color w:val="000000" w:themeColor="text1"/>
          <w:lang w:eastAsia="hi-IN" w:bidi="hi-IN"/>
        </w:rPr>
        <w:t>MO organisms</w:t>
      </w:r>
      <w:r>
        <w:rPr>
          <w:rFonts w:ascii="Times New Roman" w:eastAsia="SimSun" w:hAnsi="Times New Roman" w:cs="Calibri"/>
          <w:color w:val="000000" w:themeColor="text1"/>
          <w:lang w:eastAsia="hi-IN" w:bidi="hi-IN"/>
        </w:rPr>
        <w:t xml:space="preserve"> </w:t>
      </w:r>
      <w:r w:rsidR="003B2607">
        <w:rPr>
          <w:rFonts w:ascii="Times New Roman" w:eastAsia="SimSun" w:hAnsi="Times New Roman" w:cs="Calibri"/>
          <w:color w:val="000000" w:themeColor="text1"/>
          <w:lang w:eastAsia="hi-IN" w:bidi="hi-IN"/>
        </w:rPr>
        <w:fldChar w:fldCharType="begin" w:fldLock="1"/>
      </w:r>
      <w:r w:rsidR="003B2607">
        <w:rPr>
          <w:rFonts w:ascii="Times New Roman" w:eastAsia="SimSun" w:hAnsi="Times New Roman" w:cs="Calibri"/>
          <w:color w:val="000000" w:themeColor="text1"/>
          <w:lang w:eastAsia="hi-IN" w:bidi="hi-IN"/>
        </w:rPr>
        <w:instrText>ADDIN CSL_CITATION {"citationItems":[{"id":"ITEM-1","itemData":{"DOI":"10.3389/fbioe.2020.00310","ISSN":"22964185","abstract":"The primary international forum deliberating the regulation of “synthetic biology” is the Convention on Biological Diversity (CBD), along with its subsidiary agreements concerned with the biosafety of living modified organisms (LMOs; Cartagena Protocol on Biosafety to the CBD), and access and benefit sharing in relation to genetic resources (Nagoya Protocol to the CBD). This discussion has been underway for almost 10 years under the CBD agenda items of “synthetic biology” and “new and emerging issues relating to the conservation and sustainable use of biological diversity,” and more recently within the scope of Cartagena Protocol topics including risk assessment and risk management, and “digital sequence information” jointly with the Nagoya Protocol. There is no internationally accepted definition of “synthetic biology,” with it used as an umbrella term in this forum to capture “new” biotechnologies and “new” applications of established biotechnologies, whether actual or conceptual. The CBD debates are characterized by polarized views on the adequacy of existing regulatory mechanisms for “new” types of LMOs, including the scope of the current regulatory frameworks, and procedures and tools for risk assessment and risk mitigation and/or management. This paper provides an overview of international developments in biotechnology regulation, including the application of the Cartagena Protocol and relevant policy developments, and reviews the development of the synthetic biology debate under the CBD and its Protocols, including the major issues expected in the lead up to and during the 2020 Biodiversity Conference.","author":[{"dropping-particle":"","family":"Keiper","given":"Felicity","non-dropping-particle":"","parse-names":false,"suffix":""},{"dropping-particle":"","family":"Atanassova","given":"Ana","non-dropping-particle":"","parse-names":false,"suffix":""}],"container-title":"Frontiers in Bioengineering and Biotechnology","id":"ITEM-1","issued":{"date-parts":[["2020","4"]]},"publisher":"Frontiers Media S.A.","title":"Regulation of Synthetic Biology: Developments Under the Convention on Biological Diversity and Its Protocols","type":"article","volume":"8"},"uris":["http://www.mendeley.com/documents/?uuid=23393071-c58e-4e1d-9c5d-5c2f47ddcef4"]}],"mendeley":{"formattedCitation":"(Keiper &amp; Atanassova, 2020)","plainTextFormattedCitation":"(Keiper &amp; Atanassova, 2020)","previouslyFormattedCitation":"(Keiper &amp; Atanassova, 2020)"},"properties":{"noteIndex":0},"schema":"https://github.com/citation-style-language/schema/raw/master/csl-citation.json"}</w:instrText>
      </w:r>
      <w:r w:rsidR="003B2607">
        <w:rPr>
          <w:rFonts w:ascii="Times New Roman" w:eastAsia="SimSun" w:hAnsi="Times New Roman" w:cs="Calibri"/>
          <w:color w:val="000000" w:themeColor="text1"/>
          <w:lang w:eastAsia="hi-IN" w:bidi="hi-IN"/>
        </w:rPr>
        <w:fldChar w:fldCharType="separate"/>
      </w:r>
      <w:r w:rsidR="003B2607" w:rsidRPr="003B2607">
        <w:rPr>
          <w:rFonts w:ascii="Times New Roman" w:eastAsia="SimSun" w:hAnsi="Times New Roman" w:cs="Calibri"/>
          <w:noProof/>
          <w:color w:val="000000" w:themeColor="text1"/>
          <w:lang w:eastAsia="hi-IN" w:bidi="hi-IN"/>
        </w:rPr>
        <w:t>(Keiper &amp; Atanassova, 2020)</w:t>
      </w:r>
      <w:r w:rsidR="003B2607">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 For example</w:t>
      </w:r>
      <w:r w:rsidR="00653EC2" w:rsidRPr="00653EC2">
        <w:rPr>
          <w:rFonts w:ascii="Times New Roman" w:eastAsia="SimSun" w:hAnsi="Times New Roman" w:cs="Calibri"/>
          <w:color w:val="000000" w:themeColor="text1"/>
          <w:lang w:eastAsia="hi-IN" w:bidi="hi-IN"/>
        </w:rPr>
        <w:t>, in December 2020, Japan’s Ministry of Health, Labour, and Welfare and the Ministry of Agriculture, Forestry, and Fisheries decided that a CRISPR-Cas9 edited tomato containing elevated levels of gamma-aminobutyric acid would not be regulated as an LMO, thus not requiring a safety assessment associated with LMOs</w:t>
      </w:r>
      <w:r w:rsidR="008B1982">
        <w:rPr>
          <w:rFonts w:ascii="Times New Roman" w:eastAsia="SimSun" w:hAnsi="Times New Roman" w:cs="Calibri"/>
          <w:color w:val="000000" w:themeColor="text1"/>
          <w:lang w:eastAsia="hi-IN" w:bidi="hi-IN"/>
        </w:rPr>
        <w:t xml:space="preserve"> </w:t>
      </w:r>
      <w:r w:rsidR="008B1982">
        <w:rPr>
          <w:rFonts w:ascii="Times New Roman" w:eastAsia="SimSun" w:hAnsi="Times New Roman" w:cs="Calibri"/>
          <w:color w:val="000000" w:themeColor="text1"/>
          <w:lang w:eastAsia="hi-IN" w:bidi="hi-IN"/>
        </w:rPr>
        <w:fldChar w:fldCharType="begin" w:fldLock="1"/>
      </w:r>
      <w:r w:rsidR="00154774">
        <w:rPr>
          <w:rFonts w:ascii="Times New Roman" w:eastAsia="SimSun" w:hAnsi="Times New Roman" w:cs="Calibri"/>
          <w:color w:val="000000" w:themeColor="text1"/>
          <w:lang w:eastAsia="hi-IN" w:bidi="hi-IN"/>
        </w:rPr>
        <w:instrText>ADDIN CSL_CITATION {"citationItems":[{"id":"ITEM-1","itemData":{"author":[{"dropping-particle":"","family":"United States Department of Agriculture","given":"","non-dropping-particle":"","parse-names":false,"suffix":""}],"id":"ITEM-1","issued":{"date-parts":[["2020"]]},"page":"2","title":"Japan Determines Genome Edited Tomato Will Not be Regulated as GE","type":"article"},"uris":["http://www.mendeley.com/documents/?uuid=a469fd3c-94fa-4b98-a008-e7a568811b2a"]}],"mendeley":{"formattedCitation":"(United States Department of Agriculture, 2020)","plainTextFormattedCitation":"(United States Department of Agriculture, 2020)","previouslyFormattedCitation":"(United States Department of Agriculture, 2020)"},"properties":{"noteIndex":0},"schema":"https://github.com/citation-style-language/schema/raw/master/csl-citation.json"}</w:instrText>
      </w:r>
      <w:r w:rsidR="008B1982">
        <w:rPr>
          <w:rFonts w:ascii="Times New Roman" w:eastAsia="SimSun" w:hAnsi="Times New Roman" w:cs="Calibri"/>
          <w:color w:val="000000" w:themeColor="text1"/>
          <w:lang w:eastAsia="hi-IN" w:bidi="hi-IN"/>
        </w:rPr>
        <w:fldChar w:fldCharType="separate"/>
      </w:r>
      <w:r w:rsidR="008B1982" w:rsidRPr="008B1982">
        <w:rPr>
          <w:rFonts w:ascii="Times New Roman" w:eastAsia="SimSun" w:hAnsi="Times New Roman" w:cs="Calibri"/>
          <w:noProof/>
          <w:color w:val="000000" w:themeColor="text1"/>
          <w:lang w:eastAsia="hi-IN" w:bidi="hi-IN"/>
        </w:rPr>
        <w:t>(United States Department of Agriculture, 2020)</w:t>
      </w:r>
      <w:r w:rsidR="008B1982">
        <w:rPr>
          <w:rFonts w:ascii="Times New Roman" w:eastAsia="SimSun" w:hAnsi="Times New Roman" w:cs="Calibri"/>
          <w:color w:val="000000" w:themeColor="text1"/>
          <w:lang w:eastAsia="hi-IN" w:bidi="hi-IN"/>
        </w:rPr>
        <w:fldChar w:fldCharType="end"/>
      </w:r>
      <w:r w:rsidR="00653EC2" w:rsidRPr="00653EC2">
        <w:rPr>
          <w:rFonts w:ascii="Times New Roman" w:eastAsia="SimSun" w:hAnsi="Times New Roman" w:cs="Calibri"/>
          <w:color w:val="000000" w:themeColor="text1"/>
          <w:lang w:eastAsia="hi-IN" w:bidi="hi-IN"/>
        </w:rPr>
        <w:t xml:space="preserve">. In 2018, Brazil ruled that Corteva’s ‘waxy corn’ developed through the use of genome editing was not an LMO, thus exempting the product from biosafety regulations </w:t>
      </w:r>
      <w:r w:rsidR="00154774">
        <w:rPr>
          <w:rFonts w:ascii="Times New Roman" w:eastAsia="SimSun" w:hAnsi="Times New Roman" w:cs="Calibri"/>
          <w:color w:val="000000" w:themeColor="text1"/>
          <w:lang w:eastAsia="hi-IN" w:bidi="hi-IN"/>
        </w:rPr>
        <w:fldChar w:fldCharType="begin" w:fldLock="1"/>
      </w:r>
      <w:r w:rsidR="008F2416">
        <w:rPr>
          <w:rFonts w:ascii="Times New Roman" w:eastAsia="SimSun" w:hAnsi="Times New Roman" w:cs="Calibri"/>
          <w:color w:val="000000" w:themeColor="text1"/>
          <w:lang w:eastAsia="hi-IN" w:bidi="hi-IN"/>
        </w:rPr>
        <w:instrText>ADDIN CSL_CITATION {"citationItems":[{"id":"ITEM-1","itemData":{"author":[{"dropping-particle":"","family":"Comissão Técnica Nacional de Biossegurança","given":"","non-dropping-particle":"","parse-names":false,"suffix":""}],"id":"ITEM-1","issue":"1","issued":{"date-parts":[["2018"]]},"page":"84","publisher":"Diário official da união","title":"EXTRATO DE PARECER TÉCNICO Nº 6.208/2018","type":"article","volume":"244"},"uris":["http://www.mendeley.com/documents/?uuid=e77b1ddd-dc34-4544-b80f-fc35b7813fc4"]}],"mendeley":{"formattedCitation":"(Comissão Técnica Nacional de Biossegurança, 2018)","plainTextFormattedCitation":"(Comissão Técnica Nacional de Biossegurança, 2018)","previouslyFormattedCitation":"(Comissão Técnica Nacional de Biossegurança, 2018)"},"properties":{"noteIndex":0},"schema":"https://github.com/citation-style-language/schema/raw/master/csl-citation.json"}</w:instrText>
      </w:r>
      <w:r w:rsidR="00154774">
        <w:rPr>
          <w:rFonts w:ascii="Times New Roman" w:eastAsia="SimSun" w:hAnsi="Times New Roman" w:cs="Calibri"/>
          <w:color w:val="000000" w:themeColor="text1"/>
          <w:lang w:eastAsia="hi-IN" w:bidi="hi-IN"/>
        </w:rPr>
        <w:fldChar w:fldCharType="separate"/>
      </w:r>
      <w:r w:rsidR="00154774" w:rsidRPr="00154774">
        <w:rPr>
          <w:rFonts w:ascii="Times New Roman" w:eastAsia="SimSun" w:hAnsi="Times New Roman" w:cs="Calibri"/>
          <w:noProof/>
          <w:color w:val="000000" w:themeColor="text1"/>
          <w:lang w:eastAsia="hi-IN" w:bidi="hi-IN"/>
        </w:rPr>
        <w:t>(Comissão Técnica Nacional de Biossegurança, 2018)</w:t>
      </w:r>
      <w:r w:rsidR="00154774">
        <w:rPr>
          <w:rFonts w:ascii="Times New Roman" w:eastAsia="SimSun" w:hAnsi="Times New Roman" w:cs="Calibri"/>
          <w:color w:val="000000" w:themeColor="text1"/>
          <w:lang w:eastAsia="hi-IN" w:bidi="hi-IN"/>
        </w:rPr>
        <w:fldChar w:fldCharType="end"/>
      </w:r>
      <w:r w:rsidR="00653EC2" w:rsidRPr="00653EC2">
        <w:rPr>
          <w:rFonts w:ascii="Times New Roman" w:eastAsia="SimSun" w:hAnsi="Times New Roman" w:cs="Calibri"/>
          <w:color w:val="000000" w:themeColor="text1"/>
          <w:lang w:eastAsia="hi-IN" w:bidi="hi-IN"/>
        </w:rPr>
        <w:t>.</w:t>
      </w:r>
      <w:r w:rsidR="00836B00">
        <w:rPr>
          <w:rFonts w:ascii="Times New Roman" w:eastAsia="SimSun" w:hAnsi="Times New Roman" w:cs="Calibri"/>
          <w:color w:val="000000" w:themeColor="text1"/>
          <w:lang w:eastAsia="hi-IN" w:bidi="hi-IN"/>
        </w:rPr>
        <w:t xml:space="preserve"> </w:t>
      </w:r>
      <w:r w:rsidR="003642F4" w:rsidRPr="003642F4">
        <w:rPr>
          <w:rFonts w:ascii="Times New Roman" w:eastAsia="SimSun" w:hAnsi="Times New Roman" w:cs="Calibri"/>
          <w:color w:val="000000" w:themeColor="text1"/>
          <w:lang w:eastAsia="hi-IN" w:bidi="hi-IN"/>
        </w:rPr>
        <w:t xml:space="preserve">In the United States of America, </w:t>
      </w:r>
      <w:r w:rsidR="00E32432">
        <w:rPr>
          <w:rFonts w:ascii="Times New Roman" w:eastAsia="SimSun" w:hAnsi="Times New Roman" w:cs="Calibri"/>
          <w:color w:val="000000" w:themeColor="text1"/>
          <w:lang w:eastAsia="hi-IN" w:bidi="hi-IN"/>
        </w:rPr>
        <w:t>a non-Party to the C</w:t>
      </w:r>
      <w:r w:rsidR="003642F4" w:rsidRPr="003642F4">
        <w:rPr>
          <w:rFonts w:ascii="Times New Roman" w:eastAsia="SimSun" w:hAnsi="Times New Roman" w:cs="Calibri"/>
          <w:color w:val="000000" w:themeColor="text1"/>
          <w:lang w:eastAsia="hi-IN" w:bidi="hi-IN"/>
        </w:rPr>
        <w:t>a</w:t>
      </w:r>
      <w:r w:rsidR="0054525A">
        <w:rPr>
          <w:rFonts w:ascii="Times New Roman" w:eastAsia="SimSun" w:hAnsi="Times New Roman" w:cs="Calibri"/>
          <w:color w:val="000000" w:themeColor="text1"/>
          <w:lang w:eastAsia="hi-IN" w:bidi="hi-IN"/>
        </w:rPr>
        <w:t>rtagena Protocol, a</w:t>
      </w:r>
      <w:r w:rsidR="003642F4" w:rsidRPr="003642F4">
        <w:rPr>
          <w:rFonts w:ascii="Times New Roman" w:eastAsia="SimSun" w:hAnsi="Times New Roman" w:cs="Calibri"/>
          <w:color w:val="000000" w:themeColor="text1"/>
          <w:lang w:eastAsia="hi-IN" w:bidi="hi-IN"/>
        </w:rPr>
        <w:t xml:space="preserve"> similar regulatory position was taken for a range of applications developed using TALEN by Calyxt, Inc, including a potato with improved processing characteristics, a high oleic soya bean, a high oleic/low linoleic soya bean, a cold storable potato and a powdery mildew resistant wheat </w:t>
      </w:r>
      <w:r w:rsidR="003642F4" w:rsidRPr="003642F4">
        <w:rPr>
          <w:rFonts w:ascii="Times New Roman" w:eastAsia="SimSun" w:hAnsi="Times New Roman" w:cs="Calibri"/>
          <w:color w:val="000000" w:themeColor="text1"/>
          <w:lang w:eastAsia="hi-IN" w:bidi="hi-IN"/>
        </w:rPr>
        <w:fldChar w:fldCharType="begin" w:fldLock="1"/>
      </w:r>
      <w:r w:rsidR="003642F4" w:rsidRPr="003642F4">
        <w:rPr>
          <w:rFonts w:ascii="Times New Roman" w:eastAsia="SimSun" w:hAnsi="Times New Roman" w:cs="Calibri"/>
          <w:color w:val="000000" w:themeColor="text1"/>
          <w:lang w:eastAsia="hi-IN" w:bidi="hi-IN"/>
        </w:rPr>
        <w:instrText>ADDIN CSL_CITATION {"citationItems":[{"id":"ITEM-1","itemData":{"author":[{"dropping-particle":"","family":"Calyxt","given":"Inc.","non-dropping-particle":"","parse-names":false,"suffix":""}],"container-title":"United States Securities and Exchange Commission","id":"ITEM-1","issued":{"date-parts":[["2017","7"]]},"title":"Registration Statement. Calyxt, Inc. ","type":"webpage"},"uris":["http://www.mendeley.com/documents/?uuid=357462fd-f1a4-387c-a5b5-95dc735363d6","http://www.mendeley.com/documents/?uuid=acb7c4f7-e1c9-4740-ac5a-08a327e6ff8e"]}],"mendeley":{"formattedCitation":"(Calyxt, 2017)","plainTextFormattedCitation":"(Calyxt, 2017)","previouslyFormattedCitation":"(Calyxt, 2017)"},"properties":{"noteIndex":0},"schema":"https://github.com/citation-style-language/schema/raw/master/csl-citation.json"}</w:instrText>
      </w:r>
      <w:r w:rsidR="003642F4" w:rsidRPr="003642F4">
        <w:rPr>
          <w:rFonts w:ascii="Times New Roman" w:eastAsia="SimSun" w:hAnsi="Times New Roman" w:cs="Calibri"/>
          <w:color w:val="000000" w:themeColor="text1"/>
          <w:lang w:eastAsia="hi-IN" w:bidi="hi-IN"/>
        </w:rPr>
        <w:fldChar w:fldCharType="separate"/>
      </w:r>
      <w:r w:rsidR="003642F4" w:rsidRPr="003642F4">
        <w:rPr>
          <w:rFonts w:ascii="Times New Roman" w:eastAsia="SimSun" w:hAnsi="Times New Roman" w:cs="Calibri"/>
          <w:noProof/>
          <w:color w:val="000000" w:themeColor="text1"/>
          <w:lang w:eastAsia="hi-IN" w:bidi="hi-IN"/>
        </w:rPr>
        <w:t>(Calyxt, 2017)</w:t>
      </w:r>
      <w:r w:rsidR="003642F4" w:rsidRPr="003642F4">
        <w:rPr>
          <w:rFonts w:ascii="Times New Roman" w:eastAsia="SimSun" w:hAnsi="Times New Roman" w:cs="Calibri"/>
          <w:color w:val="000000" w:themeColor="text1"/>
          <w:lang w:eastAsia="hi-IN" w:bidi="hi-IN"/>
        </w:rPr>
        <w:fldChar w:fldCharType="end"/>
      </w:r>
      <w:r w:rsidR="003642F4" w:rsidRPr="003642F4">
        <w:rPr>
          <w:rFonts w:ascii="Times New Roman" w:eastAsia="SimSun" w:hAnsi="Times New Roman" w:cs="Calibri"/>
          <w:color w:val="000000" w:themeColor="text1"/>
          <w:lang w:eastAsia="hi-IN" w:bidi="hi-IN"/>
        </w:rPr>
        <w:t>.</w:t>
      </w:r>
      <w:r w:rsidR="00E61D47" w:rsidRPr="00E61D47">
        <w:rPr>
          <w:rFonts w:ascii="Times New Roman" w:hAnsi="Times New Roman"/>
          <w:color w:val="000000" w:themeColor="text1"/>
          <w:lang w:eastAsia="ar-SA"/>
        </w:rPr>
        <w:t xml:space="preserve"> </w:t>
      </w:r>
      <w:r w:rsidR="00E61D47" w:rsidRPr="00E61D47">
        <w:rPr>
          <w:rFonts w:ascii="Times New Roman" w:eastAsia="SimSun" w:hAnsi="Times New Roman" w:cs="Calibri"/>
          <w:color w:val="000000" w:themeColor="text1"/>
          <w:lang w:eastAsia="hi-IN" w:bidi="hi-IN"/>
        </w:rPr>
        <w:t xml:space="preserve">Further, the USA Department of Agriculture announced that it has no plans to place additional regulations on genome-edited plants that could otherwise have been developed through traditional breeding prior to commercialisation. However, the USA Food and Drug Administration has proposed mandatory pre-market evaluations for all food animals whose genomes have been intentionally altered using modern molecular technologies, including gene editing technologies </w:t>
      </w:r>
      <w:r w:rsidR="00E61D47" w:rsidRPr="00E61D47">
        <w:rPr>
          <w:rFonts w:ascii="Times New Roman" w:eastAsia="SimSun" w:hAnsi="Times New Roman" w:cs="Calibri"/>
          <w:color w:val="000000" w:themeColor="text1"/>
          <w:lang w:eastAsia="hi-IN" w:bidi="hi-IN"/>
        </w:rPr>
        <w:fldChar w:fldCharType="begin" w:fldLock="1"/>
      </w:r>
      <w:r w:rsidR="00E61D47" w:rsidRPr="00E61D47">
        <w:rPr>
          <w:rFonts w:ascii="Times New Roman" w:eastAsia="SimSun" w:hAnsi="Times New Roman" w:cs="Calibri"/>
          <w:color w:val="000000" w:themeColor="text1"/>
          <w:lang w:eastAsia="hi-IN" w:bidi="hi-IN"/>
        </w:rPr>
        <w:instrText>ADDIN CSL_CITATION {"citationItems":[{"id":"ITEM-1","itemData":{"DOI":"10.1007/s11248-019-00141-6","ISSN":"0962-8819","author":[{"dropping-particle":"","family":"Eenennaam","given":"Alison L.","non-dropping-particle":"Van","parse-names":false,"suffix":""}],"container-title":"Transgenic Research","id":"ITEM-1","issue":"S2","issued":{"date-parts":[["2019","8","18"]]},"page":"93-100","title":"Application of genome editing in farm animals: cattle","type":"article-journal","volume":"28"},"uris":["http://www.mendeley.com/documents/?uuid=7a723dfa-6256-4029-a3f2-79725f58ae7c"]}],"mendeley":{"formattedCitation":"(Van Eenennaam, 2019)","plainTextFormattedCitation":"(Van Eenennaam, 2019)","previouslyFormattedCitation":"(Van Eenennaam, 2019)"},"properties":{"noteIndex":0},"schema":"https://github.com/citation-style-language/schema/raw/master/csl-citation.json"}</w:instrText>
      </w:r>
      <w:r w:rsidR="00E61D47" w:rsidRPr="00E61D47">
        <w:rPr>
          <w:rFonts w:ascii="Times New Roman" w:eastAsia="SimSun" w:hAnsi="Times New Roman" w:cs="Calibri"/>
          <w:color w:val="000000" w:themeColor="text1"/>
          <w:lang w:eastAsia="hi-IN" w:bidi="hi-IN"/>
        </w:rPr>
        <w:fldChar w:fldCharType="separate"/>
      </w:r>
      <w:r w:rsidR="00E61D47" w:rsidRPr="00E61D47">
        <w:rPr>
          <w:rFonts w:ascii="Times New Roman" w:eastAsia="SimSun" w:hAnsi="Times New Roman" w:cs="Calibri"/>
          <w:noProof/>
          <w:color w:val="000000" w:themeColor="text1"/>
          <w:lang w:eastAsia="hi-IN" w:bidi="hi-IN"/>
        </w:rPr>
        <w:t>(Van Eenennaam, 2019)</w:t>
      </w:r>
      <w:r w:rsidR="00E61D47" w:rsidRPr="00E61D47">
        <w:rPr>
          <w:rFonts w:ascii="Times New Roman" w:eastAsia="SimSun" w:hAnsi="Times New Roman" w:cs="Calibri"/>
          <w:color w:val="000000" w:themeColor="text1"/>
          <w:lang w:eastAsia="hi-IN" w:bidi="hi-IN"/>
        </w:rPr>
        <w:fldChar w:fldCharType="end"/>
      </w:r>
      <w:r w:rsidR="00E61D47" w:rsidRPr="00E61D47">
        <w:rPr>
          <w:rFonts w:ascii="Times New Roman" w:eastAsia="SimSun" w:hAnsi="Times New Roman" w:cs="Calibri"/>
          <w:color w:val="000000" w:themeColor="text1"/>
          <w:lang w:eastAsia="hi-IN" w:bidi="hi-IN"/>
        </w:rPr>
        <w:t xml:space="preserve">. This will require companies to seek a separate approval for the same genomic alterations in each new lineage into which it is introduced. Thus, animals with an altered genome and from the same lineage, would be considered to contain an animal drug, including those that acquire the alteration through cross breeding </w:t>
      </w:r>
      <w:r w:rsidR="00EA6A98">
        <w:rPr>
          <w:rFonts w:ascii="Times New Roman" w:eastAsia="SimSun" w:hAnsi="Times New Roman" w:cs="Calibri"/>
          <w:color w:val="000000" w:themeColor="text1"/>
          <w:lang w:eastAsia="hi-IN" w:bidi="hi-IN"/>
        </w:rPr>
        <w:fldChar w:fldCharType="begin" w:fldLock="1"/>
      </w:r>
      <w:r w:rsidR="003B2607">
        <w:rPr>
          <w:rFonts w:ascii="Times New Roman" w:eastAsia="SimSun" w:hAnsi="Times New Roman" w:cs="Calibri"/>
          <w:color w:val="000000" w:themeColor="text1"/>
          <w:lang w:eastAsia="hi-IN" w:bidi="hi-IN"/>
        </w:rPr>
        <w:instrText>ADDIN CSL_CITATION {"citationItems":[{"id":"ITEM-1","itemData":{"author":[{"dropping-particle":"","family":"FDA","given":"U S A","non-dropping-particle":"","parse-names":false,"suffix":""}],"id":"ITEM-1","issued":{"date-parts":[["2021"]]},"title":"Q&amp;A on FDA Regulation of Intentional Genomic Alterations in Animals | FDA","type":"article"},"uris":["http://www.mendeley.com/documents/?uuid=bafd47fa-6e1a-4b3d-a383-485bd52e00dc"]}],"mendeley":{"formattedCitation":"(FDA, 2021)","plainTextFormattedCitation":"(FDA, 2021)","previouslyFormattedCitation":"(FDA, 2021)"},"properties":{"noteIndex":0},"schema":"https://github.com/citation-style-language/schema/raw/master/csl-citation.json"}</w:instrText>
      </w:r>
      <w:r w:rsidR="00EA6A98">
        <w:rPr>
          <w:rFonts w:ascii="Times New Roman" w:eastAsia="SimSun" w:hAnsi="Times New Roman" w:cs="Calibri"/>
          <w:color w:val="000000" w:themeColor="text1"/>
          <w:lang w:eastAsia="hi-IN" w:bidi="hi-IN"/>
        </w:rPr>
        <w:fldChar w:fldCharType="separate"/>
      </w:r>
      <w:r w:rsidR="00EA6A98" w:rsidRPr="00EA6A98">
        <w:rPr>
          <w:rFonts w:ascii="Times New Roman" w:eastAsia="SimSun" w:hAnsi="Times New Roman" w:cs="Calibri"/>
          <w:noProof/>
          <w:color w:val="000000" w:themeColor="text1"/>
          <w:lang w:eastAsia="hi-IN" w:bidi="hi-IN"/>
        </w:rPr>
        <w:t>(FDA, 2021)</w:t>
      </w:r>
      <w:r w:rsidR="00EA6A98">
        <w:rPr>
          <w:rFonts w:ascii="Times New Roman" w:eastAsia="SimSun" w:hAnsi="Times New Roman" w:cs="Calibri"/>
          <w:color w:val="000000" w:themeColor="text1"/>
          <w:lang w:eastAsia="hi-IN" w:bidi="hi-IN"/>
        </w:rPr>
        <w:fldChar w:fldCharType="end"/>
      </w:r>
      <w:r w:rsidR="00E61D47" w:rsidRPr="00E61D47">
        <w:rPr>
          <w:rFonts w:ascii="Times New Roman" w:eastAsia="SimSun" w:hAnsi="Times New Roman" w:cs="Calibri"/>
          <w:color w:val="000000" w:themeColor="text1"/>
          <w:lang w:eastAsia="hi-IN" w:bidi="hi-IN"/>
        </w:rPr>
        <w:t>.</w:t>
      </w:r>
    </w:p>
    <w:p w14:paraId="0EF79315" w14:textId="664718A5" w:rsidR="0005479B" w:rsidRDefault="008C433F" w:rsidP="004C3E4B">
      <w:pPr>
        <w:suppressAutoHyphens/>
        <w:autoSpaceDE w:val="0"/>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Similarly, </w:t>
      </w:r>
      <w:r w:rsidR="000F0D73">
        <w:rPr>
          <w:rFonts w:ascii="Times New Roman" w:eastAsia="SimSun" w:hAnsi="Times New Roman" w:cs="Calibri"/>
          <w:color w:val="000000" w:themeColor="text1"/>
          <w:lang w:eastAsia="hi-IN" w:bidi="hi-IN"/>
        </w:rPr>
        <w:t xml:space="preserve">in </w:t>
      </w:r>
      <w:r w:rsidRPr="007475A6">
        <w:rPr>
          <w:rFonts w:ascii="Times New Roman" w:eastAsia="SimSun" w:hAnsi="Times New Roman" w:cs="Calibri"/>
          <w:color w:val="000000" w:themeColor="text1"/>
          <w:lang w:eastAsia="hi-IN" w:bidi="hi-IN"/>
        </w:rPr>
        <w:t>Argentina, Brazil, Chile, Colombia, Japan,</w:t>
      </w:r>
      <w:r w:rsidR="00754F9C">
        <w:rPr>
          <w:rFonts w:ascii="Times New Roman" w:eastAsia="SimSun" w:hAnsi="Times New Roman" w:cs="Calibri"/>
          <w:color w:val="000000" w:themeColor="text1"/>
          <w:lang w:eastAsia="hi-IN" w:bidi="hi-IN"/>
        </w:rPr>
        <w:t xml:space="preserve"> </w:t>
      </w:r>
      <w:r w:rsidR="00962DA2">
        <w:rPr>
          <w:rFonts w:ascii="Times New Roman" w:eastAsia="SimSun" w:hAnsi="Times New Roman" w:cs="Calibri"/>
          <w:color w:val="000000" w:themeColor="text1"/>
          <w:lang w:eastAsia="hi-IN" w:bidi="hi-IN"/>
        </w:rPr>
        <w:t xml:space="preserve">Kenya, </w:t>
      </w:r>
      <w:r w:rsidR="00754F9C">
        <w:rPr>
          <w:rFonts w:ascii="Times New Roman" w:eastAsia="SimSun" w:hAnsi="Times New Roman" w:cs="Calibri"/>
          <w:color w:val="000000" w:themeColor="text1"/>
          <w:lang w:eastAsia="hi-IN" w:bidi="hi-IN"/>
        </w:rPr>
        <w:t>Russia</w:t>
      </w:r>
      <w:r w:rsidR="00EB2F8B">
        <w:rPr>
          <w:rFonts w:ascii="Times New Roman" w:eastAsia="SimSun" w:hAnsi="Times New Roman" w:cs="Calibri"/>
          <w:color w:val="000000" w:themeColor="text1"/>
          <w:lang w:eastAsia="hi-IN" w:bidi="hi-IN"/>
        </w:rPr>
        <w:t>n Federation</w:t>
      </w:r>
      <w:r w:rsidR="0007677D">
        <w:rPr>
          <w:rFonts w:ascii="Times New Roman" w:eastAsia="SimSun" w:hAnsi="Times New Roman" w:cs="Calibri"/>
          <w:color w:val="000000" w:themeColor="text1"/>
          <w:lang w:eastAsia="hi-IN" w:bidi="hi-IN"/>
        </w:rPr>
        <w:t>, South Africa</w:t>
      </w:r>
      <w:r w:rsidRPr="007475A6">
        <w:rPr>
          <w:rFonts w:ascii="Times New Roman" w:eastAsia="SimSun" w:hAnsi="Times New Roman" w:cs="Calibri"/>
          <w:color w:val="000000" w:themeColor="text1"/>
          <w:lang w:eastAsia="hi-IN" w:bidi="hi-IN"/>
        </w:rPr>
        <w:t xml:space="preserve"> and Israel</w:t>
      </w:r>
      <w:r w:rsidR="001C2684">
        <w:rPr>
          <w:rFonts w:ascii="Times New Roman" w:eastAsia="SimSun" w:hAnsi="Times New Roman" w:cs="Calibri"/>
          <w:color w:val="000000" w:themeColor="text1"/>
          <w:lang w:eastAsia="hi-IN" w:bidi="hi-IN"/>
        </w:rPr>
        <w:t xml:space="preserve"> (some of which non-Parties to the Cartagena Protocol)</w:t>
      </w:r>
      <w:r w:rsidRPr="007475A6">
        <w:rPr>
          <w:rFonts w:ascii="Times New Roman" w:eastAsia="SimSun" w:hAnsi="Times New Roman" w:cs="Calibri"/>
          <w:color w:val="000000" w:themeColor="text1"/>
          <w:lang w:eastAsia="hi-IN" w:bidi="hi-IN"/>
        </w:rPr>
        <w:t xml:space="preserve"> have established policies </w:t>
      </w:r>
      <w:r w:rsidR="00231A15">
        <w:rPr>
          <w:rFonts w:ascii="Times New Roman" w:eastAsia="SimSun" w:hAnsi="Times New Roman" w:cs="Calibri"/>
          <w:color w:val="000000" w:themeColor="text1"/>
          <w:lang w:eastAsia="hi-IN" w:bidi="hi-IN"/>
        </w:rPr>
        <w:t>and/or guidance describing</w:t>
      </w:r>
      <w:r w:rsidRPr="007475A6">
        <w:rPr>
          <w:rFonts w:ascii="Times New Roman" w:eastAsia="SimSun" w:hAnsi="Times New Roman" w:cs="Calibri"/>
          <w:color w:val="000000" w:themeColor="text1"/>
          <w:lang w:eastAsia="hi-IN" w:bidi="hi-IN"/>
        </w:rPr>
        <w:t xml:space="preserve"> </w:t>
      </w:r>
      <w:r w:rsidR="008B1D0D">
        <w:rPr>
          <w:rFonts w:ascii="Times New Roman" w:eastAsia="SimSun" w:hAnsi="Times New Roman" w:cs="Calibri"/>
          <w:color w:val="000000" w:themeColor="text1"/>
          <w:lang w:eastAsia="hi-IN" w:bidi="hi-IN"/>
        </w:rPr>
        <w:t>which</w:t>
      </w:r>
      <w:r w:rsidRPr="007475A6">
        <w:rPr>
          <w:rFonts w:ascii="Times New Roman" w:eastAsia="SimSun" w:hAnsi="Times New Roman" w:cs="Calibri"/>
          <w:color w:val="000000" w:themeColor="text1"/>
          <w:lang w:eastAsia="hi-IN" w:bidi="hi-IN"/>
        </w:rPr>
        <w:t xml:space="preserve"> genome-edited </w:t>
      </w:r>
      <w:r>
        <w:rPr>
          <w:rFonts w:ascii="Times New Roman" w:eastAsia="SimSun" w:hAnsi="Times New Roman" w:cs="Calibri"/>
          <w:color w:val="000000" w:themeColor="text1"/>
          <w:lang w:eastAsia="hi-IN" w:bidi="hi-IN"/>
        </w:rPr>
        <w:t>application</w:t>
      </w:r>
      <w:r w:rsidRPr="007475A6">
        <w:rPr>
          <w:rFonts w:ascii="Times New Roman" w:eastAsia="SimSun" w:hAnsi="Times New Roman" w:cs="Calibri"/>
          <w:color w:val="000000" w:themeColor="text1"/>
          <w:lang w:eastAsia="hi-IN" w:bidi="hi-IN"/>
        </w:rPr>
        <w:t>s are not required to follow GMO regulation</w:t>
      </w:r>
      <w:r>
        <w:rPr>
          <w:rFonts w:ascii="Times New Roman" w:eastAsia="SimSun" w:hAnsi="Times New Roman" w:cs="Calibri"/>
          <w:color w:val="000000" w:themeColor="text1"/>
          <w:lang w:eastAsia="hi-IN" w:bidi="hi-IN"/>
        </w:rPr>
        <w:t xml:space="preserve"> (in this case)</w:t>
      </w:r>
      <w:r w:rsidR="008B1D0D">
        <w:rPr>
          <w:rFonts w:ascii="Times New Roman" w:eastAsia="SimSun" w:hAnsi="Times New Roman" w:cs="Calibri"/>
          <w:color w:val="000000" w:themeColor="text1"/>
          <w:lang w:eastAsia="hi-IN" w:bidi="hi-IN"/>
        </w:rPr>
        <w:t xml:space="preserve">, </w:t>
      </w:r>
      <w:r w:rsidR="007D7A22">
        <w:rPr>
          <w:rFonts w:ascii="Times New Roman" w:eastAsia="SimSun" w:hAnsi="Times New Roman" w:cs="Calibri"/>
          <w:color w:val="000000" w:themeColor="text1"/>
          <w:lang w:eastAsia="hi-IN" w:bidi="hi-IN"/>
        </w:rPr>
        <w:t xml:space="preserve">and </w:t>
      </w:r>
      <w:r w:rsidR="008735D6">
        <w:rPr>
          <w:rFonts w:ascii="Times New Roman" w:eastAsia="SimSun" w:hAnsi="Times New Roman" w:cs="Calibri"/>
          <w:color w:val="000000" w:themeColor="text1"/>
          <w:lang w:eastAsia="hi-IN" w:bidi="hi-IN"/>
        </w:rPr>
        <w:t xml:space="preserve">with </w:t>
      </w:r>
      <w:r w:rsidR="007D7A22">
        <w:rPr>
          <w:rFonts w:ascii="Times New Roman" w:eastAsia="SimSun" w:hAnsi="Times New Roman" w:cs="Calibri"/>
          <w:color w:val="000000" w:themeColor="text1"/>
          <w:lang w:eastAsia="hi-IN" w:bidi="hi-IN"/>
        </w:rPr>
        <w:t>especial refer</w:t>
      </w:r>
      <w:r w:rsidR="008735D6">
        <w:rPr>
          <w:rFonts w:ascii="Times New Roman" w:eastAsia="SimSun" w:hAnsi="Times New Roman" w:cs="Calibri"/>
          <w:color w:val="000000" w:themeColor="text1"/>
          <w:lang w:eastAsia="hi-IN" w:bidi="hi-IN"/>
        </w:rPr>
        <w:t>ence</w:t>
      </w:r>
      <w:r w:rsidR="007D7A22">
        <w:rPr>
          <w:rFonts w:ascii="Times New Roman" w:eastAsia="SimSun" w:hAnsi="Times New Roman" w:cs="Calibri"/>
          <w:color w:val="000000" w:themeColor="text1"/>
          <w:lang w:eastAsia="hi-IN" w:bidi="hi-IN"/>
        </w:rPr>
        <w:t xml:space="preserve"> to those where</w:t>
      </w:r>
      <w:r w:rsidRPr="007475A6">
        <w:rPr>
          <w:rFonts w:ascii="Times New Roman" w:eastAsia="SimSun" w:hAnsi="Times New Roman" w:cs="Calibri"/>
          <w:color w:val="000000" w:themeColor="text1"/>
          <w:lang w:eastAsia="hi-IN" w:bidi="hi-IN"/>
        </w:rPr>
        <w:t xml:space="preserve"> the final products do not contain foreign DNA </w:t>
      </w:r>
      <w:r w:rsidRPr="00EB320D">
        <w:rPr>
          <w:rFonts w:ascii="Times New Roman" w:eastAsia="SimSun" w:hAnsi="Times New Roman" w:cs="Calibri"/>
          <w:color w:val="000000" w:themeColor="text1"/>
          <w:lang w:eastAsia="hi-IN" w:bidi="hi-IN"/>
        </w:rPr>
        <w:t xml:space="preserve">sequences </w:t>
      </w:r>
      <w:r w:rsidR="00EB7B72" w:rsidRPr="00EB320D">
        <w:rPr>
          <w:rFonts w:ascii="Times New Roman" w:eastAsia="SimSun" w:hAnsi="Times New Roman" w:cs="Calibri"/>
          <w:color w:val="000000" w:themeColor="text1"/>
          <w:lang w:eastAsia="hi-IN" w:bidi="hi-IN"/>
        </w:rPr>
        <w:fldChar w:fldCharType="begin" w:fldLock="1"/>
      </w:r>
      <w:r w:rsidR="008F6A90" w:rsidRPr="00EB320D">
        <w:rPr>
          <w:rFonts w:ascii="Times New Roman" w:eastAsia="SimSun" w:hAnsi="Times New Roman" w:cs="Calibri"/>
          <w:color w:val="000000" w:themeColor="text1"/>
          <w:lang w:eastAsia="hi-IN" w:bidi="hi-IN"/>
        </w:rPr>
        <w:instrText>ADDIN CSL_CITATION {"citationItems":[{"id":"ITEM-1","itemData":{"DOI":"10.1007/s11248-019-00145-2","ISSN":"15739368","PMID":"31321697","abstract":"Argentina is a world leader in regards to regulation and adoption of genetically modified (GM) crops. As a consequence, the regulatory aspects of gene editing applied to agriculture were considered proactively by the Argentinian regulators, who implemented simple but solid pioneering regulatory criteria for gene edited crops. At present, the Argentine regulatory system is fully able to establish if a gene-edited crop should be classified (and handled) either as a GM crop or a conventional new variety. To this end, the concept of “novel combination of genetic material” derived from the Cartagena Protocol on Biosafety is of decisive importance. After some pilot cases that have been managed under this criteria, now applicants appreciate the ease, speed and predictability of the regulation. Moreover, it has been considered by other countries in the course of developing their own regulations, thus acting also as a harmonization factor for the safe and effective insertion of these technologies in the global market.","author":[{"dropping-particle":"","family":"Lema","given":"Martin Alfredo","non-dropping-particle":"","parse-names":false,"suffix":""}],"container-title":"Transgenic Research","id":"ITEM-1","issue":"2","issued":{"date-parts":[["2019","8"]]},"page":"147-150","publisher":"Springer International Publishing","title":"Regulatory aspects of gene editing in Argentina","type":"article-journal","volume":"28"},"uris":["http://www.mendeley.com/documents/?uuid=7b344e2e-6a98-45a1-aba0-3c28a94b8539"]},{"id":"ITEM-2","itemData":{"DOI":"10.9734/ajb2t/2020/v6i330083","abstract":"A new set of breeding techniques, referred to as New Breeding Techniques developed in the last two decades have potential for enhancing improved productivity in crop and animal breeding globally. These include site directed nucleases based genomic editing procedures-CRISPR and Cas associated proteins, Zinc Finger Nucleases, Meganucleases/Homing Endonucleases and Transcription- Activator Like-Effector Nucleases for genome editing and other technologies including- Oligonucleotide-Directed Mutagenesis, Cisgenesis and intragenesis, RNA-Dependent DNA methylation; Transgrafting, Agroinfiltration, Reverse breeding. There are ongoing global debates on whether the processes of and products emerging from these technologies should be regulated as genetically modified organisms or approved as conventional products. Decisions on whether to regulate as GMOs are based both on understanding of the molecular basis of their development and if the GMO intermediate step was used. For example- cisgenesis, can be developed using Agrobacterium tumefaciens methods of transformation, a process used by GMO but if the selection is properly conducted the intermediate GMO elements will be eliminated and the final product will be identical to the conventionally developed crops. Others like Site Directed Nuclease 3 are regulated as GMOs in countries such as United State of America, Canada, European Union, Argentina, Australia. Progress in genome editing research, testing of genome edited bacterial blight resistant rice, development of Guidelines for regulating new breeding techniques or genome editing in Africa is also covered with special reference to South Africa, Kenya and Nigeria. Science- and evidence-based approach to regulation of new breeding techniques among regulators and policy makers should be strongly supported.","author":[{"dropping-particle":"","family":"Obukosia","given":"Silas","non-dropping-particle":"","parse-names":false,"suffix":""},{"dropping-particle":"","family":"Akinbo","given":"Olalekan","non-dropping-particle":"","parse-names":false,"suffix":""},{"dropping-particle":"","family":"Sinebo","given":"Woldeyesus","non-dropping-particle":"","parse-names":false,"suffix":""},{"dropping-particle":"","family":"Savadogo","given":"Moussa","non-dropping-particle":"","parse-names":false,"suffix":""},{"dropping-particle":"","family":"Timpo","given":"Samuel","non-dropping-particle":"","parse-names":false,"suffix":""},{"dropping-particle":"","family":"Adeyemo","given":"Modupe","non-dropping-particle":"","parse-names":</w:instrText>
      </w:r>
      <w:r w:rsidR="008F6A90" w:rsidRPr="00EB320D">
        <w:rPr>
          <w:rFonts w:ascii="Times New Roman" w:eastAsia="SimSun" w:hAnsi="Times New Roman" w:cs="Calibri"/>
          <w:color w:val="000000" w:themeColor="text1"/>
          <w:lang w:val="es-ES" w:eastAsia="hi-IN" w:bidi="hi-IN"/>
        </w:rPr>
        <w:instrText>false,"suffix":""},{"dropping-particle":"","family":"Akile","given":"Sunday","non-dropping-particle":"","parse-names":false,"suffix":""},{"dropping-particle":"","family":"Kebere","given":"Jean","non-dropping-particle":"","parse-names":false,"suffix":""},{"dropping-particle":"","family":"Ouedraogo","given":"Jeremy","non-dropping-particle":"","parse-names":false,"suffix":""},{"dropping-particle":"","family":"Ambali","given":"Aggrey","non-dropping-particle":"","parse-names":false,"suffix":""},{"dropping-particle":"","family":"Makinde","given":"Diran","non-dropping-particle":"","parse-names":false,"suffix":""}],"container-title":"Asian Journal of Biotechnology and Bioresource Technology","id":"ITEM-2","issue":"3","issued":{"date-parts":[["2020","11"]]},"page":"18-35","publisher":"Sciencedomain International","title":"Update of Regulatory Options of New Breeding Techniques and Biosafety Approaches among Selected Countries: A Review","type":"article-journal","volume":"6"},"uris":["http://www.mendeley.com/documents/?uuid=25e22102-97be-4150-b9be-e1e0186e4827"]}],"mendeley":{"formattedCitation":"(Martin Alfredo Lema, 2019; Obukosia et al., 2020)","manualFormatting":"(Lema, 2019; Obukosia et al., 2020; ","plainTextFormattedCitation":"(Martin Alfredo Lema, 2019; Obukosia et al., 2020)","previouslyFormattedCitation":"(Martin Alfredo Lema, 2019; Obukosia et al., 2020)"},"properties":{"noteIndex":0},"schema":"https://github.com/citation-style-language/schema/raw/master/csl-citation.json"}</w:instrText>
      </w:r>
      <w:r w:rsidR="00EB7B72" w:rsidRPr="00EB320D">
        <w:rPr>
          <w:rFonts w:ascii="Times New Roman" w:eastAsia="SimSun" w:hAnsi="Times New Roman" w:cs="Calibri"/>
          <w:color w:val="000000" w:themeColor="text1"/>
          <w:lang w:eastAsia="hi-IN" w:bidi="hi-IN"/>
        </w:rPr>
        <w:fldChar w:fldCharType="separate"/>
      </w:r>
      <w:r w:rsidR="00EB7B72" w:rsidRPr="00EB320D">
        <w:rPr>
          <w:rFonts w:ascii="Times New Roman" w:eastAsia="SimSun" w:hAnsi="Times New Roman" w:cs="Calibri"/>
          <w:noProof/>
          <w:color w:val="000000" w:themeColor="text1"/>
          <w:lang w:val="es-ES" w:eastAsia="hi-IN" w:bidi="hi-IN"/>
        </w:rPr>
        <w:t>(Lema, 2019; Obukosia et al., 2020</w:t>
      </w:r>
      <w:r w:rsidR="00D153DB" w:rsidRPr="00EB320D">
        <w:rPr>
          <w:rFonts w:ascii="Times New Roman" w:eastAsia="SimSun" w:hAnsi="Times New Roman" w:cs="Calibri"/>
          <w:noProof/>
          <w:color w:val="000000" w:themeColor="text1"/>
          <w:lang w:val="es-ES" w:eastAsia="hi-IN" w:bidi="hi-IN"/>
        </w:rPr>
        <w:t xml:space="preserve">; </w:t>
      </w:r>
      <w:r w:rsidR="00EB7B72" w:rsidRPr="00EB320D">
        <w:rPr>
          <w:rFonts w:ascii="Times New Roman" w:eastAsia="SimSun" w:hAnsi="Times New Roman" w:cs="Calibri"/>
          <w:color w:val="000000" w:themeColor="text1"/>
          <w:lang w:eastAsia="hi-IN" w:bidi="hi-IN"/>
        </w:rPr>
        <w:fldChar w:fldCharType="end"/>
      </w:r>
      <w:r w:rsidR="003B2607" w:rsidRPr="00EB320D">
        <w:rPr>
          <w:rFonts w:ascii="Times New Roman" w:eastAsia="SimSun" w:hAnsi="Times New Roman" w:cs="Calibri"/>
          <w:color w:val="000000" w:themeColor="text1"/>
          <w:lang w:eastAsia="hi-IN" w:bidi="hi-IN"/>
        </w:rPr>
        <w:fldChar w:fldCharType="begin" w:fldLock="1"/>
      </w:r>
      <w:r w:rsidR="00396765" w:rsidRPr="00EB320D">
        <w:rPr>
          <w:rFonts w:ascii="Times New Roman" w:eastAsia="SimSun" w:hAnsi="Times New Roman" w:cs="Calibri"/>
          <w:color w:val="000000" w:themeColor="text1"/>
          <w:lang w:val="es-ES" w:eastAsia="hi-IN" w:bidi="hi-IN"/>
        </w:rPr>
        <w:instrText>ADDIN CSL_CITATION {"citationItems":[{"id":"ITEM-1","itemData":{"DOI":"10.3389/fpls.2020.577313","ISSN":"1664-462X","abstract":"Genome-editing tools including meganucleases, zinc finger nucleases, transcription activator-like effector nucleases and clustered regularly interspaced short palindromic repeats (CRISPR) system have been applied to improve the quality of staple, oilseed, and horticultural crops with great accuracy and efficiency compared to conventional breeding. In particular, the CRISPR method has proven to be a feasible, cost-effective and versatile tool allowing precise and efficient editing of plant genomes in recent years, showing great potential in crop improvement. Until now, various genome-edited crops with enhanced commercial value have been developed by not only global companies but also small laboratories in universities, suggesting low entry barriers with respect to manpower and capital. In this study, we review the current applications of genome editing technologies to improve the nutritional and functional quality and preferred traits of various crops. Combining this rapidly advancing genome-editing technology and conventional breeding will greatly extend the potential of genome-edited crops and their commercialization.","author":[{"dropping-particle":"","family":"Ku","given":"Hyung-Keun","non-dropping-particle":"","parse-names":false,"suffix":""},{"dropping-particle":"","family":"Ha","given":"Sun-Hwa","non-dropping-particle":"","parse-names":false,"suffix":""}],"container-title":"Frontiers in Plant Science","id":"ITEM-1","issued":{"date-parts":[["2020","10"]]},"page":"23","publisher":"Frontiers Media S.A.","title":"Improving Nutritional and Functional Quality by Genome Editing of Crops: Status and Perspectives","type":"article-journal","volume":"11"},"uris":["http://www.mendeley.com/documents/?uuid=57833d46-666a-40ba-aa39-44c45935e806"]}],"mendeley":{"formattedCitation":"(Ku &amp; Ha, 2020)","manualFormatting":"Ku &amp; Ha, 2020)","plainTextFormattedCitation":"(Ku &amp; Ha, 2020)","previouslyFormattedCitation":"(Ku &amp; Ha, 2020)"},"properties":{"noteIndex":0},"schema":"https://github.com/citation-style-language/schema/raw/master/csl-citation.json"}</w:instrText>
      </w:r>
      <w:r w:rsidR="003B2607" w:rsidRPr="00EB320D">
        <w:rPr>
          <w:rFonts w:ascii="Times New Roman" w:eastAsia="SimSun" w:hAnsi="Times New Roman" w:cs="Calibri"/>
          <w:color w:val="000000" w:themeColor="text1"/>
          <w:lang w:eastAsia="hi-IN" w:bidi="hi-IN"/>
        </w:rPr>
        <w:fldChar w:fldCharType="separate"/>
      </w:r>
      <w:r w:rsidR="003B2607" w:rsidRPr="00EB320D">
        <w:rPr>
          <w:rFonts w:ascii="Times New Roman" w:eastAsia="SimSun" w:hAnsi="Times New Roman" w:cs="Calibri"/>
          <w:noProof/>
          <w:color w:val="000000" w:themeColor="text1"/>
          <w:lang w:val="es-ES" w:eastAsia="hi-IN" w:bidi="hi-IN"/>
        </w:rPr>
        <w:t>Ku &amp; Ha, 2020)</w:t>
      </w:r>
      <w:r w:rsidR="003B2607" w:rsidRPr="00EB320D">
        <w:rPr>
          <w:rFonts w:ascii="Times New Roman" w:eastAsia="SimSun" w:hAnsi="Times New Roman" w:cs="Calibri"/>
          <w:color w:val="000000" w:themeColor="text1"/>
          <w:lang w:eastAsia="hi-IN" w:bidi="hi-IN"/>
        </w:rPr>
        <w:fldChar w:fldCharType="end"/>
      </w:r>
      <w:r w:rsidRPr="00EB320D">
        <w:rPr>
          <w:rFonts w:ascii="Times New Roman" w:eastAsia="SimSun" w:hAnsi="Times New Roman" w:cs="Calibri"/>
          <w:color w:val="000000" w:themeColor="text1"/>
          <w:lang w:val="es-ES" w:eastAsia="hi-IN" w:bidi="hi-IN"/>
        </w:rPr>
        <w:t xml:space="preserve">. </w:t>
      </w:r>
      <w:r w:rsidRPr="001B3677">
        <w:rPr>
          <w:rFonts w:ascii="Times New Roman" w:eastAsia="SimSun" w:hAnsi="Times New Roman" w:cs="Calibri"/>
          <w:color w:val="000000" w:themeColor="text1"/>
          <w:lang w:val="es-ES" w:eastAsia="hi-IN" w:bidi="hi-IN"/>
        </w:rPr>
        <w:t xml:space="preserve">At the other end of the range is the position taken by both Europe and New Zealand </w:t>
      </w:r>
      <w:r w:rsidR="00C83331" w:rsidRPr="001B3677">
        <w:rPr>
          <w:rFonts w:ascii="Times New Roman" w:eastAsia="SimSun" w:hAnsi="Times New Roman" w:cs="Calibri"/>
          <w:color w:val="000000" w:themeColor="text1"/>
          <w:lang w:val="es-ES" w:eastAsia="hi-IN" w:bidi="hi-IN"/>
        </w:rPr>
        <w:t>for instance,</w:t>
      </w:r>
      <w:r w:rsidR="000E4071" w:rsidRPr="001B3677">
        <w:rPr>
          <w:rFonts w:ascii="Times New Roman" w:eastAsia="SimSun" w:hAnsi="Times New Roman" w:cs="Calibri"/>
          <w:color w:val="000000" w:themeColor="text1"/>
          <w:lang w:val="es-ES" w:eastAsia="hi-IN" w:bidi="hi-IN"/>
        </w:rPr>
        <w:t xml:space="preserve"> </w:t>
      </w:r>
      <w:r w:rsidRPr="001B3677">
        <w:rPr>
          <w:rFonts w:ascii="Times New Roman" w:eastAsia="SimSun" w:hAnsi="Times New Roman" w:cs="Calibri"/>
          <w:color w:val="000000" w:themeColor="text1"/>
          <w:lang w:val="es-ES" w:eastAsia="hi-IN" w:bidi="hi-IN"/>
        </w:rPr>
        <w:t xml:space="preserve">which have upheld the legal ruling that genome-edited applications should be regulated in the same way as GM crops </w:t>
      </w:r>
      <w:r w:rsidRPr="00EB320D">
        <w:rPr>
          <w:rFonts w:ascii="Times New Roman" w:eastAsia="SimSun" w:hAnsi="Times New Roman" w:cs="Calibri"/>
          <w:color w:val="000000" w:themeColor="text1"/>
          <w:lang w:val="en-CA" w:eastAsia="hi-IN" w:bidi="hi-IN"/>
        </w:rPr>
        <w:fldChar w:fldCharType="begin" w:fldLock="1"/>
      </w:r>
      <w:r w:rsidR="00006C3B" w:rsidRPr="001B3677">
        <w:rPr>
          <w:rFonts w:ascii="Times New Roman" w:eastAsia="SimSun" w:hAnsi="Times New Roman" w:cs="Calibri"/>
          <w:color w:val="000000" w:themeColor="text1"/>
          <w:lang w:val="es-ES" w:eastAsia="hi-IN" w:bidi="hi-IN"/>
        </w:rPr>
        <w:instrText>ADDIN CSL_CITATION {"citationItems":[{"id":"ITEM-1","itemData":{"DOI":"10.9787/kjbs.2019.51.3.175","ISSN":"0250-3360","abstract":"Recently, several attempts have been undertaken to develop breeding technologies by combining new biotechnologies. Gene-editing technology is currently one of the most interesting areas. The plant breeding methods using this technique have the advantage of greatly improved accuracy and efficiency of the plant genetic correction compared with conventional breeding methods, which has raised expectations for the useful application of this technology as a cutting-edge breeding technology. Although not all countries around the world currently have established appropriate regulation policies on crops developed with gene-editing technology, the number of cases in which GMO regulations are not applied on a case-by-case basis according to the scientific background is growing. However, Korea has not yet established policies on which criteria should be applied to crops generated from the application of gene-editing technology. As the number of cases of crop development and commercialization using gene-editing technology is expected to increase in the near future, it will be necessary to prepare reasonable policies to support developers and seed indus</w:instrText>
      </w:r>
      <w:r w:rsidR="00006C3B" w:rsidRPr="00EB320D">
        <w:rPr>
          <w:rFonts w:ascii="Times New Roman" w:eastAsia="SimSun" w:hAnsi="Times New Roman" w:cs="Calibri"/>
          <w:color w:val="000000" w:themeColor="text1"/>
          <w:lang w:val="en-CA" w:eastAsia="hi-IN" w:bidi="hi-IN"/>
        </w:rPr>
        <w:instrText>tries in Korea to ensure harmonization with international regulatory policy trends.","author":[{"dropping-particle":"","family":"Park","given":"Soo-Chul","non-dropping-particle":"","parse-names":false,"suffix":""},{"dropping-particle":"","family":"Joung","given":"Young-Hee","non-dropping-particle":"","parse-names":false,"suffix":""},{"dropping-particle":"","family":"Kim","given":"Kyung-Min","non-dropping-particle":"","parse-names":false,"suffix":""},{"dropping-particle":"","family":"Kim","given":"Ju-Kon","non-dropping-particle":"","parse-names":false,"suffix":""},{"dropping-particle":"","family":"Koh","given":"Hee-Jong","non-dropping-particle":"","parse-names":false,"suffix":""}],"container-title":"Korean Journal of Breeding Science","id":"ITEM-1","issue":"3","issued":{"date-parts":[["2019","9"]]},"page":"175-183","publisher":"Korean Society of Breeding Science","title":"Gene-Edited Crops: Present Status and their Future","type":"article-journal","volume":"51"},"uris":["http://www.mendeley.com/documents/?uuid=cac8ae44-e63e-4e40-90b3-119273d09620"]},{"id":"ITEM-2","itemData":{"DOI":"10.3389/fpls.2018.01323","ISSN":"1664-462X","author":[{"dropping-particle":"","family":"Fritsche","given":"Steffi","non-dropping-particle":"","parse-names":false,"suffix":""},{"dropping-particle":"","family":"Poovaiah","given":"Charleson","non-dropping-particle":"","parse-names":false,"suffix":""},{"dropping-particle":"","family":"MacRae","given":"Elspeth","non-dropping-particle":"","parse-names":false,"suffix":""},{"dropping-particle":"","family":"Thorlby","given":"Glenn","non-dropping-particle":"","parse-names":false,"suffix":""}],"container-title":"Frontiers in Plant Science","id":"ITEM-2","issued":{"date-parts":[["2018","9","12"]]},"title":"A New Zealand Perspective on the Application and Regulation of Gene Editing","type":"article-journal","volume":"9"},"uris":["http://www.mendeley.com/documents/?uuid=4877d0ee-0ded-48ae-aa99-663e2b1e3325"]}],"mendeley":{"formattedCitation":"(Fritsche et al., 2018; Park et al., 2019)","plainTextFormattedCitation":"(Fritsche et al., 2018; Park et al., 2019)","previouslyFormattedCitation":"(Fritsche et al., 2018; Park et al., 2019)"},"properties":{"noteIndex":0},"schema":"https://github.com/citation-style-language/schema/raw/master/csl-citation.json"}</w:instrText>
      </w:r>
      <w:r w:rsidRPr="00EB320D">
        <w:rPr>
          <w:rFonts w:ascii="Times New Roman" w:eastAsia="SimSun" w:hAnsi="Times New Roman" w:cs="Calibri"/>
          <w:color w:val="000000" w:themeColor="text1"/>
          <w:lang w:val="en-CA" w:eastAsia="hi-IN" w:bidi="hi-IN"/>
        </w:rPr>
        <w:fldChar w:fldCharType="separate"/>
      </w:r>
      <w:r w:rsidR="00DE2EA7" w:rsidRPr="00EB320D">
        <w:rPr>
          <w:rFonts w:ascii="Times New Roman" w:eastAsia="SimSun" w:hAnsi="Times New Roman" w:cs="Calibri"/>
          <w:noProof/>
          <w:color w:val="000000" w:themeColor="text1"/>
          <w:lang w:val="en-CA" w:eastAsia="hi-IN" w:bidi="hi-IN"/>
        </w:rPr>
        <w:t>(Fritsche et al., 2018; Park et al., 2019)</w:t>
      </w:r>
      <w:r w:rsidRPr="00EB320D">
        <w:rPr>
          <w:rFonts w:ascii="Times New Roman" w:eastAsia="SimSun" w:hAnsi="Times New Roman" w:cs="Calibri"/>
          <w:color w:val="000000" w:themeColor="text1"/>
          <w:lang w:val="en-CA" w:eastAsia="hi-IN" w:bidi="hi-IN"/>
        </w:rPr>
        <w:fldChar w:fldCharType="end"/>
      </w:r>
      <w:r w:rsidRPr="00EB320D">
        <w:rPr>
          <w:rFonts w:ascii="Times New Roman" w:eastAsia="SimSun" w:hAnsi="Times New Roman" w:cs="Calibri"/>
          <w:color w:val="000000" w:themeColor="text1"/>
          <w:lang w:val="en-CA" w:eastAsia="hi-IN" w:bidi="hi-IN"/>
        </w:rPr>
        <w:t>.</w:t>
      </w:r>
      <w:r w:rsidRPr="69BA3794">
        <w:rPr>
          <w:rFonts w:ascii="Times New Roman" w:eastAsia="SimSun" w:hAnsi="Times New Roman" w:cs="Calibri"/>
          <w:color w:val="000000" w:themeColor="text1"/>
          <w:lang w:eastAsia="hi-IN" w:bidi="hi-IN"/>
        </w:rPr>
        <w:t xml:space="preserve"> </w:t>
      </w:r>
    </w:p>
    <w:p w14:paraId="2475CB42" w14:textId="75A6E5F0" w:rsidR="004C3E4B" w:rsidRPr="004C3E4B" w:rsidRDefault="004C3E4B" w:rsidP="004C3E4B">
      <w:pPr>
        <w:suppressAutoHyphens/>
        <w:autoSpaceDE w:val="0"/>
        <w:spacing w:before="120" w:after="120" w:line="240" w:lineRule="auto"/>
        <w:jc w:val="both"/>
        <w:rPr>
          <w:rFonts w:ascii="Times New Roman" w:eastAsia="SimSun" w:hAnsi="Times New Roman" w:cs="Calibri"/>
          <w:color w:val="000000" w:themeColor="text1"/>
          <w:lang w:eastAsia="hi-IN" w:bidi="hi-IN"/>
        </w:rPr>
      </w:pPr>
      <w:r w:rsidRPr="004C3E4B">
        <w:rPr>
          <w:rFonts w:ascii="Times New Roman" w:eastAsia="SimSun" w:hAnsi="Times New Roman" w:cs="Calibri"/>
          <w:color w:val="000000" w:themeColor="text1"/>
          <w:lang w:eastAsia="hi-IN" w:bidi="hi-IN"/>
        </w:rPr>
        <w:t xml:space="preserve">Argentina updated their regulations on animal biotechnology in 2017 to include new technologies such as gene editing and so gene-edited animals will be subjected to risk assessment </w:t>
      </w:r>
      <w:r w:rsidR="004E1C6C" w:rsidRPr="00EB320D">
        <w:rPr>
          <w:rFonts w:ascii="Times New Roman" w:eastAsia="SimSun" w:hAnsi="Times New Roman" w:cs="Calibri"/>
          <w:color w:val="000000" w:themeColor="text1"/>
          <w:lang w:eastAsia="hi-IN" w:bidi="hi-IN"/>
        </w:rPr>
        <w:fldChar w:fldCharType="begin" w:fldLock="1"/>
      </w:r>
      <w:r w:rsidR="002E4348">
        <w:rPr>
          <w:rFonts w:ascii="Times New Roman" w:eastAsia="SimSun" w:hAnsi="Times New Roman" w:cs="Calibri"/>
          <w:color w:val="000000" w:themeColor="text1"/>
          <w:lang w:eastAsia="hi-IN" w:bidi="hi-IN"/>
        </w:rPr>
        <w:instrText>ADDIN CSL_CITATION {"citationItems":[{"id":"ITEM-1","itemData":{"DOI":"10.3389/fbioe.2020.00303","ISSN":"2296-4185","author":[{"dropping-particle":"","family":"Whelan","given":"Agustina I.","non-dropping-particle":"","parse-names":false,"suffix":""},{"dropping-particle":"","family":"Gutti","given":"Patricia","non-dropping-particle":"","parse-names":false,"suffix":""},{"dropping-particle":"","family":"Lema","given":"Martin A.","non-dropping-particle":"","parse-names":false,"suffix":""}],"container-title":"Frontiers in Bioengineering and Biotechnology","id":"ITEM-1","issued":{"date-parts":[["2020","4","15"]]},"title":"Gene Editing Regulation and Innovation Economics","type":"article-journal","volume":"8"},"uris":["http://www.mendeley.com/documents/?uuid=127167fb-a836-4704-ba98-cde566047309"]}],"mendeley":{"formattedCitation":"(Whelan et al., 2020)","plainTextFormattedCitation":"(Whelan et al., 2020)","previouslyFormattedCitation":"(Whelan et al., 2020)"},"properties":{"noteIndex":0},"schema":"https://github.com/citation-style-language/schema/raw/master/csl-citation.json"}</w:instrText>
      </w:r>
      <w:r w:rsidR="004E1C6C" w:rsidRPr="00EB320D">
        <w:rPr>
          <w:rFonts w:ascii="Times New Roman" w:eastAsia="SimSun" w:hAnsi="Times New Roman" w:cs="Calibri"/>
          <w:color w:val="000000" w:themeColor="text1"/>
          <w:lang w:eastAsia="hi-IN" w:bidi="hi-IN"/>
        </w:rPr>
        <w:fldChar w:fldCharType="separate"/>
      </w:r>
      <w:r w:rsidR="004E1C6C" w:rsidRPr="00EB320D">
        <w:rPr>
          <w:rFonts w:ascii="Times New Roman" w:eastAsia="SimSun" w:hAnsi="Times New Roman" w:cs="Calibri"/>
          <w:noProof/>
          <w:color w:val="000000" w:themeColor="text1"/>
          <w:lang w:eastAsia="hi-IN" w:bidi="hi-IN"/>
        </w:rPr>
        <w:t>(Whelan et al., 2020)</w:t>
      </w:r>
      <w:r w:rsidR="004E1C6C" w:rsidRPr="00EB320D">
        <w:rPr>
          <w:rFonts w:ascii="Times New Roman" w:eastAsia="SimSun" w:hAnsi="Times New Roman" w:cs="Calibri"/>
          <w:color w:val="000000" w:themeColor="text1"/>
          <w:lang w:eastAsia="hi-IN" w:bidi="hi-IN"/>
        </w:rPr>
        <w:fldChar w:fldCharType="end"/>
      </w:r>
      <w:r w:rsidRPr="004C3E4B">
        <w:rPr>
          <w:rFonts w:ascii="Times New Roman" w:eastAsia="SimSun" w:hAnsi="Times New Roman" w:cs="Calibri"/>
          <w:color w:val="000000" w:themeColor="text1"/>
          <w:lang w:eastAsia="hi-IN" w:bidi="hi-IN"/>
        </w:rPr>
        <w:t xml:space="preserve">. Running contrary to this, the Canadian regulatory process treats gene-edited animal products for food or feed uses no differently than their respective conventional animals or animal products under their regulatory process if no foreign DNA is present </w:t>
      </w:r>
      <w:r w:rsidR="00396765">
        <w:rPr>
          <w:rFonts w:ascii="Times New Roman" w:eastAsia="SimSun" w:hAnsi="Times New Roman" w:cs="Calibri"/>
          <w:color w:val="000000" w:themeColor="text1"/>
          <w:lang w:eastAsia="hi-IN" w:bidi="hi-IN"/>
        </w:rPr>
        <w:fldChar w:fldCharType="begin" w:fldLock="1"/>
      </w:r>
      <w:r w:rsidR="00396765">
        <w:rPr>
          <w:rFonts w:ascii="Times New Roman" w:eastAsia="SimSun" w:hAnsi="Times New Roman" w:cs="Calibri"/>
          <w:color w:val="000000" w:themeColor="text1"/>
          <w:lang w:eastAsia="hi-IN" w:bidi="hi-IN"/>
        </w:rPr>
        <w:instrText>ADDIN CSL_CITATION {"citationItems":[{"id":"ITEM-1","itemData":{"DOI":"10.1007/s11248-019-00153-2","ISSN":"15739368","PMID":"31321700","abstract":"The development of gene editing techniques, capable of producing plants and animals with new and improved traits, is revolutionizing the world of plant and animal breeding and rapidly advancing to commercial reality. However, from a regulatory standpoint the Government of Canada views gene editing as another tool that will join current methods used to develop desirable traits in plants and animals. This is because Canada focusses on the potential risk resulting from the novelty of the trait, or plant or animal product entering the Canadian environment or market place, rather than the process or method by which it was created. The Canadian Food Inspection Agency is responsible for the regulation of the environmental release of plants with novel traits, and novel livestock feeds, while Health Canada is responsible for the regulation of novel foods. Environment and Climate Change Canada, in partnership with Health Canada, regulates modified animals for entry into the environment. In all cases, these novel products may be the result of conventional breeding, mutagenesis, recombinant DNA techniques or other methods of plant or animal breeding such as gene editing. This novelty approach allows the Canadian regulatory system to efficiently adjust to any new developments in the science of plant and animal breeding and allows for risk-appropriate regulatory decisions. This approach encourages innovation while maintaining science-based regulatory expertise. Canadian regulators work cooperatively with proponents to determine if their gene editing-derived product meets the definition of a novel product, and whether it would be subject to a pre-market assessment. Therefore, Canada’s existing regulatory system is well positioned to accommodate any new innovations or technologies in plant or animal breeding, including gene editing.","author":[{"dropping-particle":"","family":"Ellens","given":"Kenneth W","non-dropping-particle":"","parse-names":false,"suffix":""},{"dropping-particle":"","family":"Levac","given":"Dylan","non-dropping-particle":"","parse-names":false,"suffix":""},{"dropping-particle":"","family":"Pearson","given":"Cindy","non-dropping-particle":"","parse-names":false,"suffix":""},{"dropping-particle":"","family":"Savoie","given":"Annie","non-dropping-particle":"","parse-names":false,"suffix":""},{"dropping-particle":"","family":"Strand","given":"Neil","non-dropping-particle":"","parse-names":false,"suffix":""},{"dropping-particle":"","family":"Louter","given":"Jim","non-dropping-particle":"","parse-names":false,"suffix":""},{"dropping-particle":"","family":"Tibelius","given":"Christine","non-dropping-particle":"","parse-names":false,"suffix":""}],"container-title":"Transgenic Research","id":"ITEM-1","issue":"Suppl 2","issued":{"date-parts":[["2019"]]},"page":"165-168","publisher":"Springer International Publishing","title":"Canadian regulatory aspects of gene editing technologies","type":"article-journal","volume":"28"},"uris":["http://www.mendeley.com/documents/?uuid=57b53e7b-1aa9-4487-b815-4d0c1b2a9a9f"]}],"mendeley":{"formattedCitation":"(Ellens et al., 2019)","plainTextFormattedCitation":"(Ellens et al., 2019)","previouslyFormattedCitation":"(Ellens et al., 2019)"},"properties":{"noteIndex":0},"schema":"https://github.com/citation-style-language/schema/raw/master/csl-citation.json"}</w:instrText>
      </w:r>
      <w:r w:rsidR="00396765">
        <w:rPr>
          <w:rFonts w:ascii="Times New Roman" w:eastAsia="SimSun" w:hAnsi="Times New Roman" w:cs="Calibri"/>
          <w:color w:val="000000" w:themeColor="text1"/>
          <w:lang w:eastAsia="hi-IN" w:bidi="hi-IN"/>
        </w:rPr>
        <w:fldChar w:fldCharType="separate"/>
      </w:r>
      <w:r w:rsidR="00396765" w:rsidRPr="00396765">
        <w:rPr>
          <w:rFonts w:ascii="Times New Roman" w:eastAsia="SimSun" w:hAnsi="Times New Roman" w:cs="Calibri"/>
          <w:noProof/>
          <w:color w:val="000000" w:themeColor="text1"/>
          <w:lang w:eastAsia="hi-IN" w:bidi="hi-IN"/>
        </w:rPr>
        <w:t>(Ellens et al., 2019)</w:t>
      </w:r>
      <w:r w:rsidR="00396765">
        <w:rPr>
          <w:rFonts w:ascii="Times New Roman" w:eastAsia="SimSun" w:hAnsi="Times New Roman" w:cs="Calibri"/>
          <w:color w:val="000000" w:themeColor="text1"/>
          <w:lang w:eastAsia="hi-IN" w:bidi="hi-IN"/>
        </w:rPr>
        <w:fldChar w:fldCharType="end"/>
      </w:r>
      <w:r w:rsidRPr="004C3E4B">
        <w:rPr>
          <w:rFonts w:ascii="Times New Roman" w:eastAsia="SimSun" w:hAnsi="Times New Roman" w:cs="Calibri"/>
          <w:color w:val="000000" w:themeColor="text1"/>
          <w:lang w:eastAsia="hi-IN" w:bidi="hi-IN"/>
        </w:rPr>
        <w:t xml:space="preserve">. Likewise, Brazil’s National Technical Biosafety Commission determined in 2018 that gene-edited hornless cows are conventional animals and that these cows and their products can enter the market </w:t>
      </w:r>
      <w:r w:rsidR="00396765">
        <w:rPr>
          <w:rFonts w:ascii="Times New Roman" w:eastAsia="SimSun" w:hAnsi="Times New Roman" w:cs="Calibri"/>
          <w:color w:val="000000" w:themeColor="text1"/>
          <w:lang w:eastAsia="hi-IN" w:bidi="hi-IN"/>
        </w:rPr>
        <w:fldChar w:fldCharType="begin" w:fldLock="1"/>
      </w:r>
      <w:r w:rsidR="00113671">
        <w:rPr>
          <w:rFonts w:ascii="Times New Roman" w:eastAsia="SimSun" w:hAnsi="Times New Roman" w:cs="Calibri"/>
          <w:color w:val="000000" w:themeColor="text1"/>
          <w:lang w:eastAsia="hi-IN" w:bidi="hi-IN"/>
        </w:rPr>
        <w:instrText>ADDIN CSL_CITATION {"citationItems":[{"id":"ITEM-1","itemData":{"author":[{"dropping-particle":"","family":"Project","given":"Genetic Literacy","non-dropping-particle":"","parse-names":false,"suffix":""}],"id":"ITEM-1","issued":{"date-parts":[["2020"]]},"title":"Brazil: Animals. Global Gene Editing Regulation Tracker","type":"article"},"uris":["http://www.mendeley.com/documents/?uuid=8f7d7d48-7390-4df8-9b36-909a3dadc8f4"]}],"mendeley":{"formattedCitation":"(Project, 2020)","manualFormatting":"(Genetic Literacy Project, 2020)","plainTextFormattedCitation":"(Project, 2020)","previouslyFormattedCitation":"(Project, 2020)"},"properties":{"noteIndex":0},"schema":"https://github.com/citation-style-language/schema/raw/master/csl-citation.json"}</w:instrText>
      </w:r>
      <w:r w:rsidR="00396765">
        <w:rPr>
          <w:rFonts w:ascii="Times New Roman" w:eastAsia="SimSun" w:hAnsi="Times New Roman" w:cs="Calibri"/>
          <w:color w:val="000000" w:themeColor="text1"/>
          <w:lang w:eastAsia="hi-IN" w:bidi="hi-IN"/>
        </w:rPr>
        <w:fldChar w:fldCharType="separate"/>
      </w:r>
      <w:r w:rsidR="00396765" w:rsidRPr="00396765">
        <w:rPr>
          <w:rFonts w:ascii="Times New Roman" w:eastAsia="SimSun" w:hAnsi="Times New Roman" w:cs="Calibri"/>
          <w:noProof/>
          <w:color w:val="000000" w:themeColor="text1"/>
          <w:lang w:eastAsia="hi-IN" w:bidi="hi-IN"/>
        </w:rPr>
        <w:t>(</w:t>
      </w:r>
      <w:r w:rsidR="000679E9">
        <w:rPr>
          <w:rFonts w:ascii="Times New Roman" w:eastAsia="SimSun" w:hAnsi="Times New Roman" w:cs="Calibri"/>
          <w:noProof/>
          <w:color w:val="000000" w:themeColor="text1"/>
          <w:lang w:eastAsia="hi-IN" w:bidi="hi-IN"/>
        </w:rPr>
        <w:t xml:space="preserve">Genetic Literacy </w:t>
      </w:r>
      <w:r w:rsidR="00396765" w:rsidRPr="00396765">
        <w:rPr>
          <w:rFonts w:ascii="Times New Roman" w:eastAsia="SimSun" w:hAnsi="Times New Roman" w:cs="Calibri"/>
          <w:noProof/>
          <w:color w:val="000000" w:themeColor="text1"/>
          <w:lang w:eastAsia="hi-IN" w:bidi="hi-IN"/>
        </w:rPr>
        <w:t>Project, 2020)</w:t>
      </w:r>
      <w:r w:rsidR="00396765">
        <w:rPr>
          <w:rFonts w:ascii="Times New Roman" w:eastAsia="SimSun" w:hAnsi="Times New Roman" w:cs="Calibri"/>
          <w:color w:val="000000" w:themeColor="text1"/>
          <w:lang w:eastAsia="hi-IN" w:bidi="hi-IN"/>
        </w:rPr>
        <w:fldChar w:fldCharType="end"/>
      </w:r>
      <w:r w:rsidRPr="004C3E4B">
        <w:rPr>
          <w:rFonts w:ascii="Times New Roman" w:eastAsia="SimSun" w:hAnsi="Times New Roman" w:cs="Calibri"/>
          <w:color w:val="000000" w:themeColor="text1"/>
          <w:lang w:eastAsia="hi-IN" w:bidi="hi-IN"/>
        </w:rPr>
        <w:t>.</w:t>
      </w:r>
    </w:p>
    <w:p w14:paraId="54DE8473" w14:textId="77777777" w:rsidR="00E9354F" w:rsidRDefault="00E4054E" w:rsidP="00DB410C">
      <w:pPr>
        <w:suppressAutoHyphens/>
        <w:autoSpaceDE w:val="0"/>
        <w:spacing w:before="120" w:after="120" w:line="240" w:lineRule="auto"/>
        <w:jc w:val="both"/>
        <w:rPr>
          <w:rFonts w:ascii="Times New Roman" w:eastAsia="SimSun" w:hAnsi="Times New Roman" w:cs="Calibri"/>
          <w:color w:val="000000" w:themeColor="text1"/>
          <w:lang w:eastAsia="hi-IN" w:bidi="hi-IN"/>
        </w:rPr>
      </w:pPr>
      <w:r w:rsidRPr="00E4054E">
        <w:rPr>
          <w:rFonts w:ascii="Times New Roman" w:eastAsia="SimSun" w:hAnsi="Times New Roman" w:cs="Calibri"/>
          <w:color w:val="000000" w:themeColor="text1"/>
          <w:lang w:eastAsia="hi-IN" w:bidi="hi-IN"/>
        </w:rPr>
        <w:t>Developing</w:t>
      </w:r>
      <w:r>
        <w:rPr>
          <w:rFonts w:ascii="Times New Roman" w:eastAsia="SimSun" w:hAnsi="Times New Roman" w:cs="Calibri"/>
          <w:color w:val="000000" w:themeColor="text1"/>
          <w:lang w:eastAsia="hi-IN" w:bidi="hi-IN"/>
        </w:rPr>
        <w:t xml:space="preserve"> </w:t>
      </w:r>
      <w:r w:rsidRPr="00E4054E">
        <w:rPr>
          <w:rFonts w:ascii="Times New Roman" w:eastAsia="SimSun" w:hAnsi="Times New Roman" w:cs="Calibri"/>
          <w:color w:val="000000" w:themeColor="text1"/>
          <w:lang w:eastAsia="hi-IN" w:bidi="hi-IN"/>
        </w:rPr>
        <w:t>countries</w:t>
      </w:r>
      <w:r w:rsidR="00B1151E">
        <w:rPr>
          <w:rFonts w:ascii="Times New Roman" w:eastAsia="SimSun" w:hAnsi="Times New Roman" w:cs="Calibri"/>
          <w:color w:val="000000" w:themeColor="text1"/>
          <w:lang w:eastAsia="hi-IN" w:bidi="hi-IN"/>
        </w:rPr>
        <w:t>,</w:t>
      </w:r>
      <w:r w:rsidRPr="00E4054E">
        <w:rPr>
          <w:rFonts w:ascii="Times New Roman" w:eastAsia="SimSun" w:hAnsi="Times New Roman" w:cs="Calibri"/>
          <w:color w:val="000000" w:themeColor="text1"/>
          <w:lang w:eastAsia="hi-IN" w:bidi="hi-IN"/>
        </w:rPr>
        <w:t xml:space="preserve"> </w:t>
      </w:r>
      <w:r w:rsidR="00B1151E">
        <w:rPr>
          <w:rFonts w:ascii="Times New Roman" w:eastAsia="SimSun" w:hAnsi="Times New Roman" w:cs="Calibri"/>
          <w:color w:val="000000" w:themeColor="text1"/>
          <w:lang w:eastAsia="hi-IN" w:bidi="hi-IN"/>
        </w:rPr>
        <w:t>especially</w:t>
      </w:r>
      <w:r w:rsidRPr="00E4054E">
        <w:rPr>
          <w:rFonts w:ascii="Times New Roman" w:eastAsia="SimSun" w:hAnsi="Times New Roman" w:cs="Calibri"/>
          <w:color w:val="000000" w:themeColor="text1"/>
          <w:lang w:eastAsia="hi-IN" w:bidi="hi-IN"/>
        </w:rPr>
        <w:t xml:space="preserve"> </w:t>
      </w:r>
      <w:r w:rsidR="00B1151E">
        <w:rPr>
          <w:rFonts w:ascii="Times New Roman" w:eastAsia="SimSun" w:hAnsi="Times New Roman" w:cs="Calibri"/>
          <w:color w:val="000000" w:themeColor="text1"/>
          <w:lang w:eastAsia="hi-IN" w:bidi="hi-IN"/>
        </w:rPr>
        <w:t xml:space="preserve">many in </w:t>
      </w:r>
      <w:r w:rsidRPr="00E4054E">
        <w:rPr>
          <w:rFonts w:ascii="Times New Roman" w:eastAsia="SimSun" w:hAnsi="Times New Roman" w:cs="Calibri"/>
          <w:color w:val="000000" w:themeColor="text1"/>
          <w:lang w:eastAsia="hi-IN" w:bidi="hi-IN"/>
        </w:rPr>
        <w:t>Africa</w:t>
      </w:r>
      <w:r w:rsidR="00B1151E">
        <w:rPr>
          <w:rFonts w:ascii="Times New Roman" w:eastAsia="SimSun" w:hAnsi="Times New Roman" w:cs="Calibri"/>
          <w:color w:val="000000" w:themeColor="text1"/>
          <w:lang w:eastAsia="hi-IN" w:bidi="hi-IN"/>
        </w:rPr>
        <w:t>,</w:t>
      </w:r>
      <w:r w:rsidRPr="00E4054E">
        <w:rPr>
          <w:rFonts w:ascii="Times New Roman" w:eastAsia="SimSun" w:hAnsi="Times New Roman" w:cs="Calibri"/>
          <w:color w:val="000000" w:themeColor="text1"/>
          <w:lang w:eastAsia="hi-IN" w:bidi="hi-IN"/>
        </w:rPr>
        <w:t xml:space="preserve"> are gradually </w:t>
      </w:r>
      <w:r w:rsidR="00403759">
        <w:rPr>
          <w:rFonts w:ascii="Times New Roman" w:eastAsia="SimSun" w:hAnsi="Times New Roman" w:cs="Calibri"/>
          <w:color w:val="000000" w:themeColor="text1"/>
          <w:lang w:eastAsia="hi-IN" w:bidi="hi-IN"/>
        </w:rPr>
        <w:t>reviewi</w:t>
      </w:r>
      <w:r w:rsidR="00403759" w:rsidRPr="00E4054E">
        <w:rPr>
          <w:rFonts w:ascii="Times New Roman" w:eastAsia="SimSun" w:hAnsi="Times New Roman" w:cs="Calibri"/>
          <w:color w:val="000000" w:themeColor="text1"/>
          <w:lang w:eastAsia="hi-IN" w:bidi="hi-IN"/>
        </w:rPr>
        <w:t>ng</w:t>
      </w:r>
      <w:r w:rsidR="00403759">
        <w:rPr>
          <w:rFonts w:ascii="Times New Roman" w:eastAsia="SimSun" w:hAnsi="Times New Roman" w:cs="Calibri"/>
          <w:color w:val="000000" w:themeColor="text1"/>
          <w:lang w:eastAsia="hi-IN" w:bidi="hi-IN"/>
        </w:rPr>
        <w:t xml:space="preserve"> </w:t>
      </w:r>
      <w:r w:rsidRPr="00E4054E">
        <w:rPr>
          <w:rFonts w:ascii="Times New Roman" w:eastAsia="SimSun" w:hAnsi="Times New Roman" w:cs="Calibri"/>
          <w:color w:val="000000" w:themeColor="text1"/>
          <w:lang w:eastAsia="hi-IN" w:bidi="hi-IN"/>
        </w:rPr>
        <w:t xml:space="preserve">their regulatory frameworks </w:t>
      </w:r>
      <w:r w:rsidR="00E37BF9">
        <w:rPr>
          <w:rFonts w:ascii="Times New Roman" w:eastAsia="SimSun" w:hAnsi="Times New Roman" w:cs="Calibri"/>
          <w:color w:val="000000" w:themeColor="text1"/>
          <w:lang w:eastAsia="hi-IN" w:bidi="hi-IN"/>
        </w:rPr>
        <w:t xml:space="preserve">in order </w:t>
      </w:r>
      <w:r w:rsidRPr="00E4054E">
        <w:rPr>
          <w:rFonts w:ascii="Times New Roman" w:eastAsia="SimSun" w:hAnsi="Times New Roman" w:cs="Calibri"/>
          <w:color w:val="000000" w:themeColor="text1"/>
          <w:lang w:eastAsia="hi-IN" w:bidi="hi-IN"/>
        </w:rPr>
        <w:t>to address</w:t>
      </w:r>
      <w:r>
        <w:rPr>
          <w:rFonts w:ascii="Times New Roman" w:eastAsia="SimSun" w:hAnsi="Times New Roman" w:cs="Calibri"/>
          <w:color w:val="000000" w:themeColor="text1"/>
          <w:lang w:eastAsia="hi-IN" w:bidi="hi-IN"/>
        </w:rPr>
        <w:t xml:space="preserve"> </w:t>
      </w:r>
      <w:r w:rsidRPr="00E4054E">
        <w:rPr>
          <w:rFonts w:ascii="Times New Roman" w:eastAsia="SimSun" w:hAnsi="Times New Roman" w:cs="Calibri"/>
          <w:color w:val="000000" w:themeColor="text1"/>
          <w:lang w:eastAsia="hi-IN" w:bidi="hi-IN"/>
        </w:rPr>
        <w:t xml:space="preserve">genome editing and </w:t>
      </w:r>
      <w:r w:rsidR="00B1151E">
        <w:rPr>
          <w:rFonts w:ascii="Times New Roman" w:eastAsia="SimSun" w:hAnsi="Times New Roman" w:cs="Calibri"/>
          <w:color w:val="000000" w:themeColor="text1"/>
          <w:lang w:eastAsia="hi-IN" w:bidi="hi-IN"/>
        </w:rPr>
        <w:t xml:space="preserve">a </w:t>
      </w:r>
      <w:r w:rsidRPr="00E4054E">
        <w:rPr>
          <w:rFonts w:ascii="Times New Roman" w:eastAsia="SimSun" w:hAnsi="Times New Roman" w:cs="Calibri"/>
          <w:color w:val="000000" w:themeColor="text1"/>
          <w:lang w:eastAsia="hi-IN" w:bidi="hi-IN"/>
        </w:rPr>
        <w:t>preliminary appraisal</w:t>
      </w:r>
      <w:r>
        <w:rPr>
          <w:rFonts w:ascii="Times New Roman" w:eastAsia="SimSun" w:hAnsi="Times New Roman" w:cs="Calibri"/>
          <w:color w:val="000000" w:themeColor="text1"/>
          <w:lang w:eastAsia="hi-IN" w:bidi="hi-IN"/>
        </w:rPr>
        <w:t xml:space="preserve"> </w:t>
      </w:r>
      <w:r w:rsidR="00B1151E">
        <w:rPr>
          <w:rFonts w:ascii="Times New Roman" w:eastAsia="SimSun" w:hAnsi="Times New Roman" w:cs="Calibri"/>
          <w:color w:val="000000" w:themeColor="text1"/>
          <w:lang w:eastAsia="hi-IN" w:bidi="hi-IN"/>
        </w:rPr>
        <w:t>indicates</w:t>
      </w:r>
      <w:r w:rsidRPr="00E4054E">
        <w:rPr>
          <w:rFonts w:ascii="Times New Roman" w:eastAsia="SimSun" w:hAnsi="Times New Roman" w:cs="Calibri"/>
          <w:color w:val="000000" w:themeColor="text1"/>
          <w:lang w:eastAsia="hi-IN" w:bidi="hi-IN"/>
        </w:rPr>
        <w:t xml:space="preserve"> that many</w:t>
      </w:r>
      <w:r>
        <w:rPr>
          <w:rFonts w:ascii="Times New Roman" w:eastAsia="SimSun" w:hAnsi="Times New Roman" w:cs="Calibri"/>
          <w:color w:val="000000" w:themeColor="text1"/>
          <w:lang w:eastAsia="hi-IN" w:bidi="hi-IN"/>
        </w:rPr>
        <w:t xml:space="preserve"> </w:t>
      </w:r>
      <w:r w:rsidR="00403759">
        <w:rPr>
          <w:rFonts w:ascii="Times New Roman" w:eastAsia="SimSun" w:hAnsi="Times New Roman" w:cs="Calibri"/>
          <w:color w:val="000000" w:themeColor="text1"/>
          <w:lang w:eastAsia="hi-IN" w:bidi="hi-IN"/>
        </w:rPr>
        <w:t xml:space="preserve">are </w:t>
      </w:r>
      <w:r w:rsidR="79DC244D" w:rsidRPr="74BE2162">
        <w:rPr>
          <w:rFonts w:ascii="Times New Roman" w:eastAsia="SimSun" w:hAnsi="Times New Roman" w:cs="Calibri"/>
          <w:color w:val="000000" w:themeColor="text1"/>
          <w:lang w:eastAsia="hi-IN" w:bidi="hi-IN"/>
        </w:rPr>
        <w:t xml:space="preserve">most </w:t>
      </w:r>
      <w:r w:rsidR="79DC244D" w:rsidRPr="7F3A53D4">
        <w:rPr>
          <w:rFonts w:ascii="Times New Roman" w:eastAsia="SimSun" w:hAnsi="Times New Roman" w:cs="Calibri"/>
          <w:color w:val="000000" w:themeColor="text1"/>
          <w:lang w:eastAsia="hi-IN" w:bidi="hi-IN"/>
        </w:rPr>
        <w:t>likely</w:t>
      </w:r>
      <w:r w:rsidRPr="00E4054E">
        <w:rPr>
          <w:rFonts w:ascii="Times New Roman" w:eastAsia="SimSun" w:hAnsi="Times New Roman" w:cs="Calibri"/>
          <w:color w:val="000000" w:themeColor="text1"/>
          <w:lang w:eastAsia="hi-IN" w:bidi="hi-IN"/>
        </w:rPr>
        <w:t xml:space="preserve"> use </w:t>
      </w:r>
      <w:r w:rsidR="00B1151E">
        <w:rPr>
          <w:rFonts w:ascii="Times New Roman" w:eastAsia="SimSun" w:hAnsi="Times New Roman" w:cs="Calibri"/>
          <w:color w:val="000000" w:themeColor="text1"/>
          <w:lang w:eastAsia="hi-IN" w:bidi="hi-IN"/>
        </w:rPr>
        <w:t xml:space="preserve">a </w:t>
      </w:r>
      <w:r w:rsidRPr="00E4054E">
        <w:rPr>
          <w:rFonts w:ascii="Times New Roman" w:eastAsia="SimSun" w:hAnsi="Times New Roman" w:cs="Calibri"/>
          <w:color w:val="000000" w:themeColor="text1"/>
          <w:lang w:eastAsia="hi-IN" w:bidi="hi-IN"/>
        </w:rPr>
        <w:t>science-based approach in</w:t>
      </w:r>
      <w:r>
        <w:rPr>
          <w:rFonts w:ascii="Times New Roman" w:eastAsia="SimSun" w:hAnsi="Times New Roman" w:cs="Calibri"/>
          <w:color w:val="000000" w:themeColor="text1"/>
          <w:lang w:eastAsia="hi-IN" w:bidi="hi-IN"/>
        </w:rPr>
        <w:t xml:space="preserve"> </w:t>
      </w:r>
      <w:r w:rsidRPr="00E4054E">
        <w:rPr>
          <w:rFonts w:ascii="Times New Roman" w:eastAsia="SimSun" w:hAnsi="Times New Roman" w:cs="Calibri"/>
          <w:color w:val="000000" w:themeColor="text1"/>
          <w:lang w:eastAsia="hi-IN" w:bidi="hi-IN"/>
        </w:rPr>
        <w:t>developing regulatory frameworks to ensure</w:t>
      </w:r>
      <w:r>
        <w:rPr>
          <w:rFonts w:ascii="Times New Roman" w:eastAsia="SimSun" w:hAnsi="Times New Roman" w:cs="Calibri"/>
          <w:color w:val="000000" w:themeColor="text1"/>
          <w:lang w:eastAsia="hi-IN" w:bidi="hi-IN"/>
        </w:rPr>
        <w:t xml:space="preserve"> </w:t>
      </w:r>
      <w:r w:rsidR="00B1151E">
        <w:rPr>
          <w:rFonts w:ascii="Times New Roman" w:eastAsia="SimSun" w:hAnsi="Times New Roman" w:cs="Calibri"/>
          <w:color w:val="000000" w:themeColor="text1"/>
          <w:lang w:eastAsia="hi-IN" w:bidi="hi-IN"/>
        </w:rPr>
        <w:t xml:space="preserve">that </w:t>
      </w:r>
      <w:r w:rsidR="00EB7B72">
        <w:rPr>
          <w:rFonts w:ascii="Times New Roman" w:eastAsia="SimSun" w:hAnsi="Times New Roman" w:cs="Calibri"/>
          <w:color w:val="000000" w:themeColor="text1"/>
          <w:lang w:eastAsia="hi-IN" w:bidi="hi-IN"/>
        </w:rPr>
        <w:t xml:space="preserve">their </w:t>
      </w:r>
      <w:r w:rsidR="00EB7B72" w:rsidRPr="00E4054E">
        <w:rPr>
          <w:rFonts w:ascii="Times New Roman" w:eastAsia="SimSun" w:hAnsi="Times New Roman" w:cs="Calibri"/>
          <w:color w:val="000000" w:themeColor="text1"/>
          <w:lang w:eastAsia="hi-IN" w:bidi="hi-IN"/>
        </w:rPr>
        <w:t>regulatory decision</w:t>
      </w:r>
      <w:r w:rsidR="00EB7B72">
        <w:rPr>
          <w:rFonts w:ascii="Times New Roman" w:eastAsia="SimSun" w:hAnsi="Times New Roman" w:cs="Calibri"/>
          <w:color w:val="000000" w:themeColor="text1"/>
          <w:lang w:eastAsia="hi-IN" w:bidi="hi-IN"/>
        </w:rPr>
        <w:t xml:space="preserve">-making is </w:t>
      </w:r>
      <w:r w:rsidRPr="00E4054E">
        <w:rPr>
          <w:rFonts w:ascii="Times New Roman" w:eastAsia="SimSun" w:hAnsi="Times New Roman" w:cs="Calibri"/>
          <w:color w:val="000000" w:themeColor="text1"/>
          <w:lang w:eastAsia="hi-IN" w:bidi="hi-IN"/>
        </w:rPr>
        <w:t>predictabl</w:t>
      </w:r>
      <w:r w:rsidR="00EB7B72">
        <w:rPr>
          <w:rFonts w:ascii="Times New Roman" w:eastAsia="SimSun" w:hAnsi="Times New Roman" w:cs="Calibri"/>
          <w:color w:val="000000" w:themeColor="text1"/>
          <w:lang w:eastAsia="hi-IN" w:bidi="hi-IN"/>
        </w:rPr>
        <w:t>e</w:t>
      </w:r>
      <w:r w:rsidRPr="00E4054E">
        <w:rPr>
          <w:rFonts w:ascii="Times New Roman" w:eastAsia="SimSun" w:hAnsi="Times New Roman" w:cs="Calibri"/>
          <w:color w:val="000000" w:themeColor="text1"/>
          <w:lang w:eastAsia="hi-IN" w:bidi="hi-IN"/>
        </w:rPr>
        <w:t>, consisten</w:t>
      </w:r>
      <w:r w:rsidR="00EB7B72">
        <w:rPr>
          <w:rFonts w:ascii="Times New Roman" w:eastAsia="SimSun" w:hAnsi="Times New Roman" w:cs="Calibri"/>
          <w:color w:val="000000" w:themeColor="text1"/>
          <w:lang w:eastAsia="hi-IN" w:bidi="hi-IN"/>
        </w:rPr>
        <w:t>t and</w:t>
      </w:r>
      <w:r w:rsidRPr="00E4054E">
        <w:rPr>
          <w:rFonts w:ascii="Times New Roman" w:eastAsia="SimSun" w:hAnsi="Times New Roman" w:cs="Calibri"/>
          <w:color w:val="000000" w:themeColor="text1"/>
          <w:lang w:eastAsia="hi-IN" w:bidi="hi-IN"/>
        </w:rPr>
        <w:t xml:space="preserve"> efficien</w:t>
      </w:r>
      <w:r w:rsidR="00EB7B72">
        <w:rPr>
          <w:rFonts w:ascii="Times New Roman" w:eastAsia="SimSun" w:hAnsi="Times New Roman" w:cs="Calibri"/>
          <w:color w:val="000000" w:themeColor="text1"/>
          <w:lang w:eastAsia="hi-IN" w:bidi="hi-IN"/>
        </w:rPr>
        <w:t>t</w:t>
      </w:r>
      <w:r>
        <w:rPr>
          <w:rFonts w:ascii="Times New Roman" w:eastAsia="SimSun" w:hAnsi="Times New Roman" w:cs="Calibri"/>
          <w:color w:val="000000" w:themeColor="text1"/>
          <w:lang w:eastAsia="hi-IN" w:bidi="hi-IN"/>
        </w:rPr>
        <w:t xml:space="preserve"> </w:t>
      </w:r>
      <w:r>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{"citationItems":[{"id":"ITEM-1","itemData":{"DOI":"10.9734/ajb2t/2020/v6i330083","abstract":"A new set of breeding techniques, referred to as New Breeding Techniques developed in the last two decades have potential for enhancing improved productivity in crop and animal breeding globally. These include site directed nucleases based genomic editing procedures-CRISPR and Cas associated proteins, Zinc Finger Nucleases, Meganucleases/Homing Endonucleases and Transcription- Activator Like-Effector Nucleases for genome editing and other technologies including- Oligonucleotide-Directed Mutagenesis, Cisgenesis and intragenesis, RNA-Dependent DNA methylation; Transgrafting, Agroinfiltration, Reverse breeding. There are ongoing global debates on whether the processes of and products emerging from these technologies should be regulated as genetically modified organisms or approved as conventional products. Decisions on whether to regulate as GMOs are based both on understanding of the molecular basis of their development and if the GMO intermediate step was used. For example- cisgenesis, can be developed using Agrobacterium tumefaciens methods of transformation, a process used by GMO but if the selection is properly conducted the intermediate GMO elements will be eliminated and the final product will be identical to the conventionally developed crops. Others like Site Directed Nuclease 3 are regulated as GMOs in countries such as United State of America, Canada, European Union, Argentina, Australia. Progress in genome editing research, testing of genome edited bacterial blight resistant rice, development of Guidelines for regulating new breeding techniques or genome editing in Africa is also covered with special reference to South Africa, Kenya and Nigeria. Science- and evidence-based approach to regulation of new breeding techniques among regulators and policy makers should be strongly supported.","author":[{"dropping-particle":"","family":"Obukosia","given":"Silas","non-dropping-particle":"","parse-names":false,"suffix":""},{"dropping-particle":"","family":"Akinbo","given":"Olalekan","non-dropping-particle":"","parse-names":false,"suffix":""},{"dropping-particle":"","family":"Sinebo","given":"Woldeyesus","non-dropping-particle":"","parse-names":false,"suffix":""},{"dropping-particle":"","family":"Savadogo","given":"Moussa","non-dropping-particle":"","parse-names":false,"suffix":""},{"dropping-particle":"","family":"Timpo","given":"Samuel","non-dropping-particle":"","parse-names":false,"suffix":""},{"dropping-particle":"","family":"Adeyemo","given":"Modupe","non-dropping-particle":"","parse-names":false,"suffix":""},{"dropping-particle":"","family":"Akile","given":"Sunday","non-dropping-particle":"","parse-names":false,"suffix":""},{"dropping-particle":"","family":"Kebere","given":"Jean","non-dropping-particle":"","parse-names":false,"suffix":""},{"dropping-particle":"","family":"Ouedraogo","given":"Jeremy","non-dropping-particle":"","parse-names":false,"suffix":""},{"dropping-particle":"","family":"Ambali","given":"Aggrey","non-dropping-particle":"","parse-names":false,"suffix":""},{"dropping-particle":"","family":"Makinde","given":"Diran","non-dropping-particle":"","parse-names":false,"suffix":""}],"container-title":"Asian Journal of Biotechnology and Bioresource Technology","id":"ITEM-1","issue":"3","issued":{"date-parts":[["2020","11"]]},"page":"18-35","publisher":"Sciencedomain International","title":"Update of Regulatory Options of New Breeding Techniques and Biosafety Approaches among Selected Countries: A Review","type":"article-journal","volume":"6"},"uris":["http://www.mendeley.com/documents/?uuid=25e22102-97be-4150-b9be-e1e0186e4827"]}],"mendeley":{"formattedCitation":"(Obukosia et al., 2020)","plainTextFormattedCitation":"(Obukosia et al., 2020)","previouslyFormattedCitation":"(Obukosia et al., 2020)"},"properties":{"noteIndex":0},"schema":"https://github.com/citation-style-language/schema/raw/master/csl-citation.json"}</w:instrText>
      </w:r>
      <w:r>
        <w:rPr>
          <w:rFonts w:ascii="Times New Roman" w:eastAsia="SimSun" w:hAnsi="Times New Roman" w:cs="Calibri"/>
          <w:color w:val="000000" w:themeColor="text1"/>
          <w:lang w:eastAsia="hi-IN" w:bidi="hi-IN"/>
        </w:rPr>
        <w:fldChar w:fldCharType="separate"/>
      </w:r>
      <w:r w:rsidRPr="00E4054E">
        <w:rPr>
          <w:rFonts w:ascii="Times New Roman" w:eastAsia="SimSun" w:hAnsi="Times New Roman" w:cs="Calibri"/>
          <w:noProof/>
          <w:color w:val="000000" w:themeColor="text1"/>
          <w:lang w:eastAsia="hi-IN" w:bidi="hi-IN"/>
        </w:rPr>
        <w:t>(Obukosia et al., 2020)</w:t>
      </w:r>
      <w:r>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w:t>
      </w:r>
      <w:r w:rsidR="00A70759" w:rsidRPr="00A70759">
        <w:rPr>
          <w:rFonts w:ascii="Times New Roman" w:hAnsi="Times New Roman"/>
          <w:color w:val="000000" w:themeColor="text1"/>
          <w:lang w:eastAsia="ar-SA"/>
        </w:rPr>
        <w:t xml:space="preserve"> </w:t>
      </w:r>
      <w:r w:rsidR="00A70759">
        <w:rPr>
          <w:rFonts w:ascii="Times New Roman" w:hAnsi="Times New Roman"/>
          <w:color w:val="000000" w:themeColor="text1"/>
          <w:lang w:eastAsia="ar-SA"/>
        </w:rPr>
        <w:t xml:space="preserve">Biosafety South Africa, an organization </w:t>
      </w:r>
      <w:r w:rsidR="009B3F32">
        <w:rPr>
          <w:rFonts w:ascii="Times New Roman" w:hAnsi="Times New Roman"/>
          <w:color w:val="000000" w:themeColor="text1"/>
          <w:lang w:eastAsia="ar-SA"/>
        </w:rPr>
        <w:t xml:space="preserve">under the Department of Science and Technology </w:t>
      </w:r>
      <w:r w:rsidR="00A70759">
        <w:rPr>
          <w:rFonts w:ascii="Times New Roman" w:hAnsi="Times New Roman"/>
          <w:color w:val="000000" w:themeColor="text1"/>
          <w:lang w:eastAsia="ar-SA"/>
        </w:rPr>
        <w:t>that provides science based advice to the regulatory authorities</w:t>
      </w:r>
      <w:r w:rsidR="009B3F32">
        <w:rPr>
          <w:rFonts w:ascii="Times New Roman" w:hAnsi="Times New Roman"/>
          <w:color w:val="000000" w:themeColor="text1"/>
          <w:lang w:eastAsia="ar-SA"/>
        </w:rPr>
        <w:t>,</w:t>
      </w:r>
      <w:r w:rsidR="00A70759">
        <w:rPr>
          <w:rFonts w:ascii="Times New Roman" w:hAnsi="Times New Roman"/>
          <w:color w:val="000000" w:themeColor="text1"/>
          <w:lang w:eastAsia="ar-SA"/>
        </w:rPr>
        <w:t xml:space="preserve"> concluded in 2019 that while genome edited organisms are not necessarily genetically modified organisms, they will have to still comply with relevant legislation to ensure their sustainability </w:t>
      </w:r>
      <w:r w:rsidR="00A70759">
        <w:rPr>
          <w:rFonts w:ascii="Times New Roman" w:hAnsi="Times New Roman"/>
          <w:color w:val="000000" w:themeColor="text1"/>
          <w:lang w:eastAsia="ar-SA"/>
        </w:rPr>
        <w:fldChar w:fldCharType="begin" w:fldLock="1"/>
      </w:r>
      <w:r w:rsidR="00A70759">
        <w:rPr>
          <w:rFonts w:ascii="Times New Roman" w:hAnsi="Times New Roman"/>
          <w:color w:val="000000" w:themeColor="text1"/>
          <w:lang w:eastAsia="ar-SA"/>
        </w:rPr>
        <w:instrText>ADDIN CSL_CITATION {"citationItems":[{"id":"ITEM-1","itemData":{"author":[{"dropping-particle":"","family":"Biosafety South Africa","given":"","non-dropping-particle":"","parse-names":false,"suffix":""}],"id":"ITEM-1","issued":{"date-parts":[["2019"]]},"publisher-place":"Cape Town, South Africa","title":"Genome Editing - the what, how &amp; why","type":"article"},"uris":["http://www.mendeley.com/documents/?uuid=2601000d-c129-4bac-a553-03a810763383"]}],"mendeley":{"formattedCitation":"(Biosafety South Africa, 2019)","plainTextFormattedCitation":"(Biosafety South Africa, 2019)","previouslyFormattedCitation":"(Biosafety South Africa, 2019)"},"properties":{"noteIndex":0},"schema":"https://github.com/citation-style-language/schema/raw/master/csl-citation.json"}</w:instrText>
      </w:r>
      <w:r w:rsidR="00A70759">
        <w:rPr>
          <w:rFonts w:ascii="Times New Roman" w:hAnsi="Times New Roman"/>
          <w:color w:val="000000" w:themeColor="text1"/>
          <w:lang w:eastAsia="ar-SA"/>
        </w:rPr>
        <w:fldChar w:fldCharType="separate"/>
      </w:r>
      <w:r w:rsidR="00A70759" w:rsidRPr="00730C2C">
        <w:rPr>
          <w:rFonts w:ascii="Times New Roman" w:hAnsi="Times New Roman"/>
          <w:noProof/>
          <w:color w:val="000000" w:themeColor="text1"/>
          <w:lang w:eastAsia="ar-SA"/>
        </w:rPr>
        <w:t>(Biosafety South Africa, 2019)</w:t>
      </w:r>
      <w:r w:rsidR="00A70759">
        <w:rPr>
          <w:rFonts w:ascii="Times New Roman" w:hAnsi="Times New Roman"/>
          <w:color w:val="000000" w:themeColor="text1"/>
          <w:lang w:eastAsia="ar-SA"/>
        </w:rPr>
        <w:fldChar w:fldCharType="end"/>
      </w:r>
      <w:r w:rsidR="009B3F32">
        <w:rPr>
          <w:rFonts w:ascii="Times New Roman" w:hAnsi="Times New Roman"/>
          <w:color w:val="000000" w:themeColor="text1"/>
          <w:lang w:eastAsia="ar-SA"/>
        </w:rPr>
        <w:t>.</w:t>
      </w:r>
      <w:r w:rsidR="009B3F32">
        <w:rPr>
          <w:rFonts w:ascii="Times New Roman" w:eastAsia="SimSun" w:hAnsi="Times New Roman" w:cs="Calibri"/>
          <w:color w:val="000000" w:themeColor="text1"/>
          <w:lang w:eastAsia="hi-IN" w:bidi="hi-IN"/>
        </w:rPr>
        <w:t xml:space="preserve"> </w:t>
      </w:r>
    </w:p>
    <w:p w14:paraId="6B743851" w14:textId="1ED0301C" w:rsidR="00643D57" w:rsidRPr="00DB410C" w:rsidRDefault="00A70759" w:rsidP="00DB410C">
      <w:pPr>
        <w:suppressAutoHyphens/>
        <w:autoSpaceDE w:val="0"/>
        <w:spacing w:before="120" w:after="120" w:line="240" w:lineRule="auto"/>
        <w:jc w:val="both"/>
        <w:rPr>
          <w:rFonts w:ascii="Times New Roman" w:eastAsia="SimSun" w:hAnsi="Times New Roman" w:cs="Calibri"/>
          <w:color w:val="000000" w:themeColor="text1"/>
          <w:lang w:eastAsia="hi-IN" w:bidi="hi-IN"/>
        </w:rPr>
      </w:pPr>
      <w:r>
        <w:rPr>
          <w:rFonts w:ascii="Times New Roman" w:hAnsi="Times New Roman"/>
          <w:color w:val="000000" w:themeColor="text1"/>
          <w:lang w:eastAsia="ar-SA"/>
        </w:rPr>
        <w:t xml:space="preserve">In China, discussions regarding regulation and risk assessment began in 2015. A working group within the National Biosafety Committee was established in 2016 to provide technical assistance on the risk assessment of new breeding techniques, including genome editing. </w:t>
      </w:r>
      <w:r>
        <w:rPr>
          <w:rFonts w:ascii="Times New Roman" w:hAnsi="Times New Roman"/>
          <w:color w:val="000000" w:themeColor="text1"/>
          <w:lang w:eastAsia="ar-SA"/>
        </w:rPr>
        <w:fldChar w:fldCharType="begin" w:fldLock="1"/>
      </w:r>
      <w:r>
        <w:rPr>
          <w:rFonts w:ascii="Times New Roman" w:hAnsi="Times New Roman"/>
          <w:color w:val="000000" w:themeColor="text1"/>
          <w:lang w:eastAsia="ar-SA"/>
        </w:rPr>
        <w:instrText>ADDIN CSL_CITATION {"citationItems":[{"id":"ITEM-1","itemData":{"DOI":"10.1016/j.foodcont.2017.07.032","ISSN":"09567135","author":[{"dropping-particle":"","family":"Gao","given":"Wei","non-dropping-particle":"","parse-names":false,"suffix":""},{"dropping-particle":"","family":"Xu","given":"Wen-Tao","non-dropping-particle":"","parse-names":false,"suffix":""},{"dropping-particle":"","family":"Huang","given":"Kun-Lun","non-dropping-particle":"","parse-names":false,"suffix":""},{"dropping-particle":"","family":"Guo","given":"Ming-zhang","non-dropping-particle":"","parse-names":false,"suffix":""},{"dropping-particle":"","family":"Luo","given":"Yun-Bo","non-dropping-particle":"","parse-names":false,"suffix":""}],"container-title":"Food Control","id":"ITEM-1","issued":{"date-parts":[["2018","2"]]},"page":"128-137","title":"Risk analysis for genome editing-derived food safety in China","type":"article-journal","volume":"84"},"uris":["http://www.mendeley.com/documents/?uuid=e06615cb-638e-4f5d-af9b-5d5e3b068e41"]}],"mendeley":{"formattedCitation":"(W. Gao et al., 2018)","manualFormatting":"(Gao et al., 2018)","plainTextFormattedCitation":"(W. Gao et al., 2018)","previouslyFormattedCitation":"(W. Gao et al., 2018)"},"properties":{"noteIndex":0},"schema":"https://github.com/citation-style-language/schema/raw/master/csl-citation.json"}</w:instrText>
      </w:r>
      <w:r>
        <w:rPr>
          <w:rFonts w:ascii="Times New Roman" w:hAnsi="Times New Roman"/>
          <w:color w:val="000000" w:themeColor="text1"/>
          <w:lang w:eastAsia="ar-SA"/>
        </w:rPr>
        <w:fldChar w:fldCharType="separate"/>
      </w:r>
      <w:r w:rsidRPr="000F401F">
        <w:rPr>
          <w:rFonts w:ascii="Times New Roman" w:hAnsi="Times New Roman"/>
          <w:noProof/>
          <w:color w:val="000000" w:themeColor="text1"/>
          <w:lang w:eastAsia="ar-SA"/>
        </w:rPr>
        <w:t>(Gao et al., 2018)</w:t>
      </w:r>
      <w:r>
        <w:rPr>
          <w:rFonts w:ascii="Times New Roman" w:hAnsi="Times New Roman"/>
          <w:color w:val="000000" w:themeColor="text1"/>
          <w:lang w:eastAsia="ar-SA"/>
        </w:rPr>
        <w:fldChar w:fldCharType="end"/>
      </w:r>
      <w:r>
        <w:rPr>
          <w:rFonts w:ascii="Times New Roman" w:hAnsi="Times New Roman"/>
          <w:color w:val="000000" w:themeColor="text1"/>
          <w:lang w:eastAsia="ar-SA"/>
        </w:rPr>
        <w:t xml:space="preserve">. </w:t>
      </w:r>
      <w:r>
        <w:rPr>
          <w:rFonts w:ascii="Times New Roman" w:eastAsia="SimSun" w:hAnsi="Times New Roman" w:cs="Calibri"/>
          <w:color w:val="000000" w:themeColor="text1"/>
          <w:lang w:eastAsia="hi-IN" w:bidi="hi-IN"/>
        </w:rPr>
        <w:t xml:space="preserve">As an interim policy, China will regulate genome edited agricultural products under GMO legislation. As of 2020 no formal regulations were issued regarding genome editing </w:t>
      </w:r>
      <w:r>
        <w:rPr>
          <w:rFonts w:ascii="Times New Roman" w:eastAsia="SimSun" w:hAnsi="Times New Roman" w:cs="Calibri"/>
          <w:color w:val="000000" w:themeColor="text1"/>
          <w:lang w:eastAsia="hi-IN" w:bidi="hi-IN"/>
        </w:rPr>
        <w:fldChar w:fldCharType="begin" w:fldLock="1"/>
      </w:r>
      <w:r w:rsidR="00E52B30">
        <w:rPr>
          <w:rFonts w:ascii="Times New Roman" w:eastAsia="SimSun" w:hAnsi="Times New Roman" w:cs="Calibri"/>
          <w:color w:val="000000" w:themeColor="text1"/>
          <w:lang w:eastAsia="hi-IN" w:bidi="hi-IN"/>
        </w:rPr>
        <w:instrText>ADDIN CSL_CITATION {"citationItems":[{"id":"ITEM-1","itemData":{"DOI":"10.1111/pbi.13383","ISSN":"1467-7644","author":[{"dropping-particle":"","family":"Zhang","given":"Debin","non-dropping-particle":"","parse-names":false,"suffix":""},{"dropping-particle":"","family":"Hussain","given":"Amjad","non-dropping-particle":"","parse-names":false,"suffix":""},{"dropping-particle":"","family":"Manghwar","given":"Hakim","non-dropping-particle":"","parse-names":false,"suffix":""},{"dropping-particle":"","family":"Xie","given":"Kabin","non-dropping-particle":"","parse-names":false,"suffix":""},{"dropping-particle":"","family":"Xie","given":"Shengsong","non-dropping-particle":"","parse-names":false,"suffix":""},{"dropping-particle":"","family":"Zhao","given":"Shuhong","non-dropping-particle":"","parse-names":false,"suffix":""},{"dropping-particle":"","family":"Larkin","given":"Robert M.","non-dropping-particle":"","parse-names":false,"suffix":""},{"dropping-particle":"","family":"Qing","given":"Ping","non-dropping-particle":"","parse-names":false,"suffix":""},{"dropping-particle":"","family":"Jin","given":"Shuangxia","non-dropping-particle":"","parse-names":false,"suffix":""},{"dropping-particle":"","family":"Ding","given":"Fang","non-dropping-particle":"","parse-nam</w:instrText>
      </w:r>
      <w:r w:rsidR="00E52B30">
        <w:rPr>
          <w:rFonts w:ascii="Times New Roman" w:eastAsia="SimSun" w:hAnsi="Times New Roman" w:cs="Calibri" w:hint="eastAsia"/>
          <w:color w:val="000000" w:themeColor="text1"/>
          <w:lang w:eastAsia="hi-IN" w:bidi="hi-IN"/>
        </w:rPr>
        <w:instrText>es":false,"suffix":""}],"container-title":"Plant Biotechnology Journal","id":"ITEM-1","issue":"8","issued":{"date-parts":[["2020","8","30"]]},"page":"1651-1669","title":"Genome editing with the CRISPR</w:instrText>
      </w:r>
      <w:r w:rsidR="00E52B30">
        <w:rPr>
          <w:rFonts w:ascii="Times New Roman" w:eastAsia="SimSun" w:hAnsi="Times New Roman" w:cs="Calibri" w:hint="eastAsia"/>
          <w:color w:val="000000" w:themeColor="text1"/>
          <w:lang w:eastAsia="hi-IN" w:bidi="hi-IN"/>
        </w:rPr>
        <w:instrText>‐</w:instrText>
      </w:r>
      <w:r w:rsidR="00E52B30">
        <w:rPr>
          <w:rFonts w:ascii="Times New Roman" w:eastAsia="SimSun" w:hAnsi="Times New Roman" w:cs="Calibri" w:hint="eastAsia"/>
          <w:color w:val="000000" w:themeColor="text1"/>
          <w:lang w:eastAsia="hi-IN" w:bidi="hi-IN"/>
        </w:rPr>
        <w:instrText>Cas system: an art, ethics and global regulatory persp</w:instrText>
      </w:r>
      <w:r w:rsidR="00E52B30">
        <w:rPr>
          <w:rFonts w:ascii="Times New Roman" w:eastAsia="SimSun" w:hAnsi="Times New Roman" w:cs="Calibri"/>
          <w:color w:val="000000" w:themeColor="text1"/>
          <w:lang w:eastAsia="hi-IN" w:bidi="hi-IN"/>
        </w:rPr>
        <w:instrText>ective","type":"article-journal","volume":"18"},"uris":["http://www.mendeley.com/documents/?uuid=99828fa5-69ae-4925-ad84-ae359703fbfb"]}],"mendeley":{"formattedCitation":"(D. Zhang et al., 2020b)","plainTextFormattedCitation":"(D. Zhang et al., 2020b)","previouslyFormattedCitation":"(D. Zhang et al., 2020b)"},"properties":{"noteIndex":0},"schema":"https://github.com/citation-style-language/schema/raw/master/csl-citation.json"}</w:instrText>
      </w:r>
      <w:r>
        <w:rPr>
          <w:rFonts w:ascii="Times New Roman" w:eastAsia="SimSun" w:hAnsi="Times New Roman" w:cs="Calibri"/>
          <w:color w:val="000000" w:themeColor="text1"/>
          <w:lang w:eastAsia="hi-IN" w:bidi="hi-IN"/>
        </w:rPr>
        <w:fldChar w:fldCharType="separate"/>
      </w:r>
      <w:r w:rsidRPr="0049204D">
        <w:rPr>
          <w:rFonts w:ascii="Times New Roman" w:eastAsia="SimSun" w:hAnsi="Times New Roman" w:cs="Calibri"/>
          <w:noProof/>
          <w:color w:val="000000" w:themeColor="text1"/>
          <w:lang w:eastAsia="hi-IN" w:bidi="hi-IN"/>
        </w:rPr>
        <w:t>(D. Zhang et al., 2020b)</w:t>
      </w:r>
      <w:r>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w:t>
      </w:r>
    </w:p>
    <w:p w14:paraId="2EB3033B" w14:textId="349C83D1" w:rsidR="00972FBD" w:rsidRPr="00972FBD" w:rsidRDefault="331520A9" w:rsidP="009E4B95">
      <w:pPr>
        <w:spacing w:line="240" w:lineRule="auto"/>
        <w:jc w:val="both"/>
        <w:rPr>
          <w:rFonts w:ascii="Times New Roman" w:eastAsia="SimSun" w:hAnsi="Times New Roman" w:cs="Calibri"/>
          <w:color w:val="000000" w:themeColor="text1"/>
          <w:lang w:eastAsia="hi-IN" w:bidi="hi-IN"/>
        </w:rPr>
      </w:pPr>
      <w:r w:rsidRPr="083CCF8A">
        <w:rPr>
          <w:rFonts w:ascii="Times New Roman" w:eastAsia="SimSun" w:hAnsi="Times New Roman" w:cs="Calibri"/>
          <w:color w:val="000000" w:themeColor="text1"/>
          <w:lang w:eastAsia="hi-IN" w:bidi="hi-IN"/>
        </w:rPr>
        <w:t>I</w:t>
      </w:r>
      <w:r w:rsidR="30DBC0F8" w:rsidRPr="083CCF8A">
        <w:rPr>
          <w:rFonts w:ascii="Times New Roman" w:eastAsia="SimSun" w:hAnsi="Times New Roman" w:cs="Calibri"/>
          <w:color w:val="000000" w:themeColor="text1"/>
          <w:lang w:eastAsia="hi-IN" w:bidi="hi-IN"/>
        </w:rPr>
        <w:t>t</w:t>
      </w:r>
      <w:r w:rsidR="008C433F" w:rsidRPr="008C546A">
        <w:rPr>
          <w:rFonts w:ascii="Times New Roman" w:eastAsia="SimSun" w:hAnsi="Times New Roman" w:cs="Calibri"/>
          <w:color w:val="000000" w:themeColor="text1"/>
          <w:lang w:eastAsia="hi-IN" w:bidi="hi-IN"/>
        </w:rPr>
        <w:t xml:space="preserve"> has been argued that the detectability of genome edited products is technically </w:t>
      </w:r>
      <w:r w:rsidR="00C71387">
        <w:rPr>
          <w:rFonts w:ascii="Times New Roman" w:eastAsia="SimSun" w:hAnsi="Times New Roman" w:cs="Calibri"/>
          <w:color w:val="000000" w:themeColor="text1"/>
          <w:lang w:eastAsia="hi-IN" w:bidi="hi-IN"/>
        </w:rPr>
        <w:t>more difficult</w:t>
      </w:r>
      <w:r w:rsidR="00C71387" w:rsidRPr="008C546A">
        <w:rPr>
          <w:rFonts w:ascii="Times New Roman" w:eastAsia="SimSun" w:hAnsi="Times New Roman" w:cs="Calibri"/>
          <w:color w:val="000000" w:themeColor="text1"/>
          <w:lang w:eastAsia="hi-IN" w:bidi="hi-IN"/>
        </w:rPr>
        <w:t xml:space="preserve"> </w:t>
      </w:r>
      <w:r w:rsidR="008C433F" w:rsidRPr="008C546A">
        <w:rPr>
          <w:rFonts w:ascii="Times New Roman" w:eastAsia="SimSun" w:hAnsi="Times New Roman" w:cs="Calibri"/>
          <w:color w:val="000000" w:themeColor="text1"/>
          <w:lang w:eastAsia="hi-IN" w:bidi="hi-IN"/>
        </w:rPr>
        <w:t xml:space="preserve">compared to GMOs, and that therefore there is no point in having them regulated. </w:t>
      </w:r>
      <w:r w:rsidR="0002423B">
        <w:rPr>
          <w:rFonts w:ascii="Times New Roman" w:eastAsia="SimSun" w:hAnsi="Times New Roman" w:cs="Calibri"/>
          <w:color w:val="000000" w:themeColor="text1"/>
          <w:lang w:eastAsia="hi-IN" w:bidi="hi-IN"/>
        </w:rPr>
        <w:t>However,</w:t>
      </w:r>
      <w:r w:rsidR="009C6BB2">
        <w:rPr>
          <w:rFonts w:ascii="Times New Roman" w:eastAsia="SimSun" w:hAnsi="Times New Roman" w:cs="Calibri"/>
          <w:color w:val="000000" w:themeColor="text1"/>
          <w:lang w:eastAsia="hi-IN" w:bidi="hi-IN"/>
        </w:rPr>
        <w:t xml:space="preserve"> r</w:t>
      </w:r>
      <w:r w:rsidR="003C658D">
        <w:rPr>
          <w:rFonts w:ascii="Times New Roman" w:eastAsia="SimSun" w:hAnsi="Times New Roman" w:cs="Calibri"/>
          <w:color w:val="000000" w:themeColor="text1"/>
          <w:lang w:eastAsia="hi-IN" w:bidi="hi-IN"/>
        </w:rPr>
        <w:t>ecent advance</w:t>
      </w:r>
      <w:r w:rsidR="006C7A52">
        <w:rPr>
          <w:rFonts w:ascii="Times New Roman" w:eastAsia="SimSun" w:hAnsi="Times New Roman" w:cs="Calibri"/>
          <w:color w:val="000000" w:themeColor="text1"/>
          <w:lang w:eastAsia="hi-IN" w:bidi="hi-IN"/>
        </w:rPr>
        <w:t>s in detection methodologies</w:t>
      </w:r>
      <w:r w:rsidR="00782814">
        <w:rPr>
          <w:rFonts w:ascii="Times New Roman" w:eastAsia="SimSun" w:hAnsi="Times New Roman" w:cs="Calibri"/>
          <w:color w:val="000000" w:themeColor="text1"/>
          <w:lang w:eastAsia="hi-IN" w:bidi="hi-IN"/>
        </w:rPr>
        <w:t xml:space="preserve">, including the adaptation of </w:t>
      </w:r>
      <w:r w:rsidR="0052234E">
        <w:rPr>
          <w:rFonts w:ascii="Times New Roman" w:eastAsia="SimSun" w:hAnsi="Times New Roman" w:cs="Calibri"/>
          <w:color w:val="000000" w:themeColor="text1"/>
          <w:lang w:eastAsia="hi-IN" w:bidi="hi-IN"/>
        </w:rPr>
        <w:t>techniques already in use by laboratories</w:t>
      </w:r>
      <w:r w:rsidR="00B00435">
        <w:rPr>
          <w:rFonts w:ascii="Times New Roman" w:eastAsia="SimSun" w:hAnsi="Times New Roman" w:cs="Calibri"/>
          <w:color w:val="000000" w:themeColor="text1"/>
          <w:lang w:eastAsia="hi-IN" w:bidi="hi-IN"/>
        </w:rPr>
        <w:t xml:space="preserve">, such as </w:t>
      </w:r>
      <w:r w:rsidR="001E03D8">
        <w:rPr>
          <w:rFonts w:ascii="Times New Roman" w:eastAsia="SimSun" w:hAnsi="Times New Roman" w:cs="Calibri"/>
          <w:color w:val="000000" w:themeColor="text1"/>
          <w:lang w:eastAsia="hi-IN" w:bidi="hi-IN"/>
        </w:rPr>
        <w:t>q</w:t>
      </w:r>
      <w:r w:rsidR="00C979CE">
        <w:rPr>
          <w:rFonts w:ascii="Times New Roman" w:eastAsia="SimSun" w:hAnsi="Times New Roman" w:cs="Calibri"/>
          <w:color w:val="000000" w:themeColor="text1"/>
          <w:lang w:eastAsia="hi-IN" w:bidi="hi-IN"/>
        </w:rPr>
        <w:t xml:space="preserve">uantitative </w:t>
      </w:r>
      <w:r w:rsidR="001E03D8">
        <w:rPr>
          <w:rFonts w:ascii="Times New Roman" w:eastAsia="SimSun" w:hAnsi="Times New Roman" w:cs="Calibri"/>
          <w:color w:val="000000" w:themeColor="text1"/>
          <w:lang w:eastAsia="hi-IN" w:bidi="hi-IN"/>
        </w:rPr>
        <w:t>PC</w:t>
      </w:r>
      <w:r w:rsidR="002A3670">
        <w:rPr>
          <w:rFonts w:ascii="Times New Roman" w:eastAsia="SimSun" w:hAnsi="Times New Roman" w:cs="Calibri"/>
          <w:color w:val="000000" w:themeColor="text1"/>
          <w:lang w:eastAsia="hi-IN" w:bidi="hi-IN"/>
        </w:rPr>
        <w:t>R</w:t>
      </w:r>
      <w:r w:rsidR="005C5143">
        <w:rPr>
          <w:rFonts w:ascii="Times New Roman" w:eastAsia="SimSun" w:hAnsi="Times New Roman" w:cs="Calibri"/>
          <w:color w:val="000000" w:themeColor="text1"/>
          <w:lang w:eastAsia="hi-IN" w:bidi="hi-IN"/>
        </w:rPr>
        <w:t xml:space="preserve"> </w:t>
      </w:r>
      <w:r w:rsidR="00B00435">
        <w:rPr>
          <w:rFonts w:ascii="Times New Roman" w:eastAsia="SimSun" w:hAnsi="Times New Roman" w:cs="Calibri"/>
          <w:color w:val="000000" w:themeColor="text1"/>
          <w:lang w:eastAsia="hi-IN" w:bidi="hi-IN"/>
        </w:rPr>
        <w:t>and</w:t>
      </w:r>
      <w:r w:rsidR="005C5143">
        <w:rPr>
          <w:rFonts w:ascii="Times New Roman" w:eastAsia="SimSun" w:hAnsi="Times New Roman" w:cs="Calibri"/>
          <w:color w:val="000000" w:themeColor="text1"/>
          <w:lang w:eastAsia="hi-IN" w:bidi="hi-IN"/>
        </w:rPr>
        <w:t xml:space="preserve"> digital PCR</w:t>
      </w:r>
      <w:r w:rsidR="001E03D8">
        <w:rPr>
          <w:rFonts w:ascii="Times New Roman" w:eastAsia="SimSun" w:hAnsi="Times New Roman" w:cs="Calibri"/>
          <w:color w:val="000000" w:themeColor="text1"/>
          <w:lang w:eastAsia="hi-IN" w:bidi="hi-IN"/>
        </w:rPr>
        <w:t>,</w:t>
      </w:r>
      <w:r w:rsidR="006C7A52">
        <w:rPr>
          <w:rFonts w:ascii="Times New Roman" w:eastAsia="SimSun" w:hAnsi="Times New Roman" w:cs="Calibri"/>
          <w:color w:val="000000" w:themeColor="text1"/>
          <w:lang w:eastAsia="hi-IN" w:bidi="hi-IN"/>
        </w:rPr>
        <w:t xml:space="preserve"> could</w:t>
      </w:r>
      <w:r w:rsidR="001E03D8">
        <w:rPr>
          <w:rFonts w:ascii="Times New Roman" w:eastAsia="SimSun" w:hAnsi="Times New Roman" w:cs="Calibri"/>
          <w:color w:val="000000" w:themeColor="text1"/>
          <w:lang w:eastAsia="hi-IN" w:bidi="hi-IN"/>
        </w:rPr>
        <w:t xml:space="preserve"> facilitate </w:t>
      </w:r>
      <w:r w:rsidR="002A3670">
        <w:rPr>
          <w:rFonts w:ascii="Times New Roman" w:eastAsia="SimSun" w:hAnsi="Times New Roman" w:cs="Calibri"/>
          <w:color w:val="000000" w:themeColor="text1"/>
          <w:lang w:eastAsia="hi-IN" w:bidi="hi-IN"/>
        </w:rPr>
        <w:t xml:space="preserve">the detection of </w:t>
      </w:r>
      <w:r w:rsidR="00B75A3F">
        <w:rPr>
          <w:rFonts w:ascii="Times New Roman" w:eastAsia="SimSun" w:hAnsi="Times New Roman" w:cs="Calibri"/>
          <w:color w:val="000000" w:themeColor="text1"/>
          <w:lang w:eastAsia="hi-IN" w:bidi="hi-IN"/>
        </w:rPr>
        <w:t>genome-edited event</w:t>
      </w:r>
      <w:r w:rsidR="008D1224">
        <w:rPr>
          <w:rFonts w:ascii="Times New Roman" w:eastAsia="SimSun" w:hAnsi="Times New Roman" w:cs="Calibri"/>
          <w:color w:val="000000" w:themeColor="text1"/>
          <w:lang w:eastAsia="hi-IN" w:bidi="hi-IN"/>
        </w:rPr>
        <w:t>s</w:t>
      </w:r>
      <w:r w:rsidR="00B75A3F">
        <w:rPr>
          <w:rFonts w:ascii="Times New Roman" w:eastAsia="SimSun" w:hAnsi="Times New Roman" w:cs="Calibri"/>
          <w:color w:val="000000" w:themeColor="text1"/>
          <w:lang w:eastAsia="hi-IN" w:bidi="hi-IN"/>
        </w:rPr>
        <w:t xml:space="preserve"> more </w:t>
      </w:r>
      <w:r w:rsidR="00B00435">
        <w:rPr>
          <w:rFonts w:ascii="Times New Roman" w:eastAsia="SimSun" w:hAnsi="Times New Roman" w:cs="Calibri"/>
          <w:color w:val="000000" w:themeColor="text1"/>
          <w:lang w:eastAsia="hi-IN" w:bidi="hi-IN"/>
        </w:rPr>
        <w:t>readily</w:t>
      </w:r>
      <w:r w:rsidR="00B75A3F">
        <w:rPr>
          <w:rFonts w:ascii="Times New Roman" w:eastAsia="SimSun" w:hAnsi="Times New Roman" w:cs="Calibri"/>
          <w:color w:val="000000" w:themeColor="text1"/>
          <w:lang w:eastAsia="hi-IN" w:bidi="hi-IN"/>
        </w:rPr>
        <w:t xml:space="preserve"> </w:t>
      </w:r>
      <w:r w:rsidR="002E4348">
        <w:rPr>
          <w:rFonts w:ascii="Times New Roman" w:eastAsia="SimSun" w:hAnsi="Times New Roman" w:cs="Calibri"/>
          <w:color w:val="000000" w:themeColor="text1"/>
          <w:lang w:eastAsia="hi-IN" w:bidi="hi-IN"/>
        </w:rPr>
        <w:fldChar w:fldCharType="begin" w:fldLock="1"/>
      </w:r>
      <w:r w:rsidR="0002762F">
        <w:rPr>
          <w:rFonts w:ascii="Times New Roman" w:eastAsia="SimSun" w:hAnsi="Times New Roman" w:cs="Calibri"/>
          <w:color w:val="000000" w:themeColor="text1"/>
          <w:lang w:eastAsia="hi-IN" w:bidi="hi-IN"/>
        </w:rPr>
        <w:instrText>ADDIN CSL_CITATION {"citationItems":[{"id":"ITEM-1","itemData":{"DOI":"10.3390/foods9091245","ISSN":"2304-8158","abstract":"Discussion regarding the regulatory status of genome-edited crops has focused on precision of editing and on doubts regarding the feasibility of analytical monitoring compliant with existing GMO regulations. Effective detection methods are important, both for regulatory enforcement and traceability in case of biosafety, environmental or socio-economic impacts. Here, we approach the analysis question for the first time in the laboratory and report the successful development of a quantitative PCR detection method for the first commercialized genome-edited crop, a canola with a single base pair edit conferring herbicide tolerance. The method is highly sensitive and specific (quantification limit, 0.05%), compatible with the standards of practice, equipment and expertise typical in GMO laboratories, and readily integrable into their analytical workflows, including use of the matrix approach. The method, validated by an independent laboratory, meets all legal requirements for GMO analytical methods in jurisdictions such as the EU, is consistent with ISO17025 accreditation standards and has been placed in the public domain. Having developed a qPCR method for the most challenging class of genome edits, single-nucleotide variants, this research suggests that qPCR-based method development may be applicable to virtually any genome-edited organism. This advance resolves doubts regarding the feasibility of extending the regulatory approach currently employed for recombinant DNA-based GMOs to genome-edited organisms.","author":[{"dropping-particle":"","family":"Chhalliyil","given":"Pradheep","non-dropping-particle":"","parse-names":false,"suffix":""},{"dropping-particle":"","family":"Ilves","given":"Heini","non-dropping-particle":"","parse-names":false,"suffix":""},{"dropping-particle":"","family":"Kazakov","given":"Sergei A.","non-dropping-particle":"","parse-names":false,"suffix":""},{"dropping-particle":"","family":"Howard","given":"Stephanie J.","non-dropping-particle":"","parse-names":false,"suffix":""},{"dropping-particle":"","family":"Johnston","given":"Brian H.","non-dropping-particle":"","parse-names":false,"suffix":""},{"dropping-particle":"","family":"Fagan","given":"John","non-dropping-particle":"","parse-names":false,"suffix":""}],"container-title":"Foods","id":"ITEM-1","issue":"9","issued":{"date-parts":[["2020","9","7"]]},"page":"1245","title":"A Real-Time Quantitative PCR Method Specific for Detection and Quantification of the First Commercialized Genome-Edited Plant","type":"article-journal","volume":"9"},"uris":["http://www.mendeley.com/documents/?uuid=2a2e2cf0-c71e-44c3-885e-38f1df3d776f"]},{"id":"ITEM-2","itemData":{"DOI":"10.3389/fpls.2020.610790","ISSN":"1664-462X","abstract":"Gene-editing techniques are becoming powerful tools for modifying target genes in organisms. Although several methods have been reported that detect mutations at targeted loci induced by the CRISPR/Cas system in different organisms, they are semiquantitative and have difficulty in the detection of mutants in processed food samples containing low initial concentrations of DNA and may not accurately quantify editing frequency, especially at very low frequencies in a complex polyploid plant genome. In this study, we developed a duplexed dPCR-based method for the detection and evaluation of gene-editing frequencies in plants. We described the design, performance, accurate quantification, and comparison with other detection systems. The results show that the dPCR-based method is sensitive to different kinds of gene-editing mutations induced by gene-editing. Moreover, the method is applicable to polyploid plants and processed food samples containing low initial concentrations of DNA. Compared with qPCR and NGS-based methods, the dPCR method has a lower limit of detection (LOD) of the editing frequency and a better relationship with the expected editing frequency in detecting the edited region of gene-edited rice samples. Taken together, the duplexed dPCR assay is accurate and precise, and it will be a powerful tool for the detection and evaluation of gene-editing frequencies in plants in gene-editing technology.","author":[{"dropping-particle":"","family":"Peng","given":"Cheng","non-dropping-particle":"","parse-names":false,"suffix":""},{"dropping-particle":"","family":"Zheng","given":"Ming","non-dropping-particle":"","parse-names":false,"suffix":""},{"dropping-particle":"","family":"Ding","given":"Lin","non-dropping-particle":"","parse-names":false,"suffix":""},{"dropping-particle":"","family":"Chen","given":"Xiaoyun","non-dropping-particle":"","parse-names":false,"suffix":""},{"dropping-particle":"","family":"Wang","given":"Xiaofu","non-dropping-particle":"","parse-names":false,"suffix":""},{"dropping-particle":"","family":"Feng","given":"Xuping","non-dropping-particle":"","parse-names":false,"suffix":""},{"dropping-particle":"","family":"Wang","given":"Junmin","non-dropping-particle":"","parse-names":false,"suffix":""},{"dropping-particle":"","family":"Xu","given":"Junfeng","non-dropping-particle":"","parse-names":false,"suffix":""}],"container-title":"Frontiers in Plant Science","id":"ITEM-2","issued":{"date-parts":[["2020","12","14"]]},"title":"Accurate Detection and Evaluation of the Gene-Editing Frequency in Plants Using Droplet Digital PCR","type":"article-journal","volume":"11"},"uris":["http://www.mendeley.com/documents/?uuid=1602bcce-1105-409d-b013-b5b0e698afb6"]},{"id":"ITEM-3","itemData":{"DOI":"10.3390/agronomy11010061","ISSN":"2073-4395","abstract":"The comprehensive EU regulatory framework regarding GMOs aims at preventing damage to human and animal health and the environment, and foresees labelling and traceability. Genome-edited plants and products fall under these EU GMO regulations, which have to be implemented in enforcement control activities. GMO detection methods currently used by enforcement laboratories are based on real-time PCR, where specificity and sensitivity are important performance parameters. Genome editing allows the targeted modification of nucleotide sequences in organisms, including plants, and often produces single nucleotide variants (SNVs), which are the most challenging class of genome edits to detect. The test method must therefore meet advanced requirements regarding specificity, which can be increased by modifying a PCR method. Digital PCR systems achieve a very high sensitivity and have advantages in quantitative measurement. Sequencing methods may also be used to detect DNA modifications caused by genome editing. Whereas most PCR methods can be carried out in an enforcement laboratory with existing technical equipment and staff, the processing of the sequencing data requires additional resources and the appropriate bioinformatic expertise.","author":[{"dropping-particle":"","family":"Ribarits","given":"Alexandra","non-dropping-particle":"","parse-names":false,"suffix":""},{"dropping-particle":"","family":"Narendja","given":"Frank","non-dropping-particle":"","parse-names":false,"suffix":""},{"dropping-particle":"","family":"Stepanek","given":"Walter","non-dropping-particle":"","parse-names":false,"suffix":""},{"dropping-particle":"","family":"Hochegger","given":"Rupert","non-dropping-particle":"","parse-names":false,"suffix":""}],"container-title":"Agronomy","id":"ITEM-3","issue":"1","issued":{"date-parts":[["2020","12","30"]]},"page":"61","title":"Detection Methods Fit-for-Purpose in Enforcement Control of Genetically Modified Plants Produced with Novel Genomic Techniques (NGTs)","type":"article-journal","volume":"11"},"uris":["http://www.mendeley.com/documents/?uuid=7b56c366-03e3-4da0-b32d-b15ce463f985"]}],"mendeley":{"formattedCitation":"(Chhalliyil et al., 2020; Peng et al., 2020; Ribarits et al., 2020)","plainTextFormattedCitation":"(Chhalliyil et al., 2020; Peng et al., 2020; Ribarits et al., 2020)","previouslyFormattedCitation":"(Chhalliyil et al., 2020; Peng et al., 2020; Ribarits et al., 2020)"},"properties":{"noteIndex":0},"schema":"https://github.com/citation-style-language/schema/raw/master/csl-citation.json"}</w:instrText>
      </w:r>
      <w:r w:rsidR="002E4348">
        <w:rPr>
          <w:rFonts w:ascii="Times New Roman" w:eastAsia="SimSun" w:hAnsi="Times New Roman" w:cs="Calibri"/>
          <w:color w:val="000000" w:themeColor="text1"/>
          <w:lang w:eastAsia="hi-IN" w:bidi="hi-IN"/>
        </w:rPr>
        <w:fldChar w:fldCharType="separate"/>
      </w:r>
      <w:r w:rsidR="002E4348" w:rsidRPr="002E4348">
        <w:rPr>
          <w:rFonts w:ascii="Times New Roman" w:eastAsia="SimSun" w:hAnsi="Times New Roman" w:cs="Calibri"/>
          <w:noProof/>
          <w:color w:val="000000" w:themeColor="text1"/>
          <w:lang w:eastAsia="hi-IN" w:bidi="hi-IN"/>
        </w:rPr>
        <w:t>(Chhalliyil et al., 2020; Peng et al., 2020; Ribarits et al., 2020)</w:t>
      </w:r>
      <w:r w:rsidR="002E4348">
        <w:rPr>
          <w:rFonts w:ascii="Times New Roman" w:eastAsia="SimSun" w:hAnsi="Times New Roman" w:cs="Calibri"/>
          <w:color w:val="000000" w:themeColor="text1"/>
          <w:lang w:eastAsia="hi-IN" w:bidi="hi-IN"/>
        </w:rPr>
        <w:fldChar w:fldCharType="end"/>
      </w:r>
      <w:r w:rsidR="00B75A3F">
        <w:rPr>
          <w:rFonts w:ascii="Times New Roman" w:eastAsia="SimSun" w:hAnsi="Times New Roman" w:cs="Calibri"/>
          <w:color w:val="000000" w:themeColor="text1"/>
          <w:lang w:eastAsia="hi-IN" w:bidi="hi-IN"/>
        </w:rPr>
        <w:t xml:space="preserve">. </w:t>
      </w:r>
      <w:r w:rsidR="008C433F" w:rsidRPr="008C546A">
        <w:rPr>
          <w:rFonts w:ascii="Times New Roman" w:eastAsia="SimSun" w:hAnsi="Times New Roman" w:cs="Calibri"/>
          <w:color w:val="000000" w:themeColor="text1"/>
          <w:lang w:eastAsia="hi-IN" w:bidi="hi-IN"/>
        </w:rPr>
        <w:t>In terms of policy</w:t>
      </w:r>
      <w:r w:rsidR="008C433F">
        <w:rPr>
          <w:rFonts w:ascii="Times New Roman" w:eastAsia="SimSun" w:hAnsi="Times New Roman" w:cs="Calibri"/>
          <w:color w:val="000000" w:themeColor="text1"/>
          <w:lang w:eastAsia="hi-IN" w:bidi="hi-IN"/>
        </w:rPr>
        <w:t>-</w:t>
      </w:r>
      <w:r w:rsidR="008C433F" w:rsidRPr="008C546A">
        <w:rPr>
          <w:rFonts w:ascii="Times New Roman" w:eastAsia="SimSun" w:hAnsi="Times New Roman" w:cs="Calibri"/>
          <w:color w:val="000000" w:themeColor="text1"/>
          <w:lang w:eastAsia="hi-IN" w:bidi="hi-IN"/>
        </w:rPr>
        <w:t>making, this argument is moot. Products are regulated because sectors of society want them to be regulated. If there are technical tools to detect the product</w:t>
      </w:r>
      <w:r w:rsidR="00CA38F9">
        <w:rPr>
          <w:rFonts w:ascii="Times New Roman" w:eastAsia="SimSun" w:hAnsi="Times New Roman" w:cs="Calibri"/>
          <w:color w:val="000000" w:themeColor="text1"/>
          <w:lang w:eastAsia="hi-IN" w:bidi="hi-IN"/>
        </w:rPr>
        <w:t>, so much</w:t>
      </w:r>
      <w:r w:rsidR="008C433F" w:rsidRPr="008C546A">
        <w:rPr>
          <w:rFonts w:ascii="Times New Roman" w:eastAsia="SimSun" w:hAnsi="Times New Roman" w:cs="Calibri"/>
          <w:color w:val="000000" w:themeColor="text1"/>
          <w:lang w:eastAsia="hi-IN" w:bidi="hi-IN"/>
        </w:rPr>
        <w:t xml:space="preserve"> the better, but if not, regulation can also be based on a system of sworn statements, traceability, etc.</w:t>
      </w:r>
      <w:r w:rsidR="008C433F">
        <w:rPr>
          <w:rFonts w:ascii="Times New Roman" w:eastAsia="SimSun" w:hAnsi="Times New Roman" w:cs="Calibri"/>
          <w:color w:val="000000" w:themeColor="text1"/>
          <w:lang w:eastAsia="hi-IN" w:bidi="hi-IN"/>
        </w:rPr>
        <w:t xml:space="preserve"> </w:t>
      </w:r>
    </w:p>
    <w:p w14:paraId="6BD2C2EA" w14:textId="12899234" w:rsidR="008C433F" w:rsidRPr="0078129C" w:rsidRDefault="00FC3E7A" w:rsidP="009B0873">
      <w:pPr>
        <w:pStyle w:val="Heading4"/>
        <w:rPr>
          <w:i w:val="0"/>
        </w:rPr>
      </w:pPr>
      <w:r w:rsidRPr="009B0873">
        <w:rPr>
          <w:i w:val="0"/>
        </w:rPr>
        <w:t>7</w:t>
      </w:r>
      <w:r w:rsidR="008C433F" w:rsidRPr="009B0873">
        <w:rPr>
          <w:i w:val="0"/>
        </w:rPr>
        <w:t>.1.2. Engineered gene drives</w:t>
      </w:r>
      <w:r w:rsidR="00FA12D8" w:rsidRPr="009B0873">
        <w:rPr>
          <w:i w:val="0"/>
        </w:rPr>
        <w:t>.</w:t>
      </w:r>
    </w:p>
    <w:p w14:paraId="21B30845" w14:textId="63DB39A6" w:rsidR="00D31BE0" w:rsidRDefault="00D31BE0" w:rsidP="008C433F">
      <w:pPr>
        <w:suppressAutoHyphens/>
        <w:autoSpaceDE w:val="0"/>
        <w:spacing w:before="120" w:after="120" w:line="240" w:lineRule="auto"/>
        <w:jc w:val="both"/>
        <w:rPr>
          <w:rFonts w:ascii="Times New Roman" w:eastAsia="SimSun" w:hAnsi="Times New Roman" w:cs="Calibri"/>
          <w:color w:val="000000" w:themeColor="text1"/>
          <w:lang w:eastAsia="hi-IN" w:bidi="hi-IN"/>
        </w:rPr>
      </w:pPr>
      <w:r w:rsidRPr="002D00BA">
        <w:rPr>
          <w:rFonts w:ascii="Times New Roman" w:hAnsi="Times New Roman"/>
        </w:rPr>
        <w:t>Although most of the applications using</w:t>
      </w:r>
      <w:r w:rsidRPr="009B0873">
        <w:t xml:space="preserve"> </w:t>
      </w:r>
      <w:r>
        <w:rPr>
          <w:rFonts w:ascii="Times New Roman" w:eastAsia="SimSun" w:hAnsi="Times New Roman" w:cs="Calibri"/>
          <w:color w:val="000000" w:themeColor="text1"/>
          <w:lang w:eastAsia="hi-IN" w:bidi="hi-IN"/>
        </w:rPr>
        <w:t>engineered gene drives</w:t>
      </w:r>
      <w:r w:rsidRPr="00210445">
        <w:rPr>
          <w:rFonts w:ascii="Times New Roman" w:eastAsia="SimSun" w:hAnsi="Times New Roman" w:cs="Calibri"/>
          <w:color w:val="000000" w:themeColor="text1"/>
          <w:lang w:eastAsia="hi-IN" w:bidi="hi-IN"/>
        </w:rPr>
        <w:t xml:space="preserve"> are not ready for release yet, they attract much attention from the scientific literature, the media and regulators. This is mainly because the release of self-sustaining GMOs into the environment ‒ deliberate or not ‒ has the ability to elicit long term, large scale and potentially irreversible changes in wild populations, natural communities and even highly valued natural ecosystems. This has triggered concerns regarding appropriate provisions for the containment of these organisms and appropriate regulatory oversight and governance</w:t>
      </w:r>
      <w:r w:rsidR="00E24076">
        <w:rPr>
          <w:rFonts w:ascii="Times New Roman" w:eastAsia="SimSun" w:hAnsi="Times New Roman" w:cs="Calibri"/>
          <w:color w:val="000000" w:themeColor="text1"/>
          <w:lang w:eastAsia="hi-IN" w:bidi="hi-IN"/>
        </w:rPr>
        <w:t>.</w:t>
      </w:r>
    </w:p>
    <w:p w14:paraId="33539E1A" w14:textId="6E5583A9" w:rsidR="00465BF0" w:rsidRDefault="008C433F" w:rsidP="008C433F">
      <w:pPr>
        <w:suppressAutoHyphens/>
        <w:autoSpaceDE w:val="0"/>
        <w:spacing w:before="120" w:after="120" w:line="240" w:lineRule="auto"/>
        <w:jc w:val="both"/>
        <w:rPr>
          <w:rFonts w:ascii="Times New Roman" w:eastAsia="SimSun" w:hAnsi="Times New Roman" w:cs="Calibri"/>
          <w:color w:val="000000" w:themeColor="text1"/>
          <w:lang w:eastAsia="hi-IN" w:bidi="hi-IN"/>
        </w:rPr>
      </w:pPr>
      <w:r w:rsidRPr="7BB79B9C">
        <w:rPr>
          <w:rFonts w:ascii="Times New Roman" w:eastAsia="SimSun" w:hAnsi="Times New Roman" w:cs="Calibri"/>
          <w:color w:val="000000" w:themeColor="text1"/>
          <w:lang w:eastAsia="hi-IN" w:bidi="hi-IN"/>
        </w:rPr>
        <w:t xml:space="preserve">As </w:t>
      </w:r>
      <w:r>
        <w:rPr>
          <w:rFonts w:ascii="Times New Roman" w:eastAsia="SimSun" w:hAnsi="Times New Roman" w:cs="Calibri"/>
          <w:color w:val="000000" w:themeColor="text1"/>
          <w:lang w:eastAsia="hi-IN" w:bidi="hi-IN"/>
        </w:rPr>
        <w:t>these types of applications</w:t>
      </w:r>
      <w:r w:rsidRPr="7BB79B9C">
        <w:rPr>
          <w:rFonts w:ascii="Times New Roman" w:eastAsia="SimSun" w:hAnsi="Times New Roman" w:cs="Calibri"/>
          <w:color w:val="000000" w:themeColor="text1"/>
          <w:lang w:eastAsia="hi-IN" w:bidi="hi-IN"/>
        </w:rPr>
        <w:t xml:space="preserve"> may spread across jurisdictional boundaries following </w:t>
      </w:r>
      <w:r>
        <w:rPr>
          <w:rFonts w:ascii="Times New Roman" w:eastAsia="SimSun" w:hAnsi="Times New Roman" w:cs="Calibri"/>
          <w:color w:val="000000" w:themeColor="text1"/>
          <w:lang w:eastAsia="hi-IN" w:bidi="hi-IN"/>
        </w:rPr>
        <w:t>authorised</w:t>
      </w:r>
      <w:r w:rsidRPr="7BB79B9C">
        <w:rPr>
          <w:rFonts w:ascii="Times New Roman" w:eastAsia="SimSun" w:hAnsi="Times New Roman" w:cs="Calibri"/>
          <w:color w:val="000000" w:themeColor="text1"/>
          <w:lang w:eastAsia="hi-IN" w:bidi="hi-IN"/>
        </w:rPr>
        <w:t xml:space="preserve"> release, it has been suggested that regional approaches to facilitate international regulatory oversight and approval could better serve their governance </w:t>
      </w:r>
      <w:r w:rsidRPr="00121D97">
        <w:rPr>
          <w:rFonts w:ascii="Times New Roman" w:eastAsia="SimSun" w:hAnsi="Times New Roman" w:cs="Calibri"/>
          <w:color w:val="000000" w:themeColor="text1"/>
          <w:lang w:eastAsia="hi-IN" w:bidi="hi-IN"/>
        </w:rPr>
        <w:fldChar w:fldCharType="begin" w:fldLock="1"/>
      </w:r>
      <w:r w:rsidR="00BF6C14">
        <w:rPr>
          <w:rFonts w:ascii="Times New Roman" w:eastAsia="SimSun" w:hAnsi="Times New Roman" w:cs="Calibri"/>
          <w:color w:val="000000" w:themeColor="text1"/>
          <w:lang w:eastAsia="hi-IN" w:bidi="hi-IN"/>
        </w:rPr>
        <w:instrText>ADDIN CSL_CITATION {"citationItems":[{"id":"ITEM-1","itemData":{"DOI":"10.1016/j.tibtech.2020.11.015","ISSN":"01677799","author":[{"dropping-particle":"","family":"Devos","given":"Yann","non-dropping-particle":"","parse-names":false,"suffix":""},{"dropping-particle":"","family":"Bonsall","given":"Michael B","non-dropping-particle":"","parse-names":false,"suffix":""},{"dropping-particle":"","family":"Firbank","given":"Leslie G","non-dropping-particle":"","parse-names":false,"suffix":""},{"dropping-particle":"","family":"Mumford","given":"John","non-dropping-particle":"","parse-names":false,"suffix":""},{"dropping-particle":"","family":"Nogué","given":"Fabien","non-dropping-particle":"","parse-names":false,"suffix":""},{"dropping-particle":"","family":"Wimmer","given":"Ernst A","non-dropping-particle":"","parse-names":false,"suffix":""}],"container-title":"Trends in Biotechnology","id":"ITEM-1","issue":"xx","issued":{"date-parts":[["2020","12"]]},"page":"1-4","publisher":"Elsevier Ltd","title":"Gene Drive-Modified Organisms: Developing Practical Risk Assessment Guidance","type":"article-journal","volume":"xx"},"uris":["http://www.mendeley.com/documents/?uuid=c7048388-ffdd-4581-91ce-3d5073ee7c1d"]}],"mendeley":{"formattedCitation":"(Yann Devos et al., 2020)","manualFormatting":"(Devos et al., 2020)","plainTextFormattedCitation":"(Yann Devos et al., 2020)","previouslyFormattedCitation":"(Yann Devos et al., 2020)"},"properties":{"noteIndex":0},"schema":"https://github.com/citation-style-language/schema/raw/master/csl-citation.json"}</w:instrText>
      </w:r>
      <w:r w:rsidRPr="00121D97">
        <w:rPr>
          <w:rFonts w:ascii="Times New Roman" w:eastAsia="SimSun" w:hAnsi="Times New Roman" w:cs="Calibri"/>
          <w:color w:val="000000" w:themeColor="text1"/>
          <w:lang w:eastAsia="hi-IN" w:bidi="hi-IN"/>
        </w:rPr>
        <w:fldChar w:fldCharType="separate"/>
      </w:r>
      <w:r w:rsidR="00831AF1" w:rsidRPr="00831AF1">
        <w:rPr>
          <w:rFonts w:ascii="Times New Roman" w:eastAsia="SimSun" w:hAnsi="Times New Roman" w:cs="Calibri"/>
          <w:noProof/>
          <w:color w:val="000000" w:themeColor="text1"/>
          <w:lang w:eastAsia="hi-IN" w:bidi="hi-IN"/>
        </w:rPr>
        <w:t>(Devos et al., 2020)</w:t>
      </w:r>
      <w:r w:rsidRPr="00121D97">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 xml:space="preserve">. </w:t>
      </w:r>
      <w:r w:rsidR="007F497F">
        <w:rPr>
          <w:rFonts w:ascii="Times New Roman" w:eastAsia="SimSun" w:hAnsi="Times New Roman" w:cs="Calibri"/>
          <w:color w:val="000000" w:themeColor="text1"/>
          <w:lang w:eastAsia="hi-IN" w:bidi="hi-IN"/>
        </w:rPr>
        <w:t xml:space="preserve">Likewise, for </w:t>
      </w:r>
      <w:r w:rsidR="004900AA">
        <w:rPr>
          <w:rFonts w:ascii="Times New Roman" w:eastAsia="SimSun" w:hAnsi="Times New Roman" w:cs="Calibri"/>
          <w:color w:val="000000" w:themeColor="text1"/>
          <w:lang w:eastAsia="hi-IN" w:bidi="hi-IN"/>
        </w:rPr>
        <w:t xml:space="preserve">engineered </w:t>
      </w:r>
      <w:r w:rsidR="007F497F">
        <w:rPr>
          <w:rFonts w:ascii="Times New Roman" w:eastAsia="SimSun" w:hAnsi="Times New Roman" w:cs="Calibri"/>
          <w:color w:val="000000" w:themeColor="text1"/>
          <w:lang w:eastAsia="hi-IN" w:bidi="hi-IN"/>
        </w:rPr>
        <w:t>gene drives</w:t>
      </w:r>
      <w:r w:rsidR="7C2F5A9E" w:rsidRPr="11D853AE">
        <w:rPr>
          <w:rFonts w:ascii="Times New Roman" w:eastAsia="SimSun" w:hAnsi="Times New Roman" w:cs="Calibri"/>
          <w:color w:val="000000" w:themeColor="text1"/>
          <w:lang w:eastAsia="hi-IN" w:bidi="hi-IN"/>
        </w:rPr>
        <w:t>,</w:t>
      </w:r>
      <w:r w:rsidR="007F497F" w:rsidRPr="007F497F">
        <w:rPr>
          <w:rFonts w:ascii="Times New Roman" w:eastAsia="SimSun" w:hAnsi="Times New Roman" w:cs="Calibri"/>
          <w:color w:val="000000" w:themeColor="text1"/>
          <w:lang w:eastAsia="hi-IN" w:bidi="hi-IN"/>
        </w:rPr>
        <w:t xml:space="preserve"> spread and persistence are their </w:t>
      </w:r>
      <w:r w:rsidR="007F497F" w:rsidRPr="004900AA">
        <w:rPr>
          <w:rFonts w:ascii="Times New Roman" w:eastAsia="SimSun" w:hAnsi="Times New Roman" w:cs="Calibri"/>
          <w:i/>
          <w:color w:val="000000" w:themeColor="text1"/>
          <w:lang w:eastAsia="hi-IN" w:bidi="hi-IN"/>
        </w:rPr>
        <w:t>raison d’etre</w:t>
      </w:r>
      <w:r w:rsidR="007F497F" w:rsidRPr="007F497F">
        <w:rPr>
          <w:rFonts w:ascii="Times New Roman" w:eastAsia="SimSun" w:hAnsi="Times New Roman" w:cs="Calibri"/>
          <w:color w:val="000000" w:themeColor="text1"/>
          <w:lang w:eastAsia="hi-IN" w:bidi="hi-IN"/>
        </w:rPr>
        <w:t>, posing different legal and regulatory challenges, because of their high potential to spread beyond national borders</w:t>
      </w:r>
      <w:r w:rsidR="007F497F">
        <w:rPr>
          <w:rFonts w:ascii="Times New Roman" w:eastAsia="SimSun" w:hAnsi="Times New Roman" w:cs="Calibri"/>
          <w:color w:val="000000" w:themeColor="text1"/>
          <w:lang w:eastAsia="hi-IN" w:bidi="hi-IN"/>
        </w:rPr>
        <w:t xml:space="preserve"> </w:t>
      </w:r>
      <w:bookmarkStart w:id="113" w:name="_Hlk66376136"/>
      <w:r w:rsidR="0002762F">
        <w:rPr>
          <w:rFonts w:ascii="Times New Roman" w:eastAsia="SimSun" w:hAnsi="Times New Roman" w:cs="Calibri"/>
          <w:color w:val="000000" w:themeColor="text1"/>
          <w:lang w:eastAsia="hi-IN" w:bidi="hi-IN"/>
        </w:rPr>
        <w:fldChar w:fldCharType="begin" w:fldLock="1"/>
      </w:r>
      <w:r w:rsidR="0002762F">
        <w:rPr>
          <w:rFonts w:ascii="Times New Roman" w:eastAsia="SimSun" w:hAnsi="Times New Roman" w:cs="Calibri"/>
          <w:color w:val="000000" w:themeColor="text1"/>
          <w:lang w:eastAsia="hi-IN" w:bidi="hi-IN"/>
        </w:rPr>
        <w:instrText>ADDIN CSL_CITATION {"citationItems":[{"id":"ITEM-1","itemData":{"author":[{"dropping-particle":"","family":"Ching","given":"Lim Li","non-dropping-particle":"","parse-names":false,"suffix":""},{"dropping-particle":"","family":"Lin","given":"Lim Li","non-dropping-particle":"","parse-names":false,"suffix":""}],"id":"ITEM-1","issued":{"date-parts":[["2019"]]},"number-of-pages":"152","publisher":"Third World Network","publisher-place":"Penang, Malaysia","title":"Gene Drives: Legal and Regulatory Issues","type":"book"},"uris":["http://www.mendeley.com/documents/?uuid=9dfc77a4-7c4f-477e-8f7d-25a1419fbe4c"]}],"mendeley":{"formattedCitation":"(Ching &amp; Lin, 2019)","plainTextFormattedCitation":"(Ching &amp; Lin, 2019)","previouslyFormattedCitation":"(Ching &amp; Lin, 2019)"},"properties":{"noteIndex":0},"schema":"https://github.com/citation-style-language/schema/raw/master/csl-citation.json"}</w:instrText>
      </w:r>
      <w:r w:rsidR="0002762F">
        <w:rPr>
          <w:rFonts w:ascii="Times New Roman" w:eastAsia="SimSun" w:hAnsi="Times New Roman" w:cs="Calibri"/>
          <w:color w:val="000000" w:themeColor="text1"/>
          <w:lang w:eastAsia="hi-IN" w:bidi="hi-IN"/>
        </w:rPr>
        <w:fldChar w:fldCharType="separate"/>
      </w:r>
      <w:r w:rsidR="0002762F" w:rsidRPr="0002762F">
        <w:rPr>
          <w:rFonts w:ascii="Times New Roman" w:eastAsia="SimSun" w:hAnsi="Times New Roman" w:cs="Calibri"/>
          <w:noProof/>
          <w:color w:val="000000" w:themeColor="text1"/>
          <w:lang w:eastAsia="hi-IN" w:bidi="hi-IN"/>
        </w:rPr>
        <w:t>(Ching &amp; Lin, 2019)</w:t>
      </w:r>
      <w:r w:rsidR="0002762F">
        <w:rPr>
          <w:rFonts w:ascii="Times New Roman" w:eastAsia="SimSun" w:hAnsi="Times New Roman" w:cs="Calibri"/>
          <w:color w:val="000000" w:themeColor="text1"/>
          <w:lang w:eastAsia="hi-IN" w:bidi="hi-IN"/>
        </w:rPr>
        <w:fldChar w:fldCharType="end"/>
      </w:r>
      <w:r w:rsidR="008D1DF2">
        <w:rPr>
          <w:rFonts w:ascii="Times New Roman" w:eastAsia="SimSun" w:hAnsi="Times New Roman" w:cs="Calibri"/>
          <w:color w:val="000000" w:themeColor="text1"/>
          <w:lang w:eastAsia="hi-IN" w:bidi="hi-IN"/>
        </w:rPr>
        <w:t>.</w:t>
      </w:r>
      <w:bookmarkEnd w:id="113"/>
    </w:p>
    <w:p w14:paraId="0F8C6E84" w14:textId="4876A4B8" w:rsidR="008C433F" w:rsidRDefault="00B47667" w:rsidP="008C433F">
      <w:pPr>
        <w:suppressAutoHyphens/>
        <w:autoSpaceDE w:val="0"/>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The </w:t>
      </w:r>
      <w:r w:rsidR="001320E4">
        <w:rPr>
          <w:rFonts w:ascii="Times New Roman" w:eastAsia="SimSun" w:hAnsi="Times New Roman" w:cs="Calibri"/>
          <w:color w:val="000000" w:themeColor="text1"/>
          <w:lang w:eastAsia="hi-IN" w:bidi="hi-IN"/>
        </w:rPr>
        <w:t xml:space="preserve">regulation of organisms containing engineered gene drives </w:t>
      </w:r>
      <w:r w:rsidR="001320E4" w:rsidRPr="108E2FCE">
        <w:rPr>
          <w:rFonts w:ascii="Times New Roman" w:eastAsia="SimSun" w:hAnsi="Times New Roman" w:cs="Calibri"/>
          <w:color w:val="000000" w:themeColor="text1"/>
          <w:lang w:eastAsia="hi-IN" w:bidi="hi-IN"/>
        </w:rPr>
        <w:t>ha</w:t>
      </w:r>
      <w:r w:rsidR="5679C742" w:rsidRPr="108E2FCE">
        <w:rPr>
          <w:rFonts w:ascii="Times New Roman" w:eastAsia="SimSun" w:hAnsi="Times New Roman" w:cs="Calibri"/>
          <w:color w:val="000000" w:themeColor="text1"/>
          <w:lang w:eastAsia="hi-IN" w:bidi="hi-IN"/>
        </w:rPr>
        <w:t>s</w:t>
      </w:r>
      <w:r w:rsidR="001320E4">
        <w:rPr>
          <w:rFonts w:ascii="Times New Roman" w:eastAsia="SimSun" w:hAnsi="Times New Roman" w:cs="Calibri"/>
          <w:color w:val="000000" w:themeColor="text1"/>
          <w:lang w:eastAsia="hi-IN" w:bidi="hi-IN"/>
        </w:rPr>
        <w:t xml:space="preserve"> been a polarised issue that has raised concerns </w:t>
      </w:r>
      <w:r w:rsidR="00FE4BFF">
        <w:rPr>
          <w:rFonts w:ascii="Times New Roman" w:eastAsia="SimSun" w:hAnsi="Times New Roman" w:cs="Calibri"/>
          <w:color w:val="000000" w:themeColor="text1"/>
          <w:lang w:eastAsia="hi-IN" w:bidi="hi-IN"/>
        </w:rPr>
        <w:t xml:space="preserve">on different areas, such as the </w:t>
      </w:r>
      <w:r w:rsidR="0041197F">
        <w:rPr>
          <w:rFonts w:ascii="Times New Roman" w:eastAsia="SimSun" w:hAnsi="Times New Roman" w:cs="Calibri"/>
          <w:color w:val="000000" w:themeColor="text1"/>
          <w:lang w:eastAsia="hi-IN" w:bidi="hi-IN"/>
        </w:rPr>
        <w:t>application of the precautionary principle and</w:t>
      </w:r>
      <w:r w:rsidR="513C631D" w:rsidRPr="49011540">
        <w:rPr>
          <w:rFonts w:ascii="Times New Roman" w:eastAsia="SimSun" w:hAnsi="Times New Roman" w:cs="Calibri"/>
          <w:color w:val="000000" w:themeColor="text1"/>
          <w:lang w:eastAsia="hi-IN" w:bidi="hi-IN"/>
        </w:rPr>
        <w:t xml:space="preserve"> the obtention of </w:t>
      </w:r>
      <w:r w:rsidR="00FE6671">
        <w:rPr>
          <w:rFonts w:ascii="Times New Roman" w:eastAsia="SimSun" w:hAnsi="Times New Roman" w:cs="Calibri"/>
          <w:color w:val="000000" w:themeColor="text1"/>
          <w:lang w:eastAsia="hi-IN" w:bidi="hi-IN"/>
        </w:rPr>
        <w:t>FPIC</w:t>
      </w:r>
      <w:r w:rsidR="00C214E4">
        <w:rPr>
          <w:rFonts w:ascii="Times New Roman" w:eastAsia="SimSun" w:hAnsi="Times New Roman" w:cs="Calibri"/>
          <w:color w:val="000000" w:themeColor="text1"/>
          <w:lang w:eastAsia="hi-IN" w:bidi="hi-IN"/>
        </w:rPr>
        <w:t xml:space="preserve"> of </w:t>
      </w:r>
      <w:r w:rsidR="00BC2AB6">
        <w:rPr>
          <w:rFonts w:ascii="Times New Roman" w:eastAsia="SimSun" w:hAnsi="Times New Roman" w:cs="Calibri"/>
          <w:color w:val="000000" w:themeColor="text1"/>
          <w:lang w:eastAsia="hi-IN" w:bidi="hi-IN"/>
        </w:rPr>
        <w:t>IPLCs</w:t>
      </w:r>
      <w:r w:rsidR="00EA4EA7">
        <w:rPr>
          <w:rFonts w:ascii="Times New Roman" w:eastAsia="SimSun" w:hAnsi="Times New Roman" w:cs="Calibri"/>
          <w:color w:val="000000" w:themeColor="text1"/>
          <w:lang w:eastAsia="hi-IN" w:bidi="hi-IN"/>
        </w:rPr>
        <w:t xml:space="preserve"> </w:t>
      </w:r>
      <w:r w:rsidR="003D04F0">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ISBN":"978-3-99004-524-4","author":[{"dropping-particle":"","family":"Dolezol","given":"Marion","non-dropping-particle":"","parse-names":false,"suffix":""},{"dropping-particle":"","family":"Simon","given":"Samson","non-dropping-particle":"","parse-names":false,"suffix":""},{"dropping-particle":"","family":"Otto","given":"Mathias","non-dropping-particle":"","parse-names":false,"suffix":""},{"dropping-particle":"","family":"Engelhard","given":"Margret","non-dropping-particle":"","parse-names":false,"suffix":""},{"dropping-particle":"","family":"Züghart","given":"Wiebke","non-dropping-particle":"","parse-names":false,"suffix":""}],"id":"ITEM-1","issue":"REP-0705","issued":{"date-parts":[["2020"]]},"number-of-pages":"37","publisher-place":"Vienna, Austria","title":"Gene drive organisms: Implications for the Environment and Nature Conservation","type":"report"},"uris":["http://www.mendeley.com/documents/?uuid=938c4730-afe8-4b77-b0f5-57b5a4f549b6"]}],"mendeley":{"formattedCitation":"(Dolezol et al., 2020)","plainTextFormattedCitation":"(Dolezol et al., 2020)","previouslyFormattedCitation":"(Dolezol et al., 2020)"},"properties":{"noteIndex":0},"schema":"https://github.com/citation-style-language/schema/raw/master/csl-citation.json"}</w:instrText>
      </w:r>
      <w:r w:rsidR="003D04F0">
        <w:rPr>
          <w:rFonts w:ascii="Times New Roman" w:eastAsia="SimSun" w:hAnsi="Times New Roman" w:cs="Calibri"/>
          <w:color w:val="000000" w:themeColor="text1"/>
          <w:lang w:eastAsia="hi-IN" w:bidi="hi-IN"/>
        </w:rPr>
        <w:fldChar w:fldCharType="separate"/>
      </w:r>
      <w:r w:rsidR="008F6A90" w:rsidRPr="008F6A90">
        <w:rPr>
          <w:rFonts w:ascii="Times New Roman" w:eastAsia="SimSun" w:hAnsi="Times New Roman" w:cs="Calibri"/>
          <w:noProof/>
          <w:color w:val="000000" w:themeColor="text1"/>
          <w:lang w:eastAsia="hi-IN" w:bidi="hi-IN"/>
        </w:rPr>
        <w:t>(Dolezol et al., 2020)</w:t>
      </w:r>
      <w:r w:rsidR="003D04F0">
        <w:rPr>
          <w:rFonts w:ascii="Times New Roman" w:eastAsia="SimSun" w:hAnsi="Times New Roman" w:cs="Calibri"/>
          <w:color w:val="000000" w:themeColor="text1"/>
          <w:lang w:eastAsia="hi-IN" w:bidi="hi-IN"/>
        </w:rPr>
        <w:fldChar w:fldCharType="end"/>
      </w:r>
      <w:r w:rsidR="003D04F0">
        <w:rPr>
          <w:rFonts w:ascii="Times New Roman" w:eastAsia="SimSun" w:hAnsi="Times New Roman" w:cs="Calibri"/>
          <w:color w:val="000000" w:themeColor="text1"/>
          <w:lang w:eastAsia="hi-IN" w:bidi="hi-IN"/>
        </w:rPr>
        <w:t>.</w:t>
      </w:r>
      <w:r w:rsidR="32466EAD" w:rsidRPr="0ED44CA7">
        <w:rPr>
          <w:rFonts w:ascii="Times New Roman" w:eastAsia="SimSun" w:hAnsi="Times New Roman" w:cs="Calibri"/>
          <w:color w:val="000000" w:themeColor="text1"/>
          <w:lang w:eastAsia="hi-IN" w:bidi="hi-IN"/>
        </w:rPr>
        <w:t xml:space="preserve"> </w:t>
      </w:r>
      <w:r w:rsidR="32466EAD" w:rsidRPr="75C7CB3D">
        <w:rPr>
          <w:rFonts w:ascii="Times New Roman" w:eastAsia="SimSun" w:hAnsi="Times New Roman" w:cs="Calibri"/>
          <w:color w:val="000000" w:themeColor="text1"/>
          <w:lang w:eastAsia="hi-IN" w:bidi="hi-IN"/>
        </w:rPr>
        <w:t xml:space="preserve">These issues are explored further in </w:t>
      </w:r>
      <w:r w:rsidR="00D91AD5">
        <w:rPr>
          <w:rFonts w:ascii="Times New Roman" w:eastAsia="SimSun" w:hAnsi="Times New Roman" w:cs="Calibri"/>
          <w:color w:val="000000" w:themeColor="text1"/>
          <w:lang w:eastAsia="hi-IN" w:bidi="hi-IN"/>
        </w:rPr>
        <w:t>S</w:t>
      </w:r>
      <w:r w:rsidR="32466EAD" w:rsidRPr="75C7CB3D">
        <w:rPr>
          <w:rFonts w:ascii="Times New Roman" w:eastAsia="SimSun" w:hAnsi="Times New Roman" w:cs="Calibri"/>
          <w:color w:val="000000" w:themeColor="text1"/>
          <w:lang w:eastAsia="hi-IN" w:bidi="hi-IN"/>
        </w:rPr>
        <w:t xml:space="preserve">ections </w:t>
      </w:r>
      <w:r w:rsidR="00D91AD5">
        <w:rPr>
          <w:rFonts w:ascii="Times New Roman" w:eastAsia="SimSun" w:hAnsi="Times New Roman" w:cs="Calibri"/>
          <w:color w:val="000000" w:themeColor="text1"/>
          <w:lang w:eastAsia="hi-IN" w:bidi="hi-IN"/>
        </w:rPr>
        <w:t>5.1.</w:t>
      </w:r>
      <w:r w:rsidR="000721E6">
        <w:rPr>
          <w:rFonts w:ascii="Times New Roman" w:eastAsia="SimSun" w:hAnsi="Times New Roman" w:cs="Calibri"/>
          <w:color w:val="000000" w:themeColor="text1"/>
          <w:lang w:eastAsia="hi-IN" w:bidi="hi-IN"/>
        </w:rPr>
        <w:t>2</w:t>
      </w:r>
      <w:r w:rsidR="32466EAD" w:rsidRPr="00615A35">
        <w:rPr>
          <w:rFonts w:ascii="Times New Roman" w:eastAsia="SimSun" w:hAnsi="Times New Roman" w:cs="Calibri"/>
          <w:color w:val="000000" w:themeColor="text1"/>
          <w:lang w:eastAsia="hi-IN" w:bidi="hi-IN"/>
        </w:rPr>
        <w:t xml:space="preserve"> and </w:t>
      </w:r>
      <w:r w:rsidR="002A4D73" w:rsidRPr="00396AB7">
        <w:rPr>
          <w:rFonts w:ascii="Times New Roman" w:eastAsia="SimSun" w:hAnsi="Times New Roman" w:cs="Calibri"/>
          <w:color w:val="000000" w:themeColor="text1"/>
          <w:lang w:eastAsia="hi-IN" w:bidi="hi-IN"/>
        </w:rPr>
        <w:t>9.3</w:t>
      </w:r>
      <w:r w:rsidR="00B758A7">
        <w:rPr>
          <w:rFonts w:ascii="Times New Roman" w:eastAsia="SimSun" w:hAnsi="Times New Roman" w:cs="Calibri"/>
          <w:color w:val="000000" w:themeColor="text1"/>
          <w:lang w:eastAsia="hi-IN" w:bidi="hi-IN"/>
        </w:rPr>
        <w:t>.2</w:t>
      </w:r>
      <w:r w:rsidR="32466EAD" w:rsidRPr="00615A35">
        <w:rPr>
          <w:rFonts w:ascii="Times New Roman" w:eastAsia="SimSun" w:hAnsi="Times New Roman" w:cs="Calibri"/>
          <w:color w:val="000000" w:themeColor="text1"/>
          <w:lang w:eastAsia="hi-IN" w:bidi="hi-IN"/>
        </w:rPr>
        <w:t>.</w:t>
      </w:r>
    </w:p>
    <w:p w14:paraId="0609738D" w14:textId="249B0B53" w:rsidR="000236D7" w:rsidRDefault="000236D7" w:rsidP="00FE6671">
      <w:pPr>
        <w:suppressAutoHyphens/>
        <w:autoSpaceDE w:val="0"/>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Also</w:t>
      </w:r>
      <w:r w:rsidR="00D07AF0">
        <w:rPr>
          <w:rFonts w:ascii="Times New Roman" w:eastAsia="SimSun" w:hAnsi="Times New Roman" w:cs="Calibri"/>
          <w:color w:val="000000" w:themeColor="text1"/>
          <w:lang w:eastAsia="hi-IN" w:bidi="hi-IN"/>
        </w:rPr>
        <w:t>, w</w:t>
      </w:r>
      <w:r w:rsidR="00D07AF0" w:rsidRPr="00B028A9">
        <w:rPr>
          <w:rFonts w:ascii="Times New Roman" w:eastAsia="SimSun" w:hAnsi="Times New Roman" w:cs="Calibri"/>
          <w:color w:val="000000" w:themeColor="text1"/>
          <w:lang w:eastAsia="hi-IN" w:bidi="hi-IN"/>
        </w:rPr>
        <w:t>hile some groups are in favour of a moratorium of the environmental release of organisms containing engineer</w:t>
      </w:r>
      <w:r w:rsidR="00B028A9">
        <w:rPr>
          <w:rFonts w:ascii="Times New Roman" w:eastAsia="SimSun" w:hAnsi="Times New Roman" w:cs="Calibri"/>
          <w:color w:val="000000" w:themeColor="text1"/>
          <w:lang w:eastAsia="hi-IN" w:bidi="hi-IN"/>
        </w:rPr>
        <w:t>ed</w:t>
      </w:r>
      <w:r w:rsidR="00D07AF0" w:rsidRPr="00B028A9">
        <w:rPr>
          <w:rFonts w:ascii="Times New Roman" w:eastAsia="SimSun" w:hAnsi="Times New Roman" w:cs="Calibri"/>
          <w:color w:val="000000" w:themeColor="text1"/>
          <w:lang w:eastAsia="hi-IN" w:bidi="hi-IN"/>
        </w:rPr>
        <w:t xml:space="preserve"> gene drives due to the apparent gaps in the regulatory oversight and the potential for serious ecological and societal effects</w:t>
      </w:r>
      <w:r w:rsidR="00621AA1">
        <w:rPr>
          <w:rFonts w:ascii="Times New Roman" w:eastAsia="SimSun" w:hAnsi="Times New Roman" w:cs="Calibri"/>
          <w:color w:val="000000" w:themeColor="text1"/>
          <w:lang w:eastAsia="hi-IN" w:bidi="hi-IN"/>
        </w:rPr>
        <w:t xml:space="preserve"> </w:t>
      </w:r>
      <w:r w:rsidR="00270EC6">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{"citationItems":[{"id":"ITEM-1","itemData":{"DOI":"10.17226/23405","author":[{"dropping-particle":"","family":"Civil Society Working Group on Gene Drives","given":"","non-dropping-particle":"","parse-names":false,"suffix":""}],"id":"ITEM-1","issued":{"date-parts":[["2016"]]},"title":"The Case for a Global Moratorium on Genetically-engineered Gene Drives","type":"article"},"uris":["http://www.mendeley.com/documents/?uuid=b38b1348-ed37-4b20-91e6-1ac4a76d8a7d"]}],"mendeley":{"formattedCitation":"(Civil Society Working Group on Gene Drives, 2016)","plainTextFormattedCitation":"(Civil Society Working Group on Gene Drives, 2016)","previouslyFormattedCitation":"(Civil Society Working Group on Gene Drives, 2016)"},"properties":{"noteIndex":0},"schema":"https://github.com/citation-style-language/schema/raw/master/csl-citation.json"}</w:instrText>
      </w:r>
      <w:r w:rsidR="00270EC6">
        <w:rPr>
          <w:rFonts w:ascii="Times New Roman" w:eastAsia="SimSun" w:hAnsi="Times New Roman" w:cs="Calibri"/>
          <w:color w:val="000000" w:themeColor="text1"/>
          <w:lang w:eastAsia="hi-IN" w:bidi="hi-IN"/>
        </w:rPr>
        <w:fldChar w:fldCharType="separate"/>
      </w:r>
      <w:r w:rsidR="00270EC6" w:rsidRPr="00270EC6">
        <w:rPr>
          <w:rFonts w:ascii="Times New Roman" w:eastAsia="SimSun" w:hAnsi="Times New Roman" w:cs="Calibri"/>
          <w:noProof/>
          <w:color w:val="000000" w:themeColor="text1"/>
          <w:lang w:eastAsia="hi-IN" w:bidi="hi-IN"/>
        </w:rPr>
        <w:t>(Civil Society Working Group on Gene Drives, 2016)</w:t>
      </w:r>
      <w:r w:rsidR="00270EC6">
        <w:rPr>
          <w:rFonts w:ascii="Times New Roman" w:eastAsia="SimSun" w:hAnsi="Times New Roman" w:cs="Calibri"/>
          <w:color w:val="000000" w:themeColor="text1"/>
          <w:lang w:eastAsia="hi-IN" w:bidi="hi-IN"/>
        </w:rPr>
        <w:fldChar w:fldCharType="end"/>
      </w:r>
      <w:r w:rsidR="00D07AF0" w:rsidRPr="00B028A9">
        <w:rPr>
          <w:rFonts w:ascii="Times New Roman" w:eastAsia="SimSun" w:hAnsi="Times New Roman" w:cs="Calibri"/>
          <w:color w:val="000000" w:themeColor="text1"/>
          <w:lang w:eastAsia="hi-IN" w:bidi="hi-IN"/>
        </w:rPr>
        <w:t xml:space="preserve">, others </w:t>
      </w:r>
      <w:r w:rsidR="00B028A9" w:rsidRPr="00B028A9">
        <w:rPr>
          <w:rFonts w:ascii="Times New Roman" w:eastAsia="SimSun" w:hAnsi="Times New Roman" w:cs="Calibri"/>
          <w:color w:val="000000" w:themeColor="text1"/>
          <w:lang w:eastAsia="hi-IN" w:bidi="hi-IN"/>
        </w:rPr>
        <w:t>emphasi</w:t>
      </w:r>
      <w:r w:rsidR="00B028A9">
        <w:rPr>
          <w:rFonts w:ascii="Times New Roman" w:eastAsia="SimSun" w:hAnsi="Times New Roman" w:cs="Calibri"/>
          <w:color w:val="000000" w:themeColor="text1"/>
          <w:lang w:eastAsia="hi-IN" w:bidi="hi-IN"/>
        </w:rPr>
        <w:t>s</w:t>
      </w:r>
      <w:r w:rsidR="00B028A9" w:rsidRPr="00B028A9">
        <w:rPr>
          <w:rFonts w:ascii="Times New Roman" w:eastAsia="SimSun" w:hAnsi="Times New Roman" w:cs="Calibri"/>
          <w:color w:val="000000" w:themeColor="text1"/>
          <w:lang w:eastAsia="hi-IN" w:bidi="hi-IN"/>
        </w:rPr>
        <w:t xml:space="preserve">e </w:t>
      </w:r>
      <w:r w:rsidR="00D07AF0" w:rsidRPr="00B028A9">
        <w:rPr>
          <w:rFonts w:ascii="Times New Roman" w:eastAsia="SimSun" w:hAnsi="Times New Roman" w:cs="Calibri"/>
          <w:color w:val="000000" w:themeColor="text1"/>
          <w:lang w:eastAsia="hi-IN" w:bidi="hi-IN"/>
        </w:rPr>
        <w:t>the potential benefits of gene drive applications and encourage further development and continued laboratory research</w:t>
      </w:r>
      <w:r w:rsidR="00736885" w:rsidRPr="00B028A9">
        <w:rPr>
          <w:rFonts w:ascii="Times New Roman" w:eastAsia="SimSun" w:hAnsi="Times New Roman" w:cs="Calibri"/>
          <w:color w:val="000000" w:themeColor="text1"/>
          <w:lang w:eastAsia="hi-IN" w:bidi="hi-IN"/>
        </w:rPr>
        <w:t xml:space="preserve"> </w:t>
      </w:r>
      <w:r w:rsidR="0002762F">
        <w:rPr>
          <w:rFonts w:ascii="Times New Roman" w:eastAsia="SimSun" w:hAnsi="Times New Roman" w:cs="Calibri"/>
          <w:color w:val="000000" w:themeColor="text1"/>
          <w:lang w:eastAsia="hi-IN" w:bidi="hi-IN"/>
        </w:rPr>
        <w:fldChar w:fldCharType="begin" w:fldLock="1"/>
      </w:r>
      <w:r w:rsidR="0002762F">
        <w:rPr>
          <w:rFonts w:ascii="Times New Roman" w:eastAsia="SimSun" w:hAnsi="Times New Roman" w:cs="Calibri"/>
          <w:color w:val="000000" w:themeColor="text1"/>
          <w:lang w:eastAsia="hi-IN" w:bidi="hi-IN"/>
        </w:rPr>
        <w:instrText>ADDIN CSL_CITATION {"citationItems":[{"id":"ITEM-1","itemData":{"author":[{"dropping-particle":"","family":"Dolezel","given":"Marion","non-dropping-particle":"","parse-names":false,"suffix":""},{"dropping-particle":"","family":"Simon","given":"Samson","non-dropping-particle":"","parse-names":false,"suffix":""},{"dropping-particle":"","family":"Otto","given":"Mathias","non-dropping-particle":"","parse-names":false,"suffix":""},{"dropping-particle":"","family":"Engelhard","given":"Margret","non-dropping-particle":"","parse-names":false,"suffix":""},{"dropping-particle":"","family":"Züghart","given":"Wiebke","non-dropping-particle":"","parse-names":false,"suffix":""}],"id":"ITEM-1","issued":{"date-parts":[["2020"]]},"title":"Gene Drive Organisms. Implications for the Environment and Nature Conservation","type":"article"},"uris":["http://www.mendeley.com/documents/?uuid=402e237a-6616-4ae6-ae7e-2d0be7ce5ad5"]}],"mendeley":{"formattedCitation":"(Dolezel et al., 2020)","plainTextFormattedCitation":"(Dolezel et al., 2020)","previouslyFormattedCitation":"(Dolezel et al., 2020)"},"properties":{"noteIndex":0},"schema":"https://github.com/citation-style-language/schema/raw/master/csl-citation.json"}</w:instrText>
      </w:r>
      <w:r w:rsidR="0002762F">
        <w:rPr>
          <w:rFonts w:ascii="Times New Roman" w:eastAsia="SimSun" w:hAnsi="Times New Roman" w:cs="Calibri"/>
          <w:color w:val="000000" w:themeColor="text1"/>
          <w:lang w:eastAsia="hi-IN" w:bidi="hi-IN"/>
        </w:rPr>
        <w:fldChar w:fldCharType="separate"/>
      </w:r>
      <w:r w:rsidR="0002762F" w:rsidRPr="0002762F">
        <w:rPr>
          <w:rFonts w:ascii="Times New Roman" w:eastAsia="SimSun" w:hAnsi="Times New Roman" w:cs="Calibri"/>
          <w:noProof/>
          <w:color w:val="000000" w:themeColor="text1"/>
          <w:lang w:eastAsia="hi-IN" w:bidi="hi-IN"/>
        </w:rPr>
        <w:t>(Dolezel et al., 2020)</w:t>
      </w:r>
      <w:r w:rsidR="0002762F">
        <w:rPr>
          <w:rFonts w:ascii="Times New Roman" w:eastAsia="SimSun" w:hAnsi="Times New Roman" w:cs="Calibri"/>
          <w:color w:val="000000" w:themeColor="text1"/>
          <w:lang w:eastAsia="hi-IN" w:bidi="hi-IN"/>
        </w:rPr>
        <w:fldChar w:fldCharType="end"/>
      </w:r>
      <w:r w:rsidR="00B028A9">
        <w:rPr>
          <w:rFonts w:ascii="Times New Roman" w:eastAsia="SimSun" w:hAnsi="Times New Roman" w:cs="Calibri"/>
          <w:color w:val="000000" w:themeColor="text1"/>
          <w:lang w:eastAsia="hi-IN" w:bidi="hi-IN"/>
        </w:rPr>
        <w:t>.</w:t>
      </w:r>
    </w:p>
    <w:p w14:paraId="5E63B347" w14:textId="77777777" w:rsidR="002E7EAF" w:rsidRDefault="00BE462A" w:rsidP="0002762F">
      <w:pPr>
        <w:suppressAutoHyphens/>
        <w:autoSpaceDE w:val="0"/>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So far</w:t>
      </w:r>
      <w:r w:rsidR="00762E85">
        <w:rPr>
          <w:rFonts w:ascii="Times New Roman" w:eastAsia="SimSun" w:hAnsi="Times New Roman" w:cs="Calibri"/>
          <w:color w:val="000000" w:themeColor="text1"/>
          <w:lang w:eastAsia="hi-IN" w:bidi="hi-IN"/>
        </w:rPr>
        <w:t>,</w:t>
      </w:r>
      <w:r>
        <w:rPr>
          <w:rFonts w:ascii="Times New Roman" w:eastAsia="SimSun" w:hAnsi="Times New Roman" w:cs="Calibri"/>
          <w:color w:val="000000" w:themeColor="text1"/>
          <w:lang w:eastAsia="hi-IN" w:bidi="hi-IN"/>
        </w:rPr>
        <w:t xml:space="preserve"> organisms containing engineered gene drives fall</w:t>
      </w:r>
      <w:r w:rsidR="00256B63">
        <w:rPr>
          <w:rFonts w:ascii="Times New Roman" w:eastAsia="SimSun" w:hAnsi="Times New Roman" w:cs="Calibri"/>
          <w:color w:val="000000" w:themeColor="text1"/>
          <w:lang w:eastAsia="hi-IN" w:bidi="hi-IN"/>
        </w:rPr>
        <w:t xml:space="preserve"> under the definition of LMO as per the Cartagena Protocol on Biosafety </w:t>
      </w:r>
      <w:r w:rsidR="0002762F">
        <w:rPr>
          <w:rFonts w:ascii="Times New Roman" w:eastAsia="SimSun" w:hAnsi="Times New Roman" w:cs="Calibri"/>
          <w:color w:val="000000" w:themeColor="text1"/>
          <w:lang w:eastAsia="hi-IN" w:bidi="hi-IN"/>
        </w:rPr>
        <w:fldChar w:fldCharType="begin" w:fldLock="1"/>
      </w:r>
      <w:r w:rsidR="00CE6A7C">
        <w:rPr>
          <w:rFonts w:ascii="Times New Roman" w:eastAsia="SimSun" w:hAnsi="Times New Roman" w:cs="Calibri"/>
          <w:color w:val="000000" w:themeColor="text1"/>
          <w:lang w:eastAsia="hi-IN" w:bidi="hi-IN"/>
        </w:rPr>
        <w:instrText>ADDIN CSL_CITATION {"citationItems":[{"id":"ITEM-1","itemData":{"author":[{"dropping-particle":"","family":"Secretariat of the Convention on Biological Diversity","given":"","non-dropping-particle":"","parse-names":false,"suffix":""}],"id":"ITEM-1","issued":{"date-parts":[["2020"]]},"page":"16","publisher-place":"Montreal, Canada","title":"Report of the Ad Hoc Technical Expert Group on Risk Asssessment","type":"article"},"uris":["http://www.mendeley.com/documents/?uuid=d722c10c-efa3-4706-b025-fe610b7f34f2"]}],"mendeley":{"formattedCitation":"(Secretariat of the Convention on Biological Diversity, 2020c)","plainTextFormattedCitation":"(Secretariat of the Convention on Biological Diversity, 2020c)","previouslyFormattedCitation":"(Secretariat of the Convention on Biological Diversity, 2020c)"},"properties":{"noteIndex":0},"schema":"https://github.com/citation-style-language/schema/raw/master/csl-citation.json"}</w:instrText>
      </w:r>
      <w:r w:rsidR="0002762F">
        <w:rPr>
          <w:rFonts w:ascii="Times New Roman" w:eastAsia="SimSun" w:hAnsi="Times New Roman" w:cs="Calibri"/>
          <w:color w:val="000000" w:themeColor="text1"/>
          <w:lang w:eastAsia="hi-IN" w:bidi="hi-IN"/>
        </w:rPr>
        <w:fldChar w:fldCharType="separate"/>
      </w:r>
      <w:r w:rsidR="00CE6A7C" w:rsidRPr="00CE6A7C">
        <w:rPr>
          <w:rFonts w:ascii="Times New Roman" w:eastAsia="SimSun" w:hAnsi="Times New Roman" w:cs="Calibri"/>
          <w:noProof/>
          <w:color w:val="000000" w:themeColor="text1"/>
          <w:lang w:eastAsia="hi-IN" w:bidi="hi-IN"/>
        </w:rPr>
        <w:t>(Secretariat of the Convention on Biological Diversity, 2020c)</w:t>
      </w:r>
      <w:r w:rsidR="0002762F">
        <w:rPr>
          <w:rFonts w:ascii="Times New Roman" w:eastAsia="SimSun" w:hAnsi="Times New Roman" w:cs="Calibri"/>
          <w:color w:val="000000" w:themeColor="text1"/>
          <w:lang w:eastAsia="hi-IN" w:bidi="hi-IN"/>
        </w:rPr>
        <w:fldChar w:fldCharType="end"/>
      </w:r>
      <w:r w:rsidR="00116CF0">
        <w:rPr>
          <w:rFonts w:ascii="Times New Roman" w:eastAsia="SimSun" w:hAnsi="Times New Roman" w:cs="Calibri"/>
          <w:color w:val="000000" w:themeColor="text1"/>
          <w:lang w:eastAsia="hi-IN" w:bidi="hi-IN"/>
        </w:rPr>
        <w:t xml:space="preserve">. </w:t>
      </w:r>
      <w:r w:rsidR="00116CF0" w:rsidRPr="5EEA41E0">
        <w:rPr>
          <w:rFonts w:ascii="Times New Roman" w:eastAsia="SimSun" w:hAnsi="Times New Roman" w:cs="Calibri"/>
          <w:color w:val="000000" w:themeColor="text1"/>
          <w:lang w:eastAsia="hi-IN" w:bidi="hi-IN"/>
        </w:rPr>
        <w:t>Therefore,</w:t>
      </w:r>
      <w:r w:rsidR="5CE390AD" w:rsidRPr="5EEA41E0">
        <w:rPr>
          <w:rFonts w:ascii="Times New Roman" w:eastAsia="SimSun" w:hAnsi="Times New Roman" w:cs="Calibri"/>
          <w:color w:val="000000" w:themeColor="text1"/>
          <w:lang w:eastAsia="hi-IN" w:bidi="hi-IN"/>
        </w:rPr>
        <w:t xml:space="preserve"> Parties to the Protocol need to</w:t>
      </w:r>
      <w:r w:rsidR="00116CF0">
        <w:rPr>
          <w:rFonts w:ascii="Times New Roman" w:eastAsia="SimSun" w:hAnsi="Times New Roman" w:cs="Calibri"/>
          <w:color w:val="000000" w:themeColor="text1"/>
          <w:lang w:eastAsia="hi-IN" w:bidi="hi-IN"/>
        </w:rPr>
        <w:t xml:space="preserve"> </w:t>
      </w:r>
      <w:r w:rsidR="00B72426" w:rsidRPr="5EEA41E0">
        <w:rPr>
          <w:rFonts w:ascii="Times New Roman" w:eastAsia="SimSun" w:hAnsi="Times New Roman" w:cs="Calibri"/>
          <w:color w:val="000000" w:themeColor="text1"/>
          <w:lang w:eastAsia="hi-IN" w:bidi="hi-IN"/>
        </w:rPr>
        <w:t>regulat</w:t>
      </w:r>
      <w:r w:rsidR="71803E94" w:rsidRPr="5EEA41E0">
        <w:rPr>
          <w:rFonts w:ascii="Times New Roman" w:eastAsia="SimSun" w:hAnsi="Times New Roman" w:cs="Calibri"/>
          <w:color w:val="000000" w:themeColor="text1"/>
          <w:lang w:eastAsia="hi-IN" w:bidi="hi-IN"/>
        </w:rPr>
        <w:t>e</w:t>
      </w:r>
      <w:r w:rsidR="00F006C7">
        <w:rPr>
          <w:rFonts w:ascii="Times New Roman" w:eastAsia="SimSun" w:hAnsi="Times New Roman" w:cs="Calibri"/>
          <w:color w:val="000000" w:themeColor="text1"/>
          <w:lang w:eastAsia="hi-IN" w:bidi="hi-IN"/>
        </w:rPr>
        <w:t xml:space="preserve"> </w:t>
      </w:r>
      <w:r w:rsidR="2DECA80B" w:rsidRPr="5EEA41E0">
        <w:rPr>
          <w:rFonts w:ascii="Times New Roman" w:eastAsia="SimSun" w:hAnsi="Times New Roman" w:cs="Calibri"/>
          <w:color w:val="000000" w:themeColor="text1"/>
          <w:lang w:eastAsia="hi-IN" w:bidi="hi-IN"/>
        </w:rPr>
        <w:t xml:space="preserve">such organisms according to the provisions of </w:t>
      </w:r>
      <w:r w:rsidR="00F006C7" w:rsidRPr="5EEA41E0">
        <w:rPr>
          <w:rFonts w:ascii="Times New Roman" w:eastAsia="SimSun" w:hAnsi="Times New Roman" w:cs="Calibri"/>
          <w:color w:val="000000" w:themeColor="text1"/>
          <w:lang w:eastAsia="hi-IN" w:bidi="hi-IN"/>
        </w:rPr>
        <w:t xml:space="preserve">the </w:t>
      </w:r>
      <w:r w:rsidR="00F006C7">
        <w:rPr>
          <w:rFonts w:ascii="Times New Roman" w:eastAsia="SimSun" w:hAnsi="Times New Roman" w:cs="Calibri"/>
          <w:color w:val="000000" w:themeColor="text1"/>
          <w:lang w:eastAsia="hi-IN" w:bidi="hi-IN"/>
        </w:rPr>
        <w:t xml:space="preserve">Cartagena Protocol. </w:t>
      </w:r>
      <w:r w:rsidR="004C61FC">
        <w:rPr>
          <w:rFonts w:ascii="Times New Roman" w:eastAsia="SimSun" w:hAnsi="Times New Roman" w:cs="Calibri"/>
          <w:color w:val="000000" w:themeColor="text1"/>
          <w:lang w:eastAsia="hi-IN" w:bidi="hi-IN"/>
        </w:rPr>
        <w:t xml:space="preserve">In addition, as </w:t>
      </w:r>
      <w:r w:rsidR="00D1225A">
        <w:rPr>
          <w:rFonts w:ascii="Times New Roman" w:eastAsia="SimSun" w:hAnsi="Times New Roman" w:cs="Calibri"/>
          <w:color w:val="000000" w:themeColor="text1"/>
          <w:lang w:eastAsia="hi-IN" w:bidi="hi-IN"/>
        </w:rPr>
        <w:t xml:space="preserve">will be described below </w:t>
      </w:r>
      <w:r w:rsidR="00FE6CB6">
        <w:rPr>
          <w:rFonts w:ascii="Times New Roman" w:eastAsia="SimSun" w:hAnsi="Times New Roman" w:cs="Calibri"/>
          <w:color w:val="000000" w:themeColor="text1"/>
          <w:lang w:eastAsia="hi-IN" w:bidi="hi-IN"/>
        </w:rPr>
        <w:t>in</w:t>
      </w:r>
      <w:r w:rsidR="00D1225A">
        <w:rPr>
          <w:rFonts w:ascii="Times New Roman" w:eastAsia="SimSun" w:hAnsi="Times New Roman" w:cs="Calibri"/>
          <w:color w:val="000000" w:themeColor="text1"/>
          <w:lang w:eastAsia="hi-IN" w:bidi="hi-IN"/>
        </w:rPr>
        <w:t xml:space="preserve"> </w:t>
      </w:r>
      <w:r w:rsidR="00FE6CB6" w:rsidRPr="00FE6CB6">
        <w:rPr>
          <w:rFonts w:ascii="Times New Roman" w:eastAsia="SimSun" w:hAnsi="Times New Roman" w:cs="Calibri"/>
          <w:color w:val="000000" w:themeColor="text1"/>
          <w:lang w:eastAsia="hi-IN" w:bidi="hi-IN"/>
        </w:rPr>
        <w:t>S</w:t>
      </w:r>
      <w:r w:rsidR="00D1225A" w:rsidRPr="00FE6CB6">
        <w:rPr>
          <w:rFonts w:ascii="Times New Roman" w:eastAsia="SimSun" w:hAnsi="Times New Roman" w:cs="Calibri"/>
          <w:color w:val="000000" w:themeColor="text1"/>
          <w:lang w:eastAsia="hi-IN" w:bidi="hi-IN"/>
        </w:rPr>
        <w:t xml:space="preserve">ection </w:t>
      </w:r>
      <w:r w:rsidR="00FE6CB6" w:rsidRPr="00FE6CB6">
        <w:rPr>
          <w:rFonts w:ascii="Times New Roman" w:eastAsia="SimSun" w:hAnsi="Times New Roman" w:cs="Calibri"/>
          <w:color w:val="000000" w:themeColor="text1"/>
          <w:lang w:eastAsia="hi-IN" w:bidi="hi-IN"/>
        </w:rPr>
        <w:t>8.1.</w:t>
      </w:r>
      <w:r w:rsidR="00D1225A">
        <w:rPr>
          <w:rFonts w:ascii="Times New Roman" w:eastAsia="SimSun" w:hAnsi="Times New Roman" w:cs="Calibri"/>
          <w:color w:val="000000" w:themeColor="text1"/>
          <w:lang w:eastAsia="hi-IN" w:bidi="hi-IN"/>
        </w:rPr>
        <w:t xml:space="preserve">, these organisms will also be covered under the Convention on Biological Diversity based on </w:t>
      </w:r>
      <w:r w:rsidR="2ACC3B12" w:rsidRPr="2A764B90">
        <w:rPr>
          <w:rFonts w:ascii="Times New Roman" w:eastAsia="SimSun" w:hAnsi="Times New Roman" w:cs="Calibri"/>
          <w:color w:val="000000" w:themeColor="text1"/>
          <w:lang w:eastAsia="hi-IN" w:bidi="hi-IN"/>
        </w:rPr>
        <w:t>A</w:t>
      </w:r>
      <w:r w:rsidR="00D1225A" w:rsidRPr="2A764B90">
        <w:rPr>
          <w:rFonts w:ascii="Times New Roman" w:eastAsia="SimSun" w:hAnsi="Times New Roman" w:cs="Calibri"/>
          <w:color w:val="000000" w:themeColor="text1"/>
          <w:lang w:eastAsia="hi-IN" w:bidi="hi-IN"/>
        </w:rPr>
        <w:t>rticle</w:t>
      </w:r>
      <w:r w:rsidR="5F3FC37C" w:rsidRPr="2A764B90">
        <w:rPr>
          <w:rFonts w:ascii="Times New Roman" w:eastAsia="SimSun" w:hAnsi="Times New Roman" w:cs="Calibri"/>
          <w:color w:val="000000" w:themeColor="text1"/>
          <w:lang w:eastAsia="hi-IN" w:bidi="hi-IN"/>
        </w:rPr>
        <w:t xml:space="preserve">s </w:t>
      </w:r>
      <w:r w:rsidR="5F3FC37C" w:rsidRPr="2EEFE412">
        <w:rPr>
          <w:rFonts w:ascii="Times New Roman" w:eastAsia="SimSun" w:hAnsi="Times New Roman" w:cs="Calibri"/>
          <w:color w:val="000000" w:themeColor="text1"/>
          <w:lang w:eastAsia="hi-IN" w:bidi="hi-IN"/>
        </w:rPr>
        <w:t>8(g) and 19(4)</w:t>
      </w:r>
      <w:r w:rsidR="00D1225A" w:rsidRPr="00352D08">
        <w:rPr>
          <w:rFonts w:ascii="Times New Roman" w:eastAsia="SimSun" w:hAnsi="Times New Roman" w:cs="Calibri"/>
          <w:color w:val="000000" w:themeColor="text1"/>
          <w:lang w:eastAsia="hi-IN" w:bidi="hi-IN"/>
        </w:rPr>
        <w:t>.</w:t>
      </w:r>
      <w:r w:rsidR="00103EA5" w:rsidRPr="0027229A">
        <w:rPr>
          <w:rFonts w:ascii="Times New Roman" w:eastAsia="SimSun" w:hAnsi="Times New Roman" w:cs="Calibri"/>
          <w:color w:val="000000" w:themeColor="text1"/>
          <w:lang w:eastAsia="hi-IN" w:bidi="hi-IN"/>
        </w:rPr>
        <w:t xml:space="preserve"> </w:t>
      </w:r>
      <w:r w:rsidR="001E0972" w:rsidRPr="0027229A">
        <w:rPr>
          <w:rFonts w:ascii="Times New Roman" w:eastAsia="SimSun" w:hAnsi="Times New Roman" w:cs="Calibri"/>
          <w:color w:val="000000" w:themeColor="text1"/>
          <w:lang w:eastAsia="hi-IN" w:bidi="hi-IN"/>
        </w:rPr>
        <w:t xml:space="preserve">Some stakeholders are of the view that the </w:t>
      </w:r>
      <w:r w:rsidR="00103EA5" w:rsidRPr="00103EA5">
        <w:rPr>
          <w:rFonts w:ascii="Times New Roman" w:eastAsia="SimSun" w:hAnsi="Times New Roman" w:cs="Calibri"/>
          <w:color w:val="000000" w:themeColor="text1"/>
          <w:lang w:eastAsia="hi-IN" w:bidi="hi-IN"/>
        </w:rPr>
        <w:t xml:space="preserve">Convention on Biological Diversity and its Protocols, which have begun substantive work specific to </w:t>
      </w:r>
      <w:r w:rsidR="00EF6331">
        <w:rPr>
          <w:rFonts w:ascii="Times New Roman" w:eastAsia="SimSun" w:hAnsi="Times New Roman" w:cs="Calibri"/>
          <w:color w:val="000000" w:themeColor="text1"/>
          <w:lang w:eastAsia="hi-IN" w:bidi="hi-IN"/>
        </w:rPr>
        <w:t>organisms containing engineered gene drives</w:t>
      </w:r>
      <w:r w:rsidR="00103EA5" w:rsidRPr="00103EA5">
        <w:rPr>
          <w:rFonts w:ascii="Times New Roman" w:eastAsia="SimSun" w:hAnsi="Times New Roman" w:cs="Calibri"/>
          <w:color w:val="000000" w:themeColor="text1"/>
          <w:lang w:eastAsia="hi-IN" w:bidi="hi-IN"/>
        </w:rPr>
        <w:t>, are currently the best home for their international governance</w:t>
      </w:r>
      <w:r w:rsidR="00EF6331">
        <w:rPr>
          <w:rFonts w:ascii="Times New Roman" w:eastAsia="SimSun" w:hAnsi="Times New Roman" w:cs="Calibri"/>
          <w:color w:val="000000" w:themeColor="text1"/>
          <w:lang w:eastAsia="hi-IN" w:bidi="hi-IN"/>
        </w:rPr>
        <w:t xml:space="preserve"> </w:t>
      </w:r>
      <w:r w:rsidR="0002762F">
        <w:rPr>
          <w:rFonts w:ascii="Times New Roman" w:eastAsia="SimSun" w:hAnsi="Times New Roman" w:cs="Calibri"/>
          <w:color w:val="000000" w:themeColor="text1"/>
          <w:lang w:eastAsia="hi-IN" w:bidi="hi-IN"/>
        </w:rPr>
        <w:fldChar w:fldCharType="begin" w:fldLock="1"/>
      </w:r>
      <w:r w:rsidR="0002762F">
        <w:rPr>
          <w:rFonts w:ascii="Times New Roman" w:eastAsia="SimSun" w:hAnsi="Times New Roman" w:cs="Calibri"/>
          <w:color w:val="000000" w:themeColor="text1"/>
          <w:lang w:eastAsia="hi-IN" w:bidi="hi-IN"/>
        </w:rPr>
        <w:instrText>ADDIN CSL_CITATION {"citationItems":[{"id":"ITEM-1","itemData":{"author":[{"dropping-particle":"","family":"Ching","given":"Lim Li","non-dropping-particle":"","parse-names":false,"suffix":""},{"dropping-particle":"","family":"Lin","given":"Lim Li","non-dropping-particle":"","parse-names":false,"suffix":""}],"id":"ITEM-1","issued":{"date-parts":[["2019"]]},"number-of-pages":"152","publisher":"Third World Network","publisher-place":"Penang, Malaysia","title":"Gene Drives: Legal and Regulatory Issues","type":"book"},"uris":["http://www.mendeley.com/documents/?uuid=9dfc77a4-7c4f-477e-8f7d-25a1419fbe4c"]}],"mendeley":{"formattedCitation":"(Ching &amp; Lin, 2019)","plainTextFormattedCitation":"(Ching &amp; Lin, 2019)","previouslyFormattedCitation":"(Ching &amp; Lin, 2019)"},"properties":{"noteIndex":0},"schema":"https://github.com/citation-style-language/schema/raw/master/csl-citation.json"}</w:instrText>
      </w:r>
      <w:r w:rsidR="0002762F">
        <w:rPr>
          <w:rFonts w:ascii="Times New Roman" w:eastAsia="SimSun" w:hAnsi="Times New Roman" w:cs="Calibri"/>
          <w:color w:val="000000" w:themeColor="text1"/>
          <w:lang w:eastAsia="hi-IN" w:bidi="hi-IN"/>
        </w:rPr>
        <w:fldChar w:fldCharType="separate"/>
      </w:r>
      <w:r w:rsidR="0002762F" w:rsidRPr="0002762F">
        <w:rPr>
          <w:rFonts w:ascii="Times New Roman" w:eastAsia="SimSun" w:hAnsi="Times New Roman" w:cs="Calibri"/>
          <w:noProof/>
          <w:color w:val="000000" w:themeColor="text1"/>
          <w:lang w:eastAsia="hi-IN" w:bidi="hi-IN"/>
        </w:rPr>
        <w:t>(Ching &amp; Lin, 2019)</w:t>
      </w:r>
      <w:r w:rsidR="0002762F">
        <w:rPr>
          <w:rFonts w:ascii="Times New Roman" w:eastAsia="SimSun" w:hAnsi="Times New Roman" w:cs="Calibri"/>
          <w:color w:val="000000" w:themeColor="text1"/>
          <w:lang w:eastAsia="hi-IN" w:bidi="hi-IN"/>
        </w:rPr>
        <w:fldChar w:fldCharType="end"/>
      </w:r>
      <w:r w:rsidR="0002762F">
        <w:rPr>
          <w:rFonts w:ascii="Times New Roman" w:eastAsia="SimSun" w:hAnsi="Times New Roman" w:cs="Calibri"/>
          <w:color w:val="000000" w:themeColor="text1"/>
          <w:lang w:eastAsia="hi-IN" w:bidi="hi-IN"/>
        </w:rPr>
        <w:t>.</w:t>
      </w:r>
    </w:p>
    <w:p w14:paraId="197879D3" w14:textId="52BE021B" w:rsidR="008C433F" w:rsidRPr="0052129E" w:rsidRDefault="00FC3E7A" w:rsidP="0002762F">
      <w:pPr>
        <w:suppressAutoHyphens/>
        <w:autoSpaceDE w:val="0"/>
        <w:spacing w:before="120" w:after="120" w:line="240" w:lineRule="auto"/>
        <w:jc w:val="both"/>
        <w:rPr>
          <w:rFonts w:asciiTheme="majorBidi" w:hAnsiTheme="majorBidi" w:cstheme="majorBidi"/>
          <w:b/>
          <w:bCs/>
          <w:iCs/>
        </w:rPr>
      </w:pPr>
      <w:r w:rsidRPr="0052129E">
        <w:rPr>
          <w:rFonts w:asciiTheme="majorBidi" w:hAnsiTheme="majorBidi" w:cstheme="majorBidi"/>
          <w:b/>
          <w:bCs/>
          <w:iCs/>
          <w:color w:val="000000" w:themeColor="text1"/>
        </w:rPr>
        <w:t>7</w:t>
      </w:r>
      <w:r w:rsidR="008C433F" w:rsidRPr="0052129E">
        <w:rPr>
          <w:rFonts w:asciiTheme="majorBidi" w:hAnsiTheme="majorBidi" w:cstheme="majorBidi"/>
          <w:b/>
          <w:bCs/>
          <w:iCs/>
          <w:color w:val="000000" w:themeColor="text1"/>
        </w:rPr>
        <w:t>.</w:t>
      </w:r>
      <w:r w:rsidR="008C433F" w:rsidRPr="0052129E">
        <w:rPr>
          <w:rFonts w:asciiTheme="majorBidi" w:hAnsiTheme="majorBidi" w:cstheme="majorBidi"/>
          <w:b/>
          <w:bCs/>
          <w:iCs/>
        </w:rPr>
        <w:t>1.3. RNA-based technology</w:t>
      </w:r>
      <w:r w:rsidR="00FA12D8" w:rsidRPr="0052129E">
        <w:rPr>
          <w:rFonts w:asciiTheme="majorBidi" w:hAnsiTheme="majorBidi" w:cstheme="majorBidi"/>
          <w:b/>
          <w:bCs/>
          <w:iCs/>
        </w:rPr>
        <w:t>.</w:t>
      </w:r>
    </w:p>
    <w:p w14:paraId="6F414F0B" w14:textId="6137E915" w:rsidR="00C01A84" w:rsidRDefault="00C01A84" w:rsidP="008C433F">
      <w:pPr>
        <w:suppressAutoHyphens/>
        <w:autoSpaceDE w:val="0"/>
        <w:spacing w:before="120" w:after="120" w:line="240" w:lineRule="auto"/>
        <w:jc w:val="both"/>
        <w:rPr>
          <w:rFonts w:ascii="Times New Roman" w:eastAsia="SimSun" w:hAnsi="Times New Roman" w:cs="Calibri"/>
          <w:color w:val="000000" w:themeColor="text1"/>
          <w:lang w:eastAsia="hi-IN" w:bidi="hi-IN"/>
        </w:rPr>
      </w:pPr>
      <w:r w:rsidRPr="0032588F">
        <w:rPr>
          <w:rFonts w:ascii="Times New Roman" w:eastAsia="SimSun" w:hAnsi="Times New Roman" w:cs="Calibri"/>
          <w:color w:val="000000" w:themeColor="text1"/>
          <w:lang w:eastAsia="hi-IN" w:bidi="hi-IN"/>
        </w:rPr>
        <w:t xml:space="preserve">GM RNAi plants are being assessed and regulated using existing regulatory frameworks. However, there is an urgent need to adapt existing </w:t>
      </w:r>
      <w:r w:rsidR="00A24EA0" w:rsidRPr="0032588F">
        <w:rPr>
          <w:rFonts w:ascii="Times New Roman" w:eastAsia="SimSun" w:hAnsi="Times New Roman" w:cs="Calibri"/>
          <w:color w:val="000000" w:themeColor="text1"/>
          <w:lang w:eastAsia="hi-IN" w:bidi="hi-IN"/>
        </w:rPr>
        <w:t>plant protection products</w:t>
      </w:r>
      <w:r w:rsidRPr="0032588F">
        <w:rPr>
          <w:rFonts w:ascii="Times New Roman" w:eastAsia="SimSun" w:hAnsi="Times New Roman" w:cs="Calibri"/>
          <w:color w:val="000000" w:themeColor="text1"/>
          <w:lang w:eastAsia="hi-IN" w:bidi="hi-IN"/>
        </w:rPr>
        <w:t xml:space="preserve"> legislation so that it incorporates appropriate science-based risk assessment procedures for topical RNAi-based applications. This is </w:t>
      </w:r>
      <w:r w:rsidR="00A24EA0" w:rsidRPr="0032588F">
        <w:rPr>
          <w:rFonts w:ascii="Times New Roman" w:eastAsia="SimSun" w:hAnsi="Times New Roman" w:cs="Calibri"/>
          <w:color w:val="000000" w:themeColor="text1"/>
          <w:lang w:eastAsia="hi-IN" w:bidi="hi-IN"/>
        </w:rPr>
        <w:t>reflected</w:t>
      </w:r>
      <w:r w:rsidRPr="0032588F">
        <w:rPr>
          <w:rFonts w:ascii="Times New Roman" w:eastAsia="SimSun" w:hAnsi="Times New Roman" w:cs="Calibri"/>
          <w:color w:val="000000" w:themeColor="text1"/>
          <w:lang w:eastAsia="hi-IN" w:bidi="hi-IN"/>
        </w:rPr>
        <w:t xml:space="preserve"> in the current activities of the OECD working group on pesticides </w:t>
      </w:r>
      <w:r w:rsidR="0002762F">
        <w:rPr>
          <w:rFonts w:ascii="Times New Roman" w:eastAsia="SimSun" w:hAnsi="Times New Roman" w:cs="Calibri"/>
          <w:color w:val="000000" w:themeColor="text1"/>
          <w:lang w:eastAsia="hi-IN" w:bidi="hi-IN"/>
        </w:rPr>
        <w:fldChar w:fldCharType="begin" w:fldLock="1"/>
      </w:r>
      <w:r w:rsidR="009C2809">
        <w:rPr>
          <w:rFonts w:ascii="Times New Roman" w:eastAsia="SimSun" w:hAnsi="Times New Roman" w:cs="Calibri"/>
          <w:color w:val="000000" w:themeColor="text1"/>
          <w:lang w:eastAsia="hi-IN" w:bidi="hi-IN"/>
        </w:rPr>
        <w:instrText>ADDIN CSL_CITATION {"citationItems":[{"id":"ITEM-1","itemData":{"DOI":"10.3389/fpls.2020.00740","ISSN":"1664-462X","abstract":"RNA interference (RNAi) is a biological process in which double-stranded ribonucleic acid (dsRNA) molecules inhibit protein expression. In recent years, the application of dsRNA has been used in the development of agricultural products for pest control. The 2019 Organisation for Economic Cooperation and Development (OECD) Conference on RNAi Based Pesticides (“the Conference”) brought together academic, industry, and government experts in various aspects of RNAi to discuss the current state of knowledge and topics to help in developing considerations for risk assessment. The Conference focused on environment, with some discussion of human health. Along with presentations on the use of dsRNA-based products in agriculture, government regulation, risk assessment, and a background on the Draft OECD Working Paper on “Considerations for the Environmental Risk Assessment of the Application of Sprayed or Externally Applied dsRNA-Based Pesticides” (“OECD Working Paper”), the Conference included panel discussions from presenters at the end of each session and a larger discussion session with Conference participants on the environmental fate of dsRNA, non-target organism (NTO) risk assessment, and human health risk assessment. This paper summarizes input from presenters and Conference participants during these discussions. Key considerations from these discussions have already been incorporated into the OECD Working Paper, that once finalized and published, will facilitate regulators in evaluating externally applied dsRNA-based products for potential environmental risks.","author":[{"dropping-particle":"","family":"Mendelsohn","given":"Michael L.","non-dropping-particle":"","parse-names":false,"suffix":""},{"dropping-particle":"","family":"Gathmann","given":"Achim","non-dropping-particle":"","parse-names":false,"suffix":""},{"dropping-particle":"","family":"Kardassi","given":"Dimitra","non-dropping-particle":"","parse-names":false,"suffix":""},{"dropping-particle":"","family":"Sachana","given":"Magdalini","non-dropping-particle":"","parse-names":false,"suffix":""},{"dropping-particle":"","family":"Hopwood","given":"Emily M.","non-dropping-particle":"","parse-names":false,"suffix":""},{"dropping-particle":"","family":"Dietz-Pfeilstetter","given":"Antje","non-dropping-particle":"","parse-names":false,"suffix":""},{"dropping-particle":"","family":"Michelsen-Correa","given":"Stephani","non-dropping-particle":"","parse-names":false,"suffix":""},{"dropping-particle":"","family":"Fletcher","given":"Stephen J.","non-dropping-particle":"","parse-names":false,"suffix":""},{"dropping-particle":"","family":"Székács","given":"András","non-dropping-particle":"","parse-names":false,"suffix":""}],"container-title":"Frontiers in Plant Science","id":"ITEM-1","issued":{"date-parts":[["2020","5"]]},"page":"740","publisher":"Frontiers Media S.A.","title":"Summary of Discussions From the 2019 OECD Conference on RNAi Based Pesticides","type":"article-journal","volume":"11"},"uris":["http://www.mendeley.com/documents/?uuid=ab6a36eb-44b1-44b4-b8db-e0b83af97aa5"]},{"id":"ITEM-2","itemData":{"DOI":"10.1007/s10340-020-01238-2","ISSN":"16124766","abstract":"RNA interference (RNAi) is being developed and exploited to improve plants by modifying endogenous gene expression as well as to target pest and pathogen genes both within plants (i.e. host-induced gene silencing) and/or as topical applications (e.g. spray-induced gene silencing). RNAi is a natural mechanism which can be exploited to make a major contribution towards integrated pest management and sustainable agricultural strategies needed worldwide to secure current and future food production. RNAi plants are being assessed and regulated using existing regulatory frameworks for GMO. However, there is an urgent need to develop appropriate science-based risk assessment procedures for topical RNAi applications within existing plant protection products legislation.","author":[{"dropping-particle":"","family":"Mezzetti","given":"Bruno","non-dropping-particle":"","parse-names":false,"suffix":""},{"dropping-particle":"","family":"Smagghe","given":"Guy","non-dropping-particle":"","parse-names":false,"suffix":""},{"dropping-particle":"","family":"Arpaia","given":"Salvatore","non-dropping-particle":"","parse-names":false,"suffix":""},{"dropping-particle":"","family":"Christiaens","given":"Olivier","non-dropping-particle":"","parse-names":false,"suffix":""},{"dropping-particle":"","family":"Dietz-Pfeilstetter","given":"Antje","non-dropping-particle":"","parse-names":false,"suffix":""},{"dropping-particle":"","family":"Jones","given":"Huw","non-dropping-particle":"","parse-names":false,"suffix":""},{"dropping-particle":"","family":"Kostov","given":"Kaloyan","non-dropping-particle":"","parse-names":false,"suffix":""},{"dropping-particle":"","family":"Sabbadini","given":"Silvia","non-dropping-particle":"","parse-names":false,"suffix":""},{"dropping-particle":"","family":"Opsahl-Sorteberg","given":"Hilde Gunn","non-dropping-particle":"","parse-names":false,"suffix":""},{"dropping-particle":"","family":"Ventura","given":"Vera","non-dropping-particle":"","parse-names":false,"suffix":""},{"dropping-particle":"","family":"Taning","given":"Clauvis Nji Tizi","non-dropping-particle":"","parse-names":false,"suffix":""},{"dropping-particle":"","family":"Sweet","given":"Jeremy","non-dropping-particle":"","parse-names":false,"suffix":""}],"container-title":"Journal of Pest Science","id":"ITEM-2","issue":"4","issued":{"date-parts":[["2020","9"]]},"page":"1125-1130","publisher":"Springer","title":"RNAi: What is its position in agriculture?","type":"article-journal","volume":"93"},"uris":["http://www.mendeley.com/documents/?uuid=00b2335d-e147-4c11-8ef2-72dcfb117bde"]}],"mendeley":{"formattedCitation":"(Mendelsohn et al., 2020; Mezzetti et al., 2020)","plainTextFormattedCitation":"(Mendelsohn et al., 2020; Mezzetti et al., 2020)","previouslyFormattedCitation":"(Mendelsohn et al., 2020; Mezzetti et al., 2020)"},"properties":{"noteIndex":0},"schema":"https://github.com/citation-style-language/schema/raw/master/csl-citation.json"}</w:instrText>
      </w:r>
      <w:r w:rsidR="0002762F">
        <w:rPr>
          <w:rFonts w:ascii="Times New Roman" w:eastAsia="SimSun" w:hAnsi="Times New Roman" w:cs="Calibri"/>
          <w:color w:val="000000" w:themeColor="text1"/>
          <w:lang w:eastAsia="hi-IN" w:bidi="hi-IN"/>
        </w:rPr>
        <w:fldChar w:fldCharType="separate"/>
      </w:r>
      <w:r w:rsidR="0002762F" w:rsidRPr="0002762F">
        <w:rPr>
          <w:rFonts w:ascii="Times New Roman" w:eastAsia="SimSun" w:hAnsi="Times New Roman" w:cs="Calibri"/>
          <w:noProof/>
          <w:color w:val="000000" w:themeColor="text1"/>
          <w:lang w:eastAsia="hi-IN" w:bidi="hi-IN"/>
        </w:rPr>
        <w:t>(Mendelsohn et al., 2020; Mezzetti et al., 2020)</w:t>
      </w:r>
      <w:r w:rsidR="0002762F">
        <w:rPr>
          <w:rFonts w:ascii="Times New Roman" w:eastAsia="SimSun" w:hAnsi="Times New Roman" w:cs="Calibri"/>
          <w:color w:val="000000" w:themeColor="text1"/>
          <w:lang w:eastAsia="hi-IN" w:bidi="hi-IN"/>
        </w:rPr>
        <w:fldChar w:fldCharType="end"/>
      </w:r>
      <w:r w:rsidR="0032588F">
        <w:rPr>
          <w:rFonts w:ascii="Times New Roman" w:eastAsia="SimSun" w:hAnsi="Times New Roman" w:cs="Calibri"/>
          <w:color w:val="000000" w:themeColor="text1"/>
          <w:lang w:eastAsia="hi-IN" w:bidi="hi-IN"/>
        </w:rPr>
        <w:t>.</w:t>
      </w:r>
    </w:p>
    <w:p w14:paraId="5BA69344" w14:textId="0FD3AEF2" w:rsidR="001F6E69" w:rsidRDefault="00413B11" w:rsidP="001F6E69">
      <w:pPr>
        <w:suppressAutoHyphens/>
        <w:autoSpaceDE w:val="0"/>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Regarding the use and regulation of RNAi-based sprays, </w:t>
      </w:r>
      <w:r w:rsidR="00C748F8">
        <w:rPr>
          <w:rFonts w:ascii="Times New Roman" w:eastAsia="SimSun" w:hAnsi="Times New Roman" w:cs="Calibri"/>
          <w:color w:val="000000" w:themeColor="text1"/>
          <w:lang w:eastAsia="hi-IN" w:bidi="hi-IN"/>
        </w:rPr>
        <w:t>some researchers</w:t>
      </w:r>
      <w:r>
        <w:rPr>
          <w:rFonts w:ascii="Times New Roman" w:eastAsia="SimSun" w:hAnsi="Times New Roman" w:cs="Calibri"/>
          <w:color w:val="000000" w:themeColor="text1"/>
          <w:lang w:eastAsia="hi-IN" w:bidi="hi-IN"/>
        </w:rPr>
        <w:t xml:space="preserve"> expect that </w:t>
      </w:r>
      <w:r w:rsidR="00252864">
        <w:rPr>
          <w:rFonts w:ascii="Times New Roman" w:eastAsia="SimSun" w:hAnsi="Times New Roman" w:cs="Calibri"/>
          <w:color w:val="000000" w:themeColor="text1"/>
          <w:lang w:eastAsia="hi-IN" w:bidi="hi-IN"/>
        </w:rPr>
        <w:t xml:space="preserve">they will unlikely be regulated in </w:t>
      </w:r>
      <w:r w:rsidR="00606D1E">
        <w:rPr>
          <w:rFonts w:ascii="Times New Roman" w:eastAsia="SimSun" w:hAnsi="Times New Roman" w:cs="Calibri"/>
          <w:color w:val="000000" w:themeColor="text1"/>
          <w:lang w:eastAsia="hi-IN" w:bidi="hi-IN"/>
        </w:rPr>
        <w:t xml:space="preserve">a </w:t>
      </w:r>
      <w:r w:rsidR="00252864">
        <w:rPr>
          <w:rFonts w:ascii="Times New Roman" w:eastAsia="SimSun" w:hAnsi="Times New Roman" w:cs="Calibri"/>
          <w:color w:val="000000" w:themeColor="text1"/>
          <w:lang w:eastAsia="hi-IN" w:bidi="hi-IN"/>
        </w:rPr>
        <w:t xml:space="preserve">similar manner to </w:t>
      </w:r>
      <w:r w:rsidR="00E57FE3">
        <w:rPr>
          <w:rFonts w:ascii="Times New Roman" w:eastAsia="SimSun" w:hAnsi="Times New Roman" w:cs="Calibri"/>
          <w:color w:val="000000" w:themeColor="text1"/>
          <w:lang w:eastAsia="hi-IN" w:bidi="hi-IN"/>
        </w:rPr>
        <w:t>LMO</w:t>
      </w:r>
      <w:r w:rsidR="001C7904">
        <w:rPr>
          <w:rFonts w:ascii="Times New Roman" w:eastAsia="SimSun" w:hAnsi="Times New Roman" w:cs="Calibri"/>
          <w:color w:val="000000" w:themeColor="text1"/>
          <w:lang w:eastAsia="hi-IN" w:bidi="hi-IN"/>
        </w:rPr>
        <w:t>s</w:t>
      </w:r>
      <w:r w:rsidR="00E57FE3">
        <w:rPr>
          <w:rFonts w:ascii="Times New Roman" w:eastAsia="SimSun" w:hAnsi="Times New Roman" w:cs="Calibri"/>
          <w:color w:val="000000" w:themeColor="text1"/>
          <w:lang w:eastAsia="hi-IN" w:bidi="hi-IN"/>
        </w:rPr>
        <w:t xml:space="preserve"> </w:t>
      </w:r>
      <w:r w:rsidR="00DF7A4E">
        <w:rPr>
          <w:rFonts w:ascii="Times New Roman" w:eastAsia="SimSun" w:hAnsi="Times New Roman" w:cs="Calibri"/>
          <w:color w:val="000000" w:themeColor="text1"/>
          <w:lang w:eastAsia="hi-IN" w:bidi="hi-IN"/>
        </w:rPr>
        <w:t xml:space="preserve">due to the non-transgenic nature of the product </w:t>
      </w:r>
      <w:r w:rsidR="00937C2C">
        <w:rPr>
          <w:rFonts w:ascii="Times New Roman" w:eastAsia="SimSun" w:hAnsi="Times New Roman" w:cs="Calibri"/>
          <w:color w:val="000000" w:themeColor="text1"/>
          <w:lang w:eastAsia="hi-IN" w:bidi="hi-IN"/>
        </w:rPr>
        <w:fldChar w:fldCharType="begin" w:fldLock="1"/>
      </w:r>
      <w:r w:rsidR="00CA6DED">
        <w:rPr>
          <w:rFonts w:ascii="Times New Roman" w:eastAsia="SimSun" w:hAnsi="Times New Roman" w:cs="Calibri"/>
          <w:color w:val="000000" w:themeColor="text1"/>
          <w:lang w:eastAsia="hi-IN" w:bidi="hi-IN"/>
        </w:rPr>
        <w:instrText>ADDIN CSL_CITATION {"citationItems":[{"id":"ITEM-1","itemData":{"DOI":"10.3389/fpls.2019.01319","ISSN":"1664-462X","author":[{"dropping-particle":"","family":"Cagliari","given":"Deise","non-dropping-particle":"","parse-names":false,"suffix":""},{"dropping-particle":"","family":"Dias","given":"Naymã P.","non-dropping-particle":"","parse-names":false,"suffix":""},{"dropping-particle":"","family":"Galdeano","given":"Diogo Manzano","non-dropping-particle":"","parse-names":false,"suffix":""},{"dropping-particle":"","family":"Santos","given":"Ericmar Ávila","non-dropping-particle":"dos","parse-names":false,"suffix":""},{"dropping-particle":"","family":"Smagghe","given":"Guy","non-dropping-particle":"","parse-names":false,"suffix":""},{"dropping-particle":"","family":"Zotti","given":"Moisés João","non-dropping-particle":"","parse-names":false,"suffix":""}],"container-title":"Frontiers in Plant Science","id":"ITEM-1","issued":{"date-parts":[["2019","10","25"]]},"title":"Management of Pest Insects and Plant Diseases by Non-Transformative RNAi","type":"article-journal","volume":"10"},"uris":["http://www.mendeley.com/documents/?uuid=1c0a20e1-c747-4d4f-bd60-97aae8ec7468"]}],"mendeley":{"formattedCitation":"(Cagliari et al., 2019b)","manualFormatting":"(Cagliari et al., 2019)","plainTextFormattedCitation":"(Cagliari et al., 2019b)","previouslyFormattedCitation":"(Cagliari et al., 2019b)"},"properties":{"noteIndex":0},"schema":"https://github.com/citation-style-language/schema/raw/master/csl-citation.json"}</w:instrText>
      </w:r>
      <w:r w:rsidR="00937C2C">
        <w:rPr>
          <w:rFonts w:ascii="Times New Roman" w:eastAsia="SimSun" w:hAnsi="Times New Roman" w:cs="Calibri"/>
          <w:color w:val="000000" w:themeColor="text1"/>
          <w:lang w:eastAsia="hi-IN" w:bidi="hi-IN"/>
        </w:rPr>
        <w:fldChar w:fldCharType="separate"/>
      </w:r>
      <w:r w:rsidR="00937C2C" w:rsidRPr="00937C2C">
        <w:rPr>
          <w:rFonts w:ascii="Times New Roman" w:eastAsia="SimSun" w:hAnsi="Times New Roman" w:cs="Calibri"/>
          <w:noProof/>
          <w:color w:val="000000" w:themeColor="text1"/>
          <w:lang w:eastAsia="hi-IN" w:bidi="hi-IN"/>
        </w:rPr>
        <w:t>(Cagliari et al., 2019)</w:t>
      </w:r>
      <w:r w:rsidR="00937C2C">
        <w:rPr>
          <w:rFonts w:ascii="Times New Roman" w:eastAsia="SimSun" w:hAnsi="Times New Roman" w:cs="Calibri"/>
          <w:color w:val="000000" w:themeColor="text1"/>
          <w:lang w:eastAsia="hi-IN" w:bidi="hi-IN"/>
        </w:rPr>
        <w:fldChar w:fldCharType="end"/>
      </w:r>
      <w:r w:rsidR="00E57FE3">
        <w:rPr>
          <w:rFonts w:ascii="Times New Roman" w:eastAsia="SimSun" w:hAnsi="Times New Roman" w:cs="Calibri"/>
          <w:color w:val="000000" w:themeColor="text1"/>
          <w:lang w:eastAsia="hi-IN" w:bidi="hi-IN"/>
        </w:rPr>
        <w:t xml:space="preserve">. </w:t>
      </w:r>
      <w:r w:rsidR="00E8309D">
        <w:rPr>
          <w:rFonts w:ascii="Times New Roman" w:eastAsia="SimSun" w:hAnsi="Times New Roman" w:cs="Calibri"/>
          <w:color w:val="000000" w:themeColor="text1"/>
          <w:lang w:eastAsia="hi-IN" w:bidi="hi-IN"/>
        </w:rPr>
        <w:t>This conclusion was also reached by</w:t>
      </w:r>
      <w:r w:rsidR="001F6E69">
        <w:rPr>
          <w:rFonts w:ascii="Times New Roman" w:eastAsia="SimSun" w:hAnsi="Times New Roman" w:cs="Calibri"/>
          <w:color w:val="000000" w:themeColor="text1"/>
          <w:lang w:eastAsia="hi-IN" w:bidi="hi-IN"/>
        </w:rPr>
        <w:t xml:space="preserve"> Darsan Singh et al. </w:t>
      </w:r>
      <w:r w:rsidR="009C2809">
        <w:rPr>
          <w:rFonts w:ascii="Times New Roman" w:eastAsia="SimSun" w:hAnsi="Times New Roman" w:cs="Calibri"/>
          <w:color w:val="000000" w:themeColor="text1"/>
          <w:lang w:eastAsia="hi-IN" w:bidi="hi-IN"/>
        </w:rPr>
        <w:fldChar w:fldCharType="begin" w:fldLock="1"/>
      </w:r>
      <w:r w:rsidR="009C2809">
        <w:rPr>
          <w:rFonts w:ascii="Times New Roman" w:eastAsia="SimSun" w:hAnsi="Times New Roman" w:cs="Calibri"/>
          <w:color w:val="000000" w:themeColor="text1"/>
          <w:lang w:eastAsia="hi-IN" w:bidi="hi-IN"/>
        </w:rPr>
        <w:instrText>ADDIN CSL_CITATION {"citationItems":[{"id":"ITEM-1","itemData":{"DOI":"10.1007/s00299-019-02446-6","ISSN":"0721-7714","author":[{"dropping-particle":"","family":"Darsan Singh","given":"Jasdeep Kaur","non-dropping-particle":"","parse-names":false,"suffix":""},{"dropping-particle":"","family":"Mat Jalaluddin","given":"Nurzatil Sharleeza","non-dropping-particle":"","parse-names":false,"suffix":""},{"dropping-particle":"","family":"Sanan-Mishra","given":"Neeti","non-dropping-particle":"","parse-names":false,"suffix":""},{"dropping-particle":"","family":"Harikrishna","given":"Jennifer Ann","non-dropping-particle":"","parse-names":false,"suffix":""}],"container-title":"Plant Cell Reports","id":"ITEM-1","issue":"12","issued":{"date-parts":[["2019","12","26"]]},"page":"1449-1463","title":"Genetic modification in Malaysia and India: current regulatory framework and the special case of non-transformative RNAi in agriculture","type":"article-journal","volume":"38"},"uris":["http://www.mendeley.com/documents/?uuid=d2e4c820-44e2-480a-959e-a20571949a18"]}],"mendeley":{"formattedCitation":"(Darsan Singh et al., 2019)","manualFormatting":"( 2019)","plainTextFormattedCitation":"(Darsan Singh et al., 2019)","previouslyFormattedCitation":"(Darsan Singh et al., 2019)"},"properties":{"noteIndex":0},"schema":"https://github.com/citation-style-language/schema/raw/master/csl-citation.json"}</w:instrText>
      </w:r>
      <w:r w:rsidR="009C2809">
        <w:rPr>
          <w:rFonts w:ascii="Times New Roman" w:eastAsia="SimSun" w:hAnsi="Times New Roman" w:cs="Calibri"/>
          <w:color w:val="000000" w:themeColor="text1"/>
          <w:lang w:eastAsia="hi-IN" w:bidi="hi-IN"/>
        </w:rPr>
        <w:fldChar w:fldCharType="separate"/>
      </w:r>
      <w:r w:rsidR="009C2809" w:rsidRPr="009C2809">
        <w:rPr>
          <w:rFonts w:ascii="Times New Roman" w:eastAsia="SimSun" w:hAnsi="Times New Roman" w:cs="Calibri"/>
          <w:noProof/>
          <w:color w:val="000000" w:themeColor="text1"/>
          <w:lang w:eastAsia="hi-IN" w:bidi="hi-IN"/>
        </w:rPr>
        <w:t>( 2019)</w:t>
      </w:r>
      <w:r w:rsidR="009C2809">
        <w:rPr>
          <w:rFonts w:ascii="Times New Roman" w:eastAsia="SimSun" w:hAnsi="Times New Roman" w:cs="Calibri"/>
          <w:color w:val="000000" w:themeColor="text1"/>
          <w:lang w:eastAsia="hi-IN" w:bidi="hi-IN"/>
        </w:rPr>
        <w:fldChar w:fldCharType="end"/>
      </w:r>
      <w:r w:rsidR="00E8309D">
        <w:rPr>
          <w:rFonts w:ascii="Times New Roman" w:eastAsia="SimSun" w:hAnsi="Times New Roman" w:cs="Calibri"/>
          <w:color w:val="000000" w:themeColor="text1"/>
          <w:lang w:eastAsia="hi-IN" w:bidi="hi-IN"/>
        </w:rPr>
        <w:t>, who</w:t>
      </w:r>
      <w:r w:rsidR="001F6E69">
        <w:rPr>
          <w:rFonts w:ascii="Times New Roman" w:eastAsia="SimSun" w:hAnsi="Times New Roman" w:cs="Calibri"/>
          <w:color w:val="000000" w:themeColor="text1"/>
          <w:lang w:eastAsia="hi-IN" w:bidi="hi-IN"/>
        </w:rPr>
        <w:t xml:space="preserve"> examined regulation of RNAi technology in India and Malaysia. </w:t>
      </w:r>
      <w:r w:rsidR="001F76E4">
        <w:rPr>
          <w:rFonts w:ascii="Times New Roman" w:eastAsia="SimSun" w:hAnsi="Times New Roman" w:cs="Calibri"/>
          <w:color w:val="000000" w:themeColor="text1"/>
          <w:lang w:eastAsia="hi-IN" w:bidi="hi-IN"/>
        </w:rPr>
        <w:t>T</w:t>
      </w:r>
      <w:r w:rsidR="001F6E69">
        <w:rPr>
          <w:rFonts w:ascii="Times New Roman" w:eastAsia="SimSun" w:hAnsi="Times New Roman" w:cs="Calibri"/>
          <w:color w:val="000000" w:themeColor="text1"/>
          <w:lang w:eastAsia="hi-IN" w:bidi="hi-IN"/>
        </w:rPr>
        <w:t>hey noted that discussions regarding exogenously applied dsRNA pesticides had yet to begin</w:t>
      </w:r>
      <w:r w:rsidR="003D48E8">
        <w:rPr>
          <w:rFonts w:ascii="Times New Roman" w:eastAsia="SimSun" w:hAnsi="Times New Roman" w:cs="Calibri"/>
          <w:color w:val="000000" w:themeColor="text1"/>
          <w:lang w:eastAsia="hi-IN" w:bidi="hi-IN"/>
        </w:rPr>
        <w:t>, but</w:t>
      </w:r>
      <w:r w:rsidR="001F6E69">
        <w:rPr>
          <w:rFonts w:ascii="Times New Roman" w:eastAsia="SimSun" w:hAnsi="Times New Roman" w:cs="Calibri"/>
          <w:color w:val="000000" w:themeColor="text1"/>
          <w:lang w:eastAsia="hi-IN" w:bidi="hi-IN"/>
        </w:rPr>
        <w:t xml:space="preserve"> believed that synthetic RNA would not fall under the definition of LMO in either country, as the molecules could not be considered living organisms. Rather, the authors suggested that dsRNA applications may be regulated under different legislation, such as the Indian Insecticides Act 1968 or </w:t>
      </w:r>
      <w:r w:rsidR="001F6E69" w:rsidRPr="00572BB5">
        <w:rPr>
          <w:rFonts w:ascii="Times New Roman" w:eastAsia="SimSun" w:hAnsi="Times New Roman" w:cs="Calibri"/>
          <w:color w:val="000000" w:themeColor="text1"/>
          <w:lang w:eastAsia="hi-IN" w:bidi="hi-IN"/>
        </w:rPr>
        <w:t>Malaysian Pesticides Act 1974</w:t>
      </w:r>
      <w:r w:rsidR="001F6E69">
        <w:rPr>
          <w:rFonts w:ascii="Times New Roman" w:eastAsia="SimSun" w:hAnsi="Times New Roman" w:cs="Calibri"/>
          <w:color w:val="000000" w:themeColor="text1"/>
          <w:lang w:eastAsia="hi-IN" w:bidi="hi-IN"/>
        </w:rPr>
        <w:t>.</w:t>
      </w:r>
      <w:r w:rsidR="001F76E4" w:rsidRPr="001F76E4">
        <w:rPr>
          <w:rFonts w:ascii="Times New Roman" w:eastAsia="SimSun" w:hAnsi="Times New Roman" w:cs="Calibri"/>
          <w:color w:val="000000" w:themeColor="text1"/>
          <w:lang w:eastAsia="hi-IN" w:bidi="hi-IN"/>
        </w:rPr>
        <w:t xml:space="preserve"> </w:t>
      </w:r>
      <w:r w:rsidR="001F76E4">
        <w:rPr>
          <w:rFonts w:ascii="Times New Roman" w:eastAsia="SimSun" w:hAnsi="Times New Roman" w:cs="Calibri"/>
          <w:color w:val="000000" w:themeColor="text1"/>
          <w:lang w:eastAsia="hi-IN" w:bidi="hi-IN"/>
        </w:rPr>
        <w:t xml:space="preserve">However, </w:t>
      </w:r>
      <w:r w:rsidR="003D48E8">
        <w:rPr>
          <w:rFonts w:ascii="Times New Roman" w:eastAsia="SimSun" w:hAnsi="Times New Roman" w:cs="Calibri"/>
          <w:color w:val="000000" w:themeColor="text1"/>
          <w:lang w:eastAsia="hi-IN" w:bidi="hi-IN"/>
        </w:rPr>
        <w:t>t</w:t>
      </w:r>
      <w:r w:rsidR="001F76E4">
        <w:rPr>
          <w:rFonts w:ascii="Times New Roman" w:eastAsia="SimSun" w:hAnsi="Times New Roman" w:cs="Calibri"/>
          <w:color w:val="000000" w:themeColor="text1"/>
          <w:lang w:eastAsia="hi-IN" w:bidi="hi-IN"/>
        </w:rPr>
        <w:t>hey</w:t>
      </w:r>
      <w:r w:rsidR="003D48E8">
        <w:rPr>
          <w:rFonts w:ascii="Times New Roman" w:eastAsia="SimSun" w:hAnsi="Times New Roman" w:cs="Calibri"/>
          <w:color w:val="000000" w:themeColor="text1"/>
          <w:lang w:eastAsia="hi-IN" w:bidi="hi-IN"/>
        </w:rPr>
        <w:t xml:space="preserve"> also</w:t>
      </w:r>
      <w:r w:rsidR="001F76E4" w:rsidDel="008F4BCD">
        <w:rPr>
          <w:rFonts w:ascii="Times New Roman" w:eastAsia="SimSun" w:hAnsi="Times New Roman" w:cs="Calibri"/>
          <w:color w:val="000000" w:themeColor="text1"/>
          <w:lang w:eastAsia="hi-IN" w:bidi="hi-IN"/>
        </w:rPr>
        <w:t xml:space="preserve"> </w:t>
      </w:r>
      <w:r w:rsidR="001F76E4">
        <w:rPr>
          <w:rFonts w:ascii="Times New Roman" w:eastAsia="SimSun" w:hAnsi="Times New Roman" w:cs="Calibri"/>
          <w:color w:val="000000" w:themeColor="text1"/>
          <w:lang w:eastAsia="hi-IN" w:bidi="hi-IN"/>
        </w:rPr>
        <w:t>found that that plants or other organisms containing RNAi constructs would be considered transgenic in line with LMO legislation in both countries</w:t>
      </w:r>
      <w:r w:rsidR="00E70A55">
        <w:rPr>
          <w:rFonts w:ascii="Times New Roman" w:eastAsia="SimSun" w:hAnsi="Times New Roman" w:cs="Calibri"/>
          <w:color w:val="000000" w:themeColor="text1"/>
          <w:lang w:eastAsia="hi-IN" w:bidi="hi-IN"/>
        </w:rPr>
        <w:t>.</w:t>
      </w:r>
    </w:p>
    <w:p w14:paraId="5805E311" w14:textId="2BF6484A" w:rsidR="00210594" w:rsidRPr="00CD63A3" w:rsidRDefault="00512FFF" w:rsidP="00512FFF">
      <w:pPr>
        <w:suppressAutoHyphens/>
        <w:autoSpaceDE w:val="0"/>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Thus far</w:t>
      </w:r>
      <w:r w:rsidR="00146DEA">
        <w:rPr>
          <w:rFonts w:ascii="Times New Roman" w:eastAsia="SimSun" w:hAnsi="Times New Roman" w:cs="Calibri"/>
          <w:color w:val="000000" w:themeColor="text1"/>
          <w:lang w:eastAsia="hi-IN" w:bidi="hi-IN"/>
        </w:rPr>
        <w:t>,</w:t>
      </w:r>
      <w:r>
        <w:rPr>
          <w:rFonts w:ascii="Times New Roman" w:eastAsia="SimSun" w:hAnsi="Times New Roman" w:cs="Calibri"/>
          <w:color w:val="000000" w:themeColor="text1"/>
          <w:lang w:eastAsia="hi-IN" w:bidi="hi-IN"/>
        </w:rPr>
        <w:t xml:space="preserve"> two countries have taken specific decisions on exogenously applied RNAi sprays. </w:t>
      </w:r>
      <w:r w:rsidR="00810B24" w:rsidRPr="00810B24">
        <w:rPr>
          <w:rFonts w:ascii="Times New Roman" w:eastAsia="SimSun" w:hAnsi="Times New Roman" w:cs="Calibri"/>
          <w:color w:val="000000" w:themeColor="text1"/>
          <w:lang w:eastAsia="hi-IN" w:bidi="hi-IN"/>
        </w:rPr>
        <w:t xml:space="preserve">The New Zealand Environmental Protection Authority issued a Decision that makes the use of externally applied dsRNA molecules on eukaryotic cells or organisms technically out of </w:t>
      </w:r>
      <w:r w:rsidR="5B33E4A9" w:rsidRPr="7B1D3DB3">
        <w:rPr>
          <w:rFonts w:ascii="Times New Roman" w:eastAsia="SimSun" w:hAnsi="Times New Roman" w:cs="Calibri"/>
          <w:color w:val="000000" w:themeColor="text1"/>
          <w:lang w:eastAsia="hi-IN" w:bidi="hi-IN"/>
        </w:rPr>
        <w:t xml:space="preserve">the </w:t>
      </w:r>
      <w:r w:rsidR="00810B24" w:rsidRPr="00810B24">
        <w:rPr>
          <w:rFonts w:ascii="Times New Roman" w:eastAsia="SimSun" w:hAnsi="Times New Roman" w:cs="Calibri"/>
          <w:color w:val="000000" w:themeColor="text1"/>
          <w:lang w:eastAsia="hi-IN" w:bidi="hi-IN"/>
        </w:rPr>
        <w:t xml:space="preserve">scope of legislation on new organisms, making risk assessments of such treatments in the open environment unnecessary </w:t>
      </w:r>
      <w:r w:rsidR="009C2809">
        <w:rPr>
          <w:rFonts w:ascii="Times New Roman" w:eastAsia="SimSun" w:hAnsi="Times New Roman" w:cs="Calibri"/>
          <w:color w:val="000000" w:themeColor="text1"/>
          <w:lang w:eastAsia="hi-IN" w:bidi="hi-IN"/>
        </w:rPr>
        <w:fldChar w:fldCharType="begin" w:fldLock="1"/>
      </w:r>
      <w:r w:rsidR="00937C2C">
        <w:rPr>
          <w:rFonts w:ascii="Times New Roman" w:eastAsia="SimSun" w:hAnsi="Times New Roman" w:cs="Calibri"/>
          <w:color w:val="000000" w:themeColor="text1"/>
          <w:lang w:eastAsia="hi-IN" w:bidi="hi-IN"/>
        </w:rPr>
        <w:instrText>ADDIN CSL_CITATION {"citationItems":[{"id":"ITEM-1","itemData":{"DOI":"10.1016/j.envint.2019.05.050","ISSN":"01604120","author":[{"dropping-particle":"","family":"Heinemann","given":"Jack A.","non-dropping-particle":"","parse-names":false,"suffix":""}],"container-title":"Environment International","id":"ITEM-1","issued":{"date-parts":[["2019","11"]]},"page":"104856","title":"Should dsRNA treatments applied in outdoor environments be regulated?","type":"article-journal","volume":"132"},"uris":["http://www.mendeley.com/documents/?uuid=d2a64cbd-8179-411f-b7eb-f25f2294af5f"]}],"mendeley":{"formattedCitation":"(J. A. Heinemann, 2019)","plainTextFormattedCitation":"(J. A. Heinemann, 2019)","previouslyFormattedCitation":"(J. A. Heinemann, 2019)"},"properties":{"noteIndex":0},"schema":"https://github.com/citation-style-language/schema/raw/master/csl-citation.json"}</w:instrText>
      </w:r>
      <w:r w:rsidR="009C2809">
        <w:rPr>
          <w:rFonts w:ascii="Times New Roman" w:eastAsia="SimSun" w:hAnsi="Times New Roman" w:cs="Calibri"/>
          <w:color w:val="000000" w:themeColor="text1"/>
          <w:lang w:eastAsia="hi-IN" w:bidi="hi-IN"/>
        </w:rPr>
        <w:fldChar w:fldCharType="separate"/>
      </w:r>
      <w:r w:rsidR="009C2809" w:rsidRPr="009C2809">
        <w:rPr>
          <w:rFonts w:ascii="Times New Roman" w:eastAsia="SimSun" w:hAnsi="Times New Roman" w:cs="Calibri"/>
          <w:noProof/>
          <w:color w:val="000000" w:themeColor="text1"/>
          <w:lang w:eastAsia="hi-IN" w:bidi="hi-IN"/>
        </w:rPr>
        <w:t>(J. A. Heinemann, 2019)</w:t>
      </w:r>
      <w:r w:rsidR="009C2809">
        <w:rPr>
          <w:rFonts w:ascii="Times New Roman" w:eastAsia="SimSun" w:hAnsi="Times New Roman" w:cs="Calibri"/>
          <w:color w:val="000000" w:themeColor="text1"/>
          <w:lang w:eastAsia="hi-IN" w:bidi="hi-IN"/>
        </w:rPr>
        <w:fldChar w:fldCharType="end"/>
      </w:r>
      <w:r w:rsidR="00455FDD">
        <w:rPr>
          <w:rFonts w:ascii="Times New Roman" w:eastAsia="SimSun" w:hAnsi="Times New Roman" w:cs="Calibri"/>
          <w:color w:val="000000" w:themeColor="text1"/>
          <w:lang w:eastAsia="hi-IN" w:bidi="hi-IN"/>
        </w:rPr>
        <w:t>.</w:t>
      </w:r>
      <w:r w:rsidR="00F41E54">
        <w:rPr>
          <w:rFonts w:ascii="Times New Roman" w:eastAsia="SimSun" w:hAnsi="Times New Roman" w:cs="Calibri"/>
          <w:color w:val="000000" w:themeColor="text1"/>
          <w:lang w:eastAsia="hi-IN" w:bidi="hi-IN"/>
        </w:rPr>
        <w:t xml:space="preserve"> </w:t>
      </w:r>
      <w:r w:rsidR="005919F2">
        <w:rPr>
          <w:rFonts w:ascii="Times New Roman" w:eastAsia="SimSun" w:hAnsi="Times New Roman" w:cs="Calibri"/>
          <w:color w:val="000000" w:themeColor="text1"/>
          <w:lang w:eastAsia="hi-IN" w:bidi="hi-IN"/>
        </w:rPr>
        <w:t>In Australia, topically</w:t>
      </w:r>
      <w:r w:rsidR="00455FDD">
        <w:rPr>
          <w:rFonts w:ascii="Times New Roman" w:eastAsia="SimSun" w:hAnsi="Times New Roman" w:cs="Calibri"/>
          <w:color w:val="000000" w:themeColor="text1"/>
          <w:lang w:eastAsia="hi-IN" w:bidi="hi-IN"/>
        </w:rPr>
        <w:t xml:space="preserve"> </w:t>
      </w:r>
      <w:r w:rsidR="005919F2">
        <w:rPr>
          <w:rFonts w:ascii="Times New Roman" w:eastAsia="SimSun" w:hAnsi="Times New Roman" w:cs="Calibri"/>
          <w:color w:val="000000" w:themeColor="text1"/>
          <w:lang w:eastAsia="hi-IN" w:bidi="hi-IN"/>
        </w:rPr>
        <w:t>applied RNAi-based products</w:t>
      </w:r>
      <w:r w:rsidR="005B281E">
        <w:rPr>
          <w:rFonts w:ascii="Times New Roman" w:eastAsia="SimSun" w:hAnsi="Times New Roman" w:cs="Calibri"/>
          <w:color w:val="000000" w:themeColor="text1"/>
          <w:lang w:eastAsia="hi-IN" w:bidi="hi-IN"/>
        </w:rPr>
        <w:t xml:space="preserve"> are not regulated as GMOs for the purposes of the </w:t>
      </w:r>
      <w:r w:rsidR="005B281E" w:rsidRPr="3E8CBD30">
        <w:rPr>
          <w:rFonts w:ascii="Times New Roman" w:eastAsia="SimSun" w:hAnsi="Times New Roman" w:cs="Calibri"/>
          <w:i/>
          <w:iCs/>
          <w:color w:val="000000" w:themeColor="text1"/>
          <w:lang w:eastAsia="hi-IN" w:bidi="hi-IN"/>
        </w:rPr>
        <w:t>Gene Technology Act 2000</w:t>
      </w:r>
      <w:r w:rsidR="005B281E">
        <w:rPr>
          <w:rFonts w:ascii="Times New Roman" w:eastAsia="SimSun" w:hAnsi="Times New Roman" w:cs="Calibri"/>
          <w:color w:val="000000" w:themeColor="text1"/>
          <w:lang w:eastAsia="hi-IN" w:bidi="hi-IN"/>
        </w:rPr>
        <w:t>. A new provision</w:t>
      </w:r>
      <w:r w:rsidR="005B281E" w:rsidRPr="3E8CBD30">
        <w:rPr>
          <w:rFonts w:ascii="Times New Roman" w:eastAsia="SimSun" w:hAnsi="Times New Roman" w:cs="Calibri"/>
          <w:color w:val="000000" w:themeColor="text1"/>
          <w:lang w:eastAsia="hi-IN" w:bidi="hi-IN"/>
        </w:rPr>
        <w:t xml:space="preserve"> </w:t>
      </w:r>
      <w:r w:rsidR="1D96E7B2" w:rsidRPr="3E8CBD30">
        <w:rPr>
          <w:rFonts w:ascii="Times New Roman" w:eastAsia="SimSun" w:hAnsi="Times New Roman" w:cs="Calibri"/>
          <w:color w:val="000000" w:themeColor="text1"/>
          <w:lang w:eastAsia="hi-IN" w:bidi="hi-IN"/>
        </w:rPr>
        <w:t>issued</w:t>
      </w:r>
      <w:r w:rsidR="005B281E">
        <w:rPr>
          <w:rFonts w:ascii="Times New Roman" w:eastAsia="SimSun" w:hAnsi="Times New Roman" w:cs="Calibri"/>
          <w:color w:val="000000" w:themeColor="text1"/>
          <w:lang w:eastAsia="hi-IN" w:bidi="hi-IN"/>
        </w:rPr>
        <w:t xml:space="preserve"> on 8 October 2019</w:t>
      </w:r>
      <w:r w:rsidR="00321804">
        <w:rPr>
          <w:rFonts w:ascii="Times New Roman" w:eastAsia="SimSun" w:hAnsi="Times New Roman" w:cs="Calibri"/>
          <w:color w:val="000000" w:themeColor="text1"/>
          <w:lang w:eastAsia="hi-IN" w:bidi="hi-IN"/>
        </w:rPr>
        <w:t xml:space="preserve"> (within the </w:t>
      </w:r>
      <w:r w:rsidR="00321804" w:rsidRPr="3E8CBD30">
        <w:rPr>
          <w:rFonts w:ascii="Times New Roman" w:eastAsia="SimSun" w:hAnsi="Times New Roman" w:cs="Calibri"/>
          <w:i/>
          <w:iCs/>
          <w:color w:val="000000" w:themeColor="text1"/>
          <w:lang w:eastAsia="hi-IN" w:bidi="hi-IN"/>
        </w:rPr>
        <w:t>Technical Review of the Gene Technology Regulations 2001</w:t>
      </w:r>
      <w:r w:rsidR="00321804">
        <w:rPr>
          <w:rFonts w:ascii="Times New Roman" w:eastAsia="SimSun" w:hAnsi="Times New Roman" w:cs="Calibri"/>
          <w:color w:val="000000" w:themeColor="text1"/>
          <w:lang w:eastAsia="hi-IN" w:bidi="hi-IN"/>
        </w:rPr>
        <w:t xml:space="preserve">) </w:t>
      </w:r>
      <w:r w:rsidR="005B281E">
        <w:rPr>
          <w:rFonts w:ascii="Times New Roman" w:eastAsia="SimSun" w:hAnsi="Times New Roman" w:cs="Calibri"/>
          <w:color w:val="000000" w:themeColor="text1"/>
          <w:lang w:eastAsia="hi-IN" w:bidi="hi-IN"/>
        </w:rPr>
        <w:t xml:space="preserve">clarified that </w:t>
      </w:r>
      <w:r w:rsidR="00E14659">
        <w:rPr>
          <w:rFonts w:ascii="Times New Roman" w:eastAsia="SimSun" w:hAnsi="Times New Roman" w:cs="Calibri"/>
          <w:color w:val="000000" w:themeColor="text1"/>
          <w:lang w:eastAsia="hi-IN" w:bidi="hi-IN"/>
        </w:rPr>
        <w:t>t</w:t>
      </w:r>
      <w:r w:rsidR="00E14659" w:rsidRPr="00E14659">
        <w:rPr>
          <w:rFonts w:ascii="Times New Roman" w:eastAsia="SimSun" w:hAnsi="Times New Roman" w:cs="Calibri"/>
          <w:color w:val="000000" w:themeColor="text1"/>
          <w:lang w:eastAsia="hi-IN" w:bidi="hi-IN"/>
        </w:rPr>
        <w:t>echniques involving the application of RNA to an organism to temporarily induce RNAi do not constitute gene technology, provided that</w:t>
      </w:r>
      <w:r w:rsidR="002A74E8">
        <w:rPr>
          <w:rFonts w:ascii="Times New Roman" w:eastAsia="SimSun" w:hAnsi="Times New Roman" w:cs="Calibri"/>
          <w:color w:val="000000" w:themeColor="text1"/>
          <w:lang w:eastAsia="hi-IN" w:bidi="hi-IN"/>
        </w:rPr>
        <w:t>:</w:t>
      </w:r>
      <w:r w:rsidR="00E14659" w:rsidRPr="00E14659">
        <w:rPr>
          <w:rFonts w:ascii="Times New Roman" w:eastAsia="SimSun" w:hAnsi="Times New Roman" w:cs="Calibri"/>
          <w:color w:val="000000" w:themeColor="text1"/>
          <w:lang w:eastAsia="hi-IN" w:bidi="hi-IN"/>
        </w:rPr>
        <w:t xml:space="preserve"> the RNA cannot be translated into a polypeptide</w:t>
      </w:r>
      <w:r w:rsidR="002A74E8">
        <w:rPr>
          <w:rFonts w:ascii="Times New Roman" w:eastAsia="SimSun" w:hAnsi="Times New Roman" w:cs="Calibri"/>
          <w:color w:val="000000" w:themeColor="text1"/>
          <w:lang w:eastAsia="hi-IN" w:bidi="hi-IN"/>
        </w:rPr>
        <w:t>;</w:t>
      </w:r>
      <w:r w:rsidR="00E14659" w:rsidRPr="00E14659">
        <w:rPr>
          <w:rFonts w:ascii="Times New Roman" w:eastAsia="SimSun" w:hAnsi="Times New Roman" w:cs="Calibri"/>
          <w:color w:val="000000" w:themeColor="text1"/>
          <w:lang w:eastAsia="hi-IN" w:bidi="hi-IN"/>
        </w:rPr>
        <w:t xml:space="preserve"> the organism's genomic sequence cannot be altered as a result, and</w:t>
      </w:r>
      <w:r w:rsidR="002A74E8">
        <w:rPr>
          <w:rFonts w:ascii="Times New Roman" w:eastAsia="SimSun" w:hAnsi="Times New Roman" w:cs="Calibri"/>
          <w:color w:val="000000" w:themeColor="text1"/>
          <w:lang w:eastAsia="hi-IN" w:bidi="hi-IN"/>
        </w:rPr>
        <w:t>;</w:t>
      </w:r>
      <w:r w:rsidR="00E14659" w:rsidRPr="00E14659">
        <w:rPr>
          <w:rFonts w:ascii="Times New Roman" w:eastAsia="SimSun" w:hAnsi="Times New Roman" w:cs="Calibri"/>
          <w:color w:val="000000" w:themeColor="text1"/>
          <w:lang w:eastAsia="hi-IN" w:bidi="hi-IN"/>
        </w:rPr>
        <w:t xml:space="preserve"> an infectious agent cannot be produced</w:t>
      </w:r>
      <w:r w:rsidR="00E14659">
        <w:rPr>
          <w:rFonts w:ascii="Times New Roman" w:eastAsia="SimSun" w:hAnsi="Times New Roman" w:cs="Calibri"/>
          <w:color w:val="000000" w:themeColor="text1"/>
          <w:lang w:eastAsia="hi-IN" w:bidi="hi-IN"/>
        </w:rPr>
        <w:t xml:space="preserve">. Thus, these products will </w:t>
      </w:r>
      <w:r w:rsidR="00F41E54">
        <w:rPr>
          <w:rFonts w:ascii="Times New Roman" w:eastAsia="SimSun" w:hAnsi="Times New Roman" w:cs="Calibri"/>
          <w:color w:val="000000" w:themeColor="text1"/>
          <w:lang w:eastAsia="hi-IN" w:bidi="hi-IN"/>
        </w:rPr>
        <w:t xml:space="preserve">be </w:t>
      </w:r>
      <w:r w:rsidR="00E14659">
        <w:rPr>
          <w:rFonts w:ascii="Times New Roman" w:eastAsia="SimSun" w:hAnsi="Times New Roman" w:cs="Calibri"/>
          <w:color w:val="000000" w:themeColor="text1"/>
          <w:lang w:eastAsia="hi-IN" w:bidi="hi-IN"/>
        </w:rPr>
        <w:t xml:space="preserve">regulated as a chemical under </w:t>
      </w:r>
      <w:r w:rsidR="00D81BE5">
        <w:rPr>
          <w:rFonts w:ascii="Times New Roman" w:eastAsia="SimSun" w:hAnsi="Times New Roman" w:cs="Calibri"/>
          <w:color w:val="000000" w:themeColor="text1"/>
          <w:lang w:eastAsia="hi-IN" w:bidi="hi-IN"/>
        </w:rPr>
        <w:t xml:space="preserve">the </w:t>
      </w:r>
      <w:r w:rsidR="00D81BE5" w:rsidRPr="3E8CBD30">
        <w:rPr>
          <w:rFonts w:ascii="Times New Roman" w:eastAsia="SimSun" w:hAnsi="Times New Roman" w:cs="Calibri"/>
          <w:i/>
          <w:iCs/>
          <w:color w:val="000000" w:themeColor="text1"/>
          <w:lang w:eastAsia="hi-IN" w:bidi="hi-IN"/>
        </w:rPr>
        <w:t>Agricultural and Veterinary Chemicals Code Act 1994</w:t>
      </w:r>
      <w:r w:rsidR="00D81BE5">
        <w:rPr>
          <w:rFonts w:ascii="Times New Roman" w:eastAsia="SimSun" w:hAnsi="Times New Roman" w:cs="Calibri"/>
          <w:color w:val="000000" w:themeColor="text1"/>
          <w:lang w:eastAsia="hi-IN" w:bidi="hi-IN"/>
        </w:rPr>
        <w:t xml:space="preserve">. </w:t>
      </w:r>
      <w:r w:rsidR="00CD1BAB" w:rsidRPr="00CD1BAB">
        <w:rPr>
          <w:rFonts w:ascii="Times New Roman" w:eastAsia="SimSun" w:hAnsi="Times New Roman" w:cs="Calibri"/>
          <w:color w:val="000000" w:themeColor="text1"/>
          <w:lang w:eastAsia="hi-IN" w:bidi="hi-IN"/>
        </w:rPr>
        <w:t>Data packages in support of the registration of novel agricultural chemical products address, at a minimum, chemistry and manufacture, human health, worker health and safety, environmental fate and toxicity, efficacy and crop safety, and overseas trade</w:t>
      </w:r>
      <w:r w:rsidR="00CD1BAB">
        <w:rPr>
          <w:rFonts w:ascii="Times New Roman" w:eastAsia="SimSun" w:hAnsi="Times New Roman" w:cs="Calibri"/>
          <w:color w:val="000000" w:themeColor="text1"/>
          <w:lang w:eastAsia="hi-IN" w:bidi="hi-IN"/>
        </w:rPr>
        <w:t xml:space="preserve"> </w:t>
      </w:r>
      <w:r w:rsidR="00937C2C">
        <w:rPr>
          <w:rFonts w:ascii="Times New Roman" w:eastAsia="SimSun" w:hAnsi="Times New Roman" w:cs="Calibri"/>
          <w:color w:val="000000" w:themeColor="text1"/>
          <w:lang w:eastAsia="hi-IN" w:bidi="hi-IN"/>
        </w:rPr>
        <w:fldChar w:fldCharType="begin" w:fldLock="1"/>
      </w:r>
      <w:r w:rsidR="00937C2C">
        <w:rPr>
          <w:rFonts w:ascii="Times New Roman" w:eastAsia="SimSun" w:hAnsi="Times New Roman" w:cs="Calibri"/>
          <w:color w:val="000000" w:themeColor="text1"/>
          <w:lang w:eastAsia="hi-IN" w:bidi="hi-IN"/>
        </w:rPr>
        <w:instrText>ADDIN CSL_CITATION {"citationItems":[{"id":"ITEM-1","itemData":{"DOI":"10.3389/fpls.2020.00051","ISSN":"1664-462X","abstract":"Sustainable agriculture relies on practices and technologies that combine effectiveness with a minimal environmental footprint. RNA interference (RNAi), a eukaryotic process in which transcript expression is reduced in a sequence-specific manner, can be co-opted for the control of plant pests and pathogens in a topical application system. Double stranded RNA, the key trigger molecule of RNAi, has been shown to provide protection without the need for integration of dsRNA-expressing constructs as transgenes. Consequently, development of RNA-based biopesticides is gaining momentum as a narrow-spectrum alternative to chemical-based control measures, with pests and pathogens targeted with accuracy and specificity. Limitations for a commercially viable product to overcome include stable delivery of the topically applied dsRNA and extension of the time period of protection. In addition to the research focus on delivery of dsRNA, development of regulatory frameworks, risk identification and establishing avoidance and mitigation strategies is key to widespread deployment of topical RNAi technologies. Once in place, these measures will provide the crop protection industry with the certainty necessary to expend resources on the development of innovative dsRNA based products. Readily evident risks to human health appear minimal, with multiple barriers to uptake and a long history of consumption of dsRNA from plant material. Unintended impacts to the environment are expected to be most apparent in species closely related to the target. Holistic design practices, which incorporate bioinformatics-based dsRNA selection along with experimental testing, represent important techniques for elimination of adverse impacts.","author":[{"dropping-particle":"","family":"Fletcher","given":"Stephen J","non-dropping-particle":"","parse-names":false,"suffix":""},{"dropping-particle":"","family":"Reeves","given":"Philip T","non-dropping-particle":"","parse-names":false,"suffix":""},{"dropping-particle":"","family":"Hoang","given":"Bao Tram","non-dropping-particle":"","parse-names":false,"suffix":""},{"dropping-particle":"","family":"Mitter","given":"Neena","non-dropping-particle":"","parse-names":false,"suffix":""}],"container-title":"Frontiers in Plant Science","id":"ITEM-1","issued":{"date-parts":[["2020","2"]]},"page":"51","publisher":"Frontiers Media SA","title":"A Perspective on RNAi-Based Biopesticides","type":"article-journal","volume":"11"},"uris":["http://www.mendeley.com/documents/?uuid=fffc4f16-a7cf-4f3a-9689-27b16467c353"]}],"mendeley":{"formattedCitation":"(Fletcher et al., 2020)","plainTextFormattedCitation":"(Fletcher et al., 2020)","previouslyFormattedCitation":"(Fletcher et al., 2020)"},"properties":{"noteIndex":0},"schema":"https://github.com/citation-style-language/schema/raw/master/csl-citation.json"}</w:instrText>
      </w:r>
      <w:r w:rsidR="00937C2C">
        <w:rPr>
          <w:rFonts w:ascii="Times New Roman" w:eastAsia="SimSun" w:hAnsi="Times New Roman" w:cs="Calibri"/>
          <w:color w:val="000000" w:themeColor="text1"/>
          <w:lang w:eastAsia="hi-IN" w:bidi="hi-IN"/>
        </w:rPr>
        <w:fldChar w:fldCharType="separate"/>
      </w:r>
      <w:r w:rsidR="00937C2C" w:rsidRPr="00937C2C">
        <w:rPr>
          <w:rFonts w:ascii="Times New Roman" w:eastAsia="SimSun" w:hAnsi="Times New Roman" w:cs="Calibri"/>
          <w:noProof/>
          <w:color w:val="000000" w:themeColor="text1"/>
          <w:lang w:eastAsia="hi-IN" w:bidi="hi-IN"/>
        </w:rPr>
        <w:t>(Fletcher et al., 2020)</w:t>
      </w:r>
      <w:r w:rsidR="00937C2C">
        <w:rPr>
          <w:rFonts w:ascii="Times New Roman" w:eastAsia="SimSun" w:hAnsi="Times New Roman" w:cs="Calibri"/>
          <w:color w:val="000000" w:themeColor="text1"/>
          <w:lang w:eastAsia="hi-IN" w:bidi="hi-IN"/>
        </w:rPr>
        <w:fldChar w:fldCharType="end"/>
      </w:r>
      <w:r w:rsidR="00CD1BAB">
        <w:rPr>
          <w:rFonts w:ascii="Times New Roman" w:eastAsia="SimSun" w:hAnsi="Times New Roman" w:cs="Calibri"/>
          <w:color w:val="000000" w:themeColor="text1"/>
          <w:lang w:eastAsia="hi-IN" w:bidi="hi-IN"/>
        </w:rPr>
        <w:t>.</w:t>
      </w:r>
    </w:p>
    <w:p w14:paraId="05327976" w14:textId="48B93663" w:rsidR="008C433F" w:rsidRPr="008559F7" w:rsidRDefault="00FC3E7A" w:rsidP="008C433F">
      <w:pPr>
        <w:pStyle w:val="Heading3"/>
        <w:rPr>
          <w:rFonts w:eastAsia="SimSun"/>
          <w:lang w:val="en-GB" w:bidi="hi-IN"/>
        </w:rPr>
      </w:pPr>
      <w:bookmarkStart w:id="114" w:name="_Toc65762481"/>
      <w:bookmarkStart w:id="115" w:name="_Toc70112700"/>
      <w:bookmarkStart w:id="116" w:name="_Toc70685722"/>
      <w:r>
        <w:rPr>
          <w:rFonts w:eastAsia="SimSun"/>
          <w:lang w:val="en-US" w:bidi="hi-IN"/>
        </w:rPr>
        <w:t>7</w:t>
      </w:r>
      <w:r w:rsidR="008C433F">
        <w:rPr>
          <w:rFonts w:eastAsia="SimSun"/>
          <w:lang w:bidi="hi-IN"/>
        </w:rPr>
        <w:t xml:space="preserve">.2. </w:t>
      </w:r>
      <w:r w:rsidR="00DF1CC0">
        <w:rPr>
          <w:rFonts w:eastAsia="SimSun"/>
          <w:lang w:val="en-US" w:bidi="hi-IN"/>
        </w:rPr>
        <w:t>The scope</w:t>
      </w:r>
      <w:r w:rsidR="008C433F">
        <w:rPr>
          <w:rFonts w:eastAsia="SimSun"/>
          <w:lang w:val="en-US" w:bidi="hi-IN"/>
        </w:rPr>
        <w:t xml:space="preserve"> of </w:t>
      </w:r>
      <w:r w:rsidR="008C433F">
        <w:rPr>
          <w:rFonts w:eastAsia="SimSun"/>
          <w:lang w:bidi="hi-IN"/>
        </w:rPr>
        <w:t>national regulatory frameworks</w:t>
      </w:r>
      <w:bookmarkEnd w:id="114"/>
      <w:r w:rsidR="00DF1CC0">
        <w:rPr>
          <w:rFonts w:eastAsia="SimSun"/>
          <w:lang w:val="en-US" w:bidi="hi-IN"/>
        </w:rPr>
        <w:t xml:space="preserve"> </w:t>
      </w:r>
      <w:r w:rsidR="0089049D">
        <w:rPr>
          <w:rFonts w:eastAsia="SimSun"/>
          <w:lang w:val="en-US" w:bidi="hi-IN"/>
        </w:rPr>
        <w:t>and their</w:t>
      </w:r>
      <w:r w:rsidR="0089049D" w:rsidRPr="0089049D">
        <w:rPr>
          <w:rFonts w:eastAsia="SimSun"/>
          <w:lang w:bidi="hi-IN"/>
        </w:rPr>
        <w:t xml:space="preserve"> </w:t>
      </w:r>
      <w:r w:rsidR="0089049D">
        <w:rPr>
          <w:rFonts w:eastAsia="SimSun"/>
          <w:lang w:val="en-US" w:bidi="hi-IN"/>
        </w:rPr>
        <w:t>w</w:t>
      </w:r>
      <w:r w:rsidR="0089049D">
        <w:rPr>
          <w:rFonts w:eastAsia="SimSun"/>
          <w:lang w:bidi="hi-IN"/>
        </w:rPr>
        <w:t>ider</w:t>
      </w:r>
      <w:r w:rsidR="00C31284">
        <w:rPr>
          <w:rFonts w:eastAsia="SimSun"/>
          <w:lang w:val="en-US" w:bidi="hi-IN"/>
        </w:rPr>
        <w:t xml:space="preserve"> </w:t>
      </w:r>
      <w:r w:rsidR="0089049D">
        <w:rPr>
          <w:rFonts w:eastAsia="SimSun"/>
          <w:lang w:bidi="hi-IN"/>
        </w:rPr>
        <w:t>implications</w:t>
      </w:r>
      <w:r w:rsidR="00FA12D8">
        <w:rPr>
          <w:rFonts w:eastAsia="SimSun"/>
          <w:lang w:val="en-GB" w:bidi="hi-IN"/>
        </w:rPr>
        <w:t>.</w:t>
      </w:r>
      <w:bookmarkEnd w:id="115"/>
      <w:bookmarkEnd w:id="116"/>
    </w:p>
    <w:p w14:paraId="32412BCB" w14:textId="657AB5F5" w:rsidR="00B70EFC" w:rsidRDefault="008C433F" w:rsidP="00CA1FCC">
      <w:pPr>
        <w:spacing w:after="120" w:line="240" w:lineRule="auto"/>
        <w:jc w:val="both"/>
        <w:rPr>
          <w:rFonts w:ascii="Times New Roman" w:eastAsia="Times New Roman" w:hAnsi="Times New Roman"/>
        </w:rPr>
      </w:pPr>
      <w:r w:rsidRPr="00175CBA">
        <w:rPr>
          <w:rFonts w:ascii="Times New Roman" w:eastAsia="Times New Roman" w:hAnsi="Times New Roman"/>
        </w:rPr>
        <w:t xml:space="preserve">With the exception of a few regional approaches, the majority of regulatory decision-making regarding the authorisation of synthetic biology applications is expected to be made at the national level. </w:t>
      </w:r>
      <w:r w:rsidR="008F4BCD" w:rsidRPr="008F4BCD">
        <w:rPr>
          <w:rFonts w:ascii="Times New Roman" w:eastAsia="Times New Roman" w:hAnsi="Times New Roman"/>
        </w:rPr>
        <w:t xml:space="preserve">It is important to remember however that other regulatory arena as well as other legal jurisdictions may have overlapping mandates (see Section 9.2.).  For example, international law has an important bearing on the authorisation and eventual trade in biotechnological products, the most familiar example being the trade in genetically modified organisms or products derived from them. Some regulations may be relevant to proposed applications of synthetic biology, such as the global moratorium on ocean fertilisation (for ameliorating climate change by promoting oceanic carbon dioxide uptake) under the Convention on Biological Diversity and the provisions of the Biological Weapons Convention (BWC). The Environmental Modification Convention (ENMOD), an international treaty prohibiting the military or other hostile use of environmental modification techniques such as alterations to weather patterns or ocean circulation, may also apply to some possible uses of synthetic biology. The reader is directed to later sections for further discussions in this area.    </w:t>
      </w:r>
    </w:p>
    <w:p w14:paraId="18AB055D" w14:textId="0F230F91" w:rsidR="008C433F" w:rsidRPr="008F3CC7" w:rsidDel="00DF3C31" w:rsidRDefault="008C433F" w:rsidP="00CA1FCC">
      <w:pPr>
        <w:suppressAutoHyphens/>
        <w:autoSpaceDE w:val="0"/>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An heterologous regulatory arena coupled with u</w:t>
      </w:r>
      <w:r w:rsidRPr="002C5EF6">
        <w:rPr>
          <w:rFonts w:ascii="Times New Roman" w:eastAsia="SimSun" w:hAnsi="Times New Roman" w:cs="Calibri"/>
          <w:color w:val="000000" w:themeColor="text1"/>
          <w:lang w:eastAsia="hi-IN" w:bidi="hi-IN"/>
        </w:rPr>
        <w:t>ncertain</w:t>
      </w:r>
      <w:r>
        <w:rPr>
          <w:rFonts w:ascii="Times New Roman" w:eastAsia="SimSun" w:hAnsi="Times New Roman" w:cs="Calibri"/>
          <w:color w:val="000000" w:themeColor="text1"/>
          <w:lang w:eastAsia="hi-IN" w:bidi="hi-IN"/>
        </w:rPr>
        <w:t>ty in the</w:t>
      </w:r>
      <w:r w:rsidRPr="002C5EF6">
        <w:rPr>
          <w:rFonts w:ascii="Times New Roman" w:eastAsia="SimSun" w:hAnsi="Times New Roman" w:cs="Calibri"/>
          <w:color w:val="000000" w:themeColor="text1"/>
          <w:lang w:eastAsia="hi-IN" w:bidi="hi-IN"/>
        </w:rPr>
        <w:t xml:space="preserve"> regulatory environment </w:t>
      </w:r>
      <w:r>
        <w:rPr>
          <w:rFonts w:ascii="Times New Roman" w:eastAsia="SimSun" w:hAnsi="Times New Roman" w:cs="Calibri"/>
          <w:color w:val="000000" w:themeColor="text1"/>
          <w:lang w:eastAsia="hi-IN" w:bidi="hi-IN"/>
        </w:rPr>
        <w:t>could</w:t>
      </w:r>
      <w:r w:rsidR="00AB6113">
        <w:rPr>
          <w:rFonts w:ascii="Times New Roman" w:eastAsia="SimSun" w:hAnsi="Times New Roman" w:cs="Calibri"/>
          <w:color w:val="000000" w:themeColor="text1"/>
          <w:lang w:eastAsia="hi-IN" w:bidi="hi-IN"/>
        </w:rPr>
        <w:t xml:space="preserve"> </w:t>
      </w:r>
      <w:r w:rsidRPr="002C5EF6">
        <w:rPr>
          <w:rFonts w:ascii="Times New Roman" w:eastAsia="SimSun" w:hAnsi="Times New Roman" w:cs="Calibri"/>
          <w:color w:val="000000" w:themeColor="text1"/>
          <w:lang w:eastAsia="hi-IN" w:bidi="hi-IN"/>
        </w:rPr>
        <w:t xml:space="preserve">discourage private and public sector investment into </w:t>
      </w:r>
      <w:r>
        <w:rPr>
          <w:rFonts w:ascii="Times New Roman" w:eastAsia="SimSun" w:hAnsi="Times New Roman" w:cs="Calibri"/>
          <w:color w:val="000000" w:themeColor="text1"/>
          <w:lang w:eastAsia="hi-IN" w:bidi="hi-IN"/>
        </w:rPr>
        <w:t xml:space="preserve">the </w:t>
      </w:r>
      <w:r w:rsidRPr="002C5EF6">
        <w:rPr>
          <w:rFonts w:ascii="Times New Roman" w:eastAsia="SimSun" w:hAnsi="Times New Roman" w:cs="Calibri"/>
          <w:color w:val="000000" w:themeColor="text1"/>
          <w:lang w:eastAsia="hi-IN" w:bidi="hi-IN"/>
        </w:rPr>
        <w:t xml:space="preserve">development of </w:t>
      </w:r>
      <w:r>
        <w:rPr>
          <w:rFonts w:ascii="Times New Roman" w:eastAsia="SimSun" w:hAnsi="Times New Roman" w:cs="Calibri"/>
          <w:color w:val="000000" w:themeColor="text1"/>
          <w:lang w:eastAsia="hi-IN" w:bidi="hi-IN"/>
        </w:rPr>
        <w:t xml:space="preserve">applications for the public benefit </w:t>
      </w:r>
      <w:r>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{"citationItems":[{"id":"ITEM-1","itemData":{"DOI":"10.3389/fpls.2020.00130","ISSN":"1664-462X","abstract":"While modern biotechnology and, specifically, genetic modification are subject of debate in many parts of the world, an increasing number of countries in Sub-Sahara Africa are making important strides towards authorizing general releases of genetically modified (GM) crop varieties for use by farmers and agribusinesses. Obviously, the documented economic and environmental benefits from planting GM crops—based on a track record of over two decades—are a major driver in the decision-making process. Another key factor is the increasing alignment of biosafety regulatory policies with progressive agricultural and rural development policies in Africa, resulting in—compared to past experiences—greater emphasis on anticipated benefits rather than risks in biosafety regulatory reviews. In several cases, this has led to expedited reviews of GM crop release applications, either for confined field trials or general environmental release, taking experiences and data from other countries into account. Such regulatory approaches hold promise as the pipeline of relevant, pro-poor GM crop applications is expanding as are the opportunities provided by novel plant breeding techniques. This review article analyses the shifting policy context in select African economies, resulting in adoption of new agricultural technology, and novel regulatory approaches used in biosafety decision-making. Case studies will be presented for Ghana, Kenya, Malawi, Nigeria and Uganda to analyze challenges, distill lessons learned and to present general policy recommendations for emerging economies.","author":[{"dropping-particle":"","family":"Komen","given":"John","non-dropping-particle":"","parse-names":false,"suffix":""},{"dropping-particle":"","family":"Tripathi","given":"Leena","non-dropping-particle":"","parse-names":false,"suffix":""},{"dropping-particle":"","family":"Mkoko","given":"Boniface","non-dropping-particle":"","parse-names":false,"suffix":""},{"dropping-particle":"","family":"Ofosu","given":"Daniel Osei","non-dropping-particle":"","parse-names":false,"suffix":""},{"dropping-particle":"","family":"Oloka","given":"Herbert","non-dropping-particle":"","parse-names":false,"suffix":""},{"dropping-particle":"","family":"Wangari","given":"Doris","non-dropping-particle":"","parse-names":false,"suffix":""}],"container-title":"Frontiers in Plant Science","id":"ITEM-1","issued":{"date-parts":[["2020","3"]]},"page":"130","publisher":"Frontiers Media S.A.","title":"Biosafety Regulatory Reviews and Leeway to Operate: Case Studies From Sub-Sahara Africa","type":"article-journal","volume":"11"},"uris":["http://www.mendeley.com/documents/?uuid=4fa54807-8f2c-4906-a965-85ebb1d4e673"]}],"mendeley":{"formattedCitation":"(Komen et al., 2020)","plainTextFormattedCitation":"(Komen et al., 2020)","previouslyFormattedCitation":"(Komen et al., 2020)"},"properties":{"noteIndex":0},"schema":"https://github.com/citation-style-language/schema/raw/master/csl-citation.json"}</w:instrText>
      </w:r>
      <w:r>
        <w:rPr>
          <w:rFonts w:ascii="Times New Roman" w:eastAsia="SimSun" w:hAnsi="Times New Roman" w:cs="Calibri"/>
          <w:color w:val="000000" w:themeColor="text1"/>
          <w:lang w:eastAsia="hi-IN" w:bidi="hi-IN"/>
        </w:rPr>
        <w:fldChar w:fldCharType="separate"/>
      </w:r>
      <w:r w:rsidRPr="0041599E">
        <w:rPr>
          <w:rFonts w:ascii="Times New Roman" w:eastAsia="SimSun" w:hAnsi="Times New Roman" w:cs="Calibri"/>
          <w:noProof/>
          <w:color w:val="000000" w:themeColor="text1"/>
          <w:lang w:eastAsia="hi-IN" w:bidi="hi-IN"/>
        </w:rPr>
        <w:t>(Komen et al., 2020)</w:t>
      </w:r>
      <w:r>
        <w:rPr>
          <w:rFonts w:ascii="Times New Roman" w:eastAsia="SimSun" w:hAnsi="Times New Roman" w:cs="Calibri"/>
          <w:color w:val="000000" w:themeColor="text1"/>
          <w:lang w:eastAsia="hi-IN" w:bidi="hi-IN"/>
        </w:rPr>
        <w:fldChar w:fldCharType="end"/>
      </w:r>
      <w:r w:rsidRPr="002C5EF6">
        <w:rPr>
          <w:rFonts w:ascii="Times New Roman" w:eastAsia="SimSun" w:hAnsi="Times New Roman" w:cs="Calibri"/>
          <w:color w:val="000000" w:themeColor="text1"/>
          <w:lang w:eastAsia="hi-IN" w:bidi="hi-IN"/>
        </w:rPr>
        <w:t>.</w:t>
      </w:r>
      <w:r w:rsidRPr="00DF3C31">
        <w:rPr>
          <w:rFonts w:ascii="Times New Roman" w:eastAsia="SimSun" w:hAnsi="Times New Roman" w:cs="Calibri"/>
          <w:color w:val="000000" w:themeColor="text1"/>
          <w:lang w:eastAsia="hi-IN" w:bidi="hi-IN"/>
        </w:rPr>
        <w:t xml:space="preserve"> </w:t>
      </w:r>
      <w:r w:rsidDel="00DF3C31">
        <w:rPr>
          <w:rFonts w:ascii="Times New Roman" w:eastAsia="SimSun" w:hAnsi="Times New Roman" w:cs="Calibri"/>
          <w:color w:val="000000" w:themeColor="text1"/>
          <w:lang w:eastAsia="hi-IN" w:bidi="hi-IN"/>
        </w:rPr>
        <w:t>Using experiences with conventional biotechnology as a proxy, hurdles faced by countries with emerging national regulatory frameworks typically include</w:t>
      </w:r>
      <w:r>
        <w:rPr>
          <w:rFonts w:ascii="Times New Roman" w:eastAsia="SimSun" w:hAnsi="Times New Roman" w:cs="Calibri"/>
          <w:color w:val="000000" w:themeColor="text1"/>
          <w:lang w:eastAsia="hi-IN" w:bidi="hi-IN"/>
        </w:rPr>
        <w:t xml:space="preserve"> l</w:t>
      </w:r>
      <w:r w:rsidRPr="009E3AFE">
        <w:rPr>
          <w:rFonts w:ascii="Times New Roman" w:eastAsia="SimSun" w:hAnsi="Times New Roman" w:cs="Calibri"/>
          <w:color w:val="000000" w:themeColor="text1"/>
          <w:lang w:eastAsia="hi-IN" w:bidi="hi-IN"/>
        </w:rPr>
        <w:t>ack of inter-ministerial collaboration and harmoni</w:t>
      </w:r>
      <w:r>
        <w:rPr>
          <w:rFonts w:ascii="Times New Roman" w:eastAsia="SimSun" w:hAnsi="Times New Roman" w:cs="Calibri"/>
          <w:color w:val="000000" w:themeColor="text1"/>
          <w:lang w:eastAsia="hi-IN" w:bidi="hi-IN"/>
        </w:rPr>
        <w:t>s</w:t>
      </w:r>
      <w:r w:rsidRPr="009E3AFE">
        <w:rPr>
          <w:rFonts w:ascii="Times New Roman" w:eastAsia="SimSun" w:hAnsi="Times New Roman" w:cs="Calibri"/>
          <w:color w:val="000000" w:themeColor="text1"/>
          <w:lang w:eastAsia="hi-IN" w:bidi="hi-IN"/>
        </w:rPr>
        <w:t>ation</w:t>
      </w:r>
      <w:r>
        <w:rPr>
          <w:rFonts w:ascii="Times New Roman" w:eastAsia="SimSun" w:hAnsi="Times New Roman" w:cs="Calibri"/>
          <w:color w:val="000000" w:themeColor="text1"/>
          <w:lang w:eastAsia="hi-IN" w:bidi="hi-IN"/>
        </w:rPr>
        <w:t>, post</w:t>
      </w:r>
      <w:r w:rsidR="00770EA4">
        <w:rPr>
          <w:rFonts w:ascii="Times New Roman" w:eastAsia="SimSun" w:hAnsi="Times New Roman" w:cs="Calibri"/>
          <w:color w:val="000000" w:themeColor="text1"/>
          <w:lang w:eastAsia="hi-IN" w:bidi="hi-IN"/>
        </w:rPr>
        <w:t>-</w:t>
      </w:r>
      <w:r>
        <w:rPr>
          <w:rFonts w:ascii="Times New Roman" w:eastAsia="SimSun" w:hAnsi="Times New Roman" w:cs="Calibri"/>
          <w:color w:val="000000" w:themeColor="text1"/>
          <w:lang w:eastAsia="hi-IN" w:bidi="hi-IN"/>
        </w:rPr>
        <w:t>release requirements and h</w:t>
      </w:r>
      <w:r w:rsidRPr="00FB5C88">
        <w:rPr>
          <w:rFonts w:ascii="Times New Roman" w:eastAsia="SimSun" w:hAnsi="Times New Roman" w:cs="Calibri"/>
          <w:color w:val="000000" w:themeColor="text1"/>
          <w:lang w:eastAsia="hi-IN" w:bidi="hi-IN"/>
        </w:rPr>
        <w:t>igh-level political will wavers</w:t>
      </w:r>
      <w:r w:rsidR="00893360">
        <w:rPr>
          <w:rFonts w:ascii="Times New Roman" w:eastAsia="SimSun" w:hAnsi="Times New Roman" w:cs="Calibri"/>
          <w:color w:val="000000" w:themeColor="text1"/>
          <w:lang w:eastAsia="hi-IN" w:bidi="hi-IN"/>
        </w:rPr>
        <w:t xml:space="preserve"> </w:t>
      </w:r>
      <w:r w:rsidR="007C528F" w:rsidDel="00DF3C31">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{"citationItems":[{"id":"ITEM-1","itemData":{"DOI":"10.3389/fpls.2020.00130","ISSN":"1664-462X","abstract":"While modern biotechnology and, specifically, genetic modification are subject of debate in many parts of the world, an increasing number of countries in Sub-Sahara Africa are making important strides towards authorizing general releases of genetically modified (GM) crop varieties for use by farmers and agribusinesses. Obviously, the documented economic and environmental benefits from planting GM crops—based on a track record of over two decades—are a major driver in the decision-making process. Another key factor is the increasing alignment of biosafety regulatory policies with progressive agricultural and rural development policies in Africa, resulting in—compared to past experiences—greater emphasis on anticipated benefits rather than risks in biosafety regulatory reviews. In several cases, this has led to expedited reviews of GM crop release applications, either for confined field trials or general environmental release, taking experiences and data from other countries into account. Such regulatory approaches hold promise as the pipeline of relevant, pro-poor GM crop applications is expanding as are the opportunities provided by novel plant breeding techniques. This review article analyses the shifting policy context in select African economies, resulting in adoption of new agricultural technology, and novel regulatory approaches used in biosafety decision-making. Case studies will be presented for Ghana, Kenya, Malawi, Nigeria and Uganda to analyze challenges, distill lessons learned and to present general policy recommendations for emerging economies.","author":[{"dropping-particle":"","family":"Komen","given":"John","non-dropping-particle":"","parse-names":false,"suffix":""},{"dropping-particle":"","family":"Tripathi","given":"Leena","non-dropping-particle":"","parse-names":false,"suffix":""},{"dropping-particle":"","family":"Mkoko","given":"Boniface","non-dropping-particle":"","parse-names":false,"suffix":""},{"dropping-particle":"","family":"Ofosu","given":"Daniel Osei","non-dropping-particle":"","parse-names":false,"suffix":""},{"dropping-particle":"","family":"Oloka","given":"Herbert","non-dropping-particle":"","parse-names":false,"suffix":""},{"dropping-particle":"","family":"Wangari","given":"Doris","non-dropping-particle":"","parse-names":false,"suffix":""}],"container-title":"Frontiers in Plant Science","id":"ITEM-1","issued":{"date-parts":[["2020","3"]]},"page":"130","publisher":"Frontiers Media S.A.","title":"Biosafety Regulatory Reviews and Leeway to Operate: Case Studies From Sub-Sahara Africa","type":"article-journal","volume":"11"},"uris":["http://www.mendeley.com/documents/?uuid=4fa54807-8f2c-4906-a965-85ebb1d4e673"]}],"mendeley":{"formattedCitation":"(Komen et al., 2020)","plainTextFormattedCitation":"(Komen et al., 2020)","previouslyFormattedCitation":"(Komen et al., 2020)"},"properties":{"noteIndex":0},"schema":"https://github.com/citation-style-language/schema/raw/master/csl-citation.json"}</w:instrText>
      </w:r>
      <w:r w:rsidR="007C528F" w:rsidDel="00DF3C31">
        <w:rPr>
          <w:rFonts w:ascii="Times New Roman" w:eastAsia="SimSun" w:hAnsi="Times New Roman" w:cs="Calibri"/>
          <w:color w:val="000000" w:themeColor="text1"/>
          <w:lang w:eastAsia="hi-IN" w:bidi="hi-IN"/>
        </w:rPr>
        <w:fldChar w:fldCharType="separate"/>
      </w:r>
      <w:r w:rsidR="007C528F" w:rsidRPr="00713E93" w:rsidDel="00DF3C31">
        <w:rPr>
          <w:rFonts w:ascii="Times New Roman" w:eastAsia="SimSun" w:hAnsi="Times New Roman" w:cs="Calibri"/>
          <w:noProof/>
          <w:color w:val="000000" w:themeColor="text1"/>
          <w:lang w:eastAsia="hi-IN" w:bidi="hi-IN"/>
        </w:rPr>
        <w:t>(Komen et al., 2020)</w:t>
      </w:r>
      <w:r w:rsidR="007C528F" w:rsidDel="00DF3C31">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w:t>
      </w:r>
    </w:p>
    <w:p w14:paraId="47B3D48F" w14:textId="0683BE6E" w:rsidR="00855A76" w:rsidRPr="008805B8" w:rsidRDefault="00855A76" w:rsidP="00855A76">
      <w:pPr>
        <w:suppressAutoHyphens/>
        <w:autoSpaceDE w:val="0"/>
        <w:spacing w:before="120" w:after="120" w:line="240" w:lineRule="auto"/>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In recognition of past experiences with other emerging technologies, some countries are beginning to be proactive in setting their policy landscape concerning synthetic biology. </w:t>
      </w:r>
      <w:r w:rsidRPr="008805B8">
        <w:rPr>
          <w:rFonts w:ascii="Times New Roman" w:eastAsia="SimSun" w:hAnsi="Times New Roman" w:cs="Calibri"/>
          <w:color w:val="000000" w:themeColor="text1"/>
          <w:lang w:eastAsia="hi-IN" w:bidi="hi-IN"/>
        </w:rPr>
        <w:t xml:space="preserve">The UK Synthetic Biology Strategic Plan 2016 </w:t>
      </w:r>
      <w:r w:rsidR="007E6489" w:rsidRPr="00EB320D">
        <w:rPr>
          <w:rFonts w:ascii="Times New Roman" w:eastAsia="SimSun" w:hAnsi="Times New Roman" w:cs="Calibri"/>
          <w:color w:val="000000" w:themeColor="text1"/>
          <w:lang w:eastAsia="hi-IN" w:bidi="hi-IN"/>
        </w:rPr>
        <w:fldChar w:fldCharType="begin" w:fldLock="1"/>
      </w:r>
      <w:r w:rsidR="007E6489" w:rsidRPr="00EB320D">
        <w:rPr>
          <w:rFonts w:ascii="Times New Roman" w:eastAsia="SimSun" w:hAnsi="Times New Roman" w:cs="Calibri"/>
          <w:color w:val="000000" w:themeColor="text1"/>
          <w:lang w:eastAsia="hi-IN" w:bidi="hi-IN"/>
        </w:rPr>
        <w:instrText>ADDIN CSL_CITATION {"citationItems":[{"id":"ITEM-1","itemData":{"author":[{"dropping-particle":"","family":"Synthetic Biology Leadership Council","given":"","non-dropping-particle":"","parse-names":false,"suffix":""}],"id":"ITEM-1","issued":{"date-parts":[["2016"]]},"title":"Biodesign for the Bioeconomy. UK Synthetic Biology Strategic Plan 2016.","type":"report"},"uris":["http://www.mendeley.com/documents/?uuid=e3a9f05e-2067-4a43-8353-7caab788bd2b"]}],"mendeley":{"formattedCitation":"(Synthetic Biology Leadership Council, 2016)","plainTextFormattedCitation":"(Synthetic Biology Leadership Council, 2016)","previouslyFormattedCitation":"(Synthetic Biology Leadership Council, 2016)"},"properties":{"noteIndex":0},"schema":"https://github.com/citation-style-language/schema/raw/master/csl-citation.json"}</w:instrText>
      </w:r>
      <w:r w:rsidR="007E6489" w:rsidRPr="00EB320D">
        <w:rPr>
          <w:rFonts w:ascii="Times New Roman" w:eastAsia="SimSun" w:hAnsi="Times New Roman" w:cs="Calibri"/>
          <w:color w:val="000000" w:themeColor="text1"/>
          <w:lang w:eastAsia="hi-IN" w:bidi="hi-IN"/>
        </w:rPr>
        <w:fldChar w:fldCharType="separate"/>
      </w:r>
      <w:r w:rsidR="007E6489" w:rsidRPr="00EB320D">
        <w:rPr>
          <w:rFonts w:ascii="Times New Roman" w:eastAsia="SimSun" w:hAnsi="Times New Roman" w:cs="Calibri"/>
          <w:noProof/>
          <w:color w:val="000000" w:themeColor="text1"/>
          <w:lang w:eastAsia="hi-IN" w:bidi="hi-IN"/>
        </w:rPr>
        <w:t>(Synthetic Biology Leadership Council, 2016)</w:t>
      </w:r>
      <w:r w:rsidR="007E6489" w:rsidRPr="00EB320D">
        <w:rPr>
          <w:rFonts w:ascii="Times New Roman" w:eastAsia="SimSun" w:hAnsi="Times New Roman" w:cs="Calibri"/>
          <w:color w:val="000000" w:themeColor="text1"/>
          <w:lang w:eastAsia="hi-IN" w:bidi="hi-IN"/>
        </w:rPr>
        <w:fldChar w:fldCharType="end"/>
      </w:r>
      <w:r w:rsidRPr="008805B8">
        <w:rPr>
          <w:rFonts w:ascii="Times New Roman" w:eastAsia="SimSun" w:hAnsi="Times New Roman" w:cs="Calibri"/>
          <w:color w:val="000000" w:themeColor="text1"/>
          <w:lang w:eastAsia="hi-IN" w:bidi="hi-IN"/>
        </w:rPr>
        <w:t xml:space="preserve"> is an example of a national focus on the responsible acceleration of commercial delivery of new products and services of public benefit and which emphasises the need for responsible research and innovation, and proportionate and adaptive regulation for the maximisation of public benefit and minimisation of risk. It also suggests the development of technical standards at the national level to support the acceleration of commercialisation </w:t>
      </w:r>
      <w:r w:rsidR="007E6489" w:rsidRPr="007E6489">
        <w:rPr>
          <w:rFonts w:ascii="Times New Roman" w:eastAsia="SimSun" w:hAnsi="Times New Roman" w:cs="Calibri"/>
          <w:color w:val="000000" w:themeColor="text1"/>
          <w:lang w:eastAsia="hi-IN" w:bidi="hi-IN"/>
        </w:rPr>
        <w:fldChar w:fldCharType="begin" w:fldLock="1"/>
      </w:r>
      <w:r w:rsidR="0010165B">
        <w:rPr>
          <w:rFonts w:ascii="Times New Roman" w:eastAsia="SimSun" w:hAnsi="Times New Roman" w:cs="Calibri"/>
          <w:color w:val="000000" w:themeColor="text1"/>
          <w:lang w:eastAsia="hi-IN" w:bidi="hi-IN"/>
        </w:rPr>
        <w:instrText>ADDIN CSL_CITATION {"citationItems":[{"id":"ITEM-1","itemData":{"author":[{"dropping-particle":"","family":"The British Standards Institution","given":"","non-dropping-particle":"","parse-names":false,"suffix":""}],"id":"ITEM-1","issued":{"date-parts":[["2015"]]},"publisher-place":"London","title":"Use of Standards for Digital Biological Information in the Design, Construction and Description of a Synthetic Biological System. Guide. PAS 246:2015.","type":"report"},"uris":["http://www.mendeley.com/documents/?uuid=9eebf1c9-6df0-4587-9ff7-f9c6cc5aa561"]}],"mendeley":{"formattedCitation":"(The British Standards Institution, 2015)","plainTextFormattedCitation":"(The British Standards Institution, 2015)","previouslyFormattedCitation":"(The British Standards Institution, 2015)"},"properties":{"noteIndex":0},"schema":"https://github.com/citation-style-language/schema/raw/master/csl-citation.json"}</w:instrText>
      </w:r>
      <w:r w:rsidR="007E6489" w:rsidRPr="007E6489">
        <w:rPr>
          <w:rFonts w:ascii="Times New Roman" w:eastAsia="SimSun" w:hAnsi="Times New Roman" w:cs="Calibri"/>
          <w:color w:val="000000" w:themeColor="text1"/>
          <w:lang w:eastAsia="hi-IN" w:bidi="hi-IN"/>
        </w:rPr>
        <w:fldChar w:fldCharType="separate"/>
      </w:r>
      <w:r w:rsidR="007E6489" w:rsidRPr="007E6489">
        <w:rPr>
          <w:rFonts w:ascii="Times New Roman" w:eastAsia="SimSun" w:hAnsi="Times New Roman" w:cs="Calibri"/>
          <w:noProof/>
          <w:color w:val="000000" w:themeColor="text1"/>
          <w:lang w:eastAsia="hi-IN" w:bidi="hi-IN"/>
        </w:rPr>
        <w:t>(The British Standards Institution, 2015)</w:t>
      </w:r>
      <w:r w:rsidR="007E6489" w:rsidRPr="007E6489">
        <w:rPr>
          <w:rFonts w:ascii="Times New Roman" w:eastAsia="SimSun" w:hAnsi="Times New Roman" w:cs="Calibri"/>
          <w:color w:val="000000" w:themeColor="text1"/>
          <w:lang w:eastAsia="hi-IN" w:bidi="hi-IN"/>
        </w:rPr>
        <w:fldChar w:fldCharType="end"/>
      </w:r>
      <w:r w:rsidRPr="0010165B">
        <w:rPr>
          <w:rFonts w:ascii="Times New Roman" w:eastAsia="SimSun" w:hAnsi="Times New Roman" w:cs="Calibri"/>
          <w:color w:val="000000" w:themeColor="text1"/>
          <w:lang w:eastAsia="hi-IN" w:bidi="hi-IN"/>
        </w:rPr>
        <w:t>.</w:t>
      </w:r>
      <w:r w:rsidRPr="008805B8">
        <w:rPr>
          <w:rFonts w:ascii="Times New Roman" w:eastAsia="SimSun" w:hAnsi="Times New Roman" w:cs="Calibri"/>
          <w:color w:val="000000" w:themeColor="text1"/>
          <w:lang w:eastAsia="hi-IN" w:bidi="hi-IN"/>
        </w:rPr>
        <w:t xml:space="preserve"> These standards could also assist regulators and contribute to international discussions on appropriate regulatory and governance systems for synthetic biology.</w:t>
      </w:r>
    </w:p>
    <w:p w14:paraId="58EE47E4" w14:textId="0CC6333B" w:rsidR="0093516F" w:rsidRDefault="0093516F" w:rsidP="00855A76">
      <w:pPr>
        <w:suppressAutoHyphens/>
        <w:autoSpaceDE w:val="0"/>
        <w:spacing w:before="120" w:after="120" w:line="240" w:lineRule="auto"/>
        <w:jc w:val="both"/>
        <w:rPr>
          <w:rFonts w:ascii="Times New Roman" w:eastAsia="SimSun" w:hAnsi="Times New Roman" w:cs="Calibri"/>
          <w:color w:val="000000" w:themeColor="text1"/>
          <w:lang w:eastAsia="hi-IN" w:bidi="hi-IN"/>
        </w:rPr>
      </w:pPr>
      <w:r w:rsidRPr="00757080">
        <w:rPr>
          <w:rFonts w:ascii="Times New Roman" w:eastAsia="SimSun" w:hAnsi="Times New Roman" w:cs="Calibri"/>
          <w:color w:val="000000" w:themeColor="text1"/>
          <w:lang w:eastAsia="hi-IN" w:bidi="hi-IN"/>
        </w:rPr>
        <w:t xml:space="preserve">A series of reports from the </w:t>
      </w:r>
      <w:r>
        <w:rPr>
          <w:rFonts w:ascii="Times New Roman" w:eastAsia="SimSun" w:hAnsi="Times New Roman" w:cs="Calibri"/>
          <w:color w:val="000000" w:themeColor="text1"/>
          <w:lang w:eastAsia="hi-IN" w:bidi="hi-IN"/>
        </w:rPr>
        <w:t xml:space="preserve">USA’s </w:t>
      </w:r>
      <w:r w:rsidRPr="00757080">
        <w:rPr>
          <w:rFonts w:ascii="Times New Roman" w:eastAsia="SimSun" w:hAnsi="Times New Roman" w:cs="Calibri"/>
          <w:color w:val="000000" w:themeColor="text1"/>
          <w:lang w:eastAsia="hi-IN" w:bidi="hi-IN"/>
        </w:rPr>
        <w:t>National Academies of Sciences Engineering and Medicine (NASEM) address</w:t>
      </w:r>
      <w:r>
        <w:rPr>
          <w:rFonts w:ascii="Times New Roman" w:eastAsia="SimSun" w:hAnsi="Times New Roman" w:cs="Calibri"/>
          <w:color w:val="000000" w:themeColor="text1"/>
          <w:lang w:eastAsia="hi-IN" w:bidi="hi-IN"/>
        </w:rPr>
        <w:t>ed</w:t>
      </w:r>
      <w:r w:rsidRPr="00757080">
        <w:rPr>
          <w:rFonts w:ascii="Times New Roman" w:eastAsia="SimSun" w:hAnsi="Times New Roman" w:cs="Calibri"/>
          <w:color w:val="000000" w:themeColor="text1"/>
          <w:lang w:eastAsia="hi-IN" w:bidi="hi-IN"/>
        </w:rPr>
        <w:t xml:space="preserve"> applications, products and enabling technologies that are included in the scope of “synthetic biology”. In their 2017 report on the “future products of biotechnology,” the NASEM reached the conclusion that the “…</w:t>
      </w:r>
      <w:r w:rsidRPr="00C22793">
        <w:rPr>
          <w:rFonts w:ascii="Times New Roman" w:eastAsia="SimSun" w:hAnsi="Times New Roman" w:cs="Calibri"/>
          <w:i/>
          <w:color w:val="000000" w:themeColor="text1"/>
          <w:lang w:eastAsia="hi-IN" w:bidi="hi-IN"/>
        </w:rPr>
        <w:t>scale, scope, complexity, and tempo of biotechnology products are likely to increase in the next 5–10 years. Many products will be similar to existing biotechnology products, but they may be created through new processes, and some products may be wholly unlike products that exist today</w:t>
      </w:r>
      <w:r w:rsidRPr="00757080">
        <w:rPr>
          <w:rFonts w:ascii="Times New Roman" w:eastAsia="SimSun" w:hAnsi="Times New Roman" w:cs="Calibri"/>
          <w:color w:val="000000" w:themeColor="text1"/>
          <w:lang w:eastAsia="hi-IN" w:bidi="hi-IN"/>
        </w:rPr>
        <w:t>”</w:t>
      </w:r>
      <w:r>
        <w:rPr>
          <w:rFonts w:ascii="Times New Roman" w:eastAsia="SimSun" w:hAnsi="Times New Roman" w:cs="Calibri"/>
          <w:color w:val="000000" w:themeColor="text1"/>
          <w:lang w:eastAsia="hi-IN" w:bidi="hi-IN"/>
        </w:rPr>
        <w:t xml:space="preserve"> </w:t>
      </w:r>
      <w:r>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{"citationItems":[{"id":"ITEM-1","itemData":{"DOI":"10.17226/24605","ISBN":"978-0-309-45205-2","author":[{"dropping-particle":"","family":"National Academies of Sciences Engineering and Medicine","given":"","non-dropping-particle":"","parse-names":false,"suffix":""}],"id":"ITEM-1","issued":{"date-parts":[["2017","6","28"]]},"publisher":"National Academies Press","publisher-place":"Washington, D.C.","title":"Preparing for Future Products of Biotechnology","type":"report"},"uris":["http://www.mendeley.com/documents/?uuid=8ec5ff2f-662a-441a-84c1-511cce593868"]}],"mendeley":{"formattedCitation":"(National Academies of Sciences Engineering and Medicine, 2017)","plainTextFormattedCitation":"(National Academies of Sciences Engineering and Medicine, 2017)","previouslyFormattedCitation":"(National Academies of Sciences Engineering and Medicine, 2017)"},"properties":{"noteIndex":0},"schema":"https://github.com/citation-style-language/schema/raw/master/csl-citation.json"}</w:instrText>
      </w:r>
      <w:r>
        <w:rPr>
          <w:rFonts w:ascii="Times New Roman" w:eastAsia="SimSun" w:hAnsi="Times New Roman" w:cs="Calibri"/>
          <w:color w:val="000000" w:themeColor="text1"/>
          <w:lang w:eastAsia="hi-IN" w:bidi="hi-IN"/>
        </w:rPr>
        <w:fldChar w:fldCharType="separate"/>
      </w:r>
      <w:r w:rsidR="008F6A90" w:rsidRPr="008F6A90">
        <w:rPr>
          <w:rFonts w:ascii="Times New Roman" w:eastAsia="SimSun" w:hAnsi="Times New Roman" w:cs="Calibri"/>
          <w:noProof/>
          <w:color w:val="000000" w:themeColor="text1"/>
          <w:lang w:eastAsia="hi-IN" w:bidi="hi-IN"/>
        </w:rPr>
        <w:t>(National Academies of Sciences Engineering and Medicine, 2017)</w:t>
      </w:r>
      <w:r>
        <w:rPr>
          <w:rFonts w:ascii="Times New Roman" w:eastAsia="SimSun" w:hAnsi="Times New Roman" w:cs="Calibri"/>
          <w:color w:val="000000" w:themeColor="text1"/>
          <w:lang w:eastAsia="hi-IN" w:bidi="hi-IN"/>
        </w:rPr>
        <w:fldChar w:fldCharType="end"/>
      </w:r>
      <w:r>
        <w:rPr>
          <w:rFonts w:ascii="Times New Roman" w:eastAsia="SimSun" w:hAnsi="Times New Roman" w:cs="Calibri"/>
          <w:color w:val="000000" w:themeColor="text1"/>
          <w:lang w:eastAsia="hi-IN" w:bidi="hi-IN"/>
        </w:rPr>
        <w:t>.</w:t>
      </w:r>
      <w:r w:rsidRPr="00757080">
        <w:rPr>
          <w:rFonts w:ascii="Times New Roman" w:eastAsia="SimSun" w:hAnsi="Times New Roman" w:cs="Calibri"/>
          <w:color w:val="000000" w:themeColor="text1"/>
          <w:lang w:eastAsia="hi-IN" w:bidi="hi-IN"/>
        </w:rPr>
        <w:t xml:space="preserve"> The NASEM emphasi</w:t>
      </w:r>
      <w:r>
        <w:rPr>
          <w:rFonts w:ascii="Times New Roman" w:eastAsia="SimSun" w:hAnsi="Times New Roman" w:cs="Calibri"/>
          <w:color w:val="000000" w:themeColor="text1"/>
          <w:lang w:eastAsia="hi-IN" w:bidi="hi-IN"/>
        </w:rPr>
        <w:t>s</w:t>
      </w:r>
      <w:r w:rsidRPr="00757080">
        <w:rPr>
          <w:rFonts w:ascii="Times New Roman" w:eastAsia="SimSun" w:hAnsi="Times New Roman" w:cs="Calibri"/>
          <w:color w:val="000000" w:themeColor="text1"/>
          <w:lang w:eastAsia="hi-IN" w:bidi="hi-IN"/>
        </w:rPr>
        <w:t xml:space="preserve">ed the need for regulatory systems to have the agility to rapidly adapt to technological change and manage the assessment of a greater diversity of products </w:t>
      </w:r>
      <w:r>
        <w:rPr>
          <w:rFonts w:ascii="Times New Roman" w:eastAsia="SimSun" w:hAnsi="Times New Roman" w:cs="Calibri"/>
          <w:color w:val="000000" w:themeColor="text1"/>
          <w:lang w:eastAsia="hi-IN" w:bidi="hi-IN"/>
        </w:rPr>
        <w:fldChar w:fldCharType="begin" w:fldLock="1"/>
      </w:r>
      <w:r w:rsidR="008F6A90">
        <w:rPr>
          <w:rFonts w:ascii="Times New Roman" w:eastAsia="SimSun" w:hAnsi="Times New Roman" w:cs="Calibri"/>
          <w:color w:val="000000" w:themeColor="text1"/>
          <w:lang w:eastAsia="hi-IN" w:bidi="hi-IN"/>
        </w:rPr>
        <w:instrText>ADDIN CSL_CITATION {"citationItems":[{"id":"ITEM-1","itemData":{"DOI":"10.17226/24605","ISBN":"978-0-309-45205-2","author":[{"dropping-particle":"","family":"National Academies of Sciences Engineering and Medicine","given":"","non-dropping-particle":"","parse-names":false,"suffix":""}],"id":"ITEM-1","issued":{"date-parts":[["2017","6","28"]]},"publisher":"National Academies Press","publisher-place":"Washington, D.C.","title":"Preparing for Future Products of Biotechnology","type":"report"},"uris":["http://www.mendeley.com/documents/?uuid=8ec5ff2f-662a-441a-84c1-511cce593868"]}],"mendeley":{"formattedCitation":"(National Academies of Sciences Engineering and Medicine, 2017)","plainTextFormattedCitation":"(National Academies of Sciences Engineering and Medicine, 2017)","previouslyFormattedCitation":"(National Academies of Sciences Engineering and Medicine, 2017)"},"properties":{"noteIndex":0},"schema":"https://github.com/citation-style-language/schema/raw/master/csl-citation.json"}</w:instrText>
      </w:r>
      <w:r>
        <w:rPr>
          <w:rFonts w:ascii="Times New Roman" w:eastAsia="SimSun" w:hAnsi="Times New Roman" w:cs="Calibri"/>
          <w:color w:val="000000" w:themeColor="text1"/>
          <w:lang w:eastAsia="hi-IN" w:bidi="hi-IN"/>
        </w:rPr>
        <w:fldChar w:fldCharType="separate"/>
      </w:r>
      <w:r w:rsidR="008F6A90" w:rsidRPr="008F6A90">
        <w:rPr>
          <w:rFonts w:ascii="Times New Roman" w:eastAsia="SimSun" w:hAnsi="Times New Roman" w:cs="Calibri"/>
          <w:noProof/>
          <w:color w:val="000000" w:themeColor="text1"/>
          <w:lang w:eastAsia="hi-IN" w:bidi="hi-IN"/>
        </w:rPr>
        <w:t>(National Academies of Sciences Engineering and Medicine, 2017)</w:t>
      </w:r>
      <w:r>
        <w:rPr>
          <w:rFonts w:ascii="Times New Roman" w:eastAsia="SimSun" w:hAnsi="Times New Roman" w:cs="Calibri"/>
          <w:color w:val="000000" w:themeColor="text1"/>
          <w:lang w:eastAsia="hi-IN" w:bidi="hi-IN"/>
        </w:rPr>
        <w:fldChar w:fldCharType="end"/>
      </w:r>
      <w:r w:rsidRPr="00757080">
        <w:rPr>
          <w:rFonts w:ascii="Times New Roman" w:eastAsia="SimSun" w:hAnsi="Times New Roman" w:cs="Calibri"/>
          <w:color w:val="000000" w:themeColor="text1"/>
          <w:lang w:eastAsia="hi-IN" w:bidi="hi-IN"/>
        </w:rPr>
        <w:t>.</w:t>
      </w:r>
    </w:p>
    <w:p w14:paraId="4848DCC8" w14:textId="52198DD9" w:rsidR="00855A76" w:rsidRPr="008805B8" w:rsidRDefault="00855A76" w:rsidP="00855A76">
      <w:pPr>
        <w:suppressAutoHyphens/>
        <w:autoSpaceDE w:val="0"/>
        <w:spacing w:before="120" w:after="120" w:line="240" w:lineRule="auto"/>
        <w:jc w:val="both"/>
        <w:rPr>
          <w:rFonts w:ascii="Times New Roman" w:eastAsia="SimSun" w:hAnsi="Times New Roman" w:cs="Calibri"/>
          <w:color w:val="000000" w:themeColor="text1"/>
          <w:lang w:eastAsia="hi-IN" w:bidi="hi-IN"/>
        </w:rPr>
      </w:pPr>
      <w:r w:rsidRPr="008805B8">
        <w:rPr>
          <w:rFonts w:ascii="Times New Roman" w:eastAsia="SimSun" w:hAnsi="Times New Roman" w:cs="Calibri"/>
          <w:color w:val="000000" w:themeColor="text1"/>
          <w:lang w:eastAsia="hi-IN" w:bidi="hi-IN"/>
        </w:rPr>
        <w:t xml:space="preserve">Australia’s Gene Technology Ethics and Community Consultative Committee </w:t>
      </w:r>
      <w:r w:rsidRPr="75FDE535">
        <w:rPr>
          <w:rFonts w:ascii="Times New Roman" w:eastAsia="SimSun" w:hAnsi="Times New Roman" w:cs="Calibri"/>
          <w:color w:val="000000" w:themeColor="text1"/>
          <w:lang w:eastAsia="hi-IN" w:bidi="hi-IN"/>
        </w:rPr>
        <w:t>ha</w:t>
      </w:r>
      <w:r w:rsidR="33EA1EB8" w:rsidRPr="75FDE535">
        <w:rPr>
          <w:rFonts w:ascii="Times New Roman" w:eastAsia="SimSun" w:hAnsi="Times New Roman" w:cs="Calibri"/>
          <w:color w:val="000000" w:themeColor="text1"/>
          <w:lang w:eastAsia="hi-IN" w:bidi="hi-IN"/>
        </w:rPr>
        <w:t>s</w:t>
      </w:r>
      <w:r w:rsidRPr="008805B8">
        <w:rPr>
          <w:rFonts w:ascii="Times New Roman" w:eastAsia="SimSun" w:hAnsi="Times New Roman" w:cs="Calibri"/>
          <w:color w:val="000000" w:themeColor="text1"/>
          <w:lang w:eastAsia="hi-IN" w:bidi="hi-IN"/>
        </w:rPr>
        <w:t xml:space="preserve"> stated that synthetic biology does not raise new technical (or ethical) issues and was within the scope of the existing legislative scheme </w:t>
      </w:r>
      <w:r w:rsidR="00CA6DED">
        <w:rPr>
          <w:rFonts w:ascii="Times New Roman" w:eastAsia="SimSun" w:hAnsi="Times New Roman" w:cs="Calibri"/>
          <w:color w:val="000000" w:themeColor="text1"/>
          <w:lang w:eastAsia="hi-IN" w:bidi="hi-IN"/>
        </w:rPr>
        <w:fldChar w:fldCharType="begin" w:fldLock="1"/>
      </w:r>
      <w:r w:rsidR="00882C3F">
        <w:rPr>
          <w:rFonts w:ascii="Times New Roman" w:eastAsia="SimSun" w:hAnsi="Times New Roman" w:cs="Calibri"/>
          <w:color w:val="000000" w:themeColor="text1"/>
          <w:lang w:eastAsia="hi-IN" w:bidi="hi-IN"/>
        </w:rPr>
        <w:instrText>ADDIN CSL_CITATION {"citationItems":[{"id":"ITEM-1","itemData":{"ISBN":"9781742419428","author":[{"dropping-particle":"","family":"Office of the Gene Technology Regulator","given":"","non-dropping-particle":"","parse-names":false,"suffix":""}],"id":"ITEM-1","issued":{"date-parts":[["2013"]]},"title":"Risk Analysis Framework 2013","type":"article"},"uris":["http://www.mendeley.com/documents/?uuid=88ce6230-1448-41f3-a9b2-a2ddf58e2e0d"]}],"mendeley":{"formattedCitation":"(Office of the Gene Technology Regulator, 2013)","plainTextFormattedCitation":"(Office of the Gene Technology Regulator, 2013)","previouslyFormattedCitation":"(Office of the Gene Technology Regulator, 2013)"},"properties":{"noteIndex":0},"schema":"https://github.com/citation-style-language/schema/raw/master/csl-citation.json"}</w:instrText>
      </w:r>
      <w:r w:rsidR="00CA6DED">
        <w:rPr>
          <w:rFonts w:ascii="Times New Roman" w:eastAsia="SimSun" w:hAnsi="Times New Roman" w:cs="Calibri"/>
          <w:color w:val="000000" w:themeColor="text1"/>
          <w:lang w:eastAsia="hi-IN" w:bidi="hi-IN"/>
        </w:rPr>
        <w:fldChar w:fldCharType="separate"/>
      </w:r>
      <w:r w:rsidR="00CA6DED" w:rsidRPr="00CA6DED">
        <w:rPr>
          <w:rFonts w:ascii="Times New Roman" w:eastAsia="SimSun" w:hAnsi="Times New Roman" w:cs="Calibri"/>
          <w:noProof/>
          <w:color w:val="000000" w:themeColor="text1"/>
          <w:lang w:eastAsia="hi-IN" w:bidi="hi-IN"/>
        </w:rPr>
        <w:t>(Office of the Gene Technology Regulator, 2013)</w:t>
      </w:r>
      <w:r w:rsidR="00CA6DED">
        <w:rPr>
          <w:rFonts w:ascii="Times New Roman" w:eastAsia="SimSun" w:hAnsi="Times New Roman" w:cs="Calibri"/>
          <w:color w:val="000000" w:themeColor="text1"/>
          <w:lang w:eastAsia="hi-IN" w:bidi="hi-IN"/>
        </w:rPr>
        <w:fldChar w:fldCharType="end"/>
      </w:r>
      <w:r w:rsidRPr="008805B8">
        <w:rPr>
          <w:rFonts w:ascii="Times New Roman" w:eastAsia="SimSun" w:hAnsi="Times New Roman" w:cs="Calibri"/>
          <w:color w:val="000000" w:themeColor="text1"/>
          <w:lang w:eastAsia="hi-IN" w:bidi="hi-IN"/>
        </w:rPr>
        <w:t xml:space="preserve">. In 2018, a key outcome of a horizon scanning process by the Australian scientific community called for their already progressive and effective regulatory framework to remain so, by timely responding to technological developments and ensuring regulation that is proportionate to risk </w:t>
      </w:r>
      <w:r w:rsidR="00882C3F">
        <w:rPr>
          <w:rFonts w:ascii="Times New Roman" w:eastAsia="SimSun" w:hAnsi="Times New Roman" w:cs="Calibri"/>
          <w:color w:val="000000" w:themeColor="text1"/>
          <w:lang w:eastAsia="hi-IN" w:bidi="hi-IN"/>
        </w:rPr>
        <w:fldChar w:fldCharType="begin" w:fldLock="1"/>
      </w:r>
      <w:r w:rsidR="00A02DC3">
        <w:rPr>
          <w:rFonts w:ascii="Times New Roman" w:eastAsia="SimSun" w:hAnsi="Times New Roman" w:cs="Calibri"/>
          <w:color w:val="000000" w:themeColor="text1"/>
          <w:lang w:eastAsia="hi-IN" w:bidi="hi-IN"/>
        </w:rPr>
        <w:instrText>ADDIN CSL_CITATION {"citationItems":[{"id":"ITEM-1","itemData":{"ISBN":"9780648330301","author":[{"dropping-particle":"","family":"Gray","given":"P.","non-dropping-particle":"","parse-names":false,"suffix":""},{"dropping-particle":"","family":"Meek","given":"S.","non-dropping-particle":"","parse-names":false,"suffix":""},{"dropping-particle":"","family":"Griffiths","given":"P.","non-dropping-particle":"","parse-names":false,"suffix":""},{"dropping-particle":"","family":"Trapani","given":"J.","non-dropping-particle":"","parse-names":false,"suffix":""},{"dropping-particle":"","family":"Small","given":"I.","non-dropping-particle":"","parse-names":false,"suffix":""},{"dropping-particle":"","family":"Vickers","given":"Claudia","non-dropping-particle":"","parse-names":false,"suffix":""},{"dropping-particle":"","family":"Waldby","given":"C.","non-dropping-particle":"","parse-names":false,"suffix":""},{"dropping-particle":"","family":"Wood","given":"R.","non-dropping-particle":"","parse-names":false,"suffix":""}],"id":"ITEM-1","issued":{"date-parts":[["2018"]]},"number-of-pages":"1-155","publisher":"Australian Council of Learned Academies","publisher-place":"Melbourne, Australia","title":"Synthetic Biology in Australia: An Outlook to 2030","type":"report"},"uris":["http://www.mendeley.com/documents/?uuid=962ce42d-82b1-47a1-978b-171edb706935"]}],"mendeley":{"formattedCitation":"(P. Gray et al., 2018)","manualFormatting":"(Gray et al., 2018)","plainTextFormattedCitation":"(P. Gray et al., 2018)","previouslyFormattedCitation":"(P. Gray et al., 2018)"},"properties":{"noteIndex":0},"schema":"https://github.com/citation-style-language/schema/raw/master/csl-citation.json"}</w:instrText>
      </w:r>
      <w:r w:rsidR="00882C3F">
        <w:rPr>
          <w:rFonts w:ascii="Times New Roman" w:eastAsia="SimSun" w:hAnsi="Times New Roman" w:cs="Calibri"/>
          <w:color w:val="000000" w:themeColor="text1"/>
          <w:lang w:eastAsia="hi-IN" w:bidi="hi-IN"/>
        </w:rPr>
        <w:fldChar w:fldCharType="separate"/>
      </w:r>
      <w:r w:rsidR="00882C3F" w:rsidRPr="00882C3F">
        <w:rPr>
          <w:rFonts w:ascii="Times New Roman" w:eastAsia="SimSun" w:hAnsi="Times New Roman" w:cs="Calibri"/>
          <w:noProof/>
          <w:color w:val="000000" w:themeColor="text1"/>
          <w:lang w:eastAsia="hi-IN" w:bidi="hi-IN"/>
        </w:rPr>
        <w:t>(Gray et al., 2018)</w:t>
      </w:r>
      <w:r w:rsidR="00882C3F">
        <w:rPr>
          <w:rFonts w:ascii="Times New Roman" w:eastAsia="SimSun" w:hAnsi="Times New Roman" w:cs="Calibri"/>
          <w:color w:val="000000" w:themeColor="text1"/>
          <w:lang w:eastAsia="hi-IN" w:bidi="hi-IN"/>
        </w:rPr>
        <w:fldChar w:fldCharType="end"/>
      </w:r>
      <w:r w:rsidRPr="008805B8">
        <w:rPr>
          <w:rFonts w:ascii="Times New Roman" w:eastAsia="SimSun" w:hAnsi="Times New Roman" w:cs="Calibri"/>
          <w:color w:val="000000" w:themeColor="text1"/>
          <w:lang w:eastAsia="hi-IN" w:bidi="hi-IN"/>
        </w:rPr>
        <w:t>.</w:t>
      </w:r>
    </w:p>
    <w:p w14:paraId="39A89ADB" w14:textId="0DA774D7" w:rsidR="003C60D3" w:rsidRDefault="00855A76" w:rsidP="22643E6D">
      <w:pPr>
        <w:suppressAutoHyphens/>
        <w:autoSpaceDE w:val="0"/>
        <w:spacing w:before="120" w:after="120" w:line="240" w:lineRule="auto"/>
        <w:jc w:val="both"/>
        <w:rPr>
          <w:rFonts w:ascii="Times New Roman" w:eastAsia="SimSun" w:hAnsi="Times New Roman" w:cs="Calibri"/>
          <w:color w:val="000000" w:themeColor="text1"/>
          <w:lang w:eastAsia="hi-IN" w:bidi="hi-IN"/>
        </w:rPr>
      </w:pPr>
      <w:r w:rsidRPr="008805B8">
        <w:rPr>
          <w:rFonts w:ascii="Times New Roman" w:eastAsia="SimSun" w:hAnsi="Times New Roman" w:cs="Calibri"/>
          <w:color w:val="000000" w:themeColor="text1"/>
          <w:lang w:eastAsia="hi-IN" w:bidi="hi-IN"/>
        </w:rPr>
        <w:t xml:space="preserve">The German Central Committee on Biological Safety in 2018 concluded that most synthetic biology approaches result in GMOs that can be assessed according to the existing German regulatory framework, the applicable European Directives (2001/18/EC and 2009/41/EC), and the Cartagena Protocol. Specifically, their assessment concluded that the insertion of synthetic genes, gene circuits, metabolic pathways, or entire genomes in an organism results in a GMO as defined by these regulatory frameworks. They also concluded that the reduction of a genome to create a minimal cell, and the use of xenonucleic acids to create bio-orthogonal systems are approaches that result in GMOs within the scope of existing regulatory frameworks. Further, they concluded that these developments did not present specific risks in addition to those already assessed for GMOs developed using recombinant DNA technologies </w:t>
      </w:r>
      <w:r w:rsidR="00F1581C">
        <w:rPr>
          <w:rFonts w:ascii="Times New Roman" w:eastAsia="SimSun" w:hAnsi="Times New Roman" w:cs="Calibri"/>
          <w:color w:val="000000" w:themeColor="text1"/>
          <w:lang w:eastAsia="hi-IN" w:bidi="hi-IN"/>
        </w:rPr>
        <w:fldChar w:fldCharType="begin" w:fldLock="1"/>
      </w:r>
      <w:r w:rsidR="00CD0E3E">
        <w:rPr>
          <w:rFonts w:ascii="Times New Roman" w:eastAsia="SimSun" w:hAnsi="Times New Roman" w:cs="Calibri"/>
          <w:color w:val="000000" w:themeColor="text1"/>
          <w:lang w:eastAsia="hi-IN" w:bidi="hi-IN"/>
        </w:rPr>
        <w:instrText>ADDIN CSL_CITATION {"citationItems":[{"id":"ITEM-1","itemData":{"author":[{"dropping-particle":"","family":"Zentrale Kommission für die Biologische Sicherheit","given":"","non-dropping-particle":"","parse-names":false,"suffix":""}],"id":"ITEM-1","issued":{"date-parts":[["2018"]]},"number-of-pages":"46","publisher-place":"Berlin, Germany","title":"2nd Interim report of the German Central Committee on Biological Safety","type":"report"},"uris":["http://www.mendeley.com/documents/?uuid=50934658-2697-430f-9530-e61e56b3927c"]}],"mendeley":{"formattedCitation":"(Zentrale Kommission für die Biologische Sicherheit, 2018)","plainTextFormattedCitation":"(Zentrale Kommission für die Biologische Sicherheit, 2018)","previouslyFormattedCitation":"(Zentrale Kommission für die Biologische Sicherheit, 2018)"},"properties":{"noteIndex":0},"schema":"https://github.com/citation-style-language/schema/raw/master/csl-citation.json"}</w:instrText>
      </w:r>
      <w:r w:rsidR="00F1581C">
        <w:rPr>
          <w:rFonts w:ascii="Times New Roman" w:eastAsia="SimSun" w:hAnsi="Times New Roman" w:cs="Calibri"/>
          <w:color w:val="000000" w:themeColor="text1"/>
          <w:lang w:eastAsia="hi-IN" w:bidi="hi-IN"/>
        </w:rPr>
        <w:fldChar w:fldCharType="separate"/>
      </w:r>
      <w:r w:rsidR="00F1581C" w:rsidRPr="00F1581C">
        <w:rPr>
          <w:rFonts w:ascii="Times New Roman" w:eastAsia="SimSun" w:hAnsi="Times New Roman" w:cs="Calibri"/>
          <w:noProof/>
          <w:color w:val="000000" w:themeColor="text1"/>
          <w:lang w:eastAsia="hi-IN" w:bidi="hi-IN"/>
        </w:rPr>
        <w:t>(Zentrale Kommission für die Biologische Sicherheit, 2018)</w:t>
      </w:r>
      <w:r w:rsidR="00F1581C">
        <w:rPr>
          <w:rFonts w:ascii="Times New Roman" w:eastAsia="SimSun" w:hAnsi="Times New Roman" w:cs="Calibri"/>
          <w:color w:val="000000" w:themeColor="text1"/>
          <w:lang w:eastAsia="hi-IN" w:bidi="hi-IN"/>
        </w:rPr>
        <w:fldChar w:fldCharType="end"/>
      </w:r>
      <w:r w:rsidRPr="008805B8">
        <w:rPr>
          <w:rFonts w:ascii="Times New Roman" w:eastAsia="SimSun" w:hAnsi="Times New Roman" w:cs="Calibri"/>
          <w:color w:val="000000" w:themeColor="text1"/>
          <w:lang w:eastAsia="hi-IN" w:bidi="hi-IN"/>
        </w:rPr>
        <w:t>.</w:t>
      </w:r>
      <w:r w:rsidR="3867544D" w:rsidRPr="60ED6039">
        <w:rPr>
          <w:rFonts w:ascii="Times New Roman" w:eastAsia="SimSun" w:hAnsi="Times New Roman" w:cs="Calibri"/>
          <w:color w:val="000000" w:themeColor="text1"/>
          <w:lang w:eastAsia="hi-IN" w:bidi="hi-IN"/>
        </w:rPr>
        <w:t xml:space="preserve"> </w:t>
      </w:r>
    </w:p>
    <w:p w14:paraId="19F9CC25" w14:textId="52ACA17F" w:rsidR="00355971" w:rsidRPr="00983925" w:rsidRDefault="62340CEC" w:rsidP="296CB068">
      <w:pPr>
        <w:suppressAutoHyphens/>
        <w:autoSpaceDE w:val="0"/>
        <w:spacing w:before="120" w:after="120" w:line="240" w:lineRule="auto"/>
        <w:jc w:val="both"/>
        <w:rPr>
          <w:rFonts w:ascii="Times New Roman" w:eastAsia="Times New Roman" w:hAnsi="Times New Roman"/>
          <w:color w:val="000000" w:themeColor="text1"/>
        </w:rPr>
      </w:pPr>
      <w:r w:rsidRPr="00983925">
        <w:rPr>
          <w:rFonts w:ascii="Times New Roman" w:eastAsia="SimSun" w:hAnsi="Times New Roman" w:cs="Calibri"/>
          <w:color w:val="000000" w:themeColor="text1"/>
          <w:lang w:eastAsia="hi-IN" w:bidi="hi-IN"/>
        </w:rPr>
        <w:t xml:space="preserve">The South African regulatory system considered </w:t>
      </w:r>
      <w:r w:rsidR="3AB08CF4" w:rsidRPr="00983925">
        <w:rPr>
          <w:rFonts w:ascii="Times New Roman" w:eastAsia="SimSun" w:hAnsi="Times New Roman" w:cs="Calibri"/>
          <w:color w:val="000000" w:themeColor="text1"/>
          <w:lang w:eastAsia="hi-IN" w:bidi="hi-IN"/>
        </w:rPr>
        <w:t xml:space="preserve">that it </w:t>
      </w:r>
      <w:r w:rsidR="3AB08CF4" w:rsidRPr="00983925">
        <w:rPr>
          <w:rFonts w:ascii="Times New Roman" w:eastAsia="Times New Roman" w:hAnsi="Times New Roman"/>
          <w:color w:val="000000" w:themeColor="text1"/>
        </w:rPr>
        <w:t>already has a well-established GMO regulatory system which provides a robust framework to regulate activities with synthetic organisms and their products. It was therefore concluded that discussions on synthetic biology are therefore considered in the context of biotechnology and in the legislative framework of biotechnology and GMOs</w:t>
      </w:r>
      <w:r w:rsidR="7E06A117" w:rsidRPr="00983925">
        <w:rPr>
          <w:rFonts w:ascii="Times New Roman" w:eastAsia="Times New Roman" w:hAnsi="Times New Roman"/>
          <w:color w:val="000000" w:themeColor="text1"/>
        </w:rPr>
        <w:t xml:space="preserve"> </w:t>
      </w:r>
      <w:r w:rsidR="003F256B">
        <w:rPr>
          <w:rFonts w:ascii="Times New Roman" w:eastAsia="Times New Roman" w:hAnsi="Times New Roman"/>
          <w:color w:val="000000" w:themeColor="text1"/>
        </w:rPr>
        <w:fldChar w:fldCharType="begin" w:fldLock="1"/>
      </w:r>
      <w:r w:rsidR="0003735A">
        <w:rPr>
          <w:rFonts w:ascii="Times New Roman" w:eastAsia="Times New Roman" w:hAnsi="Times New Roman"/>
          <w:color w:val="000000" w:themeColor="text1"/>
        </w:rPr>
        <w:instrText>ADDIN CSL_CITATION {"citationItems":[{"id":"ITEM-1","itemData":{"DOI":"10.1007/978-3-030-53183-6_24","author":[{"dropping-particle":"","family":"Rhodes","given":"James Ian","non-dropping-particle":"","parse-names":false,"suffix":""},{"dropping-particle":"","family":"Mandivenyi","given":"Wadzi","non-dropping-particle":"","parse-names":false,"suffix":""}],"id":"ITEM-1","issued":{"date-parts":[["2020"]]},"page":"495-499","title":"South Africa—Synthetic Biology Regulatory Considerations and Biodiversity – A Legal Perspective for South Africa","type":"chapter"},"uris":["http://www.mendeley.com/documents/?uuid=c08e8d16-a850-43c4-8ce0-d859f4fa9651"]}],"mendeley":{"formattedCitation":"(Rhodes &amp; Mandivenyi, 2020)","plainTextFormattedCitation":"(Rhodes &amp; Mandivenyi, 2020)","previouslyFormattedCitation":"(Rhodes &amp; Mandivenyi, 2020)"},"properties":{"noteIndex":0},"schema":"https://github.com/citation-style-language/schema/raw/master/csl-citation.json"}</w:instrText>
      </w:r>
      <w:r w:rsidR="003F256B">
        <w:rPr>
          <w:rFonts w:ascii="Times New Roman" w:eastAsia="Times New Roman" w:hAnsi="Times New Roman"/>
          <w:color w:val="000000" w:themeColor="text1"/>
        </w:rPr>
        <w:fldChar w:fldCharType="separate"/>
      </w:r>
      <w:r w:rsidR="003F256B" w:rsidRPr="003F256B">
        <w:rPr>
          <w:rFonts w:ascii="Times New Roman" w:eastAsia="Times New Roman" w:hAnsi="Times New Roman"/>
          <w:noProof/>
          <w:color w:val="000000" w:themeColor="text1"/>
        </w:rPr>
        <w:t>(Rhodes &amp; Mandivenyi, 2020)</w:t>
      </w:r>
      <w:r w:rsidR="003F256B">
        <w:rPr>
          <w:rFonts w:ascii="Times New Roman" w:eastAsia="Times New Roman" w:hAnsi="Times New Roman"/>
          <w:color w:val="000000" w:themeColor="text1"/>
        </w:rPr>
        <w:fldChar w:fldCharType="end"/>
      </w:r>
      <w:r w:rsidR="3AB08CF4" w:rsidRPr="00983925">
        <w:rPr>
          <w:rFonts w:ascii="Times New Roman" w:eastAsia="Times New Roman" w:hAnsi="Times New Roman"/>
          <w:color w:val="000000" w:themeColor="text1"/>
        </w:rPr>
        <w:t>.</w:t>
      </w:r>
    </w:p>
    <w:p w14:paraId="45039A86" w14:textId="6C3A0996" w:rsidR="003666B7" w:rsidRDefault="003C60D3" w:rsidP="00BD4EBC">
      <w:pPr>
        <w:spacing w:before="120" w:after="120" w:line="240" w:lineRule="auto"/>
        <w:jc w:val="both"/>
        <w:rPr>
          <w:rFonts w:ascii="Times New Roman" w:hAnsi="Times New Roman"/>
          <w:color w:val="000000" w:themeColor="text1"/>
          <w:lang w:eastAsia="ar-SA"/>
        </w:rPr>
      </w:pPr>
      <w:r>
        <w:rPr>
          <w:rFonts w:ascii="Times New Roman" w:hAnsi="Times New Roman"/>
          <w:color w:val="000000" w:themeColor="text1"/>
          <w:lang w:eastAsia="ar-SA"/>
        </w:rPr>
        <w:t xml:space="preserve">Similarly, </w:t>
      </w:r>
      <w:r w:rsidRPr="00983925">
        <w:rPr>
          <w:rFonts w:ascii="Times New Roman" w:hAnsi="Times New Roman"/>
          <w:color w:val="000000" w:themeColor="text1"/>
          <w:lang w:eastAsia="ar-SA"/>
        </w:rPr>
        <w:t>i</w:t>
      </w:r>
      <w:r w:rsidR="000D1098" w:rsidRPr="00983925">
        <w:rPr>
          <w:rFonts w:ascii="Times New Roman" w:hAnsi="Times New Roman"/>
          <w:color w:val="000000" w:themeColor="text1"/>
          <w:lang w:eastAsia="ar-SA"/>
        </w:rPr>
        <w:t>n</w:t>
      </w:r>
      <w:r w:rsidR="000D1098">
        <w:rPr>
          <w:rFonts w:ascii="Times New Roman" w:hAnsi="Times New Roman"/>
          <w:color w:val="000000" w:themeColor="text1"/>
          <w:lang w:eastAsia="ar-SA"/>
        </w:rPr>
        <w:t xml:space="preserve"> 2019, </w:t>
      </w:r>
      <w:r w:rsidR="004C291D">
        <w:rPr>
          <w:rFonts w:ascii="Times New Roman" w:hAnsi="Times New Roman"/>
          <w:color w:val="000000" w:themeColor="text1"/>
          <w:lang w:eastAsia="ar-SA"/>
        </w:rPr>
        <w:t>t</w:t>
      </w:r>
      <w:r w:rsidR="000D1098">
        <w:rPr>
          <w:rFonts w:ascii="Times New Roman" w:hAnsi="Times New Roman"/>
          <w:color w:val="000000" w:themeColor="text1"/>
          <w:lang w:eastAsia="ar-SA"/>
        </w:rPr>
        <w:t xml:space="preserve">he National Biosafety Management Agency of Nigeria amended the </w:t>
      </w:r>
      <w:r w:rsidR="000D1098" w:rsidRPr="00983925">
        <w:rPr>
          <w:rFonts w:ascii="Times New Roman" w:hAnsi="Times New Roman"/>
          <w:i/>
          <w:color w:val="000000" w:themeColor="text1"/>
          <w:lang w:eastAsia="ar-SA"/>
        </w:rPr>
        <w:t>National Biosafety Management Agency Act 2015</w:t>
      </w:r>
      <w:r w:rsidR="000D1098">
        <w:rPr>
          <w:rFonts w:ascii="Times New Roman" w:hAnsi="Times New Roman"/>
          <w:color w:val="000000" w:themeColor="text1"/>
          <w:lang w:eastAsia="ar-SA"/>
        </w:rPr>
        <w:t xml:space="preserve"> t</w:t>
      </w:r>
      <w:r w:rsidR="006F3A28">
        <w:rPr>
          <w:rFonts w:ascii="Times New Roman" w:hAnsi="Times New Roman"/>
          <w:color w:val="000000" w:themeColor="text1"/>
          <w:lang w:eastAsia="ar-SA"/>
        </w:rPr>
        <w:t xml:space="preserve">o account for new developments in synthetic </w:t>
      </w:r>
      <w:r w:rsidR="00341BEE">
        <w:rPr>
          <w:rFonts w:ascii="Times New Roman" w:hAnsi="Times New Roman"/>
          <w:color w:val="000000" w:themeColor="text1"/>
          <w:lang w:eastAsia="ar-SA"/>
        </w:rPr>
        <w:t xml:space="preserve">biology. With the amendment, the scope of the act was enlarged to </w:t>
      </w:r>
      <w:r w:rsidR="00422E73">
        <w:rPr>
          <w:rFonts w:ascii="Times New Roman" w:hAnsi="Times New Roman"/>
          <w:color w:val="000000" w:themeColor="text1"/>
          <w:lang w:eastAsia="ar-SA"/>
        </w:rPr>
        <w:t>cover emerging issues in modern biotechnology</w:t>
      </w:r>
      <w:r w:rsidR="003E49DD">
        <w:rPr>
          <w:rFonts w:ascii="Times New Roman" w:hAnsi="Times New Roman"/>
          <w:color w:val="000000" w:themeColor="text1"/>
          <w:lang w:eastAsia="ar-SA"/>
        </w:rPr>
        <w:t>.</w:t>
      </w:r>
      <w:r w:rsidR="002107F2">
        <w:rPr>
          <w:rFonts w:ascii="Times New Roman" w:hAnsi="Times New Roman"/>
          <w:color w:val="000000" w:themeColor="text1"/>
          <w:lang w:eastAsia="ar-SA"/>
        </w:rPr>
        <w:t xml:space="preserve"> Thus,</w:t>
      </w:r>
      <w:r w:rsidR="003E49DD">
        <w:rPr>
          <w:rFonts w:ascii="Times New Roman" w:hAnsi="Times New Roman"/>
          <w:color w:val="000000" w:themeColor="text1"/>
          <w:lang w:eastAsia="ar-SA"/>
        </w:rPr>
        <w:t xml:space="preserve"> </w:t>
      </w:r>
      <w:r w:rsidR="005A7F94">
        <w:rPr>
          <w:rFonts w:ascii="Times New Roman" w:hAnsi="Times New Roman"/>
          <w:color w:val="000000" w:themeColor="text1"/>
          <w:lang w:eastAsia="ar-SA"/>
        </w:rPr>
        <w:t>a</w:t>
      </w:r>
      <w:r w:rsidR="003E49DD">
        <w:rPr>
          <w:rFonts w:ascii="Times New Roman" w:hAnsi="Times New Roman"/>
          <w:color w:val="000000" w:themeColor="text1"/>
          <w:lang w:eastAsia="ar-SA"/>
        </w:rPr>
        <w:t xml:space="preserve"> person</w:t>
      </w:r>
      <w:r w:rsidR="00BB29D7">
        <w:rPr>
          <w:rFonts w:ascii="Times New Roman" w:hAnsi="Times New Roman"/>
          <w:color w:val="000000" w:themeColor="text1"/>
          <w:lang w:eastAsia="ar-SA"/>
        </w:rPr>
        <w:t xml:space="preserve">, institution or body </w:t>
      </w:r>
      <w:r w:rsidR="00172168">
        <w:rPr>
          <w:rFonts w:ascii="Times New Roman" w:hAnsi="Times New Roman"/>
          <w:color w:val="000000" w:themeColor="text1"/>
          <w:lang w:eastAsia="ar-SA"/>
        </w:rPr>
        <w:t xml:space="preserve">would need </w:t>
      </w:r>
      <w:r w:rsidR="00EC44E5">
        <w:rPr>
          <w:rFonts w:ascii="Times New Roman" w:hAnsi="Times New Roman"/>
          <w:color w:val="000000" w:themeColor="text1"/>
          <w:lang w:eastAsia="ar-SA"/>
        </w:rPr>
        <w:t xml:space="preserve">approval of the Agency </w:t>
      </w:r>
      <w:r w:rsidR="00393BFC">
        <w:rPr>
          <w:rFonts w:ascii="Times New Roman" w:hAnsi="Times New Roman"/>
          <w:color w:val="000000" w:themeColor="text1"/>
          <w:lang w:eastAsia="ar-SA"/>
        </w:rPr>
        <w:t>before</w:t>
      </w:r>
      <w:r w:rsidR="00EC44E5">
        <w:rPr>
          <w:rFonts w:ascii="Times New Roman" w:hAnsi="Times New Roman"/>
          <w:color w:val="000000" w:themeColor="text1"/>
          <w:lang w:eastAsia="ar-SA"/>
        </w:rPr>
        <w:t xml:space="preserve"> work</w:t>
      </w:r>
      <w:r w:rsidR="00393BFC">
        <w:rPr>
          <w:rFonts w:ascii="Times New Roman" w:hAnsi="Times New Roman"/>
          <w:color w:val="000000" w:themeColor="text1"/>
          <w:lang w:eastAsia="ar-SA"/>
        </w:rPr>
        <w:t xml:space="preserve">ing </w:t>
      </w:r>
      <w:r w:rsidR="00EC44E5">
        <w:rPr>
          <w:rFonts w:ascii="Times New Roman" w:hAnsi="Times New Roman"/>
          <w:color w:val="000000" w:themeColor="text1"/>
          <w:lang w:eastAsia="ar-SA"/>
        </w:rPr>
        <w:t>with</w:t>
      </w:r>
      <w:r w:rsidR="00796847">
        <w:rPr>
          <w:rFonts w:ascii="Times New Roman" w:hAnsi="Times New Roman"/>
          <w:color w:val="000000" w:themeColor="text1"/>
          <w:lang w:eastAsia="ar-SA"/>
        </w:rPr>
        <w:t xml:space="preserve"> engineered gene drives, genome editing and </w:t>
      </w:r>
      <w:r w:rsidR="00EC44E5">
        <w:rPr>
          <w:rFonts w:ascii="Times New Roman" w:hAnsi="Times New Roman"/>
          <w:color w:val="000000" w:themeColor="text1"/>
          <w:lang w:eastAsia="ar-SA"/>
        </w:rPr>
        <w:t>synthetic biology</w:t>
      </w:r>
      <w:r w:rsidR="00CE2B96">
        <w:rPr>
          <w:rFonts w:ascii="Times New Roman" w:hAnsi="Times New Roman"/>
          <w:color w:val="000000" w:themeColor="text1"/>
          <w:lang w:eastAsia="ar-SA"/>
        </w:rPr>
        <w:t xml:space="preserve"> </w:t>
      </w:r>
      <w:r w:rsidR="00A02DC3">
        <w:rPr>
          <w:rFonts w:ascii="Times New Roman" w:hAnsi="Times New Roman"/>
          <w:color w:val="000000" w:themeColor="text1"/>
          <w:lang w:eastAsia="ar-SA"/>
        </w:rPr>
        <w:fldChar w:fldCharType="begin" w:fldLock="1"/>
      </w:r>
      <w:r w:rsidR="001A2114">
        <w:rPr>
          <w:rFonts w:ascii="Times New Roman" w:hAnsi="Times New Roman"/>
          <w:color w:val="000000" w:themeColor="text1"/>
          <w:lang w:eastAsia="ar-SA"/>
        </w:rPr>
        <w:instrText>ADDIN CSL_CITATION {"citationItems":[{"id":"ITEM-1","itemData":{"author":[{"dropping-particle":"","family":"National Biosafety Management Agency","given":"","non-dropping-particle":"","parse-names":false,"suffix":""}],"id":"ITEM-1","issued":{"date-parts":[["2019"]]},"publisher-place":"Abuja, Nigeria","title":"National Biosafety Management Agency (Amendment) Act, 2019","type":"article"},"uris":["http://www.mendeley.com/documents/?uuid=b0edbee7-23cb-4d02-9198-f26553a64c75"]}],"mendeley":{"formattedCitation":"(National Biosafety Management Agency, 2019)","plainTextFormattedCitation":"(National Biosafety Management Agency, 2019)","previouslyFormattedCitation":"(National Biosafety Management Agency, 2019)"},"properties":{"noteIndex":0},"schema":"https://github.com/citation-style-language/schema/raw/master/csl-citation.json"}</w:instrText>
      </w:r>
      <w:r w:rsidR="00A02DC3">
        <w:rPr>
          <w:rFonts w:ascii="Times New Roman" w:hAnsi="Times New Roman"/>
          <w:color w:val="000000" w:themeColor="text1"/>
          <w:lang w:eastAsia="ar-SA"/>
        </w:rPr>
        <w:fldChar w:fldCharType="separate"/>
      </w:r>
      <w:r w:rsidR="001A2114" w:rsidRPr="001A2114">
        <w:rPr>
          <w:rFonts w:ascii="Times New Roman" w:hAnsi="Times New Roman"/>
          <w:noProof/>
          <w:color w:val="000000" w:themeColor="text1"/>
          <w:lang w:eastAsia="ar-SA"/>
        </w:rPr>
        <w:t>(National Biosafety Management Agency, 2019)</w:t>
      </w:r>
      <w:r w:rsidR="00A02DC3">
        <w:rPr>
          <w:rFonts w:ascii="Times New Roman" w:hAnsi="Times New Roman"/>
          <w:color w:val="000000" w:themeColor="text1"/>
          <w:lang w:eastAsia="ar-SA"/>
        </w:rPr>
        <w:fldChar w:fldCharType="end"/>
      </w:r>
      <w:r w:rsidR="00EC44E5">
        <w:rPr>
          <w:rFonts w:ascii="Times New Roman" w:hAnsi="Times New Roman"/>
          <w:color w:val="000000" w:themeColor="text1"/>
          <w:lang w:eastAsia="ar-SA"/>
        </w:rPr>
        <w:t>.</w:t>
      </w:r>
    </w:p>
    <w:p w14:paraId="21D94E61" w14:textId="584FB0CC" w:rsidR="00855A76" w:rsidRPr="000541A6" w:rsidRDefault="00855A76" w:rsidP="00855A76">
      <w:pPr>
        <w:pStyle w:val="Heading3"/>
        <w:rPr>
          <w:lang w:val="en-GB"/>
        </w:rPr>
      </w:pPr>
      <w:bookmarkStart w:id="117" w:name="_Toc70112701"/>
      <w:bookmarkStart w:id="118" w:name="_Toc70685723"/>
      <w:r>
        <w:rPr>
          <w:shd w:val="clear" w:color="auto" w:fill="FFFFFF"/>
          <w:lang w:val="en-US"/>
        </w:rPr>
        <w:t>7</w:t>
      </w:r>
      <w:r>
        <w:rPr>
          <w:shd w:val="clear" w:color="auto" w:fill="FFFFFF"/>
        </w:rPr>
        <w:t>.</w:t>
      </w:r>
      <w:r>
        <w:rPr>
          <w:shd w:val="clear" w:color="auto" w:fill="FFFFFF"/>
          <w:lang w:val="en-US"/>
        </w:rPr>
        <w:t>3</w:t>
      </w:r>
      <w:r w:rsidRPr="008805B8">
        <w:rPr>
          <w:shd w:val="clear" w:color="auto" w:fill="FFFFFF"/>
        </w:rPr>
        <w:t xml:space="preserve">. Self-Regulation </w:t>
      </w:r>
      <w:r w:rsidR="00B13B62" w:rsidRPr="008805B8">
        <w:rPr>
          <w:shd w:val="clear" w:color="auto" w:fill="FFFFFF"/>
        </w:rPr>
        <w:t>by the scientific community &amp; moratori</w:t>
      </w:r>
      <w:r w:rsidR="00B13B62">
        <w:rPr>
          <w:shd w:val="clear" w:color="auto" w:fill="FFFFFF"/>
          <w:lang w:val="en-GB"/>
        </w:rPr>
        <w:t>a</w:t>
      </w:r>
      <w:r w:rsidR="00945514">
        <w:rPr>
          <w:shd w:val="clear" w:color="auto" w:fill="FFFFFF"/>
          <w:lang w:val="en-GB"/>
        </w:rPr>
        <w:t>.</w:t>
      </w:r>
      <w:bookmarkEnd w:id="117"/>
      <w:bookmarkEnd w:id="118"/>
    </w:p>
    <w:p w14:paraId="28A0A85F" w14:textId="0C7EB9B4" w:rsidR="00855A76" w:rsidRPr="008805B8" w:rsidRDefault="00855A76" w:rsidP="00855A76">
      <w:pPr>
        <w:suppressAutoHyphens/>
        <w:spacing w:after="120" w:line="240" w:lineRule="auto"/>
        <w:jc w:val="both"/>
        <w:rPr>
          <w:rFonts w:ascii="Times New Roman" w:hAnsi="Times New Roman"/>
          <w:kern w:val="22"/>
        </w:rPr>
      </w:pPr>
      <w:r w:rsidRPr="008805B8">
        <w:rPr>
          <w:rFonts w:ascii="Times New Roman" w:hAnsi="Times New Roman"/>
          <w:kern w:val="22"/>
        </w:rPr>
        <w:t>In this section</w:t>
      </w:r>
      <w:r w:rsidR="00BE034F">
        <w:rPr>
          <w:rFonts w:ascii="Times New Roman" w:hAnsi="Times New Roman"/>
          <w:kern w:val="22"/>
        </w:rPr>
        <w:t>,</w:t>
      </w:r>
      <w:r w:rsidRPr="008805B8">
        <w:rPr>
          <w:rFonts w:ascii="Times New Roman" w:hAnsi="Times New Roman"/>
          <w:kern w:val="22"/>
        </w:rPr>
        <w:t xml:space="preserve"> illustrative examples </w:t>
      </w:r>
      <w:r>
        <w:rPr>
          <w:rFonts w:ascii="Times New Roman" w:hAnsi="Times New Roman"/>
          <w:kern w:val="22"/>
        </w:rPr>
        <w:t>of</w:t>
      </w:r>
      <w:r w:rsidRPr="008805B8">
        <w:rPr>
          <w:rFonts w:ascii="Times New Roman" w:hAnsi="Times New Roman"/>
          <w:kern w:val="22"/>
        </w:rPr>
        <w:t xml:space="preserve"> self-regulation by the scientific community commencing with the Asilomar Declaration in 1979 and subsequent calls for moratori</w:t>
      </w:r>
      <w:r>
        <w:rPr>
          <w:rFonts w:ascii="Times New Roman" w:hAnsi="Times New Roman"/>
          <w:kern w:val="22"/>
        </w:rPr>
        <w:t>a</w:t>
      </w:r>
      <w:r w:rsidRPr="008805B8">
        <w:rPr>
          <w:rFonts w:ascii="Times New Roman" w:hAnsi="Times New Roman"/>
          <w:kern w:val="22"/>
        </w:rPr>
        <w:t xml:space="preserve"> relevant to synthetic biology</w:t>
      </w:r>
      <w:r w:rsidR="00BE034F">
        <w:rPr>
          <w:rFonts w:ascii="Times New Roman" w:hAnsi="Times New Roman"/>
          <w:kern w:val="22"/>
        </w:rPr>
        <w:t xml:space="preserve"> are</w:t>
      </w:r>
      <w:r w:rsidR="00DE7CFB">
        <w:rPr>
          <w:rFonts w:ascii="Times New Roman" w:hAnsi="Times New Roman"/>
          <w:kern w:val="22"/>
        </w:rPr>
        <w:t xml:space="preserve"> </w:t>
      </w:r>
      <w:r w:rsidR="00BE034F">
        <w:rPr>
          <w:rFonts w:ascii="Times New Roman" w:hAnsi="Times New Roman"/>
          <w:kern w:val="22"/>
        </w:rPr>
        <w:t>provided</w:t>
      </w:r>
      <w:r w:rsidRPr="008805B8">
        <w:rPr>
          <w:rFonts w:ascii="Times New Roman" w:hAnsi="Times New Roman"/>
          <w:kern w:val="22"/>
        </w:rPr>
        <w:t>. Self-regulation is also considered in the context of the annual iGEM</w:t>
      </w:r>
      <w:r>
        <w:rPr>
          <w:rFonts w:ascii="Times New Roman" w:hAnsi="Times New Roman"/>
          <w:kern w:val="22"/>
        </w:rPr>
        <w:t xml:space="preserve"> competition</w:t>
      </w:r>
      <w:r w:rsidRPr="008805B8">
        <w:rPr>
          <w:rFonts w:ascii="Times New Roman" w:hAnsi="Times New Roman"/>
          <w:kern w:val="22"/>
        </w:rPr>
        <w:t xml:space="preserve"> which since 2003 gives students the opportunity to push the boundaries of synthetic biology by tackling everyday issues facing the world. Such initiatives can and do influence discussions at</w:t>
      </w:r>
      <w:r>
        <w:rPr>
          <w:rFonts w:ascii="Times New Roman" w:hAnsi="Times New Roman"/>
          <w:kern w:val="22"/>
        </w:rPr>
        <w:t xml:space="preserve"> the</w:t>
      </w:r>
      <w:r w:rsidRPr="008805B8">
        <w:rPr>
          <w:rFonts w:ascii="Times New Roman" w:hAnsi="Times New Roman"/>
          <w:kern w:val="22"/>
        </w:rPr>
        <w:t xml:space="preserve"> international level and therefore can also have potential implications on the governance of synthetic biology.</w:t>
      </w:r>
    </w:p>
    <w:p w14:paraId="191A7513" w14:textId="4015B2C2" w:rsidR="5EEA41E0" w:rsidRDefault="098FD0EA" w:rsidP="5EEA41E0">
      <w:pPr>
        <w:spacing w:after="120" w:line="240" w:lineRule="auto"/>
        <w:jc w:val="both"/>
        <w:rPr>
          <w:rFonts w:ascii="Times New Roman" w:hAnsi="Times New Roman"/>
        </w:rPr>
      </w:pPr>
      <w:r w:rsidRPr="5EEA41E0">
        <w:rPr>
          <w:rFonts w:ascii="Times New Roman" w:hAnsi="Times New Roman"/>
        </w:rPr>
        <w:t xml:space="preserve">Self-regulation in this context does </w:t>
      </w:r>
      <w:r w:rsidRPr="5EEA41E0">
        <w:rPr>
          <w:rFonts w:ascii="Times New Roman" w:hAnsi="Times New Roman"/>
          <w:i/>
          <w:iCs/>
        </w:rPr>
        <w:t xml:space="preserve">not </w:t>
      </w:r>
      <w:r w:rsidRPr="5EEA41E0">
        <w:rPr>
          <w:rFonts w:ascii="Times New Roman" w:hAnsi="Times New Roman"/>
        </w:rPr>
        <w:t xml:space="preserve">mean that scientific practices are unregulated by national or other levels of government. Rather, it refers to a portion of the scientific community agreeing amongst themselves on certain conduct, generally additional to any existing legal or regulatory obligations. Self-regulation is sometimes discussed as an option </w:t>
      </w:r>
      <w:r w:rsidRPr="5EEA41E0">
        <w:rPr>
          <w:rFonts w:ascii="Times New Roman" w:hAnsi="Times New Roman"/>
          <w:i/>
          <w:iCs/>
        </w:rPr>
        <w:t xml:space="preserve">in lieu of </w:t>
      </w:r>
      <w:r w:rsidRPr="5EEA41E0">
        <w:rPr>
          <w:rFonts w:ascii="Times New Roman" w:hAnsi="Times New Roman"/>
        </w:rPr>
        <w:t xml:space="preserve">formal statutory oversight (see </w:t>
      </w:r>
      <w:r w:rsidR="001A2114">
        <w:rPr>
          <w:rFonts w:ascii="Times New Roman" w:hAnsi="Times New Roman"/>
        </w:rPr>
        <w:fldChar w:fldCharType="begin" w:fldLock="1"/>
      </w:r>
      <w:r w:rsidR="001A2114">
        <w:rPr>
          <w:rFonts w:ascii="Times New Roman" w:hAnsi="Times New Roman"/>
        </w:rPr>
        <w:instrText>ADDIN CSL_CITATION {"citationItems":[{"id":"ITEM-1","itemData":{"author":[{"dropping-particle":"","family":"Balmer","given":"Andrew","non-dropping-particle":"","parse-names":false,"suffix":""},{"dropping-particle":"","family":"Martin","given":"Paul","non-dropping-particle":"","parse-names":false,"suffix":""}],"id":"ITEM-1","issued":{"date-parts":[["2008"]]},"publisher":"Biotechnology and Biological Sciences Research Council (UK)","title":"Synthetic Biology: Social and Ethical Challenges","type":"article"},"uris":["http://www.mendeley.com/documents/?uuid=9fd155bb-4d00-4cac-a2ae-115dfa87c826"]}],"mendeley":{"formattedCitation":"(Balmer &amp; Martin, 2008)","manualFormatting":"Balmer &amp; Martin, 2008)","plainTextFormattedCitation":"(Balmer &amp; Martin, 2008)","previouslyFormattedCitation":"(Balmer &amp; Martin, 2008)"},"properties":{"noteIndex":0},"schema":"https://github.com/citation-style-language/schema/raw/master/csl-citation.json"}</w:instrText>
      </w:r>
      <w:r w:rsidR="001A2114">
        <w:rPr>
          <w:rFonts w:ascii="Times New Roman" w:hAnsi="Times New Roman"/>
        </w:rPr>
        <w:fldChar w:fldCharType="separate"/>
      </w:r>
      <w:r w:rsidR="001A2114" w:rsidRPr="001A2114">
        <w:rPr>
          <w:rFonts w:ascii="Times New Roman" w:hAnsi="Times New Roman"/>
          <w:noProof/>
        </w:rPr>
        <w:t>Balmer &amp; Martin, 2008)</w:t>
      </w:r>
      <w:r w:rsidR="001A2114">
        <w:rPr>
          <w:rFonts w:ascii="Times New Roman" w:hAnsi="Times New Roman"/>
        </w:rPr>
        <w:fldChar w:fldCharType="end"/>
      </w:r>
      <w:r w:rsidRPr="5EEA41E0">
        <w:rPr>
          <w:rFonts w:ascii="Times New Roman" w:hAnsi="Times New Roman"/>
        </w:rPr>
        <w:t>, but it is rarely a matter of either/or.</w:t>
      </w:r>
    </w:p>
    <w:p w14:paraId="366802C7" w14:textId="712E95B9" w:rsidR="00855A76" w:rsidRPr="005C3D22" w:rsidRDefault="00855A76" w:rsidP="00855A76">
      <w:pPr>
        <w:pStyle w:val="Heading4"/>
        <w:rPr>
          <w:i w:val="0"/>
        </w:rPr>
      </w:pPr>
      <w:r w:rsidRPr="005C3D22">
        <w:rPr>
          <w:i w:val="0"/>
        </w:rPr>
        <w:t>7.3.1. Asilomar Declaration</w:t>
      </w:r>
      <w:r w:rsidR="00945514" w:rsidRPr="005C3D22">
        <w:rPr>
          <w:i w:val="0"/>
        </w:rPr>
        <w:t>.</w:t>
      </w:r>
      <w:r w:rsidRPr="005C3D22">
        <w:rPr>
          <w:i w:val="0"/>
        </w:rPr>
        <w:t xml:space="preserve"> </w:t>
      </w:r>
    </w:p>
    <w:p w14:paraId="7283A7B4" w14:textId="5556402D" w:rsidR="00855A76" w:rsidRPr="008805B8" w:rsidRDefault="00855A76" w:rsidP="00855A76">
      <w:pPr>
        <w:suppressAutoHyphens/>
        <w:spacing w:after="120" w:line="240" w:lineRule="auto"/>
        <w:jc w:val="both"/>
        <w:rPr>
          <w:rFonts w:ascii="Times New Roman" w:hAnsi="Times New Roman"/>
          <w:kern w:val="22"/>
        </w:rPr>
      </w:pPr>
      <w:r w:rsidRPr="008805B8">
        <w:rPr>
          <w:rFonts w:ascii="Times New Roman" w:hAnsi="Times New Roman"/>
          <w:kern w:val="22"/>
        </w:rPr>
        <w:t xml:space="preserve">In the past, scientists in biotechnology have practiced “self-regulation.” In 1975, scientists </w:t>
      </w:r>
      <w:r>
        <w:rPr>
          <w:rFonts w:ascii="Times New Roman" w:hAnsi="Times New Roman"/>
          <w:kern w:val="22"/>
        </w:rPr>
        <w:t xml:space="preserve">in the </w:t>
      </w:r>
      <w:r w:rsidRPr="008805B8">
        <w:rPr>
          <w:rFonts w:ascii="Times New Roman" w:hAnsi="Times New Roman"/>
          <w:kern w:val="22"/>
        </w:rPr>
        <w:t>US</w:t>
      </w:r>
      <w:r>
        <w:rPr>
          <w:rFonts w:ascii="Times New Roman" w:hAnsi="Times New Roman"/>
          <w:kern w:val="22"/>
        </w:rPr>
        <w:t>A</w:t>
      </w:r>
      <w:r w:rsidRPr="008805B8">
        <w:rPr>
          <w:rFonts w:ascii="Times New Roman" w:hAnsi="Times New Roman"/>
          <w:kern w:val="22"/>
        </w:rPr>
        <w:t xml:space="preserve"> working on recombinant DNA technologies agreed to a short-lived moratorium on some aspects of their work through the </w:t>
      </w:r>
      <w:r w:rsidRPr="008805B8">
        <w:rPr>
          <w:rFonts w:ascii="Times New Roman" w:hAnsi="Times New Roman"/>
          <w:i/>
          <w:iCs/>
          <w:kern w:val="22"/>
        </w:rPr>
        <w:t>Asilomar Declaration</w:t>
      </w:r>
      <w:r w:rsidRPr="008805B8">
        <w:rPr>
          <w:rFonts w:ascii="Times New Roman" w:hAnsi="Times New Roman"/>
          <w:kern w:val="22"/>
        </w:rPr>
        <w:t xml:space="preserve"> </w:t>
      </w:r>
      <w:r w:rsidR="001A2114">
        <w:rPr>
          <w:rFonts w:ascii="Times New Roman" w:hAnsi="Times New Roman"/>
          <w:kern w:val="22"/>
        </w:rPr>
        <w:fldChar w:fldCharType="begin" w:fldLock="1"/>
      </w:r>
      <w:r w:rsidR="001A2114">
        <w:rPr>
          <w:rFonts w:ascii="Times New Roman" w:hAnsi="Times New Roman"/>
          <w:kern w:val="22"/>
        </w:rPr>
        <w:instrText>ADDIN CSL_CITATION {"citationItems":[{"id":"ITEM-1","itemData":{"DOI":"10.1126/science.1056638","ISSN":"0036-8075","author":[{"dropping-particle":"","family":"Berg","given":"P","non-dropping-particle":"","parse-names":false,"suffix":""},{"dropping-particle":"","family":"Baltimore","given":"D","non-dropping-particle":"","parse-names":false,"suffix":""},{"dropping-particle":"","family":"Brenner","given":"S","non-dropping-particle":"","parse-names":false,"suffix":""},{"dropping-particle":"","family":"Roblin","given":"R.","non-dropping-particle":"","parse-names":false,"suffix":""},{"dropping-particle":"","family":"Singer","given":"M.","non-dropping-particle":"","parse-names":false,"suffix":""}],"container-title":"Science","id":"ITEM-1","issue":"4192","issued":{"date-parts":[["1975","6","6"]]},"page":"991-994","title":"Asilomar conference on recombinant DNA molecules","type":"article-journal","volume":"188"},"uris":["http://www.mendeley.com/documents/?uuid=05e18606-58c3-480c-89e4-4b1131b70a0b"]}],"mendeley":{"formattedCitation":"(Berg et al., 1975)","plainTextFormattedCitation":"(Berg et al., 1975)","previouslyFormattedCitation":"(Berg et al., 1975)"},"properties":{"noteIndex":0},"schema":"https://github.com/citation-style-language/schema/raw/master/csl-citation.json"}</w:instrText>
      </w:r>
      <w:r w:rsidR="001A2114">
        <w:rPr>
          <w:rFonts w:ascii="Times New Roman" w:hAnsi="Times New Roman"/>
          <w:kern w:val="22"/>
        </w:rPr>
        <w:fldChar w:fldCharType="separate"/>
      </w:r>
      <w:r w:rsidR="001A2114" w:rsidRPr="001A2114">
        <w:rPr>
          <w:rFonts w:ascii="Times New Roman" w:hAnsi="Times New Roman"/>
          <w:noProof/>
          <w:kern w:val="22"/>
        </w:rPr>
        <w:t>(Berg et al., 1975)</w:t>
      </w:r>
      <w:r w:rsidR="001A2114">
        <w:rPr>
          <w:rFonts w:ascii="Times New Roman" w:hAnsi="Times New Roman"/>
          <w:kern w:val="22"/>
        </w:rPr>
        <w:fldChar w:fldCharType="end"/>
      </w:r>
      <w:r w:rsidRPr="008805B8">
        <w:rPr>
          <w:rFonts w:ascii="Times New Roman" w:hAnsi="Times New Roman"/>
          <w:kern w:val="22"/>
        </w:rPr>
        <w:t xml:space="preserve"> issued in 1975 at the Asilomar Conference on Recombinant DNA Molecules</w:t>
      </w:r>
      <w:r>
        <w:rPr>
          <w:rFonts w:ascii="Times New Roman" w:hAnsi="Times New Roman"/>
          <w:kern w:val="22"/>
        </w:rPr>
        <w:t>, and</w:t>
      </w:r>
      <w:r w:rsidRPr="008805B8">
        <w:rPr>
          <w:rFonts w:ascii="Times New Roman" w:hAnsi="Times New Roman"/>
          <w:kern w:val="22"/>
        </w:rPr>
        <w:t xml:space="preserve"> attended by 140 scientists predominantly from public institutions around the world, as well as lawyers, government officials and members of the media (</w:t>
      </w:r>
      <w:r w:rsidRPr="0070050C">
        <w:rPr>
          <w:rFonts w:ascii="Times New Roman" w:hAnsi="Times New Roman"/>
          <w:kern w:val="22"/>
        </w:rPr>
        <w:t>Keiper and Atanassova, 2020</w:t>
      </w:r>
      <w:r w:rsidRPr="008805B8">
        <w:rPr>
          <w:rFonts w:ascii="Times New Roman" w:hAnsi="Times New Roman"/>
          <w:kern w:val="22"/>
        </w:rPr>
        <w:t xml:space="preserve">). The moratorium involved deferring experiments on highly pathogenic organisms, toxic genes, and </w:t>
      </w:r>
      <w:r w:rsidRPr="008805B8" w:rsidDel="00D66BAC">
        <w:rPr>
          <w:rFonts w:ascii="Times New Roman" w:hAnsi="Times New Roman"/>
          <w:kern w:val="22"/>
        </w:rPr>
        <w:t>large</w:t>
      </w:r>
      <w:r w:rsidRPr="008805B8">
        <w:rPr>
          <w:rFonts w:ascii="Times New Roman" w:hAnsi="Times New Roman"/>
          <w:kern w:val="22"/>
        </w:rPr>
        <w:t xml:space="preserve">-scale experiments, and containment safeguards for continuing research. </w:t>
      </w:r>
    </w:p>
    <w:p w14:paraId="615AC02F" w14:textId="0C922F22" w:rsidR="00DF1CC0" w:rsidRDefault="00855A76" w:rsidP="00855A76">
      <w:pPr>
        <w:suppressAutoHyphens/>
        <w:spacing w:after="120" w:line="240" w:lineRule="auto"/>
        <w:jc w:val="both"/>
        <w:rPr>
          <w:rFonts w:ascii="Times New Roman" w:hAnsi="Times New Roman"/>
          <w:kern w:val="22"/>
        </w:rPr>
      </w:pPr>
      <w:r w:rsidRPr="008805B8">
        <w:rPr>
          <w:rFonts w:ascii="Times New Roman" w:hAnsi="Times New Roman"/>
          <w:kern w:val="22"/>
        </w:rPr>
        <w:t>After Asilomar, precautions for rDNA experiments gradually relaxed thereby laying the foundations for many of the technologies which underpin synthetic biology</w:t>
      </w:r>
      <w:r>
        <w:rPr>
          <w:rFonts w:ascii="Times New Roman" w:hAnsi="Times New Roman"/>
          <w:kern w:val="22"/>
        </w:rPr>
        <w:t xml:space="preserve"> today</w:t>
      </w:r>
      <w:r w:rsidRPr="008805B8">
        <w:rPr>
          <w:rFonts w:ascii="Times New Roman" w:hAnsi="Times New Roman"/>
          <w:kern w:val="22"/>
        </w:rPr>
        <w:t xml:space="preserve">. This relaxation has been attributed to the low incidence of accidents (Schmidt and Lorenzo 2010) and a “culture of safety” </w:t>
      </w:r>
      <w:r w:rsidR="001A2114">
        <w:rPr>
          <w:rFonts w:ascii="Times New Roman" w:hAnsi="Times New Roman"/>
          <w:kern w:val="22"/>
        </w:rPr>
        <w:fldChar w:fldCharType="begin" w:fldLock="1"/>
      </w:r>
      <w:r w:rsidR="001A2114">
        <w:rPr>
          <w:rFonts w:ascii="Times New Roman" w:hAnsi="Times New Roman"/>
          <w:kern w:val="22"/>
        </w:rPr>
        <w:instrText>ADDIN CSL_CITATION {"citationItems":[{"id":"ITEM-1","itemData":{"DOI":"10.1126/science.1211066","ISSN":"0036-8075","abstract":"In our view, synthetic biology is an extension of the continuum of genetic science that has been used safely for more than 40 years by the biotechnology industry in the development of commercial products. Examples of synthetic biology use by biotechnology companies illustrate the potential to substantially reduce research and development time and to increase speed to market. Improvements in the speed and cost of DNA synthesis are enabling scientists to design modified bacterial chromosomes that can be used in the production of renewable chemicals, biofuels, bioproducts, renewable specialty chemicals, pharmaceutical intermediates, fine chemicals, food ingredients, and health care products. Regulatory options should support innovation and commercial development of new products while protecting the public from potential harms.","author":[{"dropping-particle":"","family":"Erickson","given":"Brent","non-dropping-particle":"","parse-names":false,"suffix":""},{"dropping-particle":"","family":"Singh","given":"Rina","non-dropping-particle":"","parse-names":false,"suffix":""},{"dropping-particle":"","family":"Winters","given":"Paul","non-dropping-particle":"","parse-names":false,"suffix":""}],"container-title":"Science","id":"ITEM-1","issue":"6047","issued":{"date-parts":[["2011","9","2"]]},"page":"1254-1256","title":"Synthetic Biology: Regulating Industry Uses of New Biotechnologies","type":"article-journal","volume":"333"},"uris":["http://www.mendeley.com/documents/?uuid=ec5a3bd2-48cf-4401-a099-c0f0099859c1"]}],"mendeley":{"formattedCitation":"(Erickson et al., 2011)","plainTextFormattedCitation":"(Erickson et al., 2011)","previouslyFormattedCitation":"(Erickson et al., 2011)"},"properties":{"noteIndex":0},"schema":"https://github.com/citation-style-language/schema/raw/master/csl-citation.json"}</w:instrText>
      </w:r>
      <w:r w:rsidR="001A2114">
        <w:rPr>
          <w:rFonts w:ascii="Times New Roman" w:hAnsi="Times New Roman"/>
          <w:kern w:val="22"/>
        </w:rPr>
        <w:fldChar w:fldCharType="separate"/>
      </w:r>
      <w:r w:rsidR="001A2114" w:rsidRPr="001A2114">
        <w:rPr>
          <w:rFonts w:ascii="Times New Roman" w:hAnsi="Times New Roman"/>
          <w:noProof/>
          <w:kern w:val="22"/>
        </w:rPr>
        <w:t>(Erickson et al., 2011)</w:t>
      </w:r>
      <w:r w:rsidR="001A2114">
        <w:rPr>
          <w:rFonts w:ascii="Times New Roman" w:hAnsi="Times New Roman"/>
          <w:kern w:val="22"/>
        </w:rPr>
        <w:fldChar w:fldCharType="end"/>
      </w:r>
      <w:r w:rsidRPr="008805B8">
        <w:rPr>
          <w:rFonts w:ascii="Times New Roman" w:hAnsi="Times New Roman"/>
          <w:kern w:val="22"/>
        </w:rPr>
        <w:t xml:space="preserve">involving rDNA despite its increased use. Critics of self-regulation see the </w:t>
      </w:r>
      <w:r w:rsidRPr="008805B8">
        <w:rPr>
          <w:rFonts w:ascii="Times New Roman" w:hAnsi="Times New Roman"/>
          <w:i/>
          <w:iCs/>
          <w:kern w:val="22"/>
        </w:rPr>
        <w:t>Asilomar Declaration</w:t>
      </w:r>
      <w:r w:rsidRPr="008805B8">
        <w:rPr>
          <w:rFonts w:ascii="Times New Roman" w:hAnsi="Times New Roman"/>
          <w:kern w:val="22"/>
        </w:rPr>
        <w:t xml:space="preserve"> as a strategic move to pre-empt greater government oversight and narrow the focus of concern </w:t>
      </w:r>
      <w:r w:rsidR="001A2114">
        <w:rPr>
          <w:rFonts w:ascii="Times New Roman" w:hAnsi="Times New Roman"/>
          <w:kern w:val="22"/>
        </w:rPr>
        <w:fldChar w:fldCharType="begin" w:fldLock="1"/>
      </w:r>
      <w:r w:rsidR="00F27787">
        <w:rPr>
          <w:rFonts w:ascii="Times New Roman" w:hAnsi="Times New Roman"/>
          <w:kern w:val="22"/>
        </w:rPr>
        <w:instrText>ADDIN CSL_CITATION {"citationItems":[{"id":"ITEM-1","itemData":{"author":[{"dropping-particle":"","family":"ETC Group","given":"","non-dropping-particle":"","parse-names":false,"suffix":""}],"id":"ITEM-1","issued":{"date-parts":[["2007"]]},"title":"Extreme Genetic Engineering: An Introduction to Synthetic Biology","type":"article"},"uris":["http://www.mendeley.com/documents/?uuid=7902b62c-3045-49e4-8d29-256ccee90d63"]}],"mendeley":{"formattedCitation":"(ETC Group, 2007a)","manualFormatting":"(ETC Group, 2007)","plainTextFormattedCitation":"(ETC Group, 2007a)","previouslyFormattedCitation":"(ETC Group, 2007a)"},"properties":{"noteIndex":0},"schema":"https://github.com/citation-style-language/schema/raw/master/csl-citation.json"}</w:instrText>
      </w:r>
      <w:r w:rsidR="001A2114">
        <w:rPr>
          <w:rFonts w:ascii="Times New Roman" w:hAnsi="Times New Roman"/>
          <w:kern w:val="22"/>
        </w:rPr>
        <w:fldChar w:fldCharType="separate"/>
      </w:r>
      <w:r w:rsidR="0029457D" w:rsidRPr="0029457D">
        <w:rPr>
          <w:rFonts w:ascii="Times New Roman" w:hAnsi="Times New Roman"/>
          <w:noProof/>
          <w:kern w:val="22"/>
        </w:rPr>
        <w:t>(ETC Group, 2007)</w:t>
      </w:r>
      <w:r w:rsidR="001A2114">
        <w:rPr>
          <w:rFonts w:ascii="Times New Roman" w:hAnsi="Times New Roman"/>
          <w:kern w:val="22"/>
        </w:rPr>
        <w:fldChar w:fldCharType="end"/>
      </w:r>
      <w:r w:rsidRPr="008805B8">
        <w:rPr>
          <w:rFonts w:ascii="Times New Roman" w:hAnsi="Times New Roman"/>
          <w:kern w:val="22"/>
        </w:rPr>
        <w:t>.</w:t>
      </w:r>
    </w:p>
    <w:p w14:paraId="3C66D8BE" w14:textId="77A18AAD" w:rsidR="00855A76" w:rsidRPr="008805B8" w:rsidRDefault="00DF1CC0" w:rsidP="00855A76">
      <w:pPr>
        <w:suppressAutoHyphens/>
        <w:spacing w:after="120" w:line="240" w:lineRule="auto"/>
        <w:jc w:val="both"/>
        <w:rPr>
          <w:rFonts w:ascii="Times New Roman" w:hAnsi="Times New Roman"/>
          <w:kern w:val="22"/>
        </w:rPr>
      </w:pPr>
      <w:r w:rsidRPr="00DF1CC0">
        <w:rPr>
          <w:rFonts w:ascii="Times New Roman" w:hAnsi="Times New Roman"/>
          <w:kern w:val="22"/>
        </w:rPr>
        <w:t xml:space="preserve">The acknowledgment of uncertainties around hazards of rDNA, and the difficulty in obtaining accurate estimates of risk at Asilomar is heralded as the beginning of precautionary biosafety regulation in this field </w:t>
      </w:r>
      <w:r w:rsidR="00B36577">
        <w:rPr>
          <w:rFonts w:ascii="Times New Roman" w:hAnsi="Times New Roman"/>
          <w:kern w:val="22"/>
        </w:rPr>
        <w:fldChar w:fldCharType="begin" w:fldLock="1"/>
      </w:r>
      <w:r w:rsidR="00B36577">
        <w:rPr>
          <w:rFonts w:ascii="Times New Roman" w:hAnsi="Times New Roman"/>
          <w:kern w:val="22"/>
        </w:rPr>
        <w:instrText>ADDIN CSL_CITATION {"citationItems":[{"id":"ITEM-1","itemData":{"DOI":"10.1073/pnas.92.20.9011","ISSN":"0027-8424","author":[{"dropping-particle":"","family":"Berg","given":"P.","non-dropping-particle":"","parse-names":false,"suffix":""},{"dropping-particle":"","family":"Singer","given":"M. F.","non-dropping-particle":"","parse-names":false,"suffix":""}],"container-title":"Proceedings of the National Academy of Sciences","id":"ITEM-1","issue":"20","issued":{"date-parts":[["1995","9","26"]]},"page":"9011-9013","title":"The recombinant DNA controversy: twenty years later.","type":"article-journal","volume":"92"},"uris":["http://www.mendeley.com/documents/?uuid=9ea66a15-7ee8-478f-9699-b83cf3921df5"]},{"id":"ITEM-2","itemData":{"DOI":"10.1126/science.1056638","ISSN":"0036-8075","author":[{"dropping-particle":"","family":"Berg","given":"P","non-dropping-particle":"","parse-names":false,"suffix":""},{"dropping-particle":"","family":"Baltimore","given":"D","non-dropping-particle":"","parse-names":false,"suffix":""},{"dropping-particle":"","family":"Brenner","given":"S","non-dropping-particle":"","parse-names":false,"suffix":""},{"dropping-particle":"","family":"Roblin","given":"R.","non-dropping-particle":"","parse-names":false,"suffix":""},{"dropping-particle":"","family":"Singer","given":"M.","non-dropping-particle":"","parse-names":false,"suffix":""}],"container-title":"Science","id":"ITEM-2","issue":"4192","issued":{"date-parts":[["1975","6","6"]]},"page":"991-994","title":"Asilomar conference on recombinant DNA molecules","type":"article-journal","volume":"188"},"uris":["http://www.mendeley.com/documents/?uuid=05e18606-58c3-480c-89e4-4b1131b70a0b"]},{"id":"ITEM-3","itemData":{"DOI":"10.3389/fbioe.2020.00310","ISSN":"22964185","abstract":"The primary international forum deliberating the regulation of “synthetic biology” is the Convention on Biological Diversity (CBD), along with its subsidiary agreements concerned with the biosafety of living modified organisms (LMOs; Cartagena Protocol on Biosafety to the CBD), and access and benefit sharing in relation to genetic resources (Nagoya Protocol to the CBD). This discussion has been underway for almost 10 years under the CBD agenda items of “synthetic biology” and “new and emerging issues relating to the conservation and sustainable use of biological diversity,” and more recently within the scope of Cartagena Protocol topics including risk assessment and risk management, and “digital sequence information” jointly with the Nagoya Protocol. There is no internationally accepted definition of “synthetic biology,” with it used as an umbrella term in this forum to capture “new” biotechnologies and “new” applications of established biotechnologies, whether actual or conceptual. The CBD debates are characterized by polarized views on the adequacy of existing regulatory mechanisms for “new” types of LMOs, including the scope of the current regulatory frameworks, and procedures and tools for risk assessment and risk mitigation and/or management. This paper provides an overview of international developments in biotechnology regulation, including the application of the Cartagena Protocol and relevant policy developments, and reviews the development of the synthetic biology debate under the CBD and its Protocols, including the major issues expected in the lead up to and during the 2020 Biodiversity Conference.","author":[{"dropping-particle":"","family":"Keiper","given":"Felicity","non-dropping-particle":"","parse-names":false,"suffix":""},{"dropping-particle":"","family":"Atanassova","given":"Ana","non-dropping-particle":"","parse-names":false,"suffix":""}],"container-title":"Frontiers in Bioengineering and Biotechnology","id":"ITEM-3","issued":{"date-parts":[["2020","4"]]},"publisher":"Frontiers Media S.A.","title":"Regulation of Synthetic Biology: Developments Under the Convention on Biological Diversity and Its Protocols","type":"article","volume":"8"},"uris":["http://www.mendeley.com/documents/?uuid=23393071-c58e-4e1d-9c5d-5c2f47ddcef4"]}],"mendeley":{"formattedCitation":"(Berg et al., 1975; Berg &amp; Singer, 1995; Keiper &amp; Atanassova, 2020)","plainTextFormattedCitation":"(Berg et al., 1975; Berg &amp; Singer, 1995; Keiper &amp; Atanassova, 2020)","previouslyFormattedCitation":"(Berg et al., 1975; Berg &amp; Singer, 1995; Keiper &amp; Atanassova, 2020)"},"properties":{"noteIndex":0},"schema":"https://github.com/citation-style-language/schema/raw/master/csl-citation.json"}</w:instrText>
      </w:r>
      <w:r w:rsidR="00B36577">
        <w:rPr>
          <w:rFonts w:ascii="Times New Roman" w:hAnsi="Times New Roman"/>
          <w:kern w:val="22"/>
        </w:rPr>
        <w:fldChar w:fldCharType="separate"/>
      </w:r>
      <w:r w:rsidR="00B36577" w:rsidRPr="00B36577">
        <w:rPr>
          <w:rFonts w:ascii="Times New Roman" w:hAnsi="Times New Roman"/>
          <w:noProof/>
          <w:kern w:val="22"/>
        </w:rPr>
        <w:t>(Berg et al., 1975; Berg &amp; Singer, 1995; Keiper &amp; Atanassova, 2020)</w:t>
      </w:r>
      <w:r w:rsidR="00B36577">
        <w:rPr>
          <w:rFonts w:ascii="Times New Roman" w:hAnsi="Times New Roman"/>
          <w:kern w:val="22"/>
        </w:rPr>
        <w:fldChar w:fldCharType="end"/>
      </w:r>
      <w:r w:rsidRPr="00DF1CC0">
        <w:rPr>
          <w:rFonts w:ascii="Times New Roman" w:hAnsi="Times New Roman"/>
          <w:kern w:val="22"/>
        </w:rPr>
        <w:t>. As emerging technologies in this field continue to evolve, concerns about safety and appropriate regulatory oversight that brought about the Asilomar Conference persist. In the decades since Asilomar, the focus of such debates ha</w:t>
      </w:r>
      <w:r w:rsidR="22185A9F" w:rsidRPr="00DF1CC0">
        <w:rPr>
          <w:rFonts w:ascii="Times New Roman" w:hAnsi="Times New Roman"/>
          <w:kern w:val="22"/>
        </w:rPr>
        <w:t>s</w:t>
      </w:r>
      <w:r w:rsidRPr="00DF1CC0">
        <w:rPr>
          <w:rFonts w:ascii="Times New Roman" w:hAnsi="Times New Roman"/>
          <w:kern w:val="22"/>
        </w:rPr>
        <w:t xml:space="preserve"> moved away from scientific conferences and into the fora and processes of the Convention associated with biosafety and risk assessment. Some have welcomed this transition, arguing that Asilomar-like self-governance is an inappropriate model for emerging technologies such as synthetic biology. Bennett et al.</w:t>
      </w:r>
      <w:r w:rsidR="00B36577">
        <w:rPr>
          <w:rFonts w:ascii="Times New Roman" w:hAnsi="Times New Roman"/>
          <w:kern w:val="22"/>
        </w:rPr>
        <w:fldChar w:fldCharType="begin" w:fldLock="1"/>
      </w:r>
      <w:r w:rsidR="00F6313D">
        <w:rPr>
          <w:rFonts w:ascii="Times New Roman" w:hAnsi="Times New Roman"/>
          <w:kern w:val="22"/>
        </w:rPr>
        <w:instrText>ADDIN CSL_CITATION {"citationItems":[{"id":"ITEM-1","itemData":{"DOI":"10.1038/nbt1209-1109","ISSN":"1087-0156","author":[{"dropping-particle":"","family":"Bennett","given":"Gaymon","non-dropping-particle":"","parse-names":false,"suffix":""},{"dropping-particle":"","family":"Gilman","given":"Nils","non-dropping-particle":"","parse-names":false,"suffix":""},{"dropping-particle":"","family":"Stavrianakis","given":"Anthony","non-dropping-particle":"","parse-names":false,"suffix":""},{"dropping-particle":"","family":"Rabinow","given":"Paul","non-dropping-particle":"","parse-names":false,"suffix":""}],"container-title":"Nature Biotechnology","id":"ITEM-1","issue":"12","issued":{"date-parts":[["2009","12"]]},"page":"1109-1111","title":"From synthetic biology to biohacking: are we prepared?","type":"article-journal","volume":"27"},"uris":["http://www.mendeley.com/documents/?uuid=648869b9-246b-4b5e-a4b7-608c1ff6f909"]}],"mendeley":{"formattedCitation":"(Bennett et al., 2009)","manualFormatting":"(2009)","plainTextFormattedCitation":"(Bennett et al., 2009)","previouslyFormattedCitation":"(Bennett et al., 2009)"},"properties":{"noteIndex":0},"schema":"https://github.com/citation-style-language/schema/raw/master/csl-citation.json"}</w:instrText>
      </w:r>
      <w:r w:rsidR="00B36577">
        <w:rPr>
          <w:rFonts w:ascii="Times New Roman" w:hAnsi="Times New Roman"/>
          <w:kern w:val="22"/>
        </w:rPr>
        <w:fldChar w:fldCharType="separate"/>
      </w:r>
      <w:r w:rsidR="00B36577" w:rsidRPr="00B36577">
        <w:rPr>
          <w:rFonts w:ascii="Times New Roman" w:hAnsi="Times New Roman"/>
          <w:noProof/>
          <w:kern w:val="22"/>
        </w:rPr>
        <w:t>(2009)</w:t>
      </w:r>
      <w:r w:rsidR="00B36577">
        <w:rPr>
          <w:rFonts w:ascii="Times New Roman" w:hAnsi="Times New Roman"/>
          <w:kern w:val="22"/>
        </w:rPr>
        <w:fldChar w:fldCharType="end"/>
      </w:r>
      <w:r w:rsidR="00534FBB">
        <w:rPr>
          <w:rFonts w:ascii="Times New Roman" w:hAnsi="Times New Roman"/>
          <w:kern w:val="22"/>
        </w:rPr>
        <w:t xml:space="preserve"> </w:t>
      </w:r>
      <w:r w:rsidRPr="00DF1CC0">
        <w:rPr>
          <w:rFonts w:ascii="Times New Roman" w:hAnsi="Times New Roman"/>
          <w:kern w:val="22"/>
        </w:rPr>
        <w:t>argue against assumptions of a cohesive community of experts that can exclude the public and make “gentleman’s agreements” in today’s context of aggressive patenting, internet news, and global security conditions. Others lament that under such Party (or government)-led processes in which the scientific community can only “observe” unless they are directly engaged by governments, has resulted in debates and discussions that are relatively lacking in participation by its practitioners (Keiper and Atanassova, 2020).</w:t>
      </w:r>
      <w:r w:rsidR="00855A76" w:rsidRPr="008805B8">
        <w:rPr>
          <w:rFonts w:ascii="Times New Roman" w:hAnsi="Times New Roman"/>
          <w:kern w:val="22"/>
        </w:rPr>
        <w:t xml:space="preserve"> </w:t>
      </w:r>
    </w:p>
    <w:p w14:paraId="1A35F8C2" w14:textId="0B83E918" w:rsidR="00855A76" w:rsidRPr="008227BF" w:rsidRDefault="00855A76" w:rsidP="00855A76">
      <w:pPr>
        <w:pStyle w:val="Heading4"/>
        <w:rPr>
          <w:i w:val="0"/>
        </w:rPr>
      </w:pPr>
      <w:r w:rsidRPr="008227BF">
        <w:rPr>
          <w:i w:val="0"/>
          <w:iCs/>
        </w:rPr>
        <w:t>7.3.2. Post-Asilomar calls for moratoria</w:t>
      </w:r>
      <w:r w:rsidR="00945514" w:rsidRPr="008227BF">
        <w:rPr>
          <w:i w:val="0"/>
          <w:iCs/>
        </w:rPr>
        <w:t>.</w:t>
      </w:r>
    </w:p>
    <w:p w14:paraId="2394E632" w14:textId="5F863D99" w:rsidR="00855A76" w:rsidRPr="008805B8" w:rsidRDefault="00855A76" w:rsidP="00855A76">
      <w:pPr>
        <w:suppressAutoHyphens/>
        <w:spacing w:after="120" w:line="240" w:lineRule="auto"/>
        <w:jc w:val="both"/>
        <w:rPr>
          <w:rFonts w:ascii="Times New Roman" w:eastAsia="SimSun" w:hAnsi="Times New Roman" w:cs="Calibri"/>
          <w:color w:val="000000" w:themeColor="text1"/>
          <w:lang w:eastAsia="hi-IN" w:bidi="hi-IN"/>
        </w:rPr>
      </w:pPr>
      <w:r w:rsidRPr="008805B8">
        <w:rPr>
          <w:rFonts w:ascii="Times New Roman" w:hAnsi="Times New Roman"/>
          <w:kern w:val="22"/>
        </w:rPr>
        <w:t xml:space="preserve">Echoes of Asilomar </w:t>
      </w:r>
      <w:r w:rsidR="00F51C70">
        <w:rPr>
          <w:rFonts w:ascii="Times New Roman" w:hAnsi="Times New Roman"/>
          <w:kern w:val="22"/>
        </w:rPr>
        <w:t>we</w:t>
      </w:r>
      <w:r w:rsidRPr="008805B8">
        <w:rPr>
          <w:rFonts w:ascii="Times New Roman" w:hAnsi="Times New Roman"/>
          <w:kern w:val="22"/>
        </w:rPr>
        <w:t xml:space="preserve">re apparent in </w:t>
      </w:r>
      <w:r w:rsidRPr="008805B8">
        <w:rPr>
          <w:rFonts w:ascii="Times New Roman" w:eastAsia="SimSun" w:hAnsi="Times New Roman" w:cs="Calibri"/>
          <w:color w:val="000000" w:themeColor="text1"/>
          <w:lang w:eastAsia="hi-IN" w:bidi="hi-IN"/>
        </w:rPr>
        <w:t xml:space="preserve">the </w:t>
      </w:r>
      <w:r w:rsidRPr="00C56751">
        <w:rPr>
          <w:rFonts w:ascii="Times New Roman" w:eastAsia="SimSun" w:hAnsi="Times New Roman" w:cs="Calibri"/>
          <w:i/>
          <w:iCs/>
          <w:color w:val="000000" w:themeColor="text1"/>
          <w:lang w:eastAsia="hi-IN" w:bidi="hi-IN"/>
        </w:rPr>
        <w:t>de facto</w:t>
      </w:r>
      <w:r w:rsidRPr="008805B8">
        <w:rPr>
          <w:rFonts w:ascii="Times New Roman" w:eastAsia="SimSun" w:hAnsi="Times New Roman" w:cs="Calibri"/>
          <w:color w:val="000000" w:themeColor="text1"/>
          <w:lang w:eastAsia="hi-IN" w:bidi="hi-IN"/>
        </w:rPr>
        <w:t xml:space="preserve"> moratorium on genetic use-restriction technologies (GURTs) </w:t>
      </w:r>
      <w:r w:rsidR="619D4615" w:rsidRPr="008805B8">
        <w:rPr>
          <w:rFonts w:ascii="Times New Roman" w:eastAsia="SimSun" w:hAnsi="Times New Roman" w:cs="Calibri"/>
          <w:color w:val="000000" w:themeColor="text1"/>
          <w:lang w:eastAsia="hi-IN" w:bidi="hi-IN"/>
        </w:rPr>
        <w:t xml:space="preserve">agree to </w:t>
      </w:r>
      <w:r w:rsidRPr="008805B8">
        <w:rPr>
          <w:rFonts w:ascii="Times New Roman" w:eastAsia="SimSun" w:hAnsi="Times New Roman" w:cs="Calibri"/>
          <w:color w:val="000000" w:themeColor="text1"/>
          <w:lang w:eastAsia="hi-IN" w:bidi="hi-IN"/>
        </w:rPr>
        <w:t xml:space="preserve">in 2000 at the </w:t>
      </w:r>
      <w:r w:rsidR="0A26CE0C" w:rsidRPr="008805B8">
        <w:rPr>
          <w:rFonts w:ascii="Times New Roman" w:eastAsia="SimSun" w:hAnsi="Times New Roman" w:cs="Calibri"/>
          <w:color w:val="000000" w:themeColor="text1"/>
          <w:lang w:eastAsia="hi-IN" w:bidi="hi-IN"/>
        </w:rPr>
        <w:t>f</w:t>
      </w:r>
      <w:r w:rsidRPr="008805B8">
        <w:rPr>
          <w:rFonts w:ascii="Times New Roman" w:eastAsia="SimSun" w:hAnsi="Times New Roman" w:cs="Calibri"/>
          <w:color w:val="000000" w:themeColor="text1"/>
          <w:lang w:eastAsia="hi-IN" w:bidi="hi-IN"/>
        </w:rPr>
        <w:t xml:space="preserve">ifth </w:t>
      </w:r>
      <w:r w:rsidR="48302250" w:rsidRPr="008805B8">
        <w:rPr>
          <w:rFonts w:ascii="Times New Roman" w:eastAsia="SimSun" w:hAnsi="Times New Roman" w:cs="Calibri"/>
          <w:color w:val="000000" w:themeColor="text1"/>
          <w:lang w:eastAsia="hi-IN" w:bidi="hi-IN"/>
        </w:rPr>
        <w:t xml:space="preserve">meeting of the </w:t>
      </w:r>
      <w:r w:rsidRPr="008805B8">
        <w:rPr>
          <w:rFonts w:ascii="Times New Roman" w:eastAsia="SimSun" w:hAnsi="Times New Roman" w:cs="Calibri"/>
          <w:color w:val="000000" w:themeColor="text1"/>
          <w:lang w:eastAsia="hi-IN" w:bidi="hi-IN"/>
        </w:rPr>
        <w:t>Conference of the Parties (COP 5)</w:t>
      </w:r>
      <w:r w:rsidR="2DDEB32C" w:rsidRPr="008805B8">
        <w:rPr>
          <w:rFonts w:ascii="Times New Roman" w:eastAsia="SimSun" w:hAnsi="Times New Roman" w:cs="Calibri"/>
          <w:color w:val="000000" w:themeColor="text1"/>
          <w:lang w:eastAsia="hi-IN" w:bidi="hi-IN"/>
        </w:rPr>
        <w:t xml:space="preserve"> to the CBD</w:t>
      </w:r>
      <w:r w:rsidRPr="008805B8">
        <w:rPr>
          <w:rFonts w:ascii="Times New Roman" w:eastAsia="SimSun" w:hAnsi="Times New Roman" w:cs="Calibri"/>
          <w:color w:val="000000" w:themeColor="text1"/>
          <w:lang w:eastAsia="hi-IN" w:bidi="hi-IN"/>
        </w:rPr>
        <w:t>. They are also apparent in the moratorium agreed to halt major ocean fertili</w:t>
      </w:r>
      <w:r>
        <w:rPr>
          <w:rFonts w:ascii="Times New Roman" w:eastAsia="SimSun" w:hAnsi="Times New Roman" w:cs="Calibri"/>
          <w:color w:val="000000" w:themeColor="text1"/>
          <w:lang w:eastAsia="hi-IN" w:bidi="hi-IN"/>
        </w:rPr>
        <w:t>s</w:t>
      </w:r>
      <w:r w:rsidRPr="008805B8">
        <w:rPr>
          <w:rFonts w:ascii="Times New Roman" w:eastAsia="SimSun" w:hAnsi="Times New Roman" w:cs="Calibri"/>
          <w:color w:val="000000" w:themeColor="text1"/>
          <w:lang w:eastAsia="hi-IN" w:bidi="hi-IN"/>
        </w:rPr>
        <w:t>ation projects until scientists better understand the potential risks and benefits of manipulating the oceanic food chain, adopted in 2018 under the Convention on the Prevention of Marine Pollution by Dumping of Wastes and Other Matter (London Convention) and subsequently reinforced by COP decisions under the Convention addressing biodiversity and climate-related geo-engineering (Decision IX/16 in 2008 and X/33 in 2010</w:t>
      </w:r>
      <w:r w:rsidR="00E54176">
        <w:rPr>
          <w:rFonts w:ascii="Times New Roman" w:eastAsia="SimSun" w:hAnsi="Times New Roman" w:cs="Calibri"/>
          <w:color w:val="000000" w:themeColor="text1"/>
          <w:lang w:eastAsia="hi-IN" w:bidi="hi-IN"/>
        </w:rPr>
        <w:t>).</w:t>
      </w:r>
    </w:p>
    <w:p w14:paraId="224FDD17" w14:textId="7D8FB83F" w:rsidR="00855A76" w:rsidRPr="008805B8" w:rsidRDefault="00855A76" w:rsidP="00855A76">
      <w:pPr>
        <w:suppressAutoHyphens/>
        <w:spacing w:after="120" w:line="240" w:lineRule="auto"/>
        <w:jc w:val="both"/>
        <w:rPr>
          <w:rFonts w:ascii="Times New Roman" w:eastAsia="SimSun" w:hAnsi="Times New Roman"/>
          <w:kern w:val="22"/>
        </w:rPr>
      </w:pPr>
      <w:r w:rsidRPr="008805B8">
        <w:rPr>
          <w:rFonts w:ascii="Times New Roman" w:hAnsi="Times New Roman"/>
          <w:kern w:val="22"/>
        </w:rPr>
        <w:t xml:space="preserve">Synthetic biologists have talked about self-regulation but have not made any concrete agreements. The 2006 “SB2.0” international conference on synthetic biology was initially anticipated to produce an “Asilomar-like” declaration, particularly with regards to the need for screening sequences. </w:t>
      </w:r>
      <w:r w:rsidRPr="008805B8">
        <w:rPr>
          <w:rFonts w:ascii="Times New Roman" w:eastAsia="SimSun" w:hAnsi="Times New Roman"/>
          <w:kern w:val="22"/>
        </w:rPr>
        <w:t xml:space="preserve">There are differing accounts as to why the draft declaration was never voted on or passed. According to some, there was concern that a call for self-regulation would be seen as “closed-shop” governance, and that society generally is “different” now </w:t>
      </w:r>
      <w:r w:rsidR="00B36577">
        <w:rPr>
          <w:rFonts w:ascii="Times New Roman" w:eastAsia="SimSun" w:hAnsi="Times New Roman"/>
          <w:kern w:val="22"/>
        </w:rPr>
        <w:fldChar w:fldCharType="begin" w:fldLock="1"/>
      </w:r>
      <w:r w:rsidR="009B688F">
        <w:rPr>
          <w:rFonts w:ascii="Times New Roman" w:eastAsia="SimSun" w:hAnsi="Times New Roman"/>
          <w:kern w:val="22"/>
        </w:rPr>
        <w:instrText>ADDIN CSL_CITATION {"citationItems":[{"id":"ITEM-1","itemData":{"DOI":"10.1007/978-90-481-2678-1_2","author":[{"dropping-particle":"","family":"Campos","given":"Luis","non-dropping-particle":"","parse-names":false,"suffix":""}],"container-title":"Synthetic Biology","id":"ITEM-1","issued":{"date-parts":[["2009"]]},"page":"5-21","publisher":"Springer Netherlands","publisher-place":"Dordrecht","title":"That Was the Synthetic Biology That Was","type":"chapter"},"uris":["http://www.mendeley.com/documents/?uuid=22013362-d7b4-4171-b68b-81f135f1818d"]},{"id":"ITEM-2","itemData":{"DOI":"10.1126/science.312.5777.1116","ISSN":"0036-8075","author":[{"dropping-particle":"","family":"Service","given":"R. F.","non-dropping-particle":"","parse-names":false,"suffix":""}],"container-title":"Science","id":"ITEM-2","issue":"5777","issued":{"date-parts":[["2006","5","26"]]},"page":"1116-1116","title":"BIOSECURITY: Synthetic Biologists Debate Policing Themselves","type":"article-journal","volume":"312"},"uris":["http://www.mendeley.com/documents/?uuid=8bef6dcd-b24d-4088-9151-d18cd5361016"]}],"mendeley":{"formattedCitation":"(Campos, 2009; Service, 2006)","plainTextFormattedCitation":"(Campos, 2009; Service, 2006)","previouslyFormattedCitation":"(Campos, 2009; Service, 2006)"},"properties":{"noteIndex":0},"schema":"https://github.com/citation-style-language/schema/raw/master/csl-citation.json"}</w:instrText>
      </w:r>
      <w:r w:rsidR="00B36577">
        <w:rPr>
          <w:rFonts w:ascii="Times New Roman" w:eastAsia="SimSun" w:hAnsi="Times New Roman"/>
          <w:kern w:val="22"/>
        </w:rPr>
        <w:fldChar w:fldCharType="separate"/>
      </w:r>
      <w:r w:rsidR="00B36577" w:rsidRPr="00B36577">
        <w:rPr>
          <w:rFonts w:ascii="Times New Roman" w:eastAsia="SimSun" w:hAnsi="Times New Roman"/>
          <w:noProof/>
          <w:kern w:val="22"/>
        </w:rPr>
        <w:t>(Campos, 2009; Service, 2006)</w:t>
      </w:r>
      <w:r w:rsidR="00B36577">
        <w:rPr>
          <w:rFonts w:ascii="Times New Roman" w:eastAsia="SimSun" w:hAnsi="Times New Roman"/>
          <w:kern w:val="22"/>
        </w:rPr>
        <w:fldChar w:fldCharType="end"/>
      </w:r>
      <w:r w:rsidRPr="008805B8">
        <w:rPr>
          <w:rFonts w:ascii="Times New Roman" w:eastAsia="SimSun" w:hAnsi="Times New Roman"/>
          <w:kern w:val="22"/>
        </w:rPr>
        <w:t>. The ETC Group</w:t>
      </w:r>
      <w:r w:rsidR="002235E4">
        <w:rPr>
          <w:rFonts w:ascii="Times New Roman" w:eastAsia="SimSun" w:hAnsi="Times New Roman"/>
          <w:kern w:val="22"/>
        </w:rPr>
        <w:t xml:space="preserve"> (2007)</w:t>
      </w:r>
      <w:r w:rsidRPr="008805B8">
        <w:rPr>
          <w:rFonts w:ascii="Times New Roman" w:eastAsia="SimSun" w:hAnsi="Times New Roman"/>
          <w:kern w:val="22"/>
        </w:rPr>
        <w:t xml:space="preserve">, on the other hand, </w:t>
      </w:r>
      <w:r w:rsidR="001701A1" w:rsidRPr="008805B8">
        <w:rPr>
          <w:rFonts w:ascii="Times New Roman" w:eastAsia="SimSun" w:hAnsi="Times New Roman"/>
          <w:kern w:val="22"/>
        </w:rPr>
        <w:t>suggest</w:t>
      </w:r>
      <w:r w:rsidR="001701A1">
        <w:rPr>
          <w:rFonts w:ascii="Times New Roman" w:eastAsia="SimSun" w:hAnsi="Times New Roman"/>
          <w:kern w:val="22"/>
        </w:rPr>
        <w:t>ed</w:t>
      </w:r>
      <w:r w:rsidR="001701A1" w:rsidRPr="008805B8">
        <w:rPr>
          <w:rFonts w:ascii="Times New Roman" w:eastAsia="SimSun" w:hAnsi="Times New Roman"/>
          <w:kern w:val="22"/>
        </w:rPr>
        <w:t xml:space="preserve"> </w:t>
      </w:r>
      <w:r w:rsidRPr="008805B8">
        <w:rPr>
          <w:rFonts w:ascii="Times New Roman" w:eastAsia="SimSun" w:hAnsi="Times New Roman"/>
          <w:kern w:val="22"/>
        </w:rPr>
        <w:t>t</w:t>
      </w:r>
      <w:r w:rsidR="001701A1">
        <w:rPr>
          <w:rFonts w:ascii="Times New Roman" w:eastAsia="SimSun" w:hAnsi="Times New Roman"/>
          <w:kern w:val="22"/>
        </w:rPr>
        <w:t>hat</w:t>
      </w:r>
      <w:r w:rsidRPr="008805B8">
        <w:rPr>
          <w:rFonts w:ascii="Times New Roman" w:eastAsia="SimSun" w:hAnsi="Times New Roman"/>
          <w:kern w:val="22"/>
        </w:rPr>
        <w:t xml:space="preserve"> there was internal disagreement over whether </w:t>
      </w:r>
      <w:r>
        <w:rPr>
          <w:rFonts w:ascii="Times New Roman" w:eastAsia="SimSun" w:hAnsi="Times New Roman"/>
          <w:kern w:val="22"/>
        </w:rPr>
        <w:t xml:space="preserve">or not </w:t>
      </w:r>
      <w:r w:rsidRPr="008805B8">
        <w:rPr>
          <w:rFonts w:ascii="Times New Roman" w:eastAsia="SimSun" w:hAnsi="Times New Roman"/>
          <w:kern w:val="22"/>
        </w:rPr>
        <w:t xml:space="preserve">to boycott non-compliant gene synthesis companies. </w:t>
      </w:r>
    </w:p>
    <w:p w14:paraId="1AEC3AB8" w14:textId="3BF5F8F7" w:rsidR="00D67593" w:rsidRDefault="00855A76" w:rsidP="005C1AEB">
      <w:pPr>
        <w:suppressAutoHyphens/>
        <w:spacing w:after="120" w:line="240" w:lineRule="auto"/>
        <w:jc w:val="both"/>
        <w:rPr>
          <w:rFonts w:ascii="Times New Roman" w:eastAsia="SimSun" w:hAnsi="Times New Roman" w:cs="Calibri"/>
          <w:color w:val="000000" w:themeColor="text1"/>
          <w:lang w:eastAsia="hi-IN" w:bidi="hi-IN"/>
        </w:rPr>
      </w:pPr>
      <w:r w:rsidRPr="008805B8">
        <w:rPr>
          <w:rFonts w:ascii="Times New Roman" w:eastAsia="SimSun" w:hAnsi="Times New Roman" w:cs="Calibri"/>
          <w:color w:val="000000" w:themeColor="text1"/>
          <w:lang w:eastAsia="hi-IN" w:bidi="hi-IN"/>
        </w:rPr>
        <w:t xml:space="preserve">Discussions in recent years concerning self-regulation have focused on the environmental release of </w:t>
      </w:r>
      <w:r w:rsidR="006D041B">
        <w:rPr>
          <w:rFonts w:ascii="Times New Roman" w:eastAsia="SimSun" w:hAnsi="Times New Roman" w:cs="Calibri"/>
          <w:color w:val="000000" w:themeColor="text1"/>
          <w:lang w:eastAsia="hi-IN" w:bidi="hi-IN"/>
        </w:rPr>
        <w:t>organism</w:t>
      </w:r>
      <w:r w:rsidR="00686161">
        <w:rPr>
          <w:rFonts w:ascii="Times New Roman" w:eastAsia="SimSun" w:hAnsi="Times New Roman" w:cs="Calibri"/>
          <w:color w:val="000000" w:themeColor="text1"/>
          <w:lang w:eastAsia="hi-IN" w:bidi="hi-IN"/>
        </w:rPr>
        <w:t xml:space="preserve">s containing </w:t>
      </w:r>
      <w:r w:rsidRPr="008805B8">
        <w:rPr>
          <w:rFonts w:ascii="Times New Roman" w:eastAsia="SimSun" w:hAnsi="Times New Roman" w:cs="Calibri"/>
          <w:color w:val="000000" w:themeColor="text1"/>
          <w:lang w:eastAsia="hi-IN" w:bidi="hi-IN"/>
        </w:rPr>
        <w:t xml:space="preserve">engineered gene drives, </w:t>
      </w:r>
      <w:r w:rsidR="00F413D8">
        <w:rPr>
          <w:rFonts w:ascii="Times New Roman" w:eastAsia="SimSun" w:hAnsi="Times New Roman" w:cs="Calibri"/>
          <w:color w:val="000000" w:themeColor="text1"/>
          <w:lang w:eastAsia="hi-IN" w:bidi="hi-IN"/>
        </w:rPr>
        <w:t xml:space="preserve">with </w:t>
      </w:r>
      <w:r w:rsidR="00F413D8" w:rsidRPr="00F413D8">
        <w:rPr>
          <w:rFonts w:ascii="Times New Roman" w:eastAsia="SimSun" w:hAnsi="Times New Roman" w:cs="Calibri"/>
          <w:color w:val="000000" w:themeColor="text1"/>
          <w:lang w:eastAsia="hi-IN" w:bidi="hi-IN"/>
        </w:rPr>
        <w:t>negotiators</w:t>
      </w:r>
      <w:r w:rsidRPr="008805B8">
        <w:rPr>
          <w:rFonts w:ascii="Times New Roman" w:eastAsia="SimSun" w:hAnsi="Times New Roman" w:cs="Calibri"/>
          <w:color w:val="000000" w:themeColor="text1"/>
          <w:lang w:eastAsia="hi-IN" w:bidi="hi-IN"/>
        </w:rPr>
        <w:t xml:space="preserve"> at COP 14 </w:t>
      </w:r>
      <w:r w:rsidR="002C58F2">
        <w:rPr>
          <w:rFonts w:ascii="Times New Roman" w:eastAsia="SimSun" w:hAnsi="Times New Roman" w:cs="Calibri"/>
          <w:color w:val="000000" w:themeColor="text1"/>
          <w:lang w:eastAsia="hi-IN" w:bidi="hi-IN"/>
        </w:rPr>
        <w:t>petitioned</w:t>
      </w:r>
      <w:r w:rsidRPr="008805B8">
        <w:rPr>
          <w:rFonts w:ascii="Times New Roman" w:eastAsia="SimSun" w:hAnsi="Times New Roman" w:cs="Calibri"/>
          <w:color w:val="000000" w:themeColor="text1"/>
          <w:lang w:eastAsia="hi-IN" w:bidi="hi-IN"/>
        </w:rPr>
        <w:t xml:space="preserve"> by over 200 mainly civil society organi</w:t>
      </w:r>
      <w:r>
        <w:rPr>
          <w:rFonts w:ascii="Times New Roman" w:eastAsia="SimSun" w:hAnsi="Times New Roman" w:cs="Calibri"/>
          <w:color w:val="000000" w:themeColor="text1"/>
          <w:lang w:eastAsia="hi-IN" w:bidi="hi-IN"/>
        </w:rPr>
        <w:t>s</w:t>
      </w:r>
      <w:r w:rsidRPr="008805B8">
        <w:rPr>
          <w:rFonts w:ascii="Times New Roman" w:eastAsia="SimSun" w:hAnsi="Times New Roman" w:cs="Calibri"/>
          <w:color w:val="000000" w:themeColor="text1"/>
          <w:lang w:eastAsia="hi-IN" w:bidi="hi-IN"/>
        </w:rPr>
        <w:t>ations</w:t>
      </w:r>
      <w:r w:rsidR="00395C7A">
        <w:rPr>
          <w:rFonts w:ascii="Times New Roman" w:eastAsia="SimSun" w:hAnsi="Times New Roman" w:cs="Calibri"/>
          <w:color w:val="000000" w:themeColor="text1"/>
          <w:lang w:eastAsia="hi-IN" w:bidi="hi-IN"/>
        </w:rPr>
        <w:t xml:space="preserve"> </w:t>
      </w:r>
      <w:r w:rsidR="002C58F2">
        <w:rPr>
          <w:rFonts w:ascii="Times New Roman" w:eastAsia="SimSun" w:hAnsi="Times New Roman" w:cs="Calibri"/>
          <w:color w:val="000000" w:themeColor="text1"/>
          <w:lang w:eastAsia="hi-IN" w:bidi="hi-IN"/>
        </w:rPr>
        <w:t>to</w:t>
      </w:r>
      <w:r w:rsidR="00F413D8" w:rsidRPr="00F413D8">
        <w:rPr>
          <w:rFonts w:ascii="Times New Roman" w:eastAsia="SimSun" w:hAnsi="Times New Roman" w:cs="Calibri"/>
          <w:color w:val="000000" w:themeColor="text1"/>
          <w:lang w:eastAsia="hi-IN" w:bidi="hi-IN"/>
        </w:rPr>
        <w:t xml:space="preserve"> consider </w:t>
      </w:r>
      <w:r w:rsidR="79BB31F7" w:rsidRPr="00F413D8">
        <w:rPr>
          <w:rFonts w:ascii="Times New Roman" w:eastAsia="SimSun" w:hAnsi="Times New Roman" w:cs="Calibri"/>
          <w:color w:val="000000" w:themeColor="text1"/>
          <w:lang w:eastAsia="hi-IN" w:bidi="hi-IN"/>
        </w:rPr>
        <w:t xml:space="preserve">contentious </w:t>
      </w:r>
      <w:r w:rsidR="00F413D8" w:rsidRPr="00F413D8">
        <w:rPr>
          <w:rFonts w:ascii="Times New Roman" w:eastAsia="SimSun" w:hAnsi="Times New Roman" w:cs="Calibri"/>
          <w:color w:val="000000" w:themeColor="text1"/>
          <w:lang w:eastAsia="hi-IN" w:bidi="hi-IN"/>
        </w:rPr>
        <w:t>language that call</w:t>
      </w:r>
      <w:r w:rsidR="00395C7A">
        <w:rPr>
          <w:rFonts w:ascii="Times New Roman" w:eastAsia="SimSun" w:hAnsi="Times New Roman" w:cs="Calibri"/>
          <w:color w:val="000000" w:themeColor="text1"/>
          <w:lang w:eastAsia="hi-IN" w:bidi="hi-IN"/>
        </w:rPr>
        <w:t>ed</w:t>
      </w:r>
      <w:r w:rsidR="00F413D8" w:rsidRPr="00F413D8">
        <w:rPr>
          <w:rFonts w:ascii="Times New Roman" w:eastAsia="SimSun" w:hAnsi="Times New Roman" w:cs="Calibri"/>
          <w:color w:val="000000" w:themeColor="text1"/>
          <w:lang w:eastAsia="hi-IN" w:bidi="hi-IN"/>
        </w:rPr>
        <w:t xml:space="preserve"> </w:t>
      </w:r>
      <w:r w:rsidR="00395C7A">
        <w:rPr>
          <w:rFonts w:ascii="Times New Roman" w:eastAsia="SimSun" w:hAnsi="Times New Roman" w:cs="Calibri"/>
          <w:color w:val="000000" w:themeColor="text1"/>
          <w:lang w:eastAsia="hi-IN" w:bidi="hi-IN"/>
        </w:rPr>
        <w:t>up</w:t>
      </w:r>
      <w:r w:rsidR="00F413D8" w:rsidRPr="00F413D8">
        <w:rPr>
          <w:rFonts w:ascii="Times New Roman" w:eastAsia="SimSun" w:hAnsi="Times New Roman" w:cs="Calibri"/>
          <w:color w:val="000000" w:themeColor="text1"/>
          <w:lang w:eastAsia="hi-IN" w:bidi="hi-IN"/>
        </w:rPr>
        <w:t>on</w:t>
      </w:r>
      <w:r w:rsidR="00395C7A">
        <w:rPr>
          <w:rFonts w:ascii="Times New Roman" w:eastAsia="SimSun" w:hAnsi="Times New Roman" w:cs="Calibri"/>
          <w:color w:val="000000" w:themeColor="text1"/>
          <w:lang w:eastAsia="hi-IN" w:bidi="hi-IN"/>
        </w:rPr>
        <w:t xml:space="preserve"> </w:t>
      </w:r>
      <w:r w:rsidR="00F413D8" w:rsidRPr="00F413D8">
        <w:rPr>
          <w:rFonts w:ascii="Times New Roman" w:eastAsia="SimSun" w:hAnsi="Times New Roman" w:cs="Calibri"/>
          <w:color w:val="000000" w:themeColor="text1"/>
          <w:lang w:eastAsia="hi-IN" w:bidi="hi-IN"/>
        </w:rPr>
        <w:t>signatories to “refrain from the release,</w:t>
      </w:r>
      <w:r w:rsidR="00395C7A">
        <w:rPr>
          <w:rFonts w:ascii="Times New Roman" w:eastAsia="SimSun" w:hAnsi="Times New Roman" w:cs="Calibri"/>
          <w:color w:val="000000" w:themeColor="text1"/>
          <w:lang w:eastAsia="hi-IN" w:bidi="hi-IN"/>
        </w:rPr>
        <w:t xml:space="preserve"> </w:t>
      </w:r>
      <w:r w:rsidR="00F413D8" w:rsidRPr="00F413D8">
        <w:rPr>
          <w:rFonts w:ascii="Times New Roman" w:eastAsia="SimSun" w:hAnsi="Times New Roman" w:cs="Calibri"/>
          <w:color w:val="000000" w:themeColor="text1"/>
          <w:lang w:eastAsia="hi-IN" w:bidi="hi-IN"/>
        </w:rPr>
        <w:t>including experimental release, of organisms containing engineered gene drives”</w:t>
      </w:r>
      <w:r w:rsidRPr="008805B8">
        <w:rPr>
          <w:rStyle w:val="FootnoteReference"/>
          <w:rFonts w:ascii="Times New Roman" w:eastAsia="SimSun" w:hAnsi="Times New Roman" w:cs="Calibri"/>
          <w:color w:val="000000" w:themeColor="text1"/>
          <w:lang w:eastAsia="hi-IN" w:bidi="hi-IN"/>
        </w:rPr>
        <w:footnoteReference w:id="36"/>
      </w:r>
      <w:r>
        <w:rPr>
          <w:rFonts w:ascii="Times New Roman" w:eastAsia="SimSun" w:hAnsi="Times New Roman" w:cs="Calibri"/>
          <w:color w:val="000000" w:themeColor="text1"/>
          <w:lang w:eastAsia="hi-IN" w:bidi="hi-IN"/>
        </w:rPr>
        <w:t>.</w:t>
      </w:r>
      <w:r w:rsidRPr="008805B8">
        <w:rPr>
          <w:rFonts w:ascii="Times New Roman" w:eastAsia="SimSun" w:hAnsi="Times New Roman" w:cs="Calibri"/>
          <w:color w:val="000000" w:themeColor="text1"/>
          <w:lang w:eastAsia="hi-IN" w:bidi="hi-IN"/>
        </w:rPr>
        <w:t xml:space="preserve"> Although falling short of a moratorium, decision 14/</w:t>
      </w:r>
      <w:r w:rsidR="007A5C7A">
        <w:rPr>
          <w:rFonts w:ascii="Times New Roman" w:eastAsia="SimSun" w:hAnsi="Times New Roman" w:cs="Calibri"/>
          <w:color w:val="000000" w:themeColor="text1"/>
          <w:lang w:eastAsia="hi-IN" w:bidi="hi-IN"/>
        </w:rPr>
        <w:t>19</w:t>
      </w:r>
      <w:r w:rsidRPr="008805B8">
        <w:rPr>
          <w:rFonts w:ascii="Times New Roman" w:eastAsia="SimSun" w:hAnsi="Times New Roman" w:cs="Calibri"/>
          <w:color w:val="000000" w:themeColor="text1"/>
          <w:lang w:eastAsia="hi-IN" w:bidi="hi-IN"/>
        </w:rPr>
        <w:t xml:space="preserve"> </w:t>
      </w:r>
      <w:r w:rsidR="1BC0976D" w:rsidRPr="008805B8">
        <w:rPr>
          <w:rFonts w:ascii="Times New Roman" w:eastAsia="SimSun" w:hAnsi="Times New Roman" w:cs="Calibri"/>
          <w:color w:val="000000" w:themeColor="text1"/>
          <w:lang w:eastAsia="hi-IN" w:bidi="hi-IN"/>
        </w:rPr>
        <w:t xml:space="preserve">calls for </w:t>
      </w:r>
      <w:r w:rsidRPr="008805B8">
        <w:rPr>
          <w:rFonts w:ascii="Times New Roman" w:eastAsia="SimSun" w:hAnsi="Times New Roman" w:cs="Calibri"/>
          <w:color w:val="000000" w:themeColor="text1"/>
          <w:lang w:eastAsia="hi-IN" w:bidi="hi-IN"/>
        </w:rPr>
        <w:t xml:space="preserve">caution regarding the release of engineered gene drives. Some researchers in the scientific community also caution that regulatory gaps must be filled before </w:t>
      </w:r>
      <w:r>
        <w:rPr>
          <w:rFonts w:ascii="Times New Roman" w:eastAsia="SimSun" w:hAnsi="Times New Roman" w:cs="Calibri"/>
          <w:color w:val="000000" w:themeColor="text1"/>
          <w:lang w:eastAsia="hi-IN" w:bidi="hi-IN"/>
        </w:rPr>
        <w:t xml:space="preserve">engineered </w:t>
      </w:r>
      <w:r w:rsidRPr="008805B8">
        <w:rPr>
          <w:rFonts w:ascii="Times New Roman" w:eastAsia="SimSun" w:hAnsi="Times New Roman" w:cs="Calibri"/>
          <w:color w:val="000000" w:themeColor="text1"/>
          <w:lang w:eastAsia="hi-IN" w:bidi="hi-IN"/>
        </w:rPr>
        <w:t xml:space="preserve">gene drives can be used in the wild and call for integrated risk management of environmental and security risks, which include, </w:t>
      </w:r>
      <w:r w:rsidRPr="001E75FF">
        <w:rPr>
          <w:rFonts w:ascii="Times New Roman" w:eastAsia="SimSun" w:hAnsi="Times New Roman" w:cs="Calibri"/>
          <w:i/>
          <w:iCs/>
          <w:color w:val="000000" w:themeColor="text1"/>
          <w:lang w:eastAsia="hi-IN" w:bidi="hi-IN"/>
        </w:rPr>
        <w:t>inter alia</w:t>
      </w:r>
      <w:r w:rsidR="00D67593">
        <w:rPr>
          <w:rFonts w:ascii="Times New Roman" w:eastAsia="SimSun" w:hAnsi="Times New Roman" w:cs="Calibri"/>
          <w:color w:val="000000" w:themeColor="text1"/>
          <w:lang w:eastAsia="hi-IN" w:bidi="hi-IN"/>
        </w:rPr>
        <w:t>:</w:t>
      </w:r>
    </w:p>
    <w:p w14:paraId="1E43A51A" w14:textId="37DE87C5" w:rsidR="00D67593" w:rsidRDefault="00855A76" w:rsidP="00E53DE2">
      <w:pPr>
        <w:suppressAutoHyphens/>
        <w:spacing w:after="120" w:line="240" w:lineRule="auto"/>
        <w:ind w:left="284" w:hanging="284"/>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1) </w:t>
      </w:r>
      <w:r w:rsidRPr="008805B8">
        <w:rPr>
          <w:rFonts w:ascii="Times New Roman" w:eastAsia="SimSun" w:hAnsi="Times New Roman" w:cs="Calibri"/>
          <w:color w:val="000000" w:themeColor="text1"/>
          <w:lang w:eastAsia="hi-IN" w:bidi="hi-IN"/>
        </w:rPr>
        <w:t xml:space="preserve">long-term studies </w:t>
      </w:r>
      <w:r>
        <w:rPr>
          <w:rFonts w:ascii="Times New Roman" w:eastAsia="SimSun" w:hAnsi="Times New Roman" w:cs="Calibri"/>
          <w:color w:val="000000" w:themeColor="text1"/>
          <w:lang w:eastAsia="hi-IN" w:bidi="hi-IN"/>
        </w:rPr>
        <w:t>to</w:t>
      </w:r>
      <w:r w:rsidRPr="008805B8">
        <w:rPr>
          <w:rFonts w:ascii="Times New Roman" w:eastAsia="SimSun" w:hAnsi="Times New Roman" w:cs="Calibri"/>
          <w:color w:val="000000" w:themeColor="text1"/>
          <w:lang w:eastAsia="hi-IN" w:bidi="hi-IN"/>
        </w:rPr>
        <w:t xml:space="preserve"> evaluate the effects of </w:t>
      </w:r>
      <w:r>
        <w:rPr>
          <w:rFonts w:ascii="Times New Roman" w:eastAsia="SimSun" w:hAnsi="Times New Roman" w:cs="Calibri"/>
          <w:color w:val="000000" w:themeColor="text1"/>
          <w:lang w:eastAsia="hi-IN" w:bidi="hi-IN"/>
        </w:rPr>
        <w:t xml:space="preserve">engineered </w:t>
      </w:r>
      <w:r w:rsidRPr="008805B8">
        <w:rPr>
          <w:rFonts w:ascii="Times New Roman" w:eastAsia="SimSun" w:hAnsi="Times New Roman" w:cs="Calibri"/>
          <w:color w:val="000000" w:themeColor="text1"/>
          <w:lang w:eastAsia="hi-IN" w:bidi="hi-IN"/>
        </w:rPr>
        <w:t>gene drive use on genetic diversity in target populations</w:t>
      </w:r>
      <w:r>
        <w:rPr>
          <w:rFonts w:ascii="Times New Roman" w:eastAsia="SimSun" w:hAnsi="Times New Roman" w:cs="Calibri"/>
          <w:color w:val="000000" w:themeColor="text1"/>
          <w:lang w:eastAsia="hi-IN" w:bidi="hi-IN"/>
        </w:rPr>
        <w:t>,</w:t>
      </w:r>
      <w:r w:rsidRPr="008805B8">
        <w:rPr>
          <w:rFonts w:ascii="Times New Roman" w:eastAsia="SimSun" w:hAnsi="Times New Roman" w:cs="Calibri"/>
          <w:color w:val="000000" w:themeColor="text1"/>
          <w:lang w:eastAsia="hi-IN" w:bidi="hi-IN"/>
        </w:rPr>
        <w:t xml:space="preserve"> and</w:t>
      </w:r>
    </w:p>
    <w:p w14:paraId="71793E3B" w14:textId="45D770C9" w:rsidR="00D67593" w:rsidRDefault="00855A76" w:rsidP="00E53DE2">
      <w:pPr>
        <w:suppressAutoHyphens/>
        <w:spacing w:after="120" w:line="240" w:lineRule="auto"/>
        <w:ind w:left="284" w:hanging="284"/>
        <w:jc w:val="both"/>
        <w:rPr>
          <w:rFonts w:ascii="Times New Roman" w:eastAsia="SimSun" w:hAnsi="Times New Roman" w:cs="Calibri"/>
          <w:color w:val="000000" w:themeColor="text1"/>
          <w:lang w:eastAsia="hi-IN" w:bidi="hi-IN"/>
        </w:rPr>
      </w:pPr>
      <w:r>
        <w:rPr>
          <w:rFonts w:ascii="Times New Roman" w:eastAsia="SimSun" w:hAnsi="Times New Roman" w:cs="Calibri"/>
          <w:color w:val="000000" w:themeColor="text1"/>
          <w:lang w:eastAsia="hi-IN" w:bidi="hi-IN"/>
        </w:rPr>
        <w:t xml:space="preserve">2) </w:t>
      </w:r>
      <w:r w:rsidRPr="008805B8">
        <w:rPr>
          <w:rFonts w:ascii="Times New Roman" w:eastAsia="SimSun" w:hAnsi="Times New Roman" w:cs="Calibri"/>
          <w:color w:val="000000" w:themeColor="text1"/>
          <w:lang w:eastAsia="hi-IN" w:bidi="hi-IN"/>
        </w:rPr>
        <w:t xml:space="preserve">multidisciplinary teams of experts to develop scenarios on deliberate misuse environmental and security risks </w:t>
      </w:r>
      <w:r w:rsidR="009B688F">
        <w:rPr>
          <w:rFonts w:ascii="Times New Roman" w:eastAsia="SimSun" w:hAnsi="Times New Roman" w:cs="Calibri"/>
          <w:color w:val="000000" w:themeColor="text1"/>
          <w:lang w:eastAsia="hi-IN" w:bidi="hi-IN"/>
        </w:rPr>
        <w:fldChar w:fldCharType="begin" w:fldLock="1"/>
      </w:r>
      <w:r w:rsidR="0029457D">
        <w:rPr>
          <w:rFonts w:ascii="Times New Roman" w:eastAsia="SimSun" w:hAnsi="Times New Roman" w:cs="Calibri"/>
          <w:color w:val="000000" w:themeColor="text1"/>
          <w:lang w:eastAsia="hi-IN" w:bidi="hi-IN"/>
        </w:rPr>
        <w:instrText>ADDIN CSL_CITATION {"citationItems":[{"id":"ITEM-1","itemData":{"DOI":"10.1126/science.1254287","ISSN":"0036-8075","author":[{"dropping-particle":"","family":"Oye","given":"K. A.","non-dropping-particle":"","parse-names":false,"suffix":""},{"dropping-particle":"","family":"Esvelt","given":"K.","non-dropping-particle":"","parse-names":false,"suffix":""},{"dropping-particle":"","family":"Appleton","given":"E.","non-dropping-particle":"","parse-names":false,"suffix":""},{"dropping-particle":"","family":"Catteruccia","given":"F.","non-dropping-particle":"","parse-names":false,"suffix":""},{"dropping-particle":"","family":"Church","given":"G.","non-dropping-particle":"","parse-names":false,"suffix":""},{"dropping-particle":"","family":"Kuiken","given":"T.","non-dropping-particle":"","parse-names":false,"suffix":""},{"dropping-particle":"","family":"Lightfoot","given":"S. B.-Y.","non-dropping-particle":"","parse-names":false,"suffix":""},{"dropping-particle":"","family":"McNamara","given":"J.","non-dropping-particle":"","parse-names":false,"suffix":""},{"dropping-particle":"","family":"Smidler","given":"A.","non-dropping-particle":"","parse-names":false,"suffix":""},{"dropping-particle":"","family":"Collins","given":"J. P.","non-dropping-particle":"","parse-names":false,"suffix":""}],"container-title":"Science","id":"ITEM-1","issue":"6197","issued":{"date-parts":[["2014","8","8"]]},"page":"626-628","title":"Regulating gene drives","type":"article-journal","volume":"345"},"uris":["http://www.mendeley.com/documents/?uuid=0511c235-a877-4856-b7fd-3c44ee48b235"]}],"mendeley":{"formattedCitation":"(K. A. Oye et al., 2014)","plainTextFormattedCitation":"(K. A. Oye et al., 2014)","previouslyFormattedCitation":"(K. A. Oye et al., 2014)"},"properties":{"noteIndex":0},"schema":"https://github.com/citation-style-language/schema/raw/master/csl-citation.json"}</w:instrText>
      </w:r>
      <w:r w:rsidR="009B688F">
        <w:rPr>
          <w:rFonts w:ascii="Times New Roman" w:eastAsia="SimSun" w:hAnsi="Times New Roman" w:cs="Calibri"/>
          <w:color w:val="000000" w:themeColor="text1"/>
          <w:lang w:eastAsia="hi-IN" w:bidi="hi-IN"/>
        </w:rPr>
        <w:fldChar w:fldCharType="separate"/>
      </w:r>
      <w:r w:rsidR="009E0D29" w:rsidRPr="009E0D29">
        <w:rPr>
          <w:rFonts w:ascii="Times New Roman" w:eastAsia="SimSun" w:hAnsi="Times New Roman" w:cs="Calibri"/>
          <w:noProof/>
          <w:color w:val="000000" w:themeColor="text1"/>
          <w:lang w:eastAsia="hi-IN" w:bidi="hi-IN"/>
        </w:rPr>
        <w:t>(K. A. Oye et al., 2014)</w:t>
      </w:r>
      <w:r w:rsidR="009B688F">
        <w:rPr>
          <w:rFonts w:ascii="Times New Roman" w:eastAsia="SimSun" w:hAnsi="Times New Roman" w:cs="Calibri"/>
          <w:color w:val="000000" w:themeColor="text1"/>
          <w:lang w:eastAsia="hi-IN" w:bidi="hi-IN"/>
        </w:rPr>
        <w:fldChar w:fldCharType="end"/>
      </w:r>
      <w:r w:rsidRPr="008805B8">
        <w:rPr>
          <w:rFonts w:ascii="Times New Roman" w:eastAsia="SimSun" w:hAnsi="Times New Roman" w:cs="Calibri"/>
          <w:color w:val="000000" w:themeColor="text1"/>
          <w:lang w:eastAsia="hi-IN" w:bidi="hi-IN"/>
        </w:rPr>
        <w:t>.</w:t>
      </w:r>
    </w:p>
    <w:p w14:paraId="6CE1756C" w14:textId="508967F4" w:rsidR="00855A76" w:rsidRDefault="00855A76" w:rsidP="005C1AEB">
      <w:pPr>
        <w:suppressAutoHyphens/>
        <w:spacing w:after="120" w:line="240" w:lineRule="auto"/>
        <w:jc w:val="both"/>
        <w:rPr>
          <w:rFonts w:ascii="Times New Roman" w:eastAsia="SimSun" w:hAnsi="Times New Roman"/>
          <w:kern w:val="22"/>
        </w:rPr>
      </w:pPr>
      <w:r w:rsidRPr="008805B8">
        <w:rPr>
          <w:rFonts w:ascii="Times New Roman" w:eastAsia="SimSun" w:hAnsi="Times New Roman" w:cs="Calibri"/>
          <w:color w:val="000000" w:themeColor="text1"/>
          <w:lang w:eastAsia="hi-IN" w:bidi="hi-IN"/>
        </w:rPr>
        <w:t>Conversely, other researchers caution the conflation of scientific assessment concerning biosafe</w:t>
      </w:r>
      <w:r>
        <w:rPr>
          <w:rFonts w:ascii="Times New Roman" w:eastAsia="SimSun" w:hAnsi="Times New Roman" w:cs="Calibri"/>
          <w:color w:val="000000" w:themeColor="text1"/>
          <w:lang w:eastAsia="hi-IN" w:bidi="hi-IN"/>
        </w:rPr>
        <w:t>t</w:t>
      </w:r>
      <w:r w:rsidRPr="008805B8">
        <w:rPr>
          <w:rFonts w:ascii="Times New Roman" w:eastAsia="SimSun" w:hAnsi="Times New Roman" w:cs="Calibri"/>
          <w:color w:val="000000" w:themeColor="text1"/>
          <w:lang w:eastAsia="hi-IN" w:bidi="hi-IN"/>
        </w:rPr>
        <w:t>y with broader political and societal issues in favo</w:t>
      </w:r>
      <w:r>
        <w:rPr>
          <w:rFonts w:ascii="Times New Roman" w:eastAsia="SimSun" w:hAnsi="Times New Roman" w:cs="Calibri"/>
          <w:color w:val="000000" w:themeColor="text1"/>
          <w:lang w:eastAsia="hi-IN" w:bidi="hi-IN"/>
        </w:rPr>
        <w:t>u</w:t>
      </w:r>
      <w:r w:rsidRPr="008805B8">
        <w:rPr>
          <w:rFonts w:ascii="Times New Roman" w:eastAsia="SimSun" w:hAnsi="Times New Roman" w:cs="Calibri"/>
          <w:color w:val="000000" w:themeColor="text1"/>
          <w:lang w:eastAsia="hi-IN" w:bidi="hi-IN"/>
        </w:rPr>
        <w:t>r of a more evidenced-based approach</w:t>
      </w:r>
      <w:r w:rsidR="005F1CC6">
        <w:rPr>
          <w:rFonts w:ascii="Times New Roman" w:eastAsia="SimSun" w:hAnsi="Times New Roman" w:cs="Calibri"/>
          <w:color w:val="000000" w:themeColor="text1"/>
          <w:lang w:eastAsia="hi-IN" w:bidi="hi-IN"/>
        </w:rPr>
        <w:t>,</w:t>
      </w:r>
      <w:r w:rsidRPr="008805B8">
        <w:rPr>
          <w:rFonts w:ascii="Times New Roman" w:eastAsia="SimSun" w:hAnsi="Times New Roman" w:cs="Calibri"/>
          <w:color w:val="000000" w:themeColor="text1"/>
          <w:lang w:eastAsia="hi-IN" w:bidi="hi-IN"/>
        </w:rPr>
        <w:t xml:space="preserve"> and for discussions under the CBD to better acknowledge the demonstrated, or supporting the potential contribution, of biotechnology toward the achievement of the biodiversity and sustainability objectives at the heart of the CBD. They </w:t>
      </w:r>
      <w:r w:rsidRPr="008805B8">
        <w:rPr>
          <w:rFonts w:ascii="Times New Roman" w:eastAsia="SimSun" w:hAnsi="Times New Roman"/>
          <w:kern w:val="22"/>
        </w:rPr>
        <w:t>call on stronger involvement by the scientific community in the CBD discussions as essential to support evidence-based decision-making and the development and/or adjustment of effective, adaptive and proportionate regulation (</w:t>
      </w:r>
      <w:r w:rsidRPr="0070050C">
        <w:rPr>
          <w:rFonts w:ascii="Times New Roman" w:hAnsi="Times New Roman"/>
          <w:kern w:val="22"/>
        </w:rPr>
        <w:t>Keiper and Atanassova, 2020</w:t>
      </w:r>
      <w:r w:rsidRPr="008805B8">
        <w:rPr>
          <w:rFonts w:ascii="Times New Roman" w:eastAsia="SimSun" w:hAnsi="Times New Roman"/>
          <w:kern w:val="22"/>
        </w:rPr>
        <w:t>).</w:t>
      </w:r>
      <w:r w:rsidR="231AB8B0" w:rsidRPr="008805B8">
        <w:rPr>
          <w:rFonts w:ascii="Times New Roman" w:eastAsia="SimSun" w:hAnsi="Times New Roman"/>
          <w:kern w:val="22"/>
        </w:rPr>
        <w:t xml:space="preserve"> </w:t>
      </w:r>
      <w:r w:rsidR="66271B44" w:rsidRPr="008805B8">
        <w:rPr>
          <w:rFonts w:ascii="Times New Roman" w:eastAsia="SimSun" w:hAnsi="Times New Roman"/>
          <w:kern w:val="22"/>
        </w:rPr>
        <w:t xml:space="preserve">While </w:t>
      </w:r>
      <w:r w:rsidR="6AB0BE4D" w:rsidRPr="008805B8">
        <w:rPr>
          <w:rFonts w:ascii="Times New Roman" w:eastAsia="SimSun" w:hAnsi="Times New Roman"/>
          <w:kern w:val="22"/>
        </w:rPr>
        <w:t>th</w:t>
      </w:r>
      <w:r w:rsidR="231AB8B0" w:rsidRPr="008805B8">
        <w:rPr>
          <w:rFonts w:ascii="Times New Roman" w:eastAsia="SimSun" w:hAnsi="Times New Roman"/>
          <w:kern w:val="22"/>
        </w:rPr>
        <w:t>ere is therefore no consensus amongst the scientific community themselves on the most appropriate approach to self</w:t>
      </w:r>
      <w:r w:rsidR="000D1064">
        <w:rPr>
          <w:rFonts w:ascii="Times New Roman" w:eastAsia="SimSun" w:hAnsi="Times New Roman"/>
          <w:kern w:val="22"/>
        </w:rPr>
        <w:t>-</w:t>
      </w:r>
      <w:r w:rsidR="231AB8B0" w:rsidRPr="008805B8">
        <w:rPr>
          <w:rFonts w:ascii="Times New Roman" w:eastAsia="SimSun" w:hAnsi="Times New Roman"/>
          <w:kern w:val="22"/>
        </w:rPr>
        <w:t>regula</w:t>
      </w:r>
      <w:r w:rsidR="7322B9D4" w:rsidRPr="008805B8">
        <w:rPr>
          <w:rFonts w:ascii="Times New Roman" w:eastAsia="SimSun" w:hAnsi="Times New Roman"/>
          <w:kern w:val="22"/>
        </w:rPr>
        <w:t>tion or administration</w:t>
      </w:r>
      <w:r w:rsidR="731DD910" w:rsidRPr="008805B8">
        <w:rPr>
          <w:rFonts w:ascii="Times New Roman" w:eastAsia="SimSun" w:hAnsi="Times New Roman"/>
          <w:kern w:val="22"/>
        </w:rPr>
        <w:t xml:space="preserve">, it may be necessary to </w:t>
      </w:r>
      <w:r w:rsidR="1AC186CA" w:rsidRPr="008805B8">
        <w:rPr>
          <w:rFonts w:ascii="Times New Roman" w:eastAsia="SimSun" w:hAnsi="Times New Roman"/>
          <w:kern w:val="22"/>
        </w:rPr>
        <w:t>incorporate</w:t>
      </w:r>
      <w:r w:rsidR="731DD910" w:rsidRPr="008805B8">
        <w:rPr>
          <w:rFonts w:ascii="Times New Roman" w:eastAsia="SimSun" w:hAnsi="Times New Roman"/>
          <w:kern w:val="22"/>
        </w:rPr>
        <w:t xml:space="preserve"> sufficient </w:t>
      </w:r>
      <w:r w:rsidR="466AAC4F" w:rsidRPr="008805B8">
        <w:rPr>
          <w:rFonts w:ascii="Times New Roman" w:eastAsia="SimSun" w:hAnsi="Times New Roman"/>
          <w:kern w:val="22"/>
        </w:rPr>
        <w:t>safeguards</w:t>
      </w:r>
      <w:r w:rsidR="731DD910" w:rsidRPr="008805B8">
        <w:rPr>
          <w:rFonts w:ascii="Times New Roman" w:eastAsia="SimSun" w:hAnsi="Times New Roman"/>
          <w:kern w:val="22"/>
        </w:rPr>
        <w:t xml:space="preserve"> to ensure transparency and accountability to society at large</w:t>
      </w:r>
      <w:r w:rsidR="00080A93">
        <w:rPr>
          <w:rFonts w:ascii="Times New Roman" w:eastAsia="SimSun" w:hAnsi="Times New Roman"/>
          <w:kern w:val="22"/>
        </w:rPr>
        <w:t xml:space="preserve"> </w:t>
      </w:r>
      <w:r w:rsidR="00DE67C9" w:rsidRPr="00EB320D">
        <w:rPr>
          <w:rFonts w:ascii="Times New Roman" w:eastAsia="SimSun" w:hAnsi="Times New Roman"/>
          <w:kern w:val="22"/>
        </w:rPr>
        <w:fldChar w:fldCharType="begin" w:fldLock="1"/>
      </w:r>
      <w:r w:rsidR="00154E43" w:rsidRPr="00EB320D">
        <w:rPr>
          <w:rFonts w:ascii="Times New Roman" w:eastAsia="SimSun" w:hAnsi="Times New Roman"/>
          <w:kern w:val="22"/>
        </w:rPr>
        <w:instrText>ADDIN CSL_CITATION {"citationItems":[{"id":"ITEM-1","itemData":{"DOI":"10.1126/science.aac7932","ISSN":"0036-8075","PMID":"26229113","author":[{"dropping-particle":"","family":"Akbari","given":"Omar S.","non-dropping-particle":"","parse-names":false,"suffix":""},{"dropping-particle":"","family":"Bellen","given":"Hugo J.","non-dropping-particle":"","parse-names":false,"suffix":""},{"dropping-particle":"","family":"Bier","given":"Ethan","non-dropping-particle":"","parse-names":false,"suffix":""},{"dropping-particle":"","family":"Bullock","given":"Simon L.","non-dropping-particle":"","parse-names":false,"suffix":""},{"dropping-particle":"","family":"Burt","given":"Austin","non-dropping-particle":"","parse-names":false,"suffix":""},{"dropping-particle":"","family":"Church","given":"George M.","non-dropping-particle":"","parse-names":false,"suffix":""},{"dropping-particle":"","family":"Cook","given":"Kevin R.","non-dropping-particle":"","parse-names":false,"suffix":""},{"dropping-particle":"","family":"Duchek","given":"Peter","non-dropping-particle":"","parse-names":false,"suffix":""},{"dropping-particle":"","family":"Edwards","given":"Owain R.","non-dropping-particle":"","parse-names":false,"suffix":""},{"dropping-particle":"","family":"Esvelt","given":"Kevin M.","non-dropping-particle":"","parse-names":false,"suffix":""},{"dropping-particle":"","family":"Gantz","given":"Valentino M.","non-dropping-particle":"","parse-names":false,"suffix":""},{"dropping-particle":"","family":"Golic","given":"Kent G.","non-dropping-particle":"","parse-names":false,"suffix":""},{"dropping-particle":"","family":"Gratz","given":"Scott J.","non-dropping-particle":"","parse-names":false,"suffix":""},{"dropping-particle":"","family":"Harrison","given":"Melissa M.","non-dropping-particle":"","parse-names":false,"suffix":""},{"dropping-particle":"","family":"Hayes","given":"Keith R.","non-dropping-particle":"","parse-names":false,"suffix":""},{"dropping-particle":"","family":"James","given":"Anthony A.","non-dropping-particle":"","parse-names":false,"suffix":""},{"dropping-particle":"","family":"Kaufman","given":"Thomas C.","non-dropping-particle":"","parse-names":false,"suffix":""},{"dropping-particle":"","family":"Knoblich","given":"Juergen","non-dropping-particle":"","parse-names":false,"suffix":""},{"dropping-particle":"","family":"Malik","given":"Harmit S.","non-dropping-particle":"","parse-names":false,"suffix":""},{"dropping-particle":"","family":"Matthews","given":"Kathy A.","non-dropping-particle":"","parse-names":false,"suffix":""},{"dropping-particle":"","family":"O'Connor-Giles"</w:instrText>
      </w:r>
      <w:r w:rsidR="00154E43" w:rsidRPr="00EB320D">
        <w:rPr>
          <w:rFonts w:ascii="Times New Roman" w:eastAsia="SimSun" w:hAnsi="Times New Roman"/>
          <w:kern w:val="22"/>
          <w:lang w:val="fr-FR"/>
        </w:rPr>
        <w:instrText>,"given":"Kate M.","non-dropping-particle":"","parse-names":false,"suffix":""},{"dropping-particle":"","family":"Parks","given":"Annette L.","non-dropping-particle":"","parse-names":false,"suffix":""},{"dropping-particle":"","family":"Perrimon","given":"Norbert","non-dropping-particle":"","parse-names":false,"suffix":""},{"dropping-particle":"","family":"Port","given":"Fillip","non-dropping-particle":"","parse-names":false,"suffix":""},{"dropping-particle":"","family":"Russell","given":"Steven","non-dropping-particle":"","parse-names":false,"suffix":""},{"dropping-particle":"","family":"Ueda","given":"Ryu","non-dropping-particle":"","parse-names":false,"suffix":""},{"dropping-particle":"","family":"Wildonger","given":"Jill","non-dropping-particle":"","parse-names":false,"suffix":""}],"container-title":"Science","id":"ITEM-1","issue":"6251","issued":{"date-parts":[["2015","8","28"]]},"page":"927-929","publisher":"American Association for the Advancement of Science","title":"Safeguarding gene drive experiments in the laboratory","type":"article-journal","volume":"349"},"uris":["http://www.mendeley.com/documents/?uuid=cd96ccb0-e8fa-40e6-9630-a0b367852c45"]}],"mendeley":{"formattedCitation":"(Akbari et al., 2015)","manualFormatting":"(Akbari et al., 2015","plainTextFormattedCitation":"(Akbari et al., 2015)","previouslyFormattedCitation":"(Akbari et al., 2015)"},"properties":{"noteIndex":0},"schema":"https://github.com/citation-style-language/schema/raw/master/csl-citation.json"}</w:instrText>
      </w:r>
      <w:r w:rsidR="00DE67C9" w:rsidRPr="00EB320D">
        <w:rPr>
          <w:rFonts w:ascii="Times New Roman" w:eastAsia="SimSun" w:hAnsi="Times New Roman"/>
          <w:kern w:val="22"/>
        </w:rPr>
        <w:fldChar w:fldCharType="separate"/>
      </w:r>
      <w:r w:rsidR="00DE67C9" w:rsidRPr="00EB320D">
        <w:rPr>
          <w:rFonts w:ascii="Times New Roman" w:eastAsia="SimSun" w:hAnsi="Times New Roman"/>
          <w:noProof/>
          <w:kern w:val="22"/>
          <w:lang w:val="fr-FR"/>
        </w:rPr>
        <w:t>(Akbari et al., 2015</w:t>
      </w:r>
      <w:r w:rsidR="00DE67C9" w:rsidRPr="00EB320D">
        <w:rPr>
          <w:rFonts w:ascii="Times New Roman" w:eastAsia="SimSun" w:hAnsi="Times New Roman"/>
          <w:kern w:val="22"/>
        </w:rPr>
        <w:fldChar w:fldCharType="end"/>
      </w:r>
      <w:r w:rsidR="008C6DC0" w:rsidRPr="00EB320D">
        <w:rPr>
          <w:rFonts w:ascii="Times New Roman" w:eastAsia="SimSun" w:hAnsi="Times New Roman"/>
          <w:kern w:val="22"/>
          <w:lang w:val="fr-FR"/>
        </w:rPr>
        <w:t>;</w:t>
      </w:r>
      <w:r w:rsidR="0010165B">
        <w:rPr>
          <w:rFonts w:ascii="Times New Roman" w:eastAsia="SimSun" w:hAnsi="Times New Roman"/>
          <w:kern w:val="22"/>
        </w:rPr>
        <w:fldChar w:fldCharType="begin" w:fldLock="1"/>
      </w:r>
      <w:r w:rsidR="0010165B" w:rsidRPr="00EB320D">
        <w:rPr>
          <w:rFonts w:ascii="Times New Roman" w:eastAsia="SimSun" w:hAnsi="Times New Roman"/>
          <w:kern w:val="22"/>
          <w:lang w:val="fr-FR"/>
        </w:rPr>
        <w:instrText>ADDIN CSL_CITATION {"citationItems":[{"id":"ITEM-1","itemData":{"DOI":"10.1126/science.abd1908","ISSN":"10959203","PMID":"33335055","author":[{"dropping-particle":"","family":"Long","given":"Kanya C","non-dropping-particle":"","parse-names":false,"suffix":""},{"dropping-particle":"","family":"Alphey","given":"Luke","non-dropping-particle":"","parse-names":false,"suffix":""},{"dropping-particle":"","family":"Annas","given":"George J","non-dropping-particle":"","parse-names":false,"suffix":""},{"dropping-particle":"","family":"Bloss","given":"Cinnamon S","non-dropping-particle":"","parse-names":false,"suffix":""},{"dropping-particle":"","family":"Campbell","given":"Karl J","non-dropping-particle":"","parse-names":false,"suffix":""},{"dropping-particle":"","family":"Champer","given":"Jackson","non-dropping-particle":"","parse-names":false,"suffix":""},{"dropping-particle":"","family":"Chen","given":"Chun Hong","non-dropping-particle":"","parse-names":false,"suffix":""},{"dropping-particle":"","family":"Choudhary","given":"Amit","non-dropping-particle":"","parse-names":false,"suffix":""},{"dropping-particle":"","family":"Church","given":"George M","non-dropping-particle":"","parse-names":false,"suffix":""},{"dropping-particle":"","family":"Collins","given":"James P","non-dropping-particle":"","parse-names":false,"suffix":""},{"dropping-particle":"","family":"Cooper","given":"Kimberly L","non-dropping-particle":"","parse-names":false,"suffix":""},{"dropping-particle":"","family":"Delborne","given":"Jason A","non-dropping-particle":"","parse-names":false,"suffix":""},{"dropping-particle":"","family":"Edwards","given":"Owain R","non-dropping-particle":"","parse-names":false,"suffix":""},{"dropping-particle":"","family":"Emerson","given":"Claudia I","non-dropping-particle":"","parse-names":false,"suffix":""},{"dropping-particle":"","family":"Esvelt","given":"Kevin","non-dropping-particle":"","parse-names":false,"suffix":""},{"dropping-particle":"","family":"Evans","given":"Sam Weiss","non-dropping-particle":"","parse-names":false,"suffix":""},{"dropping-particle":"","family":"Friedman","given":"Robert M","non-dropping-particle":"","parse-names":false,"suffix":""},{"dropping-particle":"","family":"Gantz","given":"Valentino M","non-dropping-particle":"","parse-names":false,"suffix":""},{"dropping-particle":"","family":"Gould","given":"Fred","non-dropping-particle":"","parse-names":false,"suffix":""},{"dropping-particle":"","family":"Hartley","given":"Sarah","non-dropping-particle":"","parse-names":false,"suffix":""},{"dropping-particle":"","family":"Heitman","given":"Elizabeth","non-dropping-particle":"","parse-names":false,"suffix":""},{"dropping-particle":"","family":"Hemingway","given":"Janet","non-dropping-particle":"","parse-names":false,"suffix":""},{"dropping-particle":"","family":"Kanuka","given":"Hirotaka","non-dropping-particle":"","parse-names":false,"suffix":""},{"dropping-particle":"","family":"Kuzma","given":"Jennifer","non-dropping-particle":"","parse-names":false,"suffix":""},{"dropping-particle":"V","family":"Lavery","given":"James","non-dropping-particle":"","parse-names":false,"suffix":""},{"dropping-particle":"","family":"Lee","given":"Yoosook","non-dropping-particle":"","parse-names":false,"suffix":""},{"dropping-particle":"","family":"Lorenzen","given":"Marce","non-dropping-particle":"","parse-names":false,"suffix":""},{"dropping-particle":"","family":"Lunshof","given":"Jeantine E","non-dropping-particle":"","parse-names":false,"suffix":""},{"dropping-particle":"","family":"Marshall","given":"John M","non-dropping-particle":"","parse-names":false,"suffix":""},{"dropping-particle":"","family":"Messer","given":"Philipp W","non-dropping-particle":"","parse-names":false,"suffix":""},{"dropping-particle":"","family":"Montell","given":"Craig","non-dropping-particle":"","parse-names":false,"suffix":""},{"dropping-particle":"","family":"Oye","given":"Kenneth A","non-dropping-particle":"","parse-names":false,"suffix":""},{"dropping-particle":"","family":"Palmer","given":"Megan J","non-dropping-particle":"","parse-names":false,"suffix":""},{"dropping-particle":"","family":"Papathanos","given":"Philippos Aris","non-dropping-particle":"","parse-names":false,"suffix":""},{"dropping-particle":"","family":"Paradkar","given":"Prasad N","non-dropping-particle":"","parse-names":false,"suffix":""},{"dropping-particle":"","family":"Piaggio","given":"Antoinette J","non-dropping-particle":"","parse-names":false,"suffix":""},{"dropping-particle":"","family":"Rasgon","given":"Jason L","non-dropping-particle":"","parse-names":false,"suffix":""},{"dropping-particle":"","family":"Rašic","given":"Gor</w:instrText>
      </w:r>
      <w:r w:rsidR="0010165B" w:rsidRPr="00EB320D">
        <w:rPr>
          <w:rFonts w:ascii="Times New Roman" w:eastAsia="SimSun" w:hAnsi="Times New Roman"/>
          <w:kern w:val="22"/>
          <w:lang w:val="fr-CA"/>
        </w:rPr>
        <w:instrText>dana","non-dropping-particle":"","parse-names":false,"suffix":""},{"dropping-particle":"","family":"Rudenko","given":"Larisa","non-dropping-particle":"","parse-names":false,"suffix":""},{"dropping-particle":"","family":"Saah","given":"J Royden","non-dropping-particle":"","parse-names":false,"suffix":""},{"dropping-particle":"","family":"Scott","given":"Maxwell J","non-dropping-particle":"","parse-names":false,"suffix":""},{"dropping-particle":"","family":"Sutton","given":"Jolene T","non-dropping-particle":"","parse-names":false,"suffix":""},{"dropping-particle":"","family":"Vorsino","given":"Adam E","non-dropping-particle":"","parse-names":false,"suffix":""},{"dropping-particle":"","family":"Akbari","given":"Omar S","non-dropping-particle":"","parse-names":false,"suffix":""}],"container-title":"Science","id":"ITEM-1","issue":"6523","issued":{"date-parts":[["2021","12"]]},"page":"1417-1419","publisher":"American Association for the Advancement of Science","title":"Core commitments for field trials of gene drive organisms","type":"article-journal","volume":"370"},"uris":["http://www.mendeley.com/documents/?uuid=feff6b53-7946-4d9f-9091-031b51e3e9dd"]}],"mendeley":{"formattedCitation":"(Long et al., 2021)","manualFormatting":" Long et al., 2021)","plainTextFormattedCitation":"(Long et al., 2021)","previouslyFormattedCitation":"(Long et al., 2021)"},"properties":{"noteIndex":0},"schema":"https://github.com/citation-style-language/schema/raw/master/csl-citation.json"}</w:instrText>
      </w:r>
      <w:r w:rsidR="0010165B">
        <w:rPr>
          <w:rFonts w:ascii="Times New Roman" w:eastAsia="SimSun" w:hAnsi="Times New Roman"/>
          <w:kern w:val="22"/>
        </w:rPr>
        <w:fldChar w:fldCharType="separate"/>
      </w:r>
      <w:r w:rsidR="0010165B" w:rsidRPr="00EB320D">
        <w:rPr>
          <w:rFonts w:ascii="Times New Roman" w:eastAsia="SimSun" w:hAnsi="Times New Roman"/>
          <w:noProof/>
          <w:kern w:val="22"/>
          <w:lang w:val="fr-CA"/>
        </w:rPr>
        <w:t xml:space="preserve"> Long et al., 2021)</w:t>
      </w:r>
      <w:r w:rsidR="0010165B">
        <w:rPr>
          <w:rFonts w:ascii="Times New Roman" w:eastAsia="SimSun" w:hAnsi="Times New Roman"/>
          <w:kern w:val="22"/>
        </w:rPr>
        <w:fldChar w:fldCharType="end"/>
      </w:r>
      <w:r w:rsidR="00D117B6" w:rsidRPr="00EB320D">
        <w:rPr>
          <w:rFonts w:ascii="Times New Roman" w:eastAsia="SimSun" w:hAnsi="Times New Roman"/>
          <w:kern w:val="22"/>
          <w:lang w:val="fr-CA"/>
        </w:rPr>
        <w:t xml:space="preserve">, </w:t>
      </w:r>
      <w:r w:rsidR="00D117B6" w:rsidRPr="00F8168D">
        <w:rPr>
          <w:rFonts w:ascii="Times New Roman" w:eastAsia="SimSun" w:hAnsi="Times New Roman"/>
          <w:kern w:val="22"/>
          <w:lang w:val="fr-CA"/>
        </w:rPr>
        <w:t>such as the</w:t>
      </w:r>
      <w:r w:rsidR="00957562" w:rsidRPr="00F8168D">
        <w:rPr>
          <w:rFonts w:ascii="Times New Roman" w:eastAsia="SimSun" w:hAnsi="Times New Roman"/>
          <w:kern w:val="22"/>
          <w:lang w:val="fr-CA"/>
        </w:rPr>
        <w:t xml:space="preserve"> </w:t>
      </w:r>
      <w:r w:rsidR="00F81A63" w:rsidRPr="00F8168D">
        <w:rPr>
          <w:rFonts w:ascii="Times New Roman" w:eastAsia="SimSun" w:hAnsi="Times New Roman"/>
          <w:kern w:val="22"/>
          <w:lang w:val="fr-CA"/>
        </w:rPr>
        <w:t xml:space="preserve">publication of core commitments </w:t>
      </w:r>
      <w:r w:rsidR="002B3CF1" w:rsidRPr="00F8168D">
        <w:rPr>
          <w:rFonts w:ascii="Times New Roman" w:eastAsia="SimSun" w:hAnsi="Times New Roman"/>
          <w:kern w:val="22"/>
          <w:lang w:val="fr-CA"/>
        </w:rPr>
        <w:t xml:space="preserve">for field trials </w:t>
      </w:r>
      <w:r w:rsidR="003A4003" w:rsidRPr="00F8168D">
        <w:rPr>
          <w:rFonts w:ascii="Times New Roman" w:eastAsia="SimSun" w:hAnsi="Times New Roman"/>
          <w:kern w:val="22"/>
          <w:lang w:val="fr-CA"/>
        </w:rPr>
        <w:t xml:space="preserve">of </w:t>
      </w:r>
      <w:r w:rsidR="00BB66F1" w:rsidRPr="00F8168D">
        <w:rPr>
          <w:rFonts w:ascii="Times New Roman" w:eastAsia="SimSun" w:hAnsi="Times New Roman"/>
          <w:kern w:val="22"/>
          <w:lang w:val="fr-CA"/>
        </w:rPr>
        <w:t>engineered gene drive</w:t>
      </w:r>
      <w:r w:rsidR="003A4003" w:rsidRPr="00F8168D">
        <w:rPr>
          <w:rFonts w:ascii="Times New Roman" w:eastAsia="SimSun" w:hAnsi="Times New Roman"/>
          <w:kern w:val="22"/>
          <w:lang w:val="fr-CA"/>
        </w:rPr>
        <w:t xml:space="preserve">s </w:t>
      </w:r>
      <w:r w:rsidR="00BF4F33" w:rsidRPr="00F8168D">
        <w:rPr>
          <w:rFonts w:ascii="Times New Roman" w:eastAsia="SimSun" w:hAnsi="Times New Roman"/>
          <w:kern w:val="22"/>
          <w:lang w:val="fr-CA"/>
        </w:rPr>
        <w:t>by a group of</w:t>
      </w:r>
      <w:r w:rsidR="00BB66F1" w:rsidRPr="00F8168D">
        <w:rPr>
          <w:rFonts w:ascii="Times New Roman" w:eastAsia="SimSun" w:hAnsi="Times New Roman"/>
          <w:kern w:val="22"/>
          <w:lang w:val="fr-CA"/>
        </w:rPr>
        <w:t xml:space="preserve"> </w:t>
      </w:r>
      <w:r w:rsidR="001D2E10" w:rsidRPr="00F8168D">
        <w:rPr>
          <w:rFonts w:ascii="Times New Roman" w:eastAsia="SimSun" w:hAnsi="Times New Roman"/>
          <w:kern w:val="22"/>
          <w:lang w:val="fr-CA"/>
        </w:rPr>
        <w:t>developers</w:t>
      </w:r>
      <w:r w:rsidR="00727EF2" w:rsidRPr="00F8168D">
        <w:rPr>
          <w:rFonts w:ascii="Times New Roman" w:eastAsia="SimSun" w:hAnsi="Times New Roman"/>
          <w:kern w:val="22"/>
          <w:lang w:val="fr-CA"/>
        </w:rPr>
        <w:t>,</w:t>
      </w:r>
      <w:r w:rsidR="001D2E10" w:rsidRPr="00F8168D">
        <w:rPr>
          <w:rFonts w:ascii="Times New Roman" w:eastAsia="SimSun" w:hAnsi="Times New Roman"/>
          <w:kern w:val="22"/>
          <w:lang w:val="fr-CA"/>
        </w:rPr>
        <w:t xml:space="preserve"> </w:t>
      </w:r>
      <w:r w:rsidR="000D5B13" w:rsidRPr="00F8168D">
        <w:rPr>
          <w:rFonts w:ascii="Times New Roman" w:eastAsia="SimSun" w:hAnsi="Times New Roman"/>
          <w:kern w:val="22"/>
          <w:lang w:val="fr-CA"/>
        </w:rPr>
        <w:t>ecologists, conservation biologists, and experts in social</w:t>
      </w:r>
      <w:r w:rsidR="00BB66F1" w:rsidRPr="00F8168D">
        <w:rPr>
          <w:rFonts w:ascii="Times New Roman" w:eastAsia="SimSun" w:hAnsi="Times New Roman"/>
          <w:kern w:val="22"/>
          <w:lang w:val="fr-CA"/>
        </w:rPr>
        <w:t xml:space="preserve"> </w:t>
      </w:r>
      <w:r w:rsidR="000D5B13" w:rsidRPr="00F8168D">
        <w:rPr>
          <w:rFonts w:ascii="Times New Roman" w:eastAsia="SimSun" w:hAnsi="Times New Roman"/>
          <w:kern w:val="22"/>
          <w:lang w:val="fr-CA"/>
        </w:rPr>
        <w:t>science, ethics, and policy</w:t>
      </w:r>
      <w:r w:rsidR="00F03E81" w:rsidRPr="00F8168D">
        <w:rPr>
          <w:rFonts w:ascii="Times New Roman" w:eastAsia="SimSun" w:hAnsi="Times New Roman"/>
          <w:kern w:val="22"/>
          <w:lang w:val="fr-CA"/>
        </w:rPr>
        <w:t xml:space="preserve"> </w:t>
      </w:r>
      <w:r w:rsidR="0010165B" w:rsidRPr="00EB320D">
        <w:rPr>
          <w:rFonts w:ascii="Times New Roman" w:eastAsia="SimSun" w:hAnsi="Times New Roman"/>
          <w:kern w:val="22"/>
          <w:lang w:val="en-CA"/>
        </w:rPr>
        <w:fldChar w:fldCharType="begin" w:fldLock="1"/>
      </w:r>
      <w:r w:rsidR="00F1581C" w:rsidRPr="00F8168D">
        <w:rPr>
          <w:rFonts w:ascii="Times New Roman" w:eastAsia="SimSun" w:hAnsi="Times New Roman"/>
          <w:kern w:val="22"/>
          <w:lang w:val="fr-CA"/>
        </w:rPr>
        <w:instrText>ADDIN CSL_CITATION {"citationItems":[{"id":"ITEM-1","itemData":{"DOI":"10.1126/science.abd1908","ISSN":"10959203","PMID":"33335055","author":[{"dropping-particle":"","family":"Long","given":"Kanya C","non-dropping-particle":"","parse-names":false,"suffix":""},{"dropping-particle":"","family":"Alphey","given":"Luke","non-dropping-particle":"","parse-names":false,"suffix":""},{"dropping-particle":"","family":"Annas","given":"George J","non-dropping-particle":"","parse-names":false,"suffix":""},{"dropping-particle":"","family":"Bloss","given":"Cinnamon S","non-dropping-particle":"","parse-names":false,"suffix":""},{"dropping-particle":"","family":"Campbell","given":"Karl J","non-dropping-particle":"","parse-names":false,"suffix":""},{"dropping-particle":"","family":"Champer","given":"Jackson","non-dropping-particle":"","parse-names":false,"suffix":""},{"dropping-particle":"","family":"Chen","given":"Chun Hong","non-dropping-particle":"","parse-names":false,"suffix":""},{"dropping-particle":"","family":"Choudhary","given":"Amit","non-dropping-particle":"","parse-names":false,"suffix":""},{"dropping-particle":"","family":"Church","given":"George M","non-dropping-particle":"","parse-names":false,"suffix":""},{"dropping-particle":"","family":"Collins","given":"Jame</w:instrText>
      </w:r>
      <w:r w:rsidR="00F1581C" w:rsidRPr="00EB320D">
        <w:rPr>
          <w:rFonts w:ascii="Times New Roman" w:eastAsia="SimSun" w:hAnsi="Times New Roman"/>
          <w:kern w:val="22"/>
          <w:lang w:val="en-CA"/>
        </w:rPr>
        <w:instrText>s P","non-dropping-particle":"","parse-names":false,"suffix":""},{"dropping-particle":"","family":"Cooper","given":"Kimberly L","non-dropping-particle":"","parse-names":false,"suffix":""},{"dropping-particle":"","family":"Delborne","given":"Jason A","non-dropping-particle":"","parse-names":false,"suffix":""},{"dropping-particle":"","family":"Edwards","given":"Owain R","non-dropping-particle":"","parse-names":false,"suffix":""},{"dropping-particle":"","family":"Emerson","given":"Claudia I","non-dropping-particle":"","parse-names":false,"suffix":""},{"dropping-particle":"","family":"Esvelt","given":"Kevin","non-dropping-particle":"","parse-names":false,"suffix":""},{"dropping-particle":"","family":"Evans","given":"Sam Weiss","non-dropping-particle":"","parse-names":false,"suffix":""},{"dropping-particle":"","family":"Friedman","given":"Robert M","non-dropping-particle":"","parse-names":false,"suffix":""},{"dropping-particle":"","family":"Gantz","given":"Valentino M","non-dropping-particle":"","parse-names":false,"suffix":""},{"dropping-particle":"","family":"Gould","given":"Fred","non-dropping-particle":"","parse-names":false,"suffix":""},{"dropping-particle":"","family":"Hartley","given":"Sarah","non-dropping-particle":"","parse-names":false,"suffix":""},{"dropping-particle":"","family":"Heitman","given":"Elizabeth","non-dropping-particle":"","parse-names":false,"suffix":""},{"dropping-particle":"","family":"Hemingway","given":"Janet","non-dropping-particle":"","parse-names":false,"suffix":""},{"dropping-particle":"","family":"Kanuka","given":"Hirotaka","non-dropping-particle":"","parse-names":false,"suffix":""},{"dropping-particle":"","family":"Kuzma","given":"Jennifer","non-dropping-particle":"","parse-names":false,"suffix":""},{"dropping-particle":"V","family":"Lavery","given":"James","non-dropping-particle":"","parse-names":false,"suffix":""},{"dropping-particle":"","family":"Lee","given":"Yoosook","non-dropping-particle":"","parse-names":false,"suffix":""},{"dropping-particle":"","family":"Lorenzen","given":"Marce","non-dropping-particle":"","parse-names":false,"suffix":""},{"dropping-particle":"","family":"Lunshof","given":"Jeantine E","non-dropping-particle":"","parse-names":false,"suffix":""},{"dropping-particle":"","family":"Marshall","given":"John M","non-dropping-particle":"","parse-names":false,"suffix":""},{"dropping-particle":"","family":"Messer","given":"Philipp W","non-dropping-particle":"","parse-names":false,"suffix":""},{"dropping-particle":"","family":"Montell","given":"Craig","non-dropping-particle":"","parse-names":false,"suffix":""},{"dropping-particle":"","family":"Oye","given":"Kenneth A","non-dropping-particle":"","parse-names":false,"suffix":""},{"dropping-particle":"","family":"Palmer","given":"Megan J","non-dropping-particle":"","parse-names":false,"suffix":""},{"dropping-particle":"","family":"Papathanos","given":"Philippos Aris","non-dropping-particle":"","parse-names":false,"suffix":""},{"dropping-particle":"","family":"Paradkar","given":"Prasad N","non-dropping-particle":"","parse-names":false,"suffix":""},{"dropping-particle":"","family":"Piaggio","given":"Antoinette J","non-dropping-particle":"","parse-names":false,"suffix":""},{"dropping-particle":"","family":"Rasgon","given":"Jason L","non-dropping-particle":"","parse-names":false,"suffix":""},{"dropping-particle":"","family":"Rašic","given":"Gordana","non-dropping-particle":"","parse-names":false,"suffix":""},{"dropping-particle":"","family":"Rudenko","given":"Larisa","non-dropping-particle":"","parse-names":false,"suffix":""},{"dropping-particle":"","family":"Saah","given":"J Royden","non-dropping-particle":"","parse-names":false,"suffix":""},{"dropping-particle":"","family":"Scott","given":"Maxwell J","non-dropping-particle":"","parse-names":false,"suffix":""},{"dropping-particle":"","family":"Sutton","given":"Jolene T","non-dropping-particle":"","parse-names":false,"suffix":""},{"dropping-particle":"","family":"Vorsino","given":"Adam E","non-dropping-particle":"","parse-names":false,"suffix":""},{"dropping-particle":"","family":"Akbari","given":"Omar S","non-dropping-particle":"","parse-names":false,"suffix":""}],"container-title":"Science","id":"ITEM-1","issue":"6523","issued":{"date-parts":[["2021","12"]]},"page":"1417-1419","publisher":"American Association for the Advancement of Science","title":"Core commitments for field trials of gene drive organisms","type":"article-journal","volume":"370"},"uris":["http://www.mendeley.com/documents/?uuid=feff6b53-7946-4d9f-9091-031b51e3e9dd"]}],"mendeley":{"formattedCitation":"(Long et al., 2021)","plainTextFormattedCitation":"(Long et al., 2021)","previouslyFormattedCitation":"(Long et al., 2021)"},"properties":{"noteIndex":0},"schema":"https://github.com/citation-style-language/schema/raw/master/csl-citation.json"}</w:instrText>
      </w:r>
      <w:r w:rsidR="0010165B" w:rsidRPr="00EB320D">
        <w:rPr>
          <w:rFonts w:ascii="Times New Roman" w:eastAsia="SimSun" w:hAnsi="Times New Roman"/>
          <w:kern w:val="22"/>
          <w:lang w:val="en-CA"/>
        </w:rPr>
        <w:fldChar w:fldCharType="separate"/>
      </w:r>
      <w:r w:rsidR="0010165B" w:rsidRPr="00EB320D">
        <w:rPr>
          <w:rFonts w:ascii="Times New Roman" w:eastAsia="SimSun" w:hAnsi="Times New Roman"/>
          <w:noProof/>
          <w:kern w:val="22"/>
          <w:lang w:val="en-CA"/>
        </w:rPr>
        <w:t>(Long et al., 2021)</w:t>
      </w:r>
      <w:r w:rsidR="0010165B" w:rsidRPr="00EB320D">
        <w:rPr>
          <w:rFonts w:ascii="Times New Roman" w:eastAsia="SimSun" w:hAnsi="Times New Roman"/>
          <w:kern w:val="22"/>
          <w:lang w:val="en-CA"/>
        </w:rPr>
        <w:fldChar w:fldCharType="end"/>
      </w:r>
      <w:r w:rsidR="00B23363" w:rsidRPr="00EB320D">
        <w:rPr>
          <w:rFonts w:ascii="Times New Roman" w:eastAsia="SimSun" w:hAnsi="Times New Roman"/>
          <w:kern w:val="22"/>
          <w:lang w:val="en-CA"/>
        </w:rPr>
        <w:t>.</w:t>
      </w:r>
    </w:p>
    <w:p w14:paraId="2062A7AC" w14:textId="1C46714E" w:rsidR="00855A76" w:rsidRPr="007D6F0A" w:rsidRDefault="00855A76" w:rsidP="00855A76">
      <w:pPr>
        <w:pStyle w:val="Heading4"/>
        <w:rPr>
          <w:i w:val="0"/>
        </w:rPr>
      </w:pPr>
      <w:r w:rsidRPr="007D6F0A">
        <w:rPr>
          <w:i w:val="0"/>
        </w:rPr>
        <w:t>7.3.</w:t>
      </w:r>
      <w:r w:rsidR="006676BF" w:rsidRPr="00396AB7">
        <w:rPr>
          <w:rFonts w:ascii="Times New Roman" w:hAnsi="Times New Roman"/>
          <w:i w:val="0"/>
          <w:lang w:val="de-DE"/>
        </w:rPr>
        <w:t>3</w:t>
      </w:r>
      <w:r w:rsidRPr="007D6F0A">
        <w:rPr>
          <w:i w:val="0"/>
        </w:rPr>
        <w:t>. International Gene Synthesis Consortium (IGSC)</w:t>
      </w:r>
      <w:r w:rsidR="00945514" w:rsidRPr="007D6F0A">
        <w:rPr>
          <w:i w:val="0"/>
        </w:rPr>
        <w:t>.</w:t>
      </w:r>
    </w:p>
    <w:p w14:paraId="03C739A5" w14:textId="741736F0" w:rsidR="00855A76" w:rsidRPr="008805B8" w:rsidRDefault="00855A76" w:rsidP="00855A76">
      <w:pPr>
        <w:suppressAutoHyphens/>
        <w:spacing w:after="120" w:line="240" w:lineRule="auto"/>
        <w:jc w:val="both"/>
        <w:rPr>
          <w:rFonts w:ascii="Times New Roman" w:eastAsia="SimSun" w:hAnsi="Times New Roman"/>
          <w:kern w:val="22"/>
        </w:rPr>
      </w:pPr>
      <w:r w:rsidRPr="008805B8">
        <w:rPr>
          <w:rFonts w:ascii="Times New Roman" w:eastAsia="SimSun" w:hAnsi="Times New Roman"/>
          <w:kern w:val="22"/>
        </w:rPr>
        <w:t>In 2009</w:t>
      </w:r>
      <w:r>
        <w:rPr>
          <w:rFonts w:ascii="Times New Roman" w:eastAsia="SimSun" w:hAnsi="Times New Roman"/>
          <w:kern w:val="22"/>
        </w:rPr>
        <w:t>,</w:t>
      </w:r>
      <w:r w:rsidRPr="008805B8">
        <w:rPr>
          <w:rFonts w:ascii="Times New Roman" w:eastAsia="SimSun" w:hAnsi="Times New Roman"/>
          <w:kern w:val="22"/>
        </w:rPr>
        <w:t xml:space="preserve"> several of the largest DNA synthesis companies came together to form the International Gene Synthesis Consortium (IGSC), a trade industry organi</w:t>
      </w:r>
      <w:r>
        <w:rPr>
          <w:rFonts w:ascii="Times New Roman" w:eastAsia="SimSun" w:hAnsi="Times New Roman"/>
          <w:kern w:val="22"/>
        </w:rPr>
        <w:t>s</w:t>
      </w:r>
      <w:r w:rsidRPr="008805B8">
        <w:rPr>
          <w:rFonts w:ascii="Times New Roman" w:eastAsia="SimSun" w:hAnsi="Times New Roman"/>
          <w:kern w:val="22"/>
        </w:rPr>
        <w:t xml:space="preserve">ation </w:t>
      </w:r>
      <w:r w:rsidR="2A298A79" w:rsidRPr="70AAAF72">
        <w:rPr>
          <w:rFonts w:ascii="Times New Roman" w:eastAsia="SimSun" w:hAnsi="Times New Roman"/>
        </w:rPr>
        <w:t>with</w:t>
      </w:r>
      <w:r w:rsidRPr="70AAAF72">
        <w:rPr>
          <w:rFonts w:ascii="Times New Roman" w:eastAsia="SimSun" w:hAnsi="Times New Roman"/>
        </w:rPr>
        <w:t xml:space="preserve"> the </w:t>
      </w:r>
      <w:r w:rsidR="2A298A79" w:rsidRPr="70AAAF72">
        <w:rPr>
          <w:rFonts w:ascii="Times New Roman" w:eastAsia="SimSun" w:hAnsi="Times New Roman"/>
        </w:rPr>
        <w:t>objective of</w:t>
      </w:r>
      <w:r w:rsidRPr="008805B8">
        <w:rPr>
          <w:rFonts w:ascii="Times New Roman" w:eastAsia="SimSun" w:hAnsi="Times New Roman"/>
          <w:kern w:val="22"/>
        </w:rPr>
        <w:t xml:space="preserve"> promot</w:t>
      </w:r>
      <w:r w:rsidR="767CBE5F" w:rsidRPr="70AAAF72">
        <w:rPr>
          <w:rFonts w:ascii="Times New Roman" w:eastAsia="SimSun" w:hAnsi="Times New Roman"/>
        </w:rPr>
        <w:t>ing</w:t>
      </w:r>
      <w:r w:rsidRPr="008805B8">
        <w:rPr>
          <w:rFonts w:ascii="Times New Roman" w:eastAsia="SimSun" w:hAnsi="Times New Roman"/>
          <w:kern w:val="22"/>
        </w:rPr>
        <w:t xml:space="preserve"> the beneficial application of gene synthesis technology while safeguarding biosecurity. Representing approximately 80</w:t>
      </w:r>
      <w:r>
        <w:rPr>
          <w:rFonts w:ascii="Times New Roman" w:eastAsia="SimSun" w:hAnsi="Times New Roman"/>
          <w:kern w:val="22"/>
        </w:rPr>
        <w:t xml:space="preserve"> </w:t>
      </w:r>
      <w:r w:rsidRPr="008805B8">
        <w:rPr>
          <w:rFonts w:ascii="Times New Roman" w:eastAsia="SimSun" w:hAnsi="Times New Roman"/>
          <w:kern w:val="22"/>
        </w:rPr>
        <w:t>% of commercial gene synthesis capacity world-wide, IGS</w:t>
      </w:r>
      <w:r w:rsidR="00167608">
        <w:rPr>
          <w:rFonts w:ascii="Times New Roman" w:eastAsia="SimSun" w:hAnsi="Times New Roman"/>
          <w:kern w:val="22"/>
        </w:rPr>
        <w:t>C</w:t>
      </w:r>
      <w:r w:rsidRPr="008805B8">
        <w:rPr>
          <w:rFonts w:ascii="Times New Roman" w:eastAsia="SimSun" w:hAnsi="Times New Roman"/>
          <w:kern w:val="22"/>
        </w:rPr>
        <w:t xml:space="preserve"> members apply a common protocol to screen both the sequences of synthetic gene orders and the customers who place them. It collaborates with national and international government organi</w:t>
      </w:r>
      <w:r>
        <w:rPr>
          <w:rFonts w:ascii="Times New Roman" w:eastAsia="SimSun" w:hAnsi="Times New Roman"/>
          <w:kern w:val="22"/>
        </w:rPr>
        <w:t>s</w:t>
      </w:r>
      <w:r w:rsidRPr="008805B8">
        <w:rPr>
          <w:rFonts w:ascii="Times New Roman" w:eastAsia="SimSun" w:hAnsi="Times New Roman"/>
          <w:kern w:val="22"/>
        </w:rPr>
        <w:t xml:space="preserve">ations and other interested parties to curate a Regulated Pathogen Database derived from international pathogen and toxin sequence databases </w:t>
      </w:r>
      <w:r w:rsidR="00B90F27">
        <w:rPr>
          <w:rFonts w:ascii="Times New Roman" w:eastAsia="SimSun" w:hAnsi="Times New Roman"/>
          <w:kern w:val="22"/>
        </w:rPr>
        <w:fldChar w:fldCharType="begin" w:fldLock="1"/>
      </w:r>
      <w:r w:rsidR="009A74C5">
        <w:rPr>
          <w:rFonts w:ascii="Times New Roman" w:eastAsia="SimSun" w:hAnsi="Times New Roman"/>
          <w:kern w:val="22"/>
        </w:rPr>
        <w:instrText>ADDIN CSL_CITATION {"citationItems":[{"id":"ITEM-1","itemData":{"author":[{"dropping-particle":"","family":"International Gene Synthesis Consortium","given":"","non-dropping-particle":"","parse-names":false,"suffix":""}],"id":"ITEM-1","issued":{"date-parts":[["2017"]]},"page":"4","title":"Harmonized Screening Protocol v2.0","type":"article"},"uris":["http://www.mendeley.com/documents/?uuid=8a7e27aa-ee75-4985-b066-06b49f8a8c8a"]}],"mendeley":{"formattedCitation":"(International Gene Synthesis Consortium, 2017)","plainTextFormattedCitation":"(International Gene Synthesis Consortium, 2017)","previouslyFormattedCitation":"(International Gene Synthesis Consortium, 2017)"},"properties":{"noteIndex":0},"schema":"https://github.com/citation-style-language/schema/raw/master/csl-citation.json"}</w:instrText>
      </w:r>
      <w:r w:rsidR="00B90F27">
        <w:rPr>
          <w:rFonts w:ascii="Times New Roman" w:eastAsia="SimSun" w:hAnsi="Times New Roman"/>
          <w:kern w:val="22"/>
        </w:rPr>
        <w:fldChar w:fldCharType="separate"/>
      </w:r>
      <w:r w:rsidR="003A32FB" w:rsidRPr="003A32FB">
        <w:rPr>
          <w:rFonts w:ascii="Times New Roman" w:eastAsia="SimSun" w:hAnsi="Times New Roman"/>
          <w:noProof/>
          <w:kern w:val="22"/>
        </w:rPr>
        <w:t>(International Gene Synthesis Consortium, 2017)</w:t>
      </w:r>
      <w:r w:rsidR="00B90F27">
        <w:rPr>
          <w:rFonts w:ascii="Times New Roman" w:eastAsia="SimSun" w:hAnsi="Times New Roman"/>
          <w:kern w:val="22"/>
        </w:rPr>
        <w:fldChar w:fldCharType="end"/>
      </w:r>
      <w:r w:rsidRPr="008805B8">
        <w:rPr>
          <w:rFonts w:ascii="Times New Roman" w:eastAsia="SimSun" w:hAnsi="Times New Roman"/>
          <w:kern w:val="22"/>
        </w:rPr>
        <w:t>. Industry bodies such as the Biotechnology Industry Organization support commercial surveillance which are voluntarily undertaken and overseen by industry. They argue that commercial self-regulation in DNA synthesis is sufficient, because “(at) this early stage of development, synthetic biology does not pose novel threats that are fundamentally different from those faced by</w:t>
      </w:r>
      <w:r w:rsidRPr="74EA1EF9">
        <w:rPr>
          <w:rFonts w:ascii="Times New Roman" w:eastAsia="SimSun" w:hAnsi="Times New Roman"/>
          <w:kern w:val="22"/>
        </w:rPr>
        <w:t xml:space="preserve"> the current biotechnology industry” </w:t>
      </w:r>
      <w:r w:rsidR="009A74C5">
        <w:rPr>
          <w:rFonts w:ascii="Times New Roman" w:eastAsia="SimSun" w:hAnsi="Times New Roman"/>
          <w:kern w:val="22"/>
        </w:rPr>
        <w:fldChar w:fldCharType="begin" w:fldLock="1"/>
      </w:r>
      <w:r w:rsidR="009A74C5">
        <w:rPr>
          <w:rFonts w:ascii="Times New Roman" w:eastAsia="SimSun" w:hAnsi="Times New Roman"/>
          <w:kern w:val="22"/>
        </w:rPr>
        <w:instrText>ADDIN CSL_CITATION {"citationItems":[{"id":"ITEM-1","itemData":{"DOI":"10.1126/science.1211066","ISSN":"0036-8075","abstract":"In our view, synthetic biology is an extension of the continuum of genetic science that has been used safely for more than 40 years by the biotechnology industry in the development of commercial products. Examples of synthetic biology use by biotechnology companies illustrate the potential to substantially reduce research and development time and to increase speed to market. Improvements in the speed and cost of DNA synthesis are enabling scientists to design modified bacterial chromosomes that can be used in the production of renewable chemicals, biofuels, bioproducts, renewable specialty chemicals, pharmaceutical intermediates, fine chemicals, food ingredients, and health care products. Regulatory options should support innovation and commercial development of new products while protecting the public from potential harms.","author":[{"dropping-particle":"","family":"Erickson","given":"Brent","non-dropping-particle":"","parse-names":false,"suffix":""},{"dropping-particle":"","family":"Singh","given":"Rina","non-dropping-particle":"","parse-names":false,"suffix":""},{"dropping-particle":"","family":"Winters","given":"Paul","non-dropping-particle":"","parse-names":false,"suffix":""}],"container-title":"Science","id":"ITEM-1","issue":"6047","issued":{"date-parts":[["2011","9","2"]]},"page":"1254-1256","title":"Synthetic Biology: Regulating Industry Uses of New Biotechnologies","type":"article-journal","volume":"333"},"uris":["http://www.mendeley.com/documents/?uuid=ec5a3bd2-48cf-4401-a099-c0f0099859c1"]}],"mendeley":{"formattedCitation":"(Erickson et al., 2011)","plainTextFormattedCitation":"(Erickson et al., 2011)","previouslyFormattedCitation":"(Erickson et al., 2011)"},"properties":{"noteIndex":0},"schema":"https://github.com/citation-style-language/schema/raw/master/csl-citation.json"}</w:instrText>
      </w:r>
      <w:r w:rsidR="009A74C5">
        <w:rPr>
          <w:rFonts w:ascii="Times New Roman" w:eastAsia="SimSun" w:hAnsi="Times New Roman"/>
          <w:kern w:val="22"/>
        </w:rPr>
        <w:fldChar w:fldCharType="separate"/>
      </w:r>
      <w:r w:rsidR="009A74C5" w:rsidRPr="009A74C5">
        <w:rPr>
          <w:rFonts w:ascii="Times New Roman" w:eastAsia="SimSun" w:hAnsi="Times New Roman"/>
          <w:noProof/>
          <w:kern w:val="22"/>
        </w:rPr>
        <w:t>(Erickson et al., 2011)</w:t>
      </w:r>
      <w:r w:rsidR="009A74C5">
        <w:rPr>
          <w:rFonts w:ascii="Times New Roman" w:eastAsia="SimSun" w:hAnsi="Times New Roman"/>
          <w:kern w:val="22"/>
        </w:rPr>
        <w:fldChar w:fldCharType="end"/>
      </w:r>
      <w:r w:rsidRPr="74EA1EF9">
        <w:rPr>
          <w:rFonts w:ascii="Times New Roman" w:eastAsia="SimSun" w:hAnsi="Times New Roman"/>
          <w:kern w:val="22"/>
        </w:rPr>
        <w:t>.</w:t>
      </w:r>
      <w:r w:rsidR="00890012" w:rsidRPr="74EA1EF9">
        <w:rPr>
          <w:rFonts w:ascii="Times New Roman" w:eastAsia="SimSun" w:hAnsi="Times New Roman"/>
          <w:kern w:val="22"/>
        </w:rPr>
        <w:t xml:space="preserve"> It has been suggested that such voluntary screening can be improved through “know your customer” vetting standards which are common in finance and adopting “red teaming” attack-simulation approaches which are common in cybersecurity </w:t>
      </w:r>
      <w:r w:rsidR="009A74C5">
        <w:rPr>
          <w:rFonts w:ascii="Times New Roman" w:eastAsia="SimSun" w:hAnsi="Times New Roman"/>
          <w:kern w:val="22"/>
        </w:rPr>
        <w:fldChar w:fldCharType="begin" w:fldLock="1"/>
      </w:r>
      <w:r w:rsidR="009A74C5">
        <w:rPr>
          <w:rFonts w:ascii="Times New Roman" w:eastAsia="SimSun" w:hAnsi="Times New Roman"/>
          <w:kern w:val="22"/>
        </w:rPr>
        <w:instrText>ADDIN CSL_CITATION {"citationItems":[{"id":"ITEM-1","itemData":{"DOI":"10.3389/fbioe.2019.00086","ISSN":"2296-4185","author":[{"dropping-particle":"","family":"Diggans","given":"James","non-dropping-particle":"","parse-names":false,"suffix":""},{"dropping-particle":"","family":"Leproust","given":"Emily","non-dropping-particle":"","parse-names":false,"suffix":""}],"container-title":"Frontiers in Bioengineering and Biotechnology","id":"ITEM-1","issued":{"date-parts":[["2019","4","24"]]},"title":"Next Steps for Access to Safe, Secure DNA Synthesis","type":"article-journal","volume":"7"},"uris":["http://www.mendeley.com/documents/?uuid=9220475f-800b-4683-a0db-1749c9595bc6"]}],"mendeley":{"formattedCitation":"(Diggans &amp; Leproust, 2019)","plainTextFormattedCitation":"(Diggans &amp; Leproust, 2019)","previouslyFormattedCitation":"(Diggans &amp; Leproust, 2019)"},"properties":{"noteIndex":0},"schema":"https://github.com/citation-style-language/schema/raw/master/csl-citation.json"}</w:instrText>
      </w:r>
      <w:r w:rsidR="009A74C5">
        <w:rPr>
          <w:rFonts w:ascii="Times New Roman" w:eastAsia="SimSun" w:hAnsi="Times New Roman"/>
          <w:kern w:val="22"/>
        </w:rPr>
        <w:fldChar w:fldCharType="separate"/>
      </w:r>
      <w:r w:rsidR="009A74C5" w:rsidRPr="009A74C5">
        <w:rPr>
          <w:rFonts w:ascii="Times New Roman" w:eastAsia="SimSun" w:hAnsi="Times New Roman"/>
          <w:noProof/>
          <w:kern w:val="22"/>
        </w:rPr>
        <w:t>(Diggans &amp; Leproust, 2019)</w:t>
      </w:r>
      <w:r w:rsidR="009A74C5">
        <w:rPr>
          <w:rFonts w:ascii="Times New Roman" w:eastAsia="SimSun" w:hAnsi="Times New Roman"/>
          <w:kern w:val="22"/>
        </w:rPr>
        <w:fldChar w:fldCharType="end"/>
      </w:r>
      <w:r w:rsidR="00890012" w:rsidRPr="74EA1EF9">
        <w:rPr>
          <w:rFonts w:ascii="Times New Roman" w:eastAsia="SimSun" w:hAnsi="Times New Roman"/>
          <w:kern w:val="22"/>
        </w:rPr>
        <w:t>. It has also been suggested that such screening should be applied more broadly across the synthetic biology supply chain in order to minimise risk and maximise safety</w:t>
      </w:r>
      <w:r w:rsidR="4EDF2BDA" w:rsidRPr="70AAAF72">
        <w:rPr>
          <w:rFonts w:ascii="Times New Roman" w:eastAsia="SimSun" w:hAnsi="Times New Roman"/>
        </w:rPr>
        <w:t>.</w:t>
      </w:r>
      <w:r w:rsidR="00890012" w:rsidRPr="74EA1EF9">
        <w:rPr>
          <w:rFonts w:ascii="Times New Roman" w:eastAsia="SimSun" w:hAnsi="Times New Roman"/>
          <w:kern w:val="22"/>
        </w:rPr>
        <w:t xml:space="preserve"> </w:t>
      </w:r>
      <w:r w:rsidR="79D0EB1A" w:rsidRPr="74EA1EF9">
        <w:rPr>
          <w:rFonts w:ascii="Times New Roman" w:eastAsia="SimSun" w:hAnsi="Times New Roman"/>
          <w:kern w:val="22"/>
        </w:rPr>
        <w:t>F</w:t>
      </w:r>
      <w:r w:rsidR="00890012" w:rsidRPr="74EA1EF9">
        <w:rPr>
          <w:rFonts w:ascii="Times New Roman" w:eastAsia="SimSun" w:hAnsi="Times New Roman"/>
          <w:kern w:val="22"/>
        </w:rPr>
        <w:t>or example</w:t>
      </w:r>
      <w:r w:rsidR="0022211C">
        <w:rPr>
          <w:rFonts w:ascii="Times New Roman" w:eastAsia="SimSun" w:hAnsi="Times New Roman"/>
          <w:kern w:val="22"/>
        </w:rPr>
        <w:t>,</w:t>
      </w:r>
      <w:r w:rsidR="00890012" w:rsidRPr="74EA1EF9">
        <w:rPr>
          <w:rFonts w:ascii="Times New Roman" w:eastAsia="SimSun" w:hAnsi="Times New Roman"/>
          <w:kern w:val="22"/>
        </w:rPr>
        <w:t xml:space="preserve"> by lowering the cost of screening and making open-source annotation resources and tools available, a much wider array of synthesis companies will be able to screen their orders </w:t>
      </w:r>
      <w:r w:rsidR="009A74C5">
        <w:rPr>
          <w:rFonts w:ascii="Times New Roman" w:eastAsia="SimSun" w:hAnsi="Times New Roman"/>
          <w:kern w:val="22"/>
        </w:rPr>
        <w:fldChar w:fldCharType="begin" w:fldLock="1"/>
      </w:r>
      <w:r w:rsidR="009A74C5">
        <w:rPr>
          <w:rFonts w:ascii="Times New Roman" w:eastAsia="SimSun" w:hAnsi="Times New Roman"/>
          <w:kern w:val="22"/>
        </w:rPr>
        <w:instrText>ADDIN CSL_CITATION {"citationItems":[{"id":"ITEM-1","itemData":{"DOI":"10.3389/fbioe.2019.00086","ISSN":"2296-4185","author":[{"dropping-particle":"","family":"Diggans","given":"James","non-dropping-particle":"","parse-names":false,"suffix":""},{"dropping-particle":"","family":"Leproust","given":"Emily","non-dropping-particle":"","parse-names":false,"suffix":""}],"container-title":"Frontiers in Bioengineering and Biotechnology","id":"ITEM-1","issued":{"date-parts":[["2019","4","24"]]},"title":"Next Steps for Access to Safe, Secure DNA Synthesis","type":"article-journal","volume":"7"},"uris":["http://www.mendeley.com/documents/?uuid=9220475f-800b-4683-a0db-1749c9595bc6"]}],"mendeley":{"formattedCitation":"(Diggans &amp; Leproust, 2019)","plainTextFormattedCitation":"(Diggans &amp; Leproust, 2019)","previouslyFormattedCitation":"(Diggans &amp; Leproust, 2019)"},"properties":{"noteIndex":0},"schema":"https://github.com/citation-style-language/schema/raw/master/csl-citation.json"}</w:instrText>
      </w:r>
      <w:r w:rsidR="009A74C5">
        <w:rPr>
          <w:rFonts w:ascii="Times New Roman" w:eastAsia="SimSun" w:hAnsi="Times New Roman"/>
          <w:kern w:val="22"/>
        </w:rPr>
        <w:fldChar w:fldCharType="separate"/>
      </w:r>
      <w:r w:rsidR="009A74C5" w:rsidRPr="009A74C5">
        <w:rPr>
          <w:rFonts w:ascii="Times New Roman" w:eastAsia="SimSun" w:hAnsi="Times New Roman"/>
          <w:noProof/>
          <w:kern w:val="22"/>
        </w:rPr>
        <w:t>(Diggans &amp; Leproust, 2019)</w:t>
      </w:r>
      <w:r w:rsidR="009A74C5">
        <w:rPr>
          <w:rFonts w:ascii="Times New Roman" w:eastAsia="SimSun" w:hAnsi="Times New Roman"/>
          <w:kern w:val="22"/>
        </w:rPr>
        <w:fldChar w:fldCharType="end"/>
      </w:r>
      <w:r w:rsidR="00890012" w:rsidRPr="74EA1EF9">
        <w:rPr>
          <w:rFonts w:ascii="Times New Roman" w:eastAsia="SimSun" w:hAnsi="Times New Roman"/>
          <w:kern w:val="22"/>
        </w:rPr>
        <w:t xml:space="preserve">. In a report on “Biodefence in the Age of Synthetic Biology”, the USA’s National Academies of Sciences, Engineering and Medicine </w:t>
      </w:r>
      <w:r w:rsidR="009A74C5">
        <w:rPr>
          <w:rFonts w:ascii="Times New Roman" w:eastAsia="SimSun" w:hAnsi="Times New Roman"/>
          <w:kern w:val="22"/>
        </w:rPr>
        <w:fldChar w:fldCharType="begin" w:fldLock="1"/>
      </w:r>
      <w:r w:rsidR="00DB33D8">
        <w:rPr>
          <w:rFonts w:ascii="Times New Roman" w:eastAsia="SimSun" w:hAnsi="Times New Roman"/>
          <w:kern w:val="22"/>
        </w:rPr>
        <w:instrText>ADDIN CSL_CITATION {"citationItems":[{"id":"ITEM-1","itemData":{"DOI":"10.17226/24890","ISBN":"978-0-309-46518-2","author":[{"dropping-particle":"","family":"National Academies of Sciences Engineering and Medicine","given":"","non-dropping-particle":"","parse-names":false,"suffix":""}],"id":"ITEM-1","issued":{"date-parts":[["2018","12","5"]]},"publisher":"National Academies Press","publisher-place":"Washington, D.C.","title":"Biodefense in the Age of Synthetic Biology","type":"report"},"uris":["http://www.mendeley.com/documents/?uuid=5e5b68ef-ff61-42bc-ade5-988027ebc5aa"]}],"mendeley":{"formattedCitation":"(National Academies of Sciences Engineering and Medicine, 2018)","manualFormatting":"(2018)","plainTextFormattedCitation":"(National Academies of Sciences Engineering and Medicine, 2018)","previouslyFormattedCitation":"(National Academies of Sciences Engineering and Medicine, 2018)"},"properties":{"noteIndex":0},"schema":"https://github.com/citation-style-language/schema/raw/master/csl-citation.json"}</w:instrText>
      </w:r>
      <w:r w:rsidR="009A74C5">
        <w:rPr>
          <w:rFonts w:ascii="Times New Roman" w:eastAsia="SimSun" w:hAnsi="Times New Roman"/>
          <w:kern w:val="22"/>
        </w:rPr>
        <w:fldChar w:fldCharType="separate"/>
      </w:r>
      <w:r w:rsidR="009A74C5" w:rsidRPr="009A74C5">
        <w:rPr>
          <w:rFonts w:ascii="Times New Roman" w:eastAsia="SimSun" w:hAnsi="Times New Roman"/>
          <w:noProof/>
          <w:kern w:val="22"/>
        </w:rPr>
        <w:t>(2018)</w:t>
      </w:r>
      <w:r w:rsidR="009A74C5">
        <w:rPr>
          <w:rFonts w:ascii="Times New Roman" w:eastAsia="SimSun" w:hAnsi="Times New Roman"/>
          <w:kern w:val="22"/>
        </w:rPr>
        <w:fldChar w:fldCharType="end"/>
      </w:r>
      <w:r w:rsidR="00890012" w:rsidRPr="74EA1EF9">
        <w:rPr>
          <w:rFonts w:ascii="Times New Roman" w:eastAsia="SimSun" w:hAnsi="Times New Roman"/>
          <w:kern w:val="22"/>
        </w:rPr>
        <w:t xml:space="preserve"> observed that synthetic biology is being pursued overwhelmingly for beneficial purposes, ranging from reducing the burden of disease to improving agricultural yields to remediating pollution, however, it also noted that it can also be deployed maliciously. It acknowledge</w:t>
      </w:r>
      <w:r w:rsidR="4FEC172A" w:rsidRPr="74EA1EF9">
        <w:rPr>
          <w:rFonts w:ascii="Times New Roman" w:eastAsia="SimSun" w:hAnsi="Times New Roman"/>
          <w:kern w:val="22"/>
        </w:rPr>
        <w:t>d</w:t>
      </w:r>
      <w:r w:rsidR="00890012" w:rsidRPr="74EA1EF9">
        <w:rPr>
          <w:rFonts w:ascii="Times New Roman" w:eastAsia="SimSun" w:hAnsi="Times New Roman"/>
          <w:kern w:val="22"/>
        </w:rPr>
        <w:t xml:space="preserve"> that although norms of self-governance are not going to deter or prevent a determined malicious actor from seeking to develop, obtain, or use a biological weapon (whether it is enabled by synthetic biology or not), such norms provide groundwork that could be built upon and at a minimum, they offer a basis for social surveillance of unethical or malicious behaviour within the scientific community.</w:t>
      </w:r>
    </w:p>
    <w:p w14:paraId="18EE59D9" w14:textId="595B7747" w:rsidR="00855A76" w:rsidRPr="00F74F1D" w:rsidRDefault="00855A76" w:rsidP="00855A76">
      <w:pPr>
        <w:pStyle w:val="Heading4"/>
        <w:rPr>
          <w:i w:val="0"/>
        </w:rPr>
      </w:pPr>
      <w:r w:rsidRPr="00F74F1D">
        <w:rPr>
          <w:i w:val="0"/>
        </w:rPr>
        <w:t>7.3.</w:t>
      </w:r>
      <w:r w:rsidR="0022211C" w:rsidRPr="00FD0146">
        <w:rPr>
          <w:rFonts w:ascii="Times New Roman" w:hAnsi="Times New Roman"/>
          <w:i w:val="0"/>
          <w:lang w:val="en-US"/>
        </w:rPr>
        <w:t>4</w:t>
      </w:r>
      <w:r w:rsidRPr="00F74F1D">
        <w:rPr>
          <w:i w:val="0"/>
        </w:rPr>
        <w:t>. iGEM</w:t>
      </w:r>
      <w:r w:rsidR="00945514" w:rsidRPr="00F74F1D">
        <w:rPr>
          <w:i w:val="0"/>
        </w:rPr>
        <w:t>.</w:t>
      </w:r>
    </w:p>
    <w:p w14:paraId="0AF99C5F" w14:textId="7AA294D5" w:rsidR="00855A76" w:rsidRDefault="00855A76" w:rsidP="00855A76">
      <w:pPr>
        <w:suppressAutoHyphens/>
        <w:spacing w:after="120" w:line="240" w:lineRule="auto"/>
        <w:jc w:val="both"/>
        <w:rPr>
          <w:rFonts w:ascii="Times New Roman" w:eastAsia="SimSun" w:hAnsi="Times New Roman"/>
        </w:rPr>
      </w:pPr>
      <w:r w:rsidRPr="008805B8">
        <w:rPr>
          <w:rFonts w:ascii="Times New Roman" w:eastAsia="SimSun" w:hAnsi="Times New Roman"/>
          <w:bCs/>
          <w:kern w:val="22"/>
        </w:rPr>
        <w:t xml:space="preserve">The world’s largest international synthetic biology competition, known as iGEM (the international Genetically Engineered Machines competition) which has been running annually since 2003, attracts around 6000 students and community lab members form over 300 multidisciplinary teams from over 40 countries to compete in synthetic biology design, implementation, and integration into society using interchangeable biological parts and standard molecular biology techniques </w:t>
      </w:r>
      <w:r w:rsidR="00DB33D8">
        <w:rPr>
          <w:rFonts w:ascii="Times New Roman" w:eastAsia="SimSun" w:hAnsi="Times New Roman"/>
          <w:bCs/>
          <w:kern w:val="22"/>
        </w:rPr>
        <w:fldChar w:fldCharType="begin" w:fldLock="1"/>
      </w:r>
      <w:r w:rsidR="00310CB4">
        <w:rPr>
          <w:rFonts w:ascii="Times New Roman" w:eastAsia="SimSun" w:hAnsi="Times New Roman"/>
          <w:bCs/>
          <w:kern w:val="22"/>
        </w:rPr>
        <w:instrText>ADDIN CSL_CITATION {"citationItems":[{"id":"ITEM-1","itemData":{"URL":"https://igem.org/About","accessed":{"date-parts":[["2021","4","1"]]},"author":[{"dropping-particle":"","family":"International Genetically Engineered Machine","given":"","non-dropping-particle":"","parse-names":false,"suffix":""}],"id":"ITEM-1","issued":{"date-parts":[["2021"]]},"title":"iGEM - About","type":"webpage"},"uris":["http://www.mendeley.com/documents/?uuid=7567c7c2-2d14-49e7-95a6-795f6a163c7a"]}],"mendeley":{"formattedCitation":"(International Genetically Engineered Machine, 2021)","manualFormatting":"(iGEM, 2021)","plainTextFormattedCitation":"(International Genetically Engineered Machine, 2021)","previouslyFormattedCitation":"(International Genetically Engineered Machine, 2021)"},"properties":{"noteIndex":0},"schema":"https://github.com/citation-style-language/schema/raw/master/csl-citation.json"}</w:instrText>
      </w:r>
      <w:r w:rsidR="00DB33D8">
        <w:rPr>
          <w:rFonts w:ascii="Times New Roman" w:eastAsia="SimSun" w:hAnsi="Times New Roman"/>
          <w:bCs/>
          <w:kern w:val="22"/>
        </w:rPr>
        <w:fldChar w:fldCharType="separate"/>
      </w:r>
      <w:r w:rsidR="00DB33D8" w:rsidRPr="00DB33D8">
        <w:rPr>
          <w:rFonts w:ascii="Times New Roman" w:eastAsia="SimSun" w:hAnsi="Times New Roman"/>
          <w:bCs/>
          <w:noProof/>
          <w:kern w:val="22"/>
        </w:rPr>
        <w:t>(</w:t>
      </w:r>
      <w:r w:rsidR="00EB320D">
        <w:rPr>
          <w:rFonts w:ascii="Times New Roman" w:eastAsia="SimSun" w:hAnsi="Times New Roman"/>
          <w:bCs/>
          <w:noProof/>
          <w:kern w:val="22"/>
        </w:rPr>
        <w:t>iGEM</w:t>
      </w:r>
      <w:r w:rsidR="00DB33D8" w:rsidRPr="00DB33D8">
        <w:rPr>
          <w:rFonts w:ascii="Times New Roman" w:eastAsia="SimSun" w:hAnsi="Times New Roman"/>
          <w:bCs/>
          <w:noProof/>
          <w:kern w:val="22"/>
        </w:rPr>
        <w:t>, 2021)</w:t>
      </w:r>
      <w:r w:rsidR="00DB33D8">
        <w:rPr>
          <w:rFonts w:ascii="Times New Roman" w:eastAsia="SimSun" w:hAnsi="Times New Roman"/>
          <w:bCs/>
          <w:kern w:val="22"/>
        </w:rPr>
        <w:fldChar w:fldCharType="end"/>
      </w:r>
      <w:r w:rsidRPr="008805B8">
        <w:rPr>
          <w:rFonts w:ascii="Times New Roman" w:eastAsia="SimSun" w:hAnsi="Times New Roman"/>
          <w:bCs/>
          <w:kern w:val="22"/>
        </w:rPr>
        <w:t xml:space="preserve">. </w:t>
      </w:r>
    </w:p>
    <w:p w14:paraId="24F0A761" w14:textId="2D8A9848" w:rsidR="00855A76" w:rsidRPr="008805B8" w:rsidRDefault="00855A76" w:rsidP="00855A76">
      <w:pPr>
        <w:suppressAutoHyphens/>
        <w:spacing w:after="120" w:line="240" w:lineRule="auto"/>
        <w:jc w:val="both"/>
        <w:rPr>
          <w:rFonts w:ascii="Times New Roman" w:eastAsia="SimSun" w:hAnsi="Times New Roman"/>
          <w:kern w:val="22"/>
        </w:rPr>
      </w:pPr>
      <w:r>
        <w:rPr>
          <w:rFonts w:ascii="Times New Roman" w:eastAsia="SimSun" w:hAnsi="Times New Roman"/>
        </w:rPr>
        <w:t xml:space="preserve">As mentioned in Section </w:t>
      </w:r>
      <w:r w:rsidR="008C701A">
        <w:rPr>
          <w:rFonts w:ascii="Times New Roman" w:eastAsia="SimSun" w:hAnsi="Times New Roman"/>
        </w:rPr>
        <w:t>1</w:t>
      </w:r>
      <w:r>
        <w:rPr>
          <w:rFonts w:ascii="Times New Roman" w:eastAsia="SimSun" w:hAnsi="Times New Roman"/>
        </w:rPr>
        <w:t xml:space="preserve">.8., </w:t>
      </w:r>
      <w:r w:rsidRPr="2134FE71">
        <w:rPr>
          <w:rFonts w:ascii="Times New Roman" w:eastAsia="SimSun" w:hAnsi="Times New Roman"/>
          <w:kern w:val="22"/>
        </w:rPr>
        <w:t>iGEM has implemented a dedicated Biosafety and Biosecurity Program with an adaptive risk management approach which cover</w:t>
      </w:r>
      <w:r w:rsidR="4C484373" w:rsidRPr="2134FE71">
        <w:rPr>
          <w:rFonts w:ascii="Times New Roman" w:eastAsia="SimSun" w:hAnsi="Times New Roman"/>
          <w:kern w:val="22"/>
        </w:rPr>
        <w:t>s</w:t>
      </w:r>
      <w:r w:rsidRPr="2134FE71">
        <w:rPr>
          <w:rFonts w:ascii="Times New Roman" w:eastAsia="SimSun" w:hAnsi="Times New Roman"/>
          <w:kern w:val="22"/>
        </w:rPr>
        <w:t xml:space="preserve"> activities throughout the competition life cycle, from project design to future application. The Program addresses both traditional (pathogen-based) and emerging risks both in terms of new technologies and new risks with clearly described roles and responsibilities for all members of the community. It makes use of specific tools to gather and review biosafety and biosecurity information, making it easier for those planning and conducting science and engineering to recognise potential risks and match them with appropriate risk management approaches, as well as for specialists to review this information to identify gaps and strengthen plans </w:t>
      </w:r>
      <w:r w:rsidR="00EB320D">
        <w:rPr>
          <w:rFonts w:ascii="Times New Roman" w:eastAsia="SimSun" w:hAnsi="Times New Roman"/>
          <w:kern w:val="22"/>
        </w:rPr>
        <w:fldChar w:fldCharType="begin" w:fldLock="1"/>
      </w:r>
      <w:r w:rsidR="009E0D29">
        <w:rPr>
          <w:rFonts w:ascii="Times New Roman" w:eastAsia="SimSun" w:hAnsi="Times New Roman"/>
          <w:kern w:val="22"/>
        </w:rPr>
        <w:instrText>ADDIN CSL_CITATION {"citationItems":[{"id":"ITEM-1","itemData":{"DOI":"10.1177/1535676019838075","ISSN":"24701246","abstract":"Introduction: The international synthetic biology competition iGEM (formally known as the international Genetically Engineered Machines competition) has a dedicated biosafety and biosecurity program. Method: A review of specific elements of the program and a series of concrete examples illustrate how experiences in implementing the program have helped improved policy, including an increasing diversity of sources for genetic parts and organisms, keeping pace with technical developments, considering pathways toward future environmental release, addressing antimicrobial resistance, and testing the efficacy of current biosecurity arrangements. Results: iGEM’s program is forward-leaning, in that it addresses both traditional (pathogen-based) and emerging risks both in terms of new technologies and new risks. It is integrated into the technical work of the competition—with clearly described roles and responsibilities for all members of the community. It operates throughout the life cycle of projects—from project design to future application. It makes use of specific tools to gather and review biosafety and biosecurity information, making it easier for those planning and conducting science and engineering to recognize potential risks and match them with appropriate risk management approaches, as well as for specialists to review this information to identify gaps and strengthen plans. Discussion: Integrating an increasingly adaptive risk management approach has allowed iGEM’s biosafety and biosecurity program to become comprehensive, be cross-cutting, and cover the competition’s life cycle.","author":[{"dropping-particle":"","family":"Millett","given":"Piers","non-dropping-particle":"","parse-names":false,"suffix":""},{"dropping-particle":"","family":"Binz","given":"Thomas","non-dropping-particle":"","parse-names":false,"suffix":""},{"dropping-particle":"","family":"Evans","given":"Sam Weiss","non-dropping-particle":"","parse-names":false,"suffix":""},{"dropping-particle":"","family":"Kuiken","given":"Todd","non-dropping-particle":"","parse-names":false,"suffix":""},{"dropping-particle":"","family":"Oye","given":"Ken","non-dropping-particle":"","parse-names":false,"suffix":""},{"dropping-particle":"","family":"Palmer","given":"Megan J","non-dropping-particle":"","parse-names":false,"suffix":""},{"dropping-particle":"","family":"Vlugt","given":"Cécile","non-dropping-particle":"van der","parse-names":false,"suffix":""},{"dropping-particle":"","family":"Yambao","given":"Kathrina","non-dropping-particle":"","parse-names":false,"suffix":""},{"dropping-particle":"","family":"Yu","given":"Samuel","non-dropping-particle":"","parse-names":false,"suffix":""}],"container-title":"Applied Biosafety","id":"ITEM-1","issue":"2","issued":{"date-parts":[["2019"]]},"page":"64-71","publisher":"SAGE Publications Inc.","title":"Developing a Comprehensive, Adaptive, and International Biosafety and Biosecurity Program for Advanced Biotechnology: The iGEM Experience","type":"article-journal","volume":"24"},"uris":["http://www.mendeley.com/documents/?uuid=f508c905-1c1c-416d-afde-e38ac2aefdb8"]}],"mendeley":{"formattedCitation":"(Millett et al., 2019)","plainTextFormattedCitation":"(Millett et al., 2019)","previouslyFormattedCitation":"(Millett et al., 2019)"},"properties":{"noteIndex":0},"schema":"https://github.com/citation-style-language/schema/raw/master/csl-citation.json"}</w:instrText>
      </w:r>
      <w:r w:rsidR="00EB320D">
        <w:rPr>
          <w:rFonts w:ascii="Times New Roman" w:eastAsia="SimSun" w:hAnsi="Times New Roman"/>
          <w:kern w:val="22"/>
        </w:rPr>
        <w:fldChar w:fldCharType="separate"/>
      </w:r>
      <w:r w:rsidR="00EB320D" w:rsidRPr="00EB320D">
        <w:rPr>
          <w:rFonts w:ascii="Times New Roman" w:eastAsia="SimSun" w:hAnsi="Times New Roman"/>
          <w:noProof/>
          <w:kern w:val="22"/>
        </w:rPr>
        <w:t>(Millett et al., 2019)</w:t>
      </w:r>
      <w:r w:rsidR="00EB320D">
        <w:rPr>
          <w:rFonts w:ascii="Times New Roman" w:eastAsia="SimSun" w:hAnsi="Times New Roman"/>
          <w:kern w:val="22"/>
        </w:rPr>
        <w:fldChar w:fldCharType="end"/>
      </w:r>
      <w:r w:rsidRPr="2134FE71">
        <w:rPr>
          <w:rFonts w:ascii="Times New Roman" w:eastAsia="SimSun" w:hAnsi="Times New Roman"/>
          <w:kern w:val="22"/>
        </w:rPr>
        <w:t>.</w:t>
      </w:r>
    </w:p>
    <w:p w14:paraId="3F51F6ED" w14:textId="4107A565" w:rsidR="00855A76" w:rsidRPr="008805B8" w:rsidRDefault="00855A76" w:rsidP="00855A76">
      <w:pPr>
        <w:suppressAutoHyphens/>
        <w:spacing w:after="120" w:line="240" w:lineRule="auto"/>
        <w:jc w:val="both"/>
        <w:rPr>
          <w:rFonts w:ascii="Times New Roman" w:eastAsia="SimSun" w:hAnsi="Times New Roman"/>
          <w:bCs/>
          <w:kern w:val="22"/>
        </w:rPr>
      </w:pPr>
      <w:r w:rsidRPr="61F8B929">
        <w:rPr>
          <w:rFonts w:ascii="Times New Roman" w:eastAsia="SimSun" w:hAnsi="Times New Roman"/>
          <w:kern w:val="22"/>
        </w:rPr>
        <w:t>The Program is overseen by the Safety and Security Committee</w:t>
      </w:r>
      <w:r w:rsidRPr="61F8B929">
        <w:rPr>
          <w:rStyle w:val="FootnoteReference"/>
          <w:rFonts w:eastAsia="SimSun"/>
          <w:kern w:val="22"/>
        </w:rPr>
        <w:footnoteReference w:id="37"/>
      </w:r>
      <w:r w:rsidRPr="61F8B929">
        <w:rPr>
          <w:rFonts w:ascii="Times New Roman" w:eastAsia="SimSun" w:hAnsi="Times New Roman"/>
          <w:kern w:val="22"/>
        </w:rPr>
        <w:t xml:space="preserve">, which consists of experts selected from governments, industry and academia, to advise on potential safety and security issues for the projects entered into the competition. A white list of approved organisms and parts is published for every competition to guide participants in understanding which organisms and parts require approval before use </w:t>
      </w:r>
      <w:r w:rsidR="00EB320D">
        <w:rPr>
          <w:rFonts w:ascii="Times New Roman" w:eastAsia="SimSun" w:hAnsi="Times New Roman"/>
          <w:kern w:val="22"/>
        </w:rPr>
        <w:fldChar w:fldCharType="begin" w:fldLock="1"/>
      </w:r>
      <w:r w:rsidR="009E0D29">
        <w:rPr>
          <w:rFonts w:ascii="Times New Roman" w:eastAsia="SimSun" w:hAnsi="Times New Roman"/>
          <w:kern w:val="22"/>
        </w:rPr>
        <w:instrText>ADDIN CSL_CITATION {"citationItems":[{"id":"ITEM-1","itemData":{"DOI":"10.1177/1535676019838075","ISSN":"24701246","abstract":"Introduction: The international synthetic biology competition iGEM (formally known as the international Genetically Engineered Machines competition) has a dedicated biosafety and biosecurity program. Method: A review of specific elements of the program and a series of concrete examples illustrate how experiences in implementing the program have helped improved policy, including an increasing diversity of sources for genetic parts and organisms, keeping pace with technical developments, considering pathways toward future environmental release, addressing antimicrobial resistance, and testing the efficacy of current biosecurity arrangements. Results: iGEM’s program is forward-leaning, in that it addresses both traditional (pathogen-based) and emerging risks both in terms of new technologies and new risks. It is integrated into the technical work of the competition—with clearly described roles and responsibilities for all members of the community. It operates throughout the life cycle of projects—from project design to future application. It makes use of specific tools to gather and review biosafety and biosecurity information, making it easier for those planning and conducting science and engineering to recognize potential risks and match them with appropriate risk management approaches, as well as for specialists to review this information to identify gaps and strengthen plans. Discussion: Integrating an increasingly adaptive risk management approach has allowed iGEM’s biosafety and biosecurity program to become comprehensive, be cross-cutting, and cover the competition’s life cycle.","author":[{"dropping-particle":"","family":"Millett","given":"Piers","non-dropping-particle":"","parse-names":false,"suffix":""},{"dropping-particle":"","family":"Binz","given":"Thomas","non-dropping-particle":"","parse-names":false,"suffix":""},{"dropping-particle":"","family":"Evans","given":"Sam Weiss","non-dropping-particle":"","parse-names":false,"suffix":""},{"dropping-particle":"","family":"Kuiken","given":"Todd","non-dropping-particle":"","parse-names":false,"suffix":""},{"dropping-particle":"","family":"Oye","given":"Ken","non-dropping-particle":"","parse-names":false,"suffix":""},{"dropping-particle":"","family":"Palmer","given":"Megan J","non-dropping-particle":"","parse-names":false,"suffix":""},{"dropping-particle":"","family":"Vlugt","given":"Cécile","non-dropping-particle":"van der","parse-names":false,"suffix":""},{"dropping-particle":"","family":"Yambao","given":"Kathrina","non-dropping-particle":"","parse-names":false,"suffix":""},{"dropping-particle":"","family":"Yu","given":"Samuel","non-dropping-particle":"","parse-names":false,"suffix":""}],"container-title":"Applied Biosafety","id":"ITEM-1","issue":"2","issued":{"date-parts":[["2019"]]},"page":"64-71","publisher":"SAGE Publications Inc.","title":"Developing a Comprehensive, Adaptive, and International Biosafety and Biosecurity Program for Advanced Biotechnology: The iGEM Experience","type":"article-journal","volume":"24"},"uris":["http://www.mendeley.com/documents/?uuid=f508c905-1c1c-416d-afde-e38ac2aefdb8"]}],"mendeley":{"formattedCitation":"(Millett et al., 2019)","plainTextFormattedCitation":"(Millett et al., 2019)","previouslyFormattedCitation":"(Millett et al., 2019)"},"properties":{"noteIndex":0},"schema":"https://github.com/citation-style-language/schema/raw/master/csl-citation.json"}</w:instrText>
      </w:r>
      <w:r w:rsidR="00EB320D">
        <w:rPr>
          <w:rFonts w:ascii="Times New Roman" w:eastAsia="SimSun" w:hAnsi="Times New Roman"/>
          <w:kern w:val="22"/>
        </w:rPr>
        <w:fldChar w:fldCharType="separate"/>
      </w:r>
      <w:r w:rsidR="00EB320D" w:rsidRPr="00EB320D">
        <w:rPr>
          <w:rFonts w:ascii="Times New Roman" w:eastAsia="SimSun" w:hAnsi="Times New Roman"/>
          <w:noProof/>
          <w:kern w:val="22"/>
        </w:rPr>
        <w:t>(Millett et al., 2019)</w:t>
      </w:r>
      <w:r w:rsidR="00EB320D">
        <w:rPr>
          <w:rFonts w:ascii="Times New Roman" w:eastAsia="SimSun" w:hAnsi="Times New Roman"/>
          <w:kern w:val="22"/>
        </w:rPr>
        <w:fldChar w:fldCharType="end"/>
      </w:r>
      <w:r w:rsidRPr="61F8B929">
        <w:rPr>
          <w:rFonts w:ascii="Times New Roman" w:eastAsia="SimSun" w:hAnsi="Times New Roman"/>
          <w:kern w:val="22"/>
        </w:rPr>
        <w:t xml:space="preserve">. Organisms and products not on the list require approval before use and a partner organisation screens the Parts Registry for potentially hazardous parts on a regular basis having regard to the origin, function and risk of the parts </w:t>
      </w:r>
      <w:r w:rsidR="00EB320D">
        <w:rPr>
          <w:rFonts w:ascii="Times New Roman" w:eastAsia="SimSun" w:hAnsi="Times New Roman"/>
          <w:kern w:val="22"/>
        </w:rPr>
        <w:fldChar w:fldCharType="begin" w:fldLock="1"/>
      </w:r>
      <w:r w:rsidR="009E0D29">
        <w:rPr>
          <w:rFonts w:ascii="Times New Roman" w:eastAsia="SimSun" w:hAnsi="Times New Roman"/>
          <w:kern w:val="22"/>
        </w:rPr>
        <w:instrText>ADDIN CSL_CITATION {"citationItems":[{"id":"ITEM-1","itemData":{"DOI":"10.1177/1535676019838075","ISSN":"24701246","abstract":"Introduction: The international synthetic biology competition iGEM (formally known as the international Genetically Engineered Machines competition) has a dedicated biosafety and biosecurity program. Method: A review of specific elements of the program and a series of concrete examples illustrate how experiences in implementing the program have helped improved policy, including an increasing diversity of sources for genetic parts and organisms, keeping pace with technical developments, considering pathways toward future environmental release, addressing antimicrobial resistance, and testing the efficacy of current biosecurity arrangements. Results: iGEM’s program is forward-leaning, in that it addresses both traditional (pathogen-based) and emerging risks both in terms of new technologies and new risks. It is integrated into the technical work of the competition—with clearly described roles and responsibilities for all members of the community. It operates throughout the life cycle of projects—from project design to future application. It makes use of specific tools to gather and review biosafety and biosecurity information, making it easier for those planning and conducting science and engineering to recognize potential risks and match them with appropriate risk management approaches, as well as for specialists to review this information to identify gaps and strengthen plans. Discussion: Integrating an increasingly adaptive risk management approach has allowed iGEM’s biosafety and biosecurity program to become comprehensive, be cross-cutting, and cover the competition’s life cycle.","author":[{"dropping-particle":"","family":"Millett","given":"Piers","non-dropping-particle":"","parse-names":false,"suffix":""},{"dropping-particle":"","family":"Binz","given":"Thomas","non-dropping-particle":"","parse-names":false,"suffix":""},{"dropping-particle":"","family":"Evans","given":"Sam Weiss","non-dropping-particle":"","parse-names":false,"suffix":""},{"dropping-particle":"","family":"Kuiken","given":"Todd","non-dropping-particle":"","parse-names":false,"suffix":""},{"dropping-particle":"","family":"Oye","given":"Ken","non-dropping-particle":"","parse-names":false,"suffix":""},{"dropping-particle":"","family":"Palmer","given":"Megan J","non-dropping-particle":"","parse-names":false,"suffix":""},{"dropping-particle":"","family":"Vlugt","given":"Cécile","non-dropping-particle":"van der","parse-names":false,"suffix":""},{"dropping-particle":"","family":"Yambao","given":"Kathrina","non-dropping-particle":"","parse-names":false,"suffix":""},{"dropping-particle":"","family":"Yu","given":"Samuel","non-dropping-particle":"","parse-names":false,"suffix":""}],"container-title":"Applied Biosafety","id":"ITEM-1","issue":"2","issued":{"date-parts":[["2019"]]},"page":"64-71","publisher":"SAGE Publications Inc.","title":"Developing a Comprehensive, Adaptive, and International Biosafety and Biosecurity Program for Advanced Biotechnology: The iGEM Experience","type":"article-journal","volume":"24"},"uris":["http://www.mendeley.com/documents/?uuid=f508c905-1c1c-416d-afde-e38ac2aefdb8"]}],"mendeley":{"formattedCitation":"(Millett et al., 2019)","plainTextFormattedCitation":"(Millett et al., 2019)","previouslyFormattedCitation":"(Millett et al., 2019)"},"properties":{"noteIndex":0},"schema":"https://github.com/citation-style-language/schema/raw/master/csl-citation.json"}</w:instrText>
      </w:r>
      <w:r w:rsidR="00EB320D">
        <w:rPr>
          <w:rFonts w:ascii="Times New Roman" w:eastAsia="SimSun" w:hAnsi="Times New Roman"/>
          <w:kern w:val="22"/>
        </w:rPr>
        <w:fldChar w:fldCharType="separate"/>
      </w:r>
      <w:r w:rsidR="00EB320D" w:rsidRPr="00EB320D">
        <w:rPr>
          <w:rFonts w:ascii="Times New Roman" w:eastAsia="SimSun" w:hAnsi="Times New Roman"/>
          <w:noProof/>
          <w:kern w:val="22"/>
        </w:rPr>
        <w:t>(Millett et al., 2019)</w:t>
      </w:r>
      <w:r w:rsidR="00EB320D">
        <w:rPr>
          <w:rFonts w:ascii="Times New Roman" w:eastAsia="SimSun" w:hAnsi="Times New Roman"/>
          <w:kern w:val="22"/>
        </w:rPr>
        <w:fldChar w:fldCharType="end"/>
      </w:r>
      <w:r w:rsidRPr="61F8B929">
        <w:rPr>
          <w:rFonts w:ascii="Times New Roman" w:eastAsia="SimSun" w:hAnsi="Times New Roman"/>
          <w:kern w:val="22"/>
        </w:rPr>
        <w:t>. Further, iGEM’s safety policies stipulate that all projects are constrained to laboratory settings (i.e. not for open release into the environment) and devoid of activities deemed risky (e.g. experiments involving engineered gene drives, human experimentation, anti-microbial resistance and biosafety level 3 and 4 organisms)</w:t>
      </w:r>
      <w:r w:rsidRPr="61F8B929">
        <w:rPr>
          <w:rStyle w:val="FootnoteReference"/>
          <w:rFonts w:eastAsia="SimSun"/>
          <w:kern w:val="22"/>
        </w:rPr>
        <w:footnoteReference w:id="38"/>
      </w:r>
      <w:r w:rsidRPr="61F8B929">
        <w:rPr>
          <w:rFonts w:ascii="Times New Roman" w:eastAsia="SimSun" w:hAnsi="Times New Roman"/>
          <w:kern w:val="22"/>
        </w:rPr>
        <w:t xml:space="preserve">.  </w:t>
      </w:r>
    </w:p>
    <w:p w14:paraId="467AAEE6" w14:textId="2E1B64B0" w:rsidR="00855A76" w:rsidRPr="008805B8" w:rsidRDefault="00855A76" w:rsidP="00855A76">
      <w:pPr>
        <w:spacing w:before="120" w:after="120" w:line="240" w:lineRule="auto"/>
        <w:jc w:val="both"/>
        <w:rPr>
          <w:rFonts w:ascii="Times New Roman" w:eastAsia="SimSun" w:hAnsi="Times New Roman" w:cs="Calibri"/>
          <w:color w:val="92D050"/>
          <w:lang w:eastAsia="hi-IN" w:bidi="hi-IN"/>
        </w:rPr>
      </w:pPr>
      <w:r w:rsidRPr="61F8B929">
        <w:rPr>
          <w:rFonts w:ascii="Times New Roman" w:eastAsia="SimSun" w:hAnsi="Times New Roman"/>
          <w:kern w:val="22"/>
        </w:rPr>
        <w:t>The competition describes itself as a “unique sandbox for testing and improving risk management and mitigation practices” and collaborates with the broader scientific research community to disseminate lessons learned</w:t>
      </w:r>
      <w:r w:rsidR="00C5435B">
        <w:rPr>
          <w:rFonts w:ascii="Times New Roman" w:eastAsia="SimSun" w:hAnsi="Times New Roman"/>
          <w:kern w:val="22"/>
        </w:rPr>
        <w:t xml:space="preserve"> </w:t>
      </w:r>
      <w:r w:rsidR="00C5435B">
        <w:rPr>
          <w:rFonts w:ascii="Times New Roman" w:eastAsia="SimSun" w:hAnsi="Times New Roman"/>
          <w:bCs/>
          <w:kern w:val="22"/>
        </w:rPr>
        <w:fldChar w:fldCharType="begin" w:fldLock="1"/>
      </w:r>
      <w:r w:rsidR="00310CB4">
        <w:rPr>
          <w:rFonts w:ascii="Times New Roman" w:eastAsia="SimSun" w:hAnsi="Times New Roman"/>
          <w:bCs/>
          <w:kern w:val="22"/>
        </w:rPr>
        <w:instrText>ADDIN CSL_CITATION {"citationItems":[{"id":"ITEM-1","itemData":{"URL":"https://igem.org/About","accessed":{"date-parts":[["2021","4","1"]]},"author":[{"dropping-particle":"","family":"International Genetically Engineered Machine","given":"","non-dropping-particle":"","parse-names":false,"suffix":""}],"id":"ITEM-1","issued":{"date-parts":[["2021"]]},"title":"iGEM - About","type":"webpage"},"uris":["http://www.mendeley.com/documents/?uuid=7567c7c2-2d14-49e7-95a6-795f6a163c7a"]}],"mendeley":{"formattedCitation":"(International Genetically Engineered Machine, 2021)","manualFormatting":"(iGEM, 2021)","plainTextFormattedCitation":"(International Genetically Engineered Machine, 2021)","previouslyFormattedCitation":"(International Genetically Engineered Machine, 2021)"},"properties":{"noteIndex":0},"schema":"https://github.com/citation-style-language/schema/raw/master/csl-citation.json"}</w:instrText>
      </w:r>
      <w:r w:rsidR="00C5435B">
        <w:rPr>
          <w:rFonts w:ascii="Times New Roman" w:eastAsia="SimSun" w:hAnsi="Times New Roman"/>
          <w:bCs/>
          <w:kern w:val="22"/>
        </w:rPr>
        <w:fldChar w:fldCharType="separate"/>
      </w:r>
      <w:r w:rsidR="00C5435B" w:rsidRPr="00DB33D8">
        <w:rPr>
          <w:rFonts w:ascii="Times New Roman" w:eastAsia="SimSun" w:hAnsi="Times New Roman"/>
          <w:bCs/>
          <w:noProof/>
          <w:kern w:val="22"/>
        </w:rPr>
        <w:t>(</w:t>
      </w:r>
      <w:r w:rsidR="00C5435B">
        <w:rPr>
          <w:rFonts w:ascii="Times New Roman" w:eastAsia="SimSun" w:hAnsi="Times New Roman"/>
          <w:bCs/>
          <w:noProof/>
          <w:kern w:val="22"/>
        </w:rPr>
        <w:t>iGEM</w:t>
      </w:r>
      <w:r w:rsidR="00C5435B" w:rsidRPr="00DB33D8">
        <w:rPr>
          <w:rFonts w:ascii="Times New Roman" w:eastAsia="SimSun" w:hAnsi="Times New Roman"/>
          <w:bCs/>
          <w:noProof/>
          <w:kern w:val="22"/>
        </w:rPr>
        <w:t>, 2021)</w:t>
      </w:r>
      <w:r w:rsidR="00C5435B">
        <w:rPr>
          <w:rFonts w:ascii="Times New Roman" w:eastAsia="SimSun" w:hAnsi="Times New Roman"/>
          <w:bCs/>
          <w:kern w:val="22"/>
        </w:rPr>
        <w:fldChar w:fldCharType="end"/>
      </w:r>
      <w:r w:rsidRPr="61F8B929">
        <w:rPr>
          <w:rFonts w:ascii="Times New Roman" w:eastAsia="SimSun" w:hAnsi="Times New Roman"/>
          <w:kern w:val="22"/>
        </w:rPr>
        <w:t xml:space="preserve">. For example, in 2019 this included a workshop with </w:t>
      </w:r>
      <w:r w:rsidR="003736F2" w:rsidRPr="61F8B929">
        <w:rPr>
          <w:rFonts w:ascii="Times New Roman" w:eastAsia="SimSun" w:hAnsi="Times New Roman"/>
          <w:kern w:val="22"/>
        </w:rPr>
        <w:t xml:space="preserve">the </w:t>
      </w:r>
      <w:r w:rsidRPr="61F8B929">
        <w:rPr>
          <w:rFonts w:ascii="Times New Roman" w:eastAsia="SimSun" w:hAnsi="Times New Roman"/>
          <w:kern w:val="22"/>
        </w:rPr>
        <w:t>N</w:t>
      </w:r>
      <w:r w:rsidR="00220751" w:rsidRPr="61F8B929">
        <w:rPr>
          <w:rFonts w:ascii="Times New Roman" w:eastAsia="SimSun" w:hAnsi="Times New Roman"/>
          <w:kern w:val="22"/>
        </w:rPr>
        <w:t xml:space="preserve">orth </w:t>
      </w:r>
      <w:r w:rsidRPr="61F8B929">
        <w:rPr>
          <w:rFonts w:ascii="Times New Roman" w:eastAsia="SimSun" w:hAnsi="Times New Roman"/>
          <w:kern w:val="22"/>
        </w:rPr>
        <w:t>A</w:t>
      </w:r>
      <w:r w:rsidR="00220751" w:rsidRPr="61F8B929">
        <w:rPr>
          <w:rFonts w:ascii="Times New Roman" w:eastAsia="SimSun" w:hAnsi="Times New Roman"/>
          <w:kern w:val="22"/>
        </w:rPr>
        <w:t xml:space="preserve">tlantic </w:t>
      </w:r>
      <w:r w:rsidRPr="61F8B929">
        <w:rPr>
          <w:rFonts w:ascii="Times New Roman" w:eastAsia="SimSun" w:hAnsi="Times New Roman"/>
          <w:kern w:val="22"/>
        </w:rPr>
        <w:t>T</w:t>
      </w:r>
      <w:r w:rsidR="00220751" w:rsidRPr="61F8B929">
        <w:rPr>
          <w:rFonts w:ascii="Times New Roman" w:eastAsia="SimSun" w:hAnsi="Times New Roman"/>
          <w:kern w:val="22"/>
        </w:rPr>
        <w:t xml:space="preserve">reaty </w:t>
      </w:r>
      <w:r w:rsidRPr="61F8B929">
        <w:rPr>
          <w:rFonts w:ascii="Times New Roman" w:eastAsia="SimSun" w:hAnsi="Times New Roman"/>
          <w:kern w:val="22"/>
        </w:rPr>
        <w:t>O</w:t>
      </w:r>
      <w:r w:rsidR="00220751" w:rsidRPr="61F8B929">
        <w:rPr>
          <w:rFonts w:ascii="Times New Roman" w:eastAsia="SimSun" w:hAnsi="Times New Roman"/>
          <w:kern w:val="22"/>
        </w:rPr>
        <w:t>rganization</w:t>
      </w:r>
      <w:r w:rsidRPr="61F8B929">
        <w:rPr>
          <w:rFonts w:ascii="Times New Roman" w:eastAsia="SimSun" w:hAnsi="Times New Roman"/>
          <w:kern w:val="22"/>
        </w:rPr>
        <w:t xml:space="preserve"> (e.g. "Security and Resilience for Emerging Synthetic Biology and Biotechnology Threats", July 2019), a workshop with the Centre for the Study of Existential Risk (“Novel Practices of Biosecurity Governance”, July 2019) and a working meeting with the Nuclear Threat Initiative (“Biosecurity Innovation and Risk Reduction”, April 2019)</w:t>
      </w:r>
      <w:r w:rsidRPr="61F8B929">
        <w:rPr>
          <w:rStyle w:val="FootnoteReference"/>
          <w:rFonts w:eastAsia="SimSun"/>
          <w:kern w:val="22"/>
        </w:rPr>
        <w:footnoteReference w:id="39"/>
      </w:r>
      <w:r w:rsidRPr="61F8B929">
        <w:rPr>
          <w:rFonts w:ascii="Times New Roman" w:eastAsia="SimSun" w:hAnsi="Times New Roman"/>
          <w:kern w:val="22"/>
        </w:rPr>
        <w:t>.</w:t>
      </w:r>
    </w:p>
    <w:p w14:paraId="6B948E5C" w14:textId="74D22CFC" w:rsidR="00855A76" w:rsidRPr="00F47291" w:rsidRDefault="00855A76" w:rsidP="00855A76">
      <w:pPr>
        <w:pStyle w:val="Heading3"/>
      </w:pPr>
      <w:bookmarkStart w:id="119" w:name="_Toc65609804"/>
      <w:bookmarkStart w:id="120" w:name="_Toc70112702"/>
      <w:bookmarkStart w:id="121" w:name="_Toc70685724"/>
      <w:r>
        <w:rPr>
          <w:bCs/>
          <w:color w:val="000000" w:themeColor="text1"/>
        </w:rPr>
        <w:t>7.</w:t>
      </w:r>
      <w:r>
        <w:rPr>
          <w:bCs/>
          <w:color w:val="000000" w:themeColor="text1"/>
          <w:lang w:val="en-US"/>
        </w:rPr>
        <w:t>4</w:t>
      </w:r>
      <w:r>
        <w:rPr>
          <w:bCs/>
          <w:color w:val="000000" w:themeColor="text1"/>
        </w:rPr>
        <w:t xml:space="preserve">. </w:t>
      </w:r>
      <w:r w:rsidRPr="00D90D83">
        <w:t>Intellectual property considerations related to biodiversity</w:t>
      </w:r>
      <w:bookmarkEnd w:id="119"/>
      <w:r w:rsidR="00945514">
        <w:rPr>
          <w:lang w:val="en-US"/>
        </w:rPr>
        <w:t>.</w:t>
      </w:r>
      <w:bookmarkEnd w:id="120"/>
      <w:bookmarkEnd w:id="121"/>
    </w:p>
    <w:p w14:paraId="3D265356" w14:textId="1601F210" w:rsidR="00855A76" w:rsidRPr="00AB4B69" w:rsidRDefault="00855A76" w:rsidP="00855A76">
      <w:pPr>
        <w:suppressAutoHyphens/>
        <w:autoSpaceDE w:val="0"/>
        <w:spacing w:before="120" w:after="120" w:line="240" w:lineRule="auto"/>
        <w:jc w:val="both"/>
        <w:rPr>
          <w:rFonts w:ascii="Times New Roman" w:hAnsi="Times New Roman" w:cs="Calibri"/>
          <w:color w:val="000000"/>
          <w:kern w:val="1"/>
          <w:lang w:eastAsia="ar-SA"/>
        </w:rPr>
      </w:pPr>
      <w:r w:rsidRPr="00D90D83">
        <w:rPr>
          <w:rFonts w:ascii="Times New Roman" w:eastAsia="SimSun" w:hAnsi="Times New Roman" w:cs="Calibri"/>
          <w:color w:val="000000"/>
          <w:kern w:val="1"/>
          <w:lang w:eastAsia="hi-IN" w:bidi="hi-IN"/>
        </w:rPr>
        <w:t>Intellect</w:t>
      </w:r>
      <w:r w:rsidRPr="001837E9">
        <w:rPr>
          <w:rFonts w:ascii="Times New Roman" w:eastAsia="SimSun" w:hAnsi="Times New Roman" w:cs="Calibri"/>
          <w:color w:val="000000"/>
          <w:kern w:val="1"/>
          <w:lang w:eastAsia="hi-IN" w:bidi="hi-IN"/>
        </w:rPr>
        <w:t>ual property</w:t>
      </w:r>
      <w:r w:rsidR="001A29AE">
        <w:rPr>
          <w:rFonts w:ascii="Times New Roman" w:eastAsia="SimSun" w:hAnsi="Times New Roman" w:cs="Calibri"/>
          <w:color w:val="000000"/>
          <w:kern w:val="1"/>
          <w:lang w:eastAsia="hi-IN" w:bidi="hi-IN"/>
        </w:rPr>
        <w:t xml:space="preserve"> (IP)</w:t>
      </w:r>
      <w:r w:rsidRPr="001837E9">
        <w:rPr>
          <w:rFonts w:ascii="Times New Roman" w:eastAsia="SimSun" w:hAnsi="Times New Roman" w:cs="Calibri"/>
          <w:color w:val="000000"/>
          <w:kern w:val="1"/>
          <w:lang w:eastAsia="hi-IN" w:bidi="hi-IN"/>
        </w:rPr>
        <w:t xml:space="preserve"> rights for synthetic biology ha</w:t>
      </w:r>
      <w:r>
        <w:rPr>
          <w:rFonts w:ascii="Times New Roman" w:eastAsia="SimSun" w:hAnsi="Times New Roman" w:cs="Calibri"/>
          <w:color w:val="000000"/>
          <w:kern w:val="1"/>
          <w:lang w:eastAsia="hi-IN" w:bidi="hi-IN"/>
        </w:rPr>
        <w:t>ve</w:t>
      </w:r>
      <w:r w:rsidRPr="001837E9">
        <w:rPr>
          <w:rFonts w:ascii="Times New Roman" w:eastAsia="SimSun" w:hAnsi="Times New Roman" w:cs="Calibri"/>
          <w:color w:val="000000"/>
          <w:kern w:val="1"/>
          <w:lang w:eastAsia="hi-IN" w:bidi="hi-IN"/>
        </w:rPr>
        <w:t xml:space="preserve"> been described as a potential “perfect storm”; biotechnology and software already pose serious challenges to the patent system, and synthetic biology’s combination of those two areas presents signific</w:t>
      </w:r>
      <w:r w:rsidRPr="007651C5">
        <w:rPr>
          <w:rFonts w:ascii="Times New Roman" w:eastAsia="SimSun" w:hAnsi="Times New Roman" w:cs="Calibri"/>
          <w:color w:val="000000"/>
          <w:kern w:val="1"/>
          <w:lang w:eastAsia="hi-IN" w:bidi="hi-IN"/>
        </w:rPr>
        <w:t>ant challe</w:t>
      </w:r>
      <w:r w:rsidRPr="00C847CA">
        <w:rPr>
          <w:rFonts w:ascii="Times New Roman" w:eastAsia="SimSun" w:hAnsi="Times New Roman" w:cs="Calibri"/>
          <w:color w:val="000000"/>
          <w:kern w:val="1"/>
          <w:lang w:eastAsia="hi-IN" w:bidi="hi-IN"/>
        </w:rPr>
        <w:t xml:space="preserve">nges </w:t>
      </w:r>
      <w:r w:rsidR="009E0D29">
        <w:rPr>
          <w:rFonts w:ascii="Times New Roman" w:eastAsia="SimSun" w:hAnsi="Times New Roman" w:cs="Calibri"/>
          <w:color w:val="000000"/>
          <w:kern w:val="1"/>
          <w:lang w:eastAsia="hi-IN" w:bidi="hi-IN"/>
        </w:rPr>
        <w:fldChar w:fldCharType="begin" w:fldLock="1"/>
      </w:r>
      <w:r w:rsidR="009E0D29">
        <w:rPr>
          <w:rFonts w:ascii="Times New Roman" w:eastAsia="SimSun" w:hAnsi="Times New Roman" w:cs="Calibri"/>
          <w:color w:val="000000"/>
          <w:kern w:val="1"/>
          <w:lang w:eastAsia="hi-IN" w:bidi="hi-IN"/>
        </w:rPr>
        <w:instrText>ADDIN CSL_CITATION {"citationItems":[{"id":"ITEM-1","itemData":{"DOI":"10.1371/journal.pbio.0050058","ISSN":"1545-7885","author":[{"dropping-particle":"","family":"Rai","given":"Arti","non-dropping-particle":"","parse-names":false,"suffix":""},{"dropping-particle":"","family":"Boyle","given":"James","non-dropping-particle":"","parse-names":false,"suffix":""}],"container-title":"PLoS Biology","id":"ITEM-1","issue":"3","issued":{"date-parts":[["2007","3","13"]]},"page":"e58","title":"Synthetic Biology: Caught between Property Rights, the Public Domain, and the Commons","type":"article-journal","volume":"5"},"uris":["http://www.mendeley.com/documents/?uuid=c3fe47d8-93e2-41f8-9c71-358f6d6eb4af"]}],"mendeley":{"formattedCitation":"(Rai &amp; Boyle, 2007)","plainTextFormattedCitation":"(Rai &amp; Boyle, 2007)","previouslyFormattedCitation":"(Rai &amp; Boyle, 2007)"},"properties":{"noteIndex":0},"schema":"https://github.com/citation-style-language/schema/raw/master/csl-citation.json"}</w:instrText>
      </w:r>
      <w:r w:rsidR="009E0D29">
        <w:rPr>
          <w:rFonts w:ascii="Times New Roman" w:eastAsia="SimSun" w:hAnsi="Times New Roman" w:cs="Calibri"/>
          <w:color w:val="000000"/>
          <w:kern w:val="1"/>
          <w:lang w:eastAsia="hi-IN" w:bidi="hi-IN"/>
        </w:rPr>
        <w:fldChar w:fldCharType="separate"/>
      </w:r>
      <w:r w:rsidR="009E0D29" w:rsidRPr="009E0D29">
        <w:rPr>
          <w:rFonts w:ascii="Times New Roman" w:eastAsia="SimSun" w:hAnsi="Times New Roman" w:cs="Calibri"/>
          <w:noProof/>
          <w:color w:val="000000"/>
          <w:kern w:val="1"/>
          <w:lang w:eastAsia="hi-IN" w:bidi="hi-IN"/>
        </w:rPr>
        <w:t>(Rai &amp; Boyle, 2007)</w:t>
      </w:r>
      <w:r w:rsidR="009E0D29">
        <w:rPr>
          <w:rFonts w:ascii="Times New Roman" w:eastAsia="SimSun" w:hAnsi="Times New Roman" w:cs="Calibri"/>
          <w:color w:val="000000"/>
          <w:kern w:val="1"/>
          <w:lang w:eastAsia="hi-IN" w:bidi="hi-IN"/>
        </w:rPr>
        <w:fldChar w:fldCharType="end"/>
      </w:r>
      <w:r w:rsidRPr="00C847CA">
        <w:rPr>
          <w:rFonts w:ascii="Times New Roman" w:eastAsia="SimSun" w:hAnsi="Times New Roman" w:cs="Calibri"/>
          <w:color w:val="000000"/>
          <w:kern w:val="1"/>
          <w:lang w:eastAsia="hi-IN" w:bidi="hi-IN"/>
        </w:rPr>
        <w:t xml:space="preserve">. </w:t>
      </w:r>
      <w:r w:rsidRPr="000E357B">
        <w:rPr>
          <w:rFonts w:ascii="Times New Roman" w:eastAsia="SimSun" w:hAnsi="Times New Roman" w:cs="Calibri"/>
          <w:color w:val="000000"/>
          <w:kern w:val="1"/>
          <w:lang w:eastAsia="hi-IN" w:bidi="hi-IN"/>
        </w:rPr>
        <w:t>A decade or so later the storm does not appear to have materiali</w:t>
      </w:r>
      <w:r>
        <w:rPr>
          <w:rFonts w:ascii="Times New Roman" w:eastAsia="SimSun" w:hAnsi="Times New Roman" w:cs="Calibri"/>
          <w:color w:val="000000"/>
          <w:kern w:val="1"/>
          <w:lang w:eastAsia="hi-IN" w:bidi="hi-IN"/>
        </w:rPr>
        <w:t>s</w:t>
      </w:r>
      <w:r w:rsidRPr="000E357B">
        <w:rPr>
          <w:rFonts w:ascii="Times New Roman" w:eastAsia="SimSun" w:hAnsi="Times New Roman" w:cs="Calibri"/>
          <w:color w:val="000000"/>
          <w:kern w:val="1"/>
          <w:lang w:eastAsia="hi-IN" w:bidi="hi-IN"/>
        </w:rPr>
        <w:t xml:space="preserve">ed, however, concerns persist which echo concerns voiced in the biotechnology sector more broadly that overzealous IP protection will lead to </w:t>
      </w:r>
      <w:r w:rsidR="009772D3">
        <w:rPr>
          <w:rFonts w:ascii="Times New Roman" w:eastAsia="SimSun" w:hAnsi="Times New Roman" w:cs="Calibri"/>
          <w:color w:val="000000"/>
          <w:kern w:val="1"/>
          <w:lang w:eastAsia="hi-IN" w:bidi="hi-IN"/>
        </w:rPr>
        <w:t>overly</w:t>
      </w:r>
      <w:r w:rsidR="00FD0146">
        <w:rPr>
          <w:rFonts w:ascii="Times New Roman" w:eastAsia="SimSun" w:hAnsi="Times New Roman" w:cs="Calibri"/>
          <w:color w:val="000000"/>
          <w:kern w:val="1"/>
          <w:lang w:eastAsia="hi-IN" w:bidi="hi-IN"/>
        </w:rPr>
        <w:t xml:space="preserve"> </w:t>
      </w:r>
      <w:r w:rsidRPr="00C847CA">
        <w:rPr>
          <w:rFonts w:ascii="Times New Roman" w:eastAsia="SimSun" w:hAnsi="Times New Roman" w:cs="Calibri"/>
          <w:color w:val="000000"/>
          <w:kern w:val="1"/>
          <w:lang w:eastAsia="hi-IN" w:bidi="hi-IN"/>
        </w:rPr>
        <w:t>broad</w:t>
      </w:r>
      <w:r w:rsidR="009772D3">
        <w:rPr>
          <w:rFonts w:ascii="Times New Roman" w:eastAsia="SimSun" w:hAnsi="Times New Roman" w:cs="Calibri"/>
          <w:color w:val="000000"/>
          <w:kern w:val="1"/>
          <w:lang w:eastAsia="hi-IN" w:bidi="hi-IN"/>
        </w:rPr>
        <w:t xml:space="preserve"> and</w:t>
      </w:r>
      <w:r w:rsidRPr="00C847CA">
        <w:rPr>
          <w:rFonts w:ascii="Times New Roman" w:eastAsia="SimSun" w:hAnsi="Times New Roman" w:cs="Calibri"/>
          <w:color w:val="000000"/>
          <w:kern w:val="1"/>
          <w:lang w:eastAsia="hi-IN" w:bidi="hi-IN"/>
        </w:rPr>
        <w:t xml:space="preserve"> ambiguous patent claims </w:t>
      </w:r>
      <w:r w:rsidR="009772D3">
        <w:rPr>
          <w:rFonts w:ascii="Times New Roman" w:eastAsia="SimSun" w:hAnsi="Times New Roman" w:cs="Calibri"/>
          <w:color w:val="000000"/>
          <w:kern w:val="1"/>
          <w:lang w:eastAsia="hi-IN" w:bidi="hi-IN"/>
        </w:rPr>
        <w:t xml:space="preserve">or patents over platform-technologies which </w:t>
      </w:r>
      <w:r w:rsidRPr="00C847CA">
        <w:rPr>
          <w:rFonts w:ascii="Times New Roman" w:eastAsia="SimSun" w:hAnsi="Times New Roman" w:cs="Calibri"/>
          <w:color w:val="000000"/>
          <w:kern w:val="1"/>
          <w:lang w:eastAsia="hi-IN" w:bidi="hi-IN"/>
        </w:rPr>
        <w:t xml:space="preserve">restrict the innovation of others </w:t>
      </w:r>
      <w:r w:rsidR="009E0D29">
        <w:rPr>
          <w:rFonts w:ascii="Times New Roman" w:eastAsia="SimSun" w:hAnsi="Times New Roman" w:cs="Calibri"/>
          <w:color w:val="000000"/>
          <w:kern w:val="1"/>
          <w:lang w:eastAsia="hi-IN" w:bidi="hi-IN"/>
        </w:rPr>
        <w:fldChar w:fldCharType="begin" w:fldLock="1"/>
      </w:r>
      <w:r w:rsidR="0029457D">
        <w:rPr>
          <w:rFonts w:ascii="Times New Roman" w:eastAsia="SimSun" w:hAnsi="Times New Roman" w:cs="Calibri"/>
          <w:color w:val="000000"/>
          <w:kern w:val="1"/>
          <w:lang w:eastAsia="hi-IN" w:bidi="hi-IN"/>
        </w:rPr>
        <w:instrText>ADDIN CSL_CITATION {"citationItems":[{"id":"ITEM-1","itemData":{"DOI":"10.1007/978-90-481-2678-1_8","author":[{"dropping-particle":"","family":"Oye","given":"Kenneth A.","non-dropping-particle":"","parse-names":false,"suffix":""},{"dropping-particle":"","family":"Wellhausen","given":"Rachel","non-dropping-particle":"","parse-names":false,"suffix":""}],"container-title":"Synthetic Biology","id":"ITEM-1","issued":{"date-parts":[["2009"]]},"page":"121-140","publisher":"Springer Netherlands","publisher-place":"Dordrecht","title":"The Intellectual Commons and Property in Synthetic Biology","type":"chapter"},"uris":["http://www.mendeley.com/documents/?uuid=cb062c5c-2075-4919-bc03-917e99283bc8"]},{"id":"ITEM-2","itemData":{"DOI":"10.1038/msb4100161","ISSN":"1744-4292","author":[{"dropping-particle":"","family":"Henkel","given":"Joachim","non-dropping-particle":"","parse-names":false,"suffix":""},{"dropping-particle":"","family":"Maurer","given":"Stephen M","non-dropping-particle":"","parse-names":false,"suffix":""}],"container-title":"Molecular Systems Biology","id":"ITEM-2","issue":"1","issued":{"date-parts":[["2007","1","5"]]},"page":"117","title":"The economics of synthetic biology","type":"article-journal","volume":"3"},"uris":["http://www.mendeley.com/documents/?uuid=3b3fcec0-f770-4c72-b243-3ccb3bd152ed"]},{"id":"ITEM-3","itemData":{"author":[{"dropping-particle":"","family":"Torrance","given":"Andrew W","non-dropping-particle":"","parse-names":false,"suffix":""}],"container-title":"Minnesota Journal of Law, Science and Technology","id":"ITEM-3","issue":"2","issued":{"date-parts":[["2010"]]},"page":"629-665","title":"Synthesizing Law for Synthetic Biology","type":"article-journal","volume":"11"},"uris":["http://www.mendeley.com/documents/?uuid=97d2e40c-98ee-4bf7-bcd4-da8ca5747463"]}],"mendeley":{"formattedCitation":"(Henkel &amp; Maurer, 2007; Kenneth A. Oye &amp; Wellhausen, 2009; Torrance, 2010)","plainTextFormattedCitation":"(Henkel &amp; Maurer, 2007; Kenneth A. Oye &amp; Wellhausen, 2009; Torrance, 2010)","previouslyFormattedCitation":"(Henkel &amp; Maurer, 2007; Kenneth A. Oye &amp; Wellhausen, 2009; Torrance, 2010)"},"properties":{"noteIndex":0},"schema":"https://github.com/citation-style-language/schema/raw/master/csl-citation.json"}</w:instrText>
      </w:r>
      <w:r w:rsidR="009E0D29">
        <w:rPr>
          <w:rFonts w:ascii="Times New Roman" w:eastAsia="SimSun" w:hAnsi="Times New Roman" w:cs="Calibri"/>
          <w:color w:val="000000"/>
          <w:kern w:val="1"/>
          <w:lang w:eastAsia="hi-IN" w:bidi="hi-IN"/>
        </w:rPr>
        <w:fldChar w:fldCharType="separate"/>
      </w:r>
      <w:r w:rsidR="009E0D29" w:rsidRPr="009E0D29">
        <w:rPr>
          <w:rFonts w:ascii="Times New Roman" w:eastAsia="SimSun" w:hAnsi="Times New Roman" w:cs="Calibri"/>
          <w:noProof/>
          <w:color w:val="000000"/>
          <w:kern w:val="1"/>
          <w:lang w:eastAsia="hi-IN" w:bidi="hi-IN"/>
        </w:rPr>
        <w:t>(Henkel &amp; Maurer, 2007; Kenneth A. Oye &amp; Wellhausen, 2009; Torrance, 2010)</w:t>
      </w:r>
      <w:r w:rsidR="009E0D29">
        <w:rPr>
          <w:rFonts w:ascii="Times New Roman" w:eastAsia="SimSun" w:hAnsi="Times New Roman" w:cs="Calibri"/>
          <w:color w:val="000000"/>
          <w:kern w:val="1"/>
          <w:lang w:eastAsia="hi-IN" w:bidi="hi-IN"/>
        </w:rPr>
        <w:fldChar w:fldCharType="end"/>
      </w:r>
      <w:r w:rsidRPr="00C847CA">
        <w:rPr>
          <w:rFonts w:ascii="Times New Roman" w:eastAsia="SimSun" w:hAnsi="Times New Roman" w:cs="Calibri"/>
          <w:color w:val="000000"/>
          <w:kern w:val="1"/>
          <w:lang w:eastAsia="hi-IN" w:bidi="hi-IN"/>
        </w:rPr>
        <w:t>. Nar</w:t>
      </w:r>
      <w:r w:rsidRPr="00EB2EB3">
        <w:rPr>
          <w:rFonts w:ascii="Times New Roman" w:eastAsia="SimSun" w:hAnsi="Times New Roman" w:cs="Calibri"/>
          <w:color w:val="000000"/>
          <w:kern w:val="1"/>
          <w:lang w:eastAsia="hi-IN" w:bidi="hi-IN"/>
        </w:rPr>
        <w:t>row patent</w:t>
      </w:r>
      <w:r w:rsidRPr="00AB4B69">
        <w:rPr>
          <w:rFonts w:ascii="Times New Roman" w:eastAsia="SimSun" w:hAnsi="Times New Roman" w:cs="Calibri"/>
          <w:color w:val="000000"/>
          <w:kern w:val="1"/>
          <w:lang w:eastAsia="hi-IN" w:bidi="hi-IN"/>
        </w:rPr>
        <w:t xml:space="preserve">s, on </w:t>
      </w:r>
      <w:r w:rsidRPr="00AB4B69">
        <w:rPr>
          <w:rFonts w:ascii="Times New Roman" w:hAnsi="Times New Roman"/>
          <w:color w:val="000000"/>
          <w:kern w:val="1"/>
          <w:lang w:eastAsia="ar-SA"/>
        </w:rPr>
        <w:t>the</w:t>
      </w:r>
      <w:r w:rsidRPr="00AB4B69">
        <w:rPr>
          <w:rFonts w:ascii="Times New Roman" w:eastAsia="SimSun" w:hAnsi="Times New Roman" w:cs="Calibri"/>
          <w:color w:val="000000"/>
          <w:kern w:val="1"/>
          <w:lang w:eastAsia="hi-IN" w:bidi="hi-IN"/>
        </w:rPr>
        <w:t xml:space="preserve"> other hand, can cause patent “thickets,” where complex designs that incorporate many individual parts face an unmanageable number of patents </w:t>
      </w:r>
      <w:r w:rsidR="0029457D">
        <w:rPr>
          <w:rFonts w:ascii="Times New Roman" w:eastAsia="SimSun" w:hAnsi="Times New Roman" w:cs="Calibri"/>
          <w:color w:val="000000"/>
          <w:kern w:val="1"/>
          <w:lang w:eastAsia="hi-IN" w:bidi="hi-IN"/>
        </w:rPr>
        <w:fldChar w:fldCharType="begin" w:fldLock="1"/>
      </w:r>
      <w:r w:rsidR="0029457D">
        <w:rPr>
          <w:rFonts w:ascii="Times New Roman" w:eastAsia="SimSun" w:hAnsi="Times New Roman" w:cs="Calibri"/>
          <w:color w:val="000000"/>
          <w:kern w:val="1"/>
          <w:lang w:eastAsia="hi-IN" w:bidi="hi-IN"/>
        </w:rPr>
        <w:instrText>ADDIN CSL_CITATION {"citationItems":[{"id":"ITEM-1","itemData":{"DOI":"10.1038/embor.2009.131","ISSN":"1469-221X","author":[{"dropping-particle":"","family":"Rutz","given":"Berthold","non-dropping-particle":"","parse-names":false,"suffix":""}],"container-title":"EMBO reports","id":"ITEM-1","issue":"S1","issued":{"date-parts":[["2009","8"]]},"title":"Synthetic biology and patents","type":"article-journal","volume":"10"},"uris":["http://www.mendeley.com/documents/?uuid=d42cb997-211d-4da7-a16e-06cc1b39b7dc"]},{"id":"ITEM-2","itemData":{"DOI":"10.1038/msb4100161","ISSN":"1744-4292","author":[{"dropping-particle":"","family":"Henkel","given":"Joachim","non-dropping-particle":"","parse-names":false,"suffix":""},{"dropping-particle":"","family":"Maurer","given":"Stephen M","non-dropping-particle":"","parse-names":false,"suffix":""}],"container-title":"Molecular Systems Biology","id":"ITEM-2","issue":"1","issued":{"date-parts":[["2007","1","5"]]},"page":"117","title":"The economics of synthetic biology","type":"article-journal","volume":"3"},"uris":["http://www.mendeley.com/documents/?uuid=3b3fcec0-f770-4c72-b243-3ccb3bd152ed"]},{"id":"ITEM-3","itemData":{"DOI":"10.1371/journal.pbio.0050058","ISSN":"1545-7885","author":[{"dropping-particle":"","family":"Rai","given":"Arti","non-dropping-particle":"","parse-names":false,"suffix":""},{"dropping-particle":"","family":"Boyle","given":"James","non-dropping-particle":"","parse-names":false,"suffix":""}],"container-title":"PLoS Biology","id":"ITEM-3","issue":"3","issued":{"date-parts":[["2007","3","13"]]},"page":"e58","title":"Synthetic Biology: Caught between Property Rights, the Public Domain, and the Commons","type":"article-journal","volume":"5"},"uris":["http://www.mendeley.com/documents/?uuid=c3fe47d8-93e2-41f8-9c71-358f6d6eb4af"]}],"mendeley":{"formattedCitation":"(Henkel &amp; Maurer, 2007; Rai &amp; Boyle, 2007; Rutz, 2009)","plainTextFormattedCitation":"(Henkel &amp; Maurer, 2007; Rai &amp; Boyle, 2007; Rutz, 2009)","previouslyFormattedCitation":"(Henkel &amp; Maurer, 2007; Rai &amp; Boyle, 2007; Rutz, 2009)"},"properties":{"noteIndex":0},"schema":"https://github.com/citation-style-language/schema/raw/master/csl-citation.json"}</w:instrText>
      </w:r>
      <w:r w:rsidR="0029457D">
        <w:rPr>
          <w:rFonts w:ascii="Times New Roman" w:eastAsia="SimSun" w:hAnsi="Times New Roman" w:cs="Calibri"/>
          <w:color w:val="000000"/>
          <w:kern w:val="1"/>
          <w:lang w:eastAsia="hi-IN" w:bidi="hi-IN"/>
        </w:rPr>
        <w:fldChar w:fldCharType="separate"/>
      </w:r>
      <w:r w:rsidR="0029457D" w:rsidRPr="0029457D">
        <w:rPr>
          <w:rFonts w:ascii="Times New Roman" w:eastAsia="SimSun" w:hAnsi="Times New Roman" w:cs="Calibri"/>
          <w:noProof/>
          <w:color w:val="000000"/>
          <w:kern w:val="1"/>
          <w:lang w:eastAsia="hi-IN" w:bidi="hi-IN"/>
        </w:rPr>
        <w:t>(Henkel &amp; Maurer, 2007; Rai &amp; Boyle, 2007; Rutz, 2009)</w:t>
      </w:r>
      <w:r w:rsidR="0029457D">
        <w:rPr>
          <w:rFonts w:ascii="Times New Roman" w:eastAsia="SimSun" w:hAnsi="Times New Roman" w:cs="Calibri"/>
          <w:color w:val="000000"/>
          <w:kern w:val="1"/>
          <w:lang w:eastAsia="hi-IN" w:bidi="hi-IN"/>
        </w:rPr>
        <w:fldChar w:fldCharType="end"/>
      </w:r>
      <w:r w:rsidRPr="00AB4B69">
        <w:rPr>
          <w:rFonts w:ascii="Times New Roman" w:eastAsia="SimSun" w:hAnsi="Times New Roman" w:cs="Calibri"/>
          <w:color w:val="000000"/>
          <w:kern w:val="1"/>
          <w:lang w:eastAsia="hi-IN" w:bidi="hi-IN"/>
        </w:rPr>
        <w:t xml:space="preserve">. </w:t>
      </w:r>
      <w:r w:rsidRPr="000E357B">
        <w:rPr>
          <w:rFonts w:ascii="Times New Roman" w:eastAsia="SimSun" w:hAnsi="Times New Roman" w:cs="Calibri"/>
          <w:color w:val="000000"/>
          <w:kern w:val="1"/>
          <w:lang w:eastAsia="hi-IN" w:bidi="hi-IN"/>
        </w:rPr>
        <w:t xml:space="preserve">There certainly appear to be valid concerns voiced by civil society and public sector </w:t>
      </w:r>
      <w:r w:rsidR="00F7308E">
        <w:rPr>
          <w:rFonts w:ascii="Times New Roman" w:eastAsia="SimSun" w:hAnsi="Times New Roman" w:cs="Calibri"/>
          <w:color w:val="000000"/>
          <w:kern w:val="1"/>
          <w:lang w:eastAsia="hi-IN" w:bidi="hi-IN"/>
        </w:rPr>
        <w:t>organi</w:t>
      </w:r>
      <w:r w:rsidR="008922FD">
        <w:rPr>
          <w:rFonts w:ascii="Times New Roman" w:eastAsia="SimSun" w:hAnsi="Times New Roman" w:cs="Calibri"/>
          <w:color w:val="000000"/>
          <w:kern w:val="1"/>
          <w:lang w:eastAsia="hi-IN" w:bidi="hi-IN"/>
        </w:rPr>
        <w:t>s</w:t>
      </w:r>
      <w:r w:rsidR="0048658E">
        <w:rPr>
          <w:rFonts w:ascii="Times New Roman" w:eastAsia="SimSun" w:hAnsi="Times New Roman" w:cs="Calibri"/>
          <w:color w:val="000000"/>
          <w:kern w:val="1"/>
          <w:lang w:eastAsia="hi-IN" w:bidi="hi-IN"/>
        </w:rPr>
        <w:t xml:space="preserve">ations </w:t>
      </w:r>
      <w:r w:rsidRPr="000E357B">
        <w:rPr>
          <w:rFonts w:ascii="Times New Roman" w:eastAsia="SimSun" w:hAnsi="Times New Roman" w:cs="Calibri"/>
          <w:color w:val="000000"/>
          <w:kern w:val="1"/>
          <w:lang w:eastAsia="hi-IN" w:bidi="hi-IN"/>
        </w:rPr>
        <w:t xml:space="preserve">regarding who will </w:t>
      </w:r>
      <w:r w:rsidR="00475D0D">
        <w:rPr>
          <w:rFonts w:ascii="Times New Roman" w:eastAsia="SimSun" w:hAnsi="Times New Roman" w:cs="Calibri"/>
          <w:color w:val="000000"/>
          <w:kern w:val="1"/>
          <w:lang w:eastAsia="hi-IN" w:bidi="hi-IN"/>
        </w:rPr>
        <w:t>and who will not</w:t>
      </w:r>
      <w:r w:rsidRPr="000E357B">
        <w:rPr>
          <w:rFonts w:ascii="Times New Roman" w:eastAsia="SimSun" w:hAnsi="Times New Roman" w:cs="Calibri"/>
          <w:color w:val="000000"/>
          <w:kern w:val="1"/>
          <w:lang w:eastAsia="hi-IN" w:bidi="hi-IN"/>
        </w:rPr>
        <w:t xml:space="preserve"> benefit from the applications of synthetic biology, particularly in the agricultural sector in which corporate consolidation, patent proliferation and food security potentially combine in a new perfect storm </w:t>
      </w:r>
      <w:r w:rsidR="0029457D">
        <w:rPr>
          <w:rFonts w:ascii="Times New Roman" w:eastAsia="SimSun" w:hAnsi="Times New Roman" w:cs="Calibri"/>
          <w:color w:val="000000"/>
          <w:kern w:val="1"/>
          <w:lang w:eastAsia="hi-IN" w:bidi="hi-IN"/>
        </w:rPr>
        <w:fldChar w:fldCharType="begin" w:fldLock="1"/>
      </w:r>
      <w:r w:rsidR="0029457D">
        <w:rPr>
          <w:rFonts w:ascii="Times New Roman" w:eastAsia="SimSun" w:hAnsi="Times New Roman" w:cs="Calibri"/>
          <w:color w:val="000000"/>
          <w:kern w:val="1"/>
          <w:lang w:eastAsia="hi-IN" w:bidi="hi-IN"/>
        </w:rPr>
        <w:instrText>ADDIN CSL_CITATION {"citationItems":[{"id":"ITEM-1","itemData":{"DOI":"10.1146/annurev-phyto-080417","abstract":"Genetically engineered crops have been grown for more than 20 years, resulting in widespread albeit variable benefits for farmers and consumers. We review current, likely, and potential genetic engineering (GE) applications for the development of disease-resistant crop cultivars. Gene editing, gene drives, and synthetic biology offer novel opportunities to control viral, bacterial, and fungal pathogens, parasitic weeds, and insect vectors of plant pathogens. We conclude that there will be no shortage of GE applications to 165","author":[{"dropping-particle":"V","family":"Pixley","given":"Kevin","non-dropping-particle":"","parse-names":false,"suffix":""},{"dropping-particle":"","family":"Falck-Zepeda","given":"Jose B","non-dropping-particle":"","parse-names":false,"suffix":""},{"dropping-particle":"","family":"Giller","given":"Ken E","non-dropping-particle":"","parse-names":false,"suffix":""},{"dropping-particle":"","family":"Glenna","given":"Leland L","non-dropping-particle":"","parse-names":false,"suffix":""},{"dropping-particle":"","family":"Gould","given":"Fred","non-dropping-particle":"","parse-names":false,"suffix":""},{"dropping-particle":"","family":"Mallory-Smith","given":"Carol A","non-dropping-particle":"","parse-names":false,"suffix":""},{"dropping-particle":"","family":"Stelly","given":"David M","non-dropping-particle":"","parse-names":false,"suffix":""},{"dropping-particle":"","family":"Jr","given":"C Neal Stewart","non-dropping-particle":"","parse-names":false,"suffix":""}],"container-title":"Annu. Rev. Phytopathol","id":"ITEM-1","issued":{"date-parts":[["2019"]]},"page":"165-188","title":"Downloaded from www.annualreviews.org Access provided by 109","type":"article-journal","volume":"57"},"uris":["http://www.mendeley.com/documents/?uuid=09e9bae0-d6aa-4a9d-8757-4281f33e167e"]}],"mendeley":{"formattedCitation":"(Pixley et al., 2019)","plainTextFormattedCitation":"(Pixley et al., 2019)","previouslyFormattedCitation":"(Pixley et al., 2019)"},"properties":{"noteIndex":0},"schema":"https://github.com/citation-style-language/schema/raw/master/csl-citation.json"}</w:instrText>
      </w:r>
      <w:r w:rsidR="0029457D">
        <w:rPr>
          <w:rFonts w:ascii="Times New Roman" w:eastAsia="SimSun" w:hAnsi="Times New Roman" w:cs="Calibri"/>
          <w:color w:val="000000"/>
          <w:kern w:val="1"/>
          <w:lang w:eastAsia="hi-IN" w:bidi="hi-IN"/>
        </w:rPr>
        <w:fldChar w:fldCharType="separate"/>
      </w:r>
      <w:r w:rsidR="0029457D" w:rsidRPr="0029457D">
        <w:rPr>
          <w:rFonts w:ascii="Times New Roman" w:eastAsia="SimSun" w:hAnsi="Times New Roman" w:cs="Calibri"/>
          <w:noProof/>
          <w:color w:val="000000"/>
          <w:kern w:val="1"/>
          <w:lang w:eastAsia="hi-IN" w:bidi="hi-IN"/>
        </w:rPr>
        <w:t>(Pixley et al., 2019)</w:t>
      </w:r>
      <w:r w:rsidR="0029457D">
        <w:rPr>
          <w:rFonts w:ascii="Times New Roman" w:eastAsia="SimSun" w:hAnsi="Times New Roman" w:cs="Calibri"/>
          <w:color w:val="000000"/>
          <w:kern w:val="1"/>
          <w:lang w:eastAsia="hi-IN" w:bidi="hi-IN"/>
        </w:rPr>
        <w:fldChar w:fldCharType="end"/>
      </w:r>
      <w:r w:rsidRPr="000E357B">
        <w:rPr>
          <w:rFonts w:ascii="Times New Roman" w:eastAsia="SimSun" w:hAnsi="Times New Roman" w:cs="Calibri"/>
          <w:color w:val="000000"/>
          <w:kern w:val="1"/>
          <w:lang w:eastAsia="hi-IN" w:bidi="hi-IN"/>
        </w:rPr>
        <w:t xml:space="preserve">. </w:t>
      </w:r>
      <w:bookmarkStart w:id="122" w:name="_Hlk70583369"/>
      <w:r w:rsidRPr="000E357B">
        <w:rPr>
          <w:rFonts w:ascii="Times New Roman" w:eastAsia="SimSun" w:hAnsi="Times New Roman" w:cs="Calibri"/>
          <w:color w:val="000000"/>
          <w:kern w:val="1"/>
          <w:lang w:eastAsia="hi-IN" w:bidi="hi-IN"/>
        </w:rPr>
        <w:t xml:space="preserve">Whether and to what extent IP </w:t>
      </w:r>
      <w:r w:rsidRPr="00416250">
        <w:rPr>
          <w:rFonts w:ascii="Times New Roman" w:eastAsia="SimSun" w:hAnsi="Times New Roman" w:cs="Calibri"/>
          <w:color w:val="000000"/>
          <w:kern w:val="1"/>
          <w:lang w:eastAsia="hi-IN" w:bidi="hi-IN"/>
        </w:rPr>
        <w:t xml:space="preserve">protection constrains rather than enhances innovation merits further academic analysis, however, the challenges in pro-poor products reaching the market may more closely reflect the regulatory hurdles and investment required in getting a technology to market rather than issues with IP protection and licensing on their own </w:t>
      </w:r>
      <w:r w:rsidR="0003735A" w:rsidRPr="00416250">
        <w:rPr>
          <w:rFonts w:ascii="Times New Roman" w:eastAsia="SimSun" w:hAnsi="Times New Roman" w:cs="Calibri"/>
          <w:color w:val="000000"/>
          <w:kern w:val="1"/>
          <w:lang w:eastAsia="hi-IN" w:bidi="hi-IN"/>
        </w:rPr>
        <w:fldChar w:fldCharType="begin" w:fldLock="1"/>
      </w:r>
      <w:r w:rsidR="00416250">
        <w:rPr>
          <w:rFonts w:ascii="Times New Roman" w:eastAsia="SimSun" w:hAnsi="Times New Roman" w:cs="Calibri"/>
          <w:color w:val="000000"/>
          <w:kern w:val="1"/>
          <w:lang w:eastAsia="hi-IN" w:bidi="hi-IN"/>
        </w:rPr>
        <w:instrText>ADDIN CSL_CITATION {"citationItems":[{"id":"ITEM-1","itemData":{"author":[{"dropping-particle":"","family":"Divanbeigi","given":"Raian","non-dropping-particle":"","parse-names":false,"suffix":""},{"dropping-particle":"","family":"Saliola","given":"Federica","non-dropping-particle":"","parse-names":false,"suffix":""}],"id":"ITEM-1","issued":{"date-parts":[["2017"]]},"title":"Regulatory constraints to agricultural productivity","type":"report"},"uris":["http://www.mendeley.com/documents/?uuid=45ac264f-30ab-4241-b41f-4eecb7a26cf9"]}],"mendeley":{"formattedCitation":"(Divanbeigi &amp; Saliola, 2017)","plainTextFormattedCitation":"(Divanbeigi &amp; Saliola, 2017)","previouslyFormattedCitation":"(Divanbeigi &amp; Saliola, 2017)"},"properties":{"noteIndex":0},"schema":"https://github.com/citation-style-language/schema/raw/master/csl-citation.json"}</w:instrText>
      </w:r>
      <w:r w:rsidR="0003735A" w:rsidRPr="00416250">
        <w:rPr>
          <w:rFonts w:ascii="Times New Roman" w:eastAsia="SimSun" w:hAnsi="Times New Roman" w:cs="Calibri"/>
          <w:color w:val="000000"/>
          <w:kern w:val="1"/>
          <w:lang w:eastAsia="hi-IN" w:bidi="hi-IN"/>
        </w:rPr>
        <w:fldChar w:fldCharType="separate"/>
      </w:r>
      <w:r w:rsidR="0003735A" w:rsidRPr="00416250">
        <w:rPr>
          <w:rFonts w:ascii="Times New Roman" w:eastAsia="SimSun" w:hAnsi="Times New Roman" w:cs="Calibri"/>
          <w:noProof/>
          <w:color w:val="000000"/>
          <w:kern w:val="1"/>
          <w:lang w:eastAsia="hi-IN" w:bidi="hi-IN"/>
        </w:rPr>
        <w:t>(Divanbeigi &amp; Saliola, 2017)</w:t>
      </w:r>
      <w:r w:rsidR="0003735A" w:rsidRPr="00416250">
        <w:rPr>
          <w:rFonts w:ascii="Times New Roman" w:eastAsia="SimSun" w:hAnsi="Times New Roman" w:cs="Calibri"/>
          <w:color w:val="000000"/>
          <w:kern w:val="1"/>
          <w:lang w:eastAsia="hi-IN" w:bidi="hi-IN"/>
        </w:rPr>
        <w:fldChar w:fldCharType="end"/>
      </w:r>
      <w:r w:rsidRPr="00416250">
        <w:rPr>
          <w:rFonts w:ascii="Times New Roman" w:eastAsia="SimSun" w:hAnsi="Times New Roman" w:cs="Calibri"/>
          <w:color w:val="000000"/>
          <w:kern w:val="1"/>
          <w:lang w:eastAsia="hi-IN" w:bidi="hi-IN"/>
        </w:rPr>
        <w:t xml:space="preserve">. </w:t>
      </w:r>
      <w:bookmarkEnd w:id="122"/>
      <w:r w:rsidRPr="00416250">
        <w:rPr>
          <w:rFonts w:ascii="Times New Roman" w:eastAsia="SimSun" w:hAnsi="Times New Roman" w:cs="Calibri"/>
          <w:color w:val="000000"/>
          <w:kern w:val="1"/>
          <w:lang w:eastAsia="hi-IN" w:bidi="hi-IN"/>
        </w:rPr>
        <w:t>There is also the possibility that, like with electronics and software, a tipping dynamic will lead to one solution</w:t>
      </w:r>
      <w:r w:rsidRPr="00AB4B69">
        <w:rPr>
          <w:rFonts w:ascii="Times New Roman" w:eastAsia="SimSun" w:hAnsi="Times New Roman" w:cs="Calibri"/>
          <w:color w:val="000000"/>
          <w:kern w:val="1"/>
          <w:lang w:eastAsia="hi-IN" w:bidi="hi-IN"/>
        </w:rPr>
        <w:t xml:space="preserve"> dominating an industry because it is the first to establish common standards (Henkel and Maurer 2007; Henkel and Maurer 2009).</w:t>
      </w:r>
      <w:r>
        <w:rPr>
          <w:rFonts w:ascii="Times New Roman" w:eastAsia="SimSun" w:hAnsi="Times New Roman" w:cs="Calibri"/>
          <w:color w:val="000000"/>
          <w:kern w:val="1"/>
          <w:lang w:eastAsia="hi-IN" w:bidi="hi-IN"/>
        </w:rPr>
        <w:t xml:space="preserve"> </w:t>
      </w:r>
      <w:r w:rsidRPr="000E357B">
        <w:rPr>
          <w:rFonts w:ascii="Times New Roman" w:eastAsia="SimSun" w:hAnsi="Times New Roman" w:cs="Calibri"/>
          <w:color w:val="000000"/>
          <w:kern w:val="1"/>
          <w:lang w:eastAsia="hi-IN" w:bidi="hi-IN"/>
        </w:rPr>
        <w:t>Only time will tell, however, the experience with CRISPR-Cas technologies over the past decade looks promising as</w:t>
      </w:r>
      <w:r w:rsidR="0028510C">
        <w:rPr>
          <w:rFonts w:ascii="Times New Roman" w:eastAsia="SimSun" w:hAnsi="Times New Roman" w:cs="Calibri"/>
          <w:color w:val="000000"/>
          <w:kern w:val="1"/>
          <w:lang w:eastAsia="hi-IN" w:bidi="hi-IN"/>
        </w:rPr>
        <w:t>,</w:t>
      </w:r>
      <w:r w:rsidR="008C63CC">
        <w:rPr>
          <w:rFonts w:ascii="Times New Roman" w:eastAsia="SimSun" w:hAnsi="Times New Roman" w:cs="Calibri"/>
          <w:color w:val="000000"/>
          <w:kern w:val="1"/>
          <w:lang w:eastAsia="hi-IN" w:bidi="hi-IN"/>
        </w:rPr>
        <w:t xml:space="preserve"> despite a</w:t>
      </w:r>
      <w:r w:rsidR="00DE6F49">
        <w:rPr>
          <w:rFonts w:ascii="Times New Roman" w:eastAsia="SimSun" w:hAnsi="Times New Roman" w:cs="Calibri"/>
          <w:color w:val="000000"/>
          <w:kern w:val="1"/>
          <w:lang w:eastAsia="hi-IN" w:bidi="hi-IN"/>
        </w:rPr>
        <w:t xml:space="preserve"> high-profile patent dispute</w:t>
      </w:r>
      <w:r w:rsidR="008C63CC">
        <w:rPr>
          <w:rFonts w:ascii="Times New Roman" w:eastAsia="SimSun" w:hAnsi="Times New Roman" w:cs="Calibri"/>
          <w:color w:val="000000"/>
          <w:kern w:val="1"/>
          <w:lang w:eastAsia="hi-IN" w:bidi="hi-IN"/>
        </w:rPr>
        <w:t xml:space="preserve">, </w:t>
      </w:r>
      <w:r w:rsidR="00DE6F49" w:rsidRPr="00780FE1">
        <w:rPr>
          <w:rFonts w:ascii="Times New Roman" w:eastAsia="SimSun" w:hAnsi="Times New Roman" w:cs="Calibri"/>
          <w:color w:val="000000"/>
          <w:kern w:val="1"/>
          <w:lang w:eastAsia="hi-IN" w:bidi="hi-IN"/>
        </w:rPr>
        <w:t>widespread licensing of critical patents</w:t>
      </w:r>
      <w:r w:rsidR="00DE6F49">
        <w:rPr>
          <w:rFonts w:ascii="Times New Roman" w:eastAsia="SimSun" w:hAnsi="Times New Roman" w:cs="Calibri"/>
          <w:color w:val="000000"/>
          <w:kern w:val="1"/>
          <w:lang w:eastAsia="hi-IN" w:bidi="hi-IN"/>
        </w:rPr>
        <w:t xml:space="preserve"> </w:t>
      </w:r>
      <w:r w:rsidR="008C63CC">
        <w:rPr>
          <w:rFonts w:ascii="Times New Roman" w:eastAsia="SimSun" w:hAnsi="Times New Roman" w:cs="Calibri"/>
          <w:color w:val="000000"/>
          <w:kern w:val="1"/>
          <w:lang w:eastAsia="hi-IN" w:bidi="hi-IN"/>
        </w:rPr>
        <w:t xml:space="preserve">associated </w:t>
      </w:r>
      <w:r w:rsidR="00DE6F49">
        <w:rPr>
          <w:rFonts w:ascii="Times New Roman" w:eastAsia="SimSun" w:hAnsi="Times New Roman" w:cs="Calibri"/>
          <w:color w:val="000000"/>
          <w:kern w:val="1"/>
          <w:lang w:eastAsia="hi-IN" w:bidi="hi-IN"/>
        </w:rPr>
        <w:t xml:space="preserve">with the technology has fuelled </w:t>
      </w:r>
      <w:r w:rsidR="00DE6F49" w:rsidRPr="00780FE1">
        <w:rPr>
          <w:rFonts w:ascii="Times New Roman" w:eastAsia="SimSun" w:hAnsi="Times New Roman" w:cs="Calibri"/>
          <w:color w:val="000000"/>
          <w:kern w:val="1"/>
          <w:lang w:eastAsia="hi-IN" w:bidi="hi-IN"/>
        </w:rPr>
        <w:t>an explosion of research from both academic and commercial sectors</w:t>
      </w:r>
      <w:r w:rsidR="00DE6F49">
        <w:rPr>
          <w:rFonts w:ascii="Times New Roman" w:eastAsia="SimSun" w:hAnsi="Times New Roman" w:cs="Calibri"/>
          <w:color w:val="000000"/>
          <w:kern w:val="1"/>
          <w:lang w:eastAsia="hi-IN" w:bidi="hi-IN"/>
        </w:rPr>
        <w:t xml:space="preserve"> which are transforming</w:t>
      </w:r>
      <w:r w:rsidR="008C63CC">
        <w:rPr>
          <w:rFonts w:ascii="Times New Roman" w:eastAsia="SimSun" w:hAnsi="Times New Roman" w:cs="Calibri"/>
          <w:color w:val="000000"/>
          <w:kern w:val="1"/>
          <w:lang w:eastAsia="hi-IN" w:bidi="hi-IN"/>
        </w:rPr>
        <w:t xml:space="preserve"> </w:t>
      </w:r>
      <w:r w:rsidR="007D55E9">
        <w:rPr>
          <w:rFonts w:ascii="Times New Roman" w:eastAsia="SimSun" w:hAnsi="Times New Roman" w:cs="Calibri"/>
          <w:color w:val="000000"/>
          <w:kern w:val="1"/>
          <w:lang w:eastAsia="hi-IN" w:bidi="hi-IN"/>
        </w:rPr>
        <w:t>life-sciences research</w:t>
      </w:r>
      <w:r w:rsidR="00857188">
        <w:rPr>
          <w:rFonts w:ascii="Times New Roman" w:eastAsia="SimSun" w:hAnsi="Times New Roman" w:cs="Calibri"/>
          <w:color w:val="000000"/>
          <w:kern w:val="1"/>
          <w:lang w:eastAsia="hi-IN" w:bidi="hi-IN"/>
        </w:rPr>
        <w:t xml:space="preserve"> </w:t>
      </w:r>
      <w:r w:rsidR="0029457D">
        <w:rPr>
          <w:rFonts w:ascii="Times New Roman" w:eastAsia="SimSun" w:hAnsi="Times New Roman" w:cs="Calibri"/>
          <w:color w:val="000000"/>
          <w:kern w:val="1"/>
          <w:lang w:eastAsia="hi-IN" w:bidi="hi-IN"/>
        </w:rPr>
        <w:fldChar w:fldCharType="begin" w:fldLock="1"/>
      </w:r>
      <w:r w:rsidR="0029457D">
        <w:rPr>
          <w:rFonts w:ascii="Times New Roman" w:eastAsia="SimSun" w:hAnsi="Times New Roman" w:cs="Calibri"/>
          <w:color w:val="000000"/>
          <w:kern w:val="1"/>
          <w:lang w:eastAsia="hi-IN" w:bidi="hi-IN"/>
        </w:rPr>
        <w:instrText>ADDIN CSL_CITATION {"citationItems":[{"id":"ITEM-1","itemData":{"DOI":"10.1089/crispr.2017.0013","ISSN":"2573-1599","author":[{"dropping-particle":"","family":"Sherkow","given":"Jacob S.","non-dropping-particle":"","parse-names":false,"suffix":""}],"container-title":"The CRISPR Journal","id":"ITEM-1","issue":"1","issued":{"date-parts":[["2018","2"]]},"page":"5-9","title":"The CRISPR Patent Landscape: Past, Present, and Future","type":"article-journal","volume":"1"},"uris":["http://www.mendeley.com/documents/?uuid=8fa45b85-cc7a-4f95-9466-1b6b45c474fa"]}],"mendeley":{"formattedCitation":"(Sherkow, 2018)","plainTextFormattedCitation":"(Sherkow, 2018)","previouslyFormattedCitation":"(Sherkow, 2018)"},"properties":{"noteIndex":0},"schema":"https://github.com/citation-style-language/schema/raw/master/csl-citation.json"}</w:instrText>
      </w:r>
      <w:r w:rsidR="0029457D">
        <w:rPr>
          <w:rFonts w:ascii="Times New Roman" w:eastAsia="SimSun" w:hAnsi="Times New Roman" w:cs="Calibri"/>
          <w:color w:val="000000"/>
          <w:kern w:val="1"/>
          <w:lang w:eastAsia="hi-IN" w:bidi="hi-IN"/>
        </w:rPr>
        <w:fldChar w:fldCharType="separate"/>
      </w:r>
      <w:r w:rsidR="0029457D" w:rsidRPr="0029457D">
        <w:rPr>
          <w:rFonts w:ascii="Times New Roman" w:eastAsia="SimSun" w:hAnsi="Times New Roman" w:cs="Calibri"/>
          <w:noProof/>
          <w:color w:val="000000"/>
          <w:kern w:val="1"/>
          <w:lang w:eastAsia="hi-IN" w:bidi="hi-IN"/>
        </w:rPr>
        <w:t>(Sherkow, 2018)</w:t>
      </w:r>
      <w:r w:rsidR="0029457D">
        <w:rPr>
          <w:rFonts w:ascii="Times New Roman" w:eastAsia="SimSun" w:hAnsi="Times New Roman" w:cs="Calibri"/>
          <w:color w:val="000000"/>
          <w:kern w:val="1"/>
          <w:lang w:eastAsia="hi-IN" w:bidi="hi-IN"/>
        </w:rPr>
        <w:fldChar w:fldCharType="end"/>
      </w:r>
      <w:r w:rsidR="00857188">
        <w:rPr>
          <w:rFonts w:ascii="Times New Roman" w:eastAsia="SimSun" w:hAnsi="Times New Roman" w:cs="Calibri"/>
          <w:color w:val="000000"/>
          <w:kern w:val="1"/>
          <w:lang w:eastAsia="hi-IN" w:bidi="hi-IN"/>
        </w:rPr>
        <w:t xml:space="preserve">, including synthetic biology applications which </w:t>
      </w:r>
      <w:r w:rsidR="0028510C">
        <w:rPr>
          <w:rFonts w:ascii="Times New Roman" w:eastAsia="SimSun" w:hAnsi="Times New Roman" w:cs="Calibri"/>
          <w:color w:val="000000"/>
          <w:kern w:val="1"/>
          <w:lang w:eastAsia="hi-IN" w:bidi="hi-IN"/>
        </w:rPr>
        <w:t xml:space="preserve">are </w:t>
      </w:r>
      <w:r w:rsidR="00857188">
        <w:rPr>
          <w:rFonts w:ascii="Times New Roman" w:eastAsia="SimSun" w:hAnsi="Times New Roman" w:cs="Calibri"/>
          <w:color w:val="000000"/>
          <w:kern w:val="1"/>
          <w:lang w:eastAsia="hi-IN" w:bidi="hi-IN"/>
        </w:rPr>
        <w:t xml:space="preserve">approaching commercial release, for example, </w:t>
      </w:r>
      <w:r w:rsidR="00857188" w:rsidRPr="00E0344D">
        <w:rPr>
          <w:rFonts w:ascii="Times New Roman" w:hAnsi="Times New Roman"/>
        </w:rPr>
        <w:t>engineered gene drives</w:t>
      </w:r>
      <w:r w:rsidR="00857188">
        <w:rPr>
          <w:rFonts w:ascii="Times New Roman" w:hAnsi="Times New Roman"/>
        </w:rPr>
        <w:t xml:space="preserve"> (see </w:t>
      </w:r>
      <w:r w:rsidR="00BB1F99">
        <w:rPr>
          <w:rFonts w:ascii="Times New Roman" w:hAnsi="Times New Roman"/>
        </w:rPr>
        <w:t>S</w:t>
      </w:r>
      <w:r w:rsidR="00857188">
        <w:rPr>
          <w:rFonts w:ascii="Times New Roman" w:hAnsi="Times New Roman"/>
        </w:rPr>
        <w:t>ections 1.</w:t>
      </w:r>
      <w:r w:rsidR="00DB6A3A">
        <w:rPr>
          <w:rFonts w:ascii="Times New Roman" w:hAnsi="Times New Roman"/>
        </w:rPr>
        <w:t>4</w:t>
      </w:r>
      <w:r w:rsidR="00857188">
        <w:rPr>
          <w:rFonts w:ascii="Times New Roman" w:hAnsi="Times New Roman"/>
        </w:rPr>
        <w:t xml:space="preserve"> and also 3.1 and 3.2</w:t>
      </w:r>
      <w:r w:rsidR="00BB1F99">
        <w:rPr>
          <w:rFonts w:ascii="Times New Roman" w:hAnsi="Times New Roman"/>
        </w:rPr>
        <w:t>.</w:t>
      </w:r>
      <w:r w:rsidR="00857188">
        <w:rPr>
          <w:rFonts w:ascii="Times New Roman" w:hAnsi="Times New Roman"/>
        </w:rPr>
        <w:t>)</w:t>
      </w:r>
      <w:r w:rsidRPr="000E357B">
        <w:rPr>
          <w:rFonts w:ascii="Times New Roman" w:eastAsia="SimSun" w:hAnsi="Times New Roman" w:cs="Calibri"/>
          <w:color w:val="000000"/>
          <w:kern w:val="1"/>
          <w:lang w:eastAsia="hi-IN" w:bidi="hi-IN"/>
        </w:rPr>
        <w:t>.</w:t>
      </w:r>
    </w:p>
    <w:p w14:paraId="0257E416" w14:textId="5E585D86" w:rsidR="00855A76" w:rsidRPr="00AB4B69" w:rsidRDefault="00855A76" w:rsidP="00855A76">
      <w:pPr>
        <w:suppressAutoHyphens/>
        <w:autoSpaceDE w:val="0"/>
        <w:spacing w:before="120" w:after="120" w:line="240" w:lineRule="auto"/>
        <w:jc w:val="both"/>
        <w:rPr>
          <w:rFonts w:ascii="Times New Roman" w:eastAsia="SimSun" w:hAnsi="Times New Roman" w:cs="Calibri"/>
          <w:color w:val="000000"/>
          <w:kern w:val="1"/>
          <w:lang w:eastAsia="hi-IN" w:bidi="hi-IN"/>
        </w:rPr>
      </w:pPr>
      <w:r w:rsidRPr="00AB4B69">
        <w:rPr>
          <w:rFonts w:ascii="Times New Roman" w:eastAsia="SimSun" w:hAnsi="Times New Roman" w:cs="Calibri"/>
          <w:color w:val="000000"/>
          <w:kern w:val="1"/>
          <w:lang w:eastAsia="hi-IN" w:bidi="hi-IN"/>
        </w:rPr>
        <w:t xml:space="preserve">As the field of synthetic biology develops, two main models of IP </w:t>
      </w:r>
      <w:r w:rsidR="00AF498D">
        <w:rPr>
          <w:rFonts w:ascii="Times New Roman" w:eastAsia="SimSun" w:hAnsi="Times New Roman" w:cs="Calibri"/>
          <w:color w:val="000000"/>
          <w:kern w:val="1"/>
          <w:lang w:eastAsia="hi-IN" w:bidi="hi-IN"/>
        </w:rPr>
        <w:t xml:space="preserve">management </w:t>
      </w:r>
      <w:r w:rsidRPr="00AB4B69">
        <w:rPr>
          <w:rFonts w:ascii="Times New Roman" w:eastAsia="SimSun" w:hAnsi="Times New Roman" w:cs="Calibri"/>
          <w:color w:val="000000"/>
          <w:kern w:val="1"/>
          <w:lang w:eastAsia="hi-IN" w:bidi="hi-IN"/>
        </w:rPr>
        <w:t xml:space="preserve">for synthetic biology components, organisms, products, and techniques </w:t>
      </w:r>
      <w:r>
        <w:rPr>
          <w:rFonts w:ascii="Times New Roman" w:eastAsia="SimSun" w:hAnsi="Times New Roman" w:cs="Calibri"/>
          <w:color w:val="000000"/>
          <w:kern w:val="1"/>
          <w:lang w:eastAsia="hi-IN" w:bidi="hi-IN"/>
        </w:rPr>
        <w:t>have emerged</w:t>
      </w:r>
      <w:r w:rsidRPr="00AB4B69">
        <w:rPr>
          <w:rFonts w:ascii="Times New Roman" w:eastAsia="SimSun" w:hAnsi="Times New Roman" w:cs="Calibri"/>
          <w:color w:val="000000"/>
          <w:kern w:val="1"/>
          <w:lang w:eastAsia="hi-IN" w:bidi="hi-IN"/>
        </w:rPr>
        <w:t xml:space="preserve"> </w:t>
      </w:r>
      <w:r w:rsidR="006460E4" w:rsidRPr="006460E4">
        <w:rPr>
          <w:rFonts w:ascii="Times New Roman" w:eastAsia="SimSun" w:hAnsi="Times New Roman" w:cs="Calibri"/>
          <w:color w:val="000000"/>
          <w:kern w:val="1"/>
          <w:lang w:eastAsia="hi-IN" w:bidi="hi-IN"/>
        </w:rPr>
        <w:fldChar w:fldCharType="begin" w:fldLock="1"/>
      </w:r>
      <w:r w:rsidR="006460E4">
        <w:rPr>
          <w:rFonts w:ascii="Times New Roman" w:eastAsia="SimSun" w:hAnsi="Times New Roman" w:cs="Calibri"/>
          <w:color w:val="000000"/>
          <w:kern w:val="1"/>
          <w:lang w:eastAsia="hi-IN" w:bidi="hi-IN"/>
        </w:rPr>
        <w:instrText>ADDIN CSL_CITATION {"citationItems":[{"id":"ITEM-1","itemData":{"DOI":"10.1057/biosoc.2012.3","ISSN":"1745-8552","author":[{"dropping-particle":"","family":"Calvert","given":"Jane","non-dropping-particle":"","parse-names":false,"suffix":""}],"container-title":"BioSocieties","id":"ITEM-1","issue":"2","issued":{"date-parts":[["2012","6","21"]]},"page":"169-187","title":"Ownership and sharing in synthetic biology: A ‘diverse ecology’ of the open and the proprietary?","type":"article-journal","volume":"7"},"uris":["http://www.mendeley.com/documents/?uuid=ef1d4b3d-f7db-4d56-b51c-b3455b75b2f6"]},{"id":"ITEM-2","itemData":{"DOI":"10.1007/s11693-012-9098-7","ISSN":"18725325","abstract":"The legal and moral issues that synthetic biology (SB) and its medical applications are likely to raise with regard to intellectual property (IP) and patenting are best approached through the lens of a theoretical framework highlighting the \"co-construction\" or \"co-evolution\" of patent law and technology. The current situation is characterized by a major contest between the so-called IP frame and the access-to-knowledge frame. In SB this contest is found in the contrasting approaches of Craig Venter's chassis school and the BioBricks school. The stakes in this contest are high as issues of global health and global justice are implied. Patents are not simply to be seen as neutral incentives, but must also be judged on their effects for access to essential medicines, a more balanced pattern of innovation and the widest possible social participation in innovative activity. We need moral imagination to design new institutional systems and new ways of practising SB that meet the new demands of global justice. © 2012 Springer Science+Business Media Dordrecht.","author":[{"dropping-particle":"","family":"Belt","given":"Henk","non-dropping-particle":"van den","parse-names":false,"suffix":""}],"container-title":"Systems and Synthetic Biology","id":"ITEM-2","issue":"3","issued":{"date-parts":[["2013"]]},"page":"87-98","title":"Synthetic biology, patenting, health and global justice","type":"article-journal","volume":"7"},"uris":["http://www.mendeley.com/documents/?uuid=89a61062-0e6a-4069-9f9c-670e0f5c4cc5"]}],"mendeley":{"formattedCitation":"(Calvert, 2012; van den Belt, 2013)","plainTextFormattedCitation":"(Calvert, 2012; van den Belt, 2013)","previouslyFormattedCitation":"(Calvert, 2012; van den Belt, 2013)"},"properties":{"noteIndex":0},"schema":"https://github.com/citation-style-language/schema/raw/master/csl-citation.json"}</w:instrText>
      </w:r>
      <w:r w:rsidR="006460E4" w:rsidRPr="006460E4">
        <w:rPr>
          <w:rFonts w:ascii="Times New Roman" w:eastAsia="SimSun" w:hAnsi="Times New Roman" w:cs="Calibri"/>
          <w:color w:val="000000"/>
          <w:kern w:val="1"/>
          <w:lang w:eastAsia="hi-IN" w:bidi="hi-IN"/>
        </w:rPr>
        <w:fldChar w:fldCharType="separate"/>
      </w:r>
      <w:r w:rsidR="006460E4" w:rsidRPr="006460E4">
        <w:rPr>
          <w:rFonts w:ascii="Times New Roman" w:eastAsia="SimSun" w:hAnsi="Times New Roman" w:cs="Calibri"/>
          <w:noProof/>
          <w:color w:val="000000"/>
          <w:kern w:val="1"/>
          <w:lang w:eastAsia="hi-IN" w:bidi="hi-IN"/>
        </w:rPr>
        <w:t>(Calvert, 2012; van den Belt, 2013)</w:t>
      </w:r>
      <w:r w:rsidR="006460E4" w:rsidRPr="006460E4">
        <w:rPr>
          <w:rFonts w:ascii="Times New Roman" w:eastAsia="SimSun" w:hAnsi="Times New Roman" w:cs="Calibri"/>
          <w:color w:val="000000"/>
          <w:kern w:val="1"/>
          <w:lang w:eastAsia="hi-IN" w:bidi="hi-IN"/>
        </w:rPr>
        <w:fldChar w:fldCharType="end"/>
      </w:r>
      <w:r w:rsidRPr="006460E4">
        <w:rPr>
          <w:rFonts w:ascii="Times New Roman" w:eastAsia="SimSun" w:hAnsi="Times New Roman" w:cs="Calibri"/>
          <w:color w:val="000000"/>
          <w:kern w:val="1"/>
          <w:lang w:eastAsia="hi-IN" w:bidi="hi-IN"/>
        </w:rPr>
        <w:t>.</w:t>
      </w:r>
      <w:r w:rsidRPr="00AB4B69">
        <w:rPr>
          <w:rFonts w:ascii="Times New Roman" w:eastAsia="SimSun" w:hAnsi="Times New Roman" w:cs="Calibri"/>
          <w:color w:val="000000"/>
          <w:kern w:val="1"/>
          <w:lang w:eastAsia="hi-IN" w:bidi="hi-IN"/>
        </w:rPr>
        <w:t xml:space="preserve"> The first heavily relies on patent</w:t>
      </w:r>
      <w:r w:rsidR="003445E4">
        <w:rPr>
          <w:rFonts w:ascii="Times New Roman" w:eastAsia="SimSun" w:hAnsi="Times New Roman" w:cs="Calibri"/>
          <w:color w:val="000000"/>
          <w:kern w:val="1"/>
          <w:lang w:eastAsia="hi-IN" w:bidi="hi-IN"/>
        </w:rPr>
        <w:t xml:space="preserve"> protection</w:t>
      </w:r>
      <w:r w:rsidRPr="00AB4B69">
        <w:rPr>
          <w:rFonts w:ascii="Times New Roman" w:eastAsia="SimSun" w:hAnsi="Times New Roman" w:cs="Calibri"/>
          <w:color w:val="000000"/>
          <w:kern w:val="1"/>
          <w:lang w:eastAsia="hi-IN" w:bidi="hi-IN"/>
        </w:rPr>
        <w:t xml:space="preserve"> and is exemplified by the approach of the J. Craig Venter Institute </w:t>
      </w:r>
      <w:r w:rsidR="0029457D">
        <w:rPr>
          <w:rFonts w:ascii="Times New Roman" w:eastAsia="SimSun" w:hAnsi="Times New Roman" w:cs="Calibri"/>
          <w:color w:val="000000"/>
          <w:kern w:val="1"/>
          <w:lang w:eastAsia="hi-IN" w:bidi="hi-IN"/>
        </w:rPr>
        <w:fldChar w:fldCharType="begin" w:fldLock="1"/>
      </w:r>
      <w:r w:rsidR="0029457D">
        <w:rPr>
          <w:rFonts w:ascii="Times New Roman" w:eastAsia="SimSun" w:hAnsi="Times New Roman" w:cs="Calibri"/>
          <w:color w:val="000000"/>
          <w:kern w:val="1"/>
          <w:lang w:eastAsia="hi-IN" w:bidi="hi-IN"/>
        </w:rPr>
        <w:instrText>ADDIN CSL_CITATION {"citationItems":[{"id":"ITEM-1","itemData":{"DOI":"10.1126/science.1151721","ISSN":"0036-8075","author":[{"dropping-particle":"","family":"Gibson","given":"D. G.","non-dropping-particle":"","parse-names":false,"suffix":""},{"dropping-particle":"","family":"Benders","given":"G. A.","non-dropping-particle":"","parse-names":false,"suffix":""},{"dropping-particle":"","family":"Andrews-Pfannkoch","given":"C.","non-dropping-particle":"","parse-names":false,"suffix":""},{"dropping-particle":"","family":"Denisova","given":"E. A.","non-dropping-particle":"","parse-names":false,"suffix":""},{"dropping-particle":"","family":"Baden-Tillson","given":"H.","non-dropping-particle":"","parse-names":false,"suffix":""},{"dropping-particle":"","family":"Zaveri","given":"J.","non-dropping-particle":"","parse-names":false,"suffix":""},{"dropping-particle":"","family":"Stockwell","given":"T. B.","non-dropping-particle":"","parse-names":false,"suffix":""},{"dropping-particle":"","family":"Brownley","given":"A.","non-dropping-particle":"","parse-names":false,"suffix":""},{"dropping-particle":"","family":"Thomas","given":"D. W.","non-dropping-particle":"","parse-names":false,"suffix":""},{"dropping-particle":"","family":"Algire","given":"M. A.","non-dropping-particle":"","parse-names":false,"suffix":""},{"dropping-particle":"","family":"Merryman","given":"C.","non-dropping-particle":"","parse-names":false,"suffix":""},{"dropping-particle":"","family":"Young","given":"L.","non-dropping-particle":"","parse-names":false,"suffix":""},{"dropping-particle":"","family":"Noskov","given":"V. N.","non-dropping-particle":"","parse-names":false,"suffix":""},{"dropping-particle":"","family":"Glass","given":"J. I.","non-dropping-particle":"","parse-names":false,"suffix":""},{"dropping-particle":"","family":"Venter","given":"J. C.","non-dropping-particle":"","parse-names":false,"suffix":""},{"dropping-particle":"","family":"Hutchison","given":"C. A.","non-dropping-particle":"","parse-names":false,"suffix":""},{"dropping-particle":"","family":"Smith","given":"H. O.","non-dropping-particle":"","parse-names":false,"suffix":""}],"container-title":"Science","id":"ITEM-1","issue":"5867","issued":{"date-parts":[["2008","2","29"]]},"page":"1215-1220","title":"Complete Chemical Synthesis, Assembly, and Cloning of a Mycoplasma genitalium Genome","type":"article-journal","volume":"319"},"uris":["http://www.mendeley.com/documents/?uuid=6165793e-98f8-49e0-9ba4-cfda8c8ed32f"]},{"id":"ITEM-2","itemData":{"DOI":"10.1126/science.1190719","abstract":"We report the design, synthesis, and assembly of the 1.08–mega–base pair Mycoplasma mycoides JCVI-syn1.0 genome starting from digitized genome sequence information and its transplantation into a M. capricolum recipient cell to create new M. mycoides cells that are controlled only by the synthetic chromosome. The only DNA in the cells is the designed synthetic DNA sequence, including “watermark” sequences and other designed gene deletions and polymorphisms, and mutations acquired during the building process. The new cells have expected phenotypic properties and are capable of continuous self-replication.","author":[{"dropping-particle":"","family":"Gibson","given":"Daniel G","non-dropping-particle":"","parse-names":false,"suffix":""},{"dropping-particle":"","family":"Glass","given":"John I","non-dropping-particle":"","parse-names":false,"suffix":""},{"dropping-particle":"","family":"Lartigue","given":"Carole","non-dropping-particle":"","parse-names":false,"suffix":""},{"dropping-particle":"","family":"Noskov","given":"Vladimir N","non-dropping-particle":"","parse-names":false,"suffix":""},{"dropping-particle":"","family":"Chuang","given":"Ray-Yuan","non-dropping-particle":"","parse-names":false,"suffix":""},{"dropping-particle":"","family":"Algire","given":"Mikkel A","non-dropping-particle":"","parse-names":false,"suffix":""},{"dropping-particle":"","family":"Benders","given":"Gwynedd A","non-dropping-particle":"","parse-names":false,"suffix":""},{"dropping-particle":"","family":"Montague","given":"Michael G","non-dropping-particle":"","parse-names":false,"suffix":""},{"dropping-particle":"","family":"Ma","given":"Li","non-dropping-particle":"","parse-names":false,"suffix":""},{"dropping-particle":"","family":"Moodie","given":"Monzia M","non-dropping-particle":"","parse-names":false,"suffix":""},{"dropping-particle":"","family":"Merryman","given":"Chuck","non-dropping-particle":"","parse-names":false,"suffix":""},{"dropping-particle":"","family":"Vashee","given":"Sanjay","non-dropping-particle":"","parse-names":false,"suffix":""},{"dropping-particle":"","family":"Krishnakumar","given":"Radha","non-dropping-particle":"","parse-names":false,"suffix":""},{"dropping-particle":"","family":"Assad-Garcia","given":"Nacyra","non-dropping-particle":"","parse-names":false,"suffix":""},{"dropping-particle":"","family":"Andrews-Pfannkoch","given":"Cynthia","non-dropping-particle":"","parse-names":false,"suffix":""},{"dropping-particle":"","family":"Denisova","given":"Evgeniya A","non-dropping-particle":"","parse-names":false,"suffix":""},{"dropping-particle":"","family":"Young","given":"Lei","non-dropping-particle":"","parse-names":false,"suffix":""},{"dropping-particle":"","family":"Qi","given":"Zhi-Qing","non-dropping-particle":"","parse-names":false,"suffix":""},{"dropping-particle":"","family":"Segall-Shapiro","given":"Thomas H","non-dropping-particle":"","parse-names":false,"suffix":""},{"dropping-particle":"","family":"Calvey","given":"Christopher H","non-dropping-particle":"","parse-names":false,"suffix":""},{"dropping-particle":"","family":"Parmar","given":"Prashanth P","non-dropping-particle":"","parse-names":false,"suffix":""},{"dropping-particle":"","family":"Hutchison","given":"Clyde A","non-dropping-particle":"","parse-names":false,"suffix":""},{"dropping-particle":"","family":"Smith","given":"Hamilton O","non-dropping-particle":"","parse-names":false,"suffix":""},{"dropping-particle":"","family":"Venter","given":"J Craig","non-dropping-particle":"","parse-names":false,"suffix":""}],"container-title":"Science","id":"ITEM-2","issue":"5987","issued":{"date-parts":[["2010","7","2"]]},"page":"52 LP  - 56","title":"Creation of a Bacterial Cell Controlled by a Chemically Synthesized Genome","type":"article-journal","volume":"329"},"uris":["http://www.mendeley.com/documents/?uuid=2c76b418-d942-43ed-86f3-2345f3c69a70"]},{"id":"ITEM-3","itemData":{"author":[{"dropping-particle":"","family":"Glass","given":"John I.","non-dropping-particle":"","parse-names":false,"suffix":""},{"dropping-particle":"","family":"Smith","given":"H.O.","non-dropping-particle":"","parse-names":false,"suffix":""},{"dropping-particle":"","family":"Hutchinson III","given":"C.A.","non-dropping-particle":"","parse-names":false,"suffix":""},{"dropping-particle":"","family":"Alperovich","given":"N.","non-dropping-particle":"","parse-names":false,"suffix":""},{"dropping-particle":"","family":"Assad-Garcia","given":"N","non-dropping-particle":"","parse-names":false,"suffix":""}],"id":"ITEM-3","issued":{"date-parts":[["2007"]]},"number":"20070122826","publisher":"US Patent Office","title":"Minimal bacterial genome","type":"patent"},"uris":["http://www.mendeley.com/documents/?uuid=32f2ffd6-a25f-4b1d-b56d-c5ac138c9528"]}],"mendeley":{"formattedCitation":"(D. G. Gibson et al., 2008; Daniel G Gibson et al., 2010; Glass et al., 2007)","manualFormatting":"(Gibson et al., 2008; Gibson et al., 2010; Glass et al., 2007)","plainTextFormattedCitation":"(D. G. Gibson et al., 2008; Daniel G Gibson et al., 2010; Glass et al., 2007)","previouslyFormattedCitation":"(D. G. Gibson et al., 2008; Daniel G Gibson et al., 2010; Glass et al., 2007)"},"properties":{"noteIndex":0},"schema":"https://github.com/citation-style-language/schema/raw/master/csl-citation.json"}</w:instrText>
      </w:r>
      <w:r w:rsidR="0029457D">
        <w:rPr>
          <w:rFonts w:ascii="Times New Roman" w:eastAsia="SimSun" w:hAnsi="Times New Roman" w:cs="Calibri"/>
          <w:color w:val="000000"/>
          <w:kern w:val="1"/>
          <w:lang w:eastAsia="hi-IN" w:bidi="hi-IN"/>
        </w:rPr>
        <w:fldChar w:fldCharType="separate"/>
      </w:r>
      <w:r w:rsidR="0029457D" w:rsidRPr="00F8168D">
        <w:rPr>
          <w:rFonts w:ascii="Times New Roman" w:eastAsia="SimSun" w:hAnsi="Times New Roman" w:cs="Calibri"/>
          <w:noProof/>
          <w:color w:val="000000"/>
          <w:kern w:val="1"/>
          <w:lang w:val="en-US" w:eastAsia="hi-IN" w:bidi="hi-IN"/>
        </w:rPr>
        <w:t>(Gibson et al., 2008; Gibson et al., 2010; Glass et al., 2007)</w:t>
      </w:r>
      <w:r w:rsidR="0029457D">
        <w:rPr>
          <w:rFonts w:ascii="Times New Roman" w:eastAsia="SimSun" w:hAnsi="Times New Roman" w:cs="Calibri"/>
          <w:color w:val="000000"/>
          <w:kern w:val="1"/>
          <w:lang w:eastAsia="hi-IN" w:bidi="hi-IN"/>
        </w:rPr>
        <w:fldChar w:fldCharType="end"/>
      </w:r>
      <w:r w:rsidRPr="00F8168D">
        <w:rPr>
          <w:rFonts w:ascii="Times New Roman" w:eastAsia="SimSun" w:hAnsi="Times New Roman" w:cs="Calibri"/>
          <w:color w:val="000000"/>
          <w:kern w:val="1"/>
          <w:lang w:val="en-US" w:eastAsia="hi-IN" w:bidi="hi-IN"/>
        </w:rPr>
        <w:t xml:space="preserve">. </w:t>
      </w:r>
      <w:r w:rsidRPr="00AB4B69">
        <w:rPr>
          <w:rFonts w:ascii="Times New Roman" w:eastAsia="SimSun" w:hAnsi="Times New Roman" w:cs="Calibri"/>
          <w:color w:val="000000"/>
          <w:kern w:val="1"/>
          <w:lang w:eastAsia="hi-IN" w:bidi="hi-IN"/>
        </w:rPr>
        <w:t>While working at the US</w:t>
      </w:r>
      <w:r>
        <w:rPr>
          <w:rFonts w:ascii="Times New Roman" w:eastAsia="SimSun" w:hAnsi="Times New Roman" w:cs="Calibri"/>
          <w:color w:val="000000"/>
          <w:kern w:val="1"/>
          <w:lang w:eastAsia="hi-IN" w:bidi="hi-IN"/>
        </w:rPr>
        <w:t>A’s</w:t>
      </w:r>
      <w:r w:rsidRPr="00AB4B69">
        <w:rPr>
          <w:rFonts w:ascii="Times New Roman" w:eastAsia="SimSun" w:hAnsi="Times New Roman" w:cs="Calibri"/>
          <w:color w:val="000000"/>
          <w:kern w:val="1"/>
          <w:lang w:eastAsia="hi-IN" w:bidi="hi-IN"/>
        </w:rPr>
        <w:t xml:space="preserve"> National Institutes of Health in the 1980s, J. Craig Venter attracted attention and criticism for leading patent applications of thousands of short DNA sequences </w:t>
      </w:r>
      <w:r w:rsidR="0029457D">
        <w:rPr>
          <w:rFonts w:ascii="Times New Roman" w:eastAsia="SimSun" w:hAnsi="Times New Roman" w:cs="Calibri"/>
          <w:color w:val="000000"/>
          <w:kern w:val="1"/>
          <w:lang w:eastAsia="hi-IN" w:bidi="hi-IN"/>
        </w:rPr>
        <w:fldChar w:fldCharType="begin" w:fldLock="1"/>
      </w:r>
      <w:r w:rsidR="0029457D">
        <w:rPr>
          <w:rFonts w:ascii="Times New Roman" w:eastAsia="SimSun" w:hAnsi="Times New Roman" w:cs="Calibri"/>
          <w:color w:val="000000"/>
          <w:kern w:val="1"/>
          <w:lang w:eastAsia="hi-IN" w:bidi="hi-IN"/>
        </w:rPr>
        <w:instrText>ADDIN CSL_CITATION {"citationItems":[{"id":"ITEM-1","itemData":{"DOI":"10.1057/biosoc.2012.3","ISSN":"1745-8552","author":[{"dropping-particle":"","family":"Calvert","given":"Jane","non-dropping-particle":"","parse-names":false,"suffix":""}],"container-title":"BioSocieties","id":"ITEM-1","issue":"2","issued":{"date-parts":[["2012","6","21"]]},"page":"169-187","title":"Ownership and sharing in synthetic biology: A ‘diverse ecology’ of the open and the proprietary?","type":"article-journal","volume":"7"},"uris":["http://www.mendeley.com/documents/?uuid=ef1d4b3d-f7db-4d56-b51c-b3455b75b2f6"]}],"mendeley":{"formattedCitation":"(Calvert, 2012)","plainTextFormattedCitation":"(Calvert, 2012)","previouslyFormattedCitation":"(Calvert, 2012)"},"properties":{"noteIndex":0},"schema":"https://github.com/citation-style-language/schema/raw/master/csl-citation.json"}</w:instrText>
      </w:r>
      <w:r w:rsidR="0029457D">
        <w:rPr>
          <w:rFonts w:ascii="Times New Roman" w:eastAsia="SimSun" w:hAnsi="Times New Roman" w:cs="Calibri"/>
          <w:color w:val="000000"/>
          <w:kern w:val="1"/>
          <w:lang w:eastAsia="hi-IN" w:bidi="hi-IN"/>
        </w:rPr>
        <w:fldChar w:fldCharType="separate"/>
      </w:r>
      <w:r w:rsidR="0029457D" w:rsidRPr="0029457D">
        <w:rPr>
          <w:rFonts w:ascii="Times New Roman" w:eastAsia="SimSun" w:hAnsi="Times New Roman" w:cs="Calibri"/>
          <w:noProof/>
          <w:color w:val="000000"/>
          <w:kern w:val="1"/>
          <w:lang w:eastAsia="hi-IN" w:bidi="hi-IN"/>
        </w:rPr>
        <w:t>(Calvert, 2012)</w:t>
      </w:r>
      <w:r w:rsidR="0029457D">
        <w:rPr>
          <w:rFonts w:ascii="Times New Roman" w:eastAsia="SimSun" w:hAnsi="Times New Roman" w:cs="Calibri"/>
          <w:color w:val="000000"/>
          <w:kern w:val="1"/>
          <w:lang w:eastAsia="hi-IN" w:bidi="hi-IN"/>
        </w:rPr>
        <w:fldChar w:fldCharType="end"/>
      </w:r>
      <w:r w:rsidRPr="00AB4B69">
        <w:rPr>
          <w:rFonts w:ascii="Times New Roman" w:eastAsia="SimSun" w:hAnsi="Times New Roman" w:cs="Calibri"/>
          <w:color w:val="000000"/>
          <w:kern w:val="1"/>
          <w:lang w:eastAsia="hi-IN" w:bidi="hi-IN"/>
        </w:rPr>
        <w:t xml:space="preserve">. In 2007, scientists at his institute applied for a “minimal bacterial genome” patent (Calvert 2012; Glass </w:t>
      </w:r>
      <w:r w:rsidRPr="702621BA">
        <w:rPr>
          <w:rFonts w:ascii="Times New Roman" w:eastAsia="SimSun" w:hAnsi="Times New Roman" w:cs="Calibri"/>
          <w:i/>
          <w:iCs/>
          <w:color w:val="000000"/>
          <w:kern w:val="1"/>
          <w:lang w:eastAsia="hi-IN" w:bidi="hi-IN"/>
        </w:rPr>
        <w:t>et al.</w:t>
      </w:r>
      <w:r w:rsidRPr="00AB4B69">
        <w:rPr>
          <w:rFonts w:ascii="Times New Roman" w:eastAsia="SimSun" w:hAnsi="Times New Roman" w:cs="Calibri"/>
          <w:color w:val="000000"/>
          <w:kern w:val="1"/>
          <w:lang w:eastAsia="hi-IN" w:bidi="hi-IN"/>
        </w:rPr>
        <w:t xml:space="preserve"> 2007). </w:t>
      </w:r>
      <w:r w:rsidR="00823626">
        <w:rPr>
          <w:rFonts w:ascii="Times New Roman" w:eastAsia="SimSun" w:hAnsi="Times New Roman" w:cs="Calibri"/>
          <w:color w:val="000000"/>
          <w:kern w:val="1"/>
          <w:lang w:eastAsia="hi-IN" w:bidi="hi-IN"/>
        </w:rPr>
        <w:t>Although ultimately abandoned,</w:t>
      </w:r>
      <w:r w:rsidRPr="00AB4B69">
        <w:rPr>
          <w:rFonts w:ascii="Times New Roman" w:eastAsia="SimSun" w:hAnsi="Times New Roman" w:cs="Calibri"/>
          <w:color w:val="000000"/>
          <w:kern w:val="1"/>
          <w:lang w:eastAsia="hi-IN" w:bidi="hi-IN"/>
        </w:rPr>
        <w:t xml:space="preserve"> NGOs and commentators expressed concern at </w:t>
      </w:r>
      <w:r w:rsidR="004E714A">
        <w:rPr>
          <w:rFonts w:ascii="Times New Roman" w:eastAsia="SimSun" w:hAnsi="Times New Roman" w:cs="Calibri"/>
          <w:color w:val="000000"/>
          <w:kern w:val="1"/>
          <w:lang w:eastAsia="hi-IN" w:bidi="hi-IN"/>
        </w:rPr>
        <w:t>the</w:t>
      </w:r>
      <w:r w:rsidRPr="00AB4B69">
        <w:rPr>
          <w:rFonts w:ascii="Times New Roman" w:eastAsia="SimSun" w:hAnsi="Times New Roman" w:cs="Calibri"/>
          <w:color w:val="000000"/>
          <w:kern w:val="1"/>
          <w:lang w:eastAsia="hi-IN" w:bidi="hi-IN"/>
        </w:rPr>
        <w:t xml:space="preserve"> breadth </w:t>
      </w:r>
      <w:r w:rsidR="004E714A">
        <w:rPr>
          <w:rFonts w:ascii="Times New Roman" w:eastAsia="SimSun" w:hAnsi="Times New Roman" w:cs="Calibri"/>
          <w:color w:val="000000"/>
          <w:kern w:val="1"/>
          <w:lang w:eastAsia="hi-IN" w:bidi="hi-IN"/>
        </w:rPr>
        <w:t>of its sweeping claims</w:t>
      </w:r>
      <w:r w:rsidRPr="00AB4B69">
        <w:rPr>
          <w:rFonts w:ascii="Times New Roman" w:eastAsia="SimSun" w:hAnsi="Times New Roman" w:cs="Calibri"/>
          <w:color w:val="000000"/>
          <w:kern w:val="1"/>
          <w:lang w:eastAsia="hi-IN" w:bidi="hi-IN"/>
        </w:rPr>
        <w:t xml:space="preserve"> </w:t>
      </w:r>
      <w:r w:rsidR="0029457D" w:rsidRPr="006460E4">
        <w:rPr>
          <w:rFonts w:ascii="Times New Roman" w:eastAsia="SimSun" w:hAnsi="Times New Roman" w:cs="Calibri"/>
          <w:color w:val="000000"/>
          <w:kern w:val="1"/>
          <w:lang w:eastAsia="hi-IN" w:bidi="hi-IN"/>
        </w:rPr>
        <w:fldChar w:fldCharType="begin" w:fldLock="1"/>
      </w:r>
      <w:r w:rsidR="006460E4" w:rsidRPr="006460E4">
        <w:rPr>
          <w:rFonts w:ascii="Times New Roman" w:eastAsia="SimSun" w:hAnsi="Times New Roman" w:cs="Calibri"/>
          <w:color w:val="000000"/>
          <w:kern w:val="1"/>
          <w:lang w:eastAsia="hi-IN" w:bidi="hi-IN"/>
        </w:rPr>
        <w:instrText>ADDIN CSL_CITATION {"citationItems":[{"id":"ITEM-1","itemData":{"author":[{"dropping-particle":"","family":"ETC Group","given":"","non-dropping-particle":"","parse-names":false,"suffix":""}],"id":"ITEM-1","issued":{"date-parts":[["2007"]]},"title":"Extreme Genetic Engineering: An Introduction to Synthetic Biology","type":"report"},"uris":["http://www.mendeley.com/documents/?uuid=5582781b-3bfe-4b76-9930-ff14f0e04883"]},{"id":"ITEM-2","itemData":{"author":[{"dropping-particle":"","family":"ETC Group","given":"","non-dropping-particle":"","parse-names":false,"suffix":""}],"id":"ITEM-2","issued":{"date-parts":[["2011"]]},"title":"Who Will Control the Green Economy?","type":"article"},"uris":["http://www.mendeley.com/documents/?uuid=426b237b-e33a-4888-9935-f0b1c47d88e2"]},{"id":"ITEM-3","itemData":{"DOI":"10.1057/biosoc.2012.3","ISSN":"1745-8552","author":[{"dropping-particle":"","family":"Calvert","given":"Jane","non-dropping-particle":"","parse-names":false,"suffix":""}],"container-title":"BioSocieties","id":"ITEM-3","issue":"2","issued":{"date-parts":[["2012","6","21"]]},"page":"169-187","title":"Ownership and sharing in synthetic biology: A ‘diverse ecology’ of the open and the proprietary?","type":"article-journal","volume":"7"},"uris":["http://www.mendeley.com/documents/?uuid=ef1d4b3d-f7db-4d56-b51c-b3455b75b2f6"]}],"mendeley":{"formattedCitation":"(Calvert, 2012; ETC Group, 2007b, 2011)","manualFormatting":"(Calvert, 2012; ETC Group, 2007, 2011)","plainTextFormattedCitation":"(Calvert, 2012; ETC Group, 2007b, 2011)","previouslyFormattedCitation":"(Calvert, 2012; ETC Group, 2007b, 2011)"},"properties":{"noteIndex":0},"schema":"https://github.com/citation-style-language/schema/raw/master/csl-citation.json"}</w:instrText>
      </w:r>
      <w:r w:rsidR="0029457D" w:rsidRPr="006460E4">
        <w:rPr>
          <w:rFonts w:ascii="Times New Roman" w:eastAsia="SimSun" w:hAnsi="Times New Roman" w:cs="Calibri"/>
          <w:color w:val="000000"/>
          <w:kern w:val="1"/>
          <w:lang w:eastAsia="hi-IN" w:bidi="hi-IN"/>
        </w:rPr>
        <w:fldChar w:fldCharType="separate"/>
      </w:r>
      <w:r w:rsidR="0029457D" w:rsidRPr="006460E4">
        <w:rPr>
          <w:rFonts w:ascii="Times New Roman" w:eastAsia="SimSun" w:hAnsi="Times New Roman" w:cs="Calibri"/>
          <w:noProof/>
          <w:color w:val="000000"/>
          <w:kern w:val="1"/>
          <w:lang w:eastAsia="hi-IN" w:bidi="hi-IN"/>
        </w:rPr>
        <w:t>(Calvert, 2012; ETC Group, 2007, 2011)</w:t>
      </w:r>
      <w:r w:rsidR="0029457D" w:rsidRPr="006460E4">
        <w:rPr>
          <w:rFonts w:ascii="Times New Roman" w:eastAsia="SimSun" w:hAnsi="Times New Roman" w:cs="Calibri"/>
          <w:color w:val="000000"/>
          <w:kern w:val="1"/>
          <w:lang w:eastAsia="hi-IN" w:bidi="hi-IN"/>
        </w:rPr>
        <w:fldChar w:fldCharType="end"/>
      </w:r>
      <w:r w:rsidR="0029457D" w:rsidRPr="006460E4">
        <w:rPr>
          <w:rFonts w:ascii="Times New Roman" w:eastAsia="SimSun" w:hAnsi="Times New Roman" w:cs="Calibri"/>
          <w:color w:val="000000"/>
          <w:kern w:val="1"/>
          <w:lang w:eastAsia="hi-IN" w:bidi="hi-IN"/>
        </w:rPr>
        <w:t xml:space="preserve"> </w:t>
      </w:r>
      <w:r w:rsidR="004E714A" w:rsidRPr="006460E4">
        <w:rPr>
          <w:rFonts w:ascii="Times New Roman" w:eastAsia="SimSun" w:hAnsi="Times New Roman" w:cs="Calibri"/>
          <w:color w:val="000000"/>
          <w:kern w:val="1"/>
          <w:lang w:eastAsia="hi-IN" w:bidi="hi-IN"/>
        </w:rPr>
        <w:t>particular</w:t>
      </w:r>
      <w:r w:rsidR="00E95C9D" w:rsidRPr="006460E4">
        <w:rPr>
          <w:rFonts w:ascii="Times New Roman" w:eastAsia="SimSun" w:hAnsi="Times New Roman" w:cs="Calibri"/>
          <w:color w:val="000000"/>
          <w:kern w:val="1"/>
          <w:lang w:eastAsia="hi-IN" w:bidi="hi-IN"/>
        </w:rPr>
        <w:t>l</w:t>
      </w:r>
      <w:r w:rsidR="004E714A" w:rsidRPr="006460E4">
        <w:rPr>
          <w:rFonts w:ascii="Times New Roman" w:eastAsia="SimSun" w:hAnsi="Times New Roman" w:cs="Calibri"/>
          <w:color w:val="000000"/>
          <w:kern w:val="1"/>
          <w:lang w:eastAsia="hi-IN" w:bidi="hi-IN"/>
        </w:rPr>
        <w:t xml:space="preserve">y </w:t>
      </w:r>
      <w:r w:rsidR="003445E4" w:rsidRPr="006460E4">
        <w:rPr>
          <w:rFonts w:ascii="Times New Roman" w:eastAsia="SimSun" w:hAnsi="Times New Roman" w:cs="Calibri"/>
          <w:color w:val="000000"/>
          <w:kern w:val="1"/>
          <w:lang w:eastAsia="hi-IN" w:bidi="hi-IN"/>
        </w:rPr>
        <w:t>in relation to</w:t>
      </w:r>
      <w:r w:rsidR="00823626" w:rsidRPr="006460E4">
        <w:rPr>
          <w:rFonts w:ascii="Times New Roman" w:eastAsia="SimSun" w:hAnsi="Times New Roman" w:cs="Calibri"/>
          <w:color w:val="000000"/>
          <w:kern w:val="1"/>
          <w:lang w:eastAsia="hi-IN" w:bidi="hi-IN"/>
        </w:rPr>
        <w:t xml:space="preserve"> </w:t>
      </w:r>
      <w:r w:rsidR="007B5919" w:rsidRPr="006460E4">
        <w:rPr>
          <w:rFonts w:ascii="Times New Roman" w:eastAsia="SimSun" w:hAnsi="Times New Roman" w:cs="Calibri"/>
          <w:color w:val="000000"/>
          <w:kern w:val="1"/>
          <w:lang w:eastAsia="hi-IN" w:bidi="hi-IN"/>
        </w:rPr>
        <w:t xml:space="preserve">creation of synthetic organisms for the production of biofuels like ethanol and hydrogen </w:t>
      </w:r>
      <w:r w:rsidR="006460E4" w:rsidRPr="006460E4">
        <w:rPr>
          <w:rFonts w:ascii="Times New Roman" w:eastAsia="SimSun" w:hAnsi="Times New Roman" w:cs="Calibri"/>
          <w:color w:val="000000"/>
          <w:kern w:val="1"/>
          <w:lang w:eastAsia="hi-IN" w:bidi="hi-IN"/>
        </w:rPr>
        <w:fldChar w:fldCharType="begin" w:fldLock="1"/>
      </w:r>
      <w:r w:rsidR="00A0536B">
        <w:rPr>
          <w:rFonts w:ascii="Times New Roman" w:eastAsia="SimSun" w:hAnsi="Times New Roman" w:cs="Calibri"/>
          <w:color w:val="000000"/>
          <w:kern w:val="1"/>
          <w:lang w:eastAsia="hi-IN" w:bidi="hi-IN"/>
        </w:rPr>
        <w:instrText>ADDIN CSL_CITATION {"citationItems":[{"id":"ITEM-1","itemData":{"DOI":"10.1007/s11693-012-9098-7","ISSN":"18725325","abstract":"The legal and moral issues that synthetic biology (SB) and its medical applications are likely to raise with regard to intellectual property (IP) and patenting are best approached through the lens of a theoretical framework highlighting the \"co-construction\" or \"co-evolution\" of patent law and technology. The current situation is characterized by a major contest between the so-called IP frame and the access-to-knowledge frame. In SB this contest is found in the contrasting approaches of Craig Venter's chassis school and the BioBricks school. The stakes in this contest are high as issues of global health and global justice are implied. Patents are not simply to be seen as neutral incentives, but must also be judged on their effects for access to essential medicines, a more balanced pattern of innovation and the widest possible social participation in innovative activity. We need moral imagination to design new institutional systems and new ways of practising SB that meet the new demands of global justice. © 2012 Springer Science+Business Media Dordrecht.","author":[{"dropping-particle":"","family":"Belt","given":"Henk","non-dropping-particle":"van den","parse-names":false,"suffix":""}],"container-title":"Systems and Synthetic Biology","id":"ITEM-1","issue":"3","issued":{"date-parts":[["2013"]]},"page":"87-98","title":"Synthetic biology, patenting, health and global justice","type":"article-journal","volume":"7"},"uris":["http://www.mendeley.com/documents/?uuid=89a61062-0e6a-4069-9f9c-670e0f5c4cc5"]}],"mendeley":{"formattedCitation":"(van den Belt, 2013)","plainTextFormattedCitation":"(van den Belt, 2013)","previouslyFormattedCitation":"(van den Belt, 2013)"},"properties":{"noteIndex":0},"schema":"https://github.com/citation-style-language/schema/raw/master/csl-citation.json"}</w:instrText>
      </w:r>
      <w:r w:rsidR="006460E4" w:rsidRPr="006460E4">
        <w:rPr>
          <w:rFonts w:ascii="Times New Roman" w:eastAsia="SimSun" w:hAnsi="Times New Roman" w:cs="Calibri"/>
          <w:color w:val="000000"/>
          <w:kern w:val="1"/>
          <w:lang w:eastAsia="hi-IN" w:bidi="hi-IN"/>
        </w:rPr>
        <w:fldChar w:fldCharType="separate"/>
      </w:r>
      <w:r w:rsidR="006460E4" w:rsidRPr="006460E4">
        <w:rPr>
          <w:rFonts w:ascii="Times New Roman" w:eastAsia="SimSun" w:hAnsi="Times New Roman" w:cs="Calibri"/>
          <w:noProof/>
          <w:color w:val="000000"/>
          <w:kern w:val="1"/>
          <w:lang w:eastAsia="hi-IN" w:bidi="hi-IN"/>
        </w:rPr>
        <w:t>(van den Belt, 2013)</w:t>
      </w:r>
      <w:r w:rsidR="006460E4" w:rsidRPr="006460E4">
        <w:rPr>
          <w:rFonts w:ascii="Times New Roman" w:eastAsia="SimSun" w:hAnsi="Times New Roman" w:cs="Calibri"/>
          <w:color w:val="000000"/>
          <w:kern w:val="1"/>
          <w:lang w:eastAsia="hi-IN" w:bidi="hi-IN"/>
        </w:rPr>
        <w:fldChar w:fldCharType="end"/>
      </w:r>
      <w:r w:rsidRPr="006460E4">
        <w:rPr>
          <w:rFonts w:ascii="Times New Roman" w:eastAsia="SimSun" w:hAnsi="Times New Roman" w:cs="Calibri"/>
          <w:color w:val="000000"/>
          <w:kern w:val="1"/>
          <w:lang w:eastAsia="hi-IN" w:bidi="hi-IN"/>
        </w:rPr>
        <w:t>. The other main model is the BioBrick system, modelled on open-source software. On the iGEM’s Registry of Standard Biological Parts, contributing researchers post their BioBrick parts (DNA-sequences that incorporate standardized sections) on pages accessible to the general public, which allows users to exchange parts</w:t>
      </w:r>
      <w:r w:rsidRPr="007651C5">
        <w:rPr>
          <w:rFonts w:ascii="Times New Roman" w:eastAsia="SimSun" w:hAnsi="Times New Roman" w:cs="Calibri"/>
          <w:color w:val="000000"/>
          <w:kern w:val="1"/>
          <w:lang w:eastAsia="hi-IN" w:bidi="hi-IN"/>
        </w:rPr>
        <w:t xml:space="preserve"> and share their experience. Following a simi</w:t>
      </w:r>
      <w:r w:rsidRPr="00C847CA">
        <w:rPr>
          <w:rFonts w:ascii="Times New Roman" w:eastAsia="SimSun" w:hAnsi="Times New Roman" w:cs="Calibri"/>
          <w:color w:val="000000"/>
          <w:kern w:val="1"/>
          <w:lang w:eastAsia="hi-IN" w:bidi="hi-IN"/>
        </w:rPr>
        <w:t>lar philos</w:t>
      </w:r>
      <w:r w:rsidRPr="00EB2EB3">
        <w:rPr>
          <w:rFonts w:ascii="Times New Roman" w:eastAsia="SimSun" w:hAnsi="Times New Roman" w:cs="Calibri"/>
          <w:color w:val="000000"/>
          <w:kern w:val="1"/>
          <w:lang w:eastAsia="hi-IN" w:bidi="hi-IN"/>
        </w:rPr>
        <w:t>ophy of exchange, the BioBricks Foundation has independently developed a BioBrick Public Agreement that is essentially a contractual agreement between “Users” and “Contributors” of parts. Contributors may hold patents on the parts, but they prom</w:t>
      </w:r>
      <w:r w:rsidRPr="00AB4B69">
        <w:rPr>
          <w:rFonts w:ascii="Times New Roman" w:eastAsia="SimSun" w:hAnsi="Times New Roman" w:cs="Calibri"/>
          <w:color w:val="000000"/>
          <w:kern w:val="1"/>
          <w:lang w:eastAsia="hi-IN" w:bidi="hi-IN"/>
        </w:rPr>
        <w:t xml:space="preserve">ise not to assert any present or future proprietary rights against Users. Unlike </w:t>
      </w:r>
      <w:r>
        <w:rPr>
          <w:rFonts w:ascii="Times New Roman" w:eastAsia="SimSun" w:hAnsi="Times New Roman" w:cs="Calibri"/>
          <w:color w:val="000000"/>
          <w:kern w:val="1"/>
          <w:lang w:eastAsia="hi-IN" w:bidi="hi-IN"/>
        </w:rPr>
        <w:t xml:space="preserve">copy-left </w:t>
      </w:r>
      <w:r w:rsidRPr="00AB4B69">
        <w:rPr>
          <w:rFonts w:ascii="Times New Roman" w:eastAsia="SimSun" w:hAnsi="Times New Roman" w:cs="Calibri"/>
          <w:color w:val="000000"/>
          <w:kern w:val="1"/>
          <w:lang w:eastAsia="hi-IN" w:bidi="hi-IN"/>
        </w:rPr>
        <w:t>open</w:t>
      </w:r>
      <w:r>
        <w:rPr>
          <w:rFonts w:ascii="Times New Roman" w:eastAsia="SimSun" w:hAnsi="Times New Roman" w:cs="Calibri"/>
          <w:color w:val="000000"/>
          <w:kern w:val="1"/>
          <w:lang w:eastAsia="hi-IN" w:bidi="hi-IN"/>
        </w:rPr>
        <w:t>-</w:t>
      </w:r>
      <w:r w:rsidRPr="00AB4B69">
        <w:rPr>
          <w:rFonts w:ascii="Times New Roman" w:eastAsia="SimSun" w:hAnsi="Times New Roman" w:cs="Calibri"/>
          <w:color w:val="000000"/>
          <w:kern w:val="1"/>
          <w:lang w:eastAsia="hi-IN" w:bidi="hi-IN"/>
        </w:rPr>
        <w:t xml:space="preserve">source software, Users have no obligation to openly share the devices or parts they make with the BioBricks. They can patent novel devices if they want to, meaning that they can build private, proprietary systems on the open platform </w:t>
      </w:r>
      <w:r w:rsidR="006460E4">
        <w:rPr>
          <w:rFonts w:ascii="Times New Roman" w:eastAsia="SimSun" w:hAnsi="Times New Roman" w:cs="Calibri"/>
          <w:color w:val="000000"/>
          <w:kern w:val="1"/>
          <w:lang w:eastAsia="hi-IN" w:bidi="hi-IN"/>
        </w:rPr>
        <w:fldChar w:fldCharType="begin" w:fldLock="1"/>
      </w:r>
      <w:r w:rsidR="006460E4">
        <w:rPr>
          <w:rFonts w:ascii="Times New Roman" w:eastAsia="SimSun" w:hAnsi="Times New Roman" w:cs="Calibri"/>
          <w:color w:val="000000"/>
          <w:kern w:val="1"/>
          <w:lang w:eastAsia="hi-IN" w:bidi="hi-IN"/>
        </w:rPr>
        <w:instrText>ADDIN CSL_CITATION {"citationItems":[{"id":"ITEM-1","itemData":{"DOI":"10.1057/biosoc.2012.3","ISSN":"1745-8552","author":[{"dropping-particle":"","family":"Calvert","given":"Jane","non-dropping-particle":"","parse-names":false,"suffix":""}],"container-title":"BioSocieties","id":"ITEM-1","issue":"2","issued":{"date-parts":[["2012","6","21"]]},"page":"169-187","title":"Ownership and sharing in synthetic biology: A ‘diverse ecology’ of the open and the proprietary?","type":"article-journal","volume":"7"},"uris":["http://www.mendeley.com/documents/?uuid=ef1d4b3d-f7db-4d56-b51c-b3455b75b2f6"]},{"id":"ITEM-2","itemData":{"URL":"https://biobricks.org/terms-of-use/","author":[{"dropping-particle":"","family":"BioBricks Foundation","given":"","non-dropping-particle":"","parse-names":false,"suffix":""}],"id":"ITEM-2","issued":{"date-parts":[["2021"]]},"title":"Terms of use","type":"webpage"},"uris":["http://www.mendeley.com/documents/?uuid=2af4de39-9bfb-4498-aad0-27beb971bda0"]}],"mendeley":{"formattedCitation":"(BioBricks Foundation, 2021; Calvert, 2012)","plainTextFormattedCitation":"(BioBricks Foundation, 2021; Calvert, 2012)","previouslyFormattedCitation":"(BioBricks Foundation, 2021; Calvert, 2012)"},"properties":{"noteIndex":0},"schema":"https://github.com/citation-style-language/schema/raw/master/csl-citation.json"}</w:instrText>
      </w:r>
      <w:r w:rsidR="006460E4">
        <w:rPr>
          <w:rFonts w:ascii="Times New Roman" w:eastAsia="SimSun" w:hAnsi="Times New Roman" w:cs="Calibri"/>
          <w:color w:val="000000"/>
          <w:kern w:val="1"/>
          <w:lang w:eastAsia="hi-IN" w:bidi="hi-IN"/>
        </w:rPr>
        <w:fldChar w:fldCharType="separate"/>
      </w:r>
      <w:r w:rsidR="006460E4" w:rsidRPr="006460E4">
        <w:rPr>
          <w:rFonts w:ascii="Times New Roman" w:eastAsia="SimSun" w:hAnsi="Times New Roman" w:cs="Calibri"/>
          <w:noProof/>
          <w:color w:val="000000"/>
          <w:kern w:val="1"/>
          <w:lang w:eastAsia="hi-IN" w:bidi="hi-IN"/>
        </w:rPr>
        <w:t>(BioBricks Foundation, 2021; Calvert, 2012)</w:t>
      </w:r>
      <w:r w:rsidR="006460E4">
        <w:rPr>
          <w:rFonts w:ascii="Times New Roman" w:eastAsia="SimSun" w:hAnsi="Times New Roman" w:cs="Calibri"/>
          <w:color w:val="000000"/>
          <w:kern w:val="1"/>
          <w:lang w:eastAsia="hi-IN" w:bidi="hi-IN"/>
        </w:rPr>
        <w:fldChar w:fldCharType="end"/>
      </w:r>
      <w:r w:rsidRPr="00AB4B69">
        <w:rPr>
          <w:rFonts w:ascii="Times New Roman" w:eastAsia="SimSun" w:hAnsi="Times New Roman" w:cs="Calibri"/>
          <w:color w:val="000000"/>
          <w:kern w:val="1"/>
          <w:lang w:eastAsia="hi-IN" w:bidi="hi-IN"/>
        </w:rPr>
        <w:t xml:space="preserve">. As in open-source software, proponents consider this approach as more likely to lead to innovation as well as furthering transparency and openness </w:t>
      </w:r>
      <w:r w:rsidR="00A0536B" w:rsidRPr="006460E4">
        <w:rPr>
          <w:rFonts w:ascii="Times New Roman" w:eastAsia="SimSun" w:hAnsi="Times New Roman" w:cs="Calibri"/>
          <w:color w:val="000000"/>
          <w:kern w:val="1"/>
          <w:lang w:eastAsia="hi-IN" w:bidi="hi-IN"/>
        </w:rPr>
        <w:fldChar w:fldCharType="begin" w:fldLock="1"/>
      </w:r>
      <w:r w:rsidR="00A0536B">
        <w:rPr>
          <w:rFonts w:ascii="Times New Roman" w:eastAsia="SimSun" w:hAnsi="Times New Roman" w:cs="Calibri"/>
          <w:color w:val="000000"/>
          <w:kern w:val="1"/>
          <w:lang w:eastAsia="hi-IN" w:bidi="hi-IN"/>
        </w:rPr>
        <w:instrText>ADDIN CSL_CITATION {"citationItems":[{"id":"ITEM-1","itemData":{"DOI":"10.1057/biosoc.2012.3","ISSN":"1745-8552","author":[{"dropping-particle":"","family":"Calvert","given":"Jane","non-dropping-particle":"","parse-names":false,"suffix":""}],"container-title":"BioSocieties","id":"ITEM-1","issue":"2","issued":{"date-parts":[["2012","6","21"]]},"page":"169-187","title":"Ownership and sharing in synthetic biology: A ‘diverse ecology’ of the open and the proprietary?","type":"article-journal","volume":"7"},"uris":["http://www.mendeley.com/documents/?uuid=ef1d4b3d-f7db-4d56-b51c-b3455b75b2f6"]},{"id":"ITEM-2","itemData":{"DOI":"10.1007/s11693-012-9098-7","ISSN":"18725325","abstract":"The legal and moral issues that synthetic biology (SB) and its medical applications are likely to raise with regard to intellectual property (IP) and patenting are best approached through the lens of a theoretical framework highlighting the \"co-construction\" or \"co-evolution\" of patent law and technology. The current situation is characterized by a major contest between the so-called IP frame and the access-to-knowledge frame. In SB this contest is found in the contrasting approaches of Craig Venter's chassis school and the BioBricks school. The stakes in this contest are high as issues of global health and global justice are implied. Patents are not simply to be seen as neutral incentives, but must also be judged on their effects for access to essential medicines, a more balanced pattern of innovation and the widest possible social participation in innovative activity. We need moral imagination to design new institutional systems and new ways of practising SB that meet the new demands of global justice. © 2012 Springer Science+Business Media Dordrecht.","author":[{"dropping-particle":"","family":"Belt","given":"Henk","non-dropping-particle":"van den","parse-names":false,"suffix":""}],"container-title":"Systems and Synthetic Biology","id":"ITEM-2","issue":"3","issued":{"date-parts":[["2013"]]},"page":"87-98","title":"Synthetic biology, patenting, health and global justice","type":"article-journal","volume":"7"},"uris":["http://www.mendeley.com/documents/?uuid=89a61062-0e6a-4069-9f9c-670e0f5c4cc5"]}],"mendeley":{"formattedCitation":"(Calvert, 2012; van den Belt, 2013)","plainTextFormattedCitation":"(Calvert, 2012; van den Belt, 2013)","previouslyFormattedCitation":"(Calvert, 2012; van den Belt, 2013)"},"properties":{"noteIndex":0},"schema":"https://github.com/citation-style-language/schema/raw/master/csl-citation.json"}</w:instrText>
      </w:r>
      <w:r w:rsidR="00A0536B" w:rsidRPr="006460E4">
        <w:rPr>
          <w:rFonts w:ascii="Times New Roman" w:eastAsia="SimSun" w:hAnsi="Times New Roman" w:cs="Calibri"/>
          <w:color w:val="000000"/>
          <w:kern w:val="1"/>
          <w:lang w:eastAsia="hi-IN" w:bidi="hi-IN"/>
        </w:rPr>
        <w:fldChar w:fldCharType="separate"/>
      </w:r>
      <w:r w:rsidR="00A0536B" w:rsidRPr="006460E4">
        <w:rPr>
          <w:rFonts w:ascii="Times New Roman" w:eastAsia="SimSun" w:hAnsi="Times New Roman" w:cs="Calibri"/>
          <w:noProof/>
          <w:color w:val="000000"/>
          <w:kern w:val="1"/>
          <w:lang w:eastAsia="hi-IN" w:bidi="hi-IN"/>
        </w:rPr>
        <w:t>(Calvert, 2012; van den Belt, 2013)</w:t>
      </w:r>
      <w:r w:rsidR="00A0536B" w:rsidRPr="006460E4">
        <w:rPr>
          <w:rFonts w:ascii="Times New Roman" w:eastAsia="SimSun" w:hAnsi="Times New Roman" w:cs="Calibri"/>
          <w:color w:val="000000"/>
          <w:kern w:val="1"/>
          <w:lang w:eastAsia="hi-IN" w:bidi="hi-IN"/>
        </w:rPr>
        <w:fldChar w:fldCharType="end"/>
      </w:r>
      <w:r w:rsidRPr="00AB4B69">
        <w:rPr>
          <w:rFonts w:ascii="Times New Roman" w:eastAsia="SimSun" w:hAnsi="Times New Roman" w:cs="Calibri"/>
          <w:color w:val="000000"/>
          <w:kern w:val="1"/>
          <w:lang w:eastAsia="hi-IN" w:bidi="hi-IN"/>
        </w:rPr>
        <w:t>.</w:t>
      </w:r>
      <w:r w:rsidR="006A37A9">
        <w:rPr>
          <w:rFonts w:ascii="Times New Roman" w:eastAsia="SimSun" w:hAnsi="Times New Roman" w:cs="Calibri"/>
          <w:color w:val="000000"/>
          <w:kern w:val="1"/>
          <w:lang w:eastAsia="hi-IN" w:bidi="hi-IN"/>
        </w:rPr>
        <w:t xml:space="preserve"> </w:t>
      </w:r>
      <w:r w:rsidR="00C95009">
        <w:rPr>
          <w:rFonts w:ascii="Times New Roman" w:eastAsia="SimSun" w:hAnsi="Times New Roman" w:cs="Calibri"/>
          <w:color w:val="000000"/>
          <w:kern w:val="1"/>
          <w:lang w:eastAsia="hi-IN" w:bidi="hi-IN"/>
        </w:rPr>
        <w:t>Additionally, i</w:t>
      </w:r>
      <w:r w:rsidR="006A37A9">
        <w:rPr>
          <w:rFonts w:ascii="Times New Roman" w:eastAsia="SimSun" w:hAnsi="Times New Roman" w:cs="Calibri"/>
          <w:color w:val="000000"/>
          <w:kern w:val="1"/>
          <w:lang w:eastAsia="hi-IN" w:bidi="hi-IN"/>
        </w:rPr>
        <w:t xml:space="preserve">n 2018 </w:t>
      </w:r>
      <w:r w:rsidR="00C95009">
        <w:rPr>
          <w:rFonts w:ascii="Times New Roman" w:eastAsia="SimSun" w:hAnsi="Times New Roman" w:cs="Calibri"/>
          <w:color w:val="000000"/>
          <w:kern w:val="1"/>
          <w:lang w:eastAsia="hi-IN" w:bidi="hi-IN"/>
        </w:rPr>
        <w:t xml:space="preserve">the </w:t>
      </w:r>
      <w:r w:rsidR="006A37A9" w:rsidRPr="00AB4B69">
        <w:rPr>
          <w:rFonts w:ascii="Times New Roman" w:eastAsia="SimSun" w:hAnsi="Times New Roman" w:cs="Calibri"/>
          <w:color w:val="000000"/>
          <w:kern w:val="1"/>
          <w:lang w:eastAsia="hi-IN" w:bidi="hi-IN"/>
        </w:rPr>
        <w:t xml:space="preserve">BioBricks Foundation </w:t>
      </w:r>
      <w:r w:rsidR="00C95009">
        <w:rPr>
          <w:rFonts w:ascii="Times New Roman" w:eastAsia="SimSun" w:hAnsi="Times New Roman" w:cs="Calibri"/>
          <w:color w:val="000000"/>
          <w:kern w:val="1"/>
          <w:lang w:eastAsia="hi-IN" w:bidi="hi-IN"/>
        </w:rPr>
        <w:t xml:space="preserve">launched </w:t>
      </w:r>
      <w:r w:rsidR="000F0C0C">
        <w:rPr>
          <w:rFonts w:ascii="Times New Roman" w:eastAsia="SimSun" w:hAnsi="Times New Roman" w:cs="Calibri"/>
          <w:color w:val="000000"/>
          <w:kern w:val="1"/>
          <w:lang w:eastAsia="hi-IN" w:bidi="hi-IN"/>
        </w:rPr>
        <w:t xml:space="preserve">the Open </w:t>
      </w:r>
      <w:r w:rsidR="00416716" w:rsidRPr="00416716">
        <w:rPr>
          <w:rFonts w:ascii="Times New Roman" w:eastAsia="SimSun" w:hAnsi="Times New Roman" w:cs="Calibri"/>
          <w:color w:val="000000"/>
          <w:kern w:val="1"/>
          <w:lang w:eastAsia="hi-IN" w:bidi="hi-IN"/>
        </w:rPr>
        <w:t xml:space="preserve">Material Transfer Agreement (OpenMTA) </w:t>
      </w:r>
      <w:r w:rsidR="00C95009">
        <w:rPr>
          <w:rFonts w:ascii="Times New Roman" w:eastAsia="SimSun" w:hAnsi="Times New Roman" w:cs="Calibri"/>
          <w:color w:val="000000"/>
          <w:kern w:val="1"/>
          <w:lang w:eastAsia="hi-IN" w:bidi="hi-IN"/>
        </w:rPr>
        <w:t>as</w:t>
      </w:r>
      <w:r w:rsidR="00416716" w:rsidRPr="00416716">
        <w:rPr>
          <w:rFonts w:ascii="Times New Roman" w:eastAsia="SimSun" w:hAnsi="Times New Roman" w:cs="Calibri"/>
          <w:color w:val="000000"/>
          <w:kern w:val="1"/>
          <w:lang w:eastAsia="hi-IN" w:bidi="hi-IN"/>
        </w:rPr>
        <w:t xml:space="preserve"> a simple standardi</w:t>
      </w:r>
      <w:r w:rsidR="008922FD">
        <w:rPr>
          <w:rFonts w:ascii="Times New Roman" w:eastAsia="SimSun" w:hAnsi="Times New Roman" w:cs="Calibri"/>
          <w:color w:val="000000"/>
          <w:kern w:val="1"/>
          <w:lang w:eastAsia="hi-IN" w:bidi="hi-IN"/>
        </w:rPr>
        <w:t>s</w:t>
      </w:r>
      <w:r w:rsidR="00416716" w:rsidRPr="00416716">
        <w:rPr>
          <w:rFonts w:ascii="Times New Roman" w:eastAsia="SimSun" w:hAnsi="Times New Roman" w:cs="Calibri"/>
          <w:color w:val="000000"/>
          <w:kern w:val="1"/>
          <w:lang w:eastAsia="hi-IN" w:bidi="hi-IN"/>
        </w:rPr>
        <w:t xml:space="preserve">ed legal tool </w:t>
      </w:r>
      <w:r w:rsidR="000F0C0C">
        <w:rPr>
          <w:rFonts w:ascii="Times New Roman" w:eastAsia="SimSun" w:hAnsi="Times New Roman" w:cs="Calibri"/>
          <w:color w:val="000000"/>
          <w:kern w:val="1"/>
          <w:lang w:eastAsia="hi-IN" w:bidi="hi-IN"/>
        </w:rPr>
        <w:t>intended</w:t>
      </w:r>
      <w:r w:rsidR="00416716" w:rsidRPr="00416716">
        <w:rPr>
          <w:rFonts w:ascii="Times New Roman" w:eastAsia="SimSun" w:hAnsi="Times New Roman" w:cs="Calibri"/>
          <w:color w:val="000000"/>
          <w:kern w:val="1"/>
          <w:lang w:eastAsia="hi-IN" w:bidi="hi-IN"/>
        </w:rPr>
        <w:t xml:space="preserve"> to </w:t>
      </w:r>
      <w:r w:rsidR="000F0C0C">
        <w:rPr>
          <w:rFonts w:ascii="Times New Roman" w:eastAsia="SimSun" w:hAnsi="Times New Roman" w:cs="Calibri"/>
          <w:color w:val="000000"/>
          <w:kern w:val="1"/>
          <w:lang w:eastAsia="hi-IN" w:bidi="hi-IN"/>
        </w:rPr>
        <w:t xml:space="preserve">facilitate </w:t>
      </w:r>
      <w:r w:rsidR="00416716" w:rsidRPr="00416716">
        <w:rPr>
          <w:rFonts w:ascii="Times New Roman" w:eastAsia="SimSun" w:hAnsi="Times New Roman" w:cs="Calibri"/>
          <w:color w:val="000000"/>
          <w:kern w:val="1"/>
          <w:lang w:eastAsia="hi-IN" w:bidi="hi-IN"/>
        </w:rPr>
        <w:t>shar</w:t>
      </w:r>
      <w:r w:rsidR="000F0C0C">
        <w:rPr>
          <w:rFonts w:ascii="Times New Roman" w:eastAsia="SimSun" w:hAnsi="Times New Roman" w:cs="Calibri"/>
          <w:color w:val="000000"/>
          <w:kern w:val="1"/>
          <w:lang w:eastAsia="hi-IN" w:bidi="hi-IN"/>
        </w:rPr>
        <w:t>ing</w:t>
      </w:r>
      <w:r w:rsidR="00416716" w:rsidRPr="00416716">
        <w:rPr>
          <w:rFonts w:ascii="Times New Roman" w:eastAsia="SimSun" w:hAnsi="Times New Roman" w:cs="Calibri"/>
          <w:color w:val="000000"/>
          <w:kern w:val="1"/>
          <w:lang w:eastAsia="hi-IN" w:bidi="hi-IN"/>
        </w:rPr>
        <w:t xml:space="preserve"> </w:t>
      </w:r>
      <w:r w:rsidR="00954C58">
        <w:rPr>
          <w:rFonts w:ascii="Times New Roman" w:eastAsia="SimSun" w:hAnsi="Times New Roman" w:cs="Calibri"/>
          <w:color w:val="000000"/>
          <w:kern w:val="1"/>
          <w:lang w:eastAsia="hi-IN" w:bidi="hi-IN"/>
        </w:rPr>
        <w:t>of bio</w:t>
      </w:r>
      <w:r w:rsidR="00D647A5">
        <w:rPr>
          <w:rFonts w:ascii="Times New Roman" w:eastAsia="SimSun" w:hAnsi="Times New Roman" w:cs="Calibri"/>
          <w:color w:val="000000"/>
          <w:kern w:val="1"/>
          <w:lang w:eastAsia="hi-IN" w:bidi="hi-IN"/>
        </w:rPr>
        <w:t>-</w:t>
      </w:r>
      <w:r w:rsidR="00416716" w:rsidRPr="00416716">
        <w:rPr>
          <w:rFonts w:ascii="Times New Roman" w:eastAsia="SimSun" w:hAnsi="Times New Roman" w:cs="Calibri"/>
          <w:color w:val="000000"/>
          <w:kern w:val="1"/>
          <w:lang w:eastAsia="hi-IN" w:bidi="hi-IN"/>
        </w:rPr>
        <w:t>materials on an open basis</w:t>
      </w:r>
      <w:r w:rsidR="000F0C0C">
        <w:rPr>
          <w:rFonts w:ascii="Times New Roman" w:eastAsia="SimSun" w:hAnsi="Times New Roman" w:cs="Calibri"/>
          <w:color w:val="000000"/>
          <w:kern w:val="1"/>
          <w:lang w:eastAsia="hi-IN" w:bidi="hi-IN"/>
        </w:rPr>
        <w:t xml:space="preserve"> by </w:t>
      </w:r>
      <w:r w:rsidR="00954C58">
        <w:rPr>
          <w:rFonts w:ascii="Times New Roman" w:eastAsia="SimSun" w:hAnsi="Times New Roman" w:cs="Calibri"/>
          <w:color w:val="000000"/>
          <w:kern w:val="1"/>
          <w:lang w:eastAsia="hi-IN" w:bidi="hi-IN"/>
        </w:rPr>
        <w:t xml:space="preserve">researchers, institutions and broader communities, by relaxing restrictions on redistribution and commercial use </w:t>
      </w:r>
      <w:r w:rsidR="006460E4">
        <w:rPr>
          <w:rFonts w:ascii="Times New Roman" w:eastAsia="SimSun" w:hAnsi="Times New Roman" w:cs="Calibri"/>
          <w:color w:val="000000"/>
          <w:kern w:val="1"/>
          <w:lang w:eastAsia="hi-IN" w:bidi="hi-IN"/>
        </w:rPr>
        <w:fldChar w:fldCharType="begin" w:fldLock="1"/>
      </w:r>
      <w:r w:rsidR="006460E4">
        <w:rPr>
          <w:rFonts w:ascii="Times New Roman" w:eastAsia="SimSun" w:hAnsi="Times New Roman" w:cs="Calibri"/>
          <w:color w:val="000000"/>
          <w:kern w:val="1"/>
          <w:lang w:eastAsia="hi-IN" w:bidi="hi-IN"/>
        </w:rPr>
        <w:instrText>ADDIN CSL_CITATION {"citationItems":[{"id":"ITEM-1","itemData":{"DOI":"10.1038/nbt.4263","ISSN":"15461696","PMID":"30307930","abstract":"The Open Material Transfer Agreement is a material-transfer agreement that enables broader sharing and use of biological materials by biotechnology practitioners working within the practical realities of technology transfer.","author":[{"dropping-particle":"","family":"Kahl","given":"Linda","non-dropping-particle":"","parse-names":false,"suffix":""},{"dropping-particle":"","family":"Molloy","given":"Jennifer","non-dropping-particle":"","parse-names":false,"suffix":""},{"dropping-particle":"","family":"Patron","given":"Nicola","non-dropping-particle":"","parse-names":false,"suffix":""},{"dropping-particle":"","family":"Matthewman","given":"Colette","non-dropping-particle":"","parse-names":false,"suffix":""},{"dropping-particle":"","family":"Haseloff","given":"Jim","non-dropping-particle":"","parse-names":false,"suffix":""},{"dropping-particle":"","family":"Grewal","given":"David","non-dropping-particle":"","parse-names":false,"suffix":""},{"dropping-particle":"","family":"Johnson","given":"Richard","non-dropping-particle":"","parse-names":false,"suffix":""},{"dropping-particle":"","family":"Endy","given":"Drew","non-dropping-particle":"","parse-names":false,"suffix":""}],"container-title":"Nature Biotechnology","id":"ITEM-1","issue":"10","issued":{"date-parts":[["2018"]]},"page":"923-927","publisher":"Nature Publishing Group","title":"Opening options for material transfer","type":"article","volume":"36"},"uris":["http://www.mendeley.com/documents/?uuid=7be3ac75-85fb-425f-969c-9e6bdc98aa3b"]}],"mendeley":{"formattedCitation":"(Kahl et al., 2018)","plainTextFormattedCitation":"(Kahl et al., 2018)","previouslyFormattedCitation":"(Kahl et al., 2018)"},"properties":{"noteIndex":0},"schema":"https://github.com/citation-style-language/schema/raw/master/csl-citation.json"}</w:instrText>
      </w:r>
      <w:r w:rsidR="006460E4">
        <w:rPr>
          <w:rFonts w:ascii="Times New Roman" w:eastAsia="SimSun" w:hAnsi="Times New Roman" w:cs="Calibri"/>
          <w:color w:val="000000"/>
          <w:kern w:val="1"/>
          <w:lang w:eastAsia="hi-IN" w:bidi="hi-IN"/>
        </w:rPr>
        <w:fldChar w:fldCharType="separate"/>
      </w:r>
      <w:r w:rsidR="006460E4" w:rsidRPr="006460E4">
        <w:rPr>
          <w:rFonts w:ascii="Times New Roman" w:eastAsia="SimSun" w:hAnsi="Times New Roman" w:cs="Calibri"/>
          <w:noProof/>
          <w:color w:val="000000"/>
          <w:kern w:val="1"/>
          <w:lang w:eastAsia="hi-IN" w:bidi="hi-IN"/>
        </w:rPr>
        <w:t>(Kahl et al., 2018)</w:t>
      </w:r>
      <w:r w:rsidR="006460E4">
        <w:rPr>
          <w:rFonts w:ascii="Times New Roman" w:eastAsia="SimSun" w:hAnsi="Times New Roman" w:cs="Calibri"/>
          <w:color w:val="000000"/>
          <w:kern w:val="1"/>
          <w:lang w:eastAsia="hi-IN" w:bidi="hi-IN"/>
        </w:rPr>
        <w:fldChar w:fldCharType="end"/>
      </w:r>
      <w:r w:rsidR="000F0C0C">
        <w:rPr>
          <w:rFonts w:ascii="Times New Roman" w:eastAsia="SimSun" w:hAnsi="Times New Roman" w:cs="Calibri"/>
          <w:color w:val="000000"/>
          <w:kern w:val="1"/>
          <w:lang w:eastAsia="hi-IN" w:bidi="hi-IN"/>
        </w:rPr>
        <w:t>.</w:t>
      </w:r>
    </w:p>
    <w:p w14:paraId="00D5CB4E" w14:textId="76AD2EAE" w:rsidR="00855A76" w:rsidRDefault="00855A76" w:rsidP="00855A76">
      <w:pPr>
        <w:suppressAutoHyphens/>
        <w:autoSpaceDE w:val="0"/>
        <w:spacing w:before="120" w:after="120" w:line="240" w:lineRule="auto"/>
        <w:jc w:val="both"/>
        <w:rPr>
          <w:rFonts w:ascii="Times New Roman" w:eastAsia="SimSun" w:hAnsi="Times New Roman" w:cs="Calibri"/>
          <w:color w:val="000000"/>
          <w:kern w:val="1"/>
          <w:lang w:eastAsia="hi-IN" w:bidi="hi-IN"/>
        </w:rPr>
      </w:pPr>
      <w:r w:rsidRPr="00AB4B69">
        <w:rPr>
          <w:rFonts w:ascii="Times New Roman" w:eastAsia="SimSun" w:hAnsi="Times New Roman" w:cs="Calibri"/>
          <w:color w:val="000000"/>
          <w:kern w:val="1"/>
          <w:lang w:eastAsia="hi-IN" w:bidi="hi-IN"/>
        </w:rPr>
        <w:t xml:space="preserve">IP regimes for synthetic biology could have a variety of impacts on biodiversity and related considerations. In the USA, each patent application costs $10,000 </w:t>
      </w:r>
      <w:r w:rsidR="00A0536B">
        <w:rPr>
          <w:rFonts w:ascii="Times New Roman" w:eastAsia="SimSun" w:hAnsi="Times New Roman" w:cs="Calibri"/>
          <w:color w:val="000000"/>
          <w:kern w:val="1"/>
          <w:lang w:eastAsia="hi-IN" w:bidi="hi-IN"/>
        </w:rPr>
        <w:fldChar w:fldCharType="begin" w:fldLock="1"/>
      </w:r>
      <w:r w:rsidR="00A0536B">
        <w:rPr>
          <w:rFonts w:ascii="Times New Roman" w:eastAsia="SimSun" w:hAnsi="Times New Roman" w:cs="Calibri"/>
          <w:color w:val="000000"/>
          <w:kern w:val="1"/>
          <w:lang w:eastAsia="hi-IN" w:bidi="hi-IN"/>
        </w:rPr>
        <w:instrText>ADDIN CSL_CITATION {"citationItems":[{"id":"ITEM-1","itemData":{"DOI":"10.1038/msb4100161","ISSN":"1744-4292","author":[{"dropping-particle":"","family":"Henkel","given":"Joachim","non-dropping-particle":"","parse-names":false,"suffix":""},{"dropping-particle":"","family":"Maurer","given":"Stephen M","non-dropping-particle":"","parse-names":false,"suffix":""}],"container-title":"Molecular Systems Biology","id":"ITEM-1","issue":"1","issued":{"date-parts":[["2007","1","5"]]},"page":"117","title":"The economics of synthetic biology","type":"article-journal","volume":"3"},"uris":["http://www.mendeley.com/documents/?uuid=3b3fcec0-f770-4c72-b243-3ccb3bd152ed"]}],"mendeley":{"formattedCitation":"(Henkel &amp; Maurer, 2007)","plainTextFormattedCitation":"(Henkel &amp; Maurer, 2007)","previouslyFormattedCitation":"(Henkel &amp; Maurer, 2007)"},"properties":{"noteIndex":0},"schema":"https://github.com/citation-style-language/schema/raw/master/csl-citation.json"}</w:instrText>
      </w:r>
      <w:r w:rsidR="00A0536B">
        <w:rPr>
          <w:rFonts w:ascii="Times New Roman" w:eastAsia="SimSun" w:hAnsi="Times New Roman" w:cs="Calibri"/>
          <w:color w:val="000000"/>
          <w:kern w:val="1"/>
          <w:lang w:eastAsia="hi-IN" w:bidi="hi-IN"/>
        </w:rPr>
        <w:fldChar w:fldCharType="separate"/>
      </w:r>
      <w:r w:rsidR="00A0536B" w:rsidRPr="00A0536B">
        <w:rPr>
          <w:rFonts w:ascii="Times New Roman" w:eastAsia="SimSun" w:hAnsi="Times New Roman" w:cs="Calibri"/>
          <w:noProof/>
          <w:color w:val="000000"/>
          <w:kern w:val="1"/>
          <w:lang w:eastAsia="hi-IN" w:bidi="hi-IN"/>
        </w:rPr>
        <w:t>(Henkel &amp; Maurer, 2007)</w:t>
      </w:r>
      <w:r w:rsidR="00A0536B">
        <w:rPr>
          <w:rFonts w:ascii="Times New Roman" w:eastAsia="SimSun" w:hAnsi="Times New Roman" w:cs="Calibri"/>
          <w:color w:val="000000"/>
          <w:kern w:val="1"/>
          <w:lang w:eastAsia="hi-IN" w:bidi="hi-IN"/>
        </w:rPr>
        <w:fldChar w:fldCharType="end"/>
      </w:r>
      <w:r w:rsidRPr="00AB4B69">
        <w:rPr>
          <w:rFonts w:ascii="Times New Roman" w:eastAsia="SimSun" w:hAnsi="Times New Roman" w:cs="Calibri"/>
          <w:color w:val="000000"/>
          <w:kern w:val="1"/>
          <w:lang w:eastAsia="hi-IN" w:bidi="hi-IN"/>
        </w:rPr>
        <w:t xml:space="preserve">. If patenting becomes established as the necessary method of claiming of </w:t>
      </w:r>
      <w:r w:rsidR="0083656F">
        <w:rPr>
          <w:rFonts w:ascii="Times New Roman" w:eastAsia="SimSun" w:hAnsi="Times New Roman" w:cs="Calibri"/>
          <w:color w:val="000000"/>
          <w:kern w:val="1"/>
          <w:lang w:eastAsia="hi-IN" w:bidi="hi-IN"/>
        </w:rPr>
        <w:t>IP</w:t>
      </w:r>
      <w:r w:rsidRPr="00AB4B69">
        <w:rPr>
          <w:rFonts w:ascii="Times New Roman" w:eastAsia="SimSun" w:hAnsi="Times New Roman" w:cs="Calibri"/>
          <w:color w:val="000000"/>
          <w:kern w:val="1"/>
          <w:lang w:eastAsia="hi-IN" w:bidi="hi-IN"/>
        </w:rPr>
        <w:t xml:space="preserve"> rights on synthetic biology</w:t>
      </w:r>
      <w:r w:rsidRPr="00D90D83">
        <w:rPr>
          <w:rFonts w:ascii="Times New Roman" w:eastAsia="SimSun" w:hAnsi="Times New Roman" w:cs="Calibri"/>
          <w:color w:val="000000"/>
          <w:kern w:val="1"/>
          <w:lang w:eastAsia="hi-IN" w:bidi="hi-IN"/>
        </w:rPr>
        <w:t>, the high cost could influence the kinds of applications of synthetic biology that are pursued (high profit applications targeting wealthy populations), as well as the types of organi</w:t>
      </w:r>
      <w:r>
        <w:rPr>
          <w:rFonts w:ascii="Times New Roman" w:eastAsia="SimSun" w:hAnsi="Times New Roman" w:cs="Calibri"/>
          <w:color w:val="000000"/>
          <w:kern w:val="1"/>
          <w:lang w:eastAsia="hi-IN" w:bidi="hi-IN"/>
        </w:rPr>
        <w:t>s</w:t>
      </w:r>
      <w:r w:rsidRPr="00D90D83">
        <w:rPr>
          <w:rFonts w:ascii="Times New Roman" w:eastAsia="SimSun" w:hAnsi="Times New Roman" w:cs="Calibri"/>
          <w:color w:val="000000"/>
          <w:kern w:val="1"/>
          <w:lang w:eastAsia="hi-IN" w:bidi="hi-IN"/>
        </w:rPr>
        <w:t>ations</w:t>
      </w:r>
      <w:r w:rsidRPr="001837E9">
        <w:rPr>
          <w:rFonts w:ascii="Times New Roman" w:eastAsia="SimSun" w:hAnsi="Times New Roman" w:cs="Calibri"/>
          <w:color w:val="000000"/>
          <w:kern w:val="1"/>
          <w:lang w:eastAsia="hi-IN" w:bidi="hi-IN"/>
        </w:rPr>
        <w:t xml:space="preserve"> (continui</w:t>
      </w:r>
      <w:r w:rsidRPr="007651C5">
        <w:rPr>
          <w:rFonts w:ascii="Times New Roman" w:eastAsia="SimSun" w:hAnsi="Times New Roman" w:cs="Calibri"/>
          <w:color w:val="000000"/>
          <w:kern w:val="1"/>
          <w:lang w:eastAsia="hi-IN" w:bidi="hi-IN"/>
        </w:rPr>
        <w:t xml:space="preserve">ng concentration of ownership and control in large transnational corporations) </w:t>
      </w:r>
      <w:r w:rsidR="00A0536B">
        <w:rPr>
          <w:rFonts w:ascii="Times New Roman" w:eastAsia="SimSun" w:hAnsi="Times New Roman" w:cs="Calibri"/>
          <w:color w:val="000000"/>
          <w:kern w:val="1"/>
          <w:lang w:eastAsia="hi-IN" w:bidi="hi-IN"/>
        </w:rPr>
        <w:fldChar w:fldCharType="begin" w:fldLock="1"/>
      </w:r>
      <w:r w:rsidR="00902F97">
        <w:rPr>
          <w:rFonts w:ascii="Times New Roman" w:eastAsia="SimSun" w:hAnsi="Times New Roman" w:cs="Calibri"/>
          <w:color w:val="000000"/>
          <w:kern w:val="1"/>
          <w:lang w:eastAsia="hi-IN" w:bidi="hi-IN"/>
        </w:rPr>
        <w:instrText>ADDIN CSL_CITATION {"citationItems":[{"id":"ITEM-1","itemData":{"author":[{"dropping-particle":"","family":"(ICSWGSB)","given":"International Civil Society Working Groupon Synthetic Biology","non-dropping-particle":"","parse-names":false,"suffix":""}],"id":"ITEM-1","issued":{"date-parts":[["2011"]]},"title":"A Submission to the Convention on Biological Diversity's Subsidiary Body on Scientific, Technical and Technological Advice (SBSTTA) on the Potential Impacts of Synthetic Biology on the Conservation and Use of Synthetic Biology","type":"article"},"uris":["http://www.mendeley.com/documents/?uuid=1a15b596-7daf-4917-9f7d-1f7d91697ef6"]},{"id":"ITEM-2","itemData":{"author":[{"dropping-particle":"","family":"ETC Group","given":"","non-dropping-particle":"","parse-names":false,"suffix":""}],"id":"ITEM-2","issued":{"date-parts":[["2007"]]},"title":"Extreme Genetic Engineering: An Introduction to Synthetic Biology","type":"report"},"uris":["http://www.mendeley.com/documents/?uuid=5582781b-3bfe-4b76-9930-ff14f0e04883"]},{"id":"ITEM-3","itemData":{"DOI":"10.1371/journal.pbio.1001530","ISSN":"1545-7885","author":[{"dropping-particle":"","family":"Redford","given":"Kent H.","non-dropping-particle":"","parse-names":false,"suffix":""},{"dropping-particle":"","family":"Adams","given":"William","non-dropping-particle":"","parse-names":false,"suffix":""},{"dropping-particle":"","family":"Mace","given":"Georgina M.","non-dropping-particle":"","parse-names":false,"suffix":""}],"container-title":"PLoS Biology","id":"ITEM-3","issue":"4","issued":{"date-parts":[["2013","4","2"]]},"page":"e1001530","title":"Synthetic Biology and Conservation of Nature: Wicked Problems and Wicked Solutions","type":"article-journal","volume":"11"},"uris":["http://www.mendeley.com/documents/?uuid=fa176fff-56a2-4e83-b4d9-af67191a4d9a"]}],"mendeley":{"formattedCitation":"((ICSWGSB), 2011; ETC Group, 2007b; Redford et al., 2013)","manualFormatting":"(ICSWGSB, 2011; ETC Group, 2007; Redford et al., 2013)","plainTextFormattedCitation":"((ICSWGSB), 2011; ETC Group, 2007b; Redford et al., 2013)","previouslyFormattedCitation":"((ICSWGSB), 2011; ETC Group, 2007b; Redford et al., 2013)"},"properties":{"noteIndex":0},"schema":"https://github.com/citation-style-language/schema/raw/master/csl-citation.json"}</w:instrText>
      </w:r>
      <w:r w:rsidR="00A0536B">
        <w:rPr>
          <w:rFonts w:ascii="Times New Roman" w:eastAsia="SimSun" w:hAnsi="Times New Roman" w:cs="Calibri"/>
          <w:color w:val="000000"/>
          <w:kern w:val="1"/>
          <w:lang w:eastAsia="hi-IN" w:bidi="hi-IN"/>
        </w:rPr>
        <w:fldChar w:fldCharType="separate"/>
      </w:r>
      <w:r w:rsidR="00A0536B" w:rsidRPr="00A0536B">
        <w:rPr>
          <w:rFonts w:ascii="Times New Roman" w:eastAsia="SimSun" w:hAnsi="Times New Roman" w:cs="Calibri"/>
          <w:noProof/>
          <w:color w:val="000000"/>
          <w:kern w:val="1"/>
          <w:lang w:eastAsia="hi-IN" w:bidi="hi-IN"/>
        </w:rPr>
        <w:t>(ICSWGSB, 2011; ETC Group, 2007; Redford et al., 2013)</w:t>
      </w:r>
      <w:r w:rsidR="00A0536B">
        <w:rPr>
          <w:rFonts w:ascii="Times New Roman" w:eastAsia="SimSun" w:hAnsi="Times New Roman" w:cs="Calibri"/>
          <w:color w:val="000000"/>
          <w:kern w:val="1"/>
          <w:lang w:eastAsia="hi-IN" w:bidi="hi-IN"/>
        </w:rPr>
        <w:fldChar w:fldCharType="end"/>
      </w:r>
      <w:r w:rsidRPr="00EB2EB3">
        <w:rPr>
          <w:rFonts w:ascii="Times New Roman" w:eastAsia="SimSun" w:hAnsi="Times New Roman" w:cs="Calibri"/>
          <w:color w:val="000000"/>
          <w:kern w:val="1"/>
          <w:lang w:eastAsia="hi-IN" w:bidi="hi-IN"/>
        </w:rPr>
        <w:t>. If patent “thickets” form in certain areas of synthetic biology applications, this could also restrict its accessibility by less w</w:t>
      </w:r>
      <w:r w:rsidRPr="00AB4B69">
        <w:rPr>
          <w:rFonts w:ascii="Times New Roman" w:eastAsia="SimSun" w:hAnsi="Times New Roman" w:cs="Calibri"/>
          <w:color w:val="000000"/>
          <w:kern w:val="1"/>
          <w:lang w:eastAsia="hi-IN" w:bidi="hi-IN"/>
        </w:rPr>
        <w:t xml:space="preserve">ealthy countries (Redford </w:t>
      </w:r>
      <w:r w:rsidRPr="00AB4B69">
        <w:rPr>
          <w:rFonts w:ascii="Times New Roman" w:eastAsia="SimSun" w:hAnsi="Times New Roman" w:cs="Calibri"/>
          <w:i/>
          <w:color w:val="000000"/>
          <w:kern w:val="1"/>
          <w:lang w:eastAsia="hi-IN" w:bidi="hi-IN"/>
        </w:rPr>
        <w:t>et al.</w:t>
      </w:r>
      <w:r w:rsidRPr="00AB4B69">
        <w:rPr>
          <w:rFonts w:ascii="Times New Roman" w:eastAsia="SimSun" w:hAnsi="Times New Roman" w:cs="Calibri"/>
          <w:color w:val="000000"/>
          <w:kern w:val="1"/>
          <w:lang w:eastAsia="hi-IN" w:bidi="hi-IN"/>
        </w:rPr>
        <w:t xml:space="preserve"> 2013). A strong concern of civil society groups is that strong IP regimes could also restrict access to information for carrying out </w:t>
      </w:r>
      <w:r w:rsidRPr="00AB4B69">
        <w:rPr>
          <w:rFonts w:ascii="Times New Roman" w:hAnsi="Times New Roman"/>
          <w:color w:val="000000"/>
          <w:kern w:val="1"/>
          <w:lang w:eastAsia="ar-SA"/>
        </w:rPr>
        <w:t>independent</w:t>
      </w:r>
      <w:r w:rsidRPr="00AB4B69">
        <w:rPr>
          <w:rFonts w:ascii="Times New Roman" w:eastAsia="SimSun" w:hAnsi="Times New Roman" w:cs="Calibri"/>
          <w:color w:val="000000"/>
          <w:kern w:val="1"/>
          <w:lang w:eastAsia="hi-IN" w:bidi="hi-IN"/>
        </w:rPr>
        <w:t xml:space="preserve">, effective risk assessments (ICSWGSB 2011). Finally, it is possible that an additional challenge for conservation biologists and synthetic biologists to work together could be that the types of biological knowledge used by synthetic biologists are “much more restricted” (Redford </w:t>
      </w:r>
      <w:r w:rsidRPr="00AB4B69">
        <w:rPr>
          <w:rFonts w:ascii="Times New Roman" w:eastAsia="SimSun" w:hAnsi="Times New Roman" w:cs="Calibri"/>
          <w:i/>
          <w:color w:val="000000"/>
          <w:kern w:val="1"/>
          <w:lang w:eastAsia="hi-IN" w:bidi="hi-IN"/>
        </w:rPr>
        <w:t>et al.</w:t>
      </w:r>
      <w:r w:rsidRPr="00AB4B69">
        <w:rPr>
          <w:rFonts w:ascii="Times New Roman" w:eastAsia="SimSun" w:hAnsi="Times New Roman" w:cs="Calibri"/>
          <w:color w:val="000000"/>
          <w:kern w:val="1"/>
          <w:lang w:eastAsia="hi-IN" w:bidi="hi-IN"/>
        </w:rPr>
        <w:t xml:space="preserve"> 2013).</w:t>
      </w:r>
      <w:r>
        <w:rPr>
          <w:rFonts w:ascii="Times New Roman" w:eastAsia="SimSun" w:hAnsi="Times New Roman" w:cs="Calibri"/>
          <w:color w:val="000000"/>
          <w:kern w:val="1"/>
          <w:lang w:eastAsia="hi-IN" w:bidi="hi-IN"/>
        </w:rPr>
        <w:t xml:space="preserve"> </w:t>
      </w:r>
      <w:bookmarkStart w:id="123" w:name="_Hlk70583379"/>
      <w:r w:rsidRPr="000E357B">
        <w:rPr>
          <w:rFonts w:ascii="Times New Roman" w:eastAsia="SimSun" w:hAnsi="Times New Roman" w:cs="Calibri"/>
          <w:color w:val="000000"/>
          <w:kern w:val="1"/>
          <w:lang w:eastAsia="hi-IN" w:bidi="hi-IN"/>
        </w:rPr>
        <w:t xml:space="preserve">As a </w:t>
      </w:r>
      <w:r w:rsidRPr="00416250">
        <w:rPr>
          <w:rFonts w:ascii="Times New Roman" w:eastAsia="SimSun" w:hAnsi="Times New Roman" w:cs="Calibri"/>
          <w:color w:val="000000"/>
          <w:kern w:val="1"/>
          <w:lang w:eastAsia="hi-IN" w:bidi="hi-IN"/>
        </w:rPr>
        <w:t>counterbalance, industry perspectives must also be considered, particularly regarding the high costs and regulatory barriers associated with taking commercial applications to market</w:t>
      </w:r>
      <w:r w:rsidR="00954C58" w:rsidRPr="00416250">
        <w:rPr>
          <w:rFonts w:ascii="Times New Roman" w:eastAsia="SimSun" w:hAnsi="Times New Roman" w:cs="Calibri"/>
          <w:color w:val="000000"/>
          <w:kern w:val="1"/>
          <w:lang w:eastAsia="hi-IN" w:bidi="hi-IN"/>
        </w:rPr>
        <w:t>,</w:t>
      </w:r>
      <w:r w:rsidRPr="00416250">
        <w:rPr>
          <w:rFonts w:ascii="Times New Roman" w:eastAsia="SimSun" w:hAnsi="Times New Roman" w:cs="Calibri"/>
          <w:color w:val="000000"/>
          <w:kern w:val="1"/>
          <w:lang w:eastAsia="hi-IN" w:bidi="hi-IN"/>
        </w:rPr>
        <w:t xml:space="preserve"> for which IP protection is argued to provide a necessary incentive </w:t>
      </w:r>
      <w:r w:rsidR="00D24C1F" w:rsidRPr="00416250">
        <w:rPr>
          <w:rFonts w:ascii="Times New Roman" w:eastAsia="SimSun" w:hAnsi="Times New Roman" w:cs="Calibri"/>
          <w:color w:val="000000"/>
          <w:kern w:val="1"/>
          <w:lang w:eastAsia="hi-IN" w:bidi="hi-IN"/>
        </w:rPr>
        <w:t xml:space="preserve">to prevent free-riding and </w:t>
      </w:r>
      <w:r w:rsidRPr="00416250">
        <w:rPr>
          <w:rFonts w:ascii="Times New Roman" w:eastAsia="SimSun" w:hAnsi="Times New Roman" w:cs="Calibri"/>
          <w:color w:val="000000"/>
          <w:kern w:val="1"/>
          <w:lang w:eastAsia="hi-IN" w:bidi="hi-IN"/>
        </w:rPr>
        <w:t xml:space="preserve">without which such investment would not occur </w:t>
      </w:r>
      <w:r w:rsidR="00416250" w:rsidRPr="00416250">
        <w:rPr>
          <w:rFonts w:ascii="Times New Roman" w:eastAsia="SimSun" w:hAnsi="Times New Roman" w:cs="Calibri"/>
          <w:color w:val="000000"/>
          <w:kern w:val="1"/>
          <w:lang w:eastAsia="hi-IN" w:bidi="hi-IN"/>
        </w:rPr>
        <w:fldChar w:fldCharType="begin" w:fldLock="1"/>
      </w:r>
      <w:r w:rsidR="00310CB4">
        <w:rPr>
          <w:rFonts w:ascii="Times New Roman" w:eastAsia="SimSun" w:hAnsi="Times New Roman" w:cs="Calibri"/>
          <w:color w:val="000000"/>
          <w:kern w:val="1"/>
          <w:lang w:eastAsia="hi-IN" w:bidi="hi-IN"/>
        </w:rPr>
        <w:instrText>ADDIN CSL_CITATION {"citationItems":[{"id":"ITEM-1","itemData":{"author":[{"dropping-particle":"","family":"World Intellectual Property Organization","given":"","non-dropping-particle":"","parse-names":false,"suffix":""}],"id":"ITEM-1","issued":{"date-parts":[["2004"]]},"title":"WIPO intellectual property handbook: policy, law and use. Geneva, World Intellectual Property Organization","type":"article"},"uris":["http://www.mendeley.com/documents/?uuid=0dcc4d86-5599-4617-9020-5687662cdbd1"]}],"mendeley":{"formattedCitation":"(World Intellectual Property Organization, 2004)","manualFormatting":"(WIPO, 2004)","plainTextFormattedCitation":"(World Intellectual Property Organization, 2004)","previouslyFormattedCitation":"(World Intellectual Property Organization, 2004)"},"properties":{"noteIndex":0},"schema":"https://github.com/citation-style-language/schema/raw/master/csl-citation.json"}</w:instrText>
      </w:r>
      <w:r w:rsidR="00416250" w:rsidRPr="00416250">
        <w:rPr>
          <w:rFonts w:ascii="Times New Roman" w:eastAsia="SimSun" w:hAnsi="Times New Roman" w:cs="Calibri"/>
          <w:color w:val="000000"/>
          <w:kern w:val="1"/>
          <w:lang w:eastAsia="hi-IN" w:bidi="hi-IN"/>
        </w:rPr>
        <w:fldChar w:fldCharType="separate"/>
      </w:r>
      <w:r w:rsidR="00416250" w:rsidRPr="00416250">
        <w:rPr>
          <w:rFonts w:ascii="Times New Roman" w:eastAsia="SimSun" w:hAnsi="Times New Roman" w:cs="Calibri"/>
          <w:noProof/>
          <w:color w:val="000000"/>
          <w:kern w:val="1"/>
          <w:lang w:eastAsia="hi-IN" w:bidi="hi-IN"/>
        </w:rPr>
        <w:t>(WIPO, 2004)</w:t>
      </w:r>
      <w:r w:rsidR="00416250" w:rsidRPr="00416250">
        <w:rPr>
          <w:rFonts w:ascii="Times New Roman" w:eastAsia="SimSun" w:hAnsi="Times New Roman" w:cs="Calibri"/>
          <w:color w:val="000000"/>
          <w:kern w:val="1"/>
          <w:lang w:eastAsia="hi-IN" w:bidi="hi-IN"/>
        </w:rPr>
        <w:fldChar w:fldCharType="end"/>
      </w:r>
      <w:r w:rsidRPr="00416250">
        <w:rPr>
          <w:rFonts w:ascii="Times New Roman" w:eastAsia="SimSun" w:hAnsi="Times New Roman" w:cs="Calibri"/>
          <w:color w:val="000000"/>
          <w:kern w:val="1"/>
          <w:lang w:eastAsia="hi-IN" w:bidi="hi-IN"/>
        </w:rPr>
        <w:t xml:space="preserve">. </w:t>
      </w:r>
      <w:bookmarkEnd w:id="123"/>
      <w:r w:rsidRPr="00416250">
        <w:rPr>
          <w:rFonts w:ascii="Times New Roman" w:eastAsia="SimSun" w:hAnsi="Times New Roman" w:cs="Calibri"/>
          <w:color w:val="000000"/>
          <w:kern w:val="1"/>
          <w:lang w:eastAsia="hi-IN" w:bidi="hi-IN"/>
        </w:rPr>
        <w:t xml:space="preserve">The reader is directed to Section 9.4.1. for further reading on other international </w:t>
      </w:r>
      <w:r w:rsidR="00C01A1B" w:rsidRPr="00416250">
        <w:rPr>
          <w:rFonts w:ascii="Times New Roman" w:eastAsia="SimSun" w:hAnsi="Times New Roman" w:cs="Calibri"/>
          <w:color w:val="000000"/>
          <w:kern w:val="1"/>
          <w:lang w:eastAsia="hi-IN" w:bidi="hi-IN"/>
        </w:rPr>
        <w:t>instruments</w:t>
      </w:r>
      <w:r w:rsidRPr="00416250">
        <w:rPr>
          <w:rFonts w:ascii="Times New Roman" w:eastAsia="SimSun" w:hAnsi="Times New Roman" w:cs="Calibri"/>
          <w:color w:val="000000"/>
          <w:kern w:val="1"/>
          <w:lang w:eastAsia="hi-IN" w:bidi="hi-IN"/>
        </w:rPr>
        <w:t>, in addition to the Convention on</w:t>
      </w:r>
      <w:r>
        <w:rPr>
          <w:rFonts w:ascii="Times New Roman" w:eastAsia="SimSun" w:hAnsi="Times New Roman" w:cs="Calibri"/>
          <w:color w:val="000000"/>
          <w:kern w:val="1"/>
          <w:lang w:eastAsia="hi-IN" w:bidi="hi-IN"/>
        </w:rPr>
        <w:t xml:space="preserve"> Biological Diversity, discussing intellectual property as they potentially relate to biodiversity. </w:t>
      </w:r>
    </w:p>
    <w:p w14:paraId="4187FBE3" w14:textId="3129F204" w:rsidR="00B12251" w:rsidRPr="00636DD0" w:rsidRDefault="00B12251" w:rsidP="00B12251">
      <w:pPr>
        <w:pStyle w:val="Heading2"/>
        <w:rPr>
          <w:rFonts w:eastAsia="SimSun"/>
          <w:lang w:bidi="hi-IN"/>
        </w:rPr>
      </w:pPr>
      <w:bookmarkStart w:id="124" w:name="_Toc65609805"/>
      <w:bookmarkStart w:id="125" w:name="_Toc70112703"/>
      <w:bookmarkStart w:id="126" w:name="_Toc70685725"/>
      <w:bookmarkStart w:id="127" w:name="_Hlk65559240"/>
      <w:bookmarkStart w:id="128" w:name="_Hlk65566106"/>
      <w:r w:rsidRPr="00636DD0">
        <w:rPr>
          <w:rFonts w:eastAsia="SimSun"/>
          <w:lang w:bidi="hi-IN"/>
        </w:rPr>
        <w:t>8. Potential Implications of the Convention and its Protocols on the Governance of Synthetic Biology</w:t>
      </w:r>
      <w:bookmarkEnd w:id="124"/>
      <w:bookmarkEnd w:id="125"/>
      <w:bookmarkEnd w:id="126"/>
    </w:p>
    <w:p w14:paraId="18D70B35" w14:textId="524710FE" w:rsidR="00B12251" w:rsidRPr="00E377E3" w:rsidRDefault="00B12251" w:rsidP="00B12251">
      <w:pPr>
        <w:pStyle w:val="Heading3"/>
        <w:rPr>
          <w:rFonts w:eastAsia="SimSun"/>
          <w:lang w:val="en-GB"/>
        </w:rPr>
      </w:pPr>
      <w:bookmarkStart w:id="129" w:name="_Toc65609806"/>
      <w:bookmarkStart w:id="130" w:name="_Toc70112704"/>
      <w:bookmarkStart w:id="131" w:name="_Toc70685726"/>
      <w:r w:rsidRPr="000A113B">
        <w:rPr>
          <w:rFonts w:eastAsia="SimSun"/>
        </w:rPr>
        <w:t>8.1. Convention on Biological Diversity</w:t>
      </w:r>
      <w:bookmarkEnd w:id="129"/>
      <w:r w:rsidR="00FA12D8">
        <w:rPr>
          <w:rFonts w:eastAsia="SimSun"/>
          <w:lang w:val="en-GB"/>
        </w:rPr>
        <w:t>.</w:t>
      </w:r>
      <w:bookmarkEnd w:id="130"/>
      <w:bookmarkEnd w:id="131"/>
    </w:p>
    <w:p w14:paraId="0CD5BEA2" w14:textId="3136470A" w:rsidR="00B12251" w:rsidRPr="00E377E3" w:rsidRDefault="00B12251" w:rsidP="00B12251">
      <w:pPr>
        <w:pStyle w:val="Heading4"/>
        <w:rPr>
          <w:rFonts w:asciiTheme="minorHAnsi" w:hAnsiTheme="minorHAnsi"/>
          <w:i w:val="0"/>
          <w:shd w:val="clear" w:color="auto" w:fill="FFFFFF"/>
          <w:lang w:val="en-US"/>
        </w:rPr>
      </w:pPr>
      <w:r w:rsidRPr="00E377E3">
        <w:rPr>
          <w:i w:val="0"/>
          <w:shd w:val="clear" w:color="auto" w:fill="FFFFFF"/>
          <w:lang w:val="en-US"/>
        </w:rPr>
        <w:t>8.1</w:t>
      </w:r>
      <w:r w:rsidRPr="00E377E3">
        <w:rPr>
          <w:i w:val="0"/>
          <w:shd w:val="clear" w:color="auto" w:fill="FFFFFF"/>
        </w:rPr>
        <w:t>.</w:t>
      </w:r>
      <w:r w:rsidRPr="00E377E3">
        <w:rPr>
          <w:i w:val="0"/>
          <w:shd w:val="clear" w:color="auto" w:fill="FFFFFF"/>
          <w:lang w:val="en-US"/>
        </w:rPr>
        <w:t>1. Objectives of the</w:t>
      </w:r>
      <w:r w:rsidRPr="00E377E3">
        <w:rPr>
          <w:i w:val="0"/>
          <w:shd w:val="clear" w:color="auto" w:fill="FFFFFF"/>
        </w:rPr>
        <w:t xml:space="preserve"> Convention on Biological Diversity</w:t>
      </w:r>
      <w:r w:rsidR="00BE6A31" w:rsidRPr="00E377E3">
        <w:rPr>
          <w:rFonts w:asciiTheme="minorHAnsi" w:hAnsiTheme="minorHAnsi"/>
          <w:i w:val="0"/>
          <w:shd w:val="clear" w:color="auto" w:fill="FFFFFF"/>
          <w:lang w:val="en-US"/>
        </w:rPr>
        <w:t>.</w:t>
      </w:r>
    </w:p>
    <w:p w14:paraId="1BB45959" w14:textId="6E656E9F" w:rsidR="002C2EF5" w:rsidRDefault="00B12251" w:rsidP="00B12251">
      <w:pPr>
        <w:suppressAutoHyphens/>
        <w:spacing w:after="120" w:line="240" w:lineRule="auto"/>
        <w:jc w:val="both"/>
        <w:rPr>
          <w:rFonts w:ascii="Times New Roman" w:eastAsia="SimSun" w:hAnsi="Times New Roman"/>
          <w:kern w:val="22"/>
          <w:lang w:eastAsia="hi-IN" w:bidi="hi-IN"/>
        </w:rPr>
      </w:pPr>
      <w:r w:rsidRPr="00FB31A7">
        <w:rPr>
          <w:rFonts w:ascii="Times New Roman" w:eastAsia="SimSun" w:hAnsi="Times New Roman"/>
          <w:kern w:val="22"/>
          <w:lang w:eastAsia="hi-IN" w:bidi="hi-IN"/>
        </w:rPr>
        <w:t xml:space="preserve">The objectives of the Convention on Biological Diversity are: the conservation of biological diversity, the sustainable use of its components, and the fair and equitable sharing of the benefits arising out of the </w:t>
      </w:r>
      <w:r w:rsidR="006B0600" w:rsidRPr="00FB31A7">
        <w:rPr>
          <w:rFonts w:ascii="Times New Roman" w:eastAsia="SimSun" w:hAnsi="Times New Roman"/>
          <w:kern w:val="22"/>
          <w:lang w:eastAsia="hi-IN" w:bidi="hi-IN"/>
        </w:rPr>
        <w:t>utili</w:t>
      </w:r>
      <w:r w:rsidR="006B0600">
        <w:rPr>
          <w:rFonts w:ascii="Times New Roman" w:eastAsia="SimSun" w:hAnsi="Times New Roman"/>
          <w:kern w:val="22"/>
          <w:lang w:eastAsia="hi-IN" w:bidi="hi-IN"/>
        </w:rPr>
        <w:t>s</w:t>
      </w:r>
      <w:r w:rsidR="006B0600" w:rsidRPr="00FB31A7">
        <w:rPr>
          <w:rFonts w:ascii="Times New Roman" w:eastAsia="SimSun" w:hAnsi="Times New Roman"/>
          <w:kern w:val="22"/>
          <w:lang w:eastAsia="hi-IN" w:bidi="hi-IN"/>
        </w:rPr>
        <w:t xml:space="preserve">ation </w:t>
      </w:r>
      <w:r w:rsidR="646B1132" w:rsidRPr="29BC8494">
        <w:rPr>
          <w:rFonts w:ascii="Times New Roman" w:eastAsia="SimSun" w:hAnsi="Times New Roman"/>
          <w:lang w:eastAsia="hi-IN" w:bidi="hi-IN"/>
        </w:rPr>
        <w:t>of genetic resources, incl</w:t>
      </w:r>
      <w:r w:rsidR="353D180D" w:rsidRPr="29BC8494">
        <w:rPr>
          <w:rFonts w:ascii="Times New Roman" w:eastAsia="SimSun" w:hAnsi="Times New Roman"/>
          <w:lang w:eastAsia="hi-IN" w:bidi="hi-IN"/>
        </w:rPr>
        <w:t>u</w:t>
      </w:r>
      <w:r w:rsidR="646B1132" w:rsidRPr="29BC8494">
        <w:rPr>
          <w:rFonts w:ascii="Times New Roman" w:eastAsia="SimSun" w:hAnsi="Times New Roman"/>
          <w:lang w:eastAsia="hi-IN" w:bidi="hi-IN"/>
        </w:rPr>
        <w:t xml:space="preserve">ding by appropriate access to genetic resources </w:t>
      </w:r>
      <w:r w:rsidR="669690ED" w:rsidRPr="29BC8494">
        <w:rPr>
          <w:rFonts w:ascii="Times New Roman" w:eastAsia="SimSun" w:hAnsi="Times New Roman"/>
          <w:lang w:eastAsia="hi-IN" w:bidi="hi-IN"/>
        </w:rPr>
        <w:t xml:space="preserve">and by appropriate transfer of relevant technologies </w:t>
      </w:r>
      <w:r w:rsidR="300952F2" w:rsidRPr="00FB31A7">
        <w:rPr>
          <w:rFonts w:ascii="Times New Roman" w:eastAsia="SimSun" w:hAnsi="Times New Roman"/>
          <w:kern w:val="22"/>
          <w:lang w:eastAsia="hi-IN" w:bidi="hi-IN"/>
        </w:rPr>
        <w:t>(Article 1).</w:t>
      </w:r>
      <w:r w:rsidRPr="00FB31A7">
        <w:rPr>
          <w:rFonts w:ascii="Times New Roman" w:eastAsia="SimSun" w:hAnsi="Times New Roman"/>
          <w:kern w:val="22"/>
          <w:lang w:eastAsia="hi-IN" w:bidi="hi-IN"/>
        </w:rPr>
        <w:t xml:space="preserve"> The Convention text does not specifically refer to synthetic biology. </w:t>
      </w:r>
      <w:r>
        <w:rPr>
          <w:rFonts w:ascii="Times New Roman" w:eastAsia="SimSun" w:hAnsi="Times New Roman"/>
          <w:kern w:val="22"/>
          <w:lang w:eastAsia="hi-IN" w:bidi="hi-IN"/>
        </w:rPr>
        <w:t>However</w:t>
      </w:r>
      <w:r w:rsidRPr="001E334D">
        <w:rPr>
          <w:rFonts w:ascii="Times New Roman" w:eastAsia="Times New Roman" w:hAnsi="Times New Roman"/>
        </w:rPr>
        <w:t>, synthetic biology falls within the scope of biotechnology, as defined by the Convention</w:t>
      </w:r>
      <w:r>
        <w:rPr>
          <w:rStyle w:val="FootnoteReference"/>
          <w:rFonts w:ascii="Times New Roman" w:eastAsia="SimSun" w:hAnsi="Times New Roman"/>
          <w:kern w:val="22"/>
          <w:lang w:eastAsia="hi-IN" w:bidi="hi-IN"/>
        </w:rPr>
        <w:footnoteReference w:id="40"/>
      </w:r>
      <w:r>
        <w:rPr>
          <w:rFonts w:ascii="Times New Roman" w:eastAsia="SimSun" w:hAnsi="Times New Roman"/>
          <w:kern w:val="22"/>
          <w:lang w:eastAsia="hi-IN" w:bidi="hi-IN"/>
        </w:rPr>
        <w:t xml:space="preserve">. </w:t>
      </w:r>
      <w:r w:rsidRPr="00FB31A7">
        <w:rPr>
          <w:rFonts w:ascii="Times New Roman" w:eastAsia="SimSun" w:hAnsi="Times New Roman"/>
          <w:kern w:val="22"/>
          <w:lang w:eastAsia="hi-IN" w:bidi="hi-IN"/>
        </w:rPr>
        <w:t>Depending on the scope of synthetic biology’s definition</w:t>
      </w:r>
      <w:r w:rsidRPr="36140518">
        <w:rPr>
          <w:rFonts w:ascii="Times New Roman" w:eastAsia="SimSun" w:hAnsi="Times New Roman"/>
          <w:lang w:eastAsia="hi-IN" w:bidi="hi-IN"/>
        </w:rPr>
        <w:t xml:space="preserve"> (including the </w:t>
      </w:r>
      <w:r w:rsidRPr="3613C1BA">
        <w:rPr>
          <w:rFonts w:ascii="Times New Roman" w:eastAsia="Times New Roman" w:hAnsi="Times New Roman"/>
        </w:rPr>
        <w:t xml:space="preserve">operational definition </w:t>
      </w:r>
      <w:r>
        <w:rPr>
          <w:rFonts w:ascii="Times New Roman" w:eastAsia="Times New Roman" w:hAnsi="Times New Roman"/>
        </w:rPr>
        <w:t>developed</w:t>
      </w:r>
      <w:r w:rsidRPr="3613C1BA">
        <w:rPr>
          <w:rFonts w:ascii="Times New Roman" w:eastAsia="Times New Roman" w:hAnsi="Times New Roman"/>
        </w:rPr>
        <w:t xml:space="preserve"> by the Ad Hoc Technical Expert Group on Synthetic Biology</w:t>
      </w:r>
      <w:r>
        <w:rPr>
          <w:rFonts w:ascii="Times New Roman" w:eastAsia="Times New Roman" w:hAnsi="Times New Roman"/>
        </w:rPr>
        <w:t xml:space="preserve"> and acknowledged by the Conference of the Parties</w:t>
      </w:r>
      <w:r w:rsidRPr="3613C1BA">
        <w:rPr>
          <w:rFonts w:ascii="Times New Roman" w:eastAsia="SimSun" w:hAnsi="Times New Roman"/>
          <w:lang w:eastAsia="hi-IN" w:bidi="hi-IN"/>
        </w:rPr>
        <w:t>)</w:t>
      </w:r>
      <w:r w:rsidRPr="3613C1BA">
        <w:rPr>
          <w:rFonts w:ascii="Times New Roman" w:eastAsia="SimSun" w:hAnsi="Times New Roman"/>
          <w:vertAlign w:val="superscript"/>
          <w:lang w:eastAsia="hi-IN" w:bidi="hi-IN"/>
        </w:rPr>
        <w:footnoteReference w:id="41"/>
      </w:r>
      <w:r w:rsidRPr="00FB31A7">
        <w:rPr>
          <w:rFonts w:ascii="Times New Roman" w:eastAsia="SimSun" w:hAnsi="Times New Roman"/>
          <w:kern w:val="22"/>
          <w:lang w:eastAsia="hi-IN" w:bidi="hi-IN"/>
        </w:rPr>
        <w:t xml:space="preserve"> </w:t>
      </w:r>
      <w:r w:rsidR="0083410A">
        <w:rPr>
          <w:rFonts w:ascii="Times New Roman" w:eastAsia="SimSun" w:hAnsi="Times New Roman"/>
          <w:kern w:val="22"/>
          <w:lang w:eastAsia="hi-IN" w:bidi="hi-IN"/>
        </w:rPr>
        <w:t>,</w:t>
      </w:r>
      <w:r w:rsidRPr="00FB31A7">
        <w:rPr>
          <w:rFonts w:ascii="Times New Roman" w:eastAsia="SimSun" w:hAnsi="Times New Roman"/>
          <w:kern w:val="22"/>
          <w:lang w:eastAsia="hi-IN" w:bidi="hi-IN"/>
        </w:rPr>
        <w:t xml:space="preserve"> the </w:t>
      </w:r>
      <w:r w:rsidR="00677176">
        <w:rPr>
          <w:rFonts w:ascii="Times New Roman" w:eastAsia="SimSun" w:hAnsi="Times New Roman"/>
          <w:kern w:val="22"/>
          <w:lang w:eastAsia="hi-IN" w:bidi="hi-IN"/>
        </w:rPr>
        <w:t>provisions</w:t>
      </w:r>
      <w:r w:rsidR="00866078">
        <w:rPr>
          <w:rFonts w:ascii="Times New Roman" w:eastAsia="SimSun" w:hAnsi="Times New Roman"/>
          <w:kern w:val="22"/>
          <w:lang w:eastAsia="hi-IN" w:bidi="hi-IN"/>
        </w:rPr>
        <w:t xml:space="preserve"> of the</w:t>
      </w:r>
      <w:r w:rsidR="00677176" w:rsidRPr="00FB31A7">
        <w:rPr>
          <w:rFonts w:ascii="Times New Roman" w:eastAsia="SimSun" w:hAnsi="Times New Roman"/>
          <w:kern w:val="22"/>
          <w:lang w:eastAsia="hi-IN" w:bidi="hi-IN"/>
        </w:rPr>
        <w:t xml:space="preserve"> </w:t>
      </w:r>
      <w:r w:rsidRPr="00FB31A7">
        <w:rPr>
          <w:rFonts w:ascii="Times New Roman" w:eastAsia="SimSun" w:hAnsi="Times New Roman"/>
          <w:kern w:val="22"/>
          <w:lang w:eastAsia="hi-IN" w:bidi="hi-IN"/>
        </w:rPr>
        <w:t xml:space="preserve">Convention </w:t>
      </w:r>
      <w:r w:rsidR="00152C4E">
        <w:rPr>
          <w:rFonts w:ascii="Times New Roman" w:eastAsia="SimSun" w:hAnsi="Times New Roman"/>
          <w:kern w:val="22"/>
          <w:lang w:eastAsia="hi-IN" w:bidi="hi-IN"/>
        </w:rPr>
        <w:t>most</w:t>
      </w:r>
      <w:r w:rsidR="001B4345">
        <w:rPr>
          <w:rFonts w:ascii="Times New Roman" w:eastAsia="SimSun" w:hAnsi="Times New Roman"/>
          <w:kern w:val="22"/>
          <w:lang w:eastAsia="hi-IN" w:bidi="hi-IN"/>
        </w:rPr>
        <w:t xml:space="preserve"> relevant </w:t>
      </w:r>
      <w:r w:rsidR="001E27D7">
        <w:rPr>
          <w:rFonts w:ascii="Times New Roman" w:eastAsia="SimSun" w:hAnsi="Times New Roman"/>
          <w:kern w:val="22"/>
          <w:lang w:eastAsia="hi-IN" w:bidi="hi-IN"/>
        </w:rPr>
        <w:t xml:space="preserve">to </w:t>
      </w:r>
      <w:r w:rsidR="00F913AB">
        <w:rPr>
          <w:rFonts w:ascii="Times New Roman" w:eastAsia="SimSun" w:hAnsi="Times New Roman"/>
          <w:kern w:val="22"/>
          <w:lang w:eastAsia="hi-IN" w:bidi="hi-IN"/>
        </w:rPr>
        <w:t xml:space="preserve">the governance of </w:t>
      </w:r>
      <w:r w:rsidR="001E27D7">
        <w:rPr>
          <w:rFonts w:ascii="Times New Roman" w:eastAsia="SimSun" w:hAnsi="Times New Roman"/>
          <w:kern w:val="22"/>
          <w:lang w:eastAsia="hi-IN" w:bidi="hi-IN"/>
        </w:rPr>
        <w:t xml:space="preserve">synthetic biology </w:t>
      </w:r>
      <w:r w:rsidR="001B4345">
        <w:rPr>
          <w:rFonts w:ascii="Times New Roman" w:eastAsia="SimSun" w:hAnsi="Times New Roman"/>
          <w:kern w:val="22"/>
          <w:lang w:eastAsia="hi-IN" w:bidi="hi-IN"/>
        </w:rPr>
        <w:t xml:space="preserve">are </w:t>
      </w:r>
      <w:r w:rsidR="00866078">
        <w:rPr>
          <w:rFonts w:ascii="Times New Roman" w:eastAsia="SimSun" w:hAnsi="Times New Roman"/>
          <w:kern w:val="22"/>
          <w:lang w:eastAsia="hi-IN" w:bidi="hi-IN"/>
        </w:rPr>
        <w:t>outline</w:t>
      </w:r>
      <w:r w:rsidR="001B4345">
        <w:rPr>
          <w:rFonts w:ascii="Times New Roman" w:eastAsia="SimSun" w:hAnsi="Times New Roman"/>
          <w:kern w:val="22"/>
          <w:lang w:eastAsia="hi-IN" w:bidi="hi-IN"/>
        </w:rPr>
        <w:t>d</w:t>
      </w:r>
      <w:r w:rsidR="00866078">
        <w:rPr>
          <w:rFonts w:ascii="Times New Roman" w:eastAsia="SimSun" w:hAnsi="Times New Roman"/>
          <w:kern w:val="22"/>
          <w:lang w:eastAsia="hi-IN" w:bidi="hi-IN"/>
        </w:rPr>
        <w:t xml:space="preserve"> below</w:t>
      </w:r>
      <w:r w:rsidR="00A4363D">
        <w:rPr>
          <w:rFonts w:ascii="Times New Roman" w:eastAsia="SimSun" w:hAnsi="Times New Roman"/>
          <w:kern w:val="22"/>
          <w:lang w:eastAsia="hi-IN" w:bidi="hi-IN"/>
        </w:rPr>
        <w:t xml:space="preserve"> in Sections 8.1.2</w:t>
      </w:r>
      <w:r w:rsidR="002F70C8">
        <w:rPr>
          <w:rFonts w:ascii="Times New Roman" w:eastAsia="SimSun" w:hAnsi="Times New Roman"/>
          <w:kern w:val="22"/>
          <w:lang w:eastAsia="hi-IN" w:bidi="hi-IN"/>
        </w:rPr>
        <w:t>.</w:t>
      </w:r>
      <w:r w:rsidR="00A4363D">
        <w:rPr>
          <w:rFonts w:ascii="Times New Roman" w:eastAsia="SimSun" w:hAnsi="Times New Roman"/>
          <w:kern w:val="22"/>
          <w:lang w:eastAsia="hi-IN" w:bidi="hi-IN"/>
        </w:rPr>
        <w:t xml:space="preserve"> to 8.1.</w:t>
      </w:r>
      <w:r w:rsidR="00AB3F84">
        <w:rPr>
          <w:rFonts w:ascii="Times New Roman" w:eastAsia="SimSun" w:hAnsi="Times New Roman"/>
          <w:kern w:val="22"/>
          <w:lang w:eastAsia="hi-IN" w:bidi="hi-IN"/>
        </w:rPr>
        <w:t>7</w:t>
      </w:r>
      <w:r w:rsidR="00F913AB">
        <w:rPr>
          <w:rFonts w:ascii="Times New Roman" w:eastAsia="SimSun" w:hAnsi="Times New Roman"/>
          <w:kern w:val="22"/>
          <w:lang w:eastAsia="hi-IN" w:bidi="hi-IN"/>
        </w:rPr>
        <w:t>.</w:t>
      </w:r>
    </w:p>
    <w:p w14:paraId="4462F8B2" w14:textId="00191E80" w:rsidR="008434C1" w:rsidRPr="00FB31A7" w:rsidRDefault="009F253A" w:rsidP="00B4174E">
      <w:pPr>
        <w:suppressAutoHyphens/>
        <w:spacing w:after="120" w:line="240" w:lineRule="auto"/>
        <w:jc w:val="both"/>
        <w:rPr>
          <w:rFonts w:ascii="Times New Roman" w:eastAsia="SimSun" w:hAnsi="Times New Roman"/>
          <w:kern w:val="22"/>
          <w:lang w:eastAsia="hi-IN" w:bidi="hi-IN"/>
        </w:rPr>
      </w:pPr>
      <w:r>
        <w:rPr>
          <w:rFonts w:ascii="Times New Roman" w:eastAsia="SimSun" w:hAnsi="Times New Roman"/>
          <w:kern w:val="22"/>
          <w:lang w:eastAsia="hi-IN" w:bidi="hi-IN"/>
        </w:rPr>
        <w:t xml:space="preserve">As a general note, </w:t>
      </w:r>
      <w:r w:rsidR="00FA16C0">
        <w:rPr>
          <w:rFonts w:ascii="Times New Roman" w:eastAsia="SimSun" w:hAnsi="Times New Roman"/>
          <w:kern w:val="22"/>
          <w:lang w:eastAsia="hi-IN" w:bidi="hi-IN"/>
        </w:rPr>
        <w:t xml:space="preserve">decisions </w:t>
      </w:r>
      <w:r w:rsidR="008826D9">
        <w:rPr>
          <w:rFonts w:ascii="Times New Roman" w:eastAsia="SimSun" w:hAnsi="Times New Roman"/>
          <w:kern w:val="22"/>
          <w:lang w:eastAsia="hi-IN" w:bidi="hi-IN"/>
        </w:rPr>
        <w:t>of</w:t>
      </w:r>
      <w:r w:rsidR="00FA16C0">
        <w:rPr>
          <w:rFonts w:ascii="Times New Roman" w:eastAsia="SimSun" w:hAnsi="Times New Roman"/>
          <w:kern w:val="22"/>
          <w:lang w:eastAsia="hi-IN" w:bidi="hi-IN"/>
        </w:rPr>
        <w:t xml:space="preserve"> the Parties</w:t>
      </w:r>
      <w:r w:rsidR="009731BC">
        <w:rPr>
          <w:rFonts w:ascii="Times New Roman" w:eastAsia="SimSun" w:hAnsi="Times New Roman"/>
          <w:kern w:val="22"/>
          <w:lang w:eastAsia="hi-IN" w:bidi="hi-IN"/>
        </w:rPr>
        <w:t xml:space="preserve"> </w:t>
      </w:r>
      <w:r w:rsidR="00EC76FB">
        <w:rPr>
          <w:rFonts w:ascii="Times New Roman" w:eastAsia="SimSun" w:hAnsi="Times New Roman"/>
          <w:kern w:val="22"/>
          <w:lang w:eastAsia="hi-IN" w:bidi="hi-IN"/>
        </w:rPr>
        <w:t>provide assistance</w:t>
      </w:r>
      <w:r w:rsidR="009731BC">
        <w:rPr>
          <w:rFonts w:ascii="Times New Roman" w:eastAsia="SimSun" w:hAnsi="Times New Roman"/>
          <w:kern w:val="22"/>
          <w:lang w:eastAsia="hi-IN" w:bidi="hi-IN"/>
        </w:rPr>
        <w:t xml:space="preserve"> in </w:t>
      </w:r>
      <w:r w:rsidR="000B7494">
        <w:rPr>
          <w:rFonts w:ascii="Times New Roman" w:eastAsia="SimSun" w:hAnsi="Times New Roman"/>
          <w:kern w:val="22"/>
          <w:lang w:eastAsia="hi-IN" w:bidi="hi-IN"/>
        </w:rPr>
        <w:t xml:space="preserve">interpreting </w:t>
      </w:r>
      <w:r w:rsidR="009731BC">
        <w:rPr>
          <w:rFonts w:ascii="Times New Roman" w:eastAsia="SimSun" w:hAnsi="Times New Roman"/>
          <w:kern w:val="22"/>
          <w:lang w:eastAsia="hi-IN" w:bidi="hi-IN"/>
        </w:rPr>
        <w:t>the provisions of the Convention.</w:t>
      </w:r>
      <w:r w:rsidR="00EC76FB">
        <w:rPr>
          <w:rFonts w:ascii="Times New Roman" w:eastAsia="SimSun" w:hAnsi="Times New Roman"/>
          <w:kern w:val="22"/>
          <w:lang w:eastAsia="hi-IN" w:bidi="hi-IN"/>
        </w:rPr>
        <w:t xml:space="preserve"> </w:t>
      </w:r>
      <w:r w:rsidR="005C1F70">
        <w:rPr>
          <w:rFonts w:ascii="Times New Roman" w:eastAsia="SimSun" w:hAnsi="Times New Roman"/>
          <w:kern w:val="22"/>
          <w:lang w:eastAsia="hi-IN" w:bidi="hi-IN"/>
        </w:rPr>
        <w:t xml:space="preserve">For example, </w:t>
      </w:r>
      <w:r w:rsidR="001129A8">
        <w:rPr>
          <w:rFonts w:ascii="Times New Roman" w:eastAsia="SimSun" w:hAnsi="Times New Roman"/>
          <w:kern w:val="22"/>
          <w:lang w:eastAsia="hi-IN" w:bidi="hi-IN"/>
        </w:rPr>
        <w:t>the ecosystem approach</w:t>
      </w:r>
      <w:r w:rsidR="00510994">
        <w:rPr>
          <w:rFonts w:ascii="Times New Roman" w:eastAsia="SimSun" w:hAnsi="Times New Roman"/>
          <w:kern w:val="22"/>
          <w:lang w:eastAsia="hi-IN" w:bidi="hi-IN"/>
        </w:rPr>
        <w:t xml:space="preserve"> </w:t>
      </w:r>
      <w:r w:rsidR="001E6D3B">
        <w:rPr>
          <w:rFonts w:ascii="Times New Roman" w:eastAsia="SimSun" w:hAnsi="Times New Roman"/>
          <w:kern w:val="22"/>
          <w:lang w:eastAsia="hi-IN" w:bidi="hi-IN"/>
        </w:rPr>
        <w:t>–</w:t>
      </w:r>
      <w:r w:rsidR="00803200">
        <w:rPr>
          <w:rFonts w:ascii="Times New Roman" w:eastAsia="SimSun" w:hAnsi="Times New Roman"/>
          <w:kern w:val="22"/>
          <w:lang w:eastAsia="hi-IN" w:bidi="hi-IN"/>
        </w:rPr>
        <w:t xml:space="preserve"> </w:t>
      </w:r>
      <w:r w:rsidR="001E6D3B">
        <w:rPr>
          <w:rFonts w:ascii="Times New Roman" w:eastAsia="SimSun" w:hAnsi="Times New Roman"/>
          <w:kern w:val="22"/>
          <w:lang w:eastAsia="hi-IN" w:bidi="hi-IN"/>
        </w:rPr>
        <w:t xml:space="preserve">as </w:t>
      </w:r>
      <w:r w:rsidR="003000D9">
        <w:rPr>
          <w:rFonts w:ascii="Times New Roman" w:eastAsia="SimSun" w:hAnsi="Times New Roman"/>
          <w:kern w:val="22"/>
          <w:lang w:eastAsia="hi-IN" w:bidi="hi-IN"/>
        </w:rPr>
        <w:t>embodied in</w:t>
      </w:r>
      <w:r w:rsidR="001E6D3B">
        <w:rPr>
          <w:rFonts w:ascii="Times New Roman" w:eastAsia="SimSun" w:hAnsi="Times New Roman"/>
          <w:kern w:val="22"/>
          <w:lang w:eastAsia="hi-IN" w:bidi="hi-IN"/>
        </w:rPr>
        <w:t xml:space="preserve"> the </w:t>
      </w:r>
      <w:r w:rsidR="001E6D3B" w:rsidRPr="001129A8">
        <w:rPr>
          <w:rFonts w:ascii="Times New Roman" w:eastAsia="SimSun" w:hAnsi="Times New Roman"/>
          <w:kern w:val="22"/>
          <w:lang w:eastAsia="hi-IN" w:bidi="hi-IN"/>
        </w:rPr>
        <w:t>12 complementary and interlinked</w:t>
      </w:r>
      <w:r w:rsidR="001E6D3B">
        <w:rPr>
          <w:rFonts w:ascii="Times New Roman" w:eastAsia="SimSun" w:hAnsi="Times New Roman"/>
          <w:kern w:val="22"/>
          <w:lang w:eastAsia="hi-IN" w:bidi="hi-IN"/>
        </w:rPr>
        <w:t xml:space="preserve"> </w:t>
      </w:r>
      <w:r w:rsidR="001E6D3B" w:rsidRPr="001129A8">
        <w:rPr>
          <w:rFonts w:ascii="Times New Roman" w:eastAsia="SimSun" w:hAnsi="Times New Roman"/>
          <w:kern w:val="22"/>
          <w:lang w:eastAsia="hi-IN" w:bidi="hi-IN"/>
        </w:rPr>
        <w:t>principles</w:t>
      </w:r>
      <w:r w:rsidR="001E6D3B">
        <w:rPr>
          <w:rFonts w:ascii="Times New Roman" w:eastAsia="SimSun" w:hAnsi="Times New Roman"/>
          <w:kern w:val="22"/>
          <w:lang w:eastAsia="hi-IN" w:bidi="hi-IN"/>
        </w:rPr>
        <w:t xml:space="preserve"> </w:t>
      </w:r>
      <w:r w:rsidR="00E5527B">
        <w:rPr>
          <w:rFonts w:ascii="Times New Roman" w:eastAsia="SimSun" w:hAnsi="Times New Roman"/>
          <w:kern w:val="22"/>
          <w:lang w:eastAsia="hi-IN" w:bidi="hi-IN"/>
        </w:rPr>
        <w:t xml:space="preserve">approved by </w:t>
      </w:r>
      <w:r w:rsidR="00C45A89">
        <w:rPr>
          <w:rFonts w:ascii="Times New Roman" w:eastAsia="SimSun" w:hAnsi="Times New Roman"/>
          <w:kern w:val="22"/>
          <w:lang w:eastAsia="hi-IN" w:bidi="hi-IN"/>
        </w:rPr>
        <w:t>the</w:t>
      </w:r>
      <w:r w:rsidR="00C45A89" w:rsidRPr="633E57D3">
        <w:rPr>
          <w:rFonts w:ascii="Times New Roman" w:eastAsia="SimSun" w:hAnsi="Times New Roman"/>
          <w:lang w:eastAsia="hi-IN" w:bidi="hi-IN"/>
        </w:rPr>
        <w:t xml:space="preserve"> </w:t>
      </w:r>
      <w:r w:rsidR="5F53DFF5" w:rsidRPr="633E57D3">
        <w:rPr>
          <w:rFonts w:ascii="Times New Roman" w:eastAsia="SimSun" w:hAnsi="Times New Roman"/>
          <w:lang w:eastAsia="hi-IN" w:bidi="hi-IN"/>
        </w:rPr>
        <w:t>Conference of the</w:t>
      </w:r>
      <w:r w:rsidR="66E251B9">
        <w:rPr>
          <w:rFonts w:ascii="Times New Roman" w:eastAsia="SimSun" w:hAnsi="Times New Roman"/>
          <w:kern w:val="22"/>
          <w:lang w:eastAsia="hi-IN" w:bidi="hi-IN"/>
        </w:rPr>
        <w:t xml:space="preserve"> </w:t>
      </w:r>
      <w:r w:rsidR="00C45A89">
        <w:rPr>
          <w:rFonts w:ascii="Times New Roman" w:eastAsia="SimSun" w:hAnsi="Times New Roman"/>
          <w:kern w:val="22"/>
          <w:lang w:eastAsia="hi-IN" w:bidi="hi-IN"/>
        </w:rPr>
        <w:t xml:space="preserve">Parties at its </w:t>
      </w:r>
      <w:r w:rsidR="03F0B339" w:rsidRPr="5454ED68">
        <w:rPr>
          <w:rFonts w:ascii="Times New Roman" w:eastAsia="SimSun" w:hAnsi="Times New Roman"/>
          <w:lang w:eastAsia="hi-IN" w:bidi="hi-IN"/>
        </w:rPr>
        <w:t>fifth</w:t>
      </w:r>
      <w:r w:rsidR="00C45A89">
        <w:rPr>
          <w:rFonts w:ascii="Times New Roman" w:eastAsia="SimSun" w:hAnsi="Times New Roman"/>
          <w:kern w:val="22"/>
          <w:lang w:eastAsia="hi-IN" w:bidi="hi-IN"/>
        </w:rPr>
        <w:t xml:space="preserve"> meeting </w:t>
      </w:r>
      <w:r w:rsidR="00C8107C">
        <w:rPr>
          <w:rFonts w:ascii="Times New Roman" w:eastAsia="SimSun" w:hAnsi="Times New Roman"/>
          <w:kern w:val="22"/>
          <w:lang w:eastAsia="hi-IN" w:bidi="hi-IN"/>
        </w:rPr>
        <w:t xml:space="preserve">in </w:t>
      </w:r>
      <w:r w:rsidR="255847F0">
        <w:rPr>
          <w:rFonts w:ascii="Times New Roman" w:eastAsia="SimSun" w:hAnsi="Times New Roman"/>
          <w:kern w:val="22"/>
          <w:lang w:eastAsia="hi-IN" w:bidi="hi-IN"/>
        </w:rPr>
        <w:t>20</w:t>
      </w:r>
      <w:r w:rsidR="4981038B" w:rsidRPr="633E57D3">
        <w:rPr>
          <w:rFonts w:ascii="Times New Roman" w:eastAsia="SimSun" w:hAnsi="Times New Roman"/>
          <w:lang w:eastAsia="hi-IN" w:bidi="hi-IN"/>
        </w:rPr>
        <w:t>0</w:t>
      </w:r>
      <w:r w:rsidR="255847F0">
        <w:rPr>
          <w:rFonts w:ascii="Times New Roman" w:eastAsia="SimSun" w:hAnsi="Times New Roman"/>
          <w:kern w:val="22"/>
          <w:lang w:eastAsia="hi-IN" w:bidi="hi-IN"/>
        </w:rPr>
        <w:t>0</w:t>
      </w:r>
      <w:r w:rsidR="00C8107C">
        <w:rPr>
          <w:rFonts w:ascii="Times New Roman" w:eastAsia="SimSun" w:hAnsi="Times New Roman"/>
          <w:kern w:val="22"/>
          <w:lang w:eastAsia="hi-IN" w:bidi="hi-IN"/>
        </w:rPr>
        <w:t xml:space="preserve">, </w:t>
      </w:r>
      <w:r w:rsidR="00C45A89">
        <w:rPr>
          <w:rFonts w:ascii="Times New Roman" w:eastAsia="SimSun" w:hAnsi="Times New Roman"/>
          <w:kern w:val="22"/>
          <w:lang w:eastAsia="hi-IN" w:bidi="hi-IN"/>
        </w:rPr>
        <w:t xml:space="preserve">pursuant to Decision </w:t>
      </w:r>
      <w:r w:rsidR="00C45A89" w:rsidRPr="00C45A89">
        <w:rPr>
          <w:rFonts w:ascii="Times New Roman" w:eastAsia="SimSun" w:hAnsi="Times New Roman"/>
          <w:kern w:val="22"/>
          <w:lang w:eastAsia="hi-IN" w:bidi="hi-IN"/>
        </w:rPr>
        <w:t>V/6</w:t>
      </w:r>
      <w:r w:rsidR="00803200">
        <w:rPr>
          <w:rFonts w:ascii="Times New Roman" w:eastAsia="SimSun" w:hAnsi="Times New Roman"/>
          <w:kern w:val="22"/>
          <w:lang w:eastAsia="hi-IN" w:bidi="hi-IN"/>
        </w:rPr>
        <w:t xml:space="preserve"> </w:t>
      </w:r>
      <w:r w:rsidR="00053FEF">
        <w:rPr>
          <w:rFonts w:ascii="Times New Roman" w:eastAsia="SimSun" w:hAnsi="Times New Roman"/>
          <w:kern w:val="22"/>
          <w:lang w:eastAsia="hi-IN" w:bidi="hi-IN"/>
        </w:rPr>
        <w:t>–</w:t>
      </w:r>
      <w:r w:rsidR="001E6D3B">
        <w:rPr>
          <w:rFonts w:ascii="Times New Roman" w:eastAsia="SimSun" w:hAnsi="Times New Roman"/>
          <w:kern w:val="22"/>
          <w:lang w:eastAsia="hi-IN" w:bidi="hi-IN"/>
        </w:rPr>
        <w:t xml:space="preserve"> </w:t>
      </w:r>
      <w:r w:rsidR="00F921F8">
        <w:rPr>
          <w:rFonts w:ascii="Times New Roman" w:eastAsia="SimSun" w:hAnsi="Times New Roman"/>
          <w:kern w:val="22"/>
          <w:lang w:eastAsia="hi-IN" w:bidi="hi-IN"/>
        </w:rPr>
        <w:t>provide</w:t>
      </w:r>
      <w:r w:rsidR="00560930">
        <w:rPr>
          <w:rFonts w:ascii="Times New Roman" w:eastAsia="SimSun" w:hAnsi="Times New Roman"/>
          <w:kern w:val="22"/>
          <w:lang w:eastAsia="hi-IN" w:bidi="hi-IN"/>
        </w:rPr>
        <w:t>s</w:t>
      </w:r>
      <w:r w:rsidR="00F921F8">
        <w:rPr>
          <w:rFonts w:ascii="Times New Roman" w:eastAsia="SimSun" w:hAnsi="Times New Roman"/>
          <w:kern w:val="22"/>
          <w:lang w:eastAsia="hi-IN" w:bidi="hi-IN"/>
        </w:rPr>
        <w:t xml:space="preserve"> a </w:t>
      </w:r>
      <w:r w:rsidR="00F921F8" w:rsidRPr="00AA4CF3">
        <w:rPr>
          <w:rFonts w:ascii="Times New Roman" w:eastAsia="SimSun" w:hAnsi="Times New Roman"/>
          <w:kern w:val="22"/>
          <w:lang w:eastAsia="hi-IN" w:bidi="hi-IN"/>
        </w:rPr>
        <w:t>strategy for the integrated management of land, water and living resources that promotes conservation and sustainable use in an equitable way</w:t>
      </w:r>
      <w:r w:rsidR="00F921F8">
        <w:rPr>
          <w:rFonts w:ascii="Times New Roman" w:eastAsia="SimSun" w:hAnsi="Times New Roman"/>
          <w:kern w:val="22"/>
          <w:lang w:eastAsia="hi-IN" w:bidi="hi-IN"/>
        </w:rPr>
        <w:t xml:space="preserve">. </w:t>
      </w:r>
      <w:r w:rsidR="005C1F70">
        <w:rPr>
          <w:rFonts w:ascii="Times New Roman" w:eastAsia="SimSun" w:hAnsi="Times New Roman"/>
          <w:kern w:val="22"/>
          <w:lang w:eastAsia="hi-IN" w:bidi="hi-IN"/>
        </w:rPr>
        <w:t xml:space="preserve">Although not considered in detail herein, </w:t>
      </w:r>
      <w:r w:rsidR="00E87D55">
        <w:rPr>
          <w:rFonts w:ascii="Times New Roman" w:eastAsia="SimSun" w:hAnsi="Times New Roman"/>
          <w:kern w:val="22"/>
          <w:lang w:eastAsia="hi-IN" w:bidi="hi-IN"/>
        </w:rPr>
        <w:t xml:space="preserve">the </w:t>
      </w:r>
      <w:r w:rsidR="00313A68">
        <w:rPr>
          <w:rFonts w:ascii="Times New Roman" w:eastAsia="SimSun" w:hAnsi="Times New Roman"/>
          <w:kern w:val="22"/>
          <w:lang w:eastAsia="hi-IN" w:bidi="hi-IN"/>
        </w:rPr>
        <w:t>ecosystem approach is note</w:t>
      </w:r>
      <w:r w:rsidR="00560930">
        <w:rPr>
          <w:rFonts w:ascii="Times New Roman" w:eastAsia="SimSun" w:hAnsi="Times New Roman"/>
          <w:kern w:val="22"/>
          <w:lang w:eastAsia="hi-IN" w:bidi="hi-IN"/>
        </w:rPr>
        <w:t xml:space="preserve">worthy </w:t>
      </w:r>
      <w:r w:rsidR="00FC391D">
        <w:rPr>
          <w:rFonts w:ascii="Times New Roman" w:eastAsia="SimSun" w:hAnsi="Times New Roman"/>
          <w:kern w:val="22"/>
          <w:lang w:eastAsia="hi-IN" w:bidi="hi-IN"/>
        </w:rPr>
        <w:t>in relation to the objectives of the Convention as</w:t>
      </w:r>
      <w:r w:rsidR="00313A68">
        <w:rPr>
          <w:rFonts w:ascii="Times New Roman" w:eastAsia="SimSun" w:hAnsi="Times New Roman"/>
          <w:kern w:val="22"/>
          <w:lang w:eastAsia="hi-IN" w:bidi="hi-IN"/>
        </w:rPr>
        <w:t xml:space="preserve"> it constitutes the </w:t>
      </w:r>
      <w:r w:rsidR="00F81F10" w:rsidRPr="00F81F10">
        <w:rPr>
          <w:rFonts w:ascii="Times New Roman" w:eastAsia="SimSun" w:hAnsi="Times New Roman"/>
          <w:kern w:val="22"/>
          <w:lang w:eastAsia="hi-IN" w:bidi="hi-IN"/>
        </w:rPr>
        <w:t>primary framework for action under the Convention</w:t>
      </w:r>
      <w:r w:rsidR="00560930">
        <w:rPr>
          <w:rFonts w:ascii="Times New Roman" w:eastAsia="SimSun" w:hAnsi="Times New Roman"/>
          <w:kern w:val="22"/>
          <w:lang w:eastAsia="hi-IN" w:bidi="hi-IN"/>
        </w:rPr>
        <w:t xml:space="preserve"> </w:t>
      </w:r>
      <w:r w:rsidR="00313A68">
        <w:rPr>
          <w:rFonts w:ascii="Times New Roman" w:eastAsia="SimSun" w:hAnsi="Times New Roman"/>
          <w:kern w:val="22"/>
          <w:lang w:eastAsia="hi-IN" w:bidi="hi-IN"/>
        </w:rPr>
        <w:t>whereby its application</w:t>
      </w:r>
      <w:r w:rsidR="00AA4CF3" w:rsidRPr="00AA4CF3">
        <w:rPr>
          <w:rFonts w:ascii="Times New Roman" w:eastAsia="SimSun" w:hAnsi="Times New Roman"/>
          <w:kern w:val="22"/>
          <w:lang w:eastAsia="hi-IN" w:bidi="hi-IN"/>
        </w:rPr>
        <w:t xml:space="preserve"> </w:t>
      </w:r>
      <w:r w:rsidR="00560930">
        <w:rPr>
          <w:rFonts w:ascii="Times New Roman" w:eastAsia="SimSun" w:hAnsi="Times New Roman"/>
          <w:kern w:val="22"/>
          <w:lang w:eastAsia="hi-IN" w:bidi="hi-IN"/>
        </w:rPr>
        <w:t>is designed</w:t>
      </w:r>
      <w:r w:rsidR="00AA4CF3" w:rsidRPr="00AA4CF3">
        <w:rPr>
          <w:rFonts w:ascii="Times New Roman" w:eastAsia="SimSun" w:hAnsi="Times New Roman"/>
          <w:kern w:val="22"/>
          <w:lang w:eastAsia="hi-IN" w:bidi="hi-IN"/>
        </w:rPr>
        <w:t xml:space="preserve"> </w:t>
      </w:r>
      <w:r w:rsidR="3335E331" w:rsidRPr="00AA4CF3">
        <w:rPr>
          <w:rFonts w:ascii="Times New Roman" w:eastAsia="SimSun" w:hAnsi="Times New Roman"/>
          <w:kern w:val="22"/>
          <w:lang w:eastAsia="hi-IN" w:bidi="hi-IN"/>
        </w:rPr>
        <w:t xml:space="preserve">to </w:t>
      </w:r>
      <w:r w:rsidR="00AA4CF3" w:rsidRPr="00AA4CF3">
        <w:rPr>
          <w:rFonts w:ascii="Times New Roman" w:eastAsia="SimSun" w:hAnsi="Times New Roman"/>
          <w:kern w:val="22"/>
          <w:lang w:eastAsia="hi-IN" w:bidi="hi-IN"/>
        </w:rPr>
        <w:t xml:space="preserve">help to reach a balance of the three objectives of the Convention. </w:t>
      </w:r>
      <w:r w:rsidR="001A67AD">
        <w:rPr>
          <w:rFonts w:ascii="Times New Roman" w:eastAsia="SimSun" w:hAnsi="Times New Roman"/>
          <w:kern w:val="22"/>
          <w:lang w:eastAsia="hi-IN" w:bidi="hi-IN"/>
        </w:rPr>
        <w:t xml:space="preserve">The approach </w:t>
      </w:r>
      <w:r w:rsidR="005110A6" w:rsidRPr="00AA4CF3">
        <w:rPr>
          <w:rFonts w:ascii="Times New Roman" w:eastAsia="SimSun" w:hAnsi="Times New Roman"/>
          <w:kern w:val="22"/>
          <w:lang w:eastAsia="hi-IN" w:bidi="hi-IN"/>
        </w:rPr>
        <w:t>recogni</w:t>
      </w:r>
      <w:r w:rsidR="005110A6">
        <w:rPr>
          <w:rFonts w:ascii="Times New Roman" w:eastAsia="SimSun" w:hAnsi="Times New Roman"/>
          <w:kern w:val="22"/>
          <w:lang w:eastAsia="hi-IN" w:bidi="hi-IN"/>
        </w:rPr>
        <w:t>s</w:t>
      </w:r>
      <w:r w:rsidR="005110A6" w:rsidRPr="00AA4CF3">
        <w:rPr>
          <w:rFonts w:ascii="Times New Roman" w:eastAsia="SimSun" w:hAnsi="Times New Roman"/>
          <w:kern w:val="22"/>
          <w:lang w:eastAsia="hi-IN" w:bidi="hi-IN"/>
        </w:rPr>
        <w:t xml:space="preserve">es </w:t>
      </w:r>
      <w:r w:rsidR="00AA4CF3" w:rsidRPr="00AA4CF3">
        <w:rPr>
          <w:rFonts w:ascii="Times New Roman" w:eastAsia="SimSun" w:hAnsi="Times New Roman"/>
          <w:kern w:val="22"/>
          <w:lang w:eastAsia="hi-IN" w:bidi="hi-IN"/>
        </w:rPr>
        <w:t>that humans, with their cultural diversity, are an integral component of ecosystems</w:t>
      </w:r>
      <w:r w:rsidR="00E13803">
        <w:rPr>
          <w:rFonts w:ascii="Times New Roman" w:eastAsia="SimSun" w:hAnsi="Times New Roman"/>
          <w:kern w:val="22"/>
          <w:lang w:eastAsia="hi-IN" w:bidi="hi-IN"/>
        </w:rPr>
        <w:t xml:space="preserve"> and </w:t>
      </w:r>
      <w:r w:rsidR="00E13803" w:rsidRPr="00E13803">
        <w:rPr>
          <w:rFonts w:ascii="Times New Roman" w:eastAsia="SimSun" w:hAnsi="Times New Roman"/>
          <w:kern w:val="22"/>
          <w:lang w:eastAsia="hi-IN" w:bidi="hi-IN"/>
        </w:rPr>
        <w:t xml:space="preserve">is based on the application of </w:t>
      </w:r>
      <w:r w:rsidR="00C50C6E" w:rsidRPr="00C50C6E">
        <w:rPr>
          <w:rFonts w:ascii="Times New Roman" w:eastAsia="SimSun" w:hAnsi="Times New Roman"/>
          <w:kern w:val="22"/>
          <w:lang w:eastAsia="hi-IN" w:bidi="hi-IN"/>
        </w:rPr>
        <w:t>scientific reasoning</w:t>
      </w:r>
      <w:r w:rsidR="0016183A">
        <w:rPr>
          <w:rFonts w:ascii="Times New Roman" w:eastAsia="SimSun" w:hAnsi="Times New Roman"/>
          <w:kern w:val="22"/>
          <w:lang w:eastAsia="hi-IN" w:bidi="hi-IN"/>
        </w:rPr>
        <w:t>,</w:t>
      </w:r>
      <w:r w:rsidR="0016183A" w:rsidRPr="0016183A">
        <w:rPr>
          <w:rFonts w:ascii="Times New Roman" w:eastAsia="SimSun" w:hAnsi="Times New Roman"/>
          <w:kern w:val="22"/>
          <w:lang w:eastAsia="hi-IN" w:bidi="hi-IN"/>
        </w:rPr>
        <w:t xml:space="preserve"> </w:t>
      </w:r>
      <w:r w:rsidR="0016183A">
        <w:rPr>
          <w:rFonts w:ascii="Times New Roman" w:eastAsia="SimSun" w:hAnsi="Times New Roman"/>
          <w:kern w:val="22"/>
          <w:lang w:eastAsia="hi-IN" w:bidi="hi-IN"/>
        </w:rPr>
        <w:t>including traditional knowledge</w:t>
      </w:r>
      <w:r w:rsidR="00942F88">
        <w:rPr>
          <w:rFonts w:ascii="Times New Roman" w:eastAsia="SimSun" w:hAnsi="Times New Roman"/>
          <w:kern w:val="22"/>
          <w:lang w:eastAsia="hi-IN" w:bidi="hi-IN"/>
        </w:rPr>
        <w:t>,</w:t>
      </w:r>
      <w:r w:rsidR="00C50C6E">
        <w:rPr>
          <w:rFonts w:ascii="Times New Roman" w:eastAsia="SimSun" w:hAnsi="Times New Roman"/>
          <w:kern w:val="22"/>
          <w:lang w:eastAsia="hi-IN" w:bidi="hi-IN"/>
        </w:rPr>
        <w:t xml:space="preserve"> </w:t>
      </w:r>
      <w:r w:rsidR="00C50C6E" w:rsidRPr="00C50C6E">
        <w:rPr>
          <w:rFonts w:ascii="Times New Roman" w:eastAsia="SimSun" w:hAnsi="Times New Roman"/>
          <w:kern w:val="22"/>
          <w:lang w:eastAsia="hi-IN" w:bidi="hi-IN"/>
        </w:rPr>
        <w:t xml:space="preserve">to protect and manage the environment </w:t>
      </w:r>
      <w:r w:rsidR="00903ECC">
        <w:rPr>
          <w:rFonts w:ascii="Times New Roman" w:eastAsia="SimSun" w:hAnsi="Times New Roman"/>
          <w:kern w:val="22"/>
          <w:lang w:eastAsia="hi-IN" w:bidi="hi-IN"/>
        </w:rPr>
        <w:t>in order to</w:t>
      </w:r>
      <w:r w:rsidR="00C50C6E">
        <w:rPr>
          <w:rFonts w:ascii="Times New Roman" w:eastAsia="SimSun" w:hAnsi="Times New Roman"/>
          <w:kern w:val="22"/>
          <w:lang w:eastAsia="hi-IN" w:bidi="hi-IN"/>
        </w:rPr>
        <w:t xml:space="preserve"> </w:t>
      </w:r>
      <w:r w:rsidR="00C50C6E" w:rsidRPr="00C50C6E">
        <w:rPr>
          <w:rFonts w:ascii="Times New Roman" w:eastAsia="SimSun" w:hAnsi="Times New Roman"/>
          <w:kern w:val="22"/>
          <w:lang w:eastAsia="hi-IN" w:bidi="hi-IN"/>
        </w:rPr>
        <w:t>resolv</w:t>
      </w:r>
      <w:r w:rsidR="00903ECC">
        <w:rPr>
          <w:rFonts w:ascii="Times New Roman" w:eastAsia="SimSun" w:hAnsi="Times New Roman"/>
          <w:kern w:val="22"/>
          <w:lang w:eastAsia="hi-IN" w:bidi="hi-IN"/>
        </w:rPr>
        <w:t>e</w:t>
      </w:r>
      <w:r w:rsidR="00C50C6E" w:rsidRPr="00C50C6E">
        <w:rPr>
          <w:rFonts w:ascii="Times New Roman" w:eastAsia="SimSun" w:hAnsi="Times New Roman"/>
          <w:kern w:val="22"/>
          <w:lang w:eastAsia="hi-IN" w:bidi="hi-IN"/>
        </w:rPr>
        <w:t xml:space="preserve"> ecosystem issues</w:t>
      </w:r>
      <w:r w:rsidR="00903ECC">
        <w:rPr>
          <w:rFonts w:ascii="Times New Roman" w:eastAsia="SimSun" w:hAnsi="Times New Roman"/>
          <w:kern w:val="22"/>
          <w:lang w:eastAsia="hi-IN" w:bidi="hi-IN"/>
        </w:rPr>
        <w:t>.</w:t>
      </w:r>
    </w:p>
    <w:p w14:paraId="17B6A873" w14:textId="5385C956" w:rsidR="00B12251" w:rsidRPr="00E377E3" w:rsidRDefault="00B12251" w:rsidP="00B12251">
      <w:pPr>
        <w:pStyle w:val="Heading4"/>
        <w:rPr>
          <w:rFonts w:asciiTheme="minorHAnsi" w:hAnsiTheme="minorHAnsi"/>
          <w:i w:val="0"/>
          <w:lang w:val="en-US"/>
        </w:rPr>
      </w:pPr>
      <w:r w:rsidRPr="00E377E3">
        <w:rPr>
          <w:i w:val="0"/>
          <w:lang w:val="en-US"/>
        </w:rPr>
        <w:t>8</w:t>
      </w:r>
      <w:r w:rsidRPr="00E377E3">
        <w:rPr>
          <w:i w:val="0"/>
        </w:rPr>
        <w:t>.</w:t>
      </w:r>
      <w:r w:rsidRPr="00E377E3">
        <w:rPr>
          <w:i w:val="0"/>
          <w:lang w:val="en-US"/>
        </w:rPr>
        <w:t>1</w:t>
      </w:r>
      <w:r w:rsidRPr="00E377E3">
        <w:rPr>
          <w:i w:val="0"/>
        </w:rPr>
        <w:t>.</w:t>
      </w:r>
      <w:r w:rsidRPr="00E377E3">
        <w:rPr>
          <w:i w:val="0"/>
          <w:lang w:val="en-US"/>
        </w:rPr>
        <w:t>2.</w:t>
      </w:r>
      <w:r w:rsidRPr="00E377E3">
        <w:rPr>
          <w:i w:val="0"/>
        </w:rPr>
        <w:t xml:space="preserve"> Principle of the Convention (Article 3)</w:t>
      </w:r>
      <w:r w:rsidR="00BE6A31" w:rsidRPr="00E377E3">
        <w:rPr>
          <w:rFonts w:asciiTheme="minorHAnsi" w:hAnsiTheme="minorHAnsi"/>
          <w:i w:val="0"/>
          <w:lang w:val="en-US"/>
        </w:rPr>
        <w:t>.</w:t>
      </w:r>
    </w:p>
    <w:p w14:paraId="5568FF0B" w14:textId="0F6E88A7" w:rsidR="00B12251" w:rsidRPr="00FB31A7" w:rsidRDefault="00B12251" w:rsidP="00B12251">
      <w:pPr>
        <w:suppressAutoHyphens/>
        <w:spacing w:after="120" w:line="240" w:lineRule="auto"/>
        <w:jc w:val="both"/>
        <w:rPr>
          <w:rFonts w:ascii="Times New Roman" w:hAnsi="Times New Roman"/>
          <w:kern w:val="22"/>
          <w:shd w:val="clear" w:color="auto" w:fill="FFFFFF"/>
        </w:rPr>
      </w:pPr>
      <w:r w:rsidRPr="00FB31A7">
        <w:rPr>
          <w:rFonts w:ascii="Times New Roman" w:hAnsi="Times New Roman"/>
          <w:kern w:val="22"/>
          <w:shd w:val="clear" w:color="auto" w:fill="FFFFFF"/>
        </w:rPr>
        <w:t xml:space="preserve">Article 3 of the Convention provides that “States have in accordance with the Charter of the United Nations and the principles of international law the sovereign right to exploit their own resources pursuant to their own environmental policies, and the responsibility to ensure that activities within their jurisdiction or control do not cause damage to the environment of other States or of areas beyond the limits of national jurisdiction”. </w:t>
      </w:r>
      <w:r w:rsidRPr="00844153">
        <w:rPr>
          <w:rFonts w:ascii="Times New Roman" w:hAnsi="Times New Roman"/>
          <w:kern w:val="22"/>
          <w:shd w:val="clear" w:color="auto" w:fill="FFFFFF"/>
        </w:rPr>
        <w:t xml:space="preserve">For a discussion of this principle in the context of synthetic biology techniques see </w:t>
      </w:r>
      <w:r w:rsidR="00E34A15">
        <w:rPr>
          <w:rFonts w:ascii="Times New Roman" w:hAnsi="Times New Roman"/>
          <w:kern w:val="22"/>
          <w:shd w:val="clear" w:color="auto" w:fill="FFFFFF"/>
        </w:rPr>
        <w:t>S</w:t>
      </w:r>
      <w:r w:rsidR="00E34A15" w:rsidRPr="00844153">
        <w:rPr>
          <w:rFonts w:ascii="Times New Roman" w:hAnsi="Times New Roman"/>
          <w:kern w:val="22"/>
          <w:shd w:val="clear" w:color="auto" w:fill="FFFFFF"/>
        </w:rPr>
        <w:t xml:space="preserve">ection </w:t>
      </w:r>
      <w:r w:rsidR="00655C2D">
        <w:rPr>
          <w:rFonts w:ascii="Times New Roman" w:hAnsi="Times New Roman"/>
          <w:kern w:val="22"/>
          <w:shd w:val="clear" w:color="auto" w:fill="FFFFFF"/>
        </w:rPr>
        <w:t>9.3.1(a)</w:t>
      </w:r>
      <w:r w:rsidR="005110A6">
        <w:rPr>
          <w:rFonts w:ascii="Times New Roman" w:hAnsi="Times New Roman"/>
          <w:kern w:val="22"/>
          <w:shd w:val="clear" w:color="auto" w:fill="FFFFFF"/>
        </w:rPr>
        <w:t>.</w:t>
      </w:r>
      <w:r w:rsidRPr="00844153">
        <w:rPr>
          <w:rFonts w:ascii="Times New Roman" w:hAnsi="Times New Roman"/>
          <w:kern w:val="22"/>
          <w:shd w:val="clear" w:color="auto" w:fill="FFFFFF"/>
        </w:rPr>
        <w:t xml:space="preserve"> </w:t>
      </w:r>
      <w:r>
        <w:rPr>
          <w:rFonts w:ascii="Times New Roman" w:hAnsi="Times New Roman"/>
          <w:kern w:val="22"/>
          <w:shd w:val="clear" w:color="auto" w:fill="FFFFFF"/>
        </w:rPr>
        <w:t xml:space="preserve">concerning </w:t>
      </w:r>
      <w:r w:rsidRPr="00CD670A">
        <w:rPr>
          <w:rFonts w:ascii="Times New Roman" w:hAnsi="Times New Roman"/>
          <w:kern w:val="22"/>
          <w:shd w:val="clear" w:color="auto" w:fill="FFFFFF"/>
        </w:rPr>
        <w:t xml:space="preserve">the </w:t>
      </w:r>
      <w:r w:rsidRPr="008805B8">
        <w:rPr>
          <w:rFonts w:ascii="Times New Roman" w:hAnsi="Times New Roman"/>
          <w:kern w:val="22"/>
          <w:shd w:val="clear" w:color="auto" w:fill="FFFFFF"/>
        </w:rPr>
        <w:t xml:space="preserve">prevention of transboundary harm to the environment as an established principle under </w:t>
      </w:r>
      <w:r w:rsidRPr="0083410A">
        <w:rPr>
          <w:rFonts w:ascii="Times New Roman" w:hAnsi="Times New Roman"/>
          <w:kern w:val="22"/>
          <w:shd w:val="clear" w:color="auto" w:fill="FFFFFF"/>
        </w:rPr>
        <w:t xml:space="preserve">international </w:t>
      </w:r>
      <w:r w:rsidR="00700C12" w:rsidRPr="0083410A">
        <w:rPr>
          <w:rFonts w:ascii="Times New Roman" w:hAnsi="Times New Roman"/>
          <w:kern w:val="22"/>
          <w:shd w:val="clear" w:color="auto" w:fill="FFFFFF"/>
        </w:rPr>
        <w:t xml:space="preserve">customary </w:t>
      </w:r>
      <w:r w:rsidRPr="0083410A">
        <w:rPr>
          <w:rFonts w:ascii="Times New Roman" w:hAnsi="Times New Roman"/>
          <w:kern w:val="22"/>
          <w:shd w:val="clear" w:color="auto" w:fill="FFFFFF"/>
        </w:rPr>
        <w:t>law</w:t>
      </w:r>
      <w:r w:rsidRPr="00714FFC">
        <w:rPr>
          <w:rFonts w:ascii="Times New Roman" w:hAnsi="Times New Roman"/>
          <w:kern w:val="22"/>
          <w:shd w:val="clear" w:color="auto" w:fill="FFFFFF"/>
        </w:rPr>
        <w:t>.</w:t>
      </w:r>
    </w:p>
    <w:p w14:paraId="380D3CD6" w14:textId="6AC195BB" w:rsidR="00B12251" w:rsidRPr="00E377E3" w:rsidRDefault="00B12251" w:rsidP="00B12251">
      <w:pPr>
        <w:pStyle w:val="Heading4"/>
        <w:rPr>
          <w:rFonts w:asciiTheme="minorHAnsi" w:hAnsiTheme="minorHAnsi"/>
          <w:i w:val="0"/>
          <w:lang w:val="en-US"/>
        </w:rPr>
      </w:pPr>
      <w:r w:rsidRPr="00E377E3">
        <w:rPr>
          <w:i w:val="0"/>
          <w:lang w:val="en-US"/>
        </w:rPr>
        <w:t>8</w:t>
      </w:r>
      <w:r w:rsidRPr="00E377E3">
        <w:rPr>
          <w:i w:val="0"/>
        </w:rPr>
        <w:t>.</w:t>
      </w:r>
      <w:r w:rsidRPr="00E377E3">
        <w:rPr>
          <w:i w:val="0"/>
          <w:lang w:val="en-US"/>
        </w:rPr>
        <w:t>1</w:t>
      </w:r>
      <w:r w:rsidRPr="00E377E3">
        <w:rPr>
          <w:i w:val="0"/>
        </w:rPr>
        <w:t>.</w:t>
      </w:r>
      <w:r w:rsidRPr="00E377E3">
        <w:rPr>
          <w:i w:val="0"/>
          <w:lang w:val="en-US"/>
        </w:rPr>
        <w:t xml:space="preserve">3. </w:t>
      </w:r>
      <w:r w:rsidRPr="00E377E3">
        <w:rPr>
          <w:i w:val="0"/>
        </w:rPr>
        <w:t xml:space="preserve"> Impact assessment and minimi</w:t>
      </w:r>
      <w:r w:rsidRPr="00E377E3">
        <w:rPr>
          <w:rFonts w:asciiTheme="minorHAnsi" w:hAnsiTheme="minorHAnsi"/>
          <w:i w:val="0"/>
          <w:lang w:val="en-US"/>
        </w:rPr>
        <w:t>s</w:t>
      </w:r>
      <w:r w:rsidRPr="00E377E3">
        <w:rPr>
          <w:i w:val="0"/>
        </w:rPr>
        <w:t>ing adverse impacts (Article 14</w:t>
      </w:r>
      <w:r w:rsidRPr="00E377E3">
        <w:rPr>
          <w:i w:val="0"/>
          <w:lang w:val="en-CA"/>
        </w:rPr>
        <w:t>.1</w:t>
      </w:r>
      <w:r w:rsidRPr="00E377E3">
        <w:rPr>
          <w:i w:val="0"/>
        </w:rPr>
        <w:t>(a) and (b))</w:t>
      </w:r>
      <w:r w:rsidR="00BE6A31" w:rsidRPr="00E377E3">
        <w:rPr>
          <w:rFonts w:asciiTheme="minorHAnsi" w:hAnsiTheme="minorHAnsi"/>
          <w:i w:val="0"/>
          <w:lang w:val="en-US"/>
        </w:rPr>
        <w:t>.</w:t>
      </w:r>
    </w:p>
    <w:p w14:paraId="6EE3B089" w14:textId="337F016F" w:rsidR="00B12251" w:rsidRPr="00FB31A7" w:rsidRDefault="00B12251" w:rsidP="00B12251">
      <w:pPr>
        <w:suppressAutoHyphens/>
        <w:spacing w:after="120" w:line="240" w:lineRule="auto"/>
        <w:jc w:val="both"/>
        <w:rPr>
          <w:rFonts w:ascii="Times New Roman" w:eastAsia="SimSun" w:hAnsi="Times New Roman"/>
          <w:bCs/>
          <w:kern w:val="22"/>
          <w:lang w:eastAsia="hi-IN" w:bidi="hi-IN"/>
        </w:rPr>
      </w:pPr>
      <w:r w:rsidRPr="00FB31A7">
        <w:rPr>
          <w:rFonts w:ascii="Times New Roman" w:eastAsia="SimSun" w:hAnsi="Times New Roman"/>
          <w:kern w:val="22"/>
          <w:lang w:eastAsia="hi-IN" w:bidi="hi-IN"/>
        </w:rPr>
        <w:t>Article 14</w:t>
      </w:r>
      <w:r>
        <w:rPr>
          <w:rFonts w:ascii="Times New Roman" w:eastAsia="SimSun" w:hAnsi="Times New Roman"/>
          <w:kern w:val="22"/>
          <w:lang w:eastAsia="hi-IN" w:bidi="hi-IN"/>
        </w:rPr>
        <w:t>.1</w:t>
      </w:r>
      <w:r w:rsidRPr="00FB31A7">
        <w:rPr>
          <w:rFonts w:ascii="Times New Roman" w:eastAsia="SimSun" w:hAnsi="Times New Roman"/>
          <w:bCs/>
          <w:kern w:val="22"/>
          <w:lang w:eastAsia="hi-IN" w:bidi="hi-IN"/>
        </w:rPr>
        <w:t>(a) of the Convention commits each Party to, as far as possible and as appropriate, “</w:t>
      </w:r>
      <w:r w:rsidRPr="00396AB7">
        <w:rPr>
          <w:rFonts w:ascii="Times New Roman" w:eastAsia="SimSun" w:hAnsi="Times New Roman"/>
          <w:bCs/>
          <w:i/>
          <w:iCs/>
          <w:kern w:val="22"/>
          <w:lang w:eastAsia="hi-IN" w:bidi="hi-IN"/>
        </w:rPr>
        <w:t>introduce appropriate procedures requiring environmental impact assessment of its proposed projects that are likely to have significant adverse effects on biological diversity (…)</w:t>
      </w:r>
      <w:r w:rsidRPr="00FB31A7">
        <w:rPr>
          <w:rFonts w:ascii="Times New Roman" w:eastAsia="SimSun" w:hAnsi="Times New Roman"/>
          <w:bCs/>
          <w:kern w:val="22"/>
          <w:lang w:eastAsia="hi-IN" w:bidi="hi-IN"/>
        </w:rPr>
        <w:t>”</w:t>
      </w:r>
      <w:r w:rsidR="00CD1725">
        <w:rPr>
          <w:rFonts w:ascii="Times New Roman" w:eastAsia="SimSun" w:hAnsi="Times New Roman"/>
          <w:bCs/>
          <w:kern w:val="22"/>
          <w:lang w:eastAsia="hi-IN" w:bidi="hi-IN"/>
        </w:rPr>
        <w:t>.</w:t>
      </w:r>
      <w:r w:rsidRPr="00FB31A7">
        <w:rPr>
          <w:rFonts w:ascii="Times New Roman" w:eastAsia="SimSun" w:hAnsi="Times New Roman"/>
          <w:bCs/>
          <w:kern w:val="22"/>
          <w:lang w:eastAsia="hi-IN" w:bidi="hi-IN"/>
        </w:rPr>
        <w:t xml:space="preserve"> Article 14</w:t>
      </w:r>
      <w:r>
        <w:rPr>
          <w:rFonts w:ascii="Times New Roman" w:eastAsia="SimSun" w:hAnsi="Times New Roman"/>
          <w:bCs/>
          <w:kern w:val="22"/>
          <w:lang w:eastAsia="hi-IN" w:bidi="hi-IN"/>
        </w:rPr>
        <w:t>.1</w:t>
      </w:r>
      <w:r w:rsidRPr="00FB31A7">
        <w:rPr>
          <w:rFonts w:ascii="Times New Roman" w:eastAsia="SimSun" w:hAnsi="Times New Roman"/>
          <w:bCs/>
          <w:kern w:val="22"/>
          <w:lang w:eastAsia="hi-IN" w:bidi="hi-IN"/>
        </w:rPr>
        <w:t>(b) requires each Party, as far as possible and as appropriate, to “</w:t>
      </w:r>
      <w:r w:rsidRPr="00396AB7">
        <w:rPr>
          <w:rFonts w:ascii="Times New Roman" w:eastAsia="SimSun" w:hAnsi="Times New Roman"/>
          <w:bCs/>
          <w:i/>
          <w:iCs/>
          <w:kern w:val="22"/>
          <w:lang w:eastAsia="hi-IN" w:bidi="hi-IN"/>
        </w:rPr>
        <w:t>introduce appropriate arrangements to ensure that the environmental consequences of its programmes and policies that are likely to have significant adverse impacts on biological diversity are duly taken into account</w:t>
      </w:r>
      <w:r w:rsidRPr="00FB31A7">
        <w:rPr>
          <w:rFonts w:ascii="Times New Roman" w:eastAsia="SimSun" w:hAnsi="Times New Roman"/>
          <w:bCs/>
          <w:kern w:val="22"/>
          <w:lang w:eastAsia="hi-IN" w:bidi="hi-IN"/>
        </w:rPr>
        <w:t xml:space="preserve">”. </w:t>
      </w:r>
    </w:p>
    <w:p w14:paraId="2FF86CF5" w14:textId="7D197B81" w:rsidR="00B12251" w:rsidRPr="00FB31A7" w:rsidRDefault="00B12251" w:rsidP="00B12251">
      <w:pPr>
        <w:suppressAutoHyphens/>
        <w:spacing w:after="120" w:line="240" w:lineRule="auto"/>
        <w:jc w:val="both"/>
        <w:rPr>
          <w:rFonts w:ascii="Times New Roman" w:eastAsia="SimSun" w:hAnsi="Times New Roman"/>
          <w:bCs/>
          <w:kern w:val="22"/>
          <w:lang w:eastAsia="hi-IN" w:bidi="hi-IN"/>
        </w:rPr>
      </w:pPr>
      <w:r w:rsidRPr="00FB31A7">
        <w:rPr>
          <w:rFonts w:ascii="Times New Roman" w:hAnsi="Times New Roman"/>
          <w:kern w:val="22"/>
        </w:rPr>
        <w:t>This</w:t>
      </w:r>
      <w:r w:rsidRPr="00FB31A7">
        <w:rPr>
          <w:rFonts w:ascii="Times New Roman" w:eastAsia="SimSun" w:hAnsi="Times New Roman"/>
          <w:bCs/>
          <w:kern w:val="22"/>
          <w:lang w:eastAsia="hi-IN" w:bidi="hi-IN"/>
        </w:rPr>
        <w:t xml:space="preserve"> provision requires Parties that do not have procedures for environmental impact assessments for their proposed projects, which are likely to cause significant adverse effects on biological diversity, to introduce such procedures </w:t>
      </w:r>
      <w:r w:rsidR="00902F97">
        <w:rPr>
          <w:rFonts w:ascii="Times New Roman" w:eastAsia="SimSun" w:hAnsi="Times New Roman"/>
          <w:bCs/>
          <w:kern w:val="22"/>
          <w:lang w:eastAsia="hi-IN" w:bidi="hi-IN"/>
        </w:rPr>
        <w:fldChar w:fldCharType="begin" w:fldLock="1"/>
      </w:r>
      <w:r w:rsidR="00F33C0E">
        <w:rPr>
          <w:rFonts w:ascii="Times New Roman" w:eastAsia="SimSun" w:hAnsi="Times New Roman"/>
          <w:bCs/>
          <w:kern w:val="22"/>
          <w:lang w:eastAsia="hi-IN" w:bidi="hi-IN"/>
        </w:rPr>
        <w:instrText>ADDIN CSL_CITATION {"citationItems":[{"id":"ITEM-1","itemData":{"author":[{"dropping-particle":"","family":"Glowka","given":"","non-dropping-particle":"","parse-names":false,"suffix":""},{"dropping-particle":"","family":"Lyle","given":"","non-dropping-particle":"","parse-names":false,"suffix":""},{"dropping-particle":"","family":"Burhenne-Guilmin","given":"Francoise","non-dropping-particle":"","parse-names":false,"suffix":""},{"dropping-particle":"","family":"Synge","given":"Hugh","non-dropping-particle":"","parse-names":false,"suffix":""}],"id":"ITEM-1","issued":{"date-parts":[["1994"]]},"publisher":"IUCN, International Union for Conservation of Nature","title":"A Guide to the CBD","type":"article"},"uris":["http://www.mendeley.com/documents/?uuid=d34c9a4a-08ed-4fe8-80b4-2395143aae95"]}],"mendeley":{"formattedCitation":"(Glowka et al., 1994)","plainTextFormattedCitation":"(Glowka et al., 1994)","previouslyFormattedCitation":"(Glowka et al., 1994)"},"properties":{"noteIndex":0},"schema":"https://github.com/citation-style-language/schema/raw/master/csl-citation.json"}</w:instrText>
      </w:r>
      <w:r w:rsidR="00902F97">
        <w:rPr>
          <w:rFonts w:ascii="Times New Roman" w:eastAsia="SimSun" w:hAnsi="Times New Roman"/>
          <w:bCs/>
          <w:kern w:val="22"/>
          <w:lang w:eastAsia="hi-IN" w:bidi="hi-IN"/>
        </w:rPr>
        <w:fldChar w:fldCharType="separate"/>
      </w:r>
      <w:r w:rsidR="00902F97" w:rsidRPr="00902F97">
        <w:rPr>
          <w:rFonts w:ascii="Times New Roman" w:eastAsia="SimSun" w:hAnsi="Times New Roman"/>
          <w:bCs/>
          <w:noProof/>
          <w:kern w:val="22"/>
          <w:lang w:eastAsia="hi-IN" w:bidi="hi-IN"/>
        </w:rPr>
        <w:t>(Glowka et al., 1994)</w:t>
      </w:r>
      <w:r w:rsidR="00902F97">
        <w:rPr>
          <w:rFonts w:ascii="Times New Roman" w:eastAsia="SimSun" w:hAnsi="Times New Roman"/>
          <w:bCs/>
          <w:kern w:val="22"/>
          <w:lang w:eastAsia="hi-IN" w:bidi="hi-IN"/>
        </w:rPr>
        <w:fldChar w:fldCharType="end"/>
      </w:r>
      <w:r w:rsidRPr="00FB31A7">
        <w:rPr>
          <w:rFonts w:ascii="Times New Roman" w:eastAsia="SimSun" w:hAnsi="Times New Roman"/>
          <w:bCs/>
          <w:kern w:val="22"/>
          <w:lang w:eastAsia="hi-IN" w:bidi="hi-IN"/>
        </w:rPr>
        <w:t>. Where synthetic biology projects are projects of a Party and are likely to have significant adverse effects on biological diversity, they should be covered by the environmental impact assessment procedures required by Article 14</w:t>
      </w:r>
      <w:r>
        <w:rPr>
          <w:rFonts w:ascii="Times New Roman" w:eastAsia="SimSun" w:hAnsi="Times New Roman"/>
          <w:bCs/>
          <w:kern w:val="22"/>
          <w:lang w:eastAsia="hi-IN" w:bidi="hi-IN"/>
        </w:rPr>
        <w:t>.1</w:t>
      </w:r>
      <w:r w:rsidRPr="00FB31A7">
        <w:rPr>
          <w:rFonts w:ascii="Times New Roman" w:eastAsia="SimSun" w:hAnsi="Times New Roman"/>
          <w:bCs/>
          <w:kern w:val="22"/>
          <w:lang w:eastAsia="hi-IN" w:bidi="hi-IN"/>
        </w:rPr>
        <w:t>(a).</w:t>
      </w:r>
    </w:p>
    <w:p w14:paraId="5E5343F7" w14:textId="635FE67D" w:rsidR="008B5D73" w:rsidRPr="00FB31A7" w:rsidRDefault="00B12251" w:rsidP="00B12251">
      <w:pPr>
        <w:suppressAutoHyphens/>
        <w:spacing w:after="120" w:line="240" w:lineRule="auto"/>
        <w:jc w:val="both"/>
        <w:rPr>
          <w:rFonts w:ascii="Times New Roman" w:eastAsia="SimSun" w:hAnsi="Times New Roman"/>
          <w:kern w:val="22"/>
          <w:lang w:eastAsia="hi-IN" w:bidi="hi-IN"/>
        </w:rPr>
      </w:pPr>
      <w:r w:rsidRPr="30F18338">
        <w:rPr>
          <w:rFonts w:ascii="Times New Roman" w:eastAsia="SimSun" w:hAnsi="Times New Roman"/>
          <w:kern w:val="22"/>
          <w:lang w:eastAsia="hi-IN" w:bidi="hi-IN"/>
        </w:rPr>
        <w:t xml:space="preserve">The Convention does not define further what is understood by “likely” and “significant”. As elaborated in </w:t>
      </w:r>
      <w:r w:rsidR="00E34A15" w:rsidRPr="30F18338">
        <w:rPr>
          <w:rFonts w:ascii="Times New Roman" w:eastAsia="SimSun" w:hAnsi="Times New Roman"/>
          <w:kern w:val="22"/>
          <w:lang w:eastAsia="hi-IN" w:bidi="hi-IN"/>
        </w:rPr>
        <w:t>S</w:t>
      </w:r>
      <w:r w:rsidRPr="30F18338">
        <w:rPr>
          <w:rFonts w:ascii="Times New Roman" w:eastAsia="SimSun" w:hAnsi="Times New Roman"/>
          <w:kern w:val="22"/>
          <w:lang w:eastAsia="hi-IN" w:bidi="hi-IN"/>
        </w:rPr>
        <w:t xml:space="preserve">ection </w:t>
      </w:r>
      <w:r w:rsidR="00F94057" w:rsidRPr="00B90D10">
        <w:rPr>
          <w:rFonts w:ascii="Times New Roman" w:eastAsia="SimSun" w:hAnsi="Times New Roman"/>
          <w:kern w:val="22"/>
          <w:lang w:eastAsia="hi-IN" w:bidi="hi-IN"/>
        </w:rPr>
        <w:t>9.3.1(a)</w:t>
      </w:r>
      <w:r w:rsidR="00E34A15" w:rsidRPr="00A17924">
        <w:rPr>
          <w:rFonts w:ascii="Times New Roman" w:eastAsia="SimSun" w:hAnsi="Times New Roman"/>
          <w:color w:val="2B579A"/>
          <w:kern w:val="22"/>
          <w:shd w:val="clear" w:color="auto" w:fill="E6E6E6"/>
          <w:lang w:eastAsia="hi-IN" w:bidi="hi-IN"/>
        </w:rPr>
        <w:t>.</w:t>
      </w:r>
      <w:r w:rsidRPr="30F18338">
        <w:rPr>
          <w:rFonts w:ascii="Times New Roman" w:eastAsia="SimSun" w:hAnsi="Times New Roman"/>
          <w:kern w:val="22"/>
          <w:lang w:eastAsia="hi-IN" w:bidi="hi-IN"/>
        </w:rPr>
        <w:t xml:space="preserve">, “significant” under </w:t>
      </w:r>
      <w:r w:rsidRPr="0083410A">
        <w:rPr>
          <w:rFonts w:ascii="Times New Roman" w:eastAsia="SimSun" w:hAnsi="Times New Roman"/>
          <w:kern w:val="22"/>
          <w:lang w:eastAsia="hi-IN" w:bidi="hi-IN"/>
        </w:rPr>
        <w:t xml:space="preserve">international </w:t>
      </w:r>
      <w:r w:rsidR="00700C12" w:rsidRPr="0083410A">
        <w:rPr>
          <w:rFonts w:ascii="Times New Roman" w:eastAsia="SimSun" w:hAnsi="Times New Roman"/>
          <w:kern w:val="22"/>
          <w:lang w:eastAsia="hi-IN" w:bidi="hi-IN"/>
        </w:rPr>
        <w:t xml:space="preserve">customary </w:t>
      </w:r>
      <w:r w:rsidRPr="0083410A">
        <w:rPr>
          <w:rFonts w:ascii="Times New Roman" w:eastAsia="SimSun" w:hAnsi="Times New Roman"/>
          <w:kern w:val="22"/>
          <w:lang w:eastAsia="hi-IN" w:bidi="hi-IN"/>
        </w:rPr>
        <w:t>law</w:t>
      </w:r>
      <w:r w:rsidRPr="30F18338">
        <w:rPr>
          <w:rFonts w:ascii="Times New Roman" w:eastAsia="SimSun" w:hAnsi="Times New Roman"/>
          <w:kern w:val="22"/>
          <w:lang w:eastAsia="hi-IN" w:bidi="hi-IN"/>
        </w:rPr>
        <w:t xml:space="preserve"> could be understood </w:t>
      </w:r>
      <w:r w:rsidR="7CC6B6EF" w:rsidRPr="235CAC48">
        <w:rPr>
          <w:rFonts w:ascii="Times New Roman" w:eastAsia="SimSun" w:hAnsi="Times New Roman"/>
          <w:kern w:val="22"/>
          <w:lang w:eastAsia="hi-IN" w:bidi="hi-IN"/>
        </w:rPr>
        <w:t>as</w:t>
      </w:r>
      <w:r w:rsidRPr="30F18338">
        <w:rPr>
          <w:rFonts w:ascii="Times New Roman" w:eastAsia="SimSun" w:hAnsi="Times New Roman"/>
          <w:kern w:val="22"/>
          <w:lang w:eastAsia="hi-IN" w:bidi="hi-IN"/>
        </w:rPr>
        <w:t xml:space="preserve"> a </w:t>
      </w:r>
      <w:r w:rsidR="357F9290" w:rsidRPr="252D9987">
        <w:rPr>
          <w:rFonts w:ascii="Times New Roman" w:eastAsia="SimSun" w:hAnsi="Times New Roman"/>
          <w:kern w:val="22"/>
          <w:lang w:eastAsia="hi-IN" w:bidi="hi-IN"/>
        </w:rPr>
        <w:t xml:space="preserve">threshold exceeding </w:t>
      </w:r>
      <w:r w:rsidRPr="252D9987">
        <w:rPr>
          <w:rFonts w:ascii="Times New Roman" w:eastAsia="SimSun" w:hAnsi="Times New Roman"/>
          <w:i/>
          <w:iCs/>
          <w:kern w:val="22"/>
          <w:lang w:eastAsia="hi-IN" w:bidi="hi-IN"/>
        </w:rPr>
        <w:t>de</w:t>
      </w:r>
      <w:r w:rsidRPr="30F18338">
        <w:rPr>
          <w:rFonts w:ascii="Times New Roman" w:eastAsia="SimSun" w:hAnsi="Times New Roman"/>
          <w:i/>
          <w:iCs/>
          <w:kern w:val="22"/>
          <w:lang w:eastAsia="hi-IN" w:bidi="hi-IN"/>
        </w:rPr>
        <w:t xml:space="preserve"> minimis</w:t>
      </w:r>
      <w:r w:rsidRPr="30F18338">
        <w:rPr>
          <w:rFonts w:ascii="Times New Roman" w:eastAsia="SimSun" w:hAnsi="Times New Roman"/>
          <w:kern w:val="22"/>
          <w:lang w:eastAsia="hi-IN" w:bidi="hi-IN"/>
        </w:rPr>
        <w:t xml:space="preserve"> threshold and </w:t>
      </w:r>
      <w:r w:rsidR="63B2AE5B" w:rsidRPr="5A7DF0B6">
        <w:rPr>
          <w:rFonts w:ascii="Times New Roman" w:eastAsia="SimSun" w:hAnsi="Times New Roman"/>
          <w:kern w:val="22"/>
          <w:lang w:eastAsia="hi-IN" w:bidi="hi-IN"/>
        </w:rPr>
        <w:t>that</w:t>
      </w:r>
      <w:r w:rsidRPr="30F18338">
        <w:rPr>
          <w:rFonts w:ascii="Times New Roman" w:eastAsia="SimSun" w:hAnsi="Times New Roman"/>
          <w:kern w:val="22"/>
          <w:lang w:eastAsia="hi-IN" w:bidi="hi-IN"/>
        </w:rPr>
        <w:t xml:space="preserve"> require</w:t>
      </w:r>
      <w:r w:rsidR="00C51D9D">
        <w:rPr>
          <w:rFonts w:ascii="Times New Roman" w:eastAsia="SimSun" w:hAnsi="Times New Roman"/>
          <w:kern w:val="22"/>
          <w:lang w:eastAsia="hi-IN" w:bidi="hi-IN"/>
        </w:rPr>
        <w:t>s</w:t>
      </w:r>
      <w:r w:rsidRPr="30F18338">
        <w:rPr>
          <w:rFonts w:ascii="Times New Roman" w:eastAsia="SimSun" w:hAnsi="Times New Roman"/>
          <w:kern w:val="22"/>
          <w:lang w:eastAsia="hi-IN" w:bidi="hi-IN"/>
        </w:rPr>
        <w:t xml:space="preserve"> a certain intensity of impact. As has been discussed above, the probability of potential negative impacts of synthetic biology techniques is </w:t>
      </w:r>
      <w:r w:rsidR="00E15216">
        <w:rPr>
          <w:rFonts w:ascii="Times New Roman" w:eastAsia="SimSun" w:hAnsi="Times New Roman"/>
          <w:kern w:val="22"/>
          <w:lang w:eastAsia="hi-IN" w:bidi="hi-IN"/>
        </w:rPr>
        <w:t xml:space="preserve">unclear </w:t>
      </w:r>
      <w:r w:rsidRPr="30F18338">
        <w:rPr>
          <w:rFonts w:ascii="Times New Roman" w:eastAsia="SimSun" w:hAnsi="Times New Roman"/>
          <w:kern w:val="22"/>
          <w:lang w:eastAsia="hi-IN" w:bidi="hi-IN"/>
        </w:rPr>
        <w:t xml:space="preserve">for many applications. In addition, the interpretation of “likely” and “significant” may also have to take into account the case of low-probability, high-impact scenarios which some synthetic biology applications may pose. </w:t>
      </w:r>
    </w:p>
    <w:p w14:paraId="7DD5C672" w14:textId="3B6347AD" w:rsidR="00B12251" w:rsidRPr="00E377E3" w:rsidRDefault="00B12251" w:rsidP="00B12251">
      <w:pPr>
        <w:pStyle w:val="Heading4"/>
        <w:rPr>
          <w:rFonts w:asciiTheme="minorHAnsi" w:hAnsiTheme="minorHAnsi"/>
          <w:i w:val="0"/>
          <w:lang w:val="en-US"/>
        </w:rPr>
      </w:pPr>
      <w:r w:rsidRPr="00E377E3">
        <w:rPr>
          <w:i w:val="0"/>
          <w:lang w:val="en-US"/>
        </w:rPr>
        <w:t>8.1.4.</w:t>
      </w:r>
      <w:r w:rsidRPr="00E377E3">
        <w:rPr>
          <w:i w:val="0"/>
        </w:rPr>
        <w:t xml:space="preserve"> Biosafety provisions associated with LMOs (Article 8(g) and 19(4))</w:t>
      </w:r>
      <w:r w:rsidR="00BE6A31" w:rsidRPr="00E377E3">
        <w:rPr>
          <w:rFonts w:asciiTheme="minorHAnsi" w:hAnsiTheme="minorHAnsi"/>
          <w:i w:val="0"/>
          <w:lang w:val="en-US"/>
        </w:rPr>
        <w:t>.</w:t>
      </w:r>
    </w:p>
    <w:p w14:paraId="0D2B0DA9" w14:textId="77777777" w:rsidR="00B12251" w:rsidRPr="00FB31A7" w:rsidRDefault="00B12251" w:rsidP="00B12251">
      <w:pPr>
        <w:suppressAutoHyphens/>
        <w:spacing w:after="120" w:line="240" w:lineRule="auto"/>
        <w:jc w:val="both"/>
        <w:rPr>
          <w:rFonts w:ascii="Times New Roman" w:eastAsia="SimSun" w:hAnsi="Times New Roman"/>
          <w:kern w:val="22"/>
          <w:lang w:eastAsia="hi-IN" w:bidi="hi-IN"/>
        </w:rPr>
      </w:pPr>
      <w:r w:rsidRPr="00FB31A7">
        <w:rPr>
          <w:rFonts w:ascii="Times New Roman" w:eastAsia="SimSun" w:hAnsi="Times New Roman"/>
          <w:kern w:val="22"/>
          <w:lang w:eastAsia="hi-IN" w:bidi="hi-IN"/>
        </w:rPr>
        <w:t xml:space="preserve">The majority of the Convention’s work on biosafety has focused on the negotiation, in response to Article 19, paragraph 3 of the Convention, and subsequent on-going implementation of the Cartagena Protocol on Biosafety </w:t>
      </w:r>
      <w:r w:rsidRPr="00DB41A7">
        <w:rPr>
          <w:rFonts w:ascii="Times New Roman" w:eastAsia="SimSun" w:hAnsi="Times New Roman"/>
          <w:kern w:val="22"/>
          <w:lang w:eastAsia="hi-IN" w:bidi="hi-IN"/>
        </w:rPr>
        <w:t>(SCBD 2005).</w:t>
      </w:r>
      <w:r w:rsidRPr="00FB31A7">
        <w:rPr>
          <w:rFonts w:ascii="Times New Roman" w:eastAsia="SimSun" w:hAnsi="Times New Roman"/>
          <w:kern w:val="22"/>
          <w:lang w:eastAsia="hi-IN" w:bidi="hi-IN"/>
        </w:rPr>
        <w:t xml:space="preserve"> The Convention itself addresses biosafety through Articles 8(g) and 19, paragraph 4. </w:t>
      </w:r>
    </w:p>
    <w:p w14:paraId="47B7C4D1" w14:textId="77777777" w:rsidR="00B12251" w:rsidRPr="00FB31A7" w:rsidRDefault="00B12251" w:rsidP="00B12251">
      <w:pPr>
        <w:suppressAutoHyphens/>
        <w:spacing w:after="120" w:line="240" w:lineRule="auto"/>
        <w:jc w:val="both"/>
        <w:rPr>
          <w:rFonts w:ascii="Times New Roman" w:eastAsia="SimSun" w:hAnsi="Times New Roman"/>
          <w:kern w:val="22"/>
          <w:lang w:eastAsia="hi-IN" w:bidi="hi-IN"/>
        </w:rPr>
      </w:pPr>
      <w:r w:rsidRPr="00FB31A7">
        <w:rPr>
          <w:rFonts w:ascii="Times New Roman" w:eastAsia="SimSun" w:hAnsi="Times New Roman"/>
          <w:bCs/>
          <w:kern w:val="22"/>
          <w:lang w:eastAsia="hi-IN" w:bidi="hi-IN"/>
        </w:rPr>
        <w:t>Article 8(g) requires Parties, as far as possible and as appropriate, to “e</w:t>
      </w:r>
      <w:r w:rsidRPr="00FB31A7">
        <w:rPr>
          <w:rFonts w:ascii="Times New Roman" w:eastAsia="SimSun" w:hAnsi="Times New Roman"/>
          <w:kern w:val="22"/>
          <w:lang w:eastAsia="hi-IN" w:bidi="hi-IN"/>
        </w:rPr>
        <w:t>stablish or maintain means to regulate, manage or control the risks associated with the use and release of living modified organisms resulting from biotechnology which are likely to have adverse environmental impacts that could affect the conservation and sustainable use of biological diversity, taking also into account the risks to human health.” Article 19, paragraph 4 states that Parties shall provide any available information about their use and safety regulations in handling any living modified organism resulting from biotechnology that may have adverse effect on the conservation and sustainable use of biological diversity, as well as any available information on the potential adverse impact of the specific organisms concerned to a Party into which those organisms are to be introduced.</w:t>
      </w:r>
    </w:p>
    <w:p w14:paraId="70065725" w14:textId="6E958942" w:rsidR="00B12251" w:rsidRPr="00FB31A7" w:rsidRDefault="00B12251" w:rsidP="00B12251">
      <w:pPr>
        <w:suppressAutoHyphens/>
        <w:spacing w:after="120" w:line="240" w:lineRule="auto"/>
        <w:jc w:val="both"/>
        <w:rPr>
          <w:rFonts w:ascii="Times New Roman" w:eastAsia="SimSun" w:hAnsi="Times New Roman"/>
          <w:kern w:val="22"/>
          <w:lang w:eastAsia="hi-IN" w:bidi="hi-IN"/>
        </w:rPr>
      </w:pPr>
      <w:r w:rsidRPr="00FB31A7">
        <w:rPr>
          <w:rFonts w:ascii="Times New Roman" w:eastAsia="SimSun" w:hAnsi="Times New Roman"/>
          <w:iCs/>
          <w:kern w:val="22"/>
          <w:lang w:eastAsia="hi-IN" w:bidi="hi-IN"/>
        </w:rPr>
        <w:t>“Biotechnology”</w:t>
      </w:r>
      <w:r w:rsidRPr="00FB31A7">
        <w:rPr>
          <w:rFonts w:ascii="Times New Roman" w:eastAsia="SimSun" w:hAnsi="Times New Roman"/>
          <w:i/>
          <w:kern w:val="22"/>
          <w:lang w:eastAsia="hi-IN" w:bidi="hi-IN"/>
        </w:rPr>
        <w:t xml:space="preserve"> </w:t>
      </w:r>
      <w:r w:rsidRPr="00FB31A7">
        <w:rPr>
          <w:rFonts w:ascii="Times New Roman" w:eastAsia="SimSun" w:hAnsi="Times New Roman"/>
          <w:kern w:val="22"/>
          <w:lang w:eastAsia="hi-IN" w:bidi="hi-IN"/>
        </w:rPr>
        <w:t xml:space="preserve">is defined in Article 2 of the Convention as any technological application that uses biological systems, living organisms, or derivatives thereof, to make or modify products or processes for specific use (Article 2). </w:t>
      </w:r>
      <w:r w:rsidRPr="00FB31A7">
        <w:rPr>
          <w:rFonts w:ascii="Times New Roman" w:eastAsia="SimSun" w:hAnsi="Times New Roman"/>
          <w:bCs/>
          <w:kern w:val="22"/>
          <w:lang w:eastAsia="hi-IN" w:bidi="hi-IN"/>
        </w:rPr>
        <w:t xml:space="preserve">According to the IUCN </w:t>
      </w:r>
      <w:r w:rsidRPr="00FB31A7">
        <w:rPr>
          <w:rFonts w:ascii="Times New Roman" w:eastAsia="SimSun" w:hAnsi="Times New Roman"/>
          <w:bCs/>
          <w:i/>
          <w:kern w:val="22"/>
          <w:lang w:eastAsia="hi-IN" w:bidi="hi-IN"/>
        </w:rPr>
        <w:t>Guide to the Convention on Biological Diversity</w:t>
      </w:r>
      <w:r w:rsidRPr="00FB31A7">
        <w:rPr>
          <w:rFonts w:ascii="Times New Roman" w:eastAsia="SimSun" w:hAnsi="Times New Roman"/>
          <w:bCs/>
          <w:kern w:val="22"/>
          <w:lang w:eastAsia="hi-IN" w:bidi="hi-IN"/>
        </w:rPr>
        <w:t xml:space="preserve">, this definition was “designed to include both present and future technologies and processes” </w:t>
      </w:r>
      <w:r w:rsidR="00F33C0E">
        <w:rPr>
          <w:rFonts w:ascii="Times New Roman" w:eastAsia="SimSun" w:hAnsi="Times New Roman"/>
          <w:bCs/>
          <w:kern w:val="22"/>
          <w:lang w:eastAsia="hi-IN" w:bidi="hi-IN"/>
        </w:rPr>
        <w:fldChar w:fldCharType="begin" w:fldLock="1"/>
      </w:r>
      <w:r w:rsidR="008C0847">
        <w:rPr>
          <w:rFonts w:ascii="Times New Roman" w:eastAsia="SimSun" w:hAnsi="Times New Roman"/>
          <w:bCs/>
          <w:kern w:val="22"/>
          <w:lang w:eastAsia="hi-IN" w:bidi="hi-IN"/>
        </w:rPr>
        <w:instrText>ADDIN CSL_CITATION {"citationItems":[{"id":"ITEM-1","itemData":{"author":[{"dropping-particle":"","family":"Glowka","given":"","non-dropping-particle":"","parse-names":false,"suffix":""},{"dropping-particle":"","family":"Lyle","given":"","non-dropping-particle":"","parse-names":false,"suffix":""},{"dropping-particle":"","family":"Burhenne-Guilmin","given":"Francoise","non-dropping-particle":"","parse-names":false,"suffix":""},{"dropping-particle":"","family":"Synge","given":"Hugh","non-dropping-particle":"","parse-names":false,"suffix":""}],"id":"ITEM-1","issued":{"date-parts":[["1994"]]},"publisher":"IUCN, International Union for Conservation of Nature","title":"A Guide to the CBD","type":"article"},"uris":["http://www.mendeley.com/documents/?uuid=d34c9a4a-08ed-4fe8-80b4-2395143aae95"]}],"mendeley":{"formattedCitation":"(Glowka et al., 1994)","plainTextFormattedCitation":"(Glowka et al., 1994)","previouslyFormattedCitation":"(Glowka et al., 1994)"},"properties":{"noteIndex":0},"schema":"https://github.com/citation-style-language/schema/raw/master/csl-citation.json"}</w:instrText>
      </w:r>
      <w:r w:rsidR="00F33C0E">
        <w:rPr>
          <w:rFonts w:ascii="Times New Roman" w:eastAsia="SimSun" w:hAnsi="Times New Roman"/>
          <w:bCs/>
          <w:kern w:val="22"/>
          <w:lang w:eastAsia="hi-IN" w:bidi="hi-IN"/>
        </w:rPr>
        <w:fldChar w:fldCharType="separate"/>
      </w:r>
      <w:r w:rsidR="00F33C0E" w:rsidRPr="00F33C0E">
        <w:rPr>
          <w:rFonts w:ascii="Times New Roman" w:eastAsia="SimSun" w:hAnsi="Times New Roman"/>
          <w:bCs/>
          <w:noProof/>
          <w:kern w:val="22"/>
          <w:lang w:eastAsia="hi-IN" w:bidi="hi-IN"/>
        </w:rPr>
        <w:t>(Glowka et al., 1994)</w:t>
      </w:r>
      <w:r w:rsidR="00F33C0E">
        <w:rPr>
          <w:rFonts w:ascii="Times New Roman" w:eastAsia="SimSun" w:hAnsi="Times New Roman"/>
          <w:bCs/>
          <w:kern w:val="22"/>
          <w:lang w:eastAsia="hi-IN" w:bidi="hi-IN"/>
        </w:rPr>
        <w:fldChar w:fldCharType="end"/>
      </w:r>
      <w:r w:rsidRPr="00FB31A7">
        <w:rPr>
          <w:rFonts w:ascii="Times New Roman" w:eastAsia="SimSun" w:hAnsi="Times New Roman"/>
          <w:bCs/>
          <w:kern w:val="22"/>
          <w:lang w:eastAsia="hi-IN" w:bidi="hi-IN"/>
        </w:rPr>
        <w:t>. The Convention does not define “biological systems,” “living organisms,” or “derivatives thereof” (see Article 2).</w:t>
      </w:r>
      <w:r w:rsidRPr="42F65B03">
        <w:rPr>
          <w:rFonts w:ascii="Times New Roman" w:eastAsia="SimSun" w:hAnsi="Times New Roman"/>
          <w:lang w:eastAsia="hi-IN" w:bidi="hi-IN"/>
        </w:rPr>
        <w:t xml:space="preserve"> </w:t>
      </w:r>
      <w:r w:rsidRPr="00FB31A7">
        <w:rPr>
          <w:rFonts w:ascii="Times New Roman" w:eastAsia="SimSun" w:hAnsi="Times New Roman"/>
          <w:kern w:val="22"/>
          <w:lang w:eastAsia="hi-IN" w:bidi="hi-IN"/>
        </w:rPr>
        <w:t xml:space="preserve"> </w:t>
      </w:r>
    </w:p>
    <w:p w14:paraId="3E4A22BF" w14:textId="44D7BB0C" w:rsidR="00B12251" w:rsidRPr="00FB31A7" w:rsidRDefault="00B12251" w:rsidP="00B12251">
      <w:pPr>
        <w:suppressAutoHyphens/>
        <w:spacing w:after="120" w:line="240" w:lineRule="auto"/>
        <w:jc w:val="both"/>
        <w:rPr>
          <w:rFonts w:ascii="Times New Roman" w:eastAsia="SimSun" w:hAnsi="Times New Roman"/>
          <w:kern w:val="22"/>
          <w:lang w:eastAsia="hi-IN" w:bidi="hi-IN"/>
        </w:rPr>
      </w:pPr>
      <w:r w:rsidRPr="76F7D8A3">
        <w:rPr>
          <w:rFonts w:ascii="Times New Roman" w:eastAsia="SimSun" w:hAnsi="Times New Roman"/>
          <w:kern w:val="22"/>
          <w:lang w:eastAsia="hi-IN" w:bidi="hi-IN"/>
        </w:rPr>
        <w:t xml:space="preserve">Much of the synthetic biology research and most of its </w:t>
      </w:r>
      <w:r w:rsidR="00C83174" w:rsidRPr="76F7D8A3">
        <w:rPr>
          <w:rFonts w:ascii="Times New Roman" w:eastAsia="SimSun" w:hAnsi="Times New Roman"/>
          <w:kern w:val="22"/>
          <w:lang w:eastAsia="hi-IN" w:bidi="hi-IN"/>
        </w:rPr>
        <w:t>commerciali</w:t>
      </w:r>
      <w:r w:rsidR="00C83174">
        <w:rPr>
          <w:rFonts w:ascii="Times New Roman" w:eastAsia="SimSun" w:hAnsi="Times New Roman"/>
          <w:kern w:val="22"/>
          <w:lang w:eastAsia="hi-IN" w:bidi="hi-IN"/>
        </w:rPr>
        <w:t>s</w:t>
      </w:r>
      <w:r w:rsidR="00C83174" w:rsidRPr="76F7D8A3">
        <w:rPr>
          <w:rFonts w:ascii="Times New Roman" w:eastAsia="SimSun" w:hAnsi="Times New Roman"/>
          <w:kern w:val="22"/>
          <w:lang w:eastAsia="hi-IN" w:bidi="hi-IN"/>
        </w:rPr>
        <w:t xml:space="preserve">ed </w:t>
      </w:r>
      <w:r w:rsidRPr="76F7D8A3">
        <w:rPr>
          <w:rFonts w:ascii="Times New Roman" w:eastAsia="SimSun" w:hAnsi="Times New Roman"/>
          <w:kern w:val="22"/>
          <w:lang w:eastAsia="hi-IN" w:bidi="hi-IN"/>
        </w:rPr>
        <w:t xml:space="preserve">products (see Section </w:t>
      </w:r>
      <w:r w:rsidR="00D73991">
        <w:rPr>
          <w:rFonts w:ascii="Times New Roman" w:eastAsia="SimSun" w:hAnsi="Times New Roman"/>
          <w:kern w:val="22"/>
          <w:lang w:eastAsia="hi-IN" w:bidi="hi-IN"/>
        </w:rPr>
        <w:t>3</w:t>
      </w:r>
      <w:r w:rsidR="00C83174">
        <w:rPr>
          <w:rFonts w:ascii="Times New Roman" w:eastAsia="SimSun" w:hAnsi="Times New Roman"/>
          <w:kern w:val="22"/>
          <w:lang w:eastAsia="hi-IN" w:bidi="hi-IN"/>
        </w:rPr>
        <w:t>.</w:t>
      </w:r>
      <w:r w:rsidRPr="76F7D8A3">
        <w:rPr>
          <w:rFonts w:ascii="Times New Roman" w:eastAsia="SimSun" w:hAnsi="Times New Roman"/>
          <w:kern w:val="22"/>
          <w:lang w:eastAsia="hi-IN" w:bidi="hi-IN"/>
        </w:rPr>
        <w:t xml:space="preserve">) involve the use of living organisms, and thus it would be classified as biotechnology as defined by the Convention. </w:t>
      </w:r>
    </w:p>
    <w:p w14:paraId="3D23E06A" w14:textId="77777777" w:rsidR="00B12251" w:rsidRPr="00FB31A7" w:rsidRDefault="00B12251" w:rsidP="00B12251">
      <w:pPr>
        <w:suppressAutoHyphens/>
        <w:spacing w:after="120" w:line="240" w:lineRule="auto"/>
        <w:jc w:val="both"/>
        <w:rPr>
          <w:rFonts w:ascii="Times New Roman" w:eastAsia="SimSun" w:hAnsi="Times New Roman"/>
          <w:kern w:val="22"/>
          <w:lang w:eastAsia="hi-IN" w:bidi="hi-IN"/>
        </w:rPr>
      </w:pPr>
      <w:r w:rsidRPr="00FB31A7">
        <w:rPr>
          <w:rFonts w:ascii="Times New Roman" w:eastAsia="SimSun" w:hAnsi="Times New Roman"/>
          <w:kern w:val="22"/>
          <w:lang w:eastAsia="hi-IN" w:bidi="hi-IN"/>
        </w:rPr>
        <w:t xml:space="preserve">The extent to which biosafety provisions of the Convention apply to synthetic biology depends on the interpretation of “living modified organisms resulting from biotechnology”; “likely to have adverse environmental impacts” and “potential adverse impacts”, and “use and release”, which are discussed in the following sections. </w:t>
      </w:r>
    </w:p>
    <w:p w14:paraId="246512FC" w14:textId="7CF69FA6" w:rsidR="00B12251" w:rsidRPr="00FB31A7" w:rsidRDefault="00B12251" w:rsidP="00E377E3">
      <w:pPr>
        <w:pStyle w:val="Heading5"/>
        <w:numPr>
          <w:ilvl w:val="0"/>
          <w:numId w:val="215"/>
        </w:numPr>
        <w:ind w:left="284" w:hanging="284"/>
      </w:pPr>
      <w:r w:rsidRPr="00FB31A7">
        <w:t>“Living modified organisms”</w:t>
      </w:r>
      <w:r w:rsidR="00BE6A31">
        <w:t>.</w:t>
      </w:r>
    </w:p>
    <w:p w14:paraId="5496042B" w14:textId="28B99602" w:rsidR="00B12251" w:rsidRPr="00FB31A7" w:rsidRDefault="00B12251" w:rsidP="00B12251">
      <w:pPr>
        <w:suppressAutoHyphens/>
        <w:spacing w:after="120" w:line="240" w:lineRule="auto"/>
        <w:jc w:val="both"/>
        <w:rPr>
          <w:rFonts w:ascii="Times New Roman" w:hAnsi="Times New Roman"/>
          <w:kern w:val="22"/>
        </w:rPr>
      </w:pPr>
      <w:r w:rsidRPr="00FB31A7">
        <w:rPr>
          <w:rFonts w:ascii="Times New Roman" w:eastAsia="SimSun" w:hAnsi="Times New Roman"/>
          <w:kern w:val="22"/>
          <w:lang w:eastAsia="hi-IN" w:bidi="hi-IN"/>
        </w:rPr>
        <w:t xml:space="preserve">The text of the Convention does not define “living modified organisms.” According to the IUCN </w:t>
      </w:r>
      <w:r w:rsidRPr="00FB31A7">
        <w:rPr>
          <w:rFonts w:ascii="Times New Roman" w:eastAsia="SimSun" w:hAnsi="Times New Roman"/>
          <w:i/>
          <w:kern w:val="22"/>
          <w:lang w:eastAsia="hi-IN" w:bidi="hi-IN"/>
        </w:rPr>
        <w:t>Guide to the Convention</w:t>
      </w:r>
      <w:r w:rsidRPr="00FB31A7">
        <w:rPr>
          <w:rFonts w:ascii="Times New Roman" w:eastAsia="SimSun" w:hAnsi="Times New Roman"/>
          <w:kern w:val="22"/>
          <w:lang w:eastAsia="hi-IN" w:bidi="hi-IN"/>
        </w:rPr>
        <w:t xml:space="preserve">, negotiators replaced the term “genetically modified organisms” with “living modified organisms” in order to broaden the scope of obligations under the relevant articles </w:t>
      </w:r>
      <w:r w:rsidR="00F33C0E">
        <w:rPr>
          <w:rFonts w:ascii="Times New Roman" w:eastAsia="SimSun" w:hAnsi="Times New Roman"/>
          <w:bCs/>
          <w:kern w:val="22"/>
          <w:lang w:eastAsia="hi-IN" w:bidi="hi-IN"/>
        </w:rPr>
        <w:fldChar w:fldCharType="begin" w:fldLock="1"/>
      </w:r>
      <w:r w:rsidR="008C0847">
        <w:rPr>
          <w:rFonts w:ascii="Times New Roman" w:eastAsia="SimSun" w:hAnsi="Times New Roman"/>
          <w:bCs/>
          <w:kern w:val="22"/>
          <w:lang w:eastAsia="hi-IN" w:bidi="hi-IN"/>
        </w:rPr>
        <w:instrText>ADDIN CSL_CITATION {"citationItems":[{"id":"ITEM-1","itemData":{"author":[{"dropping-particle":"","family":"Glowka","given":"","non-dropping-particle":"","parse-names":false,"suffix":""},{"dropping-particle":"","family":"Lyle","given":"","non-dropping-particle":"","parse-names":false,"suffix":""},{"dropping-particle":"","family":"Burhenne-Guilmin","given":"Francoise","non-dropping-particle":"","parse-names":false,"suffix":""},{"dropping-particle":"","family":"Synge","given":"Hugh","non-dropping-particle":"","parse-names":false,"suffix":""}],"id":"ITEM-1","issued":{"date-parts":[["1994"]]},"publisher":"IUCN, International Union for Conservation of Nature","title":"A Guide to the CBD","type":"article"},"uris":["http://www.mendeley.com/documents/?uuid=d34c9a4a-08ed-4fe8-80b4-2395143aae95"]}],"mendeley":{"formattedCitation":"(Glowka et al., 1994)","plainTextFormattedCitation":"(Glowka et al., 1994)","previouslyFormattedCitation":"(Glowka et al., 1994)"},"properties":{"noteIndex":0},"schema":"https://github.com/citation-style-language/schema/raw/master/csl-citation.json"}</w:instrText>
      </w:r>
      <w:r w:rsidR="00F33C0E">
        <w:rPr>
          <w:rFonts w:ascii="Times New Roman" w:eastAsia="SimSun" w:hAnsi="Times New Roman"/>
          <w:bCs/>
          <w:kern w:val="22"/>
          <w:lang w:eastAsia="hi-IN" w:bidi="hi-IN"/>
        </w:rPr>
        <w:fldChar w:fldCharType="separate"/>
      </w:r>
      <w:r w:rsidR="00F33C0E" w:rsidRPr="00F33C0E">
        <w:rPr>
          <w:rFonts w:ascii="Times New Roman" w:eastAsia="SimSun" w:hAnsi="Times New Roman"/>
          <w:bCs/>
          <w:noProof/>
          <w:kern w:val="22"/>
          <w:lang w:eastAsia="hi-IN" w:bidi="hi-IN"/>
        </w:rPr>
        <w:t>(Glowka et al., 1994)</w:t>
      </w:r>
      <w:r w:rsidR="00F33C0E">
        <w:rPr>
          <w:rFonts w:ascii="Times New Roman" w:eastAsia="SimSun" w:hAnsi="Times New Roman"/>
          <w:bCs/>
          <w:kern w:val="22"/>
          <w:lang w:eastAsia="hi-IN" w:bidi="hi-IN"/>
        </w:rPr>
        <w:fldChar w:fldCharType="end"/>
      </w:r>
      <w:r w:rsidRPr="00FB31A7">
        <w:rPr>
          <w:rFonts w:ascii="Times New Roman" w:eastAsia="SimSun" w:hAnsi="Times New Roman"/>
          <w:kern w:val="22"/>
          <w:lang w:eastAsia="hi-IN" w:bidi="hi-IN"/>
        </w:rPr>
        <w:t xml:space="preserve">. Unlike the Cartagena Protocol’s definition of living modified organisms, which applies to organisms obtained through the use of </w:t>
      </w:r>
      <w:r w:rsidRPr="00FB31A7">
        <w:rPr>
          <w:rFonts w:ascii="Times New Roman" w:eastAsia="SimSun" w:hAnsi="Times New Roman"/>
          <w:i/>
          <w:kern w:val="22"/>
          <w:lang w:eastAsia="hi-IN" w:bidi="hi-IN"/>
        </w:rPr>
        <w:t xml:space="preserve">modern </w:t>
      </w:r>
      <w:r w:rsidRPr="00FB31A7">
        <w:rPr>
          <w:rFonts w:ascii="Times New Roman" w:eastAsia="SimSun" w:hAnsi="Times New Roman"/>
          <w:kern w:val="22"/>
          <w:lang w:eastAsia="hi-IN" w:bidi="hi-IN"/>
        </w:rPr>
        <w:t xml:space="preserve">biotechnology, the Convention’s use of the term is meant to include organisms whose genetic material is modified through traditional techniques, such as selective breeding and artificial insemination, as well as “organisms whose genetic material is more directly modified through, for example, recombinant DNA technology” </w:t>
      </w:r>
      <w:r w:rsidR="00F33C0E">
        <w:rPr>
          <w:rFonts w:ascii="Times New Roman" w:eastAsia="SimSun" w:hAnsi="Times New Roman"/>
          <w:bCs/>
          <w:kern w:val="22"/>
          <w:lang w:eastAsia="hi-IN" w:bidi="hi-IN"/>
        </w:rPr>
        <w:fldChar w:fldCharType="begin" w:fldLock="1"/>
      </w:r>
      <w:r w:rsidR="008C0847">
        <w:rPr>
          <w:rFonts w:ascii="Times New Roman" w:eastAsia="SimSun" w:hAnsi="Times New Roman"/>
          <w:bCs/>
          <w:kern w:val="22"/>
          <w:lang w:eastAsia="hi-IN" w:bidi="hi-IN"/>
        </w:rPr>
        <w:instrText>ADDIN CSL_CITATION {"citationItems":[{"id":"ITEM-1","itemData":{"author":[{"dropping-particle":"","family":"Glowka","given":"","non-dropping-particle":"","parse-names":false,"suffix":""},{"dropping-particle":"","family":"Lyle","given":"","non-dropping-particle":"","parse-names":false,"suffix":""},{"dropping-particle":"","family":"Burhenne-Guilmin","given":"Francoise","non-dropping-particle":"","parse-names":false,"suffix":""},{"dropping-particle":"","family":"Synge","given":"Hugh","non-dropping-particle":"","parse-names":false,"suffix":""}],"id":"ITEM-1","issued":{"date-parts":[["1994"]]},"publisher":"IUCN, International Union for Conservation of Nature","title":"A Guide to the CBD","type":"article"},"uris":["http://www.mendeley.com/documents/?uuid=d34c9a4a-08ed-4fe8-80b4-2395143aae95"]}],"mendeley":{"formattedCitation":"(Glowka et al., 1994)","plainTextFormattedCitation":"(Glowka et al., 1994)","previouslyFormattedCitation":"(Glowka et al., 1994)"},"properties":{"noteIndex":0},"schema":"https://github.com/citation-style-language/schema/raw/master/csl-citation.json"}</w:instrText>
      </w:r>
      <w:r w:rsidR="00F33C0E">
        <w:rPr>
          <w:rFonts w:ascii="Times New Roman" w:eastAsia="SimSun" w:hAnsi="Times New Roman"/>
          <w:bCs/>
          <w:kern w:val="22"/>
          <w:lang w:eastAsia="hi-IN" w:bidi="hi-IN"/>
        </w:rPr>
        <w:fldChar w:fldCharType="separate"/>
      </w:r>
      <w:r w:rsidR="00F33C0E" w:rsidRPr="00F33C0E">
        <w:rPr>
          <w:rFonts w:ascii="Times New Roman" w:eastAsia="SimSun" w:hAnsi="Times New Roman"/>
          <w:bCs/>
          <w:noProof/>
          <w:kern w:val="22"/>
          <w:lang w:eastAsia="hi-IN" w:bidi="hi-IN"/>
        </w:rPr>
        <w:t>(Glowka et al., 1994)</w:t>
      </w:r>
      <w:r w:rsidR="00F33C0E">
        <w:rPr>
          <w:rFonts w:ascii="Times New Roman" w:eastAsia="SimSun" w:hAnsi="Times New Roman"/>
          <w:bCs/>
          <w:kern w:val="22"/>
          <w:lang w:eastAsia="hi-IN" w:bidi="hi-IN"/>
        </w:rPr>
        <w:fldChar w:fldCharType="end"/>
      </w:r>
      <w:r w:rsidRPr="00FB31A7">
        <w:rPr>
          <w:rFonts w:ascii="Times New Roman" w:eastAsia="SimSun" w:hAnsi="Times New Roman"/>
          <w:kern w:val="22"/>
          <w:lang w:eastAsia="hi-IN" w:bidi="hi-IN"/>
        </w:rPr>
        <w:t xml:space="preserve">. </w:t>
      </w:r>
    </w:p>
    <w:p w14:paraId="1A2ACF6C" w14:textId="5B70AF0A" w:rsidR="00B12251" w:rsidRPr="00FB31A7" w:rsidRDefault="00B12251" w:rsidP="00B12251">
      <w:pPr>
        <w:suppressAutoHyphens/>
        <w:spacing w:after="120" w:line="240" w:lineRule="auto"/>
        <w:jc w:val="both"/>
        <w:rPr>
          <w:rFonts w:ascii="Times New Roman" w:eastAsia="SimSun" w:hAnsi="Times New Roman"/>
          <w:i/>
          <w:iCs/>
          <w:kern w:val="22"/>
          <w:lang w:eastAsia="hi-IN" w:bidi="hi-IN"/>
        </w:rPr>
      </w:pPr>
      <w:r w:rsidRPr="00FB31A7">
        <w:rPr>
          <w:rFonts w:ascii="Times New Roman" w:eastAsia="SimSun" w:hAnsi="Times New Roman"/>
          <w:kern w:val="22"/>
          <w:lang w:eastAsia="hi-IN" w:bidi="hi-IN"/>
        </w:rPr>
        <w:t xml:space="preserve">The Convention does not define “living organisms” either; the Cartagena Protocol defines “living organism” as </w:t>
      </w:r>
      <w:r w:rsidRPr="00FB31A7">
        <w:rPr>
          <w:rFonts w:ascii="Times New Roman" w:hAnsi="Times New Roman"/>
          <w:kern w:val="22"/>
          <w:lang w:eastAsia="hi-IN" w:bidi="hi-IN"/>
        </w:rPr>
        <w:t xml:space="preserve">“any biological entity capable of transferring </w:t>
      </w:r>
      <w:r w:rsidRPr="00FB31A7">
        <w:rPr>
          <w:rFonts w:ascii="Times New Roman" w:hAnsi="Times New Roman"/>
          <w:kern w:val="22"/>
        </w:rPr>
        <w:t xml:space="preserve">or replicating genetic material, including sterile organisms, viruses and viroids” (Article 3(h) Cartagena Protocol). </w:t>
      </w:r>
      <w:r w:rsidRPr="129BA1BF">
        <w:rPr>
          <w:rFonts w:ascii="Times New Roman" w:eastAsia="SimSun" w:hAnsi="Times New Roman"/>
          <w:kern w:val="22"/>
          <w:lang w:eastAsia="hi-IN" w:bidi="hi-IN"/>
        </w:rPr>
        <w:t>Whether an organism resulting from synthetic biology techniques would be considered a</w:t>
      </w:r>
      <w:r w:rsidR="00F33C0E">
        <w:rPr>
          <w:rFonts w:ascii="Times New Roman" w:eastAsia="SimSun" w:hAnsi="Times New Roman"/>
          <w:kern w:val="22"/>
          <w:lang w:eastAsia="hi-IN" w:bidi="hi-IN"/>
        </w:rPr>
        <w:t>n</w:t>
      </w:r>
      <w:r w:rsidRPr="129BA1BF">
        <w:rPr>
          <w:rFonts w:ascii="Times New Roman" w:eastAsia="SimSun" w:hAnsi="Times New Roman"/>
          <w:kern w:val="22"/>
          <w:lang w:eastAsia="hi-IN" w:bidi="hi-IN"/>
        </w:rPr>
        <w:t xml:space="preserve"> </w:t>
      </w:r>
      <w:r w:rsidR="00A821D6">
        <w:rPr>
          <w:rFonts w:ascii="Times New Roman" w:eastAsia="SimSun" w:hAnsi="Times New Roman"/>
          <w:kern w:val="22"/>
          <w:lang w:eastAsia="hi-IN" w:bidi="hi-IN"/>
        </w:rPr>
        <w:t>LMO</w:t>
      </w:r>
      <w:r w:rsidRPr="129BA1BF">
        <w:rPr>
          <w:rFonts w:ascii="Times New Roman" w:eastAsia="SimSun" w:hAnsi="Times New Roman"/>
          <w:kern w:val="22"/>
          <w:lang w:eastAsia="hi-IN" w:bidi="hi-IN"/>
        </w:rPr>
        <w:t xml:space="preserve"> in the context of the Convention might depend on which products of synthetic biology are considered as “living”. </w:t>
      </w:r>
      <w:r w:rsidRPr="129BA1BF">
        <w:rPr>
          <w:rFonts w:ascii="Times New Roman" w:hAnsi="Times New Roman"/>
          <w:kern w:val="22"/>
        </w:rPr>
        <w:t xml:space="preserve"> The areas of research that are considered “synthetic biology” </w:t>
      </w:r>
      <w:r w:rsidR="007B2D08" w:rsidRPr="007B2D08">
        <w:rPr>
          <w:rFonts w:ascii="Times New Roman" w:hAnsi="Times New Roman"/>
          <w:kern w:val="22"/>
        </w:rPr>
        <w:t xml:space="preserve">but that are not </w:t>
      </w:r>
      <w:r w:rsidR="007B2D08">
        <w:rPr>
          <w:rFonts w:ascii="Times New Roman" w:hAnsi="Times New Roman"/>
          <w:kern w:val="22"/>
        </w:rPr>
        <w:t>“</w:t>
      </w:r>
      <w:r w:rsidR="007B2D08" w:rsidRPr="007B2D08">
        <w:rPr>
          <w:rFonts w:ascii="Times New Roman" w:hAnsi="Times New Roman"/>
          <w:kern w:val="22"/>
        </w:rPr>
        <w:t>living</w:t>
      </w:r>
      <w:r w:rsidR="007B2D08">
        <w:rPr>
          <w:rFonts w:ascii="Times New Roman" w:hAnsi="Times New Roman"/>
          <w:kern w:val="22"/>
        </w:rPr>
        <w:t>”</w:t>
      </w:r>
      <w:r w:rsidRPr="129BA1BF">
        <w:rPr>
          <w:rFonts w:ascii="Times New Roman" w:hAnsi="Times New Roman"/>
          <w:kern w:val="22"/>
        </w:rPr>
        <w:t xml:space="preserve"> include</w:t>
      </w:r>
      <w:r w:rsidRPr="3613C1BA">
        <w:rPr>
          <w:rFonts w:ascii="Times New Roman" w:eastAsia="Times New Roman" w:hAnsi="Times New Roman"/>
          <w:color w:val="8764B8"/>
          <w:u w:val="single"/>
        </w:rPr>
        <w:t xml:space="preserve"> </w:t>
      </w:r>
      <w:r w:rsidRPr="3613C1BA">
        <w:rPr>
          <w:rFonts w:ascii="Times New Roman" w:eastAsia="Times New Roman" w:hAnsi="Times New Roman"/>
          <w:color w:val="000000" w:themeColor="text1"/>
        </w:rPr>
        <w:t>DNA</w:t>
      </w:r>
      <w:r w:rsidRPr="00844153">
        <w:rPr>
          <w:rFonts w:ascii="Times New Roman" w:eastAsia="Times New Roman" w:hAnsi="Times New Roman"/>
        </w:rPr>
        <w:t>-</w:t>
      </w:r>
      <w:r w:rsidR="00FC6D10">
        <w:rPr>
          <w:rFonts w:ascii="Times New Roman" w:eastAsia="Times New Roman" w:hAnsi="Times New Roman"/>
        </w:rPr>
        <w:t xml:space="preserve"> and</w:t>
      </w:r>
      <w:r w:rsidRPr="00844153">
        <w:rPr>
          <w:rFonts w:ascii="Times New Roman" w:eastAsia="Times New Roman" w:hAnsi="Times New Roman"/>
        </w:rPr>
        <w:t xml:space="preserve"> RNA-</w:t>
      </w:r>
      <w:r w:rsidR="00FC6D10">
        <w:rPr>
          <w:rFonts w:ascii="Times New Roman" w:eastAsia="Times New Roman" w:hAnsi="Times New Roman"/>
        </w:rPr>
        <w:t>based circuits,</w:t>
      </w:r>
      <w:r w:rsidRPr="00844153">
        <w:rPr>
          <w:rFonts w:ascii="Times New Roman" w:eastAsia="Times New Roman" w:hAnsi="Times New Roman"/>
        </w:rPr>
        <w:t xml:space="preserve"> protein</w:t>
      </w:r>
      <w:r w:rsidR="00FC6D10">
        <w:rPr>
          <w:rFonts w:ascii="Times New Roman" w:eastAsia="Times New Roman" w:hAnsi="Times New Roman"/>
        </w:rPr>
        <w:t xml:space="preserve"> engineering</w:t>
      </w:r>
      <w:r w:rsidRPr="3613C1BA">
        <w:rPr>
          <w:rFonts w:ascii="Times New Roman" w:eastAsia="Times New Roman" w:hAnsi="Times New Roman"/>
          <w:color w:val="000000" w:themeColor="text1"/>
        </w:rPr>
        <w:t xml:space="preserve">, </w:t>
      </w:r>
      <w:r w:rsidRPr="00844153">
        <w:rPr>
          <w:rFonts w:ascii="Times New Roman" w:eastAsia="Times New Roman" w:hAnsi="Times New Roman"/>
        </w:rPr>
        <w:t>metabolic pathway engineering, genome-level engineering, protocell construction, xenobiology, and cell-free systems</w:t>
      </w:r>
      <w:r w:rsidR="00FC6D10">
        <w:rPr>
          <w:rFonts w:ascii="Times New Roman" w:eastAsia="Times New Roman" w:hAnsi="Times New Roman"/>
        </w:rPr>
        <w:t xml:space="preserve"> </w:t>
      </w:r>
      <w:r w:rsidRPr="00844153">
        <w:rPr>
          <w:rFonts w:ascii="Times New Roman" w:eastAsia="Times New Roman" w:hAnsi="Times New Roman"/>
        </w:rPr>
        <w:t xml:space="preserve">as described in </w:t>
      </w:r>
      <w:r w:rsidRPr="00B67797">
        <w:rPr>
          <w:rFonts w:ascii="Times New Roman" w:eastAsia="Times New Roman" w:hAnsi="Times New Roman"/>
        </w:rPr>
        <w:t xml:space="preserve">Section </w:t>
      </w:r>
      <w:r w:rsidR="00D73991">
        <w:rPr>
          <w:rFonts w:ascii="Times New Roman" w:eastAsia="Times New Roman" w:hAnsi="Times New Roman"/>
        </w:rPr>
        <w:t>2</w:t>
      </w:r>
      <w:r w:rsidRPr="00B67797">
        <w:rPr>
          <w:rFonts w:ascii="Times New Roman" w:eastAsia="Times New Roman" w:hAnsi="Times New Roman"/>
        </w:rPr>
        <w:t xml:space="preserve"> above</w:t>
      </w:r>
      <w:r w:rsidRPr="00844153">
        <w:rPr>
          <w:rFonts w:ascii="Times New Roman" w:eastAsia="Times New Roman" w:hAnsi="Times New Roman"/>
        </w:rPr>
        <w:t>.</w:t>
      </w:r>
    </w:p>
    <w:p w14:paraId="776427FD" w14:textId="7D5787B2" w:rsidR="00B12251" w:rsidRPr="00FB31A7" w:rsidRDefault="00B12251" w:rsidP="001A5035">
      <w:pPr>
        <w:pStyle w:val="Heading5"/>
        <w:numPr>
          <w:ilvl w:val="0"/>
          <w:numId w:val="215"/>
        </w:numPr>
        <w:ind w:left="284" w:hanging="284"/>
      </w:pPr>
      <w:r w:rsidRPr="00FB31A7">
        <w:t>“Are likely to have adverse environmental impacts” / “potential adverse impacts”</w:t>
      </w:r>
      <w:r w:rsidR="00BE6A31">
        <w:t>.</w:t>
      </w:r>
      <w:r w:rsidRPr="00FB31A7">
        <w:t xml:space="preserve"> </w:t>
      </w:r>
    </w:p>
    <w:p w14:paraId="585F193B" w14:textId="77777777" w:rsidR="00B12251" w:rsidRDefault="00B12251" w:rsidP="00B12251">
      <w:pPr>
        <w:suppressAutoHyphens/>
        <w:spacing w:after="120" w:line="240" w:lineRule="auto"/>
        <w:jc w:val="both"/>
        <w:rPr>
          <w:rFonts w:ascii="Times New Roman" w:eastAsia="SimSun" w:hAnsi="Times New Roman"/>
          <w:kern w:val="22"/>
        </w:rPr>
      </w:pPr>
      <w:r w:rsidRPr="00FB31A7">
        <w:rPr>
          <w:rFonts w:ascii="Times New Roman" w:eastAsia="SimSun" w:hAnsi="Times New Roman"/>
          <w:bCs/>
          <w:kern w:val="22"/>
          <w:lang w:eastAsia="hi-IN" w:bidi="hi-IN"/>
        </w:rPr>
        <w:t xml:space="preserve">Both </w:t>
      </w:r>
      <w:r w:rsidRPr="00FB31A7">
        <w:rPr>
          <w:rFonts w:ascii="Times New Roman" w:eastAsia="SimSun" w:hAnsi="Times New Roman"/>
          <w:kern w:val="22"/>
        </w:rPr>
        <w:t xml:space="preserve">Articles 8(g) and 19, paragraph 4 use probability-based language - “are likely to have adverse environmental impacts” and “potential adverse impacts”. An initial matter of interpretation is establishing the thresholds of probability for “likely” and “may.” The IUCN </w:t>
      </w:r>
      <w:r w:rsidRPr="00FB31A7">
        <w:rPr>
          <w:rFonts w:ascii="Times New Roman" w:eastAsia="SimSun" w:hAnsi="Times New Roman"/>
          <w:i/>
          <w:kern w:val="22"/>
        </w:rPr>
        <w:t>Guide to the Convention</w:t>
      </w:r>
      <w:r w:rsidRPr="00FB31A7">
        <w:rPr>
          <w:rFonts w:ascii="Times New Roman" w:eastAsia="SimSun" w:hAnsi="Times New Roman"/>
          <w:kern w:val="22"/>
        </w:rPr>
        <w:t xml:space="preserve"> suggests that assessing the likelihood of risk could be guided by three primary criteria: (i) familiarity with the organism and its characteristics; (ii) the organism’s contemplated application; and (iii) the environment into which the organism will or could be released (Glowka </w:t>
      </w:r>
      <w:r w:rsidRPr="00FB31A7">
        <w:rPr>
          <w:rFonts w:ascii="Times New Roman" w:eastAsia="SimSun" w:hAnsi="Times New Roman"/>
          <w:i/>
          <w:kern w:val="22"/>
        </w:rPr>
        <w:t xml:space="preserve">et al. </w:t>
      </w:r>
      <w:r w:rsidRPr="00FB31A7">
        <w:rPr>
          <w:rFonts w:ascii="Times New Roman" w:eastAsia="SimSun" w:hAnsi="Times New Roman"/>
          <w:kern w:val="22"/>
        </w:rPr>
        <w:t>1994).</w:t>
      </w:r>
    </w:p>
    <w:p w14:paraId="2BB16232" w14:textId="3BD1A220" w:rsidR="00A25494" w:rsidRPr="00FB31A7" w:rsidRDefault="00A25494" w:rsidP="00B12251">
      <w:pPr>
        <w:suppressAutoHyphens/>
        <w:spacing w:after="120" w:line="240" w:lineRule="auto"/>
        <w:jc w:val="both"/>
        <w:rPr>
          <w:rFonts w:ascii="Times New Roman" w:eastAsia="SimSun" w:hAnsi="Times New Roman"/>
          <w:kern w:val="22"/>
        </w:rPr>
      </w:pPr>
      <w:r w:rsidRPr="00A25494">
        <w:rPr>
          <w:rFonts w:ascii="Times New Roman" w:eastAsia="SimSun" w:hAnsi="Times New Roman"/>
          <w:kern w:val="22"/>
        </w:rPr>
        <w:t>The Cartagena Protocol on Biosafety may also be relevant in this regard. As considered further in Section 8.2.2</w:t>
      </w:r>
      <w:r w:rsidR="002B5BC6">
        <w:rPr>
          <w:rFonts w:ascii="Times New Roman" w:eastAsia="SimSun" w:hAnsi="Times New Roman"/>
          <w:kern w:val="22"/>
        </w:rPr>
        <w:t>(</w:t>
      </w:r>
      <w:r w:rsidRPr="00A25494">
        <w:rPr>
          <w:rFonts w:ascii="Times New Roman" w:eastAsia="SimSun" w:hAnsi="Times New Roman"/>
          <w:kern w:val="22"/>
        </w:rPr>
        <w:t>a</w:t>
      </w:r>
      <w:r w:rsidR="002B5BC6">
        <w:rPr>
          <w:rFonts w:ascii="Times New Roman" w:eastAsia="SimSun" w:hAnsi="Times New Roman"/>
          <w:kern w:val="22"/>
        </w:rPr>
        <w:t>)</w:t>
      </w:r>
      <w:r w:rsidRPr="00A25494">
        <w:rPr>
          <w:rFonts w:ascii="Times New Roman" w:eastAsia="SimSun" w:hAnsi="Times New Roman"/>
          <w:kern w:val="22"/>
        </w:rPr>
        <w:t>., according to its Article 15 and Annex III on risk assessment, the purpose of conducting a risk assessment under the Protocol is to identify and evaluate the “potential adverse effects” of LMOs on the conservation and sustainable use of biological diversity in the likely potential receiving environment, taking also into account risks to human health. As noted in Section 9.3.1., there does not appear to be consensus among stakeholders, including scientists, academia, industry, civil society and IPLCs, on how well the potential adverse effects related to synthetic biology are known and can be assessed.</w:t>
      </w:r>
    </w:p>
    <w:p w14:paraId="296CD87D" w14:textId="03D0B29A" w:rsidR="00B12251" w:rsidRPr="00FB31A7" w:rsidRDefault="00B12251" w:rsidP="001A5035">
      <w:pPr>
        <w:pStyle w:val="Heading5"/>
        <w:numPr>
          <w:ilvl w:val="0"/>
          <w:numId w:val="215"/>
        </w:numPr>
        <w:ind w:left="284" w:hanging="284"/>
      </w:pPr>
      <w:r w:rsidRPr="00FB31A7">
        <w:t>Use and release of living modified organisms</w:t>
      </w:r>
      <w:r w:rsidR="00BE6A31">
        <w:t>.</w:t>
      </w:r>
    </w:p>
    <w:p w14:paraId="2BB2CEEE" w14:textId="05BDEF5F" w:rsidR="00B12251" w:rsidRDefault="00B12251" w:rsidP="00B12251">
      <w:pPr>
        <w:suppressAutoHyphens/>
        <w:spacing w:after="120" w:line="240" w:lineRule="auto"/>
        <w:jc w:val="both"/>
        <w:rPr>
          <w:rFonts w:ascii="Times New Roman" w:eastAsia="SimSun" w:hAnsi="Times New Roman"/>
          <w:kern w:val="22"/>
        </w:rPr>
      </w:pPr>
      <w:r w:rsidRPr="00FB31A7">
        <w:rPr>
          <w:rFonts w:ascii="Times New Roman" w:eastAsia="SimSun" w:hAnsi="Times New Roman"/>
          <w:kern w:val="22"/>
          <w:lang w:eastAsia="hi-IN" w:bidi="hi-IN"/>
        </w:rPr>
        <w:t xml:space="preserve">Article 8(g) addresses “risks associated with the use and release” of living modified organisms. One possible interpretation of this text is that </w:t>
      </w:r>
      <w:r w:rsidRPr="670827D1">
        <w:rPr>
          <w:rFonts w:ascii="Times New Roman" w:eastAsia="SimSun" w:hAnsi="Times New Roman"/>
          <w:i/>
          <w:iCs/>
          <w:kern w:val="22"/>
          <w:lang w:eastAsia="hi-IN" w:bidi="hi-IN"/>
        </w:rPr>
        <w:t>two</w:t>
      </w:r>
      <w:r w:rsidRPr="00FB31A7">
        <w:rPr>
          <w:rFonts w:ascii="Times New Roman" w:eastAsia="SimSun" w:hAnsi="Times New Roman"/>
          <w:kern w:val="22"/>
          <w:lang w:eastAsia="hi-IN" w:bidi="hi-IN"/>
        </w:rPr>
        <w:t xml:space="preserve"> categories of risks are included – risks associated with the use of living modified organisms and risks associated with the release of living modified organisms. The text could also be interpreted to consider only those risks associated with both the use </w:t>
      </w:r>
      <w:r w:rsidRPr="670827D1">
        <w:rPr>
          <w:rFonts w:ascii="Times New Roman" w:eastAsia="SimSun" w:hAnsi="Times New Roman"/>
          <w:i/>
          <w:iCs/>
          <w:kern w:val="22"/>
          <w:lang w:eastAsia="hi-IN" w:bidi="hi-IN"/>
        </w:rPr>
        <w:t>and</w:t>
      </w:r>
      <w:r w:rsidRPr="00FB31A7">
        <w:rPr>
          <w:rFonts w:ascii="Times New Roman" w:eastAsia="SimSun" w:hAnsi="Times New Roman"/>
          <w:kern w:val="22"/>
          <w:lang w:eastAsia="hi-IN" w:bidi="hi-IN"/>
        </w:rPr>
        <w:t xml:space="preserve"> release of living modified organisms. </w:t>
      </w:r>
    </w:p>
    <w:p w14:paraId="0A4C06B2" w14:textId="02857014" w:rsidR="00B12251" w:rsidRPr="00300BB7" w:rsidRDefault="00B12251" w:rsidP="5F4E6053">
      <w:pPr>
        <w:pStyle w:val="Heading4"/>
        <w:rPr>
          <w:rFonts w:ascii="Times New Roman" w:eastAsia="SimSun" w:hAnsi="Times New Roman"/>
          <w:b w:val="0"/>
          <w:bCs w:val="0"/>
          <w:i w:val="0"/>
          <w:lang w:val="en-GB" w:eastAsia="en-US"/>
        </w:rPr>
      </w:pPr>
      <w:r w:rsidRPr="5F4E6053">
        <w:rPr>
          <w:rFonts w:ascii="Times New Roman" w:eastAsia="SimSun" w:hAnsi="Times New Roman"/>
          <w:b w:val="0"/>
          <w:bCs w:val="0"/>
          <w:i w:val="0"/>
          <w:kern w:val="22"/>
          <w:lang w:val="en-GB" w:eastAsia="en-US"/>
        </w:rPr>
        <w:t xml:space="preserve">Most synthetic biology products that are commercially available have been intended for use in contained, industrial or laboratory settings (see Section </w:t>
      </w:r>
      <w:r w:rsidR="00E523C5" w:rsidRPr="5F4E6053">
        <w:rPr>
          <w:rFonts w:ascii="Times New Roman" w:eastAsia="SimSun" w:hAnsi="Times New Roman"/>
          <w:b w:val="0"/>
          <w:bCs w:val="0"/>
          <w:i w:val="0"/>
          <w:kern w:val="22"/>
          <w:lang w:val="en-GB" w:eastAsia="en-US"/>
        </w:rPr>
        <w:t>3</w:t>
      </w:r>
      <w:r w:rsidRPr="5F4E6053">
        <w:rPr>
          <w:rFonts w:ascii="Times New Roman" w:eastAsia="SimSun" w:hAnsi="Times New Roman"/>
          <w:b w:val="0"/>
          <w:bCs w:val="0"/>
          <w:i w:val="0"/>
          <w:kern w:val="22"/>
          <w:lang w:val="en-GB" w:eastAsia="en-US"/>
        </w:rPr>
        <w:t>.3</w:t>
      </w:r>
      <w:r w:rsidR="00D834B7" w:rsidRPr="5F4E6053">
        <w:rPr>
          <w:rFonts w:ascii="Times New Roman" w:eastAsia="SimSun" w:hAnsi="Times New Roman"/>
          <w:b w:val="0"/>
          <w:bCs w:val="0"/>
          <w:i w:val="0"/>
          <w:kern w:val="22"/>
          <w:lang w:val="en-GB" w:eastAsia="en-US"/>
        </w:rPr>
        <w:t>.</w:t>
      </w:r>
      <w:r w:rsidRPr="5F4E6053">
        <w:rPr>
          <w:rFonts w:ascii="Times New Roman" w:eastAsia="SimSun" w:hAnsi="Times New Roman"/>
          <w:b w:val="0"/>
          <w:bCs w:val="0"/>
          <w:i w:val="0"/>
          <w:kern w:val="22"/>
          <w:lang w:val="en-GB" w:eastAsia="en-US"/>
        </w:rPr>
        <w:t xml:space="preserve">), for example for biopharma, carbon cycling, fabric, cosmetic/fragrances, food and food ingredients resulting from synthetic metabolic engineering that perform specific industrial processes (such as enzymes to degrade biomass) or produce specific compounds (such as yeast producing artemisinic acid). More recently, products that are intended to be released in semi-managed, managed or urban settings have become commercially available such as </w:t>
      </w:r>
      <w:r w:rsidR="002F205B" w:rsidRPr="5F4E6053">
        <w:rPr>
          <w:rFonts w:ascii="Times New Roman" w:eastAsia="SimSun" w:hAnsi="Times New Roman"/>
          <w:b w:val="0"/>
          <w:bCs w:val="0"/>
          <w:i w:val="0"/>
          <w:kern w:val="22"/>
          <w:lang w:val="en-GB" w:eastAsia="en-US"/>
        </w:rPr>
        <w:t xml:space="preserve">genome </w:t>
      </w:r>
      <w:r w:rsidRPr="5F4E6053">
        <w:rPr>
          <w:rFonts w:ascii="Times New Roman" w:eastAsia="SimSun" w:hAnsi="Times New Roman"/>
          <w:b w:val="0"/>
          <w:bCs w:val="0"/>
          <w:i w:val="0"/>
          <w:kern w:val="22"/>
          <w:lang w:val="en-GB" w:eastAsia="en-US"/>
        </w:rPr>
        <w:t xml:space="preserve">edited soya beans, rapeseed and engineered insects. Products intended for release are anticipated to increase significantly in coming years with field trials or near-market ready research spanning a broad range of applications, including genome edited animals and plants, genetically engineered nitrogen-fixing bacteria, engineered gene drives in mosquito for potential control of vector-borne diseases, engineered gene drive for an agricultural pest, products for bioremediation, biodegradation, biomining, and the transient modification of agricultural plants through RNA-based spray, amongst others as further elaborated in Section </w:t>
      </w:r>
      <w:r w:rsidR="004B16CA">
        <w:rPr>
          <w:rFonts w:ascii="Times New Roman" w:eastAsia="SimSun" w:hAnsi="Times New Roman"/>
          <w:b w:val="0"/>
          <w:bCs w:val="0"/>
          <w:i w:val="0"/>
          <w:kern w:val="22"/>
          <w:lang w:val="en-GB" w:eastAsia="en-US"/>
        </w:rPr>
        <w:t>3</w:t>
      </w:r>
      <w:r w:rsidRPr="5F4E6053">
        <w:rPr>
          <w:rFonts w:ascii="Times New Roman" w:eastAsia="SimSun" w:hAnsi="Times New Roman"/>
          <w:b w:val="0"/>
          <w:bCs w:val="0"/>
          <w:i w:val="0"/>
          <w:kern w:val="22"/>
          <w:lang w:val="en-GB" w:eastAsia="en-US"/>
        </w:rPr>
        <w:t xml:space="preserve">. </w:t>
      </w:r>
      <w:r w:rsidR="028C95BD" w:rsidRPr="55708CF4">
        <w:rPr>
          <w:rFonts w:ascii="Times New Roman" w:eastAsia="SimSun" w:hAnsi="Times New Roman"/>
          <w:b w:val="0"/>
          <w:bCs w:val="0"/>
          <w:i w:val="0"/>
          <w:lang w:val="en-GB" w:eastAsia="en-US"/>
        </w:rPr>
        <w:t>Where</w:t>
      </w:r>
      <w:r w:rsidR="57C9EE7B" w:rsidRPr="43996FFD">
        <w:rPr>
          <w:rFonts w:ascii="Times New Roman" w:eastAsia="SimSun" w:hAnsi="Times New Roman"/>
          <w:b w:val="0"/>
          <w:bCs w:val="0"/>
          <w:i w:val="0"/>
          <w:lang w:val="en-GB" w:eastAsia="en-US"/>
        </w:rPr>
        <w:t xml:space="preserve"> s</w:t>
      </w:r>
      <w:r w:rsidR="6BA9EC41" w:rsidRPr="78EAC34B">
        <w:rPr>
          <w:rFonts w:ascii="Times New Roman" w:eastAsia="SimSun" w:hAnsi="Times New Roman"/>
          <w:b w:val="0"/>
          <w:bCs w:val="0"/>
          <w:i w:val="0"/>
          <w:lang w:val="en-GB" w:eastAsia="en-US"/>
        </w:rPr>
        <w:t xml:space="preserve">uch products </w:t>
      </w:r>
      <w:r w:rsidR="5D7B8704" w:rsidRPr="1496C69E">
        <w:rPr>
          <w:rFonts w:ascii="Times New Roman" w:eastAsia="SimSun" w:hAnsi="Times New Roman"/>
          <w:b w:val="0"/>
          <w:bCs w:val="0"/>
          <w:i w:val="0"/>
          <w:lang w:val="en-GB" w:eastAsia="en-US"/>
        </w:rPr>
        <w:t xml:space="preserve">are considered to be </w:t>
      </w:r>
      <w:r w:rsidR="00A726A8">
        <w:rPr>
          <w:rFonts w:ascii="Times New Roman" w:eastAsia="SimSun" w:hAnsi="Times New Roman"/>
          <w:b w:val="0"/>
          <w:bCs w:val="0"/>
          <w:i w:val="0"/>
          <w:lang w:val="en-GB" w:eastAsia="en-US"/>
        </w:rPr>
        <w:t>LMOs</w:t>
      </w:r>
      <w:r w:rsidR="759309C0" w:rsidRPr="7A88D8EA">
        <w:rPr>
          <w:rFonts w:ascii="Times New Roman" w:eastAsia="SimSun" w:hAnsi="Times New Roman"/>
          <w:b w:val="0"/>
          <w:bCs w:val="0"/>
          <w:i w:val="0"/>
          <w:lang w:val="en-GB" w:eastAsia="en-US"/>
        </w:rPr>
        <w:t>, risks</w:t>
      </w:r>
      <w:r w:rsidR="759309C0" w:rsidRPr="473F5621">
        <w:rPr>
          <w:rFonts w:ascii="Times New Roman" w:eastAsia="SimSun" w:hAnsi="Times New Roman"/>
          <w:b w:val="0"/>
          <w:bCs w:val="0"/>
          <w:i w:val="0"/>
          <w:lang w:val="en-GB" w:eastAsia="en-US"/>
        </w:rPr>
        <w:t xml:space="preserve"> associated with </w:t>
      </w:r>
      <w:r w:rsidR="759309C0" w:rsidRPr="72AB9B85">
        <w:rPr>
          <w:rFonts w:ascii="Times New Roman" w:eastAsia="SimSun" w:hAnsi="Times New Roman"/>
          <w:b w:val="0"/>
          <w:bCs w:val="0"/>
          <w:i w:val="0"/>
          <w:lang w:val="en-GB" w:eastAsia="en-US"/>
        </w:rPr>
        <w:t>the</w:t>
      </w:r>
      <w:r w:rsidR="3F72E237" w:rsidRPr="72AB9B85">
        <w:rPr>
          <w:rFonts w:ascii="Times New Roman" w:eastAsia="SimSun" w:hAnsi="Times New Roman"/>
          <w:b w:val="0"/>
          <w:bCs w:val="0"/>
          <w:i w:val="0"/>
          <w:lang w:val="en-GB" w:eastAsia="en-US"/>
        </w:rPr>
        <w:t>ir</w:t>
      </w:r>
      <w:r w:rsidR="759309C0" w:rsidRPr="473F5621">
        <w:rPr>
          <w:rFonts w:ascii="Times New Roman" w:eastAsia="SimSun" w:hAnsi="Times New Roman"/>
          <w:b w:val="0"/>
          <w:bCs w:val="0"/>
          <w:i w:val="0"/>
          <w:lang w:val="en-GB" w:eastAsia="en-US"/>
        </w:rPr>
        <w:t xml:space="preserve"> use </w:t>
      </w:r>
      <w:r w:rsidR="759309C0" w:rsidRPr="1EC09E3C">
        <w:rPr>
          <w:rFonts w:ascii="Times New Roman" w:eastAsia="SimSun" w:hAnsi="Times New Roman"/>
          <w:b w:val="0"/>
          <w:bCs w:val="0"/>
          <w:i w:val="0"/>
          <w:lang w:val="en-GB" w:eastAsia="en-US"/>
        </w:rPr>
        <w:t>and release</w:t>
      </w:r>
      <w:r w:rsidR="1A943E68" w:rsidRPr="55708CF4">
        <w:rPr>
          <w:rFonts w:ascii="Times New Roman" w:eastAsia="SimSun" w:hAnsi="Times New Roman"/>
          <w:b w:val="0"/>
          <w:bCs w:val="0"/>
          <w:i w:val="0"/>
          <w:lang w:val="en-GB" w:eastAsia="en-US"/>
        </w:rPr>
        <w:t>, as provided in Article 8(g),</w:t>
      </w:r>
      <w:r w:rsidR="759309C0" w:rsidRPr="1EC09E3C">
        <w:rPr>
          <w:rFonts w:ascii="Times New Roman" w:eastAsia="SimSun" w:hAnsi="Times New Roman"/>
          <w:b w:val="0"/>
          <w:bCs w:val="0"/>
          <w:i w:val="0"/>
          <w:lang w:val="en-GB" w:eastAsia="en-US"/>
        </w:rPr>
        <w:t xml:space="preserve"> </w:t>
      </w:r>
      <w:r w:rsidR="49940B1B" w:rsidRPr="0B3E2179">
        <w:rPr>
          <w:rFonts w:ascii="Times New Roman" w:eastAsia="SimSun" w:hAnsi="Times New Roman"/>
          <w:b w:val="0"/>
          <w:bCs w:val="0"/>
          <w:i w:val="0"/>
          <w:lang w:val="en-GB" w:eastAsia="en-US"/>
        </w:rPr>
        <w:t>become</w:t>
      </w:r>
      <w:r w:rsidR="49940B1B" w:rsidRPr="72AB9B85">
        <w:rPr>
          <w:rFonts w:ascii="Times New Roman" w:eastAsia="SimSun" w:hAnsi="Times New Roman"/>
          <w:b w:val="0"/>
          <w:bCs w:val="0"/>
          <w:i w:val="0"/>
          <w:lang w:val="en-GB" w:eastAsia="en-US"/>
        </w:rPr>
        <w:t xml:space="preserve"> </w:t>
      </w:r>
      <w:r w:rsidR="49940B1B" w:rsidRPr="12983C4B">
        <w:rPr>
          <w:rFonts w:ascii="Times New Roman" w:eastAsia="SimSun" w:hAnsi="Times New Roman"/>
          <w:b w:val="0"/>
          <w:bCs w:val="0"/>
          <w:i w:val="0"/>
          <w:lang w:val="en-GB" w:eastAsia="en-US"/>
        </w:rPr>
        <w:t>relevant</w:t>
      </w:r>
      <w:r w:rsidR="6BA9EC41" w:rsidRPr="78EAC34B">
        <w:rPr>
          <w:rFonts w:ascii="Times New Roman" w:eastAsia="SimSun" w:hAnsi="Times New Roman"/>
          <w:b w:val="0"/>
          <w:bCs w:val="0"/>
          <w:i w:val="0"/>
          <w:lang w:val="en-GB" w:eastAsia="en-US"/>
        </w:rPr>
        <w:t>.</w:t>
      </w:r>
    </w:p>
    <w:p w14:paraId="57E91B89" w14:textId="7F1DC65E" w:rsidR="00B12251" w:rsidRPr="00A726A8" w:rsidRDefault="00B12251" w:rsidP="00B12251">
      <w:pPr>
        <w:pStyle w:val="Heading4"/>
        <w:rPr>
          <w:rFonts w:ascii="Times New Roman" w:eastAsia="SimSun" w:hAnsi="Times New Roman"/>
          <w:i w:val="0"/>
          <w:kern w:val="22"/>
          <w:lang w:val="en-GB" w:eastAsia="en-US"/>
        </w:rPr>
      </w:pPr>
      <w:r w:rsidRPr="00A726A8">
        <w:rPr>
          <w:rFonts w:ascii="Times New Roman" w:eastAsia="SimSun" w:hAnsi="Times New Roman"/>
          <w:i w:val="0"/>
          <w:kern w:val="22"/>
          <w:lang w:val="en-GB" w:eastAsia="en-US"/>
        </w:rPr>
        <w:t xml:space="preserve">8.1.5. Access </w:t>
      </w:r>
      <w:r w:rsidR="76242DD9" w:rsidRPr="00A726A8">
        <w:rPr>
          <w:rFonts w:ascii="Times New Roman" w:eastAsia="SimSun" w:hAnsi="Times New Roman"/>
          <w:i w:val="0"/>
          <w:kern w:val="22"/>
          <w:lang w:val="en-GB" w:eastAsia="en-US"/>
        </w:rPr>
        <w:t xml:space="preserve">to Genetic Resources </w:t>
      </w:r>
      <w:r w:rsidRPr="00A726A8">
        <w:rPr>
          <w:rFonts w:ascii="Times New Roman" w:eastAsia="SimSun" w:hAnsi="Times New Roman"/>
          <w:i w:val="0"/>
          <w:kern w:val="22"/>
          <w:lang w:val="en-GB" w:eastAsia="en-US"/>
        </w:rPr>
        <w:t>and Benefit-</w:t>
      </w:r>
      <w:r w:rsidR="33D9E1B9" w:rsidRPr="00A726A8">
        <w:rPr>
          <w:rFonts w:ascii="Times New Roman" w:eastAsia="SimSun" w:hAnsi="Times New Roman" w:hint="eastAsia"/>
          <w:i w:val="0"/>
          <w:kern w:val="22"/>
          <w:lang w:val="en-GB" w:eastAsia="en-US"/>
        </w:rPr>
        <w:t>S</w:t>
      </w:r>
      <w:r w:rsidR="52294DC8" w:rsidRPr="00A726A8">
        <w:rPr>
          <w:rFonts w:ascii="Times New Roman" w:eastAsia="SimSun" w:hAnsi="Times New Roman" w:hint="eastAsia"/>
          <w:i w:val="0"/>
          <w:kern w:val="22"/>
          <w:lang w:val="en-GB" w:eastAsia="en-US"/>
        </w:rPr>
        <w:t>haring</w:t>
      </w:r>
      <w:r w:rsidR="2EC5F79B" w:rsidRPr="00A726A8">
        <w:rPr>
          <w:rFonts w:ascii="Times New Roman" w:eastAsia="SimSun" w:hAnsi="Times New Roman"/>
          <w:i w:val="0"/>
          <w:kern w:val="22"/>
          <w:lang w:val="en-GB" w:eastAsia="en-US"/>
        </w:rPr>
        <w:t xml:space="preserve"> arising from their Utilization</w:t>
      </w:r>
      <w:r w:rsidR="00763BAD" w:rsidRPr="00A726A8">
        <w:rPr>
          <w:rFonts w:ascii="Times New Roman" w:eastAsia="SimSun" w:hAnsi="Times New Roman"/>
          <w:i w:val="0"/>
          <w:kern w:val="22"/>
          <w:lang w:val="en-GB" w:eastAsia="en-US"/>
        </w:rPr>
        <w:t xml:space="preserve"> </w:t>
      </w:r>
      <w:r w:rsidRPr="00A726A8">
        <w:rPr>
          <w:rFonts w:ascii="Times New Roman" w:eastAsia="SimSun" w:hAnsi="Times New Roman"/>
          <w:i w:val="0"/>
          <w:kern w:val="22"/>
          <w:lang w:val="en-GB" w:eastAsia="en-US"/>
        </w:rPr>
        <w:t>(Article 15)</w:t>
      </w:r>
      <w:r w:rsidR="00BE6A31" w:rsidRPr="00A726A8">
        <w:rPr>
          <w:rFonts w:ascii="Times New Roman" w:eastAsia="SimSun" w:hAnsi="Times New Roman"/>
          <w:i w:val="0"/>
          <w:kern w:val="22"/>
          <w:lang w:val="en-GB" w:eastAsia="en-US"/>
        </w:rPr>
        <w:t>.</w:t>
      </w:r>
    </w:p>
    <w:p w14:paraId="24D245D1" w14:textId="324DA446" w:rsidR="00B12251" w:rsidRPr="00B23587" w:rsidRDefault="00104C6E" w:rsidP="00104C6E">
      <w:pPr>
        <w:pStyle w:val="Heading5"/>
        <w:tabs>
          <w:tab w:val="clear" w:pos="1800"/>
        </w:tabs>
        <w:ind w:left="284" w:hanging="284"/>
      </w:pPr>
      <w:r w:rsidRPr="61F8B929">
        <w:rPr>
          <w:i w:val="0"/>
        </w:rPr>
        <w:t xml:space="preserve">(a) </w:t>
      </w:r>
      <w:r w:rsidR="00B12251" w:rsidRPr="00B23587">
        <w:t>Genetic resources for their use in synthetic biology</w:t>
      </w:r>
      <w:r w:rsidR="00B12251" w:rsidRPr="007B0B20">
        <w:rPr>
          <w:rStyle w:val="FootnoteReference"/>
        </w:rPr>
        <w:footnoteReference w:id="42"/>
      </w:r>
      <w:r w:rsidR="00BE6A31" w:rsidRPr="00B23587">
        <w:t>.</w:t>
      </w:r>
      <w:r w:rsidR="00B12251" w:rsidRPr="00B23587">
        <w:t xml:space="preserve"> </w:t>
      </w:r>
    </w:p>
    <w:p w14:paraId="31CD1DBF" w14:textId="7C9A7A63" w:rsidR="00B12251" w:rsidRDefault="00B12251" w:rsidP="00B12251">
      <w:pPr>
        <w:suppressAutoHyphens/>
        <w:spacing w:after="120" w:line="240" w:lineRule="auto"/>
        <w:jc w:val="both"/>
        <w:rPr>
          <w:rFonts w:ascii="Times New Roman" w:eastAsia="SimSun" w:hAnsi="Times New Roman"/>
          <w:kern w:val="22"/>
          <w:lang w:eastAsia="hi-IN" w:bidi="hi-IN"/>
        </w:rPr>
      </w:pPr>
      <w:r w:rsidRPr="00FB31A7">
        <w:rPr>
          <w:rFonts w:ascii="Times New Roman" w:eastAsia="SimSun" w:hAnsi="Times New Roman"/>
          <w:kern w:val="22"/>
          <w:lang w:eastAsia="hi-IN" w:bidi="hi-IN"/>
        </w:rPr>
        <w:t>Article 15</w:t>
      </w:r>
      <w:r>
        <w:rPr>
          <w:rFonts w:ascii="Times New Roman" w:eastAsia="SimSun" w:hAnsi="Times New Roman"/>
          <w:kern w:val="22"/>
          <w:lang w:eastAsia="hi-IN" w:bidi="hi-IN"/>
        </w:rPr>
        <w:t xml:space="preserve"> </w:t>
      </w:r>
      <w:r w:rsidR="00BE6A31" w:rsidRPr="00FB31A7">
        <w:rPr>
          <w:rFonts w:ascii="Times New Roman" w:eastAsia="SimSun" w:hAnsi="Times New Roman"/>
          <w:kern w:val="22"/>
          <w:lang w:eastAsia="hi-IN" w:bidi="hi-IN"/>
        </w:rPr>
        <w:t>recogni</w:t>
      </w:r>
      <w:r w:rsidR="00BE6A31">
        <w:rPr>
          <w:rFonts w:ascii="Times New Roman" w:eastAsia="SimSun" w:hAnsi="Times New Roman"/>
          <w:kern w:val="22"/>
          <w:lang w:eastAsia="hi-IN" w:bidi="hi-IN"/>
        </w:rPr>
        <w:t>s</w:t>
      </w:r>
      <w:r w:rsidR="00BE6A31" w:rsidRPr="00FB31A7">
        <w:rPr>
          <w:rFonts w:ascii="Times New Roman" w:eastAsia="SimSun" w:hAnsi="Times New Roman"/>
          <w:kern w:val="22"/>
          <w:lang w:eastAsia="hi-IN" w:bidi="hi-IN"/>
        </w:rPr>
        <w:t xml:space="preserve">es </w:t>
      </w:r>
      <w:r w:rsidRPr="00FB31A7">
        <w:rPr>
          <w:rFonts w:ascii="Times New Roman" w:eastAsia="SimSun" w:hAnsi="Times New Roman"/>
          <w:kern w:val="22"/>
          <w:lang w:eastAsia="hi-IN" w:bidi="hi-IN"/>
        </w:rPr>
        <w:t xml:space="preserve">the sovereign rights of States over their natural resources and provides that the authority to determine access to genetic resources rests with national governments and is subject to national legislation. </w:t>
      </w:r>
      <w:r>
        <w:rPr>
          <w:rFonts w:ascii="Times New Roman" w:eastAsia="SimSun" w:hAnsi="Times New Roman"/>
          <w:kern w:val="22"/>
          <w:lang w:eastAsia="hi-IN" w:bidi="hi-IN"/>
        </w:rPr>
        <w:t xml:space="preserve"> </w:t>
      </w:r>
    </w:p>
    <w:p w14:paraId="24FAF26B" w14:textId="03A5E9D3" w:rsidR="00B12251" w:rsidRDefault="00B12251" w:rsidP="00B12251">
      <w:pPr>
        <w:suppressAutoHyphens/>
        <w:spacing w:after="120" w:line="240" w:lineRule="auto"/>
        <w:jc w:val="both"/>
        <w:rPr>
          <w:rFonts w:ascii="Times New Roman" w:eastAsia="SimSun" w:hAnsi="Times New Roman"/>
          <w:kern w:val="22"/>
          <w:lang w:eastAsia="hi-IN" w:bidi="hi-IN"/>
        </w:rPr>
      </w:pPr>
      <w:r w:rsidRPr="00FB31A7">
        <w:rPr>
          <w:rFonts w:ascii="Times New Roman" w:eastAsia="SimSun" w:hAnsi="Times New Roman"/>
          <w:kern w:val="22"/>
          <w:lang w:eastAsia="hi-IN" w:bidi="hi-IN"/>
        </w:rPr>
        <w:t xml:space="preserve">Article 15 may be relevant to synthetic biology </w:t>
      </w:r>
      <w:r>
        <w:rPr>
          <w:rFonts w:ascii="Times New Roman" w:eastAsia="SimSun" w:hAnsi="Times New Roman"/>
          <w:kern w:val="22"/>
          <w:lang w:eastAsia="hi-IN" w:bidi="hi-IN"/>
        </w:rPr>
        <w:t>if it involves</w:t>
      </w:r>
      <w:r w:rsidRPr="00FB31A7">
        <w:rPr>
          <w:rFonts w:ascii="Times New Roman" w:eastAsia="SimSun" w:hAnsi="Times New Roman"/>
          <w:kern w:val="22"/>
          <w:lang w:eastAsia="hi-IN" w:bidi="hi-IN"/>
        </w:rPr>
        <w:t xml:space="preserve"> </w:t>
      </w:r>
      <w:r w:rsidRPr="003818D6">
        <w:rPr>
          <w:rFonts w:ascii="Times New Roman" w:eastAsia="SimSun" w:hAnsi="Times New Roman"/>
          <w:lang w:eastAsia="hi-IN" w:bidi="hi-IN"/>
        </w:rPr>
        <w:t>the access to</w:t>
      </w:r>
      <w:r w:rsidRPr="46D58E99">
        <w:rPr>
          <w:rFonts w:ascii="Times New Roman" w:eastAsia="SimSun" w:hAnsi="Times New Roman"/>
          <w:lang w:eastAsia="hi-IN" w:bidi="hi-IN"/>
        </w:rPr>
        <w:t xml:space="preserve"> genetic resources</w:t>
      </w:r>
      <w:r w:rsidRPr="003818D6">
        <w:rPr>
          <w:rFonts w:ascii="Times New Roman" w:eastAsia="SimSun" w:hAnsi="Times New Roman"/>
          <w:lang w:eastAsia="hi-IN" w:bidi="hi-IN"/>
        </w:rPr>
        <w:t xml:space="preserve"> for use</w:t>
      </w:r>
      <w:r w:rsidRPr="00FB31A7">
        <w:rPr>
          <w:rFonts w:ascii="Times New Roman" w:eastAsia="SimSun" w:hAnsi="Times New Roman"/>
          <w:kern w:val="22"/>
          <w:lang w:eastAsia="hi-IN" w:bidi="hi-IN"/>
        </w:rPr>
        <w:t xml:space="preserve"> in synthetic biology processes.</w:t>
      </w:r>
      <w:r>
        <w:rPr>
          <w:rFonts w:ascii="Times New Roman" w:eastAsia="SimSun" w:hAnsi="Times New Roman"/>
          <w:kern w:val="22"/>
          <w:lang w:eastAsia="hi-IN" w:bidi="hi-IN"/>
        </w:rPr>
        <w:t xml:space="preserve"> This would give rise to</w:t>
      </w:r>
      <w:r w:rsidRPr="191C0354">
        <w:rPr>
          <w:rFonts w:ascii="Times New Roman" w:eastAsia="SimSun" w:hAnsi="Times New Roman"/>
          <w:lang w:eastAsia="hi-IN" w:bidi="hi-IN"/>
        </w:rPr>
        <w:t xml:space="preserve"> </w:t>
      </w:r>
      <w:r w:rsidR="6DF67807" w:rsidRPr="191C0354">
        <w:rPr>
          <w:rFonts w:ascii="Times New Roman" w:eastAsia="SimSun" w:hAnsi="Times New Roman"/>
          <w:lang w:eastAsia="hi-IN" w:bidi="hi-IN"/>
        </w:rPr>
        <w:t>an obligation to share</w:t>
      </w:r>
      <w:r>
        <w:rPr>
          <w:rFonts w:ascii="Times New Roman" w:eastAsia="SimSun" w:hAnsi="Times New Roman"/>
          <w:kern w:val="22"/>
          <w:lang w:eastAsia="hi-IN" w:bidi="hi-IN"/>
        </w:rPr>
        <w:t xml:space="preserve"> </w:t>
      </w:r>
      <w:r w:rsidRPr="00FB31A7">
        <w:rPr>
          <w:rFonts w:ascii="Times New Roman" w:eastAsia="SimSun" w:hAnsi="Times New Roman"/>
          <w:kern w:val="22"/>
          <w:lang w:eastAsia="hi-IN" w:bidi="hi-IN"/>
        </w:rPr>
        <w:t>benefit</w:t>
      </w:r>
      <w:r w:rsidR="5C14EBBC" w:rsidRPr="191C0354">
        <w:rPr>
          <w:rFonts w:ascii="Times New Roman" w:eastAsia="SimSun" w:hAnsi="Times New Roman"/>
          <w:lang w:eastAsia="hi-IN" w:bidi="hi-IN"/>
        </w:rPr>
        <w:t>s</w:t>
      </w:r>
      <w:r w:rsidRPr="00FB31A7">
        <w:rPr>
          <w:rFonts w:ascii="Times New Roman" w:eastAsia="SimSun" w:hAnsi="Times New Roman"/>
          <w:kern w:val="22"/>
          <w:lang w:eastAsia="hi-IN" w:bidi="hi-IN"/>
        </w:rPr>
        <w:t xml:space="preserve"> from the </w:t>
      </w:r>
      <w:r w:rsidR="00B23587" w:rsidRPr="00FB31A7">
        <w:rPr>
          <w:rFonts w:ascii="Times New Roman" w:eastAsia="SimSun" w:hAnsi="Times New Roman"/>
          <w:kern w:val="22"/>
          <w:lang w:eastAsia="hi-IN" w:bidi="hi-IN"/>
        </w:rPr>
        <w:t>utili</w:t>
      </w:r>
      <w:r w:rsidR="00B23587">
        <w:rPr>
          <w:rFonts w:ascii="Times New Roman" w:eastAsia="SimSun" w:hAnsi="Times New Roman"/>
          <w:kern w:val="22"/>
          <w:lang w:eastAsia="hi-IN" w:bidi="hi-IN"/>
        </w:rPr>
        <w:t>s</w:t>
      </w:r>
      <w:r w:rsidR="00B23587" w:rsidRPr="00FB31A7">
        <w:rPr>
          <w:rFonts w:ascii="Times New Roman" w:eastAsia="SimSun" w:hAnsi="Times New Roman"/>
          <w:kern w:val="22"/>
          <w:lang w:eastAsia="hi-IN" w:bidi="hi-IN"/>
        </w:rPr>
        <w:t>ation</w:t>
      </w:r>
      <w:r w:rsidR="08D1BD84" w:rsidRPr="191C0354">
        <w:rPr>
          <w:rFonts w:ascii="Times New Roman" w:eastAsia="SimSun" w:hAnsi="Times New Roman"/>
          <w:lang w:eastAsia="hi-IN" w:bidi="hi-IN"/>
        </w:rPr>
        <w:t xml:space="preserve"> of the genetic resources</w:t>
      </w:r>
      <w:r>
        <w:rPr>
          <w:rFonts w:ascii="Times New Roman" w:eastAsia="SimSun" w:hAnsi="Times New Roman"/>
          <w:kern w:val="22"/>
          <w:lang w:eastAsia="hi-IN" w:bidi="hi-IN"/>
        </w:rPr>
        <w:t>.</w:t>
      </w:r>
    </w:p>
    <w:p w14:paraId="4A32B808" w14:textId="406A6FDD" w:rsidR="00B12251" w:rsidRPr="00FB31A7" w:rsidRDefault="00B12251" w:rsidP="00B12251">
      <w:pPr>
        <w:suppressAutoHyphens/>
        <w:spacing w:after="120" w:line="240" w:lineRule="auto"/>
        <w:jc w:val="both"/>
        <w:rPr>
          <w:rFonts w:ascii="Times New Roman" w:eastAsia="SimSun" w:hAnsi="Times New Roman"/>
          <w:kern w:val="22"/>
          <w:lang w:eastAsia="hi-IN" w:bidi="hi-IN"/>
        </w:rPr>
      </w:pPr>
      <w:r w:rsidRPr="00FB31A7">
        <w:rPr>
          <w:rFonts w:ascii="Times New Roman" w:eastAsia="SimSun" w:hAnsi="Times New Roman"/>
          <w:kern w:val="22"/>
          <w:lang w:eastAsia="hi-IN" w:bidi="hi-IN"/>
        </w:rPr>
        <w:t xml:space="preserve">While the Nagoya Protocol on Access to Genetic Resources and the Fair and Equitable Sharing of Benefits Arising from their Utilization details more precise obligations in relation to access and benefit-sharing for its Parties, Article 15 of the Convention continues to apply to all Parties </w:t>
      </w:r>
      <w:r w:rsidR="3AE136ED" w:rsidRPr="00FB31A7">
        <w:rPr>
          <w:rFonts w:ascii="Times New Roman" w:eastAsia="SimSun" w:hAnsi="Times New Roman"/>
          <w:kern w:val="22"/>
          <w:lang w:eastAsia="hi-IN" w:bidi="hi-IN"/>
        </w:rPr>
        <w:t>t</w:t>
      </w:r>
      <w:r w:rsidRPr="00FB31A7">
        <w:rPr>
          <w:rFonts w:ascii="Times New Roman" w:eastAsia="SimSun" w:hAnsi="Times New Roman"/>
          <w:kern w:val="22"/>
          <w:lang w:eastAsia="hi-IN" w:bidi="hi-IN"/>
        </w:rPr>
        <w:t>o the Convention.</w:t>
      </w:r>
      <w:r w:rsidRPr="00FB31A7">
        <w:rPr>
          <w:rStyle w:val="FootnoteCharacters"/>
          <w:kern w:val="22"/>
        </w:rPr>
        <w:t xml:space="preserve"> </w:t>
      </w:r>
    </w:p>
    <w:p w14:paraId="16CAD77C" w14:textId="77777777" w:rsidR="00B12251" w:rsidRPr="00FB31A7" w:rsidRDefault="00B12251" w:rsidP="00B12251">
      <w:pPr>
        <w:suppressAutoHyphens/>
        <w:spacing w:after="120" w:line="240" w:lineRule="auto"/>
        <w:jc w:val="both"/>
        <w:rPr>
          <w:rFonts w:ascii="Times New Roman" w:eastAsia="SimSun" w:hAnsi="Times New Roman"/>
          <w:kern w:val="22"/>
          <w:lang w:eastAsia="hi-IN" w:bidi="hi-IN"/>
        </w:rPr>
      </w:pPr>
      <w:r w:rsidRPr="00FB31A7">
        <w:rPr>
          <w:rFonts w:ascii="Times New Roman" w:eastAsia="SimSun" w:hAnsi="Times New Roman"/>
          <w:kern w:val="22"/>
          <w:lang w:eastAsia="hi-IN" w:bidi="hi-IN"/>
        </w:rPr>
        <w:t>Article 15 includes the provisions that Parties shall endeavour to create conditions to facilitate access to genetic resources for environmentally sound uses by other Contracting Parties (paragraph 2); that granted access shall be on mutually agreed terms (paragraph 4) and subject to prior informed consent, unless otherwise determined by the Party providing the genetic resources (paragraph 5); and that “</w:t>
      </w:r>
      <w:r w:rsidRPr="00396AB7">
        <w:rPr>
          <w:rFonts w:ascii="Times New Roman" w:eastAsia="SimSun" w:hAnsi="Times New Roman"/>
          <w:i/>
          <w:iCs/>
          <w:kern w:val="22"/>
          <w:lang w:eastAsia="hi-IN" w:bidi="hi-IN"/>
        </w:rPr>
        <w:t>Parties shall take legislative, administrative or policy measures … with the aim of sharing in a fair and equitable way the results of research and development and the benefits arising from the commercial and other utilization of genetic resources with the Contracting Party providing such resources</w:t>
      </w:r>
      <w:r w:rsidRPr="00FB31A7">
        <w:rPr>
          <w:rFonts w:ascii="Times New Roman" w:eastAsia="SimSun" w:hAnsi="Times New Roman"/>
          <w:kern w:val="22"/>
          <w:lang w:eastAsia="hi-IN" w:bidi="hi-IN"/>
        </w:rPr>
        <w:t>” (paragraph 7).</w:t>
      </w:r>
    </w:p>
    <w:p w14:paraId="7EB97BF2" w14:textId="77777777" w:rsidR="00B12251" w:rsidRPr="00FB31A7" w:rsidRDefault="00B12251" w:rsidP="00B12251">
      <w:pPr>
        <w:suppressAutoHyphens/>
        <w:spacing w:after="120" w:line="240" w:lineRule="auto"/>
        <w:jc w:val="both"/>
        <w:rPr>
          <w:rFonts w:ascii="Times New Roman" w:eastAsia="SimSun" w:hAnsi="Times New Roman"/>
          <w:kern w:val="22"/>
          <w:lang w:eastAsia="hi-IN" w:bidi="hi-IN"/>
        </w:rPr>
      </w:pPr>
      <w:r w:rsidRPr="00FB31A7">
        <w:rPr>
          <w:rFonts w:ascii="Times New Roman" w:eastAsia="SimSun" w:hAnsi="Times New Roman"/>
          <w:kern w:val="22"/>
          <w:lang w:eastAsia="hi-IN" w:bidi="hi-IN"/>
        </w:rPr>
        <w:t>In the cases where synthetic biology utili</w:t>
      </w:r>
      <w:r>
        <w:rPr>
          <w:rFonts w:ascii="Times New Roman" w:eastAsia="SimSun" w:hAnsi="Times New Roman"/>
          <w:kern w:val="22"/>
          <w:lang w:eastAsia="hi-IN" w:bidi="hi-IN"/>
        </w:rPr>
        <w:t>s</w:t>
      </w:r>
      <w:r w:rsidRPr="00FB31A7">
        <w:rPr>
          <w:rFonts w:ascii="Times New Roman" w:eastAsia="SimSun" w:hAnsi="Times New Roman"/>
          <w:kern w:val="22"/>
          <w:lang w:eastAsia="hi-IN" w:bidi="hi-IN"/>
        </w:rPr>
        <w:t xml:space="preserve">es genetic resources and requires access to those resources, the access requirements of the Convention would, in general, apply and thus require prior informed consent (unless otherwise determined) and the negotiation of mutually agreed terms. </w:t>
      </w:r>
    </w:p>
    <w:p w14:paraId="2CD4F331" w14:textId="77777777" w:rsidR="00B12251" w:rsidRPr="00FB31A7" w:rsidRDefault="00B12251" w:rsidP="00B12251">
      <w:pPr>
        <w:suppressAutoHyphens/>
        <w:spacing w:after="120" w:line="240" w:lineRule="auto"/>
        <w:jc w:val="both"/>
        <w:rPr>
          <w:rFonts w:ascii="Times New Roman" w:hAnsi="Times New Roman"/>
          <w:kern w:val="22"/>
        </w:rPr>
      </w:pPr>
      <w:r w:rsidRPr="00FB31A7">
        <w:rPr>
          <w:rFonts w:ascii="Times New Roman" w:eastAsia="SimSun" w:hAnsi="Times New Roman"/>
          <w:kern w:val="22"/>
          <w:lang w:eastAsia="hi-IN" w:bidi="hi-IN"/>
        </w:rPr>
        <w:t xml:space="preserve">However, there are cases where it is not clear that the material accessed for its use in synthetic biology can be considered “genetic resources” or “genetic material” in accordance with the definitions contained in Article 2 of the Convention. </w:t>
      </w:r>
      <w:r w:rsidRPr="00FB31A7">
        <w:rPr>
          <w:rFonts w:ascii="Times New Roman" w:hAnsi="Times New Roman"/>
          <w:kern w:val="22"/>
        </w:rPr>
        <w:t xml:space="preserve">The Convention defines “genetic resources” as genetic material of actual or potential value. Additionally, “genetic material” is defined as any material of plant, animal, microbial or other origin containing functional units of heredity. </w:t>
      </w:r>
    </w:p>
    <w:p w14:paraId="00827772" w14:textId="5E3883E2" w:rsidR="00B12251" w:rsidRPr="00FB31A7" w:rsidRDefault="00B12251" w:rsidP="00B12251">
      <w:pPr>
        <w:suppressAutoHyphens/>
        <w:spacing w:after="120" w:line="240" w:lineRule="auto"/>
        <w:jc w:val="both"/>
        <w:rPr>
          <w:rFonts w:ascii="Times New Roman" w:hAnsi="Times New Roman"/>
          <w:kern w:val="22"/>
        </w:rPr>
      </w:pPr>
      <w:r w:rsidRPr="00FB31A7">
        <w:rPr>
          <w:rFonts w:ascii="Times New Roman" w:hAnsi="Times New Roman"/>
          <w:kern w:val="22"/>
        </w:rPr>
        <w:t xml:space="preserve">Therefore, “genetic material” includes material from any origin so long as it contains “functional units of heredity”. Functional units of heredity are not defined in the text of the Convention. </w:t>
      </w:r>
      <w:r w:rsidR="008C0847">
        <w:rPr>
          <w:rFonts w:ascii="Times New Roman" w:hAnsi="Times New Roman"/>
          <w:kern w:val="22"/>
        </w:rPr>
        <w:fldChar w:fldCharType="begin" w:fldLock="1"/>
      </w:r>
      <w:r w:rsidR="00EB6FF0">
        <w:rPr>
          <w:rFonts w:ascii="Times New Roman" w:hAnsi="Times New Roman"/>
          <w:kern w:val="22"/>
        </w:rPr>
        <w:instrText>ADDIN CSL_CITATION {"citationItems":[{"id":"ITEM-1","itemData":{"author":[{"dropping-particle":"","family":"Schei","given":"Peter Johan","non-dropping-particle":"","parse-names":false,"suffix":""},{"dropping-particle":"","family":"Tvedt","given":"Morten Walløe","non-dropping-particle":"","parse-names":false,"suffix":""}],"edition":"FNI Report","id":"ITEM-1","issued":{"date-parts":[["2010"]]},"number-of-pages":"31","publisher-place":"Lysaker, Norway","title":"'Genetic Resources' in the CBD: The Wording, the Past, the Present and the Future","type":"report"},"uris":["http://www.mendeley.com/documents/?uuid=debfe203-63ae-4ead-8c75-ab8c521857c0"]}],"mendeley":{"formattedCitation":"(Schei &amp; Tvedt, 2010)","manualFormatting":"Schei and Tvedt (2010)","plainTextFormattedCitation":"(Schei &amp; Tvedt, 2010)","previouslyFormattedCitation":"(Schei &amp; Tvedt, 2010)"},"properties":{"noteIndex":0},"schema":"https://github.com/citation-style-language/schema/raw/master/csl-citation.json"}</w:instrText>
      </w:r>
      <w:r w:rsidR="008C0847">
        <w:rPr>
          <w:rFonts w:ascii="Times New Roman" w:hAnsi="Times New Roman"/>
          <w:kern w:val="22"/>
        </w:rPr>
        <w:fldChar w:fldCharType="separate"/>
      </w:r>
      <w:r w:rsidR="008C0847" w:rsidRPr="008C0847">
        <w:rPr>
          <w:rFonts w:ascii="Times New Roman" w:hAnsi="Times New Roman"/>
          <w:noProof/>
          <w:kern w:val="22"/>
        </w:rPr>
        <w:t xml:space="preserve">Schei </w:t>
      </w:r>
      <w:r w:rsidR="008C0847">
        <w:rPr>
          <w:rFonts w:ascii="Times New Roman" w:hAnsi="Times New Roman"/>
          <w:noProof/>
          <w:kern w:val="22"/>
        </w:rPr>
        <w:t>and</w:t>
      </w:r>
      <w:r w:rsidR="008C0847" w:rsidRPr="008C0847">
        <w:rPr>
          <w:rFonts w:ascii="Times New Roman" w:hAnsi="Times New Roman"/>
          <w:noProof/>
          <w:kern w:val="22"/>
        </w:rPr>
        <w:t xml:space="preserve"> Tvedt </w:t>
      </w:r>
      <w:r w:rsidR="008C0847">
        <w:rPr>
          <w:rFonts w:ascii="Times New Roman" w:hAnsi="Times New Roman"/>
          <w:noProof/>
          <w:kern w:val="22"/>
        </w:rPr>
        <w:t>(</w:t>
      </w:r>
      <w:r w:rsidR="008C0847" w:rsidRPr="008C0847">
        <w:rPr>
          <w:rFonts w:ascii="Times New Roman" w:hAnsi="Times New Roman"/>
          <w:noProof/>
          <w:kern w:val="22"/>
        </w:rPr>
        <w:t>2010)</w:t>
      </w:r>
      <w:r w:rsidR="008C0847">
        <w:rPr>
          <w:rFonts w:ascii="Times New Roman" w:hAnsi="Times New Roman"/>
          <w:kern w:val="22"/>
        </w:rPr>
        <w:fldChar w:fldCharType="end"/>
      </w:r>
      <w:r w:rsidR="008C0847">
        <w:rPr>
          <w:rFonts w:ascii="Times New Roman" w:hAnsi="Times New Roman"/>
          <w:kern w:val="22"/>
        </w:rPr>
        <w:t xml:space="preserve"> </w:t>
      </w:r>
      <w:r w:rsidRPr="00FB31A7">
        <w:rPr>
          <w:rFonts w:ascii="Times New Roman" w:hAnsi="Times New Roman"/>
          <w:kern w:val="22"/>
        </w:rPr>
        <w:t xml:space="preserve">argue that because the word “functional” introduces a dynamic element, the term “genetic material” can be interpreted in line with contemporary knowledge and technology. When the Convention was negotiated, the general understanding was that functional units of heredity distinguished genes from “junk” DNA. Today, however, scientific understandings of heredity have changed dramatically; junk DNA is no longer considered “junky,” and functional units of heredity may need to be interpreted beyond the gene itself </w:t>
      </w:r>
      <w:r>
        <w:rPr>
          <w:rFonts w:ascii="Times New Roman" w:hAnsi="Times New Roman"/>
          <w:kern w:val="22"/>
        </w:rPr>
        <w:t>to include, for example, e</w:t>
      </w:r>
      <w:r w:rsidRPr="00A66CC9">
        <w:rPr>
          <w:rFonts w:ascii="Times New Roman" w:hAnsi="Times New Roman"/>
          <w:kern w:val="22"/>
        </w:rPr>
        <w:t>pigenetic</w:t>
      </w:r>
      <w:r>
        <w:rPr>
          <w:rFonts w:ascii="Times New Roman" w:hAnsi="Times New Roman"/>
          <w:kern w:val="22"/>
        </w:rPr>
        <w:t>s which involve</w:t>
      </w:r>
      <w:r w:rsidRPr="00A66CC9">
        <w:rPr>
          <w:rFonts w:ascii="Times New Roman" w:hAnsi="Times New Roman"/>
          <w:kern w:val="22"/>
        </w:rPr>
        <w:t xml:space="preserve"> functional, and sometimes inherited, changes in the regulation of gene activity and expression that are not dependent on gene sequence</w:t>
      </w:r>
      <w:r>
        <w:rPr>
          <w:rFonts w:ascii="Times New Roman" w:hAnsi="Times New Roman"/>
          <w:kern w:val="22"/>
        </w:rPr>
        <w:t xml:space="preserve"> </w:t>
      </w:r>
      <w:r w:rsidR="00130FC0">
        <w:rPr>
          <w:rFonts w:ascii="Times New Roman" w:hAnsi="Times New Roman"/>
          <w:kern w:val="22"/>
        </w:rPr>
        <w:fldChar w:fldCharType="begin" w:fldLock="1"/>
      </w:r>
      <w:r w:rsidR="00DA5126">
        <w:rPr>
          <w:rFonts w:ascii="Times New Roman" w:hAnsi="Times New Roman"/>
          <w:kern w:val="22"/>
        </w:rPr>
        <w:instrText>ADDIN CSL_CITATION {"citationItems":[{"id":"ITEM-1","itemData":{"DOI":"10.1098/rstb.2017.0067","ISSN":"0962-8436","abstract":"Epigenetics is a natural progression of genetics as it aims to understand how genes and other heritable elements are regulated in eukaryotic organisms. The history of epigenetics is briefly reviewed, together with the key issues in the field today. This themed issue brings together a diverse collection of interdisciplinary reviews and research articles that showcase the tremendous recent advances in epigenetic chemical biology and translational research into epigenetic drug discovery.","author":[{"dropping-particle":"","family":"Ganesan","given":"A.","non-dropping-particle":"","parse-names":false,"suffix":""}],"container-title":"Philosophical Transactions of the Royal Society B: Biological Sciences","id":"ITEM-1","issue":"1748","issued":{"date-parts":[["2018","6","5"]]},"page":"20170067","title":"Epigenetics: the first 25 centuries","type":"article-journal","volume":"373"},"uris":["http://www.mendeley.com/documents/?uuid=0145c099-8426-40c9-afdd-e91be4d5cd72"]},{"id":"ITEM-2","itemData":{"DOI":"10.1038/s41576-021-00354-8","ISSN":"1471-0056","author":[{"dropping-particle":"","family":"Gemmell","given":"Neil J.","non-dropping-particle":"","parse-names":false,"suffix":""}],"container-title":"Nature Reviews Genetics","id":"ITEM-2","issued":{"date-parts":[["2021","3","29"]]},"title":"Repetitive DNA: genomic dark matter matters","type":"article-journal"},"uris":["http://www.mendeley.com/documents/?uuid=29538213-9f4b-40dc-becd-7b9a11624a2a"]}],"mendeley":{"formattedCitation":"(Ganesan, 2018; Gemmell, 2021)","plainTextFormattedCitation":"(Ganesan, 2018; Gemmell, 2021)","previouslyFormattedCitation":"(Ganesan, 2018; Gemmell, 2021)"},"properties":{"noteIndex":0},"schema":"https://github.com/citation-style-language/schema/raw/master/csl-citation.json"}</w:instrText>
      </w:r>
      <w:r w:rsidR="00130FC0">
        <w:rPr>
          <w:rFonts w:ascii="Times New Roman" w:hAnsi="Times New Roman"/>
          <w:kern w:val="22"/>
        </w:rPr>
        <w:fldChar w:fldCharType="separate"/>
      </w:r>
      <w:r w:rsidR="00130FC0" w:rsidRPr="00130FC0">
        <w:rPr>
          <w:rFonts w:ascii="Times New Roman" w:hAnsi="Times New Roman"/>
          <w:noProof/>
          <w:kern w:val="22"/>
        </w:rPr>
        <w:t>(Ganesan, 2018; Gemmell, 2021)</w:t>
      </w:r>
      <w:r w:rsidR="00130FC0">
        <w:rPr>
          <w:rFonts w:ascii="Times New Roman" w:hAnsi="Times New Roman"/>
          <w:kern w:val="22"/>
        </w:rPr>
        <w:fldChar w:fldCharType="end"/>
      </w:r>
      <w:r>
        <w:rPr>
          <w:rFonts w:ascii="Times New Roman" w:hAnsi="Times New Roman"/>
          <w:kern w:val="22"/>
        </w:rPr>
        <w:t xml:space="preserve"> and which are increasingly implicated in linking genetics to the environment and disease </w:t>
      </w:r>
      <w:r w:rsidR="00EB6FF0">
        <w:rPr>
          <w:rFonts w:ascii="Times New Roman" w:hAnsi="Times New Roman"/>
          <w:kern w:val="22"/>
        </w:rPr>
        <w:fldChar w:fldCharType="begin" w:fldLock="1"/>
      </w:r>
      <w:r w:rsidR="00CE6A7C">
        <w:rPr>
          <w:rFonts w:ascii="Times New Roman" w:hAnsi="Times New Roman"/>
          <w:kern w:val="22"/>
        </w:rPr>
        <w:instrText>ADDIN CSL_CITATION {"citationItems":[{"id":"ITEM-1","itemData":{"DOI":"10.1038/s41586-019-1411-0","ISSN":"14764687","PMID":"31341302","abstract":"Epigenetic research has accelerated rapidly in the twenty-first century, generating justified excitement and hope, but also a degree of hype. Here we review how the field has evolved over the last few decades and reflect on some of the recent advances that are changing our understanding of biology. We discuss the interplay between epigenetics and DNA sequence variation as well as the implications of epigenetics for cellular memory and plasticity. We consider the effects of the environment and both intergenerational and transgenerational epigenetic inheritance on biology, disease and evolution. Finally, we present some new frontiers in epigenetics with implications for human health.","author":[{"dropping-particle":"","family":"Cavalli","given":"Giacomo","non-dropping-particle":"","parse-names":false,"suffix":""},{"dropping-particle":"","family":"Heard","given":"Edith","non-dropping-particle":"","parse-names":false,"suffix":""}],"container-title":"Nature","id":"ITEM-1","issue":"7766","issued":{"date-parts":[["2019"]]},"page":"489-499","publisher":"Nature Publishing Group","title":"Advances in epigenetics link genetics to the environment and disease","type":"article","volume":"571"},"uris":["http://www.mendeley.com/documents/?uuid=e47faea6-69db-46cc-ad3c-da07255b32c5"]}],"mendeley":{"formattedCitation":"(Cavalli &amp; Heard, 2019)","plainTextFormattedCitation":"(Cavalli &amp; Heard, 2019)","previouslyFormattedCitation":"(Cavalli &amp; Heard, 2019)"},"properties":{"noteIndex":0},"schema":"https://github.com/citation-style-language/schema/raw/master/csl-citation.json"}</w:instrText>
      </w:r>
      <w:r w:rsidR="00EB6FF0">
        <w:rPr>
          <w:rFonts w:ascii="Times New Roman" w:hAnsi="Times New Roman"/>
          <w:kern w:val="22"/>
        </w:rPr>
        <w:fldChar w:fldCharType="separate"/>
      </w:r>
      <w:r w:rsidR="00EB6FF0" w:rsidRPr="00EB6FF0">
        <w:rPr>
          <w:rFonts w:ascii="Times New Roman" w:hAnsi="Times New Roman"/>
          <w:noProof/>
          <w:kern w:val="22"/>
        </w:rPr>
        <w:t>(Cavalli &amp; Heard, 2019)</w:t>
      </w:r>
      <w:r w:rsidR="00EB6FF0">
        <w:rPr>
          <w:rFonts w:ascii="Times New Roman" w:hAnsi="Times New Roman"/>
          <w:kern w:val="22"/>
        </w:rPr>
        <w:fldChar w:fldCharType="end"/>
      </w:r>
      <w:r w:rsidRPr="00FB31A7">
        <w:rPr>
          <w:rFonts w:ascii="Times New Roman" w:hAnsi="Times New Roman"/>
          <w:kern w:val="22"/>
        </w:rPr>
        <w:t>.</w:t>
      </w:r>
    </w:p>
    <w:p w14:paraId="282CFF52" w14:textId="7351E895" w:rsidR="00B12251" w:rsidRPr="00875E92" w:rsidRDefault="00B12251" w:rsidP="00B12251">
      <w:pPr>
        <w:suppressAutoHyphens/>
        <w:spacing w:after="120" w:line="240" w:lineRule="auto"/>
        <w:jc w:val="both"/>
        <w:rPr>
          <w:rFonts w:ascii="Times New Roman" w:hAnsi="Times New Roman"/>
          <w:kern w:val="22"/>
        </w:rPr>
      </w:pPr>
      <w:r w:rsidRPr="00FB31A7">
        <w:rPr>
          <w:rFonts w:ascii="Times New Roman" w:hAnsi="Times New Roman"/>
          <w:kern w:val="22"/>
        </w:rPr>
        <w:t xml:space="preserve">As said above, the Convention defines “genetic resources” as genetic material of actual or potential value. “Value” within the context of the Convention includes not just economic value, but also ecological, genetic, social, scientific, educational, cultural, recreational and aesthetic values (Preamble). </w:t>
      </w:r>
      <w:r w:rsidR="00EB6FF0">
        <w:rPr>
          <w:rFonts w:ascii="Times New Roman" w:hAnsi="Times New Roman"/>
          <w:kern w:val="22"/>
        </w:rPr>
        <w:fldChar w:fldCharType="begin" w:fldLock="1"/>
      </w:r>
      <w:r w:rsidR="00EB6FF0">
        <w:rPr>
          <w:rFonts w:ascii="Times New Roman" w:hAnsi="Times New Roman"/>
          <w:kern w:val="22"/>
        </w:rPr>
        <w:instrText>ADDIN CSL_CITATION {"citationItems":[{"id":"ITEM-1","itemData":{"author":[{"dropping-particle":"","family":"Schei","given":"Peter Johan","non-dropping-particle":"","parse-names":false,"suffix":""},{"dropping-particle":"","family":"Tvedt","given":"Morten Walløe","non-dropping-particle":"","parse-names":false,"suffix":""}],"edition":"FNI Report","id":"ITEM-1","issued":{"date-parts":[["2010"]]},"number-of-pages":"31","publisher-place":"Lysaker, Norway","title":"'Genetic Resources' in the CBD: The Wording, the Past, the Present and the Future","type":"report"},"uris":["http://www.mendeley.com/documents/?uuid=debfe203-63ae-4ead-8c75-ab8c521857c0"]}],"mendeley":{"formattedCitation":"(Schei &amp; Tvedt, 2010)","manualFormatting":"Schei and Tvedt (2010)","plainTextFormattedCitation":"(Schei &amp; Tvedt, 2010)","previouslyFormattedCitation":"(Schei &amp; Tvedt, 2010)"},"properties":{"noteIndex":0},"schema":"https://github.com/citation-style-language/schema/raw/master/csl-citation.json"}</w:instrText>
      </w:r>
      <w:r w:rsidR="00EB6FF0">
        <w:rPr>
          <w:rFonts w:ascii="Times New Roman" w:hAnsi="Times New Roman"/>
          <w:kern w:val="22"/>
        </w:rPr>
        <w:fldChar w:fldCharType="separate"/>
      </w:r>
      <w:r w:rsidR="00EB6FF0" w:rsidRPr="008C0847">
        <w:rPr>
          <w:rFonts w:ascii="Times New Roman" w:hAnsi="Times New Roman"/>
          <w:noProof/>
          <w:kern w:val="22"/>
        </w:rPr>
        <w:t xml:space="preserve">Schei </w:t>
      </w:r>
      <w:r w:rsidR="00EB6FF0">
        <w:rPr>
          <w:rFonts w:ascii="Times New Roman" w:hAnsi="Times New Roman"/>
          <w:noProof/>
          <w:kern w:val="22"/>
        </w:rPr>
        <w:t>and</w:t>
      </w:r>
      <w:r w:rsidR="00EB6FF0" w:rsidRPr="008C0847">
        <w:rPr>
          <w:rFonts w:ascii="Times New Roman" w:hAnsi="Times New Roman"/>
          <w:noProof/>
          <w:kern w:val="22"/>
        </w:rPr>
        <w:t xml:space="preserve"> Tvedt </w:t>
      </w:r>
      <w:r w:rsidR="00EB6FF0">
        <w:rPr>
          <w:rFonts w:ascii="Times New Roman" w:hAnsi="Times New Roman"/>
          <w:noProof/>
          <w:kern w:val="22"/>
        </w:rPr>
        <w:t>(</w:t>
      </w:r>
      <w:r w:rsidR="00EB6FF0" w:rsidRPr="008C0847">
        <w:rPr>
          <w:rFonts w:ascii="Times New Roman" w:hAnsi="Times New Roman"/>
          <w:noProof/>
          <w:kern w:val="22"/>
        </w:rPr>
        <w:t>2010)</w:t>
      </w:r>
      <w:r w:rsidR="00EB6FF0">
        <w:rPr>
          <w:rFonts w:ascii="Times New Roman" w:hAnsi="Times New Roman"/>
          <w:kern w:val="22"/>
        </w:rPr>
        <w:fldChar w:fldCharType="end"/>
      </w:r>
      <w:r w:rsidR="00EB6FF0">
        <w:rPr>
          <w:rFonts w:ascii="Times New Roman" w:hAnsi="Times New Roman"/>
          <w:kern w:val="22"/>
        </w:rPr>
        <w:t xml:space="preserve"> </w:t>
      </w:r>
      <w:r w:rsidRPr="00FB31A7">
        <w:rPr>
          <w:rFonts w:ascii="Times New Roman" w:hAnsi="Times New Roman"/>
          <w:kern w:val="22"/>
        </w:rPr>
        <w:t xml:space="preserve">argue that because the definition refers to both types of value – actual and potential – it encompasses the state of art of technology as well as dynamic future realizations of value. Synthetic biology tools and techniques are aiding researchers in discovering new aspects of value in materials </w:t>
      </w:r>
      <w:r w:rsidR="00CE6A7C">
        <w:rPr>
          <w:rFonts w:ascii="Times New Roman" w:hAnsi="Times New Roman"/>
          <w:kern w:val="22"/>
        </w:rPr>
        <w:fldChar w:fldCharType="begin" w:fldLock="1"/>
      </w:r>
      <w:r w:rsidR="00CE6A7C">
        <w:rPr>
          <w:rFonts w:ascii="Times New Roman" w:hAnsi="Times New Roman"/>
          <w:kern w:val="22"/>
        </w:rPr>
        <w:instrText>ADDIN CSL_CITATION {"citationItems":[{"id":"ITEM-1","itemData":{"author":[{"dropping-particle":"","family":"Laird","given":"Sarah","non-dropping-particle":"","parse-names":false,"suffix":""},{"dropping-particle":"","family":"Wynberg","given":"Rachel","non-dropping-particle":"","parse-names":false,"suffix":""}],"id":"ITEM-1","issued":{"date-parts":[["2012"]]},"publisher":"Secretariat of the Convention on Biological Diversity","title":"Bioscience at a Crossroads: Implementing the Nagoya Protocol on Access and Benefit Sharing in a Time of Scientific, Technological and Industry Change","type":"article"},"uris":["http://www.mendeley.com/documents/?uuid=93623cbb-11e4-4dcd-babb-34c87a556310"]}],"mendeley":{"formattedCitation":"(Laird &amp; Wynberg, 2012)","plainTextFormattedCitation":"(Laird &amp; Wynberg, 2012)","previouslyFormattedCitation":"(Laird &amp; Wynberg, 2012)"},"properties":{"noteIndex":0},"schema":"https://github.com/citation-style-language/schema/raw/master/csl-citation.json"}</w:instrText>
      </w:r>
      <w:r w:rsidR="00CE6A7C">
        <w:rPr>
          <w:rFonts w:ascii="Times New Roman" w:hAnsi="Times New Roman"/>
          <w:kern w:val="22"/>
        </w:rPr>
        <w:fldChar w:fldCharType="separate"/>
      </w:r>
      <w:r w:rsidR="00CE6A7C" w:rsidRPr="00CE6A7C">
        <w:rPr>
          <w:rFonts w:ascii="Times New Roman" w:hAnsi="Times New Roman"/>
          <w:noProof/>
          <w:kern w:val="22"/>
        </w:rPr>
        <w:t>(Laird &amp; Wynberg, 2012)</w:t>
      </w:r>
      <w:r w:rsidR="00CE6A7C">
        <w:rPr>
          <w:rFonts w:ascii="Times New Roman" w:hAnsi="Times New Roman"/>
          <w:kern w:val="22"/>
        </w:rPr>
        <w:fldChar w:fldCharType="end"/>
      </w:r>
      <w:r w:rsidRPr="00FB31A7">
        <w:rPr>
          <w:rFonts w:ascii="Times New Roman" w:hAnsi="Times New Roman"/>
          <w:kern w:val="22"/>
        </w:rPr>
        <w:t xml:space="preserve">. Synthetic biology is opening up new ways to capture increased value from genetic materials, and thus may affect Parties’ interpretations of the definitions of “genetic resources” and “genetic material” as </w:t>
      </w:r>
      <w:r w:rsidRPr="00875E92">
        <w:rPr>
          <w:rFonts w:ascii="Times New Roman" w:hAnsi="Times New Roman"/>
          <w:kern w:val="22"/>
        </w:rPr>
        <w:t>contained in the Convention and, by reference, the Nagoya Protocol.</w:t>
      </w:r>
    </w:p>
    <w:p w14:paraId="7B20D9D2" w14:textId="6AD66753" w:rsidR="00B12251" w:rsidRDefault="00B12251" w:rsidP="0CD87914">
      <w:pPr>
        <w:suppressAutoHyphens/>
        <w:spacing w:after="120" w:line="240" w:lineRule="auto"/>
        <w:jc w:val="both"/>
        <w:rPr>
          <w:rFonts w:ascii="Times New Roman" w:hAnsi="Times New Roman"/>
        </w:rPr>
      </w:pPr>
      <w:r w:rsidRPr="00875E92">
        <w:rPr>
          <w:rFonts w:ascii="Times New Roman" w:hAnsi="Times New Roman"/>
          <w:kern w:val="22"/>
        </w:rPr>
        <w:t xml:space="preserve">For example, synthetic biology </w:t>
      </w:r>
      <w:r>
        <w:rPr>
          <w:rFonts w:ascii="Times New Roman" w:hAnsi="Times New Roman"/>
          <w:kern w:val="22"/>
        </w:rPr>
        <w:t xml:space="preserve">relies heavily on </w:t>
      </w:r>
      <w:r w:rsidRPr="00875E92">
        <w:rPr>
          <w:rFonts w:ascii="Times New Roman" w:hAnsi="Times New Roman"/>
          <w:kern w:val="22"/>
        </w:rPr>
        <w:t>digital information on functional units of heredity, such as specific DNA sequences</w:t>
      </w:r>
      <w:r>
        <w:rPr>
          <w:rFonts w:ascii="Times New Roman" w:hAnsi="Times New Roman"/>
          <w:kern w:val="22"/>
        </w:rPr>
        <w:t xml:space="preserve"> and reflects a</w:t>
      </w:r>
      <w:r w:rsidRPr="00875E92">
        <w:rPr>
          <w:rFonts w:ascii="Times New Roman" w:hAnsi="Times New Roman"/>
          <w:kern w:val="22"/>
        </w:rPr>
        <w:t xml:space="preserve"> growing trend in research away from physical transfers of biological material and towards electronic transfers </w:t>
      </w:r>
      <w:r>
        <w:rPr>
          <w:rFonts w:ascii="Times New Roman" w:hAnsi="Times New Roman"/>
          <w:kern w:val="22"/>
        </w:rPr>
        <w:t xml:space="preserve">and use of </w:t>
      </w:r>
      <w:r w:rsidRPr="00875E92">
        <w:rPr>
          <w:rFonts w:ascii="Times New Roman" w:hAnsi="Times New Roman"/>
          <w:kern w:val="22"/>
        </w:rPr>
        <w:t>digital information</w:t>
      </w:r>
      <w:r>
        <w:rPr>
          <w:rFonts w:ascii="Times New Roman" w:hAnsi="Times New Roman"/>
          <w:kern w:val="22"/>
        </w:rPr>
        <w:t>, a trend that has accompanied the rise of</w:t>
      </w:r>
      <w:r w:rsidRPr="00875E92">
        <w:rPr>
          <w:rFonts w:ascii="Times New Roman" w:hAnsi="Times New Roman"/>
          <w:kern w:val="22"/>
        </w:rPr>
        <w:t xml:space="preserve"> biotechnology more broadly </w:t>
      </w:r>
      <w:r>
        <w:rPr>
          <w:rFonts w:ascii="Times New Roman" w:hAnsi="Times New Roman"/>
          <w:kern w:val="22"/>
        </w:rPr>
        <w:t>and has accelerated further with modern</w:t>
      </w:r>
      <w:r w:rsidRPr="00875E92">
        <w:rPr>
          <w:rFonts w:ascii="Times New Roman" w:hAnsi="Times New Roman"/>
          <w:kern w:val="22"/>
        </w:rPr>
        <w:t xml:space="preserve"> </w:t>
      </w:r>
      <w:r w:rsidRPr="00242C9E">
        <w:rPr>
          <w:rFonts w:ascii="Times New Roman" w:hAnsi="Times New Roman"/>
        </w:rPr>
        <w:t>synthetic biology</w:t>
      </w:r>
      <w:r w:rsidRPr="00875E92">
        <w:rPr>
          <w:rFonts w:ascii="Times New Roman" w:hAnsi="Times New Roman"/>
          <w:kern w:val="22"/>
        </w:rPr>
        <w:t xml:space="preserve"> tools and techniques </w:t>
      </w:r>
      <w:r w:rsidR="00310CB4">
        <w:rPr>
          <w:rFonts w:ascii="Times New Roman" w:hAnsi="Times New Roman"/>
          <w:kern w:val="22"/>
        </w:rPr>
        <w:fldChar w:fldCharType="begin" w:fldLock="1"/>
      </w:r>
      <w:r w:rsidR="00130FC0">
        <w:rPr>
          <w:rFonts w:ascii="Times New Roman" w:hAnsi="Times New Roman"/>
          <w:kern w:val="22"/>
        </w:rPr>
        <w:instrText>ADDIN CSL_CITATION {"citationItems":[{"id":"ITEM-1","itemData":{"author":[{"dropping-particle":"","family":"Oldham","given":"Paul","non-dropping-particle":"","parse-names":false,"suffix":""}],"id":"ITEM-1","issued":{"date-parts":[["2004"]]},"title":"Global Status and Trends in Intellectual Property Claims: Genomics, Proteomics and Biotechnology","type":"article"},"uris":["http://www.mendeley.com/documents/?uuid=3c682d23-8918-41db-b261-2f46add18de3"]},{"id":"ITEM-2","itemData":{"author":[{"dropping-particle":"","family":"Houssen","given":"Wael","non-dropping-particle":"","parse-names":false,"suffix":""},{"dropping-particle":"","family":"Jaspers","given":"Marcel","non-dropping-particle":"","parse-names":false,"suffix":""}],"id":"ITEM-2","issued":{"date-parts":[["2020"]]},"number-of-pages":"52","title":"Digital Sequence Information on Genetic Resources: Concept, Scope and Current use","type":"report"},"uris":["http://www.mendeley.com/documents/?uuid=da3132ca-509c-4ae0-a5b6-83e48dd1399f"]}],"mendeley":{"formattedCitation":"(Houssen &amp; Jaspers, 2020; Oldham, 2004)","plainTextFormattedCitation":"(Houssen &amp; Jaspers, 2020; Oldham, 2004)","previouslyFormattedCitation":"(Houssen &amp; Jaspers, 2020; Oldham, 2004)"},"properties":{"noteIndex":0},"schema":"https://github.com/citation-style-language/schema/raw/master/csl-citation.json"}</w:instrText>
      </w:r>
      <w:r w:rsidR="00310CB4">
        <w:rPr>
          <w:rFonts w:ascii="Times New Roman" w:hAnsi="Times New Roman"/>
          <w:kern w:val="22"/>
        </w:rPr>
        <w:fldChar w:fldCharType="separate"/>
      </w:r>
      <w:r w:rsidR="00310CB4" w:rsidRPr="00310CB4">
        <w:rPr>
          <w:rFonts w:ascii="Times New Roman" w:hAnsi="Times New Roman"/>
          <w:noProof/>
          <w:kern w:val="22"/>
        </w:rPr>
        <w:t>(Houssen &amp; Jaspers, 2020; Oldham, 2004)</w:t>
      </w:r>
      <w:r w:rsidR="00310CB4">
        <w:rPr>
          <w:rFonts w:ascii="Times New Roman" w:hAnsi="Times New Roman"/>
          <w:kern w:val="22"/>
        </w:rPr>
        <w:fldChar w:fldCharType="end"/>
      </w:r>
      <w:r w:rsidRPr="00875E92">
        <w:rPr>
          <w:rFonts w:ascii="Times New Roman" w:hAnsi="Times New Roman"/>
          <w:kern w:val="22"/>
        </w:rPr>
        <w:t xml:space="preserve">. </w:t>
      </w:r>
      <w:r>
        <w:rPr>
          <w:rFonts w:ascii="Times New Roman" w:hAnsi="Times New Roman"/>
          <w:kern w:val="22"/>
        </w:rPr>
        <w:t xml:space="preserve">In an increasing array of contexts, </w:t>
      </w:r>
      <w:r w:rsidR="4DB3D8D5" w:rsidRPr="0C277F1D">
        <w:rPr>
          <w:rFonts w:ascii="Times New Roman" w:hAnsi="Times New Roman"/>
        </w:rPr>
        <w:t>r</w:t>
      </w:r>
      <w:r w:rsidRPr="00875E92">
        <w:rPr>
          <w:rFonts w:ascii="Times New Roman" w:hAnsi="Times New Roman"/>
          <w:kern w:val="22"/>
        </w:rPr>
        <w:t>esearchers utili</w:t>
      </w:r>
      <w:r w:rsidR="00532F2A">
        <w:rPr>
          <w:rFonts w:ascii="Times New Roman" w:hAnsi="Times New Roman"/>
          <w:kern w:val="22"/>
        </w:rPr>
        <w:t>s</w:t>
      </w:r>
      <w:r>
        <w:rPr>
          <w:rFonts w:ascii="Times New Roman" w:hAnsi="Times New Roman"/>
          <w:kern w:val="22"/>
        </w:rPr>
        <w:t xml:space="preserve">e </w:t>
      </w:r>
      <w:r w:rsidRPr="00875E92">
        <w:rPr>
          <w:rFonts w:ascii="Times New Roman" w:hAnsi="Times New Roman"/>
          <w:kern w:val="22"/>
        </w:rPr>
        <w:t>information about the genetic composition –</w:t>
      </w:r>
      <w:r>
        <w:rPr>
          <w:rFonts w:ascii="Times New Roman" w:hAnsi="Times New Roman"/>
          <w:kern w:val="22"/>
        </w:rPr>
        <w:t xml:space="preserve"> from </w:t>
      </w:r>
      <w:r w:rsidRPr="00875E92">
        <w:rPr>
          <w:rFonts w:ascii="Times New Roman" w:hAnsi="Times New Roman"/>
          <w:kern w:val="22"/>
        </w:rPr>
        <w:t>DNA</w:t>
      </w:r>
      <w:r>
        <w:rPr>
          <w:rFonts w:ascii="Times New Roman" w:hAnsi="Times New Roman"/>
          <w:kern w:val="22"/>
        </w:rPr>
        <w:t xml:space="preserve"> and RNA</w:t>
      </w:r>
      <w:r w:rsidRPr="00875E92">
        <w:rPr>
          <w:rFonts w:ascii="Times New Roman" w:hAnsi="Times New Roman"/>
          <w:kern w:val="22"/>
        </w:rPr>
        <w:t xml:space="preserve"> sequences </w:t>
      </w:r>
      <w:r>
        <w:rPr>
          <w:rFonts w:ascii="Times New Roman" w:hAnsi="Times New Roman"/>
          <w:kern w:val="22"/>
        </w:rPr>
        <w:t xml:space="preserve">to amino acid and protein sequences through to biochemical information </w:t>
      </w:r>
      <w:r w:rsidRPr="00875E92">
        <w:rPr>
          <w:rFonts w:ascii="Times New Roman" w:hAnsi="Times New Roman"/>
          <w:kern w:val="22"/>
        </w:rPr>
        <w:t>- instead of the physical genetic resource</w:t>
      </w:r>
      <w:r w:rsidR="00576682">
        <w:rPr>
          <w:rFonts w:ascii="Times New Roman" w:hAnsi="Times New Roman"/>
          <w:kern w:val="22"/>
        </w:rPr>
        <w:t>. I</w:t>
      </w:r>
      <w:r>
        <w:rPr>
          <w:rFonts w:ascii="Times New Roman" w:hAnsi="Times New Roman"/>
          <w:kern w:val="22"/>
        </w:rPr>
        <w:t>n practice</w:t>
      </w:r>
      <w:r w:rsidR="0081104C">
        <w:rPr>
          <w:rFonts w:ascii="Times New Roman" w:hAnsi="Times New Roman"/>
          <w:kern w:val="22"/>
        </w:rPr>
        <w:t>,</w:t>
      </w:r>
      <w:r>
        <w:rPr>
          <w:rFonts w:ascii="Times New Roman" w:hAnsi="Times New Roman"/>
          <w:kern w:val="22"/>
        </w:rPr>
        <w:t xml:space="preserve"> </w:t>
      </w:r>
      <w:r w:rsidR="00F934D3">
        <w:rPr>
          <w:rFonts w:ascii="Times New Roman" w:hAnsi="Times New Roman"/>
          <w:kern w:val="22"/>
        </w:rPr>
        <w:t>however,</w:t>
      </w:r>
      <w:r>
        <w:rPr>
          <w:rFonts w:ascii="Times New Roman" w:hAnsi="Times New Roman"/>
          <w:kern w:val="22"/>
        </w:rPr>
        <w:t xml:space="preserve"> the use of such </w:t>
      </w:r>
      <w:r w:rsidRPr="00875E92">
        <w:rPr>
          <w:rFonts w:ascii="Times New Roman" w:hAnsi="Times New Roman"/>
          <w:kern w:val="22"/>
        </w:rPr>
        <w:t xml:space="preserve">information </w:t>
      </w:r>
      <w:r w:rsidR="0081104C">
        <w:rPr>
          <w:rFonts w:ascii="Times New Roman" w:hAnsi="Times New Roman"/>
          <w:kern w:val="22"/>
        </w:rPr>
        <w:t xml:space="preserve">typically </w:t>
      </w:r>
      <w:r>
        <w:rPr>
          <w:rFonts w:ascii="Times New Roman" w:hAnsi="Times New Roman"/>
          <w:kern w:val="22"/>
        </w:rPr>
        <w:t xml:space="preserve">complements rather than supplants the use of </w:t>
      </w:r>
      <w:r w:rsidR="0081104C">
        <w:rPr>
          <w:rFonts w:ascii="Times New Roman" w:hAnsi="Times New Roman"/>
          <w:kern w:val="22"/>
        </w:rPr>
        <w:t xml:space="preserve">a </w:t>
      </w:r>
      <w:r w:rsidRPr="00875E92">
        <w:rPr>
          <w:rFonts w:ascii="Times New Roman" w:hAnsi="Times New Roman"/>
          <w:kern w:val="22"/>
        </w:rPr>
        <w:t>physical genetic resource</w:t>
      </w:r>
      <w:r w:rsidR="00E76616">
        <w:rPr>
          <w:rFonts w:ascii="Times New Roman" w:hAnsi="Times New Roman"/>
          <w:kern w:val="22"/>
        </w:rPr>
        <w:t xml:space="preserve">. </w:t>
      </w:r>
      <w:r w:rsidR="001075EB">
        <w:rPr>
          <w:rFonts w:ascii="Times New Roman" w:hAnsi="Times New Roman"/>
          <w:kern w:val="22"/>
        </w:rPr>
        <w:t>For example, a</w:t>
      </w:r>
      <w:r w:rsidR="00105FD0">
        <w:rPr>
          <w:rFonts w:ascii="Times New Roman" w:hAnsi="Times New Roman"/>
          <w:kern w:val="22"/>
        </w:rPr>
        <w:t>lthough t</w:t>
      </w:r>
      <w:r w:rsidR="00576682">
        <w:rPr>
          <w:rFonts w:ascii="Times New Roman" w:hAnsi="Times New Roman"/>
          <w:kern w:val="22"/>
        </w:rPr>
        <w:t>he</w:t>
      </w:r>
      <w:r w:rsidR="00E77275" w:rsidRPr="00E77275">
        <w:rPr>
          <w:rFonts w:ascii="Times New Roman" w:hAnsi="Times New Roman"/>
          <w:kern w:val="22"/>
        </w:rPr>
        <w:t xml:space="preserve"> costs and technical difficulty of </w:t>
      </w:r>
      <w:r w:rsidR="00E77275">
        <w:rPr>
          <w:rFonts w:ascii="Times New Roman" w:hAnsi="Times New Roman"/>
          <w:kern w:val="22"/>
        </w:rPr>
        <w:t xml:space="preserve">DNA </w:t>
      </w:r>
      <w:r w:rsidR="00E77275" w:rsidRPr="00E77275">
        <w:rPr>
          <w:rFonts w:ascii="Times New Roman" w:hAnsi="Times New Roman"/>
          <w:kern w:val="22"/>
        </w:rPr>
        <w:t>synthesis are rapidly decreasing</w:t>
      </w:r>
      <w:r w:rsidR="000A6A6A">
        <w:rPr>
          <w:rFonts w:ascii="Times New Roman" w:hAnsi="Times New Roman"/>
          <w:kern w:val="22"/>
        </w:rPr>
        <w:t>,</w:t>
      </w:r>
      <w:r w:rsidR="000F157E">
        <w:rPr>
          <w:rFonts w:ascii="Times New Roman" w:hAnsi="Times New Roman"/>
          <w:kern w:val="22"/>
        </w:rPr>
        <w:t xml:space="preserve"> technology has </w:t>
      </w:r>
      <w:r w:rsidR="000A6A6A">
        <w:rPr>
          <w:rFonts w:ascii="Times New Roman" w:hAnsi="Times New Roman"/>
          <w:kern w:val="22"/>
        </w:rPr>
        <w:t xml:space="preserve">yet to advance to </w:t>
      </w:r>
      <w:r w:rsidR="00243B0E">
        <w:rPr>
          <w:rFonts w:ascii="Times New Roman" w:hAnsi="Times New Roman"/>
          <w:kern w:val="22"/>
        </w:rPr>
        <w:t>enable the</w:t>
      </w:r>
      <w:r w:rsidR="000A6A6A">
        <w:rPr>
          <w:rFonts w:ascii="Times New Roman" w:hAnsi="Times New Roman"/>
          <w:kern w:val="22"/>
        </w:rPr>
        <w:t xml:space="preserve"> </w:t>
      </w:r>
      <w:r w:rsidR="000F157E" w:rsidRPr="000F157E">
        <w:rPr>
          <w:rFonts w:ascii="Times New Roman" w:hAnsi="Times New Roman"/>
          <w:kern w:val="22"/>
        </w:rPr>
        <w:t>ready synthesis of entire organisms</w:t>
      </w:r>
      <w:r w:rsidR="00727640">
        <w:rPr>
          <w:rFonts w:ascii="Times New Roman" w:hAnsi="Times New Roman"/>
          <w:kern w:val="22"/>
        </w:rPr>
        <w:t xml:space="preserve"> other than certain viruses</w:t>
      </w:r>
      <w:r w:rsidR="0065386D">
        <w:rPr>
          <w:rFonts w:ascii="Times New Roman" w:hAnsi="Times New Roman"/>
          <w:kern w:val="22"/>
        </w:rPr>
        <w:t>,</w:t>
      </w:r>
      <w:r w:rsidR="00FF1A34">
        <w:rPr>
          <w:rFonts w:ascii="Times New Roman" w:hAnsi="Times New Roman"/>
          <w:kern w:val="22"/>
        </w:rPr>
        <w:t xml:space="preserve"> </w:t>
      </w:r>
      <w:r w:rsidR="00727640">
        <w:rPr>
          <w:rFonts w:ascii="Times New Roman" w:hAnsi="Times New Roman"/>
          <w:kern w:val="22"/>
        </w:rPr>
        <w:t>in which case,</w:t>
      </w:r>
      <w:r w:rsidR="00E9258C" w:rsidRPr="00E9258C">
        <w:rPr>
          <w:rFonts w:ascii="Times New Roman" w:hAnsi="Times New Roman"/>
          <w:kern w:val="22"/>
        </w:rPr>
        <w:t xml:space="preserve"> access to physical genetic resources will still be required, such as for the testing of the efficacy of medical countermeasures, including diagnostics, antivirals and vaccines, where synthesis costs are presently prohibitive or where certain synthesis methods are protected by intellectual property</w:t>
      </w:r>
      <w:r w:rsidR="0025229D">
        <w:rPr>
          <w:rFonts w:ascii="Times New Roman" w:hAnsi="Times New Roman"/>
          <w:kern w:val="22"/>
        </w:rPr>
        <w:t xml:space="preserve"> </w:t>
      </w:r>
      <w:r w:rsidR="00CE6A7C">
        <w:rPr>
          <w:rFonts w:ascii="Times New Roman" w:hAnsi="Times New Roman"/>
          <w:kern w:val="22"/>
        </w:rPr>
        <w:fldChar w:fldCharType="begin" w:fldLock="1"/>
      </w:r>
      <w:r w:rsidR="00CE6A7C">
        <w:rPr>
          <w:rFonts w:ascii="Times New Roman" w:hAnsi="Times New Roman"/>
          <w:kern w:val="22"/>
        </w:rPr>
        <w:instrText>ADDIN CSL_CITATION {"citationItems":[{"id":"ITEM-1","itemData":{"DOI":"10.1038/s41587-020-0518-z","ISSN":"15461696","PMID":"32322089","author":[{"dropping-particle":"","family":"Rourke","given":"Michelle F","non-dropping-particle":"","parse-names":false,"suffix":""},{"dropping-particle":"","family":"Phelan","given":"Alexandra","non-dropping-particle":"","parse-names":false,"suffix":""},{"dropping-particle":"","family":"Lawson","given":"Charles","non-dropping-particle":"","parse-names":false,"suffix":""}],"container-title":"Nature Biotechnology","id":"ITEM-1","issue":"5","issued":{"date-parts":[["2020","5"]]},"page":"537-539","publisher":"Nature Research","title":"Access and benefit-sharing following the synthesis of horsepox virus","type":"article","volume":"38"},"uris":["http://www.mendeley.com/documents/?uuid=a937b509-ce9d-40ac-a7a6-fbb4c0adfa21"]}],"mendeley":{"formattedCitation":"(Rourke et al., 2020)","plainTextFormattedCitation":"(Rourke et al., 2020)","previouslyFormattedCitation":"(Rourke et al., 2020)"},"properties":{"noteIndex":0},"schema":"https://github.com/citation-style-language/schema/raw/master/csl-citation.json"}</w:instrText>
      </w:r>
      <w:r w:rsidR="00CE6A7C">
        <w:rPr>
          <w:rFonts w:ascii="Times New Roman" w:hAnsi="Times New Roman"/>
          <w:kern w:val="22"/>
        </w:rPr>
        <w:fldChar w:fldCharType="separate"/>
      </w:r>
      <w:r w:rsidR="00CE6A7C" w:rsidRPr="00CE6A7C">
        <w:rPr>
          <w:rFonts w:ascii="Times New Roman" w:hAnsi="Times New Roman"/>
          <w:noProof/>
          <w:kern w:val="22"/>
        </w:rPr>
        <w:t>(Rourke et al., 2020)</w:t>
      </w:r>
      <w:r w:rsidR="00CE6A7C">
        <w:rPr>
          <w:rFonts w:ascii="Times New Roman" w:hAnsi="Times New Roman"/>
          <w:kern w:val="22"/>
        </w:rPr>
        <w:fldChar w:fldCharType="end"/>
      </w:r>
      <w:r w:rsidRPr="00875E92">
        <w:rPr>
          <w:rFonts w:ascii="Times New Roman" w:hAnsi="Times New Roman"/>
          <w:kern w:val="22"/>
        </w:rPr>
        <w:t>.</w:t>
      </w:r>
      <w:r>
        <w:rPr>
          <w:rFonts w:ascii="Times New Roman" w:hAnsi="Times New Roman"/>
          <w:kern w:val="22"/>
        </w:rPr>
        <w:t xml:space="preserve"> </w:t>
      </w:r>
      <w:r w:rsidR="6BFE60BB">
        <w:rPr>
          <w:rFonts w:ascii="Times New Roman" w:hAnsi="Times New Roman"/>
        </w:rPr>
        <w:t>As a result of these developments, the issue of</w:t>
      </w:r>
      <w:r w:rsidR="00930E42">
        <w:rPr>
          <w:rFonts w:ascii="Times New Roman" w:hAnsi="Times New Roman"/>
        </w:rPr>
        <w:t xml:space="preserve"> </w:t>
      </w:r>
      <w:r w:rsidR="5C04AF37">
        <w:rPr>
          <w:rFonts w:ascii="Times New Roman" w:hAnsi="Times New Roman"/>
        </w:rPr>
        <w:t>‘</w:t>
      </w:r>
      <w:r w:rsidR="00930E42" w:rsidRPr="00E6177A">
        <w:rPr>
          <w:rFonts w:ascii="Times New Roman" w:hAnsi="Times New Roman"/>
        </w:rPr>
        <w:t>digital sequence information</w:t>
      </w:r>
      <w:r w:rsidR="00930E42">
        <w:rPr>
          <w:rFonts w:ascii="Times New Roman" w:hAnsi="Times New Roman"/>
        </w:rPr>
        <w:t xml:space="preserve"> </w:t>
      </w:r>
      <w:r w:rsidR="00930E42" w:rsidRPr="00E6177A">
        <w:rPr>
          <w:rFonts w:ascii="Times New Roman" w:hAnsi="Times New Roman"/>
        </w:rPr>
        <w:t>on genetic resources</w:t>
      </w:r>
      <w:r w:rsidR="3B044EB1" w:rsidRPr="00E6177A">
        <w:rPr>
          <w:rFonts w:ascii="Times New Roman" w:hAnsi="Times New Roman"/>
        </w:rPr>
        <w:t>’</w:t>
      </w:r>
      <w:r w:rsidR="00930E42" w:rsidRPr="00E6177A">
        <w:rPr>
          <w:rFonts w:ascii="Times New Roman" w:hAnsi="Times New Roman"/>
        </w:rPr>
        <w:t xml:space="preserve"> </w:t>
      </w:r>
      <w:r w:rsidR="3B044EB1" w:rsidRPr="00E6177A">
        <w:rPr>
          <w:rFonts w:ascii="Times New Roman" w:hAnsi="Times New Roman"/>
        </w:rPr>
        <w:t>was raised</w:t>
      </w:r>
      <w:r w:rsidR="00930E42">
        <w:rPr>
          <w:rFonts w:ascii="Times New Roman" w:hAnsi="Times New Roman"/>
        </w:rPr>
        <w:t xml:space="preserve"> in 2016</w:t>
      </w:r>
      <w:r w:rsidR="462112FC">
        <w:rPr>
          <w:rFonts w:ascii="Times New Roman" w:hAnsi="Times New Roman"/>
        </w:rPr>
        <w:t xml:space="preserve"> during the thirteenth meeting of the Conference of the Parties to the CBD and in decision XIII/16, the COP decided to consider, at its fourteenth meeting, any potential implications of the use of digital sequence information on genetic resources for the three objectives of the Convention. A </w:t>
      </w:r>
      <w:r w:rsidR="645A272C">
        <w:rPr>
          <w:rFonts w:ascii="Times New Roman" w:hAnsi="Times New Roman"/>
        </w:rPr>
        <w:t>complementary decision was adopted by the second meeting of the Parties to the Nagoya Protocol (decision NP-2/</w:t>
      </w:r>
      <w:r w:rsidR="3A10E8C3">
        <w:rPr>
          <w:rFonts w:ascii="Times New Roman" w:hAnsi="Times New Roman"/>
        </w:rPr>
        <w:t>14)</w:t>
      </w:r>
      <w:r w:rsidR="645A272C">
        <w:rPr>
          <w:rFonts w:ascii="Times New Roman" w:hAnsi="Times New Roman"/>
        </w:rPr>
        <w:t>.</w:t>
      </w:r>
    </w:p>
    <w:p w14:paraId="649EADE4" w14:textId="0D437B2C" w:rsidR="00B12251" w:rsidRDefault="2A1FCD21" w:rsidP="718F7BB8">
      <w:pPr>
        <w:suppressAutoHyphens/>
        <w:spacing w:after="120" w:line="240" w:lineRule="auto"/>
        <w:jc w:val="both"/>
        <w:rPr>
          <w:rFonts w:ascii="Times New Roman" w:hAnsi="Times New Roman"/>
        </w:rPr>
      </w:pPr>
      <w:r>
        <w:rPr>
          <w:rFonts w:ascii="Times New Roman" w:hAnsi="Times New Roman"/>
        </w:rPr>
        <w:t>A</w:t>
      </w:r>
      <w:r w:rsidR="00930E42">
        <w:rPr>
          <w:rFonts w:ascii="Times New Roman" w:hAnsi="Times New Roman"/>
        </w:rPr>
        <w:t>t COP 14 in 2018</w:t>
      </w:r>
      <w:r w:rsidR="4D800BC7">
        <w:rPr>
          <w:rFonts w:ascii="Times New Roman" w:hAnsi="Times New Roman"/>
        </w:rPr>
        <w:t>, the Parties adopted</w:t>
      </w:r>
      <w:r w:rsidR="00930E42">
        <w:rPr>
          <w:rFonts w:ascii="Times New Roman" w:hAnsi="Times New Roman"/>
        </w:rPr>
        <w:t xml:space="preserve"> </w:t>
      </w:r>
      <w:r w:rsidR="5200567C" w:rsidRPr="006051A9">
        <w:rPr>
          <w:rFonts w:ascii="Times New Roman" w:hAnsi="Times New Roman"/>
        </w:rPr>
        <w:t>d</w:t>
      </w:r>
      <w:r w:rsidR="00930E42" w:rsidRPr="006051A9">
        <w:rPr>
          <w:rFonts w:ascii="Times New Roman" w:hAnsi="Times New Roman"/>
        </w:rPr>
        <w:t>ecision</w:t>
      </w:r>
      <w:r w:rsidR="00930E42">
        <w:rPr>
          <w:rFonts w:ascii="Times New Roman" w:hAnsi="Times New Roman"/>
        </w:rPr>
        <w:t xml:space="preserve"> </w:t>
      </w:r>
      <w:r w:rsidR="00930E42" w:rsidRPr="006051A9">
        <w:rPr>
          <w:rFonts w:ascii="Times New Roman" w:hAnsi="Times New Roman"/>
        </w:rPr>
        <w:t>14/20</w:t>
      </w:r>
      <w:r w:rsidR="00930E42">
        <w:rPr>
          <w:rFonts w:ascii="Times New Roman" w:hAnsi="Times New Roman"/>
        </w:rPr>
        <w:t xml:space="preserve"> which noted </w:t>
      </w:r>
      <w:r w:rsidR="71A52988">
        <w:rPr>
          <w:rFonts w:ascii="Times New Roman" w:hAnsi="Times New Roman"/>
        </w:rPr>
        <w:t>that “</w:t>
      </w:r>
      <w:r w:rsidR="71A52988" w:rsidRPr="00532F2A">
        <w:rPr>
          <w:rFonts w:ascii="Times New Roman" w:hAnsi="Times New Roman"/>
          <w:i/>
          <w:iCs/>
        </w:rPr>
        <w:t>as</w:t>
      </w:r>
      <w:r w:rsidR="00930E42" w:rsidRPr="00532F2A">
        <w:rPr>
          <w:rFonts w:ascii="Times New Roman" w:hAnsi="Times New Roman"/>
          <w:i/>
          <w:iCs/>
        </w:rPr>
        <w:t xml:space="preserve"> the</w:t>
      </w:r>
      <w:r w:rsidR="67720D7C" w:rsidRPr="00532F2A">
        <w:rPr>
          <w:rFonts w:ascii="Times New Roman" w:hAnsi="Times New Roman"/>
          <w:i/>
          <w:iCs/>
        </w:rPr>
        <w:t>re</w:t>
      </w:r>
      <w:r w:rsidR="00930E42" w:rsidRPr="00532F2A">
        <w:rPr>
          <w:rFonts w:ascii="Times New Roman" w:hAnsi="Times New Roman"/>
          <w:i/>
          <w:iCs/>
        </w:rPr>
        <w:t xml:space="preserve"> </w:t>
      </w:r>
      <w:r w:rsidR="67720D7C" w:rsidRPr="00532F2A">
        <w:rPr>
          <w:rFonts w:ascii="Times New Roman" w:hAnsi="Times New Roman"/>
          <w:i/>
          <w:iCs/>
        </w:rPr>
        <w:t>is a</w:t>
      </w:r>
      <w:r w:rsidR="00930E42" w:rsidRPr="00532F2A">
        <w:rPr>
          <w:rFonts w:ascii="Times New Roman" w:hAnsi="Times New Roman"/>
          <w:i/>
          <w:iCs/>
        </w:rPr>
        <w:t xml:space="preserve"> divergence of views among Parties regarding benefit-sharing from the use of digital sequence information on genetic resources, </w:t>
      </w:r>
      <w:r w:rsidR="42D52962" w:rsidRPr="00532F2A">
        <w:rPr>
          <w:rFonts w:ascii="Times New Roman" w:hAnsi="Times New Roman"/>
          <w:i/>
          <w:iCs/>
        </w:rPr>
        <w:t>Parties</w:t>
      </w:r>
      <w:r w:rsidR="00930E42" w:rsidRPr="00532F2A">
        <w:rPr>
          <w:rFonts w:ascii="Times New Roman" w:hAnsi="Times New Roman"/>
          <w:i/>
          <w:iCs/>
        </w:rPr>
        <w:t xml:space="preserve"> commit to working towards resolving th</w:t>
      </w:r>
      <w:r w:rsidR="0F84DE87" w:rsidRPr="00532F2A">
        <w:rPr>
          <w:rFonts w:ascii="Times New Roman" w:hAnsi="Times New Roman"/>
          <w:i/>
          <w:iCs/>
        </w:rPr>
        <w:t>is</w:t>
      </w:r>
      <w:r w:rsidR="00930E42" w:rsidRPr="00532F2A">
        <w:rPr>
          <w:rFonts w:ascii="Times New Roman" w:hAnsi="Times New Roman"/>
          <w:i/>
          <w:iCs/>
        </w:rPr>
        <w:t xml:space="preserve"> divergence</w:t>
      </w:r>
      <w:r w:rsidR="1BBA567B" w:rsidRPr="00532F2A">
        <w:rPr>
          <w:rFonts w:ascii="Times New Roman" w:hAnsi="Times New Roman"/>
          <w:i/>
          <w:iCs/>
        </w:rPr>
        <w:t xml:space="preserve"> through the process established in the present decision, with the aim of strengthening the fulfilment of the third objective of the Convention and Article 15, paragraph 7, without prejudice to the circumstances in which this article applies</w:t>
      </w:r>
      <w:r w:rsidR="1BBA567B" w:rsidRPr="00E6177A">
        <w:rPr>
          <w:rFonts w:ascii="Times New Roman" w:hAnsi="Times New Roman"/>
        </w:rPr>
        <w:t>” (para. 6)</w:t>
      </w:r>
      <w:r w:rsidR="00930E42" w:rsidRPr="006051A9">
        <w:rPr>
          <w:rFonts w:ascii="Times New Roman" w:hAnsi="Times New Roman"/>
        </w:rPr>
        <w:t xml:space="preserve">. </w:t>
      </w:r>
      <w:r w:rsidR="3E8409CB" w:rsidRPr="006051A9">
        <w:rPr>
          <w:rFonts w:ascii="Times New Roman" w:hAnsi="Times New Roman"/>
        </w:rPr>
        <w:t>The process established in the decision included the submission</w:t>
      </w:r>
      <w:r w:rsidR="5C130FF3" w:rsidRPr="006051A9">
        <w:rPr>
          <w:rFonts w:ascii="Times New Roman" w:hAnsi="Times New Roman"/>
        </w:rPr>
        <w:t xml:space="preserve"> of views, the commissioning of studies and work by an ad hoc technical expert group (AHTEG). The outcomes of the AHTEG are to be considered by the Open-ended Working Group on the Post-2020 Global Biodiversity Framework</w:t>
      </w:r>
      <w:r w:rsidR="5642E6E2" w:rsidRPr="006051A9">
        <w:rPr>
          <w:rFonts w:ascii="Times New Roman" w:hAnsi="Times New Roman"/>
        </w:rPr>
        <w:t>, which is to make recommendations to the Conference of the Parties at its fifteenth meeting on how to address digital sequence information on genetic resources in the context of the post-2020 global biodiversity framework.</w:t>
      </w:r>
      <w:r w:rsidR="00930E42" w:rsidRPr="00304126">
        <w:rPr>
          <w:rFonts w:ascii="Times New Roman" w:hAnsi="Times New Roman"/>
          <w:vertAlign w:val="superscript"/>
        </w:rPr>
        <w:footnoteReference w:id="43"/>
      </w:r>
    </w:p>
    <w:p w14:paraId="6308F49C" w14:textId="15158844" w:rsidR="00B12251" w:rsidRDefault="796B0E71" w:rsidP="00B12251">
      <w:pPr>
        <w:suppressAutoHyphens/>
        <w:spacing w:after="120" w:line="240" w:lineRule="auto"/>
        <w:jc w:val="both"/>
        <w:rPr>
          <w:rFonts w:ascii="Times New Roman" w:hAnsi="Times New Roman"/>
          <w:kern w:val="22"/>
        </w:rPr>
      </w:pPr>
      <w:r>
        <w:rPr>
          <w:rFonts w:ascii="Times New Roman" w:hAnsi="Times New Roman"/>
        </w:rPr>
        <w:t>The</w:t>
      </w:r>
      <w:r w:rsidR="00B12251">
        <w:rPr>
          <w:rFonts w:ascii="Times New Roman" w:hAnsi="Times New Roman"/>
        </w:rPr>
        <w:t xml:space="preserve"> AHTEG</w:t>
      </w:r>
      <w:r w:rsidR="00B12251" w:rsidRPr="54153909">
        <w:rPr>
          <w:rFonts w:ascii="Times New Roman" w:hAnsi="Times New Roman"/>
        </w:rPr>
        <w:t xml:space="preserve"> </w:t>
      </w:r>
      <w:r w:rsidR="2FCFE526" w:rsidRPr="3B1212B6">
        <w:rPr>
          <w:rFonts w:ascii="Times New Roman" w:hAnsi="Times New Roman"/>
        </w:rPr>
        <w:t>met in March 2020 and</w:t>
      </w:r>
      <w:r w:rsidR="00B12251">
        <w:rPr>
          <w:rFonts w:ascii="Times New Roman" w:hAnsi="Times New Roman"/>
          <w:kern w:val="22"/>
        </w:rPr>
        <w:t xml:space="preserve">, </w:t>
      </w:r>
      <w:r w:rsidR="00B12251" w:rsidRPr="00532F2A">
        <w:rPr>
          <w:rFonts w:ascii="Times New Roman" w:hAnsi="Times New Roman"/>
          <w:i/>
          <w:iCs/>
          <w:kern w:val="22"/>
        </w:rPr>
        <w:t>inter alia</w:t>
      </w:r>
      <w:r w:rsidR="00B12251">
        <w:rPr>
          <w:rFonts w:ascii="Times New Roman" w:hAnsi="Times New Roman"/>
          <w:kern w:val="22"/>
        </w:rPr>
        <w:t>,</w:t>
      </w:r>
      <w:r w:rsidR="2C799CE7">
        <w:rPr>
          <w:rFonts w:ascii="Times New Roman" w:hAnsi="Times New Roman"/>
          <w:kern w:val="22"/>
        </w:rPr>
        <w:t xml:space="preserve"> </w:t>
      </w:r>
      <w:r w:rsidR="00B12251">
        <w:rPr>
          <w:rFonts w:ascii="Times New Roman" w:hAnsi="Times New Roman"/>
          <w:kern w:val="22"/>
        </w:rPr>
        <w:t>d</w:t>
      </w:r>
      <w:r w:rsidR="00B12251" w:rsidRPr="008705FC">
        <w:rPr>
          <w:rFonts w:ascii="Times New Roman" w:hAnsi="Times New Roman"/>
          <w:kern w:val="22"/>
        </w:rPr>
        <w:t>evelop</w:t>
      </w:r>
      <w:r w:rsidR="4572D468" w:rsidRPr="3B1212B6">
        <w:rPr>
          <w:rFonts w:ascii="Times New Roman" w:hAnsi="Times New Roman"/>
        </w:rPr>
        <w:t>ed</w:t>
      </w:r>
      <w:r w:rsidR="00B12251" w:rsidRPr="008705FC">
        <w:rPr>
          <w:rFonts w:ascii="Times New Roman" w:hAnsi="Times New Roman"/>
          <w:kern w:val="22"/>
        </w:rPr>
        <w:t xml:space="preserve"> options for operational terms and their implications to provide conceptual clarity on digital sequence information on genetic resources</w:t>
      </w:r>
      <w:r w:rsidR="00B12251">
        <w:rPr>
          <w:rFonts w:ascii="Times New Roman" w:hAnsi="Times New Roman"/>
          <w:kern w:val="22"/>
        </w:rPr>
        <w:t xml:space="preserve">, and also identified </w:t>
      </w:r>
      <w:r w:rsidR="00B12251" w:rsidRPr="008705FC">
        <w:rPr>
          <w:rFonts w:ascii="Times New Roman" w:hAnsi="Times New Roman"/>
          <w:kern w:val="22"/>
        </w:rPr>
        <w:t>key areas for capacity-building</w:t>
      </w:r>
      <w:r w:rsidR="00B12251">
        <w:rPr>
          <w:rStyle w:val="FootnoteReference"/>
          <w:rFonts w:ascii="Times New Roman" w:hAnsi="Times New Roman"/>
          <w:kern w:val="22"/>
        </w:rPr>
        <w:footnoteReference w:id="44"/>
      </w:r>
      <w:r w:rsidR="00532F2A">
        <w:rPr>
          <w:rFonts w:ascii="Times New Roman" w:hAnsi="Times New Roman"/>
          <w:kern w:val="22"/>
        </w:rPr>
        <w:t>.</w:t>
      </w:r>
      <w:r w:rsidR="00B12251">
        <w:rPr>
          <w:rFonts w:ascii="Times New Roman" w:hAnsi="Times New Roman"/>
          <w:kern w:val="22"/>
        </w:rPr>
        <w:t xml:space="preserve"> </w:t>
      </w:r>
      <w:r w:rsidR="14645348" w:rsidRPr="3B1212B6">
        <w:rPr>
          <w:rFonts w:ascii="Times New Roman" w:hAnsi="Times New Roman"/>
        </w:rPr>
        <w:t xml:space="preserve">At the time of writing, the meeting of the Open-ended Working Group on the Post-2020 Global Biodiversity Framework at which </w:t>
      </w:r>
      <w:r w:rsidR="176AFC1E" w:rsidRPr="3B1212B6">
        <w:rPr>
          <w:rFonts w:ascii="Times New Roman" w:hAnsi="Times New Roman"/>
        </w:rPr>
        <w:t>t</w:t>
      </w:r>
      <w:r w:rsidR="00B12251" w:rsidRPr="006E7FCD">
        <w:rPr>
          <w:rFonts w:ascii="Times New Roman" w:hAnsi="Times New Roman"/>
          <w:kern w:val="22"/>
        </w:rPr>
        <w:t xml:space="preserve">he outcomes of the AHTEG </w:t>
      </w:r>
      <w:r w:rsidR="3E4409CA" w:rsidRPr="3B1212B6">
        <w:rPr>
          <w:rFonts w:ascii="Times New Roman" w:hAnsi="Times New Roman"/>
        </w:rPr>
        <w:t xml:space="preserve">were to </w:t>
      </w:r>
      <w:r w:rsidR="00B12251" w:rsidRPr="006E7FCD">
        <w:rPr>
          <w:rFonts w:ascii="Times New Roman" w:hAnsi="Times New Roman"/>
          <w:kern w:val="22"/>
        </w:rPr>
        <w:t xml:space="preserve">be considered </w:t>
      </w:r>
      <w:r w:rsidR="4771D250" w:rsidRPr="3B1212B6">
        <w:rPr>
          <w:rFonts w:ascii="Times New Roman" w:hAnsi="Times New Roman"/>
        </w:rPr>
        <w:t>was still to be held</w:t>
      </w:r>
      <w:r w:rsidR="00B12251">
        <w:rPr>
          <w:rFonts w:ascii="Times New Roman" w:hAnsi="Times New Roman"/>
          <w:kern w:val="22"/>
        </w:rPr>
        <w:t xml:space="preserve">. </w:t>
      </w:r>
    </w:p>
    <w:p w14:paraId="699CEFF8" w14:textId="4CAEFB78" w:rsidR="00B12251" w:rsidRDefault="00F168F6" w:rsidP="007B0B20">
      <w:pPr>
        <w:pStyle w:val="Heading5"/>
        <w:tabs>
          <w:tab w:val="clear" w:pos="1800"/>
        </w:tabs>
        <w:ind w:left="284" w:hanging="284"/>
      </w:pPr>
      <w:r w:rsidRPr="00104C6E">
        <w:rPr>
          <w:i w:val="0"/>
        </w:rPr>
        <w:t>(b)</w:t>
      </w:r>
      <w:r>
        <w:t xml:space="preserve"> </w:t>
      </w:r>
      <w:r w:rsidR="00B12251" w:rsidRPr="0014033C">
        <w:t>Genetic resources originating from synthetic biology</w:t>
      </w:r>
      <w:r w:rsidR="007B0B20">
        <w:t>.</w:t>
      </w:r>
    </w:p>
    <w:p w14:paraId="44AEDB21" w14:textId="77209EBA" w:rsidR="00B12251" w:rsidRPr="00324EB3" w:rsidRDefault="00B12251" w:rsidP="00B12251">
      <w:pPr>
        <w:suppressAutoHyphens/>
        <w:spacing w:after="120" w:line="240" w:lineRule="auto"/>
        <w:jc w:val="both"/>
        <w:rPr>
          <w:rFonts w:ascii="Times New Roman" w:hAnsi="Times New Roman"/>
          <w:kern w:val="22"/>
        </w:rPr>
      </w:pPr>
      <w:r w:rsidRPr="00FB31A7">
        <w:rPr>
          <w:rFonts w:ascii="Times New Roman" w:hAnsi="Times New Roman"/>
          <w:kern w:val="22"/>
        </w:rPr>
        <w:t xml:space="preserve">Another open question is whether the components, organisms and products resulting from synthetic biology can be considered “genetic resources” under the Convention. </w:t>
      </w:r>
      <w:r>
        <w:rPr>
          <w:rFonts w:ascii="Times New Roman" w:hAnsi="Times New Roman"/>
          <w:kern w:val="22"/>
        </w:rPr>
        <w:t>D</w:t>
      </w:r>
      <w:r w:rsidRPr="00FB31A7">
        <w:rPr>
          <w:rFonts w:ascii="Times New Roman" w:hAnsi="Times New Roman"/>
          <w:kern w:val="22"/>
        </w:rPr>
        <w:t>ifferent areas of synthetic biology research may raise different considerations regarding whether they constitute genetic resources within the definition of the Convention</w:t>
      </w:r>
      <w:r>
        <w:rPr>
          <w:rFonts w:ascii="Times New Roman" w:hAnsi="Times New Roman"/>
          <w:kern w:val="22"/>
        </w:rPr>
        <w:t xml:space="preserve">. For example, taking into consideration some of the </w:t>
      </w:r>
      <w:r w:rsidRPr="00324EB3">
        <w:rPr>
          <w:rFonts w:ascii="Times New Roman" w:hAnsi="Times New Roman"/>
          <w:kern w:val="22"/>
        </w:rPr>
        <w:t>areas of research that are considered synthetic biolog</w:t>
      </w:r>
      <w:r>
        <w:rPr>
          <w:rFonts w:ascii="Times New Roman" w:hAnsi="Times New Roman"/>
          <w:kern w:val="22"/>
        </w:rPr>
        <w:t xml:space="preserve">y as identified in Section </w:t>
      </w:r>
      <w:r w:rsidR="00D122D0">
        <w:rPr>
          <w:rFonts w:ascii="Times New Roman" w:hAnsi="Times New Roman"/>
          <w:kern w:val="22"/>
        </w:rPr>
        <w:t>2</w:t>
      </w:r>
      <w:r w:rsidRPr="00324EB3">
        <w:rPr>
          <w:rFonts w:ascii="Times New Roman" w:hAnsi="Times New Roman"/>
          <w:kern w:val="22"/>
        </w:rPr>
        <w:t>:</w:t>
      </w:r>
    </w:p>
    <w:p w14:paraId="03195942" w14:textId="77777777" w:rsidR="00B12251" w:rsidRPr="00EA5EB6" w:rsidRDefault="00B12251" w:rsidP="007B0B20">
      <w:pPr>
        <w:numPr>
          <w:ilvl w:val="0"/>
          <w:numId w:val="46"/>
        </w:numPr>
        <w:suppressAutoHyphens/>
        <w:spacing w:after="60" w:line="240" w:lineRule="auto"/>
        <w:ind w:left="284" w:hanging="284"/>
        <w:jc w:val="both"/>
        <w:rPr>
          <w:rFonts w:ascii="Times New Roman" w:eastAsia="SimSun" w:hAnsi="Times New Roman"/>
          <w:kern w:val="22"/>
        </w:rPr>
      </w:pPr>
      <w:r w:rsidRPr="00EA5EB6">
        <w:rPr>
          <w:rFonts w:ascii="Times New Roman" w:eastAsia="SimSun" w:hAnsi="Times New Roman"/>
          <w:kern w:val="22"/>
        </w:rPr>
        <w:t>DNA-based parts and devices, synthetic metabolic pathway engineering, and genome-level engineering – These areas of research involve designing and synthesi</w:t>
      </w:r>
      <w:r>
        <w:rPr>
          <w:rFonts w:ascii="Times New Roman" w:eastAsia="SimSun" w:hAnsi="Times New Roman"/>
          <w:kern w:val="22"/>
        </w:rPr>
        <w:t>s</w:t>
      </w:r>
      <w:r w:rsidRPr="00EA5EB6">
        <w:rPr>
          <w:rFonts w:ascii="Times New Roman" w:eastAsia="SimSun" w:hAnsi="Times New Roman"/>
          <w:kern w:val="22"/>
        </w:rPr>
        <w:t xml:space="preserve">ing stretches of DNA, RNA, and whole genomes. The organisms resulting from these synthetic biology techniques contain DNA. However, the products these organisms are </w:t>
      </w:r>
      <w:r>
        <w:rPr>
          <w:rFonts w:ascii="Times New Roman" w:eastAsia="SimSun" w:hAnsi="Times New Roman"/>
          <w:kern w:val="22"/>
        </w:rPr>
        <w:t xml:space="preserve">sometimes </w:t>
      </w:r>
      <w:r w:rsidRPr="00EA5EB6">
        <w:rPr>
          <w:rFonts w:ascii="Times New Roman" w:eastAsia="SimSun" w:hAnsi="Times New Roman"/>
          <w:kern w:val="22"/>
        </w:rPr>
        <w:t xml:space="preserve">designed to create, such as pharmaceutical molecules and fuel, generally do not contain DNA.   </w:t>
      </w:r>
    </w:p>
    <w:p w14:paraId="7E81EB66" w14:textId="44EDFB3C" w:rsidR="00B12251" w:rsidRPr="00EA5EB6" w:rsidRDefault="00B12251" w:rsidP="007B0B20">
      <w:pPr>
        <w:numPr>
          <w:ilvl w:val="0"/>
          <w:numId w:val="46"/>
        </w:numPr>
        <w:suppressAutoHyphens/>
        <w:spacing w:after="60" w:line="240" w:lineRule="auto"/>
        <w:ind w:left="284" w:hanging="284"/>
        <w:jc w:val="both"/>
        <w:rPr>
          <w:rFonts w:ascii="Times New Roman" w:eastAsia="SimSun" w:hAnsi="Times New Roman"/>
          <w:kern w:val="22"/>
        </w:rPr>
      </w:pPr>
      <w:r w:rsidRPr="00EA5EB6">
        <w:rPr>
          <w:rFonts w:ascii="Times New Roman" w:eastAsia="SimSun" w:hAnsi="Times New Roman"/>
          <w:kern w:val="22"/>
        </w:rPr>
        <w:t xml:space="preserve">Protocell construction – Protocell research aims to create the simplest possible components to sustain reproduction, self-maintenance and evolution </w:t>
      </w:r>
      <w:r w:rsidR="00CE6A7C">
        <w:rPr>
          <w:rFonts w:ascii="Times New Roman" w:eastAsia="SimSun" w:hAnsi="Times New Roman"/>
          <w:kern w:val="22"/>
        </w:rPr>
        <w:fldChar w:fldCharType="begin" w:fldLock="1"/>
      </w:r>
      <w:r w:rsidR="00CE6A7C">
        <w:rPr>
          <w:rFonts w:ascii="Times New Roman" w:eastAsia="SimSun" w:hAnsi="Times New Roman"/>
          <w:kern w:val="22"/>
        </w:rPr>
        <w:instrText>ADDIN CSL_CITATION {"citationItems":[{"id":"ITEM-1","itemData":{"DOI":"10.1007/978-90-481-2678-1_3","author":[{"dropping-particle":"","family":"Lam","given":"Carolyn M.C.","non-dropping-particle":"","parse-names":false,"suffix":""},{"dropping-particle":"","family":"Godinho","given":"Miguel","non-dropping-particle":"","parse-names":false,"suffix":""},{"dropping-particle":"","family":"Santos","given":"Vítor A.P. Martins","non-dropping-particle":"dos","parse-names":false,"suffix":""}],"container-title":"Synthetic Biology","id":"ITEM-1","issued":{"date-parts":[["2009"]]},"page":"23-48","publisher":"Springer Netherlands","publisher-place":"Dordrecht","title":"An Introduction to Synthetic Biology","type":"chapter"},"uris":["http://www.mendeley.com/documents/?uuid=90c6636d-a846-4252-9a94-db7d37035168"]},{"id":"ITEM-2","itemData":{"DOI":"10.1098/rstb.2007.2065","ISSN":"0962-8436","abstract":"Cells are the building blocks of biological complexity. They are complex systems sustained by the coordinated cooperative dynamics of several biochemical networks. Their replication, adaptation and computational features emerge as a consequence of appropriate molecular feedbacks that somehow define what life is. As the last decades have brought the transition from the description-driven biology to the synthesis-driven biology, one great challenge shared by both the fields of bioengineering and the origin of life is to find the appropriate conditions under which living cellular structures can effectively emerge and persist. Here, we review current knowledge (both theoretical and experimental) on possible scenarios of artificial cell design and their future challenges.","author":[{"dropping-particle":"V","family":"Solé","given":"Ricard","non-dropping-particle":"","parse-names":false,"suffix":""},{"dropping-particle":"","family":"Munteanu","given":"Andreea","non-dropping-particle":"","parse-names":false,"suffix":""},{"dropping-particle":"","family":"Rodriguez-Caso","given":"Carlos","non-dropping-particle":"","parse-names":false,"suffix":""},{"dropping-particle":"","family":"Macía","given":"Javier","non-dropping-particle":"","parse-names":false,"suffix":""}],"container-title":"Philosophical Transactions of the Royal Society B: Biological Sciences","id":"ITEM-2","issue":"1486","issued":{"date-parts":[["2007","10","29"]]},"page":"1727-1739","title":"Synthetic protocell biology: from reproduction to computation","type":"article-journal","volume":"362"},"uris":["http://www.mendeley.com/documents/?uuid=1ad04c8d-c3b5-41af-9a2f-fc4f407cf661"]}],"mendeley":{"formattedCitation":"(Lam et al., 2009; Solé et al., 2007)","plainTextFormattedCitation":"(Lam et al., 2009; Solé et al., 2007)","previouslyFormattedCitation":"(Lam et al., 2009; Solé et al., 2007)"},"properties":{"noteIndex":0},"schema":"https://github.com/citation-style-language/schema/raw/master/csl-citation.json"}</w:instrText>
      </w:r>
      <w:r w:rsidR="00CE6A7C">
        <w:rPr>
          <w:rFonts w:ascii="Times New Roman" w:eastAsia="SimSun" w:hAnsi="Times New Roman"/>
          <w:kern w:val="22"/>
        </w:rPr>
        <w:fldChar w:fldCharType="separate"/>
      </w:r>
      <w:r w:rsidR="00CE6A7C" w:rsidRPr="00CE6A7C">
        <w:rPr>
          <w:rFonts w:ascii="Times New Roman" w:eastAsia="SimSun" w:hAnsi="Times New Roman"/>
          <w:noProof/>
          <w:kern w:val="22"/>
        </w:rPr>
        <w:t>(Lam et al., 2009; Solé et al., 2007)</w:t>
      </w:r>
      <w:r w:rsidR="00CE6A7C">
        <w:rPr>
          <w:rFonts w:ascii="Times New Roman" w:eastAsia="SimSun" w:hAnsi="Times New Roman"/>
          <w:kern w:val="22"/>
        </w:rPr>
        <w:fldChar w:fldCharType="end"/>
      </w:r>
      <w:r w:rsidRPr="00EA5EB6">
        <w:rPr>
          <w:rFonts w:ascii="Times New Roman" w:eastAsia="SimSun" w:hAnsi="Times New Roman"/>
          <w:kern w:val="22"/>
        </w:rPr>
        <w:t xml:space="preserve">. Protocell designs usually contain some kind of information-carrying molecule; these could possibly be understood to functionally operate as “units of heredity.” However, some protocell research is attempting to develop cells without the ability to evolve or replicate </w:t>
      </w:r>
      <w:r w:rsidR="00CE6A7C">
        <w:rPr>
          <w:rFonts w:ascii="Times New Roman" w:eastAsia="SimSun" w:hAnsi="Times New Roman"/>
          <w:kern w:val="22"/>
        </w:rPr>
        <w:fldChar w:fldCharType="begin" w:fldLock="1"/>
      </w:r>
      <w:r w:rsidR="00283B5A">
        <w:rPr>
          <w:rFonts w:ascii="Times New Roman" w:eastAsia="SimSun" w:hAnsi="Times New Roman"/>
          <w:kern w:val="22"/>
        </w:rPr>
        <w:instrText>ADDIN CSL_CITATION {"citationItems":[{"id":"ITEM-1","itemData":{"author":[{"dropping-particle":"","family":"Presidential Commission for the Study of Bioethical Issues","given":"","non-dropping-particle":"","parse-names":false,"suffix":""}],"id":"ITEM-1","issued":{"date-parts":[["2010"]]},"title":"New Directions: The Ethics of Synthetic Biology and Emerging Technologies","type":"article"},"uris":["http://www.mendeley.com/documents/?uuid=d4b11ad4-29d7-42e8-a4b8-3013539ebc9d"]},{"id":"ITEM-2","itemData":{"DOI":"10.3390/life5010447","ISSN":"20751729","abstract":"The cellular form, manifesting as a membrane-bounded system (comprising various functional molecules), is essential to life. The ultimate reason for this is that, typically, one functional molecule can only adopt one “correct” structure to perform one special function (e.g., an enzyme), and thus molecular cooperation is inevitable. While this is particularly true for advanced life with complex functions, it should have already been true for life at its outset with only limited functions, which entailed some sort of primitive cellular form—“protocells”. At the very beginning, the protocells may have even been unable to intervene in the growth of their own membrane, which can be called “pseudo-protocells”. Then, the ability to synthesize membrane components (amphiphiles) may have emerged under selective pressure, leading to “true-protocells”. The emergence of a “chromosome” (with genes linked together)—thus avoiding “gene-loss” during the protocell division, was another key event in the evolution of protocells. Such “unitary-protocells”, containing a central genetic molecule, may have appeared as a milestone—in principle, since then life could evolve endlessly, “gaining” more and more functions by introducing new genes. To synthesize in laboratory these different types of protocells, which stand at the interface between life and non-life, would greatly enhance our understanding on the essence of life.","author":[{"dropping-particle":"","family":"Ma","given":"Wentao","non-dropping-particle":"","parse-names":false,"suffix":""},{"dropping-particle":"","family":"Feng","given":"Yu","non-dropping-particle":"","parse-names":false,"suffix":""}],"container-title":"Life","id":"ITEM-2","issue":"1","issued":{"date-parts":[["2015"]]},"page":"447-458","publisher":"MDPI AG","title":"Protocells: At the interface of life and non-life","type":"article-journal","volume":"5"},"uris":["http://www.mendeley.com/documents/?uuid=af7abd02-ca63-462b-9253-cba5f4f51b87"]}],"mendeley":{"formattedCitation":"(W. Ma &amp; Feng, 2015; Presidential Commission for the Study of Bioethical Issues, 2010)","manualFormatting":"(Ma &amp; Feng, 2015; Presidential Commission for the Study of Bioethical Issues, 2010)","plainTextFormattedCitation":"(W. Ma &amp; Feng, 2015; Presidential Commission for the Study of Bioethical Issues, 2010)","previouslyFormattedCitation":"(W. Ma &amp; Feng, 2015; Presidential Commission for the Study of Bioethical Issues, 2010)"},"properties":{"noteIndex":0},"schema":"https://github.com/citation-style-language/schema/raw/master/csl-citation.json"}</w:instrText>
      </w:r>
      <w:r w:rsidR="00CE6A7C">
        <w:rPr>
          <w:rFonts w:ascii="Times New Roman" w:eastAsia="SimSun" w:hAnsi="Times New Roman"/>
          <w:kern w:val="22"/>
        </w:rPr>
        <w:fldChar w:fldCharType="separate"/>
      </w:r>
      <w:r w:rsidR="00CE6A7C" w:rsidRPr="00CE6A7C">
        <w:rPr>
          <w:rFonts w:ascii="Times New Roman" w:eastAsia="SimSun" w:hAnsi="Times New Roman"/>
          <w:noProof/>
          <w:kern w:val="22"/>
        </w:rPr>
        <w:t>(Ma &amp; Feng, 2015; Presidential Commission for the Study of Bioethical Issues, 2010)</w:t>
      </w:r>
      <w:r w:rsidR="00CE6A7C">
        <w:rPr>
          <w:rFonts w:ascii="Times New Roman" w:eastAsia="SimSun" w:hAnsi="Times New Roman"/>
          <w:kern w:val="22"/>
        </w:rPr>
        <w:fldChar w:fldCharType="end"/>
      </w:r>
      <w:r w:rsidRPr="00EA5EB6">
        <w:rPr>
          <w:rFonts w:ascii="Times New Roman" w:eastAsia="SimSun" w:hAnsi="Times New Roman"/>
          <w:kern w:val="22"/>
        </w:rPr>
        <w:t xml:space="preserve">. Depending on the meaning of functional units of heredity, such cells may not fall within the definition of “genetic material.”  </w:t>
      </w:r>
    </w:p>
    <w:p w14:paraId="5930B1A0" w14:textId="4F06F92F" w:rsidR="00B12251" w:rsidRPr="00EA5EB6" w:rsidRDefault="00B12251" w:rsidP="007B0B20">
      <w:pPr>
        <w:numPr>
          <w:ilvl w:val="0"/>
          <w:numId w:val="46"/>
        </w:numPr>
        <w:suppressAutoHyphens/>
        <w:spacing w:after="60" w:line="240" w:lineRule="auto"/>
        <w:ind w:left="284" w:hanging="284"/>
        <w:jc w:val="both"/>
        <w:rPr>
          <w:rFonts w:ascii="Times New Roman" w:eastAsia="SimSun" w:hAnsi="Times New Roman"/>
          <w:kern w:val="22"/>
        </w:rPr>
      </w:pPr>
      <w:r w:rsidRPr="00EA5EB6">
        <w:rPr>
          <w:rFonts w:ascii="Times New Roman" w:eastAsia="SimSun" w:hAnsi="Times New Roman"/>
          <w:kern w:val="22"/>
        </w:rPr>
        <w:t>Xenobiology –</w:t>
      </w:r>
      <w:r>
        <w:rPr>
          <w:rFonts w:ascii="Times New Roman" w:eastAsia="SimSun" w:hAnsi="Times New Roman"/>
          <w:kern w:val="22"/>
        </w:rPr>
        <w:t xml:space="preserve"> </w:t>
      </w:r>
      <w:r w:rsidRPr="00EA5EB6">
        <w:rPr>
          <w:rFonts w:ascii="Times New Roman" w:eastAsia="SimSun" w:hAnsi="Times New Roman"/>
          <w:kern w:val="22"/>
        </w:rPr>
        <w:t>This research focuses on altering the basic form of nucleic and amino acids, for example by creating nucleic acids with novel bases or novel backbones</w:t>
      </w:r>
      <w:r>
        <w:rPr>
          <w:rFonts w:ascii="Times New Roman" w:eastAsia="SimSun" w:hAnsi="Times New Roman"/>
          <w:kern w:val="22"/>
        </w:rPr>
        <w:t xml:space="preserve"> which are not found in nature</w:t>
      </w:r>
      <w:r w:rsidRPr="00EA5EB6">
        <w:rPr>
          <w:rFonts w:ascii="Times New Roman" w:eastAsia="SimSun" w:hAnsi="Times New Roman"/>
          <w:kern w:val="22"/>
        </w:rPr>
        <w:t xml:space="preserve">. Whether this would be considered “genetic material” depends on whether </w:t>
      </w:r>
      <w:r w:rsidRPr="00A268DA">
        <w:rPr>
          <w:rFonts w:ascii="Times New Roman" w:hAnsi="Times New Roman"/>
          <w:color w:val="000000"/>
          <w:kern w:val="1"/>
          <w:lang w:eastAsia="ar-SA"/>
        </w:rPr>
        <w:t xml:space="preserve">XNA </w:t>
      </w:r>
      <w:r w:rsidRPr="00EA5EB6">
        <w:rPr>
          <w:rFonts w:ascii="Times New Roman" w:eastAsia="SimSun" w:hAnsi="Times New Roman"/>
          <w:kern w:val="22"/>
        </w:rPr>
        <w:t>and other modified forms of information-carrying molecules would be considered to operate as functional units of heredity. These organisms may still be able to reproduce themselves, however, so they may be understood to contain functional units of heredity.</w:t>
      </w:r>
    </w:p>
    <w:p w14:paraId="25F406C6" w14:textId="3A2B22CF" w:rsidR="00BB7D71" w:rsidRPr="00E767FC" w:rsidRDefault="00B12251" w:rsidP="007B0B20">
      <w:pPr>
        <w:spacing w:line="240" w:lineRule="auto"/>
        <w:jc w:val="both"/>
        <w:rPr>
          <w:lang w:eastAsia="ar-SA"/>
        </w:rPr>
      </w:pPr>
      <w:r w:rsidRPr="00FB31A7">
        <w:rPr>
          <w:rFonts w:ascii="Times New Roman" w:hAnsi="Times New Roman"/>
          <w:kern w:val="22"/>
        </w:rPr>
        <w:t>The consideration of the components, organisms and products resulting from synthetic biology as genetic resources within the context of the Convention would raise some questions regarding the application of the principle of state sovereignty over genetic resources and access and benefit-sharing obligations as well as the application of the Convention’s provisions regarding the conservation and sustainable use of biodiversity.</w:t>
      </w:r>
    </w:p>
    <w:p w14:paraId="7AD76073" w14:textId="4B65F2C4" w:rsidR="003D3BEA" w:rsidRPr="003F3118" w:rsidRDefault="00CD670A" w:rsidP="007B0B20">
      <w:pPr>
        <w:pStyle w:val="Heading4"/>
        <w:rPr>
          <w:rFonts w:asciiTheme="minorHAnsi" w:hAnsiTheme="minorHAnsi"/>
          <w:b w:val="0"/>
          <w:lang w:val="en-US"/>
        </w:rPr>
      </w:pPr>
      <w:bookmarkStart w:id="132" w:name="_Hlk65559303"/>
      <w:bookmarkEnd w:id="127"/>
      <w:r w:rsidRPr="003F3118">
        <w:rPr>
          <w:i w:val="0"/>
        </w:rPr>
        <w:t>8.1.</w:t>
      </w:r>
      <w:r w:rsidR="003D3BEA" w:rsidRPr="003F3118">
        <w:rPr>
          <w:i w:val="0"/>
        </w:rPr>
        <w:t>6</w:t>
      </w:r>
      <w:r w:rsidR="003D3BEA" w:rsidRPr="003F3118">
        <w:rPr>
          <w:rFonts w:asciiTheme="minorHAnsi" w:hAnsiTheme="minorHAnsi"/>
          <w:i w:val="0"/>
          <w:lang w:val="en-GB"/>
        </w:rPr>
        <w:t>.</w:t>
      </w:r>
      <w:r w:rsidR="003D3BEA" w:rsidRPr="003F3118">
        <w:rPr>
          <w:i w:val="0"/>
        </w:rPr>
        <w:t xml:space="preserve"> Technology Transfer and Cooperation (Articles 16-19)</w:t>
      </w:r>
      <w:r w:rsidR="00E81E5A" w:rsidRPr="003F3118">
        <w:rPr>
          <w:rFonts w:asciiTheme="minorHAnsi" w:hAnsiTheme="minorHAnsi"/>
          <w:i w:val="0"/>
        </w:rPr>
        <w:t>.</w:t>
      </w:r>
    </w:p>
    <w:p w14:paraId="339C2532" w14:textId="78BAADD5" w:rsidR="003D3BEA" w:rsidRPr="003D3BEA" w:rsidRDefault="003D3BEA" w:rsidP="003D3BEA">
      <w:pPr>
        <w:suppressAutoHyphens/>
        <w:spacing w:after="120" w:line="240" w:lineRule="auto"/>
        <w:jc w:val="both"/>
        <w:rPr>
          <w:rFonts w:ascii="Times New Roman" w:eastAsia="SimSun" w:hAnsi="Times New Roman"/>
          <w:kern w:val="22"/>
          <w:lang w:eastAsia="hi-IN" w:bidi="hi-IN"/>
        </w:rPr>
      </w:pPr>
      <w:r w:rsidRPr="003D3BEA">
        <w:rPr>
          <w:rFonts w:ascii="Times New Roman" w:eastAsia="SimSun" w:hAnsi="Times New Roman"/>
          <w:kern w:val="22"/>
          <w:lang w:eastAsia="hi-IN" w:bidi="hi-IN"/>
        </w:rPr>
        <w:t>A number of COP decisions (e.g.  COP Decisions XI/29, XII/2 B, XIII/23 B and 14/24) have sought to implement technical and scientific cooperation and technology transfer pursuant to Articles 16 to 19 of Convention. These have been implemented through various partnerships, programmes and initiatives, including G</w:t>
      </w:r>
      <w:r w:rsidR="00E130EE" w:rsidRPr="087A5E89">
        <w:rPr>
          <w:rFonts w:ascii="Times New Roman" w:eastAsia="SimSun" w:hAnsi="Times New Roman"/>
          <w:lang w:eastAsia="hi-IN" w:bidi="hi-IN"/>
        </w:rPr>
        <w:t xml:space="preserve">lobal </w:t>
      </w:r>
      <w:r w:rsidRPr="003D3BEA">
        <w:rPr>
          <w:rFonts w:ascii="Times New Roman" w:eastAsia="SimSun" w:hAnsi="Times New Roman"/>
          <w:kern w:val="22"/>
          <w:lang w:eastAsia="hi-IN" w:bidi="hi-IN"/>
        </w:rPr>
        <w:t>T</w:t>
      </w:r>
      <w:r w:rsidR="00E130EE" w:rsidRPr="087A5E89">
        <w:rPr>
          <w:rFonts w:ascii="Times New Roman" w:eastAsia="SimSun" w:hAnsi="Times New Roman"/>
          <w:lang w:eastAsia="hi-IN" w:bidi="hi-IN"/>
        </w:rPr>
        <w:t xml:space="preserve">axonomy </w:t>
      </w:r>
      <w:r w:rsidRPr="003D3BEA">
        <w:rPr>
          <w:rFonts w:ascii="Times New Roman" w:eastAsia="SimSun" w:hAnsi="Times New Roman"/>
          <w:kern w:val="22"/>
          <w:lang w:eastAsia="hi-IN" w:bidi="hi-IN"/>
        </w:rPr>
        <w:t>I</w:t>
      </w:r>
      <w:r w:rsidR="00E130EE" w:rsidRPr="087A5E89">
        <w:rPr>
          <w:rFonts w:ascii="Times New Roman" w:eastAsia="SimSun" w:hAnsi="Times New Roman"/>
          <w:lang w:eastAsia="hi-IN" w:bidi="hi-IN"/>
        </w:rPr>
        <w:t>nitiative</w:t>
      </w:r>
      <w:r w:rsidRPr="003D3BEA">
        <w:rPr>
          <w:rFonts w:ascii="Times New Roman" w:eastAsia="SimSun" w:hAnsi="Times New Roman"/>
          <w:kern w:val="22"/>
          <w:lang w:eastAsia="hi-IN" w:bidi="hi-IN"/>
        </w:rPr>
        <w:t>, the Bio-Bridge Initiative, F</w:t>
      </w:r>
      <w:r w:rsidR="00110EB3" w:rsidRPr="087A5E89">
        <w:rPr>
          <w:rFonts w:ascii="Times New Roman" w:eastAsia="SimSun" w:hAnsi="Times New Roman"/>
          <w:lang w:eastAsia="hi-IN" w:bidi="hi-IN"/>
        </w:rPr>
        <w:t xml:space="preserve">orest </w:t>
      </w:r>
      <w:r w:rsidRPr="003D3BEA">
        <w:rPr>
          <w:rFonts w:ascii="Times New Roman" w:eastAsia="SimSun" w:hAnsi="Times New Roman"/>
          <w:kern w:val="22"/>
          <w:lang w:eastAsia="hi-IN" w:bidi="hi-IN"/>
        </w:rPr>
        <w:t>E</w:t>
      </w:r>
      <w:r w:rsidR="00110EB3" w:rsidRPr="087A5E89">
        <w:rPr>
          <w:rFonts w:ascii="Times New Roman" w:eastAsia="SimSun" w:hAnsi="Times New Roman"/>
          <w:lang w:eastAsia="hi-IN" w:bidi="hi-IN"/>
        </w:rPr>
        <w:t xml:space="preserve">cosystem </w:t>
      </w:r>
      <w:r w:rsidRPr="003D3BEA">
        <w:rPr>
          <w:rFonts w:ascii="Times New Roman" w:eastAsia="SimSun" w:hAnsi="Times New Roman"/>
          <w:kern w:val="22"/>
          <w:lang w:eastAsia="hi-IN" w:bidi="hi-IN"/>
        </w:rPr>
        <w:t>R</w:t>
      </w:r>
      <w:r w:rsidR="00110EB3" w:rsidRPr="087A5E89">
        <w:rPr>
          <w:rFonts w:ascii="Times New Roman" w:eastAsia="SimSun" w:hAnsi="Times New Roman"/>
          <w:lang w:eastAsia="hi-IN" w:bidi="hi-IN"/>
        </w:rPr>
        <w:t xml:space="preserve">estoration </w:t>
      </w:r>
      <w:r w:rsidRPr="003D3BEA">
        <w:rPr>
          <w:rFonts w:ascii="Times New Roman" w:eastAsia="SimSun" w:hAnsi="Times New Roman"/>
          <w:kern w:val="22"/>
          <w:lang w:eastAsia="hi-IN" w:bidi="hi-IN"/>
        </w:rPr>
        <w:t>I</w:t>
      </w:r>
      <w:r w:rsidR="00110EB3" w:rsidRPr="087A5E89">
        <w:rPr>
          <w:rFonts w:ascii="Times New Roman" w:eastAsia="SimSun" w:hAnsi="Times New Roman"/>
          <w:lang w:eastAsia="hi-IN" w:bidi="hi-IN"/>
        </w:rPr>
        <w:t>nitiative</w:t>
      </w:r>
      <w:r w:rsidRPr="003D3BEA">
        <w:rPr>
          <w:rFonts w:ascii="Times New Roman" w:eastAsia="SimSun" w:hAnsi="Times New Roman"/>
          <w:kern w:val="22"/>
          <w:lang w:eastAsia="hi-IN" w:bidi="hi-IN"/>
        </w:rPr>
        <w:t xml:space="preserve">, the Sustainable Ocean Initiative, the Global Partnership for Plant Conservation, the Collaborative Partnership on Sustainable Wildlife Management, and the Inter-agency Liaison Group on Invasive Alien Species </w:t>
      </w:r>
      <w:r w:rsidRPr="00FB4A75">
        <w:rPr>
          <w:rFonts w:ascii="Times New Roman" w:eastAsia="SimSun" w:hAnsi="Times New Roman"/>
          <w:kern w:val="22"/>
          <w:lang w:eastAsia="hi-IN" w:bidi="hi-IN"/>
        </w:rPr>
        <w:t>(CBD, 2021</w:t>
      </w:r>
      <w:r w:rsidRPr="003D3BEA">
        <w:rPr>
          <w:rFonts w:ascii="Times New Roman" w:eastAsia="SimSun" w:hAnsi="Times New Roman"/>
          <w:kern w:val="22"/>
          <w:lang w:eastAsia="hi-IN" w:bidi="hi-IN"/>
        </w:rPr>
        <w:t>). Further, pursuant to COP decisions XIII/23 and 14/24 relating to capacity building, technical and scientific cooperation and technology transfer, the Executive Secretary has initiated a process for</w:t>
      </w:r>
      <w:r w:rsidRPr="771DBC36">
        <w:rPr>
          <w:rFonts w:ascii="Times New Roman" w:eastAsia="SimSun" w:hAnsi="Times New Roman"/>
          <w:lang w:eastAsia="hi-IN" w:bidi="hi-IN"/>
        </w:rPr>
        <w:t xml:space="preserve"> </w:t>
      </w:r>
      <w:r w:rsidR="2DB014DC" w:rsidRPr="771DBC36">
        <w:rPr>
          <w:rFonts w:ascii="Times New Roman" w:eastAsia="SimSun" w:hAnsi="Times New Roman"/>
          <w:lang w:eastAsia="hi-IN" w:bidi="hi-IN"/>
        </w:rPr>
        <w:t>renewing and reviewing technical and scientific cooperation and for</w:t>
      </w:r>
      <w:r w:rsidRPr="003D3BEA">
        <w:rPr>
          <w:rFonts w:ascii="Times New Roman" w:eastAsia="SimSun" w:hAnsi="Times New Roman"/>
          <w:kern w:val="22"/>
          <w:lang w:eastAsia="hi-IN" w:bidi="hi-IN"/>
        </w:rPr>
        <w:t xml:space="preserve"> preparing a draft long-term strategic framework for capacity-building beyond 2020 aligned with the draft post-2020 global biodiversity framework and the 2030 Agenda for Sustainable Development. </w:t>
      </w:r>
    </w:p>
    <w:p w14:paraId="084BCE1A" w14:textId="5C7CA369" w:rsidR="003D3BEA" w:rsidRPr="003D3BEA" w:rsidRDefault="003D3BEA" w:rsidP="003D3BEA">
      <w:pPr>
        <w:suppressAutoHyphens/>
        <w:spacing w:after="120" w:line="240" w:lineRule="auto"/>
        <w:jc w:val="both"/>
        <w:rPr>
          <w:rFonts w:ascii="Times New Roman" w:eastAsia="SimSun" w:hAnsi="Times New Roman"/>
          <w:kern w:val="22"/>
          <w:lang w:eastAsia="hi-IN" w:bidi="hi-IN"/>
        </w:rPr>
      </w:pPr>
      <w:r w:rsidRPr="003D3BEA">
        <w:rPr>
          <w:rFonts w:ascii="Times New Roman" w:eastAsia="SimSun" w:hAnsi="Times New Roman"/>
          <w:lang w:eastAsia="hi-IN" w:bidi="hi-IN"/>
        </w:rPr>
        <w:t xml:space="preserve">Article 16, paragraph 1 provides that each Party will undertake “to provide and/or facilitate access for and transfer to other Contracting Parties of technologies that are relevant to the conservation and sustainable use of biological diversity or make use of genetic resources and do not cause significant damage to the environment”. Article 16 explicitly includes “biotechnology” in the provisions on access to and transfer of technology (Article 16, paragraph 1). As discussed in </w:t>
      </w:r>
      <w:r w:rsidR="0059216A">
        <w:rPr>
          <w:rFonts w:ascii="Times New Roman" w:eastAsia="SimSun" w:hAnsi="Times New Roman"/>
          <w:lang w:eastAsia="hi-IN" w:bidi="hi-IN"/>
        </w:rPr>
        <w:t>S</w:t>
      </w:r>
      <w:r w:rsidRPr="003D3BEA">
        <w:rPr>
          <w:rFonts w:ascii="Times New Roman" w:eastAsia="SimSun" w:hAnsi="Times New Roman"/>
          <w:lang w:eastAsia="hi-IN" w:bidi="hi-IN"/>
        </w:rPr>
        <w:t>ection 8.1.4</w:t>
      </w:r>
      <w:r w:rsidRPr="00532F2A">
        <w:rPr>
          <w:rFonts w:ascii="Times New Roman" w:eastAsia="SimSun" w:hAnsi="Times New Roman"/>
          <w:lang w:eastAsia="hi-IN" w:bidi="hi-IN"/>
        </w:rPr>
        <w:t xml:space="preserve"> and </w:t>
      </w:r>
      <w:r w:rsidR="00F9711E">
        <w:rPr>
          <w:rFonts w:ascii="Times New Roman" w:eastAsia="SimSun" w:hAnsi="Times New Roman"/>
          <w:lang w:eastAsia="hi-IN" w:bidi="hi-IN"/>
        </w:rPr>
        <w:t xml:space="preserve">Section </w:t>
      </w:r>
      <w:r w:rsidRPr="003D3BEA">
        <w:rPr>
          <w:rFonts w:ascii="Times New Roman" w:eastAsia="SimSun" w:hAnsi="Times New Roman"/>
          <w:lang w:eastAsia="hi-IN" w:bidi="hi-IN"/>
        </w:rPr>
        <w:t>8.2.1.</w:t>
      </w:r>
      <w:r w:rsidR="000C29ED">
        <w:rPr>
          <w:rFonts w:ascii="Times New Roman" w:eastAsia="SimSun" w:hAnsi="Times New Roman"/>
          <w:lang w:eastAsia="hi-IN" w:bidi="hi-IN"/>
        </w:rPr>
        <w:t>,</w:t>
      </w:r>
      <w:r w:rsidRPr="003D3BEA">
        <w:rPr>
          <w:rFonts w:ascii="Times New Roman" w:eastAsia="SimSun" w:hAnsi="Times New Roman"/>
          <w:lang w:eastAsia="hi-IN" w:bidi="hi-IN"/>
        </w:rPr>
        <w:t xml:space="preserve"> technologies associated with synthetic biology may fall under the definition of biotechnology.</w:t>
      </w:r>
    </w:p>
    <w:p w14:paraId="5F2E743D" w14:textId="213D6F28" w:rsidR="003D3BEA" w:rsidRPr="003D3BEA" w:rsidRDefault="003D3BEA" w:rsidP="003D3BEA">
      <w:pPr>
        <w:spacing w:before="120" w:after="120" w:line="240" w:lineRule="exact"/>
        <w:jc w:val="both"/>
        <w:rPr>
          <w:rFonts w:ascii="Times New Roman" w:eastAsia="SimSun" w:hAnsi="Times New Roman"/>
          <w:kern w:val="22"/>
          <w:lang w:eastAsia="hi-IN" w:bidi="hi-IN"/>
        </w:rPr>
      </w:pPr>
      <w:r w:rsidRPr="383003DE">
        <w:rPr>
          <w:rFonts w:ascii="Times New Roman" w:eastAsia="SimSun" w:hAnsi="Times New Roman"/>
          <w:kern w:val="1"/>
          <w:lang w:eastAsia="hi-IN" w:bidi="hi-IN"/>
        </w:rPr>
        <w:t>Technologies associated with synthetic biology may fulfil both criteria set out in Article 16, paragraph 1: (i) be of relevance to conservation and sustainable use of biodiversity, and</w:t>
      </w:r>
      <w:r w:rsidR="00772FD3">
        <w:rPr>
          <w:rFonts w:ascii="Times New Roman" w:eastAsia="SimSun" w:hAnsi="Times New Roman"/>
          <w:kern w:val="1"/>
          <w:lang w:eastAsia="hi-IN" w:bidi="hi-IN"/>
        </w:rPr>
        <w:t>;</w:t>
      </w:r>
      <w:r w:rsidRPr="383003DE">
        <w:rPr>
          <w:rFonts w:ascii="Times New Roman" w:eastAsia="SimSun" w:hAnsi="Times New Roman"/>
          <w:kern w:val="1"/>
          <w:lang w:eastAsia="hi-IN" w:bidi="hi-IN"/>
        </w:rPr>
        <w:t xml:space="preserve"> (ii) use genetic resources and not cause significant damage to the environment. Case-by-case assessments would be needed to determine </w:t>
      </w:r>
      <w:r w:rsidR="3D48C16A" w:rsidRPr="7921706C">
        <w:rPr>
          <w:rFonts w:ascii="Times New Roman" w:eastAsia="SimSun" w:hAnsi="Times New Roman"/>
          <w:lang w:eastAsia="hi-IN" w:bidi="hi-IN"/>
        </w:rPr>
        <w:t>how these criteria</w:t>
      </w:r>
      <w:r w:rsidRPr="7921706C">
        <w:rPr>
          <w:rFonts w:ascii="Times New Roman" w:eastAsia="SimSun" w:hAnsi="Times New Roman"/>
          <w:lang w:eastAsia="hi-IN" w:bidi="hi-IN"/>
        </w:rPr>
        <w:t xml:space="preserve"> apply</w:t>
      </w:r>
      <w:r w:rsidR="3D48C16A" w:rsidRPr="7921706C">
        <w:rPr>
          <w:rFonts w:ascii="Times New Roman" w:eastAsia="SimSun" w:hAnsi="Times New Roman"/>
          <w:lang w:eastAsia="hi-IN" w:bidi="hi-IN"/>
        </w:rPr>
        <w:t xml:space="preserve"> to </w:t>
      </w:r>
      <w:r w:rsidRPr="383003DE">
        <w:rPr>
          <w:rFonts w:ascii="Times New Roman" w:eastAsia="SimSun" w:hAnsi="Times New Roman"/>
          <w:kern w:val="1"/>
          <w:lang w:eastAsia="hi-IN" w:bidi="hi-IN"/>
        </w:rPr>
        <w:t xml:space="preserve">specific technologies. </w:t>
      </w:r>
      <w:r w:rsidR="00A2668D">
        <w:rPr>
          <w:rFonts w:ascii="Times New Roman" w:eastAsia="SimSun" w:hAnsi="Times New Roman"/>
          <w:kern w:val="1"/>
          <w:lang w:eastAsia="hi-IN" w:bidi="hi-IN"/>
        </w:rPr>
        <w:t>Considering the first criteria</w:t>
      </w:r>
      <w:r w:rsidRPr="383003DE">
        <w:rPr>
          <w:rFonts w:ascii="Times New Roman" w:eastAsia="SimSun" w:hAnsi="Times New Roman"/>
          <w:kern w:val="1"/>
          <w:lang w:eastAsia="hi-IN" w:bidi="hi-IN"/>
        </w:rPr>
        <w:t xml:space="preserve">, some areas of synthetic biology research do aim to produce applications relevant to conservation and sustainable use, for </w:t>
      </w:r>
      <w:r w:rsidR="48425D64" w:rsidRPr="383003DE">
        <w:rPr>
          <w:rFonts w:ascii="Times New Roman" w:eastAsia="SimSun" w:hAnsi="Times New Roman"/>
          <w:kern w:val="1"/>
          <w:lang w:eastAsia="hi-IN" w:bidi="hi-IN"/>
        </w:rPr>
        <w:t>instance</w:t>
      </w:r>
      <w:r w:rsidRPr="383003DE">
        <w:rPr>
          <w:rFonts w:ascii="Times New Roman" w:eastAsia="SimSun" w:hAnsi="Times New Roman"/>
          <w:kern w:val="1"/>
          <w:lang w:eastAsia="hi-IN" w:bidi="hi-IN"/>
        </w:rPr>
        <w:t xml:space="preserve">, as per the research examples in Section </w:t>
      </w:r>
      <w:r w:rsidR="00AC3ECB" w:rsidRPr="00532F2A">
        <w:rPr>
          <w:rFonts w:ascii="Times New Roman" w:eastAsia="SimSun" w:hAnsi="Times New Roman"/>
          <w:color w:val="000000" w:themeColor="text1"/>
          <w:kern w:val="1"/>
          <w:lang w:eastAsia="hi-IN" w:bidi="hi-IN"/>
        </w:rPr>
        <w:t>3</w:t>
      </w:r>
      <w:r w:rsidRPr="00532F2A">
        <w:rPr>
          <w:rFonts w:ascii="Times New Roman" w:eastAsia="SimSun" w:hAnsi="Times New Roman"/>
          <w:color w:val="000000" w:themeColor="text1"/>
          <w:kern w:val="1"/>
          <w:lang w:eastAsia="hi-IN" w:bidi="hi-IN"/>
        </w:rPr>
        <w:t>.1.3</w:t>
      </w:r>
      <w:r w:rsidR="00532F2A" w:rsidRPr="00532F2A">
        <w:rPr>
          <w:rFonts w:ascii="Times New Roman" w:eastAsia="SimSun" w:hAnsi="Times New Roman"/>
          <w:color w:val="000000" w:themeColor="text1"/>
          <w:kern w:val="1"/>
          <w:lang w:eastAsia="hi-IN" w:bidi="hi-IN"/>
        </w:rPr>
        <w:t>.</w:t>
      </w:r>
      <w:r w:rsidRPr="00532F2A">
        <w:rPr>
          <w:rFonts w:ascii="Times New Roman" w:eastAsia="SimSun" w:hAnsi="Times New Roman"/>
          <w:color w:val="000000" w:themeColor="text1"/>
          <w:kern w:val="1"/>
          <w:lang w:eastAsia="hi-IN" w:bidi="hi-IN"/>
        </w:rPr>
        <w:t xml:space="preserve"> concerning </w:t>
      </w:r>
      <w:r w:rsidRPr="383003DE">
        <w:rPr>
          <w:rFonts w:ascii="Times New Roman" w:eastAsia="SimSun" w:hAnsi="Times New Roman"/>
          <w:kern w:val="1"/>
          <w:lang w:eastAsia="hi-IN" w:bidi="hi-IN"/>
        </w:rPr>
        <w:t>research applications of synthetic biology in bioremediation, control of vector borne diseases for conservation purposes and improving resilience in wild animal and plant populations.</w:t>
      </w:r>
      <w:r w:rsidRPr="383003DE">
        <w:rPr>
          <w:rFonts w:ascii="Times New Roman" w:eastAsia="SimSun" w:hAnsi="Times New Roman"/>
          <w:kern w:val="1"/>
          <w:lang w:eastAsia="ar-SA"/>
        </w:rPr>
        <w:t xml:space="preserve"> </w:t>
      </w:r>
      <w:r w:rsidR="00A2668D">
        <w:rPr>
          <w:rFonts w:ascii="Times New Roman" w:eastAsia="Times New Roman" w:hAnsi="Times New Roman"/>
          <w:kern w:val="1"/>
          <w:lang w:eastAsia="ar-SA"/>
        </w:rPr>
        <w:t>Considering the second criteria, m</w:t>
      </w:r>
      <w:r w:rsidR="00C217BA" w:rsidRPr="383003DE">
        <w:rPr>
          <w:rFonts w:ascii="Times New Roman" w:eastAsia="SimSun" w:hAnsi="Times New Roman"/>
          <w:kern w:val="1"/>
          <w:lang w:eastAsia="hi-IN" w:bidi="hi-IN"/>
        </w:rPr>
        <w:t>uch of synthetic biology research could be considered to “make use of genetic resources”</w:t>
      </w:r>
      <w:r w:rsidR="00C217BA">
        <w:rPr>
          <w:rFonts w:ascii="Times New Roman" w:eastAsia="SimSun" w:hAnsi="Times New Roman"/>
          <w:kern w:val="1"/>
          <w:lang w:eastAsia="hi-IN" w:bidi="hi-IN"/>
        </w:rPr>
        <w:t>, however,</w:t>
      </w:r>
      <w:r>
        <w:rPr>
          <w:rFonts w:ascii="Times New Roman" w:eastAsia="SimSun" w:hAnsi="Times New Roman"/>
          <w:kern w:val="1"/>
          <w:lang w:eastAsia="hi-IN" w:bidi="hi-IN"/>
        </w:rPr>
        <w:t xml:space="preserve"> </w:t>
      </w:r>
      <w:r w:rsidR="0024647D">
        <w:rPr>
          <w:rFonts w:ascii="Times New Roman" w:eastAsia="SimSun" w:hAnsi="Times New Roman"/>
          <w:kern w:val="1"/>
          <w:lang w:eastAsia="hi-IN" w:bidi="hi-IN"/>
        </w:rPr>
        <w:t>w</w:t>
      </w:r>
      <w:r w:rsidRPr="383003DE">
        <w:rPr>
          <w:rFonts w:ascii="Times New Roman" w:eastAsia="SimSun" w:hAnsi="Times New Roman"/>
          <w:kern w:val="1"/>
          <w:lang w:eastAsia="hi-IN" w:bidi="hi-IN"/>
        </w:rPr>
        <w:t xml:space="preserve">hether or not specific synthetic biology technologies cause significant damage to the environment would require an impact assessment. </w:t>
      </w:r>
    </w:p>
    <w:p w14:paraId="142E3C3A" w14:textId="3A262033" w:rsidR="003D3BEA" w:rsidRPr="003D3BEA" w:rsidRDefault="003D3BEA" w:rsidP="003D3BEA">
      <w:pPr>
        <w:suppressAutoHyphens/>
        <w:spacing w:after="120" w:line="240" w:lineRule="auto"/>
        <w:jc w:val="both"/>
        <w:rPr>
          <w:rFonts w:ascii="Times New Roman" w:eastAsia="SimSun" w:hAnsi="Times New Roman"/>
          <w:kern w:val="22"/>
          <w:lang w:eastAsia="hi-IN" w:bidi="hi-IN"/>
        </w:rPr>
      </w:pPr>
      <w:r w:rsidRPr="003D3BEA">
        <w:rPr>
          <w:rFonts w:ascii="Times New Roman" w:eastAsia="SimSun" w:hAnsi="Times New Roman"/>
          <w:lang w:eastAsia="hi-IN" w:bidi="hi-IN"/>
        </w:rPr>
        <w:t>Developing countries are to be provided “fair and most favourable terms” to access to and transfer of technologies (Article 16, paragraph 2) that “</w:t>
      </w:r>
      <w:r w:rsidRPr="003D3BEA">
        <w:rPr>
          <w:rFonts w:ascii="Times New Roman" w:hAnsi="Times New Roman"/>
        </w:rPr>
        <w:t>are relevant to the conservation and sustainable use of biological diversity or make use of genetic resources and do not cause significant damage to the environment” (Article 16, paragraph 1)</w:t>
      </w:r>
      <w:r w:rsidRPr="003D3BEA">
        <w:rPr>
          <w:rFonts w:ascii="Times New Roman" w:hAnsi="Times New Roman"/>
          <w:lang w:eastAsia="hi-IN" w:bidi="hi-IN"/>
        </w:rPr>
        <w:t xml:space="preserve">. </w:t>
      </w:r>
      <w:r w:rsidRPr="003D3BEA">
        <w:rPr>
          <w:rFonts w:ascii="Times New Roman" w:eastAsia="SimSun" w:hAnsi="Times New Roman"/>
          <w:lang w:eastAsia="hi-IN" w:bidi="hi-IN"/>
        </w:rPr>
        <w:t>Article 19 also specifically addresses developing countries, holding that Parties “shall take all practicable measures to promote and advance priority access on a fair and equitable basis by Contracting Parties, especially developing countries, to the results and benefits arising from biotechnologies based upon genetic resources provided by those Contracting Parties” (Article 19, paragraph 2), and that they shall “provide for the effective participation in biotechnological research activities by those Contracting Parties, especially developing countries, which provide the genetic resources for such research, and where feasible in Contracting Parties” (Article 19, paragraph 1</w:t>
      </w:r>
      <w:r w:rsidR="35CAC209" w:rsidRPr="7307FAFF">
        <w:rPr>
          <w:rFonts w:ascii="Times New Roman" w:eastAsia="SimSun" w:hAnsi="Times New Roman"/>
          <w:lang w:eastAsia="hi-IN" w:bidi="hi-IN"/>
        </w:rPr>
        <w:t>, and Article 15</w:t>
      </w:r>
      <w:r w:rsidR="35CAC209" w:rsidRPr="25691B8B">
        <w:rPr>
          <w:rFonts w:ascii="Times New Roman" w:eastAsia="SimSun" w:hAnsi="Times New Roman"/>
          <w:lang w:eastAsia="hi-IN" w:bidi="hi-IN"/>
        </w:rPr>
        <w:t>, paragraph 6</w:t>
      </w:r>
      <w:r w:rsidRPr="003D3BEA">
        <w:rPr>
          <w:rFonts w:ascii="Times New Roman" w:eastAsia="SimSun" w:hAnsi="Times New Roman"/>
          <w:lang w:eastAsia="hi-IN" w:bidi="hi-IN"/>
        </w:rPr>
        <w:t xml:space="preserve">).  </w:t>
      </w:r>
    </w:p>
    <w:p w14:paraId="4CC93E68" w14:textId="23DABAC9" w:rsidR="003D3BEA" w:rsidRPr="003D3BEA" w:rsidRDefault="00643C40" w:rsidP="003D3BEA">
      <w:pPr>
        <w:suppressAutoHyphens/>
        <w:spacing w:after="120" w:line="240" w:lineRule="auto"/>
        <w:jc w:val="both"/>
        <w:rPr>
          <w:rFonts w:ascii="Times New Roman" w:eastAsia="SimSun" w:hAnsi="Times New Roman"/>
          <w:kern w:val="22"/>
          <w:lang w:eastAsia="hi-IN" w:bidi="hi-IN"/>
        </w:rPr>
      </w:pPr>
      <w:r>
        <w:rPr>
          <w:rFonts w:ascii="Times New Roman" w:eastAsia="SimSun" w:hAnsi="Times New Roman"/>
          <w:kern w:val="22"/>
          <w:lang w:eastAsia="hi-IN" w:bidi="hi-IN"/>
        </w:rPr>
        <w:t>S</w:t>
      </w:r>
      <w:r w:rsidR="003D3BEA" w:rsidRPr="003D3BEA">
        <w:rPr>
          <w:rFonts w:ascii="Times New Roman" w:eastAsia="SimSun" w:hAnsi="Times New Roman"/>
          <w:kern w:val="22"/>
          <w:lang w:eastAsia="hi-IN" w:bidi="hi-IN"/>
        </w:rPr>
        <w:t xml:space="preserve">cientific publications </w:t>
      </w:r>
      <w:r>
        <w:rPr>
          <w:rFonts w:ascii="Times New Roman" w:eastAsia="SimSun" w:hAnsi="Times New Roman"/>
          <w:kern w:val="22"/>
          <w:lang w:eastAsia="hi-IN" w:bidi="hi-IN"/>
        </w:rPr>
        <w:t>provide a useful</w:t>
      </w:r>
      <w:r w:rsidR="003D3BEA" w:rsidRPr="003D3BEA">
        <w:rPr>
          <w:rFonts w:ascii="Times New Roman" w:eastAsia="SimSun" w:hAnsi="Times New Roman"/>
          <w:kern w:val="22"/>
          <w:lang w:eastAsia="hi-IN" w:bidi="hi-IN"/>
        </w:rPr>
        <w:t xml:space="preserve"> proxy indicator for R&amp;D concerning synthetic biology</w:t>
      </w:r>
      <w:r w:rsidR="002D301B" w:rsidRPr="003D3BEA">
        <w:rPr>
          <w:rFonts w:ascii="Times New Roman" w:eastAsia="SimSun" w:hAnsi="Times New Roman"/>
          <w:kern w:val="22"/>
          <w:lang w:eastAsia="hi-IN" w:bidi="hi-IN"/>
        </w:rPr>
        <w:t>,</w:t>
      </w:r>
      <w:r w:rsidR="002D301B">
        <w:rPr>
          <w:rFonts w:ascii="Times New Roman" w:eastAsia="SimSun" w:hAnsi="Times New Roman"/>
          <w:kern w:val="22"/>
          <w:lang w:eastAsia="hi-IN" w:bidi="hi-IN"/>
        </w:rPr>
        <w:t xml:space="preserve"> b</w:t>
      </w:r>
      <w:r w:rsidR="00C614E2" w:rsidRPr="69BA3794">
        <w:rPr>
          <w:rFonts w:ascii="Times New Roman" w:eastAsia="Times New Roman" w:hAnsi="Times New Roman"/>
          <w:lang w:eastAsia="ar-SA"/>
        </w:rPr>
        <w:t>y 2017, more than 25,000 authors at 3700 organi</w:t>
      </w:r>
      <w:r w:rsidR="00C614E2">
        <w:rPr>
          <w:rFonts w:ascii="Times New Roman" w:eastAsia="Times New Roman" w:hAnsi="Times New Roman"/>
          <w:lang w:eastAsia="ar-SA"/>
        </w:rPr>
        <w:t>s</w:t>
      </w:r>
      <w:r w:rsidR="00C614E2" w:rsidRPr="69BA3794">
        <w:rPr>
          <w:rFonts w:ascii="Times New Roman" w:eastAsia="Times New Roman" w:hAnsi="Times New Roman"/>
          <w:lang w:eastAsia="ar-SA"/>
        </w:rPr>
        <w:t>ations located in 79 countries had contributed to synthetic biology research</w:t>
      </w:r>
      <w:r w:rsidR="00C614E2">
        <w:rPr>
          <w:rFonts w:ascii="Times New Roman" w:eastAsia="Times New Roman" w:hAnsi="Times New Roman"/>
          <w:lang w:eastAsia="ar-SA"/>
        </w:rPr>
        <w:t xml:space="preserve"> </w:t>
      </w:r>
      <w:r w:rsidR="00C614E2">
        <w:rPr>
          <w:rFonts w:ascii="Times New Roman" w:eastAsia="Times New Roman" w:hAnsi="Times New Roman"/>
          <w:lang w:eastAsia="ar-SA"/>
        </w:rPr>
        <w:fldChar w:fldCharType="begin" w:fldLock="1"/>
      </w:r>
      <w:r w:rsidR="008F6A90">
        <w:rPr>
          <w:rFonts w:ascii="Times New Roman" w:eastAsia="Times New Roman" w:hAnsi="Times New Roman"/>
          <w:lang w:eastAsia="ar-SA"/>
        </w:rPr>
        <w:instrText>ADDIN CSL_CITATION {"citationItems":[{"id":"ITEM-1","itemData":{"DOI":"10.1007/s11192-017-2452-5","ISSN":"15882861","abstract":"Synthetic biology is an emerging domain that combines biological and engineering concepts and which has seen rapid growth in research, innovation, and policy interest in recent years. This paper contributes to efforts to delineate this emerging domain by presenting a newly constructed bibliometric definition of synthetic biology. Our approach is dimensioned from a core set of papers in synthetic biology, using procedures to obtain benchmark synthetic biology publication records, extract keywords from these benchmark records, and refine the keywords, supplemented with articles published in dedicated synthetic biology journals. We compare our search strategy with other recent bibliometric approaches to define synthetic biology, using a common source of publication data for the period from 2000 to 2015. The paper details the rapid growth and international spread of research in synthetic biology in recent years, demonstrates that diverse research disciplines are contributing to the multidisciplinary development of synthetic biology research, and visualizes this by profiling synthetic biology research on the map of science. We further show the roles of a relatively concentrated set of research sponsors in funding the growth and trajectories of synthetic biology. In addition to discussing these analyses, the paper notes limitations and suggests lines for further work.","author":[{"dropping-particle":"","family":"Shapira","given":"Philip","non-dropping-particle":"","parse-names":false,"suffix":""},{"dropping-particle":"","family":"Kwon","given":"Seokbeom","non-dropping-particle":"","parse-names":false,"suffix":""},{"dropping-particle":"","family":"Youtie","given":"Jan","non-dropping-particle":"","parse-names":false,"suffix":""}],"container-title":"Scientometrics","id":"ITEM-1","issue":"3","issued":{"date-parts":[["2017","9"]]},"page":"1439-1469","publisher":"Springer Netherlands","title":"Tracking the emergence of synthetic biology","type":"article-journal","volume":"112"},"uris":["http://www.mendeley.com/documents/?uuid=3fe75e04-7942-4959-91ba-2f9238d88373"]}],"mendeley":{"formattedCitation":"(Shapira et al., 2017)","plainTextFormattedCitation":"(Shapira et al., 2017)","previouslyFormattedCitation":"(Shapira et al., 2017)"},"properties":{"noteIndex":0},"schema":"https://github.com/citation-style-language/schema/raw/master/csl-citation.json"}</w:instrText>
      </w:r>
      <w:r w:rsidR="00C614E2">
        <w:rPr>
          <w:rFonts w:ascii="Times New Roman" w:eastAsia="Times New Roman" w:hAnsi="Times New Roman"/>
          <w:lang w:eastAsia="ar-SA"/>
        </w:rPr>
        <w:fldChar w:fldCharType="separate"/>
      </w:r>
      <w:r w:rsidR="00204229" w:rsidRPr="00204229">
        <w:rPr>
          <w:rFonts w:ascii="Times New Roman" w:eastAsia="Times New Roman" w:hAnsi="Times New Roman"/>
          <w:noProof/>
          <w:lang w:eastAsia="ar-SA"/>
        </w:rPr>
        <w:t>(Shapira et al., 2017)</w:t>
      </w:r>
      <w:r w:rsidR="00C614E2">
        <w:rPr>
          <w:rFonts w:ascii="Times New Roman" w:eastAsia="Times New Roman" w:hAnsi="Times New Roman"/>
          <w:lang w:eastAsia="ar-SA"/>
        </w:rPr>
        <w:fldChar w:fldCharType="end"/>
      </w:r>
      <w:r w:rsidR="00A61E8A">
        <w:rPr>
          <w:rFonts w:ascii="Times New Roman" w:eastAsia="Times New Roman" w:hAnsi="Times New Roman"/>
          <w:lang w:eastAsia="ar-SA"/>
        </w:rPr>
        <w:t xml:space="preserve">. </w:t>
      </w:r>
      <w:r w:rsidR="00982D15">
        <w:rPr>
          <w:rFonts w:ascii="Times New Roman" w:eastAsia="Times New Roman" w:hAnsi="Times New Roman"/>
          <w:lang w:eastAsia="ar-SA"/>
        </w:rPr>
        <w:t>Since 1980, 13050 papers on synthetic biology have been published;</w:t>
      </w:r>
      <w:r w:rsidR="00982D15" w:rsidRPr="69BA3794">
        <w:rPr>
          <w:rFonts w:ascii="Times New Roman" w:eastAsia="Times New Roman" w:hAnsi="Times New Roman"/>
          <w:lang w:eastAsia="ar-SA"/>
        </w:rPr>
        <w:t xml:space="preserve"> with the USA, UK, Germany, China, and </w:t>
      </w:r>
      <w:r w:rsidR="00982D15">
        <w:rPr>
          <w:rFonts w:ascii="Times New Roman" w:eastAsia="Times New Roman" w:hAnsi="Times New Roman"/>
          <w:lang w:eastAsia="ar-SA"/>
        </w:rPr>
        <w:t>France</w:t>
      </w:r>
      <w:r w:rsidR="00982D15" w:rsidRPr="69BA3794">
        <w:rPr>
          <w:rFonts w:ascii="Times New Roman" w:eastAsia="Times New Roman" w:hAnsi="Times New Roman"/>
          <w:lang w:eastAsia="ar-SA"/>
        </w:rPr>
        <w:t xml:space="preserve"> leading the number of publications </w:t>
      </w:r>
      <w:r w:rsidR="00982D15" w:rsidRPr="69BA3794">
        <w:rPr>
          <w:rFonts w:ascii="Times New Roman" w:eastAsia="Times New Roman" w:hAnsi="Times New Roman"/>
          <w:lang w:eastAsia="ar-SA"/>
        </w:rPr>
        <w:fldChar w:fldCharType="begin" w:fldLock="1"/>
      </w:r>
      <w:r w:rsidR="00283B5A">
        <w:rPr>
          <w:rFonts w:ascii="Times New Roman" w:eastAsia="Times New Roman" w:hAnsi="Times New Roman"/>
          <w:lang w:eastAsia="ar-SA"/>
        </w:rPr>
        <w:instrText>ADDIN CSL_CITATION {"citationItems":[{"id":"ITEM-1","itemData":{"DOI":"10.1038/s41893-019-0270-x","ISSN":"2398-9629","author":[{"dropping-particle":"","family":"French","given":"K. E.","non-dropping-particle":"","parse-names":false,"suffix":""}],"container-title":"Nature Sustainability","id":"ITEM-1","issue":"4","issued":{"date-parts":[["2019","4","9"]]},"page":"250-252","title":"Harnessing synthetic biology for sustainable development","type":"article-journal","volume":"2"},"uris":["http://www.mendeley.com/documents/?uuid=de7dbc9e-ec7c-4d71-8b85-eb3e497793c2"]},{"id":"ITEM-2","itemData":{"DOI":"10.1007/s11192-017-2452-5","ISSN":"15882861","abstract":"Synthetic biology is an emerging domain that combines biological and engineering concepts and which has seen rapid growth in research, innovation, and policy interest in recent years. This paper contributes to efforts to delineate this emerging domain by presenting a newly constructed bibliometric definition of synthetic biology. Our approach is dimensioned from a core set of papers in synthetic biology, using procedures to obtain benchmark synthetic biology publication records, extract keywords from these benchmark records, and refine the keywords, supplemented with articles published in dedicated synthetic biology journals. We compare our search strategy with other recent bibliometric approaches to define synthetic biology, using a common source of publication data for the period from 2000 to 2015. The paper details the rapid growth and international spread of research in synthetic biology in recent years, demonstrates that diverse research disciplines are contributing to the multidisciplinary development of synthetic biology research, and visualizes this by profiling synthetic biology research on the map of science. We further show the roles of a relatively concentrated set of research sponsors in funding the growth and trajectories of synthetic biology. In addition to discussing these analyses, the paper notes limitations and suggests lines for further work.","author":[{"dropping-particle":"","family":"Shapira","given":"Philip","non-dropping-particle":"","parse-names":false,"suffix":""},{"dropping-particle":"","family":"Kwon","given":"Seokbeom","non-dropping-particle":"","parse-names":false,"suffix":""},{"dropping-particle":"","family":"Youtie","given":"Jan","non-dropping-particle":"","parse-names":false,"suffix":""}],"container-title":"Scientometrics","id":"ITEM-2","issue":"3","issued":{"date-parts":[["2017","9"]]},"page":"1439-1469","publisher":"Springer Netherlands","title":"Tracking the emergence of synthetic biology","type":"article-journal","volume":"112"},"uris":["http://www.mendeley.com/documents/?uuid=3fe75e04-7942-4959-91ba-2f9238d88373"]}],"mendeley":{"formattedCitation":"(K. E. French, 2019; Shapira et al., 2017)","manualFormatting":"(French, 2019; Shapira et al., 2017)","plainTextFormattedCitation":"(K. E. French, 2019; Shapira et al., 2017)","previouslyFormattedCitation":"(K. E. French, 2019; Shapira et al., 2017)"},"properties":{"noteIndex":0},"schema":"https://github.com/citation-style-language/schema/raw/master/csl-citation.json"}</w:instrText>
      </w:r>
      <w:r w:rsidR="00982D15" w:rsidRPr="69BA3794">
        <w:rPr>
          <w:rFonts w:ascii="Times New Roman" w:eastAsia="Times New Roman" w:hAnsi="Times New Roman"/>
          <w:lang w:eastAsia="ar-SA"/>
        </w:rPr>
        <w:fldChar w:fldCharType="separate"/>
      </w:r>
      <w:r w:rsidR="00855898" w:rsidRPr="00855898">
        <w:rPr>
          <w:rFonts w:ascii="Times New Roman" w:eastAsia="Times New Roman" w:hAnsi="Times New Roman"/>
          <w:noProof/>
          <w:lang w:eastAsia="ar-SA"/>
        </w:rPr>
        <w:t>(French, 2019; Shapira et al., 2017)</w:t>
      </w:r>
      <w:r w:rsidR="00982D15" w:rsidRPr="69BA3794">
        <w:rPr>
          <w:rFonts w:ascii="Times New Roman" w:eastAsia="Times New Roman" w:hAnsi="Times New Roman"/>
          <w:lang w:eastAsia="ar-SA"/>
        </w:rPr>
        <w:fldChar w:fldCharType="end"/>
      </w:r>
      <w:r w:rsidR="00982D15" w:rsidRPr="69BA3794">
        <w:rPr>
          <w:rFonts w:ascii="Times New Roman" w:eastAsia="Times New Roman" w:hAnsi="Times New Roman"/>
          <w:lang w:eastAsia="ar-SA"/>
        </w:rPr>
        <w:t xml:space="preserve">. Other sites of major research include </w:t>
      </w:r>
      <w:r w:rsidR="00982D15">
        <w:rPr>
          <w:rFonts w:ascii="Times New Roman" w:eastAsia="Times New Roman" w:hAnsi="Times New Roman"/>
          <w:lang w:eastAsia="ar-SA"/>
        </w:rPr>
        <w:t xml:space="preserve">Japan, Switzerland, Italy, Spain, and Canada </w:t>
      </w:r>
      <w:r w:rsidR="00982D15">
        <w:rPr>
          <w:rFonts w:ascii="Times New Roman" w:eastAsia="Times New Roman" w:hAnsi="Times New Roman"/>
          <w:lang w:eastAsia="ar-SA"/>
        </w:rPr>
        <w:fldChar w:fldCharType="begin" w:fldLock="1"/>
      </w:r>
      <w:r w:rsidR="00283B5A">
        <w:rPr>
          <w:rFonts w:ascii="Times New Roman" w:eastAsia="Times New Roman" w:hAnsi="Times New Roman"/>
          <w:lang w:eastAsia="ar-SA"/>
        </w:rPr>
        <w:instrText>ADDIN CSL_CITATION {"citationItems":[{"id":"ITEM-1","itemData":{"DOI":"10.1038/s41893-019-0270-x","ISSN":"2398-9629","author":[{"dropping-particle":"","family":"French","given":"K. E.","non-dropping-particle":"","parse-names":false,"suffix":""}],"container-title":"Nature Sustainability","id":"ITEM-1","issue":"4","issued":{"date-parts":[["2019","4","9"]]},"page":"250-252","title":"Harnessing synthetic biology for sustainable development","type":"article-journal","volume":"2"},"uris":["http://www.mendeley.com/documents/?uuid=de7dbc9e-ec7c-4d71-8b85-eb3e497793c2"]}],"mendeley":{"formattedCitation":"(K. E. French, 2019)","manualFormatting":"(French, 2019)","plainTextFormattedCitation":"(K. E. French, 2019)","previouslyFormattedCitation":"(K. E. French, 2019)"},"properties":{"noteIndex":0},"schema":"https://github.com/citation-style-language/schema/raw/master/csl-citation.json"}</w:instrText>
      </w:r>
      <w:r w:rsidR="00982D15">
        <w:rPr>
          <w:rFonts w:ascii="Times New Roman" w:eastAsia="Times New Roman" w:hAnsi="Times New Roman"/>
          <w:lang w:eastAsia="ar-SA"/>
        </w:rPr>
        <w:fldChar w:fldCharType="separate"/>
      </w:r>
      <w:r w:rsidR="00855898" w:rsidRPr="00855898">
        <w:rPr>
          <w:rFonts w:ascii="Times New Roman" w:eastAsia="Times New Roman" w:hAnsi="Times New Roman"/>
          <w:noProof/>
          <w:lang w:eastAsia="ar-SA"/>
        </w:rPr>
        <w:t>(French, 2019)</w:t>
      </w:r>
      <w:r w:rsidR="00982D15">
        <w:rPr>
          <w:rFonts w:ascii="Times New Roman" w:eastAsia="Times New Roman" w:hAnsi="Times New Roman"/>
          <w:lang w:eastAsia="ar-SA"/>
        </w:rPr>
        <w:fldChar w:fldCharType="end"/>
      </w:r>
      <w:r w:rsidR="00982D15">
        <w:rPr>
          <w:rFonts w:ascii="Times New Roman" w:eastAsia="Times New Roman" w:hAnsi="Times New Roman"/>
          <w:lang w:eastAsia="ar-SA"/>
        </w:rPr>
        <w:t xml:space="preserve">. </w:t>
      </w:r>
      <w:r w:rsidR="00752E09">
        <w:rPr>
          <w:rFonts w:ascii="Times New Roman" w:eastAsia="Times New Roman" w:hAnsi="Times New Roman"/>
          <w:lang w:eastAsia="ar-SA"/>
        </w:rPr>
        <w:t>A</w:t>
      </w:r>
      <w:r w:rsidR="002D301B">
        <w:rPr>
          <w:rFonts w:ascii="Times New Roman" w:eastAsia="Times New Roman" w:hAnsi="Times New Roman"/>
          <w:lang w:eastAsia="ar-SA"/>
        </w:rPr>
        <w:t xml:space="preserve"> 2012 study which also evaluated scientific publications concerning </w:t>
      </w:r>
      <w:r w:rsidR="00234216">
        <w:rPr>
          <w:rFonts w:ascii="Times New Roman" w:eastAsia="Times New Roman" w:hAnsi="Times New Roman"/>
          <w:lang w:eastAsia="ar-SA"/>
        </w:rPr>
        <w:t xml:space="preserve">synthetic biology </w:t>
      </w:r>
      <w:r w:rsidR="00752E09">
        <w:rPr>
          <w:rFonts w:ascii="Times New Roman" w:eastAsia="Times New Roman" w:hAnsi="Times New Roman"/>
          <w:lang w:eastAsia="ar-SA"/>
        </w:rPr>
        <w:t xml:space="preserve">depicts a </w:t>
      </w:r>
      <w:r w:rsidR="00234216">
        <w:rPr>
          <w:rFonts w:ascii="Times New Roman" w:eastAsia="Times New Roman" w:hAnsi="Times New Roman"/>
          <w:lang w:eastAsia="ar-SA"/>
        </w:rPr>
        <w:t>similar global landscape with the exception of China</w:t>
      </w:r>
      <w:r w:rsidR="00BF2894">
        <w:rPr>
          <w:rFonts w:ascii="Times New Roman" w:eastAsia="Times New Roman" w:hAnsi="Times New Roman"/>
          <w:lang w:eastAsia="ar-SA"/>
        </w:rPr>
        <w:t xml:space="preserve"> </w:t>
      </w:r>
      <w:r w:rsidR="006B205B">
        <w:rPr>
          <w:rFonts w:ascii="Times New Roman" w:eastAsia="Times New Roman" w:hAnsi="Times New Roman"/>
          <w:lang w:eastAsia="ar-SA"/>
        </w:rPr>
        <w:t xml:space="preserve">which </w:t>
      </w:r>
      <w:r w:rsidR="00C53F26">
        <w:rPr>
          <w:rFonts w:ascii="Times New Roman" w:eastAsia="Times New Roman" w:hAnsi="Times New Roman"/>
          <w:lang w:eastAsia="ar-SA"/>
        </w:rPr>
        <w:t xml:space="preserve">was </w:t>
      </w:r>
      <w:r w:rsidR="00EF5F9B">
        <w:rPr>
          <w:rFonts w:ascii="Times New Roman" w:eastAsia="Times New Roman" w:hAnsi="Times New Roman"/>
          <w:lang w:eastAsia="ar-SA"/>
        </w:rPr>
        <w:t xml:space="preserve">then </w:t>
      </w:r>
      <w:r w:rsidR="00AE3A59">
        <w:rPr>
          <w:rFonts w:ascii="Times New Roman" w:eastAsia="Times New Roman" w:hAnsi="Times New Roman"/>
          <w:lang w:eastAsia="ar-SA"/>
        </w:rPr>
        <w:t xml:space="preserve">merely </w:t>
      </w:r>
      <w:r w:rsidR="00CA65F4">
        <w:rPr>
          <w:rFonts w:ascii="Times New Roman" w:eastAsia="Times New Roman" w:hAnsi="Times New Roman"/>
          <w:lang w:eastAsia="ar-SA"/>
        </w:rPr>
        <w:t>noted</w:t>
      </w:r>
      <w:r w:rsidR="00234216">
        <w:rPr>
          <w:rFonts w:ascii="Times New Roman" w:eastAsia="Times New Roman" w:hAnsi="Times New Roman"/>
          <w:lang w:eastAsia="ar-SA"/>
        </w:rPr>
        <w:t xml:space="preserve"> </w:t>
      </w:r>
      <w:r w:rsidR="000B625A">
        <w:rPr>
          <w:rFonts w:ascii="Times New Roman" w:eastAsia="Times New Roman" w:hAnsi="Times New Roman"/>
          <w:lang w:eastAsia="ar-SA"/>
        </w:rPr>
        <w:t xml:space="preserve">for its R&amp;D activity </w:t>
      </w:r>
      <w:r w:rsidR="00234216">
        <w:rPr>
          <w:rFonts w:ascii="Times New Roman" w:eastAsia="Times New Roman" w:hAnsi="Times New Roman"/>
          <w:lang w:eastAsia="ar-SA"/>
        </w:rPr>
        <w:t>alongside other</w:t>
      </w:r>
      <w:r w:rsidR="002D301B" w:rsidRPr="002D301B">
        <w:rPr>
          <w:rFonts w:ascii="Times New Roman" w:eastAsia="Times New Roman" w:hAnsi="Times New Roman"/>
          <w:lang w:eastAsia="ar-SA"/>
        </w:rPr>
        <w:t xml:space="preserve"> emerging major economies</w:t>
      </w:r>
      <w:r w:rsidR="00E145A6">
        <w:rPr>
          <w:rFonts w:ascii="Times New Roman" w:eastAsia="Times New Roman" w:hAnsi="Times New Roman"/>
          <w:lang w:eastAsia="ar-SA"/>
        </w:rPr>
        <w:t>,</w:t>
      </w:r>
      <w:r w:rsidR="00C53F26">
        <w:rPr>
          <w:rFonts w:ascii="Times New Roman" w:eastAsia="Times New Roman" w:hAnsi="Times New Roman"/>
          <w:lang w:eastAsia="ar-SA"/>
        </w:rPr>
        <w:t xml:space="preserve"> </w:t>
      </w:r>
      <w:r w:rsidR="000B625A">
        <w:rPr>
          <w:rFonts w:ascii="Times New Roman" w:eastAsia="Times New Roman" w:hAnsi="Times New Roman"/>
          <w:lang w:eastAsia="ar-SA"/>
        </w:rPr>
        <w:t xml:space="preserve">including </w:t>
      </w:r>
      <w:r w:rsidR="002D301B" w:rsidRPr="002D301B">
        <w:rPr>
          <w:rFonts w:ascii="Times New Roman" w:eastAsia="Times New Roman" w:hAnsi="Times New Roman"/>
          <w:lang w:eastAsia="ar-SA"/>
        </w:rPr>
        <w:t>Brazil, India</w:t>
      </w:r>
      <w:r w:rsidR="007B1836">
        <w:rPr>
          <w:rFonts w:ascii="Times New Roman" w:eastAsia="Times New Roman" w:hAnsi="Times New Roman"/>
          <w:lang w:eastAsia="ar-SA"/>
        </w:rPr>
        <w:t xml:space="preserve">, </w:t>
      </w:r>
      <w:r w:rsidR="002D301B" w:rsidRPr="002D301B">
        <w:rPr>
          <w:rFonts w:ascii="Times New Roman" w:eastAsia="Times New Roman" w:hAnsi="Times New Roman"/>
          <w:lang w:eastAsia="ar-SA"/>
        </w:rPr>
        <w:t>Mexico, Argentina, South Africa and Singapore</w:t>
      </w:r>
      <w:r w:rsidR="004203D6">
        <w:rPr>
          <w:rFonts w:ascii="Times New Roman" w:eastAsia="Times New Roman" w:hAnsi="Times New Roman"/>
          <w:lang w:eastAsia="ar-SA"/>
        </w:rPr>
        <w:t xml:space="preserve"> </w:t>
      </w:r>
      <w:r w:rsidR="00283B5A">
        <w:rPr>
          <w:rFonts w:ascii="Times New Roman" w:eastAsia="Times New Roman" w:hAnsi="Times New Roman"/>
          <w:lang w:eastAsia="ar-SA"/>
        </w:rPr>
        <w:fldChar w:fldCharType="begin" w:fldLock="1"/>
      </w:r>
      <w:r w:rsidR="00283B5A">
        <w:rPr>
          <w:rFonts w:ascii="Times New Roman" w:eastAsia="Times New Roman" w:hAnsi="Times New Roman"/>
          <w:lang w:eastAsia="ar-SA"/>
        </w:rPr>
        <w:instrText>ADDIN CSL_CITATION {"citationItems":[{"id":"ITEM-1","itemData":{"DOI":"10.1371/journal.pone.0034368","ISSN":"1932-6203","author":[{"dropping-particle":"","family":"Oldham","given":"Paul","non-dropping-particle":"","parse-names":false,"suffix":""},{"dropping-particle":"","family":"Hall","given":"Stephen","non-dropping-particle":"","parse-names":false,"suffix":""},{"dropping-particle":"","family":"Burton","given":"Geoff","non-dropping-particle":"","parse-names":false,"suffix":""}],"container-title":"PLoS ONE","editor":[{"dropping-particle":"","family":"Gilbert","given":"Jack Anthony","non-dropping-particle":"","parse-names":false,"suffix":""}],"id":"ITEM-1","issue":"4","issued":{"date-parts":[["2012","4","23"]]},"page":"e34368","title":"Synthetic Biology: Mapping the Scientific Landscape","type":"article-journal","volume":"7"},"uris":["http://www.mendeley.com/documents/?uuid=b49f12df-f2ec-49b8-8daa-c01155609037"]}],"mendeley":{"formattedCitation":"(Oldham et al., 2012)","plainTextFormattedCitation":"(Oldham et al., 2012)","previouslyFormattedCitation":"(Oldham et al., 2012)"},"properties":{"noteIndex":0},"schema":"https://github.com/citation-style-language/schema/raw/master/csl-citation.json"}</w:instrText>
      </w:r>
      <w:r w:rsidR="00283B5A">
        <w:rPr>
          <w:rFonts w:ascii="Times New Roman" w:eastAsia="Times New Roman" w:hAnsi="Times New Roman"/>
          <w:lang w:eastAsia="ar-SA"/>
        </w:rPr>
        <w:fldChar w:fldCharType="separate"/>
      </w:r>
      <w:r w:rsidR="00283B5A" w:rsidRPr="00283B5A">
        <w:rPr>
          <w:rFonts w:ascii="Times New Roman" w:eastAsia="Times New Roman" w:hAnsi="Times New Roman"/>
          <w:noProof/>
          <w:lang w:eastAsia="ar-SA"/>
        </w:rPr>
        <w:t>(Oldham et al., 2012)</w:t>
      </w:r>
      <w:r w:rsidR="00283B5A">
        <w:rPr>
          <w:rFonts w:ascii="Times New Roman" w:eastAsia="Times New Roman" w:hAnsi="Times New Roman"/>
          <w:lang w:eastAsia="ar-SA"/>
        </w:rPr>
        <w:fldChar w:fldCharType="end"/>
      </w:r>
      <w:r w:rsidR="006F6FDE">
        <w:rPr>
          <w:rFonts w:ascii="Times New Roman" w:eastAsia="Times New Roman" w:hAnsi="Times New Roman"/>
          <w:lang w:eastAsia="ar-SA"/>
        </w:rPr>
        <w:t>.</w:t>
      </w:r>
      <w:r w:rsidR="00982D15">
        <w:rPr>
          <w:rFonts w:ascii="Times New Roman" w:eastAsia="Times New Roman" w:hAnsi="Times New Roman"/>
          <w:lang w:eastAsia="ar-SA"/>
        </w:rPr>
        <w:t xml:space="preserve"> </w:t>
      </w:r>
    </w:p>
    <w:p w14:paraId="5F6C049B" w14:textId="4CE29F9F" w:rsidR="003D3BEA" w:rsidRPr="00CA7460" w:rsidRDefault="003D3BEA" w:rsidP="004155FD">
      <w:pPr>
        <w:pStyle w:val="Heading4"/>
        <w:rPr>
          <w:rFonts w:asciiTheme="majorBidi" w:hAnsiTheme="majorBidi" w:cstheme="majorBidi"/>
          <w:b w:val="0"/>
          <w:lang w:val="en-US"/>
        </w:rPr>
      </w:pPr>
      <w:r w:rsidRPr="00CA7460">
        <w:rPr>
          <w:rFonts w:asciiTheme="majorBidi" w:hAnsiTheme="majorBidi" w:cstheme="majorBidi"/>
          <w:i w:val="0"/>
        </w:rPr>
        <w:t>8.1.7</w:t>
      </w:r>
      <w:r w:rsidR="00E81E5A" w:rsidRPr="00CA7460">
        <w:rPr>
          <w:rFonts w:asciiTheme="majorBidi" w:hAnsiTheme="majorBidi" w:cstheme="majorBidi"/>
          <w:i w:val="0"/>
        </w:rPr>
        <w:t>.</w:t>
      </w:r>
      <w:r w:rsidRPr="00CA7460">
        <w:rPr>
          <w:rFonts w:asciiTheme="majorBidi" w:hAnsiTheme="majorBidi" w:cstheme="majorBidi"/>
          <w:i w:val="0"/>
        </w:rPr>
        <w:t xml:space="preserve"> </w:t>
      </w:r>
      <w:r w:rsidR="001B4652" w:rsidRPr="00CA7460">
        <w:rPr>
          <w:rFonts w:asciiTheme="majorBidi" w:hAnsiTheme="majorBidi" w:cstheme="majorBidi"/>
          <w:i w:val="0"/>
          <w:lang w:val="en-GB"/>
        </w:rPr>
        <w:t>P</w:t>
      </w:r>
      <w:r w:rsidRPr="00CA7460">
        <w:rPr>
          <w:rFonts w:asciiTheme="majorBidi" w:hAnsiTheme="majorBidi" w:cstheme="majorBidi"/>
          <w:i w:val="0"/>
        </w:rPr>
        <w:t>rovisions</w:t>
      </w:r>
      <w:r w:rsidR="001B4652" w:rsidRPr="00CA7460">
        <w:rPr>
          <w:rFonts w:asciiTheme="majorBidi" w:hAnsiTheme="majorBidi" w:cstheme="majorBidi"/>
          <w:i w:val="0"/>
          <w:iCs/>
          <w:lang w:val="en-GB"/>
        </w:rPr>
        <w:t xml:space="preserve"> </w:t>
      </w:r>
      <w:r w:rsidR="001B4652" w:rsidRPr="00CA7460">
        <w:rPr>
          <w:rFonts w:asciiTheme="majorBidi" w:hAnsiTheme="majorBidi" w:cstheme="majorBidi"/>
          <w:i w:val="0"/>
        </w:rPr>
        <w:t xml:space="preserve">related to </w:t>
      </w:r>
      <w:r w:rsidR="000627B6" w:rsidRPr="00CA7460">
        <w:rPr>
          <w:rFonts w:asciiTheme="majorBidi" w:hAnsiTheme="majorBidi" w:cstheme="majorBidi"/>
          <w:i w:val="0"/>
        </w:rPr>
        <w:t xml:space="preserve">Indigenous Peoples </w:t>
      </w:r>
      <w:r w:rsidR="0092264A" w:rsidRPr="00CA7460">
        <w:rPr>
          <w:rFonts w:asciiTheme="majorBidi" w:hAnsiTheme="majorBidi" w:cstheme="majorBidi"/>
          <w:i w:val="0"/>
        </w:rPr>
        <w:t>a</w:t>
      </w:r>
      <w:r w:rsidR="000627B6" w:rsidRPr="00CA7460">
        <w:rPr>
          <w:rFonts w:asciiTheme="majorBidi" w:hAnsiTheme="majorBidi" w:cstheme="majorBidi"/>
          <w:i w:val="0"/>
        </w:rPr>
        <w:t>nd Local Communities</w:t>
      </w:r>
      <w:r w:rsidR="00CD11C5" w:rsidRPr="00CA7460">
        <w:rPr>
          <w:rFonts w:asciiTheme="majorBidi" w:hAnsiTheme="majorBidi" w:cstheme="majorBidi"/>
          <w:i w:val="0"/>
        </w:rPr>
        <w:t xml:space="preserve"> (Articles 8(j) and 10</w:t>
      </w:r>
      <w:r w:rsidR="00CD11C5" w:rsidRPr="00CA7460">
        <w:rPr>
          <w:rFonts w:asciiTheme="majorBidi" w:hAnsiTheme="majorBidi" w:cstheme="majorBidi"/>
          <w:i w:val="0"/>
          <w:iCs/>
          <w:lang w:val="en-GB"/>
        </w:rPr>
        <w:t>(c)</w:t>
      </w:r>
      <w:r w:rsidR="00CD11C5" w:rsidRPr="00CA7460">
        <w:rPr>
          <w:rFonts w:asciiTheme="majorBidi" w:hAnsiTheme="majorBidi" w:cstheme="majorBidi"/>
          <w:i w:val="0"/>
        </w:rPr>
        <w:t>)</w:t>
      </w:r>
      <w:r w:rsidR="00E81E5A" w:rsidRPr="00CA7460">
        <w:rPr>
          <w:rFonts w:asciiTheme="majorBidi" w:hAnsiTheme="majorBidi" w:cstheme="majorBidi"/>
          <w:i w:val="0"/>
        </w:rPr>
        <w:t>.</w:t>
      </w:r>
    </w:p>
    <w:p w14:paraId="40E38077" w14:textId="48DFAE2D" w:rsidR="001B7903" w:rsidRDefault="008F61CC" w:rsidP="002943EB">
      <w:pPr>
        <w:spacing w:line="240" w:lineRule="auto"/>
        <w:jc w:val="both"/>
        <w:rPr>
          <w:rFonts w:ascii="Times New Roman" w:eastAsia="Times New Roman" w:hAnsi="Times New Roman"/>
        </w:rPr>
      </w:pPr>
      <w:r>
        <w:rPr>
          <w:rFonts w:ascii="Times New Roman" w:eastAsia="Times New Roman" w:hAnsi="Times New Roman"/>
        </w:rPr>
        <w:t>T</w:t>
      </w:r>
      <w:r w:rsidR="001B7903" w:rsidRPr="001B7903">
        <w:rPr>
          <w:rFonts w:ascii="Times New Roman" w:eastAsia="Times New Roman" w:hAnsi="Times New Roman"/>
        </w:rPr>
        <w:t xml:space="preserve">he preamble to the Convention </w:t>
      </w:r>
      <w:r>
        <w:rPr>
          <w:rFonts w:ascii="Times New Roman" w:eastAsia="Times New Roman" w:hAnsi="Times New Roman"/>
        </w:rPr>
        <w:t>r</w:t>
      </w:r>
      <w:r w:rsidRPr="008F61CC">
        <w:rPr>
          <w:rFonts w:ascii="Times New Roman" w:eastAsia="Times New Roman" w:hAnsi="Times New Roman"/>
        </w:rPr>
        <w:t>ecogni</w:t>
      </w:r>
      <w:r w:rsidR="002B3BC7">
        <w:rPr>
          <w:rFonts w:ascii="Times New Roman" w:eastAsia="Times New Roman" w:hAnsi="Times New Roman"/>
        </w:rPr>
        <w:t>s</w:t>
      </w:r>
      <w:r>
        <w:rPr>
          <w:rFonts w:ascii="Times New Roman" w:eastAsia="Times New Roman" w:hAnsi="Times New Roman"/>
        </w:rPr>
        <w:t>es</w:t>
      </w:r>
      <w:r w:rsidRPr="008F61CC">
        <w:rPr>
          <w:rFonts w:ascii="Times New Roman" w:eastAsia="Times New Roman" w:hAnsi="Times New Roman"/>
        </w:rPr>
        <w:t xml:space="preserve"> </w:t>
      </w:r>
      <w:r>
        <w:rPr>
          <w:rFonts w:ascii="Times New Roman" w:eastAsia="Times New Roman" w:hAnsi="Times New Roman"/>
        </w:rPr>
        <w:t>“</w:t>
      </w:r>
      <w:r w:rsidRPr="0036711B">
        <w:rPr>
          <w:rFonts w:ascii="Times New Roman" w:eastAsia="Times New Roman" w:hAnsi="Times New Roman"/>
          <w:i/>
        </w:rPr>
        <w:t>the close and traditional dependence of many indigenous and local communities embodying traditional lifestyles on biological resources, and the desirability of sharing equitably benefits arising from the use of traditional knowledge, innovations and practices relevant to the conservation of biological diversity and the sustainable use of its components</w:t>
      </w:r>
      <w:r w:rsidR="006C7DD5">
        <w:rPr>
          <w:rFonts w:ascii="Times New Roman" w:eastAsia="Times New Roman" w:hAnsi="Times New Roman"/>
        </w:rPr>
        <w:t>”.</w:t>
      </w:r>
    </w:p>
    <w:p w14:paraId="0C006E6A" w14:textId="3275EEB6" w:rsidR="001B0BC3" w:rsidRDefault="000627B6" w:rsidP="0036711B">
      <w:pPr>
        <w:spacing w:after="120" w:line="240" w:lineRule="auto"/>
        <w:jc w:val="both"/>
        <w:rPr>
          <w:rFonts w:ascii="Times New Roman" w:eastAsia="Times New Roman" w:hAnsi="Times New Roman"/>
        </w:rPr>
      </w:pPr>
      <w:r>
        <w:rPr>
          <w:rFonts w:ascii="Times New Roman" w:eastAsia="Times New Roman" w:hAnsi="Times New Roman"/>
        </w:rPr>
        <w:t>S</w:t>
      </w:r>
      <w:r w:rsidR="00BF3528">
        <w:rPr>
          <w:rFonts w:ascii="Times New Roman" w:eastAsia="Times New Roman" w:hAnsi="Times New Roman"/>
        </w:rPr>
        <w:t xml:space="preserve">ubstantive provisions </w:t>
      </w:r>
      <w:r>
        <w:rPr>
          <w:rFonts w:ascii="Times New Roman" w:eastAsia="Times New Roman" w:hAnsi="Times New Roman"/>
        </w:rPr>
        <w:t xml:space="preserve">of the Convention </w:t>
      </w:r>
      <w:r w:rsidR="00027204">
        <w:rPr>
          <w:rFonts w:ascii="Times New Roman" w:eastAsia="Times New Roman" w:hAnsi="Times New Roman"/>
        </w:rPr>
        <w:t>that</w:t>
      </w:r>
      <w:r>
        <w:rPr>
          <w:rFonts w:ascii="Times New Roman" w:eastAsia="Times New Roman" w:hAnsi="Times New Roman"/>
        </w:rPr>
        <w:t xml:space="preserve"> are most relevant to IPLCs</w:t>
      </w:r>
      <w:r w:rsidR="00BF3528" w:rsidRPr="008F61CC">
        <w:rPr>
          <w:rFonts w:ascii="Times New Roman" w:eastAsia="Times New Roman" w:hAnsi="Times New Roman"/>
        </w:rPr>
        <w:t xml:space="preserve"> </w:t>
      </w:r>
      <w:r w:rsidR="00BF3528">
        <w:rPr>
          <w:rFonts w:ascii="Times New Roman" w:eastAsia="Times New Roman" w:hAnsi="Times New Roman"/>
        </w:rPr>
        <w:t>include</w:t>
      </w:r>
      <w:r w:rsidR="001E42E4">
        <w:rPr>
          <w:rFonts w:ascii="Times New Roman" w:eastAsia="Times New Roman" w:hAnsi="Times New Roman"/>
        </w:rPr>
        <w:t xml:space="preserve"> </w:t>
      </w:r>
      <w:r w:rsidR="00D64BC7">
        <w:rPr>
          <w:rFonts w:ascii="Times New Roman" w:eastAsia="Times New Roman" w:hAnsi="Times New Roman"/>
        </w:rPr>
        <w:t xml:space="preserve">Article 8 </w:t>
      </w:r>
      <w:r w:rsidR="00893BB7">
        <w:rPr>
          <w:rFonts w:ascii="Times New Roman" w:eastAsia="Times New Roman" w:hAnsi="Times New Roman"/>
        </w:rPr>
        <w:t xml:space="preserve">which </w:t>
      </w:r>
      <w:r w:rsidR="00D64BC7">
        <w:rPr>
          <w:rFonts w:ascii="Times New Roman" w:eastAsia="Times New Roman" w:hAnsi="Times New Roman"/>
        </w:rPr>
        <w:t>address</w:t>
      </w:r>
      <w:r w:rsidR="00893BB7">
        <w:rPr>
          <w:rFonts w:ascii="Times New Roman" w:eastAsia="Times New Roman" w:hAnsi="Times New Roman"/>
        </w:rPr>
        <w:t>es</w:t>
      </w:r>
      <w:r w:rsidR="00D64BC7">
        <w:rPr>
          <w:rFonts w:ascii="Times New Roman" w:eastAsia="Times New Roman" w:hAnsi="Times New Roman"/>
        </w:rPr>
        <w:t xml:space="preserve"> </w:t>
      </w:r>
      <w:r w:rsidR="00D64BC7" w:rsidRPr="008E0F61">
        <w:rPr>
          <w:rFonts w:ascii="Times New Roman" w:eastAsia="Times New Roman" w:hAnsi="Times New Roman"/>
          <w:i/>
          <w:iCs/>
        </w:rPr>
        <w:t>in</w:t>
      </w:r>
      <w:r w:rsidR="008E0F61">
        <w:rPr>
          <w:rFonts w:ascii="Times New Roman" w:eastAsia="Times New Roman" w:hAnsi="Times New Roman"/>
          <w:i/>
          <w:iCs/>
        </w:rPr>
        <w:t xml:space="preserve"> </w:t>
      </w:r>
      <w:r w:rsidR="00D64BC7" w:rsidRPr="008E0F61">
        <w:rPr>
          <w:rFonts w:ascii="Times New Roman" w:eastAsia="Times New Roman" w:hAnsi="Times New Roman"/>
          <w:i/>
          <w:iCs/>
        </w:rPr>
        <w:t>situ</w:t>
      </w:r>
      <w:r w:rsidR="00D64BC7" w:rsidRPr="00AE27B4">
        <w:rPr>
          <w:rFonts w:ascii="Times New Roman" w:eastAsia="Times New Roman" w:hAnsi="Times New Roman"/>
        </w:rPr>
        <w:t xml:space="preserve"> </w:t>
      </w:r>
      <w:r w:rsidR="00D64BC7">
        <w:rPr>
          <w:rFonts w:ascii="Times New Roman" w:eastAsia="Times New Roman" w:hAnsi="Times New Roman"/>
        </w:rPr>
        <w:t>c</w:t>
      </w:r>
      <w:r w:rsidR="00D64BC7" w:rsidRPr="00AE27B4">
        <w:rPr>
          <w:rFonts w:ascii="Times New Roman" w:eastAsia="Times New Roman" w:hAnsi="Times New Roman"/>
        </w:rPr>
        <w:t>onservation</w:t>
      </w:r>
      <w:r w:rsidR="001E42E4">
        <w:rPr>
          <w:rFonts w:ascii="Times New Roman" w:eastAsia="Times New Roman" w:hAnsi="Times New Roman"/>
        </w:rPr>
        <w:t>,</w:t>
      </w:r>
      <w:r w:rsidR="00D64BC7">
        <w:rPr>
          <w:rFonts w:ascii="Times New Roman" w:eastAsia="Times New Roman" w:hAnsi="Times New Roman"/>
        </w:rPr>
        <w:t xml:space="preserve"> and </w:t>
      </w:r>
      <w:r w:rsidR="00BF3528" w:rsidRPr="00BF3528">
        <w:rPr>
          <w:rFonts w:ascii="Times New Roman" w:eastAsia="Times New Roman" w:hAnsi="Times New Roman"/>
        </w:rPr>
        <w:t xml:space="preserve">Article 10 </w:t>
      </w:r>
      <w:r w:rsidR="00893BB7">
        <w:rPr>
          <w:rFonts w:ascii="Times New Roman" w:eastAsia="Times New Roman" w:hAnsi="Times New Roman"/>
        </w:rPr>
        <w:t xml:space="preserve">which addresses </w:t>
      </w:r>
      <w:r w:rsidR="00BF3528" w:rsidRPr="00BF3528">
        <w:rPr>
          <w:rFonts w:ascii="Times New Roman" w:eastAsia="Times New Roman" w:hAnsi="Times New Roman"/>
        </w:rPr>
        <w:t>sustainable use of components of biological diversity</w:t>
      </w:r>
      <w:r w:rsidR="00893BB7">
        <w:rPr>
          <w:rFonts w:ascii="Times New Roman" w:eastAsia="Times New Roman" w:hAnsi="Times New Roman"/>
        </w:rPr>
        <w:t>.</w:t>
      </w:r>
      <w:r w:rsidR="00563B82">
        <w:rPr>
          <w:rFonts w:ascii="Times New Roman" w:eastAsia="Times New Roman" w:hAnsi="Times New Roman"/>
        </w:rPr>
        <w:t xml:space="preserve"> </w:t>
      </w:r>
      <w:r w:rsidR="00893BB7">
        <w:rPr>
          <w:rFonts w:ascii="Times New Roman" w:eastAsia="Times New Roman" w:hAnsi="Times New Roman"/>
        </w:rPr>
        <w:t xml:space="preserve">Specifically, </w:t>
      </w:r>
      <w:r w:rsidR="00CB1279">
        <w:rPr>
          <w:rFonts w:ascii="Times New Roman" w:eastAsia="Times New Roman" w:hAnsi="Times New Roman"/>
        </w:rPr>
        <w:t>A</w:t>
      </w:r>
      <w:r w:rsidR="000220EC" w:rsidRPr="0036711B">
        <w:rPr>
          <w:rFonts w:ascii="Times New Roman" w:eastAsia="Times New Roman" w:hAnsi="Times New Roman"/>
        </w:rPr>
        <w:t>rticle 8</w:t>
      </w:r>
      <w:r w:rsidR="006E102C">
        <w:rPr>
          <w:rFonts w:ascii="Times New Roman" w:eastAsia="Times New Roman" w:hAnsi="Times New Roman"/>
        </w:rPr>
        <w:t xml:space="preserve"> </w:t>
      </w:r>
      <w:r w:rsidR="000220EC" w:rsidRPr="00714FFC">
        <w:rPr>
          <w:rFonts w:ascii="Times New Roman" w:eastAsia="Times New Roman" w:hAnsi="Times New Roman"/>
        </w:rPr>
        <w:t xml:space="preserve">(j) </w:t>
      </w:r>
      <w:r w:rsidR="00BA7EC2" w:rsidRPr="0036711B">
        <w:rPr>
          <w:rFonts w:ascii="Times New Roman" w:eastAsia="Times New Roman" w:hAnsi="Times New Roman"/>
        </w:rPr>
        <w:t>provides that “</w:t>
      </w:r>
      <w:r w:rsidR="000220EC" w:rsidRPr="0036711B">
        <w:rPr>
          <w:rFonts w:ascii="Times New Roman" w:eastAsia="Times New Roman" w:hAnsi="Times New Roman"/>
          <w:i/>
        </w:rPr>
        <w:t>Subject to its national legislation, respect, preserve and maintain knowledge, innovations and practices of indigenous and local communities embodying traditional lifestyles relevant for the conservation and sustainable use of biological diversity and promote their wider application with the approval and involvement of the holders of such knowledge, innovations and practices and encourage the equitable sharing of the benefits arising from the utilization of such knowledge, innovations and practices</w:t>
      </w:r>
      <w:r w:rsidR="00C82402">
        <w:rPr>
          <w:rFonts w:ascii="Times New Roman" w:eastAsia="Times New Roman" w:hAnsi="Times New Roman"/>
        </w:rPr>
        <w:t>”.</w:t>
      </w:r>
      <w:r w:rsidR="0002799B">
        <w:rPr>
          <w:rFonts w:ascii="Times New Roman" w:eastAsia="Times New Roman" w:hAnsi="Times New Roman"/>
        </w:rPr>
        <w:t xml:space="preserve"> </w:t>
      </w:r>
      <w:r w:rsidR="001B0BC3">
        <w:rPr>
          <w:rFonts w:ascii="Times New Roman" w:eastAsia="Times New Roman" w:hAnsi="Times New Roman"/>
        </w:rPr>
        <w:t xml:space="preserve">Additionally, </w:t>
      </w:r>
      <w:r w:rsidR="006E102C">
        <w:rPr>
          <w:rFonts w:ascii="Times New Roman" w:eastAsia="Times New Roman" w:hAnsi="Times New Roman"/>
        </w:rPr>
        <w:t xml:space="preserve">under </w:t>
      </w:r>
      <w:r w:rsidR="001B0BC3">
        <w:rPr>
          <w:rFonts w:ascii="Times New Roman" w:eastAsia="Times New Roman" w:hAnsi="Times New Roman"/>
        </w:rPr>
        <w:t>Article 1</w:t>
      </w:r>
      <w:r w:rsidR="006E102C">
        <w:rPr>
          <w:rFonts w:ascii="Times New Roman" w:eastAsia="Times New Roman" w:hAnsi="Times New Roman"/>
        </w:rPr>
        <w:t xml:space="preserve">0 </w:t>
      </w:r>
      <w:r w:rsidR="001B0BC3" w:rsidRPr="001B0BC3">
        <w:rPr>
          <w:rFonts w:ascii="Times New Roman" w:eastAsia="Times New Roman" w:hAnsi="Times New Roman"/>
        </w:rPr>
        <w:t xml:space="preserve">(c) </w:t>
      </w:r>
      <w:r w:rsidR="006E102C">
        <w:rPr>
          <w:rFonts w:ascii="Times New Roman" w:eastAsia="Times New Roman" w:hAnsi="Times New Roman"/>
        </w:rPr>
        <w:t xml:space="preserve">Contracting </w:t>
      </w:r>
      <w:r w:rsidR="001B0BC3" w:rsidRPr="001B0BC3">
        <w:rPr>
          <w:rFonts w:ascii="Times New Roman" w:eastAsia="Times New Roman" w:hAnsi="Times New Roman"/>
        </w:rPr>
        <w:t>P</w:t>
      </w:r>
      <w:r w:rsidR="003365F0">
        <w:rPr>
          <w:rFonts w:ascii="Times New Roman" w:eastAsia="Times New Roman" w:hAnsi="Times New Roman"/>
        </w:rPr>
        <w:t>arties are required, as far as possible and appropriate, to “</w:t>
      </w:r>
      <w:r w:rsidR="003365F0" w:rsidRPr="0036711B">
        <w:rPr>
          <w:rFonts w:ascii="Times New Roman" w:eastAsia="Times New Roman" w:hAnsi="Times New Roman"/>
          <w:i/>
        </w:rPr>
        <w:t>p</w:t>
      </w:r>
      <w:r w:rsidR="001B0BC3" w:rsidRPr="0036711B">
        <w:rPr>
          <w:rFonts w:ascii="Times New Roman" w:eastAsia="Times New Roman" w:hAnsi="Times New Roman"/>
          <w:i/>
        </w:rPr>
        <w:t>rotect and encourage customary use of biological resources in accordance with traditional cultural practices that are compatible with conservation or sustainable use requirements</w:t>
      </w:r>
      <w:r w:rsidR="003365F0">
        <w:rPr>
          <w:rFonts w:ascii="Times New Roman" w:eastAsia="Times New Roman" w:hAnsi="Times New Roman"/>
        </w:rPr>
        <w:t>”.</w:t>
      </w:r>
    </w:p>
    <w:p w14:paraId="261875BB" w14:textId="17F1D71D" w:rsidR="002E6006" w:rsidRDefault="0034516C" w:rsidP="0036711B">
      <w:pPr>
        <w:spacing w:after="120" w:line="240" w:lineRule="auto"/>
        <w:jc w:val="both"/>
        <w:rPr>
          <w:rFonts w:ascii="Times New Roman" w:eastAsia="Times New Roman" w:hAnsi="Times New Roman"/>
        </w:rPr>
      </w:pPr>
      <w:r>
        <w:rPr>
          <w:rFonts w:ascii="Times New Roman" w:eastAsia="Times New Roman" w:hAnsi="Times New Roman"/>
        </w:rPr>
        <w:t>T</w:t>
      </w:r>
      <w:r w:rsidR="009B02A9">
        <w:rPr>
          <w:rFonts w:ascii="Times New Roman" w:eastAsia="Times New Roman" w:hAnsi="Times New Roman"/>
        </w:rPr>
        <w:t xml:space="preserve">he </w:t>
      </w:r>
      <w:r w:rsidR="00836CA3">
        <w:rPr>
          <w:rFonts w:ascii="Times New Roman" w:eastAsia="Times New Roman" w:hAnsi="Times New Roman"/>
        </w:rPr>
        <w:t xml:space="preserve">Parties have </w:t>
      </w:r>
      <w:r w:rsidR="00EA1101">
        <w:rPr>
          <w:rFonts w:ascii="Times New Roman" w:eastAsia="Times New Roman" w:hAnsi="Times New Roman"/>
        </w:rPr>
        <w:t>approved guidelines</w:t>
      </w:r>
      <w:r w:rsidR="00E972F2" w:rsidRPr="00FA3281">
        <w:rPr>
          <w:rFonts w:ascii="Times New Roman" w:eastAsia="Times New Roman" w:hAnsi="Times New Roman"/>
        </w:rPr>
        <w:t xml:space="preserve"> </w:t>
      </w:r>
      <w:r w:rsidR="00EA1101">
        <w:rPr>
          <w:rFonts w:ascii="Times New Roman" w:eastAsia="Times New Roman" w:hAnsi="Times New Roman"/>
        </w:rPr>
        <w:t xml:space="preserve">and other tools </w:t>
      </w:r>
      <w:r w:rsidR="00440274">
        <w:rPr>
          <w:rFonts w:ascii="Times New Roman" w:eastAsia="Times New Roman" w:hAnsi="Times New Roman"/>
        </w:rPr>
        <w:t xml:space="preserve">to facilitate </w:t>
      </w:r>
      <w:r w:rsidR="002B3BC7">
        <w:rPr>
          <w:rFonts w:ascii="Times New Roman" w:eastAsia="Times New Roman" w:hAnsi="Times New Roman"/>
        </w:rPr>
        <w:t xml:space="preserve">the </w:t>
      </w:r>
      <w:r w:rsidR="00440274">
        <w:rPr>
          <w:rFonts w:ascii="Times New Roman" w:eastAsia="Times New Roman" w:hAnsi="Times New Roman"/>
        </w:rPr>
        <w:t xml:space="preserve">implementation of </w:t>
      </w:r>
      <w:r w:rsidR="00E972F2" w:rsidRPr="00FA3281">
        <w:rPr>
          <w:rFonts w:ascii="Times New Roman" w:eastAsia="Times New Roman" w:hAnsi="Times New Roman"/>
        </w:rPr>
        <w:t>Article 8 (j) and related provisions</w:t>
      </w:r>
      <w:r w:rsidR="0013374E">
        <w:rPr>
          <w:rFonts w:ascii="Times New Roman" w:eastAsia="Times New Roman" w:hAnsi="Times New Roman"/>
        </w:rPr>
        <w:t xml:space="preserve">. A number of these </w:t>
      </w:r>
      <w:r w:rsidR="00FE113C">
        <w:rPr>
          <w:rFonts w:ascii="Times New Roman" w:eastAsia="Times New Roman" w:hAnsi="Times New Roman"/>
        </w:rPr>
        <w:t xml:space="preserve">address </w:t>
      </w:r>
      <w:r w:rsidR="00432681">
        <w:rPr>
          <w:rFonts w:ascii="Times New Roman" w:eastAsia="Times New Roman" w:hAnsi="Times New Roman"/>
        </w:rPr>
        <w:t xml:space="preserve">the </w:t>
      </w:r>
      <w:r w:rsidR="008B71D9" w:rsidRPr="008B71D9">
        <w:rPr>
          <w:rFonts w:ascii="Times New Roman" w:eastAsia="Times New Roman" w:hAnsi="Times New Roman"/>
        </w:rPr>
        <w:t>prior informed consent of IPLC</w:t>
      </w:r>
      <w:r w:rsidR="006E6B0E">
        <w:rPr>
          <w:rFonts w:ascii="Times New Roman" w:eastAsia="Times New Roman" w:hAnsi="Times New Roman"/>
        </w:rPr>
        <w:t>s</w:t>
      </w:r>
      <w:r w:rsidR="00FE113C">
        <w:rPr>
          <w:rFonts w:ascii="Times New Roman" w:eastAsia="Times New Roman" w:hAnsi="Times New Roman"/>
        </w:rPr>
        <w:t xml:space="preserve"> and so are particularly</w:t>
      </w:r>
      <w:r w:rsidR="009814E5">
        <w:rPr>
          <w:rFonts w:ascii="Times New Roman" w:eastAsia="Times New Roman" w:hAnsi="Times New Roman"/>
        </w:rPr>
        <w:t xml:space="preserve"> relevant to </w:t>
      </w:r>
      <w:r w:rsidR="00993F09">
        <w:rPr>
          <w:rFonts w:ascii="Times New Roman" w:eastAsia="Times New Roman" w:hAnsi="Times New Roman"/>
        </w:rPr>
        <w:t>societal</w:t>
      </w:r>
      <w:r w:rsidR="00854070">
        <w:rPr>
          <w:rFonts w:ascii="Times New Roman" w:eastAsia="Times New Roman" w:hAnsi="Times New Roman"/>
        </w:rPr>
        <w:t xml:space="preserve"> </w:t>
      </w:r>
      <w:r w:rsidR="00226970">
        <w:rPr>
          <w:rFonts w:ascii="Times New Roman" w:eastAsia="Times New Roman" w:hAnsi="Times New Roman"/>
        </w:rPr>
        <w:t xml:space="preserve">concerns </w:t>
      </w:r>
      <w:r w:rsidR="002D05EC">
        <w:rPr>
          <w:rFonts w:ascii="Times New Roman" w:eastAsia="Times New Roman" w:hAnsi="Times New Roman"/>
        </w:rPr>
        <w:t xml:space="preserve">arising from the </w:t>
      </w:r>
      <w:r w:rsidR="009814E5">
        <w:rPr>
          <w:rFonts w:ascii="Times New Roman" w:eastAsia="Times New Roman" w:hAnsi="Times New Roman"/>
        </w:rPr>
        <w:t>application</w:t>
      </w:r>
      <w:r w:rsidR="002D05EC">
        <w:rPr>
          <w:rFonts w:ascii="Times New Roman" w:eastAsia="Times New Roman" w:hAnsi="Times New Roman"/>
        </w:rPr>
        <w:t xml:space="preserve"> </w:t>
      </w:r>
      <w:r w:rsidR="009814E5">
        <w:rPr>
          <w:rFonts w:ascii="Times New Roman" w:eastAsia="Times New Roman" w:hAnsi="Times New Roman"/>
        </w:rPr>
        <w:t>of synthetic biology research</w:t>
      </w:r>
      <w:r w:rsidR="00FE113C">
        <w:rPr>
          <w:rFonts w:ascii="Times New Roman" w:eastAsia="Times New Roman" w:hAnsi="Times New Roman"/>
        </w:rPr>
        <w:t xml:space="preserve"> </w:t>
      </w:r>
      <w:r w:rsidR="009814E5">
        <w:rPr>
          <w:rFonts w:ascii="Times New Roman" w:eastAsia="Times New Roman" w:hAnsi="Times New Roman"/>
        </w:rPr>
        <w:t>as</w:t>
      </w:r>
      <w:r w:rsidR="00EA3132">
        <w:rPr>
          <w:rFonts w:ascii="Times New Roman" w:eastAsia="Times New Roman" w:hAnsi="Times New Roman"/>
        </w:rPr>
        <w:t>,</w:t>
      </w:r>
      <w:r w:rsidR="009814E5">
        <w:rPr>
          <w:rFonts w:ascii="Times New Roman" w:eastAsia="Times New Roman" w:hAnsi="Times New Roman"/>
        </w:rPr>
        <w:t xml:space="preserve"> considered in Section 5</w:t>
      </w:r>
      <w:r w:rsidR="00F96D7E">
        <w:rPr>
          <w:rFonts w:ascii="Times New Roman" w:eastAsia="Times New Roman" w:hAnsi="Times New Roman"/>
        </w:rPr>
        <w:t>.1</w:t>
      </w:r>
      <w:r w:rsidR="00FA1EC1">
        <w:rPr>
          <w:rFonts w:ascii="Times New Roman" w:eastAsia="Times New Roman" w:hAnsi="Times New Roman"/>
        </w:rPr>
        <w:t>.</w:t>
      </w:r>
      <w:r w:rsidR="00F96D7E">
        <w:rPr>
          <w:rFonts w:ascii="Times New Roman" w:eastAsia="Times New Roman" w:hAnsi="Times New Roman"/>
        </w:rPr>
        <w:t>2</w:t>
      </w:r>
      <w:r w:rsidR="00226970">
        <w:rPr>
          <w:rFonts w:ascii="Times New Roman" w:eastAsia="Times New Roman" w:hAnsi="Times New Roman"/>
        </w:rPr>
        <w:t>.</w:t>
      </w:r>
      <w:r w:rsidR="00F96D7E">
        <w:rPr>
          <w:rFonts w:ascii="Times New Roman" w:eastAsia="Times New Roman" w:hAnsi="Times New Roman"/>
        </w:rPr>
        <w:t xml:space="preserve"> concerning IPLC’s specifically</w:t>
      </w:r>
      <w:r w:rsidR="00993F09">
        <w:rPr>
          <w:rFonts w:ascii="Times New Roman" w:eastAsia="Times New Roman" w:hAnsi="Times New Roman"/>
        </w:rPr>
        <w:t>,</w:t>
      </w:r>
      <w:r w:rsidR="00F96D7E">
        <w:rPr>
          <w:rFonts w:ascii="Times New Roman" w:eastAsia="Times New Roman" w:hAnsi="Times New Roman"/>
        </w:rPr>
        <w:t xml:space="preserve"> and also Section </w:t>
      </w:r>
      <w:r w:rsidR="00FA1EC1">
        <w:rPr>
          <w:rFonts w:ascii="Times New Roman" w:eastAsia="Times New Roman" w:hAnsi="Times New Roman"/>
        </w:rPr>
        <w:t>5.3</w:t>
      </w:r>
      <w:r w:rsidR="00226970">
        <w:rPr>
          <w:rFonts w:ascii="Times New Roman" w:eastAsia="Times New Roman" w:hAnsi="Times New Roman"/>
        </w:rPr>
        <w:t>.</w:t>
      </w:r>
      <w:r w:rsidR="00FA1EC1">
        <w:rPr>
          <w:rFonts w:ascii="Times New Roman" w:eastAsia="Times New Roman" w:hAnsi="Times New Roman"/>
        </w:rPr>
        <w:t xml:space="preserve"> concerning ethical concerns more generally. </w:t>
      </w:r>
      <w:r>
        <w:rPr>
          <w:rFonts w:ascii="Times New Roman" w:eastAsia="Times New Roman" w:hAnsi="Times New Roman"/>
        </w:rPr>
        <w:t>Notably, t</w:t>
      </w:r>
      <w:r w:rsidR="006D66DF">
        <w:rPr>
          <w:rFonts w:ascii="Times New Roman" w:eastAsia="Times New Roman" w:hAnsi="Times New Roman"/>
        </w:rPr>
        <w:t xml:space="preserve">hese </w:t>
      </w:r>
      <w:r w:rsidR="00F1394D">
        <w:rPr>
          <w:rFonts w:ascii="Times New Roman" w:eastAsia="Times New Roman" w:hAnsi="Times New Roman"/>
        </w:rPr>
        <w:t xml:space="preserve">guidelines and other tools </w:t>
      </w:r>
      <w:r w:rsidR="006D66DF">
        <w:rPr>
          <w:rFonts w:ascii="Times New Roman" w:eastAsia="Times New Roman" w:hAnsi="Times New Roman"/>
        </w:rPr>
        <w:t>include:</w:t>
      </w:r>
    </w:p>
    <w:p w14:paraId="6584ABAC" w14:textId="3D00AF3E" w:rsidR="00CB1279" w:rsidRPr="0036711B" w:rsidRDefault="00E932E6" w:rsidP="0036711B">
      <w:pPr>
        <w:pStyle w:val="ListParagraph"/>
        <w:numPr>
          <w:ilvl w:val="0"/>
          <w:numId w:val="218"/>
        </w:numPr>
        <w:spacing w:after="120" w:line="240" w:lineRule="auto"/>
        <w:ind w:left="284" w:hanging="284"/>
        <w:contextualSpacing w:val="0"/>
        <w:jc w:val="both"/>
        <w:rPr>
          <w:rFonts w:ascii="Times New Roman" w:eastAsia="Times New Roman" w:hAnsi="Times New Roman"/>
        </w:rPr>
      </w:pPr>
      <w:r>
        <w:rPr>
          <w:rFonts w:ascii="Times New Roman" w:eastAsia="Times New Roman" w:hAnsi="Times New Roman"/>
        </w:rPr>
        <w:t xml:space="preserve">At its </w:t>
      </w:r>
      <w:r w:rsidR="00C31873">
        <w:rPr>
          <w:rFonts w:ascii="Times New Roman" w:eastAsia="Times New Roman" w:hAnsi="Times New Roman"/>
        </w:rPr>
        <w:t>7</w:t>
      </w:r>
      <w:r w:rsidR="00C31873" w:rsidRPr="0036711B">
        <w:rPr>
          <w:rFonts w:ascii="Times New Roman" w:eastAsia="Times New Roman" w:hAnsi="Times New Roman"/>
          <w:vertAlign w:val="superscript"/>
        </w:rPr>
        <w:t>th</w:t>
      </w:r>
      <w:r w:rsidR="00C31873">
        <w:rPr>
          <w:rFonts w:ascii="Times New Roman" w:eastAsia="Times New Roman" w:hAnsi="Times New Roman"/>
        </w:rPr>
        <w:t xml:space="preserve"> meeting in 2004</w:t>
      </w:r>
      <w:r w:rsidR="006D66DF" w:rsidRPr="0036711B">
        <w:rPr>
          <w:rFonts w:ascii="Times New Roman" w:eastAsia="Times New Roman" w:hAnsi="Times New Roman"/>
        </w:rPr>
        <w:t>,</w:t>
      </w:r>
      <w:r w:rsidR="00582498" w:rsidRPr="0036711B">
        <w:rPr>
          <w:rFonts w:ascii="Times New Roman" w:eastAsia="Times New Roman" w:hAnsi="Times New Roman"/>
        </w:rPr>
        <w:t xml:space="preserve"> </w:t>
      </w:r>
      <w:r w:rsidR="009B02A9" w:rsidRPr="0036711B">
        <w:rPr>
          <w:rFonts w:ascii="Times New Roman" w:eastAsia="Times New Roman" w:hAnsi="Times New Roman"/>
        </w:rPr>
        <w:t xml:space="preserve">the </w:t>
      </w:r>
      <w:r w:rsidR="5A000ACB" w:rsidRPr="56F2F90C">
        <w:rPr>
          <w:rFonts w:ascii="Times New Roman" w:eastAsia="Times New Roman" w:hAnsi="Times New Roman"/>
        </w:rPr>
        <w:t xml:space="preserve">COP </w:t>
      </w:r>
      <w:r w:rsidR="00582498" w:rsidRPr="0036711B">
        <w:rPr>
          <w:rFonts w:ascii="Times New Roman" w:eastAsia="Times New Roman" w:hAnsi="Times New Roman"/>
        </w:rPr>
        <w:t xml:space="preserve">adopted </w:t>
      </w:r>
      <w:r w:rsidR="00B37F9D" w:rsidRPr="0036711B">
        <w:rPr>
          <w:rFonts w:ascii="Times New Roman" w:eastAsia="Times New Roman" w:hAnsi="Times New Roman"/>
        </w:rPr>
        <w:t>The Akwé: Kon Voluntary Guidelines for the Conduct of Cultural, Environmental and Social Impact Assessments Regarding Developments Proposed to Take Place on, or which are Likely to Impact on, Sacred Sites and on Lands and Waters Traditionally Occupied or Used by Indigenous and Local Communities</w:t>
      </w:r>
      <w:r w:rsidR="00FB7113" w:rsidRPr="0036711B">
        <w:rPr>
          <w:rFonts w:ascii="Times New Roman" w:eastAsia="Times New Roman" w:hAnsi="Times New Roman"/>
        </w:rPr>
        <w:t xml:space="preserve"> </w:t>
      </w:r>
      <w:r w:rsidR="00283B5A">
        <w:rPr>
          <w:rFonts w:ascii="Times New Roman" w:eastAsia="Times New Roman" w:hAnsi="Times New Roman"/>
        </w:rPr>
        <w:fldChar w:fldCharType="begin" w:fldLock="1"/>
      </w:r>
      <w:r w:rsidR="00283B5A">
        <w:rPr>
          <w:rFonts w:ascii="Times New Roman" w:eastAsia="Times New Roman" w:hAnsi="Times New Roman"/>
        </w:rPr>
        <w:instrText>ADDIN CSL_CITATION {"citationItems":[{"id":"ITEM-1","itemData":{"ISBN":"9292250108","abstract":"The guidelines provide advice on how to incorporate cultural, environmental (including biodiversity-related), and social considerations of indigenous and local communities into new or existing impact-assessment procedures, to ensure appropriate development. They support the full and effective participation of indigenous and local communities in screening, scoping, and development planning exercises, taking into account their traditional knowledge, innovations, and practices.","author":[{"dropping-particle":"","family":"Secretariat of the Convention on Biological Diversity","given":"","non-dropping-particle":"","parse-names":false,"suffix":""}],"id":"ITEM-1","issued":{"date-parts":[["2004"]]},"number-of-pages":"25","publisher":"Secretariat of the Convention on Biological Diversity","title":"Akwé kon : voluntary guidelines for the conduct of cultural, environmental, and social impact assessments regarding developments proposed to take place on, or which are likely to impact on, sacred sites and on lands and waters traditionally occupied or u","type":"book"},"uris":["http://www.mendeley.com/documents/?uuid=b7591a0e-5aa5-4259-9433-a7952b022f4f"]}],"mendeley":{"formattedCitation":"(Secretariat of the Convention on Biological Diversity, 2004)","plainTextFormattedCitation":"(Secretariat of the Convention on Biological Diversity, 2004)","previouslyFormattedCitation":"(Secretariat of the Convention on Biological Diversity, 2004)"},"properties":{"noteIndex":0},"schema":"https://github.com/citation-style-language/schema/raw/master/csl-citation.json"}</w:instrText>
      </w:r>
      <w:r w:rsidR="00283B5A">
        <w:rPr>
          <w:rFonts w:ascii="Times New Roman" w:eastAsia="Times New Roman" w:hAnsi="Times New Roman"/>
        </w:rPr>
        <w:fldChar w:fldCharType="separate"/>
      </w:r>
      <w:r w:rsidR="00283B5A" w:rsidRPr="00283B5A">
        <w:rPr>
          <w:rFonts w:ascii="Times New Roman" w:eastAsia="Times New Roman" w:hAnsi="Times New Roman"/>
          <w:noProof/>
        </w:rPr>
        <w:t>(Secretariat of the Convention on Biological Diversity, 2004)</w:t>
      </w:r>
      <w:r w:rsidR="00283B5A">
        <w:rPr>
          <w:rFonts w:ascii="Times New Roman" w:eastAsia="Times New Roman" w:hAnsi="Times New Roman"/>
        </w:rPr>
        <w:fldChar w:fldCharType="end"/>
      </w:r>
      <w:r w:rsidR="00B37F9D" w:rsidRPr="0036711B">
        <w:rPr>
          <w:rFonts w:ascii="Times New Roman" w:eastAsia="Times New Roman" w:hAnsi="Times New Roman"/>
        </w:rPr>
        <w:t xml:space="preserve">. </w:t>
      </w:r>
    </w:p>
    <w:p w14:paraId="5B90E914" w14:textId="638B60E7" w:rsidR="002943EB" w:rsidRDefault="00C31873" w:rsidP="0036711B">
      <w:pPr>
        <w:pStyle w:val="ListParagraph"/>
        <w:numPr>
          <w:ilvl w:val="0"/>
          <w:numId w:val="218"/>
        </w:numPr>
        <w:spacing w:before="120" w:after="120" w:line="240" w:lineRule="auto"/>
        <w:ind w:left="284" w:hanging="284"/>
        <w:contextualSpacing w:val="0"/>
        <w:jc w:val="both"/>
        <w:rPr>
          <w:rFonts w:ascii="Times New Roman" w:eastAsia="Times New Roman" w:hAnsi="Times New Roman"/>
        </w:rPr>
      </w:pPr>
      <w:r>
        <w:rPr>
          <w:rFonts w:ascii="Times New Roman" w:eastAsia="Times New Roman" w:hAnsi="Times New Roman"/>
        </w:rPr>
        <w:t>At its 10</w:t>
      </w:r>
      <w:r w:rsidRPr="0036711B">
        <w:rPr>
          <w:rFonts w:ascii="Times New Roman" w:eastAsia="Times New Roman" w:hAnsi="Times New Roman"/>
          <w:vertAlign w:val="superscript"/>
        </w:rPr>
        <w:t>th</w:t>
      </w:r>
      <w:r>
        <w:rPr>
          <w:rFonts w:ascii="Times New Roman" w:eastAsia="Times New Roman" w:hAnsi="Times New Roman"/>
        </w:rPr>
        <w:t xml:space="preserve"> meeting in </w:t>
      </w:r>
      <w:r w:rsidR="00C27FC0">
        <w:rPr>
          <w:rFonts w:ascii="Times New Roman" w:eastAsia="Times New Roman" w:hAnsi="Times New Roman"/>
        </w:rPr>
        <w:t>201</w:t>
      </w:r>
      <w:r w:rsidR="00AC47A4">
        <w:rPr>
          <w:rFonts w:ascii="Times New Roman" w:eastAsia="Times New Roman" w:hAnsi="Times New Roman"/>
        </w:rPr>
        <w:t>0</w:t>
      </w:r>
      <w:r w:rsidR="00E02F12">
        <w:rPr>
          <w:rFonts w:ascii="Times New Roman" w:eastAsia="Times New Roman" w:hAnsi="Times New Roman"/>
        </w:rPr>
        <w:t xml:space="preserve">, the </w:t>
      </w:r>
      <w:r w:rsidR="293F0A3A" w:rsidRPr="6AC02E3A">
        <w:rPr>
          <w:rFonts w:ascii="Times New Roman" w:eastAsia="Times New Roman" w:hAnsi="Times New Roman"/>
        </w:rPr>
        <w:t xml:space="preserve">COP </w:t>
      </w:r>
      <w:r w:rsidR="00E210BB" w:rsidRPr="00E210BB">
        <w:rPr>
          <w:rFonts w:ascii="Times New Roman" w:eastAsia="Times New Roman" w:hAnsi="Times New Roman"/>
        </w:rPr>
        <w:t>adopted the Code of Ethical Conduct on Respect for the Cultural and Intellectual Heritage of Indigenous and Local Communities Relevant for the Conservation and Sustainable Use of Biological Diversity</w:t>
      </w:r>
      <w:r w:rsidR="00AC47A4">
        <w:rPr>
          <w:rFonts w:ascii="Times New Roman" w:eastAsia="Times New Roman" w:hAnsi="Times New Roman"/>
        </w:rPr>
        <w:t xml:space="preserve"> </w:t>
      </w:r>
      <w:r w:rsidR="00283B5A">
        <w:rPr>
          <w:rFonts w:ascii="Times New Roman" w:eastAsia="Times New Roman" w:hAnsi="Times New Roman"/>
        </w:rPr>
        <w:fldChar w:fldCharType="begin" w:fldLock="1"/>
      </w:r>
      <w:r w:rsidR="00283B5A">
        <w:rPr>
          <w:rFonts w:ascii="Times New Roman" w:eastAsia="Times New Roman" w:hAnsi="Times New Roman"/>
        </w:rPr>
        <w:instrText>ADDIN CSL_CITATION {"citationItems":[{"id":"ITEM-1","itemData":{"author":[{"dropping-particle":"","family":"Secretariat of the Convention on Biological Diversity","given":"","non-dropping-particle":"","parse-names":false,"suffix":""}],"id":"ITEM-1","issued":{"date-parts":[["2011"]]},"page":"19","publisher-place":"Montreal","title":"Tkarihwaié:ri Code of Ethical Conduct to Ensure Respect for the Cultural and Intellectual Heritage of Indigenous and Local Communities Relevant to the Conservation and Sustainable Use of Biological Diversity","type":"article"},"uris":["http://www.mendeley.com/documents/?uuid=a5e3b2dd-6f97-4a08-bc7d-944cf9d4f693"]}],"mendeley":{"formattedCitation":"(Secretariat of the Convention on Biological Diversity, 2011)","plainTextFormattedCitation":"(Secretariat of the Convention on Biological Diversity, 2011)","previouslyFormattedCitation":"(Secretariat of the Convention on Biological Diversity, 2011)"},"properties":{"noteIndex":0},"schema":"https://github.com/citation-style-language/schema/raw/master/csl-citation.json"}</w:instrText>
      </w:r>
      <w:r w:rsidR="00283B5A">
        <w:rPr>
          <w:rFonts w:ascii="Times New Roman" w:eastAsia="Times New Roman" w:hAnsi="Times New Roman"/>
        </w:rPr>
        <w:fldChar w:fldCharType="separate"/>
      </w:r>
      <w:r w:rsidR="00283B5A" w:rsidRPr="00283B5A">
        <w:rPr>
          <w:rFonts w:ascii="Times New Roman" w:eastAsia="Times New Roman" w:hAnsi="Times New Roman"/>
          <w:noProof/>
        </w:rPr>
        <w:t>(Secretariat of the Convention on Biological Diversity, 2011)</w:t>
      </w:r>
      <w:r w:rsidR="00283B5A">
        <w:rPr>
          <w:rFonts w:ascii="Times New Roman" w:eastAsia="Times New Roman" w:hAnsi="Times New Roman"/>
        </w:rPr>
        <w:fldChar w:fldCharType="end"/>
      </w:r>
      <w:r w:rsidR="003E36F1">
        <w:rPr>
          <w:rFonts w:ascii="Times New Roman" w:eastAsia="Times New Roman" w:hAnsi="Times New Roman"/>
        </w:rPr>
        <w:t xml:space="preserve"> </w:t>
      </w:r>
    </w:p>
    <w:p w14:paraId="3EDAF08F" w14:textId="326F5094" w:rsidR="007E3B15" w:rsidRDefault="00954A8F" w:rsidP="0036711B">
      <w:pPr>
        <w:pStyle w:val="ListParagraph"/>
        <w:numPr>
          <w:ilvl w:val="0"/>
          <w:numId w:val="218"/>
        </w:numPr>
        <w:spacing w:before="120" w:after="120" w:line="240" w:lineRule="auto"/>
        <w:ind w:left="284" w:hanging="284"/>
        <w:contextualSpacing w:val="0"/>
        <w:jc w:val="both"/>
        <w:rPr>
          <w:rFonts w:ascii="Times New Roman" w:eastAsia="Times New Roman" w:hAnsi="Times New Roman"/>
        </w:rPr>
      </w:pPr>
      <w:r>
        <w:rPr>
          <w:rFonts w:ascii="Times New Roman" w:eastAsia="Times New Roman" w:hAnsi="Times New Roman"/>
        </w:rPr>
        <w:t xml:space="preserve">At its </w:t>
      </w:r>
      <w:r w:rsidR="007A70BA">
        <w:rPr>
          <w:rFonts w:ascii="Times New Roman" w:eastAsia="Times New Roman" w:hAnsi="Times New Roman"/>
        </w:rPr>
        <w:t>13</w:t>
      </w:r>
      <w:r w:rsidR="007A70BA" w:rsidRPr="0036711B">
        <w:rPr>
          <w:rFonts w:ascii="Times New Roman" w:eastAsia="Times New Roman" w:hAnsi="Times New Roman"/>
          <w:vertAlign w:val="superscript"/>
        </w:rPr>
        <w:t>th</w:t>
      </w:r>
      <w:r w:rsidR="007A70BA">
        <w:rPr>
          <w:rFonts w:ascii="Times New Roman" w:eastAsia="Times New Roman" w:hAnsi="Times New Roman"/>
        </w:rPr>
        <w:t xml:space="preserve"> meeting in </w:t>
      </w:r>
      <w:r w:rsidR="003D6444">
        <w:rPr>
          <w:rFonts w:ascii="Times New Roman" w:eastAsia="Times New Roman" w:hAnsi="Times New Roman"/>
        </w:rPr>
        <w:t xml:space="preserve">2016, the </w:t>
      </w:r>
      <w:r w:rsidR="1E0CC76C" w:rsidRPr="416C3894">
        <w:rPr>
          <w:rFonts w:ascii="Times New Roman" w:eastAsia="Times New Roman" w:hAnsi="Times New Roman"/>
        </w:rPr>
        <w:t>COP</w:t>
      </w:r>
      <w:r>
        <w:rPr>
          <w:rFonts w:ascii="Times New Roman" w:eastAsia="Times New Roman" w:hAnsi="Times New Roman"/>
        </w:rPr>
        <w:t xml:space="preserve"> adopted the </w:t>
      </w:r>
      <w:r w:rsidR="003D6444" w:rsidRPr="003D6444">
        <w:rPr>
          <w:rFonts w:ascii="Times New Roman" w:eastAsia="Times New Roman" w:hAnsi="Times New Roman"/>
        </w:rPr>
        <w:t>Mo'otz Kuxtal Voluntary Guidelines</w:t>
      </w:r>
      <w:r w:rsidR="00CA75EC">
        <w:rPr>
          <w:rFonts w:ascii="Times New Roman" w:eastAsia="Times New Roman" w:hAnsi="Times New Roman"/>
        </w:rPr>
        <w:t xml:space="preserve"> </w:t>
      </w:r>
      <w:r w:rsidR="00CA75EC" w:rsidRPr="00CA75EC">
        <w:rPr>
          <w:rFonts w:ascii="Times New Roman" w:eastAsia="Times New Roman" w:hAnsi="Times New Roman"/>
        </w:rPr>
        <w:t>Mo'otz Kuxtal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w:t>
      </w:r>
      <w:r w:rsidR="00931B04">
        <w:rPr>
          <w:rFonts w:ascii="Times New Roman" w:eastAsia="Times New Roman" w:hAnsi="Times New Roman"/>
        </w:rPr>
        <w:t xml:space="preserve"> </w:t>
      </w:r>
      <w:r w:rsidR="00283B5A">
        <w:rPr>
          <w:rFonts w:ascii="Times New Roman" w:eastAsia="Times New Roman" w:hAnsi="Times New Roman"/>
        </w:rPr>
        <w:fldChar w:fldCharType="begin" w:fldLock="1"/>
      </w:r>
      <w:r w:rsidR="009614CE">
        <w:rPr>
          <w:rFonts w:ascii="Times New Roman" w:eastAsia="Times New Roman" w:hAnsi="Times New Roman"/>
        </w:rPr>
        <w:instrText>ADDIN CSL_CITATION {"citationItems":[{"id":"ITEM-1","itemData":{"author":[{"dropping-particle":"","family":"Secretariat of the Convention on Biological Diversity","given":"","non-dropping-particle":"","parse-names":false,"suffix":""}],"id":"ITEM-1","issued":{"date-parts":[["2019"]]},"number-of-pages":"9","publisher-place":"Montreal, Canada","title":"Mo’ otz Kuxtal Voluntary Guidelines","type":"book"},"uris":["http://www.mendeley.com/documents/?uuid=03722048-35cc-4e69-bb80-3fe05f3e693c"]}],"mendeley":{"formattedCitation":"(Secretariat of the Convention on Biological Diversity, 2019a)","manualFormatting":"(Secretariat of the Convention on Biological Diversity, 2019)","plainTextFormattedCitation":"(Secretariat of the Convention on Biological Diversity, 2019a)","previouslyFormattedCitation":"(Secretariat of the Convention on Biological Diversity, 2019a)"},"properties":{"noteIndex":0},"schema":"https://github.com/citation-style-language/schema/raw/master/csl-citation.json"}</w:instrText>
      </w:r>
      <w:r w:rsidR="00283B5A">
        <w:rPr>
          <w:rFonts w:ascii="Times New Roman" w:eastAsia="Times New Roman" w:hAnsi="Times New Roman"/>
        </w:rPr>
        <w:fldChar w:fldCharType="separate"/>
      </w:r>
      <w:r w:rsidR="00283B5A" w:rsidRPr="00283B5A">
        <w:rPr>
          <w:rFonts w:ascii="Times New Roman" w:eastAsia="Times New Roman" w:hAnsi="Times New Roman"/>
          <w:noProof/>
        </w:rPr>
        <w:t>(Secretariat of the Convention on Biological Diversity, 2019)</w:t>
      </w:r>
      <w:r w:rsidR="00283B5A">
        <w:rPr>
          <w:rFonts w:ascii="Times New Roman" w:eastAsia="Times New Roman" w:hAnsi="Times New Roman"/>
        </w:rPr>
        <w:fldChar w:fldCharType="end"/>
      </w:r>
      <w:r w:rsidR="004C3DB3">
        <w:rPr>
          <w:rFonts w:ascii="Times New Roman" w:eastAsia="Times New Roman" w:hAnsi="Times New Roman"/>
        </w:rPr>
        <w:t xml:space="preserve">. </w:t>
      </w:r>
    </w:p>
    <w:p w14:paraId="71C01A71" w14:textId="7A75BB3A" w:rsidR="005C5F53" w:rsidRDefault="00367CFA" w:rsidP="0036711B">
      <w:pPr>
        <w:spacing w:before="120" w:after="120" w:line="240" w:lineRule="auto"/>
        <w:jc w:val="both"/>
        <w:rPr>
          <w:rFonts w:ascii="Times New Roman" w:eastAsia="Times New Roman" w:hAnsi="Times New Roman"/>
        </w:rPr>
      </w:pPr>
      <w:r>
        <w:rPr>
          <w:rFonts w:ascii="Times New Roman" w:eastAsia="Times New Roman" w:hAnsi="Times New Roman"/>
        </w:rPr>
        <w:t xml:space="preserve">More recently, </w:t>
      </w:r>
      <w:r w:rsidR="00CC3D57">
        <w:rPr>
          <w:rFonts w:ascii="Times New Roman" w:eastAsia="Times New Roman" w:hAnsi="Times New Roman"/>
        </w:rPr>
        <w:t>at</w:t>
      </w:r>
      <w:r w:rsidR="00577F67">
        <w:rPr>
          <w:rFonts w:ascii="Times New Roman" w:eastAsia="Times New Roman" w:hAnsi="Times New Roman"/>
        </w:rPr>
        <w:t xml:space="preserve"> its 14</w:t>
      </w:r>
      <w:r w:rsidR="00577F67" w:rsidRPr="00A000C4">
        <w:rPr>
          <w:rFonts w:ascii="Times New Roman" w:eastAsia="Times New Roman" w:hAnsi="Times New Roman"/>
          <w:vertAlign w:val="superscript"/>
        </w:rPr>
        <w:t>th</w:t>
      </w:r>
      <w:r w:rsidR="00577F67">
        <w:rPr>
          <w:rFonts w:ascii="Times New Roman" w:eastAsia="Times New Roman" w:hAnsi="Times New Roman"/>
        </w:rPr>
        <w:t xml:space="preserve"> meeting in 201</w:t>
      </w:r>
      <w:r w:rsidR="00CC3D57">
        <w:rPr>
          <w:rFonts w:ascii="Times New Roman" w:eastAsia="Times New Roman" w:hAnsi="Times New Roman"/>
        </w:rPr>
        <w:t>8</w:t>
      </w:r>
      <w:r w:rsidR="3043EA7D" w:rsidRPr="3079B3CC">
        <w:rPr>
          <w:rFonts w:ascii="Times New Roman" w:eastAsia="Times New Roman" w:hAnsi="Times New Roman"/>
        </w:rPr>
        <w:t>,</w:t>
      </w:r>
      <w:r w:rsidR="00CC3D57">
        <w:rPr>
          <w:rFonts w:ascii="Times New Roman" w:eastAsia="Times New Roman" w:hAnsi="Times New Roman"/>
        </w:rPr>
        <w:t xml:space="preserve"> the </w:t>
      </w:r>
      <w:r w:rsidR="692A2878" w:rsidRPr="3079B3CC">
        <w:rPr>
          <w:rFonts w:ascii="Times New Roman" w:eastAsia="Times New Roman" w:hAnsi="Times New Roman"/>
        </w:rPr>
        <w:t>COP</w:t>
      </w:r>
      <w:r w:rsidR="00CC3D57">
        <w:rPr>
          <w:rFonts w:ascii="Times New Roman" w:eastAsia="Times New Roman" w:hAnsi="Times New Roman"/>
        </w:rPr>
        <w:t xml:space="preserve"> </w:t>
      </w:r>
      <w:r w:rsidR="001848E1">
        <w:rPr>
          <w:rFonts w:ascii="Times New Roman" w:eastAsia="Times New Roman" w:hAnsi="Times New Roman"/>
        </w:rPr>
        <w:t xml:space="preserve">explicitly </w:t>
      </w:r>
      <w:r w:rsidR="00EE5E23">
        <w:rPr>
          <w:rFonts w:ascii="Times New Roman" w:eastAsia="Times New Roman" w:hAnsi="Times New Roman"/>
        </w:rPr>
        <w:t>called</w:t>
      </w:r>
      <w:r w:rsidR="00C10677">
        <w:rPr>
          <w:rFonts w:ascii="Times New Roman" w:eastAsia="Times New Roman" w:hAnsi="Times New Roman"/>
        </w:rPr>
        <w:t xml:space="preserve"> </w:t>
      </w:r>
      <w:r w:rsidR="003E2B07">
        <w:rPr>
          <w:rFonts w:ascii="Times New Roman" w:eastAsia="Times New Roman" w:hAnsi="Times New Roman"/>
        </w:rPr>
        <w:t>for</w:t>
      </w:r>
      <w:r w:rsidR="00C10677">
        <w:rPr>
          <w:rFonts w:ascii="Times New Roman" w:eastAsia="Times New Roman" w:hAnsi="Times New Roman"/>
        </w:rPr>
        <w:t xml:space="preserve"> </w:t>
      </w:r>
      <w:r w:rsidR="0045690D" w:rsidRPr="0045690D">
        <w:rPr>
          <w:rFonts w:ascii="Times New Roman" w:eastAsia="Times New Roman" w:hAnsi="Times New Roman"/>
        </w:rPr>
        <w:t xml:space="preserve">free, prior and informed consent, or approval and involvement of potentially effected IPLCs </w:t>
      </w:r>
      <w:r w:rsidR="002021EE">
        <w:rPr>
          <w:rFonts w:ascii="Times New Roman" w:eastAsia="Times New Roman" w:hAnsi="Times New Roman"/>
        </w:rPr>
        <w:t>to be</w:t>
      </w:r>
      <w:r w:rsidR="0045690D" w:rsidRPr="0045690D">
        <w:rPr>
          <w:rFonts w:ascii="Times New Roman" w:eastAsia="Times New Roman" w:hAnsi="Times New Roman"/>
        </w:rPr>
        <w:t xml:space="preserve"> sought or obtained</w:t>
      </w:r>
      <w:r w:rsidR="00BD18B1">
        <w:rPr>
          <w:rFonts w:ascii="Times New Roman" w:eastAsia="Times New Roman" w:hAnsi="Times New Roman"/>
        </w:rPr>
        <w:t xml:space="preserve"> in relation to the </w:t>
      </w:r>
      <w:r w:rsidR="00BD18B1" w:rsidRPr="00BD18B1">
        <w:rPr>
          <w:rFonts w:ascii="Times New Roman" w:eastAsia="Times New Roman" w:hAnsi="Times New Roman"/>
        </w:rPr>
        <w:t>introduc</w:t>
      </w:r>
      <w:r w:rsidR="00BD18B1">
        <w:rPr>
          <w:rFonts w:ascii="Times New Roman" w:eastAsia="Times New Roman" w:hAnsi="Times New Roman"/>
        </w:rPr>
        <w:t>tion of</w:t>
      </w:r>
      <w:r w:rsidR="00BD18B1" w:rsidRPr="00BD18B1">
        <w:rPr>
          <w:rFonts w:ascii="Times New Roman" w:eastAsia="Times New Roman" w:hAnsi="Times New Roman"/>
        </w:rPr>
        <w:t xml:space="preserve"> organisms containing engineered gene drives into the environment, including for experimental releases and research and development purposes</w:t>
      </w:r>
      <w:r w:rsidR="00E51981">
        <w:rPr>
          <w:rFonts w:ascii="Times New Roman" w:eastAsia="Times New Roman" w:hAnsi="Times New Roman"/>
        </w:rPr>
        <w:t xml:space="preserve"> </w:t>
      </w:r>
      <w:r w:rsidR="00E51981" w:rsidRPr="00E51981">
        <w:rPr>
          <w:rFonts w:ascii="Times New Roman" w:eastAsia="Times New Roman" w:hAnsi="Times New Roman"/>
        </w:rPr>
        <w:t>− where appropriate and applicable in accordance with national circumstances and legislation (Decision 14-19)</w:t>
      </w:r>
      <w:r w:rsidR="00371A4B">
        <w:rPr>
          <w:rFonts w:ascii="Times New Roman" w:eastAsia="Times New Roman" w:hAnsi="Times New Roman"/>
        </w:rPr>
        <w:t>.</w:t>
      </w:r>
    </w:p>
    <w:p w14:paraId="06AC466A" w14:textId="2B0C3373" w:rsidR="00E74F4D" w:rsidRPr="0036711B" w:rsidRDefault="002E51A7" w:rsidP="00CD26A9">
      <w:pPr>
        <w:spacing w:before="120" w:after="120" w:line="240" w:lineRule="auto"/>
        <w:jc w:val="both"/>
        <w:rPr>
          <w:rFonts w:ascii="Times New Roman" w:eastAsia="Times New Roman" w:hAnsi="Times New Roman"/>
        </w:rPr>
      </w:pPr>
      <w:r>
        <w:rPr>
          <w:rFonts w:ascii="Times New Roman" w:eastAsia="Times New Roman" w:hAnsi="Times New Roman"/>
        </w:rPr>
        <w:t xml:space="preserve">Issues pertaining to </w:t>
      </w:r>
      <w:r w:rsidR="00DB6139">
        <w:rPr>
          <w:rFonts w:ascii="Times New Roman" w:eastAsia="Times New Roman" w:hAnsi="Times New Roman"/>
        </w:rPr>
        <w:t xml:space="preserve">IPLCs </w:t>
      </w:r>
      <w:r w:rsidR="00941E74">
        <w:rPr>
          <w:rFonts w:ascii="Times New Roman" w:eastAsia="Times New Roman" w:hAnsi="Times New Roman"/>
        </w:rPr>
        <w:t>have also</w:t>
      </w:r>
      <w:r w:rsidR="00DB6139">
        <w:rPr>
          <w:rFonts w:ascii="Times New Roman" w:eastAsia="Times New Roman" w:hAnsi="Times New Roman"/>
        </w:rPr>
        <w:t xml:space="preserve"> </w:t>
      </w:r>
      <w:r w:rsidR="738771B4" w:rsidRPr="1F7A1ECA">
        <w:rPr>
          <w:rFonts w:ascii="Times New Roman" w:eastAsia="Times New Roman" w:hAnsi="Times New Roman"/>
        </w:rPr>
        <w:t>feature</w:t>
      </w:r>
      <w:r w:rsidR="7E0D8FC9" w:rsidRPr="1F7A1ECA">
        <w:rPr>
          <w:rFonts w:ascii="Times New Roman" w:eastAsia="Times New Roman" w:hAnsi="Times New Roman"/>
        </w:rPr>
        <w:t>d</w:t>
      </w:r>
      <w:r w:rsidR="00DB6139">
        <w:rPr>
          <w:rFonts w:ascii="Times New Roman" w:eastAsia="Times New Roman" w:hAnsi="Times New Roman"/>
        </w:rPr>
        <w:t xml:space="preserve"> prominently in the </w:t>
      </w:r>
      <w:r w:rsidR="003E3237">
        <w:rPr>
          <w:rFonts w:ascii="Times New Roman" w:eastAsia="Times New Roman" w:hAnsi="Times New Roman"/>
        </w:rPr>
        <w:t xml:space="preserve">periodic </w:t>
      </w:r>
      <w:r w:rsidR="006303D6">
        <w:rPr>
          <w:rFonts w:ascii="Times New Roman" w:eastAsia="Times New Roman" w:hAnsi="Times New Roman"/>
        </w:rPr>
        <w:t xml:space="preserve">expert working groups appointed by the Parties to evaluate issues related to synthetic biology </w:t>
      </w:r>
      <w:r w:rsidR="00935AB8">
        <w:rPr>
          <w:rFonts w:ascii="Times New Roman" w:eastAsia="Times New Roman" w:hAnsi="Times New Roman"/>
        </w:rPr>
        <w:t>under the</w:t>
      </w:r>
      <w:r w:rsidR="006303D6">
        <w:rPr>
          <w:rFonts w:ascii="Times New Roman" w:eastAsia="Times New Roman" w:hAnsi="Times New Roman"/>
        </w:rPr>
        <w:t xml:space="preserve"> </w:t>
      </w:r>
      <w:r w:rsidR="00935AB8">
        <w:rPr>
          <w:rFonts w:ascii="Times New Roman" w:eastAsia="Times New Roman" w:hAnsi="Times New Roman"/>
        </w:rPr>
        <w:t xml:space="preserve">Convention, as described further in Section 8.1.8. below. </w:t>
      </w:r>
      <w:r w:rsidR="003E3237">
        <w:rPr>
          <w:rFonts w:ascii="Times New Roman" w:eastAsia="Times New Roman" w:hAnsi="Times New Roman"/>
        </w:rPr>
        <w:t>For example,</w:t>
      </w:r>
      <w:r w:rsidR="00935AB8">
        <w:rPr>
          <w:rFonts w:ascii="Times New Roman" w:eastAsia="Times New Roman" w:hAnsi="Times New Roman"/>
        </w:rPr>
        <w:t xml:space="preserve"> t</w:t>
      </w:r>
      <w:r w:rsidR="00C961EA">
        <w:rPr>
          <w:rFonts w:ascii="Times New Roman" w:eastAsia="Times New Roman" w:hAnsi="Times New Roman"/>
        </w:rPr>
        <w:t>he</w:t>
      </w:r>
      <w:r w:rsidR="004E27B0">
        <w:rPr>
          <w:rFonts w:ascii="Times New Roman" w:eastAsia="Times New Roman" w:hAnsi="Times New Roman"/>
        </w:rPr>
        <w:t xml:space="preserve"> </w:t>
      </w:r>
      <w:r w:rsidR="00247BE5">
        <w:rPr>
          <w:rFonts w:ascii="Times New Roman" w:eastAsia="Times New Roman" w:hAnsi="Times New Roman"/>
        </w:rPr>
        <w:t xml:space="preserve">experts appointed to the </w:t>
      </w:r>
      <w:r w:rsidR="004E27B0" w:rsidRPr="00531F6E">
        <w:rPr>
          <w:rFonts w:ascii="Times New Roman" w:eastAsia="Times New Roman" w:hAnsi="Times New Roman"/>
        </w:rPr>
        <w:t>AHTEG</w:t>
      </w:r>
      <w:r w:rsidR="004E27B0">
        <w:rPr>
          <w:rFonts w:ascii="Times New Roman" w:eastAsia="Times New Roman" w:hAnsi="Times New Roman"/>
        </w:rPr>
        <w:t xml:space="preserve"> on Synthetic Biology </w:t>
      </w:r>
      <w:r w:rsidR="00247BE5">
        <w:rPr>
          <w:rFonts w:ascii="Times New Roman" w:eastAsia="Times New Roman" w:hAnsi="Times New Roman"/>
        </w:rPr>
        <w:t>convened</w:t>
      </w:r>
      <w:r w:rsidR="00EF4BA1">
        <w:rPr>
          <w:rFonts w:ascii="Times New Roman" w:eastAsia="Times New Roman" w:hAnsi="Times New Roman"/>
        </w:rPr>
        <w:t xml:space="preserve"> </w:t>
      </w:r>
      <w:r w:rsidR="004A6BBA">
        <w:rPr>
          <w:rFonts w:ascii="Times New Roman" w:eastAsia="Times New Roman" w:hAnsi="Times New Roman"/>
        </w:rPr>
        <w:t>in 2019</w:t>
      </w:r>
      <w:r w:rsidR="00247BE5">
        <w:rPr>
          <w:rFonts w:ascii="Times New Roman" w:eastAsia="Times New Roman" w:hAnsi="Times New Roman"/>
        </w:rPr>
        <w:t xml:space="preserve"> included two </w:t>
      </w:r>
      <w:r w:rsidR="00FE6881">
        <w:rPr>
          <w:rFonts w:ascii="Times New Roman" w:eastAsia="Times New Roman" w:hAnsi="Times New Roman"/>
        </w:rPr>
        <w:t xml:space="preserve">experts </w:t>
      </w:r>
      <w:r w:rsidR="00FE6881" w:rsidRPr="00FE6881">
        <w:rPr>
          <w:rFonts w:ascii="Times New Roman" w:eastAsia="Times New Roman" w:hAnsi="Times New Roman"/>
        </w:rPr>
        <w:t xml:space="preserve">nominated by </w:t>
      </w:r>
      <w:r w:rsidR="00FE6881">
        <w:rPr>
          <w:rFonts w:ascii="Times New Roman" w:eastAsia="Times New Roman" w:hAnsi="Times New Roman"/>
        </w:rPr>
        <w:t>IPLC</w:t>
      </w:r>
      <w:r w:rsidR="00FE6881" w:rsidRPr="00FE6881">
        <w:rPr>
          <w:rFonts w:ascii="Times New Roman" w:eastAsia="Times New Roman" w:hAnsi="Times New Roman"/>
        </w:rPr>
        <w:t xml:space="preserve"> organi</w:t>
      </w:r>
      <w:r w:rsidR="00F45AA3">
        <w:rPr>
          <w:rFonts w:ascii="Times New Roman" w:eastAsia="Times New Roman" w:hAnsi="Times New Roman"/>
        </w:rPr>
        <w:t>s</w:t>
      </w:r>
      <w:r w:rsidR="00FE6881" w:rsidRPr="00FE6881">
        <w:rPr>
          <w:rFonts w:ascii="Times New Roman" w:eastAsia="Times New Roman" w:hAnsi="Times New Roman"/>
        </w:rPr>
        <w:t>ations</w:t>
      </w:r>
      <w:r w:rsidR="00FE6881">
        <w:rPr>
          <w:rFonts w:ascii="Times New Roman" w:eastAsia="Times New Roman" w:hAnsi="Times New Roman"/>
        </w:rPr>
        <w:t>.</w:t>
      </w:r>
      <w:r w:rsidR="004A6BBA">
        <w:rPr>
          <w:rFonts w:ascii="Times New Roman" w:eastAsia="Times New Roman" w:hAnsi="Times New Roman"/>
        </w:rPr>
        <w:t xml:space="preserve"> </w:t>
      </w:r>
      <w:r w:rsidR="003E3237">
        <w:rPr>
          <w:rFonts w:ascii="Times New Roman" w:eastAsia="Times New Roman" w:hAnsi="Times New Roman"/>
        </w:rPr>
        <w:t>T</w:t>
      </w:r>
      <w:r w:rsidR="002F7229" w:rsidRPr="002F7229">
        <w:rPr>
          <w:rFonts w:ascii="Times New Roman" w:eastAsia="Times New Roman" w:hAnsi="Times New Roman"/>
        </w:rPr>
        <w:t xml:space="preserve">he participation of </w:t>
      </w:r>
      <w:r w:rsidR="002F7229" w:rsidRPr="0045690D">
        <w:rPr>
          <w:rFonts w:ascii="Times New Roman" w:eastAsia="Times New Roman" w:hAnsi="Times New Roman"/>
        </w:rPr>
        <w:t>IPLC</w:t>
      </w:r>
      <w:r w:rsidR="002F7229">
        <w:rPr>
          <w:rFonts w:ascii="Times New Roman" w:eastAsia="Times New Roman" w:hAnsi="Times New Roman"/>
        </w:rPr>
        <w:t xml:space="preserve">s </w:t>
      </w:r>
      <w:r w:rsidR="002F7229" w:rsidRPr="002F7229">
        <w:rPr>
          <w:rFonts w:ascii="Times New Roman" w:eastAsia="Times New Roman" w:hAnsi="Times New Roman"/>
        </w:rPr>
        <w:t>in activities related to synthetic biology carried out under the Convention</w:t>
      </w:r>
      <w:r w:rsidR="000E084E">
        <w:rPr>
          <w:rFonts w:ascii="Times New Roman" w:eastAsia="Times New Roman" w:hAnsi="Times New Roman"/>
        </w:rPr>
        <w:t xml:space="preserve"> </w:t>
      </w:r>
      <w:r w:rsidR="002F7229" w:rsidRPr="002F7229">
        <w:rPr>
          <w:rFonts w:ascii="Times New Roman" w:eastAsia="Times New Roman" w:hAnsi="Times New Roman"/>
        </w:rPr>
        <w:t xml:space="preserve">was </w:t>
      </w:r>
      <w:r w:rsidR="00DA659E">
        <w:rPr>
          <w:rFonts w:ascii="Times New Roman" w:eastAsia="Times New Roman" w:hAnsi="Times New Roman"/>
        </w:rPr>
        <w:t xml:space="preserve">acknowledged </w:t>
      </w:r>
      <w:r w:rsidR="00C428AF">
        <w:rPr>
          <w:rFonts w:ascii="Times New Roman" w:eastAsia="Times New Roman" w:hAnsi="Times New Roman"/>
        </w:rPr>
        <w:t>by the 2</w:t>
      </w:r>
      <w:r w:rsidR="00AF4975">
        <w:rPr>
          <w:rFonts w:ascii="Times New Roman" w:eastAsia="Times New Roman" w:hAnsi="Times New Roman"/>
        </w:rPr>
        <w:t xml:space="preserve">019 </w:t>
      </w:r>
      <w:r w:rsidR="00C428AF" w:rsidRPr="00531F6E">
        <w:rPr>
          <w:rFonts w:ascii="Times New Roman" w:eastAsia="Times New Roman" w:hAnsi="Times New Roman"/>
        </w:rPr>
        <w:t>AHTEG</w:t>
      </w:r>
      <w:r w:rsidR="00C428AF">
        <w:rPr>
          <w:rFonts w:ascii="Times New Roman" w:eastAsia="Times New Roman" w:hAnsi="Times New Roman"/>
        </w:rPr>
        <w:t xml:space="preserve"> </w:t>
      </w:r>
      <w:r w:rsidR="00DA659E">
        <w:rPr>
          <w:rFonts w:ascii="Times New Roman" w:eastAsia="Times New Roman" w:hAnsi="Times New Roman"/>
        </w:rPr>
        <w:t xml:space="preserve">as </w:t>
      </w:r>
      <w:r w:rsidR="002F7229" w:rsidRPr="002F7229">
        <w:rPr>
          <w:rFonts w:ascii="Times New Roman" w:eastAsia="Times New Roman" w:hAnsi="Times New Roman"/>
        </w:rPr>
        <w:t>important for building the necessary understanding for informed consideration</w:t>
      </w:r>
      <w:r w:rsidR="00521F26">
        <w:rPr>
          <w:rFonts w:ascii="Times New Roman" w:eastAsia="Times New Roman" w:hAnsi="Times New Roman"/>
        </w:rPr>
        <w:t>, as was a</w:t>
      </w:r>
      <w:r w:rsidR="00DA659E" w:rsidRPr="002F7229">
        <w:rPr>
          <w:rFonts w:ascii="Times New Roman" w:eastAsia="Times New Roman" w:hAnsi="Times New Roman"/>
        </w:rPr>
        <w:t>ppropriate communication and engagement with communities</w:t>
      </w:r>
      <w:r w:rsidR="00521F26">
        <w:rPr>
          <w:rFonts w:ascii="Times New Roman" w:eastAsia="Times New Roman" w:hAnsi="Times New Roman"/>
        </w:rPr>
        <w:t xml:space="preserve"> </w:t>
      </w:r>
      <w:r w:rsidR="00521F26" w:rsidRPr="000E084E">
        <w:rPr>
          <w:rFonts w:ascii="Times New Roman" w:eastAsia="Times New Roman" w:hAnsi="Times New Roman"/>
        </w:rPr>
        <w:t>enable them to engage in the assessment of actual and potential impacts of synthetic biology</w:t>
      </w:r>
      <w:r w:rsidR="007140E1">
        <w:rPr>
          <w:rFonts w:ascii="Times New Roman" w:eastAsia="Times New Roman" w:hAnsi="Times New Roman"/>
        </w:rPr>
        <w:t xml:space="preserve">. </w:t>
      </w:r>
      <w:r w:rsidR="00772D2A">
        <w:rPr>
          <w:rFonts w:ascii="Times New Roman" w:eastAsia="Times New Roman" w:hAnsi="Times New Roman"/>
        </w:rPr>
        <w:t xml:space="preserve">This built on </w:t>
      </w:r>
      <w:r w:rsidR="007215F7">
        <w:rPr>
          <w:rFonts w:ascii="Times New Roman" w:eastAsia="Times New Roman" w:hAnsi="Times New Roman"/>
        </w:rPr>
        <w:t>an</w:t>
      </w:r>
      <w:r w:rsidR="00772D2A">
        <w:rPr>
          <w:rFonts w:ascii="Times New Roman" w:eastAsia="Times New Roman" w:hAnsi="Times New Roman"/>
        </w:rPr>
        <w:t xml:space="preserve"> </w:t>
      </w:r>
      <w:r w:rsidR="005B2296">
        <w:rPr>
          <w:rFonts w:ascii="Times New Roman" w:eastAsia="Times New Roman" w:hAnsi="Times New Roman"/>
        </w:rPr>
        <w:t xml:space="preserve">acknowledgement by the 2017 </w:t>
      </w:r>
      <w:r w:rsidR="005B2296" w:rsidRPr="00531F6E">
        <w:rPr>
          <w:rFonts w:ascii="Times New Roman" w:eastAsia="Times New Roman" w:hAnsi="Times New Roman"/>
        </w:rPr>
        <w:t>AHTEG</w:t>
      </w:r>
      <w:r w:rsidR="005B2296">
        <w:rPr>
          <w:rFonts w:ascii="Times New Roman" w:eastAsia="Times New Roman" w:hAnsi="Times New Roman"/>
        </w:rPr>
        <w:t xml:space="preserve"> </w:t>
      </w:r>
      <w:r w:rsidR="007663BA">
        <w:rPr>
          <w:rFonts w:ascii="Times New Roman" w:eastAsia="Times New Roman" w:hAnsi="Times New Roman"/>
        </w:rPr>
        <w:t xml:space="preserve">that </w:t>
      </w:r>
      <w:r w:rsidR="007663BA" w:rsidRPr="00531F6E">
        <w:rPr>
          <w:rFonts w:ascii="Times New Roman" w:eastAsia="Times New Roman" w:hAnsi="Times New Roman"/>
        </w:rPr>
        <w:t>that IPLCs regarded all components of Mother Nature as living entities</w:t>
      </w:r>
      <w:r w:rsidR="007663BA">
        <w:rPr>
          <w:rFonts w:ascii="Times New Roman" w:eastAsia="Times New Roman" w:hAnsi="Times New Roman"/>
        </w:rPr>
        <w:t xml:space="preserve"> and </w:t>
      </w:r>
      <w:r w:rsidR="00B13DF0">
        <w:rPr>
          <w:rFonts w:ascii="Times New Roman" w:eastAsia="Times New Roman" w:hAnsi="Times New Roman"/>
        </w:rPr>
        <w:t xml:space="preserve">the potential for </w:t>
      </w:r>
      <w:r w:rsidR="005B2296" w:rsidRPr="005B2296">
        <w:rPr>
          <w:rFonts w:ascii="Times New Roman" w:eastAsia="Times New Roman" w:hAnsi="Times New Roman"/>
        </w:rPr>
        <w:t xml:space="preserve">synthetic biology </w:t>
      </w:r>
      <w:r w:rsidR="005B2296">
        <w:rPr>
          <w:rFonts w:ascii="Times New Roman" w:eastAsia="Times New Roman" w:hAnsi="Times New Roman"/>
        </w:rPr>
        <w:t xml:space="preserve">to </w:t>
      </w:r>
      <w:r w:rsidR="005B2296" w:rsidRPr="005B2296">
        <w:rPr>
          <w:rFonts w:ascii="Times New Roman" w:eastAsia="Times New Roman" w:hAnsi="Times New Roman"/>
        </w:rPr>
        <w:t>impact</w:t>
      </w:r>
      <w:r w:rsidR="007663BA" w:rsidRPr="007663BA">
        <w:rPr>
          <w:rFonts w:ascii="Times New Roman" w:eastAsia="Times New Roman" w:hAnsi="Times New Roman"/>
        </w:rPr>
        <w:t xml:space="preserve"> </w:t>
      </w:r>
      <w:r w:rsidR="006300E9">
        <w:rPr>
          <w:rFonts w:ascii="Times New Roman" w:eastAsia="Times New Roman" w:hAnsi="Times New Roman"/>
        </w:rPr>
        <w:t xml:space="preserve">cultural values and principles, including </w:t>
      </w:r>
      <w:r w:rsidR="007663BA" w:rsidRPr="007663BA">
        <w:rPr>
          <w:rFonts w:ascii="Times New Roman" w:eastAsia="Times New Roman" w:hAnsi="Times New Roman"/>
        </w:rPr>
        <w:t>the relationship of IPLC’s with Mother Nature</w:t>
      </w:r>
      <w:r w:rsidR="00CD26A9" w:rsidRPr="00CD26A9">
        <w:rPr>
          <w:rFonts w:ascii="Times New Roman" w:eastAsia="Times New Roman" w:hAnsi="Times New Roman"/>
        </w:rPr>
        <w:t>, as well as noting that that the development of synthetic biology technologies “</w:t>
      </w:r>
      <w:r w:rsidR="00CD26A9" w:rsidRPr="00F64699">
        <w:rPr>
          <w:rFonts w:ascii="Times New Roman" w:eastAsia="Times New Roman" w:hAnsi="Times New Roman"/>
          <w:i/>
          <w:iCs/>
        </w:rPr>
        <w:t>should be accompanied by the full and effective participation of Indigenous peoples and local communities</w:t>
      </w:r>
      <w:r w:rsidR="00CD26A9" w:rsidRPr="00CD26A9">
        <w:rPr>
          <w:rFonts w:ascii="Times New Roman" w:eastAsia="Times New Roman" w:hAnsi="Times New Roman"/>
        </w:rPr>
        <w:t>”.</w:t>
      </w:r>
      <w:r w:rsidR="00FC5599">
        <w:rPr>
          <w:rFonts w:ascii="Times New Roman" w:eastAsia="Times New Roman" w:hAnsi="Times New Roman"/>
        </w:rPr>
        <w:t xml:space="preserve"> </w:t>
      </w:r>
      <w:bookmarkStart w:id="133" w:name="_Hlk69998037"/>
    </w:p>
    <w:bookmarkEnd w:id="133"/>
    <w:p w14:paraId="5DA5627E" w14:textId="66B8EA0E" w:rsidR="003D3BEA" w:rsidRPr="0029670C" w:rsidRDefault="003D3BEA" w:rsidP="004155FD">
      <w:pPr>
        <w:pStyle w:val="Heading4"/>
        <w:rPr>
          <w:i w:val="0"/>
        </w:rPr>
      </w:pPr>
      <w:r w:rsidRPr="0029670C">
        <w:rPr>
          <w:rFonts w:hint="eastAsia"/>
          <w:i w:val="0"/>
          <w:iCs/>
        </w:rPr>
        <w:t>8.1.8. Decisions of the Conference of the Parties referring to synthetic biology</w:t>
      </w:r>
      <w:r w:rsidR="00E81E5A" w:rsidRPr="0029670C">
        <w:rPr>
          <w:i w:val="0"/>
          <w:iCs/>
        </w:rPr>
        <w:t>.</w:t>
      </w:r>
    </w:p>
    <w:p w14:paraId="2CC053AA" w14:textId="1EA9B234" w:rsidR="003D3BEA" w:rsidRPr="003D3BEA" w:rsidRDefault="003D3BEA" w:rsidP="004155FD">
      <w:pPr>
        <w:spacing w:line="240" w:lineRule="auto"/>
        <w:jc w:val="both"/>
        <w:rPr>
          <w:rFonts w:ascii="Times New Roman" w:eastAsia="Times New Roman" w:hAnsi="Times New Roman"/>
        </w:rPr>
      </w:pPr>
      <w:bookmarkStart w:id="134" w:name="_Hlk65666263"/>
      <w:r w:rsidRPr="003D3BEA">
        <w:rPr>
          <w:rFonts w:ascii="Times New Roman" w:eastAsia="Times New Roman" w:hAnsi="Times New Roman"/>
        </w:rPr>
        <w:t>The evolving nature of international deliberations concerning synthetic biology applications, including growing awareness and interest in the actual and potential implications of such applications to biodiversity and the objectives of the Convention, are evident in the decisions of the Conference of the Parties.</w:t>
      </w:r>
    </w:p>
    <w:p w14:paraId="69567D11" w14:textId="459F3FC3" w:rsidR="003D3BEA" w:rsidRPr="003D3BEA" w:rsidRDefault="1E56E0FA" w:rsidP="004155FD">
      <w:pPr>
        <w:spacing w:line="240" w:lineRule="auto"/>
        <w:jc w:val="both"/>
        <w:rPr>
          <w:rFonts w:ascii="Times New Roman" w:eastAsia="Times New Roman" w:hAnsi="Times New Roman"/>
        </w:rPr>
      </w:pPr>
      <w:r w:rsidRPr="29BA9D10">
        <w:rPr>
          <w:rFonts w:ascii="Times New Roman" w:eastAsia="Times New Roman" w:hAnsi="Times New Roman"/>
        </w:rPr>
        <w:t xml:space="preserve">The </w:t>
      </w:r>
      <w:r w:rsidR="003D3BEA" w:rsidRPr="003D3BEA">
        <w:rPr>
          <w:rFonts w:ascii="Times New Roman" w:eastAsia="Times New Roman" w:hAnsi="Times New Roman"/>
        </w:rPr>
        <w:t xml:space="preserve">first </w:t>
      </w:r>
      <w:r w:rsidR="10314163" w:rsidRPr="259F595E">
        <w:rPr>
          <w:rFonts w:ascii="Times New Roman" w:eastAsia="Times New Roman" w:hAnsi="Times New Roman"/>
        </w:rPr>
        <w:t xml:space="preserve">decision by the </w:t>
      </w:r>
      <w:r w:rsidR="4D8020AF" w:rsidRPr="29BA9D10">
        <w:rPr>
          <w:rFonts w:ascii="Times New Roman" w:eastAsia="Times New Roman" w:hAnsi="Times New Roman"/>
        </w:rPr>
        <w:t xml:space="preserve">COP </w:t>
      </w:r>
      <w:r w:rsidR="003D3BEA" w:rsidRPr="003D3BEA">
        <w:rPr>
          <w:rFonts w:ascii="Times New Roman" w:eastAsia="Times New Roman" w:hAnsi="Times New Roman"/>
        </w:rPr>
        <w:t xml:space="preserve">referring directly </w:t>
      </w:r>
      <w:r w:rsidR="3BF1E570" w:rsidRPr="259F595E">
        <w:rPr>
          <w:rFonts w:ascii="Times New Roman" w:eastAsia="Times New Roman" w:hAnsi="Times New Roman"/>
        </w:rPr>
        <w:t>to</w:t>
      </w:r>
      <w:r w:rsidR="003D3BEA" w:rsidRPr="259F595E">
        <w:rPr>
          <w:rFonts w:ascii="Times New Roman" w:eastAsia="Times New Roman" w:hAnsi="Times New Roman"/>
        </w:rPr>
        <w:t xml:space="preserve"> </w:t>
      </w:r>
      <w:r w:rsidR="003D3BEA" w:rsidRPr="003D3BEA">
        <w:rPr>
          <w:rFonts w:ascii="Times New Roman" w:eastAsia="Times New Roman" w:hAnsi="Times New Roman"/>
        </w:rPr>
        <w:t xml:space="preserve">synthetic biology </w:t>
      </w:r>
      <w:r w:rsidR="29CD6594" w:rsidRPr="29BA9D10">
        <w:rPr>
          <w:rFonts w:ascii="Times New Roman" w:eastAsia="Times New Roman" w:hAnsi="Times New Roman"/>
        </w:rPr>
        <w:t>was adopted by</w:t>
      </w:r>
      <w:r w:rsidR="003D3BEA" w:rsidRPr="003D3BEA">
        <w:rPr>
          <w:rFonts w:ascii="Times New Roman" w:eastAsia="Times New Roman" w:hAnsi="Times New Roman"/>
        </w:rPr>
        <w:t xml:space="preserve"> COP 10</w:t>
      </w:r>
      <w:r w:rsidR="6B22836F" w:rsidRPr="29BA9D10">
        <w:rPr>
          <w:rFonts w:ascii="Times New Roman" w:eastAsia="Times New Roman" w:hAnsi="Times New Roman"/>
        </w:rPr>
        <w:t xml:space="preserve"> in 2010. </w:t>
      </w:r>
      <w:r w:rsidR="6B22836F" w:rsidRPr="47750D34">
        <w:rPr>
          <w:rFonts w:ascii="Times New Roman" w:eastAsia="Times New Roman" w:hAnsi="Times New Roman"/>
        </w:rPr>
        <w:t>Since then</w:t>
      </w:r>
      <w:r w:rsidR="003D3BEA" w:rsidRPr="003D3BEA">
        <w:rPr>
          <w:rFonts w:ascii="Times New Roman" w:eastAsia="Times New Roman" w:hAnsi="Times New Roman"/>
        </w:rPr>
        <w:t xml:space="preserve">, the </w:t>
      </w:r>
      <w:r w:rsidR="003D3BEA" w:rsidRPr="62B02A77">
        <w:rPr>
          <w:rFonts w:ascii="Times New Roman" w:eastAsia="Times New Roman" w:hAnsi="Times New Roman"/>
        </w:rPr>
        <w:t>C</w:t>
      </w:r>
      <w:r w:rsidR="5A4FB960" w:rsidRPr="62B02A77">
        <w:rPr>
          <w:rFonts w:ascii="Times New Roman" w:eastAsia="Times New Roman" w:hAnsi="Times New Roman"/>
        </w:rPr>
        <w:t>OP</w:t>
      </w:r>
      <w:r w:rsidR="003D3BEA" w:rsidRPr="003D3BEA">
        <w:rPr>
          <w:rFonts w:ascii="Times New Roman" w:eastAsia="Times New Roman" w:hAnsi="Times New Roman"/>
        </w:rPr>
        <w:t xml:space="preserve"> </w:t>
      </w:r>
      <w:r w:rsidR="003D3BEA" w:rsidRPr="30C212EC">
        <w:rPr>
          <w:rFonts w:ascii="Times New Roman" w:eastAsia="Times New Roman" w:hAnsi="Times New Roman"/>
        </w:rPr>
        <w:t>ha</w:t>
      </w:r>
      <w:r w:rsidR="5F155A47" w:rsidRPr="30C212EC">
        <w:rPr>
          <w:rFonts w:ascii="Times New Roman" w:eastAsia="Times New Roman" w:hAnsi="Times New Roman"/>
        </w:rPr>
        <w:t>s</w:t>
      </w:r>
      <w:r w:rsidR="003D3BEA" w:rsidRPr="003D3BEA">
        <w:rPr>
          <w:rFonts w:ascii="Times New Roman" w:eastAsia="Times New Roman" w:hAnsi="Times New Roman"/>
        </w:rPr>
        <w:t xml:space="preserve"> </w:t>
      </w:r>
      <w:r w:rsidR="6C66F2E3" w:rsidRPr="30C212EC">
        <w:rPr>
          <w:rFonts w:ascii="Times New Roman" w:eastAsia="Times New Roman" w:hAnsi="Times New Roman"/>
        </w:rPr>
        <w:t xml:space="preserve">adopted </w:t>
      </w:r>
      <w:r w:rsidR="003D3BEA" w:rsidRPr="003D3BEA">
        <w:rPr>
          <w:rFonts w:ascii="Times New Roman" w:eastAsia="Times New Roman" w:hAnsi="Times New Roman"/>
        </w:rPr>
        <w:t xml:space="preserve">a </w:t>
      </w:r>
      <w:r w:rsidR="6520F058" w:rsidRPr="47750D34">
        <w:rPr>
          <w:rFonts w:ascii="Times New Roman" w:eastAsia="Times New Roman" w:hAnsi="Times New Roman"/>
        </w:rPr>
        <w:t>number</w:t>
      </w:r>
      <w:r w:rsidR="003D3BEA" w:rsidRPr="003D3BEA">
        <w:rPr>
          <w:rFonts w:ascii="Times New Roman" w:eastAsia="Times New Roman" w:hAnsi="Times New Roman"/>
        </w:rPr>
        <w:t xml:space="preserve"> of decisions </w:t>
      </w:r>
      <w:r w:rsidR="047DACEA" w:rsidRPr="47750D34">
        <w:rPr>
          <w:rFonts w:ascii="Times New Roman" w:eastAsia="Times New Roman" w:hAnsi="Times New Roman"/>
        </w:rPr>
        <w:t>concerning synthetic biology</w:t>
      </w:r>
      <w:r w:rsidR="003D3BEA" w:rsidRPr="003D3BEA">
        <w:rPr>
          <w:rFonts w:ascii="Times New Roman" w:eastAsia="Times New Roman" w:hAnsi="Times New Roman"/>
        </w:rPr>
        <w:t xml:space="preserve"> </w:t>
      </w:r>
      <w:r w:rsidR="21AA69D0" w:rsidRPr="47750D34">
        <w:rPr>
          <w:rFonts w:ascii="Times New Roman" w:eastAsia="Times New Roman" w:hAnsi="Times New Roman"/>
        </w:rPr>
        <w:t>as</w:t>
      </w:r>
      <w:r w:rsidR="003D3BEA" w:rsidRPr="47750D34">
        <w:rPr>
          <w:rFonts w:ascii="Times New Roman" w:eastAsia="Times New Roman" w:hAnsi="Times New Roman"/>
        </w:rPr>
        <w:t xml:space="preserve"> </w:t>
      </w:r>
      <w:r w:rsidR="003D3BEA" w:rsidRPr="003D3BEA">
        <w:rPr>
          <w:rFonts w:ascii="Times New Roman" w:eastAsia="Times New Roman" w:hAnsi="Times New Roman"/>
        </w:rPr>
        <w:t xml:space="preserve">summarised in Table </w:t>
      </w:r>
      <w:r w:rsidR="00CC3D57">
        <w:rPr>
          <w:rFonts w:ascii="Times New Roman" w:eastAsia="Times New Roman" w:hAnsi="Times New Roman"/>
        </w:rPr>
        <w:t>1</w:t>
      </w:r>
      <w:r w:rsidR="003D3BEA" w:rsidRPr="003D3BEA">
        <w:rPr>
          <w:rFonts w:ascii="Times New Roman" w:eastAsia="Times New Roman" w:hAnsi="Times New Roman"/>
        </w:rPr>
        <w:t xml:space="preserve"> below.</w:t>
      </w:r>
    </w:p>
    <w:p w14:paraId="3608ECFD" w14:textId="408EFF8B" w:rsidR="003D3BEA" w:rsidRPr="003D3BEA" w:rsidRDefault="003D3BEA" w:rsidP="004155FD">
      <w:pPr>
        <w:spacing w:line="240" w:lineRule="auto"/>
        <w:jc w:val="both"/>
        <w:rPr>
          <w:rFonts w:ascii="Times New Roman" w:eastAsia="Times New Roman" w:hAnsi="Times New Roman"/>
        </w:rPr>
      </w:pPr>
      <w:r w:rsidRPr="003D3BEA">
        <w:rPr>
          <w:rFonts w:ascii="Times New Roman" w:eastAsia="Times New Roman" w:hAnsi="Times New Roman"/>
        </w:rPr>
        <w:t xml:space="preserve">These incremental decisions have driven a steady build-up in intersessional activities focused on synthetic biology. COP 10 commenced a process of information gathering through invitations for the submission of information on synthetic biology which has been repeated for subsequent COP meetings, initially for the consideration by the Subsidiary Body on Scientific, Technical and Technological Advice (SBSTTA) and  subsequently to inform the deliberations the Ad Hoc Technical Advisory Group (AHTEG) on Synthetic Biology which was first established by the COP in Decision XII/24 and whose mandate has been extended at subsequent meetings. An open-ended online forum to support the work of the AHTEG has also been extended biennially. Synthetic biology-related documents such as submissions of information, AHTEG and online forum reports </w:t>
      </w:r>
      <w:r w:rsidR="79BD4419" w:rsidRPr="003D3BEA">
        <w:rPr>
          <w:rFonts w:ascii="Times New Roman" w:eastAsia="Times New Roman" w:hAnsi="Times New Roman"/>
        </w:rPr>
        <w:t xml:space="preserve">are </w:t>
      </w:r>
      <w:r w:rsidRPr="003D3BEA">
        <w:rPr>
          <w:rFonts w:ascii="Times New Roman" w:eastAsia="Times New Roman" w:hAnsi="Times New Roman"/>
        </w:rPr>
        <w:t>available through the online portal on Synthetic</w:t>
      </w:r>
      <w:r w:rsidR="00B76AA7">
        <w:rPr>
          <w:rFonts w:ascii="Times New Roman" w:eastAsia="Times New Roman" w:hAnsi="Times New Roman"/>
        </w:rPr>
        <w:t xml:space="preserve"> Biology</w:t>
      </w:r>
      <w:r w:rsidR="00806F87">
        <w:rPr>
          <w:rStyle w:val="FootnoteReference"/>
          <w:rFonts w:ascii="Times New Roman" w:eastAsia="Times New Roman" w:hAnsi="Times New Roman"/>
        </w:rPr>
        <w:footnoteReference w:id="45"/>
      </w:r>
      <w:r w:rsidRPr="003D3BEA">
        <w:rPr>
          <w:rFonts w:ascii="Times New Roman" w:eastAsia="Times New Roman" w:hAnsi="Times New Roman"/>
        </w:rPr>
        <w:t>. The outcomes of the AHTEG on Synthetic Biology are considered at meetings of SBSTTA whose recommendations form the basis of draft decisions that are negotiated at subsequent COP meetings. Additionally, acknowledging that the provisions of the Cartagena Protocol on Biosafety may also apply to living organisms resulting from synthetic biology, the Parties to the Convention and the Protocol have implemented a coordinated approach on the issue of synthetic biology</w:t>
      </w:r>
      <w:r w:rsidRPr="003D3BEA">
        <w:rPr>
          <w:rFonts w:ascii="Times New Roman" w:eastAsia="Times New Roman" w:hAnsi="Times New Roman"/>
          <w:vertAlign w:val="superscript"/>
        </w:rPr>
        <w:footnoteReference w:id="46"/>
      </w:r>
      <w:r w:rsidRPr="003D3BEA">
        <w:rPr>
          <w:rFonts w:ascii="Times New Roman" w:eastAsia="Times New Roman" w:hAnsi="Times New Roman"/>
        </w:rPr>
        <w:t>.</w:t>
      </w:r>
    </w:p>
    <w:p w14:paraId="0F786A66" w14:textId="01470818" w:rsidR="003D3BEA" w:rsidRPr="003D3BEA" w:rsidRDefault="003D3BEA" w:rsidP="003D3BEA">
      <w:pPr>
        <w:spacing w:after="60" w:line="240" w:lineRule="auto"/>
        <w:jc w:val="both"/>
        <w:rPr>
          <w:rFonts w:ascii="Times New Roman" w:eastAsia="Times New Roman" w:hAnsi="Times New Roman"/>
        </w:rPr>
      </w:pPr>
      <w:r w:rsidRPr="003D3BEA">
        <w:rPr>
          <w:rFonts w:ascii="Times New Roman" w:eastAsia="SimSun" w:hAnsi="Times New Roman"/>
          <w:b/>
          <w:bCs/>
        </w:rPr>
        <w:t xml:space="preserve">Table </w:t>
      </w:r>
      <w:r w:rsidR="00CC3D57">
        <w:rPr>
          <w:rFonts w:ascii="Times New Roman" w:eastAsia="SimSun" w:hAnsi="Times New Roman"/>
          <w:b/>
          <w:bCs/>
        </w:rPr>
        <w:t>1</w:t>
      </w:r>
      <w:r w:rsidR="00E7475C">
        <w:rPr>
          <w:rFonts w:ascii="Times New Roman" w:eastAsia="SimSun" w:hAnsi="Times New Roman"/>
          <w:b/>
          <w:bCs/>
        </w:rPr>
        <w:t>.</w:t>
      </w:r>
      <w:r w:rsidRPr="003D3BEA">
        <w:rPr>
          <w:rFonts w:ascii="Times New Roman" w:eastAsia="Times New Roman" w:hAnsi="Times New Roman"/>
        </w:rPr>
        <w:t xml:space="preserve"> Summary of COP 10-14 Decisions concerning Synthetic Biology</w:t>
      </w:r>
      <w:r w:rsidR="00E7475C">
        <w:rPr>
          <w:rFonts w:ascii="Times New Roman" w:eastAsia="Times New Roman" w:hAnsi="Times New Roman"/>
        </w:rPr>
        <w:t>.</w:t>
      </w:r>
    </w:p>
    <w:tbl>
      <w:tblPr>
        <w:tblStyle w:val="TableGrid"/>
        <w:tblW w:w="9360" w:type="dxa"/>
        <w:tblLayout w:type="fixed"/>
        <w:tblLook w:val="04A0" w:firstRow="1" w:lastRow="0" w:firstColumn="1" w:lastColumn="0" w:noHBand="0" w:noVBand="1"/>
      </w:tblPr>
      <w:tblGrid>
        <w:gridCol w:w="985"/>
        <w:gridCol w:w="1325"/>
        <w:gridCol w:w="7050"/>
      </w:tblGrid>
      <w:tr w:rsidR="003D3BEA" w:rsidRPr="003D3BEA" w14:paraId="340B1649" w14:textId="77777777" w:rsidTr="007F09C1">
        <w:tc>
          <w:tcPr>
            <w:tcW w:w="985" w:type="dxa"/>
          </w:tcPr>
          <w:p w14:paraId="19967F48" w14:textId="77777777" w:rsidR="003D3BEA" w:rsidRPr="003D3BEA" w:rsidRDefault="003D3BEA" w:rsidP="003D3BEA">
            <w:pPr>
              <w:spacing w:before="40" w:after="40" w:line="240" w:lineRule="auto"/>
              <w:rPr>
                <w:rFonts w:ascii="Times New Roman" w:hAnsi="Times New Roman"/>
                <w:sz w:val="20"/>
                <w:szCs w:val="20"/>
              </w:rPr>
            </w:pPr>
            <w:r w:rsidRPr="003D3BEA">
              <w:rPr>
                <w:rFonts w:ascii="Times New Roman" w:hAnsi="Times New Roman"/>
                <w:color w:val="000000" w:themeColor="text1"/>
                <w:sz w:val="20"/>
                <w:szCs w:val="20"/>
              </w:rPr>
              <w:t>Decision</w:t>
            </w:r>
          </w:p>
        </w:tc>
        <w:tc>
          <w:tcPr>
            <w:tcW w:w="1325" w:type="dxa"/>
          </w:tcPr>
          <w:p w14:paraId="3D9DB7C9" w14:textId="77777777" w:rsidR="003D3BEA" w:rsidRPr="003D3BEA" w:rsidRDefault="003D3BEA" w:rsidP="003D3BEA">
            <w:pPr>
              <w:spacing w:before="40" w:after="40" w:line="240" w:lineRule="auto"/>
              <w:rPr>
                <w:rFonts w:ascii="Times New Roman" w:hAnsi="Times New Roman"/>
                <w:sz w:val="20"/>
                <w:szCs w:val="20"/>
              </w:rPr>
            </w:pPr>
            <w:r w:rsidRPr="003D3BEA">
              <w:rPr>
                <w:rFonts w:ascii="Times New Roman" w:hAnsi="Times New Roman"/>
                <w:color w:val="000000" w:themeColor="text1"/>
                <w:sz w:val="20"/>
                <w:szCs w:val="20"/>
              </w:rPr>
              <w:t>Title</w:t>
            </w:r>
          </w:p>
        </w:tc>
        <w:tc>
          <w:tcPr>
            <w:tcW w:w="7050" w:type="dxa"/>
          </w:tcPr>
          <w:p w14:paraId="66A0708F" w14:textId="77777777" w:rsidR="003D3BEA" w:rsidRPr="003D3BEA" w:rsidRDefault="003D3BEA" w:rsidP="003D3BEA">
            <w:pPr>
              <w:spacing w:before="40" w:after="40" w:line="240" w:lineRule="auto"/>
              <w:rPr>
                <w:rFonts w:ascii="Times New Roman" w:hAnsi="Times New Roman"/>
                <w:sz w:val="20"/>
                <w:szCs w:val="20"/>
              </w:rPr>
            </w:pPr>
            <w:r w:rsidRPr="003D3BEA">
              <w:rPr>
                <w:rFonts w:ascii="Times New Roman" w:hAnsi="Times New Roman"/>
                <w:color w:val="000000" w:themeColor="text1"/>
                <w:sz w:val="20"/>
                <w:szCs w:val="20"/>
              </w:rPr>
              <w:t>Key issues</w:t>
            </w:r>
          </w:p>
        </w:tc>
      </w:tr>
      <w:tr w:rsidR="003D3BEA" w:rsidRPr="003D3BEA" w14:paraId="695EF1CD" w14:textId="77777777" w:rsidTr="007F09C1">
        <w:tc>
          <w:tcPr>
            <w:tcW w:w="985" w:type="dxa"/>
          </w:tcPr>
          <w:p w14:paraId="2862BD6C" w14:textId="77777777" w:rsidR="003D3BEA" w:rsidRPr="003D3BEA" w:rsidRDefault="003D3BEA" w:rsidP="003D3BEA">
            <w:pPr>
              <w:spacing w:before="40" w:after="40" w:line="240" w:lineRule="auto"/>
              <w:rPr>
                <w:rFonts w:ascii="Times New Roman" w:hAnsi="Times New Roman"/>
                <w:sz w:val="20"/>
                <w:szCs w:val="20"/>
              </w:rPr>
            </w:pPr>
            <w:r w:rsidRPr="003D3BEA">
              <w:rPr>
                <w:rFonts w:ascii="Times New Roman" w:hAnsi="Times New Roman"/>
                <w:color w:val="000000" w:themeColor="text1"/>
                <w:sz w:val="20"/>
                <w:szCs w:val="20"/>
              </w:rPr>
              <w:t>X/13, para. 4 (2010)</w:t>
            </w:r>
          </w:p>
        </w:tc>
        <w:tc>
          <w:tcPr>
            <w:tcW w:w="1325" w:type="dxa"/>
          </w:tcPr>
          <w:p w14:paraId="6F0995F9" w14:textId="77777777" w:rsidR="003D3BEA" w:rsidRPr="003D3BEA" w:rsidRDefault="003D3BEA" w:rsidP="003D3BEA">
            <w:pPr>
              <w:spacing w:before="40" w:after="40" w:line="240" w:lineRule="auto"/>
              <w:rPr>
                <w:rFonts w:ascii="Times New Roman" w:hAnsi="Times New Roman"/>
                <w:sz w:val="20"/>
                <w:szCs w:val="20"/>
              </w:rPr>
            </w:pPr>
            <w:r w:rsidRPr="003D3BEA">
              <w:rPr>
                <w:rFonts w:ascii="Times New Roman" w:hAnsi="Times New Roman"/>
                <w:color w:val="000000" w:themeColor="text1"/>
                <w:sz w:val="20"/>
                <w:szCs w:val="20"/>
              </w:rPr>
              <w:t>New and emerging issues</w:t>
            </w:r>
          </w:p>
        </w:tc>
        <w:tc>
          <w:tcPr>
            <w:tcW w:w="7050" w:type="dxa"/>
          </w:tcPr>
          <w:p w14:paraId="5EF147DE" w14:textId="0A962209" w:rsidR="003D3BEA" w:rsidRPr="003D3BEA" w:rsidRDefault="003D3BEA" w:rsidP="00F45AA3">
            <w:pPr>
              <w:spacing w:before="40" w:after="40" w:line="240" w:lineRule="auto"/>
              <w:jc w:val="both"/>
              <w:rPr>
                <w:rFonts w:ascii="Times New Roman" w:hAnsi="Times New Roman"/>
                <w:sz w:val="20"/>
                <w:szCs w:val="20"/>
              </w:rPr>
            </w:pPr>
            <w:r w:rsidRPr="003D3BEA">
              <w:rPr>
                <w:rFonts w:ascii="Times New Roman" w:hAnsi="Times New Roman"/>
                <w:color w:val="000000" w:themeColor="text1"/>
                <w:sz w:val="20"/>
                <w:szCs w:val="20"/>
              </w:rPr>
              <w:t xml:space="preserve">- </w:t>
            </w:r>
            <w:r w:rsidR="004B5E93">
              <w:rPr>
                <w:rFonts w:ascii="Times New Roman" w:hAnsi="Times New Roman"/>
                <w:color w:val="000000" w:themeColor="text1"/>
                <w:sz w:val="20"/>
                <w:szCs w:val="20"/>
              </w:rPr>
              <w:t xml:space="preserve">Invited Parties, other Governments and relevant organizations to apply </w:t>
            </w:r>
            <w:r w:rsidR="425E8763" w:rsidRPr="3FA71492">
              <w:rPr>
                <w:rFonts w:ascii="Times New Roman" w:hAnsi="Times New Roman"/>
                <w:color w:val="000000" w:themeColor="text1"/>
                <w:sz w:val="20"/>
                <w:szCs w:val="20"/>
              </w:rPr>
              <w:t>the</w:t>
            </w:r>
            <w:r w:rsidRPr="003D3BEA">
              <w:rPr>
                <w:rFonts w:ascii="Times New Roman" w:hAnsi="Times New Roman"/>
                <w:color w:val="000000" w:themeColor="text1"/>
                <w:sz w:val="20"/>
                <w:szCs w:val="20"/>
              </w:rPr>
              <w:t xml:space="preserve"> precautionary approach </w:t>
            </w:r>
            <w:r w:rsidR="5A585B50" w:rsidRPr="3FA71492">
              <w:rPr>
                <w:rFonts w:ascii="Times New Roman" w:hAnsi="Times New Roman"/>
                <w:color w:val="000000" w:themeColor="text1"/>
                <w:sz w:val="20"/>
                <w:szCs w:val="20"/>
              </w:rPr>
              <w:t xml:space="preserve">to the </w:t>
            </w:r>
            <w:r w:rsidRPr="003D3BEA">
              <w:rPr>
                <w:rFonts w:ascii="Times New Roman" w:hAnsi="Times New Roman"/>
                <w:color w:val="000000" w:themeColor="text1"/>
                <w:sz w:val="20"/>
                <w:szCs w:val="20"/>
              </w:rPr>
              <w:t>field release of synthetic life, cell or genome into the environment</w:t>
            </w:r>
            <w:r w:rsidR="00E566A0">
              <w:rPr>
                <w:rFonts w:ascii="Times New Roman" w:hAnsi="Times New Roman"/>
                <w:color w:val="000000" w:themeColor="text1"/>
                <w:sz w:val="20"/>
                <w:szCs w:val="20"/>
              </w:rPr>
              <w:t>.</w:t>
            </w:r>
          </w:p>
        </w:tc>
      </w:tr>
      <w:tr w:rsidR="003D3BEA" w:rsidRPr="003D3BEA" w14:paraId="71FEEC57" w14:textId="77777777" w:rsidTr="007F09C1">
        <w:tc>
          <w:tcPr>
            <w:tcW w:w="985" w:type="dxa"/>
          </w:tcPr>
          <w:p w14:paraId="7A6F43B9" w14:textId="77777777" w:rsidR="003D3BEA" w:rsidRPr="003D3BEA" w:rsidRDefault="003D3BEA" w:rsidP="003D3BEA">
            <w:pPr>
              <w:spacing w:before="40" w:after="40" w:line="240" w:lineRule="auto"/>
              <w:rPr>
                <w:rFonts w:ascii="Times New Roman" w:hAnsi="Times New Roman"/>
                <w:sz w:val="20"/>
                <w:szCs w:val="20"/>
              </w:rPr>
            </w:pPr>
            <w:r w:rsidRPr="003D3BEA">
              <w:rPr>
                <w:rFonts w:ascii="Times New Roman" w:hAnsi="Times New Roman"/>
                <w:color w:val="000000" w:themeColor="text1"/>
                <w:sz w:val="20"/>
                <w:szCs w:val="20"/>
              </w:rPr>
              <w:t>X/37, para. 16 (2010)</w:t>
            </w:r>
          </w:p>
        </w:tc>
        <w:tc>
          <w:tcPr>
            <w:tcW w:w="1325" w:type="dxa"/>
          </w:tcPr>
          <w:p w14:paraId="198612E2" w14:textId="77777777" w:rsidR="003D3BEA" w:rsidRPr="003D3BEA" w:rsidRDefault="003D3BEA" w:rsidP="003D3BEA">
            <w:pPr>
              <w:spacing w:before="40" w:after="40" w:line="240" w:lineRule="auto"/>
              <w:rPr>
                <w:rFonts w:ascii="Times New Roman" w:hAnsi="Times New Roman"/>
                <w:sz w:val="20"/>
                <w:szCs w:val="20"/>
              </w:rPr>
            </w:pPr>
            <w:r w:rsidRPr="003D3BEA">
              <w:rPr>
                <w:rFonts w:ascii="Times New Roman" w:hAnsi="Times New Roman"/>
                <w:color w:val="000000" w:themeColor="text1"/>
                <w:sz w:val="20"/>
                <w:szCs w:val="20"/>
              </w:rPr>
              <w:t xml:space="preserve">Biofuels and biodiversity </w:t>
            </w:r>
          </w:p>
        </w:tc>
        <w:tc>
          <w:tcPr>
            <w:tcW w:w="7050" w:type="dxa"/>
          </w:tcPr>
          <w:p w14:paraId="5C9F9AB5" w14:textId="111AEC7A" w:rsidR="003D3BEA" w:rsidRPr="003D3BEA" w:rsidRDefault="003D3BEA" w:rsidP="00F20169">
            <w:pPr>
              <w:spacing w:before="40" w:after="120" w:line="240" w:lineRule="auto"/>
              <w:jc w:val="both"/>
              <w:rPr>
                <w:rFonts w:ascii="Times New Roman" w:hAnsi="Times New Roman"/>
                <w:sz w:val="20"/>
                <w:szCs w:val="20"/>
              </w:rPr>
            </w:pPr>
            <w:r w:rsidRPr="003D3BEA">
              <w:rPr>
                <w:rFonts w:ascii="Times New Roman" w:hAnsi="Times New Roman"/>
                <w:color w:val="000000" w:themeColor="text1"/>
                <w:sz w:val="20"/>
                <w:szCs w:val="20"/>
              </w:rPr>
              <w:t xml:space="preserve">- </w:t>
            </w:r>
            <w:r w:rsidR="00B31EEE">
              <w:rPr>
                <w:rFonts w:ascii="Times New Roman" w:hAnsi="Times New Roman"/>
                <w:color w:val="000000" w:themeColor="text1"/>
                <w:sz w:val="20"/>
                <w:szCs w:val="20"/>
              </w:rPr>
              <w:t xml:space="preserve">Urged </w:t>
            </w:r>
            <w:r w:rsidR="00EE2DF3">
              <w:rPr>
                <w:rFonts w:ascii="Times New Roman" w:hAnsi="Times New Roman"/>
                <w:color w:val="000000" w:themeColor="text1"/>
                <w:sz w:val="20"/>
                <w:szCs w:val="20"/>
              </w:rPr>
              <w:t xml:space="preserve">the application of </w:t>
            </w:r>
            <w:r w:rsidR="5633DD2F" w:rsidRPr="61BC10FC">
              <w:rPr>
                <w:rFonts w:ascii="Times New Roman" w:hAnsi="Times New Roman"/>
                <w:color w:val="000000" w:themeColor="text1"/>
                <w:sz w:val="20"/>
                <w:szCs w:val="20"/>
              </w:rPr>
              <w:t>the</w:t>
            </w:r>
            <w:r w:rsidRPr="003D3BEA">
              <w:rPr>
                <w:rFonts w:ascii="Times New Roman" w:hAnsi="Times New Roman"/>
                <w:color w:val="000000" w:themeColor="text1"/>
                <w:sz w:val="20"/>
                <w:szCs w:val="20"/>
              </w:rPr>
              <w:t xml:space="preserve"> precautionary approach </w:t>
            </w:r>
            <w:r w:rsidR="00B31EEE">
              <w:rPr>
                <w:rFonts w:ascii="Times New Roman" w:hAnsi="Times New Roman"/>
                <w:color w:val="000000" w:themeColor="text1"/>
                <w:sz w:val="20"/>
                <w:szCs w:val="20"/>
              </w:rPr>
              <w:t xml:space="preserve">to the introduction </w:t>
            </w:r>
            <w:r w:rsidRPr="003D3BEA">
              <w:rPr>
                <w:rFonts w:ascii="Times New Roman" w:hAnsi="Times New Roman"/>
                <w:color w:val="000000" w:themeColor="text1"/>
                <w:sz w:val="20"/>
                <w:szCs w:val="20"/>
              </w:rPr>
              <w:t>and use of living modified organisms in biofuel production as well as to the field release of synthetic life, cell, or genome into the environment</w:t>
            </w:r>
            <w:r w:rsidR="1B89AB0D" w:rsidRPr="61BC10FC">
              <w:rPr>
                <w:rFonts w:ascii="Times New Roman" w:hAnsi="Times New Roman"/>
                <w:color w:val="000000" w:themeColor="text1"/>
                <w:sz w:val="20"/>
                <w:szCs w:val="20"/>
              </w:rPr>
              <w:t xml:space="preserve">, </w:t>
            </w:r>
            <w:r w:rsidR="76DD3F6A" w:rsidRPr="61BC10FC">
              <w:rPr>
                <w:rFonts w:ascii="Times New Roman" w:hAnsi="Times New Roman"/>
                <w:color w:val="000000" w:themeColor="text1"/>
                <w:sz w:val="20"/>
                <w:szCs w:val="20"/>
              </w:rPr>
              <w:t>a</w:t>
            </w:r>
            <w:r w:rsidR="00EB7367" w:rsidRPr="61BC10FC">
              <w:rPr>
                <w:rFonts w:ascii="Times New Roman" w:hAnsi="Times New Roman"/>
                <w:color w:val="000000" w:themeColor="text1"/>
                <w:sz w:val="20"/>
                <w:szCs w:val="20"/>
              </w:rPr>
              <w:t>cknowledg</w:t>
            </w:r>
            <w:r w:rsidR="50A4BB7E" w:rsidRPr="61BC10FC">
              <w:rPr>
                <w:rFonts w:ascii="Times New Roman" w:hAnsi="Times New Roman"/>
                <w:color w:val="000000" w:themeColor="text1"/>
                <w:sz w:val="20"/>
                <w:szCs w:val="20"/>
              </w:rPr>
              <w:t>ing</w:t>
            </w:r>
            <w:r w:rsidR="00EB7367">
              <w:rPr>
                <w:rFonts w:ascii="Times New Roman" w:hAnsi="Times New Roman"/>
                <w:color w:val="000000" w:themeColor="text1"/>
                <w:sz w:val="20"/>
                <w:szCs w:val="20"/>
              </w:rPr>
              <w:t xml:space="preserve"> the entitlement of Parties to </w:t>
            </w:r>
            <w:r w:rsidRPr="003D3BEA">
              <w:rPr>
                <w:rFonts w:ascii="Times New Roman" w:hAnsi="Times New Roman"/>
                <w:color w:val="000000" w:themeColor="text1"/>
                <w:sz w:val="20"/>
                <w:szCs w:val="20"/>
              </w:rPr>
              <w:t>suspen</w:t>
            </w:r>
            <w:r w:rsidR="00EB7367">
              <w:rPr>
                <w:rFonts w:ascii="Times New Roman" w:hAnsi="Times New Roman"/>
                <w:color w:val="000000" w:themeColor="text1"/>
                <w:sz w:val="20"/>
                <w:szCs w:val="20"/>
              </w:rPr>
              <w:t>d</w:t>
            </w:r>
            <w:r w:rsidRPr="003D3BEA">
              <w:rPr>
                <w:rFonts w:ascii="Times New Roman" w:hAnsi="Times New Roman"/>
                <w:color w:val="000000" w:themeColor="text1"/>
                <w:sz w:val="20"/>
                <w:szCs w:val="20"/>
              </w:rPr>
              <w:t xml:space="preserve"> the release of synthetic life, cell, or genome into the environment</w:t>
            </w:r>
            <w:r w:rsidR="00F20169">
              <w:rPr>
                <w:rFonts w:ascii="Times New Roman" w:hAnsi="Times New Roman"/>
                <w:color w:val="000000" w:themeColor="text1"/>
                <w:sz w:val="20"/>
                <w:szCs w:val="20"/>
              </w:rPr>
              <w:t>.</w:t>
            </w:r>
            <w:r w:rsidRPr="003D3BEA">
              <w:rPr>
                <w:rFonts w:ascii="Times New Roman" w:hAnsi="Times New Roman"/>
                <w:color w:val="000000" w:themeColor="text1"/>
                <w:sz w:val="20"/>
                <w:szCs w:val="20"/>
              </w:rPr>
              <w:t xml:space="preserve"> </w:t>
            </w:r>
          </w:p>
        </w:tc>
      </w:tr>
      <w:tr w:rsidR="003D3BEA" w:rsidRPr="003D3BEA" w14:paraId="712A2A1A" w14:textId="77777777" w:rsidTr="007F09C1">
        <w:tc>
          <w:tcPr>
            <w:tcW w:w="985" w:type="dxa"/>
          </w:tcPr>
          <w:p w14:paraId="5BBDB699" w14:textId="77777777" w:rsidR="003D3BEA" w:rsidRPr="003D3BEA" w:rsidRDefault="003D3BEA" w:rsidP="003D3BEA">
            <w:pPr>
              <w:spacing w:before="40" w:after="40" w:line="240" w:lineRule="auto"/>
              <w:rPr>
                <w:rFonts w:ascii="Times New Roman" w:hAnsi="Times New Roman"/>
                <w:sz w:val="20"/>
                <w:szCs w:val="20"/>
              </w:rPr>
            </w:pPr>
            <w:r w:rsidRPr="003D3BEA">
              <w:rPr>
                <w:rFonts w:ascii="Times New Roman" w:hAnsi="Times New Roman"/>
                <w:color w:val="000000" w:themeColor="text1"/>
                <w:sz w:val="20"/>
                <w:szCs w:val="20"/>
              </w:rPr>
              <w:t>XI/11 paras. 3 and 4 (2012)</w:t>
            </w:r>
          </w:p>
        </w:tc>
        <w:tc>
          <w:tcPr>
            <w:tcW w:w="1325" w:type="dxa"/>
          </w:tcPr>
          <w:p w14:paraId="1812E221" w14:textId="77777777" w:rsidR="003D3BEA" w:rsidRPr="003D3BEA" w:rsidRDefault="003D3BEA" w:rsidP="003D3BEA">
            <w:pPr>
              <w:spacing w:before="40" w:after="40" w:line="240" w:lineRule="auto"/>
              <w:rPr>
                <w:rFonts w:ascii="Times New Roman" w:hAnsi="Times New Roman"/>
                <w:sz w:val="20"/>
                <w:szCs w:val="20"/>
              </w:rPr>
            </w:pPr>
            <w:r w:rsidRPr="003D3BEA">
              <w:rPr>
                <w:rFonts w:ascii="Times New Roman" w:hAnsi="Times New Roman"/>
                <w:color w:val="000000" w:themeColor="text1"/>
                <w:sz w:val="20"/>
                <w:szCs w:val="20"/>
              </w:rPr>
              <w:t>New and emerging issues</w:t>
            </w:r>
          </w:p>
        </w:tc>
        <w:tc>
          <w:tcPr>
            <w:tcW w:w="7050" w:type="dxa"/>
          </w:tcPr>
          <w:p w14:paraId="0385377C" w14:textId="38F66358" w:rsidR="003D3BEA" w:rsidRPr="003D3BEA" w:rsidRDefault="003D3BEA" w:rsidP="00F20169">
            <w:pPr>
              <w:spacing w:before="40" w:after="40" w:line="240" w:lineRule="auto"/>
              <w:jc w:val="both"/>
              <w:rPr>
                <w:rFonts w:ascii="Times New Roman" w:hAnsi="Times New Roman"/>
                <w:sz w:val="20"/>
                <w:szCs w:val="20"/>
              </w:rPr>
            </w:pPr>
            <w:r w:rsidRPr="003D3BEA">
              <w:rPr>
                <w:rFonts w:ascii="Times New Roman" w:hAnsi="Times New Roman"/>
                <w:color w:val="000000" w:themeColor="text1"/>
                <w:sz w:val="20"/>
                <w:szCs w:val="20"/>
              </w:rPr>
              <w:t xml:space="preserve">- </w:t>
            </w:r>
            <w:r w:rsidR="00FC08BF" w:rsidRPr="61BC10FC">
              <w:rPr>
                <w:rFonts w:ascii="Times New Roman" w:hAnsi="Times New Roman"/>
                <w:color w:val="000000" w:themeColor="text1"/>
                <w:sz w:val="20"/>
                <w:szCs w:val="20"/>
              </w:rPr>
              <w:t>N</w:t>
            </w:r>
            <w:r w:rsidR="1C582F77" w:rsidRPr="61BC10FC">
              <w:rPr>
                <w:rFonts w:ascii="Times New Roman" w:hAnsi="Times New Roman"/>
                <w:color w:val="000000" w:themeColor="text1"/>
                <w:sz w:val="20"/>
                <w:szCs w:val="20"/>
              </w:rPr>
              <w:t xml:space="preserve">oting </w:t>
            </w:r>
            <w:r w:rsidR="29C90DB9" w:rsidRPr="61BC10FC">
              <w:rPr>
                <w:rFonts w:ascii="Times New Roman" w:hAnsi="Times New Roman"/>
                <w:color w:val="000000" w:themeColor="text1"/>
                <w:sz w:val="20"/>
                <w:szCs w:val="20"/>
              </w:rPr>
              <w:t>t</w:t>
            </w:r>
            <w:r w:rsidR="00523DA1" w:rsidRPr="61BC10FC">
              <w:rPr>
                <w:rFonts w:ascii="Times New Roman" w:hAnsi="Times New Roman"/>
                <w:color w:val="000000" w:themeColor="text1"/>
                <w:sz w:val="20"/>
                <w:szCs w:val="20"/>
              </w:rPr>
              <w:t>he</w:t>
            </w:r>
            <w:r w:rsidR="00523DA1">
              <w:rPr>
                <w:rFonts w:ascii="Times New Roman" w:hAnsi="Times New Roman"/>
                <w:color w:val="000000" w:themeColor="text1"/>
                <w:sz w:val="20"/>
                <w:szCs w:val="20"/>
              </w:rPr>
              <w:t xml:space="preserve"> need to consider the potential</w:t>
            </w:r>
            <w:r w:rsidRPr="003D3BEA">
              <w:rPr>
                <w:rFonts w:ascii="Times New Roman" w:hAnsi="Times New Roman"/>
                <w:color w:val="000000" w:themeColor="text1"/>
                <w:sz w:val="20"/>
                <w:szCs w:val="20"/>
              </w:rPr>
              <w:t xml:space="preserve"> impacts of components, organisms and products resulting from synthetic biology techniques on the conservation and sustainable use of biological</w:t>
            </w:r>
            <w:r w:rsidR="00EC9D99" w:rsidRPr="61BC10FC">
              <w:rPr>
                <w:rFonts w:ascii="Times New Roman" w:hAnsi="Times New Roman"/>
                <w:color w:val="000000" w:themeColor="text1"/>
                <w:sz w:val="20"/>
                <w:szCs w:val="20"/>
              </w:rPr>
              <w:t xml:space="preserve"> </w:t>
            </w:r>
            <w:r w:rsidRPr="003D3BEA">
              <w:rPr>
                <w:rFonts w:ascii="Times New Roman" w:hAnsi="Times New Roman"/>
                <w:color w:val="000000" w:themeColor="text1"/>
                <w:sz w:val="20"/>
                <w:szCs w:val="20"/>
              </w:rPr>
              <w:t>diversity and associated social, economic and cultural considerations</w:t>
            </w:r>
            <w:r w:rsidR="00F20169">
              <w:rPr>
                <w:rFonts w:ascii="Times New Roman" w:hAnsi="Times New Roman"/>
                <w:color w:val="000000" w:themeColor="text1"/>
                <w:sz w:val="20"/>
                <w:szCs w:val="20"/>
              </w:rPr>
              <w:t>.</w:t>
            </w:r>
          </w:p>
          <w:p w14:paraId="41EB0BA2" w14:textId="6903FCD3" w:rsidR="003D3BEA" w:rsidRPr="003D3BEA" w:rsidRDefault="003D3BEA" w:rsidP="00F20169">
            <w:pPr>
              <w:spacing w:before="40" w:after="120" w:line="240" w:lineRule="auto"/>
              <w:jc w:val="both"/>
              <w:rPr>
                <w:rFonts w:ascii="Times New Roman" w:hAnsi="Times New Roman"/>
                <w:sz w:val="20"/>
                <w:szCs w:val="20"/>
              </w:rPr>
            </w:pPr>
            <w:r w:rsidRPr="387ABFB3">
              <w:rPr>
                <w:rFonts w:ascii="Times New Roman" w:hAnsi="Times New Roman"/>
                <w:color w:val="000000" w:themeColor="text1"/>
                <w:sz w:val="20"/>
                <w:szCs w:val="20"/>
              </w:rPr>
              <w:t xml:space="preserve">- </w:t>
            </w:r>
            <w:r w:rsidR="00532F2A" w:rsidRPr="387ABFB3">
              <w:rPr>
                <w:rFonts w:ascii="Times New Roman" w:eastAsia="Times New Roman" w:hAnsi="Times New Roman"/>
                <w:sz w:val="20"/>
                <w:szCs w:val="20"/>
              </w:rPr>
              <w:t>Recogni</w:t>
            </w:r>
            <w:r w:rsidR="00532F2A">
              <w:rPr>
                <w:rFonts w:ascii="Times New Roman" w:eastAsia="Times New Roman" w:hAnsi="Times New Roman"/>
                <w:sz w:val="20"/>
                <w:szCs w:val="20"/>
              </w:rPr>
              <w:t>s</w:t>
            </w:r>
            <w:r w:rsidR="00532F2A" w:rsidRPr="387ABFB3">
              <w:rPr>
                <w:rFonts w:ascii="Times New Roman" w:eastAsia="Times New Roman" w:hAnsi="Times New Roman"/>
                <w:sz w:val="20"/>
                <w:szCs w:val="20"/>
              </w:rPr>
              <w:t xml:space="preserve">ing </w:t>
            </w:r>
            <w:r w:rsidR="41518DEA" w:rsidRPr="387ABFB3">
              <w:rPr>
                <w:rFonts w:ascii="Times New Roman" w:eastAsia="Times New Roman" w:hAnsi="Times New Roman"/>
                <w:sz w:val="20"/>
                <w:szCs w:val="20"/>
              </w:rPr>
              <w:t>the development of technologies associated with synthetic life, cells or genomes, and the scientific uncertainties of their potential impact on the conservation and sustainable use of biological diversity,</w:t>
            </w:r>
            <w:r w:rsidR="41518DEA" w:rsidRPr="387ABFB3">
              <w:rPr>
                <w:rFonts w:ascii="Times New Roman" w:hAnsi="Times New Roman"/>
                <w:color w:val="000000" w:themeColor="text1"/>
                <w:sz w:val="20"/>
                <w:szCs w:val="20"/>
              </w:rPr>
              <w:t xml:space="preserve"> </w:t>
            </w:r>
            <w:r w:rsidR="20D2F104" w:rsidRPr="387ABFB3">
              <w:rPr>
                <w:rFonts w:ascii="Times New Roman" w:hAnsi="Times New Roman"/>
                <w:color w:val="000000" w:themeColor="text1"/>
                <w:sz w:val="20"/>
                <w:szCs w:val="20"/>
              </w:rPr>
              <w:t>u</w:t>
            </w:r>
            <w:r w:rsidR="00C74462" w:rsidRPr="387ABFB3">
              <w:rPr>
                <w:rFonts w:ascii="Times New Roman" w:hAnsi="Times New Roman"/>
                <w:color w:val="000000" w:themeColor="text1"/>
                <w:sz w:val="20"/>
                <w:szCs w:val="20"/>
              </w:rPr>
              <w:t xml:space="preserve">rged Parties and </w:t>
            </w:r>
            <w:r w:rsidR="7557507B" w:rsidRPr="387ABFB3">
              <w:rPr>
                <w:rFonts w:ascii="Times New Roman" w:hAnsi="Times New Roman"/>
                <w:color w:val="000000" w:themeColor="text1"/>
                <w:sz w:val="20"/>
                <w:szCs w:val="20"/>
              </w:rPr>
              <w:t>invite</w:t>
            </w:r>
            <w:r w:rsidR="7A6FABE3" w:rsidRPr="387ABFB3">
              <w:rPr>
                <w:rFonts w:ascii="Times New Roman" w:hAnsi="Times New Roman"/>
                <w:color w:val="000000" w:themeColor="text1"/>
                <w:sz w:val="20"/>
                <w:szCs w:val="20"/>
              </w:rPr>
              <w:t>d</w:t>
            </w:r>
            <w:r w:rsidR="00C74462" w:rsidRPr="387ABFB3">
              <w:rPr>
                <w:rFonts w:ascii="Times New Roman" w:hAnsi="Times New Roman"/>
                <w:color w:val="000000" w:themeColor="text1"/>
                <w:sz w:val="20"/>
                <w:szCs w:val="20"/>
              </w:rPr>
              <w:t xml:space="preserve"> other Governments</w:t>
            </w:r>
            <w:r w:rsidR="7557507B" w:rsidRPr="47005B7E">
              <w:rPr>
                <w:rFonts w:ascii="Times New Roman" w:hAnsi="Times New Roman"/>
                <w:color w:val="000000" w:themeColor="text1"/>
                <w:sz w:val="20"/>
                <w:szCs w:val="20"/>
              </w:rPr>
              <w:t xml:space="preserve"> to take</w:t>
            </w:r>
            <w:r w:rsidR="00F73488">
              <w:rPr>
                <w:rFonts w:ascii="Times New Roman" w:hAnsi="Times New Roman"/>
                <w:color w:val="000000" w:themeColor="text1"/>
                <w:sz w:val="20"/>
                <w:szCs w:val="20"/>
              </w:rPr>
              <w:t xml:space="preserve"> a</w:t>
            </w:r>
            <w:r w:rsidRPr="003D3BEA">
              <w:rPr>
                <w:rFonts w:ascii="Times New Roman" w:hAnsi="Times New Roman"/>
                <w:color w:val="000000" w:themeColor="text1"/>
                <w:sz w:val="20"/>
                <w:szCs w:val="20"/>
              </w:rPr>
              <w:t xml:space="preserve"> precautionary approach</w:t>
            </w:r>
            <w:r w:rsidR="5055CFB1" w:rsidRPr="6F7CE777">
              <w:rPr>
                <w:rFonts w:ascii="Times New Roman" w:eastAsia="Times New Roman" w:hAnsi="Times New Roman"/>
                <w:sz w:val="20"/>
                <w:szCs w:val="20"/>
              </w:rPr>
              <w:t>, in accordance with the preamble of the Convention and with Article 14,</w:t>
            </w:r>
            <w:r w:rsidRPr="003D3BEA">
              <w:rPr>
                <w:rFonts w:ascii="Times New Roman" w:hAnsi="Times New Roman"/>
                <w:color w:val="000000" w:themeColor="text1"/>
                <w:sz w:val="20"/>
                <w:szCs w:val="20"/>
              </w:rPr>
              <w:t xml:space="preserve"> </w:t>
            </w:r>
            <w:r w:rsidR="00C74462">
              <w:rPr>
                <w:rFonts w:ascii="Times New Roman" w:hAnsi="Times New Roman"/>
                <w:color w:val="000000" w:themeColor="text1"/>
                <w:sz w:val="20"/>
                <w:szCs w:val="20"/>
              </w:rPr>
              <w:t xml:space="preserve">when addressing </w:t>
            </w:r>
            <w:r w:rsidRPr="003D3BEA">
              <w:rPr>
                <w:rFonts w:ascii="Times New Roman" w:hAnsi="Times New Roman"/>
                <w:color w:val="000000" w:themeColor="text1"/>
                <w:sz w:val="20"/>
                <w:szCs w:val="20"/>
              </w:rPr>
              <w:t>threats of significant reduction or loss of biological diversity posed by organisms, components and products resulting from synthetic biology</w:t>
            </w:r>
            <w:r w:rsidR="00F20169">
              <w:rPr>
                <w:rFonts w:ascii="Times New Roman" w:hAnsi="Times New Roman"/>
                <w:color w:val="000000" w:themeColor="text1"/>
                <w:sz w:val="20"/>
                <w:szCs w:val="20"/>
              </w:rPr>
              <w:t>.</w:t>
            </w:r>
          </w:p>
        </w:tc>
      </w:tr>
      <w:tr w:rsidR="003D3BEA" w:rsidRPr="003D3BEA" w14:paraId="64B69F40" w14:textId="77777777" w:rsidTr="007F09C1">
        <w:tc>
          <w:tcPr>
            <w:tcW w:w="985" w:type="dxa"/>
          </w:tcPr>
          <w:p w14:paraId="799E28FE" w14:textId="77777777" w:rsidR="003D3BEA" w:rsidRPr="003D3BEA" w:rsidRDefault="003D3BEA" w:rsidP="003D3BEA">
            <w:pPr>
              <w:spacing w:before="40" w:after="40" w:line="240" w:lineRule="auto"/>
              <w:rPr>
                <w:rFonts w:ascii="Times New Roman" w:hAnsi="Times New Roman"/>
                <w:sz w:val="20"/>
                <w:szCs w:val="20"/>
              </w:rPr>
            </w:pPr>
            <w:r w:rsidRPr="003D3BEA">
              <w:rPr>
                <w:rFonts w:ascii="Times New Roman" w:hAnsi="Times New Roman"/>
                <w:color w:val="000000" w:themeColor="text1"/>
                <w:sz w:val="20"/>
                <w:szCs w:val="20"/>
              </w:rPr>
              <w:t>XI/27, para. 6 (2012)</w:t>
            </w:r>
          </w:p>
        </w:tc>
        <w:tc>
          <w:tcPr>
            <w:tcW w:w="1325" w:type="dxa"/>
          </w:tcPr>
          <w:p w14:paraId="43979AB9" w14:textId="77777777" w:rsidR="003D3BEA" w:rsidRPr="003D3BEA" w:rsidRDefault="003D3BEA" w:rsidP="003D3BEA">
            <w:pPr>
              <w:spacing w:before="40" w:after="40" w:line="240" w:lineRule="auto"/>
              <w:rPr>
                <w:rFonts w:ascii="Times New Roman" w:hAnsi="Times New Roman"/>
                <w:sz w:val="20"/>
                <w:szCs w:val="20"/>
              </w:rPr>
            </w:pPr>
            <w:r w:rsidRPr="003D3BEA">
              <w:rPr>
                <w:rFonts w:ascii="Times New Roman" w:hAnsi="Times New Roman"/>
                <w:color w:val="000000" w:themeColor="text1"/>
                <w:sz w:val="20"/>
                <w:szCs w:val="20"/>
              </w:rPr>
              <w:t>Biofuels &amp; biodiversity</w:t>
            </w:r>
          </w:p>
        </w:tc>
        <w:tc>
          <w:tcPr>
            <w:tcW w:w="7050" w:type="dxa"/>
          </w:tcPr>
          <w:p w14:paraId="2A178E30" w14:textId="5F5BFCA1" w:rsidR="003D3BEA" w:rsidRPr="003D3BEA" w:rsidRDefault="003D3BEA" w:rsidP="00F20169">
            <w:pPr>
              <w:spacing w:before="40" w:after="40" w:line="240" w:lineRule="auto"/>
              <w:jc w:val="both"/>
              <w:rPr>
                <w:rFonts w:ascii="Times New Roman" w:hAnsi="Times New Roman"/>
                <w:sz w:val="20"/>
                <w:szCs w:val="20"/>
              </w:rPr>
            </w:pPr>
            <w:r w:rsidRPr="003D3BEA">
              <w:rPr>
                <w:rFonts w:ascii="Times New Roman" w:hAnsi="Times New Roman"/>
                <w:color w:val="000000" w:themeColor="text1"/>
                <w:sz w:val="20"/>
                <w:szCs w:val="20"/>
              </w:rPr>
              <w:t xml:space="preserve">- </w:t>
            </w:r>
            <w:r w:rsidR="00B7392E">
              <w:rPr>
                <w:rFonts w:ascii="Times New Roman" w:hAnsi="Times New Roman"/>
                <w:color w:val="000000" w:themeColor="text1"/>
                <w:sz w:val="20"/>
                <w:szCs w:val="20"/>
              </w:rPr>
              <w:t xml:space="preserve">Urged Parties and other Governments to </w:t>
            </w:r>
            <w:r w:rsidR="00976DCF">
              <w:rPr>
                <w:rFonts w:ascii="Times New Roman" w:hAnsi="Times New Roman"/>
                <w:color w:val="000000" w:themeColor="text1"/>
                <w:sz w:val="20"/>
                <w:szCs w:val="20"/>
              </w:rPr>
              <w:t>monitor</w:t>
            </w:r>
            <w:r w:rsidR="00F22C61">
              <w:rPr>
                <w:rFonts w:ascii="Times New Roman" w:hAnsi="Times New Roman"/>
                <w:color w:val="000000" w:themeColor="text1"/>
                <w:sz w:val="20"/>
                <w:szCs w:val="20"/>
              </w:rPr>
              <w:t xml:space="preserve"> the </w:t>
            </w:r>
            <w:r w:rsidRPr="003D3BEA">
              <w:rPr>
                <w:rFonts w:ascii="Times New Roman" w:hAnsi="Times New Roman"/>
                <w:color w:val="000000" w:themeColor="text1"/>
                <w:sz w:val="20"/>
                <w:szCs w:val="20"/>
              </w:rPr>
              <w:t>rapidly developing technology associated with biofuels</w:t>
            </w:r>
            <w:r w:rsidR="2D353D29" w:rsidRPr="47005B7E">
              <w:rPr>
                <w:rFonts w:ascii="Times New Roman" w:hAnsi="Times New Roman"/>
                <w:color w:val="000000" w:themeColor="text1"/>
                <w:sz w:val="20"/>
                <w:szCs w:val="20"/>
              </w:rPr>
              <w:t xml:space="preserve"> and to apply the precautionary approach</w:t>
            </w:r>
            <w:r w:rsidR="00A36467">
              <w:rPr>
                <w:rFonts w:ascii="Times New Roman" w:hAnsi="Times New Roman"/>
                <w:color w:val="000000" w:themeColor="text1"/>
                <w:sz w:val="20"/>
                <w:szCs w:val="20"/>
              </w:rPr>
              <w:t>.</w:t>
            </w:r>
          </w:p>
        </w:tc>
      </w:tr>
      <w:tr w:rsidR="003D3BEA" w:rsidRPr="003D3BEA" w14:paraId="75DCDD88" w14:textId="77777777" w:rsidTr="007F09C1">
        <w:tc>
          <w:tcPr>
            <w:tcW w:w="985" w:type="dxa"/>
          </w:tcPr>
          <w:p w14:paraId="4D0855F5" w14:textId="77777777" w:rsidR="003D3BEA" w:rsidRPr="003D3BEA" w:rsidRDefault="003D3BEA" w:rsidP="003D3BEA">
            <w:pPr>
              <w:spacing w:before="40" w:after="40" w:line="240" w:lineRule="auto"/>
              <w:rPr>
                <w:rFonts w:ascii="Times New Roman" w:hAnsi="Times New Roman"/>
                <w:sz w:val="20"/>
                <w:szCs w:val="20"/>
              </w:rPr>
            </w:pPr>
            <w:r w:rsidRPr="003D3BEA">
              <w:rPr>
                <w:rFonts w:ascii="Times New Roman" w:hAnsi="Times New Roman"/>
                <w:color w:val="000000" w:themeColor="text1"/>
                <w:sz w:val="20"/>
                <w:szCs w:val="20"/>
              </w:rPr>
              <w:t>XII/24 (2014)</w:t>
            </w:r>
          </w:p>
        </w:tc>
        <w:tc>
          <w:tcPr>
            <w:tcW w:w="1325" w:type="dxa"/>
          </w:tcPr>
          <w:p w14:paraId="53D66D92" w14:textId="77777777" w:rsidR="003D3BEA" w:rsidRPr="003D3BEA" w:rsidRDefault="003D3BEA" w:rsidP="003D3BEA">
            <w:pPr>
              <w:spacing w:before="40" w:after="40" w:line="240" w:lineRule="auto"/>
              <w:rPr>
                <w:rFonts w:ascii="Times New Roman" w:hAnsi="Times New Roman"/>
                <w:sz w:val="20"/>
                <w:szCs w:val="20"/>
              </w:rPr>
            </w:pPr>
            <w:r w:rsidRPr="003D3BEA">
              <w:rPr>
                <w:rFonts w:ascii="Times New Roman" w:hAnsi="Times New Roman"/>
                <w:color w:val="000000" w:themeColor="text1"/>
                <w:sz w:val="20"/>
                <w:szCs w:val="20"/>
              </w:rPr>
              <w:t>New and emerging issues: synthetic biology</w:t>
            </w:r>
          </w:p>
        </w:tc>
        <w:tc>
          <w:tcPr>
            <w:tcW w:w="7050" w:type="dxa"/>
          </w:tcPr>
          <w:p w14:paraId="15BAD3B4" w14:textId="17667F87" w:rsidR="003D3BEA" w:rsidRPr="003D3BEA" w:rsidRDefault="003D3BEA" w:rsidP="00E7475C">
            <w:pPr>
              <w:spacing w:before="40" w:after="120" w:line="240" w:lineRule="auto"/>
              <w:jc w:val="both"/>
              <w:rPr>
                <w:rFonts w:ascii="Times New Roman" w:hAnsi="Times New Roman"/>
                <w:color w:val="000000" w:themeColor="text1"/>
                <w:sz w:val="20"/>
                <w:szCs w:val="20"/>
              </w:rPr>
            </w:pPr>
            <w:r w:rsidRPr="003D3BEA">
              <w:rPr>
                <w:rFonts w:ascii="Times New Roman" w:hAnsi="Times New Roman"/>
                <w:color w:val="000000" w:themeColor="text1"/>
                <w:sz w:val="20"/>
                <w:szCs w:val="20"/>
              </w:rPr>
              <w:t xml:space="preserve">- </w:t>
            </w:r>
            <w:r w:rsidR="00393C3B" w:rsidRPr="1A3C54DE">
              <w:rPr>
                <w:rFonts w:ascii="Times New Roman" w:hAnsi="Times New Roman"/>
                <w:color w:val="000000" w:themeColor="text1"/>
                <w:sz w:val="20"/>
                <w:szCs w:val="20"/>
              </w:rPr>
              <w:t xml:space="preserve">Urged </w:t>
            </w:r>
            <w:r w:rsidR="00E566A0">
              <w:rPr>
                <w:rFonts w:ascii="Times New Roman" w:hAnsi="Times New Roman"/>
                <w:color w:val="000000" w:themeColor="text1"/>
                <w:sz w:val="20"/>
                <w:szCs w:val="20"/>
              </w:rPr>
              <w:t xml:space="preserve">Parties and </w:t>
            </w:r>
            <w:r w:rsidR="00E566A0" w:rsidRPr="47005B7E">
              <w:rPr>
                <w:rFonts w:ascii="Times New Roman" w:hAnsi="Times New Roman"/>
                <w:color w:val="000000" w:themeColor="text1"/>
                <w:sz w:val="20"/>
                <w:szCs w:val="20"/>
              </w:rPr>
              <w:t xml:space="preserve">invited </w:t>
            </w:r>
            <w:r w:rsidR="00393C3B" w:rsidRPr="49B0ADAF">
              <w:rPr>
                <w:rFonts w:ascii="Times New Roman" w:hAnsi="Times New Roman"/>
                <w:color w:val="000000" w:themeColor="text1"/>
                <w:sz w:val="20"/>
                <w:szCs w:val="20"/>
              </w:rPr>
              <w:t>other Governments to apply</w:t>
            </w:r>
            <w:r w:rsidR="00393C3B" w:rsidRPr="1A3C54DE">
              <w:rPr>
                <w:rFonts w:ascii="Times New Roman" w:hAnsi="Times New Roman"/>
                <w:color w:val="000000" w:themeColor="text1"/>
                <w:sz w:val="20"/>
                <w:szCs w:val="20"/>
              </w:rPr>
              <w:t xml:space="preserve"> </w:t>
            </w:r>
            <w:r w:rsidR="0D99B129" w:rsidRPr="4766DB93">
              <w:rPr>
                <w:rFonts w:ascii="Times New Roman" w:hAnsi="Times New Roman"/>
                <w:color w:val="000000" w:themeColor="text1"/>
                <w:sz w:val="20"/>
                <w:szCs w:val="20"/>
              </w:rPr>
              <w:t xml:space="preserve">take </w:t>
            </w:r>
            <w:r w:rsidR="00393C3B" w:rsidRPr="4766DB93">
              <w:rPr>
                <w:rFonts w:ascii="Times New Roman" w:hAnsi="Times New Roman"/>
                <w:color w:val="000000" w:themeColor="text1"/>
                <w:sz w:val="20"/>
                <w:szCs w:val="20"/>
              </w:rPr>
              <w:t>a</w:t>
            </w:r>
            <w:r w:rsidRPr="4766DB93">
              <w:rPr>
                <w:rFonts w:ascii="Times New Roman" w:hAnsi="Times New Roman"/>
                <w:color w:val="000000" w:themeColor="text1"/>
                <w:sz w:val="20"/>
                <w:szCs w:val="20"/>
              </w:rPr>
              <w:t xml:space="preserve"> precautionary approach</w:t>
            </w:r>
            <w:r w:rsidR="118792F0" w:rsidRPr="4766DB93">
              <w:rPr>
                <w:rFonts w:ascii="Times New Roman" w:hAnsi="Times New Roman"/>
                <w:color w:val="000000" w:themeColor="text1"/>
                <w:sz w:val="20"/>
                <w:szCs w:val="20"/>
              </w:rPr>
              <w:t xml:space="preserve">, </w:t>
            </w:r>
            <w:r w:rsidR="118792F0" w:rsidRPr="4766DB93">
              <w:rPr>
                <w:rFonts w:ascii="Times New Roman" w:eastAsia="Times New Roman" w:hAnsi="Times New Roman"/>
                <w:sz w:val="20"/>
                <w:szCs w:val="20"/>
              </w:rPr>
              <w:t>in accordance with paragraph 4 of decision XI/11</w:t>
            </w:r>
            <w:r w:rsidRPr="1A3C54DE">
              <w:rPr>
                <w:rFonts w:ascii="Times New Roman" w:hAnsi="Times New Roman"/>
                <w:color w:val="000000" w:themeColor="text1"/>
                <w:sz w:val="20"/>
                <w:szCs w:val="20"/>
              </w:rPr>
              <w:t xml:space="preserve"> and technologies associated with synthetic life, cells or genomes</w:t>
            </w:r>
            <w:r w:rsidR="00F20169">
              <w:rPr>
                <w:rFonts w:ascii="Times New Roman" w:hAnsi="Times New Roman"/>
                <w:color w:val="000000" w:themeColor="text1"/>
                <w:sz w:val="20"/>
                <w:szCs w:val="20"/>
              </w:rPr>
              <w:t>.</w:t>
            </w:r>
          </w:p>
          <w:p w14:paraId="1089144F" w14:textId="6BC72D0D" w:rsidR="003D3BEA" w:rsidRPr="003D3BEA" w:rsidRDefault="003D3BEA" w:rsidP="00F20169">
            <w:pPr>
              <w:spacing w:before="40" w:after="120" w:line="240" w:lineRule="auto"/>
              <w:jc w:val="both"/>
              <w:rPr>
                <w:rFonts w:ascii="Times New Roman" w:hAnsi="Times New Roman"/>
                <w:sz w:val="20"/>
                <w:szCs w:val="20"/>
              </w:rPr>
            </w:pPr>
            <w:r w:rsidRPr="003D3BEA">
              <w:rPr>
                <w:rFonts w:ascii="Times New Roman" w:hAnsi="Times New Roman"/>
                <w:color w:val="000000" w:themeColor="text1"/>
                <w:sz w:val="20"/>
                <w:szCs w:val="20"/>
              </w:rPr>
              <w:t xml:space="preserve">- </w:t>
            </w:r>
            <w:r w:rsidR="000E6F7E">
              <w:rPr>
                <w:rFonts w:ascii="Times New Roman" w:hAnsi="Times New Roman"/>
                <w:color w:val="000000" w:themeColor="text1"/>
                <w:sz w:val="20"/>
                <w:szCs w:val="20"/>
              </w:rPr>
              <w:t xml:space="preserve">Urged Parties and </w:t>
            </w:r>
            <w:r w:rsidR="34FC8796" w:rsidRPr="47005B7E">
              <w:rPr>
                <w:rFonts w:ascii="Times New Roman" w:hAnsi="Times New Roman"/>
                <w:color w:val="000000" w:themeColor="text1"/>
                <w:sz w:val="20"/>
                <w:szCs w:val="20"/>
              </w:rPr>
              <w:t>invited</w:t>
            </w:r>
            <w:r w:rsidR="000E6F7E" w:rsidRPr="47005B7E">
              <w:rPr>
                <w:rFonts w:ascii="Times New Roman" w:hAnsi="Times New Roman"/>
                <w:color w:val="000000" w:themeColor="text1"/>
                <w:sz w:val="20"/>
                <w:szCs w:val="20"/>
              </w:rPr>
              <w:t xml:space="preserve"> </w:t>
            </w:r>
            <w:r w:rsidR="000E6F7E">
              <w:rPr>
                <w:rFonts w:ascii="Times New Roman" w:hAnsi="Times New Roman"/>
                <w:color w:val="000000" w:themeColor="text1"/>
                <w:sz w:val="20"/>
                <w:szCs w:val="20"/>
              </w:rPr>
              <w:t xml:space="preserve">other Governments to approve organisms resulting from synthetic biology techniques for field trials only after </w:t>
            </w:r>
            <w:r w:rsidR="53A98355" w:rsidRPr="47005B7E">
              <w:rPr>
                <w:rFonts w:ascii="Times New Roman" w:hAnsi="Times New Roman"/>
                <w:color w:val="000000" w:themeColor="text1"/>
                <w:sz w:val="20"/>
                <w:szCs w:val="20"/>
              </w:rPr>
              <w:t xml:space="preserve">appropriate </w:t>
            </w:r>
            <w:r w:rsidRPr="003D3BEA">
              <w:rPr>
                <w:rFonts w:ascii="Times New Roman" w:hAnsi="Times New Roman"/>
                <w:color w:val="000000" w:themeColor="text1"/>
                <w:sz w:val="20"/>
                <w:szCs w:val="20"/>
              </w:rPr>
              <w:t xml:space="preserve">risk assessments </w:t>
            </w:r>
            <w:r w:rsidR="006E3424">
              <w:rPr>
                <w:rFonts w:ascii="Times New Roman" w:hAnsi="Times New Roman"/>
                <w:color w:val="000000" w:themeColor="text1"/>
                <w:sz w:val="20"/>
                <w:szCs w:val="20"/>
              </w:rPr>
              <w:t>have been carried out</w:t>
            </w:r>
            <w:r w:rsidR="00F20169">
              <w:rPr>
                <w:rFonts w:ascii="Times New Roman" w:hAnsi="Times New Roman"/>
                <w:color w:val="000000" w:themeColor="text1"/>
                <w:sz w:val="20"/>
                <w:szCs w:val="20"/>
              </w:rPr>
              <w:t>.</w:t>
            </w:r>
          </w:p>
        </w:tc>
      </w:tr>
      <w:tr w:rsidR="003D3BEA" w:rsidRPr="003D3BEA" w14:paraId="188C1F78" w14:textId="77777777" w:rsidTr="007F09C1">
        <w:tc>
          <w:tcPr>
            <w:tcW w:w="985" w:type="dxa"/>
          </w:tcPr>
          <w:p w14:paraId="352BAB82" w14:textId="77777777" w:rsidR="003D3BEA" w:rsidRPr="003D3BEA" w:rsidRDefault="003D3BEA" w:rsidP="003D3BEA">
            <w:pPr>
              <w:spacing w:before="40" w:after="40" w:line="240" w:lineRule="auto"/>
              <w:rPr>
                <w:rFonts w:ascii="Times New Roman" w:hAnsi="Times New Roman"/>
                <w:sz w:val="20"/>
                <w:szCs w:val="20"/>
              </w:rPr>
            </w:pPr>
            <w:r w:rsidRPr="63E3CE1E">
              <w:rPr>
                <w:rFonts w:ascii="Times New Roman" w:hAnsi="Times New Roman"/>
                <w:color w:val="000000" w:themeColor="text1"/>
                <w:sz w:val="20"/>
                <w:szCs w:val="20"/>
              </w:rPr>
              <w:t>XIII/17 (2016)</w:t>
            </w:r>
          </w:p>
        </w:tc>
        <w:tc>
          <w:tcPr>
            <w:tcW w:w="1325" w:type="dxa"/>
          </w:tcPr>
          <w:p w14:paraId="675F72DD" w14:textId="77777777" w:rsidR="003D3BEA" w:rsidRPr="003D3BEA" w:rsidRDefault="003D3BEA" w:rsidP="003D3BEA">
            <w:pPr>
              <w:spacing w:before="40" w:after="40" w:line="240" w:lineRule="auto"/>
              <w:rPr>
                <w:rFonts w:ascii="Times New Roman" w:hAnsi="Times New Roman"/>
                <w:sz w:val="20"/>
                <w:szCs w:val="20"/>
              </w:rPr>
            </w:pPr>
            <w:r w:rsidRPr="003D3BEA">
              <w:rPr>
                <w:rFonts w:ascii="Times New Roman" w:hAnsi="Times New Roman"/>
                <w:color w:val="000000" w:themeColor="text1"/>
                <w:sz w:val="20"/>
                <w:szCs w:val="20"/>
              </w:rPr>
              <w:t>Synthetic biology</w:t>
            </w:r>
          </w:p>
        </w:tc>
        <w:tc>
          <w:tcPr>
            <w:tcW w:w="7050" w:type="dxa"/>
          </w:tcPr>
          <w:p w14:paraId="47AA66E2" w14:textId="0E70860E" w:rsidR="5258882B" w:rsidRDefault="003D3BEA" w:rsidP="00E7475C">
            <w:pPr>
              <w:spacing w:before="40" w:after="120" w:line="240" w:lineRule="auto"/>
              <w:jc w:val="both"/>
              <w:rPr>
                <w:rFonts w:ascii="Times New Roman" w:hAnsi="Times New Roman"/>
                <w:color w:val="000000" w:themeColor="text1"/>
                <w:sz w:val="20"/>
                <w:szCs w:val="20"/>
              </w:rPr>
            </w:pPr>
            <w:r w:rsidRPr="003D3BEA">
              <w:rPr>
                <w:rFonts w:ascii="Times New Roman" w:hAnsi="Times New Roman"/>
                <w:color w:val="000000" w:themeColor="text1"/>
                <w:sz w:val="20"/>
                <w:szCs w:val="20"/>
              </w:rPr>
              <w:t xml:space="preserve">- </w:t>
            </w:r>
            <w:r w:rsidR="5258882B" w:rsidRPr="1C3C630E">
              <w:rPr>
                <w:rFonts w:ascii="Times New Roman" w:hAnsi="Times New Roman"/>
                <w:color w:val="000000" w:themeColor="text1"/>
                <w:sz w:val="20"/>
                <w:szCs w:val="20"/>
              </w:rPr>
              <w:t>Reaffirmed decision XII/24 in which it urged Parties and invited other Governments to take a precautionary approach, in accordance with decision XI/11, paragraph 4</w:t>
            </w:r>
            <w:r w:rsidR="00F20169">
              <w:rPr>
                <w:rFonts w:ascii="Times New Roman" w:hAnsi="Times New Roman"/>
                <w:color w:val="000000" w:themeColor="text1"/>
                <w:sz w:val="20"/>
                <w:szCs w:val="20"/>
              </w:rPr>
              <w:t>.</w:t>
            </w:r>
          </w:p>
          <w:p w14:paraId="53C683EA" w14:textId="7FA30881" w:rsidR="003D3BEA" w:rsidRPr="003D3BEA" w:rsidRDefault="003D3BEA" w:rsidP="00E7475C">
            <w:pPr>
              <w:spacing w:before="40" w:after="120" w:line="240" w:lineRule="auto"/>
              <w:jc w:val="both"/>
              <w:rPr>
                <w:rFonts w:ascii="Times New Roman" w:hAnsi="Times New Roman"/>
                <w:color w:val="000000" w:themeColor="text1"/>
                <w:sz w:val="20"/>
                <w:szCs w:val="20"/>
              </w:rPr>
            </w:pPr>
            <w:r w:rsidRPr="14858AB1">
              <w:rPr>
                <w:rFonts w:ascii="Times New Roman" w:hAnsi="Times New Roman"/>
                <w:color w:val="000000" w:themeColor="text1"/>
                <w:sz w:val="20"/>
                <w:szCs w:val="20"/>
              </w:rPr>
              <w:t xml:space="preserve">- </w:t>
            </w:r>
            <w:r w:rsidR="05D077B0" w:rsidRPr="14858AB1">
              <w:rPr>
                <w:rFonts w:ascii="Times New Roman" w:hAnsi="Times New Roman"/>
                <w:color w:val="000000" w:themeColor="text1"/>
                <w:sz w:val="20"/>
                <w:szCs w:val="20"/>
              </w:rPr>
              <w:t>Reiterated paragraph 3 of decision XII/24</w:t>
            </w:r>
            <w:r w:rsidR="00F77E9E">
              <w:rPr>
                <w:rFonts w:ascii="Times New Roman" w:hAnsi="Times New Roman"/>
                <w:color w:val="000000" w:themeColor="text1"/>
                <w:sz w:val="20"/>
                <w:szCs w:val="20"/>
              </w:rPr>
              <w:t xml:space="preserve"> and </w:t>
            </w:r>
            <w:r w:rsidR="00F77E9E" w:rsidRPr="14858AB1">
              <w:rPr>
                <w:rFonts w:ascii="Times New Roman" w:hAnsi="Times New Roman"/>
                <w:color w:val="000000" w:themeColor="text1"/>
                <w:sz w:val="20"/>
                <w:szCs w:val="20"/>
              </w:rPr>
              <w:t>note</w:t>
            </w:r>
            <w:r w:rsidR="3058FD8E" w:rsidRPr="14858AB1">
              <w:rPr>
                <w:rFonts w:ascii="Times New Roman" w:hAnsi="Times New Roman"/>
                <w:color w:val="000000" w:themeColor="text1"/>
                <w:sz w:val="20"/>
                <w:szCs w:val="20"/>
              </w:rPr>
              <w:t>d</w:t>
            </w:r>
            <w:r w:rsidR="427A9BF6" w:rsidRPr="14858AB1">
              <w:rPr>
                <w:rFonts w:ascii="Times New Roman" w:hAnsi="Times New Roman"/>
                <w:color w:val="000000" w:themeColor="text1"/>
                <w:sz w:val="20"/>
                <w:szCs w:val="20"/>
              </w:rPr>
              <w:t xml:space="preserve"> that</w:t>
            </w:r>
            <w:r w:rsidR="00F77E9E">
              <w:rPr>
                <w:rFonts w:ascii="Times New Roman" w:hAnsi="Times New Roman"/>
                <w:color w:val="000000" w:themeColor="text1"/>
                <w:sz w:val="20"/>
                <w:szCs w:val="20"/>
              </w:rPr>
              <w:t xml:space="preserve"> it can </w:t>
            </w:r>
            <w:r w:rsidR="397A67C8" w:rsidRPr="14858AB1">
              <w:rPr>
                <w:rFonts w:ascii="Times New Roman" w:hAnsi="Times New Roman"/>
                <w:color w:val="000000" w:themeColor="text1"/>
                <w:sz w:val="20"/>
                <w:szCs w:val="20"/>
              </w:rPr>
              <w:t xml:space="preserve">also </w:t>
            </w:r>
            <w:r w:rsidR="00F77E9E">
              <w:rPr>
                <w:rFonts w:ascii="Times New Roman" w:hAnsi="Times New Roman"/>
                <w:color w:val="000000" w:themeColor="text1"/>
                <w:sz w:val="20"/>
                <w:szCs w:val="20"/>
              </w:rPr>
              <w:t>apply</w:t>
            </w:r>
            <w:r w:rsidR="00F77E9E" w:rsidRPr="003D3BEA">
              <w:rPr>
                <w:rFonts w:ascii="Times New Roman" w:hAnsi="Times New Roman"/>
                <w:color w:val="000000" w:themeColor="text1"/>
                <w:sz w:val="20"/>
                <w:szCs w:val="20"/>
              </w:rPr>
              <w:t xml:space="preserve"> </w:t>
            </w:r>
            <w:r w:rsidR="00F77E9E">
              <w:rPr>
                <w:rFonts w:ascii="Times New Roman" w:hAnsi="Times New Roman"/>
                <w:color w:val="000000" w:themeColor="text1"/>
                <w:sz w:val="20"/>
                <w:szCs w:val="20"/>
              </w:rPr>
              <w:t xml:space="preserve">to some </w:t>
            </w:r>
            <w:r w:rsidRPr="003D3BEA">
              <w:rPr>
                <w:rFonts w:ascii="Times New Roman" w:hAnsi="Times New Roman"/>
                <w:color w:val="000000" w:themeColor="text1"/>
                <w:sz w:val="20"/>
                <w:szCs w:val="20"/>
              </w:rPr>
              <w:t>living modified organisms containing</w:t>
            </w:r>
            <w:r w:rsidR="00F77E9E">
              <w:rPr>
                <w:rFonts w:ascii="Times New Roman" w:hAnsi="Times New Roman"/>
                <w:color w:val="000000" w:themeColor="text1"/>
                <w:sz w:val="20"/>
                <w:szCs w:val="20"/>
              </w:rPr>
              <w:t xml:space="preserve"> </w:t>
            </w:r>
            <w:r w:rsidRPr="003D3BEA">
              <w:rPr>
                <w:rFonts w:ascii="Times New Roman" w:hAnsi="Times New Roman"/>
                <w:color w:val="000000" w:themeColor="text1"/>
                <w:sz w:val="20"/>
                <w:szCs w:val="20"/>
              </w:rPr>
              <w:t>gene drives</w:t>
            </w:r>
            <w:r w:rsidR="00F20169">
              <w:rPr>
                <w:rFonts w:ascii="Times New Roman" w:hAnsi="Times New Roman"/>
                <w:color w:val="000000" w:themeColor="text1"/>
                <w:sz w:val="20"/>
                <w:szCs w:val="20"/>
              </w:rPr>
              <w:t>.</w:t>
            </w:r>
          </w:p>
          <w:p w14:paraId="5820CD3E" w14:textId="529082B1" w:rsidR="003D3BEA" w:rsidRPr="003D3BEA" w:rsidRDefault="00EE2A65" w:rsidP="00E7475C">
            <w:pPr>
              <w:spacing w:before="40" w:after="120" w:line="240" w:lineRule="auto"/>
              <w:jc w:val="both"/>
              <w:rPr>
                <w:rFonts w:ascii="Times New Roman" w:hAnsi="Times New Roman"/>
                <w:color w:val="000000" w:themeColor="text1"/>
                <w:sz w:val="20"/>
                <w:szCs w:val="20"/>
              </w:rPr>
            </w:pPr>
            <w:r w:rsidRPr="47005B7E">
              <w:rPr>
                <w:rFonts w:ascii="Times New Roman" w:hAnsi="Times New Roman"/>
                <w:color w:val="000000" w:themeColor="text1"/>
                <w:sz w:val="20"/>
                <w:szCs w:val="20"/>
              </w:rPr>
              <w:t xml:space="preserve">- Acknowledged the operational definition of </w:t>
            </w:r>
            <w:r w:rsidRPr="47005B7E">
              <w:rPr>
                <w:rFonts w:ascii="Times New Roman" w:eastAsia="Times New Roman" w:hAnsi="Times New Roman"/>
                <w:color w:val="000000" w:themeColor="text1"/>
                <w:sz w:val="20"/>
                <w:szCs w:val="20"/>
              </w:rPr>
              <w:t>“</w:t>
            </w:r>
            <w:r w:rsidRPr="47005B7E">
              <w:rPr>
                <w:rFonts w:ascii="Times New Roman" w:hAnsi="Times New Roman"/>
                <w:color w:val="000000" w:themeColor="text1"/>
                <w:sz w:val="20"/>
                <w:szCs w:val="20"/>
              </w:rPr>
              <w:t>synthetic biology</w:t>
            </w:r>
            <w:r w:rsidRPr="47005B7E">
              <w:rPr>
                <w:rFonts w:ascii="Times New Roman" w:eastAsia="Times New Roman" w:hAnsi="Times New Roman"/>
                <w:color w:val="000000" w:themeColor="text1"/>
                <w:sz w:val="20"/>
                <w:szCs w:val="20"/>
              </w:rPr>
              <w:t>”</w:t>
            </w:r>
            <w:r w:rsidRPr="47005B7E">
              <w:rPr>
                <w:rFonts w:ascii="Times New Roman" w:hAnsi="Times New Roman"/>
                <w:color w:val="000000" w:themeColor="text1"/>
                <w:sz w:val="20"/>
                <w:szCs w:val="20"/>
              </w:rPr>
              <w:t xml:space="preserve"> </w:t>
            </w:r>
            <w:r w:rsidR="145CA195" w:rsidRPr="47005B7E">
              <w:rPr>
                <w:rFonts w:ascii="Times New Roman" w:hAnsi="Times New Roman"/>
                <w:color w:val="000000" w:themeColor="text1"/>
                <w:sz w:val="20"/>
                <w:szCs w:val="20"/>
              </w:rPr>
              <w:t>and considered it a useful as a starting point for the purpose of facilitating scientific and technical deliberations under the Convention and its Protocols</w:t>
            </w:r>
            <w:r w:rsidR="00F20169">
              <w:rPr>
                <w:rFonts w:ascii="Times New Roman" w:hAnsi="Times New Roman"/>
                <w:color w:val="000000" w:themeColor="text1"/>
                <w:sz w:val="20"/>
                <w:szCs w:val="20"/>
              </w:rPr>
              <w:t>.</w:t>
            </w:r>
          </w:p>
          <w:p w14:paraId="1CFAC44F" w14:textId="04C2C14C" w:rsidR="3A76E295" w:rsidRDefault="3A76E295" w:rsidP="00E7475C">
            <w:pPr>
              <w:spacing w:before="40" w:after="120" w:line="240" w:lineRule="auto"/>
              <w:jc w:val="both"/>
              <w:rPr>
                <w:rFonts w:ascii="Times New Roman" w:hAnsi="Times New Roman"/>
                <w:color w:val="000000" w:themeColor="text1"/>
                <w:sz w:val="20"/>
                <w:szCs w:val="20"/>
              </w:rPr>
            </w:pPr>
            <w:r w:rsidRPr="36DD59A0">
              <w:rPr>
                <w:rFonts w:ascii="Times New Roman" w:hAnsi="Times New Roman"/>
                <w:color w:val="000000" w:themeColor="text1"/>
                <w:sz w:val="20"/>
                <w:szCs w:val="20"/>
              </w:rPr>
              <w:t>- Noted that the general principles and methodologies for risk assessment under the Cartagena Protocol and existing biosafety framework</w:t>
            </w:r>
            <w:r w:rsidR="7257947C" w:rsidRPr="36DD59A0">
              <w:rPr>
                <w:rFonts w:ascii="Times New Roman" w:hAnsi="Times New Roman"/>
                <w:color w:val="000000" w:themeColor="text1"/>
                <w:sz w:val="20"/>
                <w:szCs w:val="20"/>
              </w:rPr>
              <w:t>s provide a good basis for risk asses</w:t>
            </w:r>
            <w:r w:rsidR="007F535B">
              <w:rPr>
                <w:rFonts w:ascii="Times New Roman" w:hAnsi="Times New Roman"/>
                <w:color w:val="000000" w:themeColor="text1"/>
                <w:sz w:val="20"/>
                <w:szCs w:val="20"/>
              </w:rPr>
              <w:t>s</w:t>
            </w:r>
            <w:r w:rsidR="7257947C" w:rsidRPr="36DD59A0">
              <w:rPr>
                <w:rFonts w:ascii="Times New Roman" w:hAnsi="Times New Roman"/>
                <w:color w:val="000000" w:themeColor="text1"/>
                <w:sz w:val="20"/>
                <w:szCs w:val="20"/>
              </w:rPr>
              <w:t xml:space="preserve">ment regarding living organisms developed through current applications of </w:t>
            </w:r>
            <w:r w:rsidR="7257947C" w:rsidRPr="7EDF4F8C">
              <w:rPr>
                <w:rFonts w:ascii="Times New Roman" w:hAnsi="Times New Roman"/>
                <w:color w:val="000000" w:themeColor="text1"/>
                <w:sz w:val="20"/>
                <w:szCs w:val="20"/>
              </w:rPr>
              <w:t xml:space="preserve">synthetic biology, or that are currently in the early stages of research and development, but such methodologies may need to </w:t>
            </w:r>
            <w:r w:rsidR="0AB06345" w:rsidRPr="7EDF4F8C">
              <w:rPr>
                <w:rFonts w:ascii="Times New Roman" w:hAnsi="Times New Roman"/>
                <w:color w:val="000000" w:themeColor="text1"/>
                <w:sz w:val="20"/>
                <w:szCs w:val="20"/>
              </w:rPr>
              <w:t>be updated and adapted for current and future developments and applications of synthetic biology</w:t>
            </w:r>
            <w:r w:rsidR="00F20169">
              <w:rPr>
                <w:rFonts w:ascii="Times New Roman" w:hAnsi="Times New Roman"/>
                <w:color w:val="000000" w:themeColor="text1"/>
                <w:sz w:val="20"/>
                <w:szCs w:val="20"/>
              </w:rPr>
              <w:t>.</w:t>
            </w:r>
          </w:p>
          <w:p w14:paraId="7D6EA3BA" w14:textId="60C2B513" w:rsidR="003D3BEA" w:rsidRPr="003D3BEA" w:rsidRDefault="003D3BEA" w:rsidP="00F20169">
            <w:pPr>
              <w:spacing w:before="40" w:after="120" w:line="240" w:lineRule="auto"/>
              <w:jc w:val="both"/>
              <w:rPr>
                <w:rFonts w:ascii="Times New Roman" w:hAnsi="Times New Roman"/>
                <w:color w:val="000000" w:themeColor="text1"/>
                <w:sz w:val="20"/>
                <w:szCs w:val="20"/>
              </w:rPr>
            </w:pPr>
            <w:r w:rsidRPr="1C3C630E">
              <w:rPr>
                <w:rFonts w:ascii="Times New Roman" w:hAnsi="Times New Roman"/>
                <w:color w:val="000000" w:themeColor="text1"/>
                <w:sz w:val="20"/>
                <w:szCs w:val="20"/>
              </w:rPr>
              <w:t xml:space="preserve">- </w:t>
            </w:r>
            <w:r w:rsidR="00A07668" w:rsidRPr="1C3C630E">
              <w:rPr>
                <w:rFonts w:ascii="Times New Roman" w:hAnsi="Times New Roman"/>
                <w:color w:val="000000" w:themeColor="text1"/>
                <w:sz w:val="20"/>
                <w:szCs w:val="20"/>
              </w:rPr>
              <w:t xml:space="preserve">Welcomed </w:t>
            </w:r>
            <w:r w:rsidR="0EA25FB5" w:rsidRPr="1C3C630E">
              <w:rPr>
                <w:rFonts w:ascii="Times New Roman" w:hAnsi="Times New Roman"/>
                <w:color w:val="000000" w:themeColor="text1"/>
                <w:sz w:val="20"/>
                <w:szCs w:val="20"/>
              </w:rPr>
              <w:t xml:space="preserve">the recommendation of the COP-MOP to the Cartagena Protocol, in its decision BS-VII/12, on </w:t>
            </w:r>
            <w:r w:rsidR="00A07668" w:rsidRPr="1C3C630E">
              <w:rPr>
                <w:rFonts w:ascii="Times New Roman" w:hAnsi="Times New Roman"/>
                <w:color w:val="000000" w:themeColor="text1"/>
                <w:sz w:val="20"/>
                <w:szCs w:val="20"/>
              </w:rPr>
              <w:t>a</w:t>
            </w:r>
            <w:r w:rsidRPr="1C3C630E">
              <w:rPr>
                <w:rFonts w:ascii="Times New Roman" w:hAnsi="Times New Roman"/>
                <w:color w:val="000000" w:themeColor="text1"/>
                <w:sz w:val="20"/>
                <w:szCs w:val="20"/>
              </w:rPr>
              <w:t xml:space="preserve"> coordinated approach </w:t>
            </w:r>
            <w:r w:rsidR="00C45605" w:rsidRPr="1C3C630E">
              <w:rPr>
                <w:rFonts w:ascii="Times New Roman" w:hAnsi="Times New Roman"/>
                <w:color w:val="000000" w:themeColor="text1"/>
                <w:sz w:val="20"/>
                <w:szCs w:val="20"/>
              </w:rPr>
              <w:t xml:space="preserve">on the issue of </w:t>
            </w:r>
            <w:r w:rsidRPr="1C3C630E">
              <w:rPr>
                <w:rFonts w:ascii="Times New Roman" w:hAnsi="Times New Roman"/>
                <w:color w:val="000000" w:themeColor="text1"/>
                <w:sz w:val="20"/>
                <w:szCs w:val="20"/>
              </w:rPr>
              <w:t>synthetic biology</w:t>
            </w:r>
            <w:r w:rsidR="2BBD3598" w:rsidRPr="1C3C630E">
              <w:rPr>
                <w:rFonts w:ascii="Times New Roman" w:hAnsi="Times New Roman"/>
                <w:color w:val="000000" w:themeColor="text1"/>
                <w:sz w:val="20"/>
                <w:szCs w:val="20"/>
              </w:rPr>
              <w:t>, taking into account that the provisions of the Protocol may also apply to living organisms resulting from synthetic biology, and invited the COP-MOP to the Cartagena Protocol to take into account in its future deliberations relevant information resulting from processes under the Conven</w:t>
            </w:r>
            <w:r w:rsidR="5ABC60DC" w:rsidRPr="1C3C630E">
              <w:rPr>
                <w:rFonts w:ascii="Times New Roman" w:hAnsi="Times New Roman"/>
                <w:color w:val="000000" w:themeColor="text1"/>
                <w:sz w:val="20"/>
                <w:szCs w:val="20"/>
              </w:rPr>
              <w:t>tion</w:t>
            </w:r>
            <w:r w:rsidR="00F20169">
              <w:rPr>
                <w:rFonts w:ascii="Times New Roman" w:hAnsi="Times New Roman"/>
                <w:color w:val="000000" w:themeColor="text1"/>
                <w:sz w:val="20"/>
                <w:szCs w:val="20"/>
              </w:rPr>
              <w:t>.</w:t>
            </w:r>
          </w:p>
        </w:tc>
      </w:tr>
      <w:tr w:rsidR="003D3BEA" w:rsidRPr="003D3BEA" w14:paraId="5502904D" w14:textId="77777777" w:rsidTr="007F09C1">
        <w:tc>
          <w:tcPr>
            <w:tcW w:w="985" w:type="dxa"/>
          </w:tcPr>
          <w:p w14:paraId="529FECAD" w14:textId="77777777" w:rsidR="003D3BEA" w:rsidRPr="003D3BEA" w:rsidRDefault="003D3BEA" w:rsidP="003D3BEA">
            <w:pPr>
              <w:spacing w:before="40" w:after="40" w:line="240" w:lineRule="auto"/>
              <w:rPr>
                <w:rFonts w:ascii="Times New Roman" w:hAnsi="Times New Roman"/>
                <w:sz w:val="20"/>
                <w:szCs w:val="20"/>
              </w:rPr>
            </w:pPr>
            <w:r w:rsidRPr="003D3BEA">
              <w:rPr>
                <w:rFonts w:ascii="Times New Roman" w:hAnsi="Times New Roman"/>
                <w:color w:val="000000" w:themeColor="text1"/>
                <w:sz w:val="20"/>
                <w:szCs w:val="20"/>
              </w:rPr>
              <w:t>14/19 (2018)</w:t>
            </w:r>
          </w:p>
        </w:tc>
        <w:tc>
          <w:tcPr>
            <w:tcW w:w="1325" w:type="dxa"/>
          </w:tcPr>
          <w:p w14:paraId="5C477785" w14:textId="77777777" w:rsidR="003D3BEA" w:rsidRPr="003D3BEA" w:rsidRDefault="003D3BEA" w:rsidP="003D3BEA">
            <w:pPr>
              <w:spacing w:before="40" w:after="40" w:line="240" w:lineRule="auto"/>
              <w:rPr>
                <w:rFonts w:ascii="Times New Roman" w:hAnsi="Times New Roman"/>
                <w:sz w:val="20"/>
                <w:szCs w:val="20"/>
              </w:rPr>
            </w:pPr>
            <w:r w:rsidRPr="003D3BEA">
              <w:rPr>
                <w:rFonts w:ascii="Times New Roman" w:hAnsi="Times New Roman"/>
                <w:color w:val="000000" w:themeColor="text1"/>
                <w:sz w:val="20"/>
                <w:szCs w:val="20"/>
              </w:rPr>
              <w:t>Synthetic biology</w:t>
            </w:r>
          </w:p>
        </w:tc>
        <w:tc>
          <w:tcPr>
            <w:tcW w:w="7050" w:type="dxa"/>
          </w:tcPr>
          <w:p w14:paraId="3CC11EE1" w14:textId="626800D0" w:rsidR="003D3BEA" w:rsidRPr="003D3BEA" w:rsidRDefault="003D3BEA" w:rsidP="00E7475C">
            <w:pPr>
              <w:spacing w:before="40" w:after="120" w:line="240" w:lineRule="auto"/>
              <w:jc w:val="both"/>
              <w:rPr>
                <w:rFonts w:ascii="Times New Roman" w:hAnsi="Times New Roman"/>
                <w:color w:val="000000" w:themeColor="text1"/>
                <w:sz w:val="20"/>
                <w:szCs w:val="20"/>
              </w:rPr>
            </w:pPr>
            <w:r w:rsidRPr="1357F51A">
              <w:rPr>
                <w:rFonts w:ascii="Times New Roman" w:hAnsi="Times New Roman"/>
                <w:color w:val="000000" w:themeColor="text1"/>
                <w:sz w:val="20"/>
                <w:szCs w:val="20"/>
              </w:rPr>
              <w:t xml:space="preserve">- </w:t>
            </w:r>
            <w:r w:rsidR="00012878" w:rsidRPr="1357F51A">
              <w:rPr>
                <w:rFonts w:ascii="Times New Roman" w:hAnsi="Times New Roman"/>
                <w:color w:val="000000" w:themeColor="text1"/>
                <w:sz w:val="20"/>
                <w:szCs w:val="20"/>
              </w:rPr>
              <w:t>Agreed that</w:t>
            </w:r>
            <w:r w:rsidRPr="1357F51A">
              <w:rPr>
                <w:rFonts w:ascii="Times New Roman" w:hAnsi="Times New Roman"/>
                <w:color w:val="000000" w:themeColor="text1"/>
                <w:sz w:val="20"/>
                <w:szCs w:val="20"/>
              </w:rPr>
              <w:t xml:space="preserve"> horizon scanning</w:t>
            </w:r>
            <w:r w:rsidR="45EC5A01" w:rsidRPr="1357F51A">
              <w:rPr>
                <w:rFonts w:ascii="Times New Roman" w:hAnsi="Times New Roman"/>
                <w:color w:val="000000" w:themeColor="text1"/>
                <w:sz w:val="20"/>
                <w:szCs w:val="20"/>
              </w:rPr>
              <w:t>, monitoring and assessing</w:t>
            </w:r>
            <w:r w:rsidRPr="1357F51A">
              <w:rPr>
                <w:rFonts w:ascii="Times New Roman" w:hAnsi="Times New Roman"/>
                <w:color w:val="000000" w:themeColor="text1"/>
                <w:sz w:val="20"/>
                <w:szCs w:val="20"/>
              </w:rPr>
              <w:t xml:space="preserve"> of technological developments </w:t>
            </w:r>
            <w:r w:rsidR="781862E5" w:rsidRPr="1357F51A">
              <w:rPr>
                <w:rFonts w:ascii="Times New Roman" w:hAnsi="Times New Roman"/>
                <w:color w:val="000000" w:themeColor="text1"/>
                <w:sz w:val="20"/>
                <w:szCs w:val="20"/>
              </w:rPr>
              <w:t xml:space="preserve">is needed for reviewing potential </w:t>
            </w:r>
            <w:r w:rsidRPr="1357F51A">
              <w:rPr>
                <w:rFonts w:ascii="Times New Roman" w:hAnsi="Times New Roman"/>
                <w:color w:val="000000" w:themeColor="text1"/>
                <w:sz w:val="20"/>
                <w:szCs w:val="20"/>
              </w:rPr>
              <w:t>impacts of synthetic biology</w:t>
            </w:r>
            <w:r w:rsidR="00F20169">
              <w:rPr>
                <w:rFonts w:ascii="Times New Roman" w:hAnsi="Times New Roman"/>
                <w:color w:val="000000" w:themeColor="text1"/>
                <w:sz w:val="20"/>
                <w:szCs w:val="20"/>
              </w:rPr>
              <w:t>.</w:t>
            </w:r>
          </w:p>
          <w:p w14:paraId="0D519AD4" w14:textId="566D073C" w:rsidR="00606DC1" w:rsidRPr="00606DC1" w:rsidRDefault="003D3BEA" w:rsidP="00E7475C">
            <w:pPr>
              <w:spacing w:before="40" w:after="120" w:line="240" w:lineRule="auto"/>
              <w:jc w:val="both"/>
              <w:rPr>
                <w:rFonts w:ascii="Times New Roman" w:hAnsi="Times New Roman"/>
                <w:color w:val="000000" w:themeColor="text1"/>
                <w:sz w:val="20"/>
                <w:szCs w:val="20"/>
              </w:rPr>
            </w:pPr>
            <w:r w:rsidRPr="16935723">
              <w:rPr>
                <w:rFonts w:ascii="Times New Roman" w:hAnsi="Times New Roman"/>
                <w:color w:val="000000" w:themeColor="text1"/>
                <w:sz w:val="20"/>
                <w:szCs w:val="20"/>
              </w:rPr>
              <w:t xml:space="preserve">- </w:t>
            </w:r>
            <w:r w:rsidR="005A390A" w:rsidRPr="16935723">
              <w:rPr>
                <w:rFonts w:ascii="Times New Roman" w:hAnsi="Times New Roman"/>
                <w:color w:val="000000" w:themeColor="text1"/>
                <w:sz w:val="20"/>
                <w:szCs w:val="20"/>
              </w:rPr>
              <w:t>Called upon Parties and other Governments</w:t>
            </w:r>
            <w:r w:rsidR="2823B762" w:rsidRPr="16935723">
              <w:rPr>
                <w:rFonts w:ascii="Times New Roman" w:hAnsi="Times New Roman"/>
                <w:color w:val="000000" w:themeColor="text1"/>
                <w:sz w:val="20"/>
                <w:szCs w:val="20"/>
              </w:rPr>
              <w:t>,</w:t>
            </w:r>
            <w:r w:rsidR="005A390A" w:rsidRPr="16935723">
              <w:rPr>
                <w:rFonts w:ascii="Times New Roman" w:hAnsi="Times New Roman"/>
                <w:color w:val="000000" w:themeColor="text1"/>
                <w:sz w:val="20"/>
                <w:szCs w:val="20"/>
              </w:rPr>
              <w:t xml:space="preserve"> </w:t>
            </w:r>
            <w:r w:rsidR="2823B762" w:rsidRPr="2E46C646">
              <w:rPr>
                <w:rFonts w:ascii="Times New Roman" w:hAnsi="Times New Roman"/>
                <w:color w:val="000000" w:themeColor="text1"/>
                <w:sz w:val="20"/>
                <w:szCs w:val="20"/>
              </w:rPr>
              <w:t>taking into account the current uncertainties regarding engineered gene dr</w:t>
            </w:r>
            <w:r w:rsidR="7071212B" w:rsidRPr="2E46C646">
              <w:rPr>
                <w:rFonts w:ascii="Times New Roman" w:hAnsi="Times New Roman"/>
                <w:color w:val="000000" w:themeColor="text1"/>
                <w:sz w:val="20"/>
                <w:szCs w:val="20"/>
              </w:rPr>
              <w:t>ives,</w:t>
            </w:r>
            <w:r w:rsidR="005A390A" w:rsidRPr="16935723">
              <w:rPr>
                <w:rFonts w:ascii="Times New Roman" w:hAnsi="Times New Roman"/>
                <w:color w:val="000000" w:themeColor="text1"/>
                <w:sz w:val="20"/>
                <w:szCs w:val="20"/>
              </w:rPr>
              <w:t xml:space="preserve"> </w:t>
            </w:r>
            <w:r w:rsidR="00515A12">
              <w:rPr>
                <w:rFonts w:ascii="Times New Roman" w:hAnsi="Times New Roman"/>
                <w:color w:val="000000" w:themeColor="text1"/>
                <w:sz w:val="20"/>
                <w:szCs w:val="20"/>
              </w:rPr>
              <w:t xml:space="preserve">to apply </w:t>
            </w:r>
            <w:r w:rsidR="005A390A" w:rsidRPr="16935723">
              <w:rPr>
                <w:rFonts w:ascii="Times New Roman" w:hAnsi="Times New Roman"/>
                <w:color w:val="000000" w:themeColor="text1"/>
                <w:sz w:val="20"/>
                <w:szCs w:val="20"/>
              </w:rPr>
              <w:t>a</w:t>
            </w:r>
            <w:r w:rsidRPr="16935723">
              <w:rPr>
                <w:rFonts w:ascii="Times New Roman" w:hAnsi="Times New Roman"/>
                <w:color w:val="000000" w:themeColor="text1"/>
                <w:sz w:val="20"/>
                <w:szCs w:val="20"/>
              </w:rPr>
              <w:t xml:space="preserve"> precautionary approach</w:t>
            </w:r>
            <w:r w:rsidR="00F20169">
              <w:rPr>
                <w:rFonts w:ascii="Times New Roman" w:hAnsi="Times New Roman"/>
                <w:color w:val="000000" w:themeColor="text1"/>
                <w:sz w:val="20"/>
                <w:szCs w:val="20"/>
              </w:rPr>
              <w:t>.</w:t>
            </w:r>
          </w:p>
          <w:p w14:paraId="2A9C97CA" w14:textId="778223FA" w:rsidR="003D3BEA" w:rsidRPr="003D3BEA" w:rsidRDefault="003D3BEA" w:rsidP="00F20169">
            <w:pPr>
              <w:spacing w:before="40" w:after="40" w:line="240" w:lineRule="auto"/>
              <w:jc w:val="both"/>
              <w:rPr>
                <w:rFonts w:ascii="Times New Roman" w:hAnsi="Times New Roman"/>
                <w:sz w:val="20"/>
                <w:szCs w:val="20"/>
              </w:rPr>
            </w:pPr>
            <w:r w:rsidRPr="5569160E">
              <w:rPr>
                <w:rFonts w:ascii="Times New Roman" w:hAnsi="Times New Roman"/>
                <w:color w:val="000000" w:themeColor="text1"/>
                <w:sz w:val="20"/>
                <w:szCs w:val="20"/>
              </w:rPr>
              <w:t xml:space="preserve">- </w:t>
            </w:r>
            <w:r w:rsidR="00467B7C" w:rsidRPr="5569160E">
              <w:rPr>
                <w:rFonts w:ascii="Times New Roman" w:hAnsi="Times New Roman"/>
                <w:color w:val="000000" w:themeColor="text1"/>
                <w:sz w:val="20"/>
                <w:szCs w:val="20"/>
              </w:rPr>
              <w:t xml:space="preserve">Called upon Parties and other Governments to </w:t>
            </w:r>
            <w:r w:rsidR="5ADC5A06" w:rsidRPr="4441D90F">
              <w:rPr>
                <w:rFonts w:ascii="Times New Roman" w:hAnsi="Times New Roman"/>
                <w:color w:val="000000" w:themeColor="text1"/>
                <w:sz w:val="20"/>
                <w:szCs w:val="20"/>
              </w:rPr>
              <w:t xml:space="preserve">only </w:t>
            </w:r>
            <w:r w:rsidR="00467B7C" w:rsidRPr="5569160E">
              <w:rPr>
                <w:rFonts w:ascii="Times New Roman" w:hAnsi="Times New Roman"/>
                <w:color w:val="000000" w:themeColor="text1"/>
                <w:sz w:val="20"/>
                <w:szCs w:val="20"/>
              </w:rPr>
              <w:t>consider introducing organisms containing engineered gene drives into the environment when</w:t>
            </w:r>
            <w:r w:rsidR="247F7C3F" w:rsidRPr="4441D90F">
              <w:rPr>
                <w:rFonts w:ascii="Times New Roman" w:hAnsi="Times New Roman"/>
                <w:color w:val="000000" w:themeColor="text1"/>
                <w:sz w:val="20"/>
                <w:szCs w:val="20"/>
              </w:rPr>
              <w:t>:</w:t>
            </w:r>
            <w:r w:rsidR="6194FC36" w:rsidRPr="4441D90F">
              <w:rPr>
                <w:rFonts w:ascii="Times New Roman" w:hAnsi="Times New Roman"/>
                <w:color w:val="000000" w:themeColor="text1"/>
                <w:sz w:val="20"/>
                <w:szCs w:val="20"/>
              </w:rPr>
              <w:t xml:space="preserve"> </w:t>
            </w:r>
          </w:p>
          <w:p w14:paraId="102835E7" w14:textId="23FB02F2" w:rsidR="0063299C" w:rsidRPr="00E566A0" w:rsidRDefault="23D8ACBA" w:rsidP="00E7475C">
            <w:pPr>
              <w:pStyle w:val="ListParagraph"/>
              <w:numPr>
                <w:ilvl w:val="0"/>
                <w:numId w:val="224"/>
              </w:numPr>
              <w:spacing w:before="40" w:after="40" w:line="240" w:lineRule="auto"/>
              <w:contextualSpacing w:val="0"/>
              <w:jc w:val="both"/>
            </w:pPr>
            <w:r w:rsidRPr="00E566A0">
              <w:rPr>
                <w:rFonts w:ascii="Times New Roman" w:hAnsi="Times New Roman"/>
                <w:color w:val="000000" w:themeColor="text1"/>
                <w:sz w:val="20"/>
                <w:szCs w:val="20"/>
              </w:rPr>
              <w:t>Scientifically sound case-by-case risk assessments have been carried out;</w:t>
            </w:r>
          </w:p>
          <w:p w14:paraId="51F73DA0" w14:textId="0F29CF93" w:rsidR="5BF01E2E" w:rsidRPr="00E566A0" w:rsidRDefault="1B389868" w:rsidP="00E7475C">
            <w:pPr>
              <w:pStyle w:val="ListParagraph"/>
              <w:numPr>
                <w:ilvl w:val="0"/>
                <w:numId w:val="224"/>
              </w:numPr>
              <w:spacing w:before="40" w:after="40" w:line="240" w:lineRule="auto"/>
              <w:contextualSpacing w:val="0"/>
              <w:jc w:val="both"/>
            </w:pPr>
            <w:r w:rsidRPr="00E566A0">
              <w:rPr>
                <w:rFonts w:ascii="Times New Roman" w:hAnsi="Times New Roman"/>
                <w:color w:val="000000" w:themeColor="text1"/>
                <w:sz w:val="20"/>
                <w:szCs w:val="20"/>
              </w:rPr>
              <w:t>Risk management measures are in place to avoid or minimi</w:t>
            </w:r>
            <w:r w:rsidR="00F45AA3">
              <w:rPr>
                <w:rFonts w:ascii="Times New Roman" w:hAnsi="Times New Roman"/>
                <w:color w:val="000000" w:themeColor="text1"/>
                <w:sz w:val="20"/>
                <w:szCs w:val="20"/>
              </w:rPr>
              <w:t>s</w:t>
            </w:r>
            <w:r w:rsidRPr="00E566A0">
              <w:rPr>
                <w:rFonts w:ascii="Times New Roman" w:hAnsi="Times New Roman"/>
                <w:color w:val="000000" w:themeColor="text1"/>
                <w:sz w:val="20"/>
                <w:szCs w:val="20"/>
              </w:rPr>
              <w:t>e potential adverse effects, as appropriate</w:t>
            </w:r>
            <w:r w:rsidR="00FA5EBE">
              <w:rPr>
                <w:rFonts w:ascii="Times New Roman" w:hAnsi="Times New Roman"/>
                <w:color w:val="000000" w:themeColor="text1"/>
                <w:sz w:val="20"/>
                <w:szCs w:val="20"/>
              </w:rPr>
              <w:t>;</w:t>
            </w:r>
          </w:p>
          <w:p w14:paraId="4B59F46B" w14:textId="53DB810B" w:rsidR="003D3BEA" w:rsidRPr="003D3BEA" w:rsidRDefault="1B389868" w:rsidP="00E7475C">
            <w:pPr>
              <w:pStyle w:val="ListParagraph"/>
              <w:numPr>
                <w:ilvl w:val="0"/>
                <w:numId w:val="224"/>
              </w:numPr>
              <w:spacing w:before="40" w:after="120" w:line="240" w:lineRule="auto"/>
              <w:contextualSpacing w:val="0"/>
              <w:jc w:val="both"/>
            </w:pPr>
            <w:r w:rsidRPr="5BF01E2E">
              <w:rPr>
                <w:rFonts w:ascii="Times New Roman" w:hAnsi="Times New Roman"/>
                <w:color w:val="000000" w:themeColor="text1"/>
                <w:sz w:val="20"/>
                <w:szCs w:val="20"/>
              </w:rPr>
              <w:t xml:space="preserve">Where appropriate, </w:t>
            </w:r>
            <w:r w:rsidR="00467B7C" w:rsidRPr="5569160E">
              <w:rPr>
                <w:rFonts w:ascii="Times New Roman" w:hAnsi="Times New Roman"/>
                <w:color w:val="000000" w:themeColor="text1"/>
                <w:sz w:val="20"/>
                <w:szCs w:val="20"/>
              </w:rPr>
              <w:t xml:space="preserve">the free, </w:t>
            </w:r>
            <w:r w:rsidR="003D3BEA" w:rsidRPr="5569160E">
              <w:rPr>
                <w:rFonts w:ascii="Times New Roman" w:hAnsi="Times New Roman"/>
                <w:color w:val="000000" w:themeColor="text1"/>
                <w:sz w:val="20"/>
                <w:szCs w:val="20"/>
              </w:rPr>
              <w:t xml:space="preserve">prior and informed consent, or approval and involvement of potentially </w:t>
            </w:r>
            <w:r w:rsidR="00110B8A">
              <w:rPr>
                <w:rFonts w:ascii="Times New Roman" w:hAnsi="Times New Roman"/>
                <w:color w:val="000000" w:themeColor="text1"/>
                <w:sz w:val="20"/>
                <w:szCs w:val="20"/>
              </w:rPr>
              <w:t>a</w:t>
            </w:r>
            <w:r w:rsidR="00110B8A" w:rsidRPr="5569160E">
              <w:rPr>
                <w:rFonts w:ascii="Times New Roman" w:hAnsi="Times New Roman"/>
                <w:color w:val="000000" w:themeColor="text1"/>
                <w:sz w:val="20"/>
                <w:szCs w:val="20"/>
              </w:rPr>
              <w:t xml:space="preserve">ffected </w:t>
            </w:r>
            <w:r w:rsidR="003D3BEA" w:rsidRPr="5569160E">
              <w:rPr>
                <w:rFonts w:ascii="Times New Roman" w:hAnsi="Times New Roman"/>
                <w:color w:val="000000" w:themeColor="text1"/>
                <w:sz w:val="20"/>
                <w:szCs w:val="20"/>
              </w:rPr>
              <w:t xml:space="preserve">IPLCs </w:t>
            </w:r>
            <w:r w:rsidR="00E20EC9" w:rsidRPr="5569160E">
              <w:rPr>
                <w:rFonts w:ascii="Times New Roman" w:hAnsi="Times New Roman"/>
                <w:color w:val="000000" w:themeColor="text1"/>
                <w:sz w:val="20"/>
                <w:szCs w:val="20"/>
              </w:rPr>
              <w:t>is sought or obtained</w:t>
            </w:r>
            <w:r w:rsidR="00A540F8">
              <w:rPr>
                <w:rFonts w:ascii="Times New Roman" w:hAnsi="Times New Roman"/>
                <w:color w:val="000000" w:themeColor="text1"/>
                <w:sz w:val="20"/>
                <w:szCs w:val="20"/>
              </w:rPr>
              <w:t>.</w:t>
            </w:r>
          </w:p>
        </w:tc>
      </w:tr>
      <w:bookmarkEnd w:id="134"/>
    </w:tbl>
    <w:p w14:paraId="5E66B53C" w14:textId="77777777" w:rsidR="003D3BEA" w:rsidRPr="003D3BEA" w:rsidRDefault="003D3BEA" w:rsidP="003D3BEA">
      <w:pPr>
        <w:spacing w:after="60" w:line="240" w:lineRule="auto"/>
        <w:jc w:val="both"/>
        <w:rPr>
          <w:rFonts w:cs="Calibri"/>
          <w:sz w:val="18"/>
          <w:szCs w:val="18"/>
        </w:rPr>
      </w:pPr>
    </w:p>
    <w:p w14:paraId="2543A1C7" w14:textId="266200D2" w:rsidR="003D3BEA" w:rsidRPr="00E725D0" w:rsidRDefault="003D3BEA" w:rsidP="00E725D0">
      <w:pPr>
        <w:pStyle w:val="Heading3"/>
      </w:pPr>
      <w:bookmarkStart w:id="135" w:name="_Toc65609807"/>
      <w:bookmarkStart w:id="136" w:name="_Toc70112705"/>
      <w:bookmarkStart w:id="137" w:name="_Toc70685727"/>
      <w:r w:rsidRPr="003D3BEA">
        <w:rPr>
          <w:rFonts w:eastAsia="SimSun"/>
        </w:rPr>
        <w:t>8.2</w:t>
      </w:r>
      <w:r w:rsidRPr="003D3BEA">
        <w:t>. Cartagena Protocol on Biosafety</w:t>
      </w:r>
      <w:bookmarkEnd w:id="135"/>
      <w:r w:rsidR="00C449D7">
        <w:t>.</w:t>
      </w:r>
      <w:bookmarkEnd w:id="136"/>
      <w:bookmarkEnd w:id="137"/>
    </w:p>
    <w:p w14:paraId="2EA2271C" w14:textId="6F73622D" w:rsidR="003D3BEA" w:rsidRPr="003D3BEA" w:rsidRDefault="003D3BEA" w:rsidP="003D3BEA">
      <w:pPr>
        <w:suppressAutoHyphens/>
        <w:spacing w:after="120" w:line="240" w:lineRule="auto"/>
        <w:jc w:val="both"/>
        <w:rPr>
          <w:rFonts w:ascii="Times New Roman" w:eastAsia="SimSun" w:hAnsi="Times New Roman"/>
          <w:kern w:val="22"/>
          <w:lang w:eastAsia="hi-IN" w:bidi="hi-IN"/>
        </w:rPr>
      </w:pPr>
      <w:r w:rsidRPr="68D8A251">
        <w:rPr>
          <w:rFonts w:ascii="Times New Roman" w:eastAsia="SimSun" w:hAnsi="Times New Roman"/>
          <w:kern w:val="22"/>
          <w:lang w:eastAsia="hi-IN" w:bidi="hi-IN"/>
        </w:rPr>
        <w:t xml:space="preserve">The Cartagena Protocol on Biosafety (Cartagena Protocol) applies to the transboundary movement, transit, handling and use of all living modified organisms (LMOs) that may have adverse effects on the conservation and sustainable use of biological diversity, taking also into account risks to human health (Article 4; Cartagena Protocol). Article 1 of the Cartagena Protocol explicitly refers to the precautionary approach contained in Principle 15 of the Rio Declaration on Environment and Development. The Cartagena Protocol </w:t>
      </w:r>
      <w:r w:rsidR="155BCDE5" w:rsidRPr="68D8A251">
        <w:rPr>
          <w:rFonts w:ascii="Times New Roman" w:eastAsia="SimSun" w:hAnsi="Times New Roman"/>
          <w:lang w:eastAsia="hi-IN" w:bidi="hi-IN"/>
        </w:rPr>
        <w:t>entered into force in 2003</w:t>
      </w:r>
      <w:r w:rsidR="155BCDE5" w:rsidRPr="68D8A251">
        <w:rPr>
          <w:rFonts w:ascii="Times New Roman" w:eastAsia="SimSun" w:hAnsi="Times New Roman"/>
          <w:kern w:val="22"/>
          <w:lang w:eastAsia="hi-IN" w:bidi="hi-IN"/>
        </w:rPr>
        <w:t xml:space="preserve"> and </w:t>
      </w:r>
      <w:r w:rsidRPr="68D8A251">
        <w:rPr>
          <w:rFonts w:ascii="Times New Roman" w:eastAsia="SimSun" w:hAnsi="Times New Roman"/>
          <w:kern w:val="22"/>
          <w:lang w:eastAsia="hi-IN" w:bidi="hi-IN"/>
        </w:rPr>
        <w:t xml:space="preserve">has 173 Parties </w:t>
      </w:r>
      <w:r w:rsidR="5916D573" w:rsidRPr="68D8A251">
        <w:rPr>
          <w:rFonts w:ascii="Times New Roman" w:eastAsia="SimSun" w:hAnsi="Times New Roman"/>
          <w:kern w:val="22"/>
          <w:lang w:eastAsia="hi-IN" w:bidi="hi-IN"/>
        </w:rPr>
        <w:t>as of March</w:t>
      </w:r>
      <w:r w:rsidRPr="68D8A251">
        <w:rPr>
          <w:rFonts w:ascii="Times New Roman" w:eastAsia="SimSun" w:hAnsi="Times New Roman"/>
          <w:kern w:val="22"/>
          <w:lang w:eastAsia="hi-IN" w:bidi="hi-IN"/>
        </w:rPr>
        <w:t xml:space="preserve"> </w:t>
      </w:r>
      <w:r w:rsidR="5916D573" w:rsidRPr="40032033">
        <w:rPr>
          <w:rFonts w:ascii="Times New Roman" w:eastAsia="SimSun" w:hAnsi="Times New Roman"/>
          <w:kern w:val="22"/>
          <w:lang w:eastAsia="hi-IN" w:bidi="hi-IN"/>
        </w:rPr>
        <w:t>2021</w:t>
      </w:r>
      <w:r w:rsidRPr="68D8A251">
        <w:rPr>
          <w:rFonts w:ascii="Times New Roman" w:eastAsia="SimSun" w:hAnsi="Times New Roman"/>
          <w:lang w:eastAsia="hi-IN" w:bidi="hi-IN"/>
        </w:rPr>
        <w:t xml:space="preserve">. </w:t>
      </w:r>
    </w:p>
    <w:p w14:paraId="571D7934" w14:textId="0AA3F76F" w:rsidR="00A40C44" w:rsidRDefault="003D3BEA" w:rsidP="003D3BEA">
      <w:pPr>
        <w:suppressAutoHyphens/>
        <w:spacing w:after="120" w:line="240" w:lineRule="auto"/>
        <w:jc w:val="both"/>
        <w:rPr>
          <w:rFonts w:ascii="Times New Roman" w:eastAsia="SimSun" w:hAnsi="Times New Roman"/>
          <w:bCs/>
          <w:kern w:val="22"/>
          <w:lang w:eastAsia="hi-IN" w:bidi="hi-IN"/>
        </w:rPr>
      </w:pPr>
      <w:r w:rsidRPr="003D3BEA">
        <w:rPr>
          <w:rFonts w:ascii="Times New Roman" w:eastAsia="SimSun" w:hAnsi="Times New Roman"/>
          <w:bCs/>
          <w:kern w:val="22"/>
          <w:lang w:eastAsia="hi-IN" w:bidi="hi-IN"/>
        </w:rPr>
        <w:t xml:space="preserve">This section examines various elements that could play a role in determining which organisms or products developed using synthetic biology might be considered as LMOs in the context of the Cartagena Protocol. Risk assessments undertaken pursuant to the Cartagena Protocol must be carried out in accordance with Annex III </w:t>
      </w:r>
      <w:r w:rsidR="5B0C23C2" w:rsidRPr="6EE3C2BB">
        <w:rPr>
          <w:rFonts w:ascii="Times New Roman" w:eastAsia="SimSun" w:hAnsi="Times New Roman"/>
          <w:kern w:val="22"/>
          <w:lang w:eastAsia="hi-IN" w:bidi="hi-IN"/>
        </w:rPr>
        <w:t xml:space="preserve">as </w:t>
      </w:r>
      <w:r w:rsidR="5B0C23C2" w:rsidRPr="6C44674D">
        <w:rPr>
          <w:rFonts w:ascii="Times New Roman" w:eastAsia="SimSun" w:hAnsi="Times New Roman"/>
          <w:kern w:val="22"/>
          <w:lang w:eastAsia="hi-IN" w:bidi="hi-IN"/>
        </w:rPr>
        <w:t xml:space="preserve">specified in </w:t>
      </w:r>
      <w:r w:rsidRPr="003D3BEA">
        <w:rPr>
          <w:rFonts w:ascii="Times New Roman" w:eastAsia="SimSun" w:hAnsi="Times New Roman"/>
          <w:bCs/>
          <w:kern w:val="22"/>
          <w:lang w:eastAsia="hi-IN" w:bidi="hi-IN"/>
        </w:rPr>
        <w:t>Article 15 Cartagena Protocol; the general principles, methodology, and points to consider of Annex III are examined for application to synthetic biology.</w:t>
      </w:r>
    </w:p>
    <w:p w14:paraId="57CF235D" w14:textId="1C878C10" w:rsidR="008D396E" w:rsidRPr="0029670C" w:rsidRDefault="008D396E" w:rsidP="00E725D0">
      <w:pPr>
        <w:pStyle w:val="Heading4"/>
        <w:rPr>
          <w:rFonts w:asciiTheme="minorHAnsi" w:hAnsiTheme="minorHAnsi"/>
          <w:b w:val="0"/>
          <w:lang w:val="en-US"/>
        </w:rPr>
      </w:pPr>
      <w:r w:rsidRPr="0029670C">
        <w:rPr>
          <w:i w:val="0"/>
        </w:rPr>
        <w:t>8.2.1</w:t>
      </w:r>
      <w:r w:rsidRPr="0029670C">
        <w:rPr>
          <w:rFonts w:asciiTheme="minorHAnsi" w:hAnsiTheme="minorHAnsi"/>
          <w:i w:val="0"/>
          <w:lang w:val="en-GB"/>
        </w:rPr>
        <w:t>.</w:t>
      </w:r>
      <w:r w:rsidRPr="0029670C">
        <w:rPr>
          <w:i w:val="0"/>
        </w:rPr>
        <w:t xml:space="preserve"> LMOs and components, organisms and products of synthetic biology</w:t>
      </w:r>
      <w:r w:rsidR="00A06A14" w:rsidRPr="0029670C">
        <w:rPr>
          <w:rFonts w:asciiTheme="minorHAnsi" w:hAnsiTheme="minorHAnsi"/>
          <w:i w:val="0"/>
        </w:rPr>
        <w:t>.</w:t>
      </w:r>
    </w:p>
    <w:p w14:paraId="66095AE6" w14:textId="0EC69194" w:rsidR="008D396E" w:rsidRPr="008D396E" w:rsidRDefault="008D396E" w:rsidP="60ED6039">
      <w:pPr>
        <w:suppressAutoHyphens/>
        <w:spacing w:after="120" w:line="240" w:lineRule="auto"/>
        <w:jc w:val="both"/>
        <w:rPr>
          <w:rFonts w:ascii="Times New Roman" w:hAnsi="Times New Roman"/>
          <w:lang w:eastAsia="hi-IN" w:bidi="hi-IN"/>
        </w:rPr>
      </w:pPr>
      <w:r w:rsidRPr="60ED6039">
        <w:rPr>
          <w:rFonts w:ascii="Times New Roman" w:eastAsia="SimSun" w:hAnsi="Times New Roman"/>
          <w:kern w:val="22"/>
          <w:lang w:eastAsia="hi-IN" w:bidi="hi-IN"/>
        </w:rPr>
        <w:t>The Cartagena Protocol defines LMOs as “any living organism that possesses a novel combination of genetic material obtained through the use of modern biotechnology” (Article 3(g); Cartagena Protocol). To be considered LMOs, the applications of synthetic biology would thus have to: i) be a living organism, ii) possess a novel combination of genetic material, and; iii) result from the use of modern biotechnology. I</w:t>
      </w:r>
      <w:r w:rsidRPr="60ED6039">
        <w:rPr>
          <w:rFonts w:ascii="Times New Roman" w:hAnsi="Times New Roman"/>
          <w:kern w:val="22"/>
          <w:lang w:eastAsia="hi-IN" w:bidi="hi-IN"/>
        </w:rPr>
        <w:t xml:space="preserve">t should be stressed that these terms are intrinsically interlinked, such that a novel combination of genetic material that did not result from the use of modern biotechnology would not be considered an LMO in the context of the Cartagena Protocol. </w:t>
      </w:r>
    </w:p>
    <w:p w14:paraId="6B0F5632" w14:textId="47420718" w:rsidR="008D396E" w:rsidRPr="008D396E" w:rsidRDefault="72EA9B1C" w:rsidP="008D396E">
      <w:pPr>
        <w:suppressAutoHyphens/>
        <w:spacing w:after="120" w:line="240" w:lineRule="auto"/>
        <w:jc w:val="both"/>
        <w:rPr>
          <w:rFonts w:ascii="Times New Roman" w:hAnsi="Times New Roman"/>
          <w:kern w:val="22"/>
          <w:lang w:eastAsia="hi-IN" w:bidi="hi-IN"/>
        </w:rPr>
      </w:pPr>
      <w:r w:rsidRPr="5D591385">
        <w:rPr>
          <w:rFonts w:ascii="Times New Roman" w:hAnsi="Times New Roman"/>
          <w:lang w:eastAsia="hi-IN" w:bidi="hi-IN"/>
        </w:rPr>
        <w:t xml:space="preserve">The </w:t>
      </w:r>
      <w:r w:rsidR="008D396E" w:rsidRPr="60ED6039">
        <w:rPr>
          <w:rFonts w:ascii="Times New Roman" w:hAnsi="Times New Roman"/>
          <w:kern w:val="22"/>
          <w:lang w:eastAsia="hi-IN" w:bidi="hi-IN"/>
        </w:rPr>
        <w:t>AHTEG on Synthetic Biology</w:t>
      </w:r>
      <w:r w:rsidR="008D396E" w:rsidRPr="5D591385">
        <w:rPr>
          <w:rFonts w:ascii="Times New Roman" w:hAnsi="Times New Roman"/>
          <w:lang w:eastAsia="hi-IN" w:bidi="hi-IN"/>
        </w:rPr>
        <w:t xml:space="preserve"> </w:t>
      </w:r>
      <w:r w:rsidR="7417CBD9" w:rsidRPr="5D591385">
        <w:rPr>
          <w:rFonts w:ascii="Times New Roman" w:hAnsi="Times New Roman"/>
          <w:lang w:eastAsia="hi-IN" w:bidi="hi-IN"/>
        </w:rPr>
        <w:t xml:space="preserve">has considered the question of synthetic biology organisms that may fall outside the definition of “living modified organism” </w:t>
      </w:r>
      <w:r w:rsidR="008D396E" w:rsidRPr="5D591385">
        <w:rPr>
          <w:rFonts w:ascii="Times New Roman" w:hAnsi="Times New Roman"/>
          <w:lang w:eastAsia="hi-IN" w:bidi="hi-IN"/>
        </w:rPr>
        <w:t xml:space="preserve">in the </w:t>
      </w:r>
      <w:r w:rsidR="7417CBD9" w:rsidRPr="5D591385">
        <w:rPr>
          <w:rFonts w:ascii="Times New Roman" w:hAnsi="Times New Roman"/>
          <w:lang w:eastAsia="hi-IN" w:bidi="hi-IN"/>
        </w:rPr>
        <w:t>Cartagena Protocol.</w:t>
      </w:r>
      <w:r w:rsidR="008D396E" w:rsidRPr="60ED6039">
        <w:rPr>
          <w:rFonts w:ascii="Times New Roman" w:hAnsi="Times New Roman"/>
          <w:kern w:val="22"/>
          <w:lang w:eastAsia="hi-IN" w:bidi="hi-IN"/>
        </w:rPr>
        <w:t xml:space="preserve"> </w:t>
      </w:r>
      <w:r w:rsidR="106A945B" w:rsidRPr="5D591385">
        <w:rPr>
          <w:rFonts w:ascii="Times New Roman" w:hAnsi="Times New Roman"/>
          <w:lang w:eastAsia="hi-IN" w:bidi="hi-IN"/>
        </w:rPr>
        <w:t>I</w:t>
      </w:r>
      <w:r w:rsidR="008D396E" w:rsidRPr="60ED6039">
        <w:rPr>
          <w:rFonts w:ascii="Times New Roman" w:hAnsi="Times New Roman"/>
          <w:kern w:val="22"/>
          <w:lang w:eastAsia="hi-IN" w:bidi="hi-IN"/>
        </w:rPr>
        <w:t xml:space="preserve">n the report of its 2019 meeting, </w:t>
      </w:r>
      <w:r w:rsidR="2A8FBAC4" w:rsidRPr="5D591385">
        <w:rPr>
          <w:rFonts w:ascii="Times New Roman" w:hAnsi="Times New Roman"/>
          <w:lang w:eastAsia="hi-IN" w:bidi="hi-IN"/>
        </w:rPr>
        <w:t xml:space="preserve">the AHTEG noted that </w:t>
      </w:r>
      <w:r w:rsidR="008D396E" w:rsidRPr="60ED6039">
        <w:rPr>
          <w:rFonts w:ascii="Times New Roman" w:hAnsi="Times New Roman"/>
          <w:kern w:val="22"/>
          <w:lang w:eastAsia="hi-IN" w:bidi="hi-IN"/>
        </w:rPr>
        <w:t>both legal and technical considerations inform the question of whether a synthetic biology organism falls within or outside the Protocol’s definition of “living modified organism”.</w:t>
      </w:r>
    </w:p>
    <w:p w14:paraId="1BA0EF2E" w14:textId="383F55C1" w:rsidR="00992E24" w:rsidRPr="00992E24" w:rsidRDefault="008D396E" w:rsidP="60ED6039">
      <w:pPr>
        <w:suppressAutoHyphens/>
        <w:spacing w:after="120" w:line="240" w:lineRule="auto"/>
        <w:jc w:val="both"/>
        <w:rPr>
          <w:rFonts w:ascii="Times New Roman" w:eastAsia="SimSun" w:hAnsi="Times New Roman"/>
          <w:lang w:eastAsia="hi-IN" w:bidi="hi-IN"/>
        </w:rPr>
      </w:pPr>
      <w:r w:rsidRPr="75405823">
        <w:rPr>
          <w:rFonts w:ascii="Times New Roman" w:eastAsia="SimSun" w:hAnsi="Times New Roman"/>
          <w:kern w:val="22"/>
          <w:lang w:eastAsia="hi-IN" w:bidi="hi-IN"/>
        </w:rPr>
        <w:t xml:space="preserve">It discussed a number of examples of synthetic biology organisms that may fall outside the definition of “living modified organism” </w:t>
      </w:r>
      <w:r w:rsidR="00D601AA">
        <w:rPr>
          <w:rFonts w:ascii="Times New Roman" w:eastAsia="SimSun" w:hAnsi="Times New Roman"/>
          <w:kern w:val="22"/>
          <w:lang w:eastAsia="hi-IN" w:bidi="hi-IN"/>
        </w:rPr>
        <w:t xml:space="preserve">and </w:t>
      </w:r>
      <w:r w:rsidRPr="60ED6039">
        <w:rPr>
          <w:rFonts w:ascii="Times New Roman" w:eastAsia="SimSun" w:hAnsi="Times New Roman"/>
          <w:kern w:val="22"/>
          <w:lang w:eastAsia="hi-IN" w:bidi="hi-IN"/>
        </w:rPr>
        <w:t>acknowledged that virus</w:t>
      </w:r>
      <w:r w:rsidR="579472B6" w:rsidRPr="60ED6039">
        <w:rPr>
          <w:rFonts w:ascii="Times New Roman" w:eastAsia="SimSun" w:hAnsi="Times New Roman"/>
          <w:kern w:val="22"/>
          <w:lang w:eastAsia="hi-IN" w:bidi="hi-IN"/>
        </w:rPr>
        <w:t>-</w:t>
      </w:r>
      <w:r w:rsidRPr="60ED6039">
        <w:rPr>
          <w:rFonts w:ascii="Times New Roman" w:eastAsia="SimSun" w:hAnsi="Times New Roman"/>
          <w:kern w:val="22"/>
          <w:lang w:eastAsia="hi-IN" w:bidi="hi-IN"/>
        </w:rPr>
        <w:t xml:space="preserve">like macromolecular assemblies and protocells were not LMOs as they do not constitute living organisms (see </w:t>
      </w:r>
      <w:r w:rsidR="00C22271">
        <w:rPr>
          <w:rFonts w:ascii="Times New Roman" w:eastAsia="SimSun" w:hAnsi="Times New Roman"/>
          <w:kern w:val="22"/>
          <w:lang w:eastAsia="hi-IN" w:bidi="hi-IN"/>
        </w:rPr>
        <w:t>S</w:t>
      </w:r>
      <w:r w:rsidR="00C22271" w:rsidRPr="60ED6039">
        <w:rPr>
          <w:rFonts w:ascii="Times New Roman" w:eastAsia="SimSun" w:hAnsi="Times New Roman"/>
          <w:kern w:val="22"/>
          <w:lang w:eastAsia="hi-IN" w:bidi="hi-IN"/>
        </w:rPr>
        <w:t xml:space="preserve">ection </w:t>
      </w:r>
      <w:r w:rsidRPr="60ED6039">
        <w:rPr>
          <w:rFonts w:ascii="Times New Roman" w:eastAsia="SimSun" w:hAnsi="Times New Roman"/>
          <w:kern w:val="22"/>
          <w:lang w:eastAsia="hi-IN" w:bidi="hi-IN"/>
        </w:rPr>
        <w:t>8.2.1</w:t>
      </w:r>
      <w:r w:rsidR="00C22271">
        <w:rPr>
          <w:rFonts w:ascii="Times New Roman" w:eastAsia="SimSun" w:hAnsi="Times New Roman"/>
          <w:kern w:val="22"/>
          <w:lang w:eastAsia="hi-IN" w:bidi="hi-IN"/>
        </w:rPr>
        <w:t>(</w:t>
      </w:r>
      <w:r w:rsidRPr="60ED6039">
        <w:rPr>
          <w:rFonts w:ascii="Times New Roman" w:eastAsia="SimSun" w:hAnsi="Times New Roman"/>
          <w:kern w:val="22"/>
          <w:lang w:eastAsia="hi-IN" w:bidi="hi-IN"/>
        </w:rPr>
        <w:t>a</w:t>
      </w:r>
      <w:r w:rsidR="00C22271">
        <w:rPr>
          <w:rFonts w:ascii="Times New Roman" w:eastAsia="SimSun" w:hAnsi="Times New Roman"/>
          <w:kern w:val="22"/>
          <w:lang w:eastAsia="hi-IN" w:bidi="hi-IN"/>
        </w:rPr>
        <w:t>)</w:t>
      </w:r>
      <w:r w:rsidRPr="60ED6039">
        <w:rPr>
          <w:rFonts w:ascii="Times New Roman" w:eastAsia="SimSun" w:hAnsi="Times New Roman"/>
          <w:kern w:val="22"/>
          <w:lang w:eastAsia="hi-IN" w:bidi="hi-IN"/>
        </w:rPr>
        <w:t>. below). The</w:t>
      </w:r>
      <w:r w:rsidR="39184546" w:rsidRPr="60ED6039">
        <w:rPr>
          <w:rFonts w:ascii="Times New Roman" w:eastAsia="SimSun" w:hAnsi="Times New Roman"/>
          <w:kern w:val="22"/>
          <w:lang w:eastAsia="hi-IN" w:bidi="hi-IN"/>
        </w:rPr>
        <w:t>re</w:t>
      </w:r>
      <w:r w:rsidRPr="60ED6039">
        <w:rPr>
          <w:rFonts w:ascii="Times New Roman" w:eastAsia="SimSun" w:hAnsi="Times New Roman"/>
          <w:kern w:val="22"/>
          <w:lang w:eastAsia="hi-IN" w:bidi="hi-IN"/>
        </w:rPr>
        <w:t xml:space="preserve"> were </w:t>
      </w:r>
      <w:r w:rsidR="7C183CCA" w:rsidRPr="60ED6039">
        <w:rPr>
          <w:rFonts w:ascii="Times New Roman" w:eastAsia="SimSun" w:hAnsi="Times New Roman"/>
          <w:kern w:val="22"/>
          <w:lang w:eastAsia="hi-IN" w:bidi="hi-IN"/>
        </w:rPr>
        <w:t xml:space="preserve">different views on whether </w:t>
      </w:r>
      <w:r w:rsidRPr="60ED6039">
        <w:rPr>
          <w:rFonts w:ascii="Times New Roman" w:eastAsia="SimSun" w:hAnsi="Times New Roman"/>
          <w:kern w:val="22"/>
          <w:lang w:eastAsia="hi-IN" w:bidi="hi-IN"/>
        </w:rPr>
        <w:t>organisms whose genomes had been edited without the use of nucleic acids using only protein reagents introduced into the cell, for example by ZFN/TALEN/MN applications</w:t>
      </w:r>
      <w:r w:rsidR="0A4454D9" w:rsidRPr="60ED6039">
        <w:rPr>
          <w:rFonts w:ascii="Times New Roman" w:eastAsia="SimSun" w:hAnsi="Times New Roman"/>
          <w:kern w:val="22"/>
          <w:lang w:eastAsia="hi-IN" w:bidi="hi-IN"/>
        </w:rPr>
        <w:t>, would fall under the definition of “living modified organism”</w:t>
      </w:r>
      <w:r w:rsidRPr="60ED6039">
        <w:rPr>
          <w:rFonts w:ascii="Times New Roman" w:eastAsia="SimSun" w:hAnsi="Times New Roman"/>
          <w:kern w:val="22"/>
          <w:lang w:eastAsia="hi-IN" w:bidi="hi-IN"/>
        </w:rPr>
        <w:t>.</w:t>
      </w:r>
      <w:r w:rsidR="24026B75" w:rsidRPr="60ED6039">
        <w:rPr>
          <w:rFonts w:ascii="Times New Roman" w:eastAsia="SimSun" w:hAnsi="Times New Roman"/>
          <w:kern w:val="22"/>
          <w:lang w:eastAsia="hi-IN" w:bidi="hi-IN"/>
        </w:rPr>
        <w:t xml:space="preserve"> The AHTEG considered that it was unclear whether</w:t>
      </w:r>
      <w:r w:rsidRPr="60ED6039">
        <w:rPr>
          <w:rFonts w:ascii="Times New Roman" w:eastAsia="SimSun" w:hAnsi="Times New Roman"/>
          <w:kern w:val="22"/>
          <w:lang w:eastAsia="hi-IN" w:bidi="hi-IN"/>
        </w:rPr>
        <w:t xml:space="preserve"> </w:t>
      </w:r>
      <w:r w:rsidR="71D27DC0" w:rsidRPr="60ED6039">
        <w:rPr>
          <w:rFonts w:ascii="Times New Roman" w:eastAsia="SimSun" w:hAnsi="Times New Roman"/>
          <w:kern w:val="22"/>
          <w:lang w:eastAsia="hi-IN" w:bidi="hi-IN"/>
        </w:rPr>
        <w:t>some transiently modified organisms would constitute “living modified organisms” as defined in the Protocol.</w:t>
      </w:r>
    </w:p>
    <w:p w14:paraId="225A8632" w14:textId="1DCFF4CF" w:rsidR="002729B9" w:rsidRPr="00992E24" w:rsidRDefault="71D27DC0" w:rsidP="002729B9">
      <w:pPr>
        <w:suppressAutoHyphens/>
        <w:spacing w:after="120" w:line="240" w:lineRule="auto"/>
        <w:jc w:val="both"/>
        <w:rPr>
          <w:rFonts w:ascii="Times New Roman" w:eastAsia="SimSun" w:hAnsi="Times New Roman"/>
          <w:kern w:val="22"/>
          <w:lang w:eastAsia="hi-IN" w:bidi="hi-IN"/>
        </w:rPr>
      </w:pPr>
      <w:r w:rsidRPr="60ED6039">
        <w:rPr>
          <w:rFonts w:ascii="Times New Roman" w:eastAsia="SimSun" w:hAnsi="Times New Roman"/>
          <w:lang w:eastAsia="hi-IN" w:bidi="hi-IN"/>
        </w:rPr>
        <w:t xml:space="preserve">In 2019, the AHTEG on Synthetic Biology recalled the conclusion in its 2017 report that most living organisms already developed or currently under research and development through techniques of synthetic biology fell under the definition of LMOs as per the Cartagena Protocol. It agreed that this conclusion was still valid </w:t>
      </w:r>
      <w:r w:rsidR="009614CE">
        <w:rPr>
          <w:rFonts w:ascii="Times New Roman" w:eastAsia="SimSun" w:hAnsi="Times New Roman"/>
          <w:lang w:eastAsia="hi-IN" w:bidi="hi-IN"/>
        </w:rPr>
        <w:fldChar w:fldCharType="begin" w:fldLock="1"/>
      </w:r>
      <w:r w:rsidR="009614CE">
        <w:rPr>
          <w:rFonts w:ascii="Times New Roman" w:eastAsia="SimSun" w:hAnsi="Times New Roman"/>
          <w:lang w:eastAsia="hi-IN" w:bidi="hi-IN"/>
        </w:rPr>
        <w:instrText>ADDIN CSL_CITATION {"citationItems":[{"id":"ITEM-1","itemData":{"author":[{"dropping-particle":"","family":"Secretariat of the Convention on Biological Diversity","given":"","non-dropping-particle":"","parse-names":false,"suffix":""}],"id":"ITEM-1","issued":{"date-parts":[["2019"]]},"number-of-pages":"19","publisher-place":"Montreal, Canada","title":"Report of the Ad Hoc Technical Expert Group on Synthetic Biology, Montreal, Canada, 4-7 June 2019","type":"report"},"uris":["http://www.mendeley.com/documents/?uuid=c3cba8ae-2d61-4d31-be28-dfec1d940b66"]}],"mendeley":{"formattedCitation":"(Secretariat of the Convention on Biological Diversity, 2019b)","manualFormatting":"(Secretariat of the Convention on Biological Diversity, 2019)","plainTextFormattedCitation":"(Secretariat of the Convention on Biological Diversity, 2019b)","previouslyFormattedCitation":"(Secretariat of the Convention on Biological Diversity, 2019b)"},"properties":{"noteIndex":0},"schema":"https://github.com/citation-style-language/schema/raw/master/csl-citation.json"}</w:instrText>
      </w:r>
      <w:r w:rsidR="009614CE">
        <w:rPr>
          <w:rFonts w:ascii="Times New Roman" w:eastAsia="SimSun" w:hAnsi="Times New Roman"/>
          <w:lang w:eastAsia="hi-IN" w:bidi="hi-IN"/>
        </w:rPr>
        <w:fldChar w:fldCharType="separate"/>
      </w:r>
      <w:r w:rsidR="009614CE" w:rsidRPr="009614CE">
        <w:rPr>
          <w:rFonts w:ascii="Times New Roman" w:eastAsia="SimSun" w:hAnsi="Times New Roman"/>
          <w:noProof/>
          <w:lang w:eastAsia="hi-IN" w:bidi="hi-IN"/>
        </w:rPr>
        <w:t>(Secretariat of the Convention on Biological Diversity, 2019)</w:t>
      </w:r>
      <w:r w:rsidR="009614CE">
        <w:rPr>
          <w:rFonts w:ascii="Times New Roman" w:eastAsia="SimSun" w:hAnsi="Times New Roman"/>
          <w:lang w:eastAsia="hi-IN" w:bidi="hi-IN"/>
        </w:rPr>
        <w:fldChar w:fldCharType="end"/>
      </w:r>
      <w:r w:rsidRPr="60ED6039">
        <w:rPr>
          <w:rFonts w:ascii="Times New Roman" w:eastAsia="SimSun" w:hAnsi="Times New Roman"/>
          <w:lang w:eastAsia="hi-IN" w:bidi="hi-IN"/>
        </w:rPr>
        <w:t xml:space="preserve">. It further noted, however, that given the rapid developments in the field, it may be possible that synthetic biology organisms developed in the future could fall outside the definition of “living modified organism” in the Protocol. Were such a situation to arise, it was </w:t>
      </w:r>
      <w:r w:rsidR="007F535B" w:rsidRPr="60ED6039">
        <w:rPr>
          <w:rFonts w:ascii="Times New Roman" w:eastAsia="SimSun" w:hAnsi="Times New Roman"/>
          <w:lang w:eastAsia="hi-IN" w:bidi="hi-IN"/>
        </w:rPr>
        <w:t>recogni</w:t>
      </w:r>
      <w:r w:rsidR="007F535B">
        <w:rPr>
          <w:rFonts w:ascii="Times New Roman" w:eastAsia="SimSun" w:hAnsi="Times New Roman"/>
          <w:lang w:eastAsia="hi-IN" w:bidi="hi-IN"/>
        </w:rPr>
        <w:t>s</w:t>
      </w:r>
      <w:r w:rsidR="007F535B" w:rsidRPr="60ED6039">
        <w:rPr>
          <w:rFonts w:ascii="Times New Roman" w:eastAsia="SimSun" w:hAnsi="Times New Roman"/>
          <w:lang w:eastAsia="hi-IN" w:bidi="hi-IN"/>
        </w:rPr>
        <w:t xml:space="preserve">ed </w:t>
      </w:r>
      <w:r w:rsidR="64FD746C" w:rsidRPr="60ED6039">
        <w:rPr>
          <w:rFonts w:ascii="Times New Roman" w:eastAsia="SimSun" w:hAnsi="Times New Roman"/>
          <w:lang w:eastAsia="hi-IN" w:bidi="hi-IN"/>
        </w:rPr>
        <w:t>that</w:t>
      </w:r>
      <w:r w:rsidR="008D396E" w:rsidRPr="60ED6039">
        <w:rPr>
          <w:rFonts w:ascii="Times New Roman" w:eastAsia="SimSun" w:hAnsi="Times New Roman"/>
          <w:lang w:eastAsia="hi-IN" w:bidi="hi-IN"/>
        </w:rPr>
        <w:t xml:space="preserve"> </w:t>
      </w:r>
      <w:r w:rsidR="008D396E" w:rsidRPr="60ED6039">
        <w:rPr>
          <w:rFonts w:ascii="Times New Roman" w:eastAsia="SimSun" w:hAnsi="Times New Roman"/>
          <w:kern w:val="22"/>
          <w:lang w:eastAsia="hi-IN" w:bidi="hi-IN"/>
        </w:rPr>
        <w:t>the relevant obligations in the Convention would continue to apply</w:t>
      </w:r>
      <w:r w:rsidR="3718B3D3" w:rsidRPr="60ED6039">
        <w:rPr>
          <w:rFonts w:ascii="Times New Roman" w:eastAsia="SimSun" w:hAnsi="Times New Roman"/>
          <w:kern w:val="22"/>
          <w:lang w:eastAsia="hi-IN" w:bidi="hi-IN"/>
        </w:rPr>
        <w:t xml:space="preserve"> (see </w:t>
      </w:r>
      <w:r w:rsidR="14BAE03B" w:rsidRPr="60ED6039">
        <w:rPr>
          <w:rFonts w:ascii="Times New Roman" w:eastAsia="SimSun" w:hAnsi="Times New Roman"/>
          <w:kern w:val="22"/>
          <w:lang w:eastAsia="hi-IN" w:bidi="hi-IN"/>
        </w:rPr>
        <w:t xml:space="preserve">also </w:t>
      </w:r>
      <w:r w:rsidR="007F535B">
        <w:rPr>
          <w:rFonts w:ascii="Times New Roman" w:eastAsia="SimSun" w:hAnsi="Times New Roman"/>
          <w:kern w:val="22"/>
          <w:lang w:eastAsia="hi-IN" w:bidi="hi-IN"/>
        </w:rPr>
        <w:t>S</w:t>
      </w:r>
      <w:r w:rsidR="3718B3D3" w:rsidRPr="60ED6039">
        <w:rPr>
          <w:rFonts w:ascii="Times New Roman" w:eastAsia="SimSun" w:hAnsi="Times New Roman"/>
          <w:kern w:val="22"/>
          <w:lang w:eastAsia="hi-IN" w:bidi="hi-IN"/>
        </w:rPr>
        <w:t>ection 8.1.4</w:t>
      </w:r>
      <w:r w:rsidR="007F535B">
        <w:rPr>
          <w:rFonts w:ascii="Times New Roman" w:eastAsia="SimSun" w:hAnsi="Times New Roman"/>
          <w:kern w:val="22"/>
          <w:lang w:eastAsia="hi-IN" w:bidi="hi-IN"/>
        </w:rPr>
        <w:t>.</w:t>
      </w:r>
      <w:r w:rsidR="3718B3D3" w:rsidRPr="60ED6039">
        <w:rPr>
          <w:rFonts w:ascii="Times New Roman" w:eastAsia="SimSun" w:hAnsi="Times New Roman"/>
          <w:kern w:val="22"/>
          <w:lang w:eastAsia="hi-IN" w:bidi="hi-IN"/>
        </w:rPr>
        <w:t xml:space="preserve"> above)</w:t>
      </w:r>
      <w:r w:rsidR="008D396E" w:rsidRPr="60ED6039">
        <w:rPr>
          <w:rFonts w:ascii="Times New Roman" w:eastAsia="SimSun" w:hAnsi="Times New Roman"/>
          <w:kern w:val="22"/>
          <w:lang w:eastAsia="hi-IN" w:bidi="hi-IN"/>
        </w:rPr>
        <w:t>.</w:t>
      </w:r>
    </w:p>
    <w:p w14:paraId="1909072A" w14:textId="6C3CE213" w:rsidR="55A2AA59" w:rsidRDefault="55A2AA59" w:rsidP="617C9BAD">
      <w:pPr>
        <w:spacing w:after="120" w:line="240" w:lineRule="auto"/>
        <w:jc w:val="both"/>
        <w:rPr>
          <w:rFonts w:ascii="Times New Roman" w:eastAsia="SimSun" w:hAnsi="Times New Roman"/>
          <w:lang w:eastAsia="hi-IN" w:bidi="hi-IN"/>
        </w:rPr>
      </w:pPr>
      <w:r w:rsidRPr="16002025">
        <w:rPr>
          <w:rFonts w:ascii="Times New Roman" w:eastAsia="SimSun" w:hAnsi="Times New Roman"/>
          <w:lang w:eastAsia="hi-IN" w:bidi="hi-IN"/>
        </w:rPr>
        <w:t>Examining the three elements of the definition of “living modified organism” in the Cartagena Protocol as outlined above can help to see how it relates to applications of synthetic biology.</w:t>
      </w:r>
    </w:p>
    <w:p w14:paraId="05DAFC7E" w14:textId="790A0797" w:rsidR="008D396E" w:rsidRPr="008D396E" w:rsidRDefault="008D396E" w:rsidP="00277A2F">
      <w:pPr>
        <w:pStyle w:val="Heading5"/>
        <w:numPr>
          <w:ilvl w:val="0"/>
          <w:numId w:val="216"/>
        </w:numPr>
        <w:ind w:left="284" w:hanging="284"/>
      </w:pPr>
      <w:r w:rsidRPr="008D396E">
        <w:t>Living organisms</w:t>
      </w:r>
      <w:r w:rsidR="00A06A14">
        <w:t>.</w:t>
      </w:r>
    </w:p>
    <w:p w14:paraId="3D151676" w14:textId="6D7698CE" w:rsidR="008D396E" w:rsidRPr="008D396E" w:rsidRDefault="008D396E" w:rsidP="007F535B">
      <w:pPr>
        <w:suppressAutoHyphens/>
        <w:spacing w:after="120" w:line="240" w:lineRule="auto"/>
        <w:jc w:val="both"/>
        <w:rPr>
          <w:rFonts w:ascii="Times New Roman" w:eastAsia="SimSun" w:hAnsi="Times New Roman"/>
          <w:bCs/>
          <w:kern w:val="22"/>
          <w:lang w:eastAsia="hi-IN" w:bidi="hi-IN"/>
        </w:rPr>
      </w:pPr>
      <w:r w:rsidRPr="008D396E">
        <w:rPr>
          <w:rFonts w:ascii="Times New Roman" w:eastAsia="SimSun" w:hAnsi="Times New Roman"/>
          <w:bCs/>
          <w:kern w:val="22"/>
          <w:lang w:eastAsia="hi-IN" w:bidi="hi-IN"/>
        </w:rPr>
        <w:t xml:space="preserve">The Cartagena Protocol defines a “living organism” as “any biological entity capable of transferring or replicating genetic material, including sterile organisms, viruses and viroids” (Article 3(h); Cartagena Protocol). “Genetic material” is not defined in the Cartagena Protocol; in the Convention it is defined as any material “containing functional units of heredity” (Article 2).  Given this definition, many areas of research in synthetic biology would be considered as producing living organisms, including microbes produced by genome-level engineering and cells altered by synthetic metabolic engineering (see Sections </w:t>
      </w:r>
      <w:r w:rsidR="006E58D1">
        <w:rPr>
          <w:rFonts w:ascii="Times New Roman" w:eastAsia="SimSun" w:hAnsi="Times New Roman"/>
          <w:bCs/>
          <w:kern w:val="22"/>
          <w:lang w:eastAsia="hi-IN" w:bidi="hi-IN"/>
        </w:rPr>
        <w:t>2</w:t>
      </w:r>
      <w:r w:rsidRPr="008D396E">
        <w:rPr>
          <w:rFonts w:ascii="Times New Roman" w:eastAsia="SimSun" w:hAnsi="Times New Roman"/>
          <w:bCs/>
          <w:kern w:val="22"/>
          <w:lang w:eastAsia="hi-IN" w:bidi="hi-IN"/>
        </w:rPr>
        <w:t xml:space="preserve">.3. and </w:t>
      </w:r>
      <w:r w:rsidR="006E58D1">
        <w:rPr>
          <w:rFonts w:ascii="Times New Roman" w:eastAsia="SimSun" w:hAnsi="Times New Roman"/>
          <w:bCs/>
          <w:kern w:val="22"/>
          <w:lang w:eastAsia="hi-IN" w:bidi="hi-IN"/>
        </w:rPr>
        <w:t>2</w:t>
      </w:r>
      <w:r w:rsidRPr="008D396E">
        <w:rPr>
          <w:rFonts w:ascii="Times New Roman" w:eastAsia="SimSun" w:hAnsi="Times New Roman"/>
          <w:bCs/>
          <w:kern w:val="22"/>
          <w:lang w:eastAsia="hi-IN" w:bidi="hi-IN"/>
        </w:rPr>
        <w:t xml:space="preserve">.4. above). </w:t>
      </w:r>
    </w:p>
    <w:p w14:paraId="6C1C57DE" w14:textId="2ABEDC50" w:rsidR="008D396E" w:rsidRPr="008D396E" w:rsidRDefault="008D396E" w:rsidP="008D396E">
      <w:pPr>
        <w:suppressAutoHyphens/>
        <w:spacing w:after="120" w:line="240" w:lineRule="auto"/>
        <w:jc w:val="both"/>
        <w:rPr>
          <w:rFonts w:ascii="Times New Roman" w:eastAsia="SimSun" w:hAnsi="Times New Roman"/>
          <w:kern w:val="22"/>
          <w:lang w:eastAsia="hi-IN" w:bidi="hi-IN"/>
        </w:rPr>
      </w:pPr>
      <w:r w:rsidRPr="60ED6039">
        <w:rPr>
          <w:rFonts w:ascii="Times New Roman" w:eastAsia="SimSun" w:hAnsi="Times New Roman"/>
          <w:kern w:val="22"/>
          <w:lang w:eastAsia="hi-IN" w:bidi="hi-IN"/>
        </w:rPr>
        <w:t xml:space="preserve">Two outstanding questions regarding the scope of “living organisms” in relation to current uses of synthetic biology are: i) products of organisms resulting from synthetic biology techniques; and ii) naked DNA and constituent parts. </w:t>
      </w:r>
    </w:p>
    <w:p w14:paraId="1663C4BB" w14:textId="223FFF8D" w:rsidR="008D396E" w:rsidRPr="00F45AA3" w:rsidRDefault="008D396E" w:rsidP="001964FC">
      <w:pPr>
        <w:pStyle w:val="Heading5"/>
        <w:numPr>
          <w:ilvl w:val="1"/>
          <w:numId w:val="222"/>
        </w:numPr>
        <w:ind w:left="284" w:hanging="284"/>
        <w:rPr>
          <w:i w:val="0"/>
          <w:iCs/>
          <w:u w:val="single"/>
        </w:rPr>
      </w:pPr>
      <w:r w:rsidRPr="00F45AA3">
        <w:rPr>
          <w:i w:val="0"/>
          <w:iCs/>
          <w:u w:val="single"/>
        </w:rPr>
        <w:t>Products of organisms resulting from synthetic biology techniques</w:t>
      </w:r>
      <w:r w:rsidR="004652FA" w:rsidRPr="00F45AA3">
        <w:rPr>
          <w:i w:val="0"/>
          <w:iCs/>
          <w:u w:val="single"/>
        </w:rPr>
        <w:t>.</w:t>
      </w:r>
      <w:r w:rsidRPr="00F45AA3">
        <w:rPr>
          <w:i w:val="0"/>
          <w:iCs/>
          <w:u w:val="single"/>
        </w:rPr>
        <w:t xml:space="preserve"> </w:t>
      </w:r>
    </w:p>
    <w:p w14:paraId="0C7EEEC3" w14:textId="33A3DEAD" w:rsidR="008D396E" w:rsidRPr="008D396E" w:rsidRDefault="008D396E" w:rsidP="008D396E">
      <w:pPr>
        <w:suppressAutoHyphens/>
        <w:spacing w:after="120" w:line="240" w:lineRule="auto"/>
        <w:jc w:val="both"/>
        <w:rPr>
          <w:rFonts w:ascii="Times New Roman" w:eastAsia="SimSun" w:hAnsi="Times New Roman"/>
          <w:bCs/>
          <w:kern w:val="22"/>
          <w:lang w:eastAsia="hi-IN" w:bidi="hi-IN"/>
        </w:rPr>
      </w:pPr>
      <w:r w:rsidRPr="008D396E">
        <w:rPr>
          <w:rFonts w:ascii="Times New Roman" w:eastAsia="SimSun" w:hAnsi="Times New Roman"/>
          <w:bCs/>
          <w:kern w:val="22"/>
          <w:lang w:eastAsia="hi-IN" w:bidi="hi-IN"/>
        </w:rPr>
        <w:t xml:space="preserve">According to the IUCN </w:t>
      </w:r>
      <w:r w:rsidRPr="008D396E">
        <w:rPr>
          <w:rFonts w:ascii="Times New Roman" w:eastAsia="SimSun" w:hAnsi="Times New Roman"/>
          <w:bCs/>
          <w:i/>
          <w:iCs/>
          <w:kern w:val="22"/>
          <w:lang w:eastAsia="hi-IN" w:bidi="hi-IN"/>
        </w:rPr>
        <w:t>Explanatory Guide to the</w:t>
      </w:r>
      <w:r w:rsidRPr="008D396E">
        <w:rPr>
          <w:rFonts w:ascii="Times New Roman" w:eastAsia="SimSun" w:hAnsi="Times New Roman"/>
          <w:bCs/>
          <w:kern w:val="22"/>
          <w:lang w:eastAsia="hi-IN" w:bidi="hi-IN"/>
        </w:rPr>
        <w:t xml:space="preserve"> </w:t>
      </w:r>
      <w:r w:rsidRPr="008D396E">
        <w:rPr>
          <w:rFonts w:ascii="Times New Roman" w:eastAsia="SimSun" w:hAnsi="Times New Roman"/>
          <w:bCs/>
          <w:i/>
          <w:iCs/>
          <w:kern w:val="22"/>
          <w:lang w:eastAsia="hi-IN" w:bidi="hi-IN"/>
        </w:rPr>
        <w:t>Cartagena Protocol on Biosafety</w:t>
      </w:r>
      <w:r w:rsidRPr="008D396E">
        <w:rPr>
          <w:rFonts w:ascii="Times New Roman" w:eastAsia="SimSun" w:hAnsi="Times New Roman"/>
          <w:bCs/>
          <w:kern w:val="22"/>
          <w:lang w:eastAsia="hi-IN" w:bidi="hi-IN"/>
        </w:rPr>
        <w:t xml:space="preserve">, the products of LMOs (referred to as “products thereof”) were extensively discussed during the negotiations of the Cartagena Protocol </w:t>
      </w:r>
      <w:r w:rsidR="009614CE">
        <w:rPr>
          <w:rFonts w:ascii="Times New Roman" w:eastAsia="SimSun" w:hAnsi="Times New Roman"/>
          <w:bCs/>
          <w:kern w:val="22"/>
          <w:lang w:eastAsia="hi-IN" w:bidi="hi-IN"/>
        </w:rPr>
        <w:fldChar w:fldCharType="begin" w:fldLock="1"/>
      </w:r>
      <w:r w:rsidR="007023C7">
        <w:rPr>
          <w:rFonts w:ascii="Times New Roman" w:eastAsia="SimSun" w:hAnsi="Times New Roman"/>
          <w:bCs/>
          <w:kern w:val="22"/>
          <w:lang w:eastAsia="hi-IN" w:bidi="hi-IN"/>
        </w:rPr>
        <w:instrText>ADDIN CSL_CITATION {"citationItems":[{"id":"ITEM-1","itemData":{"author":[{"dropping-particle":"","family":"Ascencio","given":"Alfonso","non-dropping-particle":"","parse-names":false,"suffix":""},{"dropping-particle":"","family":"Burhenne-Guilmin","given":"Françoise","non-dropping-particle":"","parse-names":false,"suffix":""},{"dropping-particle":"","family":"Kinderlerer","given":"Julian","non-dropping-particle":"","parse-names":false,"suffix":""},{"dropping-particle":"","family":"Kummer","given":"Katharina","non-dropping-particle":"","parse-names":false,"suffix":""},{"dropping-particle":"","family":"Viña","given":"Antonio","non-dropping-particle":"La","parse-names":false,"suffix":""},{"dropping-particle":"","family":"Mackenzie","given":"Ruth","non-dropping-particle":"","parse-names":false,"suffix":""},{"dropping-particle":"","family":"Tapper","given":"Richard","non-dropping-particle":"","parse-names":false,"suffix":""},{"dropping-particle":"","family":"Werksman","given":"Jacob D","non-dropping-particle":"","parse-names":false,"suffix":""}],"collection-title":"36690","id":"ITEM-1","issued":{"date-parts":[["2003"]]},"title":"An explanatory guide to the Cartagena protocol on biosafety","type":"report"},"uris":["http://www.mendeley.com/documents/?uuid=d3065aa0-5fb9-4656-adb1-6dd0a81a87e1"]}],"mendeley":{"formattedCitation":"(Ascencio et al., 2003)","plainTextFormattedCitation":"(Ascencio et al., 2003)","previouslyFormattedCitation":"(Ascencio et al., 2003)"},"properties":{"noteIndex":0},"schema":"https://github.com/citation-style-language/schema/raw/master/csl-citation.json"}</w:instrText>
      </w:r>
      <w:r w:rsidR="009614CE">
        <w:rPr>
          <w:rFonts w:ascii="Times New Roman" w:eastAsia="SimSun" w:hAnsi="Times New Roman"/>
          <w:bCs/>
          <w:kern w:val="22"/>
          <w:lang w:eastAsia="hi-IN" w:bidi="hi-IN"/>
        </w:rPr>
        <w:fldChar w:fldCharType="separate"/>
      </w:r>
      <w:r w:rsidR="009614CE" w:rsidRPr="009614CE">
        <w:rPr>
          <w:rFonts w:ascii="Times New Roman" w:eastAsia="SimSun" w:hAnsi="Times New Roman"/>
          <w:bCs/>
          <w:noProof/>
          <w:kern w:val="22"/>
          <w:lang w:eastAsia="hi-IN" w:bidi="hi-IN"/>
        </w:rPr>
        <w:t>(Ascencio et al., 2003)</w:t>
      </w:r>
      <w:r w:rsidR="009614CE">
        <w:rPr>
          <w:rFonts w:ascii="Times New Roman" w:eastAsia="SimSun" w:hAnsi="Times New Roman"/>
          <w:bCs/>
          <w:kern w:val="22"/>
          <w:lang w:eastAsia="hi-IN" w:bidi="hi-IN"/>
        </w:rPr>
        <w:fldChar w:fldCharType="end"/>
      </w:r>
      <w:r w:rsidRPr="008D396E">
        <w:rPr>
          <w:rFonts w:ascii="Times New Roman" w:eastAsia="SimSun" w:hAnsi="Times New Roman"/>
          <w:bCs/>
          <w:kern w:val="22"/>
          <w:lang w:eastAsia="hi-IN" w:bidi="hi-IN"/>
        </w:rPr>
        <w:t xml:space="preserve">. “Products thereof” in the context of the Cartagena Protocol seem to primarily refer to LMOs that have been processed. They are included in notifications under Annex I and risk assessments under Annex III if they contain “detectable novel combinations of replicable genetic material obtained through the use of modern biotechnology” (Article 20, paragraph 3(c); Annex I, paragraph (i); and Annex III, paragraph 5 Cartagena Protocol). </w:t>
      </w:r>
    </w:p>
    <w:p w14:paraId="7C9A647C" w14:textId="778C1193" w:rsidR="008D396E" w:rsidRPr="008D396E" w:rsidRDefault="008D396E" w:rsidP="008D396E">
      <w:pPr>
        <w:suppressAutoHyphens/>
        <w:spacing w:after="120" w:line="240" w:lineRule="auto"/>
        <w:jc w:val="both"/>
        <w:rPr>
          <w:rFonts w:ascii="Times New Roman" w:eastAsia="SimSun" w:hAnsi="Times New Roman"/>
          <w:kern w:val="22"/>
          <w:lang w:eastAsia="hi-IN" w:bidi="hi-IN"/>
        </w:rPr>
      </w:pPr>
      <w:r w:rsidRPr="60ED6039">
        <w:rPr>
          <w:rFonts w:ascii="Times New Roman" w:eastAsia="SimSun" w:hAnsi="Times New Roman"/>
          <w:kern w:val="22"/>
          <w:lang w:eastAsia="hi-IN" w:bidi="hi-IN"/>
        </w:rPr>
        <w:t xml:space="preserve">Organisms resulting from synthetic biology techniques that are currently used for commercial purposes are largely micro-organisms that have been altered to produce specific compounds, such as specialised chemicals, fuels, flavours, and pharmaceuticals </w:t>
      </w:r>
      <w:r w:rsidR="007023C7">
        <w:rPr>
          <w:rFonts w:ascii="Times New Roman" w:eastAsia="SimSun" w:hAnsi="Times New Roman"/>
          <w:kern w:val="22"/>
          <w:lang w:eastAsia="hi-IN" w:bidi="hi-IN"/>
        </w:rPr>
        <w:fldChar w:fldCharType="begin" w:fldLock="1"/>
      </w:r>
      <w:r w:rsidR="007023C7">
        <w:rPr>
          <w:rFonts w:ascii="Times New Roman" w:eastAsia="SimSun" w:hAnsi="Times New Roman"/>
          <w:kern w:val="22"/>
          <w:lang w:eastAsia="hi-IN" w:bidi="hi-IN"/>
        </w:rPr>
        <w:instrText>ADDIN CSL_CITATION {"citationItems":[{"id":"ITEM-1","itemData":{"DOI":"10.1007/s11693-009-9032-9","ISSN":"1872-5325","author":[{"dropping-particle":"","family":"Wellhausen","given":"Rachel","non-dropping-particle":"","parse-names":false,"suffix":""},{"dropping-particle":"","family":"Mukunda","given":"Gautam","non-dropping-particle":"","parse-names":false,"suffix":""}],"container-title":"Systems and Synthetic Biology","id":"ITEM-1","issue":"1-4","issued":{"date-parts":[["2009","12","10"]]},"page":"115-123","title":"Aspects of the political economy of development and synthetic biology","type":"article-journal","volume":"3"},"uris":["http://www.mendeley.com/documents/?uuid=3519e150-d1e0-42bb-be5a-a6eb4ead02b3"]}],"mendeley":{"formattedCitation":"(Wellhausen &amp; Mukunda, 2009)","plainTextFormattedCitation":"(Wellhausen &amp; Mukunda, 2009)","previouslyFormattedCitation":"(Wellhausen &amp; Mukunda, 2009)"},"properties":{"noteIndex":0},"schema":"https://github.com/citation-style-language/schema/raw/master/csl-citation.json"}</w:instrText>
      </w:r>
      <w:r w:rsidR="007023C7">
        <w:rPr>
          <w:rFonts w:ascii="Times New Roman" w:eastAsia="SimSun" w:hAnsi="Times New Roman"/>
          <w:kern w:val="22"/>
          <w:lang w:eastAsia="hi-IN" w:bidi="hi-IN"/>
        </w:rPr>
        <w:fldChar w:fldCharType="separate"/>
      </w:r>
      <w:r w:rsidR="007023C7" w:rsidRPr="007023C7">
        <w:rPr>
          <w:rFonts w:ascii="Times New Roman" w:eastAsia="SimSun" w:hAnsi="Times New Roman"/>
          <w:noProof/>
          <w:kern w:val="22"/>
          <w:lang w:eastAsia="hi-IN" w:bidi="hi-IN"/>
        </w:rPr>
        <w:t>(Wellhausen &amp; Mukunda, 2009)</w:t>
      </w:r>
      <w:r w:rsidR="007023C7">
        <w:rPr>
          <w:rFonts w:ascii="Times New Roman" w:eastAsia="SimSun" w:hAnsi="Times New Roman"/>
          <w:kern w:val="22"/>
          <w:lang w:eastAsia="hi-IN" w:bidi="hi-IN"/>
        </w:rPr>
        <w:fldChar w:fldCharType="end"/>
      </w:r>
      <w:r w:rsidRPr="60ED6039">
        <w:rPr>
          <w:rFonts w:ascii="Times New Roman" w:eastAsia="SimSun" w:hAnsi="Times New Roman"/>
          <w:kern w:val="22"/>
          <w:lang w:eastAsia="hi-IN" w:bidi="hi-IN"/>
        </w:rPr>
        <w:t>. The compounds</w:t>
      </w:r>
      <w:r w:rsidRPr="60ED6039" w:rsidDel="003C72F8">
        <w:rPr>
          <w:rFonts w:ascii="Times New Roman" w:eastAsia="SimSun" w:hAnsi="Times New Roman"/>
          <w:kern w:val="22"/>
          <w:lang w:eastAsia="hi-IN" w:bidi="hi-IN"/>
        </w:rPr>
        <w:t xml:space="preserve"> </w:t>
      </w:r>
      <w:r w:rsidRPr="60ED6039">
        <w:rPr>
          <w:rFonts w:ascii="Times New Roman" w:eastAsia="SimSun" w:hAnsi="Times New Roman"/>
          <w:kern w:val="22"/>
          <w:lang w:eastAsia="hi-IN" w:bidi="hi-IN"/>
        </w:rPr>
        <w:t xml:space="preserve">are not simply processed LMOs; they are the by-products of microbes or microbial fermentation of biomass. They may fall within the Protocol’s </w:t>
      </w:r>
      <w:r w:rsidR="06D17FEC" w:rsidRPr="60ED6039">
        <w:rPr>
          <w:rFonts w:ascii="Times New Roman" w:eastAsia="SimSun" w:hAnsi="Times New Roman"/>
          <w:kern w:val="22"/>
          <w:lang w:eastAsia="hi-IN" w:bidi="hi-IN"/>
        </w:rPr>
        <w:t xml:space="preserve">concept </w:t>
      </w:r>
      <w:r w:rsidRPr="60ED6039">
        <w:rPr>
          <w:rFonts w:ascii="Times New Roman" w:eastAsia="SimSun" w:hAnsi="Times New Roman"/>
          <w:kern w:val="22"/>
          <w:lang w:eastAsia="hi-IN" w:bidi="hi-IN"/>
        </w:rPr>
        <w:t>of “products thereof” if they contain nucleic acids containing a novel combination of genetic material. However, products that are in commercial use, such as vanillin and artemisinic acid, are generally highly refined and would not be expected to contain nucleic acids.</w:t>
      </w:r>
    </w:p>
    <w:p w14:paraId="4A0DEB59" w14:textId="12C47E1F" w:rsidR="008D396E" w:rsidRPr="00F45AA3" w:rsidRDefault="008D396E" w:rsidP="00F45AA3">
      <w:pPr>
        <w:pStyle w:val="Heading5"/>
        <w:numPr>
          <w:ilvl w:val="1"/>
          <w:numId w:val="216"/>
        </w:numPr>
        <w:ind w:left="284" w:hanging="284"/>
        <w:rPr>
          <w:i w:val="0"/>
          <w:iCs/>
          <w:u w:val="single"/>
        </w:rPr>
      </w:pPr>
      <w:r w:rsidRPr="00F45AA3">
        <w:rPr>
          <w:i w:val="0"/>
          <w:iCs/>
          <w:u w:val="single"/>
        </w:rPr>
        <w:t>DNA and constituent parts</w:t>
      </w:r>
      <w:r w:rsidR="004652FA" w:rsidRPr="00F45AA3">
        <w:rPr>
          <w:i w:val="0"/>
          <w:iCs/>
          <w:u w:val="single"/>
        </w:rPr>
        <w:t>.</w:t>
      </w:r>
    </w:p>
    <w:p w14:paraId="130A8A61" w14:textId="46C70B43" w:rsidR="008D396E" w:rsidRPr="008D396E" w:rsidRDefault="008D396E" w:rsidP="008D396E">
      <w:pPr>
        <w:suppressAutoHyphens/>
        <w:spacing w:after="120" w:line="240" w:lineRule="auto"/>
        <w:jc w:val="both"/>
        <w:rPr>
          <w:rFonts w:ascii="Times New Roman" w:eastAsia="SimSun" w:hAnsi="Times New Roman"/>
          <w:kern w:val="22"/>
          <w:lang w:eastAsia="hi-IN" w:bidi="hi-IN"/>
        </w:rPr>
      </w:pPr>
      <w:r w:rsidRPr="008D396E">
        <w:rPr>
          <w:rFonts w:ascii="Times New Roman" w:eastAsia="SimSun" w:hAnsi="Times New Roman"/>
          <w:lang w:eastAsia="hi-IN" w:bidi="hi-IN"/>
        </w:rPr>
        <w:t xml:space="preserve">The situation is less clear with regard to DNA and constituent parts. According to the IUCN </w:t>
      </w:r>
      <w:r w:rsidRPr="05AB8D9A">
        <w:rPr>
          <w:rFonts w:ascii="Times New Roman" w:eastAsia="SimSun" w:hAnsi="Times New Roman"/>
          <w:i/>
          <w:iCs/>
          <w:lang w:eastAsia="hi-IN" w:bidi="hi-IN"/>
        </w:rPr>
        <w:t>Explanatory Guide to the</w:t>
      </w:r>
      <w:r w:rsidRPr="008D396E">
        <w:rPr>
          <w:rFonts w:ascii="Times New Roman" w:eastAsia="SimSun" w:hAnsi="Times New Roman"/>
          <w:lang w:eastAsia="hi-IN" w:bidi="hi-IN"/>
        </w:rPr>
        <w:t xml:space="preserve"> </w:t>
      </w:r>
      <w:r w:rsidRPr="05AB8D9A">
        <w:rPr>
          <w:rFonts w:ascii="Times New Roman" w:eastAsia="SimSun" w:hAnsi="Times New Roman"/>
          <w:i/>
          <w:iCs/>
          <w:lang w:eastAsia="hi-IN" w:bidi="hi-IN"/>
        </w:rPr>
        <w:t>Cartagena Protocol on Biosafety,</w:t>
      </w:r>
      <w:r w:rsidRPr="008D396E">
        <w:rPr>
          <w:rFonts w:ascii="Times New Roman" w:eastAsia="SimSun" w:hAnsi="Times New Roman"/>
          <w:lang w:eastAsia="hi-IN" w:bidi="hi-IN"/>
        </w:rPr>
        <w:t xml:space="preserve"> the consensus decision was to not directly include plasmids or DNA in the Article 3(h) definition of living organisms</w:t>
      </w:r>
      <w:r w:rsidR="007023C7">
        <w:rPr>
          <w:rFonts w:ascii="Times New Roman" w:eastAsia="SimSun" w:hAnsi="Times New Roman"/>
          <w:lang w:eastAsia="hi-IN" w:bidi="hi-IN"/>
        </w:rPr>
        <w:t xml:space="preserve"> </w:t>
      </w:r>
      <w:r w:rsidR="007023C7">
        <w:rPr>
          <w:rFonts w:ascii="Times New Roman" w:eastAsia="SimSun" w:hAnsi="Times New Roman"/>
          <w:bCs/>
          <w:kern w:val="22"/>
          <w:lang w:eastAsia="hi-IN" w:bidi="hi-IN"/>
        </w:rPr>
        <w:fldChar w:fldCharType="begin" w:fldLock="1"/>
      </w:r>
      <w:r w:rsidR="007023C7">
        <w:rPr>
          <w:rFonts w:ascii="Times New Roman" w:eastAsia="SimSun" w:hAnsi="Times New Roman"/>
          <w:bCs/>
          <w:kern w:val="22"/>
          <w:lang w:eastAsia="hi-IN" w:bidi="hi-IN"/>
        </w:rPr>
        <w:instrText>ADDIN CSL_CITATION {"citationItems":[{"id":"ITEM-1","itemData":{"author":[{"dropping-particle":"","family":"Ascencio","given":"Alfonso","non-dropping-particle":"","parse-names":false,"suffix":""},{"dropping-particle":"","family":"Burhenne-Guilmin","given":"Françoise","non-dropping-particle":"","parse-names":false,"suffix":""},{"dropping-particle":"","family":"Kinderlerer","given":"Julian","non-dropping-particle":"","parse-names":false,"suffix":""},{"dropping-particle":"","family":"Kummer","given":"Katharina","non-dropping-particle":"","parse-names":false,"suffix":""},{"dropping-particle":"","family":"Viña","given":"Antonio","non-dropping-particle":"La","parse-names":false,"suffix":""},{"dropping-particle":"","family":"Mackenzie","given":"Ruth","non-dropping-particle":"","parse-names":false,"suffix":""},{"dropping-particle":"","family":"Tapper","given":"Richard","non-dropping-particle":"","parse-names":false,"suffix":""},{"dropping-particle":"","family":"Werksman","given":"Jacob D","non-dropping-particle":"","parse-names":false,"suffix":""}],"collection-title":"36690","id":"ITEM-1","issued":{"date-parts":[["2003"]]},"title":"An explanatory guide to the Cartagena protocol on biosafety","type":"report"},"uris":["http://www.mendeley.com/documents/?uuid=d3065aa0-5fb9-4656-adb1-6dd0a81a87e1"]}],"mendeley":{"formattedCitation":"(Ascencio et al., 2003)","plainTextFormattedCitation":"(Ascencio et al., 2003)","previouslyFormattedCitation":"(Ascencio et al., 2003)"},"properties":{"noteIndex":0},"schema":"https://github.com/citation-style-language/schema/raw/master/csl-citation.json"}</w:instrText>
      </w:r>
      <w:r w:rsidR="007023C7">
        <w:rPr>
          <w:rFonts w:ascii="Times New Roman" w:eastAsia="SimSun" w:hAnsi="Times New Roman"/>
          <w:bCs/>
          <w:kern w:val="22"/>
          <w:lang w:eastAsia="hi-IN" w:bidi="hi-IN"/>
        </w:rPr>
        <w:fldChar w:fldCharType="separate"/>
      </w:r>
      <w:r w:rsidR="007023C7" w:rsidRPr="009614CE">
        <w:rPr>
          <w:rFonts w:ascii="Times New Roman" w:eastAsia="SimSun" w:hAnsi="Times New Roman"/>
          <w:bCs/>
          <w:noProof/>
          <w:kern w:val="22"/>
          <w:lang w:eastAsia="hi-IN" w:bidi="hi-IN"/>
        </w:rPr>
        <w:t>(Ascencio et al., 2003)</w:t>
      </w:r>
      <w:r w:rsidR="007023C7">
        <w:rPr>
          <w:rFonts w:ascii="Times New Roman" w:eastAsia="SimSun" w:hAnsi="Times New Roman"/>
          <w:bCs/>
          <w:kern w:val="22"/>
          <w:lang w:eastAsia="hi-IN" w:bidi="hi-IN"/>
        </w:rPr>
        <w:fldChar w:fldCharType="end"/>
      </w:r>
      <w:r w:rsidRPr="008D396E">
        <w:rPr>
          <w:rFonts w:ascii="Times New Roman" w:eastAsia="SimSun" w:hAnsi="Times New Roman"/>
          <w:lang w:eastAsia="hi-IN" w:bidi="hi-IN"/>
        </w:rPr>
        <w:t>. DNA and parts produced for synthetic biology have been transported through postal mail for decades. For example, New England BioLabs Inc. offers the BioBrick</w:t>
      </w:r>
      <w:r w:rsidRPr="008D396E">
        <w:rPr>
          <w:rFonts w:ascii="Times New Roman" w:eastAsia="SimSun" w:hAnsi="Times New Roman"/>
          <w:vertAlign w:val="superscript"/>
          <w:lang w:eastAsia="hi-IN" w:bidi="hi-IN"/>
        </w:rPr>
        <w:t xml:space="preserve"> </w:t>
      </w:r>
      <w:r w:rsidRPr="008D396E">
        <w:rPr>
          <w:rFonts w:ascii="Times New Roman" w:eastAsia="SimSun" w:hAnsi="Times New Roman"/>
          <w:lang w:eastAsia="hi-IN" w:bidi="hi-IN"/>
        </w:rPr>
        <w:t>Assembly Kit for sale over the internet. Components of the kit include destination plasmids and the upstream and downstream parts as purified DNA</w:t>
      </w:r>
      <w:r w:rsidRPr="008D396E">
        <w:rPr>
          <w:rFonts w:ascii="Times New Roman" w:eastAsia="SimSun" w:hAnsi="Times New Roman"/>
          <w:kern w:val="22"/>
          <w:vertAlign w:val="superscript"/>
          <w:lang w:eastAsia="hi-IN" w:bidi="hi-IN"/>
        </w:rPr>
        <w:footnoteReference w:id="47"/>
      </w:r>
      <w:r w:rsidRPr="008D396E">
        <w:rPr>
          <w:rFonts w:ascii="Times New Roman" w:eastAsia="SimSun" w:hAnsi="Times New Roman"/>
          <w:lang w:eastAsia="hi-IN" w:bidi="hi-IN"/>
        </w:rPr>
        <w:t xml:space="preserve">. Purified, synthetic DNA from commercial DNA synthesis firms is available in a lyophilised (freeze-dried) form, typically as linear fragments (&lt; 2 kilobases) or cloned into plasmids for larger fragments </w:t>
      </w:r>
      <w:r w:rsidR="007023C7">
        <w:rPr>
          <w:rFonts w:ascii="Times New Roman" w:eastAsia="SimSun" w:hAnsi="Times New Roman"/>
          <w:lang w:eastAsia="hi-IN" w:bidi="hi-IN"/>
        </w:rPr>
        <w:fldChar w:fldCharType="begin" w:fldLock="1"/>
      </w:r>
      <w:r w:rsidR="0068315B">
        <w:rPr>
          <w:rFonts w:ascii="Times New Roman" w:eastAsia="SimSun" w:hAnsi="Times New Roman"/>
          <w:lang w:eastAsia="hi-IN" w:bidi="hi-IN"/>
        </w:rPr>
        <w:instrText>ADDIN CSL_CITATION {"citationItems":[{"id":"ITEM-1","itemData":{"DOI":"10.1101/cshperspect.a023812","ISSN":"19430264","PMID":"28049645","abstract":"The chemical synthesis of DNA oligonucleotides and their assembly into synthons, genes, circuits, and even entire genomes by gene synthesis methods has become an enabling technology for modern molecular biology and enables the design, build, test, learn, and repeat cycle underpinning innovations in synthetic biology. In this perspective, we briefly review the techniques and technologies that enable the synthesis of DNA oligonucleotides and their assembly into larger DNA constructs with a focus on recent advancements that have sought to reduce synthesis cost and increase sequence fidelity. The development of lower-cost methods to produce high-quality synthetic DNAwill allow for the exploration of larger biological hypotheses by lowering the cost of use and help to close the DNA read–write cost gap.","author":[{"dropping-particle":"","family":"Hughes","given":"Randall A.","non-dropping-particle":"","parse-names":false,"suffix":""},{"dropping-particle":"","family":"Ellington","given":"Andrew D.","non-dropping-particle":"","parse-names":false,"suffix":""}],"container-title":"Cold Spring Harbor Perspectives in Biology","id":"ITEM-1","issue":"1","issued":{"date-parts":[["2017","1"]]},"publisher":"Cold Spring Harbor Laboratory Press","title":"Synthetic DNA synthesis and assembly: Putting the synthetic in synthetic biology","type":"article-journal","volume":"9"},"uris":["http://www.mendeley.com/documents/?uuid=36400724-afac-47a3-899f-635721cef644"]}],"mendeley":{"formattedCitation":"(Hughes &amp; Ellington, 2017)","plainTextFormattedCitation":"(Hughes &amp; Ellington, 2017)","previouslyFormattedCitation":"(Hughes &amp; Ellington, 2017)"},"properties":{"noteIndex":0},"schema":"https://github.com/citation-style-language/schema/raw/master/csl-citation.json"}</w:instrText>
      </w:r>
      <w:r w:rsidR="007023C7">
        <w:rPr>
          <w:rFonts w:ascii="Times New Roman" w:eastAsia="SimSun" w:hAnsi="Times New Roman"/>
          <w:lang w:eastAsia="hi-IN" w:bidi="hi-IN"/>
        </w:rPr>
        <w:fldChar w:fldCharType="separate"/>
      </w:r>
      <w:r w:rsidR="007023C7" w:rsidRPr="007023C7">
        <w:rPr>
          <w:rFonts w:ascii="Times New Roman" w:eastAsia="SimSun" w:hAnsi="Times New Roman"/>
          <w:noProof/>
          <w:lang w:eastAsia="hi-IN" w:bidi="hi-IN"/>
        </w:rPr>
        <w:t>(Hughes &amp; Ellington, 2017)</w:t>
      </w:r>
      <w:r w:rsidR="007023C7">
        <w:rPr>
          <w:rFonts w:ascii="Times New Roman" w:eastAsia="SimSun" w:hAnsi="Times New Roman"/>
          <w:lang w:eastAsia="hi-IN" w:bidi="hi-IN"/>
        </w:rPr>
        <w:fldChar w:fldCharType="end"/>
      </w:r>
      <w:r w:rsidRPr="008D396E">
        <w:rPr>
          <w:rFonts w:ascii="Times New Roman" w:eastAsia="SimSun" w:hAnsi="Times New Roman"/>
          <w:lang w:eastAsia="hi-IN" w:bidi="hi-IN"/>
        </w:rPr>
        <w:t>. Since the DNA is not inserted into living cells for shipment, the “naked” DNA and parts may not qualify as “living organisms” under the Cartagena Protocol.</w:t>
      </w:r>
    </w:p>
    <w:p w14:paraId="166B64F0" w14:textId="77777777" w:rsidR="008D396E" w:rsidRDefault="008D396E" w:rsidP="008D396E">
      <w:pPr>
        <w:suppressAutoHyphens/>
        <w:spacing w:after="120" w:line="240" w:lineRule="auto"/>
        <w:jc w:val="both"/>
        <w:rPr>
          <w:rFonts w:ascii="Times New Roman" w:eastAsia="SimSun" w:hAnsi="Times New Roman"/>
          <w:bCs/>
          <w:kern w:val="22"/>
          <w:lang w:eastAsia="hi-IN" w:bidi="hi-IN"/>
        </w:rPr>
      </w:pPr>
      <w:r w:rsidRPr="008D396E">
        <w:rPr>
          <w:rFonts w:ascii="Times New Roman" w:eastAsia="SimSun" w:hAnsi="Times New Roman"/>
          <w:bCs/>
          <w:kern w:val="22"/>
          <w:lang w:eastAsia="hi-IN" w:bidi="hi-IN"/>
        </w:rPr>
        <w:t xml:space="preserve">The Cartagena Protocol provisions on risk assessment and the minimum required information to be included in notifications under some of the Protocol’s procedures may apply to naked DNA and its constituent parts resulting from synthetic biology techniques if they contain “detectable novel combinations of replicable genetic material obtained through the use of modern biotechnology” (Annex I(i); and Annex III, paragraph 5; Cartagena Protocol). </w:t>
      </w:r>
    </w:p>
    <w:p w14:paraId="50692689" w14:textId="70988A7F" w:rsidR="00D40380" w:rsidRDefault="00EB056F" w:rsidP="008D396E">
      <w:pPr>
        <w:suppressAutoHyphens/>
        <w:spacing w:after="120" w:line="240" w:lineRule="auto"/>
        <w:jc w:val="both"/>
        <w:rPr>
          <w:rFonts w:ascii="Times New Roman" w:eastAsia="SimSun" w:hAnsi="Times New Roman"/>
          <w:bCs/>
          <w:kern w:val="22"/>
          <w:lang w:eastAsia="hi-IN" w:bidi="hi-IN"/>
        </w:rPr>
      </w:pPr>
      <w:r>
        <w:rPr>
          <w:rFonts w:ascii="Times New Roman" w:eastAsia="SimSun" w:hAnsi="Times New Roman"/>
          <w:bCs/>
          <w:kern w:val="22"/>
          <w:lang w:eastAsia="hi-IN" w:bidi="hi-IN"/>
        </w:rPr>
        <w:t>In pr</w:t>
      </w:r>
      <w:r w:rsidRPr="00EB056F">
        <w:rPr>
          <w:rFonts w:ascii="Times New Roman" w:eastAsia="SimSun" w:hAnsi="Times New Roman"/>
          <w:bCs/>
          <w:kern w:val="22"/>
          <w:lang w:eastAsia="hi-IN" w:bidi="hi-IN"/>
        </w:rPr>
        <w:t>actice, however, many countries do not apply the Cartagena Protocol’s provisions on risk assessment and the minimum required information to naked DNA and its constituent parts because they are considered to be components rather than products of LMOs.</w:t>
      </w:r>
    </w:p>
    <w:p w14:paraId="00F7E8D9" w14:textId="50745104" w:rsidR="00FE4991" w:rsidRPr="00655C51" w:rsidRDefault="00FE4991" w:rsidP="00655C51">
      <w:pPr>
        <w:pStyle w:val="Heading5"/>
        <w:numPr>
          <w:ilvl w:val="1"/>
          <w:numId w:val="216"/>
        </w:numPr>
        <w:ind w:left="284" w:hanging="284"/>
        <w:rPr>
          <w:i w:val="0"/>
          <w:iCs/>
          <w:u w:val="single"/>
        </w:rPr>
      </w:pPr>
      <w:r w:rsidRPr="00655C51">
        <w:rPr>
          <w:i w:val="0"/>
          <w:iCs/>
          <w:u w:val="single"/>
        </w:rPr>
        <w:t>Novel combination</w:t>
      </w:r>
      <w:r w:rsidR="004652FA" w:rsidRPr="00655C51">
        <w:rPr>
          <w:i w:val="0"/>
          <w:iCs/>
          <w:u w:val="single"/>
        </w:rPr>
        <w:t>.</w:t>
      </w:r>
    </w:p>
    <w:p w14:paraId="645F9823" w14:textId="3FDD3072" w:rsidR="00FE4991" w:rsidRPr="00C73BFC" w:rsidRDefault="00FE4991" w:rsidP="008D396E">
      <w:pPr>
        <w:suppressAutoHyphens/>
        <w:spacing w:after="120" w:line="240" w:lineRule="auto"/>
        <w:jc w:val="both"/>
        <w:rPr>
          <w:rFonts w:ascii="Times New Roman" w:eastAsia="SimSun" w:hAnsi="Times New Roman"/>
          <w:bCs/>
          <w:kern w:val="22"/>
          <w:lang w:val="fr-CA" w:eastAsia="hi-IN" w:bidi="hi-IN"/>
        </w:rPr>
      </w:pPr>
      <w:r w:rsidRPr="00FE4991">
        <w:rPr>
          <w:rFonts w:ascii="Times New Roman" w:eastAsia="SimSun" w:hAnsi="Times New Roman"/>
          <w:bCs/>
          <w:kern w:val="22"/>
          <w:lang w:eastAsia="hi-IN" w:bidi="hi-IN"/>
        </w:rPr>
        <w:t xml:space="preserve">A “novel combination of genetic material” can result from a novel form or a novel arrangement of the functional units of heredity, regardless of whether or not this leads to a phenotypic change (Mackenzie et al. 2003). Supporting technologies of synthetic biology (see </w:t>
      </w:r>
      <w:r w:rsidR="00563F55">
        <w:rPr>
          <w:rFonts w:ascii="Times New Roman" w:eastAsia="SimSun" w:hAnsi="Times New Roman"/>
          <w:bCs/>
          <w:kern w:val="22"/>
          <w:lang w:eastAsia="hi-IN" w:bidi="hi-IN"/>
        </w:rPr>
        <w:t>S</w:t>
      </w:r>
      <w:r w:rsidRPr="00FE4991">
        <w:rPr>
          <w:rFonts w:ascii="Times New Roman" w:eastAsia="SimSun" w:hAnsi="Times New Roman"/>
          <w:bCs/>
          <w:kern w:val="22"/>
          <w:lang w:eastAsia="hi-IN" w:bidi="hi-IN"/>
        </w:rPr>
        <w:t xml:space="preserve">ection </w:t>
      </w:r>
      <w:r w:rsidR="00FF3600">
        <w:rPr>
          <w:rFonts w:ascii="Times New Roman" w:eastAsia="SimSun" w:hAnsi="Times New Roman"/>
          <w:bCs/>
          <w:kern w:val="22"/>
          <w:lang w:eastAsia="hi-IN" w:bidi="hi-IN"/>
        </w:rPr>
        <w:t>1</w:t>
      </w:r>
      <w:r w:rsidRPr="00FE4991">
        <w:rPr>
          <w:rFonts w:ascii="Times New Roman" w:eastAsia="SimSun" w:hAnsi="Times New Roman"/>
          <w:bCs/>
          <w:kern w:val="22"/>
          <w:lang w:eastAsia="hi-IN" w:bidi="hi-IN"/>
        </w:rPr>
        <w:t xml:space="preserve">) can be applied to produce novel genetic materials </w:t>
      </w:r>
      <w:r w:rsidR="0068315B">
        <w:rPr>
          <w:rFonts w:ascii="Times New Roman" w:eastAsia="SimSun" w:hAnsi="Times New Roman"/>
          <w:bCs/>
          <w:kern w:val="22"/>
          <w:lang w:eastAsia="hi-IN" w:bidi="hi-IN"/>
        </w:rPr>
        <w:fldChar w:fldCharType="begin" w:fldLock="1"/>
      </w:r>
      <w:r w:rsidR="0068315B">
        <w:rPr>
          <w:rFonts w:ascii="Times New Roman" w:eastAsia="SimSun" w:hAnsi="Times New Roman"/>
          <w:bCs/>
          <w:kern w:val="22"/>
          <w:lang w:eastAsia="hi-IN" w:bidi="hi-IN"/>
        </w:rPr>
        <w:instrText>ADDIN CSL_CITATION {"citationItems":[{"id":"ITEM-1","itemData":{"DOI":"10.1038/s41587-019-0157-4","ISSN":"1087-0156","author":[{"dropping-particle":"","family":"Simon","given":"Anna J.","non-dropping-particle":"","parse-names":false,"suffix":""},{"dropping-particle":"","family":"D’Oelsnitz","given":"Simon","non-dropping-particle":"","parse-names":false,"suffix":""},{"dropping-particle":"","family":"Ellington","given":"Andrew D.","non-dropping-particle":"","parse-names":false,"suffix":""}],"container-title":"Nature Biotechnology","id":"ITEM-1","issue":"7","issued":{"date-parts":[["2019","7","17"]]},"page":"730-743","title":"Synthetic evolution","type":"article-journal","volume":"37"},"uris":["http://www.mendeley.com/documents/?uuid=e0518bed-6b7d-4ae0-b65f-f25699019be3"]},{"id":"ITEM-2","itemData":{"DOI":"10.1007/s12275-020-9334-x","ISSN":"19763794","PMID":"31898252","abstract":"Genome-scale engineering is a crucial methodology to rationally regulate microbiological system operations, leading to expected biological behaviors or enhanced bioproduct yields. Over the past decade, innovative genome modification technologies have been developed for effectively regulating and manipulating genes at the genome level. Here, we discuss the current genome-scale engineering technologies used for microbial engineering. Recently developed strategies, such as clustered regularly interspaced short palindromic repeats (CRISPR)-Cas9, multiplex automated genome engineering (MAGE), promoter engineering, CRISPR-based regulations, and synthetic small regulatory RNA (sRNA)-based knockdown, are considered as powerful tools for genome-scale engineering in microbiological systems. MAGE, which modifies specific nucleotides of the genome sequence, is utilized as a genome-editing tool. Contrastingly, synthetic sRNA, CRISPRi, and CRISPRa are mainly used to regulate gene expression without modifying the genome sequence. This review introduces the recent genome-scale editing and regulating technologies and their applications in metabolic engineering.","author":[{"dropping-particle":"","family":"Ren","given":"Jun","non-dropping-particle":"","parse-names":false,"suffix":""},{"dropping-particle":"","family":"Lee","given":"Jingyu","non-dropping-particle":"","parse-names":false,"suffix":""},{"dropping-particle":"","family":"Na","given":"Dokyun","non-dropping-particle":"","parse-names":false,"suffix":""}],"container-title":"Journal of Microbiology","id":"ITEM-2","issue":"1","issued":{"date-parts":[["2020","1"]]},"publisher":"Microbiological Society of Korea","title":"Recent advances in genetic engineering tools based on synthetic biology","type":"article","volume":"58"},"uris":["http://www.mendeley.com/documents/?uuid=f8af4e6a-91e1-49e0-9fbb-f1bdc4bb6a5d"]}],"mendeley":{"formattedCitation":"(Ren et al., 2020; Simon et al., 2019)","plainTextFormattedCitation":"(Ren et al., 2020; Simon et al., 2019)","previouslyFormattedCitation":"(Ren et al., 2020; Simon et al., 2019)"},"properties":{"noteIndex":0},"schema":"https://github.com/citation-style-language/schema/raw/master/csl-citation.json"}</w:instrText>
      </w:r>
      <w:r w:rsidR="0068315B">
        <w:rPr>
          <w:rFonts w:ascii="Times New Roman" w:eastAsia="SimSun" w:hAnsi="Times New Roman"/>
          <w:bCs/>
          <w:kern w:val="22"/>
          <w:lang w:eastAsia="hi-IN" w:bidi="hi-IN"/>
        </w:rPr>
        <w:fldChar w:fldCharType="separate"/>
      </w:r>
      <w:r w:rsidR="0068315B" w:rsidRPr="0068315B">
        <w:rPr>
          <w:rFonts w:ascii="Times New Roman" w:eastAsia="SimSun" w:hAnsi="Times New Roman"/>
          <w:bCs/>
          <w:noProof/>
          <w:kern w:val="22"/>
          <w:lang w:eastAsia="hi-IN" w:bidi="hi-IN"/>
        </w:rPr>
        <w:t>(Ren et al., 2020; Simon et al., 2019)</w:t>
      </w:r>
      <w:r w:rsidR="0068315B">
        <w:rPr>
          <w:rFonts w:ascii="Times New Roman" w:eastAsia="SimSun" w:hAnsi="Times New Roman"/>
          <w:bCs/>
          <w:kern w:val="22"/>
          <w:lang w:eastAsia="hi-IN" w:bidi="hi-IN"/>
        </w:rPr>
        <w:fldChar w:fldCharType="end"/>
      </w:r>
      <w:r w:rsidR="00563F55">
        <w:rPr>
          <w:rFonts w:ascii="Times New Roman" w:eastAsia="SimSun" w:hAnsi="Times New Roman"/>
          <w:bCs/>
          <w:kern w:val="22"/>
          <w:lang w:eastAsia="hi-IN" w:bidi="hi-IN"/>
        </w:rPr>
        <w:t>.</w:t>
      </w:r>
      <w:r w:rsidRPr="00FE4991">
        <w:rPr>
          <w:rFonts w:ascii="Times New Roman" w:eastAsia="SimSun" w:hAnsi="Times New Roman"/>
          <w:bCs/>
          <w:kern w:val="22"/>
          <w:lang w:eastAsia="hi-IN" w:bidi="hi-IN"/>
        </w:rPr>
        <w:t xml:space="preserve"> For example, organisms resulting from synthetic biology techniques modelled after natural organisms (such as the reconstructed Horsepox virus Noyce et al. </w:t>
      </w:r>
      <w:r w:rsidR="0068315B">
        <w:rPr>
          <w:rFonts w:ascii="Times New Roman" w:eastAsia="SimSun" w:hAnsi="Times New Roman"/>
          <w:bCs/>
          <w:kern w:val="22"/>
          <w:lang w:eastAsia="hi-IN" w:bidi="hi-IN"/>
        </w:rPr>
        <w:fldChar w:fldCharType="begin" w:fldLock="1"/>
      </w:r>
      <w:r w:rsidR="0068315B">
        <w:rPr>
          <w:rFonts w:ascii="Times New Roman" w:eastAsia="SimSun" w:hAnsi="Times New Roman"/>
          <w:bCs/>
          <w:kern w:val="22"/>
          <w:lang w:eastAsia="hi-IN" w:bidi="hi-IN"/>
        </w:rPr>
        <w:instrText>ADDIN CSL_CITATION {"citationItems":[{"id":"ITEM-1","itemData":{"DOI":"10.1371/journal.pone.0188453","ISSN":"1932-6203","author":[{"dropping-particle":"","family":"Noyce","given":"Ryan S.","non-dropping-particle":"","parse-names":false,"suffix":""},{"dropping-particle":"","family":"Lederman","given":"Seth","non-dropping-particle":"","parse-names":false,"suffix":""},{"dropping-particle":"","family":"Evans","given":"David H.","non-dropping-particle":"","parse-names":false,"suffix":""}],"container-title":"PLOS ONE","editor":[{"dropping-particle":"","family":"Thiel","given":"Volker","non-dropping-particle":"","parse-names":false,"suffix":""}],"id":"ITEM-1","issue":"1","issued":{"date-parts":[["2018","1","19"]]},"page":"e0188453","title":"Construction of an infectious horsepox virus vaccine from chemically synthesized DNA fragments","type":"article-journal","volume":"13"},"uris":["http://www.mendeley.com/documents/?uuid=0b65ea0d-ce5a-4419-8833-d4b451870f55"]}],"mendeley":{"formattedCitation":"(Noyce et al., 2018)","manualFormatting":"(2018)","plainTextFormattedCitation":"(Noyce et al., 2018)","previouslyFormattedCitation":"(Noyce et al., 2018)"},"properties":{"noteIndex":0},"schema":"https://github.com/citation-style-language/schema/raw/master/csl-citation.json"}</w:instrText>
      </w:r>
      <w:r w:rsidR="0068315B">
        <w:rPr>
          <w:rFonts w:ascii="Times New Roman" w:eastAsia="SimSun" w:hAnsi="Times New Roman"/>
          <w:bCs/>
          <w:kern w:val="22"/>
          <w:lang w:eastAsia="hi-IN" w:bidi="hi-IN"/>
        </w:rPr>
        <w:fldChar w:fldCharType="separate"/>
      </w:r>
      <w:r w:rsidR="0068315B" w:rsidRPr="0068315B">
        <w:rPr>
          <w:rFonts w:ascii="Times New Roman" w:eastAsia="SimSun" w:hAnsi="Times New Roman"/>
          <w:bCs/>
          <w:noProof/>
          <w:kern w:val="22"/>
          <w:lang w:eastAsia="hi-IN" w:bidi="hi-IN"/>
        </w:rPr>
        <w:t>(2018)</w:t>
      </w:r>
      <w:r w:rsidR="0068315B">
        <w:rPr>
          <w:rFonts w:ascii="Times New Roman" w:eastAsia="SimSun" w:hAnsi="Times New Roman"/>
          <w:bCs/>
          <w:kern w:val="22"/>
          <w:lang w:eastAsia="hi-IN" w:bidi="hi-IN"/>
        </w:rPr>
        <w:fldChar w:fldCharType="end"/>
      </w:r>
      <w:r w:rsidRPr="00FE4991">
        <w:rPr>
          <w:rFonts w:ascii="Times New Roman" w:eastAsia="SimSun" w:hAnsi="Times New Roman"/>
          <w:bCs/>
          <w:kern w:val="22"/>
          <w:lang w:eastAsia="hi-IN" w:bidi="hi-IN"/>
        </w:rPr>
        <w:t xml:space="preserve">, karyotype engineered yeast </w:t>
      </w:r>
      <w:r w:rsidR="0068315B">
        <w:rPr>
          <w:rFonts w:ascii="Times New Roman" w:eastAsia="SimSun" w:hAnsi="Times New Roman"/>
          <w:bCs/>
          <w:kern w:val="22"/>
          <w:lang w:eastAsia="hi-IN" w:bidi="hi-IN"/>
        </w:rPr>
        <w:fldChar w:fldCharType="begin" w:fldLock="1"/>
      </w:r>
      <w:r w:rsidR="0068315B">
        <w:rPr>
          <w:rFonts w:ascii="Times New Roman" w:eastAsia="SimSun" w:hAnsi="Times New Roman"/>
          <w:bCs/>
          <w:kern w:val="22"/>
          <w:lang w:eastAsia="hi-IN" w:bidi="hi-IN"/>
        </w:rPr>
        <w:instrText>ADDIN CSL_CITATION {"citationItems":[{"id":"ITEM-1","itemData":{"DOI":"10.1038/s41586-018-0382-x","ISSN":"0028-0836","author":[{"dropping-particle":"","family":"Shao","given":"Yangyang","non-dropping-particle":"","parse-names":false,"suffix":""},{"dropping-particle":"","family":"Lu","given":"Ning","non-dropping-particle":"","parse-names":false,"suffix":""},{"dropping-particle":"","family":"Wu","given":"Zhenfang","non-dropping-particle":"","parse-names":false,"suffix":""},{"dropping-particle":"","family":"Cai","given":"Chen","non-dropping-particle":"","parse-names":false,"suffix":""},{"dropping-particle":"","family":"Wang","given":"Shanshan","non-dropping-particle":"","parse-names":false,"suffix":""},{"dropping-particle":"","family":"Zhang","given":"Ling-Li","non-dropping-particle":"","parse-names":false,"suffix":""},{"dropping-particle":"","family":"Zhou","given":"Fan","non-dropping-particle":"","parse-names":false,"suffix":""},{"dropping-particle":"","family":"Xiao","given":"Shijun","non-dropping-particle":"","parse-names":false,"suffix":""},{"dropping-particle":"","family":"Liu","given":"Lin","non-dropping-particle":"","parse-names":false,"suffix":""},{"dropping-particle":"","family":"Zeng","given":"Xiaofei","non-dropping-particle":"","parse-names":false,"suffix":""},{"dropping-particle":"","family":"Zheng","given":"Huajun","non-dropping-particle":"","parse-names":false,"suffix":""},{"dropping-particle":"","family":"Yang","given":"Chen","non-dropping-particle":"","parse-names":false,"suffix":""},{"dropping-particle":"","family":"Zhao","given":"Zhihu","non-dropping-particle":"","parse-names":false,"suffix":""},{"dropping-particle":"","family":"Zhao","given":"Guoping","non-dropping-particle":"","parse-names":false,"suffix":""},{"dropping-particle":"","family":"Zhou","given":"Jin-Qiu","non-dropping-particle":"","parse-names":false,"suffix":""},{"dropping-particle":"","family":"Xue","given":"Xiaoli","non-dropping-particle":"","parse-names":false,"suffix":""},{"dropping-particle":"","family":"Qin","given":"Zhongjun","non-dropping-particle":"","parse-names":false,"suffix":""}],"container-title":"Nature","id":"ITEM-1","issue":"7718","issued":{"date-parts":[["2018","8","1"]]},"page":"331-335","title":"Creating a functional single-chromosome yeast","type":"article-journal","volume":"560"},"uris":["http://www.mendeley.com/documents/?uuid=ae5f6fb9-77ed-4101-82aa-c9e7e77bc0ce"]},{"id":"ITEM-2","itemData":{"DOI":"10.1038/s41586-018-0374-x","ISSN":"1476-4687","abstract":"Extant species have wildly different numbers of chromosomes, even among taxa with relatively similar genome sizes (for example, insects)1,2. This is likely to reflect accidents of genome history, such as telomere–telomere fusions and genome duplication events3–5. Humans have 23 pairs of chromosomes, whereas other apes have 24. One human chromosome is a fusion product of the ancestral state6. This raises the question: how well can species tolerate a change in chromosome numbers without substantial changes to genome content? Many tools are used in chromosome engineering in Saccharomyces cerevisiae7–10, but CRISPR–Cas9-mediated genome editing facilitates the most aggressive engineering strategies. Here we successfully fused yeast chromosomes using CRISPR–Cas9, generating a near-isogenic series of strains with progressively fewer chromosomes ranging from sixteen to two. A strain carrying only two chromosomes of about six megabases each exhibited modest transcriptomic changes and grew without major defects. When we crossed a sixteen-chromosome strain with strains with fewer chromosomes, we noted two trends. As the number of chromosomes dropped below sixteen, spore viability decreased markedly, reaching less than 10% for twelve chromosomes. As the number of chromosomes decreased further, yeast sporulation was arrested: a cross between a sixteen-chromosome strain and an eight-chromosome strain showed greatly reduced full tetrad formation and less than 1% sporulation, from which no viable spores could be recovered. However, homotypic crosses between pairs of strains with eight, four or two chromosomes produced excellent sporulation and spore viability. These results indicate that eight chromosome–chromosome fusion events suffice to isolate strains reproductively. Overall, budding yeast tolerates a reduction in chromosome number unexpectedly well, providing a striking example of the robustness of genomes to change.","author":[{"dropping-particle":"","family":"Luo","given":"Jingchuan","non-dropping-particle":"","parse-names":false,"suffix":""},{"dropping-particle":"","family":"Sun","given":"Xiaoji","non-dropping-particle":"","parse-names":false,"suffix":""},{"dropping-particle":"","family":"Cormack","given":"Brendan P","non-dropping-particle":"","parse-names":false,"suffix":""},{"dropping-particle":"","family":"Boeke","given":"Jef D","non-dropping-particle":"","parse-names":false,"suffix":""}],"container-title":"Nature","id":"ITEM-2","issue":"7718","issued":{"date-parts":[["2018"]]},"page":"392-396","title":"Karyotype engineering by chromosome fusion leads to reproductive isolation in yeast","type":"article-journal","volume":"560"},"uris":["http://www.mendeley.com/documents/?uuid=b366cd23-375c-4407-abcb-b644c7e3eec1"]}],"mendeley":{"formattedCitation":"(J. Luo et al., 2018; Shao et al., 2018b)","manualFormatting":"(Luo et al., 2018; Shao et al., (2018)","plainTextFormattedCitation":"(J. Luo et al., 2018; Shao et al., 2018b)","previouslyFormattedCitation":"(J. Luo et al., 2018; Shao et al., 2018b)"},"properties":{"noteIndex":0},"schema":"https://github.com/citation-style-language/schema/raw/master/csl-citation.json"}</w:instrText>
      </w:r>
      <w:r w:rsidR="0068315B">
        <w:rPr>
          <w:rFonts w:ascii="Times New Roman" w:eastAsia="SimSun" w:hAnsi="Times New Roman"/>
          <w:bCs/>
          <w:kern w:val="22"/>
          <w:lang w:eastAsia="hi-IN" w:bidi="hi-IN"/>
        </w:rPr>
        <w:fldChar w:fldCharType="separate"/>
      </w:r>
      <w:r w:rsidR="0068315B" w:rsidRPr="0068315B">
        <w:rPr>
          <w:rFonts w:ascii="Times New Roman" w:eastAsia="SimSun" w:hAnsi="Times New Roman"/>
          <w:bCs/>
          <w:noProof/>
          <w:kern w:val="22"/>
          <w:lang w:eastAsia="hi-IN" w:bidi="hi-IN"/>
        </w:rPr>
        <w:t xml:space="preserve">(Luo et al., 2018; Shao et al., </w:t>
      </w:r>
      <w:r w:rsidR="0068315B">
        <w:rPr>
          <w:rFonts w:ascii="Times New Roman" w:eastAsia="SimSun" w:hAnsi="Times New Roman"/>
          <w:bCs/>
          <w:noProof/>
          <w:kern w:val="22"/>
          <w:lang w:eastAsia="hi-IN" w:bidi="hi-IN"/>
        </w:rPr>
        <w:t>(</w:t>
      </w:r>
      <w:r w:rsidR="0068315B" w:rsidRPr="0068315B">
        <w:rPr>
          <w:rFonts w:ascii="Times New Roman" w:eastAsia="SimSun" w:hAnsi="Times New Roman"/>
          <w:bCs/>
          <w:noProof/>
          <w:kern w:val="22"/>
          <w:lang w:eastAsia="hi-IN" w:bidi="hi-IN"/>
        </w:rPr>
        <w:t>2018)</w:t>
      </w:r>
      <w:r w:rsidR="0068315B">
        <w:rPr>
          <w:rFonts w:ascii="Times New Roman" w:eastAsia="SimSun" w:hAnsi="Times New Roman"/>
          <w:bCs/>
          <w:kern w:val="22"/>
          <w:lang w:eastAsia="hi-IN" w:bidi="hi-IN"/>
        </w:rPr>
        <w:fldChar w:fldCharType="end"/>
      </w:r>
      <w:r w:rsidR="008761FC">
        <w:rPr>
          <w:rFonts w:ascii="Times New Roman" w:eastAsia="SimSun" w:hAnsi="Times New Roman"/>
          <w:bCs/>
          <w:kern w:val="22"/>
          <w:lang w:eastAsia="hi-IN" w:bidi="hi-IN"/>
        </w:rPr>
        <w:t xml:space="preserve"> </w:t>
      </w:r>
      <w:r w:rsidRPr="00FE4991">
        <w:rPr>
          <w:rFonts w:ascii="Times New Roman" w:eastAsia="SimSun" w:hAnsi="Times New Roman"/>
          <w:bCs/>
          <w:kern w:val="22"/>
          <w:lang w:eastAsia="hi-IN" w:bidi="hi-IN"/>
        </w:rPr>
        <w:t xml:space="preserve">and the JCVI-syn3.0 strain (Hutchison et al </w:t>
      </w:r>
      <w:r w:rsidR="0068315B">
        <w:rPr>
          <w:rFonts w:ascii="Times New Roman" w:eastAsia="SimSun" w:hAnsi="Times New Roman"/>
          <w:bCs/>
          <w:kern w:val="22"/>
          <w:lang w:eastAsia="hi-IN" w:bidi="hi-IN"/>
        </w:rPr>
        <w:fldChar w:fldCharType="begin" w:fldLock="1"/>
      </w:r>
      <w:r w:rsidR="00C73BFC">
        <w:rPr>
          <w:rFonts w:ascii="Times New Roman" w:eastAsia="SimSun" w:hAnsi="Times New Roman"/>
          <w:bCs/>
          <w:kern w:val="22"/>
          <w:lang w:eastAsia="hi-IN" w:bidi="hi-IN"/>
        </w:rPr>
        <w:instrText>ADDIN CSL_CITATION {"citationItems":[{"id":"ITEM-1","itemData":{"DOI":"10.1126/science.aad6253","ISSN":"0036-8075","author":[{"dropping-particle":"","family":"Hutchison","given":"C. A.","non-dropping-particle":"","parse-names":false,"suffix":""},{"dropping-particle":"","family":"Chuang","given":"R.-Y.","non-dropping-particle":"","parse-names":false,"suffix":""},{"dropping-particle":"","family":"Noskov","given":"V. N.","non-dropping-particle":"","parse-names":false,"suffix":""},{"dropping-particle":"","family":"Assad-Garcia","given":"N.","non-dropping-particle":"","parse-names":false,"suffix":""},{"dropping-particle":"","family":"Deerinck","given":"T. J.","non-dropping-particle":"","parse-names":false,"suffix":""},{"dropping-particle":"","family":"Ellisman","given":"M. H.","non-dropping-particle":"","parse-names":false,"suffix":""},{"dropping-particle":"","family":"Gill","given":"J.","non-dropping-particle":"","parse-names":false,"suffix":""},{"dropping-particle":"","family":"Kannan","given":"K.","non-dropping-particle":"","parse-names":false,"suffix":""},{"dropping-particle":"","family":"Karas","given":"B. J.","non-dropping-particle":"","parse-names":false,"suffix":""},{"dropping-particle":"","family":"Ma","given":"L.","non-dropping-particle":"","parse-names":false,"suffix":""},{"dropping-particle":"","family":"Pelletier","given":"J. F.","non-dropping-particle":"","parse-names":false,"suffix":""},{"dropping-particle":"","family":"Qi","given":"Z.-Q.","non-dropping-particle":"","parse-names":false,"suffix":""},{"dropping-particle":"","family":"Richter","given":"R. A.","non-dropping-particle":"","parse-names":false,"suffix":""},{"dropping-particle":"","family":"Strychalski","given":"E. A.","non-dropping-particle":"","parse-names":false,"suffix":""},{"dropping-particle":"","family":"Sun","given":"L.","non-dropping-particle":"","parse-names":false,"suffix":""},{"dropping-particle":"","family":"Suzuki","given":"Y.","non-dropping-particle":"","parse-names":false,"suffix":""},{"dropping-particle":"","family":"Tsvetanova","given":"B.","non-dropping-particle":"","parse-names":false,"suffix":""},{"dropping-particle":"","family":"Wise","given":"K. S.","non-dropping-particle":"","parse-names":false,"suffix":""},{"dropping-particle":"","family":"Smith","given":"H. O.","non-dropping-particle":"","parse-names":false,"suffix":""},{"dropping-particle":"","family":"Glass","given":"J. I.","non-dropping-particle":"","parse-names":false,"suffix":""},{"dropping-particle":"","family":"Merryman","given":"C.","non-dropping-particle":"","parse-names":false,"suffix":""},{"dropping-particle":"","family":"Gibson","given":"D. G.","non-dropping-particle":"","parse-names":false,"suffix":""},{"dropping-particle":"","family":"Venter","given":"J. C.","non-dropping-particle":"","parse-names":false,"suffix":""}],"container-title":"Science","id":"ITEM-1","issue":"6280","issued":{"date-parts":[["2016","3","25"]]},"page":"aad6253-aad6253","title":"Design and synthesis of a minimal bacterial genome","type":"article-journal","volume":"351"},"uris":["http://www.mendeley.com/documents/?uuid=c7797b5f-0cd4-4e65-88c1-5665dd36b29e"]}],"mendeley":{"formattedCitation":"(Hutchison et al., 2016)","manualFormatting":"(2016)","plainTextFormattedCitation":"(Hutchison et al., 2016)","previouslyFormattedCitation":"(Hutchison et al., 2016)"},"properties":{"noteIndex":0},"schema":"https://github.com/citation-style-language/schema/raw/master/csl-citation.json"}</w:instrText>
      </w:r>
      <w:r w:rsidR="0068315B">
        <w:rPr>
          <w:rFonts w:ascii="Times New Roman" w:eastAsia="SimSun" w:hAnsi="Times New Roman"/>
          <w:bCs/>
          <w:kern w:val="22"/>
          <w:lang w:eastAsia="hi-IN" w:bidi="hi-IN"/>
        </w:rPr>
        <w:fldChar w:fldCharType="separate"/>
      </w:r>
      <w:r w:rsidR="0068315B">
        <w:rPr>
          <w:rFonts w:ascii="Times New Roman" w:eastAsia="SimSun" w:hAnsi="Times New Roman"/>
          <w:bCs/>
          <w:noProof/>
          <w:kern w:val="22"/>
          <w:lang w:eastAsia="hi-IN" w:bidi="hi-IN"/>
        </w:rPr>
        <w:t>(</w:t>
      </w:r>
      <w:r w:rsidR="0068315B" w:rsidRPr="0068315B">
        <w:rPr>
          <w:rFonts w:ascii="Times New Roman" w:eastAsia="SimSun" w:hAnsi="Times New Roman"/>
          <w:bCs/>
          <w:noProof/>
          <w:kern w:val="22"/>
          <w:lang w:eastAsia="hi-IN" w:bidi="hi-IN"/>
        </w:rPr>
        <w:t>2016)</w:t>
      </w:r>
      <w:r w:rsidR="0068315B">
        <w:rPr>
          <w:rFonts w:ascii="Times New Roman" w:eastAsia="SimSun" w:hAnsi="Times New Roman"/>
          <w:bCs/>
          <w:kern w:val="22"/>
          <w:lang w:eastAsia="hi-IN" w:bidi="hi-IN"/>
        </w:rPr>
        <w:fldChar w:fldCharType="end"/>
      </w:r>
      <w:r w:rsidR="0068315B">
        <w:rPr>
          <w:rFonts w:ascii="Times New Roman" w:eastAsia="SimSun" w:hAnsi="Times New Roman"/>
          <w:bCs/>
          <w:kern w:val="22"/>
          <w:lang w:eastAsia="hi-IN" w:bidi="hi-IN"/>
        </w:rPr>
        <w:t xml:space="preserve"> </w:t>
      </w:r>
      <w:r w:rsidRPr="00FE4991">
        <w:rPr>
          <w:rFonts w:ascii="Times New Roman" w:eastAsia="SimSun" w:hAnsi="Times New Roman"/>
          <w:bCs/>
          <w:kern w:val="22"/>
          <w:lang w:eastAsia="hi-IN" w:bidi="hi-IN"/>
        </w:rPr>
        <w:t xml:space="preserve">(see Sections </w:t>
      </w:r>
      <w:r w:rsidR="006E58D1">
        <w:rPr>
          <w:rFonts w:ascii="Times New Roman" w:eastAsia="SimSun" w:hAnsi="Times New Roman"/>
          <w:bCs/>
          <w:kern w:val="22"/>
          <w:lang w:eastAsia="hi-IN" w:bidi="hi-IN"/>
        </w:rPr>
        <w:t>2</w:t>
      </w:r>
      <w:r w:rsidRPr="00FE4991">
        <w:rPr>
          <w:rFonts w:ascii="Times New Roman" w:eastAsia="SimSun" w:hAnsi="Times New Roman"/>
          <w:bCs/>
          <w:kern w:val="22"/>
          <w:lang w:eastAsia="hi-IN" w:bidi="hi-IN"/>
        </w:rPr>
        <w:t>.</w:t>
      </w:r>
      <w:r w:rsidR="001B1D05">
        <w:rPr>
          <w:rFonts w:ascii="Times New Roman" w:eastAsia="SimSun" w:hAnsi="Times New Roman"/>
          <w:bCs/>
          <w:kern w:val="22"/>
          <w:lang w:eastAsia="hi-IN" w:bidi="hi-IN"/>
        </w:rPr>
        <w:t>4</w:t>
      </w:r>
      <w:r w:rsidRPr="00FE4991">
        <w:rPr>
          <w:rFonts w:ascii="Times New Roman" w:eastAsia="SimSun" w:hAnsi="Times New Roman"/>
          <w:bCs/>
          <w:kern w:val="22"/>
          <w:lang w:eastAsia="hi-IN" w:bidi="hi-IN"/>
        </w:rPr>
        <w:t xml:space="preserve"> and </w:t>
      </w:r>
      <w:r w:rsidR="006E58D1">
        <w:rPr>
          <w:rFonts w:ascii="Times New Roman" w:eastAsia="SimSun" w:hAnsi="Times New Roman"/>
          <w:bCs/>
          <w:kern w:val="22"/>
          <w:lang w:eastAsia="hi-IN" w:bidi="hi-IN"/>
        </w:rPr>
        <w:t>3</w:t>
      </w:r>
      <w:r w:rsidRPr="00FE4991">
        <w:rPr>
          <w:rFonts w:ascii="Times New Roman" w:eastAsia="SimSun" w:hAnsi="Times New Roman"/>
          <w:bCs/>
          <w:kern w:val="22"/>
          <w:lang w:eastAsia="hi-IN" w:bidi="hi-IN"/>
        </w:rPr>
        <w:t>.</w:t>
      </w:r>
      <w:r w:rsidR="004B2BA4">
        <w:rPr>
          <w:rFonts w:ascii="Times New Roman" w:eastAsia="SimSun" w:hAnsi="Times New Roman"/>
          <w:bCs/>
          <w:kern w:val="22"/>
          <w:lang w:eastAsia="hi-IN" w:bidi="hi-IN"/>
        </w:rPr>
        <w:t>3.3</w:t>
      </w:r>
      <w:r w:rsidRPr="00FE4991">
        <w:rPr>
          <w:rFonts w:ascii="Times New Roman" w:eastAsia="SimSun" w:hAnsi="Times New Roman"/>
          <w:bCs/>
          <w:kern w:val="22"/>
          <w:lang w:eastAsia="hi-IN" w:bidi="hi-IN"/>
        </w:rPr>
        <w:t xml:space="preserve">) are not exact copies of the originals, and thus would qualify as novel. The use of directed evolution, </w:t>
      </w:r>
      <w:r w:rsidR="00922788" w:rsidRPr="00922788">
        <w:rPr>
          <w:rFonts w:ascii="Times New Roman" w:eastAsia="SimSun" w:hAnsi="Times New Roman"/>
          <w:bCs/>
          <w:kern w:val="22"/>
          <w:lang w:eastAsia="hi-IN" w:bidi="hi-IN"/>
        </w:rPr>
        <w:t>multiplex automated genome engineering</w:t>
      </w:r>
      <w:r w:rsidRPr="00FE4991">
        <w:rPr>
          <w:rFonts w:ascii="Times New Roman" w:eastAsia="SimSun" w:hAnsi="Times New Roman"/>
          <w:bCs/>
          <w:kern w:val="22"/>
          <w:lang w:eastAsia="hi-IN" w:bidi="hi-IN"/>
        </w:rPr>
        <w:t xml:space="preserve">, genome editing techniques that do not incorporate new genetic material, would likely still be considered to result in ‘novel combinations’ because they could rearrange or extensively change existing genetic material, as in the case for gene shuffling </w:t>
      </w:r>
      <w:r w:rsidR="00C73BFC">
        <w:rPr>
          <w:rFonts w:ascii="Times New Roman" w:eastAsia="SimSun" w:hAnsi="Times New Roman"/>
          <w:bCs/>
          <w:kern w:val="22"/>
          <w:lang w:eastAsia="hi-IN" w:bidi="hi-IN"/>
        </w:rPr>
        <w:fldChar w:fldCharType="begin" w:fldLock="1"/>
      </w:r>
      <w:r w:rsidR="000810EE">
        <w:rPr>
          <w:rFonts w:ascii="Times New Roman" w:eastAsia="SimSun" w:hAnsi="Times New Roman"/>
          <w:bCs/>
          <w:kern w:val="22"/>
          <w:lang w:eastAsia="hi-IN" w:bidi="hi-IN"/>
        </w:rPr>
        <w:instrText>ADDIN CSL_CITATION {"citationItems":[{"id":"ITEM-1","itemData":{"DOI":"10.1038/s41587-019-0157-4","ISSN":"1087-0156","author":[{"dropping-particle":"","family":"Simon","given":"Anna J.","non-dropping-particle":"","parse-names":false,"suffix":""},{"dropping-particle":"","family":"D’Oelsnitz","given":"Simon","non-dropping-particle":"","parse-names":false,"suffix":""},{"dropping-particle":"","family":"Ellington","given":"Andrew D.","non-dropping-particle":"","parse-names":false,"suffix":""}],"container-title":"Nature Biotechnology","id":"ITEM-1","issue":"7","issued":{"date-parts":[["2019","7","17"]]},"page":"730-743","title":"Synthetic evolution","type":"article-journal","volume":"37"},"uris":["http://www.mendeley.com/documents/?uuid=e0518bed-6b7d-4ae0-b65f-f25699019be3"]},{"id":"ITEM-2","itemData":{"DOI":"10.1016/j.biortech.2018.02.118","ISSN":"18732976","PMID":"29519633","abstract":"The growing demand for biotechnological products against limited metabolic capacity of industrially used microorganisms has led to an increased interest on strain-improvement over the last several decades, which aimed to enhance metabolite yield, substrate uptake and tolerance of the strains. Among a few techniques of strain-improvement, genome shuffling is the most recent and promising approach used for rapid strain-improvement that can yield a new strain by combining whole genomes of multi-parental microorganisms using the principles of protoplast fusion. Genome shuffling has brought a major breakthrough in the strain-improvement concept as it is found to be effective and reliable for expressing complex phenotypes. This review will discuss the technical aspects and applications of genome shuffling for various industrial strains to present its current status and recent progress. In the concluding remarks, a summary will be presented focusing on the major challenges and future outlooks of this technology.","author":[{"dropping-particle":"","family":"Magocha","given":"Tinashe Archbold","non-dropping-particle":"","parse-names":false,"suffix":""},{"dropping-particle":"","family":"Zabed","given":"H.","non-dropping-particle":"","parse-names":false,"suffix":""},{"dropping-particle":"","family":"Yang","given":"Miaomiao","non-dropping-particle":"","parse-names":false,"suffix":""},{"dropping-particle":"","family":"Yun","given":"Junhua","non-dropping-particle":"","parse-names":false,"suffix":""},{"dropping-particle":"","family":"Zhang","given":"Huanhuan","non-dropping-particle":"","parse-names":false,"suffix":""},{"dropping-particle":"","family":"Qi","given":"Xianghui","non-dropping-particle":"","parse-names":false,"suffix":""}],"container-title":"Bioresource Technology","id":"ITEM-2","issue":"February","issued":{"date-parts":[["2018"]]},"page":"281-289","publisher":"Elsevier","title":"Improvement of industrially important microbial strains by genome shuffling: Current status and future prospects","type":"article-journal","volume":"257"},"uris":["http://www.mendeley.com/documents/?uuid=05a27cf1-7339-4ddb-bed8-f1fd106d0514"]},{"id":"ITEM-3","itemData":{"DOI":"10.1016/j.tibtech.2019.10.006","ISSN":"18793096","PMID":"31727372","abstract":"Polyhydroxyalkanoates (PHAs) are a diverse family of biopolyesters synthesized by many natural or engineered bacteria. Synthetic biology and DNA-editing approaches have been adopted to engineer cells for more efficient PHA production. Recent advances in synthetic biology applied to improve PHA biosynthesis include ribosome-binding site (RBS) optimization, promoter engineering, chromosomal integration, cell morphology engineering, cell growth behavior reprograming, and downstream processing. More importantly, the genome-editing tool clustered regularly interspaced short palindromic repeats (CRISPR)/CRISPR-associated protein 9 (Cas9) has been applied to optimize the PHA synthetic pathway, regulate PHA synthesis-related metabolic flux, and control cell shapes in model organisms, such as Escherichia coli, and non-model organisms, such as Halomonas. These synthetic biology methods and genome-editing tools contribute to controllable PHA molecular weights and compositions, enhanced PHA accumulation, and easy downstream processing.","author":[{"dropping-particle":"","family":"Zhang","given":"Xu","non-dropping-particle":"","parse-names":false,"suffix":""},{"dropping-particle":"","family":"Lin","given":"Yina","non-dropping-particle":"","parse-names":false,"suffix":""},{"dropping-particle":"","family":"Wu","given":"Qiong","non-dropping-particle":"","parse-names":false,"suffix":""},{"dropping-particle":"","family":"Wang","given":"Ying","non-dropping-particle":"","parse-names":false,"suffix":""},{"dropping-particle":"","family":"Chen","given":"Guo Qiang","non-dropping-particle":"","parse-names":false,"suffix":""}],"container-title":"Trends in Biotechnology","id":"ITEM-3","issue":"7","issued":{"date-parts":[["2020","7"]]},"page":"689-700","publisher":"Elsevier Ltd","title":"Synthetic Biology and Genome-Editing Tools for Improving PHA Metabolic Engineering","type":"article","volume":"38"},"uris":["http://www.mendeley.com/documents/?uuid=ea349ced-5fe5-4d61-99ed-897758546447"]}],"mendeley":{"formattedCitation":"(Magocha et al., 2018; Simon et al., 2019; X. Zhang et al., 2020)","manualFormatting":"(Magocha et al., 2018; Simon et al., 2019; Zhang et al., 2020)","plainTextFormattedCitation":"(Magocha et al., 2018; Simon et al., 2019; X. Zhang et al., 2020)","previouslyFormattedCitation":"(Magocha et al., 2018; Simon et al., 2019; X. Zhang et al., 2020)"},"properties":{"noteIndex":0},"schema":"https://github.com/citation-style-language/schema/raw/master/csl-citation.json"}</w:instrText>
      </w:r>
      <w:r w:rsidR="00C73BFC">
        <w:rPr>
          <w:rFonts w:ascii="Times New Roman" w:eastAsia="SimSun" w:hAnsi="Times New Roman"/>
          <w:bCs/>
          <w:kern w:val="22"/>
          <w:lang w:eastAsia="hi-IN" w:bidi="hi-IN"/>
        </w:rPr>
        <w:fldChar w:fldCharType="separate"/>
      </w:r>
      <w:r w:rsidR="00C73BFC" w:rsidRPr="00C73BFC">
        <w:rPr>
          <w:rFonts w:ascii="Times New Roman" w:eastAsia="SimSun" w:hAnsi="Times New Roman"/>
          <w:bCs/>
          <w:noProof/>
          <w:kern w:val="22"/>
          <w:lang w:val="fr-CA" w:eastAsia="hi-IN" w:bidi="hi-IN"/>
        </w:rPr>
        <w:t>(Magocha et al., 2018; Simon et al., 2019; Zhang et al., 2020)</w:t>
      </w:r>
      <w:r w:rsidR="00C73BFC">
        <w:rPr>
          <w:rFonts w:ascii="Times New Roman" w:eastAsia="SimSun" w:hAnsi="Times New Roman"/>
          <w:bCs/>
          <w:kern w:val="22"/>
          <w:lang w:eastAsia="hi-IN" w:bidi="hi-IN"/>
        </w:rPr>
        <w:fldChar w:fldCharType="end"/>
      </w:r>
      <w:r w:rsidRPr="00C73BFC">
        <w:rPr>
          <w:rFonts w:ascii="Times New Roman" w:eastAsia="SimSun" w:hAnsi="Times New Roman"/>
          <w:bCs/>
          <w:kern w:val="22"/>
          <w:lang w:val="fr-CA" w:eastAsia="hi-IN" w:bidi="hi-IN"/>
        </w:rPr>
        <w:t>.</w:t>
      </w:r>
    </w:p>
    <w:p w14:paraId="336C5A7C" w14:textId="7DA33297" w:rsidR="008D396E" w:rsidRPr="008D396E" w:rsidRDefault="008D396E" w:rsidP="00277A2F">
      <w:pPr>
        <w:pStyle w:val="Heading5"/>
        <w:numPr>
          <w:ilvl w:val="0"/>
          <w:numId w:val="216"/>
        </w:numPr>
        <w:ind w:left="284" w:hanging="284"/>
      </w:pPr>
      <w:r w:rsidRPr="008D396E">
        <w:t>Modern biotechnology</w:t>
      </w:r>
      <w:r w:rsidR="004652FA">
        <w:t>.</w:t>
      </w:r>
    </w:p>
    <w:p w14:paraId="5ED80E01" w14:textId="34721648" w:rsidR="008D396E" w:rsidRPr="008D396E" w:rsidRDefault="008D396E" w:rsidP="008D396E">
      <w:pPr>
        <w:suppressAutoHyphens/>
        <w:spacing w:after="120" w:line="240" w:lineRule="auto"/>
        <w:jc w:val="both"/>
        <w:rPr>
          <w:rFonts w:ascii="Times New Roman" w:eastAsia="SimSun" w:hAnsi="Times New Roman"/>
          <w:bCs/>
          <w:kern w:val="22"/>
          <w:lang w:eastAsia="hi-IN" w:bidi="hi-IN"/>
        </w:rPr>
      </w:pPr>
      <w:r w:rsidRPr="008D396E">
        <w:rPr>
          <w:rFonts w:ascii="Times New Roman" w:eastAsia="SimSun" w:hAnsi="Times New Roman"/>
          <w:bCs/>
          <w:kern w:val="22"/>
          <w:lang w:eastAsia="hi-IN" w:bidi="hi-IN"/>
        </w:rPr>
        <w:t>“</w:t>
      </w:r>
      <w:r w:rsidR="007D3588" w:rsidRPr="490968F5">
        <w:rPr>
          <w:rFonts w:ascii="Times New Roman" w:eastAsia="SimSun" w:hAnsi="Times New Roman"/>
          <w:lang w:eastAsia="hi-IN" w:bidi="hi-IN"/>
        </w:rPr>
        <w:t>M</w:t>
      </w:r>
      <w:r w:rsidRPr="008D396E">
        <w:rPr>
          <w:rFonts w:ascii="Times New Roman" w:eastAsia="SimSun" w:hAnsi="Times New Roman"/>
          <w:bCs/>
          <w:kern w:val="22"/>
          <w:lang w:eastAsia="hi-IN" w:bidi="hi-IN"/>
        </w:rPr>
        <w:t>odern biotechnology” is defined in the Cartagena Protocol as:</w:t>
      </w:r>
    </w:p>
    <w:p w14:paraId="219E16BB" w14:textId="77777777" w:rsidR="008D396E" w:rsidRPr="008D396E" w:rsidRDefault="008D396E" w:rsidP="00E725D0">
      <w:pPr>
        <w:widowControl w:val="0"/>
        <w:spacing w:after="120" w:line="240" w:lineRule="auto"/>
        <w:ind w:left="720" w:right="571"/>
        <w:rPr>
          <w:rFonts w:ascii="Times New Roman" w:eastAsia="SimSun" w:hAnsi="Times New Roman"/>
          <w:bCs/>
          <w:i/>
          <w:iCs/>
          <w:kern w:val="22"/>
          <w:lang w:eastAsia="hi-IN" w:bidi="hi-IN"/>
        </w:rPr>
      </w:pPr>
      <w:r w:rsidRPr="008D396E">
        <w:rPr>
          <w:rFonts w:ascii="Times New Roman" w:eastAsia="SimSun" w:hAnsi="Times New Roman"/>
          <w:bCs/>
          <w:kern w:val="22"/>
          <w:lang w:eastAsia="hi-IN" w:bidi="hi-IN"/>
        </w:rPr>
        <w:t>“</w:t>
      </w:r>
      <w:r w:rsidRPr="008D396E">
        <w:rPr>
          <w:rFonts w:ascii="Times New Roman" w:eastAsia="SimSun" w:hAnsi="Times New Roman"/>
          <w:bCs/>
          <w:i/>
          <w:iCs/>
          <w:kern w:val="22"/>
          <w:lang w:eastAsia="hi-IN" w:bidi="hi-IN"/>
        </w:rPr>
        <w:t xml:space="preserve">the application of: </w:t>
      </w:r>
    </w:p>
    <w:p w14:paraId="48DAB9A8" w14:textId="77777777" w:rsidR="008D396E" w:rsidRPr="008D396E" w:rsidRDefault="008D396E" w:rsidP="00E725D0">
      <w:pPr>
        <w:widowControl w:val="0"/>
        <w:spacing w:after="120" w:line="240" w:lineRule="auto"/>
        <w:ind w:left="1440" w:right="571"/>
        <w:rPr>
          <w:rFonts w:ascii="Times New Roman" w:eastAsia="SimSun" w:hAnsi="Times New Roman"/>
          <w:bCs/>
          <w:i/>
          <w:iCs/>
          <w:kern w:val="22"/>
          <w:lang w:eastAsia="hi-IN" w:bidi="hi-IN"/>
        </w:rPr>
      </w:pPr>
      <w:r w:rsidRPr="008D396E">
        <w:rPr>
          <w:rFonts w:ascii="Times New Roman" w:eastAsia="SimSun" w:hAnsi="Times New Roman"/>
          <w:bCs/>
          <w:i/>
          <w:iCs/>
          <w:kern w:val="22"/>
          <w:lang w:eastAsia="hi-IN" w:bidi="hi-IN"/>
        </w:rPr>
        <w:t xml:space="preserve">a. In vitro nucleic acid techniques, including recombinant deoxyribonucleic acid (DNA) and direct injection of nucleic acid into cells or organelles, or </w:t>
      </w:r>
    </w:p>
    <w:p w14:paraId="0A1144F1" w14:textId="77777777" w:rsidR="008D396E" w:rsidRPr="008D396E" w:rsidRDefault="008D396E" w:rsidP="00E725D0">
      <w:pPr>
        <w:widowControl w:val="0"/>
        <w:spacing w:after="120" w:line="240" w:lineRule="auto"/>
        <w:ind w:left="720" w:right="571" w:firstLine="709"/>
        <w:rPr>
          <w:rFonts w:ascii="Times New Roman" w:eastAsia="SimSun" w:hAnsi="Times New Roman"/>
          <w:bCs/>
          <w:i/>
          <w:iCs/>
          <w:kern w:val="22"/>
          <w:lang w:eastAsia="hi-IN" w:bidi="hi-IN"/>
        </w:rPr>
      </w:pPr>
      <w:r w:rsidRPr="008D396E">
        <w:rPr>
          <w:rFonts w:ascii="Times New Roman" w:eastAsia="SimSun" w:hAnsi="Times New Roman"/>
          <w:bCs/>
          <w:i/>
          <w:iCs/>
          <w:kern w:val="22"/>
          <w:lang w:eastAsia="hi-IN" w:bidi="hi-IN"/>
        </w:rPr>
        <w:t xml:space="preserve">b. Fusion of cells beyond the taxonomic family, </w:t>
      </w:r>
    </w:p>
    <w:p w14:paraId="538E7C09" w14:textId="77777777" w:rsidR="008D396E" w:rsidRPr="008D396E" w:rsidRDefault="008D396E" w:rsidP="00E725D0">
      <w:pPr>
        <w:widowControl w:val="0"/>
        <w:spacing w:after="120" w:line="240" w:lineRule="auto"/>
        <w:ind w:left="720" w:right="571"/>
        <w:rPr>
          <w:rFonts w:ascii="Times New Roman" w:eastAsia="SimSun" w:hAnsi="Times New Roman"/>
          <w:bCs/>
          <w:kern w:val="22"/>
          <w:lang w:eastAsia="hi-IN" w:bidi="hi-IN"/>
        </w:rPr>
      </w:pPr>
      <w:r w:rsidRPr="008D396E">
        <w:rPr>
          <w:rFonts w:ascii="Times New Roman" w:eastAsia="SimSun" w:hAnsi="Times New Roman"/>
          <w:bCs/>
          <w:i/>
          <w:iCs/>
          <w:kern w:val="22"/>
          <w:lang w:eastAsia="hi-IN" w:bidi="hi-IN"/>
        </w:rPr>
        <w:t>that overcome natural physiological reproductive or recombination barriers and that are not techniques used in traditional breeding and selection</w:t>
      </w:r>
      <w:r w:rsidRPr="008D396E">
        <w:rPr>
          <w:rFonts w:ascii="Times New Roman" w:eastAsia="SimSun" w:hAnsi="Times New Roman"/>
          <w:bCs/>
          <w:kern w:val="22"/>
          <w:lang w:eastAsia="hi-IN" w:bidi="hi-IN"/>
        </w:rPr>
        <w:t xml:space="preserve">” (Article 3(i); Cartagena Protocol). </w:t>
      </w:r>
    </w:p>
    <w:p w14:paraId="1C393EBD" w14:textId="18CA3B62" w:rsidR="008D396E" w:rsidRDefault="008D396E" w:rsidP="008D396E">
      <w:pPr>
        <w:suppressAutoHyphens/>
        <w:spacing w:after="120" w:line="240" w:lineRule="auto"/>
        <w:jc w:val="both"/>
        <w:rPr>
          <w:rFonts w:ascii="Times New Roman" w:eastAsia="SimSun" w:hAnsi="Times New Roman"/>
          <w:kern w:val="22"/>
          <w:lang w:eastAsia="hi-IN" w:bidi="hi-IN"/>
        </w:rPr>
      </w:pPr>
      <w:r w:rsidRPr="60ED6039">
        <w:rPr>
          <w:rFonts w:ascii="Times New Roman" w:eastAsia="SimSun" w:hAnsi="Times New Roman"/>
          <w:kern w:val="22"/>
          <w:lang w:eastAsia="hi-IN" w:bidi="hi-IN"/>
        </w:rPr>
        <w:t xml:space="preserve">The negotiators of the Cartagena Protocol recognised that new techniques for modifying genetic information would continue to be developed </w:t>
      </w:r>
      <w:r w:rsidR="000810EE">
        <w:rPr>
          <w:rFonts w:ascii="Times New Roman" w:eastAsia="SimSun" w:hAnsi="Times New Roman"/>
          <w:kern w:val="22"/>
          <w:lang w:eastAsia="hi-IN" w:bidi="hi-IN"/>
        </w:rPr>
        <w:fldChar w:fldCharType="begin" w:fldLock="1"/>
      </w:r>
      <w:r w:rsidR="000810EE">
        <w:rPr>
          <w:rFonts w:ascii="Times New Roman" w:eastAsia="SimSun" w:hAnsi="Times New Roman"/>
          <w:kern w:val="22"/>
          <w:lang w:eastAsia="hi-IN" w:bidi="hi-IN"/>
        </w:rPr>
        <w:instrText>ADDIN CSL_CITATION {"citationItems":[{"id":"ITEM-1","itemData":{"author":[{"dropping-particle":"","family":"Ascencio","given":"Alfonso","non-dropping-particle":"","parse-names":false,"suffix":""},{"dropping-particle":"","family":"Burhenne-Guilmin","given":"Françoise","non-dropping-particle":"","parse-names":false,"suffix":""},{"dropping-particle":"","family":"Kinderlerer","given":"Julian","non-dropping-particle":"","parse-names":false,"suffix":""},{"dropping-particle":"","family":"Kummer","given":"Katharina","non-dropping-particle":"","parse-names":false,"suffix":""},{"dropping-particle":"","family":"Viña","given":"Antonio","non-dropping-particle":"La","parse-names":false,"suffix":""},{"dropping-particle":"","family":"Mackenzie","given":"Ruth","non-dropping-particle":"","parse-names":false,"suffix":""},{"dropping-particle":"","family":"Tapper","given":"Richard","non-dropping-particle":"","parse-names":false,"suffix":""},{"dropping-particle":"","family":"Werksman","given":"Jacob D","non-dropping-particle":"","parse-names":false,"suffix":""}],"collection-title":"36690","id":"ITEM-1","issued":{"date-parts":[["2003"]]},"title":"An explanatory guide to the Cartagena protocol on biosafety","type":"report"},"uris":["http://www.mendeley.com/documents/?uuid=d3065aa0-5fb9-4656-adb1-6dd0a81a87e1"]}],"mendeley":{"formattedCitation":"(Ascencio et al., 2003)","plainTextFormattedCitation":"(Ascencio et al., 2003)","previouslyFormattedCitation":"(Ascencio et al., 2003)"},"properties":{"noteIndex":0},"schema":"https://github.com/citation-style-language/schema/raw/master/csl-citation.json"}</w:instrText>
      </w:r>
      <w:r w:rsidR="000810EE">
        <w:rPr>
          <w:rFonts w:ascii="Times New Roman" w:eastAsia="SimSun" w:hAnsi="Times New Roman"/>
          <w:kern w:val="22"/>
          <w:lang w:eastAsia="hi-IN" w:bidi="hi-IN"/>
        </w:rPr>
        <w:fldChar w:fldCharType="separate"/>
      </w:r>
      <w:r w:rsidR="000810EE" w:rsidRPr="000810EE">
        <w:rPr>
          <w:rFonts w:ascii="Times New Roman" w:eastAsia="SimSun" w:hAnsi="Times New Roman"/>
          <w:noProof/>
          <w:kern w:val="22"/>
          <w:lang w:eastAsia="hi-IN" w:bidi="hi-IN"/>
        </w:rPr>
        <w:t>(Ascencio et al., 2003)</w:t>
      </w:r>
      <w:r w:rsidR="000810EE">
        <w:rPr>
          <w:rFonts w:ascii="Times New Roman" w:eastAsia="SimSun" w:hAnsi="Times New Roman"/>
          <w:kern w:val="22"/>
          <w:lang w:eastAsia="hi-IN" w:bidi="hi-IN"/>
        </w:rPr>
        <w:fldChar w:fldCharType="end"/>
      </w:r>
      <w:r w:rsidRPr="60ED6039">
        <w:rPr>
          <w:rFonts w:ascii="Times New Roman" w:eastAsia="SimSun" w:hAnsi="Times New Roman"/>
          <w:kern w:val="22"/>
          <w:lang w:eastAsia="hi-IN" w:bidi="hi-IN"/>
        </w:rPr>
        <w:t xml:space="preserve">. </w:t>
      </w:r>
      <w:r w:rsidRPr="008D396E">
        <w:rPr>
          <w:rFonts w:ascii="Times New Roman" w:hAnsi="Times New Roman"/>
          <w:kern w:val="22"/>
          <w:lang w:eastAsia="hi-IN" w:bidi="hi-IN"/>
        </w:rPr>
        <w:t xml:space="preserve">According to the IUCN explanatory guide, although the definition gives two specific examples of </w:t>
      </w:r>
      <w:r w:rsidRPr="008D396E">
        <w:rPr>
          <w:rFonts w:ascii="Times New Roman" w:hAnsi="Times New Roman"/>
          <w:i/>
          <w:iCs/>
          <w:kern w:val="22"/>
          <w:lang w:eastAsia="hi-IN" w:bidi="hi-IN"/>
        </w:rPr>
        <w:t xml:space="preserve">in vitro </w:t>
      </w:r>
      <w:r w:rsidRPr="008D396E">
        <w:rPr>
          <w:rFonts w:ascii="Times New Roman" w:hAnsi="Times New Roman"/>
          <w:kern w:val="22"/>
          <w:lang w:eastAsia="hi-IN" w:bidi="hi-IN"/>
        </w:rPr>
        <w:t>nucleic acid techniques, other techniques cannot be excluded from the definition so long as they overcome natural physiological reproductive or recombination barriers and are not techniques used in traditional breeding and selection.</w:t>
      </w:r>
      <w:r w:rsidRPr="60ED6039">
        <w:rPr>
          <w:rFonts w:ascii="Times New Roman" w:eastAsia="SimSun" w:hAnsi="Times New Roman"/>
          <w:kern w:val="22"/>
          <w:lang w:eastAsia="hi-IN" w:bidi="hi-IN"/>
        </w:rPr>
        <w:t xml:space="preserve"> In a recent publication </w:t>
      </w:r>
      <w:r w:rsidR="000810EE">
        <w:rPr>
          <w:rFonts w:ascii="Times New Roman" w:eastAsia="SimSun" w:hAnsi="Times New Roman"/>
          <w:kern w:val="22"/>
          <w:lang w:eastAsia="hi-IN" w:bidi="hi-IN"/>
        </w:rPr>
        <w:fldChar w:fldCharType="begin" w:fldLock="1"/>
      </w:r>
      <w:r w:rsidR="000810EE">
        <w:rPr>
          <w:rFonts w:ascii="Times New Roman" w:eastAsia="SimSun" w:hAnsi="Times New Roman"/>
          <w:kern w:val="22"/>
          <w:lang w:eastAsia="hi-IN" w:bidi="hi-IN"/>
        </w:rPr>
        <w:instrText>ADDIN CSL_CITATION {"citationItems":[{"id":"ITEM-1","itemData":{"DOI":"10.3389/fbioe.2020.00310","ISSN":"22964185","abstract":"The primary international forum deliberating the regulation of “synthetic biology” is the Convention on Biological Diversity (CBD), along with its subsidiary agreements concerned with the biosafety of living modified organisms (LMOs; Cartagena Protocol on Biosafety to the CBD), and access and benefit sharing in relation to genetic resources (Nagoya Protocol to the CBD). This discussion has been underway for almost 10 years under the CBD agenda items of “synthetic biology” and “new and emerging issues relating to the conservation and sustainable use of biological diversity,” and more recently within the scope of Cartagena Protocol topics including risk assessment and risk management, and “digital sequence information” jointly with the Nagoya Protocol. There is no internationally accepted definition of “synthetic biology,” with it used as an umbrella term in this forum to capture “new” biotechnologies and “new” applications of established biotechnologies, whether actual or conceptual. The CBD debates are characterized by polarized views on the adequacy of existing regulatory mechanisms for “new” types of LMOs, including the scope of the current regulatory frameworks, and procedures and tools for risk assessment and risk mitigation and/or management. This paper provides an overview of international developments in biotechnology regulation, including the application of the Cartagena Protocol and relevant policy developments, and reviews the development of the synthetic biology debate under the CBD and its Protocols, including the major issues expected in the lead up to and during the 2020 Biodiversity Conference.","author":[{"dropping-particle":"","family":"Keiper","given":"Felicity","non-dropping-particle":"","parse-names":false,"suffix":""},{"dropping-particle":"","family":"Atanassova","given":"Ana","non-dropping-particle":"","parse-names":false,"suffix":""}],"container-title":"Frontiers in Bioengineering and Biotechnology","id":"ITEM-1","issued":{"date-parts":[["2020","4"]]},"publisher":"Frontiers Media S.A.","title":"Regulation of Synthetic Biology: Developments Under the Convention on Biological Diversity and Its Protocols","type":"article","volume":"8"},"uris":["http://www.mendeley.com/documents/?uuid=23393071-c58e-4e1d-9c5d-5c2f47ddcef4"]}],"mendeley":{"formattedCitation":"(Keiper &amp; Atanassova, 2020)","plainTextFormattedCitation":"(Keiper &amp; Atanassova, 2020)","previouslyFormattedCitation":"(Keiper &amp; Atanassova, 2020)"},"properties":{"noteIndex":0},"schema":"https://github.com/citation-style-language/schema/raw/master/csl-citation.json"}</w:instrText>
      </w:r>
      <w:r w:rsidR="000810EE">
        <w:rPr>
          <w:rFonts w:ascii="Times New Roman" w:eastAsia="SimSun" w:hAnsi="Times New Roman"/>
          <w:kern w:val="22"/>
          <w:lang w:eastAsia="hi-IN" w:bidi="hi-IN"/>
        </w:rPr>
        <w:fldChar w:fldCharType="separate"/>
      </w:r>
      <w:r w:rsidR="000810EE" w:rsidRPr="000810EE">
        <w:rPr>
          <w:rFonts w:ascii="Times New Roman" w:eastAsia="SimSun" w:hAnsi="Times New Roman"/>
          <w:noProof/>
          <w:kern w:val="22"/>
          <w:lang w:eastAsia="hi-IN" w:bidi="hi-IN"/>
        </w:rPr>
        <w:t>(Keiper &amp; Atanassova, 2020)</w:t>
      </w:r>
      <w:r w:rsidR="000810EE">
        <w:rPr>
          <w:rFonts w:ascii="Times New Roman" w:eastAsia="SimSun" w:hAnsi="Times New Roman"/>
          <w:kern w:val="22"/>
          <w:lang w:eastAsia="hi-IN" w:bidi="hi-IN"/>
        </w:rPr>
        <w:fldChar w:fldCharType="end"/>
      </w:r>
      <w:r w:rsidRPr="60ED6039">
        <w:rPr>
          <w:rFonts w:ascii="Times New Roman" w:eastAsia="SimSun" w:hAnsi="Times New Roman"/>
          <w:kern w:val="22"/>
          <w:lang w:eastAsia="hi-IN" w:bidi="hi-IN"/>
        </w:rPr>
        <w:t>, it was indicated that if the Cartagena Protocol’s definition of “modern biotechnology” was strictly applied to take into account the need for overcoming “natural physiological or reproductive or recombination barriers and that are not techniques used in traditional breeding and selection,” some recombinant DNA and “new” technologies (e</w:t>
      </w:r>
      <w:r w:rsidR="002A1E1D">
        <w:rPr>
          <w:rFonts w:ascii="Times New Roman" w:eastAsia="SimSun" w:hAnsi="Times New Roman"/>
          <w:kern w:val="22"/>
          <w:lang w:eastAsia="hi-IN" w:bidi="hi-IN"/>
        </w:rPr>
        <w:t>.g.</w:t>
      </w:r>
      <w:r w:rsidRPr="60ED6039">
        <w:rPr>
          <w:rFonts w:ascii="Times New Roman" w:eastAsia="SimSun" w:hAnsi="Times New Roman"/>
          <w:kern w:val="22"/>
          <w:lang w:eastAsia="hi-IN" w:bidi="hi-IN"/>
        </w:rPr>
        <w:t xml:space="preserve"> genome editing) may be excluded from its scope. Others are of the impression that genome editing techniques are not techniques used in traditional breeding and selection, and that genome edited organisms are generated through the use of modern biotechnology techniques that bypass natural reproductive or recombination barriers, with genome editing allowing for modifications that would not otherwise naturally arise </w:t>
      </w:r>
      <w:r w:rsidR="000810EE">
        <w:rPr>
          <w:rFonts w:ascii="Times New Roman" w:eastAsia="SimSun" w:hAnsi="Times New Roman"/>
          <w:kern w:val="22"/>
          <w:lang w:eastAsia="hi-IN" w:bidi="hi-IN"/>
        </w:rPr>
        <w:fldChar w:fldCharType="begin" w:fldLock="1"/>
      </w:r>
      <w:r w:rsidR="00C93DD2">
        <w:rPr>
          <w:rFonts w:ascii="Times New Roman" w:eastAsia="SimSun" w:hAnsi="Times New Roman"/>
          <w:kern w:val="22"/>
          <w:lang w:eastAsia="hi-IN" w:bidi="hi-IN"/>
        </w:rPr>
        <w:instrText>ADDIN CSL_CITATION {"citationItems":[{"id":"ITEM-1","itemData":{"author":[{"dropping-particle":"","family":"Sirinathsinghji","given":"Eva","non-dropping-particle":"","parse-names":false,"suffix":""}],"id":"ITEM-1","issued":{"date-parts":[["2020"]]},"page":"7","publisher":"Third World Network Biosafety Briefing","title":"Why genome edited organisms are not excluded from the Cartagena Protocol on Biosafety","type":"article"},"uris":["http://www.mendeley.com/documents/?uuid=a0cfdedf-1c27-43f1-b609-1f8f0ce250a3"]},{"id":"ITEM-2","itemData":{"DOI":"10.3389/fpls.2019.00525","ISSN":"1664-462X","author":[{"dropping-particle":"","family":"Kawall","given":"Katharina","non-dropping-particle":"","parse-names":false,"suffix":""}],"container-title":"Frontiers in Plant Science","id":"ITEM-2","issued":{"date-parts":[["2019","4","24"]]},"title":"New Possibilities on the Horizon: Genome Editing Makes the Whole Genome Accessible for Changes","type":"article-journal","volume":"10"},"uris":["http://www.mendeley.com/documents/?uuid=9eb7c631-6adc-4362-a65a-29c695d3e8b4"]}],"mendeley":{"formattedCitation":"(Kawall, 2019; Sirinathsinghji, 2020)","plainTextFormattedCitation":"(Kawall, 2019; Sirinathsinghji, 2020)","previouslyFormattedCitation":"(Kawall, 2019; Sirinathsinghji, 2020)"},"properties":{"noteIndex":0},"schema":"https://github.com/citation-style-language/schema/raw/master/csl-citation.json"}</w:instrText>
      </w:r>
      <w:r w:rsidR="000810EE">
        <w:rPr>
          <w:rFonts w:ascii="Times New Roman" w:eastAsia="SimSun" w:hAnsi="Times New Roman"/>
          <w:kern w:val="22"/>
          <w:lang w:eastAsia="hi-IN" w:bidi="hi-IN"/>
        </w:rPr>
        <w:fldChar w:fldCharType="separate"/>
      </w:r>
      <w:r w:rsidR="000810EE" w:rsidRPr="000810EE">
        <w:rPr>
          <w:rFonts w:ascii="Times New Roman" w:eastAsia="SimSun" w:hAnsi="Times New Roman"/>
          <w:noProof/>
          <w:kern w:val="22"/>
          <w:lang w:eastAsia="hi-IN" w:bidi="hi-IN"/>
        </w:rPr>
        <w:t>(Kawall, 2019; Sirinathsinghji, 2020)</w:t>
      </w:r>
      <w:r w:rsidR="000810EE">
        <w:rPr>
          <w:rFonts w:ascii="Times New Roman" w:eastAsia="SimSun" w:hAnsi="Times New Roman"/>
          <w:kern w:val="22"/>
          <w:lang w:eastAsia="hi-IN" w:bidi="hi-IN"/>
        </w:rPr>
        <w:fldChar w:fldCharType="end"/>
      </w:r>
      <w:r w:rsidRPr="60ED6039">
        <w:rPr>
          <w:rFonts w:ascii="Times New Roman" w:eastAsia="SimSun" w:hAnsi="Times New Roman"/>
          <w:kern w:val="22"/>
          <w:lang w:eastAsia="hi-IN" w:bidi="hi-IN"/>
        </w:rPr>
        <w:t>.</w:t>
      </w:r>
      <w:r w:rsidR="006455E1">
        <w:rPr>
          <w:rFonts w:ascii="Times New Roman" w:eastAsia="SimSun" w:hAnsi="Times New Roman"/>
          <w:kern w:val="22"/>
          <w:lang w:eastAsia="hi-IN" w:bidi="hi-IN"/>
        </w:rPr>
        <w:t xml:space="preserve"> </w:t>
      </w:r>
      <w:r w:rsidRPr="60ED6039">
        <w:rPr>
          <w:rFonts w:ascii="Times New Roman" w:eastAsia="SimSun" w:hAnsi="Times New Roman"/>
          <w:kern w:val="22"/>
          <w:lang w:eastAsia="hi-IN" w:bidi="hi-IN"/>
        </w:rPr>
        <w:t xml:space="preserve"> </w:t>
      </w:r>
    </w:p>
    <w:p w14:paraId="5B28877D" w14:textId="14C00BDC" w:rsidR="00E05DB6" w:rsidRPr="00277A2F" w:rsidRDefault="00E05DB6" w:rsidP="00951280">
      <w:pPr>
        <w:pStyle w:val="Heading4"/>
        <w:rPr>
          <w:rFonts w:asciiTheme="minorHAnsi" w:hAnsiTheme="minorHAnsi"/>
          <w:b w:val="0"/>
          <w:lang w:val="en-US"/>
        </w:rPr>
      </w:pPr>
      <w:r w:rsidRPr="00277A2F">
        <w:rPr>
          <w:i w:val="0"/>
        </w:rPr>
        <w:t xml:space="preserve">8.2.2. </w:t>
      </w:r>
      <w:r w:rsidR="00662B7F">
        <w:rPr>
          <w:i w:val="0"/>
          <w:lang w:val="en-GB"/>
        </w:rPr>
        <w:t xml:space="preserve">Key </w:t>
      </w:r>
      <w:r w:rsidRPr="00277A2F">
        <w:rPr>
          <w:i w:val="0"/>
        </w:rPr>
        <w:t>provisions of the Cartagena Protocol</w:t>
      </w:r>
      <w:r w:rsidR="005B1C3F">
        <w:rPr>
          <w:i w:val="0"/>
          <w:lang w:val="en-GB"/>
        </w:rPr>
        <w:t xml:space="preserve"> governing LMOs</w:t>
      </w:r>
      <w:r w:rsidR="0064491B">
        <w:rPr>
          <w:i w:val="0"/>
          <w:lang w:val="en-GB"/>
        </w:rPr>
        <w:t xml:space="preserve"> and related exemptions and </w:t>
      </w:r>
      <w:r w:rsidR="00333EFB">
        <w:rPr>
          <w:i w:val="0"/>
          <w:lang w:val="en-GB"/>
        </w:rPr>
        <w:t>exclusions</w:t>
      </w:r>
      <w:r w:rsidR="00BA4D7C" w:rsidRPr="00277A2F">
        <w:rPr>
          <w:rFonts w:asciiTheme="minorHAnsi" w:hAnsiTheme="minorHAnsi"/>
          <w:i w:val="0"/>
        </w:rPr>
        <w:t>.</w:t>
      </w:r>
    </w:p>
    <w:p w14:paraId="127A5CA8" w14:textId="3141D419" w:rsidR="00E20F08" w:rsidRPr="008D396E" w:rsidRDefault="00E05DB6" w:rsidP="00245D0D">
      <w:pPr>
        <w:suppressAutoHyphens/>
        <w:spacing w:after="120" w:line="240" w:lineRule="auto"/>
        <w:jc w:val="both"/>
        <w:rPr>
          <w:rFonts w:ascii="Times New Roman" w:eastAsia="SimSun" w:hAnsi="Times New Roman"/>
          <w:bCs/>
          <w:kern w:val="22"/>
          <w:lang w:eastAsia="hi-IN" w:bidi="hi-IN"/>
        </w:rPr>
      </w:pPr>
      <w:r w:rsidRPr="00E05DB6">
        <w:rPr>
          <w:rFonts w:ascii="Times New Roman" w:eastAsia="SimSun" w:hAnsi="Times New Roman"/>
          <w:bCs/>
          <w:kern w:val="22"/>
          <w:lang w:eastAsia="hi-IN" w:bidi="hi-IN"/>
        </w:rPr>
        <w:t>The Cartagena Protocol applies to the transboundary movement, transit, handling and use of all LMOs that may have adverse effects on the conservation and sustainable use of biological diversity, taking also into account risks to human health (Article 4 Cartagena Protocol). Th</w:t>
      </w:r>
      <w:r w:rsidR="0021399F">
        <w:rPr>
          <w:rFonts w:ascii="Times New Roman" w:eastAsia="SimSun" w:hAnsi="Times New Roman"/>
          <w:bCs/>
          <w:kern w:val="22"/>
          <w:lang w:eastAsia="hi-IN" w:bidi="hi-IN"/>
        </w:rPr>
        <w:t xml:space="preserve">is Section </w:t>
      </w:r>
      <w:r w:rsidRPr="00E05DB6">
        <w:rPr>
          <w:rFonts w:ascii="Times New Roman" w:eastAsia="SimSun" w:hAnsi="Times New Roman"/>
          <w:bCs/>
          <w:kern w:val="22"/>
          <w:lang w:eastAsia="hi-IN" w:bidi="hi-IN"/>
        </w:rPr>
        <w:t xml:space="preserve">provides </w:t>
      </w:r>
      <w:r w:rsidR="00E20F08">
        <w:rPr>
          <w:rFonts w:ascii="Times New Roman" w:eastAsia="SimSun" w:hAnsi="Times New Roman"/>
          <w:bCs/>
          <w:kern w:val="22"/>
          <w:lang w:eastAsia="hi-IN" w:bidi="hi-IN"/>
        </w:rPr>
        <w:t xml:space="preserve">an overview </w:t>
      </w:r>
      <w:r w:rsidR="000B1855">
        <w:rPr>
          <w:rFonts w:ascii="Times New Roman" w:eastAsia="SimSun" w:hAnsi="Times New Roman"/>
          <w:bCs/>
          <w:kern w:val="22"/>
          <w:lang w:eastAsia="hi-IN" w:bidi="hi-IN"/>
        </w:rPr>
        <w:t xml:space="preserve">of the Protocol provisions </w:t>
      </w:r>
      <w:r w:rsidR="005742E3">
        <w:rPr>
          <w:rFonts w:ascii="Times New Roman" w:eastAsia="SimSun" w:hAnsi="Times New Roman"/>
          <w:bCs/>
          <w:kern w:val="22"/>
          <w:lang w:eastAsia="hi-IN" w:bidi="hi-IN"/>
        </w:rPr>
        <w:t>regarding risk assessment,</w:t>
      </w:r>
      <w:r w:rsidR="005E3F95">
        <w:rPr>
          <w:rFonts w:ascii="Times New Roman" w:eastAsia="SimSun" w:hAnsi="Times New Roman"/>
          <w:bCs/>
          <w:kern w:val="22"/>
          <w:lang w:eastAsia="hi-IN" w:bidi="hi-IN"/>
        </w:rPr>
        <w:t xml:space="preserve"> </w:t>
      </w:r>
      <w:r w:rsidR="00E20F08">
        <w:rPr>
          <w:rFonts w:ascii="Times New Roman" w:eastAsia="SimSun" w:hAnsi="Times New Roman"/>
          <w:bCs/>
          <w:kern w:val="22"/>
          <w:lang w:eastAsia="hi-IN" w:bidi="hi-IN"/>
        </w:rPr>
        <w:t>the</w:t>
      </w:r>
      <w:r w:rsidRPr="00E05DB6">
        <w:rPr>
          <w:rFonts w:ascii="Times New Roman" w:eastAsia="SimSun" w:hAnsi="Times New Roman"/>
          <w:bCs/>
          <w:kern w:val="22"/>
          <w:lang w:eastAsia="hi-IN" w:bidi="hi-IN"/>
        </w:rPr>
        <w:t xml:space="preserve"> </w:t>
      </w:r>
      <w:r w:rsidR="009D20EC" w:rsidRPr="00381989">
        <w:rPr>
          <w:rFonts w:ascii="Times New Roman" w:eastAsia="SimSun" w:hAnsi="Times New Roman"/>
          <w:bCs/>
          <w:kern w:val="22"/>
          <w:lang w:eastAsia="hi-IN" w:bidi="hi-IN"/>
        </w:rPr>
        <w:t xml:space="preserve">advance informed agreement </w:t>
      </w:r>
      <w:r w:rsidR="009D20EC">
        <w:rPr>
          <w:rFonts w:ascii="Times New Roman" w:eastAsia="SimSun" w:hAnsi="Times New Roman"/>
          <w:bCs/>
          <w:kern w:val="22"/>
          <w:lang w:eastAsia="hi-IN" w:bidi="hi-IN"/>
        </w:rPr>
        <w:t>(AIA)</w:t>
      </w:r>
      <w:r w:rsidR="00CC7127">
        <w:rPr>
          <w:rFonts w:ascii="Times New Roman" w:eastAsia="SimSun" w:hAnsi="Times New Roman"/>
          <w:bCs/>
          <w:kern w:val="22"/>
          <w:lang w:eastAsia="hi-IN" w:bidi="hi-IN"/>
        </w:rPr>
        <w:t xml:space="preserve"> </w:t>
      </w:r>
      <w:r w:rsidR="009D20EC" w:rsidRPr="00381989">
        <w:rPr>
          <w:rFonts w:ascii="Times New Roman" w:eastAsia="SimSun" w:hAnsi="Times New Roman"/>
          <w:bCs/>
          <w:kern w:val="22"/>
          <w:lang w:eastAsia="hi-IN" w:bidi="hi-IN"/>
        </w:rPr>
        <w:t>procedure</w:t>
      </w:r>
      <w:r w:rsidR="00E20F08">
        <w:rPr>
          <w:rFonts w:ascii="Times New Roman" w:eastAsia="SimSun" w:hAnsi="Times New Roman"/>
          <w:bCs/>
          <w:kern w:val="22"/>
          <w:lang w:eastAsia="hi-IN" w:bidi="hi-IN"/>
        </w:rPr>
        <w:t xml:space="preserve"> </w:t>
      </w:r>
      <w:r w:rsidR="006C7D07">
        <w:rPr>
          <w:rFonts w:ascii="Times New Roman" w:eastAsia="SimSun" w:hAnsi="Times New Roman"/>
          <w:bCs/>
          <w:kern w:val="22"/>
          <w:lang w:eastAsia="hi-IN" w:bidi="hi-IN"/>
        </w:rPr>
        <w:t>including</w:t>
      </w:r>
      <w:r w:rsidR="009D20EC">
        <w:rPr>
          <w:rFonts w:ascii="Times New Roman" w:eastAsia="SimSun" w:hAnsi="Times New Roman"/>
          <w:bCs/>
          <w:kern w:val="22"/>
          <w:lang w:eastAsia="hi-IN" w:bidi="hi-IN"/>
        </w:rPr>
        <w:t xml:space="preserve"> </w:t>
      </w:r>
      <w:r w:rsidRPr="00E05DB6">
        <w:rPr>
          <w:rFonts w:ascii="Times New Roman" w:eastAsia="SimSun" w:hAnsi="Times New Roman"/>
          <w:bCs/>
          <w:kern w:val="22"/>
          <w:lang w:eastAsia="hi-IN" w:bidi="hi-IN"/>
        </w:rPr>
        <w:t xml:space="preserve">limited exemptions of some LMOs to some </w:t>
      </w:r>
      <w:r w:rsidR="006C7D07">
        <w:rPr>
          <w:rFonts w:ascii="Times New Roman" w:eastAsia="SimSun" w:hAnsi="Times New Roman"/>
          <w:bCs/>
          <w:kern w:val="22"/>
          <w:lang w:eastAsia="hi-IN" w:bidi="hi-IN"/>
        </w:rPr>
        <w:t xml:space="preserve">of the AIA </w:t>
      </w:r>
      <w:r w:rsidRPr="00E05DB6">
        <w:rPr>
          <w:rFonts w:ascii="Times New Roman" w:eastAsia="SimSun" w:hAnsi="Times New Roman"/>
          <w:bCs/>
          <w:kern w:val="22"/>
          <w:lang w:eastAsia="hi-IN" w:bidi="hi-IN"/>
        </w:rPr>
        <w:t>provisions</w:t>
      </w:r>
      <w:r w:rsidR="000B1855">
        <w:rPr>
          <w:rFonts w:ascii="Times New Roman" w:eastAsia="SimSun" w:hAnsi="Times New Roman"/>
          <w:bCs/>
          <w:kern w:val="22"/>
          <w:lang w:eastAsia="hi-IN" w:bidi="hi-IN"/>
        </w:rPr>
        <w:t>, and</w:t>
      </w:r>
      <w:r w:rsidR="009D20EC">
        <w:rPr>
          <w:rFonts w:ascii="Times New Roman" w:eastAsia="SimSun" w:hAnsi="Times New Roman"/>
          <w:bCs/>
          <w:kern w:val="22"/>
          <w:lang w:eastAsia="hi-IN" w:bidi="hi-IN"/>
        </w:rPr>
        <w:t xml:space="preserve"> </w:t>
      </w:r>
      <w:r w:rsidR="00333EFB">
        <w:rPr>
          <w:rFonts w:ascii="Times New Roman" w:eastAsia="SimSun" w:hAnsi="Times New Roman"/>
          <w:bCs/>
          <w:kern w:val="22"/>
          <w:lang w:eastAsia="hi-IN" w:bidi="hi-IN"/>
        </w:rPr>
        <w:t xml:space="preserve">the exclusion of certain </w:t>
      </w:r>
      <w:r w:rsidR="00D75F44">
        <w:rPr>
          <w:rFonts w:ascii="Times New Roman" w:eastAsia="SimSun" w:hAnsi="Times New Roman"/>
          <w:bCs/>
          <w:kern w:val="22"/>
          <w:lang w:eastAsia="hi-IN" w:bidi="hi-IN"/>
        </w:rPr>
        <w:t xml:space="preserve">pharmaceuticals which are </w:t>
      </w:r>
      <w:r w:rsidR="00333EFB">
        <w:rPr>
          <w:rFonts w:ascii="Times New Roman" w:eastAsia="SimSun" w:hAnsi="Times New Roman"/>
          <w:bCs/>
          <w:kern w:val="22"/>
          <w:lang w:eastAsia="hi-IN" w:bidi="hi-IN"/>
        </w:rPr>
        <w:t>explicitly</w:t>
      </w:r>
      <w:r w:rsidR="00D75F44">
        <w:rPr>
          <w:rFonts w:ascii="Times New Roman" w:eastAsia="SimSun" w:hAnsi="Times New Roman"/>
          <w:bCs/>
          <w:kern w:val="22"/>
          <w:lang w:eastAsia="hi-IN" w:bidi="hi-IN"/>
        </w:rPr>
        <w:t xml:space="preserve"> excluded</w:t>
      </w:r>
      <w:r w:rsidR="00333EFB">
        <w:rPr>
          <w:rFonts w:ascii="Times New Roman" w:eastAsia="SimSun" w:hAnsi="Times New Roman"/>
          <w:bCs/>
          <w:kern w:val="22"/>
          <w:lang w:eastAsia="hi-IN" w:bidi="hi-IN"/>
        </w:rPr>
        <w:t xml:space="preserve"> from the scope of the </w:t>
      </w:r>
      <w:r w:rsidR="004136C7">
        <w:rPr>
          <w:rFonts w:ascii="Times New Roman" w:eastAsia="SimSun" w:hAnsi="Times New Roman"/>
          <w:bCs/>
          <w:kern w:val="22"/>
          <w:lang w:eastAsia="hi-IN" w:bidi="hi-IN"/>
        </w:rPr>
        <w:t>Cartagena Protocol.</w:t>
      </w:r>
      <w:r w:rsidR="00333EFB">
        <w:rPr>
          <w:rFonts w:ascii="Times New Roman" w:eastAsia="SimSun" w:hAnsi="Times New Roman"/>
          <w:bCs/>
          <w:kern w:val="22"/>
          <w:lang w:eastAsia="hi-IN" w:bidi="hi-IN"/>
        </w:rPr>
        <w:t xml:space="preserve"> </w:t>
      </w:r>
      <w:r w:rsidR="00D75F44">
        <w:rPr>
          <w:rFonts w:ascii="Times New Roman" w:eastAsia="SimSun" w:hAnsi="Times New Roman"/>
          <w:bCs/>
          <w:kern w:val="22"/>
          <w:lang w:eastAsia="hi-IN" w:bidi="hi-IN"/>
        </w:rPr>
        <w:t xml:space="preserve"> </w:t>
      </w:r>
    </w:p>
    <w:p w14:paraId="3CE2B468" w14:textId="3BFA6F3A" w:rsidR="008D396E" w:rsidRPr="008D396E" w:rsidRDefault="00C60023" w:rsidP="009A4287">
      <w:pPr>
        <w:pStyle w:val="Heading5"/>
        <w:tabs>
          <w:tab w:val="clear" w:pos="1800"/>
        </w:tabs>
        <w:ind w:left="284" w:hanging="284"/>
      </w:pPr>
      <w:r w:rsidRPr="00BE5937">
        <w:rPr>
          <w:i w:val="0"/>
          <w:iCs/>
          <w:lang w:val="en-GB"/>
        </w:rPr>
        <w:t>(a)</w:t>
      </w:r>
      <w:r>
        <w:rPr>
          <w:lang w:val="en-GB"/>
        </w:rPr>
        <w:t xml:space="preserve"> </w:t>
      </w:r>
      <w:r w:rsidR="005742E3">
        <w:t>Risk assessment</w:t>
      </w:r>
      <w:r w:rsidR="008D396E" w:rsidRPr="008D396E">
        <w:t xml:space="preserve"> (Article </w:t>
      </w:r>
      <w:r w:rsidR="005742E3">
        <w:t>1</w:t>
      </w:r>
      <w:r w:rsidR="008D396E" w:rsidRPr="008D396E">
        <w:t>5</w:t>
      </w:r>
      <w:r w:rsidR="00F05547">
        <w:t xml:space="preserve"> and </w:t>
      </w:r>
      <w:r w:rsidR="00F05547" w:rsidRPr="00F05547">
        <w:t>Annex III</w:t>
      </w:r>
      <w:r w:rsidR="008D396E" w:rsidRPr="008D396E">
        <w:t>)</w:t>
      </w:r>
      <w:r w:rsidR="00BA4D7C">
        <w:t>.</w:t>
      </w:r>
      <w:r w:rsidR="008D396E" w:rsidRPr="008D396E">
        <w:t xml:space="preserve"> </w:t>
      </w:r>
    </w:p>
    <w:p w14:paraId="25712DA2" w14:textId="7DA952AC" w:rsidR="00194B00" w:rsidRPr="00D83609" w:rsidRDefault="00194B00" w:rsidP="00480B30">
      <w:pPr>
        <w:suppressAutoHyphens/>
        <w:spacing w:after="120" w:line="240" w:lineRule="auto"/>
        <w:jc w:val="both"/>
        <w:rPr>
          <w:rFonts w:ascii="Times New Roman" w:eastAsia="SimSun" w:hAnsi="Times New Roman"/>
          <w:lang w:eastAsia="hi-IN" w:bidi="hi-IN"/>
        </w:rPr>
      </w:pPr>
      <w:r w:rsidRPr="00D83609">
        <w:rPr>
          <w:rFonts w:ascii="Times New Roman" w:eastAsia="SimSun" w:hAnsi="Times New Roman"/>
          <w:lang w:eastAsia="hi-IN" w:bidi="hi-IN"/>
        </w:rPr>
        <w:t>Under Article 15, paragraph 2, a risk assessment must be carried out for a Party of import to make a decision as per Article 10 for an intentional transboundary movement to proceed (Article 10 and Article 15, paragraph 2, Cartagena Protocol). Risk assessments must be “</w:t>
      </w:r>
      <w:r w:rsidRPr="00F365D3">
        <w:rPr>
          <w:rFonts w:ascii="Times New Roman" w:eastAsia="SimSun" w:hAnsi="Times New Roman"/>
          <w:i/>
          <w:iCs/>
          <w:lang w:eastAsia="hi-IN" w:bidi="hi-IN"/>
        </w:rPr>
        <w:t>carried out in a scientifically sound manner, in accordance with Annex III and taking into account recognised risk assessment techniques</w:t>
      </w:r>
      <w:r w:rsidRPr="00D83609">
        <w:rPr>
          <w:rFonts w:ascii="Times New Roman" w:eastAsia="SimSun" w:hAnsi="Times New Roman"/>
          <w:lang w:eastAsia="hi-IN" w:bidi="hi-IN"/>
        </w:rPr>
        <w:t xml:space="preserve">” (Article 15, paragraph 1 Cartagena Protocol). A risk assessment as per Annex III is also required if a developing country Party or a Party with an economy in transition that does not have a domestic regulatory framework decides to import an LMO-FFP and has indicated that its decision prior to import will be taken on this basis (Article 11, paragraph 6(a) Cartagena Protocol). </w:t>
      </w:r>
    </w:p>
    <w:p w14:paraId="40393B79" w14:textId="77777777" w:rsidR="002D3E89" w:rsidRDefault="000F482F">
      <w:pPr>
        <w:suppressAutoHyphens/>
        <w:spacing w:after="120" w:line="240" w:lineRule="auto"/>
        <w:jc w:val="both"/>
        <w:rPr>
          <w:rFonts w:ascii="Times New Roman" w:eastAsia="SimSun" w:hAnsi="Times New Roman"/>
          <w:kern w:val="22"/>
        </w:rPr>
      </w:pPr>
      <w:r w:rsidRPr="00FB31A7">
        <w:rPr>
          <w:rFonts w:ascii="Times New Roman" w:eastAsia="SimSun" w:hAnsi="Times New Roman"/>
          <w:kern w:val="22"/>
        </w:rPr>
        <w:t xml:space="preserve">According to Article 15 and Annex III, the purpose of conducting a risk assessment under the Protocol is to identify and evaluate the “potential adverse effects” of LMOs on the conservation and sustainable use of biological diversity in the likely potential receiving environment, taking also into account risks to human health. </w:t>
      </w:r>
    </w:p>
    <w:p w14:paraId="5B7E833C" w14:textId="600E544C" w:rsidR="000F482F" w:rsidRPr="00FB31A7" w:rsidRDefault="006D7F03">
      <w:pPr>
        <w:suppressAutoHyphens/>
        <w:spacing w:after="120" w:line="240" w:lineRule="auto"/>
        <w:jc w:val="both"/>
        <w:rPr>
          <w:rFonts w:ascii="Times New Roman" w:eastAsia="SimSun" w:hAnsi="Times New Roman"/>
          <w:kern w:val="22"/>
        </w:rPr>
      </w:pPr>
      <w:r w:rsidRPr="00D83609">
        <w:rPr>
          <w:rFonts w:ascii="Times New Roman" w:eastAsia="SimSun" w:hAnsi="Times New Roman"/>
          <w:lang w:eastAsia="hi-IN" w:bidi="hi-IN"/>
        </w:rPr>
        <w:t xml:space="preserve">Annex III of the Cartagena Protocol provides general principles, methodology, and points to consider in a risk assessment (see also Section </w:t>
      </w:r>
      <w:r w:rsidR="00144705">
        <w:rPr>
          <w:rFonts w:ascii="Times New Roman" w:eastAsia="SimSun" w:hAnsi="Times New Roman"/>
          <w:lang w:eastAsia="hi-IN" w:bidi="hi-IN"/>
        </w:rPr>
        <w:t>6</w:t>
      </w:r>
      <w:r w:rsidR="00A65202">
        <w:rPr>
          <w:rFonts w:ascii="Times New Roman" w:eastAsia="SimSun" w:hAnsi="Times New Roman"/>
          <w:lang w:eastAsia="hi-IN" w:bidi="hi-IN"/>
        </w:rPr>
        <w:t>.1</w:t>
      </w:r>
      <w:r w:rsidRPr="00D83609">
        <w:rPr>
          <w:rFonts w:ascii="Times New Roman" w:eastAsia="SimSun" w:hAnsi="Times New Roman"/>
          <w:lang w:eastAsia="hi-IN" w:bidi="hi-IN"/>
        </w:rPr>
        <w:t>).</w:t>
      </w:r>
      <w:r w:rsidR="008D2512">
        <w:rPr>
          <w:rFonts w:ascii="Times New Roman" w:eastAsia="SimSun" w:hAnsi="Times New Roman"/>
          <w:kern w:val="22"/>
        </w:rPr>
        <w:t xml:space="preserve"> </w:t>
      </w:r>
      <w:r w:rsidR="000F482F" w:rsidRPr="00FB31A7">
        <w:rPr>
          <w:rFonts w:ascii="Times New Roman" w:eastAsia="SimSun" w:hAnsi="Times New Roman"/>
          <w:kern w:val="22"/>
        </w:rPr>
        <w:t xml:space="preserve">Paragraph 8 of Annex III outlines a number of steps to meet this objective, providing that a risk assessment entails, as appropriate, the following steps: </w:t>
      </w:r>
    </w:p>
    <w:p w14:paraId="1F7D7D79" w14:textId="77777777" w:rsidR="000F482F" w:rsidRPr="00FB31A7" w:rsidRDefault="000F482F" w:rsidP="004A4D32">
      <w:pPr>
        <w:numPr>
          <w:ilvl w:val="0"/>
          <w:numId w:val="46"/>
        </w:numPr>
        <w:suppressAutoHyphens/>
        <w:spacing w:after="120" w:line="240" w:lineRule="auto"/>
        <w:ind w:left="284" w:hanging="283"/>
        <w:jc w:val="both"/>
        <w:rPr>
          <w:rFonts w:ascii="Times New Roman" w:eastAsia="SimSun" w:hAnsi="Times New Roman"/>
          <w:kern w:val="22"/>
        </w:rPr>
      </w:pPr>
      <w:r w:rsidRPr="00FB31A7">
        <w:rPr>
          <w:rFonts w:ascii="Times New Roman" w:eastAsia="SimSun" w:hAnsi="Times New Roman"/>
          <w:kern w:val="22"/>
        </w:rPr>
        <w:t>An identification of any novel genotypic and phenotypic characteristics associated with the living modified organism that may have adverse effects on biological diversity in the likely potential receiving environment, taking also into account risks to human health;</w:t>
      </w:r>
    </w:p>
    <w:p w14:paraId="2C435B48" w14:textId="112B78B1" w:rsidR="000F482F" w:rsidRPr="00FB31A7" w:rsidRDefault="000F482F" w:rsidP="004A4D32">
      <w:pPr>
        <w:numPr>
          <w:ilvl w:val="0"/>
          <w:numId w:val="46"/>
        </w:numPr>
        <w:suppressAutoHyphens/>
        <w:spacing w:after="120" w:line="240" w:lineRule="auto"/>
        <w:ind w:left="284" w:hanging="283"/>
        <w:jc w:val="both"/>
        <w:rPr>
          <w:rFonts w:ascii="Times New Roman" w:eastAsia="SimSun" w:hAnsi="Times New Roman"/>
          <w:kern w:val="22"/>
        </w:rPr>
      </w:pPr>
      <w:r w:rsidRPr="00FB31A7">
        <w:rPr>
          <w:rFonts w:ascii="Times New Roman" w:eastAsia="SimSun" w:hAnsi="Times New Roman"/>
          <w:kern w:val="22"/>
        </w:rPr>
        <w:t>An evaluation of the likelihood of these adverse effects being reali</w:t>
      </w:r>
      <w:r w:rsidR="007B7BC0">
        <w:rPr>
          <w:rFonts w:ascii="Times New Roman" w:eastAsia="SimSun" w:hAnsi="Times New Roman"/>
          <w:kern w:val="22"/>
        </w:rPr>
        <w:t>s</w:t>
      </w:r>
      <w:r w:rsidRPr="00FB31A7">
        <w:rPr>
          <w:rFonts w:ascii="Times New Roman" w:eastAsia="SimSun" w:hAnsi="Times New Roman"/>
          <w:kern w:val="22"/>
        </w:rPr>
        <w:t>ed, taking into account the level and kind of exposure of the likely potential receiving environment to the living modified organism;</w:t>
      </w:r>
    </w:p>
    <w:p w14:paraId="2F11A835" w14:textId="425A8C09" w:rsidR="000F482F" w:rsidRPr="00FB31A7" w:rsidRDefault="000F482F" w:rsidP="004A4D32">
      <w:pPr>
        <w:numPr>
          <w:ilvl w:val="0"/>
          <w:numId w:val="46"/>
        </w:numPr>
        <w:suppressAutoHyphens/>
        <w:spacing w:after="120" w:line="240" w:lineRule="auto"/>
        <w:ind w:left="284" w:hanging="283"/>
        <w:jc w:val="both"/>
        <w:rPr>
          <w:rFonts w:ascii="Times New Roman" w:eastAsia="SimSun" w:hAnsi="Times New Roman"/>
          <w:kern w:val="22"/>
        </w:rPr>
      </w:pPr>
      <w:r w:rsidRPr="00FB31A7">
        <w:rPr>
          <w:rFonts w:ascii="Times New Roman" w:eastAsia="SimSun" w:hAnsi="Times New Roman"/>
          <w:kern w:val="22"/>
        </w:rPr>
        <w:t>An evaluation of the consequences should these adverse effects be reali</w:t>
      </w:r>
      <w:r w:rsidR="007B7BC0">
        <w:rPr>
          <w:rFonts w:ascii="Times New Roman" w:eastAsia="SimSun" w:hAnsi="Times New Roman"/>
          <w:kern w:val="22"/>
        </w:rPr>
        <w:t>s</w:t>
      </w:r>
      <w:r w:rsidRPr="00FB31A7">
        <w:rPr>
          <w:rFonts w:ascii="Times New Roman" w:eastAsia="SimSun" w:hAnsi="Times New Roman"/>
          <w:kern w:val="22"/>
        </w:rPr>
        <w:t>ed;</w:t>
      </w:r>
    </w:p>
    <w:p w14:paraId="536EC4EE" w14:textId="40C4F6EE" w:rsidR="000F482F" w:rsidRPr="00FB31A7" w:rsidRDefault="000F482F" w:rsidP="004A4D32">
      <w:pPr>
        <w:numPr>
          <w:ilvl w:val="0"/>
          <w:numId w:val="46"/>
        </w:numPr>
        <w:suppressAutoHyphens/>
        <w:spacing w:after="120" w:line="240" w:lineRule="auto"/>
        <w:ind w:left="284" w:hanging="283"/>
        <w:jc w:val="both"/>
        <w:rPr>
          <w:rFonts w:ascii="Times New Roman" w:eastAsia="SimSun" w:hAnsi="Times New Roman"/>
          <w:kern w:val="22"/>
        </w:rPr>
      </w:pPr>
      <w:r w:rsidRPr="00FB31A7">
        <w:rPr>
          <w:rFonts w:ascii="Times New Roman" w:eastAsia="SimSun" w:hAnsi="Times New Roman"/>
          <w:kern w:val="22"/>
        </w:rPr>
        <w:t>An estimation of the overall risk posed by the living modified organism based on the evaluation of the likelihood and consequences of the identified adverse effects being reali</w:t>
      </w:r>
      <w:r w:rsidR="007B7BC0">
        <w:rPr>
          <w:rFonts w:ascii="Times New Roman" w:eastAsia="SimSun" w:hAnsi="Times New Roman"/>
          <w:kern w:val="22"/>
        </w:rPr>
        <w:t>s</w:t>
      </w:r>
      <w:r w:rsidRPr="00FB31A7">
        <w:rPr>
          <w:rFonts w:ascii="Times New Roman" w:eastAsia="SimSun" w:hAnsi="Times New Roman"/>
          <w:kern w:val="22"/>
        </w:rPr>
        <w:t>ed;</w:t>
      </w:r>
    </w:p>
    <w:p w14:paraId="5B85C9D5" w14:textId="77777777" w:rsidR="000F482F" w:rsidRPr="00FB31A7" w:rsidRDefault="000F482F" w:rsidP="004A4D32">
      <w:pPr>
        <w:numPr>
          <w:ilvl w:val="0"/>
          <w:numId w:val="46"/>
        </w:numPr>
        <w:suppressAutoHyphens/>
        <w:spacing w:after="120" w:line="240" w:lineRule="auto"/>
        <w:ind w:left="284" w:hanging="283"/>
        <w:jc w:val="both"/>
        <w:rPr>
          <w:rFonts w:ascii="Times New Roman" w:eastAsia="SimSun" w:hAnsi="Times New Roman"/>
          <w:kern w:val="22"/>
        </w:rPr>
      </w:pPr>
      <w:r w:rsidRPr="00FB31A7">
        <w:rPr>
          <w:rFonts w:ascii="Times New Roman" w:eastAsia="SimSun" w:hAnsi="Times New Roman"/>
          <w:kern w:val="22"/>
        </w:rPr>
        <w:t>A recommendation as to whether or not the risks are acceptable or manageable, including, where necessary, identification of strategies to manage these risks; and</w:t>
      </w:r>
    </w:p>
    <w:p w14:paraId="369CD562" w14:textId="4CE26371" w:rsidR="000F482F" w:rsidRPr="00FB31A7" w:rsidRDefault="000F482F" w:rsidP="004A4D32">
      <w:pPr>
        <w:numPr>
          <w:ilvl w:val="0"/>
          <w:numId w:val="46"/>
        </w:numPr>
        <w:suppressAutoHyphens/>
        <w:spacing w:after="120" w:line="240" w:lineRule="auto"/>
        <w:ind w:left="284" w:hanging="283"/>
        <w:jc w:val="both"/>
        <w:rPr>
          <w:rFonts w:ascii="Times New Roman" w:eastAsia="SimSun" w:hAnsi="Times New Roman"/>
          <w:kern w:val="22"/>
        </w:rPr>
      </w:pPr>
      <w:r w:rsidRPr="00FB31A7">
        <w:rPr>
          <w:rFonts w:ascii="Times New Roman" w:eastAsia="SimSun" w:hAnsi="Times New Roman"/>
          <w:kern w:val="22"/>
        </w:rPr>
        <w:t>Where there is uncertainty regarding the level of risk, it may be addressed by requesting further information on the specific issues of concern or by implementing appropriate risk management strategies and/or monitoring the living modified organism in the receiving environment.</w:t>
      </w:r>
      <w:r w:rsidDel="00524A62">
        <w:rPr>
          <w:rStyle w:val="FootnoteReference"/>
          <w:rFonts w:ascii="Times New Roman" w:eastAsia="SimSun" w:hAnsi="Times New Roman"/>
          <w:kern w:val="22"/>
        </w:rPr>
        <w:t xml:space="preserve"> </w:t>
      </w:r>
      <w:r w:rsidRPr="00D85A79">
        <w:t xml:space="preserve"> </w:t>
      </w:r>
    </w:p>
    <w:p w14:paraId="6E42DE09" w14:textId="6100BF90" w:rsidR="00D83609" w:rsidRPr="00D83609" w:rsidRDefault="00D83609" w:rsidP="00480B30">
      <w:pPr>
        <w:suppressAutoHyphens/>
        <w:spacing w:before="120" w:after="120" w:line="240" w:lineRule="auto"/>
        <w:jc w:val="both"/>
        <w:rPr>
          <w:rFonts w:ascii="Times New Roman" w:eastAsia="SimSun" w:hAnsi="Times New Roman"/>
          <w:lang w:eastAsia="hi-IN" w:bidi="hi-IN"/>
        </w:rPr>
      </w:pPr>
      <w:r w:rsidRPr="00D83609">
        <w:rPr>
          <w:rFonts w:ascii="Times New Roman" w:eastAsia="SimSun" w:hAnsi="Times New Roman"/>
          <w:lang w:eastAsia="hi-IN" w:bidi="hi-IN"/>
        </w:rPr>
        <w:t xml:space="preserve">The risk assessment may take into account the characteristics of the recipient organisms, donor organisms, receiving environment, the introduced modification, and the identity of the LMO (Annex III, paragraph 9, Cartagena Protocol). The Parties have also developed </w:t>
      </w:r>
      <w:r w:rsidR="008B39C9">
        <w:rPr>
          <w:rFonts w:ascii="Times New Roman" w:eastAsia="SimSun" w:hAnsi="Times New Roman"/>
          <w:lang w:eastAsia="hi-IN" w:bidi="hi-IN"/>
        </w:rPr>
        <w:t>voluntary</w:t>
      </w:r>
      <w:r w:rsidRPr="00D83609">
        <w:rPr>
          <w:rFonts w:ascii="Times New Roman" w:eastAsia="SimSun" w:hAnsi="Times New Roman"/>
          <w:lang w:eastAsia="hi-IN" w:bidi="hi-IN"/>
        </w:rPr>
        <w:t xml:space="preserve"> guidance on risk assessment of living modified organisms including a roadmap for risk assessment of LMOs that supplements Annex III of the Protocol</w:t>
      </w:r>
      <w:r w:rsidR="0082422A">
        <w:rPr>
          <w:rFonts w:ascii="Times New Roman" w:eastAsia="SimSun" w:hAnsi="Times New Roman"/>
          <w:lang w:eastAsia="hi-IN" w:bidi="hi-IN"/>
        </w:rPr>
        <w:t>,</w:t>
      </w:r>
      <w:r w:rsidRPr="00D83609">
        <w:rPr>
          <w:rFonts w:ascii="Times New Roman" w:eastAsia="SimSun" w:hAnsi="Times New Roman"/>
          <w:lang w:eastAsia="hi-IN" w:bidi="hi-IN"/>
        </w:rPr>
        <w:t xml:space="preserve"> as well as guidance on the risk assessment of specific types of LMOs and traits as well as the monitoring of LMOs released into the environment.</w:t>
      </w:r>
      <w:r w:rsidR="00D74AD2">
        <w:rPr>
          <w:rFonts w:ascii="Times New Roman" w:eastAsia="SimSun" w:hAnsi="Times New Roman"/>
          <w:lang w:eastAsia="hi-IN" w:bidi="hi-IN"/>
        </w:rPr>
        <w:t xml:space="preserve"> </w:t>
      </w:r>
      <w:r w:rsidR="00455BFF">
        <w:rPr>
          <w:rFonts w:ascii="Times New Roman" w:eastAsia="SimSun" w:hAnsi="Times New Roman"/>
          <w:lang w:eastAsia="hi-IN" w:bidi="hi-IN"/>
        </w:rPr>
        <w:t>F</w:t>
      </w:r>
      <w:r w:rsidR="00C16D43">
        <w:rPr>
          <w:rFonts w:ascii="Times New Roman" w:eastAsia="SimSun" w:hAnsi="Times New Roman"/>
          <w:lang w:eastAsia="hi-IN" w:bidi="hi-IN"/>
        </w:rPr>
        <w:t>irst developed in 2012</w:t>
      </w:r>
      <w:r w:rsidR="00455BFF">
        <w:rPr>
          <w:rFonts w:ascii="Times New Roman" w:eastAsia="SimSun" w:hAnsi="Times New Roman"/>
          <w:lang w:eastAsia="hi-IN" w:bidi="hi-IN"/>
        </w:rPr>
        <w:t xml:space="preserve"> the </w:t>
      </w:r>
      <w:r w:rsidR="00455BFF" w:rsidRPr="00D74AD2">
        <w:rPr>
          <w:rFonts w:ascii="Times New Roman" w:eastAsia="SimSun" w:hAnsi="Times New Roman"/>
          <w:lang w:eastAsia="hi-IN" w:bidi="hi-IN"/>
        </w:rPr>
        <w:t>voluntary guidance</w:t>
      </w:r>
      <w:r w:rsidR="00455BFF">
        <w:rPr>
          <w:rFonts w:ascii="Times New Roman" w:eastAsia="SimSun" w:hAnsi="Times New Roman"/>
          <w:lang w:eastAsia="hi-IN" w:bidi="hi-IN"/>
        </w:rPr>
        <w:t xml:space="preserve"> was </w:t>
      </w:r>
      <w:r w:rsidR="00D74AD2">
        <w:rPr>
          <w:rFonts w:ascii="Times New Roman" w:eastAsia="SimSun" w:hAnsi="Times New Roman"/>
          <w:lang w:eastAsia="hi-IN" w:bidi="hi-IN"/>
        </w:rPr>
        <w:t xml:space="preserve">updated </w:t>
      </w:r>
      <w:r w:rsidR="00B73366">
        <w:rPr>
          <w:rFonts w:ascii="Times New Roman" w:eastAsia="SimSun" w:hAnsi="Times New Roman"/>
          <w:lang w:eastAsia="hi-IN" w:bidi="hi-IN"/>
        </w:rPr>
        <w:t xml:space="preserve">and </w:t>
      </w:r>
      <w:r w:rsidR="00D74AD2">
        <w:rPr>
          <w:rFonts w:ascii="Times New Roman" w:eastAsia="SimSun" w:hAnsi="Times New Roman"/>
          <w:lang w:eastAsia="hi-IN" w:bidi="hi-IN"/>
        </w:rPr>
        <w:t xml:space="preserve">in </w:t>
      </w:r>
      <w:r w:rsidR="00455BFF">
        <w:rPr>
          <w:rFonts w:ascii="Times New Roman" w:eastAsia="SimSun" w:hAnsi="Times New Roman"/>
          <w:lang w:eastAsia="hi-IN" w:bidi="hi-IN"/>
        </w:rPr>
        <w:t>2016</w:t>
      </w:r>
      <w:r w:rsidR="00F1707A">
        <w:rPr>
          <w:rFonts w:ascii="Times New Roman" w:eastAsia="SimSun" w:hAnsi="Times New Roman"/>
          <w:lang w:eastAsia="hi-IN" w:bidi="hi-IN"/>
        </w:rPr>
        <w:t xml:space="preserve"> </w:t>
      </w:r>
      <w:r w:rsidR="00B73366">
        <w:rPr>
          <w:rFonts w:ascii="Times New Roman" w:eastAsia="SimSun" w:hAnsi="Times New Roman"/>
          <w:lang w:eastAsia="hi-IN" w:bidi="hi-IN"/>
        </w:rPr>
        <w:t>t</w:t>
      </w:r>
      <w:r w:rsidR="00F1707A" w:rsidRPr="00F1707A">
        <w:rPr>
          <w:rFonts w:ascii="Times New Roman" w:eastAsia="SimSun" w:hAnsi="Times New Roman"/>
          <w:lang w:eastAsia="hi-IN" w:bidi="hi-IN"/>
        </w:rPr>
        <w:t>he Conference of the Parties serving as the meeting of the Parties to the Cartagena Protocol on</w:t>
      </w:r>
      <w:r w:rsidR="00B73366">
        <w:rPr>
          <w:rFonts w:ascii="Times New Roman" w:eastAsia="SimSun" w:hAnsi="Times New Roman"/>
          <w:lang w:eastAsia="hi-IN" w:bidi="hi-IN"/>
        </w:rPr>
        <w:t xml:space="preserve"> </w:t>
      </w:r>
      <w:r w:rsidR="00F1707A" w:rsidRPr="00F1707A">
        <w:rPr>
          <w:rFonts w:ascii="Times New Roman" w:eastAsia="SimSun" w:hAnsi="Times New Roman"/>
          <w:lang w:eastAsia="hi-IN" w:bidi="hi-IN"/>
        </w:rPr>
        <w:t>Biosafety</w:t>
      </w:r>
      <w:r w:rsidR="00B73366">
        <w:rPr>
          <w:rFonts w:ascii="Times New Roman" w:eastAsia="SimSun" w:hAnsi="Times New Roman"/>
          <w:lang w:eastAsia="hi-IN" w:bidi="hi-IN"/>
        </w:rPr>
        <w:t xml:space="preserve"> </w:t>
      </w:r>
      <w:r w:rsidR="006B6E00">
        <w:rPr>
          <w:rFonts w:ascii="Times New Roman" w:eastAsia="SimSun" w:hAnsi="Times New Roman"/>
          <w:lang w:eastAsia="hi-IN" w:bidi="hi-IN"/>
        </w:rPr>
        <w:t>i</w:t>
      </w:r>
      <w:r w:rsidR="006B6E00" w:rsidRPr="006B6E00">
        <w:rPr>
          <w:rFonts w:ascii="Times New Roman" w:eastAsia="SimSun" w:hAnsi="Times New Roman"/>
          <w:lang w:eastAsia="hi-IN" w:bidi="hi-IN"/>
        </w:rPr>
        <w:t>nvite</w:t>
      </w:r>
      <w:r w:rsidR="006B6E00">
        <w:rPr>
          <w:rFonts w:ascii="Times New Roman" w:eastAsia="SimSun" w:hAnsi="Times New Roman"/>
          <w:lang w:eastAsia="hi-IN" w:bidi="hi-IN"/>
        </w:rPr>
        <w:t>d</w:t>
      </w:r>
      <w:r w:rsidR="006B6E00" w:rsidRPr="006B6E00">
        <w:rPr>
          <w:rFonts w:ascii="Times New Roman" w:eastAsia="SimSun" w:hAnsi="Times New Roman"/>
          <w:lang w:eastAsia="hi-IN" w:bidi="hi-IN"/>
        </w:rPr>
        <w:t xml:space="preserve"> interested Parties, other Governments and relevant organizations to take the Guidance</w:t>
      </w:r>
      <w:r w:rsidR="006B6E00">
        <w:rPr>
          <w:rStyle w:val="FootnoteReference"/>
          <w:rFonts w:ascii="Times New Roman" w:eastAsia="SimSun" w:hAnsi="Times New Roman"/>
          <w:lang w:eastAsia="hi-IN" w:bidi="hi-IN"/>
        </w:rPr>
        <w:footnoteReference w:id="48"/>
      </w:r>
      <w:r w:rsidR="006B6E00">
        <w:rPr>
          <w:rFonts w:ascii="Times New Roman" w:eastAsia="SimSun" w:hAnsi="Times New Roman"/>
          <w:lang w:eastAsia="hi-IN" w:bidi="hi-IN"/>
        </w:rPr>
        <w:t xml:space="preserve"> </w:t>
      </w:r>
      <w:r w:rsidR="006B6E00" w:rsidRPr="006B6E00">
        <w:rPr>
          <w:rFonts w:ascii="Times New Roman" w:eastAsia="SimSun" w:hAnsi="Times New Roman"/>
          <w:lang w:eastAsia="hi-IN" w:bidi="hi-IN"/>
        </w:rPr>
        <w:t xml:space="preserve">into account as a voluntary tool to assist in conducting risk assessment </w:t>
      </w:r>
      <w:r w:rsidR="00B73366">
        <w:rPr>
          <w:rFonts w:ascii="Times New Roman" w:eastAsia="SimSun" w:hAnsi="Times New Roman"/>
          <w:lang w:eastAsia="hi-IN" w:bidi="hi-IN"/>
        </w:rPr>
        <w:t xml:space="preserve">(Decision </w:t>
      </w:r>
      <w:r w:rsidR="00B73366" w:rsidRPr="00F1707A">
        <w:rPr>
          <w:rFonts w:ascii="Times New Roman" w:eastAsia="SimSun" w:hAnsi="Times New Roman"/>
          <w:lang w:eastAsia="hi-IN" w:bidi="hi-IN"/>
        </w:rPr>
        <w:t>VIII/12</w:t>
      </w:r>
      <w:r w:rsidR="00B73366">
        <w:rPr>
          <w:rFonts w:ascii="Times New Roman" w:eastAsia="SimSun" w:hAnsi="Times New Roman"/>
          <w:lang w:eastAsia="hi-IN" w:bidi="hi-IN"/>
        </w:rPr>
        <w:t>).</w:t>
      </w:r>
    </w:p>
    <w:p w14:paraId="6A08ADD3" w14:textId="5272A950" w:rsidR="00D83609" w:rsidRDefault="00D83609" w:rsidP="004A4D32">
      <w:pPr>
        <w:suppressAutoHyphens/>
        <w:spacing w:after="120" w:line="240" w:lineRule="auto"/>
        <w:jc w:val="both"/>
        <w:rPr>
          <w:rFonts w:ascii="Times New Roman" w:eastAsia="SimSun" w:hAnsi="Times New Roman"/>
          <w:lang w:eastAsia="hi-IN" w:bidi="hi-IN"/>
        </w:rPr>
      </w:pPr>
      <w:r w:rsidRPr="00D83609">
        <w:rPr>
          <w:rFonts w:ascii="Times New Roman" w:eastAsia="SimSun" w:hAnsi="Times New Roman"/>
          <w:lang w:eastAsia="hi-IN" w:bidi="hi-IN"/>
        </w:rPr>
        <w:t>Although LMOs produced through synthetic biology may present characteristics that are not common to all LMOs, Annex III of the Protocol, including its general principles, points to consider and methodology are still fully applicable to living organisms produced through synthetic biology and may also apply to “products thereof” that  contain “detectable novel combinations of replicable genetic material obtained through the use of modern biotechnology” (Article 20, paragraph 3(c), Annex I(i); and Annex III, paragraph 5; Cartagena Protocol). In addition, it could be discussed whether the risk assessment process of Annex III, which is based on the characteristics of the recipient and donor organisms and the added traits, might be adequate for synthetic biology organisms that have been developed to include genetic material from several donor organisms that may have also been optimised. In these cases, there might not be an appropriate comparator.</w:t>
      </w:r>
    </w:p>
    <w:p w14:paraId="28528397" w14:textId="52B61EED" w:rsidR="005E3F95" w:rsidRPr="005E3F95" w:rsidRDefault="004A4084">
      <w:pPr>
        <w:suppressAutoHyphens/>
        <w:spacing w:after="120" w:line="240" w:lineRule="auto"/>
        <w:jc w:val="both"/>
        <w:rPr>
          <w:rFonts w:ascii="Times New Roman" w:eastAsia="SimSun" w:hAnsi="Times New Roman"/>
          <w:lang w:eastAsia="hi-IN" w:bidi="hi-IN"/>
        </w:rPr>
      </w:pPr>
      <w:r w:rsidRPr="004A4084">
        <w:rPr>
          <w:rFonts w:ascii="Times New Roman" w:eastAsia="SimSun" w:hAnsi="Times New Roman"/>
          <w:lang w:eastAsia="hi-IN" w:bidi="hi-IN"/>
        </w:rPr>
        <w:t xml:space="preserve">In </w:t>
      </w:r>
      <w:r w:rsidR="00873CF9">
        <w:rPr>
          <w:rFonts w:ascii="Times New Roman" w:eastAsia="SimSun" w:hAnsi="Times New Roman"/>
          <w:lang w:eastAsia="hi-IN" w:bidi="hi-IN"/>
        </w:rPr>
        <w:t>D</w:t>
      </w:r>
      <w:r w:rsidRPr="004A4084">
        <w:rPr>
          <w:rFonts w:ascii="Times New Roman" w:eastAsia="SimSun" w:hAnsi="Times New Roman"/>
          <w:lang w:eastAsia="hi-IN" w:bidi="hi-IN"/>
        </w:rPr>
        <w:t xml:space="preserve">ecision BS-II/9 </w:t>
      </w:r>
      <w:r w:rsidR="00873CF9">
        <w:rPr>
          <w:rFonts w:ascii="Times New Roman" w:eastAsia="SimSun" w:hAnsi="Times New Roman"/>
          <w:lang w:eastAsia="hi-IN" w:bidi="hi-IN"/>
        </w:rPr>
        <w:t xml:space="preserve">in 2008 </w:t>
      </w:r>
      <w:r w:rsidRPr="004A4084">
        <w:rPr>
          <w:rFonts w:ascii="Times New Roman" w:eastAsia="SimSun" w:hAnsi="Times New Roman"/>
          <w:lang w:eastAsia="hi-IN" w:bidi="hi-IN"/>
        </w:rPr>
        <w:t xml:space="preserve">the Parties considered </w:t>
      </w:r>
      <w:r w:rsidR="00873CF9" w:rsidRPr="004A4084">
        <w:rPr>
          <w:rFonts w:ascii="Times New Roman" w:eastAsia="SimSun" w:hAnsi="Times New Roman"/>
          <w:lang w:eastAsia="hi-IN" w:bidi="hi-IN"/>
        </w:rPr>
        <w:t>risk assessment and risk management</w:t>
      </w:r>
      <w:r w:rsidR="00873CF9">
        <w:rPr>
          <w:rFonts w:ascii="Times New Roman" w:eastAsia="SimSun" w:hAnsi="Times New Roman"/>
          <w:lang w:eastAsia="hi-IN" w:bidi="hi-IN"/>
        </w:rPr>
        <w:t xml:space="preserve"> and</w:t>
      </w:r>
      <w:r w:rsidRPr="004A4084">
        <w:rPr>
          <w:rFonts w:ascii="Times New Roman" w:eastAsia="SimSun" w:hAnsi="Times New Roman"/>
          <w:lang w:eastAsia="hi-IN" w:bidi="hi-IN"/>
        </w:rPr>
        <w:t xml:space="preserve"> established an Ad Hoc Technical Expert Group on Risk Assessment (AHTEG</w:t>
      </w:r>
      <w:r w:rsidR="00F05547" w:rsidRPr="005E3F95">
        <w:rPr>
          <w:rFonts w:ascii="Times New Roman" w:eastAsia="SimSun" w:hAnsi="Times New Roman"/>
          <w:lang w:eastAsia="hi-IN" w:bidi="hi-IN"/>
        </w:rPr>
        <w:t>-RARM</w:t>
      </w:r>
      <w:r w:rsidRPr="004A4084">
        <w:rPr>
          <w:rFonts w:ascii="Times New Roman" w:eastAsia="SimSun" w:hAnsi="Times New Roman"/>
          <w:lang w:eastAsia="hi-IN" w:bidi="hi-IN"/>
        </w:rPr>
        <w:t>) to further consider and evaluate the nature and scope of existing approaches to risk assessment and identify existing gaps, and capacity-building needs</w:t>
      </w:r>
      <w:r>
        <w:rPr>
          <w:rFonts w:ascii="Times New Roman" w:eastAsia="SimSun" w:hAnsi="Times New Roman"/>
          <w:lang w:eastAsia="hi-IN" w:bidi="hi-IN"/>
        </w:rPr>
        <w:t xml:space="preserve">. It also </w:t>
      </w:r>
      <w:r w:rsidR="005E3F95" w:rsidRPr="005E3F95">
        <w:rPr>
          <w:rFonts w:ascii="Times New Roman" w:eastAsia="SimSun" w:hAnsi="Times New Roman"/>
          <w:lang w:eastAsia="hi-IN" w:bidi="hi-IN"/>
        </w:rPr>
        <w:t>established an open-ended online forum, through the Biosafety Clearing-House</w:t>
      </w:r>
      <w:r>
        <w:rPr>
          <w:rFonts w:ascii="Times New Roman" w:eastAsia="SimSun" w:hAnsi="Times New Roman"/>
          <w:lang w:eastAsia="hi-IN" w:bidi="hi-IN"/>
        </w:rPr>
        <w:t xml:space="preserve">, to assist the </w:t>
      </w:r>
      <w:r w:rsidRPr="004A4084">
        <w:rPr>
          <w:rFonts w:ascii="Times New Roman" w:eastAsia="SimSun" w:hAnsi="Times New Roman"/>
          <w:lang w:eastAsia="hi-IN" w:bidi="hi-IN"/>
        </w:rPr>
        <w:t>AHTEG-RARM</w:t>
      </w:r>
      <w:r w:rsidR="005E3F95" w:rsidRPr="005E3F95">
        <w:rPr>
          <w:rFonts w:ascii="Times New Roman" w:eastAsia="SimSun" w:hAnsi="Times New Roman"/>
          <w:lang w:eastAsia="hi-IN" w:bidi="hi-IN"/>
        </w:rPr>
        <w:t xml:space="preserve">. In 2012 and in 2014, the AHTEG-RARM identified the risk assessment of LMOs produced through synthetic biology among a set of topics for the development of further guidance. In Decision BS-VIII/12 in 2016, the COP-MOP acknowledged the completion of the mandate of the AHTEG-RARM. </w:t>
      </w:r>
    </w:p>
    <w:p w14:paraId="208DDA2D" w14:textId="785EAD15" w:rsidR="00651852" w:rsidRPr="008D396E" w:rsidRDefault="005E3F95" w:rsidP="00FD2B89">
      <w:pPr>
        <w:suppressAutoHyphens/>
        <w:spacing w:after="120" w:line="240" w:lineRule="auto"/>
        <w:jc w:val="both"/>
        <w:rPr>
          <w:rFonts w:ascii="Times New Roman" w:eastAsia="SimSun" w:hAnsi="Times New Roman"/>
          <w:kern w:val="22"/>
          <w:lang w:eastAsia="hi-IN" w:bidi="hi-IN"/>
        </w:rPr>
      </w:pPr>
      <w:r w:rsidRPr="005E3F95">
        <w:rPr>
          <w:rFonts w:ascii="Times New Roman" w:eastAsia="SimSun" w:hAnsi="Times New Roman"/>
          <w:lang w:eastAsia="hi-IN" w:bidi="hi-IN"/>
        </w:rPr>
        <w:t>More recently in Decision CP-9/13 in 2018</w:t>
      </w:r>
      <w:r w:rsidR="000C7F6F" w:rsidRPr="000C7F6F">
        <w:rPr>
          <w:rFonts w:ascii="Times New Roman" w:eastAsia="SimSun" w:hAnsi="Times New Roman"/>
          <w:lang w:eastAsia="hi-IN" w:bidi="hi-IN"/>
        </w:rPr>
        <w:t>, the Conference of Parties serving the meeting of Parties to the Cartagena Protocol on Biosafety (COP-MOP) recogni</w:t>
      </w:r>
      <w:r w:rsidR="007B7BC0">
        <w:rPr>
          <w:rFonts w:ascii="Times New Roman" w:eastAsia="SimSun" w:hAnsi="Times New Roman"/>
          <w:lang w:eastAsia="hi-IN" w:bidi="hi-IN"/>
        </w:rPr>
        <w:t>s</w:t>
      </w:r>
      <w:r w:rsidR="000C7F6F" w:rsidRPr="000C7F6F">
        <w:rPr>
          <w:rFonts w:ascii="Times New Roman" w:eastAsia="SimSun" w:hAnsi="Times New Roman"/>
          <w:lang w:eastAsia="hi-IN" w:bidi="hi-IN"/>
        </w:rPr>
        <w:t>ed the divergence in views among Parties on whether or not additional guidance on specific topics of risk assessment is needed.</w:t>
      </w:r>
      <w:r w:rsidR="004A4084">
        <w:rPr>
          <w:rFonts w:ascii="Times New Roman" w:eastAsia="SimSun" w:hAnsi="Times New Roman"/>
          <w:lang w:eastAsia="hi-IN" w:bidi="hi-IN"/>
        </w:rPr>
        <w:t xml:space="preserve"> The </w:t>
      </w:r>
      <w:r w:rsidRPr="005E3F95">
        <w:rPr>
          <w:rFonts w:ascii="Times New Roman" w:eastAsia="SimSun" w:hAnsi="Times New Roman"/>
          <w:lang w:eastAsia="hi-IN" w:bidi="hi-IN"/>
        </w:rPr>
        <w:t xml:space="preserve">COP-MOP noted the conclusions of the AHTEG on Synthetic Biology concerning, </w:t>
      </w:r>
      <w:r w:rsidRPr="00F365D3">
        <w:rPr>
          <w:rFonts w:ascii="Times New Roman" w:eastAsia="SimSun" w:hAnsi="Times New Roman"/>
          <w:i/>
          <w:lang w:eastAsia="hi-IN" w:bidi="hi-IN"/>
        </w:rPr>
        <w:t>inter alia</w:t>
      </w:r>
      <w:r w:rsidRPr="005E3F95">
        <w:rPr>
          <w:rFonts w:ascii="Times New Roman" w:eastAsia="SimSun" w:hAnsi="Times New Roman"/>
          <w:lang w:eastAsia="hi-IN" w:bidi="hi-IN"/>
        </w:rPr>
        <w:t>, the uncertainties regarding engineered gene drives. It decided to establish a process for the identification and prioritisation of specific issues regarding risk assessment of LMOs with a view to developing further guidance on risk assessment on the specific issues identified, and to consider, at its tenth meeting, whether additional guidance materials on risk assessment are needed for living modified organisms containing engineered gene drives and living modified fish. To assist this process</w:t>
      </w:r>
      <w:r w:rsidR="0008038B">
        <w:rPr>
          <w:rFonts w:ascii="Times New Roman" w:eastAsia="SimSun" w:hAnsi="Times New Roman"/>
          <w:lang w:eastAsia="hi-IN" w:bidi="hi-IN"/>
        </w:rPr>
        <w:t>,</w:t>
      </w:r>
      <w:r w:rsidRPr="005E3F95">
        <w:rPr>
          <w:rFonts w:ascii="Times New Roman" w:eastAsia="SimSun" w:hAnsi="Times New Roman"/>
          <w:lang w:eastAsia="hi-IN" w:bidi="hi-IN"/>
        </w:rPr>
        <w:t xml:space="preserve"> Decision CP-9/13 established an Ad Hoc Technical Expert Group (AHTEG) on Risk Assessment and extended the online forum on risk assessment and risk management in order to assist the AHTEG.</w:t>
      </w:r>
      <w:r w:rsidR="00E94CEF">
        <w:rPr>
          <w:rFonts w:ascii="Times New Roman" w:eastAsia="SimSun" w:hAnsi="Times New Roman"/>
          <w:lang w:eastAsia="hi-IN" w:bidi="hi-IN"/>
        </w:rPr>
        <w:t>. T</w:t>
      </w:r>
      <w:r w:rsidRPr="005E3F95">
        <w:rPr>
          <w:rFonts w:ascii="Times New Roman" w:eastAsia="SimSun" w:hAnsi="Times New Roman"/>
          <w:lang w:eastAsia="hi-IN" w:bidi="hi-IN"/>
        </w:rPr>
        <w:t xml:space="preserve">he outcomes of the AHTEG </w:t>
      </w:r>
      <w:r w:rsidR="00B87FFE">
        <w:rPr>
          <w:rFonts w:ascii="Times New Roman" w:eastAsia="SimSun" w:hAnsi="Times New Roman"/>
          <w:lang w:eastAsia="hi-IN" w:bidi="hi-IN"/>
        </w:rPr>
        <w:t xml:space="preserve">concerning </w:t>
      </w:r>
      <w:r w:rsidR="005F6B83">
        <w:rPr>
          <w:rFonts w:ascii="Times New Roman" w:eastAsia="SimSun" w:hAnsi="Times New Roman"/>
          <w:lang w:eastAsia="hi-IN" w:bidi="hi-IN"/>
        </w:rPr>
        <w:t>t</w:t>
      </w:r>
      <w:r w:rsidR="005F6B83" w:rsidRPr="005F6B83">
        <w:rPr>
          <w:rFonts w:ascii="Times New Roman" w:eastAsia="SimSun" w:hAnsi="Times New Roman"/>
          <w:lang w:eastAsia="hi-IN" w:bidi="hi-IN"/>
        </w:rPr>
        <w:t xml:space="preserve">he need for guidance to be developed on risk assessment </w:t>
      </w:r>
      <w:r w:rsidR="00E94CEF">
        <w:rPr>
          <w:rFonts w:ascii="Times New Roman" w:eastAsia="SimSun" w:hAnsi="Times New Roman"/>
          <w:lang w:eastAsia="hi-IN" w:bidi="hi-IN"/>
        </w:rPr>
        <w:t xml:space="preserve">related to these </w:t>
      </w:r>
      <w:r w:rsidR="005F6B83" w:rsidRPr="005F6B83">
        <w:rPr>
          <w:rFonts w:ascii="Times New Roman" w:eastAsia="SimSun" w:hAnsi="Times New Roman"/>
          <w:lang w:eastAsia="hi-IN" w:bidi="hi-IN"/>
        </w:rPr>
        <w:t xml:space="preserve">living modified organisms </w:t>
      </w:r>
      <w:r w:rsidRPr="005E3F95">
        <w:rPr>
          <w:rFonts w:ascii="Times New Roman" w:eastAsia="SimSun" w:hAnsi="Times New Roman"/>
          <w:lang w:eastAsia="hi-IN" w:bidi="hi-IN"/>
        </w:rPr>
        <w:t xml:space="preserve">are to be considered by the Subsidiary Body on Scientific, Technical and Technological Advice with a view to enabling the Subsidiary Body to prepare a recommendation for consideration by the Conference of the Parties serving as the meeting of the Parties to the Cartagena Protocol on Biosafety at its 10th meeting. At the time of writing, the meetings of the Subsidiary Body on Scientific, Technical and Technological Advice, the Subsidiary Body and the Conference of the Parties, were still to be held. </w:t>
      </w:r>
    </w:p>
    <w:p w14:paraId="1FBCA366" w14:textId="0E7F38B3" w:rsidR="008D396E" w:rsidRPr="008D396E" w:rsidRDefault="00800C4E" w:rsidP="006233F6">
      <w:pPr>
        <w:pStyle w:val="Heading5"/>
        <w:tabs>
          <w:tab w:val="clear" w:pos="1800"/>
        </w:tabs>
        <w:ind w:left="284" w:hanging="284"/>
      </w:pPr>
      <w:r w:rsidRPr="00BE5937">
        <w:rPr>
          <w:rFonts w:eastAsia="SimSun"/>
          <w:i w:val="0"/>
          <w:iCs/>
          <w:kern w:val="22"/>
          <w:lang w:val="en-GB" w:eastAsia="hi-IN" w:bidi="hi-IN"/>
        </w:rPr>
        <w:t>(b)</w:t>
      </w:r>
      <w:r>
        <w:rPr>
          <w:rFonts w:eastAsia="SimSun"/>
          <w:kern w:val="22"/>
          <w:lang w:val="en-GB" w:eastAsia="hi-IN" w:bidi="hi-IN"/>
        </w:rPr>
        <w:t xml:space="preserve"> </w:t>
      </w:r>
      <w:r w:rsidR="008D396E" w:rsidRPr="008D396E">
        <w:t>Advanced Informed Agreement provisions</w:t>
      </w:r>
      <w:r w:rsidR="002709D3">
        <w:t xml:space="preserve"> and related exemptions</w:t>
      </w:r>
      <w:r w:rsidR="00BA4D7C">
        <w:t>.</w:t>
      </w:r>
      <w:r w:rsidR="008D396E" w:rsidRPr="008D396E">
        <w:t xml:space="preserve"> </w:t>
      </w:r>
    </w:p>
    <w:p w14:paraId="037B011E" w14:textId="54A9F39C" w:rsidR="008B12F3" w:rsidRDefault="00381989">
      <w:pPr>
        <w:suppressAutoHyphens/>
        <w:spacing w:after="120" w:line="240" w:lineRule="auto"/>
        <w:jc w:val="both"/>
        <w:rPr>
          <w:rFonts w:ascii="Times New Roman" w:eastAsia="SimSun" w:hAnsi="Times New Roman"/>
          <w:bCs/>
          <w:kern w:val="22"/>
          <w:lang w:eastAsia="hi-IN" w:bidi="hi-IN"/>
        </w:rPr>
      </w:pPr>
      <w:r w:rsidRPr="00381989">
        <w:rPr>
          <w:rFonts w:ascii="Times New Roman" w:eastAsia="SimSun" w:hAnsi="Times New Roman"/>
          <w:bCs/>
          <w:kern w:val="22"/>
          <w:lang w:eastAsia="hi-IN" w:bidi="hi-IN"/>
        </w:rPr>
        <w:t xml:space="preserve">The </w:t>
      </w:r>
      <w:r w:rsidR="001B3C35">
        <w:rPr>
          <w:rFonts w:ascii="Times New Roman" w:eastAsia="SimSun" w:hAnsi="Times New Roman"/>
          <w:bCs/>
          <w:kern w:val="22"/>
          <w:lang w:eastAsia="hi-IN" w:bidi="hi-IN"/>
        </w:rPr>
        <w:t>AIA is the</w:t>
      </w:r>
      <w:r w:rsidRPr="00381989">
        <w:rPr>
          <w:rFonts w:ascii="Times New Roman" w:eastAsia="SimSun" w:hAnsi="Times New Roman"/>
          <w:bCs/>
          <w:kern w:val="22"/>
          <w:lang w:eastAsia="hi-IN" w:bidi="hi-IN"/>
        </w:rPr>
        <w:t xml:space="preserve"> central procedural mechanism set out in</w:t>
      </w:r>
      <w:r w:rsidR="00D4366B">
        <w:rPr>
          <w:rFonts w:ascii="Times New Roman" w:eastAsia="SimSun" w:hAnsi="Times New Roman"/>
          <w:bCs/>
          <w:kern w:val="22"/>
          <w:lang w:eastAsia="hi-IN" w:bidi="hi-IN"/>
        </w:rPr>
        <w:t xml:space="preserve"> </w:t>
      </w:r>
      <w:r w:rsidRPr="00381989">
        <w:rPr>
          <w:rFonts w:ascii="Times New Roman" w:eastAsia="SimSun" w:hAnsi="Times New Roman"/>
          <w:bCs/>
          <w:kern w:val="22"/>
          <w:lang w:eastAsia="hi-IN" w:bidi="hi-IN"/>
        </w:rPr>
        <w:t xml:space="preserve">the Protocol to regulate transboundary movement of LMOs. </w:t>
      </w:r>
      <w:r w:rsidR="008B12F3" w:rsidRPr="008B12F3">
        <w:rPr>
          <w:rFonts w:ascii="Times New Roman" w:eastAsia="SimSun" w:hAnsi="Times New Roman"/>
          <w:bCs/>
          <w:kern w:val="22"/>
          <w:lang w:eastAsia="hi-IN" w:bidi="hi-IN"/>
        </w:rPr>
        <w:t>The AIA procedure essentially requires that</w:t>
      </w:r>
      <w:r w:rsidR="008B12F3">
        <w:rPr>
          <w:rFonts w:ascii="Times New Roman" w:eastAsia="SimSun" w:hAnsi="Times New Roman"/>
          <w:bCs/>
          <w:kern w:val="22"/>
          <w:lang w:eastAsia="hi-IN" w:bidi="hi-IN"/>
        </w:rPr>
        <w:t xml:space="preserve"> </w:t>
      </w:r>
      <w:r w:rsidR="008B12F3" w:rsidRPr="008B12F3">
        <w:rPr>
          <w:rFonts w:ascii="Times New Roman" w:eastAsia="SimSun" w:hAnsi="Times New Roman"/>
          <w:bCs/>
          <w:kern w:val="22"/>
          <w:lang w:eastAsia="hi-IN" w:bidi="hi-IN"/>
        </w:rPr>
        <w:t>before the first transboundary movement of a</w:t>
      </w:r>
      <w:r w:rsidR="00B34F94">
        <w:rPr>
          <w:rFonts w:ascii="Times New Roman" w:eastAsia="SimSun" w:hAnsi="Times New Roman"/>
          <w:bCs/>
          <w:kern w:val="22"/>
          <w:lang w:eastAsia="hi-IN" w:bidi="hi-IN"/>
        </w:rPr>
        <w:t xml:space="preserve"> </w:t>
      </w:r>
      <w:r w:rsidR="008B12F3" w:rsidRPr="008B12F3">
        <w:rPr>
          <w:rFonts w:ascii="Times New Roman" w:eastAsia="SimSun" w:hAnsi="Times New Roman"/>
          <w:bCs/>
          <w:kern w:val="22"/>
          <w:lang w:eastAsia="hi-IN" w:bidi="hi-IN"/>
        </w:rPr>
        <w:t>LMO that is subject to the AIA procedure, the</w:t>
      </w:r>
      <w:r w:rsidR="00B34F94">
        <w:rPr>
          <w:rFonts w:ascii="Times New Roman" w:eastAsia="SimSun" w:hAnsi="Times New Roman"/>
          <w:bCs/>
          <w:kern w:val="22"/>
          <w:lang w:eastAsia="hi-IN" w:bidi="hi-IN"/>
        </w:rPr>
        <w:t xml:space="preserve"> </w:t>
      </w:r>
      <w:r w:rsidR="008B12F3" w:rsidRPr="008B12F3">
        <w:rPr>
          <w:rFonts w:ascii="Times New Roman" w:eastAsia="SimSun" w:hAnsi="Times New Roman"/>
          <w:bCs/>
          <w:kern w:val="22"/>
          <w:lang w:eastAsia="hi-IN" w:bidi="hi-IN"/>
        </w:rPr>
        <w:t>Party of import is notified of the proposed</w:t>
      </w:r>
      <w:r w:rsidR="00B34F94">
        <w:rPr>
          <w:rFonts w:ascii="Times New Roman" w:eastAsia="SimSun" w:hAnsi="Times New Roman"/>
          <w:bCs/>
          <w:kern w:val="22"/>
          <w:lang w:eastAsia="hi-IN" w:bidi="hi-IN"/>
        </w:rPr>
        <w:t xml:space="preserve"> </w:t>
      </w:r>
      <w:r w:rsidR="008B12F3" w:rsidRPr="008B12F3">
        <w:rPr>
          <w:rFonts w:ascii="Times New Roman" w:eastAsia="SimSun" w:hAnsi="Times New Roman"/>
          <w:bCs/>
          <w:kern w:val="22"/>
          <w:lang w:eastAsia="hi-IN" w:bidi="hi-IN"/>
        </w:rPr>
        <w:t>transboundary movement and is given an opportunity to decide whether or not the import</w:t>
      </w:r>
      <w:r w:rsidR="00B34F94">
        <w:rPr>
          <w:rFonts w:ascii="Times New Roman" w:eastAsia="SimSun" w:hAnsi="Times New Roman"/>
          <w:bCs/>
          <w:kern w:val="22"/>
          <w:lang w:eastAsia="hi-IN" w:bidi="hi-IN"/>
        </w:rPr>
        <w:t xml:space="preserve"> </w:t>
      </w:r>
      <w:r w:rsidR="008B12F3" w:rsidRPr="008B12F3">
        <w:rPr>
          <w:rFonts w:ascii="Times New Roman" w:eastAsia="SimSun" w:hAnsi="Times New Roman"/>
          <w:bCs/>
          <w:kern w:val="22"/>
          <w:lang w:eastAsia="hi-IN" w:bidi="hi-IN"/>
        </w:rPr>
        <w:t>shall be allowed and upon what conditions.</w:t>
      </w:r>
      <w:r w:rsidR="00B34F94">
        <w:rPr>
          <w:rFonts w:ascii="Times New Roman" w:eastAsia="SimSun" w:hAnsi="Times New Roman"/>
          <w:bCs/>
          <w:kern w:val="22"/>
          <w:lang w:eastAsia="hi-IN" w:bidi="hi-IN"/>
        </w:rPr>
        <w:t xml:space="preserve"> </w:t>
      </w:r>
      <w:r w:rsidR="008B12F3" w:rsidRPr="008B12F3">
        <w:rPr>
          <w:rFonts w:ascii="Times New Roman" w:eastAsia="SimSun" w:hAnsi="Times New Roman"/>
          <w:bCs/>
          <w:kern w:val="22"/>
          <w:lang w:eastAsia="hi-IN" w:bidi="hi-IN"/>
        </w:rPr>
        <w:t>This decision must be based upon a risk</w:t>
      </w:r>
      <w:r w:rsidR="00B34F94">
        <w:rPr>
          <w:rFonts w:ascii="Times New Roman" w:eastAsia="SimSun" w:hAnsi="Times New Roman"/>
          <w:bCs/>
          <w:kern w:val="22"/>
          <w:lang w:eastAsia="hi-IN" w:bidi="hi-IN"/>
        </w:rPr>
        <w:t xml:space="preserve"> </w:t>
      </w:r>
      <w:r w:rsidR="008B12F3" w:rsidRPr="008B12F3">
        <w:rPr>
          <w:rFonts w:ascii="Times New Roman" w:eastAsia="SimSun" w:hAnsi="Times New Roman"/>
          <w:bCs/>
          <w:kern w:val="22"/>
          <w:lang w:eastAsia="hi-IN" w:bidi="hi-IN"/>
        </w:rPr>
        <w:t>assessment</w:t>
      </w:r>
      <w:r w:rsidR="00795703">
        <w:rPr>
          <w:rFonts w:ascii="Times New Roman" w:eastAsia="SimSun" w:hAnsi="Times New Roman"/>
          <w:bCs/>
          <w:kern w:val="22"/>
          <w:lang w:eastAsia="hi-IN" w:bidi="hi-IN"/>
        </w:rPr>
        <w:t>.</w:t>
      </w:r>
    </w:p>
    <w:p w14:paraId="22D53136" w14:textId="29D6E735" w:rsidR="008D396E" w:rsidRPr="008D396E" w:rsidRDefault="00381989" w:rsidP="00620521">
      <w:pPr>
        <w:suppressAutoHyphens/>
        <w:spacing w:after="120" w:line="240" w:lineRule="auto"/>
        <w:jc w:val="both"/>
        <w:rPr>
          <w:rFonts w:ascii="Times New Roman" w:eastAsia="SimSun" w:hAnsi="Times New Roman"/>
          <w:bCs/>
          <w:kern w:val="22"/>
          <w:lang w:eastAsia="hi-IN" w:bidi="hi-IN"/>
        </w:rPr>
      </w:pPr>
      <w:r w:rsidRPr="00381989">
        <w:rPr>
          <w:rFonts w:ascii="Times New Roman" w:eastAsia="SimSun" w:hAnsi="Times New Roman"/>
          <w:bCs/>
          <w:kern w:val="22"/>
          <w:lang w:eastAsia="hi-IN" w:bidi="hi-IN"/>
        </w:rPr>
        <w:t>Article 7 establishes the</w:t>
      </w:r>
      <w:r w:rsidR="00816DED">
        <w:rPr>
          <w:rFonts w:ascii="Times New Roman" w:eastAsia="SimSun" w:hAnsi="Times New Roman"/>
          <w:bCs/>
          <w:kern w:val="22"/>
          <w:lang w:eastAsia="hi-IN" w:bidi="hi-IN"/>
        </w:rPr>
        <w:t xml:space="preserve"> </w:t>
      </w:r>
      <w:r w:rsidRPr="00381989">
        <w:rPr>
          <w:rFonts w:ascii="Times New Roman" w:eastAsia="SimSun" w:hAnsi="Times New Roman"/>
          <w:bCs/>
          <w:kern w:val="22"/>
          <w:lang w:eastAsia="hi-IN" w:bidi="hi-IN"/>
        </w:rPr>
        <w:t>scope of the application of the AIA procedure –</w:t>
      </w:r>
      <w:r w:rsidR="00816DED">
        <w:rPr>
          <w:rFonts w:ascii="Times New Roman" w:eastAsia="SimSun" w:hAnsi="Times New Roman"/>
          <w:bCs/>
          <w:kern w:val="22"/>
          <w:lang w:eastAsia="hi-IN" w:bidi="hi-IN"/>
        </w:rPr>
        <w:t xml:space="preserve"> </w:t>
      </w:r>
      <w:r w:rsidRPr="00381989">
        <w:rPr>
          <w:rFonts w:ascii="Times New Roman" w:eastAsia="SimSun" w:hAnsi="Times New Roman"/>
          <w:bCs/>
          <w:kern w:val="22"/>
          <w:lang w:eastAsia="hi-IN" w:bidi="hi-IN"/>
        </w:rPr>
        <w:t>i.e. to which transboundary movements the</w:t>
      </w:r>
      <w:r w:rsidR="00816DED">
        <w:rPr>
          <w:rFonts w:ascii="Times New Roman" w:eastAsia="SimSun" w:hAnsi="Times New Roman"/>
          <w:bCs/>
          <w:kern w:val="22"/>
          <w:lang w:eastAsia="hi-IN" w:bidi="hi-IN"/>
        </w:rPr>
        <w:t xml:space="preserve"> </w:t>
      </w:r>
      <w:r w:rsidRPr="00381989">
        <w:rPr>
          <w:rFonts w:ascii="Times New Roman" w:eastAsia="SimSun" w:hAnsi="Times New Roman"/>
          <w:bCs/>
          <w:kern w:val="22"/>
          <w:lang w:eastAsia="hi-IN" w:bidi="hi-IN"/>
        </w:rPr>
        <w:t>procedure applies</w:t>
      </w:r>
      <w:r w:rsidR="004D68A0">
        <w:rPr>
          <w:rFonts w:ascii="Times New Roman" w:eastAsia="SimSun" w:hAnsi="Times New Roman"/>
          <w:bCs/>
          <w:kern w:val="22"/>
          <w:lang w:eastAsia="hi-IN" w:bidi="hi-IN"/>
        </w:rPr>
        <w:t xml:space="preserve"> and t</w:t>
      </w:r>
      <w:r w:rsidRPr="00381989">
        <w:rPr>
          <w:rFonts w:ascii="Times New Roman" w:eastAsia="SimSun" w:hAnsi="Times New Roman"/>
          <w:bCs/>
          <w:kern w:val="22"/>
          <w:lang w:eastAsia="hi-IN" w:bidi="hi-IN"/>
        </w:rPr>
        <w:t>he AIA procedure itself is</w:t>
      </w:r>
      <w:r w:rsidR="00816DED">
        <w:rPr>
          <w:rFonts w:ascii="Times New Roman" w:eastAsia="SimSun" w:hAnsi="Times New Roman"/>
          <w:bCs/>
          <w:kern w:val="22"/>
          <w:lang w:eastAsia="hi-IN" w:bidi="hi-IN"/>
        </w:rPr>
        <w:t xml:space="preserve"> </w:t>
      </w:r>
      <w:r w:rsidRPr="00381989">
        <w:rPr>
          <w:rFonts w:ascii="Times New Roman" w:eastAsia="SimSun" w:hAnsi="Times New Roman"/>
          <w:bCs/>
          <w:kern w:val="22"/>
          <w:lang w:eastAsia="hi-IN" w:bidi="hi-IN"/>
        </w:rPr>
        <w:t>then set out in Article 8, 9, 10 and 12</w:t>
      </w:r>
      <w:r w:rsidR="004D68A0">
        <w:rPr>
          <w:rFonts w:ascii="Times New Roman" w:eastAsia="SimSun" w:hAnsi="Times New Roman"/>
          <w:bCs/>
          <w:kern w:val="22"/>
          <w:lang w:eastAsia="hi-IN" w:bidi="hi-IN"/>
        </w:rPr>
        <w:t xml:space="preserve">. </w:t>
      </w:r>
      <w:r w:rsidR="008D396E" w:rsidRPr="008D396E">
        <w:rPr>
          <w:rFonts w:ascii="Times New Roman" w:eastAsia="SimSun" w:hAnsi="Times New Roman"/>
          <w:bCs/>
          <w:kern w:val="22"/>
          <w:lang w:eastAsia="hi-IN" w:bidi="hi-IN"/>
        </w:rPr>
        <w:t>There are limited exemptions to the requirements of the Advance Informed Agreement procedure, as follows:</w:t>
      </w:r>
    </w:p>
    <w:p w14:paraId="67CD9E16" w14:textId="4854967C" w:rsidR="008D396E" w:rsidRPr="00F365D3" w:rsidRDefault="008D396E" w:rsidP="00F365D3">
      <w:pPr>
        <w:pStyle w:val="ListParagraph"/>
        <w:numPr>
          <w:ilvl w:val="1"/>
          <w:numId w:val="217"/>
        </w:numPr>
        <w:tabs>
          <w:tab w:val="clear" w:pos="1440"/>
        </w:tabs>
        <w:spacing w:after="120" w:line="240" w:lineRule="auto"/>
        <w:ind w:left="284" w:hanging="284"/>
        <w:contextualSpacing w:val="0"/>
        <w:rPr>
          <w:rFonts w:ascii="Times New Roman" w:hAnsi="Times New Roman"/>
          <w:u w:val="single"/>
        </w:rPr>
      </w:pPr>
      <w:r w:rsidRPr="00F365D3">
        <w:rPr>
          <w:rFonts w:ascii="Times New Roman" w:hAnsi="Times New Roman"/>
          <w:u w:val="single"/>
        </w:rPr>
        <w:t>“Contained use” (Article 6)</w:t>
      </w:r>
      <w:r w:rsidR="00BA4D7C" w:rsidRPr="00F365D3">
        <w:rPr>
          <w:rFonts w:ascii="Times New Roman" w:hAnsi="Times New Roman"/>
          <w:u w:val="single"/>
        </w:rPr>
        <w:t>.</w:t>
      </w:r>
    </w:p>
    <w:p w14:paraId="5636980B" w14:textId="048E842B" w:rsidR="008D396E" w:rsidRPr="008D396E" w:rsidRDefault="008D396E" w:rsidP="00023AC8">
      <w:pPr>
        <w:suppressAutoHyphens/>
        <w:spacing w:after="120" w:line="240" w:lineRule="auto"/>
        <w:ind w:left="284"/>
        <w:jc w:val="both"/>
        <w:rPr>
          <w:rFonts w:ascii="Times New Roman" w:eastAsia="SimSun" w:hAnsi="Times New Roman"/>
          <w:kern w:val="22"/>
          <w:lang w:eastAsia="hi-IN" w:bidi="hi-IN"/>
        </w:rPr>
      </w:pPr>
      <w:r w:rsidRPr="008D396E">
        <w:rPr>
          <w:rFonts w:ascii="Times New Roman" w:eastAsia="SimSun" w:hAnsi="Times New Roman"/>
          <w:lang w:eastAsia="hi-IN" w:bidi="hi-IN"/>
        </w:rPr>
        <w:t>Under the Cartagena Protocol, provisions for Advanced Informed Agreement (AIA) do not apply to the transboundary movement of LMOs “destined for contained use undertaken in accordance with the standards of the Party of import” (Article 6, paragraph 2; Cartagena Protocol)</w:t>
      </w:r>
      <w:r w:rsidRPr="008D396E">
        <w:rPr>
          <w:rFonts w:ascii="Times New Roman" w:eastAsia="SimSun" w:hAnsi="Times New Roman"/>
          <w:kern w:val="22"/>
          <w:vertAlign w:val="superscript"/>
          <w:lang w:eastAsia="hi-IN" w:bidi="hi-IN"/>
        </w:rPr>
        <w:footnoteReference w:id="49"/>
      </w:r>
      <w:r w:rsidRPr="008D396E">
        <w:rPr>
          <w:rFonts w:ascii="Times New Roman" w:eastAsia="SimSun" w:hAnsi="Times New Roman"/>
          <w:lang w:eastAsia="hi-IN" w:bidi="hi-IN"/>
        </w:rPr>
        <w:t xml:space="preserve">. Contained use is defined as an operation, “undertaken within a facility, installation or other physical structure,” in which the LMOs’ contact with and impact on the external environment is “effectively limit(ed)” by “specific measures” (Article 3(b); Cartagena Protocol). Negotiations on this topic concentrated on whether chemical or biological barriers could be considered as sufficient containment, or whether physical containment was necessary </w:t>
      </w:r>
      <w:r w:rsidR="00FB1336">
        <w:rPr>
          <w:rFonts w:ascii="Times New Roman" w:eastAsia="SimSun" w:hAnsi="Times New Roman"/>
          <w:lang w:eastAsia="hi-IN" w:bidi="hi-IN"/>
        </w:rPr>
        <w:fldChar w:fldCharType="begin" w:fldLock="1"/>
      </w:r>
      <w:r w:rsidR="00FB1336">
        <w:rPr>
          <w:rFonts w:ascii="Times New Roman" w:eastAsia="SimSun" w:hAnsi="Times New Roman"/>
          <w:lang w:eastAsia="hi-IN" w:bidi="hi-IN"/>
        </w:rPr>
        <w:instrText>ADDIN CSL_CITATION {"citationItems":[{"id":"ITEM-1","itemData":{"author":[{"dropping-particle":"","family":"Meer","given":"Piet","non-dropping-particle":"van der","parse-names":false,"suffix":""}],"container-title":"The Cartagena Protocol on Biosafety: Reconciling Trade in Biotechnology with Environment and Development?","editor":[{"dropping-particle":"","family":"Bail","given":"Christoph","non-dropping-particle":"","parse-names":false,"suffix":""},{"dropping-particle":"","family":"Falkner","given":"Robert","non-dropping-particle":"","parse-names":false,"suffix":""},{"dropping-particle":"","family":"Marquard","given":"Helen","non-dropping-particle":"","parse-names":false,"suffix":""}],"id":"ITEM-1","issued":{"date-parts":[["2002"]]},"page":"281-288","publisher":"Earthscan Publications","publisher-place":"London, UK","title":"Definitions","type":"chapter"},"uris":["http://www.mendeley.com/documents/?uuid=828baa3f-d3e3-48f4-a60b-d8aaaf56160c"]},{"id":"ITEM-2","itemData":{"author":[{"dropping-particle":"","family":"Ascencio","given":"Alfonso","non-dropping-particle":"","parse-names":false,"suffix":""},{"dropping-particle":"","family":"Burhenne-Guilmin","given":"Françoise","non-dropping-particle":"","parse-names":false,"suffix":""},{"dropping-particle":"","family":"Kinderlerer","given":"Julian","non-dropping-particle":"","parse-names":false,"suffix":""},{"dropping-particle":"","family":"Kummer","given":"Katharina","non-dropping-particle":"","parse-names":false,"suffix":""},{"dropping-particle":"","family":"Viña","given":"Antonio","non-dropping-particle":"La","parse-names":false,"suffix":""},{"dropping-particle":"","family":"Mackenzie","given":"Ruth","non-dropping-particle":"","parse-names":false,"suffix":""},{"dropping-particle":"","family":"Tapper","given":"Richard","non-dropping-particle":"","parse-names":false,"suffix":""},{"dropping-particle":"","family":"Werksman","given":"Jacob D","non-dropping-particle":"","parse-names":false,"suffix":""}],"collection-title":"36690","id":"ITEM-2","issued":{"date-parts":[["2003"]]},"title":"An explanatory guide to the Cartagena protocol on biosafety","type":"report"},"uris":["http://www.mendeley.com/documents/?uuid=d3065aa0-5fb9-4656-adb1-6dd0a81a87e1"]}],"mendeley":{"formattedCitation":"(Ascencio et al., 2003; van der Meer, 2002)","plainTextFormattedCitation":"(Ascencio et al., 2003; van der Meer, 2002)","previouslyFormattedCitation":"(Ascencio et al., 2003; van der Meer, 2002)"},"properties":{"noteIndex":0},"schema":"https://github.com/citation-style-language/schema/raw/master/csl-citation.json"}</w:instrText>
      </w:r>
      <w:r w:rsidR="00FB1336">
        <w:rPr>
          <w:rFonts w:ascii="Times New Roman" w:eastAsia="SimSun" w:hAnsi="Times New Roman"/>
          <w:lang w:eastAsia="hi-IN" w:bidi="hi-IN"/>
        </w:rPr>
        <w:fldChar w:fldCharType="separate"/>
      </w:r>
      <w:r w:rsidR="00FB1336" w:rsidRPr="00FB1336">
        <w:rPr>
          <w:rFonts w:ascii="Times New Roman" w:eastAsia="SimSun" w:hAnsi="Times New Roman"/>
          <w:noProof/>
          <w:lang w:eastAsia="hi-IN" w:bidi="hi-IN"/>
        </w:rPr>
        <w:t>(Ascencio et al., 2003; van der Meer, 2002)</w:t>
      </w:r>
      <w:r w:rsidR="00FB1336">
        <w:rPr>
          <w:rFonts w:ascii="Times New Roman" w:eastAsia="SimSun" w:hAnsi="Times New Roman"/>
          <w:lang w:eastAsia="hi-IN" w:bidi="hi-IN"/>
        </w:rPr>
        <w:fldChar w:fldCharType="end"/>
      </w:r>
      <w:r w:rsidRPr="008D396E">
        <w:rPr>
          <w:rFonts w:ascii="Times New Roman" w:eastAsia="SimSun" w:hAnsi="Times New Roman"/>
          <w:lang w:eastAsia="hi-IN" w:bidi="hi-IN"/>
        </w:rPr>
        <w:t xml:space="preserve">. Ultimately, the text focuses on the </w:t>
      </w:r>
      <w:r w:rsidRPr="05AB8D9A">
        <w:rPr>
          <w:rFonts w:ascii="Times New Roman" w:eastAsia="SimSun" w:hAnsi="Times New Roman"/>
          <w:i/>
          <w:iCs/>
          <w:lang w:eastAsia="hi-IN" w:bidi="hi-IN"/>
        </w:rPr>
        <w:t>effectiveness</w:t>
      </w:r>
      <w:r w:rsidRPr="008D396E">
        <w:rPr>
          <w:rFonts w:ascii="Times New Roman" w:eastAsia="SimSun" w:hAnsi="Times New Roman"/>
          <w:lang w:eastAsia="hi-IN" w:bidi="hi-IN"/>
        </w:rPr>
        <w:t xml:space="preserve"> of containment measures, rather than the type of measure. The question of degree and quality of effectiveness is also left up to the Party to determine </w:t>
      </w:r>
      <w:r w:rsidR="00C93DD2">
        <w:rPr>
          <w:rFonts w:ascii="Times New Roman" w:eastAsia="SimSun" w:hAnsi="Times New Roman"/>
          <w:lang w:eastAsia="hi-IN" w:bidi="hi-IN"/>
        </w:rPr>
        <w:fldChar w:fldCharType="begin" w:fldLock="1"/>
      </w:r>
      <w:r w:rsidR="00FB1336">
        <w:rPr>
          <w:rFonts w:ascii="Times New Roman" w:eastAsia="SimSun" w:hAnsi="Times New Roman"/>
          <w:lang w:eastAsia="hi-IN" w:bidi="hi-IN"/>
        </w:rPr>
        <w:instrText>ADDIN CSL_CITATION {"citationItems":[{"id":"ITEM-1","itemData":{"author":[{"dropping-particle":"","family":"Ascencio","given":"Alfonso","non-dropping-particle":"","parse-names":false,"suffix":""},{"dropping-particle":"","family":"Burhenne-Guilmin","given":"Françoise","non-dropping-particle":"","parse-names":false,"suffix":""},{"dropping-particle":"","family":"Kinderlerer","given":"Julian","non-dropping-particle":"","parse-names":false,"suffix":""},{"dropping-particle":"","family":"Kummer","given":"Katharina","non-dropping-particle":"","parse-names":false,"suffix":""},{"dropping-particle":"","family":"Viña","given":"Antonio","non-dropping-particle":"La","parse-names":false,"suffix":""},{"dropping-particle":"","family":"Mackenzie","given":"Ruth","non-dropping-particle":"","parse-names":false,"suffix":""},{"dropping-particle":"","family":"Tapper","given":"Richard","non-dropping-particle":"","parse-names":false,"suffix":""},{"dropping-particle":"","family":"Werksman","given":"Jacob D","non-dropping-particle":"","parse-names":false,"suffix":""}],"collection-title":"36690","id":"ITEM-1","issued":{"date-parts":[["2003"]]},"title":"An explanatory guide to the Cartagena protocol on biosafety","type":"report"},"uris":["http://www.mendeley.com/documents/?uuid=d3065aa0-5fb9-4656-adb1-6dd0a81a87e1"]}],"mendeley":{"formattedCitation":"(Ascencio et al., 2003)","plainTextFormattedCitation":"(Ascencio et al., 2003)","previouslyFormattedCitation":"(Ascencio et al., 2003)"},"properties":{"noteIndex":0},"schema":"https://github.com/citation-style-language/schema/raw/master/csl-citation.json"}</w:instrText>
      </w:r>
      <w:r w:rsidR="00C93DD2">
        <w:rPr>
          <w:rFonts w:ascii="Times New Roman" w:eastAsia="SimSun" w:hAnsi="Times New Roman"/>
          <w:lang w:eastAsia="hi-IN" w:bidi="hi-IN"/>
        </w:rPr>
        <w:fldChar w:fldCharType="separate"/>
      </w:r>
      <w:r w:rsidR="00C93DD2" w:rsidRPr="00C93DD2">
        <w:rPr>
          <w:rFonts w:ascii="Times New Roman" w:eastAsia="SimSun" w:hAnsi="Times New Roman"/>
          <w:noProof/>
          <w:lang w:eastAsia="hi-IN" w:bidi="hi-IN"/>
        </w:rPr>
        <w:t>(Ascencio et al., 2003)</w:t>
      </w:r>
      <w:r w:rsidR="00C93DD2">
        <w:rPr>
          <w:rFonts w:ascii="Times New Roman" w:eastAsia="SimSun" w:hAnsi="Times New Roman"/>
          <w:lang w:eastAsia="hi-IN" w:bidi="hi-IN"/>
        </w:rPr>
        <w:fldChar w:fldCharType="end"/>
      </w:r>
      <w:r w:rsidRPr="008D396E">
        <w:rPr>
          <w:rFonts w:ascii="Times New Roman" w:eastAsia="SimSun" w:hAnsi="Times New Roman"/>
          <w:lang w:eastAsia="hi-IN" w:bidi="hi-IN"/>
        </w:rPr>
        <w:t xml:space="preserve">. </w:t>
      </w:r>
      <w:r w:rsidR="3ED22864" w:rsidRPr="008D396E">
        <w:rPr>
          <w:rFonts w:ascii="Times New Roman" w:eastAsia="SimSun" w:hAnsi="Times New Roman"/>
          <w:lang w:eastAsia="hi-IN" w:bidi="hi-IN"/>
        </w:rPr>
        <w:t>In decision CP-9/12, the MOP reminded Parties that i</w:t>
      </w:r>
      <w:r w:rsidR="3ED22864" w:rsidRPr="54153909">
        <w:rPr>
          <w:rFonts w:ascii="Times New Roman" w:eastAsia="SimSun" w:hAnsi="Times New Roman"/>
          <w:lang w:eastAsia="hi-IN" w:bidi="hi-IN"/>
        </w:rPr>
        <w:t>ntentional introduction into the environment can include introduction both for experimental or for commercial purposes</w:t>
      </w:r>
      <w:r w:rsidR="71E94CBB" w:rsidRPr="54153909">
        <w:rPr>
          <w:rFonts w:ascii="Times New Roman" w:eastAsia="SimSun" w:hAnsi="Times New Roman"/>
          <w:lang w:eastAsia="hi-IN" w:bidi="hi-IN"/>
        </w:rPr>
        <w:t>, and that a field trial, confined field trial or experimental introduction is to be regarded as intentional introduction into the environment when the conditions specified in Article 3, paragraph b, of the Protocol are not met.</w:t>
      </w:r>
    </w:p>
    <w:p w14:paraId="0773C6F9" w14:textId="4CF8C2A6" w:rsidR="008D396E" w:rsidRPr="008D396E" w:rsidRDefault="008D396E" w:rsidP="00023AC8">
      <w:pPr>
        <w:suppressAutoHyphens/>
        <w:spacing w:after="120" w:line="240" w:lineRule="auto"/>
        <w:ind w:left="284"/>
        <w:jc w:val="both"/>
        <w:rPr>
          <w:rFonts w:ascii="Times New Roman" w:eastAsia="SimSun" w:hAnsi="Times New Roman"/>
          <w:kern w:val="22"/>
          <w:lang w:eastAsia="hi-IN" w:bidi="hi-IN"/>
        </w:rPr>
      </w:pPr>
      <w:r w:rsidRPr="008D396E">
        <w:rPr>
          <w:rFonts w:ascii="Times New Roman" w:eastAsia="SimSun" w:hAnsi="Times New Roman"/>
          <w:lang w:eastAsia="hi-IN" w:bidi="hi-IN"/>
        </w:rPr>
        <w:t xml:space="preserve">At least three issues have been raised by some civil society groups in relation to synthetic biology and the “contained use” AIA exemption. First, the </w:t>
      </w:r>
      <w:r w:rsidRPr="008A4581">
        <w:rPr>
          <w:rFonts w:ascii="Times New Roman" w:eastAsia="SimSun" w:hAnsi="Times New Roman"/>
          <w:lang w:eastAsia="hi-IN" w:bidi="hi-IN"/>
        </w:rPr>
        <w:t>I</w:t>
      </w:r>
      <w:r w:rsidR="00F07FC1" w:rsidRPr="007E50C2">
        <w:rPr>
          <w:rFonts w:ascii="Times New Roman" w:eastAsia="SimSun" w:hAnsi="Times New Roman"/>
          <w:lang w:eastAsia="hi-IN" w:bidi="hi-IN"/>
        </w:rPr>
        <w:t xml:space="preserve">nternational </w:t>
      </w:r>
      <w:r w:rsidRPr="008A4581">
        <w:rPr>
          <w:rFonts w:ascii="Times New Roman" w:eastAsia="SimSun" w:hAnsi="Times New Roman"/>
          <w:lang w:eastAsia="hi-IN" w:bidi="hi-IN"/>
        </w:rPr>
        <w:t>C</w:t>
      </w:r>
      <w:r w:rsidR="00F07FC1" w:rsidRPr="007E50C2">
        <w:rPr>
          <w:rFonts w:ascii="Times New Roman" w:eastAsia="SimSun" w:hAnsi="Times New Roman"/>
          <w:lang w:eastAsia="hi-IN" w:bidi="hi-IN"/>
        </w:rPr>
        <w:t xml:space="preserve">ivil </w:t>
      </w:r>
      <w:r w:rsidRPr="008A4581">
        <w:rPr>
          <w:rFonts w:ascii="Times New Roman" w:eastAsia="SimSun" w:hAnsi="Times New Roman"/>
          <w:lang w:eastAsia="hi-IN" w:bidi="hi-IN"/>
        </w:rPr>
        <w:t>S</w:t>
      </w:r>
      <w:r w:rsidR="00F07FC1" w:rsidRPr="007E50C2">
        <w:rPr>
          <w:rFonts w:ascii="Times New Roman" w:eastAsia="SimSun" w:hAnsi="Times New Roman"/>
          <w:lang w:eastAsia="hi-IN" w:bidi="hi-IN"/>
        </w:rPr>
        <w:t xml:space="preserve">ociety </w:t>
      </w:r>
      <w:r w:rsidRPr="008A4581">
        <w:rPr>
          <w:rFonts w:ascii="Times New Roman" w:eastAsia="SimSun" w:hAnsi="Times New Roman"/>
          <w:lang w:eastAsia="hi-IN" w:bidi="hi-IN"/>
        </w:rPr>
        <w:t>W</w:t>
      </w:r>
      <w:r w:rsidR="00F07FC1" w:rsidRPr="007E50C2">
        <w:rPr>
          <w:rFonts w:ascii="Times New Roman" w:eastAsia="SimSun" w:hAnsi="Times New Roman"/>
          <w:lang w:eastAsia="hi-IN" w:bidi="hi-IN"/>
        </w:rPr>
        <w:t xml:space="preserve">orking </w:t>
      </w:r>
      <w:r w:rsidRPr="008A4581">
        <w:rPr>
          <w:rFonts w:ascii="Times New Roman" w:eastAsia="SimSun" w:hAnsi="Times New Roman"/>
          <w:lang w:eastAsia="hi-IN" w:bidi="hi-IN"/>
        </w:rPr>
        <w:t>G</w:t>
      </w:r>
      <w:r w:rsidR="00F07FC1" w:rsidRPr="007E50C2">
        <w:rPr>
          <w:rFonts w:ascii="Times New Roman" w:eastAsia="SimSun" w:hAnsi="Times New Roman"/>
          <w:lang w:eastAsia="hi-IN" w:bidi="hi-IN"/>
        </w:rPr>
        <w:t xml:space="preserve">roup on </w:t>
      </w:r>
      <w:r w:rsidRPr="008A4581">
        <w:rPr>
          <w:rFonts w:ascii="Times New Roman" w:eastAsia="SimSun" w:hAnsi="Times New Roman"/>
          <w:lang w:eastAsia="hi-IN" w:bidi="hi-IN"/>
        </w:rPr>
        <w:t>S</w:t>
      </w:r>
      <w:r w:rsidR="00F07FC1" w:rsidRPr="007E50C2">
        <w:rPr>
          <w:rFonts w:ascii="Times New Roman" w:eastAsia="SimSun" w:hAnsi="Times New Roman"/>
          <w:lang w:eastAsia="hi-IN" w:bidi="hi-IN"/>
        </w:rPr>
        <w:t xml:space="preserve">ynthetic </w:t>
      </w:r>
      <w:r w:rsidRPr="008A4581">
        <w:rPr>
          <w:rFonts w:ascii="Times New Roman" w:eastAsia="SimSun" w:hAnsi="Times New Roman"/>
          <w:lang w:eastAsia="hi-IN" w:bidi="hi-IN"/>
        </w:rPr>
        <w:t>B</w:t>
      </w:r>
      <w:r w:rsidR="00F07FC1">
        <w:rPr>
          <w:rFonts w:ascii="Times New Roman" w:eastAsia="SimSun" w:hAnsi="Times New Roman"/>
          <w:lang w:eastAsia="hi-IN" w:bidi="hi-IN"/>
        </w:rPr>
        <w:t>iology</w:t>
      </w:r>
      <w:r w:rsidRPr="008D396E">
        <w:rPr>
          <w:rFonts w:ascii="Times New Roman" w:eastAsia="SimSun" w:hAnsi="Times New Roman"/>
          <w:lang w:eastAsia="hi-IN" w:bidi="hi-IN"/>
        </w:rPr>
        <w:t xml:space="preserve"> (</w:t>
      </w:r>
      <w:r w:rsidR="00A665DA" w:rsidRPr="05AB8D9A">
        <w:rPr>
          <w:rFonts w:ascii="Times New Roman" w:hAnsi="Times New Roman"/>
        </w:rPr>
        <w:t>ICSWGSB)</w:t>
      </w:r>
      <w:r w:rsidRPr="008D396E">
        <w:rPr>
          <w:rFonts w:ascii="Times New Roman" w:eastAsia="SimSun" w:hAnsi="Times New Roman"/>
          <w:lang w:eastAsia="hi-IN" w:bidi="hi-IN"/>
        </w:rPr>
        <w:t xml:space="preserve"> (2011) argues that containment facilities that Parties consider to effectively contain LMOs may be unsuitable to contain organisms resulting from synthetic biology techniques</w:t>
      </w:r>
      <w:r w:rsidRPr="008D396E">
        <w:rPr>
          <w:rFonts w:ascii="Times New Roman" w:eastAsia="SimSun" w:hAnsi="Times New Roman"/>
          <w:kern w:val="22"/>
          <w:vertAlign w:val="superscript"/>
          <w:lang w:eastAsia="hi-IN" w:bidi="hi-IN"/>
        </w:rPr>
        <w:footnoteReference w:id="50"/>
      </w:r>
      <w:r w:rsidRPr="008D396E">
        <w:rPr>
          <w:rFonts w:ascii="Times New Roman" w:eastAsia="SimSun" w:hAnsi="Times New Roman"/>
          <w:lang w:eastAsia="hi-IN" w:bidi="hi-IN"/>
        </w:rPr>
        <w:t>. Importing countries may need advance information in order to “judge the effectiveness of available containment” (</w:t>
      </w:r>
      <w:r w:rsidRPr="05AB8D9A">
        <w:rPr>
          <w:rFonts w:ascii="Times New Roman" w:eastAsia="SimSun" w:hAnsi="Times New Roman"/>
          <w:i/>
          <w:iCs/>
          <w:lang w:eastAsia="hi-IN" w:bidi="hi-IN"/>
        </w:rPr>
        <w:t>Ibid</w:t>
      </w:r>
      <w:r w:rsidRPr="008D396E">
        <w:rPr>
          <w:rFonts w:ascii="Times New Roman" w:eastAsia="SimSun" w:hAnsi="Times New Roman"/>
          <w:lang w:eastAsia="hi-IN" w:bidi="hi-IN"/>
        </w:rPr>
        <w:t>).</w:t>
      </w:r>
      <w:r w:rsidR="002B580D">
        <w:rPr>
          <w:rFonts w:ascii="Times New Roman" w:eastAsia="SimSun" w:hAnsi="Times New Roman"/>
          <w:lang w:eastAsia="hi-IN" w:bidi="hi-IN"/>
        </w:rPr>
        <w:t xml:space="preserve"> </w:t>
      </w:r>
      <w:r w:rsidR="00D27D4C">
        <w:rPr>
          <w:rFonts w:ascii="Times New Roman" w:eastAsia="SimSun" w:hAnsi="Times New Roman"/>
          <w:lang w:eastAsia="hi-IN" w:bidi="hi-IN"/>
        </w:rPr>
        <w:t>See also Section 8.2.3(e)</w:t>
      </w:r>
      <w:r w:rsidR="00F365D3">
        <w:rPr>
          <w:rFonts w:ascii="Times New Roman" w:eastAsia="SimSun" w:hAnsi="Times New Roman"/>
          <w:lang w:eastAsia="hi-IN" w:bidi="hi-IN"/>
        </w:rPr>
        <w:t>.</w:t>
      </w:r>
      <w:r w:rsidR="00D27D4C">
        <w:rPr>
          <w:rFonts w:ascii="Times New Roman" w:eastAsia="SimSun" w:hAnsi="Times New Roman"/>
          <w:lang w:eastAsia="hi-IN" w:bidi="hi-IN"/>
        </w:rPr>
        <w:t xml:space="preserve"> concerning handling transport, packaging and identification requirements applicable to contained use.</w:t>
      </w:r>
    </w:p>
    <w:p w14:paraId="7FA50449" w14:textId="20465EE2" w:rsidR="008D396E" w:rsidRDefault="008D396E" w:rsidP="00023AC8">
      <w:pPr>
        <w:suppressAutoHyphens/>
        <w:spacing w:after="120" w:line="240" w:lineRule="auto"/>
        <w:ind w:left="284"/>
        <w:jc w:val="both"/>
        <w:rPr>
          <w:rFonts w:ascii="Times New Roman" w:eastAsia="SimSun" w:hAnsi="Times New Roman"/>
          <w:bCs/>
          <w:kern w:val="22"/>
          <w:lang w:eastAsia="hi-IN" w:bidi="hi-IN"/>
        </w:rPr>
      </w:pPr>
      <w:r w:rsidRPr="008D396E">
        <w:rPr>
          <w:rFonts w:ascii="Times New Roman" w:eastAsia="SimSun" w:hAnsi="Times New Roman"/>
          <w:bCs/>
          <w:kern w:val="22"/>
          <w:lang w:eastAsia="hi-IN" w:bidi="hi-IN"/>
        </w:rPr>
        <w:t xml:space="preserve">A second issue is whether specific members of the synthetic biology community should be considered able to provide for “contained use.” EcoNexus, a European civil society group, has raised doubts as to whether DIYbio (do-it-yourself biology) individuals and collectives can ever be considered a “contained use” operation </w:t>
      </w:r>
      <w:r w:rsidR="00FB1336">
        <w:rPr>
          <w:rFonts w:ascii="Times New Roman" w:eastAsia="SimSun" w:hAnsi="Times New Roman"/>
          <w:bCs/>
          <w:kern w:val="22"/>
          <w:lang w:eastAsia="hi-IN" w:bidi="hi-IN"/>
        </w:rPr>
        <w:fldChar w:fldCharType="begin" w:fldLock="1"/>
      </w:r>
      <w:r w:rsidR="00FB1336">
        <w:rPr>
          <w:rFonts w:ascii="Times New Roman" w:eastAsia="SimSun" w:hAnsi="Times New Roman"/>
          <w:bCs/>
          <w:kern w:val="22"/>
          <w:lang w:eastAsia="hi-IN" w:bidi="hi-IN"/>
        </w:rPr>
        <w:instrText>ADDIN CSL_CITATION {"citationItems":[{"id":"ITEM-1","itemData":{"author":[{"dropping-particle":"","family":"EcoNexus","given":"","non-dropping-particle":"","parse-names":false,"suffix":""}],"id":"ITEM-1","issued":{"date-parts":[["2011"]]},"title":"Synthetic Biology: Submission to the CBD","type":"article"},"uris":["http://www.mendeley.com/documents/?uuid=e1112aae-6916-4afe-b05f-c45114a4c9b4"]}],"mendeley":{"formattedCitation":"(EcoNexus, 2011)","plainTextFormattedCitation":"(EcoNexus, 2011)","previouslyFormattedCitation":"(EcoNexus, 2011)"},"properties":{"noteIndex":0},"schema":"https://github.com/citation-style-language/schema/raw/master/csl-citation.json"}</w:instrText>
      </w:r>
      <w:r w:rsidR="00FB1336">
        <w:rPr>
          <w:rFonts w:ascii="Times New Roman" w:eastAsia="SimSun" w:hAnsi="Times New Roman"/>
          <w:bCs/>
          <w:kern w:val="22"/>
          <w:lang w:eastAsia="hi-IN" w:bidi="hi-IN"/>
        </w:rPr>
        <w:fldChar w:fldCharType="separate"/>
      </w:r>
      <w:r w:rsidR="00FB1336" w:rsidRPr="00FB1336">
        <w:rPr>
          <w:rFonts w:ascii="Times New Roman" w:eastAsia="SimSun" w:hAnsi="Times New Roman"/>
          <w:bCs/>
          <w:noProof/>
          <w:kern w:val="22"/>
          <w:lang w:eastAsia="hi-IN" w:bidi="hi-IN"/>
        </w:rPr>
        <w:t>(EcoNexus, 2011)</w:t>
      </w:r>
      <w:r w:rsidR="00FB1336">
        <w:rPr>
          <w:rFonts w:ascii="Times New Roman" w:eastAsia="SimSun" w:hAnsi="Times New Roman"/>
          <w:bCs/>
          <w:kern w:val="22"/>
          <w:lang w:eastAsia="hi-IN" w:bidi="hi-IN"/>
        </w:rPr>
        <w:fldChar w:fldCharType="end"/>
      </w:r>
      <w:r w:rsidRPr="008D396E">
        <w:rPr>
          <w:rFonts w:ascii="Times New Roman" w:eastAsia="SimSun" w:hAnsi="Times New Roman"/>
          <w:bCs/>
          <w:kern w:val="22"/>
          <w:lang w:eastAsia="hi-IN" w:bidi="hi-IN"/>
        </w:rPr>
        <w:t>.  EcoNexus does not consider “</w:t>
      </w:r>
      <w:r w:rsidRPr="008D396E">
        <w:rPr>
          <w:rFonts w:ascii="Times New Roman" w:hAnsi="Times New Roman"/>
          <w:kern w:val="22"/>
        </w:rPr>
        <w:t xml:space="preserve">garage biotech facilities” as contained use and is concerned that AIA “might become close to impossible” in such instances </w:t>
      </w:r>
      <w:r w:rsidR="00FB1336">
        <w:rPr>
          <w:rFonts w:ascii="Times New Roman" w:eastAsia="SimSun" w:hAnsi="Times New Roman"/>
          <w:bCs/>
          <w:kern w:val="22"/>
          <w:lang w:eastAsia="hi-IN" w:bidi="hi-IN"/>
        </w:rPr>
        <w:fldChar w:fldCharType="begin" w:fldLock="1"/>
      </w:r>
      <w:r w:rsidR="00FB1336">
        <w:rPr>
          <w:rFonts w:ascii="Times New Roman" w:eastAsia="SimSun" w:hAnsi="Times New Roman"/>
          <w:bCs/>
          <w:kern w:val="22"/>
          <w:lang w:eastAsia="hi-IN" w:bidi="hi-IN"/>
        </w:rPr>
        <w:instrText>ADDIN CSL_CITATION {"citationItems":[{"id":"ITEM-1","itemData":{"author":[{"dropping-particle":"","family":"EcoNexus","given":"","non-dropping-particle":"","parse-names":false,"suffix":""}],"id":"ITEM-1","issued":{"date-parts":[["2011"]]},"title":"Synthetic Biology: Submission to the CBD","type":"article"},"uris":["http://www.mendeley.com/documents/?uuid=e1112aae-6916-4afe-b05f-c45114a4c9b4"]}],"mendeley":{"formattedCitation":"(EcoNexus, 2011)","plainTextFormattedCitation":"(EcoNexus, 2011)","previouslyFormattedCitation":"(EcoNexus, 2011)"},"properties":{"noteIndex":0},"schema":"https://github.com/citation-style-language/schema/raw/master/csl-citation.json"}</w:instrText>
      </w:r>
      <w:r w:rsidR="00FB1336">
        <w:rPr>
          <w:rFonts w:ascii="Times New Roman" w:eastAsia="SimSun" w:hAnsi="Times New Roman"/>
          <w:bCs/>
          <w:kern w:val="22"/>
          <w:lang w:eastAsia="hi-IN" w:bidi="hi-IN"/>
        </w:rPr>
        <w:fldChar w:fldCharType="separate"/>
      </w:r>
      <w:r w:rsidR="00FB1336" w:rsidRPr="00FB1336">
        <w:rPr>
          <w:rFonts w:ascii="Times New Roman" w:eastAsia="SimSun" w:hAnsi="Times New Roman"/>
          <w:bCs/>
          <w:noProof/>
          <w:kern w:val="22"/>
          <w:lang w:eastAsia="hi-IN" w:bidi="hi-IN"/>
        </w:rPr>
        <w:t>(EcoNexus, 2011)</w:t>
      </w:r>
      <w:r w:rsidR="00FB1336">
        <w:rPr>
          <w:rFonts w:ascii="Times New Roman" w:eastAsia="SimSun" w:hAnsi="Times New Roman"/>
          <w:bCs/>
          <w:kern w:val="22"/>
          <w:lang w:eastAsia="hi-IN" w:bidi="hi-IN"/>
        </w:rPr>
        <w:fldChar w:fldCharType="end"/>
      </w:r>
      <w:r w:rsidRPr="008D396E">
        <w:rPr>
          <w:rFonts w:ascii="Times New Roman" w:hAnsi="Times New Roman"/>
          <w:kern w:val="22"/>
        </w:rPr>
        <w:t xml:space="preserve">. </w:t>
      </w:r>
      <w:r w:rsidRPr="008D396E">
        <w:rPr>
          <w:rFonts w:ascii="Times New Roman" w:eastAsia="SimSun" w:hAnsi="Times New Roman"/>
          <w:bCs/>
          <w:kern w:val="22"/>
          <w:lang w:eastAsia="hi-IN" w:bidi="hi-IN"/>
        </w:rPr>
        <w:t xml:space="preserve"> A </w:t>
      </w:r>
      <w:r w:rsidRPr="00C91FC3">
        <w:rPr>
          <w:rFonts w:ascii="Times New Roman" w:eastAsia="SimSun" w:hAnsi="Times New Roman"/>
          <w:bCs/>
          <w:kern w:val="22"/>
          <w:lang w:eastAsia="hi-IN" w:bidi="hi-IN"/>
        </w:rPr>
        <w:t>W</w:t>
      </w:r>
      <w:r w:rsidR="00C91FC3" w:rsidRPr="00D74615">
        <w:rPr>
          <w:rFonts w:ascii="Times New Roman" w:eastAsia="SimSun" w:hAnsi="Times New Roman"/>
          <w:bCs/>
          <w:kern w:val="22"/>
          <w:lang w:eastAsia="hi-IN" w:bidi="hi-IN"/>
        </w:rPr>
        <w:t>oodrow</w:t>
      </w:r>
      <w:r w:rsidRPr="00B472D3">
        <w:rPr>
          <w:rFonts w:ascii="Times New Roman" w:eastAsia="SimSun" w:hAnsi="Times New Roman"/>
          <w:bCs/>
          <w:kern w:val="22"/>
          <w:lang w:eastAsia="hi-IN" w:bidi="hi-IN"/>
        </w:rPr>
        <w:t xml:space="preserve"> </w:t>
      </w:r>
      <w:r w:rsidRPr="00C91FC3">
        <w:rPr>
          <w:rFonts w:ascii="Times New Roman" w:eastAsia="SimSun" w:hAnsi="Times New Roman"/>
          <w:bCs/>
          <w:kern w:val="22"/>
          <w:lang w:eastAsia="hi-IN" w:bidi="hi-IN"/>
        </w:rPr>
        <w:t>W</w:t>
      </w:r>
      <w:r w:rsidR="006648A7" w:rsidRPr="00A758DC">
        <w:rPr>
          <w:rFonts w:ascii="Times New Roman" w:eastAsia="SimSun" w:hAnsi="Times New Roman"/>
          <w:kern w:val="22"/>
          <w:lang w:eastAsia="hi-IN" w:bidi="hi-IN"/>
        </w:rPr>
        <w:t xml:space="preserve">ilson </w:t>
      </w:r>
      <w:r w:rsidRPr="00C91FC3">
        <w:rPr>
          <w:rFonts w:ascii="Times New Roman" w:eastAsia="SimSun" w:hAnsi="Times New Roman"/>
          <w:bCs/>
          <w:kern w:val="22"/>
          <w:lang w:eastAsia="hi-IN" w:bidi="hi-IN"/>
        </w:rPr>
        <w:t>I</w:t>
      </w:r>
      <w:r w:rsidR="00C91FC3" w:rsidRPr="00A758DC">
        <w:rPr>
          <w:rFonts w:ascii="Times New Roman" w:eastAsia="SimSun" w:hAnsi="Times New Roman"/>
          <w:kern w:val="22"/>
          <w:lang w:eastAsia="hi-IN" w:bidi="hi-IN"/>
        </w:rPr>
        <w:t xml:space="preserve">nternational </w:t>
      </w:r>
      <w:r w:rsidRPr="00C91FC3">
        <w:rPr>
          <w:rFonts w:ascii="Times New Roman" w:eastAsia="SimSun" w:hAnsi="Times New Roman"/>
          <w:bCs/>
          <w:kern w:val="22"/>
          <w:lang w:eastAsia="hi-IN" w:bidi="hi-IN"/>
        </w:rPr>
        <w:t>C</w:t>
      </w:r>
      <w:r w:rsidR="00C91FC3" w:rsidRPr="00D74615">
        <w:rPr>
          <w:rFonts w:ascii="Times New Roman" w:eastAsia="SimSun" w:hAnsi="Times New Roman"/>
          <w:bCs/>
          <w:kern w:val="22"/>
          <w:lang w:eastAsia="hi-IN" w:bidi="hi-IN"/>
        </w:rPr>
        <w:t xml:space="preserve">enter for </w:t>
      </w:r>
      <w:r w:rsidR="00C91FC3" w:rsidRPr="00C91FC3">
        <w:rPr>
          <w:rFonts w:ascii="Times New Roman" w:eastAsia="SimSun" w:hAnsi="Times New Roman"/>
          <w:bCs/>
          <w:kern w:val="22"/>
          <w:lang w:eastAsia="hi-IN" w:bidi="hi-IN"/>
        </w:rPr>
        <w:t>Scholars</w:t>
      </w:r>
      <w:r w:rsidRPr="008D396E">
        <w:rPr>
          <w:rFonts w:ascii="Times New Roman" w:eastAsia="SimSun" w:hAnsi="Times New Roman"/>
          <w:bCs/>
          <w:kern w:val="22"/>
          <w:lang w:eastAsia="hi-IN" w:bidi="hi-IN"/>
        </w:rPr>
        <w:t xml:space="preserve"> report on DIYbio found that 92 % of DIYers work in group spaces (not alone), that few DIYers are using “sophisticated” synthetic biology, and most work in labs that are rated as Biological Safety Level 1 </w:t>
      </w:r>
      <w:r w:rsidR="00FB1336">
        <w:rPr>
          <w:rFonts w:ascii="Times New Roman" w:eastAsia="SimSun" w:hAnsi="Times New Roman"/>
          <w:bCs/>
          <w:kern w:val="22"/>
          <w:lang w:eastAsia="hi-IN" w:bidi="hi-IN"/>
        </w:rPr>
        <w:fldChar w:fldCharType="begin" w:fldLock="1"/>
      </w:r>
      <w:r w:rsidR="00FB1336">
        <w:rPr>
          <w:rFonts w:ascii="Times New Roman" w:eastAsia="SimSun" w:hAnsi="Times New Roman"/>
          <w:bCs/>
          <w:kern w:val="22"/>
          <w:lang w:eastAsia="hi-IN" w:bidi="hi-IN"/>
        </w:rPr>
        <w:instrText>ADDIN CSL_CITATION {"citationItems":[{"id":"ITEM-1","itemData":{"author":[{"dropping-particle":"","family":"Grushkin","given":"Daniel","non-dropping-particle":"","parse-names":false,"suffix":""},{"dropping-particle":"","family":"Kuiken","given":"Todd","non-dropping-particle":"","parse-names":false,"suffix":""},{"dropping-particle":"","family":"Millet","given":"Piers","non-dropping-particle":"","parse-names":false,"suffix":""}],"container-title":"Synthetic Project","id":"ITEM-1","issued":{"date-parts":[["2013"]]},"publisher":"Wilson Center","title":"Seven Myths and Realities about Do-It-Yourself Biology","type":"chapter"},"uris":["http://www.mendeley.com/documents/?uuid=b8c21aed-cf68-47e6-995b-38a9e03eb654"]}],"mendeley":{"formattedCitation":"(Grushkin et al., 2013)","plainTextFormattedCitation":"(Grushkin et al., 2013)","previouslyFormattedCitation":"(Grushkin et al., 2013)"},"properties":{"noteIndex":0},"schema":"https://github.com/citation-style-language/schema/raw/master/csl-citation.json"}</w:instrText>
      </w:r>
      <w:r w:rsidR="00FB1336">
        <w:rPr>
          <w:rFonts w:ascii="Times New Roman" w:eastAsia="SimSun" w:hAnsi="Times New Roman"/>
          <w:bCs/>
          <w:kern w:val="22"/>
          <w:lang w:eastAsia="hi-IN" w:bidi="hi-IN"/>
        </w:rPr>
        <w:fldChar w:fldCharType="separate"/>
      </w:r>
      <w:r w:rsidR="00FB1336" w:rsidRPr="00FB1336">
        <w:rPr>
          <w:rFonts w:ascii="Times New Roman" w:eastAsia="SimSun" w:hAnsi="Times New Roman"/>
          <w:bCs/>
          <w:noProof/>
          <w:kern w:val="22"/>
          <w:lang w:eastAsia="hi-IN" w:bidi="hi-IN"/>
        </w:rPr>
        <w:t>(Grushkin et al., 2013)</w:t>
      </w:r>
      <w:r w:rsidR="00FB1336">
        <w:rPr>
          <w:rFonts w:ascii="Times New Roman" w:eastAsia="SimSun" w:hAnsi="Times New Roman"/>
          <w:bCs/>
          <w:kern w:val="22"/>
          <w:lang w:eastAsia="hi-IN" w:bidi="hi-IN"/>
        </w:rPr>
        <w:fldChar w:fldCharType="end"/>
      </w:r>
      <w:r w:rsidRPr="008D396E">
        <w:rPr>
          <w:rFonts w:ascii="Times New Roman" w:eastAsia="SimSun" w:hAnsi="Times New Roman"/>
          <w:bCs/>
          <w:kern w:val="22"/>
          <w:lang w:eastAsia="hi-IN" w:bidi="hi-IN"/>
        </w:rPr>
        <w:t xml:space="preserve">. Considering the current status of the synthetic biology practiced by DIYers, the </w:t>
      </w:r>
      <w:r w:rsidRPr="00C91FC3">
        <w:rPr>
          <w:rFonts w:ascii="Times New Roman" w:eastAsia="SimSun" w:hAnsi="Times New Roman"/>
          <w:bCs/>
          <w:kern w:val="22"/>
          <w:lang w:eastAsia="hi-IN" w:bidi="hi-IN"/>
        </w:rPr>
        <w:t>W</w:t>
      </w:r>
      <w:r w:rsidR="00C91FC3">
        <w:rPr>
          <w:rFonts w:ascii="Times New Roman" w:eastAsia="SimSun" w:hAnsi="Times New Roman"/>
          <w:bCs/>
          <w:kern w:val="22"/>
          <w:lang w:eastAsia="hi-IN" w:bidi="hi-IN"/>
        </w:rPr>
        <w:t xml:space="preserve">oodrow </w:t>
      </w:r>
      <w:r w:rsidRPr="00C91FC3">
        <w:rPr>
          <w:rFonts w:ascii="Times New Roman" w:eastAsia="SimSun" w:hAnsi="Times New Roman"/>
          <w:bCs/>
          <w:kern w:val="22"/>
          <w:lang w:eastAsia="hi-IN" w:bidi="hi-IN"/>
        </w:rPr>
        <w:t>W</w:t>
      </w:r>
      <w:r w:rsidR="00C91FC3">
        <w:rPr>
          <w:rFonts w:ascii="Times New Roman" w:eastAsia="SimSun" w:hAnsi="Times New Roman"/>
          <w:bCs/>
          <w:kern w:val="22"/>
          <w:lang w:eastAsia="hi-IN" w:bidi="hi-IN"/>
        </w:rPr>
        <w:t xml:space="preserve">ilson </w:t>
      </w:r>
      <w:r w:rsidRPr="00C91FC3">
        <w:rPr>
          <w:rFonts w:ascii="Times New Roman" w:eastAsia="SimSun" w:hAnsi="Times New Roman"/>
          <w:bCs/>
          <w:kern w:val="22"/>
          <w:lang w:eastAsia="hi-IN" w:bidi="hi-IN"/>
        </w:rPr>
        <w:t>I</w:t>
      </w:r>
      <w:r w:rsidR="00C91FC3">
        <w:rPr>
          <w:rFonts w:ascii="Times New Roman" w:eastAsia="SimSun" w:hAnsi="Times New Roman"/>
          <w:bCs/>
          <w:kern w:val="22"/>
          <w:lang w:eastAsia="hi-IN" w:bidi="hi-IN"/>
        </w:rPr>
        <w:t xml:space="preserve">nternational </w:t>
      </w:r>
      <w:r w:rsidRPr="00C91FC3">
        <w:rPr>
          <w:rFonts w:ascii="Times New Roman" w:eastAsia="SimSun" w:hAnsi="Times New Roman"/>
          <w:bCs/>
          <w:kern w:val="22"/>
          <w:lang w:eastAsia="hi-IN" w:bidi="hi-IN"/>
        </w:rPr>
        <w:t>C</w:t>
      </w:r>
      <w:r w:rsidR="00C91FC3">
        <w:rPr>
          <w:rFonts w:ascii="Times New Roman" w:eastAsia="SimSun" w:hAnsi="Times New Roman"/>
          <w:bCs/>
          <w:kern w:val="22"/>
          <w:lang w:eastAsia="hi-IN" w:bidi="hi-IN"/>
        </w:rPr>
        <w:t xml:space="preserve">enter for </w:t>
      </w:r>
      <w:r w:rsidRPr="00C91FC3">
        <w:rPr>
          <w:rFonts w:ascii="Times New Roman" w:eastAsia="SimSun" w:hAnsi="Times New Roman"/>
          <w:bCs/>
          <w:kern w:val="22"/>
          <w:lang w:eastAsia="hi-IN" w:bidi="hi-IN"/>
        </w:rPr>
        <w:t>S</w:t>
      </w:r>
      <w:r w:rsidR="00C91FC3">
        <w:rPr>
          <w:rFonts w:ascii="Times New Roman" w:eastAsia="SimSun" w:hAnsi="Times New Roman"/>
          <w:bCs/>
          <w:kern w:val="22"/>
          <w:lang w:eastAsia="hi-IN" w:bidi="hi-IN"/>
        </w:rPr>
        <w:t>cholars</w:t>
      </w:r>
      <w:r w:rsidRPr="008D396E">
        <w:rPr>
          <w:rFonts w:ascii="Times New Roman" w:eastAsia="SimSun" w:hAnsi="Times New Roman"/>
          <w:bCs/>
          <w:kern w:val="22"/>
          <w:lang w:eastAsia="hi-IN" w:bidi="hi-IN"/>
        </w:rPr>
        <w:t xml:space="preserve"> report finds that DIYers present a low risk to the environment. It does, however, note that future boundaries between home and group labs may be porous, leading to experiments being carried in transit and possibly spilling, and issues around the disposal of lab waste (Grushkin et al. 2013). These are issues around contained use, although again, Grushkin </w:t>
      </w:r>
      <w:r w:rsidRPr="008D396E">
        <w:rPr>
          <w:rFonts w:ascii="Times New Roman" w:eastAsia="SimSun" w:hAnsi="Times New Roman"/>
          <w:bCs/>
          <w:i/>
          <w:kern w:val="22"/>
          <w:lang w:eastAsia="hi-IN" w:bidi="hi-IN"/>
        </w:rPr>
        <w:t>et al.</w:t>
      </w:r>
      <w:r w:rsidRPr="008D396E">
        <w:rPr>
          <w:rFonts w:ascii="Times New Roman" w:eastAsia="SimSun" w:hAnsi="Times New Roman"/>
          <w:bCs/>
          <w:kern w:val="22"/>
          <w:lang w:eastAsia="hi-IN" w:bidi="hi-IN"/>
        </w:rPr>
        <w:t xml:space="preserve"> (2013) </w:t>
      </w:r>
      <w:r w:rsidR="00671DBA">
        <w:rPr>
          <w:rFonts w:ascii="Times New Roman" w:eastAsia="SimSun" w:hAnsi="Times New Roman"/>
          <w:bCs/>
          <w:kern w:val="22"/>
          <w:lang w:eastAsia="hi-IN" w:bidi="hi-IN"/>
        </w:rPr>
        <w:t>see this as</w:t>
      </w:r>
      <w:r w:rsidRPr="008D396E">
        <w:rPr>
          <w:rFonts w:ascii="Times New Roman" w:eastAsia="SimSun" w:hAnsi="Times New Roman"/>
          <w:bCs/>
          <w:kern w:val="22"/>
          <w:lang w:eastAsia="hi-IN" w:bidi="hi-IN"/>
        </w:rPr>
        <w:t xml:space="preserve"> possible future concerns depending on the development of synthetic biology and the DIYbio communities. </w:t>
      </w:r>
      <w:r w:rsidR="00F74F2A">
        <w:rPr>
          <w:rFonts w:ascii="Times New Roman" w:eastAsia="SimSun" w:hAnsi="Times New Roman"/>
          <w:bCs/>
          <w:kern w:val="22"/>
          <w:lang w:eastAsia="hi-IN" w:bidi="hi-IN"/>
        </w:rPr>
        <w:t xml:space="preserve">Others have similarly </w:t>
      </w:r>
      <w:r w:rsidR="00772576">
        <w:rPr>
          <w:rFonts w:ascii="Times New Roman" w:eastAsia="SimSun" w:hAnsi="Times New Roman"/>
          <w:bCs/>
          <w:kern w:val="22"/>
          <w:lang w:eastAsia="hi-IN" w:bidi="hi-IN"/>
        </w:rPr>
        <w:t>concluded</w:t>
      </w:r>
      <w:r w:rsidR="00F74F2A">
        <w:rPr>
          <w:rFonts w:ascii="Times New Roman" w:eastAsia="SimSun" w:hAnsi="Times New Roman"/>
          <w:bCs/>
          <w:kern w:val="22"/>
          <w:lang w:eastAsia="hi-IN" w:bidi="hi-IN"/>
        </w:rPr>
        <w:t xml:space="preserve"> that </w:t>
      </w:r>
      <w:r w:rsidR="00F74F2A" w:rsidRPr="00F74F2A">
        <w:rPr>
          <w:rFonts w:ascii="Times New Roman" w:eastAsia="SimSun" w:hAnsi="Times New Roman"/>
          <w:bCs/>
          <w:kern w:val="22"/>
          <w:lang w:eastAsia="hi-IN" w:bidi="hi-IN"/>
        </w:rPr>
        <w:t>DIYBio has so far been a responsible and transparent citizen science movement</w:t>
      </w:r>
      <w:r w:rsidR="00F74F2A">
        <w:rPr>
          <w:rFonts w:ascii="Times New Roman" w:eastAsia="SimSun" w:hAnsi="Times New Roman"/>
          <w:bCs/>
          <w:kern w:val="22"/>
          <w:lang w:eastAsia="hi-IN" w:bidi="hi-IN"/>
        </w:rPr>
        <w:t xml:space="preserve"> </w:t>
      </w:r>
      <w:r w:rsidR="00FB1336">
        <w:rPr>
          <w:rFonts w:ascii="Times New Roman" w:eastAsia="SimSun" w:hAnsi="Times New Roman"/>
          <w:bCs/>
          <w:kern w:val="22"/>
          <w:lang w:eastAsia="hi-IN" w:bidi="hi-IN"/>
        </w:rPr>
        <w:fldChar w:fldCharType="begin" w:fldLock="1"/>
      </w:r>
      <w:r w:rsidR="00FB1336">
        <w:rPr>
          <w:rFonts w:ascii="Times New Roman" w:eastAsia="SimSun" w:hAnsi="Times New Roman"/>
          <w:bCs/>
          <w:kern w:val="22"/>
          <w:lang w:eastAsia="hi-IN" w:bidi="hi-IN"/>
        </w:rPr>
        <w:instrText>ADDIN CSL_CITATION {"citationItems":[{"id":"ITEM-1","itemData":{"DOI":"10.1007/s11693-013-9116-4","ISSN":"18725325","abstract":"The do-it-yourself biology (DIYbio) community is emerging as a movement that fosters open access to resources permitting modern molecular biology, and synthetic biology among others. It promises in particular to be a source of cheaper and simpler solutions for environmental monitoring, personal diagnostic and the use of biomaterials. The successful growth of a global community of DIYbio practitioners will depend largely on enabling safe access to state-of-the-art molecular biology tools and resources. In this paper we analyze the rise of DIYbio, its community, its material resources and its applications. We look at the current projects developed for the international genetically engineered machine competition in order to get a sense of what amateur biologists can potentially create in their community laboratories over the coming years. We also show why and how the DIYbio community, in the context of a global governance development, is putting in place a safety/ethical framework for guarantying the pursuit of its activity. And finally we argue that the global spread of DIY biology potentially reconfigures and opens up access to biological information and laboratory equipment and that, therefore, it can foster new practices and transversal collaborations between professional scientists and amateurs. © 2013 Springer Science+Business Media Dordrecht.","author":[{"dropping-particle":"","family":"Landrain","given":"Thomas","non-dropping-particle":"","parse-names":false,"suffix":""},{"dropping-particle":"","family":"Meyer","given":"Morgan","non-dropping-particle":"","parse-names":false,"suffix":""},{"dropping-particle":"","family":"Perez","given":"Ariel Martin","non-dropping-particle":"","parse-names":false,"suffix":""},{"dropping-particle":"","family":"Sussan","given":"Remi","non-dropping-particle":"","parse-names":false,"suffix":""}],"container-title":"Systems and Synthetic Biology","id":"ITEM-1","issue":"3","issued":{"date-parts":[["2013"]]},"page":"115-126","title":"Do-it-yourself biology: Challenges and promises for an open science and technology movement","type":"article-journal","volume":"7"},"uris":["http://www.mendeley.com/documents/?uuid=c5c44839-20dc-4ed0-a68d-3348e7df87c3"]},{"id":"ITEM-2","itemData":{"DOI":"10.1002/bies.201300149","ISSN":"15211878","PMID":"24782329","abstract":"The encounter of amateur science with synthetic biology has led to the formation of several amateur/do-it-yourself biology (DIYBio) groups worldwide. Although media outlets covered DIYBio events, most seemed only to highlight the hope, hype, and horror of what DIYBio would do in the future. Here, we analyze the European amateur biology movement to find out who they are, what they aim for and how they differ from US groups. We found that all groups are driven by a core leadership of (semi-)professional people who struggle with finding lab space and equipment. Regulations on genetic modification limit what groups can do. Differences between Europe and the US are found in the distinct regulatory environments and the European emphasis on bio-art. We conclude that DIYBio Europe has so far been a responsible and transparent citizen science movement with a solid user base that will continue to grow irrespective of media attention. Here, we analyzed the European do-it-yourself biology (DIYBio) community consisting of enthusiastic biotechnologists, artists, and designers. We conclude that DIYBio Europe has so far been a responsible and transparent citizen science movement with a solid user base that will continue to grow irrespective of media attention. © 2014 The Authors. Bioessays published by WILEY Periodicals, Inc.","author":[{"dropping-particle":"","family":"Seyfried","given":"Günter","non-dropping-particle":"","parse-names":false,"suffix":""},{"dropping-particle":"","family":"Pei","given":"Lei","non-dropping-particle":"","parse-names":false,"suffix":""},{"dropping-particle":"","family":"Schmidt","given":"Markus","non-dropping-particle":"","parse-names":false,"suffix":""}],"container-title":"BioEssays","id":"ITEM-2","issue":"6","issued":{"date-parts":[["2014"]]},"page":"548-551","publisher":"John Wiley and Sons Inc.","title":"European do-it-yourself (DIY) biology: Beyond the hope, hype and horror","type":"article-journal","volume":"36"},"uris":["http://www.mendeley.com/documents/?uuid=67e7add2-5098-4fb4-837f-b9f8feead8b6"]}],"mendeley":{"formattedCitation":"(Landrain et al., 2013; Seyfried et al., 2014)","plainTextFormattedCitation":"(Landrain et al., 2013; Seyfried et al., 2014)","previouslyFormattedCitation":"(Landrain et al., 2013; Seyfried et al., 2014)"},"properties":{"noteIndex":0},"schema":"https://github.com/citation-style-language/schema/raw/master/csl-citation.json"}</w:instrText>
      </w:r>
      <w:r w:rsidR="00FB1336">
        <w:rPr>
          <w:rFonts w:ascii="Times New Roman" w:eastAsia="SimSun" w:hAnsi="Times New Roman"/>
          <w:bCs/>
          <w:kern w:val="22"/>
          <w:lang w:eastAsia="hi-IN" w:bidi="hi-IN"/>
        </w:rPr>
        <w:fldChar w:fldCharType="separate"/>
      </w:r>
      <w:r w:rsidR="00FB1336" w:rsidRPr="00FB1336">
        <w:rPr>
          <w:rFonts w:ascii="Times New Roman" w:eastAsia="SimSun" w:hAnsi="Times New Roman"/>
          <w:bCs/>
          <w:noProof/>
          <w:kern w:val="22"/>
          <w:lang w:eastAsia="hi-IN" w:bidi="hi-IN"/>
        </w:rPr>
        <w:t>(Landrain et al., 2013; Seyfried et al., 2014)</w:t>
      </w:r>
      <w:r w:rsidR="00FB1336">
        <w:rPr>
          <w:rFonts w:ascii="Times New Roman" w:eastAsia="SimSun" w:hAnsi="Times New Roman"/>
          <w:bCs/>
          <w:kern w:val="22"/>
          <w:lang w:eastAsia="hi-IN" w:bidi="hi-IN"/>
        </w:rPr>
        <w:fldChar w:fldCharType="end"/>
      </w:r>
      <w:r w:rsidR="007C3BC3">
        <w:rPr>
          <w:rFonts w:ascii="Times New Roman" w:eastAsia="SimSun" w:hAnsi="Times New Roman"/>
          <w:bCs/>
          <w:kern w:val="22"/>
          <w:lang w:eastAsia="hi-IN" w:bidi="hi-IN"/>
        </w:rPr>
        <w:t>.</w:t>
      </w:r>
      <w:r w:rsidR="00F74F2A">
        <w:rPr>
          <w:rFonts w:ascii="Times New Roman" w:eastAsia="SimSun" w:hAnsi="Times New Roman"/>
          <w:bCs/>
          <w:kern w:val="22"/>
          <w:lang w:eastAsia="hi-IN" w:bidi="hi-IN"/>
        </w:rPr>
        <w:t xml:space="preserve"> </w:t>
      </w:r>
      <w:r w:rsidR="00D533A0">
        <w:rPr>
          <w:rFonts w:ascii="Times New Roman" w:eastAsia="SimSun" w:hAnsi="Times New Roman"/>
          <w:bCs/>
          <w:kern w:val="22"/>
          <w:lang w:eastAsia="hi-IN" w:bidi="hi-IN"/>
        </w:rPr>
        <w:t xml:space="preserve">More recently </w:t>
      </w:r>
      <w:r w:rsidR="00F74F2A">
        <w:rPr>
          <w:rFonts w:ascii="Times New Roman" w:eastAsia="SimSun" w:hAnsi="Times New Roman"/>
          <w:bCs/>
          <w:kern w:val="22"/>
          <w:lang w:eastAsia="hi-IN" w:bidi="hi-IN"/>
        </w:rPr>
        <w:t>d</w:t>
      </w:r>
      <w:r w:rsidR="00D533A0">
        <w:rPr>
          <w:rFonts w:ascii="Times New Roman" w:eastAsia="SimSun" w:hAnsi="Times New Roman"/>
          <w:bCs/>
          <w:kern w:val="22"/>
          <w:lang w:eastAsia="hi-IN" w:bidi="hi-IN"/>
        </w:rPr>
        <w:t xml:space="preserve">evelopments </w:t>
      </w:r>
      <w:r w:rsidR="00F74F2A">
        <w:rPr>
          <w:rFonts w:ascii="Times New Roman" w:eastAsia="SimSun" w:hAnsi="Times New Roman"/>
          <w:bCs/>
          <w:kern w:val="22"/>
          <w:lang w:eastAsia="hi-IN" w:bidi="hi-IN"/>
        </w:rPr>
        <w:t>involving s</w:t>
      </w:r>
      <w:r w:rsidR="00D533A0" w:rsidRPr="00D533A0">
        <w:rPr>
          <w:rFonts w:ascii="Times New Roman" w:eastAsia="SimSun" w:hAnsi="Times New Roman"/>
          <w:bCs/>
          <w:kern w:val="22"/>
          <w:lang w:eastAsia="hi-IN" w:bidi="hi-IN"/>
        </w:rPr>
        <w:t>elf-</w:t>
      </w:r>
      <w:r w:rsidR="007C3BC3">
        <w:rPr>
          <w:rFonts w:ascii="Times New Roman" w:eastAsia="SimSun" w:hAnsi="Times New Roman"/>
          <w:bCs/>
          <w:kern w:val="22"/>
          <w:lang w:eastAsia="hi-IN" w:bidi="hi-IN"/>
        </w:rPr>
        <w:t>r</w:t>
      </w:r>
      <w:r w:rsidR="00D533A0" w:rsidRPr="00D533A0">
        <w:rPr>
          <w:rFonts w:ascii="Times New Roman" w:eastAsia="SimSun" w:hAnsi="Times New Roman"/>
          <w:bCs/>
          <w:kern w:val="22"/>
          <w:lang w:eastAsia="hi-IN" w:bidi="hi-IN"/>
        </w:rPr>
        <w:t>egulation by the scientific community</w:t>
      </w:r>
      <w:r w:rsidR="007C3BC3">
        <w:rPr>
          <w:rFonts w:ascii="Times New Roman" w:eastAsia="SimSun" w:hAnsi="Times New Roman"/>
          <w:bCs/>
          <w:kern w:val="22"/>
          <w:lang w:eastAsia="hi-IN" w:bidi="hi-IN"/>
        </w:rPr>
        <w:t xml:space="preserve"> which are relevant to the </w:t>
      </w:r>
      <w:r w:rsidR="007C3BC3" w:rsidRPr="008D396E">
        <w:rPr>
          <w:rFonts w:ascii="Times New Roman" w:eastAsia="SimSun" w:hAnsi="Times New Roman"/>
          <w:bCs/>
          <w:kern w:val="22"/>
          <w:lang w:eastAsia="hi-IN" w:bidi="hi-IN"/>
        </w:rPr>
        <w:t xml:space="preserve">DIYbio </w:t>
      </w:r>
      <w:r w:rsidR="007C3BC3">
        <w:rPr>
          <w:rFonts w:ascii="Times New Roman" w:eastAsia="SimSun" w:hAnsi="Times New Roman"/>
          <w:bCs/>
          <w:kern w:val="22"/>
          <w:lang w:eastAsia="hi-IN" w:bidi="hi-IN"/>
        </w:rPr>
        <w:t>discussion</w:t>
      </w:r>
      <w:r w:rsidR="00F74F2A">
        <w:rPr>
          <w:rFonts w:ascii="Times New Roman" w:eastAsia="SimSun" w:hAnsi="Times New Roman"/>
          <w:bCs/>
          <w:kern w:val="22"/>
          <w:lang w:eastAsia="hi-IN" w:bidi="hi-IN"/>
        </w:rPr>
        <w:t xml:space="preserve"> are considered </w:t>
      </w:r>
      <w:r w:rsidR="007C3BC3">
        <w:rPr>
          <w:rFonts w:ascii="Times New Roman" w:eastAsia="SimSun" w:hAnsi="Times New Roman"/>
          <w:bCs/>
          <w:kern w:val="22"/>
          <w:lang w:eastAsia="hi-IN" w:bidi="hi-IN"/>
        </w:rPr>
        <w:t>in Section 7.3</w:t>
      </w:r>
      <w:r w:rsidR="00D533A0">
        <w:rPr>
          <w:rFonts w:ascii="Times New Roman" w:eastAsia="SimSun" w:hAnsi="Times New Roman"/>
          <w:bCs/>
          <w:kern w:val="22"/>
          <w:lang w:eastAsia="hi-IN" w:bidi="hi-IN"/>
        </w:rPr>
        <w:t>.</w:t>
      </w:r>
      <w:r w:rsidRPr="008D396E">
        <w:rPr>
          <w:rFonts w:ascii="Times New Roman" w:eastAsia="SimSun" w:hAnsi="Times New Roman"/>
          <w:bCs/>
          <w:kern w:val="22"/>
          <w:lang w:eastAsia="hi-IN" w:bidi="hi-IN"/>
        </w:rPr>
        <w:t xml:space="preserve"> </w:t>
      </w:r>
    </w:p>
    <w:p w14:paraId="3790371F" w14:textId="3EA79CF5" w:rsidR="00A72C24" w:rsidRPr="008D396E" w:rsidRDefault="00A72C24" w:rsidP="00023AC8">
      <w:pPr>
        <w:suppressAutoHyphens/>
        <w:spacing w:after="120" w:line="240" w:lineRule="auto"/>
        <w:ind w:left="284"/>
        <w:jc w:val="both"/>
        <w:rPr>
          <w:rFonts w:ascii="Times New Roman" w:eastAsia="SimSun" w:hAnsi="Times New Roman"/>
          <w:kern w:val="22"/>
          <w:lang w:eastAsia="hi-IN" w:bidi="hi-IN"/>
        </w:rPr>
      </w:pPr>
      <w:r w:rsidRPr="1DD9E121">
        <w:rPr>
          <w:rFonts w:ascii="Times New Roman" w:eastAsia="SimSun" w:hAnsi="Times New Roman"/>
          <w:kern w:val="22"/>
          <w:lang w:eastAsia="hi-IN" w:bidi="hi-IN"/>
        </w:rPr>
        <w:t>A third and more general issue, which is not limited to LMOs produced by synthetic biology, is that Parties could be faced with “</w:t>
      </w:r>
      <w:r w:rsidRPr="00B93602">
        <w:rPr>
          <w:rFonts w:ascii="Times New Roman" w:eastAsia="SimSun" w:hAnsi="Times New Roman"/>
          <w:kern w:val="22"/>
          <w:lang w:eastAsia="hi-IN" w:bidi="hi-IN"/>
        </w:rPr>
        <w:t>regulatory arbitrage</w:t>
      </w:r>
      <w:r w:rsidRPr="1DD9E121">
        <w:rPr>
          <w:rFonts w:ascii="Times New Roman" w:eastAsia="SimSun" w:hAnsi="Times New Roman"/>
          <w:kern w:val="22"/>
          <w:lang w:eastAsia="hi-IN" w:bidi="hi-IN"/>
        </w:rPr>
        <w:t xml:space="preserve">” </w:t>
      </w:r>
      <w:r w:rsidR="0005702D">
        <w:rPr>
          <w:rFonts w:ascii="Times New Roman" w:eastAsia="SimSun" w:hAnsi="Times New Roman"/>
          <w:kern w:val="22"/>
          <w:lang w:eastAsia="hi-IN" w:bidi="hi-IN"/>
        </w:rPr>
        <w:t>− the</w:t>
      </w:r>
      <w:r w:rsidR="0005702D" w:rsidRPr="0005702D">
        <w:rPr>
          <w:rFonts w:ascii="Times New Roman" w:eastAsia="SimSun" w:hAnsi="Times New Roman"/>
          <w:kern w:val="22"/>
          <w:lang w:eastAsia="hi-IN" w:bidi="hi-IN"/>
        </w:rPr>
        <w:t xml:space="preserve"> practice of utili</w:t>
      </w:r>
      <w:r w:rsidR="00236998">
        <w:rPr>
          <w:rFonts w:ascii="Times New Roman" w:eastAsia="SimSun" w:hAnsi="Times New Roman"/>
          <w:kern w:val="22"/>
          <w:lang w:eastAsia="hi-IN" w:bidi="hi-IN"/>
        </w:rPr>
        <w:t>s</w:t>
      </w:r>
      <w:r w:rsidR="0005702D" w:rsidRPr="0005702D">
        <w:rPr>
          <w:rFonts w:ascii="Times New Roman" w:eastAsia="SimSun" w:hAnsi="Times New Roman"/>
          <w:kern w:val="22"/>
          <w:lang w:eastAsia="hi-IN" w:bidi="hi-IN"/>
        </w:rPr>
        <w:t>ing more favo</w:t>
      </w:r>
      <w:r w:rsidR="00236998">
        <w:rPr>
          <w:rFonts w:ascii="Times New Roman" w:eastAsia="SimSun" w:hAnsi="Times New Roman"/>
          <w:kern w:val="22"/>
          <w:lang w:eastAsia="hi-IN" w:bidi="hi-IN"/>
        </w:rPr>
        <w:t>u</w:t>
      </w:r>
      <w:r w:rsidR="0005702D" w:rsidRPr="0005702D">
        <w:rPr>
          <w:rFonts w:ascii="Times New Roman" w:eastAsia="SimSun" w:hAnsi="Times New Roman"/>
          <w:kern w:val="22"/>
          <w:lang w:eastAsia="hi-IN" w:bidi="hi-IN"/>
        </w:rPr>
        <w:t xml:space="preserve">rable laws in </w:t>
      </w:r>
      <w:r w:rsidR="006316EB">
        <w:rPr>
          <w:rFonts w:ascii="Times New Roman" w:eastAsia="SimSun" w:hAnsi="Times New Roman"/>
          <w:kern w:val="22"/>
          <w:lang w:eastAsia="hi-IN" w:bidi="hi-IN"/>
        </w:rPr>
        <w:t>a</w:t>
      </w:r>
      <w:r w:rsidR="0005702D" w:rsidRPr="0005702D">
        <w:rPr>
          <w:rFonts w:ascii="Times New Roman" w:eastAsia="SimSun" w:hAnsi="Times New Roman"/>
          <w:kern w:val="22"/>
          <w:lang w:eastAsia="hi-IN" w:bidi="hi-IN"/>
        </w:rPr>
        <w:t xml:space="preserve"> jurisdiction to circumvent regulation elsewhere </w:t>
      </w:r>
      <w:r w:rsidR="0005702D">
        <w:rPr>
          <w:rFonts w:ascii="Times New Roman" w:eastAsia="SimSun" w:hAnsi="Times New Roman"/>
          <w:kern w:val="22"/>
          <w:lang w:eastAsia="hi-IN" w:bidi="hi-IN"/>
        </w:rPr>
        <w:t xml:space="preserve">− </w:t>
      </w:r>
      <w:r w:rsidRPr="1DD9E121">
        <w:rPr>
          <w:rFonts w:ascii="Times New Roman" w:eastAsia="SimSun" w:hAnsi="Times New Roman"/>
          <w:kern w:val="22"/>
          <w:lang w:eastAsia="hi-IN" w:bidi="hi-IN"/>
        </w:rPr>
        <w:t xml:space="preserve">if a laboratory imports a synthetic biology LMO for contained use and then makes a domestic application to release the synthetic biology LMO from containment (ICSWGSB 2011). </w:t>
      </w:r>
      <w:r w:rsidR="00622FAD">
        <w:rPr>
          <w:rFonts w:ascii="Times New Roman" w:eastAsia="SimSun" w:hAnsi="Times New Roman"/>
          <w:kern w:val="22"/>
          <w:lang w:eastAsia="hi-IN" w:bidi="hi-IN"/>
        </w:rPr>
        <w:t xml:space="preserve">This </w:t>
      </w:r>
      <w:r w:rsidR="006316EB">
        <w:rPr>
          <w:rFonts w:ascii="Times New Roman" w:eastAsia="SimSun" w:hAnsi="Times New Roman"/>
          <w:kern w:val="22"/>
          <w:lang w:eastAsia="hi-IN" w:bidi="hi-IN"/>
        </w:rPr>
        <w:t>could have adverse implications for biosafety</w:t>
      </w:r>
      <w:r w:rsidR="00622FAD">
        <w:rPr>
          <w:rFonts w:ascii="Times New Roman" w:eastAsia="SimSun" w:hAnsi="Times New Roman"/>
          <w:kern w:val="22"/>
          <w:lang w:eastAsia="hi-IN" w:bidi="hi-IN"/>
        </w:rPr>
        <w:t>, for example, if d</w:t>
      </w:r>
      <w:r w:rsidRPr="1DD9E121">
        <w:rPr>
          <w:rFonts w:ascii="Times New Roman" w:eastAsia="SimSun" w:hAnsi="Times New Roman"/>
          <w:kern w:val="22"/>
          <w:lang w:eastAsia="hi-IN" w:bidi="hi-IN"/>
        </w:rPr>
        <w:t>omestic standards for risk assessment may be lower than the minimums provided in the Cartagena Protocol’s Annex III.</w:t>
      </w:r>
      <w:r w:rsidR="00C30CAD" w:rsidRPr="00C30CAD">
        <w:rPr>
          <w:rFonts w:ascii="Times New Roman" w:eastAsia="SimSun" w:hAnsi="Times New Roman"/>
          <w:kern w:val="22"/>
          <w:lang w:eastAsia="hi-IN" w:bidi="hi-IN"/>
        </w:rPr>
        <w:t xml:space="preserve"> Examples of regulatory arbitrage concerning synthetic biology are not readily apparent, however, concerns have been expressed that diverging regulatory or ethical standards could increase the risk of the creation of potentially harmful biological agents or products </w:t>
      </w:r>
      <w:r w:rsidR="00FB1336">
        <w:rPr>
          <w:rFonts w:ascii="Times New Roman" w:eastAsia="SimSun" w:hAnsi="Times New Roman"/>
          <w:kern w:val="22"/>
          <w:lang w:eastAsia="hi-IN" w:bidi="hi-IN"/>
        </w:rPr>
        <w:fldChar w:fldCharType="begin" w:fldLock="1"/>
      </w:r>
      <w:r w:rsidR="00D50DB8">
        <w:rPr>
          <w:rFonts w:ascii="Times New Roman" w:eastAsia="SimSun" w:hAnsi="Times New Roman"/>
          <w:kern w:val="22"/>
          <w:lang w:eastAsia="hi-IN" w:bidi="hi-IN"/>
        </w:rPr>
        <w:instrText>ADDIN CSL_CITATION {"citationItems":[{"id":"ITEM-1","itemData":{"DOI":"10.1007/s10295-018-2026-4","ISSN":"14765535","PMID":"29560534","abstract":"This article describes what may be done by scientists and by the biotechnology industry, generally, to address the safety and security challenges in synthetic biology. Given the technical expertise requirements for developing sound policy options, as well as the importance of these issues to the future of the industry, scientists who work in synthetic biology should be informed about these challenges and get involved in shaping policies relevant to the field.","author":[{"dropping-particle":"","family":"Gronvall","given":"Gigi Kwik","non-dropping-particle":"","parse-names":false,"suffix":""}],"container-title":"Journal of Industrial Microbiology and Biotechnology","id":"ITEM-1","issue":"7","issued":{"date-parts":[["2018"]]},"page":"463-466","publisher":"Springer Verlag","title":"Safety, security, and serving the public interest in synthetic biology","type":"article-journal","volume":"45"},"uris":["http://www.mendeley.com/documents/?uuid=937661e1-267b-4c9e-9fe6-a9bee7fc6050"]}],"mendeley":{"formattedCitation":"(Gronvall, 2018)","plainTextFormattedCitation":"(Gronvall, 2018)","previouslyFormattedCitation":"(Gronvall, 2018)"},"properties":{"noteIndex":0},"schema":"https://github.com/citation-style-language/schema/raw/master/csl-citation.json"}</w:instrText>
      </w:r>
      <w:r w:rsidR="00FB1336">
        <w:rPr>
          <w:rFonts w:ascii="Times New Roman" w:eastAsia="SimSun" w:hAnsi="Times New Roman"/>
          <w:kern w:val="22"/>
          <w:lang w:eastAsia="hi-IN" w:bidi="hi-IN"/>
        </w:rPr>
        <w:fldChar w:fldCharType="separate"/>
      </w:r>
      <w:r w:rsidR="00FB1336" w:rsidRPr="00FB1336">
        <w:rPr>
          <w:rFonts w:ascii="Times New Roman" w:eastAsia="SimSun" w:hAnsi="Times New Roman"/>
          <w:noProof/>
          <w:kern w:val="22"/>
          <w:lang w:eastAsia="hi-IN" w:bidi="hi-IN"/>
        </w:rPr>
        <w:t>(Gronvall, 2018)</w:t>
      </w:r>
      <w:r w:rsidR="00FB1336">
        <w:rPr>
          <w:rFonts w:ascii="Times New Roman" w:eastAsia="SimSun" w:hAnsi="Times New Roman"/>
          <w:kern w:val="22"/>
          <w:lang w:eastAsia="hi-IN" w:bidi="hi-IN"/>
        </w:rPr>
        <w:fldChar w:fldCharType="end"/>
      </w:r>
      <w:r w:rsidR="00C30CAD" w:rsidRPr="00C30CAD">
        <w:rPr>
          <w:rFonts w:ascii="Times New Roman" w:eastAsia="SimSun" w:hAnsi="Times New Roman"/>
          <w:kern w:val="22"/>
          <w:lang w:eastAsia="hi-IN" w:bidi="hi-IN"/>
        </w:rPr>
        <w:t>. Concerns regarding dual-use are considered in Section 5.4.</w:t>
      </w:r>
    </w:p>
    <w:p w14:paraId="78A26FCF" w14:textId="262066B7" w:rsidR="008D396E" w:rsidRPr="00D74615" w:rsidRDefault="008D396E" w:rsidP="003E0E52">
      <w:pPr>
        <w:pStyle w:val="Heading5"/>
        <w:numPr>
          <w:ilvl w:val="1"/>
          <w:numId w:val="13"/>
        </w:numPr>
        <w:tabs>
          <w:tab w:val="clear" w:pos="1440"/>
        </w:tabs>
        <w:ind w:left="284" w:hanging="284"/>
        <w:rPr>
          <w:i w:val="0"/>
          <w:iCs/>
          <w:u w:val="single"/>
        </w:rPr>
      </w:pPr>
      <w:r w:rsidRPr="00D74615">
        <w:rPr>
          <w:i w:val="0"/>
          <w:iCs/>
          <w:u w:val="single"/>
        </w:rPr>
        <w:t>LMOs “intended for direct use as food or feed, or for processing” (Article 11)</w:t>
      </w:r>
      <w:r w:rsidR="00BA4D7C" w:rsidRPr="00D74615">
        <w:rPr>
          <w:i w:val="0"/>
          <w:iCs/>
          <w:u w:val="single"/>
        </w:rPr>
        <w:t>.</w:t>
      </w:r>
    </w:p>
    <w:p w14:paraId="0F26C4C7" w14:textId="77777777" w:rsidR="003E5AEA" w:rsidRDefault="00AE3D82" w:rsidP="001B3C35">
      <w:pPr>
        <w:suppressAutoHyphens/>
        <w:spacing w:after="120" w:line="240" w:lineRule="auto"/>
        <w:jc w:val="both"/>
        <w:rPr>
          <w:rFonts w:ascii="Times New Roman" w:eastAsia="SimSun" w:hAnsi="Times New Roman"/>
          <w:lang w:eastAsia="hi-IN" w:bidi="hi-IN"/>
        </w:rPr>
      </w:pPr>
      <w:r w:rsidRPr="00AE3D82">
        <w:rPr>
          <w:rFonts w:ascii="Times New Roman" w:eastAsia="SimSun" w:hAnsi="Times New Roman"/>
          <w:lang w:eastAsia="hi-IN" w:bidi="hi-IN"/>
        </w:rPr>
        <w:t>The AIA procedure does not apply to the transboundary movement of LMOs intended for direct use as food or feed, or for processing (LMO-FFPs), although developing country Parties or Parties with an economy in transition may, in the absence of a domestic regulatory framework, declare through the Biosafety Clearing-House (BCH) that their decision prior to the first import of an LMO-FFP will be taken according to a risk assessment and a decision made within a predictable timeframe (Article 7, paragraph 2 and Article 11, paragraph 6; Cartagena Protocol). Furthermore, a Party that makes a final decision regarding domestic use of an LMO that may be subject to transboundary movement for direct use as food or feed, or for processing is to inform Parties through the Biosafety Clearing-House and this information is to include a risk assessment report consistent with Annex III of the Protocol (Article 11, paragraph 1 and Annex II (j); Cartagena Protocol). LMO-FFPs must be accompanied by documentation that “clearly identifies that they “may contain” living modified organisms and are not intended for intentional introduction into the environment” (Article 18, paragraph 2(a); Cartagena Protocol).</w:t>
      </w:r>
    </w:p>
    <w:p w14:paraId="3AFFB37E" w14:textId="1AB0C90D" w:rsidR="00AE3D82" w:rsidRDefault="00AE3D82" w:rsidP="00AE31F5">
      <w:pPr>
        <w:pStyle w:val="Heading5"/>
        <w:tabs>
          <w:tab w:val="clear" w:pos="1800"/>
        </w:tabs>
        <w:ind w:left="284" w:hanging="284"/>
        <w:rPr>
          <w:rFonts w:eastAsia="SimSun"/>
          <w:lang w:bidi="hi-IN"/>
        </w:rPr>
      </w:pPr>
      <w:r w:rsidRPr="00AE31F5">
        <w:rPr>
          <w:rFonts w:eastAsia="SimSun"/>
          <w:i w:val="0"/>
          <w:iCs/>
          <w:lang w:bidi="hi-IN"/>
        </w:rPr>
        <w:t>(c)</w:t>
      </w:r>
      <w:r w:rsidRPr="00AE3D82">
        <w:rPr>
          <w:rFonts w:eastAsia="SimSun"/>
          <w:lang w:bidi="hi-IN"/>
        </w:rPr>
        <w:t xml:space="preserve"> Exclusion from provisions of the Cartagena Protocol: pharmaceuticals for humans that are addressed by other relevant international agreements or </w:t>
      </w:r>
      <w:r w:rsidR="0051091F" w:rsidRPr="00AE3D82">
        <w:rPr>
          <w:rFonts w:eastAsia="SimSun"/>
          <w:lang w:bidi="hi-IN"/>
        </w:rPr>
        <w:t>organi</w:t>
      </w:r>
      <w:r w:rsidR="0051091F">
        <w:rPr>
          <w:rFonts w:eastAsia="SimSun"/>
          <w:lang w:bidi="hi-IN"/>
        </w:rPr>
        <w:t>s</w:t>
      </w:r>
      <w:r w:rsidR="0051091F" w:rsidRPr="00AE3D82">
        <w:rPr>
          <w:rFonts w:eastAsia="SimSun"/>
          <w:lang w:bidi="hi-IN"/>
        </w:rPr>
        <w:t xml:space="preserve">ations </w:t>
      </w:r>
      <w:r w:rsidRPr="00AE3D82">
        <w:rPr>
          <w:rFonts w:eastAsia="SimSun"/>
          <w:lang w:bidi="hi-IN"/>
        </w:rPr>
        <w:t>(Article 5).</w:t>
      </w:r>
    </w:p>
    <w:p w14:paraId="1A9F9D98" w14:textId="6162F25E" w:rsidR="001B3C35" w:rsidRPr="008D396E" w:rsidRDefault="001B3C35" w:rsidP="001B3C35">
      <w:pPr>
        <w:suppressAutoHyphens/>
        <w:spacing w:after="120" w:line="240" w:lineRule="auto"/>
        <w:jc w:val="both"/>
        <w:rPr>
          <w:rFonts w:ascii="Times New Roman" w:eastAsia="SimSun" w:hAnsi="Times New Roman"/>
          <w:kern w:val="22"/>
          <w:lang w:eastAsia="hi-IN" w:bidi="hi-IN"/>
        </w:rPr>
      </w:pPr>
      <w:r w:rsidRPr="008D396E">
        <w:rPr>
          <w:rFonts w:ascii="Times New Roman" w:eastAsia="SimSun" w:hAnsi="Times New Roman"/>
          <w:lang w:eastAsia="hi-IN" w:bidi="hi-IN"/>
        </w:rPr>
        <w:t>The Cartagena Protocol does “</w:t>
      </w:r>
      <w:r w:rsidRPr="00A758DC">
        <w:rPr>
          <w:rFonts w:ascii="Times New Roman" w:eastAsia="SimSun" w:hAnsi="Times New Roman"/>
          <w:i/>
          <w:lang w:eastAsia="hi-IN" w:bidi="hi-IN"/>
        </w:rPr>
        <w:t>not apply to the transboundary movement of living modified organisms which are pharmaceuticals for humans that are addressed by other relevant international agreements or organizations</w:t>
      </w:r>
      <w:r w:rsidRPr="008D396E">
        <w:rPr>
          <w:rFonts w:ascii="Times New Roman" w:eastAsia="SimSun" w:hAnsi="Times New Roman"/>
          <w:lang w:eastAsia="hi-IN" w:bidi="hi-IN"/>
        </w:rPr>
        <w:t>” (Article 5 Cartagena Protocol).</w:t>
      </w:r>
      <w:r w:rsidRPr="008D396E">
        <w:rPr>
          <w:rFonts w:ascii="Times New Roman" w:eastAsia="SimSun" w:hAnsi="Times New Roman"/>
          <w:b/>
          <w:lang w:eastAsia="hi-IN" w:bidi="hi-IN"/>
        </w:rPr>
        <w:t xml:space="preserve"> </w:t>
      </w:r>
      <w:r w:rsidRPr="008D396E">
        <w:rPr>
          <w:rFonts w:ascii="Times New Roman" w:eastAsia="SimSun" w:hAnsi="Times New Roman"/>
          <w:lang w:eastAsia="hi-IN" w:bidi="hi-IN"/>
        </w:rPr>
        <w:t xml:space="preserve">Synthetic biology is already being used to produce pharmaceuticals for humans (see Section </w:t>
      </w:r>
      <w:r>
        <w:rPr>
          <w:rFonts w:ascii="Times New Roman" w:eastAsia="SimSun" w:hAnsi="Times New Roman"/>
          <w:lang w:eastAsia="hi-IN" w:bidi="hi-IN"/>
        </w:rPr>
        <w:t>3</w:t>
      </w:r>
      <w:r w:rsidRPr="008D396E">
        <w:rPr>
          <w:rFonts w:ascii="Times New Roman" w:eastAsia="SimSun" w:hAnsi="Times New Roman"/>
          <w:lang w:eastAsia="hi-IN" w:bidi="hi-IN"/>
        </w:rPr>
        <w:t xml:space="preserve">). Synthetic biology techniques are anticipated to play a major role in future pharmaceutical development and production </w:t>
      </w:r>
      <w:r w:rsidR="00D50DB8">
        <w:rPr>
          <w:rFonts w:ascii="Times New Roman" w:eastAsia="SimSun" w:hAnsi="Times New Roman"/>
          <w:lang w:eastAsia="hi-IN" w:bidi="hi-IN"/>
        </w:rPr>
        <w:fldChar w:fldCharType="begin" w:fldLock="1"/>
      </w:r>
      <w:r w:rsidR="00D50DB8">
        <w:rPr>
          <w:rFonts w:ascii="Times New Roman" w:eastAsia="SimSun" w:hAnsi="Times New Roman"/>
          <w:lang w:eastAsia="hi-IN" w:bidi="hi-IN"/>
        </w:rPr>
        <w:instrText>ADDIN CSL_CITATION {"citationItems":[{"id":"ITEM-1","itemData":{"DOI":"10.1016/j.cell.2021.01.017","ISSN":"00928674","author":[{"dropping-particle":"","family":"Tan","given":"Xiao","non-dropping-particle":"","parse-names":false,"suffix":""},{"dropping-particle":"","family":"Letendre","given":"Justin H.","non-dropping-particle":"","parse-names":false,"suffix":""},{"dropping-particle":"","family":"Collins","given":"James J.","non-dropping-particle":"","parse-names":false,"suffix":""},{"dropping-particle":"","family":"Wong","given":"Wilson W.","non-dropping-particle":"","parse-names":false,"suffix":""}],"container-title":"Cell","id":"ITEM-1","issue":"4","issued":{"date-parts":[["2021","2"]]},"page":"881-898","title":"Synthetic biology in the clinic: engineering vaccines, diagnostics, and therapeutics","type":"article-journal","volume":"184"},"uris":["http://www.mendeley.com/documents/?uuid=3854e354-b7cb-4327-a86c-b84a8fdcd581"]}],"mendeley":{"formattedCitation":"(Tan et al., 2021)","plainTextFormattedCitation":"(Tan et al., 2021)","previouslyFormattedCitation":"(Tan et al., 2021)"},"properties":{"noteIndex":0},"schema":"https://github.com/citation-style-language/schema/raw/master/csl-citation.json"}</w:instrText>
      </w:r>
      <w:r w:rsidR="00D50DB8">
        <w:rPr>
          <w:rFonts w:ascii="Times New Roman" w:eastAsia="SimSun" w:hAnsi="Times New Roman"/>
          <w:lang w:eastAsia="hi-IN" w:bidi="hi-IN"/>
        </w:rPr>
        <w:fldChar w:fldCharType="separate"/>
      </w:r>
      <w:r w:rsidR="00D50DB8" w:rsidRPr="00D50DB8">
        <w:rPr>
          <w:rFonts w:ascii="Times New Roman" w:eastAsia="SimSun" w:hAnsi="Times New Roman"/>
          <w:noProof/>
          <w:lang w:eastAsia="hi-IN" w:bidi="hi-IN"/>
        </w:rPr>
        <w:t>(Tan et al., 2021)</w:t>
      </w:r>
      <w:r w:rsidR="00D50DB8">
        <w:rPr>
          <w:rFonts w:ascii="Times New Roman" w:eastAsia="SimSun" w:hAnsi="Times New Roman"/>
          <w:lang w:eastAsia="hi-IN" w:bidi="hi-IN"/>
        </w:rPr>
        <w:fldChar w:fldCharType="end"/>
      </w:r>
      <w:r w:rsidR="00D50DB8">
        <w:rPr>
          <w:rFonts w:ascii="Times New Roman" w:eastAsia="SimSun" w:hAnsi="Times New Roman"/>
          <w:lang w:eastAsia="hi-IN" w:bidi="hi-IN"/>
        </w:rPr>
        <w:t xml:space="preserve"> </w:t>
      </w:r>
      <w:r w:rsidRPr="008D396E">
        <w:rPr>
          <w:rFonts w:ascii="Times New Roman" w:eastAsia="SimSun" w:hAnsi="Times New Roman"/>
          <w:lang w:eastAsia="hi-IN" w:bidi="hi-IN"/>
        </w:rPr>
        <w:t>as is already becoming evident when taking into account synthetic viral vaccines, horsepox and adenovirus vector for coronavirus and SARS-CoV-2 vaccines</w:t>
      </w:r>
      <w:r>
        <w:rPr>
          <w:rFonts w:ascii="Times New Roman" w:eastAsia="SimSun" w:hAnsi="Times New Roman"/>
          <w:lang w:eastAsia="hi-IN" w:bidi="hi-IN"/>
        </w:rPr>
        <w:t xml:space="preserve"> </w:t>
      </w:r>
      <w:r w:rsidR="00D50DB8">
        <w:rPr>
          <w:rFonts w:ascii="Times New Roman" w:eastAsia="SimSun" w:hAnsi="Times New Roman"/>
          <w:lang w:eastAsia="hi-IN" w:bidi="hi-IN"/>
        </w:rPr>
        <w:fldChar w:fldCharType="begin" w:fldLock="1"/>
      </w:r>
      <w:r w:rsidR="00D50DB8">
        <w:rPr>
          <w:rFonts w:ascii="Times New Roman" w:eastAsia="SimSun" w:hAnsi="Times New Roman"/>
          <w:lang w:eastAsia="hi-IN" w:bidi="hi-IN"/>
        </w:rPr>
        <w:instrText>ADDIN CSL_CITATION {"citationItems":[{"id":"ITEM-1","itemData":{"DOI":"10.1038/s41418-020-00720-9","ISSN":"1350-9047","author":[{"dropping-particle":"","family":"Forni","given":"Guido","non-dropping-particle":"","parse-names":false,"suffix":""},{"dropping-particle":"","family":"Mantovani","given":"Alberto","non-dropping-particle":"","parse-names":false,"suffix":""}],"container-title":"Cell Death &amp; Differentiation","id":"ITEM-1","issue":"2","issued":{"date-parts":[["2021","2","21"]]},"page":"626-639","title":"COVID-19 vaccines: where we stand and challenges ahead","type":"article-journal","volume":"28"},"uris":["http://www.mendeley.com/documents/?uuid=78818a5d-8299-410c-a9cb-1dd698889682"]}],"mendeley":{"formattedCitation":"(Forni &amp; Mantovani, 2021)","plainTextFormattedCitation":"(Forni &amp; Mantovani, 2021)","previouslyFormattedCitation":"(Forni &amp; Mantovani, 2021)"},"properties":{"noteIndex":0},"schema":"https://github.com/citation-style-language/schema/raw/master/csl-citation.json"}</w:instrText>
      </w:r>
      <w:r w:rsidR="00D50DB8">
        <w:rPr>
          <w:rFonts w:ascii="Times New Roman" w:eastAsia="SimSun" w:hAnsi="Times New Roman"/>
          <w:lang w:eastAsia="hi-IN" w:bidi="hi-IN"/>
        </w:rPr>
        <w:fldChar w:fldCharType="separate"/>
      </w:r>
      <w:r w:rsidR="00D50DB8" w:rsidRPr="00D50DB8">
        <w:rPr>
          <w:rFonts w:ascii="Times New Roman" w:eastAsia="SimSun" w:hAnsi="Times New Roman"/>
          <w:noProof/>
          <w:lang w:eastAsia="hi-IN" w:bidi="hi-IN"/>
        </w:rPr>
        <w:t>(Forni &amp; Mantovani, 2021)</w:t>
      </w:r>
      <w:r w:rsidR="00D50DB8">
        <w:rPr>
          <w:rFonts w:ascii="Times New Roman" w:eastAsia="SimSun" w:hAnsi="Times New Roman"/>
          <w:lang w:eastAsia="hi-IN" w:bidi="hi-IN"/>
        </w:rPr>
        <w:fldChar w:fldCharType="end"/>
      </w:r>
      <w:r w:rsidR="00A758DC">
        <w:rPr>
          <w:rFonts w:ascii="Times New Roman" w:eastAsia="SimSun" w:hAnsi="Times New Roman"/>
          <w:lang w:eastAsia="hi-IN" w:bidi="hi-IN"/>
        </w:rPr>
        <w:t>.</w:t>
      </w:r>
    </w:p>
    <w:p w14:paraId="786D7F32" w14:textId="4A896B6E" w:rsidR="001B3C35" w:rsidRDefault="001B3C35" w:rsidP="001B3C35">
      <w:pPr>
        <w:suppressAutoHyphens/>
        <w:spacing w:after="120" w:line="240" w:lineRule="auto"/>
        <w:jc w:val="both"/>
        <w:rPr>
          <w:rFonts w:ascii="Times New Roman" w:eastAsia="SimSun" w:hAnsi="Times New Roman"/>
          <w:lang w:eastAsia="hi-IN" w:bidi="hi-IN"/>
        </w:rPr>
      </w:pPr>
      <w:r w:rsidRPr="008D396E">
        <w:rPr>
          <w:rFonts w:ascii="Times New Roman" w:eastAsia="SimSun" w:hAnsi="Times New Roman"/>
          <w:lang w:eastAsia="hi-IN" w:bidi="hi-IN"/>
        </w:rPr>
        <w:t>Where synthetic biology organisms are being used as “biofactories” to produce pharmaceuticals such as in the case of artemisinin; the organisms themselves are not pharmaceuticals. These organisms therefore are not eligible for exemption under Article 5 (</w:t>
      </w:r>
      <w:r w:rsidRPr="00A758DC">
        <w:rPr>
          <w:rFonts w:ascii="Times New Roman" w:eastAsia="SimSun" w:hAnsi="Times New Roman"/>
          <w:lang w:eastAsia="hi-IN" w:bidi="hi-IN"/>
        </w:rPr>
        <w:t>see</w:t>
      </w:r>
      <w:r w:rsidRPr="05AB8D9A">
        <w:rPr>
          <w:rFonts w:ascii="Times New Roman" w:eastAsia="SimSun" w:hAnsi="Times New Roman"/>
          <w:i/>
          <w:iCs/>
          <w:lang w:eastAsia="hi-IN" w:bidi="hi-IN"/>
        </w:rPr>
        <w:t xml:space="preserve"> </w:t>
      </w:r>
      <w:r w:rsidR="00D50DB8">
        <w:rPr>
          <w:rFonts w:ascii="Times New Roman" w:eastAsia="SimSun" w:hAnsi="Times New Roman"/>
          <w:lang w:eastAsia="hi-IN" w:bidi="hi-IN"/>
        </w:rPr>
        <w:fldChar w:fldCharType="begin" w:fldLock="1"/>
      </w:r>
      <w:r w:rsidR="00D50DB8">
        <w:rPr>
          <w:rFonts w:ascii="Times New Roman" w:eastAsia="SimSun" w:hAnsi="Times New Roman"/>
          <w:lang w:eastAsia="hi-IN" w:bidi="hi-IN"/>
        </w:rPr>
        <w:instrText>ADDIN CSL_CITATION {"citationItems":[{"id":"ITEM-1","itemData":{"author":[{"dropping-particle":"","family":"Ascencio","given":"Alfonso","non-dropping-particle":"","parse-names":false,"suffix":""},{"dropping-particle":"","family":"Burhenne-Guilmin","given":"Françoise","non-dropping-particle":"","parse-names":false,"suffix":""},{"dropping-particle":"","family":"Kinderlerer","given":"Julian","non-dropping-particle":"","parse-names":false,"suffix":""},{"dropping-particle":"","family":"Kummer","given":"Katharina","non-dropping-particle":"","parse-names":false,"suffix":""},{"dropping-particle":"","family":"Viña","given":"Antonio","non-dropping-particle":"La","parse-names":false,"suffix":""},{"dropping-particle":"","family":"Mackenzie","given":"Ruth","non-dropping-particle":"","parse-names":false,"suffix":""},{"dropping-particle":"","family":"Tapper","given":"Richard","non-dropping-particle":"","parse-names":false,"suffix":""},{"dropping-particle":"","family":"Werksman","given":"Jacob D","non-dropping-particle":"","parse-names":false,"suffix":""}],"collection-title":"36690","id":"ITEM-1","issued":{"date-parts":[["2003"]]},"title":"An explanatory guide to the Cartagena protocol on biosafety","type":"report"},"uris":["http://www.mendeley.com/documents/?uuid=d3065aa0-5fb9-4656-adb1-6dd0a81a87e1"]}],"mendeley":{"formattedCitation":"(Ascencio et al., 2003)","manualFormatting":"Ascencio et al., 2003)","plainTextFormattedCitation":"(Ascencio et al., 2003)","previouslyFormattedCitation":"(Ascencio et al., 2003)"},"properties":{"noteIndex":0},"schema":"https://github.com/citation-style-language/schema/raw/master/csl-citation.json"}</w:instrText>
      </w:r>
      <w:r w:rsidR="00D50DB8">
        <w:rPr>
          <w:rFonts w:ascii="Times New Roman" w:eastAsia="SimSun" w:hAnsi="Times New Roman"/>
          <w:lang w:eastAsia="hi-IN" w:bidi="hi-IN"/>
        </w:rPr>
        <w:fldChar w:fldCharType="separate"/>
      </w:r>
      <w:r w:rsidR="00D50DB8" w:rsidRPr="00D50DB8">
        <w:rPr>
          <w:rFonts w:ascii="Times New Roman" w:eastAsia="SimSun" w:hAnsi="Times New Roman"/>
          <w:noProof/>
          <w:lang w:eastAsia="hi-IN" w:bidi="hi-IN"/>
        </w:rPr>
        <w:t>Ascencio et al., 2003)</w:t>
      </w:r>
      <w:r w:rsidR="00D50DB8">
        <w:rPr>
          <w:rFonts w:ascii="Times New Roman" w:eastAsia="SimSun" w:hAnsi="Times New Roman"/>
          <w:lang w:eastAsia="hi-IN" w:bidi="hi-IN"/>
        </w:rPr>
        <w:fldChar w:fldCharType="end"/>
      </w:r>
      <w:r w:rsidRPr="008D396E">
        <w:rPr>
          <w:rFonts w:ascii="Times New Roman" w:eastAsia="SimSun" w:hAnsi="Times New Roman"/>
          <w:lang w:eastAsia="hi-IN" w:bidi="hi-IN"/>
        </w:rPr>
        <w:t>. Vaccines produced using synthetic biology techniques, however, would likely be considered pharmaceuticals under Article 5 of the Cartagena Protocol</w:t>
      </w:r>
      <w:r w:rsidRPr="008D396E">
        <w:rPr>
          <w:rFonts w:ascii="Times New Roman" w:eastAsia="SimSun" w:hAnsi="Times New Roman"/>
          <w:kern w:val="22"/>
          <w:vertAlign w:val="superscript"/>
          <w:lang w:eastAsia="hi-IN" w:bidi="hi-IN"/>
        </w:rPr>
        <w:footnoteReference w:id="51"/>
      </w:r>
      <w:r>
        <w:rPr>
          <w:rFonts w:ascii="Times New Roman" w:eastAsia="SimSun" w:hAnsi="Times New Roman"/>
          <w:lang w:eastAsia="hi-IN" w:bidi="hi-IN"/>
        </w:rPr>
        <w:t>.</w:t>
      </w:r>
      <w:r w:rsidRPr="008D396E">
        <w:rPr>
          <w:rFonts w:ascii="Times New Roman" w:eastAsia="SimSun" w:hAnsi="Times New Roman"/>
          <w:lang w:eastAsia="hi-IN" w:bidi="hi-IN"/>
        </w:rPr>
        <w:t xml:space="preserve"> Future advances in synthetic biology, such as gene therapy through artificial chromosomes and modifying bacteria and viruses to identify malignant cells and deliver therapeutic agents may be considered pharmaceuticals.</w:t>
      </w:r>
    </w:p>
    <w:p w14:paraId="37EB195F" w14:textId="6C26ACF1" w:rsidR="001B3C35" w:rsidRPr="008D396E" w:rsidRDefault="001B3C35" w:rsidP="00A758DC">
      <w:pPr>
        <w:suppressAutoHyphens/>
        <w:spacing w:after="120" w:line="240" w:lineRule="auto"/>
        <w:jc w:val="both"/>
        <w:rPr>
          <w:rFonts w:ascii="Times New Roman" w:eastAsia="SimSun" w:hAnsi="Times New Roman"/>
          <w:kern w:val="22"/>
          <w:lang w:eastAsia="hi-IN" w:bidi="hi-IN"/>
        </w:rPr>
      </w:pPr>
      <w:r w:rsidRPr="008A6F71">
        <w:rPr>
          <w:rFonts w:ascii="Times New Roman" w:eastAsia="SimSun" w:hAnsi="Times New Roman"/>
          <w:lang w:eastAsia="hi-IN" w:bidi="hi-IN"/>
        </w:rPr>
        <w:t>LMOs that are pharmaceuticals for humans must also be addressed by other relevant international agreements or organisations to be exempted from the Cartagena Protocol. It is unclear to what extent LMOs that are pharmaceuticals for humans would need to be “addressed” by other international agreement or organisation to qualify for the Article 5 exemption. In particular, it is an open question whether the agreement or organisation must address the biodiversity impacts of the LMO (</w:t>
      </w:r>
      <w:r w:rsidR="00D50DB8">
        <w:rPr>
          <w:rFonts w:ascii="Times New Roman" w:eastAsia="SimSun" w:hAnsi="Times New Roman"/>
          <w:lang w:eastAsia="hi-IN" w:bidi="hi-IN"/>
        </w:rPr>
        <w:fldChar w:fldCharType="begin" w:fldLock="1"/>
      </w:r>
      <w:r w:rsidR="00D50DB8">
        <w:rPr>
          <w:rFonts w:ascii="Times New Roman" w:eastAsia="SimSun" w:hAnsi="Times New Roman"/>
          <w:lang w:eastAsia="hi-IN" w:bidi="hi-IN"/>
        </w:rPr>
        <w:instrText>ADDIN CSL_CITATION {"citationItems":[{"id":"ITEM-1","itemData":{"author":[{"dropping-particle":"","family":"Ascencio","given":"Alfonso","non-dropping-particle":"","parse-names":false,"suffix":""},{"dropping-particle":"","family":"Burhenne-Guilmin","given":"Françoise","non-dropping-particle":"","parse-names":false,"suffix":""},{"dropping-particle":"","family":"Kinderlerer","given":"Julian","non-dropping-particle":"","parse-names":false,"suffix":""},{"dropping-particle":"","family":"Kummer","given":"Katharina","non-dropping-particle":"","parse-names":false,"suffix":""},{"dropping-particle":"","family":"Viña","given":"Antonio","non-dropping-particle":"La","parse-names":false,"suffix":""},{"dropping-particle":"","family":"Mackenzie","given":"Ruth","non-dropping-particle":"","parse-names":false,"suffix":""},{"dropping-particle":"","family":"Tapper","given":"Richard","non-dropping-particle":"","parse-names":false,"suffix":""},{"dropping-particle":"","family":"Werksman","given":"Jacob D","non-dropping-particle":"","parse-names":false,"suffix":""}],"collection-title":"36690","id":"ITEM-1","issued":{"date-parts":[["2003"]]},"title":"An explanatory guide to the Cartagena protocol on biosafety","type":"report"},"uris":["http://www.mendeley.com/documents/?uuid=d3065aa0-5fb9-4656-adb1-6dd0a81a87e1"]}],"mendeley":{"formattedCitation":"(Ascencio et al., 2003)","manualFormatting":"Ascencio et al., 2003)","plainTextFormattedCitation":"(Ascencio et al., 2003)","previouslyFormattedCitation":"(Ascencio et al., 2003)"},"properties":{"noteIndex":0},"schema":"https://github.com/citation-style-language/schema/raw/master/csl-citation.json"}</w:instrText>
      </w:r>
      <w:r w:rsidR="00D50DB8">
        <w:rPr>
          <w:rFonts w:ascii="Times New Roman" w:eastAsia="SimSun" w:hAnsi="Times New Roman"/>
          <w:lang w:eastAsia="hi-IN" w:bidi="hi-IN"/>
        </w:rPr>
        <w:fldChar w:fldCharType="separate"/>
      </w:r>
      <w:r w:rsidR="00D50DB8" w:rsidRPr="00D50DB8">
        <w:rPr>
          <w:rFonts w:ascii="Times New Roman" w:eastAsia="SimSun" w:hAnsi="Times New Roman"/>
          <w:noProof/>
          <w:lang w:eastAsia="hi-IN" w:bidi="hi-IN"/>
        </w:rPr>
        <w:t>Ascencio et al., 2003)</w:t>
      </w:r>
      <w:r w:rsidR="00D50DB8">
        <w:rPr>
          <w:rFonts w:ascii="Times New Roman" w:eastAsia="SimSun" w:hAnsi="Times New Roman"/>
          <w:lang w:eastAsia="hi-IN" w:bidi="hi-IN"/>
        </w:rPr>
        <w:fldChar w:fldCharType="end"/>
      </w:r>
      <w:r w:rsidRPr="008A6F71">
        <w:rPr>
          <w:rFonts w:ascii="Times New Roman" w:eastAsia="SimSun" w:hAnsi="Times New Roman"/>
          <w:lang w:eastAsia="hi-IN" w:bidi="hi-IN"/>
        </w:rPr>
        <w:t xml:space="preserve">. Currently, none of the organisms produced through synthetic biology that are intended to be used as pharmaceuticals for humans are directly addressed by other relevant international agreements or organisations. For example, a commonly invoked promise of synthetic biology is the rapid development of vaccines using viruses </w:t>
      </w:r>
      <w:r w:rsidR="00D50DB8">
        <w:rPr>
          <w:rFonts w:ascii="Times New Roman" w:eastAsia="SimSun" w:hAnsi="Times New Roman"/>
          <w:lang w:eastAsia="hi-IN" w:bidi="hi-IN"/>
        </w:rPr>
        <w:fldChar w:fldCharType="begin" w:fldLock="1"/>
      </w:r>
      <w:r w:rsidR="0073383D">
        <w:rPr>
          <w:rFonts w:ascii="Times New Roman" w:eastAsia="SimSun" w:hAnsi="Times New Roman"/>
          <w:lang w:eastAsia="hi-IN" w:bidi="hi-IN"/>
        </w:rPr>
        <w:instrText>ADDIN CSL_CITATION {"citationItems":[{"id":"ITEM-1","itemData":{"author":[{"dropping-particle":"","family":"The Royal Academy of Engineering","given":"","non-dropping-particle":"","parse-names":false,"suffix":""}],"id":"ITEM-1","issued":{"date-parts":[["2009"]]},"publisher-place":"London, UK","title":"Synthetic Biology: scope, applications and implications","type":"report"},"uris":["http://www.mendeley.com/documents/?uuid=695b4b59-9ae0-455f-8ce0-ba6220a774b5"]},{"id":"ITEM-2","itemData":{"author":[{"dropping-particle":"","family":"Presidential Commission for the Study of Bioethical Issues","given":"","non-dropping-particle":"","parse-names":false,"suffix":""}],"id":"ITEM-2","issued":{"date-parts":[["2010"]]},"title":"New Directions: The Ethics of Synthetic Biology and Emerging Technologies","type":"article"},"uris":["http://www.mendeley.com/documents/?uuid=d4b11ad4-29d7-42e8-a4b8-3013539ebc9d"]},{"id":"ITEM-3","itemData":{"DOI":"10.1038/d41586-020-00053-0","ISSN":"0028-0836","author":[{"dropping-particle":"","family":"Dolgin","given":"Elie","non-dropping-particle":"","parse-names":false,"suffix":""}],"container-title":"Nature","id":"ITEM-3","issue":"7790","issued":{"date-parts":[["2020","1","15"]]},"page":"308-310","title":"The kill-switch for CRISPR that could make gene-editing safer","type":"article-journal","volume":"577"},"uris":["http://www.mendeley.com/documents/?uuid=c9506bac-96b9-451a-8755-dcad4bdffbfd"]}],"mendeley":{"formattedCitation":"(Dolgin, 2020; Presidential Commission for the Study of Bioethical Issues, 2010; The Royal Academy of Engineering, 2009)","manualFormatting":"(Dolgin, 2020; PCSBI, 2010; RAE, 2009)","plainTextFormattedCitation":"(Dolgin, 2020; Presidential Commission for the Study of Bioethical Issues, 2010; The Royal Academy of Engineering, 2009)","previouslyFormattedCitation":"(Dolgin, 2020; Presidential Commission for the Study of Bioethical Issues, 2010; The Royal Academy of Engineering, 2009)"},"properties":{"noteIndex":0},"schema":"https://github.com/citation-style-language/schema/raw/master/csl-citation.json"}</w:instrText>
      </w:r>
      <w:r w:rsidR="00D50DB8">
        <w:rPr>
          <w:rFonts w:ascii="Times New Roman" w:eastAsia="SimSun" w:hAnsi="Times New Roman"/>
          <w:lang w:eastAsia="hi-IN" w:bidi="hi-IN"/>
        </w:rPr>
        <w:fldChar w:fldCharType="separate"/>
      </w:r>
      <w:r w:rsidR="00D50DB8" w:rsidRPr="00D50DB8">
        <w:rPr>
          <w:rFonts w:ascii="Times New Roman" w:eastAsia="SimSun" w:hAnsi="Times New Roman"/>
          <w:noProof/>
          <w:lang w:eastAsia="hi-IN" w:bidi="hi-IN"/>
        </w:rPr>
        <w:t>(Dolgin, 2020; P</w:t>
      </w:r>
      <w:r w:rsidR="00D50DB8">
        <w:rPr>
          <w:rFonts w:ascii="Times New Roman" w:eastAsia="SimSun" w:hAnsi="Times New Roman"/>
          <w:noProof/>
          <w:lang w:eastAsia="hi-IN" w:bidi="hi-IN"/>
        </w:rPr>
        <w:t>CSBI,</w:t>
      </w:r>
      <w:r w:rsidR="00D50DB8" w:rsidRPr="00D50DB8">
        <w:rPr>
          <w:rFonts w:ascii="Times New Roman" w:eastAsia="SimSun" w:hAnsi="Times New Roman"/>
          <w:noProof/>
          <w:lang w:eastAsia="hi-IN" w:bidi="hi-IN"/>
        </w:rPr>
        <w:t xml:space="preserve"> 2010; </w:t>
      </w:r>
      <w:r w:rsidR="00D50DB8">
        <w:rPr>
          <w:rFonts w:ascii="Times New Roman" w:eastAsia="SimSun" w:hAnsi="Times New Roman"/>
          <w:noProof/>
          <w:lang w:eastAsia="hi-IN" w:bidi="hi-IN"/>
        </w:rPr>
        <w:t>RAE</w:t>
      </w:r>
      <w:r w:rsidR="00D50DB8" w:rsidRPr="00D50DB8">
        <w:rPr>
          <w:rFonts w:ascii="Times New Roman" w:eastAsia="SimSun" w:hAnsi="Times New Roman"/>
          <w:noProof/>
          <w:lang w:eastAsia="hi-IN" w:bidi="hi-IN"/>
        </w:rPr>
        <w:t>, 2009)</w:t>
      </w:r>
      <w:r w:rsidR="00D50DB8">
        <w:rPr>
          <w:rFonts w:ascii="Times New Roman" w:eastAsia="SimSun" w:hAnsi="Times New Roman"/>
          <w:lang w:eastAsia="hi-IN" w:bidi="hi-IN"/>
        </w:rPr>
        <w:fldChar w:fldCharType="end"/>
      </w:r>
      <w:r w:rsidRPr="008A6F71">
        <w:rPr>
          <w:rFonts w:ascii="Times New Roman" w:eastAsia="SimSun" w:hAnsi="Times New Roman"/>
          <w:lang w:eastAsia="hi-IN" w:bidi="hi-IN"/>
        </w:rPr>
        <w:t>. Therefore, such living organisms would fall under the Cartagena Protocol’s scope</w:t>
      </w:r>
      <w:r>
        <w:rPr>
          <w:rFonts w:ascii="Times New Roman" w:eastAsia="SimSun" w:hAnsi="Times New Roman"/>
          <w:lang w:eastAsia="hi-IN" w:bidi="hi-IN"/>
        </w:rPr>
        <w:t>.</w:t>
      </w:r>
    </w:p>
    <w:p w14:paraId="08FB23AC" w14:textId="6F4FCE1F" w:rsidR="008D396E" w:rsidRPr="002406C0" w:rsidRDefault="008D396E" w:rsidP="00ED4C85">
      <w:pPr>
        <w:pStyle w:val="Heading4"/>
        <w:rPr>
          <w:rFonts w:asciiTheme="minorHAnsi" w:hAnsiTheme="minorHAnsi"/>
          <w:b w:val="0"/>
          <w:lang w:val="en-US"/>
        </w:rPr>
      </w:pPr>
      <w:r w:rsidRPr="002406C0">
        <w:rPr>
          <w:i w:val="0"/>
        </w:rPr>
        <w:t>8.2.</w:t>
      </w:r>
      <w:r w:rsidR="00063A1D">
        <w:rPr>
          <w:i w:val="0"/>
          <w:lang w:val="en-GB"/>
        </w:rPr>
        <w:t>3</w:t>
      </w:r>
      <w:r w:rsidRPr="002406C0">
        <w:rPr>
          <w:i w:val="0"/>
        </w:rPr>
        <w:t xml:space="preserve">. Other </w:t>
      </w:r>
      <w:r w:rsidR="006A0A43">
        <w:rPr>
          <w:i w:val="0"/>
          <w:lang w:val="en-GB"/>
        </w:rPr>
        <w:t xml:space="preserve">relevant </w:t>
      </w:r>
      <w:r w:rsidRPr="002406C0">
        <w:rPr>
          <w:i w:val="0"/>
        </w:rPr>
        <w:t>provisions of the Protocol</w:t>
      </w:r>
      <w:r w:rsidR="00BA4D7C" w:rsidRPr="002406C0">
        <w:rPr>
          <w:rFonts w:asciiTheme="minorHAnsi" w:hAnsiTheme="minorHAnsi"/>
          <w:i w:val="0"/>
        </w:rPr>
        <w:t>.</w:t>
      </w:r>
    </w:p>
    <w:p w14:paraId="3B130878" w14:textId="7562D801" w:rsidR="00FB0CA7" w:rsidRDefault="00397166" w:rsidP="007C35A7">
      <w:pPr>
        <w:spacing w:before="120" w:after="120" w:line="240" w:lineRule="exact"/>
        <w:jc w:val="both"/>
        <w:rPr>
          <w:rFonts w:ascii="Times New Roman" w:eastAsia="Times New Roman" w:hAnsi="Times New Roman"/>
          <w:kern w:val="1"/>
          <w:szCs w:val="24"/>
          <w:lang w:val="en-CA" w:eastAsia="ar-SA"/>
        </w:rPr>
      </w:pPr>
      <w:r w:rsidRPr="007C35A7">
        <w:rPr>
          <w:rFonts w:ascii="Times New Roman" w:eastAsia="Times New Roman" w:hAnsi="Times New Roman"/>
          <w:kern w:val="1"/>
          <w:szCs w:val="24"/>
          <w:lang w:val="en-CA" w:eastAsia="ar-SA"/>
        </w:rPr>
        <w:t xml:space="preserve">Other provisions of the Protocol which may potentially be relevant to the </w:t>
      </w:r>
      <w:r w:rsidR="00895347">
        <w:rPr>
          <w:rFonts w:ascii="Times New Roman" w:eastAsia="Times New Roman" w:hAnsi="Times New Roman"/>
          <w:kern w:val="1"/>
          <w:szCs w:val="24"/>
          <w:lang w:val="en-CA" w:eastAsia="ar-SA"/>
        </w:rPr>
        <w:t>regulation of</w:t>
      </w:r>
      <w:r w:rsidRPr="007C35A7">
        <w:rPr>
          <w:rFonts w:ascii="Times New Roman" w:eastAsia="Times New Roman" w:hAnsi="Times New Roman"/>
          <w:kern w:val="1"/>
          <w:szCs w:val="24"/>
          <w:lang w:val="en-CA" w:eastAsia="ar-SA"/>
        </w:rPr>
        <w:t xml:space="preserve"> synthetic biology </w:t>
      </w:r>
      <w:r w:rsidR="00895347">
        <w:rPr>
          <w:rFonts w:ascii="Times New Roman" w:eastAsia="Times New Roman" w:hAnsi="Times New Roman"/>
          <w:kern w:val="1"/>
          <w:szCs w:val="24"/>
          <w:lang w:val="en-CA" w:eastAsia="ar-SA"/>
        </w:rPr>
        <w:t xml:space="preserve">applications </w:t>
      </w:r>
      <w:r w:rsidRPr="007C35A7">
        <w:rPr>
          <w:rFonts w:ascii="Times New Roman" w:eastAsia="Times New Roman" w:hAnsi="Times New Roman"/>
          <w:kern w:val="1"/>
          <w:szCs w:val="24"/>
          <w:lang w:val="en-CA" w:eastAsia="ar-SA"/>
        </w:rPr>
        <w:t>include</w:t>
      </w:r>
      <w:r w:rsidR="003D4262" w:rsidRPr="007C35A7">
        <w:rPr>
          <w:rFonts w:ascii="Times New Roman" w:eastAsia="Times New Roman" w:hAnsi="Times New Roman"/>
          <w:kern w:val="1"/>
          <w:szCs w:val="24"/>
          <w:lang w:val="en-CA" w:eastAsia="ar-SA"/>
        </w:rPr>
        <w:t xml:space="preserve"> the following</w:t>
      </w:r>
      <w:r w:rsidRPr="007C35A7">
        <w:rPr>
          <w:rFonts w:ascii="Times New Roman" w:eastAsia="Times New Roman" w:hAnsi="Times New Roman"/>
          <w:kern w:val="1"/>
          <w:szCs w:val="24"/>
          <w:lang w:val="en-CA" w:eastAsia="ar-SA"/>
        </w:rPr>
        <w:t>:</w:t>
      </w:r>
    </w:p>
    <w:p w14:paraId="4F5BB7CA" w14:textId="2E54559A" w:rsidR="000239AB" w:rsidRPr="00474099" w:rsidRDefault="0055789D" w:rsidP="007C35A7">
      <w:pPr>
        <w:pStyle w:val="Heading5"/>
        <w:tabs>
          <w:tab w:val="clear" w:pos="1800"/>
        </w:tabs>
        <w:ind w:left="284" w:hanging="284"/>
        <w:jc w:val="both"/>
        <w:rPr>
          <w:lang w:val="en-GB"/>
        </w:rPr>
      </w:pPr>
      <w:r>
        <w:rPr>
          <w:i w:val="0"/>
          <w:iCs/>
          <w:lang w:val="en-GB"/>
        </w:rPr>
        <w:t xml:space="preserve">(a) </w:t>
      </w:r>
      <w:r w:rsidR="00BD2149" w:rsidRPr="00474099">
        <w:rPr>
          <w:lang w:val="en-GB"/>
        </w:rPr>
        <w:t>U</w:t>
      </w:r>
      <w:r w:rsidR="000239AB" w:rsidRPr="00474099">
        <w:rPr>
          <w:lang w:val="en-GB"/>
        </w:rPr>
        <w:t>nintentional transboundary movements and emergency measures</w:t>
      </w:r>
      <w:r w:rsidR="00CE3085">
        <w:rPr>
          <w:lang w:val="en-GB"/>
        </w:rPr>
        <w:t>.</w:t>
      </w:r>
    </w:p>
    <w:p w14:paraId="11D33C65" w14:textId="4BA91B18" w:rsidR="000239AB" w:rsidRDefault="006A0A43" w:rsidP="007C35A7">
      <w:pPr>
        <w:spacing w:before="120" w:after="120" w:line="240" w:lineRule="exact"/>
        <w:jc w:val="both"/>
        <w:rPr>
          <w:rFonts w:ascii="Times New Roman" w:eastAsia="Times New Roman" w:hAnsi="Times New Roman"/>
          <w:bCs/>
          <w:iCs/>
          <w:kern w:val="1"/>
          <w:szCs w:val="26"/>
          <w:lang w:eastAsia="ar-SA"/>
        </w:rPr>
      </w:pPr>
      <w:r w:rsidRPr="006A0A43">
        <w:rPr>
          <w:rFonts w:ascii="Times New Roman" w:eastAsia="Times New Roman" w:hAnsi="Times New Roman"/>
          <w:bCs/>
          <w:iCs/>
          <w:kern w:val="1"/>
          <w:szCs w:val="26"/>
          <w:lang w:eastAsia="ar-SA"/>
        </w:rPr>
        <w:t>Article 17 deals with the unintentional transboundary movements and emergency measures</w:t>
      </w:r>
      <w:r w:rsidR="0047727A">
        <w:rPr>
          <w:rFonts w:ascii="Times New Roman" w:eastAsia="Times New Roman" w:hAnsi="Times New Roman"/>
          <w:bCs/>
          <w:iCs/>
          <w:kern w:val="1"/>
          <w:szCs w:val="26"/>
          <w:lang w:eastAsia="ar-SA"/>
        </w:rPr>
        <w:t xml:space="preserve"> i</w:t>
      </w:r>
      <w:r w:rsidR="00201B79">
        <w:rPr>
          <w:rFonts w:ascii="Times New Roman" w:eastAsia="Times New Roman" w:hAnsi="Times New Roman"/>
          <w:bCs/>
          <w:iCs/>
          <w:kern w:val="1"/>
          <w:szCs w:val="26"/>
          <w:lang w:eastAsia="ar-SA"/>
        </w:rPr>
        <w:t xml:space="preserve">n order to </w:t>
      </w:r>
      <w:r w:rsidR="009F426E">
        <w:rPr>
          <w:rFonts w:ascii="Times New Roman" w:eastAsia="Times New Roman" w:hAnsi="Times New Roman"/>
          <w:bCs/>
          <w:iCs/>
          <w:kern w:val="1"/>
          <w:szCs w:val="26"/>
          <w:lang w:eastAsia="ar-SA"/>
        </w:rPr>
        <w:t>avoid or m</w:t>
      </w:r>
      <w:r w:rsidR="00201B79">
        <w:rPr>
          <w:rFonts w:ascii="Times New Roman" w:eastAsia="Times New Roman" w:hAnsi="Times New Roman"/>
          <w:bCs/>
          <w:iCs/>
          <w:kern w:val="1"/>
          <w:szCs w:val="26"/>
          <w:lang w:eastAsia="ar-SA"/>
        </w:rPr>
        <w:t>inimi</w:t>
      </w:r>
      <w:r w:rsidR="004100B3">
        <w:rPr>
          <w:rFonts w:ascii="Times New Roman" w:eastAsia="Times New Roman" w:hAnsi="Times New Roman"/>
          <w:bCs/>
          <w:iCs/>
          <w:kern w:val="1"/>
          <w:szCs w:val="26"/>
          <w:lang w:eastAsia="ar-SA"/>
        </w:rPr>
        <w:t>s</w:t>
      </w:r>
      <w:r w:rsidR="00201B79">
        <w:rPr>
          <w:rFonts w:ascii="Times New Roman" w:eastAsia="Times New Roman" w:hAnsi="Times New Roman"/>
          <w:bCs/>
          <w:iCs/>
          <w:kern w:val="1"/>
          <w:szCs w:val="26"/>
          <w:lang w:eastAsia="ar-SA"/>
        </w:rPr>
        <w:t xml:space="preserve">e </w:t>
      </w:r>
      <w:r w:rsidR="009F426E" w:rsidRPr="009F426E">
        <w:rPr>
          <w:rFonts w:ascii="Times New Roman" w:eastAsia="Times New Roman" w:hAnsi="Times New Roman"/>
          <w:bCs/>
          <w:iCs/>
          <w:kern w:val="1"/>
          <w:szCs w:val="26"/>
          <w:lang w:eastAsia="ar-SA"/>
        </w:rPr>
        <w:t>risks to biodiversity and human health within</w:t>
      </w:r>
      <w:r w:rsidR="009F426E">
        <w:rPr>
          <w:rFonts w:ascii="Times New Roman" w:eastAsia="Times New Roman" w:hAnsi="Times New Roman"/>
          <w:bCs/>
          <w:iCs/>
          <w:kern w:val="1"/>
          <w:szCs w:val="26"/>
          <w:lang w:eastAsia="ar-SA"/>
        </w:rPr>
        <w:t xml:space="preserve"> </w:t>
      </w:r>
      <w:r w:rsidR="009F426E" w:rsidRPr="009F426E">
        <w:rPr>
          <w:rFonts w:ascii="Times New Roman" w:eastAsia="Times New Roman" w:hAnsi="Times New Roman"/>
          <w:bCs/>
          <w:iCs/>
          <w:kern w:val="1"/>
          <w:szCs w:val="26"/>
          <w:lang w:eastAsia="ar-SA"/>
        </w:rPr>
        <w:t>the jurisdiction of other States</w:t>
      </w:r>
      <w:r w:rsidR="0047727A">
        <w:rPr>
          <w:rFonts w:ascii="Times New Roman" w:eastAsia="Times New Roman" w:hAnsi="Times New Roman"/>
          <w:bCs/>
          <w:iCs/>
          <w:kern w:val="1"/>
          <w:szCs w:val="26"/>
          <w:lang w:eastAsia="ar-SA"/>
        </w:rPr>
        <w:t>. W</w:t>
      </w:r>
      <w:r w:rsidRPr="006A0A43">
        <w:rPr>
          <w:rFonts w:ascii="Times New Roman" w:eastAsia="Times New Roman" w:hAnsi="Times New Roman"/>
          <w:bCs/>
          <w:iCs/>
          <w:kern w:val="1"/>
          <w:szCs w:val="26"/>
          <w:lang w:eastAsia="ar-SA"/>
        </w:rPr>
        <w:t>here an unintentional transboundary movement occurs within the jurisdiction of a Party, the Party is under an obligation to notify any affected or potentially affected States, the Biosafety Clearing-House and international organi</w:t>
      </w:r>
      <w:r w:rsidR="003C7669">
        <w:rPr>
          <w:rFonts w:ascii="Times New Roman" w:eastAsia="Times New Roman" w:hAnsi="Times New Roman"/>
          <w:bCs/>
          <w:iCs/>
          <w:kern w:val="1"/>
          <w:szCs w:val="26"/>
          <w:lang w:eastAsia="ar-SA"/>
        </w:rPr>
        <w:t>s</w:t>
      </w:r>
      <w:r w:rsidRPr="006A0A43">
        <w:rPr>
          <w:rFonts w:ascii="Times New Roman" w:eastAsia="Times New Roman" w:hAnsi="Times New Roman"/>
          <w:bCs/>
          <w:iCs/>
          <w:kern w:val="1"/>
          <w:szCs w:val="26"/>
          <w:lang w:eastAsia="ar-SA"/>
        </w:rPr>
        <w:t xml:space="preserve">ations where appropriate. </w:t>
      </w:r>
      <w:r w:rsidR="009F426E">
        <w:rPr>
          <w:rFonts w:ascii="Times New Roman" w:eastAsia="Times New Roman" w:hAnsi="Times New Roman"/>
          <w:bCs/>
          <w:iCs/>
          <w:kern w:val="1"/>
          <w:szCs w:val="26"/>
          <w:lang w:eastAsia="ar-SA"/>
        </w:rPr>
        <w:t>W</w:t>
      </w:r>
      <w:r w:rsidRPr="006A0A43">
        <w:rPr>
          <w:rFonts w:ascii="Times New Roman" w:eastAsia="Times New Roman" w:hAnsi="Times New Roman"/>
          <w:bCs/>
          <w:iCs/>
          <w:kern w:val="1"/>
          <w:szCs w:val="26"/>
          <w:lang w:eastAsia="ar-SA"/>
        </w:rPr>
        <w:t>here the affected or potentially affected State is not a Party to the Cartagena Protocol, it must be notified in line with principles of international customary laws</w:t>
      </w:r>
      <w:r w:rsidR="000A2541">
        <w:rPr>
          <w:rFonts w:ascii="Times New Roman" w:eastAsia="Times New Roman" w:hAnsi="Times New Roman"/>
          <w:bCs/>
          <w:iCs/>
          <w:kern w:val="1"/>
          <w:szCs w:val="26"/>
          <w:lang w:eastAsia="ar-SA"/>
        </w:rPr>
        <w:t xml:space="preserve">. The </w:t>
      </w:r>
      <w:r w:rsidR="000A2541" w:rsidRPr="000A2541">
        <w:rPr>
          <w:rFonts w:ascii="Times New Roman" w:eastAsia="Times New Roman" w:hAnsi="Times New Roman"/>
          <w:bCs/>
          <w:iCs/>
          <w:kern w:val="1"/>
          <w:szCs w:val="26"/>
          <w:lang w:eastAsia="ar-SA"/>
        </w:rPr>
        <w:t xml:space="preserve">types of </w:t>
      </w:r>
      <w:r w:rsidR="000A2541">
        <w:rPr>
          <w:rFonts w:ascii="Times New Roman" w:eastAsia="Times New Roman" w:hAnsi="Times New Roman"/>
          <w:bCs/>
          <w:iCs/>
          <w:kern w:val="1"/>
          <w:szCs w:val="26"/>
          <w:lang w:eastAsia="ar-SA"/>
        </w:rPr>
        <w:t xml:space="preserve">emergency </w:t>
      </w:r>
      <w:r w:rsidR="000A2541" w:rsidRPr="000A2541">
        <w:rPr>
          <w:rFonts w:ascii="Times New Roman" w:eastAsia="Times New Roman" w:hAnsi="Times New Roman"/>
          <w:bCs/>
          <w:iCs/>
          <w:kern w:val="1"/>
          <w:szCs w:val="26"/>
          <w:lang w:eastAsia="ar-SA"/>
        </w:rPr>
        <w:t>responses and actions that may</w:t>
      </w:r>
      <w:r w:rsidR="000A2541">
        <w:rPr>
          <w:rFonts w:ascii="Times New Roman" w:eastAsia="Times New Roman" w:hAnsi="Times New Roman"/>
          <w:bCs/>
          <w:iCs/>
          <w:kern w:val="1"/>
          <w:szCs w:val="26"/>
          <w:lang w:eastAsia="ar-SA"/>
        </w:rPr>
        <w:t xml:space="preserve"> </w:t>
      </w:r>
      <w:r w:rsidR="000A2541" w:rsidRPr="000A2541">
        <w:rPr>
          <w:rFonts w:ascii="Times New Roman" w:eastAsia="Times New Roman" w:hAnsi="Times New Roman"/>
          <w:bCs/>
          <w:iCs/>
          <w:kern w:val="1"/>
          <w:szCs w:val="26"/>
          <w:lang w:eastAsia="ar-SA"/>
        </w:rPr>
        <w:t>be taken in relation to an unintentional transboundary movement are not specified but are</w:t>
      </w:r>
      <w:r w:rsidR="000A2541">
        <w:rPr>
          <w:rFonts w:ascii="Times New Roman" w:eastAsia="Times New Roman" w:hAnsi="Times New Roman"/>
          <w:bCs/>
          <w:iCs/>
          <w:kern w:val="1"/>
          <w:szCs w:val="26"/>
          <w:lang w:eastAsia="ar-SA"/>
        </w:rPr>
        <w:t xml:space="preserve"> </w:t>
      </w:r>
      <w:r w:rsidR="000A2541" w:rsidRPr="000A2541">
        <w:rPr>
          <w:rFonts w:ascii="Times New Roman" w:eastAsia="Times New Roman" w:hAnsi="Times New Roman"/>
          <w:bCs/>
          <w:iCs/>
          <w:kern w:val="1"/>
          <w:szCs w:val="26"/>
          <w:lang w:eastAsia="ar-SA"/>
        </w:rPr>
        <w:t>to be determined by the States concerned</w:t>
      </w:r>
      <w:r w:rsidR="000A2541">
        <w:rPr>
          <w:rFonts w:ascii="Times New Roman" w:eastAsia="Times New Roman" w:hAnsi="Times New Roman"/>
          <w:bCs/>
          <w:iCs/>
          <w:kern w:val="1"/>
          <w:szCs w:val="26"/>
          <w:lang w:eastAsia="ar-SA"/>
        </w:rPr>
        <w:t xml:space="preserve"> </w:t>
      </w:r>
      <w:r w:rsidR="000A2541" w:rsidRPr="000A2541">
        <w:rPr>
          <w:rFonts w:ascii="Times New Roman" w:eastAsia="Times New Roman" w:hAnsi="Times New Roman"/>
          <w:bCs/>
          <w:iCs/>
          <w:kern w:val="1"/>
          <w:szCs w:val="26"/>
          <w:lang w:eastAsia="ar-SA"/>
        </w:rPr>
        <w:t>presumably in the light of the nature and scale</w:t>
      </w:r>
      <w:r w:rsidR="000A2541">
        <w:rPr>
          <w:rFonts w:ascii="Times New Roman" w:eastAsia="Times New Roman" w:hAnsi="Times New Roman"/>
          <w:bCs/>
          <w:iCs/>
          <w:kern w:val="1"/>
          <w:szCs w:val="26"/>
          <w:lang w:eastAsia="ar-SA"/>
        </w:rPr>
        <w:t xml:space="preserve"> </w:t>
      </w:r>
      <w:r w:rsidR="000A2541" w:rsidRPr="000A2541">
        <w:rPr>
          <w:rFonts w:ascii="Times New Roman" w:eastAsia="Times New Roman" w:hAnsi="Times New Roman"/>
          <w:bCs/>
          <w:iCs/>
          <w:kern w:val="1"/>
          <w:szCs w:val="26"/>
          <w:lang w:eastAsia="ar-SA"/>
        </w:rPr>
        <w:t>of the transboundary movement in question</w:t>
      </w:r>
      <w:r w:rsidR="000A2541">
        <w:rPr>
          <w:rFonts w:ascii="Times New Roman" w:eastAsia="Times New Roman" w:hAnsi="Times New Roman"/>
          <w:bCs/>
          <w:iCs/>
          <w:kern w:val="1"/>
          <w:szCs w:val="26"/>
          <w:lang w:eastAsia="ar-SA"/>
        </w:rPr>
        <w:t xml:space="preserve"> </w:t>
      </w:r>
      <w:r w:rsidR="000A2541" w:rsidRPr="000A2541">
        <w:rPr>
          <w:rFonts w:ascii="Times New Roman" w:eastAsia="Times New Roman" w:hAnsi="Times New Roman"/>
          <w:bCs/>
          <w:iCs/>
          <w:kern w:val="1"/>
          <w:szCs w:val="26"/>
          <w:lang w:eastAsia="ar-SA"/>
        </w:rPr>
        <w:t xml:space="preserve">and the possible adverse effects on biodiversity and human health </w:t>
      </w:r>
      <w:r w:rsidR="0073383D">
        <w:rPr>
          <w:rFonts w:ascii="Times New Roman" w:eastAsia="Times New Roman" w:hAnsi="Times New Roman"/>
          <w:bCs/>
          <w:iCs/>
          <w:kern w:val="1"/>
          <w:szCs w:val="26"/>
          <w:lang w:eastAsia="ar-SA"/>
        </w:rPr>
        <w:fldChar w:fldCharType="begin" w:fldLock="1"/>
      </w:r>
      <w:r w:rsidR="0000211B">
        <w:rPr>
          <w:rFonts w:ascii="Times New Roman" w:eastAsia="Times New Roman" w:hAnsi="Times New Roman"/>
          <w:bCs/>
          <w:iCs/>
          <w:kern w:val="1"/>
          <w:szCs w:val="26"/>
          <w:lang w:eastAsia="ar-SA"/>
        </w:rPr>
        <w:instrText>ADDIN CSL_CITATION {"citationItems":[{"id":"ITEM-1","itemData":{"author":[{"dropping-particle":"","family":"Ascencio","given":"Alfonso","non-dropping-particle":"","parse-names":false,"suffix":""},{"dropping-particle":"","family":"Burhenne-Guilmin","given":"Françoise","non-dropping-particle":"","parse-names":false,"suffix":""},{"dropping-particle":"","family":"Kinderlerer","given":"Julian","non-dropping-particle":"","parse-names":false,"suffix":""},{"dropping-particle":"","family":"Kummer","given":"Katharina","non-dropping-particle":"","parse-names":false,"suffix":""},{"dropping-particle":"","family":"Viña","given":"Antonio","non-dropping-particle":"La","parse-names":false,"suffix":""},{"dropping-particle":"","family":"Mackenzie","given":"Ruth","non-dropping-particle":"","parse-names":false,"suffix":""},{"dropping-particle":"","family":"Tapper","given":"Richard","non-dropping-particle":"","parse-names":false,"suffix":""},{"dropping-particle":"","family":"Werksman","given":"Jacob D","non-dropping-particle":"","parse-names":false,"suffix":""}],"collection-title":"36690","id":"ITEM-1","issued":{"date-parts":[["2003"]]},"title":"An explanatory guide to the Cartagena protocol on biosafety","type":"report"},"uris":["http://www.mendeley.com/documents/?uuid=d3065aa0-5fb9-4656-adb1-6dd0a81a87e1"]}],"mendeley":{"formattedCitation":"(Ascencio et al., 2003)","plainTextFormattedCitation":"(Ascencio et al., 2003)","previouslyFormattedCitation":"(Ascencio et al., 2003)"},"properties":{"noteIndex":0},"schema":"https://github.com/citation-style-language/schema/raw/master/csl-citation.json"}</w:instrText>
      </w:r>
      <w:r w:rsidR="0073383D">
        <w:rPr>
          <w:rFonts w:ascii="Times New Roman" w:eastAsia="Times New Roman" w:hAnsi="Times New Roman"/>
          <w:bCs/>
          <w:iCs/>
          <w:kern w:val="1"/>
          <w:szCs w:val="26"/>
          <w:lang w:eastAsia="ar-SA"/>
        </w:rPr>
        <w:fldChar w:fldCharType="separate"/>
      </w:r>
      <w:r w:rsidR="0073383D" w:rsidRPr="0073383D">
        <w:rPr>
          <w:rFonts w:ascii="Times New Roman" w:eastAsia="Times New Roman" w:hAnsi="Times New Roman"/>
          <w:bCs/>
          <w:iCs/>
          <w:noProof/>
          <w:kern w:val="1"/>
          <w:szCs w:val="26"/>
          <w:lang w:eastAsia="ar-SA"/>
        </w:rPr>
        <w:t>(Ascencio et al., 2003)</w:t>
      </w:r>
      <w:r w:rsidR="0073383D">
        <w:rPr>
          <w:rFonts w:ascii="Times New Roman" w:eastAsia="Times New Roman" w:hAnsi="Times New Roman"/>
          <w:bCs/>
          <w:iCs/>
          <w:kern w:val="1"/>
          <w:szCs w:val="26"/>
          <w:lang w:eastAsia="ar-SA"/>
        </w:rPr>
        <w:fldChar w:fldCharType="end"/>
      </w:r>
      <w:r w:rsidR="00F37A20">
        <w:rPr>
          <w:rFonts w:ascii="Times New Roman" w:eastAsia="Times New Roman" w:hAnsi="Times New Roman"/>
          <w:bCs/>
          <w:iCs/>
          <w:kern w:val="1"/>
          <w:szCs w:val="26"/>
          <w:lang w:eastAsia="ar-SA"/>
        </w:rPr>
        <w:t>.</w:t>
      </w:r>
      <w:r w:rsidR="00B07921">
        <w:rPr>
          <w:rFonts w:ascii="Times New Roman" w:eastAsia="Times New Roman" w:hAnsi="Times New Roman"/>
          <w:bCs/>
          <w:iCs/>
          <w:kern w:val="1"/>
          <w:szCs w:val="26"/>
          <w:lang w:eastAsia="ar-SA"/>
        </w:rPr>
        <w:t xml:space="preserve"> </w:t>
      </w:r>
    </w:p>
    <w:p w14:paraId="4035A9E7" w14:textId="53012B48" w:rsidR="008D396E" w:rsidRPr="00474099" w:rsidRDefault="00427690" w:rsidP="007C35A7">
      <w:pPr>
        <w:pStyle w:val="Heading5"/>
        <w:tabs>
          <w:tab w:val="clear" w:pos="1800"/>
        </w:tabs>
        <w:ind w:left="284" w:hanging="284"/>
        <w:jc w:val="both"/>
        <w:rPr>
          <w:lang w:val="en-GB"/>
        </w:rPr>
      </w:pPr>
      <w:r>
        <w:rPr>
          <w:i w:val="0"/>
          <w:iCs/>
          <w:lang w:val="en-GB"/>
        </w:rPr>
        <w:t xml:space="preserve">(b) </w:t>
      </w:r>
      <w:r w:rsidR="00BD2149" w:rsidRPr="00474099">
        <w:rPr>
          <w:lang w:val="en-GB"/>
        </w:rPr>
        <w:t>I</w:t>
      </w:r>
      <w:r w:rsidR="008D396E" w:rsidRPr="00474099">
        <w:rPr>
          <w:lang w:val="en-GB"/>
        </w:rPr>
        <w:t>llegal transboundary movements</w:t>
      </w:r>
      <w:r w:rsidR="00CE3085" w:rsidRPr="00474099">
        <w:rPr>
          <w:lang w:val="en-GB"/>
        </w:rPr>
        <w:t>.</w:t>
      </w:r>
      <w:r w:rsidR="008D396E" w:rsidRPr="00474099">
        <w:rPr>
          <w:lang w:val="en-GB"/>
        </w:rPr>
        <w:t xml:space="preserve"> </w:t>
      </w:r>
    </w:p>
    <w:p w14:paraId="50DD752E" w14:textId="4A0922EE" w:rsidR="00CE3085" w:rsidRPr="00474099" w:rsidRDefault="00CE3085" w:rsidP="00474099">
      <w:pPr>
        <w:spacing w:after="120" w:line="240" w:lineRule="auto"/>
        <w:jc w:val="both"/>
        <w:rPr>
          <w:rFonts w:ascii="Times New Roman" w:hAnsi="Times New Roman"/>
          <w:lang w:eastAsia="ar-SA"/>
        </w:rPr>
      </w:pPr>
      <w:r w:rsidRPr="00474099">
        <w:rPr>
          <w:rFonts w:ascii="Times New Roman" w:hAnsi="Times New Roman"/>
          <w:lang w:eastAsia="ar-SA"/>
        </w:rPr>
        <w:t xml:space="preserve">Article 25 of the Cartagena Protocol addresses the situation where transboundary movement of LMOs takes place in contravention of national regulations implementing the Protocol. Such transboundary movements are deemed illegal. In essence, Article 25 requires each Party to adopt domestic measures to prevent and (if appropriate) penalise transboundary movements of LMOs which contravene its national measures to implement the Protocol </w:t>
      </w:r>
      <w:r w:rsidR="00686C4F">
        <w:rPr>
          <w:rFonts w:ascii="Times New Roman" w:eastAsia="Times New Roman" w:hAnsi="Times New Roman"/>
          <w:bCs/>
          <w:iCs/>
          <w:kern w:val="1"/>
          <w:szCs w:val="26"/>
          <w:lang w:eastAsia="ar-SA"/>
        </w:rPr>
        <w:fldChar w:fldCharType="begin" w:fldLock="1"/>
      </w:r>
      <w:r w:rsidR="00686C4F">
        <w:rPr>
          <w:rFonts w:ascii="Times New Roman" w:eastAsia="Times New Roman" w:hAnsi="Times New Roman"/>
          <w:bCs/>
          <w:iCs/>
          <w:kern w:val="1"/>
          <w:szCs w:val="26"/>
          <w:lang w:eastAsia="ar-SA"/>
        </w:rPr>
        <w:instrText>ADDIN CSL_CITATION {"citationItems":[{"id":"ITEM-1","itemData":{"author":[{"dropping-particle":"","family":"Ascencio","given":"Alfonso","non-dropping-particle":"","parse-names":false,"suffix":""},{"dropping-particle":"","family":"Burhenne-Guilmin","given":"Françoise","non-dropping-particle":"","parse-names":false,"suffix":""},{"dropping-particle":"","family":"Kinderlerer","given":"Julian","non-dropping-particle":"","parse-names":false,"suffix":""},{"dropping-particle":"","family":"Kummer","given":"Katharina","non-dropping-particle":"","parse-names":false,"suffix":""},{"dropping-particle":"","family":"Viña","given":"Antonio","non-dropping-particle":"La","parse-names":false,"suffix":""},{"dropping-particle":"","family":"Mackenzie","given":"Ruth","non-dropping-particle":"","parse-names":false,"suffix":""},{"dropping-particle":"","family":"Tapper","given":"Richard","non-dropping-particle":"","parse-names":false,"suffix":""},{"dropping-particle":"","family":"Werksman","given":"Jacob D","non-dropping-particle":"","parse-names":false,"suffix":""}],"collection-title":"36690","id":"ITEM-1","issued":{"date-parts":[["2003"]]},"title":"An explanatory guide to the Cartagena protocol on biosafety","type":"report"},"uris":["http://www.mendeley.com/documents/?uuid=d3065aa0-5fb9-4656-adb1-6dd0a81a87e1"]}],"mendeley":{"formattedCitation":"(Ascencio et al., 2003)","plainTextFormattedCitation":"(Ascencio et al., 2003)","previouslyFormattedCitation":"(Ascencio et al., 2003)"},"properties":{"noteIndex":0},"schema":"https://github.com/citation-style-language/schema/raw/master/csl-citation.json"}</w:instrText>
      </w:r>
      <w:r w:rsidR="00686C4F">
        <w:rPr>
          <w:rFonts w:ascii="Times New Roman" w:eastAsia="Times New Roman" w:hAnsi="Times New Roman"/>
          <w:bCs/>
          <w:iCs/>
          <w:kern w:val="1"/>
          <w:szCs w:val="26"/>
          <w:lang w:eastAsia="ar-SA"/>
        </w:rPr>
        <w:fldChar w:fldCharType="separate"/>
      </w:r>
      <w:r w:rsidR="00686C4F" w:rsidRPr="0073383D">
        <w:rPr>
          <w:rFonts w:ascii="Times New Roman" w:eastAsia="Times New Roman" w:hAnsi="Times New Roman"/>
          <w:bCs/>
          <w:iCs/>
          <w:noProof/>
          <w:kern w:val="1"/>
          <w:szCs w:val="26"/>
          <w:lang w:eastAsia="ar-SA"/>
        </w:rPr>
        <w:t>(Ascencio et al., 2003)</w:t>
      </w:r>
      <w:r w:rsidR="00686C4F">
        <w:rPr>
          <w:rFonts w:ascii="Times New Roman" w:eastAsia="Times New Roman" w:hAnsi="Times New Roman"/>
          <w:bCs/>
          <w:iCs/>
          <w:kern w:val="1"/>
          <w:szCs w:val="26"/>
          <w:lang w:eastAsia="ar-SA"/>
        </w:rPr>
        <w:fldChar w:fldCharType="end"/>
      </w:r>
      <w:r w:rsidRPr="00474099">
        <w:rPr>
          <w:rFonts w:ascii="Times New Roman" w:hAnsi="Times New Roman"/>
          <w:lang w:eastAsia="ar-SA"/>
        </w:rPr>
        <w:t>. A Party affected by an illegal transboundary movement of LMOs to request the Party of origin to dispose of the LMOs in question at its own expense. Parties are also required to exchange information through the Biosafety Clearing-House on illegal transboundary movements of LMOs.</w:t>
      </w:r>
    </w:p>
    <w:p w14:paraId="65C3DD34" w14:textId="1AC86119" w:rsidR="008D396E" w:rsidRPr="00474099" w:rsidRDefault="00427690" w:rsidP="000239AB">
      <w:pPr>
        <w:pStyle w:val="Heading5"/>
        <w:tabs>
          <w:tab w:val="clear" w:pos="1800"/>
        </w:tabs>
        <w:ind w:left="284" w:hanging="284"/>
        <w:rPr>
          <w:iCs/>
          <w:lang w:val="en-GB"/>
        </w:rPr>
      </w:pPr>
      <w:r>
        <w:rPr>
          <w:i w:val="0"/>
          <w:iCs/>
          <w:lang w:val="en-GB"/>
        </w:rPr>
        <w:t xml:space="preserve">(c) </w:t>
      </w:r>
      <w:r w:rsidR="00852CD6" w:rsidRPr="00474099">
        <w:rPr>
          <w:iCs/>
          <w:lang w:val="en-GB"/>
        </w:rPr>
        <w:t xml:space="preserve">Importation and </w:t>
      </w:r>
      <w:r w:rsidR="008D396E" w:rsidRPr="00474099">
        <w:rPr>
          <w:iCs/>
          <w:lang w:val="en-GB"/>
        </w:rPr>
        <w:t>socio-economic considerations</w:t>
      </w:r>
      <w:r w:rsidR="00CE3085">
        <w:rPr>
          <w:iCs/>
          <w:lang w:val="en-GB"/>
        </w:rPr>
        <w:t>.</w:t>
      </w:r>
      <w:r w:rsidR="008D396E" w:rsidRPr="00474099">
        <w:rPr>
          <w:iCs/>
          <w:lang w:val="en-GB"/>
        </w:rPr>
        <w:t xml:space="preserve"> </w:t>
      </w:r>
    </w:p>
    <w:p w14:paraId="74FF4E1D" w14:textId="7632C3C0" w:rsidR="00602114" w:rsidRPr="0079712C" w:rsidRDefault="00B8001F" w:rsidP="00DE1D0D">
      <w:pPr>
        <w:spacing w:before="120" w:after="120" w:line="240" w:lineRule="exact"/>
        <w:jc w:val="both"/>
        <w:rPr>
          <w:rFonts w:ascii="Times New Roman" w:eastAsia="Times New Roman" w:hAnsi="Times New Roman"/>
          <w:kern w:val="1"/>
          <w:szCs w:val="24"/>
          <w:lang w:val="en-CA" w:eastAsia="ar-SA"/>
        </w:rPr>
      </w:pPr>
      <w:r w:rsidRPr="00B8001F">
        <w:rPr>
          <w:rFonts w:ascii="Times New Roman" w:eastAsia="Times New Roman" w:hAnsi="Times New Roman"/>
          <w:kern w:val="1"/>
          <w:szCs w:val="24"/>
          <w:lang w:val="en-CA" w:eastAsia="ar-SA"/>
        </w:rPr>
        <w:t>In reaching decisions on imports Article 10</w:t>
      </w:r>
      <w:r>
        <w:rPr>
          <w:rFonts w:ascii="Times New Roman" w:eastAsia="Times New Roman" w:hAnsi="Times New Roman"/>
          <w:kern w:val="1"/>
          <w:szCs w:val="24"/>
          <w:lang w:val="en-CA" w:eastAsia="ar-SA"/>
        </w:rPr>
        <w:t xml:space="preserve"> o</w:t>
      </w:r>
      <w:r w:rsidR="00245CF3">
        <w:rPr>
          <w:rFonts w:ascii="Times New Roman" w:eastAsia="Times New Roman" w:hAnsi="Times New Roman"/>
          <w:kern w:val="1"/>
          <w:szCs w:val="24"/>
          <w:lang w:val="en-CA" w:eastAsia="ar-SA"/>
        </w:rPr>
        <w:t>f</w:t>
      </w:r>
      <w:r>
        <w:rPr>
          <w:rFonts w:ascii="Times New Roman" w:eastAsia="Times New Roman" w:hAnsi="Times New Roman"/>
          <w:kern w:val="1"/>
          <w:szCs w:val="24"/>
          <w:lang w:val="en-CA" w:eastAsia="ar-SA"/>
        </w:rPr>
        <w:t xml:space="preserve"> the Protocol requires Parties to evaluate</w:t>
      </w:r>
      <w:r w:rsidRPr="00B8001F">
        <w:rPr>
          <w:rFonts w:ascii="Times New Roman" w:eastAsia="Times New Roman" w:hAnsi="Times New Roman"/>
          <w:kern w:val="1"/>
          <w:szCs w:val="24"/>
          <w:lang w:val="en-CA" w:eastAsia="ar-SA"/>
        </w:rPr>
        <w:t xml:space="preserve"> potential </w:t>
      </w:r>
      <w:r w:rsidR="0029724E">
        <w:rPr>
          <w:rFonts w:ascii="Times New Roman" w:eastAsia="Times New Roman" w:hAnsi="Times New Roman"/>
          <w:kern w:val="1"/>
          <w:szCs w:val="24"/>
          <w:lang w:val="en-CA" w:eastAsia="ar-SA"/>
        </w:rPr>
        <w:t>impact</w:t>
      </w:r>
      <w:r>
        <w:rPr>
          <w:rFonts w:ascii="Times New Roman" w:eastAsia="Times New Roman" w:hAnsi="Times New Roman"/>
          <w:kern w:val="1"/>
          <w:szCs w:val="24"/>
          <w:lang w:val="en-CA" w:eastAsia="ar-SA"/>
        </w:rPr>
        <w:t xml:space="preserve"> </w:t>
      </w:r>
      <w:r w:rsidRPr="00B8001F">
        <w:rPr>
          <w:rFonts w:ascii="Times New Roman" w:eastAsia="Times New Roman" w:hAnsi="Times New Roman"/>
          <w:kern w:val="1"/>
          <w:szCs w:val="24"/>
          <w:lang w:val="en-CA" w:eastAsia="ar-SA"/>
        </w:rPr>
        <w:t>of the LMO concerned on the conservation</w:t>
      </w:r>
      <w:r>
        <w:rPr>
          <w:rFonts w:ascii="Times New Roman" w:eastAsia="Times New Roman" w:hAnsi="Times New Roman"/>
          <w:kern w:val="1"/>
          <w:szCs w:val="24"/>
          <w:lang w:val="en-CA" w:eastAsia="ar-SA"/>
        </w:rPr>
        <w:t xml:space="preserve"> </w:t>
      </w:r>
      <w:r w:rsidRPr="00B8001F">
        <w:rPr>
          <w:rFonts w:ascii="Times New Roman" w:eastAsia="Times New Roman" w:hAnsi="Times New Roman"/>
          <w:kern w:val="1"/>
          <w:szCs w:val="24"/>
          <w:lang w:val="en-CA" w:eastAsia="ar-SA"/>
        </w:rPr>
        <w:t>and sustainable use of biological diversity,</w:t>
      </w:r>
      <w:r>
        <w:rPr>
          <w:rFonts w:ascii="Times New Roman" w:eastAsia="Times New Roman" w:hAnsi="Times New Roman"/>
          <w:kern w:val="1"/>
          <w:szCs w:val="24"/>
          <w:lang w:val="en-CA" w:eastAsia="ar-SA"/>
        </w:rPr>
        <w:t xml:space="preserve"> </w:t>
      </w:r>
      <w:r w:rsidRPr="00B8001F">
        <w:rPr>
          <w:rFonts w:ascii="Times New Roman" w:eastAsia="Times New Roman" w:hAnsi="Times New Roman"/>
          <w:kern w:val="1"/>
          <w:szCs w:val="24"/>
          <w:lang w:val="en-CA" w:eastAsia="ar-SA"/>
        </w:rPr>
        <w:t xml:space="preserve">taking into account risks to human health. </w:t>
      </w:r>
      <w:r w:rsidR="0032465B">
        <w:rPr>
          <w:rFonts w:ascii="Times New Roman" w:eastAsia="Times New Roman" w:hAnsi="Times New Roman"/>
          <w:kern w:val="1"/>
          <w:szCs w:val="24"/>
          <w:lang w:val="en-CA" w:eastAsia="ar-SA"/>
        </w:rPr>
        <w:t>Article 2</w:t>
      </w:r>
      <w:r w:rsidR="00852CD6">
        <w:rPr>
          <w:rFonts w:ascii="Times New Roman" w:eastAsia="Times New Roman" w:hAnsi="Times New Roman"/>
          <w:kern w:val="1"/>
          <w:szCs w:val="24"/>
          <w:lang w:val="en-CA" w:eastAsia="ar-SA"/>
        </w:rPr>
        <w:t>6</w:t>
      </w:r>
      <w:r w:rsidR="0032465B">
        <w:rPr>
          <w:rFonts w:ascii="Times New Roman" w:eastAsia="Times New Roman" w:hAnsi="Times New Roman"/>
          <w:kern w:val="1"/>
          <w:szCs w:val="24"/>
          <w:lang w:val="en-CA" w:eastAsia="ar-SA"/>
        </w:rPr>
        <w:t xml:space="preserve"> of the Protocol</w:t>
      </w:r>
      <w:r w:rsidR="00852CD6">
        <w:rPr>
          <w:rFonts w:ascii="Times New Roman" w:eastAsia="Times New Roman" w:hAnsi="Times New Roman"/>
          <w:kern w:val="1"/>
          <w:szCs w:val="24"/>
          <w:lang w:val="en-CA" w:eastAsia="ar-SA"/>
        </w:rPr>
        <w:t xml:space="preserve"> </w:t>
      </w:r>
      <w:r w:rsidR="00852CD6" w:rsidRPr="00852CD6">
        <w:rPr>
          <w:rFonts w:ascii="Times New Roman" w:eastAsia="Times New Roman" w:hAnsi="Times New Roman"/>
          <w:kern w:val="1"/>
          <w:szCs w:val="24"/>
          <w:lang w:val="en-CA" w:eastAsia="ar-SA"/>
        </w:rPr>
        <w:t>addresses the extent to which Parties are entitled to</w:t>
      </w:r>
      <w:r w:rsidR="00852CD6">
        <w:rPr>
          <w:rFonts w:ascii="Times New Roman" w:eastAsia="Times New Roman" w:hAnsi="Times New Roman"/>
          <w:kern w:val="1"/>
          <w:szCs w:val="24"/>
          <w:lang w:val="en-CA" w:eastAsia="ar-SA"/>
        </w:rPr>
        <w:t xml:space="preserve"> </w:t>
      </w:r>
      <w:r w:rsidR="00852CD6" w:rsidRPr="00852CD6">
        <w:rPr>
          <w:rFonts w:ascii="Times New Roman" w:eastAsia="Times New Roman" w:hAnsi="Times New Roman"/>
          <w:kern w:val="1"/>
          <w:szCs w:val="24"/>
          <w:lang w:val="en-CA" w:eastAsia="ar-SA"/>
        </w:rPr>
        <w:t xml:space="preserve">take socio-economic considerations into account in reaching </w:t>
      </w:r>
      <w:r w:rsidR="00A827C2">
        <w:rPr>
          <w:rFonts w:ascii="Times New Roman" w:eastAsia="Times New Roman" w:hAnsi="Times New Roman"/>
          <w:kern w:val="1"/>
          <w:szCs w:val="24"/>
          <w:lang w:val="en-CA" w:eastAsia="ar-SA"/>
        </w:rPr>
        <w:t xml:space="preserve">a </w:t>
      </w:r>
      <w:r w:rsidR="00852CD6" w:rsidRPr="00852CD6">
        <w:rPr>
          <w:rFonts w:ascii="Times New Roman" w:eastAsia="Times New Roman" w:hAnsi="Times New Roman"/>
          <w:kern w:val="1"/>
          <w:szCs w:val="24"/>
          <w:lang w:val="en-CA" w:eastAsia="ar-SA"/>
        </w:rPr>
        <w:t>decision on imports of</w:t>
      </w:r>
      <w:r w:rsidR="00852CD6">
        <w:rPr>
          <w:rFonts w:ascii="Times New Roman" w:eastAsia="Times New Roman" w:hAnsi="Times New Roman"/>
          <w:kern w:val="1"/>
          <w:szCs w:val="24"/>
          <w:lang w:val="en-CA" w:eastAsia="ar-SA"/>
        </w:rPr>
        <w:t xml:space="preserve"> </w:t>
      </w:r>
      <w:r w:rsidR="00852CD6" w:rsidRPr="00852CD6">
        <w:rPr>
          <w:rFonts w:ascii="Times New Roman" w:eastAsia="Times New Roman" w:hAnsi="Times New Roman"/>
          <w:kern w:val="1"/>
          <w:szCs w:val="24"/>
          <w:lang w:val="en-CA" w:eastAsia="ar-SA"/>
        </w:rPr>
        <w:t>LMOs</w:t>
      </w:r>
      <w:r w:rsidR="00A827C2">
        <w:rPr>
          <w:rFonts w:ascii="Times New Roman" w:eastAsia="Times New Roman" w:hAnsi="Times New Roman"/>
          <w:kern w:val="1"/>
          <w:szCs w:val="24"/>
          <w:lang w:val="en-CA" w:eastAsia="ar-SA"/>
        </w:rPr>
        <w:t xml:space="preserve">, </w:t>
      </w:r>
      <w:r w:rsidR="00E213E2">
        <w:rPr>
          <w:rFonts w:ascii="Times New Roman" w:eastAsia="Times New Roman" w:hAnsi="Times New Roman"/>
          <w:kern w:val="1"/>
          <w:szCs w:val="24"/>
          <w:lang w:val="en-CA" w:eastAsia="ar-SA"/>
        </w:rPr>
        <w:t xml:space="preserve">including </w:t>
      </w:r>
      <w:r w:rsidR="004960B7" w:rsidRPr="004960B7">
        <w:rPr>
          <w:rFonts w:ascii="Times New Roman" w:eastAsia="Times New Roman" w:hAnsi="Times New Roman"/>
          <w:kern w:val="1"/>
          <w:szCs w:val="24"/>
          <w:lang w:val="en-CA" w:eastAsia="ar-SA"/>
        </w:rPr>
        <w:t>the value of</w:t>
      </w:r>
      <w:r w:rsidR="004960B7">
        <w:rPr>
          <w:rFonts w:ascii="Times New Roman" w:eastAsia="Times New Roman" w:hAnsi="Times New Roman"/>
          <w:kern w:val="1"/>
          <w:szCs w:val="24"/>
          <w:lang w:val="en-CA" w:eastAsia="ar-SA"/>
        </w:rPr>
        <w:t xml:space="preserve"> </w:t>
      </w:r>
      <w:r w:rsidR="00A827C2" w:rsidRPr="00A827C2">
        <w:rPr>
          <w:rFonts w:ascii="Times New Roman" w:eastAsia="Times New Roman" w:hAnsi="Times New Roman"/>
          <w:kern w:val="1"/>
          <w:szCs w:val="24"/>
          <w:lang w:val="en-CA" w:eastAsia="ar-SA"/>
        </w:rPr>
        <w:t xml:space="preserve">biological diversity to </w:t>
      </w:r>
      <w:r w:rsidR="00E94D86">
        <w:rPr>
          <w:rFonts w:ascii="Times New Roman" w:eastAsia="Times New Roman" w:hAnsi="Times New Roman"/>
          <w:kern w:val="1"/>
          <w:szCs w:val="24"/>
          <w:lang w:val="en-CA" w:eastAsia="ar-SA"/>
        </w:rPr>
        <w:t>IPLCs</w:t>
      </w:r>
      <w:r w:rsidR="00A827C2" w:rsidRPr="00A827C2">
        <w:rPr>
          <w:rFonts w:ascii="Times New Roman" w:eastAsia="Times New Roman" w:hAnsi="Times New Roman"/>
          <w:kern w:val="1"/>
          <w:szCs w:val="24"/>
          <w:lang w:val="en-CA" w:eastAsia="ar-SA"/>
        </w:rPr>
        <w:t>.</w:t>
      </w:r>
      <w:r>
        <w:rPr>
          <w:rFonts w:ascii="Times New Roman" w:eastAsia="Times New Roman" w:hAnsi="Times New Roman"/>
          <w:kern w:val="1"/>
          <w:szCs w:val="24"/>
          <w:lang w:val="en-CA" w:eastAsia="ar-SA"/>
        </w:rPr>
        <w:t xml:space="preserve"> </w:t>
      </w:r>
      <w:r w:rsidR="00CB1404">
        <w:rPr>
          <w:rFonts w:ascii="Times New Roman" w:eastAsia="Times New Roman" w:hAnsi="Times New Roman"/>
          <w:kern w:val="1"/>
          <w:szCs w:val="24"/>
          <w:lang w:val="en-CA" w:eastAsia="ar-SA"/>
        </w:rPr>
        <w:t xml:space="preserve">Additionally, Article 26 </w:t>
      </w:r>
      <w:r w:rsidR="00CB1404" w:rsidRPr="00CB1404">
        <w:rPr>
          <w:rFonts w:ascii="Times New Roman" w:eastAsia="Times New Roman" w:hAnsi="Times New Roman"/>
          <w:kern w:val="1"/>
          <w:szCs w:val="24"/>
          <w:lang w:val="en-CA" w:eastAsia="ar-SA"/>
        </w:rPr>
        <w:t>encourage</w:t>
      </w:r>
      <w:r w:rsidR="00CB1404">
        <w:rPr>
          <w:rFonts w:ascii="Times New Roman" w:eastAsia="Times New Roman" w:hAnsi="Times New Roman"/>
          <w:kern w:val="1"/>
          <w:szCs w:val="24"/>
          <w:lang w:val="en-CA" w:eastAsia="ar-SA"/>
        </w:rPr>
        <w:t xml:space="preserve">s Parties </w:t>
      </w:r>
      <w:r w:rsidR="00CB1404" w:rsidRPr="00CB1404">
        <w:rPr>
          <w:rFonts w:ascii="Times New Roman" w:eastAsia="Times New Roman" w:hAnsi="Times New Roman"/>
          <w:kern w:val="1"/>
          <w:szCs w:val="24"/>
          <w:lang w:val="en-CA" w:eastAsia="ar-SA"/>
        </w:rPr>
        <w:t>to cooperate on research and information exchange</w:t>
      </w:r>
      <w:r w:rsidR="00CB1404">
        <w:rPr>
          <w:rFonts w:ascii="Times New Roman" w:eastAsia="Times New Roman" w:hAnsi="Times New Roman"/>
          <w:kern w:val="1"/>
          <w:szCs w:val="24"/>
          <w:lang w:val="en-CA" w:eastAsia="ar-SA"/>
        </w:rPr>
        <w:t xml:space="preserve"> </w:t>
      </w:r>
      <w:r w:rsidR="00CB1404" w:rsidRPr="00CB1404">
        <w:rPr>
          <w:rFonts w:ascii="Times New Roman" w:eastAsia="Times New Roman" w:hAnsi="Times New Roman"/>
          <w:kern w:val="1"/>
          <w:szCs w:val="24"/>
          <w:lang w:val="en-CA" w:eastAsia="ar-SA"/>
        </w:rPr>
        <w:t xml:space="preserve">on any socio-economic impacts of living modified organisms, especially on </w:t>
      </w:r>
      <w:r w:rsidR="00CB1404">
        <w:rPr>
          <w:rFonts w:ascii="Times New Roman" w:eastAsia="Times New Roman" w:hAnsi="Times New Roman"/>
          <w:kern w:val="1"/>
          <w:szCs w:val="24"/>
          <w:lang w:val="en-CA" w:eastAsia="ar-SA"/>
        </w:rPr>
        <w:t>IPLCs.</w:t>
      </w:r>
    </w:p>
    <w:p w14:paraId="260A0F60" w14:textId="2E5A411E" w:rsidR="008D396E" w:rsidRPr="000239AB" w:rsidRDefault="00427690" w:rsidP="000239AB">
      <w:pPr>
        <w:pStyle w:val="Heading5"/>
        <w:tabs>
          <w:tab w:val="clear" w:pos="1800"/>
        </w:tabs>
        <w:ind w:left="284" w:hanging="284"/>
        <w:rPr>
          <w:i w:val="0"/>
          <w:lang w:val="en-GB"/>
        </w:rPr>
      </w:pPr>
      <w:r>
        <w:rPr>
          <w:i w:val="0"/>
          <w:iCs/>
          <w:lang w:val="en-GB"/>
        </w:rPr>
        <w:t xml:space="preserve">(d) </w:t>
      </w:r>
      <w:r w:rsidR="00207BBB" w:rsidRPr="00474099">
        <w:rPr>
          <w:iCs/>
          <w:lang w:val="en-GB"/>
        </w:rPr>
        <w:t>C</w:t>
      </w:r>
      <w:r w:rsidR="008D396E" w:rsidRPr="00474099">
        <w:rPr>
          <w:iCs/>
          <w:lang w:val="en-GB"/>
        </w:rPr>
        <w:t>apacity-building</w:t>
      </w:r>
      <w:r w:rsidR="00CE3085" w:rsidRPr="00474099">
        <w:rPr>
          <w:iCs/>
          <w:lang w:val="en-GB"/>
        </w:rPr>
        <w:t>.</w:t>
      </w:r>
      <w:r w:rsidR="008D396E" w:rsidRPr="007C35A7">
        <w:rPr>
          <w:i w:val="0"/>
          <w:lang w:val="en-GB"/>
        </w:rPr>
        <w:t xml:space="preserve"> </w:t>
      </w:r>
    </w:p>
    <w:p w14:paraId="78DB16B6" w14:textId="4ED046F0" w:rsidR="00602114" w:rsidRPr="0079712C" w:rsidRDefault="00AF2DC9" w:rsidP="00BB54CA">
      <w:pPr>
        <w:spacing w:before="120" w:after="120" w:line="240" w:lineRule="exact"/>
        <w:jc w:val="both"/>
        <w:rPr>
          <w:rFonts w:ascii="Times New Roman" w:eastAsia="Times New Roman" w:hAnsi="Times New Roman"/>
          <w:kern w:val="1"/>
          <w:szCs w:val="24"/>
          <w:lang w:val="en-CA" w:eastAsia="ar-SA"/>
        </w:rPr>
      </w:pPr>
      <w:r>
        <w:rPr>
          <w:rFonts w:ascii="Times New Roman" w:eastAsia="Times New Roman" w:hAnsi="Times New Roman"/>
          <w:kern w:val="1"/>
          <w:szCs w:val="24"/>
          <w:lang w:val="en-CA" w:eastAsia="ar-SA"/>
        </w:rPr>
        <w:t>Article 22 of the Protocol commits the Parties to cooperate in the development and/or strengthening of human resources and institutional capacities in biosafety in order to ensure effective implementation of the Protocol</w:t>
      </w:r>
      <w:r w:rsidR="00BD0757">
        <w:rPr>
          <w:rFonts w:ascii="Times New Roman" w:eastAsia="Times New Roman" w:hAnsi="Times New Roman"/>
          <w:kern w:val="1"/>
          <w:szCs w:val="24"/>
          <w:lang w:val="en-CA" w:eastAsia="ar-SA"/>
        </w:rPr>
        <w:t xml:space="preserve"> by developing countr</w:t>
      </w:r>
      <w:r w:rsidR="009F3EB8">
        <w:rPr>
          <w:rFonts w:ascii="Times New Roman" w:eastAsia="Times New Roman" w:hAnsi="Times New Roman"/>
          <w:kern w:val="1"/>
          <w:szCs w:val="24"/>
          <w:lang w:val="en-CA" w:eastAsia="ar-SA"/>
        </w:rPr>
        <w:t>y Parties</w:t>
      </w:r>
      <w:r>
        <w:rPr>
          <w:rFonts w:ascii="Times New Roman" w:eastAsia="Times New Roman" w:hAnsi="Times New Roman"/>
          <w:kern w:val="1"/>
          <w:szCs w:val="24"/>
          <w:lang w:val="en-CA" w:eastAsia="ar-SA"/>
        </w:rPr>
        <w:t xml:space="preserve">. </w:t>
      </w:r>
      <w:r w:rsidR="009F3EB8">
        <w:rPr>
          <w:rFonts w:ascii="Times New Roman" w:eastAsia="Times New Roman" w:hAnsi="Times New Roman"/>
          <w:kern w:val="1"/>
          <w:szCs w:val="24"/>
          <w:lang w:val="en-CA" w:eastAsia="ar-SA"/>
        </w:rPr>
        <w:t xml:space="preserve">Least developed countries and </w:t>
      </w:r>
      <w:r w:rsidR="009F3EB8" w:rsidRPr="009F3EB8">
        <w:rPr>
          <w:rFonts w:ascii="Times New Roman" w:eastAsia="Times New Roman" w:hAnsi="Times New Roman"/>
          <w:kern w:val="1"/>
          <w:szCs w:val="24"/>
          <w:lang w:val="en-CA" w:eastAsia="ar-SA"/>
        </w:rPr>
        <w:t xml:space="preserve">countries with economies in transition </w:t>
      </w:r>
      <w:r w:rsidR="009F3EB8">
        <w:rPr>
          <w:rFonts w:ascii="Times New Roman" w:eastAsia="Times New Roman" w:hAnsi="Times New Roman"/>
          <w:kern w:val="1"/>
          <w:szCs w:val="24"/>
          <w:lang w:val="en-CA" w:eastAsia="ar-SA"/>
        </w:rPr>
        <w:t xml:space="preserve">are prioritised </w:t>
      </w:r>
      <w:r w:rsidR="00A91CE5">
        <w:rPr>
          <w:rFonts w:ascii="Times New Roman" w:eastAsia="Times New Roman" w:hAnsi="Times New Roman"/>
          <w:kern w:val="1"/>
          <w:szCs w:val="24"/>
          <w:lang w:val="en-CA" w:eastAsia="ar-SA"/>
        </w:rPr>
        <w:t>to ensure they have</w:t>
      </w:r>
      <w:r w:rsidR="009F3EB8" w:rsidRPr="009F3EB8">
        <w:rPr>
          <w:rFonts w:ascii="Times New Roman" w:eastAsia="Times New Roman" w:hAnsi="Times New Roman"/>
          <w:kern w:val="1"/>
          <w:szCs w:val="24"/>
          <w:lang w:val="en-CA" w:eastAsia="ar-SA"/>
        </w:rPr>
        <w:t xml:space="preserve"> adequate human, technical and financial</w:t>
      </w:r>
      <w:r w:rsidR="009F3EB8">
        <w:rPr>
          <w:rFonts w:ascii="Times New Roman" w:eastAsia="Times New Roman" w:hAnsi="Times New Roman"/>
          <w:kern w:val="1"/>
          <w:szCs w:val="24"/>
          <w:lang w:val="en-CA" w:eastAsia="ar-SA"/>
        </w:rPr>
        <w:t xml:space="preserve"> </w:t>
      </w:r>
      <w:r w:rsidR="009F3EB8" w:rsidRPr="009F3EB8">
        <w:rPr>
          <w:rFonts w:ascii="Times New Roman" w:eastAsia="Times New Roman" w:hAnsi="Times New Roman"/>
          <w:kern w:val="1"/>
          <w:szCs w:val="24"/>
          <w:lang w:val="en-CA" w:eastAsia="ar-SA"/>
        </w:rPr>
        <w:t xml:space="preserve">resources to implement </w:t>
      </w:r>
      <w:r w:rsidR="0032465B">
        <w:rPr>
          <w:rFonts w:ascii="Times New Roman" w:eastAsia="Times New Roman" w:hAnsi="Times New Roman"/>
          <w:kern w:val="1"/>
          <w:szCs w:val="24"/>
          <w:lang w:val="en-CA" w:eastAsia="ar-SA"/>
        </w:rPr>
        <w:t>appropriate biosafety measures and standards</w:t>
      </w:r>
      <w:r w:rsidR="009F3EB8" w:rsidRPr="009F3EB8">
        <w:rPr>
          <w:rFonts w:ascii="Times New Roman" w:eastAsia="Times New Roman" w:hAnsi="Times New Roman"/>
          <w:kern w:val="1"/>
          <w:szCs w:val="24"/>
          <w:lang w:val="en-CA" w:eastAsia="ar-SA"/>
        </w:rPr>
        <w:t>: for</w:t>
      </w:r>
      <w:r w:rsidR="009F3EB8">
        <w:rPr>
          <w:rFonts w:ascii="Times New Roman" w:eastAsia="Times New Roman" w:hAnsi="Times New Roman"/>
          <w:kern w:val="1"/>
          <w:szCs w:val="24"/>
          <w:lang w:val="en-CA" w:eastAsia="ar-SA"/>
        </w:rPr>
        <w:t xml:space="preserve"> </w:t>
      </w:r>
      <w:r w:rsidR="009F3EB8" w:rsidRPr="009F3EB8">
        <w:rPr>
          <w:rFonts w:ascii="Times New Roman" w:eastAsia="Times New Roman" w:hAnsi="Times New Roman"/>
          <w:kern w:val="1"/>
          <w:szCs w:val="24"/>
          <w:lang w:val="en-CA" w:eastAsia="ar-SA"/>
        </w:rPr>
        <w:t>example</w:t>
      </w:r>
      <w:r w:rsidR="00AA34D8">
        <w:rPr>
          <w:rFonts w:ascii="Times New Roman" w:eastAsia="Times New Roman" w:hAnsi="Times New Roman"/>
          <w:kern w:val="1"/>
          <w:szCs w:val="24"/>
          <w:lang w:val="en-CA" w:eastAsia="ar-SA"/>
        </w:rPr>
        <w:t>,</w:t>
      </w:r>
      <w:r w:rsidR="009F3EB8" w:rsidRPr="009F3EB8">
        <w:rPr>
          <w:rFonts w:ascii="Times New Roman" w:eastAsia="Times New Roman" w:hAnsi="Times New Roman"/>
          <w:kern w:val="1"/>
          <w:szCs w:val="24"/>
          <w:lang w:val="en-CA" w:eastAsia="ar-SA"/>
        </w:rPr>
        <w:t xml:space="preserve"> to undertake risk assessment and</w:t>
      </w:r>
      <w:r w:rsidR="009F3EB8">
        <w:rPr>
          <w:rFonts w:ascii="Times New Roman" w:eastAsia="Times New Roman" w:hAnsi="Times New Roman"/>
          <w:kern w:val="1"/>
          <w:szCs w:val="24"/>
          <w:lang w:val="en-CA" w:eastAsia="ar-SA"/>
        </w:rPr>
        <w:t xml:space="preserve"> </w:t>
      </w:r>
      <w:r w:rsidR="009F3EB8" w:rsidRPr="009F3EB8">
        <w:rPr>
          <w:rFonts w:ascii="Times New Roman" w:eastAsia="Times New Roman" w:hAnsi="Times New Roman"/>
          <w:kern w:val="1"/>
          <w:szCs w:val="24"/>
          <w:lang w:val="en-CA" w:eastAsia="ar-SA"/>
        </w:rPr>
        <w:t>risk management of LMOs, or to monitor</w:t>
      </w:r>
      <w:r w:rsidR="009F3EB8">
        <w:rPr>
          <w:rFonts w:ascii="Times New Roman" w:eastAsia="Times New Roman" w:hAnsi="Times New Roman"/>
          <w:kern w:val="1"/>
          <w:szCs w:val="24"/>
          <w:lang w:val="en-CA" w:eastAsia="ar-SA"/>
        </w:rPr>
        <w:t xml:space="preserve"> </w:t>
      </w:r>
      <w:r w:rsidR="009F3EB8" w:rsidRPr="009F3EB8">
        <w:rPr>
          <w:rFonts w:ascii="Times New Roman" w:eastAsia="Times New Roman" w:hAnsi="Times New Roman"/>
          <w:kern w:val="1"/>
          <w:szCs w:val="24"/>
          <w:lang w:val="en-CA" w:eastAsia="ar-SA"/>
        </w:rPr>
        <w:t>LMOs once released into the environment</w:t>
      </w:r>
      <w:r w:rsidR="00A91CE5">
        <w:rPr>
          <w:rFonts w:ascii="Times New Roman" w:eastAsia="Times New Roman" w:hAnsi="Times New Roman"/>
          <w:kern w:val="1"/>
          <w:szCs w:val="24"/>
          <w:lang w:val="en-CA" w:eastAsia="ar-SA"/>
        </w:rPr>
        <w:t xml:space="preserve"> </w:t>
      </w:r>
      <w:r w:rsidR="00686C4F">
        <w:rPr>
          <w:rFonts w:ascii="Times New Roman" w:eastAsia="Times New Roman" w:hAnsi="Times New Roman"/>
          <w:bCs/>
          <w:iCs/>
          <w:kern w:val="1"/>
          <w:szCs w:val="26"/>
          <w:lang w:eastAsia="ar-SA"/>
        </w:rPr>
        <w:fldChar w:fldCharType="begin" w:fldLock="1"/>
      </w:r>
      <w:r w:rsidR="00686C4F">
        <w:rPr>
          <w:rFonts w:ascii="Times New Roman" w:eastAsia="Times New Roman" w:hAnsi="Times New Roman"/>
          <w:bCs/>
          <w:iCs/>
          <w:kern w:val="1"/>
          <w:szCs w:val="26"/>
          <w:lang w:eastAsia="ar-SA"/>
        </w:rPr>
        <w:instrText>ADDIN CSL_CITATION {"citationItems":[{"id":"ITEM-1","itemData":{"author":[{"dropping-particle":"","family":"Ascencio","given":"Alfonso","non-dropping-particle":"","parse-names":false,"suffix":""},{"dropping-particle":"","family":"Burhenne-Guilmin","given":"Françoise","non-dropping-particle":"","parse-names":false,"suffix":""},{"dropping-particle":"","family":"Kinderlerer","given":"Julian","non-dropping-particle":"","parse-names":false,"suffix":""},{"dropping-particle":"","family":"Kummer","given":"Katharina","non-dropping-particle":"","parse-names":false,"suffix":""},{"dropping-particle":"","family":"Viña","given":"Antonio","non-dropping-particle":"La","parse-names":false,"suffix":""},{"dropping-particle":"","family":"Mackenzie","given":"Ruth","non-dropping-particle":"","parse-names":false,"suffix":""},{"dropping-particle":"","family":"Tapper","given":"Richard","non-dropping-particle":"","parse-names":false,"suffix":""},{"dropping-particle":"","family":"Werksman","given":"Jacob D","non-dropping-particle":"","parse-names":false,"suffix":""}],"collection-title":"36690","id":"ITEM-1","issued":{"date-parts":[["2003"]]},"title":"An explanatory guide to the Cartagena protocol on biosafety","type":"report"},"uris":["http://www.mendeley.com/documents/?uuid=d3065aa0-5fb9-4656-adb1-6dd0a81a87e1"]}],"mendeley":{"formattedCitation":"(Ascencio et al., 2003)","plainTextFormattedCitation":"(Ascencio et al., 2003)","previouslyFormattedCitation":"(Ascencio et al., 2003)"},"properties":{"noteIndex":0},"schema":"https://github.com/citation-style-language/schema/raw/master/csl-citation.json"}</w:instrText>
      </w:r>
      <w:r w:rsidR="00686C4F">
        <w:rPr>
          <w:rFonts w:ascii="Times New Roman" w:eastAsia="Times New Roman" w:hAnsi="Times New Roman"/>
          <w:bCs/>
          <w:iCs/>
          <w:kern w:val="1"/>
          <w:szCs w:val="26"/>
          <w:lang w:eastAsia="ar-SA"/>
        </w:rPr>
        <w:fldChar w:fldCharType="separate"/>
      </w:r>
      <w:r w:rsidR="00686C4F" w:rsidRPr="0073383D">
        <w:rPr>
          <w:rFonts w:ascii="Times New Roman" w:eastAsia="Times New Roman" w:hAnsi="Times New Roman"/>
          <w:bCs/>
          <w:iCs/>
          <w:noProof/>
          <w:kern w:val="1"/>
          <w:szCs w:val="26"/>
          <w:lang w:eastAsia="ar-SA"/>
        </w:rPr>
        <w:t>(Ascencio et al., 2003)</w:t>
      </w:r>
      <w:r w:rsidR="00686C4F">
        <w:rPr>
          <w:rFonts w:ascii="Times New Roman" w:eastAsia="Times New Roman" w:hAnsi="Times New Roman"/>
          <w:bCs/>
          <w:iCs/>
          <w:kern w:val="1"/>
          <w:szCs w:val="26"/>
          <w:lang w:eastAsia="ar-SA"/>
        </w:rPr>
        <w:fldChar w:fldCharType="end"/>
      </w:r>
      <w:r w:rsidR="009F3EB8" w:rsidRPr="009F3EB8">
        <w:rPr>
          <w:rFonts w:ascii="Times New Roman" w:eastAsia="Times New Roman" w:hAnsi="Times New Roman"/>
          <w:kern w:val="1"/>
          <w:szCs w:val="24"/>
          <w:lang w:val="en-CA" w:eastAsia="ar-SA"/>
        </w:rPr>
        <w:t>.</w:t>
      </w:r>
      <w:r w:rsidR="00A91CE5">
        <w:rPr>
          <w:rFonts w:ascii="Times New Roman" w:eastAsia="Times New Roman" w:hAnsi="Times New Roman"/>
          <w:kern w:val="1"/>
          <w:szCs w:val="24"/>
          <w:lang w:val="en-CA" w:eastAsia="ar-SA"/>
        </w:rPr>
        <w:t xml:space="preserve"> </w:t>
      </w:r>
      <w:r w:rsidR="00373A20">
        <w:rPr>
          <w:rFonts w:ascii="Times New Roman" w:eastAsia="Times New Roman" w:hAnsi="Times New Roman"/>
          <w:kern w:val="1"/>
          <w:szCs w:val="24"/>
          <w:lang w:val="en-CA" w:eastAsia="ar-SA"/>
        </w:rPr>
        <w:t xml:space="preserve">Cooperation in </w:t>
      </w:r>
      <w:r w:rsidR="00B254C2">
        <w:rPr>
          <w:rFonts w:ascii="Times New Roman" w:eastAsia="Times New Roman" w:hAnsi="Times New Roman"/>
          <w:kern w:val="1"/>
          <w:szCs w:val="24"/>
          <w:lang w:val="en-CA" w:eastAsia="ar-SA"/>
        </w:rPr>
        <w:t xml:space="preserve">capacity building </w:t>
      </w:r>
      <w:r w:rsidR="00373A20">
        <w:rPr>
          <w:rFonts w:ascii="Times New Roman" w:eastAsia="Times New Roman" w:hAnsi="Times New Roman"/>
          <w:kern w:val="1"/>
          <w:szCs w:val="24"/>
          <w:lang w:val="en-CA" w:eastAsia="ar-SA"/>
        </w:rPr>
        <w:t>is closely linked to</w:t>
      </w:r>
      <w:r w:rsidR="00B254C2">
        <w:rPr>
          <w:rFonts w:ascii="Times New Roman" w:eastAsia="Times New Roman" w:hAnsi="Times New Roman"/>
          <w:kern w:val="1"/>
          <w:szCs w:val="24"/>
          <w:lang w:val="en-CA" w:eastAsia="ar-SA"/>
        </w:rPr>
        <w:t xml:space="preserve"> the provisions of the Convention on Biological Diversity related to technology transfer as </w:t>
      </w:r>
      <w:r w:rsidR="00373A20">
        <w:rPr>
          <w:rFonts w:ascii="Times New Roman" w:eastAsia="Times New Roman" w:hAnsi="Times New Roman"/>
          <w:kern w:val="1"/>
          <w:szCs w:val="24"/>
          <w:lang w:val="en-CA" w:eastAsia="ar-SA"/>
        </w:rPr>
        <w:t xml:space="preserve">well as </w:t>
      </w:r>
      <w:r w:rsidR="00A91CE5">
        <w:rPr>
          <w:rFonts w:ascii="Times New Roman" w:eastAsia="Times New Roman" w:hAnsi="Times New Roman"/>
          <w:kern w:val="1"/>
          <w:szCs w:val="24"/>
          <w:lang w:val="en-CA" w:eastAsia="ar-SA"/>
        </w:rPr>
        <w:t>s</w:t>
      </w:r>
      <w:r w:rsidR="00373A20">
        <w:rPr>
          <w:rFonts w:ascii="Times New Roman" w:eastAsia="Times New Roman" w:hAnsi="Times New Roman"/>
          <w:kern w:val="1"/>
          <w:szCs w:val="24"/>
          <w:lang w:val="en-CA" w:eastAsia="ar-SA"/>
        </w:rPr>
        <w:t xml:space="preserve">cientific and technical development </w:t>
      </w:r>
      <w:r w:rsidR="00BD0757">
        <w:rPr>
          <w:rFonts w:ascii="Times New Roman" w:eastAsia="Times New Roman" w:hAnsi="Times New Roman"/>
          <w:kern w:val="1"/>
          <w:szCs w:val="24"/>
          <w:lang w:val="en-CA" w:eastAsia="ar-SA"/>
        </w:rPr>
        <w:t>which are</w:t>
      </w:r>
      <w:r w:rsidR="00B254C2">
        <w:rPr>
          <w:rFonts w:ascii="Times New Roman" w:eastAsia="Times New Roman" w:hAnsi="Times New Roman"/>
          <w:kern w:val="1"/>
          <w:szCs w:val="24"/>
          <w:lang w:val="en-CA" w:eastAsia="ar-SA"/>
        </w:rPr>
        <w:t xml:space="preserve"> discussed in Section 8.1.6.</w:t>
      </w:r>
    </w:p>
    <w:p w14:paraId="6AFC9689" w14:textId="16E551FF" w:rsidR="008D396E" w:rsidRDefault="006B081A" w:rsidP="000239AB">
      <w:pPr>
        <w:pStyle w:val="Heading5"/>
        <w:tabs>
          <w:tab w:val="clear" w:pos="1800"/>
        </w:tabs>
        <w:ind w:left="284" w:hanging="284"/>
        <w:rPr>
          <w:i w:val="0"/>
          <w:lang w:val="en-GB"/>
        </w:rPr>
      </w:pPr>
      <w:r>
        <w:rPr>
          <w:i w:val="0"/>
          <w:iCs/>
        </w:rPr>
        <w:t xml:space="preserve">(e) </w:t>
      </w:r>
      <w:r w:rsidR="00207BBB" w:rsidRPr="00474099">
        <w:rPr>
          <w:iCs/>
          <w:lang w:val="en-GB"/>
        </w:rPr>
        <w:t>H</w:t>
      </w:r>
      <w:r w:rsidR="008D396E" w:rsidRPr="00474099">
        <w:rPr>
          <w:iCs/>
          <w:lang w:val="en-GB"/>
        </w:rPr>
        <w:t>andling, transport, packaging and identification</w:t>
      </w:r>
      <w:r w:rsidR="00CE3085">
        <w:rPr>
          <w:i w:val="0"/>
          <w:lang w:val="en-GB"/>
        </w:rPr>
        <w:t>.</w:t>
      </w:r>
    </w:p>
    <w:p w14:paraId="360679F7" w14:textId="371F23B0" w:rsidR="00CE3085" w:rsidRPr="00474099" w:rsidRDefault="00CE3085" w:rsidP="00474099">
      <w:pPr>
        <w:spacing w:after="120" w:line="240" w:lineRule="auto"/>
        <w:jc w:val="both"/>
        <w:rPr>
          <w:rFonts w:ascii="Times New Roman" w:hAnsi="Times New Roman"/>
          <w:lang w:eastAsia="ar-SA"/>
        </w:rPr>
      </w:pPr>
      <w:r w:rsidRPr="00474099">
        <w:rPr>
          <w:rFonts w:ascii="Times New Roman" w:hAnsi="Times New Roman"/>
          <w:lang w:eastAsia="ar-SA"/>
        </w:rPr>
        <w:t>Article 18 requires Parties to take measures for the safe handling, packaging and transport of LMOs that undergo intentional transboundary movement in order to minimise risks to biodiversity and human health. This applies to all LMOs within the scope of the Protocol, whether or not they are subject to the specific AIA procedure described in Section 8.2.2(b</w:t>
      </w:r>
      <w:r w:rsidR="00686C4F">
        <w:rPr>
          <w:rFonts w:ascii="Times New Roman" w:hAnsi="Times New Roman"/>
          <w:lang w:eastAsia="ar-SA"/>
        </w:rPr>
        <w:t xml:space="preserve">) </w:t>
      </w:r>
      <w:r w:rsidR="00686C4F">
        <w:rPr>
          <w:rFonts w:ascii="Times New Roman" w:eastAsia="Times New Roman" w:hAnsi="Times New Roman"/>
          <w:bCs/>
          <w:iCs/>
          <w:kern w:val="1"/>
          <w:szCs w:val="26"/>
          <w:lang w:eastAsia="ar-SA"/>
        </w:rPr>
        <w:fldChar w:fldCharType="begin" w:fldLock="1"/>
      </w:r>
      <w:r w:rsidR="00686C4F">
        <w:rPr>
          <w:rFonts w:ascii="Times New Roman" w:eastAsia="Times New Roman" w:hAnsi="Times New Roman"/>
          <w:bCs/>
          <w:iCs/>
          <w:kern w:val="1"/>
          <w:szCs w:val="26"/>
          <w:lang w:eastAsia="ar-SA"/>
        </w:rPr>
        <w:instrText>ADDIN CSL_CITATION {"citationItems":[{"id":"ITEM-1","itemData":{"author":[{"dropping-particle":"","family":"Ascencio","given":"Alfonso","non-dropping-particle":"","parse-names":false,"suffix":""},{"dropping-particle":"","family":"Burhenne-Guilmin","given":"Françoise","non-dropping-particle":"","parse-names":false,"suffix":""},{"dropping-particle":"","family":"Kinderlerer","given":"Julian","non-dropping-particle":"","parse-names":false,"suffix":""},{"dropping-particle":"","family":"Kummer","given":"Katharina","non-dropping-particle":"","parse-names":false,"suffix":""},{"dropping-particle":"","family":"Viña","given":"Antonio","non-dropping-particle":"La","parse-names":false,"suffix":""},{"dropping-particle":"","family":"Mackenzie","given":"Ruth","non-dropping-particle":"","parse-names":false,"suffix":""},{"dropping-particle":"","family":"Tapper","given":"Richard","non-dropping-particle":"","parse-names":false,"suffix":""},{"dropping-particle":"","family":"Werksman","given":"Jacob D","non-dropping-particle":"","parse-names":false,"suffix":""}],"collection-title":"36690","id":"ITEM-1","issued":{"date-parts":[["2003"]]},"title":"An explanatory guide to the Cartagena protocol on biosafety","type":"report"},"uris":["http://www.mendeley.com/documents/?uuid=d3065aa0-5fb9-4656-adb1-6dd0a81a87e1"]}],"mendeley":{"formattedCitation":"(Ascencio et al., 2003)","plainTextFormattedCitation":"(Ascencio et al., 2003)","previouslyFormattedCitation":"(Ascencio et al., 2003)"},"properties":{"noteIndex":0},"schema":"https://github.com/citation-style-language/schema/raw/master/csl-citation.json"}</w:instrText>
      </w:r>
      <w:r w:rsidR="00686C4F">
        <w:rPr>
          <w:rFonts w:ascii="Times New Roman" w:eastAsia="Times New Roman" w:hAnsi="Times New Roman"/>
          <w:bCs/>
          <w:iCs/>
          <w:kern w:val="1"/>
          <w:szCs w:val="26"/>
          <w:lang w:eastAsia="ar-SA"/>
        </w:rPr>
        <w:fldChar w:fldCharType="separate"/>
      </w:r>
      <w:r w:rsidR="00686C4F" w:rsidRPr="0073383D">
        <w:rPr>
          <w:rFonts w:ascii="Times New Roman" w:eastAsia="Times New Roman" w:hAnsi="Times New Roman"/>
          <w:bCs/>
          <w:iCs/>
          <w:noProof/>
          <w:kern w:val="1"/>
          <w:szCs w:val="26"/>
          <w:lang w:eastAsia="ar-SA"/>
        </w:rPr>
        <w:t>(Ascencio et al., 2003)</w:t>
      </w:r>
      <w:r w:rsidR="00686C4F">
        <w:rPr>
          <w:rFonts w:ascii="Times New Roman" w:eastAsia="Times New Roman" w:hAnsi="Times New Roman"/>
          <w:bCs/>
          <w:iCs/>
          <w:kern w:val="1"/>
          <w:szCs w:val="26"/>
          <w:lang w:eastAsia="ar-SA"/>
        </w:rPr>
        <w:fldChar w:fldCharType="end"/>
      </w:r>
      <w:r w:rsidRPr="00474099">
        <w:rPr>
          <w:rFonts w:ascii="Times New Roman" w:hAnsi="Times New Roman"/>
          <w:lang w:eastAsia="ar-SA"/>
        </w:rPr>
        <w:t>. It sets out what information must be provided in the documentation accompanying transboundary movement of LMOs in order to facilitate identification and tracking. Specific requirements vary according to the intended use, with different notification procedures applying to LMOs intended for direct use as food or feed, or processing; LMOs destined for contained use in the Party of import; and LMOs intended for introduction into the environment of the Party of import.</w:t>
      </w:r>
    </w:p>
    <w:p w14:paraId="24FFCB2D" w14:textId="12C919F6" w:rsidR="70585754" w:rsidRPr="003430B2" w:rsidRDefault="00207BBB" w:rsidP="003430B2">
      <w:pPr>
        <w:pStyle w:val="Heading5"/>
        <w:tabs>
          <w:tab w:val="clear" w:pos="1800"/>
        </w:tabs>
        <w:ind w:left="284" w:hanging="284"/>
        <w:rPr>
          <w:i w:val="0"/>
        </w:rPr>
      </w:pPr>
      <w:r>
        <w:rPr>
          <w:i w:val="0"/>
          <w:iCs/>
        </w:rPr>
        <w:t xml:space="preserve">(f) </w:t>
      </w:r>
      <w:r w:rsidRPr="00474099">
        <w:rPr>
          <w:iCs/>
        </w:rPr>
        <w:t>P</w:t>
      </w:r>
      <w:r w:rsidR="70585754" w:rsidRPr="00474099">
        <w:rPr>
          <w:iCs/>
        </w:rPr>
        <w:t>ublic awareness and participation</w:t>
      </w:r>
      <w:r w:rsidR="00CE3085" w:rsidRPr="00474099">
        <w:rPr>
          <w:iCs/>
        </w:rPr>
        <w:t>.</w:t>
      </w:r>
    </w:p>
    <w:p w14:paraId="329E4A67" w14:textId="12C401B3" w:rsidR="00752913" w:rsidRPr="00A1642C" w:rsidRDefault="004F382E" w:rsidP="00A03090">
      <w:pPr>
        <w:spacing w:after="120" w:line="240" w:lineRule="auto"/>
        <w:jc w:val="both"/>
      </w:pPr>
      <w:r>
        <w:rPr>
          <w:rFonts w:ascii="Times New Roman" w:eastAsia="Times New Roman" w:hAnsi="Times New Roman"/>
          <w:bCs/>
          <w:iCs/>
          <w:kern w:val="1"/>
          <w:szCs w:val="26"/>
          <w:lang w:val="en-CA" w:eastAsia="ar-SA"/>
        </w:rPr>
        <w:t xml:space="preserve">Article 23 of the Protocol </w:t>
      </w:r>
      <w:r w:rsidR="00606EEF" w:rsidRPr="00606EEF">
        <w:rPr>
          <w:rFonts w:ascii="Times New Roman" w:eastAsia="Times New Roman" w:hAnsi="Times New Roman"/>
          <w:bCs/>
          <w:iCs/>
          <w:kern w:val="1"/>
          <w:szCs w:val="26"/>
          <w:lang w:val="en-CA" w:eastAsia="ar-SA"/>
        </w:rPr>
        <w:t>provides for a mix of mandatory</w:t>
      </w:r>
      <w:r w:rsidR="00606EEF">
        <w:rPr>
          <w:rFonts w:ascii="Times New Roman" w:eastAsia="Times New Roman" w:hAnsi="Times New Roman"/>
          <w:bCs/>
          <w:iCs/>
          <w:kern w:val="1"/>
          <w:szCs w:val="26"/>
          <w:lang w:val="en-CA" w:eastAsia="ar-SA"/>
        </w:rPr>
        <w:t xml:space="preserve"> </w:t>
      </w:r>
      <w:r w:rsidR="00606EEF" w:rsidRPr="00606EEF">
        <w:rPr>
          <w:rFonts w:ascii="Times New Roman" w:eastAsia="Times New Roman" w:hAnsi="Times New Roman"/>
          <w:bCs/>
          <w:iCs/>
          <w:kern w:val="1"/>
          <w:szCs w:val="26"/>
          <w:lang w:val="en-CA" w:eastAsia="ar-SA"/>
        </w:rPr>
        <w:t>and discretionary actions that Parties to the</w:t>
      </w:r>
      <w:r w:rsidR="00606EEF">
        <w:rPr>
          <w:rFonts w:ascii="Times New Roman" w:eastAsia="Times New Roman" w:hAnsi="Times New Roman"/>
          <w:bCs/>
          <w:iCs/>
          <w:kern w:val="1"/>
          <w:szCs w:val="26"/>
          <w:lang w:val="en-CA" w:eastAsia="ar-SA"/>
        </w:rPr>
        <w:t xml:space="preserve"> </w:t>
      </w:r>
      <w:r w:rsidR="00606EEF" w:rsidRPr="00606EEF">
        <w:rPr>
          <w:rFonts w:ascii="Times New Roman" w:eastAsia="Times New Roman" w:hAnsi="Times New Roman"/>
          <w:bCs/>
          <w:iCs/>
          <w:kern w:val="1"/>
          <w:szCs w:val="26"/>
          <w:lang w:val="en-CA" w:eastAsia="ar-SA"/>
        </w:rPr>
        <w:t>Protocol are expected to undertake relating</w:t>
      </w:r>
      <w:r w:rsidR="00606EEF">
        <w:rPr>
          <w:rFonts w:ascii="Times New Roman" w:eastAsia="Times New Roman" w:hAnsi="Times New Roman"/>
          <w:bCs/>
          <w:iCs/>
          <w:kern w:val="1"/>
          <w:szCs w:val="26"/>
          <w:lang w:val="en-CA" w:eastAsia="ar-SA"/>
        </w:rPr>
        <w:t xml:space="preserve"> </w:t>
      </w:r>
      <w:r w:rsidR="00606EEF" w:rsidRPr="00606EEF">
        <w:rPr>
          <w:rFonts w:ascii="Times New Roman" w:eastAsia="Times New Roman" w:hAnsi="Times New Roman"/>
          <w:bCs/>
          <w:iCs/>
          <w:kern w:val="1"/>
          <w:szCs w:val="26"/>
          <w:lang w:val="en-CA" w:eastAsia="ar-SA"/>
        </w:rPr>
        <w:t>to the provision of information on LMOs to</w:t>
      </w:r>
      <w:r w:rsidR="00606EEF">
        <w:rPr>
          <w:rFonts w:ascii="Times New Roman" w:eastAsia="Times New Roman" w:hAnsi="Times New Roman"/>
          <w:bCs/>
          <w:iCs/>
          <w:kern w:val="1"/>
          <w:szCs w:val="26"/>
          <w:lang w:val="en-CA" w:eastAsia="ar-SA"/>
        </w:rPr>
        <w:t xml:space="preserve"> </w:t>
      </w:r>
      <w:r w:rsidR="00606EEF" w:rsidRPr="00606EEF">
        <w:rPr>
          <w:rFonts w:ascii="Times New Roman" w:eastAsia="Times New Roman" w:hAnsi="Times New Roman"/>
          <w:bCs/>
          <w:iCs/>
          <w:kern w:val="1"/>
          <w:szCs w:val="26"/>
          <w:lang w:val="en-CA" w:eastAsia="ar-SA"/>
        </w:rPr>
        <w:t>the public</w:t>
      </w:r>
      <w:r w:rsidR="00606EEF">
        <w:rPr>
          <w:rFonts w:ascii="Times New Roman" w:eastAsia="Times New Roman" w:hAnsi="Times New Roman"/>
          <w:bCs/>
          <w:iCs/>
          <w:kern w:val="1"/>
          <w:szCs w:val="26"/>
          <w:lang w:val="en-CA" w:eastAsia="ar-SA"/>
        </w:rPr>
        <w:t xml:space="preserve">; </w:t>
      </w:r>
      <w:r w:rsidR="001C0137" w:rsidRPr="001C0137">
        <w:rPr>
          <w:rFonts w:ascii="Times New Roman" w:eastAsia="Times New Roman" w:hAnsi="Times New Roman"/>
          <w:bCs/>
          <w:iCs/>
          <w:kern w:val="1"/>
          <w:szCs w:val="26"/>
          <w:lang w:val="en-CA" w:eastAsia="ar-SA"/>
        </w:rPr>
        <w:t>public participation in LMO-related</w:t>
      </w:r>
      <w:r w:rsidR="001C0137">
        <w:rPr>
          <w:rFonts w:ascii="Times New Roman" w:eastAsia="Times New Roman" w:hAnsi="Times New Roman"/>
          <w:bCs/>
          <w:iCs/>
          <w:kern w:val="1"/>
          <w:szCs w:val="26"/>
          <w:lang w:val="en-CA" w:eastAsia="ar-SA"/>
        </w:rPr>
        <w:t xml:space="preserve"> </w:t>
      </w:r>
      <w:r w:rsidR="001C0137" w:rsidRPr="001C0137">
        <w:rPr>
          <w:rFonts w:ascii="Times New Roman" w:eastAsia="Times New Roman" w:hAnsi="Times New Roman"/>
          <w:bCs/>
          <w:iCs/>
          <w:kern w:val="1"/>
          <w:szCs w:val="26"/>
          <w:lang w:val="en-CA" w:eastAsia="ar-SA"/>
        </w:rPr>
        <w:t>decision-making processes</w:t>
      </w:r>
      <w:r w:rsidR="00606EEF" w:rsidRPr="00606EEF">
        <w:rPr>
          <w:rFonts w:ascii="Times New Roman" w:eastAsia="Times New Roman" w:hAnsi="Times New Roman"/>
          <w:bCs/>
          <w:iCs/>
          <w:kern w:val="1"/>
          <w:szCs w:val="26"/>
          <w:lang w:val="en-CA" w:eastAsia="ar-SA"/>
        </w:rPr>
        <w:t>;</w:t>
      </w:r>
      <w:r w:rsidR="00070E91">
        <w:rPr>
          <w:rFonts w:ascii="Times New Roman" w:eastAsia="Times New Roman" w:hAnsi="Times New Roman"/>
          <w:bCs/>
          <w:iCs/>
          <w:kern w:val="1"/>
          <w:szCs w:val="26"/>
          <w:lang w:val="en-CA" w:eastAsia="ar-SA"/>
        </w:rPr>
        <w:t xml:space="preserve"> and the </w:t>
      </w:r>
      <w:r w:rsidR="00070E91" w:rsidRPr="00070E91">
        <w:rPr>
          <w:rFonts w:ascii="Times New Roman" w:eastAsia="Times New Roman" w:hAnsi="Times New Roman"/>
          <w:bCs/>
          <w:iCs/>
          <w:kern w:val="1"/>
          <w:szCs w:val="26"/>
          <w:lang w:val="en-CA" w:eastAsia="ar-SA"/>
        </w:rPr>
        <w:t>provision of information to the public</w:t>
      </w:r>
      <w:r w:rsidR="00070E91">
        <w:rPr>
          <w:rFonts w:ascii="Times New Roman" w:eastAsia="Times New Roman" w:hAnsi="Times New Roman"/>
          <w:bCs/>
          <w:iCs/>
          <w:kern w:val="1"/>
          <w:szCs w:val="26"/>
          <w:lang w:val="en-CA" w:eastAsia="ar-SA"/>
        </w:rPr>
        <w:t xml:space="preserve"> </w:t>
      </w:r>
      <w:r w:rsidR="00070E91" w:rsidRPr="00070E91">
        <w:rPr>
          <w:rFonts w:ascii="Times New Roman" w:eastAsia="Times New Roman" w:hAnsi="Times New Roman"/>
          <w:bCs/>
          <w:iCs/>
          <w:kern w:val="1"/>
          <w:szCs w:val="26"/>
          <w:lang w:val="en-CA" w:eastAsia="ar-SA"/>
        </w:rPr>
        <w:t>about access to the Biosafety Clearing</w:t>
      </w:r>
      <w:r w:rsidR="00070E91">
        <w:rPr>
          <w:rFonts w:ascii="Times New Roman" w:eastAsia="Times New Roman" w:hAnsi="Times New Roman"/>
          <w:bCs/>
          <w:iCs/>
          <w:kern w:val="1"/>
          <w:szCs w:val="26"/>
          <w:lang w:val="en-CA" w:eastAsia="ar-SA"/>
        </w:rPr>
        <w:t xml:space="preserve"> </w:t>
      </w:r>
      <w:r w:rsidR="00070E91" w:rsidRPr="00070E91">
        <w:rPr>
          <w:rFonts w:ascii="Times New Roman" w:eastAsia="Times New Roman" w:hAnsi="Times New Roman"/>
          <w:bCs/>
          <w:iCs/>
          <w:kern w:val="1"/>
          <w:szCs w:val="26"/>
          <w:lang w:val="en-CA" w:eastAsia="ar-SA"/>
        </w:rPr>
        <w:t>House</w:t>
      </w:r>
      <w:r w:rsidR="006B4E1F">
        <w:rPr>
          <w:rFonts w:ascii="Times New Roman" w:eastAsia="Times New Roman" w:hAnsi="Times New Roman"/>
          <w:bCs/>
          <w:iCs/>
          <w:kern w:val="1"/>
          <w:szCs w:val="26"/>
          <w:lang w:val="en-CA" w:eastAsia="ar-SA"/>
        </w:rPr>
        <w:t xml:space="preserve"> </w:t>
      </w:r>
      <w:r w:rsidR="00686C4F">
        <w:rPr>
          <w:rFonts w:ascii="Times New Roman" w:eastAsia="Times New Roman" w:hAnsi="Times New Roman"/>
          <w:bCs/>
          <w:iCs/>
          <w:kern w:val="1"/>
          <w:szCs w:val="26"/>
          <w:lang w:eastAsia="ar-SA"/>
        </w:rPr>
        <w:fldChar w:fldCharType="begin" w:fldLock="1"/>
      </w:r>
      <w:r w:rsidR="00686C4F">
        <w:rPr>
          <w:rFonts w:ascii="Times New Roman" w:eastAsia="Times New Roman" w:hAnsi="Times New Roman"/>
          <w:bCs/>
          <w:iCs/>
          <w:kern w:val="1"/>
          <w:szCs w:val="26"/>
          <w:lang w:eastAsia="ar-SA"/>
        </w:rPr>
        <w:instrText>ADDIN CSL_CITATION {"citationItems":[{"id":"ITEM-1","itemData":{"author":[{"dropping-particle":"","family":"Ascencio","given":"Alfonso","non-dropping-particle":"","parse-names":false,"suffix":""},{"dropping-particle":"","family":"Burhenne-Guilmin","given":"Françoise","non-dropping-particle":"","parse-names":false,"suffix":""},{"dropping-particle":"","family":"Kinderlerer","given":"Julian","non-dropping-particle":"","parse-names":false,"suffix":""},{"dropping-particle":"","family":"Kummer","given":"Katharina","non-dropping-particle":"","parse-names":false,"suffix":""},{"dropping-particle":"","family":"Viña","given":"Antonio","non-dropping-particle":"La","parse-names":false,"suffix":""},{"dropping-particle":"","family":"Mackenzie","given":"Ruth","non-dropping-particle":"","parse-names":false,"suffix":""},{"dropping-particle":"","family":"Tapper","given":"Richard","non-dropping-particle":"","parse-names":false,"suffix":""},{"dropping-particle":"","family":"Werksman","given":"Jacob D","non-dropping-particle":"","parse-names":false,"suffix":""}],"collection-title":"36690","id":"ITEM-1","issued":{"date-parts":[["2003"]]},"title":"An explanatory guide to the Cartagena protocol on biosafety","type":"report"},"uris":["http://www.mendeley.com/documents/?uuid=d3065aa0-5fb9-4656-adb1-6dd0a81a87e1"]}],"mendeley":{"formattedCitation":"(Ascencio et al., 2003)","plainTextFormattedCitation":"(Ascencio et al., 2003)","previouslyFormattedCitation":"(Ascencio et al., 2003)"},"properties":{"noteIndex":0},"schema":"https://github.com/citation-style-language/schema/raw/master/csl-citation.json"}</w:instrText>
      </w:r>
      <w:r w:rsidR="00686C4F">
        <w:rPr>
          <w:rFonts w:ascii="Times New Roman" w:eastAsia="Times New Roman" w:hAnsi="Times New Roman"/>
          <w:bCs/>
          <w:iCs/>
          <w:kern w:val="1"/>
          <w:szCs w:val="26"/>
          <w:lang w:eastAsia="ar-SA"/>
        </w:rPr>
        <w:fldChar w:fldCharType="separate"/>
      </w:r>
      <w:r w:rsidR="00686C4F" w:rsidRPr="0073383D">
        <w:rPr>
          <w:rFonts w:ascii="Times New Roman" w:eastAsia="Times New Roman" w:hAnsi="Times New Roman"/>
          <w:bCs/>
          <w:iCs/>
          <w:noProof/>
          <w:kern w:val="1"/>
          <w:szCs w:val="26"/>
          <w:lang w:eastAsia="ar-SA"/>
        </w:rPr>
        <w:t>(Ascencio et al., 2003)</w:t>
      </w:r>
      <w:r w:rsidR="00686C4F">
        <w:rPr>
          <w:rFonts w:ascii="Times New Roman" w:eastAsia="Times New Roman" w:hAnsi="Times New Roman"/>
          <w:bCs/>
          <w:iCs/>
          <w:kern w:val="1"/>
          <w:szCs w:val="26"/>
          <w:lang w:eastAsia="ar-SA"/>
        </w:rPr>
        <w:fldChar w:fldCharType="end"/>
      </w:r>
      <w:r w:rsidR="00070E91">
        <w:rPr>
          <w:rFonts w:ascii="Times New Roman" w:eastAsia="Times New Roman" w:hAnsi="Times New Roman"/>
          <w:bCs/>
          <w:iCs/>
          <w:kern w:val="1"/>
          <w:szCs w:val="26"/>
          <w:lang w:val="en-CA" w:eastAsia="ar-SA"/>
        </w:rPr>
        <w:t>.</w:t>
      </w:r>
      <w:r w:rsidR="00AC18D0">
        <w:rPr>
          <w:rFonts w:ascii="Times New Roman" w:eastAsia="Times New Roman" w:hAnsi="Times New Roman"/>
          <w:bCs/>
          <w:iCs/>
          <w:kern w:val="1"/>
          <w:szCs w:val="26"/>
          <w:lang w:val="en-CA" w:eastAsia="ar-SA"/>
        </w:rPr>
        <w:t xml:space="preserve"> </w:t>
      </w:r>
      <w:r w:rsidR="009E6F90">
        <w:rPr>
          <w:rFonts w:ascii="Times New Roman" w:eastAsia="Times New Roman" w:hAnsi="Times New Roman"/>
          <w:bCs/>
          <w:iCs/>
          <w:kern w:val="1"/>
          <w:szCs w:val="26"/>
          <w:lang w:val="en-CA" w:eastAsia="ar-SA"/>
        </w:rPr>
        <w:t xml:space="preserve">These actions are best understood </w:t>
      </w:r>
      <w:r w:rsidR="00CF0161">
        <w:rPr>
          <w:rFonts w:ascii="Times New Roman" w:eastAsia="Times New Roman" w:hAnsi="Times New Roman"/>
          <w:bCs/>
          <w:iCs/>
          <w:kern w:val="1"/>
          <w:szCs w:val="26"/>
          <w:lang w:val="en-CA" w:eastAsia="ar-SA"/>
        </w:rPr>
        <w:t xml:space="preserve">in the context of </w:t>
      </w:r>
      <w:r w:rsidR="00AC18D0" w:rsidRPr="00AC18D0">
        <w:rPr>
          <w:rFonts w:ascii="Times New Roman" w:eastAsia="Times New Roman" w:hAnsi="Times New Roman"/>
          <w:bCs/>
          <w:iCs/>
          <w:kern w:val="1"/>
          <w:szCs w:val="26"/>
          <w:lang w:val="en-CA" w:eastAsia="ar-SA"/>
        </w:rPr>
        <w:t>Principle 10 of the 1992 Rio Declaration on</w:t>
      </w:r>
      <w:r w:rsidR="00CF0161">
        <w:rPr>
          <w:rFonts w:ascii="Times New Roman" w:eastAsia="Times New Roman" w:hAnsi="Times New Roman"/>
          <w:bCs/>
          <w:iCs/>
          <w:kern w:val="1"/>
          <w:szCs w:val="26"/>
          <w:lang w:val="en-CA" w:eastAsia="ar-SA"/>
        </w:rPr>
        <w:t xml:space="preserve"> </w:t>
      </w:r>
      <w:r w:rsidR="00AC18D0" w:rsidRPr="00AC18D0">
        <w:rPr>
          <w:rFonts w:ascii="Times New Roman" w:eastAsia="Times New Roman" w:hAnsi="Times New Roman"/>
          <w:bCs/>
          <w:iCs/>
          <w:kern w:val="1"/>
          <w:szCs w:val="26"/>
          <w:lang w:val="en-CA" w:eastAsia="ar-SA"/>
        </w:rPr>
        <w:t xml:space="preserve">Environment and Development </w:t>
      </w:r>
      <w:r w:rsidR="00CF0161">
        <w:rPr>
          <w:rFonts w:ascii="Times New Roman" w:eastAsia="Times New Roman" w:hAnsi="Times New Roman"/>
          <w:bCs/>
          <w:iCs/>
          <w:kern w:val="1"/>
          <w:szCs w:val="26"/>
          <w:lang w:val="en-CA" w:eastAsia="ar-SA"/>
        </w:rPr>
        <w:t>which</w:t>
      </w:r>
      <w:r w:rsidR="00AC18D0" w:rsidRPr="00AC18D0">
        <w:rPr>
          <w:rFonts w:ascii="Times New Roman" w:eastAsia="Times New Roman" w:hAnsi="Times New Roman"/>
          <w:bCs/>
          <w:iCs/>
          <w:kern w:val="1"/>
          <w:szCs w:val="26"/>
          <w:lang w:val="en-CA" w:eastAsia="ar-SA"/>
        </w:rPr>
        <w:t xml:space="preserve"> articulates the </w:t>
      </w:r>
      <w:r w:rsidR="00CF0161">
        <w:rPr>
          <w:rFonts w:ascii="Times New Roman" w:eastAsia="Times New Roman" w:hAnsi="Times New Roman"/>
          <w:bCs/>
          <w:iCs/>
          <w:kern w:val="1"/>
          <w:szCs w:val="26"/>
          <w:lang w:val="en-CA" w:eastAsia="ar-SA"/>
        </w:rPr>
        <w:t>“</w:t>
      </w:r>
      <w:r w:rsidR="00AC18D0" w:rsidRPr="00AC18D0">
        <w:rPr>
          <w:rFonts w:ascii="Times New Roman" w:eastAsia="Times New Roman" w:hAnsi="Times New Roman"/>
          <w:bCs/>
          <w:iCs/>
          <w:kern w:val="1"/>
          <w:szCs w:val="26"/>
          <w:lang w:val="en-CA" w:eastAsia="ar-SA"/>
        </w:rPr>
        <w:t>three pillars” of public participation:</w:t>
      </w:r>
      <w:r w:rsidR="00CF0161">
        <w:rPr>
          <w:rFonts w:ascii="Times New Roman" w:eastAsia="Times New Roman" w:hAnsi="Times New Roman"/>
          <w:bCs/>
          <w:iCs/>
          <w:kern w:val="1"/>
          <w:szCs w:val="26"/>
          <w:lang w:val="en-CA" w:eastAsia="ar-SA"/>
        </w:rPr>
        <w:t xml:space="preserve"> </w:t>
      </w:r>
      <w:r w:rsidR="00AC18D0" w:rsidRPr="00AC18D0">
        <w:rPr>
          <w:rFonts w:ascii="Times New Roman" w:eastAsia="Times New Roman" w:hAnsi="Times New Roman"/>
          <w:bCs/>
          <w:iCs/>
          <w:kern w:val="1"/>
          <w:szCs w:val="26"/>
          <w:lang w:val="en-CA" w:eastAsia="ar-SA"/>
        </w:rPr>
        <w:t>(1) the right of citizens to information; (2)</w:t>
      </w:r>
      <w:r w:rsidR="00CF0161">
        <w:rPr>
          <w:rFonts w:ascii="Times New Roman" w:eastAsia="Times New Roman" w:hAnsi="Times New Roman"/>
          <w:bCs/>
          <w:iCs/>
          <w:kern w:val="1"/>
          <w:szCs w:val="26"/>
          <w:lang w:val="en-CA" w:eastAsia="ar-SA"/>
        </w:rPr>
        <w:t xml:space="preserve"> </w:t>
      </w:r>
      <w:r w:rsidR="00AC18D0" w:rsidRPr="00AC18D0">
        <w:rPr>
          <w:rFonts w:ascii="Times New Roman" w:eastAsia="Times New Roman" w:hAnsi="Times New Roman"/>
          <w:bCs/>
          <w:iCs/>
          <w:kern w:val="1"/>
          <w:szCs w:val="26"/>
          <w:lang w:val="en-CA" w:eastAsia="ar-SA"/>
        </w:rPr>
        <w:t>their right to participate in environmental</w:t>
      </w:r>
      <w:r w:rsidR="00CF0161">
        <w:rPr>
          <w:rFonts w:ascii="Times New Roman" w:eastAsia="Times New Roman" w:hAnsi="Times New Roman"/>
          <w:bCs/>
          <w:iCs/>
          <w:kern w:val="1"/>
          <w:szCs w:val="26"/>
          <w:lang w:val="en-CA" w:eastAsia="ar-SA"/>
        </w:rPr>
        <w:t xml:space="preserve"> </w:t>
      </w:r>
      <w:r w:rsidR="00AC18D0" w:rsidRPr="00AC18D0">
        <w:rPr>
          <w:rFonts w:ascii="Times New Roman" w:eastAsia="Times New Roman" w:hAnsi="Times New Roman"/>
          <w:bCs/>
          <w:iCs/>
          <w:kern w:val="1"/>
          <w:szCs w:val="26"/>
          <w:lang w:val="en-CA" w:eastAsia="ar-SA"/>
        </w:rPr>
        <w:t>decisions which affect them; and (3) their</w:t>
      </w:r>
      <w:r w:rsidR="00CF0161">
        <w:rPr>
          <w:rFonts w:ascii="Times New Roman" w:eastAsia="Times New Roman" w:hAnsi="Times New Roman"/>
          <w:bCs/>
          <w:iCs/>
          <w:kern w:val="1"/>
          <w:szCs w:val="26"/>
          <w:lang w:val="en-CA" w:eastAsia="ar-SA"/>
        </w:rPr>
        <w:t xml:space="preserve"> </w:t>
      </w:r>
      <w:r w:rsidR="00AC18D0" w:rsidRPr="00AC18D0">
        <w:rPr>
          <w:rFonts w:ascii="Times New Roman" w:eastAsia="Times New Roman" w:hAnsi="Times New Roman"/>
          <w:bCs/>
          <w:iCs/>
          <w:kern w:val="1"/>
          <w:szCs w:val="26"/>
          <w:lang w:val="en-CA" w:eastAsia="ar-SA"/>
        </w:rPr>
        <w:t>access to mechanisms of redress and justice</w:t>
      </w:r>
      <w:r w:rsidR="00CF0161">
        <w:rPr>
          <w:rFonts w:ascii="Times New Roman" w:eastAsia="Times New Roman" w:hAnsi="Times New Roman"/>
          <w:bCs/>
          <w:iCs/>
          <w:kern w:val="1"/>
          <w:szCs w:val="26"/>
          <w:lang w:val="en-CA" w:eastAsia="ar-SA"/>
        </w:rPr>
        <w:t xml:space="preserve"> </w:t>
      </w:r>
      <w:r w:rsidR="00AC18D0" w:rsidRPr="00AC18D0">
        <w:rPr>
          <w:rFonts w:ascii="Times New Roman" w:eastAsia="Times New Roman" w:hAnsi="Times New Roman"/>
          <w:bCs/>
          <w:iCs/>
          <w:kern w:val="1"/>
          <w:szCs w:val="26"/>
          <w:lang w:val="en-CA" w:eastAsia="ar-SA"/>
        </w:rPr>
        <w:t>when their rights are violated</w:t>
      </w:r>
      <w:r w:rsidR="00B4414E">
        <w:rPr>
          <w:rFonts w:ascii="Times New Roman" w:eastAsia="Times New Roman" w:hAnsi="Times New Roman"/>
          <w:bCs/>
          <w:iCs/>
          <w:kern w:val="1"/>
          <w:szCs w:val="26"/>
          <w:lang w:val="en-CA" w:eastAsia="ar-SA"/>
        </w:rPr>
        <w:t>.</w:t>
      </w:r>
    </w:p>
    <w:p w14:paraId="5EA7B594" w14:textId="1A2A6269" w:rsidR="00AE0C9A" w:rsidRPr="00981823" w:rsidRDefault="00CD670A" w:rsidP="002406C0">
      <w:pPr>
        <w:pStyle w:val="Heading3"/>
        <w:spacing w:before="240"/>
      </w:pPr>
      <w:bookmarkStart w:id="138" w:name="_Hlk65560062"/>
      <w:bookmarkStart w:id="139" w:name="_Toc70112706"/>
      <w:bookmarkStart w:id="140" w:name="_Toc70685728"/>
      <w:r w:rsidRPr="00B169BD" w:rsidDel="00B12251">
        <w:t>8.</w:t>
      </w:r>
      <w:r w:rsidRPr="00B169BD">
        <w:t>3</w:t>
      </w:r>
      <w:r w:rsidR="00F5129A" w:rsidRPr="00B169BD">
        <w:t>.</w:t>
      </w:r>
      <w:r w:rsidRPr="00B169BD">
        <w:t xml:space="preserve"> Nagoya</w:t>
      </w:r>
      <w:r w:rsidR="2BABBB01" w:rsidRPr="0AE9569A">
        <w:rPr>
          <w:lang w:val="en-US"/>
        </w:rPr>
        <w:t xml:space="preserve"> – </w:t>
      </w:r>
      <w:r w:rsidR="00AD016E">
        <w:rPr>
          <w:lang w:val="en-US"/>
        </w:rPr>
        <w:t>Kuala Lumpur</w:t>
      </w:r>
      <w:r>
        <w:rPr>
          <w:lang w:val="en-US"/>
        </w:rPr>
        <w:t xml:space="preserve"> </w:t>
      </w:r>
      <w:r w:rsidR="00435535">
        <w:rPr>
          <w:lang w:val="en-US"/>
        </w:rPr>
        <w:t>Supplementary</w:t>
      </w:r>
      <w:r w:rsidRPr="00B169BD">
        <w:t xml:space="preserve"> Protocol on </w:t>
      </w:r>
      <w:r w:rsidR="00435535">
        <w:rPr>
          <w:lang w:val="en-US"/>
        </w:rPr>
        <w:t>Liability and Redress to the Cartagena Protocol</w:t>
      </w:r>
      <w:r>
        <w:rPr>
          <w:lang w:val="en-US"/>
        </w:rPr>
        <w:t xml:space="preserve"> </w:t>
      </w:r>
      <w:r w:rsidR="002856C8">
        <w:rPr>
          <w:lang w:val="en-US"/>
        </w:rPr>
        <w:t>on Biosafety</w:t>
      </w:r>
      <w:r w:rsidR="00530C23">
        <w:rPr>
          <w:lang w:val="en-US"/>
        </w:rPr>
        <w:t>.</w:t>
      </w:r>
      <w:bookmarkEnd w:id="138"/>
      <w:bookmarkEnd w:id="139"/>
      <w:bookmarkEnd w:id="140"/>
    </w:p>
    <w:bookmarkEnd w:id="128"/>
    <w:bookmarkEnd w:id="132"/>
    <w:p w14:paraId="2E6705E8" w14:textId="53059137" w:rsidR="00960C06" w:rsidRPr="001F03B7" w:rsidRDefault="00960C06" w:rsidP="54153909">
      <w:pPr>
        <w:suppressAutoHyphens/>
        <w:spacing w:after="120" w:line="240" w:lineRule="auto"/>
        <w:jc w:val="both"/>
        <w:rPr>
          <w:rFonts w:ascii="Times New Roman" w:hAnsi="Times New Roman"/>
          <w:lang w:eastAsia="hi-IN" w:bidi="hi-IN"/>
        </w:rPr>
      </w:pPr>
      <w:r w:rsidRPr="54153909">
        <w:rPr>
          <w:rFonts w:ascii="Times New Roman" w:eastAsia="SimSun" w:hAnsi="Times New Roman"/>
          <w:kern w:val="22"/>
          <w:lang w:eastAsia="hi-IN" w:bidi="hi-IN"/>
        </w:rPr>
        <w:t>The</w:t>
      </w:r>
      <w:r w:rsidRPr="001F03B7">
        <w:rPr>
          <w:rFonts w:ascii="Times New Roman" w:hAnsi="Times New Roman"/>
          <w:kern w:val="22"/>
          <w:lang w:eastAsia="hi-IN" w:bidi="hi-IN"/>
        </w:rPr>
        <w:t xml:space="preserve"> issue of liability and redress for damage resulting from the transboundary movements of LMOs was one of the themes on the agenda during the negotiation of the Biosafety Protocol. The negotiators were, however, unable to reach any consensus regarding the details of a liability regime under the Protocol</w:t>
      </w:r>
      <w:r w:rsidR="24F530F8" w:rsidRPr="001F03B7">
        <w:rPr>
          <w:rFonts w:ascii="Times New Roman" w:hAnsi="Times New Roman"/>
          <w:kern w:val="22"/>
          <w:lang w:eastAsia="hi-IN" w:bidi="hi-IN"/>
        </w:rPr>
        <w:t xml:space="preserve"> and so instead included an article </w:t>
      </w:r>
      <w:r w:rsidR="01BA7821" w:rsidRPr="001F03B7">
        <w:rPr>
          <w:rFonts w:ascii="Times New Roman" w:hAnsi="Times New Roman"/>
          <w:kern w:val="22"/>
          <w:lang w:eastAsia="hi-IN" w:bidi="hi-IN"/>
        </w:rPr>
        <w:t>requiring a further process on this issue following the entry into force of the Protocol (Article 27)</w:t>
      </w:r>
      <w:r w:rsidRPr="001F03B7">
        <w:rPr>
          <w:rFonts w:ascii="Times New Roman" w:hAnsi="Times New Roman"/>
          <w:kern w:val="22"/>
          <w:lang w:eastAsia="hi-IN" w:bidi="hi-IN"/>
        </w:rPr>
        <w:t>.</w:t>
      </w:r>
      <w:r w:rsidR="469C3033" w:rsidRPr="001F03B7">
        <w:rPr>
          <w:rFonts w:ascii="Times New Roman" w:hAnsi="Times New Roman"/>
          <w:kern w:val="22"/>
          <w:lang w:eastAsia="hi-IN" w:bidi="hi-IN"/>
        </w:rPr>
        <w:t xml:space="preserve"> The result of this process was the Nagoya – Kuala Lumpur Supplementary Protocol on Liability and Redress to the Cartagena Protocol (Supplementary Protocol), which was adopted by</w:t>
      </w:r>
      <w:r w:rsidRPr="001F03B7">
        <w:rPr>
          <w:rFonts w:ascii="Times New Roman" w:hAnsi="Times New Roman"/>
          <w:kern w:val="22"/>
          <w:lang w:eastAsia="hi-IN" w:bidi="hi-IN"/>
        </w:rPr>
        <w:t xml:space="preserve"> the Conference of the Parties serving as the meeting to the Parties to the Cartagena Protocol </w:t>
      </w:r>
      <w:r w:rsidR="12A50597" w:rsidRPr="001F03B7">
        <w:rPr>
          <w:rFonts w:ascii="Times New Roman" w:hAnsi="Times New Roman"/>
          <w:kern w:val="22"/>
          <w:lang w:eastAsia="hi-IN" w:bidi="hi-IN"/>
        </w:rPr>
        <w:t>at its fifth meeting in 2010</w:t>
      </w:r>
      <w:r w:rsidRPr="001F03B7">
        <w:rPr>
          <w:rFonts w:ascii="Times New Roman" w:hAnsi="Times New Roman"/>
          <w:kern w:val="22"/>
          <w:lang w:eastAsia="hi-IN" w:bidi="hi-IN"/>
        </w:rPr>
        <w:t>.</w:t>
      </w:r>
      <w:r w:rsidR="729A40AD" w:rsidRPr="001F03B7">
        <w:rPr>
          <w:rFonts w:ascii="Times New Roman" w:hAnsi="Times New Roman"/>
          <w:kern w:val="22"/>
          <w:lang w:eastAsia="hi-IN" w:bidi="hi-IN"/>
        </w:rPr>
        <w:t xml:space="preserve"> </w:t>
      </w:r>
      <w:r w:rsidR="729A40AD" w:rsidRPr="54153909">
        <w:rPr>
          <w:rFonts w:ascii="Times New Roman" w:hAnsi="Times New Roman"/>
          <w:lang w:eastAsia="hi-IN" w:bidi="hi-IN"/>
        </w:rPr>
        <w:t>The Supplementary Protocol entered into force on 5 March 2018 and has 48 Parties as of March 2021.</w:t>
      </w:r>
    </w:p>
    <w:p w14:paraId="01CC7495" w14:textId="3753493E" w:rsidR="00960C06" w:rsidRPr="001F03B7" w:rsidRDefault="729A40AD" w:rsidP="00960C06">
      <w:pPr>
        <w:suppressAutoHyphens/>
        <w:spacing w:after="120" w:line="240" w:lineRule="auto"/>
        <w:jc w:val="both"/>
        <w:rPr>
          <w:rFonts w:ascii="Times New Roman" w:hAnsi="Times New Roman"/>
          <w:kern w:val="22"/>
          <w:lang w:eastAsia="hi-IN" w:bidi="hi-IN"/>
        </w:rPr>
      </w:pPr>
      <w:r w:rsidRPr="54153909">
        <w:rPr>
          <w:rFonts w:ascii="Times New Roman" w:hAnsi="Times New Roman"/>
          <w:lang w:eastAsia="hi-IN" w:bidi="hi-IN"/>
        </w:rPr>
        <w:t>The objective of the Supplementary Protocol is to contribute to the conservation and sustainable use of biological diversity, taking also into account risks to human health, by providing international rules and procedures in the field of liability and redress relating to living modified organisms.</w:t>
      </w:r>
      <w:r w:rsidR="00960C06" w:rsidRPr="001F03B7">
        <w:rPr>
          <w:rFonts w:ascii="Times New Roman" w:hAnsi="Times New Roman"/>
          <w:kern w:val="22"/>
          <w:lang w:eastAsia="hi-IN" w:bidi="hi-IN"/>
        </w:rPr>
        <w:t xml:space="preserve"> </w:t>
      </w:r>
    </w:p>
    <w:p w14:paraId="1BA125EA" w14:textId="77777777" w:rsidR="00960C06" w:rsidRPr="001F03B7" w:rsidRDefault="00960C06" w:rsidP="00960C06">
      <w:pPr>
        <w:suppressAutoHyphens/>
        <w:spacing w:after="120" w:line="240" w:lineRule="auto"/>
        <w:jc w:val="both"/>
        <w:rPr>
          <w:rFonts w:ascii="Times New Roman" w:hAnsi="Times New Roman"/>
          <w:kern w:val="22"/>
          <w:lang w:eastAsia="hi-IN" w:bidi="hi-IN"/>
        </w:rPr>
      </w:pPr>
      <w:r w:rsidRPr="001F03B7">
        <w:rPr>
          <w:rFonts w:ascii="Times New Roman" w:hAnsi="Times New Roman"/>
          <w:kern w:val="22"/>
          <w:lang w:eastAsia="hi-IN" w:bidi="hi-IN"/>
        </w:rPr>
        <w:t xml:space="preserve">This Supplementary Protocol applies to damage resulting from </w:t>
      </w:r>
      <w:r>
        <w:rPr>
          <w:rFonts w:ascii="Times New Roman" w:hAnsi="Times New Roman"/>
          <w:kern w:val="22"/>
          <w:lang w:eastAsia="hi-IN" w:bidi="hi-IN"/>
        </w:rPr>
        <w:t>LMO</w:t>
      </w:r>
      <w:r w:rsidRPr="001F03B7">
        <w:rPr>
          <w:rFonts w:ascii="Times New Roman" w:hAnsi="Times New Roman"/>
          <w:kern w:val="22"/>
          <w:lang w:eastAsia="hi-IN" w:bidi="hi-IN"/>
        </w:rPr>
        <w:t>s which find their origin in a transboundary movement and are (i) intended for direct use as food, feed, or for processing; (ii) destined for contained use; or (iii) intended for intentional introduction into the environment (Article 3</w:t>
      </w:r>
      <w:r>
        <w:rPr>
          <w:rFonts w:ascii="Times New Roman" w:hAnsi="Times New Roman"/>
          <w:kern w:val="22"/>
          <w:lang w:eastAsia="hi-IN" w:bidi="hi-IN"/>
        </w:rPr>
        <w:t>;</w:t>
      </w:r>
      <w:r w:rsidRPr="001F03B7">
        <w:rPr>
          <w:rFonts w:ascii="Times New Roman" w:hAnsi="Times New Roman"/>
          <w:kern w:val="22"/>
          <w:lang w:eastAsia="hi-IN" w:bidi="hi-IN"/>
        </w:rPr>
        <w:t xml:space="preserve"> Supplementary Protocol). It applies to damage resulting from any authori</w:t>
      </w:r>
      <w:r>
        <w:rPr>
          <w:rFonts w:ascii="Times New Roman" w:hAnsi="Times New Roman"/>
          <w:kern w:val="22"/>
          <w:lang w:eastAsia="hi-IN" w:bidi="hi-IN"/>
        </w:rPr>
        <w:t>s</w:t>
      </w:r>
      <w:r w:rsidRPr="001F03B7">
        <w:rPr>
          <w:rFonts w:ascii="Times New Roman" w:hAnsi="Times New Roman"/>
          <w:kern w:val="22"/>
          <w:lang w:eastAsia="hi-IN" w:bidi="hi-IN"/>
        </w:rPr>
        <w:t xml:space="preserve">ed use of the </w:t>
      </w:r>
      <w:r>
        <w:rPr>
          <w:rFonts w:ascii="Times New Roman" w:hAnsi="Times New Roman"/>
          <w:kern w:val="22"/>
          <w:lang w:eastAsia="hi-IN" w:bidi="hi-IN"/>
        </w:rPr>
        <w:t>LMO</w:t>
      </w:r>
      <w:r w:rsidRPr="001F03B7">
        <w:rPr>
          <w:rFonts w:ascii="Times New Roman" w:hAnsi="Times New Roman"/>
          <w:kern w:val="22"/>
          <w:lang w:eastAsia="hi-IN" w:bidi="hi-IN"/>
        </w:rPr>
        <w:t xml:space="preserve">s, damage resulting from unintentional transboundary movements as referred to in Article 17 of the Cartagena Protocol, as well as damage resulting from illegal transboundary movements as referred to in Article 25 of the Cartagena Protocol. </w:t>
      </w:r>
    </w:p>
    <w:p w14:paraId="103834D1" w14:textId="4FAC331C" w:rsidR="00960C06" w:rsidRDefault="00960C06" w:rsidP="00960C06">
      <w:pPr>
        <w:suppressAutoHyphens/>
        <w:spacing w:after="120" w:line="240" w:lineRule="auto"/>
        <w:jc w:val="both"/>
        <w:rPr>
          <w:rFonts w:ascii="Times New Roman" w:hAnsi="Times New Roman"/>
          <w:kern w:val="22"/>
          <w:lang w:eastAsia="hi-IN" w:bidi="hi-IN"/>
        </w:rPr>
      </w:pPr>
      <w:r w:rsidRPr="001F03B7">
        <w:rPr>
          <w:rFonts w:ascii="Times New Roman" w:hAnsi="Times New Roman"/>
          <w:kern w:val="22"/>
          <w:lang w:eastAsia="hi-IN" w:bidi="hi-IN"/>
        </w:rPr>
        <w:t>“Damage” is defined by the Supplementary Protocol (Article 2) as an adverse effect on the conservation and sustainable use of biological diversity, taking also into account risks to human health, that is measurable or otherwise observable taking into account, wherever available, scientifically</w:t>
      </w:r>
      <w:r>
        <w:rPr>
          <w:rFonts w:ascii="Times New Roman" w:hAnsi="Times New Roman"/>
          <w:kern w:val="22"/>
          <w:lang w:eastAsia="hi-IN" w:bidi="hi-IN"/>
        </w:rPr>
        <w:t xml:space="preserve"> </w:t>
      </w:r>
      <w:r w:rsidRPr="001F03B7">
        <w:rPr>
          <w:rFonts w:ascii="Times New Roman" w:hAnsi="Times New Roman"/>
          <w:kern w:val="22"/>
          <w:lang w:eastAsia="hi-IN" w:bidi="hi-IN"/>
        </w:rPr>
        <w:t>established baselines recogni</w:t>
      </w:r>
      <w:r>
        <w:rPr>
          <w:rFonts w:ascii="Times New Roman" w:hAnsi="Times New Roman"/>
          <w:kern w:val="22"/>
          <w:lang w:eastAsia="hi-IN" w:bidi="hi-IN"/>
        </w:rPr>
        <w:t>s</w:t>
      </w:r>
      <w:r w:rsidRPr="001F03B7">
        <w:rPr>
          <w:rFonts w:ascii="Times New Roman" w:hAnsi="Times New Roman"/>
          <w:kern w:val="22"/>
          <w:lang w:eastAsia="hi-IN" w:bidi="hi-IN"/>
        </w:rPr>
        <w:t>ed by a competent authority that takes into account any other human induced variation and natural variation</w:t>
      </w:r>
      <w:r w:rsidR="3D1500DE" w:rsidRPr="001F03B7">
        <w:rPr>
          <w:rFonts w:ascii="Times New Roman" w:hAnsi="Times New Roman"/>
          <w:kern w:val="22"/>
          <w:lang w:eastAsia="hi-IN" w:bidi="hi-IN"/>
        </w:rPr>
        <w:t>; and is significant</w:t>
      </w:r>
      <w:r w:rsidRPr="001F03B7">
        <w:rPr>
          <w:rFonts w:ascii="Times New Roman" w:hAnsi="Times New Roman"/>
          <w:kern w:val="22"/>
          <w:lang w:eastAsia="hi-IN" w:bidi="hi-IN"/>
        </w:rPr>
        <w:t>. Whether an adverse effect is “significant” is to be determined on the basis of factors, such as</w:t>
      </w:r>
      <w:r>
        <w:rPr>
          <w:rFonts w:ascii="Times New Roman" w:hAnsi="Times New Roman"/>
          <w:kern w:val="22"/>
          <w:lang w:eastAsia="hi-IN" w:bidi="hi-IN"/>
        </w:rPr>
        <w:t>:</w:t>
      </w:r>
    </w:p>
    <w:p w14:paraId="574EDFE2" w14:textId="77777777" w:rsidR="00960C06" w:rsidRPr="00930BA3" w:rsidRDefault="00960C06" w:rsidP="00960C06">
      <w:pPr>
        <w:pStyle w:val="ListParagraph"/>
        <w:suppressAutoHyphens/>
        <w:spacing w:after="120" w:line="240" w:lineRule="auto"/>
        <w:ind w:left="284" w:hanging="284"/>
        <w:jc w:val="both"/>
        <w:rPr>
          <w:rFonts w:ascii="Times New Roman" w:hAnsi="Times New Roman"/>
          <w:kern w:val="22"/>
          <w:lang w:eastAsia="hi-IN" w:bidi="hi-IN"/>
        </w:rPr>
      </w:pPr>
      <w:r w:rsidRPr="00930BA3">
        <w:rPr>
          <w:rFonts w:ascii="Times New Roman" w:hAnsi="Times New Roman"/>
          <w:kern w:val="22"/>
          <w:lang w:eastAsia="hi-IN" w:bidi="hi-IN"/>
        </w:rPr>
        <w:t>(i) the long-term or permanent change, to be understood as change that will not be redressed through natural recovery within a reasonable period of time;</w:t>
      </w:r>
    </w:p>
    <w:p w14:paraId="07EFD685" w14:textId="77777777" w:rsidR="00960C06" w:rsidRPr="00930BA3" w:rsidRDefault="00960C06" w:rsidP="00960C06">
      <w:pPr>
        <w:suppressAutoHyphens/>
        <w:spacing w:after="120" w:line="240" w:lineRule="auto"/>
        <w:ind w:left="284" w:hanging="284"/>
        <w:jc w:val="both"/>
        <w:rPr>
          <w:rFonts w:ascii="Times New Roman" w:hAnsi="Times New Roman"/>
          <w:kern w:val="22"/>
          <w:lang w:eastAsia="hi-IN" w:bidi="hi-IN"/>
        </w:rPr>
      </w:pPr>
      <w:r w:rsidRPr="00930BA3">
        <w:rPr>
          <w:rFonts w:ascii="Times New Roman" w:hAnsi="Times New Roman"/>
          <w:kern w:val="22"/>
          <w:lang w:eastAsia="hi-IN" w:bidi="hi-IN"/>
        </w:rPr>
        <w:t>(ii) the extent of the qualitative or quantitative changes that adversely affect the components of biological diversity;</w:t>
      </w:r>
    </w:p>
    <w:p w14:paraId="170551A2" w14:textId="77777777" w:rsidR="00960C06" w:rsidRPr="00930BA3" w:rsidRDefault="00960C06" w:rsidP="00960C06">
      <w:pPr>
        <w:suppressAutoHyphens/>
        <w:spacing w:after="120" w:line="240" w:lineRule="auto"/>
        <w:ind w:left="284" w:hanging="284"/>
        <w:jc w:val="both"/>
        <w:rPr>
          <w:rFonts w:ascii="Times New Roman" w:hAnsi="Times New Roman"/>
          <w:kern w:val="22"/>
          <w:lang w:eastAsia="hi-IN" w:bidi="hi-IN"/>
        </w:rPr>
      </w:pPr>
      <w:r w:rsidRPr="00930BA3">
        <w:rPr>
          <w:rFonts w:ascii="Times New Roman" w:hAnsi="Times New Roman"/>
          <w:kern w:val="22"/>
          <w:lang w:eastAsia="hi-IN" w:bidi="hi-IN"/>
        </w:rPr>
        <w:t>(iii) the reduction of the ability of components of biological diversity to provide goods and services; and</w:t>
      </w:r>
    </w:p>
    <w:p w14:paraId="421978DC" w14:textId="42211B90" w:rsidR="00960C06" w:rsidRPr="00930BA3" w:rsidRDefault="00960C06" w:rsidP="00960C06">
      <w:pPr>
        <w:suppressAutoHyphens/>
        <w:spacing w:after="120" w:line="240" w:lineRule="auto"/>
        <w:ind w:left="284" w:hanging="284"/>
        <w:jc w:val="both"/>
        <w:rPr>
          <w:rFonts w:ascii="Times New Roman" w:hAnsi="Times New Roman"/>
          <w:kern w:val="22"/>
          <w:lang w:eastAsia="hi-IN" w:bidi="hi-IN"/>
        </w:rPr>
      </w:pPr>
      <w:r w:rsidRPr="00930BA3">
        <w:rPr>
          <w:rFonts w:ascii="Times New Roman" w:hAnsi="Times New Roman"/>
          <w:kern w:val="22"/>
          <w:lang w:eastAsia="hi-IN" w:bidi="hi-IN"/>
        </w:rPr>
        <w:t>(iv) the extent of any adverse effects on human health in the context of the Protocol</w:t>
      </w:r>
      <w:r w:rsidR="607FF440" w:rsidRPr="00930BA3">
        <w:rPr>
          <w:rFonts w:ascii="Times New Roman" w:hAnsi="Times New Roman"/>
          <w:kern w:val="22"/>
          <w:lang w:eastAsia="hi-IN" w:bidi="hi-IN"/>
        </w:rPr>
        <w:t xml:space="preserve"> (Article 2, paragraph 3)</w:t>
      </w:r>
      <w:r w:rsidRPr="00930BA3">
        <w:rPr>
          <w:rFonts w:ascii="Times New Roman" w:hAnsi="Times New Roman"/>
          <w:kern w:val="22"/>
          <w:lang w:eastAsia="hi-IN" w:bidi="hi-IN"/>
        </w:rPr>
        <w:t>.</w:t>
      </w:r>
    </w:p>
    <w:p w14:paraId="663E74EC" w14:textId="59F0A37C" w:rsidR="00960C06" w:rsidRPr="00930BA3" w:rsidRDefault="00960C06" w:rsidP="00960C06">
      <w:pPr>
        <w:suppressAutoHyphens/>
        <w:spacing w:after="120" w:line="240" w:lineRule="auto"/>
        <w:jc w:val="both"/>
        <w:rPr>
          <w:rFonts w:ascii="Times New Roman" w:hAnsi="Times New Roman"/>
          <w:kern w:val="22"/>
          <w:lang w:eastAsia="hi-IN" w:bidi="hi-IN"/>
        </w:rPr>
      </w:pPr>
      <w:r w:rsidRPr="00930BA3">
        <w:rPr>
          <w:rFonts w:ascii="Times New Roman" w:hAnsi="Times New Roman"/>
          <w:kern w:val="22"/>
          <w:lang w:eastAsia="hi-IN" w:bidi="hi-IN"/>
        </w:rPr>
        <w:t xml:space="preserve"> </w:t>
      </w:r>
      <w:bookmarkStart w:id="141" w:name="_Hlk65738707"/>
      <w:r w:rsidRPr="00930BA3">
        <w:rPr>
          <w:rFonts w:ascii="Times New Roman" w:hAnsi="Times New Roman"/>
          <w:kern w:val="22"/>
          <w:lang w:eastAsia="hi-IN" w:bidi="hi-IN"/>
        </w:rPr>
        <w:t xml:space="preserve">A causal link needs to be established between the damage and the </w:t>
      </w:r>
      <w:r>
        <w:rPr>
          <w:rFonts w:ascii="Times New Roman" w:hAnsi="Times New Roman"/>
          <w:kern w:val="22"/>
          <w:lang w:eastAsia="hi-IN" w:bidi="hi-IN"/>
        </w:rPr>
        <w:t>LMO</w:t>
      </w:r>
      <w:r w:rsidRPr="00930BA3">
        <w:rPr>
          <w:rFonts w:ascii="Times New Roman" w:hAnsi="Times New Roman"/>
          <w:kern w:val="22"/>
          <w:lang w:eastAsia="hi-IN" w:bidi="hi-IN"/>
        </w:rPr>
        <w:t xml:space="preserve"> in question in accordance with domestic law (Article 4</w:t>
      </w:r>
      <w:r>
        <w:rPr>
          <w:rFonts w:ascii="Times New Roman" w:hAnsi="Times New Roman"/>
          <w:kern w:val="22"/>
          <w:lang w:eastAsia="hi-IN" w:bidi="hi-IN"/>
        </w:rPr>
        <w:t>;</w:t>
      </w:r>
      <w:r w:rsidRPr="00930BA3">
        <w:rPr>
          <w:rFonts w:ascii="Times New Roman" w:hAnsi="Times New Roman"/>
          <w:kern w:val="22"/>
          <w:lang w:eastAsia="hi-IN" w:bidi="hi-IN"/>
        </w:rPr>
        <w:t xml:space="preserve"> Supplementary Protocol)</w:t>
      </w:r>
      <w:r w:rsidR="5E1DB63A" w:rsidRPr="00930BA3">
        <w:rPr>
          <w:rFonts w:ascii="Times New Roman" w:hAnsi="Times New Roman"/>
          <w:kern w:val="22"/>
          <w:lang w:eastAsia="hi-IN" w:bidi="hi-IN"/>
        </w:rPr>
        <w:t>.</w:t>
      </w:r>
      <w:r w:rsidRPr="00930BA3">
        <w:rPr>
          <w:rFonts w:ascii="Times New Roman" w:hAnsi="Times New Roman"/>
          <w:kern w:val="22"/>
          <w:lang w:eastAsia="hi-IN" w:bidi="hi-IN"/>
        </w:rPr>
        <w:t xml:space="preserve"> </w:t>
      </w:r>
      <w:r w:rsidR="6CDC710C" w:rsidRPr="00930BA3">
        <w:rPr>
          <w:rFonts w:ascii="Times New Roman" w:hAnsi="Times New Roman"/>
          <w:kern w:val="22"/>
          <w:lang w:eastAsia="hi-IN" w:bidi="hi-IN"/>
        </w:rPr>
        <w:t>I</w:t>
      </w:r>
      <w:r w:rsidRPr="00930BA3">
        <w:rPr>
          <w:rFonts w:ascii="Times New Roman" w:hAnsi="Times New Roman"/>
          <w:kern w:val="22"/>
          <w:lang w:eastAsia="hi-IN" w:bidi="hi-IN"/>
        </w:rPr>
        <w:t>n the event of damage</w:t>
      </w:r>
      <w:r w:rsidR="3092B13F" w:rsidRPr="00930BA3">
        <w:rPr>
          <w:rFonts w:ascii="Times New Roman" w:hAnsi="Times New Roman"/>
          <w:kern w:val="22"/>
          <w:lang w:eastAsia="hi-IN" w:bidi="hi-IN"/>
        </w:rPr>
        <w:t>, the Supplementary Protocol provides for an administrative approach by which</w:t>
      </w:r>
      <w:r w:rsidRPr="00930BA3">
        <w:rPr>
          <w:rFonts w:ascii="Times New Roman" w:hAnsi="Times New Roman"/>
          <w:kern w:val="22"/>
          <w:lang w:eastAsia="hi-IN" w:bidi="hi-IN"/>
        </w:rPr>
        <w:t xml:space="preserve"> operators are required to immediately inform the competent authority, evaluate the damage; and take appropriate response measures (Article 5</w:t>
      </w:r>
      <w:r w:rsidR="7A4AA2D5" w:rsidRPr="00930BA3">
        <w:rPr>
          <w:rFonts w:ascii="Times New Roman" w:hAnsi="Times New Roman"/>
          <w:kern w:val="22"/>
          <w:lang w:eastAsia="hi-IN" w:bidi="hi-IN"/>
        </w:rPr>
        <w:t>(1)</w:t>
      </w:r>
      <w:r>
        <w:rPr>
          <w:rFonts w:ascii="Times New Roman" w:hAnsi="Times New Roman"/>
          <w:kern w:val="22"/>
          <w:lang w:eastAsia="hi-IN" w:bidi="hi-IN"/>
        </w:rPr>
        <w:t>;</w:t>
      </w:r>
      <w:r w:rsidRPr="00930BA3">
        <w:rPr>
          <w:rFonts w:ascii="Times New Roman" w:hAnsi="Times New Roman"/>
          <w:kern w:val="22"/>
          <w:lang w:eastAsia="hi-IN" w:bidi="hi-IN"/>
        </w:rPr>
        <w:t xml:space="preserve"> Supplementary Protocol).</w:t>
      </w:r>
      <w:r w:rsidR="242FCD51" w:rsidRPr="00930BA3">
        <w:rPr>
          <w:rFonts w:ascii="Times New Roman" w:hAnsi="Times New Roman"/>
          <w:kern w:val="22"/>
          <w:lang w:eastAsia="hi-IN" w:bidi="hi-IN"/>
        </w:rPr>
        <w:t xml:space="preserve"> Furthermore, where relevant information indicates that there is a sufficient likelihood that damage will result if timely response measures are not taken, the operator sha</w:t>
      </w:r>
      <w:r w:rsidR="39D8242E" w:rsidRPr="00930BA3">
        <w:rPr>
          <w:rFonts w:ascii="Times New Roman" w:hAnsi="Times New Roman"/>
          <w:kern w:val="22"/>
          <w:lang w:eastAsia="hi-IN" w:bidi="hi-IN"/>
        </w:rPr>
        <w:t xml:space="preserve">ll be required to take appropriate response measures so as to avoid such damage </w:t>
      </w:r>
      <w:r w:rsidR="1937C688" w:rsidRPr="00930BA3">
        <w:rPr>
          <w:rFonts w:ascii="Times New Roman" w:hAnsi="Times New Roman"/>
          <w:kern w:val="22"/>
          <w:lang w:eastAsia="hi-IN" w:bidi="hi-IN"/>
        </w:rPr>
        <w:t>(Article 5(3)).</w:t>
      </w:r>
      <w:bookmarkEnd w:id="141"/>
    </w:p>
    <w:p w14:paraId="25451A5A" w14:textId="51F85A93" w:rsidR="1937C688" w:rsidRDefault="1937C688" w:rsidP="54153909">
      <w:pPr>
        <w:spacing w:after="120" w:line="240" w:lineRule="auto"/>
        <w:jc w:val="both"/>
        <w:rPr>
          <w:rFonts w:ascii="Times New Roman" w:hAnsi="Times New Roman"/>
          <w:lang w:eastAsia="hi-IN" w:bidi="hi-IN"/>
        </w:rPr>
      </w:pPr>
      <w:r w:rsidRPr="54153909">
        <w:rPr>
          <w:rFonts w:ascii="Times New Roman" w:hAnsi="Times New Roman"/>
          <w:lang w:eastAsia="hi-IN" w:bidi="hi-IN"/>
        </w:rPr>
        <w:t>The terms “operator” and “response measures” are both defined in the Supplementary Protocol.</w:t>
      </w:r>
      <w:r w:rsidR="00AC2B19">
        <w:rPr>
          <w:rFonts w:ascii="Times New Roman" w:hAnsi="Times New Roman"/>
          <w:lang w:eastAsia="hi-IN" w:bidi="hi-IN"/>
        </w:rPr>
        <w:t xml:space="preserve"> An operator refers to a </w:t>
      </w:r>
      <w:r w:rsidR="00AC2B19" w:rsidRPr="00AC2B19">
        <w:rPr>
          <w:rFonts w:ascii="Times New Roman" w:hAnsi="Times New Roman"/>
          <w:lang w:eastAsia="hi-IN" w:bidi="hi-IN"/>
        </w:rPr>
        <w:t xml:space="preserve">person in direct or indirect control of </w:t>
      </w:r>
      <w:r w:rsidR="00AC2B19">
        <w:rPr>
          <w:rFonts w:ascii="Times New Roman" w:hAnsi="Times New Roman"/>
          <w:lang w:eastAsia="hi-IN" w:bidi="hi-IN"/>
        </w:rPr>
        <w:t xml:space="preserve">LMO, as </w:t>
      </w:r>
      <w:r w:rsidR="004B0614">
        <w:rPr>
          <w:rFonts w:ascii="Times New Roman" w:hAnsi="Times New Roman"/>
          <w:lang w:eastAsia="hi-IN" w:bidi="hi-IN"/>
        </w:rPr>
        <w:t xml:space="preserve">may be </w:t>
      </w:r>
      <w:r w:rsidR="00AC2B19" w:rsidRPr="00AC2B19">
        <w:rPr>
          <w:rFonts w:ascii="Times New Roman" w:hAnsi="Times New Roman"/>
          <w:lang w:eastAsia="hi-IN" w:bidi="hi-IN"/>
        </w:rPr>
        <w:t>determined by domestic law, includ</w:t>
      </w:r>
      <w:r w:rsidR="004B0614">
        <w:rPr>
          <w:rFonts w:ascii="Times New Roman" w:hAnsi="Times New Roman"/>
          <w:lang w:eastAsia="hi-IN" w:bidi="hi-IN"/>
        </w:rPr>
        <w:t xml:space="preserve">ing </w:t>
      </w:r>
      <w:r w:rsidR="00AC2B19" w:rsidRPr="00AC2B19">
        <w:rPr>
          <w:rFonts w:ascii="Times New Roman" w:hAnsi="Times New Roman"/>
          <w:lang w:eastAsia="hi-IN" w:bidi="hi-IN"/>
        </w:rPr>
        <w:t xml:space="preserve"> </w:t>
      </w:r>
      <w:r w:rsidR="00AC2B19" w:rsidRPr="00195D55">
        <w:rPr>
          <w:rFonts w:ascii="Times New Roman" w:hAnsi="Times New Roman"/>
          <w:i/>
          <w:iCs/>
          <w:lang w:eastAsia="hi-IN" w:bidi="hi-IN"/>
        </w:rPr>
        <w:t>inter alia</w:t>
      </w:r>
      <w:r w:rsidR="00AC2B19" w:rsidRPr="00AC2B19">
        <w:rPr>
          <w:rFonts w:ascii="Times New Roman" w:hAnsi="Times New Roman"/>
          <w:lang w:eastAsia="hi-IN" w:bidi="hi-IN"/>
        </w:rPr>
        <w:t>, the permit</w:t>
      </w:r>
      <w:r w:rsidR="00195D55">
        <w:rPr>
          <w:rFonts w:ascii="Times New Roman" w:hAnsi="Times New Roman"/>
          <w:lang w:eastAsia="hi-IN" w:bidi="hi-IN"/>
        </w:rPr>
        <w:t>-</w:t>
      </w:r>
      <w:r w:rsidR="00AC2B19" w:rsidRPr="00AC2B19">
        <w:rPr>
          <w:rFonts w:ascii="Times New Roman" w:hAnsi="Times New Roman"/>
          <w:lang w:eastAsia="hi-IN" w:bidi="hi-IN"/>
        </w:rPr>
        <w:t>holder, person who placed the living modified organism on the market, developer, producer, notifier, exporter, importer, carrier or supplier</w:t>
      </w:r>
      <w:r w:rsidR="004B0614">
        <w:rPr>
          <w:rFonts w:ascii="Times New Roman" w:hAnsi="Times New Roman"/>
          <w:lang w:eastAsia="hi-IN" w:bidi="hi-IN"/>
        </w:rPr>
        <w:t xml:space="preserve">. </w:t>
      </w:r>
      <w:r w:rsidR="001C7098">
        <w:rPr>
          <w:rFonts w:ascii="Times New Roman" w:hAnsi="Times New Roman"/>
          <w:lang w:eastAsia="hi-IN" w:bidi="hi-IN"/>
        </w:rPr>
        <w:t>R</w:t>
      </w:r>
      <w:r w:rsidR="001C7098" w:rsidRPr="54153909">
        <w:rPr>
          <w:rFonts w:ascii="Times New Roman" w:hAnsi="Times New Roman"/>
          <w:lang w:eastAsia="hi-IN" w:bidi="hi-IN"/>
        </w:rPr>
        <w:t>esponse measures</w:t>
      </w:r>
      <w:r w:rsidR="001C7098">
        <w:rPr>
          <w:rFonts w:ascii="Times New Roman" w:hAnsi="Times New Roman"/>
          <w:lang w:eastAsia="hi-IN" w:bidi="hi-IN"/>
        </w:rPr>
        <w:t xml:space="preserve"> refer</w:t>
      </w:r>
      <w:r w:rsidR="00E42330">
        <w:rPr>
          <w:rFonts w:ascii="Times New Roman" w:hAnsi="Times New Roman"/>
          <w:lang w:eastAsia="hi-IN" w:bidi="hi-IN"/>
        </w:rPr>
        <w:t xml:space="preserve"> to</w:t>
      </w:r>
      <w:r w:rsidR="001C7098" w:rsidRPr="001C7098">
        <w:rPr>
          <w:rFonts w:ascii="Times New Roman" w:hAnsi="Times New Roman"/>
          <w:lang w:eastAsia="hi-IN" w:bidi="hi-IN"/>
        </w:rPr>
        <w:t xml:space="preserve"> reasonable actions to prevent, minimize, contain, mitigate or otherwise avoid damage, as appropriate, or reasonable actions to restore biological diversity.</w:t>
      </w:r>
    </w:p>
    <w:p w14:paraId="035AA371" w14:textId="35EDF732" w:rsidR="359A4F35" w:rsidRDefault="359A4F35" w:rsidP="54153909">
      <w:pPr>
        <w:spacing w:after="120" w:line="240" w:lineRule="auto"/>
        <w:jc w:val="both"/>
        <w:rPr>
          <w:rFonts w:ascii="Times New Roman" w:hAnsi="Times New Roman"/>
          <w:lang w:eastAsia="hi-IN" w:bidi="hi-IN"/>
        </w:rPr>
      </w:pPr>
      <w:r w:rsidRPr="54153909">
        <w:rPr>
          <w:rFonts w:ascii="Times New Roman" w:hAnsi="Times New Roman"/>
          <w:lang w:eastAsia="hi-IN" w:bidi="hi-IN"/>
        </w:rPr>
        <w:t>The Supplementary Protocol also addresses</w:t>
      </w:r>
      <w:r w:rsidR="47F8853B" w:rsidRPr="54153909">
        <w:rPr>
          <w:rFonts w:ascii="Times New Roman" w:hAnsi="Times New Roman"/>
          <w:lang w:eastAsia="hi-IN" w:bidi="hi-IN"/>
        </w:rPr>
        <w:t xml:space="preserve"> </w:t>
      </w:r>
      <w:r w:rsidR="74D0B7D7" w:rsidRPr="54153909">
        <w:rPr>
          <w:rFonts w:ascii="Times New Roman" w:hAnsi="Times New Roman"/>
          <w:lang w:eastAsia="hi-IN" w:bidi="hi-IN"/>
        </w:rPr>
        <w:t>civil liability</w:t>
      </w:r>
      <w:r w:rsidR="7D8B5327" w:rsidRPr="54153909">
        <w:rPr>
          <w:rFonts w:ascii="Times New Roman" w:hAnsi="Times New Roman"/>
          <w:lang w:eastAsia="hi-IN" w:bidi="hi-IN"/>
        </w:rPr>
        <w:t xml:space="preserve"> for material or personal damage associated with the damage</w:t>
      </w:r>
      <w:r w:rsidR="008208C7">
        <w:rPr>
          <w:rFonts w:ascii="Times New Roman" w:hAnsi="Times New Roman"/>
          <w:lang w:eastAsia="hi-IN" w:bidi="hi-IN"/>
        </w:rPr>
        <w:t>,</w:t>
      </w:r>
      <w:r w:rsidR="7D8B5327" w:rsidRPr="54153909">
        <w:rPr>
          <w:rFonts w:ascii="Times New Roman" w:hAnsi="Times New Roman"/>
          <w:lang w:eastAsia="hi-IN" w:bidi="hi-IN"/>
        </w:rPr>
        <w:t xml:space="preserve"> as defined in the Supplementary Protocol</w:t>
      </w:r>
      <w:r w:rsidR="008208C7">
        <w:rPr>
          <w:rFonts w:ascii="Times New Roman" w:hAnsi="Times New Roman"/>
          <w:lang w:eastAsia="hi-IN" w:bidi="hi-IN"/>
        </w:rPr>
        <w:t>,</w:t>
      </w:r>
      <w:r w:rsidR="74D0B7D7" w:rsidRPr="54153909">
        <w:rPr>
          <w:rFonts w:ascii="Times New Roman" w:hAnsi="Times New Roman"/>
          <w:lang w:eastAsia="hi-IN" w:bidi="hi-IN"/>
        </w:rPr>
        <w:t xml:space="preserve"> </w:t>
      </w:r>
      <w:r w:rsidR="07292304" w:rsidRPr="54153909">
        <w:rPr>
          <w:rFonts w:ascii="Times New Roman" w:hAnsi="Times New Roman"/>
          <w:lang w:eastAsia="hi-IN" w:bidi="hi-IN"/>
        </w:rPr>
        <w:t xml:space="preserve">and enables Parties to </w:t>
      </w:r>
      <w:r w:rsidR="668AA286" w:rsidRPr="54153909">
        <w:rPr>
          <w:rFonts w:ascii="Times New Roman" w:hAnsi="Times New Roman"/>
          <w:lang w:eastAsia="hi-IN" w:bidi="hi-IN"/>
        </w:rPr>
        <w:t>continue to apply their existing law on civil liability and/or develop and apply civil liability law specifically for this purpose (Article 12(2)).</w:t>
      </w:r>
      <w:r w:rsidRPr="54153909">
        <w:rPr>
          <w:rFonts w:ascii="Times New Roman" w:hAnsi="Times New Roman"/>
          <w:lang w:eastAsia="hi-IN" w:bidi="hi-IN"/>
        </w:rPr>
        <w:t xml:space="preserve"> </w:t>
      </w:r>
    </w:p>
    <w:p w14:paraId="05187C3F" w14:textId="451D58B5" w:rsidR="00960C06" w:rsidRPr="001F03B7" w:rsidRDefault="00960C06" w:rsidP="00960C06">
      <w:pPr>
        <w:suppressAutoHyphens/>
        <w:spacing w:after="120" w:line="240" w:lineRule="auto"/>
        <w:jc w:val="both"/>
        <w:rPr>
          <w:rFonts w:ascii="Times New Roman" w:hAnsi="Times New Roman"/>
          <w:kern w:val="22"/>
          <w:lang w:eastAsia="hi-IN" w:bidi="hi-IN"/>
        </w:rPr>
      </w:pPr>
      <w:r w:rsidRPr="001F03B7">
        <w:rPr>
          <w:rFonts w:ascii="Times New Roman" w:hAnsi="Times New Roman"/>
          <w:kern w:val="22"/>
          <w:lang w:eastAsia="hi-IN" w:bidi="hi-IN"/>
        </w:rPr>
        <w:t xml:space="preserve">As discussed </w:t>
      </w:r>
      <w:r w:rsidRPr="00FF542C">
        <w:rPr>
          <w:rFonts w:ascii="Times New Roman" w:hAnsi="Times New Roman"/>
          <w:kern w:val="22"/>
          <w:lang w:eastAsia="hi-IN" w:bidi="hi-IN"/>
        </w:rPr>
        <w:t xml:space="preserve">in Section </w:t>
      </w:r>
      <w:bookmarkStart w:id="142" w:name="_Toc65609808"/>
      <w:r w:rsidRPr="00FF542C">
        <w:rPr>
          <w:rFonts w:ascii="Times New Roman" w:hAnsi="Times New Roman"/>
          <w:kern w:val="22"/>
          <w:lang w:eastAsia="hi-IN" w:bidi="hi-IN"/>
        </w:rPr>
        <w:t>8.2.1</w:t>
      </w:r>
      <w:r w:rsidR="00CE3085" w:rsidRPr="00FF542C">
        <w:rPr>
          <w:rFonts w:ascii="Times New Roman" w:hAnsi="Times New Roman"/>
          <w:kern w:val="22"/>
          <w:lang w:eastAsia="hi-IN" w:bidi="hi-IN"/>
        </w:rPr>
        <w:t>.</w:t>
      </w:r>
      <w:r w:rsidRPr="001F03B7">
        <w:rPr>
          <w:rFonts w:ascii="Times New Roman" w:hAnsi="Times New Roman"/>
          <w:kern w:val="22"/>
          <w:lang w:eastAsia="hi-IN" w:bidi="hi-IN"/>
        </w:rPr>
        <w:t xml:space="preserve"> above, organisms resulting from synthetic biology techniques may fall under the definition of a “living modified organism” under the Cartagena Protocol. Further, as described in </w:t>
      </w:r>
      <w:r>
        <w:rPr>
          <w:rFonts w:ascii="Times New Roman" w:hAnsi="Times New Roman"/>
          <w:kern w:val="22"/>
          <w:lang w:eastAsia="hi-IN" w:bidi="hi-IN"/>
        </w:rPr>
        <w:t>S</w:t>
      </w:r>
      <w:r w:rsidRPr="001F03B7">
        <w:rPr>
          <w:rFonts w:ascii="Times New Roman" w:hAnsi="Times New Roman"/>
          <w:kern w:val="22"/>
          <w:lang w:eastAsia="hi-IN" w:bidi="hi-IN"/>
        </w:rPr>
        <w:t xml:space="preserve">ection </w:t>
      </w:r>
      <w:r w:rsidR="00596137">
        <w:rPr>
          <w:rFonts w:ascii="Times New Roman" w:hAnsi="Times New Roman"/>
          <w:kern w:val="22"/>
          <w:lang w:eastAsia="hi-IN" w:bidi="hi-IN"/>
        </w:rPr>
        <w:t>4</w:t>
      </w:r>
      <w:r w:rsidRPr="001F03B7">
        <w:rPr>
          <w:rFonts w:ascii="Times New Roman" w:hAnsi="Times New Roman"/>
          <w:kern w:val="22"/>
          <w:lang w:eastAsia="hi-IN" w:bidi="hi-IN"/>
        </w:rPr>
        <w:t xml:space="preserve"> of this document, it is possible that </w:t>
      </w:r>
      <w:r>
        <w:rPr>
          <w:rFonts w:ascii="Times New Roman" w:hAnsi="Times New Roman"/>
          <w:kern w:val="22"/>
          <w:lang w:eastAsia="hi-IN" w:bidi="hi-IN"/>
        </w:rPr>
        <w:t>LMO</w:t>
      </w:r>
      <w:r w:rsidRPr="001F03B7">
        <w:rPr>
          <w:rFonts w:ascii="Times New Roman" w:hAnsi="Times New Roman"/>
          <w:kern w:val="22"/>
          <w:lang w:eastAsia="hi-IN" w:bidi="hi-IN"/>
        </w:rPr>
        <w:t xml:space="preserve">s resulting from synthetic biology techniques could cause adverse effects on the conservation and sustainable use of biological diversity. For example, unintentionally released organisms may transfer the inserted genetic material and thus change biodiversity at a genetic level, intentionally released organisms may become invasive due to engineered fitness advantages. </w:t>
      </w:r>
      <w:r w:rsidR="00B351C1">
        <w:rPr>
          <w:rFonts w:ascii="Times New Roman" w:hAnsi="Times New Roman"/>
          <w:kern w:val="22"/>
          <w:lang w:eastAsia="hi-IN" w:bidi="hi-IN"/>
        </w:rPr>
        <w:t xml:space="preserve">Such concerns are particularly acute in </w:t>
      </w:r>
      <w:r w:rsidR="007B11D7">
        <w:rPr>
          <w:rFonts w:ascii="Times New Roman" w:hAnsi="Times New Roman"/>
          <w:kern w:val="22"/>
          <w:lang w:eastAsia="hi-IN" w:bidi="hi-IN"/>
        </w:rPr>
        <w:t>the</w:t>
      </w:r>
      <w:r w:rsidR="00B351C1">
        <w:rPr>
          <w:rFonts w:ascii="Times New Roman" w:hAnsi="Times New Roman"/>
          <w:kern w:val="22"/>
          <w:lang w:eastAsia="hi-IN" w:bidi="hi-IN"/>
        </w:rPr>
        <w:t xml:space="preserve"> </w:t>
      </w:r>
      <w:r w:rsidR="00CA1203">
        <w:rPr>
          <w:rFonts w:ascii="Times New Roman" w:hAnsi="Times New Roman"/>
          <w:kern w:val="22"/>
          <w:lang w:eastAsia="hi-IN" w:bidi="hi-IN"/>
        </w:rPr>
        <w:t xml:space="preserve">context of </w:t>
      </w:r>
      <w:r w:rsidR="008C0C2E">
        <w:rPr>
          <w:rFonts w:ascii="Times New Roman" w:hAnsi="Times New Roman"/>
          <w:kern w:val="22"/>
          <w:lang w:eastAsia="hi-IN" w:bidi="hi-IN"/>
        </w:rPr>
        <w:t xml:space="preserve">engineered </w:t>
      </w:r>
      <w:r w:rsidR="00CA1203">
        <w:rPr>
          <w:rFonts w:ascii="Times New Roman" w:hAnsi="Times New Roman"/>
          <w:kern w:val="22"/>
          <w:lang w:eastAsia="hi-IN" w:bidi="hi-IN"/>
        </w:rPr>
        <w:t>gene drives</w:t>
      </w:r>
      <w:r w:rsidR="00B351C1">
        <w:rPr>
          <w:rFonts w:ascii="Times New Roman" w:hAnsi="Times New Roman"/>
          <w:kern w:val="22"/>
          <w:lang w:eastAsia="hi-IN" w:bidi="hi-IN"/>
        </w:rPr>
        <w:t xml:space="preserve"> </w:t>
      </w:r>
      <w:r w:rsidR="008C0C2E">
        <w:rPr>
          <w:rFonts w:ascii="Times New Roman" w:hAnsi="Times New Roman"/>
          <w:kern w:val="22"/>
          <w:lang w:eastAsia="hi-IN" w:bidi="hi-IN"/>
        </w:rPr>
        <w:t xml:space="preserve">in which the </w:t>
      </w:r>
      <w:r w:rsidR="008C0C2E" w:rsidRPr="008C0C2E">
        <w:rPr>
          <w:rFonts w:ascii="Times New Roman" w:hAnsi="Times New Roman"/>
          <w:kern w:val="22"/>
          <w:lang w:eastAsia="hi-IN" w:bidi="hi-IN"/>
        </w:rPr>
        <w:t>environmental release of such organisms relate</w:t>
      </w:r>
      <w:r w:rsidR="007B11D7">
        <w:rPr>
          <w:rFonts w:ascii="Times New Roman" w:hAnsi="Times New Roman"/>
          <w:kern w:val="22"/>
          <w:lang w:eastAsia="hi-IN" w:bidi="hi-IN"/>
        </w:rPr>
        <w:t>s</w:t>
      </w:r>
      <w:r w:rsidR="008C0C2E" w:rsidRPr="008C0C2E">
        <w:rPr>
          <w:rFonts w:ascii="Times New Roman" w:hAnsi="Times New Roman"/>
          <w:kern w:val="22"/>
          <w:lang w:eastAsia="hi-IN" w:bidi="hi-IN"/>
        </w:rPr>
        <w:t xml:space="preserve"> to the targeting of wild populations and may be irreversible</w:t>
      </w:r>
      <w:r w:rsidR="00E94F98">
        <w:rPr>
          <w:rFonts w:ascii="Times New Roman" w:hAnsi="Times New Roman"/>
          <w:kern w:val="22"/>
          <w:lang w:eastAsia="hi-IN" w:bidi="hi-IN"/>
        </w:rPr>
        <w:t xml:space="preserve">, as considered further in Sections </w:t>
      </w:r>
      <w:r w:rsidR="007B11D7">
        <w:rPr>
          <w:rFonts w:ascii="Times New Roman" w:hAnsi="Times New Roman"/>
          <w:kern w:val="22"/>
          <w:lang w:eastAsia="hi-IN" w:bidi="hi-IN"/>
        </w:rPr>
        <w:t>4</w:t>
      </w:r>
      <w:r w:rsidR="00E94F98">
        <w:rPr>
          <w:rFonts w:ascii="Times New Roman" w:hAnsi="Times New Roman"/>
          <w:kern w:val="22"/>
          <w:lang w:eastAsia="hi-IN" w:bidi="hi-IN"/>
        </w:rPr>
        <w:t>.1. and</w:t>
      </w:r>
      <w:r w:rsidR="007B11D7">
        <w:rPr>
          <w:rFonts w:ascii="Times New Roman" w:hAnsi="Times New Roman"/>
          <w:kern w:val="22"/>
          <w:lang w:eastAsia="hi-IN" w:bidi="hi-IN"/>
        </w:rPr>
        <w:t xml:space="preserve"> </w:t>
      </w:r>
      <w:r w:rsidR="00E94F98">
        <w:rPr>
          <w:rFonts w:ascii="Times New Roman" w:hAnsi="Times New Roman"/>
          <w:kern w:val="22"/>
          <w:lang w:eastAsia="hi-IN" w:bidi="hi-IN"/>
        </w:rPr>
        <w:t>6</w:t>
      </w:r>
      <w:r w:rsidR="00496E02">
        <w:rPr>
          <w:rFonts w:ascii="Times New Roman" w:hAnsi="Times New Roman"/>
          <w:kern w:val="22"/>
          <w:lang w:eastAsia="hi-IN" w:bidi="hi-IN"/>
        </w:rPr>
        <w:t>.1</w:t>
      </w:r>
      <w:r w:rsidR="00B351C1">
        <w:rPr>
          <w:rFonts w:ascii="Times New Roman" w:hAnsi="Times New Roman"/>
          <w:kern w:val="22"/>
          <w:lang w:eastAsia="hi-IN" w:bidi="hi-IN"/>
        </w:rPr>
        <w:t>.</w:t>
      </w:r>
      <w:r w:rsidR="00E94F98">
        <w:rPr>
          <w:rFonts w:ascii="Times New Roman" w:hAnsi="Times New Roman"/>
          <w:kern w:val="22"/>
          <w:lang w:eastAsia="hi-IN" w:bidi="hi-IN"/>
        </w:rPr>
        <w:t>1</w:t>
      </w:r>
      <w:r w:rsidR="007B11D7">
        <w:rPr>
          <w:rFonts w:ascii="Times New Roman" w:hAnsi="Times New Roman"/>
          <w:kern w:val="22"/>
          <w:lang w:eastAsia="hi-IN" w:bidi="hi-IN"/>
        </w:rPr>
        <w:t>.</w:t>
      </w:r>
      <w:r w:rsidR="00603069">
        <w:rPr>
          <w:rFonts w:ascii="Times New Roman" w:hAnsi="Times New Roman"/>
          <w:kern w:val="22"/>
          <w:lang w:eastAsia="hi-IN" w:bidi="hi-IN"/>
        </w:rPr>
        <w:t xml:space="preserve"> </w:t>
      </w:r>
      <w:r w:rsidRPr="001F03B7">
        <w:rPr>
          <w:rFonts w:ascii="Times New Roman" w:hAnsi="Times New Roman"/>
          <w:kern w:val="22"/>
          <w:lang w:eastAsia="hi-IN" w:bidi="hi-IN"/>
        </w:rPr>
        <w:t xml:space="preserve">As has been discussed, there appears to be significant controversy as to the scope and therefore “significance” of the potential damages. The applicability of the provisions of the Supplementary Protocol would have to be assessed for particular cases.  </w:t>
      </w:r>
    </w:p>
    <w:p w14:paraId="17632FB1" w14:textId="25F5C253" w:rsidR="00960C06" w:rsidRPr="00A754B3" w:rsidRDefault="00960C06" w:rsidP="00960C06">
      <w:pPr>
        <w:pStyle w:val="Heading3"/>
        <w:rPr>
          <w:lang w:val="en-US"/>
        </w:rPr>
      </w:pPr>
      <w:bookmarkStart w:id="143" w:name="_Toc70112707"/>
      <w:bookmarkStart w:id="144" w:name="_Toc70685729"/>
      <w:r w:rsidRPr="002406C0">
        <w:t>8.</w:t>
      </w:r>
      <w:r w:rsidRPr="002406C0">
        <w:rPr>
          <w:lang w:val="en-US"/>
        </w:rPr>
        <w:t>4</w:t>
      </w:r>
      <w:r w:rsidRPr="002406C0">
        <w:t>.</w:t>
      </w:r>
      <w:r w:rsidRPr="0014033C">
        <w:t xml:space="preserve"> Nagoya Protocol on Access to Genetic Resources and the Fair and Equitable Sharing of Benefits Arising from their Utilization to the Convention on Biological Diversity</w:t>
      </w:r>
      <w:bookmarkEnd w:id="142"/>
      <w:r w:rsidR="00BA4D7C">
        <w:rPr>
          <w:lang w:val="en-US"/>
        </w:rPr>
        <w:t>.</w:t>
      </w:r>
      <w:bookmarkEnd w:id="143"/>
      <w:bookmarkEnd w:id="144"/>
    </w:p>
    <w:p w14:paraId="735375E0" w14:textId="733006DC" w:rsidR="00960C06" w:rsidRPr="001F03B7" w:rsidRDefault="00960C06" w:rsidP="00960C06">
      <w:pPr>
        <w:suppressAutoHyphens/>
        <w:spacing w:after="120" w:line="240" w:lineRule="auto"/>
        <w:jc w:val="both"/>
        <w:rPr>
          <w:rFonts w:ascii="Times New Roman" w:hAnsi="Times New Roman"/>
          <w:kern w:val="22"/>
        </w:rPr>
      </w:pPr>
      <w:r w:rsidRPr="0E6D1B2B">
        <w:rPr>
          <w:rFonts w:ascii="Times New Roman" w:hAnsi="Times New Roman"/>
        </w:rPr>
        <w:t>The Nagoya Protocol on Access to Genetic Resources and the Fair and Equitable Sharing of Benefits Arising from their Utilization to the Convention on Biological Diversity (the Nagoya Protocol) was adopted on 29 October 2010 and entered into force on 12 October 2014</w:t>
      </w:r>
      <w:r w:rsidR="54AF0AA9" w:rsidRPr="0E6D1B2B">
        <w:rPr>
          <w:rFonts w:ascii="Times New Roman" w:hAnsi="Times New Roman"/>
        </w:rPr>
        <w:t>. It has 130 Parties as of March 2021</w:t>
      </w:r>
      <w:r w:rsidRPr="001F03B7">
        <w:rPr>
          <w:rFonts w:ascii="Times New Roman" w:hAnsi="Times New Roman"/>
          <w:kern w:val="22"/>
          <w:vertAlign w:val="superscript"/>
        </w:rPr>
        <w:footnoteReference w:id="52"/>
      </w:r>
      <w:r>
        <w:rPr>
          <w:rFonts w:ascii="Times New Roman" w:hAnsi="Times New Roman"/>
        </w:rPr>
        <w:t>.</w:t>
      </w:r>
      <w:r w:rsidRPr="0E6D1B2B">
        <w:rPr>
          <w:rFonts w:ascii="Times New Roman" w:hAnsi="Times New Roman"/>
        </w:rPr>
        <w:t xml:space="preserve"> </w:t>
      </w:r>
    </w:p>
    <w:p w14:paraId="63DE0397" w14:textId="77777777" w:rsidR="00960C06" w:rsidRPr="001F03B7" w:rsidRDefault="00960C06" w:rsidP="00960C06">
      <w:pPr>
        <w:suppressAutoHyphens/>
        <w:spacing w:after="120" w:line="240" w:lineRule="auto"/>
        <w:jc w:val="both"/>
        <w:rPr>
          <w:rFonts w:ascii="Times New Roman" w:hAnsi="Times New Roman"/>
          <w:kern w:val="22"/>
        </w:rPr>
      </w:pPr>
      <w:r w:rsidRPr="001F03B7">
        <w:rPr>
          <w:rFonts w:ascii="Times New Roman" w:hAnsi="Times New Roman"/>
          <w:kern w:val="22"/>
        </w:rPr>
        <w:t xml:space="preserve">The Nagoya Protocol aims to support the implementation of the third objective of the Convention and builds on its provisions, including Article 15, by setting out core obligations for Parties in relation to access to genetic resources and traditional knowledge associated with genetic resources, benefit-sharing and compliance. </w:t>
      </w:r>
    </w:p>
    <w:p w14:paraId="2B2D6975" w14:textId="1D56B215" w:rsidR="00675C59" w:rsidRPr="001F03B7" w:rsidDel="00530C23" w:rsidRDefault="00960C06" w:rsidP="00960C06">
      <w:pPr>
        <w:suppressAutoHyphens/>
        <w:spacing w:after="120" w:line="240" w:lineRule="auto"/>
        <w:jc w:val="both"/>
        <w:rPr>
          <w:rFonts w:ascii="Times New Roman" w:hAnsi="Times New Roman"/>
          <w:kern w:val="22"/>
        </w:rPr>
      </w:pPr>
      <w:r w:rsidRPr="001F03B7">
        <w:rPr>
          <w:rFonts w:ascii="Times New Roman" w:hAnsi="Times New Roman"/>
          <w:kern w:val="22"/>
        </w:rPr>
        <w:t>The following examines additional issues relevant to the application of the Nagoya Protocol to uses of synthetic biology.</w:t>
      </w:r>
    </w:p>
    <w:p w14:paraId="62AAF9D4" w14:textId="27E9A334" w:rsidR="00960C06" w:rsidRPr="002406C0" w:rsidRDefault="00960C06" w:rsidP="00A754B3">
      <w:pPr>
        <w:pStyle w:val="Heading4"/>
        <w:rPr>
          <w:rFonts w:ascii="Times New Roman" w:hAnsi="Times New Roman"/>
          <w:color w:val="808080" w:themeColor="background1" w:themeShade="80"/>
        </w:rPr>
      </w:pPr>
      <w:r w:rsidRPr="002406C0">
        <w:rPr>
          <w:rFonts w:ascii="Times New Roman" w:hAnsi="Times New Roman"/>
          <w:i w:val="0"/>
        </w:rPr>
        <w:t>8.</w:t>
      </w:r>
      <w:r w:rsidR="00675C59" w:rsidRPr="002406C0">
        <w:rPr>
          <w:rFonts w:ascii="Times New Roman" w:hAnsi="Times New Roman"/>
          <w:i w:val="0"/>
          <w:iCs/>
          <w:lang w:val="en-US"/>
        </w:rPr>
        <w:t>4</w:t>
      </w:r>
      <w:r w:rsidRPr="002406C0">
        <w:rPr>
          <w:rFonts w:ascii="Times New Roman" w:hAnsi="Times New Roman"/>
          <w:i w:val="0"/>
        </w:rPr>
        <w:t>.1</w:t>
      </w:r>
      <w:r w:rsidRPr="002406C0">
        <w:rPr>
          <w:rFonts w:ascii="Times New Roman" w:hAnsi="Times New Roman"/>
          <w:i w:val="0"/>
          <w:lang w:val="en-US"/>
        </w:rPr>
        <w:t>.</w:t>
      </w:r>
      <w:r w:rsidRPr="002406C0">
        <w:rPr>
          <w:rFonts w:ascii="Times New Roman" w:hAnsi="Times New Roman"/>
          <w:i w:val="0"/>
        </w:rPr>
        <w:t xml:space="preserve"> Synthetic biology and the</w:t>
      </w:r>
      <w:r w:rsidRPr="002406C0">
        <w:rPr>
          <w:rFonts w:ascii="Times New Roman" w:hAnsi="Times New Roman" w:hint="eastAsia"/>
          <w:i w:val="0"/>
        </w:rPr>
        <w:t>“</w:t>
      </w:r>
      <w:r w:rsidRPr="002406C0">
        <w:rPr>
          <w:rFonts w:ascii="Times New Roman" w:hAnsi="Times New Roman"/>
          <w:i w:val="0"/>
        </w:rPr>
        <w:t>utilization of genetic resources</w:t>
      </w:r>
      <w:r w:rsidR="00D50D82">
        <w:rPr>
          <w:rFonts w:ascii="Times New Roman" w:hAnsi="Times New Roman"/>
          <w:i w:val="0"/>
        </w:rPr>
        <w:t>”</w:t>
      </w:r>
      <w:r w:rsidR="00BA4D7C" w:rsidRPr="002406C0">
        <w:rPr>
          <w:rFonts w:ascii="Times New Roman" w:hAnsi="Times New Roman"/>
          <w:i w:val="0"/>
          <w:lang w:val="en-US"/>
        </w:rPr>
        <w:t>.</w:t>
      </w:r>
      <w:r w:rsidRPr="002406C0">
        <w:rPr>
          <w:rFonts w:ascii="Times New Roman" w:hAnsi="Times New Roman"/>
          <w:i w:val="0"/>
        </w:rPr>
        <w:t xml:space="preserve"> </w:t>
      </w:r>
    </w:p>
    <w:p w14:paraId="543F13EE" w14:textId="64A450D3" w:rsidR="00960C06" w:rsidRPr="00A53FD3" w:rsidRDefault="00960C06" w:rsidP="00960C06">
      <w:pPr>
        <w:suppressAutoHyphens/>
        <w:spacing w:after="120" w:line="240" w:lineRule="auto"/>
        <w:jc w:val="both"/>
        <w:rPr>
          <w:rFonts w:ascii="Times New Roman" w:hAnsi="Times New Roman"/>
          <w:kern w:val="22"/>
        </w:rPr>
      </w:pPr>
      <w:r w:rsidRPr="00A53FD3">
        <w:rPr>
          <w:rFonts w:ascii="Times New Roman" w:hAnsi="Times New Roman"/>
          <w:kern w:val="22"/>
        </w:rPr>
        <w:t>Article 2 of the Nagoya Protocol addresses the use of terms in the Protocol. It provides that the terms defined in Articles 2 of the Convention also apply to the Protocol</w:t>
      </w:r>
      <w:r w:rsidR="6F08F633" w:rsidRPr="00A53FD3">
        <w:rPr>
          <w:rFonts w:ascii="Times New Roman" w:hAnsi="Times New Roman"/>
          <w:kern w:val="22"/>
        </w:rPr>
        <w:t xml:space="preserve"> </w:t>
      </w:r>
      <w:r w:rsidR="6F08F633" w:rsidRPr="54153909">
        <w:rPr>
          <w:rFonts w:ascii="Times New Roman" w:hAnsi="Times New Roman"/>
        </w:rPr>
        <w:t xml:space="preserve">and consequently, discussions on the definitions of “genetic resources” and “genetic material” in </w:t>
      </w:r>
      <w:r w:rsidR="007B11D7" w:rsidRPr="00832BEC">
        <w:rPr>
          <w:rFonts w:ascii="Times New Roman" w:hAnsi="Times New Roman"/>
        </w:rPr>
        <w:t>S</w:t>
      </w:r>
      <w:r w:rsidR="6F08F633" w:rsidRPr="00832BEC">
        <w:rPr>
          <w:rFonts w:ascii="Times New Roman" w:hAnsi="Times New Roman"/>
        </w:rPr>
        <w:t xml:space="preserve">ection </w:t>
      </w:r>
      <w:r w:rsidR="00C522DD" w:rsidRPr="00832BEC">
        <w:rPr>
          <w:rFonts w:ascii="Times New Roman" w:hAnsi="Times New Roman"/>
        </w:rPr>
        <w:t>8</w:t>
      </w:r>
      <w:r w:rsidR="6F08F633" w:rsidRPr="00832BEC">
        <w:rPr>
          <w:rFonts w:ascii="Times New Roman" w:hAnsi="Times New Roman"/>
        </w:rPr>
        <w:t>.1.</w:t>
      </w:r>
      <w:r w:rsidR="00C522DD" w:rsidRPr="00832BEC">
        <w:rPr>
          <w:rFonts w:ascii="Times New Roman" w:hAnsi="Times New Roman"/>
        </w:rPr>
        <w:t>5</w:t>
      </w:r>
      <w:r w:rsidR="00832BEC">
        <w:rPr>
          <w:rFonts w:ascii="Times New Roman" w:hAnsi="Times New Roman"/>
        </w:rPr>
        <w:t>.</w:t>
      </w:r>
      <w:r w:rsidR="6F08F633" w:rsidRPr="54153909">
        <w:rPr>
          <w:rFonts w:ascii="Times New Roman" w:hAnsi="Times New Roman"/>
        </w:rPr>
        <w:t xml:space="preserve"> are also relevant for this chapter</w:t>
      </w:r>
      <w:r w:rsidRPr="00A53FD3">
        <w:rPr>
          <w:rFonts w:ascii="Times New Roman" w:hAnsi="Times New Roman"/>
          <w:kern w:val="22"/>
        </w:rPr>
        <w:t xml:space="preserve">. It defines “utilization of genetic resources” as conducting research and development on the genetic and/or biochemical composition of genetic resources, including through the application of biotechnology. Furthermore, “biotechnology” as defined in Article 2 of both the Convention and the Protocol means any technological application that uses biological systems, living organisms, or derivatives thereof, to make or modify products or processes for specific use. These definitions can help to clarify the scope of access and benefit-sharing obligations. </w:t>
      </w:r>
    </w:p>
    <w:p w14:paraId="2B2C54EB" w14:textId="48F6DB24" w:rsidR="00960C06" w:rsidRPr="00A53FD3" w:rsidRDefault="00960C06" w:rsidP="54153909">
      <w:pPr>
        <w:suppressAutoHyphens/>
        <w:spacing w:after="120" w:line="240" w:lineRule="auto"/>
        <w:jc w:val="both"/>
        <w:rPr>
          <w:rFonts w:ascii="Times New Roman" w:hAnsi="Times New Roman"/>
        </w:rPr>
      </w:pPr>
      <w:r w:rsidRPr="00A53FD3">
        <w:rPr>
          <w:rFonts w:ascii="Times New Roman" w:hAnsi="Times New Roman"/>
          <w:kern w:val="22"/>
        </w:rPr>
        <w:t xml:space="preserve">The Nagoya Protocol also </w:t>
      </w:r>
      <w:r w:rsidR="299E7834" w:rsidRPr="00A53FD3">
        <w:rPr>
          <w:rFonts w:ascii="Times New Roman" w:hAnsi="Times New Roman"/>
          <w:kern w:val="22"/>
        </w:rPr>
        <w:t>contains a</w:t>
      </w:r>
      <w:r w:rsidRPr="00A53FD3">
        <w:rPr>
          <w:rFonts w:ascii="Times New Roman" w:hAnsi="Times New Roman"/>
          <w:kern w:val="22"/>
        </w:rPr>
        <w:t xml:space="preserve"> definition of “derivative” as a naturally occurring biochemical compound resulting from the genetic expression or metabolism of biological or genetic resources, even if it does not contain functional units of heredity. </w:t>
      </w:r>
    </w:p>
    <w:p w14:paraId="405178DC" w14:textId="283F871B" w:rsidR="00960C06" w:rsidRPr="00A53FD3" w:rsidRDefault="00960C06" w:rsidP="00960C06">
      <w:pPr>
        <w:suppressAutoHyphens/>
        <w:spacing w:after="120" w:line="240" w:lineRule="auto"/>
        <w:jc w:val="both"/>
        <w:rPr>
          <w:rFonts w:ascii="Times New Roman" w:hAnsi="Times New Roman"/>
          <w:kern w:val="22"/>
        </w:rPr>
      </w:pPr>
      <w:r w:rsidRPr="00A53FD3">
        <w:rPr>
          <w:rFonts w:ascii="Times New Roman" w:hAnsi="Times New Roman"/>
          <w:kern w:val="22"/>
        </w:rPr>
        <w:t>Synthetic biology applications may be a way of “utilizing” genetic resources as defined in the Nagoya Protocol</w:t>
      </w:r>
      <w:r w:rsidR="49B8EE31" w:rsidRPr="3B1212B6">
        <w:rPr>
          <w:rFonts w:ascii="Times New Roman" w:hAnsi="Times New Roman"/>
        </w:rPr>
        <w:t xml:space="preserve"> and </w:t>
      </w:r>
      <w:r w:rsidR="318F4A87" w:rsidRPr="00A53FD3">
        <w:rPr>
          <w:rFonts w:ascii="Times New Roman" w:hAnsi="Times New Roman"/>
          <w:kern w:val="22"/>
        </w:rPr>
        <w:t>t</w:t>
      </w:r>
      <w:r w:rsidRPr="00A53FD3">
        <w:rPr>
          <w:rFonts w:ascii="Times New Roman" w:hAnsi="Times New Roman"/>
          <w:kern w:val="22"/>
        </w:rPr>
        <w:t xml:space="preserve">he definitions can also help to determine which activities related to synthetic biology would be within the scope of the Nagoya Protocol. </w:t>
      </w:r>
      <w:r>
        <w:rPr>
          <w:rFonts w:ascii="Times New Roman" w:hAnsi="Times New Roman"/>
          <w:kern w:val="22"/>
        </w:rPr>
        <w:t xml:space="preserve">As noted in </w:t>
      </w:r>
      <w:r w:rsidRPr="00832BEC">
        <w:rPr>
          <w:rFonts w:ascii="Times New Roman" w:hAnsi="Times New Roman"/>
          <w:kern w:val="22"/>
        </w:rPr>
        <w:t xml:space="preserve">Section </w:t>
      </w:r>
      <w:r w:rsidR="00EE1E2C" w:rsidRPr="00832BEC">
        <w:rPr>
          <w:rFonts w:ascii="Times New Roman" w:hAnsi="Times New Roman"/>
          <w:kern w:val="22"/>
        </w:rPr>
        <w:t>3</w:t>
      </w:r>
      <w:r w:rsidRPr="00832BEC">
        <w:rPr>
          <w:rFonts w:ascii="Times New Roman" w:hAnsi="Times New Roman"/>
          <w:kern w:val="22"/>
        </w:rPr>
        <w:t>.2</w:t>
      </w:r>
      <w:r>
        <w:rPr>
          <w:rFonts w:ascii="Times New Roman" w:hAnsi="Times New Roman"/>
          <w:kern w:val="22"/>
        </w:rPr>
        <w:t>., a number of synthetic biology applications concerning food and feed are under advance development or commercially available in the agricultural sector</w:t>
      </w:r>
      <w:r w:rsidRPr="54153909">
        <w:rPr>
          <w:rFonts w:ascii="Times New Roman" w:eastAsia="SimSun" w:hAnsi="Times New Roman"/>
          <w:kern w:val="22"/>
          <w:lang w:eastAsia="hi-IN" w:bidi="hi-IN"/>
        </w:rPr>
        <w:t xml:space="preserve">. If used </w:t>
      </w:r>
      <w:r w:rsidRPr="54153909">
        <w:rPr>
          <w:rFonts w:ascii="Times New Roman" w:eastAsia="SimSun" w:hAnsi="Times New Roman"/>
          <w:i/>
          <w:iCs/>
          <w:kern w:val="22"/>
          <w:lang w:eastAsia="hi-IN" w:bidi="hi-IN"/>
        </w:rPr>
        <w:t>solely</w:t>
      </w:r>
      <w:r w:rsidRPr="54153909">
        <w:rPr>
          <w:rFonts w:ascii="Times New Roman" w:eastAsia="SimSun" w:hAnsi="Times New Roman"/>
          <w:kern w:val="22"/>
          <w:lang w:eastAsia="hi-IN" w:bidi="hi-IN"/>
        </w:rPr>
        <w:t xml:space="preserve"> as a feedstock, this use of sugarcane would likely not fall within the “utilization of genetic resources.” However, if research was conducted on the sugarcane to determine if it was an appropriate feedstock or if it could be transformed to be more suitable, this research could be interpreted as “utilization” within the terms of the Nagoya Protocol, and access to the sugarcane for this purpose would be subject to applicable access obligations of the Nagoya Protocol and domestic legislation or regulatory requirements implementing these obligations. </w:t>
      </w:r>
    </w:p>
    <w:p w14:paraId="75F9A8C9" w14:textId="7EF4DC4B" w:rsidR="00960C06" w:rsidRPr="002406C0" w:rsidRDefault="00960C06" w:rsidP="002406C0">
      <w:pPr>
        <w:pStyle w:val="Heading4"/>
        <w:spacing w:before="240"/>
        <w:rPr>
          <w:rFonts w:ascii="Times New Roman" w:hAnsi="Times New Roman"/>
          <w:i w:val="0"/>
        </w:rPr>
      </w:pPr>
      <w:r w:rsidRPr="002406C0">
        <w:rPr>
          <w:rFonts w:ascii="Times New Roman" w:hAnsi="Times New Roman"/>
          <w:i w:val="0"/>
        </w:rPr>
        <w:t>8.</w:t>
      </w:r>
      <w:r w:rsidR="0005617A" w:rsidRPr="002406C0">
        <w:rPr>
          <w:rFonts w:ascii="Times New Roman" w:hAnsi="Times New Roman"/>
          <w:i w:val="0"/>
          <w:lang w:val="en-US"/>
        </w:rPr>
        <w:t>4</w:t>
      </w:r>
      <w:r w:rsidRPr="002406C0">
        <w:rPr>
          <w:rFonts w:ascii="Times New Roman" w:hAnsi="Times New Roman"/>
          <w:i w:val="0"/>
        </w:rPr>
        <w:t>.2. Benefit-sharing and the degree of modification of genetic resources</w:t>
      </w:r>
      <w:r w:rsidR="00BA4D7C" w:rsidRPr="002406C0">
        <w:rPr>
          <w:rFonts w:ascii="Times New Roman" w:hAnsi="Times New Roman"/>
          <w:i w:val="0"/>
          <w:lang w:val="en-US"/>
        </w:rPr>
        <w:t>.</w:t>
      </w:r>
      <w:r w:rsidRPr="002406C0">
        <w:rPr>
          <w:rFonts w:ascii="Times New Roman" w:hAnsi="Times New Roman"/>
          <w:i w:val="0"/>
        </w:rPr>
        <w:t xml:space="preserve"> </w:t>
      </w:r>
    </w:p>
    <w:p w14:paraId="05CD104C" w14:textId="526106C5" w:rsidR="00960C06" w:rsidRPr="000F2CFE" w:rsidRDefault="00960C06" w:rsidP="00960C06">
      <w:pPr>
        <w:suppressAutoHyphens/>
        <w:spacing w:after="120" w:line="240" w:lineRule="auto"/>
        <w:jc w:val="both"/>
        <w:rPr>
          <w:rFonts w:ascii="Times New Roman" w:hAnsi="Times New Roman"/>
          <w:kern w:val="22"/>
        </w:rPr>
      </w:pPr>
      <w:r w:rsidRPr="0E6D1B2B">
        <w:rPr>
          <w:rFonts w:ascii="Times New Roman" w:hAnsi="Times New Roman"/>
        </w:rPr>
        <w:t xml:space="preserve">Synthetic biology techniques provide ways to modify naturally occurring genetic resources so that they better serve specific purposes. One method is by directed evolution, such as the multiplex automated genome engineering technology mentioned in in Section </w:t>
      </w:r>
      <w:r w:rsidR="00DF68A0">
        <w:rPr>
          <w:rFonts w:ascii="Times New Roman" w:hAnsi="Times New Roman"/>
        </w:rPr>
        <w:t>1</w:t>
      </w:r>
      <w:r w:rsidRPr="0E6D1B2B">
        <w:rPr>
          <w:rFonts w:ascii="Times New Roman" w:hAnsi="Times New Roman"/>
        </w:rPr>
        <w:t xml:space="preserve">.2. which can generate billions of different mutant genomes per day, performing up to 50 different genome alterations at nearly the same time, using synthetic DNA </w:t>
      </w:r>
      <w:r w:rsidR="00354BEE">
        <w:rPr>
          <w:rFonts w:ascii="Times New Roman" w:hAnsi="Times New Roman"/>
        </w:rPr>
        <w:fldChar w:fldCharType="begin" w:fldLock="1"/>
      </w:r>
      <w:r w:rsidR="00354BEE">
        <w:rPr>
          <w:rFonts w:ascii="Times New Roman" w:hAnsi="Times New Roman"/>
        </w:rPr>
        <w:instrText>ADDIN CSL_CITATION {"citationItems":[{"id":"ITEM-1","itemData":{"DOI":"10.1038/nature08187","ISSN":"0028-0836","author":[{"dropping-particle":"","family":"Wang","given":"Harris H.","non-dropping-particle":"","parse-names":false,"suffix":""},{"dropping-particle":"","family":"Isaacs","given":"Farren J.","non-dropping-particle":"","parse-names":false,"suffix":""},{"dropping-particle":"","family":"Carr","given":"Peter A.","non-dropping-particle":"","parse-names":false,"suffix":""},{"dropping-particle":"","family":"Sun","given":"Zachary Z.","non-dropping-particle":"","parse-names":false,"suffix":""},{"dropping-particle":"","family":"Xu","given":"George","non-dropping-particle":"","parse-names":false,"suffix":""},{"dropping-particle":"","family":"Forest","given":"Craig R.","non-dropping-particle":"","parse-names":false,"suffix":""},{"dropping-particle":"","family":"Church","given":"George M.","non-dropping-particle":"","parse-names":false,"suffix":""}],"container-title":"Nature","id":"ITEM-1","issue":"7257","issued":{"date-parts":[["2009","8","13"]]},"page":"894-898","title":"Programming cells by multiplex genome engineering and accelerated evolution","type":"article-journal","volume":"460"},"uris":["http://www.mendeley.com/documents/?uuid=6cf4627e-9051-433b-aef3-4364177a2c67"]}],"mendeley":{"formattedCitation":"(H. H. Wang et al., 2009)","manualFormatting":"(Wang et al., 2009)","plainTextFormattedCitation":"(H. H. Wang et al., 2009)","previouslyFormattedCitation":"(H. H. Wang et al., 2009)"},"properties":{"noteIndex":0},"schema":"https://github.com/citation-style-language/schema/raw/master/csl-citation.json"}</w:instrText>
      </w:r>
      <w:r w:rsidR="00354BEE">
        <w:rPr>
          <w:rFonts w:ascii="Times New Roman" w:hAnsi="Times New Roman"/>
        </w:rPr>
        <w:fldChar w:fldCharType="separate"/>
      </w:r>
      <w:r w:rsidR="00354BEE" w:rsidRPr="00354BEE">
        <w:rPr>
          <w:rFonts w:ascii="Times New Roman" w:hAnsi="Times New Roman"/>
          <w:noProof/>
        </w:rPr>
        <w:t>(Wang et al., 2009)</w:t>
      </w:r>
      <w:r w:rsidR="00354BEE">
        <w:rPr>
          <w:rFonts w:ascii="Times New Roman" w:hAnsi="Times New Roman"/>
        </w:rPr>
        <w:fldChar w:fldCharType="end"/>
      </w:r>
      <w:r w:rsidRPr="00CE3085">
        <w:rPr>
          <w:rFonts w:ascii="Times New Roman" w:hAnsi="Times New Roman"/>
        </w:rPr>
        <w:t>.</w:t>
      </w:r>
      <w:r w:rsidRPr="0E6D1B2B">
        <w:rPr>
          <w:rFonts w:ascii="Times New Roman" w:hAnsi="Times New Roman"/>
        </w:rPr>
        <w:t xml:space="preserve">  </w:t>
      </w:r>
    </w:p>
    <w:p w14:paraId="33BC5600" w14:textId="6DAEAF00" w:rsidR="00AC62E4" w:rsidRDefault="00960C06" w:rsidP="00960C06">
      <w:pPr>
        <w:suppressAutoHyphens/>
        <w:spacing w:after="120" w:line="240" w:lineRule="auto"/>
        <w:jc w:val="both"/>
        <w:rPr>
          <w:rFonts w:ascii="Times New Roman" w:hAnsi="Times New Roman"/>
          <w:kern w:val="22"/>
        </w:rPr>
      </w:pPr>
      <w:r w:rsidRPr="000F2CFE">
        <w:rPr>
          <w:rFonts w:ascii="Times New Roman" w:hAnsi="Times New Roman"/>
          <w:kern w:val="22"/>
        </w:rPr>
        <w:t xml:space="preserve">The use of these synthetic biology techniques raises questions as regards to until what extent </w:t>
      </w:r>
      <w:r w:rsidRPr="000F2CFE">
        <w:rPr>
          <w:rFonts w:ascii="Times New Roman" w:hAnsi="Times New Roman"/>
          <w:bCs/>
          <w:kern w:val="22"/>
        </w:rPr>
        <w:t>the results of modifications of a natural genetic resource continue to be subject to the benefit-sharing obligations.</w:t>
      </w:r>
      <w:r w:rsidRPr="000F2CFE">
        <w:rPr>
          <w:rFonts w:ascii="Times New Roman" w:hAnsi="Times New Roman"/>
          <w:kern w:val="22"/>
        </w:rPr>
        <w:t xml:space="preserve"> Article 5, paragraph 1 of the Nagoya Protocol requires that benefits arising from the utili</w:t>
      </w:r>
      <w:r>
        <w:rPr>
          <w:rFonts w:ascii="Times New Roman" w:hAnsi="Times New Roman"/>
          <w:kern w:val="22"/>
        </w:rPr>
        <w:t>s</w:t>
      </w:r>
      <w:r w:rsidRPr="000F2CFE">
        <w:rPr>
          <w:rFonts w:ascii="Times New Roman" w:hAnsi="Times New Roman"/>
          <w:kern w:val="22"/>
        </w:rPr>
        <w:t>ation of genetic resources “</w:t>
      </w:r>
      <w:r w:rsidRPr="00667957">
        <w:rPr>
          <w:rFonts w:ascii="Times New Roman" w:hAnsi="Times New Roman"/>
          <w:i/>
          <w:kern w:val="22"/>
        </w:rPr>
        <w:t>as well as subsequent applications</w:t>
      </w:r>
      <w:r w:rsidRPr="00667957">
        <w:rPr>
          <w:rFonts w:ascii="Times New Roman" w:hAnsi="Times New Roman"/>
          <w:b/>
          <w:i/>
          <w:kern w:val="22"/>
        </w:rPr>
        <w:t xml:space="preserve"> </w:t>
      </w:r>
      <w:r w:rsidRPr="00667957">
        <w:rPr>
          <w:rFonts w:ascii="Times New Roman" w:hAnsi="Times New Roman"/>
          <w:i/>
          <w:kern w:val="22"/>
        </w:rPr>
        <w:t>and commercialization</w:t>
      </w:r>
      <w:r w:rsidRPr="000F2CFE">
        <w:rPr>
          <w:rFonts w:ascii="Times New Roman" w:hAnsi="Times New Roman"/>
          <w:kern w:val="22"/>
        </w:rPr>
        <w:t>”</w:t>
      </w:r>
      <w:r w:rsidRPr="000F2CFE">
        <w:rPr>
          <w:rFonts w:ascii="Times New Roman" w:hAnsi="Times New Roman"/>
          <w:i/>
          <w:kern w:val="22"/>
        </w:rPr>
        <w:t xml:space="preserve"> </w:t>
      </w:r>
      <w:r w:rsidRPr="000F2CFE">
        <w:rPr>
          <w:rFonts w:ascii="Times New Roman" w:hAnsi="Times New Roman"/>
          <w:kern w:val="22"/>
        </w:rPr>
        <w:t>shall be shared in a fair and equitable way</w:t>
      </w:r>
      <w:r w:rsidRPr="000F2CFE">
        <w:rPr>
          <w:rFonts w:ascii="Times New Roman" w:hAnsi="Times New Roman"/>
          <w:i/>
          <w:kern w:val="22"/>
        </w:rPr>
        <w:t xml:space="preserve">. </w:t>
      </w:r>
      <w:r w:rsidRPr="000F2CFE">
        <w:rPr>
          <w:rFonts w:ascii="Times New Roman" w:hAnsi="Times New Roman"/>
          <w:kern w:val="22"/>
        </w:rPr>
        <w:t>It also provides that “such sharing shall be upon mutually agreed terms”.</w:t>
      </w:r>
      <w:r w:rsidRPr="000F2CFE">
        <w:rPr>
          <w:rFonts w:ascii="Times New Roman" w:hAnsi="Times New Roman"/>
          <w:i/>
          <w:kern w:val="22"/>
        </w:rPr>
        <w:t xml:space="preserve"> </w:t>
      </w:r>
      <w:r w:rsidRPr="000F2CFE">
        <w:rPr>
          <w:rFonts w:ascii="Times New Roman" w:hAnsi="Times New Roman"/>
          <w:kern w:val="22"/>
        </w:rPr>
        <w:t xml:space="preserve">According to Greiber, this is meant to extend benefit-sharing to processes and products developed along the value chain </w:t>
      </w:r>
      <w:r w:rsidR="00354BEE">
        <w:rPr>
          <w:rFonts w:ascii="Times New Roman" w:hAnsi="Times New Roman"/>
          <w:kern w:val="22"/>
        </w:rPr>
        <w:fldChar w:fldCharType="begin" w:fldLock="1"/>
      </w:r>
      <w:r w:rsidR="00354BEE">
        <w:rPr>
          <w:rFonts w:ascii="Times New Roman" w:hAnsi="Times New Roman"/>
          <w:kern w:val="22"/>
        </w:rPr>
        <w:instrText>ADDIN CSL_CITATION {"citationItems":[{"id":"ITEM-1","itemData":{"author":[{"dropping-particle":"","family":"Ahrén","given":"Mattias","non-dropping-particle":"","parse-names":false,"suffix":""},{"dropping-particle":"","family":"Ali","given":"Natasha","non-dropping-particle":"","parse-names":false,"suffix":""},{"dropping-particle":"","family":"Cabrera Medaglia","given":"Jorge A.","non-dropping-particle":"","parse-names":false,"suffix":""},{"dropping-particle":"","family":"Greiber","given":"Thomas","non-dropping-particle":"","parse-names":false,"suffix":""},{"dropping-particle":"","family":"Kamau","given":"Evanson C.","non-dropping-particle":"","parse-names":false,"suffix":""},{"dropping-particle":"","family":"Nieto Carrasco","given":"Jimena","non-dropping-particle":"","parse-names":false,"suffix":""},{"dropping-particle":"","family":"Oliva","given":"Maria Julia","non-dropping-particle":"","parse-names":false,"suffix":""},{"dropping-particle":"","family":"Pena Moreno","given":"Sonia","non-dropping-particle":"","parse-names":false,"suffix":""},{"dropping-particle":"","family":"Perron-Welch","given":"Frederic","non-dropping-particle":"","parse-names":false,"suffix":""},{"dropping-particle":"","family":"Williams","given":"China","non-dropping-particle":"","parse-names":false,"suffix":""}],"id":"ITEM-1","issued":{"date-parts":[["2012"]]},"title":"An explanatory guide to the Nagoya Protocol on access and benefit-sharing","type":"report"},"uris":["http://www.mendeley.com/documents/?uuid=c15afd7d-32fb-4191-80fb-9b720bfee218"]}],"mendeley":{"formattedCitation":"(Ahrén et al., 2012)","plainTextFormattedCitation":"(Ahrén et al., 2012)","previouslyFormattedCitation":"(Ahrén et al., 2012)"},"properties":{"noteIndex":0},"schema":"https://github.com/citation-style-language/schema/raw/master/csl-citation.json"}</w:instrText>
      </w:r>
      <w:r w:rsidR="00354BEE">
        <w:rPr>
          <w:rFonts w:ascii="Times New Roman" w:hAnsi="Times New Roman"/>
          <w:kern w:val="22"/>
        </w:rPr>
        <w:fldChar w:fldCharType="separate"/>
      </w:r>
      <w:r w:rsidR="00354BEE" w:rsidRPr="00354BEE">
        <w:rPr>
          <w:rFonts w:ascii="Times New Roman" w:hAnsi="Times New Roman"/>
          <w:noProof/>
          <w:kern w:val="22"/>
        </w:rPr>
        <w:t>(Ahrén et al., 2012)</w:t>
      </w:r>
      <w:r w:rsidR="00354BEE">
        <w:rPr>
          <w:rFonts w:ascii="Times New Roman" w:hAnsi="Times New Roman"/>
          <w:kern w:val="22"/>
        </w:rPr>
        <w:fldChar w:fldCharType="end"/>
      </w:r>
      <w:r w:rsidRPr="000F2CFE">
        <w:rPr>
          <w:rFonts w:ascii="Times New Roman" w:hAnsi="Times New Roman"/>
          <w:kern w:val="22"/>
        </w:rPr>
        <w:t>.</w:t>
      </w:r>
    </w:p>
    <w:p w14:paraId="26F6EF08" w14:textId="1693B6BC" w:rsidR="00960C06" w:rsidRPr="000F2CFE" w:rsidRDefault="00AC62E4" w:rsidP="00960C06">
      <w:pPr>
        <w:suppressAutoHyphens/>
        <w:spacing w:after="120" w:line="240" w:lineRule="auto"/>
        <w:jc w:val="both"/>
        <w:rPr>
          <w:rFonts w:ascii="Times New Roman" w:hAnsi="Times New Roman"/>
          <w:kern w:val="22"/>
        </w:rPr>
      </w:pPr>
      <w:r w:rsidRPr="00AC62E4">
        <w:rPr>
          <w:rFonts w:ascii="Times New Roman" w:hAnsi="Times New Roman"/>
          <w:kern w:val="22"/>
        </w:rPr>
        <w:t>National implementation and the negotiation of mutually agreed terms can assist Parties to an access and benefit-sharing agreement to clarify until which extent of the value chain the obligations to share benefits would continue to apply to components, organisms and products resulting from synthetic biology. Furthermore, as described in Section 8.1.5., discussions are ongoing under the CBD and the Nagoya Protocol on the issue of benefit-sharing from the use of digital sequence information on genetic resources</w:t>
      </w:r>
      <w:r w:rsidR="00960C06" w:rsidRPr="000F2CFE">
        <w:rPr>
          <w:rFonts w:ascii="Times New Roman" w:hAnsi="Times New Roman"/>
          <w:kern w:val="22"/>
        </w:rPr>
        <w:t xml:space="preserve">. </w:t>
      </w:r>
    </w:p>
    <w:p w14:paraId="5A442486" w14:textId="66243860" w:rsidR="00960C06" w:rsidRPr="002406C0" w:rsidRDefault="00960C06" w:rsidP="002406C0">
      <w:pPr>
        <w:pStyle w:val="Heading4"/>
        <w:spacing w:before="240"/>
        <w:rPr>
          <w:rFonts w:ascii="Times New Roman" w:hAnsi="Times New Roman"/>
          <w:i w:val="0"/>
        </w:rPr>
      </w:pPr>
      <w:r w:rsidRPr="002406C0">
        <w:rPr>
          <w:rFonts w:ascii="Times New Roman" w:hAnsi="Times New Roman"/>
          <w:i w:val="0"/>
        </w:rPr>
        <w:t>8.</w:t>
      </w:r>
      <w:r w:rsidR="0005617A" w:rsidRPr="002406C0">
        <w:rPr>
          <w:rFonts w:ascii="Times New Roman" w:hAnsi="Times New Roman"/>
          <w:i w:val="0"/>
          <w:lang w:val="en-US"/>
        </w:rPr>
        <w:t>4</w:t>
      </w:r>
      <w:r w:rsidRPr="002406C0">
        <w:rPr>
          <w:rFonts w:ascii="Times New Roman" w:hAnsi="Times New Roman"/>
          <w:i w:val="0"/>
        </w:rPr>
        <w:t>.3</w:t>
      </w:r>
      <w:r w:rsidR="00BA4D7C" w:rsidRPr="002406C0">
        <w:rPr>
          <w:rFonts w:ascii="Times New Roman" w:hAnsi="Times New Roman"/>
          <w:i w:val="0"/>
        </w:rPr>
        <w:t>.</w:t>
      </w:r>
      <w:r w:rsidRPr="002406C0">
        <w:rPr>
          <w:rFonts w:ascii="Times New Roman" w:hAnsi="Times New Roman"/>
          <w:i w:val="0"/>
        </w:rPr>
        <w:t xml:space="preserve"> Derivatives and synthetic biology</w:t>
      </w:r>
      <w:r w:rsidRPr="002406C0">
        <w:rPr>
          <w:rStyle w:val="FootnoteReference"/>
          <w:rFonts w:ascii="Times New Roman" w:hAnsi="Times New Roman"/>
          <w:i w:val="0"/>
        </w:rPr>
        <w:footnoteReference w:id="53"/>
      </w:r>
      <w:r w:rsidR="00BA4D7C" w:rsidRPr="002406C0">
        <w:rPr>
          <w:rFonts w:ascii="Times New Roman" w:hAnsi="Times New Roman"/>
          <w:i w:val="0"/>
        </w:rPr>
        <w:t>.</w:t>
      </w:r>
    </w:p>
    <w:p w14:paraId="0339FEC7" w14:textId="77777777" w:rsidR="00960C06" w:rsidRPr="000F2CFE" w:rsidRDefault="00960C06" w:rsidP="00960C06">
      <w:pPr>
        <w:suppressAutoHyphens/>
        <w:spacing w:after="120" w:line="240" w:lineRule="auto"/>
        <w:jc w:val="both"/>
        <w:rPr>
          <w:rFonts w:ascii="Times New Roman" w:hAnsi="Times New Roman"/>
          <w:kern w:val="22"/>
        </w:rPr>
      </w:pPr>
      <w:r w:rsidRPr="000F2CFE">
        <w:rPr>
          <w:rFonts w:ascii="Times New Roman" w:hAnsi="Times New Roman"/>
          <w:kern w:val="22"/>
        </w:rPr>
        <w:t>The Nagoya Protocol in its Article 2 defines a “derivative” as a naturally occurring biochemical compound resulting from the genetic expression or metabolism of biological or genetic resources, even if it does not contain functional units of heredity.</w:t>
      </w:r>
    </w:p>
    <w:p w14:paraId="62EFC074" w14:textId="77777777" w:rsidR="00960C06" w:rsidRPr="000F2CFE" w:rsidRDefault="00960C06" w:rsidP="00960C06">
      <w:pPr>
        <w:suppressAutoHyphens/>
        <w:spacing w:after="120" w:line="240" w:lineRule="auto"/>
        <w:jc w:val="both"/>
        <w:rPr>
          <w:rFonts w:ascii="Times New Roman" w:hAnsi="Times New Roman"/>
          <w:bCs/>
          <w:kern w:val="22"/>
        </w:rPr>
      </w:pPr>
      <w:r w:rsidRPr="000F2CFE">
        <w:rPr>
          <w:rFonts w:ascii="Times New Roman" w:hAnsi="Times New Roman"/>
          <w:bCs/>
          <w:kern w:val="22"/>
        </w:rPr>
        <w:t>Synthetic biology raises a number of questions in relation to the application of the Nagoya Protocol to derivatives. For instance, whether or not biochemical compounds produced by synthesi</w:t>
      </w:r>
      <w:r>
        <w:rPr>
          <w:rFonts w:ascii="Times New Roman" w:hAnsi="Times New Roman"/>
          <w:bCs/>
          <w:kern w:val="22"/>
        </w:rPr>
        <w:t>s</w:t>
      </w:r>
      <w:r w:rsidRPr="000F2CFE">
        <w:rPr>
          <w:rFonts w:ascii="Times New Roman" w:hAnsi="Times New Roman"/>
          <w:bCs/>
          <w:kern w:val="22"/>
        </w:rPr>
        <w:t xml:space="preserve">ed organisms could be considered a “derivative” as defined by the Protocol. </w:t>
      </w:r>
    </w:p>
    <w:p w14:paraId="22B709C5" w14:textId="1CAA5991" w:rsidR="00960C06" w:rsidRPr="000F2CFE" w:rsidRDefault="00960C06" w:rsidP="00960C06">
      <w:pPr>
        <w:suppressAutoHyphens/>
        <w:spacing w:after="120" w:line="240" w:lineRule="auto"/>
        <w:jc w:val="both"/>
        <w:rPr>
          <w:rFonts w:ascii="Times New Roman" w:hAnsi="Times New Roman"/>
          <w:kern w:val="22"/>
        </w:rPr>
      </w:pPr>
      <w:r w:rsidRPr="000F2CFE">
        <w:rPr>
          <w:rFonts w:ascii="Times New Roman" w:hAnsi="Times New Roman"/>
          <w:kern w:val="22"/>
        </w:rPr>
        <w:t xml:space="preserve">For example, a valuable natural derivative is isoprene, the major molecule of rubber. The enzyme isoprene synthase has only been found in plants – namely, </w:t>
      </w:r>
      <w:r w:rsidRPr="000F2CFE">
        <w:rPr>
          <w:rFonts w:ascii="Times New Roman" w:hAnsi="Times New Roman"/>
          <w:i/>
          <w:kern w:val="22"/>
        </w:rPr>
        <w:t xml:space="preserve">Hevea brasiliensis, </w:t>
      </w:r>
      <w:r w:rsidRPr="000F2CFE">
        <w:rPr>
          <w:rFonts w:ascii="Times New Roman" w:hAnsi="Times New Roman"/>
          <w:kern w:val="22"/>
        </w:rPr>
        <w:t xml:space="preserve">the rubber tree – but plant genes are not efficiently expressed in microorganisms </w:t>
      </w:r>
      <w:r w:rsidR="00354BEE">
        <w:rPr>
          <w:rFonts w:ascii="Times New Roman" w:hAnsi="Times New Roman"/>
          <w:kern w:val="22"/>
        </w:rPr>
        <w:fldChar w:fldCharType="begin" w:fldLock="1"/>
      </w:r>
      <w:r w:rsidR="00354BEE">
        <w:rPr>
          <w:rFonts w:ascii="Times New Roman" w:hAnsi="Times New Roman"/>
          <w:kern w:val="22"/>
        </w:rPr>
        <w:instrText>ADDIN CSL_CITATION {"citationItems":[{"id":"ITEM-1","itemData":{"DOI":"10.1126/science.1211066","ISSN":"0036-8075","abstract":"In our view, synthetic biology is an extension of the continuum of genetic science that has been used safely for more than 40 years by the biotechnology industry in the development of commercial products. Examples of synthetic biology use by biotechnology companies illustrate the potential to substantially reduce research and development time and to increase speed to market. Improvements in the speed and cost of DNA synthesis are enabling scientists to design modified bacterial chromosomes that can be used in the production of renewable chemicals, biofuels, bioproducts, renewable specialty chemicals, pharmaceutical intermediates, fine chemicals, food ingredients, and health care products. Regulatory options should support innovation and commercial development of new products while protecting the public from potential harms.","author":[{"dropping-particle":"","family":"Erickson","given":"Brent","non-dropping-particle":"","parse-names":false,"suffix":""},{"dropping-particle":"","family":"Singh","given":"Rina","non-dropping-particle":"","parse-names":false,"suffix":""},{"dropping-particle":"","family":"Winters","given":"Paul","non-dropping-particle":"","parse-names":false,"suffix":""}],"container-title":"Science","id":"ITEM-1","issue":"6047","issued":{"date-parts":[["2011","9","2"]]},"page":"1254-1256","title":"Synthetic Biology: Regulating Industry Uses of New Biotechnologies","type":"article-journal","volume":"333"},"uris":["http://www.mendeley.com/documents/?uuid=ec5a3bd2-48cf-4401-a099-c0f0099859c1"]}],"mendeley":{"formattedCitation":"(Erickson et al., 2011)","plainTextFormattedCitation":"(Erickson et al., 2011)","previouslyFormattedCitation":"(Erickson et al., 2011)"},"properties":{"noteIndex":0},"schema":"https://github.com/citation-style-language/schema/raw/master/csl-citation.json"}</w:instrText>
      </w:r>
      <w:r w:rsidR="00354BEE">
        <w:rPr>
          <w:rFonts w:ascii="Times New Roman" w:hAnsi="Times New Roman"/>
          <w:kern w:val="22"/>
        </w:rPr>
        <w:fldChar w:fldCharType="separate"/>
      </w:r>
      <w:r w:rsidR="00354BEE" w:rsidRPr="00354BEE">
        <w:rPr>
          <w:rFonts w:ascii="Times New Roman" w:hAnsi="Times New Roman"/>
          <w:noProof/>
          <w:kern w:val="22"/>
        </w:rPr>
        <w:t>(Erickson et al., 2011)</w:t>
      </w:r>
      <w:r w:rsidR="00354BEE">
        <w:rPr>
          <w:rFonts w:ascii="Times New Roman" w:hAnsi="Times New Roman"/>
          <w:kern w:val="22"/>
        </w:rPr>
        <w:fldChar w:fldCharType="end"/>
      </w:r>
      <w:r w:rsidRPr="000F2CFE">
        <w:rPr>
          <w:rFonts w:ascii="Times New Roman" w:hAnsi="Times New Roman"/>
          <w:kern w:val="22"/>
        </w:rPr>
        <w:t>. The Genencor Division of Danisco and Goodyear Tire and Rubber Company have partnered in research to develop “BioIsoprene,” using synthetic biology in the “construction of a gene that encodes the same amino acid sequence as the plant enzyme but is optimi</w:t>
      </w:r>
      <w:r>
        <w:rPr>
          <w:rFonts w:ascii="Times New Roman" w:hAnsi="Times New Roman"/>
          <w:kern w:val="22"/>
        </w:rPr>
        <w:t>s</w:t>
      </w:r>
      <w:r w:rsidRPr="000F2CFE">
        <w:rPr>
          <w:rFonts w:ascii="Times New Roman" w:hAnsi="Times New Roman"/>
          <w:kern w:val="22"/>
        </w:rPr>
        <w:t xml:space="preserve">ed for expression in engineered microorganisms” </w:t>
      </w:r>
      <w:r w:rsidR="00354BEE">
        <w:rPr>
          <w:rFonts w:ascii="Times New Roman" w:hAnsi="Times New Roman"/>
          <w:kern w:val="22"/>
        </w:rPr>
        <w:fldChar w:fldCharType="begin" w:fldLock="1"/>
      </w:r>
      <w:r w:rsidR="00354BEE">
        <w:rPr>
          <w:rFonts w:ascii="Times New Roman" w:hAnsi="Times New Roman"/>
          <w:kern w:val="22"/>
        </w:rPr>
        <w:instrText>ADDIN CSL_CITATION {"citationItems":[{"id":"ITEM-1","itemData":{"DOI":"10.1126/science.1211066","ISSN":"0036-8075","abstract":"In our view, synthetic biology is an extension of the continuum of genetic science that has been used safely for more than 40 years by the biotechnology industry in the development of commercial products. Examples of synthetic biology use by biotechnology companies illustrate the potential to substantially reduce research and development time and to increase speed to market. Improvements in the speed and cost of DNA synthesis are enabling scientists to design modified bacterial chromosomes that can be used in the production of renewable chemicals, biofuels, bioproducts, renewable specialty chemicals, pharmaceutical intermediates, fine chemicals, food ingredients, and health care products. Regulatory options should support innovation and commercial development of new products while protecting the public from potential harms.","author":[{"dropping-particle":"","family":"Erickson","given":"Brent","non-dropping-particle":"","parse-names":false,"suffix":""},{"dropping-particle":"","family":"Singh","given":"Rina","non-dropping-particle":"","parse-names":false,"suffix":""},{"dropping-particle":"","family":"Winters","given":"Paul","non-dropping-particle":"","parse-names":false,"suffix":""}],"container-title":"Science","id":"ITEM-1","issue":"6047","issued":{"date-parts":[["2011","9","2"]]},"page":"1254-1256","title":"Synthetic Biology: Regulating Industry Uses of New Biotechnologies","type":"article-journal","volume":"333"},"uris":["http://www.mendeley.com/documents/?uuid=ec5a3bd2-48cf-4401-a099-c0f0099859c1"]}],"mendeley":{"formattedCitation":"(Erickson et al., 2011)","plainTextFormattedCitation":"(Erickson et al., 2011)","previouslyFormattedCitation":"(Erickson et al., 2011)"},"properties":{"noteIndex":0},"schema":"https://github.com/citation-style-language/schema/raw/master/csl-citation.json"}</w:instrText>
      </w:r>
      <w:r w:rsidR="00354BEE">
        <w:rPr>
          <w:rFonts w:ascii="Times New Roman" w:hAnsi="Times New Roman"/>
          <w:kern w:val="22"/>
        </w:rPr>
        <w:fldChar w:fldCharType="separate"/>
      </w:r>
      <w:r w:rsidR="00354BEE" w:rsidRPr="00354BEE">
        <w:rPr>
          <w:rFonts w:ascii="Times New Roman" w:hAnsi="Times New Roman"/>
          <w:noProof/>
          <w:kern w:val="22"/>
        </w:rPr>
        <w:t>(Erickson et al., 2011)</w:t>
      </w:r>
      <w:r w:rsidR="00354BEE">
        <w:rPr>
          <w:rFonts w:ascii="Times New Roman" w:hAnsi="Times New Roman"/>
          <w:kern w:val="22"/>
        </w:rPr>
        <w:fldChar w:fldCharType="end"/>
      </w:r>
      <w:r w:rsidRPr="000F2CFE">
        <w:rPr>
          <w:rFonts w:ascii="Times New Roman" w:hAnsi="Times New Roman"/>
          <w:kern w:val="22"/>
        </w:rPr>
        <w:t xml:space="preserve">. </w:t>
      </w:r>
    </w:p>
    <w:p w14:paraId="62FE9D10" w14:textId="62AA04E4" w:rsidR="00960C06" w:rsidRPr="000F2CFE" w:rsidRDefault="00960C06" w:rsidP="00960C06">
      <w:pPr>
        <w:suppressAutoHyphens/>
        <w:spacing w:after="120" w:line="240" w:lineRule="auto"/>
        <w:jc w:val="both"/>
        <w:rPr>
          <w:rFonts w:ascii="Times New Roman" w:hAnsi="Times New Roman"/>
          <w:kern w:val="22"/>
        </w:rPr>
      </w:pPr>
      <w:r w:rsidRPr="000F2CFE">
        <w:rPr>
          <w:rFonts w:ascii="Times New Roman" w:hAnsi="Times New Roman"/>
          <w:kern w:val="22"/>
        </w:rPr>
        <w:t xml:space="preserve">An initial question is whether genetic resources from </w:t>
      </w:r>
      <w:r w:rsidRPr="000F2CFE">
        <w:rPr>
          <w:rFonts w:ascii="Times New Roman" w:hAnsi="Times New Roman"/>
          <w:i/>
          <w:kern w:val="22"/>
        </w:rPr>
        <w:t xml:space="preserve">H. brasiliensis </w:t>
      </w:r>
      <w:r w:rsidRPr="000F2CFE">
        <w:rPr>
          <w:rFonts w:ascii="Times New Roman" w:hAnsi="Times New Roman"/>
          <w:kern w:val="22"/>
        </w:rPr>
        <w:t xml:space="preserve">were actually accessed and “utilized” in the context of the Protocol. A separate question might be whether access to derivatives of organisms resulting from synthetic biology techniques – such as isoprene – would also be covered by the Nagoya Protocol (see similar discussion on access to genetic resources originating from synthetic biology in </w:t>
      </w:r>
      <w:r>
        <w:rPr>
          <w:rFonts w:ascii="Times New Roman" w:hAnsi="Times New Roman"/>
          <w:kern w:val="22"/>
        </w:rPr>
        <w:t>S</w:t>
      </w:r>
      <w:r w:rsidRPr="000F2CFE">
        <w:rPr>
          <w:rFonts w:ascii="Times New Roman" w:hAnsi="Times New Roman"/>
          <w:kern w:val="22"/>
        </w:rPr>
        <w:t xml:space="preserve">ection </w:t>
      </w:r>
      <w:r w:rsidR="00A118EF">
        <w:rPr>
          <w:rFonts w:ascii="Times New Roman" w:hAnsi="Times New Roman"/>
          <w:kern w:val="22"/>
        </w:rPr>
        <w:t>8</w:t>
      </w:r>
      <w:r w:rsidRPr="000F2CFE">
        <w:rPr>
          <w:rFonts w:ascii="Times New Roman" w:hAnsi="Times New Roman"/>
          <w:kern w:val="22"/>
        </w:rPr>
        <w:t>.1.</w:t>
      </w:r>
      <w:r w:rsidR="00A118EF">
        <w:rPr>
          <w:rFonts w:ascii="Times New Roman" w:hAnsi="Times New Roman"/>
          <w:kern w:val="22"/>
        </w:rPr>
        <w:t>5</w:t>
      </w:r>
      <w:r w:rsidRPr="000F2CFE">
        <w:rPr>
          <w:rFonts w:ascii="Times New Roman" w:hAnsi="Times New Roman"/>
          <w:kern w:val="22"/>
        </w:rPr>
        <w:t>.)</w:t>
      </w:r>
    </w:p>
    <w:p w14:paraId="3931BDBA" w14:textId="2B61574C" w:rsidR="00960C06" w:rsidRDefault="00960C06" w:rsidP="00960C06">
      <w:pPr>
        <w:suppressAutoHyphens/>
        <w:spacing w:after="120" w:line="240" w:lineRule="auto"/>
        <w:jc w:val="both"/>
        <w:rPr>
          <w:rFonts w:ascii="Times New Roman" w:hAnsi="Times New Roman"/>
        </w:rPr>
      </w:pPr>
      <w:r w:rsidRPr="0E6D1B2B">
        <w:rPr>
          <w:rFonts w:ascii="Times New Roman" w:hAnsi="Times New Roman"/>
        </w:rPr>
        <w:t>There are different interpretations regarding how the Nagoya Protocol applies to derivatives. It could be argued that the benefit-sharing obligations apply to derivatives through linkages with the definitions of utili</w:t>
      </w:r>
      <w:r>
        <w:rPr>
          <w:rFonts w:ascii="Times New Roman" w:hAnsi="Times New Roman"/>
        </w:rPr>
        <w:t>s</w:t>
      </w:r>
      <w:r w:rsidRPr="0E6D1B2B">
        <w:rPr>
          <w:rFonts w:ascii="Times New Roman" w:hAnsi="Times New Roman"/>
        </w:rPr>
        <w:t>ation of genetic resources and biotechnology (Article 2</w:t>
      </w:r>
      <w:r>
        <w:rPr>
          <w:rFonts w:ascii="Times New Roman" w:hAnsi="Times New Roman"/>
        </w:rPr>
        <w:t>;</w:t>
      </w:r>
      <w:r w:rsidRPr="0E6D1B2B">
        <w:rPr>
          <w:rFonts w:ascii="Times New Roman" w:hAnsi="Times New Roman"/>
        </w:rPr>
        <w:t xml:space="preserve"> Nagoya Protocol, see </w:t>
      </w:r>
      <w:r w:rsidR="00354BEE">
        <w:rPr>
          <w:rFonts w:ascii="Times New Roman" w:hAnsi="Times New Roman"/>
          <w:kern w:val="22"/>
        </w:rPr>
        <w:fldChar w:fldCharType="begin" w:fldLock="1"/>
      </w:r>
      <w:r w:rsidR="00354BEE">
        <w:rPr>
          <w:rFonts w:ascii="Times New Roman" w:hAnsi="Times New Roman"/>
          <w:kern w:val="22"/>
        </w:rPr>
        <w:instrText>ADDIN CSL_CITATION {"citationItems":[{"id":"ITEM-1","itemData":{"author":[{"dropping-particle":"","family":"Ahrén","given":"Mattias","non-dropping-particle":"","parse-names":false,"suffix":""},{"dropping-particle":"","family":"Ali","given":"Natasha","non-dropping-particle":"","parse-names":false,"suffix":""},{"dropping-particle":"","family":"Cabrera Medaglia","given":"Jorge A.","non-dropping-particle":"","parse-names":false,"suffix":""},{"dropping-particle":"","family":"Greiber","given":"Thomas","non-dropping-particle":"","parse-names":false,"suffix":""},{"dropping-particle":"","family":"Kamau","given":"Evanson C.","non-dropping-particle":"","parse-names":false,"suffix":""},{"dropping-particle":"","family":"Nieto Carrasco","given":"Jimena","non-dropping-particle":"","parse-names":false,"suffix":""},{"dropping-particle":"","family":"Oliva","given":"Maria Julia","non-dropping-particle":"","parse-names":false,"suffix":""},{"dropping-particle":"","family":"Pena Moreno","given":"Sonia","non-dropping-particle":"","parse-names":false,"suffix":""},{"dropping-particle":"","family":"Perron-Welch","given":"Frederic","non-dropping-particle":"","parse-names":false,"suffix":""},{"dropping-particle":"","family":"Williams","given":"China","non-dropping-particle":"","parse-names":false,"suffix":""}],"id":"ITEM-1","issued":{"date-parts":[["2012"]]},"title":"An explanatory guide to the Nagoya Protocol on access and benefit-sharing","type":"report"},"uris":["http://www.mendeley.com/documents/?uuid=c15afd7d-32fb-4191-80fb-9b720bfee218"]}],"mendeley":{"formattedCitation":"(Ahrén et al., 2012)","manualFormatting":"Ahrén et al., 2012","plainTextFormattedCitation":"(Ahrén et al., 2012)","previouslyFormattedCitation":"(Ahrén et al., 2012)"},"properties":{"noteIndex":0},"schema":"https://github.com/citation-style-language/schema/raw/master/csl-citation.json"}</w:instrText>
      </w:r>
      <w:r w:rsidR="00354BEE">
        <w:rPr>
          <w:rFonts w:ascii="Times New Roman" w:hAnsi="Times New Roman"/>
          <w:kern w:val="22"/>
        </w:rPr>
        <w:fldChar w:fldCharType="separate"/>
      </w:r>
      <w:r w:rsidR="00354BEE" w:rsidRPr="00354BEE">
        <w:rPr>
          <w:rFonts w:ascii="Times New Roman" w:hAnsi="Times New Roman"/>
          <w:noProof/>
          <w:kern w:val="22"/>
        </w:rPr>
        <w:t>Ahrén et al., 2012</w:t>
      </w:r>
      <w:r w:rsidR="00354BEE">
        <w:rPr>
          <w:rFonts w:ascii="Times New Roman" w:hAnsi="Times New Roman"/>
          <w:kern w:val="22"/>
        </w:rPr>
        <w:fldChar w:fldCharType="end"/>
      </w:r>
      <w:r w:rsidRPr="0E6D1B2B">
        <w:rPr>
          <w:rFonts w:ascii="Times New Roman" w:hAnsi="Times New Roman"/>
        </w:rPr>
        <w:t xml:space="preserve">; </w:t>
      </w:r>
      <w:r w:rsidR="00354BEE">
        <w:rPr>
          <w:rFonts w:ascii="Times New Roman" w:hAnsi="Times New Roman"/>
        </w:rPr>
        <w:fldChar w:fldCharType="begin" w:fldLock="1"/>
      </w:r>
      <w:r w:rsidR="0041126B">
        <w:rPr>
          <w:rFonts w:ascii="Times New Roman" w:hAnsi="Times New Roman"/>
        </w:rPr>
        <w:instrText>ADDIN CSL_CITATION {"citationItems":[{"id":"ITEM-1","itemData":{"author":[{"dropping-particle":"","family":"Singh Nijar","given":"Gurdial","non-dropping-particle":"","parse-names":false,"suffix":""}],"id":"ITEM-1","issued":{"date-parts":[["2011"]]},"title":"THE NAGOYA PROTOCOL ON ACCESS AND BENEFIT SHARING OF GENETIC RESOURCES: ANALYSIS AND IMPLEMENTATION OPTIONS FOR DEVELOPING COUNTRIES","type":"report"},"uris":["http://www.mendeley.com/documents/?uuid=d6dc8506-4397-3902-8e61-4796599c514f"]}],"mendeley":{"formattedCitation":"(Singh Nijar, 2011)","manualFormatting":"Singh Nijar, 2011)","plainTextFormattedCitation":"(Singh Nijar, 2011)","previouslyFormattedCitation":"(Singh Nijar, 2011)"},"properties":{"noteIndex":0},"schema":"https://github.com/citation-style-language/schema/raw/master/csl-citation.json"}</w:instrText>
      </w:r>
      <w:r w:rsidR="00354BEE">
        <w:rPr>
          <w:rFonts w:ascii="Times New Roman" w:hAnsi="Times New Roman"/>
        </w:rPr>
        <w:fldChar w:fldCharType="separate"/>
      </w:r>
      <w:r w:rsidR="00354BEE" w:rsidRPr="00354BEE">
        <w:rPr>
          <w:rFonts w:ascii="Times New Roman" w:hAnsi="Times New Roman"/>
          <w:noProof/>
        </w:rPr>
        <w:t>Singh Nijar, 2011)</w:t>
      </w:r>
      <w:r w:rsidR="00354BEE">
        <w:rPr>
          <w:rFonts w:ascii="Times New Roman" w:hAnsi="Times New Roman"/>
        </w:rPr>
        <w:fldChar w:fldCharType="end"/>
      </w:r>
      <w:r w:rsidRPr="0E6D1B2B">
        <w:rPr>
          <w:rFonts w:ascii="Times New Roman" w:hAnsi="Times New Roman"/>
        </w:rPr>
        <w:t>. Another possible interpretation is that the operative provisions of the Protocol apply only to genetic resources, and not to derivatives</w:t>
      </w:r>
      <w:r w:rsidRPr="000F2CFE">
        <w:rPr>
          <w:rFonts w:ascii="Times New Roman" w:hAnsi="Times New Roman"/>
          <w:kern w:val="22"/>
          <w:vertAlign w:val="superscript"/>
        </w:rPr>
        <w:footnoteReference w:id="54"/>
      </w:r>
      <w:r>
        <w:rPr>
          <w:rFonts w:ascii="Times New Roman" w:hAnsi="Times New Roman"/>
        </w:rPr>
        <w:t>.</w:t>
      </w:r>
    </w:p>
    <w:p w14:paraId="5CDC4820" w14:textId="65F88D67" w:rsidR="00960C06" w:rsidRPr="00FC2505" w:rsidRDefault="00FC2505" w:rsidP="00960C06">
      <w:pPr>
        <w:suppressAutoHyphens/>
        <w:spacing w:after="120" w:line="240" w:lineRule="auto"/>
        <w:jc w:val="both"/>
        <w:rPr>
          <w:rFonts w:ascii="Times New Roman" w:hAnsi="Times New Roman"/>
        </w:rPr>
      </w:pPr>
      <w:r w:rsidRPr="000F2CFE">
        <w:rPr>
          <w:rFonts w:ascii="Times New Roman" w:hAnsi="Times New Roman"/>
          <w:kern w:val="22"/>
        </w:rPr>
        <w:t>National implementation of the Nagoya Protocol can assist in further clarifying the definition of “utilization” as well as the scope of access and benefit-sharing requirements in relation to derivatives. The negotiation of mutually agreed terms can assist parties to access and benefit-sharing agreements to clarify until which extent of the value chain the obligations to share benefits would continue to apply to components, organisms and products resulting from synthetic biology, including derivatives and their subsequent applications</w:t>
      </w:r>
      <w:r w:rsidR="00960C06">
        <w:rPr>
          <w:rFonts w:ascii="Times New Roman" w:hAnsi="Times New Roman"/>
        </w:rPr>
        <w:t>.</w:t>
      </w:r>
      <w:r w:rsidR="00960C06" w:rsidRPr="0E6D1B2B">
        <w:rPr>
          <w:rFonts w:ascii="Times New Roman" w:hAnsi="Times New Roman"/>
        </w:rPr>
        <w:t xml:space="preserve">  </w:t>
      </w:r>
    </w:p>
    <w:p w14:paraId="6C9389C8" w14:textId="5818FE30" w:rsidR="008D58E6" w:rsidRPr="00424E1A" w:rsidRDefault="008D58E6" w:rsidP="00F92EB5">
      <w:pPr>
        <w:pStyle w:val="Heading2"/>
        <w:rPr>
          <w:rFonts w:eastAsia="SimSun"/>
          <w:b w:val="0"/>
          <w:bCs w:val="0"/>
          <w:lang w:val="en-US" w:bidi="hi-IN"/>
        </w:rPr>
      </w:pPr>
      <w:bookmarkStart w:id="145" w:name="_Toc70112708"/>
      <w:bookmarkStart w:id="146" w:name="_Toc70685730"/>
      <w:bookmarkStart w:id="147" w:name="_Hlk65560042"/>
      <w:r>
        <w:rPr>
          <w:rFonts w:eastAsia="SimSun"/>
          <w:lang w:val="en-US" w:bidi="hi-IN"/>
        </w:rPr>
        <w:t xml:space="preserve">9. </w:t>
      </w:r>
      <w:r w:rsidR="4BCF754B">
        <w:rPr>
          <w:rFonts w:eastAsia="SimSun"/>
          <w:lang w:val="en-US" w:bidi="hi-IN"/>
        </w:rPr>
        <w:t>Other</w:t>
      </w:r>
      <w:r>
        <w:rPr>
          <w:rFonts w:eastAsia="SimSun"/>
          <w:lang w:val="en-US" w:bidi="hi-IN"/>
        </w:rPr>
        <w:t xml:space="preserve"> </w:t>
      </w:r>
      <w:r w:rsidR="3477F9D6" w:rsidRPr="596EC9E3">
        <w:rPr>
          <w:rFonts w:eastAsia="SimSun"/>
          <w:lang w:val="en-US" w:bidi="hi-IN"/>
        </w:rPr>
        <w:t xml:space="preserve">Relevant </w:t>
      </w:r>
      <w:r w:rsidRPr="007C2E11">
        <w:rPr>
          <w:rFonts w:eastAsia="SimSun"/>
          <w:lang w:bidi="hi-IN"/>
        </w:rPr>
        <w:t xml:space="preserve">International </w:t>
      </w:r>
      <w:r w:rsidR="2CA58529" w:rsidRPr="007C2E11">
        <w:rPr>
          <w:rFonts w:eastAsia="SimSun"/>
          <w:lang w:bidi="hi-IN"/>
        </w:rPr>
        <w:t>Ru</w:t>
      </w:r>
      <w:r w:rsidR="139ACBCD" w:rsidRPr="007C2E11">
        <w:rPr>
          <w:rFonts w:eastAsia="SimSun"/>
          <w:lang w:bidi="hi-IN"/>
        </w:rPr>
        <w:t>les</w:t>
      </w:r>
      <w:r w:rsidR="38FFAB93" w:rsidRPr="007C2E11">
        <w:rPr>
          <w:rFonts w:eastAsia="SimSun"/>
          <w:lang w:bidi="hi-IN"/>
        </w:rPr>
        <w:t xml:space="preserve"> and </w:t>
      </w:r>
      <w:r w:rsidR="1F27D351" w:rsidRPr="007C2E11">
        <w:rPr>
          <w:rFonts w:eastAsia="SimSun"/>
          <w:lang w:bidi="hi-IN"/>
        </w:rPr>
        <w:t>R</w:t>
      </w:r>
      <w:r w:rsidR="38FFAB93" w:rsidRPr="007C2E11">
        <w:rPr>
          <w:rFonts w:eastAsia="SimSun"/>
          <w:lang w:bidi="hi-IN"/>
        </w:rPr>
        <w:t xml:space="preserve">egulatory </w:t>
      </w:r>
      <w:r w:rsidR="0F57BDD8" w:rsidRPr="007C2E11">
        <w:rPr>
          <w:rFonts w:eastAsia="SimSun"/>
          <w:lang w:bidi="hi-IN"/>
        </w:rPr>
        <w:t>P</w:t>
      </w:r>
      <w:r w:rsidR="38FFAB93" w:rsidRPr="007C2E11">
        <w:rPr>
          <w:rFonts w:eastAsia="SimSun"/>
          <w:lang w:bidi="hi-IN"/>
        </w:rPr>
        <w:t>ractices</w:t>
      </w:r>
      <w:r w:rsidRPr="007C2E11">
        <w:rPr>
          <w:rFonts w:eastAsia="SimSun"/>
          <w:lang w:bidi="hi-IN"/>
        </w:rPr>
        <w:t xml:space="preserve">, Processes and Initiatives with Implications </w:t>
      </w:r>
      <w:r w:rsidRPr="007C2E11">
        <w:rPr>
          <w:rFonts w:eastAsia="SimSun"/>
          <w:lang w:val="en-US" w:bidi="hi-IN"/>
        </w:rPr>
        <w:t>f</w:t>
      </w:r>
      <w:r w:rsidRPr="007C2E11">
        <w:rPr>
          <w:rFonts w:eastAsia="SimSun"/>
          <w:lang w:bidi="hi-IN"/>
        </w:rPr>
        <w:t>or the Governance of Synthetic Biology</w:t>
      </w:r>
      <w:r w:rsidR="00BA4D7C">
        <w:rPr>
          <w:rFonts w:eastAsia="SimSun"/>
          <w:lang w:val="en-US" w:bidi="hi-IN"/>
        </w:rPr>
        <w:t>.</w:t>
      </w:r>
      <w:bookmarkEnd w:id="145"/>
      <w:bookmarkEnd w:id="146"/>
    </w:p>
    <w:p w14:paraId="58AE4CB7" w14:textId="65C980C7" w:rsidR="008D58E6" w:rsidRPr="00CB4BD6" w:rsidRDefault="008D58E6" w:rsidP="00424E1A">
      <w:pPr>
        <w:pStyle w:val="Heading3"/>
        <w:rPr>
          <w:rFonts w:eastAsia="SimSun"/>
        </w:rPr>
      </w:pPr>
      <w:bookmarkStart w:id="148" w:name="_Toc70112709"/>
      <w:bookmarkStart w:id="149" w:name="_Toc70685731"/>
      <w:r w:rsidRPr="00981823">
        <w:rPr>
          <w:rFonts w:eastAsia="SimSun"/>
        </w:rPr>
        <w:t>9.1</w:t>
      </w:r>
      <w:r w:rsidR="00BA4D7C" w:rsidRPr="00C53022">
        <w:rPr>
          <w:rFonts w:eastAsia="SimSun"/>
        </w:rPr>
        <w:t>.</w:t>
      </w:r>
      <w:r w:rsidRPr="00C53022">
        <w:rPr>
          <w:rFonts w:eastAsia="SimSun"/>
        </w:rPr>
        <w:t xml:space="preserve"> Overview</w:t>
      </w:r>
      <w:r w:rsidR="00BA4D7C" w:rsidRPr="00105C2E">
        <w:rPr>
          <w:rFonts w:eastAsia="SimSun"/>
        </w:rPr>
        <w:t>.</w:t>
      </w:r>
      <w:bookmarkEnd w:id="148"/>
      <w:bookmarkEnd w:id="149"/>
    </w:p>
    <w:p w14:paraId="3C6A801E" w14:textId="6F847D11" w:rsidR="008D58E6" w:rsidRPr="007C2E11" w:rsidRDefault="008D58E6" w:rsidP="00845E3A">
      <w:pPr>
        <w:spacing w:after="120" w:line="240" w:lineRule="auto"/>
        <w:jc w:val="both"/>
        <w:rPr>
          <w:rFonts w:ascii="Times New Roman"/>
          <w:kern w:val="22"/>
          <w:shd w:val="clear" w:color="auto" w:fill="FFFFFF"/>
        </w:rPr>
      </w:pPr>
      <w:r w:rsidRPr="007C2E11">
        <w:rPr>
          <w:rFonts w:ascii="Times New Roman"/>
          <w:kern w:val="22"/>
          <w:shd w:val="clear" w:color="auto" w:fill="FFFFFF"/>
        </w:rPr>
        <w:t xml:space="preserve">At </w:t>
      </w:r>
      <w:r w:rsidR="04868076" w:rsidRPr="007C2E11">
        <w:rPr>
          <w:rFonts w:ascii="Times New Roman"/>
          <w:kern w:val="22"/>
          <w:shd w:val="clear" w:color="auto" w:fill="FFFFFF"/>
        </w:rPr>
        <w:t>the</w:t>
      </w:r>
      <w:r w:rsidRPr="007C2E11">
        <w:rPr>
          <w:rFonts w:ascii="Times New Roman"/>
          <w:kern w:val="22"/>
          <w:shd w:val="clear" w:color="auto" w:fill="FFFFFF"/>
        </w:rPr>
        <w:t xml:space="preserve"> international</w:t>
      </w:r>
      <w:r w:rsidR="70367745" w:rsidRPr="007C2E11">
        <w:rPr>
          <w:rFonts w:ascii="Times New Roman"/>
          <w:kern w:val="22"/>
          <w:shd w:val="clear" w:color="auto" w:fill="FFFFFF"/>
        </w:rPr>
        <w:t xml:space="preserve"> </w:t>
      </w:r>
      <w:r w:rsidRPr="007C2E11">
        <w:rPr>
          <w:rFonts w:ascii="Times New Roman"/>
          <w:kern w:val="22"/>
          <w:shd w:val="clear" w:color="auto" w:fill="FFFFFF"/>
        </w:rPr>
        <w:t>level</w:t>
      </w:r>
      <w:r w:rsidR="70367745" w:rsidRPr="007C2E11">
        <w:rPr>
          <w:rFonts w:ascii="Times New Roman"/>
          <w:kern w:val="22"/>
          <w:shd w:val="clear" w:color="auto" w:fill="FFFFFF"/>
        </w:rPr>
        <w:t>,</w:t>
      </w:r>
      <w:r w:rsidRPr="007C2E11">
        <w:rPr>
          <w:rFonts w:ascii="Times New Roman"/>
          <w:kern w:val="22"/>
          <w:shd w:val="clear" w:color="auto" w:fill="FFFFFF"/>
        </w:rPr>
        <w:t xml:space="preserve"> the governance of synthetic biology will be determined having regard to a number </w:t>
      </w:r>
      <w:r w:rsidR="00F536F4">
        <w:rPr>
          <w:rFonts w:ascii="Times New Roman"/>
          <w:kern w:val="22"/>
          <w:shd w:val="clear" w:color="auto" w:fill="FFFFFF"/>
        </w:rPr>
        <w:t xml:space="preserve">of </w:t>
      </w:r>
      <w:r w:rsidRPr="007C2E11">
        <w:rPr>
          <w:rFonts w:ascii="Times New Roman"/>
          <w:kern w:val="22"/>
          <w:shd w:val="clear" w:color="auto" w:fill="FFFFFF"/>
        </w:rPr>
        <w:t>factor</w:t>
      </w:r>
      <w:r w:rsidR="77FCD7D6" w:rsidRPr="7921706C">
        <w:rPr>
          <w:rFonts w:ascii="Times New Roman"/>
        </w:rPr>
        <w:t>s</w:t>
      </w:r>
      <w:r w:rsidRPr="007C2E11">
        <w:rPr>
          <w:rFonts w:ascii="Times New Roman"/>
          <w:kern w:val="22"/>
          <w:shd w:val="clear" w:color="auto" w:fill="FFFFFF"/>
        </w:rPr>
        <w:t xml:space="preserve"> including the products and processes involved, the purpose for which they are applied, and the cross-border implications of their use. Accordingly, a wide range of international laws, processes and initiatives </w:t>
      </w:r>
      <w:r w:rsidR="0021699C" w:rsidRPr="0021699C">
        <w:rPr>
          <w:rFonts w:ascii="Times New Roman"/>
          <w:kern w:val="22"/>
          <w:shd w:val="clear" w:color="auto" w:fill="FFFFFF"/>
        </w:rPr>
        <w:t xml:space="preserve">beyond the Convention and its Protocols </w:t>
      </w:r>
      <w:r w:rsidRPr="007C2E11">
        <w:rPr>
          <w:rFonts w:ascii="Times New Roman"/>
          <w:kern w:val="22"/>
          <w:shd w:val="clear" w:color="auto" w:fill="FFFFFF"/>
        </w:rPr>
        <w:t xml:space="preserve">are anticipated to shape the governance of synthetic biology. </w:t>
      </w:r>
      <w:r w:rsidR="009D58A4">
        <w:rPr>
          <w:rFonts w:ascii="Times New Roman"/>
          <w:kern w:val="22"/>
          <w:shd w:val="clear" w:color="auto" w:fill="FFFFFF"/>
        </w:rPr>
        <w:t>T</w:t>
      </w:r>
      <w:r w:rsidRPr="007C2E11">
        <w:rPr>
          <w:rFonts w:ascii="Times New Roman"/>
          <w:kern w:val="22"/>
          <w:shd w:val="clear" w:color="auto" w:fill="FFFFFF"/>
        </w:rPr>
        <w:t xml:space="preserve">his section considers other international laws, processes and initiatives with potential implications </w:t>
      </w:r>
      <w:r w:rsidR="00F052FA">
        <w:rPr>
          <w:rFonts w:ascii="Times New Roman"/>
          <w:kern w:val="22"/>
          <w:shd w:val="clear" w:color="auto" w:fill="FFFFFF"/>
        </w:rPr>
        <w:t>for</w:t>
      </w:r>
      <w:r w:rsidR="00F052FA" w:rsidRPr="007C2E11">
        <w:rPr>
          <w:rFonts w:ascii="Times New Roman"/>
          <w:kern w:val="22"/>
          <w:shd w:val="clear" w:color="auto" w:fill="FFFFFF"/>
        </w:rPr>
        <w:t xml:space="preserve"> </w:t>
      </w:r>
      <w:r w:rsidR="008B04BA">
        <w:rPr>
          <w:rFonts w:ascii="Times New Roman"/>
          <w:kern w:val="22"/>
          <w:shd w:val="clear" w:color="auto" w:fill="FFFFFF"/>
        </w:rPr>
        <w:t>t</w:t>
      </w:r>
      <w:r w:rsidRPr="007C2E11">
        <w:rPr>
          <w:rFonts w:ascii="Times New Roman"/>
          <w:kern w:val="22"/>
          <w:shd w:val="clear" w:color="auto" w:fill="FFFFFF"/>
        </w:rPr>
        <w:t xml:space="preserve">he governance of synthetic biology which are relevant to the </w:t>
      </w:r>
      <w:r w:rsidR="00433F18">
        <w:rPr>
          <w:rFonts w:ascii="Times New Roman"/>
          <w:kern w:val="22"/>
          <w:shd w:val="clear" w:color="auto" w:fill="FFFFFF"/>
        </w:rPr>
        <w:t>work</w:t>
      </w:r>
      <w:r w:rsidR="00433F18" w:rsidRPr="007C2E11">
        <w:rPr>
          <w:rFonts w:ascii="Times New Roman"/>
          <w:kern w:val="22"/>
          <w:shd w:val="clear" w:color="auto" w:fill="FFFFFF"/>
        </w:rPr>
        <w:t xml:space="preserve"> </w:t>
      </w:r>
      <w:r w:rsidRPr="007C2E11">
        <w:rPr>
          <w:rFonts w:ascii="Times New Roman"/>
          <w:kern w:val="22"/>
          <w:shd w:val="clear" w:color="auto" w:fill="FFFFFF"/>
        </w:rPr>
        <w:t xml:space="preserve">of the CBD, as summarised </w:t>
      </w:r>
      <w:r w:rsidR="009D58A4">
        <w:rPr>
          <w:rFonts w:ascii="Times New Roman"/>
          <w:kern w:val="22"/>
          <w:shd w:val="clear" w:color="auto" w:fill="FFFFFF"/>
        </w:rPr>
        <w:t xml:space="preserve">in </w:t>
      </w:r>
      <w:r w:rsidR="002F0386">
        <w:rPr>
          <w:rFonts w:ascii="Times New Roman"/>
          <w:kern w:val="22"/>
          <w:shd w:val="clear" w:color="auto" w:fill="FFFFFF"/>
        </w:rPr>
        <w:t>T</w:t>
      </w:r>
      <w:r w:rsidR="009D58A4">
        <w:rPr>
          <w:rFonts w:ascii="Times New Roman"/>
          <w:kern w:val="22"/>
          <w:shd w:val="clear" w:color="auto" w:fill="FFFFFF"/>
        </w:rPr>
        <w:t xml:space="preserve">able </w:t>
      </w:r>
      <w:r w:rsidR="002F340D">
        <w:rPr>
          <w:rFonts w:ascii="Times New Roman"/>
          <w:kern w:val="22"/>
          <w:shd w:val="clear" w:color="auto" w:fill="FFFFFF"/>
        </w:rPr>
        <w:t xml:space="preserve">2 </w:t>
      </w:r>
      <w:r w:rsidRPr="007C2E11">
        <w:rPr>
          <w:rFonts w:ascii="Times New Roman"/>
          <w:kern w:val="22"/>
          <w:shd w:val="clear" w:color="auto" w:fill="FFFFFF"/>
        </w:rPr>
        <w:t>below.</w:t>
      </w:r>
    </w:p>
    <w:p w14:paraId="04480F4B" w14:textId="72E3FD39" w:rsidR="007F4BAC" w:rsidRPr="007F4BAC" w:rsidRDefault="007F4BAC" w:rsidP="007F4BAC">
      <w:pPr>
        <w:spacing w:after="120" w:line="240" w:lineRule="auto"/>
        <w:jc w:val="both"/>
        <w:rPr>
          <w:rFonts w:ascii="Times New Roman"/>
          <w:kern w:val="22"/>
          <w:shd w:val="clear" w:color="auto" w:fill="FFFFFF"/>
        </w:rPr>
      </w:pPr>
      <w:r w:rsidRPr="007F4BAC">
        <w:rPr>
          <w:rFonts w:ascii="Times New Roman"/>
          <w:kern w:val="22"/>
          <w:shd w:val="clear" w:color="auto" w:fill="FFFFFF"/>
        </w:rPr>
        <w:t>A focus on protection of people and the environment appear</w:t>
      </w:r>
      <w:r w:rsidR="002F0386">
        <w:rPr>
          <w:rFonts w:ascii="Times New Roman"/>
          <w:kern w:val="22"/>
          <w:shd w:val="clear" w:color="auto" w:fill="FFFFFF"/>
        </w:rPr>
        <w:t>s</w:t>
      </w:r>
      <w:r w:rsidRPr="007F4BAC">
        <w:rPr>
          <w:rFonts w:ascii="Times New Roman"/>
          <w:kern w:val="22"/>
          <w:shd w:val="clear" w:color="auto" w:fill="FFFFFF"/>
        </w:rPr>
        <w:t xml:space="preserve"> as a common denominator in the analysis of international governance frameworks which are particularly relevant to synthetic biology </w:t>
      </w:r>
      <w:r w:rsidR="0041126B">
        <w:rPr>
          <w:rFonts w:ascii="Times New Roman"/>
          <w:kern w:val="22"/>
          <w:shd w:val="clear" w:color="auto" w:fill="FFFFFF"/>
        </w:rPr>
        <w:fldChar w:fldCharType="begin" w:fldLock="1"/>
      </w:r>
      <w:r w:rsidR="0041126B">
        <w:rPr>
          <w:rFonts w:ascii="Times New Roman"/>
          <w:kern w:val="22"/>
          <w:shd w:val="clear" w:color="auto" w:fill="FFFFFF"/>
        </w:rPr>
        <w:instrText>ADDIN CSL_CITATION {"citationItems":[{"id":"ITEM-1","itemData":{"DOI":"10.3389/fbioe.2020.00650","ISSN":"22964185","abstract":"When biosafety for contained use is addressed in international fora and discussions, often the topic is limited to working with genetically modified organisms (GMOs) in facilities such as laboratories, animal facilities, and greenhouses. However, the scope of biosafety in containment encompasses many other types of biological materials, such as human, animal and plant pathogens, nucleic acids, proteins, human samples, animals or plants, or by-products thereof, and overlaps often with the topic of biosecurity. This is also reflected in the regulations that apply for activities with biological materials in contained facilities. The common denominator of these regulations is the focus on protection of people and environment, while applying the key principles of risk assessment and risk management. This review provides an overview of regulatory frameworks for biosafety and biosecurity in containment around the globe, as well as points out overlap with other regulatory frameworks, such as the Nagoya Protocol, or Plant and Animal Health regulations.","author":[{"dropping-particle":"","family":"Beeckman","given":"Delphine S A","non-dropping-particle":"","parse-names":false,"suffix":""},{"dropping-particle":"","family":"R</w:instrText>
      </w:r>
      <w:r w:rsidR="0041126B">
        <w:rPr>
          <w:rFonts w:ascii="Times New Roman"/>
          <w:kern w:val="22"/>
          <w:shd w:val="clear" w:color="auto" w:fill="FFFFFF"/>
        </w:rPr>
        <w:instrText>ü</w:instrText>
      </w:r>
      <w:r w:rsidR="0041126B">
        <w:rPr>
          <w:rFonts w:ascii="Times New Roman"/>
          <w:kern w:val="22"/>
          <w:shd w:val="clear" w:color="auto" w:fill="FFFFFF"/>
        </w:rPr>
        <w:instrText>delsheim","given":"Patrick","non-dropping-particle":"","parse-names":false,"suffix":""}],"container-title":"Frontiers in Bioengineering and Biotechnology","id":"ITEM-1","issued":{"date-parts":[["2020"]]},"publisher":"Frontiers Media S.A.","title":"Biosafety and Biosecurity in Containment: A Regulatory Overview","type":"article-journal","volume":"8"},"uris":["http://www.mendeley.com/documents/?uuid=cff96b8e-78be-4d43-a0c9-b3dbe7618e1c"]}],"mendeley":{"formattedCitation":"(Beeckman &amp; R</w:instrText>
      </w:r>
      <w:r w:rsidR="0041126B">
        <w:rPr>
          <w:rFonts w:ascii="Times New Roman"/>
          <w:kern w:val="22"/>
          <w:shd w:val="clear" w:color="auto" w:fill="FFFFFF"/>
        </w:rPr>
        <w:instrText>ü</w:instrText>
      </w:r>
      <w:r w:rsidR="0041126B">
        <w:rPr>
          <w:rFonts w:ascii="Times New Roman"/>
          <w:kern w:val="22"/>
          <w:shd w:val="clear" w:color="auto" w:fill="FFFFFF"/>
        </w:rPr>
        <w:instrText>delsheim, 2020)","plainTextFormattedCitation":"(Beeckman &amp; R</w:instrText>
      </w:r>
      <w:r w:rsidR="0041126B">
        <w:rPr>
          <w:rFonts w:ascii="Times New Roman"/>
          <w:kern w:val="22"/>
          <w:shd w:val="clear" w:color="auto" w:fill="FFFFFF"/>
        </w:rPr>
        <w:instrText>ü</w:instrText>
      </w:r>
      <w:r w:rsidR="0041126B">
        <w:rPr>
          <w:rFonts w:ascii="Times New Roman"/>
          <w:kern w:val="22"/>
          <w:shd w:val="clear" w:color="auto" w:fill="FFFFFF"/>
        </w:rPr>
        <w:instrText>delsheim, 2020)","previouslyFormattedCitation":"(Beeckman &amp; R</w:instrText>
      </w:r>
      <w:r w:rsidR="0041126B">
        <w:rPr>
          <w:rFonts w:ascii="Times New Roman"/>
          <w:kern w:val="22"/>
          <w:shd w:val="clear" w:color="auto" w:fill="FFFFFF"/>
        </w:rPr>
        <w:instrText>ü</w:instrText>
      </w:r>
      <w:r w:rsidR="0041126B">
        <w:rPr>
          <w:rFonts w:ascii="Times New Roman"/>
          <w:kern w:val="22"/>
          <w:shd w:val="clear" w:color="auto" w:fill="FFFFFF"/>
        </w:rPr>
        <w:instrText>delsheim, 2020)"},"properties":{"noteIndex":0},"schema":"https://github.com/citation-style-language/schema/raw/master/csl-citation.json"}</w:instrText>
      </w:r>
      <w:r w:rsidR="0041126B">
        <w:rPr>
          <w:rFonts w:ascii="Times New Roman"/>
          <w:kern w:val="22"/>
          <w:shd w:val="clear" w:color="auto" w:fill="FFFFFF"/>
        </w:rPr>
        <w:fldChar w:fldCharType="separate"/>
      </w:r>
      <w:r w:rsidR="0041126B" w:rsidRPr="0041126B">
        <w:rPr>
          <w:rFonts w:ascii="Times New Roman"/>
          <w:noProof/>
          <w:kern w:val="22"/>
          <w:shd w:val="clear" w:color="auto" w:fill="FFFFFF"/>
        </w:rPr>
        <w:t>(Beeckman &amp; R</w:t>
      </w:r>
      <w:r w:rsidR="0041126B" w:rsidRPr="0041126B">
        <w:rPr>
          <w:rFonts w:ascii="Times New Roman"/>
          <w:noProof/>
          <w:kern w:val="22"/>
          <w:shd w:val="clear" w:color="auto" w:fill="FFFFFF"/>
        </w:rPr>
        <w:t>ü</w:t>
      </w:r>
      <w:r w:rsidR="0041126B" w:rsidRPr="0041126B">
        <w:rPr>
          <w:rFonts w:ascii="Times New Roman"/>
          <w:noProof/>
          <w:kern w:val="22"/>
          <w:shd w:val="clear" w:color="auto" w:fill="FFFFFF"/>
        </w:rPr>
        <w:t>delsheim, 2020)</w:t>
      </w:r>
      <w:r w:rsidR="0041126B">
        <w:rPr>
          <w:rFonts w:ascii="Times New Roman"/>
          <w:kern w:val="22"/>
          <w:shd w:val="clear" w:color="auto" w:fill="FFFFFF"/>
        </w:rPr>
        <w:fldChar w:fldCharType="end"/>
      </w:r>
      <w:r w:rsidRPr="007F4BAC">
        <w:rPr>
          <w:rFonts w:ascii="Times New Roman"/>
          <w:kern w:val="22"/>
          <w:shd w:val="clear" w:color="auto" w:fill="FFFFFF"/>
        </w:rPr>
        <w:t xml:space="preserve"> Given this focus, the Convention on Biological Diversity and its Cartagena Protocol </w:t>
      </w:r>
      <w:r w:rsidR="00082E3D">
        <w:rPr>
          <w:rFonts w:ascii="Times New Roman"/>
          <w:kern w:val="22"/>
          <w:shd w:val="clear" w:color="auto" w:fill="FFFFFF"/>
        </w:rPr>
        <w:t xml:space="preserve">on Biosafety </w:t>
      </w:r>
      <w:r w:rsidRPr="007F4BAC">
        <w:rPr>
          <w:rFonts w:ascii="Times New Roman"/>
          <w:kern w:val="22"/>
          <w:shd w:val="clear" w:color="auto" w:fill="FFFFFF"/>
        </w:rPr>
        <w:t xml:space="preserve">tend to feature as the primary lens through which the governance of synthetic biology applications and products are evaluated, with considerable attention on risk assessment and risk management principles associated with biosafety. Evaluation of other international laws, processes and initiatives tend to focus on governance overlaps associated with biodiversity conservation and use, biosafety and biosecurity, phytosanitary measures associated with plant and animal health in trade, and access and benefit sharing frameworks associated with access to genetic resources </w:t>
      </w:r>
      <w:r w:rsidR="0041126B">
        <w:rPr>
          <w:rFonts w:ascii="Times New Roman"/>
          <w:kern w:val="22"/>
          <w:shd w:val="clear" w:color="auto" w:fill="FFFFFF"/>
        </w:rPr>
        <w:fldChar w:fldCharType="begin" w:fldLock="1"/>
      </w:r>
      <w:r w:rsidR="008717D8">
        <w:rPr>
          <w:rFonts w:ascii="Times New Roman"/>
          <w:kern w:val="22"/>
          <w:shd w:val="clear" w:color="auto" w:fill="FFFFFF"/>
        </w:rPr>
        <w:instrText>ADDIN CSL_CITATION {"citationItems":[{"id":"ITEM-1","itemData":{"DOI":"10.3389/fbioe.2020.00650","ISSN":"22964185","abstract":"When biosafety for contained use is addressed in international fora and discussions, often the topic is limited to working with genetically modified organisms (GMOs) in facilities such as laboratories, animal facilities, and greenhouses. However, the scope of biosafety in containment encompasses many other types of biological materials, such as human, animal and plant pathogens, nucleic acids, proteins, human samples, animals or plants, or by-products thereof, and overlaps often with the topic of biosecurity. This is also reflected in the regulations that apply for activities with biological materials in contained facilities. The common denominator of these regulations is the focus on protection of people and environment, while applying the key principles of risk assessment and risk management. This review provides an overview of regulatory frameworks for biosafety and biosecurity in containment around the globe, as well as points out overlap with other regulatory frameworks, such as the Nagoya Protocol, or Plant and Animal Health regulations.","author":[{"dropping-particle":"","family":"Beeckman","given":"Delphine S A","non-dropping-particle":"","parse-names":false,"suffix":""},{"dropping-particle":"","family":"R</w:instrText>
      </w:r>
      <w:r w:rsidR="008717D8">
        <w:rPr>
          <w:rFonts w:ascii="Times New Roman"/>
          <w:kern w:val="22"/>
          <w:shd w:val="clear" w:color="auto" w:fill="FFFFFF"/>
        </w:rPr>
        <w:instrText>ü</w:instrText>
      </w:r>
      <w:r w:rsidR="008717D8">
        <w:rPr>
          <w:rFonts w:ascii="Times New Roman"/>
          <w:kern w:val="22"/>
          <w:shd w:val="clear" w:color="auto" w:fill="FFFFFF"/>
        </w:rPr>
        <w:instrText xml:space="preserve">delsheim","given":"Patrick","non-dropping-particle":"","parse-names":false,"suffix":""}],"container-title":"Frontiers in Bioengineering and Biotechnology","id":"ITEM-1","issued":{"date-parts":[["2020"]]},"publisher":"Frontiers Media S.A.","title":"Biosafety and Biosecurity in Containment: A Regulatory Overview","type":"article-journal","volume":"8"},"uris":["http://www.mendeley.com/documents/?uuid=cff96b8e-78be-4d43-a0c9-b3dbe7618e1c"]},{"id":"ITEM-2","itemData":{"DOI":"10.3389/fbioe.2020.00310","ISSN":"22964185","abstract":"The primary international forum deliberating the regulation of </w:instrText>
      </w:r>
      <w:r w:rsidR="008717D8">
        <w:rPr>
          <w:rFonts w:ascii="Times New Roman"/>
          <w:kern w:val="22"/>
          <w:shd w:val="clear" w:color="auto" w:fill="FFFFFF"/>
        </w:rPr>
        <w:instrText>“</w:instrText>
      </w:r>
      <w:r w:rsidR="008717D8">
        <w:rPr>
          <w:rFonts w:ascii="Times New Roman"/>
          <w:kern w:val="22"/>
          <w:shd w:val="clear" w:color="auto" w:fill="FFFFFF"/>
        </w:rPr>
        <w:instrText>synthetic biology</w:instrText>
      </w:r>
      <w:r w:rsidR="008717D8">
        <w:rPr>
          <w:rFonts w:ascii="Times New Roman"/>
          <w:kern w:val="22"/>
          <w:shd w:val="clear" w:color="auto" w:fill="FFFFFF"/>
        </w:rPr>
        <w:instrText>”</w:instrText>
      </w:r>
      <w:r w:rsidR="008717D8">
        <w:rPr>
          <w:rFonts w:ascii="Times New Roman"/>
          <w:kern w:val="22"/>
          <w:shd w:val="clear" w:color="auto" w:fill="FFFFFF"/>
        </w:rPr>
        <w:instrText xml:space="preserve"> is the Convention on Biological Diversity (CBD), along with its subsidiary agreements concerned with the biosafety of living modified organisms (LMOs; Cartagena Protocol on Biosafety to the CBD), and access and benefit sharing in relation to genetic resources (Nagoya Protocol to the CBD). This discussion has been underway for almost 10 years under the CBD agenda items of </w:instrText>
      </w:r>
      <w:r w:rsidR="008717D8">
        <w:rPr>
          <w:rFonts w:ascii="Times New Roman"/>
          <w:kern w:val="22"/>
          <w:shd w:val="clear" w:color="auto" w:fill="FFFFFF"/>
        </w:rPr>
        <w:instrText>“</w:instrText>
      </w:r>
      <w:r w:rsidR="008717D8">
        <w:rPr>
          <w:rFonts w:ascii="Times New Roman"/>
          <w:kern w:val="22"/>
          <w:shd w:val="clear" w:color="auto" w:fill="FFFFFF"/>
        </w:rPr>
        <w:instrText>synthetic biology</w:instrText>
      </w:r>
      <w:r w:rsidR="008717D8">
        <w:rPr>
          <w:rFonts w:ascii="Times New Roman"/>
          <w:kern w:val="22"/>
          <w:shd w:val="clear" w:color="auto" w:fill="FFFFFF"/>
        </w:rPr>
        <w:instrText>”</w:instrText>
      </w:r>
      <w:r w:rsidR="008717D8">
        <w:rPr>
          <w:rFonts w:ascii="Times New Roman"/>
          <w:kern w:val="22"/>
          <w:shd w:val="clear" w:color="auto" w:fill="FFFFFF"/>
        </w:rPr>
        <w:instrText xml:space="preserve"> and </w:instrText>
      </w:r>
      <w:r w:rsidR="008717D8">
        <w:rPr>
          <w:rFonts w:ascii="Times New Roman"/>
          <w:kern w:val="22"/>
          <w:shd w:val="clear" w:color="auto" w:fill="FFFFFF"/>
        </w:rPr>
        <w:instrText>“</w:instrText>
      </w:r>
      <w:r w:rsidR="008717D8">
        <w:rPr>
          <w:rFonts w:ascii="Times New Roman"/>
          <w:kern w:val="22"/>
          <w:shd w:val="clear" w:color="auto" w:fill="FFFFFF"/>
        </w:rPr>
        <w:instrText>new and emerging issues relating to the conservation and sustainable use of biological diversity,</w:instrText>
      </w:r>
      <w:r w:rsidR="008717D8">
        <w:rPr>
          <w:rFonts w:ascii="Times New Roman"/>
          <w:kern w:val="22"/>
          <w:shd w:val="clear" w:color="auto" w:fill="FFFFFF"/>
        </w:rPr>
        <w:instrText>”</w:instrText>
      </w:r>
      <w:r w:rsidR="008717D8">
        <w:rPr>
          <w:rFonts w:ascii="Times New Roman"/>
          <w:kern w:val="22"/>
          <w:shd w:val="clear" w:color="auto" w:fill="FFFFFF"/>
        </w:rPr>
        <w:instrText xml:space="preserve"> and more recently within the scope of Cartagena Protocol topics including risk assessment and risk management, and </w:instrText>
      </w:r>
      <w:r w:rsidR="008717D8">
        <w:rPr>
          <w:rFonts w:ascii="Times New Roman"/>
          <w:kern w:val="22"/>
          <w:shd w:val="clear" w:color="auto" w:fill="FFFFFF"/>
        </w:rPr>
        <w:instrText>“</w:instrText>
      </w:r>
      <w:r w:rsidR="008717D8">
        <w:rPr>
          <w:rFonts w:ascii="Times New Roman"/>
          <w:kern w:val="22"/>
          <w:shd w:val="clear" w:color="auto" w:fill="FFFFFF"/>
        </w:rPr>
        <w:instrText>digital sequence information</w:instrText>
      </w:r>
      <w:r w:rsidR="008717D8">
        <w:rPr>
          <w:rFonts w:ascii="Times New Roman"/>
          <w:kern w:val="22"/>
          <w:shd w:val="clear" w:color="auto" w:fill="FFFFFF"/>
        </w:rPr>
        <w:instrText>”</w:instrText>
      </w:r>
      <w:r w:rsidR="008717D8">
        <w:rPr>
          <w:rFonts w:ascii="Times New Roman"/>
          <w:kern w:val="22"/>
          <w:shd w:val="clear" w:color="auto" w:fill="FFFFFF"/>
        </w:rPr>
        <w:instrText xml:space="preserve"> jointly with the Nagoya Protocol. There is no internationally accepted definition of </w:instrText>
      </w:r>
      <w:r w:rsidR="008717D8">
        <w:rPr>
          <w:rFonts w:ascii="Times New Roman"/>
          <w:kern w:val="22"/>
          <w:shd w:val="clear" w:color="auto" w:fill="FFFFFF"/>
        </w:rPr>
        <w:instrText>“</w:instrText>
      </w:r>
      <w:r w:rsidR="008717D8">
        <w:rPr>
          <w:rFonts w:ascii="Times New Roman"/>
          <w:kern w:val="22"/>
          <w:shd w:val="clear" w:color="auto" w:fill="FFFFFF"/>
        </w:rPr>
        <w:instrText>synthetic biology,</w:instrText>
      </w:r>
      <w:r w:rsidR="008717D8">
        <w:rPr>
          <w:rFonts w:ascii="Times New Roman"/>
          <w:kern w:val="22"/>
          <w:shd w:val="clear" w:color="auto" w:fill="FFFFFF"/>
        </w:rPr>
        <w:instrText>”</w:instrText>
      </w:r>
      <w:r w:rsidR="008717D8">
        <w:rPr>
          <w:rFonts w:ascii="Times New Roman"/>
          <w:kern w:val="22"/>
          <w:shd w:val="clear" w:color="auto" w:fill="FFFFFF"/>
        </w:rPr>
        <w:instrText xml:space="preserve"> with it used as an umbrella term in this forum to capture </w:instrText>
      </w:r>
      <w:r w:rsidR="008717D8">
        <w:rPr>
          <w:rFonts w:ascii="Times New Roman"/>
          <w:kern w:val="22"/>
          <w:shd w:val="clear" w:color="auto" w:fill="FFFFFF"/>
        </w:rPr>
        <w:instrText>“</w:instrText>
      </w:r>
      <w:r w:rsidR="008717D8">
        <w:rPr>
          <w:rFonts w:ascii="Times New Roman"/>
          <w:kern w:val="22"/>
          <w:shd w:val="clear" w:color="auto" w:fill="FFFFFF"/>
        </w:rPr>
        <w:instrText>new</w:instrText>
      </w:r>
      <w:r w:rsidR="008717D8">
        <w:rPr>
          <w:rFonts w:ascii="Times New Roman"/>
          <w:kern w:val="22"/>
          <w:shd w:val="clear" w:color="auto" w:fill="FFFFFF"/>
        </w:rPr>
        <w:instrText>”</w:instrText>
      </w:r>
      <w:r w:rsidR="008717D8">
        <w:rPr>
          <w:rFonts w:ascii="Times New Roman"/>
          <w:kern w:val="22"/>
          <w:shd w:val="clear" w:color="auto" w:fill="FFFFFF"/>
        </w:rPr>
        <w:instrText xml:space="preserve"> biotechnologies and </w:instrText>
      </w:r>
      <w:r w:rsidR="008717D8">
        <w:rPr>
          <w:rFonts w:ascii="Times New Roman"/>
          <w:kern w:val="22"/>
          <w:shd w:val="clear" w:color="auto" w:fill="FFFFFF"/>
        </w:rPr>
        <w:instrText>“</w:instrText>
      </w:r>
      <w:r w:rsidR="008717D8">
        <w:rPr>
          <w:rFonts w:ascii="Times New Roman"/>
          <w:kern w:val="22"/>
          <w:shd w:val="clear" w:color="auto" w:fill="FFFFFF"/>
        </w:rPr>
        <w:instrText>new</w:instrText>
      </w:r>
      <w:r w:rsidR="008717D8">
        <w:rPr>
          <w:rFonts w:ascii="Times New Roman"/>
          <w:kern w:val="22"/>
          <w:shd w:val="clear" w:color="auto" w:fill="FFFFFF"/>
        </w:rPr>
        <w:instrText>”</w:instrText>
      </w:r>
      <w:r w:rsidR="008717D8">
        <w:rPr>
          <w:rFonts w:ascii="Times New Roman"/>
          <w:kern w:val="22"/>
          <w:shd w:val="clear" w:color="auto" w:fill="FFFFFF"/>
        </w:rPr>
        <w:instrText xml:space="preserve"> applications of established biotechnologies, whether actual or conceptual. The CBD debates are characterized by polarized views on the adequacy of existing regulatory mechanisms for </w:instrText>
      </w:r>
      <w:r w:rsidR="008717D8">
        <w:rPr>
          <w:rFonts w:ascii="Times New Roman"/>
          <w:kern w:val="22"/>
          <w:shd w:val="clear" w:color="auto" w:fill="FFFFFF"/>
        </w:rPr>
        <w:instrText>“</w:instrText>
      </w:r>
      <w:r w:rsidR="008717D8">
        <w:rPr>
          <w:rFonts w:ascii="Times New Roman"/>
          <w:kern w:val="22"/>
          <w:shd w:val="clear" w:color="auto" w:fill="FFFFFF"/>
        </w:rPr>
        <w:instrText>new</w:instrText>
      </w:r>
      <w:r w:rsidR="008717D8">
        <w:rPr>
          <w:rFonts w:ascii="Times New Roman"/>
          <w:kern w:val="22"/>
          <w:shd w:val="clear" w:color="auto" w:fill="FFFFFF"/>
        </w:rPr>
        <w:instrText>”</w:instrText>
      </w:r>
      <w:r w:rsidR="008717D8">
        <w:rPr>
          <w:rFonts w:ascii="Times New Roman"/>
          <w:kern w:val="22"/>
          <w:shd w:val="clear" w:color="auto" w:fill="FFFFFF"/>
        </w:rPr>
        <w:instrText xml:space="preserve"> types of LMOs, including the scope of the current regulatory frameworks, and procedures and tools for risk assessment and risk mitigation and/or management. This paper provides an overview of international developments in biotechnology regulation, including the application of the Cartagena Protocol and relevant policy developments, and reviews the development of the synthetic biology debate under the CBD and its Protocols, including the major issues expected in the lead up to and during the 2020 Biodiversity Conference.","author":[{"dropping-particle":"","family":"Keiper","given":"Felicity","non-dropping-particle":"","parse-names":false,"suffix":""},{"dropping-particle":"","family":"Atanassova","given":"Ana","non-dropping-particle":"","parse-names":false,"suffix":""}],"container-title":"Frontiers in Bioengineering and Biotechnology","id":"ITEM-2","issued":{"date-parts":[["2020","4"]]},"publisher":"Frontiers Media S.A.","title":"Regulation of Synthetic Biology: Developments Under the Convention on Biological Diversity and Its Protocols","type":"article","volume":"8"},"uris":["http://www.mendeley.com/documents/?uuid=23393071-c58e-4e1d-9c5d-5c2f47ddcef4"]},{"id":"ITEM-3","itemData":{"DOI":"10.15252/msb.20209723","ISSN":"1744-4292","PMID":"32692486","abstract":"The fast-paced field of synthetic biology is fundamentally changing the global biosecurity framework. Current biosecurity regulations and strategies are based on previous governance paradigms for pathogen-oriented security, recombinant DNA research, and broader concerns related to genetically modified organisms (GMOs). Many scholarly discussions and biosecurity practitioners are therefore concerned that synthetic biology outpaces established biosafety and biosecurity measures to prevent deliberate and malicious or inadvertent and accidental misuse of synthetic biology's processes or products. This commentary proposes three strategies to improve biosecurity: Security must be treated as an investment in the future applicability of the technology; social scientists and policy makers should be engaged early in technology development and forecasting; and coordination among global stakeholders is necessary to ensure acceptable levels of risk.","author":[{"dropping-particle":"","family":"Trump","given":"Benjamin D","non-dropping-particle":"","parse-names":false,"suffix":""},{"dropping-particle":"","family":"Galaitsi","given":"S E","non-dropping-particle":"","parse-names":false,"suffix":""},{"dropping-particle":"","family":"Appleton","given":"Evan","non-dropping-particle":"","parse-names":false,"suffix":""},{"dropping-particle":"","family":"Bleijs","given":"Diederik A","non-dropping-particle":"","parse-names":false,"suffix":""},{"dropping-particle":"","family":"Florin","given":"Marie</w:instrText>
      </w:r>
      <w:r w:rsidR="008717D8">
        <w:rPr>
          <w:rFonts w:ascii="Times New Roman"/>
          <w:kern w:val="22"/>
          <w:shd w:val="clear" w:color="auto" w:fill="FFFFFF"/>
        </w:rPr>
        <w:instrText>‐</w:instrText>
      </w:r>
      <w:r w:rsidR="008717D8">
        <w:rPr>
          <w:rFonts w:ascii="Times New Roman"/>
          <w:kern w:val="22"/>
          <w:shd w:val="clear" w:color="auto" w:fill="FFFFFF"/>
        </w:rPr>
        <w:instrText>Valentine","non-dropping-particle":"","parse-names":false,"suffix":""},{"dropping-particle":"","family":"Gollihar","given":"Jimmy D","non-dropping-particle":"","parse-names":false,"suffix":""},{"dropping-particle":"","family":"Hamilton","given":"R Alexander","non-dropping-particle":"","parse-names":false,"suffix":""},{"dropping-particle":"","family":"Kuiken","given":"Todd","non-dropping-particle":"","parse-names":false,"suffix":""},{"dropping-particle":"","family":"Lentzos","given":"Filippa","non-dropping-particle":"","parse-names":false,"suffix":""},{"dropping-particle":"","family":"Mampuys","given":"Ruth","non-dropping-particle":"","parse-names":false,"suffix":""},{"dropping-particle":"","family":"Merad","given":"Myriam","non-dropping-particle":"","parse-names":false,"suffix":""},{"dropping-particle":"","family":"Novossiolova","given":"Tatyana","non-dropping-particle":"","parse-names":false,"suffix":""},{"dropping-particle":"","family":"Oye","given":"Kenneth","non-dropping-particle":"","parse-names":false,"suffix":""},{"dropping-particle":"","family":"Perkins","given":"Edward","non-dropping-particle":"","parse-names":false,"suffix":""},{"dropping-particle":"","family":"Garcia</w:instrText>
      </w:r>
      <w:r w:rsidR="008717D8">
        <w:rPr>
          <w:rFonts w:ascii="Times New Roman"/>
          <w:kern w:val="22"/>
          <w:shd w:val="clear" w:color="auto" w:fill="FFFFFF"/>
        </w:rPr>
        <w:instrText>‐</w:instrText>
      </w:r>
      <w:r w:rsidR="008717D8">
        <w:rPr>
          <w:rFonts w:ascii="Times New Roman"/>
          <w:kern w:val="22"/>
          <w:shd w:val="clear" w:color="auto" w:fill="FFFFFF"/>
        </w:rPr>
        <w:instrText>Reyero","given":"Nat</w:instrText>
      </w:r>
      <w:r w:rsidR="008717D8">
        <w:rPr>
          <w:rFonts w:ascii="Times New Roman"/>
          <w:kern w:val="22"/>
          <w:shd w:val="clear" w:color="auto" w:fill="FFFFFF"/>
        </w:rPr>
        <w:instrText>à</w:instrText>
      </w:r>
      <w:r w:rsidR="008717D8">
        <w:rPr>
          <w:rFonts w:ascii="Times New Roman"/>
          <w:kern w:val="22"/>
          <w:shd w:val="clear" w:color="auto" w:fill="FFFFFF"/>
        </w:rPr>
        <w:instrText>lia","non-dropping-particle":"","parse-names":false,"suffix":""},{"dropping-particle":"","family":"Rhodes","given":"Catherine","non-dropping-particle":"","parse-names":false,"suffix":""},{"dropping-particle":"","family":"Linkov","given":"Igor","non-dropping-particle":"","parse-names":false,"suffix":""}],"container-title":"Molecular Systems Biology","id":"ITEM-3","issue":"7","issued":{"date-parts":[["2020"]]},"publisher":"EMBO","title":"Building biosecurity for synthetic biology","type":"article-journal","volume":"16"},"uris":["http://www.mendeley.com/documents/?uuid=3f172197-6f26-4b29-9b76-17edd3870236"]},{"id":"ITEM-4","itemData":{"DOI":"10.1016/j.tibtech.2019.05.011","ISSN":"01677799","author":[{"dropping-particle":"","family":"Lai","given":"Hung-En","non-dropping-particle":"","parse-names":false,"suffix":""},{"dropping-particle":"","family":"Canavan","given":"Caoimhe","non-dropping-particle":"","parse-names":false,"suffix":""},{"dropping-particle":"","family":</w:instrText>
      </w:r>
      <w:r w:rsidR="008717D8" w:rsidRPr="00F8168D">
        <w:rPr>
          <w:rFonts w:ascii="Times New Roman"/>
          <w:kern w:val="22"/>
          <w:shd w:val="clear" w:color="auto" w:fill="FFFFFF"/>
          <w:lang w:val="fr-CA"/>
        </w:rPr>
        <w:instrText>"Cameron","given":"Loren","non-dropping-particle":"","parse-names":false,"suffix":""},{"dropping-particle":"","family":"Moore","given":"Simon","non-dropping-particle":"","parse-names":false,"suffix":""},{"dropping-particle":"","family":"Danchenko","given":"Monika","non-dropping-particle":"","parse-names":false,"suffix":""},{"dropping-particle":"","family":"Kuiken","given":"Todd","non-dropping-particle":"","parse-names":false,"suffix":""},{"dropping-particle":"","family":"Sekeyov</w:instrText>
      </w:r>
      <w:r w:rsidR="008717D8" w:rsidRPr="00F8168D">
        <w:rPr>
          <w:rFonts w:ascii="Times New Roman"/>
          <w:kern w:val="22"/>
          <w:shd w:val="clear" w:color="auto" w:fill="FFFFFF"/>
          <w:lang w:val="fr-CA"/>
        </w:rPr>
        <w:instrText>á</w:instrText>
      </w:r>
      <w:r w:rsidR="008717D8" w:rsidRPr="00F8168D">
        <w:rPr>
          <w:rFonts w:ascii="Times New Roman"/>
          <w:kern w:val="22"/>
          <w:shd w:val="clear" w:color="auto" w:fill="FFFFFF"/>
          <w:lang w:val="fr-CA"/>
        </w:rPr>
        <w:instrText>","given":"Zuzana","non-dropping-particle":"","parse-names":false,"suffix":""},{"dropping-particle":"","family":"Freemont","given":"Paul S.","non-dropping-particle":"","parse-names":false,"suffix":""}],"container-title":"Trends in Biotechnology","id":"ITEM-4","issue":"11","issued":{"date-parts":[["2019","11"]]},"page":"1146-1151","title":"Synthetic Biology and the United Nations","type":"article-journal","volume":"37"},"uris":["http://www.mendeley.com/documents/?uuid=fbab5907-b459-4adb-a53e-0a7fff56fb94"]}],"mendeley":{"formattedCitation":"(Beeckman &amp; R</w:instrText>
      </w:r>
      <w:r w:rsidR="008717D8" w:rsidRPr="00F8168D">
        <w:rPr>
          <w:rFonts w:ascii="Times New Roman"/>
          <w:kern w:val="22"/>
          <w:shd w:val="clear" w:color="auto" w:fill="FFFFFF"/>
          <w:lang w:val="fr-CA"/>
        </w:rPr>
        <w:instrText>ü</w:instrText>
      </w:r>
      <w:r w:rsidR="008717D8" w:rsidRPr="00F8168D">
        <w:rPr>
          <w:rFonts w:ascii="Times New Roman"/>
          <w:kern w:val="22"/>
          <w:shd w:val="clear" w:color="auto" w:fill="FFFFFF"/>
          <w:lang w:val="fr-CA"/>
        </w:rPr>
        <w:instrText>delsheim, 2020; Keiper &amp; Atanassova, 2020; Lai et al., 2019; Trump et al., 2020)","plainTextFormattedCitation":"(Beeckman &amp; R</w:instrText>
      </w:r>
      <w:r w:rsidR="008717D8" w:rsidRPr="00F8168D">
        <w:rPr>
          <w:rFonts w:ascii="Times New Roman"/>
          <w:kern w:val="22"/>
          <w:shd w:val="clear" w:color="auto" w:fill="FFFFFF"/>
          <w:lang w:val="fr-CA"/>
        </w:rPr>
        <w:instrText>ü</w:instrText>
      </w:r>
      <w:r w:rsidR="008717D8" w:rsidRPr="00F8168D">
        <w:rPr>
          <w:rFonts w:ascii="Times New Roman"/>
          <w:kern w:val="22"/>
          <w:shd w:val="clear" w:color="auto" w:fill="FFFFFF"/>
          <w:lang w:val="fr-CA"/>
        </w:rPr>
        <w:instrText>delsheim, 2020; Keiper &amp; Atanassova, 2020; Lai et al., 2019; Trump et al., 2020)","previouslyFormattedCitation":"(Beeckman &amp; R</w:instrText>
      </w:r>
      <w:r w:rsidR="008717D8" w:rsidRPr="00F8168D">
        <w:rPr>
          <w:rFonts w:ascii="Times New Roman"/>
          <w:kern w:val="22"/>
          <w:shd w:val="clear" w:color="auto" w:fill="FFFFFF"/>
          <w:lang w:val="fr-CA"/>
        </w:rPr>
        <w:instrText>ü</w:instrText>
      </w:r>
      <w:r w:rsidR="008717D8" w:rsidRPr="00F8168D">
        <w:rPr>
          <w:rFonts w:ascii="Times New Roman"/>
          <w:kern w:val="22"/>
          <w:shd w:val="clear" w:color="auto" w:fill="FFFFFF"/>
          <w:lang w:val="fr-CA"/>
        </w:rPr>
        <w:instrText>delsheim, 2020; Keiper &amp; Atanassova, 2020; Lai et al., 2019; Trump et al., 2020)"},"properties":{"noteIndex":0},"schema":"https://github.com/citation-style-language/schema/raw/master/csl-citation.json"}</w:instrText>
      </w:r>
      <w:r w:rsidR="0041126B">
        <w:rPr>
          <w:rFonts w:ascii="Times New Roman"/>
          <w:kern w:val="22"/>
          <w:shd w:val="clear" w:color="auto" w:fill="FFFFFF"/>
        </w:rPr>
        <w:fldChar w:fldCharType="separate"/>
      </w:r>
      <w:r w:rsidR="0041126B" w:rsidRPr="0041126B">
        <w:rPr>
          <w:rFonts w:ascii="Times New Roman"/>
          <w:noProof/>
          <w:kern w:val="22"/>
          <w:shd w:val="clear" w:color="auto" w:fill="FFFFFF"/>
          <w:lang w:val="fr-CA"/>
        </w:rPr>
        <w:t>(Beeckman &amp; R</w:t>
      </w:r>
      <w:r w:rsidR="0041126B" w:rsidRPr="0041126B">
        <w:rPr>
          <w:rFonts w:ascii="Times New Roman"/>
          <w:noProof/>
          <w:kern w:val="22"/>
          <w:shd w:val="clear" w:color="auto" w:fill="FFFFFF"/>
          <w:lang w:val="fr-CA"/>
        </w:rPr>
        <w:t>ü</w:t>
      </w:r>
      <w:r w:rsidR="0041126B" w:rsidRPr="0041126B">
        <w:rPr>
          <w:rFonts w:ascii="Times New Roman"/>
          <w:noProof/>
          <w:kern w:val="22"/>
          <w:shd w:val="clear" w:color="auto" w:fill="FFFFFF"/>
          <w:lang w:val="fr-CA"/>
        </w:rPr>
        <w:t>delsheim, 2020; Keiper &amp; Atanassova, 2020; Lai et al., 2019; Trump et al., 2020)</w:t>
      </w:r>
      <w:r w:rsidR="0041126B">
        <w:rPr>
          <w:rFonts w:ascii="Times New Roman"/>
          <w:kern w:val="22"/>
          <w:shd w:val="clear" w:color="auto" w:fill="FFFFFF"/>
        </w:rPr>
        <w:fldChar w:fldCharType="end"/>
      </w:r>
      <w:r w:rsidRPr="0041126B">
        <w:rPr>
          <w:rFonts w:ascii="Times New Roman"/>
          <w:kern w:val="22"/>
          <w:shd w:val="clear" w:color="auto" w:fill="FFFFFF"/>
          <w:lang w:val="fr-CA"/>
        </w:rPr>
        <w:t xml:space="preserve">. </w:t>
      </w:r>
      <w:r w:rsidRPr="007F4BAC">
        <w:rPr>
          <w:rFonts w:ascii="Times New Roman"/>
          <w:kern w:val="22"/>
          <w:shd w:val="clear" w:color="auto" w:fill="FFFFFF"/>
        </w:rPr>
        <w:t>Limited analysis is available concerning potential gaps in international governance. Additionally, this update prioriti</w:t>
      </w:r>
      <w:r w:rsidR="006A3D0D">
        <w:rPr>
          <w:rFonts w:ascii="Times New Roman"/>
          <w:kern w:val="22"/>
          <w:shd w:val="clear" w:color="auto" w:fill="FFFFFF"/>
        </w:rPr>
        <w:t>s</w:t>
      </w:r>
      <w:r w:rsidRPr="007F4BAC">
        <w:rPr>
          <w:rFonts w:ascii="Times New Roman"/>
          <w:kern w:val="22"/>
          <w:shd w:val="clear" w:color="auto" w:fill="FFFFFF"/>
        </w:rPr>
        <w:t>es coverage of initiatives or organisations that are engaged in discussions on synthetic biology or which have programmes of work which consider aspects related to synthetic biology. However, as acknowledged in the scope and limitations noted in section B, this Section cannot be construed as an exhaustive coverage of international laws, processes and initiatives which have potential implications for the governance of synthetic biology.</w:t>
      </w:r>
    </w:p>
    <w:p w14:paraId="51454241" w14:textId="77777777" w:rsidR="007F4BAC" w:rsidRPr="007C2E11" w:rsidRDefault="007F4BAC" w:rsidP="0021699C">
      <w:pPr>
        <w:spacing w:after="120" w:line="240" w:lineRule="auto"/>
        <w:jc w:val="both"/>
        <w:rPr>
          <w:rFonts w:ascii="Times New Roman"/>
          <w:kern w:val="22"/>
          <w:shd w:val="clear" w:color="auto" w:fill="FFFFFF"/>
        </w:rPr>
      </w:pPr>
    </w:p>
    <w:p w14:paraId="5CC1E5EC" w14:textId="4A86831C" w:rsidR="008D58E6" w:rsidRPr="00845E3A" w:rsidRDefault="008D58E6" w:rsidP="008D58E6">
      <w:pPr>
        <w:spacing w:after="60" w:line="240" w:lineRule="auto"/>
        <w:jc w:val="both"/>
        <w:rPr>
          <w:rFonts w:ascii="Times New Roman" w:eastAsia="SimSun" w:hAnsi="Times New Roman"/>
          <w:b/>
          <w:bCs/>
          <w:color w:val="000000" w:themeColor="text1"/>
          <w:sz w:val="20"/>
          <w:szCs w:val="20"/>
          <w:lang w:eastAsia="hi-IN" w:bidi="hi-IN"/>
        </w:rPr>
      </w:pPr>
      <w:r w:rsidRPr="00845E3A">
        <w:rPr>
          <w:rFonts w:ascii="Times New Roman" w:eastAsia="SimSun" w:hAnsi="Times New Roman"/>
          <w:b/>
          <w:bCs/>
          <w:color w:val="000000" w:themeColor="text1"/>
          <w:sz w:val="20"/>
          <w:szCs w:val="20"/>
          <w:lang w:eastAsia="hi-IN" w:bidi="hi-IN"/>
        </w:rPr>
        <w:t xml:space="preserve">Table </w:t>
      </w:r>
      <w:r w:rsidR="00A852C9" w:rsidRPr="00396AB7">
        <w:rPr>
          <w:rFonts w:ascii="Times New Roman" w:eastAsia="SimSun" w:hAnsi="Times New Roman"/>
          <w:b/>
          <w:bCs/>
          <w:color w:val="000000" w:themeColor="text1"/>
          <w:sz w:val="20"/>
          <w:szCs w:val="20"/>
          <w:lang w:eastAsia="hi-IN" w:bidi="hi-IN"/>
        </w:rPr>
        <w:t>2</w:t>
      </w:r>
      <w:r w:rsidRPr="00396AB7">
        <w:rPr>
          <w:rFonts w:ascii="Times New Roman" w:eastAsia="SimSun" w:hAnsi="Times New Roman"/>
          <w:b/>
          <w:bCs/>
          <w:color w:val="000000" w:themeColor="text1"/>
          <w:sz w:val="20"/>
          <w:szCs w:val="20"/>
          <w:lang w:eastAsia="hi-IN" w:bidi="hi-IN"/>
        </w:rPr>
        <w:t>.</w:t>
      </w:r>
      <w:r w:rsidRPr="00845E3A">
        <w:rPr>
          <w:rFonts w:ascii="Times New Roman" w:eastAsia="SimSun" w:hAnsi="Times New Roman"/>
          <w:b/>
          <w:bCs/>
          <w:color w:val="000000" w:themeColor="text1"/>
          <w:sz w:val="20"/>
          <w:szCs w:val="20"/>
          <w:lang w:eastAsia="hi-IN" w:bidi="hi-IN"/>
        </w:rPr>
        <w:t xml:space="preserve"> </w:t>
      </w:r>
      <w:r w:rsidR="00302284">
        <w:rPr>
          <w:rFonts w:ascii="Times New Roman" w:eastAsia="SimSun" w:hAnsi="Times New Roman"/>
          <w:b/>
          <w:bCs/>
          <w:color w:val="000000" w:themeColor="text1"/>
          <w:sz w:val="20"/>
          <w:szCs w:val="20"/>
          <w:lang w:eastAsia="hi-IN" w:bidi="hi-IN"/>
        </w:rPr>
        <w:t xml:space="preserve"> </w:t>
      </w:r>
      <w:r w:rsidRPr="00845E3A">
        <w:rPr>
          <w:rFonts w:ascii="Times New Roman" w:eastAsia="SimSun" w:hAnsi="Times New Roman"/>
          <w:b/>
          <w:bCs/>
          <w:color w:val="000000" w:themeColor="text1"/>
          <w:sz w:val="20"/>
          <w:szCs w:val="20"/>
          <w:lang w:eastAsia="hi-IN" w:bidi="hi-IN"/>
        </w:rPr>
        <w:t xml:space="preserve">International </w:t>
      </w:r>
      <w:r w:rsidR="6CDE23F6" w:rsidRPr="02070ECD">
        <w:rPr>
          <w:rFonts w:ascii="Times New Roman" w:eastAsia="SimSun" w:hAnsi="Times New Roman"/>
          <w:b/>
          <w:bCs/>
          <w:color w:val="000000" w:themeColor="text1"/>
          <w:sz w:val="20"/>
          <w:szCs w:val="20"/>
          <w:lang w:eastAsia="hi-IN" w:bidi="hi-IN"/>
        </w:rPr>
        <w:t>rules</w:t>
      </w:r>
      <w:r w:rsidRPr="02070ECD">
        <w:rPr>
          <w:rFonts w:ascii="Times New Roman" w:eastAsia="SimSun" w:hAnsi="Times New Roman"/>
          <w:b/>
          <w:bCs/>
          <w:color w:val="000000" w:themeColor="text1"/>
          <w:sz w:val="20"/>
          <w:szCs w:val="20"/>
          <w:lang w:eastAsia="hi-IN" w:bidi="hi-IN"/>
        </w:rPr>
        <w:t xml:space="preserve">, </w:t>
      </w:r>
      <w:r w:rsidR="1DCDDF10" w:rsidRPr="02070ECD">
        <w:rPr>
          <w:rFonts w:ascii="Times New Roman" w:eastAsia="SimSun" w:hAnsi="Times New Roman"/>
          <w:b/>
          <w:bCs/>
          <w:color w:val="000000" w:themeColor="text1"/>
          <w:sz w:val="20"/>
          <w:szCs w:val="20"/>
          <w:lang w:eastAsia="hi-IN" w:bidi="hi-IN"/>
        </w:rPr>
        <w:t>regulatory practices</w:t>
      </w:r>
      <w:r w:rsidRPr="00845E3A">
        <w:rPr>
          <w:rFonts w:ascii="Times New Roman" w:eastAsia="SimSun" w:hAnsi="Times New Roman"/>
          <w:b/>
          <w:bCs/>
          <w:color w:val="000000" w:themeColor="text1"/>
          <w:sz w:val="20"/>
          <w:szCs w:val="20"/>
          <w:lang w:eastAsia="hi-IN" w:bidi="hi-IN"/>
        </w:rPr>
        <w:t xml:space="preserve">, processes, and initiatives with potential implications on the governance of synthetic biology </w:t>
      </w:r>
      <w:r w:rsidR="00F61B33">
        <w:rPr>
          <w:rFonts w:ascii="Times New Roman" w:eastAsia="SimSun" w:hAnsi="Times New Roman"/>
          <w:b/>
          <w:bCs/>
          <w:color w:val="000000" w:themeColor="text1"/>
          <w:sz w:val="20"/>
          <w:szCs w:val="20"/>
          <w:lang w:eastAsia="hi-IN" w:bidi="hi-IN"/>
        </w:rPr>
        <w:t>related to the work of the CBD</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8"/>
        <w:gridCol w:w="1317"/>
        <w:gridCol w:w="1183"/>
        <w:gridCol w:w="790"/>
        <w:gridCol w:w="1390"/>
      </w:tblGrid>
      <w:tr w:rsidR="000A57B4" w:rsidRPr="00845E3A" w14:paraId="68CA62C7" w14:textId="77777777" w:rsidTr="004F655C">
        <w:tc>
          <w:tcPr>
            <w:tcW w:w="4638" w:type="dxa"/>
          </w:tcPr>
          <w:p w14:paraId="7305010C" w14:textId="6B536302"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b/>
                <w:bCs/>
                <w:color w:val="000000" w:themeColor="text1"/>
                <w:sz w:val="20"/>
                <w:szCs w:val="20"/>
                <w:lang w:eastAsia="hi-IN" w:bidi="hi-IN"/>
              </w:rPr>
              <w:t xml:space="preserve">International </w:t>
            </w:r>
            <w:r w:rsidR="1B96D1B3" w:rsidRPr="232D0DA1">
              <w:rPr>
                <w:rFonts w:ascii="Times New Roman" w:eastAsia="SimSun" w:hAnsi="Times New Roman"/>
                <w:b/>
                <w:bCs/>
                <w:color w:val="000000" w:themeColor="text1"/>
                <w:sz w:val="20"/>
                <w:szCs w:val="20"/>
                <w:lang w:eastAsia="hi-IN" w:bidi="hi-IN"/>
              </w:rPr>
              <w:t>rules</w:t>
            </w:r>
            <w:r w:rsidRPr="00845E3A">
              <w:rPr>
                <w:rFonts w:ascii="Times New Roman" w:eastAsia="SimSun" w:hAnsi="Times New Roman"/>
                <w:b/>
                <w:bCs/>
                <w:color w:val="000000" w:themeColor="text1"/>
                <w:sz w:val="20"/>
                <w:szCs w:val="20"/>
                <w:lang w:eastAsia="hi-IN" w:bidi="hi-IN"/>
              </w:rPr>
              <w:t>, processes, and initiatives</w:t>
            </w:r>
          </w:p>
        </w:tc>
        <w:tc>
          <w:tcPr>
            <w:tcW w:w="1317" w:type="dxa"/>
          </w:tcPr>
          <w:p w14:paraId="22060B5E" w14:textId="77777777" w:rsidR="00F51542" w:rsidRPr="00845E3A" w:rsidRDefault="00F51542" w:rsidP="004F655C">
            <w:pPr>
              <w:suppressAutoHyphens/>
              <w:spacing w:before="40" w:after="40" w:line="240" w:lineRule="auto"/>
              <w:jc w:val="both"/>
              <w:rPr>
                <w:rFonts w:ascii="Times New Roman" w:eastAsia="SimSun" w:hAnsi="Times New Roman"/>
                <w:b/>
                <w:bCs/>
                <w:i/>
                <w:iCs/>
                <w:color w:val="000000" w:themeColor="text1"/>
                <w:sz w:val="20"/>
                <w:szCs w:val="20"/>
                <w:lang w:eastAsia="hi-IN" w:bidi="hi-IN"/>
              </w:rPr>
            </w:pPr>
            <w:r w:rsidRPr="00845E3A">
              <w:rPr>
                <w:rFonts w:ascii="Times New Roman" w:eastAsia="SimSun" w:hAnsi="Times New Roman"/>
                <w:b/>
                <w:bCs/>
                <w:i/>
                <w:iCs/>
                <w:color w:val="000000" w:themeColor="text1"/>
                <w:sz w:val="20"/>
                <w:szCs w:val="20"/>
                <w:lang w:eastAsia="hi-IN" w:bidi="hi-IN"/>
              </w:rPr>
              <w:t>Conservation</w:t>
            </w:r>
          </w:p>
        </w:tc>
        <w:tc>
          <w:tcPr>
            <w:tcW w:w="1183" w:type="dxa"/>
          </w:tcPr>
          <w:p w14:paraId="5CEEEAA4" w14:textId="77777777" w:rsidR="00F51542" w:rsidRPr="00845E3A" w:rsidRDefault="00F51542" w:rsidP="004F655C">
            <w:pPr>
              <w:suppressAutoHyphens/>
              <w:spacing w:before="40" w:after="40" w:line="240" w:lineRule="auto"/>
              <w:jc w:val="both"/>
              <w:rPr>
                <w:rFonts w:ascii="Times New Roman" w:eastAsia="SimSun" w:hAnsi="Times New Roman"/>
                <w:b/>
                <w:bCs/>
                <w:i/>
                <w:iCs/>
                <w:color w:val="000000" w:themeColor="text1"/>
                <w:sz w:val="20"/>
                <w:szCs w:val="20"/>
                <w:lang w:eastAsia="hi-IN" w:bidi="hi-IN"/>
              </w:rPr>
            </w:pPr>
            <w:r w:rsidRPr="00845E3A">
              <w:rPr>
                <w:rFonts w:ascii="Times New Roman" w:eastAsia="SimSun" w:hAnsi="Times New Roman"/>
                <w:b/>
                <w:bCs/>
                <w:i/>
                <w:iCs/>
                <w:color w:val="000000" w:themeColor="text1"/>
                <w:sz w:val="20"/>
                <w:szCs w:val="20"/>
                <w:lang w:eastAsia="hi-IN" w:bidi="hi-IN"/>
              </w:rPr>
              <w:t>Sustainable use</w:t>
            </w:r>
          </w:p>
        </w:tc>
        <w:tc>
          <w:tcPr>
            <w:tcW w:w="790" w:type="dxa"/>
          </w:tcPr>
          <w:p w14:paraId="54AC7915" w14:textId="77777777" w:rsidR="00F51542" w:rsidRPr="00845E3A" w:rsidRDefault="00F51542" w:rsidP="004F655C">
            <w:pPr>
              <w:suppressAutoHyphens/>
              <w:spacing w:before="40" w:after="40" w:line="240" w:lineRule="auto"/>
              <w:jc w:val="both"/>
              <w:rPr>
                <w:rFonts w:ascii="Times New Roman" w:eastAsia="SimSun" w:hAnsi="Times New Roman"/>
                <w:b/>
                <w:bCs/>
                <w:i/>
                <w:iCs/>
                <w:color w:val="000000" w:themeColor="text1"/>
                <w:sz w:val="20"/>
                <w:szCs w:val="20"/>
                <w:lang w:eastAsia="hi-IN" w:bidi="hi-IN"/>
              </w:rPr>
            </w:pPr>
            <w:r w:rsidRPr="00845E3A">
              <w:rPr>
                <w:rFonts w:ascii="Times New Roman" w:eastAsia="SimSun" w:hAnsi="Times New Roman"/>
                <w:b/>
                <w:bCs/>
                <w:i/>
                <w:iCs/>
                <w:color w:val="000000" w:themeColor="text1"/>
                <w:sz w:val="20"/>
                <w:szCs w:val="20"/>
                <w:lang w:eastAsia="hi-IN" w:bidi="hi-IN"/>
              </w:rPr>
              <w:t>ABS</w:t>
            </w:r>
          </w:p>
        </w:tc>
        <w:tc>
          <w:tcPr>
            <w:tcW w:w="1390" w:type="dxa"/>
          </w:tcPr>
          <w:p w14:paraId="77ADFCDB" w14:textId="77777777" w:rsidR="00F51542" w:rsidRPr="00845E3A" w:rsidRDefault="00F51542" w:rsidP="004F655C">
            <w:pPr>
              <w:suppressAutoHyphens/>
              <w:spacing w:before="40" w:after="40" w:line="240" w:lineRule="auto"/>
              <w:jc w:val="both"/>
              <w:rPr>
                <w:rFonts w:ascii="Times New Roman" w:eastAsia="SimSun" w:hAnsi="Times New Roman"/>
                <w:b/>
                <w:bCs/>
                <w:i/>
                <w:iCs/>
                <w:color w:val="000000" w:themeColor="text1"/>
                <w:sz w:val="20"/>
                <w:szCs w:val="20"/>
                <w:lang w:eastAsia="hi-IN" w:bidi="hi-IN"/>
              </w:rPr>
            </w:pPr>
            <w:r w:rsidRPr="00845E3A">
              <w:rPr>
                <w:rFonts w:ascii="Times New Roman" w:eastAsia="SimSun" w:hAnsi="Times New Roman"/>
                <w:b/>
                <w:bCs/>
                <w:i/>
                <w:iCs/>
                <w:color w:val="000000" w:themeColor="text1"/>
                <w:sz w:val="20"/>
                <w:szCs w:val="20"/>
                <w:lang w:eastAsia="hi-IN" w:bidi="hi-IN"/>
              </w:rPr>
              <w:t>Other</w:t>
            </w:r>
          </w:p>
        </w:tc>
      </w:tr>
      <w:tr w:rsidR="00F51542" w:rsidRPr="00845E3A" w14:paraId="40A6C25D" w14:textId="77777777" w:rsidTr="6C04146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4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039C7" w14:textId="77777777" w:rsidR="00F51542" w:rsidRPr="00845E3A" w:rsidRDefault="00F51542" w:rsidP="004F655C">
            <w:pPr>
              <w:suppressAutoHyphens/>
              <w:spacing w:before="40" w:after="40" w:line="240" w:lineRule="auto"/>
              <w:jc w:val="both"/>
              <w:rPr>
                <w:rFonts w:ascii="Times New Roman" w:eastAsia="SimSun" w:hAnsi="Times New Roman"/>
                <w:i/>
                <w:iCs/>
                <w:color w:val="000000" w:themeColor="text1"/>
                <w:sz w:val="20"/>
                <w:szCs w:val="20"/>
                <w:lang w:eastAsia="hi-IN" w:bidi="hi-IN"/>
              </w:rPr>
            </w:pPr>
            <w:r w:rsidRPr="00845E3A">
              <w:rPr>
                <w:rFonts w:ascii="Times New Roman" w:eastAsia="SimSun" w:hAnsi="Times New Roman"/>
                <w:i/>
                <w:iCs/>
                <w:color w:val="000000" w:themeColor="text1"/>
                <w:sz w:val="20"/>
                <w:szCs w:val="20"/>
                <w:lang w:eastAsia="hi-IN" w:bidi="hi-IN"/>
              </w:rPr>
              <w:t>World Health Organization (WHO)</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D54E07"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1F2801"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4E7073"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3CCD90"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Health</w:t>
            </w:r>
          </w:p>
        </w:tc>
      </w:tr>
      <w:tr w:rsidR="00F51542" w:rsidRPr="00845E3A" w14:paraId="3265BF4B" w14:textId="77777777" w:rsidTr="6C04146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4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7B3456" w14:textId="77777777" w:rsidR="00F51542" w:rsidRPr="00845E3A" w:rsidRDefault="00F51542" w:rsidP="004F655C">
            <w:pPr>
              <w:suppressAutoHyphens/>
              <w:spacing w:before="40" w:after="40" w:line="240" w:lineRule="auto"/>
              <w:jc w:val="both"/>
              <w:rPr>
                <w:rFonts w:ascii="Times New Roman" w:eastAsia="SimSun" w:hAnsi="Times New Roman"/>
                <w:i/>
                <w:iCs/>
                <w:color w:val="000000" w:themeColor="text1"/>
                <w:sz w:val="20"/>
                <w:szCs w:val="20"/>
                <w:lang w:eastAsia="hi-IN" w:bidi="hi-IN"/>
              </w:rPr>
            </w:pPr>
            <w:r w:rsidRPr="00845E3A">
              <w:rPr>
                <w:rFonts w:ascii="Times New Roman" w:eastAsia="SimSun" w:hAnsi="Times New Roman"/>
                <w:i/>
                <w:iCs/>
                <w:color w:val="000000" w:themeColor="text1"/>
                <w:sz w:val="20"/>
                <w:szCs w:val="20"/>
                <w:lang w:eastAsia="hi-IN" w:bidi="hi-IN"/>
              </w:rPr>
              <w:t>Convention on International Trade in Endangered Species of Wild Fauna and Flora (CITES)</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93BD2F"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CD63CF"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7AA45C"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0450C"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r>
      <w:tr w:rsidR="00F51542" w:rsidRPr="00845E3A" w14:paraId="4341AFD0" w14:textId="77777777" w:rsidTr="6C04146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4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86350" w14:textId="77777777" w:rsidR="00F51542" w:rsidRPr="00845E3A" w:rsidRDefault="00F51542" w:rsidP="004F655C">
            <w:pPr>
              <w:suppressAutoHyphens/>
              <w:spacing w:before="40" w:after="40" w:line="240" w:lineRule="auto"/>
              <w:jc w:val="both"/>
              <w:rPr>
                <w:rFonts w:ascii="Times New Roman" w:eastAsia="SimSun" w:hAnsi="Times New Roman"/>
                <w:i/>
                <w:iCs/>
                <w:color w:val="000000" w:themeColor="text1"/>
                <w:sz w:val="20"/>
                <w:szCs w:val="20"/>
                <w:lang w:eastAsia="hi-IN" w:bidi="hi-IN"/>
              </w:rPr>
            </w:pPr>
            <w:r w:rsidRPr="00845E3A">
              <w:rPr>
                <w:rFonts w:ascii="Times New Roman" w:eastAsia="SimSun" w:hAnsi="Times New Roman"/>
                <w:i/>
                <w:iCs/>
                <w:color w:val="000000" w:themeColor="text1"/>
                <w:sz w:val="20"/>
                <w:szCs w:val="20"/>
                <w:lang w:eastAsia="hi-IN" w:bidi="hi-IN"/>
              </w:rPr>
              <w:t>International Union for Conservation of Nature (IUCN)</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696FB"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CAE762"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1B9063"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7F147C"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r>
      <w:tr w:rsidR="00F51542" w:rsidRPr="00845E3A" w14:paraId="5E9C74D4" w14:textId="77777777" w:rsidTr="6C04146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4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1739B9" w14:textId="6276C8A0" w:rsidR="00F51542" w:rsidRPr="00845E3A" w:rsidRDefault="00F51542" w:rsidP="004F655C">
            <w:pPr>
              <w:suppressAutoHyphens/>
              <w:spacing w:before="40" w:after="40" w:line="240" w:lineRule="auto"/>
              <w:jc w:val="both"/>
              <w:rPr>
                <w:rFonts w:ascii="Times New Roman" w:eastAsia="SimSun" w:hAnsi="Times New Roman"/>
                <w:i/>
                <w:iCs/>
                <w:color w:val="000000" w:themeColor="text1"/>
                <w:sz w:val="20"/>
                <w:szCs w:val="20"/>
                <w:lang w:eastAsia="hi-IN" w:bidi="hi-IN"/>
              </w:rPr>
            </w:pPr>
            <w:r w:rsidRPr="00845E3A">
              <w:rPr>
                <w:rFonts w:ascii="Times New Roman" w:eastAsia="SimSun" w:hAnsi="Times New Roman"/>
                <w:i/>
                <w:iCs/>
                <w:color w:val="000000" w:themeColor="text1"/>
                <w:sz w:val="20"/>
                <w:szCs w:val="20"/>
                <w:lang w:eastAsia="hi-IN" w:bidi="hi-IN"/>
              </w:rPr>
              <w:t xml:space="preserve">International </w:t>
            </w:r>
            <w:r w:rsidR="00013207">
              <w:rPr>
                <w:rFonts w:ascii="Times New Roman" w:eastAsia="SimSun" w:hAnsi="Times New Roman"/>
                <w:i/>
                <w:iCs/>
                <w:color w:val="000000" w:themeColor="text1"/>
                <w:sz w:val="20"/>
                <w:szCs w:val="20"/>
                <w:lang w:eastAsia="hi-IN" w:bidi="hi-IN"/>
              </w:rPr>
              <w:t xml:space="preserve">customary </w:t>
            </w:r>
            <w:r w:rsidRPr="00845E3A">
              <w:rPr>
                <w:rFonts w:ascii="Times New Roman" w:eastAsia="SimSun" w:hAnsi="Times New Roman"/>
                <w:i/>
                <w:iCs/>
                <w:color w:val="000000" w:themeColor="text1"/>
                <w:sz w:val="20"/>
                <w:szCs w:val="20"/>
                <w:lang w:eastAsia="hi-IN" w:bidi="hi-IN"/>
              </w:rPr>
              <w:t xml:space="preserve">law </w:t>
            </w:r>
            <w:r w:rsidR="002C58C7">
              <w:rPr>
                <w:rFonts w:ascii="Times New Roman" w:eastAsia="SimSun" w:hAnsi="Times New Roman"/>
                <w:i/>
                <w:iCs/>
                <w:color w:val="000000" w:themeColor="text1"/>
                <w:sz w:val="20"/>
                <w:szCs w:val="20"/>
                <w:lang w:eastAsia="hi-IN" w:bidi="hi-IN"/>
              </w:rPr>
              <w:t>related to responsibility and mitigation of harm (including</w:t>
            </w:r>
            <w:r w:rsidR="005C06D5">
              <w:rPr>
                <w:rFonts w:ascii="Times New Roman" w:eastAsia="SimSun" w:hAnsi="Times New Roman"/>
                <w:i/>
                <w:iCs/>
                <w:color w:val="000000" w:themeColor="text1"/>
                <w:sz w:val="20"/>
                <w:szCs w:val="20"/>
                <w:lang w:eastAsia="hi-IN" w:bidi="hi-IN"/>
              </w:rPr>
              <w:t xml:space="preserve"> concerning</w:t>
            </w:r>
            <w:r w:rsidR="00D308E1">
              <w:rPr>
                <w:rFonts w:ascii="Times New Roman" w:eastAsia="SimSun" w:hAnsi="Times New Roman"/>
                <w:i/>
                <w:iCs/>
                <w:color w:val="000000" w:themeColor="text1"/>
                <w:sz w:val="20"/>
                <w:szCs w:val="20"/>
                <w:lang w:eastAsia="hi-IN" w:bidi="hi-IN"/>
              </w:rPr>
              <w:t xml:space="preserve"> s</w:t>
            </w:r>
            <w:r w:rsidR="00D308E1" w:rsidRPr="00D308E1">
              <w:rPr>
                <w:rFonts w:ascii="Times New Roman" w:eastAsia="SimSun" w:hAnsi="Times New Roman"/>
                <w:i/>
                <w:iCs/>
                <w:color w:val="000000" w:themeColor="text1"/>
                <w:sz w:val="20"/>
                <w:szCs w:val="20"/>
                <w:lang w:eastAsia="hi-IN" w:bidi="hi-IN"/>
              </w:rPr>
              <w:t>tate responsibility and liability of private actors</w:t>
            </w:r>
            <w:r w:rsidR="00B724D8">
              <w:rPr>
                <w:rFonts w:ascii="Times New Roman" w:eastAsia="SimSun" w:hAnsi="Times New Roman"/>
                <w:i/>
                <w:iCs/>
                <w:color w:val="000000" w:themeColor="text1"/>
                <w:sz w:val="20"/>
                <w:szCs w:val="20"/>
                <w:lang w:eastAsia="hi-IN" w:bidi="hi-IN"/>
              </w:rPr>
              <w:t>; p</w:t>
            </w:r>
            <w:r w:rsidR="00B724D8" w:rsidRPr="00B724D8">
              <w:rPr>
                <w:rFonts w:ascii="Times New Roman" w:eastAsia="SimSun" w:hAnsi="Times New Roman"/>
                <w:i/>
                <w:iCs/>
                <w:color w:val="000000" w:themeColor="text1"/>
                <w:sz w:val="20"/>
                <w:szCs w:val="20"/>
                <w:lang w:eastAsia="hi-IN" w:bidi="hi-IN"/>
              </w:rPr>
              <w:t>revention of transboundary harm to the environment</w:t>
            </w:r>
            <w:r w:rsidR="00B724D8">
              <w:rPr>
                <w:rFonts w:ascii="Times New Roman" w:eastAsia="SimSun" w:hAnsi="Times New Roman"/>
                <w:i/>
                <w:iCs/>
                <w:color w:val="000000" w:themeColor="text1"/>
                <w:sz w:val="20"/>
                <w:szCs w:val="20"/>
                <w:lang w:eastAsia="hi-IN" w:bidi="hi-IN"/>
              </w:rPr>
              <w:t>;</w:t>
            </w:r>
            <w:r w:rsidR="005C06D5">
              <w:rPr>
                <w:rFonts w:ascii="Times New Roman" w:eastAsia="SimSun" w:hAnsi="Times New Roman"/>
                <w:i/>
                <w:iCs/>
                <w:color w:val="000000" w:themeColor="text1"/>
                <w:sz w:val="20"/>
                <w:szCs w:val="20"/>
                <w:lang w:eastAsia="hi-IN" w:bidi="hi-IN"/>
              </w:rPr>
              <w:t xml:space="preserve"> </w:t>
            </w:r>
            <w:r w:rsidR="005C06D5" w:rsidRPr="005C06D5">
              <w:rPr>
                <w:rFonts w:ascii="Times New Roman" w:eastAsia="SimSun" w:hAnsi="Times New Roman"/>
                <w:i/>
                <w:iCs/>
                <w:color w:val="000000" w:themeColor="text1"/>
                <w:sz w:val="20"/>
                <w:szCs w:val="20"/>
                <w:lang w:eastAsia="hi-IN" w:bidi="hi-IN"/>
              </w:rPr>
              <w:t>environmental impact assessment</w:t>
            </w:r>
            <w:r w:rsidR="005C06D5">
              <w:rPr>
                <w:rFonts w:ascii="Times New Roman" w:eastAsia="SimSun" w:hAnsi="Times New Roman"/>
                <w:i/>
                <w:iCs/>
                <w:color w:val="000000" w:themeColor="text1"/>
                <w:sz w:val="20"/>
                <w:szCs w:val="20"/>
                <w:lang w:eastAsia="hi-IN" w:bidi="hi-IN"/>
              </w:rPr>
              <w:t xml:space="preserve">; and the </w:t>
            </w:r>
            <w:r w:rsidRPr="00845E3A">
              <w:rPr>
                <w:rFonts w:ascii="Times New Roman" w:eastAsia="SimSun" w:hAnsi="Times New Roman"/>
                <w:i/>
                <w:iCs/>
                <w:color w:val="000000" w:themeColor="text1"/>
                <w:sz w:val="20"/>
                <w:szCs w:val="20"/>
                <w:lang w:eastAsia="hi-IN" w:bidi="hi-IN"/>
              </w:rPr>
              <w:t>precautionary approach</w:t>
            </w:r>
            <w:r w:rsidR="005C06D5">
              <w:rPr>
                <w:rFonts w:ascii="Times New Roman" w:eastAsia="SimSun" w:hAnsi="Times New Roman"/>
                <w:i/>
                <w:iCs/>
                <w:color w:val="000000" w:themeColor="text1"/>
                <w:sz w:val="20"/>
                <w:szCs w:val="20"/>
                <w:lang w:eastAsia="hi-IN" w:bidi="hi-IN"/>
              </w:rPr>
              <w:t>).</w:t>
            </w:r>
            <w:r w:rsidR="0056220A">
              <w:rPr>
                <w:rFonts w:ascii="Times New Roman" w:eastAsia="SimSun" w:hAnsi="Times New Roman"/>
                <w:i/>
                <w:iCs/>
                <w:color w:val="000000" w:themeColor="text1"/>
                <w:sz w:val="20"/>
                <w:szCs w:val="20"/>
                <w:lang w:eastAsia="hi-IN" w:bidi="hi-IN"/>
              </w:rPr>
              <w:t xml:space="preserve"> </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0E30E4"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768DFF"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322A28"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88150D" w14:textId="483AD5AE"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 xml:space="preserve">Risk </w:t>
            </w:r>
            <w:r w:rsidR="005C06D5">
              <w:rPr>
                <w:rFonts w:ascii="Times New Roman" w:eastAsia="SimSun" w:hAnsi="Times New Roman"/>
                <w:color w:val="000000" w:themeColor="text1"/>
                <w:sz w:val="20"/>
                <w:szCs w:val="20"/>
                <w:lang w:eastAsia="hi-IN" w:bidi="hi-IN"/>
              </w:rPr>
              <w:t>(general including health and environment)</w:t>
            </w:r>
          </w:p>
        </w:tc>
      </w:tr>
      <w:tr w:rsidR="00F51542" w:rsidRPr="00845E3A" w14:paraId="3F11F42E" w14:textId="77777777" w:rsidTr="6C04146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4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3AD271" w14:textId="77777777" w:rsidR="00F51542" w:rsidRPr="00845E3A" w:rsidRDefault="00F51542" w:rsidP="004F655C">
            <w:pPr>
              <w:suppressAutoHyphens/>
              <w:spacing w:before="40" w:after="40" w:line="240" w:lineRule="auto"/>
              <w:jc w:val="both"/>
              <w:rPr>
                <w:rFonts w:ascii="Times New Roman" w:eastAsia="SimSun" w:hAnsi="Times New Roman"/>
                <w:i/>
                <w:iCs/>
                <w:color w:val="000000" w:themeColor="text1"/>
                <w:sz w:val="20"/>
                <w:szCs w:val="20"/>
                <w:lang w:eastAsia="hi-IN" w:bidi="hi-IN"/>
              </w:rPr>
            </w:pPr>
            <w:r w:rsidRPr="00845E3A">
              <w:rPr>
                <w:rFonts w:ascii="Times New Roman" w:eastAsia="SimSun" w:hAnsi="Times New Roman"/>
                <w:i/>
                <w:iCs/>
                <w:color w:val="000000" w:themeColor="text1"/>
                <w:sz w:val="20"/>
                <w:szCs w:val="20"/>
                <w:lang w:eastAsia="hi-IN" w:bidi="hi-IN"/>
              </w:rPr>
              <w:t xml:space="preserve">Convention on the Prohibition of the Development, Production and Stockpiling of Bacteriological (Biological) and Toxin Weapons and on their Destruction </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A80254"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E4315"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104C21"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455D1D"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Risk (health)</w:t>
            </w:r>
          </w:p>
        </w:tc>
      </w:tr>
      <w:tr w:rsidR="00F51542" w:rsidRPr="00845E3A" w14:paraId="61EA85F1" w14:textId="77777777" w:rsidTr="6C04146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4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D16FF7" w14:textId="77777777" w:rsidR="00F51542" w:rsidRPr="00845E3A" w:rsidRDefault="00F51542" w:rsidP="004F655C">
            <w:pPr>
              <w:suppressAutoHyphens/>
              <w:spacing w:before="40" w:after="40" w:line="240" w:lineRule="auto"/>
              <w:jc w:val="both"/>
              <w:rPr>
                <w:rFonts w:ascii="Times New Roman" w:eastAsia="SimSun" w:hAnsi="Times New Roman"/>
                <w:i/>
                <w:iCs/>
                <w:color w:val="000000" w:themeColor="text1"/>
                <w:sz w:val="20"/>
                <w:szCs w:val="20"/>
                <w:lang w:eastAsia="hi-IN" w:bidi="hi-IN"/>
              </w:rPr>
            </w:pPr>
            <w:r w:rsidRPr="00845E3A">
              <w:rPr>
                <w:rFonts w:ascii="Times New Roman" w:eastAsia="SimSun" w:hAnsi="Times New Roman"/>
                <w:i/>
                <w:iCs/>
                <w:color w:val="000000" w:themeColor="text1"/>
                <w:sz w:val="20"/>
                <w:szCs w:val="20"/>
                <w:lang w:eastAsia="hi-IN" w:bidi="hi-IN"/>
              </w:rPr>
              <w:t>Environmental Modification Convention (ENMOD)</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C115BF"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6C1103"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564A5"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8315DD"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Risk (environment)</w:t>
            </w:r>
          </w:p>
        </w:tc>
      </w:tr>
      <w:tr w:rsidR="00F51542" w:rsidRPr="00845E3A" w14:paraId="57C77D33" w14:textId="77777777" w:rsidTr="6C04146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4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215367" w14:textId="77777777" w:rsidR="00F51542" w:rsidRPr="00845E3A" w:rsidRDefault="00F51542" w:rsidP="004F655C">
            <w:pPr>
              <w:suppressAutoHyphens/>
              <w:spacing w:before="40" w:after="40" w:line="240" w:lineRule="auto"/>
              <w:jc w:val="both"/>
              <w:rPr>
                <w:rFonts w:ascii="Times New Roman" w:eastAsia="SimSun" w:hAnsi="Times New Roman"/>
                <w:i/>
                <w:iCs/>
                <w:color w:val="000000" w:themeColor="text1"/>
                <w:sz w:val="20"/>
                <w:szCs w:val="20"/>
                <w:lang w:eastAsia="hi-IN" w:bidi="hi-IN"/>
              </w:rPr>
            </w:pPr>
            <w:r w:rsidRPr="00845E3A">
              <w:rPr>
                <w:rFonts w:ascii="Times New Roman" w:eastAsia="SimSun" w:hAnsi="Times New Roman"/>
                <w:i/>
                <w:iCs/>
                <w:color w:val="000000" w:themeColor="text1"/>
                <w:sz w:val="20"/>
                <w:szCs w:val="20"/>
                <w:lang w:eastAsia="hi-IN" w:bidi="hi-IN"/>
              </w:rPr>
              <w:t>UN Declaration on the Rights of Indigenous Peoples</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8982FE"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730564"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A2B33D"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2D08E"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r>
      <w:tr w:rsidR="00F51542" w:rsidRPr="00845E3A" w14:paraId="5AE709FE" w14:textId="77777777" w:rsidTr="6C04146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4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1AEE6A" w14:textId="77777777" w:rsidR="00F51542" w:rsidRPr="00845E3A" w:rsidRDefault="00F51542" w:rsidP="004F655C">
            <w:pPr>
              <w:suppressAutoHyphens/>
              <w:spacing w:before="40" w:after="40" w:line="240" w:lineRule="auto"/>
              <w:jc w:val="both"/>
              <w:rPr>
                <w:rFonts w:ascii="Times New Roman" w:eastAsia="SimSun" w:hAnsi="Times New Roman"/>
                <w:i/>
                <w:iCs/>
                <w:color w:val="000000" w:themeColor="text1"/>
                <w:sz w:val="20"/>
                <w:szCs w:val="20"/>
                <w:lang w:eastAsia="hi-IN" w:bidi="hi-IN"/>
              </w:rPr>
            </w:pPr>
            <w:r w:rsidRPr="00845E3A">
              <w:rPr>
                <w:rFonts w:ascii="Times New Roman" w:eastAsia="SimSun" w:hAnsi="Times New Roman"/>
                <w:i/>
                <w:iCs/>
                <w:color w:val="000000" w:themeColor="text1"/>
                <w:sz w:val="20"/>
                <w:szCs w:val="20"/>
                <w:lang w:eastAsia="hi-IN" w:bidi="hi-IN"/>
              </w:rPr>
              <w:t>WIPO Intergovernmental Committee on Intellectual Property and Genetic Resources, Traditional Knowledge and Folklore (IGC)</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3906A9"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17D66"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F4A392"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33F912"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r>
      <w:tr w:rsidR="00F51542" w:rsidRPr="00845E3A" w14:paraId="229D72B4" w14:textId="77777777" w:rsidTr="6C04146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4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77492F" w14:textId="77777777" w:rsidR="00F51542" w:rsidRPr="00845E3A" w:rsidRDefault="00F51542" w:rsidP="004F655C">
            <w:pPr>
              <w:suppressAutoHyphens/>
              <w:spacing w:before="40" w:after="40" w:line="240" w:lineRule="auto"/>
              <w:jc w:val="both"/>
              <w:rPr>
                <w:rFonts w:ascii="Times New Roman" w:eastAsia="SimSun" w:hAnsi="Times New Roman"/>
                <w:i/>
                <w:iCs/>
                <w:color w:val="000000" w:themeColor="text1"/>
                <w:sz w:val="20"/>
                <w:szCs w:val="20"/>
                <w:lang w:eastAsia="hi-IN" w:bidi="hi-IN"/>
              </w:rPr>
            </w:pPr>
            <w:r w:rsidRPr="00845E3A">
              <w:rPr>
                <w:rFonts w:ascii="Times New Roman" w:eastAsia="SimSun" w:hAnsi="Times New Roman"/>
                <w:i/>
                <w:iCs/>
                <w:color w:val="000000" w:themeColor="text1"/>
                <w:sz w:val="20"/>
                <w:szCs w:val="20"/>
                <w:lang w:eastAsia="hi-IN" w:bidi="hi-IN"/>
              </w:rPr>
              <w:t>International Treaty on Plant Genetic Resources for Food and Agriculture</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F9034"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BE5BF"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F99579"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E80891"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Food security</w:t>
            </w:r>
          </w:p>
        </w:tc>
      </w:tr>
      <w:tr w:rsidR="00F51542" w:rsidRPr="00845E3A" w14:paraId="67551CE6" w14:textId="77777777" w:rsidTr="6C04146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4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461692" w14:textId="77777777" w:rsidR="00F51542" w:rsidRPr="00845E3A" w:rsidRDefault="00F51542" w:rsidP="004F655C">
            <w:pPr>
              <w:suppressAutoHyphens/>
              <w:spacing w:before="40" w:after="40" w:line="240" w:lineRule="auto"/>
              <w:jc w:val="both"/>
              <w:rPr>
                <w:rFonts w:ascii="Times New Roman" w:eastAsia="SimSun" w:hAnsi="Times New Roman"/>
                <w:i/>
                <w:iCs/>
                <w:color w:val="000000" w:themeColor="text1"/>
                <w:sz w:val="20"/>
                <w:szCs w:val="20"/>
                <w:lang w:eastAsia="hi-IN" w:bidi="hi-IN"/>
              </w:rPr>
            </w:pPr>
            <w:r w:rsidRPr="00845E3A">
              <w:rPr>
                <w:rFonts w:ascii="Times New Roman" w:eastAsia="SimSun" w:hAnsi="Times New Roman"/>
                <w:i/>
                <w:iCs/>
                <w:color w:val="000000" w:themeColor="text1"/>
                <w:sz w:val="20"/>
                <w:szCs w:val="20"/>
                <w:lang w:eastAsia="hi-IN" w:bidi="hi-IN"/>
              </w:rPr>
              <w:t>The United Nations Convention on the Law of the Sea (UNCLOS) proposed agreement for marine biodiversity beyond national jurisdiction (BBNJ)</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DC94D6"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46BF9E"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31DD21"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FCEE77"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Marine GR in ABNJ</w:t>
            </w:r>
          </w:p>
        </w:tc>
      </w:tr>
      <w:tr w:rsidR="00F51542" w:rsidRPr="00845E3A" w14:paraId="73926CC7" w14:textId="77777777" w:rsidTr="6C04146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4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24DED9" w14:textId="77777777" w:rsidR="00F51542" w:rsidRPr="00845E3A" w:rsidRDefault="00F51542" w:rsidP="004F655C">
            <w:pPr>
              <w:suppressAutoHyphens/>
              <w:spacing w:before="40" w:after="40" w:line="240" w:lineRule="auto"/>
              <w:jc w:val="both"/>
              <w:rPr>
                <w:rFonts w:ascii="Times New Roman" w:eastAsia="SimSun" w:hAnsi="Times New Roman"/>
                <w:i/>
                <w:iCs/>
                <w:color w:val="000000" w:themeColor="text1"/>
                <w:sz w:val="20"/>
                <w:szCs w:val="20"/>
                <w:lang w:eastAsia="hi-IN" w:bidi="hi-IN"/>
              </w:rPr>
            </w:pPr>
            <w:r w:rsidRPr="00845E3A">
              <w:rPr>
                <w:rFonts w:ascii="Times New Roman" w:eastAsia="SimSun" w:hAnsi="Times New Roman"/>
                <w:i/>
                <w:iCs/>
                <w:color w:val="000000" w:themeColor="text1"/>
                <w:sz w:val="20"/>
                <w:szCs w:val="20"/>
                <w:lang w:eastAsia="hi-IN" w:bidi="hi-IN"/>
              </w:rPr>
              <w:t>WTO Agreement on Trade Related Aspects of Intellectual Property Rights (TRIPS)</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861D2C"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A01DD"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C6762B"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B02544"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 xml:space="preserve">IP </w:t>
            </w:r>
          </w:p>
        </w:tc>
      </w:tr>
      <w:tr w:rsidR="00F51542" w:rsidRPr="00845E3A" w14:paraId="3C6201E9" w14:textId="77777777" w:rsidTr="6C04146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4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640EA5" w14:textId="77777777" w:rsidR="00F51542" w:rsidRPr="00845E3A" w:rsidRDefault="00F51542" w:rsidP="004F655C">
            <w:pPr>
              <w:suppressAutoHyphens/>
              <w:spacing w:before="40" w:after="40" w:line="240" w:lineRule="auto"/>
              <w:jc w:val="both"/>
              <w:rPr>
                <w:rFonts w:ascii="Times New Roman" w:eastAsia="SimSun" w:hAnsi="Times New Roman"/>
                <w:i/>
                <w:iCs/>
                <w:color w:val="000000" w:themeColor="text1"/>
                <w:sz w:val="20"/>
                <w:szCs w:val="20"/>
                <w:lang w:eastAsia="hi-IN" w:bidi="hi-IN"/>
              </w:rPr>
            </w:pPr>
            <w:r w:rsidRPr="00845E3A">
              <w:rPr>
                <w:rFonts w:ascii="Times New Roman" w:eastAsia="SimSun" w:hAnsi="Times New Roman"/>
                <w:i/>
                <w:iCs/>
                <w:color w:val="000000" w:themeColor="text1"/>
                <w:sz w:val="20"/>
                <w:szCs w:val="20"/>
                <w:lang w:eastAsia="hi-IN" w:bidi="hi-IN"/>
              </w:rPr>
              <w:t>International Convention for the Protection of New Varieties of Plants (UPOV Convention)</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92AFA0"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68653D"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00C660"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C73C52"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IP</w:t>
            </w:r>
          </w:p>
        </w:tc>
      </w:tr>
      <w:tr w:rsidR="00F51542" w:rsidRPr="00845E3A" w14:paraId="26711628" w14:textId="77777777" w:rsidTr="6C04146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4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025AF" w14:textId="77777777" w:rsidR="00F51542" w:rsidRPr="00845E3A" w:rsidRDefault="00F51542" w:rsidP="004F655C">
            <w:pPr>
              <w:suppressAutoHyphens/>
              <w:spacing w:before="40" w:after="40" w:line="240" w:lineRule="auto"/>
              <w:jc w:val="both"/>
              <w:rPr>
                <w:rFonts w:ascii="Times New Roman" w:eastAsia="SimSun" w:hAnsi="Times New Roman"/>
                <w:i/>
                <w:iCs/>
                <w:color w:val="000000" w:themeColor="text1"/>
                <w:sz w:val="20"/>
                <w:szCs w:val="20"/>
                <w:lang w:eastAsia="hi-IN" w:bidi="hi-IN"/>
              </w:rPr>
            </w:pPr>
            <w:r w:rsidRPr="00845E3A">
              <w:rPr>
                <w:rFonts w:ascii="Times New Roman" w:eastAsia="SimSun" w:hAnsi="Times New Roman"/>
                <w:i/>
                <w:iCs/>
                <w:color w:val="000000" w:themeColor="text1"/>
                <w:sz w:val="20"/>
                <w:szCs w:val="20"/>
                <w:lang w:eastAsia="hi-IN" w:bidi="hi-IN"/>
              </w:rPr>
              <w:t>The Agreement on the Application of Sanitary and Phytosanitary Measures (SPS Agreement)</w:t>
            </w:r>
          </w:p>
          <w:p w14:paraId="15E25C7B" w14:textId="77777777" w:rsidR="00F51542" w:rsidRPr="00845E3A" w:rsidRDefault="00F51542" w:rsidP="004F655C">
            <w:pPr>
              <w:suppressAutoHyphens/>
              <w:spacing w:before="40" w:after="40" w:line="240" w:lineRule="auto"/>
              <w:jc w:val="both"/>
              <w:rPr>
                <w:rFonts w:ascii="Times New Roman" w:eastAsia="SimSun" w:hAnsi="Times New Roman"/>
                <w:i/>
                <w:iCs/>
                <w:color w:val="000000" w:themeColor="text1"/>
                <w:sz w:val="20"/>
                <w:szCs w:val="20"/>
                <w:lang w:eastAsia="hi-IN" w:bidi="hi-IN"/>
              </w:rPr>
            </w:pPr>
            <w:r w:rsidRPr="00845E3A">
              <w:rPr>
                <w:rFonts w:ascii="Times New Roman" w:eastAsia="SimSun" w:hAnsi="Times New Roman"/>
                <w:i/>
                <w:iCs/>
                <w:color w:val="000000" w:themeColor="text1"/>
                <w:sz w:val="20"/>
                <w:szCs w:val="20"/>
                <w:lang w:eastAsia="hi-IN" w:bidi="hi-IN"/>
              </w:rPr>
              <w:t>The International Plant Protection Convention (IPPC)</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028D1D"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EC4E62"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87A598"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E8A791"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Trade; Risks (phyto-sanitary)</w:t>
            </w:r>
          </w:p>
        </w:tc>
      </w:tr>
      <w:tr w:rsidR="00F51542" w:rsidRPr="00845E3A" w14:paraId="3B5606BF" w14:textId="77777777" w:rsidTr="6C04146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4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6BC403" w14:textId="77777777" w:rsidR="00F51542" w:rsidRPr="00845E3A" w:rsidRDefault="00F51542" w:rsidP="004F655C">
            <w:pPr>
              <w:suppressAutoHyphens/>
              <w:spacing w:before="40" w:after="40" w:line="240" w:lineRule="auto"/>
              <w:jc w:val="both"/>
              <w:rPr>
                <w:rFonts w:ascii="Times New Roman" w:eastAsia="SimSun" w:hAnsi="Times New Roman"/>
                <w:i/>
                <w:iCs/>
                <w:color w:val="000000" w:themeColor="text1"/>
                <w:sz w:val="20"/>
                <w:szCs w:val="20"/>
                <w:lang w:eastAsia="hi-IN" w:bidi="hi-IN"/>
              </w:rPr>
            </w:pPr>
            <w:r w:rsidRPr="00845E3A">
              <w:rPr>
                <w:rFonts w:ascii="Times New Roman" w:eastAsia="SimSun" w:hAnsi="Times New Roman"/>
                <w:i/>
                <w:iCs/>
                <w:color w:val="000000" w:themeColor="text1"/>
                <w:sz w:val="20"/>
                <w:szCs w:val="20"/>
                <w:lang w:eastAsia="hi-IN" w:bidi="hi-IN"/>
              </w:rPr>
              <w:t>World Organization for Animal Health</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4B8BDE"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41A93F"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06E1C7"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106DEE"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Trade</w:t>
            </w:r>
          </w:p>
        </w:tc>
      </w:tr>
      <w:tr w:rsidR="00F51542" w:rsidRPr="00845E3A" w14:paraId="4CA58659" w14:textId="77777777" w:rsidTr="6C04146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4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4DAB92" w14:textId="77777777" w:rsidR="00F51542" w:rsidRPr="00845E3A" w:rsidRDefault="00F51542" w:rsidP="004F655C">
            <w:pPr>
              <w:suppressAutoHyphens/>
              <w:spacing w:before="40" w:after="40" w:line="240" w:lineRule="auto"/>
              <w:jc w:val="both"/>
              <w:rPr>
                <w:rFonts w:ascii="Times New Roman" w:eastAsia="SimSun" w:hAnsi="Times New Roman"/>
                <w:i/>
                <w:iCs/>
                <w:color w:val="000000" w:themeColor="text1"/>
                <w:sz w:val="20"/>
                <w:szCs w:val="20"/>
                <w:lang w:eastAsia="hi-IN" w:bidi="hi-IN"/>
              </w:rPr>
            </w:pPr>
            <w:r w:rsidRPr="00845E3A">
              <w:rPr>
                <w:rFonts w:ascii="Times New Roman" w:eastAsia="SimSun" w:hAnsi="Times New Roman"/>
                <w:i/>
                <w:iCs/>
                <w:color w:val="000000" w:themeColor="text1"/>
                <w:sz w:val="20"/>
                <w:szCs w:val="20"/>
                <w:lang w:eastAsia="hi-IN" w:bidi="hi-IN"/>
              </w:rPr>
              <w:t>Codex Alimentarius</w:t>
            </w:r>
          </w:p>
        </w:tc>
        <w:tc>
          <w:tcPr>
            <w:tcW w:w="13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BBE63E"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7CA913"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x</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EFB7E"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B2F673" w14:textId="77777777" w:rsidR="00F51542" w:rsidRPr="00845E3A" w:rsidRDefault="00F51542" w:rsidP="004F655C">
            <w:pPr>
              <w:suppressAutoHyphens/>
              <w:spacing w:before="40" w:after="40" w:line="240" w:lineRule="auto"/>
              <w:jc w:val="both"/>
              <w:rPr>
                <w:rFonts w:ascii="Times New Roman" w:eastAsia="SimSun" w:hAnsi="Times New Roman"/>
                <w:color w:val="000000" w:themeColor="text1"/>
                <w:sz w:val="20"/>
                <w:szCs w:val="20"/>
                <w:lang w:eastAsia="hi-IN" w:bidi="hi-IN"/>
              </w:rPr>
            </w:pPr>
            <w:r w:rsidRPr="00845E3A">
              <w:rPr>
                <w:rFonts w:ascii="Times New Roman" w:eastAsia="SimSun" w:hAnsi="Times New Roman"/>
                <w:color w:val="000000" w:themeColor="text1"/>
                <w:sz w:val="20"/>
                <w:szCs w:val="20"/>
                <w:lang w:eastAsia="hi-IN" w:bidi="hi-IN"/>
              </w:rPr>
              <w:t>Trade</w:t>
            </w:r>
          </w:p>
        </w:tc>
      </w:tr>
    </w:tbl>
    <w:p w14:paraId="0529FB42" w14:textId="6CA3EE1D" w:rsidR="00F51542" w:rsidRDefault="00F51542" w:rsidP="008D58E6">
      <w:pPr>
        <w:spacing w:after="60" w:line="240" w:lineRule="auto"/>
        <w:jc w:val="both"/>
        <w:rPr>
          <w:rFonts w:ascii="Times New Roman" w:eastAsia="SimSun" w:hAnsi="Times New Roman"/>
          <w:b/>
          <w:bCs/>
          <w:color w:val="000000" w:themeColor="text1"/>
          <w:sz w:val="20"/>
          <w:szCs w:val="20"/>
          <w:lang w:eastAsia="hi-IN" w:bidi="hi-IN"/>
        </w:rPr>
      </w:pPr>
    </w:p>
    <w:p w14:paraId="33CD7E81" w14:textId="0E2AFFC4" w:rsidR="00D205EE" w:rsidRPr="00390654" w:rsidRDefault="00D205EE" w:rsidP="00D205EE">
      <w:pPr>
        <w:pStyle w:val="Heading3"/>
        <w:rPr>
          <w:shd w:val="clear" w:color="auto" w:fill="FFFFFF"/>
          <w:lang w:val="en-US"/>
        </w:rPr>
      </w:pPr>
      <w:bookmarkStart w:id="150" w:name="_Toc65609811"/>
      <w:bookmarkStart w:id="151" w:name="_Toc70112710"/>
      <w:bookmarkStart w:id="152" w:name="_Toc70685732"/>
      <w:r>
        <w:rPr>
          <w:shd w:val="clear" w:color="auto" w:fill="FFFFFF"/>
        </w:rPr>
        <w:t>9.2</w:t>
      </w:r>
      <w:r>
        <w:rPr>
          <w:shd w:val="clear" w:color="auto" w:fill="FFFFFF"/>
          <w:lang w:val="en-GB"/>
        </w:rPr>
        <w:t>.</w:t>
      </w:r>
      <w:r>
        <w:rPr>
          <w:shd w:val="clear" w:color="auto" w:fill="FFFFFF"/>
        </w:rPr>
        <w:t xml:space="preserve"> </w:t>
      </w:r>
      <w:r w:rsidRPr="00E166FA">
        <w:rPr>
          <w:shd w:val="clear" w:color="auto" w:fill="FFFFFF"/>
        </w:rPr>
        <w:t>International laws, processes and initiatives with a substantive program of work addressing synthetic biology</w:t>
      </w:r>
      <w:bookmarkEnd w:id="150"/>
      <w:r w:rsidR="0035391B">
        <w:rPr>
          <w:shd w:val="clear" w:color="auto" w:fill="FFFFFF"/>
          <w:lang w:val="en-US"/>
        </w:rPr>
        <w:t>.</w:t>
      </w:r>
      <w:bookmarkEnd w:id="151"/>
      <w:bookmarkEnd w:id="152"/>
    </w:p>
    <w:p w14:paraId="6D7ADF45" w14:textId="2822F3A9" w:rsidR="00D205EE" w:rsidRPr="00532BB4" w:rsidRDefault="00D205EE" w:rsidP="00D205EE">
      <w:pPr>
        <w:pStyle w:val="Heading4"/>
        <w:rPr>
          <w:rFonts w:asciiTheme="minorHAnsi" w:hAnsiTheme="minorHAnsi"/>
          <w:i w:val="0"/>
          <w:shd w:val="clear" w:color="auto" w:fill="FFFFFF"/>
          <w:lang w:val="en-US"/>
        </w:rPr>
      </w:pPr>
      <w:r w:rsidRPr="7044E7A4">
        <w:rPr>
          <w:rFonts w:hint="eastAsia"/>
          <w:i w:val="0"/>
          <w:shd w:val="clear" w:color="auto" w:fill="FFFFFF"/>
        </w:rPr>
        <w:t>9.2.1</w:t>
      </w:r>
      <w:r w:rsidRPr="7044E7A4">
        <w:rPr>
          <w:rFonts w:asciiTheme="minorHAnsi" w:hAnsiTheme="minorHAnsi"/>
          <w:i w:val="0"/>
          <w:shd w:val="clear" w:color="auto" w:fill="FFFFFF"/>
          <w:lang w:val="en-GB"/>
        </w:rPr>
        <w:t>.</w:t>
      </w:r>
      <w:r w:rsidRPr="7044E7A4">
        <w:rPr>
          <w:rFonts w:hint="eastAsia"/>
          <w:i w:val="0"/>
          <w:shd w:val="clear" w:color="auto" w:fill="FFFFFF"/>
        </w:rPr>
        <w:t xml:space="preserve"> World Health Organization (</w:t>
      </w:r>
      <w:r w:rsidRPr="7044E7A4">
        <w:rPr>
          <w:rFonts w:hint="eastAsia"/>
          <w:i w:val="0"/>
        </w:rPr>
        <w:t>WHO)</w:t>
      </w:r>
      <w:r w:rsidR="0035391B" w:rsidRPr="7044E7A4">
        <w:rPr>
          <w:rFonts w:asciiTheme="minorHAnsi" w:hAnsiTheme="minorHAnsi"/>
          <w:i w:val="0"/>
          <w:lang w:val="en-US"/>
        </w:rPr>
        <w:t>.</w:t>
      </w:r>
    </w:p>
    <w:p w14:paraId="7C659C5A" w14:textId="77777777" w:rsidR="00361AC7" w:rsidRPr="00576C49" w:rsidRDefault="00361AC7" w:rsidP="00361AC7">
      <w:pPr>
        <w:spacing w:line="240" w:lineRule="auto"/>
        <w:jc w:val="both"/>
        <w:rPr>
          <w:rFonts w:ascii="Times New Roman"/>
        </w:rPr>
      </w:pPr>
      <w:r w:rsidRPr="00576C49">
        <w:rPr>
          <w:rFonts w:ascii="Times New Roman"/>
        </w:rPr>
        <w:t>The World Health Organization is a specialised agency of the United Nations responsible for international public health. It has 194 Member States and is governed pursuant to the WHO Constitution which establishes the World Health Assembly (WHA) as WHO</w:t>
      </w:r>
      <w:r w:rsidRPr="00576C49">
        <w:rPr>
          <w:rFonts w:ascii="Times New Roman"/>
        </w:rPr>
        <w:t>’</w:t>
      </w:r>
      <w:r w:rsidRPr="00576C49">
        <w:rPr>
          <w:rFonts w:ascii="Times New Roman"/>
        </w:rPr>
        <w:t>s governing body which meets annually. Various areas of work within this organisation could be related or have an impact on synthetic biology governance. These areas are described below.</w:t>
      </w:r>
    </w:p>
    <w:p w14:paraId="612C34A9" w14:textId="77777777" w:rsidR="00361AC7" w:rsidRPr="00576C49" w:rsidRDefault="00361AC7" w:rsidP="00361AC7">
      <w:pPr>
        <w:keepNext/>
        <w:numPr>
          <w:ilvl w:val="0"/>
          <w:numId w:val="152"/>
        </w:numPr>
        <w:spacing w:before="120" w:after="120" w:line="240" w:lineRule="auto"/>
        <w:ind w:left="284" w:hanging="284"/>
        <w:outlineLvl w:val="4"/>
        <w:rPr>
          <w:rFonts w:ascii="Times New Roman" w:eastAsia="Times New Roman" w:hAnsi="Times New Roman"/>
          <w:bCs/>
          <w:i/>
          <w:kern w:val="1"/>
          <w:szCs w:val="26"/>
          <w:lang w:val="en-CA" w:eastAsia="ar-SA"/>
        </w:rPr>
      </w:pPr>
      <w:r w:rsidRPr="00576C49">
        <w:rPr>
          <w:rFonts w:ascii="Times New Roman" w:eastAsia="Times New Roman" w:hAnsi="Times New Roman"/>
          <w:bCs/>
          <w:i/>
          <w:kern w:val="1"/>
          <w:szCs w:val="26"/>
          <w:lang w:val="en-CA" w:eastAsia="ar-SA"/>
        </w:rPr>
        <w:t>Responsible Life Sciences Research.</w:t>
      </w:r>
    </w:p>
    <w:p w14:paraId="77ED1CEB" w14:textId="5A6FDCBC" w:rsidR="00361AC7" w:rsidRPr="00576C49" w:rsidRDefault="00361AC7" w:rsidP="00396AB7">
      <w:pPr>
        <w:spacing w:line="240" w:lineRule="auto"/>
        <w:jc w:val="both"/>
        <w:rPr>
          <w:rFonts w:ascii="Times New Roman"/>
        </w:rPr>
      </w:pPr>
      <w:r w:rsidRPr="00576C49">
        <w:rPr>
          <w:rFonts w:ascii="Times New Roman"/>
        </w:rPr>
        <w:t xml:space="preserve">In 2010, </w:t>
      </w:r>
      <w:r w:rsidR="00F75AC6">
        <w:rPr>
          <w:rFonts w:ascii="Times New Roman"/>
        </w:rPr>
        <w:t xml:space="preserve">the </w:t>
      </w:r>
      <w:r w:rsidRPr="00576C49">
        <w:rPr>
          <w:rFonts w:ascii="Times New Roman"/>
        </w:rPr>
        <w:t xml:space="preserve">WHO published </w:t>
      </w:r>
      <w:r w:rsidR="003E627A">
        <w:rPr>
          <w:rFonts w:ascii="Times New Roman"/>
        </w:rPr>
        <w:t>“</w:t>
      </w:r>
      <w:r w:rsidRPr="00576C49">
        <w:rPr>
          <w:rFonts w:ascii="Times New Roman"/>
        </w:rPr>
        <w:t>Responsible Life Sciences Research for Global Health Security</w:t>
      </w:r>
      <w:r w:rsidR="003E627A">
        <w:rPr>
          <w:rFonts w:ascii="Times New Roman"/>
        </w:rPr>
        <w:t>”</w:t>
      </w:r>
      <w:r w:rsidRPr="00576C49">
        <w:rPr>
          <w:rFonts w:ascii="Times New Roman"/>
        </w:rPr>
        <w:t xml:space="preserve"> as a Guidance Document</w:t>
      </w:r>
      <w:r w:rsidRPr="00576C49">
        <w:rPr>
          <w:rStyle w:val="FootnoteReference"/>
        </w:rPr>
        <w:footnoteReference w:id="55"/>
      </w:r>
      <w:r w:rsidRPr="00576C49">
        <w:rPr>
          <w:rFonts w:ascii="Times New Roman"/>
        </w:rPr>
        <w:t xml:space="preserve"> which reviewed the types of life sciences research that may be of concern, offering several examples, including synthetic recreation of viral genetic material. The document outlined a range a range of complementary policy options for managing potential risks, including the following which were not intended to be mutually exclusive: 1) research oversight mechanisms; 2) policies for funding agencies, publishers and editors; 3) laws and regulations; 4) codes of conduct and ethics; and 5) awareness-raising and educational initiatives for scientific communities, policy-makers and the public. It also proposed a biorisk management framework and a self-assessment questionnaire for those undertaking life sciences research that could be misused, including the use of synthetic biology technologies. </w:t>
      </w:r>
    </w:p>
    <w:p w14:paraId="5E7B684B" w14:textId="3FC211EF" w:rsidR="00361AC7" w:rsidRPr="00576C49" w:rsidRDefault="00361AC7" w:rsidP="00361AC7">
      <w:pPr>
        <w:spacing w:line="240" w:lineRule="auto"/>
        <w:jc w:val="both"/>
        <w:rPr>
          <w:rFonts w:ascii="Times New Roman"/>
        </w:rPr>
      </w:pPr>
      <w:r w:rsidRPr="00576C49">
        <w:rPr>
          <w:rFonts w:ascii="Times New Roman"/>
        </w:rPr>
        <w:t xml:space="preserve">In 2021, </w:t>
      </w:r>
      <w:r w:rsidR="003E627A">
        <w:rPr>
          <w:rFonts w:ascii="Times New Roman"/>
        </w:rPr>
        <w:t xml:space="preserve">the </w:t>
      </w:r>
      <w:r w:rsidRPr="00576C49">
        <w:rPr>
          <w:rFonts w:ascii="Times New Roman"/>
        </w:rPr>
        <w:t xml:space="preserve">WHO is undertaking a review of the terminology around responsible life sciences research and dual use research of concern with a view to updating guidance in this area of work, particular in light of biomedical advances since 2010. </w:t>
      </w:r>
    </w:p>
    <w:p w14:paraId="3F5CE7ED" w14:textId="77777777" w:rsidR="00361AC7" w:rsidRPr="00576C49" w:rsidRDefault="00361AC7" w:rsidP="00361AC7">
      <w:pPr>
        <w:keepNext/>
        <w:numPr>
          <w:ilvl w:val="0"/>
          <w:numId w:val="152"/>
        </w:numPr>
        <w:spacing w:before="120" w:after="120" w:line="240" w:lineRule="auto"/>
        <w:ind w:left="284" w:hanging="284"/>
        <w:outlineLvl w:val="4"/>
        <w:rPr>
          <w:rFonts w:ascii="Times New Roman" w:eastAsia="Times New Roman" w:hAnsi="Times New Roman"/>
          <w:bCs/>
          <w:i/>
          <w:kern w:val="1"/>
          <w:szCs w:val="26"/>
          <w:lang w:val="en-CA" w:eastAsia="ar-SA"/>
        </w:rPr>
      </w:pPr>
      <w:r w:rsidRPr="00576C49">
        <w:rPr>
          <w:rFonts w:ascii="Times New Roman" w:eastAsia="Times New Roman" w:hAnsi="Times New Roman"/>
          <w:bCs/>
          <w:i/>
          <w:kern w:val="1"/>
          <w:szCs w:val="26"/>
          <w:lang w:val="en-CA" w:eastAsia="ar-SA"/>
        </w:rPr>
        <w:t>International Health Regulations, pandemic preparedness and Biorisk management</w:t>
      </w:r>
    </w:p>
    <w:p w14:paraId="6A3A5167" w14:textId="03D513C4" w:rsidR="00361AC7" w:rsidRPr="001614F5" w:rsidRDefault="00361AC7" w:rsidP="00361AC7">
      <w:pPr>
        <w:spacing w:line="240" w:lineRule="auto"/>
        <w:jc w:val="both"/>
        <w:rPr>
          <w:rFonts w:ascii="Times New Roman" w:hAnsi="Times New Roman"/>
          <w:color w:val="000000" w:themeColor="text1"/>
          <w:shd w:val="clear" w:color="auto" w:fill="FFFFFF"/>
        </w:rPr>
      </w:pPr>
      <w:r w:rsidRPr="001614F5">
        <w:rPr>
          <w:rFonts w:ascii="Times New Roman" w:hAnsi="Times New Roman"/>
          <w:color w:val="000000" w:themeColor="text1"/>
          <w:shd w:val="clear" w:color="auto" w:fill="FFFFFF"/>
        </w:rPr>
        <w:t xml:space="preserve">In the wake of the COVID-19 pandemic, </w:t>
      </w:r>
      <w:r w:rsidR="00BF301B" w:rsidRPr="001614F5">
        <w:rPr>
          <w:rFonts w:ascii="Times New Roman" w:hAnsi="Times New Roman"/>
          <w:color w:val="000000" w:themeColor="text1"/>
          <w:shd w:val="clear" w:color="auto" w:fill="FFFFFF"/>
        </w:rPr>
        <w:t xml:space="preserve">the </w:t>
      </w:r>
      <w:r w:rsidRPr="001614F5">
        <w:rPr>
          <w:rFonts w:ascii="Times New Roman" w:hAnsi="Times New Roman"/>
          <w:color w:val="000000" w:themeColor="text1"/>
          <w:shd w:val="clear" w:color="auto" w:fill="FFFFFF"/>
        </w:rPr>
        <w:t>WHO is undertaking a comprehensive review of the functioning of the International Health Regulations (2005)</w:t>
      </w:r>
      <w:r w:rsidRPr="001614F5">
        <w:rPr>
          <w:rStyle w:val="FootnoteReference"/>
          <w:color w:val="000000" w:themeColor="text1"/>
          <w:shd w:val="clear" w:color="auto" w:fill="FFFFFF"/>
        </w:rPr>
        <w:footnoteReference w:id="56"/>
      </w:r>
      <w:r w:rsidR="00BF301B" w:rsidRPr="001614F5">
        <w:rPr>
          <w:rFonts w:ascii="Times New Roman" w:hAnsi="Times New Roman"/>
          <w:color w:val="000000" w:themeColor="text1"/>
          <w:shd w:val="clear" w:color="auto" w:fill="FFFFFF"/>
        </w:rPr>
        <w:t>,</w:t>
      </w:r>
      <w:r w:rsidRPr="001614F5">
        <w:rPr>
          <w:rFonts w:ascii="Times New Roman" w:hAnsi="Times New Roman"/>
          <w:color w:val="000000" w:themeColor="text1"/>
          <w:shd w:val="clear" w:color="auto" w:fill="FFFFFF"/>
        </w:rPr>
        <w:t xml:space="preserve"> including provisions for declaring and managing a public health emergency of international concern. </w:t>
      </w:r>
    </w:p>
    <w:p w14:paraId="5A51C23F" w14:textId="2E8CA7F5" w:rsidR="00361AC7" w:rsidRPr="00576C49" w:rsidRDefault="00361AC7" w:rsidP="00361AC7">
      <w:pPr>
        <w:spacing w:line="240" w:lineRule="auto"/>
        <w:jc w:val="both"/>
        <w:rPr>
          <w:rFonts w:ascii="Times New Roman" w:hAnsi="Times New Roman"/>
        </w:rPr>
      </w:pPr>
      <w:r w:rsidRPr="00576C49">
        <w:rPr>
          <w:rFonts w:ascii="Times New Roman" w:hAnsi="Times New Roman"/>
          <w:color w:val="454545"/>
          <w:shd w:val="clear" w:color="auto" w:fill="FFFFFF"/>
        </w:rPr>
        <w:t>The COVID-19 pandemic has also raised awareness of the need for</w:t>
      </w:r>
      <w:r w:rsidRPr="00576C49">
        <w:rPr>
          <w:rFonts w:ascii="Times New Roman" w:hAnsi="Times New Roman"/>
          <w:b/>
          <w:bCs/>
          <w:color w:val="454545"/>
          <w:shd w:val="clear" w:color="auto" w:fill="FFFFFF"/>
        </w:rPr>
        <w:t> </w:t>
      </w:r>
      <w:r w:rsidRPr="00576C49">
        <w:rPr>
          <w:rStyle w:val="Strong"/>
          <w:rFonts w:ascii="Times New Roman" w:hAnsi="Times New Roman"/>
          <w:color w:val="454545"/>
          <w:shd w:val="clear" w:color="auto" w:fill="FFFFFF"/>
        </w:rPr>
        <w:t>better prevention of, and response, to possible or evolving public health emergencies of biological origin, whether natural, accidental or deliberate</w:t>
      </w:r>
      <w:r w:rsidRPr="00576C49">
        <w:rPr>
          <w:rFonts w:ascii="Times New Roman" w:hAnsi="Times New Roman"/>
          <w:color w:val="454545"/>
          <w:shd w:val="clear" w:color="auto" w:fill="FFFFFF"/>
        </w:rPr>
        <w:t xml:space="preserve">. To this end, </w:t>
      </w:r>
      <w:r w:rsidR="00BF301B">
        <w:rPr>
          <w:rFonts w:ascii="Times New Roman" w:hAnsi="Times New Roman"/>
          <w:color w:val="454545"/>
          <w:shd w:val="clear" w:color="auto" w:fill="FFFFFF"/>
        </w:rPr>
        <w:t xml:space="preserve">the </w:t>
      </w:r>
      <w:r w:rsidRPr="00576C49">
        <w:rPr>
          <w:rFonts w:ascii="Times New Roman" w:hAnsi="Times New Roman"/>
          <w:color w:val="454545"/>
          <w:shd w:val="clear" w:color="auto" w:fill="FFFFFF"/>
        </w:rPr>
        <w:t>WHO and UNODA have teamed up as co-leads on a new United Nations internal system-wide Biorisk Working Group established by the Secretary-General</w:t>
      </w:r>
      <w:r w:rsidR="001B4DD4">
        <w:rPr>
          <w:rFonts w:ascii="Times New Roman" w:hAnsi="Times New Roman"/>
          <w:color w:val="454545"/>
          <w:shd w:val="clear" w:color="auto" w:fill="FFFFFF"/>
        </w:rPr>
        <w:t xml:space="preserve">. </w:t>
      </w:r>
      <w:r w:rsidRPr="00576C49">
        <w:rPr>
          <w:rFonts w:ascii="Times New Roman" w:hAnsi="Times New Roman"/>
          <w:color w:val="454545"/>
          <w:shd w:val="clear" w:color="auto" w:fill="FFFFFF"/>
        </w:rPr>
        <w:t>The United Nations Biorisk Working Group aims at bringing together policy/normative and technical expertise to further develop a clear understanding of capacities, mechanisms, roles and responsibilities, and harmoni</w:t>
      </w:r>
      <w:r w:rsidR="001B4DD4">
        <w:rPr>
          <w:rFonts w:ascii="Times New Roman" w:hAnsi="Times New Roman"/>
          <w:color w:val="454545"/>
          <w:shd w:val="clear" w:color="auto" w:fill="FFFFFF"/>
        </w:rPr>
        <w:t>s</w:t>
      </w:r>
      <w:r w:rsidRPr="00576C49">
        <w:rPr>
          <w:rFonts w:ascii="Times New Roman" w:hAnsi="Times New Roman"/>
          <w:color w:val="454545"/>
          <w:shd w:val="clear" w:color="auto" w:fill="FFFFFF"/>
        </w:rPr>
        <w:t>e them within the UN system. This will strengthen the international community’s preparedness and response to natural, accidental or deliberate biological events</w:t>
      </w:r>
      <w:r w:rsidRPr="00576C49">
        <w:rPr>
          <w:rStyle w:val="FootnoteReference"/>
        </w:rPr>
        <w:footnoteReference w:id="57"/>
      </w:r>
      <w:r w:rsidR="001B4DD4">
        <w:rPr>
          <w:rFonts w:ascii="Times New Roman" w:hAnsi="Times New Roman"/>
          <w:color w:val="454545"/>
          <w:shd w:val="clear" w:color="auto" w:fill="FFFFFF"/>
        </w:rPr>
        <w:t>.</w:t>
      </w:r>
    </w:p>
    <w:p w14:paraId="0D95BEF6" w14:textId="77777777" w:rsidR="00361AC7" w:rsidRPr="00576C49" w:rsidRDefault="00361AC7" w:rsidP="00361AC7">
      <w:pPr>
        <w:keepNext/>
        <w:numPr>
          <w:ilvl w:val="0"/>
          <w:numId w:val="152"/>
        </w:numPr>
        <w:spacing w:before="120" w:after="120" w:line="240" w:lineRule="auto"/>
        <w:ind w:left="284" w:hanging="284"/>
        <w:outlineLvl w:val="4"/>
        <w:rPr>
          <w:rFonts w:ascii="Times New Roman" w:eastAsia="Times New Roman" w:hAnsi="Times New Roman"/>
          <w:bCs/>
          <w:i/>
          <w:kern w:val="1"/>
          <w:szCs w:val="26"/>
          <w:shd w:val="clear" w:color="auto" w:fill="FFFFFF"/>
          <w:lang w:val="en-CA" w:eastAsia="ar-SA"/>
        </w:rPr>
      </w:pPr>
      <w:r w:rsidRPr="00576C49">
        <w:rPr>
          <w:rFonts w:ascii="Times New Roman" w:eastAsia="Times New Roman" w:hAnsi="Times New Roman"/>
          <w:bCs/>
          <w:i/>
          <w:kern w:val="1"/>
          <w:szCs w:val="26"/>
          <w:shd w:val="clear" w:color="auto" w:fill="FFFFFF"/>
          <w:lang w:val="en-CA" w:eastAsia="ar-SA"/>
        </w:rPr>
        <w:t>Synthetic biology in relation to smallpox preparedness and control.</w:t>
      </w:r>
    </w:p>
    <w:p w14:paraId="44CB8F33" w14:textId="63E67033" w:rsidR="00361AC7" w:rsidRPr="00576C49" w:rsidRDefault="00361AC7" w:rsidP="00361AC7">
      <w:pPr>
        <w:spacing w:line="240" w:lineRule="auto"/>
        <w:jc w:val="both"/>
        <w:rPr>
          <w:rFonts w:ascii="Times New Roman"/>
        </w:rPr>
      </w:pPr>
      <w:r w:rsidRPr="00576C49">
        <w:rPr>
          <w:rFonts w:ascii="Times New Roman"/>
        </w:rPr>
        <w:t xml:space="preserve">At the Sixty-seventh World Health Assembly in May 2014, </w:t>
      </w:r>
      <w:r w:rsidR="00194F6A">
        <w:rPr>
          <w:rFonts w:ascii="Times New Roman"/>
        </w:rPr>
        <w:t xml:space="preserve">the </w:t>
      </w:r>
      <w:r w:rsidRPr="00576C49">
        <w:rPr>
          <w:rFonts w:ascii="Times New Roman"/>
        </w:rPr>
        <w:t>WHO was requested to undertake a consultation on the use and potential impact of technologies for synthetic biology on smallpox preparedness and control, in order to further inform the World Health Assembly in its discussions on the timing of the destruction of existing variola virus stocks. As part of this consultative process a group of experts, the Independent Advisory Group (IAG) on Public Health Implications of Synthetic Biology Technology Related to Smallpox, was convened at the end of June 2015. Additionally, a Scientific Working Group (SWG) on Synthetic Biology and Variola Virus and Smallpox was convened in April 2015 to provide the technical and scientific background for the IAG.</w:t>
      </w:r>
    </w:p>
    <w:p w14:paraId="50417B55" w14:textId="3435B1EA" w:rsidR="00361AC7" w:rsidRPr="00576C49" w:rsidRDefault="00361AC7" w:rsidP="00361AC7">
      <w:pPr>
        <w:spacing w:line="240" w:lineRule="auto"/>
        <w:jc w:val="both"/>
        <w:rPr>
          <w:rFonts w:ascii="Times New Roman"/>
        </w:rPr>
      </w:pPr>
      <w:r w:rsidRPr="00576C49">
        <w:rPr>
          <w:rFonts w:ascii="Times New Roman"/>
        </w:rPr>
        <w:t>As noted in the IAG</w:t>
      </w:r>
      <w:r w:rsidRPr="00576C49">
        <w:rPr>
          <w:rFonts w:ascii="Times New Roman"/>
        </w:rPr>
        <w:t>’</w:t>
      </w:r>
      <w:r w:rsidRPr="00576C49">
        <w:rPr>
          <w:rFonts w:ascii="Times New Roman"/>
        </w:rPr>
        <w:t xml:space="preserve">s report </w:t>
      </w:r>
      <w:r w:rsidR="008717D8">
        <w:rPr>
          <w:rFonts w:ascii="Times New Roman"/>
        </w:rPr>
        <w:fldChar w:fldCharType="begin" w:fldLock="1"/>
      </w:r>
      <w:r w:rsidR="00D75F15">
        <w:rPr>
          <w:rFonts w:ascii="Times New Roman"/>
        </w:rPr>
        <w:instrText>ADDIN CSL_CITATION {"citationItems":[{"id":"ITEM-1","itemData":{"author":[{"dropping-particle":"","family":"World Health Organization","given":"","non-dropping-particle":"","parse-names":false,"suffix":""}],"id":"ITEM-1","issued":{"date-parts":[["2015"]]},"publisher-place":"Geneva, Switzerland","title":"The Independent Advisory Group on Public Health Implications of Synthetic Biology Technology Related to Smallpox","type":"report"},"uris":["http://www.mendeley.com/documents/?uuid=a789f1cc-67eb-419c-97a1-89cc398576d0"]}],"mendeley":{"formattedCitation":"(World Health Organization, 2015)","manualFormatting":"(WHO, 2015)","plainTextFormattedCitation":"(World Health Organization, 2015)","previouslyFormattedCitation":"(World Health Organization, 2015)"},"properties":{"noteIndex":0},"schema":"https://github.com/citation-style-language/schema/raw/master/csl-citation.json"}</w:instrText>
      </w:r>
      <w:r w:rsidR="008717D8">
        <w:rPr>
          <w:rFonts w:ascii="Times New Roman"/>
        </w:rPr>
        <w:fldChar w:fldCharType="separate"/>
      </w:r>
      <w:r w:rsidR="008717D8" w:rsidRPr="008717D8">
        <w:rPr>
          <w:rFonts w:ascii="Times New Roman"/>
          <w:noProof/>
        </w:rPr>
        <w:t>(W</w:t>
      </w:r>
      <w:r w:rsidR="008717D8">
        <w:rPr>
          <w:rFonts w:ascii="Times New Roman"/>
          <w:noProof/>
        </w:rPr>
        <w:t>HO</w:t>
      </w:r>
      <w:r w:rsidR="008717D8" w:rsidRPr="008717D8">
        <w:rPr>
          <w:rFonts w:ascii="Times New Roman"/>
          <w:noProof/>
        </w:rPr>
        <w:t>, 2015)</w:t>
      </w:r>
      <w:r w:rsidR="008717D8">
        <w:rPr>
          <w:rFonts w:ascii="Times New Roman"/>
        </w:rPr>
        <w:fldChar w:fldCharType="end"/>
      </w:r>
      <w:r w:rsidRPr="00576C49">
        <w:rPr>
          <w:rFonts w:ascii="Times New Roman"/>
        </w:rPr>
        <w:t xml:space="preserve"> the conclusions of the SWG were as follows:</w:t>
      </w:r>
    </w:p>
    <w:p w14:paraId="7B25439E" w14:textId="77777777" w:rsidR="00361AC7" w:rsidRPr="00576C49" w:rsidRDefault="00361AC7" w:rsidP="00361AC7">
      <w:pPr>
        <w:spacing w:line="240" w:lineRule="auto"/>
        <w:ind w:left="567" w:right="571"/>
        <w:jc w:val="both"/>
        <w:rPr>
          <w:rFonts w:ascii="Times New Roman"/>
          <w:i/>
          <w:iCs/>
        </w:rPr>
      </w:pPr>
      <w:r w:rsidRPr="00576C49">
        <w:rPr>
          <w:rFonts w:ascii="Times New Roman"/>
          <w:i/>
          <w:iCs/>
        </w:rPr>
        <w:t>“</w:t>
      </w:r>
      <w:r w:rsidRPr="00576C49">
        <w:rPr>
          <w:rFonts w:ascii="Times New Roman"/>
          <w:i/>
          <w:iCs/>
        </w:rPr>
        <w:t xml:space="preserve">With the rapid advances in synthetic biology, there is now the capability to recreate the variola virus, the causative agent of smallpox. While recreating variola is quite complex, it is increasingly possible due to the availability of genetic material and of machines for complex assembly, as well as increasing know-how among a broad array of persons. Furthermore, the rapid rise in availability of genetic material from commercial sources and the so-called </w:t>
      </w:r>
      <w:r w:rsidRPr="00576C49">
        <w:rPr>
          <w:rFonts w:ascii="Times New Roman"/>
          <w:i/>
          <w:iCs/>
        </w:rPr>
        <w:t>“</w:t>
      </w:r>
      <w:r w:rsidRPr="00576C49">
        <w:rPr>
          <w:rFonts w:ascii="Times New Roman"/>
          <w:i/>
          <w:iCs/>
        </w:rPr>
        <w:t>grey market</w:t>
      </w:r>
      <w:r w:rsidRPr="00576C49">
        <w:rPr>
          <w:rFonts w:ascii="Times New Roman"/>
          <w:i/>
          <w:iCs/>
        </w:rPr>
        <w:t>”</w:t>
      </w:r>
      <w:r w:rsidRPr="00576C49">
        <w:rPr>
          <w:rFonts w:ascii="Times New Roman"/>
          <w:i/>
          <w:iCs/>
        </w:rPr>
        <w:t xml:space="preserve"> is driving the cost of this material down, making recreation possible by multiple institutions and persons, including those with malicious intent. The </w:t>
      </w:r>
      <w:r w:rsidRPr="00576C49">
        <w:rPr>
          <w:rFonts w:ascii="Times New Roman"/>
          <w:i/>
          <w:iCs/>
        </w:rPr>
        <w:t>“</w:t>
      </w:r>
      <w:r w:rsidRPr="00576C49">
        <w:rPr>
          <w:rFonts w:ascii="Times New Roman"/>
          <w:i/>
          <w:iCs/>
        </w:rPr>
        <w:t>WHO Recommendations concerning the distribution, handling and synthesis of variola virus DNA</w:t>
      </w:r>
      <w:r w:rsidRPr="00576C49">
        <w:rPr>
          <w:rFonts w:ascii="Times New Roman"/>
          <w:i/>
          <w:iCs/>
        </w:rPr>
        <w:t>”</w:t>
      </w:r>
      <w:r w:rsidRPr="00576C49">
        <w:rPr>
          <w:rFonts w:ascii="Times New Roman"/>
          <w:i/>
          <w:iCs/>
        </w:rPr>
        <w:t xml:space="preserve"> should be revised.  consideration should be given to adding a component or separate document on guidance to commercial DNA providers for screening requests for DNA fragments. With the development of these technologies, public health agencies have to be aware that henceforth there will always be the potential to recreate variola virus, and therefore the risk of smallpox re-emerging can never be fully eradicated.</w:t>
      </w:r>
      <w:r w:rsidRPr="00576C49">
        <w:rPr>
          <w:rFonts w:ascii="Times New Roman"/>
          <w:i/>
          <w:iCs/>
        </w:rPr>
        <w:t>”</w:t>
      </w:r>
    </w:p>
    <w:p w14:paraId="5F9FF923" w14:textId="6ECAD695" w:rsidR="00361AC7" w:rsidRPr="00576C49" w:rsidRDefault="00361AC7" w:rsidP="00361AC7">
      <w:pPr>
        <w:spacing w:after="0" w:line="240" w:lineRule="auto"/>
        <w:jc w:val="both"/>
        <w:rPr>
          <w:rFonts w:ascii="Times New Roman"/>
        </w:rPr>
      </w:pPr>
      <w:r w:rsidRPr="00576C49">
        <w:rPr>
          <w:rFonts w:ascii="Times New Roman"/>
        </w:rPr>
        <w:t xml:space="preserve">The IAG concluded that the risk of the re-emergence of smallpox overall has increased. They recognised that the creation of the variola virus, using information on DNA sequences, would be easier and cheaper in the future, and may be possible in small laboratories that have inadequate biosafety and biosecurity for handling the virus. It therefore recommended the following to </w:t>
      </w:r>
      <w:r w:rsidR="00194F6A">
        <w:rPr>
          <w:rFonts w:ascii="Times New Roman"/>
        </w:rPr>
        <w:t xml:space="preserve">the </w:t>
      </w:r>
      <w:r w:rsidRPr="00576C49">
        <w:rPr>
          <w:rFonts w:ascii="Times New Roman"/>
        </w:rPr>
        <w:t>WHO</w:t>
      </w:r>
      <w:r w:rsidRPr="00576C49">
        <w:rPr>
          <w:rStyle w:val="FootnoteReference"/>
        </w:rPr>
        <w:footnoteReference w:id="58"/>
      </w:r>
      <w:r w:rsidRPr="00576C49">
        <w:rPr>
          <w:rFonts w:ascii="Times New Roman"/>
        </w:rPr>
        <w:t>:</w:t>
      </w:r>
    </w:p>
    <w:p w14:paraId="17258D68" w14:textId="77777777" w:rsidR="00361AC7" w:rsidRPr="00576C49" w:rsidRDefault="00361AC7" w:rsidP="00361AC7">
      <w:pPr>
        <w:numPr>
          <w:ilvl w:val="0"/>
          <w:numId w:val="149"/>
        </w:numPr>
        <w:spacing w:before="60" w:after="0" w:line="240" w:lineRule="auto"/>
        <w:ind w:left="284" w:hanging="284"/>
        <w:jc w:val="both"/>
        <w:rPr>
          <w:rFonts w:ascii="Times New Roman"/>
        </w:rPr>
      </w:pPr>
      <w:r w:rsidRPr="00576C49">
        <w:rPr>
          <w:rFonts w:ascii="Times New Roman"/>
        </w:rPr>
        <w:t>to increase significantly preparedness efforts to ensure that early detection and rapid response capacities, including those in risk communications, for a potential smallpox re-emergence are widely available; and</w:t>
      </w:r>
    </w:p>
    <w:p w14:paraId="16AE9285" w14:textId="77777777" w:rsidR="00361AC7" w:rsidRPr="00576C49" w:rsidRDefault="00361AC7" w:rsidP="00361AC7">
      <w:pPr>
        <w:numPr>
          <w:ilvl w:val="0"/>
          <w:numId w:val="149"/>
        </w:numPr>
        <w:spacing w:before="60" w:after="0" w:line="240" w:lineRule="auto"/>
        <w:ind w:left="284" w:hanging="284"/>
        <w:jc w:val="both"/>
        <w:rPr>
          <w:rFonts w:ascii="Times New Roman"/>
        </w:rPr>
      </w:pPr>
      <w:r w:rsidRPr="00576C49">
        <w:rPr>
          <w:rFonts w:ascii="Times New Roman"/>
        </w:rPr>
        <w:t>to revise the WHO regulations for the handling of variola virus (whole virus or fragments) with particular emphasis on biosafety and biosecurity rules and regulations to reduce and minimise the risk of a laboratory accident that may occur from the widespread use of synthetic biology technology.</w:t>
      </w:r>
    </w:p>
    <w:p w14:paraId="4237B396" w14:textId="143E94F6" w:rsidR="00361AC7" w:rsidRPr="00576C49" w:rsidRDefault="00361AC7" w:rsidP="00361AC7">
      <w:pPr>
        <w:spacing w:before="120" w:after="0" w:line="240" w:lineRule="auto"/>
        <w:jc w:val="both"/>
        <w:rPr>
          <w:rFonts w:ascii="Times New Roman"/>
        </w:rPr>
      </w:pPr>
      <w:r w:rsidRPr="00576C49">
        <w:rPr>
          <w:rFonts w:ascii="Times New Roman"/>
        </w:rPr>
        <w:t xml:space="preserve">Following these synthetic biology consultations, </w:t>
      </w:r>
      <w:r w:rsidR="002A3A54">
        <w:rPr>
          <w:rFonts w:ascii="Times New Roman"/>
        </w:rPr>
        <w:t xml:space="preserve">the </w:t>
      </w:r>
      <w:r w:rsidRPr="00576C49">
        <w:rPr>
          <w:rFonts w:ascii="Times New Roman"/>
        </w:rPr>
        <w:t>WHO sought input from the Advisory Committee for Variola Virus Research and in 2016 updated its recommendations concerning the distribution, handling and synthesis of variola virus DNA</w:t>
      </w:r>
      <w:r w:rsidRPr="00576C49">
        <w:rPr>
          <w:vertAlign w:val="superscript"/>
        </w:rPr>
        <w:footnoteReference w:id="59"/>
      </w:r>
      <w:r w:rsidRPr="00576C49">
        <w:rPr>
          <w:rFonts w:ascii="Times New Roman"/>
        </w:rPr>
        <w:t>. It contains the following guidance on the synthesis of variola virus DNA:</w:t>
      </w:r>
    </w:p>
    <w:p w14:paraId="6DF14EF7" w14:textId="77777777" w:rsidR="00361AC7" w:rsidRPr="00576C49" w:rsidRDefault="00361AC7" w:rsidP="00361AC7">
      <w:pPr>
        <w:numPr>
          <w:ilvl w:val="0"/>
          <w:numId w:val="150"/>
        </w:numPr>
        <w:spacing w:before="60" w:after="0" w:line="240" w:lineRule="auto"/>
        <w:ind w:left="284" w:hanging="284"/>
        <w:jc w:val="both"/>
        <w:rPr>
          <w:rFonts w:ascii="Times New Roman"/>
        </w:rPr>
      </w:pPr>
      <w:r w:rsidRPr="00576C49">
        <w:rPr>
          <w:rFonts w:ascii="Times New Roman"/>
        </w:rPr>
        <w:t>Attempts to synthesise full-length variola virus genomes or infectious variola viruses from smaller DNA fragments are strictly forbidden.</w:t>
      </w:r>
    </w:p>
    <w:p w14:paraId="5D6F52E3" w14:textId="2F81A1BD" w:rsidR="00361AC7" w:rsidRPr="00576C49" w:rsidRDefault="00361AC7" w:rsidP="00361AC7">
      <w:pPr>
        <w:numPr>
          <w:ilvl w:val="0"/>
          <w:numId w:val="150"/>
        </w:numPr>
        <w:spacing w:before="60" w:after="0" w:line="240" w:lineRule="auto"/>
        <w:ind w:left="284" w:hanging="284"/>
        <w:jc w:val="both"/>
        <w:rPr>
          <w:rFonts w:ascii="Times New Roman"/>
        </w:rPr>
      </w:pPr>
      <w:r w:rsidRPr="00576C49">
        <w:rPr>
          <w:rFonts w:ascii="Times New Roman"/>
        </w:rPr>
        <w:t xml:space="preserve">Synthesis of variola virus DNA to express a variola virus protein, or synthesis of codon modified DNAs for the same purpose requires prior permission from </w:t>
      </w:r>
      <w:r w:rsidR="002A3A54">
        <w:rPr>
          <w:rFonts w:ascii="Times New Roman"/>
        </w:rPr>
        <w:t xml:space="preserve">the </w:t>
      </w:r>
      <w:r w:rsidRPr="00576C49">
        <w:rPr>
          <w:rFonts w:ascii="Times New Roman"/>
        </w:rPr>
        <w:t xml:space="preserve">WHO. Similarly, mutagenesis of orthopoxvirus DNA with the aim of producing a variola virus protein requires prior permission from </w:t>
      </w:r>
      <w:r w:rsidR="00A44DDD">
        <w:rPr>
          <w:rFonts w:ascii="Times New Roman"/>
        </w:rPr>
        <w:t xml:space="preserve">the </w:t>
      </w:r>
      <w:r w:rsidRPr="00576C49">
        <w:rPr>
          <w:rFonts w:ascii="Times New Roman"/>
        </w:rPr>
        <w:t xml:space="preserve">WHO through the same channel. Those undertaking synthesis of variola virus DNA are under the same obligations and constraints outlined above in the section on </w:t>
      </w:r>
      <w:r w:rsidR="00A44DDD">
        <w:rPr>
          <w:rFonts w:ascii="Times New Roman"/>
        </w:rPr>
        <w:t>d</w:t>
      </w:r>
      <w:r w:rsidRPr="00576C49">
        <w:rPr>
          <w:rFonts w:ascii="Times New Roman"/>
        </w:rPr>
        <w:t>istribution of variola virus DNA.</w:t>
      </w:r>
    </w:p>
    <w:p w14:paraId="12CBC3BB" w14:textId="0A942443" w:rsidR="00361AC7" w:rsidRPr="00576C49" w:rsidRDefault="00361AC7" w:rsidP="00361AC7">
      <w:pPr>
        <w:numPr>
          <w:ilvl w:val="0"/>
          <w:numId w:val="150"/>
        </w:numPr>
        <w:spacing w:before="60" w:after="0" w:line="240" w:lineRule="auto"/>
        <w:ind w:left="284" w:hanging="284"/>
        <w:jc w:val="both"/>
        <w:rPr>
          <w:rFonts w:ascii="Times New Roman"/>
        </w:rPr>
      </w:pPr>
      <w:r w:rsidRPr="00576C49">
        <w:rPr>
          <w:rFonts w:ascii="Times New Roman"/>
        </w:rPr>
        <w:t>Under no circumstances can any single laboratory other than the designated WHO Collaborating Centres hosting the variola virus repositories hold DNA comprising more than 20</w:t>
      </w:r>
      <w:r w:rsidR="00A44DDD">
        <w:rPr>
          <w:rFonts w:ascii="Times New Roman"/>
        </w:rPr>
        <w:t xml:space="preserve"> </w:t>
      </w:r>
      <w:r w:rsidRPr="00576C49">
        <w:rPr>
          <w:rFonts w:ascii="Times New Roman"/>
        </w:rPr>
        <w:t xml:space="preserve">% of the total genome, except that permission from </w:t>
      </w:r>
      <w:r w:rsidR="00A44DDD">
        <w:rPr>
          <w:rFonts w:ascii="Times New Roman"/>
        </w:rPr>
        <w:t xml:space="preserve">the </w:t>
      </w:r>
      <w:r w:rsidRPr="00576C49">
        <w:rPr>
          <w:rFonts w:ascii="Times New Roman"/>
        </w:rPr>
        <w:t>WHO is not required for the production of DNA microarrays, on which small oligonucleotides (less than 80 base pairs) are covalently bound to a matrix and which, in aggregate, may span the entire variola virus genome.</w:t>
      </w:r>
    </w:p>
    <w:p w14:paraId="2E209AAD" w14:textId="0C633FC1" w:rsidR="00361AC7" w:rsidRPr="00576C49" w:rsidRDefault="00361AC7" w:rsidP="00361AC7">
      <w:pPr>
        <w:numPr>
          <w:ilvl w:val="0"/>
          <w:numId w:val="150"/>
        </w:numPr>
        <w:spacing w:before="60" w:after="0" w:line="240" w:lineRule="auto"/>
        <w:ind w:left="284" w:hanging="284"/>
        <w:jc w:val="both"/>
        <w:rPr>
          <w:rFonts w:ascii="Times New Roman"/>
        </w:rPr>
      </w:pPr>
      <w:r w:rsidRPr="00576C49">
        <w:rPr>
          <w:rFonts w:ascii="Times New Roman"/>
        </w:rPr>
        <w:t>For diagnostic kit purposes, variola virus DNA fragments up to 500 nucleotides may be synthesi</w:t>
      </w:r>
      <w:r w:rsidR="00E13284">
        <w:rPr>
          <w:rFonts w:ascii="Times New Roman"/>
        </w:rPr>
        <w:t>s</w:t>
      </w:r>
      <w:r w:rsidR="00A048FC">
        <w:rPr>
          <w:rFonts w:ascii="Times New Roman"/>
        </w:rPr>
        <w:t>ed</w:t>
      </w:r>
      <w:r w:rsidRPr="00576C49">
        <w:rPr>
          <w:rFonts w:ascii="Times New Roman"/>
        </w:rPr>
        <w:t xml:space="preserve"> without notification to </w:t>
      </w:r>
      <w:r w:rsidR="00E13284">
        <w:rPr>
          <w:rFonts w:ascii="Times New Roman"/>
        </w:rPr>
        <w:t xml:space="preserve">the </w:t>
      </w:r>
      <w:r w:rsidRPr="00576C49">
        <w:rPr>
          <w:rFonts w:ascii="Times New Roman"/>
        </w:rPr>
        <w:t>WHO.</w:t>
      </w:r>
    </w:p>
    <w:p w14:paraId="33DAAC1A" w14:textId="77777777" w:rsidR="00361AC7" w:rsidRPr="00576C49" w:rsidRDefault="00361AC7" w:rsidP="00361AC7">
      <w:pPr>
        <w:numPr>
          <w:ilvl w:val="0"/>
          <w:numId w:val="150"/>
        </w:numPr>
        <w:spacing w:before="60" w:after="0" w:line="240" w:lineRule="auto"/>
        <w:ind w:left="284" w:hanging="284"/>
        <w:jc w:val="both"/>
        <w:rPr>
          <w:rFonts w:ascii="Times New Roman"/>
        </w:rPr>
      </w:pPr>
      <w:r w:rsidRPr="00576C49">
        <w:rPr>
          <w:rFonts w:ascii="Times New Roman"/>
        </w:rPr>
        <w:t>These policies also extend to the manufacturers of synthetic DNA who must also be held responsible for upholding these recommendations and national policies.</w:t>
      </w:r>
    </w:p>
    <w:p w14:paraId="6404016E" w14:textId="438526DF" w:rsidR="00361AC7" w:rsidRPr="00576C49" w:rsidRDefault="00361AC7" w:rsidP="001D3E2A">
      <w:pPr>
        <w:spacing w:before="60" w:after="0" w:line="240" w:lineRule="auto"/>
        <w:jc w:val="both"/>
        <w:rPr>
          <w:rFonts w:ascii="Times New Roman"/>
        </w:rPr>
      </w:pPr>
      <w:r w:rsidRPr="00576C49">
        <w:rPr>
          <w:rFonts w:ascii="Times New Roman"/>
        </w:rPr>
        <w:t xml:space="preserve">The WHO recommendations are currently under review in order to address the emerging issue of research involving variola virus DNA that may be present in human remains or museum specimens. </w:t>
      </w:r>
    </w:p>
    <w:p w14:paraId="08B7B4FA" w14:textId="77777777" w:rsidR="00361AC7" w:rsidRPr="00576C49" w:rsidRDefault="00361AC7" w:rsidP="00361AC7">
      <w:pPr>
        <w:keepNext/>
        <w:numPr>
          <w:ilvl w:val="0"/>
          <w:numId w:val="152"/>
        </w:numPr>
        <w:spacing w:before="120" w:after="120" w:line="240" w:lineRule="auto"/>
        <w:ind w:left="284" w:hanging="284"/>
        <w:outlineLvl w:val="4"/>
        <w:rPr>
          <w:rFonts w:ascii="Times New Roman" w:eastAsia="Times New Roman" w:hAnsi="Times New Roman"/>
          <w:bCs/>
          <w:i/>
          <w:kern w:val="1"/>
          <w:szCs w:val="26"/>
          <w:lang w:val="en-CA" w:eastAsia="ar-SA"/>
        </w:rPr>
      </w:pPr>
      <w:r w:rsidRPr="00576C49">
        <w:rPr>
          <w:rFonts w:ascii="Times New Roman" w:eastAsia="Times New Roman" w:hAnsi="Times New Roman"/>
          <w:bCs/>
          <w:i/>
          <w:kern w:val="1"/>
          <w:szCs w:val="26"/>
          <w:lang w:val="en-CA" w:eastAsia="ar-SA"/>
        </w:rPr>
        <w:t>Synthetic biology in relation to genetically modified mosquitoes for the control of vector-borne diseases.</w:t>
      </w:r>
    </w:p>
    <w:p w14:paraId="0AA69066" w14:textId="5E5CA1AD" w:rsidR="00361AC7" w:rsidRPr="00576C49" w:rsidRDefault="00361AC7" w:rsidP="00361AC7">
      <w:pPr>
        <w:spacing w:line="240" w:lineRule="auto"/>
        <w:jc w:val="both"/>
        <w:rPr>
          <w:rFonts w:ascii="Times New Roman"/>
        </w:rPr>
      </w:pPr>
      <w:r w:rsidRPr="00576C49">
        <w:rPr>
          <w:rFonts w:ascii="Times New Roman"/>
        </w:rPr>
        <w:t>In October 2020</w:t>
      </w:r>
      <w:r w:rsidR="00E13284">
        <w:rPr>
          <w:rFonts w:ascii="Times New Roman"/>
        </w:rPr>
        <w:t>,</w:t>
      </w:r>
      <w:r w:rsidRPr="00576C49">
        <w:rPr>
          <w:rFonts w:ascii="Times New Roman"/>
        </w:rPr>
        <w:t xml:space="preserve"> </w:t>
      </w:r>
      <w:r w:rsidR="00E13284">
        <w:rPr>
          <w:rFonts w:ascii="Times New Roman"/>
        </w:rPr>
        <w:t xml:space="preserve">the </w:t>
      </w:r>
      <w:r w:rsidRPr="00576C49">
        <w:rPr>
          <w:rFonts w:ascii="Times New Roman"/>
        </w:rPr>
        <w:t xml:space="preserve">WHO issued a position statement to clarify its stance on the evaluation and use of genetically modified mosquitoes (GMMs) for the control of vector-borne diseases (VBDs) </w:t>
      </w:r>
      <w:r w:rsidR="00D75F15">
        <w:rPr>
          <w:rFonts w:ascii="Times New Roman"/>
        </w:rPr>
        <w:fldChar w:fldCharType="begin" w:fldLock="1"/>
      </w:r>
      <w:r w:rsidR="00274B7F">
        <w:rPr>
          <w:rFonts w:ascii="Times New Roman"/>
        </w:rPr>
        <w:instrText>ADDIN CSL_CITATION {"citationItems":[{"id":"ITEM-1","itemData":{"ISBN":"978-92-4-001315-5","author":[{"dropping-particle":"","family":"World Health Organization","given":"","non-dropping-particle":"","parse-names":false,"suffix":""}],"id":"ITEM-1","issued":{"date-parts":[["2020"]]},"page":"7","publisher-place":"Geneva, Switzerland","title":"Evaluation of genetically modified mosquitoes for the control of vector-borne diseases","type":"article"},"uris":["http://www.mendeley.com/documents/?uuid=63779782-1bcb-4050-ac82-da86fe37648b"]}],"mendeley":{"formattedCitation":"(World Health Organization, 2020a)","manualFormatting":"(WHO, 2020)","plainTextFormattedCitation":"(World Health Organization, 2020a)","previouslyFormattedCitation":"(World Health Organization, 2020a)"},"properties":{"noteIndex":0},"schema":"https://github.com/citation-style-language/schema/raw/master/csl-citation.json"}</w:instrText>
      </w:r>
      <w:r w:rsidR="00D75F15">
        <w:rPr>
          <w:rFonts w:ascii="Times New Roman"/>
        </w:rPr>
        <w:fldChar w:fldCharType="separate"/>
      </w:r>
      <w:r w:rsidR="00D75F15" w:rsidRPr="00D75F15">
        <w:rPr>
          <w:rFonts w:ascii="Times New Roman"/>
          <w:noProof/>
        </w:rPr>
        <w:t>(W</w:t>
      </w:r>
      <w:r w:rsidR="00D75F15">
        <w:rPr>
          <w:rFonts w:ascii="Times New Roman"/>
          <w:noProof/>
        </w:rPr>
        <w:t>HO</w:t>
      </w:r>
      <w:r w:rsidR="00D75F15" w:rsidRPr="00D75F15">
        <w:rPr>
          <w:rFonts w:ascii="Times New Roman"/>
          <w:noProof/>
        </w:rPr>
        <w:t>, 2020)</w:t>
      </w:r>
      <w:r w:rsidR="00D75F15">
        <w:rPr>
          <w:rFonts w:ascii="Times New Roman"/>
        </w:rPr>
        <w:fldChar w:fldCharType="end"/>
      </w:r>
      <w:r w:rsidRPr="00576C49">
        <w:rPr>
          <w:rStyle w:val="FootnoteReference"/>
        </w:rPr>
        <w:footnoteReference w:id="60"/>
      </w:r>
      <w:r w:rsidRPr="00576C49">
        <w:rPr>
          <w:rFonts w:ascii="Times New Roman"/>
        </w:rPr>
        <w:t>. The statement was issued in accordance with its mandate to provide guidance to Member States on health policy and in response to enquiries from Member States and their implementing partners about the Organization</w:t>
      </w:r>
      <w:r w:rsidRPr="00576C49">
        <w:rPr>
          <w:rFonts w:ascii="Times New Roman"/>
        </w:rPr>
        <w:t>’</w:t>
      </w:r>
      <w:r w:rsidRPr="00576C49">
        <w:rPr>
          <w:rFonts w:ascii="Times New Roman"/>
        </w:rPr>
        <w:t>s position on both research on and deployment of GMMs to reduce or prevent transmission of VBDs.</w:t>
      </w:r>
    </w:p>
    <w:p w14:paraId="32FE47A9" w14:textId="72C6DCC0" w:rsidR="00361AC7" w:rsidRPr="00576C49" w:rsidRDefault="00361AC7" w:rsidP="00361AC7">
      <w:pPr>
        <w:autoSpaceDE w:val="0"/>
        <w:autoSpaceDN w:val="0"/>
        <w:adjustRightInd w:val="0"/>
        <w:spacing w:before="60" w:after="0" w:line="240" w:lineRule="auto"/>
        <w:jc w:val="both"/>
        <w:rPr>
          <w:rFonts w:ascii="Times New Roman" w:eastAsia="Times New Roman" w:hAnsi="Times New Roman"/>
        </w:rPr>
      </w:pPr>
      <w:r w:rsidRPr="00576C49">
        <w:rPr>
          <w:rFonts w:ascii="Times New Roman" w:eastAsia="Times New Roman" w:hAnsi="Times New Roman"/>
        </w:rPr>
        <w:t xml:space="preserve"> The main elements of </w:t>
      </w:r>
      <w:r w:rsidR="00996BAE">
        <w:rPr>
          <w:rFonts w:ascii="Times New Roman" w:eastAsia="Times New Roman" w:hAnsi="Times New Roman"/>
        </w:rPr>
        <w:t xml:space="preserve">the </w:t>
      </w:r>
      <w:r w:rsidRPr="00576C49">
        <w:rPr>
          <w:rFonts w:ascii="Times New Roman" w:eastAsia="Times New Roman" w:hAnsi="Times New Roman"/>
        </w:rPr>
        <w:t>WHO’s position are summarised in the position statement as follows:</w:t>
      </w:r>
    </w:p>
    <w:p w14:paraId="600FF77C" w14:textId="77777777" w:rsidR="00361AC7" w:rsidRPr="00576C49" w:rsidRDefault="00361AC7" w:rsidP="00361AC7">
      <w:pPr>
        <w:numPr>
          <w:ilvl w:val="0"/>
          <w:numId w:val="151"/>
        </w:numPr>
        <w:autoSpaceDE w:val="0"/>
        <w:autoSpaceDN w:val="0"/>
        <w:adjustRightInd w:val="0"/>
        <w:spacing w:before="60" w:after="0" w:line="240" w:lineRule="auto"/>
        <w:ind w:left="284" w:hanging="284"/>
        <w:jc w:val="both"/>
        <w:rPr>
          <w:rFonts w:ascii="Times New Roman" w:hAnsi="Times New Roman"/>
          <w:i/>
          <w:iCs/>
        </w:rPr>
      </w:pPr>
      <w:r w:rsidRPr="00576C49">
        <w:rPr>
          <w:rFonts w:ascii="Times New Roman" w:hAnsi="Times New Roman"/>
          <w:i/>
          <w:iCs/>
        </w:rPr>
        <w:t>“VBDs cause more than 700 000 deaths annually and are responsible for 17% of the global burden of communicable diseases. Significant progress was made in the control of malaria until 2015, but progress has stalled in recent years. WHO recognizes the urgent need for development and testing of new tools to combat VBDs and supports investigation of all new potential control technologies, including GMMs.</w:t>
      </w:r>
    </w:p>
    <w:p w14:paraId="5F9628C3" w14:textId="77777777" w:rsidR="00361AC7" w:rsidRPr="00576C49" w:rsidRDefault="00361AC7" w:rsidP="00361AC7">
      <w:pPr>
        <w:numPr>
          <w:ilvl w:val="0"/>
          <w:numId w:val="151"/>
        </w:numPr>
        <w:autoSpaceDE w:val="0"/>
        <w:autoSpaceDN w:val="0"/>
        <w:adjustRightInd w:val="0"/>
        <w:spacing w:before="60" w:after="0" w:line="240" w:lineRule="auto"/>
        <w:ind w:left="284" w:hanging="284"/>
        <w:jc w:val="both"/>
        <w:rPr>
          <w:rFonts w:ascii="Times New Roman" w:hAnsi="Times New Roman"/>
          <w:i/>
          <w:iCs/>
        </w:rPr>
      </w:pPr>
      <w:r w:rsidRPr="00576C49">
        <w:rPr>
          <w:rFonts w:ascii="Times New Roman" w:hAnsi="Times New Roman"/>
          <w:i/>
          <w:iCs/>
        </w:rPr>
        <w:t>In order to maintain the gains made so far and to advance further towards the elimination and eventual eradication of VBDs, the development and testing of new tools to control both the pathogens and the vectors are urgently needed. WHO actively encourages innovation in this field.</w:t>
      </w:r>
    </w:p>
    <w:p w14:paraId="1EA69D14" w14:textId="77777777" w:rsidR="00361AC7" w:rsidRPr="00576C49" w:rsidRDefault="00361AC7" w:rsidP="00361AC7">
      <w:pPr>
        <w:numPr>
          <w:ilvl w:val="0"/>
          <w:numId w:val="151"/>
        </w:numPr>
        <w:autoSpaceDE w:val="0"/>
        <w:autoSpaceDN w:val="0"/>
        <w:adjustRightInd w:val="0"/>
        <w:spacing w:before="60" w:after="0" w:line="240" w:lineRule="auto"/>
        <w:ind w:left="284" w:hanging="284"/>
        <w:jc w:val="both"/>
        <w:rPr>
          <w:rFonts w:ascii="Times New Roman" w:hAnsi="Times New Roman"/>
          <w:i/>
          <w:iCs/>
        </w:rPr>
      </w:pPr>
      <w:r w:rsidRPr="00576C49">
        <w:rPr>
          <w:rFonts w:ascii="Times New Roman" w:hAnsi="Times New Roman"/>
          <w:i/>
          <w:iCs/>
        </w:rPr>
        <w:t xml:space="preserve">New technologies, including GMMs, may supplement or provide alternatives to existing interventions and may further reduce or even prevent disease transmission. Computer simulation modelling indicates that GMMs could be a valuable new tool in efforts to eliminate malaria and to control Aedes-borne VBDs. Use of GMMs, however, raises concerns about ethics, safety and governance and questions of affordability and cost–effectiveness which must be addressed. In the spirit of fostering innovation, WHO takes the position that all potentially beneficial new technologies, including GMMs, should be investigated to determine whether they could be useful in the continued fight against diseases of public health concern. Such research should be conducted in steps and be supported by clear governance mechanisms to evaluate the health, environmental and ecological implications. </w:t>
      </w:r>
    </w:p>
    <w:p w14:paraId="78E4D2BE" w14:textId="77777777" w:rsidR="00361AC7" w:rsidRPr="00576C49" w:rsidRDefault="00361AC7" w:rsidP="00361AC7">
      <w:pPr>
        <w:numPr>
          <w:ilvl w:val="0"/>
          <w:numId w:val="151"/>
        </w:numPr>
        <w:autoSpaceDE w:val="0"/>
        <w:autoSpaceDN w:val="0"/>
        <w:adjustRightInd w:val="0"/>
        <w:spacing w:before="60" w:after="0" w:line="240" w:lineRule="auto"/>
        <w:ind w:left="284" w:hanging="284"/>
        <w:jc w:val="both"/>
        <w:rPr>
          <w:rFonts w:ascii="Times New Roman" w:hAnsi="Times New Roman"/>
          <w:i/>
          <w:iCs/>
        </w:rPr>
      </w:pPr>
      <w:r w:rsidRPr="00576C49">
        <w:rPr>
          <w:rFonts w:ascii="Times New Roman" w:hAnsi="Times New Roman"/>
          <w:i/>
          <w:iCs/>
        </w:rPr>
        <w:t xml:space="preserve">Current mechanisms of governance and oversight, from global to national and institutional levels, must be adapted to the purpose rather than replaced. Existing governance mechanisms should be backed financially to ensure that they are effective. </w:t>
      </w:r>
    </w:p>
    <w:p w14:paraId="7D75B1FD" w14:textId="77777777" w:rsidR="00361AC7" w:rsidRPr="00576C49" w:rsidRDefault="00361AC7" w:rsidP="00361AC7">
      <w:pPr>
        <w:numPr>
          <w:ilvl w:val="0"/>
          <w:numId w:val="151"/>
        </w:numPr>
        <w:autoSpaceDE w:val="0"/>
        <w:autoSpaceDN w:val="0"/>
        <w:adjustRightInd w:val="0"/>
        <w:spacing w:before="60" w:after="0" w:line="240" w:lineRule="auto"/>
        <w:ind w:left="284" w:hanging="284"/>
        <w:jc w:val="both"/>
        <w:rPr>
          <w:rFonts w:ascii="Times New Roman" w:hAnsi="Times New Roman"/>
          <w:i/>
          <w:iCs/>
        </w:rPr>
      </w:pPr>
      <w:r w:rsidRPr="00576C49">
        <w:rPr>
          <w:rFonts w:ascii="Times New Roman" w:hAnsi="Times New Roman"/>
          <w:i/>
          <w:iCs/>
        </w:rPr>
        <w:t>Internationally recognized risk assessment tools and procedures should be used for evaluating safety. Decisions on evaluation of GMMs should account for the potential benefits to health in terms of disease control and not be limited to potential environmental risk.</w:t>
      </w:r>
    </w:p>
    <w:p w14:paraId="273A3790" w14:textId="77777777" w:rsidR="00361AC7" w:rsidRPr="00576C49" w:rsidRDefault="00361AC7" w:rsidP="00361AC7">
      <w:pPr>
        <w:numPr>
          <w:ilvl w:val="0"/>
          <w:numId w:val="151"/>
        </w:numPr>
        <w:autoSpaceDE w:val="0"/>
        <w:autoSpaceDN w:val="0"/>
        <w:adjustRightInd w:val="0"/>
        <w:spacing w:before="60" w:after="0" w:line="240" w:lineRule="auto"/>
        <w:ind w:left="284" w:hanging="284"/>
        <w:jc w:val="both"/>
        <w:rPr>
          <w:rFonts w:ascii="Times New Roman" w:hAnsi="Times New Roman"/>
          <w:i/>
          <w:iCs/>
        </w:rPr>
      </w:pPr>
      <w:r w:rsidRPr="00576C49">
        <w:rPr>
          <w:rFonts w:ascii="Times New Roman" w:hAnsi="Times New Roman"/>
          <w:i/>
          <w:iCs/>
        </w:rPr>
        <w:t>Community engagement is essential in developing effective approaches to combating VBDs. Communities must be engaged in planning and conducting field trials before any new public health intervention is introduced. WHO considers that tools for engaging populations affected by VBDs are a priority in field research on GMMs.”</w:t>
      </w:r>
    </w:p>
    <w:p w14:paraId="7F726481" w14:textId="3189EFFB" w:rsidR="00361AC7" w:rsidRPr="00576C49" w:rsidRDefault="00996BAE" w:rsidP="00361AC7">
      <w:pPr>
        <w:spacing w:before="120" w:after="120" w:line="240" w:lineRule="auto"/>
        <w:jc w:val="both"/>
        <w:rPr>
          <w:rFonts w:ascii="Times New Roman" w:eastAsia="Times New Roman" w:hAnsi="Times New Roman"/>
          <w:iCs/>
          <w:kern w:val="1"/>
          <w:szCs w:val="24"/>
          <w:lang w:eastAsia="ar-SA"/>
        </w:rPr>
      </w:pPr>
      <w:r>
        <w:rPr>
          <w:rFonts w:ascii="Times New Roman" w:eastAsia="Times New Roman" w:hAnsi="Times New Roman"/>
          <w:iCs/>
          <w:kern w:val="1"/>
          <w:szCs w:val="24"/>
          <w:lang w:eastAsia="ar-SA"/>
        </w:rPr>
        <w:t xml:space="preserve">The </w:t>
      </w:r>
      <w:r w:rsidR="00361AC7" w:rsidRPr="00576C49">
        <w:rPr>
          <w:rFonts w:ascii="Times New Roman" w:eastAsia="Times New Roman" w:hAnsi="Times New Roman"/>
          <w:iCs/>
          <w:kern w:val="1"/>
          <w:szCs w:val="24"/>
          <w:lang w:eastAsia="ar-SA"/>
        </w:rPr>
        <w:t>WHO’s position statement includes a recommendation addressing the testing of GMMs as follows:</w:t>
      </w:r>
    </w:p>
    <w:p w14:paraId="628696DB" w14:textId="77777777" w:rsidR="00361AC7" w:rsidRPr="00576C49" w:rsidRDefault="00361AC7" w:rsidP="00361AC7">
      <w:pPr>
        <w:spacing w:before="120" w:after="120" w:line="240" w:lineRule="auto"/>
        <w:ind w:left="567" w:right="571"/>
        <w:jc w:val="both"/>
        <w:rPr>
          <w:rFonts w:ascii="Times New Roman" w:eastAsia="Times New Roman" w:hAnsi="Times New Roman"/>
          <w:i/>
          <w:kern w:val="1"/>
          <w:szCs w:val="24"/>
          <w:lang w:eastAsia="ar-SA"/>
        </w:rPr>
      </w:pPr>
      <w:r w:rsidRPr="00576C49">
        <w:rPr>
          <w:rFonts w:ascii="Times New Roman" w:eastAsia="Times New Roman" w:hAnsi="Times New Roman"/>
          <w:i/>
          <w:kern w:val="1"/>
          <w:szCs w:val="24"/>
          <w:lang w:eastAsia="ar-SA"/>
        </w:rPr>
        <w:t>“WHO recommends a stepwise approach to testing GMMs. Oversight mechanisms established by WHO for new vector control interventions are relevant, in addition to those established under the Convention on Biological Diversity; national and institutional mechanisms are also applicable. New vector control interventions should be evaluated with internationally recognized procedures for risk assessment, with account taken of potential health benefit. Substantive engagement of communities, including under-represented and indigenous populations, is a priority in field trials of any new VBD control strategy and of any new public health intervention strategy.”</w:t>
      </w:r>
    </w:p>
    <w:p w14:paraId="60564246" w14:textId="17FC6869" w:rsidR="00361AC7" w:rsidRPr="00576C49" w:rsidRDefault="00361AC7" w:rsidP="00361AC7">
      <w:pPr>
        <w:keepNext/>
        <w:numPr>
          <w:ilvl w:val="0"/>
          <w:numId w:val="152"/>
        </w:numPr>
        <w:spacing w:before="120" w:after="120" w:line="240" w:lineRule="auto"/>
        <w:ind w:left="284" w:hanging="284"/>
        <w:outlineLvl w:val="4"/>
        <w:rPr>
          <w:rFonts w:ascii="Times New Roman" w:eastAsia="Times New Roman" w:hAnsi="Times New Roman"/>
          <w:bCs/>
          <w:i/>
          <w:kern w:val="1"/>
          <w:szCs w:val="26"/>
          <w:lang w:eastAsia="ar-SA"/>
        </w:rPr>
      </w:pPr>
      <w:r w:rsidRPr="00576C49">
        <w:rPr>
          <w:rFonts w:ascii="Times New Roman" w:eastAsia="Times New Roman" w:hAnsi="Times New Roman"/>
          <w:bCs/>
          <w:i/>
          <w:kern w:val="1"/>
          <w:szCs w:val="26"/>
          <w:lang w:val="en-CA" w:eastAsia="ar-SA"/>
        </w:rPr>
        <w:t>WHO Laboratory Biosafety Manual</w:t>
      </w:r>
      <w:r w:rsidRPr="00576C49">
        <w:rPr>
          <w:rStyle w:val="FootnoteReference"/>
          <w:bCs/>
          <w:i/>
          <w:szCs w:val="26"/>
          <w:lang w:val="en-CA"/>
        </w:rPr>
        <w:footnoteReference w:id="61"/>
      </w:r>
      <w:r w:rsidRPr="00576C49">
        <w:rPr>
          <w:rFonts w:ascii="Times New Roman" w:eastAsia="Times New Roman" w:hAnsi="Times New Roman"/>
          <w:bCs/>
          <w:i/>
          <w:kern w:val="1"/>
          <w:szCs w:val="26"/>
          <w:lang w:eastAsia="ar-SA"/>
        </w:rPr>
        <w:t>.</w:t>
      </w:r>
    </w:p>
    <w:p w14:paraId="683954CA" w14:textId="15D60A28" w:rsidR="00361AC7" w:rsidRPr="00576C49" w:rsidRDefault="00996BAE" w:rsidP="00361AC7">
      <w:pPr>
        <w:spacing w:before="120" w:after="120" w:line="240" w:lineRule="auto"/>
        <w:jc w:val="both"/>
        <w:rPr>
          <w:rFonts w:ascii="Times New Roman" w:eastAsia="Times New Roman" w:hAnsi="Times New Roman"/>
          <w:iCs/>
          <w:kern w:val="1"/>
          <w:szCs w:val="24"/>
          <w:lang w:eastAsia="ar-SA"/>
        </w:rPr>
      </w:pPr>
      <w:r>
        <w:rPr>
          <w:rFonts w:ascii="Times New Roman" w:eastAsia="Times New Roman" w:hAnsi="Times New Roman"/>
          <w:iCs/>
          <w:kern w:val="1"/>
          <w:szCs w:val="24"/>
          <w:lang w:eastAsia="ar-SA"/>
        </w:rPr>
        <w:t xml:space="preserve">The </w:t>
      </w:r>
      <w:r w:rsidR="00361AC7" w:rsidRPr="00576C49">
        <w:rPr>
          <w:rFonts w:ascii="Times New Roman" w:eastAsia="Times New Roman" w:hAnsi="Times New Roman"/>
          <w:iCs/>
          <w:kern w:val="1"/>
          <w:szCs w:val="24"/>
          <w:lang w:eastAsia="ar-SA"/>
        </w:rPr>
        <w:t xml:space="preserve">WHO released a 4th edition of its WHO Laboratory Biosafety Manual in December 2020 </w:t>
      </w:r>
      <w:r w:rsidR="00274B7F">
        <w:rPr>
          <w:rFonts w:ascii="Times New Roman" w:eastAsia="Times New Roman" w:hAnsi="Times New Roman"/>
          <w:iCs/>
          <w:kern w:val="1"/>
          <w:szCs w:val="24"/>
          <w:lang w:eastAsia="ar-SA"/>
        </w:rPr>
        <w:fldChar w:fldCharType="begin" w:fldLock="1"/>
      </w:r>
      <w:r w:rsidR="00A7124A">
        <w:rPr>
          <w:rFonts w:ascii="Times New Roman" w:eastAsia="Times New Roman" w:hAnsi="Times New Roman"/>
          <w:iCs/>
          <w:kern w:val="1"/>
          <w:szCs w:val="24"/>
          <w:lang w:eastAsia="ar-SA"/>
        </w:rPr>
        <w:instrText>ADDIN CSL_CITATION {"citationItems":[{"id":"ITEM-1","itemData":{"ISBN":"978-92-4-001131-1","author":[{"dropping-particle":"","family":"World Health Organization","given":"","non-dropping-particle":"","parse-names":false,"suffix":""}],"id":"ITEM-1","issued":{"date-parts":[["2020"]]},"page":"124","publisher-place":"Geneva, Switzerland","title":"Laboratory Biosafety Manual: Fourth Edition","type":"article"},"uris":["http://www.mendeley.com/documents/?uuid=878340e4-b720-4252-851a-ae91b6538efe"]}],"mendeley":{"formattedCitation":"(World Health Organization, 2020b)","manualFormatting":"(WHO, 2020b)","plainTextFormattedCitation":"(World Health Organization, 2020b)","previouslyFormattedCitation":"(World Health Organization, 2020b)"},"properties":{"noteIndex":0},"schema":"https://github.com/citation-style-language/schema/raw/master/csl-citation.json"}</w:instrText>
      </w:r>
      <w:r w:rsidR="00274B7F">
        <w:rPr>
          <w:rFonts w:ascii="Times New Roman" w:eastAsia="Times New Roman" w:hAnsi="Times New Roman"/>
          <w:iCs/>
          <w:kern w:val="1"/>
          <w:szCs w:val="24"/>
          <w:lang w:eastAsia="ar-SA"/>
        </w:rPr>
        <w:fldChar w:fldCharType="separate"/>
      </w:r>
      <w:r w:rsidR="00274B7F" w:rsidRPr="00274B7F">
        <w:rPr>
          <w:rFonts w:ascii="Times New Roman" w:eastAsia="Times New Roman" w:hAnsi="Times New Roman"/>
          <w:iCs/>
          <w:noProof/>
          <w:kern w:val="1"/>
          <w:szCs w:val="24"/>
          <w:lang w:eastAsia="ar-SA"/>
        </w:rPr>
        <w:t>(W</w:t>
      </w:r>
      <w:r w:rsidR="00274B7F">
        <w:rPr>
          <w:rFonts w:ascii="Times New Roman" w:eastAsia="Times New Roman" w:hAnsi="Times New Roman"/>
          <w:iCs/>
          <w:noProof/>
          <w:kern w:val="1"/>
          <w:szCs w:val="24"/>
          <w:lang w:eastAsia="ar-SA"/>
        </w:rPr>
        <w:t>HO</w:t>
      </w:r>
      <w:r w:rsidR="00274B7F" w:rsidRPr="00274B7F">
        <w:rPr>
          <w:rFonts w:ascii="Times New Roman" w:eastAsia="Times New Roman" w:hAnsi="Times New Roman"/>
          <w:iCs/>
          <w:noProof/>
          <w:kern w:val="1"/>
          <w:szCs w:val="24"/>
          <w:lang w:eastAsia="ar-SA"/>
        </w:rPr>
        <w:t>, 2020b)</w:t>
      </w:r>
      <w:r w:rsidR="00274B7F">
        <w:rPr>
          <w:rFonts w:ascii="Times New Roman" w:eastAsia="Times New Roman" w:hAnsi="Times New Roman"/>
          <w:iCs/>
          <w:kern w:val="1"/>
          <w:szCs w:val="24"/>
          <w:lang w:eastAsia="ar-SA"/>
        </w:rPr>
        <w:fldChar w:fldCharType="end"/>
      </w:r>
      <w:r w:rsidR="00361AC7" w:rsidRPr="00576C49">
        <w:rPr>
          <w:rFonts w:ascii="Times New Roman" w:eastAsia="Times New Roman" w:hAnsi="Times New Roman"/>
          <w:iCs/>
          <w:kern w:val="1"/>
          <w:szCs w:val="24"/>
          <w:lang w:eastAsia="ar-SA"/>
        </w:rPr>
        <w:t xml:space="preserve">. The Manual has been in broad use at all levels of clinical and public health laboratories, and other biomedical sectors globally, serving as a </w:t>
      </w:r>
      <w:r w:rsidR="00361AC7" w:rsidRPr="00576C49">
        <w:rPr>
          <w:rFonts w:ascii="Times New Roman" w:eastAsia="Times New Roman" w:hAnsi="Times New Roman"/>
          <w:i/>
          <w:kern w:val="1"/>
          <w:szCs w:val="24"/>
          <w:lang w:eastAsia="ar-SA"/>
        </w:rPr>
        <w:t>de facto</w:t>
      </w:r>
      <w:r w:rsidR="00361AC7" w:rsidRPr="00576C49">
        <w:rPr>
          <w:rFonts w:ascii="Times New Roman" w:eastAsia="Times New Roman" w:hAnsi="Times New Roman"/>
          <w:iCs/>
          <w:kern w:val="1"/>
          <w:szCs w:val="24"/>
          <w:lang w:eastAsia="ar-SA"/>
        </w:rPr>
        <w:t xml:space="preserve"> global standard that presents best practices and sets trends in biosafety. The Laboratory Biosafety Manual encourages countries to accept and implement basic concepts in biological safety and to develop national codes of practice for the safe handling of biological agents in laboratories within their geographical borders.</w:t>
      </w:r>
    </w:p>
    <w:p w14:paraId="7A76AFA8" w14:textId="5CF26894" w:rsidR="00361AC7" w:rsidRPr="00576C49" w:rsidRDefault="00361AC7" w:rsidP="00361AC7">
      <w:pPr>
        <w:spacing w:before="120" w:after="120" w:line="240" w:lineRule="auto"/>
        <w:jc w:val="both"/>
        <w:rPr>
          <w:rFonts w:ascii="Times New Roman" w:eastAsia="Times New Roman" w:hAnsi="Times New Roman"/>
          <w:iCs/>
          <w:kern w:val="1"/>
          <w:szCs w:val="24"/>
          <w:lang w:eastAsia="ar-SA"/>
        </w:rPr>
      </w:pPr>
      <w:r w:rsidRPr="00576C49">
        <w:rPr>
          <w:rFonts w:ascii="Times New Roman" w:eastAsia="Times New Roman" w:hAnsi="Times New Roman"/>
          <w:iCs/>
          <w:kern w:val="1"/>
          <w:szCs w:val="24"/>
          <w:lang w:eastAsia="ar-SA"/>
        </w:rPr>
        <w:t xml:space="preserve">This fourth edition of the manual builds on the risk assessment framework introduced in the third edition. </w:t>
      </w:r>
      <w:r w:rsidR="00996BAE">
        <w:rPr>
          <w:rFonts w:ascii="Times New Roman" w:eastAsia="Times New Roman" w:hAnsi="Times New Roman"/>
          <w:iCs/>
          <w:kern w:val="1"/>
          <w:szCs w:val="24"/>
          <w:lang w:eastAsia="ar-SA"/>
        </w:rPr>
        <w:t xml:space="preserve">The </w:t>
      </w:r>
      <w:r w:rsidRPr="00576C49">
        <w:rPr>
          <w:rFonts w:ascii="Times New Roman" w:eastAsia="Times New Roman" w:hAnsi="Times New Roman"/>
          <w:iCs/>
          <w:kern w:val="1"/>
          <w:szCs w:val="24"/>
          <w:lang w:eastAsia="ar-SA"/>
        </w:rPr>
        <w:t xml:space="preserve">WHO asserts that an evidence-based and transparent assessment of the risks allows safety measures to be balanced with the actual risk of working with biological agents on a case-by-case basis, and that this novel evidence- and risk-based approach will allow optimised resource use and sustainable laboratory biosafety and biosecurity policies and practices that are relevant to their individual circumstances and priorities, enabling equitable access to clinical and public health laboratory tests and biomedical research opportunities without compromising safety. </w:t>
      </w:r>
    </w:p>
    <w:p w14:paraId="363DBDE9" w14:textId="06703D8E" w:rsidR="00361AC7" w:rsidRPr="00576C49" w:rsidRDefault="00361AC7" w:rsidP="00361AC7">
      <w:pPr>
        <w:spacing w:before="120" w:after="120" w:line="240" w:lineRule="auto"/>
        <w:jc w:val="both"/>
        <w:rPr>
          <w:rFonts w:ascii="Times New Roman" w:eastAsia="Times New Roman" w:hAnsi="Times New Roman"/>
          <w:iCs/>
          <w:kern w:val="1"/>
          <w:szCs w:val="24"/>
          <w:lang w:eastAsia="ar-SA"/>
        </w:rPr>
      </w:pPr>
      <w:r w:rsidRPr="00576C49">
        <w:rPr>
          <w:rFonts w:ascii="Times New Roman" w:eastAsia="Times New Roman" w:hAnsi="Times New Roman"/>
          <w:iCs/>
          <w:kern w:val="1"/>
          <w:szCs w:val="24"/>
          <w:lang w:eastAsia="ar-SA"/>
        </w:rPr>
        <w:t>Synthetic biology is recognised in Section 8.8</w:t>
      </w:r>
      <w:r w:rsidR="0058198C">
        <w:rPr>
          <w:rFonts w:ascii="Times New Roman" w:eastAsia="Times New Roman" w:hAnsi="Times New Roman"/>
          <w:iCs/>
          <w:kern w:val="1"/>
          <w:szCs w:val="24"/>
          <w:lang w:eastAsia="ar-SA"/>
        </w:rPr>
        <w:t>.</w:t>
      </w:r>
      <w:r w:rsidRPr="00576C49">
        <w:rPr>
          <w:rFonts w:ascii="Times New Roman" w:eastAsia="Times New Roman" w:hAnsi="Times New Roman"/>
          <w:iCs/>
          <w:kern w:val="1"/>
          <w:szCs w:val="24"/>
          <w:lang w:eastAsia="ar-SA"/>
        </w:rPr>
        <w:t xml:space="preserve"> as an emerging technology (alongside genetically modified microorganisms, synthetic biology, gain-of-function research, stem cell research, genome editing and gene drives) which</w:t>
      </w:r>
      <w:r w:rsidR="0058198C">
        <w:rPr>
          <w:rFonts w:ascii="Times New Roman" w:eastAsia="Times New Roman" w:hAnsi="Times New Roman"/>
          <w:iCs/>
          <w:kern w:val="1"/>
          <w:szCs w:val="24"/>
          <w:lang w:eastAsia="ar-SA"/>
        </w:rPr>
        <w:t>,</w:t>
      </w:r>
      <w:r w:rsidRPr="00576C49">
        <w:rPr>
          <w:rFonts w:ascii="Times New Roman" w:eastAsia="Times New Roman" w:hAnsi="Times New Roman"/>
          <w:iCs/>
          <w:kern w:val="1"/>
          <w:szCs w:val="24"/>
          <w:lang w:eastAsia="ar-SA"/>
        </w:rPr>
        <w:t xml:space="preserve"> if conducted responsibly, safely and securely</w:t>
      </w:r>
      <w:r w:rsidR="0058198C">
        <w:rPr>
          <w:rFonts w:ascii="Times New Roman" w:eastAsia="Times New Roman" w:hAnsi="Times New Roman"/>
          <w:iCs/>
          <w:kern w:val="1"/>
          <w:szCs w:val="24"/>
          <w:lang w:eastAsia="ar-SA"/>
        </w:rPr>
        <w:t>,</w:t>
      </w:r>
      <w:r w:rsidRPr="00576C49">
        <w:rPr>
          <w:rFonts w:ascii="Times New Roman" w:eastAsia="Times New Roman" w:hAnsi="Times New Roman"/>
          <w:iCs/>
          <w:kern w:val="1"/>
          <w:szCs w:val="24"/>
          <w:lang w:eastAsia="ar-SA"/>
        </w:rPr>
        <w:t xml:space="preserve"> can improve global health security and contribute to economic development, evidence-informed policy-making, and public trust and confidence in science. However, countries, laboratories and scientists must also consider the risks posed by incidents and/or the potential deliberate misuse of life sciences research and select appropriate control measures to minimise those risks in order to conduct necessary and beneficial life sciences research. </w:t>
      </w:r>
    </w:p>
    <w:p w14:paraId="79AB737A" w14:textId="77777777" w:rsidR="00361AC7" w:rsidRPr="00576C49" w:rsidRDefault="00361AC7" w:rsidP="00361AC7">
      <w:pPr>
        <w:spacing w:before="120" w:after="120" w:line="240" w:lineRule="auto"/>
        <w:jc w:val="both"/>
        <w:rPr>
          <w:rFonts w:ascii="Times New Roman" w:eastAsia="Times New Roman" w:hAnsi="Times New Roman"/>
          <w:iCs/>
          <w:kern w:val="1"/>
          <w:szCs w:val="24"/>
          <w:lang w:eastAsia="ar-SA"/>
        </w:rPr>
      </w:pPr>
      <w:r w:rsidRPr="00576C49">
        <w:rPr>
          <w:rFonts w:ascii="Times New Roman" w:eastAsia="Times New Roman" w:hAnsi="Times New Roman"/>
          <w:iCs/>
          <w:kern w:val="1"/>
          <w:szCs w:val="24"/>
          <w:lang w:eastAsia="ar-SA"/>
        </w:rPr>
        <w:t>The Manual is comprised of a core document and subject-specific monographs providing guidance on the following:</w:t>
      </w:r>
    </w:p>
    <w:p w14:paraId="4179F55F" w14:textId="77777777" w:rsidR="00361AC7" w:rsidRPr="00576C49" w:rsidRDefault="00361AC7" w:rsidP="00361AC7">
      <w:pPr>
        <w:numPr>
          <w:ilvl w:val="1"/>
          <w:numId w:val="154"/>
        </w:numPr>
        <w:spacing w:before="120" w:after="120" w:line="240" w:lineRule="auto"/>
        <w:ind w:left="284" w:hanging="284"/>
        <w:contextualSpacing/>
        <w:jc w:val="both"/>
        <w:rPr>
          <w:rFonts w:ascii="Times New Roman" w:eastAsia="Times New Roman" w:hAnsi="Times New Roman"/>
          <w:iCs/>
          <w:kern w:val="1"/>
          <w:szCs w:val="24"/>
          <w:lang w:eastAsia="ar-SA"/>
        </w:rPr>
      </w:pPr>
      <w:r w:rsidRPr="00576C49">
        <w:rPr>
          <w:rFonts w:ascii="Times New Roman" w:eastAsia="Times New Roman" w:hAnsi="Times New Roman"/>
          <w:iCs/>
          <w:kern w:val="1"/>
          <w:szCs w:val="24"/>
          <w:lang w:eastAsia="ar-SA"/>
        </w:rPr>
        <w:t xml:space="preserve">Risk assessment </w:t>
      </w:r>
    </w:p>
    <w:p w14:paraId="7EC7267C" w14:textId="77777777" w:rsidR="00361AC7" w:rsidRPr="00576C49" w:rsidRDefault="00361AC7" w:rsidP="00361AC7">
      <w:pPr>
        <w:numPr>
          <w:ilvl w:val="1"/>
          <w:numId w:val="154"/>
        </w:numPr>
        <w:spacing w:before="120" w:after="120" w:line="240" w:lineRule="auto"/>
        <w:ind w:left="284" w:hanging="284"/>
        <w:contextualSpacing/>
        <w:jc w:val="both"/>
        <w:rPr>
          <w:rFonts w:ascii="Times New Roman" w:eastAsia="Times New Roman" w:hAnsi="Times New Roman"/>
          <w:iCs/>
          <w:kern w:val="1"/>
          <w:szCs w:val="24"/>
          <w:lang w:eastAsia="ar-SA"/>
        </w:rPr>
      </w:pPr>
      <w:r w:rsidRPr="00576C49">
        <w:rPr>
          <w:rFonts w:ascii="Times New Roman" w:eastAsia="Times New Roman" w:hAnsi="Times New Roman"/>
          <w:iCs/>
          <w:kern w:val="1"/>
          <w:szCs w:val="24"/>
          <w:lang w:eastAsia="ar-SA"/>
        </w:rPr>
        <w:t>Laboratory design and maintenance</w:t>
      </w:r>
    </w:p>
    <w:p w14:paraId="391C4F3E" w14:textId="77777777" w:rsidR="00361AC7" w:rsidRPr="00576C49" w:rsidRDefault="00361AC7" w:rsidP="00361AC7">
      <w:pPr>
        <w:numPr>
          <w:ilvl w:val="1"/>
          <w:numId w:val="154"/>
        </w:numPr>
        <w:spacing w:before="120" w:after="120" w:line="240" w:lineRule="auto"/>
        <w:ind w:left="284" w:hanging="284"/>
        <w:contextualSpacing/>
        <w:jc w:val="both"/>
        <w:rPr>
          <w:rFonts w:ascii="Times New Roman" w:eastAsia="Times New Roman" w:hAnsi="Times New Roman"/>
          <w:iCs/>
          <w:kern w:val="1"/>
          <w:szCs w:val="24"/>
          <w:lang w:eastAsia="ar-SA"/>
        </w:rPr>
      </w:pPr>
      <w:r w:rsidRPr="00576C49">
        <w:rPr>
          <w:rFonts w:ascii="Times New Roman" w:eastAsia="Times New Roman" w:hAnsi="Times New Roman"/>
          <w:iCs/>
          <w:kern w:val="1"/>
          <w:szCs w:val="24"/>
          <w:lang w:eastAsia="ar-SA"/>
        </w:rPr>
        <w:t>Biological safety cabinets and other primary containment devices</w:t>
      </w:r>
    </w:p>
    <w:p w14:paraId="0E18E275" w14:textId="77777777" w:rsidR="00361AC7" w:rsidRPr="00576C49" w:rsidRDefault="00361AC7" w:rsidP="00361AC7">
      <w:pPr>
        <w:numPr>
          <w:ilvl w:val="1"/>
          <w:numId w:val="154"/>
        </w:numPr>
        <w:spacing w:before="120" w:after="120" w:line="240" w:lineRule="auto"/>
        <w:ind w:left="284" w:hanging="284"/>
        <w:contextualSpacing/>
        <w:jc w:val="both"/>
        <w:rPr>
          <w:rFonts w:ascii="Times New Roman" w:eastAsia="Times New Roman" w:hAnsi="Times New Roman"/>
          <w:iCs/>
          <w:kern w:val="1"/>
          <w:szCs w:val="24"/>
          <w:lang w:eastAsia="ar-SA"/>
        </w:rPr>
      </w:pPr>
      <w:r w:rsidRPr="00576C49">
        <w:rPr>
          <w:rFonts w:ascii="Times New Roman" w:eastAsia="Times New Roman" w:hAnsi="Times New Roman"/>
          <w:iCs/>
          <w:kern w:val="1"/>
          <w:szCs w:val="24"/>
          <w:lang w:eastAsia="ar-SA"/>
        </w:rPr>
        <w:t>Personal protective equipment</w:t>
      </w:r>
    </w:p>
    <w:p w14:paraId="6BB44950" w14:textId="77777777" w:rsidR="00361AC7" w:rsidRPr="00576C49" w:rsidRDefault="00361AC7" w:rsidP="00361AC7">
      <w:pPr>
        <w:numPr>
          <w:ilvl w:val="1"/>
          <w:numId w:val="154"/>
        </w:numPr>
        <w:spacing w:before="120" w:after="120" w:line="240" w:lineRule="auto"/>
        <w:ind w:left="284" w:hanging="284"/>
        <w:contextualSpacing/>
        <w:jc w:val="both"/>
        <w:rPr>
          <w:rFonts w:ascii="Times New Roman" w:eastAsia="Times New Roman" w:hAnsi="Times New Roman"/>
          <w:iCs/>
          <w:kern w:val="1"/>
          <w:szCs w:val="24"/>
          <w:lang w:eastAsia="ar-SA"/>
        </w:rPr>
      </w:pPr>
      <w:r w:rsidRPr="00576C49">
        <w:rPr>
          <w:rFonts w:ascii="Times New Roman" w:eastAsia="Times New Roman" w:hAnsi="Times New Roman"/>
          <w:iCs/>
          <w:kern w:val="1"/>
          <w:szCs w:val="24"/>
          <w:lang w:eastAsia="ar-SA"/>
        </w:rPr>
        <w:t>Decontamination and waste management</w:t>
      </w:r>
    </w:p>
    <w:p w14:paraId="7E6D85B5" w14:textId="77777777" w:rsidR="00361AC7" w:rsidRPr="00576C49" w:rsidRDefault="00361AC7" w:rsidP="00361AC7">
      <w:pPr>
        <w:numPr>
          <w:ilvl w:val="1"/>
          <w:numId w:val="154"/>
        </w:numPr>
        <w:spacing w:before="120" w:after="120" w:line="240" w:lineRule="auto"/>
        <w:ind w:left="284" w:hanging="284"/>
        <w:contextualSpacing/>
        <w:jc w:val="both"/>
        <w:rPr>
          <w:rFonts w:ascii="Times New Roman" w:eastAsia="Times New Roman" w:hAnsi="Times New Roman"/>
          <w:iCs/>
          <w:kern w:val="1"/>
          <w:szCs w:val="24"/>
          <w:lang w:eastAsia="ar-SA"/>
        </w:rPr>
      </w:pPr>
      <w:r w:rsidRPr="00576C49">
        <w:rPr>
          <w:rFonts w:ascii="Times New Roman" w:eastAsia="Times New Roman" w:hAnsi="Times New Roman"/>
          <w:iCs/>
          <w:kern w:val="1"/>
          <w:szCs w:val="24"/>
          <w:lang w:eastAsia="ar-SA"/>
        </w:rPr>
        <w:t>Biosafety programme management</w:t>
      </w:r>
    </w:p>
    <w:p w14:paraId="4AAF7680" w14:textId="77777777" w:rsidR="00361AC7" w:rsidRPr="00576C49" w:rsidRDefault="00361AC7" w:rsidP="00396AB7">
      <w:pPr>
        <w:numPr>
          <w:ilvl w:val="1"/>
          <w:numId w:val="154"/>
        </w:numPr>
        <w:spacing w:before="120" w:after="120" w:line="240" w:lineRule="auto"/>
        <w:ind w:left="284" w:hanging="284"/>
        <w:jc w:val="both"/>
        <w:rPr>
          <w:rFonts w:ascii="Times New Roman" w:eastAsia="Times New Roman" w:hAnsi="Times New Roman"/>
          <w:iCs/>
          <w:kern w:val="1"/>
          <w:szCs w:val="24"/>
          <w:lang w:eastAsia="ar-SA"/>
        </w:rPr>
      </w:pPr>
      <w:r w:rsidRPr="00576C49">
        <w:rPr>
          <w:rFonts w:ascii="Times New Roman" w:eastAsia="Times New Roman" w:hAnsi="Times New Roman"/>
          <w:iCs/>
          <w:kern w:val="1"/>
          <w:szCs w:val="24"/>
          <w:lang w:eastAsia="ar-SA"/>
        </w:rPr>
        <w:t>Outbreak preparedness and resilience</w:t>
      </w:r>
    </w:p>
    <w:p w14:paraId="70219A04" w14:textId="77777777" w:rsidR="00361AC7" w:rsidRPr="00576C49" w:rsidRDefault="00361AC7" w:rsidP="00361AC7">
      <w:pPr>
        <w:keepNext/>
        <w:numPr>
          <w:ilvl w:val="0"/>
          <w:numId w:val="152"/>
        </w:numPr>
        <w:spacing w:before="120" w:after="120" w:line="240" w:lineRule="auto"/>
        <w:ind w:left="284" w:hanging="284"/>
        <w:outlineLvl w:val="4"/>
        <w:rPr>
          <w:rFonts w:ascii="Times New Roman" w:eastAsia="Times New Roman" w:hAnsi="Times New Roman"/>
          <w:bCs/>
          <w:i/>
          <w:kern w:val="1"/>
          <w:szCs w:val="26"/>
          <w:lang w:val="en-CA" w:eastAsia="ar-SA"/>
        </w:rPr>
      </w:pPr>
      <w:r w:rsidRPr="00576C49">
        <w:rPr>
          <w:rFonts w:ascii="Times New Roman" w:eastAsia="Times New Roman" w:hAnsi="Times New Roman"/>
          <w:bCs/>
          <w:i/>
          <w:kern w:val="1"/>
          <w:szCs w:val="26"/>
          <w:lang w:val="en-CA" w:eastAsia="ar-SA"/>
        </w:rPr>
        <w:t>Pandemic Influenza Preparedness (PIP) Framework.</w:t>
      </w:r>
    </w:p>
    <w:p w14:paraId="541E7148" w14:textId="1CE86A27" w:rsidR="00361AC7" w:rsidRPr="00576C49" w:rsidRDefault="0058198C" w:rsidP="00361AC7">
      <w:pPr>
        <w:spacing w:before="120" w:after="120" w:line="240" w:lineRule="auto"/>
        <w:jc w:val="both"/>
        <w:rPr>
          <w:rFonts w:ascii="Times New Roman" w:eastAsia="Times New Roman" w:hAnsi="Times New Roman"/>
          <w:iCs/>
          <w:kern w:val="1"/>
          <w:szCs w:val="24"/>
          <w:lang w:eastAsia="ar-SA"/>
        </w:rPr>
      </w:pPr>
      <w:r>
        <w:rPr>
          <w:rFonts w:ascii="Times New Roman" w:eastAsia="Times New Roman" w:hAnsi="Times New Roman"/>
          <w:iCs/>
          <w:kern w:val="1"/>
          <w:szCs w:val="24"/>
          <w:lang w:eastAsia="ar-SA"/>
        </w:rPr>
        <w:t xml:space="preserve">The </w:t>
      </w:r>
      <w:r w:rsidR="00361AC7" w:rsidRPr="00576C49">
        <w:rPr>
          <w:rFonts w:ascii="Times New Roman" w:eastAsia="Times New Roman" w:hAnsi="Times New Roman"/>
          <w:iCs/>
          <w:kern w:val="1"/>
          <w:szCs w:val="24"/>
          <w:lang w:eastAsia="ar-SA"/>
        </w:rPr>
        <w:t xml:space="preserve">WHO’s PIP Framework was unanimously adopted by the Sixty-fourth World Health Assembly in 2011. It brings together Member States, industry, other stakeholders and WHO to implement a global approach to pandemic influenza preparedness and response with the key objective to improve and strengthen the sharing of influenza viruses with human pandemic potential; and to increase the access of developing countries to vaccines and other pandemic related supplies. </w:t>
      </w:r>
    </w:p>
    <w:p w14:paraId="2EECAB4D" w14:textId="77777777" w:rsidR="00361AC7" w:rsidRPr="00576C49" w:rsidRDefault="00361AC7" w:rsidP="00361AC7">
      <w:pPr>
        <w:spacing w:before="120" w:after="120" w:line="240" w:lineRule="auto"/>
        <w:jc w:val="both"/>
        <w:rPr>
          <w:rFonts w:ascii="Times New Roman" w:eastAsia="Times New Roman" w:hAnsi="Times New Roman"/>
          <w:iCs/>
          <w:kern w:val="1"/>
          <w:szCs w:val="24"/>
          <w:lang w:eastAsia="ar-SA"/>
        </w:rPr>
      </w:pPr>
      <w:r w:rsidRPr="00576C49">
        <w:rPr>
          <w:rFonts w:ascii="Times New Roman" w:eastAsia="Times New Roman" w:hAnsi="Times New Roman"/>
          <w:iCs/>
          <w:kern w:val="1"/>
          <w:szCs w:val="24"/>
          <w:lang w:eastAsia="ar-SA"/>
        </w:rPr>
        <w:t>The PIP Framework brings together Member States, industry, other stakeholders and WHO to implement a global approach to pandemic influenza preparedness and response. Its key goals include: to improve and strengthen the sharing of influenza viruses with human pandemic potential through the Global Influenza Surveillance and Response System (GISRS), an international network of influenza laboratories that conduct year-round surveillance of influenza</w:t>
      </w:r>
      <w:r w:rsidRPr="00576C49">
        <w:rPr>
          <w:rStyle w:val="FootnoteReference"/>
          <w:iCs/>
        </w:rPr>
        <w:footnoteReference w:id="62"/>
      </w:r>
      <w:r w:rsidRPr="00576C49">
        <w:rPr>
          <w:rFonts w:ascii="Times New Roman" w:eastAsia="Times New Roman" w:hAnsi="Times New Roman"/>
          <w:iCs/>
          <w:kern w:val="1"/>
          <w:szCs w:val="24"/>
          <w:lang w:eastAsia="ar-SA"/>
        </w:rPr>
        <w:t xml:space="preserve"> and to increase the access of developing countries to vaccines and other pandemic related supplies. The Framework was developed by Member States. It came into effect on 24 May 2011 when it was unanimously adopted by the Sixty-fourth World Health Assembly (2011)</w:t>
      </w:r>
      <w:r w:rsidRPr="00576C49">
        <w:rPr>
          <w:rStyle w:val="FootnoteReference"/>
          <w:iCs/>
        </w:rPr>
        <w:footnoteReference w:id="63"/>
      </w:r>
      <w:r w:rsidRPr="00576C49">
        <w:rPr>
          <w:rFonts w:ascii="Times New Roman" w:eastAsia="Times New Roman" w:hAnsi="Times New Roman"/>
          <w:iCs/>
          <w:kern w:val="1"/>
          <w:szCs w:val="24"/>
          <w:lang w:eastAsia="ar-SA"/>
        </w:rPr>
        <w:t>.</w:t>
      </w:r>
    </w:p>
    <w:p w14:paraId="48748223" w14:textId="37C3FC52" w:rsidR="00361AC7" w:rsidRPr="00576C49" w:rsidRDefault="00502EC9" w:rsidP="00361AC7">
      <w:pPr>
        <w:spacing w:before="120" w:after="120" w:line="240" w:lineRule="auto"/>
        <w:jc w:val="both"/>
        <w:rPr>
          <w:rFonts w:ascii="Times New Roman" w:eastAsia="Times New Roman" w:hAnsi="Times New Roman"/>
          <w:iCs/>
          <w:kern w:val="1"/>
          <w:szCs w:val="24"/>
          <w:lang w:eastAsia="ar-SA"/>
        </w:rPr>
      </w:pPr>
      <w:r>
        <w:rPr>
          <w:rFonts w:ascii="Times New Roman" w:eastAsia="Times New Roman" w:hAnsi="Times New Roman"/>
          <w:iCs/>
          <w:kern w:val="1"/>
          <w:szCs w:val="24"/>
          <w:lang w:eastAsia="ar-SA"/>
        </w:rPr>
        <w:t xml:space="preserve">The </w:t>
      </w:r>
      <w:r w:rsidR="00361AC7" w:rsidRPr="00576C49">
        <w:rPr>
          <w:rFonts w:ascii="Times New Roman" w:eastAsia="Times New Roman" w:hAnsi="Times New Roman"/>
          <w:iCs/>
          <w:kern w:val="1"/>
          <w:szCs w:val="24"/>
          <w:lang w:eastAsia="ar-SA"/>
        </w:rPr>
        <w:t xml:space="preserve">WHO is currently implementing PIP Partnership Contribution High-Level Implementation Plan II (2018-2023) which includes the following key features as described by </w:t>
      </w:r>
      <w:r>
        <w:rPr>
          <w:rFonts w:ascii="Times New Roman" w:eastAsia="Times New Roman" w:hAnsi="Times New Roman"/>
          <w:iCs/>
          <w:kern w:val="1"/>
          <w:szCs w:val="24"/>
          <w:lang w:eastAsia="ar-SA"/>
        </w:rPr>
        <w:t xml:space="preserve">the </w:t>
      </w:r>
      <w:r w:rsidR="00361AC7" w:rsidRPr="00576C49">
        <w:rPr>
          <w:rFonts w:ascii="Times New Roman" w:eastAsia="Times New Roman" w:hAnsi="Times New Roman"/>
          <w:iCs/>
          <w:kern w:val="1"/>
          <w:szCs w:val="24"/>
          <w:lang w:eastAsia="ar-SA"/>
        </w:rPr>
        <w:t>WHO:</w:t>
      </w:r>
    </w:p>
    <w:p w14:paraId="38B15866" w14:textId="09841A74" w:rsidR="00361AC7" w:rsidRPr="00576C49" w:rsidRDefault="00361AC7" w:rsidP="00361AC7">
      <w:pPr>
        <w:numPr>
          <w:ilvl w:val="1"/>
          <w:numId w:val="178"/>
        </w:numPr>
        <w:spacing w:before="120" w:after="120" w:line="240" w:lineRule="auto"/>
        <w:ind w:left="284" w:hanging="284"/>
        <w:jc w:val="both"/>
        <w:rPr>
          <w:rFonts w:ascii="Times New Roman" w:eastAsia="Times New Roman" w:hAnsi="Times New Roman"/>
          <w:iCs/>
          <w:kern w:val="1"/>
          <w:szCs w:val="24"/>
          <w:lang w:eastAsia="ar-SA"/>
        </w:rPr>
      </w:pPr>
      <w:r w:rsidRPr="00576C49">
        <w:rPr>
          <w:rFonts w:ascii="Times New Roman" w:eastAsia="Times New Roman" w:hAnsi="Times New Roman"/>
          <w:iCs/>
          <w:kern w:val="1"/>
          <w:szCs w:val="24"/>
          <w:lang w:eastAsia="ar-SA"/>
        </w:rPr>
        <w:t xml:space="preserve">Partnership Contribution - An annual cash contribution of US$ 28 million given to </w:t>
      </w:r>
      <w:r w:rsidR="00502EC9">
        <w:rPr>
          <w:rFonts w:ascii="Times New Roman" w:eastAsia="Times New Roman" w:hAnsi="Times New Roman"/>
          <w:iCs/>
          <w:kern w:val="1"/>
          <w:szCs w:val="24"/>
          <w:lang w:eastAsia="ar-SA"/>
        </w:rPr>
        <w:t xml:space="preserve">the </w:t>
      </w:r>
      <w:r w:rsidRPr="00576C49">
        <w:rPr>
          <w:rFonts w:ascii="Times New Roman" w:eastAsia="Times New Roman" w:hAnsi="Times New Roman"/>
          <w:iCs/>
          <w:kern w:val="1"/>
          <w:szCs w:val="24"/>
          <w:lang w:eastAsia="ar-SA"/>
        </w:rPr>
        <w:t>WHO by influenza vaccine, diagnostic and pharmaceutical manufacturers that use the WHO Global Influenza Surveillance and Response System. This money is used to prepare for--and respond to--an influenza pandemic.</w:t>
      </w:r>
    </w:p>
    <w:p w14:paraId="0699192D" w14:textId="2AE6CB19" w:rsidR="00361AC7" w:rsidRPr="00576C49" w:rsidRDefault="00361AC7" w:rsidP="00361AC7">
      <w:pPr>
        <w:numPr>
          <w:ilvl w:val="1"/>
          <w:numId w:val="178"/>
        </w:numPr>
        <w:spacing w:before="120" w:after="120" w:line="240" w:lineRule="auto"/>
        <w:ind w:left="284" w:hanging="284"/>
        <w:jc w:val="both"/>
        <w:rPr>
          <w:rFonts w:ascii="Times New Roman" w:eastAsia="Times New Roman" w:hAnsi="Times New Roman"/>
          <w:iCs/>
          <w:kern w:val="1"/>
          <w:szCs w:val="24"/>
          <w:lang w:eastAsia="ar-SA"/>
        </w:rPr>
      </w:pPr>
      <w:r w:rsidRPr="00576C49">
        <w:rPr>
          <w:rFonts w:ascii="Times New Roman" w:eastAsia="Times New Roman" w:hAnsi="Times New Roman"/>
          <w:iCs/>
          <w:kern w:val="1"/>
          <w:szCs w:val="24"/>
          <w:lang w:eastAsia="ar-SA"/>
        </w:rPr>
        <w:t xml:space="preserve">The Standard Material Transfer Agreement 2 is an advance supply contract that will give </w:t>
      </w:r>
      <w:r w:rsidR="00502EC9">
        <w:rPr>
          <w:rFonts w:ascii="Times New Roman" w:eastAsia="Times New Roman" w:hAnsi="Times New Roman"/>
          <w:iCs/>
          <w:kern w:val="1"/>
          <w:szCs w:val="24"/>
          <w:lang w:eastAsia="ar-SA"/>
        </w:rPr>
        <w:t xml:space="preserve">the </w:t>
      </w:r>
      <w:r w:rsidRPr="00576C49">
        <w:rPr>
          <w:rFonts w:ascii="Times New Roman" w:eastAsia="Times New Roman" w:hAnsi="Times New Roman"/>
          <w:iCs/>
          <w:kern w:val="1"/>
          <w:szCs w:val="24"/>
          <w:lang w:eastAsia="ar-SA"/>
        </w:rPr>
        <w:t xml:space="preserve">WHO predictable access to vaccine and other products needed during the response to the next influenza pandemic. </w:t>
      </w:r>
      <w:r w:rsidR="00502EC9">
        <w:rPr>
          <w:rFonts w:ascii="Times New Roman" w:eastAsia="Times New Roman" w:hAnsi="Times New Roman"/>
          <w:iCs/>
          <w:kern w:val="1"/>
          <w:szCs w:val="24"/>
          <w:lang w:eastAsia="ar-SA"/>
        </w:rPr>
        <w:t xml:space="preserve">The </w:t>
      </w:r>
      <w:r w:rsidRPr="00576C49">
        <w:rPr>
          <w:rFonts w:ascii="Times New Roman" w:eastAsia="Times New Roman" w:hAnsi="Times New Roman"/>
          <w:iCs/>
          <w:kern w:val="1"/>
          <w:szCs w:val="24"/>
          <w:lang w:eastAsia="ar-SA"/>
        </w:rPr>
        <w:t>WHO signs these contracts with manufacturers, research institutions, or other entities that receive PIP Biological Materials (PIPBM) -or, in some cases, benefit from the use of PIPBM -from a laboratory which is part of the Global Influenza Surveillance and Response System (GISRS).</w:t>
      </w:r>
    </w:p>
    <w:p w14:paraId="3A6777D7" w14:textId="77777777" w:rsidR="00361AC7" w:rsidRPr="00576C49" w:rsidRDefault="00361AC7" w:rsidP="00361AC7">
      <w:pPr>
        <w:numPr>
          <w:ilvl w:val="1"/>
          <w:numId w:val="178"/>
        </w:numPr>
        <w:spacing w:before="120" w:after="120" w:line="240" w:lineRule="auto"/>
        <w:ind w:left="284" w:hanging="284"/>
        <w:jc w:val="both"/>
        <w:rPr>
          <w:rFonts w:ascii="Times New Roman" w:eastAsia="Times New Roman" w:hAnsi="Times New Roman"/>
          <w:iCs/>
          <w:kern w:val="1"/>
          <w:szCs w:val="24"/>
          <w:lang w:eastAsia="ar-SA"/>
        </w:rPr>
      </w:pPr>
      <w:r w:rsidRPr="00576C49">
        <w:rPr>
          <w:rFonts w:ascii="Times New Roman" w:eastAsia="Times New Roman" w:hAnsi="Times New Roman"/>
          <w:iCs/>
          <w:kern w:val="1"/>
          <w:szCs w:val="24"/>
          <w:lang w:eastAsia="ar-SA"/>
        </w:rPr>
        <w:t>Virus Sharing - Influenza virus sharing, conducted by the WHO Global Influenza Surveillance and Response System (GISRS), is vital to global pandemic preparedness. The sharing of viruses facilitates pandemic risk assessment, the development of candidate vaccine viruses, updating of diagnostic reagents and test kits, and surveillance for resistance to antiviral medicines.</w:t>
      </w:r>
    </w:p>
    <w:p w14:paraId="2E6D3831" w14:textId="77777777" w:rsidR="00361AC7" w:rsidRPr="00576C49" w:rsidRDefault="00361AC7" w:rsidP="00361AC7">
      <w:pPr>
        <w:numPr>
          <w:ilvl w:val="1"/>
          <w:numId w:val="178"/>
        </w:numPr>
        <w:spacing w:before="120" w:after="120" w:line="240" w:lineRule="auto"/>
        <w:ind w:left="284" w:hanging="284"/>
        <w:jc w:val="both"/>
        <w:rPr>
          <w:rFonts w:ascii="Times New Roman" w:eastAsia="Times New Roman" w:hAnsi="Times New Roman"/>
          <w:iCs/>
          <w:kern w:val="1"/>
          <w:szCs w:val="24"/>
          <w:lang w:eastAsia="ar-SA"/>
        </w:rPr>
      </w:pPr>
      <w:r w:rsidRPr="00576C49">
        <w:rPr>
          <w:rFonts w:ascii="Times New Roman" w:eastAsia="Times New Roman" w:hAnsi="Times New Roman"/>
          <w:iCs/>
          <w:kern w:val="1"/>
          <w:szCs w:val="24"/>
          <w:lang w:eastAsia="ar-SA"/>
        </w:rPr>
        <w:t>Influenza Virus Traceability - The Influenza Virus Traceability Mechanism (IVTM) is a publicly accessible, electronic, internet-based system that records the transfer and movement of PIP biological materials into, within and to parties outside the WHO GISRS. The purpose of the system is to allow users to see where PIP biological materials have been sent.</w:t>
      </w:r>
    </w:p>
    <w:p w14:paraId="2F117569" w14:textId="77777777" w:rsidR="00361AC7" w:rsidRPr="00576C49" w:rsidRDefault="00361AC7" w:rsidP="00361AC7">
      <w:pPr>
        <w:numPr>
          <w:ilvl w:val="1"/>
          <w:numId w:val="178"/>
        </w:numPr>
        <w:spacing w:before="120" w:after="120" w:line="240" w:lineRule="auto"/>
        <w:ind w:left="284" w:hanging="284"/>
        <w:jc w:val="both"/>
        <w:rPr>
          <w:rFonts w:ascii="Times New Roman" w:eastAsia="Times New Roman" w:hAnsi="Times New Roman"/>
          <w:iCs/>
          <w:kern w:val="1"/>
          <w:szCs w:val="24"/>
          <w:lang w:eastAsia="ar-SA"/>
        </w:rPr>
      </w:pPr>
      <w:r w:rsidRPr="00576C49">
        <w:rPr>
          <w:rFonts w:ascii="Times New Roman" w:eastAsia="Times New Roman" w:hAnsi="Times New Roman"/>
          <w:iCs/>
          <w:kern w:val="1"/>
          <w:szCs w:val="24"/>
          <w:lang w:eastAsia="ar-SA"/>
        </w:rPr>
        <w:t>The IVTM increases the transparency of GISRS activities by allowing users to track the transfers of PIP biological materials. It enables users to see the results of analyses and tests carried out with them.</w:t>
      </w:r>
    </w:p>
    <w:p w14:paraId="4BD20D2B" w14:textId="77777777" w:rsidR="00361AC7" w:rsidRDefault="00361AC7" w:rsidP="00361AC7">
      <w:pPr>
        <w:spacing w:before="120" w:after="120" w:line="240" w:lineRule="auto"/>
        <w:jc w:val="both"/>
        <w:rPr>
          <w:rFonts w:ascii="Times New Roman" w:eastAsia="Times New Roman" w:hAnsi="Times New Roman"/>
          <w:kern w:val="1"/>
          <w:lang w:eastAsia="ar-SA"/>
        </w:rPr>
      </w:pPr>
      <w:r w:rsidRPr="00576C49">
        <w:rPr>
          <w:rFonts w:ascii="Times New Roman" w:eastAsia="Times New Roman" w:hAnsi="Times New Roman"/>
          <w:kern w:val="1"/>
          <w:lang w:eastAsia="ar-SA"/>
        </w:rPr>
        <w:t xml:space="preserve">PIP Framework is the only pathogen-specific international access and benefit-sharing (ABS) instrument. </w:t>
      </w:r>
      <w:r w:rsidRPr="00576C49">
        <w:rPr>
          <w:rFonts w:ascii="Times New Roman" w:eastAsia="Times New Roman" w:hAnsi="Times New Roman"/>
          <w:lang w:eastAsia="ar-SA"/>
        </w:rPr>
        <w:t>Similarly to</w:t>
      </w:r>
      <w:r w:rsidRPr="00576C49">
        <w:rPr>
          <w:rFonts w:ascii="Times New Roman" w:eastAsia="Times New Roman" w:hAnsi="Times New Roman"/>
          <w:kern w:val="1"/>
          <w:lang w:eastAsia="ar-SA"/>
        </w:rPr>
        <w:t xml:space="preserve"> the ITPGRFA, it uses a Standard Material Transfer Agreement to implement a multilateral system for access and benefit sharing</w:t>
      </w:r>
      <w:r w:rsidRPr="00576C49">
        <w:rPr>
          <w:rFonts w:ascii="Times New Roman" w:eastAsia="Times New Roman" w:hAnsi="Times New Roman"/>
          <w:lang w:eastAsia="ar-SA"/>
        </w:rPr>
        <w:t>;</w:t>
      </w:r>
      <w:r w:rsidRPr="00576C49">
        <w:rPr>
          <w:rFonts w:ascii="Times New Roman" w:eastAsia="Times New Roman" w:hAnsi="Times New Roman"/>
          <w:kern w:val="1"/>
          <w:lang w:eastAsia="ar-SA"/>
        </w:rPr>
        <w:t xml:space="preserve"> however, the design of the benefit sharing arrangements in the two systems is substantially different (see </w:t>
      </w:r>
      <w:r w:rsidRPr="000B524A">
        <w:rPr>
          <w:rFonts w:ascii="Times New Roman" w:eastAsia="Times New Roman" w:hAnsi="Times New Roman"/>
          <w:kern w:val="1"/>
          <w:lang w:eastAsia="ar-SA"/>
        </w:rPr>
        <w:t>Section 9.3.3.(a).</w:t>
      </w:r>
      <w:r w:rsidRPr="00576C49">
        <w:rPr>
          <w:rFonts w:ascii="Times New Roman" w:eastAsia="Times New Roman" w:hAnsi="Times New Roman"/>
          <w:kern w:val="1"/>
          <w:lang w:eastAsia="ar-SA"/>
        </w:rPr>
        <w:t xml:space="preserve"> regarding the ITPGRFA).</w:t>
      </w:r>
    </w:p>
    <w:p w14:paraId="75A94578" w14:textId="75502660" w:rsidR="00D205EE" w:rsidRPr="00F101A7" w:rsidRDefault="00D205EE" w:rsidP="00D205EE">
      <w:pPr>
        <w:pStyle w:val="Heading4"/>
        <w:rPr>
          <w:i w:val="0"/>
          <w:iCs/>
          <w:shd w:val="clear" w:color="auto" w:fill="FFFFFF"/>
        </w:rPr>
      </w:pPr>
      <w:r w:rsidRPr="00F101A7">
        <w:rPr>
          <w:rFonts w:hint="eastAsia"/>
          <w:i w:val="0"/>
          <w:iCs/>
          <w:shd w:val="clear" w:color="auto" w:fill="FFFFFF"/>
        </w:rPr>
        <w:t>9.2.2. Convention on International Trade in Endangered Species of Wild Fauna and Flora</w:t>
      </w:r>
      <w:r w:rsidR="008947AE">
        <w:rPr>
          <w:rFonts w:asciiTheme="minorHAnsi" w:hAnsiTheme="minorHAnsi"/>
          <w:i w:val="0"/>
          <w:iCs/>
          <w:shd w:val="clear" w:color="auto" w:fill="FFFFFF"/>
          <w:lang w:val="en-US"/>
        </w:rPr>
        <w:t>.</w:t>
      </w:r>
      <w:r w:rsidRPr="00F101A7">
        <w:rPr>
          <w:rFonts w:hint="eastAsia"/>
          <w:i w:val="0"/>
          <w:iCs/>
          <w:shd w:val="clear" w:color="auto" w:fill="FFFFFF"/>
        </w:rPr>
        <w:t xml:space="preserve"> </w:t>
      </w:r>
    </w:p>
    <w:p w14:paraId="0D505A76" w14:textId="26938981" w:rsidR="006F26FF" w:rsidRPr="00C22793" w:rsidRDefault="006F26FF" w:rsidP="00DC2488">
      <w:pPr>
        <w:spacing w:line="240" w:lineRule="auto"/>
        <w:jc w:val="both"/>
        <w:rPr>
          <w:rFonts w:ascii="Times New Roman"/>
        </w:rPr>
      </w:pPr>
      <w:r w:rsidRPr="00C22793">
        <w:rPr>
          <w:rFonts w:ascii="Times New Roman"/>
        </w:rPr>
        <w:t xml:space="preserve">The Convention on International Trade in Endangered Species of Wild Fauna and Flora (CITES) is an international </w:t>
      </w:r>
      <w:r w:rsidR="0DBC0EF6" w:rsidRPr="49F59924">
        <w:rPr>
          <w:rFonts w:ascii="Times New Roman"/>
        </w:rPr>
        <w:t xml:space="preserve">treaty </w:t>
      </w:r>
      <w:r w:rsidR="007A624D">
        <w:rPr>
          <w:rFonts w:ascii="Times New Roman"/>
        </w:rPr>
        <w:t>which</w:t>
      </w:r>
      <w:r w:rsidRPr="00C22793">
        <w:rPr>
          <w:rFonts w:ascii="Times New Roman"/>
        </w:rPr>
        <w:t xml:space="preserve"> provides a framework for Parties to adopt domestic legislation to ensure that international trade in specimens of wild animals and plants does not threaten their survival. CITES currently has 183 Parties</w:t>
      </w:r>
      <w:r w:rsidR="76EDA0A0" w:rsidRPr="4D644FFD">
        <w:rPr>
          <w:rFonts w:ascii="Times New Roman"/>
        </w:rPr>
        <w:t xml:space="preserve"> (as of March 2021</w:t>
      </w:r>
      <w:r w:rsidR="76EDA0A0" w:rsidRPr="447C45A2">
        <w:rPr>
          <w:rFonts w:ascii="Times New Roman"/>
        </w:rPr>
        <w:t>)</w:t>
      </w:r>
      <w:r w:rsidR="000D0CBE">
        <w:rPr>
          <w:rFonts w:ascii="Times New Roman"/>
        </w:rPr>
        <w:t xml:space="preserve"> and </w:t>
      </w:r>
      <w:r w:rsidR="000D0CBE" w:rsidRPr="000D0CBE">
        <w:rPr>
          <w:rFonts w:ascii="Times New Roman"/>
        </w:rPr>
        <w:t>accords varying degrees of protection to more than 35,000 species of animals and plants</w:t>
      </w:r>
      <w:r w:rsidR="716A2E1C" w:rsidRPr="447C45A2">
        <w:rPr>
          <w:rFonts w:ascii="Times New Roman"/>
        </w:rPr>
        <w:t>.</w:t>
      </w:r>
    </w:p>
    <w:p w14:paraId="5EAB26D9" w14:textId="05973CD3" w:rsidR="006F26FF" w:rsidRPr="00C22793" w:rsidRDefault="000D1EF5" w:rsidP="00DC2488">
      <w:pPr>
        <w:spacing w:after="0" w:line="240" w:lineRule="auto"/>
        <w:jc w:val="both"/>
        <w:rPr>
          <w:rFonts w:ascii="Times New Roman"/>
        </w:rPr>
      </w:pPr>
      <w:r w:rsidRPr="000D1EF5">
        <w:rPr>
          <w:rFonts w:ascii="Times New Roman"/>
        </w:rPr>
        <w:t>In 2016</w:t>
      </w:r>
      <w:r w:rsidR="00B4762F">
        <w:rPr>
          <w:rFonts w:ascii="Times New Roman"/>
        </w:rPr>
        <w:t>,</w:t>
      </w:r>
      <w:r w:rsidRPr="000D1EF5">
        <w:rPr>
          <w:rFonts w:ascii="Times New Roman"/>
        </w:rPr>
        <w:t xml:space="preserve"> CITES commenced a program</w:t>
      </w:r>
      <w:r w:rsidR="00B4762F">
        <w:rPr>
          <w:rFonts w:ascii="Times New Roman"/>
        </w:rPr>
        <w:t>me</w:t>
      </w:r>
      <w:r w:rsidRPr="000D1EF5">
        <w:rPr>
          <w:rFonts w:ascii="Times New Roman"/>
        </w:rPr>
        <w:t xml:space="preserve"> of work focused on </w:t>
      </w:r>
      <w:r w:rsidRPr="000D1EF5">
        <w:rPr>
          <w:rFonts w:ascii="Times New Roman"/>
        </w:rPr>
        <w:t>“</w:t>
      </w:r>
      <w:r w:rsidRPr="000D1EF5">
        <w:rPr>
          <w:rFonts w:ascii="Times New Roman"/>
        </w:rPr>
        <w:t>specimens produced from synthetic or cultured DNA</w:t>
      </w:r>
      <w:r w:rsidRPr="000D1EF5">
        <w:rPr>
          <w:rFonts w:ascii="Times New Roman"/>
        </w:rPr>
        <w:t>”</w:t>
      </w:r>
      <w:r w:rsidRPr="000D1EF5">
        <w:rPr>
          <w:rFonts w:ascii="Times New Roman"/>
        </w:rPr>
        <w:t xml:space="preserve"> and this has recently undergone a change in terminology to focus on </w:t>
      </w:r>
      <w:r w:rsidRPr="000D1EF5">
        <w:rPr>
          <w:rFonts w:ascii="Times New Roman"/>
        </w:rPr>
        <w:t>“</w:t>
      </w:r>
      <w:r w:rsidRPr="000D1EF5">
        <w:rPr>
          <w:rFonts w:ascii="Times New Roman"/>
        </w:rPr>
        <w:t>specimens produced through biotechnology</w:t>
      </w:r>
      <w:r w:rsidRPr="000D1EF5">
        <w:rPr>
          <w:rFonts w:ascii="Times New Roman"/>
        </w:rPr>
        <w:t>”</w:t>
      </w:r>
      <w:r w:rsidRPr="000D1EF5">
        <w:rPr>
          <w:rFonts w:ascii="Times New Roman"/>
        </w:rPr>
        <w:t xml:space="preserve">. </w:t>
      </w:r>
      <w:r w:rsidR="006F26FF" w:rsidRPr="00C22793">
        <w:rPr>
          <w:rFonts w:ascii="Times New Roman"/>
        </w:rPr>
        <w:t xml:space="preserve">At its 17th meeting (CoP17, </w:t>
      </w:r>
      <w:r w:rsidR="00CD591C">
        <w:rPr>
          <w:rFonts w:ascii="Times New Roman"/>
        </w:rPr>
        <w:t>in</w:t>
      </w:r>
      <w:r w:rsidR="006F26FF" w:rsidRPr="00C22793">
        <w:rPr>
          <w:rFonts w:ascii="Times New Roman"/>
        </w:rPr>
        <w:t xml:space="preserve"> 2016), the Conference of the Parties requested the Secretariat</w:t>
      </w:r>
      <w:r w:rsidR="006F26FF" w:rsidRPr="00C22793">
        <w:rPr>
          <w:rFonts w:ascii="Times New Roman"/>
          <w:vertAlign w:val="superscript"/>
        </w:rPr>
        <w:footnoteReference w:id="64"/>
      </w:r>
      <w:r w:rsidR="006F26FF" w:rsidRPr="00C22793">
        <w:rPr>
          <w:rFonts w:ascii="Times New Roman"/>
        </w:rPr>
        <w:t xml:space="preserve"> to undertake a review of relevant CITES provisions, resolutions and decisions as they relate to specimens produced from synthetic or cultured DNA, in order to examine:</w:t>
      </w:r>
    </w:p>
    <w:p w14:paraId="66FE45B2" w14:textId="77777777" w:rsidR="006F26FF" w:rsidRPr="00C22793" w:rsidRDefault="006F26FF" w:rsidP="00DC2488">
      <w:pPr>
        <w:numPr>
          <w:ilvl w:val="0"/>
          <w:numId w:val="155"/>
        </w:numPr>
        <w:spacing w:line="240" w:lineRule="auto"/>
        <w:ind w:left="284" w:hanging="284"/>
        <w:contextualSpacing/>
        <w:jc w:val="both"/>
        <w:rPr>
          <w:rFonts w:ascii="Times New Roman"/>
        </w:rPr>
      </w:pPr>
      <w:r w:rsidRPr="00C22793">
        <w:rPr>
          <w:rFonts w:ascii="Times New Roman"/>
        </w:rPr>
        <w:t>how Parties have applied the interpretation of resolutions concerning trade in readily recognizable parts and derivatives, to wildlife products produced from synthetic or cultured DNA</w:t>
      </w:r>
      <w:r w:rsidRPr="00C22793">
        <w:rPr>
          <w:vertAlign w:val="superscript"/>
        </w:rPr>
        <w:footnoteReference w:id="65"/>
      </w:r>
      <w:r w:rsidRPr="00C22793">
        <w:rPr>
          <w:rFonts w:ascii="Times New Roman"/>
          <w:vertAlign w:val="superscript"/>
        </w:rPr>
        <w:t xml:space="preserve"> </w:t>
      </w:r>
    </w:p>
    <w:p w14:paraId="43C4A8F6" w14:textId="1A4BC35A" w:rsidR="006F26FF" w:rsidRPr="00C22793" w:rsidRDefault="006F26FF" w:rsidP="00DC2488">
      <w:pPr>
        <w:numPr>
          <w:ilvl w:val="0"/>
          <w:numId w:val="155"/>
        </w:numPr>
        <w:spacing w:line="240" w:lineRule="auto"/>
        <w:ind w:left="284" w:hanging="284"/>
        <w:contextualSpacing/>
        <w:jc w:val="both"/>
        <w:rPr>
          <w:rFonts w:ascii="Times New Roman"/>
        </w:rPr>
      </w:pPr>
      <w:r w:rsidRPr="00C22793">
        <w:rPr>
          <w:rFonts w:ascii="Times New Roman"/>
        </w:rPr>
        <w:t>under what circumstances wildlife products produced from synthetic or cultured DNA meet the current interpretation</w:t>
      </w:r>
      <w:r w:rsidR="009F25CC" w:rsidRPr="009F25CC">
        <w:t xml:space="preserve"> </w:t>
      </w:r>
      <w:r w:rsidR="009F25CC" w:rsidRPr="009F25CC">
        <w:rPr>
          <w:rFonts w:ascii="Times New Roman"/>
        </w:rPr>
        <w:t>of such resolutions</w:t>
      </w:r>
      <w:r w:rsidRPr="00C22793">
        <w:rPr>
          <w:rFonts w:ascii="Times New Roman"/>
        </w:rPr>
        <w:t>; and</w:t>
      </w:r>
    </w:p>
    <w:p w14:paraId="6A92C366" w14:textId="3625B1E8" w:rsidR="006F26FF" w:rsidRPr="00C22793" w:rsidRDefault="006F26FF" w:rsidP="007A3ACB">
      <w:pPr>
        <w:numPr>
          <w:ilvl w:val="0"/>
          <w:numId w:val="155"/>
        </w:numPr>
        <w:spacing w:after="120" w:line="240" w:lineRule="auto"/>
        <w:ind w:left="284" w:hanging="284"/>
        <w:jc w:val="both"/>
        <w:rPr>
          <w:rFonts w:ascii="Times New Roman"/>
        </w:rPr>
      </w:pPr>
      <w:r w:rsidRPr="00C22793">
        <w:rPr>
          <w:rFonts w:ascii="Times New Roman"/>
        </w:rPr>
        <w:t>whether any revisions should be considered, with a view to ensuring that such trade does not pose a threat to the survival of CITES-listed species.</w:t>
      </w:r>
    </w:p>
    <w:p w14:paraId="40B449F6" w14:textId="5F1A5DAA" w:rsidR="000468BD" w:rsidRDefault="006F26FF" w:rsidP="007668C4">
      <w:pPr>
        <w:spacing w:line="240" w:lineRule="auto"/>
        <w:jc w:val="both"/>
        <w:rPr>
          <w:rFonts w:ascii="Times New Roman"/>
        </w:rPr>
      </w:pPr>
      <w:r w:rsidRPr="00C22793">
        <w:rPr>
          <w:rFonts w:ascii="Times New Roman"/>
        </w:rPr>
        <w:t xml:space="preserve">The Secretariat commissioned a </w:t>
      </w:r>
      <w:r w:rsidR="00A445A7">
        <w:rPr>
          <w:rFonts w:ascii="Times New Roman"/>
        </w:rPr>
        <w:t>S</w:t>
      </w:r>
      <w:r w:rsidRPr="00C22793">
        <w:rPr>
          <w:rFonts w:ascii="Times New Roman"/>
        </w:rPr>
        <w:t xml:space="preserve">tudy on Wildlife </w:t>
      </w:r>
      <w:r w:rsidR="00A445A7" w:rsidRPr="00C22793">
        <w:rPr>
          <w:rFonts w:ascii="Times New Roman"/>
        </w:rPr>
        <w:t>Products Produced</w:t>
      </w:r>
      <w:r w:rsidRPr="00C22793">
        <w:rPr>
          <w:rFonts w:ascii="Times New Roman"/>
        </w:rPr>
        <w:t xml:space="preserve"> from </w:t>
      </w:r>
      <w:r w:rsidR="00A445A7" w:rsidRPr="00C22793">
        <w:rPr>
          <w:rFonts w:ascii="Times New Roman"/>
        </w:rPr>
        <w:t>Synthetic</w:t>
      </w:r>
      <w:r w:rsidRPr="00C22793">
        <w:rPr>
          <w:rFonts w:ascii="Times New Roman"/>
        </w:rPr>
        <w:t xml:space="preserve"> or </w:t>
      </w:r>
      <w:r w:rsidR="00A445A7" w:rsidRPr="00C22793">
        <w:rPr>
          <w:rFonts w:ascii="Times New Roman"/>
        </w:rPr>
        <w:t>C</w:t>
      </w:r>
      <w:r w:rsidRPr="00C22793">
        <w:rPr>
          <w:rFonts w:ascii="Times New Roman"/>
        </w:rPr>
        <w:t>ultured DNA</w:t>
      </w:r>
      <w:r w:rsidR="00AA5E17">
        <w:rPr>
          <w:rStyle w:val="FootnoteReference"/>
          <w:rFonts w:ascii="Times New Roman"/>
        </w:rPr>
        <w:footnoteReference w:id="66"/>
      </w:r>
      <w:r w:rsidRPr="00C22793">
        <w:rPr>
          <w:rFonts w:ascii="Times New Roman"/>
        </w:rPr>
        <w:t xml:space="preserve"> </w:t>
      </w:r>
      <w:r w:rsidR="00ED6EB0">
        <w:rPr>
          <w:rFonts w:ascii="Times New Roman"/>
        </w:rPr>
        <w:t>and</w:t>
      </w:r>
      <w:r w:rsidRPr="00C22793">
        <w:rPr>
          <w:rFonts w:ascii="Times New Roman"/>
        </w:rPr>
        <w:t xml:space="preserve"> </w:t>
      </w:r>
      <w:r w:rsidR="002A2C9F">
        <w:rPr>
          <w:rFonts w:ascii="Times New Roman"/>
        </w:rPr>
        <w:t>requested</w:t>
      </w:r>
      <w:r w:rsidRPr="00C22793">
        <w:rPr>
          <w:rFonts w:ascii="Times New Roman"/>
        </w:rPr>
        <w:t xml:space="preserve"> information from Parties on cases where they have issued (or not issued) CITES permits and certificates for bioengineered specimens</w:t>
      </w:r>
      <w:r w:rsidR="00BC3402" w:rsidRPr="00BC3402">
        <w:rPr>
          <w:rFonts w:ascii="Times New Roman"/>
        </w:rPr>
        <w:t xml:space="preserve">, to which </w:t>
      </w:r>
      <w:r w:rsidR="00F85448">
        <w:rPr>
          <w:rFonts w:ascii="Times New Roman"/>
        </w:rPr>
        <w:t>o</w:t>
      </w:r>
      <w:r w:rsidRPr="00C22793">
        <w:rPr>
          <w:rFonts w:ascii="Times New Roman"/>
        </w:rPr>
        <w:t>ne Party reported having issued permits deemed to be products of bioengineering</w:t>
      </w:r>
      <w:r w:rsidRPr="00C22793">
        <w:rPr>
          <w:rFonts w:ascii="Times New Roman"/>
          <w:vertAlign w:val="superscript"/>
        </w:rPr>
        <w:footnoteReference w:id="67"/>
      </w:r>
      <w:r w:rsidR="0044528C">
        <w:rPr>
          <w:rFonts w:ascii="Times New Roman"/>
        </w:rPr>
        <w:t>.</w:t>
      </w:r>
      <w:r w:rsidR="0042396F">
        <w:rPr>
          <w:rFonts w:ascii="Times New Roman"/>
        </w:rPr>
        <w:t xml:space="preserve"> </w:t>
      </w:r>
      <w:r w:rsidRPr="00C22793">
        <w:rPr>
          <w:rFonts w:ascii="Times New Roman"/>
        </w:rPr>
        <w:t>At its 69</w:t>
      </w:r>
      <w:r w:rsidRPr="009B247E">
        <w:rPr>
          <w:rFonts w:ascii="Times New Roman"/>
          <w:vertAlign w:val="superscript"/>
        </w:rPr>
        <w:t>th</w:t>
      </w:r>
      <w:r w:rsidRPr="00C22793">
        <w:rPr>
          <w:rFonts w:ascii="Times New Roman"/>
        </w:rPr>
        <w:t xml:space="preserve"> meeting in 2017</w:t>
      </w:r>
      <w:r w:rsidR="62B21801" w:rsidRPr="76859665">
        <w:rPr>
          <w:rFonts w:ascii="Times New Roman"/>
        </w:rPr>
        <w:t>,</w:t>
      </w:r>
      <w:r w:rsidRPr="00C22793">
        <w:rPr>
          <w:rFonts w:ascii="Times New Roman"/>
        </w:rPr>
        <w:t xml:space="preserve"> the Standing Committee of CITES established an intersessional working group on synthetic or cultured DNA with a mandate to review the Secretariat</w:t>
      </w:r>
      <w:r w:rsidRPr="00C22793">
        <w:rPr>
          <w:rFonts w:ascii="Times New Roman"/>
        </w:rPr>
        <w:t>’</w:t>
      </w:r>
      <w:r w:rsidRPr="00C22793">
        <w:rPr>
          <w:rFonts w:ascii="Times New Roman"/>
        </w:rPr>
        <w:t>s findings and recommendations</w:t>
      </w:r>
      <w:r w:rsidR="001B189F">
        <w:rPr>
          <w:rFonts w:ascii="Times New Roman"/>
        </w:rPr>
        <w:t xml:space="preserve"> </w:t>
      </w:r>
      <w:r w:rsidR="001B189F" w:rsidRPr="001B189F">
        <w:rPr>
          <w:rFonts w:ascii="Times New Roman"/>
        </w:rPr>
        <w:t xml:space="preserve">including, </w:t>
      </w:r>
      <w:r w:rsidR="001B189F" w:rsidRPr="00A94DCE">
        <w:rPr>
          <w:rFonts w:ascii="Times New Roman"/>
          <w:i/>
          <w:iCs/>
        </w:rPr>
        <w:t>inter alia</w:t>
      </w:r>
      <w:r w:rsidR="001B189F" w:rsidRPr="001B189F">
        <w:rPr>
          <w:rFonts w:ascii="Times New Roman"/>
        </w:rPr>
        <w:t>, as follows:</w:t>
      </w:r>
    </w:p>
    <w:p w14:paraId="5DCCEAFD" w14:textId="79655D2C" w:rsidR="006F26FF" w:rsidRPr="000468BD" w:rsidRDefault="006F26FF" w:rsidP="000468BD">
      <w:pPr>
        <w:pStyle w:val="ListParagraph"/>
        <w:numPr>
          <w:ilvl w:val="0"/>
          <w:numId w:val="230"/>
        </w:numPr>
        <w:spacing w:after="0" w:line="240" w:lineRule="auto"/>
        <w:ind w:left="284" w:hanging="284"/>
        <w:contextualSpacing w:val="0"/>
        <w:jc w:val="both"/>
        <w:rPr>
          <w:rFonts w:ascii="Times New Roman"/>
        </w:rPr>
      </w:pPr>
      <w:r w:rsidRPr="000468BD">
        <w:rPr>
          <w:rFonts w:ascii="Times New Roman"/>
        </w:rPr>
        <w:t>Although only few applications are commercially available or known today, biotechnologies, combined with other technological tools such as three-dimensional printing, would allow vast possibilities for making synthetic specimens of almost any CITES-listed species that closely mimic both the physical appearance and biological characteristics of their wildlife counterparts.</w:t>
      </w:r>
    </w:p>
    <w:p w14:paraId="195FD8A2" w14:textId="10D1C7E4" w:rsidR="006F26FF" w:rsidRPr="00C22793" w:rsidRDefault="006F26FF" w:rsidP="00DC2488">
      <w:pPr>
        <w:numPr>
          <w:ilvl w:val="0"/>
          <w:numId w:val="155"/>
        </w:numPr>
        <w:spacing w:line="240" w:lineRule="auto"/>
        <w:ind w:left="284" w:hanging="284"/>
        <w:contextualSpacing/>
        <w:jc w:val="both"/>
        <w:rPr>
          <w:rFonts w:ascii="Times New Roman"/>
        </w:rPr>
      </w:pPr>
      <w:r w:rsidRPr="00C22793">
        <w:rPr>
          <w:rFonts w:ascii="Times New Roman"/>
        </w:rPr>
        <w:t>The technologies are evolving constantly, and may pose an increasingly complex landscape to identify, let alone regulate, considering that some will be extremely difficult to differentiate by visual or analytical means.</w:t>
      </w:r>
    </w:p>
    <w:p w14:paraId="0D0687D6" w14:textId="294E3230" w:rsidR="006F26FF" w:rsidRPr="00C22793" w:rsidRDefault="006F26FF" w:rsidP="00DC2488">
      <w:pPr>
        <w:numPr>
          <w:ilvl w:val="0"/>
          <w:numId w:val="155"/>
        </w:numPr>
        <w:spacing w:line="240" w:lineRule="auto"/>
        <w:ind w:left="284" w:hanging="284"/>
        <w:contextualSpacing/>
        <w:jc w:val="both"/>
        <w:rPr>
          <w:rFonts w:ascii="Times New Roman"/>
        </w:rPr>
      </w:pPr>
      <w:r w:rsidRPr="00C22793">
        <w:rPr>
          <w:rFonts w:ascii="Times New Roman"/>
        </w:rPr>
        <w:t xml:space="preserve">In cases where they are indistinguishable, all specimens are suggested to be regulated as if they were from the wild. Even in cases where they can be differentiated, some form of regulation may be necessary. </w:t>
      </w:r>
    </w:p>
    <w:p w14:paraId="30478E07" w14:textId="77777777" w:rsidR="00946F29" w:rsidRDefault="00946F29" w:rsidP="00F507B2">
      <w:pPr>
        <w:spacing w:after="120" w:line="240" w:lineRule="auto"/>
        <w:jc w:val="both"/>
        <w:rPr>
          <w:rFonts w:ascii="Times New Roman"/>
        </w:rPr>
      </w:pPr>
    </w:p>
    <w:p w14:paraId="104ED36C" w14:textId="2E3CE106" w:rsidR="008A2D6E" w:rsidRDefault="006F26FF" w:rsidP="00F507B2">
      <w:pPr>
        <w:spacing w:after="120" w:line="240" w:lineRule="auto"/>
        <w:jc w:val="both"/>
        <w:rPr>
          <w:rFonts w:ascii="Times New Roman"/>
        </w:rPr>
      </w:pPr>
      <w:r w:rsidRPr="00C22793">
        <w:rPr>
          <w:rFonts w:ascii="Times New Roman"/>
        </w:rPr>
        <w:t xml:space="preserve">Should a need arise to create exemptions or simplified procedures to demonstrate that the specimen was produced through biotechnology, the study suggests a number of options may be used to make them </w:t>
      </w:r>
      <w:r w:rsidRPr="00C22793">
        <w:rPr>
          <w:rFonts w:ascii="Times New Roman"/>
        </w:rPr>
        <w:t>‘</w:t>
      </w:r>
      <w:r w:rsidRPr="00C22793">
        <w:rPr>
          <w:rFonts w:ascii="Times New Roman"/>
        </w:rPr>
        <w:t>readily recognisable,</w:t>
      </w:r>
      <w:r w:rsidRPr="00C22793">
        <w:rPr>
          <w:rFonts w:ascii="Times New Roman"/>
        </w:rPr>
        <w:t>’</w:t>
      </w:r>
      <w:r w:rsidRPr="00C22793">
        <w:rPr>
          <w:rFonts w:ascii="Times New Roman"/>
        </w:rPr>
        <w:t xml:space="preserve"> for which there are a number of possible means</w:t>
      </w:r>
      <w:r w:rsidR="00F07BD2">
        <w:rPr>
          <w:rFonts w:ascii="Times New Roman"/>
        </w:rPr>
        <w:t>, however</w:t>
      </w:r>
      <w:r w:rsidR="00757024">
        <w:rPr>
          <w:rFonts w:ascii="Times New Roman"/>
        </w:rPr>
        <w:t>,</w:t>
      </w:r>
      <w:r w:rsidR="00A25E6E">
        <w:rPr>
          <w:rFonts w:ascii="Times New Roman"/>
        </w:rPr>
        <w:t xml:space="preserve"> </w:t>
      </w:r>
      <w:r w:rsidR="00757024">
        <w:rPr>
          <w:rFonts w:ascii="Times New Roman"/>
        </w:rPr>
        <w:t>t</w:t>
      </w:r>
      <w:r w:rsidRPr="00C22793">
        <w:rPr>
          <w:rFonts w:ascii="Times New Roman"/>
        </w:rPr>
        <w:t xml:space="preserve">he study does not make any conclusive remark on which options should be suitable, or precisely what should be regulated, and how. </w:t>
      </w:r>
      <w:r w:rsidR="008A2D6E" w:rsidRPr="008A2D6E">
        <w:rPr>
          <w:rFonts w:ascii="Times New Roman"/>
        </w:rPr>
        <w:t xml:space="preserve">At its </w:t>
      </w:r>
      <w:r w:rsidR="008A2D6E">
        <w:rPr>
          <w:rFonts w:ascii="Times New Roman"/>
        </w:rPr>
        <w:t>70</w:t>
      </w:r>
      <w:r w:rsidR="008A2D6E" w:rsidRPr="008A2D6E">
        <w:rPr>
          <w:rFonts w:ascii="Times New Roman"/>
        </w:rPr>
        <w:t>th meeting in 201</w:t>
      </w:r>
      <w:r w:rsidR="008A2D6E">
        <w:rPr>
          <w:rFonts w:ascii="Times New Roman"/>
        </w:rPr>
        <w:t>8</w:t>
      </w:r>
      <w:r w:rsidR="008A2D6E" w:rsidRPr="008A2D6E">
        <w:rPr>
          <w:rFonts w:ascii="Times New Roman"/>
        </w:rPr>
        <w:t>, the Standing Committee of CITES</w:t>
      </w:r>
      <w:r w:rsidR="00CD6944">
        <w:rPr>
          <w:rFonts w:ascii="Times New Roman"/>
        </w:rPr>
        <w:t xml:space="preserve"> </w:t>
      </w:r>
      <w:r w:rsidR="00CB182F">
        <w:rPr>
          <w:rFonts w:ascii="Times New Roman"/>
        </w:rPr>
        <w:t xml:space="preserve">noted the </w:t>
      </w:r>
      <w:r w:rsidR="00CB182F" w:rsidRPr="00CB182F">
        <w:rPr>
          <w:rFonts w:ascii="Times New Roman"/>
        </w:rPr>
        <w:t xml:space="preserve">urgency of </w:t>
      </w:r>
      <w:r w:rsidR="00DD6076">
        <w:rPr>
          <w:rFonts w:ascii="Times New Roman"/>
        </w:rPr>
        <w:t xml:space="preserve">addressing </w:t>
      </w:r>
      <w:r w:rsidR="00CB182F" w:rsidRPr="00CB182F">
        <w:rPr>
          <w:rFonts w:ascii="Times New Roman"/>
        </w:rPr>
        <w:t xml:space="preserve">the issue </w:t>
      </w:r>
      <w:r w:rsidR="00DD6076" w:rsidRPr="00DD6076">
        <w:rPr>
          <w:rFonts w:ascii="Times New Roman"/>
        </w:rPr>
        <w:t xml:space="preserve">of synthetic or cultured DNA as </w:t>
      </w:r>
      <w:r w:rsidR="00CB182F" w:rsidRPr="00CB182F">
        <w:rPr>
          <w:rFonts w:ascii="Times New Roman"/>
        </w:rPr>
        <w:t>driven by the rapid development of the</w:t>
      </w:r>
      <w:r w:rsidR="00CB182F">
        <w:rPr>
          <w:rFonts w:ascii="Times New Roman"/>
        </w:rPr>
        <w:t xml:space="preserve"> </w:t>
      </w:r>
      <w:r w:rsidR="00CB182F" w:rsidRPr="00CB182F">
        <w:rPr>
          <w:rFonts w:ascii="Times New Roman"/>
        </w:rPr>
        <w:t>technologies involved</w:t>
      </w:r>
      <w:r w:rsidR="00A27D1A">
        <w:rPr>
          <w:rFonts w:cs="Calibri"/>
        </w:rPr>
        <w:t xml:space="preserve">, </w:t>
      </w:r>
      <w:r w:rsidR="007535FC">
        <w:rPr>
          <w:rFonts w:ascii="Times New Roman"/>
        </w:rPr>
        <w:t xml:space="preserve">including the concern that rhino horns produced through biotechnology </w:t>
      </w:r>
      <w:r w:rsidR="004E517A">
        <w:rPr>
          <w:rFonts w:ascii="Times New Roman"/>
        </w:rPr>
        <w:t>are</w:t>
      </w:r>
      <w:r w:rsidR="00777D1C">
        <w:rPr>
          <w:rFonts w:ascii="Times New Roman"/>
        </w:rPr>
        <w:t>,</w:t>
      </w:r>
      <w:r w:rsidR="004E517A">
        <w:rPr>
          <w:rFonts w:ascii="Times New Roman"/>
        </w:rPr>
        <w:t xml:space="preserve"> or </w:t>
      </w:r>
      <w:r w:rsidR="007535FC">
        <w:rPr>
          <w:rFonts w:ascii="Times New Roman"/>
        </w:rPr>
        <w:t>could be</w:t>
      </w:r>
      <w:r w:rsidR="00777D1C">
        <w:rPr>
          <w:rFonts w:ascii="Times New Roman"/>
        </w:rPr>
        <w:t>,</w:t>
      </w:r>
      <w:r w:rsidR="007535FC">
        <w:rPr>
          <w:rFonts w:ascii="Times New Roman"/>
        </w:rPr>
        <w:t xml:space="preserve"> available imminent</w:t>
      </w:r>
      <w:r w:rsidR="004906F2">
        <w:rPr>
          <w:rFonts w:ascii="Times New Roman"/>
        </w:rPr>
        <w:t xml:space="preserve">ly </w:t>
      </w:r>
      <w:r w:rsidR="004906F2" w:rsidRPr="004906F2">
        <w:rPr>
          <w:rFonts w:ascii="Times New Roman"/>
        </w:rPr>
        <w:t xml:space="preserve">which are genetically similar or identical to real rhinoceros horn. However, it </w:t>
      </w:r>
      <w:r w:rsidR="007535FC">
        <w:rPr>
          <w:rFonts w:ascii="Times New Roman"/>
        </w:rPr>
        <w:t>also</w:t>
      </w:r>
      <w:r w:rsidR="00CB182F">
        <w:rPr>
          <w:rFonts w:ascii="Times New Roman"/>
        </w:rPr>
        <w:t xml:space="preserve"> </w:t>
      </w:r>
      <w:r w:rsidR="00933380">
        <w:rPr>
          <w:rFonts w:ascii="Times New Roman"/>
        </w:rPr>
        <w:t xml:space="preserve">noted </w:t>
      </w:r>
      <w:r w:rsidR="00CB182F">
        <w:rPr>
          <w:rFonts w:ascii="Times New Roman"/>
        </w:rPr>
        <w:t xml:space="preserve">caution </w:t>
      </w:r>
      <w:r w:rsidR="00DE44B1">
        <w:rPr>
          <w:rFonts w:ascii="Times New Roman"/>
        </w:rPr>
        <w:t xml:space="preserve">in providing recommendations prematurely. </w:t>
      </w:r>
      <w:r w:rsidR="006419C5">
        <w:rPr>
          <w:rFonts w:ascii="Times New Roman"/>
        </w:rPr>
        <w:t>T</w:t>
      </w:r>
      <w:r w:rsidR="00FC2795">
        <w:rPr>
          <w:rFonts w:ascii="Times New Roman"/>
        </w:rPr>
        <w:t xml:space="preserve">he meeting record indicates </w:t>
      </w:r>
      <w:r w:rsidR="005872EB">
        <w:rPr>
          <w:rFonts w:ascii="Times New Roman"/>
        </w:rPr>
        <w:t xml:space="preserve">some </w:t>
      </w:r>
      <w:r w:rsidR="005872EB" w:rsidRPr="005872EB">
        <w:rPr>
          <w:rFonts w:ascii="Times New Roman"/>
        </w:rPr>
        <w:t xml:space="preserve">Committee Members and Parties </w:t>
      </w:r>
      <w:r w:rsidR="00EB5002">
        <w:rPr>
          <w:rFonts w:ascii="Times New Roman"/>
        </w:rPr>
        <w:t xml:space="preserve">expressed </w:t>
      </w:r>
      <w:r w:rsidR="00DD5FEC">
        <w:rPr>
          <w:rFonts w:ascii="Times New Roman"/>
        </w:rPr>
        <w:t xml:space="preserve">as to </w:t>
      </w:r>
      <w:r w:rsidR="005872EB" w:rsidRPr="005872EB">
        <w:rPr>
          <w:rFonts w:ascii="Times New Roman"/>
        </w:rPr>
        <w:t>whether or not specimens produced by biotechnology fell under the</w:t>
      </w:r>
      <w:r w:rsidR="005872EB">
        <w:rPr>
          <w:rFonts w:ascii="Times New Roman"/>
        </w:rPr>
        <w:t xml:space="preserve"> </w:t>
      </w:r>
      <w:r w:rsidR="005872EB" w:rsidRPr="005872EB">
        <w:rPr>
          <w:rFonts w:ascii="Times New Roman"/>
        </w:rPr>
        <w:t>remit of CITES</w:t>
      </w:r>
      <w:r w:rsidR="009B247E">
        <w:rPr>
          <w:rStyle w:val="FootnoteReference"/>
          <w:rFonts w:ascii="Times New Roman"/>
        </w:rPr>
        <w:footnoteReference w:id="68"/>
      </w:r>
      <w:r w:rsidR="009B247E">
        <w:rPr>
          <w:rFonts w:ascii="Times New Roman"/>
        </w:rPr>
        <w:t>.</w:t>
      </w:r>
    </w:p>
    <w:p w14:paraId="1D68E42E" w14:textId="01716F3F" w:rsidR="006F26FF" w:rsidRPr="00C22793" w:rsidRDefault="006F26FF" w:rsidP="00437468">
      <w:pPr>
        <w:spacing w:after="120" w:line="240" w:lineRule="auto"/>
        <w:jc w:val="both"/>
        <w:rPr>
          <w:rFonts w:ascii="Times New Roman"/>
        </w:rPr>
      </w:pPr>
      <w:r w:rsidRPr="00C22793">
        <w:rPr>
          <w:rFonts w:ascii="Times New Roman"/>
        </w:rPr>
        <w:t>The Standing Committee</w:t>
      </w:r>
      <w:r w:rsidRPr="00C22793">
        <w:rPr>
          <w:rFonts w:ascii="Times New Roman"/>
        </w:rPr>
        <w:t>’</w:t>
      </w:r>
      <w:r w:rsidRPr="00C22793">
        <w:rPr>
          <w:rFonts w:ascii="Times New Roman"/>
        </w:rPr>
        <w:t xml:space="preserve">s recommendations were </w:t>
      </w:r>
      <w:r w:rsidR="0034565A">
        <w:rPr>
          <w:rFonts w:ascii="Times New Roman"/>
        </w:rPr>
        <w:t xml:space="preserve">considered </w:t>
      </w:r>
      <w:r w:rsidRPr="00C22793">
        <w:rPr>
          <w:rFonts w:ascii="Times New Roman"/>
        </w:rPr>
        <w:t xml:space="preserve">at CoP18 in 2019 and COP Decision 18 regarding </w:t>
      </w:r>
      <w:r w:rsidR="00863EE7">
        <w:rPr>
          <w:rFonts w:ascii="Times New Roman"/>
        </w:rPr>
        <w:t>“</w:t>
      </w:r>
      <w:r w:rsidRPr="00C22793">
        <w:rPr>
          <w:rFonts w:ascii="Times New Roman"/>
        </w:rPr>
        <w:t>specimens produced through biotechnology</w:t>
      </w:r>
      <w:r w:rsidR="00863EE7">
        <w:rPr>
          <w:rFonts w:ascii="Times New Roman"/>
        </w:rPr>
        <w:t>”</w:t>
      </w:r>
      <w:r w:rsidR="00B90DA7">
        <w:rPr>
          <w:rStyle w:val="FootnoteReference"/>
          <w:rFonts w:ascii="Times New Roman"/>
        </w:rPr>
        <w:footnoteReference w:id="69"/>
      </w:r>
      <w:r w:rsidR="0080632D">
        <w:rPr>
          <w:rFonts w:ascii="Times New Roman"/>
        </w:rPr>
        <w:t xml:space="preserve"> </w:t>
      </w:r>
      <w:r w:rsidRPr="00C22793">
        <w:rPr>
          <w:rFonts w:ascii="Times New Roman"/>
        </w:rPr>
        <w:t>included the following directions</w:t>
      </w:r>
      <w:r w:rsidR="00EE4B0D">
        <w:rPr>
          <w:rStyle w:val="FootnoteReference"/>
          <w:rFonts w:ascii="Times New Roman"/>
        </w:rPr>
        <w:footnoteReference w:id="70"/>
      </w:r>
      <w:r w:rsidRPr="00C22793">
        <w:rPr>
          <w:rFonts w:ascii="Times New Roman"/>
        </w:rPr>
        <w:t>:</w:t>
      </w:r>
    </w:p>
    <w:p w14:paraId="5C067F11" w14:textId="2E19611D" w:rsidR="006F26FF" w:rsidRPr="00C22793" w:rsidRDefault="006F26FF" w:rsidP="00DC2488">
      <w:pPr>
        <w:numPr>
          <w:ilvl w:val="0"/>
          <w:numId w:val="156"/>
        </w:numPr>
        <w:spacing w:before="120" w:after="0" w:line="240" w:lineRule="auto"/>
        <w:ind w:left="284" w:hanging="284"/>
        <w:jc w:val="both"/>
        <w:rPr>
          <w:rFonts w:ascii="Times New Roman"/>
        </w:rPr>
      </w:pPr>
      <w:r w:rsidRPr="00C22793">
        <w:rPr>
          <w:rFonts w:ascii="Times New Roman"/>
        </w:rPr>
        <w:t>Parties were invited to provide information regarding</w:t>
      </w:r>
      <w:r w:rsidR="00F507B2">
        <w:rPr>
          <w:rFonts w:ascii="Times New Roman"/>
        </w:rPr>
        <w:t>:</w:t>
      </w:r>
      <w:r w:rsidRPr="00C22793">
        <w:rPr>
          <w:rFonts w:ascii="Times New Roman"/>
        </w:rPr>
        <w:t xml:space="preserve"> (i) cases where they have issued, or received requests to issue, CITES permits and certificates for specimens produced through biotechnology; </w:t>
      </w:r>
      <w:r w:rsidR="00E84909">
        <w:rPr>
          <w:rFonts w:ascii="Times New Roman"/>
        </w:rPr>
        <w:t xml:space="preserve">(ii) </w:t>
      </w:r>
      <w:r w:rsidRPr="00C22793">
        <w:rPr>
          <w:rFonts w:ascii="Times New Roman"/>
        </w:rPr>
        <w:t>other situations when they have applied the interpretation of Resolution Conf. 9.6 (Rev. CoP16) on Trade in readily recogni</w:t>
      </w:r>
      <w:r w:rsidR="00E84909">
        <w:rPr>
          <w:rFonts w:ascii="Times New Roman"/>
        </w:rPr>
        <w:t>s</w:t>
      </w:r>
      <w:r w:rsidRPr="00C22793">
        <w:rPr>
          <w:rFonts w:ascii="Times New Roman"/>
        </w:rPr>
        <w:t>able parts and derivatives to fauna and flora products produced through biotechnology; and (iii) technological developments and applications taking place, particularly in their jurisdiction, that may result in the manufacture of specimens produced through biotechnology that may have impact on the interpretation and implementation of the Convention.</w:t>
      </w:r>
    </w:p>
    <w:p w14:paraId="00459E86" w14:textId="3625B1E8" w:rsidR="006F26FF" w:rsidRPr="00C22793" w:rsidRDefault="006F26FF" w:rsidP="00DC2488">
      <w:pPr>
        <w:numPr>
          <w:ilvl w:val="0"/>
          <w:numId w:val="156"/>
        </w:numPr>
        <w:spacing w:before="120" w:after="0" w:line="240" w:lineRule="auto"/>
        <w:ind w:left="284" w:hanging="284"/>
        <w:jc w:val="both"/>
        <w:rPr>
          <w:rFonts w:ascii="Times New Roman"/>
        </w:rPr>
      </w:pPr>
      <w:r w:rsidRPr="00C22793">
        <w:rPr>
          <w:rFonts w:ascii="Times New Roman"/>
        </w:rPr>
        <w:t>The Animal and Plants Committees of CITES were requested to monitor the most recent scientific and technological advancements and applications that may lead to the synthetic production of specimens of CITES-listed species, and to: (i) make recommendations, including appropriate revisions to existing resolutions; and (ii) provide any relevant scientific advice and guidance on matters relevant to international trade in specimens produced through biotechnology.</w:t>
      </w:r>
    </w:p>
    <w:p w14:paraId="79DB091F" w14:textId="74B3C2C4" w:rsidR="00D205EE" w:rsidRPr="00A669EC" w:rsidRDefault="006F26FF" w:rsidP="00DC2488">
      <w:pPr>
        <w:numPr>
          <w:ilvl w:val="0"/>
          <w:numId w:val="156"/>
        </w:numPr>
        <w:spacing w:before="120" w:after="0" w:line="240" w:lineRule="auto"/>
        <w:ind w:left="284" w:hanging="284"/>
        <w:jc w:val="both"/>
      </w:pPr>
      <w:r w:rsidRPr="00C22793">
        <w:rPr>
          <w:rFonts w:ascii="Times New Roman"/>
        </w:rPr>
        <w:t>The Secretariat was requested to coordinate with the Secretariats of the Convention on Biological Diversity, the Food and Agricultural Organization of the United Nations, the International Union for Conservation of Nature and other relevant organizations as appropriate, to keep abreast of the discussions taking place on other fora on issues that may be relevant to specimens produced through biotechnology.</w:t>
      </w:r>
    </w:p>
    <w:p w14:paraId="62F9E644" w14:textId="4A466A93" w:rsidR="00D205EE" w:rsidRPr="00A669EC" w:rsidRDefault="00D205EE" w:rsidP="00D205EE">
      <w:pPr>
        <w:pStyle w:val="Heading4"/>
        <w:rPr>
          <w:i w:val="0"/>
          <w:iCs/>
          <w:shd w:val="clear" w:color="auto" w:fill="FFFFFF"/>
        </w:rPr>
      </w:pPr>
      <w:r w:rsidRPr="00A669EC">
        <w:rPr>
          <w:rFonts w:hint="eastAsia"/>
          <w:i w:val="0"/>
          <w:iCs/>
          <w:shd w:val="clear" w:color="auto" w:fill="FFFFFF"/>
        </w:rPr>
        <w:t>9.2.3. International Union for Conservation of Nature</w:t>
      </w:r>
      <w:r w:rsidR="008947AE">
        <w:rPr>
          <w:rFonts w:asciiTheme="minorHAnsi" w:hAnsiTheme="minorHAnsi"/>
          <w:i w:val="0"/>
          <w:iCs/>
          <w:shd w:val="clear" w:color="auto" w:fill="FFFFFF"/>
          <w:lang w:val="en-US"/>
        </w:rPr>
        <w:t>.</w:t>
      </w:r>
      <w:r w:rsidRPr="00A669EC">
        <w:rPr>
          <w:rFonts w:hint="eastAsia"/>
          <w:i w:val="0"/>
          <w:iCs/>
          <w:shd w:val="clear" w:color="auto" w:fill="FFFFFF"/>
        </w:rPr>
        <w:t xml:space="preserve"> </w:t>
      </w:r>
    </w:p>
    <w:p w14:paraId="76A54769" w14:textId="77777777" w:rsidR="008D7CFB" w:rsidRPr="008D7CFB" w:rsidRDefault="008D7CFB" w:rsidP="00E831D5">
      <w:pPr>
        <w:spacing w:after="120" w:line="240" w:lineRule="auto"/>
        <w:jc w:val="both"/>
        <w:rPr>
          <w:rFonts w:ascii="Times New Roman"/>
        </w:rPr>
      </w:pPr>
      <w:r w:rsidRPr="008D7CFB">
        <w:rPr>
          <w:rFonts w:ascii="Times New Roman"/>
        </w:rPr>
        <w:t>International Union for Conservation of Nature (IUCN) is a membership Union composed of governments and civil society organisations with a focus on nature conservation and sustainable development. It has more than 1,400 member organisations and is supported by more than 17,000 experts. Every four years, a World Conservation Congress consisting of a public Forum and a Members</w:t>
      </w:r>
      <w:r w:rsidRPr="008D7CFB">
        <w:rPr>
          <w:rFonts w:ascii="Times New Roman"/>
        </w:rPr>
        <w:t>’</w:t>
      </w:r>
      <w:r w:rsidRPr="008D7CFB">
        <w:rPr>
          <w:rFonts w:ascii="Times New Roman"/>
        </w:rPr>
        <w:t xml:space="preserve"> Assembly takes place. The Congress and in particular its Members</w:t>
      </w:r>
      <w:r w:rsidRPr="008D7CFB">
        <w:rPr>
          <w:rFonts w:ascii="Times New Roman"/>
        </w:rPr>
        <w:t>’</w:t>
      </w:r>
      <w:r w:rsidRPr="008D7CFB">
        <w:rPr>
          <w:rFonts w:ascii="Times New Roman"/>
        </w:rPr>
        <w:t xml:space="preserve"> Assembly constitutes the Union</w:t>
      </w:r>
      <w:r w:rsidRPr="008D7CFB">
        <w:rPr>
          <w:rFonts w:ascii="Times New Roman"/>
        </w:rPr>
        <w:t>’</w:t>
      </w:r>
      <w:r w:rsidRPr="008D7CFB">
        <w:rPr>
          <w:rFonts w:ascii="Times New Roman"/>
        </w:rPr>
        <w:t>s highest decision-making body. The IUCN World Conservation Congress convenes several thousand leaders and decision-makers from government, civil society, indigenous peoples, business, and academia, with the goal of discussing and deciding upon the world</w:t>
      </w:r>
      <w:r w:rsidRPr="008D7CFB">
        <w:rPr>
          <w:rFonts w:ascii="Times New Roman"/>
        </w:rPr>
        <w:t>’</w:t>
      </w:r>
      <w:r w:rsidRPr="008D7CFB">
        <w:rPr>
          <w:rFonts w:ascii="Times New Roman"/>
        </w:rPr>
        <w:t xml:space="preserve">s most pressing challenges and the solutions that nature offers.  An IUCN Council operates as the principal governing body of IUCN between sessions of its World Conservation Congress. </w:t>
      </w:r>
    </w:p>
    <w:p w14:paraId="3DB17F1B" w14:textId="49940F55" w:rsidR="008D7CFB" w:rsidRPr="008D7CFB" w:rsidRDefault="008D7CFB" w:rsidP="00E831D5">
      <w:pPr>
        <w:spacing w:after="120" w:line="240" w:lineRule="auto"/>
        <w:jc w:val="both"/>
        <w:rPr>
          <w:rFonts w:ascii="Times New Roman"/>
        </w:rPr>
      </w:pPr>
      <w:r w:rsidRPr="008D7CFB">
        <w:rPr>
          <w:rFonts w:ascii="Times New Roman"/>
        </w:rPr>
        <w:t xml:space="preserve">Unlike the Convention and its Protocols and most other international initiatives considered in this update, IUCN is not established by contracting parties pursuant to an international treaty. It is however considered an international authority in the field of nature conservation and sustainable use of natural resources and its activities </w:t>
      </w:r>
      <w:r w:rsidRPr="008D7CFB">
        <w:rPr>
          <w:rFonts w:ascii="Times New Roman"/>
        </w:rPr>
        <w:t>–</w:t>
      </w:r>
      <w:r w:rsidRPr="008D7CFB">
        <w:rPr>
          <w:rFonts w:ascii="Times New Roman"/>
        </w:rPr>
        <w:t xml:space="preserve"> particularly concerning scientific and knowledge development, data gathering and analysis, research, field projects, policy influencing, and education </w:t>
      </w:r>
      <w:r w:rsidRPr="008D7CFB">
        <w:rPr>
          <w:rFonts w:ascii="Times New Roman"/>
        </w:rPr>
        <w:t>–</w:t>
      </w:r>
      <w:r w:rsidRPr="008D7CFB">
        <w:rPr>
          <w:rFonts w:ascii="Times New Roman"/>
        </w:rPr>
        <w:t xml:space="preserve"> contribute to international policy development under the Convention and its Protocols. </w:t>
      </w:r>
    </w:p>
    <w:p w14:paraId="5D66014E" w14:textId="606D7242" w:rsidR="008D7CFB" w:rsidRPr="008D7CFB" w:rsidRDefault="008D7CFB" w:rsidP="00E831D5">
      <w:pPr>
        <w:spacing w:after="120" w:line="240" w:lineRule="auto"/>
        <w:jc w:val="both"/>
        <w:rPr>
          <w:rFonts w:ascii="Times New Roman"/>
        </w:rPr>
      </w:pPr>
      <w:r w:rsidRPr="008D7CFB">
        <w:rPr>
          <w:rFonts w:ascii="Times New Roman"/>
        </w:rPr>
        <w:t xml:space="preserve">In 2016 the IUCN Members </w:t>
      </w:r>
      <w:r w:rsidR="00013207">
        <w:rPr>
          <w:rFonts w:ascii="Times New Roman"/>
        </w:rPr>
        <w:t>Assembly</w:t>
      </w:r>
      <w:r w:rsidRPr="008D7CFB">
        <w:rPr>
          <w:rFonts w:ascii="Times New Roman"/>
        </w:rPr>
        <w:t xml:space="preserve"> adopted a resolution calling for an evidence-based assessment of the issues regarding synthetic biology that are relevant to and may have an impact </w:t>
      </w:r>
      <w:r w:rsidRPr="008D7CFB">
        <w:rPr>
          <w:rFonts w:ascii="Times New Roman"/>
        </w:rPr>
        <w:t>–</w:t>
      </w:r>
      <w:r w:rsidRPr="008D7CFB">
        <w:rPr>
          <w:rFonts w:ascii="Times New Roman"/>
        </w:rPr>
        <w:t xml:space="preserve"> negative or positive </w:t>
      </w:r>
      <w:r w:rsidRPr="008D7CFB">
        <w:rPr>
          <w:rFonts w:ascii="Times New Roman"/>
        </w:rPr>
        <w:t>–</w:t>
      </w:r>
      <w:r w:rsidRPr="008D7CFB">
        <w:rPr>
          <w:rFonts w:ascii="Times New Roman"/>
        </w:rPr>
        <w:t xml:space="preserve"> on the conservation and sustainable use of biological diversity </w:t>
      </w:r>
      <w:r w:rsidR="007F6AE3">
        <w:rPr>
          <w:rFonts w:ascii="Times New Roman"/>
        </w:rPr>
        <w:fldChar w:fldCharType="begin" w:fldLock="1"/>
      </w:r>
      <w:r w:rsidR="00E15095">
        <w:rPr>
          <w:rFonts w:ascii="Times New Roman"/>
        </w:rPr>
        <w:instrText>ADDIN CSL_CITATION {"citationItems":[{"id":"ITEM-1","itemData":{"author":[{"dropping-particle":"","family":"International Union for Conservation of Nature","given":"","non-dropping-particle":"","parse-names":false,"suffix":""}],"id":"ITEM-1","issued":{"date-parts":[["2016"]]},"title":"World Conservation Congress 2016 Resolution 086","type":"article"},"uris":["http://www.mendeley.com/documents/?uuid=add54021-4df7-4469-829e-5fdb2ba08466"]}],"mendeley":{"formattedCitation":"(International Union for Conservation of Nature, 2016)","manualFormatting":"(IUCN, 2016)","plainTextFormattedCitation":"(International Union for Conservation of Nature, 2016)","previouslyFormattedCitation":"(International Union for Conservation of Nature, 2016)"},"properties":{"noteIndex":0},"schema":"https://github.com/citation-style-language/schema/raw/master/csl-citation.json"}</w:instrText>
      </w:r>
      <w:r w:rsidR="007F6AE3">
        <w:rPr>
          <w:rFonts w:ascii="Times New Roman"/>
        </w:rPr>
        <w:fldChar w:fldCharType="separate"/>
      </w:r>
      <w:r w:rsidR="007F6AE3" w:rsidRPr="007F6AE3">
        <w:rPr>
          <w:rFonts w:ascii="Times New Roman"/>
          <w:noProof/>
        </w:rPr>
        <w:t>(I</w:t>
      </w:r>
      <w:r w:rsidR="007F6AE3">
        <w:rPr>
          <w:rFonts w:ascii="Times New Roman"/>
          <w:noProof/>
        </w:rPr>
        <w:t>UCN</w:t>
      </w:r>
      <w:r w:rsidR="007F6AE3" w:rsidRPr="007F6AE3">
        <w:rPr>
          <w:rFonts w:ascii="Times New Roman"/>
          <w:noProof/>
        </w:rPr>
        <w:t>, 2016)</w:t>
      </w:r>
      <w:r w:rsidR="007F6AE3">
        <w:rPr>
          <w:rFonts w:ascii="Times New Roman"/>
        </w:rPr>
        <w:fldChar w:fldCharType="end"/>
      </w:r>
      <w:r w:rsidRPr="008D7CFB">
        <w:rPr>
          <w:rFonts w:ascii="Times New Roman"/>
        </w:rPr>
        <w:t>. Specifically, it called for IUCN to:</w:t>
      </w:r>
    </w:p>
    <w:p w14:paraId="2D4CE6A7" w14:textId="5AE50DC2" w:rsidR="008D7CFB" w:rsidRPr="00363AEF" w:rsidRDefault="008D7CFB" w:rsidP="00363AEF">
      <w:pPr>
        <w:pStyle w:val="ListParagraph"/>
        <w:numPr>
          <w:ilvl w:val="1"/>
          <w:numId w:val="150"/>
        </w:numPr>
        <w:spacing w:after="120" w:line="240" w:lineRule="auto"/>
        <w:ind w:left="284" w:hanging="284"/>
        <w:contextualSpacing w:val="0"/>
        <w:jc w:val="both"/>
        <w:rPr>
          <w:rFonts w:ascii="Times New Roman"/>
        </w:rPr>
      </w:pPr>
      <w:r w:rsidRPr="00363AEF">
        <w:rPr>
          <w:rFonts w:ascii="Times New Roman"/>
        </w:rPr>
        <w:t>examine the organisms, components and products resulting from synthetic biology techniques and the impacts of their production and use, which may be beneficial or detrimental to the conservation and sustainable use of biological diversity and associated social, economic, cultural and ethical considerations;</w:t>
      </w:r>
    </w:p>
    <w:p w14:paraId="7A395BEC" w14:textId="60164BB7" w:rsidR="008D7CFB" w:rsidRPr="00363AEF" w:rsidRDefault="008D7CFB" w:rsidP="00363AEF">
      <w:pPr>
        <w:pStyle w:val="ListParagraph"/>
        <w:numPr>
          <w:ilvl w:val="1"/>
          <w:numId w:val="150"/>
        </w:numPr>
        <w:spacing w:after="120" w:line="240" w:lineRule="auto"/>
        <w:ind w:left="284" w:hanging="284"/>
        <w:contextualSpacing w:val="0"/>
        <w:jc w:val="both"/>
        <w:rPr>
          <w:rFonts w:ascii="Times New Roman"/>
        </w:rPr>
      </w:pPr>
      <w:r w:rsidRPr="00363AEF">
        <w:rPr>
          <w:rFonts w:ascii="Times New Roman"/>
        </w:rPr>
        <w:t>recommend how IUCN, including its Commissions and Members, could approach the topic of synthetic biology and engage in ongoing discussions and deliberations with the synthetic biology community;</w:t>
      </w:r>
    </w:p>
    <w:p w14:paraId="058862FA" w14:textId="4F6BA78C" w:rsidR="008D7CFB" w:rsidRPr="00363AEF" w:rsidRDefault="008D7CFB" w:rsidP="00363AEF">
      <w:pPr>
        <w:pStyle w:val="ListParagraph"/>
        <w:numPr>
          <w:ilvl w:val="1"/>
          <w:numId w:val="150"/>
        </w:numPr>
        <w:spacing w:after="120" w:line="240" w:lineRule="auto"/>
        <w:ind w:left="284" w:hanging="284"/>
        <w:contextualSpacing w:val="0"/>
        <w:jc w:val="both"/>
        <w:rPr>
          <w:rFonts w:ascii="Times New Roman"/>
        </w:rPr>
      </w:pPr>
      <w:r w:rsidRPr="00363AEF">
        <w:rPr>
          <w:rFonts w:ascii="Times New Roman"/>
        </w:rPr>
        <w:t>assess the implications of engineered gene drives and related techniques and their potential impacts on the conservation and sustainable use of biological diversity as well as equitable sharing of benefits arising from genetic resources;</w:t>
      </w:r>
    </w:p>
    <w:p w14:paraId="5C49B60F" w14:textId="6A30CDE8" w:rsidR="008D7CFB" w:rsidRPr="00363AEF" w:rsidRDefault="008D7CFB" w:rsidP="00363AEF">
      <w:pPr>
        <w:pStyle w:val="ListParagraph"/>
        <w:numPr>
          <w:ilvl w:val="1"/>
          <w:numId w:val="150"/>
        </w:numPr>
        <w:spacing w:after="120" w:line="240" w:lineRule="auto"/>
        <w:ind w:left="284" w:hanging="284"/>
        <w:jc w:val="both"/>
        <w:rPr>
          <w:rFonts w:ascii="Times New Roman"/>
        </w:rPr>
      </w:pPr>
      <w:r w:rsidRPr="00363AEF">
        <w:rPr>
          <w:rFonts w:ascii="Times New Roman"/>
        </w:rPr>
        <w:t>develop IUCN guidance on this topic, while refraining from supporting or endorsing research, including field trials, into the use of gene drives for conservation or other purposes until this assessment has been undertaken.</w:t>
      </w:r>
    </w:p>
    <w:p w14:paraId="12DA41DB" w14:textId="402C7993" w:rsidR="008D7CFB" w:rsidRPr="008D7CFB" w:rsidRDefault="008D7CFB" w:rsidP="00E831D5">
      <w:pPr>
        <w:spacing w:after="120" w:line="240" w:lineRule="auto"/>
        <w:jc w:val="both"/>
        <w:rPr>
          <w:rFonts w:ascii="Times New Roman"/>
        </w:rPr>
      </w:pPr>
      <w:r w:rsidRPr="008D7CFB">
        <w:rPr>
          <w:rFonts w:ascii="Times New Roman"/>
        </w:rPr>
        <w:t xml:space="preserve">This resulted in a significant effort involving a scientific and policy landscape assessment and the establishment of an IUCN Synthetic Biology and Biodiversity Conservation Task </w:t>
      </w:r>
      <w:r w:rsidRPr="00FB4A75">
        <w:rPr>
          <w:rFonts w:ascii="Times New Roman"/>
        </w:rPr>
        <w:t>Force (2018)</w:t>
      </w:r>
      <w:r w:rsidRPr="008D7CFB">
        <w:rPr>
          <w:rFonts w:ascii="Times New Roman"/>
        </w:rPr>
        <w:t xml:space="preserve"> which relied on regional consultation activities (2018-2019) to develop a technical assessment to support policy development and provide guidance on the biodiversity conservation in relation to synthetic biology. A series of IUCN principles on synthetic biology and biodiversity conservation were proposed in a Council motion submitted for the 2020 IUCN World Conservation Congress that was initially scheduled to take place in June of 2020. This motion was discussed by the IUCN membership during an online discussion held from December 2019 until March 2020. The motion is still open for further discussion during the formal session of the IUCN Congress - currently scheduled to take place in September 2021</w:t>
      </w:r>
      <w:r w:rsidR="00C64002">
        <w:rPr>
          <w:rFonts w:ascii="Times New Roman"/>
        </w:rPr>
        <w:t xml:space="preserve"> </w:t>
      </w:r>
      <w:r w:rsidRPr="008D7CFB">
        <w:rPr>
          <w:rFonts w:ascii="Times New Roman"/>
        </w:rPr>
        <w:t>- before being put to the vote of the IUCN membership at the Members</w:t>
      </w:r>
      <w:r w:rsidRPr="008D7CFB">
        <w:rPr>
          <w:rFonts w:ascii="Times New Roman"/>
        </w:rPr>
        <w:t>’</w:t>
      </w:r>
      <w:r w:rsidRPr="008D7CFB">
        <w:rPr>
          <w:rFonts w:ascii="Times New Roman"/>
        </w:rPr>
        <w:t xml:space="preserve"> Assembly. </w:t>
      </w:r>
    </w:p>
    <w:p w14:paraId="402A1423" w14:textId="633D5628" w:rsidR="008D7CFB" w:rsidRDefault="008D7CFB" w:rsidP="00E831D5">
      <w:pPr>
        <w:spacing w:after="120" w:line="240" w:lineRule="auto"/>
        <w:jc w:val="both"/>
        <w:rPr>
          <w:rFonts w:ascii="Times New Roman"/>
        </w:rPr>
      </w:pPr>
      <w:r w:rsidRPr="008D7CFB">
        <w:rPr>
          <w:rFonts w:ascii="Times New Roman"/>
        </w:rPr>
        <w:t>The technical assessment includes detailed coverage of synthetic biology applications which are directly or indirectly intended for conservation benefit, governance challenges raised by synthetic biology conservation, and an evaluation of governance frameworks relevant to synthetic biology impacts on biodiversity. It also contains detailed case studies of synthetic biology applications, particularly engineered gene drives. Additionally, the adoption by IUCN Members of a series of principles that would serve as the basis for an IUCN policy thus providing guidance on synthetic biology and biodiversity conservation would likely have a significant influence on deliberations within the Convention and its Protocols, particularly by the various fora involving technical experts advising in relation to risk management, synthetic biology and digital sequence information on genetic resources, as described in Section 8.</w:t>
      </w:r>
    </w:p>
    <w:p w14:paraId="308C354D" w14:textId="333985FD" w:rsidR="00D205EE" w:rsidRPr="00BB0E2C" w:rsidRDefault="00D205EE" w:rsidP="0078269F">
      <w:pPr>
        <w:pStyle w:val="Heading3"/>
        <w:rPr>
          <w:rFonts w:asciiTheme="majorBidi" w:eastAsia="SimSun" w:hAnsiTheme="majorBidi" w:cstheme="majorBidi"/>
          <w:color w:val="000000" w:themeColor="text1"/>
          <w:shd w:val="clear" w:color="auto" w:fill="FFFFFF"/>
          <w:lang w:val="en-GB" w:eastAsia="hi-IN" w:bidi="hi-IN"/>
        </w:rPr>
      </w:pPr>
      <w:bookmarkStart w:id="153" w:name="_Toc65609812"/>
      <w:bookmarkStart w:id="154" w:name="_Toc70112711"/>
      <w:bookmarkStart w:id="155" w:name="_Toc70685733"/>
      <w:r w:rsidRPr="004334DF">
        <w:rPr>
          <w:shd w:val="clear" w:color="auto" w:fill="FFFFFF"/>
        </w:rPr>
        <w:t xml:space="preserve">9.3. Other </w:t>
      </w:r>
      <w:r w:rsidRPr="004334DF">
        <w:rPr>
          <w:rFonts w:asciiTheme="majorBidi" w:hAnsiTheme="majorBidi" w:cstheme="majorBidi"/>
          <w:shd w:val="clear" w:color="auto" w:fill="FFFFFF"/>
        </w:rPr>
        <w:t>International laws, processes</w:t>
      </w:r>
      <w:r w:rsidR="00532019" w:rsidRPr="667C916A">
        <w:rPr>
          <w:rFonts w:asciiTheme="majorBidi" w:hAnsiTheme="majorBidi" w:cstheme="majorBidi"/>
          <w:i w:val="0"/>
          <w:iCs w:val="0"/>
          <w:shd w:val="clear" w:color="auto" w:fill="FFFFFF"/>
        </w:rPr>
        <w:t>,</w:t>
      </w:r>
      <w:r w:rsidRPr="004334DF">
        <w:rPr>
          <w:rFonts w:asciiTheme="majorBidi" w:hAnsiTheme="majorBidi" w:cstheme="majorBidi"/>
          <w:shd w:val="clear" w:color="auto" w:fill="FFFFFF"/>
        </w:rPr>
        <w:t xml:space="preserve"> </w:t>
      </w:r>
      <w:r w:rsidRPr="000B633E">
        <w:rPr>
          <w:rFonts w:asciiTheme="majorBidi" w:hAnsiTheme="majorBidi" w:cstheme="majorBidi"/>
          <w:szCs w:val="22"/>
          <w:shd w:val="clear" w:color="auto" w:fill="FFFFFF"/>
        </w:rPr>
        <w:t xml:space="preserve">and initiatives with </w:t>
      </w:r>
      <w:bookmarkEnd w:id="153"/>
      <w:r w:rsidR="1447F5AE" w:rsidRPr="000B633E">
        <w:rPr>
          <w:rFonts w:asciiTheme="majorBidi" w:eastAsia="SimSun" w:hAnsiTheme="majorBidi" w:cstheme="majorBidi"/>
          <w:color w:val="000000" w:themeColor="text1"/>
          <w:szCs w:val="22"/>
          <w:lang w:val="en-GB" w:eastAsia="hi-IN" w:bidi="hi-IN"/>
        </w:rPr>
        <w:t>potential implications for the governance of synthetic biology</w:t>
      </w:r>
      <w:r w:rsidR="00532019" w:rsidRPr="000B633E">
        <w:rPr>
          <w:rFonts w:asciiTheme="majorBidi" w:eastAsia="SimSun" w:hAnsiTheme="majorBidi" w:cstheme="majorBidi"/>
          <w:i w:val="0"/>
          <w:iCs w:val="0"/>
          <w:color w:val="000000" w:themeColor="text1"/>
          <w:szCs w:val="22"/>
          <w:lang w:val="en-GB" w:eastAsia="hi-IN" w:bidi="hi-IN"/>
        </w:rPr>
        <w:t>.</w:t>
      </w:r>
      <w:bookmarkEnd w:id="154"/>
      <w:bookmarkEnd w:id="155"/>
    </w:p>
    <w:p w14:paraId="55573055" w14:textId="1C542090" w:rsidR="000325B2" w:rsidRPr="006D3A13" w:rsidRDefault="000325B2" w:rsidP="006D3A13">
      <w:pPr>
        <w:pStyle w:val="Heading4"/>
        <w:rPr>
          <w:rFonts w:asciiTheme="minorHAnsi" w:hAnsiTheme="minorHAnsi"/>
          <w:shd w:val="clear" w:color="auto" w:fill="FFFFFF"/>
          <w:lang w:val="en-US"/>
        </w:rPr>
      </w:pPr>
      <w:r w:rsidRPr="006D3A13">
        <w:rPr>
          <w:i w:val="0"/>
          <w:iCs/>
          <w:shd w:val="clear" w:color="auto" w:fill="FFFFFF"/>
        </w:rPr>
        <w:t>9.3.1</w:t>
      </w:r>
      <w:r w:rsidRPr="006D3A13">
        <w:rPr>
          <w:rFonts w:asciiTheme="minorHAnsi" w:hAnsiTheme="minorHAnsi"/>
          <w:i w:val="0"/>
          <w:iCs/>
          <w:shd w:val="clear" w:color="auto" w:fill="FFFFFF"/>
          <w:lang w:val="en-GB"/>
        </w:rPr>
        <w:t>.</w:t>
      </w:r>
      <w:r w:rsidRPr="006D3A13">
        <w:rPr>
          <w:i w:val="0"/>
          <w:iCs/>
          <w:shd w:val="clear" w:color="auto" w:fill="FFFFFF"/>
        </w:rPr>
        <w:t xml:space="preserve">  Risk of harm</w:t>
      </w:r>
      <w:r w:rsidR="008947AE" w:rsidRPr="006D3A13">
        <w:rPr>
          <w:rFonts w:asciiTheme="minorHAnsi" w:hAnsiTheme="minorHAnsi"/>
          <w:i w:val="0"/>
          <w:iCs/>
          <w:shd w:val="clear" w:color="auto" w:fill="FFFFFF"/>
        </w:rPr>
        <w:t>.</w:t>
      </w:r>
    </w:p>
    <w:p w14:paraId="0CE603E0" w14:textId="64171140" w:rsidR="000325B2" w:rsidRPr="000325B2" w:rsidRDefault="00BE0C02" w:rsidP="006D3A13">
      <w:pPr>
        <w:pStyle w:val="Heading5"/>
        <w:tabs>
          <w:tab w:val="clear" w:pos="1800"/>
        </w:tabs>
        <w:ind w:left="284" w:hanging="284"/>
        <w:rPr>
          <w:shd w:val="clear" w:color="auto" w:fill="FFFFFF"/>
        </w:rPr>
      </w:pPr>
      <w:r>
        <w:rPr>
          <w:i w:val="0"/>
          <w:iCs/>
          <w:shd w:val="clear" w:color="auto" w:fill="FFFFFF"/>
        </w:rPr>
        <w:t xml:space="preserve">(a) </w:t>
      </w:r>
      <w:r w:rsidR="000325B2" w:rsidRPr="000325B2">
        <w:rPr>
          <w:shd w:val="clear" w:color="auto" w:fill="FFFFFF"/>
        </w:rPr>
        <w:t>International customary law related to responsibility and mitigation of harm</w:t>
      </w:r>
      <w:r w:rsidR="008947AE">
        <w:rPr>
          <w:shd w:val="clear" w:color="auto" w:fill="FFFFFF"/>
        </w:rPr>
        <w:t>.</w:t>
      </w:r>
    </w:p>
    <w:p w14:paraId="6F2F576D" w14:textId="0A920423" w:rsidR="000325B2" w:rsidRPr="000325B2" w:rsidRDefault="000325B2" w:rsidP="000325B2">
      <w:pPr>
        <w:suppressAutoHyphens/>
        <w:spacing w:after="120" w:line="240" w:lineRule="auto"/>
        <w:jc w:val="both"/>
        <w:rPr>
          <w:rFonts w:ascii="Times New Roman" w:hAnsi="Times New Roman"/>
          <w:kern w:val="22"/>
          <w:shd w:val="clear" w:color="auto" w:fill="FFFFFF"/>
        </w:rPr>
      </w:pPr>
      <w:bookmarkStart w:id="156" w:name="_Hlk65743018"/>
      <w:r w:rsidRPr="000325B2">
        <w:rPr>
          <w:rFonts w:ascii="Times New Roman" w:hAnsi="Times New Roman"/>
          <w:kern w:val="22"/>
          <w:shd w:val="clear" w:color="auto" w:fill="FFFFFF"/>
        </w:rPr>
        <w:t xml:space="preserve">International law includes a number of overarching rules and principles that are common legal ground and might apply to all activities related to components, organisms and products resulting from synthetic biology techniques. Treaties only apply to those States that are Party to them. In contrast, customary law applies to States regardless of whether they are a Party to, and bound by, a particular treaty (except for so-called “persistent objectors”). Some aspects of customary law, reviewed here, have a scope that may be relevant to components, organisms and products resulting from synthetic biology techniques. These rules and principles may, in particular, be discussed in the context of addressing potential negative effects from synthetic biology techniques. It will not be possible to draw specific conclusions on the extent to which these rules and principles will apply and have consequences for specific synthetic biology techniques, as this depends on the particularities of each specific case.  It should be noted that the status of some concepts as </w:t>
      </w:r>
      <w:r w:rsidRPr="05AB8D9A">
        <w:rPr>
          <w:rFonts w:ascii="Times New Roman" w:hAnsi="Times New Roman"/>
          <w:i/>
          <w:iCs/>
          <w:kern w:val="22"/>
          <w:shd w:val="clear" w:color="auto" w:fill="FFFFFF"/>
        </w:rPr>
        <w:t xml:space="preserve">legal </w:t>
      </w:r>
      <w:r w:rsidRPr="000325B2">
        <w:rPr>
          <w:rFonts w:ascii="Times New Roman" w:hAnsi="Times New Roman"/>
          <w:kern w:val="22"/>
          <w:shd w:val="clear" w:color="auto" w:fill="FFFFFF"/>
        </w:rPr>
        <w:t xml:space="preserve">principles or rules is disputed or their precise meaning is unclear.  </w:t>
      </w:r>
    </w:p>
    <w:p w14:paraId="0639F380" w14:textId="1774908D" w:rsidR="000325B2" w:rsidRPr="006D3A13" w:rsidRDefault="000325B2" w:rsidP="006D3A13">
      <w:pPr>
        <w:pStyle w:val="Heading6"/>
        <w:numPr>
          <w:ilvl w:val="0"/>
          <w:numId w:val="179"/>
        </w:numPr>
        <w:ind w:left="284" w:hanging="284"/>
      </w:pPr>
      <w:bookmarkStart w:id="157" w:name="_Toc399752930"/>
      <w:bookmarkEnd w:id="156"/>
      <w:r w:rsidRPr="006D3A13">
        <w:t>State responsibility and liability of private actors</w:t>
      </w:r>
      <w:bookmarkEnd w:id="157"/>
      <w:r w:rsidR="00DB0691">
        <w:rPr>
          <w:lang w:val="en-US"/>
        </w:rPr>
        <w:t>.</w:t>
      </w:r>
    </w:p>
    <w:p w14:paraId="783F3590" w14:textId="77777777"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 xml:space="preserve">State responsibility describes the rules governing the general conditions under which a State is responsible for wrongful actions or omissions, and the resulting legal consequences. The rules on State responsibility presuppose a breach of an international obligation by a State. However, the rules on State responsibility do not define the requirements of the obligation which is said to have been breached. Instead, they deal with the consequences of such breach. </w:t>
      </w:r>
    </w:p>
    <w:p w14:paraId="2BF6BAC4" w14:textId="77777777"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The rules on State responsibility were codified and developed by the International Law Commission’s Articles on Responsibility of States for Internationally Wrongful Acts, which for the most part reflect customary law (Annex to UNGA Res. A/RES/56/83 of 12.12.2001, “Articles on State Responsibility”)</w:t>
      </w:r>
      <w:r w:rsidRPr="000325B2">
        <w:rPr>
          <w:rFonts w:ascii="Times New Roman" w:hAnsi="Times New Roman"/>
          <w:kern w:val="22"/>
          <w:shd w:val="clear" w:color="auto" w:fill="FFFFFF"/>
          <w:vertAlign w:val="superscript"/>
        </w:rPr>
        <w:footnoteReference w:id="71"/>
      </w:r>
      <w:r w:rsidRPr="000325B2">
        <w:rPr>
          <w:rFonts w:ascii="Times New Roman" w:hAnsi="Times New Roman"/>
          <w:kern w:val="22"/>
          <w:shd w:val="clear" w:color="auto" w:fill="FFFFFF"/>
        </w:rPr>
        <w:t xml:space="preserve">. </w:t>
      </w:r>
    </w:p>
    <w:p w14:paraId="3367C8F2" w14:textId="77777777"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The rules on State responsibility do not define obligations relating to synthetic biology in the sense that they determine which activities are permitted or prohibited. Instead, in the absence of specific rules, the rules on State responsibility provide a basic legal framework for activities related to synthetic biology in case they breach other existing international obligations</w:t>
      </w:r>
      <w:r w:rsidRPr="000325B2">
        <w:rPr>
          <w:rFonts w:ascii="Times New Roman" w:hAnsi="Times New Roman"/>
          <w:kern w:val="22"/>
          <w:shd w:val="clear" w:color="auto" w:fill="FFFFFF"/>
          <w:vertAlign w:val="superscript"/>
        </w:rPr>
        <w:footnoteReference w:id="72"/>
      </w:r>
      <w:r w:rsidRPr="000325B2">
        <w:rPr>
          <w:rFonts w:ascii="Times New Roman" w:hAnsi="Times New Roman"/>
          <w:kern w:val="22"/>
          <w:shd w:val="clear" w:color="auto" w:fill="FFFFFF"/>
        </w:rPr>
        <w:t>.</w:t>
      </w:r>
    </w:p>
    <w:p w14:paraId="2F94BA4A" w14:textId="77777777"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State responsibility does not as such require fault or negligence of the State. The conduct required or prohibited and the standards to be observed depend on the specific obligation in question. The consequences of State responsibility include legal obligations to cease the activity, to offer appropriate assurances and guarantees of non-repetition, if circumstances so require, and to make full reparation for the injury caused (Articles 30 and 31 of the Articles on State Responsibility).</w:t>
      </w:r>
    </w:p>
    <w:p w14:paraId="77BB8292" w14:textId="123AED3B"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 xml:space="preserve">The existence of “circumstances precluding wrongfulness”, such as self-defence or force majeure (Chapter V of the Articles on State Responsibility), may preclude international responsibility notwithstanding a breach of an international obligation. One of these recognised circumstances is necessity. Article 25 reflects that “necessity may not be invoked by a State (…) unless the act is the only way for the State to safeguard an essential interest against a grave and imminent peril” and “does not seriously impair the essential interest of the State or States toward which the obligation exists, or to the international community as a whole.” It further provides that “necessity may not be invoked by a State as a ground for precluding wrongfulness if (…) the State has contributed to the situation of necessity” (Article 25 of the Articles on State Responsibility). This may be relevant if synthetic biology techniques, as anticipated, are used to design and construct organisms with environmental functions such as bioremediation and pollution control (see </w:t>
      </w:r>
      <w:r w:rsidR="00D3068A">
        <w:rPr>
          <w:rFonts w:ascii="Times New Roman" w:hAnsi="Times New Roman"/>
          <w:kern w:val="22"/>
          <w:shd w:val="clear" w:color="auto" w:fill="FFFFFF"/>
        </w:rPr>
        <w:t>S</w:t>
      </w:r>
      <w:r w:rsidRPr="000325B2">
        <w:rPr>
          <w:rFonts w:ascii="Times New Roman" w:hAnsi="Times New Roman"/>
          <w:kern w:val="22"/>
          <w:shd w:val="clear" w:color="auto" w:fill="FFFFFF"/>
        </w:rPr>
        <w:t xml:space="preserve">ection 3). However, the fact-specific nature of circumstances precluding wrongfulness and their limitation to situations virtually beyond the control of a State limits their utility as an </w:t>
      </w:r>
      <w:r w:rsidRPr="00D3068A" w:rsidDel="00DB797B">
        <w:rPr>
          <w:rFonts w:ascii="Times New Roman" w:hAnsi="Times New Roman"/>
          <w:i/>
          <w:kern w:val="22"/>
          <w:shd w:val="clear" w:color="auto" w:fill="FFFFFF"/>
        </w:rPr>
        <w:t>ex</w:t>
      </w:r>
      <w:r w:rsidR="00DB797B">
        <w:rPr>
          <w:rFonts w:ascii="Times New Roman" w:hAnsi="Times New Roman"/>
          <w:i/>
          <w:iCs/>
          <w:kern w:val="22"/>
          <w:shd w:val="clear" w:color="auto" w:fill="FFFFFF"/>
        </w:rPr>
        <w:t>-</w:t>
      </w:r>
      <w:r w:rsidRPr="00BB0E2C">
        <w:rPr>
          <w:rFonts w:ascii="Times New Roman" w:hAnsi="Times New Roman"/>
          <w:i/>
          <w:kern w:val="22"/>
          <w:shd w:val="clear" w:color="auto" w:fill="FFFFFF"/>
        </w:rPr>
        <w:t>ante</w:t>
      </w:r>
      <w:r w:rsidRPr="000325B2">
        <w:rPr>
          <w:rFonts w:ascii="Times New Roman" w:hAnsi="Times New Roman"/>
          <w:kern w:val="22"/>
          <w:shd w:val="clear" w:color="auto" w:fill="FFFFFF"/>
        </w:rPr>
        <w:t xml:space="preserve"> legal justification. </w:t>
      </w:r>
    </w:p>
    <w:p w14:paraId="6F8D0523" w14:textId="77777777"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Synthetic biology techniques may be conducted by both State-governed and private entities. The customary international law of State responsibility, as reflected by the Articles on State Responsibility, addresses the circumstances under which the conduct of non-State actors may be attributable to a State. In general, the conduct of non-State actors is not attributable to a State unless a sufficient nexus in the relationship is present (e.g., a private actor exercising elements of governmental authority)</w:t>
      </w:r>
      <w:r w:rsidRPr="000325B2">
        <w:rPr>
          <w:rFonts w:ascii="Times New Roman" w:hAnsi="Times New Roman"/>
          <w:vertAlign w:val="superscript"/>
        </w:rPr>
        <w:footnoteReference w:id="73"/>
      </w:r>
      <w:r w:rsidRPr="000325B2">
        <w:rPr>
          <w:rFonts w:ascii="Times New Roman" w:hAnsi="Times New Roman"/>
          <w:kern w:val="22"/>
          <w:shd w:val="clear" w:color="auto" w:fill="FFFFFF"/>
        </w:rPr>
        <w:t xml:space="preserve">.  Separately, a primary legal obligation (e.g., a treaty) may obligate a State to ensure the activities of its nationals conform to a certain standard, as in the example of Article 139 of the United Nations Convention on the Law of the Sea. A State could be in breach of an obligation if it fails to take necessary measures to prevent effects caused by private actors. It depends on the obligation in question to what extent a State has to address private actors in order to fulfil its own obligation. </w:t>
      </w:r>
    </w:p>
    <w:p w14:paraId="100AF15A" w14:textId="30B799EF"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 xml:space="preserve">In addition, a State can be under an explicit and specific obligation to address private actors. Specifically, international law can impose a duty on States to provide in their internal law that </w:t>
      </w:r>
      <w:r w:rsidR="68F29B76" w:rsidRPr="000325B2">
        <w:rPr>
          <w:rFonts w:ascii="Times New Roman" w:hAnsi="Times New Roman"/>
          <w:kern w:val="22"/>
          <w:shd w:val="clear" w:color="auto" w:fill="FFFFFF"/>
        </w:rPr>
        <w:t>nonstate</w:t>
      </w:r>
      <w:r w:rsidRPr="000325B2">
        <w:rPr>
          <w:rFonts w:ascii="Times New Roman" w:hAnsi="Times New Roman"/>
          <w:kern w:val="22"/>
          <w:shd w:val="clear" w:color="auto" w:fill="FFFFFF"/>
        </w:rPr>
        <w:t xml:space="preserve"> actors are liable for certain acts. For instance, the 2010 Nagoya</w:t>
      </w:r>
      <w:r w:rsidR="3F0E0C8F" w:rsidRPr="78800CCF">
        <w:rPr>
          <w:rFonts w:ascii="Times New Roman" w:hAnsi="Times New Roman"/>
        </w:rPr>
        <w:t xml:space="preserve"> – </w:t>
      </w:r>
      <w:r w:rsidRPr="000325B2">
        <w:rPr>
          <w:rFonts w:ascii="Times New Roman" w:hAnsi="Times New Roman"/>
          <w:kern w:val="22"/>
          <w:shd w:val="clear" w:color="auto" w:fill="FFFFFF"/>
        </w:rPr>
        <w:t xml:space="preserve">Kuala </w:t>
      </w:r>
      <w:r w:rsidR="68F29B76" w:rsidRPr="000325B2">
        <w:rPr>
          <w:rFonts w:ascii="Times New Roman" w:hAnsi="Times New Roman"/>
          <w:kern w:val="22"/>
          <w:shd w:val="clear" w:color="auto" w:fill="FFFFFF"/>
        </w:rPr>
        <w:noBreakHyphen/>
      </w:r>
      <w:r w:rsidRPr="000325B2">
        <w:rPr>
          <w:rFonts w:ascii="Times New Roman" w:hAnsi="Times New Roman"/>
          <w:kern w:val="22"/>
          <w:shd w:val="clear" w:color="auto" w:fill="FFFFFF"/>
        </w:rPr>
        <w:t>Lumpur Supplementary Protocol on Liability and Redress to the Cartagena Protocol on Biosafety requires States to address private actors through domestic rules on liability. However, there is no general obligation on States to do this.</w:t>
      </w:r>
    </w:p>
    <w:p w14:paraId="0ED9B0E3" w14:textId="6DDA2DE9" w:rsidR="000325B2" w:rsidRPr="000325B2" w:rsidRDefault="000325B2" w:rsidP="00C437AE">
      <w:pPr>
        <w:pStyle w:val="Heading6"/>
        <w:numPr>
          <w:ilvl w:val="0"/>
          <w:numId w:val="158"/>
        </w:numPr>
        <w:spacing w:after="120" w:line="240" w:lineRule="auto"/>
        <w:ind w:left="284" w:hanging="284"/>
      </w:pPr>
      <w:bookmarkStart w:id="158" w:name="_Toc399752931"/>
      <w:r w:rsidRPr="000325B2">
        <w:t>Prevention of transboundary harm to the environment</w:t>
      </w:r>
      <w:bookmarkEnd w:id="158"/>
      <w:r w:rsidR="00DB0691">
        <w:rPr>
          <w:lang w:val="en-US"/>
        </w:rPr>
        <w:t>.</w:t>
      </w:r>
    </w:p>
    <w:p w14:paraId="5063A7DD" w14:textId="77777777"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 xml:space="preserve">The International Court of Justice, in the </w:t>
      </w:r>
      <w:r w:rsidRPr="000325B2">
        <w:rPr>
          <w:rFonts w:ascii="Times New Roman" w:hAnsi="Times New Roman"/>
          <w:i/>
          <w:iCs/>
          <w:kern w:val="22"/>
          <w:shd w:val="clear" w:color="auto" w:fill="FFFFFF"/>
        </w:rPr>
        <w:t>Gabcikovo-Nagymaros</w:t>
      </w:r>
      <w:r w:rsidRPr="000325B2">
        <w:rPr>
          <w:rFonts w:ascii="Times New Roman" w:hAnsi="Times New Roman"/>
          <w:kern w:val="22"/>
          <w:shd w:val="clear" w:color="auto" w:fill="FFFFFF"/>
        </w:rPr>
        <w:t xml:space="preserve"> case, and in its advisory opinion on the </w:t>
      </w:r>
      <w:r w:rsidRPr="000325B2">
        <w:rPr>
          <w:rFonts w:ascii="Times New Roman" w:hAnsi="Times New Roman"/>
          <w:i/>
          <w:iCs/>
          <w:kern w:val="22"/>
          <w:shd w:val="clear" w:color="auto" w:fill="FFFFFF"/>
        </w:rPr>
        <w:t>Legality of the Threat or Use of Nuclear Weapons</w:t>
      </w:r>
      <w:r w:rsidRPr="000325B2">
        <w:rPr>
          <w:rFonts w:ascii="Times New Roman" w:hAnsi="Times New Roman"/>
          <w:kern w:val="22"/>
          <w:shd w:val="clear" w:color="auto" w:fill="FFFFFF"/>
        </w:rPr>
        <w:t>, confirmed the “existence of the general obligation of States to ensure that activities within their jurisdiction and control respect the environment of other States or of areas beyond national control is now part of the corpus of international law relating to the environment”</w:t>
      </w:r>
      <w:r w:rsidRPr="000325B2">
        <w:rPr>
          <w:rFonts w:ascii="Times New Roman" w:hAnsi="Times New Roman"/>
          <w:kern w:val="22"/>
          <w:shd w:val="clear" w:color="auto" w:fill="FFFFFF"/>
          <w:vertAlign w:val="superscript"/>
        </w:rPr>
        <w:footnoteReference w:id="74"/>
      </w:r>
      <w:r w:rsidRPr="000325B2">
        <w:rPr>
          <w:rFonts w:ascii="Times New Roman" w:hAnsi="Times New Roman"/>
          <w:kern w:val="22"/>
          <w:shd w:val="clear" w:color="auto" w:fill="FFFFFF"/>
        </w:rPr>
        <w:t xml:space="preserve">. In the </w:t>
      </w:r>
      <w:r w:rsidRPr="000325B2">
        <w:rPr>
          <w:rFonts w:ascii="Times New Roman" w:hAnsi="Times New Roman"/>
          <w:i/>
          <w:iCs/>
          <w:kern w:val="22"/>
          <w:shd w:val="clear" w:color="auto" w:fill="FFFFFF"/>
        </w:rPr>
        <w:t>Pulp Mills</w:t>
      </w:r>
      <w:r w:rsidRPr="000325B2">
        <w:rPr>
          <w:rFonts w:ascii="Times New Roman" w:hAnsi="Times New Roman"/>
          <w:kern w:val="22"/>
          <w:shd w:val="clear" w:color="auto" w:fill="FFFFFF"/>
        </w:rPr>
        <w:t xml:space="preserve"> case, the Court used a slightly different wording</w:t>
      </w:r>
      <w:r w:rsidRPr="000325B2">
        <w:rPr>
          <w:rFonts w:ascii="Times New Roman" w:hAnsi="Times New Roman"/>
          <w:kern w:val="22"/>
          <w:shd w:val="clear" w:color="auto" w:fill="FFFFFF"/>
          <w:vertAlign w:val="superscript"/>
        </w:rPr>
        <w:footnoteReference w:id="75"/>
      </w:r>
      <w:r w:rsidRPr="000325B2">
        <w:rPr>
          <w:rFonts w:ascii="Times New Roman" w:hAnsi="Times New Roman"/>
          <w:kern w:val="22"/>
          <w:shd w:val="clear" w:color="auto" w:fill="FFFFFF"/>
        </w:rPr>
        <w:t>: “It is ‘every State’s obligation not to allow knowingly its territory to be used for acts contrary to the rights of other States’ (Corfu Channel (United Kingdom v. Albania), Merits, Judgment, I.C.J. Reports 1949, p. 22). A State is thus obliged to use all the means at its disposal in order to avoid activities which take place in its territory, or in any area under its jurisdiction, causing significant damage to the environment of another State.” The Court further clarified that “the principle of prevention, as a customary rule, has its origins in the due diligence that is required of a State in its territory”</w:t>
      </w:r>
      <w:r w:rsidRPr="000325B2">
        <w:rPr>
          <w:rFonts w:ascii="Times New Roman" w:hAnsi="Times New Roman"/>
          <w:kern w:val="22"/>
          <w:shd w:val="clear" w:color="auto" w:fill="FFFFFF"/>
          <w:vertAlign w:val="superscript"/>
        </w:rPr>
        <w:footnoteReference w:id="76"/>
      </w:r>
      <w:r w:rsidRPr="000325B2">
        <w:rPr>
          <w:rFonts w:ascii="Times New Roman" w:hAnsi="Times New Roman"/>
          <w:kern w:val="22"/>
          <w:shd w:val="clear" w:color="auto" w:fill="FFFFFF"/>
        </w:rPr>
        <w:t>.</w:t>
      </w:r>
    </w:p>
    <w:p w14:paraId="1A2BBA5B" w14:textId="68293143"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Article 3 of the Convention</w:t>
      </w:r>
      <w:r w:rsidRPr="000325B2">
        <w:rPr>
          <w:rFonts w:ascii="Times New Roman" w:hAnsi="Times New Roman"/>
        </w:rPr>
        <w:t xml:space="preserve"> on Biological Diversity</w:t>
      </w:r>
      <w:r w:rsidRPr="000325B2">
        <w:rPr>
          <w:rFonts w:ascii="Times New Roman" w:hAnsi="Times New Roman"/>
          <w:kern w:val="22"/>
          <w:shd w:val="clear" w:color="auto" w:fill="FFFFFF"/>
        </w:rPr>
        <w:t xml:space="preserve">, entitled “Principle”, </w:t>
      </w:r>
      <w:r w:rsidR="5B4C0FB2" w:rsidRPr="1BE09B27">
        <w:rPr>
          <w:rFonts w:ascii="Times New Roman" w:hAnsi="Times New Roman"/>
        </w:rPr>
        <w:t xml:space="preserve">provides </w:t>
      </w:r>
      <w:r w:rsidRPr="000325B2">
        <w:rPr>
          <w:rFonts w:ascii="Times New Roman" w:hAnsi="Times New Roman"/>
          <w:kern w:val="22"/>
          <w:shd w:val="clear" w:color="auto" w:fill="FFFFFF"/>
        </w:rPr>
        <w:t>that “States have</w:t>
      </w:r>
      <w:r w:rsidR="4AA2E88B" w:rsidRPr="000325B2">
        <w:rPr>
          <w:rFonts w:ascii="Times New Roman" w:hAnsi="Times New Roman"/>
          <w:kern w:val="22"/>
          <w:shd w:val="clear" w:color="auto" w:fill="FFFFFF"/>
        </w:rPr>
        <w:t>,</w:t>
      </w:r>
      <w:r w:rsidRPr="000325B2">
        <w:rPr>
          <w:rFonts w:ascii="Times New Roman" w:hAnsi="Times New Roman"/>
          <w:kern w:val="22"/>
          <w:shd w:val="clear" w:color="auto" w:fill="FFFFFF"/>
        </w:rPr>
        <w:t xml:space="preserve"> in accordance with the Charter of the United Nations and the principles of international law</w:t>
      </w:r>
      <w:r w:rsidR="13070B4F" w:rsidRPr="000325B2">
        <w:rPr>
          <w:rFonts w:ascii="Times New Roman" w:hAnsi="Times New Roman"/>
          <w:kern w:val="22"/>
          <w:shd w:val="clear" w:color="auto" w:fill="FFFFFF"/>
        </w:rPr>
        <w:t>,</w:t>
      </w:r>
      <w:r w:rsidRPr="000325B2">
        <w:rPr>
          <w:rFonts w:ascii="Times New Roman" w:hAnsi="Times New Roman"/>
          <w:kern w:val="22"/>
          <w:shd w:val="clear" w:color="auto" w:fill="FFFFFF"/>
        </w:rPr>
        <w:t xml:space="preserve"> the sovereign right to exploit their own resources pursuant to their own environmental policies, and the responsibility to ensure that activities within their jurisdiction or control do not cause damage to the environment of other States or of areas beyond the limits of national jurisdiction”. Principle 2 of the Rio Declaration contains similar language</w:t>
      </w:r>
      <w:r w:rsidRPr="000325B2">
        <w:rPr>
          <w:rFonts w:ascii="Times New Roman" w:hAnsi="Times New Roman"/>
          <w:kern w:val="22"/>
          <w:shd w:val="clear" w:color="auto" w:fill="FFFFFF"/>
          <w:vertAlign w:val="superscript"/>
        </w:rPr>
        <w:footnoteReference w:id="77"/>
      </w:r>
      <w:r w:rsidRPr="000325B2">
        <w:rPr>
          <w:rFonts w:ascii="Times New Roman" w:hAnsi="Times New Roman"/>
          <w:kern w:val="22"/>
          <w:shd w:val="clear" w:color="auto" w:fill="FFFFFF"/>
        </w:rPr>
        <w:t>.</w:t>
      </w:r>
    </w:p>
    <w:p w14:paraId="1A98EC35" w14:textId="6A96ED3C"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rPr>
        <w:t xml:space="preserve">The duty not to cause transboundary harm does not mean that any environmental harm, pollution, degradation or impact is for that reason generally prohibited </w:t>
      </w:r>
      <w:r w:rsidR="00E15095">
        <w:rPr>
          <w:rFonts w:ascii="Times New Roman" w:hAnsi="Times New Roman"/>
          <w:kern w:val="22"/>
        </w:rPr>
        <w:fldChar w:fldCharType="begin" w:fldLock="1"/>
      </w:r>
      <w:r w:rsidR="00D32737">
        <w:rPr>
          <w:rFonts w:ascii="Times New Roman" w:hAnsi="Times New Roman"/>
          <w:kern w:val="22"/>
        </w:rPr>
        <w:instrText>ADDIN CSL_CITATION {"citationItems":[{"id":"ITEM-1","itemData":{"author":[{"dropping-particle":"","family":"Birnie","given":"Patricia","non-dropping-particle":"","parse-names":false,"suffix":""},{"dropping-particle":"","family":"Boyle","given":"Alan","non-dropping-particle":"","parse-names":false,"suffix":""},{"dropping-particle":"","family":"Redgwel","given":"Catherine","non-dropping-particle":"","parse-names":false,"suffix":""}],"edition":"Third","id":"ITEM-1","issued":{"date-parts":[["2009"]]},"publisher":"Oxford University Press","title":"International Law and the Environment","type":"book"},"uris":["http://www.mendeley.com/documents/?uuid=89e655ea-e871-424e-b770-35424ea267ce"]}],"mendeley":{"formattedCitation":"(Birnie et al., 2009)","plainTextFormattedCitation":"(Birnie et al., 2009)","previouslyFormattedCitation":"(Birnie et al., 2009)"},"properties":{"noteIndex":0},"schema":"https://github.com/citation-style-language/schema/raw/master/csl-citation.json"}</w:instrText>
      </w:r>
      <w:r w:rsidR="00E15095">
        <w:rPr>
          <w:rFonts w:ascii="Times New Roman" w:hAnsi="Times New Roman"/>
          <w:kern w:val="22"/>
        </w:rPr>
        <w:fldChar w:fldCharType="separate"/>
      </w:r>
      <w:r w:rsidR="00E15095" w:rsidRPr="00E15095">
        <w:rPr>
          <w:rFonts w:ascii="Times New Roman" w:hAnsi="Times New Roman"/>
          <w:noProof/>
          <w:kern w:val="22"/>
        </w:rPr>
        <w:t>(Birnie et al., 2009)</w:t>
      </w:r>
      <w:r w:rsidR="00E15095">
        <w:rPr>
          <w:rFonts w:ascii="Times New Roman" w:hAnsi="Times New Roman"/>
          <w:kern w:val="22"/>
        </w:rPr>
        <w:fldChar w:fldCharType="end"/>
      </w:r>
      <w:r w:rsidRPr="000325B2">
        <w:rPr>
          <w:rFonts w:ascii="Times New Roman" w:hAnsi="Times New Roman"/>
          <w:kern w:val="22"/>
        </w:rPr>
        <w:t xml:space="preserve">. </w:t>
      </w:r>
      <w:r w:rsidRPr="000325B2">
        <w:rPr>
          <w:rFonts w:ascii="Times New Roman" w:hAnsi="Times New Roman"/>
          <w:kern w:val="22"/>
          <w:shd w:val="clear" w:color="auto" w:fill="FFFFFF"/>
        </w:rPr>
        <w:t xml:space="preserve">Considering the differences in wording used when referring to the duty not to cause transboundary harm, the precise content of this duty has not been defined. From the wording used by the ICJ in the </w:t>
      </w:r>
      <w:r w:rsidRPr="000325B2">
        <w:rPr>
          <w:rFonts w:ascii="Times New Roman" w:hAnsi="Times New Roman"/>
          <w:i/>
          <w:kern w:val="22"/>
          <w:shd w:val="clear" w:color="auto" w:fill="FFFFFF"/>
        </w:rPr>
        <w:t>Pulp Mills</w:t>
      </w:r>
      <w:r w:rsidRPr="000325B2">
        <w:rPr>
          <w:rFonts w:ascii="Times New Roman" w:hAnsi="Times New Roman"/>
          <w:kern w:val="22"/>
          <w:shd w:val="clear" w:color="auto" w:fill="FFFFFF"/>
        </w:rPr>
        <w:t xml:space="preserve"> case, it appears that an alleged breach of the duty to not harm the environment, establishing responsibility of a State for an activity related to synthetic biology would require the following elements: </w:t>
      </w:r>
    </w:p>
    <w:p w14:paraId="77AA7B1A" w14:textId="77777777" w:rsidR="000325B2" w:rsidRPr="000325B2" w:rsidRDefault="000325B2" w:rsidP="000325B2">
      <w:pPr>
        <w:numPr>
          <w:ilvl w:val="0"/>
          <w:numId w:val="46"/>
        </w:numPr>
        <w:suppressAutoHyphens/>
        <w:spacing w:after="60" w:line="240" w:lineRule="auto"/>
        <w:ind w:left="284" w:hanging="283"/>
        <w:jc w:val="both"/>
        <w:rPr>
          <w:rFonts w:ascii="Times New Roman" w:eastAsia="SimSun" w:hAnsi="Times New Roman"/>
          <w:kern w:val="22"/>
        </w:rPr>
      </w:pPr>
      <w:r w:rsidRPr="000325B2">
        <w:rPr>
          <w:rFonts w:ascii="Times New Roman" w:eastAsia="SimSun" w:hAnsi="Times New Roman"/>
          <w:kern w:val="22"/>
        </w:rPr>
        <w:t>Significant damage to the environment of another State;</w:t>
      </w:r>
    </w:p>
    <w:p w14:paraId="62418A15" w14:textId="77777777" w:rsidR="000325B2" w:rsidRPr="000325B2" w:rsidRDefault="000325B2" w:rsidP="000325B2">
      <w:pPr>
        <w:numPr>
          <w:ilvl w:val="0"/>
          <w:numId w:val="46"/>
        </w:numPr>
        <w:suppressAutoHyphens/>
        <w:spacing w:after="60" w:line="240" w:lineRule="auto"/>
        <w:ind w:left="284" w:hanging="283"/>
        <w:jc w:val="both"/>
        <w:rPr>
          <w:rFonts w:ascii="Times New Roman" w:eastAsia="SimSun" w:hAnsi="Times New Roman"/>
          <w:kern w:val="22"/>
        </w:rPr>
      </w:pPr>
      <w:r w:rsidRPr="000325B2">
        <w:rPr>
          <w:rFonts w:ascii="Times New Roman" w:eastAsia="SimSun" w:hAnsi="Times New Roman"/>
          <w:kern w:val="22"/>
        </w:rPr>
        <w:t>Activity caused by the State in question / lack of due diligence;</w:t>
      </w:r>
    </w:p>
    <w:p w14:paraId="075B285D" w14:textId="2894367D" w:rsidR="000325B2" w:rsidRPr="000325B2" w:rsidRDefault="000325B2" w:rsidP="000325B2">
      <w:pPr>
        <w:numPr>
          <w:ilvl w:val="0"/>
          <w:numId w:val="46"/>
        </w:numPr>
        <w:suppressAutoHyphens/>
        <w:spacing w:after="60" w:line="240" w:lineRule="auto"/>
        <w:ind w:left="284" w:hanging="283"/>
        <w:jc w:val="both"/>
        <w:rPr>
          <w:rFonts w:ascii="Times New Roman" w:eastAsia="SimSun" w:hAnsi="Times New Roman"/>
          <w:kern w:val="22"/>
        </w:rPr>
      </w:pPr>
      <w:r w:rsidRPr="000325B2">
        <w:rPr>
          <w:rFonts w:ascii="Times New Roman" w:eastAsia="SimSun" w:hAnsi="Times New Roman"/>
          <w:kern w:val="22"/>
        </w:rPr>
        <w:t xml:space="preserve">No circumstances precluding wrongfulness (see </w:t>
      </w:r>
      <w:r w:rsidR="004E7895">
        <w:rPr>
          <w:rFonts w:ascii="Times New Roman" w:eastAsia="SimSun" w:hAnsi="Times New Roman"/>
          <w:kern w:val="22"/>
        </w:rPr>
        <w:t>the comments concerning s</w:t>
      </w:r>
      <w:r w:rsidR="004E7895" w:rsidRPr="004E7895">
        <w:rPr>
          <w:rFonts w:ascii="Times New Roman" w:eastAsia="SimSun" w:hAnsi="Times New Roman"/>
          <w:kern w:val="22"/>
        </w:rPr>
        <w:t>tate responsibility and liability of private actors</w:t>
      </w:r>
      <w:r w:rsidR="004E7895" w:rsidRPr="004E7895" w:rsidDel="004E7895">
        <w:rPr>
          <w:rFonts w:ascii="Times New Roman" w:eastAsia="SimSun" w:hAnsi="Times New Roman"/>
          <w:kern w:val="22"/>
        </w:rPr>
        <w:t xml:space="preserve"> </w:t>
      </w:r>
      <w:r w:rsidR="004E7895">
        <w:rPr>
          <w:rFonts w:ascii="Times New Roman" w:eastAsia="SimSun" w:hAnsi="Times New Roman"/>
          <w:kern w:val="22"/>
        </w:rPr>
        <w:t xml:space="preserve">immediately </w:t>
      </w:r>
      <w:r w:rsidRPr="000325B2">
        <w:rPr>
          <w:rFonts w:ascii="Times New Roman" w:eastAsia="SimSun" w:hAnsi="Times New Roman"/>
          <w:kern w:val="22"/>
        </w:rPr>
        <w:t>above).</w:t>
      </w:r>
    </w:p>
    <w:p w14:paraId="4F283E5E" w14:textId="18B69AFA"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 xml:space="preserve">Many synthetic biology research and commercial applications have the potential for transboundary impacts through economic, social, and cultural impacts. For example, as considered in </w:t>
      </w:r>
      <w:r w:rsidRPr="000453AD">
        <w:rPr>
          <w:rFonts w:ascii="Times New Roman" w:hAnsi="Times New Roman"/>
          <w:kern w:val="22"/>
          <w:shd w:val="clear" w:color="auto" w:fill="FFFFFF"/>
        </w:rPr>
        <w:t xml:space="preserve">Section </w:t>
      </w:r>
      <w:r w:rsidR="00B00950" w:rsidRPr="00474099">
        <w:rPr>
          <w:rFonts w:ascii="Times New Roman" w:hAnsi="Times New Roman"/>
          <w:kern w:val="22"/>
          <w:shd w:val="clear" w:color="auto" w:fill="FFFFFF"/>
        </w:rPr>
        <w:t>4</w:t>
      </w:r>
      <w:r w:rsidRPr="000453AD">
        <w:rPr>
          <w:rFonts w:ascii="Times New Roman" w:hAnsi="Times New Roman"/>
          <w:kern w:val="22"/>
          <w:shd w:val="clear" w:color="auto" w:fill="FFFFFF"/>
        </w:rPr>
        <w:t>.1. above</w:t>
      </w:r>
      <w:r w:rsidRPr="000325B2">
        <w:rPr>
          <w:rFonts w:ascii="Times New Roman" w:hAnsi="Times New Roman"/>
          <w:kern w:val="22"/>
          <w:shd w:val="clear" w:color="auto" w:fill="FFFFFF"/>
        </w:rPr>
        <w:t>, d</w:t>
      </w:r>
      <w:r w:rsidRPr="000325B2">
        <w:rPr>
          <w:rFonts w:ascii="Times New Roman" w:eastAsia="Times New Roman" w:hAnsi="Times New Roman"/>
          <w:color w:val="000000" w:themeColor="text1"/>
        </w:rPr>
        <w:t xml:space="preserve">epending on the engineered gene drive system, theoretically, a genetic modification could spread through target populations (non-localised) and persist indefinitely (self-sustaining), or be restricted in spread (localised) or persistence (self-limiting). </w:t>
      </w:r>
      <w:r w:rsidRPr="000325B2">
        <w:rPr>
          <w:rFonts w:ascii="Times New Roman" w:hAnsi="Times New Roman"/>
          <w:kern w:val="22"/>
          <w:shd w:val="clear" w:color="auto" w:fill="FFFFFF"/>
        </w:rPr>
        <w:t xml:space="preserve">Direct impacts on the transboundary environment, however, would depend on the specific application of synthetic biology. Currently, intentional environmental release of organisms resulting from synthetic biology techniques seem to be limited to a few instances such </w:t>
      </w:r>
      <w:r w:rsidRPr="000325B2">
        <w:rPr>
          <w:rFonts w:ascii="Times New Roman" w:eastAsia="Times New Roman" w:hAnsi="Times New Roman"/>
        </w:rPr>
        <w:t>as commercially available soya bean engineered to obtain a high-oleic oil and engineered insects which contain a self-limiting gene resulting in either a reduction in the pest insect population that spread disease</w:t>
      </w:r>
      <w:r w:rsidRPr="000325B2">
        <w:rPr>
          <w:rFonts w:ascii="Times New Roman" w:hAnsi="Times New Roman"/>
          <w:kern w:val="22"/>
          <w:shd w:val="clear" w:color="auto" w:fill="FFFFFF"/>
          <w:vertAlign w:val="superscript"/>
        </w:rPr>
        <w:footnoteReference w:id="78"/>
      </w:r>
      <w:r w:rsidRPr="000325B2">
        <w:rPr>
          <w:rFonts w:ascii="Times New Roman" w:hAnsi="Times New Roman"/>
        </w:rPr>
        <w:t>.</w:t>
      </w:r>
      <w:r w:rsidRPr="000325B2">
        <w:rPr>
          <w:rFonts w:ascii="Times New Roman" w:hAnsi="Times New Roman"/>
          <w:kern w:val="22"/>
          <w:shd w:val="clear" w:color="auto" w:fill="FFFFFF"/>
        </w:rPr>
        <w:t xml:space="preserve"> Anticipated applications of synthetic biology include the production of micro-organisms specifically designed for environmental release, such as for bioremediation of ocean oi</w:t>
      </w:r>
      <w:r w:rsidRPr="000453AD">
        <w:rPr>
          <w:rFonts w:ascii="Times New Roman" w:hAnsi="Times New Roman"/>
          <w:kern w:val="22"/>
          <w:shd w:val="clear" w:color="auto" w:fill="FFFFFF"/>
        </w:rPr>
        <w:t xml:space="preserve">l spills </w:t>
      </w:r>
      <w:r w:rsidRPr="00474099">
        <w:rPr>
          <w:rFonts w:ascii="Times New Roman" w:hAnsi="Times New Roman"/>
          <w:kern w:val="22"/>
        </w:rPr>
        <w:t xml:space="preserve">(see Section </w:t>
      </w:r>
      <w:r w:rsidR="00E523C5" w:rsidRPr="00474099">
        <w:rPr>
          <w:rFonts w:ascii="Times New Roman" w:hAnsi="Times New Roman"/>
          <w:kern w:val="22"/>
        </w:rPr>
        <w:t>3</w:t>
      </w:r>
      <w:r w:rsidRPr="000453AD">
        <w:rPr>
          <w:rFonts w:ascii="Times New Roman" w:hAnsi="Times New Roman"/>
          <w:kern w:val="22"/>
          <w:shd w:val="clear" w:color="auto" w:fill="FFFFFF"/>
        </w:rPr>
        <w:t>.</w:t>
      </w:r>
      <w:r w:rsidR="00495E41">
        <w:rPr>
          <w:rFonts w:ascii="Times New Roman" w:hAnsi="Times New Roman"/>
          <w:kern w:val="22"/>
          <w:shd w:val="clear" w:color="auto" w:fill="FFFFFF"/>
        </w:rPr>
        <w:t>1.3</w:t>
      </w:r>
      <w:r w:rsidR="00F507B2">
        <w:rPr>
          <w:rFonts w:ascii="Times New Roman" w:hAnsi="Times New Roman"/>
          <w:kern w:val="22"/>
          <w:shd w:val="clear" w:color="auto" w:fill="FFFFFF"/>
        </w:rPr>
        <w:t>.</w:t>
      </w:r>
      <w:r w:rsidRPr="000325B2">
        <w:rPr>
          <w:rFonts w:ascii="Times New Roman" w:hAnsi="Times New Roman"/>
          <w:kern w:val="22"/>
          <w:shd w:val="clear" w:color="auto" w:fill="FFFFFF"/>
        </w:rPr>
        <w:t xml:space="preserve"> concerning</w:t>
      </w:r>
      <w:r w:rsidR="00946611">
        <w:rPr>
          <w:rFonts w:ascii="Times New Roman" w:hAnsi="Times New Roman"/>
          <w:kern w:val="22"/>
          <w:shd w:val="clear" w:color="auto" w:fill="FFFFFF"/>
        </w:rPr>
        <w:t xml:space="preserve"> </w:t>
      </w:r>
      <w:r w:rsidR="00495E41">
        <w:rPr>
          <w:rFonts w:ascii="Times New Roman" w:hAnsi="Times New Roman"/>
          <w:kern w:val="22"/>
          <w:shd w:val="clear" w:color="auto" w:fill="FFFFFF"/>
        </w:rPr>
        <w:t xml:space="preserve">synthetic biology applications </w:t>
      </w:r>
      <w:r w:rsidR="00872983">
        <w:rPr>
          <w:rFonts w:ascii="Times New Roman" w:hAnsi="Times New Roman"/>
          <w:kern w:val="22"/>
          <w:shd w:val="clear" w:color="auto" w:fill="FFFFFF"/>
        </w:rPr>
        <w:t>designed for environmental application in wild settings</w:t>
      </w:r>
      <w:r w:rsidRPr="000325B2">
        <w:rPr>
          <w:rFonts w:ascii="Times New Roman" w:hAnsi="Times New Roman"/>
          <w:kern w:val="22"/>
          <w:shd w:val="clear" w:color="auto" w:fill="FFFFFF"/>
        </w:rPr>
        <w:t xml:space="preserve">). </w:t>
      </w:r>
      <w:r w:rsidR="02C6FE4B" w:rsidRPr="000325B2">
        <w:rPr>
          <w:rFonts w:ascii="Times New Roman" w:hAnsi="Times New Roman"/>
          <w:kern w:val="22"/>
          <w:shd w:val="clear" w:color="auto" w:fill="FFFFFF"/>
        </w:rPr>
        <w:t>Potential</w:t>
      </w:r>
      <w:r w:rsidRPr="000325B2">
        <w:rPr>
          <w:rFonts w:ascii="Times New Roman" w:hAnsi="Times New Roman"/>
          <w:kern w:val="22"/>
          <w:shd w:val="clear" w:color="auto" w:fill="FFFFFF"/>
        </w:rPr>
        <w:t xml:space="preserve"> environmental harm could</w:t>
      </w:r>
      <w:r w:rsidR="355C0F5A" w:rsidRPr="000325B2">
        <w:rPr>
          <w:rFonts w:ascii="Times New Roman" w:hAnsi="Times New Roman"/>
          <w:kern w:val="22"/>
          <w:shd w:val="clear" w:color="auto" w:fill="FFFFFF"/>
        </w:rPr>
        <w:t xml:space="preserve"> also arise from</w:t>
      </w:r>
      <w:r w:rsidRPr="000325B2">
        <w:rPr>
          <w:rFonts w:ascii="Times New Roman" w:hAnsi="Times New Roman"/>
          <w:kern w:val="22"/>
          <w:shd w:val="clear" w:color="auto" w:fill="FFFFFF"/>
        </w:rPr>
        <w:t xml:space="preserve">, for example, organisms resulting from synthetic biology techniques </w:t>
      </w:r>
      <w:r w:rsidR="3B492858" w:rsidRPr="000325B2">
        <w:rPr>
          <w:rFonts w:ascii="Times New Roman" w:hAnsi="Times New Roman"/>
          <w:kern w:val="22"/>
          <w:shd w:val="clear" w:color="auto" w:fill="FFFFFF"/>
        </w:rPr>
        <w:t xml:space="preserve">that </w:t>
      </w:r>
      <w:r w:rsidRPr="000325B2">
        <w:rPr>
          <w:rFonts w:ascii="Times New Roman" w:hAnsi="Times New Roman"/>
          <w:kern w:val="22"/>
          <w:shd w:val="clear" w:color="auto" w:fill="FFFFFF"/>
        </w:rPr>
        <w:t xml:space="preserve">displace existing species because of engineered fitness advantages and become invasive </w:t>
      </w:r>
      <w:r w:rsidR="00D32737">
        <w:rPr>
          <w:rFonts w:ascii="Times New Roman" w:hAnsi="Times New Roman"/>
          <w:kern w:val="22"/>
          <w:shd w:val="clear" w:color="auto" w:fill="FFFFFF"/>
        </w:rPr>
        <w:fldChar w:fldCharType="begin" w:fldLock="1"/>
      </w:r>
      <w:r w:rsidR="00D32737">
        <w:rPr>
          <w:rFonts w:ascii="Times New Roman" w:hAnsi="Times New Roman"/>
          <w:kern w:val="22"/>
          <w:shd w:val="clear" w:color="auto" w:fill="FFFFFF"/>
        </w:rPr>
        <w:instrText>ADDIN CSL_CITATION {"citationItems":[{"id":"ITEM-1","itemData":{"DOI":"10.1371/journal.pbio.1001530","ISSN":"1545-7885","author":[{"dropping-particle":"","family":"Redford","given":"Kent H.","non-dropping-particle":"","parse-names":false,"suffix":""},{"dropping-particle":"","family":"Adams","given":"William","non-dropping-particle":"","parse-names":false,"suffix":""},{"dropping-particle":"","family":"Mace","given":"Georgina M.","non-dropping-particle":"","parse-names":false,"suffix":""}],"container-title":"PLoS Biology","id":"ITEM-1","issue":"4","issued":{"date-parts":[["2013","4","2"]]},"page":"e1001530","title":"Synthetic Biology and Conservation of Nature: Wicked Problems and Wicked Solutions","type":"article-journal","volume":"11"},"uris":["http://www.mendeley.com/documents/?uuid=fa176fff-56a2-4e83-b4d9-af67191a4d9a"]},{"id":"ITEM-2","itemData":{"DOI":"10.1016/j.rser.2019.02.018","ISSN":"13640321","author":[{"dropping-particle":"","family":"Abdullah","given":"Bawadi","non-dropping-particle":"","parse-names":false,"suffix":""},{"dropping-particle":"","family":"Syed Muhammad","given":"Syed Anuar Faua’ad","non-dropping-particle":"","parse-names":false,"suffix":""},{"dropping-particle":"","family":"Shokravi","given":"Zahra","non-dropping-particle":"","parse-names":false,"suffix":""},{"dropping-particle":"","family":"Ismail","given":"Shahrul","non-dropping-particle":"","parse-names":false,"suffix":""},{"dropping-particle":"","family":"Kassim","given":"Khairul Anuar","non-dropping-particle":"","parse-names":false,"suffix":""},{"dropping-particle":"","family":"Mahmood","given":"Azmi Nik","non-dropping-particle":"","parse-names":false,"suffix":""},{"dropping-particle":"","family":"Aziz","given":"Md Maniruzzaman A.","non-dropping-particle":"","parse-names":false,"suffix":""}],"container-title":"Renewable and Sustainable Energy Reviews","id":"ITEM-2","issued":{"date-parts":[["2019","6"]]},"page":"37-50","title":"Fourth generation biofuel: A review on risks and mitigation strategies","type":"article-journal","volume":"107"},"uris":["http://www.mendeley.com/documents/?uuid=ad6c77cb-d302-4c54-b5c3-4f374ce9352e"]}],"mendeley":{"formattedCitation":"(Abdullah et al., 2019; Redford et al., 2013)","plainTextFormattedCitation":"(Abdullah et al., 2019; Redford et al., 2013)","previouslyFormattedCitation":"(Abdullah et al., 2019; Redford et al., 2013)"},"properties":{"noteIndex":0},"schema":"https://github.com/citation-style-language/schema/raw/master/csl-citation.json"}</w:instrText>
      </w:r>
      <w:r w:rsidR="00D32737">
        <w:rPr>
          <w:rFonts w:ascii="Times New Roman" w:hAnsi="Times New Roman"/>
          <w:kern w:val="22"/>
          <w:shd w:val="clear" w:color="auto" w:fill="FFFFFF"/>
        </w:rPr>
        <w:fldChar w:fldCharType="separate"/>
      </w:r>
      <w:r w:rsidR="00D32737" w:rsidRPr="00D32737">
        <w:rPr>
          <w:rFonts w:ascii="Times New Roman" w:hAnsi="Times New Roman"/>
          <w:noProof/>
          <w:kern w:val="22"/>
          <w:shd w:val="clear" w:color="auto" w:fill="FFFFFF"/>
        </w:rPr>
        <w:t>(Abdullah et al., 2019; Redford et al., 2013)</w:t>
      </w:r>
      <w:r w:rsidR="00D32737">
        <w:rPr>
          <w:rFonts w:ascii="Times New Roman" w:hAnsi="Times New Roman"/>
          <w:kern w:val="22"/>
          <w:shd w:val="clear" w:color="auto" w:fill="FFFFFF"/>
        </w:rPr>
        <w:fldChar w:fldCharType="end"/>
      </w:r>
      <w:r w:rsidR="00953378">
        <w:rPr>
          <w:rFonts w:ascii="Times New Roman" w:hAnsi="Times New Roman"/>
          <w:kern w:val="22"/>
          <w:shd w:val="clear" w:color="auto" w:fill="FFFFFF"/>
        </w:rPr>
        <w:t xml:space="preserve"> or </w:t>
      </w:r>
      <w:r w:rsidR="00432B7E">
        <w:rPr>
          <w:rFonts w:ascii="Times New Roman" w:hAnsi="Times New Roman"/>
          <w:kern w:val="22"/>
          <w:shd w:val="clear" w:color="auto" w:fill="FFFFFF"/>
        </w:rPr>
        <w:t xml:space="preserve">cause </w:t>
      </w:r>
      <w:r w:rsidR="00432B7E" w:rsidRPr="00432B7E">
        <w:rPr>
          <w:rFonts w:ascii="Times New Roman" w:hAnsi="Times New Roman"/>
          <w:kern w:val="22"/>
          <w:shd w:val="clear" w:color="auto" w:fill="FFFFFF"/>
        </w:rPr>
        <w:t xml:space="preserve">populations of non-target invasive species to emerge and increase due to reduced competition or predation following control or eradication of </w:t>
      </w:r>
      <w:r w:rsidR="00432B7E">
        <w:rPr>
          <w:rFonts w:ascii="Times New Roman" w:hAnsi="Times New Roman"/>
          <w:kern w:val="22"/>
          <w:shd w:val="clear" w:color="auto" w:fill="FFFFFF"/>
        </w:rPr>
        <w:t>the</w:t>
      </w:r>
      <w:r w:rsidR="00432B7E" w:rsidRPr="00432B7E">
        <w:rPr>
          <w:rFonts w:ascii="Times New Roman" w:hAnsi="Times New Roman"/>
          <w:kern w:val="22"/>
          <w:shd w:val="clear" w:color="auto" w:fill="FFFFFF"/>
        </w:rPr>
        <w:t xml:space="preserve"> target species </w:t>
      </w:r>
      <w:r w:rsidR="00D32737">
        <w:rPr>
          <w:rFonts w:ascii="Times New Roman" w:hAnsi="Times New Roman"/>
          <w:kern w:val="22"/>
          <w:shd w:val="clear" w:color="auto" w:fill="FFFFFF"/>
        </w:rPr>
        <w:fldChar w:fldCharType="begin" w:fldLock="1"/>
      </w:r>
      <w:r w:rsidR="00D32737">
        <w:rPr>
          <w:rFonts w:ascii="Times New Roman" w:hAnsi="Times New Roman"/>
          <w:kern w:val="22"/>
          <w:shd w:val="clear" w:color="auto" w:fill="FFFFFF"/>
        </w:rPr>
        <w:instrText>ADDIN CSL_CITATION {"citationItems":[{"id":"ITEM-1","itemData":{"DOI":"10.1002/ecs2.2415","ISSN":"21508925","abstract":"The impacts of invasive species generally increase with their abundance, but the form of invader abundance–impact relationships remain poorly described. We highlight the utility of abundance–impact curves for three questions. First, abundance–impact relationships can clarify whether prevention and management should focus on the species likely to become abundant or those likely to cause large impacts per individual. Second, comparing abundance–impact relationships between native and exotic species can reveal any systematic differences in their effects on ecological systems. Third, identifying any thresholds in the relationship between invader impact and abundance can be used to select management targets and design invasive species control strategies. With increasing extent and resolution of datasets of invasive organisms worldwide, we now have the opportunity to explore in detail the form and context dependence of the abundance–impact relationship. Doing so provides opportunities to improve the prediction of invader impact, to better understand the differences between exotic and resident organisms, and to scale the impacts of invasive species from localities to ranges.","author":[{"dropping-particle":"","family":"Sofaer","given":"Helen R.","non-dropping-particle":"","parse-names":false,"suffix":""},{"dropping-particle":"","family":"Jarnevich","given":"Catherine S.","non-dropping-particle":"","parse-names":false,"suffix":""},{"dropping-particle":"","family":"Pearse","given":"Ian S.","non-dropping-particle":"","parse-names":false,"suffix":""}],"container-title":"Ecosphere","id":"ITEM-1","issue":"9","issued":{"date-parts":[["2018","9"]]},"page":"e02415","publisher":"Wiley-Blackwell","title":"The relationship between invader abundance and impact","type":"article-journal","volume":"9"},"uris":["http://www.mendeley.com/documents/?uuid=e11c8cc9-93b8-4b7e-9c48-20ea86454e77"]}],"mendeley":{"formattedCitation":"(Sofaer et al., 2018)","plainTextFormattedCitation":"(Sofaer et al., 2018)","previouslyFormattedCitation":"(Sofaer et al., 2018)"},"properties":{"noteIndex":0},"schema":"https://github.com/citation-style-language/schema/raw/master/csl-citation.json"}</w:instrText>
      </w:r>
      <w:r w:rsidR="00D32737">
        <w:rPr>
          <w:rFonts w:ascii="Times New Roman" w:hAnsi="Times New Roman"/>
          <w:kern w:val="22"/>
          <w:shd w:val="clear" w:color="auto" w:fill="FFFFFF"/>
        </w:rPr>
        <w:fldChar w:fldCharType="separate"/>
      </w:r>
      <w:r w:rsidR="00D32737" w:rsidRPr="00D32737">
        <w:rPr>
          <w:rFonts w:ascii="Times New Roman" w:hAnsi="Times New Roman"/>
          <w:noProof/>
          <w:kern w:val="22"/>
          <w:shd w:val="clear" w:color="auto" w:fill="FFFFFF"/>
        </w:rPr>
        <w:t>(Sofaer et al., 2018)</w:t>
      </w:r>
      <w:r w:rsidR="00D32737">
        <w:rPr>
          <w:rFonts w:ascii="Times New Roman" w:hAnsi="Times New Roman"/>
          <w:kern w:val="22"/>
          <w:shd w:val="clear" w:color="auto" w:fill="FFFFFF"/>
        </w:rPr>
        <w:fldChar w:fldCharType="end"/>
      </w:r>
      <w:r w:rsidRPr="000325B2">
        <w:rPr>
          <w:rFonts w:ascii="Times New Roman" w:hAnsi="Times New Roman"/>
          <w:kern w:val="22"/>
          <w:shd w:val="clear" w:color="auto" w:fill="FFFFFF"/>
        </w:rPr>
        <w:t>.</w:t>
      </w:r>
    </w:p>
    <w:p w14:paraId="55ED7A08" w14:textId="0FCECD29"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 xml:space="preserve">While the wording of Article 3 of the Convention requires “damage”, the wording of the ICJ in the </w:t>
      </w:r>
      <w:r w:rsidRPr="000325B2">
        <w:rPr>
          <w:rFonts w:ascii="Times New Roman" w:hAnsi="Times New Roman"/>
          <w:i/>
          <w:iCs/>
          <w:kern w:val="22"/>
          <w:shd w:val="clear" w:color="auto" w:fill="FFFFFF"/>
        </w:rPr>
        <w:t>Pulp Mills</w:t>
      </w:r>
      <w:r w:rsidRPr="000325B2">
        <w:rPr>
          <w:rFonts w:ascii="Times New Roman" w:hAnsi="Times New Roman"/>
          <w:kern w:val="22"/>
          <w:shd w:val="clear" w:color="auto" w:fill="FFFFFF"/>
        </w:rPr>
        <w:t xml:space="preserve"> case requires “significant damage”. For both cases it is not clear what degree of environmental harm would constitute such damage. “Significant” could be understood to establish a </w:t>
      </w:r>
      <w:r w:rsidRPr="000325B2">
        <w:rPr>
          <w:rFonts w:ascii="Times New Roman" w:hAnsi="Times New Roman"/>
          <w:i/>
          <w:iCs/>
          <w:kern w:val="22"/>
          <w:shd w:val="clear" w:color="auto" w:fill="FFFFFF"/>
        </w:rPr>
        <w:t>de minimis</w:t>
      </w:r>
      <w:r w:rsidRPr="000325B2">
        <w:rPr>
          <w:rFonts w:ascii="Times New Roman" w:hAnsi="Times New Roman"/>
          <w:kern w:val="22"/>
          <w:shd w:val="clear" w:color="auto" w:fill="FFFFFF"/>
        </w:rPr>
        <w:t xml:space="preserve"> threshold and to require a certain intensity of damage, which appears to be more than just any damage. Whether damage caused by synthetic biology techniques is “significant” would have to be established for the particular case in question</w:t>
      </w:r>
      <w:r w:rsidRPr="000325B2">
        <w:rPr>
          <w:rFonts w:ascii="Times New Roman" w:hAnsi="Times New Roman"/>
          <w:kern w:val="22"/>
          <w:shd w:val="clear" w:color="auto" w:fill="FFFFFF"/>
          <w:vertAlign w:val="superscript"/>
        </w:rPr>
        <w:footnoteReference w:id="79"/>
      </w:r>
      <w:r w:rsidRPr="000325B2">
        <w:rPr>
          <w:rFonts w:ascii="Times New Roman" w:hAnsi="Times New Roman"/>
          <w:kern w:val="22"/>
          <w:shd w:val="clear" w:color="auto" w:fill="FFFFFF"/>
        </w:rPr>
        <w:t>.</w:t>
      </w:r>
    </w:p>
    <w:p w14:paraId="126F759A" w14:textId="77777777"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While the ICJ did not elaborate on the specific requirements for causality, a potential claimant State may have to establish a causal link between the particular synthetic biology activity and, for example, the displacement of a certain species.</w:t>
      </w:r>
    </w:p>
    <w:p w14:paraId="58FF4F9D" w14:textId="428E9202"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 xml:space="preserve">In the </w:t>
      </w:r>
      <w:r w:rsidRPr="000325B2">
        <w:rPr>
          <w:rFonts w:ascii="Times New Roman" w:hAnsi="Times New Roman"/>
          <w:i/>
          <w:iCs/>
          <w:kern w:val="22"/>
          <w:shd w:val="clear" w:color="auto" w:fill="FFFFFF"/>
        </w:rPr>
        <w:t>Pulp Mills</w:t>
      </w:r>
      <w:r w:rsidRPr="000325B2">
        <w:rPr>
          <w:rFonts w:ascii="Times New Roman" w:hAnsi="Times New Roman"/>
          <w:kern w:val="22"/>
          <w:shd w:val="clear" w:color="auto" w:fill="FFFFFF"/>
        </w:rPr>
        <w:t xml:space="preserve"> case, the ICJ also appears to require an element of due diligence, providing for a prohibitive function of the duty not to cause transboundary harm</w:t>
      </w:r>
      <w:r w:rsidRPr="000325B2">
        <w:rPr>
          <w:rFonts w:ascii="Times New Roman" w:hAnsi="Times New Roman"/>
          <w:kern w:val="22"/>
          <w:shd w:val="clear" w:color="auto" w:fill="FFFFFF"/>
          <w:vertAlign w:val="superscript"/>
        </w:rPr>
        <w:footnoteReference w:id="80"/>
      </w:r>
      <w:r w:rsidRPr="000325B2">
        <w:rPr>
          <w:rFonts w:ascii="Times New Roman" w:hAnsi="Times New Roman"/>
          <w:kern w:val="22"/>
          <w:shd w:val="clear" w:color="auto" w:fill="FFFFFF"/>
        </w:rPr>
        <w:t xml:space="preserve">. According to this view, the concept obliges every State of origin to take adequate measures to control and regulate in advance sources of potential significant transboundary harm.” </w:t>
      </w:r>
      <w:r w:rsidR="00D32737">
        <w:rPr>
          <w:rFonts w:ascii="Times New Roman" w:hAnsi="Times New Roman"/>
          <w:kern w:val="22"/>
          <w:shd w:val="clear" w:color="auto" w:fill="FFFFFF"/>
        </w:rPr>
        <w:fldChar w:fldCharType="begin" w:fldLock="1"/>
      </w:r>
      <w:r w:rsidR="00D32737">
        <w:rPr>
          <w:rFonts w:ascii="Times New Roman" w:hAnsi="Times New Roman"/>
          <w:kern w:val="22"/>
          <w:shd w:val="clear" w:color="auto" w:fill="FFFFFF"/>
        </w:rPr>
        <w:instrText>ADDIN CSL_CITATION {"citationItems":[{"id":"ITEM-1","itemData":{"author":[{"dropping-particle":"","family":"Beyerlin","given":"Ulrich","non-dropping-particle":"","parse-names":false,"suffix":""},{"dropping-particle":"","family":"Marauhn","given":"Thilo","non-dropping-particle":"","parse-names":false,"suffix":""}],"id":"ITEM-1","issued":{"date-parts":[["2011"]]},"publisher":"Hart Publishing","publisher-place":"Oxford, UK","title":"International Environmental Law","type":"book"},"uris":["http://www.mendeley.com/documents/?uuid=99a71637-b48b-4147-81cd-5439256683fb"]}],"mendeley":{"formattedCitation":"(Beyerlin &amp; Marauhn, 2011)","plainTextFormattedCitation":"(Beyerlin &amp; Marauhn, 2011)","previouslyFormattedCitation":"(Beyerlin &amp; Marauhn, 2011)"},"properties":{"noteIndex":0},"schema":"https://github.com/citation-style-language/schema/raw/master/csl-citation.json"}</w:instrText>
      </w:r>
      <w:r w:rsidR="00D32737">
        <w:rPr>
          <w:rFonts w:ascii="Times New Roman" w:hAnsi="Times New Roman"/>
          <w:kern w:val="22"/>
          <w:shd w:val="clear" w:color="auto" w:fill="FFFFFF"/>
        </w:rPr>
        <w:fldChar w:fldCharType="separate"/>
      </w:r>
      <w:r w:rsidR="00D32737" w:rsidRPr="00D32737">
        <w:rPr>
          <w:rFonts w:ascii="Times New Roman" w:hAnsi="Times New Roman"/>
          <w:noProof/>
          <w:kern w:val="22"/>
          <w:shd w:val="clear" w:color="auto" w:fill="FFFFFF"/>
        </w:rPr>
        <w:t>(Beyerlin &amp; Marauhn, 2011)</w:t>
      </w:r>
      <w:r w:rsidR="00D32737">
        <w:rPr>
          <w:rFonts w:ascii="Times New Roman" w:hAnsi="Times New Roman"/>
          <w:kern w:val="22"/>
          <w:shd w:val="clear" w:color="auto" w:fill="FFFFFF"/>
        </w:rPr>
        <w:fldChar w:fldCharType="end"/>
      </w:r>
      <w:r w:rsidRPr="000325B2">
        <w:rPr>
          <w:rFonts w:ascii="Times New Roman" w:hAnsi="Times New Roman"/>
          <w:kern w:val="22"/>
          <w:shd w:val="clear" w:color="auto" w:fill="FFFFFF"/>
        </w:rPr>
        <w:t>. It is, however, not clear which measures States are required to take in order to prevent such harm. Generally, a State will not be in breach of the obligation relevant here unless it fails to apply due diligence</w:t>
      </w:r>
      <w:r w:rsidRPr="000325B2">
        <w:rPr>
          <w:rFonts w:ascii="Times New Roman" w:hAnsi="Times New Roman"/>
          <w:kern w:val="22"/>
          <w:shd w:val="clear" w:color="auto" w:fill="FFFFFF"/>
          <w:vertAlign w:val="superscript"/>
        </w:rPr>
        <w:footnoteReference w:id="81"/>
      </w:r>
      <w:r w:rsidRPr="000325B2">
        <w:rPr>
          <w:rFonts w:ascii="Times New Roman" w:hAnsi="Times New Roman"/>
          <w:kern w:val="22"/>
          <w:shd w:val="clear" w:color="auto" w:fill="FFFFFF"/>
        </w:rPr>
        <w:t>. What diligence is “due”, however, depends on the circumstances of the particular case related to components, organisms and products resulting from synthetic biology techniques</w:t>
      </w:r>
      <w:r w:rsidRPr="000325B2">
        <w:rPr>
          <w:rFonts w:ascii="Times New Roman" w:hAnsi="Times New Roman"/>
          <w:i/>
          <w:iCs/>
          <w:kern w:val="22"/>
          <w:shd w:val="clear" w:color="auto" w:fill="FFFFFF"/>
        </w:rPr>
        <w:t>.</w:t>
      </w:r>
    </w:p>
    <w:p w14:paraId="559E1C7D" w14:textId="77777777"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In sum, the obligation to prevent transboundary harm depends on the particularities of the specific case and is mainly retrospective. International law provides only very limited means to obtain advance provisional measures in order to stop activities that could be in breach of international obligations</w:t>
      </w:r>
      <w:r w:rsidRPr="000325B2">
        <w:rPr>
          <w:rFonts w:ascii="Times New Roman" w:hAnsi="Times New Roman"/>
          <w:kern w:val="22"/>
          <w:shd w:val="clear" w:color="auto" w:fill="FFFFFF"/>
          <w:vertAlign w:val="superscript"/>
        </w:rPr>
        <w:footnoteReference w:id="82"/>
      </w:r>
      <w:r w:rsidRPr="000325B2">
        <w:rPr>
          <w:rFonts w:ascii="Times New Roman" w:hAnsi="Times New Roman"/>
          <w:kern w:val="22"/>
          <w:shd w:val="clear" w:color="auto" w:fill="FFFFFF"/>
        </w:rPr>
        <w:t xml:space="preserve">. Therefore, the duty not to cause transboundary harm may not be a sufficient instrument to address potential negative impacts from synthetic biology techniques, in particular potential impacts of very low probability but very high magnitude. </w:t>
      </w:r>
    </w:p>
    <w:p w14:paraId="2DB7DB2D" w14:textId="4296AF51" w:rsidR="000325B2" w:rsidRPr="00EF2D8D" w:rsidRDefault="000325B2" w:rsidP="005226F1">
      <w:pPr>
        <w:pStyle w:val="Heading6"/>
        <w:numPr>
          <w:ilvl w:val="0"/>
          <w:numId w:val="158"/>
        </w:numPr>
        <w:spacing w:after="120" w:line="240" w:lineRule="auto"/>
        <w:ind w:left="284" w:hanging="284"/>
        <w:rPr>
          <w:shd w:val="clear" w:color="auto" w:fill="FFFFFF"/>
        </w:rPr>
      </w:pPr>
      <w:bookmarkStart w:id="159" w:name="_Toc399752932"/>
      <w:r w:rsidRPr="00EF2D8D">
        <w:t>Duty to undertake an environmental impact assessment</w:t>
      </w:r>
      <w:bookmarkEnd w:id="159"/>
      <w:r w:rsidR="00DB0691">
        <w:rPr>
          <w:lang w:val="en-US"/>
        </w:rPr>
        <w:t>.</w:t>
      </w:r>
      <w:r w:rsidRPr="00EF2D8D">
        <w:t xml:space="preserve"> </w:t>
      </w:r>
    </w:p>
    <w:p w14:paraId="0160192E" w14:textId="77777777"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 xml:space="preserve">A further general rule which may be considered to address potential negative impacts resulting from synthetic biology techniques is the duty to carry out an environmental impact assessment. </w:t>
      </w:r>
    </w:p>
    <w:p w14:paraId="5EB2A64B" w14:textId="77777777"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 xml:space="preserve">While Article 14 of the Convention on Biological Diversity also addresses environmental impact assessment, the requirement to carry out an environmental impact assessment for industrial activities that may have a significant adverse impact </w:t>
      </w:r>
      <w:r w:rsidRPr="000325B2">
        <w:rPr>
          <w:rFonts w:ascii="Times New Roman" w:hAnsi="Times New Roman"/>
          <w:i/>
          <w:iCs/>
          <w:kern w:val="22"/>
          <w:shd w:val="clear" w:color="auto" w:fill="FFFFFF"/>
        </w:rPr>
        <w:t>in a transboundary context</w:t>
      </w:r>
      <w:r w:rsidRPr="000325B2">
        <w:rPr>
          <w:rFonts w:ascii="Times New Roman" w:hAnsi="Times New Roman"/>
          <w:kern w:val="22"/>
          <w:shd w:val="clear" w:color="auto" w:fill="FFFFFF"/>
        </w:rPr>
        <w:t xml:space="preserve"> has even become customary international law and applies to States in the absence of treaty obligations. The ICJ has recognised that the accepted practice amongst States amounted to “a requirement under general international law to undertake an environmental impact assessment where there is a risk that the proposed industrial activity may have a significant adverse impact in a transboundary context, in particular, on a shared resource”</w:t>
      </w:r>
      <w:r w:rsidRPr="000325B2">
        <w:rPr>
          <w:rFonts w:ascii="Times New Roman" w:hAnsi="Times New Roman"/>
          <w:kern w:val="22"/>
          <w:shd w:val="clear" w:color="auto" w:fill="FFFFFF"/>
          <w:vertAlign w:val="superscript"/>
        </w:rPr>
        <w:footnoteReference w:id="83"/>
      </w:r>
      <w:r w:rsidRPr="000325B2">
        <w:rPr>
          <w:rFonts w:ascii="Times New Roman" w:hAnsi="Times New Roman"/>
          <w:kern w:val="22"/>
          <w:shd w:val="clear" w:color="auto" w:fill="FFFFFF"/>
        </w:rPr>
        <w:t>.</w:t>
      </w:r>
    </w:p>
    <w:p w14:paraId="06A26803" w14:textId="5098D4E7"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 xml:space="preserve">As discussed </w:t>
      </w:r>
      <w:r w:rsidR="00777EE4">
        <w:rPr>
          <w:rFonts w:ascii="Times New Roman" w:hAnsi="Times New Roman"/>
          <w:kern w:val="22"/>
          <w:shd w:val="clear" w:color="auto" w:fill="FFFFFF"/>
        </w:rPr>
        <w:t>immediately above in relation to the p</w:t>
      </w:r>
      <w:r w:rsidR="00777EE4" w:rsidRPr="00777EE4">
        <w:rPr>
          <w:rFonts w:ascii="Times New Roman" w:hAnsi="Times New Roman"/>
          <w:kern w:val="22"/>
          <w:shd w:val="clear" w:color="auto" w:fill="FFFFFF"/>
        </w:rPr>
        <w:t>revention of transboundary harm to the environment</w:t>
      </w:r>
      <w:r w:rsidRPr="000325B2">
        <w:rPr>
          <w:rFonts w:ascii="Times New Roman" w:hAnsi="Times New Roman"/>
          <w:kern w:val="22"/>
          <w:shd w:val="clear" w:color="auto" w:fill="FFFFFF"/>
        </w:rPr>
        <w:t xml:space="preserve">, some of the potential applications of synthetic biology could result in transboundary impacts and could in certain cases have the potential to cause significant adverse impacts. The ICJ referred to activities that “may” have a significant adverse impact. However, it does not establish a threshold of probability for “may.” </w:t>
      </w:r>
    </w:p>
    <w:p w14:paraId="017D1D87" w14:textId="0A94AEEF" w:rsidR="003B7E77" w:rsidRPr="003B7E77" w:rsidRDefault="000325B2" w:rsidP="003B7E77">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 xml:space="preserve">Independently of the required threshold, </w:t>
      </w:r>
      <w:r w:rsidR="00DA3F8D">
        <w:rPr>
          <w:rFonts w:ascii="Times New Roman" w:hAnsi="Times New Roman"/>
          <w:kern w:val="22"/>
          <w:shd w:val="clear" w:color="auto" w:fill="FFFFFF"/>
        </w:rPr>
        <w:t xml:space="preserve">there appears to be a lack of consensus </w:t>
      </w:r>
      <w:r w:rsidRPr="000325B2">
        <w:rPr>
          <w:rFonts w:ascii="Times New Roman" w:hAnsi="Times New Roman"/>
          <w:kern w:val="22"/>
          <w:shd w:val="clear" w:color="auto" w:fill="FFFFFF"/>
        </w:rPr>
        <w:t>among</w:t>
      </w:r>
      <w:r w:rsidR="00CE4621">
        <w:rPr>
          <w:rFonts w:ascii="Times New Roman" w:hAnsi="Times New Roman"/>
          <w:kern w:val="22"/>
          <w:shd w:val="clear" w:color="auto" w:fill="FFFFFF"/>
        </w:rPr>
        <w:t>st</w:t>
      </w:r>
      <w:r w:rsidRPr="000325B2">
        <w:rPr>
          <w:rFonts w:ascii="Times New Roman" w:hAnsi="Times New Roman"/>
          <w:kern w:val="22"/>
          <w:shd w:val="clear" w:color="auto" w:fill="FFFFFF"/>
        </w:rPr>
        <w:t xml:space="preserve"> </w:t>
      </w:r>
      <w:r w:rsidRPr="000325B2">
        <w:rPr>
          <w:rFonts w:ascii="Times New Roman" w:eastAsia="Times New Roman" w:hAnsi="Times New Roman"/>
        </w:rPr>
        <w:t>different groups including scientists, academia, industry, civil society and IPLCs</w:t>
      </w:r>
      <w:r w:rsidRPr="000325B2">
        <w:rPr>
          <w:rFonts w:ascii="Times New Roman" w:hAnsi="Times New Roman"/>
          <w:kern w:val="22"/>
          <w:shd w:val="clear" w:color="auto" w:fill="FFFFFF"/>
        </w:rPr>
        <w:t xml:space="preserve">, as to how well the potential dangers related to synthetic biology are known and can be assessed. </w:t>
      </w:r>
      <w:r w:rsidR="007E55E2">
        <w:rPr>
          <w:rFonts w:ascii="Times New Roman" w:hAnsi="Times New Roman"/>
          <w:kern w:val="22"/>
          <w:shd w:val="clear" w:color="auto" w:fill="FFFFFF"/>
        </w:rPr>
        <w:t>For example, s</w:t>
      </w:r>
      <w:r w:rsidRPr="000325B2">
        <w:rPr>
          <w:rFonts w:ascii="Times New Roman" w:hAnsi="Times New Roman"/>
          <w:kern w:val="22"/>
          <w:shd w:val="clear" w:color="auto" w:fill="FFFFFF"/>
        </w:rPr>
        <w:t xml:space="preserve">ome synthetic biologists and the Biotechnology Industry Organization have argued that the vast majority of synthetic biology research does not present novel risks and that sufficient knowledge is available to characterise associated risks </w:t>
      </w:r>
      <w:r w:rsidR="00D32737">
        <w:rPr>
          <w:rFonts w:ascii="Times New Roman" w:hAnsi="Times New Roman"/>
          <w:kern w:val="22"/>
          <w:shd w:val="clear" w:color="auto" w:fill="FFFFFF"/>
        </w:rPr>
        <w:fldChar w:fldCharType="begin" w:fldLock="1"/>
      </w:r>
      <w:r w:rsidR="00D32737">
        <w:rPr>
          <w:rFonts w:ascii="Times New Roman" w:hAnsi="Times New Roman"/>
          <w:kern w:val="22"/>
          <w:shd w:val="clear" w:color="auto" w:fill="FFFFFF"/>
        </w:rPr>
        <w:instrText>ADDIN CSL_CITATION {"citationItems":[{"id":"ITEM-1","itemData":{"DOI":"10.1002/bies.201000099","ISSN":"02659247","author":[{"dropping-particle":"","family":"Lorenzo","given":"Victor","non-dropping-particle":"de","parse-names":false,"suffix":""}],"container-title":"BioEssays","id":"ITEM-1","issue":"11","issued":{"date-parts":[["2010","11"]]},"page":"926-931","title":"Environmental biosafety in the age of Synthetic Biology: Do we really need a radical new approach?","type":"article-journal","volume":"32"},"uris":["http://www.mendeley.com/documents/?uuid=8c8d8c56-cb88-435e-8327-7d33ec52eecd"]},{"id":"ITEM-2","itemData":{"DOI":"10.1126/science.1211066","ISSN":"0036-8075","abstract":"In our view, synthetic biology is an extension of the continuum of genetic science that has been used safely for more than 40 years by the biotechnology industry in the development of commercial products. Examples of synthetic biology use by biotechnology companies illustrate the potential to substantially reduce research and development time and to increase speed to market. Improvements in the speed and cost of DNA synthesis are enabling scientists to design modified bacterial chromosomes that can be used in the production of renewable chemicals, biofuels, bioproducts, renewable specialty chemicals, pharmaceutical intermediates, fine chemicals, food ingredients, and health care products. Regulatory options should support innovation and commercial development of new products while protecting the public from potential harms.","author":[{"dropping-particle":"","family":"Erickson","given":"Brent","non-dropping-particle":"","parse-names":false,"suffix":""},{"dropping-particle":"","family":"Singh","given":"Rina","non-dropping-particle":"","parse-names":false,"suffix":""},{"dropping-particle":"","family":"Winters","given":"Paul","non-dropping-particle":"","parse-names":false,"suffix":""}],"container-title":"Science","id":"ITEM-2","issue":"6047","issued":{"date-parts":[["2011","9","2"]]},"page":"1254-1256","title":"Synthetic Biology: Regulating Industry Uses of New Biotechnologies","type":"article-journal","volume":"333"},"uris":["http://www.mendeley.com/documents/?uuid=ec5a3bd2-48cf-4401-a099-c0f0099859c1"]}],"mendeley":{"formattedCitation":"(de Lorenzo, 2010; Erickson et al., 2011)","plainTextFormattedCitation":"(de Lorenzo, 2010; Erickson et al., 2011)","previouslyFormattedCitation":"(de Lorenzo, 2010; Erickson et al., 2011)"},"properties":{"noteIndex":0},"schema":"https://github.com/citation-style-language/schema/raw/master/csl-citation.json"}</w:instrText>
      </w:r>
      <w:r w:rsidR="00D32737">
        <w:rPr>
          <w:rFonts w:ascii="Times New Roman" w:hAnsi="Times New Roman"/>
          <w:kern w:val="22"/>
          <w:shd w:val="clear" w:color="auto" w:fill="FFFFFF"/>
        </w:rPr>
        <w:fldChar w:fldCharType="separate"/>
      </w:r>
      <w:r w:rsidR="00D32737" w:rsidRPr="00D32737">
        <w:rPr>
          <w:rFonts w:ascii="Times New Roman" w:hAnsi="Times New Roman"/>
          <w:noProof/>
          <w:kern w:val="22"/>
          <w:shd w:val="clear" w:color="auto" w:fill="FFFFFF"/>
        </w:rPr>
        <w:t>(de Lorenzo, 2010; Erickson et al., 2011)</w:t>
      </w:r>
      <w:r w:rsidR="00D32737">
        <w:rPr>
          <w:rFonts w:ascii="Times New Roman" w:hAnsi="Times New Roman"/>
          <w:kern w:val="22"/>
          <w:shd w:val="clear" w:color="auto" w:fill="FFFFFF"/>
        </w:rPr>
        <w:fldChar w:fldCharType="end"/>
      </w:r>
      <w:r w:rsidRPr="000325B2">
        <w:rPr>
          <w:rFonts w:ascii="Times New Roman" w:hAnsi="Times New Roman"/>
          <w:kern w:val="22"/>
          <w:shd w:val="clear" w:color="auto" w:fill="FFFFFF"/>
        </w:rPr>
        <w:t xml:space="preserve">. </w:t>
      </w:r>
      <w:r w:rsidR="00A20212" w:rsidRPr="00A20212">
        <w:rPr>
          <w:rFonts w:ascii="Times New Roman" w:hAnsi="Times New Roman"/>
          <w:kern w:val="22"/>
          <w:shd w:val="clear" w:color="auto" w:fill="FFFFFF"/>
        </w:rPr>
        <w:t>Similarly, a Presidential Commission evaluating the regulatory framework for synthetic biology and emerging technologies in the US</w:t>
      </w:r>
      <w:r w:rsidR="00FE1925">
        <w:rPr>
          <w:rFonts w:ascii="Times New Roman" w:hAnsi="Times New Roman"/>
          <w:kern w:val="22"/>
          <w:shd w:val="clear" w:color="auto" w:fill="FFFFFF"/>
        </w:rPr>
        <w:t>A</w:t>
      </w:r>
      <w:r w:rsidR="00A20212" w:rsidRPr="00A20212">
        <w:rPr>
          <w:rFonts w:ascii="Times New Roman" w:hAnsi="Times New Roman"/>
          <w:kern w:val="22"/>
          <w:shd w:val="clear" w:color="auto" w:fill="FFFFFF"/>
        </w:rPr>
        <w:t xml:space="preserve"> concluded that no new regulations for synthetic biology were needed at the time (Presidential Commission for the Study of Bioethical Issues, 2010). </w:t>
      </w:r>
      <w:r w:rsidRPr="000325B2">
        <w:rPr>
          <w:rFonts w:ascii="Times New Roman" w:hAnsi="Times New Roman"/>
          <w:kern w:val="22"/>
          <w:shd w:val="clear" w:color="auto" w:fill="FFFFFF"/>
        </w:rPr>
        <w:t xml:space="preserve">Others, however, are much more cautious about the potential unanticipated risks of synthetic biology </w:t>
      </w:r>
      <w:r w:rsidR="00D32737">
        <w:rPr>
          <w:rFonts w:ascii="Times New Roman" w:hAnsi="Times New Roman"/>
          <w:kern w:val="22"/>
          <w:shd w:val="clear" w:color="auto" w:fill="FFFFFF"/>
        </w:rPr>
        <w:fldChar w:fldCharType="begin" w:fldLock="1"/>
      </w:r>
      <w:r w:rsidR="00D32737">
        <w:rPr>
          <w:rFonts w:ascii="Times New Roman" w:hAnsi="Times New Roman"/>
          <w:kern w:val="22"/>
          <w:shd w:val="clear" w:color="auto" w:fill="FFFFFF"/>
        </w:rPr>
        <w:instrText>ADDIN CSL_CITATION {"citationItems":[{"id":"ITEM-1","itemData":{"DOI":"10.1038/483029a","ISSN":"0028-0836","author":[{"dropping-particle":"V.","family":"Dana","given":"Genya","non-dropping-particle":"","parse-names":false,"suffix":""},{"dropping-particle":"","family":"Kuiken","given":"Todd","non-dropping-particle":"","parse-names":false,"suffix":""},{"dropping-particle":"","family":"Rejeski","given":"David","non-dropping-particle":"","parse-names":false,"suffix":""},{"dropping-particle":"","family":"Snow","given":"Allison A.","non-dropping-particle":"","parse-names":false,"suffix":""}],"container-title":"Nature","id":"ITEM-1","issue":"7387","issued":{"date-parts":[["2012","3","29"]]},"page":"29-29","title":"Four steps to avoid a synthetic-biology disaster","type":"article-journal","volume":"483"},"uris":["http://www.mendeley.com/documents/?uuid=f7def7dc-b8d9-44e5-a4f8-4fd3d8628084"]},{"id":"ITEM-2","itemData":{"author":[{"dropping-particle":"","family":"Friends of the Earth","given":"","non-dropping-particle":"","parse-names":false,"suffix":""},{"dropping-particle":"","family":"International Center for Technology Assessment","given":"","non-dropping-particle":"","parse-names":false,"suffix":""},{"dropping-particle":"","family":"ETC Group","given":"","non-dropping-particle":"","parse-names":false,"suffix":""}],"id":"ITEM-2","issued":{"date-parts":[["2012"]]},"title":"Principles for the Oversight of Synthetic Biology","type":"article"},"uris":["http://www.mendeley.com/documents/?uuid=ecc5d9b8-26b2-47dc-ba0c-746d6aaceb0c"]},{"id":"ITEM-3","itemData":{"author":[{"dropping-particle":"","family":"(ICSWGSB)","given":"International Civil Society Working Groupon Synthetic Biology","non-dropping-particle":"","parse-names":false,"suffix":""}],"id":"ITEM-3","issued":{"date-parts":[["2011"]]},"title":"A Submission to the Convention on Biological Diversity's Subsidiary Body on Scientific, Technical and Technological Advice (SBSTTA) on the Potential Impacts of Synthetic Biology on the Conservation and Use of Synthetic Biology","type":"article"},"uris":["http://www.mendeley.com/documents/?uuid=1a15b596-7daf-4917-9f7d-1f7d91697ef6"]},{"id":"ITEM-4","itemData":{"DOI":"10.1525/bio.2012.62.8.9","ISSN":"00063568","author":[{"dropping-particle":"","family":"Snow","given":"Allison A.","non-dropping-particle":"","parse-names":false,"suffix":""},{"dropping-particle":"","family":"Smith","given":"Van. H.","non-dropping-particle":"","parse-names":false,"suffix":""}],"container-title":"BioScience","id":"ITEM-4","issue":"8","issued":{"date-parts":[["2012","8"]]},"page":"765-768","title":"Genetically Engineered Algae for Biofuels: A Key Role for Ecologists","type":"article-journal","volume":"62"},"uris":["http://www.mendeley.com/documents/?uuid=65d123fb-3dcf-4de2-8a31-c4bcca1f9c6b"]},{"id":"ITEM-5","itemData":{"author":[{"dropping-particle":"","family":"Tucker","given":"Jonathan B","non-dropping-particle":"","parse-names":false,"suffix":""},{"dropping-particle":"","family":"Zilinskas","given":"Raymond A.","non-dropping-particle":"","parse-names":false,"suffix":""}],"id":"ITEM-5","issued":{"date-parts":[["2006"]]},"publisher":"The New Atlantis","title":"The Promise and Perils of Synthetic Biology: On regulating designer microbes","type":"article"},"uris":["http://www.mendeley.com/documents/?uuid=6ff06d38-ac05-451d-a150-fe67a1742a64"]},{"id":"ITEM-6","itemData":{"DOI":"10.1007/s10295-018-2026-4","ISSN":"14765535","PMID":"29560534","abstract":"This article describes what may be done by scientists and by the biotechnology industry, generally, to address the safety and security challenges in synthetic biology. Given the technical expertise requirements for developing sound policy options, as well as the importance of these issues to the future of the industry, scientists who work in synthetic biology should be informed about these challenges and get involved in shaping policies relevant to the field.","author":[{"dropping-particle":"","family":"Gronvall","given":"Gigi Kwik","non-dropping-particle":"","parse-names":false,"suffix":""}],"container-title":"Journal of Industrial Microbiology and Biotechnology","id":"ITEM-6","issue":"7","issued":{"date-parts":[["2018"]]},"page":"463-466","publisher":"Springer Verlag","title":"Safety, security, and serving the public interest in synthetic biology","type":"article-journal","volume":"45"},"uris":["http://www.mendeley.com/documents/?uuid=937661e1-267b-4c9e-9fe6-a9bee7fc6050"]}],"mendeley":{"formattedCitation":"((ICSWGSB), 2011; Dana et al., 2012; Friends of the Earth et al., 2012; Gronvall, 2018; Snow &amp; Smith, 2012; Tucker &amp; Zilinskas, 2006)","manualFormatting":"(ICSWGSB, 2011; Dana et al., 2012; Friends of the Earth et al., 2012; Gronvall, 2018; Snow &amp; Smith, 2012; Tucker &amp; Zilinskas, 2006)","plainTextFormattedCitation":"((ICSWGSB), 2011; Dana et al., 2012; Friends of the Earth et al., 2012; Gronvall, 2018; Snow &amp; Smith, 2012; Tucker &amp; Zilinskas, 2006)","previouslyFormattedCitation":"((ICSWGSB), 2011; Dana et al., 2012; Friends of the Earth et al., 2012; Gronvall, 2018; Snow &amp; Smith, 2012; Tucker &amp; Zilinskas, 2006)"},"properties":{"noteIndex":0},"schema":"https://github.com/citation-style-language/schema/raw/master/csl-citation.json"}</w:instrText>
      </w:r>
      <w:r w:rsidR="00D32737">
        <w:rPr>
          <w:rFonts w:ascii="Times New Roman" w:hAnsi="Times New Roman"/>
          <w:kern w:val="22"/>
          <w:shd w:val="clear" w:color="auto" w:fill="FFFFFF"/>
        </w:rPr>
        <w:fldChar w:fldCharType="separate"/>
      </w:r>
      <w:r w:rsidR="00D32737" w:rsidRPr="00D32737">
        <w:rPr>
          <w:rFonts w:ascii="Times New Roman" w:hAnsi="Times New Roman"/>
          <w:noProof/>
          <w:kern w:val="22"/>
          <w:shd w:val="clear" w:color="auto" w:fill="FFFFFF"/>
        </w:rPr>
        <w:t>(ICSWGSB, 2011; Dana et al., 2012; Friends of the Earth et al., 2012; Gronvall, 2018; Snow &amp; Smith, 2012; Tucker &amp; Zilinskas, 2006)</w:t>
      </w:r>
      <w:r w:rsidR="00D32737">
        <w:rPr>
          <w:rFonts w:ascii="Times New Roman" w:hAnsi="Times New Roman"/>
          <w:kern w:val="22"/>
          <w:shd w:val="clear" w:color="auto" w:fill="FFFFFF"/>
        </w:rPr>
        <w:fldChar w:fldCharType="end"/>
      </w:r>
      <w:r w:rsidRPr="000325B2">
        <w:rPr>
          <w:rFonts w:ascii="Times New Roman" w:hAnsi="Times New Roman"/>
          <w:kern w:val="22"/>
          <w:shd w:val="clear" w:color="auto" w:fill="FFFFFF"/>
        </w:rPr>
        <w:t xml:space="preserve">. </w:t>
      </w:r>
      <w:r w:rsidR="006D1315" w:rsidRPr="006D1315">
        <w:rPr>
          <w:rFonts w:ascii="Times New Roman" w:hAnsi="Times New Roman"/>
          <w:kern w:val="22"/>
          <w:shd w:val="clear" w:color="auto" w:fill="FFFFFF"/>
        </w:rPr>
        <w:t xml:space="preserve">For example, scientific advisory bodies of the European Food Safety Authority recently recommended further guidance concerning aspects of risk assessment and risk management associated with genetically modified insects containing engineered gene drives </w:t>
      </w:r>
      <w:r w:rsidR="00D32737">
        <w:rPr>
          <w:rFonts w:ascii="Times New Roman" w:hAnsi="Times New Roman"/>
          <w:kern w:val="22"/>
          <w:shd w:val="clear" w:color="auto" w:fill="FFFFFF"/>
        </w:rPr>
        <w:fldChar w:fldCharType="begin" w:fldLock="1"/>
      </w:r>
      <w:r w:rsidR="00D32737">
        <w:rPr>
          <w:rFonts w:ascii="Times New Roman" w:hAnsi="Times New Roman"/>
          <w:kern w:val="22"/>
          <w:shd w:val="clear" w:color="auto" w:fill="FFFFFF"/>
        </w:rPr>
        <w:instrText>ADDIN CSL_CITATION {"citationItems":[{"id":"ITEM-1","itemData":{"DOI":"10.2903/j.efsa.2020.6297","ISSN":"18314732","abstract":"Advances in molecular and synthetic biology are enabling the engineering of gene drives in insects for disease vector/pest control. Engineered gene drives (that bias their own inheritance) can be designed either to suppress interbreeding target populations or modify them with a new genotype. Depending on the engineered gene drive system, theoretically, a genetic modification of interest could spread through target populations and persist indefinitely, or be restricted in its spread or persistence. While research on engineered gene drives and their applications in insects is advancing at a fast pace, it will take several years for technological developments to move to practical applications for deliberate release into the environment. Some gene drive modified insects (GDMIs) have been tested experimentally in the laboratory, but none has been assessed in small-scale confined field trials or in open release trials as yet. There is concern that the deliberate release of GDMIs in the environment may have possible irreversible and unintended consequences. As a proactive measure, the European Food Safety Authority (EFSA) has been requested by the European Commission to review whether its previously published guidelines for the risk assessment of genetically modified animals (EFSA, 2012 and 2013), including insects (GMIs), are adequate and sufficient for GDMIs, primarily disease vectors, agricultural pests and invasive species, for deliberate release into the environment. Under this mandate, EFSA was not requested to develop risk assessment guidelines for GDMIs. In this Scientific Opinion, the Panel on Genetically Modified Organisms (GMO) concludes that EFSA's guidelines are adequate, but insufficient for the molecular characterisation (MC), environmental risk assessment (ERA) and post-market environmental monitoring (PMEM) of GDMIs. While the MC,ERA and PMEM of GDMIs can build on the existing risk assessment framework for GMIs that do not contain engineered gene drives, there are specific areas where further guidance is needed for GDMIs.","author":[{"dropping-particle":"","family":"Naegeli","given":"Hanspeter","non-dropping-particle":"","parse-names":false,"suffix":""},{"dropping-particle":"","family":"Bresson","given":"Jean Louis","non-dropping-particle":"","parse-names":false,"suffix":""},{"dropping-particle":"","family":"Dalmay","given":"Tamas","non-dropping-particle":"","parse-names":false,"suffix":""},{"dropping-particle":"","family":"Dewhurst","given":"Ian C","non-dropping-particle":"","parse-names":false,"suffix":""},{"dropping-particle":"","family":"Epstein","given":"Michelle M","non-dropping-particle":"","parse-names":false,"suffix":""},{"dropping-particle":"","family":"Guerche","given":"Philippe","non-dropping-particle":"","parse-names":false,"suffix":""},{"dropping-particle":"","family":"Hejatko","given":"Jan","non-dropping-particle":"","parse-names":false,"suffix":""},{"dropping-particle":"","family":"Moreno","given":"Francisco J","non-dropping-particle":"","parse-names":false,"suffix":""},{"dropping-particle":"","family":"Mullins","given":"Ewen","non-dropping-particle":"","parse-names":false,"suffix":""},{"dropping-particle":"","family":"Nogué","given":"Fabien","non-dropping-particle":"","parse-names":false,"suffix":""},{"dropping-particle":"","family":"Rostoks","given":"Nils","non-dropping-particle":"","parse-names":false,"suffix":""},{"dropping-particle":"","family":"Serrano","given":"Jose J Sánchez","non-dropping-particle":"","parse-names":false,"suffix":""},{"dropping-particle":"","family":"Savoini","given":"Giovanni","non-dropping-particle":"","parse-names":false,"suffix":""},{"dropping-particle":"","family":"Veromann","given":"Eve","non-dropping-particle":"","parse-names":false,"suffix":""},{"dropping-particle":"","family":"Veronesi","given":"Fabio","non-dropping-particle":"","parse-names":false,"suffix":""},{"dropping-particle":"","family":"Bonsall","given":"Michael B","non-dropping-particle":"","parse-names":false,"suffix":""},{"dropping-particle":"","family":"Mumford","given":"John","non-dropping-particle":"","parse-names":false,"suffix":""},{"dropping-particle":"","family":"Wimmer","given":"Ernst A","non-dropping-particle":"","parse-names":false,"suffix":""},{"dropping-particle":"","family":"Devos","given":"Yann","non-dropping-particle":"","parse-names":false,"suffix":""},{"dropping-particle":"","family":"Paraskevopoulos","given":"Konstantinos","non-dropping-particle":"","parse-names":false,"suffix":""},{"dropping-particle":"","family":"Firbank","given":"Leslie G","non-dropping-particle":"","parse-names":false,"suffix":""}],"container-title":"EFSA Journal","id":"ITEM-1","issue":"11","issued":{"date-parts":[["2020"]]},"publisher":"Blackwell Publishing Ltd","title":"Adequacy and sufficiency evaluation of existing EFSA guidelines for the molecular characterisation, environmental risk assessment and post-market environmental monitoring of genetically modified insects containing engineered gene drives","type":"article-journal","volume":"18"},"uris":["http://www.mendeley.com/documents/?uuid=1afe5458-2203-4d9f-96de-52e7586ae8c7"]}],"mendeley":{"formattedCitation":"(Naegeli et al., 2020)","plainTextFormattedCitation":"(Naegeli et al., 2020)","previouslyFormattedCitation":"(Naegeli et al., 2020)"},"properties":{"noteIndex":0},"schema":"https://github.com/citation-style-language/schema/raw/master/csl-citation.json"}</w:instrText>
      </w:r>
      <w:r w:rsidR="00D32737">
        <w:rPr>
          <w:rFonts w:ascii="Times New Roman" w:hAnsi="Times New Roman"/>
          <w:kern w:val="22"/>
          <w:shd w:val="clear" w:color="auto" w:fill="FFFFFF"/>
        </w:rPr>
        <w:fldChar w:fldCharType="separate"/>
      </w:r>
      <w:r w:rsidR="00D32737" w:rsidRPr="00D32737">
        <w:rPr>
          <w:rFonts w:ascii="Times New Roman" w:hAnsi="Times New Roman"/>
          <w:noProof/>
          <w:kern w:val="22"/>
          <w:shd w:val="clear" w:color="auto" w:fill="FFFFFF"/>
        </w:rPr>
        <w:t>(Naegeli et al., 2020)</w:t>
      </w:r>
      <w:r w:rsidR="00D32737">
        <w:rPr>
          <w:rFonts w:ascii="Times New Roman" w:hAnsi="Times New Roman"/>
          <w:kern w:val="22"/>
          <w:shd w:val="clear" w:color="auto" w:fill="FFFFFF"/>
        </w:rPr>
        <w:fldChar w:fldCharType="end"/>
      </w:r>
      <w:r w:rsidR="00D32737">
        <w:rPr>
          <w:rFonts w:ascii="Times New Roman" w:hAnsi="Times New Roman"/>
          <w:kern w:val="22"/>
          <w:shd w:val="clear" w:color="auto" w:fill="FFFFFF"/>
        </w:rPr>
        <w:t xml:space="preserve"> </w:t>
      </w:r>
      <w:r w:rsidR="006D1315" w:rsidRPr="006D1315">
        <w:rPr>
          <w:rFonts w:ascii="Times New Roman" w:hAnsi="Times New Roman"/>
          <w:kern w:val="22"/>
          <w:shd w:val="clear" w:color="auto" w:fill="FFFFFF"/>
        </w:rPr>
        <w:t xml:space="preserve">and microorganisms obtained through synthetic biology </w:t>
      </w:r>
      <w:r w:rsidR="00D32737">
        <w:rPr>
          <w:rFonts w:ascii="Times New Roman" w:hAnsi="Times New Roman"/>
          <w:kern w:val="22"/>
          <w:shd w:val="clear" w:color="auto" w:fill="FFFFFF"/>
        </w:rPr>
        <w:fldChar w:fldCharType="begin" w:fldLock="1"/>
      </w:r>
      <w:r w:rsidR="00D32737">
        <w:rPr>
          <w:rFonts w:ascii="Times New Roman" w:hAnsi="Times New Roman"/>
          <w:kern w:val="22"/>
          <w:shd w:val="clear" w:color="auto" w:fill="FFFFFF"/>
        </w:rPr>
        <w:instrText>ADDIN CSL_CITATION {"citationItems":[{"id":"ITEM-1","itemData":{"DOI":"10.2903/j.efsa.2020.6263","ISSN":"18314732","author":[{"dropping-particle":"","family":"More","given":"Simon","non-dropping-particle":"","parse-names":false,"suffix":""},{"dropping-particle":"","family":"Bampidis","given":"Vasileios","non-dropping-particle":"","parse-names":false,"suffix":""},{"dropping-particle":"","family":"Benford","given":"Diane","non-dropping-particle":"","parse-names":false,"suffix":""},{"dropping-particle":"","family":"Bragard","given":"Claude","non-dropping-particle":"","parse-names":false,"suffix":""},{"dropping-particle":"","family":"Halldorsson","given":"Thorhallur","non-dropping-particle":"","parse-names":false,"suffix":""},{"dropping-particle":"","family":"Hernández‐Jerez","given":"Antonio","non-dropping-particle":"","parse-names":false,"suffix":""},{"dropping-particle":"","family":"Susanne","given":"Hougaard Bennekou","non-dropping-particle":"","parse-names":false,"suffix":""},{"dropping-particle":"","family":"Koutsoumanis","given":"Kostas","non-dropping-particle":"","parse-names":false,"suffix":""},{"dropping-particle":"","family":"Machera","given":"Kyriaki","non-dropping-particle":"","parse-names":false,"suffix":""},{"dropping-particle":"","family":"Naegeli","given":"Hanspeter","non-dropping-particle":"","parse-names":false,"suffix":""},{"dropping-particle":"","family":"Nielsen","given":"Søren Saxmose","non-dropping-particle":"","parse-names":false,"suffix":""},{"dropping-particle":"","family":"Schlatter","given":"Josef","non-dropping-particle":"","parse-names":false,"suffix":""},{"dropping-particle":"","family":"Schrenk","given":"Dieter","non-dropping-particle":"","parse-names":false,"suffix":""},{"dropping-particle":"","family":"Silano","given":"Vittorio","non-dropping-particle":"","parse-names":false,"suffix":""},{"dropping-particle":"","family":"Turck","given":"Dominique","non-dropping-particle":"","parse-names":false,"suffix":""},{"dropping-particle":"","family":"Younes","given":"Maged","non-dropping-particle":"","parse-names":false,"suffix":""},{"dropping-particle":"","family":"Glandorf","given":"Boet","non-dropping-particle":"","parse-names":false,"suffix":""},{"dropping-particle":"","family":"Herman","given":"Lieve","non-dropping-particle":"","parse-names":false,"suffix":""},{"dropping-particle":"","family":"Tebbe","given":"Christoph","non-dropping-particle":"","parse-names":false,"suffix":""},{"dropping-particle":"","family":"Vlak","given":"Just","non-dropping-particle":"","parse-names":false,"suffix":""},{"dropping-particle":"","family":"Aguilera","given":"Jaime","non-dropping-particle":"","parse-names":false,"suffix":""},{"dropping-particle":"","family":"Schoonjans","given":"Reinhilde","non-dropping-particle":"","parse-names":false,"suffix":""},{"dropping-particle":"","family":"Cocconcelli","given":"Pier Sandro","non-dropping-particle":"","parse-names":false,"suffix":""}],"container-title":"EFSA Journal","id":"ITEM-1","issue":"10","issued":{"date-parts":[["2020","10"]]},"title":"Evaluation of existing guidelines for their adequacy for the microbial characterisation and environmental risk assessment of microorganisms obtained through synthetic biology","type":"article-journal","volume":"18"},"uris":["http://www.mendeley.com/documents/?uuid=d54b5ae2-709b-414b-8598-1081cb22283a"]}],"mendeley":{"formattedCitation":"(More et al., 2020)","plainTextFormattedCitation":"(More et al., 2020)","previouslyFormattedCitation":"(More et al., 2020)"},"properties":{"noteIndex":0},"schema":"https://github.com/citation-style-language/schema/raw/master/csl-citation.json"}</w:instrText>
      </w:r>
      <w:r w:rsidR="00D32737">
        <w:rPr>
          <w:rFonts w:ascii="Times New Roman" w:hAnsi="Times New Roman"/>
          <w:kern w:val="22"/>
          <w:shd w:val="clear" w:color="auto" w:fill="FFFFFF"/>
        </w:rPr>
        <w:fldChar w:fldCharType="separate"/>
      </w:r>
      <w:r w:rsidR="00D32737" w:rsidRPr="00D32737">
        <w:rPr>
          <w:rFonts w:ascii="Times New Roman" w:hAnsi="Times New Roman"/>
          <w:noProof/>
          <w:kern w:val="22"/>
          <w:shd w:val="clear" w:color="auto" w:fill="FFFFFF"/>
        </w:rPr>
        <w:t>(More et al., 2020)</w:t>
      </w:r>
      <w:r w:rsidR="00D32737">
        <w:rPr>
          <w:rFonts w:ascii="Times New Roman" w:hAnsi="Times New Roman"/>
          <w:kern w:val="22"/>
          <w:shd w:val="clear" w:color="auto" w:fill="FFFFFF"/>
        </w:rPr>
        <w:fldChar w:fldCharType="end"/>
      </w:r>
      <w:r w:rsidR="006D1315" w:rsidRPr="006D1315">
        <w:rPr>
          <w:rFonts w:ascii="Times New Roman" w:hAnsi="Times New Roman"/>
          <w:kern w:val="22"/>
          <w:shd w:val="clear" w:color="auto" w:fill="FFFFFF"/>
        </w:rPr>
        <w:t>.</w:t>
      </w:r>
      <w:r w:rsidRPr="000325B2">
        <w:rPr>
          <w:rFonts w:ascii="Times New Roman" w:hAnsi="Times New Roman"/>
          <w:kern w:val="22"/>
          <w:shd w:val="clear" w:color="auto" w:fill="FFFFFF"/>
        </w:rPr>
        <w:t xml:space="preserve"> In their comment in </w:t>
      </w:r>
      <w:r w:rsidRPr="000325B2">
        <w:rPr>
          <w:rFonts w:ascii="Times New Roman" w:hAnsi="Times New Roman"/>
          <w:i/>
          <w:iCs/>
          <w:kern w:val="22"/>
          <w:shd w:val="clear" w:color="auto" w:fill="FFFFFF"/>
        </w:rPr>
        <w:t xml:space="preserve">Nature, </w:t>
      </w:r>
      <w:r w:rsidRPr="000325B2">
        <w:rPr>
          <w:rFonts w:ascii="Times New Roman" w:hAnsi="Times New Roman"/>
          <w:kern w:val="22"/>
          <w:shd w:val="clear" w:color="auto" w:fill="FFFFFF"/>
        </w:rPr>
        <w:t xml:space="preserve">Dana </w:t>
      </w:r>
      <w:r w:rsidRPr="000325B2">
        <w:rPr>
          <w:rFonts w:ascii="Times New Roman" w:hAnsi="Times New Roman"/>
          <w:i/>
          <w:iCs/>
          <w:kern w:val="22"/>
          <w:shd w:val="clear" w:color="auto" w:fill="FFFFFF"/>
        </w:rPr>
        <w:t xml:space="preserve">et al. </w:t>
      </w:r>
      <w:r w:rsidRPr="000325B2">
        <w:rPr>
          <w:rFonts w:ascii="Times New Roman" w:hAnsi="Times New Roman"/>
          <w:kern w:val="22"/>
          <w:shd w:val="clear" w:color="auto" w:fill="FFFFFF"/>
        </w:rPr>
        <w:t xml:space="preserve">(2012) call for a minimal investment of USD 20-30 million in synthetic biology risk research over the next 10 years. </w:t>
      </w:r>
      <w:r w:rsidR="003B7E77" w:rsidRPr="003B7E77">
        <w:rPr>
          <w:rFonts w:ascii="Times New Roman" w:hAnsi="Times New Roman"/>
          <w:kern w:val="22"/>
          <w:shd w:val="clear" w:color="auto" w:fill="FFFFFF"/>
        </w:rPr>
        <w:t>Safe Genes, a DARPA program</w:t>
      </w:r>
      <w:r w:rsidR="000C5E77">
        <w:rPr>
          <w:rFonts w:ascii="Times New Roman" w:hAnsi="Times New Roman"/>
          <w:kern w:val="22"/>
          <w:shd w:val="clear" w:color="auto" w:fill="FFFFFF"/>
        </w:rPr>
        <w:t>me</w:t>
      </w:r>
      <w:r w:rsidR="003B7E77" w:rsidRPr="003B7E77">
        <w:rPr>
          <w:rFonts w:ascii="Times New Roman" w:hAnsi="Times New Roman"/>
          <w:kern w:val="22"/>
          <w:shd w:val="clear" w:color="auto" w:fill="FFFFFF"/>
        </w:rPr>
        <w:t xml:space="preserve"> that aims to develop tools and methodologies intended to control, counter, and reverse the effects of genome editing, including gene drives</w:t>
      </w:r>
      <w:r w:rsidR="00B86492">
        <w:rPr>
          <w:rFonts w:ascii="Times New Roman" w:hAnsi="Times New Roman"/>
          <w:kern w:val="22"/>
          <w:shd w:val="clear" w:color="auto" w:fill="FFFFFF"/>
        </w:rPr>
        <w:t>,</w:t>
      </w:r>
      <w:r w:rsidR="003B7E77" w:rsidRPr="003B7E77">
        <w:rPr>
          <w:rFonts w:ascii="Times New Roman" w:hAnsi="Times New Roman"/>
          <w:kern w:val="22"/>
          <w:shd w:val="clear" w:color="auto" w:fill="FFFFFF"/>
        </w:rPr>
        <w:t xml:space="preserve"> is one example of safety research, however, it has been noted </w:t>
      </w:r>
      <w:r w:rsidR="00FE1925">
        <w:rPr>
          <w:rFonts w:ascii="Times New Roman" w:hAnsi="Times New Roman"/>
          <w:kern w:val="22"/>
          <w:shd w:val="clear" w:color="auto" w:fill="FFFFFF"/>
        </w:rPr>
        <w:t xml:space="preserve">that </w:t>
      </w:r>
      <w:r w:rsidR="003B7E77" w:rsidRPr="003B7E77">
        <w:rPr>
          <w:rFonts w:ascii="Times New Roman" w:hAnsi="Times New Roman"/>
          <w:kern w:val="22"/>
          <w:shd w:val="clear" w:color="auto" w:fill="FFFFFF"/>
        </w:rPr>
        <w:t xml:space="preserve">there is room for more </w:t>
      </w:r>
      <w:r w:rsidR="00FE1925">
        <w:rPr>
          <w:rFonts w:ascii="Times New Roman" w:hAnsi="Times New Roman"/>
          <w:kern w:val="22"/>
          <w:shd w:val="clear" w:color="auto" w:fill="FFFFFF"/>
        </w:rPr>
        <w:t xml:space="preserve">of </w:t>
      </w:r>
      <w:r w:rsidR="003B7E77" w:rsidRPr="003B7E77">
        <w:rPr>
          <w:rFonts w:ascii="Times New Roman" w:hAnsi="Times New Roman"/>
          <w:kern w:val="22"/>
          <w:shd w:val="clear" w:color="auto" w:fill="FFFFFF"/>
        </w:rPr>
        <w:t>such efforts and that to reduce safety concerns in synthetic biology</w:t>
      </w:r>
      <w:r w:rsidR="0069107E">
        <w:rPr>
          <w:rFonts w:ascii="Times New Roman" w:hAnsi="Times New Roman"/>
          <w:kern w:val="22"/>
          <w:shd w:val="clear" w:color="auto" w:fill="FFFFFF"/>
        </w:rPr>
        <w:t>,</w:t>
      </w:r>
      <w:r w:rsidR="003B7E77" w:rsidRPr="003B7E77">
        <w:rPr>
          <w:rFonts w:ascii="Times New Roman" w:hAnsi="Times New Roman"/>
          <w:kern w:val="22"/>
          <w:shd w:val="clear" w:color="auto" w:fill="FFFFFF"/>
        </w:rPr>
        <w:t xml:space="preserve"> more prominent support and funding is required regarding research into improvements in safety </w:t>
      </w:r>
      <w:r w:rsidR="00D32737">
        <w:rPr>
          <w:rFonts w:ascii="Times New Roman" w:hAnsi="Times New Roman"/>
          <w:kern w:val="22"/>
          <w:shd w:val="clear" w:color="auto" w:fill="FFFFFF"/>
        </w:rPr>
        <w:fldChar w:fldCharType="begin" w:fldLock="1"/>
      </w:r>
      <w:r w:rsidR="00D32737">
        <w:rPr>
          <w:rFonts w:ascii="Times New Roman" w:hAnsi="Times New Roman"/>
          <w:kern w:val="22"/>
          <w:shd w:val="clear" w:color="auto" w:fill="FFFFFF"/>
        </w:rPr>
        <w:instrText>ADDIN CSL_CITATION {"citationItems":[{"id":"ITEM-1","itemData":{"DOI":"10.1007/s10295-018-2026-4","ISSN":"14765535","PMID":"29560534","abstract":"This article describes what may be done by scientists and by the biotechnology industry, generally, to address the safety and security challenges in synthetic biology. Given the technical expertise requirements for developing sound policy options, as well as the importance of these issues to the future of the industry, scientists who work in synthetic biology should be informed about these challenges and get involved in shaping policies relevant to the field.","author":[{"dropping-particle":"","family":"Gronvall","given":"Gigi Kwik","non-dropping-particle":"","parse-names":false,"suffix":""}],"container-title":"Journal of Industrial Microbiology and Biotechnology","id":"ITEM-1","issue":"7","issued":{"date-parts":[["2018"]]},"page":"463-466","publisher":"Springer Verlag","title":"Safety, security, and serving the public interest in synthetic biology","type":"article-journal","volume":"45"},"uris":["http://www.mendeley.com/documents/?uuid=937661e1-267b-4c9e-9fe6-a9bee7fc6050"]}],"mendeley":{"formattedCitation":"(Gronvall, 2018)","plainTextFormattedCitation":"(Gronvall, 2018)","previouslyFormattedCitation":"(Gronvall, 2018)"},"properties":{"noteIndex":0},"schema":"https://github.com/citation-style-language/schema/raw/master/csl-citation.json"}</w:instrText>
      </w:r>
      <w:r w:rsidR="00D32737">
        <w:rPr>
          <w:rFonts w:ascii="Times New Roman" w:hAnsi="Times New Roman"/>
          <w:kern w:val="22"/>
          <w:shd w:val="clear" w:color="auto" w:fill="FFFFFF"/>
        </w:rPr>
        <w:fldChar w:fldCharType="separate"/>
      </w:r>
      <w:r w:rsidR="00D32737" w:rsidRPr="00D32737">
        <w:rPr>
          <w:rFonts w:ascii="Times New Roman" w:hAnsi="Times New Roman"/>
          <w:noProof/>
          <w:kern w:val="22"/>
          <w:shd w:val="clear" w:color="auto" w:fill="FFFFFF"/>
        </w:rPr>
        <w:t>(Gronvall, 2018)</w:t>
      </w:r>
      <w:r w:rsidR="00D32737">
        <w:rPr>
          <w:rFonts w:ascii="Times New Roman" w:hAnsi="Times New Roman"/>
          <w:kern w:val="22"/>
          <w:shd w:val="clear" w:color="auto" w:fill="FFFFFF"/>
        </w:rPr>
        <w:fldChar w:fldCharType="end"/>
      </w:r>
      <w:r w:rsidR="003B7E77" w:rsidRPr="003B7E77">
        <w:rPr>
          <w:rFonts w:ascii="Times New Roman" w:hAnsi="Times New Roman"/>
          <w:kern w:val="22"/>
          <w:shd w:val="clear" w:color="auto" w:fill="FFFFFF"/>
        </w:rPr>
        <w:t>.</w:t>
      </w:r>
    </w:p>
    <w:p w14:paraId="17D31719" w14:textId="657164C1" w:rsidR="000325B2" w:rsidRPr="000325B2" w:rsidRDefault="000325B2" w:rsidP="000325B2">
      <w:pPr>
        <w:suppressAutoHyphens/>
        <w:spacing w:after="120" w:line="240" w:lineRule="auto"/>
        <w:jc w:val="both"/>
        <w:rPr>
          <w:rFonts w:cs="Calibri"/>
          <w:kern w:val="22"/>
          <w:shd w:val="clear" w:color="auto" w:fill="FFFFFF"/>
        </w:rPr>
      </w:pPr>
      <w:r w:rsidRPr="000325B2">
        <w:rPr>
          <w:rFonts w:ascii="Times New Roman" w:hAnsi="Times New Roman"/>
          <w:kern w:val="22"/>
          <w:shd w:val="clear" w:color="auto" w:fill="FFFFFF"/>
        </w:rPr>
        <w:t xml:space="preserve">Significant adverse impacts that may occur include low-probability and high-consequence. In a March 2013 </w:t>
      </w:r>
      <w:r w:rsidRPr="000325B2">
        <w:rPr>
          <w:rFonts w:ascii="Times New Roman" w:hAnsi="Times New Roman"/>
          <w:i/>
          <w:iCs/>
          <w:kern w:val="22"/>
          <w:shd w:val="clear" w:color="auto" w:fill="FFFFFF"/>
        </w:rPr>
        <w:t xml:space="preserve">Science </w:t>
      </w:r>
      <w:r w:rsidRPr="000325B2">
        <w:rPr>
          <w:rFonts w:ascii="Times New Roman" w:hAnsi="Times New Roman"/>
          <w:kern w:val="22"/>
          <w:shd w:val="clear" w:color="auto" w:fill="FFFFFF"/>
        </w:rPr>
        <w:t>editorial, Martin Rees, former president of the UK Royal Society, identified synthetic biology as a potential</w:t>
      </w:r>
      <w:r w:rsidRPr="000325B2">
        <w:rPr>
          <w:rFonts w:ascii="Times New Roman" w:hAnsi="Times New Roman"/>
          <w:i/>
          <w:iCs/>
          <w:kern w:val="22"/>
          <w:shd w:val="clear" w:color="auto" w:fill="FFFFFF"/>
        </w:rPr>
        <w:t xml:space="preserve"> </w:t>
      </w:r>
      <w:r w:rsidRPr="000325B2">
        <w:rPr>
          <w:rFonts w:ascii="Times New Roman" w:hAnsi="Times New Roman"/>
          <w:kern w:val="22"/>
          <w:shd w:val="clear" w:color="auto" w:fill="FFFFFF"/>
        </w:rPr>
        <w:t xml:space="preserve">existential threat, albeit in a “sci-fi scenario </w:t>
      </w:r>
      <w:r w:rsidR="00D32737">
        <w:rPr>
          <w:rFonts w:ascii="Times New Roman" w:hAnsi="Times New Roman"/>
          <w:kern w:val="22"/>
          <w:shd w:val="clear" w:color="auto" w:fill="FFFFFF"/>
        </w:rPr>
        <w:fldChar w:fldCharType="begin" w:fldLock="1"/>
      </w:r>
      <w:r w:rsidR="00D32737">
        <w:rPr>
          <w:rFonts w:ascii="Times New Roman" w:hAnsi="Times New Roman"/>
          <w:kern w:val="22"/>
          <w:shd w:val="clear" w:color="auto" w:fill="FFFFFF"/>
        </w:rPr>
        <w:instrText>ADDIN CSL_CITATION {"citationItems":[{"id":"ITEM-1","itemData":{"DOI":"10.1126/science.1236756","ISSN":"0036-8075","author":[{"dropping-particle":"","family":"Rees","given":"M.","non-dropping-particle":"","parse-names":false,"suffix":""}],"container-title":"Science","id":"ITEM-1","issue":"6124","issued":{"date-parts":[["2013","3","8"]]},"page":"1123-1123","title":"Denial of Catastrophic Risks","type":"article-journal","volume":"339"},"uris":["http://www.mendeley.com/documents/?uuid=3ee6dabf-8494-4c67-9ada-c548560d8048"]}],"mendeley":{"formattedCitation":"(M. Rees, 2013)","manualFormatting":"(Rees, 2013)","plainTextFormattedCitation":"(M. Rees, 2013)","previouslyFormattedCitation":"(M. Rees, 2013)"},"properties":{"noteIndex":0},"schema":"https://github.com/citation-style-language/schema/raw/master/csl-citation.json"}</w:instrText>
      </w:r>
      <w:r w:rsidR="00D32737">
        <w:rPr>
          <w:rFonts w:ascii="Times New Roman" w:hAnsi="Times New Roman"/>
          <w:kern w:val="22"/>
          <w:shd w:val="clear" w:color="auto" w:fill="FFFFFF"/>
        </w:rPr>
        <w:fldChar w:fldCharType="separate"/>
      </w:r>
      <w:r w:rsidR="00D32737" w:rsidRPr="00D32737">
        <w:rPr>
          <w:rFonts w:ascii="Times New Roman" w:hAnsi="Times New Roman"/>
          <w:noProof/>
          <w:kern w:val="22"/>
          <w:shd w:val="clear" w:color="auto" w:fill="FFFFFF"/>
        </w:rPr>
        <w:t>(Rees, 2013)</w:t>
      </w:r>
      <w:r w:rsidR="00D32737">
        <w:rPr>
          <w:rFonts w:ascii="Times New Roman" w:hAnsi="Times New Roman"/>
          <w:kern w:val="22"/>
          <w:shd w:val="clear" w:color="auto" w:fill="FFFFFF"/>
        </w:rPr>
        <w:fldChar w:fldCharType="end"/>
      </w:r>
      <w:r w:rsidRPr="000325B2">
        <w:rPr>
          <w:rFonts w:ascii="Times New Roman" w:hAnsi="Times New Roman"/>
          <w:kern w:val="22"/>
          <w:shd w:val="clear" w:color="auto" w:fill="FFFFFF"/>
        </w:rPr>
        <w:t>. A recent 2020 perspective i</w:t>
      </w:r>
      <w:r w:rsidRPr="000325B2">
        <w:rPr>
          <w:rFonts w:ascii="Times New Roman" w:eastAsia="Times New Roman" w:hAnsi="Times New Roman"/>
          <w:color w:val="000000" w:themeColor="text1"/>
        </w:rPr>
        <w:t xml:space="preserve">n </w:t>
      </w:r>
      <w:r w:rsidRPr="7921706C">
        <w:rPr>
          <w:rFonts w:ascii="Times New Roman" w:eastAsia="Times New Roman" w:hAnsi="Times New Roman"/>
          <w:i/>
          <w:iCs/>
          <w:color w:val="000000" w:themeColor="text1"/>
        </w:rPr>
        <w:t>Risk Analysis an International Journal</w:t>
      </w:r>
      <w:r w:rsidRPr="000325B2">
        <w:rPr>
          <w:rFonts w:ascii="Times New Roman" w:eastAsia="Times New Roman" w:hAnsi="Times New Roman"/>
          <w:color w:val="000000" w:themeColor="text1"/>
        </w:rPr>
        <w:t>, which analyses the extent to which existential risks have been discussed at an international governance level, specifically in documents in the UN Digital Library,</w:t>
      </w:r>
      <w:r w:rsidRPr="000325B2">
        <w:rPr>
          <w:rFonts w:ascii="Times New Roman" w:hAnsi="Times New Roman"/>
        </w:rPr>
        <w:t xml:space="preserve"> argues that member nations should urgently advocate for a</w:t>
      </w:r>
      <w:r w:rsidRPr="000325B2">
        <w:rPr>
          <w:rFonts w:ascii="Times New Roman" w:eastAsia="Times New Roman" w:hAnsi="Times New Roman"/>
          <w:color w:val="000000" w:themeColor="text1"/>
        </w:rPr>
        <w:t xml:space="preserve">ppropriate action at the United Nations to address existential threats, such as artificial intelligence, synthetic biology, geoengineering, and super-volcanic eruption, in analogous fashion to existing attempts to mitigate the threats from nuclear war or near‐Earth objects </w:t>
      </w:r>
      <w:r w:rsidR="00D32737">
        <w:rPr>
          <w:rFonts w:ascii="Times New Roman" w:eastAsia="Times New Roman" w:hAnsi="Times New Roman"/>
          <w:color w:val="000000" w:themeColor="text1"/>
        </w:rPr>
        <w:fldChar w:fldCharType="begin" w:fldLock="1"/>
      </w:r>
      <w:r w:rsidR="00D32737">
        <w:rPr>
          <w:rFonts w:ascii="Times New Roman" w:eastAsia="Times New Roman" w:hAnsi="Times New Roman"/>
          <w:color w:val="000000" w:themeColor="text1"/>
        </w:rPr>
        <w:instrText>ADDIN CSL_CITATION {"citationItems":[{"id":"ITEM-1","itemData":{"author":[{"dropping-particle":"","family":"Boyd","given":"Matt","non-dropping-particle":"","parse-names":false,"suffix":""},{"dropping-particle":"","family":"Wilson","given":"Nick","non-dropping-particle":"","parse-names":false,"suffix":""}],"id":"ITEM-1","issued":{"date-parts":[["2020"]]},"publisher":"Adapt Research Ltd.","title":"Worse than COVID-19: More can and must be done to prevent the greatest threats to human survival","type":"article"},"uris":["http://www.mendeley.com/documents/?uuid=a7785b81-e705-4a74-8d57-4779db4002f9"]}],"mendeley":{"formattedCitation":"(Boyd &amp; Wilson, 2020)","plainTextFormattedCitation":"(Boyd &amp; Wilson, 2020)","previouslyFormattedCitation":"(Boyd &amp; Wilson, 2020)"},"properties":{"noteIndex":0},"schema":"https://github.com/citation-style-language/schema/raw/master/csl-citation.json"}</w:instrText>
      </w:r>
      <w:r w:rsidR="00D32737">
        <w:rPr>
          <w:rFonts w:ascii="Times New Roman" w:eastAsia="Times New Roman" w:hAnsi="Times New Roman"/>
          <w:color w:val="000000" w:themeColor="text1"/>
        </w:rPr>
        <w:fldChar w:fldCharType="separate"/>
      </w:r>
      <w:r w:rsidR="00D32737" w:rsidRPr="00D32737">
        <w:rPr>
          <w:rFonts w:ascii="Times New Roman" w:eastAsia="Times New Roman" w:hAnsi="Times New Roman"/>
          <w:noProof/>
          <w:color w:val="000000" w:themeColor="text1"/>
        </w:rPr>
        <w:t>(Boyd &amp; Wilson, 2020)</w:t>
      </w:r>
      <w:r w:rsidR="00D32737">
        <w:rPr>
          <w:rFonts w:ascii="Times New Roman" w:eastAsia="Times New Roman" w:hAnsi="Times New Roman"/>
          <w:color w:val="000000" w:themeColor="text1"/>
        </w:rPr>
        <w:fldChar w:fldCharType="end"/>
      </w:r>
      <w:r w:rsidRPr="000325B2">
        <w:rPr>
          <w:rFonts w:cs="Calibri"/>
        </w:rPr>
        <w:t>.</w:t>
      </w:r>
    </w:p>
    <w:p w14:paraId="1829E636" w14:textId="77777777"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 xml:space="preserve">The ICJ left it to the States to determine the specific content of the impact assessment required. It specified the following details: </w:t>
      </w:r>
    </w:p>
    <w:p w14:paraId="1A716E13" w14:textId="77777777" w:rsidR="000325B2" w:rsidRPr="000325B2" w:rsidRDefault="000325B2" w:rsidP="000325B2">
      <w:pPr>
        <w:numPr>
          <w:ilvl w:val="0"/>
          <w:numId w:val="46"/>
        </w:numPr>
        <w:suppressAutoHyphens/>
        <w:spacing w:after="60" w:line="240" w:lineRule="auto"/>
        <w:ind w:left="284" w:hanging="283"/>
        <w:jc w:val="both"/>
        <w:rPr>
          <w:rFonts w:ascii="Times New Roman" w:eastAsia="SimSun" w:hAnsi="Times New Roman"/>
          <w:kern w:val="22"/>
        </w:rPr>
      </w:pPr>
      <w:r w:rsidRPr="000325B2">
        <w:rPr>
          <w:rFonts w:ascii="Times New Roman" w:eastAsia="SimSun" w:hAnsi="Times New Roman"/>
          <w:kern w:val="22"/>
        </w:rPr>
        <w:t xml:space="preserve">The duty to carry out an environmental impact assessment for industrial activities that may have a significant adverse impact in a transboundary context involves “having regard to the nature and magnitude of the proposed development and its likely adverse impact on the environment as well as to the need to exercise due diligence in conducting such an assessment.” </w:t>
      </w:r>
    </w:p>
    <w:p w14:paraId="0C989B2F" w14:textId="77777777" w:rsidR="000325B2" w:rsidRPr="000325B2" w:rsidRDefault="000325B2" w:rsidP="000325B2">
      <w:pPr>
        <w:numPr>
          <w:ilvl w:val="0"/>
          <w:numId w:val="46"/>
        </w:numPr>
        <w:suppressAutoHyphens/>
        <w:spacing w:after="60" w:line="240" w:lineRule="auto"/>
        <w:ind w:left="284" w:hanging="283"/>
        <w:jc w:val="both"/>
        <w:rPr>
          <w:rFonts w:ascii="Times New Roman" w:eastAsia="SimSun" w:hAnsi="Times New Roman"/>
          <w:kern w:val="22"/>
        </w:rPr>
      </w:pPr>
      <w:r w:rsidRPr="000325B2">
        <w:rPr>
          <w:rFonts w:ascii="Times New Roman" w:eastAsia="SimSun" w:hAnsi="Times New Roman"/>
          <w:kern w:val="22"/>
        </w:rPr>
        <w:t xml:space="preserve">The impact assessment has to be carried out prior to the implementation of the activity. </w:t>
      </w:r>
    </w:p>
    <w:p w14:paraId="55860A1A" w14:textId="77777777" w:rsidR="000325B2" w:rsidRPr="000325B2" w:rsidRDefault="000325B2" w:rsidP="000325B2">
      <w:pPr>
        <w:numPr>
          <w:ilvl w:val="0"/>
          <w:numId w:val="46"/>
        </w:numPr>
        <w:suppressAutoHyphens/>
        <w:spacing w:after="60" w:line="240" w:lineRule="auto"/>
        <w:ind w:left="284" w:hanging="283"/>
        <w:jc w:val="both"/>
        <w:rPr>
          <w:rFonts w:ascii="Times New Roman" w:eastAsia="SimSun" w:hAnsi="Times New Roman"/>
          <w:kern w:val="22"/>
        </w:rPr>
      </w:pPr>
      <w:r w:rsidRPr="000325B2">
        <w:rPr>
          <w:rFonts w:ascii="Times New Roman" w:eastAsia="SimSun" w:hAnsi="Times New Roman"/>
          <w:kern w:val="22"/>
        </w:rPr>
        <w:t xml:space="preserve">Continuous monitoring of the activity’s effect on the environment is required. </w:t>
      </w:r>
    </w:p>
    <w:p w14:paraId="123E71D9" w14:textId="77777777" w:rsidR="000325B2" w:rsidRPr="000325B2" w:rsidRDefault="000325B2" w:rsidP="000325B2">
      <w:pPr>
        <w:suppressAutoHyphens/>
        <w:spacing w:after="120" w:line="240" w:lineRule="auto"/>
        <w:jc w:val="both"/>
        <w:rPr>
          <w:rFonts w:ascii="Times New Roman" w:hAnsi="Times New Roman"/>
          <w:kern w:val="22"/>
          <w:shd w:val="clear" w:color="auto" w:fill="FFFFFF"/>
        </w:rPr>
      </w:pPr>
      <w:r w:rsidRPr="000325B2">
        <w:rPr>
          <w:rFonts w:ascii="Times New Roman" w:hAnsi="Times New Roman"/>
          <w:kern w:val="22"/>
          <w:shd w:val="clear" w:color="auto" w:fill="FFFFFF"/>
        </w:rPr>
        <w:t xml:space="preserve">As a legal rule in customary international law, the duty to carry out an environmental impact assessment for industrial activities that may have a significant adverse impact in a transboundary context is an important development that might require clarification as to its precise implications. </w:t>
      </w:r>
    </w:p>
    <w:p w14:paraId="00A2429D" w14:textId="29D0833B" w:rsidR="000325B2" w:rsidRPr="000325B2" w:rsidRDefault="000325B2" w:rsidP="005226F1">
      <w:pPr>
        <w:pStyle w:val="Heading6"/>
        <w:numPr>
          <w:ilvl w:val="0"/>
          <w:numId w:val="158"/>
        </w:numPr>
        <w:spacing w:after="120" w:line="240" w:lineRule="auto"/>
        <w:ind w:left="284" w:hanging="284"/>
      </w:pPr>
      <w:bookmarkStart w:id="160" w:name="_Toc399752933"/>
      <w:r w:rsidRPr="000325B2">
        <w:t>Precautionary approach</w:t>
      </w:r>
      <w:bookmarkEnd w:id="160"/>
      <w:r w:rsidR="00DB0691">
        <w:rPr>
          <w:lang w:val="en-US"/>
        </w:rPr>
        <w:t>.</w:t>
      </w:r>
    </w:p>
    <w:p w14:paraId="5CD4AABF" w14:textId="1B08B5EA" w:rsidR="00A923F3" w:rsidRDefault="000325B2" w:rsidP="06768EE1">
      <w:pPr>
        <w:suppressAutoHyphens/>
        <w:spacing w:after="120" w:line="240" w:lineRule="auto"/>
        <w:jc w:val="both"/>
        <w:rPr>
          <w:rFonts w:ascii="Times New Roman" w:hAnsi="Times New Roman"/>
        </w:rPr>
      </w:pPr>
      <w:r w:rsidRPr="000325B2">
        <w:rPr>
          <w:rFonts w:ascii="Times New Roman" w:hAnsi="Times New Roman"/>
          <w:kern w:val="22"/>
        </w:rPr>
        <w:t xml:space="preserve">Several multilateral environmental treaties and other instruments include precaution under various labels, such as “precautionary principle”, “a precautionary approach”, “the precautionary approach” or “precautionary measures”. Some States refer to a “precautionary principle”, while others consider that formulations of precaution are too varied to be referred to as a “principle”. </w:t>
      </w:r>
      <w:r w:rsidR="49BE9DBF" w:rsidRPr="06768EE1">
        <w:rPr>
          <w:rFonts w:ascii="Times New Roman" w:hAnsi="Times New Roman"/>
        </w:rPr>
        <w:t xml:space="preserve">There is no uniform formulation or usage for the precautionary approach and its legal status in customary international law has not been clearly established, although it has been invoked several times </w:t>
      </w:r>
      <w:r w:rsidR="00D32737">
        <w:rPr>
          <w:rFonts w:ascii="Times New Roman" w:hAnsi="Times New Roman"/>
        </w:rPr>
        <w:fldChar w:fldCharType="begin" w:fldLock="1"/>
      </w:r>
      <w:r w:rsidR="001D0127">
        <w:rPr>
          <w:rFonts w:ascii="Times New Roman" w:hAnsi="Times New Roman"/>
        </w:rPr>
        <w:instrText>ADDIN CSL_CITATION {"citationItems":[{"id":"ITEM-1","itemData":{"author":[{"dropping-particle":"","family":"Beyerlin","given":"Ulrich","non-dropping-particle":"","parse-names":false,"suffix":""},{"dropping-particle":"","family":"Marauhn","given":"Thilo","non-dropping-particle":"","parse-names":false,"suffix":""}],"id":"ITEM-1","issued":{"date-parts":[["2011"]]},"publisher":"Hart Publishing","publisher-place":"Oxford, UK","title":"International Environmental Law","type":"book"},"uris":["http://www.mendeley.com/documents/?uuid=99a71637-b48b-4147-81cd-5439256683fb"]}],"mendeley":{"formattedCitation":"(Beyerlin &amp; Marauhn, 2011)","plainTextFormattedCitation":"(Beyerlin &amp; Marauhn, 2011)","previouslyFormattedCitation":"(Beyerlin &amp; Marauhn, 2011)"},"properties":{"noteIndex":0},"schema":"https://github.com/citation-style-language/schema/raw/master/csl-citation.json"}</w:instrText>
      </w:r>
      <w:r w:rsidR="00D32737">
        <w:rPr>
          <w:rFonts w:ascii="Times New Roman" w:hAnsi="Times New Roman"/>
        </w:rPr>
        <w:fldChar w:fldCharType="separate"/>
      </w:r>
      <w:r w:rsidR="00D32737" w:rsidRPr="00D32737">
        <w:rPr>
          <w:rFonts w:ascii="Times New Roman" w:hAnsi="Times New Roman"/>
          <w:noProof/>
        </w:rPr>
        <w:t>(Beyerlin &amp; Marauhn, 2011)</w:t>
      </w:r>
      <w:r w:rsidR="00D32737">
        <w:rPr>
          <w:rFonts w:ascii="Times New Roman" w:hAnsi="Times New Roman"/>
        </w:rPr>
        <w:fldChar w:fldCharType="end"/>
      </w:r>
      <w:r w:rsidR="00D32737">
        <w:rPr>
          <w:rFonts w:ascii="Times New Roman" w:hAnsi="Times New Roman"/>
        </w:rPr>
        <w:t>.</w:t>
      </w:r>
    </w:p>
    <w:p w14:paraId="0A2B230F" w14:textId="479B1311" w:rsidR="00A923F3" w:rsidRDefault="000325B2" w:rsidP="000325B2">
      <w:pPr>
        <w:suppressAutoHyphens/>
        <w:spacing w:after="120" w:line="240" w:lineRule="auto"/>
        <w:jc w:val="both"/>
        <w:rPr>
          <w:rFonts w:ascii="Times New Roman" w:hAnsi="Times New Roman"/>
          <w:kern w:val="22"/>
        </w:rPr>
      </w:pPr>
      <w:r w:rsidRPr="000325B2">
        <w:rPr>
          <w:rFonts w:ascii="Times New Roman" w:hAnsi="Times New Roman"/>
          <w:kern w:val="22"/>
        </w:rPr>
        <w:t>Under the Convention, a precautionary approach has been introduced in the preamble recogni</w:t>
      </w:r>
      <w:r w:rsidR="00C71FD7">
        <w:rPr>
          <w:rFonts w:ascii="Times New Roman" w:hAnsi="Times New Roman"/>
          <w:kern w:val="22"/>
        </w:rPr>
        <w:t>s</w:t>
      </w:r>
      <w:r w:rsidRPr="000325B2">
        <w:rPr>
          <w:rFonts w:ascii="Times New Roman" w:hAnsi="Times New Roman"/>
          <w:kern w:val="22"/>
        </w:rPr>
        <w:t>ing that “where there is a threat of significant reduction or loss of biological diversity, lack of full scientific certainty should not be used as a reason for postponing measures to avoid or minimi</w:t>
      </w:r>
      <w:r w:rsidR="00A923F3">
        <w:rPr>
          <w:rFonts w:ascii="Times New Roman" w:hAnsi="Times New Roman"/>
          <w:kern w:val="22"/>
        </w:rPr>
        <w:t>s</w:t>
      </w:r>
      <w:r w:rsidRPr="000325B2">
        <w:rPr>
          <w:rFonts w:ascii="Times New Roman" w:hAnsi="Times New Roman"/>
          <w:kern w:val="22"/>
        </w:rPr>
        <w:t>e such a threat”.</w:t>
      </w:r>
      <w:r w:rsidRPr="5CAA8748">
        <w:rPr>
          <w:rFonts w:ascii="Times New Roman" w:hAnsi="Times New Roman"/>
        </w:rPr>
        <w:t xml:space="preserve"> </w:t>
      </w:r>
      <w:r w:rsidR="1E89B7ED" w:rsidRPr="5CAA8748">
        <w:rPr>
          <w:rFonts w:ascii="Times New Roman" w:hAnsi="Times New Roman"/>
        </w:rPr>
        <w:t xml:space="preserve">Similarly, the objective of the Cartagena Protocol makes reference to </w:t>
      </w:r>
      <w:r w:rsidR="16755BA0" w:rsidRPr="5CAA8748">
        <w:rPr>
          <w:rFonts w:ascii="Times New Roman" w:hAnsi="Times New Roman"/>
        </w:rPr>
        <w:t>precautionary approach contained in Principle 15 of the Rio Declaration on Environment and Development and language enabling precautionary dec</w:t>
      </w:r>
      <w:r w:rsidR="2807D844" w:rsidRPr="5CAA8748">
        <w:rPr>
          <w:rFonts w:ascii="Times New Roman" w:hAnsi="Times New Roman"/>
        </w:rPr>
        <w:t>ision-making</w:t>
      </w:r>
      <w:r w:rsidR="76DA7599" w:rsidRPr="5CAA8748">
        <w:rPr>
          <w:rFonts w:ascii="Times New Roman" w:hAnsi="Times New Roman"/>
        </w:rPr>
        <w:t xml:space="preserve"> </w:t>
      </w:r>
      <w:r w:rsidR="2B150430" w:rsidRPr="5CAA8748">
        <w:rPr>
          <w:rFonts w:ascii="Times New Roman" w:hAnsi="Times New Roman"/>
        </w:rPr>
        <w:t>is included in Articles 10 and 11 of the Protocol.</w:t>
      </w:r>
      <w:r w:rsidR="76DA7599" w:rsidRPr="5CAA8748">
        <w:rPr>
          <w:rFonts w:ascii="Times New Roman" w:hAnsi="Times New Roman"/>
        </w:rPr>
        <w:t xml:space="preserve"> </w:t>
      </w:r>
      <w:r w:rsidRPr="000325B2">
        <w:rPr>
          <w:rFonts w:ascii="Times New Roman" w:hAnsi="Times New Roman"/>
          <w:kern w:val="22"/>
        </w:rPr>
        <w:t>The decisions of the Conference of the Parties have frequently been based on and stressed the importance of the precautionary approach (see for example decisions II/10, V/8 and IX/20).</w:t>
      </w:r>
      <w:r w:rsidR="648C3BD5" w:rsidRPr="273CA9C3">
        <w:rPr>
          <w:rFonts w:ascii="Times New Roman" w:hAnsi="Times New Roman"/>
        </w:rPr>
        <w:t xml:space="preserve"> Multiple COP decisions on synthetic biology have called for a precautionary approach (see decisions XI/11, XII/24</w:t>
      </w:r>
      <w:r w:rsidR="42D19BE5" w:rsidRPr="273CA9C3">
        <w:rPr>
          <w:rFonts w:ascii="Times New Roman" w:hAnsi="Times New Roman"/>
        </w:rPr>
        <w:t>, XIII/17 and 14/19</w:t>
      </w:r>
      <w:r w:rsidR="42BD1203" w:rsidRPr="6205FC26">
        <w:rPr>
          <w:rFonts w:ascii="Times New Roman" w:hAnsi="Times New Roman"/>
        </w:rPr>
        <w:t xml:space="preserve"> and summary in </w:t>
      </w:r>
      <w:r w:rsidR="000D6DA1">
        <w:rPr>
          <w:rFonts w:ascii="Times New Roman" w:hAnsi="Times New Roman"/>
        </w:rPr>
        <w:t>T</w:t>
      </w:r>
      <w:r w:rsidR="42BD1203" w:rsidRPr="6205FC26">
        <w:rPr>
          <w:rFonts w:ascii="Times New Roman" w:hAnsi="Times New Roman"/>
        </w:rPr>
        <w:t xml:space="preserve">able </w:t>
      </w:r>
      <w:r w:rsidR="00013207">
        <w:rPr>
          <w:rFonts w:ascii="Times New Roman" w:hAnsi="Times New Roman"/>
        </w:rPr>
        <w:t>1</w:t>
      </w:r>
      <w:r w:rsidR="42BD1203" w:rsidRPr="6205FC26">
        <w:rPr>
          <w:rFonts w:ascii="Times New Roman" w:hAnsi="Times New Roman"/>
        </w:rPr>
        <w:t xml:space="preserve"> above</w:t>
      </w:r>
      <w:r w:rsidR="42D19BE5" w:rsidRPr="6205FC26">
        <w:rPr>
          <w:rFonts w:ascii="Times New Roman" w:hAnsi="Times New Roman"/>
        </w:rPr>
        <w:t>).</w:t>
      </w:r>
    </w:p>
    <w:p w14:paraId="7CE01274" w14:textId="5AA1BE89" w:rsidR="000325B2" w:rsidRPr="000325B2" w:rsidRDefault="0005674C" w:rsidP="0005674C">
      <w:pPr>
        <w:pStyle w:val="Heading5"/>
        <w:tabs>
          <w:tab w:val="clear" w:pos="1800"/>
        </w:tabs>
        <w:ind w:left="0" w:firstLine="0"/>
        <w:rPr>
          <w:shd w:val="clear" w:color="auto" w:fill="FFFFFF"/>
        </w:rPr>
      </w:pPr>
      <w:r w:rsidRPr="0005674C">
        <w:rPr>
          <w:i w:val="0"/>
          <w:iCs/>
          <w:shd w:val="clear" w:color="auto" w:fill="FFFFFF"/>
        </w:rPr>
        <w:t>(b)</w:t>
      </w:r>
      <w:r>
        <w:rPr>
          <w:shd w:val="clear" w:color="auto" w:fill="FFFFFF"/>
        </w:rPr>
        <w:t xml:space="preserve"> </w:t>
      </w:r>
      <w:r w:rsidR="000325B2" w:rsidRPr="000325B2">
        <w:rPr>
          <w:shd w:val="clear" w:color="auto" w:fill="FFFFFF"/>
        </w:rPr>
        <w:t>Convention on the Prohibition of the Development, Production and Stockpiling of Bacteriological (Biological) and Toxin Weapons and on their Destruction</w:t>
      </w:r>
      <w:r w:rsidR="00DB0691">
        <w:rPr>
          <w:shd w:val="clear" w:color="auto" w:fill="FFFFFF"/>
        </w:rPr>
        <w:t>.</w:t>
      </w:r>
    </w:p>
    <w:p w14:paraId="3B30EFDD" w14:textId="56917853" w:rsidR="000325B2" w:rsidRPr="000325B2" w:rsidRDefault="000325B2" w:rsidP="000325B2">
      <w:pPr>
        <w:suppressAutoHyphens/>
        <w:spacing w:after="120" w:line="240" w:lineRule="auto"/>
        <w:jc w:val="both"/>
        <w:rPr>
          <w:rFonts w:ascii="Times New Roman" w:hAnsi="Times New Roman"/>
          <w:i/>
          <w:iCs/>
          <w:kern w:val="22"/>
        </w:rPr>
      </w:pPr>
      <w:r w:rsidRPr="000325B2">
        <w:rPr>
          <w:rFonts w:ascii="Times New Roman" w:hAnsi="Times New Roman"/>
          <w:kern w:val="22"/>
        </w:rPr>
        <w:t>The Convention on the Prohibition of the Development, Production and Stockpiling of Bacteriological (Biological) and Toxin Weapons and on their Destruction (Biological Weapons Convention – BWC) entered into force in 1975 and currently has 168 Parties. This agreement may apply to the use of components, organisms and products resulting from synthetic biology techniques for hostile purposes or in armed conflict</w:t>
      </w:r>
      <w:r w:rsidRPr="000325B2">
        <w:rPr>
          <w:rFonts w:ascii="Times New Roman" w:hAnsi="Times New Roman"/>
          <w:kern w:val="22"/>
          <w:vertAlign w:val="superscript"/>
        </w:rPr>
        <w:footnoteReference w:id="84"/>
      </w:r>
      <w:r w:rsidR="00823F97">
        <w:rPr>
          <w:rFonts w:ascii="Times New Roman" w:hAnsi="Times New Roman"/>
          <w:kern w:val="22"/>
        </w:rPr>
        <w:t>.</w:t>
      </w:r>
    </w:p>
    <w:p w14:paraId="5F6ED7B6" w14:textId="6D63D5F2" w:rsidR="000325B2" w:rsidRPr="000325B2" w:rsidRDefault="000325B2" w:rsidP="005226F1">
      <w:pPr>
        <w:pStyle w:val="Heading6"/>
        <w:numPr>
          <w:ilvl w:val="0"/>
          <w:numId w:val="158"/>
        </w:numPr>
        <w:spacing w:after="120" w:line="240" w:lineRule="auto"/>
        <w:ind w:left="284" w:hanging="284"/>
        <w:rPr>
          <w:rFonts w:eastAsia="Arial Unicode MS"/>
        </w:rPr>
      </w:pPr>
      <w:bookmarkStart w:id="161" w:name="_Toc399752944"/>
      <w:r w:rsidRPr="000325B2">
        <w:rPr>
          <w:rFonts w:eastAsia="Arial Unicode MS"/>
        </w:rPr>
        <w:t>Overview of main provisions</w:t>
      </w:r>
      <w:bookmarkEnd w:id="161"/>
      <w:r w:rsidR="00DB0691">
        <w:rPr>
          <w:rFonts w:eastAsia="Arial Unicode MS"/>
          <w:lang w:val="en-US"/>
        </w:rPr>
        <w:t>.</w:t>
      </w:r>
    </w:p>
    <w:p w14:paraId="3A564692" w14:textId="7FE1BC04" w:rsidR="000325B2" w:rsidRPr="000325B2" w:rsidRDefault="000325B2" w:rsidP="000325B2">
      <w:pPr>
        <w:suppressAutoHyphens/>
        <w:spacing w:after="120" w:line="240" w:lineRule="auto"/>
        <w:jc w:val="both"/>
        <w:rPr>
          <w:rFonts w:ascii="Times New Roman" w:hAnsi="Times New Roman"/>
          <w:kern w:val="22"/>
        </w:rPr>
      </w:pPr>
      <w:r w:rsidRPr="000325B2">
        <w:rPr>
          <w:rFonts w:ascii="Times New Roman" w:hAnsi="Times New Roman"/>
          <w:kern w:val="22"/>
        </w:rPr>
        <w:t xml:space="preserve">The core provision of the Biological Weapons Convention is its Article </w:t>
      </w:r>
      <w:r w:rsidR="007B63E0">
        <w:rPr>
          <w:rFonts w:ascii="Times New Roman" w:hAnsi="Times New Roman"/>
          <w:kern w:val="22"/>
        </w:rPr>
        <w:t>I</w:t>
      </w:r>
      <w:r w:rsidRPr="000325B2">
        <w:rPr>
          <w:rFonts w:ascii="Times New Roman" w:hAnsi="Times New Roman"/>
          <w:kern w:val="22"/>
        </w:rPr>
        <w:t xml:space="preserve"> in which each Party to this Convention undertakes never in any circumstance to develop, produce, stockpile or otherwise acquire or retain: (i) microbial or other biological agents, or toxins whatever their origin or method of production, of types and in quantities that have no justification for prophylactic, protective or other peaceful purposes; or (ii) weapons, equipment or means of delivery designed to use such agents or toxins for hostile purposes or in armed conflict.</w:t>
      </w:r>
      <w:r w:rsidR="00C113C3">
        <w:rPr>
          <w:rFonts w:ascii="Times New Roman" w:hAnsi="Times New Roman"/>
          <w:kern w:val="22"/>
        </w:rPr>
        <w:t xml:space="preserve"> </w:t>
      </w:r>
    </w:p>
    <w:p w14:paraId="1ADE26A2" w14:textId="77777777" w:rsidR="000325B2" w:rsidRPr="000325B2" w:rsidRDefault="000325B2" w:rsidP="000325B2">
      <w:pPr>
        <w:suppressAutoHyphens/>
        <w:spacing w:after="120" w:line="240" w:lineRule="auto"/>
        <w:jc w:val="both"/>
        <w:rPr>
          <w:rFonts w:ascii="Times New Roman" w:hAnsi="Times New Roman"/>
          <w:kern w:val="22"/>
        </w:rPr>
      </w:pPr>
      <w:r w:rsidRPr="000325B2">
        <w:rPr>
          <w:rFonts w:ascii="Times New Roman" w:hAnsi="Times New Roman"/>
          <w:kern w:val="22"/>
        </w:rPr>
        <w:t xml:space="preserve">Further, where such agents, toxins, weapons, equipment and means of delivery are in the possession or under the jurisdiction and control of a Party, the Party is obliged to destroy or divert them to peaceful purposes not later than nine months after the entry into force of the Convention (Article II BWC). Article III prohibits the transfer of agents, toxins, weapons, equipment and means of delivery to any recipient, and Article IV requires each Party to take any necessary measures at the national level to prohibit and prevent the development, production, stockpiling, acquisition or retention of the agents, toxins, weapons, equipment and means of delivery. Other provisions address consultation among Parties (Article V BWC), establish a complaint system (Article VI BWC) and assistance in the case of a violation of obligations under the Convention (Article VII BWC). </w:t>
      </w:r>
    </w:p>
    <w:p w14:paraId="577CD54A" w14:textId="77777777" w:rsidR="000325B2" w:rsidRPr="000325B2" w:rsidRDefault="000325B2" w:rsidP="000325B2">
      <w:pPr>
        <w:suppressAutoHyphens/>
        <w:spacing w:after="120" w:line="240" w:lineRule="auto"/>
        <w:jc w:val="both"/>
        <w:rPr>
          <w:rFonts w:ascii="Times New Roman" w:hAnsi="Times New Roman"/>
          <w:kern w:val="22"/>
        </w:rPr>
      </w:pPr>
      <w:r w:rsidRPr="000325B2">
        <w:rPr>
          <w:rFonts w:ascii="Times New Roman" w:hAnsi="Times New Roman"/>
          <w:kern w:val="22"/>
        </w:rPr>
        <w:t xml:space="preserve">Article X of the Biological Weapons Convention requires its Parties to facilitate, and have the right to participate in, the fullest possible exchange of equipment, materials and scientific and technological information for the use of bacteriological (biological) agents and toxins for peaceful purposes. It also states that the Biological Weapons Convention has to be implemented in a manner designed to avoid hampering the economic or technological development of its Parties or international cooperation in the field of peaceful bacteriological (biological) activities, including the international exchange of bacteriological (biological) agents and toxins and equipment for the processing, use or production of bacteriological (biological) agents and toxins for peaceful purposes in accordance with the provisions of the Convention. </w:t>
      </w:r>
    </w:p>
    <w:p w14:paraId="6B0F59D0" w14:textId="2A13996E" w:rsidR="000325B2" w:rsidRPr="00305291" w:rsidRDefault="000325B2" w:rsidP="005226F1">
      <w:pPr>
        <w:pStyle w:val="Heading6"/>
        <w:numPr>
          <w:ilvl w:val="0"/>
          <w:numId w:val="158"/>
        </w:numPr>
        <w:spacing w:after="120" w:line="240" w:lineRule="auto"/>
        <w:ind w:left="284" w:hanging="284"/>
      </w:pPr>
      <w:bookmarkStart w:id="162" w:name="_Toc399752945"/>
      <w:r w:rsidRPr="00305291">
        <w:t>Microbial or other biological agents, or toxins</w:t>
      </w:r>
      <w:bookmarkEnd w:id="162"/>
      <w:r w:rsidR="00DB0691">
        <w:rPr>
          <w:lang w:val="en-US"/>
        </w:rPr>
        <w:t>.</w:t>
      </w:r>
    </w:p>
    <w:p w14:paraId="46F569E9" w14:textId="1F5D678B" w:rsidR="000325B2" w:rsidRPr="000325B2" w:rsidRDefault="000325B2" w:rsidP="000325B2">
      <w:pPr>
        <w:suppressAutoHyphens/>
        <w:spacing w:after="120" w:line="240" w:lineRule="auto"/>
        <w:jc w:val="both"/>
        <w:rPr>
          <w:rFonts w:ascii="Times New Roman" w:hAnsi="Times New Roman"/>
          <w:kern w:val="22"/>
        </w:rPr>
      </w:pPr>
      <w:r w:rsidRPr="000325B2">
        <w:rPr>
          <w:rFonts w:ascii="Times New Roman" w:hAnsi="Times New Roman"/>
          <w:kern w:val="22"/>
        </w:rPr>
        <w:t>The described obligations can apply to components, organisms and products resulting from synthetic biology techniques as far as they are microbial or other biological agents, or toxins. This matter has been addressed by a number of Review Conferences under the Biological Weapons Convention</w:t>
      </w:r>
      <w:r w:rsidRPr="000325B2">
        <w:rPr>
          <w:rFonts w:ascii="Times New Roman" w:hAnsi="Times New Roman"/>
          <w:kern w:val="22"/>
          <w:vertAlign w:val="superscript"/>
        </w:rPr>
        <w:footnoteReference w:id="85"/>
      </w:r>
      <w:r w:rsidR="00F841C7">
        <w:rPr>
          <w:rFonts w:ascii="Times New Roman" w:hAnsi="Times New Roman"/>
          <w:kern w:val="22"/>
        </w:rPr>
        <w:t>.</w:t>
      </w:r>
      <w:r w:rsidRPr="000325B2">
        <w:rPr>
          <w:rFonts w:ascii="Times New Roman" w:hAnsi="Times New Roman"/>
          <w:kern w:val="22"/>
        </w:rPr>
        <w:t xml:space="preserve"> </w:t>
      </w:r>
    </w:p>
    <w:p w14:paraId="4FECF878" w14:textId="77777777" w:rsidR="000325B2" w:rsidRPr="000325B2" w:rsidRDefault="000325B2" w:rsidP="000325B2">
      <w:pPr>
        <w:suppressAutoHyphens/>
        <w:spacing w:after="120" w:line="240" w:lineRule="auto"/>
        <w:jc w:val="both"/>
        <w:rPr>
          <w:rFonts w:ascii="Times New Roman" w:hAnsi="Times New Roman"/>
          <w:kern w:val="22"/>
        </w:rPr>
      </w:pPr>
      <w:r w:rsidRPr="000325B2">
        <w:rPr>
          <w:rFonts w:ascii="Times New Roman" w:hAnsi="Times New Roman"/>
          <w:kern w:val="22"/>
        </w:rPr>
        <w:t xml:space="preserve">The Second Review Conference reiterated that “the Convention unequivocally applies to all natural or artificially created microbial or other biological agents or toxins whatever their origin or method of production. Consequently, toxins (both proteinaceous and non-proteinaceous) of a microbial, animal or vegetable nature and their synthetically produced analogues are </w:t>
      </w:r>
      <w:r w:rsidRPr="006934A5">
        <w:rPr>
          <w:rFonts w:ascii="Times New Roman" w:hAnsi="Times New Roman"/>
          <w:kern w:val="22"/>
        </w:rPr>
        <w:t>covered” (BWC 1986).</w:t>
      </w:r>
    </w:p>
    <w:p w14:paraId="5104F1DA" w14:textId="47086CE2" w:rsidR="000325B2" w:rsidRPr="000325B2" w:rsidRDefault="000325B2" w:rsidP="000325B2">
      <w:pPr>
        <w:suppressAutoHyphens/>
        <w:spacing w:after="120" w:line="240" w:lineRule="auto"/>
        <w:jc w:val="both"/>
        <w:rPr>
          <w:rFonts w:ascii="Times New Roman" w:hAnsi="Times New Roman"/>
          <w:kern w:val="22"/>
        </w:rPr>
      </w:pPr>
      <w:r w:rsidRPr="273CA9C3">
        <w:rPr>
          <w:rFonts w:ascii="Times New Roman" w:eastAsia="SimSun" w:hAnsi="Times New Roman"/>
          <w:kern w:val="22"/>
          <w:lang w:eastAsia="hi-IN" w:bidi="hi-IN"/>
        </w:rPr>
        <w:t>In 2016,</w:t>
      </w:r>
      <w:r w:rsidRPr="000325B2">
        <w:rPr>
          <w:rFonts w:ascii="Times New Roman" w:hAnsi="Times New Roman"/>
          <w:kern w:val="22"/>
        </w:rPr>
        <w:t xml:space="preserve"> the Eighth Review Conference adopted a final declaration covering the full scope of the Convention which re-iterated “that the Convention is comprehensive in its scope and that all naturally or artificially created or altered microbial and other biological agents and toxins, as well as their components, regardless of their origin and method of production and whether they affect humans, animals or plants, of types and in quantities that have no justification for prophylactic, protective or other peaceful purposes, are unequivocally covered by Article I”; and further that “Article I applies to all scientific and technological developments in the life sciences and in other fields of science relevant to the Convention” </w:t>
      </w:r>
      <w:r w:rsidR="001D0127">
        <w:rPr>
          <w:rFonts w:ascii="Times New Roman" w:hAnsi="Times New Roman"/>
          <w:kern w:val="22"/>
        </w:rPr>
        <w:fldChar w:fldCharType="begin" w:fldLock="1"/>
      </w:r>
      <w:r w:rsidR="001D0127">
        <w:rPr>
          <w:rFonts w:ascii="Times New Roman" w:hAnsi="Times New Roman"/>
          <w:kern w:val="22"/>
        </w:rPr>
        <w:instrText>ADDIN CSL_CITATION {"citationItems":[{"id":"ITEM-1","itemData":{"author":[{"dropping-particle":"","family":"BWC","given":"","non-dropping-particle":"","parse-names":false,"suffix":""}],"id":"ITEM-1","issued":{"date-parts":[["2017"]]},"page":"19","publisher-place":"Geneva, Switzerland","title":"Meeting of the States Parties to the Convention on the Prohibition of the Development, Production and Stockpiling of Bacteriological (Biological) and Toxin Weapons and on Their Destruction","type":"article"},"uris":["http://www.mendeley.com/documents/?uuid=19646dc5-67d0-4f81-b05c-ba5753d46c71"]}],"mendeley":{"formattedCitation":"(BWC, 2017)","plainTextFormattedCitation":"(BWC, 2017)","previouslyFormattedCitation":"(BWC, 2017)"},"properties":{"noteIndex":0},"schema":"https://github.com/citation-style-language/schema/raw/master/csl-citation.json"}</w:instrText>
      </w:r>
      <w:r w:rsidR="001D0127">
        <w:rPr>
          <w:rFonts w:ascii="Times New Roman" w:hAnsi="Times New Roman"/>
          <w:kern w:val="22"/>
        </w:rPr>
        <w:fldChar w:fldCharType="separate"/>
      </w:r>
      <w:r w:rsidR="001D0127" w:rsidRPr="001D0127">
        <w:rPr>
          <w:rFonts w:ascii="Times New Roman" w:hAnsi="Times New Roman"/>
          <w:noProof/>
          <w:kern w:val="22"/>
        </w:rPr>
        <w:t>(BWC, 2017)</w:t>
      </w:r>
      <w:r w:rsidR="001D0127">
        <w:rPr>
          <w:rFonts w:ascii="Times New Roman" w:hAnsi="Times New Roman"/>
          <w:kern w:val="22"/>
        </w:rPr>
        <w:fldChar w:fldCharType="end"/>
      </w:r>
      <w:r w:rsidRPr="000325B2">
        <w:rPr>
          <w:rFonts w:ascii="Times New Roman" w:hAnsi="Times New Roman"/>
          <w:kern w:val="22"/>
        </w:rPr>
        <w:t xml:space="preserve">. Thus, any of the areas of synthetic biology research and techniques of synthetic biology would be covered if used to produce such agents or toxins. </w:t>
      </w:r>
    </w:p>
    <w:p w14:paraId="45BF255E" w14:textId="4CF1D5D2" w:rsidR="000325B2" w:rsidRPr="005963B2" w:rsidRDefault="000325B2" w:rsidP="005226F1">
      <w:pPr>
        <w:pStyle w:val="Heading6"/>
        <w:numPr>
          <w:ilvl w:val="0"/>
          <w:numId w:val="158"/>
        </w:numPr>
        <w:spacing w:after="120" w:line="240" w:lineRule="auto"/>
        <w:ind w:left="284" w:hanging="284"/>
      </w:pPr>
      <w:bookmarkStart w:id="163" w:name="_Toc399752946"/>
      <w:r w:rsidRPr="005963B2">
        <w:t>Prophylactic, protective or other peaceful purposes</w:t>
      </w:r>
      <w:bookmarkEnd w:id="163"/>
      <w:r w:rsidR="00DB0691">
        <w:rPr>
          <w:lang w:val="en-US"/>
        </w:rPr>
        <w:t>.</w:t>
      </w:r>
    </w:p>
    <w:p w14:paraId="51095393" w14:textId="345A4FAF" w:rsidR="000325B2" w:rsidRPr="000325B2" w:rsidRDefault="000325B2" w:rsidP="000325B2">
      <w:pPr>
        <w:suppressAutoHyphens/>
        <w:spacing w:after="120" w:line="240" w:lineRule="auto"/>
        <w:jc w:val="both"/>
        <w:rPr>
          <w:rFonts w:ascii="Times New Roman" w:hAnsi="Times New Roman"/>
          <w:kern w:val="22"/>
        </w:rPr>
      </w:pPr>
      <w:r w:rsidRPr="000325B2">
        <w:rPr>
          <w:rFonts w:ascii="Times New Roman" w:hAnsi="Times New Roman"/>
          <w:kern w:val="22"/>
        </w:rPr>
        <w:t>The prohibition in Article I of the Biological Weapons Convention to develop, produce, stockpile or otherwise acquire or retain biological agents and toxins is not absolute. It applies only to types and to quantities that have no justification for prophylactic, protective or other peaceful purposes. During the negotiations of the Convention, it was clarified that the term “prophylactic” encompasses medical activities, such as diagnosis, therapy</w:t>
      </w:r>
      <w:r w:rsidR="00EB1912">
        <w:rPr>
          <w:rFonts w:ascii="Times New Roman" w:hAnsi="Times New Roman"/>
          <w:kern w:val="22"/>
        </w:rPr>
        <w:t>,</w:t>
      </w:r>
      <w:r w:rsidRPr="000325B2">
        <w:rPr>
          <w:rFonts w:ascii="Times New Roman" w:hAnsi="Times New Roman"/>
          <w:kern w:val="22"/>
        </w:rPr>
        <w:t xml:space="preserve"> and immuni</w:t>
      </w:r>
      <w:r w:rsidR="003A5F70">
        <w:rPr>
          <w:rFonts w:ascii="Times New Roman" w:hAnsi="Times New Roman"/>
          <w:kern w:val="22"/>
        </w:rPr>
        <w:t>s</w:t>
      </w:r>
      <w:r w:rsidRPr="000325B2">
        <w:rPr>
          <w:rFonts w:ascii="Times New Roman" w:hAnsi="Times New Roman"/>
          <w:kern w:val="22"/>
        </w:rPr>
        <w:t xml:space="preserve">ation, whereas the term “protective” covers the development of protective masks and clothing, air and water filtration systems, detection and warning devices, and decontamination equipment, and must not be interpreted as permitting possession of biological agents and toxins for defence, retaliation or deterrence. The term “other peaceful purposes” was not defined during the negotiations but may be understood to include scientific experimentation </w:t>
      </w:r>
      <w:r w:rsidR="001D0127">
        <w:rPr>
          <w:rFonts w:ascii="Times New Roman" w:hAnsi="Times New Roman"/>
          <w:kern w:val="22"/>
        </w:rPr>
        <w:fldChar w:fldCharType="begin" w:fldLock="1"/>
      </w:r>
      <w:r w:rsidR="00E920A9">
        <w:rPr>
          <w:rFonts w:ascii="Times New Roman" w:hAnsi="Times New Roman"/>
          <w:kern w:val="22"/>
        </w:rPr>
        <w:instrText>ADDIN CSL_CITATION {"citationItems":[{"id":"ITEM-1","itemData":{"author":[{"dropping-particle":"","family":"Goldblast","given":"Jozef","non-dropping-particle":"","parse-names":false,"suffix":""}],"container-title":"International Review of the Red Cross","id":"ITEM-1","issued":{"date-parts":[["1997"]]},"title":"The Biological Weapons Convention - An overview","type":"article-journal","volume":"318"},"uris":["http://www.mendeley.com/documents/?uuid=0d131fe1-73cb-4b37-9325-9163df1aefef"]}],"mendeley":{"formattedCitation":"(Goldblast, 1997)","plainTextFormattedCitation":"(Goldblast, 1997)","previouslyFormattedCitation":"(Goldblast, 1997)"},"properties":{"noteIndex":0},"schema":"https://github.com/citation-style-language/schema/raw/master/csl-citation.json"}</w:instrText>
      </w:r>
      <w:r w:rsidR="001D0127">
        <w:rPr>
          <w:rFonts w:ascii="Times New Roman" w:hAnsi="Times New Roman"/>
          <w:kern w:val="22"/>
        </w:rPr>
        <w:fldChar w:fldCharType="separate"/>
      </w:r>
      <w:r w:rsidR="001D0127" w:rsidRPr="001D0127">
        <w:rPr>
          <w:rFonts w:ascii="Times New Roman" w:hAnsi="Times New Roman"/>
          <w:noProof/>
          <w:kern w:val="22"/>
        </w:rPr>
        <w:t>(Goldblast, 1997)</w:t>
      </w:r>
      <w:r w:rsidR="001D0127">
        <w:rPr>
          <w:rFonts w:ascii="Times New Roman" w:hAnsi="Times New Roman"/>
          <w:kern w:val="22"/>
        </w:rPr>
        <w:fldChar w:fldCharType="end"/>
      </w:r>
      <w:r w:rsidRPr="000325B2">
        <w:rPr>
          <w:rFonts w:ascii="Times New Roman" w:hAnsi="Times New Roman"/>
          <w:kern w:val="22"/>
        </w:rPr>
        <w:t>. For the use of bacteriological (biological) agents and toxins for the described peaceful purposes, Article X of the Biological Weapons Convention applies – the obligation to facilitate, and the right to participate in, the fullest possible exchange of equipment, materials</w:t>
      </w:r>
      <w:r w:rsidR="00DB797B">
        <w:rPr>
          <w:rFonts w:ascii="Times New Roman" w:hAnsi="Times New Roman"/>
          <w:kern w:val="22"/>
        </w:rPr>
        <w:t>,</w:t>
      </w:r>
      <w:r w:rsidRPr="000325B2">
        <w:rPr>
          <w:rFonts w:ascii="Times New Roman" w:hAnsi="Times New Roman"/>
          <w:kern w:val="22"/>
        </w:rPr>
        <w:t xml:space="preserve"> and scientific and technological information. </w:t>
      </w:r>
    </w:p>
    <w:p w14:paraId="6DD812BB" w14:textId="74A4B05A" w:rsidR="000325B2" w:rsidRPr="003D0823" w:rsidRDefault="000325B2" w:rsidP="005226F1">
      <w:pPr>
        <w:pStyle w:val="Heading6"/>
        <w:numPr>
          <w:ilvl w:val="0"/>
          <w:numId w:val="158"/>
        </w:numPr>
        <w:spacing w:after="120"/>
        <w:ind w:left="284" w:hanging="284"/>
      </w:pPr>
      <w:bookmarkStart w:id="164" w:name="_Toc399752947"/>
      <w:r w:rsidRPr="003D0823">
        <w:t>Inter</w:t>
      </w:r>
      <w:r w:rsidR="00132005" w:rsidRPr="003D0823">
        <w:t>-</w:t>
      </w:r>
      <w:r w:rsidRPr="003D0823">
        <w:t xml:space="preserve">sessional </w:t>
      </w:r>
      <w:bookmarkEnd w:id="164"/>
      <w:r w:rsidRPr="003D0823">
        <w:t>review of developments in the field of science and technology</w:t>
      </w:r>
      <w:r w:rsidR="00DB0691">
        <w:rPr>
          <w:lang w:val="en-US"/>
        </w:rPr>
        <w:t>.</w:t>
      </w:r>
    </w:p>
    <w:p w14:paraId="15537218" w14:textId="50074752" w:rsidR="000325B2" w:rsidRPr="000325B2" w:rsidRDefault="000325B2" w:rsidP="000325B2">
      <w:pPr>
        <w:suppressAutoHyphens/>
        <w:spacing w:after="0" w:line="240" w:lineRule="auto"/>
        <w:jc w:val="both"/>
        <w:rPr>
          <w:rFonts w:ascii="Times New Roman" w:hAnsi="Times New Roman"/>
          <w:kern w:val="22"/>
        </w:rPr>
      </w:pPr>
      <w:r w:rsidRPr="000325B2">
        <w:rPr>
          <w:rFonts w:ascii="Times New Roman" w:hAnsi="Times New Roman"/>
          <w:kern w:val="22"/>
        </w:rPr>
        <w:t>Implementation of the Convention is supported by an intersessional programme consisting of annual Meetings of States Parties preceded by annual Meetings of Experts. This includes a standing agenda item on review of developments in the field of science and technology related to the Convention.</w:t>
      </w:r>
      <w:r w:rsidRPr="000325B2">
        <w:rPr>
          <w:rFonts w:ascii="Times New Roman" w:hAnsi="Times New Roman"/>
          <w:kern w:val="22"/>
          <w:vertAlign w:val="superscript"/>
        </w:rPr>
        <w:footnoteReference w:id="86"/>
      </w:r>
      <w:r w:rsidRPr="000325B2">
        <w:rPr>
          <w:rFonts w:ascii="Times New Roman" w:hAnsi="Times New Roman"/>
          <w:kern w:val="22"/>
        </w:rPr>
        <w:t xml:space="preserve"> The 2017 Meeting of the State Parties approved the following developments in the field of science and technology for review at the annual Meetings of Experts in the period 2018-2020 (BWC, 2017)</w:t>
      </w:r>
      <w:r w:rsidRPr="000325B2">
        <w:rPr>
          <w:rFonts w:ascii="Times New Roman" w:hAnsi="Times New Roman"/>
          <w:kern w:val="22"/>
          <w:vertAlign w:val="superscript"/>
        </w:rPr>
        <w:footnoteReference w:id="87"/>
      </w:r>
      <w:r w:rsidR="00132005">
        <w:rPr>
          <w:rFonts w:ascii="Times New Roman" w:hAnsi="Times New Roman"/>
          <w:kern w:val="22"/>
        </w:rPr>
        <w:t>:</w:t>
      </w:r>
    </w:p>
    <w:p w14:paraId="3D4CB466" w14:textId="77777777" w:rsidR="000325B2" w:rsidRPr="000325B2" w:rsidRDefault="000325B2" w:rsidP="00317A87">
      <w:pPr>
        <w:numPr>
          <w:ilvl w:val="0"/>
          <w:numId w:val="132"/>
        </w:numPr>
        <w:shd w:val="clear" w:color="auto" w:fill="FFFFFF"/>
        <w:tabs>
          <w:tab w:val="clear" w:pos="720"/>
        </w:tabs>
        <w:spacing w:after="100" w:afterAutospacing="1" w:line="240" w:lineRule="auto"/>
        <w:ind w:left="284" w:hanging="284"/>
        <w:jc w:val="both"/>
        <w:rPr>
          <w:rFonts w:ascii="Times New Roman" w:hAnsi="Times New Roman"/>
          <w:kern w:val="22"/>
        </w:rPr>
      </w:pPr>
      <w:r w:rsidRPr="000325B2">
        <w:rPr>
          <w:rFonts w:ascii="Times New Roman" w:hAnsi="Times New Roman"/>
          <w:kern w:val="22"/>
        </w:rPr>
        <w:t>Review of science and technology developments relevant to the Convention, including for the enhanced implementation of all articles of the Convention as well as the identification of potential benefits and risks of new science and technology developments relevant to the Convention, with a particular attention to positive implications.</w:t>
      </w:r>
    </w:p>
    <w:p w14:paraId="42B170F1" w14:textId="77777777" w:rsidR="000325B2" w:rsidRPr="000325B2" w:rsidRDefault="000325B2" w:rsidP="00317A87">
      <w:pPr>
        <w:numPr>
          <w:ilvl w:val="0"/>
          <w:numId w:val="132"/>
        </w:numPr>
        <w:shd w:val="clear" w:color="auto" w:fill="FFFFFF"/>
        <w:tabs>
          <w:tab w:val="clear" w:pos="720"/>
        </w:tabs>
        <w:spacing w:before="100" w:beforeAutospacing="1" w:after="100" w:afterAutospacing="1" w:line="240" w:lineRule="auto"/>
        <w:ind w:left="284" w:hanging="284"/>
        <w:jc w:val="both"/>
        <w:rPr>
          <w:rFonts w:ascii="Times New Roman" w:hAnsi="Times New Roman"/>
          <w:kern w:val="22"/>
        </w:rPr>
      </w:pPr>
      <w:r w:rsidRPr="000325B2">
        <w:rPr>
          <w:rFonts w:ascii="Times New Roman" w:hAnsi="Times New Roman"/>
          <w:kern w:val="22"/>
        </w:rPr>
        <w:t>Biological risk assessment and management.</w:t>
      </w:r>
    </w:p>
    <w:p w14:paraId="2C4696C2" w14:textId="77777777" w:rsidR="000325B2" w:rsidRPr="000325B2" w:rsidRDefault="000325B2" w:rsidP="00317A87">
      <w:pPr>
        <w:numPr>
          <w:ilvl w:val="0"/>
          <w:numId w:val="132"/>
        </w:numPr>
        <w:shd w:val="clear" w:color="auto" w:fill="FFFFFF"/>
        <w:tabs>
          <w:tab w:val="clear" w:pos="720"/>
        </w:tabs>
        <w:spacing w:before="100" w:beforeAutospacing="1" w:after="100" w:afterAutospacing="1" w:line="240" w:lineRule="auto"/>
        <w:ind w:left="284" w:hanging="284"/>
        <w:jc w:val="both"/>
        <w:rPr>
          <w:rFonts w:ascii="Times New Roman" w:hAnsi="Times New Roman"/>
          <w:kern w:val="22"/>
        </w:rPr>
      </w:pPr>
      <w:r w:rsidRPr="000325B2">
        <w:rPr>
          <w:rFonts w:ascii="Times New Roman" w:hAnsi="Times New Roman"/>
          <w:kern w:val="22"/>
        </w:rPr>
        <w:t>Development of a voluntary model code of conduct for biological scientists and all relevant personnel, and biosecurity education, by drawing on the work already done on this issue in the context of the Convention, adaptable to national requirements.</w:t>
      </w:r>
    </w:p>
    <w:p w14:paraId="2B1255B6" w14:textId="77777777" w:rsidR="000325B2" w:rsidRPr="000325B2" w:rsidRDefault="000325B2" w:rsidP="00317A87">
      <w:pPr>
        <w:numPr>
          <w:ilvl w:val="0"/>
          <w:numId w:val="132"/>
        </w:numPr>
        <w:shd w:val="clear" w:color="auto" w:fill="FFFFFF"/>
        <w:tabs>
          <w:tab w:val="clear" w:pos="720"/>
        </w:tabs>
        <w:spacing w:before="100" w:beforeAutospacing="1" w:after="100" w:afterAutospacing="1" w:line="240" w:lineRule="auto"/>
        <w:ind w:left="284" w:hanging="284"/>
        <w:jc w:val="both"/>
        <w:rPr>
          <w:rFonts w:ascii="Times New Roman" w:hAnsi="Times New Roman"/>
          <w:kern w:val="22"/>
        </w:rPr>
      </w:pPr>
      <w:r w:rsidRPr="000325B2">
        <w:rPr>
          <w:rFonts w:ascii="Times New Roman" w:hAnsi="Times New Roman"/>
          <w:kern w:val="22"/>
        </w:rPr>
        <w:t>Genome editing, taking into consideration, as appropriate, the issues identified above (only considered in 2018).</w:t>
      </w:r>
    </w:p>
    <w:p w14:paraId="796EFAA9" w14:textId="638C2718" w:rsidR="000325B2" w:rsidRPr="000325B2" w:rsidRDefault="000325B2" w:rsidP="00317A87">
      <w:pPr>
        <w:numPr>
          <w:ilvl w:val="0"/>
          <w:numId w:val="132"/>
        </w:numPr>
        <w:shd w:val="clear" w:color="auto" w:fill="FFFFFF"/>
        <w:tabs>
          <w:tab w:val="clear" w:pos="720"/>
        </w:tabs>
        <w:spacing w:before="100" w:beforeAutospacing="1" w:after="0" w:line="240" w:lineRule="auto"/>
        <w:ind w:left="284" w:hanging="284"/>
        <w:jc w:val="both"/>
        <w:rPr>
          <w:rFonts w:ascii="Times New Roman" w:hAnsi="Times New Roman"/>
          <w:kern w:val="22"/>
        </w:rPr>
      </w:pPr>
      <w:r w:rsidRPr="000325B2">
        <w:rPr>
          <w:rFonts w:ascii="Times New Roman" w:hAnsi="Times New Roman"/>
          <w:kern w:val="22"/>
        </w:rPr>
        <w:t xml:space="preserve">Any other science and technology developments of relevance to the Convention and also to the activities of relevant multilateral organizations such as the WHO, </w:t>
      </w:r>
      <w:r w:rsidRPr="00C113C3">
        <w:rPr>
          <w:rFonts w:ascii="Times New Roman" w:hAnsi="Times New Roman"/>
          <w:kern w:val="22"/>
        </w:rPr>
        <w:t>OIE, FAO, IPPC and OPCW</w:t>
      </w:r>
      <w:r w:rsidRPr="000325B2">
        <w:rPr>
          <w:rFonts w:ascii="Times New Roman" w:hAnsi="Times New Roman"/>
          <w:kern w:val="22"/>
        </w:rPr>
        <w:t>.</w:t>
      </w:r>
    </w:p>
    <w:p w14:paraId="3193138A" w14:textId="644D685A" w:rsidR="000325B2" w:rsidRPr="000325B2" w:rsidRDefault="000325B2" w:rsidP="00111096">
      <w:pPr>
        <w:suppressAutoHyphens/>
        <w:spacing w:before="120" w:after="0" w:line="240" w:lineRule="auto"/>
        <w:jc w:val="both"/>
        <w:rPr>
          <w:lang w:val="en-CA" w:eastAsia="ar-SA"/>
        </w:rPr>
      </w:pPr>
      <w:r w:rsidRPr="000325B2">
        <w:rPr>
          <w:rFonts w:ascii="Times New Roman" w:hAnsi="Times New Roman"/>
          <w:kern w:val="22"/>
        </w:rPr>
        <w:t>The common understanding reached by States Parties on these topics will be reported at the 2020 meeting of States Parties under the Convention which has been postponed to 22 to 25 November 2021, at which time the intersessional program is also anticipated to be updated</w:t>
      </w:r>
      <w:r w:rsidRPr="000325B2">
        <w:rPr>
          <w:rFonts w:ascii="Times New Roman" w:hAnsi="Times New Roman"/>
          <w:kern w:val="22"/>
          <w:vertAlign w:val="superscript"/>
        </w:rPr>
        <w:footnoteReference w:id="88"/>
      </w:r>
      <w:r w:rsidR="005D4D74">
        <w:rPr>
          <w:rFonts w:ascii="Times New Roman" w:hAnsi="Times New Roman"/>
          <w:kern w:val="22"/>
        </w:rPr>
        <w:t>.</w:t>
      </w:r>
      <w:r w:rsidRPr="000325B2">
        <w:rPr>
          <w:rFonts w:ascii="Times New Roman" w:hAnsi="Times New Roman"/>
          <w:kern w:val="22"/>
        </w:rPr>
        <w:t xml:space="preserve"> The Ninth Review Conference is also anticipated to take place in 2021. To date, </w:t>
      </w:r>
      <w:r w:rsidRPr="000325B2">
        <w:rPr>
          <w:rFonts w:ascii="Times New Roman" w:hAnsi="Times New Roman"/>
          <w:kern w:val="22"/>
          <w:lang w:eastAsia="hi-IN" w:bidi="hi-IN"/>
        </w:rPr>
        <w:t xml:space="preserve">few discernible steps towards the development of an oversight framework, guiding principles, or models to inform risk are apparent, however, certain State Parties have </w:t>
      </w:r>
      <w:r w:rsidR="0028172B" w:rsidRPr="0028172B">
        <w:rPr>
          <w:rFonts w:ascii="Times New Roman" w:hAnsi="Times New Roman"/>
          <w:kern w:val="22"/>
          <w:lang w:eastAsia="hi-IN" w:bidi="hi-IN"/>
        </w:rPr>
        <w:t>urged taking a systematic approach</w:t>
      </w:r>
      <w:r w:rsidR="0028172B">
        <w:rPr>
          <w:rFonts w:ascii="Times New Roman" w:hAnsi="Times New Roman"/>
          <w:kern w:val="22"/>
          <w:lang w:eastAsia="hi-IN" w:bidi="hi-IN"/>
        </w:rPr>
        <w:t xml:space="preserve"> </w:t>
      </w:r>
      <w:r w:rsidR="0028172B" w:rsidRPr="0028172B">
        <w:rPr>
          <w:rFonts w:ascii="Times New Roman" w:hAnsi="Times New Roman"/>
          <w:kern w:val="22"/>
          <w:lang w:eastAsia="hi-IN" w:bidi="hi-IN"/>
        </w:rPr>
        <w:t>by successively examining relevant advances, possible methods for assessing risks and</w:t>
      </w:r>
      <w:r w:rsidR="0028172B">
        <w:rPr>
          <w:rFonts w:ascii="Times New Roman" w:hAnsi="Times New Roman"/>
          <w:kern w:val="22"/>
          <w:lang w:eastAsia="hi-IN" w:bidi="hi-IN"/>
        </w:rPr>
        <w:t xml:space="preserve"> </w:t>
      </w:r>
      <w:r w:rsidR="0028172B" w:rsidRPr="0028172B">
        <w:rPr>
          <w:rFonts w:ascii="Times New Roman" w:hAnsi="Times New Roman"/>
          <w:kern w:val="22"/>
          <w:lang w:eastAsia="hi-IN" w:bidi="hi-IN"/>
        </w:rPr>
        <w:t>benefits, and ways in which to manage risks and realize benefits</w:t>
      </w:r>
      <w:r w:rsidRPr="000325B2">
        <w:rPr>
          <w:rFonts w:ascii="Times New Roman" w:hAnsi="Times New Roman"/>
          <w:kern w:val="22"/>
          <w:vertAlign w:val="superscript"/>
          <w:lang w:eastAsia="hi-IN" w:bidi="hi-IN"/>
        </w:rPr>
        <w:footnoteReference w:id="89"/>
      </w:r>
      <w:r w:rsidR="00DB0691">
        <w:rPr>
          <w:rFonts w:ascii="Times New Roman" w:hAnsi="Times New Roman"/>
          <w:kern w:val="22"/>
          <w:lang w:eastAsia="hi-IN" w:bidi="hi-IN"/>
        </w:rPr>
        <w:t>.</w:t>
      </w:r>
    </w:p>
    <w:p w14:paraId="72616F92" w14:textId="5479452C" w:rsidR="000325B2" w:rsidRPr="000325B2" w:rsidRDefault="00331876" w:rsidP="00317A87">
      <w:pPr>
        <w:pStyle w:val="Heading5"/>
        <w:tabs>
          <w:tab w:val="clear" w:pos="1800"/>
        </w:tabs>
        <w:ind w:left="284" w:hanging="284"/>
        <w:rPr>
          <w:shd w:val="clear" w:color="auto" w:fill="FFFFFF"/>
        </w:rPr>
      </w:pPr>
      <w:r w:rsidRPr="005226F1">
        <w:rPr>
          <w:i w:val="0"/>
          <w:shd w:val="clear" w:color="auto" w:fill="FFFFFF"/>
        </w:rPr>
        <w:t>(c)</w:t>
      </w:r>
      <w:r w:rsidR="00F3552E">
        <w:rPr>
          <w:shd w:val="clear" w:color="auto" w:fill="FFFFFF"/>
        </w:rPr>
        <w:t xml:space="preserve"> </w:t>
      </w:r>
      <w:r w:rsidR="000325B2" w:rsidRPr="000325B2">
        <w:rPr>
          <w:shd w:val="clear" w:color="auto" w:fill="FFFFFF"/>
        </w:rPr>
        <w:t>Environmental Modification Convention</w:t>
      </w:r>
      <w:r w:rsidR="00DB0691">
        <w:rPr>
          <w:shd w:val="clear" w:color="auto" w:fill="FFFFFF"/>
        </w:rPr>
        <w:t>.</w:t>
      </w:r>
      <w:r w:rsidR="000325B2" w:rsidRPr="000325B2">
        <w:rPr>
          <w:shd w:val="clear" w:color="auto" w:fill="FFFFFF"/>
        </w:rPr>
        <w:t xml:space="preserve"> </w:t>
      </w:r>
    </w:p>
    <w:p w14:paraId="2D81711A" w14:textId="3304569D" w:rsidR="00F34398" w:rsidRPr="00C22793" w:rsidRDefault="00F34398" w:rsidP="0020304D">
      <w:pPr>
        <w:spacing w:line="240" w:lineRule="auto"/>
        <w:jc w:val="both"/>
        <w:rPr>
          <w:rFonts w:ascii="Times New Roman"/>
        </w:rPr>
      </w:pPr>
      <w:bookmarkStart w:id="165" w:name="_Hlk65845323"/>
      <w:r w:rsidRPr="00C22793">
        <w:rPr>
          <w:rFonts w:ascii="Times New Roman"/>
        </w:rPr>
        <w:t>The Environmental Modification Convention (ENMOD), formally the Convention on the Prohibition of Military or Any Other Hostile Use of Environmental Modification Techniques is an international treaty prohibiting the military or other hostile use of environmental modification techniques having widespread, long-lasting</w:t>
      </w:r>
      <w:r w:rsidR="00897C88">
        <w:rPr>
          <w:rFonts w:ascii="Times New Roman"/>
        </w:rPr>
        <w:t>,</w:t>
      </w:r>
      <w:r w:rsidRPr="00C22793">
        <w:rPr>
          <w:rFonts w:ascii="Times New Roman"/>
        </w:rPr>
        <w:t xml:space="preserve"> or severe effects. The Convention bans weather warfare, which is the use of weather modification techniques for the purposes of inducing damage or destruction. It has 78 State </w:t>
      </w:r>
      <w:r>
        <w:rPr>
          <w:rFonts w:ascii="Times New Roman"/>
        </w:rPr>
        <w:t>P</w:t>
      </w:r>
      <w:r w:rsidRPr="00C22793">
        <w:rPr>
          <w:rFonts w:ascii="Times New Roman"/>
        </w:rPr>
        <w:t>arties. ENMOD contains a mechanism for a conference of State Parties to be held every 5-10 years and if a lapse of more than 10 years occurs for steps to be taken to convene a conference provided a minimum threshold number of States respond affirmatively</w:t>
      </w:r>
      <w:r w:rsidRPr="00C22793">
        <w:rPr>
          <w:rStyle w:val="FootnoteReference"/>
        </w:rPr>
        <w:footnoteReference w:id="90"/>
      </w:r>
      <w:r>
        <w:rPr>
          <w:rFonts w:ascii="Times New Roman"/>
        </w:rPr>
        <w:t>.</w:t>
      </w:r>
      <w:r w:rsidRPr="00C22793">
        <w:rPr>
          <w:rFonts w:ascii="Times New Roman"/>
        </w:rPr>
        <w:t xml:space="preserve">  </w:t>
      </w:r>
    </w:p>
    <w:p w14:paraId="59DCC70A" w14:textId="27A8D4C6" w:rsidR="00F34398" w:rsidRPr="00C22793" w:rsidRDefault="00F34398" w:rsidP="0020304D">
      <w:pPr>
        <w:spacing w:line="240" w:lineRule="auto"/>
        <w:jc w:val="both"/>
        <w:rPr>
          <w:rFonts w:ascii="Times New Roman"/>
        </w:rPr>
      </w:pPr>
      <w:r w:rsidRPr="00C22793">
        <w:rPr>
          <w:rFonts w:ascii="Times New Roman"/>
        </w:rPr>
        <w:t>A First Review Conference was held in 1984 and a Second Review Conference was held in 1992. Given the lapse of more than 10 years in 2013 and again in 2014</w:t>
      </w:r>
      <w:r w:rsidRPr="00C22793">
        <w:rPr>
          <w:rStyle w:val="FootnoteReference"/>
        </w:rPr>
        <w:footnoteReference w:id="91"/>
      </w:r>
      <w:r w:rsidRPr="00C22793">
        <w:rPr>
          <w:rFonts w:ascii="Times New Roman"/>
        </w:rPr>
        <w:t xml:space="preserve"> the Secretary-General of the United Nations initiated a process of soliciting the views of the States parties to convene a Third Review however, the minimum threshold does not appear to have been reached. </w:t>
      </w:r>
    </w:p>
    <w:p w14:paraId="05CCA740" w14:textId="3A458631" w:rsidR="00F34398" w:rsidRPr="00DD14BE" w:rsidRDefault="00F34398" w:rsidP="0020304D">
      <w:pPr>
        <w:spacing w:line="240" w:lineRule="auto"/>
        <w:jc w:val="both"/>
        <w:rPr>
          <w:rFonts w:ascii="Times New Roman"/>
        </w:rPr>
      </w:pPr>
      <w:r w:rsidRPr="00C22793">
        <w:rPr>
          <w:rFonts w:ascii="Times New Roman"/>
        </w:rPr>
        <w:t>Despite the limited activity under the Convention</w:t>
      </w:r>
      <w:r w:rsidR="00EB1912">
        <w:rPr>
          <w:rFonts w:ascii="Times New Roman"/>
        </w:rPr>
        <w:t>,</w:t>
      </w:r>
      <w:r w:rsidRPr="00C22793">
        <w:rPr>
          <w:rFonts w:ascii="Times New Roman"/>
        </w:rPr>
        <w:t xml:space="preserve"> it is noteworthy given the overlap with the Convention on Biological Diversity which would also appear to regulate some forms of weather modification or geoengineering, which has clear implications for the use of synthetic biology in climate or weather modification.</w:t>
      </w:r>
      <w:r>
        <w:rPr>
          <w:rFonts w:ascii="Times New Roman"/>
        </w:rPr>
        <w:t xml:space="preserve"> </w:t>
      </w:r>
      <w:bookmarkEnd w:id="165"/>
    </w:p>
    <w:p w14:paraId="2E3CD2A8" w14:textId="4B6F08B5" w:rsidR="000325B2" w:rsidRPr="00697B03" w:rsidRDefault="000325B2" w:rsidP="00697B03">
      <w:pPr>
        <w:pStyle w:val="Heading4"/>
        <w:rPr>
          <w:rFonts w:asciiTheme="minorHAnsi" w:hAnsiTheme="minorHAnsi"/>
          <w:b w:val="0"/>
          <w:shd w:val="clear" w:color="auto" w:fill="FFFFFF"/>
          <w:lang w:val="en-US"/>
        </w:rPr>
      </w:pPr>
      <w:r w:rsidRPr="00697B03">
        <w:rPr>
          <w:i w:val="0"/>
          <w:iCs/>
          <w:shd w:val="clear" w:color="auto" w:fill="FFFFFF"/>
        </w:rPr>
        <w:t xml:space="preserve">9.3.2. </w:t>
      </w:r>
      <w:r w:rsidR="00347229">
        <w:rPr>
          <w:i w:val="0"/>
          <w:iCs/>
          <w:shd w:val="clear" w:color="auto" w:fill="FFFFFF"/>
          <w:lang w:val="en-GB"/>
        </w:rPr>
        <w:t xml:space="preserve">Free, </w:t>
      </w:r>
      <w:r w:rsidR="00D75EEC">
        <w:rPr>
          <w:i w:val="0"/>
          <w:iCs/>
          <w:shd w:val="clear" w:color="auto" w:fill="FFFFFF"/>
          <w:lang w:val="en-GB"/>
        </w:rPr>
        <w:t xml:space="preserve">Prior and Informed Consent </w:t>
      </w:r>
      <w:r w:rsidR="00347229">
        <w:rPr>
          <w:i w:val="0"/>
          <w:iCs/>
          <w:shd w:val="clear" w:color="auto" w:fill="FFFFFF"/>
          <w:lang w:val="en-GB"/>
        </w:rPr>
        <w:t xml:space="preserve">of </w:t>
      </w:r>
      <w:r w:rsidRPr="00697B03">
        <w:rPr>
          <w:i w:val="0"/>
          <w:iCs/>
          <w:shd w:val="clear" w:color="auto" w:fill="FFFFFF"/>
        </w:rPr>
        <w:t>Indigenous People and Local Communities</w:t>
      </w:r>
      <w:r w:rsidR="00DB0691" w:rsidRPr="00697B03">
        <w:rPr>
          <w:rFonts w:asciiTheme="minorHAnsi" w:hAnsiTheme="minorHAnsi"/>
          <w:i w:val="0"/>
          <w:iCs/>
          <w:shd w:val="clear" w:color="auto" w:fill="FFFFFF"/>
        </w:rPr>
        <w:t>.</w:t>
      </w:r>
    </w:p>
    <w:p w14:paraId="64EFBCBE" w14:textId="43EF4C2B" w:rsidR="00347229" w:rsidRPr="000325B2" w:rsidRDefault="00347229" w:rsidP="00347229">
      <w:pPr>
        <w:pStyle w:val="Heading5"/>
        <w:tabs>
          <w:tab w:val="clear" w:pos="1800"/>
        </w:tabs>
        <w:ind w:left="284" w:hanging="284"/>
        <w:rPr>
          <w:shd w:val="clear" w:color="auto" w:fill="FFFFFF"/>
        </w:rPr>
      </w:pPr>
      <w:r w:rsidRPr="005226F1">
        <w:rPr>
          <w:i w:val="0"/>
          <w:iCs/>
          <w:shd w:val="clear" w:color="auto" w:fill="FFFFFF"/>
        </w:rPr>
        <w:t>(</w:t>
      </w:r>
      <w:r w:rsidR="00671462">
        <w:rPr>
          <w:i w:val="0"/>
          <w:iCs/>
          <w:shd w:val="clear" w:color="auto" w:fill="FFFFFF"/>
        </w:rPr>
        <w:t>a</w:t>
      </w:r>
      <w:r w:rsidRPr="005226F1">
        <w:rPr>
          <w:i w:val="0"/>
          <w:iCs/>
          <w:shd w:val="clear" w:color="auto" w:fill="FFFFFF"/>
        </w:rPr>
        <w:t>)</w:t>
      </w:r>
      <w:r>
        <w:rPr>
          <w:shd w:val="clear" w:color="auto" w:fill="FFFFFF"/>
        </w:rPr>
        <w:t xml:space="preserve"> </w:t>
      </w:r>
      <w:r w:rsidR="00D75EEC" w:rsidRPr="00D75EEC">
        <w:rPr>
          <w:shd w:val="clear" w:color="auto" w:fill="FFFFFF"/>
        </w:rPr>
        <w:t>Indigenous and Tribal Peoples Convention, 1989 (No. 169)</w:t>
      </w:r>
      <w:r>
        <w:rPr>
          <w:shd w:val="clear" w:color="auto" w:fill="FFFFFF"/>
        </w:rPr>
        <w:t>.</w:t>
      </w:r>
    </w:p>
    <w:p w14:paraId="270FB1CD" w14:textId="1C260E62" w:rsidR="00671462" w:rsidRPr="00C11250" w:rsidRDefault="00671462" w:rsidP="00C11250">
      <w:pPr>
        <w:pStyle w:val="ListParagraph"/>
        <w:spacing w:line="240" w:lineRule="auto"/>
        <w:ind w:left="0"/>
        <w:contextualSpacing w:val="0"/>
        <w:jc w:val="both"/>
        <w:rPr>
          <w:i/>
          <w:iCs/>
        </w:rPr>
      </w:pPr>
      <w:r w:rsidRPr="00671462">
        <w:rPr>
          <w:rFonts w:ascii="Times New Roman"/>
        </w:rPr>
        <w:t>The Indigenous and Tribal Peoples Convention, 1989 (No. 169) is an International Labour Organization Convention (also known as ILO-</w:t>
      </w:r>
      <w:r w:rsidR="00E87A89">
        <w:rPr>
          <w:rFonts w:ascii="Times New Roman"/>
        </w:rPr>
        <w:t>C</w:t>
      </w:r>
      <w:r w:rsidR="00E87A89" w:rsidRPr="00671462">
        <w:rPr>
          <w:rFonts w:ascii="Times New Roman"/>
        </w:rPr>
        <w:t xml:space="preserve">onvention </w:t>
      </w:r>
      <w:r w:rsidRPr="00671462">
        <w:rPr>
          <w:rFonts w:ascii="Times New Roman"/>
        </w:rPr>
        <w:t xml:space="preserve">169) which as </w:t>
      </w:r>
      <w:r w:rsidR="00B47E5C" w:rsidRPr="00671462">
        <w:rPr>
          <w:rFonts w:ascii="Times New Roman"/>
        </w:rPr>
        <w:t>of</w:t>
      </w:r>
      <w:r w:rsidRPr="00671462">
        <w:rPr>
          <w:rFonts w:ascii="Times New Roman"/>
        </w:rPr>
        <w:t xml:space="preserve"> March 2021 has been ratified by 23 countries. </w:t>
      </w:r>
      <w:r w:rsidR="7A52364D" w:rsidRPr="6201D80D">
        <w:rPr>
          <w:rFonts w:ascii="Times New Roman"/>
        </w:rPr>
        <w:t xml:space="preserve">Under </w:t>
      </w:r>
      <w:r w:rsidR="5C841E19" w:rsidRPr="6201D80D">
        <w:rPr>
          <w:rFonts w:ascii="Times New Roman"/>
        </w:rPr>
        <w:t>t</w:t>
      </w:r>
      <w:r w:rsidRPr="6201D80D">
        <w:rPr>
          <w:rFonts w:ascii="Times New Roman"/>
        </w:rPr>
        <w:t>he</w:t>
      </w:r>
      <w:r w:rsidRPr="00671462">
        <w:rPr>
          <w:rFonts w:ascii="Times New Roman"/>
        </w:rPr>
        <w:t xml:space="preserve"> Convention</w:t>
      </w:r>
      <w:r w:rsidR="1310E0DA" w:rsidRPr="6201D80D">
        <w:rPr>
          <w:rFonts w:ascii="Times New Roman"/>
        </w:rPr>
        <w:t>, governments are to</w:t>
      </w:r>
      <w:r w:rsidRPr="00671462">
        <w:rPr>
          <w:rFonts w:ascii="Times New Roman"/>
        </w:rPr>
        <w:t xml:space="preserve"> </w:t>
      </w:r>
      <w:r w:rsidRPr="00671462">
        <w:rPr>
          <w:rFonts w:ascii="Times New Roman"/>
        </w:rPr>
        <w:t>“</w:t>
      </w:r>
      <w:r w:rsidRPr="6201D80D">
        <w:rPr>
          <w:rFonts w:ascii="Times New Roman"/>
          <w:i/>
          <w:iCs/>
        </w:rPr>
        <w:t>respect the special importance for the cultures and spiritual values of the peoples concerned of their relationship with the lands or territories, or both as applicable, which they occupy or otherwise use</w:t>
      </w:r>
      <w:r w:rsidRPr="00C11250">
        <w:rPr>
          <w:rFonts w:ascii="Times New Roman"/>
          <w:i/>
          <w:iCs/>
        </w:rPr>
        <w:t>..</w:t>
      </w:r>
      <w:r w:rsidRPr="00671462">
        <w:rPr>
          <w:rFonts w:ascii="Times New Roman"/>
        </w:rPr>
        <w:t>.</w:t>
      </w:r>
      <w:r w:rsidRPr="00671462">
        <w:rPr>
          <w:rFonts w:ascii="Times New Roman"/>
        </w:rPr>
        <w:t>”</w:t>
      </w:r>
      <w:r w:rsidR="00C11250">
        <w:rPr>
          <w:rFonts w:ascii="Times New Roman"/>
        </w:rPr>
        <w:t xml:space="preserve"> </w:t>
      </w:r>
      <w:r w:rsidRPr="00671462">
        <w:rPr>
          <w:rFonts w:ascii="Times New Roman"/>
        </w:rPr>
        <w:t>(Article 13).</w:t>
      </w:r>
      <w:r w:rsidRPr="6201D80D">
        <w:rPr>
          <w:rFonts w:ascii="Times New Roman"/>
        </w:rPr>
        <w:t xml:space="preserve"> </w:t>
      </w:r>
      <w:r w:rsidR="5528A9AC" w:rsidRPr="6201D80D">
        <w:rPr>
          <w:rFonts w:ascii="Times New Roman"/>
        </w:rPr>
        <w:t xml:space="preserve">A number of </w:t>
      </w:r>
      <w:r w:rsidR="6D93AE13" w:rsidRPr="6201D80D">
        <w:rPr>
          <w:rFonts w:ascii="Times New Roman"/>
        </w:rPr>
        <w:t>t</w:t>
      </w:r>
      <w:r w:rsidRPr="6201D80D">
        <w:rPr>
          <w:rFonts w:ascii="Times New Roman"/>
        </w:rPr>
        <w:t>he Convention</w:t>
      </w:r>
      <w:r w:rsidR="279A4EC8" w:rsidRPr="6201D80D">
        <w:rPr>
          <w:rFonts w:ascii="Times New Roman"/>
        </w:rPr>
        <w:t>’</w:t>
      </w:r>
      <w:r w:rsidRPr="6201D80D">
        <w:rPr>
          <w:rFonts w:ascii="Times New Roman"/>
        </w:rPr>
        <w:t>s</w:t>
      </w:r>
      <w:r w:rsidRPr="00671462">
        <w:rPr>
          <w:rFonts w:ascii="Times New Roman"/>
        </w:rPr>
        <w:t xml:space="preserve"> more general provisions require </w:t>
      </w:r>
      <w:r w:rsidR="02E30168" w:rsidRPr="6201D80D">
        <w:rPr>
          <w:rFonts w:ascii="Times New Roman"/>
        </w:rPr>
        <w:t>the</w:t>
      </w:r>
      <w:r w:rsidRPr="00671462">
        <w:rPr>
          <w:rFonts w:ascii="Times New Roman"/>
        </w:rPr>
        <w:t xml:space="preserve"> </w:t>
      </w:r>
      <w:r w:rsidRPr="00671462">
        <w:rPr>
          <w:rFonts w:ascii="Times New Roman"/>
        </w:rPr>
        <w:t>‘</w:t>
      </w:r>
      <w:r w:rsidRPr="00671462">
        <w:rPr>
          <w:rFonts w:ascii="Times New Roman"/>
        </w:rPr>
        <w:t>participation</w:t>
      </w:r>
      <w:r w:rsidRPr="00671462">
        <w:rPr>
          <w:rFonts w:ascii="Times New Roman"/>
        </w:rPr>
        <w:t>’</w:t>
      </w:r>
      <w:r w:rsidRPr="00671462">
        <w:rPr>
          <w:rFonts w:ascii="Times New Roman"/>
        </w:rPr>
        <w:t xml:space="preserve"> and </w:t>
      </w:r>
      <w:r w:rsidRPr="00671462">
        <w:rPr>
          <w:rFonts w:ascii="Times New Roman"/>
        </w:rPr>
        <w:t>‘</w:t>
      </w:r>
      <w:r w:rsidRPr="00671462">
        <w:rPr>
          <w:rFonts w:ascii="Times New Roman"/>
        </w:rPr>
        <w:t>coordination</w:t>
      </w:r>
      <w:r w:rsidRPr="00671462">
        <w:rPr>
          <w:rFonts w:ascii="Times New Roman"/>
        </w:rPr>
        <w:t>’</w:t>
      </w:r>
      <w:r w:rsidRPr="00671462">
        <w:rPr>
          <w:rFonts w:ascii="Times New Roman"/>
        </w:rPr>
        <w:t xml:space="preserve"> (Article 2), the absence of </w:t>
      </w:r>
      <w:r w:rsidRPr="00671462">
        <w:rPr>
          <w:rFonts w:ascii="Times New Roman"/>
        </w:rPr>
        <w:t>‘</w:t>
      </w:r>
      <w:r w:rsidRPr="00671462">
        <w:rPr>
          <w:rFonts w:ascii="Times New Roman"/>
        </w:rPr>
        <w:t>force or coercion</w:t>
      </w:r>
      <w:r w:rsidRPr="00671462">
        <w:rPr>
          <w:rFonts w:ascii="Times New Roman"/>
        </w:rPr>
        <w:t>’</w:t>
      </w:r>
      <w:r w:rsidRPr="00671462">
        <w:rPr>
          <w:rFonts w:ascii="Times New Roman"/>
        </w:rPr>
        <w:t xml:space="preserve"> (Article 3), </w:t>
      </w:r>
      <w:r w:rsidRPr="00671462">
        <w:rPr>
          <w:rFonts w:ascii="Times New Roman"/>
        </w:rPr>
        <w:t>‘</w:t>
      </w:r>
      <w:r w:rsidRPr="00671462">
        <w:rPr>
          <w:rFonts w:ascii="Times New Roman"/>
        </w:rPr>
        <w:t>freely expressed wishes</w:t>
      </w:r>
      <w:r w:rsidRPr="00671462">
        <w:rPr>
          <w:rFonts w:ascii="Times New Roman"/>
        </w:rPr>
        <w:t>’</w:t>
      </w:r>
      <w:r w:rsidRPr="00671462">
        <w:rPr>
          <w:rFonts w:ascii="Times New Roman"/>
        </w:rPr>
        <w:t xml:space="preserve"> (Article 4), </w:t>
      </w:r>
      <w:r w:rsidR="5EBAB55F" w:rsidRPr="6201D80D">
        <w:rPr>
          <w:rFonts w:ascii="Times New Roman"/>
        </w:rPr>
        <w:t xml:space="preserve">and </w:t>
      </w:r>
      <w:r w:rsidR="5EBAB55F" w:rsidRPr="6201D80D">
        <w:rPr>
          <w:rFonts w:ascii="Times New Roman"/>
        </w:rPr>
        <w:t>‘</w:t>
      </w:r>
      <w:r w:rsidR="5EBAB55F" w:rsidRPr="6201D80D">
        <w:rPr>
          <w:rFonts w:ascii="Times New Roman"/>
        </w:rPr>
        <w:t>consultation</w:t>
      </w:r>
      <w:r w:rsidR="5EBAB55F" w:rsidRPr="6201D80D">
        <w:rPr>
          <w:rFonts w:ascii="Times New Roman"/>
        </w:rPr>
        <w:t>’</w:t>
      </w:r>
      <w:r w:rsidR="5EBAB55F" w:rsidRPr="6201D80D">
        <w:rPr>
          <w:rFonts w:ascii="Times New Roman"/>
        </w:rPr>
        <w:t xml:space="preserve"> and </w:t>
      </w:r>
      <w:r w:rsidR="5EBAB55F" w:rsidRPr="6201D80D">
        <w:rPr>
          <w:rFonts w:ascii="Times New Roman"/>
        </w:rPr>
        <w:t>‘</w:t>
      </w:r>
      <w:r w:rsidR="5EBAB55F" w:rsidRPr="6201D80D">
        <w:rPr>
          <w:rFonts w:ascii="Times New Roman"/>
        </w:rPr>
        <w:t>free participation</w:t>
      </w:r>
      <w:r w:rsidR="5EBAB55F" w:rsidRPr="6201D80D">
        <w:rPr>
          <w:rFonts w:ascii="Times New Roman"/>
        </w:rPr>
        <w:t>’</w:t>
      </w:r>
      <w:r w:rsidR="5EBAB55F" w:rsidRPr="6201D80D">
        <w:rPr>
          <w:rFonts w:ascii="Times New Roman"/>
        </w:rPr>
        <w:t xml:space="preserve"> (Article 6)</w:t>
      </w:r>
      <w:r w:rsidRPr="6201D80D">
        <w:rPr>
          <w:rFonts w:ascii="Times New Roman"/>
        </w:rPr>
        <w:t xml:space="preserve"> </w:t>
      </w:r>
      <w:r w:rsidRPr="00671462">
        <w:rPr>
          <w:rFonts w:ascii="Times New Roman"/>
        </w:rPr>
        <w:t>in relation to safeguarding the rights of indigenous people</w:t>
      </w:r>
      <w:r>
        <w:rPr>
          <w:rFonts w:ascii="Times New Roman"/>
        </w:rPr>
        <w:t>.</w:t>
      </w:r>
    </w:p>
    <w:p w14:paraId="6E6A2FD3" w14:textId="1A728675" w:rsidR="000325B2" w:rsidRPr="000325B2" w:rsidRDefault="002D3A01" w:rsidP="00697B03">
      <w:pPr>
        <w:pStyle w:val="Heading5"/>
        <w:tabs>
          <w:tab w:val="clear" w:pos="1800"/>
        </w:tabs>
        <w:ind w:left="284" w:hanging="284"/>
        <w:rPr>
          <w:shd w:val="clear" w:color="auto" w:fill="FFFFFF"/>
        </w:rPr>
      </w:pPr>
      <w:r w:rsidRPr="005226F1">
        <w:rPr>
          <w:i w:val="0"/>
          <w:iCs/>
          <w:shd w:val="clear" w:color="auto" w:fill="FFFFFF"/>
        </w:rPr>
        <w:t>(</w:t>
      </w:r>
      <w:r w:rsidR="00347229">
        <w:rPr>
          <w:i w:val="0"/>
          <w:iCs/>
          <w:shd w:val="clear" w:color="auto" w:fill="FFFFFF"/>
        </w:rPr>
        <w:t>b</w:t>
      </w:r>
      <w:r w:rsidRPr="005226F1">
        <w:rPr>
          <w:i w:val="0"/>
          <w:shd w:val="clear" w:color="auto" w:fill="FFFFFF"/>
        </w:rPr>
        <w:t>)</w:t>
      </w:r>
      <w:r>
        <w:rPr>
          <w:shd w:val="clear" w:color="auto" w:fill="FFFFFF"/>
        </w:rPr>
        <w:t xml:space="preserve"> </w:t>
      </w:r>
      <w:r w:rsidR="000325B2" w:rsidRPr="000325B2">
        <w:rPr>
          <w:shd w:val="clear" w:color="auto" w:fill="FFFFFF"/>
        </w:rPr>
        <w:t>UN Declaration on the Rights of Indigenous Peoples</w:t>
      </w:r>
      <w:r w:rsidR="00DB0691">
        <w:rPr>
          <w:shd w:val="clear" w:color="auto" w:fill="FFFFFF"/>
        </w:rPr>
        <w:t>.</w:t>
      </w:r>
    </w:p>
    <w:p w14:paraId="565A063D" w14:textId="12F76B6D" w:rsidR="00B3210D" w:rsidRPr="00C22793" w:rsidRDefault="00B3210D" w:rsidP="00CC745C">
      <w:pPr>
        <w:pStyle w:val="ListParagraph"/>
        <w:spacing w:line="240" w:lineRule="auto"/>
        <w:ind w:left="0"/>
        <w:contextualSpacing w:val="0"/>
        <w:jc w:val="both"/>
        <w:rPr>
          <w:rFonts w:ascii="Times New Roman"/>
        </w:rPr>
      </w:pPr>
      <w:r w:rsidRPr="00C22793">
        <w:rPr>
          <w:rFonts w:ascii="Times New Roman"/>
        </w:rPr>
        <w:t>The United Nations Declaration on the Rights of Indigenous Peoples (UNDRIP) was adopted by the General Assembly on 13 September 2007</w:t>
      </w:r>
      <w:r w:rsidR="00204229">
        <w:rPr>
          <w:rFonts w:ascii="Times New Roman"/>
        </w:rPr>
        <w:t xml:space="preserve"> </w:t>
      </w:r>
      <w:r w:rsidR="00204229">
        <w:rPr>
          <w:rFonts w:ascii="Times New Roman"/>
        </w:rPr>
        <w:fldChar w:fldCharType="begin" w:fldLock="1"/>
      </w:r>
      <w:r w:rsidR="008F6A90">
        <w:rPr>
          <w:rFonts w:ascii="Times New Roman"/>
        </w:rPr>
        <w:instrText>ADDIN CSL_CITATION {"citationItems":[{"id":"ITEM-1","itemData":{"author":[{"dropping-particle":"","family":"United Nations","given":"","non-dropping-particle":"","parse-names":false,"suffix":""}],"id":"ITEM-1","issued":{"date-parts":[["2007","9"]]},"publisher-place":"New York","title":"United Nations Declaration on the Rights of Indigenous Peoples United Nations","type":"report"},"uris":["http://www.mendeley.com/documents/?uuid=eb5fc8e9-ef86-36a8-a656-71f461c10f2a","http://www.mendeley.com/documents/?uuid=33ec6495-2315-43d6-88f8-442610cdfd27"]}],"mendeley":{"formattedCitation":"(United Nations, 2007)","plainTextFormattedCitation":"(United Nations, 2007)","previouslyFormattedCitation":"(United Nations, 2007)"},"properties":{"noteIndex":0},"schema":"https://github.com/citation-style-language/schema/raw/master/csl-citation.json"}</w:instrText>
      </w:r>
      <w:r w:rsidR="00204229">
        <w:rPr>
          <w:rFonts w:ascii="Times New Roman"/>
        </w:rPr>
        <w:fldChar w:fldCharType="separate"/>
      </w:r>
      <w:r w:rsidR="00204229" w:rsidRPr="00204229">
        <w:rPr>
          <w:rFonts w:ascii="Times New Roman"/>
          <w:noProof/>
        </w:rPr>
        <w:t>(United Nations, 2007)</w:t>
      </w:r>
      <w:r w:rsidR="00204229">
        <w:rPr>
          <w:rFonts w:ascii="Times New Roman"/>
        </w:rPr>
        <w:fldChar w:fldCharType="end"/>
      </w:r>
      <w:r w:rsidRPr="00C22793">
        <w:rPr>
          <w:rFonts w:ascii="Times New Roman"/>
        </w:rPr>
        <w:t xml:space="preserve">. The efforts to draft a specific instrument dealing with the protection of indigenous people worldwide date back over several decades, including a Working Group on Indigenous Populations convened in 1982 </w:t>
      </w:r>
      <w:r w:rsidR="5AC111BD" w:rsidRPr="6201D80D">
        <w:rPr>
          <w:rFonts w:ascii="Times New Roman"/>
        </w:rPr>
        <w:t xml:space="preserve">and </w:t>
      </w:r>
      <w:r w:rsidRPr="00C22793">
        <w:rPr>
          <w:rFonts w:ascii="Times New Roman"/>
        </w:rPr>
        <w:t>overseen by the Sub-Commission on the Promotion and Protection of Human Rights, the main subsidiary body of the United Nations Commission on Human Rights</w:t>
      </w:r>
      <w:r w:rsidRPr="008F6B23">
        <w:rPr>
          <w:rFonts w:ascii="Times New Roman"/>
          <w:vertAlign w:val="superscript"/>
        </w:rPr>
        <w:footnoteReference w:id="92"/>
      </w:r>
      <w:r w:rsidR="00607A7C">
        <w:rPr>
          <w:rFonts w:ascii="Times New Roman"/>
        </w:rPr>
        <w:t>.</w:t>
      </w:r>
    </w:p>
    <w:p w14:paraId="42E77DB1" w14:textId="4F604B6B" w:rsidR="003A7046" w:rsidRDefault="00B3210D" w:rsidP="003A7046">
      <w:pPr>
        <w:pStyle w:val="ListParagraph"/>
        <w:spacing w:line="240" w:lineRule="auto"/>
        <w:ind w:left="0"/>
        <w:jc w:val="both"/>
        <w:rPr>
          <w:rFonts w:ascii="Times New Roman"/>
        </w:rPr>
      </w:pPr>
      <w:r w:rsidRPr="00C22793">
        <w:rPr>
          <w:rFonts w:ascii="Times New Roman"/>
        </w:rPr>
        <w:t>UNDRIP establishes a universal framework of minimum standards for the survival, dignity</w:t>
      </w:r>
      <w:r w:rsidR="00005719">
        <w:rPr>
          <w:rFonts w:ascii="Times New Roman"/>
        </w:rPr>
        <w:t>,</w:t>
      </w:r>
      <w:r w:rsidRPr="00C22793">
        <w:rPr>
          <w:rFonts w:ascii="Times New Roman"/>
        </w:rPr>
        <w:t xml:space="preserve"> and well-being of the indigenous peoples of the world</w:t>
      </w:r>
      <w:r w:rsidR="00FC2E8A">
        <w:rPr>
          <w:rFonts w:ascii="Times New Roman"/>
        </w:rPr>
        <w:t>. I</w:t>
      </w:r>
      <w:r w:rsidRPr="00C22793">
        <w:rPr>
          <w:rFonts w:ascii="Times New Roman"/>
        </w:rPr>
        <w:t>t elaborates on existing human rights standards and fundamental freedoms as they apply to the specific situation of indigenous peoples</w:t>
      </w:r>
      <w:r w:rsidR="00FC2E8A">
        <w:rPr>
          <w:rFonts w:ascii="Times New Roman"/>
        </w:rPr>
        <w:t xml:space="preserve">, including in relation to </w:t>
      </w:r>
      <w:r w:rsidR="00FC2E8A" w:rsidRPr="00FC2E8A">
        <w:rPr>
          <w:rFonts w:ascii="Times New Roman"/>
        </w:rPr>
        <w:t>the use, management and conservation</w:t>
      </w:r>
      <w:r w:rsidR="00FC2E8A">
        <w:rPr>
          <w:rFonts w:ascii="Times New Roman"/>
        </w:rPr>
        <w:t xml:space="preserve"> </w:t>
      </w:r>
      <w:r w:rsidR="00FC2E8A" w:rsidRPr="00FC2E8A">
        <w:rPr>
          <w:rFonts w:ascii="Times New Roman"/>
        </w:rPr>
        <w:t>of resources pertaining to their lands</w:t>
      </w:r>
      <w:r w:rsidR="00FC2E8A">
        <w:rPr>
          <w:rFonts w:ascii="Times New Roman"/>
        </w:rPr>
        <w:t>.</w:t>
      </w:r>
    </w:p>
    <w:p w14:paraId="3C3A27C8" w14:textId="2F1D98A5" w:rsidR="00F91406" w:rsidRDefault="00F91406" w:rsidP="003A7046">
      <w:pPr>
        <w:pStyle w:val="ListParagraph"/>
        <w:spacing w:line="240" w:lineRule="auto"/>
        <w:ind w:left="0"/>
        <w:jc w:val="both"/>
        <w:rPr>
          <w:rFonts w:ascii="Times New Roman"/>
        </w:rPr>
      </w:pPr>
    </w:p>
    <w:p w14:paraId="1D75BB39" w14:textId="4EEFCFBA" w:rsidR="00F91406" w:rsidRDefault="00F91406" w:rsidP="003A7046">
      <w:pPr>
        <w:pStyle w:val="ListParagraph"/>
        <w:spacing w:line="240" w:lineRule="auto"/>
        <w:ind w:left="0"/>
        <w:jc w:val="both"/>
        <w:rPr>
          <w:rFonts w:ascii="Times New Roman"/>
        </w:rPr>
      </w:pPr>
      <w:r>
        <w:rPr>
          <w:rFonts w:ascii="Times New Roman"/>
        </w:rPr>
        <w:t xml:space="preserve">FPIC </w:t>
      </w:r>
      <w:r w:rsidRPr="0042756B">
        <w:rPr>
          <w:rFonts w:ascii="Times New Roman"/>
        </w:rPr>
        <w:t>enables indigenous peoples to exercise their right to self-determination</w:t>
      </w:r>
      <w:r>
        <w:rPr>
          <w:rFonts w:ascii="Times New Roman"/>
        </w:rPr>
        <w:t xml:space="preserve">, as established in Article 3 of UNDRIP </w:t>
      </w:r>
      <w:r w:rsidR="0041587D">
        <w:rPr>
          <w:rFonts w:ascii="Times New Roman"/>
        </w:rPr>
        <w:t>with the introduction of</w:t>
      </w:r>
      <w:r>
        <w:rPr>
          <w:rFonts w:ascii="Times New Roman"/>
        </w:rPr>
        <w:t xml:space="preserve"> mechanisms </w:t>
      </w:r>
      <w:r w:rsidR="00155757">
        <w:rPr>
          <w:rFonts w:ascii="Times New Roman"/>
        </w:rPr>
        <w:t xml:space="preserve">that </w:t>
      </w:r>
      <w:r w:rsidR="00AD3E37">
        <w:rPr>
          <w:rFonts w:ascii="Times New Roman"/>
        </w:rPr>
        <w:t>they</w:t>
      </w:r>
      <w:r w:rsidRPr="0042756B">
        <w:rPr>
          <w:rFonts w:ascii="Times New Roman"/>
        </w:rPr>
        <w:t xml:space="preserve"> be fully informed and be in a position to freely refuse or accept projects</w:t>
      </w:r>
      <w:r>
        <w:rPr>
          <w:rFonts w:ascii="Times New Roman"/>
        </w:rPr>
        <w:t xml:space="preserve"> </w:t>
      </w:r>
      <w:r w:rsidRPr="0042756B">
        <w:rPr>
          <w:rFonts w:ascii="Times New Roman"/>
        </w:rPr>
        <w:t>and proposals that affect their r</w:t>
      </w:r>
      <w:r>
        <w:rPr>
          <w:rFonts w:ascii="Times New Roman"/>
        </w:rPr>
        <w:t xml:space="preserve">ights, </w:t>
      </w:r>
      <w:r w:rsidRPr="0042756B">
        <w:rPr>
          <w:rFonts w:ascii="Times New Roman"/>
        </w:rPr>
        <w:t>including their lands, resources and territories.</w:t>
      </w:r>
      <w:r>
        <w:rPr>
          <w:rFonts w:ascii="Times New Roman"/>
        </w:rPr>
        <w:t xml:space="preserve"> </w:t>
      </w:r>
      <w:r w:rsidR="009E1BB9">
        <w:rPr>
          <w:rFonts w:ascii="Times New Roman"/>
        </w:rPr>
        <w:t>The Article</w:t>
      </w:r>
      <w:r w:rsidRPr="00555119">
        <w:rPr>
          <w:rFonts w:ascii="Times New Roman"/>
        </w:rPr>
        <w:t xml:space="preserve"> constitutes three</w:t>
      </w:r>
      <w:r>
        <w:rPr>
          <w:rFonts w:ascii="Times New Roman"/>
        </w:rPr>
        <w:t xml:space="preserve"> </w:t>
      </w:r>
      <w:r w:rsidRPr="00555119">
        <w:rPr>
          <w:rFonts w:ascii="Times New Roman"/>
        </w:rPr>
        <w:t xml:space="preserve">interrelated and cumulative </w:t>
      </w:r>
      <w:r>
        <w:rPr>
          <w:rFonts w:ascii="Times New Roman"/>
        </w:rPr>
        <w:t xml:space="preserve">human </w:t>
      </w:r>
      <w:r w:rsidRPr="00555119">
        <w:rPr>
          <w:rFonts w:ascii="Times New Roman"/>
        </w:rPr>
        <w:t>rights of indigenous peoples: the right to be</w:t>
      </w:r>
      <w:r>
        <w:rPr>
          <w:rFonts w:ascii="Times New Roman"/>
        </w:rPr>
        <w:t xml:space="preserve"> </w:t>
      </w:r>
      <w:r w:rsidRPr="00555119">
        <w:rPr>
          <w:rFonts w:ascii="Times New Roman"/>
        </w:rPr>
        <w:t>consulted; the right</w:t>
      </w:r>
      <w:r>
        <w:rPr>
          <w:rFonts w:ascii="Times New Roman"/>
        </w:rPr>
        <w:t xml:space="preserve"> </w:t>
      </w:r>
      <w:r w:rsidRPr="00555119">
        <w:rPr>
          <w:rFonts w:ascii="Times New Roman"/>
        </w:rPr>
        <w:t>to participate; and the right to their lands, territories and resources</w:t>
      </w:r>
      <w:r>
        <w:rPr>
          <w:rStyle w:val="FootnoteReference"/>
          <w:rFonts w:ascii="Times New Roman"/>
        </w:rPr>
        <w:footnoteReference w:id="93"/>
      </w:r>
      <w:r w:rsidRPr="00555119">
        <w:rPr>
          <w:rFonts w:ascii="Times New Roman"/>
        </w:rPr>
        <w:t>.</w:t>
      </w:r>
    </w:p>
    <w:p w14:paraId="3624E24F" w14:textId="2E79F38D" w:rsidR="00F45046" w:rsidRPr="00C22793" w:rsidRDefault="005C6401" w:rsidP="00C11250">
      <w:pPr>
        <w:spacing w:line="240" w:lineRule="auto"/>
        <w:jc w:val="both"/>
      </w:pPr>
      <w:r>
        <w:rPr>
          <w:rFonts w:ascii="Times New Roman"/>
        </w:rPr>
        <w:t xml:space="preserve">Specifically, </w:t>
      </w:r>
      <w:r w:rsidR="003A7046">
        <w:rPr>
          <w:rFonts w:ascii="Times New Roman"/>
        </w:rPr>
        <w:t>Article 32 prov</w:t>
      </w:r>
      <w:r w:rsidR="00B653E5">
        <w:rPr>
          <w:rFonts w:ascii="Times New Roman"/>
        </w:rPr>
        <w:t>ides that</w:t>
      </w:r>
      <w:r w:rsidR="003A7046" w:rsidRPr="00C11250">
        <w:rPr>
          <w:rFonts w:ascii="Times New Roman"/>
        </w:rPr>
        <w:t xml:space="preserve"> </w:t>
      </w:r>
      <w:r w:rsidR="00403D4F">
        <w:rPr>
          <w:rFonts w:ascii="Times New Roman"/>
        </w:rPr>
        <w:t>i</w:t>
      </w:r>
      <w:r w:rsidR="003A7046" w:rsidRPr="00C11250">
        <w:rPr>
          <w:rFonts w:ascii="Times New Roman"/>
        </w:rPr>
        <w:t>ndigenous peoples have the right to determine and develop priorities and</w:t>
      </w:r>
      <w:r w:rsidR="00B653E5">
        <w:rPr>
          <w:rFonts w:ascii="Times New Roman"/>
        </w:rPr>
        <w:t xml:space="preserve"> </w:t>
      </w:r>
      <w:r w:rsidR="003A7046" w:rsidRPr="00270EC6">
        <w:rPr>
          <w:rFonts w:ascii="Times New Roman"/>
        </w:rPr>
        <w:t xml:space="preserve">strategies for </w:t>
      </w:r>
      <w:r w:rsidR="0082176A">
        <w:rPr>
          <w:rFonts w:ascii="Times New Roman"/>
        </w:rPr>
        <w:t>developing or using</w:t>
      </w:r>
      <w:r w:rsidR="0082176A" w:rsidRPr="00270EC6">
        <w:rPr>
          <w:rFonts w:ascii="Times New Roman"/>
        </w:rPr>
        <w:t xml:space="preserve"> </w:t>
      </w:r>
      <w:r w:rsidR="003A7046" w:rsidRPr="00270EC6">
        <w:rPr>
          <w:rFonts w:ascii="Times New Roman"/>
        </w:rPr>
        <w:t>their lands or territories and other resources.</w:t>
      </w:r>
      <w:r w:rsidR="00B653E5">
        <w:rPr>
          <w:rFonts w:ascii="Times New Roman"/>
        </w:rPr>
        <w:t xml:space="preserve"> It </w:t>
      </w:r>
      <w:r w:rsidR="00635988">
        <w:rPr>
          <w:rFonts w:ascii="Times New Roman"/>
        </w:rPr>
        <w:t xml:space="preserve">requires </w:t>
      </w:r>
      <w:r w:rsidR="003A7046" w:rsidRPr="003A7046">
        <w:rPr>
          <w:rFonts w:ascii="Times New Roman"/>
        </w:rPr>
        <w:t xml:space="preserve">States </w:t>
      </w:r>
      <w:r w:rsidR="00635988">
        <w:rPr>
          <w:rFonts w:ascii="Times New Roman"/>
        </w:rPr>
        <w:t>to</w:t>
      </w:r>
      <w:r w:rsidR="003A7046" w:rsidRPr="003A7046">
        <w:rPr>
          <w:rFonts w:ascii="Times New Roman"/>
        </w:rPr>
        <w:t xml:space="preserve"> consult and cooperate in good faith with the indigenous</w:t>
      </w:r>
      <w:r w:rsidR="00635988">
        <w:rPr>
          <w:rFonts w:ascii="Times New Roman"/>
        </w:rPr>
        <w:t xml:space="preserve"> </w:t>
      </w:r>
      <w:r w:rsidR="003A7046" w:rsidRPr="003A7046">
        <w:rPr>
          <w:rFonts w:ascii="Times New Roman"/>
        </w:rPr>
        <w:t>peoples</w:t>
      </w:r>
      <w:r w:rsidR="00FC2E8A">
        <w:rPr>
          <w:rFonts w:ascii="Times New Roman"/>
        </w:rPr>
        <w:t xml:space="preserve"> </w:t>
      </w:r>
      <w:r w:rsidR="003A7046" w:rsidRPr="003A7046">
        <w:rPr>
          <w:rFonts w:ascii="Times New Roman"/>
        </w:rPr>
        <w:t>in order to obtain</w:t>
      </w:r>
      <w:r w:rsidR="00635988">
        <w:rPr>
          <w:rFonts w:ascii="Times New Roman"/>
        </w:rPr>
        <w:t xml:space="preserve"> </w:t>
      </w:r>
      <w:r w:rsidR="003A7046" w:rsidRPr="003A7046">
        <w:rPr>
          <w:rFonts w:ascii="Times New Roman"/>
        </w:rPr>
        <w:t>their free and informed consent prior to the approval of any project affecting their</w:t>
      </w:r>
      <w:r w:rsidR="00635988">
        <w:rPr>
          <w:rFonts w:ascii="Times New Roman"/>
        </w:rPr>
        <w:t xml:space="preserve"> </w:t>
      </w:r>
      <w:r w:rsidR="003A7046" w:rsidRPr="003A7046">
        <w:rPr>
          <w:rFonts w:ascii="Times New Roman"/>
        </w:rPr>
        <w:t>lands or territories and other resources.</w:t>
      </w:r>
      <w:r w:rsidR="00635988">
        <w:rPr>
          <w:rFonts w:ascii="Times New Roman"/>
        </w:rPr>
        <w:t xml:space="preserve"> Additionally, </w:t>
      </w:r>
      <w:r w:rsidR="003A7046" w:rsidRPr="003A7046">
        <w:rPr>
          <w:rFonts w:ascii="Times New Roman"/>
        </w:rPr>
        <w:t xml:space="preserve">States </w:t>
      </w:r>
      <w:r w:rsidR="00635988">
        <w:rPr>
          <w:rFonts w:ascii="Times New Roman"/>
        </w:rPr>
        <w:t xml:space="preserve">are required to </w:t>
      </w:r>
      <w:r w:rsidR="003A7046" w:rsidRPr="003A7046">
        <w:rPr>
          <w:rFonts w:ascii="Times New Roman"/>
        </w:rPr>
        <w:t xml:space="preserve">provide effective mechanisms for just and fair redress </w:t>
      </w:r>
      <w:r w:rsidR="003A7046" w:rsidRPr="00C11250">
        <w:rPr>
          <w:rFonts w:ascii="Times New Roman"/>
        </w:rPr>
        <w:t>and</w:t>
      </w:r>
      <w:r w:rsidR="00FC2E8A">
        <w:rPr>
          <w:rFonts w:ascii="Times New Roman"/>
        </w:rPr>
        <w:t xml:space="preserve"> to take </w:t>
      </w:r>
      <w:r w:rsidR="003A7046" w:rsidRPr="00474099">
        <w:rPr>
          <w:rFonts w:ascii="Times New Roman"/>
        </w:rPr>
        <w:t>appropriate measures to mitigate advers</w:t>
      </w:r>
      <w:r w:rsidR="00635988">
        <w:rPr>
          <w:rFonts w:ascii="Times New Roman"/>
        </w:rPr>
        <w:t xml:space="preserve">e </w:t>
      </w:r>
      <w:r w:rsidR="003A7046" w:rsidRPr="003A7046">
        <w:rPr>
          <w:rFonts w:ascii="Times New Roman"/>
        </w:rPr>
        <w:t>environmental, economic, social, cultural or spiritual impact</w:t>
      </w:r>
      <w:r>
        <w:rPr>
          <w:rFonts w:ascii="Times New Roman"/>
        </w:rPr>
        <w:t xml:space="preserve">. Further, </w:t>
      </w:r>
      <w:r w:rsidRPr="005C6401">
        <w:rPr>
          <w:rFonts w:ascii="Times New Roman"/>
        </w:rPr>
        <w:t>Article 42 provides that the United Nations, including its bodies and speciali</w:t>
      </w:r>
      <w:r w:rsidR="007349E7">
        <w:rPr>
          <w:rFonts w:ascii="Times New Roman"/>
        </w:rPr>
        <w:t>s</w:t>
      </w:r>
      <w:r w:rsidRPr="005C6401">
        <w:rPr>
          <w:rFonts w:ascii="Times New Roman"/>
        </w:rPr>
        <w:t>ed agencies, as well as States shall promote respect for and full application of the provisions of UNDRIP and follow up its effectiveness.</w:t>
      </w:r>
    </w:p>
    <w:p w14:paraId="3115272D" w14:textId="699B151C" w:rsidR="0051013B" w:rsidRPr="003627FC" w:rsidRDefault="0051013B" w:rsidP="003627FC">
      <w:pPr>
        <w:pStyle w:val="Heading4"/>
        <w:rPr>
          <w:rFonts w:asciiTheme="minorHAnsi" w:hAnsiTheme="minorHAnsi"/>
          <w:b w:val="0"/>
          <w:bCs w:val="0"/>
          <w:shd w:val="clear" w:color="auto" w:fill="FFFFFF"/>
          <w:lang w:val="en-US"/>
        </w:rPr>
      </w:pPr>
      <w:r w:rsidRPr="26B520D9">
        <w:rPr>
          <w:i w:val="0"/>
          <w:shd w:val="clear" w:color="auto" w:fill="FFFFFF"/>
        </w:rPr>
        <w:t>9.3.3</w:t>
      </w:r>
      <w:r w:rsidRPr="26B520D9" w:rsidDel="003A5E97">
        <w:rPr>
          <w:i w:val="0"/>
          <w:shd w:val="clear" w:color="auto" w:fill="FFFFFF"/>
        </w:rPr>
        <w:t>.</w:t>
      </w:r>
      <w:r w:rsidRPr="26B520D9">
        <w:rPr>
          <w:i w:val="0"/>
          <w:shd w:val="clear" w:color="auto" w:fill="FFFFFF"/>
        </w:rPr>
        <w:t xml:space="preserve"> Access &amp; Benefit Sharing</w:t>
      </w:r>
      <w:r w:rsidR="00DB0691" w:rsidRPr="26B520D9">
        <w:rPr>
          <w:rFonts w:asciiTheme="minorHAnsi" w:hAnsiTheme="minorHAnsi"/>
          <w:i w:val="0"/>
          <w:shd w:val="clear" w:color="auto" w:fill="FFFFFF"/>
        </w:rPr>
        <w:t>.</w:t>
      </w:r>
    </w:p>
    <w:p w14:paraId="138CC67D" w14:textId="02DE3422" w:rsidR="0051013B" w:rsidRPr="0051013B" w:rsidRDefault="00B3210D" w:rsidP="003627FC">
      <w:pPr>
        <w:pStyle w:val="Heading5"/>
        <w:tabs>
          <w:tab w:val="clear" w:pos="1800"/>
        </w:tabs>
        <w:ind w:left="284" w:hanging="284"/>
        <w:rPr>
          <w:shd w:val="clear" w:color="auto" w:fill="FFFFFF"/>
        </w:rPr>
      </w:pPr>
      <w:r w:rsidRPr="005226F1">
        <w:rPr>
          <w:i w:val="0"/>
          <w:shd w:val="clear" w:color="auto" w:fill="FFFFFF"/>
        </w:rPr>
        <w:t>(a)</w:t>
      </w:r>
      <w:r>
        <w:rPr>
          <w:shd w:val="clear" w:color="auto" w:fill="FFFFFF"/>
        </w:rPr>
        <w:t xml:space="preserve"> </w:t>
      </w:r>
      <w:r w:rsidR="0051013B" w:rsidRPr="0051013B">
        <w:rPr>
          <w:shd w:val="clear" w:color="auto" w:fill="FFFFFF"/>
        </w:rPr>
        <w:t>International Treaty on Plant Genetic Resources for Food and Agriculture</w:t>
      </w:r>
      <w:r w:rsidR="005C1AEB">
        <w:rPr>
          <w:shd w:val="clear" w:color="auto" w:fill="FFFFFF"/>
        </w:rPr>
        <w:t xml:space="preserve"> (</w:t>
      </w:r>
      <w:r w:rsidR="005C1AEB" w:rsidRPr="0051013B">
        <w:rPr>
          <w:kern w:val="22"/>
          <w:lang w:val="en-GB"/>
        </w:rPr>
        <w:t>ITPGRFA</w:t>
      </w:r>
      <w:r w:rsidR="005C1AEB">
        <w:rPr>
          <w:shd w:val="clear" w:color="auto" w:fill="FFFFFF"/>
        </w:rPr>
        <w:t>)</w:t>
      </w:r>
      <w:r w:rsidR="002D32D7">
        <w:rPr>
          <w:shd w:val="clear" w:color="auto" w:fill="FFFFFF"/>
        </w:rPr>
        <w:t>.</w:t>
      </w:r>
    </w:p>
    <w:p w14:paraId="1AA7546C" w14:textId="08128789" w:rsidR="0051013B" w:rsidRPr="0051013B" w:rsidRDefault="0051013B" w:rsidP="005226F1">
      <w:pPr>
        <w:pStyle w:val="Heading6"/>
        <w:numPr>
          <w:ilvl w:val="0"/>
          <w:numId w:val="158"/>
        </w:numPr>
        <w:spacing w:after="120" w:line="240" w:lineRule="auto"/>
        <w:ind w:left="284" w:hanging="284"/>
      </w:pPr>
      <w:r w:rsidRPr="0051013B">
        <w:t>Overview of main provisions</w:t>
      </w:r>
      <w:r w:rsidR="002D32D7">
        <w:rPr>
          <w:lang w:val="en-US"/>
        </w:rPr>
        <w:t>.</w:t>
      </w:r>
    </w:p>
    <w:p w14:paraId="205E70C1" w14:textId="54D15346" w:rsidR="0051013B" w:rsidRPr="0051013B" w:rsidRDefault="0051013B" w:rsidP="00B3210D">
      <w:pPr>
        <w:suppressAutoHyphens/>
        <w:spacing w:after="120" w:line="240" w:lineRule="auto"/>
        <w:jc w:val="both"/>
        <w:rPr>
          <w:rFonts w:ascii="Times New Roman" w:hAnsi="Times New Roman"/>
          <w:kern w:val="22"/>
        </w:rPr>
      </w:pPr>
      <w:r w:rsidRPr="0051013B">
        <w:rPr>
          <w:rFonts w:ascii="Times New Roman" w:hAnsi="Times New Roman"/>
          <w:kern w:val="22"/>
        </w:rPr>
        <w:t>Article 2 of the ITPGRFA defines plant genetic resources for food and agriculture as any genetic material of plant origin of actual or potential value for food and agriculture. “Genetic material” is defined as any material of plant origin, including reproductive and vegetative propagating material, containing functional units of heredity. These definitions are similar to those of the Convention, which defines genetic resources as genetic material of actual or potential value, and genetic material as any material of plant, animal, microbial or other origin containing functional units of heredity (Article 2). The main difference between the two treaties is that the definitions under the ITPGRFA only refer to material of plant origin. However, plant genetic resources are the raw material and indispensable for crop genetic improvement.</w:t>
      </w:r>
    </w:p>
    <w:p w14:paraId="62185475" w14:textId="3E91353C" w:rsidR="0051013B" w:rsidRPr="0051013B" w:rsidRDefault="0051013B" w:rsidP="00B3210D">
      <w:pPr>
        <w:suppressAutoHyphens/>
        <w:spacing w:after="120" w:line="240" w:lineRule="auto"/>
        <w:jc w:val="both"/>
        <w:rPr>
          <w:rFonts w:ascii="Times New Roman" w:hAnsi="Times New Roman"/>
          <w:kern w:val="22"/>
        </w:rPr>
      </w:pPr>
      <w:r w:rsidRPr="0051013B">
        <w:rPr>
          <w:rFonts w:ascii="Times New Roman" w:hAnsi="Times New Roman"/>
          <w:kern w:val="22"/>
        </w:rPr>
        <w:t xml:space="preserve">As discussed in </w:t>
      </w:r>
      <w:r w:rsidR="00750B9E">
        <w:rPr>
          <w:rFonts w:ascii="Times New Roman" w:hAnsi="Times New Roman"/>
          <w:kern w:val="22"/>
        </w:rPr>
        <w:t>S</w:t>
      </w:r>
      <w:r w:rsidRPr="0051013B">
        <w:rPr>
          <w:rFonts w:ascii="Times New Roman" w:hAnsi="Times New Roman"/>
          <w:kern w:val="22"/>
        </w:rPr>
        <w:t>ection 4</w:t>
      </w:r>
      <w:r w:rsidR="00750B9E">
        <w:rPr>
          <w:rFonts w:ascii="Times New Roman" w:hAnsi="Times New Roman"/>
          <w:kern w:val="22"/>
        </w:rPr>
        <w:t>.</w:t>
      </w:r>
      <w:r w:rsidR="007978D4">
        <w:rPr>
          <w:rFonts w:ascii="Times New Roman" w:hAnsi="Times New Roman"/>
          <w:kern w:val="22"/>
        </w:rPr>
        <w:t>2</w:t>
      </w:r>
      <w:r w:rsidR="00037409">
        <w:rPr>
          <w:rFonts w:ascii="Times New Roman" w:hAnsi="Times New Roman"/>
          <w:kern w:val="22"/>
        </w:rPr>
        <w:t>,</w:t>
      </w:r>
      <w:r w:rsidRPr="0051013B">
        <w:rPr>
          <w:rFonts w:ascii="Times New Roman" w:hAnsi="Times New Roman"/>
          <w:kern w:val="22"/>
        </w:rPr>
        <w:t xml:space="preserve"> on potential impacts, agricultural applications of synthetic biology are a focus of current research, as is the production of speciali</w:t>
      </w:r>
      <w:r w:rsidR="00037409">
        <w:rPr>
          <w:rFonts w:ascii="Times New Roman" w:hAnsi="Times New Roman"/>
          <w:kern w:val="22"/>
        </w:rPr>
        <w:t>s</w:t>
      </w:r>
      <w:r w:rsidRPr="0051013B">
        <w:rPr>
          <w:rFonts w:ascii="Times New Roman" w:hAnsi="Times New Roman"/>
          <w:kern w:val="22"/>
        </w:rPr>
        <w:t xml:space="preserve">ed plant feedstocks for bioenergy purposes. According to the IUCN explanatory guide to the ITPGRFA, the treaty text is ambiguous in whether functional units of heredity are in themselves </w:t>
      </w:r>
      <w:r w:rsidR="00321A4C">
        <w:rPr>
          <w:rFonts w:ascii="Times New Roman" w:hAnsi="Times New Roman"/>
          <w:kern w:val="22"/>
        </w:rPr>
        <w:t>plant genetic resources for food and agriculture (</w:t>
      </w:r>
      <w:r w:rsidRPr="0051013B">
        <w:rPr>
          <w:rFonts w:ascii="Times New Roman" w:hAnsi="Times New Roman"/>
          <w:kern w:val="22"/>
        </w:rPr>
        <w:t>PGRFA</w:t>
      </w:r>
      <w:r w:rsidR="00321A4C">
        <w:rPr>
          <w:rFonts w:ascii="Times New Roman" w:hAnsi="Times New Roman"/>
          <w:kern w:val="22"/>
        </w:rPr>
        <w:t>)</w:t>
      </w:r>
      <w:r w:rsidRPr="0051013B">
        <w:rPr>
          <w:rFonts w:ascii="Times New Roman" w:hAnsi="Times New Roman"/>
          <w:kern w:val="22"/>
        </w:rPr>
        <w:t xml:space="preserve"> or are components of PGRFA </w:t>
      </w:r>
      <w:r w:rsidR="00E920A9">
        <w:rPr>
          <w:rFonts w:ascii="Times New Roman" w:hAnsi="Times New Roman"/>
          <w:kern w:val="22"/>
        </w:rPr>
        <w:fldChar w:fldCharType="begin" w:fldLock="1"/>
      </w:r>
      <w:r w:rsidR="00E920A9">
        <w:rPr>
          <w:rFonts w:ascii="Times New Roman" w:hAnsi="Times New Roman"/>
          <w:kern w:val="22"/>
        </w:rPr>
        <w:instrText>ADDIN CSL_CITATION {"citationItems":[{"id":"ITEM-1","itemData":{"ISBN":"2-8317-0819-2","author":[{"dropping-particle":"","family":"Moore","given":"Gerald","non-dropping-particle":"","parse-names":false,"suffix":""},{"dropping-particle":"","family":"Tymowski","given":"Witold","non-dropping-particle":"","parse-names":false,"suffix":""}],"id":"ITEM-1","issued":{"date-parts":[["2005"]]},"publisher":"International Union for Conservation of Nature","title":"Explanatory Guide to the International Treaty on Plant Genetic Resources for Food and Agriculture","type":"article"},"uris":["http://www.mendeley.com/documents/?uuid=32cc76e7-c77d-43e4-87ac-8743314a3fa4"]}],"mendeley":{"formattedCitation":"(Moore &amp; Tymowski, 2005)","plainTextFormattedCitation":"(Moore &amp; Tymowski, 2005)","previouslyFormattedCitation":"(Moore &amp; Tymowski, 2005)"},"properties":{"noteIndex":0},"schema":"https://github.com/citation-style-language/schema/raw/master/csl-citation.json"}</w:instrText>
      </w:r>
      <w:r w:rsidR="00E920A9">
        <w:rPr>
          <w:rFonts w:ascii="Times New Roman" w:hAnsi="Times New Roman"/>
          <w:kern w:val="22"/>
        </w:rPr>
        <w:fldChar w:fldCharType="separate"/>
      </w:r>
      <w:r w:rsidR="00E920A9" w:rsidRPr="00E920A9">
        <w:rPr>
          <w:rFonts w:ascii="Times New Roman" w:hAnsi="Times New Roman"/>
          <w:noProof/>
          <w:kern w:val="22"/>
        </w:rPr>
        <w:t>(Moore &amp; Tymowski, 2005)</w:t>
      </w:r>
      <w:r w:rsidR="00E920A9">
        <w:rPr>
          <w:rFonts w:ascii="Times New Roman" w:hAnsi="Times New Roman"/>
          <w:kern w:val="22"/>
        </w:rPr>
        <w:fldChar w:fldCharType="end"/>
      </w:r>
      <w:r w:rsidRPr="0051013B">
        <w:rPr>
          <w:rFonts w:ascii="Times New Roman" w:hAnsi="Times New Roman"/>
          <w:kern w:val="22"/>
        </w:rPr>
        <w:t xml:space="preserve">. Thus, if synthetic biology research is based upon DNA sequences of PGRFA, it may be a matter of interpretation whether the research is </w:t>
      </w:r>
      <w:r w:rsidR="00FE73EB" w:rsidRPr="0051013B">
        <w:rPr>
          <w:rFonts w:ascii="Times New Roman" w:hAnsi="Times New Roman"/>
          <w:kern w:val="22"/>
        </w:rPr>
        <w:t>utili</w:t>
      </w:r>
      <w:r w:rsidR="00FE73EB">
        <w:rPr>
          <w:rFonts w:ascii="Times New Roman" w:hAnsi="Times New Roman"/>
          <w:kern w:val="22"/>
        </w:rPr>
        <w:t>s</w:t>
      </w:r>
      <w:r w:rsidR="00FE73EB" w:rsidRPr="0051013B">
        <w:rPr>
          <w:rFonts w:ascii="Times New Roman" w:hAnsi="Times New Roman"/>
          <w:kern w:val="22"/>
        </w:rPr>
        <w:t xml:space="preserve">ing </w:t>
      </w:r>
      <w:r w:rsidRPr="0051013B">
        <w:rPr>
          <w:rFonts w:ascii="Times New Roman" w:hAnsi="Times New Roman"/>
          <w:kern w:val="22"/>
        </w:rPr>
        <w:t xml:space="preserve">PGRFA. </w:t>
      </w:r>
    </w:p>
    <w:p w14:paraId="5A6CFD1F" w14:textId="5BD35CB2" w:rsidR="0051013B" w:rsidRPr="0051013B" w:rsidRDefault="0051013B" w:rsidP="00B3210D">
      <w:pPr>
        <w:suppressAutoHyphens/>
        <w:spacing w:after="120" w:line="240" w:lineRule="auto"/>
        <w:jc w:val="both"/>
        <w:rPr>
          <w:rFonts w:ascii="Times New Roman" w:hAnsi="Times New Roman"/>
          <w:kern w:val="22"/>
        </w:rPr>
      </w:pPr>
      <w:r w:rsidRPr="0051013B">
        <w:rPr>
          <w:rFonts w:ascii="Times New Roman" w:hAnsi="Times New Roman"/>
          <w:kern w:val="22"/>
        </w:rPr>
        <w:t xml:space="preserve">According to Article 5 of the ITPGRFA, Parties are required, subject to certain qualifiers, to promote an integrated approach to the exploration, conservation and sustainable use of plant genetic resources for food and agriculture which includes, in particular, the following activities which may be relevant for synthetic biology techniques: </w:t>
      </w:r>
    </w:p>
    <w:p w14:paraId="22376854" w14:textId="77777777" w:rsidR="0051013B" w:rsidRPr="0051013B" w:rsidRDefault="0051013B" w:rsidP="00F51444">
      <w:pPr>
        <w:numPr>
          <w:ilvl w:val="0"/>
          <w:numId w:val="180"/>
        </w:numPr>
        <w:suppressAutoHyphens/>
        <w:spacing w:after="120" w:line="240" w:lineRule="auto"/>
        <w:ind w:left="284" w:hanging="284"/>
        <w:jc w:val="both"/>
        <w:rPr>
          <w:rFonts w:ascii="Times New Roman" w:hAnsi="Times New Roman"/>
          <w:kern w:val="22"/>
        </w:rPr>
      </w:pPr>
      <w:r w:rsidRPr="0051013B">
        <w:rPr>
          <w:rFonts w:ascii="Times New Roman" w:hAnsi="Times New Roman"/>
          <w:kern w:val="22"/>
        </w:rPr>
        <w:t>Promote the collection of plant genetic resources for food and agriculture and relevant associated information on those plant genetic resources that are under threat or are of potential use;</w:t>
      </w:r>
    </w:p>
    <w:p w14:paraId="42AA1EBB" w14:textId="77777777" w:rsidR="0051013B" w:rsidRPr="0051013B" w:rsidRDefault="0051013B" w:rsidP="00F51444">
      <w:pPr>
        <w:numPr>
          <w:ilvl w:val="0"/>
          <w:numId w:val="180"/>
        </w:numPr>
        <w:suppressAutoHyphens/>
        <w:spacing w:after="120" w:line="240" w:lineRule="auto"/>
        <w:ind w:left="284" w:hanging="284"/>
        <w:jc w:val="both"/>
        <w:rPr>
          <w:rFonts w:ascii="Times New Roman" w:hAnsi="Times New Roman"/>
          <w:kern w:val="22"/>
        </w:rPr>
      </w:pPr>
      <w:r w:rsidRPr="0051013B">
        <w:rPr>
          <w:rFonts w:ascii="Times New Roman" w:hAnsi="Times New Roman"/>
          <w:kern w:val="22"/>
        </w:rPr>
        <w:t xml:space="preserve">Promote </w:t>
      </w:r>
      <w:r w:rsidRPr="00037409">
        <w:rPr>
          <w:rFonts w:ascii="Times New Roman" w:hAnsi="Times New Roman"/>
          <w:i/>
          <w:iCs/>
          <w:kern w:val="22"/>
        </w:rPr>
        <w:t>in situ</w:t>
      </w:r>
      <w:r w:rsidRPr="0051013B">
        <w:rPr>
          <w:rFonts w:ascii="Times New Roman" w:hAnsi="Times New Roman"/>
          <w:kern w:val="22"/>
        </w:rPr>
        <w:t xml:space="preserve"> conservation of wild crop relatives and wild plants for food production, including in protected areas, by supporting, </w:t>
      </w:r>
      <w:r w:rsidRPr="00037409">
        <w:rPr>
          <w:rFonts w:ascii="Times New Roman" w:hAnsi="Times New Roman"/>
          <w:i/>
          <w:iCs/>
          <w:kern w:val="22"/>
        </w:rPr>
        <w:t>inter alia</w:t>
      </w:r>
      <w:r w:rsidRPr="0051013B">
        <w:rPr>
          <w:rFonts w:ascii="Times New Roman" w:hAnsi="Times New Roman"/>
          <w:kern w:val="22"/>
        </w:rPr>
        <w:t>, the efforts of indigenous and local communities;</w:t>
      </w:r>
    </w:p>
    <w:p w14:paraId="1369B8F7" w14:textId="48DBB1D5" w:rsidR="0051013B" w:rsidRPr="0051013B" w:rsidRDefault="0051013B" w:rsidP="00F51444">
      <w:pPr>
        <w:numPr>
          <w:ilvl w:val="0"/>
          <w:numId w:val="180"/>
        </w:numPr>
        <w:suppressAutoHyphens/>
        <w:spacing w:after="120" w:line="240" w:lineRule="auto"/>
        <w:ind w:left="284" w:hanging="284"/>
        <w:jc w:val="both"/>
        <w:rPr>
          <w:rFonts w:ascii="Times New Roman" w:hAnsi="Times New Roman"/>
          <w:kern w:val="22"/>
        </w:rPr>
      </w:pPr>
      <w:r w:rsidRPr="0051013B">
        <w:rPr>
          <w:rFonts w:ascii="Times New Roman" w:hAnsi="Times New Roman"/>
          <w:kern w:val="22"/>
        </w:rPr>
        <w:t xml:space="preserve">Cooperate to promote the development of an efficient and sustainable system of </w:t>
      </w:r>
      <w:r w:rsidRPr="00037409">
        <w:rPr>
          <w:rFonts w:ascii="Times New Roman" w:hAnsi="Times New Roman"/>
          <w:i/>
          <w:iCs/>
          <w:kern w:val="22"/>
        </w:rPr>
        <w:t>ex situ</w:t>
      </w:r>
      <w:r w:rsidRPr="0051013B">
        <w:rPr>
          <w:rFonts w:ascii="Times New Roman" w:hAnsi="Times New Roman"/>
          <w:kern w:val="22"/>
        </w:rPr>
        <w:t xml:space="preserve"> conservation, giving due attention to the need for adequate documentation, characteri</w:t>
      </w:r>
      <w:r w:rsidR="00037409">
        <w:rPr>
          <w:rFonts w:ascii="Times New Roman" w:hAnsi="Times New Roman"/>
          <w:kern w:val="22"/>
        </w:rPr>
        <w:t>s</w:t>
      </w:r>
      <w:r w:rsidRPr="0051013B">
        <w:rPr>
          <w:rFonts w:ascii="Times New Roman" w:hAnsi="Times New Roman"/>
          <w:kern w:val="22"/>
        </w:rPr>
        <w:t>ation, regeneration and evaluation, and promote the development and transfer of appropriate technologies for this purpose with a view to improving the sustainable use of plant genetic resources for food and agriculture; and</w:t>
      </w:r>
    </w:p>
    <w:p w14:paraId="59E984B7" w14:textId="77777777" w:rsidR="0051013B" w:rsidRPr="0051013B" w:rsidRDefault="0051013B" w:rsidP="00F51444">
      <w:pPr>
        <w:numPr>
          <w:ilvl w:val="0"/>
          <w:numId w:val="180"/>
        </w:numPr>
        <w:suppressAutoHyphens/>
        <w:spacing w:after="120" w:line="240" w:lineRule="auto"/>
        <w:ind w:left="284" w:hanging="284"/>
        <w:jc w:val="both"/>
        <w:rPr>
          <w:rFonts w:ascii="Times New Roman" w:hAnsi="Times New Roman"/>
          <w:kern w:val="22"/>
        </w:rPr>
      </w:pPr>
      <w:r w:rsidRPr="0051013B">
        <w:rPr>
          <w:rFonts w:ascii="Times New Roman" w:hAnsi="Times New Roman"/>
          <w:kern w:val="22"/>
        </w:rPr>
        <w:t>Monitor the maintenance of the viability, degree of variation, and the genetic integrity of collections of plant genetic resources for food and agriculture; and</w:t>
      </w:r>
    </w:p>
    <w:p w14:paraId="6E954807" w14:textId="64EBAA50" w:rsidR="0051013B" w:rsidRPr="0051013B" w:rsidRDefault="0051013B" w:rsidP="00F51444">
      <w:pPr>
        <w:numPr>
          <w:ilvl w:val="0"/>
          <w:numId w:val="180"/>
        </w:numPr>
        <w:suppressAutoHyphens/>
        <w:spacing w:after="120" w:line="240" w:lineRule="auto"/>
        <w:ind w:left="284" w:hanging="284"/>
        <w:jc w:val="both"/>
        <w:rPr>
          <w:rFonts w:ascii="Times New Roman" w:hAnsi="Times New Roman"/>
          <w:kern w:val="22"/>
          <w:shd w:val="clear" w:color="auto" w:fill="FFFF00"/>
        </w:rPr>
      </w:pPr>
      <w:r w:rsidRPr="0051013B">
        <w:rPr>
          <w:rFonts w:ascii="Times New Roman" w:hAnsi="Times New Roman"/>
          <w:kern w:val="22"/>
        </w:rPr>
        <w:t xml:space="preserve">Take steps to </w:t>
      </w:r>
      <w:r w:rsidR="004C7467" w:rsidRPr="0051013B">
        <w:rPr>
          <w:rFonts w:ascii="Times New Roman" w:hAnsi="Times New Roman"/>
          <w:kern w:val="22"/>
        </w:rPr>
        <w:t>minimi</w:t>
      </w:r>
      <w:r w:rsidR="004C7467">
        <w:rPr>
          <w:rFonts w:ascii="Times New Roman" w:hAnsi="Times New Roman"/>
          <w:kern w:val="22"/>
        </w:rPr>
        <w:t>s</w:t>
      </w:r>
      <w:r w:rsidR="004C7467" w:rsidRPr="0051013B">
        <w:rPr>
          <w:rFonts w:ascii="Times New Roman" w:hAnsi="Times New Roman"/>
          <w:kern w:val="22"/>
        </w:rPr>
        <w:t xml:space="preserve">e </w:t>
      </w:r>
      <w:r w:rsidRPr="0051013B">
        <w:rPr>
          <w:rFonts w:ascii="Times New Roman" w:hAnsi="Times New Roman"/>
          <w:kern w:val="22"/>
        </w:rPr>
        <w:t>or, if possible, eliminate threats to plant genetic resources for food and agriculture.</w:t>
      </w:r>
    </w:p>
    <w:p w14:paraId="6FF935CB" w14:textId="77777777" w:rsidR="0051013B" w:rsidRPr="008B2B8F" w:rsidRDefault="0051013B">
      <w:pPr>
        <w:suppressAutoHyphens/>
        <w:spacing w:after="120" w:line="240" w:lineRule="auto"/>
        <w:jc w:val="both"/>
        <w:rPr>
          <w:rFonts w:ascii="Times New Roman" w:hAnsi="Times New Roman"/>
          <w:kern w:val="22"/>
        </w:rPr>
      </w:pPr>
      <w:r w:rsidRPr="008B2B8F">
        <w:rPr>
          <w:rFonts w:ascii="Times New Roman" w:hAnsi="Times New Roman"/>
          <w:kern w:val="22"/>
        </w:rPr>
        <w:t xml:space="preserve">These obligations are relevant for synthetic biology in that they support the availability of a broad resource base upon which synthetic biology techniques can draw. </w:t>
      </w:r>
    </w:p>
    <w:p w14:paraId="46919353" w14:textId="647F40E5" w:rsidR="0051013B" w:rsidRPr="0051013B" w:rsidRDefault="0051013B" w:rsidP="005226F1">
      <w:pPr>
        <w:pStyle w:val="Heading6"/>
        <w:numPr>
          <w:ilvl w:val="0"/>
          <w:numId w:val="158"/>
        </w:numPr>
        <w:spacing w:after="120" w:line="240" w:lineRule="auto"/>
        <w:ind w:left="284" w:hanging="284"/>
      </w:pPr>
      <w:r w:rsidRPr="0051013B">
        <w:t>Multilateral system of access and benefit-sharing</w:t>
      </w:r>
      <w:r w:rsidR="004C7467">
        <w:rPr>
          <w:lang w:val="en-US"/>
        </w:rPr>
        <w:t>.</w:t>
      </w:r>
      <w:r w:rsidRPr="0051013B">
        <w:t xml:space="preserve"> </w:t>
      </w:r>
    </w:p>
    <w:p w14:paraId="59CDA441" w14:textId="61156B8C" w:rsidR="0051013B" w:rsidRPr="0051013B" w:rsidRDefault="0051013B" w:rsidP="0051013B">
      <w:pPr>
        <w:suppressAutoHyphens/>
        <w:spacing w:after="120" w:line="240" w:lineRule="auto"/>
        <w:jc w:val="both"/>
        <w:rPr>
          <w:rFonts w:ascii="Times New Roman" w:hAnsi="Times New Roman"/>
          <w:kern w:val="22"/>
          <w:shd w:val="clear" w:color="auto" w:fill="FFFF00"/>
        </w:rPr>
      </w:pPr>
      <w:r w:rsidRPr="0051013B">
        <w:rPr>
          <w:rFonts w:ascii="Times New Roman" w:hAnsi="Times New Roman"/>
          <w:kern w:val="22"/>
        </w:rPr>
        <w:t xml:space="preserve">In Article 10, paragraph 2 of the ITPGRFA, Parties established a multilateral system to facilitate access to plant genetic resources for food and agriculture, and to share, in a fair and equitable way, the benefits arising from the utilization of these resources, on a complementary and mutually reinforcing basis. The Multilateral System applies to the plant genetic resources for food and agriculture listed in Annex I to the treaty, a pool of 64 food and forage crops, established according to criteria of food security and interdependence. Some of these Annex I crops are the focus of synthetic biology research. One example is the modification of maize to be a more efficient biofuel feedstock (see section </w:t>
      </w:r>
      <w:r w:rsidR="00AA6761">
        <w:rPr>
          <w:rFonts w:ascii="Times New Roman" w:hAnsi="Times New Roman"/>
          <w:kern w:val="22"/>
        </w:rPr>
        <w:t>4</w:t>
      </w:r>
      <w:r w:rsidRPr="0051013B">
        <w:rPr>
          <w:rFonts w:ascii="Times New Roman" w:hAnsi="Times New Roman"/>
          <w:kern w:val="22"/>
        </w:rPr>
        <w:t xml:space="preserve">). Also, some synthetic biology research is focused on modifying micro-organisms to produce substances that would substitute for Annex I crops, such as lauric acids that are currently produced in part from coconuts (see section </w:t>
      </w:r>
      <w:r w:rsidR="00AA6761">
        <w:rPr>
          <w:rFonts w:ascii="Times New Roman" w:hAnsi="Times New Roman"/>
          <w:kern w:val="22"/>
        </w:rPr>
        <w:t>4</w:t>
      </w:r>
      <w:r w:rsidRPr="0051013B">
        <w:rPr>
          <w:rFonts w:ascii="Times New Roman" w:hAnsi="Times New Roman"/>
          <w:kern w:val="22"/>
        </w:rPr>
        <w:t xml:space="preserve">)  </w:t>
      </w:r>
    </w:p>
    <w:p w14:paraId="412327EE" w14:textId="1D83E301" w:rsidR="0051013B" w:rsidRPr="0051013B" w:rsidRDefault="0051013B" w:rsidP="0051013B">
      <w:pPr>
        <w:suppressAutoHyphens/>
        <w:spacing w:after="120" w:line="240" w:lineRule="auto"/>
        <w:jc w:val="both"/>
        <w:rPr>
          <w:rFonts w:ascii="Times New Roman" w:hAnsi="Times New Roman"/>
          <w:kern w:val="22"/>
          <w:shd w:val="clear" w:color="auto" w:fill="00FF00"/>
        </w:rPr>
      </w:pPr>
      <w:r w:rsidRPr="0051013B">
        <w:rPr>
          <w:rFonts w:ascii="Times New Roman" w:hAnsi="Times New Roman"/>
          <w:kern w:val="22"/>
        </w:rPr>
        <w:t>Article 12 requires Parties to provide facilitated access to plant genetic resources for food and agriculture to other Parties, including to legal and natural persons under their jurisdiction. This access is to be granted pursuant to a standard Material Transfer Agreement through the Multilateral System under certain conditions, including:</w:t>
      </w:r>
    </w:p>
    <w:p w14:paraId="7CBFB8E3" w14:textId="735BD1A9" w:rsidR="0051013B" w:rsidRPr="0051013B" w:rsidRDefault="0051013B" w:rsidP="0097693C">
      <w:pPr>
        <w:numPr>
          <w:ilvl w:val="0"/>
          <w:numId w:val="181"/>
        </w:numPr>
        <w:tabs>
          <w:tab w:val="clear" w:pos="0"/>
        </w:tabs>
        <w:suppressAutoHyphens/>
        <w:spacing w:after="60" w:line="240" w:lineRule="auto"/>
        <w:ind w:left="284" w:hanging="284"/>
        <w:jc w:val="both"/>
        <w:rPr>
          <w:rFonts w:ascii="Times New Roman" w:hAnsi="Times New Roman"/>
          <w:kern w:val="22"/>
        </w:rPr>
      </w:pPr>
      <w:r w:rsidRPr="0051013B">
        <w:rPr>
          <w:rFonts w:ascii="Times New Roman" w:hAnsi="Times New Roman"/>
          <w:kern w:val="22"/>
        </w:rPr>
        <w:t xml:space="preserve">Access shall be provided solely for the purpose of </w:t>
      </w:r>
      <w:r w:rsidR="00C270DD" w:rsidRPr="0051013B">
        <w:rPr>
          <w:rFonts w:ascii="Times New Roman" w:hAnsi="Times New Roman"/>
          <w:kern w:val="22"/>
        </w:rPr>
        <w:t>utili</w:t>
      </w:r>
      <w:r w:rsidR="00C270DD">
        <w:rPr>
          <w:rFonts w:ascii="Times New Roman" w:hAnsi="Times New Roman"/>
          <w:kern w:val="22"/>
        </w:rPr>
        <w:t>s</w:t>
      </w:r>
      <w:r w:rsidR="00C270DD" w:rsidRPr="0051013B">
        <w:rPr>
          <w:rFonts w:ascii="Times New Roman" w:hAnsi="Times New Roman"/>
          <w:kern w:val="22"/>
        </w:rPr>
        <w:t xml:space="preserve">ation </w:t>
      </w:r>
      <w:r w:rsidRPr="0051013B">
        <w:rPr>
          <w:rFonts w:ascii="Times New Roman" w:hAnsi="Times New Roman"/>
          <w:kern w:val="22"/>
        </w:rPr>
        <w:t xml:space="preserve">and conservation for research, breeding and training for food and agriculture, provided that such purpose does not include chemical, pharmaceutical and/or other non-food/feed industrial uses. </w:t>
      </w:r>
    </w:p>
    <w:p w14:paraId="6224DE17" w14:textId="3687EB18" w:rsidR="0051013B" w:rsidRPr="0051013B" w:rsidRDefault="0051013B" w:rsidP="0097693C">
      <w:pPr>
        <w:numPr>
          <w:ilvl w:val="0"/>
          <w:numId w:val="181"/>
        </w:numPr>
        <w:tabs>
          <w:tab w:val="clear" w:pos="0"/>
        </w:tabs>
        <w:suppressAutoHyphens/>
        <w:spacing w:after="60" w:line="240" w:lineRule="auto"/>
        <w:ind w:left="284" w:hanging="284"/>
        <w:jc w:val="both"/>
        <w:rPr>
          <w:rFonts w:ascii="Times New Roman" w:hAnsi="Times New Roman"/>
          <w:kern w:val="22"/>
        </w:rPr>
      </w:pPr>
      <w:r w:rsidRPr="0051013B">
        <w:rPr>
          <w:rFonts w:ascii="Times New Roman" w:hAnsi="Times New Roman"/>
          <w:kern w:val="22"/>
        </w:rPr>
        <w:t>Recipients shall not claim any intellectual property or other rights that limit the facilitated access to the plant genetic resources for food and agriculture, or their genetic parts or components, in the form received from the Multilateral System</w:t>
      </w:r>
      <w:r w:rsidR="00C270DD">
        <w:rPr>
          <w:rFonts w:ascii="Times New Roman" w:hAnsi="Times New Roman"/>
          <w:kern w:val="22"/>
        </w:rPr>
        <w:t>.</w:t>
      </w:r>
    </w:p>
    <w:p w14:paraId="3B68FB7C" w14:textId="77777777" w:rsidR="0051013B" w:rsidRPr="0051013B" w:rsidRDefault="0051013B" w:rsidP="0097693C">
      <w:pPr>
        <w:numPr>
          <w:ilvl w:val="0"/>
          <w:numId w:val="181"/>
        </w:numPr>
        <w:tabs>
          <w:tab w:val="clear" w:pos="0"/>
        </w:tabs>
        <w:suppressAutoHyphens/>
        <w:spacing w:after="60" w:line="240" w:lineRule="auto"/>
        <w:ind w:left="284" w:hanging="284"/>
        <w:jc w:val="both"/>
        <w:rPr>
          <w:rFonts w:ascii="Times New Roman" w:hAnsi="Times New Roman"/>
          <w:kern w:val="22"/>
        </w:rPr>
      </w:pPr>
      <w:r w:rsidRPr="0051013B">
        <w:rPr>
          <w:rFonts w:ascii="Times New Roman" w:hAnsi="Times New Roman"/>
          <w:kern w:val="22"/>
        </w:rPr>
        <w:t>Access to plant genetic resources for food and agriculture under development, including material being developed by farmers, shall be at the discretion of its developer, during the period of its development; and</w:t>
      </w:r>
    </w:p>
    <w:p w14:paraId="4584A9CD" w14:textId="77777777" w:rsidR="0051013B" w:rsidRPr="0051013B" w:rsidRDefault="0051013B" w:rsidP="0097693C">
      <w:pPr>
        <w:numPr>
          <w:ilvl w:val="0"/>
          <w:numId w:val="181"/>
        </w:numPr>
        <w:tabs>
          <w:tab w:val="clear" w:pos="0"/>
        </w:tabs>
        <w:suppressAutoHyphens/>
        <w:spacing w:after="60" w:line="240" w:lineRule="auto"/>
        <w:ind w:left="284" w:hanging="284"/>
        <w:jc w:val="both"/>
        <w:rPr>
          <w:rFonts w:ascii="Times New Roman" w:hAnsi="Times New Roman"/>
          <w:kern w:val="22"/>
        </w:rPr>
      </w:pPr>
      <w:r w:rsidRPr="0051013B">
        <w:rPr>
          <w:rFonts w:ascii="Times New Roman" w:hAnsi="Times New Roman"/>
          <w:kern w:val="22"/>
        </w:rPr>
        <w:t>Access to plant genetic resources for food and agriculture protected by intellectual and other property rights shall be consistent with relevant international agreements, and with relevant national laws.</w:t>
      </w:r>
    </w:p>
    <w:p w14:paraId="0D72EA94" w14:textId="5D444362" w:rsidR="0051013B" w:rsidRPr="0051013B" w:rsidRDefault="0051013B" w:rsidP="0051013B">
      <w:pPr>
        <w:suppressAutoHyphens/>
        <w:spacing w:after="120" w:line="240" w:lineRule="auto"/>
        <w:jc w:val="both"/>
        <w:rPr>
          <w:rFonts w:ascii="Times New Roman" w:hAnsi="Times New Roman"/>
          <w:kern w:val="22"/>
        </w:rPr>
      </w:pPr>
      <w:r w:rsidRPr="0051013B">
        <w:rPr>
          <w:rFonts w:ascii="Times New Roman" w:hAnsi="Times New Roman"/>
          <w:kern w:val="22"/>
        </w:rPr>
        <w:t xml:space="preserve">Under Article 13 of ITPGRFA the Parties agree that benefits arising from the use, including commercial, of plant genetic resources for food and agriculture under the Multilateral System shall be shared fairly and equitably through the exchange of information, access to and transfer of technology, capacity-building, and the sharing of the benefits arising from </w:t>
      </w:r>
      <w:r w:rsidR="004C7467" w:rsidRPr="0051013B">
        <w:rPr>
          <w:rFonts w:ascii="Times New Roman" w:hAnsi="Times New Roman"/>
          <w:kern w:val="22"/>
        </w:rPr>
        <w:t>commerciali</w:t>
      </w:r>
      <w:r w:rsidR="004C7467">
        <w:rPr>
          <w:rFonts w:ascii="Times New Roman" w:hAnsi="Times New Roman"/>
          <w:kern w:val="22"/>
        </w:rPr>
        <w:t>s</w:t>
      </w:r>
      <w:r w:rsidR="004C7467" w:rsidRPr="0051013B">
        <w:rPr>
          <w:rFonts w:ascii="Times New Roman" w:hAnsi="Times New Roman"/>
          <w:kern w:val="22"/>
        </w:rPr>
        <w:t>ation</w:t>
      </w:r>
      <w:r w:rsidRPr="0051013B">
        <w:rPr>
          <w:rFonts w:ascii="Times New Roman" w:hAnsi="Times New Roman"/>
          <w:kern w:val="22"/>
        </w:rPr>
        <w:t xml:space="preserve">. </w:t>
      </w:r>
    </w:p>
    <w:p w14:paraId="0C9DDFB9" w14:textId="3ED0FADC" w:rsidR="0051013B" w:rsidRPr="0051013B" w:rsidRDefault="0051013B" w:rsidP="0051013B">
      <w:pPr>
        <w:suppressAutoHyphens/>
        <w:spacing w:after="120" w:line="240" w:lineRule="auto"/>
        <w:jc w:val="both"/>
        <w:rPr>
          <w:rFonts w:ascii="Times New Roman" w:hAnsi="Times New Roman"/>
          <w:kern w:val="22"/>
        </w:rPr>
      </w:pPr>
      <w:r w:rsidRPr="0051013B">
        <w:rPr>
          <w:rFonts w:ascii="Times New Roman" w:hAnsi="Times New Roman"/>
          <w:kern w:val="22"/>
        </w:rPr>
        <w:t xml:space="preserve">The latter is achieved through a requirement in the Material Transfer Agreement that a recipient who </w:t>
      </w:r>
      <w:r w:rsidR="002916A5" w:rsidRPr="0051013B">
        <w:rPr>
          <w:rFonts w:ascii="Times New Roman" w:hAnsi="Times New Roman"/>
          <w:kern w:val="22"/>
        </w:rPr>
        <w:t>commerciali</w:t>
      </w:r>
      <w:r w:rsidR="002916A5">
        <w:rPr>
          <w:rFonts w:ascii="Times New Roman" w:hAnsi="Times New Roman"/>
          <w:kern w:val="22"/>
        </w:rPr>
        <w:t>s</w:t>
      </w:r>
      <w:r w:rsidR="002916A5" w:rsidRPr="0051013B">
        <w:rPr>
          <w:rFonts w:ascii="Times New Roman" w:hAnsi="Times New Roman"/>
          <w:kern w:val="22"/>
        </w:rPr>
        <w:t xml:space="preserve">es </w:t>
      </w:r>
      <w:r w:rsidRPr="0051013B">
        <w:rPr>
          <w:rFonts w:ascii="Times New Roman" w:hAnsi="Times New Roman"/>
          <w:kern w:val="22"/>
        </w:rPr>
        <w:t xml:space="preserve">a product that is a plant genetic resource for food and agriculture and that incorporates material accessed from the Multilateral System shall pay to a trust fund, especially established for this purpose, an equitable share of the benefits arising from the </w:t>
      </w:r>
      <w:r w:rsidR="002916A5" w:rsidRPr="0051013B">
        <w:rPr>
          <w:rFonts w:ascii="Times New Roman" w:hAnsi="Times New Roman"/>
          <w:kern w:val="22"/>
        </w:rPr>
        <w:t>commerciali</w:t>
      </w:r>
      <w:r w:rsidR="002916A5">
        <w:rPr>
          <w:rFonts w:ascii="Times New Roman" w:hAnsi="Times New Roman"/>
          <w:kern w:val="22"/>
        </w:rPr>
        <w:t>s</w:t>
      </w:r>
      <w:r w:rsidR="002916A5" w:rsidRPr="0051013B">
        <w:rPr>
          <w:rFonts w:ascii="Times New Roman" w:hAnsi="Times New Roman"/>
          <w:kern w:val="22"/>
        </w:rPr>
        <w:t xml:space="preserve">ation </w:t>
      </w:r>
      <w:r w:rsidRPr="0051013B">
        <w:rPr>
          <w:rFonts w:ascii="Times New Roman" w:hAnsi="Times New Roman"/>
          <w:kern w:val="22"/>
        </w:rPr>
        <w:t xml:space="preserve">of that product. Such payment is not required when the product is available without restriction to others for further research and breeding, in which case the recipient who </w:t>
      </w:r>
      <w:r w:rsidR="002916A5" w:rsidRPr="0051013B">
        <w:rPr>
          <w:rFonts w:ascii="Times New Roman" w:hAnsi="Times New Roman"/>
          <w:kern w:val="22"/>
        </w:rPr>
        <w:t>commerciali</w:t>
      </w:r>
      <w:r w:rsidR="002916A5">
        <w:rPr>
          <w:rFonts w:ascii="Times New Roman" w:hAnsi="Times New Roman"/>
          <w:kern w:val="22"/>
        </w:rPr>
        <w:t>s</w:t>
      </w:r>
      <w:r w:rsidR="002916A5" w:rsidRPr="0051013B">
        <w:rPr>
          <w:rFonts w:ascii="Times New Roman" w:hAnsi="Times New Roman"/>
          <w:kern w:val="22"/>
        </w:rPr>
        <w:t xml:space="preserve">es </w:t>
      </w:r>
      <w:r w:rsidRPr="0051013B">
        <w:rPr>
          <w:rFonts w:ascii="Times New Roman" w:hAnsi="Times New Roman"/>
          <w:kern w:val="22"/>
        </w:rPr>
        <w:t>shall be encouraged to make such payment.</w:t>
      </w:r>
    </w:p>
    <w:p w14:paraId="1F9C7947" w14:textId="77777777" w:rsidR="0051013B" w:rsidRPr="0051013B" w:rsidRDefault="0051013B" w:rsidP="0051013B">
      <w:pPr>
        <w:suppressAutoHyphens/>
        <w:spacing w:after="120" w:line="240" w:lineRule="auto"/>
        <w:jc w:val="both"/>
        <w:rPr>
          <w:rFonts w:ascii="Times New Roman" w:hAnsi="Times New Roman"/>
          <w:kern w:val="22"/>
        </w:rPr>
      </w:pPr>
      <w:r w:rsidRPr="0051013B">
        <w:rPr>
          <w:rFonts w:ascii="Times New Roman" w:hAnsi="Times New Roman"/>
          <w:kern w:val="22"/>
        </w:rPr>
        <w:t>While the Multilateral System applies only to the plant genetic resources for food and agriculture set out in Annex I to ITPGRFA, genetic resources not listed in Annex I and held by the International Agricultural Centres and other international institutions, that have signed an agreement with the ITPGRFA’s Governing Body, are to be exchanged under similar terms and conditions as the Multilateral System. It is to be noted that some countries now apply, on a voluntary basis, the ITPGRFA’s standard material transfer agreement to plant genetic resources for food and agriculture not listed in Annex I to the ITPGRFA, which means that the conditions of the Multilateral System, ostensibly, also apply to those crops.</w:t>
      </w:r>
    </w:p>
    <w:p w14:paraId="50E54DB1" w14:textId="77777777" w:rsidR="0051013B" w:rsidRPr="0051013B" w:rsidRDefault="0051013B" w:rsidP="0051013B">
      <w:pPr>
        <w:suppressAutoHyphens/>
        <w:spacing w:after="120" w:line="240" w:lineRule="auto"/>
        <w:jc w:val="both"/>
        <w:rPr>
          <w:rFonts w:ascii="Times New Roman" w:hAnsi="Times New Roman"/>
          <w:kern w:val="22"/>
        </w:rPr>
      </w:pPr>
      <w:r w:rsidRPr="0051013B">
        <w:rPr>
          <w:rFonts w:ascii="Times New Roman" w:hAnsi="Times New Roman"/>
          <w:kern w:val="22"/>
        </w:rPr>
        <w:t xml:space="preserve">At its fifth session in 2013, the Governing Body of the ITPGRFA established a process to enhance the functioning of the multilateral system of access and benefit-sharing. A number of issues arose through this process including how DSI should be addressed under the Treaty and whether to expand Annex I of the Treaty to cover food and forage crops or perhaps even all PGRFA. The final outcomes of this process were to be adopted by the Governing Body at its eighth session in 2019, however the Governing Body was unable to come to an agreement. At the time of writing, it is unclear if and how this work may continue. </w:t>
      </w:r>
    </w:p>
    <w:p w14:paraId="07E26249" w14:textId="3EB9C5FB" w:rsidR="0051013B" w:rsidRPr="0051013B" w:rsidRDefault="0051013B" w:rsidP="0051013B">
      <w:pPr>
        <w:suppressAutoHyphens/>
        <w:spacing w:after="120" w:line="240" w:lineRule="auto"/>
        <w:jc w:val="both"/>
        <w:rPr>
          <w:rFonts w:ascii="Times New Roman" w:hAnsi="Times New Roman"/>
          <w:kern w:val="22"/>
        </w:rPr>
      </w:pPr>
      <w:r w:rsidRPr="0051013B">
        <w:rPr>
          <w:rFonts w:ascii="Times New Roman" w:hAnsi="Times New Roman"/>
          <w:kern w:val="22"/>
        </w:rPr>
        <w:t xml:space="preserve">It is worth noting in support of this process, in 2017 the ITPGRFA Secretary commissioned a ‘Scoping Report Potential implications of new synthetic biology and genomic research trajectories on the International Treaty for Plant Genetic Resources for Food and Agriculture’ </w:t>
      </w:r>
      <w:r w:rsidR="00E920A9">
        <w:rPr>
          <w:rFonts w:ascii="Times New Roman" w:hAnsi="Times New Roman"/>
          <w:kern w:val="22"/>
        </w:rPr>
        <w:fldChar w:fldCharType="begin" w:fldLock="1"/>
      </w:r>
      <w:r w:rsidR="00E920A9">
        <w:rPr>
          <w:rFonts w:ascii="Times New Roman" w:hAnsi="Times New Roman"/>
          <w:kern w:val="22"/>
        </w:rPr>
        <w:instrText>ADDIN CSL_CITATION {"citationItems":[{"id":"ITEM-1","itemData":{"author":[{"dropping-particle":"","family":"Welch","given":"Eric W","non-dropping-particle":"","parse-names":false,"suffix":""},{"dropping-particle":"","family":"Bagley","given":"Margo","non-dropping-particle":"","parse-names":false,"suffix":""},{"dropping-particle":"","family":"Kuiken","given":"Todd","non-dropping-particle":"","parse-names":false,"suffix":""},{"dropping-particle":"","family":"Louafi","given":"Sélim","non-dropping-particle":"","parse-names":false,"suffix":""}],"id":"ITEM-1","issued":{"date-parts":[["2017"]]},"title":"Scoping Report Potential implications of new synthetic biology and genomic research trajectories on the International Treaty for Plant Genetic Resources for Food and Agriculture (ITPGRFA or 'Treaty') Executive summary","type":"article"},"uris":["http://www.mendeley.com/documents/?uuid=5d1abd78-377e-4d41-984c-2d245399208d"]}],"mendeley":{"formattedCitation":"(Welch et al., 2017)","plainTextFormattedCitation":"(Welch et al., 2017)","previouslyFormattedCitation":"(Welch et al., 2017)"},"properties":{"noteIndex":0},"schema":"https://github.com/citation-style-language/schema/raw/master/csl-citation.json"}</w:instrText>
      </w:r>
      <w:r w:rsidR="00E920A9">
        <w:rPr>
          <w:rFonts w:ascii="Times New Roman" w:hAnsi="Times New Roman"/>
          <w:kern w:val="22"/>
        </w:rPr>
        <w:fldChar w:fldCharType="separate"/>
      </w:r>
      <w:r w:rsidR="00E920A9" w:rsidRPr="00E920A9">
        <w:rPr>
          <w:rFonts w:ascii="Times New Roman" w:hAnsi="Times New Roman"/>
          <w:noProof/>
          <w:kern w:val="22"/>
        </w:rPr>
        <w:t>(Welch et al., 2017)</w:t>
      </w:r>
      <w:r w:rsidR="00E920A9">
        <w:rPr>
          <w:rFonts w:ascii="Times New Roman" w:hAnsi="Times New Roman"/>
          <w:kern w:val="22"/>
        </w:rPr>
        <w:fldChar w:fldCharType="end"/>
      </w:r>
      <w:r w:rsidRPr="0051013B">
        <w:rPr>
          <w:rFonts w:ascii="Times New Roman" w:hAnsi="Times New Roman"/>
          <w:kern w:val="22"/>
        </w:rPr>
        <w:t xml:space="preserve"> to explore how current technologies and practices related to the exchange and use of genetic information are relevant for the ITPGRFA.</w:t>
      </w:r>
    </w:p>
    <w:p w14:paraId="12E13BFA" w14:textId="79281886" w:rsidR="0051013B" w:rsidRPr="0051013B" w:rsidRDefault="0051013B" w:rsidP="0051013B">
      <w:pPr>
        <w:suppressAutoHyphens/>
        <w:spacing w:after="120" w:line="240" w:lineRule="auto"/>
        <w:jc w:val="both"/>
        <w:rPr>
          <w:rFonts w:ascii="Times New Roman" w:hAnsi="Times New Roman"/>
          <w:kern w:val="22"/>
        </w:rPr>
      </w:pPr>
      <w:r w:rsidRPr="0051013B">
        <w:rPr>
          <w:rFonts w:ascii="Times New Roman" w:hAnsi="Times New Roman"/>
          <w:kern w:val="22"/>
        </w:rPr>
        <w:t>It is also worth noting that the divergence of views among Parties regarding benefit-sharing from the use of digital sequence information on genetic resources under the CBD and its Nagoya Protocol (as noted in section 8.1.5 and 8.</w:t>
      </w:r>
      <w:r w:rsidR="00E44EEF">
        <w:rPr>
          <w:rFonts w:ascii="Times New Roman" w:hAnsi="Times New Roman"/>
          <w:kern w:val="22"/>
        </w:rPr>
        <w:t>4</w:t>
      </w:r>
      <w:r w:rsidRPr="0051013B">
        <w:rPr>
          <w:rFonts w:ascii="Times New Roman" w:hAnsi="Times New Roman"/>
          <w:kern w:val="22"/>
        </w:rPr>
        <w:t>.1) is mirrored under the ITPGRFA. The outcome of this ongoing debate on interpretation may have implications</w:t>
      </w:r>
      <w:r w:rsidRPr="0051013B" w:rsidDel="00F83333">
        <w:rPr>
          <w:rFonts w:ascii="Times New Roman" w:hAnsi="Times New Roman"/>
          <w:kern w:val="22"/>
        </w:rPr>
        <w:t xml:space="preserve"> </w:t>
      </w:r>
      <w:r w:rsidRPr="0051013B">
        <w:rPr>
          <w:rFonts w:ascii="Times New Roman" w:hAnsi="Times New Roman"/>
          <w:kern w:val="22"/>
        </w:rPr>
        <w:t xml:space="preserve">for the </w:t>
      </w:r>
      <w:r w:rsidRPr="0051013B" w:rsidDel="00F83333">
        <w:rPr>
          <w:rFonts w:ascii="Times New Roman" w:hAnsi="Times New Roman"/>
          <w:kern w:val="22"/>
        </w:rPr>
        <w:t>products derived from natural sequences</w:t>
      </w:r>
      <w:r w:rsidRPr="0051013B">
        <w:rPr>
          <w:rFonts w:ascii="Times New Roman" w:hAnsi="Times New Roman"/>
          <w:kern w:val="22"/>
        </w:rPr>
        <w:t xml:space="preserve"> – and possibly other types of digital sequence information –</w:t>
      </w:r>
      <w:r w:rsidRPr="0051013B" w:rsidDel="00F83333">
        <w:rPr>
          <w:rFonts w:ascii="Times New Roman" w:hAnsi="Times New Roman"/>
          <w:kern w:val="22"/>
        </w:rPr>
        <w:t xml:space="preserve"> using synthetic biology</w:t>
      </w:r>
      <w:r w:rsidRPr="0051013B">
        <w:rPr>
          <w:rFonts w:ascii="Times New Roman" w:hAnsi="Times New Roman"/>
          <w:kern w:val="22"/>
        </w:rPr>
        <w:t xml:space="preserve"> in the context of plant genetic resources for food and agriculture</w:t>
      </w:r>
      <w:r w:rsidRPr="0051013B" w:rsidDel="00F83333">
        <w:rPr>
          <w:rFonts w:ascii="Times New Roman" w:hAnsi="Times New Roman"/>
          <w:kern w:val="22"/>
        </w:rPr>
        <w:t>.</w:t>
      </w:r>
    </w:p>
    <w:p w14:paraId="65C694CC" w14:textId="7AE6D7FE" w:rsidR="0051013B" w:rsidRPr="0051013B" w:rsidRDefault="0051013B" w:rsidP="0051013B">
      <w:pPr>
        <w:suppressAutoHyphens/>
        <w:spacing w:after="120" w:line="240" w:lineRule="auto"/>
        <w:jc w:val="both"/>
        <w:rPr>
          <w:rFonts w:ascii="Times New Roman" w:hAnsi="Times New Roman"/>
          <w:kern w:val="22"/>
        </w:rPr>
      </w:pPr>
      <w:r w:rsidRPr="0051013B">
        <w:rPr>
          <w:rFonts w:ascii="Times New Roman" w:hAnsi="Times New Roman"/>
          <w:kern w:val="22"/>
        </w:rPr>
        <w:t xml:space="preserve">More broadly with regard to the transfer of technology, Parties committed to providing and/or facilitating access to technologies for the conservation, characterization, evaluation and use of plant genetic resources for food and agriculture. According to the IUCN Guide to the ITPGRFA, technologies for the use of plant genetic resources include both traditional plant breeding techniques and biotechnological methods, such as molecular markers and recombinant DNA technology </w:t>
      </w:r>
      <w:r w:rsidR="00E920A9">
        <w:rPr>
          <w:rFonts w:ascii="Times New Roman" w:hAnsi="Times New Roman"/>
          <w:kern w:val="22"/>
        </w:rPr>
        <w:fldChar w:fldCharType="begin" w:fldLock="1"/>
      </w:r>
      <w:r w:rsidR="008155CC">
        <w:rPr>
          <w:rFonts w:ascii="Times New Roman" w:hAnsi="Times New Roman"/>
          <w:kern w:val="22"/>
        </w:rPr>
        <w:instrText>ADDIN CSL_CITATION {"citationItems":[{"id":"ITEM-1","itemData":{"ISBN":"2-8317-0819-2","author":[{"dropping-particle":"","family":"Moore","given":"Gerald","non-dropping-particle":"","parse-names":false,"suffix":""},{"dropping-particle":"","family":"Tymowski","given":"Witold","non-dropping-particle":"","parse-names":false,"suffix":""}],"id":"ITEM-1","issued":{"date-parts":[["2005"]]},"publisher":"International Union for Conservation of Nature","title":"Explanatory Guide to the International Treaty on Plant Genetic Resources for Food and Agriculture","type":"article"},"uris":["http://www.mendeley.com/documents/?uuid=32cc76e7-c77d-43e4-87ac-8743314a3fa4"]}],"mendeley":{"formattedCitation":"(Moore &amp; Tymowski, 2005)","plainTextFormattedCitation":"(Moore &amp; Tymowski, 2005)","previouslyFormattedCitation":"(Moore &amp; Tymowski, 2005)"},"properties":{"noteIndex":0},"schema":"https://github.com/citation-style-language/schema/raw/master/csl-citation.json"}</w:instrText>
      </w:r>
      <w:r w:rsidR="00E920A9">
        <w:rPr>
          <w:rFonts w:ascii="Times New Roman" w:hAnsi="Times New Roman"/>
          <w:kern w:val="22"/>
        </w:rPr>
        <w:fldChar w:fldCharType="separate"/>
      </w:r>
      <w:r w:rsidR="00E920A9" w:rsidRPr="00E920A9">
        <w:rPr>
          <w:rFonts w:ascii="Times New Roman" w:hAnsi="Times New Roman"/>
          <w:noProof/>
          <w:kern w:val="22"/>
        </w:rPr>
        <w:t>(Moore &amp; Tymowski, 2005)</w:t>
      </w:r>
      <w:r w:rsidR="00E920A9">
        <w:rPr>
          <w:rFonts w:ascii="Times New Roman" w:hAnsi="Times New Roman"/>
          <w:kern w:val="22"/>
        </w:rPr>
        <w:fldChar w:fldCharType="end"/>
      </w:r>
      <w:r w:rsidR="00E920A9">
        <w:rPr>
          <w:rFonts w:ascii="Times New Roman" w:hAnsi="Times New Roman"/>
          <w:kern w:val="22"/>
        </w:rPr>
        <w:t>.</w:t>
      </w:r>
    </w:p>
    <w:p w14:paraId="0E47520B" w14:textId="36D4B0F8" w:rsidR="0051013B" w:rsidRPr="0051013B" w:rsidRDefault="00394F77" w:rsidP="00C470A8">
      <w:pPr>
        <w:pStyle w:val="Heading5"/>
        <w:tabs>
          <w:tab w:val="clear" w:pos="1800"/>
        </w:tabs>
        <w:ind w:left="284" w:hanging="284"/>
        <w:rPr>
          <w:shd w:val="clear" w:color="auto" w:fill="FFFFFF"/>
        </w:rPr>
      </w:pPr>
      <w:r w:rsidRPr="005226F1">
        <w:rPr>
          <w:i w:val="0"/>
          <w:shd w:val="clear" w:color="auto" w:fill="FFFFFF"/>
        </w:rPr>
        <w:t>(b)</w:t>
      </w:r>
      <w:r>
        <w:rPr>
          <w:shd w:val="clear" w:color="auto" w:fill="FFFFFF"/>
        </w:rPr>
        <w:t xml:space="preserve"> </w:t>
      </w:r>
      <w:r w:rsidR="0051013B" w:rsidRPr="0051013B">
        <w:rPr>
          <w:shd w:val="clear" w:color="auto" w:fill="FFFFFF"/>
        </w:rPr>
        <w:t>The United Nations Convention on the Law of the Sea (UNCLOS) proposed agreement for marine biodiversity beyond national jurisdiction (BBNJ)</w:t>
      </w:r>
      <w:r w:rsidR="00555C8C">
        <w:rPr>
          <w:shd w:val="clear" w:color="auto" w:fill="FFFFFF"/>
        </w:rPr>
        <w:t>.</w:t>
      </w:r>
    </w:p>
    <w:p w14:paraId="47721DBA" w14:textId="05B0FF63" w:rsidR="006938F0" w:rsidRPr="00C22793" w:rsidRDefault="006938F0" w:rsidP="009D4A51">
      <w:pPr>
        <w:spacing w:line="240" w:lineRule="auto"/>
        <w:jc w:val="both"/>
        <w:rPr>
          <w:rFonts w:ascii="Times New Roman"/>
        </w:rPr>
      </w:pPr>
      <w:r w:rsidRPr="00C22793">
        <w:rPr>
          <w:rFonts w:ascii="Times New Roman"/>
        </w:rPr>
        <w:t xml:space="preserve">The United Nations Convention on the Law of the Sea (UNCLOS) is an international agreement that resulted from the third United Nations Conference on the Law of the Sea, which took place between 1973 and 1982. It has 157 Parties.  </w:t>
      </w:r>
    </w:p>
    <w:p w14:paraId="7FEB3884" w14:textId="08105A00" w:rsidR="006938F0" w:rsidRPr="00C22793" w:rsidRDefault="006938F0" w:rsidP="009D4A51">
      <w:pPr>
        <w:spacing w:line="240" w:lineRule="auto"/>
        <w:jc w:val="both"/>
        <w:rPr>
          <w:rFonts w:ascii="Times New Roman"/>
        </w:rPr>
      </w:pPr>
      <w:r w:rsidRPr="00C22793">
        <w:rPr>
          <w:rFonts w:ascii="Times New Roman"/>
        </w:rPr>
        <w:t>The specific question of international governance of marine genetic resources in areas beyond national jurisdiction (ABNJ) was not addressed in the 1982 agreement. As a result</w:t>
      </w:r>
      <w:r w:rsidR="00555C8C">
        <w:rPr>
          <w:rFonts w:ascii="Times New Roman"/>
        </w:rPr>
        <w:t>,</w:t>
      </w:r>
      <w:r w:rsidRPr="00C22793">
        <w:rPr>
          <w:rFonts w:ascii="Times New Roman"/>
        </w:rPr>
        <w:t xml:space="preserve"> there is no comprehensive global framework for the conservation and sustainable use of marine areas beyond national jurisdiction to halt and prevent further degradation from human activities.</w:t>
      </w:r>
    </w:p>
    <w:p w14:paraId="7DE42FE3" w14:textId="77777777" w:rsidR="006938F0" w:rsidRPr="00C22793" w:rsidRDefault="006938F0" w:rsidP="009D4A51">
      <w:pPr>
        <w:spacing w:line="240" w:lineRule="auto"/>
        <w:jc w:val="both"/>
        <w:rPr>
          <w:rFonts w:ascii="Times New Roman"/>
        </w:rPr>
      </w:pPr>
      <w:r w:rsidRPr="00C22793">
        <w:rPr>
          <w:rFonts w:ascii="Times New Roman"/>
        </w:rPr>
        <w:t>Since 2004, the international community has discussed the need to close the existing ABNJ governance gap and ensure the conservation and sustainable use of biodiversity in these areas. In its resolution 72/249 of 24 December 2017</w:t>
      </w:r>
      <w:r w:rsidRPr="00C22793">
        <w:rPr>
          <w:rStyle w:val="FootnoteReference"/>
        </w:rPr>
        <w:footnoteReference w:id="94"/>
      </w:r>
      <w:r w:rsidRPr="00C22793">
        <w:rPr>
          <w:rFonts w:ascii="Times New Roman"/>
        </w:rPr>
        <w:t>, the General Assembly of the United Nations decided to convene an Intergovernmental Conference, under the auspices of the United Nations, to consider the text of an international legally binding instrument under UNCLOS on the conservation and sustainable use of marine biological diversity of ABNJ.</w:t>
      </w:r>
    </w:p>
    <w:p w14:paraId="360E151F" w14:textId="3B7DD9DB" w:rsidR="006938F0" w:rsidRPr="00C22793" w:rsidRDefault="006938F0" w:rsidP="009D4A51">
      <w:pPr>
        <w:spacing w:line="240" w:lineRule="auto"/>
        <w:jc w:val="both"/>
        <w:rPr>
          <w:rFonts w:ascii="Times New Roman"/>
        </w:rPr>
      </w:pPr>
      <w:r w:rsidRPr="00C22793">
        <w:rPr>
          <w:rFonts w:ascii="Times New Roman"/>
        </w:rPr>
        <w:t>An Intergovernmental Conference on an international legally binding instrument was convened from 4 to 17 September 2018 with second and third sessions taking place in 2019. A Fourth session is scheduled to take place 16-17 August 2021 to consider text for the instrument</w:t>
      </w:r>
      <w:r w:rsidRPr="00C22793">
        <w:rPr>
          <w:rStyle w:val="FootnoteReference"/>
        </w:rPr>
        <w:footnoteReference w:id="95"/>
      </w:r>
      <w:r>
        <w:rPr>
          <w:rFonts w:ascii="Times New Roman"/>
        </w:rPr>
        <w:t>.</w:t>
      </w:r>
      <w:r w:rsidRPr="00C22793">
        <w:rPr>
          <w:rFonts w:ascii="Times New Roman"/>
        </w:rPr>
        <w:t xml:space="preserve"> The negotiations are focusing on a global framework for marine protected areas in ABNJ, ensure states assess impacts of potentially harmful activities, and facilitate inclusive scientific research that enables the equitable sharing of benefits from marine genetic resources. The intersessional program</w:t>
      </w:r>
      <w:r w:rsidRPr="00C22793">
        <w:rPr>
          <w:rStyle w:val="FootnoteReference"/>
        </w:rPr>
        <w:footnoteReference w:id="96"/>
      </w:r>
      <w:r w:rsidRPr="00C22793">
        <w:rPr>
          <w:rFonts w:ascii="Times New Roman"/>
        </w:rPr>
        <w:t xml:space="preserve"> of work of the Intergovernmental Conference includes the following elements which are relevant to the Convention on Biological Diversity, particularly its third objective concerning equitable benefit-sharing as well as the objectives of its Nagoya Protocol:</w:t>
      </w:r>
    </w:p>
    <w:p w14:paraId="554D1144" w14:textId="77777777" w:rsidR="006938F0" w:rsidRPr="00C22793" w:rsidRDefault="006938F0" w:rsidP="009D4A51">
      <w:pPr>
        <w:numPr>
          <w:ilvl w:val="0"/>
          <w:numId w:val="159"/>
        </w:numPr>
        <w:autoSpaceDE w:val="0"/>
        <w:autoSpaceDN w:val="0"/>
        <w:adjustRightInd w:val="0"/>
        <w:spacing w:before="60" w:after="0" w:line="240" w:lineRule="auto"/>
        <w:ind w:left="284" w:hanging="284"/>
        <w:jc w:val="both"/>
        <w:rPr>
          <w:rFonts w:ascii="Times New Roman"/>
        </w:rPr>
      </w:pPr>
      <w:r w:rsidRPr="00C22793">
        <w:rPr>
          <w:rFonts w:ascii="Times New Roman"/>
        </w:rPr>
        <w:t xml:space="preserve">modalities for access and benefit sharing </w:t>
      </w:r>
    </w:p>
    <w:p w14:paraId="089C30BA" w14:textId="77777777" w:rsidR="006938F0" w:rsidRPr="00C22793" w:rsidRDefault="006938F0" w:rsidP="009D4A51">
      <w:pPr>
        <w:numPr>
          <w:ilvl w:val="0"/>
          <w:numId w:val="159"/>
        </w:numPr>
        <w:autoSpaceDE w:val="0"/>
        <w:autoSpaceDN w:val="0"/>
        <w:adjustRightInd w:val="0"/>
        <w:spacing w:before="60" w:after="0" w:line="240" w:lineRule="auto"/>
        <w:ind w:left="284" w:hanging="284"/>
        <w:jc w:val="both"/>
        <w:rPr>
          <w:rFonts w:ascii="Times New Roman"/>
        </w:rPr>
      </w:pPr>
      <w:r w:rsidRPr="00C22793">
        <w:rPr>
          <w:rFonts w:ascii="Times New Roman"/>
        </w:rPr>
        <w:t>the role of traditional knowledge</w:t>
      </w:r>
    </w:p>
    <w:p w14:paraId="6B060CEF" w14:textId="77777777" w:rsidR="006938F0" w:rsidRPr="00C22793" w:rsidRDefault="006938F0" w:rsidP="009D4A51">
      <w:pPr>
        <w:numPr>
          <w:ilvl w:val="0"/>
          <w:numId w:val="159"/>
        </w:numPr>
        <w:autoSpaceDE w:val="0"/>
        <w:autoSpaceDN w:val="0"/>
        <w:adjustRightInd w:val="0"/>
        <w:spacing w:before="60" w:after="0" w:line="240" w:lineRule="auto"/>
        <w:ind w:left="284" w:hanging="284"/>
        <w:jc w:val="both"/>
        <w:rPr>
          <w:rFonts w:ascii="Times New Roman"/>
        </w:rPr>
      </w:pPr>
      <w:r w:rsidRPr="00C22793">
        <w:rPr>
          <w:rFonts w:ascii="Times New Roman"/>
        </w:rPr>
        <w:t>modalities for capacity-building and the transfer of marine technology</w:t>
      </w:r>
    </w:p>
    <w:p w14:paraId="622B23F5" w14:textId="77777777" w:rsidR="006938F0" w:rsidRPr="00C22793" w:rsidRDefault="006938F0" w:rsidP="009D4A51">
      <w:pPr>
        <w:numPr>
          <w:ilvl w:val="0"/>
          <w:numId w:val="159"/>
        </w:numPr>
        <w:autoSpaceDE w:val="0"/>
        <w:autoSpaceDN w:val="0"/>
        <w:adjustRightInd w:val="0"/>
        <w:spacing w:before="60" w:after="0" w:line="240" w:lineRule="auto"/>
        <w:ind w:left="284" w:hanging="284"/>
        <w:jc w:val="both"/>
        <w:rPr>
          <w:rFonts w:ascii="Times New Roman"/>
        </w:rPr>
      </w:pPr>
      <w:r w:rsidRPr="00C22793">
        <w:rPr>
          <w:rFonts w:ascii="Times New Roman"/>
        </w:rPr>
        <w:t>relationship with relevant legal instruments and frameworks and relevant global, regional, subregional and sectoral bodies</w:t>
      </w:r>
    </w:p>
    <w:p w14:paraId="2C0F6704" w14:textId="77777777" w:rsidR="006938F0" w:rsidRPr="00C22793" w:rsidRDefault="006938F0" w:rsidP="009D4A51">
      <w:pPr>
        <w:numPr>
          <w:ilvl w:val="0"/>
          <w:numId w:val="159"/>
        </w:numPr>
        <w:autoSpaceDE w:val="0"/>
        <w:autoSpaceDN w:val="0"/>
        <w:adjustRightInd w:val="0"/>
        <w:spacing w:before="60" w:after="0" w:line="240" w:lineRule="auto"/>
        <w:ind w:left="284" w:hanging="284"/>
        <w:jc w:val="both"/>
        <w:rPr>
          <w:rFonts w:ascii="Times New Roman"/>
        </w:rPr>
      </w:pPr>
      <w:r w:rsidRPr="00C22793">
        <w:rPr>
          <w:rFonts w:ascii="Times New Roman"/>
        </w:rPr>
        <w:t>international cooperation and coordination in relation to measures such as area-based management tools, including marine protected areas.</w:t>
      </w:r>
    </w:p>
    <w:p w14:paraId="1E92CDEC" w14:textId="54642008" w:rsidR="0051013B" w:rsidRPr="00396AB7" w:rsidRDefault="00D43FED" w:rsidP="00396AB7">
      <w:pPr>
        <w:pStyle w:val="Heading5"/>
        <w:tabs>
          <w:tab w:val="clear" w:pos="1800"/>
        </w:tabs>
        <w:ind w:left="284" w:hanging="284"/>
        <w:rPr>
          <w:i w:val="0"/>
          <w:shd w:val="clear" w:color="auto" w:fill="FFFFFF"/>
        </w:rPr>
      </w:pPr>
      <w:r>
        <w:rPr>
          <w:i w:val="0"/>
          <w:shd w:val="clear" w:color="auto" w:fill="FFFFFF"/>
        </w:rPr>
        <w:t>(c)</w:t>
      </w:r>
      <w:r w:rsidR="00C55CE9">
        <w:rPr>
          <w:i w:val="0"/>
          <w:shd w:val="clear" w:color="auto" w:fill="FFFFFF"/>
        </w:rPr>
        <w:t xml:space="preserve"> </w:t>
      </w:r>
      <w:r w:rsidR="0051013B" w:rsidRPr="000B2666">
        <w:rPr>
          <w:shd w:val="clear" w:color="auto" w:fill="FFFFFF"/>
        </w:rPr>
        <w:t>WIPO Intergovernmental Committee on Intellectual Property and Genetic Resources, Traditional Knowledge and Folklore (IGC)</w:t>
      </w:r>
      <w:r w:rsidR="000F60B0" w:rsidRPr="000B2666">
        <w:rPr>
          <w:shd w:val="clear" w:color="auto" w:fill="FFFFFF"/>
        </w:rPr>
        <w:t>.</w:t>
      </w:r>
    </w:p>
    <w:p w14:paraId="75EDAC99" w14:textId="06682403" w:rsidR="00EB4E0C" w:rsidRPr="00C22793" w:rsidRDefault="00EB4E0C" w:rsidP="009D4A51">
      <w:pPr>
        <w:spacing w:line="240" w:lineRule="auto"/>
        <w:jc w:val="both"/>
        <w:rPr>
          <w:rFonts w:ascii="Times New Roman"/>
        </w:rPr>
      </w:pPr>
      <w:r w:rsidRPr="00C22793">
        <w:rPr>
          <w:rFonts w:ascii="Times New Roman"/>
        </w:rPr>
        <w:t xml:space="preserve">Established in 2000, the WIPO Intergovernmental Committee on Intellectual Property and Genetic Resources, Traditional Knowledge and Folklore (IGC) is a forum where WIPO </w:t>
      </w:r>
      <w:r w:rsidR="00860D63">
        <w:rPr>
          <w:rFonts w:ascii="Times New Roman"/>
        </w:rPr>
        <w:t>M</w:t>
      </w:r>
      <w:r w:rsidRPr="00C22793">
        <w:rPr>
          <w:rFonts w:ascii="Times New Roman"/>
        </w:rPr>
        <w:t xml:space="preserve">ember </w:t>
      </w:r>
      <w:r w:rsidR="00860D63">
        <w:rPr>
          <w:rFonts w:ascii="Times New Roman"/>
        </w:rPr>
        <w:t>S</w:t>
      </w:r>
      <w:r w:rsidRPr="00C22793">
        <w:rPr>
          <w:rFonts w:ascii="Times New Roman"/>
        </w:rPr>
        <w:t xml:space="preserve">tates discuss the intellectual property issues that arise in the context of access to genetic resources and benefit-sharing as well as the protection of traditional knowledge and traditional cultural expressions (the terms </w:t>
      </w:r>
      <w:r w:rsidRPr="00C22793">
        <w:rPr>
          <w:rFonts w:ascii="Times New Roman"/>
        </w:rPr>
        <w:t>“</w:t>
      </w:r>
      <w:r w:rsidRPr="00C22793">
        <w:rPr>
          <w:rFonts w:ascii="Times New Roman"/>
        </w:rPr>
        <w:t>traditional cultural expressions</w:t>
      </w:r>
      <w:r w:rsidRPr="00C22793">
        <w:rPr>
          <w:rFonts w:ascii="Times New Roman"/>
        </w:rPr>
        <w:t>”</w:t>
      </w:r>
      <w:r w:rsidRPr="00C22793">
        <w:rPr>
          <w:rFonts w:ascii="Times New Roman"/>
        </w:rPr>
        <w:t xml:space="preserve"> and </w:t>
      </w:r>
      <w:r w:rsidRPr="00C22793">
        <w:rPr>
          <w:rFonts w:ascii="Times New Roman"/>
        </w:rPr>
        <w:t>“</w:t>
      </w:r>
      <w:r w:rsidRPr="00C22793">
        <w:rPr>
          <w:rFonts w:ascii="Times New Roman"/>
        </w:rPr>
        <w:t>expressions of folklore</w:t>
      </w:r>
      <w:r w:rsidRPr="00C22793">
        <w:rPr>
          <w:rFonts w:ascii="Times New Roman"/>
        </w:rPr>
        <w:t>”</w:t>
      </w:r>
      <w:r w:rsidRPr="00C22793">
        <w:rPr>
          <w:rFonts w:ascii="Times New Roman"/>
        </w:rPr>
        <w:t xml:space="preserve"> are used interchangeably in WIPO discussions).</w:t>
      </w:r>
      <w:r w:rsidR="00D74985">
        <w:rPr>
          <w:rFonts w:ascii="Times New Roman"/>
        </w:rPr>
        <w:t xml:space="preserve"> </w:t>
      </w:r>
      <w:r w:rsidR="00D74985" w:rsidRPr="00D74985">
        <w:rPr>
          <w:rFonts w:ascii="Times New Roman"/>
        </w:rPr>
        <w:t xml:space="preserve">Indigenous peoples and local communities have expressed reservations about negative connotations of the word </w:t>
      </w:r>
      <w:r w:rsidR="00D74985" w:rsidRPr="00D74985">
        <w:rPr>
          <w:rFonts w:ascii="Times New Roman"/>
        </w:rPr>
        <w:t>‘</w:t>
      </w:r>
      <w:r w:rsidR="00D74985" w:rsidRPr="00D74985">
        <w:rPr>
          <w:rFonts w:ascii="Times New Roman"/>
        </w:rPr>
        <w:t>folklore</w:t>
      </w:r>
      <w:r w:rsidR="00D74985" w:rsidRPr="00D74985">
        <w:rPr>
          <w:rFonts w:ascii="Times New Roman"/>
        </w:rPr>
        <w:t>’</w:t>
      </w:r>
      <w:r w:rsidR="0016554E">
        <w:rPr>
          <w:rStyle w:val="FootnoteReference"/>
          <w:rFonts w:ascii="Times New Roman"/>
        </w:rPr>
        <w:footnoteReference w:id="97"/>
      </w:r>
      <w:r w:rsidR="0012140D" w:rsidRPr="004F159F">
        <w:rPr>
          <w:rStyle w:val="Heading2Char"/>
          <w:rFonts w:eastAsia="Calibri"/>
          <w:b w:val="0"/>
          <w:i w:val="0"/>
        </w:rPr>
        <w:t>.</w:t>
      </w:r>
      <w:r w:rsidR="0016554E" w:rsidRPr="004F159F">
        <w:rPr>
          <w:rFonts w:ascii="Times New Roman"/>
          <w:i/>
        </w:rPr>
        <w:t xml:space="preserve"> </w:t>
      </w:r>
      <w:r w:rsidR="00D74985" w:rsidRPr="00D74985">
        <w:rPr>
          <w:rFonts w:ascii="Times New Roman"/>
        </w:rPr>
        <w:t xml:space="preserve">  </w:t>
      </w:r>
    </w:p>
    <w:p w14:paraId="3A034DC3" w14:textId="610101E9" w:rsidR="00EB4E0C" w:rsidRPr="00C22793" w:rsidRDefault="00EB4E0C" w:rsidP="009D4A51">
      <w:pPr>
        <w:spacing w:line="240" w:lineRule="auto"/>
        <w:jc w:val="both"/>
        <w:rPr>
          <w:rFonts w:ascii="Times New Roman"/>
        </w:rPr>
      </w:pPr>
      <w:r w:rsidRPr="00C22793">
        <w:rPr>
          <w:rFonts w:ascii="Times New Roman"/>
        </w:rPr>
        <w:t>WIPO</w:t>
      </w:r>
      <w:r w:rsidRPr="00C22793">
        <w:rPr>
          <w:rFonts w:ascii="Times New Roman"/>
        </w:rPr>
        <w:t>’</w:t>
      </w:r>
      <w:r w:rsidRPr="00C22793">
        <w:rPr>
          <w:rFonts w:ascii="Times New Roman"/>
        </w:rPr>
        <w:t>s Background Brief</w:t>
      </w:r>
      <w:r w:rsidRPr="00C22793">
        <w:rPr>
          <w:rStyle w:val="FootnoteReference"/>
        </w:rPr>
        <w:footnoteReference w:id="98"/>
      </w:r>
      <w:r w:rsidRPr="00C22793">
        <w:rPr>
          <w:rFonts w:ascii="Times New Roman"/>
        </w:rPr>
        <w:t xml:space="preserve"> explains that work within the intellectual property (IP) community on the protection of traditional cultural expressions goes back to the 1960s. The impetus came from a growing sense in developing countries that folklore embodied creativity and was part of the cultural identity of indigenous and local communities</w:t>
      </w:r>
      <w:r w:rsidR="00963D86">
        <w:rPr>
          <w:rFonts w:ascii="Times New Roman"/>
        </w:rPr>
        <w:t>. Therefore, it</w:t>
      </w:r>
      <w:r w:rsidRPr="00C22793">
        <w:rPr>
          <w:rFonts w:ascii="Times New Roman"/>
        </w:rPr>
        <w:t xml:space="preserve"> was seen as worthy of IP protection, especially since new technologies were making </w:t>
      </w:r>
      <w:r w:rsidR="008C21FF" w:rsidRPr="008C21FF">
        <w:rPr>
          <w:rFonts w:ascii="Times New Roman"/>
        </w:rPr>
        <w:t>traditional cultural expressions</w:t>
      </w:r>
      <w:r w:rsidRPr="00C22793">
        <w:rPr>
          <w:rFonts w:ascii="Times New Roman"/>
        </w:rPr>
        <w:t xml:space="preserve"> increasingly vulnerable to exploitation and misuse. Work on the relationship between IP, traditional knowledge and genetic resources (GRs) is more recent, and stems from concerns regarding the role that IP protection should play in achieving global policy objectives as varied as the conservation of biodiversity, food security, free and fair trade, and development.</w:t>
      </w:r>
    </w:p>
    <w:p w14:paraId="6B6A3BF6" w14:textId="76C53604" w:rsidR="001B5B53" w:rsidRPr="00C22793" w:rsidRDefault="001B5B53" w:rsidP="001B5B53">
      <w:pPr>
        <w:spacing w:line="240" w:lineRule="auto"/>
        <w:jc w:val="both"/>
        <w:rPr>
          <w:rFonts w:ascii="Times New Roman"/>
        </w:rPr>
      </w:pPr>
      <w:r>
        <w:rPr>
          <w:rFonts w:ascii="Times New Roman"/>
        </w:rPr>
        <w:t>The IGC</w:t>
      </w:r>
      <w:r w:rsidRPr="00555119">
        <w:rPr>
          <w:rFonts w:ascii="Times New Roman"/>
        </w:rPr>
        <w:t xml:space="preserve"> </w:t>
      </w:r>
      <w:r>
        <w:rPr>
          <w:rFonts w:ascii="Times New Roman"/>
        </w:rPr>
        <w:t xml:space="preserve">has divided its discussions into three thematic areas: (i) traditional knowledge, </w:t>
      </w:r>
      <w:r w:rsidRPr="00555119">
        <w:rPr>
          <w:rFonts w:ascii="Times New Roman"/>
        </w:rPr>
        <w:t>in the narrow sense</w:t>
      </w:r>
      <w:r>
        <w:rPr>
          <w:rFonts w:ascii="Times New Roman"/>
        </w:rPr>
        <w:t xml:space="preserve">, </w:t>
      </w:r>
      <w:r w:rsidRPr="00555119">
        <w:rPr>
          <w:rFonts w:ascii="Times New Roman"/>
        </w:rPr>
        <w:t xml:space="preserve"> refers to </w:t>
      </w:r>
      <w:r>
        <w:rPr>
          <w:rFonts w:ascii="Times New Roman"/>
        </w:rPr>
        <w:t xml:space="preserve">practical </w:t>
      </w:r>
      <w:r w:rsidRPr="00555119">
        <w:rPr>
          <w:rFonts w:ascii="Times New Roman"/>
        </w:rPr>
        <w:t>knowledge</w:t>
      </w:r>
      <w:r>
        <w:rPr>
          <w:rFonts w:ascii="Times New Roman"/>
        </w:rPr>
        <w:t>,</w:t>
      </w:r>
      <w:r w:rsidRPr="00555119">
        <w:rPr>
          <w:rFonts w:ascii="Times New Roman"/>
        </w:rPr>
        <w:t xml:space="preserve"> includ</w:t>
      </w:r>
      <w:r>
        <w:rPr>
          <w:rFonts w:ascii="Times New Roman"/>
        </w:rPr>
        <w:t>ing</w:t>
      </w:r>
      <w:r w:rsidRPr="00555119">
        <w:rPr>
          <w:rFonts w:ascii="Times New Roman"/>
        </w:rPr>
        <w:t xml:space="preserve"> know-how, practices, skills, and innovations</w:t>
      </w:r>
      <w:r w:rsidR="00FA094B">
        <w:rPr>
          <w:rFonts w:ascii="Times New Roman"/>
        </w:rPr>
        <w:t>;</w:t>
      </w:r>
      <w:r>
        <w:rPr>
          <w:rFonts w:ascii="Times New Roman"/>
        </w:rPr>
        <w:t xml:space="preserve"> (ii) </w:t>
      </w:r>
      <w:r w:rsidRPr="00555119">
        <w:rPr>
          <w:rFonts w:ascii="Times New Roman"/>
        </w:rPr>
        <w:t>tangible and intangible forms in which traditional knowledge and cultures are expressed, communicated or manifeste</w:t>
      </w:r>
      <w:r>
        <w:rPr>
          <w:rFonts w:ascii="Times New Roman"/>
        </w:rPr>
        <w:t xml:space="preserve">d, such as songs, stories, </w:t>
      </w:r>
      <w:r w:rsidRPr="00555119">
        <w:rPr>
          <w:rFonts w:ascii="Times New Roman"/>
        </w:rPr>
        <w:t>music, performances, narrative</w:t>
      </w:r>
      <w:r>
        <w:rPr>
          <w:rFonts w:ascii="Times New Roman"/>
        </w:rPr>
        <w:t>s, and others, and</w:t>
      </w:r>
      <w:r w:rsidR="00FA094B">
        <w:rPr>
          <w:rFonts w:ascii="Times New Roman"/>
        </w:rPr>
        <w:t>;</w:t>
      </w:r>
      <w:r>
        <w:rPr>
          <w:rFonts w:ascii="Times New Roman"/>
        </w:rPr>
        <w:t xml:space="preserve"> (iii) </w:t>
      </w:r>
      <w:r w:rsidRPr="00555119">
        <w:rPr>
          <w:rFonts w:ascii="Times New Roman"/>
        </w:rPr>
        <w:t>GRs</w:t>
      </w:r>
      <w:r>
        <w:rPr>
          <w:rFonts w:ascii="Times New Roman"/>
        </w:rPr>
        <w:t xml:space="preserve">, where IGC aims to </w:t>
      </w:r>
      <w:r w:rsidRPr="00555119">
        <w:rPr>
          <w:rFonts w:ascii="Times New Roman"/>
        </w:rPr>
        <w:t>complement the frameworks for access and benefit-sharing</w:t>
      </w:r>
      <w:r>
        <w:rPr>
          <w:rFonts w:ascii="Times New Roman"/>
        </w:rPr>
        <w:t xml:space="preserve"> of GRs utili</w:t>
      </w:r>
      <w:r w:rsidR="00511E99">
        <w:rPr>
          <w:rFonts w:ascii="Times New Roman"/>
        </w:rPr>
        <w:t>s</w:t>
      </w:r>
      <w:r>
        <w:rPr>
          <w:rFonts w:ascii="Times New Roman"/>
        </w:rPr>
        <w:t>ation. In a broad sense, traditional knowledge describes intellectual and intangible cultural heritage, practices,</w:t>
      </w:r>
      <w:r w:rsidRPr="00555119">
        <w:rPr>
          <w:rFonts w:ascii="Times New Roman"/>
        </w:rPr>
        <w:t xml:space="preserve"> and knowledge systems of </w:t>
      </w:r>
      <w:r>
        <w:rPr>
          <w:rFonts w:ascii="Times New Roman"/>
        </w:rPr>
        <w:t xml:space="preserve">IPLCs, including the three thematic areas. </w:t>
      </w:r>
    </w:p>
    <w:p w14:paraId="2BCB0623" w14:textId="19D6721A" w:rsidR="00EB4E0C" w:rsidRPr="00DD14BE" w:rsidRDefault="00EB4E0C" w:rsidP="009D4A51">
      <w:pPr>
        <w:spacing w:line="240" w:lineRule="auto"/>
        <w:jc w:val="both"/>
        <w:rPr>
          <w:rFonts w:ascii="Times New Roman"/>
        </w:rPr>
      </w:pPr>
      <w:r w:rsidRPr="00C22793">
        <w:rPr>
          <w:rFonts w:ascii="Times New Roman"/>
        </w:rPr>
        <w:t>The WIPO General Assembly, which took place from September 30 to October 9, 2019 renewed the mandate of the IGC for 2020-2021, including to expedite its work, with the objective of finalizing an agreement on an international legal instrument(s), without prejudging the nature of outcome(s), relating to intellectual property which will ensure the balanced and effective protection of genetic resources (GRs), traditional knowledge</w:t>
      </w:r>
      <w:r w:rsidR="00634D63">
        <w:rPr>
          <w:rFonts w:ascii="Times New Roman"/>
        </w:rPr>
        <w:t xml:space="preserve"> </w:t>
      </w:r>
      <w:r w:rsidRPr="00C22793">
        <w:rPr>
          <w:rFonts w:ascii="Times New Roman"/>
        </w:rPr>
        <w:t>and traditional cultural expressions</w:t>
      </w:r>
      <w:r w:rsidRPr="00C22793">
        <w:rPr>
          <w:rStyle w:val="FootnoteReference"/>
          <w:rFonts w:ascii="Times New Roman"/>
        </w:rPr>
        <w:footnoteReference w:id="99"/>
      </w:r>
      <w:r>
        <w:rPr>
          <w:rFonts w:ascii="Times New Roman"/>
        </w:rPr>
        <w:t>.</w:t>
      </w:r>
      <w:r w:rsidRPr="00C22793">
        <w:rPr>
          <w:rFonts w:ascii="Times New Roman"/>
        </w:rPr>
        <w:t xml:space="preserve"> The ICG</w:t>
      </w:r>
      <w:r w:rsidRPr="00C22793">
        <w:rPr>
          <w:rFonts w:ascii="Times New Roman"/>
        </w:rPr>
        <w:t>’</w:t>
      </w:r>
      <w:r w:rsidRPr="00C22793">
        <w:rPr>
          <w:rFonts w:ascii="Times New Roman"/>
        </w:rPr>
        <w:t>s negotiations to date concerning an International Legal Instrument</w:t>
      </w:r>
      <w:r w:rsidR="00B10AC7">
        <w:rPr>
          <w:rFonts w:ascii="Times New Roman"/>
        </w:rPr>
        <w:t>(s)</w:t>
      </w:r>
      <w:r w:rsidRPr="00C22793">
        <w:rPr>
          <w:rFonts w:ascii="Times New Roman"/>
        </w:rPr>
        <w:t xml:space="preserve"> Relating to Intellectual Property, Genetic Resources and Traditional Knowledge Associated with Genetic resources have addressed patent disclosure requirements associated with genetic resources, pertaining to country of origin information. This has potential implications for the Convention on Biological Diversity, particularly its third objective concerning equitable benefit-sharing as well as the objectives of its Nagoya Protocol. The next meeting of the Committee, IGC 41, which was planned to take place from </w:t>
      </w:r>
      <w:r w:rsidR="00634D63" w:rsidRPr="00C22793">
        <w:rPr>
          <w:rFonts w:ascii="Times New Roman"/>
        </w:rPr>
        <w:t>16</w:t>
      </w:r>
      <w:r w:rsidR="00634D63">
        <w:rPr>
          <w:rFonts w:ascii="Times New Roman"/>
        </w:rPr>
        <w:t>-</w:t>
      </w:r>
      <w:r w:rsidR="00634D63" w:rsidRPr="00C22793">
        <w:rPr>
          <w:rFonts w:ascii="Times New Roman"/>
        </w:rPr>
        <w:t>20</w:t>
      </w:r>
      <w:r w:rsidR="00634D63">
        <w:rPr>
          <w:rFonts w:ascii="Times New Roman"/>
        </w:rPr>
        <w:t xml:space="preserve"> </w:t>
      </w:r>
      <w:r w:rsidRPr="00C22793">
        <w:rPr>
          <w:rFonts w:ascii="Times New Roman"/>
        </w:rPr>
        <w:t>March 2020 is yet to be rescheduled.</w:t>
      </w:r>
      <w:r>
        <w:rPr>
          <w:rFonts w:ascii="Times New Roman"/>
        </w:rPr>
        <w:t xml:space="preserve">  </w:t>
      </w:r>
    </w:p>
    <w:p w14:paraId="747C01FA" w14:textId="4BDC00C8" w:rsidR="0051013B" w:rsidRPr="0051013B" w:rsidRDefault="0051013B" w:rsidP="009D4A51">
      <w:pPr>
        <w:pStyle w:val="Heading3"/>
        <w:rPr>
          <w:b/>
          <w:bCs/>
          <w:shd w:val="clear" w:color="auto" w:fill="FFFFFF"/>
        </w:rPr>
      </w:pPr>
      <w:bookmarkStart w:id="166" w:name="_Toc65609813"/>
      <w:bookmarkStart w:id="167" w:name="_Toc70112712"/>
      <w:bookmarkStart w:id="168" w:name="_Toc70685734"/>
      <w:r w:rsidRPr="0051013B">
        <w:rPr>
          <w:shd w:val="clear" w:color="auto" w:fill="FFFFFF"/>
        </w:rPr>
        <w:t xml:space="preserve">9.4. Other International laws, processes and initiatives </w:t>
      </w:r>
      <w:r w:rsidR="006741D9">
        <w:rPr>
          <w:shd w:val="clear" w:color="auto" w:fill="FFFFFF"/>
          <w:lang w:val="en-GB"/>
        </w:rPr>
        <w:t>which are relevant</w:t>
      </w:r>
      <w:r w:rsidRPr="0051013B">
        <w:rPr>
          <w:shd w:val="clear" w:color="auto" w:fill="FFFFFF"/>
        </w:rPr>
        <w:t xml:space="preserve"> to the objectives of the CBD</w:t>
      </w:r>
      <w:bookmarkEnd w:id="166"/>
      <w:r w:rsidR="000F60B0">
        <w:rPr>
          <w:shd w:val="clear" w:color="auto" w:fill="FFFFFF"/>
        </w:rPr>
        <w:t>.</w:t>
      </w:r>
      <w:bookmarkEnd w:id="167"/>
      <w:bookmarkEnd w:id="168"/>
    </w:p>
    <w:p w14:paraId="5464B766" w14:textId="26C7981D" w:rsidR="0051013B" w:rsidRPr="006803D6" w:rsidRDefault="0051013B" w:rsidP="006803D6">
      <w:pPr>
        <w:pStyle w:val="Heading4"/>
        <w:rPr>
          <w:rFonts w:asciiTheme="minorHAnsi" w:hAnsiTheme="minorHAnsi"/>
          <w:b w:val="0"/>
          <w:shd w:val="clear" w:color="auto" w:fill="FFFFFF"/>
          <w:lang w:val="en-US"/>
        </w:rPr>
      </w:pPr>
      <w:r w:rsidRPr="006803D6">
        <w:rPr>
          <w:i w:val="0"/>
          <w:iCs/>
          <w:shd w:val="clear" w:color="auto" w:fill="FFFFFF"/>
        </w:rPr>
        <w:t>9.4.1. Intellectual Property</w:t>
      </w:r>
      <w:r w:rsidR="000F60B0" w:rsidRPr="006803D6">
        <w:rPr>
          <w:rFonts w:asciiTheme="minorHAnsi" w:hAnsiTheme="minorHAnsi"/>
          <w:i w:val="0"/>
          <w:iCs/>
          <w:shd w:val="clear" w:color="auto" w:fill="FFFFFF"/>
        </w:rPr>
        <w:t>.</w:t>
      </w:r>
    </w:p>
    <w:p w14:paraId="36DCB8DE" w14:textId="52236487" w:rsidR="0051013B" w:rsidRPr="0051013B" w:rsidRDefault="006B3C29" w:rsidP="006803D6">
      <w:pPr>
        <w:pStyle w:val="Heading5"/>
        <w:tabs>
          <w:tab w:val="clear" w:pos="1800"/>
        </w:tabs>
        <w:ind w:left="284" w:hanging="284"/>
        <w:rPr>
          <w:shd w:val="clear" w:color="auto" w:fill="FFFFFF"/>
        </w:rPr>
      </w:pPr>
      <w:r w:rsidRPr="004B464B">
        <w:rPr>
          <w:i w:val="0"/>
          <w:shd w:val="clear" w:color="auto" w:fill="FFFFFF"/>
        </w:rPr>
        <w:t>(a)</w:t>
      </w:r>
      <w:r>
        <w:rPr>
          <w:shd w:val="clear" w:color="auto" w:fill="FFFFFF"/>
        </w:rPr>
        <w:t xml:space="preserve"> </w:t>
      </w:r>
      <w:r w:rsidR="0051013B" w:rsidRPr="0051013B">
        <w:rPr>
          <w:shd w:val="clear" w:color="auto" w:fill="FFFFFF"/>
        </w:rPr>
        <w:t>WTO Agreement on Trade Related Aspects of Intellectual Property Rights (TRIPS)</w:t>
      </w:r>
      <w:r w:rsidR="000F60B0">
        <w:rPr>
          <w:shd w:val="clear" w:color="auto" w:fill="FFFFFF"/>
        </w:rPr>
        <w:t>.</w:t>
      </w:r>
    </w:p>
    <w:p w14:paraId="237E7F51" w14:textId="64F92D33" w:rsidR="0051013B" w:rsidRPr="0051013B" w:rsidRDefault="0051013B" w:rsidP="00A6250E">
      <w:pPr>
        <w:suppressAutoHyphens/>
        <w:spacing w:after="120" w:line="240" w:lineRule="auto"/>
        <w:jc w:val="both"/>
      </w:pPr>
      <w:r w:rsidRPr="0051013B">
        <w:rPr>
          <w:rFonts w:ascii="Times New Roman" w:hAnsi="Times New Roman"/>
          <w:kern w:val="22"/>
        </w:rPr>
        <w:t xml:space="preserve">The WTO Agreement on Trade Related Aspects of Intellectual Property Rights (TRIPS) came into effect on 1 January 1995 and is to date the most comprehensive multilateral agreement on intellectual property. </w:t>
      </w:r>
    </w:p>
    <w:p w14:paraId="46E70212" w14:textId="77777777" w:rsidR="0051013B" w:rsidRPr="0051013B" w:rsidRDefault="0051013B" w:rsidP="005514F9">
      <w:pPr>
        <w:suppressAutoHyphens/>
        <w:spacing w:after="120" w:line="240" w:lineRule="auto"/>
        <w:jc w:val="both"/>
        <w:rPr>
          <w:rFonts w:ascii="Times New Roman" w:hAnsi="Times New Roman"/>
          <w:kern w:val="22"/>
        </w:rPr>
      </w:pPr>
      <w:r w:rsidRPr="0051013B">
        <w:rPr>
          <w:rFonts w:ascii="Times New Roman" w:hAnsi="Times New Roman"/>
          <w:kern w:val="22"/>
        </w:rPr>
        <w:t xml:space="preserve">According to its Article 7 (objective), the protection and enforcement of intellectual property rights should contribute to the promotion of technological innovation and to the transfer and dissemination of technology, to the mutual advantage of producers and users of technological knowledge and in a manner conducive to social and economic welfare, and to a balance of rights and obligations. </w:t>
      </w:r>
    </w:p>
    <w:p w14:paraId="2747367F" w14:textId="47B6F6C0" w:rsidR="0051013B" w:rsidRPr="0051013B" w:rsidRDefault="0051013B" w:rsidP="005514F9">
      <w:pPr>
        <w:suppressAutoHyphens/>
        <w:spacing w:after="120" w:line="240" w:lineRule="auto"/>
        <w:jc w:val="both"/>
        <w:rPr>
          <w:rFonts w:ascii="Times New Roman" w:hAnsi="Times New Roman"/>
          <w:kern w:val="22"/>
        </w:rPr>
      </w:pPr>
      <w:r w:rsidRPr="0051013B">
        <w:rPr>
          <w:rFonts w:ascii="Times New Roman" w:hAnsi="Times New Roman"/>
          <w:kern w:val="22"/>
        </w:rPr>
        <w:t xml:space="preserve">The TRIPS Agreement sets out the minimum standards of protection that each </w:t>
      </w:r>
      <w:r w:rsidR="6EEF744B" w:rsidRPr="67B6CA66">
        <w:rPr>
          <w:rFonts w:ascii="Times New Roman" w:hAnsi="Times New Roman"/>
        </w:rPr>
        <w:t>WTO</w:t>
      </w:r>
      <w:r w:rsidRPr="67B6CA66">
        <w:rPr>
          <w:rFonts w:ascii="Times New Roman" w:hAnsi="Times New Roman"/>
        </w:rPr>
        <w:t xml:space="preserve"> </w:t>
      </w:r>
      <w:r w:rsidRPr="0051013B">
        <w:rPr>
          <w:rFonts w:ascii="Times New Roman" w:hAnsi="Times New Roman"/>
          <w:kern w:val="22"/>
        </w:rPr>
        <w:t xml:space="preserve">Member has to provide for the different areas of intellectual property, including copyright and related rights; trademarks; patents; and the protection of new varieties of plants, among others. For each area, the TRIPS Agreement defines the subject-matter to be protected, the rights to be conferred and permissible exceptions to those rights, as well as the minimum duration of protection. For components, organisms and products resulting from synthetic biology techniques, patents and protection of plant varieties are most relevant, but copyright and trademarks have also been discussed in the literature </w:t>
      </w:r>
      <w:r w:rsidR="008155CC">
        <w:rPr>
          <w:rFonts w:ascii="Times New Roman" w:hAnsi="Times New Roman"/>
          <w:kern w:val="22"/>
        </w:rPr>
        <w:fldChar w:fldCharType="begin" w:fldLock="1"/>
      </w:r>
      <w:r w:rsidR="005B76AA">
        <w:rPr>
          <w:rFonts w:ascii="Times New Roman" w:hAnsi="Times New Roman"/>
          <w:kern w:val="22"/>
        </w:rPr>
        <w:instrText>ADDIN CSL_CITATION {"citationItems":[{"id":"ITEM-1","itemData":{"author":[{"dropping-particle":"","family":"Torrance","given":"Andrew W","non-dropping-particle":"","parse-names":false,"suffix":""}],"container-title":"Minnesota Journal of Law, Science and Technology","id":"ITEM-1","issue":"2","issued":{"date-parts":[["2010"]]},"page":"629-665","title":"Synthesizing Law for Synthetic Biology","type":"article-journal","volume":"11"},"uris":["http://www.mendeley.com/documents/?uuid=97d2e40c-98ee-4bf7-bcd4-da8ca5747463"]},{"id":"ITEM-2","itemData":{"author":[{"dropping-particle":"","family":"Holman","given":"Christopher M.","non-dropping-particle":"","parse-names":false,"suffix":""}],"container-title":"Missouri Law Review","id":"ITEM-2","issue":"3","issued":{"date-parts":[["2011"]]},"title":"Unpredictability in Patent Law and its Effect on Pharmaceutical Innovation","type":"article-journal","volume":"76"},"uris":["http://www.mendeley.com/documents/?uuid=ea7c4c1b-3cc7-4c62-8219-2f82323a4d11"]}],"mendeley":{"formattedCitation":"(Holman, 2011; Torrance, 2010)","plainTextFormattedCitation":"(Holman, 2011; Torrance, 2010)","previouslyFormattedCitation":"(Holman, 2011; Torrance, 2010)"},"properties":{"noteIndex":0},"schema":"https://github.com/citation-style-language/schema/raw/master/csl-citation.json"}</w:instrText>
      </w:r>
      <w:r w:rsidR="008155CC">
        <w:rPr>
          <w:rFonts w:ascii="Times New Roman" w:hAnsi="Times New Roman"/>
          <w:kern w:val="22"/>
        </w:rPr>
        <w:fldChar w:fldCharType="separate"/>
      </w:r>
      <w:r w:rsidR="008155CC" w:rsidRPr="008155CC">
        <w:rPr>
          <w:rFonts w:ascii="Times New Roman" w:hAnsi="Times New Roman"/>
          <w:noProof/>
          <w:kern w:val="22"/>
        </w:rPr>
        <w:t>(Holman, 2011; Torrance, 2010)</w:t>
      </w:r>
      <w:r w:rsidR="008155CC">
        <w:rPr>
          <w:rFonts w:ascii="Times New Roman" w:hAnsi="Times New Roman"/>
          <w:kern w:val="22"/>
        </w:rPr>
        <w:fldChar w:fldCharType="end"/>
      </w:r>
      <w:r w:rsidRPr="0051013B">
        <w:rPr>
          <w:rFonts w:ascii="Times New Roman" w:hAnsi="Times New Roman"/>
          <w:kern w:val="22"/>
        </w:rPr>
        <w:t xml:space="preserve">. Least developed country Members are currently not obliged to give effect to the substantive standards of TRIPS (apart from general non-discrimination principles) until </w:t>
      </w:r>
      <w:r w:rsidR="006D2CA1">
        <w:rPr>
          <w:rFonts w:ascii="Times New Roman" w:hAnsi="Times New Roman"/>
          <w:kern w:val="22"/>
        </w:rPr>
        <w:t xml:space="preserve">1 </w:t>
      </w:r>
      <w:r w:rsidR="00716F9B">
        <w:rPr>
          <w:rFonts w:ascii="Times New Roman" w:hAnsi="Times New Roman"/>
          <w:kern w:val="22"/>
        </w:rPr>
        <w:t xml:space="preserve">July </w:t>
      </w:r>
      <w:r w:rsidRPr="0051013B">
        <w:rPr>
          <w:rFonts w:ascii="Times New Roman" w:hAnsi="Times New Roman"/>
          <w:kern w:val="22"/>
        </w:rPr>
        <w:t>2021, a deadline that has been extended twice and may be extended again</w:t>
      </w:r>
      <w:r w:rsidR="00716F9B">
        <w:rPr>
          <w:rStyle w:val="FootnoteReference"/>
          <w:rFonts w:ascii="Times New Roman" w:hAnsi="Times New Roman"/>
          <w:kern w:val="22"/>
        </w:rPr>
        <w:footnoteReference w:id="100"/>
      </w:r>
      <w:r w:rsidR="00C84EC3">
        <w:rPr>
          <w:rFonts w:ascii="Times New Roman" w:hAnsi="Times New Roman"/>
          <w:kern w:val="22"/>
        </w:rPr>
        <w:t>.</w:t>
      </w:r>
      <w:r w:rsidRPr="0051013B">
        <w:rPr>
          <w:rFonts w:ascii="Times New Roman" w:hAnsi="Times New Roman"/>
          <w:kern w:val="22"/>
        </w:rPr>
        <w:t xml:space="preserve"> </w:t>
      </w:r>
    </w:p>
    <w:p w14:paraId="1B8F5CCF" w14:textId="408EE78C" w:rsidR="12BEBCAC" w:rsidRPr="00FE1674" w:rsidRDefault="0BE91C8E" w:rsidP="00FE1674">
      <w:pPr>
        <w:spacing w:before="120" w:after="120" w:line="240" w:lineRule="auto"/>
        <w:jc w:val="both"/>
      </w:pPr>
      <w:r w:rsidRPr="00FE1674">
        <w:rPr>
          <w:rFonts w:ascii="Times New Roman" w:hAnsi="Times New Roman"/>
        </w:rPr>
        <w:t>Overview of main provisions</w:t>
      </w:r>
      <w:r w:rsidR="00FE1674">
        <w:rPr>
          <w:rFonts w:ascii="Times New Roman" w:hAnsi="Times New Roman"/>
        </w:rPr>
        <w:t>:</w:t>
      </w:r>
    </w:p>
    <w:p w14:paraId="72026453" w14:textId="29F7E28F" w:rsidR="0051013B" w:rsidRPr="000453AD" w:rsidRDefault="0051013B" w:rsidP="00474099">
      <w:pPr>
        <w:pStyle w:val="ListParagraph"/>
        <w:numPr>
          <w:ilvl w:val="1"/>
          <w:numId w:val="227"/>
        </w:numPr>
        <w:ind w:left="284" w:hanging="284"/>
        <w:rPr>
          <w:rFonts w:eastAsia="Times New Roman"/>
          <w:i/>
          <w:iCs/>
          <w:kern w:val="22"/>
          <w:lang w:val="x-none" w:eastAsia="ar-SA"/>
        </w:rPr>
      </w:pPr>
      <w:bookmarkStart w:id="169" w:name="_Toc399752971"/>
      <w:r w:rsidRPr="000453AD">
        <w:rPr>
          <w:rFonts w:eastAsia="Times New Roman"/>
          <w:i/>
          <w:iCs/>
          <w:kern w:val="22"/>
          <w:lang w:val="x-none" w:eastAsia="ar-SA"/>
        </w:rPr>
        <w:t xml:space="preserve"> </w:t>
      </w:r>
      <w:r w:rsidRPr="000453AD">
        <w:rPr>
          <w:rStyle w:val="Heading6Char"/>
          <w:rFonts w:eastAsia="Calibri"/>
        </w:rPr>
        <w:t>Patents</w:t>
      </w:r>
      <w:bookmarkEnd w:id="169"/>
    </w:p>
    <w:p w14:paraId="60CFBB36" w14:textId="46F4299F" w:rsidR="0051013B" w:rsidRPr="0051013B" w:rsidRDefault="70E4CCE4" w:rsidP="006803D6">
      <w:pPr>
        <w:numPr>
          <w:ilvl w:val="1"/>
          <w:numId w:val="147"/>
        </w:numPr>
        <w:suppressAutoHyphens/>
        <w:spacing w:after="120" w:line="240" w:lineRule="auto"/>
        <w:ind w:left="568" w:hanging="284"/>
        <w:jc w:val="both"/>
        <w:rPr>
          <w:rFonts w:ascii="Times New Roman" w:hAnsi="Times New Roman"/>
          <w:kern w:val="22"/>
        </w:rPr>
      </w:pPr>
      <w:r w:rsidRPr="058E8DA3">
        <w:rPr>
          <w:rFonts w:ascii="Times New Roman" w:hAnsi="Times New Roman"/>
        </w:rPr>
        <w:t>W</w:t>
      </w:r>
      <w:r w:rsidR="0051013B" w:rsidRPr="0051013B">
        <w:rPr>
          <w:rFonts w:ascii="Times New Roman" w:hAnsi="Times New Roman"/>
          <w:kern w:val="22"/>
        </w:rPr>
        <w:t xml:space="preserve">hile discovery and invention both play an important role in synthetic biology, only inventions are treated as a patentable subject matter under the TRIPS Agreement. Article 27, paragraph 1 of the TRIPS Agreement states that patents shall be available for any inventions, whether products or processes, in all fields of technology, provided that they are new, involve an inventive step and are capable of industrial application. The TRIPS </w:t>
      </w:r>
      <w:r w:rsidR="1D750F8E" w:rsidRPr="0051013B">
        <w:rPr>
          <w:rFonts w:ascii="Times New Roman" w:hAnsi="Times New Roman"/>
          <w:kern w:val="22"/>
        </w:rPr>
        <w:t>A</w:t>
      </w:r>
      <w:r w:rsidR="6D007AE7" w:rsidRPr="0051013B">
        <w:rPr>
          <w:rFonts w:ascii="Times New Roman" w:hAnsi="Times New Roman"/>
          <w:kern w:val="22"/>
        </w:rPr>
        <w:t>greement</w:t>
      </w:r>
      <w:r w:rsidR="0051013B" w:rsidRPr="0051013B">
        <w:rPr>
          <w:rFonts w:ascii="Times New Roman" w:hAnsi="Times New Roman"/>
          <w:kern w:val="22"/>
        </w:rPr>
        <w:t xml:space="preserve">, however, provides no definition or interpretation of these criteria. Thus, WTO Members have considerable leeway in applying them </w:t>
      </w:r>
      <w:r w:rsidR="0051013B" w:rsidRPr="006934A5">
        <w:rPr>
          <w:rFonts w:ascii="Times New Roman" w:hAnsi="Times New Roman"/>
          <w:kern w:val="22"/>
        </w:rPr>
        <w:t>(UNCTAD-ICTSD 2004).</w:t>
      </w:r>
    </w:p>
    <w:p w14:paraId="1C4DF896" w14:textId="77777777" w:rsidR="0051013B" w:rsidRPr="0051013B" w:rsidRDefault="0051013B" w:rsidP="006803D6">
      <w:pPr>
        <w:numPr>
          <w:ilvl w:val="1"/>
          <w:numId w:val="147"/>
        </w:numPr>
        <w:suppressAutoHyphens/>
        <w:spacing w:after="120" w:line="240" w:lineRule="auto"/>
        <w:ind w:left="568" w:hanging="284"/>
        <w:jc w:val="both"/>
        <w:rPr>
          <w:rFonts w:ascii="Times New Roman" w:hAnsi="Times New Roman"/>
          <w:kern w:val="22"/>
        </w:rPr>
      </w:pPr>
      <w:r w:rsidRPr="0051013B">
        <w:rPr>
          <w:rFonts w:ascii="Times New Roman" w:hAnsi="Times New Roman"/>
          <w:kern w:val="22"/>
        </w:rPr>
        <w:t>The criterion of “novelty” is generally understood to mean that the invention has a new feature which must not have been disclosed or available to the public prior to the patent application date - the inventor is granted a patent for something new (UNCTAD-ICTSD 2004). In addition, the invention must not merely be something new, but also involve an “inventive step”, representing a sufficient development over prior art. Depending on the standards that WTO members require for this step, this requirement can serve to exclude trivial or routine “inventions” from being patented (UNCTAD-ICTSD 2004). In this context, according to patent practice in some countries, discoveries of things already existing in nature are deemed unpatentable in their naturally occurring form, on the basis that they are mere discoveries and not inventions as such (UNCTAD-ICTSD 2004). Thirdly, the invention must be useful and capable of industrial application, which aims at a direct technical result (UNCTAD-ICTSD 2004).</w:t>
      </w:r>
    </w:p>
    <w:p w14:paraId="76465088" w14:textId="1F546DDA" w:rsidR="0051013B" w:rsidRPr="0051013B" w:rsidRDefault="0051013B" w:rsidP="006803D6">
      <w:pPr>
        <w:numPr>
          <w:ilvl w:val="1"/>
          <w:numId w:val="147"/>
        </w:numPr>
        <w:suppressAutoHyphens/>
        <w:spacing w:after="120" w:line="240" w:lineRule="auto"/>
        <w:ind w:left="568" w:hanging="284"/>
        <w:jc w:val="both"/>
        <w:rPr>
          <w:rFonts w:ascii="Times New Roman" w:hAnsi="Times New Roman"/>
          <w:kern w:val="22"/>
        </w:rPr>
      </w:pPr>
      <w:r w:rsidRPr="0051013B">
        <w:rPr>
          <w:rFonts w:ascii="Times New Roman" w:hAnsi="Times New Roman"/>
          <w:kern w:val="22"/>
        </w:rPr>
        <w:t>It has been argued that many components, organisms</w:t>
      </w:r>
      <w:r w:rsidR="00DB5AA4">
        <w:rPr>
          <w:rFonts w:ascii="Times New Roman" w:hAnsi="Times New Roman"/>
          <w:kern w:val="22"/>
        </w:rPr>
        <w:t>,</w:t>
      </w:r>
      <w:r w:rsidRPr="0051013B">
        <w:rPr>
          <w:rFonts w:ascii="Times New Roman" w:hAnsi="Times New Roman"/>
          <w:kern w:val="22"/>
        </w:rPr>
        <w:t xml:space="preserve"> and products resulting from synthetic biology techniques fulfil these criteria. In particular, while there has been some controversy in the past as to whether, for example, DNA sequences should constitute patentable subject matter, considering that they are derived from natural (“genomic”) DNA sequences, novel genes constructed using synthetic biology techniques will more clearly fulfil the criteria </w:t>
      </w:r>
      <w:r w:rsidR="005B76AA">
        <w:rPr>
          <w:rFonts w:ascii="Times New Roman" w:hAnsi="Times New Roman"/>
          <w:kern w:val="22"/>
        </w:rPr>
        <w:fldChar w:fldCharType="begin" w:fldLock="1"/>
      </w:r>
      <w:r w:rsidR="005B76AA">
        <w:rPr>
          <w:rFonts w:ascii="Times New Roman" w:hAnsi="Times New Roman"/>
          <w:kern w:val="22"/>
        </w:rPr>
        <w:instrText>ADDIN CSL_CITATION {"citationItems":[{"id":"ITEM-1","itemData":{"author":[{"dropping-particle":"","family":"Torrance","given":"Andrew W","non-dropping-particle":"","parse-names":false,"suffix":""}],"container-title":"Minnesota Journal of Law, Science and Technology","id":"ITEM-1","issue":"2","issued":{"date-parts":[["2010"]]},"page":"629-665","title":"Synthesizing Law for Synthetic Biology","type":"article-journal","volume":"11"},"uris":["http://www.mendeley.com/documents/?uuid=97d2e40c-98ee-4bf7-bcd4-da8ca5747463"]}],"mendeley":{"formattedCitation":"(Torrance, 2010)","plainTextFormattedCitation":"(Torrance, 2010)","previouslyFormattedCitation":"(Torrance, 2010)"},"properties":{"noteIndex":0},"schema":"https://github.com/citation-style-language/schema/raw/master/csl-citation.json"}</w:instrText>
      </w:r>
      <w:r w:rsidR="005B76AA">
        <w:rPr>
          <w:rFonts w:ascii="Times New Roman" w:hAnsi="Times New Roman"/>
          <w:kern w:val="22"/>
        </w:rPr>
        <w:fldChar w:fldCharType="separate"/>
      </w:r>
      <w:r w:rsidR="005B76AA" w:rsidRPr="005B76AA">
        <w:rPr>
          <w:rFonts w:ascii="Times New Roman" w:hAnsi="Times New Roman"/>
          <w:noProof/>
          <w:kern w:val="22"/>
        </w:rPr>
        <w:t>(Torrance, 2010)</w:t>
      </w:r>
      <w:r w:rsidR="005B76AA">
        <w:rPr>
          <w:rFonts w:ascii="Times New Roman" w:hAnsi="Times New Roman"/>
          <w:kern w:val="22"/>
        </w:rPr>
        <w:fldChar w:fldCharType="end"/>
      </w:r>
      <w:r w:rsidRPr="0051013B">
        <w:rPr>
          <w:rFonts w:ascii="Times New Roman" w:hAnsi="Times New Roman"/>
          <w:kern w:val="22"/>
        </w:rPr>
        <w:t>.</w:t>
      </w:r>
    </w:p>
    <w:p w14:paraId="028C5A89" w14:textId="00D3B9F4" w:rsidR="0051013B" w:rsidRPr="0051013B" w:rsidRDefault="0051013B" w:rsidP="006803D6">
      <w:pPr>
        <w:numPr>
          <w:ilvl w:val="1"/>
          <w:numId w:val="147"/>
        </w:numPr>
        <w:suppressAutoHyphens/>
        <w:spacing w:after="120" w:line="240" w:lineRule="auto"/>
        <w:ind w:left="568" w:hanging="284"/>
        <w:jc w:val="both"/>
        <w:rPr>
          <w:rFonts w:ascii="Times New Roman" w:hAnsi="Times New Roman"/>
          <w:kern w:val="22"/>
        </w:rPr>
      </w:pPr>
      <w:r w:rsidRPr="0051013B">
        <w:rPr>
          <w:rFonts w:ascii="Times New Roman" w:hAnsi="Times New Roman"/>
          <w:kern w:val="22"/>
        </w:rPr>
        <w:t xml:space="preserve">While patentable inventions may in principle be found in all areas of technology, the TRIPS Agreement permits, but does not require, WTO Members to exclude on public policy grounds certain inventions from the scope of patentable subject matter, even when they otherwise meet the substantive and formal conditions for patentability. Paragraph 2 of Article 27 states that WTO members may exclude from patentability inventions, the prevention within their territory of the commercial exploitation of which is necessary to protect </w:t>
      </w:r>
      <w:r w:rsidRPr="0051013B">
        <w:rPr>
          <w:rFonts w:ascii="Times New Roman" w:hAnsi="Times New Roman"/>
          <w:i/>
          <w:kern w:val="22"/>
        </w:rPr>
        <w:t>ordre public</w:t>
      </w:r>
      <w:r w:rsidRPr="0051013B">
        <w:rPr>
          <w:rFonts w:ascii="Times New Roman" w:hAnsi="Times New Roman"/>
          <w:kern w:val="22"/>
        </w:rPr>
        <w:t xml:space="preserve"> or morality, including to protect human, animal or plant life or health or to avoid serious prejudice to the environment, provided that such exclusion is not made merely because the exploitation is prohibited by their law. Components, organisms and products resulting from synthetic biology techniques could therefore be excluded from patentability in the territory of a WTO member, if the prevention of their commercial exploitation in that territory is necessary in order to protect human, animal or plant life or health or to avoid serious prejudice to the environment. WTO jurisprudence has so far not addressed the specific requirements of this exception. </w:t>
      </w:r>
    </w:p>
    <w:p w14:paraId="5D79E740" w14:textId="77777777" w:rsidR="0051013B" w:rsidRPr="0051013B" w:rsidRDefault="0051013B" w:rsidP="006803D6">
      <w:pPr>
        <w:numPr>
          <w:ilvl w:val="1"/>
          <w:numId w:val="147"/>
        </w:numPr>
        <w:suppressAutoHyphens/>
        <w:spacing w:after="120" w:line="240" w:lineRule="auto"/>
        <w:ind w:left="568" w:hanging="284"/>
        <w:jc w:val="both"/>
        <w:rPr>
          <w:rFonts w:ascii="Times New Roman" w:hAnsi="Times New Roman"/>
          <w:kern w:val="22"/>
        </w:rPr>
      </w:pPr>
      <w:r w:rsidRPr="0051013B">
        <w:rPr>
          <w:rFonts w:ascii="Times New Roman" w:hAnsi="Times New Roman"/>
          <w:kern w:val="22"/>
        </w:rPr>
        <w:t xml:space="preserve">Some synthetic biology technologies may be considered as contrary to </w:t>
      </w:r>
      <w:r w:rsidRPr="0051013B">
        <w:rPr>
          <w:rFonts w:ascii="Times New Roman" w:hAnsi="Times New Roman"/>
          <w:i/>
          <w:kern w:val="22"/>
        </w:rPr>
        <w:t>ordre public</w:t>
      </w:r>
      <w:r w:rsidRPr="0051013B">
        <w:rPr>
          <w:rFonts w:ascii="Times New Roman" w:hAnsi="Times New Roman"/>
          <w:kern w:val="22"/>
        </w:rPr>
        <w:t xml:space="preserve"> or morality in some countries. The </w:t>
      </w:r>
      <w:r w:rsidRPr="0051013B">
        <w:rPr>
          <w:rFonts w:ascii="Times New Roman" w:hAnsi="Times New Roman"/>
          <w:i/>
          <w:kern w:val="22"/>
        </w:rPr>
        <w:t>WTO Handbook</w:t>
      </w:r>
      <w:r w:rsidRPr="0051013B">
        <w:rPr>
          <w:rFonts w:ascii="Times New Roman" w:hAnsi="Times New Roman"/>
          <w:kern w:val="22"/>
        </w:rPr>
        <w:t xml:space="preserve"> gives possible examples of inventions contrary to morality, such as “processes for the cloning of human beings or for modifying the germ line identity of humans.” If a WTO Member considered it necessary to protect morality by preventing the commercial exploitation of components, organisms and products resulting from synthetic biotechnologies, this, too, would give grounds for their exclusion from patentable subject matter.</w:t>
      </w:r>
    </w:p>
    <w:p w14:paraId="28A965E9" w14:textId="403A9C84" w:rsidR="0051013B" w:rsidRPr="0051013B" w:rsidRDefault="0051013B" w:rsidP="006803D6">
      <w:pPr>
        <w:numPr>
          <w:ilvl w:val="1"/>
          <w:numId w:val="147"/>
        </w:numPr>
        <w:suppressAutoHyphens/>
        <w:spacing w:after="120" w:line="240" w:lineRule="auto"/>
        <w:ind w:left="568" w:hanging="284"/>
        <w:jc w:val="both"/>
        <w:rPr>
          <w:rFonts w:ascii="Times New Roman" w:hAnsi="Times New Roman"/>
          <w:kern w:val="22"/>
        </w:rPr>
      </w:pPr>
      <w:r w:rsidRPr="0051013B">
        <w:rPr>
          <w:rFonts w:ascii="Times New Roman" w:hAnsi="Times New Roman"/>
          <w:kern w:val="22"/>
        </w:rPr>
        <w:t xml:space="preserve">Article 27, paragraph 3 of the TRIPS agreement allows WTO members to exclude from patentability: (a) diagnostic, therapeutic and surgical methods for the treatment of humans or animals; and (b) plants and animals other than micro-organisms, and essentially biological processes for the production of plants or animals other than non-biological and microbiological processes. It states, however, that WTO members have to provide for the protection of plant varieties either by patents or by an effective </w:t>
      </w:r>
      <w:r w:rsidRPr="00414A8B">
        <w:rPr>
          <w:rFonts w:ascii="Times New Roman" w:hAnsi="Times New Roman"/>
          <w:i/>
          <w:iCs/>
          <w:kern w:val="22"/>
        </w:rPr>
        <w:t>sui generis</w:t>
      </w:r>
      <w:r w:rsidRPr="0051013B">
        <w:rPr>
          <w:rFonts w:ascii="Times New Roman" w:hAnsi="Times New Roman"/>
          <w:kern w:val="22"/>
        </w:rPr>
        <w:t xml:space="preserve"> system or by any combination thereof. </w:t>
      </w:r>
    </w:p>
    <w:p w14:paraId="05B75618" w14:textId="77777777" w:rsidR="0051013B" w:rsidRPr="0051013B" w:rsidRDefault="0051013B" w:rsidP="006803D6">
      <w:pPr>
        <w:numPr>
          <w:ilvl w:val="1"/>
          <w:numId w:val="147"/>
        </w:numPr>
        <w:suppressAutoHyphens/>
        <w:spacing w:after="120" w:line="240" w:lineRule="auto"/>
        <w:ind w:left="568" w:hanging="284"/>
        <w:jc w:val="both"/>
        <w:rPr>
          <w:rFonts w:ascii="Times New Roman" w:hAnsi="Times New Roman"/>
          <w:kern w:val="22"/>
        </w:rPr>
      </w:pPr>
      <w:r w:rsidRPr="0051013B">
        <w:rPr>
          <w:rFonts w:ascii="Times New Roman" w:hAnsi="Times New Roman"/>
          <w:kern w:val="22"/>
        </w:rPr>
        <w:t xml:space="preserve">A significant focus of synthetic biology research is on medical applications – including diagnosis, therapeutic treatment, and the production of drugs and vaccines. It would appear that medical applications of synthetic biology could be excludable from patentability to the extent that they constitute diagnostic, therapeutic and surgical </w:t>
      </w:r>
      <w:r w:rsidRPr="0051013B">
        <w:rPr>
          <w:rFonts w:ascii="Times New Roman" w:hAnsi="Times New Roman"/>
          <w:i/>
          <w:kern w:val="22"/>
        </w:rPr>
        <w:t>methods</w:t>
      </w:r>
      <w:r w:rsidRPr="0051013B">
        <w:rPr>
          <w:rFonts w:ascii="Times New Roman" w:hAnsi="Times New Roman"/>
          <w:kern w:val="22"/>
        </w:rPr>
        <w:t xml:space="preserve"> for the treatment of humans or animals. </w:t>
      </w:r>
    </w:p>
    <w:p w14:paraId="656E7DE7" w14:textId="48E1B936" w:rsidR="0051013B" w:rsidRPr="0051013B" w:rsidRDefault="0051013B" w:rsidP="006803D6">
      <w:pPr>
        <w:numPr>
          <w:ilvl w:val="1"/>
          <w:numId w:val="147"/>
        </w:numPr>
        <w:suppressAutoHyphens/>
        <w:spacing w:after="120" w:line="240" w:lineRule="auto"/>
        <w:ind w:left="568" w:hanging="284"/>
        <w:jc w:val="both"/>
        <w:rPr>
          <w:rFonts w:ascii="Times New Roman" w:hAnsi="Times New Roman"/>
          <w:kern w:val="22"/>
        </w:rPr>
      </w:pPr>
      <w:r w:rsidRPr="0051013B">
        <w:rPr>
          <w:rFonts w:ascii="Times New Roman" w:hAnsi="Times New Roman"/>
          <w:kern w:val="22"/>
        </w:rPr>
        <w:t xml:space="preserve">“Plants and animals”, which can be excluded from patentability, are understood to include plants as such (including transgenic plants), plant varieties (including hybrids), plant cells, seeds and other plant materials, as well as animals (including transgenic) and animal races (UNCTAD-ICTSD 2004). While current applications of synthetic biology are mostly in micro-organisms, synthetic biology research in mammalian and other eukaryotic cells is making rapid progress </w:t>
      </w:r>
      <w:r w:rsidR="005B76AA">
        <w:rPr>
          <w:rFonts w:ascii="Times New Roman" w:hAnsi="Times New Roman"/>
          <w:kern w:val="22"/>
        </w:rPr>
        <w:fldChar w:fldCharType="begin" w:fldLock="1"/>
      </w:r>
      <w:r w:rsidR="00697085">
        <w:rPr>
          <w:rFonts w:ascii="Times New Roman" w:hAnsi="Times New Roman"/>
          <w:kern w:val="22"/>
        </w:rPr>
        <w:instrText>ADDIN CSL_CITATION {"citationItems":[{"id":"ITEM-1","itemData":{"DOI":"10.1126/science.1249252","ISSN":"0036-8075","abstract":"Rapid advances in DNA synthesis techniques have made it possible to engineer viruses, biochemical pathways and assemble bacterial genomes. Here, we report the synthesis of a functional 272,871–base pair designer eukaryotic chromosome, synIII, which is based on the 316,617–base pair native Saccharomyces cerevisiae chromosome III. Changes to synIII include TAG/TAA stop-codon replacements, deletion of subtelomeric regions, introns, transfer RNAs, transposons, and silent mating loci as well as insertion of loxPsym sites to enable genome scrambling. SynIII is functional in S. cerevisiae . Scrambling of the chromosome in a heterozygous diploid reveals a large increase in a-mater derivatives resulting from loss of the MAT α allele on synIII. The complete design and synthesis of synIII establishes S. cerevisiae as the basis for designer eukaryotic genome biology.","author":[{"dropping-particle":"","family":"Annaluru","given":"Narayana","non-dropping-particle":"","parse-names":false,"suffix":""},{"dropping-particle":"","family":"Muller","given":"Héloïse","non-dropping-particle":"","parse-names":false,"suffix":""},{"dropping-particle":"","family":"Mitchell","given":"Leslie A.","non-dropping-particle":"","parse-names":false,"suffix":""},{"dropping-particle":"","family":"Ramalingam","given":"Sivaprakash","non-dropping-particle":"","parse-names":false,"suffix":""},{"dropping-particle":"","family":"Stracquadanio","given":"Giovanni","non-dropping-particle":"","parse-names":false,"suffix":""},{"dropping-particle":"","family":"Richardson","given":"Sarah M.","non-dropping-particle":"","parse-names":false,"suffix":""},{"dropping-particle":"","family":"Dymond","given":"Jessica S.","non-dropping-particle":"","parse-names":false,"suffix":""},{"dropping-particle":"","family":"Kuang","given":"Zheng","non-dropping-particle":"","parse-names":false,"suffix":""},{"dropping-particle":"","family":"Scheifele","given":"Lisa Z.","non-dropping-particle":"","parse-names":false,"suffix":""},{"dropping-particle":"","family":"Cooper","given":"Eric M.","non-dropping-particle":"","parse-names":false,"suffix":""},{"dropping-particle":"","family":"Cai","given":"Yizhi","non-dropping-particle":"","parse-names":false,"suffix":""},{"dropping-particle":"","family":"Zeller","given":"Karen","non-dropping-particle":"","parse-names":false,"suffix":""},{"dropping-particle":"","family":"Agmon","given":"Neta","non-dropping-particle":"","parse-names":false,"suffix":""},{"dropping-particle":"","family":"Han","given":"Jeffrey S.","non-dropping-particle":"","parse-names":false,"suffix":""},{"dropping-particle":"","family":"Hadjithomas","given":"Michalis","non-dropping-particle":"","parse-names":false,"suffix":""},{"dropping-particle":"","family":"Tullman","given":"Jennifer","non-dropping-particle":"","parse-names":false,"suffix":""},{"dropping-particle":"","family":"Caravelli","given":"Katrina","non-dropping-particle":"","parse-names":false,"suffix":""},{"dropping-particle":"","family":"Cirelli","given":"Kimberly","non-dropping-particle":"","parse-names":false,"suffix":""},{"dropping-particle":"","family":"Guo","given":"Zheyuan","non-dropping-particle":"","parse-names":false,"suffix":""},{"dropping-particle":"","family":"London","given":"Viktoriya","non-dropping-particle":"","parse-names":false,"suffix":""},{"dropping-particle":"","family":"Yeluru","given":"Apurva","non-dropping-particle":"","parse-names":false,"suffix":""},{"dropping-particle":"","family":"Murugan","given":"Sindurathy","non-dropping-particle":"","parse-names":false,"suffix":""},{"dropping-particle":"","family":"Kandavelou","given":"Karthikeyan","non-dropping-particle":"","parse-names":false,"suffix":""},{"dropping-particle":"","family":"Agier","given":"Nicolas","non-dropping-particle":"","parse-names":false,"suffix":""},{"dropping-particle":"","family":"Fischer","given":"Gilles","non-dropping-particle":"","parse-names":false,"suffix":""},{"dropping-particle":"","family":"Yang","given":"Kun","non-dropping-particle":"","parse-names":false,"suffix":""},{"dropping-particle":"","family":"Martin","given":"J. Andrew","non-dropping-particle":"","parse-names":false,"suffix":""},{"dropping-particle":"","family":"Bilgel","given":"Murat","non-dropping-particle":"","parse-names":false,"suffix":""},{"dropping-particle":"","family":"Bohutskyi","given":"Pavlo","non-dropping-particle":"","parse-names":false,"suffix":""},{"dropping-particle":"","family":"Boulier","given":"Kristin M.","non-dropping-particle":"","parse-names":false,"suffix":""},{"dropping-particle":"","family":"Capaldo","given":"Brian J.","non-dropping-particle":"","parse-names":false,"suffix":""},{"dropping-particle":"","family":"Chang","given":"Joy","non-dropping-particle":"","parse-names":false,"suffix":""},{"dropping-particle":"","family":"Charoen","given":"Kristie","non-dropping-particle":"","parse-names":false,"suffix":""},{"dropping-particle":"","family":"Choi","given":"Woo Jin","non-dropping-particle":"","parse-names":false,"suffix":""},{"dropping-particle":"","family":"Deng","given":"Peter","non-dropping-particle":"","parse-names":false,"suffix":""},{"dropping-particle":"","family":"DiCarlo","given":"James E.","non-dropping-particle":"","parse-names":false,"suffix":""},{"dropping-particle":"","family":"Doong","given":"Judy","non-dropping-particle":"","parse-names":false,"suffix":""},{"dropping-particle":"","family":"Dunn","given":"Jessilyn","non-dropping-particle":"","parse-names":false,"suffix":""},{"dropping-particle":"","family":"Feinberg","given":"Jason I.","non-dropping-particle":"","parse-names":false,"suffix":""},{"dropping-particle":"","family":"Fernandez","given":"Christopher","non-dropping-particle":"","parse-names":false,"suffix":""},{"dropping-particle":"","family":"Floria","given":"Charlotte E.","non-dropping-particle":"","parse-names":false,"suffix":""},{"dropping-particle":"","family":"Gladowski","given":"David","non-dropping-particle":"","parse-names":false,"suffix":""},{"dropping-particle":"","family":"Hadidi","given":"Pasha","non-dropping-particle":"","parse-names":false,"suffix":""},{"dropping-particle":"","family":"Ishizuka","given":"Isabel","non-dropping-particle":"","parse-names":false,"suffix":""},{"dropping-particle":"","family":"Jabbari","given":"Javaneh","non-dropping-particle":"","parse-names":false,"suffix":""},{"dropping-particle":"","family":"Lau","given":"Calvin Y. L.","non-dropping-particle":"","parse-names":false,"suffix":""},{"dropping-particle":"","family":"Lee","given":"Pablo A.","non-dropping-particle":"","parse-names":false,"suffix":""},{"dropping-particle":"","family":"Li","given":"Sean","non-dropping-particle":"","parse-names":false,"suffix":""},{"dropping-particle":"","family":"Lin","given":"Denise","non-dropping-particle":"","parse-names":false,"suffix":""},{"dropping-particle":"","family":"Linder","given":"Matthias E.","non-dropping-particle":"","parse-names":false,"suffix":""},{"dropping-particle":"","family":"Ling","given":"Jonathan","non-dropping-particle":"","parse-names":false,"suffix":""},{"dropping-particle":"","family":"Liu","given":"Jaime","non-dropping-particle":"","parse-names":false,"suffix":""},{"dropping-particle":"","family":"Liu","given":"Jonathan","non-dropping-particle":"","parse-names":false,"suffix":""},{"dropping-particle":"","family":"London","given":"Mariya","non-dropping-particle":"","parse-names":false,"suffix":""},{"dropping-particle":"","family":"Ma","given":"Henry","non-dropping-particle":"","parse-names":false,"suffix":""},{"dropping-particle":"","family":"Mao","given":"Jessica","non-dropping-particle":"","parse-names":false,"suffix":""},{"dropping-particle":"","family":"McDade","given":"Jessica E.","non-dropping-particle":"","parse-names":false,"suffix":""},{"dropping-particle":"","family":"McMillan","given":"Alexandra","non-dropping-particle":"","parse-names":false,"suffix":""},{"dropping-particle":"","family":"Moore","given":"Aaron M.","non-dropping-particle":"","parse-names":false,"suffix":""},{"dropping-particle":"","family":"Oh","given":"Won Chan","non-dropping-particle":"","parse-names":false,"suffix":""},{"dropping-particle":"","family":"Ouyang","given":"Yu","non-dropping-particle":"","parse-names":false,"suffix":""},{"dropping-particle":"","family":"Patel","given":"Ruchi","non-dropping-particle":"","parse-names":false,"suffix":""},{"dropping-particle":"","family":"Paul","given":"Marina","non-dropping-particle":"","parse-names":false,"suffix":""},{"dropping-particle":"","family":"Paulsen","given":"Laura C.","non-dropping-particle":"","parse-names":false,"suffix":""},{"dropping-particle":"","family":"Qiu","given":"Judy","non-dropping-particle":"","parse-names":false,"suffix":""},{"dropping-particle":"","family":"Rhee","given":"Alex","non-dropping-particle":"","parse-names":false,"suffix":""},{"dropping-particle":"","family":"Rubashkin","given":"Matthew G.","non-dropping-particle":"","parse-names":false,"suffix":""},{"dropping-particle":"","family":"Soh","given":"Ina Y.","non-dropping-particle":"","parse-names":false,"suffix":""},{"dropping-particle":"","family":"Sotuyo","given":"Nathaniel E.","non-dropping-particle":"","parse-names":false,"suffix":""},{"dropping-particle":"","family":"Srinivas","given":"Venkatesh","non-dropping-particle":"","parse-names":false,"suffix":""},{"dropping-particle":"","family":"Suarez","given":"Allison","non-dropping-particle":"","parse-names":false,"suffix":""},{"dropping-particle":"","family":"Wong","given":"Andy","non-dropping-particle":"","parse-names":false,"suffix":""},{"dropping-particle":"","family":"Wong","given":"Remus","non-dropping-particle":"","parse-names":false,"suffix":""},{"dropping-particle":"","family":"Xie","given":"Wei Rose","non-dropping-particle":"","parse-names":false,"suffix":""},{"dropping-particle":"","family":"Xu","given":"Yijie","non-dropping-particle":"","parse-names":false,"suffix":""},{"dropping-particle":"","family":"Yu","given":"Allen T.","non-dropping-particle":"","parse-names":false,"suffix":""},{"dropping-particle":"","family":"Koszul","given":"Romain","non-dropping-particle":"","parse-names":false,"suffix":""},{"dropping-particle":"","family":"Bader","given":"Joel S.","non-dropping-particle":"","parse-names":false,"suffix":""},{"dropping-particle":"","family":"Boeke","given":"Jef D.","non-dropping-particle":"","parse-names":false,"suffix":""},{"dropping-particle":"","family":"Chandrasegaran","given":"Srinivasan","non-dropping-particle":"","parse-names":false,"suffix":""}],"container-title":"Science","id":"ITEM-1","issue":"6179","issued":{"date-parts":[["2014","4","4"]]},"page":"55-58","title":"Total Synthesis of a Functional Designer Eukaryotic Chromosome","type":"article-journal","volume":"344"},"uris":["http://www.mendeley.com/documents/?uuid=331785ae-f8f7-4f44-a1b0-8c08e2361dc9"]},{"id":"ITEM-2","itemData":{"DOI":"10.1038/nrm3738","ISSN":"1471-0072","author":[{"dropping-particle":"","family":"Lienert","given":"Florian","non-dropping-particle":"","parse-names":false,"suffix":""},{"dropping-particle":"","family":"Lohmueller","given":"Jason J.","non-dropping-particle":"","parse-names":false,"suffix":""},{"dropping-particle":"","family":"Garg","given":"Abhishek","non-dropping-particle":"","parse-names":false,"suffix":""},{"dropping-particle":"","family":"Silver","given":"Pamela A.","non-dropping-particle":"","parse-names":false,"suffix":""}],"container-title":"Nature Reviews Molecular Cell Biology","id":"ITEM-2","issue":"2","issued":{"date-parts":[["2014","2","17"]]},"page":"95-107","title":"Synthetic biology in mammalian cells: next generation research tools and therapeutics","type":"article-journal","volume":"15"},"uris":["http://www.mendeley.com/documents/?uuid=7c659b3f-68b3-4c9d-9e84-fd08b01496a7"]},{"id":"ITEM-3","itemData":{"DOI":"10.1146/annurev-chembioeng-061010-114145","ISSN":"1947-5438","author":[{"dropping-particle":"","family":"Wieland","given":"Markus","non-dropping-particle":"","parse-names":false,"suffix":""},{"dropping-particle":"","family":"Fussenegger","given":"Martin","non-dropping-particle":"","parse-names":false,"suffix":""}],"container-title":"Annual Review of Chemical and Biomolecular Engineering","id":"ITEM-3","issue":"1","issued":{"date-parts":[["2012","7","15"]]},"page":"209-234","title":"Engineering Molecular Circuits Using Synthetic Biology in Mammalian Cells","type":"article-journal","volume":"3"},"uris":["http://www.mendeley.com/documents/?uuid=ac0e04a4-d6d8-43d8-819c-43a743b16416"]}],"mendeley":{"formattedCitation":"(Annaluru et al., 2014; Lienert et al., 2014; Wieland &amp; Fussenegger, 2012)","plainTextFormattedCitation":"(Annaluru et al., 2014; Lienert et al., 2014; Wieland &amp; Fussenegger, 2012)","previouslyFormattedCitation":"(Annaluru et al., 2014; Lienert et al., 2014; Wieland &amp; Fussenegger, 2012)"},"properties":{"noteIndex":0},"schema":"https://github.com/citation-style-language/schema/raw/master/csl-citation.json"}</w:instrText>
      </w:r>
      <w:r w:rsidR="005B76AA">
        <w:rPr>
          <w:rFonts w:ascii="Times New Roman" w:hAnsi="Times New Roman"/>
          <w:kern w:val="22"/>
        </w:rPr>
        <w:fldChar w:fldCharType="separate"/>
      </w:r>
      <w:r w:rsidR="005B76AA" w:rsidRPr="005B76AA">
        <w:rPr>
          <w:rFonts w:ascii="Times New Roman" w:hAnsi="Times New Roman"/>
          <w:noProof/>
          <w:kern w:val="22"/>
        </w:rPr>
        <w:t>(Annaluru et al., 2014; Lienert et al., 2014; Wieland &amp; Fussenegger, 2012)</w:t>
      </w:r>
      <w:r w:rsidR="005B76AA">
        <w:rPr>
          <w:rFonts w:ascii="Times New Roman" w:hAnsi="Times New Roman"/>
          <w:kern w:val="22"/>
        </w:rPr>
        <w:fldChar w:fldCharType="end"/>
      </w:r>
      <w:r w:rsidRPr="0051013B">
        <w:rPr>
          <w:rFonts w:ascii="Times New Roman" w:hAnsi="Times New Roman"/>
          <w:kern w:val="22"/>
        </w:rPr>
        <w:t>, and the products of such applications could fall under excludable “plants and animals”. For micro-organisms which include bacteria, fungi, algae, protozoa or viruses, patents need to be available, as far as they are novel, non-obvious and useful in accordance with Article 27, paragraph 1 of the TRIPS agreement (UNCTAD-ICTSD 2004).</w:t>
      </w:r>
    </w:p>
    <w:p w14:paraId="5AE1070B" w14:textId="77777777" w:rsidR="0051013B" w:rsidRPr="0051013B" w:rsidRDefault="0051013B" w:rsidP="006803D6">
      <w:pPr>
        <w:numPr>
          <w:ilvl w:val="1"/>
          <w:numId w:val="147"/>
        </w:numPr>
        <w:suppressAutoHyphens/>
        <w:spacing w:after="120" w:line="240" w:lineRule="auto"/>
        <w:ind w:left="568" w:hanging="284"/>
        <w:jc w:val="both"/>
        <w:rPr>
          <w:rFonts w:ascii="Times New Roman" w:hAnsi="Times New Roman"/>
          <w:kern w:val="22"/>
          <w:shd w:val="clear" w:color="auto" w:fill="00FF00"/>
        </w:rPr>
      </w:pPr>
      <w:r w:rsidRPr="0051013B">
        <w:rPr>
          <w:rFonts w:ascii="Times New Roman" w:hAnsi="Times New Roman"/>
          <w:kern w:val="22"/>
        </w:rPr>
        <w:t xml:space="preserve">The possibility of excluding the patentability of “essentially biological processes” does not extend to “non-biological” processes for the production of plants or animals or any process that uses or modifies microorganisms, such as methods based on modern biotechnology like the insertion of genes in a plant (UNCTAD-ICTSD 2004). Although there is room for interpretation in the exact meaning of “essentially biological processes,” the chemical synthesis of DNA sequences seems to fall outside of this. </w:t>
      </w:r>
    </w:p>
    <w:p w14:paraId="05D82211" w14:textId="77777777" w:rsidR="0051013B" w:rsidRPr="0051013B" w:rsidRDefault="0051013B" w:rsidP="006803D6">
      <w:pPr>
        <w:numPr>
          <w:ilvl w:val="1"/>
          <w:numId w:val="147"/>
        </w:numPr>
        <w:suppressAutoHyphens/>
        <w:spacing w:after="120" w:line="240" w:lineRule="auto"/>
        <w:ind w:left="568" w:hanging="284"/>
        <w:jc w:val="both"/>
        <w:rPr>
          <w:rFonts w:ascii="Times New Roman" w:hAnsi="Times New Roman"/>
          <w:kern w:val="22"/>
        </w:rPr>
      </w:pPr>
      <w:r w:rsidRPr="0051013B">
        <w:rPr>
          <w:rFonts w:ascii="Times New Roman" w:hAnsi="Times New Roman"/>
          <w:kern w:val="22"/>
        </w:rPr>
        <w:t>Thus, it seems possible for select products of synthetic biology techniques to be excluded from patentability through Article 27, paragraph 3 of TRIPS.</w:t>
      </w:r>
    </w:p>
    <w:p w14:paraId="4F9F9D53" w14:textId="0EE36174" w:rsidR="0051013B" w:rsidRPr="0051013B" w:rsidRDefault="0051013B" w:rsidP="006803D6">
      <w:pPr>
        <w:numPr>
          <w:ilvl w:val="1"/>
          <w:numId w:val="147"/>
        </w:numPr>
        <w:suppressAutoHyphens/>
        <w:spacing w:after="120" w:line="240" w:lineRule="auto"/>
        <w:ind w:left="568" w:hanging="284"/>
        <w:jc w:val="both"/>
        <w:rPr>
          <w:rFonts w:ascii="Times New Roman" w:eastAsia="SimSun" w:hAnsi="Times New Roman"/>
          <w:bCs/>
          <w:color w:val="000000"/>
          <w:kern w:val="22"/>
          <w:lang w:eastAsia="hi-IN" w:bidi="hi-IN"/>
        </w:rPr>
      </w:pPr>
      <w:r w:rsidRPr="0051013B">
        <w:rPr>
          <w:rFonts w:ascii="Times New Roman" w:eastAsia="SimSun" w:hAnsi="Times New Roman"/>
          <w:color w:val="000000"/>
          <w:kern w:val="22"/>
          <w:lang w:eastAsia="hi-IN" w:bidi="hi-IN"/>
        </w:rPr>
        <w:t>A significant extent of the impact of intellectual property in the field of synthetic biology concerns not what formal legal standards are in place, but how intellectual property is managed – for instance, whether patents are applied for and how they are licensed. The TRIPS Agreement does not regulate this aspect directly, although it provides scope for action to deal with abusive licensing practices and provides for public policy exceptions to patent rights; hence, within the TRIPS framework, a wide spectrum of approaches to obtaining and managing patents in this area can be discerned as noted in Section 7.</w:t>
      </w:r>
      <w:r w:rsidR="00FF5CCC">
        <w:rPr>
          <w:rFonts w:ascii="Times New Roman" w:eastAsia="SimSun" w:hAnsi="Times New Roman"/>
          <w:color w:val="000000"/>
          <w:kern w:val="22"/>
          <w:lang w:eastAsia="hi-IN" w:bidi="hi-IN"/>
        </w:rPr>
        <w:t>4</w:t>
      </w:r>
      <w:r w:rsidRPr="0051013B">
        <w:rPr>
          <w:rFonts w:ascii="Times New Roman" w:eastAsia="SimSun" w:hAnsi="Times New Roman"/>
          <w:color w:val="000000"/>
          <w:kern w:val="22"/>
          <w:lang w:eastAsia="hi-IN" w:bidi="hi-IN"/>
        </w:rPr>
        <w:t>.</w:t>
      </w:r>
    </w:p>
    <w:p w14:paraId="39634701" w14:textId="76E08075" w:rsidR="0051013B" w:rsidRPr="00531985" w:rsidRDefault="001C6978" w:rsidP="00531985">
      <w:pPr>
        <w:pStyle w:val="Heading5"/>
        <w:tabs>
          <w:tab w:val="clear" w:pos="1800"/>
        </w:tabs>
        <w:ind w:left="284" w:hanging="284"/>
      </w:pPr>
      <w:r w:rsidRPr="00531985">
        <w:rPr>
          <w:i w:val="0"/>
          <w:iCs/>
        </w:rPr>
        <w:t>(b)</w:t>
      </w:r>
      <w:r w:rsidRPr="00531985">
        <w:t xml:space="preserve"> </w:t>
      </w:r>
      <w:r w:rsidR="0051013B" w:rsidRPr="00531985">
        <w:t>International Convention for the Protection of New Varieties of Plants (UPOV Convention)</w:t>
      </w:r>
      <w:r w:rsidR="00D63470" w:rsidRPr="00531985">
        <w:t>.</w:t>
      </w:r>
    </w:p>
    <w:p w14:paraId="30A7C0A4" w14:textId="0DCBBBDE" w:rsidR="0051013B" w:rsidRPr="0051013B" w:rsidRDefault="0051013B" w:rsidP="0051013B">
      <w:pPr>
        <w:suppressAutoHyphens/>
        <w:spacing w:after="120" w:line="240" w:lineRule="auto"/>
        <w:jc w:val="both"/>
        <w:rPr>
          <w:rFonts w:ascii="Times New Roman" w:eastAsia="SimSun" w:hAnsi="Times New Roman"/>
          <w:i/>
          <w:iCs/>
          <w:kern w:val="22"/>
          <w:sz w:val="24"/>
          <w:lang w:eastAsia="hi-IN" w:bidi="hi-IN"/>
        </w:rPr>
      </w:pPr>
      <w:r w:rsidRPr="0051013B">
        <w:rPr>
          <w:rFonts w:ascii="Times New Roman" w:hAnsi="Times New Roman"/>
          <w:kern w:val="22"/>
        </w:rPr>
        <w:t>The International Union for the Protection of New Varieties of Plants (UPOV) was established by the International Convention for the Protection of New Varieties of Plants (UPOV Convention). The UPOV Convention came into force in 1968 and was revised in 1972, 1978, and 1991, in order to reflect technological developments in plant breeding and experience acquired with the application of the Convention</w:t>
      </w:r>
      <w:r w:rsidRPr="0051013B">
        <w:rPr>
          <w:rFonts w:ascii="Times New Roman" w:hAnsi="Times New Roman"/>
          <w:kern w:val="22"/>
          <w:vertAlign w:val="superscript"/>
        </w:rPr>
        <w:footnoteReference w:id="101"/>
      </w:r>
      <w:r w:rsidR="00C84EC3">
        <w:rPr>
          <w:rFonts w:ascii="Times New Roman" w:hAnsi="Times New Roman"/>
          <w:kern w:val="22"/>
        </w:rPr>
        <w:t>.</w:t>
      </w:r>
      <w:r w:rsidRPr="0051013B">
        <w:rPr>
          <w:rFonts w:ascii="Times New Roman" w:hAnsi="Times New Roman"/>
          <w:kern w:val="22"/>
        </w:rPr>
        <w:t xml:space="preserve"> UPOV has 77 members. The main objective of UPOV is to provide and promote an effective system of plant variety protection with the aim of encouraging the development of new varieties of plants, for the benefit of society. </w:t>
      </w:r>
    </w:p>
    <w:p w14:paraId="2E960DCC" w14:textId="1DAD0BC8" w:rsidR="0051013B" w:rsidRPr="0051013B" w:rsidRDefault="0051013B" w:rsidP="006803D6">
      <w:pPr>
        <w:pStyle w:val="Heading6"/>
        <w:numPr>
          <w:ilvl w:val="0"/>
          <w:numId w:val="147"/>
        </w:numPr>
        <w:ind w:left="284" w:hanging="284"/>
      </w:pPr>
      <w:bookmarkStart w:id="170" w:name="_Toc399752973"/>
      <w:r w:rsidRPr="0051013B">
        <w:t>Overview of main provisions</w:t>
      </w:r>
      <w:bookmarkEnd w:id="170"/>
      <w:r w:rsidR="00D63470">
        <w:rPr>
          <w:lang w:val="en-US"/>
        </w:rPr>
        <w:t>.</w:t>
      </w:r>
    </w:p>
    <w:p w14:paraId="7B08A706" w14:textId="4C424FF1" w:rsidR="0051013B" w:rsidRPr="00032AA9" w:rsidRDefault="0051013B" w:rsidP="00032AA9">
      <w:pPr>
        <w:pStyle w:val="ListParagraph"/>
        <w:numPr>
          <w:ilvl w:val="1"/>
          <w:numId w:val="147"/>
        </w:numPr>
        <w:suppressAutoHyphens/>
        <w:spacing w:after="120" w:line="240" w:lineRule="auto"/>
        <w:ind w:left="567" w:hanging="283"/>
        <w:jc w:val="both"/>
        <w:rPr>
          <w:rFonts w:ascii="Times New Roman" w:hAnsi="Times New Roman"/>
          <w:kern w:val="22"/>
        </w:rPr>
      </w:pPr>
      <w:r w:rsidRPr="0051013B">
        <w:rPr>
          <w:rFonts w:ascii="Times New Roman" w:hAnsi="Times New Roman"/>
          <w:kern w:val="22"/>
        </w:rPr>
        <w:t>The UPOV Convention sets forth standards, including national treatment, for the granting of “breeders’ rights” as a sui generis form of protection for new plant varieties. A plant variety in accordance with Article 1, paragraph (vi) of the Convention is defined as a plant grouping within a single botanical taxon of the lowest known rank, which grouping, irrespective of whether the conditions for the grant of a breeder's right are fully met, can be</w:t>
      </w:r>
      <w:r w:rsidR="001C6978">
        <w:rPr>
          <w:rFonts w:ascii="Times New Roman" w:hAnsi="Times New Roman"/>
          <w:kern w:val="22"/>
        </w:rPr>
        <w:t xml:space="preserve">: </w:t>
      </w:r>
      <w:r w:rsidRPr="00032AA9">
        <w:rPr>
          <w:rFonts w:ascii="Times New Roman" w:hAnsi="Times New Roman"/>
          <w:kern w:val="22"/>
        </w:rPr>
        <w:t>defined by the expression of the characteristics resulting from a given genotype or combination of genotypes,</w:t>
      </w:r>
    </w:p>
    <w:p w14:paraId="15FC8120" w14:textId="77777777" w:rsidR="0051013B" w:rsidRPr="0051013B" w:rsidRDefault="0051013B" w:rsidP="00032AA9">
      <w:pPr>
        <w:numPr>
          <w:ilvl w:val="1"/>
          <w:numId w:val="147"/>
        </w:numPr>
        <w:suppressAutoHyphens/>
        <w:spacing w:after="60" w:line="240" w:lineRule="auto"/>
        <w:ind w:left="567" w:hanging="283"/>
        <w:jc w:val="both"/>
        <w:rPr>
          <w:rFonts w:ascii="Times New Roman" w:hAnsi="Times New Roman"/>
          <w:kern w:val="22"/>
        </w:rPr>
      </w:pPr>
      <w:r w:rsidRPr="0051013B">
        <w:rPr>
          <w:rFonts w:ascii="Times New Roman" w:hAnsi="Times New Roman"/>
          <w:kern w:val="22"/>
        </w:rPr>
        <w:t>distinguished from any other plant grouping by the expression of at least one of the said characteristics and</w:t>
      </w:r>
    </w:p>
    <w:p w14:paraId="12F26A7D" w14:textId="77777777" w:rsidR="0051013B" w:rsidRPr="0051013B" w:rsidRDefault="0051013B" w:rsidP="00032AA9">
      <w:pPr>
        <w:numPr>
          <w:ilvl w:val="1"/>
          <w:numId w:val="147"/>
        </w:numPr>
        <w:suppressAutoHyphens/>
        <w:spacing w:after="60" w:line="240" w:lineRule="auto"/>
        <w:ind w:left="567" w:hanging="283"/>
        <w:jc w:val="both"/>
        <w:rPr>
          <w:rFonts w:ascii="Times New Roman" w:hAnsi="Times New Roman"/>
          <w:kern w:val="22"/>
        </w:rPr>
      </w:pPr>
      <w:r w:rsidRPr="0051013B">
        <w:rPr>
          <w:rFonts w:ascii="Times New Roman" w:hAnsi="Times New Roman"/>
          <w:kern w:val="22"/>
        </w:rPr>
        <w:t>considered as a unit with regard to its suitability for being propagated unchanged.</w:t>
      </w:r>
    </w:p>
    <w:p w14:paraId="78EC0A49" w14:textId="77777777" w:rsidR="0051013B" w:rsidRPr="0051013B" w:rsidRDefault="0051013B" w:rsidP="0051013B">
      <w:pPr>
        <w:suppressAutoHyphens/>
        <w:spacing w:after="120" w:line="240" w:lineRule="auto"/>
        <w:jc w:val="both"/>
        <w:rPr>
          <w:rFonts w:ascii="Times New Roman" w:hAnsi="Times New Roman"/>
          <w:kern w:val="22"/>
        </w:rPr>
      </w:pPr>
      <w:r w:rsidRPr="0051013B">
        <w:rPr>
          <w:rFonts w:ascii="Times New Roman" w:hAnsi="Times New Roman"/>
          <w:kern w:val="22"/>
        </w:rPr>
        <w:t>The Explanatory Notes on the Definition of Variety under the 1991 Act of the UPOV Convention (document UPOV/EXN/VAR/1) states as follows:</w:t>
      </w:r>
    </w:p>
    <w:p w14:paraId="12537A4C" w14:textId="48C00D89" w:rsidR="0051013B" w:rsidRPr="00032AA9" w:rsidRDefault="0051013B" w:rsidP="0051013B">
      <w:pPr>
        <w:spacing w:line="240" w:lineRule="auto"/>
        <w:ind w:left="875" w:hanging="450"/>
        <w:rPr>
          <w:rFonts w:ascii="Times New Roman" w:hAnsi="Times New Roman"/>
          <w:i/>
          <w:iCs/>
          <w:kern w:val="22"/>
        </w:rPr>
      </w:pPr>
      <w:r w:rsidRPr="00032AA9">
        <w:rPr>
          <w:rFonts w:ascii="Times New Roman" w:hAnsi="Times New Roman"/>
          <w:i/>
          <w:iCs/>
          <w:kern w:val="22"/>
        </w:rPr>
        <w:t>“4. The definition of “variety” under the 1991 Act of the UPOV Convention starts by stating that it is “a plant grouping within a single botanical taxon of the lowest known rank, …” thereby confirming that a variety may not, for example, consist of plants of more than one species.</w:t>
      </w:r>
    </w:p>
    <w:p w14:paraId="27877F1E" w14:textId="77777777" w:rsidR="0051013B" w:rsidRPr="00032AA9" w:rsidRDefault="0051013B" w:rsidP="0051013B">
      <w:pPr>
        <w:spacing w:line="240" w:lineRule="auto"/>
        <w:ind w:left="875" w:hanging="450"/>
        <w:rPr>
          <w:rFonts w:ascii="Times New Roman" w:hAnsi="Times New Roman"/>
          <w:i/>
          <w:iCs/>
          <w:kern w:val="22"/>
        </w:rPr>
      </w:pPr>
      <w:r w:rsidRPr="00032AA9">
        <w:rPr>
          <w:rFonts w:ascii="Times New Roman" w:hAnsi="Times New Roman"/>
          <w:i/>
          <w:iCs/>
          <w:kern w:val="22"/>
        </w:rPr>
        <w:t>“5. The definition that a variety means a “plant grouping” clarifies that the following, for example, do not correspond to the definition of a variety:</w:t>
      </w:r>
    </w:p>
    <w:p w14:paraId="14245CA5" w14:textId="77777777" w:rsidR="0051013B" w:rsidRPr="00032AA9" w:rsidRDefault="0051013B" w:rsidP="0051013B">
      <w:pPr>
        <w:numPr>
          <w:ilvl w:val="0"/>
          <w:numId w:val="46"/>
        </w:numPr>
        <w:suppressAutoHyphens/>
        <w:spacing w:after="60" w:line="240" w:lineRule="auto"/>
        <w:ind w:left="709" w:hanging="283"/>
        <w:jc w:val="both"/>
        <w:rPr>
          <w:rFonts w:ascii="Times New Roman" w:eastAsia="SimSun" w:hAnsi="Times New Roman"/>
          <w:i/>
          <w:iCs/>
          <w:kern w:val="22"/>
        </w:rPr>
      </w:pPr>
      <w:r w:rsidRPr="00032AA9">
        <w:rPr>
          <w:rFonts w:ascii="Times New Roman" w:eastAsia="SimSun" w:hAnsi="Times New Roman"/>
          <w:i/>
          <w:iCs/>
          <w:kern w:val="22"/>
        </w:rPr>
        <w:t>a single plant; (however, an existing variety may be represented by a single plant or part(s) of a plant, provided that such a plant or part(s) of the plant could be used to propagate the variety)</w:t>
      </w:r>
    </w:p>
    <w:p w14:paraId="5202E900" w14:textId="7FF80B81" w:rsidR="0051013B" w:rsidRPr="00032AA9" w:rsidRDefault="0051013B" w:rsidP="0051013B">
      <w:pPr>
        <w:numPr>
          <w:ilvl w:val="0"/>
          <w:numId w:val="46"/>
        </w:numPr>
        <w:suppressAutoHyphens/>
        <w:spacing w:after="60" w:line="240" w:lineRule="auto"/>
        <w:ind w:left="709" w:hanging="283"/>
        <w:jc w:val="both"/>
        <w:rPr>
          <w:rFonts w:ascii="Times New Roman" w:eastAsia="SimSun" w:hAnsi="Times New Roman"/>
          <w:i/>
          <w:iCs/>
          <w:kern w:val="22"/>
        </w:rPr>
      </w:pPr>
      <w:r w:rsidRPr="00032AA9">
        <w:rPr>
          <w:rFonts w:ascii="Times New Roman" w:eastAsia="SimSun" w:hAnsi="Times New Roman"/>
          <w:i/>
          <w:iCs/>
          <w:kern w:val="22"/>
        </w:rPr>
        <w:t>a trait (e.g. disease resistance, flower color)</w:t>
      </w:r>
    </w:p>
    <w:p w14:paraId="54B194A4" w14:textId="3F874E6D" w:rsidR="0051013B" w:rsidRPr="00032AA9" w:rsidRDefault="0051013B" w:rsidP="0051013B">
      <w:pPr>
        <w:numPr>
          <w:ilvl w:val="0"/>
          <w:numId w:val="46"/>
        </w:numPr>
        <w:suppressAutoHyphens/>
        <w:spacing w:after="60" w:line="240" w:lineRule="auto"/>
        <w:ind w:left="709" w:hanging="283"/>
        <w:jc w:val="both"/>
        <w:rPr>
          <w:rFonts w:ascii="Times New Roman" w:eastAsia="SimSun" w:hAnsi="Times New Roman"/>
          <w:i/>
          <w:iCs/>
          <w:kern w:val="22"/>
        </w:rPr>
      </w:pPr>
      <w:r w:rsidRPr="00032AA9">
        <w:rPr>
          <w:rFonts w:ascii="Times New Roman" w:eastAsia="SimSun" w:hAnsi="Times New Roman"/>
          <w:i/>
          <w:iCs/>
          <w:kern w:val="22"/>
        </w:rPr>
        <w:t>a chemical or other substance (e.g. oil, DNA)</w:t>
      </w:r>
    </w:p>
    <w:p w14:paraId="3BA04A25" w14:textId="047BCC11" w:rsidR="0051013B" w:rsidRPr="00032AA9" w:rsidRDefault="0051013B" w:rsidP="0051013B">
      <w:pPr>
        <w:numPr>
          <w:ilvl w:val="0"/>
          <w:numId w:val="46"/>
        </w:numPr>
        <w:suppressAutoHyphens/>
        <w:spacing w:after="60" w:line="240" w:lineRule="auto"/>
        <w:ind w:left="709" w:hanging="283"/>
        <w:jc w:val="both"/>
        <w:rPr>
          <w:rFonts w:ascii="Times New Roman" w:eastAsia="SimSun" w:hAnsi="Times New Roman"/>
          <w:i/>
          <w:iCs/>
          <w:kern w:val="22"/>
        </w:rPr>
      </w:pPr>
      <w:r w:rsidRPr="00032AA9">
        <w:rPr>
          <w:rFonts w:ascii="Times New Roman" w:eastAsia="SimSun" w:hAnsi="Times New Roman"/>
          <w:i/>
          <w:iCs/>
          <w:kern w:val="22"/>
        </w:rPr>
        <w:t>a plant breeding technology (e.g. tissue culture).”</w:t>
      </w:r>
    </w:p>
    <w:p w14:paraId="0F493CDE" w14:textId="16475E66" w:rsidR="0051013B" w:rsidRPr="0051013B" w:rsidRDefault="0051013B" w:rsidP="00032AA9">
      <w:pPr>
        <w:pStyle w:val="Heading6"/>
        <w:numPr>
          <w:ilvl w:val="0"/>
          <w:numId w:val="46"/>
        </w:numPr>
        <w:ind w:left="284" w:hanging="284"/>
      </w:pPr>
      <w:bookmarkStart w:id="171" w:name="_Toc399752974"/>
      <w:r w:rsidRPr="0051013B">
        <w:t>Breeder’s right</w:t>
      </w:r>
      <w:bookmarkEnd w:id="171"/>
      <w:r w:rsidR="00AB1609">
        <w:rPr>
          <w:lang w:val="en-US"/>
        </w:rPr>
        <w:t>s</w:t>
      </w:r>
    </w:p>
    <w:p w14:paraId="07B0D8CF" w14:textId="77777777" w:rsidR="0051013B" w:rsidRPr="0051013B" w:rsidRDefault="0051013B" w:rsidP="0051013B">
      <w:pPr>
        <w:suppressAutoHyphens/>
        <w:spacing w:after="120" w:line="240" w:lineRule="auto"/>
        <w:jc w:val="both"/>
        <w:rPr>
          <w:rFonts w:ascii="Times New Roman" w:hAnsi="Times New Roman"/>
          <w:kern w:val="22"/>
        </w:rPr>
      </w:pPr>
      <w:r w:rsidRPr="0051013B">
        <w:rPr>
          <w:rFonts w:ascii="Times New Roman" w:hAnsi="Times New Roman"/>
          <w:kern w:val="22"/>
        </w:rPr>
        <w:t>In order to be eligible for protection, a plant variety must meet the following requirements (Article 5 UPOV Convention):</w:t>
      </w:r>
    </w:p>
    <w:p w14:paraId="267A2D9B" w14:textId="77777777" w:rsidR="0051013B" w:rsidRPr="0051013B" w:rsidRDefault="0051013B" w:rsidP="0051013B">
      <w:pPr>
        <w:numPr>
          <w:ilvl w:val="0"/>
          <w:numId w:val="29"/>
        </w:numPr>
        <w:suppressAutoHyphens/>
        <w:spacing w:after="60" w:line="240" w:lineRule="auto"/>
        <w:jc w:val="both"/>
        <w:rPr>
          <w:rFonts w:ascii="Times New Roman" w:hAnsi="Times New Roman"/>
          <w:kern w:val="22"/>
        </w:rPr>
      </w:pPr>
      <w:r w:rsidRPr="0051013B">
        <w:rPr>
          <w:rFonts w:ascii="Times New Roman" w:hAnsi="Times New Roman"/>
          <w:kern w:val="22"/>
        </w:rPr>
        <w:t xml:space="preserve">“Novelty - propagating or harvested material of the variety must not have been sold or otherwise disposed of to others, by or with the consent of the breeder in the territory of the UPOV member where the applicant seeks protection for more than one year, nor for more than four years in any other territory and six years in the case of vines and trees (Article 6). </w:t>
      </w:r>
    </w:p>
    <w:p w14:paraId="383453D3" w14:textId="77777777" w:rsidR="0051013B" w:rsidRPr="0051013B" w:rsidRDefault="0051013B" w:rsidP="0051013B">
      <w:pPr>
        <w:numPr>
          <w:ilvl w:val="0"/>
          <w:numId w:val="29"/>
        </w:numPr>
        <w:suppressAutoHyphens/>
        <w:spacing w:after="60" w:line="240" w:lineRule="auto"/>
        <w:jc w:val="both"/>
        <w:rPr>
          <w:rFonts w:ascii="Times New Roman" w:hAnsi="Times New Roman"/>
          <w:kern w:val="22"/>
        </w:rPr>
      </w:pPr>
      <w:r w:rsidRPr="0051013B">
        <w:rPr>
          <w:rFonts w:ascii="Times New Roman" w:hAnsi="Times New Roman"/>
          <w:kern w:val="22"/>
        </w:rPr>
        <w:t>“Distinctness - the variety must be clearly distinguishable from any other variety whose existence is a matter of common knowledge at the time of the filing of the application (Article 7).</w:t>
      </w:r>
    </w:p>
    <w:p w14:paraId="4A808830" w14:textId="77777777" w:rsidR="0051013B" w:rsidRPr="0051013B" w:rsidRDefault="0051013B" w:rsidP="0051013B">
      <w:pPr>
        <w:numPr>
          <w:ilvl w:val="0"/>
          <w:numId w:val="29"/>
        </w:numPr>
        <w:suppressAutoHyphens/>
        <w:spacing w:after="60" w:line="240" w:lineRule="auto"/>
        <w:jc w:val="both"/>
        <w:rPr>
          <w:rFonts w:ascii="Times New Roman" w:hAnsi="Times New Roman"/>
          <w:kern w:val="22"/>
        </w:rPr>
      </w:pPr>
      <w:r w:rsidRPr="0051013B">
        <w:rPr>
          <w:rFonts w:ascii="Times New Roman" w:hAnsi="Times New Roman"/>
          <w:kern w:val="22"/>
        </w:rPr>
        <w:t>“Uniformity - subject to the variation that may be expected from the particular features of its propagation, the variety must be sufficiently uniform in its relevant characteristics (Article 8).</w:t>
      </w:r>
    </w:p>
    <w:p w14:paraId="3FF57EAA" w14:textId="77777777" w:rsidR="0051013B" w:rsidRPr="0051013B" w:rsidRDefault="0051013B" w:rsidP="0051013B">
      <w:pPr>
        <w:suppressAutoHyphens/>
        <w:spacing w:after="120" w:line="240" w:lineRule="auto"/>
        <w:jc w:val="both"/>
        <w:rPr>
          <w:rFonts w:ascii="Times New Roman" w:hAnsi="Times New Roman"/>
          <w:kern w:val="22"/>
        </w:rPr>
      </w:pPr>
      <w:r w:rsidRPr="0051013B">
        <w:rPr>
          <w:rFonts w:ascii="Times New Roman" w:hAnsi="Times New Roman"/>
          <w:kern w:val="22"/>
        </w:rPr>
        <w:t>“Stability - the variety is stable if its relevant characteristics remain unchanged after repeated propagation or, in the case of a particular cycle of propagation, at the end of each such cycle (Article 9 UPOV Convention). […]” Where plant varieties resulting from synthetic biology techniques fulfil these criteria, the breeder has the possibility to obtain a breeder’s right, which includes that (i) production or reproduction (multiplication); (ii) conditioning for the purpose of propagation; (iii) offering for sale; (iv) selling or other marketing; (v) exporting; (vi) importing, and (vii) stocking for any of these purposes, requires the authorization of the breeder (Article 14 UPOV Convention). The breeder’s right is granted by an individual UPOV member.</w:t>
      </w:r>
    </w:p>
    <w:p w14:paraId="480928CF" w14:textId="77777777" w:rsidR="0051013B" w:rsidRPr="0051013B" w:rsidRDefault="0051013B" w:rsidP="0051013B">
      <w:pPr>
        <w:suppressAutoHyphens/>
        <w:spacing w:after="120" w:line="240" w:lineRule="auto"/>
        <w:jc w:val="both"/>
        <w:rPr>
          <w:rFonts w:ascii="Times New Roman" w:hAnsi="Times New Roman"/>
          <w:kern w:val="22"/>
          <w:shd w:val="clear" w:color="auto" w:fill="00FF00"/>
        </w:rPr>
      </w:pPr>
      <w:r w:rsidRPr="0051013B">
        <w:rPr>
          <w:rFonts w:ascii="Times New Roman" w:hAnsi="Times New Roman"/>
          <w:kern w:val="22"/>
        </w:rPr>
        <w:t xml:space="preserve">In addition, the breeder’s right can be obtained for varieties which are essentially derived from the protected variety, a variety that requires the repeated use of the protected variety, or a variety which was not clearly distinguishable from the protected variety (Article 14, paragraph 5(a)). This may be relevant for synthetic biology as the UPOV Convention states that essentially derived varieties may be obtained for example by the selection of a natural or induced mutant, or of a somaclonal variant, the selection of a variant individual from plants of the initial variety, backcrossing, or transformation by genetic engineering (Article 14, paragraph 5 c)). </w:t>
      </w:r>
    </w:p>
    <w:p w14:paraId="226F5A01" w14:textId="77777777" w:rsidR="0051013B" w:rsidRPr="00E06E05" w:rsidRDefault="0051013B" w:rsidP="0051013B">
      <w:pPr>
        <w:suppressAutoHyphens/>
        <w:spacing w:after="120" w:line="240" w:lineRule="auto"/>
        <w:jc w:val="both"/>
        <w:rPr>
          <w:rFonts w:ascii="Times New Roman" w:hAnsi="Times New Roman"/>
          <w:kern w:val="22"/>
        </w:rPr>
      </w:pPr>
      <w:r w:rsidRPr="0051013B">
        <w:rPr>
          <w:rFonts w:ascii="Times New Roman" w:hAnsi="Times New Roman"/>
          <w:kern w:val="22"/>
        </w:rPr>
        <w:t xml:space="preserve">To qualify for the breeder’s right, essentially derived varieties need to (i) be predominantly derived from the initial variety, or from a variety that is itself predominantly derived from the initial variety, while retaining  the expression of the essential characteristics that result from the genotype or combination of genotypes of the initial variety; (ii) be clearly distinguishable from the initial variety; and (iii) except for the differences which result from the act of derivation, conform to the initial variety in essential characteristics that result from the genotype or combination of genotypes of the initial variety. Where both the essentially derived variety and the initial variety are protected by breeders’ rights, the activities listed in </w:t>
      </w:r>
      <w:r w:rsidRPr="00E06E05">
        <w:rPr>
          <w:rFonts w:ascii="Times New Roman" w:hAnsi="Times New Roman"/>
          <w:kern w:val="22"/>
        </w:rPr>
        <w:t xml:space="preserve">Article 14, paragraph 1 with regard to the essentially derived variety require the authorization of both breeders (UPOV 2009a). </w:t>
      </w:r>
    </w:p>
    <w:p w14:paraId="24DC92CF" w14:textId="6E256511" w:rsidR="0051013B" w:rsidRPr="00E06E05" w:rsidRDefault="0051013B" w:rsidP="00920E15">
      <w:pPr>
        <w:pStyle w:val="Heading6"/>
        <w:numPr>
          <w:ilvl w:val="0"/>
          <w:numId w:val="160"/>
        </w:numPr>
        <w:ind w:left="284" w:hanging="284"/>
      </w:pPr>
      <w:bookmarkStart w:id="172" w:name="_Toc399752975"/>
      <w:r w:rsidRPr="00E06E05">
        <w:t>Exceptions to the breeder’s right</w:t>
      </w:r>
      <w:bookmarkEnd w:id="172"/>
      <w:r w:rsidR="00296945" w:rsidRPr="00E06E05">
        <w:rPr>
          <w:lang w:val="en-US"/>
        </w:rPr>
        <w:t>s</w:t>
      </w:r>
    </w:p>
    <w:p w14:paraId="3CF8DCC0" w14:textId="77777777" w:rsidR="0051013B" w:rsidRPr="0051013B" w:rsidRDefault="0051013B" w:rsidP="0051013B">
      <w:pPr>
        <w:suppressAutoHyphens/>
        <w:spacing w:after="120" w:line="240" w:lineRule="auto"/>
        <w:jc w:val="both"/>
        <w:rPr>
          <w:rFonts w:ascii="Times New Roman" w:hAnsi="Times New Roman"/>
          <w:kern w:val="22"/>
        </w:rPr>
      </w:pPr>
      <w:r w:rsidRPr="00E06E05">
        <w:rPr>
          <w:rFonts w:ascii="Times New Roman" w:hAnsi="Times New Roman"/>
          <w:kern w:val="22"/>
        </w:rPr>
        <w:t>Article 15 to the UPOV Convention provides for certain exceptions to the breeder’s right. According to paragraph 1, compulsory exemptions address (i) acts which are both private and for non-commercial purposes; (ii) the use of a protected variety for experimental purposes; and (iii) the use of protected varieties for the purpose of breeding new plant varieties. The commercialization of a new variety would not require the authorization of the breeder of the protected variety, except where the new variety is an essentially derived variety, a variety that requires the repeated use of the protected variety or was a variety which was not clearly distinguishable from the protected variety in accordance with Article 14, paragraph 5 of the UPOV Convention. UPOV members may, under an optional exception in Article 15, paragraph 2 of the UPOV Convention, allow farmers to save harvested material for further propagation under certain circumstances (UPOV 2009b). While the TRIPS agreement leaves open the option of excluding from the scope of patentability inventions whose commercial exploitation needs to be prohibited to address these concerns, Article 17 of the UPOV Convention allows its members to restrict the free exercise of a breeder's right for reasons of public interest.</w:t>
      </w:r>
      <w:r w:rsidRPr="0051013B">
        <w:rPr>
          <w:rFonts w:ascii="Times New Roman" w:hAnsi="Times New Roman"/>
          <w:kern w:val="22"/>
        </w:rPr>
        <w:t xml:space="preserve"> </w:t>
      </w:r>
    </w:p>
    <w:p w14:paraId="098B310B" w14:textId="2BA32BD9" w:rsidR="006C44B4" w:rsidRPr="00920E15" w:rsidRDefault="006C44B4" w:rsidP="006C44B4">
      <w:pPr>
        <w:keepNext/>
        <w:spacing w:before="120" w:after="120" w:line="240" w:lineRule="auto"/>
        <w:jc w:val="both"/>
        <w:outlineLvl w:val="3"/>
        <w:rPr>
          <w:rFonts w:asciiTheme="minorHAnsi" w:eastAsia="Arial Unicode MS" w:hAnsiTheme="minorHAnsi"/>
          <w:b/>
          <w:bCs/>
          <w:i/>
          <w:kern w:val="1"/>
          <w:szCs w:val="24"/>
          <w:shd w:val="clear" w:color="auto" w:fill="FFFFFF"/>
          <w:lang w:eastAsia="ar-SA"/>
        </w:rPr>
      </w:pPr>
      <w:r w:rsidRPr="006C44B4">
        <w:rPr>
          <w:rFonts w:ascii="Times New Roman Bold" w:eastAsia="Arial Unicode MS" w:hAnsi="Times New Roman Bold"/>
          <w:b/>
          <w:bCs/>
          <w:iCs/>
          <w:kern w:val="1"/>
          <w:szCs w:val="24"/>
          <w:shd w:val="clear" w:color="auto" w:fill="FFFFFF"/>
          <w:lang w:val="x-none" w:eastAsia="ar-SA"/>
        </w:rPr>
        <w:t>9.4.2. Commerce and Trade</w:t>
      </w:r>
      <w:r w:rsidR="00296945">
        <w:rPr>
          <w:rFonts w:asciiTheme="minorHAnsi" w:eastAsia="Arial Unicode MS" w:hAnsiTheme="minorHAnsi"/>
          <w:b/>
          <w:bCs/>
          <w:iCs/>
          <w:kern w:val="1"/>
          <w:szCs w:val="24"/>
          <w:shd w:val="clear" w:color="auto" w:fill="FFFFFF"/>
          <w:lang w:eastAsia="ar-SA"/>
        </w:rPr>
        <w:t>.</w:t>
      </w:r>
    </w:p>
    <w:p w14:paraId="3BE536A8" w14:textId="2DD5E240" w:rsidR="006C44B4" w:rsidRPr="006C44B4" w:rsidRDefault="005B349F" w:rsidP="00920E15">
      <w:pPr>
        <w:pStyle w:val="Heading5"/>
        <w:tabs>
          <w:tab w:val="clear" w:pos="1800"/>
        </w:tabs>
        <w:ind w:left="284" w:hanging="284"/>
        <w:rPr>
          <w:shd w:val="clear" w:color="auto" w:fill="FFFFFF"/>
        </w:rPr>
      </w:pPr>
      <w:r>
        <w:rPr>
          <w:shd w:val="clear" w:color="auto" w:fill="FFFFFF"/>
        </w:rPr>
        <w:t xml:space="preserve">(a) </w:t>
      </w:r>
      <w:r w:rsidR="006C44B4" w:rsidRPr="006C44B4">
        <w:rPr>
          <w:shd w:val="clear" w:color="auto" w:fill="FFFFFF"/>
        </w:rPr>
        <w:t>The Agreement on the Application of Sanitary and Phytosanitary Measures (SPS Agreement)</w:t>
      </w:r>
      <w:r w:rsidR="00296945">
        <w:rPr>
          <w:shd w:val="clear" w:color="auto" w:fill="FFFFFF"/>
        </w:rPr>
        <w:t>.</w:t>
      </w:r>
    </w:p>
    <w:p w14:paraId="636EA5B1" w14:textId="77777777" w:rsidR="006C44B4" w:rsidRPr="006C44B4" w:rsidRDefault="006C44B4" w:rsidP="006C44B4">
      <w:pPr>
        <w:suppressAutoHyphens/>
        <w:spacing w:after="120" w:line="240" w:lineRule="auto"/>
        <w:jc w:val="both"/>
        <w:rPr>
          <w:rFonts w:ascii="Times New Roman" w:hAnsi="Times New Roman"/>
          <w:kern w:val="22"/>
          <w:szCs w:val="18"/>
        </w:rPr>
      </w:pPr>
      <w:r w:rsidRPr="006C44B4">
        <w:rPr>
          <w:rFonts w:ascii="Times New Roman" w:hAnsi="Times New Roman"/>
          <w:color w:val="000000"/>
          <w:kern w:val="22"/>
        </w:rPr>
        <w:t>The Agreement on the Application of Sanitary and Phytosanitary Measures of the World Trade Organization (SPS Agreement) is part of the system of multilateral trade rules of the World Trade Organization (WTO). The SPS Agreement attempts to strike a balance between, on one hand, reaffirming the rights of WTO members to adopt and enforce measures that are necessary to protect human, animal or plant life or health, and, on the other hand, making sure that these measures are not excessively trade restrictive. The SPS Agreement applies to all sanitary and phytosanitary measures that directly or indirectly affect international trade (Article 1 SPS Agreement).</w:t>
      </w:r>
    </w:p>
    <w:p w14:paraId="26D76F43" w14:textId="7EB344B2" w:rsidR="006C44B4" w:rsidRPr="00920E15" w:rsidRDefault="006C44B4" w:rsidP="008A1D04">
      <w:pPr>
        <w:pStyle w:val="Heading5"/>
        <w:numPr>
          <w:ilvl w:val="1"/>
          <w:numId w:val="227"/>
        </w:numPr>
        <w:ind w:left="284" w:hanging="284"/>
        <w:rPr>
          <w:i w:val="0"/>
          <w:color w:val="000000"/>
          <w:lang w:val="en-US"/>
        </w:rPr>
      </w:pPr>
      <w:bookmarkStart w:id="173" w:name="_Toc399752949"/>
      <w:r w:rsidRPr="006C44B4">
        <w:t>Sanitary or phytosanitary measures</w:t>
      </w:r>
      <w:bookmarkEnd w:id="173"/>
      <w:r w:rsidR="00296945">
        <w:t>.</w:t>
      </w:r>
    </w:p>
    <w:p w14:paraId="31D42FC3" w14:textId="77777777" w:rsidR="006C44B4" w:rsidRPr="006C44B4" w:rsidRDefault="006C44B4" w:rsidP="006C44B4">
      <w:pPr>
        <w:suppressAutoHyphens/>
        <w:spacing w:after="120" w:line="240" w:lineRule="auto"/>
        <w:jc w:val="both"/>
        <w:rPr>
          <w:rFonts w:ascii="Times New Roman" w:eastAsia="Helvetica" w:hAnsi="Times New Roman"/>
          <w:color w:val="000000"/>
          <w:kern w:val="22"/>
        </w:rPr>
      </w:pPr>
      <w:r w:rsidRPr="006C44B4">
        <w:rPr>
          <w:rFonts w:ascii="Times New Roman" w:hAnsi="Times New Roman"/>
          <w:color w:val="000000"/>
          <w:kern w:val="22"/>
        </w:rPr>
        <w:t>Sanitary or phytosanitary measures can take many forms, including laws, decrees, regulations, requirements; testing, inspection, certification and approval procedures; quarantine treatments; requirements associated with the transport of animals or plants; sampling procedures; and methods of risk assessment. The SPS Agreement defines sanitary and phytosanitary measures as any measure applied with one of the following objectives (Article 1, paragraph 2 in conjunction with Annex A, paragraph 1 SPS Agreement):</w:t>
      </w:r>
    </w:p>
    <w:p w14:paraId="34391E30" w14:textId="77777777" w:rsidR="006C44B4" w:rsidRPr="006C44B4" w:rsidRDefault="006C44B4" w:rsidP="00396AB7">
      <w:pPr>
        <w:numPr>
          <w:ilvl w:val="0"/>
          <w:numId w:val="231"/>
        </w:numPr>
        <w:suppressAutoHyphens/>
        <w:spacing w:after="60" w:line="240" w:lineRule="auto"/>
        <w:ind w:left="284" w:hanging="284"/>
        <w:jc w:val="both"/>
        <w:rPr>
          <w:rFonts w:ascii="Times New Roman" w:eastAsia="SimSun" w:hAnsi="Times New Roman"/>
          <w:kern w:val="22"/>
        </w:rPr>
      </w:pPr>
      <w:r w:rsidRPr="006C44B4">
        <w:rPr>
          <w:rFonts w:ascii="Times New Roman" w:eastAsia="SimSun" w:hAnsi="Times New Roman"/>
          <w:kern w:val="22"/>
        </w:rPr>
        <w:t xml:space="preserve">to protect animal or plant life or health within the territory of the Member from risks arising from the entry, establishment or spread of pests, diseases, disease-carrying organisms or disease-causing organisms; </w:t>
      </w:r>
    </w:p>
    <w:p w14:paraId="0E47E2D2" w14:textId="77777777" w:rsidR="006C44B4" w:rsidRPr="006C44B4" w:rsidRDefault="006C44B4" w:rsidP="00396AB7">
      <w:pPr>
        <w:numPr>
          <w:ilvl w:val="0"/>
          <w:numId w:val="231"/>
        </w:numPr>
        <w:suppressAutoHyphens/>
        <w:spacing w:after="60" w:line="240" w:lineRule="auto"/>
        <w:ind w:left="284" w:hanging="284"/>
        <w:jc w:val="both"/>
        <w:rPr>
          <w:rFonts w:ascii="Times New Roman" w:eastAsia="SimSun" w:hAnsi="Times New Roman"/>
          <w:kern w:val="22"/>
        </w:rPr>
      </w:pPr>
      <w:r w:rsidRPr="006C44B4">
        <w:rPr>
          <w:rFonts w:ascii="Times New Roman" w:eastAsia="SimSun" w:hAnsi="Times New Roman"/>
          <w:kern w:val="22"/>
        </w:rPr>
        <w:t xml:space="preserve">to protect human or animal life or health within the territory of the Member from risks arising from additives, contaminants, toxins or disease-causing organisms in foods, beverages or feedstuffs; </w:t>
      </w:r>
    </w:p>
    <w:p w14:paraId="76D53B6C" w14:textId="61B4D267" w:rsidR="006C44B4" w:rsidRPr="006C44B4" w:rsidRDefault="006C44B4" w:rsidP="00396AB7">
      <w:pPr>
        <w:numPr>
          <w:ilvl w:val="0"/>
          <w:numId w:val="231"/>
        </w:numPr>
        <w:suppressAutoHyphens/>
        <w:spacing w:after="60" w:line="240" w:lineRule="auto"/>
        <w:ind w:left="284" w:hanging="284"/>
        <w:jc w:val="both"/>
        <w:rPr>
          <w:rFonts w:ascii="Times New Roman" w:eastAsia="SimSun" w:hAnsi="Times New Roman"/>
          <w:kern w:val="22"/>
        </w:rPr>
      </w:pPr>
      <w:r w:rsidRPr="006C44B4">
        <w:rPr>
          <w:rFonts w:ascii="Times New Roman" w:eastAsia="SimSun" w:hAnsi="Times New Roman"/>
          <w:kern w:val="22"/>
        </w:rPr>
        <w:t>to protect human life or health within the territory of the Member from risks arising from diseases carried by animals, plants or products thereof, or from the entry, establishment or spread of pests; or</w:t>
      </w:r>
    </w:p>
    <w:p w14:paraId="6D5593B8" w14:textId="77777777" w:rsidR="006C44B4" w:rsidRPr="006C44B4" w:rsidRDefault="006C44B4" w:rsidP="00396AB7">
      <w:pPr>
        <w:numPr>
          <w:ilvl w:val="0"/>
          <w:numId w:val="231"/>
        </w:numPr>
        <w:suppressAutoHyphens/>
        <w:spacing w:after="60" w:line="240" w:lineRule="auto"/>
        <w:ind w:left="284" w:hanging="284"/>
        <w:jc w:val="both"/>
        <w:rPr>
          <w:rFonts w:ascii="Times New Roman" w:eastAsia="SimSun" w:hAnsi="Times New Roman"/>
          <w:kern w:val="22"/>
        </w:rPr>
      </w:pPr>
      <w:r w:rsidRPr="006C44B4">
        <w:rPr>
          <w:rFonts w:ascii="Times New Roman" w:eastAsia="SimSun" w:hAnsi="Times New Roman"/>
          <w:kern w:val="22"/>
        </w:rPr>
        <w:t>to prevent or limit other damage within the territory of the Member from the entry, establishment or spread of pests.</w:t>
      </w:r>
    </w:p>
    <w:p w14:paraId="0710F2DB" w14:textId="7CD841BD" w:rsidR="006C44B4" w:rsidRPr="006C44B4" w:rsidRDefault="006C44B4" w:rsidP="006C44B4">
      <w:pPr>
        <w:suppressAutoHyphens/>
        <w:spacing w:after="120" w:line="240" w:lineRule="auto"/>
        <w:jc w:val="both"/>
        <w:rPr>
          <w:rFonts w:ascii="Times New Roman" w:hAnsi="Times New Roman"/>
          <w:color w:val="000000"/>
          <w:kern w:val="22"/>
        </w:rPr>
      </w:pPr>
      <w:r w:rsidRPr="006C44B4">
        <w:rPr>
          <w:rFonts w:ascii="Times New Roman" w:hAnsi="Times New Roman"/>
          <w:color w:val="000000"/>
          <w:kern w:val="22"/>
        </w:rPr>
        <w:t>WTO members have the right to take sanitary and phytosanitary measures that are necessary for the protection of human, animal or plant life or health, even if these measures result in trade restrictions. However, these measures have to be consistent with the provisions of the SPS Agreement (Article 2, paragraph 1 SPS Agreement). Requirements include, for example, that the measures must be based on scientific principles, must not unjustifiably discriminate in their effect on other WTO members' exports, and must not be more trade-restrictive than is necessary to achieve the appropriate level of sanitary or phytosanitary protection</w:t>
      </w:r>
      <w:r w:rsidRPr="006C44B4">
        <w:rPr>
          <w:rFonts w:ascii="Times New Roman" w:hAnsi="Times New Roman"/>
          <w:color w:val="000000"/>
          <w:kern w:val="22"/>
          <w:szCs w:val="18"/>
          <w:vertAlign w:val="superscript"/>
        </w:rPr>
        <w:t xml:space="preserve"> </w:t>
      </w:r>
      <w:r w:rsidRPr="006C44B4">
        <w:rPr>
          <w:rFonts w:ascii="Times New Roman" w:hAnsi="Times New Roman"/>
          <w:color w:val="000000"/>
          <w:kern w:val="22"/>
        </w:rPr>
        <w:t>(Articles 2, 3 and 5</w:t>
      </w:r>
      <w:r w:rsidR="00296945">
        <w:rPr>
          <w:rFonts w:ascii="Times New Roman" w:hAnsi="Times New Roman"/>
          <w:color w:val="000000"/>
          <w:kern w:val="22"/>
        </w:rPr>
        <w:t>;</w:t>
      </w:r>
      <w:r w:rsidRPr="006C44B4">
        <w:rPr>
          <w:rFonts w:ascii="Times New Roman" w:hAnsi="Times New Roman"/>
          <w:color w:val="000000"/>
          <w:kern w:val="22"/>
        </w:rPr>
        <w:t xml:space="preserve"> SPS Agreement).</w:t>
      </w:r>
    </w:p>
    <w:p w14:paraId="30417C86" w14:textId="0106BEED" w:rsidR="006C44B4" w:rsidRPr="006C44B4" w:rsidRDefault="006C44B4" w:rsidP="006C44B4">
      <w:pPr>
        <w:suppressAutoHyphens/>
        <w:spacing w:after="120" w:line="240" w:lineRule="auto"/>
        <w:jc w:val="both"/>
        <w:rPr>
          <w:rFonts w:ascii="Times New Roman" w:hAnsi="Times New Roman"/>
          <w:color w:val="000000"/>
          <w:kern w:val="22"/>
        </w:rPr>
      </w:pPr>
      <w:r w:rsidRPr="006C44B4">
        <w:rPr>
          <w:rFonts w:ascii="Times New Roman" w:hAnsi="Times New Roman"/>
          <w:kern w:val="22"/>
        </w:rPr>
        <w:t>The</w:t>
      </w:r>
      <w:r w:rsidRPr="006C44B4">
        <w:rPr>
          <w:rFonts w:ascii="Times New Roman" w:hAnsi="Times New Roman"/>
          <w:color w:val="000000"/>
          <w:kern w:val="22"/>
        </w:rPr>
        <w:t xml:space="preserve"> SPS Agreement encourages WTO members to </w:t>
      </w:r>
      <w:r w:rsidR="006A240B" w:rsidRPr="006C44B4">
        <w:rPr>
          <w:rFonts w:ascii="Times New Roman" w:hAnsi="Times New Roman"/>
          <w:color w:val="000000"/>
          <w:kern w:val="22"/>
        </w:rPr>
        <w:t>harmoni</w:t>
      </w:r>
      <w:r w:rsidR="006A240B">
        <w:rPr>
          <w:rFonts w:ascii="Times New Roman" w:hAnsi="Times New Roman"/>
          <w:color w:val="000000"/>
          <w:kern w:val="22"/>
        </w:rPr>
        <w:t>s</w:t>
      </w:r>
      <w:r w:rsidR="006A240B" w:rsidRPr="006C44B4">
        <w:rPr>
          <w:rFonts w:ascii="Times New Roman" w:hAnsi="Times New Roman"/>
          <w:color w:val="000000"/>
          <w:kern w:val="22"/>
        </w:rPr>
        <w:t xml:space="preserve">e </w:t>
      </w:r>
      <w:r w:rsidRPr="006C44B4">
        <w:rPr>
          <w:rFonts w:ascii="Times New Roman" w:hAnsi="Times New Roman"/>
          <w:color w:val="000000"/>
          <w:kern w:val="22"/>
        </w:rPr>
        <w:t xml:space="preserve">their sanitary and phytosanitary measures on the basis of international standards, guidelines and recommendations, since harmonization reduces costs for producers and traders and generally facilitates trade. Sanitary and phytosanitary measures that conform to international standards, guidelines or recommendations are deemed to be necessary to protect health, and are presumed to be consistent with the SPS Agreement. For such measures that conform to international standards, WTO members thus e.g. do not have to provide a scientific justification. </w:t>
      </w:r>
    </w:p>
    <w:p w14:paraId="5B52E6A9" w14:textId="04682365" w:rsidR="006C44B4" w:rsidRPr="006C44B4" w:rsidRDefault="006C44B4" w:rsidP="006C44B4">
      <w:pPr>
        <w:suppressAutoHyphens/>
        <w:spacing w:after="120" w:line="240" w:lineRule="auto"/>
        <w:jc w:val="both"/>
        <w:rPr>
          <w:rFonts w:ascii="Times New Roman" w:hAnsi="Times New Roman"/>
          <w:color w:val="000000"/>
          <w:kern w:val="22"/>
        </w:rPr>
      </w:pPr>
      <w:r w:rsidRPr="006C44B4">
        <w:rPr>
          <w:rFonts w:ascii="Times New Roman" w:hAnsi="Times New Roman"/>
          <w:color w:val="000000"/>
          <w:kern w:val="22"/>
        </w:rPr>
        <w:t xml:space="preserve">The SPS Agreement explicitly </w:t>
      </w:r>
      <w:r w:rsidR="006A240B" w:rsidRPr="006C44B4">
        <w:rPr>
          <w:rFonts w:ascii="Times New Roman" w:hAnsi="Times New Roman"/>
          <w:color w:val="000000"/>
          <w:kern w:val="22"/>
        </w:rPr>
        <w:t>recogni</w:t>
      </w:r>
      <w:r w:rsidR="006A240B">
        <w:rPr>
          <w:rFonts w:ascii="Times New Roman" w:hAnsi="Times New Roman"/>
          <w:color w:val="000000"/>
          <w:kern w:val="22"/>
        </w:rPr>
        <w:t>s</w:t>
      </w:r>
      <w:r w:rsidR="006A240B" w:rsidRPr="006C44B4">
        <w:rPr>
          <w:rFonts w:ascii="Times New Roman" w:hAnsi="Times New Roman"/>
          <w:color w:val="000000"/>
          <w:kern w:val="22"/>
        </w:rPr>
        <w:t xml:space="preserve">es </w:t>
      </w:r>
      <w:r w:rsidRPr="006C44B4">
        <w:rPr>
          <w:rFonts w:ascii="Times New Roman" w:hAnsi="Times New Roman"/>
          <w:color w:val="000000"/>
          <w:kern w:val="22"/>
        </w:rPr>
        <w:t xml:space="preserve">the international standards, guidelines and recommendations developed by three organizations: for food safety, the Codex Alimentarius Commission; for animal health and zoonoses, the relevant international standards, guidelines and recommendations developed by the World Organisation for Animal Health (OIE); for plant health, those developed by the International Plant Protection Convention (IPPC). For matters not covered by these three organizations, there is a possibility that the Committee on Sanitary and Phytosanitary Measures under the SPS Agreement could identify standards developed by other relevant international </w:t>
      </w:r>
      <w:r w:rsidR="006A240B" w:rsidRPr="006C44B4">
        <w:rPr>
          <w:rFonts w:ascii="Times New Roman" w:hAnsi="Times New Roman"/>
          <w:color w:val="000000"/>
          <w:kern w:val="22"/>
        </w:rPr>
        <w:t>organi</w:t>
      </w:r>
      <w:r w:rsidR="006A240B">
        <w:rPr>
          <w:rFonts w:ascii="Times New Roman" w:hAnsi="Times New Roman"/>
          <w:color w:val="000000"/>
          <w:kern w:val="22"/>
        </w:rPr>
        <w:t>s</w:t>
      </w:r>
      <w:r w:rsidR="006A240B" w:rsidRPr="006C44B4">
        <w:rPr>
          <w:rFonts w:ascii="Times New Roman" w:hAnsi="Times New Roman"/>
          <w:color w:val="000000"/>
          <w:kern w:val="22"/>
        </w:rPr>
        <w:t>ations</w:t>
      </w:r>
      <w:r w:rsidRPr="006C44B4">
        <w:rPr>
          <w:rFonts w:ascii="Times New Roman" w:hAnsi="Times New Roman"/>
          <w:color w:val="000000"/>
          <w:kern w:val="22"/>
        </w:rPr>
        <w:t xml:space="preserve">, but so far there has never been a proposal to </w:t>
      </w:r>
      <w:r w:rsidR="00B70AD7" w:rsidRPr="006C44B4">
        <w:rPr>
          <w:rFonts w:ascii="Times New Roman" w:hAnsi="Times New Roman"/>
          <w:color w:val="000000"/>
          <w:kern w:val="22"/>
        </w:rPr>
        <w:t>recogni</w:t>
      </w:r>
      <w:r w:rsidR="00B70AD7">
        <w:rPr>
          <w:rFonts w:ascii="Times New Roman" w:hAnsi="Times New Roman"/>
          <w:color w:val="000000"/>
          <w:kern w:val="22"/>
        </w:rPr>
        <w:t>s</w:t>
      </w:r>
      <w:r w:rsidR="00B70AD7" w:rsidRPr="006C44B4">
        <w:rPr>
          <w:rFonts w:ascii="Times New Roman" w:hAnsi="Times New Roman"/>
          <w:color w:val="000000"/>
          <w:kern w:val="22"/>
        </w:rPr>
        <w:t xml:space="preserve">e </w:t>
      </w:r>
      <w:r w:rsidRPr="006C44B4">
        <w:rPr>
          <w:rFonts w:ascii="Times New Roman" w:hAnsi="Times New Roman"/>
          <w:color w:val="000000"/>
          <w:kern w:val="22"/>
        </w:rPr>
        <w:t>another standard-setting body.</w:t>
      </w:r>
    </w:p>
    <w:p w14:paraId="1667D443" w14:textId="3636627F" w:rsidR="006C44B4" w:rsidRPr="006C44B4" w:rsidRDefault="006C44B4" w:rsidP="006C44B4">
      <w:pPr>
        <w:suppressAutoHyphens/>
        <w:spacing w:after="120" w:line="240" w:lineRule="auto"/>
        <w:jc w:val="both"/>
        <w:rPr>
          <w:rFonts w:ascii="Times New Roman" w:hAnsi="Times New Roman"/>
          <w:color w:val="000000"/>
          <w:kern w:val="22"/>
        </w:rPr>
      </w:pPr>
      <w:r w:rsidRPr="006C44B4">
        <w:rPr>
          <w:rFonts w:ascii="Times New Roman" w:hAnsi="Times New Roman"/>
          <w:color w:val="000000"/>
          <w:kern w:val="22"/>
        </w:rPr>
        <w:t xml:space="preserve">If no relevant international standard exists, or when a WTO member wishes to deviate from an existing international standard, measures have to be based on a risk assessment. </w:t>
      </w:r>
      <w:r w:rsidR="00DF51EE">
        <w:rPr>
          <w:rFonts w:ascii="Times New Roman" w:hAnsi="Times New Roman"/>
          <w:color w:val="000000"/>
          <w:kern w:val="22"/>
        </w:rPr>
        <w:t>In this context, a</w:t>
      </w:r>
      <w:r w:rsidRPr="006C44B4">
        <w:rPr>
          <w:rFonts w:ascii="Times New Roman" w:hAnsi="Times New Roman"/>
          <w:color w:val="000000"/>
          <w:kern w:val="22"/>
        </w:rPr>
        <w:t xml:space="preserve"> risk assessment is defined as the evaluation of the likelihood of entry, establishment or spread of a pest or disease within the territory of an importing member according to the sanitary or phytosanitary measures which might be applied, and of the associated potential biological and economic circumstances. Risk assessments must take into account risk assessment techniques developed by the relevant international </w:t>
      </w:r>
      <w:r w:rsidR="00B70AD7" w:rsidRPr="006C44B4">
        <w:rPr>
          <w:rFonts w:ascii="Times New Roman" w:hAnsi="Times New Roman"/>
          <w:color w:val="000000"/>
          <w:kern w:val="22"/>
        </w:rPr>
        <w:t>organi</w:t>
      </w:r>
      <w:r w:rsidR="00B70AD7">
        <w:rPr>
          <w:rFonts w:ascii="Times New Roman" w:hAnsi="Times New Roman"/>
          <w:color w:val="000000"/>
          <w:kern w:val="22"/>
        </w:rPr>
        <w:t>s</w:t>
      </w:r>
      <w:r w:rsidR="00B70AD7" w:rsidRPr="006C44B4">
        <w:rPr>
          <w:rFonts w:ascii="Times New Roman" w:hAnsi="Times New Roman"/>
          <w:color w:val="000000"/>
          <w:kern w:val="22"/>
        </w:rPr>
        <w:t>ations</w:t>
      </w:r>
      <w:r w:rsidRPr="006C44B4">
        <w:rPr>
          <w:rFonts w:ascii="Times New Roman" w:hAnsi="Times New Roman"/>
          <w:color w:val="000000"/>
          <w:kern w:val="22"/>
        </w:rPr>
        <w:t>. Risk assessments also have to take into account available scientific evidence; relevant processes and production methods; prevalence of specific diseases or pests; existence of pest- or disease-free areas; relevant ecological and environmental conditions; and quarantine or other treatment.</w:t>
      </w:r>
    </w:p>
    <w:p w14:paraId="2846D347" w14:textId="3C59FE95" w:rsidR="006C44B4" w:rsidRPr="006C44B4" w:rsidRDefault="006C44B4" w:rsidP="006C44B4">
      <w:pPr>
        <w:suppressAutoHyphens/>
        <w:spacing w:after="120" w:line="240" w:lineRule="auto"/>
        <w:jc w:val="both"/>
        <w:rPr>
          <w:rFonts w:ascii="Times New Roman" w:hAnsi="Times New Roman"/>
          <w:kern w:val="22"/>
          <w:szCs w:val="18"/>
        </w:rPr>
      </w:pPr>
      <w:r w:rsidRPr="006C44B4">
        <w:rPr>
          <w:rFonts w:ascii="Times New Roman" w:hAnsi="Times New Roman"/>
          <w:kern w:val="22"/>
        </w:rPr>
        <w:t>In</w:t>
      </w:r>
      <w:r w:rsidRPr="006C44B4">
        <w:rPr>
          <w:rFonts w:ascii="Times New Roman" w:hAnsi="Times New Roman"/>
          <w:color w:val="000000"/>
          <w:kern w:val="22"/>
        </w:rPr>
        <w:t xml:space="preserve"> situations where relevant scientific evidence is insufficient to carry out a risk assessment, the SPS Agreement allows members to adopt provisional sanitary and phytosanitary measures on the basis of the available pertinent information, including that from relevant international </w:t>
      </w:r>
      <w:r w:rsidR="00B70AD7" w:rsidRPr="006C44B4">
        <w:rPr>
          <w:rFonts w:ascii="Times New Roman" w:hAnsi="Times New Roman"/>
          <w:color w:val="000000"/>
          <w:kern w:val="22"/>
        </w:rPr>
        <w:t>organi</w:t>
      </w:r>
      <w:r w:rsidR="00B70AD7">
        <w:rPr>
          <w:rFonts w:ascii="Times New Roman" w:hAnsi="Times New Roman"/>
          <w:color w:val="000000"/>
          <w:kern w:val="22"/>
        </w:rPr>
        <w:t>s</w:t>
      </w:r>
      <w:r w:rsidR="00B70AD7" w:rsidRPr="006C44B4">
        <w:rPr>
          <w:rFonts w:ascii="Times New Roman" w:hAnsi="Times New Roman"/>
          <w:color w:val="000000"/>
          <w:kern w:val="22"/>
        </w:rPr>
        <w:t xml:space="preserve">ations </w:t>
      </w:r>
      <w:r w:rsidRPr="006C44B4">
        <w:rPr>
          <w:rFonts w:ascii="Times New Roman" w:hAnsi="Times New Roman"/>
          <w:color w:val="000000"/>
          <w:kern w:val="22"/>
        </w:rPr>
        <w:t>and from measures applied by other members. When they adopt such provisional measures, members have to try to obtain additional information to allow them to carry out a risk assessment and review the provisional measure within a reasonable period of time.</w:t>
      </w:r>
    </w:p>
    <w:p w14:paraId="40240277" w14:textId="76A24931" w:rsidR="006C44B4" w:rsidRPr="006C44B4" w:rsidRDefault="006C44B4" w:rsidP="00474099">
      <w:pPr>
        <w:pStyle w:val="Heading6"/>
        <w:numPr>
          <w:ilvl w:val="0"/>
          <w:numId w:val="161"/>
        </w:numPr>
        <w:spacing w:after="120" w:line="240" w:lineRule="auto"/>
        <w:ind w:left="284" w:hanging="284"/>
        <w:rPr>
          <w:color w:val="000000"/>
        </w:rPr>
      </w:pPr>
      <w:bookmarkStart w:id="174" w:name="_Toc399752950"/>
      <w:r w:rsidRPr="006C44B4">
        <w:t>Pests, diseases, disease-carrying organisms or disease-causing organisms</w:t>
      </w:r>
      <w:bookmarkEnd w:id="174"/>
      <w:r w:rsidR="00B70AD7">
        <w:rPr>
          <w:lang w:val="en-US"/>
        </w:rPr>
        <w:t>.</w:t>
      </w:r>
    </w:p>
    <w:p w14:paraId="407F677F" w14:textId="17B48A2F" w:rsidR="006C44B4" w:rsidRPr="006C44B4" w:rsidRDefault="006C44B4" w:rsidP="000453AD">
      <w:pPr>
        <w:suppressAutoHyphens/>
        <w:spacing w:after="120" w:line="240" w:lineRule="auto"/>
        <w:jc w:val="both"/>
        <w:rPr>
          <w:rFonts w:ascii="Times New Roman" w:hAnsi="Times New Roman"/>
          <w:color w:val="000000"/>
          <w:kern w:val="22"/>
        </w:rPr>
      </w:pPr>
      <w:r w:rsidRPr="006C44B4">
        <w:rPr>
          <w:rFonts w:ascii="Times New Roman" w:hAnsi="Times New Roman"/>
          <w:color w:val="000000"/>
          <w:kern w:val="22"/>
        </w:rPr>
        <w:t xml:space="preserve">Sanitary and phytosanitary measures may be relevant to components, organisms and products resulting from synthetic biology if they result in pests, diseases, disease-carrying organisms or disease-causing organisms with negative impacts on human, animal or plant life or health. The SPS Agreement, however, does not define “diseases, disease-carrying organisms or disease-causing organisms”, nor “pests”. A footnote clarifies that, for the purpose of the definitions of the SPS Agreement (Article 1, paragraph 2 in conjunction with Annex A SPS Agreement), “pests” include weeds. </w:t>
      </w:r>
    </w:p>
    <w:p w14:paraId="72B24BED" w14:textId="245FC5BB" w:rsidR="006C44B4" w:rsidRPr="006C44B4" w:rsidRDefault="006C44B4" w:rsidP="00D7095C">
      <w:pPr>
        <w:suppressAutoHyphens/>
        <w:spacing w:after="120" w:line="240" w:lineRule="auto"/>
        <w:jc w:val="both"/>
        <w:rPr>
          <w:rFonts w:ascii="Times New Roman" w:hAnsi="Times New Roman"/>
          <w:color w:val="000000"/>
          <w:kern w:val="22"/>
        </w:rPr>
      </w:pPr>
      <w:r w:rsidRPr="006C44B4">
        <w:rPr>
          <w:rFonts w:ascii="Times New Roman" w:hAnsi="Times New Roman"/>
          <w:color w:val="000000"/>
          <w:kern w:val="22"/>
        </w:rPr>
        <w:t xml:space="preserve">As discussed in section </w:t>
      </w:r>
      <w:r w:rsidR="00B56706">
        <w:rPr>
          <w:rFonts w:ascii="Times New Roman" w:hAnsi="Times New Roman"/>
          <w:color w:val="000000"/>
          <w:kern w:val="22"/>
        </w:rPr>
        <w:t>4</w:t>
      </w:r>
      <w:r w:rsidRPr="006C44B4">
        <w:rPr>
          <w:rFonts w:ascii="Times New Roman" w:hAnsi="Times New Roman"/>
          <w:color w:val="000000"/>
          <w:kern w:val="22"/>
        </w:rPr>
        <w:t xml:space="preserve"> on potential impacts, of components, organisms and products resulting from synthetic biology may be intentionally or unintentionally released to the environment, leading to biosafety concerns. Depending on the circumstances, they could be considered to pose risks to animal or plant life or health, through ecosystem-level impacts or the transfer of synthetic DNA </w:t>
      </w:r>
      <w:r w:rsidR="00EC3BAF" w:rsidRPr="00EC3BAF">
        <w:rPr>
          <w:rFonts w:ascii="Times New Roman" w:hAnsi="Times New Roman"/>
          <w:color w:val="000000"/>
          <w:kern w:val="22"/>
        </w:rPr>
        <w:t xml:space="preserve">WTO members may take sanitary and phytosanitary measures to address these risks in accordance with the objectives and requirements summarised </w:t>
      </w:r>
      <w:r w:rsidR="00EC3BAF">
        <w:rPr>
          <w:rFonts w:ascii="Times New Roman" w:hAnsi="Times New Roman"/>
          <w:color w:val="000000"/>
          <w:kern w:val="22"/>
        </w:rPr>
        <w:t xml:space="preserve">in subsection </w:t>
      </w:r>
      <w:r w:rsidR="00DC1560">
        <w:rPr>
          <w:rFonts w:ascii="Times New Roman" w:hAnsi="Times New Roman"/>
          <w:color w:val="000000"/>
          <w:kern w:val="22"/>
        </w:rPr>
        <w:t>“</w:t>
      </w:r>
      <w:r w:rsidR="00AC09E5" w:rsidRPr="00AC09E5">
        <w:rPr>
          <w:rFonts w:ascii="Times New Roman" w:hAnsi="Times New Roman"/>
          <w:color w:val="000000"/>
          <w:kern w:val="22"/>
        </w:rPr>
        <w:t>Sanitary or phytosanitary measures</w:t>
      </w:r>
      <w:r w:rsidR="00DC1560">
        <w:rPr>
          <w:rFonts w:ascii="Times New Roman" w:hAnsi="Times New Roman"/>
          <w:color w:val="000000"/>
          <w:kern w:val="22"/>
        </w:rPr>
        <w:t>” above.</w:t>
      </w:r>
      <w:r w:rsidR="00383E0E">
        <w:rPr>
          <w:rFonts w:ascii="Times New Roman" w:hAnsi="Times New Roman"/>
          <w:color w:val="000000"/>
          <w:kern w:val="22"/>
        </w:rPr>
        <w:t xml:space="preserve"> </w:t>
      </w:r>
    </w:p>
    <w:p w14:paraId="4F53C4B1" w14:textId="43A24A0A" w:rsidR="006C44B4" w:rsidRPr="006C44B4" w:rsidRDefault="006C44B4" w:rsidP="000453AD">
      <w:pPr>
        <w:suppressAutoHyphens/>
        <w:spacing w:after="120" w:line="240" w:lineRule="auto"/>
        <w:jc w:val="both"/>
        <w:rPr>
          <w:rFonts w:ascii="Times New Roman" w:hAnsi="Times New Roman"/>
          <w:color w:val="000000"/>
          <w:kern w:val="22"/>
        </w:rPr>
      </w:pPr>
      <w:r w:rsidRPr="006C44B4">
        <w:rPr>
          <w:rFonts w:ascii="Times New Roman" w:hAnsi="Times New Roman"/>
          <w:color w:val="000000"/>
          <w:kern w:val="22"/>
        </w:rPr>
        <w:t>A WTO dispute between the US</w:t>
      </w:r>
      <w:r w:rsidR="00D16E5A">
        <w:rPr>
          <w:rFonts w:ascii="Times New Roman" w:hAnsi="Times New Roman"/>
          <w:color w:val="000000"/>
          <w:kern w:val="22"/>
        </w:rPr>
        <w:t>A</w:t>
      </w:r>
      <w:r w:rsidRPr="006C44B4">
        <w:rPr>
          <w:rFonts w:ascii="Times New Roman" w:hAnsi="Times New Roman"/>
          <w:color w:val="000000"/>
          <w:kern w:val="22"/>
        </w:rPr>
        <w:t xml:space="preserve"> and the European Communities (EC) concerning ‘Measures affecting the Approval and Marketing of Biotech Products’ (EC-Biotech) case concerns measures by the EC which the US</w:t>
      </w:r>
      <w:r w:rsidR="00335034">
        <w:rPr>
          <w:rFonts w:ascii="Times New Roman" w:hAnsi="Times New Roman"/>
          <w:color w:val="000000"/>
          <w:kern w:val="22"/>
        </w:rPr>
        <w:t>A</w:t>
      </w:r>
      <w:r w:rsidRPr="006C44B4">
        <w:rPr>
          <w:rFonts w:ascii="Times New Roman" w:hAnsi="Times New Roman"/>
          <w:color w:val="000000"/>
          <w:kern w:val="22"/>
        </w:rPr>
        <w:t xml:space="preserve"> claimed were contrary to its obligations under a number of international agreements, including the SPS Agreement.</w:t>
      </w:r>
      <w:r w:rsidR="00714FFC">
        <w:rPr>
          <w:rFonts w:ascii="Times New Roman" w:hAnsi="Times New Roman"/>
          <w:color w:val="000000"/>
          <w:kern w:val="22"/>
        </w:rPr>
        <w:t xml:space="preserve"> </w:t>
      </w:r>
      <w:r w:rsidRPr="006C44B4">
        <w:rPr>
          <w:rFonts w:ascii="Times New Roman" w:hAnsi="Times New Roman"/>
          <w:color w:val="000000"/>
          <w:kern w:val="22"/>
        </w:rPr>
        <w:t xml:space="preserve">A detailed review of the dispute </w:t>
      </w:r>
      <w:r w:rsidR="00714FFC">
        <w:rPr>
          <w:rFonts w:ascii="Times New Roman" w:hAnsi="Times New Roman"/>
          <w:color w:val="000000"/>
          <w:kern w:val="22"/>
        </w:rPr>
        <w:t xml:space="preserve">can be found in the 2015 </w:t>
      </w:r>
      <w:r w:rsidR="00353AD5">
        <w:rPr>
          <w:rFonts w:ascii="Times New Roman" w:hAnsi="Times New Roman"/>
          <w:color w:val="000000"/>
          <w:kern w:val="22"/>
        </w:rPr>
        <w:t xml:space="preserve">technical series. </w:t>
      </w:r>
      <w:r w:rsidR="001968AD">
        <w:rPr>
          <w:rFonts w:ascii="Times New Roman" w:hAnsi="Times New Roman"/>
          <w:color w:val="000000"/>
          <w:kern w:val="22"/>
        </w:rPr>
        <w:t>T</w:t>
      </w:r>
      <w:r w:rsidRPr="006C44B4">
        <w:rPr>
          <w:rFonts w:ascii="Times New Roman" w:hAnsi="Times New Roman"/>
          <w:color w:val="000000"/>
          <w:kern w:val="22"/>
        </w:rPr>
        <w:t>he dispute highlights that organisms resulting from synthetic biology could, depending on the specific case, be considered as causing risks to animal or plant life or health arising from the entry, establishment or spread of pests, diseases, disease-carrying organisms or disease-causing organisms.</w:t>
      </w:r>
    </w:p>
    <w:p w14:paraId="5E69C21B" w14:textId="2B7E1579" w:rsidR="006C44B4" w:rsidRPr="006C44B4" w:rsidRDefault="006C44B4" w:rsidP="00474099">
      <w:pPr>
        <w:pStyle w:val="Heading6"/>
        <w:numPr>
          <w:ilvl w:val="0"/>
          <w:numId w:val="161"/>
        </w:numPr>
        <w:spacing w:after="120" w:line="240" w:lineRule="auto"/>
        <w:ind w:left="284" w:hanging="284"/>
        <w:rPr>
          <w:color w:val="000000"/>
        </w:rPr>
      </w:pPr>
      <w:bookmarkStart w:id="175" w:name="_Toc399752951"/>
      <w:r w:rsidRPr="006C44B4">
        <w:t>Additives, contaminants, toxins or disease-causing organisms in foods, beverages or feedstuffs</w:t>
      </w:r>
      <w:bookmarkEnd w:id="175"/>
      <w:r w:rsidR="002F5724">
        <w:rPr>
          <w:lang w:val="en-US"/>
        </w:rPr>
        <w:t>.</w:t>
      </w:r>
      <w:r w:rsidRPr="006C44B4">
        <w:t xml:space="preserve"> </w:t>
      </w:r>
    </w:p>
    <w:p w14:paraId="1A486665" w14:textId="238DC9B7" w:rsidR="006C44B4" w:rsidRPr="006C44B4" w:rsidRDefault="006C44B4" w:rsidP="006C44B4">
      <w:pPr>
        <w:suppressAutoHyphens/>
        <w:spacing w:after="120" w:line="240" w:lineRule="auto"/>
        <w:jc w:val="both"/>
        <w:rPr>
          <w:rFonts w:ascii="Times New Roman" w:hAnsi="Times New Roman"/>
          <w:color w:val="000000"/>
          <w:kern w:val="22"/>
        </w:rPr>
      </w:pPr>
      <w:r w:rsidRPr="006C44B4">
        <w:rPr>
          <w:rFonts w:ascii="Times New Roman" w:hAnsi="Times New Roman"/>
          <w:color w:val="000000"/>
          <w:kern w:val="22"/>
        </w:rPr>
        <w:t xml:space="preserve">Components, organisms and products resulting from synthetic biology could arguably also be addressed through measures to protect human or animal life or health within the territory of a WTO Member from risks arising from additives, contaminants, toxins or disease-causing organisms in foods, beverages or feedstuffs (Annex A, paragraph 1 b). </w:t>
      </w:r>
    </w:p>
    <w:p w14:paraId="668CE956" w14:textId="77777777" w:rsidR="006C44B4" w:rsidRPr="006C44B4" w:rsidRDefault="006C44B4" w:rsidP="006C44B4">
      <w:pPr>
        <w:suppressAutoHyphens/>
        <w:spacing w:after="120" w:line="240" w:lineRule="auto"/>
        <w:jc w:val="both"/>
        <w:rPr>
          <w:rFonts w:ascii="Times New Roman" w:hAnsi="Times New Roman"/>
          <w:kern w:val="22"/>
          <w:szCs w:val="18"/>
        </w:rPr>
      </w:pPr>
      <w:r w:rsidRPr="006C44B4">
        <w:rPr>
          <w:rFonts w:ascii="Times New Roman" w:hAnsi="Times New Roman"/>
          <w:color w:val="000000"/>
          <w:kern w:val="22"/>
        </w:rPr>
        <w:t xml:space="preserve">The WTO Panel on the </w:t>
      </w:r>
      <w:r w:rsidRPr="006C44B4">
        <w:rPr>
          <w:rFonts w:ascii="Times New Roman" w:hAnsi="Times New Roman"/>
          <w:i/>
          <w:color w:val="000000"/>
          <w:kern w:val="22"/>
        </w:rPr>
        <w:t>Biotech</w:t>
      </w:r>
      <w:r w:rsidRPr="006C44B4">
        <w:rPr>
          <w:rFonts w:ascii="Times New Roman" w:hAnsi="Times New Roman"/>
          <w:color w:val="000000"/>
          <w:kern w:val="22"/>
        </w:rPr>
        <w:t xml:space="preserve"> dispute also provided guidance for the case of genetically modified organisms. It held that “a genetically modified crop grown for the explicit purpose of providing food to animals, and in particular to farmed animals, would qualify as a “feedstuff”. A genetically modified crop that has been grown for a different purpose, but is eaten by animals, including wild fauna, can be considered to be a “food” for that animal. This would include, for example, pollen of the genetically modified crop which is consumed by insects and genetically modified plants consumed by non-target insects, deer, rabbits or other wild fauna.” The panel stated that “genetically modified seeds used for sowing purposes could also be considered animal “food”, for instance if these seeds are spilled next to a field or on a farm and are subsequently eaten by birds, etc.”</w:t>
      </w:r>
    </w:p>
    <w:p w14:paraId="46E06E5F" w14:textId="6D6E0328" w:rsidR="006C44B4" w:rsidRPr="006C44B4" w:rsidRDefault="006C44B4" w:rsidP="006C44B4">
      <w:pPr>
        <w:suppressAutoHyphens/>
        <w:spacing w:after="120" w:line="240" w:lineRule="auto"/>
        <w:jc w:val="both"/>
        <w:rPr>
          <w:rFonts w:ascii="Times New Roman" w:hAnsi="Times New Roman"/>
          <w:color w:val="000000"/>
          <w:kern w:val="22"/>
        </w:rPr>
      </w:pPr>
      <w:r w:rsidRPr="006C44B4">
        <w:rPr>
          <w:rFonts w:ascii="Times New Roman" w:hAnsi="Times New Roman"/>
          <w:color w:val="000000"/>
          <w:kern w:val="22"/>
        </w:rPr>
        <w:t xml:space="preserve">With regard to the definition of “additives” the Panel held that “genes, intentionally added for a technological purpose to genetically modified plants that are eaten or being used as an input into processed foods, can be considered “additives in foods” within the meaning of Annex A(1)(b). This should not be construed to mean, however, that all genes of a plant that is eaten or being used as input into processed foods could be classified as “additives” </w:t>
      </w:r>
      <w:r w:rsidR="00697085">
        <w:rPr>
          <w:rFonts w:ascii="Times New Roman" w:hAnsi="Times New Roman"/>
          <w:color w:val="000000"/>
          <w:kern w:val="22"/>
        </w:rPr>
        <w:fldChar w:fldCharType="begin" w:fldLock="1"/>
      </w:r>
      <w:r w:rsidR="00697085">
        <w:rPr>
          <w:rFonts w:ascii="Times New Roman" w:hAnsi="Times New Roman"/>
          <w:color w:val="000000"/>
          <w:kern w:val="22"/>
        </w:rPr>
        <w:instrText>ADDIN CSL_CITATION {"citationItems":[{"id":"ITEM-1","itemData":{"author":[{"dropping-particle":"","family":"World Trade Organization","given":"","non-dropping-particle":"","parse-names":false,"suffix":""}],"id":"ITEM-1","issued":{"date-parts":[["2006"]]},"title":"Reports out on biotech disputes","type":"article"},"uris":["http://www.mendeley.com/documents/?uuid=24b91ea2-60d1-49e3-853f-3007562aa072"]}],"mendeley":{"formattedCitation":"(World Trade Organization, 2006)","plainTextFormattedCitation":"(World Trade Organization, 2006)","previouslyFormattedCitation":"(World Trade Organization, 2006)"},"properties":{"noteIndex":0},"schema":"https://github.com/citation-style-language/schema/raw/master/csl-citation.json"}</w:instrText>
      </w:r>
      <w:r w:rsidR="00697085">
        <w:rPr>
          <w:rFonts w:ascii="Times New Roman" w:hAnsi="Times New Roman"/>
          <w:color w:val="000000"/>
          <w:kern w:val="22"/>
        </w:rPr>
        <w:fldChar w:fldCharType="separate"/>
      </w:r>
      <w:r w:rsidR="00697085" w:rsidRPr="00697085">
        <w:rPr>
          <w:rFonts w:ascii="Times New Roman" w:hAnsi="Times New Roman"/>
          <w:noProof/>
          <w:color w:val="000000"/>
          <w:kern w:val="22"/>
        </w:rPr>
        <w:t>(World Trade Organization, 2006)</w:t>
      </w:r>
      <w:r w:rsidR="00697085">
        <w:rPr>
          <w:rFonts w:ascii="Times New Roman" w:hAnsi="Times New Roman"/>
          <w:color w:val="000000"/>
          <w:kern w:val="22"/>
        </w:rPr>
        <w:fldChar w:fldCharType="end"/>
      </w:r>
      <w:r w:rsidRPr="006C44B4">
        <w:rPr>
          <w:rFonts w:ascii="Times New Roman" w:hAnsi="Times New Roman"/>
          <w:color w:val="000000"/>
          <w:kern w:val="22"/>
        </w:rPr>
        <w:t xml:space="preserve">.  </w:t>
      </w:r>
    </w:p>
    <w:p w14:paraId="2AF6FC18" w14:textId="40FF08CC" w:rsidR="006C44B4" w:rsidRPr="006C44B4" w:rsidRDefault="006C44B4" w:rsidP="006C44B4">
      <w:pPr>
        <w:suppressAutoHyphens/>
        <w:spacing w:after="120" w:line="240" w:lineRule="auto"/>
        <w:jc w:val="both"/>
        <w:rPr>
          <w:rFonts w:ascii="Times New Roman" w:hAnsi="Times New Roman"/>
          <w:color w:val="000000"/>
          <w:kern w:val="22"/>
        </w:rPr>
      </w:pPr>
      <w:r w:rsidRPr="006C44B4">
        <w:rPr>
          <w:rFonts w:ascii="Times New Roman" w:hAnsi="Times New Roman"/>
          <w:kern w:val="22"/>
        </w:rPr>
        <w:t>The</w:t>
      </w:r>
      <w:r w:rsidRPr="006C44B4">
        <w:rPr>
          <w:rFonts w:ascii="Times New Roman" w:hAnsi="Times New Roman"/>
          <w:color w:val="000000"/>
          <w:kern w:val="22"/>
        </w:rPr>
        <w:t xml:space="preserve"> Panel stated further that “contaminants” must be interpreted so as to have a meaning that differs from the meaning of the term “additive” and that the decisive element in this regard is that the presence of the substance which is said to “infect or pollute” is unintentional. Genes intentionally added to genetically modified plants that are eaten or used as inputs into processed foods would not be “contaminants” in and of themselves. Also, substances such as proteins which are produced by genetically modified plants, and which are intended, should not be considered to be “contaminants”. However, proteins produced through the unintended expression of modified genes in agricultural crops may be considered “contaminants” within the meaning of Annex A(1)(b) if these proteins “infect or pollute” </w:t>
      </w:r>
      <w:r w:rsidR="00697085">
        <w:rPr>
          <w:rFonts w:ascii="Times New Roman" w:hAnsi="Times New Roman"/>
          <w:color w:val="000000"/>
          <w:kern w:val="22"/>
        </w:rPr>
        <w:fldChar w:fldCharType="begin" w:fldLock="1"/>
      </w:r>
      <w:r w:rsidR="00697085">
        <w:rPr>
          <w:rFonts w:ascii="Times New Roman" w:hAnsi="Times New Roman"/>
          <w:color w:val="000000"/>
          <w:kern w:val="22"/>
        </w:rPr>
        <w:instrText>ADDIN CSL_CITATION {"citationItems":[{"id":"ITEM-1","itemData":{"author":[{"dropping-particle":"","family":"World Trade Organization","given":"","non-dropping-particle":"","parse-names":false,"suffix":""}],"id":"ITEM-1","issued":{"date-parts":[["2006"]]},"title":"Reports out on biotech disputes","type":"article"},"uris":["http://www.mendeley.com/documents/?uuid=24b91ea2-60d1-49e3-853f-3007562aa072"]}],"mendeley":{"formattedCitation":"(World Trade Organization, 2006)","plainTextFormattedCitation":"(World Trade Organization, 2006)","previouslyFormattedCitation":"(World Trade Organization, 2006)"},"properties":{"noteIndex":0},"schema":"https://github.com/citation-style-language/schema/raw/master/csl-citation.json"}</w:instrText>
      </w:r>
      <w:r w:rsidR="00697085">
        <w:rPr>
          <w:rFonts w:ascii="Times New Roman" w:hAnsi="Times New Roman"/>
          <w:color w:val="000000"/>
          <w:kern w:val="22"/>
        </w:rPr>
        <w:fldChar w:fldCharType="separate"/>
      </w:r>
      <w:r w:rsidR="00697085" w:rsidRPr="00697085">
        <w:rPr>
          <w:rFonts w:ascii="Times New Roman" w:hAnsi="Times New Roman"/>
          <w:noProof/>
          <w:color w:val="000000"/>
          <w:kern w:val="22"/>
        </w:rPr>
        <w:t>(World Trade Organization, 2006)</w:t>
      </w:r>
      <w:r w:rsidR="00697085">
        <w:rPr>
          <w:rFonts w:ascii="Times New Roman" w:hAnsi="Times New Roman"/>
          <w:color w:val="000000"/>
          <w:kern w:val="22"/>
        </w:rPr>
        <w:fldChar w:fldCharType="end"/>
      </w:r>
      <w:r w:rsidRPr="006C44B4">
        <w:rPr>
          <w:rFonts w:ascii="Times New Roman" w:hAnsi="Times New Roman"/>
          <w:color w:val="000000"/>
          <w:kern w:val="22"/>
        </w:rPr>
        <w:t>.</w:t>
      </w:r>
    </w:p>
    <w:p w14:paraId="6031E66E" w14:textId="4369EDAB" w:rsidR="006C44B4" w:rsidRPr="006C44B4" w:rsidRDefault="006C44B4" w:rsidP="006C44B4">
      <w:pPr>
        <w:suppressAutoHyphens/>
        <w:spacing w:after="120" w:line="240" w:lineRule="auto"/>
        <w:jc w:val="both"/>
        <w:rPr>
          <w:rFonts w:ascii="Times New Roman" w:hAnsi="Times New Roman"/>
          <w:color w:val="000000"/>
          <w:kern w:val="22"/>
        </w:rPr>
      </w:pPr>
      <w:r w:rsidRPr="006C44B4">
        <w:rPr>
          <w:rFonts w:ascii="Times New Roman" w:hAnsi="Times New Roman"/>
          <w:color w:val="000000"/>
          <w:kern w:val="22"/>
        </w:rPr>
        <w:t xml:space="preserve">With regards to the definition of “toxin” the Panel stated that “a poisonous substance which is produced during the metabolism or growth of a genetically modified crop could qualify as a “toxin” within the meaning of Annex A(1)(b).” It noted that “for an SPS measure to be covered by Annex A(1)(b), the toxin which gives rise to risks for human or animal life or health would have to be present in “foods, beverages or feedstuffs”,” but recalled at the same time that “a genetically modified plant which is grown in a field may be eaten as food by wild fauna.” The Panel also stated that food allergens at issue in the dispute can be considered as “toxins”. The Panel did not give any guidance as to the interpretation of the term “disease-causing organisms” </w:t>
      </w:r>
      <w:r w:rsidR="00697085">
        <w:rPr>
          <w:rFonts w:ascii="Times New Roman" w:hAnsi="Times New Roman"/>
          <w:color w:val="000000"/>
          <w:kern w:val="22"/>
        </w:rPr>
        <w:fldChar w:fldCharType="begin" w:fldLock="1"/>
      </w:r>
      <w:r w:rsidR="00697085">
        <w:rPr>
          <w:rFonts w:ascii="Times New Roman" w:hAnsi="Times New Roman"/>
          <w:color w:val="000000"/>
          <w:kern w:val="22"/>
        </w:rPr>
        <w:instrText>ADDIN CSL_CITATION {"citationItems":[{"id":"ITEM-1","itemData":{"author":[{"dropping-particle":"","family":"World Trade Organization","given":"","non-dropping-particle":"","parse-names":false,"suffix":""}],"id":"ITEM-1","issued":{"date-parts":[["2006"]]},"title":"Reports out on biotech disputes","type":"article"},"uris":["http://www.mendeley.com/documents/?uuid=24b91ea2-60d1-49e3-853f-3007562aa072"]}],"mendeley":{"formattedCitation":"(World Trade Organization, 2006)","plainTextFormattedCitation":"(World Trade Organization, 2006)","previouslyFormattedCitation":"(World Trade Organization, 2006)"},"properties":{"noteIndex":0},"schema":"https://github.com/citation-style-language/schema/raw/master/csl-citation.json"}</w:instrText>
      </w:r>
      <w:r w:rsidR="00697085">
        <w:rPr>
          <w:rFonts w:ascii="Times New Roman" w:hAnsi="Times New Roman"/>
          <w:color w:val="000000"/>
          <w:kern w:val="22"/>
        </w:rPr>
        <w:fldChar w:fldCharType="separate"/>
      </w:r>
      <w:r w:rsidR="00697085" w:rsidRPr="00697085">
        <w:rPr>
          <w:rFonts w:ascii="Times New Roman" w:hAnsi="Times New Roman"/>
          <w:noProof/>
          <w:color w:val="000000"/>
          <w:kern w:val="22"/>
        </w:rPr>
        <w:t>(World Trade Organization, 2006)</w:t>
      </w:r>
      <w:r w:rsidR="00697085">
        <w:rPr>
          <w:rFonts w:ascii="Times New Roman" w:hAnsi="Times New Roman"/>
          <w:color w:val="000000"/>
          <w:kern w:val="22"/>
        </w:rPr>
        <w:fldChar w:fldCharType="end"/>
      </w:r>
      <w:r w:rsidRPr="006C44B4">
        <w:rPr>
          <w:rFonts w:ascii="Times New Roman" w:hAnsi="Times New Roman"/>
          <w:color w:val="000000"/>
          <w:kern w:val="22"/>
        </w:rPr>
        <w:t>.</w:t>
      </w:r>
    </w:p>
    <w:p w14:paraId="7561EF43" w14:textId="3158D9D2" w:rsidR="006C44B4" w:rsidRPr="006C44B4" w:rsidRDefault="006C44B4" w:rsidP="006C44B4">
      <w:pPr>
        <w:suppressAutoHyphens/>
        <w:spacing w:after="120" w:line="240" w:lineRule="auto"/>
        <w:jc w:val="both"/>
        <w:rPr>
          <w:rFonts w:ascii="Times New Roman" w:hAnsi="Times New Roman"/>
          <w:b/>
          <w:bCs/>
          <w:kern w:val="22"/>
        </w:rPr>
      </w:pPr>
      <w:r w:rsidRPr="006C44B4">
        <w:rPr>
          <w:rFonts w:ascii="Times New Roman" w:hAnsi="Times New Roman"/>
          <w:kern w:val="22"/>
        </w:rPr>
        <w:t xml:space="preserve">Case-by-case assessments would be necessary to determine whether any components, organisms or products of synthetic biology would be covered by Annex A(1)(b). At this point, applications of synthetic biology do not seem to be focusing on developing food crops for human use, but the potential for synthetic biology to enhance agricultural efficiency and lessen its environmental impacts is often invoked. Where organisms resulting from synthetic biology could be accessed by wild fauna, they may qualify as “feedstuffs.” For example, outdoor ponds of algae resulting from synthetic biology techniques may be accessible to wildlife </w:t>
      </w:r>
      <w:r w:rsidR="00697085">
        <w:rPr>
          <w:rFonts w:ascii="Times New Roman" w:hAnsi="Times New Roman"/>
          <w:kern w:val="22"/>
        </w:rPr>
        <w:fldChar w:fldCharType="begin" w:fldLock="1"/>
      </w:r>
      <w:r w:rsidR="00F01A1B">
        <w:rPr>
          <w:rFonts w:ascii="Times New Roman" w:hAnsi="Times New Roman"/>
          <w:kern w:val="22"/>
        </w:rPr>
        <w:instrText>ADDIN CSL_CITATION {"citationItems":[{"id":"ITEM-1","itemData":{"DOI":"10.1525/bio.2012.62.8.9","ISSN":"00063568","author":[{"dropping-particle":"","family":"Snow","given":"Allison A.","non-dropping-particle":"","parse-names":false,"suffix":""},{"dropping-particle":"","family":"Smith","given":"Van. H.","non-dropping-particle":"","parse-names":false,"suffix":""}],"container-title":"BioScience","id":"ITEM-1","issue":"8","issued":{"date-parts":[["2012","8"]]},"page":"765-768","title":"Genetically Engineered Algae for Biofuels: A Key Role for Ecologists","type":"article-journal","volume":"62"},"uris":["http://www.mendeley.com/documents/?uuid=65d123fb-3dcf-4de2-8a31-c4bcca1f9c6b"]}],"mendeley":{"formattedCitation":"(Snow &amp; Smith, 2012)","plainTextFormattedCitation":"(Snow &amp; Smith, 2012)","previouslyFormattedCitation":"(Snow &amp; Smith, 2012)"},"properties":{"noteIndex":0},"schema":"https://github.com/citation-style-language/schema/raw/master/csl-citation.json"}</w:instrText>
      </w:r>
      <w:r w:rsidR="00697085">
        <w:rPr>
          <w:rFonts w:ascii="Times New Roman" w:hAnsi="Times New Roman"/>
          <w:kern w:val="22"/>
        </w:rPr>
        <w:fldChar w:fldCharType="separate"/>
      </w:r>
      <w:r w:rsidR="00697085" w:rsidRPr="00697085">
        <w:rPr>
          <w:rFonts w:ascii="Times New Roman" w:hAnsi="Times New Roman"/>
          <w:noProof/>
          <w:kern w:val="22"/>
        </w:rPr>
        <w:t>(Snow &amp; Smith, 2012)</w:t>
      </w:r>
      <w:r w:rsidR="00697085">
        <w:rPr>
          <w:rFonts w:ascii="Times New Roman" w:hAnsi="Times New Roman"/>
          <w:kern w:val="22"/>
        </w:rPr>
        <w:fldChar w:fldCharType="end"/>
      </w:r>
      <w:r w:rsidRPr="006C44B4">
        <w:rPr>
          <w:rFonts w:ascii="Times New Roman" w:hAnsi="Times New Roman"/>
          <w:kern w:val="22"/>
        </w:rPr>
        <w:t xml:space="preserve">. Whether any components, organisms or products of synthetic biology that qualified as a food, beverage, or feedstuff would also be considered an additive, contaminant or toxin would, again, require a case-by-case assessment, taking into account the intended expressions of synthetic genetic sequences. </w:t>
      </w:r>
    </w:p>
    <w:p w14:paraId="25392C37" w14:textId="3E5F66F0" w:rsidR="00F827DD" w:rsidRPr="00F827DD" w:rsidRDefault="00073C5B" w:rsidP="008B096D">
      <w:pPr>
        <w:pStyle w:val="Heading5"/>
        <w:tabs>
          <w:tab w:val="clear" w:pos="1800"/>
        </w:tabs>
        <w:ind w:left="284" w:hanging="284"/>
        <w:rPr>
          <w:shd w:val="clear" w:color="auto" w:fill="FFFFFF"/>
        </w:rPr>
      </w:pPr>
      <w:r w:rsidRPr="00F744BE">
        <w:rPr>
          <w:i w:val="0"/>
          <w:shd w:val="clear" w:color="auto" w:fill="FFFFFF"/>
        </w:rPr>
        <w:t>(</w:t>
      </w:r>
      <w:r w:rsidR="00F744BE" w:rsidRPr="00F744BE">
        <w:rPr>
          <w:i w:val="0"/>
          <w:iCs/>
          <w:shd w:val="clear" w:color="auto" w:fill="FFFFFF"/>
        </w:rPr>
        <w:t>b</w:t>
      </w:r>
      <w:r w:rsidRPr="00F744BE">
        <w:rPr>
          <w:i w:val="0"/>
          <w:shd w:val="clear" w:color="auto" w:fill="FFFFFF"/>
        </w:rPr>
        <w:t>)</w:t>
      </w:r>
      <w:r>
        <w:rPr>
          <w:shd w:val="clear" w:color="auto" w:fill="FFFFFF"/>
        </w:rPr>
        <w:t xml:space="preserve"> </w:t>
      </w:r>
      <w:r w:rsidR="00F827DD" w:rsidRPr="00F827DD">
        <w:rPr>
          <w:shd w:val="clear" w:color="auto" w:fill="FFFFFF"/>
        </w:rPr>
        <w:t>The International Plant Protection Convention (IPPC)</w:t>
      </w:r>
      <w:r w:rsidR="002F5724">
        <w:rPr>
          <w:shd w:val="clear" w:color="auto" w:fill="FFFFFF"/>
        </w:rPr>
        <w:t>.</w:t>
      </w:r>
    </w:p>
    <w:p w14:paraId="1D621206" w14:textId="3BF61B2A" w:rsidR="00F827DD" w:rsidRPr="00F827DD" w:rsidRDefault="00F827DD" w:rsidP="00F827DD">
      <w:pPr>
        <w:suppressAutoHyphens/>
        <w:spacing w:after="120" w:line="240" w:lineRule="auto"/>
        <w:jc w:val="both"/>
        <w:rPr>
          <w:rFonts w:ascii="Times New Roman" w:hAnsi="Times New Roman"/>
          <w:i/>
          <w:iCs/>
          <w:color w:val="000000"/>
          <w:kern w:val="22"/>
        </w:rPr>
      </w:pPr>
      <w:r w:rsidRPr="00F827DD">
        <w:rPr>
          <w:rFonts w:ascii="Times New Roman" w:hAnsi="Times New Roman"/>
          <w:kern w:val="22"/>
        </w:rPr>
        <w:t>The</w:t>
      </w:r>
      <w:r w:rsidRPr="00F827DD">
        <w:rPr>
          <w:rFonts w:ascii="Times New Roman" w:hAnsi="Times New Roman"/>
          <w:color w:val="000000"/>
          <w:kern w:val="22"/>
        </w:rPr>
        <w:t xml:space="preserve"> International Plant Protection Convention (IPPC) promotes action to protect plants and plant products from the spread of pests and sets out measures to control plant pests (see Article I IPPC). The latest version of the Convention entered into force in 2005; it has 184 Parties. </w:t>
      </w:r>
    </w:p>
    <w:p w14:paraId="565A3410" w14:textId="58B1E713" w:rsidR="00F827DD" w:rsidRPr="00F827DD" w:rsidRDefault="00F827DD" w:rsidP="008B096D">
      <w:pPr>
        <w:pStyle w:val="Heading6"/>
        <w:numPr>
          <w:ilvl w:val="0"/>
          <w:numId w:val="161"/>
        </w:numPr>
        <w:ind w:left="284" w:hanging="284"/>
      </w:pPr>
      <w:bookmarkStart w:id="176" w:name="_Toc399752953"/>
      <w:r w:rsidRPr="00F827DD">
        <w:t>Overview of main provisions</w:t>
      </w:r>
      <w:bookmarkEnd w:id="176"/>
      <w:r w:rsidR="002F5724">
        <w:rPr>
          <w:lang w:val="en-US"/>
        </w:rPr>
        <w:t>.</w:t>
      </w:r>
    </w:p>
    <w:p w14:paraId="5D8C3961" w14:textId="6B7CF8AA" w:rsidR="00F827DD" w:rsidRPr="00F827DD" w:rsidRDefault="00F827DD" w:rsidP="00C00B33">
      <w:pPr>
        <w:suppressAutoHyphens/>
        <w:spacing w:after="120" w:line="240" w:lineRule="auto"/>
        <w:jc w:val="both"/>
        <w:rPr>
          <w:rFonts w:ascii="Times New Roman" w:hAnsi="Times New Roman"/>
          <w:color w:val="000000"/>
          <w:kern w:val="22"/>
        </w:rPr>
      </w:pPr>
      <w:r w:rsidRPr="00F827DD">
        <w:rPr>
          <w:rFonts w:ascii="Times New Roman" w:hAnsi="Times New Roman"/>
          <w:color w:val="000000"/>
          <w:kern w:val="22"/>
        </w:rPr>
        <w:t xml:space="preserve">The main provisions of the IPPC include the requirement for each Party to establish a national plant protection </w:t>
      </w:r>
      <w:r w:rsidR="002F5724" w:rsidRPr="00F827DD">
        <w:rPr>
          <w:rFonts w:ascii="Times New Roman" w:hAnsi="Times New Roman"/>
          <w:color w:val="000000"/>
          <w:kern w:val="22"/>
        </w:rPr>
        <w:t>organi</w:t>
      </w:r>
      <w:r w:rsidR="002F5724">
        <w:rPr>
          <w:rFonts w:ascii="Times New Roman" w:hAnsi="Times New Roman"/>
          <w:color w:val="000000"/>
          <w:kern w:val="22"/>
        </w:rPr>
        <w:t>s</w:t>
      </w:r>
      <w:r w:rsidR="002F5724" w:rsidRPr="00F827DD">
        <w:rPr>
          <w:rFonts w:ascii="Times New Roman" w:hAnsi="Times New Roman"/>
          <w:color w:val="000000"/>
          <w:kern w:val="22"/>
        </w:rPr>
        <w:t xml:space="preserve">ation </w:t>
      </w:r>
      <w:r w:rsidRPr="00F827DD">
        <w:rPr>
          <w:rFonts w:ascii="Times New Roman" w:hAnsi="Times New Roman"/>
          <w:color w:val="000000"/>
          <w:kern w:val="22"/>
        </w:rPr>
        <w:t>with a specified mandate (Article IV IPPC) and to make arrangements for the issuance of phytosanitary certificates (Article V IPPC). Further, Parties may require, under certain conditions, phytosanitary measures for quarantine pests and regulated non-quarantine pests (Article VI IPPC). Parties also have sovereign authority to regulate, in accordance with applicable international agreements, the entry of plants and plant products and other regulated articles with the aim of preventing the introduction and/or spread of regulated pests into their territories (Article VII, paragraph 1 IPPC). To this end, Parties may:</w:t>
      </w:r>
    </w:p>
    <w:p w14:paraId="678229D5" w14:textId="77777777" w:rsidR="00F827DD" w:rsidRPr="00F827DD" w:rsidRDefault="00F827DD" w:rsidP="00C00B33">
      <w:pPr>
        <w:numPr>
          <w:ilvl w:val="0"/>
          <w:numId w:val="46"/>
        </w:numPr>
        <w:suppressAutoHyphens/>
        <w:spacing w:after="60" w:line="240" w:lineRule="auto"/>
        <w:ind w:left="284" w:hanging="283"/>
        <w:jc w:val="both"/>
        <w:rPr>
          <w:rFonts w:ascii="Times New Roman" w:eastAsia="SimSun" w:hAnsi="Times New Roman"/>
          <w:kern w:val="22"/>
        </w:rPr>
      </w:pPr>
      <w:r w:rsidRPr="00F827DD">
        <w:rPr>
          <w:rFonts w:ascii="Times New Roman" w:eastAsia="SimSun" w:hAnsi="Times New Roman"/>
          <w:kern w:val="22"/>
        </w:rPr>
        <w:t>Prescribe and adopt phytosanitary measures concerning the importation of plants, plant products and other regulated articles, including, for example, inspection, prohibition on importation, and treatment;</w:t>
      </w:r>
    </w:p>
    <w:p w14:paraId="078BCA4A" w14:textId="77777777" w:rsidR="00F827DD" w:rsidRPr="00F827DD" w:rsidRDefault="00F827DD" w:rsidP="00C00B33">
      <w:pPr>
        <w:numPr>
          <w:ilvl w:val="0"/>
          <w:numId w:val="46"/>
        </w:numPr>
        <w:suppressAutoHyphens/>
        <w:spacing w:after="60" w:line="240" w:lineRule="auto"/>
        <w:ind w:left="284" w:hanging="283"/>
        <w:jc w:val="both"/>
        <w:rPr>
          <w:rFonts w:ascii="Times New Roman" w:eastAsia="SimSun" w:hAnsi="Times New Roman"/>
          <w:kern w:val="22"/>
        </w:rPr>
      </w:pPr>
      <w:r w:rsidRPr="00F827DD">
        <w:rPr>
          <w:rFonts w:ascii="Times New Roman" w:eastAsia="SimSun" w:hAnsi="Times New Roman"/>
          <w:kern w:val="22"/>
        </w:rPr>
        <w:t>Refuse entry or detain, or require treatment, destruction or removal from the territory of the contracting party, of plants, plant products and other regulated articles or consignments thereof that do not comply with the phytosanitary measures prescribed or adopted under subparagraph (a);</w:t>
      </w:r>
    </w:p>
    <w:p w14:paraId="18DC40AB" w14:textId="77777777" w:rsidR="00F827DD" w:rsidRPr="00F827DD" w:rsidRDefault="00F827DD" w:rsidP="00C00B33">
      <w:pPr>
        <w:numPr>
          <w:ilvl w:val="0"/>
          <w:numId w:val="46"/>
        </w:numPr>
        <w:suppressAutoHyphens/>
        <w:spacing w:after="60" w:line="240" w:lineRule="auto"/>
        <w:ind w:left="284" w:hanging="283"/>
        <w:jc w:val="both"/>
        <w:rPr>
          <w:rFonts w:ascii="Times New Roman" w:eastAsia="SimSun" w:hAnsi="Times New Roman"/>
          <w:kern w:val="22"/>
        </w:rPr>
      </w:pPr>
      <w:r w:rsidRPr="00F827DD">
        <w:rPr>
          <w:rFonts w:ascii="Times New Roman" w:eastAsia="SimSun" w:hAnsi="Times New Roman"/>
          <w:kern w:val="22"/>
        </w:rPr>
        <w:t>Prohibit or restrict the movement of regulated pests into their territories;</w:t>
      </w:r>
    </w:p>
    <w:p w14:paraId="54A9940C" w14:textId="77777777" w:rsidR="00F827DD" w:rsidRPr="00F827DD" w:rsidRDefault="00F827DD" w:rsidP="00C00B33">
      <w:pPr>
        <w:numPr>
          <w:ilvl w:val="0"/>
          <w:numId w:val="46"/>
        </w:numPr>
        <w:suppressAutoHyphens/>
        <w:spacing w:after="60" w:line="240" w:lineRule="auto"/>
        <w:ind w:left="284" w:hanging="283"/>
        <w:jc w:val="both"/>
        <w:rPr>
          <w:rFonts w:ascii="Times New Roman" w:eastAsia="SimSun" w:hAnsi="Times New Roman"/>
          <w:kern w:val="22"/>
        </w:rPr>
      </w:pPr>
      <w:r w:rsidRPr="00F827DD">
        <w:rPr>
          <w:rFonts w:ascii="Times New Roman" w:eastAsia="SimSun" w:hAnsi="Times New Roman"/>
          <w:kern w:val="22"/>
        </w:rPr>
        <w:t xml:space="preserve">Prohibit or restrict the movement of biological control agents and other organisms of phytosanitary concern claimed to be beneficial into their territories. </w:t>
      </w:r>
    </w:p>
    <w:p w14:paraId="08A1657B" w14:textId="04CF16AE" w:rsidR="00F827DD" w:rsidRPr="00F827DD" w:rsidRDefault="00F827DD" w:rsidP="00C00B33">
      <w:pPr>
        <w:suppressAutoHyphens/>
        <w:spacing w:after="120" w:line="240" w:lineRule="auto"/>
        <w:jc w:val="both"/>
        <w:rPr>
          <w:rFonts w:ascii="Times New Roman" w:hAnsi="Times New Roman"/>
          <w:color w:val="000000"/>
          <w:kern w:val="22"/>
        </w:rPr>
      </w:pPr>
      <w:r w:rsidRPr="00F827DD">
        <w:rPr>
          <w:rFonts w:ascii="Times New Roman" w:hAnsi="Times New Roman"/>
          <w:color w:val="000000"/>
          <w:kern w:val="22"/>
        </w:rPr>
        <w:t>In order to minimi</w:t>
      </w:r>
      <w:r w:rsidR="008351CF">
        <w:rPr>
          <w:rFonts w:ascii="Times New Roman" w:hAnsi="Times New Roman"/>
          <w:color w:val="000000"/>
          <w:kern w:val="22"/>
        </w:rPr>
        <w:t>s</w:t>
      </w:r>
      <w:r w:rsidRPr="00F827DD">
        <w:rPr>
          <w:rFonts w:ascii="Times New Roman" w:hAnsi="Times New Roman"/>
          <w:color w:val="000000"/>
          <w:kern w:val="22"/>
        </w:rPr>
        <w:t xml:space="preserve">e interference with international trade, Parties have to undertake these activities in conformity with a set of requirements provided in Article VII, paragraph 2. </w:t>
      </w:r>
    </w:p>
    <w:p w14:paraId="32BEE059" w14:textId="77777777" w:rsidR="00F827DD" w:rsidRPr="00F827DD" w:rsidRDefault="00F827DD" w:rsidP="00F827DD">
      <w:pPr>
        <w:suppressAutoHyphens/>
        <w:spacing w:after="120" w:line="240" w:lineRule="auto"/>
        <w:jc w:val="both"/>
        <w:rPr>
          <w:rFonts w:ascii="Times New Roman" w:hAnsi="Times New Roman"/>
          <w:kern w:val="22"/>
          <w:szCs w:val="18"/>
        </w:rPr>
      </w:pPr>
      <w:r w:rsidRPr="00F827DD">
        <w:rPr>
          <w:rFonts w:ascii="Times New Roman" w:hAnsi="Times New Roman"/>
          <w:color w:val="000000"/>
          <w:kern w:val="22"/>
        </w:rPr>
        <w:t>In Article X, Parties agree to cooperate in the development of international standards which they should take into account when undertaking activities related to the Convention. In accordance with these provisions, the international framework for plant protection includes International Standards for Phytosanitary Measures (</w:t>
      </w:r>
      <w:r w:rsidRPr="00191428">
        <w:rPr>
          <w:rFonts w:ascii="Times New Roman" w:hAnsi="Times New Roman"/>
          <w:color w:val="000000"/>
          <w:kern w:val="22"/>
        </w:rPr>
        <w:t>ISPMs</w:t>
      </w:r>
      <w:r w:rsidRPr="00F827DD">
        <w:rPr>
          <w:rFonts w:ascii="Times New Roman" w:hAnsi="Times New Roman"/>
          <w:color w:val="000000"/>
          <w:kern w:val="22"/>
        </w:rPr>
        <w:t>). The adopted standards under the IPPC</w:t>
      </w:r>
      <w:r w:rsidRPr="00F827DD">
        <w:rPr>
          <w:rFonts w:ascii="Times New Roman" w:hAnsi="Times New Roman"/>
          <w:color w:val="000000"/>
          <w:kern w:val="22"/>
          <w:vertAlign w:val="superscript"/>
        </w:rPr>
        <w:footnoteReference w:id="102"/>
      </w:r>
      <w:r w:rsidRPr="00F827DD">
        <w:rPr>
          <w:rFonts w:ascii="Times New Roman" w:hAnsi="Times New Roman"/>
          <w:color w:val="000000"/>
          <w:kern w:val="22"/>
        </w:rPr>
        <w:t xml:space="preserve"> </w:t>
      </w:r>
      <w:r w:rsidRPr="00F827DD">
        <w:rPr>
          <w:rFonts w:ascii="Times New Roman" w:eastAsia="Helvetica" w:hAnsi="Times New Roman"/>
          <w:color w:val="000000"/>
          <w:kern w:val="22"/>
        </w:rPr>
        <w:t xml:space="preserve"> provide guidance to its Parties on Phytosanitary Principles for the Protection of Plants, and the application of phytosanitary measures in international trade, with specific standards covering not only pest risk analysis but also import and export systems, post-border controls and surveillance and reporting on pests and diseases. </w:t>
      </w:r>
    </w:p>
    <w:p w14:paraId="5FB186CE" w14:textId="35DEF8B0" w:rsidR="00F827DD" w:rsidRPr="00F827DD" w:rsidRDefault="00F827DD" w:rsidP="00D401AA">
      <w:pPr>
        <w:pStyle w:val="Heading6"/>
        <w:numPr>
          <w:ilvl w:val="0"/>
          <w:numId w:val="162"/>
        </w:numPr>
        <w:ind w:left="284" w:hanging="284"/>
        <w:rPr>
          <w:color w:val="000000"/>
        </w:rPr>
      </w:pPr>
      <w:bookmarkStart w:id="177" w:name="_Toc399752954"/>
      <w:r w:rsidRPr="00F827DD">
        <w:t>Phytosanitary measures</w:t>
      </w:r>
      <w:bookmarkEnd w:id="177"/>
      <w:r w:rsidR="00963847">
        <w:rPr>
          <w:lang w:val="en-US"/>
        </w:rPr>
        <w:t>.</w:t>
      </w:r>
    </w:p>
    <w:p w14:paraId="388D69D3" w14:textId="77777777" w:rsidR="00F827DD" w:rsidRPr="00F827DD" w:rsidRDefault="00F827DD" w:rsidP="00F827DD">
      <w:pPr>
        <w:suppressAutoHyphens/>
        <w:spacing w:after="120" w:line="240" w:lineRule="auto"/>
        <w:jc w:val="both"/>
        <w:rPr>
          <w:rFonts w:ascii="Times New Roman" w:eastAsia="Helvetica" w:hAnsi="Times New Roman"/>
          <w:color w:val="000000"/>
          <w:kern w:val="22"/>
        </w:rPr>
      </w:pPr>
      <w:r w:rsidRPr="00F827DD">
        <w:rPr>
          <w:rFonts w:ascii="Times New Roman" w:eastAsia="Helvetica" w:hAnsi="Times New Roman"/>
          <w:color w:val="000000"/>
          <w:kern w:val="22"/>
        </w:rPr>
        <w:t xml:space="preserve">The International Plant Protection Convention defines phytosanitary measures in Article 2 as any legislation, regulation or official procedure having the purpose to prevent the introduction and/or spread of pests. Pests, in turn, are defined as any species, strain or biotype of plant, animal or pathogenic agent injurious to plants or plant products. Plants are living plants and parts thereof, including seeds and germplasm. Plant products are defined as unmanufactured material of plant origin (including grain) and those manufactured products that, by their nature or that of their processing, may create a risk for the introduction and spread of pests. </w:t>
      </w:r>
    </w:p>
    <w:p w14:paraId="24218717" w14:textId="3FF94214" w:rsidR="00F827DD" w:rsidRPr="00F827DD" w:rsidRDefault="00F827DD" w:rsidP="00F827DD">
      <w:pPr>
        <w:suppressAutoHyphens/>
        <w:spacing w:after="120" w:line="240" w:lineRule="auto"/>
        <w:jc w:val="both"/>
        <w:rPr>
          <w:rFonts w:ascii="Times New Roman" w:hAnsi="Times New Roman"/>
          <w:color w:val="000000"/>
          <w:kern w:val="22"/>
        </w:rPr>
      </w:pPr>
      <w:r w:rsidRPr="00F827DD">
        <w:rPr>
          <w:rFonts w:ascii="Times New Roman" w:hAnsi="Times New Roman"/>
          <w:color w:val="000000"/>
          <w:kern w:val="22"/>
        </w:rPr>
        <w:t xml:space="preserve">While the primary focus of the International Plant Protection Convention is on plants and plant products moving in international trade, it also covers research materials; biological control organisms; germplasm banks; containment facilities and anything else that can act as vectors for the spread of plant pests (e.g. containers, packaging materials, soil, vehicles, vessels and machinery). </w:t>
      </w:r>
      <w:r w:rsidRPr="00F827DD">
        <w:rPr>
          <w:rFonts w:ascii="Times New Roman" w:eastAsia="Helvetica" w:hAnsi="Times New Roman"/>
          <w:color w:val="000000"/>
          <w:kern w:val="22"/>
        </w:rPr>
        <w:t xml:space="preserve">Regulated articles comprise any plant, plant product, storage place, packaging, conveyance, container, soil and any other organism, object or material capable of harbouring or spreading pests, deemed to require phytosanitary measures, particularly where international transportation is involved (see also Article 1, paragraph 3 IPCC). </w:t>
      </w:r>
    </w:p>
    <w:p w14:paraId="3548431D" w14:textId="17A5B807" w:rsidR="00F827DD" w:rsidRPr="00F827DD" w:rsidRDefault="00F827DD" w:rsidP="00F827DD">
      <w:pPr>
        <w:suppressAutoHyphens/>
        <w:spacing w:after="120" w:line="240" w:lineRule="auto"/>
        <w:jc w:val="both"/>
        <w:rPr>
          <w:rFonts w:ascii="Times New Roman" w:hAnsi="Times New Roman"/>
          <w:color w:val="000000"/>
          <w:kern w:val="22"/>
        </w:rPr>
      </w:pPr>
      <w:r w:rsidRPr="00F827DD">
        <w:rPr>
          <w:rFonts w:ascii="Times New Roman" w:hAnsi="Times New Roman"/>
          <w:color w:val="000000"/>
          <w:kern w:val="22"/>
        </w:rPr>
        <w:t xml:space="preserve">ISPM No. 11 ‘Pest risk analysis for quarantine pests’ addresses LMOs. It notes the types of LMOs that a national plant protection </w:t>
      </w:r>
      <w:r w:rsidR="00963847" w:rsidRPr="00F827DD">
        <w:rPr>
          <w:rFonts w:ascii="Times New Roman" w:hAnsi="Times New Roman"/>
          <w:color w:val="000000"/>
          <w:kern w:val="22"/>
        </w:rPr>
        <w:t>organi</w:t>
      </w:r>
      <w:r w:rsidR="00963847">
        <w:rPr>
          <w:rFonts w:ascii="Times New Roman" w:hAnsi="Times New Roman"/>
          <w:color w:val="000000"/>
          <w:kern w:val="22"/>
        </w:rPr>
        <w:t>s</w:t>
      </w:r>
      <w:r w:rsidR="00963847" w:rsidRPr="00F827DD">
        <w:rPr>
          <w:rFonts w:ascii="Times New Roman" w:hAnsi="Times New Roman"/>
          <w:color w:val="000000"/>
          <w:kern w:val="22"/>
        </w:rPr>
        <w:t xml:space="preserve">ation </w:t>
      </w:r>
      <w:r w:rsidRPr="00F827DD">
        <w:rPr>
          <w:rFonts w:ascii="Times New Roman" w:hAnsi="Times New Roman"/>
          <w:color w:val="000000"/>
          <w:kern w:val="22"/>
        </w:rPr>
        <w:t>(</w:t>
      </w:r>
      <w:r w:rsidRPr="00BD49FB">
        <w:rPr>
          <w:rFonts w:ascii="Times New Roman" w:hAnsi="Times New Roman"/>
          <w:color w:val="000000"/>
          <w:kern w:val="22"/>
        </w:rPr>
        <w:t>NPPO</w:t>
      </w:r>
      <w:r w:rsidRPr="00F827DD">
        <w:rPr>
          <w:rFonts w:ascii="Times New Roman" w:hAnsi="Times New Roman"/>
          <w:color w:val="000000"/>
          <w:kern w:val="22"/>
        </w:rPr>
        <w:t>) may be asked to assess for phytosanitary risk:</w:t>
      </w:r>
    </w:p>
    <w:p w14:paraId="30438D7F" w14:textId="3A871759" w:rsidR="00F827DD" w:rsidRPr="00F827DD" w:rsidRDefault="00F827DD" w:rsidP="001401DE">
      <w:pPr>
        <w:numPr>
          <w:ilvl w:val="0"/>
          <w:numId w:val="46"/>
        </w:numPr>
        <w:suppressAutoHyphens/>
        <w:spacing w:after="60" w:line="240" w:lineRule="auto"/>
        <w:ind w:left="284" w:hanging="283"/>
        <w:jc w:val="both"/>
        <w:rPr>
          <w:rFonts w:ascii="Times New Roman" w:eastAsia="SimSun" w:hAnsi="Times New Roman"/>
          <w:kern w:val="22"/>
        </w:rPr>
      </w:pPr>
      <w:r w:rsidRPr="00F827DD">
        <w:rPr>
          <w:rFonts w:ascii="Times New Roman" w:eastAsia="SimSun" w:hAnsi="Times New Roman"/>
          <w:kern w:val="22"/>
        </w:rPr>
        <w:t>plants for use (a) as agricultural crops, for food and feed, ornamental plants or managed forests; (b) in bioremediation (as an organism that cleans up pollution); (c) for industrial purposes (e.g. production of enzymes or bioplastics); (d) as therapeutic agents (e.g. pharmaceutical production)</w:t>
      </w:r>
      <w:r w:rsidR="00EF51F2">
        <w:rPr>
          <w:rFonts w:ascii="Times New Roman" w:eastAsia="SimSun" w:hAnsi="Times New Roman"/>
          <w:kern w:val="22"/>
        </w:rPr>
        <w:t>;</w:t>
      </w:r>
    </w:p>
    <w:p w14:paraId="2A981270" w14:textId="426B3641" w:rsidR="00F827DD" w:rsidRPr="00F827DD" w:rsidRDefault="00F827DD" w:rsidP="001401DE">
      <w:pPr>
        <w:numPr>
          <w:ilvl w:val="0"/>
          <w:numId w:val="46"/>
        </w:numPr>
        <w:suppressAutoHyphens/>
        <w:spacing w:after="60" w:line="240" w:lineRule="auto"/>
        <w:ind w:left="284" w:hanging="283"/>
        <w:jc w:val="both"/>
        <w:rPr>
          <w:rFonts w:ascii="Times New Roman" w:eastAsia="SimSun" w:hAnsi="Times New Roman"/>
          <w:kern w:val="22"/>
        </w:rPr>
      </w:pPr>
      <w:r w:rsidRPr="00F827DD">
        <w:rPr>
          <w:rFonts w:ascii="Times New Roman" w:eastAsia="SimSun" w:hAnsi="Times New Roman"/>
          <w:kern w:val="22"/>
        </w:rPr>
        <w:t>biological control agents modified to improve their performance in that role</w:t>
      </w:r>
      <w:r w:rsidR="00EF51F2">
        <w:rPr>
          <w:rFonts w:ascii="Times New Roman" w:eastAsia="SimSun" w:hAnsi="Times New Roman"/>
          <w:kern w:val="22"/>
        </w:rPr>
        <w:t>;</w:t>
      </w:r>
    </w:p>
    <w:p w14:paraId="2708093D" w14:textId="19DE135C" w:rsidR="00F827DD" w:rsidRPr="00F827DD" w:rsidRDefault="00F827DD" w:rsidP="001401DE">
      <w:pPr>
        <w:numPr>
          <w:ilvl w:val="0"/>
          <w:numId w:val="46"/>
        </w:numPr>
        <w:suppressAutoHyphens/>
        <w:spacing w:after="60" w:line="240" w:lineRule="auto"/>
        <w:ind w:left="284" w:hanging="283"/>
        <w:jc w:val="both"/>
        <w:rPr>
          <w:rFonts w:ascii="Times New Roman" w:eastAsia="SimSun" w:hAnsi="Times New Roman"/>
          <w:kern w:val="22"/>
        </w:rPr>
      </w:pPr>
      <w:r w:rsidRPr="00F827DD">
        <w:rPr>
          <w:rFonts w:ascii="Times New Roman" w:eastAsia="SimSun" w:hAnsi="Times New Roman"/>
          <w:kern w:val="22"/>
        </w:rPr>
        <w:t>pests modified to alter their pathogenic characteristic and thereby make them useful for biological control (see ISPM 3 (Guidelines for the export, shipment, import and release of biological control agents and other beneficial organisms))</w:t>
      </w:r>
      <w:r w:rsidR="00EF51F2">
        <w:rPr>
          <w:rFonts w:ascii="Times New Roman" w:eastAsia="SimSun" w:hAnsi="Times New Roman"/>
          <w:kern w:val="22"/>
        </w:rPr>
        <w:t>;</w:t>
      </w:r>
    </w:p>
    <w:p w14:paraId="7A5725A0" w14:textId="561059B4" w:rsidR="00F827DD" w:rsidRPr="00F827DD" w:rsidRDefault="00F827DD" w:rsidP="001401DE">
      <w:pPr>
        <w:numPr>
          <w:ilvl w:val="0"/>
          <w:numId w:val="46"/>
        </w:numPr>
        <w:suppressAutoHyphens/>
        <w:spacing w:after="60" w:line="240" w:lineRule="auto"/>
        <w:ind w:left="284" w:hanging="283"/>
        <w:jc w:val="both"/>
        <w:rPr>
          <w:rFonts w:ascii="Times New Roman" w:eastAsia="SimSun" w:hAnsi="Times New Roman"/>
          <w:kern w:val="22"/>
        </w:rPr>
      </w:pPr>
      <w:r w:rsidRPr="00F827DD">
        <w:rPr>
          <w:rFonts w:ascii="Times New Roman" w:eastAsia="SimSun" w:hAnsi="Times New Roman"/>
          <w:kern w:val="22"/>
        </w:rPr>
        <w:t>organisms genetically modified to improve their characteristics such as for biofertilizer or other influences on soil, bioremediation or industrial uses.</w:t>
      </w:r>
    </w:p>
    <w:p w14:paraId="7C4B5B5D" w14:textId="77777777" w:rsidR="00F827DD" w:rsidRPr="00F827DD" w:rsidRDefault="00F827DD" w:rsidP="00F827DD">
      <w:pPr>
        <w:suppressAutoHyphens/>
        <w:spacing w:before="120" w:after="120" w:line="240" w:lineRule="auto"/>
        <w:jc w:val="both"/>
        <w:rPr>
          <w:rFonts w:ascii="Times New Roman" w:hAnsi="Times New Roman"/>
          <w:color w:val="000000"/>
          <w:kern w:val="22"/>
        </w:rPr>
      </w:pPr>
      <w:r w:rsidRPr="00F827DD">
        <w:rPr>
          <w:rFonts w:ascii="Times New Roman" w:hAnsi="Times New Roman"/>
          <w:color w:val="000000"/>
          <w:kern w:val="22"/>
        </w:rPr>
        <w:t xml:space="preserve">Annex 3 of ISPM No. 11 provides guidance for ‘Determining the potential for a living modified organism to be a pest’. It clarifies further, for the case of living modified organisms that for phytosanitary risks related to gene flow, the living modified organism is acting more as a potential vector or pathway for introduction of a genetic construct of phytosanitary concern rather than as a pest in and of itself. Therefore, the term “pest” should be understood to include the potential of a living modified organism to act as a vector or pathway for introduction of a gene presenting a potential phytosanitary risk. Annex 3 of ISPM No. 11 contains a list of potential phytosanitary risks from living modified organisms. All these risks may apply, to varying degrees, to components, organisms and products resulting from synthetic biology. </w:t>
      </w:r>
    </w:p>
    <w:p w14:paraId="71FD02E2" w14:textId="0927723F" w:rsidR="00F827DD" w:rsidRPr="00F827DD" w:rsidRDefault="00F827DD" w:rsidP="00F827DD">
      <w:pPr>
        <w:suppressAutoHyphens/>
        <w:spacing w:after="120" w:line="240" w:lineRule="auto"/>
        <w:jc w:val="both"/>
        <w:rPr>
          <w:rFonts w:ascii="Times New Roman" w:hAnsi="Times New Roman"/>
          <w:color w:val="000000"/>
          <w:kern w:val="22"/>
        </w:rPr>
      </w:pPr>
      <w:r w:rsidRPr="00F827DD">
        <w:rPr>
          <w:rFonts w:ascii="Times New Roman" w:hAnsi="Times New Roman"/>
          <w:color w:val="000000"/>
          <w:kern w:val="22"/>
        </w:rPr>
        <w:t xml:space="preserve">Other ISPMs which have been identified as relevant to living modified organisms </w:t>
      </w:r>
      <w:r w:rsidR="00F01A1B">
        <w:rPr>
          <w:rFonts w:ascii="Times New Roman" w:hAnsi="Times New Roman"/>
          <w:color w:val="000000"/>
          <w:kern w:val="22"/>
        </w:rPr>
        <w:fldChar w:fldCharType="begin" w:fldLock="1"/>
      </w:r>
      <w:r w:rsidR="008B5D48">
        <w:rPr>
          <w:rFonts w:ascii="Times New Roman" w:hAnsi="Times New Roman"/>
          <w:color w:val="000000"/>
          <w:kern w:val="22"/>
        </w:rPr>
        <w:instrText>ADDIN CSL_CITATION {"citationItems":[{"id":"ITEM-1","itemData":{"ISBN":"92-9225-381-6","author":[{"dropping-particle":"","family":"Secretariat of the Convention on Biological Diversity","given":"","non-dropping-particle":"","parse-names":false,"suffix":""}],"id":"ITEM-1","issued":{"date-parts":[["2012"]]},"number-of-pages":"64","publisher-place":"Montreal, Canada","title":"Biosafety Technical Series 01","type":"book"},"uris":["http://www.mendeley.com/documents/?uuid=92aaf1de-ff4e-45fa-adb6-d069a3a65ad8"]}],"mendeley":{"formattedCitation":"(Secretariat of the Convention on Biological Diversity, 2012)","plainTextFormattedCitation":"(Secretariat of the Convention on Biological Diversity, 2012)","previouslyFormattedCitation":"(Secretariat of the Convention on Biological Diversity, 2012)"},"properties":{"noteIndex":0},"schema":"https://github.com/citation-style-language/schema/raw/master/csl-citation.json"}</w:instrText>
      </w:r>
      <w:r w:rsidR="00F01A1B">
        <w:rPr>
          <w:rFonts w:ascii="Times New Roman" w:hAnsi="Times New Roman"/>
          <w:color w:val="000000"/>
          <w:kern w:val="22"/>
        </w:rPr>
        <w:fldChar w:fldCharType="separate"/>
      </w:r>
      <w:r w:rsidR="00F01A1B" w:rsidRPr="00F01A1B">
        <w:rPr>
          <w:rFonts w:ascii="Times New Roman" w:hAnsi="Times New Roman"/>
          <w:noProof/>
          <w:color w:val="000000"/>
          <w:kern w:val="22"/>
        </w:rPr>
        <w:t>(Secretariat of the Convention on Biological Diversity, 2012)</w:t>
      </w:r>
      <w:r w:rsidR="00F01A1B">
        <w:rPr>
          <w:rFonts w:ascii="Times New Roman" w:hAnsi="Times New Roman"/>
          <w:color w:val="000000"/>
          <w:kern w:val="22"/>
        </w:rPr>
        <w:fldChar w:fldCharType="end"/>
      </w:r>
      <w:r w:rsidRPr="00F827DD">
        <w:rPr>
          <w:rFonts w:ascii="Times New Roman" w:hAnsi="Times New Roman"/>
          <w:color w:val="000000"/>
          <w:kern w:val="22"/>
        </w:rPr>
        <w:t>, and therefore may in some cases be relevant to components, organisms and products resulting from synthetic biology, include:</w:t>
      </w:r>
    </w:p>
    <w:p w14:paraId="12647AEF" w14:textId="77777777" w:rsidR="00F827DD" w:rsidRPr="00F827DD" w:rsidRDefault="00F827DD" w:rsidP="009F4205">
      <w:pPr>
        <w:numPr>
          <w:ilvl w:val="0"/>
          <w:numId w:val="232"/>
        </w:numPr>
        <w:suppressAutoHyphens/>
        <w:spacing w:after="60" w:line="240" w:lineRule="auto"/>
        <w:ind w:left="284" w:hanging="284"/>
        <w:jc w:val="both"/>
        <w:rPr>
          <w:rFonts w:ascii="Times New Roman" w:eastAsia="SimSun" w:hAnsi="Times New Roman"/>
          <w:kern w:val="22"/>
        </w:rPr>
      </w:pPr>
      <w:r w:rsidRPr="00F827DD">
        <w:rPr>
          <w:rFonts w:ascii="Times New Roman" w:eastAsia="SimSun" w:hAnsi="Times New Roman"/>
          <w:kern w:val="22"/>
        </w:rPr>
        <w:t>ISPM No. 12: Guidelines for phytosanitary certificates (2001)</w:t>
      </w:r>
    </w:p>
    <w:p w14:paraId="33CCECC8" w14:textId="77777777" w:rsidR="00F827DD" w:rsidRPr="00F827DD" w:rsidRDefault="00F827DD" w:rsidP="009F4205">
      <w:pPr>
        <w:numPr>
          <w:ilvl w:val="0"/>
          <w:numId w:val="232"/>
        </w:numPr>
        <w:suppressAutoHyphens/>
        <w:spacing w:after="60" w:line="240" w:lineRule="auto"/>
        <w:ind w:left="284" w:hanging="284"/>
        <w:jc w:val="both"/>
        <w:rPr>
          <w:rFonts w:ascii="Times New Roman" w:eastAsia="SimSun" w:hAnsi="Times New Roman"/>
          <w:kern w:val="22"/>
        </w:rPr>
      </w:pPr>
      <w:r w:rsidRPr="00F827DD">
        <w:rPr>
          <w:rFonts w:ascii="Times New Roman" w:eastAsia="SimSun" w:hAnsi="Times New Roman"/>
          <w:kern w:val="22"/>
        </w:rPr>
        <w:t>ISPM No. 7: Export certification systems (1997)</w:t>
      </w:r>
    </w:p>
    <w:p w14:paraId="57A472D8" w14:textId="77777777" w:rsidR="00F827DD" w:rsidRPr="00F827DD" w:rsidRDefault="00F827DD" w:rsidP="009F4205">
      <w:pPr>
        <w:numPr>
          <w:ilvl w:val="0"/>
          <w:numId w:val="232"/>
        </w:numPr>
        <w:suppressAutoHyphens/>
        <w:spacing w:after="60" w:line="240" w:lineRule="auto"/>
        <w:ind w:left="284" w:hanging="284"/>
        <w:jc w:val="both"/>
        <w:rPr>
          <w:rFonts w:ascii="Times New Roman" w:eastAsia="SimSun" w:hAnsi="Times New Roman"/>
          <w:kern w:val="22"/>
        </w:rPr>
      </w:pPr>
      <w:r w:rsidRPr="00F827DD">
        <w:rPr>
          <w:rFonts w:ascii="Times New Roman" w:eastAsia="SimSun" w:hAnsi="Times New Roman"/>
          <w:kern w:val="22"/>
        </w:rPr>
        <w:t>ISPM No. 3: Guidelines for the export, shipment, import and release of biological control agents and other beneficial organisms (2005)</w:t>
      </w:r>
    </w:p>
    <w:p w14:paraId="5AD6BF87" w14:textId="77777777" w:rsidR="00F827DD" w:rsidRPr="00F827DD" w:rsidRDefault="00F827DD" w:rsidP="009F4205">
      <w:pPr>
        <w:numPr>
          <w:ilvl w:val="0"/>
          <w:numId w:val="232"/>
        </w:numPr>
        <w:suppressAutoHyphens/>
        <w:spacing w:after="60" w:line="240" w:lineRule="auto"/>
        <w:ind w:left="284" w:hanging="284"/>
        <w:jc w:val="both"/>
        <w:rPr>
          <w:rFonts w:ascii="Times New Roman" w:eastAsia="SimSun" w:hAnsi="Times New Roman"/>
          <w:kern w:val="22"/>
        </w:rPr>
      </w:pPr>
      <w:r w:rsidRPr="00F827DD">
        <w:rPr>
          <w:rFonts w:ascii="Times New Roman" w:eastAsia="SimSun" w:hAnsi="Times New Roman"/>
          <w:kern w:val="22"/>
        </w:rPr>
        <w:t>ISPM No. 20: Guidelines for a phytosanitary import regulatory system (2004)</w:t>
      </w:r>
    </w:p>
    <w:p w14:paraId="7B7E8FEE" w14:textId="77777777" w:rsidR="00F827DD" w:rsidRPr="00F827DD" w:rsidRDefault="00F827DD" w:rsidP="009F4205">
      <w:pPr>
        <w:numPr>
          <w:ilvl w:val="0"/>
          <w:numId w:val="232"/>
        </w:numPr>
        <w:suppressAutoHyphens/>
        <w:spacing w:after="60" w:line="240" w:lineRule="auto"/>
        <w:ind w:left="284" w:hanging="284"/>
        <w:jc w:val="both"/>
        <w:rPr>
          <w:rFonts w:ascii="Times New Roman" w:eastAsia="SimSun" w:hAnsi="Times New Roman"/>
          <w:kern w:val="22"/>
        </w:rPr>
      </w:pPr>
      <w:r w:rsidRPr="00F827DD">
        <w:rPr>
          <w:rFonts w:ascii="Times New Roman" w:eastAsia="SimSun" w:hAnsi="Times New Roman"/>
          <w:kern w:val="22"/>
        </w:rPr>
        <w:t>ISPM No. 23: Guidelines for inspection (2005).</w:t>
      </w:r>
    </w:p>
    <w:p w14:paraId="4164A143" w14:textId="6CFCCBD8" w:rsidR="00F827DD" w:rsidRPr="00F827DD" w:rsidRDefault="00335034" w:rsidP="00335034">
      <w:pPr>
        <w:pStyle w:val="Heading5"/>
        <w:tabs>
          <w:tab w:val="clear" w:pos="1800"/>
        </w:tabs>
        <w:ind w:left="284" w:hanging="284"/>
        <w:rPr>
          <w:shd w:val="clear" w:color="auto" w:fill="FFFFFF"/>
        </w:rPr>
      </w:pPr>
      <w:r>
        <w:rPr>
          <w:i w:val="0"/>
          <w:iCs/>
          <w:shd w:val="clear" w:color="auto" w:fill="FFFFFF"/>
        </w:rPr>
        <w:t>(</w:t>
      </w:r>
      <w:r w:rsidR="00887F3B">
        <w:rPr>
          <w:i w:val="0"/>
          <w:iCs/>
          <w:shd w:val="clear" w:color="auto" w:fill="FFFFFF"/>
        </w:rPr>
        <w:t>c</w:t>
      </w:r>
      <w:r>
        <w:rPr>
          <w:i w:val="0"/>
          <w:iCs/>
          <w:shd w:val="clear" w:color="auto" w:fill="FFFFFF"/>
        </w:rPr>
        <w:t xml:space="preserve">) </w:t>
      </w:r>
      <w:r w:rsidR="00F827DD" w:rsidRPr="00F827DD">
        <w:rPr>
          <w:shd w:val="clear" w:color="auto" w:fill="FFFFFF"/>
        </w:rPr>
        <w:t>World Organization for Animal Health</w:t>
      </w:r>
      <w:r w:rsidR="00EF51F2">
        <w:rPr>
          <w:shd w:val="clear" w:color="auto" w:fill="FFFFFF"/>
        </w:rPr>
        <w:t>.</w:t>
      </w:r>
    </w:p>
    <w:p w14:paraId="174793FA" w14:textId="64F603D4" w:rsidR="00F827DD" w:rsidRPr="00F827DD" w:rsidRDefault="00F827DD" w:rsidP="00474099">
      <w:pPr>
        <w:suppressAutoHyphens/>
        <w:spacing w:after="120" w:line="240" w:lineRule="auto"/>
        <w:jc w:val="both"/>
        <w:rPr>
          <w:rFonts w:ascii="Times New Roman" w:hAnsi="Times New Roman"/>
          <w:color w:val="000000"/>
          <w:kern w:val="22"/>
        </w:rPr>
      </w:pPr>
      <w:r w:rsidRPr="00F827DD">
        <w:rPr>
          <w:rFonts w:ascii="Times New Roman" w:hAnsi="Times New Roman"/>
          <w:color w:val="000000"/>
          <w:kern w:val="22"/>
        </w:rPr>
        <w:t xml:space="preserve">The World Organisation for Animal Health was founded in 1924 as the Office International des </w:t>
      </w:r>
      <w:r w:rsidR="00D4164E">
        <w:rPr>
          <w:rFonts w:ascii="Times New Roman" w:hAnsi="Times New Roman"/>
          <w:color w:val="000000"/>
          <w:kern w:val="22"/>
        </w:rPr>
        <w:t>E</w:t>
      </w:r>
      <w:r w:rsidR="00D4164E" w:rsidRPr="00F827DD">
        <w:rPr>
          <w:rFonts w:ascii="Times New Roman" w:hAnsi="Times New Roman"/>
          <w:color w:val="000000"/>
          <w:kern w:val="22"/>
        </w:rPr>
        <w:t xml:space="preserve">pizooties </w:t>
      </w:r>
      <w:r w:rsidRPr="00F827DD">
        <w:rPr>
          <w:rFonts w:ascii="Times New Roman" w:hAnsi="Times New Roman"/>
          <w:color w:val="000000"/>
          <w:kern w:val="22"/>
        </w:rPr>
        <w:t>(OIE) to provide international cooperation and coordination against the spread of animal diseases. Ninety years later, the core mandate of the organisation has been expanded to become the improvement of animal health world-wide.</w:t>
      </w:r>
    </w:p>
    <w:p w14:paraId="3004938C" w14:textId="557A2C67" w:rsidR="00F827DD" w:rsidRPr="00F827DD" w:rsidRDefault="00F827DD" w:rsidP="00474099">
      <w:pPr>
        <w:suppressAutoHyphens/>
        <w:spacing w:after="120" w:line="240" w:lineRule="auto"/>
        <w:jc w:val="both"/>
        <w:rPr>
          <w:rFonts w:ascii="Times New Roman" w:hAnsi="Times New Roman"/>
          <w:kern w:val="22"/>
          <w:szCs w:val="18"/>
        </w:rPr>
      </w:pPr>
      <w:r w:rsidRPr="00F827DD">
        <w:rPr>
          <w:rFonts w:ascii="Times New Roman" w:hAnsi="Times New Roman"/>
          <w:color w:val="000000"/>
          <w:kern w:val="22"/>
        </w:rPr>
        <w:t xml:space="preserve">The OIE standards, </w:t>
      </w:r>
      <w:r w:rsidR="00EF51F2" w:rsidRPr="00F827DD">
        <w:rPr>
          <w:rFonts w:ascii="Times New Roman" w:hAnsi="Times New Roman"/>
          <w:color w:val="000000"/>
          <w:kern w:val="22"/>
        </w:rPr>
        <w:t>recogni</w:t>
      </w:r>
      <w:r w:rsidR="00EF51F2">
        <w:rPr>
          <w:rFonts w:ascii="Times New Roman" w:hAnsi="Times New Roman"/>
          <w:color w:val="000000"/>
          <w:kern w:val="22"/>
        </w:rPr>
        <w:t>s</w:t>
      </w:r>
      <w:r w:rsidR="00EF51F2" w:rsidRPr="00F827DD">
        <w:rPr>
          <w:rFonts w:ascii="Times New Roman" w:hAnsi="Times New Roman"/>
          <w:color w:val="000000"/>
          <w:kern w:val="22"/>
        </w:rPr>
        <w:t xml:space="preserve">ed </w:t>
      </w:r>
      <w:r w:rsidRPr="00F827DD">
        <w:rPr>
          <w:rFonts w:ascii="Times New Roman" w:hAnsi="Times New Roman"/>
          <w:color w:val="000000"/>
          <w:kern w:val="22"/>
        </w:rPr>
        <w:t xml:space="preserve">by the SPS Agreement as the international standards for animal health including zoonosis, are published as the OIE Animal Health Codes (Terrestrial Animal Health Code and Aquatic Animal Health Code) and the OIE Manuals (Manual of Diagnostic Tests and Vaccines for Terrestrial Animals and Manual of Diagnostic Tests for Aquatic Animals). These international standards cover a wide range of animal health and veterinary public health matters. They include the obligation to issue notifications, undertake import risk analyses, surveillance, disease prevention and control measures, establish trade requirements for animals and animal products, and require the use of diagnostic tests and vaccines and others. </w:t>
      </w:r>
    </w:p>
    <w:p w14:paraId="3A9D1E67" w14:textId="76F374C1" w:rsidR="00F827DD" w:rsidRPr="00F827DD" w:rsidRDefault="00F827DD" w:rsidP="00873384">
      <w:pPr>
        <w:pStyle w:val="Heading6"/>
        <w:numPr>
          <w:ilvl w:val="0"/>
          <w:numId w:val="163"/>
        </w:numPr>
        <w:spacing w:before="0" w:after="120" w:line="240" w:lineRule="auto"/>
        <w:ind w:left="284" w:hanging="284"/>
      </w:pPr>
      <w:bookmarkStart w:id="178" w:name="_Toc399752956"/>
      <w:r w:rsidRPr="00F827DD">
        <w:t>Sanitary measures</w:t>
      </w:r>
      <w:bookmarkEnd w:id="178"/>
      <w:r w:rsidR="00D4164E">
        <w:rPr>
          <w:lang w:val="en-US"/>
        </w:rPr>
        <w:t>.</w:t>
      </w:r>
      <w:r w:rsidRPr="00F827DD">
        <w:t xml:space="preserve"> </w:t>
      </w:r>
    </w:p>
    <w:p w14:paraId="38A42644" w14:textId="77777777" w:rsidR="00F827DD" w:rsidRPr="00F827DD" w:rsidRDefault="00F827DD" w:rsidP="00873384">
      <w:pPr>
        <w:suppressAutoHyphens/>
        <w:spacing w:after="120" w:line="240" w:lineRule="auto"/>
        <w:jc w:val="both"/>
        <w:rPr>
          <w:rFonts w:ascii="Times New Roman" w:hAnsi="Times New Roman"/>
          <w:kern w:val="22"/>
          <w:shd w:val="clear" w:color="auto" w:fill="00FF00"/>
        </w:rPr>
      </w:pPr>
      <w:r w:rsidRPr="00F827DD">
        <w:rPr>
          <w:rFonts w:ascii="Times New Roman" w:hAnsi="Times New Roman"/>
          <w:kern w:val="22"/>
        </w:rPr>
        <w:t xml:space="preserve">A sanitary measure under the OIE means a measure, such as those described in various chapters of the Terrestrial Code, destined to protect animal or human health or life within the territory of the Member Country from risks arising from the entry, establishment and/or spread of a hazard. A hazard is defined in the Terrestrial Code as a biological, chemical or physical agent in, or a condition of, an animal or animal product with the potential to cause an adverse health effect. </w:t>
      </w:r>
    </w:p>
    <w:p w14:paraId="0C5CD82C" w14:textId="77777777" w:rsidR="00F827DD" w:rsidRPr="00F827DD" w:rsidRDefault="00F827DD" w:rsidP="00873384">
      <w:pPr>
        <w:suppressAutoHyphens/>
        <w:spacing w:after="120" w:line="240" w:lineRule="auto"/>
        <w:jc w:val="both"/>
        <w:rPr>
          <w:rFonts w:ascii="Times New Roman" w:hAnsi="Times New Roman"/>
          <w:kern w:val="22"/>
        </w:rPr>
      </w:pPr>
      <w:r w:rsidRPr="00F827DD">
        <w:rPr>
          <w:rFonts w:ascii="Times New Roman" w:hAnsi="Times New Roman"/>
          <w:kern w:val="22"/>
        </w:rPr>
        <w:t>As this definition is quite broad, components, organisms and products resulting from synthetic biology techniques could potentially fall thereunder. As mentioned previously, although current applications of synthetic biology are mostly in micro-organisms, synthetic biology research in mammalian and other eukaryotic cells is making rapid progress. OIE standards may be relevant to synthetic biology techniques both in terms of synthetic biology helping to develop vaccines and therapies for animal diseases and in terms of possibly producing adverse health effects.</w:t>
      </w:r>
    </w:p>
    <w:p w14:paraId="60DDBED0" w14:textId="111F87AB" w:rsidR="00F827DD" w:rsidRPr="00F827DD" w:rsidRDefault="004B56A7" w:rsidP="004B56A7">
      <w:pPr>
        <w:pStyle w:val="Heading5"/>
        <w:tabs>
          <w:tab w:val="clear" w:pos="1800"/>
        </w:tabs>
        <w:ind w:left="284" w:hanging="284"/>
        <w:rPr>
          <w:shd w:val="clear" w:color="auto" w:fill="FFFFFF"/>
        </w:rPr>
      </w:pPr>
      <w:r>
        <w:rPr>
          <w:i w:val="0"/>
          <w:iCs/>
          <w:shd w:val="clear" w:color="auto" w:fill="FFFFFF"/>
        </w:rPr>
        <w:t>(d)</w:t>
      </w:r>
      <w:r>
        <w:rPr>
          <w:shd w:val="clear" w:color="auto" w:fill="FFFFFF"/>
        </w:rPr>
        <w:t xml:space="preserve"> </w:t>
      </w:r>
      <w:r w:rsidR="00F827DD" w:rsidRPr="00F827DD">
        <w:rPr>
          <w:shd w:val="clear" w:color="auto" w:fill="FFFFFF"/>
        </w:rPr>
        <w:t>Codex Alimentarius</w:t>
      </w:r>
      <w:r w:rsidR="00D4164E">
        <w:rPr>
          <w:shd w:val="clear" w:color="auto" w:fill="FFFFFF"/>
        </w:rPr>
        <w:t>.</w:t>
      </w:r>
    </w:p>
    <w:p w14:paraId="35EE1F8F" w14:textId="16539143" w:rsidR="00F827DD" w:rsidRPr="00F827DD" w:rsidRDefault="00F827DD" w:rsidP="00F827DD">
      <w:pPr>
        <w:suppressAutoHyphens/>
        <w:spacing w:after="120" w:line="240" w:lineRule="auto"/>
        <w:jc w:val="both"/>
        <w:rPr>
          <w:rFonts w:ascii="Times New Roman" w:hAnsi="Times New Roman"/>
          <w:kern w:val="22"/>
          <w:lang w:eastAsia="hi-IN" w:bidi="hi-IN"/>
        </w:rPr>
      </w:pPr>
      <w:r w:rsidRPr="00F827DD">
        <w:rPr>
          <w:rFonts w:ascii="Times New Roman" w:hAnsi="Times New Roman"/>
          <w:kern w:val="22"/>
          <w:lang w:eastAsia="hi-IN" w:bidi="hi-IN"/>
        </w:rPr>
        <w:t>The Codex Alimentarius Commission is a joint initiative of the Food and Agriculture Organization (FAO) and the World Health Organization (WHO) that was set up to establish international standards on foods</w:t>
      </w:r>
      <w:r w:rsidRPr="00F827DD">
        <w:rPr>
          <w:rFonts w:ascii="Times New Roman" w:hAnsi="Times New Roman"/>
          <w:kern w:val="22"/>
          <w:vertAlign w:val="superscript"/>
          <w:lang w:eastAsia="hi-IN" w:bidi="hi-IN"/>
        </w:rPr>
        <w:footnoteReference w:id="103"/>
      </w:r>
      <w:r w:rsidR="00D4164E">
        <w:rPr>
          <w:rFonts w:ascii="Times New Roman" w:hAnsi="Times New Roman"/>
          <w:kern w:val="22"/>
          <w:lang w:eastAsia="hi-IN" w:bidi="hi-IN"/>
        </w:rPr>
        <w:t>.</w:t>
      </w:r>
    </w:p>
    <w:p w14:paraId="0B3D7D4E" w14:textId="77777777" w:rsidR="00F827DD" w:rsidRPr="00F827DD" w:rsidRDefault="00F827DD" w:rsidP="00F827DD">
      <w:pPr>
        <w:suppressAutoHyphens/>
        <w:spacing w:after="120" w:line="240" w:lineRule="auto"/>
        <w:jc w:val="both"/>
        <w:rPr>
          <w:rFonts w:ascii="Times New Roman" w:hAnsi="Times New Roman"/>
          <w:kern w:val="22"/>
          <w:lang w:eastAsia="hi-IN" w:bidi="hi-IN"/>
        </w:rPr>
      </w:pPr>
      <w:r w:rsidRPr="00F827DD">
        <w:rPr>
          <w:rFonts w:ascii="Times New Roman" w:hAnsi="Times New Roman"/>
          <w:kern w:val="22"/>
          <w:lang w:eastAsia="hi-IN" w:bidi="hi-IN"/>
        </w:rPr>
        <w:t xml:space="preserve">The Codex Alimentarius is a collection of internationally adopted food standards presented in a uniform manner. These are developed in order to attempt to ensure that products meet internationally accepted minimum quality levels, are safe, and do not present a health hazard. Standards are prescribed for individual foods and food groups, and general standards have also been adopted. In addition to specific standards, the Codex also includes “related texts”. Related texts include advisory instruments: statements of principle, codes of practice, guidelines and codes of technological practice. Some of these instruments apply to food and food products that have been derived from synthetic biology techniques. </w:t>
      </w:r>
    </w:p>
    <w:p w14:paraId="50FCD055" w14:textId="6C7B9A82" w:rsidR="00F827DD" w:rsidRPr="00F827DD" w:rsidRDefault="00F827DD" w:rsidP="00F827DD">
      <w:pPr>
        <w:suppressAutoHyphens/>
        <w:spacing w:after="120" w:line="240" w:lineRule="auto"/>
        <w:jc w:val="both"/>
        <w:rPr>
          <w:rFonts w:ascii="Times New Roman" w:hAnsi="Times New Roman"/>
          <w:kern w:val="22"/>
          <w:lang w:eastAsia="hi-IN" w:bidi="hi-IN"/>
        </w:rPr>
      </w:pPr>
      <w:r w:rsidRPr="00F827DD">
        <w:rPr>
          <w:rFonts w:ascii="Times New Roman" w:hAnsi="Times New Roman"/>
          <w:kern w:val="22"/>
        </w:rPr>
        <w:t>Standards</w:t>
      </w:r>
      <w:r w:rsidRPr="00F827DD">
        <w:rPr>
          <w:rFonts w:ascii="Times New Roman" w:hAnsi="Times New Roman"/>
          <w:kern w:val="22"/>
          <w:lang w:eastAsia="hi-IN" w:bidi="hi-IN"/>
        </w:rPr>
        <w:t xml:space="preserve"> adopted by the Codex Alimentarius Commission are not legally binding on Codex member States. Countries and </w:t>
      </w:r>
      <w:r w:rsidR="0098448E" w:rsidRPr="00F827DD">
        <w:rPr>
          <w:rFonts w:ascii="Times New Roman" w:hAnsi="Times New Roman"/>
          <w:kern w:val="22"/>
          <w:lang w:eastAsia="hi-IN" w:bidi="hi-IN"/>
        </w:rPr>
        <w:t>organi</w:t>
      </w:r>
      <w:r w:rsidR="0098448E">
        <w:rPr>
          <w:rFonts w:ascii="Times New Roman" w:hAnsi="Times New Roman"/>
          <w:kern w:val="22"/>
          <w:lang w:eastAsia="hi-IN" w:bidi="hi-IN"/>
        </w:rPr>
        <w:t>s</w:t>
      </w:r>
      <w:r w:rsidR="0098448E" w:rsidRPr="00F827DD">
        <w:rPr>
          <w:rFonts w:ascii="Times New Roman" w:hAnsi="Times New Roman"/>
          <w:kern w:val="22"/>
          <w:lang w:eastAsia="hi-IN" w:bidi="hi-IN"/>
        </w:rPr>
        <w:t xml:space="preserve">ations </w:t>
      </w:r>
      <w:r w:rsidRPr="00F827DD">
        <w:rPr>
          <w:rFonts w:ascii="Times New Roman" w:hAnsi="Times New Roman"/>
          <w:kern w:val="22"/>
          <w:lang w:eastAsia="hi-IN" w:bidi="hi-IN"/>
        </w:rPr>
        <w:t xml:space="preserve">that are members of the World Trade Organization (WTO), however, have a general obligation under the SPS Agreement to base their sanitary or phytosanitary measures on international standards, guidelines or recommendations, where they exist, for the purpose of </w:t>
      </w:r>
      <w:r w:rsidR="0098448E" w:rsidRPr="00F827DD">
        <w:rPr>
          <w:rFonts w:ascii="Times New Roman" w:hAnsi="Times New Roman"/>
          <w:kern w:val="22"/>
          <w:lang w:eastAsia="hi-IN" w:bidi="hi-IN"/>
        </w:rPr>
        <w:t>harmoni</w:t>
      </w:r>
      <w:r w:rsidR="0098448E">
        <w:rPr>
          <w:rFonts w:ascii="Times New Roman" w:hAnsi="Times New Roman"/>
          <w:kern w:val="22"/>
          <w:lang w:eastAsia="hi-IN" w:bidi="hi-IN"/>
        </w:rPr>
        <w:t>s</w:t>
      </w:r>
      <w:r w:rsidR="0098448E" w:rsidRPr="00F827DD">
        <w:rPr>
          <w:rFonts w:ascii="Times New Roman" w:hAnsi="Times New Roman"/>
          <w:kern w:val="22"/>
          <w:lang w:eastAsia="hi-IN" w:bidi="hi-IN"/>
        </w:rPr>
        <w:t xml:space="preserve">ing </w:t>
      </w:r>
      <w:r w:rsidRPr="00F827DD">
        <w:rPr>
          <w:rFonts w:ascii="Times New Roman" w:hAnsi="Times New Roman"/>
          <w:kern w:val="22"/>
          <w:lang w:eastAsia="hi-IN" w:bidi="hi-IN"/>
        </w:rPr>
        <w:t xml:space="preserve">these measures on as wide a basis as possible (Article 3, paragraph 1 SPS Agreement). Annex A to the SPS Agreement defines the term ‘international standards, guidelines and recommendations’ to mean, in the context of food safety, the standards, guidelines and recommendations established by the Codex Alimentarius Commission (paragraph 3(a)). </w:t>
      </w:r>
    </w:p>
    <w:p w14:paraId="0DD13329" w14:textId="5CE36DF4" w:rsidR="00F827DD" w:rsidRPr="00F827DD" w:rsidRDefault="00F827DD" w:rsidP="00F827DD">
      <w:pPr>
        <w:suppressAutoHyphens/>
        <w:spacing w:after="120" w:line="240" w:lineRule="auto"/>
        <w:jc w:val="both"/>
        <w:rPr>
          <w:rFonts w:ascii="Times New Roman" w:hAnsi="Times New Roman"/>
          <w:kern w:val="22"/>
          <w:lang w:eastAsia="hi-IN" w:bidi="hi-IN"/>
        </w:rPr>
      </w:pPr>
      <w:r w:rsidRPr="00F827DD">
        <w:rPr>
          <w:rFonts w:ascii="Times New Roman" w:hAnsi="Times New Roman"/>
          <w:kern w:val="22"/>
          <w:lang w:eastAsia="hi-IN" w:bidi="hi-IN"/>
        </w:rPr>
        <w:t>Documents relevant to components, organisms and products resulting from synthetic biology include, for example</w:t>
      </w:r>
      <w:r w:rsidRPr="00F827DD">
        <w:rPr>
          <w:rFonts w:ascii="Times New Roman" w:hAnsi="Times New Roman"/>
          <w:kern w:val="22"/>
          <w:vertAlign w:val="superscript"/>
          <w:lang w:eastAsia="hi-IN" w:bidi="hi-IN"/>
        </w:rPr>
        <w:footnoteReference w:id="104"/>
      </w:r>
      <w:r w:rsidR="0098448E">
        <w:rPr>
          <w:rFonts w:ascii="Times New Roman" w:hAnsi="Times New Roman"/>
          <w:kern w:val="22"/>
          <w:lang w:eastAsia="hi-IN" w:bidi="hi-IN"/>
        </w:rPr>
        <w:t>:</w:t>
      </w:r>
      <w:r w:rsidRPr="00F827DD">
        <w:rPr>
          <w:rFonts w:ascii="Times New Roman" w:hAnsi="Times New Roman"/>
          <w:kern w:val="22"/>
          <w:lang w:eastAsia="hi-IN" w:bidi="hi-IN"/>
        </w:rPr>
        <w:t xml:space="preserve"> </w:t>
      </w:r>
    </w:p>
    <w:p w14:paraId="2DA45D0D" w14:textId="77777777" w:rsidR="00F827DD" w:rsidRPr="00F827DD" w:rsidRDefault="00F827DD" w:rsidP="00F83C14">
      <w:pPr>
        <w:numPr>
          <w:ilvl w:val="0"/>
          <w:numId w:val="46"/>
        </w:numPr>
        <w:suppressAutoHyphens/>
        <w:spacing w:after="60" w:line="240" w:lineRule="auto"/>
        <w:ind w:left="284" w:hanging="283"/>
        <w:jc w:val="both"/>
        <w:rPr>
          <w:rFonts w:ascii="Times New Roman" w:eastAsia="SimSun" w:hAnsi="Times New Roman"/>
          <w:kern w:val="22"/>
        </w:rPr>
      </w:pPr>
      <w:r w:rsidRPr="00F827DD">
        <w:rPr>
          <w:rFonts w:ascii="Times New Roman" w:eastAsia="SimSun" w:hAnsi="Times New Roman"/>
          <w:kern w:val="22"/>
        </w:rPr>
        <w:t>Principles for the Risk Analysis of Foods Derived from Modern Biotechnology (2011);</w:t>
      </w:r>
    </w:p>
    <w:p w14:paraId="15927532" w14:textId="40A702D9" w:rsidR="00F827DD" w:rsidRPr="00F827DD" w:rsidRDefault="00F827DD" w:rsidP="00F83C14">
      <w:pPr>
        <w:numPr>
          <w:ilvl w:val="0"/>
          <w:numId w:val="46"/>
        </w:numPr>
        <w:suppressAutoHyphens/>
        <w:spacing w:after="60" w:line="240" w:lineRule="auto"/>
        <w:ind w:left="284" w:hanging="283"/>
        <w:jc w:val="both"/>
        <w:rPr>
          <w:rFonts w:ascii="Times New Roman" w:eastAsia="SimSun" w:hAnsi="Times New Roman"/>
          <w:kern w:val="22"/>
        </w:rPr>
      </w:pPr>
      <w:r w:rsidRPr="00F827DD">
        <w:rPr>
          <w:rFonts w:ascii="Times New Roman" w:eastAsia="SimSun" w:hAnsi="Times New Roman"/>
          <w:kern w:val="22"/>
        </w:rPr>
        <w:t>Compilation of Codex texts relevant to the labelling of foods derived from modern biotechnology (2011)</w:t>
      </w:r>
      <w:r w:rsidR="0098448E">
        <w:rPr>
          <w:rFonts w:ascii="Times New Roman" w:eastAsia="SimSun" w:hAnsi="Times New Roman"/>
          <w:kern w:val="22"/>
        </w:rPr>
        <w:t>;</w:t>
      </w:r>
    </w:p>
    <w:p w14:paraId="2EA6BEDB" w14:textId="62251333" w:rsidR="00F827DD" w:rsidRPr="00F827DD" w:rsidRDefault="00F827DD" w:rsidP="00F83C14">
      <w:pPr>
        <w:numPr>
          <w:ilvl w:val="0"/>
          <w:numId w:val="46"/>
        </w:numPr>
        <w:suppressAutoHyphens/>
        <w:spacing w:after="60" w:line="240" w:lineRule="auto"/>
        <w:ind w:left="284" w:hanging="283"/>
        <w:jc w:val="both"/>
        <w:rPr>
          <w:rFonts w:ascii="Times New Roman" w:eastAsia="SimSun" w:hAnsi="Times New Roman"/>
          <w:kern w:val="22"/>
        </w:rPr>
      </w:pPr>
      <w:r w:rsidRPr="00F827DD">
        <w:rPr>
          <w:rFonts w:ascii="Times New Roman" w:eastAsia="SimSun" w:hAnsi="Times New Roman"/>
          <w:kern w:val="22"/>
        </w:rPr>
        <w:t>Guideline for the Conduct of Food Safety Assessment of Foods Derived from Recombinant-DNA Plants” (2008) and its annex on Food Safety Assessment of Foods Derived from Recombinant-DNA Plants Modified for Nutritional or Health Benefits</w:t>
      </w:r>
      <w:r w:rsidR="0098448E">
        <w:rPr>
          <w:rFonts w:ascii="Times New Roman" w:eastAsia="SimSun" w:hAnsi="Times New Roman"/>
          <w:kern w:val="22"/>
        </w:rPr>
        <w:t>;</w:t>
      </w:r>
    </w:p>
    <w:p w14:paraId="4DF49A2B" w14:textId="4E93E772" w:rsidR="00F827DD" w:rsidRPr="00F827DD" w:rsidRDefault="00F827DD" w:rsidP="00F83C14">
      <w:pPr>
        <w:numPr>
          <w:ilvl w:val="0"/>
          <w:numId w:val="46"/>
        </w:numPr>
        <w:spacing w:after="0"/>
        <w:ind w:left="284"/>
        <w:contextualSpacing/>
        <w:rPr>
          <w:rFonts w:ascii="Times New Roman" w:eastAsia="SimSun" w:hAnsi="Times New Roman"/>
          <w:kern w:val="22"/>
        </w:rPr>
      </w:pPr>
      <w:r w:rsidRPr="00F827DD">
        <w:rPr>
          <w:rFonts w:ascii="Times New Roman" w:eastAsia="SimSun" w:hAnsi="Times New Roman"/>
          <w:kern w:val="22"/>
        </w:rPr>
        <w:t>Guideline for the Conduct of Food Safety Assessment of Foods Produced using Recombinant-DNA Microorganisms (2003)</w:t>
      </w:r>
      <w:r w:rsidR="0098448E">
        <w:rPr>
          <w:rFonts w:ascii="Times New Roman" w:eastAsia="SimSun" w:hAnsi="Times New Roman"/>
          <w:kern w:val="22"/>
        </w:rPr>
        <w:t>;</w:t>
      </w:r>
    </w:p>
    <w:p w14:paraId="3BCB4FD1" w14:textId="12995552" w:rsidR="00F827DD" w:rsidRPr="00F827DD" w:rsidRDefault="00F827DD" w:rsidP="00F83C14">
      <w:pPr>
        <w:numPr>
          <w:ilvl w:val="0"/>
          <w:numId w:val="46"/>
        </w:numPr>
        <w:suppressAutoHyphens/>
        <w:spacing w:after="60" w:line="240" w:lineRule="auto"/>
        <w:ind w:left="284" w:hanging="283"/>
        <w:jc w:val="both"/>
        <w:rPr>
          <w:rFonts w:ascii="Times New Roman" w:eastAsia="SimSun" w:hAnsi="Times New Roman"/>
          <w:kern w:val="22"/>
        </w:rPr>
      </w:pPr>
      <w:r w:rsidRPr="00F827DD">
        <w:rPr>
          <w:rFonts w:ascii="Times New Roman" w:eastAsia="SimSun" w:hAnsi="Times New Roman"/>
          <w:kern w:val="22"/>
        </w:rPr>
        <w:t>Guideline for the Conduct of Food Safety Assessment of Foods Derived from Recombinant-DNA Animals (2008)</w:t>
      </w:r>
      <w:r w:rsidR="009E0528">
        <w:rPr>
          <w:rFonts w:ascii="Times New Roman" w:eastAsia="SimSun" w:hAnsi="Times New Roman"/>
          <w:kern w:val="22"/>
        </w:rPr>
        <w:t>.</w:t>
      </w:r>
    </w:p>
    <w:p w14:paraId="073543BD" w14:textId="78DF653A" w:rsidR="00F827DD" w:rsidRPr="00F827DD" w:rsidRDefault="00F827DD" w:rsidP="00F827DD">
      <w:pPr>
        <w:suppressAutoHyphens/>
        <w:spacing w:after="120" w:line="240" w:lineRule="auto"/>
        <w:jc w:val="both"/>
        <w:rPr>
          <w:rFonts w:ascii="Times New Roman" w:hAnsi="Times New Roman"/>
          <w:kern w:val="22"/>
          <w:lang w:eastAsia="hi-IN" w:bidi="hi-IN"/>
        </w:rPr>
      </w:pPr>
      <w:r w:rsidRPr="00F827DD">
        <w:rPr>
          <w:rFonts w:ascii="Times New Roman" w:hAnsi="Times New Roman"/>
          <w:kern w:val="22"/>
          <w:lang w:eastAsia="hi-IN" w:bidi="hi-IN"/>
        </w:rPr>
        <w:t xml:space="preserve">These standards may apply if components, organisms and products resulting from synthetic biology are used as foods. The term “modern biotechnology” has the same definition under the Codex Alimentarius and the Cartagena Protocol. For an analysis see therefore sections </w:t>
      </w:r>
      <w:r w:rsidR="00173380">
        <w:rPr>
          <w:rFonts w:ascii="Times New Roman" w:hAnsi="Times New Roman"/>
          <w:kern w:val="22"/>
          <w:lang w:eastAsia="hi-IN" w:bidi="hi-IN"/>
        </w:rPr>
        <w:t>8.2</w:t>
      </w:r>
      <w:r w:rsidRPr="00F827DD">
        <w:rPr>
          <w:rFonts w:ascii="Times New Roman" w:hAnsi="Times New Roman"/>
          <w:kern w:val="22"/>
          <w:lang w:eastAsia="hi-IN" w:bidi="hi-IN"/>
        </w:rPr>
        <w:t xml:space="preserve"> and </w:t>
      </w:r>
      <w:r w:rsidR="008E6E25">
        <w:rPr>
          <w:rFonts w:ascii="Times New Roman" w:hAnsi="Times New Roman"/>
          <w:kern w:val="22"/>
          <w:lang w:eastAsia="hi-IN" w:bidi="hi-IN"/>
        </w:rPr>
        <w:t>9.4.2(e)</w:t>
      </w:r>
      <w:r w:rsidRPr="00F827DD">
        <w:rPr>
          <w:rFonts w:ascii="Times New Roman" w:hAnsi="Times New Roman"/>
          <w:kern w:val="22"/>
          <w:lang w:eastAsia="hi-IN" w:bidi="hi-IN"/>
        </w:rPr>
        <w:t xml:space="preserve"> above. </w:t>
      </w:r>
    </w:p>
    <w:p w14:paraId="3994BAF0" w14:textId="5961681D" w:rsidR="001B7F0E" w:rsidRPr="001B7F0E" w:rsidRDefault="001B7F0E" w:rsidP="00B84294">
      <w:pPr>
        <w:suppressAutoHyphens/>
        <w:spacing w:after="120" w:line="240" w:lineRule="auto"/>
        <w:jc w:val="center"/>
        <w:rPr>
          <w:rFonts w:ascii="Times New Roman" w:hAnsi="Times New Roman"/>
          <w:b/>
          <w:kern w:val="22"/>
          <w:lang w:eastAsia="hi-IN" w:bidi="hi-IN"/>
        </w:rPr>
      </w:pPr>
      <w:r w:rsidRPr="001B7F0E">
        <w:rPr>
          <w:rFonts w:ascii="Times New Roman" w:hAnsi="Times New Roman"/>
          <w:b/>
          <w:kern w:val="22"/>
          <w:lang w:eastAsia="hi-IN" w:bidi="hi-IN"/>
        </w:rPr>
        <w:t>F.  OBSERVATIONS, ANALYSES AND CONCLUSIONS</w:t>
      </w:r>
      <w:r w:rsidR="00E71205">
        <w:rPr>
          <w:rFonts w:ascii="Times New Roman" w:hAnsi="Times New Roman"/>
          <w:b/>
          <w:kern w:val="22"/>
          <w:lang w:eastAsia="hi-IN" w:bidi="hi-IN"/>
        </w:rPr>
        <w:t>.</w:t>
      </w:r>
    </w:p>
    <w:p w14:paraId="268BEC36" w14:textId="16B43F7C" w:rsidR="001538BE" w:rsidRDefault="001538BE" w:rsidP="001B7F0E">
      <w:pPr>
        <w:suppressAutoHyphens/>
        <w:spacing w:after="120" w:line="240" w:lineRule="auto"/>
        <w:jc w:val="both"/>
        <w:rPr>
          <w:rFonts w:ascii="Times New Roman" w:hAnsi="Times New Roman"/>
          <w:bCs/>
          <w:kern w:val="22"/>
          <w:lang w:eastAsia="hi-IN" w:bidi="hi-IN"/>
        </w:rPr>
      </w:pPr>
      <w:r w:rsidRPr="001538BE">
        <w:rPr>
          <w:rFonts w:ascii="Times New Roman" w:hAnsi="Times New Roman"/>
          <w:bCs/>
          <w:kern w:val="22"/>
          <w:lang w:eastAsia="hi-IN" w:bidi="hi-IN"/>
        </w:rPr>
        <w:t xml:space="preserve">In this Section, we draw on the international landscape mapping </w:t>
      </w:r>
      <w:r w:rsidR="005F7266">
        <w:rPr>
          <w:rFonts w:ascii="Times New Roman" w:hAnsi="Times New Roman"/>
          <w:bCs/>
          <w:kern w:val="22"/>
          <w:lang w:eastAsia="hi-IN" w:bidi="hi-IN"/>
        </w:rPr>
        <w:t xml:space="preserve">presented </w:t>
      </w:r>
      <w:r w:rsidR="00003591">
        <w:rPr>
          <w:rFonts w:ascii="Times New Roman" w:hAnsi="Times New Roman"/>
          <w:bCs/>
          <w:kern w:val="22"/>
          <w:lang w:eastAsia="hi-IN" w:bidi="hi-IN"/>
        </w:rPr>
        <w:t>i</w:t>
      </w:r>
      <w:r w:rsidR="005F7266">
        <w:rPr>
          <w:rFonts w:ascii="Times New Roman" w:hAnsi="Times New Roman"/>
          <w:bCs/>
          <w:kern w:val="22"/>
          <w:lang w:eastAsia="hi-IN" w:bidi="hi-IN"/>
        </w:rPr>
        <w:t xml:space="preserve">n previous </w:t>
      </w:r>
      <w:r w:rsidR="00003591">
        <w:rPr>
          <w:rFonts w:ascii="Times New Roman" w:hAnsi="Times New Roman"/>
          <w:bCs/>
          <w:kern w:val="22"/>
          <w:lang w:eastAsia="hi-IN" w:bidi="hi-IN"/>
        </w:rPr>
        <w:t>S</w:t>
      </w:r>
      <w:r w:rsidRPr="001538BE">
        <w:rPr>
          <w:rFonts w:ascii="Times New Roman" w:hAnsi="Times New Roman"/>
          <w:bCs/>
          <w:kern w:val="22"/>
          <w:lang w:eastAsia="hi-IN" w:bidi="hi-IN"/>
        </w:rPr>
        <w:t xml:space="preserve">ections </w:t>
      </w:r>
      <w:r w:rsidR="005F7266">
        <w:rPr>
          <w:rFonts w:ascii="Times New Roman" w:hAnsi="Times New Roman"/>
          <w:bCs/>
          <w:kern w:val="22"/>
          <w:lang w:eastAsia="hi-IN" w:bidi="hi-IN"/>
        </w:rPr>
        <w:t>(</w:t>
      </w:r>
      <w:r w:rsidRPr="001538BE">
        <w:rPr>
          <w:rFonts w:ascii="Times New Roman" w:hAnsi="Times New Roman"/>
          <w:bCs/>
          <w:kern w:val="22"/>
          <w:lang w:eastAsia="hi-IN" w:bidi="hi-IN"/>
        </w:rPr>
        <w:t>8</w:t>
      </w:r>
      <w:r w:rsidR="00003591">
        <w:rPr>
          <w:rFonts w:ascii="Times New Roman" w:hAnsi="Times New Roman"/>
          <w:bCs/>
          <w:kern w:val="22"/>
          <w:lang w:eastAsia="hi-IN" w:bidi="hi-IN"/>
        </w:rPr>
        <w:t>.</w:t>
      </w:r>
      <w:r w:rsidRPr="001538BE">
        <w:rPr>
          <w:rFonts w:ascii="Times New Roman" w:hAnsi="Times New Roman"/>
          <w:bCs/>
          <w:kern w:val="22"/>
          <w:lang w:eastAsia="hi-IN" w:bidi="hi-IN"/>
        </w:rPr>
        <w:t xml:space="preserve"> and 9</w:t>
      </w:r>
      <w:r w:rsidR="00003591">
        <w:rPr>
          <w:rFonts w:ascii="Times New Roman" w:hAnsi="Times New Roman"/>
          <w:bCs/>
          <w:kern w:val="22"/>
          <w:lang w:eastAsia="hi-IN" w:bidi="hi-IN"/>
        </w:rPr>
        <w:t>.</w:t>
      </w:r>
      <w:r w:rsidR="005F7266">
        <w:rPr>
          <w:rFonts w:ascii="Times New Roman" w:hAnsi="Times New Roman"/>
          <w:bCs/>
          <w:kern w:val="22"/>
          <w:lang w:eastAsia="hi-IN" w:bidi="hi-IN"/>
        </w:rPr>
        <w:t xml:space="preserve">) </w:t>
      </w:r>
      <w:r w:rsidRPr="001538BE">
        <w:rPr>
          <w:rFonts w:ascii="Times New Roman" w:hAnsi="Times New Roman"/>
          <w:bCs/>
          <w:kern w:val="22"/>
          <w:lang w:eastAsia="hi-IN" w:bidi="hi-IN"/>
        </w:rPr>
        <w:t xml:space="preserve">in order to highlight apparent gaps and overlaps </w:t>
      </w:r>
      <w:r w:rsidR="00CC78D3">
        <w:rPr>
          <w:rFonts w:ascii="Times New Roman" w:hAnsi="Times New Roman"/>
          <w:bCs/>
          <w:kern w:val="22"/>
          <w:lang w:eastAsia="hi-IN" w:bidi="hi-IN"/>
        </w:rPr>
        <w:t xml:space="preserve">associated to the </w:t>
      </w:r>
      <w:r w:rsidRPr="001538BE">
        <w:rPr>
          <w:rFonts w:ascii="Times New Roman" w:hAnsi="Times New Roman"/>
          <w:bCs/>
          <w:kern w:val="22"/>
          <w:lang w:eastAsia="hi-IN" w:bidi="hi-IN"/>
        </w:rPr>
        <w:t>l governance of synthetic biology</w:t>
      </w:r>
      <w:r w:rsidR="00565ED0">
        <w:rPr>
          <w:rFonts w:ascii="Times New Roman" w:hAnsi="Times New Roman"/>
          <w:bCs/>
          <w:kern w:val="22"/>
          <w:lang w:eastAsia="hi-IN" w:bidi="hi-IN"/>
        </w:rPr>
        <w:t xml:space="preserve">. </w:t>
      </w:r>
      <w:r w:rsidR="00CC78D3">
        <w:rPr>
          <w:rFonts w:ascii="Times New Roman" w:hAnsi="Times New Roman"/>
          <w:bCs/>
          <w:kern w:val="22"/>
          <w:lang w:eastAsia="hi-IN" w:bidi="hi-IN"/>
        </w:rPr>
        <w:t>P</w:t>
      </w:r>
      <w:r w:rsidR="00565ED0">
        <w:rPr>
          <w:rFonts w:ascii="Times New Roman" w:hAnsi="Times New Roman"/>
          <w:bCs/>
          <w:kern w:val="22"/>
          <w:lang w:eastAsia="hi-IN" w:bidi="hi-IN"/>
        </w:rPr>
        <w:t>otential challenges</w:t>
      </w:r>
      <w:r w:rsidR="00CC78D3">
        <w:rPr>
          <w:rFonts w:ascii="Times New Roman" w:hAnsi="Times New Roman"/>
          <w:bCs/>
          <w:kern w:val="22"/>
          <w:lang w:eastAsia="hi-IN" w:bidi="hi-IN"/>
        </w:rPr>
        <w:t xml:space="preserve"> and opportunities for synergies and cooperation</w:t>
      </w:r>
      <w:r w:rsidR="00565ED0">
        <w:rPr>
          <w:rFonts w:ascii="Times New Roman" w:hAnsi="Times New Roman"/>
          <w:bCs/>
          <w:kern w:val="22"/>
          <w:lang w:eastAsia="hi-IN" w:bidi="hi-IN"/>
        </w:rPr>
        <w:t xml:space="preserve"> associated to</w:t>
      </w:r>
      <w:r w:rsidR="00103E1D">
        <w:rPr>
          <w:rFonts w:ascii="Times New Roman" w:hAnsi="Times New Roman"/>
          <w:bCs/>
          <w:kern w:val="22"/>
          <w:lang w:eastAsia="hi-IN" w:bidi="hi-IN"/>
        </w:rPr>
        <w:t xml:space="preserve"> this scenario are</w:t>
      </w:r>
      <w:r w:rsidR="004034BA">
        <w:rPr>
          <w:rFonts w:ascii="Times New Roman" w:hAnsi="Times New Roman"/>
          <w:bCs/>
          <w:kern w:val="22"/>
          <w:lang w:eastAsia="hi-IN" w:bidi="hi-IN"/>
        </w:rPr>
        <w:t xml:space="preserve"> also</w:t>
      </w:r>
      <w:r w:rsidR="00103E1D">
        <w:rPr>
          <w:rFonts w:ascii="Times New Roman" w:hAnsi="Times New Roman"/>
          <w:bCs/>
          <w:kern w:val="22"/>
          <w:lang w:eastAsia="hi-IN" w:bidi="hi-IN"/>
        </w:rPr>
        <w:t xml:space="preserve"> discussed.</w:t>
      </w:r>
    </w:p>
    <w:p w14:paraId="6E35A0C9" w14:textId="72759467" w:rsidR="005F7855" w:rsidRDefault="005F7855" w:rsidP="001B7F0E">
      <w:pPr>
        <w:suppressAutoHyphens/>
        <w:spacing w:after="120" w:line="240" w:lineRule="auto"/>
        <w:jc w:val="both"/>
        <w:rPr>
          <w:rFonts w:ascii="Times New Roman" w:hAnsi="Times New Roman"/>
          <w:kern w:val="22"/>
          <w:lang w:eastAsia="hi-IN" w:bidi="hi-IN"/>
        </w:rPr>
      </w:pPr>
      <w:r w:rsidRPr="46572D22">
        <w:rPr>
          <w:rFonts w:ascii="Times New Roman" w:hAnsi="Times New Roman"/>
          <w:lang w:eastAsia="hi-IN" w:bidi="hi-IN"/>
        </w:rPr>
        <w:t xml:space="preserve">It is also worth noting that when </w:t>
      </w:r>
      <w:r w:rsidR="00E100AA" w:rsidRPr="46572D22">
        <w:rPr>
          <w:rFonts w:ascii="Times New Roman" w:hAnsi="Times New Roman"/>
          <w:lang w:eastAsia="hi-IN" w:bidi="hi-IN"/>
        </w:rPr>
        <w:t>doing an analysis of potential gaps and</w:t>
      </w:r>
      <w:r w:rsidR="007130B8" w:rsidRPr="46572D22">
        <w:rPr>
          <w:rFonts w:ascii="Times New Roman" w:hAnsi="Times New Roman"/>
          <w:lang w:eastAsia="hi-IN" w:bidi="hi-IN"/>
        </w:rPr>
        <w:t xml:space="preserve"> over</w:t>
      </w:r>
      <w:r w:rsidR="00266160" w:rsidRPr="46572D22">
        <w:rPr>
          <w:rFonts w:ascii="Times New Roman" w:hAnsi="Times New Roman"/>
          <w:lang w:eastAsia="hi-IN" w:bidi="hi-IN"/>
        </w:rPr>
        <w:t xml:space="preserve">laps associated with the </w:t>
      </w:r>
      <w:r w:rsidR="00FA268F" w:rsidRPr="46572D22">
        <w:rPr>
          <w:rFonts w:ascii="Times New Roman" w:hAnsi="Times New Roman"/>
          <w:lang w:eastAsia="hi-IN" w:bidi="hi-IN"/>
        </w:rPr>
        <w:t xml:space="preserve">governance of synthetic biology, it is recognised that </w:t>
      </w:r>
      <w:r w:rsidR="009C0F03" w:rsidRPr="46572D22">
        <w:rPr>
          <w:rFonts w:ascii="Times New Roman" w:hAnsi="Times New Roman"/>
          <w:lang w:eastAsia="hi-IN" w:bidi="hi-IN"/>
        </w:rPr>
        <w:t>the wi</w:t>
      </w:r>
      <w:r w:rsidR="23ED28A0" w:rsidRPr="46572D22">
        <w:rPr>
          <w:rFonts w:ascii="Times New Roman" w:hAnsi="Times New Roman"/>
          <w:lang w:eastAsia="hi-IN" w:bidi="hi-IN"/>
        </w:rPr>
        <w:t>d</w:t>
      </w:r>
      <w:r w:rsidR="009C0F03" w:rsidRPr="46572D22">
        <w:rPr>
          <w:rFonts w:ascii="Times New Roman" w:hAnsi="Times New Roman"/>
          <w:lang w:eastAsia="hi-IN" w:bidi="hi-IN"/>
        </w:rPr>
        <w:t xml:space="preserve">e range of applications of synthetic biology, as well as its cross-cutting nature, makes it difficult to </w:t>
      </w:r>
      <w:r w:rsidR="00643597" w:rsidRPr="46572D22">
        <w:rPr>
          <w:rFonts w:ascii="Times New Roman" w:hAnsi="Times New Roman"/>
          <w:lang w:eastAsia="hi-IN" w:bidi="hi-IN"/>
        </w:rPr>
        <w:t xml:space="preserve">draw a clear line of action or intervention for some </w:t>
      </w:r>
      <w:r w:rsidR="00982664" w:rsidRPr="46572D22">
        <w:rPr>
          <w:rFonts w:ascii="Times New Roman" w:hAnsi="Times New Roman"/>
          <w:lang w:eastAsia="hi-IN" w:bidi="hi-IN"/>
        </w:rPr>
        <w:t>international initiatives, and as such, “overlaps” does not necessarily mean duplication, but instead could be related to the fact that a particular aspect of synthetic biology could be discussed or considered under more than one initiative, but through different lenses and scope</w:t>
      </w:r>
      <w:r w:rsidR="00CD0B2E" w:rsidRPr="46572D22">
        <w:rPr>
          <w:rFonts w:ascii="Times New Roman" w:hAnsi="Times New Roman"/>
          <w:lang w:eastAsia="hi-IN" w:bidi="hi-IN"/>
        </w:rPr>
        <w:t>.</w:t>
      </w:r>
    </w:p>
    <w:p w14:paraId="05F29601" w14:textId="3489E7B3" w:rsidR="00970828" w:rsidRDefault="00970828" w:rsidP="001B7F0E">
      <w:pPr>
        <w:suppressAutoHyphens/>
        <w:spacing w:after="120" w:line="240" w:lineRule="auto"/>
        <w:jc w:val="both"/>
        <w:rPr>
          <w:rFonts w:ascii="Times New Roman" w:hAnsi="Times New Roman"/>
          <w:bCs/>
          <w:kern w:val="22"/>
          <w:lang w:eastAsia="hi-IN" w:bidi="hi-IN"/>
        </w:rPr>
      </w:pPr>
      <w:r>
        <w:rPr>
          <w:rFonts w:ascii="Times New Roman" w:hAnsi="Times New Roman"/>
          <w:bCs/>
          <w:kern w:val="22"/>
          <w:lang w:eastAsia="hi-IN" w:bidi="hi-IN"/>
        </w:rPr>
        <w:t xml:space="preserve">This section also </w:t>
      </w:r>
      <w:r w:rsidR="008A510E">
        <w:rPr>
          <w:rFonts w:ascii="Times New Roman" w:hAnsi="Times New Roman"/>
          <w:bCs/>
          <w:kern w:val="22"/>
          <w:lang w:eastAsia="hi-IN" w:bidi="hi-IN"/>
        </w:rPr>
        <w:t xml:space="preserve">contains the </w:t>
      </w:r>
      <w:r w:rsidR="00197A9F">
        <w:rPr>
          <w:rFonts w:ascii="Times New Roman" w:hAnsi="Times New Roman"/>
          <w:bCs/>
          <w:kern w:val="22"/>
          <w:lang w:eastAsia="hi-IN" w:bidi="hi-IN"/>
        </w:rPr>
        <w:t xml:space="preserve">overall </w:t>
      </w:r>
      <w:r w:rsidR="008A510E">
        <w:rPr>
          <w:rFonts w:ascii="Times New Roman" w:hAnsi="Times New Roman"/>
          <w:bCs/>
          <w:kern w:val="22"/>
          <w:lang w:eastAsia="hi-IN" w:bidi="hi-IN"/>
        </w:rPr>
        <w:t>conclusions of the document</w:t>
      </w:r>
      <w:r w:rsidR="00197A9F">
        <w:rPr>
          <w:rFonts w:ascii="Times New Roman" w:hAnsi="Times New Roman"/>
          <w:bCs/>
          <w:kern w:val="22"/>
          <w:lang w:eastAsia="hi-IN" w:bidi="hi-IN"/>
        </w:rPr>
        <w:t>.</w:t>
      </w:r>
    </w:p>
    <w:p w14:paraId="50BB4138" w14:textId="77777777" w:rsidR="006325D0" w:rsidRPr="006325D0" w:rsidRDefault="006325D0" w:rsidP="007640B0">
      <w:pPr>
        <w:pStyle w:val="Heading2"/>
        <w:rPr>
          <w:lang w:bidi="hi-IN"/>
        </w:rPr>
      </w:pPr>
      <w:bookmarkStart w:id="179" w:name="_Toc70685735"/>
      <w:bookmarkStart w:id="180" w:name="_Toc70112713"/>
      <w:r w:rsidRPr="006325D0">
        <w:rPr>
          <w:lang w:bidi="hi-IN"/>
        </w:rPr>
        <w:t>10. Challenges, Gaps and/or Overlaps associated with synthetic biology governance.</w:t>
      </w:r>
      <w:bookmarkEnd w:id="179"/>
      <w:r w:rsidRPr="006325D0">
        <w:rPr>
          <w:lang w:bidi="hi-IN"/>
        </w:rPr>
        <w:t xml:space="preserve"> </w:t>
      </w:r>
      <w:bookmarkEnd w:id="180"/>
    </w:p>
    <w:p w14:paraId="1C483ADE" w14:textId="23CB3A97" w:rsidR="00C62002" w:rsidRDefault="00C62002" w:rsidP="00C62002">
      <w:pPr>
        <w:suppressAutoHyphens/>
        <w:spacing w:after="120" w:line="240" w:lineRule="auto"/>
        <w:jc w:val="both"/>
        <w:rPr>
          <w:rFonts w:ascii="Times New Roman" w:hAnsi="Times New Roman"/>
          <w:kern w:val="22"/>
          <w:lang w:eastAsia="hi-IN" w:bidi="hi-IN"/>
        </w:rPr>
      </w:pPr>
      <w:r w:rsidRPr="76FF7C1E">
        <w:rPr>
          <w:rFonts w:ascii="Times New Roman" w:hAnsi="Times New Roman"/>
          <w:kern w:val="22"/>
          <w:lang w:eastAsia="hi-IN" w:bidi="hi-IN"/>
        </w:rPr>
        <w:t>Although synthetic biology is often referred to as a single discipline, the lack of consensus on a clear definition and the numerous areas of synthetic biology research and the wide-array of applications and potential impacts can create challenges in assessing potential gaps and overlaps associated with the work done by the Convention, and its Protocols with other international laws, processes and initiatives which could have potential implications for the international governance of synthetic biology</w:t>
      </w:r>
      <w:r w:rsidR="00D307B0" w:rsidRPr="76FF7C1E">
        <w:rPr>
          <w:rFonts w:ascii="Times New Roman" w:hAnsi="Times New Roman"/>
          <w:kern w:val="22"/>
          <w:lang w:eastAsia="hi-IN" w:bidi="hi-IN"/>
        </w:rPr>
        <w:t xml:space="preserve">.  In this sense, what is immediately apparent from the international-level mapping described in Sections 8 and 9 is that no specific governance or process of rule-making on an international scale </w:t>
      </w:r>
      <w:r w:rsidR="00D307B0" w:rsidRPr="001B7F0E">
        <w:rPr>
          <w:rFonts w:ascii="Times New Roman" w:hAnsi="Times New Roman"/>
          <w:kern w:val="22"/>
          <w:lang w:eastAsia="hi-IN" w:bidi="hi-IN"/>
        </w:rPr>
        <w:t>exists</w:t>
      </w:r>
      <w:r w:rsidR="00D307B0" w:rsidRPr="76FF7C1E">
        <w:rPr>
          <w:rFonts w:ascii="Times New Roman" w:hAnsi="Times New Roman"/>
          <w:kern w:val="22"/>
          <w:lang w:eastAsia="hi-IN" w:bidi="hi-IN"/>
        </w:rPr>
        <w:t xml:space="preserve"> to </w:t>
      </w:r>
      <w:r w:rsidR="00D307B0" w:rsidRPr="001B7F0E">
        <w:rPr>
          <w:rFonts w:ascii="Times New Roman" w:hAnsi="Times New Roman"/>
          <w:kern w:val="22"/>
          <w:lang w:eastAsia="hi-IN" w:bidi="hi-IN"/>
        </w:rPr>
        <w:t xml:space="preserve">‘regulate’ </w:t>
      </w:r>
      <w:r w:rsidR="00D307B0" w:rsidRPr="76FF7C1E">
        <w:rPr>
          <w:rFonts w:ascii="Times New Roman" w:hAnsi="Times New Roman"/>
          <w:kern w:val="22"/>
          <w:lang w:eastAsia="hi-IN" w:bidi="hi-IN"/>
        </w:rPr>
        <w:t>synthetic biology</w:t>
      </w:r>
      <w:r w:rsidR="001846DD" w:rsidRPr="76FF7C1E">
        <w:rPr>
          <w:rFonts w:ascii="Times New Roman" w:hAnsi="Times New Roman"/>
          <w:kern w:val="22"/>
          <w:lang w:eastAsia="hi-IN" w:bidi="hi-IN"/>
        </w:rPr>
        <w:t>.</w:t>
      </w:r>
      <w:r w:rsidR="00875AA7" w:rsidRPr="76FF7C1E">
        <w:rPr>
          <w:rFonts w:ascii="Times New Roman" w:hAnsi="Times New Roman"/>
          <w:kern w:val="22"/>
          <w:lang w:eastAsia="hi-IN" w:bidi="hi-IN"/>
        </w:rPr>
        <w:t xml:space="preserve"> The extensive </w:t>
      </w:r>
      <w:r w:rsidR="007C5170" w:rsidRPr="76FF7C1E">
        <w:rPr>
          <w:rFonts w:ascii="Times New Roman" w:hAnsi="Times New Roman"/>
          <w:kern w:val="22"/>
          <w:lang w:eastAsia="hi-IN" w:bidi="hi-IN"/>
        </w:rPr>
        <w:t xml:space="preserve">regulatory instruments and mechanisms apply to </w:t>
      </w:r>
      <w:r w:rsidR="00802CA7" w:rsidRPr="76FF7C1E">
        <w:rPr>
          <w:rFonts w:ascii="Times New Roman" w:hAnsi="Times New Roman"/>
          <w:kern w:val="22"/>
          <w:lang w:eastAsia="hi-IN" w:bidi="hi-IN"/>
        </w:rPr>
        <w:t xml:space="preserve">all or </w:t>
      </w:r>
      <w:r w:rsidR="00CA079E" w:rsidRPr="76FF7C1E">
        <w:rPr>
          <w:rFonts w:ascii="Times New Roman" w:hAnsi="Times New Roman"/>
          <w:kern w:val="22"/>
          <w:lang w:eastAsia="hi-IN" w:bidi="hi-IN"/>
        </w:rPr>
        <w:t>some forms of synthetic biology depending on the application.</w:t>
      </w:r>
    </w:p>
    <w:p w14:paraId="19C4C780" w14:textId="75574AD7" w:rsidR="001846DD" w:rsidRDefault="001846DD" w:rsidP="00E63676">
      <w:pPr>
        <w:suppressAutoHyphens/>
        <w:spacing w:after="120" w:line="240" w:lineRule="auto"/>
        <w:jc w:val="both"/>
        <w:rPr>
          <w:rFonts w:ascii="Times New Roman" w:hAnsi="Times New Roman"/>
          <w:bCs/>
          <w:kern w:val="22"/>
          <w:lang w:eastAsia="hi-IN" w:bidi="hi-IN"/>
        </w:rPr>
      </w:pPr>
      <w:r>
        <w:rPr>
          <w:rFonts w:ascii="Times New Roman" w:hAnsi="Times New Roman"/>
          <w:bCs/>
          <w:kern w:val="22"/>
          <w:lang w:eastAsia="hi-IN" w:bidi="hi-IN"/>
        </w:rPr>
        <w:t xml:space="preserve">It is also important to acknowledge that the rapid </w:t>
      </w:r>
      <w:r w:rsidRPr="001846DD">
        <w:rPr>
          <w:rFonts w:ascii="Times New Roman" w:hAnsi="Times New Roman"/>
          <w:bCs/>
          <w:kern w:val="22"/>
          <w:lang w:eastAsia="hi-IN" w:bidi="hi-IN"/>
        </w:rPr>
        <w:t>pace of technological development can present a challenge to definitions and also the potential scope of the Convention and its Protocols.</w:t>
      </w:r>
      <w:r w:rsidR="00F4654E">
        <w:rPr>
          <w:rFonts w:ascii="Times New Roman" w:hAnsi="Times New Roman"/>
          <w:bCs/>
          <w:kern w:val="22"/>
          <w:lang w:eastAsia="hi-IN" w:bidi="hi-IN"/>
        </w:rPr>
        <w:t xml:space="preserve"> In a similar manner, it is also important to consider that </w:t>
      </w:r>
      <w:r w:rsidR="00E63676">
        <w:rPr>
          <w:rFonts w:ascii="Times New Roman" w:hAnsi="Times New Roman"/>
          <w:bCs/>
          <w:kern w:val="22"/>
          <w:lang w:eastAsia="hi-IN" w:bidi="hi-IN"/>
        </w:rPr>
        <w:t>m</w:t>
      </w:r>
      <w:r w:rsidR="00E63676" w:rsidRPr="00E63676">
        <w:rPr>
          <w:rFonts w:ascii="Times New Roman" w:hAnsi="Times New Roman"/>
          <w:bCs/>
          <w:kern w:val="22"/>
          <w:lang w:eastAsia="hi-IN" w:bidi="hi-IN"/>
        </w:rPr>
        <w:t>ost regulatory mechanisms discussed in the present document were developed before the term synthetic biology became widely used and therefore</w:t>
      </w:r>
      <w:r w:rsidR="00C50C49">
        <w:rPr>
          <w:rFonts w:ascii="Times New Roman" w:hAnsi="Times New Roman"/>
          <w:bCs/>
          <w:kern w:val="22"/>
          <w:lang w:eastAsia="hi-IN" w:bidi="hi-IN"/>
        </w:rPr>
        <w:t>,</w:t>
      </w:r>
      <w:r w:rsidR="00E63676" w:rsidRPr="00E63676">
        <w:rPr>
          <w:rFonts w:ascii="Times New Roman" w:hAnsi="Times New Roman"/>
          <w:bCs/>
          <w:kern w:val="22"/>
          <w:lang w:eastAsia="hi-IN" w:bidi="hi-IN"/>
        </w:rPr>
        <w:t xml:space="preserve"> they were not </w:t>
      </w:r>
      <w:r w:rsidR="00314185">
        <w:rPr>
          <w:rFonts w:ascii="Times New Roman" w:hAnsi="Times New Roman"/>
          <w:bCs/>
          <w:kern w:val="22"/>
          <w:lang w:eastAsia="hi-IN" w:bidi="hi-IN"/>
        </w:rPr>
        <w:t>develop</w:t>
      </w:r>
      <w:r w:rsidR="00A46AE9">
        <w:rPr>
          <w:rFonts w:ascii="Times New Roman" w:hAnsi="Times New Roman"/>
          <w:bCs/>
          <w:kern w:val="22"/>
          <w:lang w:eastAsia="hi-IN" w:bidi="hi-IN"/>
        </w:rPr>
        <w:t>e</w:t>
      </w:r>
      <w:r w:rsidR="00314185" w:rsidRPr="00E63676">
        <w:rPr>
          <w:rFonts w:ascii="Times New Roman" w:hAnsi="Times New Roman"/>
          <w:bCs/>
          <w:kern w:val="22"/>
          <w:lang w:eastAsia="hi-IN" w:bidi="hi-IN"/>
        </w:rPr>
        <w:t xml:space="preserve">d </w:t>
      </w:r>
      <w:r w:rsidR="00E63676" w:rsidRPr="00E63676">
        <w:rPr>
          <w:rFonts w:ascii="Times New Roman" w:hAnsi="Times New Roman"/>
          <w:bCs/>
          <w:kern w:val="22"/>
          <w:lang w:eastAsia="hi-IN" w:bidi="hi-IN"/>
        </w:rPr>
        <w:t xml:space="preserve">with the </w:t>
      </w:r>
      <w:r w:rsidR="00A46AE9">
        <w:rPr>
          <w:rFonts w:ascii="Times New Roman" w:hAnsi="Times New Roman"/>
          <w:bCs/>
          <w:kern w:val="22"/>
          <w:lang w:eastAsia="hi-IN" w:bidi="hi-IN"/>
        </w:rPr>
        <w:t>necessary</w:t>
      </w:r>
      <w:r w:rsidR="00E63676" w:rsidRPr="00E63676">
        <w:rPr>
          <w:rFonts w:ascii="Times New Roman" w:hAnsi="Times New Roman"/>
          <w:bCs/>
          <w:kern w:val="22"/>
          <w:lang w:eastAsia="hi-IN" w:bidi="hi-IN"/>
        </w:rPr>
        <w:t xml:space="preserve"> scope and scale that some of the potential impacts of synthetic biology may </w:t>
      </w:r>
      <w:r w:rsidR="00A46AE9">
        <w:rPr>
          <w:rFonts w:ascii="Times New Roman" w:hAnsi="Times New Roman"/>
          <w:bCs/>
          <w:kern w:val="22"/>
          <w:lang w:eastAsia="hi-IN" w:bidi="hi-IN"/>
        </w:rPr>
        <w:t>present</w:t>
      </w:r>
      <w:r w:rsidR="00E63676">
        <w:rPr>
          <w:rFonts w:ascii="Times New Roman" w:hAnsi="Times New Roman"/>
          <w:bCs/>
          <w:kern w:val="22"/>
          <w:lang w:eastAsia="hi-IN" w:bidi="hi-IN"/>
        </w:rPr>
        <w:t>.</w:t>
      </w:r>
    </w:p>
    <w:p w14:paraId="19D46294" w14:textId="368775FF" w:rsidR="001B7F0E" w:rsidRPr="001B7F0E" w:rsidRDefault="001B7F0E" w:rsidP="001B7F0E">
      <w:pPr>
        <w:suppressAutoHyphens/>
        <w:spacing w:after="120" w:line="240" w:lineRule="auto"/>
        <w:jc w:val="both"/>
        <w:rPr>
          <w:rFonts w:ascii="Times New Roman" w:hAnsi="Times New Roman"/>
          <w:bCs/>
          <w:kern w:val="22"/>
          <w:lang w:eastAsia="hi-IN" w:bidi="hi-IN"/>
        </w:rPr>
      </w:pPr>
      <w:r w:rsidRPr="001B7F0E">
        <w:rPr>
          <w:rFonts w:ascii="Times New Roman" w:hAnsi="Times New Roman"/>
          <w:bCs/>
          <w:kern w:val="22"/>
          <w:lang w:eastAsia="hi-IN" w:bidi="hi-IN"/>
        </w:rPr>
        <w:t xml:space="preserve">However, within this </w:t>
      </w:r>
      <w:r w:rsidR="00E30DAC">
        <w:rPr>
          <w:rFonts w:ascii="Times New Roman" w:hAnsi="Times New Roman"/>
          <w:bCs/>
          <w:kern w:val="22"/>
          <w:lang w:eastAsia="hi-IN" w:bidi="hi-IN"/>
        </w:rPr>
        <w:t>fragmented</w:t>
      </w:r>
      <w:r w:rsidR="00E30DAC" w:rsidRPr="001B7F0E">
        <w:rPr>
          <w:rFonts w:ascii="Times New Roman" w:hAnsi="Times New Roman"/>
          <w:bCs/>
          <w:kern w:val="22"/>
          <w:lang w:eastAsia="hi-IN" w:bidi="hi-IN"/>
        </w:rPr>
        <w:t xml:space="preserve"> </w:t>
      </w:r>
      <w:r w:rsidRPr="001B7F0E">
        <w:rPr>
          <w:rFonts w:ascii="Times New Roman" w:hAnsi="Times New Roman"/>
          <w:bCs/>
          <w:kern w:val="22"/>
          <w:lang w:eastAsia="hi-IN" w:bidi="hi-IN"/>
        </w:rPr>
        <w:t xml:space="preserve">landscape, it is evident that the broad scope of </w:t>
      </w:r>
      <w:r w:rsidRPr="001B7F0E">
        <w:rPr>
          <w:rFonts w:ascii="Times New Roman" w:hAnsi="Times New Roman"/>
          <w:kern w:val="22"/>
          <w:lang w:eastAsia="hi-IN" w:bidi="hi-IN"/>
        </w:rPr>
        <w:t>the Convention and its Protocols</w:t>
      </w:r>
      <w:r w:rsidRPr="001B7F0E" w:rsidDel="0089641D">
        <w:rPr>
          <w:rFonts w:ascii="Times New Roman" w:hAnsi="Times New Roman"/>
          <w:kern w:val="22"/>
          <w:lang w:eastAsia="hi-IN" w:bidi="hi-IN"/>
        </w:rPr>
        <w:t xml:space="preserve"> </w:t>
      </w:r>
      <w:r w:rsidRPr="001B7F0E">
        <w:rPr>
          <w:rFonts w:ascii="Times New Roman" w:hAnsi="Times New Roman"/>
          <w:kern w:val="22"/>
          <w:lang w:eastAsia="hi-IN" w:bidi="hi-IN"/>
        </w:rPr>
        <w:t xml:space="preserve">focusing on conservation, sustainable use and fair and equitable </w:t>
      </w:r>
      <w:r w:rsidR="63DA6DC9" w:rsidRPr="431720CD">
        <w:rPr>
          <w:rFonts w:ascii="Times New Roman" w:hAnsi="Times New Roman"/>
          <w:lang w:eastAsia="hi-IN" w:bidi="hi-IN"/>
        </w:rPr>
        <w:t>benefit-</w:t>
      </w:r>
      <w:r w:rsidRPr="001B7F0E">
        <w:rPr>
          <w:rFonts w:ascii="Times New Roman" w:hAnsi="Times New Roman"/>
          <w:kern w:val="22"/>
          <w:lang w:eastAsia="hi-IN" w:bidi="hi-IN"/>
        </w:rPr>
        <w:t xml:space="preserve">sharing associated with biodiversity </w:t>
      </w:r>
      <w:r w:rsidRPr="001B7F0E">
        <w:rPr>
          <w:rFonts w:ascii="Times New Roman" w:hAnsi="Times New Roman"/>
          <w:bCs/>
          <w:kern w:val="22"/>
          <w:lang w:eastAsia="hi-IN" w:bidi="hi-IN"/>
        </w:rPr>
        <w:t xml:space="preserve">has far reaching </w:t>
      </w:r>
      <w:r w:rsidRPr="001B7F0E">
        <w:rPr>
          <w:rFonts w:ascii="Times New Roman" w:hAnsi="Times New Roman"/>
          <w:kern w:val="22"/>
          <w:lang w:eastAsia="hi-IN" w:bidi="hi-IN"/>
        </w:rPr>
        <w:t>implications on the</w:t>
      </w:r>
      <w:r w:rsidRPr="001B7F0E">
        <w:rPr>
          <w:rFonts w:ascii="Times New Roman" w:hAnsi="Times New Roman"/>
          <w:bCs/>
          <w:kern w:val="22"/>
          <w:lang w:eastAsia="hi-IN" w:bidi="hi-IN"/>
        </w:rPr>
        <w:t xml:space="preserve"> international governance of synthetic biology. Recognition of the Convention as “the primary international forum deliberating the regulation of synthetic biology” </w:t>
      </w:r>
      <w:r w:rsidR="008B5D48">
        <w:rPr>
          <w:rFonts w:ascii="Times New Roman" w:hAnsi="Times New Roman"/>
          <w:bCs/>
          <w:kern w:val="22"/>
          <w:lang w:eastAsia="hi-IN" w:bidi="hi-IN"/>
        </w:rPr>
        <w:fldChar w:fldCharType="begin" w:fldLock="1"/>
      </w:r>
      <w:r w:rsidR="007A43B6">
        <w:rPr>
          <w:rFonts w:ascii="Times New Roman" w:hAnsi="Times New Roman"/>
          <w:bCs/>
          <w:kern w:val="22"/>
          <w:lang w:eastAsia="hi-IN" w:bidi="hi-IN"/>
        </w:rPr>
        <w:instrText>ADDIN CSL_CITATION {"citationItems":[{"id":"ITEM-1","itemData":{"DOI":"10.3389/fbioe.2020.00310","ISSN":"22964185","abstract":"The primary international forum deliberating the regulation of “synthetic biology” is the Convention on Biological Diversity (CBD), along with its subsidiary agreements concerned with the biosafety of living modified organisms (LMOs; Cartagena Protocol on Biosafety to the CBD), and access and benefit sharing in relation to genetic resources (Nagoya Protocol to the CBD). This discussion has been underway for almost 10 years under the CBD agenda items of “synthetic biology” and “new and emerging issues relating to the conservation and sustainable use of biological diversity,” and more recently within the scope of Cartagena Protocol topics including risk assessment and risk management, and “digital sequence information” jointly with the Nagoya Protocol. There is no internationally accepted definition of “synthetic biology,” with it used as an umbrella term in this forum to capture “new” biotechnologies and “new” applications of established biotechnologies, whether actual or conceptual. The CBD debates are characterized by polarized views on the adequacy of existing regulatory mechanisms for “new” types of LMOs, including the scope of the current regulatory frameworks, and procedures and tools for risk assessment and risk mitigation and/or management. This paper provides an overview of international developments in biotechnology regulation, including the application of the Cartagena Protocol and relevant policy developments, and reviews the development of the synthetic biology debate under the CBD and its Protocols, including the major issues expected in the lead up to and during the 2020 Biodiversity Conference.","author":[{"dropping-particle":"","family":"Keiper","given":"Felicity","non-dropping-particle":"","parse-names":false,"suffix":""},{"dropping-particle":"","family":"Atanassova","given":"Ana","non-dropping-particle":"","parse-names":false,"suffix":""}],"container-title":"Frontiers in Bioengineering and Biotechnology","id":"ITEM-1","issued":{"date-parts":[["2020","4"]]},"publisher":"Frontiers Media S.A.","title":"Regulation of Synthetic Biology: Developments Under the Convention on Biological Diversity and Its Protocols","type":"article","volume":"8"},"uris":["http://www.mendeley.com/documents/?uuid=23393071-c58e-4e1d-9c5d-5c2f47ddcef4"]}],"mendeley":{"formattedCitation":"(Keiper &amp; Atanassova, 2020)","plainTextFormattedCitation":"(Keiper &amp; Atanassova, 2020)","previouslyFormattedCitation":"(Keiper &amp; Atanassova, 2020)"},"properties":{"noteIndex":0},"schema":"https://github.com/citation-style-language/schema/raw/master/csl-citation.json"}</w:instrText>
      </w:r>
      <w:r w:rsidR="008B5D48">
        <w:rPr>
          <w:rFonts w:ascii="Times New Roman" w:hAnsi="Times New Roman"/>
          <w:bCs/>
          <w:kern w:val="22"/>
          <w:lang w:eastAsia="hi-IN" w:bidi="hi-IN"/>
        </w:rPr>
        <w:fldChar w:fldCharType="separate"/>
      </w:r>
      <w:r w:rsidR="008B5D48" w:rsidRPr="008B5D48">
        <w:rPr>
          <w:rFonts w:ascii="Times New Roman" w:hAnsi="Times New Roman"/>
          <w:bCs/>
          <w:noProof/>
          <w:kern w:val="22"/>
          <w:lang w:eastAsia="hi-IN" w:bidi="hi-IN"/>
        </w:rPr>
        <w:t>(Keiper &amp; Atanassova, 2020)</w:t>
      </w:r>
      <w:r w:rsidR="008B5D48">
        <w:rPr>
          <w:rFonts w:ascii="Times New Roman" w:hAnsi="Times New Roman"/>
          <w:bCs/>
          <w:kern w:val="22"/>
          <w:lang w:eastAsia="hi-IN" w:bidi="hi-IN"/>
        </w:rPr>
        <w:fldChar w:fldCharType="end"/>
      </w:r>
      <w:r w:rsidRPr="001B7F0E">
        <w:rPr>
          <w:rFonts w:ascii="Times New Roman" w:hAnsi="Times New Roman"/>
          <w:bCs/>
          <w:kern w:val="22"/>
          <w:lang w:eastAsia="hi-IN" w:bidi="hi-IN"/>
        </w:rPr>
        <w:t xml:space="preserve"> reflects over a decade of substantive COP decision-making explicitly addressing synthetic biology </w:t>
      </w:r>
      <w:r w:rsidR="000A0C6E" w:rsidRPr="214FD493">
        <w:rPr>
          <w:rFonts w:ascii="Times New Roman" w:hAnsi="Times New Roman"/>
          <w:lang w:eastAsia="hi-IN" w:bidi="hi-IN"/>
        </w:rPr>
        <w:t xml:space="preserve"> </w:t>
      </w:r>
      <w:r w:rsidR="00396EAC">
        <w:rPr>
          <w:rFonts w:ascii="Times New Roman" w:hAnsi="Times New Roman"/>
          <w:lang w:eastAsia="hi-IN" w:bidi="hi-IN"/>
        </w:rPr>
        <w:t>on issues such as</w:t>
      </w:r>
      <w:r w:rsidRPr="001B7F0E">
        <w:rPr>
          <w:rFonts w:ascii="Times New Roman" w:hAnsi="Times New Roman"/>
          <w:bCs/>
          <w:kern w:val="22"/>
          <w:lang w:eastAsia="hi-IN" w:bidi="hi-IN"/>
        </w:rPr>
        <w:t xml:space="preserve"> its relevance </w:t>
      </w:r>
      <w:r w:rsidR="00CF35E7" w:rsidRPr="214FD493">
        <w:rPr>
          <w:rFonts w:ascii="Times New Roman" w:hAnsi="Times New Roman"/>
          <w:lang w:eastAsia="hi-IN" w:bidi="hi-IN"/>
        </w:rPr>
        <w:t>towards the objectives of the Convention and its Protocols</w:t>
      </w:r>
      <w:r w:rsidRPr="001B7F0E">
        <w:rPr>
          <w:rFonts w:ascii="Times New Roman" w:hAnsi="Times New Roman"/>
          <w:bCs/>
          <w:kern w:val="22"/>
          <w:lang w:eastAsia="hi-IN" w:bidi="hi-IN"/>
        </w:rPr>
        <w:t>, biosafety risks associated with LMOs, implications concerning access and benefit sharing</w:t>
      </w:r>
      <w:r w:rsidR="00CF35E7" w:rsidRPr="214FD493">
        <w:rPr>
          <w:rFonts w:ascii="Times New Roman" w:hAnsi="Times New Roman"/>
          <w:lang w:eastAsia="hi-IN" w:bidi="hi-IN"/>
        </w:rPr>
        <w:t xml:space="preserve"> and the </w:t>
      </w:r>
      <w:r w:rsidR="0020101A" w:rsidRPr="214FD493">
        <w:rPr>
          <w:rFonts w:ascii="Times New Roman" w:hAnsi="Times New Roman"/>
          <w:lang w:eastAsia="hi-IN" w:bidi="hi-IN"/>
        </w:rPr>
        <w:t>p</w:t>
      </w:r>
      <w:r w:rsidR="00886644" w:rsidRPr="214FD493">
        <w:rPr>
          <w:rFonts w:ascii="Times New Roman" w:hAnsi="Times New Roman"/>
          <w:lang w:eastAsia="hi-IN" w:bidi="hi-IN"/>
        </w:rPr>
        <w:t>articipation of IPLCs among</w:t>
      </w:r>
      <w:r w:rsidR="00F31544">
        <w:rPr>
          <w:rFonts w:ascii="Times New Roman" w:hAnsi="Times New Roman"/>
          <w:lang w:eastAsia="hi-IN" w:bidi="hi-IN"/>
        </w:rPr>
        <w:t>st</w:t>
      </w:r>
      <w:r w:rsidR="00886644" w:rsidRPr="214FD493">
        <w:rPr>
          <w:rFonts w:ascii="Times New Roman" w:hAnsi="Times New Roman"/>
          <w:lang w:eastAsia="hi-IN" w:bidi="hi-IN"/>
        </w:rPr>
        <w:t xml:space="preserve"> others</w:t>
      </w:r>
      <w:r w:rsidRPr="001B7F0E">
        <w:rPr>
          <w:rFonts w:ascii="Times New Roman" w:hAnsi="Times New Roman"/>
          <w:bCs/>
          <w:kern w:val="22"/>
          <w:lang w:eastAsia="hi-IN" w:bidi="hi-IN"/>
        </w:rPr>
        <w:t xml:space="preserve">. </w:t>
      </w:r>
    </w:p>
    <w:p w14:paraId="65489F91" w14:textId="1FBF62D3" w:rsidR="00B23CBF" w:rsidRPr="00B23CBF" w:rsidRDefault="00396F86" w:rsidP="00174D26">
      <w:pPr>
        <w:suppressAutoHyphens/>
        <w:spacing w:after="120" w:line="240" w:lineRule="auto"/>
        <w:jc w:val="both"/>
        <w:rPr>
          <w:rFonts w:ascii="Times New Roman" w:hAnsi="Times New Roman"/>
          <w:lang w:eastAsia="hi-IN" w:bidi="hi-IN"/>
        </w:rPr>
      </w:pPr>
      <w:r w:rsidRPr="1714C760">
        <w:rPr>
          <w:rFonts w:ascii="Times New Roman" w:hAnsi="Times New Roman"/>
          <w:kern w:val="22"/>
          <w:lang w:eastAsia="hi-IN" w:bidi="hi-IN"/>
        </w:rPr>
        <w:t>In parallel, o</w:t>
      </w:r>
      <w:r w:rsidR="001B7F0E" w:rsidRPr="1714C760">
        <w:rPr>
          <w:rFonts w:ascii="Times New Roman" w:hAnsi="Times New Roman"/>
          <w:kern w:val="22"/>
          <w:lang w:eastAsia="hi-IN" w:bidi="hi-IN"/>
        </w:rPr>
        <w:t xml:space="preserve">ther instruments and </w:t>
      </w:r>
      <w:r w:rsidR="4A74B3BE" w:rsidRPr="0A77F9B8">
        <w:rPr>
          <w:rFonts w:ascii="Times New Roman" w:hAnsi="Times New Roman"/>
          <w:kern w:val="22"/>
          <w:lang w:eastAsia="hi-IN" w:bidi="hi-IN"/>
        </w:rPr>
        <w:t>organi</w:t>
      </w:r>
      <w:r w:rsidR="009D6F4D">
        <w:rPr>
          <w:rFonts w:ascii="Times New Roman" w:hAnsi="Times New Roman"/>
          <w:kern w:val="22"/>
          <w:lang w:eastAsia="hi-IN" w:bidi="hi-IN"/>
        </w:rPr>
        <w:t>s</w:t>
      </w:r>
      <w:r w:rsidR="4A74B3BE" w:rsidRPr="0A77F9B8">
        <w:rPr>
          <w:rFonts w:ascii="Times New Roman" w:hAnsi="Times New Roman"/>
          <w:kern w:val="22"/>
          <w:lang w:eastAsia="hi-IN" w:bidi="hi-IN"/>
        </w:rPr>
        <w:t>ations</w:t>
      </w:r>
      <w:r w:rsidR="001B7F0E" w:rsidRPr="1714C760">
        <w:rPr>
          <w:rFonts w:ascii="Times New Roman" w:hAnsi="Times New Roman"/>
          <w:kern w:val="22"/>
          <w:lang w:eastAsia="hi-IN" w:bidi="hi-IN"/>
        </w:rPr>
        <w:t>, such as WHO, CITES and IUCN have</w:t>
      </w:r>
      <w:r w:rsidR="008C6E1A" w:rsidRPr="1714C760">
        <w:rPr>
          <w:rFonts w:ascii="Times New Roman" w:hAnsi="Times New Roman"/>
          <w:kern w:val="22"/>
          <w:lang w:eastAsia="hi-IN" w:bidi="hi-IN"/>
        </w:rPr>
        <w:t xml:space="preserve"> in recent years</w:t>
      </w:r>
      <w:r w:rsidR="001B7F0E" w:rsidRPr="1714C760">
        <w:rPr>
          <w:rFonts w:ascii="Times New Roman" w:hAnsi="Times New Roman"/>
          <w:kern w:val="22"/>
          <w:lang w:eastAsia="hi-IN" w:bidi="hi-IN"/>
        </w:rPr>
        <w:t xml:space="preserve"> also developed </w:t>
      </w:r>
      <w:r w:rsidR="149A00C6" w:rsidRPr="034F1A16">
        <w:rPr>
          <w:rFonts w:ascii="Times New Roman" w:hAnsi="Times New Roman"/>
          <w:lang w:eastAsia="hi-IN" w:bidi="hi-IN"/>
        </w:rPr>
        <w:t xml:space="preserve">their own </w:t>
      </w:r>
      <w:r w:rsidR="001B7F0E" w:rsidRPr="1714C760">
        <w:rPr>
          <w:rFonts w:ascii="Times New Roman" w:hAnsi="Times New Roman"/>
          <w:kern w:val="22"/>
          <w:lang w:eastAsia="hi-IN" w:bidi="hi-IN"/>
        </w:rPr>
        <w:t xml:space="preserve">substantive </w:t>
      </w:r>
      <w:r w:rsidR="001B7F0E" w:rsidRPr="5A619E8A">
        <w:rPr>
          <w:rFonts w:ascii="Times New Roman" w:hAnsi="Times New Roman"/>
          <w:kern w:val="22"/>
          <w:lang w:eastAsia="hi-IN" w:bidi="hi-IN"/>
        </w:rPr>
        <w:t>programme</w:t>
      </w:r>
      <w:r w:rsidR="1325AC08" w:rsidRPr="034F1A16">
        <w:rPr>
          <w:rFonts w:ascii="Times New Roman" w:hAnsi="Times New Roman"/>
          <w:lang w:eastAsia="hi-IN" w:bidi="hi-IN"/>
        </w:rPr>
        <w:t>s</w:t>
      </w:r>
      <w:r w:rsidR="001B7F0E" w:rsidRPr="1714C760">
        <w:rPr>
          <w:rFonts w:ascii="Times New Roman" w:hAnsi="Times New Roman"/>
          <w:kern w:val="22"/>
          <w:lang w:eastAsia="hi-IN" w:bidi="hi-IN"/>
        </w:rPr>
        <w:t xml:space="preserve"> of work related to the governance of synthetic biology</w:t>
      </w:r>
      <w:r w:rsidRPr="1714C760">
        <w:rPr>
          <w:rFonts w:ascii="Times New Roman" w:hAnsi="Times New Roman"/>
          <w:kern w:val="22"/>
          <w:lang w:eastAsia="hi-IN" w:bidi="hi-IN"/>
        </w:rPr>
        <w:t xml:space="preserve">, and </w:t>
      </w:r>
      <w:r w:rsidR="001B7F0E" w:rsidRPr="1714C760">
        <w:rPr>
          <w:rFonts w:ascii="Times New Roman" w:hAnsi="Times New Roman"/>
          <w:kern w:val="22"/>
          <w:lang w:eastAsia="hi-IN" w:bidi="hi-IN"/>
        </w:rPr>
        <w:t xml:space="preserve">appear to be significantly informed by the </w:t>
      </w:r>
      <w:r w:rsidR="7B8334DE" w:rsidRPr="1711212A">
        <w:rPr>
          <w:rFonts w:ascii="Times New Roman" w:hAnsi="Times New Roman"/>
          <w:kern w:val="22"/>
          <w:lang w:eastAsia="hi-IN" w:bidi="hi-IN"/>
        </w:rPr>
        <w:t xml:space="preserve">extensive </w:t>
      </w:r>
      <w:r w:rsidR="001B7F0E" w:rsidRPr="1711212A">
        <w:rPr>
          <w:rFonts w:ascii="Times New Roman" w:hAnsi="Times New Roman"/>
          <w:kern w:val="22"/>
          <w:lang w:eastAsia="hi-IN" w:bidi="hi-IN"/>
        </w:rPr>
        <w:t>and</w:t>
      </w:r>
      <w:r w:rsidR="001B7F0E" w:rsidRPr="1714C760">
        <w:rPr>
          <w:rFonts w:ascii="Times New Roman" w:hAnsi="Times New Roman"/>
          <w:kern w:val="22"/>
          <w:lang w:eastAsia="hi-IN" w:bidi="hi-IN"/>
        </w:rPr>
        <w:t xml:space="preserve"> cross-cutting work undertaken to date under the Convention and its Protocols.</w:t>
      </w:r>
      <w:r w:rsidR="00060B99" w:rsidRPr="1714C760">
        <w:rPr>
          <w:rFonts w:ascii="Times New Roman" w:hAnsi="Times New Roman"/>
          <w:kern w:val="22"/>
          <w:lang w:eastAsia="hi-IN" w:bidi="hi-IN"/>
        </w:rPr>
        <w:t xml:space="preserve"> In a similar manner, the discussions under the Convention and its Protocols are also influenced by the global discussions and deliberations under t</w:t>
      </w:r>
      <w:r w:rsidR="00BA136C" w:rsidRPr="1714C760">
        <w:rPr>
          <w:rFonts w:ascii="Times New Roman" w:hAnsi="Times New Roman"/>
          <w:kern w:val="22"/>
          <w:lang w:eastAsia="hi-IN" w:bidi="hi-IN"/>
        </w:rPr>
        <w:t>hese instruments and organisations</w:t>
      </w:r>
      <w:r w:rsidR="000F1702" w:rsidRPr="1714C760">
        <w:rPr>
          <w:rFonts w:ascii="Times New Roman" w:hAnsi="Times New Roman"/>
          <w:kern w:val="22"/>
          <w:lang w:eastAsia="hi-IN" w:bidi="hi-IN"/>
        </w:rPr>
        <w:t>, in particular where there are issues of mutual interest o</w:t>
      </w:r>
      <w:r w:rsidR="00405676" w:rsidRPr="1714C760">
        <w:rPr>
          <w:rFonts w:ascii="Times New Roman" w:hAnsi="Times New Roman"/>
          <w:kern w:val="22"/>
          <w:lang w:eastAsia="hi-IN" w:bidi="hi-IN"/>
        </w:rPr>
        <w:t>r</w:t>
      </w:r>
      <w:r w:rsidR="000F1702" w:rsidRPr="1714C760">
        <w:rPr>
          <w:rFonts w:ascii="Times New Roman" w:hAnsi="Times New Roman"/>
          <w:kern w:val="22"/>
          <w:lang w:eastAsia="hi-IN" w:bidi="hi-IN"/>
        </w:rPr>
        <w:t xml:space="preserve"> opportunities for synergies</w:t>
      </w:r>
      <w:r w:rsidR="00BA136C" w:rsidRPr="1714C760">
        <w:rPr>
          <w:rFonts w:ascii="Times New Roman" w:hAnsi="Times New Roman"/>
          <w:kern w:val="22"/>
          <w:lang w:eastAsia="hi-IN" w:bidi="hi-IN"/>
        </w:rPr>
        <w:t>.</w:t>
      </w:r>
      <w:r w:rsidR="001B7F0E" w:rsidRPr="1714C760">
        <w:rPr>
          <w:rFonts w:ascii="Times New Roman" w:hAnsi="Times New Roman"/>
          <w:kern w:val="22"/>
          <w:lang w:eastAsia="hi-IN" w:bidi="hi-IN"/>
        </w:rPr>
        <w:t xml:space="preserve"> </w:t>
      </w:r>
      <w:r w:rsidR="00B455A4" w:rsidRPr="0A77F9B8">
        <w:rPr>
          <w:rFonts w:ascii="Times New Roman" w:hAnsi="Times New Roman"/>
          <w:lang w:eastAsia="hi-IN" w:bidi="hi-IN"/>
        </w:rPr>
        <w:t xml:space="preserve">It is however important to note that the discussions under </w:t>
      </w:r>
      <w:r w:rsidR="00405676">
        <w:rPr>
          <w:rFonts w:ascii="Times New Roman" w:hAnsi="Times New Roman"/>
          <w:lang w:eastAsia="hi-IN" w:bidi="hi-IN"/>
        </w:rPr>
        <w:t>these and other</w:t>
      </w:r>
      <w:r w:rsidR="00B455A4" w:rsidRPr="0A77F9B8">
        <w:rPr>
          <w:rFonts w:ascii="Times New Roman" w:hAnsi="Times New Roman"/>
          <w:lang w:eastAsia="hi-IN" w:bidi="hi-IN"/>
        </w:rPr>
        <w:t xml:space="preserve"> instruments and initiative</w:t>
      </w:r>
      <w:r w:rsidR="00660416" w:rsidRPr="0A77F9B8">
        <w:rPr>
          <w:rFonts w:ascii="Times New Roman" w:hAnsi="Times New Roman"/>
          <w:lang w:eastAsia="hi-IN" w:bidi="hi-IN"/>
        </w:rPr>
        <w:t>s</w:t>
      </w:r>
      <w:r w:rsidR="00B23CBF">
        <w:rPr>
          <w:rFonts w:ascii="Times New Roman" w:hAnsi="Times New Roman"/>
          <w:lang w:eastAsia="hi-IN" w:bidi="hi-IN"/>
        </w:rPr>
        <w:t>,</w:t>
      </w:r>
      <w:r w:rsidR="00B455A4" w:rsidRPr="0A77F9B8">
        <w:rPr>
          <w:rFonts w:ascii="Times New Roman" w:hAnsi="Times New Roman"/>
          <w:lang w:eastAsia="hi-IN" w:bidi="hi-IN"/>
        </w:rPr>
        <w:t xml:space="preserve"> a</w:t>
      </w:r>
      <w:r w:rsidR="00660416" w:rsidRPr="0A77F9B8">
        <w:rPr>
          <w:rFonts w:ascii="Times New Roman" w:hAnsi="Times New Roman"/>
          <w:lang w:eastAsia="hi-IN" w:bidi="hi-IN"/>
        </w:rPr>
        <w:t>re</w:t>
      </w:r>
      <w:r w:rsidR="00B455A4" w:rsidRPr="0A77F9B8">
        <w:rPr>
          <w:rFonts w:ascii="Times New Roman" w:hAnsi="Times New Roman"/>
          <w:lang w:eastAsia="hi-IN" w:bidi="hi-IN"/>
        </w:rPr>
        <w:t xml:space="preserve"> </w:t>
      </w:r>
      <w:r w:rsidR="002B0C2A" w:rsidRPr="0A77F9B8">
        <w:rPr>
          <w:rFonts w:ascii="Times New Roman" w:hAnsi="Times New Roman"/>
          <w:lang w:eastAsia="hi-IN" w:bidi="hi-IN"/>
        </w:rPr>
        <w:t>context</w:t>
      </w:r>
      <w:r w:rsidR="00877FF7" w:rsidRPr="0A77F9B8">
        <w:rPr>
          <w:rFonts w:ascii="Times New Roman" w:hAnsi="Times New Roman"/>
          <w:lang w:eastAsia="hi-IN" w:bidi="hi-IN"/>
        </w:rPr>
        <w:t>uali</w:t>
      </w:r>
      <w:r w:rsidR="009D6F4D">
        <w:rPr>
          <w:rFonts w:ascii="Times New Roman" w:hAnsi="Times New Roman"/>
          <w:lang w:eastAsia="hi-IN" w:bidi="hi-IN"/>
        </w:rPr>
        <w:t>s</w:t>
      </w:r>
      <w:r w:rsidR="00877FF7" w:rsidRPr="0A77F9B8">
        <w:rPr>
          <w:rFonts w:ascii="Times New Roman" w:hAnsi="Times New Roman"/>
          <w:lang w:eastAsia="hi-IN" w:bidi="hi-IN"/>
        </w:rPr>
        <w:t>ed</w:t>
      </w:r>
      <w:r w:rsidR="002B0C2A" w:rsidRPr="0A77F9B8">
        <w:rPr>
          <w:rFonts w:ascii="Times New Roman" w:hAnsi="Times New Roman"/>
          <w:lang w:eastAsia="hi-IN" w:bidi="hi-IN"/>
        </w:rPr>
        <w:t xml:space="preserve"> and relate to specific aspects of synthetic biology </w:t>
      </w:r>
      <w:r w:rsidR="00EC34DB" w:rsidRPr="0A77F9B8">
        <w:rPr>
          <w:rFonts w:ascii="Times New Roman" w:hAnsi="Times New Roman"/>
          <w:lang w:eastAsia="hi-IN" w:bidi="hi-IN"/>
        </w:rPr>
        <w:t xml:space="preserve">rather than the overarching </w:t>
      </w:r>
      <w:r w:rsidR="00877FF7" w:rsidRPr="0A77F9B8">
        <w:rPr>
          <w:rFonts w:ascii="Times New Roman" w:hAnsi="Times New Roman"/>
          <w:lang w:eastAsia="hi-IN" w:bidi="hi-IN"/>
        </w:rPr>
        <w:t>elements.</w:t>
      </w:r>
      <w:r w:rsidR="00B23CBF" w:rsidRPr="00B23CBF">
        <w:rPr>
          <w:rFonts w:ascii="Times New Roman" w:hAnsi="Times New Roman"/>
          <w:kern w:val="22"/>
          <w:lang w:eastAsia="hi-IN" w:bidi="hi-IN"/>
        </w:rPr>
        <w:t xml:space="preserve"> </w:t>
      </w:r>
      <w:r w:rsidR="00174D26" w:rsidRPr="1714C760">
        <w:rPr>
          <w:rFonts w:ascii="Times New Roman" w:hAnsi="Times New Roman"/>
          <w:lang w:eastAsia="hi-IN" w:bidi="hi-IN"/>
        </w:rPr>
        <w:t xml:space="preserve">Nonetheless, </w:t>
      </w:r>
      <w:r w:rsidR="00745D14" w:rsidRPr="1714C760">
        <w:rPr>
          <w:rFonts w:ascii="Times New Roman" w:hAnsi="Times New Roman"/>
          <w:lang w:eastAsia="hi-IN" w:bidi="hi-IN"/>
        </w:rPr>
        <w:t>a</w:t>
      </w:r>
      <w:r w:rsidR="00B23CBF" w:rsidRPr="1714C760">
        <w:rPr>
          <w:rFonts w:ascii="Times New Roman" w:hAnsi="Times New Roman"/>
          <w:lang w:eastAsia="hi-IN" w:bidi="hi-IN"/>
        </w:rPr>
        <w:t xml:space="preserve">s a growing number of synthetic biology applications advance from upstream research to market-ready deployments, issues of scope and potential impact of such applications can be considered in context, on a case-by-case basis. Such context is necessary to evaluate whether the synthetic biology applications result in </w:t>
      </w:r>
      <w:r w:rsidR="00B23CBF" w:rsidRPr="00B23CBF">
        <w:rPr>
          <w:rFonts w:ascii="Times New Roman" w:hAnsi="Times New Roman"/>
          <w:lang w:eastAsia="hi-IN" w:bidi="hi-IN"/>
        </w:rPr>
        <w:t xml:space="preserve">an organism, product or component, </w:t>
      </w:r>
      <w:r w:rsidR="00B23CBF" w:rsidRPr="1714C760">
        <w:rPr>
          <w:rFonts w:ascii="Times New Roman" w:hAnsi="Times New Roman"/>
          <w:lang w:eastAsia="hi-IN" w:bidi="hi-IN"/>
        </w:rPr>
        <w:t xml:space="preserve">as well as opportunities to consider not only risk assessment and mitigation approaches in a tailored manner, but also </w:t>
      </w:r>
      <w:r w:rsidR="00A524A7" w:rsidRPr="1714C760">
        <w:rPr>
          <w:rFonts w:ascii="Times New Roman" w:hAnsi="Times New Roman"/>
          <w:lang w:eastAsia="hi-IN" w:bidi="hi-IN"/>
        </w:rPr>
        <w:t xml:space="preserve">relevant </w:t>
      </w:r>
      <w:r w:rsidR="00B23CBF" w:rsidRPr="1714C760">
        <w:rPr>
          <w:rFonts w:ascii="Times New Roman" w:hAnsi="Times New Roman"/>
          <w:lang w:eastAsia="hi-IN" w:bidi="hi-IN"/>
        </w:rPr>
        <w:t>governance implications under international laws, processes and initiatives.</w:t>
      </w:r>
    </w:p>
    <w:p w14:paraId="0F2BEC34" w14:textId="70915900" w:rsidR="001B7F0E" w:rsidRPr="00C714E8" w:rsidRDefault="001B7F0E" w:rsidP="00B871B6">
      <w:pPr>
        <w:suppressAutoHyphens/>
        <w:spacing w:after="120" w:line="240" w:lineRule="auto"/>
        <w:jc w:val="both"/>
        <w:rPr>
          <w:rFonts w:ascii="Times New Roman" w:hAnsi="Times New Roman"/>
          <w:bCs/>
          <w:kern w:val="22"/>
          <w:lang w:eastAsia="hi-IN" w:bidi="hi-IN"/>
        </w:rPr>
      </w:pPr>
      <w:r w:rsidRPr="001B7F0E">
        <w:rPr>
          <w:rFonts w:ascii="Times New Roman" w:hAnsi="Times New Roman"/>
          <w:bCs/>
          <w:kern w:val="22"/>
          <w:lang w:eastAsia="hi-IN" w:bidi="hi-IN"/>
        </w:rPr>
        <w:t xml:space="preserve">The need for a more holistic approach for international governance of synthetic biology and the opportunity for this to leverage the existing initiatives and coordination mechanisms available under the Convention and its Protocols will also be </w:t>
      </w:r>
      <w:r w:rsidR="002035BD" w:rsidRPr="0A77F9B8">
        <w:rPr>
          <w:rFonts w:ascii="Times New Roman" w:hAnsi="Times New Roman"/>
          <w:lang w:eastAsia="hi-IN" w:bidi="hi-IN"/>
        </w:rPr>
        <w:t>discussed</w:t>
      </w:r>
      <w:r w:rsidRPr="001B7F0E">
        <w:rPr>
          <w:rFonts w:ascii="Times New Roman" w:hAnsi="Times New Roman"/>
          <w:bCs/>
          <w:kern w:val="22"/>
          <w:lang w:eastAsia="hi-IN" w:bidi="hi-IN"/>
        </w:rPr>
        <w:t>.</w:t>
      </w:r>
    </w:p>
    <w:p w14:paraId="2311350C" w14:textId="557807F3" w:rsidR="001B7F0E" w:rsidRPr="00C714E8" w:rsidRDefault="001B7F0E" w:rsidP="009F4205">
      <w:pPr>
        <w:pStyle w:val="Heading3"/>
        <w:rPr>
          <w:lang w:bidi="hi-IN"/>
        </w:rPr>
      </w:pPr>
      <w:bookmarkStart w:id="181" w:name="_Toc68767425"/>
      <w:bookmarkStart w:id="182" w:name="_Toc70112714"/>
      <w:bookmarkStart w:id="183" w:name="_Toc70685736"/>
      <w:r w:rsidRPr="00C714E8">
        <w:rPr>
          <w:lang w:bidi="hi-IN"/>
        </w:rPr>
        <w:t>10.</w:t>
      </w:r>
      <w:r w:rsidR="002035BD" w:rsidRPr="00C714E8">
        <w:rPr>
          <w:lang w:bidi="hi-IN"/>
        </w:rPr>
        <w:t>1</w:t>
      </w:r>
      <w:r w:rsidR="000711C5" w:rsidRPr="00C714E8">
        <w:rPr>
          <w:lang w:bidi="hi-IN"/>
        </w:rPr>
        <w:t xml:space="preserve">. </w:t>
      </w:r>
      <w:r w:rsidR="00FE1F57" w:rsidRPr="00C714E8">
        <w:rPr>
          <w:lang w:bidi="hi-IN"/>
        </w:rPr>
        <w:t>R</w:t>
      </w:r>
      <w:r w:rsidRPr="00C714E8">
        <w:rPr>
          <w:lang w:bidi="hi-IN"/>
        </w:rPr>
        <w:t>isk of harm.</w:t>
      </w:r>
      <w:bookmarkEnd w:id="181"/>
      <w:bookmarkEnd w:id="182"/>
      <w:bookmarkEnd w:id="183"/>
    </w:p>
    <w:p w14:paraId="662CE300" w14:textId="7516FEF0" w:rsidR="001B7F0E" w:rsidRPr="00C714E8" w:rsidRDefault="001822DD" w:rsidP="007640B0">
      <w:pPr>
        <w:pStyle w:val="Heading5"/>
        <w:tabs>
          <w:tab w:val="clear" w:pos="1800"/>
        </w:tabs>
        <w:ind w:left="284" w:hanging="284"/>
        <w:rPr>
          <w:lang w:bidi="hi-IN"/>
        </w:rPr>
      </w:pPr>
      <w:r w:rsidRPr="00C714E8">
        <w:rPr>
          <w:iCs/>
          <w:lang w:bidi="hi-IN"/>
        </w:rPr>
        <w:t>(a)</w:t>
      </w:r>
      <w:r w:rsidRPr="00C714E8">
        <w:rPr>
          <w:lang w:bidi="hi-IN"/>
        </w:rPr>
        <w:t xml:space="preserve"> </w:t>
      </w:r>
      <w:r w:rsidR="001B7F0E" w:rsidRPr="00C714E8">
        <w:rPr>
          <w:lang w:bidi="hi-IN"/>
        </w:rPr>
        <w:t>The risk of harm to the environment, biodiversity and human welfare.</w:t>
      </w:r>
    </w:p>
    <w:p w14:paraId="134A9F6D" w14:textId="0177F8A3" w:rsidR="004355C8" w:rsidRDefault="001B7F0E" w:rsidP="001B7F0E">
      <w:pPr>
        <w:suppressAutoHyphens/>
        <w:spacing w:after="120" w:line="240" w:lineRule="auto"/>
        <w:jc w:val="both"/>
        <w:rPr>
          <w:rFonts w:ascii="Times New Roman" w:hAnsi="Times New Roman"/>
          <w:kern w:val="22"/>
          <w:highlight w:val="yellow"/>
          <w:lang w:eastAsia="hi-IN" w:bidi="hi-IN"/>
        </w:rPr>
      </w:pPr>
      <w:r w:rsidRPr="2BA03D01">
        <w:rPr>
          <w:rFonts w:ascii="Times New Roman" w:hAnsi="Times New Roman"/>
          <w:kern w:val="22"/>
          <w:lang w:eastAsia="hi-IN" w:bidi="hi-IN"/>
        </w:rPr>
        <w:t xml:space="preserve">As the primary international instrument governing the conservation and sustainable use of biological diversity, the Convention on Biological Diversity </w:t>
      </w:r>
      <w:r w:rsidRPr="00341EE4">
        <w:rPr>
          <w:rFonts w:ascii="Times New Roman" w:hAnsi="Times New Roman"/>
          <w:kern w:val="22"/>
          <w:lang w:eastAsia="hi-IN" w:bidi="hi-IN"/>
        </w:rPr>
        <w:t xml:space="preserve">establishes a </w:t>
      </w:r>
      <w:r w:rsidRPr="007640B0">
        <w:rPr>
          <w:rFonts w:ascii="Times New Roman" w:hAnsi="Times New Roman"/>
          <w:kern w:val="22"/>
          <w:lang w:eastAsia="hi-IN" w:bidi="hi-IN"/>
        </w:rPr>
        <w:t xml:space="preserve">framework for </w:t>
      </w:r>
      <w:r w:rsidR="2DBFE617" w:rsidRPr="007640B0">
        <w:rPr>
          <w:rFonts w:ascii="Times New Roman" w:hAnsi="Times New Roman"/>
          <w:lang w:eastAsia="hi-IN" w:bidi="hi-IN"/>
        </w:rPr>
        <w:t>handling biotechnology</w:t>
      </w:r>
      <w:r w:rsidR="00AE1FF9" w:rsidRPr="007640B0">
        <w:rPr>
          <w:rFonts w:ascii="Times New Roman" w:hAnsi="Times New Roman"/>
          <w:lang w:eastAsia="hi-IN" w:bidi="hi-IN"/>
        </w:rPr>
        <w:t>. The Cartagena Protocol</w:t>
      </w:r>
      <w:r w:rsidR="001761CD" w:rsidRPr="007640B0">
        <w:rPr>
          <w:rFonts w:ascii="Times New Roman" w:hAnsi="Times New Roman"/>
          <w:lang w:eastAsia="hi-IN" w:bidi="hi-IN"/>
        </w:rPr>
        <w:t xml:space="preserve"> on Biosafety</w:t>
      </w:r>
      <w:r w:rsidR="00AB1A7B" w:rsidRPr="007640B0">
        <w:rPr>
          <w:rFonts w:ascii="Times New Roman" w:hAnsi="Times New Roman"/>
          <w:lang w:eastAsia="hi-IN" w:bidi="hi-IN"/>
        </w:rPr>
        <w:t xml:space="preserve"> offers a framework</w:t>
      </w:r>
      <w:r w:rsidR="00CB5B7E" w:rsidRPr="007640B0">
        <w:rPr>
          <w:rFonts w:ascii="Times New Roman" w:hAnsi="Times New Roman"/>
          <w:lang w:eastAsia="hi-IN" w:bidi="hi-IN"/>
        </w:rPr>
        <w:t xml:space="preserve"> for assessing </w:t>
      </w:r>
      <w:r w:rsidRPr="007640B0">
        <w:rPr>
          <w:rFonts w:ascii="Times New Roman" w:hAnsi="Times New Roman"/>
          <w:kern w:val="22"/>
          <w:lang w:eastAsia="hi-IN" w:bidi="hi-IN"/>
        </w:rPr>
        <w:t>the potential risk of harm to the environment and biodiversity</w:t>
      </w:r>
      <w:r w:rsidR="51B282A3" w:rsidRPr="007640B0">
        <w:rPr>
          <w:rFonts w:ascii="Times New Roman" w:hAnsi="Times New Roman"/>
          <w:lang w:eastAsia="hi-IN" w:bidi="hi-IN"/>
        </w:rPr>
        <w:t>, and as appropriate,</w:t>
      </w:r>
      <w:r w:rsidRPr="007640B0">
        <w:rPr>
          <w:rFonts w:ascii="Times New Roman" w:hAnsi="Times New Roman"/>
          <w:kern w:val="22"/>
          <w:lang w:eastAsia="hi-IN" w:bidi="hi-IN"/>
        </w:rPr>
        <w:t xml:space="preserve"> </w:t>
      </w:r>
      <w:r w:rsidR="040CD506" w:rsidRPr="007640B0">
        <w:rPr>
          <w:rFonts w:ascii="Times New Roman" w:hAnsi="Times New Roman"/>
          <w:kern w:val="22"/>
          <w:lang w:eastAsia="hi-IN" w:bidi="hi-IN"/>
        </w:rPr>
        <w:t xml:space="preserve">to </w:t>
      </w:r>
      <w:r w:rsidR="040CD506" w:rsidRPr="007640B0">
        <w:rPr>
          <w:rFonts w:ascii="Times New Roman" w:hAnsi="Times New Roman"/>
          <w:lang w:eastAsia="hi-IN" w:bidi="hi-IN"/>
        </w:rPr>
        <w:t>human health,</w:t>
      </w:r>
      <w:r w:rsidRPr="007640B0">
        <w:rPr>
          <w:rFonts w:ascii="Times New Roman" w:hAnsi="Times New Roman"/>
          <w:lang w:eastAsia="hi-IN" w:bidi="hi-IN"/>
        </w:rPr>
        <w:t xml:space="preserve"> </w:t>
      </w:r>
      <w:r w:rsidRPr="007640B0">
        <w:rPr>
          <w:rFonts w:ascii="Times New Roman" w:hAnsi="Times New Roman"/>
          <w:kern w:val="22"/>
          <w:lang w:eastAsia="hi-IN" w:bidi="hi-IN"/>
        </w:rPr>
        <w:t xml:space="preserve">that may be caused by </w:t>
      </w:r>
      <w:r w:rsidR="139B042B" w:rsidRPr="007640B0">
        <w:rPr>
          <w:rFonts w:ascii="Times New Roman" w:hAnsi="Times New Roman"/>
          <w:lang w:eastAsia="hi-IN" w:bidi="hi-IN"/>
        </w:rPr>
        <w:t xml:space="preserve">the transboundary movement of </w:t>
      </w:r>
      <w:r w:rsidR="23EB93E8" w:rsidRPr="007640B0">
        <w:rPr>
          <w:rFonts w:ascii="Times New Roman" w:hAnsi="Times New Roman"/>
          <w:lang w:eastAsia="hi-IN" w:bidi="hi-IN"/>
        </w:rPr>
        <w:t>LMOs</w:t>
      </w:r>
      <w:r w:rsidR="00CB5B7E" w:rsidRPr="007640B0">
        <w:rPr>
          <w:rFonts w:ascii="Times New Roman" w:hAnsi="Times New Roman"/>
          <w:lang w:eastAsia="hi-IN" w:bidi="hi-IN"/>
        </w:rPr>
        <w:t xml:space="preserve"> derived from </w:t>
      </w:r>
      <w:r w:rsidRPr="007640B0">
        <w:rPr>
          <w:rFonts w:ascii="Times New Roman" w:hAnsi="Times New Roman"/>
          <w:kern w:val="22"/>
          <w:lang w:eastAsia="hi-IN" w:bidi="hi-IN"/>
        </w:rPr>
        <w:t>synthetic biology.</w:t>
      </w:r>
      <w:r w:rsidRPr="007640B0">
        <w:rPr>
          <w:rFonts w:ascii="Times New Roman" w:hAnsi="Times New Roman"/>
          <w:lang w:eastAsia="hi-IN" w:bidi="hi-IN"/>
        </w:rPr>
        <w:t xml:space="preserve"> </w:t>
      </w:r>
      <w:r w:rsidR="5C0DBF98" w:rsidRPr="007640B0">
        <w:rPr>
          <w:rFonts w:ascii="Times New Roman" w:hAnsi="Times New Roman"/>
          <w:lang w:eastAsia="hi-IN" w:bidi="hi-IN"/>
        </w:rPr>
        <w:t>The p</w:t>
      </w:r>
      <w:r w:rsidR="00664B06" w:rsidRPr="007640B0">
        <w:rPr>
          <w:rFonts w:ascii="Times New Roman" w:hAnsi="Times New Roman"/>
          <w:lang w:eastAsia="hi-IN" w:bidi="hi-IN"/>
        </w:rPr>
        <w:t>rovisions on biosafety and</w:t>
      </w:r>
      <w:r w:rsidR="64DC80D4" w:rsidRPr="007640B0">
        <w:rPr>
          <w:rFonts w:ascii="Times New Roman" w:hAnsi="Times New Roman"/>
          <w:lang w:eastAsia="hi-IN" w:bidi="hi-IN"/>
        </w:rPr>
        <w:t xml:space="preserve"> </w:t>
      </w:r>
      <w:r w:rsidR="052FC08A" w:rsidRPr="007640B0">
        <w:rPr>
          <w:rFonts w:ascii="Times New Roman" w:hAnsi="Times New Roman"/>
          <w:lang w:eastAsia="hi-IN" w:bidi="hi-IN"/>
        </w:rPr>
        <w:t>the requirement to take into account</w:t>
      </w:r>
      <w:r w:rsidR="00664B06" w:rsidRPr="007640B0">
        <w:rPr>
          <w:rFonts w:ascii="Times New Roman" w:hAnsi="Times New Roman"/>
          <w:lang w:eastAsia="hi-IN" w:bidi="hi-IN"/>
        </w:rPr>
        <w:t xml:space="preserve"> the precautionary approach in decision-making are particularly</w:t>
      </w:r>
      <w:r w:rsidR="00664B06" w:rsidRPr="001B7F0E">
        <w:rPr>
          <w:rFonts w:ascii="Times New Roman" w:hAnsi="Times New Roman"/>
          <w:lang w:eastAsia="hi-IN" w:bidi="hi-IN"/>
        </w:rPr>
        <w:t xml:space="preserve"> relevant to the governance of synthetic biology</w:t>
      </w:r>
      <w:r w:rsidR="00664B06" w:rsidRPr="302D7289">
        <w:rPr>
          <w:rFonts w:ascii="Times New Roman" w:hAnsi="Times New Roman"/>
          <w:lang w:eastAsia="hi-IN" w:bidi="hi-IN"/>
        </w:rPr>
        <w:t>.</w:t>
      </w:r>
    </w:p>
    <w:p w14:paraId="630D6871" w14:textId="52606F8F" w:rsidR="001B7F0E" w:rsidRPr="001B7F0E" w:rsidRDefault="001B7F0E" w:rsidP="001B7F0E">
      <w:pPr>
        <w:suppressAutoHyphens/>
        <w:spacing w:after="120" w:line="240" w:lineRule="auto"/>
        <w:jc w:val="both"/>
        <w:rPr>
          <w:rFonts w:ascii="Times New Roman" w:hAnsi="Times New Roman"/>
          <w:bCs/>
          <w:kern w:val="22"/>
          <w:u w:val="single"/>
          <w:lang w:eastAsia="hi-IN" w:bidi="hi-IN"/>
        </w:rPr>
      </w:pPr>
      <w:r w:rsidRPr="001B7F0E">
        <w:rPr>
          <w:rFonts w:ascii="Times New Roman" w:hAnsi="Times New Roman"/>
          <w:bCs/>
          <w:kern w:val="22"/>
          <w:lang w:eastAsia="hi-IN" w:bidi="hi-IN"/>
        </w:rPr>
        <w:t>Additionally, its Nagoya – Kuala Lumpur Supplementary Protocol provides international rules and procedures in the field of liability and redress relating to LMOs and the Conference of the Parties have reaffirmed the importance of participatory decision-making by IPLCs and their adequate consultation in the context of biosafety.</w:t>
      </w:r>
    </w:p>
    <w:p w14:paraId="146C910B" w14:textId="3D562974" w:rsidR="001B7F0E" w:rsidRPr="001B7F0E" w:rsidRDefault="001B7F0E" w:rsidP="001B7F0E">
      <w:pPr>
        <w:suppressAutoHyphens/>
        <w:spacing w:after="120" w:line="240" w:lineRule="auto"/>
        <w:jc w:val="both"/>
        <w:rPr>
          <w:rFonts w:ascii="Times New Roman" w:hAnsi="Times New Roman"/>
          <w:bCs/>
          <w:kern w:val="22"/>
          <w:lang w:eastAsia="hi-IN" w:bidi="hi-IN"/>
        </w:rPr>
      </w:pPr>
      <w:r w:rsidRPr="001B7F0E">
        <w:rPr>
          <w:rFonts w:ascii="Times New Roman" w:hAnsi="Times New Roman"/>
          <w:bCs/>
          <w:kern w:val="22"/>
          <w:lang w:eastAsia="hi-IN" w:bidi="hi-IN"/>
        </w:rPr>
        <w:t>Th</w:t>
      </w:r>
      <w:r w:rsidR="00B83D4F">
        <w:rPr>
          <w:rFonts w:ascii="Times New Roman" w:hAnsi="Times New Roman"/>
          <w:bCs/>
          <w:kern w:val="22"/>
          <w:lang w:eastAsia="hi-IN" w:bidi="hi-IN"/>
        </w:rPr>
        <w:t>e</w:t>
      </w:r>
      <w:r w:rsidRPr="001B7F0E">
        <w:rPr>
          <w:rFonts w:ascii="Times New Roman" w:hAnsi="Times New Roman"/>
          <w:bCs/>
          <w:kern w:val="22"/>
          <w:lang w:eastAsia="hi-IN" w:bidi="hi-IN"/>
        </w:rPr>
        <w:t xml:space="preserve"> framework established under the Convention</w:t>
      </w:r>
      <w:r w:rsidR="00C17C39" w:rsidRPr="43119BBF">
        <w:rPr>
          <w:rFonts w:ascii="Times New Roman" w:hAnsi="Times New Roman"/>
          <w:lang w:eastAsia="hi-IN" w:bidi="hi-IN"/>
        </w:rPr>
        <w:t>, which includes biosafety considerations</w:t>
      </w:r>
      <w:r w:rsidR="007B4C89" w:rsidRPr="43119BBF">
        <w:rPr>
          <w:rFonts w:ascii="Times New Roman" w:hAnsi="Times New Roman"/>
          <w:lang w:eastAsia="hi-IN" w:bidi="hi-IN"/>
        </w:rPr>
        <w:t>,</w:t>
      </w:r>
      <w:r w:rsidRPr="001B7F0E">
        <w:rPr>
          <w:rFonts w:ascii="Times New Roman" w:hAnsi="Times New Roman"/>
          <w:bCs/>
          <w:kern w:val="22"/>
          <w:lang w:eastAsia="hi-IN" w:bidi="hi-IN"/>
        </w:rPr>
        <w:t xml:space="preserve"> is complemented by other international instruments focusing on biosecurity and containment which also have implications for harm to the environment and biodiversity. These include the Biological Weapons Convention which would apply to the use of components, organisms and products resulting from synthetic biology techniques for hostile purposes or in armed conflict, as well as the Environmental Modification Convention which would apply to the use of synthetic biology techniques to modify weather for the purposes of inducing damage or destruction. So far, these appear to have devoted limited attention to evaluating the risk of harm arising from synthetic biology techniques, however, given the dual-use concerns associated with synthetic biology, a closer examination concerning biosecurity risks and the mitigation of harm to the environment, biological diversity and human welfare appears likely and this will </w:t>
      </w:r>
      <w:r w:rsidR="001E6314" w:rsidRPr="43119BBF">
        <w:rPr>
          <w:rFonts w:ascii="Times New Roman" w:hAnsi="Times New Roman"/>
          <w:lang w:eastAsia="hi-IN" w:bidi="hi-IN"/>
        </w:rPr>
        <w:t>likely</w:t>
      </w:r>
      <w:r w:rsidRPr="001B7F0E">
        <w:rPr>
          <w:rFonts w:ascii="Times New Roman" w:hAnsi="Times New Roman"/>
          <w:bCs/>
          <w:kern w:val="22"/>
          <w:lang w:eastAsia="hi-IN" w:bidi="hi-IN"/>
        </w:rPr>
        <w:t xml:space="preserve"> take into consideration of the substantial body of work to date under the Convention and its Protocols.</w:t>
      </w:r>
    </w:p>
    <w:p w14:paraId="1E1934C5" w14:textId="4BA76AE4" w:rsidR="00812262" w:rsidRPr="00341EE4" w:rsidRDefault="001B7F0E" w:rsidP="00812262">
      <w:pPr>
        <w:suppressAutoHyphens/>
        <w:spacing w:after="120" w:line="240" w:lineRule="auto"/>
        <w:jc w:val="both"/>
        <w:rPr>
          <w:rFonts w:ascii="Times New Roman" w:hAnsi="Times New Roman"/>
          <w:bCs/>
          <w:kern w:val="22"/>
          <w:lang w:eastAsia="hi-IN" w:bidi="hi-IN"/>
        </w:rPr>
      </w:pPr>
      <w:r w:rsidRPr="001B7F0E">
        <w:rPr>
          <w:rFonts w:ascii="Times New Roman" w:hAnsi="Times New Roman"/>
          <w:bCs/>
          <w:kern w:val="22"/>
          <w:lang w:eastAsia="hi-IN" w:bidi="hi-IN"/>
        </w:rPr>
        <w:t>Other international instruments and initiatives focusing on IPLCs and participatory decision-making through their FPIC also complement the framework established under the Convention. Alongside the Convention, the Indigenous and Tribal Peoples Convention and the UN Declaration on the Rights of Indigenous Peoples safeguard the rights and interests of IPLCs and contribute to evolving principles underpinning FPIC and its implementation. Recent decisions by the COP to the Convention have explicitly recognised the importance of FPIC of IPLCs in the context of the environmental release of engineered gene drive organisms, however, as noted in Section 10.</w:t>
      </w:r>
      <w:r w:rsidR="00D50B0F">
        <w:rPr>
          <w:rFonts w:ascii="Times New Roman" w:hAnsi="Times New Roman"/>
          <w:bCs/>
          <w:kern w:val="22"/>
          <w:lang w:eastAsia="hi-IN" w:bidi="hi-IN"/>
        </w:rPr>
        <w:t>6</w:t>
      </w:r>
      <w:r w:rsidRPr="001B7F0E">
        <w:rPr>
          <w:rFonts w:ascii="Times New Roman" w:hAnsi="Times New Roman"/>
          <w:bCs/>
          <w:kern w:val="22"/>
          <w:lang w:eastAsia="hi-IN" w:bidi="hi-IN"/>
        </w:rPr>
        <w:t xml:space="preserve">., challenges remain in the translation of FPIC principles into effective and standardised protocols for community consultations and participatory-decision-making. </w:t>
      </w:r>
    </w:p>
    <w:p w14:paraId="3002D076" w14:textId="41E84E77" w:rsidR="001B7F0E" w:rsidRDefault="001B7F0E" w:rsidP="001B7F0E">
      <w:pPr>
        <w:suppressAutoHyphens/>
        <w:spacing w:after="120" w:line="240" w:lineRule="auto"/>
        <w:jc w:val="both"/>
        <w:rPr>
          <w:rFonts w:ascii="Times New Roman" w:hAnsi="Times New Roman"/>
          <w:bCs/>
          <w:kern w:val="22"/>
          <w:lang w:eastAsia="hi-IN" w:bidi="hi-IN"/>
        </w:rPr>
      </w:pPr>
      <w:r w:rsidRPr="001B7F0E">
        <w:rPr>
          <w:rFonts w:ascii="Times New Roman" w:hAnsi="Times New Roman"/>
          <w:bCs/>
          <w:kern w:val="22"/>
          <w:lang w:eastAsia="hi-IN" w:bidi="hi-IN"/>
        </w:rPr>
        <w:t xml:space="preserve">In instances in which synthetic biology organisms or applications </w:t>
      </w:r>
      <w:r w:rsidR="007864FF">
        <w:rPr>
          <w:rFonts w:ascii="Times New Roman" w:hAnsi="Times New Roman"/>
          <w:bCs/>
          <w:kern w:val="22"/>
          <w:lang w:eastAsia="hi-IN" w:bidi="hi-IN"/>
        </w:rPr>
        <w:t>were</w:t>
      </w:r>
      <w:r w:rsidRPr="001B7F0E">
        <w:rPr>
          <w:rFonts w:ascii="Times New Roman" w:hAnsi="Times New Roman"/>
          <w:bCs/>
          <w:kern w:val="22"/>
          <w:lang w:eastAsia="hi-IN" w:bidi="hi-IN"/>
        </w:rPr>
        <w:t xml:space="preserve"> outside of the scope of the Convention</w:t>
      </w:r>
      <w:r w:rsidR="00F069D7">
        <w:rPr>
          <w:rFonts w:ascii="Times New Roman" w:hAnsi="Times New Roman"/>
          <w:bCs/>
          <w:kern w:val="22"/>
          <w:lang w:eastAsia="hi-IN" w:bidi="hi-IN"/>
        </w:rPr>
        <w:t xml:space="preserve"> and its Protocols</w:t>
      </w:r>
      <w:r w:rsidRPr="001B7F0E">
        <w:rPr>
          <w:rFonts w:ascii="Times New Roman" w:hAnsi="Times New Roman"/>
          <w:bCs/>
          <w:kern w:val="22"/>
          <w:lang w:eastAsia="hi-IN" w:bidi="hi-IN"/>
        </w:rPr>
        <w:t>, general principles of international law such as the duty to avoid transboundary harm and the need to conduct an environmental impact assessment, together with the rules of State responsibility, may provide some guidance relevant to addressing potential negative impacts resulting from the application of synthetic biology techniques</w:t>
      </w:r>
      <w:r w:rsidR="00777EA2">
        <w:rPr>
          <w:rFonts w:ascii="Times New Roman" w:hAnsi="Times New Roman"/>
          <w:bCs/>
          <w:kern w:val="22"/>
          <w:lang w:eastAsia="hi-IN" w:bidi="hi-IN"/>
        </w:rPr>
        <w:t>;</w:t>
      </w:r>
      <w:r w:rsidRPr="001B7F0E">
        <w:rPr>
          <w:rFonts w:ascii="Times New Roman" w:hAnsi="Times New Roman"/>
          <w:bCs/>
          <w:kern w:val="22"/>
          <w:lang w:eastAsia="hi-IN" w:bidi="hi-IN"/>
        </w:rPr>
        <w:t xml:space="preserve"> however, these would still form an incomplete basis to address all potential positive and potential negative impacts derived from the range of uncertainties from their application especially in the absence of specific guidance. Additionally, self-regulation by the synthetic biology community</w:t>
      </w:r>
      <w:r w:rsidR="008F7B80">
        <w:rPr>
          <w:rFonts w:ascii="Times New Roman" w:hAnsi="Times New Roman"/>
          <w:bCs/>
          <w:kern w:val="22"/>
          <w:lang w:eastAsia="hi-IN" w:bidi="hi-IN"/>
        </w:rPr>
        <w:t xml:space="preserve"> may</w:t>
      </w:r>
      <w:r w:rsidRPr="001B7F0E">
        <w:rPr>
          <w:rFonts w:ascii="Times New Roman" w:hAnsi="Times New Roman"/>
          <w:bCs/>
          <w:kern w:val="22"/>
          <w:lang w:eastAsia="hi-IN" w:bidi="hi-IN"/>
        </w:rPr>
        <w:t xml:space="preserve"> also play an important role in mitigating the risk of harm, whether to the environment and biodiversity, or human welfare more generally. So called “dual-use” technologies in particular have the potential to undermine public confidence regarding the safe use of synthetic biology techniques. Uncertainty and heightened sensitivity associated with the possibility that synthetic biology techniques could be deliberately misused or misappropriated could hamper the development of useful synthetic biology applications. Scientists, their host institutions and funding bodies should consider whether their planned research could result in harm or be misused. Measures that reduce the likelihood of misuse and its consequences should be implemented and clearly communicated.</w:t>
      </w:r>
    </w:p>
    <w:p w14:paraId="5537458F" w14:textId="206C75F7" w:rsidR="00294DAF" w:rsidRPr="001B7F0E" w:rsidRDefault="00294DAF" w:rsidP="00294DAF">
      <w:pPr>
        <w:suppressAutoHyphens/>
        <w:spacing w:after="120" w:line="240" w:lineRule="auto"/>
        <w:jc w:val="both"/>
        <w:rPr>
          <w:rFonts w:ascii="Times New Roman" w:hAnsi="Times New Roman"/>
          <w:bCs/>
          <w:kern w:val="22"/>
          <w:lang w:eastAsia="hi-IN" w:bidi="hi-IN"/>
        </w:rPr>
      </w:pPr>
      <w:r w:rsidRPr="00294DAF">
        <w:rPr>
          <w:rFonts w:ascii="Times New Roman" w:hAnsi="Times New Roman"/>
          <w:bCs/>
          <w:kern w:val="22"/>
          <w:lang w:eastAsia="hi-IN" w:bidi="hi-IN"/>
        </w:rPr>
        <w:t>Gaps could occur where components and products resulting from synthetic biology techniques do not fall within the scope of a treaty regime.</w:t>
      </w:r>
    </w:p>
    <w:p w14:paraId="770403B9" w14:textId="28DAABAC" w:rsidR="001B7F0E" w:rsidRPr="001B7F0E" w:rsidRDefault="00546F31" w:rsidP="007640B0">
      <w:pPr>
        <w:pStyle w:val="Heading5"/>
        <w:tabs>
          <w:tab w:val="clear" w:pos="1800"/>
        </w:tabs>
        <w:ind w:left="284" w:hanging="284"/>
        <w:rPr>
          <w:iCs/>
          <w:lang w:bidi="hi-IN"/>
        </w:rPr>
      </w:pPr>
      <w:r w:rsidRPr="00521A76">
        <w:rPr>
          <w:iCs/>
          <w:lang w:bidi="hi-IN"/>
        </w:rPr>
        <w:t>(b)</w:t>
      </w:r>
      <w:r>
        <w:rPr>
          <w:lang w:bidi="hi-IN"/>
        </w:rPr>
        <w:t xml:space="preserve"> </w:t>
      </w:r>
      <w:r w:rsidR="001B7F0E" w:rsidRPr="001B7F0E">
        <w:rPr>
          <w:lang w:bidi="hi-IN"/>
        </w:rPr>
        <w:t xml:space="preserve">The risk of harm related to human health.  </w:t>
      </w:r>
    </w:p>
    <w:p w14:paraId="700FCDA2" w14:textId="288159D1" w:rsidR="001B7F0E" w:rsidRPr="001B7F0E" w:rsidRDefault="001B7F0E" w:rsidP="001B7F0E">
      <w:pPr>
        <w:suppressAutoHyphens/>
        <w:spacing w:after="120" w:line="240" w:lineRule="auto"/>
        <w:jc w:val="both"/>
        <w:rPr>
          <w:rFonts w:ascii="Times New Roman" w:hAnsi="Times New Roman"/>
          <w:kern w:val="22"/>
          <w:lang w:val="en-CA" w:eastAsia="hi-IN" w:bidi="hi-IN"/>
        </w:rPr>
      </w:pPr>
      <w:r w:rsidRPr="001B7F0E">
        <w:rPr>
          <w:rFonts w:ascii="Times New Roman" w:hAnsi="Times New Roman"/>
          <w:kern w:val="22"/>
          <w:lang w:val="en-CA" w:eastAsia="hi-IN" w:bidi="hi-IN"/>
        </w:rPr>
        <w:t xml:space="preserve">The Convention on Biological Diversity and its </w:t>
      </w:r>
      <w:r w:rsidR="00820F20">
        <w:rPr>
          <w:rFonts w:ascii="Times New Roman" w:hAnsi="Times New Roman"/>
          <w:kern w:val="22"/>
          <w:lang w:val="en-CA" w:eastAsia="hi-IN" w:bidi="hi-IN"/>
        </w:rPr>
        <w:t>biosafety-related</w:t>
      </w:r>
      <w:r w:rsidRPr="001B7F0E">
        <w:rPr>
          <w:rFonts w:ascii="Times New Roman" w:hAnsi="Times New Roman"/>
          <w:kern w:val="22"/>
          <w:lang w:val="en-CA" w:eastAsia="hi-IN" w:bidi="hi-IN"/>
        </w:rPr>
        <w:t xml:space="preserve"> Protocols </w:t>
      </w:r>
      <w:r w:rsidR="009F470E">
        <w:rPr>
          <w:rFonts w:ascii="Times New Roman" w:hAnsi="Times New Roman"/>
          <w:kern w:val="22"/>
          <w:lang w:val="en-CA" w:eastAsia="hi-IN" w:bidi="hi-IN"/>
        </w:rPr>
        <w:t>enable Parties to</w:t>
      </w:r>
      <w:r w:rsidR="009F470E" w:rsidRPr="001B7F0E">
        <w:rPr>
          <w:rFonts w:ascii="Times New Roman" w:hAnsi="Times New Roman"/>
          <w:kern w:val="22"/>
          <w:lang w:val="en-CA" w:eastAsia="hi-IN" w:bidi="hi-IN"/>
        </w:rPr>
        <w:t xml:space="preserve"> </w:t>
      </w:r>
      <w:r w:rsidRPr="001B7F0E">
        <w:rPr>
          <w:rFonts w:ascii="Times New Roman" w:hAnsi="Times New Roman"/>
          <w:kern w:val="22"/>
          <w:lang w:val="en-CA" w:eastAsia="hi-IN" w:bidi="hi-IN"/>
        </w:rPr>
        <w:t xml:space="preserve">take into account risks to human health as part of the evaluation and mitigation of risks associated with the use and release of LMOs which are likely to have adverse environmental impacts that could affect the conservation and sustainable use of biological diversity. </w:t>
      </w:r>
    </w:p>
    <w:p w14:paraId="2950C2C1" w14:textId="1DFA5E9A" w:rsidR="001B7F0E" w:rsidRPr="001B7F0E" w:rsidRDefault="001B7F0E" w:rsidP="001B7F0E">
      <w:pPr>
        <w:suppressAutoHyphens/>
        <w:spacing w:after="120" w:line="240" w:lineRule="auto"/>
        <w:jc w:val="both"/>
        <w:rPr>
          <w:rFonts w:ascii="Times New Roman" w:hAnsi="Times New Roman"/>
          <w:kern w:val="22"/>
          <w:lang w:val="en-CA" w:eastAsia="hi-IN" w:bidi="hi-IN"/>
        </w:rPr>
      </w:pPr>
      <w:r w:rsidRPr="001B7F0E">
        <w:rPr>
          <w:rFonts w:ascii="Times New Roman" w:hAnsi="Times New Roman"/>
          <w:kern w:val="22"/>
          <w:lang w:val="en-CA" w:eastAsia="hi-IN" w:bidi="hi-IN"/>
        </w:rPr>
        <w:t>The</w:t>
      </w:r>
      <w:r w:rsidR="007D33B0">
        <w:rPr>
          <w:rFonts w:ascii="Times New Roman" w:hAnsi="Times New Roman"/>
          <w:kern w:val="22"/>
          <w:lang w:val="en-CA" w:eastAsia="hi-IN" w:bidi="hi-IN"/>
        </w:rPr>
        <w:t>re</w:t>
      </w:r>
      <w:r w:rsidR="00EB3A74">
        <w:rPr>
          <w:rFonts w:ascii="Times New Roman" w:hAnsi="Times New Roman"/>
          <w:kern w:val="22"/>
          <w:lang w:val="en-CA" w:eastAsia="hi-IN" w:bidi="hi-IN"/>
        </w:rPr>
        <w:t xml:space="preserve"> are other international organisations (e.g</w:t>
      </w:r>
      <w:r w:rsidR="00041F4B">
        <w:rPr>
          <w:rFonts w:ascii="Times New Roman" w:hAnsi="Times New Roman"/>
          <w:kern w:val="22"/>
          <w:lang w:val="en-CA" w:eastAsia="hi-IN" w:bidi="hi-IN"/>
        </w:rPr>
        <w:t>.</w:t>
      </w:r>
      <w:r w:rsidR="00EB3A74">
        <w:rPr>
          <w:rFonts w:ascii="Times New Roman" w:hAnsi="Times New Roman"/>
          <w:kern w:val="22"/>
          <w:lang w:val="en-CA" w:eastAsia="hi-IN" w:bidi="hi-IN"/>
        </w:rPr>
        <w:t xml:space="preserve"> WHO) </w:t>
      </w:r>
      <w:r w:rsidR="00041F4B">
        <w:rPr>
          <w:rFonts w:ascii="Times New Roman" w:hAnsi="Times New Roman"/>
          <w:kern w:val="22"/>
          <w:lang w:val="en-CA" w:eastAsia="hi-IN" w:bidi="hi-IN"/>
        </w:rPr>
        <w:t>with</w:t>
      </w:r>
      <w:r w:rsidR="00EB3A74">
        <w:rPr>
          <w:rFonts w:ascii="Times New Roman" w:hAnsi="Times New Roman"/>
          <w:kern w:val="22"/>
          <w:lang w:val="en-CA" w:eastAsia="hi-IN" w:bidi="hi-IN"/>
        </w:rPr>
        <w:t xml:space="preserve"> mandate</w:t>
      </w:r>
      <w:r w:rsidR="00041F4B">
        <w:rPr>
          <w:rFonts w:ascii="Times New Roman" w:hAnsi="Times New Roman"/>
          <w:kern w:val="22"/>
          <w:lang w:val="en-CA" w:eastAsia="hi-IN" w:bidi="hi-IN"/>
        </w:rPr>
        <w:t>s that are</w:t>
      </w:r>
      <w:r w:rsidR="00EB3A74">
        <w:rPr>
          <w:rFonts w:ascii="Times New Roman" w:hAnsi="Times New Roman"/>
          <w:kern w:val="22"/>
          <w:lang w:val="en-CA" w:eastAsia="hi-IN" w:bidi="hi-IN"/>
        </w:rPr>
        <w:t xml:space="preserve"> directly related to </w:t>
      </w:r>
      <w:r w:rsidR="00114105">
        <w:rPr>
          <w:rFonts w:ascii="Times New Roman" w:hAnsi="Times New Roman"/>
          <w:kern w:val="22"/>
          <w:lang w:val="en-CA" w:eastAsia="hi-IN" w:bidi="hi-IN"/>
        </w:rPr>
        <w:t>human health issues</w:t>
      </w:r>
      <w:r w:rsidR="008505BE">
        <w:rPr>
          <w:rFonts w:ascii="Times New Roman" w:hAnsi="Times New Roman"/>
          <w:kern w:val="22"/>
          <w:lang w:val="en-CA" w:eastAsia="hi-IN" w:bidi="hi-IN"/>
        </w:rPr>
        <w:t>.</w:t>
      </w:r>
      <w:r w:rsidR="00A43CB8">
        <w:rPr>
          <w:rFonts w:ascii="Times New Roman" w:hAnsi="Times New Roman"/>
          <w:kern w:val="22"/>
          <w:lang w:val="en-CA" w:eastAsia="hi-IN" w:bidi="hi-IN"/>
        </w:rPr>
        <w:t xml:space="preserve"> This</w:t>
      </w:r>
      <w:r w:rsidR="00114105">
        <w:rPr>
          <w:rFonts w:ascii="Times New Roman" w:hAnsi="Times New Roman"/>
          <w:kern w:val="22"/>
          <w:lang w:val="en-CA" w:eastAsia="hi-IN" w:bidi="hi-IN"/>
        </w:rPr>
        <w:t xml:space="preserve"> somehow implie</w:t>
      </w:r>
      <w:r w:rsidR="00A43CB8">
        <w:rPr>
          <w:rFonts w:ascii="Times New Roman" w:hAnsi="Times New Roman"/>
          <w:kern w:val="22"/>
          <w:lang w:val="en-CA" w:eastAsia="hi-IN" w:bidi="hi-IN"/>
        </w:rPr>
        <w:t xml:space="preserve">s that there could be </w:t>
      </w:r>
      <w:r w:rsidRPr="001B7F0E">
        <w:rPr>
          <w:rFonts w:ascii="Times New Roman" w:hAnsi="Times New Roman"/>
          <w:kern w:val="22"/>
          <w:lang w:val="en-CA" w:eastAsia="hi-IN" w:bidi="hi-IN"/>
        </w:rPr>
        <w:t xml:space="preserve">potential </w:t>
      </w:r>
      <w:r w:rsidR="006B5760">
        <w:rPr>
          <w:rFonts w:ascii="Times New Roman" w:hAnsi="Times New Roman"/>
          <w:kern w:val="22"/>
          <w:lang w:val="en-CA" w:eastAsia="hi-IN" w:bidi="hi-IN"/>
        </w:rPr>
        <w:t>interactions</w:t>
      </w:r>
      <w:r w:rsidRPr="001B7F0E">
        <w:rPr>
          <w:rFonts w:ascii="Times New Roman" w:hAnsi="Times New Roman"/>
          <w:kern w:val="22"/>
          <w:lang w:val="en-CA" w:eastAsia="hi-IN" w:bidi="hi-IN"/>
        </w:rPr>
        <w:t xml:space="preserve"> </w:t>
      </w:r>
      <w:r w:rsidR="008505BE">
        <w:rPr>
          <w:rFonts w:ascii="Times New Roman" w:hAnsi="Times New Roman"/>
          <w:kern w:val="22"/>
          <w:lang w:val="en-CA" w:eastAsia="hi-IN" w:bidi="hi-IN"/>
        </w:rPr>
        <w:t>amongst</w:t>
      </w:r>
      <w:r w:rsidR="00A43CB8">
        <w:rPr>
          <w:rFonts w:ascii="Times New Roman" w:hAnsi="Times New Roman"/>
          <w:kern w:val="22"/>
          <w:lang w:val="en-CA" w:eastAsia="hi-IN" w:bidi="hi-IN"/>
        </w:rPr>
        <w:t xml:space="preserve"> </w:t>
      </w:r>
      <w:r w:rsidR="00067D31">
        <w:rPr>
          <w:rFonts w:ascii="Times New Roman" w:hAnsi="Times New Roman"/>
          <w:kern w:val="22"/>
          <w:lang w:val="en-CA" w:eastAsia="hi-IN" w:bidi="hi-IN"/>
        </w:rPr>
        <w:t>various organisations</w:t>
      </w:r>
      <w:r w:rsidRPr="001B7F0E">
        <w:rPr>
          <w:rFonts w:ascii="Times New Roman" w:hAnsi="Times New Roman"/>
          <w:kern w:val="22"/>
          <w:lang w:val="en-CA" w:eastAsia="hi-IN" w:bidi="hi-IN"/>
        </w:rPr>
        <w:t xml:space="preserve"> in relation to applications of synthetic biology which have implications for human health. In a containment context, </w:t>
      </w:r>
      <w:r w:rsidR="00067D31">
        <w:rPr>
          <w:rFonts w:ascii="Times New Roman" w:hAnsi="Times New Roman"/>
          <w:kern w:val="22"/>
          <w:lang w:val="en-CA" w:eastAsia="hi-IN" w:bidi="hi-IN"/>
        </w:rPr>
        <w:t>for instance,</w:t>
      </w:r>
      <w:r w:rsidRPr="001B7F0E">
        <w:rPr>
          <w:rFonts w:ascii="Times New Roman" w:hAnsi="Times New Roman"/>
          <w:kern w:val="22"/>
          <w:lang w:val="en-CA" w:eastAsia="hi-IN" w:bidi="hi-IN"/>
        </w:rPr>
        <w:t xml:space="preserve">  </w:t>
      </w:r>
      <w:r w:rsidR="00082E3D">
        <w:rPr>
          <w:rFonts w:ascii="Times New Roman" w:hAnsi="Times New Roman"/>
          <w:kern w:val="22"/>
          <w:lang w:val="en-CA" w:eastAsia="hi-IN" w:bidi="hi-IN"/>
        </w:rPr>
        <w:t xml:space="preserve">the </w:t>
      </w:r>
      <w:r w:rsidRPr="001B7F0E">
        <w:rPr>
          <w:rFonts w:ascii="Times New Roman" w:hAnsi="Times New Roman"/>
          <w:kern w:val="22"/>
          <w:lang w:val="en-CA" w:eastAsia="hi-IN" w:bidi="hi-IN"/>
        </w:rPr>
        <w:t xml:space="preserve">Laboratory Safety Manual </w:t>
      </w:r>
      <w:r w:rsidR="002737BF">
        <w:rPr>
          <w:rFonts w:ascii="Times New Roman" w:hAnsi="Times New Roman"/>
          <w:kern w:val="22"/>
          <w:lang w:val="en-CA" w:eastAsia="hi-IN" w:bidi="hi-IN"/>
        </w:rPr>
        <w:t xml:space="preserve">of the WHO </w:t>
      </w:r>
      <w:r w:rsidRPr="001B7F0E">
        <w:rPr>
          <w:rFonts w:ascii="Times New Roman" w:hAnsi="Times New Roman"/>
          <w:kern w:val="22"/>
          <w:lang w:val="en-CA" w:eastAsia="hi-IN" w:bidi="hi-IN"/>
        </w:rPr>
        <w:t>provides guidance regarding biosafety in the context of clinical and public health, and also in contexts which have implications for biosecurity, such as guidance concerning the handling of smallpox to mitigate the risk of its re-emergence or inappropriate use given the ease with which it can be manufactured using synthetic biology techniques in the absence of appropriate safeguards</w:t>
      </w:r>
      <w:r w:rsidR="00850DF0">
        <w:rPr>
          <w:rFonts w:ascii="Times New Roman" w:hAnsi="Times New Roman"/>
          <w:kern w:val="22"/>
          <w:lang w:val="en-CA" w:eastAsia="hi-IN" w:bidi="hi-IN"/>
        </w:rPr>
        <w:t xml:space="preserve"> </w:t>
      </w:r>
      <w:r w:rsidR="009D0417">
        <w:rPr>
          <w:rFonts w:ascii="Times New Roman" w:hAnsi="Times New Roman"/>
          <w:kern w:val="22"/>
          <w:lang w:val="en-CA" w:eastAsia="hi-IN" w:bidi="hi-IN"/>
        </w:rPr>
        <w:t xml:space="preserve">could be seen as complementary to the Cartagena Protocol </w:t>
      </w:r>
      <w:r w:rsidR="00D41169">
        <w:rPr>
          <w:rFonts w:ascii="Times New Roman" w:hAnsi="Times New Roman"/>
          <w:kern w:val="22"/>
          <w:lang w:val="en-CA" w:eastAsia="hi-IN" w:bidi="hi-IN"/>
        </w:rPr>
        <w:t>on Biosafety</w:t>
      </w:r>
      <w:r w:rsidRPr="001B7F0E">
        <w:rPr>
          <w:rFonts w:ascii="Times New Roman" w:hAnsi="Times New Roman"/>
          <w:kern w:val="22"/>
          <w:lang w:val="en-CA" w:eastAsia="hi-IN" w:bidi="hi-IN"/>
        </w:rPr>
        <w:t xml:space="preserve">. In a public health context concerning </w:t>
      </w:r>
      <w:r w:rsidR="00D63914">
        <w:rPr>
          <w:rFonts w:ascii="Times New Roman" w:hAnsi="Times New Roman"/>
          <w:kern w:val="22"/>
          <w:lang w:val="en-CA" w:eastAsia="hi-IN" w:bidi="hi-IN"/>
        </w:rPr>
        <w:t xml:space="preserve">for instance </w:t>
      </w:r>
      <w:r w:rsidRPr="001B7F0E">
        <w:rPr>
          <w:rFonts w:ascii="Times New Roman" w:hAnsi="Times New Roman"/>
          <w:kern w:val="22"/>
          <w:lang w:val="en-CA" w:eastAsia="hi-IN" w:bidi="hi-IN"/>
        </w:rPr>
        <w:t>the environmental release</w:t>
      </w:r>
      <w:r w:rsidR="00D63914">
        <w:rPr>
          <w:rFonts w:ascii="Times New Roman" w:hAnsi="Times New Roman"/>
          <w:kern w:val="22"/>
          <w:lang w:val="en-CA" w:eastAsia="hi-IN" w:bidi="hi-IN"/>
        </w:rPr>
        <w:t>s of synthetic biology health-oriented applications (e.g</w:t>
      </w:r>
      <w:r w:rsidR="002E6953">
        <w:rPr>
          <w:rFonts w:ascii="Times New Roman" w:hAnsi="Times New Roman"/>
          <w:kern w:val="22"/>
          <w:lang w:val="en-CA" w:eastAsia="hi-IN" w:bidi="hi-IN"/>
        </w:rPr>
        <w:t>.</w:t>
      </w:r>
      <w:r w:rsidR="00D63914">
        <w:rPr>
          <w:rFonts w:ascii="Times New Roman" w:hAnsi="Times New Roman"/>
          <w:kern w:val="22"/>
          <w:lang w:val="en-CA" w:eastAsia="hi-IN" w:bidi="hi-IN"/>
        </w:rPr>
        <w:t xml:space="preserve"> mosquito</w:t>
      </w:r>
      <w:r w:rsidR="002E6953">
        <w:rPr>
          <w:rFonts w:ascii="Times New Roman" w:hAnsi="Times New Roman"/>
          <w:kern w:val="22"/>
          <w:lang w:val="en-CA" w:eastAsia="hi-IN" w:bidi="hi-IN"/>
        </w:rPr>
        <w:t>e</w:t>
      </w:r>
      <w:r w:rsidR="00D63914">
        <w:rPr>
          <w:rFonts w:ascii="Times New Roman" w:hAnsi="Times New Roman"/>
          <w:kern w:val="22"/>
          <w:lang w:val="en-CA" w:eastAsia="hi-IN" w:bidi="hi-IN"/>
        </w:rPr>
        <w:t>s with engineered gene drives)</w:t>
      </w:r>
      <w:r w:rsidR="00052153">
        <w:rPr>
          <w:rFonts w:ascii="Times New Roman" w:hAnsi="Times New Roman"/>
          <w:kern w:val="22"/>
          <w:lang w:val="en-CA" w:eastAsia="hi-IN" w:bidi="hi-IN"/>
        </w:rPr>
        <w:t>, potential interactions could arise as different organisations (e.g</w:t>
      </w:r>
      <w:r w:rsidR="00246CA7">
        <w:rPr>
          <w:rFonts w:ascii="Times New Roman" w:hAnsi="Times New Roman"/>
          <w:kern w:val="22"/>
          <w:lang w:val="en-CA" w:eastAsia="hi-IN" w:bidi="hi-IN"/>
        </w:rPr>
        <w:t>.</w:t>
      </w:r>
      <w:r w:rsidR="00052153">
        <w:rPr>
          <w:rFonts w:ascii="Times New Roman" w:hAnsi="Times New Roman"/>
          <w:kern w:val="22"/>
          <w:lang w:val="en-CA" w:eastAsia="hi-IN" w:bidi="hi-IN"/>
        </w:rPr>
        <w:t xml:space="preserve"> CBD and WHO) </w:t>
      </w:r>
      <w:r w:rsidR="007E4BFB">
        <w:rPr>
          <w:rFonts w:ascii="Times New Roman" w:hAnsi="Times New Roman"/>
          <w:kern w:val="22"/>
          <w:lang w:val="en-CA" w:eastAsia="hi-IN" w:bidi="hi-IN"/>
        </w:rPr>
        <w:t xml:space="preserve">assess the application through different lenses and in accordance with their respective mandates and objectives. </w:t>
      </w:r>
    </w:p>
    <w:p w14:paraId="1A4C262E" w14:textId="57D1288A" w:rsidR="001B7F0E" w:rsidRPr="001B7F0E" w:rsidRDefault="001B7F0E" w:rsidP="001B7F0E">
      <w:pPr>
        <w:suppressAutoHyphens/>
        <w:spacing w:after="120" w:line="240" w:lineRule="auto"/>
        <w:jc w:val="both"/>
        <w:rPr>
          <w:rFonts w:ascii="Times New Roman" w:hAnsi="Times New Roman"/>
          <w:kern w:val="22"/>
          <w:lang w:val="en-CA" w:eastAsia="hi-IN" w:bidi="hi-IN"/>
        </w:rPr>
      </w:pPr>
      <w:r w:rsidRPr="001B7F0E">
        <w:rPr>
          <w:rFonts w:ascii="Times New Roman" w:hAnsi="Times New Roman"/>
          <w:kern w:val="22"/>
          <w:lang w:val="en-CA" w:eastAsia="hi-IN" w:bidi="hi-IN"/>
        </w:rPr>
        <w:t xml:space="preserve">The potential </w:t>
      </w:r>
      <w:r w:rsidR="0097704B">
        <w:rPr>
          <w:rFonts w:ascii="Times New Roman" w:hAnsi="Times New Roman"/>
          <w:kern w:val="22"/>
          <w:lang w:val="en-CA" w:eastAsia="hi-IN" w:bidi="hi-IN"/>
        </w:rPr>
        <w:t>interplay</w:t>
      </w:r>
      <w:r w:rsidR="00177967">
        <w:rPr>
          <w:rFonts w:ascii="Times New Roman" w:hAnsi="Times New Roman"/>
          <w:kern w:val="22"/>
          <w:lang w:val="en-CA" w:eastAsia="hi-IN" w:bidi="hi-IN"/>
        </w:rPr>
        <w:t xml:space="preserve"> </w:t>
      </w:r>
      <w:r w:rsidRPr="001B7F0E">
        <w:rPr>
          <w:rFonts w:ascii="Times New Roman" w:hAnsi="Times New Roman"/>
          <w:kern w:val="22"/>
          <w:lang w:val="en-CA" w:eastAsia="hi-IN" w:bidi="hi-IN"/>
        </w:rPr>
        <w:t xml:space="preserve">associated with the risk of harm related to human health under the Convention and its Protocols </w:t>
      </w:r>
      <w:r w:rsidR="00177967">
        <w:rPr>
          <w:rFonts w:ascii="Times New Roman" w:hAnsi="Times New Roman"/>
          <w:kern w:val="22"/>
          <w:lang w:val="en-CA" w:eastAsia="hi-IN" w:bidi="hi-IN"/>
        </w:rPr>
        <w:t xml:space="preserve">could </w:t>
      </w:r>
      <w:r w:rsidRPr="001B7F0E">
        <w:rPr>
          <w:rFonts w:ascii="Times New Roman" w:hAnsi="Times New Roman"/>
          <w:kern w:val="22"/>
          <w:lang w:val="en-CA" w:eastAsia="hi-IN" w:bidi="hi-IN"/>
        </w:rPr>
        <w:t>also arise in relation to international instruments and initiatives governing phytosanitary measures, including quarantine and biosecurity measures applied to protect human, animal or plant life or health from risks arising from the introduction, establishment and spread of pests and diseases as well as from risks arising from additives, toxins and contaminants in food and feed. These have implications for commerce and trade</w:t>
      </w:r>
      <w:r w:rsidR="00E4089C">
        <w:rPr>
          <w:rFonts w:ascii="Times New Roman" w:hAnsi="Times New Roman"/>
          <w:kern w:val="22"/>
          <w:lang w:val="en-CA" w:eastAsia="hi-IN" w:bidi="hi-IN"/>
        </w:rPr>
        <w:t>.</w:t>
      </w:r>
    </w:p>
    <w:p w14:paraId="766171CC" w14:textId="62495FF2" w:rsidR="001B7F0E" w:rsidRPr="001B7F0E" w:rsidRDefault="001B7F0E" w:rsidP="009F4205">
      <w:pPr>
        <w:pStyle w:val="Heading3"/>
        <w:rPr>
          <w:lang w:bidi="hi-IN"/>
        </w:rPr>
      </w:pPr>
      <w:bookmarkStart w:id="184" w:name="_Toc65609818"/>
      <w:bookmarkStart w:id="185" w:name="_Toc68767426"/>
      <w:bookmarkStart w:id="186" w:name="_Toc70112715"/>
      <w:bookmarkStart w:id="187" w:name="_Toc70685737"/>
      <w:r w:rsidRPr="001B7F0E">
        <w:rPr>
          <w:lang w:bidi="hi-IN"/>
        </w:rPr>
        <w:t>10.</w:t>
      </w:r>
      <w:r w:rsidR="002035BD">
        <w:rPr>
          <w:lang w:bidi="hi-IN"/>
        </w:rPr>
        <w:t>2</w:t>
      </w:r>
      <w:r w:rsidRPr="001B7F0E">
        <w:rPr>
          <w:lang w:bidi="hi-IN"/>
        </w:rPr>
        <w:t xml:space="preserve">.  </w:t>
      </w:r>
      <w:r w:rsidR="00FE1F57">
        <w:rPr>
          <w:lang w:bidi="hi-IN"/>
        </w:rPr>
        <w:t>C</w:t>
      </w:r>
      <w:r w:rsidRPr="001B7F0E">
        <w:rPr>
          <w:lang w:bidi="hi-IN"/>
        </w:rPr>
        <w:t>onservation.</w:t>
      </w:r>
      <w:bookmarkEnd w:id="184"/>
      <w:bookmarkEnd w:id="185"/>
      <w:bookmarkEnd w:id="186"/>
      <w:bookmarkEnd w:id="187"/>
    </w:p>
    <w:p w14:paraId="13579D11" w14:textId="332E67F0" w:rsidR="001B7F0E" w:rsidRPr="001B7F0E" w:rsidRDefault="009C6CC4" w:rsidP="001B7F0E">
      <w:pPr>
        <w:suppressAutoHyphens/>
        <w:spacing w:after="120" w:line="240" w:lineRule="auto"/>
        <w:jc w:val="both"/>
        <w:rPr>
          <w:rFonts w:ascii="Times New Roman" w:hAnsi="Times New Roman"/>
          <w:kern w:val="22"/>
          <w:lang w:eastAsia="hi-IN" w:bidi="hi-IN"/>
        </w:rPr>
      </w:pPr>
      <w:r w:rsidRPr="4E6A7536">
        <w:rPr>
          <w:rFonts w:ascii="Times New Roman" w:hAnsi="Times New Roman"/>
          <w:lang w:eastAsia="hi-IN" w:bidi="hi-IN"/>
        </w:rPr>
        <w:t xml:space="preserve">Some </w:t>
      </w:r>
      <w:r w:rsidR="004C24DD" w:rsidRPr="4E6A7536">
        <w:rPr>
          <w:rFonts w:ascii="Times New Roman" w:hAnsi="Times New Roman"/>
          <w:lang w:eastAsia="hi-IN" w:bidi="hi-IN"/>
        </w:rPr>
        <w:t>considerations under</w:t>
      </w:r>
      <w:r w:rsidR="001B7F0E" w:rsidRPr="001B7F0E">
        <w:rPr>
          <w:rFonts w:ascii="Times New Roman" w:hAnsi="Times New Roman"/>
          <w:kern w:val="22"/>
          <w:lang w:eastAsia="hi-IN" w:bidi="hi-IN"/>
        </w:rPr>
        <w:t xml:space="preserve"> </w:t>
      </w:r>
      <w:r w:rsidR="2ECCBF72" w:rsidRPr="44F84C1A">
        <w:rPr>
          <w:rFonts w:ascii="Times New Roman" w:hAnsi="Times New Roman"/>
          <w:lang w:eastAsia="hi-IN" w:bidi="hi-IN"/>
        </w:rPr>
        <w:t xml:space="preserve">the </w:t>
      </w:r>
      <w:r w:rsidR="001B7F0E" w:rsidRPr="001B7F0E">
        <w:rPr>
          <w:rFonts w:ascii="Times New Roman" w:hAnsi="Times New Roman"/>
          <w:kern w:val="22"/>
          <w:lang w:eastAsia="hi-IN" w:bidi="hi-IN"/>
        </w:rPr>
        <w:t>Convention and its Protocols which are relevant to the conservation of biodiversity ha</w:t>
      </w:r>
      <w:r w:rsidR="6C2EE621" w:rsidRPr="001B7F0E">
        <w:rPr>
          <w:rFonts w:ascii="Times New Roman" w:hAnsi="Times New Roman"/>
          <w:kern w:val="22"/>
          <w:lang w:eastAsia="hi-IN" w:bidi="hi-IN"/>
        </w:rPr>
        <w:t>ve</w:t>
      </w:r>
      <w:r w:rsidR="001B7F0E" w:rsidRPr="001B7F0E">
        <w:rPr>
          <w:rFonts w:ascii="Times New Roman" w:hAnsi="Times New Roman"/>
          <w:kern w:val="22"/>
          <w:lang w:eastAsia="hi-IN" w:bidi="hi-IN"/>
        </w:rPr>
        <w:t xml:space="preserve">s focused on its biosafety provisions governing risk assessment and mitigation of adverse effects on the conservation and sustainable use of biological diversity. </w:t>
      </w:r>
      <w:r w:rsidR="00141B18" w:rsidRPr="4E6A7536">
        <w:rPr>
          <w:rFonts w:ascii="Times New Roman" w:hAnsi="Times New Roman"/>
          <w:lang w:eastAsia="hi-IN" w:bidi="hi-IN"/>
        </w:rPr>
        <w:t>Ho</w:t>
      </w:r>
      <w:r w:rsidR="000B7D32" w:rsidRPr="4E6A7536">
        <w:rPr>
          <w:rFonts w:ascii="Times New Roman" w:hAnsi="Times New Roman"/>
          <w:lang w:eastAsia="hi-IN" w:bidi="hi-IN"/>
        </w:rPr>
        <w:t>wever, t</w:t>
      </w:r>
      <w:r w:rsidR="001B7F0E" w:rsidRPr="001B7F0E">
        <w:rPr>
          <w:rFonts w:ascii="Times New Roman" w:hAnsi="Times New Roman"/>
          <w:kern w:val="22"/>
          <w:lang w:eastAsia="hi-IN" w:bidi="hi-IN"/>
        </w:rPr>
        <w:t xml:space="preserve">he Convention’s mandate related to conservation is of course much broader than biosafety and there is </w:t>
      </w:r>
      <w:r w:rsidR="003B69DE">
        <w:rPr>
          <w:rFonts w:ascii="Times New Roman" w:hAnsi="Times New Roman"/>
          <w:kern w:val="22"/>
          <w:lang w:eastAsia="hi-IN" w:bidi="hi-IN"/>
        </w:rPr>
        <w:t xml:space="preserve">also </w:t>
      </w:r>
      <w:r w:rsidR="001B7F0E" w:rsidRPr="001B7F0E">
        <w:rPr>
          <w:rFonts w:ascii="Times New Roman" w:hAnsi="Times New Roman"/>
          <w:kern w:val="22"/>
          <w:lang w:eastAsia="hi-IN" w:bidi="hi-IN"/>
        </w:rPr>
        <w:t xml:space="preserve">potential for </w:t>
      </w:r>
      <w:r w:rsidR="003B69DE">
        <w:rPr>
          <w:rFonts w:ascii="Times New Roman" w:hAnsi="Times New Roman"/>
          <w:kern w:val="22"/>
          <w:lang w:eastAsia="hi-IN" w:bidi="hi-IN"/>
        </w:rPr>
        <w:t>interactions</w:t>
      </w:r>
      <w:r w:rsidR="001B7F0E" w:rsidRPr="001B7F0E">
        <w:rPr>
          <w:rFonts w:ascii="Times New Roman" w:hAnsi="Times New Roman"/>
          <w:kern w:val="22"/>
          <w:lang w:eastAsia="hi-IN" w:bidi="hi-IN"/>
        </w:rPr>
        <w:t xml:space="preserve"> with international instruments and initiatives which also focus on the conservation of biodiversity as a key objective. Such </w:t>
      </w:r>
      <w:r w:rsidR="00706C48">
        <w:rPr>
          <w:rFonts w:ascii="Times New Roman" w:hAnsi="Times New Roman"/>
          <w:kern w:val="22"/>
          <w:lang w:eastAsia="hi-IN" w:bidi="hi-IN"/>
        </w:rPr>
        <w:t>interactions</w:t>
      </w:r>
      <w:r w:rsidR="001B7F0E" w:rsidRPr="001B7F0E">
        <w:rPr>
          <w:rFonts w:ascii="Times New Roman" w:hAnsi="Times New Roman"/>
          <w:kern w:val="22"/>
          <w:lang w:eastAsia="hi-IN" w:bidi="hi-IN"/>
        </w:rPr>
        <w:t xml:space="preserve"> are readily apparent </w:t>
      </w:r>
      <w:r w:rsidR="00706C48">
        <w:rPr>
          <w:rFonts w:ascii="Times New Roman" w:hAnsi="Times New Roman"/>
          <w:kern w:val="22"/>
          <w:lang w:eastAsia="hi-IN" w:bidi="hi-IN"/>
        </w:rPr>
        <w:t>for instance</w:t>
      </w:r>
      <w:r w:rsidR="001B7F0E" w:rsidRPr="001B7F0E">
        <w:rPr>
          <w:rFonts w:ascii="Times New Roman" w:hAnsi="Times New Roman"/>
          <w:kern w:val="22"/>
          <w:lang w:eastAsia="hi-IN" w:bidi="hi-IN"/>
        </w:rPr>
        <w:t xml:space="preserve"> under the IUCN given its primary focus on nature conservation and sustainable development. Unlike the Convention and its Protocols, the IUCN is not established by contracting </w:t>
      </w:r>
      <w:r w:rsidR="00706C48">
        <w:rPr>
          <w:rFonts w:ascii="Times New Roman" w:hAnsi="Times New Roman"/>
          <w:kern w:val="22"/>
          <w:lang w:eastAsia="hi-IN" w:bidi="hi-IN"/>
        </w:rPr>
        <w:t>P</w:t>
      </w:r>
      <w:r w:rsidR="001B7F0E" w:rsidRPr="001B7F0E">
        <w:rPr>
          <w:rFonts w:ascii="Times New Roman" w:hAnsi="Times New Roman"/>
          <w:kern w:val="22"/>
          <w:lang w:eastAsia="hi-IN" w:bidi="hi-IN"/>
        </w:rPr>
        <w:t>arties under an international treaty, however, given its comprehensive programme on synthetic biology initiated in 2016, including its technical assessment on synthetic biology undertaken in 2019 and in-progress principles proposed to be adopted on synthetic biology conservation, there are strong synergies with the activities under the Convention and its Protocols focusing on synthetic biology governance.</w:t>
      </w:r>
    </w:p>
    <w:p w14:paraId="233155B1" w14:textId="0E0D21F5" w:rsidR="001B7F0E" w:rsidRPr="001B7F0E" w:rsidRDefault="001B7F0E" w:rsidP="009F4205">
      <w:pPr>
        <w:pStyle w:val="Heading3"/>
        <w:rPr>
          <w:lang w:bidi="hi-IN"/>
        </w:rPr>
      </w:pPr>
      <w:bookmarkStart w:id="188" w:name="_Toc65609819"/>
      <w:bookmarkStart w:id="189" w:name="_Toc68767427"/>
      <w:bookmarkStart w:id="190" w:name="_Toc70112716"/>
      <w:bookmarkStart w:id="191" w:name="_Toc70685738"/>
      <w:r w:rsidRPr="001B7F0E">
        <w:rPr>
          <w:lang w:bidi="hi-IN"/>
        </w:rPr>
        <w:t>10.</w:t>
      </w:r>
      <w:r w:rsidR="002035BD" w:rsidRPr="00B42AEF">
        <w:rPr>
          <w:lang w:bidi="hi-IN"/>
        </w:rPr>
        <w:t>3</w:t>
      </w:r>
      <w:r w:rsidRPr="001B7F0E">
        <w:rPr>
          <w:lang w:bidi="hi-IN"/>
        </w:rPr>
        <w:t xml:space="preserve">. </w:t>
      </w:r>
      <w:bookmarkEnd w:id="188"/>
      <w:bookmarkEnd w:id="189"/>
      <w:r w:rsidR="00293FFE" w:rsidRPr="00293FFE">
        <w:rPr>
          <w:lang w:bidi="hi-IN"/>
        </w:rPr>
        <w:t>Access and benefit-sharing</w:t>
      </w:r>
      <w:r w:rsidRPr="001B7F0E">
        <w:rPr>
          <w:lang w:bidi="hi-IN"/>
        </w:rPr>
        <w:t>.</w:t>
      </w:r>
      <w:bookmarkEnd w:id="190"/>
      <w:bookmarkEnd w:id="191"/>
    </w:p>
    <w:p w14:paraId="36B129D7" w14:textId="16562BC5" w:rsidR="001B7F0E" w:rsidRPr="001B7F0E" w:rsidRDefault="001B7F0E" w:rsidP="001B7F0E">
      <w:pPr>
        <w:suppressAutoHyphens/>
        <w:spacing w:after="120" w:line="240" w:lineRule="auto"/>
        <w:jc w:val="both"/>
        <w:rPr>
          <w:rFonts w:ascii="Times New Roman" w:hAnsi="Times New Roman"/>
          <w:kern w:val="22"/>
          <w:lang w:eastAsia="hi-IN" w:bidi="hi-IN"/>
        </w:rPr>
      </w:pPr>
      <w:r w:rsidRPr="001B7F0E">
        <w:rPr>
          <w:rFonts w:ascii="Times New Roman" w:hAnsi="Times New Roman"/>
          <w:kern w:val="22"/>
          <w:lang w:eastAsia="hi-IN" w:bidi="hi-IN"/>
        </w:rPr>
        <w:t xml:space="preserve">Synthetic biology also raises a number of questions with regard to access and benefit-sharing under the Convention and its Nagoya Protocol. This includes whether </w:t>
      </w:r>
      <w:r w:rsidR="4D28A68E" w:rsidRPr="001B7F0E">
        <w:rPr>
          <w:rFonts w:ascii="Times New Roman" w:hAnsi="Times New Roman"/>
          <w:kern w:val="22"/>
          <w:lang w:eastAsia="hi-IN" w:bidi="hi-IN"/>
        </w:rPr>
        <w:t>digital sequence information</w:t>
      </w:r>
      <w:r w:rsidRPr="001B7F0E">
        <w:rPr>
          <w:rFonts w:ascii="Times New Roman" w:hAnsi="Times New Roman"/>
          <w:kern w:val="22"/>
          <w:lang w:eastAsia="hi-IN" w:bidi="hi-IN"/>
        </w:rPr>
        <w:t xml:space="preserve"> accessed for use in synthetic biology can be considered “genetic resources” or “genetic material</w:t>
      </w:r>
      <w:r w:rsidR="00E420B2">
        <w:rPr>
          <w:rFonts w:ascii="Times New Roman" w:hAnsi="Times New Roman"/>
          <w:kern w:val="22"/>
          <w:lang w:eastAsia="hi-IN" w:bidi="hi-IN"/>
        </w:rPr>
        <w:t>”.</w:t>
      </w:r>
      <w:r w:rsidRPr="001B7F0E">
        <w:rPr>
          <w:rFonts w:ascii="Times New Roman" w:hAnsi="Times New Roman"/>
          <w:kern w:val="22"/>
          <w:lang w:eastAsia="hi-IN" w:bidi="hi-IN"/>
        </w:rPr>
        <w:t xml:space="preserve"> </w:t>
      </w:r>
      <w:r w:rsidRPr="52ADBEF2">
        <w:rPr>
          <w:rFonts w:ascii="Times New Roman" w:hAnsi="Times New Roman"/>
          <w:kern w:val="22"/>
          <w:lang w:eastAsia="hi-IN" w:bidi="hi-IN"/>
        </w:rPr>
        <w:t>The process that is currently underway to resolve a divergence of views amongst Parties regarding the benefit-sharing obligations arising from the use of digital sequence information on genetic resources may have implications for synthetic biology organisms and applications developed using digital sequence information. Similar challenges concerning access and benefit-sharing in the context of digital sequence information (however called) and synthetic biology</w:t>
      </w:r>
      <w:r w:rsidRPr="001B7F0E">
        <w:rPr>
          <w:rFonts w:ascii="Times New Roman" w:hAnsi="Times New Roman"/>
          <w:kern w:val="22"/>
          <w:lang w:eastAsia="hi-IN" w:bidi="hi-IN"/>
        </w:rPr>
        <w:t xml:space="preserve"> are being </w:t>
      </w:r>
      <w:r w:rsidRPr="52ADBEF2">
        <w:rPr>
          <w:rFonts w:ascii="Times New Roman" w:hAnsi="Times New Roman"/>
          <w:kern w:val="22"/>
          <w:lang w:eastAsia="hi-IN" w:bidi="hi-IN"/>
        </w:rPr>
        <w:t>evaluated</w:t>
      </w:r>
      <w:r w:rsidRPr="001B7F0E">
        <w:rPr>
          <w:rFonts w:ascii="Times New Roman" w:hAnsi="Times New Roman"/>
          <w:kern w:val="22"/>
          <w:lang w:eastAsia="hi-IN" w:bidi="hi-IN"/>
        </w:rPr>
        <w:t xml:space="preserve"> in the context of other international instruments and initiatives governing access to genetic resources</w:t>
      </w:r>
      <w:r w:rsidRPr="52ADBEF2">
        <w:rPr>
          <w:rFonts w:ascii="Times New Roman" w:hAnsi="Times New Roman"/>
          <w:kern w:val="22"/>
          <w:lang w:eastAsia="hi-IN" w:bidi="hi-IN"/>
        </w:rPr>
        <w:t xml:space="preserve">. </w:t>
      </w:r>
      <w:r w:rsidRPr="001B7F0E">
        <w:rPr>
          <w:rFonts w:ascii="Times New Roman" w:hAnsi="Times New Roman"/>
          <w:kern w:val="22"/>
          <w:lang w:eastAsia="hi-IN" w:bidi="hi-IN"/>
        </w:rPr>
        <w:t>This includes</w:t>
      </w:r>
      <w:r w:rsidR="00203BC2">
        <w:rPr>
          <w:rFonts w:ascii="Times New Roman" w:hAnsi="Times New Roman"/>
          <w:kern w:val="22"/>
          <w:lang w:eastAsia="hi-IN" w:bidi="hi-IN"/>
        </w:rPr>
        <w:t xml:space="preserve"> in a non-exhaustive manner, </w:t>
      </w:r>
      <w:r w:rsidRPr="52ADBEF2">
        <w:rPr>
          <w:rFonts w:ascii="Times New Roman" w:hAnsi="Times New Roman"/>
          <w:kern w:val="22"/>
          <w:lang w:eastAsia="hi-IN" w:bidi="hi-IN"/>
        </w:rPr>
        <w:t xml:space="preserve">the International Treaty on Plant Genetic Resources for Food and Agriculture, the Pandemic Influenza Preparedness (PIP) Framework of WHO and the </w:t>
      </w:r>
      <w:r w:rsidR="6C16B9E3" w:rsidRPr="01890DBF">
        <w:rPr>
          <w:rFonts w:ascii="Times New Roman" w:hAnsi="Times New Roman"/>
          <w:lang w:eastAsia="hi-IN" w:bidi="hi-IN"/>
        </w:rPr>
        <w:t>negotiations towards an</w:t>
      </w:r>
      <w:r w:rsidRPr="52ADBEF2">
        <w:rPr>
          <w:rFonts w:ascii="Times New Roman" w:hAnsi="Times New Roman"/>
          <w:kern w:val="22"/>
          <w:lang w:eastAsia="hi-IN" w:bidi="hi-IN"/>
        </w:rPr>
        <w:t xml:space="preserve"> agreement for marine biodiversity beyond national jurisdictions, all of which are likely to consider the outcomes of the process under the Convention and its Nagoya Protocol to inform their own deliberations on this issue. </w:t>
      </w:r>
    </w:p>
    <w:p w14:paraId="459EDBF8" w14:textId="37081035" w:rsidR="001B7F0E" w:rsidRPr="001B7F0E" w:rsidRDefault="001B7F0E" w:rsidP="009F4205">
      <w:pPr>
        <w:pStyle w:val="Heading3"/>
        <w:rPr>
          <w:lang w:bidi="hi-IN"/>
        </w:rPr>
      </w:pPr>
      <w:bookmarkStart w:id="192" w:name="_Toc68767428"/>
      <w:bookmarkStart w:id="193" w:name="_Toc70112717"/>
      <w:bookmarkStart w:id="194" w:name="_Toc70685739"/>
      <w:r w:rsidRPr="001B7F0E">
        <w:rPr>
          <w:lang w:bidi="hi-IN"/>
        </w:rPr>
        <w:t>10.</w:t>
      </w:r>
      <w:r w:rsidR="002035BD" w:rsidRPr="00B42AEF">
        <w:rPr>
          <w:lang w:bidi="hi-IN"/>
        </w:rPr>
        <w:t>4</w:t>
      </w:r>
      <w:r w:rsidRPr="001B7F0E">
        <w:rPr>
          <w:lang w:bidi="hi-IN"/>
        </w:rPr>
        <w:t xml:space="preserve">. </w:t>
      </w:r>
      <w:r w:rsidR="00FE1F57">
        <w:rPr>
          <w:lang w:bidi="hi-IN"/>
        </w:rPr>
        <w:t>C</w:t>
      </w:r>
      <w:r w:rsidRPr="001B7F0E">
        <w:rPr>
          <w:lang w:bidi="hi-IN"/>
        </w:rPr>
        <w:t>ommerce</w:t>
      </w:r>
      <w:r w:rsidRPr="00B42AEF">
        <w:rPr>
          <w:lang w:bidi="hi-IN"/>
        </w:rPr>
        <w:t xml:space="preserve"> </w:t>
      </w:r>
      <w:r w:rsidRPr="001B7F0E">
        <w:rPr>
          <w:lang w:bidi="hi-IN"/>
        </w:rPr>
        <w:t xml:space="preserve">and </w:t>
      </w:r>
      <w:r w:rsidRPr="00B42AEF">
        <w:rPr>
          <w:lang w:bidi="hi-IN"/>
        </w:rPr>
        <w:t>trade</w:t>
      </w:r>
      <w:r w:rsidRPr="001B7F0E">
        <w:rPr>
          <w:lang w:bidi="hi-IN"/>
        </w:rPr>
        <w:t>.</w:t>
      </w:r>
      <w:bookmarkEnd w:id="192"/>
      <w:bookmarkEnd w:id="193"/>
      <w:bookmarkEnd w:id="194"/>
    </w:p>
    <w:p w14:paraId="7A69A224" w14:textId="7214D5A1" w:rsidR="001B7F0E" w:rsidRPr="001B7F0E" w:rsidRDefault="001B7F0E" w:rsidP="001B7F0E">
      <w:pPr>
        <w:suppressAutoHyphens/>
        <w:spacing w:after="120" w:line="240" w:lineRule="auto"/>
        <w:jc w:val="both"/>
        <w:rPr>
          <w:rFonts w:ascii="Times New Roman" w:hAnsi="Times New Roman"/>
          <w:kern w:val="22"/>
          <w:lang w:eastAsia="hi-IN" w:bidi="hi-IN"/>
        </w:rPr>
      </w:pPr>
      <w:r w:rsidRPr="001B7F0E">
        <w:rPr>
          <w:rFonts w:ascii="Times New Roman" w:hAnsi="Times New Roman"/>
          <w:kern w:val="22"/>
          <w:lang w:eastAsia="hi-IN" w:bidi="hi-IN"/>
        </w:rPr>
        <w:t xml:space="preserve">To the extent that the Convention and its Protocols govern the environmental release and transboundary movement of synthetic biology organisms, as well as the sharing of benefits that may be associated with the utilisation of genetic resources in their development, it can be seen to have implications for commerce and trade.  A number of other international agreements regimes and initiatives exist which, in general, may also have implications associated with commerce and also trade. CITES is particularly relevant in the context of synthetic biology </w:t>
      </w:r>
      <w:r w:rsidR="00914AC9">
        <w:rPr>
          <w:rFonts w:ascii="Times New Roman" w:hAnsi="Times New Roman"/>
          <w:kern w:val="22"/>
          <w:lang w:eastAsia="hi-IN" w:bidi="hi-IN"/>
        </w:rPr>
        <w:t>especially</w:t>
      </w:r>
      <w:r w:rsidRPr="001B7F0E">
        <w:rPr>
          <w:rFonts w:ascii="Times New Roman" w:hAnsi="Times New Roman"/>
          <w:kern w:val="22"/>
          <w:lang w:eastAsia="hi-IN" w:bidi="hi-IN"/>
        </w:rPr>
        <w:t xml:space="preserve"> as it is evaluating “bioengineered specimens”, “specimens produced through biotechnology” or “wildlife products produced from synthetic or cultured DNA”, as part of its evaluation of whether trade in synthetic specimens of CITES-listed species that closely mimic both the physical appearance and biological characteristics of their wildlife counterparts should be regulated.  </w:t>
      </w:r>
    </w:p>
    <w:p w14:paraId="417E323E" w14:textId="504D636F" w:rsidR="001B7F0E" w:rsidRPr="001B7F0E" w:rsidRDefault="001B7F0E" w:rsidP="001B7F0E">
      <w:pPr>
        <w:suppressAutoHyphens/>
        <w:spacing w:after="120" w:line="240" w:lineRule="auto"/>
        <w:jc w:val="both"/>
        <w:rPr>
          <w:rFonts w:ascii="Times New Roman" w:hAnsi="Times New Roman"/>
          <w:kern w:val="22"/>
          <w:lang w:eastAsia="hi-IN" w:bidi="hi-IN"/>
        </w:rPr>
      </w:pPr>
      <w:r w:rsidRPr="001B7F0E">
        <w:rPr>
          <w:rFonts w:ascii="Times New Roman" w:hAnsi="Times New Roman"/>
          <w:kern w:val="22"/>
          <w:lang w:eastAsia="hi-IN" w:bidi="hi-IN"/>
        </w:rPr>
        <w:t>The TRIPS Agreement and the UPOV Convention which govern intellectual property protection do not have any known programme or work addressing synthetic biology however, given the extent to which they underpin international trade and commerce, they are likely to have significant implications for the governance of synthetic biology. Similarly, international instruments and initiatives governing phytosanitary measures, including quarantine and biosecurity measures have implications for commerce and trade related to synthetic biology organisms and products. Accordingly, the international framework related to phytosanitary measures established by the SPS Agreement, the IPCC, the OIE standards, as well as related instruments such as the Codex Alimentarius which establishes standards on food, are likely to have significant implications for the governance of synthetic biology.</w:t>
      </w:r>
    </w:p>
    <w:p w14:paraId="75F7E7E2" w14:textId="416D0FA8" w:rsidR="00E21C3D" w:rsidRPr="0099553F" w:rsidRDefault="00993306" w:rsidP="001B7F0E">
      <w:pPr>
        <w:suppressAutoHyphens/>
        <w:spacing w:after="120" w:line="240" w:lineRule="auto"/>
        <w:jc w:val="both"/>
        <w:rPr>
          <w:rFonts w:ascii="Times New Roman" w:hAnsi="Times New Roman"/>
          <w:bCs/>
          <w:kern w:val="22"/>
          <w:lang w:eastAsia="hi-IN" w:bidi="hi-IN"/>
        </w:rPr>
      </w:pPr>
      <w:r>
        <w:rPr>
          <w:rFonts w:ascii="Times New Roman" w:hAnsi="Times New Roman"/>
          <w:bCs/>
          <w:kern w:val="22"/>
          <w:lang w:eastAsia="hi-IN" w:bidi="hi-IN"/>
        </w:rPr>
        <w:t xml:space="preserve">An additional challenge </w:t>
      </w:r>
      <w:r w:rsidR="003B29EA">
        <w:rPr>
          <w:rFonts w:ascii="Times New Roman" w:hAnsi="Times New Roman"/>
          <w:bCs/>
          <w:kern w:val="22"/>
          <w:lang w:eastAsia="hi-IN" w:bidi="hi-IN"/>
        </w:rPr>
        <w:t xml:space="preserve">specifically relates to the identification and detection elements </w:t>
      </w:r>
      <w:r>
        <w:rPr>
          <w:rFonts w:ascii="Times New Roman" w:hAnsi="Times New Roman"/>
          <w:bCs/>
          <w:kern w:val="22"/>
          <w:lang w:eastAsia="hi-IN" w:bidi="hi-IN"/>
        </w:rPr>
        <w:t xml:space="preserve">for the </w:t>
      </w:r>
      <w:r w:rsidR="003B29EA">
        <w:rPr>
          <w:rFonts w:ascii="Times New Roman" w:hAnsi="Times New Roman"/>
          <w:bCs/>
          <w:kern w:val="22"/>
          <w:lang w:eastAsia="hi-IN" w:bidi="hi-IN"/>
        </w:rPr>
        <w:t>organisms</w:t>
      </w:r>
      <w:r w:rsidR="007770EF">
        <w:rPr>
          <w:rFonts w:ascii="Times New Roman" w:hAnsi="Times New Roman"/>
          <w:bCs/>
          <w:kern w:val="22"/>
          <w:lang w:eastAsia="hi-IN" w:bidi="hi-IN"/>
        </w:rPr>
        <w:t xml:space="preserve"> of synthetic biology applications</w:t>
      </w:r>
      <w:r w:rsidR="00AA3D08">
        <w:rPr>
          <w:rFonts w:ascii="Times New Roman" w:hAnsi="Times New Roman"/>
          <w:bCs/>
          <w:kern w:val="22"/>
          <w:lang w:eastAsia="hi-IN" w:bidi="hi-IN"/>
        </w:rPr>
        <w:t xml:space="preserve">. Many potential synthetic biology </w:t>
      </w:r>
      <w:r w:rsidR="00DB0C0A">
        <w:rPr>
          <w:rFonts w:ascii="Times New Roman" w:hAnsi="Times New Roman"/>
          <w:bCs/>
          <w:kern w:val="22"/>
          <w:lang w:eastAsia="hi-IN" w:bidi="hi-IN"/>
        </w:rPr>
        <w:t>organism</w:t>
      </w:r>
      <w:r w:rsidR="007F0442">
        <w:rPr>
          <w:rFonts w:ascii="Times New Roman" w:hAnsi="Times New Roman"/>
          <w:bCs/>
          <w:kern w:val="22"/>
          <w:lang w:eastAsia="hi-IN" w:bidi="hi-IN"/>
        </w:rPr>
        <w:t>s</w:t>
      </w:r>
      <w:r w:rsidR="00AA3D08">
        <w:rPr>
          <w:rFonts w:ascii="Times New Roman" w:hAnsi="Times New Roman"/>
          <w:bCs/>
          <w:kern w:val="22"/>
          <w:lang w:eastAsia="hi-IN" w:bidi="hi-IN"/>
        </w:rPr>
        <w:t xml:space="preserve"> </w:t>
      </w:r>
      <w:r w:rsidR="00DB0C0A">
        <w:rPr>
          <w:rFonts w:ascii="Times New Roman" w:hAnsi="Times New Roman"/>
          <w:bCs/>
          <w:kern w:val="22"/>
          <w:lang w:eastAsia="hi-IN" w:bidi="hi-IN"/>
        </w:rPr>
        <w:t>may</w:t>
      </w:r>
      <w:r w:rsidR="00AA3D08">
        <w:rPr>
          <w:rFonts w:ascii="Times New Roman" w:hAnsi="Times New Roman"/>
          <w:bCs/>
          <w:kern w:val="22"/>
          <w:lang w:eastAsia="hi-IN" w:bidi="hi-IN"/>
        </w:rPr>
        <w:t xml:space="preserve"> not </w:t>
      </w:r>
      <w:r w:rsidR="00DB0C0A">
        <w:rPr>
          <w:rFonts w:ascii="Times New Roman" w:hAnsi="Times New Roman"/>
          <w:bCs/>
          <w:kern w:val="22"/>
          <w:lang w:eastAsia="hi-IN" w:bidi="hi-IN"/>
        </w:rPr>
        <w:t xml:space="preserve">be easily or feasibly </w:t>
      </w:r>
      <w:r w:rsidR="00AA3D08">
        <w:rPr>
          <w:rFonts w:ascii="Times New Roman" w:hAnsi="Times New Roman"/>
          <w:bCs/>
          <w:kern w:val="22"/>
          <w:lang w:eastAsia="hi-IN" w:bidi="hi-IN"/>
        </w:rPr>
        <w:t xml:space="preserve">detectable or identifiable in the final/commercial product. This </w:t>
      </w:r>
      <w:r w:rsidR="00DB0C0A">
        <w:rPr>
          <w:rFonts w:ascii="Times New Roman" w:hAnsi="Times New Roman"/>
          <w:bCs/>
          <w:kern w:val="22"/>
          <w:lang w:eastAsia="hi-IN" w:bidi="hi-IN"/>
        </w:rPr>
        <w:t>can</w:t>
      </w:r>
      <w:r w:rsidR="00AA3D08">
        <w:rPr>
          <w:rFonts w:ascii="Times New Roman" w:hAnsi="Times New Roman"/>
          <w:bCs/>
          <w:kern w:val="22"/>
          <w:lang w:eastAsia="hi-IN" w:bidi="hi-IN"/>
        </w:rPr>
        <w:t xml:space="preserve"> create a regulatory and a technical challenge for the overall system for managing synthetic biology</w:t>
      </w:r>
      <w:r w:rsidR="00DF290B">
        <w:rPr>
          <w:rFonts w:ascii="Times New Roman" w:hAnsi="Times New Roman"/>
          <w:bCs/>
          <w:kern w:val="22"/>
          <w:lang w:eastAsia="hi-IN" w:bidi="hi-IN"/>
        </w:rPr>
        <w:t xml:space="preserve">, especially </w:t>
      </w:r>
      <w:r w:rsidR="00E21C3D">
        <w:rPr>
          <w:rFonts w:ascii="Times New Roman" w:hAnsi="Times New Roman"/>
          <w:bCs/>
          <w:kern w:val="22"/>
          <w:lang w:eastAsia="hi-IN" w:bidi="hi-IN"/>
        </w:rPr>
        <w:t>concerning transboundary movements</w:t>
      </w:r>
      <w:r w:rsidR="009422D1">
        <w:rPr>
          <w:rFonts w:ascii="Times New Roman" w:hAnsi="Times New Roman"/>
          <w:bCs/>
          <w:kern w:val="22"/>
          <w:lang w:eastAsia="hi-IN" w:bidi="hi-IN"/>
        </w:rPr>
        <w:t xml:space="preserve"> (Section 6.2</w:t>
      </w:r>
      <w:r w:rsidR="001B7F0E">
        <w:rPr>
          <w:rFonts w:ascii="Times New Roman" w:hAnsi="Times New Roman"/>
          <w:kern w:val="22"/>
          <w:lang w:eastAsia="hi-IN" w:bidi="hi-IN"/>
        </w:rPr>
        <w:t>.</w:t>
      </w:r>
      <w:r w:rsidR="002035BD">
        <w:rPr>
          <w:rFonts w:ascii="Times New Roman" w:hAnsi="Times New Roman"/>
          <w:kern w:val="22"/>
          <w:lang w:eastAsia="hi-IN" w:bidi="hi-IN"/>
        </w:rPr>
        <w:t>5</w:t>
      </w:r>
      <w:r w:rsidR="009422D1">
        <w:rPr>
          <w:rFonts w:ascii="Times New Roman" w:hAnsi="Times New Roman"/>
          <w:bCs/>
          <w:kern w:val="22"/>
          <w:lang w:eastAsia="hi-IN" w:bidi="hi-IN"/>
        </w:rPr>
        <w:t>.)</w:t>
      </w:r>
      <w:r w:rsidR="00AA3D08">
        <w:rPr>
          <w:rFonts w:ascii="Times New Roman" w:hAnsi="Times New Roman"/>
          <w:bCs/>
          <w:kern w:val="22"/>
          <w:lang w:eastAsia="hi-IN" w:bidi="hi-IN"/>
        </w:rPr>
        <w:t>.</w:t>
      </w:r>
    </w:p>
    <w:p w14:paraId="215A5568" w14:textId="02D9E648" w:rsidR="001B7F0E" w:rsidRPr="001B7F0E" w:rsidRDefault="001B7F0E" w:rsidP="009F4205">
      <w:pPr>
        <w:pStyle w:val="Heading3"/>
        <w:rPr>
          <w:lang w:bidi="hi-IN"/>
        </w:rPr>
      </w:pPr>
      <w:bookmarkStart w:id="195" w:name="_Toc70112718"/>
      <w:bookmarkStart w:id="196" w:name="_Toc70685740"/>
      <w:r w:rsidRPr="001B7F0E">
        <w:rPr>
          <w:lang w:bidi="hi-IN"/>
        </w:rPr>
        <w:t>10.</w:t>
      </w:r>
      <w:r w:rsidR="002035BD" w:rsidRPr="603A9DC1">
        <w:rPr>
          <w:lang w:bidi="hi-IN"/>
        </w:rPr>
        <w:t>5</w:t>
      </w:r>
      <w:r w:rsidRPr="001B7F0E">
        <w:rPr>
          <w:lang w:bidi="hi-IN"/>
        </w:rPr>
        <w:t xml:space="preserve">. </w:t>
      </w:r>
      <w:r w:rsidR="0065094E">
        <w:rPr>
          <w:lang w:val="en-US" w:bidi="hi-IN"/>
        </w:rPr>
        <w:t>T</w:t>
      </w:r>
      <w:r w:rsidRPr="001B7F0E">
        <w:rPr>
          <w:lang w:bidi="hi-IN"/>
        </w:rPr>
        <w:t xml:space="preserve">he </w:t>
      </w:r>
      <w:r w:rsidR="00550704" w:rsidRPr="603A9DC1">
        <w:rPr>
          <w:lang w:bidi="hi-IN"/>
        </w:rPr>
        <w:t xml:space="preserve">state of knowledge associated </w:t>
      </w:r>
      <w:r w:rsidR="00B707E4">
        <w:rPr>
          <w:lang w:bidi="hi-IN"/>
        </w:rPr>
        <w:t>with</w:t>
      </w:r>
      <w:r w:rsidR="00550704" w:rsidRPr="603A9DC1">
        <w:rPr>
          <w:lang w:bidi="hi-IN"/>
        </w:rPr>
        <w:t xml:space="preserve"> </w:t>
      </w:r>
      <w:r w:rsidRPr="603A9DC1">
        <w:rPr>
          <w:lang w:bidi="hi-IN"/>
        </w:rPr>
        <w:t>tools, technologies and applications of synthetic biology</w:t>
      </w:r>
      <w:r w:rsidRPr="001B7F0E">
        <w:rPr>
          <w:lang w:bidi="hi-IN"/>
        </w:rPr>
        <w:t>.</w:t>
      </w:r>
      <w:bookmarkEnd w:id="195"/>
      <w:bookmarkEnd w:id="196"/>
    </w:p>
    <w:p w14:paraId="218B4B4D" w14:textId="16F7F2A9" w:rsidR="001B7F0E" w:rsidRPr="001B7F0E" w:rsidRDefault="001B7F0E" w:rsidP="00820090">
      <w:pPr>
        <w:suppressAutoHyphens/>
        <w:spacing w:after="120" w:line="240" w:lineRule="auto"/>
        <w:jc w:val="both"/>
        <w:rPr>
          <w:rFonts w:ascii="Times New Roman" w:hAnsi="Times New Roman"/>
          <w:kern w:val="22"/>
          <w:lang w:eastAsia="hi-IN" w:bidi="hi-IN"/>
        </w:rPr>
      </w:pPr>
      <w:r w:rsidRPr="0ADBE94E">
        <w:rPr>
          <w:rFonts w:ascii="Times New Roman" w:hAnsi="Times New Roman"/>
          <w:kern w:val="22"/>
          <w:lang w:eastAsia="hi-IN" w:bidi="hi-IN"/>
        </w:rPr>
        <w:t xml:space="preserve">The cost </w:t>
      </w:r>
      <w:r w:rsidR="00030F95" w:rsidRPr="0ADBE94E">
        <w:rPr>
          <w:rFonts w:ascii="Times New Roman" w:hAnsi="Times New Roman"/>
          <w:kern w:val="22"/>
          <w:lang w:eastAsia="hi-IN" w:bidi="hi-IN"/>
        </w:rPr>
        <w:t>of</w:t>
      </w:r>
      <w:r w:rsidRPr="0ADBE94E">
        <w:rPr>
          <w:rFonts w:ascii="Times New Roman" w:hAnsi="Times New Roman"/>
          <w:kern w:val="22"/>
          <w:lang w:eastAsia="hi-IN" w:bidi="hi-IN"/>
        </w:rPr>
        <w:t xml:space="preserve"> sequencing and synthesis of nucleic acids ha</w:t>
      </w:r>
      <w:r w:rsidR="0CAA0898" w:rsidRPr="0ADBE94E">
        <w:rPr>
          <w:rFonts w:ascii="Times New Roman" w:hAnsi="Times New Roman"/>
          <w:kern w:val="22"/>
          <w:lang w:eastAsia="hi-IN" w:bidi="hi-IN"/>
        </w:rPr>
        <w:t>s</w:t>
      </w:r>
      <w:r w:rsidRPr="0ADBE94E">
        <w:rPr>
          <w:rFonts w:ascii="Times New Roman" w:hAnsi="Times New Roman"/>
          <w:kern w:val="22"/>
          <w:lang w:eastAsia="hi-IN" w:bidi="hi-IN"/>
        </w:rPr>
        <w:t xml:space="preserve"> decreased drastically and there is access to more genetic information and more powerful genetic engineering capabilities than ever before. However, despite the development of some high value products, there is a perception that synthetic biology is still not yet delivering on its promise</w:t>
      </w:r>
      <w:r w:rsidR="00495BC4">
        <w:rPr>
          <w:rFonts w:ascii="Times New Roman" w:hAnsi="Times New Roman"/>
          <w:kern w:val="22"/>
          <w:lang w:eastAsia="hi-IN" w:bidi="hi-IN"/>
        </w:rPr>
        <w:t xml:space="preserve"> </w:t>
      </w:r>
      <w:r w:rsidR="00495BC4">
        <w:rPr>
          <w:rFonts w:ascii="Times New Roman" w:hAnsi="Times New Roman"/>
          <w:kern w:val="22"/>
          <w:lang w:eastAsia="hi-IN" w:bidi="hi-IN"/>
        </w:rPr>
        <w:fldChar w:fldCharType="begin" w:fldLock="1"/>
      </w:r>
      <w:r w:rsidR="00393F1E">
        <w:rPr>
          <w:rFonts w:ascii="Times New Roman" w:hAnsi="Times New Roman"/>
          <w:kern w:val="22"/>
          <w:lang w:eastAsia="hi-IN" w:bidi="hi-IN"/>
        </w:rPr>
        <w:instrText>ADDIN CSL_CITATION {"citationItems":[{"id":"ITEM-1","itemData":{"DOI":"10.3389/fbioe.2019.00175","ISSN":"2296-4185","author":[{"dropping-particle":"","family":"Karoui","given":"Meriem","non-dropping-particle":"El","parse-names":false,"suffix":""},{"dropping-particle":"","family":"Hoyos-Flight","given":"Monica","non-dropping-particle":"","parse-names":false,"suffix":""},{"dropping-particle":"","family":"Fletcher","given":"Liz","non-dropping-particle":"","parse-names":false,"suffix":""}],"container-title":"Frontiers in Bioengineering and Biotechnology","id":"ITEM-1","issued":{"date-parts":[["2019","8","7"]]},"title":"Future Trends in Synthetic Biology—A Report","type":"article-journal","volume":"7"},"uris":["http://www.mendeley.com/documents/?uuid=efd23a29-9e0a-4b56-b43d-137d4d68e02a"]}],"mendeley":{"formattedCitation":"(El Karoui et al., 2019)","plainTextFormattedCitation":"(El Karoui et al., 2019)","previouslyFormattedCitation":"(El Karoui et al., 2019)"},"properties":{"noteIndex":0},"schema":"https://github.com/citation-style-language/schema/raw/master/csl-citation.json"}</w:instrText>
      </w:r>
      <w:r w:rsidR="00495BC4">
        <w:rPr>
          <w:rFonts w:ascii="Times New Roman" w:hAnsi="Times New Roman"/>
          <w:kern w:val="22"/>
          <w:lang w:eastAsia="hi-IN" w:bidi="hi-IN"/>
        </w:rPr>
        <w:fldChar w:fldCharType="separate"/>
      </w:r>
      <w:r w:rsidR="00495BC4" w:rsidRPr="00495BC4">
        <w:rPr>
          <w:rFonts w:ascii="Times New Roman" w:hAnsi="Times New Roman"/>
          <w:noProof/>
          <w:kern w:val="22"/>
          <w:lang w:eastAsia="hi-IN" w:bidi="hi-IN"/>
        </w:rPr>
        <w:t>(El Karoui et al., 2019)</w:t>
      </w:r>
      <w:r w:rsidR="00495BC4">
        <w:rPr>
          <w:rFonts w:ascii="Times New Roman" w:hAnsi="Times New Roman"/>
          <w:kern w:val="22"/>
          <w:lang w:eastAsia="hi-IN" w:bidi="hi-IN"/>
        </w:rPr>
        <w:fldChar w:fldCharType="end"/>
      </w:r>
      <w:r w:rsidRPr="0ADBE94E">
        <w:rPr>
          <w:rFonts w:ascii="Times New Roman" w:hAnsi="Times New Roman"/>
          <w:kern w:val="22"/>
          <w:lang w:eastAsia="hi-IN" w:bidi="hi-IN"/>
        </w:rPr>
        <w:t xml:space="preserve">. </w:t>
      </w:r>
    </w:p>
    <w:p w14:paraId="77D49E9D" w14:textId="29D5B2F9" w:rsidR="001B7F0E" w:rsidRPr="001B7F0E" w:rsidRDefault="001B7F0E" w:rsidP="001B7F0E">
      <w:pPr>
        <w:suppressAutoHyphens/>
        <w:spacing w:after="120" w:line="240" w:lineRule="auto"/>
        <w:jc w:val="both"/>
        <w:rPr>
          <w:rFonts w:ascii="Times New Roman" w:hAnsi="Times New Roman"/>
          <w:bCs/>
          <w:kern w:val="22"/>
          <w:lang w:eastAsia="hi-IN" w:bidi="hi-IN"/>
        </w:rPr>
      </w:pPr>
      <w:r w:rsidRPr="001B7F0E">
        <w:rPr>
          <w:rFonts w:ascii="Times New Roman" w:hAnsi="Times New Roman"/>
          <w:bCs/>
          <w:kern w:val="22"/>
          <w:lang w:eastAsia="hi-IN" w:bidi="hi-IN"/>
        </w:rPr>
        <w:t>There is a</w:t>
      </w:r>
      <w:r w:rsidR="00030F95">
        <w:rPr>
          <w:rFonts w:ascii="Times New Roman" w:hAnsi="Times New Roman"/>
          <w:bCs/>
          <w:kern w:val="22"/>
          <w:lang w:eastAsia="hi-IN" w:bidi="hi-IN"/>
        </w:rPr>
        <w:t>n apparent</w:t>
      </w:r>
      <w:r w:rsidRPr="001B7F0E">
        <w:rPr>
          <w:rFonts w:ascii="Times New Roman" w:hAnsi="Times New Roman"/>
          <w:bCs/>
          <w:kern w:val="22"/>
          <w:lang w:eastAsia="hi-IN" w:bidi="hi-IN"/>
        </w:rPr>
        <w:t xml:space="preserve"> knowledge gap in our understanding in how nature works. This makes it difficult to apply the DBTL cycle to the generation of synthetic biological products whatever the production platform (microbial, plants, or mammalian cells) if the platform itself is not well-understood. </w:t>
      </w:r>
      <w:r w:rsidR="00C62C8C">
        <w:rPr>
          <w:rFonts w:ascii="Times New Roman" w:hAnsi="Times New Roman"/>
          <w:bCs/>
          <w:kern w:val="22"/>
          <w:lang w:eastAsia="hi-IN" w:bidi="hi-IN"/>
        </w:rPr>
        <w:t xml:space="preserve">This knowledge gap is also related to challenges associated to the risk assessment </w:t>
      </w:r>
      <w:r w:rsidR="00D73D3F">
        <w:rPr>
          <w:rFonts w:ascii="Times New Roman" w:hAnsi="Times New Roman"/>
          <w:bCs/>
          <w:kern w:val="22"/>
          <w:lang w:eastAsia="hi-IN" w:bidi="hi-IN"/>
        </w:rPr>
        <w:t>of synthetic biology applications</w:t>
      </w:r>
      <w:r w:rsidR="00C62C8C">
        <w:rPr>
          <w:rFonts w:ascii="Times New Roman" w:hAnsi="Times New Roman"/>
          <w:bCs/>
          <w:kern w:val="22"/>
          <w:lang w:eastAsia="hi-IN" w:bidi="hi-IN"/>
        </w:rPr>
        <w:t>.</w:t>
      </w:r>
    </w:p>
    <w:p w14:paraId="67B02BCF" w14:textId="044C9839" w:rsidR="0018241E" w:rsidRPr="001B7F0E" w:rsidRDefault="002C285C" w:rsidP="0018241E">
      <w:pPr>
        <w:suppressAutoHyphens/>
        <w:spacing w:after="120" w:line="240" w:lineRule="auto"/>
        <w:jc w:val="both"/>
        <w:rPr>
          <w:rFonts w:ascii="Times New Roman" w:hAnsi="Times New Roman"/>
          <w:bCs/>
          <w:kern w:val="22"/>
          <w:lang w:eastAsia="hi-IN" w:bidi="hi-IN"/>
        </w:rPr>
      </w:pPr>
      <w:r>
        <w:rPr>
          <w:rFonts w:ascii="Times New Roman" w:hAnsi="Times New Roman"/>
          <w:bCs/>
          <w:kern w:val="22"/>
          <w:lang w:eastAsia="hi-IN" w:bidi="hi-IN"/>
        </w:rPr>
        <w:t>Similarly, m</w:t>
      </w:r>
      <w:r w:rsidR="001B7F0E" w:rsidRPr="001B7F0E">
        <w:rPr>
          <w:rFonts w:ascii="Times New Roman" w:hAnsi="Times New Roman"/>
          <w:bCs/>
          <w:kern w:val="22"/>
          <w:lang w:eastAsia="hi-IN" w:bidi="hi-IN"/>
        </w:rPr>
        <w:t xml:space="preserve">any synthetic biology technologies strongly rely on computing and informatics tools that help the design process. Instruments able to measure and characterise outputs, assisted by progress in robotics and automation, and the application of machine learning approaches to analyse the data generated are increasingly needed. </w:t>
      </w:r>
      <w:r w:rsidR="001B6C01" w:rsidRPr="001B7F0E">
        <w:rPr>
          <w:rFonts w:ascii="Times New Roman" w:hAnsi="Times New Roman"/>
          <w:bCs/>
          <w:kern w:val="22"/>
          <w:lang w:eastAsia="hi-IN" w:bidi="hi-IN"/>
        </w:rPr>
        <w:t>Advancing the field requires novel approaches for modelling bioprocesses that follow different biochemical and biophysical rules that still allow simulation with the computational power available today. The predictive models that are needed require a critical level of prior knowledge that typically researchers do not have, e.g., about the biological components and their interactions.</w:t>
      </w:r>
      <w:r w:rsidR="0018241E" w:rsidRPr="0018241E">
        <w:rPr>
          <w:rFonts w:ascii="Times New Roman" w:hAnsi="Times New Roman"/>
          <w:bCs/>
          <w:kern w:val="22"/>
          <w:lang w:eastAsia="hi-IN" w:bidi="hi-IN"/>
        </w:rPr>
        <w:t xml:space="preserve"> </w:t>
      </w:r>
      <w:r w:rsidR="0018241E" w:rsidRPr="001B7F0E">
        <w:rPr>
          <w:rFonts w:ascii="Times New Roman" w:hAnsi="Times New Roman"/>
          <w:bCs/>
          <w:kern w:val="22"/>
          <w:lang w:eastAsia="hi-IN" w:bidi="hi-IN"/>
        </w:rPr>
        <w:t>The ability to pool data and models, essential for improving accuracy and reproducibility, is challenging without interoperability around biosystem modelling and some degree of “standardisation” especially around DNA design.</w:t>
      </w:r>
    </w:p>
    <w:p w14:paraId="1E616D37" w14:textId="26D6E3BE" w:rsidR="001B7F0E" w:rsidRPr="001B7F0E" w:rsidRDefault="001B7F0E" w:rsidP="009F4205">
      <w:pPr>
        <w:pStyle w:val="Heading3"/>
        <w:rPr>
          <w:lang w:bidi="hi-IN"/>
        </w:rPr>
      </w:pPr>
      <w:bookmarkStart w:id="197" w:name="_Toc70112719"/>
      <w:bookmarkStart w:id="198" w:name="_Toc70685741"/>
      <w:r w:rsidRPr="001B7F0E">
        <w:rPr>
          <w:lang w:bidi="hi-IN"/>
        </w:rPr>
        <w:t>10.</w:t>
      </w:r>
      <w:r w:rsidR="002035BD">
        <w:rPr>
          <w:lang w:bidi="hi-IN"/>
        </w:rPr>
        <w:t>6</w:t>
      </w:r>
      <w:r w:rsidRPr="001B7F0E">
        <w:rPr>
          <w:lang w:bidi="hi-IN"/>
        </w:rPr>
        <w:t xml:space="preserve">. </w:t>
      </w:r>
      <w:r w:rsidR="005F6153">
        <w:rPr>
          <w:lang w:val="en-US" w:bidi="hi-IN"/>
        </w:rPr>
        <w:t>I</w:t>
      </w:r>
      <w:r w:rsidRPr="001B7F0E">
        <w:rPr>
          <w:lang w:bidi="hi-IN"/>
        </w:rPr>
        <w:t xml:space="preserve">nternational governance: </w:t>
      </w:r>
      <w:r w:rsidR="009C3666" w:rsidRPr="001B7F0E">
        <w:rPr>
          <w:lang w:bidi="hi-IN"/>
        </w:rPr>
        <w:t>social</w:t>
      </w:r>
      <w:r w:rsidR="009C3666">
        <w:rPr>
          <w:lang w:bidi="hi-IN"/>
        </w:rPr>
        <w:t xml:space="preserve">, </w:t>
      </w:r>
      <w:r w:rsidRPr="001B7F0E">
        <w:rPr>
          <w:lang w:bidi="hi-IN"/>
        </w:rPr>
        <w:t>economic and cultural concerns.</w:t>
      </w:r>
      <w:bookmarkEnd w:id="197"/>
      <w:bookmarkEnd w:id="198"/>
    </w:p>
    <w:p w14:paraId="1AA794A6" w14:textId="14C7909C" w:rsidR="001B7F0E" w:rsidRPr="001B7F0E" w:rsidRDefault="001B7F0E" w:rsidP="001B7F0E">
      <w:pPr>
        <w:suppressAutoHyphens/>
        <w:spacing w:after="120" w:line="240" w:lineRule="auto"/>
        <w:jc w:val="both"/>
        <w:rPr>
          <w:rFonts w:ascii="Times New Roman" w:hAnsi="Times New Roman"/>
          <w:kern w:val="22"/>
          <w:lang w:eastAsia="hi-IN" w:bidi="hi-IN"/>
        </w:rPr>
      </w:pPr>
      <w:r w:rsidRPr="001B7F0E">
        <w:rPr>
          <w:rFonts w:ascii="Times New Roman" w:hAnsi="Times New Roman"/>
          <w:kern w:val="22"/>
          <w:lang w:eastAsia="hi-IN" w:bidi="hi-IN"/>
        </w:rPr>
        <w:t>Social, economic, and cultural considerations are as equally important as the consideration of potential impacts on biodiversity, conservation and sustainable use during decision-making and governance of synthetic biology applications. However, as relatively few synthetic biology applications have reached commercialisation/wide release, relatively little “real world” data has been collected, including those that may reflect benefits. Thus, the range of potential impacts on the conservation and sustainable use of biodiversity remains largely hypothetical/speculative and is informed mostly by previous experience with classical genetic engineering and associated concerns. Further, the evaluation and/or quantification of any benefits has been somewhat absent in decision-making</w:t>
      </w:r>
      <w:r w:rsidR="0003078B">
        <w:rPr>
          <w:rFonts w:ascii="Times New Roman" w:hAnsi="Times New Roman"/>
          <w:kern w:val="22"/>
          <w:lang w:eastAsia="hi-IN" w:bidi="hi-IN"/>
        </w:rPr>
        <w:t xml:space="preserve"> under </w:t>
      </w:r>
      <w:r w:rsidR="002B04EC">
        <w:rPr>
          <w:rFonts w:ascii="Times New Roman" w:hAnsi="Times New Roman"/>
          <w:kern w:val="22"/>
          <w:lang w:eastAsia="hi-IN" w:bidi="hi-IN"/>
        </w:rPr>
        <w:t>many, but not all,</w:t>
      </w:r>
      <w:r w:rsidR="0003078B">
        <w:rPr>
          <w:rFonts w:ascii="Times New Roman" w:hAnsi="Times New Roman"/>
          <w:kern w:val="22"/>
          <w:lang w:eastAsia="hi-IN" w:bidi="hi-IN"/>
        </w:rPr>
        <w:t xml:space="preserve"> regulatory systems</w:t>
      </w:r>
      <w:r w:rsidRPr="001B7F0E">
        <w:rPr>
          <w:rFonts w:ascii="Times New Roman" w:hAnsi="Times New Roman"/>
          <w:kern w:val="22"/>
          <w:lang w:eastAsia="hi-IN" w:bidi="hi-IN"/>
        </w:rPr>
        <w:t>; a situation exacerbated by the lack of agreed international standards with respect to the types of data to collect, and how, for each type of application. As a consequence, any potential benefits of each application should, by necessity, be considered on a case-by-case basis and not be extrapolated to all uses of each application, as the socio-economic and cultural considerations will be very context-specific.</w:t>
      </w:r>
    </w:p>
    <w:p w14:paraId="29FE6A97" w14:textId="17CC6D16" w:rsidR="001B7F0E" w:rsidRPr="001B7F0E" w:rsidRDefault="001B7F0E" w:rsidP="001B7F0E">
      <w:pPr>
        <w:suppressAutoHyphens/>
        <w:spacing w:after="120" w:line="240" w:lineRule="auto"/>
        <w:jc w:val="both"/>
        <w:rPr>
          <w:rFonts w:ascii="Times New Roman" w:hAnsi="Times New Roman"/>
          <w:kern w:val="22"/>
          <w:lang w:eastAsia="hi-IN" w:bidi="hi-IN"/>
        </w:rPr>
      </w:pPr>
      <w:r w:rsidRPr="69813242">
        <w:rPr>
          <w:rFonts w:ascii="Times New Roman" w:hAnsi="Times New Roman"/>
          <w:kern w:val="22"/>
          <w:lang w:eastAsia="hi-IN" w:bidi="hi-IN"/>
        </w:rPr>
        <w:t xml:space="preserve">Inclusive decision-making and community engagement </w:t>
      </w:r>
      <w:r w:rsidR="00E3708D" w:rsidRPr="69813242">
        <w:rPr>
          <w:rFonts w:ascii="Times New Roman" w:hAnsi="Times New Roman"/>
          <w:kern w:val="22"/>
          <w:lang w:eastAsia="hi-IN" w:bidi="hi-IN"/>
        </w:rPr>
        <w:t>are</w:t>
      </w:r>
      <w:r w:rsidRPr="69813242">
        <w:rPr>
          <w:rFonts w:ascii="Times New Roman" w:hAnsi="Times New Roman"/>
          <w:kern w:val="22"/>
          <w:lang w:eastAsia="hi-IN" w:bidi="hi-IN"/>
        </w:rPr>
        <w:t xml:space="preserve"> needed to steer responsible research and use of synthetic biology applications. One approach that has already been championed concerns </w:t>
      </w:r>
      <w:r w:rsidR="004D49EE">
        <w:rPr>
          <w:rFonts w:ascii="Times New Roman" w:hAnsi="Times New Roman"/>
          <w:kern w:val="22"/>
          <w:lang w:eastAsia="hi-IN" w:bidi="hi-IN"/>
        </w:rPr>
        <w:t>F</w:t>
      </w:r>
      <w:r w:rsidRPr="001B7F0E">
        <w:rPr>
          <w:rFonts w:ascii="Times New Roman" w:hAnsi="Times New Roman"/>
          <w:kern w:val="22"/>
          <w:lang w:eastAsia="hi-IN" w:bidi="hi-IN"/>
        </w:rPr>
        <w:t xml:space="preserve">ree, </w:t>
      </w:r>
      <w:r w:rsidR="004D49EE">
        <w:rPr>
          <w:rFonts w:ascii="Times New Roman" w:hAnsi="Times New Roman"/>
          <w:kern w:val="22"/>
          <w:lang w:eastAsia="hi-IN" w:bidi="hi-IN"/>
        </w:rPr>
        <w:t>P</w:t>
      </w:r>
      <w:r w:rsidRPr="001B7F0E">
        <w:rPr>
          <w:rFonts w:ascii="Times New Roman" w:hAnsi="Times New Roman"/>
          <w:kern w:val="22"/>
          <w:lang w:eastAsia="hi-IN" w:bidi="hi-IN"/>
        </w:rPr>
        <w:t xml:space="preserve">rior </w:t>
      </w:r>
      <w:r w:rsidR="004D49EE">
        <w:rPr>
          <w:rFonts w:ascii="Times New Roman" w:hAnsi="Times New Roman"/>
          <w:kern w:val="22"/>
          <w:lang w:eastAsia="hi-IN" w:bidi="hi-IN"/>
        </w:rPr>
        <w:t>I</w:t>
      </w:r>
      <w:r w:rsidRPr="001B7F0E">
        <w:rPr>
          <w:rFonts w:ascii="Times New Roman" w:hAnsi="Times New Roman"/>
          <w:kern w:val="22"/>
          <w:lang w:eastAsia="hi-IN" w:bidi="hi-IN"/>
        </w:rPr>
        <w:t xml:space="preserve">nformed </w:t>
      </w:r>
      <w:r w:rsidR="004D49EE">
        <w:rPr>
          <w:rFonts w:ascii="Times New Roman" w:hAnsi="Times New Roman"/>
          <w:kern w:val="22"/>
          <w:lang w:eastAsia="hi-IN" w:bidi="hi-IN"/>
        </w:rPr>
        <w:t>C</w:t>
      </w:r>
      <w:r w:rsidRPr="001B7F0E">
        <w:rPr>
          <w:rFonts w:ascii="Times New Roman" w:hAnsi="Times New Roman"/>
          <w:kern w:val="22"/>
          <w:lang w:eastAsia="hi-IN" w:bidi="hi-IN"/>
        </w:rPr>
        <w:t xml:space="preserve">onsent (FPIC). Given the prominence of FPIC in the preamble and provisions of the Convention, as well as in the recommendations and decisions of its decision-making bodies, Parties must ensure that when decisions concerning synthetic biology have implications for IPLCs, particularly related to environmental release, the issue of FPIC including its practical implementation, is given critical importance and inclusive and participatory approaches to decision-making are adopted. The concept of FPIC has grown steadily in prominence in the context of conservation and land development decisions impacting IPLCs, and society at large. FPIC is an evolving concept and focuses on mechanisms to increase the participation of society in all stages of technology development and application. Further, FFIC is not just a result of a process to obtain consent to a particular project; it is also a process in itself, and one by which IPLCs should be able to conduct their own independent and collective discussions and decision-making. </w:t>
      </w:r>
      <w:r w:rsidR="00CE499D">
        <w:rPr>
          <w:rFonts w:ascii="Times New Roman" w:hAnsi="Times New Roman"/>
          <w:kern w:val="22"/>
          <w:lang w:eastAsia="hi-IN" w:bidi="hi-IN"/>
        </w:rPr>
        <w:t>Decision XIII/18 from the COP</w:t>
      </w:r>
      <w:r w:rsidR="00A2480E">
        <w:rPr>
          <w:rStyle w:val="FootnoteReference"/>
          <w:rFonts w:ascii="Times New Roman" w:hAnsi="Times New Roman"/>
          <w:kern w:val="22"/>
          <w:lang w:eastAsia="hi-IN" w:bidi="hi-IN"/>
        </w:rPr>
        <w:footnoteReference w:id="105"/>
      </w:r>
      <w:r w:rsidR="00CE499D">
        <w:rPr>
          <w:rFonts w:ascii="Times New Roman" w:hAnsi="Times New Roman"/>
          <w:kern w:val="22"/>
          <w:lang w:eastAsia="hi-IN" w:bidi="hi-IN"/>
        </w:rPr>
        <w:t>, for instance</w:t>
      </w:r>
      <w:r w:rsidR="007A1D7B">
        <w:rPr>
          <w:rFonts w:ascii="Times New Roman" w:hAnsi="Times New Roman"/>
          <w:kern w:val="22"/>
          <w:lang w:eastAsia="hi-IN" w:bidi="hi-IN"/>
        </w:rPr>
        <w:t>,</w:t>
      </w:r>
      <w:r w:rsidR="00C3229F">
        <w:rPr>
          <w:rFonts w:ascii="Times New Roman" w:hAnsi="Times New Roman"/>
          <w:kern w:val="22"/>
          <w:lang w:eastAsia="hi-IN" w:bidi="hi-IN"/>
        </w:rPr>
        <w:t xml:space="preserve"> </w:t>
      </w:r>
      <w:r w:rsidR="00CE499D">
        <w:rPr>
          <w:rFonts w:ascii="Times New Roman" w:hAnsi="Times New Roman"/>
          <w:kern w:val="22"/>
          <w:lang w:eastAsia="hi-IN" w:bidi="hi-IN"/>
        </w:rPr>
        <w:t>i</w:t>
      </w:r>
      <w:r w:rsidR="004F349C" w:rsidRPr="004F349C">
        <w:rPr>
          <w:rFonts w:ascii="Times New Roman" w:hAnsi="Times New Roman"/>
          <w:kern w:val="22"/>
          <w:lang w:eastAsia="hi-IN" w:bidi="hi-IN"/>
        </w:rPr>
        <w:t xml:space="preserve">nvites international funding institutions and </w:t>
      </w:r>
      <w:r w:rsidR="00CE499D">
        <w:rPr>
          <w:rFonts w:ascii="Times New Roman" w:hAnsi="Times New Roman"/>
          <w:kern w:val="22"/>
          <w:lang w:eastAsia="hi-IN" w:bidi="hi-IN"/>
        </w:rPr>
        <w:t xml:space="preserve">other actors </w:t>
      </w:r>
      <w:r w:rsidR="004F349C" w:rsidRPr="004F349C">
        <w:rPr>
          <w:rFonts w:ascii="Times New Roman" w:hAnsi="Times New Roman"/>
          <w:kern w:val="22"/>
          <w:lang w:eastAsia="hi-IN" w:bidi="hi-IN"/>
        </w:rPr>
        <w:t xml:space="preserve">to consider, consistent with their mandates, providing financial and technical assistance to </w:t>
      </w:r>
      <w:r w:rsidR="00CE499D">
        <w:rPr>
          <w:rFonts w:ascii="Times New Roman" w:hAnsi="Times New Roman"/>
          <w:kern w:val="22"/>
          <w:lang w:eastAsia="hi-IN" w:bidi="hi-IN"/>
        </w:rPr>
        <w:t>among</w:t>
      </w:r>
      <w:r w:rsidR="00A0396D">
        <w:rPr>
          <w:rFonts w:ascii="Times New Roman" w:hAnsi="Times New Roman"/>
          <w:kern w:val="22"/>
          <w:lang w:eastAsia="hi-IN" w:bidi="hi-IN"/>
        </w:rPr>
        <w:t>st</w:t>
      </w:r>
      <w:r w:rsidR="00CE499D">
        <w:rPr>
          <w:rFonts w:ascii="Times New Roman" w:hAnsi="Times New Roman"/>
          <w:kern w:val="22"/>
          <w:lang w:eastAsia="hi-IN" w:bidi="hi-IN"/>
        </w:rPr>
        <w:t xml:space="preserve"> others</w:t>
      </w:r>
      <w:r w:rsidR="004F349C" w:rsidRPr="004F349C">
        <w:rPr>
          <w:rFonts w:ascii="Times New Roman" w:hAnsi="Times New Roman"/>
          <w:kern w:val="22"/>
          <w:lang w:eastAsia="hi-IN" w:bidi="hi-IN"/>
        </w:rPr>
        <w:t xml:space="preserve">, </w:t>
      </w:r>
      <w:r w:rsidR="00CE499D">
        <w:rPr>
          <w:rFonts w:ascii="Times New Roman" w:hAnsi="Times New Roman"/>
          <w:kern w:val="22"/>
          <w:lang w:eastAsia="hi-IN" w:bidi="hi-IN"/>
        </w:rPr>
        <w:t>IPLCs</w:t>
      </w:r>
      <w:r w:rsidR="004F349C" w:rsidRPr="004F349C">
        <w:rPr>
          <w:rFonts w:ascii="Times New Roman" w:hAnsi="Times New Roman"/>
          <w:kern w:val="22"/>
          <w:lang w:eastAsia="hi-IN" w:bidi="hi-IN"/>
        </w:rPr>
        <w:t xml:space="preserve"> to develop, as appropriate, community protocols or processes for “prior and informed consent”, “free, prior and informed consent” or “approval and involvement”, depending </w:t>
      </w:r>
      <w:r w:rsidR="00A0396D">
        <w:rPr>
          <w:rFonts w:ascii="Times New Roman" w:hAnsi="Times New Roman"/>
          <w:kern w:val="22"/>
          <w:lang w:eastAsia="hi-IN" w:bidi="hi-IN"/>
        </w:rPr>
        <w:t>up</w:t>
      </w:r>
      <w:r w:rsidR="004F349C" w:rsidRPr="004F349C">
        <w:rPr>
          <w:rFonts w:ascii="Times New Roman" w:hAnsi="Times New Roman"/>
          <w:kern w:val="22"/>
          <w:lang w:eastAsia="hi-IN" w:bidi="hi-IN"/>
        </w:rPr>
        <w:t>on national circumstances</w:t>
      </w:r>
      <w:r w:rsidR="00C3229F">
        <w:rPr>
          <w:rFonts w:ascii="Times New Roman" w:hAnsi="Times New Roman"/>
          <w:kern w:val="22"/>
          <w:lang w:eastAsia="hi-IN" w:bidi="hi-IN"/>
        </w:rPr>
        <w:t xml:space="preserve">. </w:t>
      </w:r>
      <w:r w:rsidRPr="001B7F0E">
        <w:rPr>
          <w:rFonts w:ascii="Times New Roman" w:hAnsi="Times New Roman"/>
          <w:kern w:val="22"/>
          <w:lang w:eastAsia="hi-IN" w:bidi="hi-IN"/>
        </w:rPr>
        <w:t>Despite the increasing awareness of, and resources available to support, participatory decision-making processes, translating FPIC into practice across national, state, or provincial contexts of land and resource governance however continues to prove challenging.</w:t>
      </w:r>
      <w:r w:rsidR="00AC3C1C" w:rsidRPr="00AC3C1C">
        <w:t xml:space="preserve"> </w:t>
      </w:r>
      <w:r w:rsidR="00AC3C1C" w:rsidRPr="69813242">
        <w:rPr>
          <w:rFonts w:ascii="Times New Roman" w:hAnsi="Times New Roman"/>
          <w:lang w:eastAsia="hi-IN" w:bidi="hi-IN"/>
        </w:rPr>
        <w:t xml:space="preserve">Therefore, although IPLCs participate in several processes of the CBD, their involvement is considered insufficient compared to the diversity of IPLCs worldwide, due to several underlying factors, including: limited government support and recognition; lack of economic resources; language barriers, and; gender issues. There is a need for the translation of information for IPLCs in their languages, and it is imperative to give IPLC representatives adequate time and space to express their needs and concerns, so that they are effectively represented in decision-making processes during CBD COPs and other such meetings </w:t>
      </w:r>
      <w:r w:rsidR="00D7537E">
        <w:rPr>
          <w:rFonts w:ascii="Times New Roman" w:hAnsi="Times New Roman"/>
          <w:lang w:eastAsia="hi-IN" w:bidi="hi-IN"/>
        </w:rPr>
        <w:fldChar w:fldCharType="begin" w:fldLock="1"/>
      </w:r>
      <w:r w:rsidR="000216C9">
        <w:rPr>
          <w:rFonts w:ascii="Times New Roman" w:hAnsi="Times New Roman"/>
          <w:lang w:eastAsia="hi-IN" w:bidi="hi-IN"/>
        </w:rPr>
        <w:instrText>ADDIN CSL_CITATION {"citationItems":[{"id":"ITEM-1","itemData":{"DOI":"10.7717/peerj.9616","ISSN":"21678359","abstract":"Indigenous Peoples and Local Communities (IPLCs) have inhabited coastal areas, the seas, and remote islands for millennia, and developed place-based traditional ancestral knowledge and diversified livelihoods associated with the biocultural use of marine and coastal ecosystems. Through their cultural traditions, customary wise practices, and holistic approaches to observe, monitor, understand, and appreciate the Natural World, IPLCs have been preserving, managing, and sustainably using seascapes and coastal landscapes, which has been essential for biodiversity conservation. The international community has more than ever recognized the central role of IPLCs in the conservation of biodiversity-rich ecosystems, in particular, for the achievement of the Global Biodiversity Targets determined by the Parties to the United Nations Convention on Biological Diversity to tackle biodiversity loss. However, much remains to be done to fully recognize and protect at national levels IPLCs’ Traditional Biodiversity Knowledge (TBK), ways of life, and their internationally recognized rights to inhabit, own, manage and govern traditional lands, territories, and waters, which are increasingly threatened. At the 2018 4th World Conference on Marine Biodiversity held in Montréal, Canada, eight themed working groups critically discussed progress to date and barriers that have.","author":[{"dropping-particle":"","family":"Fajardo","given":"Paola","non-dropping-particle":"","parse-names":false,"suffix":""},{"dropping-particle":"","family":"Beauchesne","given":"David","non-dropping-particle":"","parse-names":false,"suffix":""},{"dropping-particle":"","family":"Carbajal-López","given":"Alberto","non-dropping-particle":"","parse-names":false,"suffix":""},{"dropping-particle":"","family":"Daigle","given":"Rémi M","non-dropping-particle":"","parse-names":false,"suffix":""},{"dropping-particle":"","family":"Fierro-Arcos","given":"L Denisse","non-dropping-particle":"","parse-names":false,"suffix":""},{"dropping-particle":"","family":"Goldsmit","given":"Jesica","non-dropping-particle":"","parse-names":false,"suffix":""},{"dropping-particle":"","family":"Zajderman","given":"Sabine","non-dropping-particle":"","parse-names":false,"suffix":""},{"dropping-particle":"","family":"Valdez-Hernández","given":"Juan I","non-dropping-particle":"","parse-names":false,"suffix":""},{"dropping-particle":"","family":"Maigua","given":"María Yolanda Terán","non-dropping-particle":"","parse-names":false,"suffix":""},{"dropping-particle":"","family":"Christofoletti","given":"Ronaldo A","non-dropping-particle":"","parse-names":false,"suffix":""}],"container-title":"PeerJ","id":"ITEM-1","issued":{"date-parts":[["2021"]]},"publisher":"PeerJ Inc.","title":"Aichi Target 18 beyond 2020: mainstreaming Traditional Biodiversity Knowledge in the conservation and sustainable use of marine and coastal ecosystems","type":"article","volume":"9"},"uris":["http://www.mendeley.com/documents/?uuid=523211ff-f3ab-4a33-82ac-7e61002b6623"]}],"mendeley":{"formattedCitation":"(Fajardo et al., 2021)","plainTextFormattedCitation":"(Fajardo et al., 2021)","previouslyFormattedCitation":"(Fajardo et al., 2021)"},"properties":{"noteIndex":0},"schema":"https://github.com/citation-style-language/schema/raw/master/csl-citation.json"}</w:instrText>
      </w:r>
      <w:r w:rsidR="00D7537E">
        <w:rPr>
          <w:rFonts w:ascii="Times New Roman" w:hAnsi="Times New Roman"/>
          <w:lang w:eastAsia="hi-IN" w:bidi="hi-IN"/>
        </w:rPr>
        <w:fldChar w:fldCharType="separate"/>
      </w:r>
      <w:r w:rsidR="00D7537E" w:rsidRPr="00D7537E">
        <w:rPr>
          <w:rFonts w:ascii="Times New Roman" w:hAnsi="Times New Roman"/>
          <w:noProof/>
          <w:lang w:eastAsia="hi-IN" w:bidi="hi-IN"/>
        </w:rPr>
        <w:t>(Fajardo et al., 2021)</w:t>
      </w:r>
      <w:r w:rsidR="00D7537E">
        <w:rPr>
          <w:rFonts w:ascii="Times New Roman" w:hAnsi="Times New Roman"/>
          <w:lang w:eastAsia="hi-IN" w:bidi="hi-IN"/>
        </w:rPr>
        <w:fldChar w:fldCharType="end"/>
      </w:r>
      <w:r w:rsidR="00AC3C1C" w:rsidRPr="69813242">
        <w:rPr>
          <w:rFonts w:ascii="Times New Roman" w:hAnsi="Times New Roman"/>
          <w:lang w:eastAsia="hi-IN" w:bidi="hi-IN"/>
        </w:rPr>
        <w:t>.</w:t>
      </w:r>
    </w:p>
    <w:p w14:paraId="204BE4DF" w14:textId="43C78819" w:rsidR="00405DDC" w:rsidRPr="00405DDC" w:rsidRDefault="001B7F0E" w:rsidP="00405DDC">
      <w:pPr>
        <w:suppressAutoHyphens/>
        <w:spacing w:after="120" w:line="240" w:lineRule="auto"/>
        <w:jc w:val="both"/>
        <w:rPr>
          <w:rFonts w:ascii="Times New Roman" w:hAnsi="Times New Roman"/>
          <w:kern w:val="22"/>
          <w:lang w:eastAsia="hi-IN" w:bidi="hi-IN"/>
        </w:rPr>
      </w:pPr>
      <w:r w:rsidRPr="001B7F0E">
        <w:rPr>
          <w:rFonts w:ascii="Times New Roman" w:hAnsi="Times New Roman"/>
          <w:kern w:val="22"/>
          <w:lang w:eastAsia="hi-IN" w:bidi="hi-IN"/>
        </w:rPr>
        <w:t>When it comes to enabling or improving community engagement in the development and deployment of synthetic biology research, challenges are likely to be faced on several fronts, but primary amongst them is actually one of the first steps and concerns developing relationships with communities to the extent that their involvement is encouraged and maintained. This is especially key when working with non-traditional communities. Assisting the process would be the creation of a community advisory board to be involved in the development of research project and application in a manner that help overcome any differences between the community and the involved researchers and developers</w:t>
      </w:r>
      <w:r w:rsidR="00717BFD">
        <w:rPr>
          <w:rFonts w:ascii="Times New Roman" w:hAnsi="Times New Roman"/>
          <w:kern w:val="22"/>
          <w:lang w:eastAsia="hi-IN" w:bidi="hi-IN"/>
        </w:rPr>
        <w:t xml:space="preserve">, and which could help in guiding research towards approaches that are </w:t>
      </w:r>
      <w:r w:rsidR="00C93EF3">
        <w:rPr>
          <w:rFonts w:ascii="Times New Roman" w:hAnsi="Times New Roman"/>
          <w:kern w:val="22"/>
          <w:lang w:eastAsia="hi-IN" w:bidi="hi-IN"/>
        </w:rPr>
        <w:t xml:space="preserve">acceptable by the communities </w:t>
      </w:r>
      <w:r w:rsidR="000D45D7">
        <w:rPr>
          <w:rFonts w:ascii="Times New Roman" w:hAnsi="Times New Roman"/>
          <w:kern w:val="22"/>
          <w:lang w:eastAsia="hi-IN" w:bidi="hi-IN"/>
        </w:rPr>
        <w:t xml:space="preserve">most likely to </w:t>
      </w:r>
      <w:r w:rsidR="00C93EF3">
        <w:rPr>
          <w:rFonts w:ascii="Times New Roman" w:hAnsi="Times New Roman"/>
          <w:kern w:val="22"/>
          <w:lang w:eastAsia="hi-IN" w:bidi="hi-IN"/>
        </w:rPr>
        <w:t>be impacted</w:t>
      </w:r>
      <w:r w:rsidRPr="001B7F0E">
        <w:rPr>
          <w:rFonts w:ascii="Times New Roman" w:hAnsi="Times New Roman"/>
          <w:kern w:val="22"/>
          <w:lang w:eastAsia="hi-IN" w:bidi="hi-IN"/>
        </w:rPr>
        <w:t xml:space="preserve">. In the absence of widely agreed-upon governance guidelines or support for more optimal deliberative processes, the developers of a technology seeking consent to release a synthetic biology organism may also serve as a community’s source of expertise and information. Such an </w:t>
      </w:r>
      <w:r w:rsidR="00FF4AA0">
        <w:rPr>
          <w:rFonts w:ascii="Times New Roman" w:hAnsi="Times New Roman"/>
          <w:kern w:val="22"/>
          <w:lang w:eastAsia="hi-IN" w:bidi="hi-IN"/>
        </w:rPr>
        <w:t>“</w:t>
      </w:r>
      <w:r w:rsidRPr="001B7F0E">
        <w:rPr>
          <w:rFonts w:ascii="Times New Roman" w:hAnsi="Times New Roman"/>
          <w:kern w:val="22"/>
          <w:lang w:eastAsia="hi-IN" w:bidi="hi-IN"/>
        </w:rPr>
        <w:t>advice and consent</w:t>
      </w:r>
      <w:r w:rsidR="00FF4AA0">
        <w:rPr>
          <w:rFonts w:ascii="Times New Roman" w:hAnsi="Times New Roman"/>
          <w:kern w:val="22"/>
          <w:lang w:eastAsia="hi-IN" w:bidi="hi-IN"/>
        </w:rPr>
        <w:t>”</w:t>
      </w:r>
      <w:r w:rsidRPr="001B7F0E">
        <w:rPr>
          <w:rFonts w:ascii="Times New Roman" w:hAnsi="Times New Roman"/>
          <w:kern w:val="22"/>
          <w:lang w:eastAsia="hi-IN" w:bidi="hi-IN"/>
        </w:rPr>
        <w:t xml:space="preserve"> relationship raises the possibility of a real or apparent conflict of interest. Ideally in these cases, governance plans should incorporate expertise and perspectives that are independent, transparent, inclusive, and based on balanced deliberations.</w:t>
      </w:r>
      <w:r w:rsidR="006E5815">
        <w:rPr>
          <w:rFonts w:ascii="Times New Roman" w:hAnsi="Times New Roman"/>
          <w:kern w:val="22"/>
          <w:lang w:eastAsia="hi-IN" w:bidi="hi-IN"/>
        </w:rPr>
        <w:t xml:space="preserve"> This situation is further exacerbated by the complex technical and scientific language used in the context of synthetic biology. For resource constrained, </w:t>
      </w:r>
      <w:r w:rsidR="00144207">
        <w:rPr>
          <w:rFonts w:ascii="Times New Roman" w:hAnsi="Times New Roman"/>
          <w:kern w:val="22"/>
          <w:lang w:eastAsia="hi-IN" w:bidi="hi-IN"/>
        </w:rPr>
        <w:t>low science literate communities</w:t>
      </w:r>
      <w:r w:rsidR="00654380">
        <w:rPr>
          <w:rFonts w:ascii="Times New Roman" w:hAnsi="Times New Roman"/>
          <w:kern w:val="22"/>
          <w:lang w:eastAsia="hi-IN" w:bidi="hi-IN"/>
        </w:rPr>
        <w:t>,</w:t>
      </w:r>
      <w:r w:rsidR="00144207">
        <w:rPr>
          <w:rFonts w:ascii="Times New Roman" w:hAnsi="Times New Roman"/>
          <w:kern w:val="22"/>
          <w:lang w:eastAsia="hi-IN" w:bidi="hi-IN"/>
        </w:rPr>
        <w:t xml:space="preserve"> this </w:t>
      </w:r>
      <w:r w:rsidR="00167990">
        <w:rPr>
          <w:rFonts w:ascii="Times New Roman" w:hAnsi="Times New Roman"/>
          <w:kern w:val="22"/>
          <w:lang w:eastAsia="hi-IN" w:bidi="hi-IN"/>
        </w:rPr>
        <w:t>is a real concern. Communication and outreach material need to be translated and conceptuali</w:t>
      </w:r>
      <w:r w:rsidR="009C6640">
        <w:rPr>
          <w:rFonts w:ascii="Times New Roman" w:hAnsi="Times New Roman"/>
          <w:kern w:val="22"/>
          <w:lang w:eastAsia="hi-IN" w:bidi="hi-IN"/>
        </w:rPr>
        <w:t>s</w:t>
      </w:r>
      <w:r w:rsidR="00167990">
        <w:rPr>
          <w:rFonts w:ascii="Times New Roman" w:hAnsi="Times New Roman"/>
          <w:kern w:val="22"/>
          <w:lang w:eastAsia="hi-IN" w:bidi="hi-IN"/>
        </w:rPr>
        <w:t>ed in order for meaningful public participation and FPIC.</w:t>
      </w:r>
      <w:r w:rsidR="007D61BB">
        <w:rPr>
          <w:rFonts w:ascii="Times New Roman" w:hAnsi="Times New Roman"/>
          <w:kern w:val="22"/>
          <w:lang w:eastAsia="hi-IN" w:bidi="hi-IN"/>
        </w:rPr>
        <w:t xml:space="preserve"> An early example</w:t>
      </w:r>
      <w:r w:rsidR="002310D3">
        <w:rPr>
          <w:rFonts w:ascii="Times New Roman" w:hAnsi="Times New Roman"/>
          <w:kern w:val="22"/>
          <w:lang w:eastAsia="hi-IN" w:bidi="hi-IN"/>
        </w:rPr>
        <w:t xml:space="preserve"> </w:t>
      </w:r>
      <w:r w:rsidR="00EC776A">
        <w:rPr>
          <w:rFonts w:ascii="Times New Roman" w:hAnsi="Times New Roman"/>
          <w:kern w:val="22"/>
          <w:lang w:eastAsia="hi-IN" w:bidi="hi-IN"/>
        </w:rPr>
        <w:t xml:space="preserve">of </w:t>
      </w:r>
      <w:r w:rsidR="006933DE">
        <w:rPr>
          <w:rFonts w:ascii="Times New Roman" w:hAnsi="Times New Roman"/>
          <w:kern w:val="22"/>
          <w:lang w:eastAsia="hi-IN" w:bidi="hi-IN"/>
        </w:rPr>
        <w:t xml:space="preserve">such </w:t>
      </w:r>
      <w:r w:rsidR="006C0342">
        <w:rPr>
          <w:rFonts w:ascii="Times New Roman" w:hAnsi="Times New Roman"/>
          <w:kern w:val="22"/>
          <w:lang w:eastAsia="hi-IN" w:bidi="hi-IN"/>
        </w:rPr>
        <w:t xml:space="preserve">material </w:t>
      </w:r>
      <w:r w:rsidR="002310D3">
        <w:rPr>
          <w:rFonts w:ascii="Times New Roman" w:hAnsi="Times New Roman"/>
          <w:kern w:val="22"/>
          <w:lang w:eastAsia="hi-IN" w:bidi="hi-IN"/>
        </w:rPr>
        <w:t xml:space="preserve">is the common glossary </w:t>
      </w:r>
      <w:r w:rsidR="0099472B">
        <w:rPr>
          <w:rFonts w:ascii="Times New Roman" w:hAnsi="Times New Roman"/>
          <w:kern w:val="22"/>
          <w:lang w:eastAsia="hi-IN" w:bidi="hi-IN"/>
        </w:rPr>
        <w:t>co-developed between local communities</w:t>
      </w:r>
      <w:r w:rsidR="006447E2">
        <w:rPr>
          <w:rFonts w:ascii="Times New Roman" w:hAnsi="Times New Roman"/>
          <w:kern w:val="22"/>
          <w:lang w:eastAsia="hi-IN" w:bidi="hi-IN"/>
        </w:rPr>
        <w:t>, linguists</w:t>
      </w:r>
      <w:r w:rsidR="0099472B">
        <w:rPr>
          <w:rFonts w:ascii="Times New Roman" w:hAnsi="Times New Roman"/>
          <w:kern w:val="22"/>
          <w:lang w:eastAsia="hi-IN" w:bidi="hi-IN"/>
        </w:rPr>
        <w:t xml:space="preserve"> and researchers focussing on</w:t>
      </w:r>
      <w:r w:rsidR="006447E2">
        <w:rPr>
          <w:rFonts w:ascii="Times New Roman" w:hAnsi="Times New Roman"/>
          <w:kern w:val="22"/>
          <w:lang w:eastAsia="hi-IN" w:bidi="hi-IN"/>
        </w:rPr>
        <w:t xml:space="preserve"> </w:t>
      </w:r>
      <w:r w:rsidR="00ED5BCA">
        <w:rPr>
          <w:rFonts w:ascii="Times New Roman" w:hAnsi="Times New Roman"/>
          <w:kern w:val="22"/>
          <w:lang w:eastAsia="hi-IN" w:bidi="hi-IN"/>
        </w:rPr>
        <w:t xml:space="preserve">translations </w:t>
      </w:r>
      <w:r w:rsidR="006C0968">
        <w:rPr>
          <w:rFonts w:ascii="Times New Roman" w:hAnsi="Times New Roman"/>
          <w:kern w:val="22"/>
          <w:lang w:eastAsia="hi-IN" w:bidi="hi-IN"/>
        </w:rPr>
        <w:t xml:space="preserve">into local languages </w:t>
      </w:r>
      <w:r w:rsidR="00ED5BCA">
        <w:rPr>
          <w:rFonts w:ascii="Times New Roman" w:hAnsi="Times New Roman"/>
          <w:kern w:val="22"/>
          <w:lang w:eastAsia="hi-IN" w:bidi="hi-IN"/>
        </w:rPr>
        <w:t xml:space="preserve">of </w:t>
      </w:r>
      <w:r w:rsidR="00917D8D">
        <w:rPr>
          <w:rFonts w:ascii="Times New Roman" w:hAnsi="Times New Roman"/>
          <w:kern w:val="22"/>
          <w:lang w:eastAsia="hi-IN" w:bidi="hi-IN"/>
        </w:rPr>
        <w:t xml:space="preserve">key terms of malaria vector control, ranging from </w:t>
      </w:r>
      <w:r w:rsidR="00ED5BCA" w:rsidRPr="00ED5BCA">
        <w:rPr>
          <w:rFonts w:ascii="Times New Roman" w:hAnsi="Times New Roman"/>
          <w:kern w:val="22"/>
          <w:lang w:eastAsia="hi-IN" w:bidi="hi-IN"/>
        </w:rPr>
        <w:t>genetics (gene, chromosome, DNA), to entomology (mosquito, larvae, collection, swarming), laboratory (containment, insectary, biosecurity), through more common engagement language (consent, engagement, community acceptance)</w:t>
      </w:r>
      <w:r w:rsidR="00917D8D">
        <w:rPr>
          <w:rFonts w:ascii="Times New Roman" w:hAnsi="Times New Roman"/>
          <w:kern w:val="22"/>
          <w:lang w:eastAsia="hi-IN" w:bidi="hi-IN"/>
        </w:rPr>
        <w:t xml:space="preserve"> </w:t>
      </w:r>
      <w:r w:rsidR="003A3880">
        <w:rPr>
          <w:rFonts w:ascii="Times New Roman" w:hAnsi="Times New Roman"/>
          <w:kern w:val="22"/>
          <w:lang w:eastAsia="hi-IN" w:bidi="hi-IN"/>
        </w:rPr>
        <w:fldChar w:fldCharType="begin" w:fldLock="1"/>
      </w:r>
      <w:r w:rsidR="008F6A90">
        <w:rPr>
          <w:rFonts w:ascii="Times New Roman" w:hAnsi="Times New Roman"/>
          <w:kern w:val="22"/>
          <w:lang w:eastAsia="hi-IN" w:bidi="hi-IN"/>
        </w:rPr>
        <w:instrText>ADDIN CSL_CITATION {"citationItems":[{"id":"ITEM-1","itemData":{"DOI":"10.1186/s12936-020-03577-y","ISSN":"14752875","PMID":"33478519","abstract":"Stakeholder engagement is an essential pillar for the development of innovative public health interventions, including genetic approaches for malaria vector control. Scientific terminologies are mainly lacking in local languages, yet when research activities involve international partnership, the question of technical jargon and its translation is crucial for effective and meaningful communication with stakeholders. Target Malaria, a not-for-profit research consortium developing innovative genetic approaches to malaria vector control, carried out a linguistic exercise in Mali, Burkina Faso and Uganda to establish the appropriate translation of its key terminology to local languages of sites where the teams operate. While reviewing the literature, there was no commonly agreed approach to establish such glossary of technical terms in local languages of the field sites where Target Malaria operates. Because of its commitment to the value of co-development, Target Malaria decided to apply this principle for the linguistic work and to take the opportunity of this process to empower communities to take part in the dialogue on innovative vector control. The project worked with linguists from other institutions (whether public research ones or private language centre) who developed a first potential glossary in the local language after better understanding the project scientific approach. This initial glossary was then tested during focus groups with community members, which significantly improved the proposed translations by making them more appropriate to the local context and cultural understanding. The stepwise process revealed the complexity and importance of elaborating a common language with communities as well as the imbrication of language with cultural aspects. This exercise demonstrated the strength of a co-development approach with communities and language experts as a way to develop knowledge together and to tailor communication to the audience even in the language used.","author":[{"dropping-particle":"","family":"Chemonges Wanyama","given":"Elinor","non-dropping-particle":"","parse-names":false,"suffix":""},{"dropping-particle":"","family":"Dicko","given":"Bakara","non-dropping-particle":"","parse-names":false,"suffix":""},{"dropping-particle":"","family":"Pare Toe","given":"Lea","non-dropping-particle":"","parse-names":false,"suffix":""},{"dropping-particle":"","family":"Coulibaly","given":"Mamadou B.","non-dropping-particle":"","parse-names":false,"suffix":""},{"dropping-particle":"","family":"Barry","given":"Nourou","non-dropping-particle":"","parse-names":false,"suffix":""},{"dropping-particle":"","family":"Bayala Traore","given":"Korotimi","non-dropping-particle":"","parse-names":false,"suffix":""},{"dropping-particle":"","family":"Diabate","given":"Abdoulaye","non-dropping-particle":"","parse-names":false,"suffix":""},{"dropping-particle":"","family":"Drabo","given":"Mouhamed","non-dropping-particle":"","parse-names":false,"suffix":""},{"dropping-particle":"","family":"Kayondo","given":"Jonathan K.","non-dropping-particle":"","parse-names":false,"suffix":""},{"dropping-particle":"","family":"Kekele","given":"Souleymane","non-dropping-particle":"","parse-names":false,"suffix":""},{"dropping-particle":"","family":"Kodio","given":"Souleymane","non-dropping-particle":"","parse-names":false,"suffix":""},{"dropping-particle":"","family":"Ky","given":"Anselme Dinyiri","non-dropping-particle":"","parse-names":false,"suffix":""},{"dropping-particle":"","family":"Linga","given":"Richard Ronny","non-dropping-particle":"","parse-names":false,"suffix":""},{"dropping-particle":"","family":"Magala","given":"Emmanuel","non-dropping-particle":"","parse-names":false,"suffix":""},{"dropping-particle":"","family":"Meda","given":"Wilfrid Ihibna","non-dropping-particle":"","parse-names":false,"suffix":""},{"dropping-particle":"","family":"Mukwaya","given":"Solome","non-dropping-particle":"","parse-names":false,"suffix":""},{"dropping-particle":"","family":"Namukwaya","given":"Annet","non-dropping-particle":"","parse-names":false,"suffix":""},{"dropping-particle":"","family":"Robinson","given":"Benjamin","non-dropping-particle":"","parse-names":false,"suffix":""},{"dropping-particle":"","family":"Samoura","given":"Hatouma","non-dropping-particle":"","parse-names":false,"suffix":""},{"dropping-particle":"","family":"Sanogo","given":"Kadiatou","non-dropping-particle":"","parse-names":false,"suffix":""},{"dropping-particle":"","family":"Thizy","given":"Delphine","non-dropping-particle":"","parse-names":false,"suffix":""},{"dropping-particle":"","family":"Traoré","given":"Fatoumata","non-dropping-particle":"","parse-names":false,"suffix":""}],"container-title":"Malaria Journal","id":"ITEM-1","issue":"1","issued":{"date-parts":[["2021","12"]]},"page":"53","publisher":"BioMed Central Ltd","title":"Co‐developing a common glossary with stakeholders for engagement on new genetic approaches for malaria control in a local African setting","type":"article-journal","volume":"20"},"uris":["http://www.mendeley.com/documents/?uuid=a823d0d1-28ab-3cc1-ba2b-f95b3b583b15","http://www.mendeley.com/documents/?uuid=1383e1f2-c607-426f-8c40-6dcd603562fd"]}],"mendeley":{"formattedCitation":"(Chemonges Wanyama et al., 2021)","plainTextFormattedCitation":"(Chemonges Wanyama et al., 2021)","previouslyFormattedCitation":"(Chemonges Wanyama et al., 2021)"},"properties":{"noteIndex":0},"schema":"https://github.com/citation-style-language/schema/raw/master/csl-citation.json"}</w:instrText>
      </w:r>
      <w:r w:rsidR="003A3880">
        <w:rPr>
          <w:rFonts w:ascii="Times New Roman" w:hAnsi="Times New Roman"/>
          <w:kern w:val="22"/>
          <w:lang w:eastAsia="hi-IN" w:bidi="hi-IN"/>
        </w:rPr>
        <w:fldChar w:fldCharType="separate"/>
      </w:r>
      <w:r w:rsidR="003A3880" w:rsidRPr="003A3880">
        <w:rPr>
          <w:rFonts w:ascii="Times New Roman" w:hAnsi="Times New Roman"/>
          <w:noProof/>
          <w:kern w:val="22"/>
          <w:lang w:eastAsia="hi-IN" w:bidi="hi-IN"/>
        </w:rPr>
        <w:t>(Chemonges Wanyama et al., 2021)</w:t>
      </w:r>
      <w:r w:rsidR="003A3880">
        <w:rPr>
          <w:rFonts w:ascii="Times New Roman" w:hAnsi="Times New Roman"/>
          <w:kern w:val="22"/>
          <w:lang w:eastAsia="hi-IN" w:bidi="hi-IN"/>
        </w:rPr>
        <w:fldChar w:fldCharType="end"/>
      </w:r>
      <w:r w:rsidR="006933DE">
        <w:rPr>
          <w:rFonts w:ascii="Times New Roman" w:hAnsi="Times New Roman"/>
          <w:kern w:val="22"/>
          <w:lang w:eastAsia="hi-IN" w:bidi="hi-IN"/>
        </w:rPr>
        <w:t>.</w:t>
      </w:r>
      <w:r w:rsidR="0099472B">
        <w:rPr>
          <w:rFonts w:ascii="Times New Roman" w:hAnsi="Times New Roman"/>
          <w:kern w:val="22"/>
          <w:lang w:eastAsia="hi-IN" w:bidi="hi-IN"/>
        </w:rPr>
        <w:t xml:space="preserve"> </w:t>
      </w:r>
    </w:p>
    <w:p w14:paraId="1A97F377" w14:textId="3D095778" w:rsidR="001B7F0E" w:rsidRPr="001B7F0E" w:rsidRDefault="001B7F0E" w:rsidP="001B7F0E">
      <w:pPr>
        <w:suppressAutoHyphens/>
        <w:spacing w:after="120" w:line="240" w:lineRule="auto"/>
        <w:jc w:val="both"/>
        <w:rPr>
          <w:rFonts w:ascii="Times New Roman" w:hAnsi="Times New Roman"/>
          <w:bCs/>
          <w:kern w:val="22"/>
          <w:lang w:eastAsia="hi-IN" w:bidi="hi-IN"/>
        </w:rPr>
      </w:pPr>
      <w:r w:rsidRPr="001B7F0E">
        <w:rPr>
          <w:rFonts w:ascii="Times New Roman" w:hAnsi="Times New Roman"/>
          <w:bCs/>
          <w:kern w:val="22"/>
          <w:lang w:eastAsia="hi-IN" w:bidi="hi-IN"/>
        </w:rPr>
        <w:t>Socially informed scientific initiatives need broader support from the scientific community, funders and policy-makers. Examples include the Scientific Citizenship Initiative</w:t>
      </w:r>
      <w:r w:rsidRPr="001B7F0E">
        <w:rPr>
          <w:rFonts w:ascii="Times New Roman" w:hAnsi="Times New Roman"/>
          <w:bCs/>
          <w:kern w:val="22"/>
          <w:vertAlign w:val="superscript"/>
          <w:lang w:eastAsia="hi-IN" w:bidi="hi-IN"/>
        </w:rPr>
        <w:footnoteReference w:id="106"/>
      </w:r>
      <w:r w:rsidRPr="001B7F0E">
        <w:rPr>
          <w:rFonts w:ascii="Times New Roman" w:hAnsi="Times New Roman"/>
          <w:bCs/>
          <w:kern w:val="22"/>
          <w:lang w:eastAsia="hi-IN" w:bidi="hi-IN"/>
        </w:rPr>
        <w:t xml:space="preserve"> at Harvard University in the USA which trains scientists to align their research with societal needs. The Summer Internship for Indigenous Peoples in Genomics offers genomics training that focuses on integrating indigenous cultural perspectives into gene studies. The AI Now Institute</w:t>
      </w:r>
      <w:r w:rsidRPr="001B7F0E">
        <w:rPr>
          <w:rFonts w:ascii="Times New Roman" w:hAnsi="Times New Roman"/>
          <w:bCs/>
          <w:kern w:val="22"/>
          <w:vertAlign w:val="superscript"/>
          <w:lang w:eastAsia="hi-IN" w:bidi="hi-IN"/>
        </w:rPr>
        <w:footnoteReference w:id="107"/>
      </w:r>
      <w:r w:rsidRPr="001B7F0E">
        <w:rPr>
          <w:rFonts w:ascii="Times New Roman" w:hAnsi="Times New Roman"/>
          <w:bCs/>
          <w:kern w:val="22"/>
          <w:lang w:eastAsia="hi-IN" w:bidi="hi-IN"/>
        </w:rPr>
        <w:t xml:space="preserve"> at New York University (USA) has initiated a holistic approach to artificial-intelligence research that incorporates inclusion, bias and justice. And Editing Nature</w:t>
      </w:r>
      <w:r w:rsidRPr="001B7F0E">
        <w:rPr>
          <w:rFonts w:ascii="Times New Roman" w:hAnsi="Times New Roman"/>
          <w:bCs/>
          <w:kern w:val="22"/>
          <w:vertAlign w:val="superscript"/>
          <w:lang w:eastAsia="hi-IN" w:bidi="hi-IN"/>
        </w:rPr>
        <w:footnoteReference w:id="108"/>
      </w:r>
      <w:r w:rsidRPr="001B7F0E">
        <w:rPr>
          <w:rFonts w:ascii="Times New Roman" w:hAnsi="Times New Roman"/>
          <w:bCs/>
          <w:kern w:val="22"/>
          <w:lang w:eastAsia="hi-IN" w:bidi="hi-IN"/>
        </w:rPr>
        <w:t xml:space="preserve"> provides platforms that integrate scientific knowledge with diverse cultural world views to foster the responsible development of environmental genetic technologies.</w:t>
      </w:r>
    </w:p>
    <w:p w14:paraId="5263D566" w14:textId="77777777" w:rsidR="001B7F0E" w:rsidRPr="001B7F0E" w:rsidRDefault="001B7F0E" w:rsidP="001B7F0E">
      <w:pPr>
        <w:suppressAutoHyphens/>
        <w:spacing w:after="120" w:line="240" w:lineRule="auto"/>
        <w:jc w:val="both"/>
        <w:rPr>
          <w:rFonts w:ascii="Times New Roman" w:hAnsi="Times New Roman"/>
          <w:i/>
          <w:iCs/>
          <w:kern w:val="22"/>
          <w:lang w:eastAsia="hi-IN" w:bidi="hi-IN"/>
        </w:rPr>
      </w:pPr>
      <w:r w:rsidRPr="001B7F0E">
        <w:rPr>
          <w:rFonts w:ascii="Times New Roman" w:hAnsi="Times New Roman"/>
          <w:kern w:val="22"/>
          <w:lang w:eastAsia="hi-IN" w:bidi="hi-IN"/>
        </w:rPr>
        <w:t>As we think about moving synthetic biology into the future, the challenge is integrating the scientific freedom that allows research and product development to move ahead while acting responsibly and in a manner that embraces ethical, legal, and larger societal values.</w:t>
      </w:r>
    </w:p>
    <w:p w14:paraId="5AFE9A98" w14:textId="5FBCB535" w:rsidR="001B7F0E" w:rsidRPr="001B7F0E" w:rsidRDefault="001B7F0E" w:rsidP="009F4205">
      <w:pPr>
        <w:pStyle w:val="Heading3"/>
        <w:rPr>
          <w:lang w:bidi="hi-IN"/>
        </w:rPr>
      </w:pPr>
      <w:bookmarkStart w:id="199" w:name="_Toc68767429"/>
      <w:bookmarkStart w:id="200" w:name="_Toc70112720"/>
      <w:bookmarkStart w:id="201" w:name="_Toc70685742"/>
      <w:r w:rsidRPr="001B7F0E">
        <w:rPr>
          <w:lang w:bidi="hi-IN"/>
        </w:rPr>
        <w:t>10.</w:t>
      </w:r>
      <w:r w:rsidR="002035BD">
        <w:rPr>
          <w:lang w:bidi="hi-IN"/>
        </w:rPr>
        <w:t>7</w:t>
      </w:r>
      <w:r w:rsidRPr="001B7F0E">
        <w:rPr>
          <w:lang w:bidi="hi-IN"/>
        </w:rPr>
        <w:t>. Implementation</w:t>
      </w:r>
      <w:r w:rsidR="00E621F6">
        <w:rPr>
          <w:lang w:val="en-US" w:bidi="hi-IN"/>
        </w:rPr>
        <w:t xml:space="preserve"> of regulatory frameworks</w:t>
      </w:r>
      <w:r w:rsidR="00F3413B">
        <w:rPr>
          <w:lang w:val="en-US" w:bidi="hi-IN"/>
        </w:rPr>
        <w:t>.</w:t>
      </w:r>
      <w:bookmarkEnd w:id="199"/>
      <w:bookmarkEnd w:id="200"/>
      <w:bookmarkEnd w:id="201"/>
    </w:p>
    <w:p w14:paraId="747DB2AD" w14:textId="49B97742" w:rsidR="001B7F0E" w:rsidRPr="001B7F0E" w:rsidRDefault="001B7F0E" w:rsidP="001B7F0E">
      <w:pPr>
        <w:suppressAutoHyphens/>
        <w:spacing w:after="120" w:line="240" w:lineRule="auto"/>
        <w:jc w:val="both"/>
        <w:rPr>
          <w:rFonts w:ascii="Times New Roman" w:hAnsi="Times New Roman"/>
          <w:bCs/>
          <w:kern w:val="22"/>
          <w:lang w:eastAsia="hi-IN" w:bidi="hi-IN"/>
        </w:rPr>
      </w:pPr>
      <w:r w:rsidRPr="001B7F0E">
        <w:rPr>
          <w:rFonts w:ascii="Times New Roman" w:hAnsi="Times New Roman"/>
          <w:bCs/>
          <w:kern w:val="22"/>
          <w:lang w:eastAsia="hi-IN" w:bidi="hi-IN"/>
        </w:rPr>
        <w:t>The greatest focus of</w:t>
      </w:r>
      <w:r w:rsidRPr="001B7F0E" w:rsidDel="008C1B87">
        <w:rPr>
          <w:rFonts w:ascii="Times New Roman" w:hAnsi="Times New Roman"/>
          <w:bCs/>
          <w:kern w:val="22"/>
          <w:lang w:eastAsia="hi-IN" w:bidi="hi-IN"/>
        </w:rPr>
        <w:t xml:space="preserve"> </w:t>
      </w:r>
      <w:r w:rsidRPr="001B7F0E">
        <w:rPr>
          <w:rFonts w:ascii="Times New Roman" w:hAnsi="Times New Roman"/>
          <w:bCs/>
          <w:kern w:val="22"/>
          <w:lang w:eastAsia="hi-IN" w:bidi="hi-IN"/>
        </w:rPr>
        <w:t xml:space="preserve">regulatory frameworks which have implications for the governance of the synthetic biology and which are relevant to the objectives of the Convention and its Protocols is the protection of people and the environment, while applying principles of risk assessment and risk management. Foremost, while the objectives are clearly different, it is evident that biosafety and biosecurity, at least in a containment context, are complimentary disciplines that benefit from an aligned approach. Indeed, in practice at the national level, </w:t>
      </w:r>
      <w:r w:rsidRPr="001B7F0E" w:rsidDel="002F5C19">
        <w:rPr>
          <w:rFonts w:ascii="Times New Roman" w:hAnsi="Times New Roman"/>
          <w:bCs/>
          <w:kern w:val="22"/>
          <w:lang w:eastAsia="hi-IN" w:bidi="hi-IN"/>
        </w:rPr>
        <w:t xml:space="preserve">these are </w:t>
      </w:r>
      <w:r w:rsidRPr="001B7F0E">
        <w:rPr>
          <w:rFonts w:ascii="Times New Roman" w:hAnsi="Times New Roman"/>
          <w:bCs/>
          <w:kern w:val="22"/>
          <w:lang w:eastAsia="hi-IN" w:bidi="hi-IN"/>
        </w:rPr>
        <w:t xml:space="preserve">often addressed together through a single biorisk management programme ensuring compliance with the requirements of good practices set out in international guidance documents and local legislative frameworks </w:t>
      </w:r>
      <w:r w:rsidR="000216C9">
        <w:rPr>
          <w:rFonts w:ascii="Times New Roman" w:hAnsi="Times New Roman"/>
          <w:bCs/>
          <w:kern w:val="22"/>
          <w:lang w:eastAsia="hi-IN" w:bidi="hi-IN"/>
        </w:rPr>
        <w:fldChar w:fldCharType="begin" w:fldLock="1"/>
      </w:r>
      <w:r w:rsidR="0016284B">
        <w:rPr>
          <w:rFonts w:ascii="Times New Roman" w:hAnsi="Times New Roman"/>
          <w:bCs/>
          <w:kern w:val="22"/>
          <w:lang w:eastAsia="hi-IN" w:bidi="hi-IN"/>
        </w:rPr>
        <w:instrText>ADDIN CSL_CITATION {"citationItems":[{"id":"ITEM-1","itemData":{"DOI":"10.3389/fbioe.2020.00650","ISSN":"22964185","abstract":"When biosafety for contained use is addressed in international fora and discussions, often the topic is limited to working with genetically modified organisms (GMOs) in facilities such as laboratories, animal facilities, and greenhouses. However, the scope of biosafety in containment encompasses many other types of biological materials, such as human, animal and plant pathogens, nucleic acids, proteins, human samples, animals or plants, or by-products thereof, and overlaps often with the topic of biosecurity. This is also reflected in the regulations that apply for activities with biological materials in contained facilities. The common denominator of these regulations is the focus on protection of people and environment, while applying the key principles of risk assessment and risk management. This review provides an overview of regulatory frameworks for biosafety and biosecurity in containment around the globe, as well as points out overlap with other regulatory frameworks, such as the Nagoya Protocol, or Plant and Animal Health regulations.","author":[{"dropping-particle":"","family":"Beeckman","given":"Delphine S A","non-dropping-particle":"","parse-names":false,"suffix":""},{"dropping-particle":"","family":"Rüdelsheim","given":"Patrick","non-dropping-particle":"","parse-names":false,"suffix":""}],"container-title":"Frontiers in Bioengineering and Biotechnology","id":"ITEM-1","issued":{"date-parts":[["2020"]]},"publisher":"Frontiers Media S.A.","title":"Biosafety and Biosecurity in Containment: A Regulatory Overview","type":"article-journal","volume":"8"},"uris":["http://www.mendeley.com/documents/?uuid=58c1e384-1494-4eb1-895c-d8b2fc624289"]}],"mendeley":{"formattedCitation":"(Beeckman &amp; Rüdelsheim, 2020)","plainTextFormattedCitation":"(Beeckman &amp; Rüdelsheim, 2020)","previouslyFormattedCitation":"(Beeckman &amp; Rüdelsheim, 2020)"},"properties":{"noteIndex":0},"schema":"https://github.com/citation-style-language/schema/raw/master/csl-citation.json"}</w:instrText>
      </w:r>
      <w:r w:rsidR="000216C9">
        <w:rPr>
          <w:rFonts w:ascii="Times New Roman" w:hAnsi="Times New Roman"/>
          <w:bCs/>
          <w:kern w:val="22"/>
          <w:lang w:eastAsia="hi-IN" w:bidi="hi-IN"/>
        </w:rPr>
        <w:fldChar w:fldCharType="separate"/>
      </w:r>
      <w:r w:rsidR="000216C9" w:rsidRPr="000216C9">
        <w:rPr>
          <w:rFonts w:ascii="Times New Roman" w:hAnsi="Times New Roman"/>
          <w:bCs/>
          <w:noProof/>
          <w:kern w:val="22"/>
          <w:lang w:eastAsia="hi-IN" w:bidi="hi-IN"/>
        </w:rPr>
        <w:t>(Beeckman &amp; Rüdelsheim, 2020)</w:t>
      </w:r>
      <w:r w:rsidR="000216C9">
        <w:rPr>
          <w:rFonts w:ascii="Times New Roman" w:hAnsi="Times New Roman"/>
          <w:bCs/>
          <w:kern w:val="22"/>
          <w:lang w:eastAsia="hi-IN" w:bidi="hi-IN"/>
        </w:rPr>
        <w:fldChar w:fldCharType="end"/>
      </w:r>
      <w:r w:rsidRPr="001B7F0E">
        <w:rPr>
          <w:rFonts w:ascii="Times New Roman" w:hAnsi="Times New Roman"/>
          <w:bCs/>
          <w:kern w:val="22"/>
          <w:lang w:eastAsia="hi-IN" w:bidi="hi-IN"/>
        </w:rPr>
        <w:t xml:space="preserve">. These risk assessment and management practices are embedded in a robust framework of international, regional and national regulations dealing predominantly with research, handling, release and standards that ensure the protection of human, animal and plant health as well as the environment. </w:t>
      </w:r>
    </w:p>
    <w:p w14:paraId="153C818C" w14:textId="7FC662FA" w:rsidR="001B7F0E" w:rsidRPr="001B7F0E" w:rsidRDefault="001B7F0E" w:rsidP="001B7F0E">
      <w:pPr>
        <w:suppressAutoHyphens/>
        <w:spacing w:after="120" w:line="240" w:lineRule="auto"/>
        <w:jc w:val="both"/>
        <w:rPr>
          <w:rFonts w:ascii="Times New Roman" w:hAnsi="Times New Roman"/>
          <w:bCs/>
          <w:kern w:val="22"/>
          <w:lang w:eastAsia="hi-IN" w:bidi="hi-IN"/>
        </w:rPr>
      </w:pPr>
      <w:r w:rsidRPr="001B7F0E">
        <w:rPr>
          <w:rFonts w:ascii="Times New Roman" w:hAnsi="Times New Roman"/>
          <w:bCs/>
          <w:kern w:val="22"/>
          <w:lang w:eastAsia="hi-IN" w:bidi="hi-IN"/>
        </w:rPr>
        <w:t xml:space="preserve">The rapid advancement of the underlying science and the exponential rise in potential applications of synthetic biology is far exceeding the speed at which national and international governance frameworks can adapt. This is especially critical when it comes to how synthetic biology tools, technologies and applications are/will be described by the various legal frameworks, which will then provide the relevant mandate to regulate (or not) activities with them. The challenge will be in arriving at international consensus with respect to definitions, including which product characteristics and/or technologies will fall under them. As </w:t>
      </w:r>
      <w:r w:rsidR="00987CD0">
        <w:rPr>
          <w:rFonts w:ascii="Times New Roman" w:hAnsi="Times New Roman"/>
          <w:bCs/>
          <w:kern w:val="22"/>
          <w:lang w:eastAsia="hi-IN" w:bidi="hi-IN"/>
        </w:rPr>
        <w:t>in</w:t>
      </w:r>
      <w:r w:rsidRPr="001B7F0E" w:rsidDel="00C72F88">
        <w:rPr>
          <w:rFonts w:ascii="Times New Roman" w:hAnsi="Times New Roman"/>
          <w:bCs/>
          <w:kern w:val="22"/>
          <w:lang w:eastAsia="hi-IN" w:bidi="hi-IN"/>
        </w:rPr>
        <w:t xml:space="preserve"> </w:t>
      </w:r>
      <w:r w:rsidR="00C72F88">
        <w:rPr>
          <w:rFonts w:ascii="Times New Roman" w:hAnsi="Times New Roman"/>
          <w:bCs/>
          <w:kern w:val="22"/>
          <w:lang w:eastAsia="hi-IN" w:bidi="hi-IN"/>
        </w:rPr>
        <w:t>the case of challenges arising from the differences between a</w:t>
      </w:r>
      <w:r w:rsidR="00C72F88" w:rsidRPr="001B7F0E">
        <w:rPr>
          <w:rFonts w:ascii="Times New Roman" w:hAnsi="Times New Roman"/>
          <w:bCs/>
          <w:kern w:val="22"/>
          <w:lang w:eastAsia="hi-IN" w:bidi="hi-IN"/>
        </w:rPr>
        <w:t xml:space="preserve"> </w:t>
      </w:r>
      <w:r w:rsidRPr="001B7F0E">
        <w:rPr>
          <w:rFonts w:ascii="Times New Roman" w:hAnsi="Times New Roman"/>
          <w:bCs/>
          <w:kern w:val="22"/>
          <w:lang w:eastAsia="hi-IN" w:bidi="hi-IN"/>
        </w:rPr>
        <w:t xml:space="preserve">product-based </w:t>
      </w:r>
      <w:r w:rsidR="00C72F88">
        <w:rPr>
          <w:rFonts w:ascii="Times New Roman" w:hAnsi="Times New Roman"/>
          <w:bCs/>
          <w:kern w:val="22"/>
          <w:lang w:eastAsia="hi-IN" w:bidi="hi-IN"/>
        </w:rPr>
        <w:t xml:space="preserve">and a </w:t>
      </w:r>
      <w:r w:rsidRPr="001B7F0E">
        <w:rPr>
          <w:rFonts w:ascii="Times New Roman" w:hAnsi="Times New Roman"/>
          <w:bCs/>
          <w:kern w:val="22"/>
          <w:lang w:eastAsia="hi-IN" w:bidi="hi-IN"/>
        </w:rPr>
        <w:t>process-based approach to regulation for classical genetic engineering, it is to be expected that similar if not greater challenges will continue to be faced for those organisms resulting from synthetic biology.</w:t>
      </w:r>
    </w:p>
    <w:p w14:paraId="4D42A483" w14:textId="10CC3C47" w:rsidR="001B7F0E" w:rsidRPr="001B7F0E" w:rsidRDefault="001B7F0E" w:rsidP="001B7F0E">
      <w:pPr>
        <w:suppressAutoHyphens/>
        <w:spacing w:after="120" w:line="240" w:lineRule="auto"/>
        <w:jc w:val="both"/>
        <w:rPr>
          <w:rFonts w:ascii="Times New Roman" w:hAnsi="Times New Roman"/>
          <w:kern w:val="22"/>
          <w:lang w:eastAsia="hi-IN" w:bidi="hi-IN"/>
        </w:rPr>
      </w:pPr>
      <w:r w:rsidRPr="001B7F0E">
        <w:rPr>
          <w:rFonts w:ascii="Times New Roman" w:hAnsi="Times New Roman"/>
          <w:kern w:val="22"/>
          <w:lang w:eastAsia="hi-IN" w:bidi="hi-IN"/>
        </w:rPr>
        <w:t xml:space="preserve">The different fundamental objectives of the international trade and environmental regimes </w:t>
      </w:r>
      <w:r w:rsidR="000A086C">
        <w:rPr>
          <w:rFonts w:ascii="Times New Roman" w:hAnsi="Times New Roman"/>
          <w:kern w:val="22"/>
          <w:lang w:eastAsia="hi-IN" w:bidi="hi-IN"/>
        </w:rPr>
        <w:t>can</w:t>
      </w:r>
      <w:r w:rsidR="000A086C" w:rsidRPr="001B7F0E">
        <w:rPr>
          <w:rFonts w:ascii="Times New Roman" w:hAnsi="Times New Roman"/>
          <w:kern w:val="22"/>
          <w:lang w:eastAsia="hi-IN" w:bidi="hi-IN"/>
        </w:rPr>
        <w:t xml:space="preserve"> </w:t>
      </w:r>
      <w:r w:rsidRPr="001B7F0E">
        <w:rPr>
          <w:rFonts w:ascii="Times New Roman" w:hAnsi="Times New Roman"/>
          <w:kern w:val="22"/>
          <w:lang w:eastAsia="hi-IN" w:bidi="hi-IN"/>
        </w:rPr>
        <w:t>le</w:t>
      </w:r>
      <w:r w:rsidR="000A086C">
        <w:rPr>
          <w:rFonts w:ascii="Times New Roman" w:hAnsi="Times New Roman"/>
          <w:kern w:val="22"/>
          <w:lang w:eastAsia="hi-IN" w:bidi="hi-IN"/>
        </w:rPr>
        <w:t>a</w:t>
      </w:r>
      <w:r w:rsidRPr="001B7F0E">
        <w:rPr>
          <w:rFonts w:ascii="Times New Roman" w:hAnsi="Times New Roman"/>
          <w:kern w:val="22"/>
          <w:lang w:eastAsia="hi-IN" w:bidi="hi-IN"/>
        </w:rPr>
        <w:t xml:space="preserve">d to </w:t>
      </w:r>
      <w:r w:rsidR="000A086C">
        <w:rPr>
          <w:rFonts w:ascii="Times New Roman" w:hAnsi="Times New Roman"/>
          <w:kern w:val="22"/>
          <w:lang w:eastAsia="hi-IN" w:bidi="hi-IN"/>
        </w:rPr>
        <w:t>tensions</w:t>
      </w:r>
      <w:r w:rsidR="00327E3A">
        <w:rPr>
          <w:rFonts w:ascii="Times New Roman" w:hAnsi="Times New Roman"/>
          <w:kern w:val="22"/>
          <w:lang w:eastAsia="hi-IN" w:bidi="hi-IN"/>
        </w:rPr>
        <w:t xml:space="preserve"> </w:t>
      </w:r>
      <w:r w:rsidRPr="001B7F0E">
        <w:rPr>
          <w:rFonts w:ascii="Times New Roman" w:hAnsi="Times New Roman"/>
          <w:kern w:val="22"/>
          <w:lang w:eastAsia="hi-IN" w:bidi="hi-IN"/>
        </w:rPr>
        <w:t>in the regulatory measures taken to achieve these objectives. Strengthening the coherence of these two systems requires measures to be taken at national and supranational levels to ensure that they are implemented in a mutually supportive manner, and society will have a key role to play. A formal analysis of the trajectory or dynamics that the interpretative flexibility is taking may also be useful to anticipate the social perception of these decisions.</w:t>
      </w:r>
    </w:p>
    <w:p w14:paraId="10AE0877" w14:textId="77777777" w:rsidR="001B7F0E" w:rsidRPr="001B7F0E" w:rsidRDefault="001B7F0E" w:rsidP="001B7F0E">
      <w:pPr>
        <w:suppressAutoHyphens/>
        <w:spacing w:after="120" w:line="240" w:lineRule="auto"/>
        <w:jc w:val="both"/>
        <w:rPr>
          <w:rFonts w:ascii="Times New Roman" w:hAnsi="Times New Roman"/>
          <w:bCs/>
          <w:kern w:val="22"/>
          <w:lang w:eastAsia="hi-IN" w:bidi="hi-IN"/>
        </w:rPr>
      </w:pPr>
      <w:r w:rsidRPr="001B7F0E">
        <w:rPr>
          <w:rFonts w:ascii="Times New Roman" w:hAnsi="Times New Roman"/>
          <w:bCs/>
          <w:kern w:val="22"/>
          <w:lang w:eastAsia="hi-IN" w:bidi="hi-IN"/>
        </w:rPr>
        <w:t>As synthetic biology applications approach commercial deployment and potential environmental release, engineered gene drives provide a useful lens through which to evaluate overlaps and potential gaps in the governance of synthetic biology.</w:t>
      </w:r>
    </w:p>
    <w:p w14:paraId="7F876CA8" w14:textId="03593620" w:rsidR="001B7F0E" w:rsidRPr="001B7F0E" w:rsidRDefault="001B7F0E" w:rsidP="001B7F0E">
      <w:pPr>
        <w:suppressAutoHyphens/>
        <w:spacing w:after="120" w:line="240" w:lineRule="auto"/>
        <w:jc w:val="both"/>
        <w:rPr>
          <w:rFonts w:ascii="Times New Roman" w:hAnsi="Times New Roman"/>
          <w:bCs/>
          <w:kern w:val="22"/>
          <w:lang w:eastAsia="hi-IN" w:bidi="hi-IN"/>
        </w:rPr>
      </w:pPr>
      <w:r w:rsidRPr="001B7F0E">
        <w:rPr>
          <w:rFonts w:ascii="Times New Roman" w:hAnsi="Times New Roman"/>
          <w:bCs/>
          <w:kern w:val="22"/>
          <w:lang w:eastAsia="hi-IN" w:bidi="hi-IN"/>
        </w:rPr>
        <w:t>The CBD and its Cartagena Protocol on Biosafety are framed primarily by the objective of conserving and protecting biodiversity</w:t>
      </w:r>
      <w:r w:rsidR="00691117">
        <w:rPr>
          <w:rFonts w:ascii="Times New Roman" w:hAnsi="Times New Roman"/>
          <w:bCs/>
          <w:kern w:val="22"/>
          <w:lang w:eastAsia="hi-IN" w:bidi="hi-IN"/>
        </w:rPr>
        <w:t xml:space="preserve">, </w:t>
      </w:r>
      <w:r w:rsidR="00D84FB0">
        <w:rPr>
          <w:rFonts w:ascii="Times New Roman" w:hAnsi="Times New Roman"/>
          <w:bCs/>
          <w:kern w:val="22"/>
          <w:lang w:eastAsia="hi-IN" w:bidi="hi-IN"/>
        </w:rPr>
        <w:t xml:space="preserve">whilst also </w:t>
      </w:r>
      <w:r w:rsidR="00691117">
        <w:rPr>
          <w:rFonts w:ascii="Times New Roman" w:hAnsi="Times New Roman"/>
          <w:bCs/>
          <w:kern w:val="22"/>
          <w:lang w:eastAsia="hi-IN" w:bidi="hi-IN"/>
        </w:rPr>
        <w:t>taking into account human health</w:t>
      </w:r>
      <w:r w:rsidR="00D84FB0">
        <w:rPr>
          <w:rFonts w:ascii="Times New Roman" w:hAnsi="Times New Roman"/>
          <w:bCs/>
          <w:kern w:val="22"/>
          <w:lang w:eastAsia="hi-IN" w:bidi="hi-IN"/>
        </w:rPr>
        <w:t xml:space="preserve"> whereas</w:t>
      </w:r>
      <w:r w:rsidR="001C62D8">
        <w:rPr>
          <w:rFonts w:ascii="Times New Roman" w:hAnsi="Times New Roman"/>
          <w:bCs/>
          <w:kern w:val="22"/>
          <w:lang w:eastAsia="hi-IN" w:bidi="hi-IN"/>
        </w:rPr>
        <w:t xml:space="preserve"> </w:t>
      </w:r>
      <w:r w:rsidR="00082E3D">
        <w:rPr>
          <w:rFonts w:ascii="Times New Roman" w:hAnsi="Times New Roman"/>
          <w:bCs/>
          <w:kern w:val="22"/>
          <w:lang w:eastAsia="hi-IN" w:bidi="hi-IN"/>
        </w:rPr>
        <w:t>the</w:t>
      </w:r>
      <w:r w:rsidR="001C62D8">
        <w:rPr>
          <w:rFonts w:ascii="Times New Roman" w:hAnsi="Times New Roman"/>
          <w:bCs/>
          <w:kern w:val="22"/>
          <w:lang w:eastAsia="hi-IN" w:bidi="hi-IN"/>
        </w:rPr>
        <w:t xml:space="preserve"> primary goal of</w:t>
      </w:r>
      <w:r w:rsidR="000157D3">
        <w:rPr>
          <w:rFonts w:ascii="Times New Roman" w:hAnsi="Times New Roman"/>
          <w:bCs/>
          <w:kern w:val="22"/>
          <w:lang w:eastAsia="hi-IN" w:bidi="hi-IN"/>
        </w:rPr>
        <w:t xml:space="preserve"> </w:t>
      </w:r>
      <w:r w:rsidR="00082E3D">
        <w:rPr>
          <w:rFonts w:ascii="Times New Roman" w:hAnsi="Times New Roman"/>
          <w:bCs/>
          <w:kern w:val="22"/>
          <w:lang w:eastAsia="hi-IN" w:bidi="hi-IN"/>
        </w:rPr>
        <w:t>th</w:t>
      </w:r>
      <w:r w:rsidR="00AC6B90">
        <w:rPr>
          <w:rFonts w:ascii="Times New Roman" w:hAnsi="Times New Roman"/>
          <w:bCs/>
          <w:kern w:val="22"/>
          <w:lang w:eastAsia="hi-IN" w:bidi="hi-IN"/>
        </w:rPr>
        <w:t>e</w:t>
      </w:r>
      <w:r w:rsidR="00CC24F9">
        <w:rPr>
          <w:rFonts w:ascii="Times New Roman" w:hAnsi="Times New Roman"/>
          <w:bCs/>
          <w:kern w:val="22"/>
          <w:lang w:eastAsia="hi-IN" w:bidi="hi-IN"/>
        </w:rPr>
        <w:t xml:space="preserve"> WHO </w:t>
      </w:r>
      <w:r w:rsidR="00CC24F9" w:rsidRPr="001B7F0E">
        <w:rPr>
          <w:rFonts w:ascii="Times New Roman" w:hAnsi="Times New Roman"/>
          <w:bCs/>
          <w:kern w:val="22"/>
          <w:lang w:eastAsia="hi-IN" w:bidi="hi-IN"/>
        </w:rPr>
        <w:t>is the development of effective and safe health interventions</w:t>
      </w:r>
      <w:r w:rsidR="00CC24F9">
        <w:rPr>
          <w:rFonts w:ascii="Times New Roman" w:hAnsi="Times New Roman"/>
          <w:bCs/>
          <w:kern w:val="22"/>
          <w:lang w:eastAsia="hi-IN" w:bidi="hi-IN"/>
        </w:rPr>
        <w:t xml:space="preserve">. </w:t>
      </w:r>
      <w:r w:rsidRPr="001B7F0E">
        <w:rPr>
          <w:rFonts w:ascii="Times New Roman" w:hAnsi="Times New Roman"/>
          <w:bCs/>
          <w:kern w:val="22"/>
          <w:lang w:eastAsia="hi-IN" w:bidi="hi-IN"/>
        </w:rPr>
        <w:t xml:space="preserve">The release of a </w:t>
      </w:r>
      <w:r w:rsidR="0092567E">
        <w:rPr>
          <w:rFonts w:ascii="Times New Roman" w:hAnsi="Times New Roman"/>
          <w:bCs/>
          <w:kern w:val="22"/>
          <w:lang w:eastAsia="hi-IN" w:bidi="hi-IN"/>
        </w:rPr>
        <w:t>disease</w:t>
      </w:r>
      <w:r w:rsidR="00876B27">
        <w:rPr>
          <w:rFonts w:ascii="Times New Roman" w:hAnsi="Times New Roman"/>
          <w:bCs/>
          <w:kern w:val="22"/>
          <w:lang w:eastAsia="hi-IN" w:bidi="hi-IN"/>
        </w:rPr>
        <w:t xml:space="preserve"> vector </w:t>
      </w:r>
      <w:r w:rsidRPr="001B7F0E">
        <w:rPr>
          <w:rFonts w:ascii="Times New Roman" w:hAnsi="Times New Roman"/>
          <w:bCs/>
          <w:kern w:val="22"/>
          <w:lang w:eastAsia="hi-IN" w:bidi="hi-IN"/>
        </w:rPr>
        <w:t xml:space="preserve">LMO </w:t>
      </w:r>
      <w:r w:rsidR="00405BAF">
        <w:rPr>
          <w:rFonts w:ascii="Times New Roman" w:hAnsi="Times New Roman"/>
          <w:bCs/>
          <w:kern w:val="22"/>
          <w:lang w:eastAsia="hi-IN" w:bidi="hi-IN"/>
        </w:rPr>
        <w:t>with an</w:t>
      </w:r>
      <w:r w:rsidRPr="001B7F0E">
        <w:rPr>
          <w:rFonts w:ascii="Times New Roman" w:hAnsi="Times New Roman"/>
          <w:bCs/>
          <w:kern w:val="22"/>
          <w:lang w:eastAsia="hi-IN" w:bidi="hi-IN"/>
        </w:rPr>
        <w:t xml:space="preserve"> engineered gene drive </w:t>
      </w:r>
      <w:r w:rsidR="00C03585">
        <w:rPr>
          <w:rFonts w:ascii="Times New Roman" w:hAnsi="Times New Roman"/>
          <w:bCs/>
          <w:kern w:val="22"/>
          <w:lang w:eastAsia="hi-IN" w:bidi="hi-IN"/>
        </w:rPr>
        <w:t xml:space="preserve">will </w:t>
      </w:r>
      <w:r w:rsidRPr="001B7F0E">
        <w:rPr>
          <w:rFonts w:ascii="Times New Roman" w:hAnsi="Times New Roman"/>
          <w:bCs/>
          <w:kern w:val="22"/>
          <w:lang w:eastAsia="hi-IN" w:bidi="hi-IN"/>
        </w:rPr>
        <w:t xml:space="preserve">require </w:t>
      </w:r>
      <w:r w:rsidR="00C03585">
        <w:rPr>
          <w:rFonts w:ascii="Times New Roman" w:hAnsi="Times New Roman"/>
          <w:bCs/>
          <w:kern w:val="22"/>
          <w:lang w:eastAsia="hi-IN" w:bidi="hi-IN"/>
        </w:rPr>
        <w:t xml:space="preserve">assessment and </w:t>
      </w:r>
      <w:r w:rsidRPr="001B7F0E">
        <w:rPr>
          <w:rFonts w:ascii="Times New Roman" w:hAnsi="Times New Roman"/>
          <w:bCs/>
          <w:kern w:val="22"/>
          <w:lang w:eastAsia="hi-IN" w:bidi="hi-IN"/>
        </w:rPr>
        <w:t>approval by national authorit</w:t>
      </w:r>
      <w:r w:rsidR="00C03585">
        <w:rPr>
          <w:rFonts w:ascii="Times New Roman" w:hAnsi="Times New Roman"/>
          <w:bCs/>
          <w:kern w:val="22"/>
          <w:lang w:eastAsia="hi-IN" w:bidi="hi-IN"/>
        </w:rPr>
        <w:t>ies.</w:t>
      </w:r>
      <w:r w:rsidRPr="001B7F0E">
        <w:rPr>
          <w:rFonts w:ascii="Times New Roman" w:hAnsi="Times New Roman"/>
          <w:bCs/>
          <w:kern w:val="22"/>
          <w:lang w:eastAsia="hi-IN" w:bidi="hi-IN"/>
        </w:rPr>
        <w:t xml:space="preserve"> </w:t>
      </w:r>
      <w:r w:rsidR="00A14D6F">
        <w:rPr>
          <w:rFonts w:ascii="Times New Roman" w:hAnsi="Times New Roman"/>
          <w:bCs/>
          <w:kern w:val="22"/>
          <w:lang w:eastAsia="hi-IN" w:bidi="hi-IN"/>
        </w:rPr>
        <w:t xml:space="preserve">In assessing </w:t>
      </w:r>
      <w:r w:rsidR="0032033C">
        <w:rPr>
          <w:rFonts w:ascii="Times New Roman" w:hAnsi="Times New Roman"/>
          <w:bCs/>
          <w:kern w:val="22"/>
          <w:lang w:eastAsia="hi-IN" w:bidi="hi-IN"/>
        </w:rPr>
        <w:t>such</w:t>
      </w:r>
      <w:r w:rsidR="00A14D6F">
        <w:rPr>
          <w:rFonts w:ascii="Times New Roman" w:hAnsi="Times New Roman"/>
          <w:bCs/>
          <w:kern w:val="22"/>
          <w:lang w:eastAsia="hi-IN" w:bidi="hi-IN"/>
        </w:rPr>
        <w:t xml:space="preserve"> </w:t>
      </w:r>
      <w:r w:rsidR="001C62D8">
        <w:rPr>
          <w:rFonts w:ascii="Times New Roman" w:hAnsi="Times New Roman"/>
          <w:bCs/>
          <w:kern w:val="22"/>
          <w:lang w:eastAsia="hi-IN" w:bidi="hi-IN"/>
        </w:rPr>
        <w:t xml:space="preserve">an </w:t>
      </w:r>
      <w:r w:rsidR="00A14D6F">
        <w:rPr>
          <w:rFonts w:ascii="Times New Roman" w:hAnsi="Times New Roman"/>
          <w:bCs/>
          <w:kern w:val="22"/>
          <w:lang w:eastAsia="hi-IN" w:bidi="hi-IN"/>
        </w:rPr>
        <w:t xml:space="preserve">application, </w:t>
      </w:r>
      <w:r w:rsidR="008136E8">
        <w:rPr>
          <w:rFonts w:ascii="Times New Roman" w:hAnsi="Times New Roman"/>
          <w:bCs/>
          <w:kern w:val="22"/>
          <w:lang w:eastAsia="hi-IN" w:bidi="hi-IN"/>
        </w:rPr>
        <w:t>a</w:t>
      </w:r>
      <w:r w:rsidRPr="001B7F0E" w:rsidDel="008136E8">
        <w:rPr>
          <w:rFonts w:ascii="Times New Roman" w:hAnsi="Times New Roman"/>
          <w:bCs/>
          <w:kern w:val="22"/>
          <w:lang w:eastAsia="hi-IN" w:bidi="hi-IN"/>
        </w:rPr>
        <w:t xml:space="preserve"> </w:t>
      </w:r>
      <w:r w:rsidR="000A2BEF">
        <w:rPr>
          <w:rFonts w:ascii="Times New Roman" w:hAnsi="Times New Roman"/>
          <w:bCs/>
          <w:kern w:val="22"/>
          <w:lang w:eastAsia="hi-IN" w:bidi="hi-IN"/>
        </w:rPr>
        <w:t>field evaluation</w:t>
      </w:r>
      <w:r w:rsidR="008136E8">
        <w:rPr>
          <w:rFonts w:ascii="Times New Roman" w:hAnsi="Times New Roman"/>
          <w:bCs/>
          <w:kern w:val="22"/>
          <w:lang w:eastAsia="hi-IN" w:bidi="hi-IN"/>
        </w:rPr>
        <w:t xml:space="preserve"> will</w:t>
      </w:r>
      <w:r w:rsidR="003972DC">
        <w:rPr>
          <w:rFonts w:ascii="Times New Roman" w:hAnsi="Times New Roman"/>
          <w:bCs/>
          <w:kern w:val="22"/>
          <w:lang w:eastAsia="hi-IN" w:bidi="hi-IN"/>
        </w:rPr>
        <w:t xml:space="preserve"> likely </w:t>
      </w:r>
      <w:r w:rsidR="008136E8">
        <w:rPr>
          <w:rFonts w:ascii="Times New Roman" w:hAnsi="Times New Roman"/>
          <w:bCs/>
          <w:kern w:val="22"/>
          <w:lang w:eastAsia="hi-IN" w:bidi="hi-IN"/>
        </w:rPr>
        <w:t>be suggested as per a step-wise approach</w:t>
      </w:r>
      <w:r w:rsidR="000A2BEF">
        <w:rPr>
          <w:rFonts w:ascii="Times New Roman" w:hAnsi="Times New Roman"/>
          <w:bCs/>
          <w:kern w:val="22"/>
          <w:lang w:eastAsia="hi-IN" w:bidi="hi-IN"/>
        </w:rPr>
        <w:t xml:space="preserve">. However, the purpose of these evaluations </w:t>
      </w:r>
      <w:r w:rsidR="00195608">
        <w:rPr>
          <w:rFonts w:ascii="Times New Roman" w:hAnsi="Times New Roman"/>
          <w:bCs/>
          <w:kern w:val="22"/>
          <w:lang w:eastAsia="hi-IN" w:bidi="hi-IN"/>
        </w:rPr>
        <w:t xml:space="preserve">may be different </w:t>
      </w:r>
      <w:r w:rsidR="008136E8">
        <w:rPr>
          <w:rFonts w:ascii="Times New Roman" w:hAnsi="Times New Roman"/>
          <w:bCs/>
          <w:kern w:val="22"/>
          <w:lang w:eastAsia="hi-IN" w:bidi="hi-IN"/>
        </w:rPr>
        <w:t xml:space="preserve">depending </w:t>
      </w:r>
      <w:r w:rsidR="00876B27">
        <w:rPr>
          <w:rFonts w:ascii="Times New Roman" w:hAnsi="Times New Roman"/>
          <w:bCs/>
          <w:kern w:val="22"/>
          <w:lang w:eastAsia="hi-IN" w:bidi="hi-IN"/>
        </w:rPr>
        <w:t>up</w:t>
      </w:r>
      <w:r w:rsidR="008136E8">
        <w:rPr>
          <w:rFonts w:ascii="Times New Roman" w:hAnsi="Times New Roman"/>
          <w:bCs/>
          <w:kern w:val="22"/>
          <w:lang w:eastAsia="hi-IN" w:bidi="hi-IN"/>
        </w:rPr>
        <w:t xml:space="preserve">on </w:t>
      </w:r>
      <w:r w:rsidR="00876B27">
        <w:rPr>
          <w:rFonts w:ascii="Times New Roman" w:hAnsi="Times New Roman"/>
          <w:bCs/>
          <w:kern w:val="22"/>
          <w:lang w:eastAsia="hi-IN" w:bidi="hi-IN"/>
        </w:rPr>
        <w:t xml:space="preserve">the </w:t>
      </w:r>
      <w:r w:rsidR="008136E8">
        <w:rPr>
          <w:rFonts w:ascii="Times New Roman" w:hAnsi="Times New Roman"/>
          <w:bCs/>
          <w:kern w:val="22"/>
          <w:lang w:eastAsia="hi-IN" w:bidi="hi-IN"/>
        </w:rPr>
        <w:t>framework under which they will be undertaken</w:t>
      </w:r>
      <w:r w:rsidR="00A20ADB">
        <w:rPr>
          <w:rFonts w:ascii="Times New Roman" w:hAnsi="Times New Roman"/>
          <w:bCs/>
          <w:kern w:val="22"/>
          <w:lang w:eastAsia="hi-IN" w:bidi="hi-IN"/>
        </w:rPr>
        <w:t>.</w:t>
      </w:r>
      <w:r w:rsidR="008136E8">
        <w:rPr>
          <w:rFonts w:ascii="Times New Roman" w:hAnsi="Times New Roman"/>
          <w:bCs/>
          <w:kern w:val="22"/>
          <w:lang w:eastAsia="hi-IN" w:bidi="hi-IN"/>
        </w:rPr>
        <w:t xml:space="preserve"> </w:t>
      </w:r>
      <w:r w:rsidR="004723FD">
        <w:rPr>
          <w:rFonts w:ascii="Times New Roman" w:hAnsi="Times New Roman"/>
          <w:bCs/>
          <w:kern w:val="22"/>
          <w:lang w:eastAsia="hi-IN" w:bidi="hi-IN"/>
        </w:rPr>
        <w:t xml:space="preserve"> In this sense, </w:t>
      </w:r>
      <w:r w:rsidR="00623962">
        <w:rPr>
          <w:rFonts w:ascii="Times New Roman" w:hAnsi="Times New Roman"/>
          <w:bCs/>
          <w:kern w:val="22"/>
          <w:lang w:eastAsia="hi-IN" w:bidi="hi-IN"/>
        </w:rPr>
        <w:t>the design of the</w:t>
      </w:r>
      <w:r w:rsidR="00487C16">
        <w:rPr>
          <w:rFonts w:ascii="Times New Roman" w:hAnsi="Times New Roman"/>
          <w:bCs/>
          <w:kern w:val="22"/>
          <w:lang w:eastAsia="hi-IN" w:bidi="hi-IN"/>
        </w:rPr>
        <w:t>se field</w:t>
      </w:r>
      <w:r w:rsidR="00623962">
        <w:rPr>
          <w:rFonts w:ascii="Times New Roman" w:hAnsi="Times New Roman"/>
          <w:bCs/>
          <w:kern w:val="22"/>
          <w:lang w:eastAsia="hi-IN" w:bidi="hi-IN"/>
        </w:rPr>
        <w:t xml:space="preserve"> evaluations</w:t>
      </w:r>
      <w:r w:rsidR="00CD4F32">
        <w:rPr>
          <w:rFonts w:ascii="Times New Roman" w:hAnsi="Times New Roman"/>
          <w:bCs/>
          <w:kern w:val="22"/>
          <w:lang w:eastAsia="hi-IN" w:bidi="hi-IN"/>
        </w:rPr>
        <w:t xml:space="preserve"> </w:t>
      </w:r>
      <w:r w:rsidR="00487C16">
        <w:rPr>
          <w:rFonts w:ascii="Times New Roman" w:hAnsi="Times New Roman"/>
          <w:bCs/>
          <w:kern w:val="22"/>
          <w:lang w:eastAsia="hi-IN" w:bidi="hi-IN"/>
        </w:rPr>
        <w:t xml:space="preserve">may </w:t>
      </w:r>
      <w:r w:rsidR="008A710B">
        <w:rPr>
          <w:rFonts w:ascii="Times New Roman" w:hAnsi="Times New Roman"/>
          <w:bCs/>
          <w:kern w:val="22"/>
          <w:lang w:eastAsia="hi-IN" w:bidi="hi-IN"/>
        </w:rPr>
        <w:t>differ</w:t>
      </w:r>
      <w:r w:rsidR="00487C16">
        <w:rPr>
          <w:rFonts w:ascii="Times New Roman" w:hAnsi="Times New Roman"/>
          <w:bCs/>
          <w:kern w:val="22"/>
          <w:lang w:eastAsia="hi-IN" w:bidi="hi-IN"/>
        </w:rPr>
        <w:t xml:space="preserve"> in scope and approach, w</w:t>
      </w:r>
      <w:r w:rsidR="008A710B">
        <w:rPr>
          <w:rFonts w:ascii="Times New Roman" w:hAnsi="Times New Roman"/>
          <w:bCs/>
          <w:kern w:val="22"/>
          <w:lang w:eastAsia="hi-IN" w:bidi="hi-IN"/>
        </w:rPr>
        <w:t>ith</w:t>
      </w:r>
      <w:r w:rsidR="00487C16">
        <w:rPr>
          <w:rFonts w:ascii="Times New Roman" w:hAnsi="Times New Roman"/>
          <w:bCs/>
          <w:kern w:val="22"/>
          <w:lang w:eastAsia="hi-IN" w:bidi="hi-IN"/>
        </w:rPr>
        <w:t xml:space="preserve"> </w:t>
      </w:r>
      <w:r w:rsidR="00FD3AF1">
        <w:rPr>
          <w:rFonts w:ascii="Times New Roman" w:hAnsi="Times New Roman"/>
          <w:bCs/>
          <w:kern w:val="22"/>
          <w:lang w:eastAsia="hi-IN" w:bidi="hi-IN"/>
        </w:rPr>
        <w:t xml:space="preserve">one </w:t>
      </w:r>
      <w:r w:rsidR="008A710B">
        <w:rPr>
          <w:rFonts w:ascii="Times New Roman" w:hAnsi="Times New Roman"/>
          <w:bCs/>
          <w:kern w:val="22"/>
          <w:lang w:eastAsia="hi-IN" w:bidi="hi-IN"/>
        </w:rPr>
        <w:t>safeguarding the conservation and sustainable use of</w:t>
      </w:r>
      <w:r w:rsidR="00FD3AF1">
        <w:rPr>
          <w:rFonts w:ascii="Times New Roman" w:hAnsi="Times New Roman"/>
          <w:bCs/>
          <w:kern w:val="22"/>
          <w:lang w:eastAsia="hi-IN" w:bidi="hi-IN"/>
        </w:rPr>
        <w:t xml:space="preserve"> biological diversity, and the other </w:t>
      </w:r>
      <w:r w:rsidR="009D4B5E">
        <w:rPr>
          <w:rFonts w:ascii="Times New Roman" w:hAnsi="Times New Roman"/>
          <w:bCs/>
          <w:kern w:val="22"/>
          <w:lang w:eastAsia="hi-IN" w:bidi="hi-IN"/>
        </w:rPr>
        <w:t>attempting to</w:t>
      </w:r>
      <w:r w:rsidRPr="001B7F0E">
        <w:rPr>
          <w:rFonts w:ascii="Times New Roman" w:hAnsi="Times New Roman"/>
          <w:bCs/>
          <w:kern w:val="22"/>
          <w:lang w:eastAsia="hi-IN" w:bidi="hi-IN"/>
        </w:rPr>
        <w:t xml:space="preserve"> demonstrate a positive impact for disease control. Such diverging orientations could pose practical challenges in the design of field evaluations of engineered gene drive </w:t>
      </w:r>
      <w:r w:rsidR="009D4B5E">
        <w:rPr>
          <w:rFonts w:ascii="Times New Roman" w:hAnsi="Times New Roman"/>
          <w:bCs/>
          <w:kern w:val="22"/>
          <w:lang w:eastAsia="hi-IN" w:bidi="hi-IN"/>
        </w:rPr>
        <w:t>organisms</w:t>
      </w:r>
      <w:r w:rsidRPr="001B7F0E">
        <w:rPr>
          <w:rFonts w:ascii="Times New Roman" w:hAnsi="Times New Roman"/>
          <w:bCs/>
          <w:kern w:val="22"/>
          <w:lang w:eastAsia="hi-IN" w:bidi="hi-IN"/>
        </w:rPr>
        <w:t xml:space="preserve">, </w:t>
      </w:r>
      <w:r w:rsidR="00437B6F">
        <w:rPr>
          <w:rFonts w:ascii="Times New Roman" w:hAnsi="Times New Roman"/>
          <w:bCs/>
          <w:kern w:val="22"/>
          <w:lang w:eastAsia="hi-IN" w:bidi="hi-IN"/>
        </w:rPr>
        <w:t>especially when aiming to</w:t>
      </w:r>
      <w:r w:rsidR="001E18E8">
        <w:rPr>
          <w:rFonts w:ascii="Times New Roman" w:hAnsi="Times New Roman"/>
          <w:bCs/>
          <w:kern w:val="22"/>
          <w:lang w:eastAsia="hi-IN" w:bidi="hi-IN"/>
        </w:rPr>
        <w:t xml:space="preserve"> </w:t>
      </w:r>
      <w:r w:rsidR="00437B6F">
        <w:rPr>
          <w:rFonts w:ascii="Times New Roman" w:hAnsi="Times New Roman"/>
          <w:bCs/>
          <w:kern w:val="22"/>
          <w:lang w:eastAsia="hi-IN" w:bidi="hi-IN"/>
        </w:rPr>
        <w:t xml:space="preserve">minimise </w:t>
      </w:r>
      <w:r w:rsidRPr="001B7F0E">
        <w:rPr>
          <w:rFonts w:ascii="Times New Roman" w:hAnsi="Times New Roman"/>
          <w:bCs/>
          <w:kern w:val="22"/>
          <w:lang w:eastAsia="hi-IN" w:bidi="hi-IN"/>
        </w:rPr>
        <w:t xml:space="preserve">risk while demonstrating positive health impacts. It </w:t>
      </w:r>
      <w:r w:rsidR="00272587" w:rsidRPr="001B7F0E">
        <w:rPr>
          <w:rFonts w:ascii="Times New Roman" w:hAnsi="Times New Roman"/>
          <w:bCs/>
          <w:kern w:val="22"/>
          <w:lang w:eastAsia="hi-IN" w:bidi="hi-IN"/>
        </w:rPr>
        <w:t>shows</w:t>
      </w:r>
      <w:r w:rsidRPr="001B7F0E">
        <w:rPr>
          <w:rFonts w:ascii="Times New Roman" w:hAnsi="Times New Roman"/>
          <w:bCs/>
          <w:kern w:val="22"/>
          <w:lang w:eastAsia="hi-IN" w:bidi="hi-IN"/>
        </w:rPr>
        <w:t xml:space="preserve"> that issues of </w:t>
      </w:r>
      <w:r w:rsidR="00024E2C">
        <w:rPr>
          <w:rFonts w:ascii="Times New Roman" w:hAnsi="Times New Roman"/>
          <w:bCs/>
          <w:kern w:val="22"/>
          <w:lang w:eastAsia="hi-IN" w:bidi="hi-IN"/>
        </w:rPr>
        <w:t>interaction</w:t>
      </w:r>
      <w:r w:rsidR="001164F1">
        <w:rPr>
          <w:rFonts w:ascii="Times New Roman" w:hAnsi="Times New Roman"/>
          <w:bCs/>
          <w:kern w:val="22"/>
          <w:lang w:eastAsia="hi-IN" w:bidi="hi-IN"/>
        </w:rPr>
        <w:t xml:space="preserve"> </w:t>
      </w:r>
      <w:r w:rsidRPr="001B7F0E">
        <w:rPr>
          <w:rFonts w:ascii="Times New Roman" w:hAnsi="Times New Roman"/>
          <w:bCs/>
          <w:kern w:val="22"/>
          <w:lang w:eastAsia="hi-IN" w:bidi="hi-IN"/>
        </w:rPr>
        <w:t>and coordination are potential shortcoming</w:t>
      </w:r>
      <w:r w:rsidR="00272587">
        <w:rPr>
          <w:rFonts w:ascii="Times New Roman" w:hAnsi="Times New Roman"/>
          <w:bCs/>
          <w:kern w:val="22"/>
          <w:lang w:eastAsia="hi-IN" w:bidi="hi-IN"/>
        </w:rPr>
        <w:t>s</w:t>
      </w:r>
      <w:r w:rsidRPr="001B7F0E">
        <w:rPr>
          <w:rFonts w:ascii="Times New Roman" w:hAnsi="Times New Roman"/>
          <w:bCs/>
          <w:kern w:val="22"/>
          <w:lang w:eastAsia="hi-IN" w:bidi="hi-IN"/>
        </w:rPr>
        <w:t xml:space="preserve"> under a fragmented international regime. Such shortcomings have the potential to be further perpetuated and exacerbated by the absence of integrated guidance provided under each regime or implementation under national law. </w:t>
      </w:r>
      <w:r w:rsidR="00C21525">
        <w:rPr>
          <w:rFonts w:ascii="Times New Roman" w:hAnsi="Times New Roman"/>
          <w:bCs/>
          <w:kern w:val="22"/>
          <w:lang w:eastAsia="hi-IN" w:bidi="hi-IN"/>
        </w:rPr>
        <w:t xml:space="preserve">The </w:t>
      </w:r>
      <w:r w:rsidRPr="001B7F0E">
        <w:rPr>
          <w:rFonts w:ascii="Times New Roman" w:hAnsi="Times New Roman"/>
          <w:kern w:val="22"/>
          <w:lang w:eastAsia="hi-IN" w:bidi="hi-IN"/>
        </w:rPr>
        <w:t>WHO</w:t>
      </w:r>
      <w:r w:rsidR="00931268">
        <w:rPr>
          <w:rFonts w:ascii="Times New Roman" w:hAnsi="Times New Roman"/>
          <w:kern w:val="22"/>
          <w:lang w:eastAsia="hi-IN" w:bidi="hi-IN"/>
        </w:rPr>
        <w:t>,</w:t>
      </w:r>
      <w:r w:rsidRPr="001B7F0E">
        <w:rPr>
          <w:rFonts w:ascii="Times New Roman" w:hAnsi="Times New Roman"/>
          <w:kern w:val="22"/>
          <w:lang w:eastAsia="hi-IN" w:bidi="hi-IN"/>
        </w:rPr>
        <w:t xml:space="preserve"> for example</w:t>
      </w:r>
      <w:r w:rsidR="00931268">
        <w:rPr>
          <w:rFonts w:ascii="Times New Roman" w:hAnsi="Times New Roman"/>
          <w:kern w:val="22"/>
          <w:lang w:eastAsia="hi-IN" w:bidi="hi-IN"/>
        </w:rPr>
        <w:t>,</w:t>
      </w:r>
      <w:r w:rsidRPr="001B7F0E">
        <w:rPr>
          <w:rFonts w:ascii="Times New Roman" w:hAnsi="Times New Roman"/>
          <w:kern w:val="22"/>
          <w:lang w:eastAsia="hi-IN" w:bidi="hi-IN"/>
        </w:rPr>
        <w:t xml:space="preserve"> has published guidance of a framework to establish best practice for research into genetically modified mosquitoes which includes recommendations on biosafety, ethics, regulation, and efficacy, in addition to gene drive-specific recommendations.</w:t>
      </w:r>
      <w:r w:rsidRPr="001B7F0E">
        <w:rPr>
          <w:rFonts w:ascii="Times New Roman" w:hAnsi="Times New Roman"/>
          <w:bCs/>
          <w:kern w:val="22"/>
          <w:lang w:eastAsia="hi-IN" w:bidi="hi-IN"/>
        </w:rPr>
        <w:t xml:space="preserve"> </w:t>
      </w:r>
      <w:r w:rsidR="00BD56F3">
        <w:rPr>
          <w:rFonts w:ascii="Times New Roman" w:hAnsi="Times New Roman"/>
          <w:bCs/>
          <w:kern w:val="22"/>
          <w:lang w:eastAsia="hi-IN" w:bidi="hi-IN"/>
        </w:rPr>
        <w:t xml:space="preserve">On the other hand, </w:t>
      </w:r>
      <w:r w:rsidR="00B04BA6">
        <w:rPr>
          <w:rFonts w:ascii="Times New Roman" w:hAnsi="Times New Roman"/>
          <w:bCs/>
          <w:kern w:val="22"/>
          <w:lang w:eastAsia="hi-IN" w:bidi="hi-IN"/>
        </w:rPr>
        <w:t>under the CBD and its Protocols</w:t>
      </w:r>
      <w:r w:rsidR="00082E3D">
        <w:rPr>
          <w:rFonts w:ascii="Times New Roman" w:hAnsi="Times New Roman"/>
          <w:bCs/>
          <w:kern w:val="22"/>
          <w:lang w:eastAsia="hi-IN" w:bidi="hi-IN"/>
        </w:rPr>
        <w:t>,</w:t>
      </w:r>
      <w:r w:rsidR="00B04BA6">
        <w:rPr>
          <w:rFonts w:ascii="Times New Roman" w:hAnsi="Times New Roman"/>
          <w:bCs/>
          <w:kern w:val="22"/>
          <w:lang w:eastAsia="hi-IN" w:bidi="hi-IN"/>
        </w:rPr>
        <w:t xml:space="preserve"> discussions are ongoing regarding potential additional risk assessment guidance for organisms containing engineered gene drives.</w:t>
      </w:r>
      <w:r w:rsidR="00BD56F3">
        <w:rPr>
          <w:rFonts w:ascii="Times New Roman" w:hAnsi="Times New Roman"/>
          <w:bCs/>
          <w:kern w:val="22"/>
          <w:lang w:eastAsia="hi-IN" w:bidi="hi-IN"/>
        </w:rPr>
        <w:t xml:space="preserve"> </w:t>
      </w:r>
      <w:r w:rsidRPr="001B7F0E">
        <w:rPr>
          <w:rFonts w:ascii="Times New Roman" w:hAnsi="Times New Roman"/>
          <w:bCs/>
          <w:kern w:val="22"/>
          <w:lang w:eastAsia="hi-IN" w:bidi="hi-IN"/>
        </w:rPr>
        <w:t xml:space="preserve">A successful international strategy for engineered gene drive governance for vector mosquito control would benefit from streamlined communication and integrated guidance across international regimes, particularly the Convention and WHO </w:t>
      </w:r>
      <w:r w:rsidR="0016284B">
        <w:rPr>
          <w:rFonts w:ascii="Times New Roman" w:hAnsi="Times New Roman"/>
          <w:bCs/>
          <w:kern w:val="22"/>
          <w:lang w:eastAsia="hi-IN" w:bidi="hi-IN"/>
        </w:rPr>
        <w:fldChar w:fldCharType="begin" w:fldLock="1"/>
      </w:r>
      <w:r w:rsidR="00C832AC">
        <w:rPr>
          <w:rFonts w:ascii="Times New Roman" w:hAnsi="Times New Roman"/>
          <w:bCs/>
          <w:kern w:val="22"/>
          <w:lang w:eastAsia="hi-IN" w:bidi="hi-IN"/>
        </w:rPr>
        <w:instrText>ADDIN CSL_CITATION {"citationItems":[{"id":"ITEM-1","itemData":{"DOI":"10.4269/ajtmh.19-0941","ISSN":"14761645","PMID":"32748773","abstract":"Gene drive technologies represent powerful tools to develop vector control strategies that will complement the current approaches to mitigate arthropod-borne infectious diseases. The characteristics of gene drive technologies have raised additional concerns to those for standard genetically engineered organisms. This generates a need for adaptive governance that has not been met yet because of the rapid rate of progress in gene drive research. For the eventual release of gene drive insects into wild populations, an international governance network would be helpful in guiding scientists, stakeholders, public opinion, and affected communities in its use. We examined the current institutions and governing bodies among various continents that could have an impact on gene drive governance or the potential to adapt to its future use. Possible governance strategies also are proposed that seek to bridge gaps and promote an ethically sound policy framework. Ideally, governance strategies should be developed before or at the same pace as gene drive research to anticipate field releases and maximize their impact as a public health tool. However, this is not likely to happen as it takes years to develop global accords, and some countries may choose to move ahead independently on the new technology.","author":[{"dropping-particle":"","family":"Kelsey","given":"Adam","non-dropping-particle":"","parse-names":false,"suffix":""},{"dropping-particle":"","family":"Stillinger","given":"Drusilla","non-dropping-particle":"","parse-names":false,"suffix":""},{"dropping-particle":"","family":"Pham","given":"Thai Binh","non-dropping-particle":"","parse-names":false,"suffix":""},{"dropping-particle":"","family":"Murphy","given":"Jazmin","non-dropping-particle":"","parse-names":false,"suffix":""},{"dropping-particle":"","family":"Firth","given":"Sean","non-dropping-particle":"","parse-names":false,"suffix":""},{"dropping-particle":"","family":"Carballar-Lejarazú","given":"Rebeca","non-dropping-particle":"","parse-names":false,"suffix":""}],"container-title":"American Journal of Tropical Medicine and Hygiene","id":"ITEM-1","issue":"3","issued":{"date-parts":[["2020"]]},"page":"976-985","publisher":"American Society of Tropical Medicine and Hygiene","title":"Global governing bodies: A pathway for gene drive governance for vector mosquito control","type":"article","volume":"103"},"uris":["http://www.mendeley.com/documents/?uuid=c9c6eb17-3d10-4dbb-b625-7002f1d54551"]}],"mendeley":{"formattedCitation":"(Kelsey et al., 2020)","plainTextFormattedCitation":"(Kelsey et al., 2020)","previouslyFormattedCitation":"(Kelsey et al., 2020)"},"properties":{"noteIndex":0},"schema":"https://github.com/citation-style-language/schema/raw/master/csl-citation.json"}</w:instrText>
      </w:r>
      <w:r w:rsidR="0016284B">
        <w:rPr>
          <w:rFonts w:ascii="Times New Roman" w:hAnsi="Times New Roman"/>
          <w:bCs/>
          <w:kern w:val="22"/>
          <w:lang w:eastAsia="hi-IN" w:bidi="hi-IN"/>
        </w:rPr>
        <w:fldChar w:fldCharType="separate"/>
      </w:r>
      <w:r w:rsidR="0016284B" w:rsidRPr="0016284B">
        <w:rPr>
          <w:rFonts w:ascii="Times New Roman" w:hAnsi="Times New Roman"/>
          <w:bCs/>
          <w:noProof/>
          <w:kern w:val="22"/>
          <w:lang w:eastAsia="hi-IN" w:bidi="hi-IN"/>
        </w:rPr>
        <w:t>(Kelsey et al., 2020)</w:t>
      </w:r>
      <w:r w:rsidR="0016284B">
        <w:rPr>
          <w:rFonts w:ascii="Times New Roman" w:hAnsi="Times New Roman"/>
          <w:bCs/>
          <w:kern w:val="22"/>
          <w:lang w:eastAsia="hi-IN" w:bidi="hi-IN"/>
        </w:rPr>
        <w:fldChar w:fldCharType="end"/>
      </w:r>
      <w:r w:rsidRPr="001B7F0E">
        <w:rPr>
          <w:rFonts w:ascii="Times New Roman" w:hAnsi="Times New Roman"/>
          <w:bCs/>
          <w:kern w:val="22"/>
          <w:lang w:eastAsia="hi-IN" w:bidi="hi-IN"/>
        </w:rPr>
        <w:t>.</w:t>
      </w:r>
    </w:p>
    <w:p w14:paraId="0960686A" w14:textId="0022191B" w:rsidR="001B7F0E" w:rsidRPr="001B7F0E" w:rsidRDefault="001B7F0E" w:rsidP="001B7F0E">
      <w:pPr>
        <w:suppressAutoHyphens/>
        <w:spacing w:after="120" w:line="240" w:lineRule="auto"/>
        <w:jc w:val="both"/>
        <w:rPr>
          <w:rFonts w:ascii="Times New Roman" w:hAnsi="Times New Roman"/>
          <w:bCs/>
          <w:kern w:val="22"/>
          <w:lang w:eastAsia="hi-IN" w:bidi="hi-IN"/>
        </w:rPr>
      </w:pPr>
      <w:r w:rsidRPr="001B7F0E">
        <w:rPr>
          <w:rFonts w:ascii="Times New Roman" w:hAnsi="Times New Roman"/>
          <w:bCs/>
          <w:kern w:val="22"/>
          <w:lang w:eastAsia="hi-IN" w:bidi="hi-IN"/>
        </w:rPr>
        <w:t xml:space="preserve">There is a view that humans should not intervene in nature at all using a technology such as gene drive-modified organisms. Reconciling this argument with proposals to use engineered gene drives to relieve the burden of infectious disease in humans, conserve species, or increase agricultural productivity is not straightforward, as either using this technology irresponsibly or not using it at all could prove damaging to humans, our welfare, and our planet. Ultimately, reconciling such competing interests and values will determine how </w:t>
      </w:r>
      <w:r w:rsidR="00A24EB0">
        <w:rPr>
          <w:rFonts w:ascii="Times New Roman" w:hAnsi="Times New Roman"/>
          <w:bCs/>
          <w:kern w:val="22"/>
          <w:lang w:eastAsia="hi-IN" w:bidi="hi-IN"/>
        </w:rPr>
        <w:t>active</w:t>
      </w:r>
      <w:r w:rsidR="00A24EB0" w:rsidRPr="001B7F0E">
        <w:rPr>
          <w:rFonts w:ascii="Times New Roman" w:hAnsi="Times New Roman"/>
          <w:bCs/>
          <w:kern w:val="22"/>
          <w:lang w:eastAsia="hi-IN" w:bidi="hi-IN"/>
        </w:rPr>
        <w:t xml:space="preserve"> </w:t>
      </w:r>
      <w:r w:rsidRPr="001B7F0E">
        <w:rPr>
          <w:rFonts w:ascii="Times New Roman" w:hAnsi="Times New Roman"/>
          <w:bCs/>
          <w:kern w:val="22"/>
          <w:lang w:eastAsia="hi-IN" w:bidi="hi-IN"/>
        </w:rPr>
        <w:t>society is willing to be in shaping populations and ecosystems. It also highlights the importance of using a multidisciplinary or interdisciplinary approach for making decisions related to the development and application of engineered gene drive technology.</w:t>
      </w:r>
    </w:p>
    <w:p w14:paraId="529255E4" w14:textId="6588D4CA" w:rsidR="001B7F0E" w:rsidRPr="001B7F0E" w:rsidRDefault="001B7F0E" w:rsidP="002A55A3">
      <w:pPr>
        <w:suppressAutoHyphens/>
        <w:spacing w:after="120" w:line="240" w:lineRule="auto"/>
        <w:jc w:val="both"/>
        <w:rPr>
          <w:rFonts w:ascii="Times New Roman" w:hAnsi="Times New Roman"/>
          <w:bCs/>
          <w:kern w:val="22"/>
          <w:lang w:eastAsia="hi-IN" w:bidi="hi-IN"/>
        </w:rPr>
      </w:pPr>
      <w:r w:rsidRPr="001B7F0E">
        <w:rPr>
          <w:rFonts w:ascii="Times New Roman" w:hAnsi="Times New Roman"/>
          <w:bCs/>
          <w:kern w:val="22"/>
          <w:lang w:eastAsia="hi-IN" w:bidi="hi-IN"/>
        </w:rPr>
        <w:t xml:space="preserve">Ultimately, decisions to deploy synthetic biology organisms in the interests of human health, conservation, or increased agricultural productivity will invariably be a product of local power relationships, cultural traditions, and social norms, amongst other factors. </w:t>
      </w:r>
    </w:p>
    <w:p w14:paraId="52F5EC2F" w14:textId="2E4F38FC" w:rsidR="001B7F0E" w:rsidRPr="001B7F0E" w:rsidRDefault="001B7F0E" w:rsidP="00F3413B">
      <w:pPr>
        <w:pStyle w:val="Heading2"/>
        <w:rPr>
          <w:lang w:bidi="hi-IN"/>
        </w:rPr>
      </w:pPr>
      <w:bookmarkStart w:id="202" w:name="_Toc70112721"/>
      <w:bookmarkStart w:id="203" w:name="_Toc70685743"/>
      <w:bookmarkStart w:id="204" w:name="_Toc68767430"/>
      <w:r w:rsidRPr="001B7F0E">
        <w:rPr>
          <w:lang w:bidi="hi-IN"/>
        </w:rPr>
        <w:t>11. C</w:t>
      </w:r>
      <w:bookmarkEnd w:id="202"/>
      <w:bookmarkEnd w:id="203"/>
      <w:r w:rsidR="00B933B1">
        <w:rPr>
          <w:lang w:val="en-US" w:bidi="hi-IN"/>
        </w:rPr>
        <w:t>onclusions</w:t>
      </w:r>
      <w:r w:rsidR="00C0646F" w:rsidRPr="001B7F0E" w:rsidDel="00C0646F">
        <w:rPr>
          <w:lang w:bidi="hi-IN"/>
        </w:rPr>
        <w:t xml:space="preserve"> </w:t>
      </w:r>
      <w:bookmarkEnd w:id="204"/>
    </w:p>
    <w:p w14:paraId="763FEF2D" w14:textId="5E2BD035" w:rsidR="00336809" w:rsidRDefault="00336809" w:rsidP="00C84EC3">
      <w:pPr>
        <w:suppressAutoHyphens/>
        <w:spacing w:after="120" w:line="240" w:lineRule="auto"/>
        <w:jc w:val="both"/>
        <w:rPr>
          <w:rFonts w:ascii="Times New Roman" w:hAnsi="Times New Roman"/>
          <w:kern w:val="22"/>
          <w:lang w:eastAsia="hi-IN" w:bidi="hi-IN"/>
        </w:rPr>
      </w:pPr>
      <w:r w:rsidRPr="00336809">
        <w:rPr>
          <w:rFonts w:ascii="Times New Roman" w:hAnsi="Times New Roman"/>
          <w:kern w:val="22"/>
          <w:lang w:eastAsia="hi-IN" w:bidi="hi-IN"/>
        </w:rPr>
        <w:t xml:space="preserve">Since the publication of the previous technical series on synthetic biology in 2015, synthetic biology has continued to advance exponentially. With a broader array of applications nearing commercial release and new promises to solve global challenges, the discipline has garnered wider awareness and attracted much attention. </w:t>
      </w:r>
      <w:r w:rsidR="000306CC">
        <w:rPr>
          <w:rFonts w:ascii="Times New Roman" w:hAnsi="Times New Roman"/>
          <w:kern w:val="22"/>
          <w:lang w:eastAsia="hi-IN" w:bidi="hi-IN"/>
        </w:rPr>
        <w:t xml:space="preserve">This has also brought </w:t>
      </w:r>
      <w:r w:rsidR="006E7AD3">
        <w:rPr>
          <w:rFonts w:ascii="Times New Roman" w:hAnsi="Times New Roman"/>
          <w:kern w:val="22"/>
          <w:lang w:eastAsia="hi-IN" w:bidi="hi-IN"/>
        </w:rPr>
        <w:t xml:space="preserve">heightened </w:t>
      </w:r>
      <w:r w:rsidR="00632D4B">
        <w:rPr>
          <w:rFonts w:ascii="Times New Roman" w:hAnsi="Times New Roman"/>
          <w:kern w:val="22"/>
          <w:lang w:eastAsia="hi-IN" w:bidi="hi-IN"/>
        </w:rPr>
        <w:t xml:space="preserve">awareness </w:t>
      </w:r>
      <w:r w:rsidRPr="00336809">
        <w:rPr>
          <w:rFonts w:ascii="Times New Roman" w:hAnsi="Times New Roman"/>
          <w:kern w:val="22"/>
          <w:lang w:eastAsia="hi-IN" w:bidi="hi-IN"/>
        </w:rPr>
        <w:t xml:space="preserve">recognition of </w:t>
      </w:r>
      <w:r w:rsidR="009F21CC">
        <w:rPr>
          <w:rFonts w:ascii="Times New Roman" w:hAnsi="Times New Roman"/>
          <w:kern w:val="22"/>
          <w:lang w:eastAsia="hi-IN" w:bidi="hi-IN"/>
        </w:rPr>
        <w:t>the importance of</w:t>
      </w:r>
      <w:r w:rsidRPr="00336809">
        <w:rPr>
          <w:rFonts w:ascii="Times New Roman" w:hAnsi="Times New Roman"/>
          <w:kern w:val="22"/>
          <w:lang w:eastAsia="hi-IN" w:bidi="hi-IN"/>
        </w:rPr>
        <w:t xml:space="preserve"> </w:t>
      </w:r>
      <w:r w:rsidR="009F21CC">
        <w:rPr>
          <w:rFonts w:ascii="Times New Roman" w:hAnsi="Times New Roman"/>
          <w:kern w:val="22"/>
          <w:lang w:eastAsia="hi-IN" w:bidi="hi-IN"/>
        </w:rPr>
        <w:t xml:space="preserve">synthetic biology’s </w:t>
      </w:r>
      <w:r w:rsidRPr="00336809">
        <w:rPr>
          <w:rFonts w:ascii="Times New Roman" w:hAnsi="Times New Roman"/>
          <w:kern w:val="22"/>
          <w:lang w:eastAsia="hi-IN" w:bidi="hi-IN"/>
        </w:rPr>
        <w:t>governance</w:t>
      </w:r>
      <w:r w:rsidR="009F301C">
        <w:rPr>
          <w:rFonts w:ascii="Times New Roman" w:hAnsi="Times New Roman"/>
          <w:kern w:val="22"/>
          <w:lang w:eastAsia="hi-IN" w:bidi="hi-IN"/>
        </w:rPr>
        <w:t xml:space="preserve"> </w:t>
      </w:r>
      <w:r w:rsidRPr="00336809">
        <w:rPr>
          <w:rFonts w:ascii="Times New Roman" w:hAnsi="Times New Roman"/>
          <w:kern w:val="22"/>
          <w:lang w:eastAsia="hi-IN" w:bidi="hi-IN"/>
        </w:rPr>
        <w:t>and regulation</w:t>
      </w:r>
      <w:r w:rsidR="008D3E31">
        <w:rPr>
          <w:rFonts w:ascii="Times New Roman" w:hAnsi="Times New Roman"/>
          <w:kern w:val="22"/>
          <w:lang w:eastAsia="hi-IN" w:bidi="hi-IN"/>
        </w:rPr>
        <w:t xml:space="preserve">, </w:t>
      </w:r>
      <w:r w:rsidR="008C441F">
        <w:rPr>
          <w:rFonts w:ascii="Times New Roman" w:hAnsi="Times New Roman"/>
          <w:kern w:val="22"/>
          <w:lang w:eastAsia="hi-IN" w:bidi="hi-IN"/>
        </w:rPr>
        <w:t>since</w:t>
      </w:r>
      <w:r w:rsidR="002206CF">
        <w:rPr>
          <w:rFonts w:ascii="Times New Roman" w:hAnsi="Times New Roman"/>
          <w:kern w:val="22"/>
          <w:lang w:eastAsia="hi-IN" w:bidi="hi-IN"/>
        </w:rPr>
        <w:t xml:space="preserve"> new</w:t>
      </w:r>
      <w:r w:rsidR="006B5E32">
        <w:rPr>
          <w:rFonts w:ascii="Times New Roman" w:hAnsi="Times New Roman"/>
          <w:kern w:val="22"/>
          <w:lang w:eastAsia="hi-IN" w:bidi="hi-IN"/>
        </w:rPr>
        <w:t xml:space="preserve"> </w:t>
      </w:r>
      <w:r w:rsidR="00985347">
        <w:rPr>
          <w:rFonts w:ascii="Times New Roman" w:hAnsi="Times New Roman"/>
          <w:kern w:val="22"/>
          <w:lang w:eastAsia="hi-IN" w:bidi="hi-IN"/>
        </w:rPr>
        <w:t xml:space="preserve">challenges </w:t>
      </w:r>
      <w:r w:rsidR="008046B1">
        <w:rPr>
          <w:rFonts w:ascii="Times New Roman" w:hAnsi="Times New Roman"/>
          <w:kern w:val="22"/>
          <w:lang w:eastAsia="hi-IN" w:bidi="hi-IN"/>
        </w:rPr>
        <w:t xml:space="preserve">may </w:t>
      </w:r>
      <w:r w:rsidR="00985347">
        <w:rPr>
          <w:rFonts w:ascii="Times New Roman" w:hAnsi="Times New Roman"/>
          <w:kern w:val="22"/>
          <w:lang w:eastAsia="hi-IN" w:bidi="hi-IN"/>
        </w:rPr>
        <w:t xml:space="preserve">also emerge in relation </w:t>
      </w:r>
      <w:r w:rsidR="008046B1">
        <w:rPr>
          <w:rFonts w:ascii="Times New Roman" w:hAnsi="Times New Roman"/>
          <w:kern w:val="22"/>
          <w:lang w:eastAsia="hi-IN" w:bidi="hi-IN"/>
        </w:rPr>
        <w:t xml:space="preserve">to the suitability of </w:t>
      </w:r>
      <w:r w:rsidR="00985347" w:rsidRPr="00336809">
        <w:rPr>
          <w:rFonts w:ascii="Times New Roman" w:hAnsi="Times New Roman"/>
          <w:kern w:val="22"/>
          <w:lang w:eastAsia="hi-IN" w:bidi="hi-IN"/>
        </w:rPr>
        <w:t xml:space="preserve">existing frameworks and </w:t>
      </w:r>
      <w:r w:rsidR="008046B1">
        <w:rPr>
          <w:rFonts w:ascii="Times New Roman" w:hAnsi="Times New Roman"/>
          <w:kern w:val="22"/>
          <w:lang w:eastAsia="hi-IN" w:bidi="hi-IN"/>
        </w:rPr>
        <w:t xml:space="preserve">how </w:t>
      </w:r>
      <w:r w:rsidR="00985347" w:rsidRPr="00336809">
        <w:rPr>
          <w:rFonts w:ascii="Times New Roman" w:hAnsi="Times New Roman"/>
          <w:kern w:val="22"/>
          <w:lang w:eastAsia="hi-IN" w:bidi="hi-IN"/>
        </w:rPr>
        <w:t>international pol</w:t>
      </w:r>
      <w:r w:rsidR="008046B1">
        <w:rPr>
          <w:rFonts w:ascii="Times New Roman" w:hAnsi="Times New Roman"/>
          <w:kern w:val="22"/>
          <w:lang w:eastAsia="hi-IN" w:bidi="hi-IN"/>
        </w:rPr>
        <w:t>icy should deal with synthetic biology</w:t>
      </w:r>
      <w:r w:rsidR="00321FF7">
        <w:rPr>
          <w:rFonts w:ascii="Times New Roman" w:hAnsi="Times New Roman"/>
          <w:kern w:val="22"/>
          <w:lang w:eastAsia="hi-IN" w:bidi="hi-IN"/>
        </w:rPr>
        <w:t xml:space="preserve">. </w:t>
      </w:r>
      <w:r w:rsidR="00B76FEE" w:rsidRPr="00B76FEE">
        <w:rPr>
          <w:rFonts w:ascii="Times New Roman" w:hAnsi="Times New Roman"/>
          <w:kern w:val="22"/>
          <w:lang w:eastAsia="hi-IN" w:bidi="hi-IN"/>
        </w:rPr>
        <w:t>As the field continues to advance and more applications become available, there is a growing pressure towards achieving clarity.</w:t>
      </w:r>
    </w:p>
    <w:p w14:paraId="51770AC5" w14:textId="597E578A" w:rsidR="007C3240" w:rsidRPr="008F2A8C" w:rsidRDefault="008F2A8C">
      <w:pPr>
        <w:suppressAutoHyphens/>
        <w:spacing w:after="120" w:line="240" w:lineRule="auto"/>
        <w:jc w:val="both"/>
        <w:rPr>
          <w:rFonts w:ascii="Times New Roman" w:hAnsi="Times New Roman"/>
          <w:kern w:val="22"/>
          <w:lang w:eastAsia="hi-IN" w:bidi="hi-IN"/>
        </w:rPr>
      </w:pPr>
      <w:r>
        <w:rPr>
          <w:rFonts w:ascii="Times New Roman" w:hAnsi="Times New Roman"/>
          <w:kern w:val="22"/>
          <w:lang w:eastAsia="hi-IN" w:bidi="hi-IN"/>
        </w:rPr>
        <w:t xml:space="preserve"> </w:t>
      </w:r>
      <w:r w:rsidR="00EF52CD">
        <w:rPr>
          <w:rFonts w:ascii="Times New Roman" w:hAnsi="Times New Roman"/>
          <w:kern w:val="22"/>
          <w:lang w:eastAsia="hi-IN" w:bidi="hi-IN"/>
        </w:rPr>
        <w:t>A</w:t>
      </w:r>
      <w:r>
        <w:rPr>
          <w:rFonts w:ascii="Times New Roman" w:hAnsi="Times New Roman"/>
          <w:kern w:val="22"/>
          <w:lang w:eastAsia="hi-IN" w:bidi="hi-IN"/>
        </w:rPr>
        <w:t xml:space="preserve"> comparison between the </w:t>
      </w:r>
      <w:r w:rsidR="00EF52CD">
        <w:rPr>
          <w:rFonts w:ascii="Times New Roman" w:hAnsi="Times New Roman"/>
          <w:kern w:val="22"/>
          <w:lang w:eastAsia="hi-IN" w:bidi="hi-IN"/>
        </w:rPr>
        <w:t xml:space="preserve">synthetic biology </w:t>
      </w:r>
      <w:r w:rsidRPr="008F2A8C">
        <w:rPr>
          <w:rFonts w:ascii="Times New Roman" w:hAnsi="Times New Roman"/>
          <w:kern w:val="22"/>
          <w:lang w:eastAsia="hi-IN" w:bidi="hi-IN"/>
        </w:rPr>
        <w:t>applications listed in the Technical Series No. 82 and th</w:t>
      </w:r>
      <w:r w:rsidR="00EF52CD">
        <w:rPr>
          <w:rFonts w:ascii="Times New Roman" w:hAnsi="Times New Roman"/>
          <w:kern w:val="22"/>
          <w:lang w:eastAsia="hi-IN" w:bidi="hi-IN"/>
        </w:rPr>
        <w:t>ose in the</w:t>
      </w:r>
      <w:r w:rsidRPr="008F2A8C">
        <w:rPr>
          <w:rFonts w:ascii="Times New Roman" w:hAnsi="Times New Roman"/>
          <w:kern w:val="22"/>
          <w:lang w:eastAsia="hi-IN" w:bidi="hi-IN"/>
        </w:rPr>
        <w:t xml:space="preserve"> present document indicate</w:t>
      </w:r>
      <w:r w:rsidR="00F96057">
        <w:rPr>
          <w:rFonts w:ascii="Times New Roman" w:hAnsi="Times New Roman"/>
          <w:kern w:val="22"/>
          <w:lang w:eastAsia="hi-IN" w:bidi="hi-IN"/>
        </w:rPr>
        <w:t>s</w:t>
      </w:r>
      <w:r w:rsidRPr="008F2A8C">
        <w:rPr>
          <w:rFonts w:ascii="Times New Roman" w:hAnsi="Times New Roman"/>
          <w:kern w:val="22"/>
          <w:lang w:eastAsia="hi-IN" w:bidi="hi-IN"/>
        </w:rPr>
        <w:t xml:space="preserve"> that the number</w:t>
      </w:r>
      <w:r w:rsidR="001E3087">
        <w:rPr>
          <w:rFonts w:ascii="Times New Roman" w:hAnsi="Times New Roman"/>
          <w:kern w:val="22"/>
          <w:lang w:eastAsia="hi-IN" w:bidi="hi-IN"/>
        </w:rPr>
        <w:t xml:space="preserve"> that are</w:t>
      </w:r>
      <w:r w:rsidRPr="008F2A8C">
        <w:rPr>
          <w:rFonts w:ascii="Times New Roman" w:hAnsi="Times New Roman"/>
          <w:kern w:val="22"/>
          <w:lang w:eastAsia="hi-IN" w:bidi="hi-IN"/>
        </w:rPr>
        <w:t xml:space="preserve"> commercially available </w:t>
      </w:r>
      <w:r w:rsidR="00F96057">
        <w:rPr>
          <w:rFonts w:ascii="Times New Roman" w:hAnsi="Times New Roman"/>
          <w:kern w:val="22"/>
          <w:lang w:eastAsia="hi-IN" w:bidi="hi-IN"/>
        </w:rPr>
        <w:t>or</w:t>
      </w:r>
      <w:r w:rsidRPr="008F2A8C">
        <w:rPr>
          <w:rFonts w:ascii="Times New Roman" w:hAnsi="Times New Roman"/>
          <w:kern w:val="22"/>
          <w:lang w:eastAsia="hi-IN" w:bidi="hi-IN"/>
        </w:rPr>
        <w:t xml:space="preserve"> in advanced development </w:t>
      </w:r>
      <w:r w:rsidR="003102F5">
        <w:rPr>
          <w:rFonts w:ascii="Times New Roman" w:hAnsi="Times New Roman"/>
          <w:kern w:val="22"/>
          <w:lang w:eastAsia="hi-IN" w:bidi="hi-IN"/>
        </w:rPr>
        <w:t xml:space="preserve">stages </w:t>
      </w:r>
      <w:r w:rsidRPr="008F2A8C">
        <w:rPr>
          <w:rFonts w:ascii="Times New Roman" w:hAnsi="Times New Roman"/>
          <w:kern w:val="22"/>
          <w:lang w:eastAsia="hi-IN" w:bidi="hi-IN"/>
        </w:rPr>
        <w:t xml:space="preserve">has </w:t>
      </w:r>
      <w:r w:rsidR="00827251">
        <w:rPr>
          <w:rFonts w:ascii="Times New Roman" w:hAnsi="Times New Roman"/>
          <w:kern w:val="22"/>
          <w:lang w:eastAsia="hi-IN" w:bidi="hi-IN"/>
        </w:rPr>
        <w:t>shown significant growth</w:t>
      </w:r>
      <w:r>
        <w:rPr>
          <w:rFonts w:ascii="Times New Roman" w:hAnsi="Times New Roman"/>
          <w:kern w:val="22"/>
          <w:lang w:eastAsia="hi-IN" w:bidi="hi-IN"/>
        </w:rPr>
        <w:t xml:space="preserve">, which </w:t>
      </w:r>
      <w:r w:rsidR="00E24657">
        <w:rPr>
          <w:rFonts w:ascii="Times New Roman" w:hAnsi="Times New Roman"/>
          <w:kern w:val="22"/>
          <w:lang w:eastAsia="hi-IN" w:bidi="hi-IN"/>
        </w:rPr>
        <w:t>goes in line with the</w:t>
      </w:r>
      <w:r w:rsidR="001460A2">
        <w:rPr>
          <w:rFonts w:ascii="Times New Roman" w:hAnsi="Times New Roman"/>
          <w:kern w:val="22"/>
          <w:lang w:eastAsia="hi-IN" w:bidi="hi-IN"/>
        </w:rPr>
        <w:t xml:space="preserve"> </w:t>
      </w:r>
      <w:r w:rsidR="00443910">
        <w:rPr>
          <w:rFonts w:ascii="Times New Roman" w:hAnsi="Times New Roman"/>
          <w:kern w:val="22"/>
          <w:lang w:eastAsia="hi-IN" w:bidi="hi-IN"/>
        </w:rPr>
        <w:t>increas</w:t>
      </w:r>
      <w:r w:rsidR="000D203B">
        <w:rPr>
          <w:rFonts w:ascii="Times New Roman" w:hAnsi="Times New Roman"/>
          <w:kern w:val="22"/>
          <w:lang w:eastAsia="hi-IN" w:bidi="hi-IN"/>
        </w:rPr>
        <w:t>ing activity and</w:t>
      </w:r>
      <w:r w:rsidR="009D161A">
        <w:rPr>
          <w:rFonts w:ascii="Times New Roman" w:hAnsi="Times New Roman"/>
          <w:kern w:val="22"/>
          <w:lang w:eastAsia="hi-IN" w:bidi="hi-IN"/>
        </w:rPr>
        <w:t xml:space="preserve"> interest </w:t>
      </w:r>
      <w:r w:rsidR="003102F5">
        <w:rPr>
          <w:rFonts w:ascii="Times New Roman" w:hAnsi="Times New Roman"/>
          <w:kern w:val="22"/>
          <w:lang w:eastAsia="hi-IN" w:bidi="hi-IN"/>
        </w:rPr>
        <w:t>i</w:t>
      </w:r>
      <w:r w:rsidR="009D161A">
        <w:rPr>
          <w:rFonts w:ascii="Times New Roman" w:hAnsi="Times New Roman"/>
          <w:kern w:val="22"/>
          <w:lang w:eastAsia="hi-IN" w:bidi="hi-IN"/>
        </w:rPr>
        <w:t>n</w:t>
      </w:r>
      <w:r>
        <w:rPr>
          <w:rFonts w:ascii="Times New Roman" w:hAnsi="Times New Roman"/>
          <w:kern w:val="22"/>
          <w:lang w:eastAsia="hi-IN" w:bidi="hi-IN"/>
        </w:rPr>
        <w:t xml:space="preserve"> synthetic </w:t>
      </w:r>
      <w:r w:rsidR="009D161A">
        <w:rPr>
          <w:rFonts w:ascii="Times New Roman" w:hAnsi="Times New Roman"/>
          <w:kern w:val="22"/>
          <w:lang w:eastAsia="hi-IN" w:bidi="hi-IN"/>
        </w:rPr>
        <w:t>biology.</w:t>
      </w:r>
      <w:r w:rsidRPr="008F2A8C">
        <w:rPr>
          <w:rFonts w:ascii="Times New Roman" w:hAnsi="Times New Roman"/>
          <w:kern w:val="22"/>
          <w:lang w:eastAsia="hi-IN" w:bidi="hi-IN"/>
        </w:rPr>
        <w:t xml:space="preserve"> </w:t>
      </w:r>
      <w:r w:rsidR="00BE7CBD">
        <w:rPr>
          <w:rFonts w:ascii="Times New Roman" w:hAnsi="Times New Roman"/>
          <w:kern w:val="22"/>
          <w:lang w:eastAsia="hi-IN" w:bidi="hi-IN"/>
        </w:rPr>
        <w:t>As was the case in 2015,</w:t>
      </w:r>
      <w:r w:rsidR="001033E0" w:rsidRPr="001033E0">
        <w:rPr>
          <w:rFonts w:ascii="Times New Roman" w:hAnsi="Times New Roman"/>
          <w:kern w:val="22"/>
          <w:lang w:eastAsia="hi-IN" w:bidi="hi-IN"/>
        </w:rPr>
        <w:t xml:space="preserve"> applications for contained use </w:t>
      </w:r>
      <w:r w:rsidR="00AB1E24">
        <w:rPr>
          <w:rFonts w:ascii="Times New Roman" w:hAnsi="Times New Roman"/>
          <w:kern w:val="22"/>
          <w:lang w:eastAsia="hi-IN" w:bidi="hi-IN"/>
        </w:rPr>
        <w:t>still</w:t>
      </w:r>
      <w:r w:rsidR="001033E0" w:rsidRPr="001033E0">
        <w:rPr>
          <w:rFonts w:ascii="Times New Roman" w:hAnsi="Times New Roman"/>
          <w:kern w:val="22"/>
          <w:lang w:eastAsia="hi-IN" w:bidi="hi-IN"/>
        </w:rPr>
        <w:t xml:space="preserve"> represent the</w:t>
      </w:r>
      <w:r w:rsidR="009D77A5">
        <w:rPr>
          <w:rFonts w:ascii="Times New Roman" w:hAnsi="Times New Roman"/>
          <w:kern w:val="22"/>
          <w:lang w:eastAsia="hi-IN" w:bidi="hi-IN"/>
        </w:rPr>
        <w:t xml:space="preserve"> </w:t>
      </w:r>
      <w:r w:rsidR="001033E0" w:rsidRPr="001033E0">
        <w:rPr>
          <w:rFonts w:ascii="Times New Roman" w:hAnsi="Times New Roman"/>
          <w:kern w:val="22"/>
          <w:lang w:eastAsia="hi-IN" w:bidi="hi-IN"/>
        </w:rPr>
        <w:t>majority</w:t>
      </w:r>
      <w:r w:rsidR="00AB1E24">
        <w:rPr>
          <w:rFonts w:ascii="Times New Roman" w:hAnsi="Times New Roman"/>
          <w:kern w:val="22"/>
          <w:lang w:eastAsia="hi-IN" w:bidi="hi-IN"/>
        </w:rPr>
        <w:t xml:space="preserve"> of applications</w:t>
      </w:r>
      <w:r w:rsidR="007B2823">
        <w:rPr>
          <w:rFonts w:ascii="Times New Roman" w:hAnsi="Times New Roman"/>
          <w:kern w:val="22"/>
          <w:lang w:eastAsia="hi-IN" w:bidi="hi-IN"/>
        </w:rPr>
        <w:t xml:space="preserve"> commercially available</w:t>
      </w:r>
      <w:r w:rsidR="00E00D12">
        <w:rPr>
          <w:rFonts w:ascii="Times New Roman" w:hAnsi="Times New Roman"/>
          <w:kern w:val="22"/>
          <w:lang w:eastAsia="hi-IN" w:bidi="hi-IN"/>
        </w:rPr>
        <w:t xml:space="preserve">. Some examples are </w:t>
      </w:r>
      <w:r w:rsidR="001033E0" w:rsidRPr="001033E0">
        <w:rPr>
          <w:rFonts w:ascii="Times New Roman" w:hAnsi="Times New Roman"/>
          <w:kern w:val="22"/>
          <w:lang w:eastAsia="hi-IN" w:bidi="hi-IN"/>
        </w:rPr>
        <w:t>semi-synthetic artemisinin, squalene, and vanillin, which were available in 2015</w:t>
      </w:r>
      <w:r w:rsidR="00E00D12">
        <w:rPr>
          <w:rFonts w:ascii="Times New Roman" w:hAnsi="Times New Roman"/>
          <w:kern w:val="22"/>
          <w:lang w:eastAsia="hi-IN" w:bidi="hi-IN"/>
        </w:rPr>
        <w:t xml:space="preserve"> and continue to be available now</w:t>
      </w:r>
      <w:r w:rsidR="001033E0" w:rsidRPr="001033E0">
        <w:rPr>
          <w:rFonts w:ascii="Times New Roman" w:hAnsi="Times New Roman"/>
          <w:kern w:val="22"/>
          <w:lang w:eastAsia="hi-IN" w:bidi="hi-IN"/>
        </w:rPr>
        <w:t xml:space="preserve">. In contrast, </w:t>
      </w:r>
      <w:r w:rsidR="007C3240">
        <w:rPr>
          <w:rFonts w:ascii="Times New Roman" w:hAnsi="Times New Roman"/>
          <w:kern w:val="22"/>
          <w:lang w:eastAsia="hi-IN" w:bidi="hi-IN"/>
        </w:rPr>
        <w:t>a</w:t>
      </w:r>
      <w:r w:rsidR="007C3240" w:rsidRPr="008F2A8C">
        <w:rPr>
          <w:rFonts w:ascii="Times New Roman" w:hAnsi="Times New Roman"/>
          <w:kern w:val="22"/>
          <w:lang w:eastAsia="hi-IN" w:bidi="hi-IN"/>
        </w:rPr>
        <w:t xml:space="preserve"> change since 2015 is the </w:t>
      </w:r>
      <w:r w:rsidR="007C3240">
        <w:rPr>
          <w:rFonts w:ascii="Times New Roman" w:hAnsi="Times New Roman"/>
          <w:kern w:val="22"/>
          <w:lang w:eastAsia="hi-IN" w:bidi="hi-IN"/>
        </w:rPr>
        <w:t>availability</w:t>
      </w:r>
      <w:r w:rsidR="007C3240" w:rsidRPr="008F2A8C">
        <w:rPr>
          <w:rFonts w:ascii="Times New Roman" w:hAnsi="Times New Roman"/>
          <w:kern w:val="22"/>
          <w:lang w:eastAsia="hi-IN" w:bidi="hi-IN"/>
        </w:rPr>
        <w:t xml:space="preserve"> of commercial products for </w:t>
      </w:r>
      <w:r w:rsidR="007C3240">
        <w:rPr>
          <w:rFonts w:ascii="Times New Roman" w:hAnsi="Times New Roman"/>
          <w:kern w:val="22"/>
          <w:lang w:eastAsia="hi-IN" w:bidi="hi-IN"/>
        </w:rPr>
        <w:t xml:space="preserve">use directly in the </w:t>
      </w:r>
      <w:r w:rsidR="007C3240" w:rsidRPr="008F2A8C">
        <w:rPr>
          <w:rFonts w:ascii="Times New Roman" w:hAnsi="Times New Roman"/>
          <w:kern w:val="22"/>
          <w:lang w:eastAsia="hi-IN" w:bidi="hi-IN"/>
        </w:rPr>
        <w:t>environment, including genome edited soy</w:t>
      </w:r>
      <w:r w:rsidR="007C3240">
        <w:rPr>
          <w:rFonts w:ascii="Times New Roman" w:hAnsi="Times New Roman"/>
          <w:kern w:val="22"/>
          <w:lang w:eastAsia="hi-IN" w:bidi="hi-IN"/>
        </w:rPr>
        <w:t xml:space="preserve">a </w:t>
      </w:r>
      <w:r w:rsidR="007C3240" w:rsidRPr="008F2A8C">
        <w:rPr>
          <w:rFonts w:ascii="Times New Roman" w:hAnsi="Times New Roman"/>
          <w:kern w:val="22"/>
          <w:lang w:eastAsia="hi-IN" w:bidi="hi-IN"/>
        </w:rPr>
        <w:t>bean, engineered bacteria fertilisers and self-limiting insects</w:t>
      </w:r>
      <w:r w:rsidR="007C3240">
        <w:rPr>
          <w:rFonts w:ascii="Times New Roman" w:hAnsi="Times New Roman"/>
          <w:kern w:val="22"/>
          <w:lang w:eastAsia="hi-IN" w:bidi="hi-IN"/>
        </w:rPr>
        <w:t>. Additional</w:t>
      </w:r>
      <w:r w:rsidR="007C3240" w:rsidRPr="008F2A8C">
        <w:rPr>
          <w:rFonts w:ascii="Times New Roman" w:hAnsi="Times New Roman"/>
          <w:kern w:val="22"/>
          <w:lang w:eastAsia="hi-IN" w:bidi="hi-IN"/>
        </w:rPr>
        <w:t xml:space="preserve"> products </w:t>
      </w:r>
      <w:r w:rsidR="007C3240">
        <w:rPr>
          <w:rFonts w:ascii="Times New Roman" w:hAnsi="Times New Roman"/>
          <w:kern w:val="22"/>
          <w:lang w:eastAsia="hi-IN" w:bidi="hi-IN"/>
        </w:rPr>
        <w:t>intended for environmental release</w:t>
      </w:r>
      <w:r w:rsidR="007C3240" w:rsidRPr="008F2A8C">
        <w:rPr>
          <w:rFonts w:ascii="Times New Roman" w:hAnsi="Times New Roman"/>
          <w:kern w:val="22"/>
          <w:lang w:eastAsia="hi-IN" w:bidi="hi-IN"/>
        </w:rPr>
        <w:t xml:space="preserve"> are in advanced stages of development, such as genome edited animals and organisms containing engineered gene drives to control vector-borne diseases</w:t>
      </w:r>
      <w:r w:rsidR="00B2740B" w:rsidRPr="001B072C">
        <w:rPr>
          <w:rFonts w:ascii="Times New Roman" w:hAnsi="Times New Roman"/>
          <w:kern w:val="22"/>
          <w:lang w:eastAsia="hi-IN" w:bidi="hi-IN"/>
        </w:rPr>
        <w:t xml:space="preserve">. </w:t>
      </w:r>
      <w:r w:rsidR="001E06E3">
        <w:rPr>
          <w:rFonts w:ascii="Times New Roman" w:hAnsi="Times New Roman"/>
          <w:kern w:val="22"/>
          <w:lang w:eastAsia="hi-IN" w:bidi="hi-IN"/>
        </w:rPr>
        <w:t xml:space="preserve">Also, in the case of research and development, </w:t>
      </w:r>
      <w:r w:rsidR="00B2740B">
        <w:rPr>
          <w:rFonts w:ascii="Times New Roman" w:hAnsi="Times New Roman"/>
          <w:kern w:val="22"/>
          <w:lang w:eastAsia="hi-IN" w:bidi="hi-IN"/>
        </w:rPr>
        <w:t xml:space="preserve">time has shown that the relationship between early research and development and the commercialisation of products is not linear, and not every application that is under research and development will eventually reach an advanced stage or be commercialised.  </w:t>
      </w:r>
    </w:p>
    <w:p w14:paraId="0C04356F" w14:textId="166F607A" w:rsidR="00F444B0" w:rsidRDefault="002D77B7" w:rsidP="00DA0F19">
      <w:pPr>
        <w:suppressAutoHyphens/>
        <w:spacing w:after="120" w:line="240" w:lineRule="auto"/>
        <w:jc w:val="both"/>
        <w:rPr>
          <w:rFonts w:ascii="Times New Roman" w:hAnsi="Times New Roman"/>
          <w:kern w:val="22"/>
          <w:lang w:eastAsia="hi-IN" w:bidi="hi-IN"/>
        </w:rPr>
      </w:pPr>
      <w:bookmarkStart w:id="205" w:name="_Hlk70923649"/>
      <w:r w:rsidDel="007C3240">
        <w:rPr>
          <w:rFonts w:ascii="Times New Roman" w:hAnsi="Times New Roman"/>
          <w:kern w:val="22"/>
          <w:lang w:eastAsia="hi-IN" w:bidi="hi-IN"/>
        </w:rPr>
        <w:t xml:space="preserve">Despite these recent developments, there </w:t>
      </w:r>
      <w:r w:rsidR="0081138C" w:rsidDel="007C3240">
        <w:rPr>
          <w:rFonts w:ascii="Times New Roman" w:hAnsi="Times New Roman"/>
          <w:kern w:val="22"/>
          <w:lang w:eastAsia="hi-IN" w:bidi="hi-IN"/>
        </w:rPr>
        <w:t>is a</w:t>
      </w:r>
      <w:r w:rsidDel="007C3240">
        <w:rPr>
          <w:rFonts w:ascii="Times New Roman" w:hAnsi="Times New Roman"/>
          <w:kern w:val="22"/>
          <w:lang w:eastAsia="hi-IN" w:bidi="hi-IN"/>
        </w:rPr>
        <w:t xml:space="preserve"> continu</w:t>
      </w:r>
      <w:r w:rsidR="0081138C" w:rsidDel="007C3240">
        <w:rPr>
          <w:rFonts w:ascii="Times New Roman" w:hAnsi="Times New Roman"/>
          <w:kern w:val="22"/>
          <w:lang w:eastAsia="hi-IN" w:bidi="hi-IN"/>
        </w:rPr>
        <w:t>ing</w:t>
      </w:r>
      <w:r w:rsidDel="007C3240">
        <w:rPr>
          <w:rFonts w:ascii="Times New Roman" w:hAnsi="Times New Roman"/>
          <w:kern w:val="22"/>
          <w:lang w:eastAsia="hi-IN" w:bidi="hi-IN"/>
        </w:rPr>
        <w:t xml:space="preserve"> </w:t>
      </w:r>
      <w:r w:rsidR="00231B58" w:rsidDel="007C3240">
        <w:rPr>
          <w:rFonts w:ascii="Times New Roman" w:hAnsi="Times New Roman"/>
          <w:kern w:val="22"/>
          <w:lang w:eastAsia="hi-IN" w:bidi="hi-IN"/>
        </w:rPr>
        <w:t>need to acquire further</w:t>
      </w:r>
      <w:r w:rsidDel="007C3240">
        <w:rPr>
          <w:rFonts w:ascii="Times New Roman" w:hAnsi="Times New Roman"/>
          <w:kern w:val="22"/>
          <w:lang w:eastAsia="hi-IN" w:bidi="hi-IN"/>
        </w:rPr>
        <w:t xml:space="preserve"> data </w:t>
      </w:r>
      <w:r w:rsidR="00CA626B" w:rsidDel="007C3240">
        <w:rPr>
          <w:rFonts w:ascii="Times New Roman" w:hAnsi="Times New Roman"/>
          <w:kern w:val="22"/>
          <w:lang w:eastAsia="hi-IN" w:bidi="hi-IN"/>
        </w:rPr>
        <w:t xml:space="preserve">and knowledge </w:t>
      </w:r>
      <w:r w:rsidR="00FA7B11" w:rsidDel="007C3240">
        <w:rPr>
          <w:rFonts w:ascii="Times New Roman" w:hAnsi="Times New Roman"/>
          <w:kern w:val="22"/>
          <w:lang w:eastAsia="hi-IN" w:bidi="hi-IN"/>
        </w:rPr>
        <w:t xml:space="preserve">to support </w:t>
      </w:r>
      <w:r w:rsidDel="007C3240">
        <w:rPr>
          <w:rFonts w:ascii="Times New Roman" w:hAnsi="Times New Roman"/>
          <w:kern w:val="22"/>
          <w:lang w:eastAsia="hi-IN" w:bidi="hi-IN"/>
        </w:rPr>
        <w:t xml:space="preserve">the </w:t>
      </w:r>
      <w:r w:rsidR="008A350F">
        <w:rPr>
          <w:rFonts w:ascii="Times New Roman" w:hAnsi="Times New Roman"/>
          <w:kern w:val="22"/>
          <w:lang w:eastAsia="hi-IN" w:bidi="hi-IN"/>
        </w:rPr>
        <w:t>d</w:t>
      </w:r>
      <w:r w:rsidR="00B31D3B">
        <w:rPr>
          <w:rFonts w:ascii="Times New Roman" w:hAnsi="Times New Roman"/>
          <w:kern w:val="22"/>
          <w:lang w:eastAsia="hi-IN" w:bidi="hi-IN"/>
        </w:rPr>
        <w:t>iscussions about potential impacts from synthetic biology</w:t>
      </w:r>
      <w:r w:rsidR="00181EAE">
        <w:rPr>
          <w:rFonts w:ascii="Times New Roman" w:hAnsi="Times New Roman"/>
          <w:kern w:val="22"/>
          <w:lang w:eastAsia="hi-IN" w:bidi="hi-IN"/>
        </w:rPr>
        <w:t xml:space="preserve">. </w:t>
      </w:r>
      <w:r w:rsidR="00711E6A">
        <w:rPr>
          <w:rFonts w:ascii="Times New Roman" w:hAnsi="Times New Roman"/>
          <w:kern w:val="22"/>
          <w:lang w:eastAsia="hi-IN" w:bidi="hi-IN"/>
        </w:rPr>
        <w:t>There are</w:t>
      </w:r>
      <w:r w:rsidR="008A350F">
        <w:rPr>
          <w:rFonts w:ascii="Times New Roman" w:hAnsi="Times New Roman"/>
          <w:kern w:val="22"/>
          <w:lang w:eastAsia="hi-IN" w:bidi="hi-IN"/>
        </w:rPr>
        <w:t xml:space="preserve"> </w:t>
      </w:r>
      <w:r w:rsidR="008633AA">
        <w:rPr>
          <w:rFonts w:ascii="Times New Roman" w:hAnsi="Times New Roman"/>
          <w:kern w:val="22"/>
          <w:lang w:eastAsia="hi-IN" w:bidi="hi-IN"/>
        </w:rPr>
        <w:t xml:space="preserve">divergent views </w:t>
      </w:r>
      <w:r w:rsidR="003967F5">
        <w:rPr>
          <w:rFonts w:ascii="Times New Roman" w:hAnsi="Times New Roman"/>
          <w:kern w:val="22"/>
          <w:lang w:eastAsia="hi-IN" w:bidi="hi-IN"/>
        </w:rPr>
        <w:t xml:space="preserve">on </w:t>
      </w:r>
      <w:r w:rsidR="000E2112">
        <w:rPr>
          <w:rFonts w:ascii="Times New Roman" w:hAnsi="Times New Roman"/>
          <w:kern w:val="22"/>
          <w:lang w:eastAsia="hi-IN" w:bidi="hi-IN"/>
        </w:rPr>
        <w:t>what the impacts could be, their magnit</w:t>
      </w:r>
      <w:r w:rsidR="00C35FF6">
        <w:rPr>
          <w:rFonts w:ascii="Times New Roman" w:hAnsi="Times New Roman"/>
          <w:kern w:val="22"/>
          <w:lang w:eastAsia="hi-IN" w:bidi="hi-IN"/>
        </w:rPr>
        <w:t>ude or relevance as well as how they should be assessed or managed</w:t>
      </w:r>
      <w:r w:rsidR="008633AA">
        <w:rPr>
          <w:rFonts w:ascii="Times New Roman" w:hAnsi="Times New Roman"/>
          <w:kern w:val="22"/>
          <w:lang w:eastAsia="hi-IN" w:bidi="hi-IN"/>
        </w:rPr>
        <w:t>.</w:t>
      </w:r>
      <w:r w:rsidR="00F444B0" w:rsidRPr="00F444B0">
        <w:rPr>
          <w:rFonts w:ascii="Times New Roman" w:hAnsi="Times New Roman"/>
          <w:kern w:val="22"/>
          <w:lang w:eastAsia="hi-IN" w:bidi="hi-IN"/>
        </w:rPr>
        <w:t>, It is also noteworthy to consider that most regulatory mechanisms (i.e those discussed in the present document) were developed before the term synthetic biology became widely used, and therefore  may not have sufficient oversight, in terms of scope and scale, for some of the potential impacts from synthetic biology.</w:t>
      </w:r>
    </w:p>
    <w:bookmarkEnd w:id="205"/>
    <w:p w14:paraId="3D1203F3" w14:textId="4CBC9482" w:rsidR="006C15FE" w:rsidRDefault="00E16451" w:rsidP="00DA0F19">
      <w:pPr>
        <w:suppressAutoHyphens/>
        <w:spacing w:after="120" w:line="240" w:lineRule="auto"/>
        <w:jc w:val="both"/>
        <w:rPr>
          <w:rFonts w:ascii="Times New Roman" w:hAnsi="Times New Roman"/>
        </w:rPr>
      </w:pPr>
      <w:r w:rsidRPr="557CA1A9">
        <w:rPr>
          <w:rFonts w:ascii="Times New Roman" w:hAnsi="Times New Roman"/>
          <w:lang w:eastAsia="hi-IN" w:bidi="hi-IN"/>
        </w:rPr>
        <w:t>As has been shown by some of the examples and discussions under section 5, the potential</w:t>
      </w:r>
      <w:r w:rsidR="000A38CB">
        <w:rPr>
          <w:rFonts w:ascii="Times New Roman" w:hAnsi="Times New Roman"/>
          <w:kern w:val="22"/>
          <w:lang w:eastAsia="hi-IN" w:bidi="hi-IN"/>
        </w:rPr>
        <w:t xml:space="preserve"> impacts </w:t>
      </w:r>
      <w:r w:rsidR="09B5348C" w:rsidRPr="557CA1A9">
        <w:rPr>
          <w:rFonts w:ascii="Times New Roman" w:hAnsi="Times New Roman"/>
          <w:lang w:eastAsia="hi-IN" w:bidi="hi-IN"/>
        </w:rPr>
        <w:t>f</w:t>
      </w:r>
      <w:r w:rsidR="1FDAB474" w:rsidRPr="557CA1A9">
        <w:rPr>
          <w:rFonts w:ascii="Times New Roman" w:hAnsi="Times New Roman"/>
          <w:lang w:eastAsia="hi-IN" w:bidi="hi-IN"/>
        </w:rPr>
        <w:t>r</w:t>
      </w:r>
      <w:r w:rsidR="09B5348C" w:rsidRPr="557CA1A9">
        <w:rPr>
          <w:rFonts w:ascii="Times New Roman" w:hAnsi="Times New Roman"/>
          <w:lang w:eastAsia="hi-IN" w:bidi="hi-IN"/>
        </w:rPr>
        <w:t>om</w:t>
      </w:r>
      <w:r w:rsidRPr="557CA1A9">
        <w:rPr>
          <w:rFonts w:ascii="Times New Roman" w:hAnsi="Times New Roman"/>
          <w:lang w:eastAsia="hi-IN" w:bidi="hi-IN"/>
        </w:rPr>
        <w:t xml:space="preserve"> synthetic biology applications </w:t>
      </w:r>
      <w:r w:rsidR="000005F9">
        <w:rPr>
          <w:rFonts w:ascii="Times New Roman" w:hAnsi="Times New Roman"/>
          <w:kern w:val="22"/>
          <w:lang w:eastAsia="hi-IN" w:bidi="hi-IN"/>
        </w:rPr>
        <w:t>may be complex in nature</w:t>
      </w:r>
      <w:r w:rsidR="00D9131A">
        <w:rPr>
          <w:rFonts w:ascii="Times New Roman" w:hAnsi="Times New Roman"/>
          <w:kern w:val="22"/>
          <w:lang w:eastAsia="hi-IN" w:bidi="hi-IN"/>
        </w:rPr>
        <w:t xml:space="preserve"> </w:t>
      </w:r>
      <w:r w:rsidR="008633AA">
        <w:rPr>
          <w:rFonts w:ascii="Times New Roman" w:hAnsi="Times New Roman"/>
          <w:kern w:val="22"/>
          <w:lang w:eastAsia="hi-IN" w:bidi="hi-IN"/>
        </w:rPr>
        <w:t>and</w:t>
      </w:r>
      <w:r w:rsidR="00A877FD">
        <w:rPr>
          <w:rFonts w:ascii="Times New Roman" w:hAnsi="Times New Roman"/>
          <w:kern w:val="22"/>
          <w:lang w:eastAsia="hi-IN" w:bidi="hi-IN"/>
        </w:rPr>
        <w:t xml:space="preserve"> </w:t>
      </w:r>
      <w:r w:rsidR="00067AC5">
        <w:rPr>
          <w:rFonts w:ascii="Times New Roman" w:hAnsi="Times New Roman"/>
          <w:kern w:val="22"/>
          <w:lang w:eastAsia="hi-IN" w:bidi="hi-IN"/>
        </w:rPr>
        <w:t xml:space="preserve">can </w:t>
      </w:r>
      <w:r w:rsidR="00A877FD">
        <w:rPr>
          <w:rFonts w:ascii="Times New Roman" w:hAnsi="Times New Roman"/>
          <w:kern w:val="22"/>
          <w:lang w:eastAsia="hi-IN" w:bidi="hi-IN"/>
        </w:rPr>
        <w:t xml:space="preserve">cause challenges to their regulatory </w:t>
      </w:r>
      <w:r w:rsidR="00067AC5">
        <w:rPr>
          <w:rFonts w:ascii="Times New Roman" w:hAnsi="Times New Roman"/>
          <w:kern w:val="22"/>
          <w:lang w:eastAsia="hi-IN" w:bidi="hi-IN"/>
        </w:rPr>
        <w:t>oversight</w:t>
      </w:r>
      <w:r w:rsidR="00085F8C">
        <w:rPr>
          <w:rFonts w:ascii="Times New Roman" w:hAnsi="Times New Roman"/>
          <w:kern w:val="22"/>
          <w:lang w:eastAsia="hi-IN" w:bidi="hi-IN"/>
        </w:rPr>
        <w:t>.</w:t>
      </w:r>
      <w:r w:rsidR="00A877FD" w:rsidDel="006C15FE">
        <w:rPr>
          <w:rFonts w:ascii="Times New Roman" w:hAnsi="Times New Roman"/>
          <w:kern w:val="22"/>
          <w:lang w:eastAsia="hi-IN" w:bidi="hi-IN"/>
        </w:rPr>
        <w:t xml:space="preserve"> </w:t>
      </w:r>
      <w:r w:rsidR="00085F8C">
        <w:rPr>
          <w:rFonts w:ascii="Times New Roman" w:hAnsi="Times New Roman"/>
          <w:kern w:val="22"/>
          <w:lang w:eastAsia="hi-IN" w:bidi="hi-IN"/>
        </w:rPr>
        <w:t>T</w:t>
      </w:r>
      <w:r w:rsidR="006C15FE">
        <w:rPr>
          <w:rFonts w:ascii="Times New Roman" w:hAnsi="Times New Roman"/>
          <w:kern w:val="22"/>
          <w:lang w:eastAsia="hi-IN" w:bidi="hi-IN"/>
        </w:rPr>
        <w:t>here is a strong call for robust and science-based risk assessments as well as technical expertise and knowledge needed to properly assess any potential impact</w:t>
      </w:r>
      <w:r w:rsidR="0014737C" w:rsidRPr="557CA1A9">
        <w:rPr>
          <w:rFonts w:ascii="Times New Roman" w:hAnsi="Times New Roman"/>
          <w:lang w:eastAsia="hi-IN" w:bidi="hi-IN"/>
        </w:rPr>
        <w:t>s</w:t>
      </w:r>
      <w:r w:rsidR="006C15FE">
        <w:rPr>
          <w:rFonts w:ascii="Times New Roman" w:hAnsi="Times New Roman"/>
          <w:kern w:val="22"/>
          <w:lang w:eastAsia="hi-IN" w:bidi="hi-IN"/>
        </w:rPr>
        <w:t>.</w:t>
      </w:r>
      <w:r w:rsidR="0014737C" w:rsidRPr="557CA1A9">
        <w:rPr>
          <w:rFonts w:ascii="Times New Roman" w:hAnsi="Times New Roman"/>
          <w:lang w:eastAsia="hi-IN" w:bidi="hi-IN"/>
        </w:rPr>
        <w:t xml:space="preserve"> </w:t>
      </w:r>
      <w:r w:rsidR="006C15FE">
        <w:rPr>
          <w:rFonts w:ascii="Times New Roman" w:hAnsi="Times New Roman"/>
          <w:kern w:val="22"/>
          <w:lang w:eastAsia="hi-IN" w:bidi="hi-IN"/>
        </w:rPr>
        <w:t xml:space="preserve">The way </w:t>
      </w:r>
      <w:r w:rsidR="000D5B5D">
        <w:rPr>
          <w:rFonts w:ascii="Times New Roman" w:hAnsi="Times New Roman"/>
          <w:kern w:val="22"/>
          <w:lang w:eastAsia="hi-IN" w:bidi="hi-IN"/>
        </w:rPr>
        <w:t xml:space="preserve">these issues </w:t>
      </w:r>
      <w:r w:rsidR="006C15FE">
        <w:rPr>
          <w:rFonts w:ascii="Times New Roman" w:hAnsi="Times New Roman"/>
          <w:kern w:val="22"/>
          <w:lang w:eastAsia="hi-IN" w:bidi="hi-IN"/>
        </w:rPr>
        <w:t xml:space="preserve">are </w:t>
      </w:r>
      <w:r w:rsidR="003D4A87">
        <w:rPr>
          <w:rFonts w:ascii="Times New Roman" w:hAnsi="Times New Roman"/>
          <w:kern w:val="22"/>
          <w:lang w:eastAsia="hi-IN" w:bidi="hi-IN"/>
        </w:rPr>
        <w:t xml:space="preserve">being </w:t>
      </w:r>
      <w:r w:rsidR="006C15FE">
        <w:rPr>
          <w:rFonts w:ascii="Times New Roman" w:hAnsi="Times New Roman"/>
          <w:kern w:val="22"/>
          <w:lang w:eastAsia="hi-IN" w:bidi="hi-IN"/>
        </w:rPr>
        <w:t>address</w:t>
      </w:r>
      <w:r w:rsidR="003D4A87">
        <w:rPr>
          <w:rFonts w:ascii="Times New Roman" w:hAnsi="Times New Roman"/>
          <w:kern w:val="22"/>
          <w:lang w:eastAsia="hi-IN" w:bidi="hi-IN"/>
        </w:rPr>
        <w:t xml:space="preserve">ed </w:t>
      </w:r>
      <w:r w:rsidR="00947363">
        <w:rPr>
          <w:rFonts w:ascii="Times New Roman" w:hAnsi="Times New Roman"/>
          <w:kern w:val="22"/>
          <w:lang w:eastAsia="hi-IN" w:bidi="hi-IN"/>
        </w:rPr>
        <w:t xml:space="preserve">continues to </w:t>
      </w:r>
      <w:r w:rsidR="006C15FE">
        <w:rPr>
          <w:rFonts w:ascii="Times New Roman" w:hAnsi="Times New Roman"/>
          <w:kern w:val="22"/>
          <w:lang w:eastAsia="hi-IN" w:bidi="hi-IN"/>
        </w:rPr>
        <w:t>var</w:t>
      </w:r>
      <w:r w:rsidR="00947363">
        <w:rPr>
          <w:rFonts w:ascii="Times New Roman" w:hAnsi="Times New Roman"/>
          <w:kern w:val="22"/>
          <w:lang w:eastAsia="hi-IN" w:bidi="hi-IN"/>
        </w:rPr>
        <w:t>y</w:t>
      </w:r>
      <w:r w:rsidR="006C15FE">
        <w:rPr>
          <w:rFonts w:ascii="Times New Roman" w:hAnsi="Times New Roman"/>
          <w:kern w:val="22"/>
          <w:lang w:eastAsia="hi-IN" w:bidi="hi-IN"/>
        </w:rPr>
        <w:t xml:space="preserve"> from country to </w:t>
      </w:r>
      <w:r w:rsidR="003D4A87">
        <w:rPr>
          <w:rFonts w:ascii="Times New Roman" w:hAnsi="Times New Roman"/>
          <w:kern w:val="22"/>
          <w:lang w:eastAsia="hi-IN" w:bidi="hi-IN"/>
        </w:rPr>
        <w:t>country</w:t>
      </w:r>
      <w:r w:rsidR="006C15FE">
        <w:rPr>
          <w:rFonts w:ascii="Times New Roman" w:hAnsi="Times New Roman"/>
          <w:kern w:val="22"/>
          <w:lang w:eastAsia="hi-IN" w:bidi="hi-IN"/>
        </w:rPr>
        <w:t xml:space="preserve">, and </w:t>
      </w:r>
      <w:r w:rsidR="006D5EE2">
        <w:rPr>
          <w:rFonts w:ascii="Times New Roman" w:hAnsi="Times New Roman"/>
          <w:kern w:val="22"/>
          <w:lang w:eastAsia="hi-IN" w:bidi="hi-IN"/>
        </w:rPr>
        <w:t>although</w:t>
      </w:r>
      <w:r w:rsidR="006C15FE">
        <w:rPr>
          <w:rFonts w:ascii="Times New Roman" w:hAnsi="Times New Roman"/>
          <w:kern w:val="22"/>
          <w:lang w:eastAsia="hi-IN" w:bidi="hi-IN"/>
        </w:rPr>
        <w:t xml:space="preserve"> existing instruments (such as the Cartagena Protocol </w:t>
      </w:r>
      <w:r w:rsidR="00EA2685">
        <w:rPr>
          <w:rFonts w:ascii="Times New Roman" w:hAnsi="Times New Roman"/>
          <w:kern w:val="22"/>
          <w:lang w:eastAsia="hi-IN" w:bidi="hi-IN"/>
        </w:rPr>
        <w:t xml:space="preserve">on Biosafety </w:t>
      </w:r>
      <w:r w:rsidR="006C15FE">
        <w:rPr>
          <w:rFonts w:ascii="Times New Roman" w:hAnsi="Times New Roman"/>
          <w:kern w:val="22"/>
          <w:lang w:eastAsia="hi-IN" w:bidi="hi-IN"/>
        </w:rPr>
        <w:t xml:space="preserve">through its annex III on risk assessment) </w:t>
      </w:r>
      <w:r w:rsidR="00B16D0E">
        <w:rPr>
          <w:rFonts w:ascii="Times New Roman" w:hAnsi="Times New Roman"/>
          <w:kern w:val="22"/>
          <w:lang w:eastAsia="hi-IN" w:bidi="hi-IN"/>
        </w:rPr>
        <w:t xml:space="preserve">may </w:t>
      </w:r>
      <w:r w:rsidR="006C15FE">
        <w:rPr>
          <w:rFonts w:ascii="Times New Roman" w:hAnsi="Times New Roman"/>
          <w:kern w:val="22"/>
          <w:lang w:eastAsia="hi-IN" w:bidi="hi-IN"/>
        </w:rPr>
        <w:t>pr</w:t>
      </w:r>
      <w:r w:rsidR="0014737C" w:rsidRPr="557CA1A9">
        <w:rPr>
          <w:rFonts w:ascii="Times New Roman" w:hAnsi="Times New Roman"/>
          <w:lang w:eastAsia="hi-IN" w:bidi="hi-IN"/>
        </w:rPr>
        <w:t>o</w:t>
      </w:r>
      <w:r w:rsidR="006C15FE">
        <w:rPr>
          <w:rFonts w:ascii="Times New Roman" w:hAnsi="Times New Roman"/>
          <w:kern w:val="22"/>
          <w:lang w:eastAsia="hi-IN" w:bidi="hi-IN"/>
        </w:rPr>
        <w:t>vide a good bas</w:t>
      </w:r>
      <w:r w:rsidR="005B19C5">
        <w:rPr>
          <w:rFonts w:ascii="Times New Roman" w:hAnsi="Times New Roman"/>
          <w:kern w:val="22"/>
          <w:lang w:eastAsia="hi-IN" w:bidi="hi-IN"/>
        </w:rPr>
        <w:t xml:space="preserve">is </w:t>
      </w:r>
      <w:r w:rsidR="002E20A0">
        <w:rPr>
          <w:rFonts w:ascii="Times New Roman" w:hAnsi="Times New Roman"/>
          <w:kern w:val="22"/>
          <w:lang w:eastAsia="hi-IN" w:bidi="hi-IN"/>
        </w:rPr>
        <w:t xml:space="preserve">for </w:t>
      </w:r>
      <w:r w:rsidR="00EB1715">
        <w:rPr>
          <w:rFonts w:ascii="Times New Roman" w:hAnsi="Times New Roman"/>
          <w:kern w:val="22"/>
          <w:lang w:eastAsia="hi-IN" w:bidi="hi-IN"/>
        </w:rPr>
        <w:t xml:space="preserve">addressing </w:t>
      </w:r>
      <w:r w:rsidR="00DF67BB" w:rsidRPr="557CA1A9">
        <w:rPr>
          <w:rFonts w:ascii="Times New Roman" w:hAnsi="Times New Roman"/>
          <w:lang w:eastAsia="hi-IN" w:bidi="hi-IN"/>
        </w:rPr>
        <w:t xml:space="preserve">some of </w:t>
      </w:r>
      <w:r w:rsidR="00EB1715">
        <w:rPr>
          <w:rFonts w:ascii="Times New Roman" w:hAnsi="Times New Roman"/>
          <w:kern w:val="22"/>
          <w:lang w:eastAsia="hi-IN" w:bidi="hi-IN"/>
        </w:rPr>
        <w:t xml:space="preserve">these </w:t>
      </w:r>
      <w:r w:rsidR="00EA2685">
        <w:rPr>
          <w:rFonts w:ascii="Times New Roman" w:hAnsi="Times New Roman"/>
          <w:kern w:val="22"/>
          <w:lang w:eastAsia="hi-IN" w:bidi="hi-IN"/>
        </w:rPr>
        <w:t>regulatory challenges</w:t>
      </w:r>
      <w:r w:rsidR="006C15FE">
        <w:rPr>
          <w:rFonts w:ascii="Times New Roman" w:hAnsi="Times New Roman"/>
          <w:kern w:val="22"/>
          <w:lang w:eastAsia="hi-IN" w:bidi="hi-IN"/>
        </w:rPr>
        <w:t>, there is also a perceived need for the development of additional tools to complement this and other existing methodologies.</w:t>
      </w:r>
      <w:r w:rsidR="006C15FE" w:rsidRPr="00B363F3">
        <w:rPr>
          <w:rFonts w:ascii="Times New Roman" w:hAnsi="Times New Roman"/>
        </w:rPr>
        <w:t xml:space="preserve"> </w:t>
      </w:r>
      <w:r w:rsidR="00E25486" w:rsidRPr="00E25486">
        <w:rPr>
          <w:rFonts w:ascii="Times New Roman" w:hAnsi="Times New Roman"/>
        </w:rPr>
        <w:t xml:space="preserve">Further, the inability to potentially detect and identify the applications of synthetic biology adds complexity and may strain the abilities of developing nations whose </w:t>
      </w:r>
      <w:r w:rsidR="00AD3C37">
        <w:rPr>
          <w:rFonts w:ascii="Times New Roman" w:hAnsi="Times New Roman"/>
        </w:rPr>
        <w:t>regulatory</w:t>
      </w:r>
      <w:r w:rsidR="00E25486" w:rsidRPr="00E25486">
        <w:rPr>
          <w:rFonts w:ascii="Times New Roman" w:hAnsi="Times New Roman"/>
        </w:rPr>
        <w:t xml:space="preserve"> frameworks may not be (fully) developed</w:t>
      </w:r>
      <w:r w:rsidR="00AD3C37">
        <w:rPr>
          <w:rFonts w:ascii="Times New Roman" w:hAnsi="Times New Roman"/>
        </w:rPr>
        <w:t>.</w:t>
      </w:r>
    </w:p>
    <w:p w14:paraId="08E5408D" w14:textId="30A48DE5" w:rsidR="00272F45" w:rsidRDefault="0091573C" w:rsidP="002A2514">
      <w:pPr>
        <w:suppressAutoHyphens/>
        <w:spacing w:after="120" w:line="240" w:lineRule="auto"/>
        <w:jc w:val="both"/>
        <w:rPr>
          <w:rFonts w:ascii="Times New Roman" w:hAnsi="Times New Roman"/>
          <w:bCs/>
          <w:kern w:val="22"/>
          <w:lang w:eastAsia="hi-IN" w:bidi="hi-IN"/>
        </w:rPr>
      </w:pPr>
      <w:r>
        <w:rPr>
          <w:rFonts w:ascii="Times New Roman" w:hAnsi="Times New Roman"/>
          <w:kern w:val="22"/>
          <w:lang w:eastAsia="hi-IN" w:bidi="hi-IN"/>
        </w:rPr>
        <w:t xml:space="preserve">A </w:t>
      </w:r>
      <w:r w:rsidR="001B7F0E" w:rsidRPr="001B7F0E">
        <w:rPr>
          <w:rFonts w:ascii="Times New Roman" w:hAnsi="Times New Roman"/>
          <w:kern w:val="22"/>
          <w:lang w:eastAsia="hi-IN" w:bidi="hi-IN"/>
        </w:rPr>
        <w:t xml:space="preserve">common feature of articles identifying gaps or deficiencies in the governance of synthetic biology focus on the operation of international regimes as silos and the need to firstly better integrate/coordinate   governance of synthetic biology and secondly, to expand the focus of the governance beyond human health and the environment to a more holistic approach that also encompasses social impact, ethical principles, and elements of social justice. In a research and innovation context this holistic approach is manifest in calls for so called “Responsible Research and Innovation” to assess societal implications of emerging technologies to better align process and expected outcomes with the needs and values of society more broadly than human health and the environment. This includes, for example, evaluating and reducing downstream harms that might expose developers, companies and governments to responsibility for expensive clean-up and/or insurance efforts </w:t>
      </w:r>
      <w:r w:rsidR="00C832AC">
        <w:rPr>
          <w:rFonts w:ascii="Times New Roman" w:hAnsi="Times New Roman"/>
          <w:kern w:val="22"/>
          <w:lang w:eastAsia="hi-IN" w:bidi="hi-IN"/>
        </w:rPr>
        <w:fldChar w:fldCharType="begin" w:fldLock="1"/>
      </w:r>
      <w:r w:rsidR="00EA6A98">
        <w:rPr>
          <w:rFonts w:ascii="Times New Roman" w:hAnsi="Times New Roman"/>
          <w:kern w:val="22"/>
          <w:lang w:eastAsia="hi-IN" w:bidi="hi-IN"/>
        </w:rPr>
        <w:instrText>ADDIN CSL_CITATION {"citationItems":[{"id":"ITEM-1","itemData":{"DOI":"10.15252/msb.20209723","ISSN":"1744-4292","PMID":"32692486","abstract":"The fast-paced field of synthetic biology is fundamentally changing the global biosecurity framework. Current biosecurity regulations and strategies are based on previous governance paradigms for pathogen-oriented security, recombinant DNA research, and broader concerns related to genetically modified organisms (GMOs). Many scholarly discussions and biosecurity practitioners are therefore concerned that synthetic biology outpaces established biosafety and biosecurity measures to prevent deliberate and malicious or inadvertent and accidental misuse of synthetic biology's processes or products. This commentary proposes three strategies to improve biosecurity: Security must be treated as an investment in the future applicability of the technology; social scientists and policy makers should be engaged early in technology development and forecasting; and coordination among global stakeholders is necessary to ensure acceptable levels of risk.","author":[{"dropping-particle":"","family":"Trump","given":"Benjamin D","non-dropping-particle":"","parse-names":false,"suffix":""},{"dropping-particle":"","family":"Galaitsi","given":"S E","non-dropping-particle":"","parse-names":false,"suffix":""},{"dropping-particle":"","family":"Appleton","given":"Evan","non-dropping-particle":"","parse-names":false,"suffix":""},{"dropping-particle":"","family":"Bleijs","given":"Diederik A","non-dropping-particle":"","parse-names":false,"suffix":""},{"dropping-particle":"","family":"Florin","given":"Marie‐Valentine","non-dropping-particle":"","parse-names":false,"suffix":""},{"dropping-particle":"","family":"Gollihar","given":"Jimmy D","non-dropping-particle":"","parse-names":false,"suffix":""},{"dropping-particle":"","family":"Hamilton","given":"R Alexander","non-dropping-particle":"","parse-names":false,"suffix":""},{"dropping-particle":"","family":"Kuiken","given":"Todd","non-dropping-particle":"","parse-names":false,"suffix":""},{"dropping-particle":"","family":"Lentzos","given":"Filippa","non-dropping-particle":"","parse-names":false,"suffix":""},{"dropping-particle":"","family":"Mampuys","given":"Ruth","non-dropping-particle":"","parse-names":false,"suffix":""},{"dropping-particle":"","family":"Merad","given":"Myriam","non-dropping-particle":"","parse-names":false,"suffix":""},{"dropping-particle":"","family":"Novossiolova","given":"Tatyana","non-dropping-particle":"","parse-names":false,"suffix":""},{"dropping-particle":"","family":"Oye","given":"Kenneth","non-dropping-particle":"","parse-names":false,"suffix":""},{"dropping-particle":"","family":"Perkins","given":"Edward","non-dropping-particle":"","parse-names":false,"suffix":""},{"dropping-particle":"","family":"Garcia‐Reyero","given":"Natàlia","non-dropping-particle":"","parse-names":false,"suffix":""},{"dropping-particle":"","family":"Rhodes","given":"Catherine","non-dropping-particle":"","parse-names":false,"suffix":""},{"dropping-particle":"","family":"Linkov","given":"Igor","non-dropping-particle":"","parse-names":false,"suffix":""}],"container-title":"Molecular Systems Biology","id":"ITEM-1","issue":"7","issued":{"date-parts":[["2020"]]},"publisher":"EMBO","title":"Building biosecurity for synthetic biology","type":"article-journal","volume":"16"},"uris":["http://www.mendeley.com/documents/?uuid=3f172197-6f26-4b29-9b76-17edd3870236"]}],"mendeley":{"formattedCitation":"(Trump et al., 2020)","plainTextFormattedCitation":"(Trump et al., 2020)","previouslyFormattedCitation":"(Trump et al., 2020)"},"properties":{"noteIndex":0},"schema":"https://github.com/citation-style-language/schema/raw/master/csl-citation.json"}</w:instrText>
      </w:r>
      <w:r w:rsidR="00C832AC">
        <w:rPr>
          <w:rFonts w:ascii="Times New Roman" w:hAnsi="Times New Roman"/>
          <w:kern w:val="22"/>
          <w:lang w:eastAsia="hi-IN" w:bidi="hi-IN"/>
        </w:rPr>
        <w:fldChar w:fldCharType="separate"/>
      </w:r>
      <w:r w:rsidR="00C832AC" w:rsidRPr="00C832AC">
        <w:rPr>
          <w:rFonts w:ascii="Times New Roman" w:hAnsi="Times New Roman"/>
          <w:noProof/>
          <w:kern w:val="22"/>
          <w:lang w:eastAsia="hi-IN" w:bidi="hi-IN"/>
        </w:rPr>
        <w:t>(Trump et al., 2020)</w:t>
      </w:r>
      <w:r w:rsidR="00C832AC">
        <w:rPr>
          <w:rFonts w:ascii="Times New Roman" w:hAnsi="Times New Roman"/>
          <w:kern w:val="22"/>
          <w:lang w:eastAsia="hi-IN" w:bidi="hi-IN"/>
        </w:rPr>
        <w:fldChar w:fldCharType="end"/>
      </w:r>
      <w:r w:rsidR="001B7F0E" w:rsidRPr="001B7F0E">
        <w:rPr>
          <w:rFonts w:ascii="Times New Roman" w:hAnsi="Times New Roman"/>
          <w:kern w:val="22"/>
          <w:lang w:eastAsia="hi-IN" w:bidi="hi-IN"/>
        </w:rPr>
        <w:t xml:space="preserve"> and its adoption has also been recommended specifically in the context of technology assessment for synthetic biology to ensure that it not only takes into consideration technical aspects, but also includes societal and ethical issues </w:t>
      </w:r>
      <w:r w:rsidR="007A43B6">
        <w:rPr>
          <w:rFonts w:ascii="Times New Roman" w:hAnsi="Times New Roman"/>
          <w:kern w:val="22"/>
          <w:lang w:eastAsia="hi-IN" w:bidi="hi-IN"/>
        </w:rPr>
        <w:fldChar w:fldCharType="begin" w:fldLock="1"/>
      </w:r>
      <w:r w:rsidR="00324DD9">
        <w:rPr>
          <w:rFonts w:ascii="Times New Roman" w:hAnsi="Times New Roman"/>
          <w:kern w:val="22"/>
          <w:lang w:eastAsia="hi-IN" w:bidi="hi-IN"/>
        </w:rPr>
        <w:instrText>ADDIN CSL_CITATION {"citationItems":[{"id":"ITEM-1","itemData":{"DOI":"10.1042/EBC20160039","ISSN":"0071-1365","abstract":"&lt;p&gt;Synthetic biology is an emerging field at the interface between biology and engineering, which has generated many expectations for beneficial biomedical and biotechnological applications. At the same time, however, it has also raised concerns about risks or the aim of producing new forms of living organisms. Researchers from different disciplines as well as policymakers and the general public have expressed the need for a form of technology assessment that not only deals with technical aspects, but also includes societal and ethical issues. A recent and very influential model of technology assessment that tries to implement these aims is known as RRI (Responsible Research and Innovation). In this paper, we introduce this model and its historical precursor strategies. Based on the societal and ethical issues which are presented in the current literature, we discuss challenges and opportunities of applying the RRI model for the assessment of synthetic biology.&lt;/p&gt;","author":[{"dropping-particle":"","family":"Gregorowius","given":"Daniel","non-dropping-particle":"","parse-names":false,"suffix":""},{"dropping-particle":"","family":"Deplazes-Zemp","given":"Anna","non-dropping-particle":"","parse-names":false,"suffix":""}],"container-title":"Essays in Biochemistry","id":"ITEM-1","issue":"4","issued":{"date-parts":[["2016"]]},"title":"Societal impact of synthetic biology: responsible research and innovation (RRI)","type":"article-journal","volume":"60"},"uris":["http://www.mendeley.com/documents/?uuid=192adb08-6f28-422d-9b6a-cee4de9797e7"]},{"id":"ITEM-2","itemData":{"DOI":"10.1042/EBC20160048","ISSN":"0071-1365","abstract":"&lt;p&gt;In this article we provide a short review of the debate on responsible innovation and its intersection with synthetic biology, focusing on initiatives we have witnessed and been involved with in the UK. First, we describe the ways in which responsibility in science has been reconfigured institutionally, from an internal focus on the provision of objective and reliable knowledge, to a more external view that embraces the ways in which it has an impact on society. Secondly, we introduce a framework for responsible innovation as a (partial) response to this shift, highlighting its constituent dimensions and the capacities and competencies that are needed to put it into practice. Thirdly, we chart the development of social science research on synthetic biology, addressing its evolution from an ‘ethical, legal and social implications’ (ELSI) frame to a responsible innovation frame. Fourthly, we review findings from UK social science research with the synthetic biology community setting out challenges for productive collaboration. And finally, we conclude with suggestions on the need for changes in institutional governance.&lt;/p&gt;","author":[{"dropping-particle":"","family":"Macnaghten","given":"Phil","non-dropping-particle":"","parse-names":false,"suffix":""},{"dropping-particle":"","family":"Owen","given":"Richard","non-dropping-particle":"","parse-names":false,"suffix":""},{"dropping-particle":"","family":"Jackson","given":"Roland","non-dropping-particle":"","parse-names":false,"suffix":""}],"container-title":"Essays in Biochemistry","id":"ITEM-2","issue":"4","issued":{"date-parts":[["2016"]]},"title":"Synthetic biology and the prospects for responsible innovation","type":"article-journal","volume":"60"},"uris":["http://www.mendeley.com/documents/?uuid=bb0bd9d2-5e20-454a-a1be-a5fa2e876344"]}],"mendeley":{"formattedCitation":"(Gregorowius &amp; Deplazes-Zemp, 2016; Macnaghten et al., 2016)","plainTextFormattedCitation":"(Gregorowius &amp; Deplazes-Zemp, 2016; Macnaghten et al., 2016)","previouslyFormattedCitation":"(Gregorowius &amp; Deplazes-Zemp, 2016; Macnaghten et al., 2016)"},"properties":{"noteIndex":0},"schema":"https://github.com/citation-style-language/schema/raw/master/csl-citation.json"}</w:instrText>
      </w:r>
      <w:r w:rsidR="007A43B6">
        <w:rPr>
          <w:rFonts w:ascii="Times New Roman" w:hAnsi="Times New Roman"/>
          <w:kern w:val="22"/>
          <w:lang w:eastAsia="hi-IN" w:bidi="hi-IN"/>
        </w:rPr>
        <w:fldChar w:fldCharType="separate"/>
      </w:r>
      <w:r w:rsidR="007A43B6" w:rsidRPr="007A43B6">
        <w:rPr>
          <w:rFonts w:ascii="Times New Roman" w:hAnsi="Times New Roman"/>
          <w:noProof/>
          <w:kern w:val="22"/>
          <w:lang w:eastAsia="hi-IN" w:bidi="hi-IN"/>
        </w:rPr>
        <w:t>(Gregorowius &amp; Deplazes-Zemp, 2016; Macnaghten et al., 2016)</w:t>
      </w:r>
      <w:r w:rsidR="007A43B6">
        <w:rPr>
          <w:rFonts w:ascii="Times New Roman" w:hAnsi="Times New Roman"/>
          <w:kern w:val="22"/>
          <w:lang w:eastAsia="hi-IN" w:bidi="hi-IN"/>
        </w:rPr>
        <w:fldChar w:fldCharType="end"/>
      </w:r>
      <w:r w:rsidR="001B7F0E" w:rsidRPr="001B7F0E">
        <w:rPr>
          <w:rFonts w:ascii="Times New Roman" w:hAnsi="Times New Roman"/>
          <w:kern w:val="22"/>
          <w:lang w:eastAsia="hi-IN" w:bidi="hi-IN"/>
        </w:rPr>
        <w:t xml:space="preserve">. Comparable approaches are also evident in recommendations for the use of so called “Governance Coordinating Committees” and principles of transparency, accountability, integrity, and capacity in the governance of </w:t>
      </w:r>
      <w:r w:rsidR="00A301D7">
        <w:rPr>
          <w:rFonts w:ascii="Times New Roman" w:hAnsi="Times New Roman"/>
          <w:kern w:val="22"/>
          <w:lang w:eastAsia="hi-IN" w:bidi="hi-IN"/>
        </w:rPr>
        <w:t>for instance</w:t>
      </w:r>
      <w:r w:rsidR="00F81C66">
        <w:rPr>
          <w:rFonts w:ascii="Times New Roman" w:hAnsi="Times New Roman"/>
          <w:kern w:val="22"/>
          <w:lang w:eastAsia="hi-IN" w:bidi="hi-IN"/>
        </w:rPr>
        <w:t>,</w:t>
      </w:r>
      <w:r w:rsidR="00A301D7">
        <w:rPr>
          <w:rFonts w:ascii="Times New Roman" w:hAnsi="Times New Roman"/>
          <w:kern w:val="22"/>
          <w:lang w:eastAsia="hi-IN" w:bidi="hi-IN"/>
        </w:rPr>
        <w:t xml:space="preserve"> the </w:t>
      </w:r>
      <w:r w:rsidR="001B7F0E" w:rsidRPr="001B7F0E">
        <w:rPr>
          <w:rFonts w:ascii="Times New Roman" w:hAnsi="Times New Roman"/>
          <w:kern w:val="22"/>
          <w:lang w:eastAsia="hi-IN" w:bidi="hi-IN"/>
        </w:rPr>
        <w:t xml:space="preserve">release of engineered gene drive mosquitoes as one strategy to address the lack of precedent and to address regulatory gaps and overlaps </w:t>
      </w:r>
      <w:r w:rsidR="00324DD9">
        <w:rPr>
          <w:rFonts w:ascii="Times New Roman" w:hAnsi="Times New Roman"/>
          <w:kern w:val="22"/>
          <w:lang w:eastAsia="hi-IN" w:bidi="hi-IN"/>
        </w:rPr>
        <w:fldChar w:fldCharType="begin" w:fldLock="1"/>
      </w:r>
      <w:r w:rsidR="00324DD9">
        <w:rPr>
          <w:rFonts w:ascii="Times New Roman" w:hAnsi="Times New Roman"/>
          <w:kern w:val="22"/>
          <w:lang w:eastAsia="hi-IN" w:bidi="hi-IN"/>
        </w:rPr>
        <w:instrText>ADDIN CSL_CITATION {"citationItems":[{"id":"ITEM-1","itemData":{"DOI":"10.4269/ajtmh.19-0941","ISSN":"14761645","PMID":"32748773","abstract":"Gene drive technologies represent powerful tools to develop vector control strategies that will complement the current approaches to mitigate arthropod-borne infectious diseases. The characteristics of gene drive technologies have raised additional concerns to those for standard genetically engineered organisms. This generates a need for adaptive governance that has not been met yet because of the rapid rate of progress in gene drive research. For the eventual release of gene drive insects into wild populations, an international governance network would be helpful in guiding scientists, stakeholders, public opinion, and affected communities in its use. We examined the current institutions and governing bodies among various continents that could have an impact on gene drive governance or the potential to adapt to its future use. Possible governance strategies also are proposed that seek to bridge gaps and promote an ethically sound policy framework. Ideally, governance strategies should be developed before or at the same pace as gene drive research to anticipate field releases and maximize their impact as a public health tool. However, this is not likely to happen as it takes years to develop global accords, and some countries may choose to move ahead independently on the new technology.","author":[{"dropping-particle":"","family":"Kelsey","given":"Adam","non-dropping-particle":"","parse-names":false,"suffix":""},{"dropping-particle":"","family":"Stillinger","given":"Drusilla","non-dropping-particle":"","parse-names":false,"suffix":""},{"dropping-particle":"","family":"Pham","given":"Thai Binh","non-dropping-particle":"","parse-names":false,"suffix":""},{"dropping-particle":"","family":"Murphy","given":"Jazmin","non-dropping-particle":"","parse-names":false,"suffix":""},{"dropping-particle":"","family":"Firth","given":"Sean","non-dropping-particle":"","parse-names":false,"suffix":""},{"dropping-particle":"","family":"Carballar-Lejarazú","given":"Rebeca","non-dropping-particle":"","parse-names":false,"suffix":""}],"container-title":"American Journal of Tropical Medicine and Hygiene","id":"ITEM-1","issue":"3","issued":{"date-parts":[["2020"]]},"page":"976-985","publisher":"American Society of Tropical Medicine and Hygiene","title":"Global governing bodies: A pathway for gene drive governance for vector mosquito control","type":"article","volume":"103"},"uris":["http://www.mendeley.com/documents/?uuid=c9c6eb17-3d10-4dbb-b625-7002f1d54551"]}],"mendeley":{"formattedCitation":"(Kelsey et al., 2020)","plainTextFormattedCitation":"(Kelsey et al., 2020)","previouslyFormattedCitation":"(Kelsey et al., 2020)"},"properties":{"noteIndex":0},"schema":"https://github.com/citation-style-language/schema/raw/master/csl-citation.json"}</w:instrText>
      </w:r>
      <w:r w:rsidR="00324DD9">
        <w:rPr>
          <w:rFonts w:ascii="Times New Roman" w:hAnsi="Times New Roman"/>
          <w:kern w:val="22"/>
          <w:lang w:eastAsia="hi-IN" w:bidi="hi-IN"/>
        </w:rPr>
        <w:fldChar w:fldCharType="separate"/>
      </w:r>
      <w:r w:rsidR="00324DD9" w:rsidRPr="00324DD9">
        <w:rPr>
          <w:rFonts w:ascii="Times New Roman" w:hAnsi="Times New Roman"/>
          <w:noProof/>
          <w:kern w:val="22"/>
          <w:lang w:eastAsia="hi-IN" w:bidi="hi-IN"/>
        </w:rPr>
        <w:t>(Kelsey et al., 2020)</w:t>
      </w:r>
      <w:r w:rsidR="00324DD9">
        <w:rPr>
          <w:rFonts w:ascii="Times New Roman" w:hAnsi="Times New Roman"/>
          <w:kern w:val="22"/>
          <w:lang w:eastAsia="hi-IN" w:bidi="hi-IN"/>
        </w:rPr>
        <w:fldChar w:fldCharType="end"/>
      </w:r>
      <w:r w:rsidR="001B7F0E" w:rsidRPr="001B7F0E">
        <w:rPr>
          <w:rFonts w:ascii="Times New Roman" w:hAnsi="Times New Roman"/>
          <w:kern w:val="22"/>
          <w:lang w:eastAsia="hi-IN" w:bidi="hi-IN"/>
        </w:rPr>
        <w:t xml:space="preserve">. Such novel mechanisms are suggested as a means of better equipping the international governance framework as to enhance oversight of future field testing and public trust concerning emerging technologies. As such, they help inform modalities for participatory decision-making and are therefore particularly relevant in the context of FPIC of IPLC under the Convention and has recently been underscored in </w:t>
      </w:r>
      <w:r w:rsidR="001B7F0E" w:rsidRPr="001B7F0E">
        <w:rPr>
          <w:rFonts w:ascii="Times New Roman" w:hAnsi="Times New Roman"/>
          <w:bCs/>
          <w:kern w:val="22"/>
          <w:lang w:eastAsia="hi-IN" w:bidi="hi-IN"/>
        </w:rPr>
        <w:t>COP decision 14/19.</w:t>
      </w:r>
    </w:p>
    <w:p w14:paraId="49847D5D" w14:textId="0EF392DA" w:rsidR="00F41228" w:rsidRDefault="001B7F0E" w:rsidP="002A2514">
      <w:pPr>
        <w:suppressAutoHyphens/>
        <w:spacing w:after="120" w:line="240" w:lineRule="auto"/>
        <w:jc w:val="both"/>
        <w:rPr>
          <w:rFonts w:ascii="Times New Roman" w:hAnsi="Times New Roman"/>
          <w:bCs/>
          <w:kern w:val="22"/>
          <w:lang w:eastAsia="hi-IN" w:bidi="hi-IN"/>
        </w:rPr>
      </w:pPr>
      <w:r w:rsidRPr="001B7F0E">
        <w:rPr>
          <w:rFonts w:ascii="Times New Roman" w:hAnsi="Times New Roman"/>
          <w:bCs/>
          <w:kern w:val="22"/>
          <w:lang w:eastAsia="hi-IN" w:bidi="hi-IN"/>
        </w:rPr>
        <w:t>There is evidence of scientific research addressing community engagement in field trials</w:t>
      </w:r>
      <w:r w:rsidR="007E1364">
        <w:rPr>
          <w:rFonts w:ascii="Times New Roman" w:hAnsi="Times New Roman"/>
          <w:bCs/>
          <w:kern w:val="22"/>
          <w:lang w:eastAsia="hi-IN" w:bidi="hi-IN"/>
        </w:rPr>
        <w:t>,</w:t>
      </w:r>
      <w:r w:rsidRPr="001B7F0E">
        <w:rPr>
          <w:rFonts w:ascii="Times New Roman" w:hAnsi="Times New Roman"/>
          <w:bCs/>
          <w:kern w:val="22"/>
          <w:lang w:eastAsia="hi-IN" w:bidi="hi-IN"/>
        </w:rPr>
        <w:t xml:space="preserve"> concerning </w:t>
      </w:r>
      <w:r w:rsidR="007E1364">
        <w:rPr>
          <w:rFonts w:ascii="Times New Roman" w:hAnsi="Times New Roman"/>
          <w:bCs/>
          <w:kern w:val="22"/>
          <w:lang w:eastAsia="hi-IN" w:bidi="hi-IN"/>
        </w:rPr>
        <w:t>for instance</w:t>
      </w:r>
      <w:r w:rsidRPr="001B7F0E">
        <w:rPr>
          <w:rFonts w:ascii="Times New Roman" w:hAnsi="Times New Roman"/>
          <w:bCs/>
          <w:kern w:val="22"/>
          <w:lang w:eastAsia="hi-IN" w:bidi="hi-IN"/>
        </w:rPr>
        <w:t xml:space="preserve"> engineered gene drive</w:t>
      </w:r>
      <w:r w:rsidR="00F41228">
        <w:rPr>
          <w:rFonts w:ascii="Times New Roman" w:hAnsi="Times New Roman"/>
          <w:bCs/>
          <w:kern w:val="22"/>
          <w:lang w:eastAsia="hi-IN" w:bidi="hi-IN"/>
        </w:rPr>
        <w:t xml:space="preserve"> </w:t>
      </w:r>
      <w:r w:rsidRPr="001B7F0E">
        <w:rPr>
          <w:rFonts w:ascii="Times New Roman" w:hAnsi="Times New Roman"/>
          <w:bCs/>
          <w:kern w:val="22"/>
          <w:lang w:eastAsia="hi-IN" w:bidi="hi-IN"/>
        </w:rPr>
        <w:t>organisms</w:t>
      </w:r>
      <w:r w:rsidR="00375B71">
        <w:rPr>
          <w:rFonts w:ascii="Times New Roman" w:hAnsi="Times New Roman"/>
          <w:bCs/>
          <w:kern w:val="22"/>
          <w:lang w:eastAsia="hi-IN" w:bidi="hi-IN"/>
        </w:rPr>
        <w:t xml:space="preserve"> (i.e </w:t>
      </w:r>
      <w:r w:rsidR="00D33C28">
        <w:rPr>
          <w:rFonts w:ascii="Times New Roman" w:hAnsi="Times New Roman"/>
          <w:bCs/>
          <w:kern w:val="22"/>
          <w:lang w:eastAsia="hi-IN" w:bidi="hi-IN"/>
        </w:rPr>
        <w:t>for malaria control)</w:t>
      </w:r>
      <w:r w:rsidR="00FD2A58">
        <w:rPr>
          <w:rFonts w:ascii="Times New Roman" w:hAnsi="Times New Roman"/>
          <w:bCs/>
          <w:kern w:val="22"/>
          <w:lang w:eastAsia="hi-IN" w:bidi="hi-IN"/>
        </w:rPr>
        <w:t xml:space="preserve">. </w:t>
      </w:r>
      <w:r w:rsidR="00D33C28">
        <w:rPr>
          <w:rFonts w:ascii="Times New Roman" w:hAnsi="Times New Roman"/>
          <w:bCs/>
          <w:kern w:val="22"/>
          <w:lang w:eastAsia="hi-IN" w:bidi="hi-IN"/>
        </w:rPr>
        <w:t>O</w:t>
      </w:r>
      <w:r w:rsidR="00FD2A58">
        <w:rPr>
          <w:rFonts w:ascii="Times New Roman" w:hAnsi="Times New Roman"/>
          <w:bCs/>
          <w:kern w:val="22"/>
          <w:lang w:eastAsia="hi-IN" w:bidi="hi-IN"/>
        </w:rPr>
        <w:t xml:space="preserve">ther efforts </w:t>
      </w:r>
      <w:r w:rsidR="003A3B49">
        <w:rPr>
          <w:rFonts w:ascii="Times New Roman" w:hAnsi="Times New Roman"/>
          <w:bCs/>
          <w:kern w:val="22"/>
          <w:lang w:eastAsia="hi-IN" w:bidi="hi-IN"/>
        </w:rPr>
        <w:t>are proving that</w:t>
      </w:r>
      <w:r w:rsidR="00F41228">
        <w:rPr>
          <w:rFonts w:ascii="Times New Roman" w:hAnsi="Times New Roman"/>
          <w:bCs/>
          <w:kern w:val="22"/>
          <w:lang w:eastAsia="hi-IN" w:bidi="hi-IN"/>
        </w:rPr>
        <w:t xml:space="preserve"> </w:t>
      </w:r>
      <w:r w:rsidR="003A3B49">
        <w:rPr>
          <w:rFonts w:ascii="Times New Roman" w:hAnsi="Times New Roman"/>
          <w:bCs/>
          <w:kern w:val="22"/>
          <w:lang w:eastAsia="hi-IN" w:bidi="hi-IN"/>
        </w:rPr>
        <w:t>t</w:t>
      </w:r>
      <w:r w:rsidR="00F41228" w:rsidRPr="00F41228">
        <w:rPr>
          <w:rFonts w:ascii="Times New Roman" w:hAnsi="Times New Roman"/>
          <w:bCs/>
          <w:kern w:val="22"/>
          <w:lang w:eastAsia="hi-IN" w:bidi="hi-IN"/>
        </w:rPr>
        <w:t xml:space="preserve">echnology development </w:t>
      </w:r>
      <w:r w:rsidR="003A3B49">
        <w:rPr>
          <w:rFonts w:ascii="Times New Roman" w:hAnsi="Times New Roman"/>
          <w:bCs/>
          <w:kern w:val="22"/>
          <w:lang w:eastAsia="hi-IN" w:bidi="hi-IN"/>
        </w:rPr>
        <w:t>could be</w:t>
      </w:r>
      <w:r w:rsidR="00F41228" w:rsidRPr="00F41228">
        <w:rPr>
          <w:rFonts w:ascii="Times New Roman" w:hAnsi="Times New Roman"/>
          <w:bCs/>
          <w:kern w:val="22"/>
          <w:lang w:eastAsia="hi-IN" w:bidi="hi-IN"/>
        </w:rPr>
        <w:t xml:space="preserve"> shaped</w:t>
      </w:r>
      <w:r w:rsidR="00267564">
        <w:rPr>
          <w:rFonts w:ascii="Times New Roman" w:hAnsi="Times New Roman"/>
          <w:bCs/>
          <w:kern w:val="22"/>
          <w:lang w:eastAsia="hi-IN" w:bidi="hi-IN"/>
        </w:rPr>
        <w:t xml:space="preserve"> at an early stage</w:t>
      </w:r>
      <w:r w:rsidR="00F41228" w:rsidRPr="00F41228">
        <w:rPr>
          <w:rFonts w:ascii="Times New Roman" w:hAnsi="Times New Roman"/>
          <w:bCs/>
          <w:kern w:val="22"/>
          <w:lang w:eastAsia="hi-IN" w:bidi="hi-IN"/>
        </w:rPr>
        <w:t xml:space="preserve"> by engagement with community members</w:t>
      </w:r>
      <w:r w:rsidR="00267564">
        <w:rPr>
          <w:rFonts w:ascii="Times New Roman" w:hAnsi="Times New Roman"/>
          <w:bCs/>
          <w:kern w:val="22"/>
          <w:lang w:eastAsia="hi-IN" w:bidi="hi-IN"/>
        </w:rPr>
        <w:t>.</w:t>
      </w:r>
      <w:r w:rsidR="003A3B49">
        <w:rPr>
          <w:rFonts w:ascii="Times New Roman" w:hAnsi="Times New Roman"/>
          <w:bCs/>
          <w:kern w:val="22"/>
          <w:lang w:eastAsia="hi-IN" w:bidi="hi-IN"/>
        </w:rPr>
        <w:t xml:space="preserve"> </w:t>
      </w:r>
      <w:r w:rsidR="00267564">
        <w:rPr>
          <w:rFonts w:ascii="Times New Roman" w:hAnsi="Times New Roman"/>
          <w:bCs/>
          <w:kern w:val="22"/>
          <w:lang w:eastAsia="hi-IN" w:bidi="hi-IN"/>
        </w:rPr>
        <w:t xml:space="preserve">This </w:t>
      </w:r>
      <w:r w:rsidR="003A3B49">
        <w:rPr>
          <w:rFonts w:ascii="Times New Roman" w:hAnsi="Times New Roman"/>
          <w:bCs/>
          <w:kern w:val="22"/>
          <w:lang w:eastAsia="hi-IN" w:bidi="hi-IN"/>
        </w:rPr>
        <w:t xml:space="preserve">is </w:t>
      </w:r>
      <w:r w:rsidR="00F41228" w:rsidRPr="00F41228">
        <w:rPr>
          <w:rFonts w:ascii="Times New Roman" w:hAnsi="Times New Roman"/>
          <w:bCs/>
          <w:kern w:val="22"/>
          <w:lang w:eastAsia="hi-IN" w:bidi="hi-IN"/>
        </w:rPr>
        <w:t xml:space="preserve">the </w:t>
      </w:r>
      <w:r w:rsidR="003A3B49">
        <w:rPr>
          <w:rFonts w:ascii="Times New Roman" w:hAnsi="Times New Roman"/>
          <w:bCs/>
          <w:kern w:val="22"/>
          <w:lang w:eastAsia="hi-IN" w:bidi="hi-IN"/>
        </w:rPr>
        <w:t xml:space="preserve">case of </w:t>
      </w:r>
      <w:r w:rsidR="00D33C28">
        <w:rPr>
          <w:rFonts w:ascii="Times New Roman" w:hAnsi="Times New Roman"/>
          <w:bCs/>
          <w:kern w:val="22"/>
          <w:lang w:eastAsia="hi-IN" w:bidi="hi-IN"/>
        </w:rPr>
        <w:t>the development of gene</w:t>
      </w:r>
      <w:r w:rsidR="00690544">
        <w:rPr>
          <w:rFonts w:ascii="Times New Roman" w:hAnsi="Times New Roman"/>
          <w:bCs/>
          <w:kern w:val="22"/>
          <w:lang w:eastAsia="hi-IN" w:bidi="hi-IN"/>
        </w:rPr>
        <w:t>-</w:t>
      </w:r>
      <w:r w:rsidR="00D33C28">
        <w:rPr>
          <w:rFonts w:ascii="Times New Roman" w:hAnsi="Times New Roman"/>
          <w:bCs/>
          <w:kern w:val="22"/>
          <w:lang w:eastAsia="hi-IN" w:bidi="hi-IN"/>
        </w:rPr>
        <w:t>edited mice with</w:t>
      </w:r>
      <w:r w:rsidR="003A3B49">
        <w:rPr>
          <w:rFonts w:ascii="Times New Roman" w:hAnsi="Times New Roman"/>
          <w:bCs/>
          <w:kern w:val="22"/>
          <w:lang w:eastAsia="hi-IN" w:bidi="hi-IN"/>
        </w:rPr>
        <w:t xml:space="preserve"> </w:t>
      </w:r>
      <w:r w:rsidR="00D33C28" w:rsidRPr="00D33C28">
        <w:rPr>
          <w:rFonts w:ascii="Times New Roman" w:hAnsi="Times New Roman"/>
          <w:bCs/>
          <w:kern w:val="22"/>
          <w:lang w:eastAsia="hi-IN" w:bidi="hi-IN"/>
        </w:rPr>
        <w:t>heritable resistance to tick-borne diseases</w:t>
      </w:r>
      <w:r w:rsidR="00D33C28">
        <w:rPr>
          <w:rFonts w:ascii="Times New Roman" w:hAnsi="Times New Roman"/>
          <w:bCs/>
          <w:kern w:val="22"/>
          <w:lang w:eastAsia="hi-IN" w:bidi="hi-IN"/>
        </w:rPr>
        <w:t xml:space="preserve">, where the </w:t>
      </w:r>
      <w:r w:rsidR="00CF0D39">
        <w:rPr>
          <w:rFonts w:ascii="Times New Roman" w:hAnsi="Times New Roman"/>
          <w:bCs/>
          <w:kern w:val="22"/>
          <w:lang w:eastAsia="hi-IN" w:bidi="hi-IN"/>
        </w:rPr>
        <w:t xml:space="preserve">researchers had considered the views, preferences and needs of the community in designing their </w:t>
      </w:r>
      <w:r w:rsidR="00A87D64">
        <w:rPr>
          <w:rFonts w:ascii="Times New Roman" w:hAnsi="Times New Roman"/>
          <w:bCs/>
          <w:kern w:val="22"/>
          <w:lang w:eastAsia="hi-IN" w:bidi="hi-IN"/>
        </w:rPr>
        <w:t>approach.</w:t>
      </w:r>
      <w:r w:rsidR="00F41228" w:rsidRPr="00F41228">
        <w:rPr>
          <w:rFonts w:ascii="Times New Roman" w:hAnsi="Times New Roman"/>
          <w:bCs/>
          <w:kern w:val="22"/>
          <w:lang w:eastAsia="hi-IN" w:bidi="hi-IN"/>
        </w:rPr>
        <w:t xml:space="preserve"> This engagement process has prompted the researchers to use only white-footed mouse DNA, meaning the current project will not involve gene drive</w:t>
      </w:r>
      <w:r w:rsidR="00205521">
        <w:rPr>
          <w:rFonts w:ascii="Times New Roman" w:hAnsi="Times New Roman"/>
          <w:bCs/>
          <w:kern w:val="22"/>
          <w:lang w:eastAsia="hi-IN" w:bidi="hi-IN"/>
        </w:rPr>
        <w:t>s</w:t>
      </w:r>
      <w:r w:rsidR="00F41228" w:rsidRPr="00F41228">
        <w:rPr>
          <w:rFonts w:ascii="Times New Roman" w:hAnsi="Times New Roman"/>
          <w:bCs/>
          <w:kern w:val="22"/>
          <w:lang w:eastAsia="hi-IN" w:bidi="hi-IN"/>
        </w:rPr>
        <w:t xml:space="preserve">. </w:t>
      </w:r>
      <w:r w:rsidR="00DC610B">
        <w:rPr>
          <w:rFonts w:ascii="Times New Roman" w:hAnsi="Times New Roman"/>
          <w:bCs/>
          <w:kern w:val="22"/>
          <w:lang w:eastAsia="hi-IN" w:bidi="hi-IN"/>
        </w:rPr>
        <w:t>Through th</w:t>
      </w:r>
      <w:r w:rsidR="00205521">
        <w:rPr>
          <w:rFonts w:ascii="Times New Roman" w:hAnsi="Times New Roman"/>
          <w:bCs/>
          <w:kern w:val="22"/>
          <w:lang w:eastAsia="hi-IN" w:bidi="hi-IN"/>
        </w:rPr>
        <w:t>is</w:t>
      </w:r>
      <w:r w:rsidR="00DC610B">
        <w:rPr>
          <w:rFonts w:ascii="Times New Roman" w:hAnsi="Times New Roman"/>
          <w:bCs/>
          <w:kern w:val="22"/>
          <w:lang w:eastAsia="hi-IN" w:bidi="hi-IN"/>
        </w:rPr>
        <w:t xml:space="preserve"> process, c</w:t>
      </w:r>
      <w:r w:rsidR="00F41228" w:rsidRPr="00F41228">
        <w:rPr>
          <w:rFonts w:ascii="Times New Roman" w:hAnsi="Times New Roman"/>
          <w:bCs/>
          <w:kern w:val="22"/>
          <w:lang w:eastAsia="hi-IN" w:bidi="hi-IN"/>
        </w:rPr>
        <w:t xml:space="preserve">ommunity members </w:t>
      </w:r>
      <w:r w:rsidR="00DC610B">
        <w:rPr>
          <w:rFonts w:ascii="Times New Roman" w:hAnsi="Times New Roman"/>
          <w:bCs/>
          <w:kern w:val="22"/>
          <w:lang w:eastAsia="hi-IN" w:bidi="hi-IN"/>
        </w:rPr>
        <w:t>were</w:t>
      </w:r>
      <w:r w:rsidR="00F41228" w:rsidRPr="00F41228">
        <w:rPr>
          <w:rFonts w:ascii="Times New Roman" w:hAnsi="Times New Roman"/>
          <w:bCs/>
          <w:kern w:val="22"/>
          <w:lang w:eastAsia="hi-IN" w:bidi="hi-IN"/>
        </w:rPr>
        <w:t xml:space="preserve"> continually </w:t>
      </w:r>
      <w:r w:rsidR="00DC610B">
        <w:rPr>
          <w:rFonts w:ascii="Times New Roman" w:hAnsi="Times New Roman"/>
          <w:bCs/>
          <w:kern w:val="22"/>
          <w:lang w:eastAsia="hi-IN" w:bidi="hi-IN"/>
        </w:rPr>
        <w:t>engaged and given the opportunity</w:t>
      </w:r>
      <w:r w:rsidR="00F41228" w:rsidRPr="00F41228">
        <w:rPr>
          <w:rFonts w:ascii="Times New Roman" w:hAnsi="Times New Roman"/>
          <w:bCs/>
          <w:kern w:val="22"/>
          <w:lang w:eastAsia="hi-IN" w:bidi="hi-IN"/>
        </w:rPr>
        <w:t xml:space="preserve"> to share their suggestions and concerns</w:t>
      </w:r>
      <w:r w:rsidR="00AF01A9">
        <w:rPr>
          <w:rFonts w:ascii="Times New Roman" w:hAnsi="Times New Roman"/>
          <w:bCs/>
          <w:kern w:val="22"/>
          <w:lang w:eastAsia="hi-IN" w:bidi="hi-IN"/>
        </w:rPr>
        <w:t>;</w:t>
      </w:r>
      <w:r w:rsidR="00F41228" w:rsidRPr="00F41228">
        <w:rPr>
          <w:rFonts w:ascii="Times New Roman" w:hAnsi="Times New Roman"/>
          <w:bCs/>
          <w:kern w:val="22"/>
          <w:lang w:eastAsia="hi-IN" w:bidi="hi-IN"/>
        </w:rPr>
        <w:t xml:space="preserve"> a process that has already identified potential ecological consequences unanticipated by the research team that will likely affect implementation</w:t>
      </w:r>
      <w:r w:rsidR="00DC610B">
        <w:rPr>
          <w:rFonts w:ascii="Times New Roman" w:hAnsi="Times New Roman"/>
          <w:bCs/>
          <w:kern w:val="22"/>
          <w:lang w:eastAsia="hi-IN" w:bidi="hi-IN"/>
        </w:rPr>
        <w:t xml:space="preserve"> </w:t>
      </w:r>
      <w:r w:rsidR="00324DD9">
        <w:rPr>
          <w:rFonts w:ascii="Times New Roman" w:hAnsi="Times New Roman"/>
          <w:bCs/>
          <w:kern w:val="22"/>
          <w:lang w:eastAsia="hi-IN" w:bidi="hi-IN"/>
        </w:rPr>
        <w:fldChar w:fldCharType="begin" w:fldLock="1"/>
      </w:r>
      <w:r w:rsidR="001655FB">
        <w:rPr>
          <w:rFonts w:ascii="Times New Roman" w:hAnsi="Times New Roman"/>
          <w:bCs/>
          <w:kern w:val="22"/>
          <w:lang w:eastAsia="hi-IN" w:bidi="hi-IN"/>
        </w:rPr>
        <w:instrText>ADDIN CSL_CITATION {"citationItems":[{"id":"ITEM-1","itemData":{"DOI":"10.1098/rstb.2018.0105","ISSN":"0962-8436","author":[{"dropping-particle":"","family":"Buchthal","given":"Joanna","non-dropping-particle":"","parse-names":false,"suffix":""},{"dropping-particle":"","family":"Evans","given":"Sam Weiss","non-dropping-particle":"","parse-names":false,"suffix":""},{"dropping-particle":"","family":"Lunshof","given":"Jeantine","non-dropping-particle":"","parse-names":false,"suffix":""},{"dropping-particle":"","family":"Telford","given":"Sam R.","non-dropping-particle":"","parse-names":false,"suffix":""},{"dropping-particle":"","family":"Esvelt","given":"Kevin M.","non-dropping-particle":"","parse-names":false,"suffix":""}],"container-title":"Philosophical Transactions of the Royal Society B: Biological Sciences","id":"ITEM-1","issue":"1772","issued":{"date-parts":[["2019","5","13"]]},"page":"20180105","title":"Mice Against Ticks: an experimental community-guided effort to prevent tick-borne disease by altering the shared environment","type":"article-journal","volume":"374"},"uris":["http://www.mendeley.com/documents/?uuid=2b9b77b7-a794-4534-ba3b-80f9f5c2c666"]}],"mendeley":{"formattedCitation":"(Buchthal et al., 2019)","plainTextFormattedCitation":"(Buchthal et al., 2019)","previouslyFormattedCitation":"(Buchthal et al., 2019)"},"properties":{"noteIndex":0},"schema":"https://github.com/citation-style-language/schema/raw/master/csl-citation.json"}</w:instrText>
      </w:r>
      <w:r w:rsidR="00324DD9">
        <w:rPr>
          <w:rFonts w:ascii="Times New Roman" w:hAnsi="Times New Roman"/>
          <w:bCs/>
          <w:kern w:val="22"/>
          <w:lang w:eastAsia="hi-IN" w:bidi="hi-IN"/>
        </w:rPr>
        <w:fldChar w:fldCharType="separate"/>
      </w:r>
      <w:r w:rsidR="00324DD9" w:rsidRPr="00324DD9">
        <w:rPr>
          <w:rFonts w:ascii="Times New Roman" w:hAnsi="Times New Roman"/>
          <w:bCs/>
          <w:noProof/>
          <w:kern w:val="22"/>
          <w:lang w:eastAsia="hi-IN" w:bidi="hi-IN"/>
        </w:rPr>
        <w:t>(Buchthal et al., 2019)</w:t>
      </w:r>
      <w:r w:rsidR="00324DD9">
        <w:rPr>
          <w:rFonts w:ascii="Times New Roman" w:hAnsi="Times New Roman"/>
          <w:bCs/>
          <w:kern w:val="22"/>
          <w:lang w:eastAsia="hi-IN" w:bidi="hi-IN"/>
        </w:rPr>
        <w:fldChar w:fldCharType="end"/>
      </w:r>
      <w:r w:rsidR="002A2514">
        <w:rPr>
          <w:rFonts w:ascii="Times New Roman" w:hAnsi="Times New Roman"/>
          <w:bCs/>
          <w:kern w:val="22"/>
          <w:lang w:eastAsia="hi-IN" w:bidi="hi-IN"/>
        </w:rPr>
        <w:t>.</w:t>
      </w:r>
    </w:p>
    <w:p w14:paraId="3F72B78B" w14:textId="06FAD79F" w:rsidR="00B11A03" w:rsidRPr="00B11A03" w:rsidRDefault="009C6B68" w:rsidP="00B11A03">
      <w:pPr>
        <w:suppressAutoHyphens/>
        <w:spacing w:after="120" w:line="240" w:lineRule="auto"/>
        <w:jc w:val="both"/>
        <w:rPr>
          <w:rFonts w:ascii="Times New Roman" w:hAnsi="Times New Roman"/>
          <w:kern w:val="22"/>
          <w:lang w:eastAsia="hi-IN" w:bidi="hi-IN"/>
        </w:rPr>
      </w:pPr>
      <w:r w:rsidRPr="73F2CB70">
        <w:rPr>
          <w:rFonts w:ascii="Times New Roman" w:hAnsi="Times New Roman"/>
          <w:kern w:val="22"/>
          <w:lang w:eastAsia="hi-IN" w:bidi="hi-IN"/>
        </w:rPr>
        <w:t>Community</w:t>
      </w:r>
      <w:r w:rsidR="00DD1C87" w:rsidRPr="73F2CB70">
        <w:rPr>
          <w:rFonts w:ascii="Times New Roman" w:hAnsi="Times New Roman"/>
          <w:kern w:val="22"/>
          <w:lang w:eastAsia="hi-IN" w:bidi="hi-IN"/>
        </w:rPr>
        <w:t xml:space="preserve"> engagement is</w:t>
      </w:r>
      <w:r w:rsidR="001B7F0E" w:rsidRPr="73F2CB70">
        <w:rPr>
          <w:rFonts w:ascii="Times New Roman" w:hAnsi="Times New Roman"/>
          <w:kern w:val="22"/>
          <w:lang w:eastAsia="hi-IN" w:bidi="hi-IN"/>
        </w:rPr>
        <w:t xml:space="preserve"> rooted </w:t>
      </w:r>
      <w:r w:rsidR="006B7DBA" w:rsidRPr="73F2CB70">
        <w:rPr>
          <w:rFonts w:ascii="Times New Roman" w:hAnsi="Times New Roman"/>
          <w:kern w:val="22"/>
          <w:lang w:eastAsia="hi-IN" w:bidi="hi-IN"/>
        </w:rPr>
        <w:t xml:space="preserve">in </w:t>
      </w:r>
      <w:r w:rsidR="001B7F0E" w:rsidRPr="73F2CB70">
        <w:rPr>
          <w:rFonts w:ascii="Times New Roman" w:hAnsi="Times New Roman"/>
          <w:kern w:val="22"/>
          <w:lang w:eastAsia="hi-IN" w:bidi="hi-IN"/>
        </w:rPr>
        <w:t xml:space="preserve">established ethical principles concerning prior informed consent concerning human research subjects </w:t>
      </w:r>
      <w:r w:rsidR="001655FB">
        <w:rPr>
          <w:rFonts w:ascii="Times New Roman" w:hAnsi="Times New Roman"/>
          <w:kern w:val="22"/>
          <w:lang w:eastAsia="hi-IN" w:bidi="hi-IN"/>
        </w:rPr>
        <w:fldChar w:fldCharType="begin" w:fldLock="1"/>
      </w:r>
      <w:r w:rsidR="00FA6D05">
        <w:rPr>
          <w:rFonts w:ascii="Times New Roman" w:hAnsi="Times New Roman"/>
          <w:kern w:val="22"/>
          <w:lang w:eastAsia="hi-IN" w:bidi="hi-IN"/>
        </w:rPr>
        <w:instrText>ADDIN CSL_CITATION {"citationItems":[{"id":"ITEM-1","itemData":{"DOI":"10.1111/dewb.12147","ISSN":"14718847","PMID":"28470752","abstract":"Effective community engagement is an important legal, ethical, and practical prerequisite for conducting field trials of genetically modified mosquitoes, because these studies can substantially impact communities and it is usually not possible to obtain informed consent from each community member. Researchers who are planning to conduct field trials should develop a robust community engagement strategy that meets widely recognized standards for seeking approval from the affected population, such as timeliness, consent, information sharing, transparency, understanding, responsiveness, mutual understanding, inclusiveness, and respectfulness. Additional research is needed on the effectiveness of different methods of engaging communities in field trials of genetically modified mosquitoes and how to respond to public opposition to genetically modified organisms. For research programs involving the genetic modification of disease vectors to move forward, they must have public acceptance and support, which cannot be achieved without effective community engagement.","author":[{"dropping-particle":"","family":"Resnik","given":"David B","non-dropping-particle":"","parse-names":false,"suffix":""}],"container-title":"Developing World Bioethics","id":"ITEM-1","issue":"2","issued":{"date-parts":[["2018"]]},"page":"135-143","publisher":"Blackwell Publishing Ltd","title":"Ethics of community engagement in field trials of genetically modified mosquitoes","type":"article-journal","volume":"18"},"uris":["http://www.mendeley.com/documents/?uuid=c3d2a383-10c0-4b9f-9875-01fe896609ea"]},{"id":"ITEM-2","itemData":{"DOI":"10.1186/s12910-019-0389-3","ISSN":"1472-6939","author":[{"dropping-particle":"","family":"Singh","given":"Jerome Amir","non-dropping-particle":"","parse-names":false,"suffix":""}],"container-title":"BMC Medical Ethics","id":"ITEM-2","issue":"1","issued":{"date-parts":[["2019","12","27"]]},"page":"54","title":"Informed consent and community engagement in open field research: lessons for gene drive science","type":"article-journal","volume":"20"},"uris":["http://www.mendeley.com/documents/?uuid=7f5d5629-fbbb-4cce-b109-10c8e90ee9cb"]}],"mendeley":{"formattedCitation":"(Resnik, 2018; J. A. Singh, 2019)","manualFormatting":"(Resnik, 2018; Singh, 2019)","plainTextFormattedCitation":"(Resnik, 2018; J. A. Singh, 2019)","previouslyFormattedCitation":"(Resnik, 2018; J. A. Singh, 2019)"},"properties":{"noteIndex":0},"schema":"https://github.com/citation-style-language/schema/raw/master/csl-citation.json"}</w:instrText>
      </w:r>
      <w:r w:rsidR="001655FB">
        <w:rPr>
          <w:rFonts w:ascii="Times New Roman" w:hAnsi="Times New Roman"/>
          <w:kern w:val="22"/>
          <w:lang w:eastAsia="hi-IN" w:bidi="hi-IN"/>
        </w:rPr>
        <w:fldChar w:fldCharType="separate"/>
      </w:r>
      <w:r w:rsidR="001655FB" w:rsidRPr="001655FB">
        <w:rPr>
          <w:rFonts w:ascii="Times New Roman" w:hAnsi="Times New Roman"/>
          <w:noProof/>
          <w:kern w:val="22"/>
          <w:lang w:eastAsia="hi-IN" w:bidi="hi-IN"/>
        </w:rPr>
        <w:t>(Resnik, 2018; Singh, 2019)</w:t>
      </w:r>
      <w:r w:rsidR="001655FB">
        <w:rPr>
          <w:rFonts w:ascii="Times New Roman" w:hAnsi="Times New Roman"/>
          <w:kern w:val="22"/>
          <w:lang w:eastAsia="hi-IN" w:bidi="hi-IN"/>
        </w:rPr>
        <w:fldChar w:fldCharType="end"/>
      </w:r>
      <w:r w:rsidR="001B7F0E" w:rsidRPr="73F2CB70">
        <w:rPr>
          <w:rFonts w:ascii="Times New Roman" w:hAnsi="Times New Roman"/>
          <w:kern w:val="22"/>
          <w:lang w:eastAsia="hi-IN" w:bidi="hi-IN"/>
        </w:rPr>
        <w:t>, however challenges remain in the translation of principles under the Convention concerning the FPIC of IPLCs into effective and standardised protocols for community consultations and participatory-decision-making. In the context of engineered gene drives which have the potential to affect environments bound by kinship, cultural identity and life-sustaining resources, it has been noted that “</w:t>
      </w:r>
      <w:r w:rsidR="001B7F0E" w:rsidRPr="73F2CB70">
        <w:rPr>
          <w:rFonts w:ascii="Times New Roman" w:hAnsi="Times New Roman"/>
          <w:i/>
          <w:iCs/>
          <w:kern w:val="22"/>
          <w:lang w:eastAsia="hi-IN" w:bidi="hi-IN"/>
        </w:rPr>
        <w:t>it is not enough for the communities in those environments, including historically marginalized peoples, simply to be present at the debating table — their voices must be heard</w:t>
      </w:r>
      <w:r w:rsidR="001B7F0E" w:rsidRPr="73F2CB70">
        <w:rPr>
          <w:rFonts w:ascii="Times New Roman" w:hAnsi="Times New Roman"/>
          <w:kern w:val="22"/>
          <w:lang w:eastAsia="hi-IN" w:bidi="hi-IN"/>
        </w:rPr>
        <w:t xml:space="preserve">” </w:t>
      </w:r>
      <w:r w:rsidR="00FA6D05">
        <w:rPr>
          <w:rFonts w:ascii="Times New Roman" w:hAnsi="Times New Roman"/>
          <w:kern w:val="22"/>
          <w:lang w:eastAsia="hi-IN" w:bidi="hi-IN"/>
        </w:rPr>
        <w:fldChar w:fldCharType="begin" w:fldLock="1"/>
      </w:r>
      <w:r w:rsidR="00301002">
        <w:rPr>
          <w:rFonts w:ascii="Times New Roman" w:hAnsi="Times New Roman"/>
          <w:kern w:val="22"/>
          <w:lang w:eastAsia="hi-IN" w:bidi="hi-IN"/>
        </w:rPr>
        <w:instrText>ADDIN CSL_CITATION {"citationItems":[{"id":"ITEM-1","itemData":{"DOI":"10.1038/d41586-018-07874-0","ISSN":"0028-0836","author":[{"dropping-particle":"","family":"Kofler","given":"Natalie","non-dropping-particle":"","parse-names":false,"suffix":""}],"container-title":"Nature","id":"ITEM-1","issue":"7737","issued":{"date-parts":[["2019","1","2"]]},"page":"25-25","title":"Gene drives: yelling match drowns out marginalized voices","type":"article-journal","volume":"565"},"uris":["http://www.mendeley.com/documents/?uuid=9a6764f1-e78a-43e5-bce5-3abedda52895"]}],"mendeley":{"formattedCitation":"(Kofler, 2019)","plainTextFormattedCitation":"(Kofler, 2019)","previouslyFormattedCitation":"(Kofler, 2019)"},"properties":{"noteIndex":0},"schema":"https://github.com/citation-style-language/schema/raw/master/csl-citation.json"}</w:instrText>
      </w:r>
      <w:r w:rsidR="00FA6D05">
        <w:rPr>
          <w:rFonts w:ascii="Times New Roman" w:hAnsi="Times New Roman"/>
          <w:kern w:val="22"/>
          <w:lang w:eastAsia="hi-IN" w:bidi="hi-IN"/>
        </w:rPr>
        <w:fldChar w:fldCharType="separate"/>
      </w:r>
      <w:r w:rsidR="00FA6D05" w:rsidRPr="00FA6D05">
        <w:rPr>
          <w:rFonts w:ascii="Times New Roman" w:hAnsi="Times New Roman"/>
          <w:noProof/>
          <w:kern w:val="22"/>
          <w:lang w:eastAsia="hi-IN" w:bidi="hi-IN"/>
        </w:rPr>
        <w:t>(Kofler, 2019)</w:t>
      </w:r>
      <w:r w:rsidR="00FA6D05">
        <w:rPr>
          <w:rFonts w:ascii="Times New Roman" w:hAnsi="Times New Roman"/>
          <w:kern w:val="22"/>
          <w:lang w:eastAsia="hi-IN" w:bidi="hi-IN"/>
        </w:rPr>
        <w:fldChar w:fldCharType="end"/>
      </w:r>
      <w:r w:rsidR="001B7F0E" w:rsidRPr="73F2CB70">
        <w:rPr>
          <w:rFonts w:ascii="Times New Roman" w:hAnsi="Times New Roman"/>
          <w:kern w:val="22"/>
          <w:lang w:eastAsia="hi-IN" w:bidi="hi-IN"/>
        </w:rPr>
        <w:t xml:space="preserve">. Further guidance in this regard appears a logical next step and given the continuously evolving nature of the principles underpinning FPIC, such guidance may benefit form closer evaluation of approaches involving </w:t>
      </w:r>
      <w:r w:rsidR="001B7F0E" w:rsidRPr="001B7F0E">
        <w:rPr>
          <w:rFonts w:ascii="Times New Roman" w:hAnsi="Times New Roman"/>
          <w:kern w:val="22"/>
          <w:lang w:eastAsia="hi-IN" w:bidi="hi-IN"/>
        </w:rPr>
        <w:t>Responsible Research and Innovation, Governance Coordinating Committees</w:t>
      </w:r>
      <w:r w:rsidR="001B7F0E" w:rsidRPr="73F2CB70">
        <w:rPr>
          <w:rFonts w:ascii="Times New Roman" w:hAnsi="Times New Roman"/>
          <w:kern w:val="22"/>
          <w:lang w:eastAsia="hi-IN" w:bidi="hi-IN"/>
        </w:rPr>
        <w:t xml:space="preserve"> and </w:t>
      </w:r>
      <w:r w:rsidR="001B7F0E" w:rsidRPr="001B7F0E">
        <w:rPr>
          <w:rFonts w:ascii="Times New Roman" w:hAnsi="Times New Roman"/>
          <w:kern w:val="22"/>
          <w:lang w:eastAsia="hi-IN" w:bidi="hi-IN"/>
        </w:rPr>
        <w:t>principles of transparency, accountability, integrity, and capacity noted above.</w:t>
      </w:r>
      <w:r w:rsidR="001F5CCB">
        <w:rPr>
          <w:rFonts w:ascii="Times New Roman" w:hAnsi="Times New Roman"/>
          <w:kern w:val="22"/>
          <w:lang w:eastAsia="hi-IN" w:bidi="hi-IN"/>
        </w:rPr>
        <w:t xml:space="preserve"> The Convention already has successful </w:t>
      </w:r>
      <w:r w:rsidR="001370E6">
        <w:rPr>
          <w:rFonts w:ascii="Times New Roman" w:hAnsi="Times New Roman"/>
          <w:kern w:val="22"/>
          <w:lang w:eastAsia="hi-IN" w:bidi="hi-IN"/>
        </w:rPr>
        <w:t>structures</w:t>
      </w:r>
      <w:r w:rsidR="008D02C0">
        <w:rPr>
          <w:rFonts w:ascii="Times New Roman" w:hAnsi="Times New Roman"/>
          <w:kern w:val="22"/>
          <w:lang w:eastAsia="hi-IN" w:bidi="hi-IN"/>
        </w:rPr>
        <w:t>, guidelines</w:t>
      </w:r>
      <w:r w:rsidR="001370E6">
        <w:rPr>
          <w:rFonts w:ascii="Times New Roman" w:hAnsi="Times New Roman"/>
          <w:kern w:val="22"/>
          <w:lang w:eastAsia="hi-IN" w:bidi="hi-IN"/>
        </w:rPr>
        <w:t xml:space="preserve"> and processes</w:t>
      </w:r>
      <w:r w:rsidR="00AF01A9">
        <w:rPr>
          <w:rFonts w:ascii="Times New Roman" w:hAnsi="Times New Roman"/>
          <w:kern w:val="22"/>
          <w:lang w:eastAsia="hi-IN" w:bidi="hi-IN"/>
        </w:rPr>
        <w:t>,</w:t>
      </w:r>
      <w:r w:rsidR="001370E6">
        <w:rPr>
          <w:rFonts w:ascii="Times New Roman" w:hAnsi="Times New Roman"/>
          <w:kern w:val="22"/>
          <w:lang w:eastAsia="hi-IN" w:bidi="hi-IN"/>
        </w:rPr>
        <w:t xml:space="preserve"> </w:t>
      </w:r>
      <w:r w:rsidR="00673FC2">
        <w:rPr>
          <w:rFonts w:ascii="Times New Roman" w:hAnsi="Times New Roman"/>
          <w:kern w:val="22"/>
          <w:lang w:eastAsia="hi-IN" w:bidi="hi-IN"/>
        </w:rPr>
        <w:t xml:space="preserve">such as the Collaborative Partnership on </w:t>
      </w:r>
      <w:r w:rsidR="001F3F40">
        <w:rPr>
          <w:rFonts w:ascii="Times New Roman" w:hAnsi="Times New Roman"/>
          <w:kern w:val="22"/>
          <w:lang w:eastAsia="hi-IN" w:bidi="hi-IN"/>
        </w:rPr>
        <w:t>S</w:t>
      </w:r>
      <w:r w:rsidR="00673FC2">
        <w:rPr>
          <w:rFonts w:ascii="Times New Roman" w:hAnsi="Times New Roman"/>
          <w:kern w:val="22"/>
          <w:lang w:eastAsia="hi-IN" w:bidi="hi-IN"/>
        </w:rPr>
        <w:t xml:space="preserve">ustainable </w:t>
      </w:r>
      <w:r w:rsidR="001F3F40">
        <w:rPr>
          <w:rFonts w:ascii="Times New Roman" w:hAnsi="Times New Roman"/>
          <w:kern w:val="22"/>
          <w:lang w:eastAsia="hi-IN" w:bidi="hi-IN"/>
        </w:rPr>
        <w:t>W</w:t>
      </w:r>
      <w:r w:rsidR="005E2C64">
        <w:rPr>
          <w:rFonts w:ascii="Times New Roman" w:hAnsi="Times New Roman"/>
          <w:kern w:val="22"/>
          <w:lang w:eastAsia="hi-IN" w:bidi="hi-IN"/>
        </w:rPr>
        <w:t xml:space="preserve">ildlife </w:t>
      </w:r>
      <w:r w:rsidR="001F3F40">
        <w:rPr>
          <w:rFonts w:ascii="Times New Roman" w:hAnsi="Times New Roman"/>
          <w:kern w:val="22"/>
          <w:lang w:eastAsia="hi-IN" w:bidi="hi-IN"/>
        </w:rPr>
        <w:t>M</w:t>
      </w:r>
      <w:r w:rsidR="00132ADF">
        <w:rPr>
          <w:rFonts w:ascii="Times New Roman" w:hAnsi="Times New Roman"/>
          <w:kern w:val="22"/>
          <w:lang w:eastAsia="hi-IN" w:bidi="hi-IN"/>
        </w:rPr>
        <w:t>anagement</w:t>
      </w:r>
      <w:r w:rsidR="00766B46">
        <w:rPr>
          <w:rFonts w:ascii="Times New Roman" w:hAnsi="Times New Roman"/>
          <w:kern w:val="22"/>
          <w:lang w:eastAsia="hi-IN" w:bidi="hi-IN"/>
        </w:rPr>
        <w:t>,</w:t>
      </w:r>
      <w:r w:rsidR="00132ADF">
        <w:rPr>
          <w:rFonts w:ascii="Times New Roman" w:hAnsi="Times New Roman"/>
          <w:kern w:val="22"/>
          <w:lang w:eastAsia="hi-IN" w:bidi="hi-IN"/>
        </w:rPr>
        <w:t xml:space="preserve"> t</w:t>
      </w:r>
      <w:r w:rsidR="001370E6">
        <w:rPr>
          <w:rFonts w:ascii="Times New Roman" w:hAnsi="Times New Roman"/>
          <w:kern w:val="22"/>
          <w:lang w:eastAsia="hi-IN" w:bidi="hi-IN"/>
        </w:rPr>
        <w:t xml:space="preserve">hat </w:t>
      </w:r>
      <w:r w:rsidR="00056C39">
        <w:rPr>
          <w:rFonts w:ascii="Times New Roman" w:hAnsi="Times New Roman"/>
          <w:kern w:val="22"/>
          <w:lang w:eastAsia="hi-IN" w:bidi="hi-IN"/>
        </w:rPr>
        <w:t>can be duplicated in the context of synthetic biology</w:t>
      </w:r>
      <w:r w:rsidR="00132ADF">
        <w:rPr>
          <w:rFonts w:ascii="Times New Roman" w:hAnsi="Times New Roman"/>
          <w:kern w:val="22"/>
          <w:lang w:eastAsia="hi-IN" w:bidi="hi-IN"/>
        </w:rPr>
        <w:t xml:space="preserve">. This would </w:t>
      </w:r>
      <w:r w:rsidR="007B4722">
        <w:rPr>
          <w:rFonts w:ascii="Times New Roman" w:hAnsi="Times New Roman"/>
          <w:kern w:val="22"/>
          <w:lang w:eastAsia="hi-IN" w:bidi="hi-IN"/>
        </w:rPr>
        <w:t>provide a voluntary p</w:t>
      </w:r>
      <w:r w:rsidR="0037701A">
        <w:rPr>
          <w:rFonts w:ascii="Times New Roman" w:hAnsi="Times New Roman"/>
          <w:kern w:val="22"/>
          <w:lang w:eastAsia="hi-IN" w:bidi="hi-IN"/>
        </w:rPr>
        <w:t xml:space="preserve">artnership of the </w:t>
      </w:r>
      <w:r w:rsidR="00D44367">
        <w:rPr>
          <w:rFonts w:ascii="Times New Roman" w:hAnsi="Times New Roman"/>
          <w:kern w:val="22"/>
          <w:lang w:eastAsia="hi-IN" w:bidi="hi-IN"/>
        </w:rPr>
        <w:t>international organi</w:t>
      </w:r>
      <w:r w:rsidR="00E946B8">
        <w:rPr>
          <w:rFonts w:ascii="Times New Roman" w:hAnsi="Times New Roman"/>
          <w:kern w:val="22"/>
          <w:lang w:eastAsia="hi-IN" w:bidi="hi-IN"/>
        </w:rPr>
        <w:t>s</w:t>
      </w:r>
      <w:r w:rsidR="00D44367">
        <w:rPr>
          <w:rFonts w:ascii="Times New Roman" w:hAnsi="Times New Roman"/>
          <w:kern w:val="22"/>
          <w:lang w:eastAsia="hi-IN" w:bidi="hi-IN"/>
        </w:rPr>
        <w:t xml:space="preserve">ations with a </w:t>
      </w:r>
      <w:r w:rsidR="00EE5875">
        <w:rPr>
          <w:rFonts w:ascii="Times New Roman" w:hAnsi="Times New Roman"/>
          <w:kern w:val="22"/>
          <w:lang w:eastAsia="hi-IN" w:bidi="hi-IN"/>
        </w:rPr>
        <w:t xml:space="preserve">substantive mandate and programmes on synthetic biology to </w:t>
      </w:r>
      <w:r w:rsidR="00A8291F">
        <w:rPr>
          <w:rFonts w:ascii="Times New Roman" w:hAnsi="Times New Roman"/>
          <w:kern w:val="22"/>
          <w:lang w:eastAsia="hi-IN" w:bidi="hi-IN"/>
        </w:rPr>
        <w:t>address relevant issues that require a consolidated and coordinated approach.</w:t>
      </w:r>
    </w:p>
    <w:p w14:paraId="2EF81BA0" w14:textId="17E0B1CC" w:rsidR="001B7F0E" w:rsidRPr="001B7F0E" w:rsidRDefault="001B7F0E" w:rsidP="001B7F0E">
      <w:pPr>
        <w:suppressAutoHyphens/>
        <w:spacing w:after="120" w:line="240" w:lineRule="auto"/>
        <w:jc w:val="both"/>
        <w:rPr>
          <w:rFonts w:ascii="Times New Roman" w:hAnsi="Times New Roman"/>
          <w:kern w:val="22"/>
          <w:lang w:eastAsia="hi-IN" w:bidi="hi-IN"/>
        </w:rPr>
      </w:pPr>
      <w:r w:rsidRPr="001B7F0E">
        <w:rPr>
          <w:rFonts w:ascii="Times New Roman" w:hAnsi="Times New Roman"/>
          <w:kern w:val="22"/>
          <w:lang w:eastAsia="hi-IN" w:bidi="hi-IN"/>
        </w:rPr>
        <w:t>By applying novel genetic techniques, synthetic biology offers the opportunity to modify organisms to address unprecedented environmental challenges. Despite its potential benefits, the intentional or accidental release of products from synthetic biology into the environment could have significant impacts on biodiversity. To avoid unintended irreversible environmental damage and their associated geopolitical threats, innovative research guidelines, governance methods, integration with social sciences, and engagement with communities are needed.</w:t>
      </w:r>
      <w:r w:rsidR="00F3092D">
        <w:rPr>
          <w:rFonts w:ascii="Times New Roman" w:hAnsi="Times New Roman"/>
          <w:kern w:val="22"/>
          <w:lang w:eastAsia="hi-IN" w:bidi="hi-IN"/>
        </w:rPr>
        <w:t xml:space="preserve"> In addition, considering the fast pace of development of synthetic biology, </w:t>
      </w:r>
      <w:r w:rsidR="00882FD2">
        <w:rPr>
          <w:rFonts w:ascii="Times New Roman" w:hAnsi="Times New Roman"/>
          <w:kern w:val="22"/>
          <w:lang w:eastAsia="hi-IN" w:bidi="hi-IN"/>
        </w:rPr>
        <w:t>and t</w:t>
      </w:r>
      <w:r w:rsidR="00563700">
        <w:rPr>
          <w:rFonts w:ascii="Times New Roman" w:hAnsi="Times New Roman"/>
          <w:kern w:val="22"/>
          <w:lang w:eastAsia="hi-IN" w:bidi="hi-IN"/>
        </w:rPr>
        <w:t xml:space="preserve">he challenge for regulatory regimes to cope up with potential new applications, </w:t>
      </w:r>
      <w:r w:rsidR="00EB44E0">
        <w:rPr>
          <w:rFonts w:ascii="Times New Roman" w:hAnsi="Times New Roman"/>
          <w:kern w:val="22"/>
          <w:lang w:eastAsia="hi-IN" w:bidi="hi-IN"/>
        </w:rPr>
        <w:t xml:space="preserve">an early screening of what is </w:t>
      </w:r>
      <w:r w:rsidR="002F354B">
        <w:rPr>
          <w:rFonts w:ascii="Times New Roman" w:hAnsi="Times New Roman"/>
          <w:kern w:val="22"/>
          <w:lang w:eastAsia="hi-IN" w:bidi="hi-IN"/>
        </w:rPr>
        <w:t>under</w:t>
      </w:r>
      <w:r w:rsidR="00EB44E0">
        <w:rPr>
          <w:rFonts w:ascii="Times New Roman" w:hAnsi="Times New Roman"/>
          <w:kern w:val="22"/>
          <w:lang w:eastAsia="hi-IN" w:bidi="hi-IN"/>
        </w:rPr>
        <w:t xml:space="preserve"> research and development and</w:t>
      </w:r>
      <w:r w:rsidR="00C771E4">
        <w:rPr>
          <w:rFonts w:ascii="Times New Roman" w:hAnsi="Times New Roman"/>
          <w:kern w:val="22"/>
          <w:lang w:eastAsia="hi-IN" w:bidi="hi-IN"/>
        </w:rPr>
        <w:t xml:space="preserve"> commerciali</w:t>
      </w:r>
      <w:r w:rsidR="00E946B8">
        <w:rPr>
          <w:rFonts w:ascii="Times New Roman" w:hAnsi="Times New Roman"/>
          <w:kern w:val="22"/>
          <w:lang w:eastAsia="hi-IN" w:bidi="hi-IN"/>
        </w:rPr>
        <w:t>s</w:t>
      </w:r>
      <w:r w:rsidR="00C771E4">
        <w:rPr>
          <w:rFonts w:ascii="Times New Roman" w:hAnsi="Times New Roman"/>
          <w:kern w:val="22"/>
          <w:lang w:eastAsia="hi-IN" w:bidi="hi-IN"/>
        </w:rPr>
        <w:t xml:space="preserve">ation perspectives </w:t>
      </w:r>
      <w:r w:rsidR="00124F82">
        <w:rPr>
          <w:rFonts w:ascii="Times New Roman" w:hAnsi="Times New Roman"/>
          <w:kern w:val="22"/>
          <w:lang w:eastAsia="hi-IN" w:bidi="hi-IN"/>
        </w:rPr>
        <w:t>of</w:t>
      </w:r>
      <w:r w:rsidR="00C771E4">
        <w:rPr>
          <w:rFonts w:ascii="Times New Roman" w:hAnsi="Times New Roman"/>
          <w:kern w:val="22"/>
          <w:lang w:eastAsia="hi-IN" w:bidi="hi-IN"/>
        </w:rPr>
        <w:t xml:space="preserve"> those products would be critical in providing timely information for </w:t>
      </w:r>
      <w:r w:rsidR="00871EA6">
        <w:rPr>
          <w:rFonts w:ascii="Times New Roman" w:hAnsi="Times New Roman"/>
          <w:kern w:val="22"/>
          <w:lang w:eastAsia="hi-IN" w:bidi="hi-IN"/>
        </w:rPr>
        <w:t xml:space="preserve">countries and organisations to </w:t>
      </w:r>
      <w:r w:rsidR="00124F82">
        <w:rPr>
          <w:rFonts w:ascii="Times New Roman" w:hAnsi="Times New Roman"/>
          <w:kern w:val="22"/>
          <w:lang w:eastAsia="hi-IN" w:bidi="hi-IN"/>
        </w:rPr>
        <w:t xml:space="preserve">react and adapt if necessary. </w:t>
      </w:r>
    </w:p>
    <w:p w14:paraId="7F489194" w14:textId="64E3B62B" w:rsidR="001B7F0E" w:rsidRPr="001B7F0E" w:rsidRDefault="001B7F0E" w:rsidP="001B7F0E">
      <w:pPr>
        <w:suppressAutoHyphens/>
        <w:spacing w:after="120" w:line="240" w:lineRule="auto"/>
        <w:jc w:val="both"/>
        <w:rPr>
          <w:rFonts w:ascii="Times New Roman" w:hAnsi="Times New Roman"/>
          <w:kern w:val="22"/>
          <w:lang w:eastAsia="hi-IN" w:bidi="hi-IN"/>
        </w:rPr>
      </w:pPr>
      <w:bookmarkStart w:id="206" w:name="_Hlk70923727"/>
      <w:r w:rsidRPr="001B7F0E">
        <w:rPr>
          <w:rFonts w:ascii="Times New Roman" w:hAnsi="Times New Roman"/>
          <w:kern w:val="22"/>
          <w:lang w:eastAsia="hi-IN" w:bidi="hi-IN"/>
        </w:rPr>
        <w:t>Calls for improved governance of synthetic biology</w:t>
      </w:r>
      <w:r w:rsidR="004D2E77">
        <w:rPr>
          <w:rFonts w:ascii="Times New Roman" w:hAnsi="Times New Roman"/>
          <w:kern w:val="22"/>
          <w:lang w:eastAsia="hi-IN" w:bidi="hi-IN"/>
        </w:rPr>
        <w:t>,</w:t>
      </w:r>
      <w:r w:rsidRPr="001B7F0E">
        <w:rPr>
          <w:rFonts w:ascii="Times New Roman" w:hAnsi="Times New Roman"/>
          <w:kern w:val="22"/>
          <w:lang w:eastAsia="hi-IN" w:bidi="hi-IN"/>
        </w:rPr>
        <w:t xml:space="preserve"> including addressing gaps in the international legal and regulatory frameworks</w:t>
      </w:r>
      <w:r w:rsidR="004D2E77">
        <w:rPr>
          <w:rFonts w:ascii="Times New Roman" w:hAnsi="Times New Roman"/>
          <w:kern w:val="22"/>
          <w:lang w:eastAsia="hi-IN" w:bidi="hi-IN"/>
        </w:rPr>
        <w:t>,</w:t>
      </w:r>
      <w:r w:rsidRPr="001B7F0E">
        <w:rPr>
          <w:rFonts w:ascii="Times New Roman" w:hAnsi="Times New Roman"/>
          <w:kern w:val="22"/>
          <w:lang w:eastAsia="hi-IN" w:bidi="hi-IN"/>
        </w:rPr>
        <w:t xml:space="preserve"> place significant emphasis on the need to better address societal, economic, and ethical dimensions. Enhanced regulatory oversight addressing these dimensions appears desirable to promote public trust and acceptance, however, the international laws, processes and initiatives analysed appear ill</w:t>
      </w:r>
      <w:r w:rsidR="004D2E77">
        <w:rPr>
          <w:rFonts w:ascii="Times New Roman" w:hAnsi="Times New Roman"/>
          <w:kern w:val="22"/>
          <w:lang w:eastAsia="hi-IN" w:bidi="hi-IN"/>
        </w:rPr>
        <w:t>-</w:t>
      </w:r>
      <w:r w:rsidRPr="001B7F0E">
        <w:rPr>
          <w:rFonts w:ascii="Times New Roman" w:hAnsi="Times New Roman"/>
          <w:kern w:val="22"/>
          <w:lang w:eastAsia="hi-IN" w:bidi="hi-IN"/>
        </w:rPr>
        <w:t>equipped to address several of these dimensions</w:t>
      </w:r>
      <w:bookmarkEnd w:id="206"/>
      <w:r w:rsidRPr="001B7F0E">
        <w:rPr>
          <w:rFonts w:ascii="Times New Roman" w:hAnsi="Times New Roman"/>
          <w:kern w:val="22"/>
          <w:lang w:eastAsia="hi-IN" w:bidi="hi-IN"/>
        </w:rPr>
        <w:t>.</w:t>
      </w:r>
    </w:p>
    <w:p w14:paraId="1E05CD69" w14:textId="22F4AFF5" w:rsidR="001B7F0E" w:rsidRDefault="001B7F0E" w:rsidP="001B7F0E">
      <w:pPr>
        <w:suppressAutoHyphens/>
        <w:spacing w:after="120" w:line="240" w:lineRule="auto"/>
        <w:jc w:val="both"/>
        <w:rPr>
          <w:rFonts w:ascii="Times New Roman" w:hAnsi="Times New Roman"/>
          <w:kern w:val="22"/>
          <w:lang w:eastAsia="hi-IN" w:bidi="hi-IN"/>
        </w:rPr>
      </w:pPr>
      <w:r w:rsidRPr="001B7F0E">
        <w:rPr>
          <w:rFonts w:ascii="Times New Roman" w:hAnsi="Times New Roman"/>
          <w:kern w:val="22"/>
          <w:lang w:eastAsia="hi-IN" w:bidi="hi-IN"/>
        </w:rPr>
        <w:t xml:space="preserve">The overlaps and gaps identified in this update suggest that opportunities exist for increased coordination amongst the Convention and its Protocols, and with other relevant international treaties, processes and initiatives converging on the governance of synthetic biology. Such multilateral coordination could minimise duplication and fragmentation and promote international governance of synthetic biology in a holistic and integrated manner. The Convention’s experience in establishing </w:t>
      </w:r>
      <w:r w:rsidR="00387E0C">
        <w:rPr>
          <w:rFonts w:ascii="Times New Roman" w:hAnsi="Times New Roman"/>
          <w:kern w:val="22"/>
          <w:lang w:eastAsia="hi-IN" w:bidi="hi-IN"/>
        </w:rPr>
        <w:t xml:space="preserve">for instance </w:t>
      </w:r>
      <w:r w:rsidR="00260B12">
        <w:rPr>
          <w:rFonts w:ascii="Times New Roman" w:hAnsi="Times New Roman"/>
          <w:kern w:val="22"/>
          <w:lang w:eastAsia="hi-IN" w:bidi="hi-IN"/>
        </w:rPr>
        <w:t xml:space="preserve">the </w:t>
      </w:r>
      <w:r w:rsidRPr="001B7F0E">
        <w:rPr>
          <w:rFonts w:ascii="Times New Roman" w:hAnsi="Times New Roman"/>
          <w:kern w:val="22"/>
          <w:lang w:eastAsia="hi-IN" w:bidi="hi-IN"/>
        </w:rPr>
        <w:t>Liaison Group of Biodiversity-related Conventions pursuant to COP decision VII/26 (paragraphs 1 and 2), its implementation of a roadmap to optimise synergies</w:t>
      </w:r>
      <w:r w:rsidR="00AF4B71">
        <w:rPr>
          <w:rFonts w:ascii="Times New Roman" w:hAnsi="Times New Roman"/>
          <w:kern w:val="22"/>
          <w:lang w:eastAsia="hi-IN" w:bidi="hi-IN"/>
        </w:rPr>
        <w:t>,</w:t>
      </w:r>
      <w:r w:rsidRPr="001B7F0E">
        <w:rPr>
          <w:rFonts w:ascii="Times New Roman" w:hAnsi="Times New Roman"/>
          <w:kern w:val="22"/>
          <w:lang w:eastAsia="hi-IN" w:bidi="hi-IN"/>
        </w:rPr>
        <w:t xml:space="preserve"> </w:t>
      </w:r>
      <w:r w:rsidR="00387E0C">
        <w:rPr>
          <w:rFonts w:ascii="Times New Roman" w:hAnsi="Times New Roman"/>
          <w:kern w:val="22"/>
          <w:lang w:eastAsia="hi-IN" w:bidi="hi-IN"/>
        </w:rPr>
        <w:t>as well as</w:t>
      </w:r>
      <w:r w:rsidR="00B60CA3">
        <w:rPr>
          <w:rFonts w:ascii="Times New Roman" w:hAnsi="Times New Roman"/>
          <w:kern w:val="22"/>
          <w:lang w:eastAsia="hi-IN" w:bidi="hi-IN"/>
        </w:rPr>
        <w:t xml:space="preserve"> </w:t>
      </w:r>
      <w:r w:rsidRPr="001B7F0E">
        <w:rPr>
          <w:rFonts w:ascii="Times New Roman" w:hAnsi="Times New Roman"/>
          <w:kern w:val="22"/>
          <w:lang w:eastAsia="hi-IN" w:bidi="hi-IN"/>
        </w:rPr>
        <w:t>the creation of a</w:t>
      </w:r>
      <w:r w:rsidR="00DB7E9C">
        <w:rPr>
          <w:rFonts w:ascii="Times New Roman" w:hAnsi="Times New Roman"/>
          <w:kern w:val="22"/>
          <w:lang w:eastAsia="hi-IN" w:bidi="hi-IN"/>
        </w:rPr>
        <w:t xml:space="preserve"> </w:t>
      </w:r>
      <w:r w:rsidRPr="001B7F0E">
        <w:rPr>
          <w:rFonts w:ascii="Times New Roman" w:hAnsi="Times New Roman"/>
          <w:kern w:val="22"/>
          <w:lang w:eastAsia="hi-IN" w:bidi="hi-IN"/>
        </w:rPr>
        <w:t xml:space="preserve">group to steer the process in the lead </w:t>
      </w:r>
      <w:r w:rsidR="00766B46">
        <w:rPr>
          <w:rFonts w:ascii="Times New Roman" w:hAnsi="Times New Roman"/>
          <w:kern w:val="22"/>
          <w:lang w:eastAsia="hi-IN" w:bidi="hi-IN"/>
        </w:rPr>
        <w:t>u</w:t>
      </w:r>
      <w:r w:rsidRPr="001B7F0E">
        <w:rPr>
          <w:rFonts w:ascii="Times New Roman" w:hAnsi="Times New Roman"/>
          <w:kern w:val="22"/>
          <w:lang w:eastAsia="hi-IN" w:bidi="hi-IN"/>
        </w:rPr>
        <w:t>p to the adoption of the Post</w:t>
      </w:r>
      <w:r w:rsidR="0080735F">
        <w:rPr>
          <w:rFonts w:ascii="Times New Roman" w:hAnsi="Times New Roman"/>
          <w:kern w:val="22"/>
          <w:lang w:eastAsia="hi-IN" w:bidi="hi-IN"/>
        </w:rPr>
        <w:t>-</w:t>
      </w:r>
      <w:r w:rsidRPr="001B7F0E">
        <w:rPr>
          <w:rFonts w:ascii="Times New Roman" w:hAnsi="Times New Roman"/>
          <w:kern w:val="22"/>
          <w:lang w:eastAsia="hi-IN" w:bidi="hi-IN"/>
        </w:rPr>
        <w:t>2020 Global Biodiversity Framework at COP 15 could be instructive in this regard</w:t>
      </w:r>
      <w:r w:rsidR="00685BFF">
        <w:rPr>
          <w:rFonts w:ascii="Times New Roman" w:hAnsi="Times New Roman"/>
          <w:kern w:val="22"/>
          <w:lang w:eastAsia="hi-IN" w:bidi="hi-IN"/>
        </w:rPr>
        <w:t xml:space="preserve">. </w:t>
      </w:r>
      <w:r w:rsidR="00FF09DA">
        <w:rPr>
          <w:rFonts w:ascii="Times New Roman" w:hAnsi="Times New Roman"/>
          <w:kern w:val="22"/>
          <w:lang w:eastAsia="hi-IN" w:bidi="hi-IN"/>
        </w:rPr>
        <w:t>Similarly, o</w:t>
      </w:r>
      <w:r w:rsidRPr="001B7F0E">
        <w:rPr>
          <w:rFonts w:ascii="Times New Roman" w:hAnsi="Times New Roman"/>
          <w:kern w:val="22"/>
          <w:lang w:eastAsia="hi-IN" w:bidi="hi-IN"/>
        </w:rPr>
        <w:t xml:space="preserve">ther models of multilateral initiatives to facilitate international governance on cross-cutting issues relevant to the objectives of the Convention could also be </w:t>
      </w:r>
      <w:r w:rsidR="004353B3">
        <w:rPr>
          <w:rFonts w:ascii="Times New Roman" w:hAnsi="Times New Roman"/>
          <w:kern w:val="22"/>
          <w:lang w:eastAsia="hi-IN" w:bidi="hi-IN"/>
        </w:rPr>
        <w:t>considered</w:t>
      </w:r>
      <w:r w:rsidRPr="001B7F0E">
        <w:rPr>
          <w:rFonts w:ascii="Times New Roman" w:hAnsi="Times New Roman"/>
          <w:kern w:val="22"/>
          <w:lang w:eastAsia="hi-IN" w:bidi="hi-IN"/>
        </w:rPr>
        <w:t>.</w:t>
      </w:r>
    </w:p>
    <w:p w14:paraId="01A1D4D9" w14:textId="3C0B9478" w:rsidR="00734FA2" w:rsidRDefault="00734FA2" w:rsidP="001B7F0E">
      <w:pPr>
        <w:suppressAutoHyphens/>
        <w:spacing w:after="120" w:line="240" w:lineRule="auto"/>
        <w:jc w:val="both"/>
        <w:rPr>
          <w:rFonts w:ascii="Times New Roman" w:hAnsi="Times New Roman"/>
          <w:kern w:val="22"/>
          <w:lang w:eastAsia="hi-IN" w:bidi="hi-IN"/>
        </w:rPr>
      </w:pPr>
      <w:r>
        <w:rPr>
          <w:rFonts w:ascii="Times New Roman" w:hAnsi="Times New Roman"/>
          <w:kern w:val="22"/>
          <w:lang w:eastAsia="hi-IN" w:bidi="hi-IN"/>
        </w:rPr>
        <w:t>The cross-cutting nature of synthetic biology</w:t>
      </w:r>
      <w:r w:rsidR="00C90D7E">
        <w:rPr>
          <w:rFonts w:ascii="Times New Roman" w:hAnsi="Times New Roman"/>
          <w:kern w:val="22"/>
          <w:lang w:eastAsia="hi-IN" w:bidi="hi-IN"/>
        </w:rPr>
        <w:t>,</w:t>
      </w:r>
      <w:r>
        <w:rPr>
          <w:rFonts w:ascii="Times New Roman" w:hAnsi="Times New Roman"/>
          <w:kern w:val="22"/>
          <w:lang w:eastAsia="hi-IN" w:bidi="hi-IN"/>
        </w:rPr>
        <w:t xml:space="preserve"> added to </w:t>
      </w:r>
      <w:r w:rsidR="006C1F4E">
        <w:rPr>
          <w:rFonts w:ascii="Times New Roman" w:hAnsi="Times New Roman"/>
          <w:kern w:val="22"/>
          <w:lang w:eastAsia="hi-IN" w:bidi="hi-IN"/>
        </w:rPr>
        <w:t xml:space="preserve">its </w:t>
      </w:r>
      <w:r>
        <w:rPr>
          <w:rFonts w:ascii="Times New Roman" w:hAnsi="Times New Roman"/>
          <w:kern w:val="22"/>
          <w:lang w:eastAsia="hi-IN" w:bidi="hi-IN"/>
        </w:rPr>
        <w:t>broadness as a discipline</w:t>
      </w:r>
      <w:r w:rsidR="006C1F4E">
        <w:rPr>
          <w:rFonts w:ascii="Times New Roman" w:hAnsi="Times New Roman"/>
          <w:kern w:val="22"/>
          <w:lang w:eastAsia="hi-IN" w:bidi="hi-IN"/>
        </w:rPr>
        <w:t xml:space="preserve">, are important factors to consider </w:t>
      </w:r>
      <w:r w:rsidR="00C90D7E">
        <w:rPr>
          <w:rFonts w:ascii="Times New Roman" w:hAnsi="Times New Roman"/>
          <w:kern w:val="22"/>
          <w:lang w:eastAsia="hi-IN" w:bidi="hi-IN"/>
        </w:rPr>
        <w:t>i</w:t>
      </w:r>
      <w:r w:rsidR="006C1F4E">
        <w:rPr>
          <w:rFonts w:ascii="Times New Roman" w:hAnsi="Times New Roman"/>
          <w:kern w:val="22"/>
          <w:lang w:eastAsia="hi-IN" w:bidi="hi-IN"/>
        </w:rPr>
        <w:t>n any potential scenario towards its governance and regulation</w:t>
      </w:r>
      <w:r w:rsidR="00946666">
        <w:rPr>
          <w:rFonts w:ascii="Times New Roman" w:hAnsi="Times New Roman"/>
          <w:kern w:val="22"/>
          <w:lang w:eastAsia="hi-IN" w:bidi="hi-IN"/>
        </w:rPr>
        <w:t xml:space="preserve">. </w:t>
      </w:r>
      <w:r w:rsidR="00A36278">
        <w:rPr>
          <w:rFonts w:ascii="Times New Roman" w:hAnsi="Times New Roman"/>
          <w:kern w:val="22"/>
          <w:lang w:eastAsia="hi-IN" w:bidi="hi-IN"/>
        </w:rPr>
        <w:t>T</w:t>
      </w:r>
      <w:r w:rsidR="00A36278" w:rsidRPr="00690EF8">
        <w:rPr>
          <w:rFonts w:ascii="Times New Roman" w:hAnsi="Times New Roman"/>
          <w:kern w:val="22"/>
          <w:lang w:eastAsia="hi-IN" w:bidi="hi-IN"/>
        </w:rPr>
        <w:t xml:space="preserve">he components, organisms and products resulting from synthetic biology </w:t>
      </w:r>
      <w:r w:rsidR="00605818" w:rsidRPr="00690EF8">
        <w:rPr>
          <w:rFonts w:ascii="Times New Roman" w:hAnsi="Times New Roman"/>
          <w:kern w:val="22"/>
          <w:lang w:eastAsia="hi-IN" w:bidi="hi-IN"/>
        </w:rPr>
        <w:t>w</w:t>
      </w:r>
      <w:r w:rsidR="00605818">
        <w:rPr>
          <w:rFonts w:ascii="Times New Roman" w:hAnsi="Times New Roman"/>
          <w:kern w:val="22"/>
          <w:lang w:eastAsia="hi-IN" w:bidi="hi-IN"/>
        </w:rPr>
        <w:t>ill</w:t>
      </w:r>
      <w:r w:rsidR="00605818" w:rsidRPr="00690EF8">
        <w:rPr>
          <w:rFonts w:ascii="Times New Roman" w:hAnsi="Times New Roman"/>
          <w:kern w:val="22"/>
          <w:lang w:eastAsia="hi-IN" w:bidi="hi-IN"/>
        </w:rPr>
        <w:t xml:space="preserve"> </w:t>
      </w:r>
      <w:r w:rsidR="00A36278" w:rsidRPr="00690EF8">
        <w:rPr>
          <w:rFonts w:ascii="Times New Roman" w:hAnsi="Times New Roman"/>
          <w:kern w:val="22"/>
          <w:lang w:eastAsia="hi-IN" w:bidi="hi-IN"/>
        </w:rPr>
        <w:t>fall under the scope of a number of regulatory mechanisms. While some instruments are sufficiently broad to address some of the current issues related to synthetic biology, gaps still exist relating to the practical implementation of these instruments</w:t>
      </w:r>
      <w:r w:rsidR="00A36278">
        <w:rPr>
          <w:rFonts w:ascii="Times New Roman" w:hAnsi="Times New Roman"/>
          <w:kern w:val="22"/>
          <w:lang w:eastAsia="hi-IN" w:bidi="hi-IN"/>
        </w:rPr>
        <w:t xml:space="preserve">. </w:t>
      </w:r>
      <w:r w:rsidR="0072460B">
        <w:rPr>
          <w:rFonts w:ascii="Times New Roman" w:hAnsi="Times New Roman"/>
          <w:kern w:val="22"/>
          <w:lang w:eastAsia="hi-IN" w:bidi="hi-IN"/>
        </w:rPr>
        <w:t>Furthermore, i</w:t>
      </w:r>
      <w:r w:rsidR="00946666">
        <w:rPr>
          <w:rFonts w:ascii="Times New Roman" w:hAnsi="Times New Roman"/>
          <w:kern w:val="22"/>
          <w:lang w:eastAsia="hi-IN" w:bidi="hi-IN"/>
        </w:rPr>
        <w:t>t is unlikely that a single entity will have the necessary set of tools (e.g</w:t>
      </w:r>
      <w:r w:rsidR="00605818">
        <w:rPr>
          <w:rFonts w:ascii="Times New Roman" w:hAnsi="Times New Roman"/>
          <w:kern w:val="22"/>
          <w:lang w:eastAsia="hi-IN" w:bidi="hi-IN"/>
        </w:rPr>
        <w:t>.</w:t>
      </w:r>
      <w:r w:rsidR="00946666">
        <w:rPr>
          <w:rFonts w:ascii="Times New Roman" w:hAnsi="Times New Roman"/>
          <w:kern w:val="22"/>
          <w:lang w:eastAsia="hi-IN" w:bidi="hi-IN"/>
        </w:rPr>
        <w:t xml:space="preserve"> mandate, capacity, knowledge, etc</w:t>
      </w:r>
      <w:r w:rsidR="00605818">
        <w:rPr>
          <w:rFonts w:ascii="Times New Roman" w:hAnsi="Times New Roman"/>
          <w:kern w:val="22"/>
          <w:lang w:eastAsia="hi-IN" w:bidi="hi-IN"/>
        </w:rPr>
        <w:t>.</w:t>
      </w:r>
      <w:r w:rsidR="00946666">
        <w:rPr>
          <w:rFonts w:ascii="Times New Roman" w:hAnsi="Times New Roman"/>
          <w:kern w:val="22"/>
          <w:lang w:eastAsia="hi-IN" w:bidi="hi-IN"/>
        </w:rPr>
        <w:t xml:space="preserve">) to </w:t>
      </w:r>
      <w:r w:rsidR="008F05CC">
        <w:rPr>
          <w:rFonts w:ascii="Times New Roman" w:hAnsi="Times New Roman"/>
          <w:kern w:val="22"/>
          <w:lang w:eastAsia="hi-IN" w:bidi="hi-IN"/>
        </w:rPr>
        <w:t>have a meaningful impact</w:t>
      </w:r>
      <w:r w:rsidR="0072460B">
        <w:rPr>
          <w:rFonts w:ascii="Times New Roman" w:hAnsi="Times New Roman"/>
          <w:kern w:val="22"/>
          <w:lang w:eastAsia="hi-IN" w:bidi="hi-IN"/>
        </w:rPr>
        <w:t xml:space="preserve"> on its own.</w:t>
      </w:r>
      <w:r w:rsidR="00A36278">
        <w:rPr>
          <w:rFonts w:ascii="Times New Roman" w:hAnsi="Times New Roman"/>
          <w:kern w:val="22"/>
          <w:lang w:eastAsia="hi-IN" w:bidi="hi-IN"/>
        </w:rPr>
        <w:t xml:space="preserve"> </w:t>
      </w:r>
    </w:p>
    <w:p w14:paraId="24B974E5" w14:textId="234B9CCE" w:rsidR="003E5DA7" w:rsidRPr="001B7F0E" w:rsidRDefault="003E5DA7" w:rsidP="001B7F0E">
      <w:pPr>
        <w:suppressAutoHyphens/>
        <w:spacing w:after="120" w:line="240" w:lineRule="auto"/>
        <w:jc w:val="both"/>
        <w:rPr>
          <w:rFonts w:ascii="Times New Roman" w:hAnsi="Times New Roman"/>
          <w:kern w:val="22"/>
          <w:lang w:eastAsia="hi-IN" w:bidi="hi-IN"/>
        </w:rPr>
      </w:pPr>
      <w:r>
        <w:rPr>
          <w:rFonts w:ascii="Times New Roman" w:hAnsi="Times New Roman"/>
          <w:kern w:val="22"/>
          <w:lang w:eastAsia="hi-IN" w:bidi="hi-IN"/>
        </w:rPr>
        <w:t>Finally, as synthetic biology will continue to gro</w:t>
      </w:r>
      <w:r w:rsidR="0090187C">
        <w:rPr>
          <w:rFonts w:ascii="Times New Roman" w:hAnsi="Times New Roman"/>
          <w:kern w:val="22"/>
          <w:lang w:eastAsia="hi-IN" w:bidi="hi-IN"/>
        </w:rPr>
        <w:t xml:space="preserve">w in relevance and importance due to the opportunities that it offers towards solving global challenges, it is imperative that resources are available </w:t>
      </w:r>
      <w:r w:rsidR="00325382">
        <w:rPr>
          <w:rFonts w:ascii="Times New Roman" w:hAnsi="Times New Roman"/>
          <w:kern w:val="22"/>
          <w:lang w:eastAsia="hi-IN" w:bidi="hi-IN"/>
        </w:rPr>
        <w:t>concurrently for re</w:t>
      </w:r>
      <w:r w:rsidR="00942573">
        <w:rPr>
          <w:rFonts w:ascii="Times New Roman" w:hAnsi="Times New Roman"/>
          <w:kern w:val="22"/>
          <w:lang w:eastAsia="hi-IN" w:bidi="hi-IN"/>
        </w:rPr>
        <w:t>se</w:t>
      </w:r>
      <w:r w:rsidR="00325382">
        <w:rPr>
          <w:rFonts w:ascii="Times New Roman" w:hAnsi="Times New Roman"/>
          <w:kern w:val="22"/>
          <w:lang w:eastAsia="hi-IN" w:bidi="hi-IN"/>
        </w:rPr>
        <w:t>arch and development, and for the development and</w:t>
      </w:r>
      <w:r w:rsidR="009543F5">
        <w:rPr>
          <w:rFonts w:ascii="Times New Roman" w:hAnsi="Times New Roman"/>
          <w:kern w:val="22"/>
          <w:lang w:eastAsia="hi-IN" w:bidi="hi-IN"/>
        </w:rPr>
        <w:t>/</w:t>
      </w:r>
      <w:r w:rsidR="00325382">
        <w:rPr>
          <w:rFonts w:ascii="Times New Roman" w:hAnsi="Times New Roman"/>
          <w:kern w:val="22"/>
          <w:lang w:eastAsia="hi-IN" w:bidi="hi-IN"/>
        </w:rPr>
        <w:t xml:space="preserve">or adaptation of regulatory systems that could provide the needed safety that should accompany any potential use. </w:t>
      </w:r>
    </w:p>
    <w:p w14:paraId="33A64B3D" w14:textId="4064B766" w:rsidR="00320683" w:rsidRDefault="00320683" w:rsidP="00320683">
      <w:pPr>
        <w:suppressAutoHyphens/>
        <w:spacing w:after="120" w:line="240" w:lineRule="auto"/>
        <w:jc w:val="center"/>
        <w:rPr>
          <w:rFonts w:ascii="Times New Roman" w:hAnsi="Times New Roman"/>
          <w:kern w:val="22"/>
          <w:lang w:eastAsia="hi-IN" w:bidi="hi-IN"/>
        </w:rPr>
      </w:pPr>
    </w:p>
    <w:bookmarkEnd w:id="147"/>
    <w:p w14:paraId="4C4F1BC6" w14:textId="5BCC39EA" w:rsidR="00DA5126" w:rsidRDefault="00DA5126" w:rsidP="00DA5126">
      <w:pPr>
        <w:spacing w:afterLines="60" w:after="144" w:line="240" w:lineRule="auto"/>
        <w:rPr>
          <w:rFonts w:ascii="Times New Roman" w:hAnsi="Times New Roman"/>
          <w:kern w:val="22"/>
          <w:lang w:eastAsia="hi-IN" w:bidi="hi-IN"/>
        </w:rPr>
      </w:pPr>
      <w:r>
        <w:rPr>
          <w:rFonts w:ascii="Times New Roman" w:hAnsi="Times New Roman"/>
          <w:kern w:val="22"/>
          <w:lang w:eastAsia="hi-IN" w:bidi="hi-IN"/>
        </w:rPr>
        <w:br w:type="page"/>
      </w:r>
    </w:p>
    <w:p w14:paraId="44D6B38E" w14:textId="3FBEEDC0" w:rsidR="00646179" w:rsidRPr="00F8168D" w:rsidRDefault="00DA5126" w:rsidP="00EE4037">
      <w:pPr>
        <w:spacing w:afterLines="60" w:after="144" w:line="240" w:lineRule="auto"/>
        <w:jc w:val="center"/>
        <w:rPr>
          <w:rFonts w:ascii="Times New Roman Bold" w:hAnsi="Times New Roman Bold" w:cs="Times New Roman Bold"/>
          <w:b/>
          <w:bCs/>
          <w:caps/>
          <w:kern w:val="22"/>
          <w:lang w:val="fr-CA"/>
        </w:rPr>
      </w:pPr>
      <w:r w:rsidRPr="00F8168D">
        <w:rPr>
          <w:rFonts w:ascii="Times New Roman Bold" w:hAnsi="Times New Roman Bold" w:cs="Times New Roman Bold"/>
          <w:b/>
          <w:bCs/>
          <w:caps/>
          <w:kern w:val="22"/>
          <w:lang w:val="fr-CA"/>
        </w:rPr>
        <w:t>Bibliographic References</w:t>
      </w:r>
    </w:p>
    <w:p w14:paraId="313C36A7" w14:textId="569696F8" w:rsidR="00310E7E" w:rsidRPr="00F8168D" w:rsidRDefault="00DA5126" w:rsidP="00E548AD">
      <w:pPr>
        <w:widowControl w:val="0"/>
        <w:autoSpaceDE w:val="0"/>
        <w:autoSpaceDN w:val="0"/>
        <w:adjustRightInd w:val="0"/>
        <w:spacing w:after="140" w:line="240" w:lineRule="auto"/>
        <w:ind w:left="480" w:hanging="480"/>
        <w:rPr>
          <w:rFonts w:ascii="Times New Roman" w:hAnsi="Times New Roman"/>
          <w:noProof/>
          <w:szCs w:val="24"/>
          <w:lang w:val="fr-CA"/>
        </w:rPr>
      </w:pPr>
      <w:r>
        <w:rPr>
          <w:rFonts w:ascii="Times New Roman" w:hAnsi="Times New Roman"/>
          <w:kern w:val="22"/>
          <w:u w:val="single"/>
        </w:rPr>
        <w:fldChar w:fldCharType="begin" w:fldLock="1"/>
      </w:r>
      <w:r w:rsidRPr="00F8168D">
        <w:rPr>
          <w:rFonts w:ascii="Times New Roman" w:hAnsi="Times New Roman"/>
          <w:kern w:val="22"/>
          <w:u w:val="single"/>
          <w:lang w:val="fr-CA"/>
        </w:rPr>
        <w:instrText xml:space="preserve">ADDIN Mendeley Bibliography CSL_BIBLIOGRAPHY </w:instrText>
      </w:r>
      <w:r>
        <w:rPr>
          <w:rFonts w:ascii="Times New Roman" w:hAnsi="Times New Roman"/>
          <w:kern w:val="22"/>
          <w:u w:val="single"/>
        </w:rPr>
        <w:fldChar w:fldCharType="separate"/>
      </w:r>
    </w:p>
    <w:p w14:paraId="7A6A13E0" w14:textId="782B668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fr-CA"/>
        </w:rPr>
        <w:t xml:space="preserve">Aarts, M., &amp; te Riele, H. (2010). </w:t>
      </w:r>
      <w:r w:rsidRPr="00310E7E">
        <w:rPr>
          <w:rFonts w:ascii="Times New Roman" w:hAnsi="Times New Roman"/>
          <w:noProof/>
          <w:szCs w:val="24"/>
        </w:rPr>
        <w:t xml:space="preserve">Subtle gene modification in mouse ES cells: evidence for incorporation of unmodified oligonucleotides without induction of DNA damage. </w:t>
      </w:r>
      <w:r w:rsidRPr="00310E7E">
        <w:rPr>
          <w:rFonts w:ascii="Times New Roman" w:hAnsi="Times New Roman"/>
          <w:i/>
          <w:iCs/>
          <w:noProof/>
          <w:szCs w:val="24"/>
        </w:rPr>
        <w:t>Nucleic Acids Research</w:t>
      </w:r>
      <w:r w:rsidRPr="00310E7E">
        <w:rPr>
          <w:rFonts w:ascii="Times New Roman" w:hAnsi="Times New Roman"/>
          <w:noProof/>
          <w:szCs w:val="24"/>
        </w:rPr>
        <w:t xml:space="preserve">, </w:t>
      </w:r>
      <w:r w:rsidRPr="00310E7E">
        <w:rPr>
          <w:rFonts w:ascii="Times New Roman" w:hAnsi="Times New Roman"/>
          <w:i/>
          <w:iCs/>
          <w:noProof/>
          <w:szCs w:val="24"/>
        </w:rPr>
        <w:t>38</w:t>
      </w:r>
      <w:r w:rsidRPr="00310E7E">
        <w:rPr>
          <w:rFonts w:ascii="Times New Roman" w:hAnsi="Times New Roman"/>
          <w:noProof/>
          <w:szCs w:val="24"/>
        </w:rPr>
        <w:t xml:space="preserve">(20), 6956–6967. </w:t>
      </w:r>
      <w:hyperlink r:id="rId31" w:history="1">
        <w:r w:rsidRPr="00E548AD">
          <w:rPr>
            <w:rStyle w:val="Hyperlink"/>
            <w:rFonts w:ascii="Times New Roman" w:hAnsi="Times New Roman"/>
            <w:noProof/>
            <w:szCs w:val="24"/>
          </w:rPr>
          <w:t>https://doi.org/10.1093/nar/gkq589</w:t>
        </w:r>
      </w:hyperlink>
    </w:p>
    <w:p w14:paraId="528960E6" w14:textId="05D6AB2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Abdullah, B., Syed Muhammad, S. A. F., Shokravi, Z., Ismail, S., Kassim, K. A., Mahmood, A. N., &amp; Aziz, M. M. A. (2019). Fourth generation biofuel: A review on risks and mitigation strategies. </w:t>
      </w:r>
      <w:r w:rsidRPr="00310E7E">
        <w:rPr>
          <w:rFonts w:ascii="Times New Roman" w:hAnsi="Times New Roman"/>
          <w:i/>
          <w:iCs/>
          <w:noProof/>
          <w:szCs w:val="24"/>
        </w:rPr>
        <w:t>Renewable and Sustainable Energy Reviews</w:t>
      </w:r>
      <w:r w:rsidRPr="00310E7E">
        <w:rPr>
          <w:rFonts w:ascii="Times New Roman" w:hAnsi="Times New Roman"/>
          <w:noProof/>
          <w:szCs w:val="24"/>
        </w:rPr>
        <w:t xml:space="preserve">, </w:t>
      </w:r>
      <w:r w:rsidRPr="00310E7E">
        <w:rPr>
          <w:rFonts w:ascii="Times New Roman" w:hAnsi="Times New Roman"/>
          <w:i/>
          <w:iCs/>
          <w:noProof/>
          <w:szCs w:val="24"/>
        </w:rPr>
        <w:t>107</w:t>
      </w:r>
      <w:r w:rsidRPr="00310E7E">
        <w:rPr>
          <w:rFonts w:ascii="Times New Roman" w:hAnsi="Times New Roman"/>
          <w:noProof/>
          <w:szCs w:val="24"/>
        </w:rPr>
        <w:t xml:space="preserve">, 37–50. </w:t>
      </w:r>
      <w:hyperlink r:id="rId32" w:history="1">
        <w:r w:rsidRPr="00E548AD">
          <w:rPr>
            <w:rStyle w:val="Hyperlink"/>
            <w:rFonts w:ascii="Times New Roman" w:hAnsi="Times New Roman"/>
            <w:noProof/>
            <w:szCs w:val="24"/>
          </w:rPr>
          <w:t>https://doi.org/10.1016/j.rser.2019.02.018</w:t>
        </w:r>
      </w:hyperlink>
    </w:p>
    <w:p w14:paraId="7B574060" w14:textId="192BE1A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Academy of Science of South Africa. (2016). </w:t>
      </w:r>
      <w:r w:rsidRPr="00310E7E">
        <w:rPr>
          <w:rFonts w:ascii="Times New Roman" w:hAnsi="Times New Roman"/>
          <w:i/>
          <w:iCs/>
          <w:noProof/>
          <w:szCs w:val="24"/>
        </w:rPr>
        <w:t>The Regulatory Implications of New Breeding Techniques</w:t>
      </w:r>
      <w:r w:rsidRPr="00310E7E">
        <w:rPr>
          <w:rFonts w:ascii="Times New Roman" w:hAnsi="Times New Roman"/>
          <w:noProof/>
          <w:szCs w:val="24"/>
        </w:rPr>
        <w:t xml:space="preserve">. </w:t>
      </w:r>
      <w:hyperlink r:id="rId33" w:history="1">
        <w:r w:rsidRPr="00AB70AC">
          <w:rPr>
            <w:rStyle w:val="Hyperlink"/>
            <w:rFonts w:ascii="Times New Roman" w:hAnsi="Times New Roman"/>
            <w:noProof/>
            <w:szCs w:val="24"/>
          </w:rPr>
          <w:t>https://doi.org/10.17159/assaf.2016/0011</w:t>
        </w:r>
      </w:hyperlink>
    </w:p>
    <w:p w14:paraId="5D4DA77F" w14:textId="55FFB03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es-ES"/>
        </w:rPr>
        <w:t xml:space="preserve">Acevedo-Rocha, C. G., &amp; Budisa, N. (2016). </w:t>
      </w:r>
      <w:r w:rsidRPr="00310E7E">
        <w:rPr>
          <w:rFonts w:ascii="Times New Roman" w:hAnsi="Times New Roman"/>
          <w:noProof/>
          <w:szCs w:val="24"/>
        </w:rPr>
        <w:t xml:space="preserve">Xenomicrobiology: a roadmap for genetic code engineering. </w:t>
      </w:r>
      <w:r w:rsidRPr="00310E7E">
        <w:rPr>
          <w:rFonts w:ascii="Times New Roman" w:hAnsi="Times New Roman"/>
          <w:i/>
          <w:iCs/>
          <w:noProof/>
          <w:szCs w:val="24"/>
        </w:rPr>
        <w:t>Microbial Biotechnology</w:t>
      </w:r>
      <w:r w:rsidRPr="00310E7E">
        <w:rPr>
          <w:rFonts w:ascii="Times New Roman" w:hAnsi="Times New Roman"/>
          <w:noProof/>
          <w:szCs w:val="24"/>
        </w:rPr>
        <w:t xml:space="preserve">, </w:t>
      </w:r>
      <w:r w:rsidRPr="00310E7E">
        <w:rPr>
          <w:rFonts w:ascii="Times New Roman" w:hAnsi="Times New Roman"/>
          <w:i/>
          <w:iCs/>
          <w:noProof/>
          <w:szCs w:val="24"/>
        </w:rPr>
        <w:t>9</w:t>
      </w:r>
      <w:r w:rsidRPr="00310E7E">
        <w:rPr>
          <w:rFonts w:ascii="Times New Roman" w:hAnsi="Times New Roman"/>
          <w:noProof/>
          <w:szCs w:val="24"/>
        </w:rPr>
        <w:t xml:space="preserve">(5), 666–676. </w:t>
      </w:r>
      <w:hyperlink r:id="rId34" w:history="1">
        <w:r w:rsidRPr="00AB70AC">
          <w:rPr>
            <w:rStyle w:val="Hyperlink"/>
            <w:rFonts w:ascii="Times New Roman" w:hAnsi="Times New Roman"/>
            <w:noProof/>
            <w:szCs w:val="24"/>
          </w:rPr>
          <w:t>https://doi.org/10.1111/1751-7915.12398</w:t>
        </w:r>
      </w:hyperlink>
    </w:p>
    <w:p w14:paraId="071FA076" w14:textId="3AFD264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Adli, M. (2018). The CRISPR tool kit for genome editing and beyond. </w:t>
      </w:r>
      <w:r w:rsidRPr="00310E7E">
        <w:rPr>
          <w:rFonts w:ascii="Times New Roman" w:hAnsi="Times New Roman"/>
          <w:i/>
          <w:iCs/>
          <w:noProof/>
          <w:szCs w:val="24"/>
        </w:rPr>
        <w:t>Nature Communications</w:t>
      </w:r>
      <w:r w:rsidRPr="00310E7E">
        <w:rPr>
          <w:rFonts w:ascii="Times New Roman" w:hAnsi="Times New Roman"/>
          <w:noProof/>
          <w:szCs w:val="24"/>
        </w:rPr>
        <w:t xml:space="preserve">, </w:t>
      </w:r>
      <w:r w:rsidRPr="00310E7E">
        <w:rPr>
          <w:rFonts w:ascii="Times New Roman" w:hAnsi="Times New Roman"/>
          <w:i/>
          <w:iCs/>
          <w:noProof/>
          <w:szCs w:val="24"/>
        </w:rPr>
        <w:t>9</w:t>
      </w:r>
      <w:r w:rsidRPr="00310E7E">
        <w:rPr>
          <w:rFonts w:ascii="Times New Roman" w:hAnsi="Times New Roman"/>
          <w:noProof/>
          <w:szCs w:val="24"/>
        </w:rPr>
        <w:t xml:space="preserve">(1), 1911. </w:t>
      </w:r>
      <w:hyperlink r:id="rId35" w:history="1">
        <w:r w:rsidRPr="00AB70AC">
          <w:rPr>
            <w:rStyle w:val="Hyperlink"/>
            <w:rFonts w:ascii="Times New Roman" w:hAnsi="Times New Roman"/>
            <w:noProof/>
            <w:szCs w:val="24"/>
          </w:rPr>
          <w:t>https://doi.org/10.1038/s41467-018-04252-2</w:t>
        </w:r>
      </w:hyperlink>
    </w:p>
    <w:p w14:paraId="635B82DE" w14:textId="1E72269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Adolfi, A., Gantz, V. M., Jasinskiene, N., Lee, H. F., Hwang, K., Terradas, G., Bulger, E. A., Ramaiah, A., Bennett, J. B., Emerson, J. J., Marshall, J. M., Bier, E., &amp; James, A. A. (2020). Efficient population modification gene-drive rescue system in the malaria mosquito </w:t>
      </w:r>
      <w:r w:rsidRPr="00AB70AC">
        <w:rPr>
          <w:rFonts w:ascii="Times New Roman" w:hAnsi="Times New Roman"/>
          <w:i/>
          <w:iCs/>
          <w:noProof/>
          <w:szCs w:val="24"/>
        </w:rPr>
        <w:t>Anopheles stephensi</w:t>
      </w:r>
      <w:r w:rsidRPr="00310E7E">
        <w:rPr>
          <w:rFonts w:ascii="Times New Roman" w:hAnsi="Times New Roman"/>
          <w:noProof/>
          <w:szCs w:val="24"/>
        </w:rPr>
        <w:t xml:space="preserve">. </w:t>
      </w:r>
      <w:r w:rsidRPr="00310E7E">
        <w:rPr>
          <w:rFonts w:ascii="Times New Roman" w:hAnsi="Times New Roman"/>
          <w:i/>
          <w:iCs/>
          <w:noProof/>
          <w:szCs w:val="24"/>
        </w:rPr>
        <w:t>Nature Communications</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(1), 1–13. </w:t>
      </w:r>
      <w:hyperlink r:id="rId36" w:history="1">
        <w:r w:rsidRPr="00AB70AC">
          <w:rPr>
            <w:rStyle w:val="Hyperlink"/>
            <w:rFonts w:ascii="Times New Roman" w:hAnsi="Times New Roman"/>
            <w:noProof/>
            <w:szCs w:val="24"/>
          </w:rPr>
          <w:t>https://doi.org/10.1038/s41467-020-19426-0</w:t>
        </w:r>
      </w:hyperlink>
    </w:p>
    <w:p w14:paraId="48B85ABC" w14:textId="5A0CC3D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African Centre for Biodiversity. (2020). </w:t>
      </w:r>
      <w:r w:rsidRPr="00310E7E">
        <w:rPr>
          <w:rFonts w:ascii="Times New Roman" w:hAnsi="Times New Roman"/>
          <w:i/>
          <w:iCs/>
          <w:noProof/>
          <w:szCs w:val="24"/>
        </w:rPr>
        <w:t>Genome Editing. The Next GM Techno Fix Doomed To Fail. Regulatory Issues and Threats for Africa.</w:t>
      </w:r>
      <w:r w:rsidR="00BD5128" w:rsidRPr="00BD5128">
        <w:t xml:space="preserve"> </w:t>
      </w:r>
      <w:hyperlink r:id="rId37" w:history="1">
        <w:r w:rsidR="00BD5128" w:rsidRPr="00BD5128">
          <w:rPr>
            <w:rStyle w:val="Hyperlink"/>
            <w:rFonts w:ascii="Times New Roman" w:hAnsi="Times New Roman"/>
            <w:i/>
            <w:iCs/>
            <w:noProof/>
            <w:szCs w:val="24"/>
          </w:rPr>
          <w:t>https://www.acbio.org.za/sites/default/files/documents/202010/genome-editing-next-gm-techno-fix-doomed-fail-regulatory-issues-and-threats-africa_0.pdf</w:t>
        </w:r>
      </w:hyperlink>
    </w:p>
    <w:p w14:paraId="637DC133" w14:textId="2C6A20F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Agabi, O. E., Renault, R., Mann, W., Neel, J.-C., Sadrian, B., &amp; Gai, Y. (2019). </w:t>
      </w:r>
      <w:r w:rsidRPr="00310E7E">
        <w:rPr>
          <w:rFonts w:ascii="Times New Roman" w:hAnsi="Times New Roman"/>
          <w:i/>
          <w:iCs/>
          <w:noProof/>
          <w:szCs w:val="24"/>
        </w:rPr>
        <w:t>Devices and methods to combine neurons with silicon devices, WO2019040910A1</w:t>
      </w:r>
      <w:r w:rsidRPr="00310E7E">
        <w:rPr>
          <w:rFonts w:ascii="Times New Roman" w:hAnsi="Times New Roman"/>
          <w:noProof/>
          <w:szCs w:val="24"/>
        </w:rPr>
        <w:t xml:space="preserve"> (Vol. 19, Issue 12). </w:t>
      </w:r>
      <w:hyperlink r:id="rId38" w:history="1">
        <w:r w:rsidRPr="00BD5128">
          <w:rPr>
            <w:rStyle w:val="Hyperlink"/>
            <w:rFonts w:ascii="Times New Roman" w:hAnsi="Times New Roman"/>
            <w:noProof/>
            <w:szCs w:val="24"/>
          </w:rPr>
          <w:t>https://patents.google.com/patent/WO2019040910A1/</w:t>
        </w:r>
      </w:hyperlink>
    </w:p>
    <w:p w14:paraId="6A69B8BC" w14:textId="769EBDC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Agapito-Tenfen, S. Z. (2016). Biosafety aspects of genome-editing techniques. In </w:t>
      </w:r>
      <w:r w:rsidRPr="00310E7E">
        <w:rPr>
          <w:rFonts w:ascii="Times New Roman" w:hAnsi="Times New Roman"/>
          <w:i/>
          <w:iCs/>
          <w:noProof/>
          <w:szCs w:val="24"/>
        </w:rPr>
        <w:t>Biosafety Breifing</w:t>
      </w:r>
      <w:r w:rsidRPr="00310E7E">
        <w:rPr>
          <w:rFonts w:ascii="Times New Roman" w:hAnsi="Times New Roman"/>
          <w:noProof/>
          <w:szCs w:val="24"/>
        </w:rPr>
        <w:t xml:space="preserve"> (p. 11). Third World Network &amp; African Centre for Biodiversity. </w:t>
      </w:r>
      <w:hyperlink r:id="rId39" w:history="1">
        <w:r w:rsidRPr="00BD5128">
          <w:rPr>
            <w:rStyle w:val="Hyperlink"/>
            <w:rFonts w:ascii="Times New Roman" w:hAnsi="Times New Roman"/>
            <w:noProof/>
            <w:szCs w:val="24"/>
          </w:rPr>
          <w:t>https://www.acbio.org.za/sites/default/files/2016/11/Biosafety_briefing_genome.pdf</w:t>
        </w:r>
      </w:hyperlink>
    </w:p>
    <w:p w14:paraId="74E1041F" w14:textId="6DC4E65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Agapito-Tenfen, S. Z., Okoli, A. S., Bernstein, M. J., Wikmark, O.-G., &amp; Myhr, A. I. (2018). Revisiting Risk Governance of GM Plants: The Need to Consider New and Emerging Gene-Editing Techniques.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9</w:t>
      </w:r>
      <w:r w:rsidRPr="00310E7E">
        <w:rPr>
          <w:rFonts w:ascii="Times New Roman" w:hAnsi="Times New Roman"/>
          <w:noProof/>
          <w:szCs w:val="24"/>
        </w:rPr>
        <w:t xml:space="preserve">. </w:t>
      </w:r>
      <w:hyperlink r:id="rId40" w:history="1">
        <w:r w:rsidRPr="00BD5128">
          <w:rPr>
            <w:rStyle w:val="Hyperlink"/>
            <w:rFonts w:ascii="Times New Roman" w:hAnsi="Times New Roman"/>
            <w:noProof/>
            <w:szCs w:val="24"/>
          </w:rPr>
          <w:t>https://doi.org/10.3389/fpls.2018.01874</w:t>
        </w:r>
      </w:hyperlink>
    </w:p>
    <w:p w14:paraId="776814D1" w14:textId="152B48A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Ahmed, S., Gao, X., Jahan, M. A., Adams, M., Wu, N., &amp; Kovinich, N. (2021). Nanoparticle-based genetic transformation of </w:t>
      </w:r>
      <w:r w:rsidRPr="00BD5128">
        <w:rPr>
          <w:rFonts w:ascii="Times New Roman" w:hAnsi="Times New Roman"/>
          <w:i/>
          <w:iCs/>
          <w:noProof/>
          <w:szCs w:val="24"/>
        </w:rPr>
        <w:t>Cannabis sativa</w:t>
      </w:r>
      <w:r w:rsidRPr="00310E7E">
        <w:rPr>
          <w:rFonts w:ascii="Times New Roman" w:hAnsi="Times New Roman"/>
          <w:noProof/>
          <w:szCs w:val="24"/>
        </w:rPr>
        <w:t xml:space="preserve">. </w:t>
      </w:r>
      <w:r w:rsidRPr="00310E7E">
        <w:rPr>
          <w:rFonts w:ascii="Times New Roman" w:hAnsi="Times New Roman"/>
          <w:i/>
          <w:iCs/>
          <w:noProof/>
          <w:szCs w:val="24"/>
        </w:rPr>
        <w:t>Journal of Biotechnology</w:t>
      </w:r>
      <w:r w:rsidRPr="00310E7E">
        <w:rPr>
          <w:rFonts w:ascii="Times New Roman" w:hAnsi="Times New Roman"/>
          <w:noProof/>
          <w:szCs w:val="24"/>
        </w:rPr>
        <w:t xml:space="preserve">, </w:t>
      </w:r>
      <w:r w:rsidRPr="00310E7E">
        <w:rPr>
          <w:rFonts w:ascii="Times New Roman" w:hAnsi="Times New Roman"/>
          <w:i/>
          <w:iCs/>
          <w:noProof/>
          <w:szCs w:val="24"/>
        </w:rPr>
        <w:t>326</w:t>
      </w:r>
      <w:r w:rsidRPr="00310E7E">
        <w:rPr>
          <w:rFonts w:ascii="Times New Roman" w:hAnsi="Times New Roman"/>
          <w:noProof/>
          <w:szCs w:val="24"/>
        </w:rPr>
        <w:t xml:space="preserve">, 48–51. </w:t>
      </w:r>
      <w:hyperlink r:id="rId41" w:history="1">
        <w:r w:rsidRPr="00BD5128">
          <w:rPr>
            <w:rStyle w:val="Hyperlink"/>
            <w:rFonts w:ascii="Times New Roman" w:hAnsi="Times New Roman"/>
            <w:noProof/>
            <w:szCs w:val="24"/>
          </w:rPr>
          <w:t>https://doi.org/10.1016/j.jbiotec.2020.12.014</w:t>
        </w:r>
      </w:hyperlink>
    </w:p>
    <w:p w14:paraId="6EF383FE" w14:textId="73FDAE9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es-ES"/>
        </w:rPr>
        <w:t xml:space="preserve">Ahrén, M., Ali, N., Cabrera Medaglia, J. A., Greiber, T., Kamau, E. C., Nieto Carrasco, J., Oliva, M. J., Pena Moreno, S., Perron-Welch, F., &amp; Williams, C. (2012). </w:t>
      </w:r>
      <w:r w:rsidRPr="00310E7E">
        <w:rPr>
          <w:rFonts w:ascii="Times New Roman" w:hAnsi="Times New Roman"/>
          <w:i/>
          <w:iCs/>
          <w:noProof/>
          <w:szCs w:val="24"/>
        </w:rPr>
        <w:t>An explanatory guide to the Nagoya Protocol on access and benefit-sharing</w:t>
      </w:r>
      <w:r w:rsidRPr="00310E7E">
        <w:rPr>
          <w:rFonts w:ascii="Times New Roman" w:hAnsi="Times New Roman"/>
          <w:noProof/>
          <w:szCs w:val="24"/>
        </w:rPr>
        <w:t xml:space="preserve">. </w:t>
      </w:r>
      <w:hyperlink r:id="rId42" w:history="1">
        <w:r w:rsidRPr="00BD5128">
          <w:rPr>
            <w:rStyle w:val="Hyperlink"/>
            <w:rFonts w:ascii="Times New Roman" w:hAnsi="Times New Roman"/>
            <w:noProof/>
            <w:szCs w:val="24"/>
          </w:rPr>
          <w:t>https://www.iucn.org/content/explanatory-guide-nagoya-protocol-access-and-benefit-sharing</w:t>
        </w:r>
      </w:hyperlink>
    </w:p>
    <w:p w14:paraId="0F1BA109" w14:textId="4A9BF39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Akbari, O. S., Bellen, H. J., Bier, E., Bullock, S. L., Burt, A., Church, G. M., Cook, K. R., Duchek, P., Edwards, O. R., Esvelt, K. M., Gantz, V. M., Golic, K. G., Gratz, S. J., Harrison, M. M., Hayes, K. R., James, A. A., Kaufman, T. C., Knoblich, J., Malik, H. S., … Wildonger, J. (2015). Safeguarding gene drive experiments in the laboratory.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349</w:t>
      </w:r>
      <w:r w:rsidRPr="00310E7E">
        <w:rPr>
          <w:rFonts w:ascii="Times New Roman" w:hAnsi="Times New Roman"/>
          <w:noProof/>
          <w:szCs w:val="24"/>
        </w:rPr>
        <w:t xml:space="preserve">(6251), 927–929. </w:t>
      </w:r>
      <w:hyperlink r:id="rId43" w:history="1">
        <w:r w:rsidRPr="00BD5128">
          <w:rPr>
            <w:rStyle w:val="Hyperlink"/>
            <w:rFonts w:ascii="Times New Roman" w:hAnsi="Times New Roman"/>
            <w:noProof/>
            <w:szCs w:val="24"/>
          </w:rPr>
          <w:t>https://doi.org/10.1126/science.aac7932</w:t>
        </w:r>
      </w:hyperlink>
    </w:p>
    <w:p w14:paraId="31FD9031" w14:textId="45F3540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Alarcon, C. M., Shan, G., Layton, D. T., Bell, T. A., Whipkey, S., &amp; Shillito, R. D. (2019). Application of DNA- and Protein-Based Detection Methods in Agricultural Biotechnology. </w:t>
      </w:r>
      <w:r w:rsidRPr="00310E7E">
        <w:rPr>
          <w:rFonts w:ascii="Times New Roman" w:hAnsi="Times New Roman"/>
          <w:i/>
          <w:iCs/>
          <w:noProof/>
          <w:szCs w:val="24"/>
        </w:rPr>
        <w:t>Journal of Agricultural and Food Chemistry</w:t>
      </w:r>
      <w:r w:rsidRPr="00310E7E">
        <w:rPr>
          <w:rFonts w:ascii="Times New Roman" w:hAnsi="Times New Roman"/>
          <w:noProof/>
          <w:szCs w:val="24"/>
        </w:rPr>
        <w:t xml:space="preserve">, </w:t>
      </w:r>
      <w:r w:rsidRPr="00310E7E">
        <w:rPr>
          <w:rFonts w:ascii="Times New Roman" w:hAnsi="Times New Roman"/>
          <w:i/>
          <w:iCs/>
          <w:noProof/>
          <w:szCs w:val="24"/>
        </w:rPr>
        <w:t>67</w:t>
      </w:r>
      <w:r w:rsidRPr="00310E7E">
        <w:rPr>
          <w:rFonts w:ascii="Times New Roman" w:hAnsi="Times New Roman"/>
          <w:noProof/>
          <w:szCs w:val="24"/>
        </w:rPr>
        <w:t xml:space="preserve">(4), 1019–1028. </w:t>
      </w:r>
      <w:hyperlink r:id="rId44" w:history="1">
        <w:r w:rsidRPr="00BD5128">
          <w:rPr>
            <w:rStyle w:val="Hyperlink"/>
            <w:rFonts w:ascii="Times New Roman" w:hAnsi="Times New Roman"/>
            <w:noProof/>
            <w:szCs w:val="24"/>
          </w:rPr>
          <w:t>https://doi.org/10.1021/acs.jafc.8b05157</w:t>
        </w:r>
      </w:hyperlink>
    </w:p>
    <w:p w14:paraId="67916AEF" w14:textId="44CFC88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Alipanahi, B., Delong, A., Weirauch, M. T., &amp; Frey, B. J. (2015). Predicting the sequence specificities of DNA- and RNA-binding proteins by deep learning.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33</w:t>
      </w:r>
      <w:r w:rsidRPr="00310E7E">
        <w:rPr>
          <w:rFonts w:ascii="Times New Roman" w:hAnsi="Times New Roman"/>
          <w:noProof/>
          <w:szCs w:val="24"/>
        </w:rPr>
        <w:t xml:space="preserve">(8), 831–838. </w:t>
      </w:r>
      <w:hyperlink r:id="rId45" w:history="1">
        <w:r w:rsidRPr="00BD5128">
          <w:rPr>
            <w:rStyle w:val="Hyperlink"/>
            <w:rFonts w:ascii="Times New Roman" w:hAnsi="Times New Roman"/>
            <w:noProof/>
            <w:szCs w:val="24"/>
          </w:rPr>
          <w:t>https://doi.org/10.1038/nbt.3300</w:t>
        </w:r>
      </w:hyperlink>
    </w:p>
    <w:p w14:paraId="50C0496F" w14:textId="435553B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Alley, E. C., Khimulya, G., Biswas, S., AlQuraishi, M., &amp; Church, G. M. (2019). Unified rational protein engineering with sequence-based deep representation learning. </w:t>
      </w:r>
      <w:r w:rsidRPr="00310E7E">
        <w:rPr>
          <w:rFonts w:ascii="Times New Roman" w:hAnsi="Times New Roman"/>
          <w:i/>
          <w:iCs/>
          <w:noProof/>
          <w:szCs w:val="24"/>
        </w:rPr>
        <w:t>Nature Methods</w:t>
      </w:r>
      <w:r w:rsidRPr="00310E7E">
        <w:rPr>
          <w:rFonts w:ascii="Times New Roman" w:hAnsi="Times New Roman"/>
          <w:noProof/>
          <w:szCs w:val="24"/>
        </w:rPr>
        <w:t xml:space="preserve">, </w:t>
      </w:r>
      <w:r w:rsidRPr="00310E7E">
        <w:rPr>
          <w:rFonts w:ascii="Times New Roman" w:hAnsi="Times New Roman"/>
          <w:i/>
          <w:iCs/>
          <w:noProof/>
          <w:szCs w:val="24"/>
        </w:rPr>
        <w:t>16</w:t>
      </w:r>
      <w:r w:rsidRPr="00310E7E">
        <w:rPr>
          <w:rFonts w:ascii="Times New Roman" w:hAnsi="Times New Roman"/>
          <w:noProof/>
          <w:szCs w:val="24"/>
        </w:rPr>
        <w:t xml:space="preserve">(12), 1315–1322. </w:t>
      </w:r>
      <w:hyperlink r:id="rId46" w:history="1">
        <w:r w:rsidRPr="00BD5128">
          <w:rPr>
            <w:rStyle w:val="Hyperlink"/>
            <w:rFonts w:ascii="Times New Roman" w:hAnsi="Times New Roman"/>
            <w:noProof/>
            <w:szCs w:val="24"/>
          </w:rPr>
          <w:t>https://doi.org/10.1038/s41592-019-0598-1</w:t>
        </w:r>
      </w:hyperlink>
    </w:p>
    <w:p w14:paraId="7BCE15C4" w14:textId="62DE645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Alphey, L., Benedict, M., Bellini, R., Clark, G. G., Dame, D. A., Service, M. W., &amp; Dobson, S. L. (2009). Sterile-Insect Methods for Control of Mosquito-Borne Diseases: An Analysis. </w:t>
      </w:r>
      <w:r w:rsidRPr="00310E7E">
        <w:rPr>
          <w:rFonts w:ascii="Times New Roman" w:hAnsi="Times New Roman"/>
          <w:i/>
          <w:iCs/>
          <w:noProof/>
          <w:szCs w:val="24"/>
        </w:rPr>
        <w:t>Vector-Borne and Zoonotic Diseases</w:t>
      </w:r>
      <w:r w:rsidRPr="00310E7E">
        <w:rPr>
          <w:rFonts w:ascii="Times New Roman" w:hAnsi="Times New Roman"/>
          <w:noProof/>
          <w:szCs w:val="24"/>
        </w:rPr>
        <w:t xml:space="preserve">, </w:t>
      </w:r>
      <w:r w:rsidRPr="00310E7E">
        <w:rPr>
          <w:rFonts w:ascii="Times New Roman" w:hAnsi="Times New Roman"/>
          <w:i/>
          <w:iCs/>
          <w:noProof/>
          <w:szCs w:val="24"/>
        </w:rPr>
        <w:t>10</w:t>
      </w:r>
      <w:r w:rsidRPr="00310E7E">
        <w:rPr>
          <w:rFonts w:ascii="Times New Roman" w:hAnsi="Times New Roman"/>
          <w:noProof/>
          <w:szCs w:val="24"/>
        </w:rPr>
        <w:t xml:space="preserve">(3), 295–311. </w:t>
      </w:r>
      <w:hyperlink r:id="rId47" w:history="1">
        <w:r w:rsidRPr="00BD5128">
          <w:rPr>
            <w:rStyle w:val="Hyperlink"/>
            <w:rFonts w:ascii="Times New Roman" w:hAnsi="Times New Roman"/>
            <w:noProof/>
            <w:szCs w:val="24"/>
          </w:rPr>
          <w:t>https://doi.org/10.1089/vbz.2009.0014</w:t>
        </w:r>
      </w:hyperlink>
    </w:p>
    <w:p w14:paraId="2C25F65E" w14:textId="78E482D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Alphey, N., Bonsall, M. B., &amp; Alphey, L. (2009). Combining pest control and resistance management: Synergy of engineered insects with Bt crops. </w:t>
      </w:r>
      <w:r w:rsidRPr="00310E7E">
        <w:rPr>
          <w:rFonts w:ascii="Times New Roman" w:hAnsi="Times New Roman"/>
          <w:i/>
          <w:iCs/>
          <w:noProof/>
          <w:szCs w:val="24"/>
        </w:rPr>
        <w:t>Journal of Economic Entomology</w:t>
      </w:r>
      <w:r w:rsidRPr="00310E7E">
        <w:rPr>
          <w:rFonts w:ascii="Times New Roman" w:hAnsi="Times New Roman"/>
          <w:noProof/>
          <w:szCs w:val="24"/>
        </w:rPr>
        <w:t xml:space="preserve">, </w:t>
      </w:r>
      <w:r w:rsidRPr="00310E7E">
        <w:rPr>
          <w:rFonts w:ascii="Times New Roman" w:hAnsi="Times New Roman"/>
          <w:i/>
          <w:iCs/>
          <w:noProof/>
          <w:szCs w:val="24"/>
        </w:rPr>
        <w:t>102</w:t>
      </w:r>
      <w:r w:rsidRPr="00310E7E">
        <w:rPr>
          <w:rFonts w:ascii="Times New Roman" w:hAnsi="Times New Roman"/>
          <w:noProof/>
          <w:szCs w:val="24"/>
        </w:rPr>
        <w:t xml:space="preserve">(2), 717–732. </w:t>
      </w:r>
      <w:hyperlink r:id="rId48" w:history="1">
        <w:r w:rsidRPr="00BD5128">
          <w:rPr>
            <w:rStyle w:val="Hyperlink"/>
            <w:rFonts w:ascii="Times New Roman" w:hAnsi="Times New Roman"/>
            <w:noProof/>
            <w:szCs w:val="24"/>
          </w:rPr>
          <w:t>https://doi.org/10.1603/029.102.0233</w:t>
        </w:r>
      </w:hyperlink>
    </w:p>
    <w:p w14:paraId="476938DC" w14:textId="29F4326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Altenburg, W. J., Yewdall, N. A., Vervoort, D. F. M., van Stevendaal, M. H. M. E., Mason, A. F., &amp; van Hest, J. C. M. (2020). Programmed spatial organization of biomacromolecules into discrete, coacervate-based protocells. </w:t>
      </w:r>
      <w:r w:rsidRPr="00310E7E">
        <w:rPr>
          <w:rFonts w:ascii="Times New Roman" w:hAnsi="Times New Roman"/>
          <w:i/>
          <w:iCs/>
          <w:noProof/>
          <w:szCs w:val="24"/>
        </w:rPr>
        <w:t>Nature Communications</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(1), 1–10. </w:t>
      </w:r>
      <w:hyperlink r:id="rId49" w:history="1">
        <w:r w:rsidRPr="00BD5128">
          <w:rPr>
            <w:rStyle w:val="Hyperlink"/>
            <w:rFonts w:ascii="Times New Roman" w:hAnsi="Times New Roman"/>
            <w:noProof/>
            <w:szCs w:val="24"/>
          </w:rPr>
          <w:t>https://doi.org/10.1038/s41467-020-20124-0</w:t>
        </w:r>
      </w:hyperlink>
    </w:p>
    <w:p w14:paraId="2AB7190E" w14:textId="5828AC0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Amo, V. L. Del, Bishop, A. L., C, H. M. S., Bennett, J. B., Feng, X., Marshall, J. M., Bier, E., &amp; Gantz, V. M. (2020). A transcomplementing gene drive provides a flexible platform for laboratory investigation and potential field deployment. </w:t>
      </w:r>
      <w:r w:rsidRPr="00310E7E">
        <w:rPr>
          <w:rFonts w:ascii="Times New Roman" w:hAnsi="Times New Roman"/>
          <w:i/>
          <w:iCs/>
          <w:noProof/>
          <w:szCs w:val="24"/>
        </w:rPr>
        <w:t>Nature Communications</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(1), 1–12. </w:t>
      </w:r>
      <w:hyperlink r:id="rId50" w:history="1">
        <w:r w:rsidRPr="00980641">
          <w:rPr>
            <w:rStyle w:val="Hyperlink"/>
            <w:rFonts w:ascii="Times New Roman" w:hAnsi="Times New Roman"/>
            <w:noProof/>
            <w:szCs w:val="24"/>
          </w:rPr>
          <w:t>https://doi.org/10.1038/s41467-019-13977-7</w:t>
        </w:r>
      </w:hyperlink>
    </w:p>
    <w:p w14:paraId="4D48EC5A" w14:textId="31A070C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Anderson, K. C., Brevnova, E., Carlin, D. A., Carvalho, B., Flores, N., Forrest, K., McMahon, M., Merighi, M., Rodriguez, G., &amp; Wrenbeck, E. E. (2020). </w:t>
      </w:r>
      <w:r w:rsidRPr="00310E7E">
        <w:rPr>
          <w:rFonts w:ascii="Times New Roman" w:hAnsi="Times New Roman"/>
          <w:i/>
          <w:iCs/>
          <w:noProof/>
          <w:szCs w:val="24"/>
        </w:rPr>
        <w:t>Biosynthesis of Cannabinoids and Cannabinoid Precursors</w:t>
      </w:r>
      <w:r w:rsidRPr="00310E7E">
        <w:rPr>
          <w:rFonts w:ascii="Times New Roman" w:hAnsi="Times New Roman"/>
          <w:noProof/>
          <w:szCs w:val="24"/>
        </w:rPr>
        <w:t xml:space="preserve"> (Vol. 0, Issue 51). </w:t>
      </w:r>
      <w:hyperlink r:id="rId51" w:history="1">
        <w:r w:rsidRPr="00980641">
          <w:rPr>
            <w:rStyle w:val="Hyperlink"/>
            <w:rFonts w:ascii="Times New Roman" w:hAnsi="Times New Roman"/>
            <w:noProof/>
            <w:szCs w:val="24"/>
          </w:rPr>
          <w:t>https://www.lens.org/lens/patent/031-234-333-536-644</w:t>
        </w:r>
      </w:hyperlink>
    </w:p>
    <w:p w14:paraId="01A0105E" w14:textId="2084776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Annaluru, N., Muller, H., Mitchell, L. A., Ramalingam, S., Stracquadanio, G., Richardson, S. M., Dymond, J. S., Kuang, Z., Scheifele, L. Z., Cooper, E. M., Cai, Y., Zeller, K., Agmon, N., Han, J. S., Hadjithomas, M., Tullman, J., Caravelli, K., Cirelli, K., Guo, Z., … Chandrasegaran, S. (2014). Total Synthesis of a Functional Designer Eukaryotic Chromosome.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344</w:t>
      </w:r>
      <w:r w:rsidRPr="00310E7E">
        <w:rPr>
          <w:rFonts w:ascii="Times New Roman" w:hAnsi="Times New Roman"/>
          <w:noProof/>
          <w:szCs w:val="24"/>
        </w:rPr>
        <w:t xml:space="preserve">(6179), 55–58. </w:t>
      </w:r>
      <w:hyperlink r:id="rId52" w:history="1">
        <w:r w:rsidRPr="00980641">
          <w:rPr>
            <w:rStyle w:val="Hyperlink"/>
            <w:rFonts w:ascii="Times New Roman" w:hAnsi="Times New Roman"/>
            <w:noProof/>
            <w:szCs w:val="24"/>
          </w:rPr>
          <w:t>https://doi.org/10.1126/science.1249252</w:t>
        </w:r>
      </w:hyperlink>
    </w:p>
    <w:p w14:paraId="74A08730" w14:textId="5C3FE7D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Anthony, K., Bay, L. K., Costanza, R., Firn, J., Gunn, J., Harrison, P., Heyward, A., Lundgren, P., Mead, D., Moore, T., Mumby, P. J., van Oppen, M. J. H., Robertson, J., Runge, M. C., Suggett, D. J., Schaffelke, B., Wachenfeld, D., &amp; Walshe, T. (2017). New interventions are needed to save coral reefs. </w:t>
      </w:r>
      <w:r w:rsidRPr="00310E7E">
        <w:rPr>
          <w:rFonts w:ascii="Times New Roman" w:hAnsi="Times New Roman"/>
          <w:i/>
          <w:iCs/>
          <w:noProof/>
          <w:szCs w:val="24"/>
        </w:rPr>
        <w:t>Nature Ecology &amp; Evolution</w:t>
      </w:r>
      <w:r w:rsidRPr="00310E7E">
        <w:rPr>
          <w:rFonts w:ascii="Times New Roman" w:hAnsi="Times New Roman"/>
          <w:noProof/>
          <w:szCs w:val="24"/>
        </w:rPr>
        <w:t xml:space="preserve">, </w:t>
      </w:r>
      <w:r w:rsidRPr="00310E7E">
        <w:rPr>
          <w:rFonts w:ascii="Times New Roman" w:hAnsi="Times New Roman"/>
          <w:i/>
          <w:iCs/>
          <w:noProof/>
          <w:szCs w:val="24"/>
        </w:rPr>
        <w:t>1</w:t>
      </w:r>
      <w:r w:rsidRPr="00310E7E">
        <w:rPr>
          <w:rFonts w:ascii="Times New Roman" w:hAnsi="Times New Roman"/>
          <w:noProof/>
          <w:szCs w:val="24"/>
        </w:rPr>
        <w:t xml:space="preserve">(10), 1420–1422. </w:t>
      </w:r>
      <w:hyperlink r:id="rId53" w:history="1">
        <w:r w:rsidRPr="00980641">
          <w:rPr>
            <w:rStyle w:val="Hyperlink"/>
            <w:rFonts w:ascii="Times New Roman" w:hAnsi="Times New Roman"/>
            <w:noProof/>
            <w:szCs w:val="24"/>
          </w:rPr>
          <w:t>https://doi.org/10.1038/s41559-017-0313-5</w:t>
        </w:r>
      </w:hyperlink>
    </w:p>
    <w:p w14:paraId="4D6F409D" w14:textId="0674BC9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Anthony, K. R. N., Helmstedt, K. J., Bay, L. K., Fidelman, P., Hussey, K. E., Lundgren, P., Mead, D., McLeod, I. M., Mumby, P. J., Newlands, M., Schaffelke, B., Wilson, K. A., &amp; Hardisty, P. E. (2020). Interventions to help coral reefs under global change—A complex decision challenge. </w:t>
      </w:r>
      <w:r w:rsidRPr="00310E7E">
        <w:rPr>
          <w:rFonts w:ascii="Times New Roman" w:hAnsi="Times New Roman"/>
          <w:i/>
          <w:iCs/>
          <w:noProof/>
          <w:szCs w:val="24"/>
        </w:rPr>
        <w:t>PLoS ONE</w:t>
      </w:r>
      <w:r w:rsidRPr="00310E7E">
        <w:rPr>
          <w:rFonts w:ascii="Times New Roman" w:hAnsi="Times New Roman"/>
          <w:noProof/>
          <w:szCs w:val="24"/>
        </w:rPr>
        <w:t xml:space="preserve">, </w:t>
      </w:r>
      <w:r w:rsidRPr="00310E7E">
        <w:rPr>
          <w:rFonts w:ascii="Times New Roman" w:hAnsi="Times New Roman"/>
          <w:i/>
          <w:iCs/>
          <w:noProof/>
          <w:szCs w:val="24"/>
        </w:rPr>
        <w:t>15</w:t>
      </w:r>
      <w:r w:rsidRPr="00310E7E">
        <w:rPr>
          <w:rFonts w:ascii="Times New Roman" w:hAnsi="Times New Roman"/>
          <w:noProof/>
          <w:szCs w:val="24"/>
        </w:rPr>
        <w:t xml:space="preserve">(8 August), e0236399. </w:t>
      </w:r>
      <w:hyperlink r:id="rId54" w:history="1">
        <w:r w:rsidRPr="00980641">
          <w:rPr>
            <w:rStyle w:val="Hyperlink"/>
            <w:rFonts w:ascii="Times New Roman" w:hAnsi="Times New Roman"/>
            <w:noProof/>
            <w:szCs w:val="24"/>
          </w:rPr>
          <w:t>https://doi.org/10.1371/journal.pone.0236399</w:t>
        </w:r>
      </w:hyperlink>
    </w:p>
    <w:p w14:paraId="400E95EF" w14:textId="33C196C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Anzalone, A. V., Koblan, L. W., &amp; Liu, D. R. (2020). Genome editing with CRISPR–Cas nucleases, base editors, transposases and prime editors. In </w:t>
      </w:r>
      <w:r w:rsidRPr="00310E7E">
        <w:rPr>
          <w:rFonts w:ascii="Times New Roman" w:hAnsi="Times New Roman"/>
          <w:i/>
          <w:iCs/>
          <w:noProof/>
          <w:szCs w:val="24"/>
        </w:rPr>
        <w:t>Nature Biotechnology</w:t>
      </w:r>
      <w:r w:rsidRPr="00310E7E">
        <w:rPr>
          <w:rFonts w:ascii="Times New Roman" w:hAnsi="Times New Roman"/>
          <w:noProof/>
          <w:szCs w:val="24"/>
        </w:rPr>
        <w:t xml:space="preserve"> (Vol. 38, Issue 7, pp. 824–844). Nature Research. </w:t>
      </w:r>
      <w:hyperlink r:id="rId55" w:history="1">
        <w:r w:rsidRPr="00980641">
          <w:rPr>
            <w:rStyle w:val="Hyperlink"/>
            <w:rFonts w:ascii="Times New Roman" w:hAnsi="Times New Roman"/>
            <w:noProof/>
            <w:szCs w:val="24"/>
          </w:rPr>
          <w:t>https://doi.org/10.1038/s41587-020-0561-9</w:t>
        </w:r>
      </w:hyperlink>
    </w:p>
    <w:p w14:paraId="0A9AD5EF" w14:textId="1EA8A60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Apura, P., Domingues, S., Viegas, S. C., &amp; Arraiano, C. M. (2019). Reprogramming bacteria with RNA regulators. </w:t>
      </w:r>
      <w:r w:rsidRPr="00310E7E">
        <w:rPr>
          <w:rFonts w:ascii="Times New Roman" w:hAnsi="Times New Roman"/>
          <w:i/>
          <w:iCs/>
          <w:noProof/>
          <w:szCs w:val="24"/>
        </w:rPr>
        <w:t>Biochemical Society Transactions</w:t>
      </w:r>
      <w:r w:rsidRPr="00310E7E">
        <w:rPr>
          <w:rFonts w:ascii="Times New Roman" w:hAnsi="Times New Roman"/>
          <w:noProof/>
          <w:szCs w:val="24"/>
        </w:rPr>
        <w:t xml:space="preserve">, </w:t>
      </w:r>
      <w:r w:rsidRPr="00310E7E">
        <w:rPr>
          <w:rFonts w:ascii="Times New Roman" w:hAnsi="Times New Roman"/>
          <w:i/>
          <w:iCs/>
          <w:noProof/>
          <w:szCs w:val="24"/>
        </w:rPr>
        <w:t>47</w:t>
      </w:r>
      <w:r w:rsidRPr="00310E7E">
        <w:rPr>
          <w:rFonts w:ascii="Times New Roman" w:hAnsi="Times New Roman"/>
          <w:noProof/>
          <w:szCs w:val="24"/>
        </w:rPr>
        <w:t xml:space="preserve">(5), 1279–1289. </w:t>
      </w:r>
      <w:hyperlink r:id="rId56" w:history="1">
        <w:r w:rsidRPr="00980641">
          <w:rPr>
            <w:rStyle w:val="Hyperlink"/>
            <w:rFonts w:ascii="Times New Roman" w:hAnsi="Times New Roman"/>
            <w:noProof/>
            <w:szCs w:val="24"/>
          </w:rPr>
          <w:t>https://doi.org/10.1042/BST20190173</w:t>
        </w:r>
      </w:hyperlink>
    </w:p>
    <w:p w14:paraId="710DD8B6" w14:textId="1B70D88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Ariga, H., Toki, S., &amp; Ishibashi, K. (2020). Potato virus X vector-mediated DNA-free genome editing in plants. </w:t>
      </w:r>
      <w:r w:rsidRPr="00310E7E">
        <w:rPr>
          <w:rFonts w:ascii="Times New Roman" w:hAnsi="Times New Roman"/>
          <w:i/>
          <w:iCs/>
          <w:noProof/>
          <w:szCs w:val="24"/>
        </w:rPr>
        <w:t>Plant and Cell Physiology</w:t>
      </w:r>
      <w:r w:rsidRPr="00310E7E">
        <w:rPr>
          <w:rFonts w:ascii="Times New Roman" w:hAnsi="Times New Roman"/>
          <w:noProof/>
          <w:szCs w:val="24"/>
        </w:rPr>
        <w:t xml:space="preserve">, </w:t>
      </w:r>
      <w:r w:rsidRPr="00310E7E">
        <w:rPr>
          <w:rFonts w:ascii="Times New Roman" w:hAnsi="Times New Roman"/>
          <w:i/>
          <w:iCs/>
          <w:noProof/>
          <w:szCs w:val="24"/>
        </w:rPr>
        <w:t>61</w:t>
      </w:r>
      <w:r w:rsidRPr="00310E7E">
        <w:rPr>
          <w:rFonts w:ascii="Times New Roman" w:hAnsi="Times New Roman"/>
          <w:noProof/>
          <w:szCs w:val="24"/>
        </w:rPr>
        <w:t xml:space="preserve">(11), 1946–1953. </w:t>
      </w:r>
      <w:hyperlink r:id="rId57" w:history="1">
        <w:r w:rsidRPr="00E02ABA">
          <w:rPr>
            <w:rStyle w:val="Hyperlink"/>
            <w:rFonts w:ascii="Times New Roman" w:hAnsi="Times New Roman"/>
            <w:noProof/>
            <w:szCs w:val="24"/>
          </w:rPr>
          <w:t>https://doi.org/10.1093/pcp/pcaa123</w:t>
        </w:r>
      </w:hyperlink>
    </w:p>
    <w:p w14:paraId="3B3FA25F" w14:textId="662014C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Armstrong, R., Schmidt, M., &amp; Bedau, M. (2012). Other Developments in Synthetic Biology. In </w:t>
      </w:r>
      <w:r w:rsidRPr="00310E7E">
        <w:rPr>
          <w:rFonts w:ascii="Times New Roman" w:hAnsi="Times New Roman"/>
          <w:i/>
          <w:iCs/>
          <w:noProof/>
          <w:szCs w:val="24"/>
        </w:rPr>
        <w:t>Synthetic Biology</w:t>
      </w:r>
      <w:r w:rsidRPr="00310E7E">
        <w:rPr>
          <w:rFonts w:ascii="Times New Roman" w:hAnsi="Times New Roman"/>
          <w:noProof/>
          <w:szCs w:val="24"/>
        </w:rPr>
        <w:t xml:space="preserve"> (pp. 145–156). Wiley-VCH Verlag GmbH &amp; Co. KGaA. </w:t>
      </w:r>
      <w:hyperlink r:id="rId58" w:history="1">
        <w:r w:rsidRPr="00C83403">
          <w:rPr>
            <w:rStyle w:val="Hyperlink"/>
            <w:rFonts w:ascii="Times New Roman" w:hAnsi="Times New Roman"/>
            <w:noProof/>
            <w:szCs w:val="24"/>
          </w:rPr>
          <w:t>https://doi.org/10.1002/9783527659296.ch4</w:t>
        </w:r>
      </w:hyperlink>
    </w:p>
    <w:p w14:paraId="1344F1DA" w14:textId="39FCDAD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Arpaia, S., Christiaens, O., Giddings, K., Jones, H., Mezzetti, B., Moronta-Barrios, F., Perry, J. N., Sweet, J. B., Taning, C. N. T., Smagghe, G., &amp; Dietz-Pfeilstetter, A. (2020). Biosafety of GM Crop Plants Expressing dsRNA: Data Requirements and EU Regulatory Considerations.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 </w:t>
      </w:r>
      <w:hyperlink r:id="rId59" w:history="1">
        <w:r w:rsidRPr="00C83403">
          <w:rPr>
            <w:rStyle w:val="Hyperlink"/>
            <w:rFonts w:ascii="Times New Roman" w:hAnsi="Times New Roman"/>
            <w:noProof/>
            <w:szCs w:val="24"/>
          </w:rPr>
          <w:t>https://doi.org/10.3389/fpls.2020.00940</w:t>
        </w:r>
      </w:hyperlink>
    </w:p>
    <w:p w14:paraId="56FEFBC8" w14:textId="2156134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Ascencio, A., Burhenne-Guilmin, F., Kinderlerer, J., Kummer, K., La Viña, A., Mackenzie, R., Tapper, R., &amp; Werksman, J. D. (2003). </w:t>
      </w:r>
      <w:r w:rsidRPr="00310E7E">
        <w:rPr>
          <w:rFonts w:ascii="Times New Roman" w:hAnsi="Times New Roman"/>
          <w:i/>
          <w:iCs/>
          <w:noProof/>
          <w:szCs w:val="24"/>
        </w:rPr>
        <w:t>An explanatory guide to the Cartagena protocol on biosafety</w:t>
      </w:r>
      <w:r w:rsidRPr="00310E7E">
        <w:rPr>
          <w:rFonts w:ascii="Times New Roman" w:hAnsi="Times New Roman"/>
          <w:noProof/>
          <w:szCs w:val="24"/>
        </w:rPr>
        <w:t xml:space="preserve"> (36690). </w:t>
      </w:r>
      <w:hyperlink r:id="rId60" w:history="1">
        <w:r w:rsidRPr="00C83403">
          <w:rPr>
            <w:rStyle w:val="Hyperlink"/>
            <w:rFonts w:ascii="Times New Roman" w:hAnsi="Times New Roman"/>
            <w:noProof/>
            <w:szCs w:val="24"/>
          </w:rPr>
          <w:t>https://www.iucn.org/content/explanatory-guide-cartagena-protocol-biosafety</w:t>
        </w:r>
      </w:hyperlink>
    </w:p>
    <w:p w14:paraId="0F0DFB5B" w14:textId="7AE57CF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Atkinson, M. R., Savageau, M. A., Myers, J. T., &amp; Ninfa, A. J. (2003). Development of genetic circuitry exhibiting toggle switch or oscillatory behavior in</w:t>
      </w:r>
      <w:r w:rsidRPr="00C83403">
        <w:rPr>
          <w:rFonts w:ascii="Times New Roman" w:hAnsi="Times New Roman"/>
          <w:i/>
          <w:iCs/>
          <w:noProof/>
          <w:szCs w:val="24"/>
        </w:rPr>
        <w:t xml:space="preserve"> Escherichia coli</w:t>
      </w:r>
      <w:r w:rsidRPr="00310E7E">
        <w:rPr>
          <w:rFonts w:ascii="Times New Roman" w:hAnsi="Times New Roman"/>
          <w:noProof/>
          <w:szCs w:val="24"/>
        </w:rPr>
        <w:t xml:space="preserve">. </w:t>
      </w:r>
      <w:r w:rsidRPr="00310E7E">
        <w:rPr>
          <w:rFonts w:ascii="Times New Roman" w:hAnsi="Times New Roman"/>
          <w:i/>
          <w:iCs/>
          <w:noProof/>
          <w:szCs w:val="24"/>
        </w:rPr>
        <w:t>Cell</w:t>
      </w:r>
      <w:r w:rsidRPr="00310E7E">
        <w:rPr>
          <w:rFonts w:ascii="Times New Roman" w:hAnsi="Times New Roman"/>
          <w:noProof/>
          <w:szCs w:val="24"/>
        </w:rPr>
        <w:t xml:space="preserve">, </w:t>
      </w:r>
      <w:r w:rsidRPr="00310E7E">
        <w:rPr>
          <w:rFonts w:ascii="Times New Roman" w:hAnsi="Times New Roman"/>
          <w:i/>
          <w:iCs/>
          <w:noProof/>
          <w:szCs w:val="24"/>
        </w:rPr>
        <w:t>113</w:t>
      </w:r>
      <w:r w:rsidRPr="00310E7E">
        <w:rPr>
          <w:rFonts w:ascii="Times New Roman" w:hAnsi="Times New Roman"/>
          <w:noProof/>
          <w:szCs w:val="24"/>
        </w:rPr>
        <w:t xml:space="preserve">(5), 597–607. </w:t>
      </w:r>
      <w:hyperlink r:id="rId61" w:history="1">
        <w:r w:rsidRPr="00C83403">
          <w:rPr>
            <w:rStyle w:val="Hyperlink"/>
            <w:rFonts w:ascii="Times New Roman" w:hAnsi="Times New Roman"/>
            <w:noProof/>
            <w:szCs w:val="24"/>
          </w:rPr>
          <w:t>https://doi.org/10.1016/S0092-8674(03)00346-5</w:t>
        </w:r>
      </w:hyperlink>
    </w:p>
    <w:p w14:paraId="2670816A" w14:textId="7044822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Aufinger, L., &amp; Simmel, F. C. (2019). Establishing Communication Between Artificial Cells. </w:t>
      </w:r>
      <w:r w:rsidRPr="00310E7E">
        <w:rPr>
          <w:rFonts w:ascii="Times New Roman" w:hAnsi="Times New Roman"/>
          <w:i/>
          <w:iCs/>
          <w:noProof/>
          <w:szCs w:val="24"/>
        </w:rPr>
        <w:t>Chemistry – A European Journal</w:t>
      </w:r>
      <w:r w:rsidRPr="00310E7E">
        <w:rPr>
          <w:rFonts w:ascii="Times New Roman" w:hAnsi="Times New Roman"/>
          <w:noProof/>
          <w:szCs w:val="24"/>
        </w:rPr>
        <w:t xml:space="preserve">, </w:t>
      </w:r>
      <w:r w:rsidRPr="00310E7E">
        <w:rPr>
          <w:rFonts w:ascii="Times New Roman" w:hAnsi="Times New Roman"/>
          <w:i/>
          <w:iCs/>
          <w:noProof/>
          <w:szCs w:val="24"/>
        </w:rPr>
        <w:t>25</w:t>
      </w:r>
      <w:r w:rsidRPr="00310E7E">
        <w:rPr>
          <w:rFonts w:ascii="Times New Roman" w:hAnsi="Times New Roman"/>
          <w:noProof/>
          <w:szCs w:val="24"/>
        </w:rPr>
        <w:t xml:space="preserve">(55), 12659–12670. </w:t>
      </w:r>
      <w:hyperlink r:id="rId62" w:history="1">
        <w:r w:rsidRPr="00C83403">
          <w:rPr>
            <w:rStyle w:val="Hyperlink"/>
            <w:rFonts w:ascii="Times New Roman" w:hAnsi="Times New Roman"/>
            <w:noProof/>
            <w:szCs w:val="24"/>
          </w:rPr>
          <w:t>https://doi.org/10.1002/chem.201901726</w:t>
        </w:r>
      </w:hyperlink>
    </w:p>
    <w:p w14:paraId="4521918E" w14:textId="211255F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Australian Academy of Science. (2017). </w:t>
      </w:r>
      <w:r w:rsidRPr="00310E7E">
        <w:rPr>
          <w:rFonts w:ascii="Times New Roman" w:hAnsi="Times New Roman"/>
          <w:i/>
          <w:iCs/>
          <w:noProof/>
          <w:szCs w:val="24"/>
        </w:rPr>
        <w:t>Synthetic gene drives in Australia: Implications of emerging technologies</w:t>
      </w:r>
      <w:r w:rsidRPr="00310E7E">
        <w:rPr>
          <w:rFonts w:ascii="Times New Roman" w:hAnsi="Times New Roman"/>
          <w:noProof/>
          <w:szCs w:val="24"/>
        </w:rPr>
        <w:t xml:space="preserve">. </w:t>
      </w:r>
      <w:hyperlink r:id="rId63" w:history="1">
        <w:r w:rsidRPr="00C83403">
          <w:rPr>
            <w:rStyle w:val="Hyperlink"/>
            <w:rFonts w:ascii="Times New Roman" w:hAnsi="Times New Roman"/>
            <w:noProof/>
            <w:szCs w:val="24"/>
          </w:rPr>
          <w:t>http://www.science.org.au/gene-drives</w:t>
        </w:r>
      </w:hyperlink>
    </w:p>
    <w:p w14:paraId="33D9CA74" w14:textId="5AF8DB8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Ayanoğlu, F. B., Elçİn, A. E., &amp; Elçİn, Y. M. (2020). Bioethical issues in genome editing by CRISPR-Cas9 technology. </w:t>
      </w:r>
      <w:r w:rsidRPr="00310E7E">
        <w:rPr>
          <w:rFonts w:ascii="Times New Roman" w:hAnsi="Times New Roman"/>
          <w:i/>
          <w:iCs/>
          <w:noProof/>
          <w:szCs w:val="24"/>
        </w:rPr>
        <w:t>Turkish Journal of Biology</w:t>
      </w:r>
      <w:r w:rsidRPr="00310E7E">
        <w:rPr>
          <w:rFonts w:ascii="Times New Roman" w:hAnsi="Times New Roman"/>
          <w:noProof/>
          <w:szCs w:val="24"/>
        </w:rPr>
        <w:t xml:space="preserve">, </w:t>
      </w:r>
      <w:r w:rsidRPr="00310E7E">
        <w:rPr>
          <w:rFonts w:ascii="Times New Roman" w:hAnsi="Times New Roman"/>
          <w:i/>
          <w:iCs/>
          <w:noProof/>
          <w:szCs w:val="24"/>
        </w:rPr>
        <w:t>44</w:t>
      </w:r>
      <w:r w:rsidRPr="00310E7E">
        <w:rPr>
          <w:rFonts w:ascii="Times New Roman" w:hAnsi="Times New Roman"/>
          <w:noProof/>
          <w:szCs w:val="24"/>
        </w:rPr>
        <w:t xml:space="preserve">(2), 110–120. </w:t>
      </w:r>
      <w:hyperlink r:id="rId64" w:history="1">
        <w:r w:rsidRPr="00C83403">
          <w:rPr>
            <w:rStyle w:val="Hyperlink"/>
            <w:rFonts w:ascii="Times New Roman" w:hAnsi="Times New Roman"/>
            <w:noProof/>
            <w:szCs w:val="24"/>
          </w:rPr>
          <w:t>https://doi.org/10.3906/biy-1912-52</w:t>
        </w:r>
      </w:hyperlink>
    </w:p>
    <w:p w14:paraId="4538A420" w14:textId="37450CE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Bachman, P., Fischer, J., Song, Z., Urbanczyk-Wochniak, E., &amp; Watson, G. (2020). Environmental Fate and Dissipation of Applied dsRNA in Soil, Aquatic Systems, and Plants.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 </w:t>
      </w:r>
      <w:hyperlink r:id="rId65" w:history="1">
        <w:r w:rsidRPr="00C83403">
          <w:rPr>
            <w:rStyle w:val="Hyperlink"/>
            <w:rFonts w:ascii="Times New Roman" w:hAnsi="Times New Roman"/>
            <w:noProof/>
            <w:szCs w:val="24"/>
          </w:rPr>
          <w:t>https://doi.org/10.3389/fpls.2020.00021</w:t>
        </w:r>
      </w:hyperlink>
    </w:p>
    <w:p w14:paraId="28FD2D41" w14:textId="159A81B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Bachman, P. M., Huizinga, K. M., Jensen, P. D., Mueller, G., Tan, J., Uffman, J. P., &amp; Levine, S. L. (2016). Ecological risk assessment for DvSnf7 RNA: A plant-incorporated protectant with targeted activity against western corn rootworm. </w:t>
      </w:r>
      <w:r w:rsidRPr="00310E7E">
        <w:rPr>
          <w:rFonts w:ascii="Times New Roman" w:hAnsi="Times New Roman"/>
          <w:i/>
          <w:iCs/>
          <w:noProof/>
          <w:szCs w:val="24"/>
        </w:rPr>
        <w:t>Regulatory Toxicology and Pharmacology</w:t>
      </w:r>
      <w:r w:rsidRPr="00310E7E">
        <w:rPr>
          <w:rFonts w:ascii="Times New Roman" w:hAnsi="Times New Roman"/>
          <w:noProof/>
          <w:szCs w:val="24"/>
        </w:rPr>
        <w:t xml:space="preserve">, </w:t>
      </w:r>
      <w:r w:rsidRPr="00310E7E">
        <w:rPr>
          <w:rFonts w:ascii="Times New Roman" w:hAnsi="Times New Roman"/>
          <w:i/>
          <w:iCs/>
          <w:noProof/>
          <w:szCs w:val="24"/>
        </w:rPr>
        <w:t>81</w:t>
      </w:r>
      <w:r w:rsidRPr="00310E7E">
        <w:rPr>
          <w:rFonts w:ascii="Times New Roman" w:hAnsi="Times New Roman"/>
          <w:noProof/>
          <w:szCs w:val="24"/>
        </w:rPr>
        <w:t xml:space="preserve">, 77–88. </w:t>
      </w:r>
      <w:hyperlink r:id="rId66" w:history="1">
        <w:r w:rsidRPr="00C83403">
          <w:rPr>
            <w:rStyle w:val="Hyperlink"/>
            <w:rFonts w:ascii="Times New Roman" w:hAnsi="Times New Roman"/>
            <w:noProof/>
            <w:szCs w:val="24"/>
          </w:rPr>
          <w:t>https://doi.org/10.1016/j.yrtph.2016.08.001</w:t>
        </w:r>
      </w:hyperlink>
    </w:p>
    <w:p w14:paraId="13BDD0FC" w14:textId="5072226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Badran, A. H., Guzov, V. M., Huai, Q., Kemp, M. M., Vishwanath, P., Kain, W., Nance, A. M., Evdokimov, A., Moshiri, F., Turner, K. H., Wang, P., Malvar, T., &amp; Liu, D. R. (2016). Continuous evolution of </w:t>
      </w:r>
      <w:r w:rsidRPr="00C83403">
        <w:rPr>
          <w:rFonts w:ascii="Times New Roman" w:hAnsi="Times New Roman"/>
          <w:i/>
          <w:iCs/>
          <w:noProof/>
          <w:szCs w:val="24"/>
        </w:rPr>
        <w:t>Bacillus thuringiensis</w:t>
      </w:r>
      <w:r w:rsidRPr="00310E7E">
        <w:rPr>
          <w:rFonts w:ascii="Times New Roman" w:hAnsi="Times New Roman"/>
          <w:noProof/>
          <w:szCs w:val="24"/>
        </w:rPr>
        <w:t xml:space="preserve"> toxins overcomes insect resistance.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533</w:t>
      </w:r>
      <w:r w:rsidRPr="00310E7E">
        <w:rPr>
          <w:rFonts w:ascii="Times New Roman" w:hAnsi="Times New Roman"/>
          <w:noProof/>
          <w:szCs w:val="24"/>
        </w:rPr>
        <w:t xml:space="preserve">(7601), 58–63. </w:t>
      </w:r>
      <w:hyperlink r:id="rId67" w:history="1">
        <w:r w:rsidRPr="00C83403">
          <w:rPr>
            <w:rStyle w:val="Hyperlink"/>
            <w:rFonts w:ascii="Times New Roman" w:hAnsi="Times New Roman"/>
            <w:noProof/>
            <w:szCs w:val="24"/>
          </w:rPr>
          <w:t>https://doi.org/10.1038/nature17938</w:t>
        </w:r>
      </w:hyperlink>
    </w:p>
    <w:p w14:paraId="74071A20" w14:textId="7A0110F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Balke, I., &amp; Zeltins, A. (2020). Recent advances in the use of plant virus-like particles as vaccines. In </w:t>
      </w:r>
      <w:r w:rsidRPr="00310E7E">
        <w:rPr>
          <w:rFonts w:ascii="Times New Roman" w:hAnsi="Times New Roman"/>
          <w:i/>
          <w:iCs/>
          <w:noProof/>
          <w:szCs w:val="24"/>
        </w:rPr>
        <w:t>Viruses</w:t>
      </w:r>
      <w:r w:rsidRPr="00310E7E">
        <w:rPr>
          <w:rFonts w:ascii="Times New Roman" w:hAnsi="Times New Roman"/>
          <w:noProof/>
          <w:szCs w:val="24"/>
        </w:rPr>
        <w:t xml:space="preserve"> (Vol. 12, Issue 3). MDPI AG. </w:t>
      </w:r>
      <w:hyperlink r:id="rId68" w:history="1">
        <w:r w:rsidRPr="00C83403">
          <w:rPr>
            <w:rStyle w:val="Hyperlink"/>
            <w:rFonts w:ascii="Times New Roman" w:hAnsi="Times New Roman"/>
            <w:noProof/>
            <w:szCs w:val="24"/>
          </w:rPr>
          <w:t>https://doi.org/10.3390/v12030270</w:t>
        </w:r>
      </w:hyperlink>
    </w:p>
    <w:p w14:paraId="4F8241DF" w14:textId="48C50D9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Balmer, A., &amp; Martin, P. (2008). </w:t>
      </w:r>
      <w:r w:rsidRPr="00310E7E">
        <w:rPr>
          <w:rFonts w:ascii="Times New Roman" w:hAnsi="Times New Roman"/>
          <w:i/>
          <w:iCs/>
          <w:noProof/>
          <w:szCs w:val="24"/>
        </w:rPr>
        <w:t>Synthetic Biology: Social and Ethical Challenges</w:t>
      </w:r>
      <w:r w:rsidRPr="00310E7E">
        <w:rPr>
          <w:rFonts w:ascii="Times New Roman" w:hAnsi="Times New Roman"/>
          <w:noProof/>
          <w:szCs w:val="24"/>
        </w:rPr>
        <w:t xml:space="preserve">. Biotechnology and Biological Sciences Research Council (UK). </w:t>
      </w:r>
      <w:hyperlink r:id="rId69" w:history="1">
        <w:r w:rsidRPr="00C83403">
          <w:rPr>
            <w:rStyle w:val="Hyperlink"/>
            <w:rFonts w:ascii="Times New Roman" w:hAnsi="Times New Roman"/>
            <w:noProof/>
            <w:szCs w:val="24"/>
          </w:rPr>
          <w:t>http://www.bbsrc.ac.uk/web/files/%0Areviews/0806_synthetic_biology.pdf</w:t>
        </w:r>
      </w:hyperlink>
    </w:p>
    <w:p w14:paraId="5325F8C7" w14:textId="38F700E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Banach, M., Edholm, E. S., &amp; Robert, J. (2017). Exploring the functions of nonclassical MHC class Ib genes in </w:t>
      </w:r>
      <w:r w:rsidRPr="00C83403">
        <w:rPr>
          <w:rFonts w:ascii="Times New Roman" w:hAnsi="Times New Roman"/>
          <w:i/>
          <w:iCs/>
          <w:noProof/>
          <w:szCs w:val="24"/>
        </w:rPr>
        <w:t>Xenopus laevis</w:t>
      </w:r>
      <w:r w:rsidRPr="00310E7E">
        <w:rPr>
          <w:rFonts w:ascii="Times New Roman" w:hAnsi="Times New Roman"/>
          <w:noProof/>
          <w:szCs w:val="24"/>
        </w:rPr>
        <w:t xml:space="preserve"> by the CRISPR/Cas9 system. </w:t>
      </w:r>
      <w:r w:rsidRPr="00310E7E">
        <w:rPr>
          <w:rFonts w:ascii="Times New Roman" w:hAnsi="Times New Roman"/>
          <w:i/>
          <w:iCs/>
          <w:noProof/>
          <w:szCs w:val="24"/>
        </w:rPr>
        <w:t>Developmental Biology</w:t>
      </w:r>
      <w:r w:rsidRPr="00310E7E">
        <w:rPr>
          <w:rFonts w:ascii="Times New Roman" w:hAnsi="Times New Roman"/>
          <w:noProof/>
          <w:szCs w:val="24"/>
        </w:rPr>
        <w:t xml:space="preserve">, </w:t>
      </w:r>
      <w:r w:rsidRPr="00310E7E">
        <w:rPr>
          <w:rFonts w:ascii="Times New Roman" w:hAnsi="Times New Roman"/>
          <w:i/>
          <w:iCs/>
          <w:noProof/>
          <w:szCs w:val="24"/>
        </w:rPr>
        <w:t>426</w:t>
      </w:r>
      <w:r w:rsidRPr="00310E7E">
        <w:rPr>
          <w:rFonts w:ascii="Times New Roman" w:hAnsi="Times New Roman"/>
          <w:noProof/>
          <w:szCs w:val="24"/>
        </w:rPr>
        <w:t xml:space="preserve">(2), 261–269. </w:t>
      </w:r>
      <w:hyperlink r:id="rId70" w:history="1">
        <w:r w:rsidRPr="00C83403">
          <w:rPr>
            <w:rStyle w:val="Hyperlink"/>
            <w:rFonts w:ascii="Times New Roman" w:hAnsi="Times New Roman"/>
            <w:noProof/>
            <w:szCs w:val="24"/>
          </w:rPr>
          <w:t>https://doi.org/10.1016/j.ydbio.2016.05.023</w:t>
        </w:r>
      </w:hyperlink>
    </w:p>
    <w:p w14:paraId="72C5D24A" w14:textId="1075E72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Barbieri, E. M., Muir, P., Akhuetie-Oni, B. O., Yellman, C. M., &amp; Isaacs, F. J. (2017). Precise Editing at DNA Replication Forks Enables Multiplex Genome Engineering in Eukaryotes. </w:t>
      </w:r>
      <w:r w:rsidRPr="00310E7E">
        <w:rPr>
          <w:rFonts w:ascii="Times New Roman" w:hAnsi="Times New Roman"/>
          <w:i/>
          <w:iCs/>
          <w:noProof/>
          <w:szCs w:val="24"/>
        </w:rPr>
        <w:t>Cell</w:t>
      </w:r>
      <w:r w:rsidRPr="00310E7E">
        <w:rPr>
          <w:rFonts w:ascii="Times New Roman" w:hAnsi="Times New Roman"/>
          <w:noProof/>
          <w:szCs w:val="24"/>
        </w:rPr>
        <w:t xml:space="preserve">, </w:t>
      </w:r>
      <w:r w:rsidRPr="00310E7E">
        <w:rPr>
          <w:rFonts w:ascii="Times New Roman" w:hAnsi="Times New Roman"/>
          <w:i/>
          <w:iCs/>
          <w:noProof/>
          <w:szCs w:val="24"/>
        </w:rPr>
        <w:t>171</w:t>
      </w:r>
      <w:r w:rsidRPr="00310E7E">
        <w:rPr>
          <w:rFonts w:ascii="Times New Roman" w:hAnsi="Times New Roman"/>
          <w:noProof/>
          <w:szCs w:val="24"/>
        </w:rPr>
        <w:t xml:space="preserve">(6), 1453-1467.e13. </w:t>
      </w:r>
      <w:hyperlink r:id="rId71" w:history="1">
        <w:r w:rsidRPr="008D3F31">
          <w:rPr>
            <w:rStyle w:val="Hyperlink"/>
            <w:rFonts w:ascii="Times New Roman" w:hAnsi="Times New Roman"/>
            <w:noProof/>
            <w:szCs w:val="24"/>
          </w:rPr>
          <w:t>https://doi.org/10.1016/j.cell.2017.10.034</w:t>
        </w:r>
      </w:hyperlink>
    </w:p>
    <w:p w14:paraId="2A216595" w14:textId="1A0D3FD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Bashor, C. J., Patel, N., Choubey, S., Beyzavi, A., Kondev, J., Collins, J. J., &amp; Khalil, A. S. (2019). Complex signal processing in synthetic gene circuits using cooperative regulatory assemblies.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364</w:t>
      </w:r>
      <w:r w:rsidRPr="00310E7E">
        <w:rPr>
          <w:rFonts w:ascii="Times New Roman" w:hAnsi="Times New Roman"/>
          <w:noProof/>
          <w:szCs w:val="24"/>
        </w:rPr>
        <w:t xml:space="preserve">(6440), 593–597. </w:t>
      </w:r>
      <w:hyperlink r:id="rId72" w:history="1">
        <w:r w:rsidRPr="008D3F31">
          <w:rPr>
            <w:rStyle w:val="Hyperlink"/>
            <w:rFonts w:ascii="Times New Roman" w:hAnsi="Times New Roman"/>
            <w:noProof/>
            <w:szCs w:val="24"/>
          </w:rPr>
          <w:t>https://doi.org/10.1126/science.aau8287</w:t>
        </w:r>
      </w:hyperlink>
    </w:p>
    <w:p w14:paraId="5E42D2FA" w14:textId="407A301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Basler, C. F., Reid, A. H., Dybing, J. K., Janczewski, T. A., Fanning, T. G., Zheng, H., Salvatore, M., Perdue, M. L., Swayne, D. E., Garcia-Sastre, A., Palese, P., &amp; Taubenberger, J. K. (2001). Sequence of the 1918 pandemic influenza virus nonstructural gene (NS) segment and characterization of recombinant viruses bearing the 1918 NS genes. </w:t>
      </w:r>
      <w:r w:rsidRPr="00310E7E">
        <w:rPr>
          <w:rFonts w:ascii="Times New Roman" w:hAnsi="Times New Roman"/>
          <w:i/>
          <w:iCs/>
          <w:noProof/>
          <w:szCs w:val="24"/>
        </w:rPr>
        <w:t>Proceedings of the National Academy of Sciences</w:t>
      </w:r>
      <w:r w:rsidRPr="00310E7E">
        <w:rPr>
          <w:rFonts w:ascii="Times New Roman" w:hAnsi="Times New Roman"/>
          <w:noProof/>
          <w:szCs w:val="24"/>
        </w:rPr>
        <w:t xml:space="preserve">, </w:t>
      </w:r>
      <w:r w:rsidRPr="00310E7E">
        <w:rPr>
          <w:rFonts w:ascii="Times New Roman" w:hAnsi="Times New Roman"/>
          <w:i/>
          <w:iCs/>
          <w:noProof/>
          <w:szCs w:val="24"/>
        </w:rPr>
        <w:t>98</w:t>
      </w:r>
      <w:r w:rsidRPr="00310E7E">
        <w:rPr>
          <w:rFonts w:ascii="Times New Roman" w:hAnsi="Times New Roman"/>
          <w:noProof/>
          <w:szCs w:val="24"/>
        </w:rPr>
        <w:t xml:space="preserve">(5), 2746–2751. </w:t>
      </w:r>
      <w:hyperlink r:id="rId73" w:history="1">
        <w:r w:rsidRPr="008D3F31">
          <w:rPr>
            <w:rStyle w:val="Hyperlink"/>
            <w:rFonts w:ascii="Times New Roman" w:hAnsi="Times New Roman"/>
            <w:noProof/>
            <w:szCs w:val="24"/>
          </w:rPr>
          <w:t>https://doi.org/10.1073/pnas.031575198</w:t>
        </w:r>
      </w:hyperlink>
    </w:p>
    <w:p w14:paraId="44A4B675" w14:textId="35D4960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Basso, M. F., Ferreira, P. C. G., Kobayashi, A. K., Harmon, F. G., Nepomuceno, A. L., Molinari, H. B. C., &amp; Grossi‐de‐Sa, M. F. (2019). MicroRNAs and new biotechnological tools for its modulation and improving stress tolerance in plants. </w:t>
      </w:r>
      <w:r w:rsidRPr="00310E7E">
        <w:rPr>
          <w:rFonts w:ascii="Times New Roman" w:hAnsi="Times New Roman"/>
          <w:i/>
          <w:iCs/>
          <w:noProof/>
          <w:szCs w:val="24"/>
        </w:rPr>
        <w:t>Plant Biotechnology Journal</w:t>
      </w:r>
      <w:r w:rsidRPr="00310E7E">
        <w:rPr>
          <w:rFonts w:ascii="Times New Roman" w:hAnsi="Times New Roman"/>
          <w:noProof/>
          <w:szCs w:val="24"/>
        </w:rPr>
        <w:t xml:space="preserve">, </w:t>
      </w:r>
      <w:r w:rsidRPr="00310E7E">
        <w:rPr>
          <w:rFonts w:ascii="Times New Roman" w:hAnsi="Times New Roman"/>
          <w:i/>
          <w:iCs/>
          <w:noProof/>
          <w:szCs w:val="24"/>
        </w:rPr>
        <w:t>17</w:t>
      </w:r>
      <w:r w:rsidRPr="00310E7E">
        <w:rPr>
          <w:rFonts w:ascii="Times New Roman" w:hAnsi="Times New Roman"/>
          <w:noProof/>
          <w:szCs w:val="24"/>
        </w:rPr>
        <w:t xml:space="preserve">(8), 1482–1500. </w:t>
      </w:r>
      <w:hyperlink r:id="rId74" w:history="1">
        <w:r w:rsidRPr="008D3F31">
          <w:rPr>
            <w:rStyle w:val="Hyperlink"/>
            <w:rFonts w:ascii="Times New Roman" w:hAnsi="Times New Roman"/>
            <w:noProof/>
            <w:szCs w:val="24"/>
          </w:rPr>
          <w:t>https://doi.org/10.1111/pbi.13116</w:t>
        </w:r>
      </w:hyperlink>
    </w:p>
    <w:p w14:paraId="7DF88715" w14:textId="1FBCEFF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Batista-Silva, W., da Fonseca-Pereira, P., Martins, A. O., Zsögön, A., Nunes-Nesi, A., &amp; Araújo, W. L. (2020). Engineering Improved Photosynthesis in the Era of Synthetic Biology. </w:t>
      </w:r>
      <w:r w:rsidRPr="00310E7E">
        <w:rPr>
          <w:rFonts w:ascii="Times New Roman" w:hAnsi="Times New Roman"/>
          <w:i/>
          <w:iCs/>
          <w:noProof/>
          <w:szCs w:val="24"/>
        </w:rPr>
        <w:t>Plant Communications</w:t>
      </w:r>
      <w:r w:rsidRPr="00310E7E">
        <w:rPr>
          <w:rFonts w:ascii="Times New Roman" w:hAnsi="Times New Roman"/>
          <w:noProof/>
          <w:szCs w:val="24"/>
        </w:rPr>
        <w:t xml:space="preserve">, </w:t>
      </w:r>
      <w:r w:rsidRPr="00310E7E">
        <w:rPr>
          <w:rFonts w:ascii="Times New Roman" w:hAnsi="Times New Roman"/>
          <w:i/>
          <w:iCs/>
          <w:noProof/>
          <w:szCs w:val="24"/>
        </w:rPr>
        <w:t>1</w:t>
      </w:r>
      <w:r w:rsidRPr="00310E7E">
        <w:rPr>
          <w:rFonts w:ascii="Times New Roman" w:hAnsi="Times New Roman"/>
          <w:noProof/>
          <w:szCs w:val="24"/>
        </w:rPr>
        <w:t xml:space="preserve">(2), 100032. </w:t>
      </w:r>
      <w:hyperlink r:id="rId75" w:history="1">
        <w:r w:rsidRPr="008D3F31">
          <w:rPr>
            <w:rStyle w:val="Hyperlink"/>
            <w:rFonts w:ascii="Times New Roman" w:hAnsi="Times New Roman"/>
            <w:noProof/>
            <w:szCs w:val="24"/>
          </w:rPr>
          <w:t>https://doi.org/10.1016/j.xplc.2020.100032</w:t>
        </w:r>
      </w:hyperlink>
    </w:p>
    <w:p w14:paraId="42633600" w14:textId="1127C88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Beech, C., Koukidou, M., Morrison, N., &amp; Alphey, L. (2012). Genetically Modified Insects: Science, Use, Status and Regulation. In </w:t>
      </w:r>
      <w:r w:rsidRPr="00310E7E">
        <w:rPr>
          <w:rFonts w:ascii="Times New Roman" w:hAnsi="Times New Roman"/>
          <w:i/>
          <w:iCs/>
          <w:noProof/>
          <w:szCs w:val="24"/>
        </w:rPr>
        <w:t>Collection of Biosafety Reviews Vol. 6</w:t>
      </w:r>
      <w:r w:rsidRPr="00310E7E">
        <w:rPr>
          <w:rFonts w:ascii="Times New Roman" w:hAnsi="Times New Roman"/>
          <w:noProof/>
          <w:szCs w:val="24"/>
        </w:rPr>
        <w:t xml:space="preserve"> (pp. 66–124). International Centre for Genetic Engineering and Biotechnology. </w:t>
      </w:r>
      <w:hyperlink r:id="rId76" w:history="1">
        <w:r w:rsidRPr="008D3F31">
          <w:rPr>
            <w:rStyle w:val="Hyperlink"/>
            <w:rFonts w:ascii="Times New Roman" w:hAnsi="Times New Roman"/>
            <w:noProof/>
            <w:szCs w:val="24"/>
          </w:rPr>
          <w:t>http://www.entomoresin.com/1pdf/genetically_modified_insect2.pdf</w:t>
        </w:r>
      </w:hyperlink>
    </w:p>
    <w:p w14:paraId="731B8420" w14:textId="67F448C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Beeckman, D. S. A., &amp; Rüdelsheim, P. (2020). Biosafety and Biosecurity in Containment: A Regulatory Overview. </w:t>
      </w:r>
      <w:r w:rsidRPr="00310E7E">
        <w:rPr>
          <w:rFonts w:ascii="Times New Roman" w:hAnsi="Times New Roman"/>
          <w:i/>
          <w:iCs/>
          <w:noProof/>
          <w:szCs w:val="24"/>
        </w:rPr>
        <w:t>Frontiers in Bioengineering and Biotechnology</w:t>
      </w:r>
      <w:r w:rsidRPr="00310E7E">
        <w:rPr>
          <w:rFonts w:ascii="Times New Roman" w:hAnsi="Times New Roman"/>
          <w:noProof/>
          <w:szCs w:val="24"/>
        </w:rPr>
        <w:t xml:space="preserve">, </w:t>
      </w:r>
      <w:r w:rsidRPr="00310E7E">
        <w:rPr>
          <w:rFonts w:ascii="Times New Roman" w:hAnsi="Times New Roman"/>
          <w:i/>
          <w:iCs/>
          <w:noProof/>
          <w:szCs w:val="24"/>
        </w:rPr>
        <w:t>8</w:t>
      </w:r>
      <w:r w:rsidRPr="00310E7E">
        <w:rPr>
          <w:rFonts w:ascii="Times New Roman" w:hAnsi="Times New Roman"/>
          <w:noProof/>
          <w:szCs w:val="24"/>
        </w:rPr>
        <w:t xml:space="preserve">. </w:t>
      </w:r>
      <w:hyperlink r:id="rId77" w:history="1">
        <w:r w:rsidRPr="008D3F31">
          <w:rPr>
            <w:rStyle w:val="Hyperlink"/>
            <w:rFonts w:ascii="Times New Roman" w:hAnsi="Times New Roman"/>
            <w:noProof/>
            <w:szCs w:val="24"/>
          </w:rPr>
          <w:t>https://doi.org/10.3389/fbioe.2020.00650</w:t>
        </w:r>
      </w:hyperlink>
    </w:p>
    <w:p w14:paraId="01A8AF92" w14:textId="58DE312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Benders, G., Glass, J. I., Hutchison, C. A., Lartigue, C., Vashee, S., Algire, M. A., Smith, H. O., Merryman, C. E., Noskov, V. N., Chuang, R.-Y., Gibson, D. G., &amp; Venter, J. C. (2016). </w:t>
      </w:r>
      <w:r w:rsidRPr="00310E7E">
        <w:rPr>
          <w:rFonts w:ascii="Times New Roman" w:hAnsi="Times New Roman"/>
          <w:i/>
          <w:iCs/>
          <w:noProof/>
          <w:szCs w:val="24"/>
        </w:rPr>
        <w:t>Methods for cloning and manipulating genomes, US9273310B2</w:t>
      </w:r>
      <w:r w:rsidRPr="00310E7E">
        <w:rPr>
          <w:rFonts w:ascii="Times New Roman" w:hAnsi="Times New Roman"/>
          <w:noProof/>
          <w:szCs w:val="24"/>
        </w:rPr>
        <w:t xml:space="preserve"> (Vol. 108, Issue 12, pp. 25–32). </w:t>
      </w:r>
      <w:hyperlink r:id="rId78" w:history="1">
        <w:r w:rsidRPr="008D3F31">
          <w:rPr>
            <w:rStyle w:val="Hyperlink"/>
            <w:rFonts w:ascii="Times New Roman" w:hAnsi="Times New Roman"/>
            <w:noProof/>
            <w:szCs w:val="24"/>
          </w:rPr>
          <w:t>https://patents.google.com/patent/US9273310B2/lv</w:t>
        </w:r>
      </w:hyperlink>
    </w:p>
    <w:p w14:paraId="3F6435E7" w14:textId="181054E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Bennett, G., Gilman, N., Stavrianakis, A., &amp; Rabinow, P. (2009). From synthetic biology to biohacking: are we prepared?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27</w:t>
      </w:r>
      <w:r w:rsidRPr="00310E7E">
        <w:rPr>
          <w:rFonts w:ascii="Times New Roman" w:hAnsi="Times New Roman"/>
          <w:noProof/>
          <w:szCs w:val="24"/>
        </w:rPr>
        <w:t xml:space="preserve">(12), 1109–1111. </w:t>
      </w:r>
      <w:hyperlink r:id="rId79" w:history="1">
        <w:r w:rsidRPr="008D3F31">
          <w:rPr>
            <w:rStyle w:val="Hyperlink"/>
            <w:rFonts w:ascii="Times New Roman" w:hAnsi="Times New Roman"/>
            <w:noProof/>
            <w:szCs w:val="24"/>
          </w:rPr>
          <w:t>https://doi.org/10.1038/nbt1209-1109</w:t>
        </w:r>
      </w:hyperlink>
    </w:p>
    <w:p w14:paraId="0274ABCD" w14:textId="3F0ECE1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Berg, P., Baltimore, D., Brenner, S., Roblin, R., &amp; Singer, M. (1975). Asilomar conference on recombinant DNA molecules.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188</w:t>
      </w:r>
      <w:r w:rsidRPr="00310E7E">
        <w:rPr>
          <w:rFonts w:ascii="Times New Roman" w:hAnsi="Times New Roman"/>
          <w:noProof/>
          <w:szCs w:val="24"/>
        </w:rPr>
        <w:t xml:space="preserve">(4192), 991–994. </w:t>
      </w:r>
      <w:hyperlink r:id="rId80" w:history="1">
        <w:r w:rsidRPr="008D3F31">
          <w:rPr>
            <w:rStyle w:val="Hyperlink"/>
            <w:rFonts w:ascii="Times New Roman" w:hAnsi="Times New Roman"/>
            <w:noProof/>
            <w:szCs w:val="24"/>
          </w:rPr>
          <w:t>https://doi.org/10.1126/science.1056638</w:t>
        </w:r>
      </w:hyperlink>
    </w:p>
    <w:p w14:paraId="50EF7DFC" w14:textId="4A12A94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Berg, P., &amp; Singer, M. F. (1995). The recombinant DNA controversy: twenty years later. </w:t>
      </w:r>
      <w:r w:rsidRPr="00310E7E">
        <w:rPr>
          <w:rFonts w:ascii="Times New Roman" w:hAnsi="Times New Roman"/>
          <w:i/>
          <w:iCs/>
          <w:noProof/>
          <w:szCs w:val="24"/>
        </w:rPr>
        <w:t>Proceedings of the National Academy of Sciences</w:t>
      </w:r>
      <w:r w:rsidRPr="00310E7E">
        <w:rPr>
          <w:rFonts w:ascii="Times New Roman" w:hAnsi="Times New Roman"/>
          <w:noProof/>
          <w:szCs w:val="24"/>
        </w:rPr>
        <w:t xml:space="preserve">, </w:t>
      </w:r>
      <w:r w:rsidRPr="00310E7E">
        <w:rPr>
          <w:rFonts w:ascii="Times New Roman" w:hAnsi="Times New Roman"/>
          <w:i/>
          <w:iCs/>
          <w:noProof/>
          <w:szCs w:val="24"/>
        </w:rPr>
        <w:t>92</w:t>
      </w:r>
      <w:r w:rsidRPr="00310E7E">
        <w:rPr>
          <w:rFonts w:ascii="Times New Roman" w:hAnsi="Times New Roman"/>
          <w:noProof/>
          <w:szCs w:val="24"/>
        </w:rPr>
        <w:t xml:space="preserve">(20), 9011–9013. </w:t>
      </w:r>
      <w:hyperlink r:id="rId81" w:history="1">
        <w:r w:rsidRPr="008D3F31">
          <w:rPr>
            <w:rStyle w:val="Hyperlink"/>
            <w:rFonts w:ascii="Times New Roman" w:hAnsi="Times New Roman"/>
            <w:noProof/>
            <w:szCs w:val="24"/>
          </w:rPr>
          <w:t>https://doi.org/10.1073/pnas.92.20.9011</w:t>
        </w:r>
      </w:hyperlink>
    </w:p>
    <w:p w14:paraId="0EC11454"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Beyerlin, U., &amp; Marauhn, T. (2011). </w:t>
      </w:r>
      <w:r w:rsidRPr="00310E7E">
        <w:rPr>
          <w:rFonts w:ascii="Times New Roman" w:hAnsi="Times New Roman"/>
          <w:i/>
          <w:iCs/>
          <w:noProof/>
          <w:szCs w:val="24"/>
        </w:rPr>
        <w:t>International Environmental Law</w:t>
      </w:r>
      <w:r w:rsidRPr="00310E7E">
        <w:rPr>
          <w:rFonts w:ascii="Times New Roman" w:hAnsi="Times New Roman"/>
          <w:noProof/>
          <w:szCs w:val="24"/>
        </w:rPr>
        <w:t>. Hart Publishing.</w:t>
      </w:r>
    </w:p>
    <w:p w14:paraId="20359496" w14:textId="56FE0DD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Bikard, D., &amp; Barrangou, R. (2017). Using CRISPR-Cas systems as antimicrobials. In </w:t>
      </w:r>
      <w:r w:rsidRPr="00310E7E">
        <w:rPr>
          <w:rFonts w:ascii="Times New Roman" w:hAnsi="Times New Roman"/>
          <w:i/>
          <w:iCs/>
          <w:noProof/>
          <w:szCs w:val="24"/>
        </w:rPr>
        <w:t>Current Opinion in Microbiology</w:t>
      </w:r>
      <w:r w:rsidRPr="00310E7E">
        <w:rPr>
          <w:rFonts w:ascii="Times New Roman" w:hAnsi="Times New Roman"/>
          <w:noProof/>
          <w:szCs w:val="24"/>
        </w:rPr>
        <w:t xml:space="preserve"> (Vol. 37, pp. 155–160). Elsevier Ltd. </w:t>
      </w:r>
      <w:hyperlink r:id="rId82" w:history="1">
        <w:r w:rsidRPr="008D3F31">
          <w:rPr>
            <w:rStyle w:val="Hyperlink"/>
            <w:rFonts w:ascii="Times New Roman" w:hAnsi="Times New Roman"/>
            <w:noProof/>
            <w:szCs w:val="24"/>
          </w:rPr>
          <w:t>https://doi.org/10.1016/j.mib.2017.08.005</w:t>
        </w:r>
      </w:hyperlink>
    </w:p>
    <w:p w14:paraId="42920F91" w14:textId="67A17D5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Bikard, D., Euler, C. W., Jiang, W., Nussenzweig, P. M., Goldberg, G. W., Duportet, X., Fischetti, V. A., &amp; Marraffini, L. A. (2014). Exploiting CRISPR-cas nucleases to produce sequence-specific antimicrobials.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32</w:t>
      </w:r>
      <w:r w:rsidRPr="00310E7E">
        <w:rPr>
          <w:rFonts w:ascii="Times New Roman" w:hAnsi="Times New Roman"/>
          <w:noProof/>
          <w:szCs w:val="24"/>
        </w:rPr>
        <w:t xml:space="preserve">(11), 1146–1150. </w:t>
      </w:r>
      <w:hyperlink r:id="rId83" w:history="1">
        <w:r w:rsidRPr="008D3F31">
          <w:rPr>
            <w:rStyle w:val="Hyperlink"/>
            <w:rFonts w:ascii="Times New Roman" w:hAnsi="Times New Roman"/>
            <w:noProof/>
            <w:szCs w:val="24"/>
          </w:rPr>
          <w:t>https://doi.org/10.1038/nbt.3043</w:t>
        </w:r>
      </w:hyperlink>
    </w:p>
    <w:p w14:paraId="786BF5AE" w14:textId="02E5718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BioBricks Foundation. (2021). </w:t>
      </w:r>
      <w:r w:rsidRPr="00310E7E">
        <w:rPr>
          <w:rFonts w:ascii="Times New Roman" w:hAnsi="Times New Roman"/>
          <w:i/>
          <w:iCs/>
          <w:noProof/>
          <w:szCs w:val="24"/>
        </w:rPr>
        <w:t>Terms of use</w:t>
      </w:r>
      <w:r w:rsidRPr="00310E7E">
        <w:rPr>
          <w:rFonts w:ascii="Times New Roman" w:hAnsi="Times New Roman"/>
          <w:noProof/>
          <w:szCs w:val="24"/>
        </w:rPr>
        <w:t xml:space="preserve">. </w:t>
      </w:r>
      <w:hyperlink r:id="rId84" w:history="1">
        <w:r w:rsidRPr="008D3F31">
          <w:rPr>
            <w:rStyle w:val="Hyperlink"/>
            <w:rFonts w:ascii="Times New Roman" w:hAnsi="Times New Roman"/>
            <w:noProof/>
            <w:szCs w:val="24"/>
          </w:rPr>
          <w:t>https://biobricks.org/terms-of-use/</w:t>
        </w:r>
      </w:hyperlink>
    </w:p>
    <w:p w14:paraId="60BD0367" w14:textId="54389C5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Biosafety South Africa. (2019). </w:t>
      </w:r>
      <w:r w:rsidRPr="00310E7E">
        <w:rPr>
          <w:rFonts w:ascii="Times New Roman" w:hAnsi="Times New Roman"/>
          <w:i/>
          <w:iCs/>
          <w:noProof/>
          <w:szCs w:val="24"/>
        </w:rPr>
        <w:t>Genome Editing - the what, how &amp; why</w:t>
      </w:r>
      <w:r w:rsidRPr="00310E7E">
        <w:rPr>
          <w:rFonts w:ascii="Times New Roman" w:hAnsi="Times New Roman"/>
          <w:noProof/>
          <w:szCs w:val="24"/>
        </w:rPr>
        <w:t xml:space="preserve">. </w:t>
      </w:r>
      <w:hyperlink r:id="rId85" w:history="1">
        <w:r w:rsidRPr="00E1777E">
          <w:rPr>
            <w:rStyle w:val="Hyperlink"/>
            <w:rFonts w:ascii="Times New Roman" w:hAnsi="Times New Roman"/>
            <w:noProof/>
            <w:szCs w:val="24"/>
          </w:rPr>
          <w:t>http://biosafety.org.za/cms/modules/media/scripts/documents/document.handler.php?media_files_id=1088</w:t>
        </w:r>
      </w:hyperlink>
    </w:p>
    <w:p w14:paraId="4E387589"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Birnie, P., Boyle, A., &amp; Redgwel, C. (2009). </w:t>
      </w:r>
      <w:r w:rsidRPr="00310E7E">
        <w:rPr>
          <w:rFonts w:ascii="Times New Roman" w:hAnsi="Times New Roman"/>
          <w:i/>
          <w:iCs/>
          <w:noProof/>
          <w:szCs w:val="24"/>
        </w:rPr>
        <w:t>International Law and the Environment</w:t>
      </w:r>
      <w:r w:rsidRPr="00310E7E">
        <w:rPr>
          <w:rFonts w:ascii="Times New Roman" w:hAnsi="Times New Roman"/>
          <w:noProof/>
          <w:szCs w:val="24"/>
        </w:rPr>
        <w:t xml:space="preserve"> (Third). Oxford University Press.</w:t>
      </w:r>
    </w:p>
    <w:p w14:paraId="6701F0EB" w14:textId="5F38337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Bishop, T. F., &amp; Van Eenennaam, A. L. (2020). Genome editing approaches to augment livestock breeding programs. In </w:t>
      </w:r>
      <w:r w:rsidRPr="00310E7E">
        <w:rPr>
          <w:rFonts w:ascii="Times New Roman" w:hAnsi="Times New Roman"/>
          <w:i/>
          <w:iCs/>
          <w:noProof/>
          <w:szCs w:val="24"/>
        </w:rPr>
        <w:t>Journal of Experimental Biology</w:t>
      </w:r>
      <w:r w:rsidRPr="00310E7E">
        <w:rPr>
          <w:rFonts w:ascii="Times New Roman" w:hAnsi="Times New Roman"/>
          <w:noProof/>
          <w:szCs w:val="24"/>
        </w:rPr>
        <w:t xml:space="preserve"> (Vol. 223, Issue Pt Suppl 1). Company of Biologists Ltd. </w:t>
      </w:r>
      <w:hyperlink r:id="rId86" w:history="1">
        <w:r w:rsidRPr="00E1777E">
          <w:rPr>
            <w:rStyle w:val="Hyperlink"/>
            <w:rFonts w:ascii="Times New Roman" w:hAnsi="Times New Roman"/>
            <w:noProof/>
            <w:szCs w:val="24"/>
          </w:rPr>
          <w:t>https://doi.org/10.1242/jeb.207159</w:t>
        </w:r>
      </w:hyperlink>
    </w:p>
    <w:p w14:paraId="508453A4" w14:textId="0F85438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Blasiak, R., Wynberg, R., Grorud-Colvert, K., Thambisetty, S., Bandarra, N. M., Canário, A. V. M., da Silva, J., Duarte, C. M., Jaspars, M., Rogers, A., Sink, K., &amp; Wabnitz, C. C. C. (2020). The ocean genome and future prospects for conservation and equity. In </w:t>
      </w:r>
      <w:r w:rsidRPr="00310E7E">
        <w:rPr>
          <w:rFonts w:ascii="Times New Roman" w:hAnsi="Times New Roman"/>
          <w:i/>
          <w:iCs/>
          <w:noProof/>
          <w:szCs w:val="24"/>
        </w:rPr>
        <w:t>Nature Sustainability</w:t>
      </w:r>
      <w:r w:rsidRPr="00310E7E">
        <w:rPr>
          <w:rFonts w:ascii="Times New Roman" w:hAnsi="Times New Roman"/>
          <w:noProof/>
          <w:szCs w:val="24"/>
        </w:rPr>
        <w:t xml:space="preserve"> (Vol. 3, Issue 8, pp. 588–596). Nature Research. </w:t>
      </w:r>
      <w:hyperlink r:id="rId87" w:history="1">
        <w:r w:rsidRPr="00E1777E">
          <w:rPr>
            <w:rStyle w:val="Hyperlink"/>
            <w:rFonts w:ascii="Times New Roman" w:hAnsi="Times New Roman"/>
            <w:noProof/>
            <w:szCs w:val="24"/>
          </w:rPr>
          <w:t>https://doi.org/10.1038/s41893-020-0522-9</w:t>
        </w:r>
      </w:hyperlink>
    </w:p>
    <w:p w14:paraId="7F89A679" w14:textId="6612F66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Boeke, J. D., Church, G., Hessel, A., Kelley, N. J., Arkin, A., Cai, Y., Carlson, R., Chakravarti, A., Cornish, V. W., Holt, L., Isaacs, F. J., Kuiken, T., Lajoie, M., Lessor, T., Lunshof, J., Maurano, M. T., Mitchell, L. A., Rine, J., Rosser, S., … Yang, L. (2016). The Genome Project-Write.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353</w:t>
      </w:r>
      <w:r w:rsidRPr="00310E7E">
        <w:rPr>
          <w:rFonts w:ascii="Times New Roman" w:hAnsi="Times New Roman"/>
          <w:noProof/>
          <w:szCs w:val="24"/>
        </w:rPr>
        <w:t xml:space="preserve">(6295), 126–127. </w:t>
      </w:r>
      <w:hyperlink r:id="rId88" w:history="1">
        <w:r w:rsidRPr="00E1777E">
          <w:rPr>
            <w:rStyle w:val="Hyperlink"/>
            <w:rFonts w:ascii="Times New Roman" w:hAnsi="Times New Roman"/>
            <w:noProof/>
            <w:szCs w:val="24"/>
          </w:rPr>
          <w:t>https://doi.org/10.1126/science.aaf6850</w:t>
        </w:r>
      </w:hyperlink>
    </w:p>
    <w:p w14:paraId="5EC45F60" w14:textId="4BE6463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Bolden, J., Knutsen, C., Levin, J., Milne, C., Morris, T., Mozier, N., Spreitzer, I., &amp; von Wintzingerode, F. (2020). Currently Available Recombinant Alternatives to Horseshoe Crab Blood Lysates: Are They Comparable for the Detection of Environmental Bacterial Endotoxins? A Review. </w:t>
      </w:r>
      <w:r w:rsidRPr="00310E7E">
        <w:rPr>
          <w:rFonts w:ascii="Times New Roman" w:hAnsi="Times New Roman"/>
          <w:i/>
          <w:iCs/>
          <w:noProof/>
          <w:szCs w:val="24"/>
        </w:rPr>
        <w:t>PDA Journal of Pharmaceutical Science and Technology</w:t>
      </w:r>
      <w:r w:rsidRPr="00310E7E">
        <w:rPr>
          <w:rFonts w:ascii="Times New Roman" w:hAnsi="Times New Roman"/>
          <w:noProof/>
          <w:szCs w:val="24"/>
        </w:rPr>
        <w:t xml:space="preserve">, </w:t>
      </w:r>
      <w:r w:rsidRPr="00310E7E">
        <w:rPr>
          <w:rFonts w:ascii="Times New Roman" w:hAnsi="Times New Roman"/>
          <w:i/>
          <w:iCs/>
          <w:noProof/>
          <w:szCs w:val="24"/>
        </w:rPr>
        <w:t>74</w:t>
      </w:r>
      <w:r w:rsidRPr="00310E7E">
        <w:rPr>
          <w:rFonts w:ascii="Times New Roman" w:hAnsi="Times New Roman"/>
          <w:noProof/>
          <w:szCs w:val="24"/>
        </w:rPr>
        <w:t xml:space="preserve">(5), 602–611. </w:t>
      </w:r>
      <w:hyperlink r:id="rId89" w:history="1">
        <w:r w:rsidRPr="00E1777E">
          <w:rPr>
            <w:rStyle w:val="Hyperlink"/>
            <w:rFonts w:ascii="Times New Roman" w:hAnsi="Times New Roman"/>
            <w:noProof/>
            <w:szCs w:val="24"/>
          </w:rPr>
          <w:t>https://doi.org/10.5731/pdajpst.2020.012187</w:t>
        </w:r>
      </w:hyperlink>
    </w:p>
    <w:p w14:paraId="2E8BC39D" w14:textId="368E835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Boldt, J., &amp; Müller, O. (2008). Newtons of the leaves of grass.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26</w:t>
      </w:r>
      <w:r w:rsidRPr="00310E7E">
        <w:rPr>
          <w:rFonts w:ascii="Times New Roman" w:hAnsi="Times New Roman"/>
          <w:noProof/>
          <w:szCs w:val="24"/>
        </w:rPr>
        <w:t xml:space="preserve">(4), 387–389. </w:t>
      </w:r>
      <w:hyperlink r:id="rId90" w:history="1">
        <w:r w:rsidRPr="00E1777E">
          <w:rPr>
            <w:rStyle w:val="Hyperlink"/>
            <w:rFonts w:ascii="Times New Roman" w:hAnsi="Times New Roman"/>
            <w:noProof/>
            <w:szCs w:val="24"/>
          </w:rPr>
          <w:t>https://doi.org/10.1038/nbt0408-387</w:t>
        </w:r>
      </w:hyperlink>
    </w:p>
    <w:p w14:paraId="42DC1A6D" w14:textId="0AA2696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Bonaci, G. A., &amp; Markus, M. (2019). </w:t>
      </w:r>
      <w:r w:rsidRPr="00310E7E">
        <w:rPr>
          <w:rFonts w:ascii="Times New Roman" w:hAnsi="Times New Roman"/>
          <w:i/>
          <w:iCs/>
          <w:noProof/>
          <w:szCs w:val="24"/>
        </w:rPr>
        <w:t>Synthetic rhinoceros horn analogues, US10363277B2</w:t>
      </w:r>
      <w:r w:rsidRPr="00310E7E">
        <w:rPr>
          <w:rFonts w:ascii="Times New Roman" w:hAnsi="Times New Roman"/>
          <w:noProof/>
          <w:szCs w:val="24"/>
        </w:rPr>
        <w:t xml:space="preserve"> (Vol. 2). </w:t>
      </w:r>
      <w:hyperlink r:id="rId91" w:history="1">
        <w:r w:rsidRPr="00E1777E">
          <w:rPr>
            <w:rStyle w:val="Hyperlink"/>
            <w:rFonts w:ascii="Times New Roman" w:hAnsi="Times New Roman"/>
            <w:noProof/>
            <w:szCs w:val="24"/>
          </w:rPr>
          <w:t>https://patents.google.com/patent/US20170281688A1/en</w:t>
        </w:r>
      </w:hyperlink>
    </w:p>
    <w:p w14:paraId="10EEB0E0" w14:textId="388389E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Bourgeois, L., Bell, A., Kranjec, E., Melgar, M., Mookerjee, S., Palys, S., Therrien, A., Walton, C., Woo, K., &amp; Zhang, X. (2020). </w:t>
      </w:r>
      <w:r w:rsidRPr="00310E7E">
        <w:rPr>
          <w:rFonts w:ascii="Times New Roman" w:hAnsi="Times New Roman"/>
          <w:i/>
          <w:iCs/>
          <w:noProof/>
          <w:szCs w:val="24"/>
        </w:rPr>
        <w:t>Methods And Cells For Production Of Phytocannabinoids And Phytocannabinoid Precursors, WO2018148848A1</w:t>
      </w:r>
      <w:r w:rsidRPr="00310E7E">
        <w:rPr>
          <w:rFonts w:ascii="Times New Roman" w:hAnsi="Times New Roman"/>
          <w:noProof/>
          <w:szCs w:val="24"/>
        </w:rPr>
        <w:t xml:space="preserve"> (Issue 12). </w:t>
      </w:r>
      <w:hyperlink r:id="rId92" w:history="1">
        <w:r w:rsidRPr="00E1777E">
          <w:rPr>
            <w:rStyle w:val="Hyperlink"/>
            <w:rFonts w:ascii="Times New Roman" w:hAnsi="Times New Roman"/>
            <w:noProof/>
            <w:szCs w:val="24"/>
          </w:rPr>
          <w:t>https://patents.google.com/patent/WO2018148848A1/en</w:t>
        </w:r>
      </w:hyperlink>
    </w:p>
    <w:p w14:paraId="30043CB8" w14:textId="5349D38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Bovenkerk, B., &amp; Nijland, H. J. (2017). The Pedigree Dog Breeding Debate in Ethics and Practice: Beyond Welfare Arguments. </w:t>
      </w:r>
      <w:r w:rsidRPr="00310E7E">
        <w:rPr>
          <w:rFonts w:ascii="Times New Roman" w:hAnsi="Times New Roman"/>
          <w:i/>
          <w:iCs/>
          <w:noProof/>
          <w:szCs w:val="24"/>
        </w:rPr>
        <w:t>Journal of Agricultural and Environmental Ethics</w:t>
      </w:r>
      <w:r w:rsidRPr="00310E7E">
        <w:rPr>
          <w:rFonts w:ascii="Times New Roman" w:hAnsi="Times New Roman"/>
          <w:noProof/>
          <w:szCs w:val="24"/>
        </w:rPr>
        <w:t xml:space="preserve">, </w:t>
      </w:r>
      <w:r w:rsidRPr="00310E7E">
        <w:rPr>
          <w:rFonts w:ascii="Times New Roman" w:hAnsi="Times New Roman"/>
          <w:i/>
          <w:iCs/>
          <w:noProof/>
          <w:szCs w:val="24"/>
        </w:rPr>
        <w:t>30</w:t>
      </w:r>
      <w:r w:rsidRPr="00310E7E">
        <w:rPr>
          <w:rFonts w:ascii="Times New Roman" w:hAnsi="Times New Roman"/>
          <w:noProof/>
          <w:szCs w:val="24"/>
        </w:rPr>
        <w:t xml:space="preserve">(3), 387–412. </w:t>
      </w:r>
      <w:hyperlink r:id="rId93" w:history="1">
        <w:r w:rsidRPr="00E1777E">
          <w:rPr>
            <w:rStyle w:val="Hyperlink"/>
            <w:rFonts w:ascii="Times New Roman" w:hAnsi="Times New Roman"/>
            <w:noProof/>
            <w:szCs w:val="24"/>
          </w:rPr>
          <w:t>https://doi.org/10.1007/s10806-017-9673-8</w:t>
        </w:r>
      </w:hyperlink>
    </w:p>
    <w:p w14:paraId="2D9A334A" w14:textId="1508D78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Boyd, M., &amp; Wilson, N. (2020). </w:t>
      </w:r>
      <w:r w:rsidRPr="00310E7E">
        <w:rPr>
          <w:rFonts w:ascii="Times New Roman" w:hAnsi="Times New Roman"/>
          <w:i/>
          <w:iCs/>
          <w:noProof/>
          <w:szCs w:val="24"/>
        </w:rPr>
        <w:t>Worse than COVID-19: More can and must be done to prevent the greatest threats to human survival</w:t>
      </w:r>
      <w:r w:rsidRPr="00310E7E">
        <w:rPr>
          <w:rFonts w:ascii="Times New Roman" w:hAnsi="Times New Roman"/>
          <w:noProof/>
          <w:szCs w:val="24"/>
        </w:rPr>
        <w:t xml:space="preserve">. Adapt Research Ltd. </w:t>
      </w:r>
      <w:hyperlink r:id="rId94" w:history="1">
        <w:r w:rsidRPr="00E1777E">
          <w:rPr>
            <w:rStyle w:val="Hyperlink"/>
            <w:rFonts w:ascii="Times New Roman" w:hAnsi="Times New Roman"/>
            <w:noProof/>
            <w:szCs w:val="24"/>
          </w:rPr>
          <w:t>https://adaptresearchwriting.com/2020/07/28/worse-than-covid-19-more-can-and-must-be-done-to-prevent-the-greatest-threats-to-human-survival/</w:t>
        </w:r>
      </w:hyperlink>
    </w:p>
    <w:p w14:paraId="0FAE6C90"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Brandenberg, O., Sensi, A., Ghosh, K., &amp; Sonnino, A. (2011). </w:t>
      </w:r>
      <w:r w:rsidRPr="00310E7E">
        <w:rPr>
          <w:rFonts w:ascii="Times New Roman" w:hAnsi="Times New Roman"/>
          <w:i/>
          <w:iCs/>
          <w:noProof/>
          <w:szCs w:val="24"/>
        </w:rPr>
        <w:t>Biosafety Resource Book. Test and Post-Release Monitoring of Genetically Modified OPrganisms (GMOs): Vol. Module D</w:t>
      </w:r>
      <w:r w:rsidRPr="00310E7E">
        <w:rPr>
          <w:rFonts w:ascii="Times New Roman" w:hAnsi="Times New Roman"/>
          <w:noProof/>
          <w:szCs w:val="24"/>
        </w:rPr>
        <w:t>. Food and Agriculture Organization of the United Nations.</w:t>
      </w:r>
    </w:p>
    <w:p w14:paraId="31877926" w14:textId="0262FDC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Brandt, K., &amp; Barrangou, R. (2019). Applications of CRISPR Technologies Across the Food Supply Chain. </w:t>
      </w:r>
      <w:r w:rsidRPr="00310E7E">
        <w:rPr>
          <w:rFonts w:ascii="Times New Roman" w:hAnsi="Times New Roman"/>
          <w:i/>
          <w:iCs/>
          <w:noProof/>
          <w:szCs w:val="24"/>
        </w:rPr>
        <w:t>Annual Review of Food Science and Technology</w:t>
      </w:r>
      <w:r w:rsidRPr="00310E7E">
        <w:rPr>
          <w:rFonts w:ascii="Times New Roman" w:hAnsi="Times New Roman"/>
          <w:noProof/>
          <w:szCs w:val="24"/>
        </w:rPr>
        <w:t xml:space="preserve">, </w:t>
      </w:r>
      <w:r w:rsidRPr="00310E7E">
        <w:rPr>
          <w:rFonts w:ascii="Times New Roman" w:hAnsi="Times New Roman"/>
          <w:i/>
          <w:iCs/>
          <w:noProof/>
          <w:szCs w:val="24"/>
        </w:rPr>
        <w:t>10</w:t>
      </w:r>
      <w:r w:rsidRPr="00310E7E">
        <w:rPr>
          <w:rFonts w:ascii="Times New Roman" w:hAnsi="Times New Roman"/>
          <w:noProof/>
          <w:szCs w:val="24"/>
        </w:rPr>
        <w:t xml:space="preserve">(1), 133–150. </w:t>
      </w:r>
      <w:hyperlink r:id="rId95" w:history="1">
        <w:r w:rsidRPr="00E1777E">
          <w:rPr>
            <w:rStyle w:val="Hyperlink"/>
            <w:rFonts w:ascii="Times New Roman" w:hAnsi="Times New Roman"/>
            <w:noProof/>
            <w:szCs w:val="24"/>
          </w:rPr>
          <w:t>https://doi.org/10.1146/annurev-food-032818-121204</w:t>
        </w:r>
      </w:hyperlink>
    </w:p>
    <w:p w14:paraId="353F806B" w14:textId="7D7B74C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Brannetti, B., Brogdon, J., Engels, B., Granda, B., Huang, L., Lei, M., Li, N., Zhang, J., &amp; Guimaraes, C. P. P. (2018). </w:t>
      </w:r>
      <w:r w:rsidRPr="00310E7E">
        <w:rPr>
          <w:rFonts w:ascii="Times New Roman" w:hAnsi="Times New Roman"/>
          <w:i/>
          <w:iCs/>
          <w:noProof/>
          <w:szCs w:val="24"/>
        </w:rPr>
        <w:t>Treatment of cancer using chimeric antigen receptors, US20180125892A1</w:t>
      </w:r>
      <w:r w:rsidRPr="00310E7E">
        <w:rPr>
          <w:rFonts w:ascii="Times New Roman" w:hAnsi="Times New Roman"/>
          <w:noProof/>
          <w:szCs w:val="24"/>
        </w:rPr>
        <w:t xml:space="preserve"> (Vol. 1). </w:t>
      </w:r>
      <w:hyperlink r:id="rId96" w:history="1">
        <w:r w:rsidRPr="00E1777E">
          <w:rPr>
            <w:rStyle w:val="Hyperlink"/>
            <w:rFonts w:ascii="Times New Roman" w:hAnsi="Times New Roman"/>
            <w:noProof/>
            <w:szCs w:val="24"/>
          </w:rPr>
          <w:t>https://patents.google.com/patent/US20180125892A1</w:t>
        </w:r>
      </w:hyperlink>
    </w:p>
    <w:p w14:paraId="602E6C00" w14:textId="7517D5B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Breslauer, D., B</w:t>
      </w:r>
      <w:r w:rsidR="008856F1">
        <w:rPr>
          <w:rFonts w:ascii="Times New Roman" w:hAnsi="Times New Roman"/>
          <w:noProof/>
          <w:szCs w:val="24"/>
        </w:rPr>
        <w:t>ainbridge</w:t>
      </w:r>
      <w:r w:rsidRPr="00310E7E">
        <w:rPr>
          <w:rFonts w:ascii="Times New Roman" w:hAnsi="Times New Roman"/>
          <w:noProof/>
          <w:szCs w:val="24"/>
        </w:rPr>
        <w:t xml:space="preserve">, J. M., Wray, L., &amp; Kittleson, J. (2018). </w:t>
      </w:r>
      <w:r w:rsidRPr="00310E7E">
        <w:rPr>
          <w:rFonts w:ascii="Times New Roman" w:hAnsi="Times New Roman"/>
          <w:i/>
          <w:iCs/>
          <w:noProof/>
          <w:szCs w:val="24"/>
        </w:rPr>
        <w:t>Recombinant protein fiber yarns with improved properties, US20180216260A1</w:t>
      </w:r>
      <w:r w:rsidRPr="00310E7E">
        <w:rPr>
          <w:rFonts w:ascii="Times New Roman" w:hAnsi="Times New Roman"/>
          <w:noProof/>
          <w:szCs w:val="24"/>
        </w:rPr>
        <w:t xml:space="preserve"> (Vol. 1). </w:t>
      </w:r>
      <w:hyperlink r:id="rId97" w:history="1">
        <w:r w:rsidRPr="008856F1">
          <w:rPr>
            <w:rStyle w:val="Hyperlink"/>
            <w:rFonts w:ascii="Times New Roman" w:hAnsi="Times New Roman"/>
            <w:noProof/>
            <w:szCs w:val="24"/>
          </w:rPr>
          <w:t>https://patents.google.com/patent/US20180216260A1</w:t>
        </w:r>
      </w:hyperlink>
    </w:p>
    <w:p w14:paraId="6FF221C0" w14:textId="25680C4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Broad, S., &amp; Burgess, G. (2016). Synthetic Biology, Product Substitution and the Battle Against Illegal Wildlife Trade. </w:t>
      </w:r>
      <w:r w:rsidRPr="00310E7E">
        <w:rPr>
          <w:rFonts w:ascii="Times New Roman" w:hAnsi="Times New Roman"/>
          <w:i/>
          <w:iCs/>
          <w:noProof/>
          <w:szCs w:val="24"/>
        </w:rPr>
        <w:t>TRAFFIC Bulletin</w:t>
      </w:r>
      <w:r w:rsidRPr="00310E7E">
        <w:rPr>
          <w:rFonts w:ascii="Times New Roman" w:hAnsi="Times New Roman"/>
          <w:noProof/>
          <w:szCs w:val="24"/>
        </w:rPr>
        <w:t xml:space="preserve">, </w:t>
      </w:r>
      <w:r w:rsidRPr="00310E7E">
        <w:rPr>
          <w:rFonts w:ascii="Times New Roman" w:hAnsi="Times New Roman"/>
          <w:i/>
          <w:iCs/>
          <w:noProof/>
          <w:szCs w:val="24"/>
        </w:rPr>
        <w:t>28</w:t>
      </w:r>
      <w:r w:rsidRPr="00310E7E">
        <w:rPr>
          <w:rFonts w:ascii="Times New Roman" w:hAnsi="Times New Roman"/>
          <w:noProof/>
          <w:szCs w:val="24"/>
        </w:rPr>
        <w:t xml:space="preserve">(1). </w:t>
      </w:r>
      <w:hyperlink r:id="rId98" w:history="1">
        <w:r w:rsidRPr="003F3461">
          <w:rPr>
            <w:rStyle w:val="Hyperlink"/>
            <w:rFonts w:ascii="Times New Roman" w:hAnsi="Times New Roman"/>
            <w:noProof/>
            <w:szCs w:val="24"/>
          </w:rPr>
          <w:t>https://www.traffic.org/site/assets/files/3012/traffic_pub_bulletin_28_1-synthetic-biology.pdf</w:t>
        </w:r>
      </w:hyperlink>
    </w:p>
    <w:p w14:paraId="3705B637" w14:textId="2889469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Broughton, J. P., Deng, X., Yu, G., Fasching, C. L., Servellita, V., Singh, J., Miao, X., Streithorst, J. A., Granados, A., Sotomayor-Gonzalez, A., Zorn, K., Gopez, A., Hsu, E., Gu, W., Miller, S., Pan, C. Y., Guevara, H., Wadford, D. A., Chen, J. S., &amp; Chiu, C. Y. (2020). CRISPR–Cas12-based detection of SARS-CoV-2.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38</w:t>
      </w:r>
      <w:r w:rsidRPr="00310E7E">
        <w:rPr>
          <w:rFonts w:ascii="Times New Roman" w:hAnsi="Times New Roman"/>
          <w:noProof/>
          <w:szCs w:val="24"/>
        </w:rPr>
        <w:t xml:space="preserve">(7), 870–874. </w:t>
      </w:r>
      <w:hyperlink r:id="rId99" w:history="1">
        <w:r w:rsidRPr="003F3461">
          <w:rPr>
            <w:rStyle w:val="Hyperlink"/>
            <w:rFonts w:ascii="Times New Roman" w:hAnsi="Times New Roman"/>
            <w:noProof/>
            <w:szCs w:val="24"/>
          </w:rPr>
          <w:t>https://doi.org/10.1038/s41587-020-0513-4</w:t>
        </w:r>
      </w:hyperlink>
    </w:p>
    <w:p w14:paraId="712C325F" w14:textId="39A1B3D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Brune, K. D., &amp; Bayer, T. S. (2012). Engineering microbial consortia to enhance biomining and bioremediation. </w:t>
      </w:r>
      <w:r w:rsidRPr="00310E7E">
        <w:rPr>
          <w:rFonts w:ascii="Times New Roman" w:hAnsi="Times New Roman"/>
          <w:i/>
          <w:iCs/>
          <w:noProof/>
          <w:szCs w:val="24"/>
        </w:rPr>
        <w:t>Frontiers in Microbiology</w:t>
      </w:r>
      <w:r w:rsidRPr="00310E7E">
        <w:rPr>
          <w:rFonts w:ascii="Times New Roman" w:hAnsi="Times New Roman"/>
          <w:noProof/>
          <w:szCs w:val="24"/>
        </w:rPr>
        <w:t xml:space="preserve">, </w:t>
      </w:r>
      <w:r w:rsidRPr="00310E7E">
        <w:rPr>
          <w:rFonts w:ascii="Times New Roman" w:hAnsi="Times New Roman"/>
          <w:i/>
          <w:iCs/>
          <w:noProof/>
          <w:szCs w:val="24"/>
        </w:rPr>
        <w:t>3</w:t>
      </w:r>
      <w:r w:rsidRPr="00310E7E">
        <w:rPr>
          <w:rFonts w:ascii="Times New Roman" w:hAnsi="Times New Roman"/>
          <w:noProof/>
          <w:szCs w:val="24"/>
        </w:rPr>
        <w:t xml:space="preserve">. </w:t>
      </w:r>
      <w:hyperlink r:id="rId100" w:history="1">
        <w:r w:rsidRPr="003F3461">
          <w:rPr>
            <w:rStyle w:val="Hyperlink"/>
            <w:rFonts w:ascii="Times New Roman" w:hAnsi="Times New Roman"/>
            <w:noProof/>
            <w:szCs w:val="24"/>
          </w:rPr>
          <w:t>https://doi.org/10.3389/fmicb.2012.00203</w:t>
        </w:r>
      </w:hyperlink>
    </w:p>
    <w:p w14:paraId="479550E9" w14:textId="13B5E42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Buchman, A., Marshall, J. M., Ostrovski, D., Yang, T., &amp; Akbari, O. S. (2018). Synthetically engineered Medea gene drive system in the worldwide crop pest </w:t>
      </w:r>
      <w:r w:rsidRPr="003F3461">
        <w:rPr>
          <w:rFonts w:ascii="Times New Roman" w:hAnsi="Times New Roman"/>
          <w:i/>
          <w:iCs/>
          <w:noProof/>
          <w:szCs w:val="24"/>
        </w:rPr>
        <w:t>Drosophila suzukii</w:t>
      </w:r>
      <w:r w:rsidRPr="00310E7E">
        <w:rPr>
          <w:rFonts w:ascii="Times New Roman" w:hAnsi="Times New Roman"/>
          <w:noProof/>
          <w:szCs w:val="24"/>
        </w:rPr>
        <w:t xml:space="preserve">. </w:t>
      </w:r>
      <w:r w:rsidRPr="00310E7E">
        <w:rPr>
          <w:rFonts w:ascii="Times New Roman" w:hAnsi="Times New Roman"/>
          <w:i/>
          <w:iCs/>
          <w:noProof/>
          <w:szCs w:val="24"/>
        </w:rPr>
        <w:t>Proceedings of the National Academy of Sciences</w:t>
      </w:r>
      <w:r w:rsidRPr="00310E7E">
        <w:rPr>
          <w:rFonts w:ascii="Times New Roman" w:hAnsi="Times New Roman"/>
          <w:noProof/>
          <w:szCs w:val="24"/>
        </w:rPr>
        <w:t xml:space="preserve">, </w:t>
      </w:r>
      <w:r w:rsidRPr="00310E7E">
        <w:rPr>
          <w:rFonts w:ascii="Times New Roman" w:hAnsi="Times New Roman"/>
          <w:i/>
          <w:iCs/>
          <w:noProof/>
          <w:szCs w:val="24"/>
        </w:rPr>
        <w:t>115</w:t>
      </w:r>
      <w:r w:rsidRPr="00310E7E">
        <w:rPr>
          <w:rFonts w:ascii="Times New Roman" w:hAnsi="Times New Roman"/>
          <w:noProof/>
          <w:szCs w:val="24"/>
        </w:rPr>
        <w:t xml:space="preserve">(18), 4725–4730. </w:t>
      </w:r>
      <w:hyperlink r:id="rId101" w:history="1">
        <w:r w:rsidRPr="003F3461">
          <w:rPr>
            <w:rStyle w:val="Hyperlink"/>
            <w:rFonts w:ascii="Times New Roman" w:hAnsi="Times New Roman"/>
            <w:noProof/>
            <w:szCs w:val="24"/>
          </w:rPr>
          <w:t>https://doi.org/10.1073/pnas.1713139115</w:t>
        </w:r>
      </w:hyperlink>
    </w:p>
    <w:p w14:paraId="464DD1C9" w14:textId="0E59906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Buchthal, J., Evans, S. W., Lunshof, J., Telford, S. R., &amp; Esvelt, K. M. (2019). Mice Against Ticks: an experimental community-guided effort to prevent tick-borne disease by altering the shared environment. </w:t>
      </w:r>
      <w:r w:rsidRPr="00310E7E">
        <w:rPr>
          <w:rFonts w:ascii="Times New Roman" w:hAnsi="Times New Roman"/>
          <w:i/>
          <w:iCs/>
          <w:noProof/>
          <w:szCs w:val="24"/>
        </w:rPr>
        <w:t>Philosophical Transactions of the Royal Society B: Biological Sciences</w:t>
      </w:r>
      <w:r w:rsidRPr="00310E7E">
        <w:rPr>
          <w:rFonts w:ascii="Times New Roman" w:hAnsi="Times New Roman"/>
          <w:noProof/>
          <w:szCs w:val="24"/>
        </w:rPr>
        <w:t xml:space="preserve">, </w:t>
      </w:r>
      <w:r w:rsidRPr="00310E7E">
        <w:rPr>
          <w:rFonts w:ascii="Times New Roman" w:hAnsi="Times New Roman"/>
          <w:i/>
          <w:iCs/>
          <w:noProof/>
          <w:szCs w:val="24"/>
        </w:rPr>
        <w:t>374</w:t>
      </w:r>
      <w:r w:rsidRPr="00310E7E">
        <w:rPr>
          <w:rFonts w:ascii="Times New Roman" w:hAnsi="Times New Roman"/>
          <w:noProof/>
          <w:szCs w:val="24"/>
        </w:rPr>
        <w:t xml:space="preserve">(1772), 20180105. </w:t>
      </w:r>
      <w:hyperlink r:id="rId102" w:history="1">
        <w:r w:rsidRPr="003F3461">
          <w:rPr>
            <w:rStyle w:val="Hyperlink"/>
            <w:rFonts w:ascii="Times New Roman" w:hAnsi="Times New Roman"/>
            <w:noProof/>
            <w:szCs w:val="24"/>
          </w:rPr>
          <w:t>https://doi.org/10.1098/rstb.2018.0105</w:t>
        </w:r>
      </w:hyperlink>
    </w:p>
    <w:p w14:paraId="3275EF60" w14:textId="284648D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Budin, I., &amp; Szostak, J. W. (2010). Expanding Roles for Diverse Physical Phenomena During the Origin of Life. </w:t>
      </w:r>
      <w:r w:rsidRPr="00310E7E">
        <w:rPr>
          <w:rFonts w:ascii="Times New Roman" w:hAnsi="Times New Roman"/>
          <w:i/>
          <w:iCs/>
          <w:noProof/>
          <w:szCs w:val="24"/>
        </w:rPr>
        <w:t>Annual Review of Biophysics</w:t>
      </w:r>
      <w:r w:rsidRPr="00310E7E">
        <w:rPr>
          <w:rFonts w:ascii="Times New Roman" w:hAnsi="Times New Roman"/>
          <w:noProof/>
          <w:szCs w:val="24"/>
        </w:rPr>
        <w:t xml:space="preserve">, </w:t>
      </w:r>
      <w:r w:rsidRPr="00310E7E">
        <w:rPr>
          <w:rFonts w:ascii="Times New Roman" w:hAnsi="Times New Roman"/>
          <w:i/>
          <w:iCs/>
          <w:noProof/>
          <w:szCs w:val="24"/>
        </w:rPr>
        <w:t>39</w:t>
      </w:r>
      <w:r w:rsidRPr="00310E7E">
        <w:rPr>
          <w:rFonts w:ascii="Times New Roman" w:hAnsi="Times New Roman"/>
          <w:noProof/>
          <w:szCs w:val="24"/>
        </w:rPr>
        <w:t xml:space="preserve">(1), 245–263. </w:t>
      </w:r>
      <w:hyperlink r:id="rId103" w:history="1">
        <w:r w:rsidRPr="006F09A8">
          <w:rPr>
            <w:rStyle w:val="Hyperlink"/>
            <w:rFonts w:ascii="Times New Roman" w:hAnsi="Times New Roman"/>
            <w:noProof/>
            <w:szCs w:val="24"/>
          </w:rPr>
          <w:t>https://doi.org/10.1146/annurev.biophys.050708.133753</w:t>
        </w:r>
      </w:hyperlink>
    </w:p>
    <w:p w14:paraId="716D0A2B" w14:textId="0F7AABB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Budisa, N., Kubyshkin, V., &amp; Schmidt, M. (2020). Xenobiology: A Journey towards Parallel Life Forms. </w:t>
      </w:r>
      <w:r w:rsidRPr="00310E7E">
        <w:rPr>
          <w:rFonts w:ascii="Times New Roman" w:hAnsi="Times New Roman"/>
          <w:i/>
          <w:iCs/>
          <w:noProof/>
          <w:szCs w:val="24"/>
        </w:rPr>
        <w:t>ChemBioChem</w:t>
      </w:r>
      <w:r w:rsidRPr="00310E7E">
        <w:rPr>
          <w:rFonts w:ascii="Times New Roman" w:hAnsi="Times New Roman"/>
          <w:noProof/>
          <w:szCs w:val="24"/>
        </w:rPr>
        <w:t xml:space="preserve">, </w:t>
      </w:r>
      <w:r w:rsidRPr="00310E7E">
        <w:rPr>
          <w:rFonts w:ascii="Times New Roman" w:hAnsi="Times New Roman"/>
          <w:i/>
          <w:iCs/>
          <w:noProof/>
          <w:szCs w:val="24"/>
        </w:rPr>
        <w:t>21</w:t>
      </w:r>
      <w:r w:rsidRPr="00310E7E">
        <w:rPr>
          <w:rFonts w:ascii="Times New Roman" w:hAnsi="Times New Roman"/>
          <w:noProof/>
          <w:szCs w:val="24"/>
        </w:rPr>
        <w:t xml:space="preserve">(16), 2228–2231. </w:t>
      </w:r>
      <w:hyperlink r:id="rId104" w:history="1">
        <w:r w:rsidRPr="006F09A8">
          <w:rPr>
            <w:rStyle w:val="Hyperlink"/>
            <w:rFonts w:ascii="Times New Roman" w:hAnsi="Times New Roman"/>
            <w:noProof/>
            <w:szCs w:val="24"/>
          </w:rPr>
          <w:t>https://doi.org/10.1002/cbic.202000141</w:t>
        </w:r>
      </w:hyperlink>
    </w:p>
    <w:p w14:paraId="7F2BFAB8" w14:textId="522484F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Burstein, D., Harrington, L. B., Strutt, S. C., Probst, A. J., Anantharaman, K., Thomas, B. C., Doudna, J. A., &amp; Banfield, J. F. (2017). New CRISPR-Cas systems from uncultivated microbes.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542</w:t>
      </w:r>
      <w:r w:rsidRPr="00310E7E">
        <w:rPr>
          <w:rFonts w:ascii="Times New Roman" w:hAnsi="Times New Roman"/>
          <w:noProof/>
          <w:szCs w:val="24"/>
        </w:rPr>
        <w:t xml:space="preserve">(7640), 237–241. </w:t>
      </w:r>
      <w:hyperlink r:id="rId105" w:history="1">
        <w:r w:rsidRPr="006F09A8">
          <w:rPr>
            <w:rStyle w:val="Hyperlink"/>
            <w:rFonts w:ascii="Times New Roman" w:hAnsi="Times New Roman"/>
            <w:noProof/>
            <w:szCs w:val="24"/>
          </w:rPr>
          <w:t>https://doi.org/10.1038/nature21059</w:t>
        </w:r>
      </w:hyperlink>
    </w:p>
    <w:p w14:paraId="553E62A6" w14:textId="7152FB8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Burt, A., &amp; Crisanti, A. (2018). Gene Drive: Evolved and Synthetic. </w:t>
      </w:r>
      <w:r w:rsidRPr="00310E7E">
        <w:rPr>
          <w:rFonts w:ascii="Times New Roman" w:hAnsi="Times New Roman"/>
          <w:i/>
          <w:iCs/>
          <w:noProof/>
          <w:szCs w:val="24"/>
        </w:rPr>
        <w:t>ACS Chemical Biology</w:t>
      </w:r>
      <w:r w:rsidRPr="00310E7E">
        <w:rPr>
          <w:rFonts w:ascii="Times New Roman" w:hAnsi="Times New Roman"/>
          <w:noProof/>
          <w:szCs w:val="24"/>
        </w:rPr>
        <w:t xml:space="preserve">, </w:t>
      </w:r>
      <w:r w:rsidRPr="00310E7E">
        <w:rPr>
          <w:rFonts w:ascii="Times New Roman" w:hAnsi="Times New Roman"/>
          <w:i/>
          <w:iCs/>
          <w:noProof/>
          <w:szCs w:val="24"/>
        </w:rPr>
        <w:t>13</w:t>
      </w:r>
      <w:r w:rsidRPr="00310E7E">
        <w:rPr>
          <w:rFonts w:ascii="Times New Roman" w:hAnsi="Times New Roman"/>
          <w:noProof/>
          <w:szCs w:val="24"/>
        </w:rPr>
        <w:t xml:space="preserve">(2), 343–346. </w:t>
      </w:r>
      <w:hyperlink r:id="rId106" w:history="1">
        <w:r w:rsidRPr="006F09A8">
          <w:rPr>
            <w:rStyle w:val="Hyperlink"/>
            <w:rFonts w:ascii="Times New Roman" w:hAnsi="Times New Roman"/>
            <w:noProof/>
            <w:szCs w:val="24"/>
          </w:rPr>
          <w:t>https://doi.org/10.1021/acschembio.7b01031</w:t>
        </w:r>
      </w:hyperlink>
    </w:p>
    <w:p w14:paraId="2B9562AB" w14:textId="36ADB89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BWC. (2017). </w:t>
      </w:r>
      <w:r w:rsidRPr="00310E7E">
        <w:rPr>
          <w:rFonts w:ascii="Times New Roman" w:hAnsi="Times New Roman"/>
          <w:i/>
          <w:iCs/>
          <w:noProof/>
          <w:szCs w:val="24"/>
        </w:rPr>
        <w:t>Meeting of the States Parties to the Convention on the Prohibition of the Development, Production and Stockpiling of Bacteriological (Biological) and Toxin Weapons and on Their Destruction</w:t>
      </w:r>
      <w:r w:rsidRPr="00310E7E">
        <w:rPr>
          <w:rFonts w:ascii="Times New Roman" w:hAnsi="Times New Roman"/>
          <w:noProof/>
          <w:szCs w:val="24"/>
        </w:rPr>
        <w:t xml:space="preserve"> (p. 19). </w:t>
      </w:r>
      <w:hyperlink r:id="rId107" w:history="1">
        <w:r w:rsidRPr="00A839FC">
          <w:rPr>
            <w:rStyle w:val="Hyperlink"/>
            <w:rFonts w:ascii="Times New Roman" w:hAnsi="Times New Roman"/>
            <w:noProof/>
            <w:szCs w:val="24"/>
          </w:rPr>
          <w:t>https://undocs.org/bwc/msp/2018/mx.2/2</w:t>
        </w:r>
      </w:hyperlink>
    </w:p>
    <w:p w14:paraId="4331D60D" w14:textId="2EB66023" w:rsidR="00A839FC" w:rsidRPr="00F8168D" w:rsidRDefault="00A839FC" w:rsidP="00310E7E">
      <w:pPr>
        <w:widowControl w:val="0"/>
        <w:autoSpaceDE w:val="0"/>
        <w:autoSpaceDN w:val="0"/>
        <w:adjustRightInd w:val="0"/>
        <w:spacing w:after="140" w:line="240" w:lineRule="auto"/>
        <w:ind w:left="480" w:hanging="480"/>
        <w:rPr>
          <w:rFonts w:ascii="Times New Roman" w:hAnsi="Times New Roman"/>
          <w:noProof/>
          <w:szCs w:val="24"/>
          <w:lang w:val="es-ES"/>
        </w:rPr>
      </w:pPr>
      <w:r w:rsidRPr="00A839FC">
        <w:rPr>
          <w:rFonts w:ascii="Times New Roman" w:hAnsi="Times New Roman"/>
          <w:noProof/>
          <w:szCs w:val="24"/>
          <w:lang w:val="fr-CA"/>
        </w:rPr>
        <w:t xml:space="preserve">Cagliari, D., Avila dos Santos, E., Dias, N., Smagghe, G., &amp; Zotti, M. (2019). </w:t>
      </w:r>
      <w:r w:rsidRPr="009C2DA0">
        <w:rPr>
          <w:rFonts w:ascii="Times New Roman" w:hAnsi="Times New Roman"/>
          <w:noProof/>
          <w:szCs w:val="24"/>
          <w:lang w:val="en-CA"/>
        </w:rPr>
        <w:t xml:space="preserve">Nontransformative Strategies for RNAi in Crop Protection. </w:t>
      </w:r>
      <w:r w:rsidRPr="00A839FC">
        <w:rPr>
          <w:rFonts w:ascii="Times New Roman" w:hAnsi="Times New Roman"/>
          <w:noProof/>
          <w:szCs w:val="24"/>
        </w:rPr>
        <w:t xml:space="preserve">In Modulating Gene Expression - Abridging the RNAi and CRISPR-Cas9 Technologies. </w:t>
      </w:r>
      <w:r w:rsidRPr="00F8168D">
        <w:rPr>
          <w:rFonts w:ascii="Times New Roman" w:hAnsi="Times New Roman"/>
          <w:noProof/>
          <w:szCs w:val="24"/>
          <w:lang w:val="es-ES"/>
        </w:rPr>
        <w:t xml:space="preserve">IntechOpen. </w:t>
      </w:r>
      <w:hyperlink r:id="rId108" w:history="1">
        <w:r w:rsidRPr="00F8168D">
          <w:rPr>
            <w:rStyle w:val="Hyperlink"/>
            <w:rFonts w:ascii="Times New Roman" w:hAnsi="Times New Roman"/>
            <w:noProof/>
            <w:szCs w:val="24"/>
            <w:lang w:val="es-ES"/>
          </w:rPr>
          <w:t>https://doi.org/10.5772/intechopen.80874</w:t>
        </w:r>
      </w:hyperlink>
    </w:p>
    <w:p w14:paraId="4E54CB7A" w14:textId="3E99BAA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es-ES"/>
        </w:rPr>
        <w:t xml:space="preserve">Cagliari, D., Dias, N. P., Galdeano, D. M., dos Santos, E. Á., Smagghe, G., &amp; Zotti, M. J. (2019). </w:t>
      </w:r>
      <w:r w:rsidRPr="00310E7E">
        <w:rPr>
          <w:rFonts w:ascii="Times New Roman" w:hAnsi="Times New Roman"/>
          <w:noProof/>
          <w:szCs w:val="24"/>
        </w:rPr>
        <w:t xml:space="preserve">Management of Pest Insects and Plant Diseases by Non-Transformative RNAi.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10</w:t>
      </w:r>
      <w:r w:rsidRPr="00310E7E">
        <w:rPr>
          <w:rFonts w:ascii="Times New Roman" w:hAnsi="Times New Roman"/>
          <w:noProof/>
          <w:szCs w:val="24"/>
        </w:rPr>
        <w:t xml:space="preserve">. </w:t>
      </w:r>
      <w:hyperlink r:id="rId109" w:history="1">
        <w:r w:rsidRPr="00A839FC">
          <w:rPr>
            <w:rStyle w:val="Hyperlink"/>
            <w:rFonts w:ascii="Times New Roman" w:hAnsi="Times New Roman"/>
            <w:noProof/>
            <w:szCs w:val="24"/>
          </w:rPr>
          <w:t>https://doi.org/10.3389/fpls.2019.01319</w:t>
        </w:r>
      </w:hyperlink>
    </w:p>
    <w:p w14:paraId="260EE462" w14:textId="692E838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Callaway, E. (2018). Ban on “gene drives” is back on the UN’s agenda - worrying scientists. In </w:t>
      </w:r>
      <w:r w:rsidRPr="00310E7E">
        <w:rPr>
          <w:rFonts w:ascii="Times New Roman" w:hAnsi="Times New Roman"/>
          <w:i/>
          <w:iCs/>
          <w:noProof/>
          <w:szCs w:val="24"/>
        </w:rPr>
        <w:t>Nature</w:t>
      </w:r>
      <w:r w:rsidRPr="00310E7E">
        <w:rPr>
          <w:rFonts w:ascii="Times New Roman" w:hAnsi="Times New Roman"/>
          <w:noProof/>
          <w:szCs w:val="24"/>
        </w:rPr>
        <w:t xml:space="preserve"> (Vol. 563, Issue 7732, pp. 454–455). NLM (Medline). </w:t>
      </w:r>
      <w:hyperlink r:id="rId110" w:history="1">
        <w:r w:rsidRPr="00A839FC">
          <w:rPr>
            <w:rStyle w:val="Hyperlink"/>
            <w:rFonts w:ascii="Times New Roman" w:hAnsi="Times New Roman"/>
            <w:noProof/>
            <w:szCs w:val="24"/>
          </w:rPr>
          <w:t>https://doi.org/10.1038/d41586-018-07436-4</w:t>
        </w:r>
      </w:hyperlink>
    </w:p>
    <w:p w14:paraId="245C4E02" w14:textId="02F59F7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Calvert, J. (2012). Ownership and sharing in synthetic biology: A ‘diverse ecology’ of the open and the proprietary? </w:t>
      </w:r>
      <w:r w:rsidRPr="00310E7E">
        <w:rPr>
          <w:rFonts w:ascii="Times New Roman" w:hAnsi="Times New Roman"/>
          <w:i/>
          <w:iCs/>
          <w:noProof/>
          <w:szCs w:val="24"/>
        </w:rPr>
        <w:t>BioSocieties</w:t>
      </w:r>
      <w:r w:rsidRPr="00310E7E">
        <w:rPr>
          <w:rFonts w:ascii="Times New Roman" w:hAnsi="Times New Roman"/>
          <w:noProof/>
          <w:szCs w:val="24"/>
        </w:rPr>
        <w:t xml:space="preserve">, </w:t>
      </w:r>
      <w:r w:rsidRPr="00310E7E">
        <w:rPr>
          <w:rFonts w:ascii="Times New Roman" w:hAnsi="Times New Roman"/>
          <w:i/>
          <w:iCs/>
          <w:noProof/>
          <w:szCs w:val="24"/>
        </w:rPr>
        <w:t>7</w:t>
      </w:r>
      <w:r w:rsidRPr="00310E7E">
        <w:rPr>
          <w:rFonts w:ascii="Times New Roman" w:hAnsi="Times New Roman"/>
          <w:noProof/>
          <w:szCs w:val="24"/>
        </w:rPr>
        <w:t xml:space="preserve">(2), 169–187. </w:t>
      </w:r>
      <w:hyperlink r:id="rId111" w:history="1">
        <w:r w:rsidRPr="00A839FC">
          <w:rPr>
            <w:rStyle w:val="Hyperlink"/>
            <w:rFonts w:ascii="Times New Roman" w:hAnsi="Times New Roman"/>
            <w:noProof/>
            <w:szCs w:val="24"/>
          </w:rPr>
          <w:t>https://doi.org/10.1057/biosoc.2012.3</w:t>
        </w:r>
      </w:hyperlink>
    </w:p>
    <w:p w14:paraId="0429645E" w14:textId="08CF5B1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Calyxt, I. (2017, July). </w:t>
      </w:r>
      <w:r w:rsidRPr="00310E7E">
        <w:rPr>
          <w:rFonts w:ascii="Times New Roman" w:hAnsi="Times New Roman"/>
          <w:i/>
          <w:iCs/>
          <w:noProof/>
          <w:szCs w:val="24"/>
        </w:rPr>
        <w:t xml:space="preserve">Registration Statement. Calyxt, Inc. </w:t>
      </w:r>
      <w:r w:rsidRPr="00310E7E">
        <w:rPr>
          <w:rFonts w:ascii="Times New Roman" w:hAnsi="Times New Roman"/>
          <w:noProof/>
          <w:szCs w:val="24"/>
        </w:rPr>
        <w:t>. United States Securities and Exchange Commission.</w:t>
      </w:r>
      <w:r w:rsidR="00C77AA4" w:rsidRPr="00C77AA4">
        <w:t xml:space="preserve"> </w:t>
      </w:r>
      <w:hyperlink r:id="rId112" w:history="1">
        <w:r w:rsidR="00C77AA4" w:rsidRPr="00C77AA4">
          <w:rPr>
            <w:rStyle w:val="Hyperlink"/>
            <w:rFonts w:ascii="Times New Roman" w:hAnsi="Times New Roman"/>
            <w:noProof/>
            <w:szCs w:val="24"/>
          </w:rPr>
          <w:t>https://ir.calyxt.com/sec-filings/all-sec-filings/content/0001193125-17-211349/0001193125-17-211349.pdf</w:t>
        </w:r>
      </w:hyperlink>
    </w:p>
    <w:p w14:paraId="42FC221F" w14:textId="16E97E6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Camacho, D. M., Collins, K. M., Powers, R. K., Costello, J. C., &amp; Collins, J. J. (2018). Next-Generation Machine Learning for Biological Networks. In </w:t>
      </w:r>
      <w:r w:rsidRPr="00310E7E">
        <w:rPr>
          <w:rFonts w:ascii="Times New Roman" w:hAnsi="Times New Roman"/>
          <w:i/>
          <w:iCs/>
          <w:noProof/>
          <w:szCs w:val="24"/>
        </w:rPr>
        <w:t>Cell</w:t>
      </w:r>
      <w:r w:rsidRPr="00310E7E">
        <w:rPr>
          <w:rFonts w:ascii="Times New Roman" w:hAnsi="Times New Roman"/>
          <w:noProof/>
          <w:szCs w:val="24"/>
        </w:rPr>
        <w:t xml:space="preserve"> (Vol. 173, Issue 7, pp. 1581–1592). Cell Press. </w:t>
      </w:r>
      <w:hyperlink r:id="rId113" w:history="1">
        <w:r w:rsidRPr="00C77AA4">
          <w:rPr>
            <w:rStyle w:val="Hyperlink"/>
            <w:rFonts w:ascii="Times New Roman" w:hAnsi="Times New Roman"/>
            <w:noProof/>
            <w:szCs w:val="24"/>
          </w:rPr>
          <w:t>https://doi.org/10.1016/j.cell.2018.05.015</w:t>
        </w:r>
      </w:hyperlink>
    </w:p>
    <w:p w14:paraId="5DB5CD09" w14:textId="3C4B4C8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Campbell, K. J., Beek, J., Eason, C. T., Glen, A. S., Godwin, J., Gould, F., Holmes, N. D., Howald, G. R., Madden, F. M., Ponder, J. B., Threadgill, D. W., Wegmann, A. S., &amp; Baxter, G. S. (2015). The next generation of rodent eradications: Innovative technologies and tools to improve species specificity and increase their feasibility on islands. </w:t>
      </w:r>
      <w:r w:rsidRPr="00310E7E">
        <w:rPr>
          <w:rFonts w:ascii="Times New Roman" w:hAnsi="Times New Roman"/>
          <w:i/>
          <w:iCs/>
          <w:noProof/>
          <w:szCs w:val="24"/>
        </w:rPr>
        <w:t>Biological Conservation</w:t>
      </w:r>
      <w:r w:rsidRPr="00310E7E">
        <w:rPr>
          <w:rFonts w:ascii="Times New Roman" w:hAnsi="Times New Roman"/>
          <w:noProof/>
          <w:szCs w:val="24"/>
        </w:rPr>
        <w:t xml:space="preserve">, </w:t>
      </w:r>
      <w:r w:rsidRPr="00310E7E">
        <w:rPr>
          <w:rFonts w:ascii="Times New Roman" w:hAnsi="Times New Roman"/>
          <w:i/>
          <w:iCs/>
          <w:noProof/>
          <w:szCs w:val="24"/>
        </w:rPr>
        <w:t>185</w:t>
      </w:r>
      <w:r w:rsidRPr="00310E7E">
        <w:rPr>
          <w:rFonts w:ascii="Times New Roman" w:hAnsi="Times New Roman"/>
          <w:noProof/>
          <w:szCs w:val="24"/>
        </w:rPr>
        <w:t xml:space="preserve">, 47–58. </w:t>
      </w:r>
      <w:hyperlink r:id="rId114" w:history="1">
        <w:r w:rsidRPr="00C77AA4">
          <w:rPr>
            <w:rStyle w:val="Hyperlink"/>
            <w:rFonts w:ascii="Times New Roman" w:hAnsi="Times New Roman"/>
            <w:noProof/>
            <w:szCs w:val="24"/>
          </w:rPr>
          <w:t>https://doi.org/10.1016/j.biocon.2014.10.016</w:t>
        </w:r>
      </w:hyperlink>
    </w:p>
    <w:p w14:paraId="2287C0F1" w14:textId="5D80844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Campos, L. (2009). That Was the Synthetic Biology That Was. In </w:t>
      </w:r>
      <w:r w:rsidRPr="00310E7E">
        <w:rPr>
          <w:rFonts w:ascii="Times New Roman" w:hAnsi="Times New Roman"/>
          <w:i/>
          <w:iCs/>
          <w:noProof/>
          <w:szCs w:val="24"/>
        </w:rPr>
        <w:t>Synthetic Biology</w:t>
      </w:r>
      <w:r w:rsidRPr="00310E7E">
        <w:rPr>
          <w:rFonts w:ascii="Times New Roman" w:hAnsi="Times New Roman"/>
          <w:noProof/>
          <w:szCs w:val="24"/>
        </w:rPr>
        <w:t xml:space="preserve"> (pp. 5–21). Springer Netherlands. </w:t>
      </w:r>
      <w:hyperlink r:id="rId115" w:history="1">
        <w:r w:rsidRPr="00C77AA4">
          <w:rPr>
            <w:rStyle w:val="Hyperlink"/>
            <w:rFonts w:ascii="Times New Roman" w:hAnsi="Times New Roman"/>
            <w:noProof/>
            <w:szCs w:val="24"/>
          </w:rPr>
          <w:t>https://doi.org/10.1007/978-90-481-2678-1_2</w:t>
        </w:r>
      </w:hyperlink>
    </w:p>
    <w:p w14:paraId="2918C9FA" w14:textId="1DAAEE4A" w:rsidR="00C77AA4" w:rsidRDefault="00C77AA4" w:rsidP="00310E7E">
      <w:pPr>
        <w:widowControl w:val="0"/>
        <w:autoSpaceDE w:val="0"/>
        <w:autoSpaceDN w:val="0"/>
        <w:adjustRightInd w:val="0"/>
        <w:spacing w:after="140" w:line="240" w:lineRule="auto"/>
        <w:ind w:left="480" w:hanging="480"/>
        <w:rPr>
          <w:rFonts w:ascii="Times New Roman" w:hAnsi="Times New Roman"/>
          <w:noProof/>
          <w:szCs w:val="24"/>
        </w:rPr>
      </w:pPr>
      <w:r w:rsidRPr="00C77AA4">
        <w:rPr>
          <w:rFonts w:ascii="Times New Roman" w:hAnsi="Times New Roman"/>
          <w:noProof/>
          <w:szCs w:val="24"/>
        </w:rPr>
        <w:t xml:space="preserve">Canadian Biotechnology Action Network. (2020). Genome Editing in Food and Farming. Risks and Unexpected Consequences. </w:t>
      </w:r>
      <w:hyperlink r:id="rId116" w:history="1">
        <w:r w:rsidRPr="00C77AA4">
          <w:rPr>
            <w:rStyle w:val="Hyperlink"/>
            <w:rFonts w:ascii="Times New Roman" w:hAnsi="Times New Roman"/>
            <w:noProof/>
            <w:szCs w:val="24"/>
          </w:rPr>
          <w:t>https://cban.ca/wp-content/uploads/Genome-Editing-Report-2020.pdf</w:t>
        </w:r>
      </w:hyperlink>
    </w:p>
    <w:p w14:paraId="51C65876" w14:textId="5347B22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Cao, M., Tran, V. G., &amp; Zhao, H. (2020). Unlocking nature’s biosynthetic potential by directed genome evolution. In </w:t>
      </w:r>
      <w:r w:rsidRPr="00310E7E">
        <w:rPr>
          <w:rFonts w:ascii="Times New Roman" w:hAnsi="Times New Roman"/>
          <w:i/>
          <w:iCs/>
          <w:noProof/>
          <w:szCs w:val="24"/>
        </w:rPr>
        <w:t>Current Opinion in Biotechnology</w:t>
      </w:r>
      <w:r w:rsidRPr="00310E7E">
        <w:rPr>
          <w:rFonts w:ascii="Times New Roman" w:hAnsi="Times New Roman"/>
          <w:noProof/>
          <w:szCs w:val="24"/>
        </w:rPr>
        <w:t xml:space="preserve"> (Vol. 66, pp. 95–104). Elsevier Ltd. </w:t>
      </w:r>
      <w:hyperlink r:id="rId117" w:history="1">
        <w:r w:rsidRPr="00C77AA4">
          <w:rPr>
            <w:rStyle w:val="Hyperlink"/>
            <w:rFonts w:ascii="Times New Roman" w:hAnsi="Times New Roman"/>
            <w:noProof/>
            <w:szCs w:val="24"/>
          </w:rPr>
          <w:t>https://doi.org/10.1016/j.copbio.2020.06.012</w:t>
        </w:r>
      </w:hyperlink>
    </w:p>
    <w:p w14:paraId="413C9084" w14:textId="68A9D06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Capeness, M. J., &amp; Horsfall, L. E. (2020). Synthetic biology approaches towards the recycling of metals from the environment. In </w:t>
      </w:r>
      <w:r w:rsidRPr="00310E7E">
        <w:rPr>
          <w:rFonts w:ascii="Times New Roman" w:hAnsi="Times New Roman"/>
          <w:i/>
          <w:iCs/>
          <w:noProof/>
          <w:szCs w:val="24"/>
        </w:rPr>
        <w:t>Biochemical Society Transactions</w:t>
      </w:r>
      <w:r w:rsidRPr="00310E7E">
        <w:rPr>
          <w:rFonts w:ascii="Times New Roman" w:hAnsi="Times New Roman"/>
          <w:noProof/>
          <w:szCs w:val="24"/>
        </w:rPr>
        <w:t xml:space="preserve"> (Vol. 48, Issue 4, pp. 1367–1378). Portland Press Ltd. </w:t>
      </w:r>
      <w:hyperlink r:id="rId118" w:history="1">
        <w:r w:rsidRPr="00C77AA4">
          <w:rPr>
            <w:rStyle w:val="Hyperlink"/>
            <w:rFonts w:ascii="Times New Roman" w:hAnsi="Times New Roman"/>
            <w:noProof/>
            <w:szCs w:val="24"/>
          </w:rPr>
          <w:t>https://doi.org/10.1042/BST20190837</w:t>
        </w:r>
      </w:hyperlink>
    </w:p>
    <w:p w14:paraId="4B80F623" w14:textId="28428A3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Carr, P. A., &amp; Church, G. M. (2009). Genome engineering. In </w:t>
      </w:r>
      <w:r w:rsidRPr="00310E7E">
        <w:rPr>
          <w:rFonts w:ascii="Times New Roman" w:hAnsi="Times New Roman"/>
          <w:i/>
          <w:iCs/>
          <w:noProof/>
          <w:szCs w:val="24"/>
        </w:rPr>
        <w:t>Nature Biotechnology</w:t>
      </w:r>
      <w:r w:rsidRPr="00310E7E">
        <w:rPr>
          <w:rFonts w:ascii="Times New Roman" w:hAnsi="Times New Roman"/>
          <w:noProof/>
          <w:szCs w:val="24"/>
        </w:rPr>
        <w:t xml:space="preserve"> (Vol. 27, Issue 12, pp. 1151–1162). Nature Publishing Group. </w:t>
      </w:r>
      <w:hyperlink r:id="rId119" w:history="1">
        <w:r w:rsidRPr="00C77AA4">
          <w:rPr>
            <w:rStyle w:val="Hyperlink"/>
            <w:rFonts w:ascii="Times New Roman" w:hAnsi="Times New Roman"/>
            <w:noProof/>
            <w:szCs w:val="24"/>
          </w:rPr>
          <w:t>https://doi.org/10.1038/nbt.1590</w:t>
        </w:r>
      </w:hyperlink>
    </w:p>
    <w:p w14:paraId="2D6F82EB" w14:textId="708273E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Carroll, D. (2013). Staying on target with CRISPR-Cas.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31</w:t>
      </w:r>
      <w:r w:rsidRPr="00310E7E">
        <w:rPr>
          <w:rFonts w:ascii="Times New Roman" w:hAnsi="Times New Roman"/>
          <w:noProof/>
          <w:szCs w:val="24"/>
        </w:rPr>
        <w:t xml:space="preserve">(9), 807–809. </w:t>
      </w:r>
      <w:hyperlink r:id="rId120" w:history="1">
        <w:r w:rsidRPr="00C77AA4">
          <w:rPr>
            <w:rStyle w:val="Hyperlink"/>
            <w:rFonts w:ascii="Times New Roman" w:hAnsi="Times New Roman"/>
            <w:noProof/>
            <w:szCs w:val="24"/>
          </w:rPr>
          <w:t>https://doi.org/10.1038/nbt.2684</w:t>
        </w:r>
      </w:hyperlink>
    </w:p>
    <w:p w14:paraId="29FE41EC" w14:textId="329096A8" w:rsidR="00310E7E" w:rsidRPr="009C2DA0"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fr-FR"/>
        </w:rPr>
      </w:pPr>
      <w:r w:rsidRPr="00310E7E">
        <w:rPr>
          <w:rFonts w:ascii="Times New Roman" w:hAnsi="Times New Roman"/>
          <w:noProof/>
          <w:szCs w:val="24"/>
        </w:rPr>
        <w:t xml:space="preserve">Carvalho, D. O., McKemey, A. R., Garziera, L., Lacroix, R., Donnelly, C. A., Alphey, L., Malavasi, A., &amp; Capurro, M. L. (2015). Suppression of a Field Population of </w:t>
      </w:r>
      <w:r w:rsidRPr="00C77AA4">
        <w:rPr>
          <w:rFonts w:ascii="Times New Roman" w:hAnsi="Times New Roman"/>
          <w:i/>
          <w:iCs/>
          <w:noProof/>
          <w:szCs w:val="24"/>
        </w:rPr>
        <w:t>Aedes aegypti</w:t>
      </w:r>
      <w:r w:rsidRPr="00310E7E">
        <w:rPr>
          <w:rFonts w:ascii="Times New Roman" w:hAnsi="Times New Roman"/>
          <w:noProof/>
          <w:szCs w:val="24"/>
        </w:rPr>
        <w:t xml:space="preserve"> in Brazil by Sustained Release of Transgenic Male Mosquitoes. </w:t>
      </w:r>
      <w:r w:rsidRPr="009C2DA0">
        <w:rPr>
          <w:rFonts w:ascii="Times New Roman" w:hAnsi="Times New Roman"/>
          <w:i/>
          <w:iCs/>
          <w:noProof/>
          <w:szCs w:val="24"/>
          <w:lang w:val="fr-FR"/>
        </w:rPr>
        <w:t>PLOS Neglected Tropical Diseases</w:t>
      </w:r>
      <w:r w:rsidRPr="009C2DA0">
        <w:rPr>
          <w:rFonts w:ascii="Times New Roman" w:hAnsi="Times New Roman"/>
          <w:noProof/>
          <w:szCs w:val="24"/>
          <w:lang w:val="fr-FR"/>
        </w:rPr>
        <w:t xml:space="preserve">, </w:t>
      </w:r>
      <w:r w:rsidRPr="009C2DA0">
        <w:rPr>
          <w:rFonts w:ascii="Times New Roman" w:hAnsi="Times New Roman"/>
          <w:i/>
          <w:iCs/>
          <w:noProof/>
          <w:szCs w:val="24"/>
          <w:lang w:val="fr-FR"/>
        </w:rPr>
        <w:t>9</w:t>
      </w:r>
      <w:r w:rsidRPr="009C2DA0">
        <w:rPr>
          <w:rFonts w:ascii="Times New Roman" w:hAnsi="Times New Roman"/>
          <w:noProof/>
          <w:szCs w:val="24"/>
          <w:lang w:val="fr-FR"/>
        </w:rPr>
        <w:t xml:space="preserve">(7), e0003864. </w:t>
      </w:r>
      <w:hyperlink r:id="rId121" w:history="1">
        <w:r w:rsidRPr="009C2DA0">
          <w:rPr>
            <w:rStyle w:val="Hyperlink"/>
            <w:rFonts w:ascii="Times New Roman" w:hAnsi="Times New Roman"/>
            <w:noProof/>
            <w:szCs w:val="24"/>
            <w:lang w:val="fr-FR"/>
          </w:rPr>
          <w:t>https://doi.org/10.1371/journal.pntd.0003864</w:t>
        </w:r>
      </w:hyperlink>
    </w:p>
    <w:p w14:paraId="1A33B854" w14:textId="26BF7BE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9C2DA0">
        <w:rPr>
          <w:rFonts w:ascii="Times New Roman" w:hAnsi="Times New Roman"/>
          <w:noProof/>
          <w:szCs w:val="24"/>
          <w:lang w:val="fr-FR"/>
        </w:rPr>
        <w:t xml:space="preserve">Casacuberta, J. M., Devos, Y., du Jardin, P., Ramon, M., Vaucheret, H., &amp; Nogué, F. (2015). </w:t>
      </w:r>
      <w:r w:rsidRPr="00310E7E">
        <w:rPr>
          <w:rFonts w:ascii="Times New Roman" w:hAnsi="Times New Roman"/>
          <w:noProof/>
          <w:szCs w:val="24"/>
        </w:rPr>
        <w:t xml:space="preserve">Biotechnological uses of RNAi in plants: risk assessment considerations. </w:t>
      </w:r>
      <w:r w:rsidRPr="00310E7E">
        <w:rPr>
          <w:rFonts w:ascii="Times New Roman" w:hAnsi="Times New Roman"/>
          <w:i/>
          <w:iCs/>
          <w:noProof/>
          <w:szCs w:val="24"/>
        </w:rPr>
        <w:t>Trends in Biotechnology</w:t>
      </w:r>
      <w:r w:rsidRPr="00310E7E">
        <w:rPr>
          <w:rFonts w:ascii="Times New Roman" w:hAnsi="Times New Roman"/>
          <w:noProof/>
          <w:szCs w:val="24"/>
        </w:rPr>
        <w:t xml:space="preserve">, </w:t>
      </w:r>
      <w:r w:rsidRPr="00310E7E">
        <w:rPr>
          <w:rFonts w:ascii="Times New Roman" w:hAnsi="Times New Roman"/>
          <w:i/>
          <w:iCs/>
          <w:noProof/>
          <w:szCs w:val="24"/>
        </w:rPr>
        <w:t>33</w:t>
      </w:r>
      <w:r w:rsidRPr="00310E7E">
        <w:rPr>
          <w:rFonts w:ascii="Times New Roman" w:hAnsi="Times New Roman"/>
          <w:noProof/>
          <w:szCs w:val="24"/>
        </w:rPr>
        <w:t xml:space="preserve">(3), 145–147. </w:t>
      </w:r>
      <w:hyperlink r:id="rId122" w:history="1">
        <w:r w:rsidRPr="00C77AA4">
          <w:rPr>
            <w:rStyle w:val="Hyperlink"/>
            <w:rFonts w:ascii="Times New Roman" w:hAnsi="Times New Roman"/>
            <w:noProof/>
            <w:szCs w:val="24"/>
          </w:rPr>
          <w:t>https://doi.org/10.1016/j.tibtech.2014.12.003</w:t>
        </w:r>
      </w:hyperlink>
    </w:p>
    <w:p w14:paraId="4D332DD4" w14:textId="7524B4F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Cavalli, G., &amp; Heard, E. (2019). Advances in epigenetics link genetics to the environment and disease. In </w:t>
      </w:r>
      <w:r w:rsidRPr="00310E7E">
        <w:rPr>
          <w:rFonts w:ascii="Times New Roman" w:hAnsi="Times New Roman"/>
          <w:i/>
          <w:iCs/>
          <w:noProof/>
          <w:szCs w:val="24"/>
        </w:rPr>
        <w:t>Nature</w:t>
      </w:r>
      <w:r w:rsidRPr="00310E7E">
        <w:rPr>
          <w:rFonts w:ascii="Times New Roman" w:hAnsi="Times New Roman"/>
          <w:noProof/>
          <w:szCs w:val="24"/>
        </w:rPr>
        <w:t xml:space="preserve"> (Vol. 571, Issue 7766, pp. 489–499). Nature Publishing Group. </w:t>
      </w:r>
      <w:hyperlink r:id="rId123" w:history="1">
        <w:r w:rsidRPr="00C77AA4">
          <w:rPr>
            <w:rStyle w:val="Hyperlink"/>
            <w:rFonts w:ascii="Times New Roman" w:hAnsi="Times New Roman"/>
            <w:noProof/>
            <w:szCs w:val="24"/>
          </w:rPr>
          <w:t>https://doi.org/10.1038/s41586-019-1411-0</w:t>
        </w:r>
      </w:hyperlink>
    </w:p>
    <w:p w14:paraId="3F720A83" w14:textId="6D48BAB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Cello, J. (2002). Chemical Synthesis of Poliovirus cDNA: Generation of Infectious Virus in the Absence of Natural Template.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297</w:t>
      </w:r>
      <w:r w:rsidRPr="00310E7E">
        <w:rPr>
          <w:rFonts w:ascii="Times New Roman" w:hAnsi="Times New Roman"/>
          <w:noProof/>
          <w:szCs w:val="24"/>
        </w:rPr>
        <w:t xml:space="preserve">(5583), 1016–1018. </w:t>
      </w:r>
      <w:hyperlink r:id="rId124" w:history="1">
        <w:r w:rsidRPr="00C77AA4">
          <w:rPr>
            <w:rStyle w:val="Hyperlink"/>
            <w:rFonts w:ascii="Times New Roman" w:hAnsi="Times New Roman"/>
            <w:noProof/>
            <w:szCs w:val="24"/>
          </w:rPr>
          <w:t>https://doi.org/10.1126/science.1072266</w:t>
        </w:r>
      </w:hyperlink>
    </w:p>
    <w:p w14:paraId="150A1E08" w14:textId="720794D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Champer, J., Buchman, A., &amp; Akbari, O. S. (2016). Cheating evolution: engineering gene drives to manipulate the fate of wild populations. </w:t>
      </w:r>
      <w:r w:rsidRPr="00310E7E">
        <w:rPr>
          <w:rFonts w:ascii="Times New Roman" w:hAnsi="Times New Roman"/>
          <w:i/>
          <w:iCs/>
          <w:noProof/>
          <w:szCs w:val="24"/>
        </w:rPr>
        <w:t>Nature Reviews Genetics</w:t>
      </w:r>
      <w:r w:rsidRPr="00310E7E">
        <w:rPr>
          <w:rFonts w:ascii="Times New Roman" w:hAnsi="Times New Roman"/>
          <w:noProof/>
          <w:szCs w:val="24"/>
        </w:rPr>
        <w:t xml:space="preserve">, </w:t>
      </w:r>
      <w:r w:rsidRPr="00310E7E">
        <w:rPr>
          <w:rFonts w:ascii="Times New Roman" w:hAnsi="Times New Roman"/>
          <w:i/>
          <w:iCs/>
          <w:noProof/>
          <w:szCs w:val="24"/>
        </w:rPr>
        <w:t>17</w:t>
      </w:r>
      <w:r w:rsidRPr="00310E7E">
        <w:rPr>
          <w:rFonts w:ascii="Times New Roman" w:hAnsi="Times New Roman"/>
          <w:noProof/>
          <w:szCs w:val="24"/>
        </w:rPr>
        <w:t xml:space="preserve">(3), 146–159. </w:t>
      </w:r>
      <w:hyperlink r:id="rId125" w:history="1">
        <w:r w:rsidRPr="00C77AA4">
          <w:rPr>
            <w:rStyle w:val="Hyperlink"/>
            <w:rFonts w:ascii="Times New Roman" w:hAnsi="Times New Roman"/>
            <w:noProof/>
            <w:szCs w:val="24"/>
          </w:rPr>
          <w:t>https://doi.org/10.1038/nrg.2015.34</w:t>
        </w:r>
      </w:hyperlink>
    </w:p>
    <w:p w14:paraId="402ED599" w14:textId="0407304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Chan, C. T. Y., Lee, J. W., Cameron, D. E., Bashor, C. J., &amp; Collins, J. J. (2016). “Deadman” and “Passcode” microbial kill switches for bacterial containment. </w:t>
      </w:r>
      <w:r w:rsidRPr="00310E7E">
        <w:rPr>
          <w:rFonts w:ascii="Times New Roman" w:hAnsi="Times New Roman"/>
          <w:i/>
          <w:iCs/>
          <w:noProof/>
          <w:szCs w:val="24"/>
        </w:rPr>
        <w:t>Nature Chemical Biology</w:t>
      </w:r>
      <w:r w:rsidRPr="00310E7E">
        <w:rPr>
          <w:rFonts w:ascii="Times New Roman" w:hAnsi="Times New Roman"/>
          <w:noProof/>
          <w:szCs w:val="24"/>
        </w:rPr>
        <w:t xml:space="preserve">, </w:t>
      </w:r>
      <w:r w:rsidRPr="00310E7E">
        <w:rPr>
          <w:rFonts w:ascii="Times New Roman" w:hAnsi="Times New Roman"/>
          <w:i/>
          <w:iCs/>
          <w:noProof/>
          <w:szCs w:val="24"/>
        </w:rPr>
        <w:t>12</w:t>
      </w:r>
      <w:r w:rsidRPr="00310E7E">
        <w:rPr>
          <w:rFonts w:ascii="Times New Roman" w:hAnsi="Times New Roman"/>
          <w:noProof/>
          <w:szCs w:val="24"/>
        </w:rPr>
        <w:t xml:space="preserve">(2), 82–86. </w:t>
      </w:r>
      <w:hyperlink r:id="rId126" w:history="1">
        <w:r w:rsidRPr="00C77AA4">
          <w:rPr>
            <w:rStyle w:val="Hyperlink"/>
            <w:rFonts w:ascii="Times New Roman" w:hAnsi="Times New Roman"/>
            <w:noProof/>
            <w:szCs w:val="24"/>
          </w:rPr>
          <w:t>https://doi.org/10.1038/nchembio.1979</w:t>
        </w:r>
      </w:hyperlink>
    </w:p>
    <w:p w14:paraId="5FC52D5D" w14:textId="4F43DF1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es-ES"/>
        </w:rPr>
        <w:t xml:space="preserve">Chao, R., Mishra, S., Si, T., &amp; Zhao, H. (2017). </w:t>
      </w:r>
      <w:r w:rsidRPr="00310E7E">
        <w:rPr>
          <w:rFonts w:ascii="Times New Roman" w:hAnsi="Times New Roman"/>
          <w:noProof/>
          <w:szCs w:val="24"/>
        </w:rPr>
        <w:t xml:space="preserve">Engineering biological systems using automated biofoundries. In </w:t>
      </w:r>
      <w:r w:rsidRPr="00310E7E">
        <w:rPr>
          <w:rFonts w:ascii="Times New Roman" w:hAnsi="Times New Roman"/>
          <w:i/>
          <w:iCs/>
          <w:noProof/>
          <w:szCs w:val="24"/>
        </w:rPr>
        <w:t>Metabolic Engineering</w:t>
      </w:r>
      <w:r w:rsidRPr="00310E7E">
        <w:rPr>
          <w:rFonts w:ascii="Times New Roman" w:hAnsi="Times New Roman"/>
          <w:noProof/>
          <w:szCs w:val="24"/>
        </w:rPr>
        <w:t xml:space="preserve"> (Vol. 42, pp. 98–108). Academic Press Inc. </w:t>
      </w:r>
      <w:hyperlink r:id="rId127" w:history="1">
        <w:r w:rsidRPr="005957BF">
          <w:rPr>
            <w:rStyle w:val="Hyperlink"/>
            <w:rFonts w:ascii="Times New Roman" w:hAnsi="Times New Roman"/>
            <w:noProof/>
            <w:szCs w:val="24"/>
          </w:rPr>
          <w:t>https://doi.org/10.1016/j.ymben.2017.06.003</w:t>
        </w:r>
      </w:hyperlink>
    </w:p>
    <w:p w14:paraId="2A6A405F" w14:textId="740120C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Chappell, J., Jensen, K., &amp; Freemont, P. S. (2013). Validation of an entirely </w:t>
      </w:r>
      <w:r w:rsidRPr="005957BF">
        <w:rPr>
          <w:rFonts w:ascii="Times New Roman" w:hAnsi="Times New Roman"/>
          <w:i/>
          <w:iCs/>
          <w:noProof/>
          <w:szCs w:val="24"/>
        </w:rPr>
        <w:t>in vitro</w:t>
      </w:r>
      <w:r w:rsidRPr="00310E7E">
        <w:rPr>
          <w:rFonts w:ascii="Times New Roman" w:hAnsi="Times New Roman"/>
          <w:noProof/>
          <w:szCs w:val="24"/>
        </w:rPr>
        <w:t xml:space="preserve"> approach for rapid prototyping of DNA regulatory elements for synthetic biology. </w:t>
      </w:r>
      <w:r w:rsidRPr="00310E7E">
        <w:rPr>
          <w:rFonts w:ascii="Times New Roman" w:hAnsi="Times New Roman"/>
          <w:i/>
          <w:iCs/>
          <w:noProof/>
          <w:szCs w:val="24"/>
        </w:rPr>
        <w:t>Nucleic Acids Research</w:t>
      </w:r>
      <w:r w:rsidRPr="00310E7E">
        <w:rPr>
          <w:rFonts w:ascii="Times New Roman" w:hAnsi="Times New Roman"/>
          <w:noProof/>
          <w:szCs w:val="24"/>
        </w:rPr>
        <w:t xml:space="preserve">, </w:t>
      </w:r>
      <w:r w:rsidRPr="00310E7E">
        <w:rPr>
          <w:rFonts w:ascii="Times New Roman" w:hAnsi="Times New Roman"/>
          <w:i/>
          <w:iCs/>
          <w:noProof/>
          <w:szCs w:val="24"/>
        </w:rPr>
        <w:t>41</w:t>
      </w:r>
      <w:r w:rsidRPr="00310E7E">
        <w:rPr>
          <w:rFonts w:ascii="Times New Roman" w:hAnsi="Times New Roman"/>
          <w:noProof/>
          <w:szCs w:val="24"/>
        </w:rPr>
        <w:t>(5), 3471–3481.</w:t>
      </w:r>
      <w:hyperlink r:id="rId128" w:history="1">
        <w:r w:rsidRPr="005957BF">
          <w:rPr>
            <w:rStyle w:val="Hyperlink"/>
            <w:rFonts w:ascii="Times New Roman" w:hAnsi="Times New Roman"/>
            <w:noProof/>
            <w:szCs w:val="24"/>
          </w:rPr>
          <w:t xml:space="preserve"> https://doi.org/10.1093/nar/gkt052</w:t>
        </w:r>
      </w:hyperlink>
    </w:p>
    <w:p w14:paraId="49345274" w14:textId="0060B12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Chaput, J. C., Yu, H., &amp; Zhang, S. (2012). The Emerging World of Synthetic Genetics. </w:t>
      </w:r>
      <w:r w:rsidRPr="00310E7E">
        <w:rPr>
          <w:rFonts w:ascii="Times New Roman" w:hAnsi="Times New Roman"/>
          <w:i/>
          <w:iCs/>
          <w:noProof/>
          <w:szCs w:val="24"/>
        </w:rPr>
        <w:t>Chemistry &amp; Biology</w:t>
      </w:r>
      <w:r w:rsidRPr="00310E7E">
        <w:rPr>
          <w:rFonts w:ascii="Times New Roman" w:hAnsi="Times New Roman"/>
          <w:noProof/>
          <w:szCs w:val="24"/>
        </w:rPr>
        <w:t xml:space="preserve">, </w:t>
      </w:r>
      <w:r w:rsidRPr="00310E7E">
        <w:rPr>
          <w:rFonts w:ascii="Times New Roman" w:hAnsi="Times New Roman"/>
          <w:i/>
          <w:iCs/>
          <w:noProof/>
          <w:szCs w:val="24"/>
        </w:rPr>
        <w:t>19</w:t>
      </w:r>
      <w:r w:rsidRPr="00310E7E">
        <w:rPr>
          <w:rFonts w:ascii="Times New Roman" w:hAnsi="Times New Roman"/>
          <w:noProof/>
          <w:szCs w:val="24"/>
        </w:rPr>
        <w:t xml:space="preserve">(11), 1360–1371. </w:t>
      </w:r>
      <w:hyperlink r:id="rId129" w:history="1">
        <w:r w:rsidRPr="005957BF">
          <w:rPr>
            <w:rStyle w:val="Hyperlink"/>
            <w:rFonts w:ascii="Times New Roman" w:hAnsi="Times New Roman"/>
            <w:noProof/>
            <w:szCs w:val="24"/>
          </w:rPr>
          <w:t>https://doi.org/10.1016/j.chembiol.2012.10.011</w:t>
        </w:r>
      </w:hyperlink>
    </w:p>
    <w:p w14:paraId="774C1317" w14:textId="3ECD7DD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Charbonneau, M. R., Isabella, V. M., Li, N., &amp; Kurtz, C. B. (2020). Developing a new class of engineered live bacterial therapeutics to treat human diseases. In </w:t>
      </w:r>
      <w:r w:rsidRPr="00310E7E">
        <w:rPr>
          <w:rFonts w:ascii="Times New Roman" w:hAnsi="Times New Roman"/>
          <w:i/>
          <w:iCs/>
          <w:noProof/>
          <w:szCs w:val="24"/>
        </w:rPr>
        <w:t>Nature Communications</w:t>
      </w:r>
      <w:r w:rsidRPr="00310E7E">
        <w:rPr>
          <w:rFonts w:ascii="Times New Roman" w:hAnsi="Times New Roman"/>
          <w:noProof/>
          <w:szCs w:val="24"/>
        </w:rPr>
        <w:t xml:space="preserve"> (Vol. 11, Issue 1). Nature Research.</w:t>
      </w:r>
      <w:hyperlink r:id="rId130" w:history="1">
        <w:r w:rsidRPr="0032448F">
          <w:rPr>
            <w:rStyle w:val="Hyperlink"/>
            <w:rFonts w:ascii="Times New Roman" w:hAnsi="Times New Roman"/>
            <w:noProof/>
            <w:szCs w:val="24"/>
          </w:rPr>
          <w:t xml:space="preserve"> https://doi.org/10.1038/s41467-020-15508-1</w:t>
        </w:r>
      </w:hyperlink>
    </w:p>
    <w:p w14:paraId="3C854939" w14:textId="6EF5C48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Che, S., &amp; Men, Y. (2019). Synthetic microbial consortia for biosynthesis and biodegradation: promises and challenges. </w:t>
      </w:r>
      <w:r w:rsidRPr="00310E7E">
        <w:rPr>
          <w:rFonts w:ascii="Times New Roman" w:hAnsi="Times New Roman"/>
          <w:i/>
          <w:iCs/>
          <w:noProof/>
          <w:szCs w:val="24"/>
        </w:rPr>
        <w:t>Journal of Industrial Microbiology and Biotechnology</w:t>
      </w:r>
      <w:r w:rsidRPr="00310E7E">
        <w:rPr>
          <w:rFonts w:ascii="Times New Roman" w:hAnsi="Times New Roman"/>
          <w:noProof/>
          <w:szCs w:val="24"/>
        </w:rPr>
        <w:t xml:space="preserve">, </w:t>
      </w:r>
      <w:r w:rsidRPr="00310E7E">
        <w:rPr>
          <w:rFonts w:ascii="Times New Roman" w:hAnsi="Times New Roman"/>
          <w:i/>
          <w:iCs/>
          <w:noProof/>
          <w:szCs w:val="24"/>
        </w:rPr>
        <w:t>46</w:t>
      </w:r>
      <w:r w:rsidRPr="00310E7E">
        <w:rPr>
          <w:rFonts w:ascii="Times New Roman" w:hAnsi="Times New Roman"/>
          <w:noProof/>
          <w:szCs w:val="24"/>
        </w:rPr>
        <w:t xml:space="preserve">(9–10), 1343–1358. </w:t>
      </w:r>
      <w:hyperlink r:id="rId131" w:history="1">
        <w:r w:rsidRPr="0032448F">
          <w:rPr>
            <w:rStyle w:val="Hyperlink"/>
            <w:rFonts w:ascii="Times New Roman" w:hAnsi="Times New Roman"/>
            <w:noProof/>
            <w:szCs w:val="24"/>
          </w:rPr>
          <w:t>https://doi.org/10.1007/s10295-019-02211-4</w:t>
        </w:r>
      </w:hyperlink>
    </w:p>
    <w:p w14:paraId="6056F0E3" w14:textId="2C669EA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Check Hayden, E. (2014). Synthetic-biology firms shift focus.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505</w:t>
      </w:r>
      <w:r w:rsidRPr="00310E7E">
        <w:rPr>
          <w:rFonts w:ascii="Times New Roman" w:hAnsi="Times New Roman"/>
          <w:noProof/>
          <w:szCs w:val="24"/>
        </w:rPr>
        <w:t xml:space="preserve">(7485), 598–598. </w:t>
      </w:r>
      <w:hyperlink r:id="rId132" w:history="1">
        <w:r w:rsidRPr="0032448F">
          <w:rPr>
            <w:rStyle w:val="Hyperlink"/>
            <w:rFonts w:ascii="Times New Roman" w:hAnsi="Times New Roman"/>
            <w:noProof/>
            <w:szCs w:val="24"/>
          </w:rPr>
          <w:t>https://doi.org/10.1038/505598a</w:t>
        </w:r>
      </w:hyperlink>
    </w:p>
    <w:p w14:paraId="026424DD" w14:textId="62BA8E3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Chemonges Wanyama, E., Dicko, B., Pare Toe, L., Coulibaly, M. B., Barry, N., Bayala Traore, K., Diabate, A., Drabo, M., Kayondo, J. K., Kekele, S., Kodio, S., Ky, A. D., Linga, R. R., Magala, E., Meda, W. I., Mukwaya, S., Namukwaya, A., Robinson, B., Samoura, H., … Traoré, F. (2021). Co‐developing a common glossary with stakeholders for engagement on new genetic approaches for malaria control in a local African setting. </w:t>
      </w:r>
      <w:r w:rsidRPr="00310E7E">
        <w:rPr>
          <w:rFonts w:ascii="Times New Roman" w:hAnsi="Times New Roman"/>
          <w:i/>
          <w:iCs/>
          <w:noProof/>
          <w:szCs w:val="24"/>
        </w:rPr>
        <w:t>Malaria Journal</w:t>
      </w:r>
      <w:r w:rsidRPr="00310E7E">
        <w:rPr>
          <w:rFonts w:ascii="Times New Roman" w:hAnsi="Times New Roman"/>
          <w:noProof/>
          <w:szCs w:val="24"/>
        </w:rPr>
        <w:t xml:space="preserve">, </w:t>
      </w:r>
      <w:r w:rsidRPr="00310E7E">
        <w:rPr>
          <w:rFonts w:ascii="Times New Roman" w:hAnsi="Times New Roman"/>
          <w:i/>
          <w:iCs/>
          <w:noProof/>
          <w:szCs w:val="24"/>
        </w:rPr>
        <w:t>20</w:t>
      </w:r>
      <w:r w:rsidRPr="00310E7E">
        <w:rPr>
          <w:rFonts w:ascii="Times New Roman" w:hAnsi="Times New Roman"/>
          <w:noProof/>
          <w:szCs w:val="24"/>
        </w:rPr>
        <w:t xml:space="preserve">(1), 53. </w:t>
      </w:r>
      <w:hyperlink r:id="rId133" w:history="1">
        <w:r w:rsidRPr="0032448F">
          <w:rPr>
            <w:rStyle w:val="Hyperlink"/>
            <w:rFonts w:ascii="Times New Roman" w:hAnsi="Times New Roman"/>
            <w:noProof/>
            <w:szCs w:val="24"/>
          </w:rPr>
          <w:t>https://doi.org/10.1186/s12936-020-03577-y</w:t>
        </w:r>
      </w:hyperlink>
    </w:p>
    <w:p w14:paraId="56E6D114" w14:textId="050502A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Chen, F. (2017). The Economics of Synthetic Rhino Horns. </w:t>
      </w:r>
      <w:r w:rsidRPr="00310E7E">
        <w:rPr>
          <w:rFonts w:ascii="Times New Roman" w:hAnsi="Times New Roman"/>
          <w:i/>
          <w:iCs/>
          <w:noProof/>
          <w:szCs w:val="24"/>
        </w:rPr>
        <w:t>SSRN Electronic Journal</w:t>
      </w:r>
      <w:r w:rsidRPr="00310E7E">
        <w:rPr>
          <w:rFonts w:ascii="Times New Roman" w:hAnsi="Times New Roman"/>
          <w:noProof/>
          <w:szCs w:val="24"/>
        </w:rPr>
        <w:t xml:space="preserve">. </w:t>
      </w:r>
      <w:hyperlink r:id="rId134" w:history="1">
        <w:r w:rsidRPr="0032448F">
          <w:rPr>
            <w:rStyle w:val="Hyperlink"/>
            <w:rFonts w:ascii="Times New Roman" w:hAnsi="Times New Roman"/>
            <w:noProof/>
            <w:szCs w:val="24"/>
          </w:rPr>
          <w:t>https://doi.org/10.2139/ssrn.2828168</w:t>
        </w:r>
      </w:hyperlink>
    </w:p>
    <w:p w14:paraId="6FEFDF35" w14:textId="5BB9957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Chen, F., &amp; Sas-Rolfes, M. ’t. (2021). Theoretical analysis of a simple permit system for selling synthetic wildlife goods. </w:t>
      </w:r>
      <w:r w:rsidRPr="00310E7E">
        <w:rPr>
          <w:rFonts w:ascii="Times New Roman" w:hAnsi="Times New Roman"/>
          <w:i/>
          <w:iCs/>
          <w:noProof/>
          <w:szCs w:val="24"/>
        </w:rPr>
        <w:t>Ecological Economics</w:t>
      </w:r>
      <w:r w:rsidRPr="00310E7E">
        <w:rPr>
          <w:rFonts w:ascii="Times New Roman" w:hAnsi="Times New Roman"/>
          <w:noProof/>
          <w:szCs w:val="24"/>
        </w:rPr>
        <w:t xml:space="preserve">, </w:t>
      </w:r>
      <w:r w:rsidRPr="00310E7E">
        <w:rPr>
          <w:rFonts w:ascii="Times New Roman" w:hAnsi="Times New Roman"/>
          <w:i/>
          <w:iCs/>
          <w:noProof/>
          <w:szCs w:val="24"/>
        </w:rPr>
        <w:t>180</w:t>
      </w:r>
      <w:r w:rsidRPr="00310E7E">
        <w:rPr>
          <w:rFonts w:ascii="Times New Roman" w:hAnsi="Times New Roman"/>
          <w:noProof/>
          <w:szCs w:val="24"/>
        </w:rPr>
        <w:t xml:space="preserve">. </w:t>
      </w:r>
      <w:hyperlink r:id="rId135" w:history="1">
        <w:r w:rsidRPr="0032448F">
          <w:rPr>
            <w:rStyle w:val="Hyperlink"/>
            <w:rFonts w:ascii="Times New Roman" w:hAnsi="Times New Roman"/>
            <w:noProof/>
            <w:szCs w:val="24"/>
          </w:rPr>
          <w:t>https://doi.org/10.1016/j.ecolecon.2020.106873</w:t>
        </w:r>
      </w:hyperlink>
    </w:p>
    <w:p w14:paraId="6052D728" w14:textId="012E380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Chen, J., Peng, Y., Zhang, H., Wang, K., Zhao, C., Zhu, G., Reddy Palli, S., &amp; Han, Z. (2021). Off-target effects of RNAi correlate with the mismatch rate between dsRNA and non-target mRNA. </w:t>
      </w:r>
      <w:r w:rsidRPr="00310E7E">
        <w:rPr>
          <w:rFonts w:ascii="Times New Roman" w:hAnsi="Times New Roman"/>
          <w:i/>
          <w:iCs/>
          <w:noProof/>
          <w:szCs w:val="24"/>
        </w:rPr>
        <w:t>RNA Biology</w:t>
      </w:r>
      <w:r w:rsidRPr="00310E7E">
        <w:rPr>
          <w:rFonts w:ascii="Times New Roman" w:hAnsi="Times New Roman"/>
          <w:noProof/>
          <w:szCs w:val="24"/>
        </w:rPr>
        <w:t xml:space="preserve">, 1–13. </w:t>
      </w:r>
      <w:hyperlink r:id="rId136" w:history="1">
        <w:r w:rsidRPr="0032448F">
          <w:rPr>
            <w:rStyle w:val="Hyperlink"/>
            <w:rFonts w:ascii="Times New Roman" w:hAnsi="Times New Roman"/>
            <w:noProof/>
            <w:szCs w:val="24"/>
          </w:rPr>
          <w:t>https://doi.org/10.1080/15476286.2020.1868680</w:t>
        </w:r>
      </w:hyperlink>
    </w:p>
    <w:p w14:paraId="651510BD" w14:textId="14CC6C5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Chen, L., Xin, Q. H., Ma, L. M., Li, R. F., &amp; Bian, K. (2020). Applications and research advance of genome shuffling for industrial microbial strains improvement. </w:t>
      </w:r>
      <w:r w:rsidRPr="00310E7E">
        <w:rPr>
          <w:rFonts w:ascii="Times New Roman" w:hAnsi="Times New Roman"/>
          <w:i/>
          <w:iCs/>
          <w:noProof/>
          <w:szCs w:val="24"/>
        </w:rPr>
        <w:t>World Journal of Microbiology and Biotechnology</w:t>
      </w:r>
      <w:r w:rsidRPr="00310E7E">
        <w:rPr>
          <w:rFonts w:ascii="Times New Roman" w:hAnsi="Times New Roman"/>
          <w:noProof/>
          <w:szCs w:val="24"/>
        </w:rPr>
        <w:t xml:space="preserve">, </w:t>
      </w:r>
      <w:r w:rsidRPr="00310E7E">
        <w:rPr>
          <w:rFonts w:ascii="Times New Roman" w:hAnsi="Times New Roman"/>
          <w:i/>
          <w:iCs/>
          <w:noProof/>
          <w:szCs w:val="24"/>
        </w:rPr>
        <w:t>36</w:t>
      </w:r>
      <w:r w:rsidRPr="00310E7E">
        <w:rPr>
          <w:rFonts w:ascii="Times New Roman" w:hAnsi="Times New Roman"/>
          <w:noProof/>
          <w:szCs w:val="24"/>
        </w:rPr>
        <w:t xml:space="preserve">(10), 1–8. </w:t>
      </w:r>
      <w:hyperlink r:id="rId137" w:history="1">
        <w:r w:rsidRPr="0032448F">
          <w:rPr>
            <w:rStyle w:val="Hyperlink"/>
            <w:rFonts w:ascii="Times New Roman" w:hAnsi="Times New Roman"/>
            <w:noProof/>
            <w:szCs w:val="24"/>
          </w:rPr>
          <w:t>https://doi.org/10.1007/s11274-020-02936-w</w:t>
        </w:r>
      </w:hyperlink>
    </w:p>
    <w:p w14:paraId="7430227C" w14:textId="3FC8AA5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Cheng, X., &amp; Ferrell, J. E. (2019). Spontaneous emergence of cell-like organization in </w:t>
      </w:r>
      <w:r w:rsidRPr="0032448F">
        <w:rPr>
          <w:rFonts w:ascii="Times New Roman" w:hAnsi="Times New Roman"/>
          <w:i/>
          <w:iCs/>
          <w:noProof/>
          <w:szCs w:val="24"/>
        </w:rPr>
        <w:t>Xenopus</w:t>
      </w:r>
      <w:r w:rsidRPr="00310E7E">
        <w:rPr>
          <w:rFonts w:ascii="Times New Roman" w:hAnsi="Times New Roman"/>
          <w:noProof/>
          <w:szCs w:val="24"/>
        </w:rPr>
        <w:t xml:space="preserve"> egg extracts.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366</w:t>
      </w:r>
      <w:r w:rsidRPr="00310E7E">
        <w:rPr>
          <w:rFonts w:ascii="Times New Roman" w:hAnsi="Times New Roman"/>
          <w:noProof/>
          <w:szCs w:val="24"/>
        </w:rPr>
        <w:t xml:space="preserve">(6465), 631–637. </w:t>
      </w:r>
      <w:hyperlink r:id="rId138" w:history="1">
        <w:r w:rsidRPr="0032448F">
          <w:rPr>
            <w:rStyle w:val="Hyperlink"/>
            <w:rFonts w:ascii="Times New Roman" w:hAnsi="Times New Roman"/>
            <w:noProof/>
            <w:szCs w:val="24"/>
          </w:rPr>
          <w:t>https://doi.org/10.1126/science.aav7793</w:t>
        </w:r>
      </w:hyperlink>
    </w:p>
    <w:p w14:paraId="75A7EA9A" w14:textId="6FC825A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Chhalliyil, P., Ilves, H., Kazakov, S. A., Howard, S. J., Johnston, B. H., &amp; Fagan, J. (2020). A Real-Time Quantitative PCR Method Specific for Detection and Quantification of the First Commercialized Genome-Edited Plant. </w:t>
      </w:r>
      <w:r w:rsidRPr="00310E7E">
        <w:rPr>
          <w:rFonts w:ascii="Times New Roman" w:hAnsi="Times New Roman"/>
          <w:i/>
          <w:iCs/>
          <w:noProof/>
          <w:szCs w:val="24"/>
        </w:rPr>
        <w:t>Foods</w:t>
      </w:r>
      <w:r w:rsidRPr="00310E7E">
        <w:rPr>
          <w:rFonts w:ascii="Times New Roman" w:hAnsi="Times New Roman"/>
          <w:noProof/>
          <w:szCs w:val="24"/>
        </w:rPr>
        <w:t xml:space="preserve">, </w:t>
      </w:r>
      <w:r w:rsidRPr="00310E7E">
        <w:rPr>
          <w:rFonts w:ascii="Times New Roman" w:hAnsi="Times New Roman"/>
          <w:i/>
          <w:iCs/>
          <w:noProof/>
          <w:szCs w:val="24"/>
        </w:rPr>
        <w:t>9</w:t>
      </w:r>
      <w:r w:rsidRPr="00310E7E">
        <w:rPr>
          <w:rFonts w:ascii="Times New Roman" w:hAnsi="Times New Roman"/>
          <w:noProof/>
          <w:szCs w:val="24"/>
        </w:rPr>
        <w:t>(9), 1245.</w:t>
      </w:r>
      <w:hyperlink r:id="rId139" w:history="1">
        <w:r w:rsidRPr="0032448F">
          <w:rPr>
            <w:rStyle w:val="Hyperlink"/>
            <w:rFonts w:ascii="Times New Roman" w:hAnsi="Times New Roman"/>
            <w:noProof/>
            <w:szCs w:val="24"/>
          </w:rPr>
          <w:t xml:space="preserve"> https://doi.org/10.3390/foods9091245</w:t>
        </w:r>
      </w:hyperlink>
    </w:p>
    <w:p w14:paraId="45E00404" w14:textId="4DAAE54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Ching, L. L., &amp; Lin, L. L. (2019). </w:t>
      </w:r>
      <w:r w:rsidRPr="00310E7E">
        <w:rPr>
          <w:rFonts w:ascii="Times New Roman" w:hAnsi="Times New Roman"/>
          <w:i/>
          <w:iCs/>
          <w:noProof/>
          <w:szCs w:val="24"/>
        </w:rPr>
        <w:t>Gene Drives: Legal and Regulatory Issues</w:t>
      </w:r>
      <w:r w:rsidRPr="00310E7E">
        <w:rPr>
          <w:rFonts w:ascii="Times New Roman" w:hAnsi="Times New Roman"/>
          <w:noProof/>
          <w:szCs w:val="24"/>
        </w:rPr>
        <w:t xml:space="preserve">. Third World Network. </w:t>
      </w:r>
      <w:hyperlink r:id="rId140" w:history="1">
        <w:r w:rsidRPr="0032448F">
          <w:rPr>
            <w:rStyle w:val="Hyperlink"/>
            <w:rFonts w:ascii="Times New Roman" w:hAnsi="Times New Roman"/>
            <w:noProof/>
            <w:szCs w:val="24"/>
          </w:rPr>
          <w:t>https://www.twn.my/title2/books/Gene-drives.htm</w:t>
        </w:r>
      </w:hyperlink>
    </w:p>
    <w:p w14:paraId="3E06E0D9" w14:textId="3C9884E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Cho, M. K., Magnus, D., Caplan, A. L., &amp; McGee, D. (1999). Ethical considerations in synthesizing a minimal genome.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286</w:t>
      </w:r>
      <w:r w:rsidRPr="00310E7E">
        <w:rPr>
          <w:rFonts w:ascii="Times New Roman" w:hAnsi="Times New Roman"/>
          <w:noProof/>
          <w:szCs w:val="24"/>
        </w:rPr>
        <w:t>(5447), 2087–2090.</w:t>
      </w:r>
      <w:hyperlink r:id="rId141" w:history="1">
        <w:r w:rsidRPr="0032448F">
          <w:rPr>
            <w:rStyle w:val="Hyperlink"/>
            <w:rFonts w:ascii="Times New Roman" w:hAnsi="Times New Roman"/>
            <w:noProof/>
            <w:szCs w:val="24"/>
          </w:rPr>
          <w:t xml:space="preserve"> https://doi.org/10.1126/science.286.5447.2087</w:t>
        </w:r>
      </w:hyperlink>
    </w:p>
    <w:p w14:paraId="28ECC50B" w14:textId="2C9BD13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Choi, K. R., Jang, W. D., Yang, D., Cho, J. S., Park, D., &amp; Lee, S. Y. (2019). Systems Metabolic Engineering Strategies: Integrating Systems and Synthetic Biology with Metabolic Engineering. In </w:t>
      </w:r>
      <w:r w:rsidRPr="00310E7E">
        <w:rPr>
          <w:rFonts w:ascii="Times New Roman" w:hAnsi="Times New Roman"/>
          <w:i/>
          <w:iCs/>
          <w:noProof/>
          <w:szCs w:val="24"/>
        </w:rPr>
        <w:t>Trends in Biotechnology</w:t>
      </w:r>
      <w:r w:rsidRPr="00310E7E">
        <w:rPr>
          <w:rFonts w:ascii="Times New Roman" w:hAnsi="Times New Roman"/>
          <w:noProof/>
          <w:szCs w:val="24"/>
        </w:rPr>
        <w:t xml:space="preserve"> (Vol. 37, Issue 8, pp. 817–837). Elsevier Ltd. </w:t>
      </w:r>
      <w:hyperlink r:id="rId142" w:history="1">
        <w:r w:rsidRPr="0032448F">
          <w:rPr>
            <w:rStyle w:val="Hyperlink"/>
            <w:rFonts w:ascii="Times New Roman" w:hAnsi="Times New Roman"/>
            <w:noProof/>
            <w:szCs w:val="24"/>
          </w:rPr>
          <w:t>https://doi.org/10.1016/j.tibtech.2019.01.003</w:t>
        </w:r>
      </w:hyperlink>
    </w:p>
    <w:p w14:paraId="1E4FF32A" w14:textId="2E14A42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Choi, S. Y., Wang, J.-Y., Kwak, H. S., Lee, S.-M., Um, Y., Kim, Y., Sim, S. J., Choi, J., &amp; Woo, H. M. (2017). Improvement of Squalene Production from CO 2 in </w:t>
      </w:r>
      <w:r w:rsidRPr="00D325F2">
        <w:rPr>
          <w:rFonts w:ascii="Times New Roman" w:hAnsi="Times New Roman"/>
          <w:i/>
          <w:iCs/>
          <w:noProof/>
          <w:szCs w:val="24"/>
        </w:rPr>
        <w:t>Synechococcus elongatus</w:t>
      </w:r>
      <w:r w:rsidRPr="00310E7E">
        <w:rPr>
          <w:rFonts w:ascii="Times New Roman" w:hAnsi="Times New Roman"/>
          <w:noProof/>
          <w:szCs w:val="24"/>
        </w:rPr>
        <w:t xml:space="preserve"> PCC 7942 by Metabolic Engineering and Scalable Production in a Photobioreactor. </w:t>
      </w:r>
      <w:r w:rsidRPr="00310E7E">
        <w:rPr>
          <w:rFonts w:ascii="Times New Roman" w:hAnsi="Times New Roman"/>
          <w:i/>
          <w:iCs/>
          <w:noProof/>
          <w:szCs w:val="24"/>
        </w:rPr>
        <w:t>ACS Synthetic Biology</w:t>
      </w:r>
      <w:r w:rsidRPr="00310E7E">
        <w:rPr>
          <w:rFonts w:ascii="Times New Roman" w:hAnsi="Times New Roman"/>
          <w:noProof/>
          <w:szCs w:val="24"/>
        </w:rPr>
        <w:t xml:space="preserve">, </w:t>
      </w:r>
      <w:r w:rsidRPr="00310E7E">
        <w:rPr>
          <w:rFonts w:ascii="Times New Roman" w:hAnsi="Times New Roman"/>
          <w:i/>
          <w:iCs/>
          <w:noProof/>
          <w:szCs w:val="24"/>
        </w:rPr>
        <w:t>6</w:t>
      </w:r>
      <w:r w:rsidRPr="00310E7E">
        <w:rPr>
          <w:rFonts w:ascii="Times New Roman" w:hAnsi="Times New Roman"/>
          <w:noProof/>
          <w:szCs w:val="24"/>
        </w:rPr>
        <w:t>(7), 1289–1295.</w:t>
      </w:r>
      <w:hyperlink r:id="rId143" w:history="1">
        <w:r w:rsidRPr="00D325F2">
          <w:rPr>
            <w:rStyle w:val="Hyperlink"/>
            <w:rFonts w:ascii="Times New Roman" w:hAnsi="Times New Roman"/>
            <w:noProof/>
            <w:szCs w:val="24"/>
          </w:rPr>
          <w:t xml:space="preserve"> https://doi.org/10.1021/acssynbio.7b00083</w:t>
        </w:r>
      </w:hyperlink>
    </w:p>
    <w:p w14:paraId="7C3066A0" w14:textId="7E09390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Christ, B., Pluskal, T., Aubry, S., &amp; Weng, J.-K. (2018). Contribution of Untargeted Metabolomics for Future Assessment of Biotech Crops. </w:t>
      </w:r>
      <w:r w:rsidRPr="00310E7E">
        <w:rPr>
          <w:rFonts w:ascii="Times New Roman" w:hAnsi="Times New Roman"/>
          <w:i/>
          <w:iCs/>
          <w:noProof/>
          <w:szCs w:val="24"/>
        </w:rPr>
        <w:t>Trends in Plant Science</w:t>
      </w:r>
      <w:r w:rsidRPr="00310E7E">
        <w:rPr>
          <w:rFonts w:ascii="Times New Roman" w:hAnsi="Times New Roman"/>
          <w:noProof/>
          <w:szCs w:val="24"/>
        </w:rPr>
        <w:t xml:space="preserve">, </w:t>
      </w:r>
      <w:r w:rsidRPr="00310E7E">
        <w:rPr>
          <w:rFonts w:ascii="Times New Roman" w:hAnsi="Times New Roman"/>
          <w:i/>
          <w:iCs/>
          <w:noProof/>
          <w:szCs w:val="24"/>
        </w:rPr>
        <w:t>23</w:t>
      </w:r>
      <w:r w:rsidRPr="00310E7E">
        <w:rPr>
          <w:rFonts w:ascii="Times New Roman" w:hAnsi="Times New Roman"/>
          <w:noProof/>
          <w:szCs w:val="24"/>
        </w:rPr>
        <w:t xml:space="preserve">(12), 1047–1056. </w:t>
      </w:r>
      <w:hyperlink r:id="rId144" w:history="1">
        <w:r w:rsidRPr="00D325F2">
          <w:rPr>
            <w:rStyle w:val="Hyperlink"/>
            <w:rFonts w:ascii="Times New Roman" w:hAnsi="Times New Roman"/>
            <w:noProof/>
            <w:szCs w:val="24"/>
          </w:rPr>
          <w:t>https://doi.org/10.1016/j.tplants.2018.09.011</w:t>
        </w:r>
      </w:hyperlink>
    </w:p>
    <w:p w14:paraId="67DDF631" w14:textId="19CE3ED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Church, G. M., Gao, Y., &amp; Kosuri, S. (2012). Next-Generation Digital Information Storage in DNA.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337</w:t>
      </w:r>
      <w:r w:rsidRPr="00310E7E">
        <w:rPr>
          <w:rFonts w:ascii="Times New Roman" w:hAnsi="Times New Roman"/>
          <w:noProof/>
          <w:szCs w:val="24"/>
        </w:rPr>
        <w:t xml:space="preserve">(6102), 1628–1628. </w:t>
      </w:r>
      <w:hyperlink r:id="rId145" w:history="1">
        <w:r w:rsidRPr="00D325F2">
          <w:rPr>
            <w:rStyle w:val="Hyperlink"/>
            <w:rFonts w:ascii="Times New Roman" w:hAnsi="Times New Roman"/>
            <w:noProof/>
            <w:szCs w:val="24"/>
          </w:rPr>
          <w:t>https://doi.org/10.1126/science.1226355</w:t>
        </w:r>
      </w:hyperlink>
    </w:p>
    <w:p w14:paraId="493AAF8F" w14:textId="7FF11A7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Cibus. (2014). </w:t>
      </w:r>
      <w:r w:rsidRPr="00310E7E">
        <w:rPr>
          <w:rFonts w:ascii="Times New Roman" w:hAnsi="Times New Roman"/>
          <w:i/>
          <w:iCs/>
          <w:noProof/>
          <w:szCs w:val="24"/>
        </w:rPr>
        <w:t>Cibus Announces Approval of First Commercial Product SU Canola</w:t>
      </w:r>
      <w:r w:rsidRPr="00310E7E">
        <w:rPr>
          <w:rFonts w:ascii="Times New Roman" w:hAnsi="Times New Roman"/>
          <w:i/>
          <w:iCs/>
          <w:noProof/>
          <w:szCs w:val="24"/>
          <w:vertAlign w:val="superscript"/>
        </w:rPr>
        <w:t>TM</w:t>
      </w:r>
      <w:r w:rsidRPr="00310E7E">
        <w:rPr>
          <w:rFonts w:ascii="Times New Roman" w:hAnsi="Times New Roman"/>
          <w:i/>
          <w:iCs/>
          <w:noProof/>
          <w:szCs w:val="24"/>
        </w:rPr>
        <w:t xml:space="preserve"> in Canada</w:t>
      </w:r>
      <w:r w:rsidRPr="00310E7E">
        <w:rPr>
          <w:rFonts w:ascii="Times New Roman" w:hAnsi="Times New Roman"/>
          <w:noProof/>
          <w:szCs w:val="24"/>
        </w:rPr>
        <w:t xml:space="preserve">. </w:t>
      </w:r>
      <w:hyperlink r:id="rId146" w:history="1">
        <w:r w:rsidRPr="00D325F2">
          <w:rPr>
            <w:rStyle w:val="Hyperlink"/>
            <w:rFonts w:ascii="Times New Roman" w:hAnsi="Times New Roman"/>
            <w:noProof/>
            <w:szCs w:val="24"/>
          </w:rPr>
          <w:t>https://www.cibus.com/press-release.php?date=031814</w:t>
        </w:r>
      </w:hyperlink>
    </w:p>
    <w:p w14:paraId="6B6DE128"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CITES. (2018). </w:t>
      </w:r>
      <w:r w:rsidRPr="00310E7E">
        <w:rPr>
          <w:rFonts w:ascii="Times New Roman" w:hAnsi="Times New Roman"/>
          <w:i/>
          <w:iCs/>
          <w:noProof/>
          <w:szCs w:val="24"/>
        </w:rPr>
        <w:t>Interpretation and implementation matters. General compliance and enforcement. Specimens produced from synthetic or cultured DNA</w:t>
      </w:r>
      <w:r w:rsidRPr="00310E7E">
        <w:rPr>
          <w:rFonts w:ascii="Times New Roman" w:hAnsi="Times New Roman"/>
          <w:noProof/>
          <w:szCs w:val="24"/>
        </w:rPr>
        <w:t>.</w:t>
      </w:r>
    </w:p>
    <w:p w14:paraId="71639E0F" w14:textId="7B29AB0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Citorik, R. J., Mimee, M., &amp; Lu, T. K. (2014). Sequence-specific antimicrobials using efficiently delivered RNA-guided nucleases.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32</w:t>
      </w:r>
      <w:r w:rsidRPr="00310E7E">
        <w:rPr>
          <w:rFonts w:ascii="Times New Roman" w:hAnsi="Times New Roman"/>
          <w:noProof/>
          <w:szCs w:val="24"/>
        </w:rPr>
        <w:t xml:space="preserve">(11), 1141–1145. </w:t>
      </w:r>
      <w:hyperlink r:id="rId147" w:history="1">
        <w:r w:rsidRPr="00D325F2">
          <w:rPr>
            <w:rStyle w:val="Hyperlink"/>
            <w:rFonts w:ascii="Times New Roman" w:hAnsi="Times New Roman"/>
            <w:noProof/>
            <w:szCs w:val="24"/>
          </w:rPr>
          <w:t>https://doi.org/10.1038/nbt.3011</w:t>
        </w:r>
      </w:hyperlink>
    </w:p>
    <w:p w14:paraId="15B3A042" w14:textId="202E688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Civil Society Working Group on Gene Drives. (2016). </w:t>
      </w:r>
      <w:r w:rsidRPr="00310E7E">
        <w:rPr>
          <w:rFonts w:ascii="Times New Roman" w:hAnsi="Times New Roman"/>
          <w:i/>
          <w:iCs/>
          <w:noProof/>
          <w:szCs w:val="24"/>
        </w:rPr>
        <w:t>The Case for a Global Moratorium on Genetically-engineered Gene Drives</w:t>
      </w:r>
      <w:r w:rsidRPr="00310E7E">
        <w:rPr>
          <w:rFonts w:ascii="Times New Roman" w:hAnsi="Times New Roman"/>
          <w:noProof/>
          <w:szCs w:val="24"/>
        </w:rPr>
        <w:t xml:space="preserve">. </w:t>
      </w:r>
      <w:hyperlink r:id="rId148" w:history="1">
        <w:r w:rsidRPr="00D325F2">
          <w:rPr>
            <w:rStyle w:val="Hyperlink"/>
            <w:rFonts w:ascii="Times New Roman" w:hAnsi="Times New Roman"/>
            <w:noProof/>
            <w:szCs w:val="24"/>
          </w:rPr>
          <w:t>https://doi.org/10.17226/23405</w:t>
        </w:r>
      </w:hyperlink>
    </w:p>
    <w:p w14:paraId="2717D2BA" w14:textId="46E6171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Claesen, J., &amp; Fischbach, M. A. (2015). Synthetic microbes as drug delivery systems. </w:t>
      </w:r>
      <w:r w:rsidRPr="00310E7E">
        <w:rPr>
          <w:rFonts w:ascii="Times New Roman" w:hAnsi="Times New Roman"/>
          <w:i/>
          <w:iCs/>
          <w:noProof/>
          <w:szCs w:val="24"/>
        </w:rPr>
        <w:t>ACS Synthetic Biology</w:t>
      </w:r>
      <w:r w:rsidRPr="00310E7E">
        <w:rPr>
          <w:rFonts w:ascii="Times New Roman" w:hAnsi="Times New Roman"/>
          <w:noProof/>
          <w:szCs w:val="24"/>
        </w:rPr>
        <w:t xml:space="preserve">, </w:t>
      </w:r>
      <w:r w:rsidRPr="00310E7E">
        <w:rPr>
          <w:rFonts w:ascii="Times New Roman" w:hAnsi="Times New Roman"/>
          <w:i/>
          <w:iCs/>
          <w:noProof/>
          <w:szCs w:val="24"/>
        </w:rPr>
        <w:t>4</w:t>
      </w:r>
      <w:r w:rsidRPr="00310E7E">
        <w:rPr>
          <w:rFonts w:ascii="Times New Roman" w:hAnsi="Times New Roman"/>
          <w:noProof/>
          <w:szCs w:val="24"/>
        </w:rPr>
        <w:t xml:space="preserve">(4), 358–364. </w:t>
      </w:r>
      <w:hyperlink r:id="rId149" w:history="1">
        <w:r w:rsidRPr="00D325F2">
          <w:rPr>
            <w:rStyle w:val="Hyperlink"/>
            <w:rFonts w:ascii="Times New Roman" w:hAnsi="Times New Roman"/>
            <w:noProof/>
            <w:szCs w:val="24"/>
          </w:rPr>
          <w:t>https://doi.org/10.1021/sb500258b</w:t>
        </w:r>
      </w:hyperlink>
    </w:p>
    <w:p w14:paraId="57FBFFBD" w14:textId="183CA0D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Clarke, L., &amp; Kitney, R. (2020). Developing synthetic biology for industrial biotechnology applications. In </w:t>
      </w:r>
      <w:r w:rsidRPr="00310E7E">
        <w:rPr>
          <w:rFonts w:ascii="Times New Roman" w:hAnsi="Times New Roman"/>
          <w:i/>
          <w:iCs/>
          <w:noProof/>
          <w:szCs w:val="24"/>
        </w:rPr>
        <w:t>Biochemical Society Transactions</w:t>
      </w:r>
      <w:r w:rsidRPr="00310E7E">
        <w:rPr>
          <w:rFonts w:ascii="Times New Roman" w:hAnsi="Times New Roman"/>
          <w:noProof/>
          <w:szCs w:val="24"/>
        </w:rPr>
        <w:t xml:space="preserve"> (Vol. 48, Issue 1, pp. 113–122). Portland Press Ltd. </w:t>
      </w:r>
      <w:hyperlink r:id="rId150" w:history="1">
        <w:r w:rsidRPr="00D325F2">
          <w:rPr>
            <w:rStyle w:val="Hyperlink"/>
            <w:rFonts w:ascii="Times New Roman" w:hAnsi="Times New Roman"/>
            <w:noProof/>
            <w:szCs w:val="24"/>
          </w:rPr>
          <w:t>https://doi.org/10.1042/BST20190349</w:t>
        </w:r>
      </w:hyperlink>
    </w:p>
    <w:p w14:paraId="798ECB26" w14:textId="53AD6D8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Cleves, P. A., Strader, M. E., Bay, L. K., Pringle, J. R., &amp; Matz, M. V. (2018). CRISPR/Cas9-mediated genome editing in a reef-building coral. </w:t>
      </w:r>
      <w:r w:rsidRPr="00310E7E">
        <w:rPr>
          <w:rFonts w:ascii="Times New Roman" w:hAnsi="Times New Roman"/>
          <w:i/>
          <w:iCs/>
          <w:noProof/>
          <w:szCs w:val="24"/>
        </w:rPr>
        <w:t>Proceedings of the National Academy of Sciences</w:t>
      </w:r>
      <w:r w:rsidRPr="00310E7E">
        <w:rPr>
          <w:rFonts w:ascii="Times New Roman" w:hAnsi="Times New Roman"/>
          <w:noProof/>
          <w:szCs w:val="24"/>
        </w:rPr>
        <w:t xml:space="preserve">, </w:t>
      </w:r>
      <w:r w:rsidRPr="00310E7E">
        <w:rPr>
          <w:rFonts w:ascii="Times New Roman" w:hAnsi="Times New Roman"/>
          <w:i/>
          <w:iCs/>
          <w:noProof/>
          <w:szCs w:val="24"/>
        </w:rPr>
        <w:t>115</w:t>
      </w:r>
      <w:r w:rsidRPr="00310E7E">
        <w:rPr>
          <w:rFonts w:ascii="Times New Roman" w:hAnsi="Times New Roman"/>
          <w:noProof/>
          <w:szCs w:val="24"/>
        </w:rPr>
        <w:t xml:space="preserve">(20), 5235–5240. </w:t>
      </w:r>
      <w:hyperlink r:id="rId151" w:history="1">
        <w:r w:rsidRPr="00D325F2">
          <w:rPr>
            <w:rStyle w:val="Hyperlink"/>
            <w:rFonts w:ascii="Times New Roman" w:hAnsi="Times New Roman"/>
            <w:noProof/>
            <w:szCs w:val="24"/>
          </w:rPr>
          <w:t>https://doi.org/10.1073/pnas.1722151115</w:t>
        </w:r>
      </w:hyperlink>
    </w:p>
    <w:p w14:paraId="76147AAB" w14:textId="4CD6A1F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Cleves, P. A., Tinoco, A. I., Bradford, J., Perrin, D., Bay, L. K., &amp; Pringle, J. R. (2020). Reduced thermal tolerance in a coral carrying CRISPR-induced mutations in the gene for a heat-shock transcription factor. </w:t>
      </w:r>
      <w:r w:rsidRPr="00310E7E">
        <w:rPr>
          <w:rFonts w:ascii="Times New Roman" w:hAnsi="Times New Roman"/>
          <w:i/>
          <w:iCs/>
          <w:noProof/>
          <w:szCs w:val="24"/>
        </w:rPr>
        <w:t>Proceedings of the National Academy of Sciences of the United States of America</w:t>
      </w:r>
      <w:r w:rsidRPr="00310E7E">
        <w:rPr>
          <w:rFonts w:ascii="Times New Roman" w:hAnsi="Times New Roman"/>
          <w:noProof/>
          <w:szCs w:val="24"/>
        </w:rPr>
        <w:t xml:space="preserve">, </w:t>
      </w:r>
      <w:r w:rsidRPr="00310E7E">
        <w:rPr>
          <w:rFonts w:ascii="Times New Roman" w:hAnsi="Times New Roman"/>
          <w:i/>
          <w:iCs/>
          <w:noProof/>
          <w:szCs w:val="24"/>
        </w:rPr>
        <w:t>117</w:t>
      </w:r>
      <w:r w:rsidRPr="00310E7E">
        <w:rPr>
          <w:rFonts w:ascii="Times New Roman" w:hAnsi="Times New Roman"/>
          <w:noProof/>
          <w:szCs w:val="24"/>
        </w:rPr>
        <w:t xml:space="preserve">(46), 28899–28905. </w:t>
      </w:r>
      <w:hyperlink r:id="rId152" w:history="1">
        <w:r w:rsidRPr="00D325F2">
          <w:rPr>
            <w:rStyle w:val="Hyperlink"/>
            <w:rFonts w:ascii="Times New Roman" w:hAnsi="Times New Roman"/>
            <w:noProof/>
            <w:szCs w:val="24"/>
          </w:rPr>
          <w:t>https://doi.org/10.1073/pnas.1920779117</w:t>
        </w:r>
      </w:hyperlink>
    </w:p>
    <w:p w14:paraId="0AB2FAB8" w14:textId="5F00990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Coleman, M. A., &amp; Goold, H. D. (2019). Harnessing synthetic biology for kelp forest conservation1. </w:t>
      </w:r>
      <w:r w:rsidRPr="00310E7E">
        <w:rPr>
          <w:rFonts w:ascii="Times New Roman" w:hAnsi="Times New Roman"/>
          <w:i/>
          <w:iCs/>
          <w:noProof/>
          <w:szCs w:val="24"/>
        </w:rPr>
        <w:t>Journal of Phycology</w:t>
      </w:r>
      <w:r w:rsidRPr="00310E7E">
        <w:rPr>
          <w:rFonts w:ascii="Times New Roman" w:hAnsi="Times New Roman"/>
          <w:noProof/>
          <w:szCs w:val="24"/>
        </w:rPr>
        <w:t xml:space="preserve">, </w:t>
      </w:r>
      <w:r w:rsidRPr="00310E7E">
        <w:rPr>
          <w:rFonts w:ascii="Times New Roman" w:hAnsi="Times New Roman"/>
          <w:i/>
          <w:iCs/>
          <w:noProof/>
          <w:szCs w:val="24"/>
        </w:rPr>
        <w:t>55</w:t>
      </w:r>
      <w:r w:rsidRPr="00310E7E">
        <w:rPr>
          <w:rFonts w:ascii="Times New Roman" w:hAnsi="Times New Roman"/>
          <w:noProof/>
          <w:szCs w:val="24"/>
        </w:rPr>
        <w:t xml:space="preserve">(4), 745–751. </w:t>
      </w:r>
      <w:hyperlink r:id="rId153" w:history="1">
        <w:r w:rsidRPr="00D325F2">
          <w:rPr>
            <w:rStyle w:val="Hyperlink"/>
            <w:rFonts w:ascii="Times New Roman" w:hAnsi="Times New Roman"/>
            <w:noProof/>
            <w:szCs w:val="24"/>
          </w:rPr>
          <w:t>https://doi.org/10.1111/jpy.12888</w:t>
        </w:r>
      </w:hyperlink>
    </w:p>
    <w:p w14:paraId="0F491D6B" w14:textId="1EE0BE3E" w:rsidR="00310E7E" w:rsidRPr="00F8168D"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es-ES"/>
        </w:rPr>
      </w:pPr>
      <w:r w:rsidRPr="00310E7E">
        <w:rPr>
          <w:rFonts w:ascii="Times New Roman" w:hAnsi="Times New Roman"/>
          <w:noProof/>
          <w:szCs w:val="24"/>
        </w:rPr>
        <w:t xml:space="preserve">Collins, C. M., Bonds, J. A. S., Quinlan, M. M., &amp; Mumford, J. D. (2019). Effects of the removal or reduction in density of the malaria mosquito, Anopheles gambiae s.l ., on interacting predators and competitors in local ecosystems. </w:t>
      </w:r>
      <w:r w:rsidRPr="00F8168D">
        <w:rPr>
          <w:rFonts w:ascii="Times New Roman" w:hAnsi="Times New Roman"/>
          <w:i/>
          <w:iCs/>
          <w:noProof/>
          <w:szCs w:val="24"/>
          <w:lang w:val="es-ES"/>
        </w:rPr>
        <w:t>Medical and Veterinary Entomology</w:t>
      </w:r>
      <w:r w:rsidRPr="00F8168D">
        <w:rPr>
          <w:rFonts w:ascii="Times New Roman" w:hAnsi="Times New Roman"/>
          <w:noProof/>
          <w:szCs w:val="24"/>
          <w:lang w:val="es-ES"/>
        </w:rPr>
        <w:t xml:space="preserve">, </w:t>
      </w:r>
      <w:r w:rsidRPr="00F8168D">
        <w:rPr>
          <w:rFonts w:ascii="Times New Roman" w:hAnsi="Times New Roman"/>
          <w:i/>
          <w:iCs/>
          <w:noProof/>
          <w:szCs w:val="24"/>
          <w:lang w:val="es-ES"/>
        </w:rPr>
        <w:t>33</w:t>
      </w:r>
      <w:r w:rsidRPr="00F8168D">
        <w:rPr>
          <w:rFonts w:ascii="Times New Roman" w:hAnsi="Times New Roman"/>
          <w:noProof/>
          <w:szCs w:val="24"/>
          <w:lang w:val="es-ES"/>
        </w:rPr>
        <w:t xml:space="preserve">(1), 1–15. </w:t>
      </w:r>
      <w:hyperlink r:id="rId154" w:history="1">
        <w:r w:rsidRPr="00F8168D">
          <w:rPr>
            <w:rStyle w:val="Hyperlink"/>
            <w:rFonts w:ascii="Times New Roman" w:hAnsi="Times New Roman"/>
            <w:noProof/>
            <w:szCs w:val="24"/>
            <w:lang w:val="es-ES"/>
          </w:rPr>
          <w:t>https://doi.org/10.1111/mve.12327</w:t>
        </w:r>
      </w:hyperlink>
    </w:p>
    <w:p w14:paraId="02FA4AAC" w14:textId="1A9DB275" w:rsidR="00310E7E" w:rsidRPr="00F8168D"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es-ES"/>
        </w:rPr>
      </w:pPr>
      <w:r w:rsidRPr="00F8168D">
        <w:rPr>
          <w:rFonts w:ascii="Times New Roman" w:hAnsi="Times New Roman"/>
          <w:noProof/>
          <w:szCs w:val="24"/>
          <w:lang w:val="es-ES"/>
        </w:rPr>
        <w:t xml:space="preserve">Comissão Técnica Nacional de Biossegurança. (2018). </w:t>
      </w:r>
      <w:r w:rsidRPr="00F8168D">
        <w:rPr>
          <w:rFonts w:ascii="Times New Roman" w:hAnsi="Times New Roman"/>
          <w:i/>
          <w:iCs/>
          <w:noProof/>
          <w:szCs w:val="24"/>
          <w:lang w:val="es-ES"/>
        </w:rPr>
        <w:t>EXTRATO DE PARECER TÉCNICO N</w:t>
      </w:r>
      <w:r w:rsidRPr="00F8168D">
        <w:rPr>
          <w:rFonts w:ascii="Times New Roman" w:hAnsi="Times New Roman"/>
          <w:i/>
          <w:iCs/>
          <w:noProof/>
          <w:szCs w:val="24"/>
          <w:vertAlign w:val="superscript"/>
          <w:lang w:val="es-ES"/>
        </w:rPr>
        <w:t>o</w:t>
      </w:r>
      <w:r w:rsidRPr="00F8168D">
        <w:rPr>
          <w:rFonts w:ascii="Times New Roman" w:hAnsi="Times New Roman"/>
          <w:i/>
          <w:iCs/>
          <w:noProof/>
          <w:szCs w:val="24"/>
          <w:lang w:val="es-ES"/>
        </w:rPr>
        <w:t xml:space="preserve"> 6.208/2018</w:t>
      </w:r>
      <w:r w:rsidRPr="00F8168D">
        <w:rPr>
          <w:rFonts w:ascii="Times New Roman" w:hAnsi="Times New Roman"/>
          <w:noProof/>
          <w:szCs w:val="24"/>
          <w:lang w:val="es-ES"/>
        </w:rPr>
        <w:t xml:space="preserve"> (Vol. 244, Issue 1, p. 84). Diário official da união. </w:t>
      </w:r>
      <w:hyperlink r:id="rId155" w:history="1">
        <w:r w:rsidRPr="00F8168D">
          <w:rPr>
            <w:rStyle w:val="Hyperlink"/>
            <w:rFonts w:ascii="Times New Roman" w:hAnsi="Times New Roman"/>
            <w:noProof/>
            <w:szCs w:val="24"/>
            <w:lang w:val="es-ES"/>
          </w:rPr>
          <w:t>https://www.in.gov.br/materia/-/asset_publisher/Kujrw0TZC2Mb/content/id/56127410/do1-2018-12-20-extrato-de-parecer-tecnico-n-6-208-2018-56127401</w:t>
        </w:r>
      </w:hyperlink>
      <w:r w:rsidR="00D325F2" w:rsidRPr="00F8168D">
        <w:rPr>
          <w:rFonts w:ascii="Times New Roman" w:hAnsi="Times New Roman"/>
          <w:noProof/>
          <w:szCs w:val="24"/>
          <w:lang w:val="es-ES"/>
        </w:rPr>
        <w:t xml:space="preserve"> (in Portuguese)</w:t>
      </w:r>
    </w:p>
    <w:p w14:paraId="570F4FD2" w14:textId="0677FAD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es-ES"/>
        </w:rPr>
        <w:t xml:space="preserve">Contreras-Llano, L. E., &amp; Tan, C. (2018). </w:t>
      </w:r>
      <w:r w:rsidRPr="00310E7E">
        <w:rPr>
          <w:rFonts w:ascii="Times New Roman" w:hAnsi="Times New Roman"/>
          <w:noProof/>
          <w:szCs w:val="24"/>
        </w:rPr>
        <w:t xml:space="preserve">High-throughput screening of biomolecules using cell-free gene expression systems. </w:t>
      </w:r>
      <w:r w:rsidRPr="00310E7E">
        <w:rPr>
          <w:rFonts w:ascii="Times New Roman" w:hAnsi="Times New Roman"/>
          <w:i/>
          <w:iCs/>
          <w:noProof/>
          <w:szCs w:val="24"/>
        </w:rPr>
        <w:t>Synthetic Biology</w:t>
      </w:r>
      <w:r w:rsidRPr="00310E7E">
        <w:rPr>
          <w:rFonts w:ascii="Times New Roman" w:hAnsi="Times New Roman"/>
          <w:noProof/>
          <w:szCs w:val="24"/>
        </w:rPr>
        <w:t xml:space="preserve">, </w:t>
      </w:r>
      <w:r w:rsidRPr="00310E7E">
        <w:rPr>
          <w:rFonts w:ascii="Times New Roman" w:hAnsi="Times New Roman"/>
          <w:i/>
          <w:iCs/>
          <w:noProof/>
          <w:szCs w:val="24"/>
        </w:rPr>
        <w:t>3</w:t>
      </w:r>
      <w:r w:rsidRPr="00310E7E">
        <w:rPr>
          <w:rFonts w:ascii="Times New Roman" w:hAnsi="Times New Roman"/>
          <w:noProof/>
          <w:szCs w:val="24"/>
        </w:rPr>
        <w:t xml:space="preserve">(1). </w:t>
      </w:r>
      <w:hyperlink r:id="rId156" w:history="1">
        <w:r w:rsidRPr="00D325F2">
          <w:rPr>
            <w:rStyle w:val="Hyperlink"/>
            <w:rFonts w:ascii="Times New Roman" w:hAnsi="Times New Roman"/>
            <w:noProof/>
            <w:szCs w:val="24"/>
          </w:rPr>
          <w:t>https://doi.org/10.1093/synbio/ysy012</w:t>
        </w:r>
      </w:hyperlink>
    </w:p>
    <w:p w14:paraId="017612FF" w14:textId="664CECF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Cotter, J., &amp; Perls, D. (2019). </w:t>
      </w:r>
      <w:r w:rsidRPr="00310E7E">
        <w:rPr>
          <w:rFonts w:ascii="Times New Roman" w:hAnsi="Times New Roman"/>
          <w:i/>
          <w:iCs/>
          <w:noProof/>
          <w:szCs w:val="24"/>
        </w:rPr>
        <w:t>Genetically Engineered Animals: From Lab to Factory Farm</w:t>
      </w:r>
      <w:r w:rsidRPr="00310E7E">
        <w:rPr>
          <w:rFonts w:ascii="Times New Roman" w:hAnsi="Times New Roman"/>
          <w:noProof/>
          <w:szCs w:val="24"/>
        </w:rPr>
        <w:t xml:space="preserve">. </w:t>
      </w:r>
      <w:hyperlink r:id="rId157" w:history="1">
        <w:r w:rsidRPr="00D325F2">
          <w:rPr>
            <w:rStyle w:val="Hyperlink"/>
            <w:rFonts w:ascii="Times New Roman" w:hAnsi="Times New Roman"/>
            <w:noProof/>
            <w:szCs w:val="24"/>
          </w:rPr>
          <w:t>https://foe.org/resources/genetically-engineered-animals-lab-factory-farm/</w:t>
        </w:r>
      </w:hyperlink>
    </w:p>
    <w:p w14:paraId="29C373BD" w14:textId="3A88FCF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Court of Justice of the European Union. (2018). </w:t>
      </w:r>
      <w:r w:rsidRPr="00310E7E">
        <w:rPr>
          <w:rFonts w:ascii="Times New Roman" w:hAnsi="Times New Roman"/>
          <w:i/>
          <w:iCs/>
          <w:noProof/>
          <w:szCs w:val="24"/>
        </w:rPr>
        <w:t>Judgment Of the Court (Grand Chamber): Mutagenesis — Directive 2001/18/EC, Interpretation and assessment of validity — Notion of ‘genetically modified organism’ — Common catalogue of varieties of agricultural plant species — New techniques of mutagenesis</w:t>
      </w:r>
      <w:r w:rsidRPr="00310E7E">
        <w:rPr>
          <w:rFonts w:ascii="Times New Roman" w:hAnsi="Times New Roman"/>
          <w:noProof/>
          <w:szCs w:val="24"/>
        </w:rPr>
        <w:t xml:space="preserve">. </w:t>
      </w:r>
      <w:hyperlink r:id="rId158" w:history="1">
        <w:r w:rsidRPr="00D325F2">
          <w:rPr>
            <w:rStyle w:val="Hyperlink"/>
            <w:rFonts w:ascii="Times New Roman" w:hAnsi="Times New Roman"/>
            <w:noProof/>
            <w:szCs w:val="24"/>
          </w:rPr>
          <w:t>http://curia.europa.eu/juris/documents.jsf?num=C-528/16#</w:t>
        </w:r>
      </w:hyperlink>
    </w:p>
    <w:p w14:paraId="4A3BEEDB" w14:textId="1614747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Courtier‐Orgogozo, V., Morizot, B., &amp; Boëte, C. (2017). Using CRISPR ‐based gene drive for agriculture pest control. </w:t>
      </w:r>
      <w:r w:rsidRPr="00310E7E">
        <w:rPr>
          <w:rFonts w:ascii="Times New Roman" w:hAnsi="Times New Roman"/>
          <w:i/>
          <w:iCs/>
          <w:noProof/>
          <w:szCs w:val="24"/>
        </w:rPr>
        <w:t>EMBO Reports</w:t>
      </w:r>
      <w:r w:rsidRPr="00310E7E">
        <w:rPr>
          <w:rFonts w:ascii="Times New Roman" w:hAnsi="Times New Roman"/>
          <w:noProof/>
          <w:szCs w:val="24"/>
        </w:rPr>
        <w:t xml:space="preserve">, </w:t>
      </w:r>
      <w:r w:rsidRPr="00310E7E">
        <w:rPr>
          <w:rFonts w:ascii="Times New Roman" w:hAnsi="Times New Roman"/>
          <w:i/>
          <w:iCs/>
          <w:noProof/>
          <w:szCs w:val="24"/>
        </w:rPr>
        <w:t>18</w:t>
      </w:r>
      <w:r w:rsidRPr="00310E7E">
        <w:rPr>
          <w:rFonts w:ascii="Times New Roman" w:hAnsi="Times New Roman"/>
          <w:noProof/>
          <w:szCs w:val="24"/>
        </w:rPr>
        <w:t xml:space="preserve">(9), 1481. </w:t>
      </w:r>
      <w:hyperlink r:id="rId159" w:history="1">
        <w:r w:rsidRPr="00D325F2">
          <w:rPr>
            <w:rStyle w:val="Hyperlink"/>
            <w:rFonts w:ascii="Times New Roman" w:hAnsi="Times New Roman"/>
            <w:noProof/>
            <w:szCs w:val="24"/>
          </w:rPr>
          <w:t>https://doi.org/10.15252/embr.201744822</w:t>
        </w:r>
      </w:hyperlink>
    </w:p>
    <w:p w14:paraId="78471AB0" w14:textId="7AE7482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Craig, W., Ndolo, D. O., &amp; Tepfer, M. (2017). A strategy for integrating science into regulatory decision-making for GMOs. In </w:t>
      </w:r>
      <w:r w:rsidRPr="00310E7E">
        <w:rPr>
          <w:rFonts w:ascii="Times New Roman" w:hAnsi="Times New Roman"/>
          <w:i/>
          <w:iCs/>
          <w:noProof/>
          <w:szCs w:val="24"/>
        </w:rPr>
        <w:t>Genetically Modified Organisms in Developing Countries: Risk Analysis and Governance</w:t>
      </w:r>
      <w:r w:rsidRPr="00310E7E">
        <w:rPr>
          <w:rFonts w:ascii="Times New Roman" w:hAnsi="Times New Roman"/>
          <w:noProof/>
          <w:szCs w:val="24"/>
        </w:rPr>
        <w:t xml:space="preserve">. </w:t>
      </w:r>
      <w:hyperlink r:id="rId160" w:history="1">
        <w:r w:rsidRPr="00D325F2">
          <w:rPr>
            <w:rStyle w:val="Hyperlink"/>
            <w:rFonts w:ascii="Times New Roman" w:hAnsi="Times New Roman"/>
            <w:noProof/>
            <w:szCs w:val="24"/>
          </w:rPr>
          <w:t>https://doi.org/10.1017/9781316585269.004</w:t>
        </w:r>
      </w:hyperlink>
    </w:p>
    <w:p w14:paraId="5AD7D343" w14:textId="0395CD2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Craig, Wendy, Ndolo, D. O., &amp; Tepfer, M. (2017). A strategy for integrating science into regulatory decision-making for GMOs. In A. A. Adenle, E. J. Morris, &amp; D. J. Murphy (Eds.), </w:t>
      </w:r>
      <w:r w:rsidRPr="00310E7E">
        <w:rPr>
          <w:rFonts w:ascii="Times New Roman" w:hAnsi="Times New Roman"/>
          <w:i/>
          <w:iCs/>
          <w:noProof/>
          <w:szCs w:val="24"/>
        </w:rPr>
        <w:t>Genetically Modified Organisms in Developing Countries: Risk Analysis and Governance</w:t>
      </w:r>
      <w:r w:rsidRPr="00310E7E">
        <w:rPr>
          <w:rFonts w:ascii="Times New Roman" w:hAnsi="Times New Roman"/>
          <w:noProof/>
          <w:szCs w:val="24"/>
        </w:rPr>
        <w:t xml:space="preserve"> (pp. 26–38). Cambridge University Press. </w:t>
      </w:r>
      <w:hyperlink r:id="rId161" w:history="1">
        <w:r w:rsidRPr="00D325F2">
          <w:rPr>
            <w:rStyle w:val="Hyperlink"/>
            <w:rFonts w:ascii="Times New Roman" w:hAnsi="Times New Roman"/>
            <w:noProof/>
            <w:szCs w:val="24"/>
          </w:rPr>
          <w:t>https://doi.org/10.1017/9781316585269.004</w:t>
        </w:r>
      </w:hyperlink>
    </w:p>
    <w:p w14:paraId="24D09EF6" w14:textId="68EDCA0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Critical Scientists Switzerland, European Network of Scientists for Social and Environmental Responsibility, &amp; Vereinigung Deutscher Wissenschaftler. (2019). </w:t>
      </w:r>
      <w:r w:rsidRPr="00310E7E">
        <w:rPr>
          <w:rFonts w:ascii="Times New Roman" w:hAnsi="Times New Roman"/>
          <w:i/>
          <w:iCs/>
          <w:noProof/>
          <w:szCs w:val="24"/>
        </w:rPr>
        <w:t>Gene drives: A report on their science, applications, social aspects, ethics and regulations</w:t>
      </w:r>
      <w:r w:rsidRPr="00310E7E">
        <w:rPr>
          <w:rFonts w:ascii="Times New Roman" w:hAnsi="Times New Roman"/>
          <w:noProof/>
          <w:szCs w:val="24"/>
        </w:rPr>
        <w:t xml:space="preserve">. </w:t>
      </w:r>
      <w:hyperlink r:id="rId162" w:history="1">
        <w:r w:rsidRPr="00D325F2">
          <w:rPr>
            <w:rStyle w:val="Hyperlink"/>
            <w:rFonts w:ascii="Times New Roman" w:hAnsi="Times New Roman"/>
            <w:noProof/>
            <w:szCs w:val="24"/>
          </w:rPr>
          <w:t>https://genedrives.ch/report</w:t>
        </w:r>
      </w:hyperlink>
    </w:p>
    <w:p w14:paraId="2A41FD21" w14:textId="72CA1769" w:rsidR="00310E7E" w:rsidRPr="00F8168D"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fr-CA"/>
        </w:rPr>
      </w:pPr>
      <w:r w:rsidRPr="00310E7E">
        <w:rPr>
          <w:rFonts w:ascii="Times New Roman" w:hAnsi="Times New Roman"/>
          <w:noProof/>
          <w:szCs w:val="24"/>
        </w:rPr>
        <w:t xml:space="preserve">Crone, M. A., Priestman, M., Ciechonska, M., Jensen, K., Sharp, D. J., Anand, A., Randell, P., Storch, M., &amp; Freemont, P. S. (2020). A role for Biofoundries in rapid development and validation of automated SARS-CoV-2 clinical diagnostics. </w:t>
      </w:r>
      <w:r w:rsidRPr="00F8168D">
        <w:rPr>
          <w:rFonts w:ascii="Times New Roman" w:hAnsi="Times New Roman"/>
          <w:i/>
          <w:iCs/>
          <w:noProof/>
          <w:szCs w:val="24"/>
          <w:lang w:val="fr-CA"/>
        </w:rPr>
        <w:t>Nature Communications</w:t>
      </w:r>
      <w:r w:rsidRPr="00F8168D">
        <w:rPr>
          <w:rFonts w:ascii="Times New Roman" w:hAnsi="Times New Roman"/>
          <w:noProof/>
          <w:szCs w:val="24"/>
          <w:lang w:val="fr-CA"/>
        </w:rPr>
        <w:t xml:space="preserve">, </w:t>
      </w:r>
      <w:r w:rsidRPr="00F8168D">
        <w:rPr>
          <w:rFonts w:ascii="Times New Roman" w:hAnsi="Times New Roman"/>
          <w:i/>
          <w:iCs/>
          <w:noProof/>
          <w:szCs w:val="24"/>
          <w:lang w:val="fr-CA"/>
        </w:rPr>
        <w:t>11</w:t>
      </w:r>
      <w:r w:rsidRPr="00F8168D">
        <w:rPr>
          <w:rFonts w:ascii="Times New Roman" w:hAnsi="Times New Roman"/>
          <w:noProof/>
          <w:szCs w:val="24"/>
          <w:lang w:val="fr-CA"/>
        </w:rPr>
        <w:t xml:space="preserve">(1). </w:t>
      </w:r>
      <w:hyperlink r:id="rId163" w:history="1">
        <w:r w:rsidRPr="00F8168D">
          <w:rPr>
            <w:rStyle w:val="Hyperlink"/>
            <w:rFonts w:ascii="Times New Roman" w:hAnsi="Times New Roman"/>
            <w:noProof/>
            <w:szCs w:val="24"/>
            <w:lang w:val="fr-CA"/>
          </w:rPr>
          <w:t>https://doi.org/10.1038/s41467-020-18130-3</w:t>
        </w:r>
      </w:hyperlink>
    </w:p>
    <w:p w14:paraId="4098991B" w14:textId="413E9DF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fr-CA"/>
        </w:rPr>
        <w:t xml:space="preserve">D’Aoust, M.-A., Couture, M., Ors, F., Trépanier, S., Lavoie, P.-O., Dargis, M., Vézina, L.-P., &amp; Landry, N. (2016). </w:t>
      </w:r>
      <w:r w:rsidRPr="00310E7E">
        <w:rPr>
          <w:rFonts w:ascii="Times New Roman" w:hAnsi="Times New Roman"/>
          <w:i/>
          <w:iCs/>
          <w:noProof/>
          <w:szCs w:val="24"/>
        </w:rPr>
        <w:t>Influenza virus-like particles (VLPS) comprising hemagglutinin produced within a plant</w:t>
      </w:r>
      <w:r w:rsidRPr="00310E7E">
        <w:rPr>
          <w:rFonts w:ascii="Times New Roman" w:hAnsi="Times New Roman"/>
          <w:noProof/>
          <w:szCs w:val="24"/>
        </w:rPr>
        <w:t xml:space="preserve"> (Patent No. US9452210B2). </w:t>
      </w:r>
      <w:hyperlink r:id="rId164" w:history="1">
        <w:r w:rsidRPr="008D5293">
          <w:rPr>
            <w:rStyle w:val="Hyperlink"/>
            <w:rFonts w:ascii="Times New Roman" w:hAnsi="Times New Roman"/>
            <w:noProof/>
            <w:szCs w:val="24"/>
          </w:rPr>
          <w:t>https://patents.google.com/patent/US9452210B2/en?q=medicago+%2B+VLP&amp;oq=medicago+%2B+VLP</w:t>
        </w:r>
      </w:hyperlink>
    </w:p>
    <w:p w14:paraId="39366A8A" w14:textId="4BD95A4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Dalakouras, A., &amp; Papadopoulou, K. K. (2020). Epigenetic Modifications: An Unexplored Facet of Exogenous RNA Application in Plants. </w:t>
      </w:r>
      <w:r w:rsidRPr="00310E7E">
        <w:rPr>
          <w:rFonts w:ascii="Times New Roman" w:hAnsi="Times New Roman"/>
          <w:i/>
          <w:iCs/>
          <w:noProof/>
          <w:szCs w:val="24"/>
        </w:rPr>
        <w:t>Plants</w:t>
      </w:r>
      <w:r w:rsidRPr="00310E7E">
        <w:rPr>
          <w:rFonts w:ascii="Times New Roman" w:hAnsi="Times New Roman"/>
          <w:noProof/>
          <w:szCs w:val="24"/>
        </w:rPr>
        <w:t xml:space="preserve">, </w:t>
      </w:r>
      <w:r w:rsidRPr="00310E7E">
        <w:rPr>
          <w:rFonts w:ascii="Times New Roman" w:hAnsi="Times New Roman"/>
          <w:i/>
          <w:iCs/>
          <w:noProof/>
          <w:szCs w:val="24"/>
        </w:rPr>
        <w:t>9</w:t>
      </w:r>
      <w:r w:rsidRPr="00310E7E">
        <w:rPr>
          <w:rFonts w:ascii="Times New Roman" w:hAnsi="Times New Roman"/>
          <w:noProof/>
          <w:szCs w:val="24"/>
        </w:rPr>
        <w:t xml:space="preserve">(6), 673. </w:t>
      </w:r>
      <w:hyperlink r:id="rId165" w:history="1">
        <w:r w:rsidRPr="008D5293">
          <w:rPr>
            <w:rStyle w:val="Hyperlink"/>
            <w:rFonts w:ascii="Times New Roman" w:hAnsi="Times New Roman"/>
            <w:noProof/>
            <w:szCs w:val="24"/>
          </w:rPr>
          <w:t>https://doi.org/10.3390/plants9060673</w:t>
        </w:r>
      </w:hyperlink>
    </w:p>
    <w:p w14:paraId="77A1FFC7" w14:textId="65CB388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Dale, E. C., &amp; Ow, D. W. (1990). Intra- and intramolecular site-specific recombination in plant cells mediated by bacteriophage P1 recombinase. </w:t>
      </w:r>
      <w:r w:rsidRPr="00310E7E">
        <w:rPr>
          <w:rFonts w:ascii="Times New Roman" w:hAnsi="Times New Roman"/>
          <w:i/>
          <w:iCs/>
          <w:noProof/>
          <w:szCs w:val="24"/>
        </w:rPr>
        <w:t>Gene</w:t>
      </w:r>
      <w:r w:rsidRPr="00310E7E">
        <w:rPr>
          <w:rFonts w:ascii="Times New Roman" w:hAnsi="Times New Roman"/>
          <w:noProof/>
          <w:szCs w:val="24"/>
        </w:rPr>
        <w:t xml:space="preserve">, </w:t>
      </w:r>
      <w:r w:rsidRPr="00310E7E">
        <w:rPr>
          <w:rFonts w:ascii="Times New Roman" w:hAnsi="Times New Roman"/>
          <w:i/>
          <w:iCs/>
          <w:noProof/>
          <w:szCs w:val="24"/>
        </w:rPr>
        <w:t>91</w:t>
      </w:r>
      <w:r w:rsidRPr="00310E7E">
        <w:rPr>
          <w:rFonts w:ascii="Times New Roman" w:hAnsi="Times New Roman"/>
          <w:noProof/>
          <w:szCs w:val="24"/>
        </w:rPr>
        <w:t xml:space="preserve">(1), 79–85. </w:t>
      </w:r>
      <w:hyperlink r:id="rId166" w:history="1">
        <w:r w:rsidRPr="008D5293">
          <w:rPr>
            <w:rStyle w:val="Hyperlink"/>
            <w:rFonts w:ascii="Times New Roman" w:hAnsi="Times New Roman"/>
            <w:noProof/>
            <w:szCs w:val="24"/>
          </w:rPr>
          <w:t>https://doi.org/10.1016/0378-1119(90)90165-N</w:t>
        </w:r>
      </w:hyperlink>
    </w:p>
    <w:p w14:paraId="1CDE78B8" w14:textId="4C68B51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Dana, G. V., Kuiken, T., Rejeski, D., &amp; Snow, A. A. (2012). Four steps to avoid a synthetic-biology disaster.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483</w:t>
      </w:r>
      <w:r w:rsidRPr="00310E7E">
        <w:rPr>
          <w:rFonts w:ascii="Times New Roman" w:hAnsi="Times New Roman"/>
          <w:noProof/>
          <w:szCs w:val="24"/>
        </w:rPr>
        <w:t xml:space="preserve">(7387), 29–29. </w:t>
      </w:r>
      <w:hyperlink r:id="rId167" w:history="1">
        <w:r w:rsidRPr="008D5293">
          <w:rPr>
            <w:rStyle w:val="Hyperlink"/>
            <w:rFonts w:ascii="Times New Roman" w:hAnsi="Times New Roman"/>
            <w:noProof/>
            <w:szCs w:val="24"/>
          </w:rPr>
          <w:t>https://doi.org/10.1038/483029a</w:t>
        </w:r>
      </w:hyperlink>
    </w:p>
    <w:p w14:paraId="1DC9F566" w14:textId="5783B7C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Dangi, A. K., Sharma, B., Hill, R. T., &amp; Shukla, P. (2019). Bioremediation through microbes: systems biology and metabolic engineering approach. In </w:t>
      </w:r>
      <w:r w:rsidRPr="00310E7E">
        <w:rPr>
          <w:rFonts w:ascii="Times New Roman" w:hAnsi="Times New Roman"/>
          <w:i/>
          <w:iCs/>
          <w:noProof/>
          <w:szCs w:val="24"/>
        </w:rPr>
        <w:t>Critical Reviews in Biotechnology</w:t>
      </w:r>
      <w:r w:rsidRPr="00310E7E">
        <w:rPr>
          <w:rFonts w:ascii="Times New Roman" w:hAnsi="Times New Roman"/>
          <w:noProof/>
          <w:szCs w:val="24"/>
        </w:rPr>
        <w:t xml:space="preserve"> (Vol. 39, Issue 1, pp. 79–98). Taylor and Francis Ltd. </w:t>
      </w:r>
      <w:hyperlink r:id="rId168" w:history="1">
        <w:r w:rsidRPr="008D5293">
          <w:rPr>
            <w:rStyle w:val="Hyperlink"/>
            <w:rFonts w:ascii="Times New Roman" w:hAnsi="Times New Roman"/>
            <w:noProof/>
            <w:szCs w:val="24"/>
          </w:rPr>
          <w:t>https://doi.org/10.1080/07388551.2018.1500997</w:t>
        </w:r>
      </w:hyperlink>
    </w:p>
    <w:p w14:paraId="67D819A0" w14:textId="225D0A8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Darsan Singh, J. K., Mat Jalaluddin, N. S., Sanan-Mishra, N., &amp; Harikrishna, J. A. (2019). Genetic modification in Malaysia and India: current regulatory framework and the special case of non-transformative RNAi in agriculture. </w:t>
      </w:r>
      <w:r w:rsidRPr="00310E7E">
        <w:rPr>
          <w:rFonts w:ascii="Times New Roman" w:hAnsi="Times New Roman"/>
          <w:i/>
          <w:iCs/>
          <w:noProof/>
          <w:szCs w:val="24"/>
        </w:rPr>
        <w:t>Plant Cell Reports</w:t>
      </w:r>
      <w:r w:rsidRPr="00310E7E">
        <w:rPr>
          <w:rFonts w:ascii="Times New Roman" w:hAnsi="Times New Roman"/>
          <w:noProof/>
          <w:szCs w:val="24"/>
        </w:rPr>
        <w:t xml:space="preserve">, </w:t>
      </w:r>
      <w:r w:rsidRPr="00310E7E">
        <w:rPr>
          <w:rFonts w:ascii="Times New Roman" w:hAnsi="Times New Roman"/>
          <w:i/>
          <w:iCs/>
          <w:noProof/>
          <w:szCs w:val="24"/>
        </w:rPr>
        <w:t>38</w:t>
      </w:r>
      <w:r w:rsidRPr="00310E7E">
        <w:rPr>
          <w:rFonts w:ascii="Times New Roman" w:hAnsi="Times New Roman"/>
          <w:noProof/>
          <w:szCs w:val="24"/>
        </w:rPr>
        <w:t xml:space="preserve">(12), 1449–1463. </w:t>
      </w:r>
      <w:hyperlink r:id="rId169" w:history="1">
        <w:r w:rsidRPr="006216CC">
          <w:rPr>
            <w:rStyle w:val="Hyperlink"/>
            <w:rFonts w:ascii="Times New Roman" w:hAnsi="Times New Roman"/>
            <w:noProof/>
            <w:szCs w:val="24"/>
          </w:rPr>
          <w:t>https://doi.org/10.1007/s00299-019-02446-6</w:t>
        </w:r>
      </w:hyperlink>
    </w:p>
    <w:p w14:paraId="685C0B94" w14:textId="5950705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Dasgupta, A., Chowdhury, N., &amp; De, R. K. (2020). Metabolic pathway engineering: Perspectives and applications. In </w:t>
      </w:r>
      <w:r w:rsidRPr="00310E7E">
        <w:rPr>
          <w:rFonts w:ascii="Times New Roman" w:hAnsi="Times New Roman"/>
          <w:i/>
          <w:iCs/>
          <w:noProof/>
          <w:szCs w:val="24"/>
        </w:rPr>
        <w:t>Computer Methods and Programs in Biomedicine</w:t>
      </w:r>
      <w:r w:rsidRPr="00310E7E">
        <w:rPr>
          <w:rFonts w:ascii="Times New Roman" w:hAnsi="Times New Roman"/>
          <w:noProof/>
          <w:szCs w:val="24"/>
        </w:rPr>
        <w:t xml:space="preserve"> (Vol. 192). Elsevier Ireland Ltd. </w:t>
      </w:r>
      <w:hyperlink r:id="rId170" w:history="1">
        <w:r w:rsidRPr="006216CC">
          <w:rPr>
            <w:rStyle w:val="Hyperlink"/>
            <w:rFonts w:ascii="Times New Roman" w:hAnsi="Times New Roman"/>
            <w:noProof/>
            <w:szCs w:val="24"/>
          </w:rPr>
          <w:t>https://doi.org/10.1016/j.cmpb.2020.105436</w:t>
        </w:r>
      </w:hyperlink>
    </w:p>
    <w:p w14:paraId="2E3521A8" w14:textId="423EF88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David Bikard, &amp; Marraffini, L. (2010). </w:t>
      </w:r>
      <w:r w:rsidRPr="00310E7E">
        <w:rPr>
          <w:rFonts w:ascii="Times New Roman" w:hAnsi="Times New Roman"/>
          <w:i/>
          <w:iCs/>
          <w:noProof/>
          <w:szCs w:val="24"/>
        </w:rPr>
        <w:t>Sequence Specific Antimicrobials, US10660943B2</w:t>
      </w:r>
      <w:r w:rsidRPr="00310E7E">
        <w:rPr>
          <w:rFonts w:ascii="Times New Roman" w:hAnsi="Times New Roman"/>
          <w:noProof/>
          <w:szCs w:val="24"/>
        </w:rPr>
        <w:t xml:space="preserve"> (Vol. 2, Issue 19, pp. 4–6). </w:t>
      </w:r>
      <w:hyperlink r:id="rId171" w:history="1">
        <w:r w:rsidRPr="006216CC">
          <w:rPr>
            <w:rStyle w:val="Hyperlink"/>
            <w:rFonts w:ascii="Times New Roman" w:hAnsi="Times New Roman"/>
            <w:noProof/>
            <w:szCs w:val="24"/>
          </w:rPr>
          <w:t>https://patents.google.com/patent/US20160024510A1/en</w:t>
        </w:r>
      </w:hyperlink>
    </w:p>
    <w:p w14:paraId="4758EB4B" w14:textId="7B77BA8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de Lorenzo, V. (2010). Environmental biosafety in the age of Synthetic Biology: Do we really need a radical new approach? </w:t>
      </w:r>
      <w:r w:rsidRPr="00310E7E">
        <w:rPr>
          <w:rFonts w:ascii="Times New Roman" w:hAnsi="Times New Roman"/>
          <w:i/>
          <w:iCs/>
          <w:noProof/>
          <w:szCs w:val="24"/>
        </w:rPr>
        <w:t>BioEssays</w:t>
      </w:r>
      <w:r w:rsidRPr="00310E7E">
        <w:rPr>
          <w:rFonts w:ascii="Times New Roman" w:hAnsi="Times New Roman"/>
          <w:noProof/>
          <w:szCs w:val="24"/>
        </w:rPr>
        <w:t xml:space="preserve">, </w:t>
      </w:r>
      <w:r w:rsidRPr="00310E7E">
        <w:rPr>
          <w:rFonts w:ascii="Times New Roman" w:hAnsi="Times New Roman"/>
          <w:i/>
          <w:iCs/>
          <w:noProof/>
          <w:szCs w:val="24"/>
        </w:rPr>
        <w:t>32</w:t>
      </w:r>
      <w:r w:rsidRPr="00310E7E">
        <w:rPr>
          <w:rFonts w:ascii="Times New Roman" w:hAnsi="Times New Roman"/>
          <w:noProof/>
          <w:szCs w:val="24"/>
        </w:rPr>
        <w:t xml:space="preserve">(11), 926–931. </w:t>
      </w:r>
      <w:hyperlink r:id="rId172" w:history="1">
        <w:r w:rsidRPr="006216CC">
          <w:rPr>
            <w:rStyle w:val="Hyperlink"/>
            <w:rFonts w:ascii="Times New Roman" w:hAnsi="Times New Roman"/>
            <w:noProof/>
            <w:szCs w:val="24"/>
          </w:rPr>
          <w:t>https://doi.org/10.1002/bies.201000099</w:t>
        </w:r>
      </w:hyperlink>
    </w:p>
    <w:p w14:paraId="39477E1A" w14:textId="1059C63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de Wit, M. M. (2019). Gene driving the farm: who decides, who owns, and who benefits? </w:t>
      </w:r>
      <w:r w:rsidRPr="00310E7E">
        <w:rPr>
          <w:rFonts w:ascii="Times New Roman" w:hAnsi="Times New Roman"/>
          <w:i/>
          <w:iCs/>
          <w:noProof/>
          <w:szCs w:val="24"/>
        </w:rPr>
        <w:t>Agroecology and Sustainable Food Systems</w:t>
      </w:r>
      <w:r w:rsidRPr="00310E7E">
        <w:rPr>
          <w:rFonts w:ascii="Times New Roman" w:hAnsi="Times New Roman"/>
          <w:noProof/>
          <w:szCs w:val="24"/>
        </w:rPr>
        <w:t xml:space="preserve">, </w:t>
      </w:r>
      <w:r w:rsidRPr="00310E7E">
        <w:rPr>
          <w:rFonts w:ascii="Times New Roman" w:hAnsi="Times New Roman"/>
          <w:i/>
          <w:iCs/>
          <w:noProof/>
          <w:szCs w:val="24"/>
        </w:rPr>
        <w:t>43</w:t>
      </w:r>
      <w:r w:rsidRPr="00310E7E">
        <w:rPr>
          <w:rFonts w:ascii="Times New Roman" w:hAnsi="Times New Roman"/>
          <w:noProof/>
          <w:szCs w:val="24"/>
        </w:rPr>
        <w:t xml:space="preserve">(9), 1054–1074. </w:t>
      </w:r>
      <w:hyperlink r:id="rId173" w:history="1">
        <w:r w:rsidRPr="006216CC">
          <w:rPr>
            <w:rStyle w:val="Hyperlink"/>
            <w:rFonts w:ascii="Times New Roman" w:hAnsi="Times New Roman"/>
            <w:noProof/>
            <w:szCs w:val="24"/>
          </w:rPr>
          <w:t>https://doi.org/10.1080/21683565.2019.1591566</w:t>
        </w:r>
      </w:hyperlink>
    </w:p>
    <w:p w14:paraId="06BD8DD4" w14:textId="5D3BBA0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Dederer, H.-G., &amp; Hamburger, D. (Eds.). (2019). </w:t>
      </w:r>
      <w:r w:rsidRPr="00310E7E">
        <w:rPr>
          <w:rFonts w:ascii="Times New Roman" w:hAnsi="Times New Roman"/>
          <w:i/>
          <w:iCs/>
          <w:noProof/>
          <w:szCs w:val="24"/>
        </w:rPr>
        <w:t>Regulation of Genome Editing in Plant Biotechnology</w:t>
      </w:r>
      <w:r w:rsidRPr="00310E7E">
        <w:rPr>
          <w:rFonts w:ascii="Times New Roman" w:hAnsi="Times New Roman"/>
          <w:noProof/>
          <w:szCs w:val="24"/>
        </w:rPr>
        <w:t xml:space="preserve">. Springer International Publishing. </w:t>
      </w:r>
      <w:hyperlink r:id="rId174" w:history="1">
        <w:r w:rsidRPr="00BF6C14">
          <w:rPr>
            <w:rStyle w:val="Hyperlink"/>
            <w:rFonts w:ascii="Times New Roman" w:hAnsi="Times New Roman"/>
            <w:noProof/>
            <w:szCs w:val="24"/>
          </w:rPr>
          <w:t>https://doi.org/10.1007/978-3-030-17119-3</w:t>
        </w:r>
      </w:hyperlink>
    </w:p>
    <w:p w14:paraId="30F6C473" w14:textId="715800E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Defense Advanced Research Projects Agency. (2016). </w:t>
      </w:r>
      <w:r w:rsidRPr="00310E7E">
        <w:rPr>
          <w:rFonts w:ascii="Times New Roman" w:hAnsi="Times New Roman"/>
          <w:i/>
          <w:iCs/>
          <w:noProof/>
          <w:szCs w:val="24"/>
        </w:rPr>
        <w:t>Insect Allies</w:t>
      </w:r>
      <w:r w:rsidRPr="00310E7E">
        <w:rPr>
          <w:rFonts w:ascii="Times New Roman" w:hAnsi="Times New Roman"/>
          <w:noProof/>
          <w:szCs w:val="24"/>
        </w:rPr>
        <w:t xml:space="preserve"> (p. 38). Biological Technologies Office. </w:t>
      </w:r>
      <w:hyperlink r:id="rId175" w:history="1">
        <w:r w:rsidRPr="00BF6C14">
          <w:rPr>
            <w:rStyle w:val="Hyperlink"/>
            <w:rFonts w:ascii="Times New Roman" w:hAnsi="Times New Roman"/>
            <w:noProof/>
            <w:szCs w:val="24"/>
          </w:rPr>
          <w:t>https://admin.govexec.com/media/hr001117s0002.pdf</w:t>
        </w:r>
      </w:hyperlink>
    </w:p>
    <w:p w14:paraId="05DB3FBB" w14:textId="590AA54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Defense Advanced Research Projects Agency, &amp; Bextine, B. (2021). </w:t>
      </w:r>
      <w:r w:rsidRPr="00310E7E">
        <w:rPr>
          <w:rFonts w:ascii="Times New Roman" w:hAnsi="Times New Roman"/>
          <w:i/>
          <w:iCs/>
          <w:noProof/>
          <w:szCs w:val="24"/>
        </w:rPr>
        <w:t>Insect Alllies</w:t>
      </w:r>
      <w:r w:rsidRPr="00310E7E">
        <w:rPr>
          <w:rFonts w:ascii="Times New Roman" w:hAnsi="Times New Roman"/>
          <w:noProof/>
          <w:szCs w:val="24"/>
        </w:rPr>
        <w:t xml:space="preserve">. </w:t>
      </w:r>
      <w:hyperlink r:id="rId176" w:history="1">
        <w:r w:rsidRPr="00BF6C14">
          <w:rPr>
            <w:rStyle w:val="Hyperlink"/>
            <w:rFonts w:ascii="Times New Roman" w:hAnsi="Times New Roman"/>
            <w:noProof/>
            <w:szCs w:val="24"/>
          </w:rPr>
          <w:t>https://www.darpa.mil/program/insect-allies</w:t>
        </w:r>
      </w:hyperlink>
    </w:p>
    <w:p w14:paraId="47289524" w14:textId="39E44BD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Del Valle, I., Fulk, E. M., Kalvapalle, P., Silberg, J. J., Masiello, C. A., &amp; Stadler, L. B. (2021). Translating New Synthetic Biology Advances for Biosensing Into the Earth and Environmental Sciences. </w:t>
      </w:r>
      <w:r w:rsidRPr="00310E7E">
        <w:rPr>
          <w:rFonts w:ascii="Times New Roman" w:hAnsi="Times New Roman"/>
          <w:i/>
          <w:iCs/>
          <w:noProof/>
          <w:szCs w:val="24"/>
        </w:rPr>
        <w:t>Frontiers in Microbiology</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 </w:t>
      </w:r>
      <w:hyperlink r:id="rId177" w:history="1">
        <w:r w:rsidRPr="00BF6C14">
          <w:rPr>
            <w:rStyle w:val="Hyperlink"/>
            <w:rFonts w:ascii="Times New Roman" w:hAnsi="Times New Roman"/>
            <w:noProof/>
            <w:szCs w:val="24"/>
          </w:rPr>
          <w:t>https://doi.org/10.3389/fmicb.2020.618373</w:t>
        </w:r>
      </w:hyperlink>
    </w:p>
    <w:p w14:paraId="7AEE665C" w14:textId="7148774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Delisi, C. (2019). The role of synthetic biology in climate change mitigation. In </w:t>
      </w:r>
      <w:r w:rsidRPr="00310E7E">
        <w:rPr>
          <w:rFonts w:ascii="Times New Roman" w:hAnsi="Times New Roman"/>
          <w:i/>
          <w:iCs/>
          <w:noProof/>
          <w:szCs w:val="24"/>
        </w:rPr>
        <w:t>Biology Direct</w:t>
      </w:r>
      <w:r w:rsidRPr="00310E7E">
        <w:rPr>
          <w:rFonts w:ascii="Times New Roman" w:hAnsi="Times New Roman"/>
          <w:noProof/>
          <w:szCs w:val="24"/>
        </w:rPr>
        <w:t xml:space="preserve"> (Vol. 14, Issue 1). BioMed Central Ltd.</w:t>
      </w:r>
      <w:hyperlink r:id="rId178" w:history="1">
        <w:r w:rsidRPr="00BF6C14">
          <w:rPr>
            <w:rStyle w:val="Hyperlink"/>
            <w:rFonts w:ascii="Times New Roman" w:hAnsi="Times New Roman"/>
            <w:noProof/>
            <w:szCs w:val="24"/>
          </w:rPr>
          <w:t xml:space="preserve"> https://doi.org/10.1186/s13062-019-0247-8</w:t>
        </w:r>
      </w:hyperlink>
    </w:p>
    <w:p w14:paraId="26D9C0EC" w14:textId="2E51441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DeLisi, C., Patrinos, A., MacCracken, M., Drell, D., Annas, G., Arkin, A., Church, G., Cook-Deegan, R., Jacoby, H., Lidstrom, M., Melillo, J., Milo, R., Paustian, K., Reilly, J., Roberts, R. J., Segrè, D., Solomon, S., Woolf, D., Wullschleger, S. D., &amp; Yang, X. (2020). The Role of Synthetic Biology in Atmospheric Greenhouse Gas Reduction: Prospects and Challenges. </w:t>
      </w:r>
      <w:r w:rsidRPr="00310E7E">
        <w:rPr>
          <w:rFonts w:ascii="Times New Roman" w:hAnsi="Times New Roman"/>
          <w:i/>
          <w:iCs/>
          <w:noProof/>
          <w:szCs w:val="24"/>
        </w:rPr>
        <w:t>BioDesign Research</w:t>
      </w:r>
      <w:r w:rsidRPr="00310E7E">
        <w:rPr>
          <w:rFonts w:ascii="Times New Roman" w:hAnsi="Times New Roman"/>
          <w:noProof/>
          <w:szCs w:val="24"/>
        </w:rPr>
        <w:t xml:space="preserve">, </w:t>
      </w:r>
      <w:r w:rsidRPr="00310E7E">
        <w:rPr>
          <w:rFonts w:ascii="Times New Roman" w:hAnsi="Times New Roman"/>
          <w:i/>
          <w:iCs/>
          <w:noProof/>
          <w:szCs w:val="24"/>
        </w:rPr>
        <w:t>2020</w:t>
      </w:r>
      <w:r w:rsidRPr="00310E7E">
        <w:rPr>
          <w:rFonts w:ascii="Times New Roman" w:hAnsi="Times New Roman"/>
          <w:noProof/>
          <w:szCs w:val="24"/>
        </w:rPr>
        <w:t>, 1–8.</w:t>
      </w:r>
      <w:hyperlink r:id="rId179" w:history="1">
        <w:r w:rsidRPr="00BF6C14">
          <w:rPr>
            <w:rStyle w:val="Hyperlink"/>
            <w:rFonts w:ascii="Times New Roman" w:hAnsi="Times New Roman"/>
            <w:noProof/>
            <w:szCs w:val="24"/>
          </w:rPr>
          <w:t xml:space="preserve"> https://doi.org/10.34133/2020/1016207</w:t>
        </w:r>
      </w:hyperlink>
    </w:p>
    <w:p w14:paraId="0ACAEDFC" w14:textId="34CCA59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Demirer, G., Zhang, H., Goh, N., Chang, R., &amp; Landry, M. (2019). Nanotubes Effectively Deliver siRNA to Intact Plant Cells and Protect siRNA Against Nuclease Degradation. </w:t>
      </w:r>
      <w:r w:rsidRPr="00310E7E">
        <w:rPr>
          <w:rFonts w:ascii="Times New Roman" w:hAnsi="Times New Roman"/>
          <w:i/>
          <w:iCs/>
          <w:noProof/>
          <w:szCs w:val="24"/>
        </w:rPr>
        <w:t>SSRN Electronic Journal</w:t>
      </w:r>
      <w:r w:rsidRPr="00310E7E">
        <w:rPr>
          <w:rFonts w:ascii="Times New Roman" w:hAnsi="Times New Roman"/>
          <w:noProof/>
          <w:szCs w:val="24"/>
        </w:rPr>
        <w:t xml:space="preserve">. </w:t>
      </w:r>
      <w:hyperlink r:id="rId180" w:history="1">
        <w:r w:rsidRPr="00BF6C14">
          <w:rPr>
            <w:rStyle w:val="Hyperlink"/>
            <w:rFonts w:ascii="Times New Roman" w:hAnsi="Times New Roman"/>
            <w:noProof/>
            <w:szCs w:val="24"/>
          </w:rPr>
          <w:t>https://doi.org/10.2139/ssrn.3352632</w:t>
        </w:r>
      </w:hyperlink>
    </w:p>
    <w:p w14:paraId="1A70844A" w14:textId="062E07B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Devos, Yann, Bonsall, M. B., Firbank, L. G., Mumford, J., Nogué, F., &amp; Wimmer, E. A. (2020). Gene Drive-Modified Organisms: Developing Practical Risk Assessment Guidance. </w:t>
      </w:r>
      <w:r w:rsidRPr="00310E7E">
        <w:rPr>
          <w:rFonts w:ascii="Times New Roman" w:hAnsi="Times New Roman"/>
          <w:i/>
          <w:iCs/>
          <w:noProof/>
          <w:szCs w:val="24"/>
        </w:rPr>
        <w:t>Trends in Biotechnology</w:t>
      </w:r>
      <w:r w:rsidRPr="00310E7E">
        <w:rPr>
          <w:rFonts w:ascii="Times New Roman" w:hAnsi="Times New Roman"/>
          <w:noProof/>
          <w:szCs w:val="24"/>
        </w:rPr>
        <w:t xml:space="preserve">, 1–4. </w:t>
      </w:r>
      <w:hyperlink r:id="rId181" w:history="1">
        <w:r w:rsidRPr="00BF6C14">
          <w:rPr>
            <w:rStyle w:val="Hyperlink"/>
            <w:rFonts w:ascii="Times New Roman" w:hAnsi="Times New Roman"/>
            <w:noProof/>
            <w:szCs w:val="24"/>
          </w:rPr>
          <w:t>https://doi.org/10.1016/j.tibtech.2020.11.015</w:t>
        </w:r>
      </w:hyperlink>
    </w:p>
    <w:p w14:paraId="698FCF84" w14:textId="102FFB9B" w:rsidR="00310E7E" w:rsidRPr="00F8168D"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fr-CA"/>
        </w:rPr>
      </w:pPr>
      <w:r w:rsidRPr="00310E7E">
        <w:rPr>
          <w:rFonts w:ascii="Times New Roman" w:hAnsi="Times New Roman"/>
          <w:noProof/>
          <w:szCs w:val="24"/>
        </w:rPr>
        <w:t xml:space="preserve">Devos, Yann, Craig, W., Devlin, R. H., Ippolito, A., Leggatt, R. A., Romeis, J., Shaw, R., Svendsen, C., &amp; Topping, C. J. (2019). Using problem formulation for fit-for-purpose pre-market environmental risk assessments of regulated stressors. </w:t>
      </w:r>
      <w:r w:rsidRPr="00F8168D">
        <w:rPr>
          <w:rFonts w:ascii="Times New Roman" w:hAnsi="Times New Roman"/>
          <w:i/>
          <w:iCs/>
          <w:noProof/>
          <w:szCs w:val="24"/>
          <w:lang w:val="fr-CA"/>
        </w:rPr>
        <w:t>EFSA Journal</w:t>
      </w:r>
      <w:r w:rsidRPr="00F8168D">
        <w:rPr>
          <w:rFonts w:ascii="Times New Roman" w:hAnsi="Times New Roman"/>
          <w:noProof/>
          <w:szCs w:val="24"/>
          <w:lang w:val="fr-CA"/>
        </w:rPr>
        <w:t xml:space="preserve">, </w:t>
      </w:r>
      <w:r w:rsidRPr="00F8168D">
        <w:rPr>
          <w:rFonts w:ascii="Times New Roman" w:hAnsi="Times New Roman"/>
          <w:i/>
          <w:iCs/>
          <w:noProof/>
          <w:szCs w:val="24"/>
          <w:lang w:val="fr-CA"/>
        </w:rPr>
        <w:t>17</w:t>
      </w:r>
      <w:r w:rsidRPr="00F8168D">
        <w:rPr>
          <w:rFonts w:ascii="Times New Roman" w:hAnsi="Times New Roman"/>
          <w:noProof/>
          <w:szCs w:val="24"/>
          <w:lang w:val="fr-CA"/>
        </w:rPr>
        <w:t xml:space="preserve">(S1). </w:t>
      </w:r>
      <w:hyperlink r:id="rId182" w:history="1">
        <w:r w:rsidRPr="00F8168D">
          <w:rPr>
            <w:rStyle w:val="Hyperlink"/>
            <w:rFonts w:ascii="Times New Roman" w:hAnsi="Times New Roman"/>
            <w:noProof/>
            <w:szCs w:val="24"/>
            <w:lang w:val="fr-CA"/>
          </w:rPr>
          <w:t>https://doi.org/10.2903/j.efsa.2019.e170708</w:t>
        </w:r>
      </w:hyperlink>
    </w:p>
    <w:p w14:paraId="4D18E37A" w14:textId="4174034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fr-CA"/>
        </w:rPr>
        <w:t xml:space="preserve">Diao, J., Song, X., Zhang, L., Cui, J., Chen, L., &amp; Zhang, W. (2020). </w:t>
      </w:r>
      <w:r w:rsidRPr="00310E7E">
        <w:rPr>
          <w:rFonts w:ascii="Times New Roman" w:hAnsi="Times New Roman"/>
          <w:noProof/>
          <w:szCs w:val="24"/>
        </w:rPr>
        <w:t xml:space="preserve">Tailoring cyanobacteria as a new platform for highly efficient synthesis of astaxanthin. </w:t>
      </w:r>
      <w:r w:rsidRPr="00310E7E">
        <w:rPr>
          <w:rFonts w:ascii="Times New Roman" w:hAnsi="Times New Roman"/>
          <w:i/>
          <w:iCs/>
          <w:noProof/>
          <w:szCs w:val="24"/>
        </w:rPr>
        <w:t>Metabolic Engineering</w:t>
      </w:r>
      <w:r w:rsidRPr="00310E7E">
        <w:rPr>
          <w:rFonts w:ascii="Times New Roman" w:hAnsi="Times New Roman"/>
          <w:noProof/>
          <w:szCs w:val="24"/>
        </w:rPr>
        <w:t xml:space="preserve">, </w:t>
      </w:r>
      <w:r w:rsidRPr="00310E7E">
        <w:rPr>
          <w:rFonts w:ascii="Times New Roman" w:hAnsi="Times New Roman"/>
          <w:i/>
          <w:iCs/>
          <w:noProof/>
          <w:szCs w:val="24"/>
        </w:rPr>
        <w:t>61</w:t>
      </w:r>
      <w:r w:rsidRPr="00310E7E">
        <w:rPr>
          <w:rFonts w:ascii="Times New Roman" w:hAnsi="Times New Roman"/>
          <w:noProof/>
          <w:szCs w:val="24"/>
        </w:rPr>
        <w:t xml:space="preserve">, 275–287. </w:t>
      </w:r>
      <w:hyperlink r:id="rId183" w:history="1">
        <w:r w:rsidRPr="001437C9">
          <w:rPr>
            <w:rStyle w:val="Hyperlink"/>
            <w:rFonts w:ascii="Times New Roman" w:hAnsi="Times New Roman"/>
            <w:noProof/>
            <w:szCs w:val="24"/>
          </w:rPr>
          <w:t>https://doi.org/10.1016/j.ymben.2020.07.003</w:t>
        </w:r>
      </w:hyperlink>
    </w:p>
    <w:p w14:paraId="4EDBA812" w14:textId="4BCF52D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DiCarlo, J. E., Chavez, A., Dietz, S. L., Esvelt, K. M., &amp; Church, G. M. (2015). Safeguarding CRISPR-Cas9 gene drives in yeast.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33</w:t>
      </w:r>
      <w:r w:rsidRPr="00310E7E">
        <w:rPr>
          <w:rFonts w:ascii="Times New Roman" w:hAnsi="Times New Roman"/>
          <w:noProof/>
          <w:szCs w:val="24"/>
        </w:rPr>
        <w:t xml:space="preserve">(12), 1250–1255. </w:t>
      </w:r>
      <w:hyperlink r:id="rId184" w:history="1">
        <w:r w:rsidRPr="001437C9">
          <w:rPr>
            <w:rStyle w:val="Hyperlink"/>
            <w:rFonts w:ascii="Times New Roman" w:hAnsi="Times New Roman"/>
            <w:noProof/>
            <w:szCs w:val="24"/>
          </w:rPr>
          <w:t>https://doi.org/10.1038/nbt.3412</w:t>
        </w:r>
      </w:hyperlink>
    </w:p>
    <w:p w14:paraId="5BCB91D4" w14:textId="1B652BF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Didovyk, A., Tonooka, T., Tsimring, L., &amp; Hasty, J. (2017). Rapid and Scalable Preparation of Bacterial Lysates for Cell-Free Gene Expression. </w:t>
      </w:r>
      <w:r w:rsidRPr="00310E7E">
        <w:rPr>
          <w:rFonts w:ascii="Times New Roman" w:hAnsi="Times New Roman"/>
          <w:i/>
          <w:iCs/>
          <w:noProof/>
          <w:szCs w:val="24"/>
        </w:rPr>
        <w:t>ACS Synthetic Biology</w:t>
      </w:r>
      <w:r w:rsidRPr="00310E7E">
        <w:rPr>
          <w:rFonts w:ascii="Times New Roman" w:hAnsi="Times New Roman"/>
          <w:noProof/>
          <w:szCs w:val="24"/>
        </w:rPr>
        <w:t xml:space="preserve">, </w:t>
      </w:r>
      <w:r w:rsidRPr="00310E7E">
        <w:rPr>
          <w:rFonts w:ascii="Times New Roman" w:hAnsi="Times New Roman"/>
          <w:i/>
          <w:iCs/>
          <w:noProof/>
          <w:szCs w:val="24"/>
        </w:rPr>
        <w:t>6</w:t>
      </w:r>
      <w:r w:rsidRPr="00310E7E">
        <w:rPr>
          <w:rFonts w:ascii="Times New Roman" w:hAnsi="Times New Roman"/>
          <w:noProof/>
          <w:szCs w:val="24"/>
        </w:rPr>
        <w:t xml:space="preserve">(12), 2198–2208. </w:t>
      </w:r>
      <w:hyperlink r:id="rId185" w:history="1">
        <w:r w:rsidRPr="001437C9">
          <w:rPr>
            <w:rStyle w:val="Hyperlink"/>
            <w:rFonts w:ascii="Times New Roman" w:hAnsi="Times New Roman"/>
            <w:noProof/>
            <w:szCs w:val="24"/>
          </w:rPr>
          <w:t>https://doi.org/10.1021/acssynbio.7b00253</w:t>
        </w:r>
      </w:hyperlink>
    </w:p>
    <w:p w14:paraId="2BA6634F" w14:textId="1903CC6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Diggans, J., &amp; Leproust, E. (2019). Next Steps for Access to Safe, Secure DNA Synthesis. </w:t>
      </w:r>
      <w:r w:rsidRPr="00310E7E">
        <w:rPr>
          <w:rFonts w:ascii="Times New Roman" w:hAnsi="Times New Roman"/>
          <w:i/>
          <w:iCs/>
          <w:noProof/>
          <w:szCs w:val="24"/>
        </w:rPr>
        <w:t>Frontiers in Bioengineering and Biotechnology</w:t>
      </w:r>
      <w:r w:rsidRPr="00310E7E">
        <w:rPr>
          <w:rFonts w:ascii="Times New Roman" w:hAnsi="Times New Roman"/>
          <w:noProof/>
          <w:szCs w:val="24"/>
        </w:rPr>
        <w:t xml:space="preserve">, </w:t>
      </w:r>
      <w:r w:rsidRPr="00310E7E">
        <w:rPr>
          <w:rFonts w:ascii="Times New Roman" w:hAnsi="Times New Roman"/>
          <w:i/>
          <w:iCs/>
          <w:noProof/>
          <w:szCs w:val="24"/>
        </w:rPr>
        <w:t>7</w:t>
      </w:r>
      <w:r w:rsidRPr="00310E7E">
        <w:rPr>
          <w:rFonts w:ascii="Times New Roman" w:hAnsi="Times New Roman"/>
          <w:noProof/>
          <w:szCs w:val="24"/>
        </w:rPr>
        <w:t xml:space="preserve">. </w:t>
      </w:r>
      <w:hyperlink r:id="rId186" w:history="1">
        <w:r w:rsidRPr="00914729">
          <w:rPr>
            <w:rStyle w:val="Hyperlink"/>
            <w:rFonts w:ascii="Times New Roman" w:hAnsi="Times New Roman"/>
            <w:noProof/>
            <w:szCs w:val="24"/>
          </w:rPr>
          <w:t>https://doi.org/10.3389/fbioe.2019.00086</w:t>
        </w:r>
      </w:hyperlink>
    </w:p>
    <w:p w14:paraId="293C99C1" w14:textId="6951595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Divanbeigi, R., &amp; Saliola, F. (2017). </w:t>
      </w:r>
      <w:r w:rsidRPr="00310E7E">
        <w:rPr>
          <w:rFonts w:ascii="Times New Roman" w:hAnsi="Times New Roman"/>
          <w:i/>
          <w:iCs/>
          <w:noProof/>
          <w:szCs w:val="24"/>
        </w:rPr>
        <w:t>Regulatory constraints to agricultural productivity</w:t>
      </w:r>
      <w:r w:rsidRPr="00310E7E">
        <w:rPr>
          <w:rFonts w:ascii="Times New Roman" w:hAnsi="Times New Roman"/>
          <w:noProof/>
          <w:szCs w:val="24"/>
        </w:rPr>
        <w:t xml:space="preserve">. </w:t>
      </w:r>
      <w:hyperlink r:id="rId187" w:history="1">
        <w:r w:rsidRPr="00914729">
          <w:rPr>
            <w:rStyle w:val="Hyperlink"/>
            <w:rFonts w:ascii="Times New Roman" w:hAnsi="Times New Roman"/>
            <w:noProof/>
            <w:szCs w:val="24"/>
          </w:rPr>
          <w:t>https://documents.worldbank.org/en/publication/documents-reports/documentdetail/908591505911928634/regulatory-constraints-to-agricultural-productivity</w:t>
        </w:r>
      </w:hyperlink>
    </w:p>
    <w:p w14:paraId="0B5F0366" w14:textId="77777777" w:rsidR="00484D37" w:rsidRDefault="00484D37" w:rsidP="00484D37">
      <w:pPr>
        <w:widowControl w:val="0"/>
        <w:autoSpaceDE w:val="0"/>
        <w:autoSpaceDN w:val="0"/>
        <w:adjustRightInd w:val="0"/>
        <w:spacing w:after="140" w:line="240" w:lineRule="auto"/>
        <w:ind w:left="480" w:hanging="480"/>
        <w:rPr>
          <w:rFonts w:ascii="Times New Roman" w:hAnsi="Times New Roman"/>
          <w:noProof/>
          <w:szCs w:val="24"/>
        </w:rPr>
      </w:pPr>
      <w:r w:rsidRPr="00484D37">
        <w:rPr>
          <w:rFonts w:ascii="Times New Roman" w:hAnsi="Times New Roman"/>
          <w:noProof/>
          <w:szCs w:val="24"/>
        </w:rPr>
        <w:t>Dixon, T.</w:t>
      </w:r>
      <w:r>
        <w:rPr>
          <w:rFonts w:ascii="Times New Roman" w:hAnsi="Times New Roman"/>
          <w:noProof/>
          <w:szCs w:val="24"/>
        </w:rPr>
        <w:t xml:space="preserve"> A.</w:t>
      </w:r>
      <w:r w:rsidRPr="00484D37">
        <w:rPr>
          <w:rFonts w:ascii="Times New Roman" w:hAnsi="Times New Roman"/>
          <w:noProof/>
          <w:szCs w:val="24"/>
        </w:rPr>
        <w:t>, Curach, N.</w:t>
      </w:r>
      <w:r>
        <w:rPr>
          <w:rFonts w:ascii="Times New Roman" w:hAnsi="Times New Roman"/>
          <w:noProof/>
          <w:szCs w:val="24"/>
        </w:rPr>
        <w:t xml:space="preserve"> C.</w:t>
      </w:r>
      <w:r w:rsidRPr="00484D37">
        <w:rPr>
          <w:rFonts w:ascii="Times New Roman" w:hAnsi="Times New Roman"/>
          <w:noProof/>
          <w:szCs w:val="24"/>
        </w:rPr>
        <w:t xml:space="preserve">, &amp; Pretorius, I. S. (2020). Bio‐informational futures. EMBO Reports, 21(3). </w:t>
      </w:r>
      <w:hyperlink r:id="rId188" w:history="1">
        <w:r w:rsidRPr="00484D37">
          <w:rPr>
            <w:rStyle w:val="Hyperlink"/>
            <w:rFonts w:ascii="Times New Roman" w:hAnsi="Times New Roman"/>
            <w:noProof/>
            <w:szCs w:val="24"/>
          </w:rPr>
          <w:t>https://doi.org/10.15252/embr.202050036</w:t>
        </w:r>
      </w:hyperlink>
      <w:r w:rsidRPr="00484D37">
        <w:rPr>
          <w:rFonts w:ascii="Times New Roman" w:hAnsi="Times New Roman"/>
          <w:noProof/>
          <w:szCs w:val="24"/>
        </w:rPr>
        <w:t xml:space="preserve"> </w:t>
      </w:r>
    </w:p>
    <w:p w14:paraId="2805375B" w14:textId="1DE4CF65" w:rsidR="00F47ECA" w:rsidRDefault="00F47ECA" w:rsidP="00310E7E">
      <w:pPr>
        <w:widowControl w:val="0"/>
        <w:autoSpaceDE w:val="0"/>
        <w:autoSpaceDN w:val="0"/>
        <w:adjustRightInd w:val="0"/>
        <w:spacing w:after="140" w:line="240" w:lineRule="auto"/>
        <w:ind w:left="480" w:hanging="480"/>
        <w:rPr>
          <w:rFonts w:ascii="Times New Roman" w:hAnsi="Times New Roman"/>
          <w:noProof/>
          <w:szCs w:val="24"/>
        </w:rPr>
      </w:pPr>
      <w:r w:rsidRPr="00F47ECA">
        <w:rPr>
          <w:rFonts w:ascii="Times New Roman" w:hAnsi="Times New Roman"/>
          <w:noProof/>
          <w:szCs w:val="24"/>
        </w:rPr>
        <w:t xml:space="preserve">Dolezel, M., Simon, S., Otto, M., Engelhard, M., &amp; Züghart, W. (2020). Gene Drive Organisms. Implications for the Environment and Nature Conservation. Umweltbundesamt GmbH (Environment Agency Austria). </w:t>
      </w:r>
      <w:hyperlink r:id="rId189" w:history="1">
        <w:r w:rsidRPr="00F47ECA">
          <w:rPr>
            <w:rStyle w:val="Hyperlink"/>
            <w:rFonts w:ascii="Times New Roman" w:hAnsi="Times New Roman"/>
            <w:noProof/>
            <w:szCs w:val="24"/>
          </w:rPr>
          <w:t>https://www.umweltbundesamt.at/fileadmin/site/publikationen/rep0705.pdf</w:t>
        </w:r>
      </w:hyperlink>
    </w:p>
    <w:p w14:paraId="3724ABFD" w14:textId="24E88B7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Dolgin, E. (2020). The kill-switch for CRISPR that could make gene-editing safer.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577</w:t>
      </w:r>
      <w:r w:rsidRPr="00310E7E">
        <w:rPr>
          <w:rFonts w:ascii="Times New Roman" w:hAnsi="Times New Roman"/>
          <w:noProof/>
          <w:szCs w:val="24"/>
        </w:rPr>
        <w:t xml:space="preserve">(7790), 308–310. </w:t>
      </w:r>
      <w:hyperlink r:id="rId190" w:history="1">
        <w:r w:rsidRPr="00F47ECA">
          <w:rPr>
            <w:rStyle w:val="Hyperlink"/>
            <w:rFonts w:ascii="Times New Roman" w:hAnsi="Times New Roman"/>
            <w:noProof/>
            <w:szCs w:val="24"/>
          </w:rPr>
          <w:t>https://doi.org/10.1038/d41586-020-00053-0</w:t>
        </w:r>
      </w:hyperlink>
    </w:p>
    <w:p w14:paraId="14E6D078" w14:textId="6D28127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Dong, C., Beetham, P., Vincent, K., &amp; Sharp, P. (2006). Oligonucleotide-directed gene repair in wheat using a transient plasmid gene repair assay system. </w:t>
      </w:r>
      <w:r w:rsidRPr="00310E7E">
        <w:rPr>
          <w:rFonts w:ascii="Times New Roman" w:hAnsi="Times New Roman"/>
          <w:i/>
          <w:iCs/>
          <w:noProof/>
          <w:szCs w:val="24"/>
        </w:rPr>
        <w:t>Plant Cell Reports</w:t>
      </w:r>
      <w:r w:rsidRPr="00310E7E">
        <w:rPr>
          <w:rFonts w:ascii="Times New Roman" w:hAnsi="Times New Roman"/>
          <w:noProof/>
          <w:szCs w:val="24"/>
        </w:rPr>
        <w:t xml:space="preserve">, </w:t>
      </w:r>
      <w:r w:rsidRPr="00310E7E">
        <w:rPr>
          <w:rFonts w:ascii="Times New Roman" w:hAnsi="Times New Roman"/>
          <w:i/>
          <w:iCs/>
          <w:noProof/>
          <w:szCs w:val="24"/>
        </w:rPr>
        <w:t>25</w:t>
      </w:r>
      <w:r w:rsidRPr="00310E7E">
        <w:rPr>
          <w:rFonts w:ascii="Times New Roman" w:hAnsi="Times New Roman"/>
          <w:noProof/>
          <w:szCs w:val="24"/>
        </w:rPr>
        <w:t xml:space="preserve">(5), 457–465. </w:t>
      </w:r>
      <w:hyperlink r:id="rId191" w:history="1">
        <w:r w:rsidRPr="00F47ECA">
          <w:rPr>
            <w:rStyle w:val="Hyperlink"/>
            <w:rFonts w:ascii="Times New Roman" w:hAnsi="Times New Roman"/>
            <w:noProof/>
            <w:szCs w:val="24"/>
          </w:rPr>
          <w:t>https://doi.org/10.1007/s00299-005-0098-x</w:t>
        </w:r>
      </w:hyperlink>
    </w:p>
    <w:p w14:paraId="75D850F9" w14:textId="7FE289F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Douglas, T., &amp; Savulescu, J. (2010). Synthetic biology and the ethics of knowledge. </w:t>
      </w:r>
      <w:r w:rsidRPr="00310E7E">
        <w:rPr>
          <w:rFonts w:ascii="Times New Roman" w:hAnsi="Times New Roman"/>
          <w:i/>
          <w:iCs/>
          <w:noProof/>
          <w:szCs w:val="24"/>
        </w:rPr>
        <w:t>Journal of Medical Ethics</w:t>
      </w:r>
      <w:r w:rsidRPr="00310E7E">
        <w:rPr>
          <w:rFonts w:ascii="Times New Roman" w:hAnsi="Times New Roman"/>
          <w:noProof/>
          <w:szCs w:val="24"/>
        </w:rPr>
        <w:t xml:space="preserve">, </w:t>
      </w:r>
      <w:r w:rsidRPr="00310E7E">
        <w:rPr>
          <w:rFonts w:ascii="Times New Roman" w:hAnsi="Times New Roman"/>
          <w:i/>
          <w:iCs/>
          <w:noProof/>
          <w:szCs w:val="24"/>
        </w:rPr>
        <w:t>36</w:t>
      </w:r>
      <w:r w:rsidRPr="00310E7E">
        <w:rPr>
          <w:rFonts w:ascii="Times New Roman" w:hAnsi="Times New Roman"/>
          <w:noProof/>
          <w:szCs w:val="24"/>
        </w:rPr>
        <w:t xml:space="preserve">(11), 687–693. </w:t>
      </w:r>
      <w:hyperlink r:id="rId192" w:history="1">
        <w:r w:rsidRPr="00F47ECA">
          <w:rPr>
            <w:rStyle w:val="Hyperlink"/>
            <w:rFonts w:ascii="Times New Roman" w:hAnsi="Times New Roman"/>
            <w:noProof/>
            <w:szCs w:val="24"/>
          </w:rPr>
          <w:t>https://doi.org/10.1136/jme.2010.038232</w:t>
        </w:r>
      </w:hyperlink>
    </w:p>
    <w:p w14:paraId="06A7684E" w14:textId="78720CA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Drufva, E. E., Hix, E. G., &amp; Bailey, C. B. (2020). Site directed mutagenesis as a precision tool to enable synthetic biology with engineered modular polyketide synthases. In </w:t>
      </w:r>
      <w:r w:rsidRPr="00310E7E">
        <w:rPr>
          <w:rFonts w:ascii="Times New Roman" w:hAnsi="Times New Roman"/>
          <w:i/>
          <w:iCs/>
          <w:noProof/>
          <w:szCs w:val="24"/>
        </w:rPr>
        <w:t>Synthetic and Systems Biotechnology</w:t>
      </w:r>
      <w:r w:rsidRPr="00310E7E">
        <w:rPr>
          <w:rFonts w:ascii="Times New Roman" w:hAnsi="Times New Roman"/>
          <w:noProof/>
          <w:szCs w:val="24"/>
        </w:rPr>
        <w:t xml:space="preserve"> (Vol. 5, Issue 2, pp. 62–80). KeAi Communications Co. </w:t>
      </w:r>
      <w:hyperlink r:id="rId193" w:history="1">
        <w:r w:rsidRPr="00F47ECA">
          <w:rPr>
            <w:rStyle w:val="Hyperlink"/>
            <w:rFonts w:ascii="Times New Roman" w:hAnsi="Times New Roman"/>
            <w:noProof/>
            <w:szCs w:val="24"/>
          </w:rPr>
          <w:t>https://doi.org/10.1016/j.synbio.2020.04.001</w:t>
        </w:r>
      </w:hyperlink>
    </w:p>
    <w:p w14:paraId="5F5937F3" w14:textId="087A8BE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Dubrovina, A., Aleynova, O., Kalachev, A., Suprun, A., Ogneva, Z., &amp; Kiselev, K. (2019). Induction of Transgene Suppression in Plants via External Application of Synthetic dsRNA. </w:t>
      </w:r>
      <w:r w:rsidRPr="00310E7E">
        <w:rPr>
          <w:rFonts w:ascii="Times New Roman" w:hAnsi="Times New Roman"/>
          <w:i/>
          <w:iCs/>
          <w:noProof/>
          <w:szCs w:val="24"/>
        </w:rPr>
        <w:t>International Journal of Molecular Sciences</w:t>
      </w:r>
      <w:r w:rsidRPr="00310E7E">
        <w:rPr>
          <w:rFonts w:ascii="Times New Roman" w:hAnsi="Times New Roman"/>
          <w:noProof/>
          <w:szCs w:val="24"/>
        </w:rPr>
        <w:t xml:space="preserve">, </w:t>
      </w:r>
      <w:r w:rsidRPr="00310E7E">
        <w:rPr>
          <w:rFonts w:ascii="Times New Roman" w:hAnsi="Times New Roman"/>
          <w:i/>
          <w:iCs/>
          <w:noProof/>
          <w:szCs w:val="24"/>
        </w:rPr>
        <w:t>20</w:t>
      </w:r>
      <w:r w:rsidRPr="00310E7E">
        <w:rPr>
          <w:rFonts w:ascii="Times New Roman" w:hAnsi="Times New Roman"/>
          <w:noProof/>
          <w:szCs w:val="24"/>
        </w:rPr>
        <w:t xml:space="preserve">(7), 1585. </w:t>
      </w:r>
      <w:hyperlink r:id="rId194" w:history="1">
        <w:r w:rsidRPr="00F47ECA">
          <w:rPr>
            <w:rStyle w:val="Hyperlink"/>
            <w:rFonts w:ascii="Times New Roman" w:hAnsi="Times New Roman"/>
            <w:noProof/>
            <w:szCs w:val="24"/>
          </w:rPr>
          <w:t>https://doi.org/10.3390/ijms20071585</w:t>
        </w:r>
      </w:hyperlink>
    </w:p>
    <w:p w14:paraId="7CC44748" w14:textId="5BF5BD0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Duempelmann, L., Skribbe, M., &amp; Bühler, M. (2020). Small RNAs in the Transgenerational Inheritance of Epigenetic Information. </w:t>
      </w:r>
      <w:r w:rsidRPr="00310E7E">
        <w:rPr>
          <w:rFonts w:ascii="Times New Roman" w:hAnsi="Times New Roman"/>
          <w:i/>
          <w:iCs/>
          <w:noProof/>
          <w:szCs w:val="24"/>
        </w:rPr>
        <w:t>Trends in Genetics</w:t>
      </w:r>
      <w:r w:rsidRPr="00310E7E">
        <w:rPr>
          <w:rFonts w:ascii="Times New Roman" w:hAnsi="Times New Roman"/>
          <w:noProof/>
          <w:szCs w:val="24"/>
        </w:rPr>
        <w:t xml:space="preserve">, </w:t>
      </w:r>
      <w:r w:rsidRPr="00310E7E">
        <w:rPr>
          <w:rFonts w:ascii="Times New Roman" w:hAnsi="Times New Roman"/>
          <w:i/>
          <w:iCs/>
          <w:noProof/>
          <w:szCs w:val="24"/>
        </w:rPr>
        <w:t>36</w:t>
      </w:r>
      <w:r w:rsidRPr="00310E7E">
        <w:rPr>
          <w:rFonts w:ascii="Times New Roman" w:hAnsi="Times New Roman"/>
          <w:noProof/>
          <w:szCs w:val="24"/>
        </w:rPr>
        <w:t xml:space="preserve">(3), 203–214. </w:t>
      </w:r>
      <w:hyperlink r:id="rId195" w:history="1">
        <w:r w:rsidRPr="00F47ECA">
          <w:rPr>
            <w:rStyle w:val="Hyperlink"/>
            <w:rFonts w:ascii="Times New Roman" w:hAnsi="Times New Roman"/>
            <w:noProof/>
            <w:szCs w:val="24"/>
          </w:rPr>
          <w:t>https://doi.org/10.1016/j.tig.2019.12.001</w:t>
        </w:r>
      </w:hyperlink>
    </w:p>
    <w:p w14:paraId="10EF857A" w14:textId="5F8ADE3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Duensing, N., Sprink, T., Parrott, W. A., Fedorova, M., Lema, M. A., Wolt, J. D., &amp; Bartsch, D. (2018). Novel Features and Considerations for ERA and Regulation of Crops Produced by Genome Editing. </w:t>
      </w:r>
      <w:r w:rsidRPr="00310E7E">
        <w:rPr>
          <w:rFonts w:ascii="Times New Roman" w:hAnsi="Times New Roman"/>
          <w:i/>
          <w:iCs/>
          <w:noProof/>
          <w:szCs w:val="24"/>
        </w:rPr>
        <w:t>Frontiers in Bioengineering and Biotechnology</w:t>
      </w:r>
      <w:r w:rsidRPr="00310E7E">
        <w:rPr>
          <w:rFonts w:ascii="Times New Roman" w:hAnsi="Times New Roman"/>
          <w:noProof/>
          <w:szCs w:val="24"/>
        </w:rPr>
        <w:t xml:space="preserve">, </w:t>
      </w:r>
      <w:r w:rsidRPr="00310E7E">
        <w:rPr>
          <w:rFonts w:ascii="Times New Roman" w:hAnsi="Times New Roman"/>
          <w:i/>
          <w:iCs/>
          <w:noProof/>
          <w:szCs w:val="24"/>
        </w:rPr>
        <w:t>6</w:t>
      </w:r>
      <w:r w:rsidRPr="00310E7E">
        <w:rPr>
          <w:rFonts w:ascii="Times New Roman" w:hAnsi="Times New Roman"/>
          <w:noProof/>
          <w:szCs w:val="24"/>
        </w:rPr>
        <w:t>.</w:t>
      </w:r>
      <w:hyperlink r:id="rId196" w:history="1">
        <w:r w:rsidRPr="00F47ECA">
          <w:rPr>
            <w:rStyle w:val="Hyperlink"/>
            <w:rFonts w:ascii="Times New Roman" w:hAnsi="Times New Roman"/>
            <w:noProof/>
            <w:szCs w:val="24"/>
          </w:rPr>
          <w:t xml:space="preserve"> https://doi.org/10.3389/fbioe.2018.00079</w:t>
        </w:r>
      </w:hyperlink>
    </w:p>
    <w:p w14:paraId="4FE05796" w14:textId="34545F7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Duprey, A., Chansavang, V., Frémion, F., Gonthier, C., Louis, Y., Lejeune, P., Springer, F., Desjardin, V., Rodrigue, A., &amp; Dorel, C. (2014). NiCo Buster: Engineering </w:t>
      </w:r>
      <w:r w:rsidRPr="00F47ECA">
        <w:rPr>
          <w:rFonts w:ascii="Times New Roman" w:hAnsi="Times New Roman"/>
          <w:i/>
          <w:iCs/>
          <w:noProof/>
          <w:szCs w:val="24"/>
        </w:rPr>
        <w:t xml:space="preserve">E. coli </w:t>
      </w:r>
      <w:r w:rsidRPr="00310E7E">
        <w:rPr>
          <w:rFonts w:ascii="Times New Roman" w:hAnsi="Times New Roman"/>
          <w:noProof/>
          <w:szCs w:val="24"/>
        </w:rPr>
        <w:t xml:space="preserve">for fast and efficient capture of cobalt and nickel. </w:t>
      </w:r>
      <w:r w:rsidRPr="00310E7E">
        <w:rPr>
          <w:rFonts w:ascii="Times New Roman" w:hAnsi="Times New Roman"/>
          <w:i/>
          <w:iCs/>
          <w:noProof/>
          <w:szCs w:val="24"/>
        </w:rPr>
        <w:t>Journal of Biological Engineering</w:t>
      </w:r>
      <w:r w:rsidRPr="00310E7E">
        <w:rPr>
          <w:rFonts w:ascii="Times New Roman" w:hAnsi="Times New Roman"/>
          <w:noProof/>
          <w:szCs w:val="24"/>
        </w:rPr>
        <w:t xml:space="preserve">, </w:t>
      </w:r>
      <w:r w:rsidRPr="00310E7E">
        <w:rPr>
          <w:rFonts w:ascii="Times New Roman" w:hAnsi="Times New Roman"/>
          <w:i/>
          <w:iCs/>
          <w:noProof/>
          <w:szCs w:val="24"/>
        </w:rPr>
        <w:t>8</w:t>
      </w:r>
      <w:r w:rsidRPr="00310E7E">
        <w:rPr>
          <w:rFonts w:ascii="Times New Roman" w:hAnsi="Times New Roman"/>
          <w:noProof/>
          <w:szCs w:val="24"/>
        </w:rPr>
        <w:t xml:space="preserve">(1), 19. </w:t>
      </w:r>
      <w:hyperlink r:id="rId197" w:history="1">
        <w:r w:rsidRPr="00F47ECA">
          <w:rPr>
            <w:rStyle w:val="Hyperlink"/>
            <w:rFonts w:ascii="Times New Roman" w:hAnsi="Times New Roman"/>
            <w:noProof/>
            <w:szCs w:val="24"/>
          </w:rPr>
          <w:t>https://doi.org/10.1186/1754-1611-8-19</w:t>
        </w:r>
      </w:hyperlink>
    </w:p>
    <w:p w14:paraId="6C8CED28" w14:textId="4B7A050B" w:rsidR="00310E7E" w:rsidRPr="009C2DA0"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en-CA"/>
        </w:rPr>
      </w:pPr>
      <w:r w:rsidRPr="00310E7E">
        <w:rPr>
          <w:rFonts w:ascii="Times New Roman" w:hAnsi="Times New Roman"/>
          <w:noProof/>
          <w:szCs w:val="24"/>
        </w:rPr>
        <w:t xml:space="preserve">Dürre, P. (2017). Gas fermentation - a biotechnological solution for today’s challenges. </w:t>
      </w:r>
      <w:r w:rsidRPr="009C2DA0">
        <w:rPr>
          <w:rFonts w:ascii="Times New Roman" w:hAnsi="Times New Roman"/>
          <w:i/>
          <w:iCs/>
          <w:noProof/>
          <w:szCs w:val="24"/>
          <w:lang w:val="en-CA"/>
        </w:rPr>
        <w:t>Microbial Biotechnology</w:t>
      </w:r>
      <w:r w:rsidRPr="009C2DA0">
        <w:rPr>
          <w:rFonts w:ascii="Times New Roman" w:hAnsi="Times New Roman"/>
          <w:noProof/>
          <w:szCs w:val="24"/>
          <w:lang w:val="en-CA"/>
        </w:rPr>
        <w:t xml:space="preserve">, </w:t>
      </w:r>
      <w:r w:rsidRPr="009C2DA0">
        <w:rPr>
          <w:rFonts w:ascii="Times New Roman" w:hAnsi="Times New Roman"/>
          <w:i/>
          <w:iCs/>
          <w:noProof/>
          <w:szCs w:val="24"/>
          <w:lang w:val="en-CA"/>
        </w:rPr>
        <w:t>10</w:t>
      </w:r>
      <w:r w:rsidRPr="009C2DA0">
        <w:rPr>
          <w:rFonts w:ascii="Times New Roman" w:hAnsi="Times New Roman"/>
          <w:noProof/>
          <w:szCs w:val="24"/>
          <w:lang w:val="en-CA"/>
        </w:rPr>
        <w:t>(1), 14–16.</w:t>
      </w:r>
      <w:hyperlink r:id="rId198" w:history="1">
        <w:r w:rsidRPr="009C2DA0">
          <w:rPr>
            <w:rStyle w:val="Hyperlink"/>
            <w:rFonts w:ascii="Times New Roman" w:hAnsi="Times New Roman"/>
            <w:noProof/>
            <w:szCs w:val="24"/>
            <w:lang w:val="en-CA"/>
          </w:rPr>
          <w:t xml:space="preserve"> https://doi.org/10.1111/1751-7915.12431</w:t>
        </w:r>
      </w:hyperlink>
    </w:p>
    <w:p w14:paraId="7573054C" w14:textId="3E822FD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9C2DA0">
        <w:rPr>
          <w:rFonts w:ascii="Times New Roman" w:hAnsi="Times New Roman"/>
          <w:noProof/>
          <w:szCs w:val="24"/>
          <w:lang w:val="en-CA"/>
        </w:rPr>
        <w:t xml:space="preserve">Dusséaux, S., Wajn, W. T., Liu, Y., Ignea, C., &amp; Kampranis, S. C. (2020). </w:t>
      </w:r>
      <w:r w:rsidRPr="00310E7E">
        <w:rPr>
          <w:rFonts w:ascii="Times New Roman" w:hAnsi="Times New Roman"/>
          <w:noProof/>
          <w:szCs w:val="24"/>
        </w:rPr>
        <w:t xml:space="preserve">Transforming yeast peroxisomes into microfactories for the efficient production of high-value isoprenoids. </w:t>
      </w:r>
      <w:r w:rsidRPr="00310E7E">
        <w:rPr>
          <w:rFonts w:ascii="Times New Roman" w:hAnsi="Times New Roman"/>
          <w:i/>
          <w:iCs/>
          <w:noProof/>
          <w:szCs w:val="24"/>
        </w:rPr>
        <w:t>Proceedings of the National Academy of Sciences of the United States of America</w:t>
      </w:r>
      <w:r w:rsidRPr="00310E7E">
        <w:rPr>
          <w:rFonts w:ascii="Times New Roman" w:hAnsi="Times New Roman"/>
          <w:noProof/>
          <w:szCs w:val="24"/>
        </w:rPr>
        <w:t xml:space="preserve">, </w:t>
      </w:r>
      <w:r w:rsidRPr="00310E7E">
        <w:rPr>
          <w:rFonts w:ascii="Times New Roman" w:hAnsi="Times New Roman"/>
          <w:i/>
          <w:iCs/>
          <w:noProof/>
          <w:szCs w:val="24"/>
        </w:rPr>
        <w:t>117</w:t>
      </w:r>
      <w:r w:rsidRPr="00310E7E">
        <w:rPr>
          <w:rFonts w:ascii="Times New Roman" w:hAnsi="Times New Roman"/>
          <w:noProof/>
          <w:szCs w:val="24"/>
        </w:rPr>
        <w:t xml:space="preserve">(50), 31789–31799. </w:t>
      </w:r>
      <w:hyperlink r:id="rId199" w:history="1">
        <w:r w:rsidRPr="00F47ECA">
          <w:rPr>
            <w:rStyle w:val="Hyperlink"/>
            <w:rFonts w:ascii="Times New Roman" w:hAnsi="Times New Roman"/>
            <w:noProof/>
            <w:szCs w:val="24"/>
          </w:rPr>
          <w:t>https://doi.org/10.1073/pnas.2013968117</w:t>
        </w:r>
      </w:hyperlink>
    </w:p>
    <w:p w14:paraId="589F38DB" w14:textId="42052DB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Dyson, L., Reed, J., Geller, J., &amp; Hande, S. (2019). </w:t>
      </w:r>
      <w:r w:rsidRPr="00310E7E">
        <w:rPr>
          <w:rFonts w:ascii="Times New Roman" w:hAnsi="Times New Roman"/>
          <w:i/>
          <w:iCs/>
          <w:noProof/>
          <w:szCs w:val="24"/>
        </w:rPr>
        <w:t>Microbial conversion of CO2 and other C1 substrates to vegan nutrients, fertilizers, biostimulants, and systems for accelerated soil carbon sequestration, WO2018144965A1</w:t>
      </w:r>
      <w:r w:rsidRPr="00310E7E">
        <w:rPr>
          <w:rFonts w:ascii="Times New Roman" w:hAnsi="Times New Roman"/>
          <w:noProof/>
          <w:szCs w:val="24"/>
        </w:rPr>
        <w:t xml:space="preserve"> (Vol. 1, Issue 12).</w:t>
      </w:r>
      <w:hyperlink r:id="rId200" w:history="1">
        <w:r w:rsidRPr="00F47ECA">
          <w:rPr>
            <w:rStyle w:val="Hyperlink"/>
            <w:rFonts w:ascii="Times New Roman" w:hAnsi="Times New Roman"/>
            <w:noProof/>
            <w:szCs w:val="24"/>
          </w:rPr>
          <w:t xml:space="preserve"> https://patents.google.com/patent/WO2018144965A1/en</w:t>
        </w:r>
      </w:hyperlink>
    </w:p>
    <w:p w14:paraId="6F551A53" w14:textId="1FA7FAC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East-Seletsky, A., O’Connell, M. R., Knight, S. C., Burstein, D., Cate, J. H. D., Tjian, R., &amp; Doudna, J. A. (2016). Two distinct RNase activities of CRISPR-C2c2 enable guide-RNA processing and RNA detection.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538</w:t>
      </w:r>
      <w:r w:rsidRPr="00310E7E">
        <w:rPr>
          <w:rFonts w:ascii="Times New Roman" w:hAnsi="Times New Roman"/>
          <w:noProof/>
          <w:szCs w:val="24"/>
        </w:rPr>
        <w:t xml:space="preserve">(7624), 270–273. </w:t>
      </w:r>
      <w:hyperlink r:id="rId201" w:history="1">
        <w:r w:rsidRPr="00093C64">
          <w:rPr>
            <w:rStyle w:val="Hyperlink"/>
            <w:rFonts w:ascii="Times New Roman" w:hAnsi="Times New Roman"/>
            <w:noProof/>
            <w:szCs w:val="24"/>
          </w:rPr>
          <w:t>https://doi.org/10.1038/nature19802</w:t>
        </w:r>
      </w:hyperlink>
    </w:p>
    <w:p w14:paraId="2EDFCA27" w14:textId="019941B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Ebersbach, H. E., Huber, T., Jascur, J., Richardson, C., Singh, R., Song, H., Wu, Q., &amp; Zhang, J. (2020). </w:t>
      </w:r>
      <w:r w:rsidRPr="00310E7E">
        <w:rPr>
          <w:rFonts w:ascii="Times New Roman" w:hAnsi="Times New Roman"/>
          <w:i/>
          <w:iCs/>
          <w:noProof/>
          <w:szCs w:val="24"/>
        </w:rPr>
        <w:t>Treatment of cancer using a CD33 chimeric antigen receptor, US10851166B2</w:t>
      </w:r>
      <w:r w:rsidRPr="00310E7E">
        <w:rPr>
          <w:rFonts w:ascii="Times New Roman" w:hAnsi="Times New Roman"/>
          <w:noProof/>
          <w:szCs w:val="24"/>
        </w:rPr>
        <w:t xml:space="preserve"> (Vol. 2, Issue 19, pp. 1–29).</w:t>
      </w:r>
      <w:hyperlink r:id="rId202" w:history="1">
        <w:r w:rsidRPr="00093C64">
          <w:rPr>
            <w:rStyle w:val="Hyperlink"/>
            <w:rFonts w:ascii="Times New Roman" w:hAnsi="Times New Roman"/>
            <w:noProof/>
            <w:szCs w:val="24"/>
          </w:rPr>
          <w:t xml:space="preserve"> https://patentimages.storage.googleapis.com/30/f4/62/e9b75605352fb0/US10679987.pdf</w:t>
        </w:r>
      </w:hyperlink>
    </w:p>
    <w:p w14:paraId="5A5B1880" w14:textId="465DABB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es-ES"/>
        </w:rPr>
        <w:t xml:space="preserve">Ebrahimkhani, M. R., &amp; Ebisuya, M. (2019). </w:t>
      </w:r>
      <w:r w:rsidRPr="00310E7E">
        <w:rPr>
          <w:rFonts w:ascii="Times New Roman" w:hAnsi="Times New Roman"/>
          <w:noProof/>
          <w:szCs w:val="24"/>
        </w:rPr>
        <w:t xml:space="preserve">Synthetic developmental biology: build and control multicellular systems. In </w:t>
      </w:r>
      <w:r w:rsidRPr="00310E7E">
        <w:rPr>
          <w:rFonts w:ascii="Times New Roman" w:hAnsi="Times New Roman"/>
          <w:i/>
          <w:iCs/>
          <w:noProof/>
          <w:szCs w:val="24"/>
        </w:rPr>
        <w:t>Current Opinion in Chemical Biology</w:t>
      </w:r>
      <w:r w:rsidRPr="00310E7E">
        <w:rPr>
          <w:rFonts w:ascii="Times New Roman" w:hAnsi="Times New Roman"/>
          <w:noProof/>
          <w:szCs w:val="24"/>
        </w:rPr>
        <w:t xml:space="preserve"> (Vol. 52, pp. 9–15). Elsevier Ltd. </w:t>
      </w:r>
      <w:hyperlink r:id="rId203" w:history="1">
        <w:r w:rsidRPr="00093C64">
          <w:rPr>
            <w:rStyle w:val="Hyperlink"/>
            <w:rFonts w:ascii="Times New Roman" w:hAnsi="Times New Roman"/>
            <w:noProof/>
            <w:szCs w:val="24"/>
          </w:rPr>
          <w:t>https://doi.org/10.1016/j.cbpa.2019.04.006</w:t>
        </w:r>
      </w:hyperlink>
    </w:p>
    <w:p w14:paraId="73C7DAA3" w14:textId="0C613D9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Eckerstorfer, M. F., Dolezel, M., Heissenberger, A., Miklau, M., Reichenbecher, W., Steinbrecher, R. A., &amp; Waßmann, F. (2019). An EU Perspective on Biosafety Considerations for Plants Developed by Genome Editing and Other New Genetic Modification Techniques (nGMs). </w:t>
      </w:r>
      <w:r w:rsidRPr="00310E7E">
        <w:rPr>
          <w:rFonts w:ascii="Times New Roman" w:hAnsi="Times New Roman"/>
          <w:i/>
          <w:iCs/>
          <w:noProof/>
          <w:szCs w:val="24"/>
        </w:rPr>
        <w:t>Frontiers in Bioengineering and Biotechnology</w:t>
      </w:r>
      <w:r w:rsidRPr="00310E7E">
        <w:rPr>
          <w:rFonts w:ascii="Times New Roman" w:hAnsi="Times New Roman"/>
          <w:noProof/>
          <w:szCs w:val="24"/>
        </w:rPr>
        <w:t xml:space="preserve">, </w:t>
      </w:r>
      <w:r w:rsidRPr="00310E7E">
        <w:rPr>
          <w:rFonts w:ascii="Times New Roman" w:hAnsi="Times New Roman"/>
          <w:i/>
          <w:iCs/>
          <w:noProof/>
          <w:szCs w:val="24"/>
        </w:rPr>
        <w:t>7</w:t>
      </w:r>
      <w:r w:rsidRPr="00310E7E">
        <w:rPr>
          <w:rFonts w:ascii="Times New Roman" w:hAnsi="Times New Roman"/>
          <w:noProof/>
          <w:szCs w:val="24"/>
        </w:rPr>
        <w:t xml:space="preserve">. </w:t>
      </w:r>
      <w:hyperlink r:id="rId204" w:history="1">
        <w:r w:rsidRPr="00093C64">
          <w:rPr>
            <w:rStyle w:val="Hyperlink"/>
            <w:rFonts w:ascii="Times New Roman" w:hAnsi="Times New Roman"/>
            <w:noProof/>
            <w:szCs w:val="24"/>
          </w:rPr>
          <w:t>https://doi.org/10.3389/fbioe.2019.00031</w:t>
        </w:r>
      </w:hyperlink>
    </w:p>
    <w:p w14:paraId="1D1EFBE2" w14:textId="560BE4F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EcoNexus. (2011). </w:t>
      </w:r>
      <w:r w:rsidRPr="00310E7E">
        <w:rPr>
          <w:rFonts w:ascii="Times New Roman" w:hAnsi="Times New Roman"/>
          <w:i/>
          <w:iCs/>
          <w:noProof/>
          <w:szCs w:val="24"/>
        </w:rPr>
        <w:t>Synthetic Biology: Submission to the CBD</w:t>
      </w:r>
      <w:r w:rsidRPr="00310E7E">
        <w:rPr>
          <w:rFonts w:ascii="Times New Roman" w:hAnsi="Times New Roman"/>
          <w:noProof/>
          <w:szCs w:val="24"/>
        </w:rPr>
        <w:t xml:space="preserve">. </w:t>
      </w:r>
      <w:hyperlink r:id="rId205" w:history="1">
        <w:r w:rsidRPr="00093C64">
          <w:rPr>
            <w:rStyle w:val="Hyperlink"/>
            <w:rFonts w:ascii="Times New Roman" w:hAnsi="Times New Roman"/>
            <w:noProof/>
            <w:szCs w:val="24"/>
          </w:rPr>
          <w:t>http://www.cbd.int/doc/emergingissues/econexus-synthetic-biology-2011-013-en.pdf</w:t>
        </w:r>
      </w:hyperlink>
    </w:p>
    <w:p w14:paraId="48B1CC57" w14:textId="3E83D62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Edgington, M. P., &amp; Alphey, L. S. (2018). Population dynamics of engineered underdominance and killer-rescue gene drives in the control of disease vectors. </w:t>
      </w:r>
      <w:r w:rsidRPr="00310E7E">
        <w:rPr>
          <w:rFonts w:ascii="Times New Roman" w:hAnsi="Times New Roman"/>
          <w:i/>
          <w:iCs/>
          <w:noProof/>
          <w:szCs w:val="24"/>
        </w:rPr>
        <w:t>PLOS Computational Biology</w:t>
      </w:r>
      <w:r w:rsidRPr="00310E7E">
        <w:rPr>
          <w:rFonts w:ascii="Times New Roman" w:hAnsi="Times New Roman"/>
          <w:noProof/>
          <w:szCs w:val="24"/>
        </w:rPr>
        <w:t xml:space="preserve">, </w:t>
      </w:r>
      <w:r w:rsidRPr="00310E7E">
        <w:rPr>
          <w:rFonts w:ascii="Times New Roman" w:hAnsi="Times New Roman"/>
          <w:i/>
          <w:iCs/>
          <w:noProof/>
          <w:szCs w:val="24"/>
        </w:rPr>
        <w:t>14</w:t>
      </w:r>
      <w:r w:rsidRPr="00310E7E">
        <w:rPr>
          <w:rFonts w:ascii="Times New Roman" w:hAnsi="Times New Roman"/>
          <w:noProof/>
          <w:szCs w:val="24"/>
        </w:rPr>
        <w:t>(3), e1006059.</w:t>
      </w:r>
      <w:hyperlink r:id="rId206" w:history="1">
        <w:r w:rsidRPr="00C92326">
          <w:rPr>
            <w:rStyle w:val="Hyperlink"/>
            <w:rFonts w:ascii="Times New Roman" w:hAnsi="Times New Roman"/>
            <w:noProof/>
            <w:szCs w:val="24"/>
          </w:rPr>
          <w:t xml:space="preserve"> https://doi.org/10.1371/journal.pcbi.1006059</w:t>
        </w:r>
      </w:hyperlink>
    </w:p>
    <w:p w14:paraId="67F90B22" w14:textId="219E9BE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EFSA. (2014). International scientific workshop ‘Risk assessment considerations for RNAi‐based GM plants.’ </w:t>
      </w:r>
      <w:r w:rsidRPr="00310E7E">
        <w:rPr>
          <w:rFonts w:ascii="Times New Roman" w:hAnsi="Times New Roman"/>
          <w:i/>
          <w:iCs/>
          <w:noProof/>
          <w:szCs w:val="24"/>
        </w:rPr>
        <w:t>EFSA Supporting Publications</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(12). </w:t>
      </w:r>
      <w:hyperlink r:id="rId207" w:history="1">
        <w:r w:rsidRPr="00C92326">
          <w:rPr>
            <w:rStyle w:val="Hyperlink"/>
            <w:rFonts w:ascii="Times New Roman" w:hAnsi="Times New Roman"/>
            <w:noProof/>
            <w:szCs w:val="24"/>
          </w:rPr>
          <w:t>https://doi.org/10.2903/sp.efsa.2014.EN-705</w:t>
        </w:r>
      </w:hyperlink>
    </w:p>
    <w:p w14:paraId="582CF5E9" w14:textId="3392E0A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EFSA GMO Panel. (2020). </w:t>
      </w:r>
      <w:r w:rsidRPr="00310E7E">
        <w:rPr>
          <w:rFonts w:ascii="Times New Roman" w:hAnsi="Times New Roman"/>
          <w:i/>
          <w:iCs/>
          <w:noProof/>
          <w:szCs w:val="24"/>
        </w:rPr>
        <w:t>Evaluation of existing EFSA guidelines for their adequacy for the molecular characterisation and environmental risk assessment of genetically modified insects with synthetically engineered gene drives</w:t>
      </w:r>
      <w:r w:rsidRPr="00310E7E">
        <w:rPr>
          <w:rFonts w:ascii="Times New Roman" w:hAnsi="Times New Roman"/>
          <w:noProof/>
          <w:szCs w:val="24"/>
        </w:rPr>
        <w:t xml:space="preserve">. </w:t>
      </w:r>
      <w:hyperlink r:id="rId208" w:history="1">
        <w:r w:rsidRPr="00C92326">
          <w:rPr>
            <w:rStyle w:val="Hyperlink"/>
            <w:rFonts w:ascii="Times New Roman" w:hAnsi="Times New Roman"/>
            <w:noProof/>
            <w:szCs w:val="24"/>
          </w:rPr>
          <w:t>http://www.efsa.europa.eu/sites/default/files/consultation/consultation/gene-drive-document-for-consultation.pdf</w:t>
        </w:r>
      </w:hyperlink>
    </w:p>
    <w:p w14:paraId="4FE2CE53" w14:textId="4684585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El Karoui, M., Hoyos-Flight, M., &amp; Fletcher, L. (2019). Future Trends in Synthetic Biology—A Report. </w:t>
      </w:r>
      <w:r w:rsidRPr="00310E7E">
        <w:rPr>
          <w:rFonts w:ascii="Times New Roman" w:hAnsi="Times New Roman"/>
          <w:i/>
          <w:iCs/>
          <w:noProof/>
          <w:szCs w:val="24"/>
        </w:rPr>
        <w:t>Frontiers in Bioengineering and Biotechnology</w:t>
      </w:r>
      <w:r w:rsidRPr="00310E7E">
        <w:rPr>
          <w:rFonts w:ascii="Times New Roman" w:hAnsi="Times New Roman"/>
          <w:noProof/>
          <w:szCs w:val="24"/>
        </w:rPr>
        <w:t xml:space="preserve">, </w:t>
      </w:r>
      <w:r w:rsidRPr="00310E7E">
        <w:rPr>
          <w:rFonts w:ascii="Times New Roman" w:hAnsi="Times New Roman"/>
          <w:i/>
          <w:iCs/>
          <w:noProof/>
          <w:szCs w:val="24"/>
        </w:rPr>
        <w:t>7</w:t>
      </w:r>
      <w:r w:rsidRPr="00310E7E">
        <w:rPr>
          <w:rFonts w:ascii="Times New Roman" w:hAnsi="Times New Roman"/>
          <w:noProof/>
          <w:szCs w:val="24"/>
        </w:rPr>
        <w:t xml:space="preserve">. </w:t>
      </w:r>
      <w:hyperlink r:id="rId209" w:history="1">
        <w:r w:rsidRPr="00C92326">
          <w:rPr>
            <w:rStyle w:val="Hyperlink"/>
            <w:rFonts w:ascii="Times New Roman" w:hAnsi="Times New Roman"/>
            <w:noProof/>
            <w:szCs w:val="24"/>
          </w:rPr>
          <w:t>https://doi.org/10.3389/fbioe.2019.00175</w:t>
        </w:r>
      </w:hyperlink>
    </w:p>
    <w:p w14:paraId="4B122875" w14:textId="2612BA9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Ellens, K. W., Levac, D., Pearson, C., Savoie, A., Strand, N., Louter, J., &amp; Tibelius, C. (2019). Canadian regulatory aspects of gene editing technologies. </w:t>
      </w:r>
      <w:r w:rsidRPr="00310E7E">
        <w:rPr>
          <w:rFonts w:ascii="Times New Roman" w:hAnsi="Times New Roman"/>
          <w:i/>
          <w:iCs/>
          <w:noProof/>
          <w:szCs w:val="24"/>
        </w:rPr>
        <w:t>Transgenic Research</w:t>
      </w:r>
      <w:r w:rsidRPr="00310E7E">
        <w:rPr>
          <w:rFonts w:ascii="Times New Roman" w:hAnsi="Times New Roman"/>
          <w:noProof/>
          <w:szCs w:val="24"/>
        </w:rPr>
        <w:t xml:space="preserve">, </w:t>
      </w:r>
      <w:r w:rsidRPr="00310E7E">
        <w:rPr>
          <w:rFonts w:ascii="Times New Roman" w:hAnsi="Times New Roman"/>
          <w:i/>
          <w:iCs/>
          <w:noProof/>
          <w:szCs w:val="24"/>
        </w:rPr>
        <w:t>28</w:t>
      </w:r>
      <w:r w:rsidRPr="00310E7E">
        <w:rPr>
          <w:rFonts w:ascii="Times New Roman" w:hAnsi="Times New Roman"/>
          <w:noProof/>
          <w:szCs w:val="24"/>
        </w:rPr>
        <w:t xml:space="preserve">(Suppl 2), 165–168. </w:t>
      </w:r>
      <w:hyperlink r:id="rId210" w:history="1">
        <w:r w:rsidRPr="00C92326">
          <w:rPr>
            <w:rStyle w:val="Hyperlink"/>
            <w:rFonts w:ascii="Times New Roman" w:hAnsi="Times New Roman"/>
            <w:noProof/>
            <w:szCs w:val="24"/>
          </w:rPr>
          <w:t>https://doi.org/10.1007/s11248-019-00153-2</w:t>
        </w:r>
      </w:hyperlink>
    </w:p>
    <w:p w14:paraId="12A6F656" w14:textId="77B90F0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9C2DA0">
        <w:rPr>
          <w:rFonts w:ascii="Times New Roman" w:hAnsi="Times New Roman"/>
          <w:noProof/>
          <w:szCs w:val="24"/>
          <w:lang w:val="fr-FR"/>
        </w:rPr>
        <w:t xml:space="preserve">Ellison, E. E., Nagalakshmi, U., Gamo, M. E., jui Huang, P., Dinesh-Kumar, S., &amp; Voytas, D. F. (2020). </w:t>
      </w:r>
      <w:r w:rsidRPr="00310E7E">
        <w:rPr>
          <w:rFonts w:ascii="Times New Roman" w:hAnsi="Times New Roman"/>
          <w:noProof/>
          <w:szCs w:val="24"/>
        </w:rPr>
        <w:t xml:space="preserve">Multiplexed heritable gene editing using RNA viruses and mobile single guide RNAs. </w:t>
      </w:r>
      <w:r w:rsidRPr="00310E7E">
        <w:rPr>
          <w:rFonts w:ascii="Times New Roman" w:hAnsi="Times New Roman"/>
          <w:i/>
          <w:iCs/>
          <w:noProof/>
          <w:szCs w:val="24"/>
        </w:rPr>
        <w:t>Nature Plants</w:t>
      </w:r>
      <w:r w:rsidRPr="00310E7E">
        <w:rPr>
          <w:rFonts w:ascii="Times New Roman" w:hAnsi="Times New Roman"/>
          <w:noProof/>
          <w:szCs w:val="24"/>
        </w:rPr>
        <w:t xml:space="preserve">, </w:t>
      </w:r>
      <w:r w:rsidRPr="00310E7E">
        <w:rPr>
          <w:rFonts w:ascii="Times New Roman" w:hAnsi="Times New Roman"/>
          <w:i/>
          <w:iCs/>
          <w:noProof/>
          <w:szCs w:val="24"/>
        </w:rPr>
        <w:t>6</w:t>
      </w:r>
      <w:r w:rsidRPr="00310E7E">
        <w:rPr>
          <w:rFonts w:ascii="Times New Roman" w:hAnsi="Times New Roman"/>
          <w:noProof/>
          <w:szCs w:val="24"/>
        </w:rPr>
        <w:t xml:space="preserve">(6), 620–624. </w:t>
      </w:r>
      <w:hyperlink r:id="rId211" w:history="1">
        <w:r w:rsidRPr="00C92326">
          <w:rPr>
            <w:rStyle w:val="Hyperlink"/>
            <w:rFonts w:ascii="Times New Roman" w:hAnsi="Times New Roman"/>
            <w:noProof/>
            <w:szCs w:val="24"/>
          </w:rPr>
          <w:t>https://doi.org/10.1038/s41477-020-0670-y</w:t>
        </w:r>
      </w:hyperlink>
    </w:p>
    <w:p w14:paraId="2A44EEF3" w14:textId="6F165DB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Elowitz, M. B., &amp; Leibler, S. (2000). A synthetic oscillatory network of transcriptional regulators.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403</w:t>
      </w:r>
      <w:r w:rsidRPr="00310E7E">
        <w:rPr>
          <w:rFonts w:ascii="Times New Roman" w:hAnsi="Times New Roman"/>
          <w:noProof/>
          <w:szCs w:val="24"/>
        </w:rPr>
        <w:t xml:space="preserve">(6767), 335–338. </w:t>
      </w:r>
      <w:hyperlink r:id="rId212" w:history="1">
        <w:r w:rsidRPr="00C92326">
          <w:rPr>
            <w:rStyle w:val="Hyperlink"/>
            <w:rFonts w:ascii="Times New Roman" w:hAnsi="Times New Roman"/>
            <w:noProof/>
            <w:szCs w:val="24"/>
          </w:rPr>
          <w:t>https://doi.org/10.1038/35002125</w:t>
        </w:r>
      </w:hyperlink>
    </w:p>
    <w:p w14:paraId="3710511A" w14:textId="50F48A15" w:rsidR="00C92326" w:rsidRDefault="00C92326" w:rsidP="00310E7E">
      <w:pPr>
        <w:widowControl w:val="0"/>
        <w:autoSpaceDE w:val="0"/>
        <w:autoSpaceDN w:val="0"/>
        <w:adjustRightInd w:val="0"/>
        <w:spacing w:after="140" w:line="240" w:lineRule="auto"/>
        <w:ind w:left="480" w:hanging="480"/>
        <w:rPr>
          <w:rFonts w:ascii="Times New Roman" w:hAnsi="Times New Roman"/>
          <w:noProof/>
          <w:szCs w:val="24"/>
        </w:rPr>
      </w:pPr>
      <w:r w:rsidRPr="00C92326">
        <w:rPr>
          <w:rFonts w:ascii="Times New Roman" w:hAnsi="Times New Roman"/>
          <w:noProof/>
          <w:szCs w:val="24"/>
        </w:rPr>
        <w:t xml:space="preserve">Emons, H., Broothaerts, W., Bonfini, L., Corbisier P., Gatto F., Jacchia S., &amp; Al., E. (2018). Challenges for the detection of genetically modified food or feed originating from genome editing. Publications Office of the European Union. </w:t>
      </w:r>
      <w:hyperlink r:id="rId213" w:history="1">
        <w:r w:rsidRPr="00C92326">
          <w:rPr>
            <w:rStyle w:val="Hyperlink"/>
            <w:rFonts w:ascii="Times New Roman" w:hAnsi="Times New Roman"/>
            <w:noProof/>
            <w:szCs w:val="24"/>
          </w:rPr>
          <w:t>https://doi.org/10.2760/732526</w:t>
        </w:r>
      </w:hyperlink>
    </w:p>
    <w:p w14:paraId="70BEAFC2" w14:textId="7A418A2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ENCH. (2010). </w:t>
      </w:r>
      <w:r w:rsidRPr="00310E7E">
        <w:rPr>
          <w:rFonts w:ascii="Times New Roman" w:hAnsi="Times New Roman"/>
          <w:i/>
          <w:iCs/>
          <w:noProof/>
          <w:szCs w:val="24"/>
        </w:rPr>
        <w:t>Synthetic biology-Ethical considerations. Report of the Federal Ethics Committee on Non-Human Biotechnology</w:t>
      </w:r>
      <w:r w:rsidRPr="00310E7E">
        <w:rPr>
          <w:rFonts w:ascii="Times New Roman" w:hAnsi="Times New Roman"/>
          <w:noProof/>
          <w:szCs w:val="24"/>
        </w:rPr>
        <w:t xml:space="preserve">. </w:t>
      </w:r>
      <w:hyperlink r:id="rId214" w:history="1">
        <w:r w:rsidRPr="00C92326">
          <w:rPr>
            <w:rStyle w:val="Hyperlink"/>
            <w:rFonts w:ascii="Times New Roman" w:hAnsi="Times New Roman"/>
            <w:noProof/>
            <w:szCs w:val="24"/>
          </w:rPr>
          <w:t>https://www.ekah.admin.ch/inhalte/ekah-dateien/dokumentation/publikationen/e-Synthetische_Bio_Broschuere.pdf</w:t>
        </w:r>
      </w:hyperlink>
    </w:p>
    <w:p w14:paraId="5E69A394" w14:textId="19ED377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Endy, D. (2005). Foundations for engineering biology.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438</w:t>
      </w:r>
      <w:r w:rsidRPr="00310E7E">
        <w:rPr>
          <w:rFonts w:ascii="Times New Roman" w:hAnsi="Times New Roman"/>
          <w:noProof/>
          <w:szCs w:val="24"/>
        </w:rPr>
        <w:t xml:space="preserve">(7067), 449–453. </w:t>
      </w:r>
      <w:hyperlink r:id="rId215" w:history="1">
        <w:r w:rsidRPr="00C92326">
          <w:rPr>
            <w:rStyle w:val="Hyperlink"/>
            <w:rFonts w:ascii="Times New Roman" w:hAnsi="Times New Roman"/>
            <w:noProof/>
            <w:szCs w:val="24"/>
          </w:rPr>
          <w:t>https://doi.org/10.1038/nature04342</w:t>
        </w:r>
      </w:hyperlink>
    </w:p>
    <w:p w14:paraId="15B55995" w14:textId="5F51EBE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English, J. G., Olsen, R. H. J., Lansu, K., Patel, M., White, K., Cockrell, A. S., Singh, D., Strachan, R. T., Wacker, D., &amp; Roth, B. L. (2019). VEGAS as a Platform for Facile Directed Evolution in Mammalian Cells. </w:t>
      </w:r>
      <w:r w:rsidRPr="00310E7E">
        <w:rPr>
          <w:rFonts w:ascii="Times New Roman" w:hAnsi="Times New Roman"/>
          <w:i/>
          <w:iCs/>
          <w:noProof/>
          <w:szCs w:val="24"/>
        </w:rPr>
        <w:t>Cell</w:t>
      </w:r>
      <w:r w:rsidRPr="00310E7E">
        <w:rPr>
          <w:rFonts w:ascii="Times New Roman" w:hAnsi="Times New Roman"/>
          <w:noProof/>
          <w:szCs w:val="24"/>
        </w:rPr>
        <w:t xml:space="preserve">, </w:t>
      </w:r>
      <w:r w:rsidRPr="00310E7E">
        <w:rPr>
          <w:rFonts w:ascii="Times New Roman" w:hAnsi="Times New Roman"/>
          <w:i/>
          <w:iCs/>
          <w:noProof/>
          <w:szCs w:val="24"/>
        </w:rPr>
        <w:t>178</w:t>
      </w:r>
      <w:r w:rsidRPr="00310E7E">
        <w:rPr>
          <w:rFonts w:ascii="Times New Roman" w:hAnsi="Times New Roman"/>
          <w:noProof/>
          <w:szCs w:val="24"/>
        </w:rPr>
        <w:t xml:space="preserve">(4), 1030. </w:t>
      </w:r>
      <w:hyperlink r:id="rId216" w:history="1">
        <w:r w:rsidRPr="00C92326">
          <w:rPr>
            <w:rStyle w:val="Hyperlink"/>
            <w:rFonts w:ascii="Times New Roman" w:hAnsi="Times New Roman"/>
            <w:noProof/>
            <w:szCs w:val="24"/>
          </w:rPr>
          <w:t>https://doi.org/10.1016/j.cell.2019.07.036</w:t>
        </w:r>
      </w:hyperlink>
    </w:p>
    <w:p w14:paraId="693A636C" w14:textId="1856596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Engqvist, M. K. M., &amp; Rabe, K. S. (2019). Applications of Protein Engineering and Directed Evolution in Plant Research. </w:t>
      </w:r>
      <w:r w:rsidRPr="00310E7E">
        <w:rPr>
          <w:rFonts w:ascii="Times New Roman" w:hAnsi="Times New Roman"/>
          <w:i/>
          <w:iCs/>
          <w:noProof/>
          <w:szCs w:val="24"/>
        </w:rPr>
        <w:t>Plant Physiology</w:t>
      </w:r>
      <w:r w:rsidRPr="00310E7E">
        <w:rPr>
          <w:rFonts w:ascii="Times New Roman" w:hAnsi="Times New Roman"/>
          <w:noProof/>
          <w:szCs w:val="24"/>
        </w:rPr>
        <w:t xml:space="preserve">, </w:t>
      </w:r>
      <w:r w:rsidRPr="00310E7E">
        <w:rPr>
          <w:rFonts w:ascii="Times New Roman" w:hAnsi="Times New Roman"/>
          <w:i/>
          <w:iCs/>
          <w:noProof/>
          <w:szCs w:val="24"/>
        </w:rPr>
        <w:t>179</w:t>
      </w:r>
      <w:r w:rsidRPr="00310E7E">
        <w:rPr>
          <w:rFonts w:ascii="Times New Roman" w:hAnsi="Times New Roman"/>
          <w:noProof/>
          <w:szCs w:val="24"/>
        </w:rPr>
        <w:t xml:space="preserve">(3), 907–917. </w:t>
      </w:r>
      <w:hyperlink r:id="rId217" w:history="1">
        <w:r w:rsidRPr="00EB648F">
          <w:rPr>
            <w:rStyle w:val="Hyperlink"/>
            <w:rFonts w:ascii="Times New Roman" w:hAnsi="Times New Roman"/>
            <w:noProof/>
            <w:szCs w:val="24"/>
          </w:rPr>
          <w:t>https://doi.org/10.1104/pp.18.01534</w:t>
        </w:r>
      </w:hyperlink>
    </w:p>
    <w:p w14:paraId="00050C37" w14:textId="6D77A59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Erickson, B., Singh, R., &amp; Winters, P. (2011). Synthetic Biology: Regulating Industry Uses of New Biotechnologies.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333</w:t>
      </w:r>
      <w:r w:rsidRPr="00310E7E">
        <w:rPr>
          <w:rFonts w:ascii="Times New Roman" w:hAnsi="Times New Roman"/>
          <w:noProof/>
          <w:szCs w:val="24"/>
        </w:rPr>
        <w:t xml:space="preserve">(6047), 1254–1256. </w:t>
      </w:r>
      <w:hyperlink r:id="rId218" w:history="1">
        <w:r w:rsidRPr="00EB648F">
          <w:rPr>
            <w:rStyle w:val="Hyperlink"/>
            <w:rFonts w:ascii="Times New Roman" w:hAnsi="Times New Roman"/>
            <w:noProof/>
            <w:szCs w:val="24"/>
          </w:rPr>
          <w:t>https://doi.org/10.1126/science.1211066</w:t>
        </w:r>
      </w:hyperlink>
    </w:p>
    <w:p w14:paraId="5CB2559F" w14:textId="59A8BB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Eriksson, S., Jonas, E., Rydhmer, L., &amp; Röcklinsberg, H. (2018). Invited review: Breeding and ethical perspectives on genetically modified and genome edited cattle. </w:t>
      </w:r>
      <w:r w:rsidRPr="00310E7E">
        <w:rPr>
          <w:rFonts w:ascii="Times New Roman" w:hAnsi="Times New Roman"/>
          <w:i/>
          <w:iCs/>
          <w:noProof/>
          <w:szCs w:val="24"/>
        </w:rPr>
        <w:t>Journal of Dairy Science</w:t>
      </w:r>
      <w:r w:rsidRPr="00310E7E">
        <w:rPr>
          <w:rFonts w:ascii="Times New Roman" w:hAnsi="Times New Roman"/>
          <w:noProof/>
          <w:szCs w:val="24"/>
        </w:rPr>
        <w:t xml:space="preserve">, </w:t>
      </w:r>
      <w:r w:rsidRPr="00310E7E">
        <w:rPr>
          <w:rFonts w:ascii="Times New Roman" w:hAnsi="Times New Roman"/>
          <w:i/>
          <w:iCs/>
          <w:noProof/>
          <w:szCs w:val="24"/>
        </w:rPr>
        <w:t>101</w:t>
      </w:r>
      <w:r w:rsidRPr="00310E7E">
        <w:rPr>
          <w:rFonts w:ascii="Times New Roman" w:hAnsi="Times New Roman"/>
          <w:noProof/>
          <w:szCs w:val="24"/>
        </w:rPr>
        <w:t xml:space="preserve">(1), 1–17. </w:t>
      </w:r>
      <w:hyperlink r:id="rId219" w:history="1">
        <w:r w:rsidRPr="00F27787">
          <w:rPr>
            <w:rStyle w:val="Hyperlink"/>
            <w:rFonts w:ascii="Times New Roman" w:hAnsi="Times New Roman"/>
            <w:noProof/>
            <w:szCs w:val="24"/>
          </w:rPr>
          <w:t>https://doi.org/10.3168/jds.2017-12962</w:t>
        </w:r>
      </w:hyperlink>
    </w:p>
    <w:p w14:paraId="408BA515" w14:textId="76B10E0F" w:rsidR="00310E7E" w:rsidRPr="00F8168D"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es-ES"/>
        </w:rPr>
      </w:pPr>
      <w:r w:rsidRPr="00310E7E">
        <w:rPr>
          <w:rFonts w:ascii="Times New Roman" w:hAnsi="Times New Roman"/>
          <w:noProof/>
          <w:szCs w:val="24"/>
        </w:rPr>
        <w:t xml:space="preserve">Erlich, Y., &amp; Zielinski, D. (2017). DNA Fountain enables a robust and efficient storage architecture. </w:t>
      </w:r>
      <w:r w:rsidRPr="00F8168D">
        <w:rPr>
          <w:rFonts w:ascii="Times New Roman" w:hAnsi="Times New Roman"/>
          <w:i/>
          <w:iCs/>
          <w:noProof/>
          <w:szCs w:val="24"/>
          <w:lang w:val="es-ES"/>
        </w:rPr>
        <w:t>Science</w:t>
      </w:r>
      <w:r w:rsidRPr="00F8168D">
        <w:rPr>
          <w:rFonts w:ascii="Times New Roman" w:hAnsi="Times New Roman"/>
          <w:noProof/>
          <w:szCs w:val="24"/>
          <w:lang w:val="es-ES"/>
        </w:rPr>
        <w:t xml:space="preserve">, </w:t>
      </w:r>
      <w:r w:rsidRPr="00F8168D">
        <w:rPr>
          <w:rFonts w:ascii="Times New Roman" w:hAnsi="Times New Roman"/>
          <w:i/>
          <w:iCs/>
          <w:noProof/>
          <w:szCs w:val="24"/>
          <w:lang w:val="es-ES"/>
        </w:rPr>
        <w:t>355</w:t>
      </w:r>
      <w:r w:rsidRPr="00F8168D">
        <w:rPr>
          <w:rFonts w:ascii="Times New Roman" w:hAnsi="Times New Roman"/>
          <w:noProof/>
          <w:szCs w:val="24"/>
          <w:lang w:val="es-ES"/>
        </w:rPr>
        <w:t xml:space="preserve">(6328), 950–954. </w:t>
      </w:r>
      <w:hyperlink r:id="rId220" w:history="1">
        <w:r w:rsidRPr="00F8168D">
          <w:rPr>
            <w:rStyle w:val="Hyperlink"/>
            <w:rFonts w:ascii="Times New Roman" w:hAnsi="Times New Roman"/>
            <w:noProof/>
            <w:szCs w:val="24"/>
            <w:lang w:val="es-ES"/>
          </w:rPr>
          <w:t>https://doi.org/10.1126/science.aaj2038</w:t>
        </w:r>
      </w:hyperlink>
    </w:p>
    <w:p w14:paraId="4848E2AE" w14:textId="5C15DB2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es-ES"/>
        </w:rPr>
        <w:t xml:space="preserve">Eseverri, Á., López‐Torrejón, G., Jiang, X., Burén, S., Rubio, L. M., &amp; Caro, E. (2020). </w:t>
      </w:r>
      <w:r w:rsidRPr="00310E7E">
        <w:rPr>
          <w:rFonts w:ascii="Times New Roman" w:hAnsi="Times New Roman"/>
          <w:noProof/>
          <w:szCs w:val="24"/>
        </w:rPr>
        <w:t xml:space="preserve">Use of synthetic biology tools to optimize the production of active nitrogenase Fe protein in chloroplasts of tobacco leaf cells. </w:t>
      </w:r>
      <w:r w:rsidRPr="00310E7E">
        <w:rPr>
          <w:rFonts w:ascii="Times New Roman" w:hAnsi="Times New Roman"/>
          <w:i/>
          <w:iCs/>
          <w:noProof/>
          <w:szCs w:val="24"/>
        </w:rPr>
        <w:t>Plant Biotechnology Journal</w:t>
      </w:r>
      <w:r w:rsidRPr="00310E7E">
        <w:rPr>
          <w:rFonts w:ascii="Times New Roman" w:hAnsi="Times New Roman"/>
          <w:noProof/>
          <w:szCs w:val="24"/>
        </w:rPr>
        <w:t xml:space="preserve">, pbi.13347. </w:t>
      </w:r>
      <w:hyperlink r:id="rId221" w:history="1">
        <w:r w:rsidRPr="00F27787">
          <w:rPr>
            <w:rStyle w:val="Hyperlink"/>
            <w:rFonts w:ascii="Times New Roman" w:hAnsi="Times New Roman"/>
            <w:noProof/>
            <w:szCs w:val="24"/>
          </w:rPr>
          <w:t>https://doi.org/10.1111/pbi.13347</w:t>
        </w:r>
      </w:hyperlink>
    </w:p>
    <w:p w14:paraId="6F8DD735" w14:textId="07EFB44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Esvelt, K. M., &amp; Gemmell, N. J. (2017). Conservation demands safe gene drive. </w:t>
      </w:r>
      <w:r w:rsidRPr="00310E7E">
        <w:rPr>
          <w:rFonts w:ascii="Times New Roman" w:hAnsi="Times New Roman"/>
          <w:i/>
          <w:iCs/>
          <w:noProof/>
          <w:szCs w:val="24"/>
        </w:rPr>
        <w:t>PLOS Biology</w:t>
      </w:r>
      <w:r w:rsidRPr="00310E7E">
        <w:rPr>
          <w:rFonts w:ascii="Times New Roman" w:hAnsi="Times New Roman"/>
          <w:noProof/>
          <w:szCs w:val="24"/>
        </w:rPr>
        <w:t xml:space="preserve">, </w:t>
      </w:r>
      <w:r w:rsidRPr="00310E7E">
        <w:rPr>
          <w:rFonts w:ascii="Times New Roman" w:hAnsi="Times New Roman"/>
          <w:i/>
          <w:iCs/>
          <w:noProof/>
          <w:szCs w:val="24"/>
        </w:rPr>
        <w:t>15</w:t>
      </w:r>
      <w:r w:rsidRPr="00310E7E">
        <w:rPr>
          <w:rFonts w:ascii="Times New Roman" w:hAnsi="Times New Roman"/>
          <w:noProof/>
          <w:szCs w:val="24"/>
        </w:rPr>
        <w:t>(11), e2003850.</w:t>
      </w:r>
      <w:hyperlink r:id="rId222" w:history="1">
        <w:r w:rsidRPr="00F27787">
          <w:rPr>
            <w:rStyle w:val="Hyperlink"/>
            <w:rFonts w:ascii="Times New Roman" w:hAnsi="Times New Roman"/>
            <w:noProof/>
            <w:szCs w:val="24"/>
          </w:rPr>
          <w:t xml:space="preserve"> https://doi.org/10.1371/journal.pbio.2003850</w:t>
        </w:r>
      </w:hyperlink>
    </w:p>
    <w:p w14:paraId="2F8608A3" w14:textId="627A24F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Esvelt, K. M., Smidler, A. L., Catteruccia, F., &amp; Church, G. M. (2014). Concerning RNA-guided gene drives for the alteration of wild populations. </w:t>
      </w:r>
      <w:r w:rsidRPr="00310E7E">
        <w:rPr>
          <w:rFonts w:ascii="Times New Roman" w:hAnsi="Times New Roman"/>
          <w:i/>
          <w:iCs/>
          <w:noProof/>
          <w:szCs w:val="24"/>
        </w:rPr>
        <w:t>ELife</w:t>
      </w:r>
      <w:r w:rsidRPr="00310E7E">
        <w:rPr>
          <w:rFonts w:ascii="Times New Roman" w:hAnsi="Times New Roman"/>
          <w:noProof/>
          <w:szCs w:val="24"/>
        </w:rPr>
        <w:t xml:space="preserve">, </w:t>
      </w:r>
      <w:r w:rsidRPr="00310E7E">
        <w:rPr>
          <w:rFonts w:ascii="Times New Roman" w:hAnsi="Times New Roman"/>
          <w:i/>
          <w:iCs/>
          <w:noProof/>
          <w:szCs w:val="24"/>
        </w:rPr>
        <w:t>3</w:t>
      </w:r>
      <w:r w:rsidRPr="00310E7E">
        <w:rPr>
          <w:rFonts w:ascii="Times New Roman" w:hAnsi="Times New Roman"/>
          <w:noProof/>
          <w:szCs w:val="24"/>
        </w:rPr>
        <w:t xml:space="preserve">. </w:t>
      </w:r>
      <w:hyperlink r:id="rId223" w:history="1">
        <w:r w:rsidRPr="00F27787">
          <w:rPr>
            <w:rStyle w:val="Hyperlink"/>
            <w:rFonts w:ascii="Times New Roman" w:hAnsi="Times New Roman"/>
            <w:noProof/>
            <w:szCs w:val="24"/>
          </w:rPr>
          <w:t>https://doi.org/10.7554/eLife.03401</w:t>
        </w:r>
      </w:hyperlink>
    </w:p>
    <w:p w14:paraId="44061CC5" w14:textId="70B0E02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Esvelt, K. M., &amp; Wang, H. H. (2013). Genome‐scale engineering for systems and synthetic biology. </w:t>
      </w:r>
      <w:r w:rsidRPr="00310E7E">
        <w:rPr>
          <w:rFonts w:ascii="Times New Roman" w:hAnsi="Times New Roman"/>
          <w:i/>
          <w:iCs/>
          <w:noProof/>
          <w:szCs w:val="24"/>
        </w:rPr>
        <w:t>Molecular Systems Biology</w:t>
      </w:r>
      <w:r w:rsidRPr="00310E7E">
        <w:rPr>
          <w:rFonts w:ascii="Times New Roman" w:hAnsi="Times New Roman"/>
          <w:noProof/>
          <w:szCs w:val="24"/>
        </w:rPr>
        <w:t xml:space="preserve">, </w:t>
      </w:r>
      <w:r w:rsidRPr="00310E7E">
        <w:rPr>
          <w:rFonts w:ascii="Times New Roman" w:hAnsi="Times New Roman"/>
          <w:i/>
          <w:iCs/>
          <w:noProof/>
          <w:szCs w:val="24"/>
        </w:rPr>
        <w:t>9</w:t>
      </w:r>
      <w:r w:rsidRPr="00310E7E">
        <w:rPr>
          <w:rFonts w:ascii="Times New Roman" w:hAnsi="Times New Roman"/>
          <w:noProof/>
          <w:szCs w:val="24"/>
        </w:rPr>
        <w:t xml:space="preserve">(1), 641. </w:t>
      </w:r>
      <w:hyperlink r:id="rId224" w:history="1">
        <w:r w:rsidRPr="00F27787">
          <w:rPr>
            <w:rStyle w:val="Hyperlink"/>
            <w:rFonts w:ascii="Times New Roman" w:hAnsi="Times New Roman"/>
            <w:noProof/>
            <w:szCs w:val="24"/>
          </w:rPr>
          <w:t>https://doi.org/10.1038/msb.2012.66</w:t>
        </w:r>
      </w:hyperlink>
    </w:p>
    <w:p w14:paraId="398A9D50" w14:textId="67AA3CC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ETC Group. (2007). </w:t>
      </w:r>
      <w:r w:rsidRPr="00310E7E">
        <w:rPr>
          <w:rFonts w:ascii="Times New Roman" w:hAnsi="Times New Roman"/>
          <w:i/>
          <w:iCs/>
          <w:noProof/>
          <w:szCs w:val="24"/>
        </w:rPr>
        <w:t>Extreme Genetic Engineering: An Introduction to Synthetic Biology</w:t>
      </w:r>
      <w:r w:rsidRPr="00310E7E">
        <w:rPr>
          <w:rFonts w:ascii="Times New Roman" w:hAnsi="Times New Roman"/>
          <w:noProof/>
          <w:szCs w:val="24"/>
        </w:rPr>
        <w:t xml:space="preserve">. </w:t>
      </w:r>
      <w:hyperlink r:id="rId225" w:history="1">
        <w:r w:rsidRPr="00F27787">
          <w:rPr>
            <w:rStyle w:val="Hyperlink"/>
            <w:rFonts w:ascii="Times New Roman" w:hAnsi="Times New Roman"/>
            <w:noProof/>
            <w:szCs w:val="24"/>
          </w:rPr>
          <w:t>www.etcgroup.org/files/publication/602/01/synbioreportweb.pdf</w:t>
        </w:r>
      </w:hyperlink>
    </w:p>
    <w:p w14:paraId="4ADCA566" w14:textId="3C135EC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ETC Group. (2010). </w:t>
      </w:r>
      <w:r w:rsidRPr="00310E7E">
        <w:rPr>
          <w:rFonts w:ascii="Times New Roman" w:hAnsi="Times New Roman"/>
          <w:i/>
          <w:iCs/>
          <w:noProof/>
          <w:szCs w:val="24"/>
        </w:rPr>
        <w:t>The New Biomassters: Synthetic Biology and the Next Assault on Biodiversity and Livelihoods</w:t>
      </w:r>
      <w:r w:rsidRPr="00310E7E">
        <w:rPr>
          <w:rFonts w:ascii="Times New Roman" w:hAnsi="Times New Roman"/>
          <w:noProof/>
          <w:szCs w:val="24"/>
        </w:rPr>
        <w:t xml:space="preserve">. </w:t>
      </w:r>
      <w:hyperlink r:id="rId226" w:history="1">
        <w:r w:rsidRPr="00F27787">
          <w:rPr>
            <w:rStyle w:val="Hyperlink"/>
            <w:rFonts w:ascii="Times New Roman" w:hAnsi="Times New Roman"/>
            <w:noProof/>
            <w:szCs w:val="24"/>
          </w:rPr>
          <w:t>https://www.etcgroup.org/content/new-biomassters</w:t>
        </w:r>
      </w:hyperlink>
    </w:p>
    <w:p w14:paraId="0DC21519" w14:textId="507C30D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ETC Group. (2011). </w:t>
      </w:r>
      <w:r w:rsidRPr="00310E7E">
        <w:rPr>
          <w:rFonts w:ascii="Times New Roman" w:hAnsi="Times New Roman"/>
          <w:i/>
          <w:iCs/>
          <w:noProof/>
          <w:szCs w:val="24"/>
        </w:rPr>
        <w:t>Who Will Control the Green Economy?</w:t>
      </w:r>
      <w:r w:rsidRPr="00310E7E">
        <w:rPr>
          <w:rFonts w:ascii="Times New Roman" w:hAnsi="Times New Roman"/>
          <w:noProof/>
          <w:szCs w:val="24"/>
        </w:rPr>
        <w:t xml:space="preserve"> </w:t>
      </w:r>
      <w:hyperlink r:id="rId227" w:history="1">
        <w:r w:rsidRPr="00F27787">
          <w:rPr>
            <w:rStyle w:val="Hyperlink"/>
            <w:rFonts w:ascii="Times New Roman" w:hAnsi="Times New Roman"/>
            <w:noProof/>
            <w:szCs w:val="24"/>
          </w:rPr>
          <w:t>https://www.etcgroup.org/sites/www.etcgroup.org/files/publication/pdf_file/ETC_wwctge_4web_Dec2011.pdf</w:t>
        </w:r>
      </w:hyperlink>
    </w:p>
    <w:p w14:paraId="6F831F46" w14:textId="4EE42FD6" w:rsidR="00F27787" w:rsidRDefault="00F27787" w:rsidP="00310E7E">
      <w:pPr>
        <w:widowControl w:val="0"/>
        <w:autoSpaceDE w:val="0"/>
        <w:autoSpaceDN w:val="0"/>
        <w:adjustRightInd w:val="0"/>
        <w:spacing w:after="140" w:line="240" w:lineRule="auto"/>
        <w:ind w:left="480" w:hanging="480"/>
        <w:rPr>
          <w:rFonts w:ascii="Times New Roman" w:hAnsi="Times New Roman"/>
          <w:noProof/>
          <w:szCs w:val="24"/>
        </w:rPr>
      </w:pPr>
      <w:r w:rsidRPr="00F27787">
        <w:rPr>
          <w:rFonts w:ascii="Times New Roman" w:hAnsi="Times New Roman"/>
          <w:noProof/>
          <w:szCs w:val="24"/>
        </w:rPr>
        <w:t xml:space="preserve">ETC Group. (2012). Moving Beyond Technology Transfer : The Case for Technology Assessment. </w:t>
      </w:r>
      <w:hyperlink r:id="rId228" w:history="1">
        <w:r w:rsidRPr="00F27787">
          <w:rPr>
            <w:rStyle w:val="Hyperlink"/>
            <w:rFonts w:ascii="Times New Roman" w:hAnsi="Times New Roman"/>
            <w:noProof/>
            <w:szCs w:val="24"/>
          </w:rPr>
          <w:t>https://www.etcgroup.org/sites/www.etcgroup.org/files/ETCGroupBriefing_Case4TA%40Rio_170312_0.pdf</w:t>
        </w:r>
      </w:hyperlink>
      <w:r w:rsidRPr="00F27787">
        <w:rPr>
          <w:rFonts w:ascii="Times New Roman" w:hAnsi="Times New Roman"/>
          <w:noProof/>
          <w:szCs w:val="24"/>
        </w:rPr>
        <w:t xml:space="preserve"> </w:t>
      </w:r>
    </w:p>
    <w:p w14:paraId="2127DAED" w14:textId="5CA676D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ETC Group. (2013). </w:t>
      </w:r>
      <w:r w:rsidRPr="00310E7E">
        <w:rPr>
          <w:rFonts w:ascii="Times New Roman" w:hAnsi="Times New Roman"/>
          <w:i/>
          <w:iCs/>
          <w:noProof/>
          <w:szCs w:val="24"/>
        </w:rPr>
        <w:t>Potential Impacts of Synthetic Biology on Livelihoods and Biodiversity: Eight Case Studies on Commodity Replacement: A Submisison to the Convention on Biological Diversity from ETC Group</w:t>
      </w:r>
      <w:r w:rsidRPr="00310E7E">
        <w:rPr>
          <w:rFonts w:ascii="Times New Roman" w:hAnsi="Times New Roman"/>
          <w:noProof/>
          <w:szCs w:val="24"/>
        </w:rPr>
        <w:t xml:space="preserve">. </w:t>
      </w:r>
      <w:hyperlink r:id="rId229" w:history="1">
        <w:r w:rsidRPr="00F27787">
          <w:rPr>
            <w:rStyle w:val="Hyperlink"/>
            <w:rFonts w:ascii="Times New Roman" w:hAnsi="Times New Roman"/>
            <w:noProof/>
            <w:szCs w:val="24"/>
          </w:rPr>
          <w:t>http://www.cbd.int/doc/emerging-issues/emergingissues-%0A2013-07-ETCGroup%281%29-en.pdf</w:t>
        </w:r>
      </w:hyperlink>
    </w:p>
    <w:p w14:paraId="132C8ADE" w14:textId="239A5E0D" w:rsidR="00F27787" w:rsidRDefault="00F27787" w:rsidP="00310E7E">
      <w:pPr>
        <w:widowControl w:val="0"/>
        <w:autoSpaceDE w:val="0"/>
        <w:autoSpaceDN w:val="0"/>
        <w:adjustRightInd w:val="0"/>
        <w:spacing w:after="140" w:line="240" w:lineRule="auto"/>
        <w:ind w:left="480" w:hanging="480"/>
        <w:rPr>
          <w:rFonts w:ascii="Times New Roman" w:hAnsi="Times New Roman"/>
          <w:noProof/>
          <w:szCs w:val="24"/>
        </w:rPr>
      </w:pPr>
      <w:r w:rsidRPr="00F27787">
        <w:rPr>
          <w:rFonts w:ascii="Times New Roman" w:hAnsi="Times New Roman"/>
          <w:noProof/>
          <w:szCs w:val="24"/>
        </w:rPr>
        <w:t xml:space="preserve">ETC Group. (2015). Extreme Biotech meets Extreme Energy (Communiqué 113). </w:t>
      </w:r>
      <w:hyperlink r:id="rId230" w:history="1">
        <w:r w:rsidRPr="00F27787">
          <w:rPr>
            <w:rStyle w:val="Hyperlink"/>
            <w:rFonts w:ascii="Times New Roman" w:hAnsi="Times New Roman"/>
            <w:noProof/>
            <w:szCs w:val="24"/>
          </w:rPr>
          <w:t>https://www.etcgroup.org/content/extreme-biotech-meets-extreme-energy</w:t>
        </w:r>
      </w:hyperlink>
      <w:r w:rsidRPr="00F27787">
        <w:rPr>
          <w:rFonts w:ascii="Times New Roman" w:hAnsi="Times New Roman"/>
          <w:noProof/>
          <w:szCs w:val="24"/>
        </w:rPr>
        <w:t xml:space="preserve"> </w:t>
      </w:r>
    </w:p>
    <w:p w14:paraId="51AEBA83" w14:textId="1DC1D0F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ETC Group. (2016). </w:t>
      </w:r>
      <w:r w:rsidRPr="00310E7E">
        <w:rPr>
          <w:rFonts w:ascii="Times New Roman" w:hAnsi="Times New Roman"/>
          <w:i/>
          <w:iCs/>
          <w:noProof/>
          <w:szCs w:val="24"/>
        </w:rPr>
        <w:t>Synthetic Biology, Biodiversity &amp; Farmers</w:t>
      </w:r>
      <w:r w:rsidRPr="00310E7E">
        <w:rPr>
          <w:rFonts w:ascii="Times New Roman" w:hAnsi="Times New Roman"/>
          <w:noProof/>
          <w:szCs w:val="24"/>
        </w:rPr>
        <w:t xml:space="preserve">. </w:t>
      </w:r>
      <w:hyperlink r:id="rId231" w:history="1">
        <w:r w:rsidRPr="00120011">
          <w:rPr>
            <w:rStyle w:val="Hyperlink"/>
            <w:rFonts w:ascii="Times New Roman" w:hAnsi="Times New Roman"/>
            <w:noProof/>
            <w:szCs w:val="24"/>
          </w:rPr>
          <w:t>https://www.etcgroup.org/sites/www.etcgroup.org/files/files/etc_synbiocasestudies_2016.pdf</w:t>
        </w:r>
      </w:hyperlink>
    </w:p>
    <w:p w14:paraId="4245D34E" w14:textId="4850FF7F" w:rsidR="007D692F" w:rsidRDefault="007D692F" w:rsidP="00310E7E">
      <w:pPr>
        <w:widowControl w:val="0"/>
        <w:autoSpaceDE w:val="0"/>
        <w:autoSpaceDN w:val="0"/>
        <w:adjustRightInd w:val="0"/>
        <w:spacing w:after="140" w:line="240" w:lineRule="auto"/>
        <w:ind w:left="480" w:hanging="480"/>
        <w:rPr>
          <w:rFonts w:ascii="Times New Roman" w:hAnsi="Times New Roman"/>
          <w:noProof/>
          <w:szCs w:val="24"/>
        </w:rPr>
      </w:pPr>
      <w:r w:rsidRPr="007D692F">
        <w:rPr>
          <w:rFonts w:ascii="Times New Roman" w:hAnsi="Times New Roman"/>
          <w:noProof/>
          <w:szCs w:val="24"/>
        </w:rPr>
        <w:t xml:space="preserve">ETC Group, &amp; Fibershed. (2018). Genetically Engineered Clothes: Synthetic Biology’s New Spin on Fast Fashion. </w:t>
      </w:r>
      <w:hyperlink r:id="rId232" w:history="1">
        <w:r w:rsidRPr="007D692F">
          <w:rPr>
            <w:rStyle w:val="Hyperlink"/>
            <w:rFonts w:ascii="Times New Roman" w:hAnsi="Times New Roman"/>
            <w:noProof/>
            <w:szCs w:val="24"/>
          </w:rPr>
          <w:t>http://fibershed.org/wp-content/uploads/2018/09/ETC_SynbioFabricsReport_8Fsm.pdf</w:t>
        </w:r>
      </w:hyperlink>
    </w:p>
    <w:p w14:paraId="37360C15" w14:textId="44E5E31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European Commission High Level Group of Scientific Advisors. (2017). </w:t>
      </w:r>
      <w:r w:rsidRPr="00310E7E">
        <w:rPr>
          <w:rFonts w:ascii="Times New Roman" w:hAnsi="Times New Roman"/>
          <w:i/>
          <w:iCs/>
          <w:noProof/>
          <w:szCs w:val="24"/>
        </w:rPr>
        <w:t>New Techniques in Agricultural Biotechnology. Explanatory Note 02</w:t>
      </w:r>
      <w:r w:rsidRPr="00310E7E">
        <w:rPr>
          <w:rFonts w:ascii="Times New Roman" w:hAnsi="Times New Roman"/>
          <w:noProof/>
          <w:szCs w:val="24"/>
        </w:rPr>
        <w:t>.</w:t>
      </w:r>
    </w:p>
    <w:p w14:paraId="2F7A48F6" w14:textId="7DC45D9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European Group on Ethics in Science and New Technologies to the European Commission (EGE). (2009). </w:t>
      </w:r>
      <w:r w:rsidRPr="00310E7E">
        <w:rPr>
          <w:rFonts w:ascii="Times New Roman" w:hAnsi="Times New Roman"/>
          <w:i/>
          <w:iCs/>
          <w:noProof/>
          <w:szCs w:val="24"/>
        </w:rPr>
        <w:t>Ethics of Synthetic Biology. Opinion of the European Group on Ethics in Science and New Technologies to the European Commission.</w:t>
      </w:r>
      <w:r w:rsidRPr="00310E7E">
        <w:rPr>
          <w:rFonts w:ascii="Times New Roman" w:hAnsi="Times New Roman"/>
          <w:noProof/>
          <w:szCs w:val="24"/>
        </w:rPr>
        <w:t xml:space="preserve"> </w:t>
      </w:r>
      <w:hyperlink r:id="rId233" w:history="1">
        <w:r w:rsidRPr="00120011">
          <w:rPr>
            <w:rStyle w:val="Hyperlink"/>
            <w:rFonts w:ascii="Times New Roman" w:hAnsi="Times New Roman"/>
            <w:noProof/>
            <w:szCs w:val="24"/>
          </w:rPr>
          <w:t>https://www.coe.int/t/dg3/healthbioethic/cometh/ege/20091118 finalSB _2_ MP.pdf</w:t>
        </w:r>
      </w:hyperlink>
    </w:p>
    <w:p w14:paraId="014DDC37" w14:textId="0AA309A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Exterkate, M., &amp; Driessen, A. J. M. (2019). Continuous expansion of a synthetic minimal cellular membrane. In </w:t>
      </w:r>
      <w:r w:rsidRPr="00310E7E">
        <w:rPr>
          <w:rFonts w:ascii="Times New Roman" w:hAnsi="Times New Roman"/>
          <w:i/>
          <w:iCs/>
          <w:noProof/>
          <w:szCs w:val="24"/>
        </w:rPr>
        <w:t>Emerging Topics in Life Sciences</w:t>
      </w:r>
      <w:r w:rsidRPr="00310E7E">
        <w:rPr>
          <w:rFonts w:ascii="Times New Roman" w:hAnsi="Times New Roman"/>
          <w:noProof/>
          <w:szCs w:val="24"/>
        </w:rPr>
        <w:t xml:space="preserve"> (Vol. 3, Issue 5, pp. 543–549). Portland Press Ltd. </w:t>
      </w:r>
      <w:hyperlink r:id="rId234" w:history="1">
        <w:r w:rsidRPr="00120011">
          <w:rPr>
            <w:rStyle w:val="Hyperlink"/>
            <w:rFonts w:ascii="Times New Roman" w:hAnsi="Times New Roman"/>
            <w:noProof/>
            <w:szCs w:val="24"/>
          </w:rPr>
          <w:t>https://doi.org/10.1042/ETLS20190020</w:t>
        </w:r>
      </w:hyperlink>
    </w:p>
    <w:p w14:paraId="2305CB1A" w14:textId="001A420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Fajardo, P., Beauchesne, D., Carbajal-López, A., Daigle, R. M., Fierro-Arcos, L. D., Goldsmit, J., Zajderman, S., Valdez-Hernández, J. I., Maigua, M. Y. T., &amp; Christofoletti, R. A. (2021). Aichi Target 18 beyond 2020: mainstreaming Traditional Biodiversity Knowledge in the conservation and sustainable use of marine and coastal ecosystems. In </w:t>
      </w:r>
      <w:r w:rsidRPr="00310E7E">
        <w:rPr>
          <w:rFonts w:ascii="Times New Roman" w:hAnsi="Times New Roman"/>
          <w:i/>
          <w:iCs/>
          <w:noProof/>
          <w:szCs w:val="24"/>
        </w:rPr>
        <w:t>PeerJ</w:t>
      </w:r>
      <w:r w:rsidRPr="00310E7E">
        <w:rPr>
          <w:rFonts w:ascii="Times New Roman" w:hAnsi="Times New Roman"/>
          <w:noProof/>
          <w:szCs w:val="24"/>
        </w:rPr>
        <w:t xml:space="preserve"> (Vol. 9). PeerJ Inc. </w:t>
      </w:r>
      <w:hyperlink r:id="rId235" w:history="1">
        <w:r w:rsidRPr="00120011">
          <w:rPr>
            <w:rStyle w:val="Hyperlink"/>
            <w:rFonts w:ascii="Times New Roman" w:hAnsi="Times New Roman"/>
            <w:noProof/>
            <w:szCs w:val="24"/>
          </w:rPr>
          <w:t>https://doi.org/10.7717/peerj.9616</w:t>
        </w:r>
      </w:hyperlink>
    </w:p>
    <w:p w14:paraId="304D62DD" w14:textId="7564FD4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Farré, G., Blancquaert, D., Capell, T., Van Der Straeten, D., Christou, P., &amp; Zhu, C. (2014). Engineering complex metabolic pathways in plants. </w:t>
      </w:r>
      <w:r w:rsidRPr="00310E7E">
        <w:rPr>
          <w:rFonts w:ascii="Times New Roman" w:hAnsi="Times New Roman"/>
          <w:i/>
          <w:iCs/>
          <w:noProof/>
          <w:szCs w:val="24"/>
        </w:rPr>
        <w:t>Annual Review of Plant Biology</w:t>
      </w:r>
      <w:r w:rsidRPr="00310E7E">
        <w:rPr>
          <w:rFonts w:ascii="Times New Roman" w:hAnsi="Times New Roman"/>
          <w:noProof/>
          <w:szCs w:val="24"/>
        </w:rPr>
        <w:t xml:space="preserve">, </w:t>
      </w:r>
      <w:r w:rsidRPr="00310E7E">
        <w:rPr>
          <w:rFonts w:ascii="Times New Roman" w:hAnsi="Times New Roman"/>
          <w:i/>
          <w:iCs/>
          <w:noProof/>
          <w:szCs w:val="24"/>
        </w:rPr>
        <w:t>65</w:t>
      </w:r>
      <w:r w:rsidRPr="00310E7E">
        <w:rPr>
          <w:rFonts w:ascii="Times New Roman" w:hAnsi="Times New Roman"/>
          <w:noProof/>
          <w:szCs w:val="24"/>
        </w:rPr>
        <w:t xml:space="preserve">, 187–223. </w:t>
      </w:r>
      <w:hyperlink r:id="rId236" w:history="1">
        <w:r w:rsidRPr="007D692F">
          <w:rPr>
            <w:rStyle w:val="Hyperlink"/>
            <w:rFonts w:ascii="Times New Roman" w:hAnsi="Times New Roman"/>
            <w:noProof/>
            <w:szCs w:val="24"/>
          </w:rPr>
          <w:t>https://doi.org/10.1146/annurev-arplant-050213-035825</w:t>
        </w:r>
      </w:hyperlink>
    </w:p>
    <w:p w14:paraId="23D68307" w14:textId="0D8A485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FDA. (2016). </w:t>
      </w:r>
      <w:r w:rsidRPr="00310E7E">
        <w:rPr>
          <w:rFonts w:ascii="Times New Roman" w:hAnsi="Times New Roman"/>
          <w:i/>
          <w:iCs/>
          <w:noProof/>
          <w:szCs w:val="24"/>
        </w:rPr>
        <w:t>Gras Notification for Soy Leghemoglobin Protein Preparation Derived From Pichia Pastoris, GRN737</w:t>
      </w:r>
      <w:r w:rsidRPr="00310E7E">
        <w:rPr>
          <w:rFonts w:ascii="Times New Roman" w:hAnsi="Times New Roman"/>
          <w:noProof/>
          <w:szCs w:val="24"/>
        </w:rPr>
        <w:t xml:space="preserve"> (Issue 737, p. 1063). </w:t>
      </w:r>
      <w:hyperlink r:id="rId237" w:history="1">
        <w:r w:rsidRPr="007D692F">
          <w:rPr>
            <w:rStyle w:val="Hyperlink"/>
            <w:rFonts w:ascii="Times New Roman" w:hAnsi="Times New Roman"/>
            <w:noProof/>
            <w:szCs w:val="24"/>
          </w:rPr>
          <w:t>https://www.fda.gov/Food/IngredientsPackagingLabeling/GRAS/NoticeInventory/default.htm</w:t>
        </w:r>
      </w:hyperlink>
    </w:p>
    <w:p w14:paraId="776D715A" w14:textId="4BEE229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FDA (2021). </w:t>
      </w:r>
      <w:r w:rsidRPr="00310E7E">
        <w:rPr>
          <w:rFonts w:ascii="Times New Roman" w:hAnsi="Times New Roman"/>
          <w:i/>
          <w:iCs/>
          <w:noProof/>
          <w:szCs w:val="24"/>
        </w:rPr>
        <w:t>Q&amp;A on FDA Regulation of Intentional Genomic Alterations in Animals | FDA</w:t>
      </w:r>
      <w:r w:rsidRPr="00310E7E">
        <w:rPr>
          <w:rFonts w:ascii="Times New Roman" w:hAnsi="Times New Roman"/>
          <w:noProof/>
          <w:szCs w:val="24"/>
        </w:rPr>
        <w:t xml:space="preserve">. </w:t>
      </w:r>
      <w:hyperlink r:id="rId238" w:history="1">
        <w:r w:rsidRPr="007D692F">
          <w:rPr>
            <w:rStyle w:val="Hyperlink"/>
            <w:rFonts w:ascii="Times New Roman" w:hAnsi="Times New Roman"/>
            <w:noProof/>
            <w:szCs w:val="24"/>
          </w:rPr>
          <w:t>https://www.fda.gov/animal-veterinary/animals-intentional-genomic-alterations/qa-fda-regulation-intentional-genomic-alterations-animals</w:t>
        </w:r>
      </w:hyperlink>
    </w:p>
    <w:p w14:paraId="3CA28F08" w14:textId="6083F06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Fears, R., &amp; ter Meulen, V. (2017). How should the applications of genome editing be assessed and regulated? </w:t>
      </w:r>
      <w:r w:rsidRPr="00310E7E">
        <w:rPr>
          <w:rFonts w:ascii="Times New Roman" w:hAnsi="Times New Roman"/>
          <w:i/>
          <w:iCs/>
          <w:noProof/>
          <w:szCs w:val="24"/>
        </w:rPr>
        <w:t>ELife</w:t>
      </w:r>
      <w:r w:rsidRPr="00310E7E">
        <w:rPr>
          <w:rFonts w:ascii="Times New Roman" w:hAnsi="Times New Roman"/>
          <w:noProof/>
          <w:szCs w:val="24"/>
        </w:rPr>
        <w:t xml:space="preserve">, </w:t>
      </w:r>
      <w:r w:rsidRPr="00310E7E">
        <w:rPr>
          <w:rFonts w:ascii="Times New Roman" w:hAnsi="Times New Roman"/>
          <w:i/>
          <w:iCs/>
          <w:noProof/>
          <w:szCs w:val="24"/>
        </w:rPr>
        <w:t>6</w:t>
      </w:r>
      <w:r w:rsidRPr="00310E7E">
        <w:rPr>
          <w:rFonts w:ascii="Times New Roman" w:hAnsi="Times New Roman"/>
          <w:noProof/>
          <w:szCs w:val="24"/>
        </w:rPr>
        <w:t xml:space="preserve">. </w:t>
      </w:r>
      <w:hyperlink r:id="rId239" w:history="1">
        <w:r w:rsidRPr="007D692F">
          <w:rPr>
            <w:rStyle w:val="Hyperlink"/>
            <w:rFonts w:ascii="Times New Roman" w:hAnsi="Times New Roman"/>
            <w:noProof/>
            <w:szCs w:val="24"/>
          </w:rPr>
          <w:t>https://doi.org/10.7554/eLife.26295</w:t>
        </w:r>
      </w:hyperlink>
    </w:p>
    <w:p w14:paraId="4355F568" w14:textId="0975762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Fernie, A. R., &amp; Yan, J. (2019). </w:t>
      </w:r>
      <w:r w:rsidRPr="00FC3272">
        <w:rPr>
          <w:rFonts w:ascii="Times New Roman" w:hAnsi="Times New Roman"/>
          <w:i/>
          <w:iCs/>
          <w:noProof/>
          <w:szCs w:val="24"/>
        </w:rPr>
        <w:t>De Novo</w:t>
      </w:r>
      <w:r w:rsidRPr="00310E7E">
        <w:rPr>
          <w:rFonts w:ascii="Times New Roman" w:hAnsi="Times New Roman"/>
          <w:noProof/>
          <w:szCs w:val="24"/>
        </w:rPr>
        <w:t xml:space="preserve"> Domestication: An Alternative Route toward New Crops for the Future. In </w:t>
      </w:r>
      <w:r w:rsidRPr="00310E7E">
        <w:rPr>
          <w:rFonts w:ascii="Times New Roman" w:hAnsi="Times New Roman"/>
          <w:i/>
          <w:iCs/>
          <w:noProof/>
          <w:szCs w:val="24"/>
        </w:rPr>
        <w:t>Molecular Plant</w:t>
      </w:r>
      <w:r w:rsidRPr="00310E7E">
        <w:rPr>
          <w:rFonts w:ascii="Times New Roman" w:hAnsi="Times New Roman"/>
          <w:noProof/>
          <w:szCs w:val="24"/>
        </w:rPr>
        <w:t xml:space="preserve"> (Vol. 12, Issue 5, pp. 615–631). Cell Press. </w:t>
      </w:r>
      <w:hyperlink r:id="rId240" w:history="1">
        <w:r w:rsidRPr="007D692F">
          <w:rPr>
            <w:rStyle w:val="Hyperlink"/>
            <w:rFonts w:ascii="Times New Roman" w:hAnsi="Times New Roman"/>
            <w:noProof/>
            <w:szCs w:val="24"/>
          </w:rPr>
          <w:t>https://doi.org/10.1016/j.molp.2019.03.016</w:t>
        </w:r>
      </w:hyperlink>
    </w:p>
    <w:p w14:paraId="4AB647ED" w14:textId="644F63E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Fidelman, P., McGrath, C., Newlands, M., Dobbs, K., Jago, B., &amp; Hussey, K. (2019). Regulatory implications of coral reef restoration and adaptation under a changing climate. </w:t>
      </w:r>
      <w:r w:rsidRPr="00310E7E">
        <w:rPr>
          <w:rFonts w:ascii="Times New Roman" w:hAnsi="Times New Roman"/>
          <w:i/>
          <w:iCs/>
          <w:noProof/>
          <w:szCs w:val="24"/>
        </w:rPr>
        <w:t>Environmental Science and Policy</w:t>
      </w:r>
      <w:r w:rsidRPr="00310E7E">
        <w:rPr>
          <w:rFonts w:ascii="Times New Roman" w:hAnsi="Times New Roman"/>
          <w:noProof/>
          <w:szCs w:val="24"/>
        </w:rPr>
        <w:t xml:space="preserve">, </w:t>
      </w:r>
      <w:r w:rsidRPr="00310E7E">
        <w:rPr>
          <w:rFonts w:ascii="Times New Roman" w:hAnsi="Times New Roman"/>
          <w:i/>
          <w:iCs/>
          <w:noProof/>
          <w:szCs w:val="24"/>
        </w:rPr>
        <w:t>100</w:t>
      </w:r>
      <w:r w:rsidRPr="00310E7E">
        <w:rPr>
          <w:rFonts w:ascii="Times New Roman" w:hAnsi="Times New Roman"/>
          <w:noProof/>
          <w:szCs w:val="24"/>
        </w:rPr>
        <w:t xml:space="preserve">, 221–229. </w:t>
      </w:r>
      <w:hyperlink r:id="rId241" w:history="1">
        <w:r w:rsidRPr="007D692F">
          <w:rPr>
            <w:rStyle w:val="Hyperlink"/>
            <w:rFonts w:ascii="Times New Roman" w:hAnsi="Times New Roman"/>
            <w:noProof/>
            <w:szCs w:val="24"/>
          </w:rPr>
          <w:t>https://doi.org/10.1016/j.envsci.2019.04.016</w:t>
        </w:r>
      </w:hyperlink>
    </w:p>
    <w:p w14:paraId="4DF23659" w14:textId="785496D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Filbee-Dexter, K., &amp; Smajdor, A. (2019). Ethics of Assisted Evolution in Marine Conservation. </w:t>
      </w:r>
      <w:r w:rsidRPr="00310E7E">
        <w:rPr>
          <w:rFonts w:ascii="Times New Roman" w:hAnsi="Times New Roman"/>
          <w:i/>
          <w:iCs/>
          <w:noProof/>
          <w:szCs w:val="24"/>
        </w:rPr>
        <w:t>Frontiers in Marine Science</w:t>
      </w:r>
      <w:r w:rsidRPr="00310E7E">
        <w:rPr>
          <w:rFonts w:ascii="Times New Roman" w:hAnsi="Times New Roman"/>
          <w:noProof/>
          <w:szCs w:val="24"/>
        </w:rPr>
        <w:t xml:space="preserve">, </w:t>
      </w:r>
      <w:r w:rsidRPr="00310E7E">
        <w:rPr>
          <w:rFonts w:ascii="Times New Roman" w:hAnsi="Times New Roman"/>
          <w:i/>
          <w:iCs/>
          <w:noProof/>
          <w:szCs w:val="24"/>
        </w:rPr>
        <w:t>6</w:t>
      </w:r>
      <w:r w:rsidRPr="00310E7E">
        <w:rPr>
          <w:rFonts w:ascii="Times New Roman" w:hAnsi="Times New Roman"/>
          <w:noProof/>
          <w:szCs w:val="24"/>
        </w:rPr>
        <w:t xml:space="preserve">(JAN), 20. </w:t>
      </w:r>
      <w:hyperlink r:id="rId242" w:history="1">
        <w:r w:rsidRPr="007D692F">
          <w:rPr>
            <w:rStyle w:val="Hyperlink"/>
            <w:rFonts w:ascii="Times New Roman" w:hAnsi="Times New Roman"/>
            <w:noProof/>
            <w:szCs w:val="24"/>
          </w:rPr>
          <w:t>https://doi.org/10.3389/fmars.2019.00020</w:t>
        </w:r>
      </w:hyperlink>
    </w:p>
    <w:p w14:paraId="601BD9B5" w14:textId="24BBB8D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Fink, T., Lonzarić, J., Praznik, A., Plaper, T., Merljak, E., Leben, K., Jerala, N., Lebar, T., Strmšek, Ž., Lapenta, F., Benčina, M., &amp; Jerala, R. (2019). Design of fast proteolysis-based signaling and logic circuits in mammalian cells. </w:t>
      </w:r>
      <w:r w:rsidRPr="00310E7E">
        <w:rPr>
          <w:rFonts w:ascii="Times New Roman" w:hAnsi="Times New Roman"/>
          <w:i/>
          <w:iCs/>
          <w:noProof/>
          <w:szCs w:val="24"/>
        </w:rPr>
        <w:t>Nature Chemical Biology</w:t>
      </w:r>
      <w:r w:rsidRPr="00310E7E">
        <w:rPr>
          <w:rFonts w:ascii="Times New Roman" w:hAnsi="Times New Roman"/>
          <w:noProof/>
          <w:szCs w:val="24"/>
        </w:rPr>
        <w:t xml:space="preserve">, </w:t>
      </w:r>
      <w:r w:rsidRPr="00310E7E">
        <w:rPr>
          <w:rFonts w:ascii="Times New Roman" w:hAnsi="Times New Roman"/>
          <w:i/>
          <w:iCs/>
          <w:noProof/>
          <w:szCs w:val="24"/>
        </w:rPr>
        <w:t>15</w:t>
      </w:r>
      <w:r w:rsidRPr="00310E7E">
        <w:rPr>
          <w:rFonts w:ascii="Times New Roman" w:hAnsi="Times New Roman"/>
          <w:noProof/>
          <w:szCs w:val="24"/>
        </w:rPr>
        <w:t xml:space="preserve">(2), 115–122. </w:t>
      </w:r>
      <w:hyperlink r:id="rId243" w:history="1">
        <w:r w:rsidRPr="007D692F">
          <w:rPr>
            <w:rStyle w:val="Hyperlink"/>
            <w:rFonts w:ascii="Times New Roman" w:hAnsi="Times New Roman"/>
            <w:noProof/>
            <w:szCs w:val="24"/>
          </w:rPr>
          <w:t>https://doi.org/10.1038/s41589-018-0181-6</w:t>
        </w:r>
      </w:hyperlink>
    </w:p>
    <w:p w14:paraId="277BEBBE" w14:textId="019CF17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Fisher, K., Schofer, S. J., &amp; Kanne, D. (2009). </w:t>
      </w:r>
      <w:r w:rsidRPr="00310E7E">
        <w:rPr>
          <w:rFonts w:ascii="Times New Roman" w:hAnsi="Times New Roman"/>
          <w:i/>
          <w:iCs/>
          <w:noProof/>
          <w:szCs w:val="24"/>
        </w:rPr>
        <w:t>Squalane and isosqualane compositions and methods for preparing the same, US8586814B2</w:t>
      </w:r>
      <w:r w:rsidRPr="00310E7E">
        <w:rPr>
          <w:rFonts w:ascii="Times New Roman" w:hAnsi="Times New Roman"/>
          <w:noProof/>
          <w:szCs w:val="24"/>
        </w:rPr>
        <w:t xml:space="preserve"> (Vol. 1, Issue 12, p. 14). </w:t>
      </w:r>
      <w:hyperlink r:id="rId244" w:history="1">
        <w:r w:rsidRPr="007D692F">
          <w:rPr>
            <w:rStyle w:val="Hyperlink"/>
            <w:rFonts w:ascii="Times New Roman" w:hAnsi="Times New Roman"/>
            <w:noProof/>
            <w:szCs w:val="24"/>
          </w:rPr>
          <w:t>https://patents.google.com/patent/US8586814B2/</w:t>
        </w:r>
      </w:hyperlink>
    </w:p>
    <w:p w14:paraId="580F9C95" w14:textId="493B900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Fletcher, S. J., Reeves, P. T., Hoang, B. T., &amp; Mitter, N. (2020). A Perspective on RNAi-Based Biopesticides.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51.</w:t>
      </w:r>
      <w:hyperlink r:id="rId245" w:history="1">
        <w:r w:rsidRPr="007D692F">
          <w:rPr>
            <w:rStyle w:val="Hyperlink"/>
            <w:rFonts w:ascii="Times New Roman" w:hAnsi="Times New Roman"/>
            <w:noProof/>
            <w:szCs w:val="24"/>
          </w:rPr>
          <w:t xml:space="preserve"> https://doi.org/10.3389/fpls.2020.00051</w:t>
        </w:r>
      </w:hyperlink>
    </w:p>
    <w:p w14:paraId="69F6E1AF" w14:textId="4F91F3F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Food and Agriculture Organization. (2016). </w:t>
      </w:r>
      <w:r w:rsidRPr="00310E7E">
        <w:rPr>
          <w:rFonts w:ascii="Times New Roman" w:hAnsi="Times New Roman"/>
          <w:i/>
          <w:iCs/>
          <w:noProof/>
          <w:szCs w:val="24"/>
        </w:rPr>
        <w:t>Free Prior and Informed Consent: An indigenous peoples’ right and a good practice for local communities</w:t>
      </w:r>
      <w:r w:rsidRPr="00310E7E">
        <w:rPr>
          <w:rFonts w:ascii="Times New Roman" w:hAnsi="Times New Roman"/>
          <w:noProof/>
          <w:szCs w:val="24"/>
        </w:rPr>
        <w:t xml:space="preserve">. </w:t>
      </w:r>
      <w:hyperlink r:id="rId246" w:history="1">
        <w:r w:rsidRPr="007D692F">
          <w:rPr>
            <w:rStyle w:val="Hyperlink"/>
            <w:rFonts w:ascii="Times New Roman" w:hAnsi="Times New Roman"/>
            <w:noProof/>
            <w:szCs w:val="24"/>
          </w:rPr>
          <w:t>http://www.fao.org/documents/card/en/c/5202ca4e-e27e-4afa-84e2-b08f8181e8c9/</w:t>
        </w:r>
      </w:hyperlink>
    </w:p>
    <w:p w14:paraId="3F3CE372" w14:textId="31416AA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Forgacs, G., Marga, F., &amp; Jakab, K. (2013). </w:t>
      </w:r>
      <w:r w:rsidRPr="00310E7E">
        <w:rPr>
          <w:rFonts w:ascii="Times New Roman" w:hAnsi="Times New Roman"/>
          <w:i/>
          <w:iCs/>
          <w:noProof/>
          <w:szCs w:val="24"/>
        </w:rPr>
        <w:t>Engineered leather and methods of manufacture thereof, WO2013149083A1</w:t>
      </w:r>
      <w:r w:rsidRPr="00310E7E">
        <w:rPr>
          <w:rFonts w:ascii="Times New Roman" w:hAnsi="Times New Roman"/>
          <w:noProof/>
          <w:szCs w:val="24"/>
        </w:rPr>
        <w:t xml:space="preserve"> (Vol. 1, Issue 12). </w:t>
      </w:r>
      <w:hyperlink r:id="rId247" w:history="1">
        <w:r w:rsidRPr="007D692F">
          <w:rPr>
            <w:rStyle w:val="Hyperlink"/>
            <w:rFonts w:ascii="Times New Roman" w:hAnsi="Times New Roman"/>
            <w:noProof/>
            <w:szCs w:val="24"/>
          </w:rPr>
          <w:t>https://patents.google.com/patent/WO2013149083A1</w:t>
        </w:r>
      </w:hyperlink>
    </w:p>
    <w:p w14:paraId="1DEE6355" w14:textId="00CDA0C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Forni, G., &amp; Mantovani, A. (2021). COVID-19 vaccines: where we stand and challenges ahead. </w:t>
      </w:r>
      <w:r w:rsidRPr="00310E7E">
        <w:rPr>
          <w:rFonts w:ascii="Times New Roman" w:hAnsi="Times New Roman"/>
          <w:i/>
          <w:iCs/>
          <w:noProof/>
          <w:szCs w:val="24"/>
        </w:rPr>
        <w:t>Cell Death &amp; Differentiation</w:t>
      </w:r>
      <w:r w:rsidRPr="00310E7E">
        <w:rPr>
          <w:rFonts w:ascii="Times New Roman" w:hAnsi="Times New Roman"/>
          <w:noProof/>
          <w:szCs w:val="24"/>
        </w:rPr>
        <w:t xml:space="preserve">, </w:t>
      </w:r>
      <w:r w:rsidRPr="00310E7E">
        <w:rPr>
          <w:rFonts w:ascii="Times New Roman" w:hAnsi="Times New Roman"/>
          <w:i/>
          <w:iCs/>
          <w:noProof/>
          <w:szCs w:val="24"/>
        </w:rPr>
        <w:t>28</w:t>
      </w:r>
      <w:r w:rsidRPr="00310E7E">
        <w:rPr>
          <w:rFonts w:ascii="Times New Roman" w:hAnsi="Times New Roman"/>
          <w:noProof/>
          <w:szCs w:val="24"/>
        </w:rPr>
        <w:t xml:space="preserve">(2), 626–639. </w:t>
      </w:r>
      <w:hyperlink r:id="rId248" w:history="1">
        <w:r w:rsidRPr="00D775BB">
          <w:rPr>
            <w:rStyle w:val="Hyperlink"/>
            <w:rFonts w:ascii="Times New Roman" w:hAnsi="Times New Roman"/>
            <w:noProof/>
            <w:szCs w:val="24"/>
          </w:rPr>
          <w:t>https://doi.org/10.1038/s41418-020-00720-9</w:t>
        </w:r>
      </w:hyperlink>
    </w:p>
    <w:p w14:paraId="5D658254" w14:textId="23C647D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Fraiture, M. A., Herman, P., Taverniers, I., De Loose, M., Deforce, D., &amp; Roosens, N. H. (2015). Current and New Approaches in GMO Detection: Challenges and Solutions. </w:t>
      </w:r>
      <w:r w:rsidRPr="00310E7E">
        <w:rPr>
          <w:rFonts w:ascii="Times New Roman" w:hAnsi="Times New Roman"/>
          <w:i/>
          <w:iCs/>
          <w:noProof/>
          <w:szCs w:val="24"/>
        </w:rPr>
        <w:t>BioMed Research International</w:t>
      </w:r>
      <w:r w:rsidRPr="00310E7E">
        <w:rPr>
          <w:rFonts w:ascii="Times New Roman" w:hAnsi="Times New Roman"/>
          <w:noProof/>
          <w:szCs w:val="24"/>
        </w:rPr>
        <w:t xml:space="preserve">, </w:t>
      </w:r>
      <w:r w:rsidRPr="00310E7E">
        <w:rPr>
          <w:rFonts w:ascii="Times New Roman" w:hAnsi="Times New Roman"/>
          <w:i/>
          <w:iCs/>
          <w:noProof/>
          <w:szCs w:val="24"/>
        </w:rPr>
        <w:t>2015</w:t>
      </w:r>
      <w:r w:rsidRPr="00310E7E">
        <w:rPr>
          <w:rFonts w:ascii="Times New Roman" w:hAnsi="Times New Roman"/>
          <w:noProof/>
          <w:szCs w:val="24"/>
        </w:rPr>
        <w:t>.</w:t>
      </w:r>
      <w:hyperlink r:id="rId249" w:history="1">
        <w:r w:rsidRPr="000D7A43">
          <w:rPr>
            <w:rStyle w:val="Hyperlink"/>
            <w:rFonts w:ascii="Times New Roman" w:hAnsi="Times New Roman"/>
            <w:noProof/>
            <w:szCs w:val="24"/>
          </w:rPr>
          <w:t xml:space="preserve"> https://doi.org/10.1155/2015/392872</w:t>
        </w:r>
      </w:hyperlink>
    </w:p>
    <w:p w14:paraId="1A45B12D" w14:textId="425B479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Fraser, R., Brown, P. O., Karr, J., Holz-Schietinger, C., &amp; Cohn, E. (2018). </w:t>
      </w:r>
      <w:r w:rsidRPr="00310E7E">
        <w:rPr>
          <w:rFonts w:ascii="Times New Roman" w:hAnsi="Times New Roman"/>
          <w:i/>
          <w:iCs/>
          <w:noProof/>
          <w:szCs w:val="24"/>
        </w:rPr>
        <w:t>Methods and compositions for affecting the flavor and aroma profile of consumables, US9943096B2</w:t>
      </w:r>
      <w:r w:rsidRPr="00310E7E">
        <w:rPr>
          <w:rFonts w:ascii="Times New Roman" w:hAnsi="Times New Roman"/>
          <w:noProof/>
          <w:szCs w:val="24"/>
        </w:rPr>
        <w:t xml:space="preserve"> (Vol. 2). </w:t>
      </w:r>
      <w:hyperlink r:id="rId250" w:history="1">
        <w:r w:rsidRPr="000D7A43">
          <w:rPr>
            <w:rStyle w:val="Hyperlink"/>
            <w:rFonts w:ascii="Times New Roman" w:hAnsi="Times New Roman"/>
            <w:noProof/>
            <w:szCs w:val="24"/>
          </w:rPr>
          <w:t>https://patents.google.com/patent/US9943096B2/en</w:t>
        </w:r>
      </w:hyperlink>
    </w:p>
    <w:p w14:paraId="7EAACAF5" w14:textId="7A9BA4E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Fredens, J., Wang, K., de la Torre, D., Funke, L. F. H., Robertson, W. E., Christova, Y., Chia, T., Schmied, W. H., Dunkelmann, D. L., Beránek, V., Uttamapinant, C., Llamazares, A. G., Elliott, T. S., &amp; Chin, J. W. (2019). Total synthesis of </w:t>
      </w:r>
      <w:r w:rsidRPr="003F32D5">
        <w:rPr>
          <w:rFonts w:ascii="Times New Roman" w:hAnsi="Times New Roman"/>
          <w:i/>
          <w:iCs/>
          <w:noProof/>
          <w:szCs w:val="24"/>
        </w:rPr>
        <w:t>Escherichia coli</w:t>
      </w:r>
      <w:r w:rsidRPr="00310E7E">
        <w:rPr>
          <w:rFonts w:ascii="Times New Roman" w:hAnsi="Times New Roman"/>
          <w:noProof/>
          <w:szCs w:val="24"/>
        </w:rPr>
        <w:t xml:space="preserve"> with a recoded genome.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569</w:t>
      </w:r>
      <w:r w:rsidRPr="00310E7E">
        <w:rPr>
          <w:rFonts w:ascii="Times New Roman" w:hAnsi="Times New Roman"/>
          <w:noProof/>
          <w:szCs w:val="24"/>
        </w:rPr>
        <w:t xml:space="preserve">(7757), 514–518. </w:t>
      </w:r>
      <w:hyperlink r:id="rId251" w:history="1">
        <w:r w:rsidRPr="000D7A43">
          <w:rPr>
            <w:rStyle w:val="Hyperlink"/>
            <w:rFonts w:ascii="Times New Roman" w:hAnsi="Times New Roman"/>
            <w:noProof/>
            <w:szCs w:val="24"/>
          </w:rPr>
          <w:t>https://doi.org/10.1038/s41586-019-1192-5</w:t>
        </w:r>
      </w:hyperlink>
    </w:p>
    <w:p w14:paraId="7939215F" w14:textId="43C23B8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French, K. E. (2019). Harnessing synthetic biology for sustainable development. </w:t>
      </w:r>
      <w:r w:rsidRPr="00310E7E">
        <w:rPr>
          <w:rFonts w:ascii="Times New Roman" w:hAnsi="Times New Roman"/>
          <w:i/>
          <w:iCs/>
          <w:noProof/>
          <w:szCs w:val="24"/>
        </w:rPr>
        <w:t>Nature Sustainability</w:t>
      </w:r>
      <w:r w:rsidRPr="00310E7E">
        <w:rPr>
          <w:rFonts w:ascii="Times New Roman" w:hAnsi="Times New Roman"/>
          <w:noProof/>
          <w:szCs w:val="24"/>
        </w:rPr>
        <w:t xml:space="preserve">, </w:t>
      </w:r>
      <w:r w:rsidRPr="00310E7E">
        <w:rPr>
          <w:rFonts w:ascii="Times New Roman" w:hAnsi="Times New Roman"/>
          <w:i/>
          <w:iCs/>
          <w:noProof/>
          <w:szCs w:val="24"/>
        </w:rPr>
        <w:t>2</w:t>
      </w:r>
      <w:r w:rsidRPr="00310E7E">
        <w:rPr>
          <w:rFonts w:ascii="Times New Roman" w:hAnsi="Times New Roman"/>
          <w:noProof/>
          <w:szCs w:val="24"/>
        </w:rPr>
        <w:t>(4), 250–252.</w:t>
      </w:r>
      <w:hyperlink r:id="rId252" w:history="1">
        <w:r w:rsidRPr="000D7A43">
          <w:rPr>
            <w:rStyle w:val="Hyperlink"/>
            <w:rFonts w:ascii="Times New Roman" w:hAnsi="Times New Roman"/>
            <w:noProof/>
            <w:szCs w:val="24"/>
          </w:rPr>
          <w:t xml:space="preserve"> https://doi.org/10.1038/s41893-019-0270-x</w:t>
        </w:r>
      </w:hyperlink>
    </w:p>
    <w:p w14:paraId="1FC229D5" w14:textId="61AD6C3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French, K</w:t>
      </w:r>
      <w:r w:rsidR="000D7A43">
        <w:rPr>
          <w:rFonts w:ascii="Times New Roman" w:hAnsi="Times New Roman"/>
          <w:noProof/>
          <w:szCs w:val="24"/>
        </w:rPr>
        <w:t>.</w:t>
      </w:r>
      <w:r w:rsidRPr="00310E7E">
        <w:rPr>
          <w:rFonts w:ascii="Times New Roman" w:hAnsi="Times New Roman"/>
          <w:noProof/>
          <w:szCs w:val="24"/>
        </w:rPr>
        <w:t xml:space="preserve"> E, Zhou, Z., &amp; Terry, N. (2020). Horizontal ‘gene drives’’ harness indigenous bacteria for bioremediation.’ </w:t>
      </w:r>
      <w:r w:rsidRPr="00310E7E">
        <w:rPr>
          <w:rFonts w:ascii="Times New Roman" w:hAnsi="Times New Roman"/>
          <w:i/>
          <w:iCs/>
          <w:noProof/>
          <w:szCs w:val="24"/>
        </w:rPr>
        <w:t>Scientific Reports</w:t>
      </w:r>
      <w:r w:rsidRPr="00310E7E">
        <w:rPr>
          <w:rFonts w:ascii="Times New Roman" w:hAnsi="Times New Roman"/>
          <w:noProof/>
          <w:szCs w:val="24"/>
        </w:rPr>
        <w:t xml:space="preserve">, </w:t>
      </w:r>
      <w:r w:rsidRPr="00310E7E">
        <w:rPr>
          <w:rFonts w:ascii="Times New Roman" w:hAnsi="Times New Roman"/>
          <w:i/>
          <w:iCs/>
          <w:noProof/>
          <w:szCs w:val="24"/>
        </w:rPr>
        <w:t>10</w:t>
      </w:r>
      <w:r w:rsidRPr="00310E7E">
        <w:rPr>
          <w:rFonts w:ascii="Times New Roman" w:hAnsi="Times New Roman"/>
          <w:noProof/>
          <w:szCs w:val="24"/>
        </w:rPr>
        <w:t xml:space="preserve">(1), 1–11. </w:t>
      </w:r>
      <w:hyperlink r:id="rId253" w:history="1">
        <w:r w:rsidRPr="000D7A43">
          <w:rPr>
            <w:rStyle w:val="Hyperlink"/>
            <w:rFonts w:ascii="Times New Roman" w:hAnsi="Times New Roman"/>
            <w:noProof/>
            <w:szCs w:val="24"/>
          </w:rPr>
          <w:t>https://doi.org/10.1038/s41598-020-72138-9</w:t>
        </w:r>
      </w:hyperlink>
    </w:p>
    <w:p w14:paraId="76CB8EA4" w14:textId="1AA2026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Friedman, R. M., Marshall, J. M., &amp; Akbari, O. S. (2020). Gene Drives: New and Improved. </w:t>
      </w:r>
      <w:r w:rsidRPr="00310E7E">
        <w:rPr>
          <w:rFonts w:ascii="Times New Roman" w:hAnsi="Times New Roman"/>
          <w:i/>
          <w:iCs/>
          <w:noProof/>
          <w:szCs w:val="24"/>
        </w:rPr>
        <w:t>Issues in Science and Technology</w:t>
      </w:r>
      <w:r w:rsidRPr="00310E7E">
        <w:rPr>
          <w:rFonts w:ascii="Times New Roman" w:hAnsi="Times New Roman"/>
          <w:noProof/>
          <w:szCs w:val="24"/>
        </w:rPr>
        <w:t xml:space="preserve">, </w:t>
      </w:r>
      <w:r w:rsidRPr="00310E7E">
        <w:rPr>
          <w:rFonts w:ascii="Times New Roman" w:hAnsi="Times New Roman"/>
          <w:i/>
          <w:iCs/>
          <w:noProof/>
          <w:szCs w:val="24"/>
        </w:rPr>
        <w:t>36</w:t>
      </w:r>
      <w:r w:rsidRPr="00310E7E">
        <w:rPr>
          <w:rFonts w:ascii="Times New Roman" w:hAnsi="Times New Roman"/>
          <w:noProof/>
          <w:szCs w:val="24"/>
        </w:rPr>
        <w:t xml:space="preserve">(2), 72–78. </w:t>
      </w:r>
      <w:hyperlink r:id="rId254" w:history="1">
        <w:r w:rsidRPr="000D7A43">
          <w:rPr>
            <w:rStyle w:val="Hyperlink"/>
            <w:rFonts w:ascii="Times New Roman" w:hAnsi="Times New Roman"/>
            <w:noProof/>
            <w:szCs w:val="24"/>
          </w:rPr>
          <w:t>https://issues.org/issue/36-2/</w:t>
        </w:r>
      </w:hyperlink>
    </w:p>
    <w:p w14:paraId="7A2C279B" w14:textId="0EEB78E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Friends of the Earth. (2010). </w:t>
      </w:r>
      <w:r w:rsidRPr="00310E7E">
        <w:rPr>
          <w:rFonts w:ascii="Times New Roman" w:hAnsi="Times New Roman"/>
          <w:i/>
          <w:iCs/>
          <w:noProof/>
          <w:szCs w:val="24"/>
        </w:rPr>
        <w:t>Synthetic Solutions to the Climate Crisis: The Dangers of Synthetic Biology for Biofuels Production</w:t>
      </w:r>
      <w:r w:rsidRPr="00310E7E">
        <w:rPr>
          <w:rFonts w:ascii="Times New Roman" w:hAnsi="Times New Roman"/>
          <w:noProof/>
          <w:szCs w:val="24"/>
        </w:rPr>
        <w:t xml:space="preserve">. </w:t>
      </w:r>
      <w:hyperlink r:id="rId255" w:history="1">
        <w:r w:rsidRPr="000D7A43">
          <w:rPr>
            <w:rStyle w:val="Hyperlink"/>
            <w:rFonts w:ascii="Times New Roman" w:hAnsi="Times New Roman"/>
            <w:noProof/>
            <w:szCs w:val="24"/>
          </w:rPr>
          <w:t>https://foe.org/wp-content/uploads/wpallimport/files/archive/SynBio-Biofuels_Report_Web.pdf</w:t>
        </w:r>
      </w:hyperlink>
    </w:p>
    <w:p w14:paraId="0AF8533B" w14:textId="4FF474F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Friends of the Earth, International Center for Technology Assessment, &amp; ETC Group. (2012). </w:t>
      </w:r>
      <w:r w:rsidRPr="00310E7E">
        <w:rPr>
          <w:rFonts w:ascii="Times New Roman" w:hAnsi="Times New Roman"/>
          <w:i/>
          <w:iCs/>
          <w:noProof/>
          <w:szCs w:val="24"/>
        </w:rPr>
        <w:t>Principles for the Oversight of Synthetic Biology</w:t>
      </w:r>
      <w:r w:rsidRPr="00310E7E">
        <w:rPr>
          <w:rFonts w:ascii="Times New Roman" w:hAnsi="Times New Roman"/>
          <w:noProof/>
          <w:szCs w:val="24"/>
        </w:rPr>
        <w:t xml:space="preserve">. </w:t>
      </w:r>
      <w:hyperlink r:id="rId256" w:history="1">
        <w:r w:rsidRPr="000D7A43">
          <w:rPr>
            <w:rStyle w:val="Hyperlink"/>
            <w:rFonts w:ascii="Times New Roman" w:hAnsi="Times New Roman"/>
            <w:noProof/>
            <w:szCs w:val="24"/>
          </w:rPr>
          <w:t>https://foe.org/resources/the-principles-for-the-oversight-of-synthetic-biology/</w:t>
        </w:r>
      </w:hyperlink>
    </w:p>
    <w:p w14:paraId="739DC3E4" w14:textId="6CCD339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Friese, C., &amp; Marris, C. (2014). Making De-Extinction Mundane? </w:t>
      </w:r>
      <w:r w:rsidRPr="00310E7E">
        <w:rPr>
          <w:rFonts w:ascii="Times New Roman" w:hAnsi="Times New Roman"/>
          <w:i/>
          <w:iCs/>
          <w:noProof/>
          <w:szCs w:val="24"/>
        </w:rPr>
        <w:t>PLoS Biology</w:t>
      </w:r>
      <w:r w:rsidRPr="00310E7E">
        <w:rPr>
          <w:rFonts w:ascii="Times New Roman" w:hAnsi="Times New Roman"/>
          <w:noProof/>
          <w:szCs w:val="24"/>
        </w:rPr>
        <w:t xml:space="preserve">, </w:t>
      </w:r>
      <w:r w:rsidRPr="00310E7E">
        <w:rPr>
          <w:rFonts w:ascii="Times New Roman" w:hAnsi="Times New Roman"/>
          <w:i/>
          <w:iCs/>
          <w:noProof/>
          <w:szCs w:val="24"/>
        </w:rPr>
        <w:t>12</w:t>
      </w:r>
      <w:r w:rsidRPr="00310E7E">
        <w:rPr>
          <w:rFonts w:ascii="Times New Roman" w:hAnsi="Times New Roman"/>
          <w:noProof/>
          <w:szCs w:val="24"/>
        </w:rPr>
        <w:t xml:space="preserve">(3), e1001825. </w:t>
      </w:r>
      <w:hyperlink r:id="rId257" w:history="1">
        <w:r w:rsidRPr="000D7A43">
          <w:rPr>
            <w:rStyle w:val="Hyperlink"/>
            <w:rFonts w:ascii="Times New Roman" w:hAnsi="Times New Roman"/>
            <w:noProof/>
            <w:szCs w:val="24"/>
          </w:rPr>
          <w:t>https://doi.org/10.1371/journal.pbio.1001825</w:t>
        </w:r>
      </w:hyperlink>
    </w:p>
    <w:p w14:paraId="0670EA48" w14:textId="2BA65EB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Fritsche, S., Poovaiah, C., MacRae, E., &amp; Thorlby, G. (2018). A New Zealand Perspective on the Application and Regulation of Gene Editing.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9</w:t>
      </w:r>
      <w:r w:rsidRPr="00310E7E">
        <w:rPr>
          <w:rFonts w:ascii="Times New Roman" w:hAnsi="Times New Roman"/>
          <w:noProof/>
          <w:szCs w:val="24"/>
        </w:rPr>
        <w:t xml:space="preserve">. </w:t>
      </w:r>
      <w:hyperlink r:id="rId258" w:history="1">
        <w:r w:rsidRPr="000D7A43">
          <w:rPr>
            <w:rStyle w:val="Hyperlink"/>
            <w:rFonts w:ascii="Times New Roman" w:hAnsi="Times New Roman"/>
            <w:noProof/>
            <w:szCs w:val="24"/>
          </w:rPr>
          <w:t>https://doi.org/10.3389/fpls.2018.01323</w:t>
        </w:r>
      </w:hyperlink>
    </w:p>
    <w:p w14:paraId="34D887BA" w14:textId="6C0874D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Gaj, T., Sirk, S. J., Shui, S. L., &amp; Liu, J. (2016). Genome-editing technologies: Principles and applications. </w:t>
      </w:r>
      <w:r w:rsidRPr="00310E7E">
        <w:rPr>
          <w:rFonts w:ascii="Times New Roman" w:hAnsi="Times New Roman"/>
          <w:i/>
          <w:iCs/>
          <w:noProof/>
          <w:szCs w:val="24"/>
        </w:rPr>
        <w:t>Cold Spring Harbor Perspectives in Biology</w:t>
      </w:r>
      <w:r w:rsidRPr="00310E7E">
        <w:rPr>
          <w:rFonts w:ascii="Times New Roman" w:hAnsi="Times New Roman"/>
          <w:noProof/>
          <w:szCs w:val="24"/>
        </w:rPr>
        <w:t xml:space="preserve">, </w:t>
      </w:r>
      <w:r w:rsidRPr="00310E7E">
        <w:rPr>
          <w:rFonts w:ascii="Times New Roman" w:hAnsi="Times New Roman"/>
          <w:i/>
          <w:iCs/>
          <w:noProof/>
          <w:szCs w:val="24"/>
        </w:rPr>
        <w:t>8</w:t>
      </w:r>
      <w:r w:rsidRPr="00310E7E">
        <w:rPr>
          <w:rFonts w:ascii="Times New Roman" w:hAnsi="Times New Roman"/>
          <w:noProof/>
          <w:szCs w:val="24"/>
        </w:rPr>
        <w:t xml:space="preserve">(12). </w:t>
      </w:r>
      <w:hyperlink r:id="rId259" w:history="1">
        <w:r w:rsidRPr="000D7A43">
          <w:rPr>
            <w:rStyle w:val="Hyperlink"/>
            <w:rFonts w:ascii="Times New Roman" w:hAnsi="Times New Roman"/>
            <w:noProof/>
            <w:szCs w:val="24"/>
          </w:rPr>
          <w:t>https://doi.org/10.1101/cshperspect.a023754</w:t>
        </w:r>
      </w:hyperlink>
    </w:p>
    <w:p w14:paraId="71DBAD8E" w14:textId="65DBC86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Gallego-Bartolomé, J. (2020). DNA methylation in plants: mechanisms and tools for targeted manipulation. In </w:t>
      </w:r>
      <w:r w:rsidRPr="00310E7E">
        <w:rPr>
          <w:rFonts w:ascii="Times New Roman" w:hAnsi="Times New Roman"/>
          <w:i/>
          <w:iCs/>
          <w:noProof/>
          <w:szCs w:val="24"/>
        </w:rPr>
        <w:t>New Phytologist</w:t>
      </w:r>
      <w:r w:rsidRPr="00310E7E">
        <w:rPr>
          <w:rFonts w:ascii="Times New Roman" w:hAnsi="Times New Roman"/>
          <w:noProof/>
          <w:szCs w:val="24"/>
        </w:rPr>
        <w:t xml:space="preserve"> (Vol. 227, Issue 1, pp. 38–44). Blackwell Publishing Ltd. </w:t>
      </w:r>
      <w:hyperlink r:id="rId260" w:history="1">
        <w:r w:rsidRPr="000D7A43">
          <w:rPr>
            <w:rStyle w:val="Hyperlink"/>
            <w:rFonts w:ascii="Times New Roman" w:hAnsi="Times New Roman"/>
            <w:noProof/>
            <w:szCs w:val="24"/>
          </w:rPr>
          <w:t>https://doi.org/10.1111/nph.16529</w:t>
        </w:r>
      </w:hyperlink>
    </w:p>
    <w:p w14:paraId="139E0944" w14:textId="2A2B5A1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Ganesan, A. (2018). Epigenetics: the first 25 centuries. </w:t>
      </w:r>
      <w:r w:rsidRPr="00310E7E">
        <w:rPr>
          <w:rFonts w:ascii="Times New Roman" w:hAnsi="Times New Roman"/>
          <w:i/>
          <w:iCs/>
          <w:noProof/>
          <w:szCs w:val="24"/>
        </w:rPr>
        <w:t>Philosophical Transactions of the Royal Society B: Biological Sciences</w:t>
      </w:r>
      <w:r w:rsidRPr="00310E7E">
        <w:rPr>
          <w:rFonts w:ascii="Times New Roman" w:hAnsi="Times New Roman"/>
          <w:noProof/>
          <w:szCs w:val="24"/>
        </w:rPr>
        <w:t xml:space="preserve">, </w:t>
      </w:r>
      <w:r w:rsidRPr="00310E7E">
        <w:rPr>
          <w:rFonts w:ascii="Times New Roman" w:hAnsi="Times New Roman"/>
          <w:i/>
          <w:iCs/>
          <w:noProof/>
          <w:szCs w:val="24"/>
        </w:rPr>
        <w:t>373</w:t>
      </w:r>
      <w:r w:rsidRPr="00310E7E">
        <w:rPr>
          <w:rFonts w:ascii="Times New Roman" w:hAnsi="Times New Roman"/>
          <w:noProof/>
          <w:szCs w:val="24"/>
        </w:rPr>
        <w:t>(1748), 20170067.</w:t>
      </w:r>
      <w:hyperlink r:id="rId261" w:history="1">
        <w:r w:rsidRPr="000D7A43">
          <w:rPr>
            <w:rStyle w:val="Hyperlink"/>
            <w:rFonts w:ascii="Times New Roman" w:hAnsi="Times New Roman"/>
            <w:noProof/>
            <w:szCs w:val="24"/>
          </w:rPr>
          <w:t xml:space="preserve"> https://doi.org/10.1098/rstb.2017.0067</w:t>
        </w:r>
      </w:hyperlink>
    </w:p>
    <w:p w14:paraId="30D61FBD" w14:textId="4E8217ED" w:rsidR="00310E7E" w:rsidRPr="00F8168D"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fr-CA"/>
        </w:rPr>
      </w:pPr>
      <w:r w:rsidRPr="00F8168D">
        <w:rPr>
          <w:rFonts w:ascii="Times New Roman" w:hAnsi="Times New Roman"/>
          <w:noProof/>
          <w:szCs w:val="24"/>
          <w:lang w:val="es-ES"/>
        </w:rPr>
        <w:t xml:space="preserve">Gantz, V. M., &amp; Bier, E. (2015). </w:t>
      </w:r>
      <w:r w:rsidRPr="00310E7E">
        <w:rPr>
          <w:rFonts w:ascii="Times New Roman" w:hAnsi="Times New Roman"/>
          <w:noProof/>
          <w:szCs w:val="24"/>
        </w:rPr>
        <w:t xml:space="preserve">The mutagenic chain reaction: A method for converting heterozygous to homozygous mutations. </w:t>
      </w:r>
      <w:r w:rsidRPr="00F8168D">
        <w:rPr>
          <w:rFonts w:ascii="Times New Roman" w:hAnsi="Times New Roman"/>
          <w:i/>
          <w:iCs/>
          <w:noProof/>
          <w:szCs w:val="24"/>
          <w:lang w:val="fr-CA"/>
        </w:rPr>
        <w:t>Science</w:t>
      </w:r>
      <w:r w:rsidRPr="00F8168D">
        <w:rPr>
          <w:rFonts w:ascii="Times New Roman" w:hAnsi="Times New Roman"/>
          <w:noProof/>
          <w:szCs w:val="24"/>
          <w:lang w:val="fr-CA"/>
        </w:rPr>
        <w:t xml:space="preserve">, </w:t>
      </w:r>
      <w:r w:rsidRPr="00F8168D">
        <w:rPr>
          <w:rFonts w:ascii="Times New Roman" w:hAnsi="Times New Roman"/>
          <w:i/>
          <w:iCs/>
          <w:noProof/>
          <w:szCs w:val="24"/>
          <w:lang w:val="fr-CA"/>
        </w:rPr>
        <w:t>348</w:t>
      </w:r>
      <w:r w:rsidRPr="00F8168D">
        <w:rPr>
          <w:rFonts w:ascii="Times New Roman" w:hAnsi="Times New Roman"/>
          <w:noProof/>
          <w:szCs w:val="24"/>
          <w:lang w:val="fr-CA"/>
        </w:rPr>
        <w:t xml:space="preserve">(6233), 442–444. </w:t>
      </w:r>
      <w:hyperlink r:id="rId262" w:history="1">
        <w:r w:rsidRPr="00F8168D">
          <w:rPr>
            <w:rStyle w:val="Hyperlink"/>
            <w:rFonts w:ascii="Times New Roman" w:hAnsi="Times New Roman"/>
            <w:noProof/>
            <w:szCs w:val="24"/>
            <w:lang w:val="fr-CA"/>
          </w:rPr>
          <w:t>https://doi.org/10.1126/science.aaa5945</w:t>
        </w:r>
      </w:hyperlink>
    </w:p>
    <w:p w14:paraId="218C6BAE" w14:textId="4A42420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fr-CA"/>
        </w:rPr>
        <w:t xml:space="preserve">Gao, W., Xu, W.-T., Huang, K.-L., Guo, M., &amp; Luo, Y.-B. (2018). </w:t>
      </w:r>
      <w:r w:rsidRPr="00310E7E">
        <w:rPr>
          <w:rFonts w:ascii="Times New Roman" w:hAnsi="Times New Roman"/>
          <w:noProof/>
          <w:szCs w:val="24"/>
        </w:rPr>
        <w:t xml:space="preserve">Risk analysis for genome editing-derived food safety in China. </w:t>
      </w:r>
      <w:r w:rsidRPr="00310E7E">
        <w:rPr>
          <w:rFonts w:ascii="Times New Roman" w:hAnsi="Times New Roman"/>
          <w:i/>
          <w:iCs/>
          <w:noProof/>
          <w:szCs w:val="24"/>
        </w:rPr>
        <w:t>Food Control</w:t>
      </w:r>
      <w:r w:rsidRPr="00310E7E">
        <w:rPr>
          <w:rFonts w:ascii="Times New Roman" w:hAnsi="Times New Roman"/>
          <w:noProof/>
          <w:szCs w:val="24"/>
        </w:rPr>
        <w:t xml:space="preserve">, </w:t>
      </w:r>
      <w:r w:rsidRPr="00310E7E">
        <w:rPr>
          <w:rFonts w:ascii="Times New Roman" w:hAnsi="Times New Roman"/>
          <w:i/>
          <w:iCs/>
          <w:noProof/>
          <w:szCs w:val="24"/>
        </w:rPr>
        <w:t>84</w:t>
      </w:r>
      <w:r w:rsidRPr="00310E7E">
        <w:rPr>
          <w:rFonts w:ascii="Times New Roman" w:hAnsi="Times New Roman"/>
          <w:noProof/>
          <w:szCs w:val="24"/>
        </w:rPr>
        <w:t xml:space="preserve">, 128–137. </w:t>
      </w:r>
      <w:hyperlink r:id="rId263" w:history="1">
        <w:r w:rsidRPr="000D7A43">
          <w:rPr>
            <w:rStyle w:val="Hyperlink"/>
            <w:rFonts w:ascii="Times New Roman" w:hAnsi="Times New Roman"/>
            <w:noProof/>
            <w:szCs w:val="24"/>
          </w:rPr>
          <w:t>https://doi.org/10.1016/j.foodcont.2017.07.032</w:t>
        </w:r>
      </w:hyperlink>
    </w:p>
    <w:p w14:paraId="230BB9C5" w14:textId="087E7AF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Gao, X. J., Chong, L. S., Kim, M. S., &amp; Elowitz, M. B. (2018). Programmable protein circuits in living cells.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361</w:t>
      </w:r>
      <w:r w:rsidRPr="00310E7E">
        <w:rPr>
          <w:rFonts w:ascii="Times New Roman" w:hAnsi="Times New Roman"/>
          <w:noProof/>
          <w:szCs w:val="24"/>
        </w:rPr>
        <w:t xml:space="preserve">(6408), 1252–1258. </w:t>
      </w:r>
      <w:hyperlink r:id="rId264" w:history="1">
        <w:r w:rsidRPr="00064777">
          <w:rPr>
            <w:rStyle w:val="Hyperlink"/>
            <w:rFonts w:ascii="Times New Roman" w:hAnsi="Times New Roman"/>
            <w:noProof/>
            <w:szCs w:val="24"/>
          </w:rPr>
          <w:t>https://doi.org/10.1126/science.aat5062</w:t>
        </w:r>
      </w:hyperlink>
    </w:p>
    <w:p w14:paraId="13E27FF4" w14:textId="4C23CB0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García-Granados, R., Lerma-Escalera, J. A., &amp; Morones-Ramírez, J. R. (2019). Metabolic Engineering and Synthetic Biology: Synergies, Future, and Challenges. </w:t>
      </w:r>
      <w:r w:rsidRPr="00310E7E">
        <w:rPr>
          <w:rFonts w:ascii="Times New Roman" w:hAnsi="Times New Roman"/>
          <w:i/>
          <w:iCs/>
          <w:noProof/>
          <w:szCs w:val="24"/>
        </w:rPr>
        <w:t>Frontiers in Bioengineering and Biotechnology</w:t>
      </w:r>
      <w:r w:rsidRPr="00310E7E">
        <w:rPr>
          <w:rFonts w:ascii="Times New Roman" w:hAnsi="Times New Roman"/>
          <w:noProof/>
          <w:szCs w:val="24"/>
        </w:rPr>
        <w:t xml:space="preserve">, </w:t>
      </w:r>
      <w:r w:rsidRPr="00310E7E">
        <w:rPr>
          <w:rFonts w:ascii="Times New Roman" w:hAnsi="Times New Roman"/>
          <w:i/>
          <w:iCs/>
          <w:noProof/>
          <w:szCs w:val="24"/>
        </w:rPr>
        <w:t>7</w:t>
      </w:r>
      <w:r w:rsidRPr="00310E7E">
        <w:rPr>
          <w:rFonts w:ascii="Times New Roman" w:hAnsi="Times New Roman"/>
          <w:noProof/>
          <w:szCs w:val="24"/>
        </w:rPr>
        <w:t xml:space="preserve">. </w:t>
      </w:r>
      <w:hyperlink r:id="rId265" w:history="1">
        <w:r w:rsidRPr="00064777">
          <w:rPr>
            <w:rStyle w:val="Hyperlink"/>
            <w:rFonts w:ascii="Times New Roman" w:hAnsi="Times New Roman"/>
            <w:noProof/>
            <w:szCs w:val="24"/>
          </w:rPr>
          <w:t>https://doi.org/10.3389/fbioe.2019.00036</w:t>
        </w:r>
      </w:hyperlink>
    </w:p>
    <w:p w14:paraId="73536EC2" w14:textId="4F5269E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Garcia, H. G., Sanchez, A., Kuhlman, T., Kondev, J., &amp; Phillips, R. (2010). Transcription by the numbers redux: Experiments and calculations that surprise. In </w:t>
      </w:r>
      <w:r w:rsidRPr="00310E7E">
        <w:rPr>
          <w:rFonts w:ascii="Times New Roman" w:hAnsi="Times New Roman"/>
          <w:i/>
          <w:iCs/>
          <w:noProof/>
          <w:szCs w:val="24"/>
        </w:rPr>
        <w:t>Trends in Cell Biology</w:t>
      </w:r>
      <w:r w:rsidRPr="00310E7E">
        <w:rPr>
          <w:rFonts w:ascii="Times New Roman" w:hAnsi="Times New Roman"/>
          <w:noProof/>
          <w:szCs w:val="24"/>
        </w:rPr>
        <w:t xml:space="preserve"> (Vol. 20, Issue 12, pp. 723–733). NIH Public Access. </w:t>
      </w:r>
      <w:hyperlink r:id="rId266" w:history="1">
        <w:r w:rsidRPr="00064777">
          <w:rPr>
            <w:rStyle w:val="Hyperlink"/>
            <w:rFonts w:ascii="Times New Roman" w:hAnsi="Times New Roman"/>
            <w:noProof/>
            <w:szCs w:val="24"/>
          </w:rPr>
          <w:t>https://doi.org/10.1016/j.tcb.2010.07.002</w:t>
        </w:r>
      </w:hyperlink>
    </w:p>
    <w:p w14:paraId="62CCEE61" w14:textId="5F76E76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Gardner, T. S., Cantor, C. R., &amp; Collins, J. J. (2000). Construction of a genetic toggle switch in </w:t>
      </w:r>
      <w:r w:rsidRPr="003F32D5">
        <w:rPr>
          <w:rFonts w:ascii="Times New Roman" w:hAnsi="Times New Roman"/>
          <w:i/>
          <w:iCs/>
          <w:noProof/>
          <w:szCs w:val="24"/>
        </w:rPr>
        <w:t>Escherichia coli</w:t>
      </w:r>
      <w:r w:rsidRPr="00310E7E">
        <w:rPr>
          <w:rFonts w:ascii="Times New Roman" w:hAnsi="Times New Roman"/>
          <w:noProof/>
          <w:szCs w:val="24"/>
        </w:rPr>
        <w:t xml:space="preserve">.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403</w:t>
      </w:r>
      <w:r w:rsidRPr="00310E7E">
        <w:rPr>
          <w:rFonts w:ascii="Times New Roman" w:hAnsi="Times New Roman"/>
          <w:noProof/>
          <w:szCs w:val="24"/>
        </w:rPr>
        <w:t xml:space="preserve">(6767), 339–342. </w:t>
      </w:r>
      <w:hyperlink r:id="rId267" w:history="1">
        <w:r w:rsidRPr="00064777">
          <w:rPr>
            <w:rStyle w:val="Hyperlink"/>
            <w:rFonts w:ascii="Times New Roman" w:hAnsi="Times New Roman"/>
            <w:noProof/>
            <w:szCs w:val="24"/>
          </w:rPr>
          <w:t>https://doi.org/10.1038/35002131</w:t>
        </w:r>
      </w:hyperlink>
    </w:p>
    <w:p w14:paraId="6AE1DA46" w14:textId="391EFD2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Garenne, D., &amp; Noireaux, V. (2019). Cell-free transcription–translation: engineering biology from the nanometer to the millimeter scale. </w:t>
      </w:r>
      <w:r w:rsidRPr="00310E7E">
        <w:rPr>
          <w:rFonts w:ascii="Times New Roman" w:hAnsi="Times New Roman"/>
          <w:i/>
          <w:iCs/>
          <w:noProof/>
          <w:szCs w:val="24"/>
        </w:rPr>
        <w:t>Current Opinion in Biotechnology</w:t>
      </w:r>
      <w:r w:rsidRPr="00310E7E">
        <w:rPr>
          <w:rFonts w:ascii="Times New Roman" w:hAnsi="Times New Roman"/>
          <w:noProof/>
          <w:szCs w:val="24"/>
        </w:rPr>
        <w:t xml:space="preserve">, </w:t>
      </w:r>
      <w:r w:rsidRPr="00310E7E">
        <w:rPr>
          <w:rFonts w:ascii="Times New Roman" w:hAnsi="Times New Roman"/>
          <w:i/>
          <w:iCs/>
          <w:noProof/>
          <w:szCs w:val="24"/>
        </w:rPr>
        <w:t>58</w:t>
      </w:r>
      <w:r w:rsidRPr="00310E7E">
        <w:rPr>
          <w:rFonts w:ascii="Times New Roman" w:hAnsi="Times New Roman"/>
          <w:noProof/>
          <w:szCs w:val="24"/>
        </w:rPr>
        <w:t xml:space="preserve">, 19–27. </w:t>
      </w:r>
      <w:hyperlink r:id="rId268" w:history="1">
        <w:r w:rsidRPr="00064777">
          <w:rPr>
            <w:rStyle w:val="Hyperlink"/>
            <w:rFonts w:ascii="Times New Roman" w:hAnsi="Times New Roman"/>
            <w:noProof/>
            <w:szCs w:val="24"/>
          </w:rPr>
          <w:t>https://doi.org/10.1016/j.copbio.2018.10.007</w:t>
        </w:r>
      </w:hyperlink>
    </w:p>
    <w:p w14:paraId="757FA3DE" w14:textId="4BF6329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Garfinkel, M. S., Endy, D., Epstein, G. L., &amp; Friedman, R. M. (2007). Synthetic genomics | options for governance. </w:t>
      </w:r>
      <w:r w:rsidRPr="00310E7E">
        <w:rPr>
          <w:rFonts w:ascii="Times New Roman" w:hAnsi="Times New Roman"/>
          <w:i/>
          <w:iCs/>
          <w:noProof/>
          <w:szCs w:val="24"/>
        </w:rPr>
        <w:t>Biosecurity and Bioterrorism : Biodefense Strategy, Practice, and Science</w:t>
      </w:r>
      <w:r w:rsidRPr="00310E7E">
        <w:rPr>
          <w:rFonts w:ascii="Times New Roman" w:hAnsi="Times New Roman"/>
          <w:noProof/>
          <w:szCs w:val="24"/>
        </w:rPr>
        <w:t xml:space="preserve">, </w:t>
      </w:r>
      <w:r w:rsidRPr="00310E7E">
        <w:rPr>
          <w:rFonts w:ascii="Times New Roman" w:hAnsi="Times New Roman"/>
          <w:i/>
          <w:iCs/>
          <w:noProof/>
          <w:szCs w:val="24"/>
        </w:rPr>
        <w:t>5</w:t>
      </w:r>
      <w:r w:rsidRPr="00310E7E">
        <w:rPr>
          <w:rFonts w:ascii="Times New Roman" w:hAnsi="Times New Roman"/>
          <w:noProof/>
          <w:szCs w:val="24"/>
        </w:rPr>
        <w:t>(4), 359–362.</w:t>
      </w:r>
      <w:hyperlink r:id="rId269" w:history="1">
        <w:r w:rsidRPr="00064777">
          <w:rPr>
            <w:rStyle w:val="Hyperlink"/>
            <w:rFonts w:ascii="Times New Roman" w:hAnsi="Times New Roman"/>
            <w:noProof/>
            <w:szCs w:val="24"/>
          </w:rPr>
          <w:t xml:space="preserve"> https://doi.org/10.1089/bsp.2007.0923</w:t>
        </w:r>
      </w:hyperlink>
    </w:p>
    <w:p w14:paraId="3CBE5FFA"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Garfinkel, M. S., &amp; Friedman, R. M. (2010). Synthetic biology and synthetic genomics. In D. Leary &amp; B. Pisupati (Eds.), </w:t>
      </w:r>
      <w:r w:rsidRPr="00310E7E">
        <w:rPr>
          <w:rFonts w:ascii="Times New Roman" w:hAnsi="Times New Roman"/>
          <w:i/>
          <w:iCs/>
          <w:noProof/>
          <w:szCs w:val="24"/>
        </w:rPr>
        <w:t>Future of International Environmental Law</w:t>
      </w:r>
      <w:r w:rsidRPr="00310E7E">
        <w:rPr>
          <w:rFonts w:ascii="Times New Roman" w:hAnsi="Times New Roman"/>
          <w:noProof/>
          <w:szCs w:val="24"/>
        </w:rPr>
        <w:t xml:space="preserve"> (pp. 269–291).</w:t>
      </w:r>
    </w:p>
    <w:p w14:paraId="6E74DC0C" w14:textId="6F9523E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Gassler, T., Sauer, M., Gasser, B., Egermeier, M., Troyer, C., Causon, T., Hann, S., Mattanovich, D., &amp; Steiger, M. G. (2020). The industrial yeast</w:t>
      </w:r>
      <w:r w:rsidRPr="00064777">
        <w:rPr>
          <w:rFonts w:ascii="Times New Roman" w:hAnsi="Times New Roman"/>
          <w:i/>
          <w:iCs/>
          <w:noProof/>
          <w:szCs w:val="24"/>
        </w:rPr>
        <w:t xml:space="preserve"> Pichia pastoris </w:t>
      </w:r>
      <w:r w:rsidRPr="00310E7E">
        <w:rPr>
          <w:rFonts w:ascii="Times New Roman" w:hAnsi="Times New Roman"/>
          <w:noProof/>
          <w:szCs w:val="24"/>
        </w:rPr>
        <w:t xml:space="preserve">is converted from a heterotroph into an autotroph capable of growth on CO2.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38</w:t>
      </w:r>
      <w:r w:rsidRPr="00310E7E">
        <w:rPr>
          <w:rFonts w:ascii="Times New Roman" w:hAnsi="Times New Roman"/>
          <w:noProof/>
          <w:szCs w:val="24"/>
        </w:rPr>
        <w:t xml:space="preserve">(2), 210–216. </w:t>
      </w:r>
      <w:hyperlink r:id="rId270" w:history="1">
        <w:r w:rsidRPr="00064777">
          <w:rPr>
            <w:rStyle w:val="Hyperlink"/>
            <w:rFonts w:ascii="Times New Roman" w:hAnsi="Times New Roman"/>
            <w:noProof/>
            <w:szCs w:val="24"/>
          </w:rPr>
          <w:t>https://doi.org/10.1038/s41587-019-0363-0</w:t>
        </w:r>
      </w:hyperlink>
    </w:p>
    <w:p w14:paraId="142ABD96" w14:textId="4FCC559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Geddes, B. A., Paramasivan, P., Joffrin, A., Thompson, A. L., Christensen, K., Jorrin, B., Brett, P., Conway, S. J., Oldroyd, G. E. D., &amp; Poole, P. S. (2019). Engineering transkingdom signalling in plants to control gene expression in rhizosphere bacteria. </w:t>
      </w:r>
      <w:r w:rsidRPr="00310E7E">
        <w:rPr>
          <w:rFonts w:ascii="Times New Roman" w:hAnsi="Times New Roman"/>
          <w:i/>
          <w:iCs/>
          <w:noProof/>
          <w:szCs w:val="24"/>
        </w:rPr>
        <w:t>Nature Communications</w:t>
      </w:r>
      <w:r w:rsidRPr="00310E7E">
        <w:rPr>
          <w:rFonts w:ascii="Times New Roman" w:hAnsi="Times New Roman"/>
          <w:noProof/>
          <w:szCs w:val="24"/>
        </w:rPr>
        <w:t xml:space="preserve">, </w:t>
      </w:r>
      <w:r w:rsidRPr="00310E7E">
        <w:rPr>
          <w:rFonts w:ascii="Times New Roman" w:hAnsi="Times New Roman"/>
          <w:i/>
          <w:iCs/>
          <w:noProof/>
          <w:szCs w:val="24"/>
        </w:rPr>
        <w:t>10</w:t>
      </w:r>
      <w:r w:rsidRPr="00310E7E">
        <w:rPr>
          <w:rFonts w:ascii="Times New Roman" w:hAnsi="Times New Roman"/>
          <w:noProof/>
          <w:szCs w:val="24"/>
        </w:rPr>
        <w:t xml:space="preserve">(1). </w:t>
      </w:r>
      <w:hyperlink r:id="rId271" w:history="1">
        <w:r w:rsidRPr="00064777">
          <w:rPr>
            <w:rStyle w:val="Hyperlink"/>
            <w:rFonts w:ascii="Times New Roman" w:hAnsi="Times New Roman"/>
            <w:noProof/>
            <w:szCs w:val="24"/>
          </w:rPr>
          <w:t>https://doi.org/10.1038/s41467-019-10882-x</w:t>
        </w:r>
      </w:hyperlink>
    </w:p>
    <w:p w14:paraId="46B7D578" w14:textId="34E7DAC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Gemmell, N. J. (2021). Repetitive DNA: genomic dark matter matters. </w:t>
      </w:r>
      <w:r w:rsidRPr="00310E7E">
        <w:rPr>
          <w:rFonts w:ascii="Times New Roman" w:hAnsi="Times New Roman"/>
          <w:i/>
          <w:iCs/>
          <w:noProof/>
          <w:szCs w:val="24"/>
        </w:rPr>
        <w:t>Nature Reviews Genetics</w:t>
      </w:r>
      <w:r w:rsidRPr="00310E7E">
        <w:rPr>
          <w:rFonts w:ascii="Times New Roman" w:hAnsi="Times New Roman"/>
          <w:noProof/>
          <w:szCs w:val="24"/>
        </w:rPr>
        <w:t xml:space="preserve">. </w:t>
      </w:r>
      <w:hyperlink r:id="rId272" w:history="1">
        <w:r w:rsidRPr="00064777">
          <w:rPr>
            <w:rStyle w:val="Hyperlink"/>
            <w:rFonts w:ascii="Times New Roman" w:hAnsi="Times New Roman"/>
            <w:noProof/>
            <w:szCs w:val="24"/>
          </w:rPr>
          <w:t>https://doi.org/10.1038/s41576-021-00354-8</w:t>
        </w:r>
      </w:hyperlink>
    </w:p>
    <w:p w14:paraId="15853C5B" w14:textId="16622D3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Genovese, N. J., Roberts, R. M., &amp; T</w:t>
      </w:r>
      <w:r w:rsidR="00064777">
        <w:rPr>
          <w:rFonts w:ascii="Times New Roman" w:hAnsi="Times New Roman"/>
          <w:noProof/>
          <w:szCs w:val="24"/>
        </w:rPr>
        <w:t>elugu</w:t>
      </w:r>
      <w:r w:rsidRPr="00310E7E">
        <w:rPr>
          <w:rFonts w:ascii="Times New Roman" w:hAnsi="Times New Roman"/>
          <w:noProof/>
          <w:szCs w:val="24"/>
        </w:rPr>
        <w:t xml:space="preserve">, B. P. V. L. (2015). </w:t>
      </w:r>
      <w:r w:rsidRPr="00310E7E">
        <w:rPr>
          <w:rFonts w:ascii="Times New Roman" w:hAnsi="Times New Roman"/>
          <w:i/>
          <w:iCs/>
          <w:noProof/>
          <w:szCs w:val="24"/>
        </w:rPr>
        <w:t>Method for scalable skeletal muscle lineage specification and cultivation, WO2015066377A1</w:t>
      </w:r>
      <w:r w:rsidRPr="00310E7E">
        <w:rPr>
          <w:rFonts w:ascii="Times New Roman" w:hAnsi="Times New Roman"/>
          <w:noProof/>
          <w:szCs w:val="24"/>
        </w:rPr>
        <w:t xml:space="preserve"> (Issue 12). </w:t>
      </w:r>
      <w:hyperlink r:id="rId273" w:history="1">
        <w:r w:rsidRPr="00064777">
          <w:rPr>
            <w:rStyle w:val="Hyperlink"/>
            <w:rFonts w:ascii="Times New Roman" w:hAnsi="Times New Roman"/>
            <w:noProof/>
            <w:szCs w:val="24"/>
          </w:rPr>
          <w:t>https://patents.google.com/patent/WO2015066377A1</w:t>
        </w:r>
      </w:hyperlink>
    </w:p>
    <w:p w14:paraId="336927C8" w14:textId="7016A1E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Genovese, N. J., S</w:t>
      </w:r>
      <w:r w:rsidR="00064777">
        <w:rPr>
          <w:rFonts w:ascii="Times New Roman" w:hAnsi="Times New Roman"/>
          <w:noProof/>
          <w:szCs w:val="24"/>
        </w:rPr>
        <w:t>chulze</w:t>
      </w:r>
      <w:r w:rsidRPr="00310E7E">
        <w:rPr>
          <w:rFonts w:ascii="Times New Roman" w:hAnsi="Times New Roman"/>
          <w:noProof/>
          <w:szCs w:val="24"/>
        </w:rPr>
        <w:t>, E. N., &amp; D</w:t>
      </w:r>
      <w:r w:rsidR="00064777">
        <w:rPr>
          <w:rFonts w:ascii="Times New Roman" w:hAnsi="Times New Roman"/>
          <w:noProof/>
          <w:szCs w:val="24"/>
        </w:rPr>
        <w:t>esmet</w:t>
      </w:r>
      <w:r w:rsidRPr="00310E7E">
        <w:rPr>
          <w:rFonts w:ascii="Times New Roman" w:hAnsi="Times New Roman"/>
          <w:noProof/>
          <w:szCs w:val="24"/>
        </w:rPr>
        <w:t xml:space="preserve">, D. N. (2018). </w:t>
      </w:r>
      <w:r w:rsidRPr="00310E7E">
        <w:rPr>
          <w:rFonts w:ascii="Times New Roman" w:hAnsi="Times New Roman"/>
          <w:i/>
          <w:iCs/>
          <w:noProof/>
          <w:szCs w:val="24"/>
        </w:rPr>
        <w:t>Compositions and methods for increasing the efficiency of cell cultures used for food production, EP3638777A1</w:t>
      </w:r>
      <w:r w:rsidRPr="00310E7E">
        <w:rPr>
          <w:rFonts w:ascii="Times New Roman" w:hAnsi="Times New Roman"/>
          <w:noProof/>
          <w:szCs w:val="24"/>
        </w:rPr>
        <w:t xml:space="preserve"> (Vol. 2020, Issue 62). </w:t>
      </w:r>
      <w:hyperlink r:id="rId274" w:history="1">
        <w:r w:rsidRPr="00064777">
          <w:rPr>
            <w:rStyle w:val="Hyperlink"/>
            <w:rFonts w:ascii="Times New Roman" w:hAnsi="Times New Roman"/>
            <w:noProof/>
            <w:szCs w:val="24"/>
          </w:rPr>
          <w:t>https://patents.google.com/patent/EP3638777A1</w:t>
        </w:r>
      </w:hyperlink>
    </w:p>
    <w:p w14:paraId="6427EA63" w14:textId="19FF3D1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George, D. R., Kuiken, T., &amp; Delborne, J. A. (2019). Articulating ‘free, prior and informed consent’ (FPIC) for engineered gene drives. </w:t>
      </w:r>
      <w:r w:rsidRPr="00310E7E">
        <w:rPr>
          <w:rFonts w:ascii="Times New Roman" w:hAnsi="Times New Roman"/>
          <w:i/>
          <w:iCs/>
          <w:noProof/>
          <w:szCs w:val="24"/>
        </w:rPr>
        <w:t>Proceedings of the Royal Society B: Biological Sciences</w:t>
      </w:r>
      <w:r w:rsidRPr="00310E7E">
        <w:rPr>
          <w:rFonts w:ascii="Times New Roman" w:hAnsi="Times New Roman"/>
          <w:noProof/>
          <w:szCs w:val="24"/>
        </w:rPr>
        <w:t xml:space="preserve">, </w:t>
      </w:r>
      <w:r w:rsidRPr="00310E7E">
        <w:rPr>
          <w:rFonts w:ascii="Times New Roman" w:hAnsi="Times New Roman"/>
          <w:i/>
          <w:iCs/>
          <w:noProof/>
          <w:szCs w:val="24"/>
        </w:rPr>
        <w:t>286</w:t>
      </w:r>
      <w:r w:rsidRPr="00310E7E">
        <w:rPr>
          <w:rFonts w:ascii="Times New Roman" w:hAnsi="Times New Roman"/>
          <w:noProof/>
          <w:szCs w:val="24"/>
        </w:rPr>
        <w:t xml:space="preserve">(1917), 20191484. </w:t>
      </w:r>
      <w:hyperlink r:id="rId275" w:history="1">
        <w:r w:rsidRPr="00064777">
          <w:rPr>
            <w:rStyle w:val="Hyperlink"/>
            <w:rFonts w:ascii="Times New Roman" w:hAnsi="Times New Roman"/>
            <w:noProof/>
            <w:szCs w:val="24"/>
          </w:rPr>
          <w:t>https://doi.org/10.1098/rspb.2019.1484</w:t>
        </w:r>
      </w:hyperlink>
    </w:p>
    <w:p w14:paraId="6A57C3C9" w14:textId="276E7C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Ghoshal, B., Vong, B., Picard, C. L., Feng, S., Tam, J. M., &amp; Jacobsen, S. E. (2020). A viral guide RNA delivery system for CRISPR-based transcriptional activation and heritable targeted DNA demethylation in </w:t>
      </w:r>
      <w:r w:rsidRPr="00064777">
        <w:rPr>
          <w:rFonts w:ascii="Times New Roman" w:hAnsi="Times New Roman"/>
          <w:i/>
          <w:iCs/>
          <w:noProof/>
          <w:szCs w:val="24"/>
        </w:rPr>
        <w:t>Arabidopsis thaliana</w:t>
      </w:r>
      <w:r w:rsidRPr="00310E7E">
        <w:rPr>
          <w:rFonts w:ascii="Times New Roman" w:hAnsi="Times New Roman"/>
          <w:noProof/>
          <w:szCs w:val="24"/>
        </w:rPr>
        <w:t xml:space="preserve">. </w:t>
      </w:r>
      <w:r w:rsidRPr="00310E7E">
        <w:rPr>
          <w:rFonts w:ascii="Times New Roman" w:hAnsi="Times New Roman"/>
          <w:i/>
          <w:iCs/>
          <w:noProof/>
          <w:szCs w:val="24"/>
        </w:rPr>
        <w:t>PLOS Genetics</w:t>
      </w:r>
      <w:r w:rsidRPr="00310E7E">
        <w:rPr>
          <w:rFonts w:ascii="Times New Roman" w:hAnsi="Times New Roman"/>
          <w:noProof/>
          <w:szCs w:val="24"/>
        </w:rPr>
        <w:t xml:space="preserve">, </w:t>
      </w:r>
      <w:r w:rsidRPr="00310E7E">
        <w:rPr>
          <w:rFonts w:ascii="Times New Roman" w:hAnsi="Times New Roman"/>
          <w:i/>
          <w:iCs/>
          <w:noProof/>
          <w:szCs w:val="24"/>
        </w:rPr>
        <w:t>16</w:t>
      </w:r>
      <w:r w:rsidRPr="00310E7E">
        <w:rPr>
          <w:rFonts w:ascii="Times New Roman" w:hAnsi="Times New Roman"/>
          <w:noProof/>
          <w:szCs w:val="24"/>
        </w:rPr>
        <w:t xml:space="preserve">(12), e1008983. </w:t>
      </w:r>
      <w:hyperlink r:id="rId276" w:history="1">
        <w:r w:rsidRPr="00064777">
          <w:rPr>
            <w:rStyle w:val="Hyperlink"/>
            <w:rFonts w:ascii="Times New Roman" w:hAnsi="Times New Roman"/>
            <w:noProof/>
            <w:szCs w:val="24"/>
          </w:rPr>
          <w:t>https://doi.org/10.1371/journal.pgen.1008983</w:t>
        </w:r>
      </w:hyperlink>
    </w:p>
    <w:p w14:paraId="43FEDE78" w14:textId="77A80DB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Gibson, D. G., Benders, G. A., Andrews-Pfannkoch, C., Denisova, E. A., Baden-Tillson, H., Zaveri, J., Stockwell, T. B., Brownley, A., Thomas, D. W., Algire, M. A., Merryman, C., Young, L., Noskov, V. N., Glass, J. I., Venter, J. C., Hutchison, C. A., &amp; Smith, H. O. (2008). Complete Chemical Synthesis, Assembly, and Cloning of a Mycoplasma genitalium Genome.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319</w:t>
      </w:r>
      <w:r w:rsidRPr="00310E7E">
        <w:rPr>
          <w:rFonts w:ascii="Times New Roman" w:hAnsi="Times New Roman"/>
          <w:noProof/>
          <w:szCs w:val="24"/>
        </w:rPr>
        <w:t>(5867), 1215–1220.</w:t>
      </w:r>
      <w:hyperlink r:id="rId277" w:history="1">
        <w:r w:rsidRPr="00DC5AE4">
          <w:rPr>
            <w:rStyle w:val="Hyperlink"/>
            <w:rFonts w:ascii="Times New Roman" w:hAnsi="Times New Roman"/>
            <w:noProof/>
            <w:szCs w:val="24"/>
          </w:rPr>
          <w:t xml:space="preserve"> https://doi.org/10.1126/science.1151721</w:t>
        </w:r>
      </w:hyperlink>
    </w:p>
    <w:p w14:paraId="23A98361" w14:textId="43924EA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Gibson, D. G., Glass, J. I., Lartigue, C., Noskov, V. N., Chuang, R.-Y., Algire, M. A., Benders, G. A., Montague, M. G., Ma, L., Moodie, M. M., Merryman, C., Vashee, S., Krishnakumar, R., Assad-Garcia, N., Andrews-Pfannkoch, C., Denisova, E. A., Young, L., Qi, Z.-Q., Segall-Shapiro, T. H., … Venter, J. C. (2010). Creation of a Bacterial Cell Controlled by a Chemically Synthesized Genome.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329</w:t>
      </w:r>
      <w:r w:rsidRPr="00310E7E">
        <w:rPr>
          <w:rFonts w:ascii="Times New Roman" w:hAnsi="Times New Roman"/>
          <w:noProof/>
          <w:szCs w:val="24"/>
        </w:rPr>
        <w:t xml:space="preserve">(5987), 52–56. </w:t>
      </w:r>
      <w:hyperlink r:id="rId278" w:history="1">
        <w:r w:rsidRPr="00DC5AE4">
          <w:rPr>
            <w:rStyle w:val="Hyperlink"/>
            <w:rFonts w:ascii="Times New Roman" w:hAnsi="Times New Roman"/>
            <w:noProof/>
            <w:szCs w:val="24"/>
          </w:rPr>
          <w:t>https://doi.org/10.1126/science.1190719</w:t>
        </w:r>
      </w:hyperlink>
    </w:p>
    <w:p w14:paraId="6200426F" w14:textId="260A69B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Gibson, Daniel G, Young, L., Chuang, R.-Y., Venter, J. C., Hutchison, C. A., &amp; Smith, H. O. (2009). Enzymatic assembly of DNA molecules up to several hundred kilobases. </w:t>
      </w:r>
      <w:r w:rsidRPr="00310E7E">
        <w:rPr>
          <w:rFonts w:ascii="Times New Roman" w:hAnsi="Times New Roman"/>
          <w:i/>
          <w:iCs/>
          <w:noProof/>
          <w:szCs w:val="24"/>
        </w:rPr>
        <w:t>Nature Methods</w:t>
      </w:r>
      <w:r w:rsidRPr="00310E7E">
        <w:rPr>
          <w:rFonts w:ascii="Times New Roman" w:hAnsi="Times New Roman"/>
          <w:noProof/>
          <w:szCs w:val="24"/>
        </w:rPr>
        <w:t xml:space="preserve">, </w:t>
      </w:r>
      <w:r w:rsidRPr="00310E7E">
        <w:rPr>
          <w:rFonts w:ascii="Times New Roman" w:hAnsi="Times New Roman"/>
          <w:i/>
          <w:iCs/>
          <w:noProof/>
          <w:szCs w:val="24"/>
        </w:rPr>
        <w:t>6</w:t>
      </w:r>
      <w:r w:rsidRPr="00310E7E">
        <w:rPr>
          <w:rFonts w:ascii="Times New Roman" w:hAnsi="Times New Roman"/>
          <w:noProof/>
          <w:szCs w:val="24"/>
        </w:rPr>
        <w:t>(5), 343–345.</w:t>
      </w:r>
      <w:hyperlink r:id="rId279" w:history="1">
        <w:r w:rsidRPr="00DC5AE4">
          <w:rPr>
            <w:rStyle w:val="Hyperlink"/>
            <w:rFonts w:ascii="Times New Roman" w:hAnsi="Times New Roman"/>
            <w:noProof/>
            <w:szCs w:val="24"/>
          </w:rPr>
          <w:t xml:space="preserve"> https://doi.org/10.1038/nmeth.1318</w:t>
        </w:r>
      </w:hyperlink>
    </w:p>
    <w:p w14:paraId="3F019243" w14:textId="3A0BF2B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Gidoni, D., Srivastava, V., &amp; Carmi, N. (2008). Site-specific excisional recombination strategies for elimination of undesirable transgenes from crop plants. </w:t>
      </w:r>
      <w:r w:rsidRPr="00310E7E">
        <w:rPr>
          <w:rFonts w:ascii="Times New Roman" w:hAnsi="Times New Roman"/>
          <w:i/>
          <w:iCs/>
          <w:noProof/>
          <w:szCs w:val="24"/>
        </w:rPr>
        <w:t>In Vitro Cellular &amp; Developmental Biology - Plant</w:t>
      </w:r>
      <w:r w:rsidRPr="00310E7E">
        <w:rPr>
          <w:rFonts w:ascii="Times New Roman" w:hAnsi="Times New Roman"/>
          <w:noProof/>
          <w:szCs w:val="24"/>
        </w:rPr>
        <w:t xml:space="preserve">, </w:t>
      </w:r>
      <w:r w:rsidRPr="00310E7E">
        <w:rPr>
          <w:rFonts w:ascii="Times New Roman" w:hAnsi="Times New Roman"/>
          <w:i/>
          <w:iCs/>
          <w:noProof/>
          <w:szCs w:val="24"/>
        </w:rPr>
        <w:t>44</w:t>
      </w:r>
      <w:r w:rsidRPr="00310E7E">
        <w:rPr>
          <w:rFonts w:ascii="Times New Roman" w:hAnsi="Times New Roman"/>
          <w:noProof/>
          <w:szCs w:val="24"/>
        </w:rPr>
        <w:t xml:space="preserve">(6), 457–467. </w:t>
      </w:r>
      <w:hyperlink r:id="rId280" w:history="1">
        <w:r w:rsidRPr="00DC5AE4">
          <w:rPr>
            <w:rStyle w:val="Hyperlink"/>
            <w:rFonts w:ascii="Times New Roman" w:hAnsi="Times New Roman"/>
            <w:noProof/>
            <w:szCs w:val="24"/>
          </w:rPr>
          <w:t>https://doi.org/10.1007/s11627-008-9140-3</w:t>
        </w:r>
      </w:hyperlink>
    </w:p>
    <w:p w14:paraId="3A54EA6F" w14:textId="26D0293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Glass, J. I., Merryman, C., Wise, K. S., Hutchison, C. A., &amp; Smith, H. O. (2017). Minimal cells-real and imagined. In </w:t>
      </w:r>
      <w:r w:rsidRPr="00310E7E">
        <w:rPr>
          <w:rFonts w:ascii="Times New Roman" w:hAnsi="Times New Roman"/>
          <w:i/>
          <w:iCs/>
          <w:noProof/>
          <w:szCs w:val="24"/>
        </w:rPr>
        <w:t>Cold Spring Harbor Perspectives in Biology</w:t>
      </w:r>
      <w:r w:rsidRPr="00310E7E">
        <w:rPr>
          <w:rFonts w:ascii="Times New Roman" w:hAnsi="Times New Roman"/>
          <w:noProof/>
          <w:szCs w:val="24"/>
        </w:rPr>
        <w:t xml:space="preserve"> (Vol. 9, Issue 12). Cold Spring Harbor Laboratory Press. </w:t>
      </w:r>
      <w:hyperlink r:id="rId281" w:history="1">
        <w:r w:rsidRPr="00DC5AE4">
          <w:rPr>
            <w:rStyle w:val="Hyperlink"/>
            <w:rFonts w:ascii="Times New Roman" w:hAnsi="Times New Roman"/>
            <w:noProof/>
            <w:szCs w:val="24"/>
          </w:rPr>
          <w:t>https://doi.org/10.1101/cshperspect.a023861</w:t>
        </w:r>
      </w:hyperlink>
    </w:p>
    <w:p w14:paraId="66B272D9"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Glass, J. I., Smith, H. O., Hutchinson III, C. A., Alperovich, N., &amp; Assad-Garcia, N. (2007). </w:t>
      </w:r>
      <w:r w:rsidRPr="00310E7E">
        <w:rPr>
          <w:rFonts w:ascii="Times New Roman" w:hAnsi="Times New Roman"/>
          <w:i/>
          <w:iCs/>
          <w:noProof/>
          <w:szCs w:val="24"/>
        </w:rPr>
        <w:t>Minimal bacterial genome</w:t>
      </w:r>
      <w:r w:rsidRPr="00310E7E">
        <w:rPr>
          <w:rFonts w:ascii="Times New Roman" w:hAnsi="Times New Roman"/>
          <w:noProof/>
          <w:szCs w:val="24"/>
        </w:rPr>
        <w:t xml:space="preserve"> (Patent No. 20070122826). US Patent Office.</w:t>
      </w:r>
    </w:p>
    <w:p w14:paraId="66ECD675" w14:textId="0DB577D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Gleizer, S., Ben-Nissan, R., Bar-On, Y. M., Antonovsky, N., Noor, E., Zohar, Y., Jona, G., Krieger, E., Shamshoum, M., Bar-Even, A., &amp; Milo, R. (2019). Conversion of </w:t>
      </w:r>
      <w:r w:rsidRPr="00DC5AE4">
        <w:rPr>
          <w:rFonts w:ascii="Times New Roman" w:hAnsi="Times New Roman"/>
          <w:i/>
          <w:iCs/>
          <w:noProof/>
          <w:szCs w:val="24"/>
        </w:rPr>
        <w:t>Escherichia coli</w:t>
      </w:r>
      <w:r w:rsidRPr="00310E7E">
        <w:rPr>
          <w:rFonts w:ascii="Times New Roman" w:hAnsi="Times New Roman"/>
          <w:noProof/>
          <w:szCs w:val="24"/>
        </w:rPr>
        <w:t xml:space="preserve"> to Generate All Biomass Carbon from CO2. </w:t>
      </w:r>
      <w:r w:rsidRPr="00310E7E">
        <w:rPr>
          <w:rFonts w:ascii="Times New Roman" w:hAnsi="Times New Roman"/>
          <w:i/>
          <w:iCs/>
          <w:noProof/>
          <w:szCs w:val="24"/>
        </w:rPr>
        <w:t>Cell</w:t>
      </w:r>
      <w:r w:rsidRPr="00310E7E">
        <w:rPr>
          <w:rFonts w:ascii="Times New Roman" w:hAnsi="Times New Roman"/>
          <w:noProof/>
          <w:szCs w:val="24"/>
        </w:rPr>
        <w:t xml:space="preserve">, </w:t>
      </w:r>
      <w:r w:rsidRPr="00310E7E">
        <w:rPr>
          <w:rFonts w:ascii="Times New Roman" w:hAnsi="Times New Roman"/>
          <w:i/>
          <w:iCs/>
          <w:noProof/>
          <w:szCs w:val="24"/>
        </w:rPr>
        <w:t>179</w:t>
      </w:r>
      <w:r w:rsidRPr="00310E7E">
        <w:rPr>
          <w:rFonts w:ascii="Times New Roman" w:hAnsi="Times New Roman"/>
          <w:noProof/>
          <w:szCs w:val="24"/>
        </w:rPr>
        <w:t xml:space="preserve">(6), 1255-1263.e12. </w:t>
      </w:r>
      <w:hyperlink r:id="rId282" w:history="1">
        <w:r w:rsidRPr="00DC5AE4">
          <w:rPr>
            <w:rStyle w:val="Hyperlink"/>
            <w:rFonts w:ascii="Times New Roman" w:hAnsi="Times New Roman"/>
            <w:noProof/>
            <w:szCs w:val="24"/>
          </w:rPr>
          <w:t>https://doi.org/10.1016/j.cell.2019.11.009</w:t>
        </w:r>
      </w:hyperlink>
    </w:p>
    <w:p w14:paraId="26EC285D" w14:textId="22DFADB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Glowka, Lyle, Burhenne-Guilmin, F., &amp; Synge, H. (1994). </w:t>
      </w:r>
      <w:r w:rsidRPr="00310E7E">
        <w:rPr>
          <w:rFonts w:ascii="Times New Roman" w:hAnsi="Times New Roman"/>
          <w:i/>
          <w:iCs/>
          <w:noProof/>
          <w:szCs w:val="24"/>
        </w:rPr>
        <w:t>A Guide to the CBD</w:t>
      </w:r>
      <w:r w:rsidRPr="00310E7E">
        <w:rPr>
          <w:rFonts w:ascii="Times New Roman" w:hAnsi="Times New Roman"/>
          <w:noProof/>
          <w:szCs w:val="24"/>
        </w:rPr>
        <w:t xml:space="preserve">. IUCN, International Union for Conservation of Nature. </w:t>
      </w:r>
      <w:hyperlink r:id="rId283" w:history="1">
        <w:r w:rsidRPr="00DC5AE4">
          <w:rPr>
            <w:rStyle w:val="Hyperlink"/>
            <w:rFonts w:ascii="Times New Roman" w:hAnsi="Times New Roman"/>
            <w:noProof/>
            <w:szCs w:val="24"/>
          </w:rPr>
          <w:t>https://portals.iucn.org/library/efiles/documents/EPLP-no.030.pdf</w:t>
        </w:r>
      </w:hyperlink>
    </w:p>
    <w:p w14:paraId="4CD533CD" w14:textId="34B6F30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Godwin, J., Serr, M., Barnhill-Dilling, S. K., Blondel, D. V., Brown, P. R., Campbell, K., Delborne, J., Lloyd, A. L., Oh, K. P., Prowse, T. A. A., Saah, R., &amp; Thomas, P. (2019). Rodent gene drives for conservation: opportunities and data needs. </w:t>
      </w:r>
      <w:r w:rsidRPr="00310E7E">
        <w:rPr>
          <w:rFonts w:ascii="Times New Roman" w:hAnsi="Times New Roman"/>
          <w:i/>
          <w:iCs/>
          <w:noProof/>
          <w:szCs w:val="24"/>
        </w:rPr>
        <w:t>Proceedings of the Royal Society B: Biological Sciences</w:t>
      </w:r>
      <w:r w:rsidRPr="00310E7E">
        <w:rPr>
          <w:rFonts w:ascii="Times New Roman" w:hAnsi="Times New Roman"/>
          <w:noProof/>
          <w:szCs w:val="24"/>
        </w:rPr>
        <w:t xml:space="preserve">, </w:t>
      </w:r>
      <w:r w:rsidRPr="00310E7E">
        <w:rPr>
          <w:rFonts w:ascii="Times New Roman" w:hAnsi="Times New Roman"/>
          <w:i/>
          <w:iCs/>
          <w:noProof/>
          <w:szCs w:val="24"/>
        </w:rPr>
        <w:t>286</w:t>
      </w:r>
      <w:r w:rsidRPr="00310E7E">
        <w:rPr>
          <w:rFonts w:ascii="Times New Roman" w:hAnsi="Times New Roman"/>
          <w:noProof/>
          <w:szCs w:val="24"/>
        </w:rPr>
        <w:t xml:space="preserve">(1914), 20191606. </w:t>
      </w:r>
      <w:hyperlink r:id="rId284" w:history="1">
        <w:r w:rsidRPr="00DC5AE4">
          <w:rPr>
            <w:rStyle w:val="Hyperlink"/>
            <w:rFonts w:ascii="Times New Roman" w:hAnsi="Times New Roman"/>
            <w:noProof/>
            <w:szCs w:val="24"/>
          </w:rPr>
          <w:t>https://doi.org/10.1098/rspb.2019.1606</w:t>
        </w:r>
      </w:hyperlink>
    </w:p>
    <w:p w14:paraId="2A312C45" w14:textId="161BF82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Gohil, N., Bhattacharjee, G., Khambhati, K., Braddick, D., &amp; Singh, V. (2019). Engineering Strategies in Microorganisms for the Enhanced Production of Squalene: Advances, Challenges and Opportunities. </w:t>
      </w:r>
      <w:r w:rsidRPr="00310E7E">
        <w:rPr>
          <w:rFonts w:ascii="Times New Roman" w:hAnsi="Times New Roman"/>
          <w:i/>
          <w:iCs/>
          <w:noProof/>
          <w:szCs w:val="24"/>
        </w:rPr>
        <w:t>Frontiers in Bioengineering and Biotechnology</w:t>
      </w:r>
      <w:r w:rsidRPr="00310E7E">
        <w:rPr>
          <w:rFonts w:ascii="Times New Roman" w:hAnsi="Times New Roman"/>
          <w:noProof/>
          <w:szCs w:val="24"/>
        </w:rPr>
        <w:t xml:space="preserve">, </w:t>
      </w:r>
      <w:r w:rsidRPr="00310E7E">
        <w:rPr>
          <w:rFonts w:ascii="Times New Roman" w:hAnsi="Times New Roman"/>
          <w:i/>
          <w:iCs/>
          <w:noProof/>
          <w:szCs w:val="24"/>
        </w:rPr>
        <w:t>7</w:t>
      </w:r>
      <w:r w:rsidRPr="00310E7E">
        <w:rPr>
          <w:rFonts w:ascii="Times New Roman" w:hAnsi="Times New Roman"/>
          <w:noProof/>
          <w:szCs w:val="24"/>
        </w:rPr>
        <w:t xml:space="preserve">. </w:t>
      </w:r>
      <w:hyperlink r:id="rId285" w:history="1">
        <w:r w:rsidRPr="00DC5AE4">
          <w:rPr>
            <w:rStyle w:val="Hyperlink"/>
            <w:rFonts w:ascii="Times New Roman" w:hAnsi="Times New Roman"/>
            <w:noProof/>
            <w:szCs w:val="24"/>
          </w:rPr>
          <w:t>https://doi.org/10.3389/fbioe.2019.00050</w:t>
        </w:r>
      </w:hyperlink>
    </w:p>
    <w:p w14:paraId="3B7C2304"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Goldblast, J. (1997). The Biological Weapons Convention - An overview. </w:t>
      </w:r>
      <w:r w:rsidRPr="00310E7E">
        <w:rPr>
          <w:rFonts w:ascii="Times New Roman" w:hAnsi="Times New Roman"/>
          <w:i/>
          <w:iCs/>
          <w:noProof/>
          <w:szCs w:val="24"/>
        </w:rPr>
        <w:t>International Review of the Red Cross</w:t>
      </w:r>
      <w:r w:rsidRPr="00310E7E">
        <w:rPr>
          <w:rFonts w:ascii="Times New Roman" w:hAnsi="Times New Roman"/>
          <w:noProof/>
          <w:szCs w:val="24"/>
        </w:rPr>
        <w:t xml:space="preserve">, </w:t>
      </w:r>
      <w:r w:rsidRPr="00310E7E">
        <w:rPr>
          <w:rFonts w:ascii="Times New Roman" w:hAnsi="Times New Roman"/>
          <w:i/>
          <w:iCs/>
          <w:noProof/>
          <w:szCs w:val="24"/>
        </w:rPr>
        <w:t>318</w:t>
      </w:r>
      <w:r w:rsidRPr="00310E7E">
        <w:rPr>
          <w:rFonts w:ascii="Times New Roman" w:hAnsi="Times New Roman"/>
          <w:noProof/>
          <w:szCs w:val="24"/>
        </w:rPr>
        <w:t>.</w:t>
      </w:r>
    </w:p>
    <w:p w14:paraId="24582307" w14:textId="1E09FB2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Goldman, N., Bertone, P., Chen, S., Dessimoz, C., LeProust, E. M., Sipos, B., &amp; Birney, E. (2013). Towards practical, high-capacity, low-maintenance information storage in synthesized DNA.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494</w:t>
      </w:r>
      <w:r w:rsidRPr="00310E7E">
        <w:rPr>
          <w:rFonts w:ascii="Times New Roman" w:hAnsi="Times New Roman"/>
          <w:noProof/>
          <w:szCs w:val="24"/>
        </w:rPr>
        <w:t xml:space="preserve">(7435), 77–80. </w:t>
      </w:r>
      <w:hyperlink r:id="rId286" w:history="1">
        <w:r w:rsidRPr="00DC5AE4">
          <w:rPr>
            <w:rStyle w:val="Hyperlink"/>
            <w:rFonts w:ascii="Times New Roman" w:hAnsi="Times New Roman"/>
            <w:noProof/>
            <w:szCs w:val="24"/>
          </w:rPr>
          <w:t>https://doi.org/10.1038/nature11875</w:t>
        </w:r>
      </w:hyperlink>
    </w:p>
    <w:p w14:paraId="64447D76" w14:textId="3CFA68E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Gong, P., Epton, M. J., Fu, G., Scaife, S., Hiscox, A., Condon, K. C., Condon, G. C., Morrison, N. I., Kelly, D. W., Dafa’Alla, T., Coleman, P. G., &amp; Alphey, L. (2005). A dominant lethal genetic system for autocidal control of the Mediterranean fruitfly.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23</w:t>
      </w:r>
      <w:r w:rsidRPr="00310E7E">
        <w:rPr>
          <w:rFonts w:ascii="Times New Roman" w:hAnsi="Times New Roman"/>
          <w:noProof/>
          <w:szCs w:val="24"/>
        </w:rPr>
        <w:t xml:space="preserve">(4), 453–456. </w:t>
      </w:r>
      <w:hyperlink r:id="rId287" w:history="1">
        <w:r w:rsidRPr="00DC5AE4">
          <w:rPr>
            <w:rStyle w:val="Hyperlink"/>
            <w:rFonts w:ascii="Times New Roman" w:hAnsi="Times New Roman"/>
            <w:noProof/>
            <w:szCs w:val="24"/>
          </w:rPr>
          <w:t>https://doi.org/10.1038/nbt1071</w:t>
        </w:r>
      </w:hyperlink>
    </w:p>
    <w:p w14:paraId="328E015E" w14:textId="1DA4D65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Graeff, N. De, Jongsma, K. R., Johnston, J., Hartley, S., &amp; Bredenoord, A. L. (2019). The ethics of genome editing in non-human animals: A systematic review of reasons reported in the academic literature. In </w:t>
      </w:r>
      <w:r w:rsidRPr="00310E7E">
        <w:rPr>
          <w:rFonts w:ascii="Times New Roman" w:hAnsi="Times New Roman"/>
          <w:i/>
          <w:iCs/>
          <w:noProof/>
          <w:szCs w:val="24"/>
        </w:rPr>
        <w:t>Philosophical Transactions of the Royal Society B: Biological Sciences</w:t>
      </w:r>
      <w:r w:rsidRPr="00310E7E">
        <w:rPr>
          <w:rFonts w:ascii="Times New Roman" w:hAnsi="Times New Roman"/>
          <w:noProof/>
          <w:szCs w:val="24"/>
        </w:rPr>
        <w:t xml:space="preserve"> (Vol. 374, Issue 1772). Royal Society Publishing.</w:t>
      </w:r>
      <w:hyperlink r:id="rId288" w:history="1">
        <w:r w:rsidRPr="00DC5AE4">
          <w:rPr>
            <w:rStyle w:val="Hyperlink"/>
            <w:rFonts w:ascii="Times New Roman" w:hAnsi="Times New Roman"/>
            <w:noProof/>
            <w:szCs w:val="24"/>
          </w:rPr>
          <w:t xml:space="preserve"> https://doi.org/10.1098/rstb.2018.0106</w:t>
        </w:r>
      </w:hyperlink>
    </w:p>
    <w:p w14:paraId="0CD74366" w14:textId="5C892FB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Grass, R. N., Heckel, R., Puddu, M., Paunescu, D., &amp; Stark, W. J. (2015). Robust Chemical Preservation of Digital Information on DNA in Silica with Error-Correcting Codes. </w:t>
      </w:r>
      <w:r w:rsidRPr="00310E7E">
        <w:rPr>
          <w:rFonts w:ascii="Times New Roman" w:hAnsi="Times New Roman"/>
          <w:i/>
          <w:iCs/>
          <w:noProof/>
          <w:szCs w:val="24"/>
        </w:rPr>
        <w:t>Angewandte Chemie International Edition</w:t>
      </w:r>
      <w:r w:rsidRPr="00310E7E">
        <w:rPr>
          <w:rFonts w:ascii="Times New Roman" w:hAnsi="Times New Roman"/>
          <w:noProof/>
          <w:szCs w:val="24"/>
        </w:rPr>
        <w:t xml:space="preserve">, </w:t>
      </w:r>
      <w:r w:rsidRPr="00310E7E">
        <w:rPr>
          <w:rFonts w:ascii="Times New Roman" w:hAnsi="Times New Roman"/>
          <w:i/>
          <w:iCs/>
          <w:noProof/>
          <w:szCs w:val="24"/>
        </w:rPr>
        <w:t>54</w:t>
      </w:r>
      <w:r w:rsidRPr="00310E7E">
        <w:rPr>
          <w:rFonts w:ascii="Times New Roman" w:hAnsi="Times New Roman"/>
          <w:noProof/>
          <w:szCs w:val="24"/>
        </w:rPr>
        <w:t xml:space="preserve">(8), 2552–2555. </w:t>
      </w:r>
      <w:hyperlink r:id="rId289" w:history="1">
        <w:r w:rsidRPr="00CC5C9D">
          <w:rPr>
            <w:rStyle w:val="Hyperlink"/>
            <w:rFonts w:ascii="Times New Roman" w:hAnsi="Times New Roman"/>
            <w:noProof/>
            <w:szCs w:val="24"/>
          </w:rPr>
          <w:t>https://doi.org/10.1002/anie.201411378</w:t>
        </w:r>
      </w:hyperlink>
    </w:p>
    <w:p w14:paraId="39416823" w14:textId="3EDCB13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Gratwicke, B., Bennett, E., Broad, S., Christie, S., Dutton, A., Gabriel, G., Kirkpatrick, Cr., &amp; Nowell, K. (2008). The World Can’t Have Wild Tigers and Eat Them, Too. </w:t>
      </w:r>
      <w:r w:rsidRPr="00310E7E">
        <w:rPr>
          <w:rFonts w:ascii="Times New Roman" w:hAnsi="Times New Roman"/>
          <w:i/>
          <w:iCs/>
          <w:noProof/>
          <w:szCs w:val="24"/>
        </w:rPr>
        <w:t>Conservation Biology</w:t>
      </w:r>
      <w:r w:rsidRPr="00310E7E">
        <w:rPr>
          <w:rFonts w:ascii="Times New Roman" w:hAnsi="Times New Roman"/>
          <w:noProof/>
          <w:szCs w:val="24"/>
        </w:rPr>
        <w:t xml:space="preserve">, </w:t>
      </w:r>
      <w:r w:rsidRPr="00310E7E">
        <w:rPr>
          <w:rFonts w:ascii="Times New Roman" w:hAnsi="Times New Roman"/>
          <w:i/>
          <w:iCs/>
          <w:noProof/>
          <w:szCs w:val="24"/>
        </w:rPr>
        <w:t>22</w:t>
      </w:r>
      <w:r w:rsidRPr="00310E7E">
        <w:rPr>
          <w:rFonts w:ascii="Times New Roman" w:hAnsi="Times New Roman"/>
          <w:noProof/>
          <w:szCs w:val="24"/>
        </w:rPr>
        <w:t xml:space="preserve">(1), 222–223. </w:t>
      </w:r>
      <w:hyperlink r:id="rId290" w:history="1">
        <w:r w:rsidRPr="00CC5C9D">
          <w:rPr>
            <w:rStyle w:val="Hyperlink"/>
            <w:rFonts w:ascii="Times New Roman" w:hAnsi="Times New Roman"/>
            <w:noProof/>
            <w:szCs w:val="24"/>
          </w:rPr>
          <w:t>https://doi.org/10.1111/j.1523-1739.2007.00802.x</w:t>
        </w:r>
      </w:hyperlink>
    </w:p>
    <w:p w14:paraId="1D44D684"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Gray, A. (2012). Problem Formulation in Environmental Risk Assessment for Genetically Modified Crops: A Practitioner’s Approach. In </w:t>
      </w:r>
      <w:r w:rsidRPr="00310E7E">
        <w:rPr>
          <w:rFonts w:ascii="Times New Roman" w:hAnsi="Times New Roman"/>
          <w:i/>
          <w:iCs/>
          <w:noProof/>
          <w:szCs w:val="24"/>
        </w:rPr>
        <w:t>Collection of Biosafety Reviews</w:t>
      </w:r>
      <w:r w:rsidRPr="00310E7E">
        <w:rPr>
          <w:rFonts w:ascii="Times New Roman" w:hAnsi="Times New Roman"/>
          <w:noProof/>
          <w:szCs w:val="24"/>
        </w:rPr>
        <w:t xml:space="preserve"> (Vol. 6).</w:t>
      </w:r>
    </w:p>
    <w:p w14:paraId="74E64A96" w14:textId="3D4BEE4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Gray, P., Meek, S., Griffiths, P., Trapani, J., Small, I., Vickers, C., Waldby, C., &amp; Wood, R. (2018). </w:t>
      </w:r>
      <w:r w:rsidRPr="00310E7E">
        <w:rPr>
          <w:rFonts w:ascii="Times New Roman" w:hAnsi="Times New Roman"/>
          <w:i/>
          <w:iCs/>
          <w:noProof/>
          <w:szCs w:val="24"/>
        </w:rPr>
        <w:t>Synthetic Biology in Australia: An Outlook to 2030</w:t>
      </w:r>
      <w:r w:rsidRPr="00310E7E">
        <w:rPr>
          <w:rFonts w:ascii="Times New Roman" w:hAnsi="Times New Roman"/>
          <w:noProof/>
          <w:szCs w:val="24"/>
        </w:rPr>
        <w:t xml:space="preserve">. Australian Council of Learned Academies. </w:t>
      </w:r>
      <w:hyperlink r:id="rId291" w:history="1">
        <w:r w:rsidRPr="00CC5C9D">
          <w:rPr>
            <w:rStyle w:val="Hyperlink"/>
            <w:rFonts w:ascii="Times New Roman" w:hAnsi="Times New Roman"/>
            <w:noProof/>
            <w:szCs w:val="24"/>
          </w:rPr>
          <w:t>www.acola.org.au</w:t>
        </w:r>
      </w:hyperlink>
    </w:p>
    <w:p w14:paraId="41C84504" w14:textId="7F0CE80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Green, A. A., Kim, J., Ma, D., Silver, P. A., Collins, J. J., &amp; Yin, P. (2017). Complex cellular logic computation using ribocomputing devices.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548</w:t>
      </w:r>
      <w:r w:rsidRPr="00310E7E">
        <w:rPr>
          <w:rFonts w:ascii="Times New Roman" w:hAnsi="Times New Roman"/>
          <w:noProof/>
          <w:szCs w:val="24"/>
        </w:rPr>
        <w:t xml:space="preserve">(7665), 117–121. </w:t>
      </w:r>
      <w:hyperlink r:id="rId292" w:history="1">
        <w:r w:rsidRPr="00CC5C9D">
          <w:rPr>
            <w:rStyle w:val="Hyperlink"/>
            <w:rFonts w:ascii="Times New Roman" w:hAnsi="Times New Roman"/>
            <w:noProof/>
            <w:szCs w:val="24"/>
          </w:rPr>
          <w:t>https://doi.org/10.1038/nature23271</w:t>
        </w:r>
      </w:hyperlink>
    </w:p>
    <w:p w14:paraId="3B0C9347" w14:textId="5D5ED61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Gregorowius, D., &amp; Deplazes-Zemp, A. (2016). Societal impact of synthetic biology: responsible research and innovation (RRI). </w:t>
      </w:r>
      <w:r w:rsidRPr="00310E7E">
        <w:rPr>
          <w:rFonts w:ascii="Times New Roman" w:hAnsi="Times New Roman"/>
          <w:i/>
          <w:iCs/>
          <w:noProof/>
          <w:szCs w:val="24"/>
        </w:rPr>
        <w:t>Essays in Biochemistry</w:t>
      </w:r>
      <w:r w:rsidRPr="00310E7E">
        <w:rPr>
          <w:rFonts w:ascii="Times New Roman" w:hAnsi="Times New Roman"/>
          <w:noProof/>
          <w:szCs w:val="24"/>
        </w:rPr>
        <w:t xml:space="preserve">, </w:t>
      </w:r>
      <w:r w:rsidRPr="00310E7E">
        <w:rPr>
          <w:rFonts w:ascii="Times New Roman" w:hAnsi="Times New Roman"/>
          <w:i/>
          <w:iCs/>
          <w:noProof/>
          <w:szCs w:val="24"/>
        </w:rPr>
        <w:t>60</w:t>
      </w:r>
      <w:r w:rsidRPr="00310E7E">
        <w:rPr>
          <w:rFonts w:ascii="Times New Roman" w:hAnsi="Times New Roman"/>
          <w:noProof/>
          <w:szCs w:val="24"/>
        </w:rPr>
        <w:t xml:space="preserve">(4). </w:t>
      </w:r>
      <w:hyperlink r:id="rId293" w:history="1">
        <w:r w:rsidRPr="00CC5C9D">
          <w:rPr>
            <w:rStyle w:val="Hyperlink"/>
            <w:rFonts w:ascii="Times New Roman" w:hAnsi="Times New Roman"/>
            <w:noProof/>
            <w:szCs w:val="24"/>
          </w:rPr>
          <w:t>https://doi.org/10.1042/EBC20160039</w:t>
        </w:r>
      </w:hyperlink>
    </w:p>
    <w:p w14:paraId="6C7AE90D" w14:textId="1BBBE73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Grindley, N. D. F., Whiteson, K. L., &amp; Rice, P. A. (2006). Mechanisms of Site-Specific Recombination. </w:t>
      </w:r>
      <w:r w:rsidRPr="00310E7E">
        <w:rPr>
          <w:rFonts w:ascii="Times New Roman" w:hAnsi="Times New Roman"/>
          <w:i/>
          <w:iCs/>
          <w:noProof/>
          <w:szCs w:val="24"/>
        </w:rPr>
        <w:t>Annual Review of Biochemistry</w:t>
      </w:r>
      <w:r w:rsidRPr="00310E7E">
        <w:rPr>
          <w:rFonts w:ascii="Times New Roman" w:hAnsi="Times New Roman"/>
          <w:noProof/>
          <w:szCs w:val="24"/>
        </w:rPr>
        <w:t xml:space="preserve">, </w:t>
      </w:r>
      <w:r w:rsidRPr="00310E7E">
        <w:rPr>
          <w:rFonts w:ascii="Times New Roman" w:hAnsi="Times New Roman"/>
          <w:i/>
          <w:iCs/>
          <w:noProof/>
          <w:szCs w:val="24"/>
        </w:rPr>
        <w:t>75</w:t>
      </w:r>
      <w:r w:rsidRPr="00310E7E">
        <w:rPr>
          <w:rFonts w:ascii="Times New Roman" w:hAnsi="Times New Roman"/>
          <w:noProof/>
          <w:szCs w:val="24"/>
        </w:rPr>
        <w:t xml:space="preserve">(1), 567–605. </w:t>
      </w:r>
      <w:hyperlink r:id="rId294" w:history="1">
        <w:r w:rsidRPr="00CC5C9D">
          <w:rPr>
            <w:rStyle w:val="Hyperlink"/>
            <w:rFonts w:ascii="Times New Roman" w:hAnsi="Times New Roman"/>
            <w:noProof/>
            <w:szCs w:val="24"/>
          </w:rPr>
          <w:t>https://doi.org/10.1146/annurev.biochem.73.011303.073908</w:t>
        </w:r>
      </w:hyperlink>
    </w:p>
    <w:p w14:paraId="424B84E5" w14:textId="0405E6A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Grohmann, L., Keilwagen, J., Duensing, N., Dagand, E., Hartung, F., Wilhelm, R., Bendiek, J., &amp; Sprink, T. (2019). Detection and Identification of Genome Editing in Plants: Challenges and Opportunities.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10</w:t>
      </w:r>
      <w:r w:rsidRPr="00310E7E">
        <w:rPr>
          <w:rFonts w:ascii="Times New Roman" w:hAnsi="Times New Roman"/>
          <w:noProof/>
          <w:szCs w:val="24"/>
        </w:rPr>
        <w:t xml:space="preserve">. </w:t>
      </w:r>
      <w:hyperlink r:id="rId295" w:history="1">
        <w:r w:rsidRPr="00CC5C9D">
          <w:rPr>
            <w:rStyle w:val="Hyperlink"/>
            <w:rFonts w:ascii="Times New Roman" w:hAnsi="Times New Roman"/>
            <w:noProof/>
            <w:szCs w:val="24"/>
          </w:rPr>
          <w:t>https://doi.org/10.3389/fpls.2019.00236</w:t>
        </w:r>
      </w:hyperlink>
    </w:p>
    <w:p w14:paraId="663611B1" w14:textId="5DD330E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Gronvall, G. K. (2018). Safety, security, and serving the public interest in synthetic biology. </w:t>
      </w:r>
      <w:r w:rsidRPr="00310E7E">
        <w:rPr>
          <w:rFonts w:ascii="Times New Roman" w:hAnsi="Times New Roman"/>
          <w:i/>
          <w:iCs/>
          <w:noProof/>
          <w:szCs w:val="24"/>
        </w:rPr>
        <w:t>Journal of Industrial Microbiology and Biotechnology</w:t>
      </w:r>
      <w:r w:rsidRPr="00310E7E">
        <w:rPr>
          <w:rFonts w:ascii="Times New Roman" w:hAnsi="Times New Roman"/>
          <w:noProof/>
          <w:szCs w:val="24"/>
        </w:rPr>
        <w:t xml:space="preserve">, </w:t>
      </w:r>
      <w:r w:rsidRPr="00310E7E">
        <w:rPr>
          <w:rFonts w:ascii="Times New Roman" w:hAnsi="Times New Roman"/>
          <w:i/>
          <w:iCs/>
          <w:noProof/>
          <w:szCs w:val="24"/>
        </w:rPr>
        <w:t>45</w:t>
      </w:r>
      <w:r w:rsidRPr="00310E7E">
        <w:rPr>
          <w:rFonts w:ascii="Times New Roman" w:hAnsi="Times New Roman"/>
          <w:noProof/>
          <w:szCs w:val="24"/>
        </w:rPr>
        <w:t xml:space="preserve">(7), 463–466. </w:t>
      </w:r>
      <w:hyperlink r:id="rId296" w:history="1">
        <w:r w:rsidRPr="00CC5C9D">
          <w:rPr>
            <w:rStyle w:val="Hyperlink"/>
            <w:rFonts w:ascii="Times New Roman" w:hAnsi="Times New Roman"/>
            <w:noProof/>
            <w:szCs w:val="24"/>
          </w:rPr>
          <w:t>https://doi.org/10.1007/s10295-018-2026-4</w:t>
        </w:r>
      </w:hyperlink>
    </w:p>
    <w:p w14:paraId="43519E99" w14:textId="13B62DC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Grunwald, H. A., Gantz, V. M., Poplawski, G., Xu, X.-R. S., Bier, E., &amp; Cooper, K. L. (2019). Super-Mendelian inheritance mediated by CRISPR–Cas9 in the female mouse germline.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566</w:t>
      </w:r>
      <w:r w:rsidRPr="00310E7E">
        <w:rPr>
          <w:rFonts w:ascii="Times New Roman" w:hAnsi="Times New Roman"/>
          <w:noProof/>
          <w:szCs w:val="24"/>
        </w:rPr>
        <w:t xml:space="preserve">(7742), 105–109. </w:t>
      </w:r>
      <w:hyperlink r:id="rId297" w:history="1">
        <w:r w:rsidRPr="00CC5C9D">
          <w:rPr>
            <w:rStyle w:val="Hyperlink"/>
            <w:rFonts w:ascii="Times New Roman" w:hAnsi="Times New Roman"/>
            <w:noProof/>
            <w:szCs w:val="24"/>
          </w:rPr>
          <w:t>https://doi.org/10.1038/s41586-019-0875-2</w:t>
        </w:r>
      </w:hyperlink>
    </w:p>
    <w:p w14:paraId="2D3E319E" w14:textId="6E86EAE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Grushkin, D., Kuiken, T., &amp; Millet, P. (2013). Seven Myths and Realities about Do-It-Yourself Biology. In </w:t>
      </w:r>
      <w:r w:rsidRPr="00310E7E">
        <w:rPr>
          <w:rFonts w:ascii="Times New Roman" w:hAnsi="Times New Roman"/>
          <w:i/>
          <w:iCs/>
          <w:noProof/>
          <w:szCs w:val="24"/>
        </w:rPr>
        <w:t>Synthetic Project</w:t>
      </w:r>
      <w:r w:rsidRPr="00310E7E">
        <w:rPr>
          <w:rFonts w:ascii="Times New Roman" w:hAnsi="Times New Roman"/>
          <w:noProof/>
          <w:szCs w:val="24"/>
        </w:rPr>
        <w:t xml:space="preserve">. Wilson Center. </w:t>
      </w:r>
      <w:hyperlink r:id="rId298" w:history="1">
        <w:r w:rsidRPr="00CC5C9D">
          <w:rPr>
            <w:rStyle w:val="Hyperlink"/>
            <w:rFonts w:ascii="Times New Roman" w:hAnsi="Times New Roman"/>
            <w:noProof/>
            <w:szCs w:val="24"/>
          </w:rPr>
          <w:t>https://www.wilsoncenter.org/publication/seven-myths-and-realities-about-do-it-yourself-biology-0</w:t>
        </w:r>
      </w:hyperlink>
    </w:p>
    <w:p w14:paraId="460252AA" w14:textId="7AAF010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Guan, Z., Schmidt, M., Pei, L., Wei, W., &amp; Ma, K. (2013). Biosafety Considerations of Synthetic Biology in the International Genetically Engineered Machine (iGEM) Competition. </w:t>
      </w:r>
      <w:r w:rsidRPr="00310E7E">
        <w:rPr>
          <w:rFonts w:ascii="Times New Roman" w:hAnsi="Times New Roman"/>
          <w:i/>
          <w:iCs/>
          <w:noProof/>
          <w:szCs w:val="24"/>
        </w:rPr>
        <w:t>BioScience</w:t>
      </w:r>
      <w:r w:rsidRPr="00310E7E">
        <w:rPr>
          <w:rFonts w:ascii="Times New Roman" w:hAnsi="Times New Roman"/>
          <w:noProof/>
          <w:szCs w:val="24"/>
        </w:rPr>
        <w:t xml:space="preserve">, </w:t>
      </w:r>
      <w:r w:rsidRPr="00310E7E">
        <w:rPr>
          <w:rFonts w:ascii="Times New Roman" w:hAnsi="Times New Roman"/>
          <w:i/>
          <w:iCs/>
          <w:noProof/>
          <w:szCs w:val="24"/>
        </w:rPr>
        <w:t>63</w:t>
      </w:r>
      <w:r w:rsidRPr="00310E7E">
        <w:rPr>
          <w:rFonts w:ascii="Times New Roman" w:hAnsi="Times New Roman"/>
          <w:noProof/>
          <w:szCs w:val="24"/>
        </w:rPr>
        <w:t xml:space="preserve">(1), 25–34. </w:t>
      </w:r>
      <w:hyperlink r:id="rId299" w:history="1">
        <w:r w:rsidRPr="00CC5C9D">
          <w:rPr>
            <w:rStyle w:val="Hyperlink"/>
            <w:rFonts w:ascii="Times New Roman" w:hAnsi="Times New Roman"/>
            <w:noProof/>
            <w:szCs w:val="24"/>
          </w:rPr>
          <w:t>https://doi.org/10.1525/bio.2013.63.1.7</w:t>
        </w:r>
      </w:hyperlink>
    </w:p>
    <w:p w14:paraId="622A1C8C" w14:textId="6BF07AF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Gurwitz, D. (2014). Gene drives raise dual-use concerns.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345</w:t>
      </w:r>
      <w:r w:rsidRPr="00310E7E">
        <w:rPr>
          <w:rFonts w:ascii="Times New Roman" w:hAnsi="Times New Roman"/>
          <w:noProof/>
          <w:szCs w:val="24"/>
        </w:rPr>
        <w:t xml:space="preserve">(6200), 1010–1010. </w:t>
      </w:r>
      <w:hyperlink r:id="rId300" w:history="1">
        <w:r w:rsidRPr="00CC5C9D">
          <w:rPr>
            <w:rStyle w:val="Hyperlink"/>
            <w:rFonts w:ascii="Times New Roman" w:hAnsi="Times New Roman"/>
            <w:noProof/>
            <w:szCs w:val="24"/>
          </w:rPr>
          <w:t>https://doi.org/10.1126/science.345.6200.1010-b</w:t>
        </w:r>
      </w:hyperlink>
    </w:p>
    <w:p w14:paraId="04960A12" w14:textId="02F71D1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Hammond, A. M., Kyrou, K., Bruttini, M., North, A., Galizi, R., Karlsson, X., Kranjc, N., Carpi, F. M., D’Aurizio, R., Crisanti, A., &amp; Nolan, T. (2017). The creation and selection of mutations resistant to a gene drive over multiple generations in the malaria mosquito. </w:t>
      </w:r>
      <w:r w:rsidRPr="00310E7E">
        <w:rPr>
          <w:rFonts w:ascii="Times New Roman" w:hAnsi="Times New Roman"/>
          <w:i/>
          <w:iCs/>
          <w:noProof/>
          <w:szCs w:val="24"/>
        </w:rPr>
        <w:t>PLOS Genetics</w:t>
      </w:r>
      <w:r w:rsidRPr="00310E7E">
        <w:rPr>
          <w:rFonts w:ascii="Times New Roman" w:hAnsi="Times New Roman"/>
          <w:noProof/>
          <w:szCs w:val="24"/>
        </w:rPr>
        <w:t xml:space="preserve">, </w:t>
      </w:r>
      <w:r w:rsidRPr="00310E7E">
        <w:rPr>
          <w:rFonts w:ascii="Times New Roman" w:hAnsi="Times New Roman"/>
          <w:i/>
          <w:iCs/>
          <w:noProof/>
          <w:szCs w:val="24"/>
        </w:rPr>
        <w:t>13</w:t>
      </w:r>
      <w:r w:rsidRPr="00310E7E">
        <w:rPr>
          <w:rFonts w:ascii="Times New Roman" w:hAnsi="Times New Roman"/>
          <w:noProof/>
          <w:szCs w:val="24"/>
        </w:rPr>
        <w:t xml:space="preserve">(10), e1007039. </w:t>
      </w:r>
      <w:hyperlink r:id="rId301" w:history="1">
        <w:r w:rsidRPr="00CC5C9D">
          <w:rPr>
            <w:rStyle w:val="Hyperlink"/>
            <w:rFonts w:ascii="Times New Roman" w:hAnsi="Times New Roman"/>
            <w:noProof/>
            <w:szCs w:val="24"/>
          </w:rPr>
          <w:t>https://doi.org/10.1371/journal.pgen.1007039</w:t>
        </w:r>
      </w:hyperlink>
    </w:p>
    <w:p w14:paraId="0B0CF489" w14:textId="178D12F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Handler, R. M., Shonnard, D. R., Griffing, E. M., Lai, A., &amp; Palou-Rivera, I. (2016). Life Cycle Assessments of Ethanol Production via Gas Fermentation: Anticipated Greenhouse Gas Emissions for Cellulosic and Waste Gas Feedstocks. </w:t>
      </w:r>
      <w:r w:rsidRPr="00310E7E">
        <w:rPr>
          <w:rFonts w:ascii="Times New Roman" w:hAnsi="Times New Roman"/>
          <w:i/>
          <w:iCs/>
          <w:noProof/>
          <w:szCs w:val="24"/>
        </w:rPr>
        <w:t>Industrial and Engineering Chemistry Research</w:t>
      </w:r>
      <w:r w:rsidRPr="00310E7E">
        <w:rPr>
          <w:rFonts w:ascii="Times New Roman" w:hAnsi="Times New Roman"/>
          <w:noProof/>
          <w:szCs w:val="24"/>
        </w:rPr>
        <w:t xml:space="preserve">, </w:t>
      </w:r>
      <w:r w:rsidRPr="00310E7E">
        <w:rPr>
          <w:rFonts w:ascii="Times New Roman" w:hAnsi="Times New Roman"/>
          <w:i/>
          <w:iCs/>
          <w:noProof/>
          <w:szCs w:val="24"/>
        </w:rPr>
        <w:t>55</w:t>
      </w:r>
      <w:r w:rsidRPr="00310E7E">
        <w:rPr>
          <w:rFonts w:ascii="Times New Roman" w:hAnsi="Times New Roman"/>
          <w:noProof/>
          <w:szCs w:val="24"/>
        </w:rPr>
        <w:t xml:space="preserve">(12), 3253–3261. </w:t>
      </w:r>
      <w:hyperlink r:id="rId302" w:history="1">
        <w:r w:rsidRPr="00CC5C9D">
          <w:rPr>
            <w:rStyle w:val="Hyperlink"/>
            <w:rFonts w:ascii="Times New Roman" w:hAnsi="Times New Roman"/>
            <w:noProof/>
            <w:szCs w:val="24"/>
          </w:rPr>
          <w:t>https://doi.org/10.1021/acs.iecr.5b03215</w:t>
        </w:r>
      </w:hyperlink>
    </w:p>
    <w:p w14:paraId="0B0DF4C1" w14:textId="3A20859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Hartman, M. C. T., Josephson, K., Lin, C.-W., &amp; Szostak, J. W. (2007). An Expanded Set of Amino Acid Analogs for the Ribosomal Translation of Unnatural Peptides. </w:t>
      </w:r>
      <w:r w:rsidRPr="00310E7E">
        <w:rPr>
          <w:rFonts w:ascii="Times New Roman" w:hAnsi="Times New Roman"/>
          <w:i/>
          <w:iCs/>
          <w:noProof/>
          <w:szCs w:val="24"/>
        </w:rPr>
        <w:t>PLoS ONE</w:t>
      </w:r>
      <w:r w:rsidRPr="00310E7E">
        <w:rPr>
          <w:rFonts w:ascii="Times New Roman" w:hAnsi="Times New Roman"/>
          <w:noProof/>
          <w:szCs w:val="24"/>
        </w:rPr>
        <w:t xml:space="preserve">, </w:t>
      </w:r>
      <w:r w:rsidRPr="00310E7E">
        <w:rPr>
          <w:rFonts w:ascii="Times New Roman" w:hAnsi="Times New Roman"/>
          <w:i/>
          <w:iCs/>
          <w:noProof/>
          <w:szCs w:val="24"/>
        </w:rPr>
        <w:t>2</w:t>
      </w:r>
      <w:r w:rsidRPr="00310E7E">
        <w:rPr>
          <w:rFonts w:ascii="Times New Roman" w:hAnsi="Times New Roman"/>
          <w:noProof/>
          <w:szCs w:val="24"/>
        </w:rPr>
        <w:t xml:space="preserve">(10), e972. </w:t>
      </w:r>
      <w:hyperlink r:id="rId303" w:history="1">
        <w:r w:rsidRPr="00637C32">
          <w:rPr>
            <w:rStyle w:val="Hyperlink"/>
            <w:rFonts w:ascii="Times New Roman" w:hAnsi="Times New Roman"/>
            <w:noProof/>
            <w:szCs w:val="24"/>
          </w:rPr>
          <w:t>https://doi.org/10.1371/journal.pone.0000972</w:t>
        </w:r>
      </w:hyperlink>
    </w:p>
    <w:p w14:paraId="31734071" w14:textId="5E0C184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Harvey-Samuel, T., Ant, T., &amp; Alphey, L. (2017). Towards the genetic control of invasive species. </w:t>
      </w:r>
      <w:r w:rsidRPr="00310E7E">
        <w:rPr>
          <w:rFonts w:ascii="Times New Roman" w:hAnsi="Times New Roman"/>
          <w:i/>
          <w:iCs/>
          <w:noProof/>
          <w:szCs w:val="24"/>
        </w:rPr>
        <w:t>Biological Invasions</w:t>
      </w:r>
      <w:r w:rsidRPr="00310E7E">
        <w:rPr>
          <w:rFonts w:ascii="Times New Roman" w:hAnsi="Times New Roman"/>
          <w:noProof/>
          <w:szCs w:val="24"/>
        </w:rPr>
        <w:t xml:space="preserve">, </w:t>
      </w:r>
      <w:r w:rsidRPr="00310E7E">
        <w:rPr>
          <w:rFonts w:ascii="Times New Roman" w:hAnsi="Times New Roman"/>
          <w:i/>
          <w:iCs/>
          <w:noProof/>
          <w:szCs w:val="24"/>
        </w:rPr>
        <w:t>19</w:t>
      </w:r>
      <w:r w:rsidRPr="00310E7E">
        <w:rPr>
          <w:rFonts w:ascii="Times New Roman" w:hAnsi="Times New Roman"/>
          <w:noProof/>
          <w:szCs w:val="24"/>
        </w:rPr>
        <w:t xml:space="preserve">(6), 1683–1703. </w:t>
      </w:r>
      <w:hyperlink r:id="rId304" w:history="1">
        <w:r w:rsidRPr="00637C32">
          <w:rPr>
            <w:rStyle w:val="Hyperlink"/>
            <w:rFonts w:ascii="Times New Roman" w:hAnsi="Times New Roman"/>
            <w:noProof/>
            <w:szCs w:val="24"/>
          </w:rPr>
          <w:t>https://doi.org/10.1007/s10530-017-1384-6</w:t>
        </w:r>
      </w:hyperlink>
    </w:p>
    <w:p w14:paraId="2D7C0EF6" w14:textId="419B255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Haun, W., Coffman, A., Clasen, B. M., Demorest, Z. L., Lowy, A., Ray, E., Retterath, A., Stoddard, T., Juillerat, A., Cedrone, F., Mathis, L., Voytas, D. F., &amp; Zhang, F. (2014). Improved soybean oil quality by targeted mutagenesis of the fatty acid desaturase 2 gene family. </w:t>
      </w:r>
      <w:r w:rsidRPr="00310E7E">
        <w:rPr>
          <w:rFonts w:ascii="Times New Roman" w:hAnsi="Times New Roman"/>
          <w:i/>
          <w:iCs/>
          <w:noProof/>
          <w:szCs w:val="24"/>
        </w:rPr>
        <w:t>Plant Biotechnology Journal</w:t>
      </w:r>
      <w:r w:rsidRPr="00310E7E">
        <w:rPr>
          <w:rFonts w:ascii="Times New Roman" w:hAnsi="Times New Roman"/>
          <w:noProof/>
          <w:szCs w:val="24"/>
        </w:rPr>
        <w:t xml:space="preserve">, </w:t>
      </w:r>
      <w:r w:rsidRPr="00310E7E">
        <w:rPr>
          <w:rFonts w:ascii="Times New Roman" w:hAnsi="Times New Roman"/>
          <w:i/>
          <w:iCs/>
          <w:noProof/>
          <w:szCs w:val="24"/>
        </w:rPr>
        <w:t>12</w:t>
      </w:r>
      <w:r w:rsidRPr="00310E7E">
        <w:rPr>
          <w:rFonts w:ascii="Times New Roman" w:hAnsi="Times New Roman"/>
          <w:noProof/>
          <w:szCs w:val="24"/>
        </w:rPr>
        <w:t xml:space="preserve">(7), 934–940. </w:t>
      </w:r>
      <w:hyperlink r:id="rId305" w:history="1">
        <w:r w:rsidRPr="00637C32">
          <w:rPr>
            <w:rStyle w:val="Hyperlink"/>
            <w:rFonts w:ascii="Times New Roman" w:hAnsi="Times New Roman"/>
            <w:noProof/>
            <w:szCs w:val="24"/>
          </w:rPr>
          <w:t>https://doi.org/10.1111/pbi.12201</w:t>
        </w:r>
      </w:hyperlink>
    </w:p>
    <w:p w14:paraId="0B56BA07" w14:textId="2C556A9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Haut Conseil des Biotechnologies. (2017). </w:t>
      </w:r>
      <w:r w:rsidRPr="00310E7E">
        <w:rPr>
          <w:rFonts w:ascii="Times New Roman" w:hAnsi="Times New Roman"/>
          <w:i/>
          <w:iCs/>
          <w:noProof/>
          <w:szCs w:val="24"/>
        </w:rPr>
        <w:t>Scientific Opinion in response to the referral of 12 October 2015 concerning the use of genetically modified mosquitoes for vector control</w:t>
      </w:r>
      <w:r w:rsidRPr="00310E7E">
        <w:rPr>
          <w:rFonts w:ascii="Times New Roman" w:hAnsi="Times New Roman"/>
          <w:noProof/>
          <w:szCs w:val="24"/>
        </w:rPr>
        <w:t xml:space="preserve"> (p. 142). </w:t>
      </w:r>
      <w:hyperlink r:id="rId306" w:history="1">
        <w:r w:rsidRPr="00637C32">
          <w:rPr>
            <w:rStyle w:val="Hyperlink"/>
            <w:rFonts w:ascii="Times New Roman" w:hAnsi="Times New Roman"/>
            <w:noProof/>
            <w:szCs w:val="24"/>
          </w:rPr>
          <w:t>http://www.hautconseildesbiotechnologies.fr/en/avis/avis-relatif-a-lutilisation-moustiques-gm-dans-cadre-lutte-antivectorielle</w:t>
        </w:r>
      </w:hyperlink>
    </w:p>
    <w:p w14:paraId="192B5D09" w14:textId="3C298D5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Hayes, K. R., Hosack, G. R., Dana, G. V., Foster, S. D., Ford, J. H., Thresher, R., Ickowicz, A., Peel, D., Tizard, M., De Barro, P., Strive, T., &amp; Dambacher, J. M. (2018). Identifying and detecting potentially adverse ecological outcomes associated with the release of gene-drive modified organisms. </w:t>
      </w:r>
      <w:r w:rsidRPr="00310E7E">
        <w:rPr>
          <w:rFonts w:ascii="Times New Roman" w:hAnsi="Times New Roman"/>
          <w:i/>
          <w:iCs/>
          <w:noProof/>
          <w:szCs w:val="24"/>
        </w:rPr>
        <w:t>Journal of Responsible Innovation</w:t>
      </w:r>
      <w:r w:rsidRPr="00310E7E">
        <w:rPr>
          <w:rFonts w:ascii="Times New Roman" w:hAnsi="Times New Roman"/>
          <w:noProof/>
          <w:szCs w:val="24"/>
        </w:rPr>
        <w:t xml:space="preserve">, </w:t>
      </w:r>
      <w:r w:rsidRPr="00310E7E">
        <w:rPr>
          <w:rFonts w:ascii="Times New Roman" w:hAnsi="Times New Roman"/>
          <w:i/>
          <w:iCs/>
          <w:noProof/>
          <w:szCs w:val="24"/>
        </w:rPr>
        <w:t>5</w:t>
      </w:r>
      <w:r w:rsidRPr="00310E7E">
        <w:rPr>
          <w:rFonts w:ascii="Times New Roman" w:hAnsi="Times New Roman"/>
          <w:noProof/>
          <w:szCs w:val="24"/>
        </w:rPr>
        <w:t xml:space="preserve">(sup1), S139–S158. </w:t>
      </w:r>
      <w:hyperlink r:id="rId307" w:history="1">
        <w:r w:rsidRPr="00637C32">
          <w:rPr>
            <w:rStyle w:val="Hyperlink"/>
            <w:rFonts w:ascii="Times New Roman" w:hAnsi="Times New Roman"/>
            <w:noProof/>
            <w:szCs w:val="24"/>
          </w:rPr>
          <w:t>https://doi.org/10.1080/23299460.2017.1415585</w:t>
        </w:r>
      </w:hyperlink>
    </w:p>
    <w:p w14:paraId="2F9CE87B" w14:textId="70DB42F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Heffel, M. G., &amp; Finnigan, G. C. (2019). Mathematical modeling of self-contained CRISPR gene drive reversal systems. </w:t>
      </w:r>
      <w:r w:rsidRPr="00310E7E">
        <w:rPr>
          <w:rFonts w:ascii="Times New Roman" w:hAnsi="Times New Roman"/>
          <w:i/>
          <w:iCs/>
          <w:noProof/>
          <w:szCs w:val="24"/>
        </w:rPr>
        <w:t>Scientific Reports</w:t>
      </w:r>
      <w:r w:rsidRPr="00310E7E">
        <w:rPr>
          <w:rFonts w:ascii="Times New Roman" w:hAnsi="Times New Roman"/>
          <w:noProof/>
          <w:szCs w:val="24"/>
        </w:rPr>
        <w:t xml:space="preserve">, </w:t>
      </w:r>
      <w:r w:rsidRPr="00310E7E">
        <w:rPr>
          <w:rFonts w:ascii="Times New Roman" w:hAnsi="Times New Roman"/>
          <w:i/>
          <w:iCs/>
          <w:noProof/>
          <w:szCs w:val="24"/>
        </w:rPr>
        <w:t>9</w:t>
      </w:r>
      <w:r w:rsidRPr="00310E7E">
        <w:rPr>
          <w:rFonts w:ascii="Times New Roman" w:hAnsi="Times New Roman"/>
          <w:noProof/>
          <w:szCs w:val="24"/>
        </w:rPr>
        <w:t xml:space="preserve">(1), 20050. </w:t>
      </w:r>
      <w:hyperlink r:id="rId308" w:history="1">
        <w:r w:rsidRPr="00637C32">
          <w:rPr>
            <w:rStyle w:val="Hyperlink"/>
            <w:rFonts w:ascii="Times New Roman" w:hAnsi="Times New Roman"/>
            <w:noProof/>
            <w:szCs w:val="24"/>
          </w:rPr>
          <w:t>https://doi.org/10.1038/s41598-019-54805-8</w:t>
        </w:r>
      </w:hyperlink>
    </w:p>
    <w:p w14:paraId="318F71BA" w14:textId="30990E8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Heinemann, J. A. (2019). Should dsRNA treatments applied in outdoor environments be regulated? </w:t>
      </w:r>
      <w:r w:rsidRPr="00310E7E">
        <w:rPr>
          <w:rFonts w:ascii="Times New Roman" w:hAnsi="Times New Roman"/>
          <w:i/>
          <w:iCs/>
          <w:noProof/>
          <w:szCs w:val="24"/>
        </w:rPr>
        <w:t>Environment International</w:t>
      </w:r>
      <w:r w:rsidRPr="00310E7E">
        <w:rPr>
          <w:rFonts w:ascii="Times New Roman" w:hAnsi="Times New Roman"/>
          <w:noProof/>
          <w:szCs w:val="24"/>
        </w:rPr>
        <w:t xml:space="preserve">, </w:t>
      </w:r>
      <w:r w:rsidRPr="00310E7E">
        <w:rPr>
          <w:rFonts w:ascii="Times New Roman" w:hAnsi="Times New Roman"/>
          <w:i/>
          <w:iCs/>
          <w:noProof/>
          <w:szCs w:val="24"/>
        </w:rPr>
        <w:t>132</w:t>
      </w:r>
      <w:r w:rsidRPr="00310E7E">
        <w:rPr>
          <w:rFonts w:ascii="Times New Roman" w:hAnsi="Times New Roman"/>
          <w:noProof/>
          <w:szCs w:val="24"/>
        </w:rPr>
        <w:t xml:space="preserve">, 104856. </w:t>
      </w:r>
      <w:hyperlink r:id="rId309" w:history="1">
        <w:r w:rsidRPr="00637C32">
          <w:rPr>
            <w:rStyle w:val="Hyperlink"/>
            <w:rFonts w:ascii="Times New Roman" w:hAnsi="Times New Roman"/>
            <w:noProof/>
            <w:szCs w:val="24"/>
          </w:rPr>
          <w:t>https://doi.org/10.1016/j.envint.2019.05.050</w:t>
        </w:r>
      </w:hyperlink>
    </w:p>
    <w:p w14:paraId="670ACB81" w14:textId="3BDA3D1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Heinemann, J. A., Agapito-Tenfen, S. Z., &amp; Carman, J. A. (2013). A comparative evaluation of the regulation of GM crops or products containing dsRNA and suggested improvements to risk assessments. </w:t>
      </w:r>
      <w:r w:rsidRPr="00310E7E">
        <w:rPr>
          <w:rFonts w:ascii="Times New Roman" w:hAnsi="Times New Roman"/>
          <w:i/>
          <w:iCs/>
          <w:noProof/>
          <w:szCs w:val="24"/>
        </w:rPr>
        <w:t>Environment International</w:t>
      </w:r>
      <w:r w:rsidRPr="00310E7E">
        <w:rPr>
          <w:rFonts w:ascii="Times New Roman" w:hAnsi="Times New Roman"/>
          <w:noProof/>
          <w:szCs w:val="24"/>
        </w:rPr>
        <w:t xml:space="preserve">, </w:t>
      </w:r>
      <w:r w:rsidRPr="00310E7E">
        <w:rPr>
          <w:rFonts w:ascii="Times New Roman" w:hAnsi="Times New Roman"/>
          <w:i/>
          <w:iCs/>
          <w:noProof/>
          <w:szCs w:val="24"/>
        </w:rPr>
        <w:t>55</w:t>
      </w:r>
      <w:r w:rsidRPr="00310E7E">
        <w:rPr>
          <w:rFonts w:ascii="Times New Roman" w:hAnsi="Times New Roman"/>
          <w:noProof/>
          <w:szCs w:val="24"/>
        </w:rPr>
        <w:t>, 43–55.</w:t>
      </w:r>
      <w:hyperlink r:id="rId310" w:history="1">
        <w:r w:rsidRPr="00637C32">
          <w:rPr>
            <w:rStyle w:val="Hyperlink"/>
            <w:rFonts w:ascii="Times New Roman" w:hAnsi="Times New Roman"/>
            <w:noProof/>
            <w:szCs w:val="24"/>
          </w:rPr>
          <w:t xml:space="preserve"> https://doi.org/10.1016/j.envint.2013.02.010</w:t>
        </w:r>
      </w:hyperlink>
    </w:p>
    <w:p w14:paraId="242DF306" w14:textId="7F52D4F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Heinemann, J. A., &amp; Walker, S. (2019). Environmentally applied nucleic acids and proteins for purposes of engineering changes to genes and other genetic material. </w:t>
      </w:r>
      <w:r w:rsidRPr="00310E7E">
        <w:rPr>
          <w:rFonts w:ascii="Times New Roman" w:hAnsi="Times New Roman"/>
          <w:i/>
          <w:iCs/>
          <w:noProof/>
          <w:szCs w:val="24"/>
        </w:rPr>
        <w:t>Biosafety and Health</w:t>
      </w:r>
      <w:r w:rsidRPr="00310E7E">
        <w:rPr>
          <w:rFonts w:ascii="Times New Roman" w:hAnsi="Times New Roman"/>
          <w:noProof/>
          <w:szCs w:val="24"/>
        </w:rPr>
        <w:t xml:space="preserve">, </w:t>
      </w:r>
      <w:r w:rsidRPr="00310E7E">
        <w:rPr>
          <w:rFonts w:ascii="Times New Roman" w:hAnsi="Times New Roman"/>
          <w:i/>
          <w:iCs/>
          <w:noProof/>
          <w:szCs w:val="24"/>
        </w:rPr>
        <w:t>1</w:t>
      </w:r>
      <w:r w:rsidRPr="00310E7E">
        <w:rPr>
          <w:rFonts w:ascii="Times New Roman" w:hAnsi="Times New Roman"/>
          <w:noProof/>
          <w:szCs w:val="24"/>
        </w:rPr>
        <w:t xml:space="preserve">(3), 113–123. </w:t>
      </w:r>
      <w:hyperlink r:id="rId311" w:history="1">
        <w:r w:rsidRPr="00637C32">
          <w:rPr>
            <w:rStyle w:val="Hyperlink"/>
            <w:rFonts w:ascii="Times New Roman" w:hAnsi="Times New Roman"/>
            <w:noProof/>
            <w:szCs w:val="24"/>
          </w:rPr>
          <w:t>https://doi.org/10.1016/j.bsheal.2019.09.003</w:t>
        </w:r>
      </w:hyperlink>
    </w:p>
    <w:p w14:paraId="11D0FAE2" w14:textId="3B8FC36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Heinemann, M., &amp; Panke, S. (2006). Synthetic biology--putting engineering into biology. </w:t>
      </w:r>
      <w:r w:rsidRPr="00310E7E">
        <w:rPr>
          <w:rFonts w:ascii="Times New Roman" w:hAnsi="Times New Roman"/>
          <w:i/>
          <w:iCs/>
          <w:noProof/>
          <w:szCs w:val="24"/>
        </w:rPr>
        <w:t>Bioinformatics</w:t>
      </w:r>
      <w:r w:rsidRPr="00310E7E">
        <w:rPr>
          <w:rFonts w:ascii="Times New Roman" w:hAnsi="Times New Roman"/>
          <w:noProof/>
          <w:szCs w:val="24"/>
        </w:rPr>
        <w:t xml:space="preserve">, </w:t>
      </w:r>
      <w:r w:rsidRPr="00310E7E">
        <w:rPr>
          <w:rFonts w:ascii="Times New Roman" w:hAnsi="Times New Roman"/>
          <w:i/>
          <w:iCs/>
          <w:noProof/>
          <w:szCs w:val="24"/>
        </w:rPr>
        <w:t>22</w:t>
      </w:r>
      <w:r w:rsidRPr="00310E7E">
        <w:rPr>
          <w:rFonts w:ascii="Times New Roman" w:hAnsi="Times New Roman"/>
          <w:noProof/>
          <w:szCs w:val="24"/>
        </w:rPr>
        <w:t xml:space="preserve">(22), 2790–2799. </w:t>
      </w:r>
      <w:hyperlink r:id="rId312" w:history="1">
        <w:r w:rsidRPr="00637C32">
          <w:rPr>
            <w:rStyle w:val="Hyperlink"/>
            <w:rFonts w:ascii="Times New Roman" w:hAnsi="Times New Roman"/>
            <w:noProof/>
            <w:szCs w:val="24"/>
          </w:rPr>
          <w:t>https://doi.org/10.1093/bioinformatics/btl469</w:t>
        </w:r>
      </w:hyperlink>
    </w:p>
    <w:p w14:paraId="19357171" w14:textId="03D46A2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Henkel, J., &amp; Maurer, S. M. (2007). The economics of synthetic biology. </w:t>
      </w:r>
      <w:r w:rsidRPr="00310E7E">
        <w:rPr>
          <w:rFonts w:ascii="Times New Roman" w:hAnsi="Times New Roman"/>
          <w:i/>
          <w:iCs/>
          <w:noProof/>
          <w:szCs w:val="24"/>
        </w:rPr>
        <w:t>Molecular Systems Biology</w:t>
      </w:r>
      <w:r w:rsidRPr="00310E7E">
        <w:rPr>
          <w:rFonts w:ascii="Times New Roman" w:hAnsi="Times New Roman"/>
          <w:noProof/>
          <w:szCs w:val="24"/>
        </w:rPr>
        <w:t xml:space="preserve">, </w:t>
      </w:r>
      <w:r w:rsidRPr="00310E7E">
        <w:rPr>
          <w:rFonts w:ascii="Times New Roman" w:hAnsi="Times New Roman"/>
          <w:i/>
          <w:iCs/>
          <w:noProof/>
          <w:szCs w:val="24"/>
        </w:rPr>
        <w:t>3</w:t>
      </w:r>
      <w:r w:rsidRPr="00310E7E">
        <w:rPr>
          <w:rFonts w:ascii="Times New Roman" w:hAnsi="Times New Roman"/>
          <w:noProof/>
          <w:szCs w:val="24"/>
        </w:rPr>
        <w:t xml:space="preserve">(1), 117. </w:t>
      </w:r>
      <w:hyperlink r:id="rId313" w:history="1">
        <w:r w:rsidRPr="00637C32">
          <w:rPr>
            <w:rStyle w:val="Hyperlink"/>
            <w:rFonts w:ascii="Times New Roman" w:hAnsi="Times New Roman"/>
            <w:noProof/>
            <w:szCs w:val="24"/>
          </w:rPr>
          <w:t>https://doi.org/10.1038/msb4100161</w:t>
        </w:r>
      </w:hyperlink>
    </w:p>
    <w:p w14:paraId="324DBE83" w14:textId="7902B4E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Herfst, S., Schrauwen, E. J. A., Linster, M., Chutinimitkul, S., Wit, E. De, Munster, V. J., Sorrell, E. M., Bestebroer, T. M., Burke, D. F., Smith, D. J., Rimmelzwaan, G. F., Osterhaus, A. D. M. E., &amp; Fouchier, R. A. M. (2012). Airborne transmission of influenza A/H5N1 virus between ferrets. In </w:t>
      </w:r>
      <w:r w:rsidRPr="00310E7E">
        <w:rPr>
          <w:rFonts w:ascii="Times New Roman" w:hAnsi="Times New Roman"/>
          <w:i/>
          <w:iCs/>
          <w:noProof/>
          <w:szCs w:val="24"/>
        </w:rPr>
        <w:t>Science</w:t>
      </w:r>
      <w:r w:rsidRPr="00310E7E">
        <w:rPr>
          <w:rFonts w:ascii="Times New Roman" w:hAnsi="Times New Roman"/>
          <w:noProof/>
          <w:szCs w:val="24"/>
        </w:rPr>
        <w:t xml:space="preserve"> (Vol. 336, Issue 6088, pp. 1534–1541). American Association for the Advancement of Science. </w:t>
      </w:r>
      <w:hyperlink r:id="rId314" w:history="1">
        <w:r w:rsidRPr="00637C32">
          <w:rPr>
            <w:rStyle w:val="Hyperlink"/>
            <w:rFonts w:ascii="Times New Roman" w:hAnsi="Times New Roman"/>
            <w:noProof/>
            <w:szCs w:val="24"/>
          </w:rPr>
          <w:t>https://doi.org/10.1126/science.1213362</w:t>
        </w:r>
      </w:hyperlink>
    </w:p>
    <w:p w14:paraId="6B9285D9" w14:textId="621DAC0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Hickey, R. F., Morse, M. C., &amp; Pieja, A. J. (2018). </w:t>
      </w:r>
      <w:r w:rsidRPr="00310E7E">
        <w:rPr>
          <w:rFonts w:ascii="Times New Roman" w:hAnsi="Times New Roman"/>
          <w:i/>
          <w:iCs/>
          <w:noProof/>
          <w:szCs w:val="24"/>
        </w:rPr>
        <w:t>High productivity methane fermentation processes</w:t>
      </w:r>
      <w:r w:rsidRPr="00310E7E">
        <w:rPr>
          <w:rFonts w:ascii="Times New Roman" w:hAnsi="Times New Roman"/>
          <w:noProof/>
          <w:szCs w:val="24"/>
        </w:rPr>
        <w:t xml:space="preserve"> (Patent No. US20200181659A1). </w:t>
      </w:r>
      <w:hyperlink r:id="rId315" w:history="1">
        <w:r w:rsidRPr="00637C32">
          <w:rPr>
            <w:rStyle w:val="Hyperlink"/>
            <w:rFonts w:ascii="Times New Roman" w:hAnsi="Times New Roman"/>
            <w:noProof/>
            <w:szCs w:val="24"/>
          </w:rPr>
          <w:t>https://patents.google.com/patent/US20200181659A1/en?assignee=%22mango+materials%22&amp;oq=assignee:+%22mango+materials%22</w:t>
        </w:r>
      </w:hyperlink>
    </w:p>
    <w:p w14:paraId="6F25C300" w14:textId="126A8C4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Hicks, M., Bachmann, T. T., &amp; Wang, B. (2020). Synthetic Biology Enables Programmable Cell‐Based Biosensors. </w:t>
      </w:r>
      <w:r w:rsidRPr="00310E7E">
        <w:rPr>
          <w:rFonts w:ascii="Times New Roman" w:hAnsi="Times New Roman"/>
          <w:i/>
          <w:iCs/>
          <w:noProof/>
          <w:szCs w:val="24"/>
        </w:rPr>
        <w:t>ChemPhysChem</w:t>
      </w:r>
      <w:r w:rsidRPr="00310E7E">
        <w:rPr>
          <w:rFonts w:ascii="Times New Roman" w:hAnsi="Times New Roman"/>
          <w:noProof/>
          <w:szCs w:val="24"/>
        </w:rPr>
        <w:t xml:space="preserve">, </w:t>
      </w:r>
      <w:r w:rsidRPr="00310E7E">
        <w:rPr>
          <w:rFonts w:ascii="Times New Roman" w:hAnsi="Times New Roman"/>
          <w:i/>
          <w:iCs/>
          <w:noProof/>
          <w:szCs w:val="24"/>
        </w:rPr>
        <w:t>21</w:t>
      </w:r>
      <w:r w:rsidRPr="00310E7E">
        <w:rPr>
          <w:rFonts w:ascii="Times New Roman" w:hAnsi="Times New Roman"/>
          <w:noProof/>
          <w:szCs w:val="24"/>
        </w:rPr>
        <w:t>(2), 132–144.</w:t>
      </w:r>
      <w:hyperlink r:id="rId316" w:history="1">
        <w:r w:rsidRPr="00637C32">
          <w:rPr>
            <w:rStyle w:val="Hyperlink"/>
            <w:rFonts w:ascii="Times New Roman" w:hAnsi="Times New Roman"/>
            <w:noProof/>
            <w:szCs w:val="24"/>
          </w:rPr>
          <w:t xml:space="preserve"> https://doi.org/10.1002/cphc.201900739</w:t>
        </w:r>
      </w:hyperlink>
    </w:p>
    <w:p w14:paraId="16B6C9DE" w14:textId="526943B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Hillson, N., Caddick, M., Cai, Y., Carrasco, J. A., Chang, M. W., Curach, N. C., Bell, D. J., Le Feuvre, R., Friedman, D. C., Fu, X., Gold, N. D., Herrgård, M. J., Holowko, M. B., Johnson, J. R., Johnson, R. A., Keasling, J. D., Kitney, R. I., Kondo, A., Liu, C., … Freemont, P. S. (2019). Building a global alliance of biofoundries. </w:t>
      </w:r>
      <w:r w:rsidRPr="00310E7E">
        <w:rPr>
          <w:rFonts w:ascii="Times New Roman" w:hAnsi="Times New Roman"/>
          <w:i/>
          <w:iCs/>
          <w:noProof/>
          <w:szCs w:val="24"/>
        </w:rPr>
        <w:t>Nature Communications</w:t>
      </w:r>
      <w:r w:rsidRPr="00310E7E">
        <w:rPr>
          <w:rFonts w:ascii="Times New Roman" w:hAnsi="Times New Roman"/>
          <w:noProof/>
          <w:szCs w:val="24"/>
        </w:rPr>
        <w:t xml:space="preserve">, </w:t>
      </w:r>
      <w:r w:rsidRPr="00310E7E">
        <w:rPr>
          <w:rFonts w:ascii="Times New Roman" w:hAnsi="Times New Roman"/>
          <w:i/>
          <w:iCs/>
          <w:noProof/>
          <w:szCs w:val="24"/>
        </w:rPr>
        <w:t>10</w:t>
      </w:r>
      <w:r w:rsidRPr="00310E7E">
        <w:rPr>
          <w:rFonts w:ascii="Times New Roman" w:hAnsi="Times New Roman"/>
          <w:noProof/>
          <w:szCs w:val="24"/>
        </w:rPr>
        <w:t xml:space="preserve">(1), 2040. </w:t>
      </w:r>
      <w:hyperlink r:id="rId317" w:history="1">
        <w:r w:rsidRPr="00637C32">
          <w:rPr>
            <w:rStyle w:val="Hyperlink"/>
            <w:rFonts w:ascii="Times New Roman" w:hAnsi="Times New Roman"/>
            <w:noProof/>
            <w:szCs w:val="24"/>
          </w:rPr>
          <w:t>https://doi.org/10.1038/s41467-019-10079-2</w:t>
        </w:r>
      </w:hyperlink>
    </w:p>
    <w:p w14:paraId="7D6B0EA7" w14:textId="6C85938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Holman, C. M. (2011). Unpredictability in Patent Law and its Effect on Pharmaceutical Innovation. </w:t>
      </w:r>
      <w:r w:rsidRPr="00310E7E">
        <w:rPr>
          <w:rFonts w:ascii="Times New Roman" w:hAnsi="Times New Roman"/>
          <w:i/>
          <w:iCs/>
          <w:noProof/>
          <w:szCs w:val="24"/>
        </w:rPr>
        <w:t>Missouri Law Review</w:t>
      </w:r>
      <w:r w:rsidRPr="00310E7E">
        <w:rPr>
          <w:rFonts w:ascii="Times New Roman" w:hAnsi="Times New Roman"/>
          <w:noProof/>
          <w:szCs w:val="24"/>
        </w:rPr>
        <w:t xml:space="preserve">, </w:t>
      </w:r>
      <w:r w:rsidRPr="00310E7E">
        <w:rPr>
          <w:rFonts w:ascii="Times New Roman" w:hAnsi="Times New Roman"/>
          <w:i/>
          <w:iCs/>
          <w:noProof/>
          <w:szCs w:val="24"/>
        </w:rPr>
        <w:t>76</w:t>
      </w:r>
      <w:r w:rsidRPr="00310E7E">
        <w:rPr>
          <w:rFonts w:ascii="Times New Roman" w:hAnsi="Times New Roman"/>
          <w:noProof/>
          <w:szCs w:val="24"/>
        </w:rPr>
        <w:t xml:space="preserve">(3). </w:t>
      </w:r>
      <w:hyperlink r:id="rId318" w:history="1">
        <w:r w:rsidRPr="00154AC8">
          <w:rPr>
            <w:rStyle w:val="Hyperlink"/>
            <w:rFonts w:ascii="Times New Roman" w:hAnsi="Times New Roman"/>
            <w:noProof/>
            <w:szCs w:val="24"/>
          </w:rPr>
          <w:t>https://scholarship.law.missouri.edu/mlr/vol76/iss3/4</w:t>
        </w:r>
      </w:hyperlink>
    </w:p>
    <w:p w14:paraId="0F1E280A" w14:textId="443FFBF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Hoshika, S., Leal, N. A., Kim, M.-J., Kim, M.-S., Karalkar, N. B., Kim, H.-J., Bates, A. M., Watkins, N. E., SantaLucia, H. A., Meyer, A. J., DasGupta, S., Piccirilli, J. A., Ellington, A. D., SantaLucia, J., Georgiadis, M. M., &amp; Benner, S. A. (2019). Hachimoji DNA and RNA: A genetic system with eight building blocks.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363</w:t>
      </w:r>
      <w:r w:rsidRPr="00310E7E">
        <w:rPr>
          <w:rFonts w:ascii="Times New Roman" w:hAnsi="Times New Roman"/>
          <w:noProof/>
          <w:szCs w:val="24"/>
        </w:rPr>
        <w:t>(6429), 884–887.</w:t>
      </w:r>
      <w:hyperlink r:id="rId319" w:history="1">
        <w:r w:rsidRPr="00154AC8">
          <w:rPr>
            <w:rStyle w:val="Hyperlink"/>
            <w:rFonts w:ascii="Times New Roman" w:hAnsi="Times New Roman"/>
            <w:noProof/>
            <w:szCs w:val="24"/>
          </w:rPr>
          <w:t xml:space="preserve"> https://doi.org/10.1126/science.aat0971</w:t>
        </w:r>
      </w:hyperlink>
    </w:p>
    <w:p w14:paraId="12F2B56B" w14:textId="1CB9219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Houssen, W., &amp; Jaspers, M. (2020). </w:t>
      </w:r>
      <w:r w:rsidRPr="00310E7E">
        <w:rPr>
          <w:rFonts w:ascii="Times New Roman" w:hAnsi="Times New Roman"/>
          <w:i/>
          <w:iCs/>
          <w:noProof/>
          <w:szCs w:val="24"/>
        </w:rPr>
        <w:t>Digital Sequence Information on Genetic Resources: Concept, Scope and Current use</w:t>
      </w:r>
      <w:r w:rsidRPr="00310E7E">
        <w:rPr>
          <w:rFonts w:ascii="Times New Roman" w:hAnsi="Times New Roman"/>
          <w:noProof/>
          <w:szCs w:val="24"/>
        </w:rPr>
        <w:t xml:space="preserve">. </w:t>
      </w:r>
      <w:hyperlink r:id="rId320" w:history="1">
        <w:r w:rsidRPr="00154AC8">
          <w:rPr>
            <w:rStyle w:val="Hyperlink"/>
            <w:rFonts w:ascii="Times New Roman" w:hAnsi="Times New Roman"/>
            <w:noProof/>
            <w:szCs w:val="24"/>
          </w:rPr>
          <w:t>https://www.cbd.int/doc/c/fef9/2f90/70f037ccc5da885dfb293e88/dsi-ahteg-2020-01-03-en.pdf</w:t>
        </w:r>
      </w:hyperlink>
    </w:p>
    <w:p w14:paraId="04267CAD" w14:textId="6FD973C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Huber, M. C., Schreiber, A., &amp; Schiller, S. M. (2019). Minimalist Protocell Design: A Molecular System Based Solely on Proteins that Form Dynamic Vesicular Membranes Embedding Enzymatic Functions. </w:t>
      </w:r>
      <w:r w:rsidRPr="00310E7E">
        <w:rPr>
          <w:rFonts w:ascii="Times New Roman" w:hAnsi="Times New Roman"/>
          <w:i/>
          <w:iCs/>
          <w:noProof/>
          <w:szCs w:val="24"/>
        </w:rPr>
        <w:t>ChemBioChem</w:t>
      </w:r>
      <w:r w:rsidRPr="00310E7E">
        <w:rPr>
          <w:rFonts w:ascii="Times New Roman" w:hAnsi="Times New Roman"/>
          <w:noProof/>
          <w:szCs w:val="24"/>
        </w:rPr>
        <w:t xml:space="preserve">, </w:t>
      </w:r>
      <w:r w:rsidRPr="00310E7E">
        <w:rPr>
          <w:rFonts w:ascii="Times New Roman" w:hAnsi="Times New Roman"/>
          <w:i/>
          <w:iCs/>
          <w:noProof/>
          <w:szCs w:val="24"/>
        </w:rPr>
        <w:t>20</w:t>
      </w:r>
      <w:r w:rsidRPr="00310E7E">
        <w:rPr>
          <w:rFonts w:ascii="Times New Roman" w:hAnsi="Times New Roman"/>
          <w:noProof/>
          <w:szCs w:val="24"/>
        </w:rPr>
        <w:t xml:space="preserve">(20), 2618–2632. </w:t>
      </w:r>
      <w:hyperlink r:id="rId321" w:history="1">
        <w:r w:rsidRPr="00154AC8">
          <w:rPr>
            <w:rStyle w:val="Hyperlink"/>
            <w:rFonts w:ascii="Times New Roman" w:hAnsi="Times New Roman"/>
            <w:noProof/>
            <w:szCs w:val="24"/>
          </w:rPr>
          <w:t>https://doi.org/10.1002/cbic.201900283</w:t>
        </w:r>
      </w:hyperlink>
    </w:p>
    <w:p w14:paraId="5389B22B" w14:textId="24BCEE5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Huggett, J. F., Cowen, S., &amp; Foy, C. A. (2015). Considerations for Digital PCR as an Accurate Molecular Diagnostic Tool. </w:t>
      </w:r>
      <w:r w:rsidRPr="00310E7E">
        <w:rPr>
          <w:rFonts w:ascii="Times New Roman" w:hAnsi="Times New Roman"/>
          <w:i/>
          <w:iCs/>
          <w:noProof/>
          <w:szCs w:val="24"/>
        </w:rPr>
        <w:t>Clinical Chemistry</w:t>
      </w:r>
      <w:r w:rsidRPr="00310E7E">
        <w:rPr>
          <w:rFonts w:ascii="Times New Roman" w:hAnsi="Times New Roman"/>
          <w:noProof/>
          <w:szCs w:val="24"/>
        </w:rPr>
        <w:t xml:space="preserve">, </w:t>
      </w:r>
      <w:r w:rsidRPr="00310E7E">
        <w:rPr>
          <w:rFonts w:ascii="Times New Roman" w:hAnsi="Times New Roman"/>
          <w:i/>
          <w:iCs/>
          <w:noProof/>
          <w:szCs w:val="24"/>
        </w:rPr>
        <w:t>61</w:t>
      </w:r>
      <w:r w:rsidRPr="00310E7E">
        <w:rPr>
          <w:rFonts w:ascii="Times New Roman" w:hAnsi="Times New Roman"/>
          <w:noProof/>
          <w:szCs w:val="24"/>
        </w:rPr>
        <w:t xml:space="preserve">(1), 79–88. </w:t>
      </w:r>
      <w:hyperlink r:id="rId322" w:history="1">
        <w:r w:rsidRPr="00154AC8">
          <w:rPr>
            <w:rStyle w:val="Hyperlink"/>
            <w:rFonts w:ascii="Times New Roman" w:hAnsi="Times New Roman"/>
            <w:noProof/>
            <w:szCs w:val="24"/>
          </w:rPr>
          <w:t>https://doi.org/10.1373/clinchem.2014.221366</w:t>
        </w:r>
      </w:hyperlink>
    </w:p>
    <w:p w14:paraId="6484F3BC" w14:textId="130F11A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Hughes, R. A., &amp; Ellington, A. D. (2017). Synthetic DNA synthesis and assembly: Putting the synthetic in synthetic biology. </w:t>
      </w:r>
      <w:r w:rsidRPr="00310E7E">
        <w:rPr>
          <w:rFonts w:ascii="Times New Roman" w:hAnsi="Times New Roman"/>
          <w:i/>
          <w:iCs/>
          <w:noProof/>
          <w:szCs w:val="24"/>
        </w:rPr>
        <w:t>Cold Spring Harbor Perspectives in Biology</w:t>
      </w:r>
      <w:r w:rsidRPr="00310E7E">
        <w:rPr>
          <w:rFonts w:ascii="Times New Roman" w:hAnsi="Times New Roman"/>
          <w:noProof/>
          <w:szCs w:val="24"/>
        </w:rPr>
        <w:t xml:space="preserve">, </w:t>
      </w:r>
      <w:r w:rsidRPr="00310E7E">
        <w:rPr>
          <w:rFonts w:ascii="Times New Roman" w:hAnsi="Times New Roman"/>
          <w:i/>
          <w:iCs/>
          <w:noProof/>
          <w:szCs w:val="24"/>
        </w:rPr>
        <w:t>9</w:t>
      </w:r>
      <w:r w:rsidRPr="00310E7E">
        <w:rPr>
          <w:rFonts w:ascii="Times New Roman" w:hAnsi="Times New Roman"/>
          <w:noProof/>
          <w:szCs w:val="24"/>
        </w:rPr>
        <w:t xml:space="preserve">(1). </w:t>
      </w:r>
      <w:hyperlink r:id="rId323" w:history="1">
        <w:r w:rsidRPr="00154AC8">
          <w:rPr>
            <w:rStyle w:val="Hyperlink"/>
            <w:rFonts w:ascii="Times New Roman" w:hAnsi="Times New Roman"/>
            <w:noProof/>
            <w:szCs w:val="24"/>
          </w:rPr>
          <w:t>https://doi.org/10.1101/cshperspect.a023812</w:t>
        </w:r>
      </w:hyperlink>
    </w:p>
    <w:p w14:paraId="5B876483" w14:textId="287D996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Humphreys, C. M., &amp; Minton, N. P. (2018). Advances in metabolic engineering in the microbial production of fuels and chemicals from C1 gas. In </w:t>
      </w:r>
      <w:r w:rsidRPr="00310E7E">
        <w:rPr>
          <w:rFonts w:ascii="Times New Roman" w:hAnsi="Times New Roman"/>
          <w:i/>
          <w:iCs/>
          <w:noProof/>
          <w:szCs w:val="24"/>
        </w:rPr>
        <w:t>Current Opinion in Biotechnology</w:t>
      </w:r>
      <w:r w:rsidRPr="00310E7E">
        <w:rPr>
          <w:rFonts w:ascii="Times New Roman" w:hAnsi="Times New Roman"/>
          <w:noProof/>
          <w:szCs w:val="24"/>
        </w:rPr>
        <w:t xml:space="preserve"> (Vol. 50, pp. 174–181). Elsevier Ltd. </w:t>
      </w:r>
      <w:hyperlink r:id="rId324" w:history="1">
        <w:r w:rsidRPr="00154AC8">
          <w:rPr>
            <w:rStyle w:val="Hyperlink"/>
            <w:rFonts w:ascii="Times New Roman" w:hAnsi="Times New Roman"/>
            <w:noProof/>
            <w:szCs w:val="24"/>
          </w:rPr>
          <w:t>https://doi.org/10.1016/j.copbio.2017.12.023</w:t>
        </w:r>
      </w:hyperlink>
    </w:p>
    <w:p w14:paraId="7427E109" w14:textId="1AD24B7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Hürtgen, D., Härtel, T., Murray, S. M., Sourjik, V., &amp; Schwille, P. (2019). Functional Modules of Minimal Cell Division for Synthetic Biology. </w:t>
      </w:r>
      <w:r w:rsidRPr="00310E7E">
        <w:rPr>
          <w:rFonts w:ascii="Times New Roman" w:hAnsi="Times New Roman"/>
          <w:i/>
          <w:iCs/>
          <w:noProof/>
          <w:szCs w:val="24"/>
        </w:rPr>
        <w:t>Advanced Biosystems</w:t>
      </w:r>
      <w:r w:rsidRPr="00310E7E">
        <w:rPr>
          <w:rFonts w:ascii="Times New Roman" w:hAnsi="Times New Roman"/>
          <w:noProof/>
          <w:szCs w:val="24"/>
        </w:rPr>
        <w:t xml:space="preserve">, </w:t>
      </w:r>
      <w:r w:rsidRPr="00310E7E">
        <w:rPr>
          <w:rFonts w:ascii="Times New Roman" w:hAnsi="Times New Roman"/>
          <w:i/>
          <w:iCs/>
          <w:noProof/>
          <w:szCs w:val="24"/>
        </w:rPr>
        <w:t>3</w:t>
      </w:r>
      <w:r w:rsidRPr="00310E7E">
        <w:rPr>
          <w:rFonts w:ascii="Times New Roman" w:hAnsi="Times New Roman"/>
          <w:noProof/>
          <w:szCs w:val="24"/>
        </w:rPr>
        <w:t xml:space="preserve">(6), 1–9. </w:t>
      </w:r>
      <w:hyperlink r:id="rId325" w:history="1">
        <w:r w:rsidRPr="00154AC8">
          <w:rPr>
            <w:rStyle w:val="Hyperlink"/>
            <w:rFonts w:ascii="Times New Roman" w:hAnsi="Times New Roman"/>
            <w:noProof/>
            <w:szCs w:val="24"/>
          </w:rPr>
          <w:t>https://doi.org/10.1002/adbi.201800315</w:t>
        </w:r>
      </w:hyperlink>
    </w:p>
    <w:p w14:paraId="38F1023E" w14:textId="2E4D156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Hutchison, C. A., Chuang, R.-Y., Noskov, V. N., Assad-Garcia, N., Deerinck, T. J., Ellisman, M. H., Gill, J., Kannan, K., Karas, B. J., Ma, L., Pelletier, J. F., Qi, Z.-Q., Richter, R. A., Strychalski, E. A., Sun, L., Suzuki, Y., Tsvetanova, B., Wise, K. S., Smith, H. O., … Venter, J. C. (2016). Design and synthesis of a minimal bacterial genome.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351</w:t>
      </w:r>
      <w:r w:rsidRPr="00310E7E">
        <w:rPr>
          <w:rFonts w:ascii="Times New Roman" w:hAnsi="Times New Roman"/>
          <w:noProof/>
          <w:szCs w:val="24"/>
        </w:rPr>
        <w:t xml:space="preserve">(6280), aad6253–aad6253. </w:t>
      </w:r>
      <w:hyperlink r:id="rId326" w:history="1">
        <w:r w:rsidRPr="00154AC8">
          <w:rPr>
            <w:rStyle w:val="Hyperlink"/>
            <w:rFonts w:ascii="Times New Roman" w:hAnsi="Times New Roman"/>
            <w:noProof/>
            <w:szCs w:val="24"/>
          </w:rPr>
          <w:t>https://doi.org/10.1126/science.aad6253</w:t>
        </w:r>
      </w:hyperlink>
    </w:p>
    <w:p w14:paraId="10EFD4A0" w14:textId="7F80292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InterAcademy Partnership. (2018). </w:t>
      </w:r>
      <w:r w:rsidRPr="00310E7E">
        <w:rPr>
          <w:rFonts w:ascii="Times New Roman" w:hAnsi="Times New Roman"/>
          <w:i/>
          <w:iCs/>
          <w:noProof/>
          <w:szCs w:val="24"/>
        </w:rPr>
        <w:t>Assessing the Security Implications of Genome Editing Technology: Report of an international workshop</w:t>
      </w:r>
      <w:r w:rsidRPr="00310E7E">
        <w:rPr>
          <w:rFonts w:ascii="Times New Roman" w:hAnsi="Times New Roman"/>
          <w:noProof/>
          <w:szCs w:val="24"/>
        </w:rPr>
        <w:t>.</w:t>
      </w:r>
    </w:p>
    <w:p w14:paraId="5BBCB845" w14:textId="470AAC4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International Civil Society Working Group on Synthetic Biology (ICSWGSB). (2011). </w:t>
      </w:r>
      <w:r w:rsidRPr="00310E7E">
        <w:rPr>
          <w:rFonts w:ascii="Times New Roman" w:hAnsi="Times New Roman"/>
          <w:i/>
          <w:iCs/>
          <w:noProof/>
          <w:szCs w:val="24"/>
        </w:rPr>
        <w:t>A Submission to the Convention on Biological Diversity’s Subsidiary Body on Scientific, Technical and Technological Advice (SBSTTA) on the Potential Impacts of Synthetic Biology on the Conservation and Use of Synthetic Biology</w:t>
      </w:r>
      <w:r w:rsidRPr="00310E7E">
        <w:rPr>
          <w:rFonts w:ascii="Times New Roman" w:hAnsi="Times New Roman"/>
          <w:noProof/>
          <w:szCs w:val="24"/>
        </w:rPr>
        <w:t xml:space="preserve">. </w:t>
      </w:r>
      <w:hyperlink r:id="rId327" w:history="1">
        <w:r w:rsidRPr="00154AC8">
          <w:rPr>
            <w:rStyle w:val="Hyperlink"/>
            <w:rFonts w:ascii="Times New Roman" w:hAnsi="Times New Roman"/>
            <w:noProof/>
            <w:szCs w:val="24"/>
          </w:rPr>
          <w:t>https://www.cbd.int/doc/emerging-issues/Int-Civil-Soc-WGSynthetic-Biology-2011-013-en.pdf</w:t>
        </w:r>
      </w:hyperlink>
    </w:p>
    <w:p w14:paraId="71F6071B" w14:textId="2494894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International Gene Synthesis Consortium. (2017). </w:t>
      </w:r>
      <w:r w:rsidRPr="00310E7E">
        <w:rPr>
          <w:rFonts w:ascii="Times New Roman" w:hAnsi="Times New Roman"/>
          <w:i/>
          <w:iCs/>
          <w:noProof/>
          <w:szCs w:val="24"/>
        </w:rPr>
        <w:t>Harmonized Screening Protocol v2.0</w:t>
      </w:r>
      <w:r w:rsidRPr="00310E7E">
        <w:rPr>
          <w:rFonts w:ascii="Times New Roman" w:hAnsi="Times New Roman"/>
          <w:noProof/>
          <w:szCs w:val="24"/>
        </w:rPr>
        <w:t xml:space="preserve"> (p. 4). </w:t>
      </w:r>
      <w:hyperlink r:id="rId328" w:history="1">
        <w:r w:rsidRPr="00154AC8">
          <w:rPr>
            <w:rStyle w:val="Hyperlink"/>
            <w:rFonts w:ascii="Times New Roman" w:hAnsi="Times New Roman"/>
            <w:noProof/>
            <w:szCs w:val="24"/>
          </w:rPr>
          <w:t>https://genesynthesisconsortium.org/wp-content/uploads/IGSCHarmonizedProtocol11-21-17.pdf</w:t>
        </w:r>
      </w:hyperlink>
    </w:p>
    <w:p w14:paraId="067B8110" w14:textId="0E91F4C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International Genetically Engineered Machine. (2021). </w:t>
      </w:r>
      <w:r w:rsidRPr="00310E7E">
        <w:rPr>
          <w:rFonts w:ascii="Times New Roman" w:hAnsi="Times New Roman"/>
          <w:i/>
          <w:iCs/>
          <w:noProof/>
          <w:szCs w:val="24"/>
        </w:rPr>
        <w:t>iGEM - About</w:t>
      </w:r>
      <w:r w:rsidRPr="00310E7E">
        <w:rPr>
          <w:rFonts w:ascii="Times New Roman" w:hAnsi="Times New Roman"/>
          <w:noProof/>
          <w:szCs w:val="24"/>
        </w:rPr>
        <w:t xml:space="preserve">. </w:t>
      </w:r>
      <w:hyperlink r:id="rId329" w:history="1">
        <w:r w:rsidRPr="002F7277">
          <w:rPr>
            <w:rStyle w:val="Hyperlink"/>
            <w:rFonts w:ascii="Times New Roman" w:hAnsi="Times New Roman"/>
            <w:noProof/>
            <w:szCs w:val="24"/>
          </w:rPr>
          <w:t>https://igem.org/About</w:t>
        </w:r>
      </w:hyperlink>
    </w:p>
    <w:p w14:paraId="4B12E5CE"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International Risk Governance Council. (2009). Risk Governance of Synthetic Biology. In </w:t>
      </w:r>
      <w:r w:rsidRPr="00310E7E">
        <w:rPr>
          <w:rFonts w:ascii="Times New Roman" w:hAnsi="Times New Roman"/>
          <w:i/>
          <w:iCs/>
          <w:noProof/>
          <w:szCs w:val="24"/>
        </w:rPr>
        <w:t>Concept Note</w:t>
      </w:r>
      <w:r w:rsidRPr="00310E7E">
        <w:rPr>
          <w:rFonts w:ascii="Times New Roman" w:hAnsi="Times New Roman"/>
          <w:noProof/>
          <w:szCs w:val="24"/>
        </w:rPr>
        <w:t xml:space="preserve"> (pp. 1–28). International Risk Governance Council.</w:t>
      </w:r>
    </w:p>
    <w:p w14:paraId="2F06E302" w14:textId="33A6E58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International Union for Conservation of Nature. (2016). </w:t>
      </w:r>
      <w:r w:rsidRPr="00310E7E">
        <w:rPr>
          <w:rFonts w:ascii="Times New Roman" w:hAnsi="Times New Roman"/>
          <w:i/>
          <w:iCs/>
          <w:noProof/>
          <w:szCs w:val="24"/>
        </w:rPr>
        <w:t>World Conservation Congress 2016 Resolution 086</w:t>
      </w:r>
      <w:r w:rsidRPr="00310E7E">
        <w:rPr>
          <w:rFonts w:ascii="Times New Roman" w:hAnsi="Times New Roman"/>
          <w:noProof/>
          <w:szCs w:val="24"/>
        </w:rPr>
        <w:t xml:space="preserve">. </w:t>
      </w:r>
      <w:hyperlink r:id="rId330" w:history="1">
        <w:r w:rsidRPr="002F7277">
          <w:rPr>
            <w:rStyle w:val="Hyperlink"/>
            <w:rFonts w:ascii="Times New Roman" w:hAnsi="Times New Roman"/>
            <w:noProof/>
            <w:szCs w:val="24"/>
          </w:rPr>
          <w:t>https://portals.iucn.org/library/node/46503</w:t>
        </w:r>
      </w:hyperlink>
    </w:p>
    <w:p w14:paraId="363F8F08" w14:textId="15CDFA4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IUCN SSC. (2016). </w:t>
      </w:r>
      <w:r w:rsidRPr="00310E7E">
        <w:rPr>
          <w:rFonts w:ascii="Times New Roman" w:hAnsi="Times New Roman"/>
          <w:i/>
          <w:iCs/>
          <w:noProof/>
          <w:szCs w:val="24"/>
        </w:rPr>
        <w:t>IUCN SSC Guiding principles on Creating Proxies of Extinct Species for Conservation Benefit</w:t>
      </w:r>
      <w:r w:rsidRPr="00310E7E">
        <w:rPr>
          <w:rFonts w:ascii="Times New Roman" w:hAnsi="Times New Roman"/>
          <w:noProof/>
          <w:szCs w:val="24"/>
        </w:rPr>
        <w:t xml:space="preserve">. </w:t>
      </w:r>
      <w:hyperlink r:id="rId331" w:history="1">
        <w:r w:rsidRPr="002F7277">
          <w:rPr>
            <w:rStyle w:val="Hyperlink"/>
            <w:rFonts w:ascii="Times New Roman" w:hAnsi="Times New Roman"/>
            <w:noProof/>
            <w:szCs w:val="24"/>
          </w:rPr>
          <w:t>https://portals.iucn.org/library/sites/library/files/documents/Rep-2016-009.pdf</w:t>
        </w:r>
      </w:hyperlink>
    </w:p>
    <w:p w14:paraId="3F5EEE70" w14:textId="5B649A9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Ivey, F. D., Kreps, J. A., Helvey, J., &amp; Anchel, D. (2019). </w:t>
      </w:r>
      <w:r w:rsidRPr="00310E7E">
        <w:rPr>
          <w:rFonts w:ascii="Times New Roman" w:hAnsi="Times New Roman"/>
          <w:i/>
          <w:iCs/>
          <w:noProof/>
          <w:szCs w:val="24"/>
        </w:rPr>
        <w:t>Modification of protein glycosylation in microorganisms, WO2020041483A1</w:t>
      </w:r>
      <w:r w:rsidRPr="00310E7E">
        <w:rPr>
          <w:rFonts w:ascii="Times New Roman" w:hAnsi="Times New Roman"/>
          <w:noProof/>
          <w:szCs w:val="24"/>
        </w:rPr>
        <w:t xml:space="preserve"> (Vol. 24, Issue 54). </w:t>
      </w:r>
      <w:hyperlink r:id="rId332" w:history="1">
        <w:r w:rsidRPr="002F7277">
          <w:rPr>
            <w:rStyle w:val="Hyperlink"/>
            <w:rFonts w:ascii="Times New Roman" w:hAnsi="Times New Roman"/>
            <w:noProof/>
            <w:szCs w:val="24"/>
          </w:rPr>
          <w:t>https://patents.google.com/patent/WO2020041483A1</w:t>
        </w:r>
      </w:hyperlink>
    </w:p>
    <w:p w14:paraId="37EE11EF" w14:textId="0010957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es-ES"/>
        </w:rPr>
        <w:t xml:space="preserve">Jagadevan, S., Banerjee, A., Banerjee, C., Guria, C., Tiwari, R., Baweja, M., &amp; Shukla, P. (2018). </w:t>
      </w:r>
      <w:r w:rsidRPr="00310E7E">
        <w:rPr>
          <w:rFonts w:ascii="Times New Roman" w:hAnsi="Times New Roman"/>
          <w:noProof/>
          <w:szCs w:val="24"/>
        </w:rPr>
        <w:t xml:space="preserve">Recent developments in synthetic biology and metabolic engineering in microalgae towards biofuel production. In </w:t>
      </w:r>
      <w:r w:rsidRPr="00310E7E">
        <w:rPr>
          <w:rFonts w:ascii="Times New Roman" w:hAnsi="Times New Roman"/>
          <w:i/>
          <w:iCs/>
          <w:noProof/>
          <w:szCs w:val="24"/>
        </w:rPr>
        <w:t>Biotechnology for Biofuels</w:t>
      </w:r>
      <w:r w:rsidRPr="00310E7E">
        <w:rPr>
          <w:rFonts w:ascii="Times New Roman" w:hAnsi="Times New Roman"/>
          <w:noProof/>
          <w:szCs w:val="24"/>
        </w:rPr>
        <w:t xml:space="preserve"> (Vol. 11, Issue 1, p. 185). BioMed Central Ltd. </w:t>
      </w:r>
      <w:hyperlink r:id="rId333" w:history="1">
        <w:r w:rsidRPr="002F7277">
          <w:rPr>
            <w:rStyle w:val="Hyperlink"/>
            <w:rFonts w:ascii="Times New Roman" w:hAnsi="Times New Roman"/>
            <w:noProof/>
            <w:szCs w:val="24"/>
          </w:rPr>
          <w:t>https://doi.org/10.1186/s13068-018-1181-1</w:t>
        </w:r>
      </w:hyperlink>
    </w:p>
    <w:p w14:paraId="4332D018" w14:textId="79C6F46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fr-CA"/>
        </w:rPr>
        <w:t xml:space="preserve">Jang, M.-Y., Song, X.-P., Froeyen, M., Marlière, P., Lescrinier, E., Rozenski, J., &amp; Herdewijn, P. (2013). </w:t>
      </w:r>
      <w:r w:rsidRPr="00310E7E">
        <w:rPr>
          <w:rFonts w:ascii="Times New Roman" w:hAnsi="Times New Roman"/>
          <w:noProof/>
          <w:szCs w:val="24"/>
        </w:rPr>
        <w:t xml:space="preserve">A Synthetic Substrate of DNA Polymerase Deviating from the Bases, Sugar, and Leaving Group of Canonical Deoxynucleoside Triphosphates. </w:t>
      </w:r>
      <w:r w:rsidRPr="00310E7E">
        <w:rPr>
          <w:rFonts w:ascii="Times New Roman" w:hAnsi="Times New Roman"/>
          <w:i/>
          <w:iCs/>
          <w:noProof/>
          <w:szCs w:val="24"/>
        </w:rPr>
        <w:t>Chemistry &amp; Biology</w:t>
      </w:r>
      <w:r w:rsidRPr="00310E7E">
        <w:rPr>
          <w:rFonts w:ascii="Times New Roman" w:hAnsi="Times New Roman"/>
          <w:noProof/>
          <w:szCs w:val="24"/>
        </w:rPr>
        <w:t xml:space="preserve">, </w:t>
      </w:r>
      <w:r w:rsidRPr="00310E7E">
        <w:rPr>
          <w:rFonts w:ascii="Times New Roman" w:hAnsi="Times New Roman"/>
          <w:i/>
          <w:iCs/>
          <w:noProof/>
          <w:szCs w:val="24"/>
        </w:rPr>
        <w:t>20</w:t>
      </w:r>
      <w:r w:rsidRPr="00310E7E">
        <w:rPr>
          <w:rFonts w:ascii="Times New Roman" w:hAnsi="Times New Roman"/>
          <w:noProof/>
          <w:szCs w:val="24"/>
        </w:rPr>
        <w:t xml:space="preserve">(3), 416–423. </w:t>
      </w:r>
      <w:hyperlink r:id="rId334" w:history="1">
        <w:r w:rsidRPr="002F7277">
          <w:rPr>
            <w:rStyle w:val="Hyperlink"/>
            <w:rFonts w:ascii="Times New Roman" w:hAnsi="Times New Roman"/>
            <w:noProof/>
            <w:szCs w:val="24"/>
          </w:rPr>
          <w:t>https://doi.org/10.1016/j.chembiol.2013.02.010</w:t>
        </w:r>
      </w:hyperlink>
    </w:p>
    <w:p w14:paraId="0F66137F" w14:textId="659C14F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Jang, S., Jang, S., Noh, M. H., Lim, H. G., &amp; Jung, G. Y. (2018). Novel Hybrid Input Part Using Riboswitch and Transcriptional Repressor for Signal Inverting Amplifier. </w:t>
      </w:r>
      <w:r w:rsidRPr="00310E7E">
        <w:rPr>
          <w:rFonts w:ascii="Times New Roman" w:hAnsi="Times New Roman"/>
          <w:i/>
          <w:iCs/>
          <w:noProof/>
          <w:szCs w:val="24"/>
        </w:rPr>
        <w:t>ACS Synthetic Biology</w:t>
      </w:r>
      <w:r w:rsidRPr="00310E7E">
        <w:rPr>
          <w:rFonts w:ascii="Times New Roman" w:hAnsi="Times New Roman"/>
          <w:noProof/>
          <w:szCs w:val="24"/>
        </w:rPr>
        <w:t xml:space="preserve">, </w:t>
      </w:r>
      <w:r w:rsidRPr="00310E7E">
        <w:rPr>
          <w:rFonts w:ascii="Times New Roman" w:hAnsi="Times New Roman"/>
          <w:i/>
          <w:iCs/>
          <w:noProof/>
          <w:szCs w:val="24"/>
        </w:rPr>
        <w:t>7</w:t>
      </w:r>
      <w:r w:rsidRPr="00310E7E">
        <w:rPr>
          <w:rFonts w:ascii="Times New Roman" w:hAnsi="Times New Roman"/>
          <w:noProof/>
          <w:szCs w:val="24"/>
        </w:rPr>
        <w:t xml:space="preserve">(9), 2199–2204. </w:t>
      </w:r>
      <w:hyperlink r:id="rId335" w:history="1">
        <w:r w:rsidRPr="002F7277">
          <w:rPr>
            <w:rStyle w:val="Hyperlink"/>
            <w:rFonts w:ascii="Times New Roman" w:hAnsi="Times New Roman"/>
            <w:noProof/>
            <w:szCs w:val="24"/>
          </w:rPr>
          <w:t>https://doi.org/10.1021/acssynbio.8b00213</w:t>
        </w:r>
      </w:hyperlink>
    </w:p>
    <w:p w14:paraId="5A069C64" w14:textId="168FB33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Jansson, C., Carr, C. A. M., &amp; Reed, J. S. (2019). </w:t>
      </w:r>
      <w:r w:rsidRPr="00310E7E">
        <w:rPr>
          <w:rFonts w:ascii="Times New Roman" w:hAnsi="Times New Roman"/>
          <w:i/>
          <w:iCs/>
          <w:noProof/>
          <w:szCs w:val="24"/>
        </w:rPr>
        <w:t>Microorganisms for biosynthesis of limonene on gaseous substrates, US10179920B2</w:t>
      </w:r>
      <w:r w:rsidRPr="00310E7E">
        <w:rPr>
          <w:rFonts w:ascii="Times New Roman" w:hAnsi="Times New Roman"/>
          <w:noProof/>
          <w:szCs w:val="24"/>
        </w:rPr>
        <w:t xml:space="preserve"> (Vol. 1). </w:t>
      </w:r>
      <w:hyperlink r:id="rId336" w:history="1">
        <w:r w:rsidRPr="002F7277">
          <w:rPr>
            <w:rStyle w:val="Hyperlink"/>
            <w:rFonts w:ascii="Times New Roman" w:hAnsi="Times New Roman"/>
            <w:noProof/>
            <w:szCs w:val="24"/>
          </w:rPr>
          <w:t>https://patents.google.com/patent/US10179920B2/</w:t>
        </w:r>
      </w:hyperlink>
    </w:p>
    <w:p w14:paraId="4AAA9D71" w14:textId="7622A34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Jeong, D., Klocke, M., Agarwal, S., Kim, J., Choi, S., Franco, E., &amp; Kim, J. (2019). Cell-free synthetic biology platform for engineering synthetic biological circuits and systems. In </w:t>
      </w:r>
      <w:r w:rsidRPr="00310E7E">
        <w:rPr>
          <w:rFonts w:ascii="Times New Roman" w:hAnsi="Times New Roman"/>
          <w:i/>
          <w:iCs/>
          <w:noProof/>
          <w:szCs w:val="24"/>
        </w:rPr>
        <w:t>Methods and Protocols</w:t>
      </w:r>
      <w:r w:rsidRPr="00310E7E">
        <w:rPr>
          <w:rFonts w:ascii="Times New Roman" w:hAnsi="Times New Roman"/>
          <w:noProof/>
          <w:szCs w:val="24"/>
        </w:rPr>
        <w:t xml:space="preserve"> (Vol. 2, Issue 2, pp. 1–25). MDPI AG. </w:t>
      </w:r>
      <w:hyperlink r:id="rId337" w:history="1">
        <w:r w:rsidRPr="002F7277">
          <w:rPr>
            <w:rStyle w:val="Hyperlink"/>
            <w:rFonts w:ascii="Times New Roman" w:hAnsi="Times New Roman"/>
            <w:noProof/>
            <w:szCs w:val="24"/>
          </w:rPr>
          <w:t>https://doi.org/10.3390/mps2020039</w:t>
        </w:r>
      </w:hyperlink>
    </w:p>
    <w:p w14:paraId="0E66CE39" w14:textId="37F662F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Jeswani, H. K., Chilvers, A., &amp; Azapagic, A. (2020). Environmental sustainability of biofuels: A review: Environmental sustainability of biofuels. In </w:t>
      </w:r>
      <w:r w:rsidRPr="00310E7E">
        <w:rPr>
          <w:rFonts w:ascii="Times New Roman" w:hAnsi="Times New Roman"/>
          <w:i/>
          <w:iCs/>
          <w:noProof/>
          <w:szCs w:val="24"/>
        </w:rPr>
        <w:t>Proceedings of the Royal Society A: Mathematical, Physical and Engineering Sciences</w:t>
      </w:r>
      <w:r w:rsidRPr="00310E7E">
        <w:rPr>
          <w:rFonts w:ascii="Times New Roman" w:hAnsi="Times New Roman"/>
          <w:noProof/>
          <w:szCs w:val="24"/>
        </w:rPr>
        <w:t xml:space="preserve"> (Vol. 476, Issue 2243). Royal Society Publishing. </w:t>
      </w:r>
      <w:hyperlink r:id="rId338" w:history="1">
        <w:r w:rsidRPr="002F7277">
          <w:rPr>
            <w:rStyle w:val="Hyperlink"/>
            <w:rFonts w:ascii="Times New Roman" w:hAnsi="Times New Roman"/>
            <w:noProof/>
            <w:szCs w:val="24"/>
          </w:rPr>
          <w:t>https://doi.org/10.1098/rspa.2020.0351</w:t>
        </w:r>
      </w:hyperlink>
    </w:p>
    <w:p w14:paraId="19020FD7" w14:textId="1083ABE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Jia, H., Heymann, M., Bernhard, F., Schwille, P., &amp; Kai, L. (2017). Cell-free protein synthesis in micro compartments: building a minimal cell from biobricks. In </w:t>
      </w:r>
      <w:r w:rsidRPr="00310E7E">
        <w:rPr>
          <w:rFonts w:ascii="Times New Roman" w:hAnsi="Times New Roman"/>
          <w:i/>
          <w:iCs/>
          <w:noProof/>
          <w:szCs w:val="24"/>
        </w:rPr>
        <w:t>New Biotechnology</w:t>
      </w:r>
      <w:r w:rsidRPr="00310E7E">
        <w:rPr>
          <w:rFonts w:ascii="Times New Roman" w:hAnsi="Times New Roman"/>
          <w:noProof/>
          <w:szCs w:val="24"/>
        </w:rPr>
        <w:t xml:space="preserve"> (Vol. 39, pp. 199–205). Elsevier B.V. </w:t>
      </w:r>
      <w:hyperlink r:id="rId339" w:history="1">
        <w:r w:rsidRPr="002F7277">
          <w:rPr>
            <w:rStyle w:val="Hyperlink"/>
            <w:rFonts w:ascii="Times New Roman" w:hAnsi="Times New Roman"/>
            <w:noProof/>
            <w:szCs w:val="24"/>
          </w:rPr>
          <w:t>https://doi.org/10.1016/j.nbt.2017.06.014</w:t>
        </w:r>
      </w:hyperlink>
    </w:p>
    <w:p w14:paraId="7F26683E" w14:textId="33D4A9C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Johnson, K. L., Raybould, A. F., Hudson, M. D., &amp; Poppy, G. M. (2007). How does scientific risk assessment of GM crops fit within the wider risk analysis? </w:t>
      </w:r>
      <w:r w:rsidRPr="00310E7E">
        <w:rPr>
          <w:rFonts w:ascii="Times New Roman" w:hAnsi="Times New Roman"/>
          <w:i/>
          <w:iCs/>
          <w:noProof/>
          <w:szCs w:val="24"/>
        </w:rPr>
        <w:t>Trends in Plant Science</w:t>
      </w:r>
      <w:r w:rsidRPr="00310E7E">
        <w:rPr>
          <w:rFonts w:ascii="Times New Roman" w:hAnsi="Times New Roman"/>
          <w:noProof/>
          <w:szCs w:val="24"/>
        </w:rPr>
        <w:t xml:space="preserve">, </w:t>
      </w:r>
      <w:r w:rsidRPr="00310E7E">
        <w:rPr>
          <w:rFonts w:ascii="Times New Roman" w:hAnsi="Times New Roman"/>
          <w:i/>
          <w:iCs/>
          <w:noProof/>
          <w:szCs w:val="24"/>
        </w:rPr>
        <w:t>12</w:t>
      </w:r>
      <w:r w:rsidRPr="00310E7E">
        <w:rPr>
          <w:rFonts w:ascii="Times New Roman" w:hAnsi="Times New Roman"/>
          <w:noProof/>
          <w:szCs w:val="24"/>
        </w:rPr>
        <w:t xml:space="preserve">(1), 1–5. </w:t>
      </w:r>
      <w:hyperlink r:id="rId340" w:history="1">
        <w:r w:rsidRPr="002F7277">
          <w:rPr>
            <w:rStyle w:val="Hyperlink"/>
            <w:rFonts w:ascii="Times New Roman" w:hAnsi="Times New Roman"/>
            <w:noProof/>
            <w:szCs w:val="24"/>
          </w:rPr>
          <w:t>https://doi.org/10.1016/j.tplants.2006.11.004</w:t>
        </w:r>
      </w:hyperlink>
    </w:p>
    <w:p w14:paraId="7F7A1B1D" w14:textId="1F94998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Jones, H. D. (2015). Future of breeding by genome editing is in the hands of regulators. </w:t>
      </w:r>
      <w:r w:rsidRPr="00310E7E">
        <w:rPr>
          <w:rFonts w:ascii="Times New Roman" w:hAnsi="Times New Roman"/>
          <w:i/>
          <w:iCs/>
          <w:noProof/>
          <w:szCs w:val="24"/>
        </w:rPr>
        <w:t>GM Crops &amp; Food</w:t>
      </w:r>
      <w:r w:rsidRPr="00310E7E">
        <w:rPr>
          <w:rFonts w:ascii="Times New Roman" w:hAnsi="Times New Roman"/>
          <w:noProof/>
          <w:szCs w:val="24"/>
        </w:rPr>
        <w:t xml:space="preserve">, </w:t>
      </w:r>
      <w:r w:rsidRPr="00310E7E">
        <w:rPr>
          <w:rFonts w:ascii="Times New Roman" w:hAnsi="Times New Roman"/>
          <w:i/>
          <w:iCs/>
          <w:noProof/>
          <w:szCs w:val="24"/>
        </w:rPr>
        <w:t>6</w:t>
      </w:r>
      <w:r w:rsidRPr="00310E7E">
        <w:rPr>
          <w:rFonts w:ascii="Times New Roman" w:hAnsi="Times New Roman"/>
          <w:noProof/>
          <w:szCs w:val="24"/>
        </w:rPr>
        <w:t xml:space="preserve">(4), 223–232. </w:t>
      </w:r>
      <w:hyperlink r:id="rId341" w:history="1">
        <w:r w:rsidRPr="002F7277">
          <w:rPr>
            <w:rStyle w:val="Hyperlink"/>
            <w:rFonts w:ascii="Times New Roman" w:hAnsi="Times New Roman"/>
            <w:noProof/>
            <w:szCs w:val="24"/>
          </w:rPr>
          <w:t>https://doi.org/10.1080/21645698.2015.1134405</w:t>
        </w:r>
      </w:hyperlink>
    </w:p>
    <w:p w14:paraId="0A6F2CD6" w14:textId="1FC3D7EF" w:rsidR="00310E7E" w:rsidRPr="00F8168D"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es-ES"/>
        </w:rPr>
      </w:pPr>
      <w:r w:rsidRPr="00310E7E">
        <w:rPr>
          <w:rFonts w:ascii="Times New Roman" w:hAnsi="Times New Roman"/>
          <w:noProof/>
          <w:szCs w:val="24"/>
        </w:rPr>
        <w:t xml:space="preserve">Joyce, G. F. (2012). Toward an Alternative Biology. </w:t>
      </w:r>
      <w:r w:rsidRPr="00F8168D">
        <w:rPr>
          <w:rFonts w:ascii="Times New Roman" w:hAnsi="Times New Roman"/>
          <w:i/>
          <w:iCs/>
          <w:noProof/>
          <w:szCs w:val="24"/>
          <w:lang w:val="es-ES"/>
        </w:rPr>
        <w:t>Science</w:t>
      </w:r>
      <w:r w:rsidRPr="00F8168D">
        <w:rPr>
          <w:rFonts w:ascii="Times New Roman" w:hAnsi="Times New Roman"/>
          <w:noProof/>
          <w:szCs w:val="24"/>
          <w:lang w:val="es-ES"/>
        </w:rPr>
        <w:t xml:space="preserve">, </w:t>
      </w:r>
      <w:r w:rsidRPr="00F8168D">
        <w:rPr>
          <w:rFonts w:ascii="Times New Roman" w:hAnsi="Times New Roman"/>
          <w:i/>
          <w:iCs/>
          <w:noProof/>
          <w:szCs w:val="24"/>
          <w:lang w:val="es-ES"/>
        </w:rPr>
        <w:t>336</w:t>
      </w:r>
      <w:r w:rsidRPr="00F8168D">
        <w:rPr>
          <w:rFonts w:ascii="Times New Roman" w:hAnsi="Times New Roman"/>
          <w:noProof/>
          <w:szCs w:val="24"/>
          <w:lang w:val="es-ES"/>
        </w:rPr>
        <w:t xml:space="preserve">(6079), 307–308. </w:t>
      </w:r>
      <w:hyperlink r:id="rId342" w:history="1">
        <w:r w:rsidRPr="00F8168D">
          <w:rPr>
            <w:rStyle w:val="Hyperlink"/>
            <w:rFonts w:ascii="Times New Roman" w:hAnsi="Times New Roman"/>
            <w:noProof/>
            <w:szCs w:val="24"/>
            <w:lang w:val="es-ES"/>
          </w:rPr>
          <w:t>https://doi.org/10.1126/science.1221724</w:t>
        </w:r>
      </w:hyperlink>
    </w:p>
    <w:p w14:paraId="6617C69C" w14:textId="7D773AE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es-ES"/>
        </w:rPr>
        <w:t xml:space="preserve">Julve Parreño, J. M., Huet, E., Fernández-del-Carmen, A., Segura, A., Venturi, M., Gandía, A., Pan, W., Albaladejo, I., Forment, J., Pla, D., Wigdorovitz, A., Calvete, J. J., Gutiérrez, C., Gutiérrez, J. M., Granell, A., &amp; Orzáez, D. (2018). </w:t>
      </w:r>
      <w:r w:rsidRPr="00310E7E">
        <w:rPr>
          <w:rFonts w:ascii="Times New Roman" w:hAnsi="Times New Roman"/>
          <w:noProof/>
          <w:szCs w:val="24"/>
        </w:rPr>
        <w:t xml:space="preserve">A synthetic biology approach for consistent production of plant-made recombinant polyclonal antibodies against snake venom toxins. </w:t>
      </w:r>
      <w:r w:rsidRPr="00310E7E">
        <w:rPr>
          <w:rFonts w:ascii="Times New Roman" w:hAnsi="Times New Roman"/>
          <w:i/>
          <w:iCs/>
          <w:noProof/>
          <w:szCs w:val="24"/>
        </w:rPr>
        <w:t>Plant Biotechnology Journal</w:t>
      </w:r>
      <w:r w:rsidRPr="00310E7E">
        <w:rPr>
          <w:rFonts w:ascii="Times New Roman" w:hAnsi="Times New Roman"/>
          <w:noProof/>
          <w:szCs w:val="24"/>
        </w:rPr>
        <w:t xml:space="preserve">, </w:t>
      </w:r>
      <w:r w:rsidRPr="00310E7E">
        <w:rPr>
          <w:rFonts w:ascii="Times New Roman" w:hAnsi="Times New Roman"/>
          <w:i/>
          <w:iCs/>
          <w:noProof/>
          <w:szCs w:val="24"/>
        </w:rPr>
        <w:t>16</w:t>
      </w:r>
      <w:r w:rsidRPr="00310E7E">
        <w:rPr>
          <w:rFonts w:ascii="Times New Roman" w:hAnsi="Times New Roman"/>
          <w:noProof/>
          <w:szCs w:val="24"/>
        </w:rPr>
        <w:t xml:space="preserve">(3), 727–736. </w:t>
      </w:r>
      <w:hyperlink r:id="rId343" w:history="1">
        <w:r w:rsidRPr="002F7277">
          <w:rPr>
            <w:rStyle w:val="Hyperlink"/>
            <w:rFonts w:ascii="Times New Roman" w:hAnsi="Times New Roman"/>
            <w:noProof/>
            <w:szCs w:val="24"/>
          </w:rPr>
          <w:t>https://doi.org/10.1111/pbi.12823</w:t>
        </w:r>
      </w:hyperlink>
    </w:p>
    <w:p w14:paraId="392B49B4" w14:textId="623895D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Jupiter, D. C., Ficht, T. A., Samuel, J., Qin, Q.-M., &amp; de Figueiredo, P. (2010). DNA Watermarking of Infectious Agents: Progress and Prospects. </w:t>
      </w:r>
      <w:r w:rsidRPr="00310E7E">
        <w:rPr>
          <w:rFonts w:ascii="Times New Roman" w:hAnsi="Times New Roman"/>
          <w:i/>
          <w:iCs/>
          <w:noProof/>
          <w:szCs w:val="24"/>
        </w:rPr>
        <w:t>PLoS Pathogens</w:t>
      </w:r>
      <w:r w:rsidRPr="00310E7E">
        <w:rPr>
          <w:rFonts w:ascii="Times New Roman" w:hAnsi="Times New Roman"/>
          <w:noProof/>
          <w:szCs w:val="24"/>
        </w:rPr>
        <w:t xml:space="preserve">, </w:t>
      </w:r>
      <w:r w:rsidRPr="00310E7E">
        <w:rPr>
          <w:rFonts w:ascii="Times New Roman" w:hAnsi="Times New Roman"/>
          <w:i/>
          <w:iCs/>
          <w:noProof/>
          <w:szCs w:val="24"/>
        </w:rPr>
        <w:t>6</w:t>
      </w:r>
      <w:r w:rsidRPr="00310E7E">
        <w:rPr>
          <w:rFonts w:ascii="Times New Roman" w:hAnsi="Times New Roman"/>
          <w:noProof/>
          <w:szCs w:val="24"/>
        </w:rPr>
        <w:t xml:space="preserve">(6), e1000950. </w:t>
      </w:r>
      <w:hyperlink r:id="rId344" w:history="1">
        <w:r w:rsidRPr="000525B1">
          <w:rPr>
            <w:rStyle w:val="Hyperlink"/>
            <w:rFonts w:ascii="Times New Roman" w:hAnsi="Times New Roman"/>
            <w:noProof/>
            <w:szCs w:val="24"/>
          </w:rPr>
          <w:t>https://doi.org/10.1371/journal.ppat.1000950</w:t>
        </w:r>
      </w:hyperlink>
    </w:p>
    <w:p w14:paraId="4CB761F8" w14:textId="07E95E1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Kaebnick, G. E. (2009). Should moral objections to synthetic biology affect public policy?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27</w:t>
      </w:r>
      <w:r w:rsidRPr="00310E7E">
        <w:rPr>
          <w:rFonts w:ascii="Times New Roman" w:hAnsi="Times New Roman"/>
          <w:noProof/>
          <w:szCs w:val="24"/>
        </w:rPr>
        <w:t xml:space="preserve">(12), 1106–1108. </w:t>
      </w:r>
      <w:hyperlink r:id="rId345" w:history="1">
        <w:r w:rsidRPr="00A67742">
          <w:rPr>
            <w:rStyle w:val="Hyperlink"/>
            <w:rFonts w:ascii="Times New Roman" w:hAnsi="Times New Roman"/>
            <w:noProof/>
            <w:szCs w:val="24"/>
          </w:rPr>
          <w:t>https://doi.org/10.1038/nbt1209-1106</w:t>
        </w:r>
      </w:hyperlink>
    </w:p>
    <w:p w14:paraId="3236504B" w14:textId="63BA62A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Kahl, L., Molloy, J., Patron, N., Matthewman, C., Haseloff, J., Grewal, D., Johnson, R., &amp; Endy, D. (2018). Opening options for material transfer. In </w:t>
      </w:r>
      <w:r w:rsidRPr="00310E7E">
        <w:rPr>
          <w:rFonts w:ascii="Times New Roman" w:hAnsi="Times New Roman"/>
          <w:i/>
          <w:iCs/>
          <w:noProof/>
          <w:szCs w:val="24"/>
        </w:rPr>
        <w:t>Nature Biotechnology</w:t>
      </w:r>
      <w:r w:rsidRPr="00310E7E">
        <w:rPr>
          <w:rFonts w:ascii="Times New Roman" w:hAnsi="Times New Roman"/>
          <w:noProof/>
          <w:szCs w:val="24"/>
        </w:rPr>
        <w:t xml:space="preserve"> (Vol. 36, Issue 10, pp. 923–927). Nature Publishing Group. </w:t>
      </w:r>
      <w:hyperlink r:id="rId346" w:history="1">
        <w:r w:rsidRPr="00A67742">
          <w:rPr>
            <w:rStyle w:val="Hyperlink"/>
            <w:rFonts w:ascii="Times New Roman" w:hAnsi="Times New Roman"/>
            <w:noProof/>
            <w:szCs w:val="24"/>
          </w:rPr>
          <w:t>https://doi.org/10.1038/nbt.4263</w:t>
        </w:r>
      </w:hyperlink>
    </w:p>
    <w:p w14:paraId="68B327FB" w14:textId="278BFE6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Kaldis, A., Berbati, M., Melita, O., Reppa, C., Holeva, M., Otten, P., &amp; Voloudakis, A. (2018). Exogenously applied dsRNA molecules deriving from the</w:t>
      </w:r>
      <w:r w:rsidRPr="00A67742">
        <w:rPr>
          <w:rFonts w:ascii="Times New Roman" w:hAnsi="Times New Roman"/>
          <w:i/>
          <w:iCs/>
          <w:noProof/>
          <w:szCs w:val="24"/>
        </w:rPr>
        <w:t xml:space="preserve"> Zucchini yellow mosaic virus </w:t>
      </w:r>
      <w:r w:rsidRPr="00310E7E">
        <w:rPr>
          <w:rFonts w:ascii="Times New Roman" w:hAnsi="Times New Roman"/>
          <w:noProof/>
          <w:szCs w:val="24"/>
        </w:rPr>
        <w:t xml:space="preserve">(ZYMV) genome move systemically and protect cucurbits against ZYMV. </w:t>
      </w:r>
      <w:r w:rsidRPr="00310E7E">
        <w:rPr>
          <w:rFonts w:ascii="Times New Roman" w:hAnsi="Times New Roman"/>
          <w:i/>
          <w:iCs/>
          <w:noProof/>
          <w:szCs w:val="24"/>
        </w:rPr>
        <w:t>Molecular Plant Pathology</w:t>
      </w:r>
      <w:r w:rsidRPr="00310E7E">
        <w:rPr>
          <w:rFonts w:ascii="Times New Roman" w:hAnsi="Times New Roman"/>
          <w:noProof/>
          <w:szCs w:val="24"/>
        </w:rPr>
        <w:t xml:space="preserve">, </w:t>
      </w:r>
      <w:r w:rsidRPr="00310E7E">
        <w:rPr>
          <w:rFonts w:ascii="Times New Roman" w:hAnsi="Times New Roman"/>
          <w:i/>
          <w:iCs/>
          <w:noProof/>
          <w:szCs w:val="24"/>
        </w:rPr>
        <w:t>19</w:t>
      </w:r>
      <w:r w:rsidRPr="00310E7E">
        <w:rPr>
          <w:rFonts w:ascii="Times New Roman" w:hAnsi="Times New Roman"/>
          <w:noProof/>
          <w:szCs w:val="24"/>
        </w:rPr>
        <w:t xml:space="preserve">(4), 883–895. </w:t>
      </w:r>
      <w:hyperlink r:id="rId347" w:history="1">
        <w:r w:rsidRPr="00A67742">
          <w:rPr>
            <w:rStyle w:val="Hyperlink"/>
            <w:rFonts w:ascii="Times New Roman" w:hAnsi="Times New Roman"/>
            <w:noProof/>
            <w:szCs w:val="24"/>
          </w:rPr>
          <w:t>https://doi.org/10.1111/mpp.12572</w:t>
        </w:r>
      </w:hyperlink>
    </w:p>
    <w:p w14:paraId="3C11C71D" w14:textId="39D0BEE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Karlson, B., Bellavitis, C., &amp; France, N. (2021). Commercializing LanzaTech, from waste to fuel: An effectuation case. </w:t>
      </w:r>
      <w:r w:rsidRPr="00310E7E">
        <w:rPr>
          <w:rFonts w:ascii="Times New Roman" w:hAnsi="Times New Roman"/>
          <w:i/>
          <w:iCs/>
          <w:noProof/>
          <w:szCs w:val="24"/>
        </w:rPr>
        <w:t>Journal of Management and Organization</w:t>
      </w:r>
      <w:r w:rsidRPr="00310E7E">
        <w:rPr>
          <w:rFonts w:ascii="Times New Roman" w:hAnsi="Times New Roman"/>
          <w:noProof/>
          <w:szCs w:val="24"/>
        </w:rPr>
        <w:t xml:space="preserve">, </w:t>
      </w:r>
      <w:r w:rsidRPr="00310E7E">
        <w:rPr>
          <w:rFonts w:ascii="Times New Roman" w:hAnsi="Times New Roman"/>
          <w:i/>
          <w:iCs/>
          <w:noProof/>
          <w:szCs w:val="24"/>
        </w:rPr>
        <w:t>27</w:t>
      </w:r>
      <w:r w:rsidRPr="00310E7E">
        <w:rPr>
          <w:rFonts w:ascii="Times New Roman" w:hAnsi="Times New Roman"/>
          <w:noProof/>
          <w:szCs w:val="24"/>
        </w:rPr>
        <w:t xml:space="preserve">(1), 175–196. </w:t>
      </w:r>
      <w:hyperlink r:id="rId348" w:history="1">
        <w:r w:rsidRPr="00A67742">
          <w:rPr>
            <w:rStyle w:val="Hyperlink"/>
            <w:rFonts w:ascii="Times New Roman" w:hAnsi="Times New Roman"/>
            <w:noProof/>
            <w:szCs w:val="24"/>
          </w:rPr>
          <w:t>https://doi.org/10.1017/jmo.2017.83</w:t>
        </w:r>
      </w:hyperlink>
    </w:p>
    <w:p w14:paraId="111071D7" w14:textId="42FFFAB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Kawall, K. (2019). New Possibilities on the Horizon: Genome Editing Makes the Whole Genome Accessible for Changes.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10</w:t>
      </w:r>
      <w:r w:rsidRPr="00310E7E">
        <w:rPr>
          <w:rFonts w:ascii="Times New Roman" w:hAnsi="Times New Roman"/>
          <w:noProof/>
          <w:szCs w:val="24"/>
        </w:rPr>
        <w:t xml:space="preserve">. </w:t>
      </w:r>
      <w:hyperlink r:id="rId349" w:history="1">
        <w:r w:rsidRPr="00A67742">
          <w:rPr>
            <w:rStyle w:val="Hyperlink"/>
            <w:rFonts w:ascii="Times New Roman" w:hAnsi="Times New Roman"/>
            <w:noProof/>
            <w:szCs w:val="24"/>
          </w:rPr>
          <w:t>https://doi.org/10.3389/fpls.2019.00525</w:t>
        </w:r>
      </w:hyperlink>
    </w:p>
    <w:p w14:paraId="3EEBF177" w14:textId="068C128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Kawall, K., Cotter, J., &amp; Then, C. (2020). Broadening the GMO risk assessment in the EU for genome editing technologies in agriculture. </w:t>
      </w:r>
      <w:r w:rsidRPr="00310E7E">
        <w:rPr>
          <w:rFonts w:ascii="Times New Roman" w:hAnsi="Times New Roman"/>
          <w:i/>
          <w:iCs/>
          <w:noProof/>
          <w:szCs w:val="24"/>
        </w:rPr>
        <w:t>Environmental Sciences Europe</w:t>
      </w:r>
      <w:r w:rsidRPr="00310E7E">
        <w:rPr>
          <w:rFonts w:ascii="Times New Roman" w:hAnsi="Times New Roman"/>
          <w:noProof/>
          <w:szCs w:val="24"/>
        </w:rPr>
        <w:t xml:space="preserve">, </w:t>
      </w:r>
      <w:r w:rsidRPr="00310E7E">
        <w:rPr>
          <w:rFonts w:ascii="Times New Roman" w:hAnsi="Times New Roman"/>
          <w:i/>
          <w:iCs/>
          <w:noProof/>
          <w:szCs w:val="24"/>
        </w:rPr>
        <w:t>32</w:t>
      </w:r>
      <w:r w:rsidRPr="00310E7E">
        <w:rPr>
          <w:rFonts w:ascii="Times New Roman" w:hAnsi="Times New Roman"/>
          <w:noProof/>
          <w:szCs w:val="24"/>
        </w:rPr>
        <w:t xml:space="preserve">(1), 106. </w:t>
      </w:r>
      <w:hyperlink r:id="rId350" w:history="1">
        <w:r w:rsidRPr="00A67742">
          <w:rPr>
            <w:rStyle w:val="Hyperlink"/>
            <w:rFonts w:ascii="Times New Roman" w:hAnsi="Times New Roman"/>
            <w:noProof/>
            <w:szCs w:val="24"/>
          </w:rPr>
          <w:t>https://doi.org/10.1186/s12302-020-00361-2</w:t>
        </w:r>
      </w:hyperlink>
    </w:p>
    <w:p w14:paraId="7C9B2A15" w14:textId="0A1B47B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Ke, J., Wang, B., &amp; Yoshikuni, Y. (2021). Microbiome Engineering: Synthetic Biology of Plant-Associated Microbiomes in Sustainable Agriculture. In </w:t>
      </w:r>
      <w:r w:rsidRPr="00310E7E">
        <w:rPr>
          <w:rFonts w:ascii="Times New Roman" w:hAnsi="Times New Roman"/>
          <w:i/>
          <w:iCs/>
          <w:noProof/>
          <w:szCs w:val="24"/>
        </w:rPr>
        <w:t>Trends in Biotechnology</w:t>
      </w:r>
      <w:r w:rsidRPr="00310E7E">
        <w:rPr>
          <w:rFonts w:ascii="Times New Roman" w:hAnsi="Times New Roman"/>
          <w:noProof/>
          <w:szCs w:val="24"/>
        </w:rPr>
        <w:t xml:space="preserve"> (Vol. 39, Issue 3, pp. 244–261). Elsevier Ltd. </w:t>
      </w:r>
      <w:hyperlink r:id="rId351" w:history="1">
        <w:r w:rsidRPr="00A67742">
          <w:rPr>
            <w:rStyle w:val="Hyperlink"/>
            <w:rFonts w:ascii="Times New Roman" w:hAnsi="Times New Roman"/>
            <w:noProof/>
            <w:szCs w:val="24"/>
          </w:rPr>
          <w:t>https://doi.org/10.1016/j.tibtech.2020.07.008</w:t>
        </w:r>
      </w:hyperlink>
    </w:p>
    <w:p w14:paraId="67AA6F3F" w14:textId="603F92C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Keasling, J. D., Mendoza, A., &amp; Baran, P. S. (2012). A constructive debate.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492</w:t>
      </w:r>
      <w:r w:rsidRPr="00310E7E">
        <w:rPr>
          <w:rFonts w:ascii="Times New Roman" w:hAnsi="Times New Roman"/>
          <w:noProof/>
          <w:szCs w:val="24"/>
        </w:rPr>
        <w:t xml:space="preserve">(7428), 188–189. </w:t>
      </w:r>
      <w:hyperlink r:id="rId352" w:history="1">
        <w:r w:rsidRPr="00A67742">
          <w:rPr>
            <w:rStyle w:val="Hyperlink"/>
            <w:rFonts w:ascii="Times New Roman" w:hAnsi="Times New Roman"/>
            <w:noProof/>
            <w:szCs w:val="24"/>
          </w:rPr>
          <w:t>https://doi.org/10.1038/492188a</w:t>
        </w:r>
      </w:hyperlink>
    </w:p>
    <w:p w14:paraId="107ABB67" w14:textId="52A0A6B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Keiper, F., &amp; Atanassova, A. (2020). Regulation of Synthetic Biology: Developments Under the Convention on Biological Diversity and Its Protocols. In </w:t>
      </w:r>
      <w:r w:rsidRPr="00310E7E">
        <w:rPr>
          <w:rFonts w:ascii="Times New Roman" w:hAnsi="Times New Roman"/>
          <w:i/>
          <w:iCs/>
          <w:noProof/>
          <w:szCs w:val="24"/>
        </w:rPr>
        <w:t>Frontiers in Bioengineering and Biotechnology</w:t>
      </w:r>
      <w:r w:rsidRPr="00310E7E">
        <w:rPr>
          <w:rFonts w:ascii="Times New Roman" w:hAnsi="Times New Roman"/>
          <w:noProof/>
          <w:szCs w:val="24"/>
        </w:rPr>
        <w:t xml:space="preserve"> (Vol. 8). Frontiers Media S.A. </w:t>
      </w:r>
      <w:hyperlink r:id="rId353" w:history="1">
        <w:r w:rsidRPr="00A67742">
          <w:rPr>
            <w:rStyle w:val="Hyperlink"/>
            <w:rFonts w:ascii="Times New Roman" w:hAnsi="Times New Roman"/>
            <w:noProof/>
            <w:szCs w:val="24"/>
          </w:rPr>
          <w:t>https://doi.org/10.3389/fbioe.2020.00310</w:t>
        </w:r>
      </w:hyperlink>
    </w:p>
    <w:p w14:paraId="4F740707" w14:textId="0E46F89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Kelliher, T., Starr, D., Su, X., Tang, G., Chen, Z., Carter, J., Wittich, P. E., Dong, S., Green, J., Burch, E., McCuiston, J., Gu, W., Sun, Y., Strebe, T., Roberts, J., Bate, N. J., &amp; Que, Q. (2019). One-step genome editing of elite crop germplasm during haploid induction.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37</w:t>
      </w:r>
      <w:r w:rsidRPr="00310E7E">
        <w:rPr>
          <w:rFonts w:ascii="Times New Roman" w:hAnsi="Times New Roman"/>
          <w:noProof/>
          <w:szCs w:val="24"/>
        </w:rPr>
        <w:t xml:space="preserve">(3), 287–292. </w:t>
      </w:r>
      <w:hyperlink r:id="rId354" w:history="1">
        <w:r w:rsidRPr="00A67742">
          <w:rPr>
            <w:rStyle w:val="Hyperlink"/>
            <w:rFonts w:ascii="Times New Roman" w:hAnsi="Times New Roman"/>
            <w:noProof/>
            <w:szCs w:val="24"/>
          </w:rPr>
          <w:t>https://doi.org/10.1038/s41587-019-0038-x</w:t>
        </w:r>
      </w:hyperlink>
    </w:p>
    <w:p w14:paraId="313E829E" w14:textId="0FC8B66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Kelsey, A., Stillinger, D., Pham, T. B., Murphy, J., Firth, S., &amp; Carballar-Lejarazú, R. (2020). Global governing bodies: A pathway for gene drive governance for vector mosquito control. In </w:t>
      </w:r>
      <w:r w:rsidRPr="00310E7E">
        <w:rPr>
          <w:rFonts w:ascii="Times New Roman" w:hAnsi="Times New Roman"/>
          <w:i/>
          <w:iCs/>
          <w:noProof/>
          <w:szCs w:val="24"/>
        </w:rPr>
        <w:t>American Journal of Tropical Medicine and Hygiene</w:t>
      </w:r>
      <w:r w:rsidRPr="00310E7E">
        <w:rPr>
          <w:rFonts w:ascii="Times New Roman" w:hAnsi="Times New Roman"/>
          <w:noProof/>
          <w:szCs w:val="24"/>
        </w:rPr>
        <w:t xml:space="preserve"> (Vol. 103, Issue 3, pp. 976–985). American Society of Tropical Medicine and Hygiene. </w:t>
      </w:r>
      <w:hyperlink r:id="rId355" w:history="1">
        <w:r w:rsidRPr="00A67742">
          <w:rPr>
            <w:rStyle w:val="Hyperlink"/>
            <w:rFonts w:ascii="Times New Roman" w:hAnsi="Times New Roman"/>
            <w:noProof/>
            <w:szCs w:val="24"/>
          </w:rPr>
          <w:t>https://doi.org/10.4269/ajtmh.19-0941</w:t>
        </w:r>
      </w:hyperlink>
    </w:p>
    <w:p w14:paraId="4625B087" w14:textId="0993D93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Khajuria, C., Ivashuta, S., Wiggins, E., Flagel, L., Moar, W., Pleau, M., Miller, K., Zhang, Y., Ramaseshadri, P., Jiang, C., Hodge, T., Jensen, P., Chen, M., Gowda, A., McNulty, B., Vazquez, C., Bolognesi, R., Haas, J., Head, G., &amp; Clark, T. (2018). Development and characterization of the first dsRNA-resistant insect population from western corn rootworm, </w:t>
      </w:r>
      <w:r w:rsidRPr="00A67742">
        <w:rPr>
          <w:rFonts w:ascii="Times New Roman" w:hAnsi="Times New Roman"/>
          <w:i/>
          <w:iCs/>
          <w:noProof/>
          <w:szCs w:val="24"/>
        </w:rPr>
        <w:t>Diabrotica virgifera virgifera</w:t>
      </w:r>
      <w:r w:rsidRPr="00310E7E">
        <w:rPr>
          <w:rFonts w:ascii="Times New Roman" w:hAnsi="Times New Roman"/>
          <w:noProof/>
          <w:szCs w:val="24"/>
        </w:rPr>
        <w:t xml:space="preserve"> LeConte. </w:t>
      </w:r>
      <w:r w:rsidRPr="00310E7E">
        <w:rPr>
          <w:rFonts w:ascii="Times New Roman" w:hAnsi="Times New Roman"/>
          <w:i/>
          <w:iCs/>
          <w:noProof/>
          <w:szCs w:val="24"/>
        </w:rPr>
        <w:t>PLOS ONE</w:t>
      </w:r>
      <w:r w:rsidRPr="00310E7E">
        <w:rPr>
          <w:rFonts w:ascii="Times New Roman" w:hAnsi="Times New Roman"/>
          <w:noProof/>
          <w:szCs w:val="24"/>
        </w:rPr>
        <w:t xml:space="preserve">, </w:t>
      </w:r>
      <w:r w:rsidRPr="00310E7E">
        <w:rPr>
          <w:rFonts w:ascii="Times New Roman" w:hAnsi="Times New Roman"/>
          <w:i/>
          <w:iCs/>
          <w:noProof/>
          <w:szCs w:val="24"/>
        </w:rPr>
        <w:t>13</w:t>
      </w:r>
      <w:r w:rsidRPr="00310E7E">
        <w:rPr>
          <w:rFonts w:ascii="Times New Roman" w:hAnsi="Times New Roman"/>
          <w:noProof/>
          <w:szCs w:val="24"/>
        </w:rPr>
        <w:t xml:space="preserve">(5), e0197059. </w:t>
      </w:r>
      <w:hyperlink r:id="rId356" w:history="1">
        <w:r w:rsidRPr="00A67742">
          <w:rPr>
            <w:rStyle w:val="Hyperlink"/>
            <w:rFonts w:ascii="Times New Roman" w:hAnsi="Times New Roman"/>
            <w:noProof/>
            <w:szCs w:val="24"/>
          </w:rPr>
          <w:t>https://doi.org/10.1371/journal.pone.0197059</w:t>
        </w:r>
      </w:hyperlink>
    </w:p>
    <w:p w14:paraId="2EF20FAC" w14:textId="7CD51FD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Khalil, A. M. (2020). The genome editing revolution: review. In </w:t>
      </w:r>
      <w:r w:rsidRPr="00310E7E">
        <w:rPr>
          <w:rFonts w:ascii="Times New Roman" w:hAnsi="Times New Roman"/>
          <w:i/>
          <w:iCs/>
          <w:noProof/>
          <w:szCs w:val="24"/>
        </w:rPr>
        <w:t>Journal of Genetic Engineering and Biotechnology</w:t>
      </w:r>
      <w:r w:rsidRPr="00310E7E">
        <w:rPr>
          <w:rFonts w:ascii="Times New Roman" w:hAnsi="Times New Roman"/>
          <w:noProof/>
          <w:szCs w:val="24"/>
        </w:rPr>
        <w:t xml:space="preserve"> (Vol. 18, Issue 1). Springer Science and Business Media Deutschland GmbH. </w:t>
      </w:r>
      <w:hyperlink r:id="rId357" w:history="1">
        <w:r w:rsidRPr="005A519B">
          <w:rPr>
            <w:rStyle w:val="Hyperlink"/>
            <w:rFonts w:ascii="Times New Roman" w:hAnsi="Times New Roman"/>
            <w:noProof/>
            <w:szCs w:val="24"/>
          </w:rPr>
          <w:t>https://doi.org/10.1186/s43141-020-00078-y</w:t>
        </w:r>
      </w:hyperlink>
    </w:p>
    <w:p w14:paraId="17501127" w14:textId="33AD90E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Khalil, A. S., &amp; Collins, J. J. (2010). Synthetic biology: applications come of age. </w:t>
      </w:r>
      <w:r w:rsidRPr="00310E7E">
        <w:rPr>
          <w:rFonts w:ascii="Times New Roman" w:hAnsi="Times New Roman"/>
          <w:i/>
          <w:iCs/>
          <w:noProof/>
          <w:szCs w:val="24"/>
        </w:rPr>
        <w:t>Nature Reviews Genetics</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(5), 367–379. </w:t>
      </w:r>
      <w:hyperlink r:id="rId358" w:history="1">
        <w:r w:rsidRPr="005A519B">
          <w:rPr>
            <w:rStyle w:val="Hyperlink"/>
            <w:rFonts w:ascii="Times New Roman" w:hAnsi="Times New Roman"/>
            <w:noProof/>
            <w:szCs w:val="24"/>
          </w:rPr>
          <w:t>https://doi.org/10.1038/nrg2775</w:t>
        </w:r>
      </w:hyperlink>
    </w:p>
    <w:p w14:paraId="75AECC92" w14:textId="27790C0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Kim, T. W., Bae, S. S., Lee, J. W., Lee, S. M., Lee, J. H., Lee, H. S., &amp; Kang, S. G. (2016). A biological process effective for the conversion of CO-containing industrial waste gas to acetate. </w:t>
      </w:r>
      <w:r w:rsidRPr="00310E7E">
        <w:rPr>
          <w:rFonts w:ascii="Times New Roman" w:hAnsi="Times New Roman"/>
          <w:i/>
          <w:iCs/>
          <w:noProof/>
          <w:szCs w:val="24"/>
        </w:rPr>
        <w:t>Bioresource Technology</w:t>
      </w:r>
      <w:r w:rsidRPr="00310E7E">
        <w:rPr>
          <w:rFonts w:ascii="Times New Roman" w:hAnsi="Times New Roman"/>
          <w:noProof/>
          <w:szCs w:val="24"/>
        </w:rPr>
        <w:t xml:space="preserve">, </w:t>
      </w:r>
      <w:r w:rsidRPr="00310E7E">
        <w:rPr>
          <w:rFonts w:ascii="Times New Roman" w:hAnsi="Times New Roman"/>
          <w:i/>
          <w:iCs/>
          <w:noProof/>
          <w:szCs w:val="24"/>
        </w:rPr>
        <w:t>211</w:t>
      </w:r>
      <w:r w:rsidRPr="00310E7E">
        <w:rPr>
          <w:rFonts w:ascii="Times New Roman" w:hAnsi="Times New Roman"/>
          <w:noProof/>
          <w:szCs w:val="24"/>
        </w:rPr>
        <w:t xml:space="preserve">, 792–796. </w:t>
      </w:r>
      <w:hyperlink r:id="rId359" w:history="1">
        <w:r w:rsidRPr="005A519B">
          <w:rPr>
            <w:rStyle w:val="Hyperlink"/>
            <w:rFonts w:ascii="Times New Roman" w:hAnsi="Times New Roman"/>
            <w:noProof/>
            <w:szCs w:val="24"/>
          </w:rPr>
          <w:t>https://doi.org/10.1016/j.biortech.2016.04.038</w:t>
        </w:r>
      </w:hyperlink>
    </w:p>
    <w:p w14:paraId="4DEB0136" w14:textId="3B306A0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Kloke, L. (2019). </w:t>
      </w:r>
      <w:r w:rsidRPr="00310E7E">
        <w:rPr>
          <w:rFonts w:ascii="Times New Roman" w:hAnsi="Times New Roman"/>
          <w:i/>
          <w:iCs/>
          <w:noProof/>
          <w:szCs w:val="24"/>
        </w:rPr>
        <w:t>Method and device for producing a three-dimensional, multi-cell object, US10299940B2</w:t>
      </w:r>
      <w:r w:rsidRPr="00310E7E">
        <w:rPr>
          <w:rFonts w:ascii="Times New Roman" w:hAnsi="Times New Roman"/>
          <w:noProof/>
          <w:szCs w:val="24"/>
        </w:rPr>
        <w:t xml:space="preserve"> (Vol. 21, Issue 19, pp. 1–22). </w:t>
      </w:r>
      <w:hyperlink r:id="rId360" w:history="1">
        <w:r w:rsidRPr="005A519B">
          <w:rPr>
            <w:rStyle w:val="Hyperlink"/>
            <w:rFonts w:ascii="Times New Roman" w:hAnsi="Times New Roman"/>
            <w:noProof/>
            <w:szCs w:val="24"/>
          </w:rPr>
          <w:t>https://patents.google.com/patent/US10299940B2/</w:t>
        </w:r>
      </w:hyperlink>
    </w:p>
    <w:p w14:paraId="4B9A5E57" w14:textId="1C06846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Kloke, L., Thomas, A., Grix, T., Noichl, B., &amp; Kreuder, A. (2019). </w:t>
      </w:r>
      <w:r w:rsidRPr="00310E7E">
        <w:rPr>
          <w:rFonts w:ascii="Times New Roman" w:hAnsi="Times New Roman"/>
          <w:i/>
          <w:iCs/>
          <w:noProof/>
          <w:szCs w:val="24"/>
        </w:rPr>
        <w:t xml:space="preserve">Method for producing a cell culture insert with at least one membrane, </w:t>
      </w:r>
      <w:r w:rsidRPr="005A519B">
        <w:rPr>
          <w:rFonts w:ascii="Times New Roman" w:hAnsi="Times New Roman"/>
          <w:noProof/>
          <w:szCs w:val="24"/>
        </w:rPr>
        <w:t>DE102018111751A1. 2</w:t>
      </w:r>
      <w:r w:rsidRPr="00310E7E">
        <w:rPr>
          <w:rFonts w:ascii="Times New Roman" w:hAnsi="Times New Roman"/>
          <w:noProof/>
          <w:szCs w:val="24"/>
        </w:rPr>
        <w:t xml:space="preserve">. </w:t>
      </w:r>
      <w:hyperlink r:id="rId361" w:history="1">
        <w:r w:rsidRPr="005A519B">
          <w:rPr>
            <w:rStyle w:val="Hyperlink"/>
            <w:rFonts w:ascii="Times New Roman" w:hAnsi="Times New Roman"/>
            <w:noProof/>
            <w:szCs w:val="24"/>
          </w:rPr>
          <w:t>https://patents.google.com/patent/DE102018111751A1</w:t>
        </w:r>
      </w:hyperlink>
    </w:p>
    <w:p w14:paraId="7C2214C1" w14:textId="7AE51A5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Koblentz, G. D. (2020). Emerging Technologies and the Future of CBRN Terrorism. </w:t>
      </w:r>
      <w:r w:rsidRPr="00310E7E">
        <w:rPr>
          <w:rFonts w:ascii="Times New Roman" w:hAnsi="Times New Roman"/>
          <w:i/>
          <w:iCs/>
          <w:noProof/>
          <w:szCs w:val="24"/>
        </w:rPr>
        <w:t>The Washington Quarterly</w:t>
      </w:r>
      <w:r w:rsidRPr="00310E7E">
        <w:rPr>
          <w:rFonts w:ascii="Times New Roman" w:hAnsi="Times New Roman"/>
          <w:noProof/>
          <w:szCs w:val="24"/>
        </w:rPr>
        <w:t xml:space="preserve">, </w:t>
      </w:r>
      <w:r w:rsidRPr="00310E7E">
        <w:rPr>
          <w:rFonts w:ascii="Times New Roman" w:hAnsi="Times New Roman"/>
          <w:i/>
          <w:iCs/>
          <w:noProof/>
          <w:szCs w:val="24"/>
        </w:rPr>
        <w:t>43</w:t>
      </w:r>
      <w:r w:rsidRPr="00310E7E">
        <w:rPr>
          <w:rFonts w:ascii="Times New Roman" w:hAnsi="Times New Roman"/>
          <w:noProof/>
          <w:szCs w:val="24"/>
        </w:rPr>
        <w:t xml:space="preserve">(2), 177–196. </w:t>
      </w:r>
      <w:hyperlink r:id="rId362" w:history="1">
        <w:r w:rsidRPr="005A519B">
          <w:rPr>
            <w:rStyle w:val="Hyperlink"/>
            <w:rFonts w:ascii="Times New Roman" w:hAnsi="Times New Roman"/>
            <w:noProof/>
            <w:szCs w:val="24"/>
          </w:rPr>
          <w:t>https://doi.org/10.1080/0163660X.2020.1770969</w:t>
        </w:r>
      </w:hyperlink>
    </w:p>
    <w:p w14:paraId="4283388F" w14:textId="4DD41A3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Koch, A., Biedenkopf, D., Furch, A., Weber, L., Rossbach, O., Abdellatef, E., Linicus, L., Johannsmeier, J., Jelonek, L., Goesmann, A., Cardoza, V., McMillan, J., Mentzel, T., &amp; Kogel, K.-H. (2016). An RNAi-Based Control of </w:t>
      </w:r>
      <w:r w:rsidRPr="005A519B">
        <w:rPr>
          <w:rFonts w:ascii="Times New Roman" w:hAnsi="Times New Roman"/>
          <w:i/>
          <w:iCs/>
          <w:noProof/>
          <w:szCs w:val="24"/>
        </w:rPr>
        <w:t>Fusarium graminearum</w:t>
      </w:r>
      <w:r w:rsidRPr="00310E7E">
        <w:rPr>
          <w:rFonts w:ascii="Times New Roman" w:hAnsi="Times New Roman"/>
          <w:noProof/>
          <w:szCs w:val="24"/>
        </w:rPr>
        <w:t xml:space="preserve"> Infections Through Spraying of Long dsRNAs Involves a Plant Passage and Is Controlled by the Fungal Silencing Machinery. </w:t>
      </w:r>
      <w:r w:rsidRPr="00310E7E">
        <w:rPr>
          <w:rFonts w:ascii="Times New Roman" w:hAnsi="Times New Roman"/>
          <w:i/>
          <w:iCs/>
          <w:noProof/>
          <w:szCs w:val="24"/>
        </w:rPr>
        <w:t>PLOS Pathogens</w:t>
      </w:r>
      <w:r w:rsidRPr="00310E7E">
        <w:rPr>
          <w:rFonts w:ascii="Times New Roman" w:hAnsi="Times New Roman"/>
          <w:noProof/>
          <w:szCs w:val="24"/>
        </w:rPr>
        <w:t xml:space="preserve">, </w:t>
      </w:r>
      <w:r w:rsidRPr="00310E7E">
        <w:rPr>
          <w:rFonts w:ascii="Times New Roman" w:hAnsi="Times New Roman"/>
          <w:i/>
          <w:iCs/>
          <w:noProof/>
          <w:szCs w:val="24"/>
        </w:rPr>
        <w:t>12</w:t>
      </w:r>
      <w:r w:rsidRPr="00310E7E">
        <w:rPr>
          <w:rFonts w:ascii="Times New Roman" w:hAnsi="Times New Roman"/>
          <w:noProof/>
          <w:szCs w:val="24"/>
        </w:rPr>
        <w:t>(10), e1005901.</w:t>
      </w:r>
      <w:hyperlink r:id="rId363" w:history="1">
        <w:r w:rsidRPr="005A519B">
          <w:rPr>
            <w:rStyle w:val="Hyperlink"/>
            <w:rFonts w:ascii="Times New Roman" w:hAnsi="Times New Roman"/>
            <w:noProof/>
            <w:szCs w:val="24"/>
          </w:rPr>
          <w:t xml:space="preserve"> https://doi.org/10.1371/journal.ppat.1005901</w:t>
        </w:r>
      </w:hyperlink>
    </w:p>
    <w:p w14:paraId="3F1D96F2" w14:textId="6854546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Koch, J., Gantenbein, S., Masania, K., Stark, W. J., Erlich, Y., &amp; Grass, R. N. (2020). A DNA-of-things storage architecture to create materials with embedded memory.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38</w:t>
      </w:r>
      <w:r w:rsidRPr="00310E7E">
        <w:rPr>
          <w:rFonts w:ascii="Times New Roman" w:hAnsi="Times New Roman"/>
          <w:noProof/>
          <w:szCs w:val="24"/>
        </w:rPr>
        <w:t xml:space="preserve">(1), 39–43. </w:t>
      </w:r>
      <w:hyperlink r:id="rId364" w:history="1">
        <w:r w:rsidRPr="005A519B">
          <w:rPr>
            <w:rStyle w:val="Hyperlink"/>
            <w:rFonts w:ascii="Times New Roman" w:hAnsi="Times New Roman"/>
            <w:noProof/>
            <w:szCs w:val="24"/>
          </w:rPr>
          <w:t>https://doi.org/10.1038/s41587-019-0356-z</w:t>
        </w:r>
      </w:hyperlink>
    </w:p>
    <w:p w14:paraId="6D34A950" w14:textId="2DCBEBD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Kochenderfer, J. N., Wilson, W. H., Janik, J. E., Dudley, M. E., Stetler-Stevenson, M., Feldman, S. A., Maric, I., Raffeld, M., Nathan, D. A. N., Lanier, B. J., Morgan, R. A., &amp; Rosenberg, S. A. (2010). Eradication of B-lineage cells and regression of lymphoma in a patient treated with autologous T cells genetically engineered to recognize CD19. </w:t>
      </w:r>
      <w:r w:rsidRPr="00310E7E">
        <w:rPr>
          <w:rFonts w:ascii="Times New Roman" w:hAnsi="Times New Roman"/>
          <w:i/>
          <w:iCs/>
          <w:noProof/>
          <w:szCs w:val="24"/>
        </w:rPr>
        <w:t>Blood</w:t>
      </w:r>
      <w:r w:rsidRPr="00310E7E">
        <w:rPr>
          <w:rFonts w:ascii="Times New Roman" w:hAnsi="Times New Roman"/>
          <w:noProof/>
          <w:szCs w:val="24"/>
        </w:rPr>
        <w:t xml:space="preserve">, </w:t>
      </w:r>
      <w:r w:rsidRPr="00310E7E">
        <w:rPr>
          <w:rFonts w:ascii="Times New Roman" w:hAnsi="Times New Roman"/>
          <w:i/>
          <w:iCs/>
          <w:noProof/>
          <w:szCs w:val="24"/>
        </w:rPr>
        <w:t>116</w:t>
      </w:r>
      <w:r w:rsidRPr="00310E7E">
        <w:rPr>
          <w:rFonts w:ascii="Times New Roman" w:hAnsi="Times New Roman"/>
          <w:noProof/>
          <w:szCs w:val="24"/>
        </w:rPr>
        <w:t xml:space="preserve">(20), 4099–4102. </w:t>
      </w:r>
      <w:hyperlink r:id="rId365" w:history="1">
        <w:r w:rsidRPr="005A519B">
          <w:rPr>
            <w:rStyle w:val="Hyperlink"/>
            <w:rFonts w:ascii="Times New Roman" w:hAnsi="Times New Roman"/>
            <w:noProof/>
            <w:szCs w:val="24"/>
          </w:rPr>
          <w:t>https://doi.org/10.1182/blood-2010-04-281931</w:t>
        </w:r>
      </w:hyperlink>
    </w:p>
    <w:p w14:paraId="18505561" w14:textId="12D4C34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Kofler, N. (2019). Gene drives: yelling match drowns out marginalized voices.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565</w:t>
      </w:r>
      <w:r w:rsidRPr="00310E7E">
        <w:rPr>
          <w:rFonts w:ascii="Times New Roman" w:hAnsi="Times New Roman"/>
          <w:noProof/>
          <w:szCs w:val="24"/>
        </w:rPr>
        <w:t xml:space="preserve">(7737), 25–25. </w:t>
      </w:r>
      <w:hyperlink r:id="rId366" w:history="1">
        <w:r w:rsidRPr="005A519B">
          <w:rPr>
            <w:rStyle w:val="Hyperlink"/>
            <w:rFonts w:ascii="Times New Roman" w:hAnsi="Times New Roman"/>
            <w:noProof/>
            <w:szCs w:val="24"/>
          </w:rPr>
          <w:t>https://doi.org/10.1038/d41586-018-07874-0</w:t>
        </w:r>
      </w:hyperlink>
    </w:p>
    <w:p w14:paraId="5CE832B1" w14:textId="1F8F4F4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Kofler, N., Collins, J. P., Kuzma, J., Marris, E., Esvelt, K., Nelson, M. P., Newhouse, A., Rothschild, L. J., Vigliotti, V. S., Semenov, M., Jacobsen, R., Dahlman, J. E., Prince, S., Caccone, A., Brown, T., &amp; Schmitz, O. J. (2018). Editing nature: Local roots of global governance.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362</w:t>
      </w:r>
      <w:r w:rsidRPr="00310E7E">
        <w:rPr>
          <w:rFonts w:ascii="Times New Roman" w:hAnsi="Times New Roman"/>
          <w:noProof/>
          <w:szCs w:val="24"/>
        </w:rPr>
        <w:t>(6414), 527–529.</w:t>
      </w:r>
      <w:hyperlink r:id="rId367" w:history="1">
        <w:r w:rsidRPr="005A519B">
          <w:rPr>
            <w:rStyle w:val="Hyperlink"/>
            <w:rFonts w:ascii="Times New Roman" w:hAnsi="Times New Roman"/>
            <w:noProof/>
            <w:szCs w:val="24"/>
          </w:rPr>
          <w:t xml:space="preserve"> https://doi.org/10.1126/science.aat4612</w:t>
        </w:r>
      </w:hyperlink>
    </w:p>
    <w:p w14:paraId="52EDA2F1" w14:textId="35AB680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Komen, J., Tripathi, L., Mkoko, B., Ofosu, D. O., Oloka, H., &amp; Wangari, D. (2020). Biosafety Regulatory Reviews and Leeway to Operate: Case Studies From Sub-Sahara Africa.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 130. </w:t>
      </w:r>
      <w:hyperlink r:id="rId368" w:history="1">
        <w:r w:rsidRPr="005A519B">
          <w:rPr>
            <w:rStyle w:val="Hyperlink"/>
            <w:rFonts w:ascii="Times New Roman" w:hAnsi="Times New Roman"/>
            <w:noProof/>
            <w:szCs w:val="24"/>
          </w:rPr>
          <w:t>https://doi.org/10.3389/fpls.2020.00130</w:t>
        </w:r>
      </w:hyperlink>
    </w:p>
    <w:p w14:paraId="0190CDF2" w14:textId="74804C8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Konig, H., Frank, D., Heil, R., &amp; Coenen, C. (2013). Synthetic Genomics and Synthetic Biology Applications Between Hopes and Concerns. </w:t>
      </w:r>
      <w:r w:rsidRPr="00310E7E">
        <w:rPr>
          <w:rFonts w:ascii="Times New Roman" w:hAnsi="Times New Roman"/>
          <w:i/>
          <w:iCs/>
          <w:noProof/>
          <w:szCs w:val="24"/>
        </w:rPr>
        <w:t>Current Genomics</w:t>
      </w:r>
      <w:r w:rsidRPr="00310E7E">
        <w:rPr>
          <w:rFonts w:ascii="Times New Roman" w:hAnsi="Times New Roman"/>
          <w:noProof/>
          <w:szCs w:val="24"/>
        </w:rPr>
        <w:t xml:space="preserve">, </w:t>
      </w:r>
      <w:r w:rsidRPr="00310E7E">
        <w:rPr>
          <w:rFonts w:ascii="Times New Roman" w:hAnsi="Times New Roman"/>
          <w:i/>
          <w:iCs/>
          <w:noProof/>
          <w:szCs w:val="24"/>
        </w:rPr>
        <w:t>14</w:t>
      </w:r>
      <w:r w:rsidRPr="00310E7E">
        <w:rPr>
          <w:rFonts w:ascii="Times New Roman" w:hAnsi="Times New Roman"/>
          <w:noProof/>
          <w:szCs w:val="24"/>
        </w:rPr>
        <w:t xml:space="preserve">(1), 11–24. </w:t>
      </w:r>
      <w:hyperlink r:id="rId369" w:history="1">
        <w:r w:rsidRPr="005A519B">
          <w:rPr>
            <w:rStyle w:val="Hyperlink"/>
            <w:rFonts w:ascii="Times New Roman" w:hAnsi="Times New Roman"/>
            <w:noProof/>
            <w:szCs w:val="24"/>
          </w:rPr>
          <w:t>https://doi.org/10.2174/1389202911314010003</w:t>
        </w:r>
      </w:hyperlink>
    </w:p>
    <w:p w14:paraId="2B3980F3" w14:textId="220CA1C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Kopf, R. K., Nimmo, D. G., Humphries, P., Baumgartner, L. J., Bode, M., Bond, N. R., Byrom, A. E., Cucherousset, J., Keller, R. P., King, A. J., McGinness, H. M., Moyle, P. B., &amp; Olden, J. D. (2017). Confronting the risks of large-scale invasive species control. </w:t>
      </w:r>
      <w:r w:rsidRPr="00310E7E">
        <w:rPr>
          <w:rFonts w:ascii="Times New Roman" w:hAnsi="Times New Roman"/>
          <w:i/>
          <w:iCs/>
          <w:noProof/>
          <w:szCs w:val="24"/>
        </w:rPr>
        <w:t>Nature Ecology &amp; Evolution</w:t>
      </w:r>
      <w:r w:rsidRPr="00310E7E">
        <w:rPr>
          <w:rFonts w:ascii="Times New Roman" w:hAnsi="Times New Roman"/>
          <w:noProof/>
          <w:szCs w:val="24"/>
        </w:rPr>
        <w:t xml:space="preserve">, </w:t>
      </w:r>
      <w:r w:rsidRPr="00310E7E">
        <w:rPr>
          <w:rFonts w:ascii="Times New Roman" w:hAnsi="Times New Roman"/>
          <w:i/>
          <w:iCs/>
          <w:noProof/>
          <w:szCs w:val="24"/>
        </w:rPr>
        <w:t>1</w:t>
      </w:r>
      <w:r w:rsidRPr="00310E7E">
        <w:rPr>
          <w:rFonts w:ascii="Times New Roman" w:hAnsi="Times New Roman"/>
          <w:noProof/>
          <w:szCs w:val="24"/>
        </w:rPr>
        <w:t xml:space="preserve">(6), 0172. </w:t>
      </w:r>
      <w:hyperlink r:id="rId370" w:history="1">
        <w:r w:rsidRPr="005A519B">
          <w:rPr>
            <w:rStyle w:val="Hyperlink"/>
            <w:rFonts w:ascii="Times New Roman" w:hAnsi="Times New Roman"/>
            <w:noProof/>
            <w:szCs w:val="24"/>
          </w:rPr>
          <w:t>https://doi.org/10.1038/s41559-017-0172</w:t>
        </w:r>
      </w:hyperlink>
    </w:p>
    <w:p w14:paraId="5814C16B" w14:textId="342ED29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Köpke, M., &amp; Simpson, S. D. (2020). Pollution to products: recycling of ‘above ground’ carbon by gas fermentation. In </w:t>
      </w:r>
      <w:r w:rsidRPr="00310E7E">
        <w:rPr>
          <w:rFonts w:ascii="Times New Roman" w:hAnsi="Times New Roman"/>
          <w:i/>
          <w:iCs/>
          <w:noProof/>
          <w:szCs w:val="24"/>
        </w:rPr>
        <w:t>Current Opinion in Biotechnology</w:t>
      </w:r>
      <w:r w:rsidRPr="00310E7E">
        <w:rPr>
          <w:rFonts w:ascii="Times New Roman" w:hAnsi="Times New Roman"/>
          <w:noProof/>
          <w:szCs w:val="24"/>
        </w:rPr>
        <w:t xml:space="preserve"> (Vol. 65, pp. 180–189). Elsevier Ltd. </w:t>
      </w:r>
      <w:hyperlink r:id="rId371" w:history="1">
        <w:r w:rsidRPr="00A878D6">
          <w:rPr>
            <w:rStyle w:val="Hyperlink"/>
            <w:rFonts w:ascii="Times New Roman" w:hAnsi="Times New Roman"/>
            <w:noProof/>
            <w:szCs w:val="24"/>
          </w:rPr>
          <w:t>https://doi.org/10.1016/j.copbio.2020.02.017</w:t>
        </w:r>
      </w:hyperlink>
    </w:p>
    <w:p w14:paraId="2F4D14BB" w14:textId="0C7B43E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Kramer, B. P., Viretta, A. U., Baba, M. D. El, Aubel, D., Weber, W., &amp; Fussenegger, M. (2004). An engineered epigenetic transgene switch in mammalian cells.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22</w:t>
      </w:r>
      <w:r w:rsidRPr="00310E7E">
        <w:rPr>
          <w:rFonts w:ascii="Times New Roman" w:hAnsi="Times New Roman"/>
          <w:noProof/>
          <w:szCs w:val="24"/>
        </w:rPr>
        <w:t xml:space="preserve">(7), 867–870. </w:t>
      </w:r>
      <w:hyperlink r:id="rId372" w:history="1">
        <w:r w:rsidRPr="00A878D6">
          <w:rPr>
            <w:rStyle w:val="Hyperlink"/>
            <w:rFonts w:ascii="Times New Roman" w:hAnsi="Times New Roman"/>
            <w:noProof/>
            <w:szCs w:val="24"/>
          </w:rPr>
          <w:t>https://doi.org/10.1038/nbt980</w:t>
        </w:r>
      </w:hyperlink>
    </w:p>
    <w:p w14:paraId="3B21067A" w14:textId="0405DDA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Kriegman, S., Blackiston, D., Levin, M., &amp; Bongard, J. (2020). A scalable pipeline for designing reconfigurable organisms. </w:t>
      </w:r>
      <w:r w:rsidRPr="00310E7E">
        <w:rPr>
          <w:rFonts w:ascii="Times New Roman" w:hAnsi="Times New Roman"/>
          <w:i/>
          <w:iCs/>
          <w:noProof/>
          <w:szCs w:val="24"/>
        </w:rPr>
        <w:t>Proceedings of the National Academy of Sciences</w:t>
      </w:r>
      <w:r w:rsidRPr="00310E7E">
        <w:rPr>
          <w:rFonts w:ascii="Times New Roman" w:hAnsi="Times New Roman"/>
          <w:noProof/>
          <w:szCs w:val="24"/>
        </w:rPr>
        <w:t xml:space="preserve">, 201910837. </w:t>
      </w:r>
      <w:hyperlink r:id="rId373" w:history="1">
        <w:r w:rsidRPr="00A878D6">
          <w:rPr>
            <w:rStyle w:val="Hyperlink"/>
            <w:rFonts w:ascii="Times New Roman" w:hAnsi="Times New Roman"/>
            <w:noProof/>
            <w:szCs w:val="24"/>
          </w:rPr>
          <w:t>https://doi.org/10.1073/pnas.1910837117</w:t>
        </w:r>
      </w:hyperlink>
    </w:p>
    <w:p w14:paraId="7D02472A" w14:textId="2B608A2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Ku, H.-K., &amp; Ha, S.-H. (2020). Improving Nutritional and Functional Quality by Genome Editing of Crops: Status and Perspectives.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 23. </w:t>
      </w:r>
      <w:hyperlink r:id="rId374" w:history="1">
        <w:r w:rsidRPr="00A878D6">
          <w:rPr>
            <w:rStyle w:val="Hyperlink"/>
            <w:rFonts w:ascii="Times New Roman" w:hAnsi="Times New Roman"/>
            <w:noProof/>
            <w:szCs w:val="24"/>
          </w:rPr>
          <w:t>https://doi.org/10.3389/fpls.2020.577313</w:t>
        </w:r>
      </w:hyperlink>
    </w:p>
    <w:p w14:paraId="5B711616" w14:textId="7AA3B66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Kung, S. H., Lund, S., Murarka, A., McPhee, D., &amp; Paddon, C. J. (2018). Approaches and Recent Developments for the Commercial Production of Semi-synthetic Artemisinin.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9</w:t>
      </w:r>
      <w:r w:rsidRPr="00310E7E">
        <w:rPr>
          <w:rFonts w:ascii="Times New Roman" w:hAnsi="Times New Roman"/>
          <w:noProof/>
          <w:szCs w:val="24"/>
        </w:rPr>
        <w:t xml:space="preserve">, 87. </w:t>
      </w:r>
      <w:hyperlink r:id="rId375" w:history="1">
        <w:r w:rsidRPr="00A878D6">
          <w:rPr>
            <w:rStyle w:val="Hyperlink"/>
            <w:rFonts w:ascii="Times New Roman" w:hAnsi="Times New Roman"/>
            <w:noProof/>
            <w:szCs w:val="24"/>
          </w:rPr>
          <w:t>https://doi.org/10.3389/fpls.2018.00087</w:t>
        </w:r>
      </w:hyperlink>
    </w:p>
    <w:p w14:paraId="1C691F57" w14:textId="6DCBECE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Kwon, C. T., Heo, J., Lemmon, Z. H., Capua, Y., Hutton, S. F., Van Eck, J., Park, S. J., &amp; Lippman, Z. B. (2020). Rapid customization of Solanaceae fruit crops for urban agriculture.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38</w:t>
      </w:r>
      <w:r w:rsidRPr="00310E7E">
        <w:rPr>
          <w:rFonts w:ascii="Times New Roman" w:hAnsi="Times New Roman"/>
          <w:noProof/>
          <w:szCs w:val="24"/>
        </w:rPr>
        <w:t xml:space="preserve">(2), 182–188. </w:t>
      </w:r>
      <w:hyperlink r:id="rId376" w:history="1">
        <w:r w:rsidRPr="00A878D6">
          <w:rPr>
            <w:rStyle w:val="Hyperlink"/>
            <w:rFonts w:ascii="Times New Roman" w:hAnsi="Times New Roman"/>
            <w:noProof/>
            <w:szCs w:val="24"/>
          </w:rPr>
          <w:t>https://doi.org/10.1038/s41587-019-0361-2</w:t>
        </w:r>
      </w:hyperlink>
    </w:p>
    <w:p w14:paraId="07E3FBD0" w14:textId="70F8708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Kyrou, K., Hammond, A. M., Galizi, R., Kranjc, N., Burt, A., Beaghton, A. K., Nolan, T., &amp; Crisanti, A. (2018). A CRISPR–Cas9 gene drive targeting doublesex causes complete population suppression in caged </w:t>
      </w:r>
      <w:r w:rsidRPr="00A878D6">
        <w:rPr>
          <w:rFonts w:ascii="Times New Roman" w:hAnsi="Times New Roman"/>
          <w:i/>
          <w:iCs/>
          <w:noProof/>
          <w:szCs w:val="24"/>
        </w:rPr>
        <w:t>Anopheles gambiae</w:t>
      </w:r>
      <w:r w:rsidRPr="00310E7E">
        <w:rPr>
          <w:rFonts w:ascii="Times New Roman" w:hAnsi="Times New Roman"/>
          <w:noProof/>
          <w:szCs w:val="24"/>
        </w:rPr>
        <w:t xml:space="preserve"> mosquitoes.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36</w:t>
      </w:r>
      <w:r w:rsidRPr="00310E7E">
        <w:rPr>
          <w:rFonts w:ascii="Times New Roman" w:hAnsi="Times New Roman"/>
          <w:noProof/>
          <w:szCs w:val="24"/>
        </w:rPr>
        <w:t xml:space="preserve">, 1062. </w:t>
      </w:r>
      <w:hyperlink r:id="rId377" w:history="1">
        <w:r w:rsidRPr="00A878D6">
          <w:rPr>
            <w:rStyle w:val="Hyperlink"/>
            <w:rFonts w:ascii="Times New Roman" w:hAnsi="Times New Roman"/>
            <w:noProof/>
            <w:szCs w:val="24"/>
          </w:rPr>
          <w:t>https://doi.org/10.1038/nbt.4245</w:t>
        </w:r>
      </w:hyperlink>
    </w:p>
    <w:p w14:paraId="50401EAC" w14:textId="7DF75F1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Labbé, G. M. C., Scaife, S., Morgan, S. A., Curtis, Z. H., &amp; Alphey, L. (2012). Female-Specific Flightless (fsRIDL) Phenotype for Control of </w:t>
      </w:r>
      <w:r w:rsidRPr="00A878D6">
        <w:rPr>
          <w:rFonts w:ascii="Times New Roman" w:hAnsi="Times New Roman"/>
          <w:i/>
          <w:iCs/>
          <w:noProof/>
          <w:szCs w:val="24"/>
        </w:rPr>
        <w:t>Aedes albopictus</w:t>
      </w:r>
      <w:r w:rsidRPr="00310E7E">
        <w:rPr>
          <w:rFonts w:ascii="Times New Roman" w:hAnsi="Times New Roman"/>
          <w:noProof/>
          <w:szCs w:val="24"/>
        </w:rPr>
        <w:t xml:space="preserve">. </w:t>
      </w:r>
      <w:r w:rsidRPr="00310E7E">
        <w:rPr>
          <w:rFonts w:ascii="Times New Roman" w:hAnsi="Times New Roman"/>
          <w:i/>
          <w:iCs/>
          <w:noProof/>
          <w:szCs w:val="24"/>
        </w:rPr>
        <w:t>PLoS Neglected Tropical Diseases</w:t>
      </w:r>
      <w:r w:rsidRPr="00310E7E">
        <w:rPr>
          <w:rFonts w:ascii="Times New Roman" w:hAnsi="Times New Roman"/>
          <w:noProof/>
          <w:szCs w:val="24"/>
        </w:rPr>
        <w:t xml:space="preserve">, </w:t>
      </w:r>
      <w:r w:rsidRPr="00310E7E">
        <w:rPr>
          <w:rFonts w:ascii="Times New Roman" w:hAnsi="Times New Roman"/>
          <w:i/>
          <w:iCs/>
          <w:noProof/>
          <w:szCs w:val="24"/>
        </w:rPr>
        <w:t>6</w:t>
      </w:r>
      <w:r w:rsidRPr="00310E7E">
        <w:rPr>
          <w:rFonts w:ascii="Times New Roman" w:hAnsi="Times New Roman"/>
          <w:noProof/>
          <w:szCs w:val="24"/>
        </w:rPr>
        <w:t xml:space="preserve">(7), e1724. </w:t>
      </w:r>
      <w:hyperlink r:id="rId378" w:history="1">
        <w:r w:rsidRPr="00A878D6">
          <w:rPr>
            <w:rStyle w:val="Hyperlink"/>
            <w:rFonts w:ascii="Times New Roman" w:hAnsi="Times New Roman"/>
            <w:noProof/>
            <w:szCs w:val="24"/>
          </w:rPr>
          <w:t>https://doi.org/10.1371/journal.pntd.0001724</w:t>
        </w:r>
      </w:hyperlink>
    </w:p>
    <w:p w14:paraId="46E58A98" w14:textId="4807737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Lai, H.-E., Canavan, C., Cameron, L., Moore, S., Danchenko, M., Kuiken, T., Sekeyová, Z., &amp; Freemont, P. S. (2019). Synthetic Biology and the United Nations. </w:t>
      </w:r>
      <w:r w:rsidRPr="00310E7E">
        <w:rPr>
          <w:rFonts w:ascii="Times New Roman" w:hAnsi="Times New Roman"/>
          <w:i/>
          <w:iCs/>
          <w:noProof/>
          <w:szCs w:val="24"/>
        </w:rPr>
        <w:t>Trends in Biotechnology</w:t>
      </w:r>
      <w:r w:rsidRPr="00310E7E">
        <w:rPr>
          <w:rFonts w:ascii="Times New Roman" w:hAnsi="Times New Roman"/>
          <w:noProof/>
          <w:szCs w:val="24"/>
        </w:rPr>
        <w:t xml:space="preserve">, </w:t>
      </w:r>
      <w:r w:rsidRPr="00310E7E">
        <w:rPr>
          <w:rFonts w:ascii="Times New Roman" w:hAnsi="Times New Roman"/>
          <w:i/>
          <w:iCs/>
          <w:noProof/>
          <w:szCs w:val="24"/>
        </w:rPr>
        <w:t>37</w:t>
      </w:r>
      <w:r w:rsidRPr="00310E7E">
        <w:rPr>
          <w:rFonts w:ascii="Times New Roman" w:hAnsi="Times New Roman"/>
          <w:noProof/>
          <w:szCs w:val="24"/>
        </w:rPr>
        <w:t xml:space="preserve">(11), 1146–1151. </w:t>
      </w:r>
      <w:hyperlink r:id="rId379" w:history="1">
        <w:r w:rsidRPr="00A878D6">
          <w:rPr>
            <w:rStyle w:val="Hyperlink"/>
            <w:rFonts w:ascii="Times New Roman" w:hAnsi="Times New Roman"/>
            <w:noProof/>
            <w:szCs w:val="24"/>
          </w:rPr>
          <w:t>https://doi.org/10.1016/j.tibtech.2019.05.011</w:t>
        </w:r>
      </w:hyperlink>
    </w:p>
    <w:p w14:paraId="6F02C873" w14:textId="569314C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Laird, S., &amp; Wynberg, R. (2012). </w:t>
      </w:r>
      <w:r w:rsidRPr="00310E7E">
        <w:rPr>
          <w:rFonts w:ascii="Times New Roman" w:hAnsi="Times New Roman"/>
          <w:i/>
          <w:iCs/>
          <w:noProof/>
          <w:szCs w:val="24"/>
        </w:rPr>
        <w:t>Bioscience at a Crossroads: Implementing the Nagoya Protocol on Access and Benefit Sharing in a Time of Scientific, Technological and Industry Change</w:t>
      </w:r>
      <w:r w:rsidRPr="00310E7E">
        <w:rPr>
          <w:rFonts w:ascii="Times New Roman" w:hAnsi="Times New Roman"/>
          <w:noProof/>
          <w:szCs w:val="24"/>
        </w:rPr>
        <w:t xml:space="preserve">. Secretariat of the Convention on Biological Diversity. </w:t>
      </w:r>
      <w:hyperlink r:id="rId380" w:history="1">
        <w:r w:rsidRPr="00A878D6">
          <w:rPr>
            <w:rStyle w:val="Hyperlink"/>
            <w:rFonts w:ascii="Times New Roman" w:hAnsi="Times New Roman"/>
            <w:noProof/>
            <w:szCs w:val="24"/>
          </w:rPr>
          <w:t>https://www.cbd.int/abs/doc/protocol/factsheets/policy/policy-brief-01-en.pdf</w:t>
        </w:r>
      </w:hyperlink>
    </w:p>
    <w:p w14:paraId="58D0DECF" w14:textId="17A9741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Lam, C. M. C., Godinho, M., &amp; dos Santos, V. A. P. M. (2009). An Introduction to Synthetic Biology. In </w:t>
      </w:r>
      <w:r w:rsidRPr="00310E7E">
        <w:rPr>
          <w:rFonts w:ascii="Times New Roman" w:hAnsi="Times New Roman"/>
          <w:i/>
          <w:iCs/>
          <w:noProof/>
          <w:szCs w:val="24"/>
        </w:rPr>
        <w:t>Synthetic Biology</w:t>
      </w:r>
      <w:r w:rsidRPr="00310E7E">
        <w:rPr>
          <w:rFonts w:ascii="Times New Roman" w:hAnsi="Times New Roman"/>
          <w:noProof/>
          <w:szCs w:val="24"/>
        </w:rPr>
        <w:t xml:space="preserve"> (pp. 23–48). Springer Netherlands. </w:t>
      </w:r>
      <w:hyperlink r:id="rId381" w:history="1">
        <w:r w:rsidRPr="00A878D6">
          <w:rPr>
            <w:rStyle w:val="Hyperlink"/>
            <w:rFonts w:ascii="Times New Roman" w:hAnsi="Times New Roman"/>
            <w:noProof/>
            <w:szCs w:val="24"/>
          </w:rPr>
          <w:t>https://doi.org/10.1007/978-90-481-2678-1_3</w:t>
        </w:r>
      </w:hyperlink>
    </w:p>
    <w:p w14:paraId="60008EED" w14:textId="201695D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Landrain, T., Meyer, M., Perez, A. M., &amp; Sussan, R. (2013). Do-it-yourself biology: Challenges and promises for an open science and technology movement. </w:t>
      </w:r>
      <w:r w:rsidRPr="00310E7E">
        <w:rPr>
          <w:rFonts w:ascii="Times New Roman" w:hAnsi="Times New Roman"/>
          <w:i/>
          <w:iCs/>
          <w:noProof/>
          <w:szCs w:val="24"/>
        </w:rPr>
        <w:t>Systems and Synthetic Biology</w:t>
      </w:r>
      <w:r w:rsidRPr="00310E7E">
        <w:rPr>
          <w:rFonts w:ascii="Times New Roman" w:hAnsi="Times New Roman"/>
          <w:noProof/>
          <w:szCs w:val="24"/>
        </w:rPr>
        <w:t xml:space="preserve">, </w:t>
      </w:r>
      <w:r w:rsidRPr="00310E7E">
        <w:rPr>
          <w:rFonts w:ascii="Times New Roman" w:hAnsi="Times New Roman"/>
          <w:i/>
          <w:iCs/>
          <w:noProof/>
          <w:szCs w:val="24"/>
        </w:rPr>
        <w:t>7</w:t>
      </w:r>
      <w:r w:rsidRPr="00310E7E">
        <w:rPr>
          <w:rFonts w:ascii="Times New Roman" w:hAnsi="Times New Roman"/>
          <w:noProof/>
          <w:szCs w:val="24"/>
        </w:rPr>
        <w:t xml:space="preserve">(3), 115–126. </w:t>
      </w:r>
      <w:hyperlink r:id="rId382" w:history="1">
        <w:r w:rsidRPr="00A878D6">
          <w:rPr>
            <w:rStyle w:val="Hyperlink"/>
            <w:rFonts w:ascii="Times New Roman" w:hAnsi="Times New Roman"/>
            <w:noProof/>
            <w:szCs w:val="24"/>
          </w:rPr>
          <w:t>https://doi.org/10.1007/s11693-013-9116-4</w:t>
        </w:r>
      </w:hyperlink>
    </w:p>
    <w:p w14:paraId="1078113D" w14:textId="21B0BFF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Laohakunakorn, N. (2020). Cell-Free Systems: A Proving Ground for Rational Biodesign. </w:t>
      </w:r>
      <w:r w:rsidRPr="00310E7E">
        <w:rPr>
          <w:rFonts w:ascii="Times New Roman" w:hAnsi="Times New Roman"/>
          <w:i/>
          <w:iCs/>
          <w:noProof/>
          <w:szCs w:val="24"/>
        </w:rPr>
        <w:t>Frontiers in Bioengineering and Biotechnology</w:t>
      </w:r>
      <w:r w:rsidRPr="00310E7E">
        <w:rPr>
          <w:rFonts w:ascii="Times New Roman" w:hAnsi="Times New Roman"/>
          <w:noProof/>
          <w:szCs w:val="24"/>
        </w:rPr>
        <w:t xml:space="preserve">, </w:t>
      </w:r>
      <w:r w:rsidRPr="00310E7E">
        <w:rPr>
          <w:rFonts w:ascii="Times New Roman" w:hAnsi="Times New Roman"/>
          <w:i/>
          <w:iCs/>
          <w:noProof/>
          <w:szCs w:val="24"/>
        </w:rPr>
        <w:t>8</w:t>
      </w:r>
      <w:r w:rsidRPr="00310E7E">
        <w:rPr>
          <w:rFonts w:ascii="Times New Roman" w:hAnsi="Times New Roman"/>
          <w:noProof/>
          <w:szCs w:val="24"/>
        </w:rPr>
        <w:t xml:space="preserve">, 788. </w:t>
      </w:r>
      <w:hyperlink r:id="rId383" w:history="1">
        <w:r w:rsidRPr="00A878D6">
          <w:rPr>
            <w:rStyle w:val="Hyperlink"/>
            <w:rFonts w:ascii="Times New Roman" w:hAnsi="Times New Roman"/>
            <w:noProof/>
            <w:szCs w:val="24"/>
          </w:rPr>
          <w:t>https://doi.org/10.3389/fbioe.2020.00788</w:t>
        </w:r>
      </w:hyperlink>
    </w:p>
    <w:p w14:paraId="6939FD4A" w14:textId="76C991D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Lassoued, R., Macall, D. M., Smyth, S. J., Phillips, P. W. B., &amp; Hesseln, H. (2019). Risk and safety considerations of genome edited crops: Expert opinion. </w:t>
      </w:r>
      <w:r w:rsidRPr="00310E7E">
        <w:rPr>
          <w:rFonts w:ascii="Times New Roman" w:hAnsi="Times New Roman"/>
          <w:i/>
          <w:iCs/>
          <w:noProof/>
          <w:szCs w:val="24"/>
        </w:rPr>
        <w:t>Current Research in Biotechnology</w:t>
      </w:r>
      <w:r w:rsidRPr="00310E7E">
        <w:rPr>
          <w:rFonts w:ascii="Times New Roman" w:hAnsi="Times New Roman"/>
          <w:noProof/>
          <w:szCs w:val="24"/>
        </w:rPr>
        <w:t xml:space="preserve">, </w:t>
      </w:r>
      <w:r w:rsidRPr="00310E7E">
        <w:rPr>
          <w:rFonts w:ascii="Times New Roman" w:hAnsi="Times New Roman"/>
          <w:i/>
          <w:iCs/>
          <w:noProof/>
          <w:szCs w:val="24"/>
        </w:rPr>
        <w:t>1</w:t>
      </w:r>
      <w:r w:rsidRPr="00310E7E">
        <w:rPr>
          <w:rFonts w:ascii="Times New Roman" w:hAnsi="Times New Roman"/>
          <w:noProof/>
          <w:szCs w:val="24"/>
        </w:rPr>
        <w:t xml:space="preserve">, 11–21. </w:t>
      </w:r>
      <w:hyperlink r:id="rId384" w:history="1">
        <w:r w:rsidRPr="00A878D6">
          <w:rPr>
            <w:rStyle w:val="Hyperlink"/>
            <w:rFonts w:ascii="Times New Roman" w:hAnsi="Times New Roman"/>
            <w:noProof/>
            <w:szCs w:val="24"/>
          </w:rPr>
          <w:t>https://doi.org/10.1016/j.crbiot.2019.08.001</w:t>
        </w:r>
      </w:hyperlink>
    </w:p>
    <w:p w14:paraId="70B6FF8F" w14:textId="4292893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Lau, W., Fischbach, M. A., Osbourn, A., &amp; Sattely, E. S. (2014). Key Applications of Plant Metabolic Engineering. </w:t>
      </w:r>
      <w:r w:rsidRPr="00310E7E">
        <w:rPr>
          <w:rFonts w:ascii="Times New Roman" w:hAnsi="Times New Roman"/>
          <w:i/>
          <w:iCs/>
          <w:noProof/>
          <w:szCs w:val="24"/>
        </w:rPr>
        <w:t>PLoS Biology</w:t>
      </w:r>
      <w:r w:rsidRPr="00310E7E">
        <w:rPr>
          <w:rFonts w:ascii="Times New Roman" w:hAnsi="Times New Roman"/>
          <w:noProof/>
          <w:szCs w:val="24"/>
        </w:rPr>
        <w:t xml:space="preserve">, </w:t>
      </w:r>
      <w:r w:rsidRPr="00310E7E">
        <w:rPr>
          <w:rFonts w:ascii="Times New Roman" w:hAnsi="Times New Roman"/>
          <w:i/>
          <w:iCs/>
          <w:noProof/>
          <w:szCs w:val="24"/>
        </w:rPr>
        <w:t>12</w:t>
      </w:r>
      <w:r w:rsidRPr="00310E7E">
        <w:rPr>
          <w:rFonts w:ascii="Times New Roman" w:hAnsi="Times New Roman"/>
          <w:noProof/>
          <w:szCs w:val="24"/>
        </w:rPr>
        <w:t xml:space="preserve">(6), e1001879. </w:t>
      </w:r>
      <w:hyperlink r:id="rId385" w:history="1">
        <w:r w:rsidRPr="008D6BE8">
          <w:rPr>
            <w:rStyle w:val="Hyperlink"/>
            <w:rFonts w:ascii="Times New Roman" w:hAnsi="Times New Roman"/>
            <w:noProof/>
            <w:szCs w:val="24"/>
          </w:rPr>
          <w:t>https://doi.org/10.1371/journal.pbio.1001879</w:t>
        </w:r>
      </w:hyperlink>
    </w:p>
    <w:p w14:paraId="3776FE92" w14:textId="6E05CD2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Lecourt, M., &amp; Antoniotti, S. (2020). Sustainability and Naturality of Perfumery Biotech Ingredients. </w:t>
      </w:r>
      <w:r w:rsidRPr="00310E7E">
        <w:rPr>
          <w:rFonts w:ascii="Times New Roman" w:hAnsi="Times New Roman"/>
          <w:i/>
          <w:iCs/>
          <w:noProof/>
          <w:szCs w:val="24"/>
        </w:rPr>
        <w:t>ChemSusChem</w:t>
      </w:r>
      <w:r w:rsidRPr="00310E7E">
        <w:rPr>
          <w:rFonts w:ascii="Times New Roman" w:hAnsi="Times New Roman"/>
          <w:noProof/>
          <w:szCs w:val="24"/>
        </w:rPr>
        <w:t xml:space="preserve">, </w:t>
      </w:r>
      <w:r w:rsidRPr="00310E7E">
        <w:rPr>
          <w:rFonts w:ascii="Times New Roman" w:hAnsi="Times New Roman"/>
          <w:i/>
          <w:iCs/>
          <w:noProof/>
          <w:szCs w:val="24"/>
        </w:rPr>
        <w:t>21</w:t>
      </w:r>
      <w:r w:rsidRPr="00310E7E">
        <w:rPr>
          <w:rFonts w:ascii="Times New Roman" w:hAnsi="Times New Roman"/>
          <w:noProof/>
          <w:szCs w:val="24"/>
        </w:rPr>
        <w:t xml:space="preserve">. </w:t>
      </w:r>
      <w:hyperlink r:id="rId386" w:history="1">
        <w:r w:rsidRPr="008D6BE8">
          <w:rPr>
            <w:rStyle w:val="Hyperlink"/>
            <w:rFonts w:ascii="Times New Roman" w:hAnsi="Times New Roman"/>
            <w:noProof/>
            <w:szCs w:val="24"/>
          </w:rPr>
          <w:t>https://doi.org/10.1002/cssc.202001661ï</w:t>
        </w:r>
      </w:hyperlink>
    </w:p>
    <w:p w14:paraId="6B10F6FC" w14:textId="7D617A3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Lee, J. W., Chan, C. T. Y., Slomovic, S., &amp; Collins, J. J. (2018). Next-generation biocontainment systems for engineered organisms. </w:t>
      </w:r>
      <w:r w:rsidRPr="00310E7E">
        <w:rPr>
          <w:rFonts w:ascii="Times New Roman" w:hAnsi="Times New Roman"/>
          <w:i/>
          <w:iCs/>
          <w:noProof/>
          <w:szCs w:val="24"/>
        </w:rPr>
        <w:t>Nature Chemical Biology</w:t>
      </w:r>
      <w:r w:rsidRPr="00310E7E">
        <w:rPr>
          <w:rFonts w:ascii="Times New Roman" w:hAnsi="Times New Roman"/>
          <w:noProof/>
          <w:szCs w:val="24"/>
        </w:rPr>
        <w:t xml:space="preserve">, </w:t>
      </w:r>
      <w:r w:rsidRPr="00310E7E">
        <w:rPr>
          <w:rFonts w:ascii="Times New Roman" w:hAnsi="Times New Roman"/>
          <w:i/>
          <w:iCs/>
          <w:noProof/>
          <w:szCs w:val="24"/>
        </w:rPr>
        <w:t>14</w:t>
      </w:r>
      <w:r w:rsidRPr="00310E7E">
        <w:rPr>
          <w:rFonts w:ascii="Times New Roman" w:hAnsi="Times New Roman"/>
          <w:noProof/>
          <w:szCs w:val="24"/>
        </w:rPr>
        <w:t xml:space="preserve">(6), 530–537. </w:t>
      </w:r>
      <w:hyperlink r:id="rId387" w:history="1">
        <w:r w:rsidRPr="008D6BE8">
          <w:rPr>
            <w:rStyle w:val="Hyperlink"/>
            <w:rFonts w:ascii="Times New Roman" w:hAnsi="Times New Roman"/>
            <w:noProof/>
            <w:szCs w:val="24"/>
          </w:rPr>
          <w:t>https://doi.org/10.1038/s41589-018-0056-x</w:t>
        </w:r>
      </w:hyperlink>
    </w:p>
    <w:p w14:paraId="04E01A7C" w14:textId="1DC1F53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Lee, J. W., Na, D., Park, J. M., Lee, J., Choi, S., &amp; Lee, S. Y. (2012). Systems metabolic engineering of microorganisms for natural and non-natural chemicals. In </w:t>
      </w:r>
      <w:r w:rsidRPr="00310E7E">
        <w:rPr>
          <w:rFonts w:ascii="Times New Roman" w:hAnsi="Times New Roman"/>
          <w:i/>
          <w:iCs/>
          <w:noProof/>
          <w:szCs w:val="24"/>
        </w:rPr>
        <w:t>Nature Chemical Biology</w:t>
      </w:r>
      <w:r w:rsidRPr="00310E7E">
        <w:rPr>
          <w:rFonts w:ascii="Times New Roman" w:hAnsi="Times New Roman"/>
          <w:noProof/>
          <w:szCs w:val="24"/>
        </w:rPr>
        <w:t xml:space="preserve"> (Vol. 8, Issue 6, pp. 536–546). Nature Publishing Group. </w:t>
      </w:r>
      <w:hyperlink r:id="rId388" w:history="1">
        <w:r w:rsidRPr="008D6BE8">
          <w:rPr>
            <w:rStyle w:val="Hyperlink"/>
            <w:rFonts w:ascii="Times New Roman" w:hAnsi="Times New Roman"/>
            <w:noProof/>
            <w:szCs w:val="24"/>
          </w:rPr>
          <w:t>https://doi.org/10.1038/nchembio.970</w:t>
        </w:r>
      </w:hyperlink>
    </w:p>
    <w:p w14:paraId="2464C11E" w14:textId="3C78DEC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Leitschuh, C. M., Kanavy, D., Backus, G. A., Valdez, R. X., Serr, M., Pitts, E. A., Threadgill, D., &amp; Godwin, J. (2018). Developing gene drive technologies to eradicate invasive rodents from islands. </w:t>
      </w:r>
      <w:r w:rsidRPr="00310E7E">
        <w:rPr>
          <w:rFonts w:ascii="Times New Roman" w:hAnsi="Times New Roman"/>
          <w:i/>
          <w:iCs/>
          <w:noProof/>
          <w:szCs w:val="24"/>
        </w:rPr>
        <w:t>Journal of Responsible Innovation</w:t>
      </w:r>
      <w:r w:rsidRPr="00310E7E">
        <w:rPr>
          <w:rFonts w:ascii="Times New Roman" w:hAnsi="Times New Roman"/>
          <w:noProof/>
          <w:szCs w:val="24"/>
        </w:rPr>
        <w:t xml:space="preserve">, </w:t>
      </w:r>
      <w:r w:rsidRPr="00310E7E">
        <w:rPr>
          <w:rFonts w:ascii="Times New Roman" w:hAnsi="Times New Roman"/>
          <w:i/>
          <w:iCs/>
          <w:noProof/>
          <w:szCs w:val="24"/>
        </w:rPr>
        <w:t>5</w:t>
      </w:r>
      <w:r w:rsidRPr="00310E7E">
        <w:rPr>
          <w:rFonts w:ascii="Times New Roman" w:hAnsi="Times New Roman"/>
          <w:noProof/>
          <w:szCs w:val="24"/>
        </w:rPr>
        <w:t xml:space="preserve">(sup1), S121–S138. </w:t>
      </w:r>
      <w:hyperlink r:id="rId389" w:history="1">
        <w:r w:rsidRPr="008D6BE8">
          <w:rPr>
            <w:rStyle w:val="Hyperlink"/>
            <w:rFonts w:ascii="Times New Roman" w:hAnsi="Times New Roman"/>
            <w:noProof/>
            <w:szCs w:val="24"/>
          </w:rPr>
          <w:t>https://doi.org/10.1080/23299460.2017.1365232</w:t>
        </w:r>
      </w:hyperlink>
    </w:p>
    <w:p w14:paraId="3BC60F05" w14:textId="321B135D" w:rsidR="008D6BE8" w:rsidRDefault="008D6BE8" w:rsidP="00310E7E">
      <w:pPr>
        <w:widowControl w:val="0"/>
        <w:autoSpaceDE w:val="0"/>
        <w:autoSpaceDN w:val="0"/>
        <w:adjustRightInd w:val="0"/>
        <w:spacing w:after="140" w:line="240" w:lineRule="auto"/>
        <w:ind w:left="480" w:hanging="480"/>
        <w:rPr>
          <w:rFonts w:ascii="Times New Roman" w:hAnsi="Times New Roman"/>
          <w:noProof/>
          <w:szCs w:val="24"/>
        </w:rPr>
      </w:pPr>
      <w:r w:rsidRPr="008D6BE8">
        <w:rPr>
          <w:rFonts w:ascii="Times New Roman" w:hAnsi="Times New Roman"/>
          <w:noProof/>
          <w:szCs w:val="24"/>
        </w:rPr>
        <w:t xml:space="preserve">Lema, M. A. (2021). Regulatory Assessment of Off-Target Changes and Spurious DNA Insertions in Gene-Edited Organisms for Agri-Food Use. Journal of Regulatory Science, 9(1), 1–15. </w:t>
      </w:r>
      <w:hyperlink r:id="rId390" w:history="1">
        <w:r w:rsidRPr="008D6BE8">
          <w:rPr>
            <w:rStyle w:val="Hyperlink"/>
            <w:rFonts w:ascii="Times New Roman" w:hAnsi="Times New Roman"/>
            <w:noProof/>
            <w:szCs w:val="24"/>
          </w:rPr>
          <w:t>https://doi.org/10.21423/jrs-v09i1lema</w:t>
        </w:r>
      </w:hyperlink>
    </w:p>
    <w:p w14:paraId="76CE5476" w14:textId="111A5F4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Lema, Martin Alfredo. (2019). Regulatory aspects of gene editing in Argentina. </w:t>
      </w:r>
      <w:r w:rsidRPr="00310E7E">
        <w:rPr>
          <w:rFonts w:ascii="Times New Roman" w:hAnsi="Times New Roman"/>
          <w:i/>
          <w:iCs/>
          <w:noProof/>
          <w:szCs w:val="24"/>
        </w:rPr>
        <w:t>Transgenic Research</w:t>
      </w:r>
      <w:r w:rsidRPr="00310E7E">
        <w:rPr>
          <w:rFonts w:ascii="Times New Roman" w:hAnsi="Times New Roman"/>
          <w:noProof/>
          <w:szCs w:val="24"/>
        </w:rPr>
        <w:t xml:space="preserve">, </w:t>
      </w:r>
      <w:r w:rsidRPr="00310E7E">
        <w:rPr>
          <w:rFonts w:ascii="Times New Roman" w:hAnsi="Times New Roman"/>
          <w:i/>
          <w:iCs/>
          <w:noProof/>
          <w:szCs w:val="24"/>
        </w:rPr>
        <w:t>28</w:t>
      </w:r>
      <w:r w:rsidRPr="00310E7E">
        <w:rPr>
          <w:rFonts w:ascii="Times New Roman" w:hAnsi="Times New Roman"/>
          <w:noProof/>
          <w:szCs w:val="24"/>
        </w:rPr>
        <w:t>(2), 147–150.</w:t>
      </w:r>
      <w:hyperlink r:id="rId391" w:history="1">
        <w:r w:rsidRPr="008D6BE8">
          <w:rPr>
            <w:rStyle w:val="Hyperlink"/>
            <w:rFonts w:ascii="Times New Roman" w:hAnsi="Times New Roman"/>
            <w:noProof/>
            <w:szCs w:val="24"/>
          </w:rPr>
          <w:t xml:space="preserve"> https://doi.org/10.1007/s11248-019-00145-2</w:t>
        </w:r>
      </w:hyperlink>
    </w:p>
    <w:p w14:paraId="648B220F" w14:textId="733B53B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Lemmon, Z. H., Reem, N. T., Dalrymple, J., Soyk, S., Swartwood, K. E., Rodriguez-Leal, D., Van Eck, J., &amp; Lippman, Z. B. (2018). Rapid improvement of domestication traits in an orphan crop by genome editing. </w:t>
      </w:r>
      <w:r w:rsidRPr="00310E7E">
        <w:rPr>
          <w:rFonts w:ascii="Times New Roman" w:hAnsi="Times New Roman"/>
          <w:i/>
          <w:iCs/>
          <w:noProof/>
          <w:szCs w:val="24"/>
        </w:rPr>
        <w:t>Nature Plants</w:t>
      </w:r>
      <w:r w:rsidRPr="00310E7E">
        <w:rPr>
          <w:rFonts w:ascii="Times New Roman" w:hAnsi="Times New Roman"/>
          <w:noProof/>
          <w:szCs w:val="24"/>
        </w:rPr>
        <w:t xml:space="preserve">, </w:t>
      </w:r>
      <w:r w:rsidRPr="00310E7E">
        <w:rPr>
          <w:rFonts w:ascii="Times New Roman" w:hAnsi="Times New Roman"/>
          <w:i/>
          <w:iCs/>
          <w:noProof/>
          <w:szCs w:val="24"/>
        </w:rPr>
        <w:t>4</w:t>
      </w:r>
      <w:r w:rsidRPr="00310E7E">
        <w:rPr>
          <w:rFonts w:ascii="Times New Roman" w:hAnsi="Times New Roman"/>
          <w:noProof/>
          <w:szCs w:val="24"/>
        </w:rPr>
        <w:t xml:space="preserve">(10), 766–770. </w:t>
      </w:r>
      <w:hyperlink r:id="rId392" w:history="1">
        <w:r w:rsidRPr="00557C28">
          <w:rPr>
            <w:rStyle w:val="Hyperlink"/>
            <w:rFonts w:ascii="Times New Roman" w:hAnsi="Times New Roman"/>
            <w:noProof/>
            <w:szCs w:val="24"/>
          </w:rPr>
          <w:t>https://doi.org/10.1038/s41477-018-0259-x</w:t>
        </w:r>
      </w:hyperlink>
    </w:p>
    <w:p w14:paraId="48A68891" w14:textId="5FDC624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Leo Elworth, R. A., Diaz, C., Yang, J., de Figueiredo, P., Ternus, K., &amp; Treangen, T. (2020). Synthetic DNA and biosecurity: Nuances of predicting pathogenicity and the impetus for novel computational approaches for screening oligonucleotides. </w:t>
      </w:r>
      <w:r w:rsidRPr="00310E7E">
        <w:rPr>
          <w:rFonts w:ascii="Times New Roman" w:hAnsi="Times New Roman"/>
          <w:i/>
          <w:iCs/>
          <w:noProof/>
          <w:szCs w:val="24"/>
        </w:rPr>
        <w:t>PLoS Pathogens</w:t>
      </w:r>
      <w:r w:rsidRPr="00310E7E">
        <w:rPr>
          <w:rFonts w:ascii="Times New Roman" w:hAnsi="Times New Roman"/>
          <w:noProof/>
          <w:szCs w:val="24"/>
        </w:rPr>
        <w:t xml:space="preserve">, </w:t>
      </w:r>
      <w:r w:rsidRPr="00310E7E">
        <w:rPr>
          <w:rFonts w:ascii="Times New Roman" w:hAnsi="Times New Roman"/>
          <w:i/>
          <w:iCs/>
          <w:noProof/>
          <w:szCs w:val="24"/>
        </w:rPr>
        <w:t>16</w:t>
      </w:r>
      <w:r w:rsidRPr="00310E7E">
        <w:rPr>
          <w:rFonts w:ascii="Times New Roman" w:hAnsi="Times New Roman"/>
          <w:noProof/>
          <w:szCs w:val="24"/>
        </w:rPr>
        <w:t xml:space="preserve">(8), e1008649. </w:t>
      </w:r>
      <w:hyperlink r:id="rId393" w:history="1">
        <w:r w:rsidRPr="00557C28">
          <w:rPr>
            <w:rStyle w:val="Hyperlink"/>
            <w:rFonts w:ascii="Times New Roman" w:hAnsi="Times New Roman"/>
            <w:noProof/>
            <w:szCs w:val="24"/>
          </w:rPr>
          <w:t>https://doi.org/10.1371/JOURNAL.PPAT.1008649</w:t>
        </w:r>
      </w:hyperlink>
    </w:p>
    <w:p w14:paraId="37D20AD4" w14:textId="5D1920B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Li, A., Jia, S., Yobi, A., Ge, Z., Sato, S. J., Zhang, C., Angelovici, R., Clemente, T. E., &amp; Holding, D. R. (2018). Editing of an alpha-kafirin gene family increases digestibility and protein quality in sorghum. </w:t>
      </w:r>
      <w:r w:rsidRPr="00310E7E">
        <w:rPr>
          <w:rFonts w:ascii="Times New Roman" w:hAnsi="Times New Roman"/>
          <w:i/>
          <w:iCs/>
          <w:noProof/>
          <w:szCs w:val="24"/>
        </w:rPr>
        <w:t>Plant Physiology</w:t>
      </w:r>
      <w:r w:rsidRPr="00310E7E">
        <w:rPr>
          <w:rFonts w:ascii="Times New Roman" w:hAnsi="Times New Roman"/>
          <w:noProof/>
          <w:szCs w:val="24"/>
        </w:rPr>
        <w:t xml:space="preserve">, </w:t>
      </w:r>
      <w:r w:rsidRPr="00310E7E">
        <w:rPr>
          <w:rFonts w:ascii="Times New Roman" w:hAnsi="Times New Roman"/>
          <w:i/>
          <w:iCs/>
          <w:noProof/>
          <w:szCs w:val="24"/>
        </w:rPr>
        <w:t>177</w:t>
      </w:r>
      <w:r w:rsidRPr="00310E7E">
        <w:rPr>
          <w:rFonts w:ascii="Times New Roman" w:hAnsi="Times New Roman"/>
          <w:noProof/>
          <w:szCs w:val="24"/>
        </w:rPr>
        <w:t xml:space="preserve">(4), 1425–1438. </w:t>
      </w:r>
      <w:hyperlink r:id="rId394" w:history="1">
        <w:r w:rsidRPr="00557C28">
          <w:rPr>
            <w:rStyle w:val="Hyperlink"/>
            <w:rFonts w:ascii="Times New Roman" w:hAnsi="Times New Roman"/>
            <w:noProof/>
            <w:szCs w:val="24"/>
          </w:rPr>
          <w:t>https://doi.org/10.1104/pp.18.00200</w:t>
        </w:r>
      </w:hyperlink>
    </w:p>
    <w:p w14:paraId="0FF62CED" w14:textId="1BAFAC8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Li, J., Gu, L., Aach, J., &amp; Church, G. M. (2014). Improved Cell-Free RNA and Protein Synthesis System. </w:t>
      </w:r>
      <w:r w:rsidRPr="00310E7E">
        <w:rPr>
          <w:rFonts w:ascii="Times New Roman" w:hAnsi="Times New Roman"/>
          <w:i/>
          <w:iCs/>
          <w:noProof/>
          <w:szCs w:val="24"/>
        </w:rPr>
        <w:t>PLoS ONE</w:t>
      </w:r>
      <w:r w:rsidRPr="00310E7E">
        <w:rPr>
          <w:rFonts w:ascii="Times New Roman" w:hAnsi="Times New Roman"/>
          <w:noProof/>
          <w:szCs w:val="24"/>
        </w:rPr>
        <w:t xml:space="preserve">, </w:t>
      </w:r>
      <w:r w:rsidRPr="00310E7E">
        <w:rPr>
          <w:rFonts w:ascii="Times New Roman" w:hAnsi="Times New Roman"/>
          <w:i/>
          <w:iCs/>
          <w:noProof/>
          <w:szCs w:val="24"/>
        </w:rPr>
        <w:t>9</w:t>
      </w:r>
      <w:r w:rsidRPr="00310E7E">
        <w:rPr>
          <w:rFonts w:ascii="Times New Roman" w:hAnsi="Times New Roman"/>
          <w:noProof/>
          <w:szCs w:val="24"/>
        </w:rPr>
        <w:t xml:space="preserve">(9), e106232. </w:t>
      </w:r>
      <w:hyperlink r:id="rId395" w:history="1">
        <w:r w:rsidRPr="00557C28">
          <w:rPr>
            <w:rStyle w:val="Hyperlink"/>
            <w:rFonts w:ascii="Times New Roman" w:hAnsi="Times New Roman"/>
            <w:noProof/>
            <w:szCs w:val="24"/>
          </w:rPr>
          <w:t>https://doi.org/10.1371/journal.pone.0106232</w:t>
        </w:r>
      </w:hyperlink>
    </w:p>
    <w:p w14:paraId="722645A1" w14:textId="739B390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Li, T., Liu, B., Spalding, M. H., Weeks, D. P., &amp; Yang, B. (2012). High-efficiency TALEN-based gene editing produces disease-resistant rice.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30</w:t>
      </w:r>
      <w:r w:rsidRPr="00310E7E">
        <w:rPr>
          <w:rFonts w:ascii="Times New Roman" w:hAnsi="Times New Roman"/>
          <w:noProof/>
          <w:szCs w:val="24"/>
        </w:rPr>
        <w:t xml:space="preserve">(5), 390–392. </w:t>
      </w:r>
      <w:hyperlink r:id="rId396" w:history="1">
        <w:r w:rsidRPr="00557C28">
          <w:rPr>
            <w:rStyle w:val="Hyperlink"/>
            <w:rFonts w:ascii="Times New Roman" w:hAnsi="Times New Roman"/>
            <w:noProof/>
            <w:szCs w:val="24"/>
          </w:rPr>
          <w:t>https://doi.org/10.1038/nbt.2199</w:t>
        </w:r>
      </w:hyperlink>
    </w:p>
    <w:p w14:paraId="414A20E8" w14:textId="6FE6E47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Liang, J. C., Bloom, R. J., &amp; Smolke, C. D. (2011). Engineering Biological Systems with Synthetic RNA Molecules. In </w:t>
      </w:r>
      <w:r w:rsidRPr="00310E7E">
        <w:rPr>
          <w:rFonts w:ascii="Times New Roman" w:hAnsi="Times New Roman"/>
          <w:i/>
          <w:iCs/>
          <w:noProof/>
          <w:szCs w:val="24"/>
        </w:rPr>
        <w:t>Molecular Cell</w:t>
      </w:r>
      <w:r w:rsidRPr="00310E7E">
        <w:rPr>
          <w:rFonts w:ascii="Times New Roman" w:hAnsi="Times New Roman"/>
          <w:noProof/>
          <w:szCs w:val="24"/>
        </w:rPr>
        <w:t xml:space="preserve"> (Vol. 43, Issue 6, pp. 915–926). NIH Public Access. </w:t>
      </w:r>
      <w:hyperlink r:id="rId397" w:history="1">
        <w:r w:rsidRPr="00557C28">
          <w:rPr>
            <w:rStyle w:val="Hyperlink"/>
            <w:rFonts w:ascii="Times New Roman" w:hAnsi="Times New Roman"/>
            <w:noProof/>
            <w:szCs w:val="24"/>
          </w:rPr>
          <w:t>https://doi.org/10.1016/j.molcel.2011.08.023</w:t>
        </w:r>
      </w:hyperlink>
    </w:p>
    <w:p w14:paraId="53DD4204" w14:textId="1F2D658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Liang, M., Frank, S., Lünsdorf, H., Warren, M. J., &amp; Prentice, M. B. (2017). Bacterial microcompartment-directed polyphosphate kinase promotes stable polyphosphate accumulation in E. coli. </w:t>
      </w:r>
      <w:r w:rsidRPr="00310E7E">
        <w:rPr>
          <w:rFonts w:ascii="Times New Roman" w:hAnsi="Times New Roman"/>
          <w:i/>
          <w:iCs/>
          <w:noProof/>
          <w:szCs w:val="24"/>
        </w:rPr>
        <w:t>Biotechnology Journal</w:t>
      </w:r>
      <w:r w:rsidRPr="00310E7E">
        <w:rPr>
          <w:rFonts w:ascii="Times New Roman" w:hAnsi="Times New Roman"/>
          <w:noProof/>
          <w:szCs w:val="24"/>
        </w:rPr>
        <w:t xml:space="preserve">, </w:t>
      </w:r>
      <w:r w:rsidRPr="00310E7E">
        <w:rPr>
          <w:rFonts w:ascii="Times New Roman" w:hAnsi="Times New Roman"/>
          <w:i/>
          <w:iCs/>
          <w:noProof/>
          <w:szCs w:val="24"/>
        </w:rPr>
        <w:t>12</w:t>
      </w:r>
      <w:r w:rsidRPr="00310E7E">
        <w:rPr>
          <w:rFonts w:ascii="Times New Roman" w:hAnsi="Times New Roman"/>
          <w:noProof/>
          <w:szCs w:val="24"/>
        </w:rPr>
        <w:t>(3).</w:t>
      </w:r>
      <w:hyperlink r:id="rId398" w:history="1">
        <w:r w:rsidRPr="00557C28">
          <w:rPr>
            <w:rStyle w:val="Hyperlink"/>
            <w:rFonts w:ascii="Times New Roman" w:hAnsi="Times New Roman"/>
            <w:noProof/>
            <w:szCs w:val="24"/>
          </w:rPr>
          <w:t xml:space="preserve"> https://doi.org/10.1002/biot.201600415</w:t>
        </w:r>
      </w:hyperlink>
    </w:p>
    <w:p w14:paraId="6A3A7635" w14:textId="578A9192" w:rsidR="00310E7E" w:rsidRPr="00F8168D"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fr-CA"/>
        </w:rPr>
      </w:pPr>
      <w:r w:rsidRPr="00310E7E">
        <w:rPr>
          <w:rFonts w:ascii="Times New Roman" w:hAnsi="Times New Roman"/>
          <w:noProof/>
          <w:szCs w:val="24"/>
        </w:rPr>
        <w:t xml:space="preserve">Liao, M. J., Din, M. O., Tsimring, L., &amp; Hasty, J. (2019). Rock-paper-scissors: Engineered population dynamics increase genetic stability. </w:t>
      </w:r>
      <w:r w:rsidRPr="00F8168D">
        <w:rPr>
          <w:rFonts w:ascii="Times New Roman" w:hAnsi="Times New Roman"/>
          <w:i/>
          <w:iCs/>
          <w:noProof/>
          <w:szCs w:val="24"/>
          <w:lang w:val="fr-CA"/>
        </w:rPr>
        <w:t>Science</w:t>
      </w:r>
      <w:r w:rsidRPr="00F8168D">
        <w:rPr>
          <w:rFonts w:ascii="Times New Roman" w:hAnsi="Times New Roman"/>
          <w:noProof/>
          <w:szCs w:val="24"/>
          <w:lang w:val="fr-CA"/>
        </w:rPr>
        <w:t xml:space="preserve">, </w:t>
      </w:r>
      <w:r w:rsidRPr="00F8168D">
        <w:rPr>
          <w:rFonts w:ascii="Times New Roman" w:hAnsi="Times New Roman"/>
          <w:i/>
          <w:iCs/>
          <w:noProof/>
          <w:szCs w:val="24"/>
          <w:lang w:val="fr-CA"/>
        </w:rPr>
        <w:t>365</w:t>
      </w:r>
      <w:r w:rsidRPr="00F8168D">
        <w:rPr>
          <w:rFonts w:ascii="Times New Roman" w:hAnsi="Times New Roman"/>
          <w:noProof/>
          <w:szCs w:val="24"/>
          <w:lang w:val="fr-CA"/>
        </w:rPr>
        <w:t xml:space="preserve">(6457), 1045–1049. </w:t>
      </w:r>
      <w:hyperlink r:id="rId399" w:history="1">
        <w:r w:rsidRPr="00F8168D">
          <w:rPr>
            <w:rStyle w:val="Hyperlink"/>
            <w:rFonts w:ascii="Times New Roman" w:hAnsi="Times New Roman"/>
            <w:noProof/>
            <w:szCs w:val="24"/>
            <w:lang w:val="fr-CA"/>
          </w:rPr>
          <w:t>https://doi.org/10.1126/science.aaw0542</w:t>
        </w:r>
      </w:hyperlink>
    </w:p>
    <w:p w14:paraId="5FD5B887" w14:textId="256A77E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fr-CA"/>
        </w:rPr>
        <w:t xml:space="preserve">Lienert, F., Lohmueller, J. J., Garg, A., &amp; Silver, P. A. (2014). </w:t>
      </w:r>
      <w:r w:rsidRPr="00310E7E">
        <w:rPr>
          <w:rFonts w:ascii="Times New Roman" w:hAnsi="Times New Roman"/>
          <w:noProof/>
          <w:szCs w:val="24"/>
        </w:rPr>
        <w:t xml:space="preserve">Synthetic biology in mammalian cells: next generation research tools and therapeutics. </w:t>
      </w:r>
      <w:r w:rsidRPr="00310E7E">
        <w:rPr>
          <w:rFonts w:ascii="Times New Roman" w:hAnsi="Times New Roman"/>
          <w:i/>
          <w:iCs/>
          <w:noProof/>
          <w:szCs w:val="24"/>
        </w:rPr>
        <w:t>Nature Reviews Molecular Cell Biology</w:t>
      </w:r>
      <w:r w:rsidRPr="00310E7E">
        <w:rPr>
          <w:rFonts w:ascii="Times New Roman" w:hAnsi="Times New Roman"/>
          <w:noProof/>
          <w:szCs w:val="24"/>
        </w:rPr>
        <w:t xml:space="preserve">, </w:t>
      </w:r>
      <w:r w:rsidRPr="00310E7E">
        <w:rPr>
          <w:rFonts w:ascii="Times New Roman" w:hAnsi="Times New Roman"/>
          <w:i/>
          <w:iCs/>
          <w:noProof/>
          <w:szCs w:val="24"/>
        </w:rPr>
        <w:t>15</w:t>
      </w:r>
      <w:r w:rsidRPr="00310E7E">
        <w:rPr>
          <w:rFonts w:ascii="Times New Roman" w:hAnsi="Times New Roman"/>
          <w:noProof/>
          <w:szCs w:val="24"/>
        </w:rPr>
        <w:t xml:space="preserve">(2), 95–107. </w:t>
      </w:r>
      <w:hyperlink r:id="rId400" w:history="1">
        <w:r w:rsidRPr="00557C28">
          <w:rPr>
            <w:rStyle w:val="Hyperlink"/>
            <w:rFonts w:ascii="Times New Roman" w:hAnsi="Times New Roman"/>
            <w:noProof/>
            <w:szCs w:val="24"/>
          </w:rPr>
          <w:t>https://doi.org/10.1038/nrm3738</w:t>
        </w:r>
      </w:hyperlink>
    </w:p>
    <w:p w14:paraId="2514F4C0" w14:textId="66ED9C3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Lim, W. A., Alvania, R., &amp; Marshall, W. F. (2012). Cell Biology 2.0. </w:t>
      </w:r>
      <w:r w:rsidRPr="00310E7E">
        <w:rPr>
          <w:rFonts w:ascii="Times New Roman" w:hAnsi="Times New Roman"/>
          <w:i/>
          <w:iCs/>
          <w:noProof/>
          <w:szCs w:val="24"/>
        </w:rPr>
        <w:t>Trends in Cell Biology</w:t>
      </w:r>
      <w:r w:rsidRPr="00310E7E">
        <w:rPr>
          <w:rFonts w:ascii="Times New Roman" w:hAnsi="Times New Roman"/>
          <w:noProof/>
          <w:szCs w:val="24"/>
        </w:rPr>
        <w:t xml:space="preserve">, </w:t>
      </w:r>
      <w:r w:rsidRPr="00310E7E">
        <w:rPr>
          <w:rFonts w:ascii="Times New Roman" w:hAnsi="Times New Roman"/>
          <w:i/>
          <w:iCs/>
          <w:noProof/>
          <w:szCs w:val="24"/>
        </w:rPr>
        <w:t>22</w:t>
      </w:r>
      <w:r w:rsidRPr="00310E7E">
        <w:rPr>
          <w:rFonts w:ascii="Times New Roman" w:hAnsi="Times New Roman"/>
          <w:noProof/>
          <w:szCs w:val="24"/>
        </w:rPr>
        <w:t xml:space="preserve">(12), 611–612. </w:t>
      </w:r>
      <w:hyperlink r:id="rId401" w:history="1">
        <w:r w:rsidRPr="00557C28">
          <w:rPr>
            <w:rStyle w:val="Hyperlink"/>
            <w:rFonts w:ascii="Times New Roman" w:hAnsi="Times New Roman"/>
            <w:noProof/>
            <w:szCs w:val="24"/>
          </w:rPr>
          <w:t>https://doi.org/10.1016/j.tcb.2012.10.004</w:t>
        </w:r>
      </w:hyperlink>
    </w:p>
    <w:p w14:paraId="2FFE3E32" w14:textId="633B809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fr-CA"/>
        </w:rPr>
        <w:t xml:space="preserve">Lin, X., Li, Y., Li, Z., Hua, R., Xing, Y., &amp; Lu, Y. (2020). </w:t>
      </w:r>
      <w:r w:rsidRPr="00310E7E">
        <w:rPr>
          <w:rFonts w:ascii="Times New Roman" w:hAnsi="Times New Roman"/>
          <w:noProof/>
          <w:szCs w:val="24"/>
        </w:rPr>
        <w:t xml:space="preserve">Portable environment-signal detection biosensors with cell-free synthetic biosystems. </w:t>
      </w:r>
      <w:r w:rsidRPr="00310E7E">
        <w:rPr>
          <w:rFonts w:ascii="Times New Roman" w:hAnsi="Times New Roman"/>
          <w:i/>
          <w:iCs/>
          <w:noProof/>
          <w:szCs w:val="24"/>
        </w:rPr>
        <w:t>RSC Advances</w:t>
      </w:r>
      <w:r w:rsidRPr="00310E7E">
        <w:rPr>
          <w:rFonts w:ascii="Times New Roman" w:hAnsi="Times New Roman"/>
          <w:noProof/>
          <w:szCs w:val="24"/>
        </w:rPr>
        <w:t xml:space="preserve">, </w:t>
      </w:r>
      <w:r w:rsidRPr="00310E7E">
        <w:rPr>
          <w:rFonts w:ascii="Times New Roman" w:hAnsi="Times New Roman"/>
          <w:i/>
          <w:iCs/>
          <w:noProof/>
          <w:szCs w:val="24"/>
        </w:rPr>
        <w:t>10</w:t>
      </w:r>
      <w:r w:rsidRPr="00310E7E">
        <w:rPr>
          <w:rFonts w:ascii="Times New Roman" w:hAnsi="Times New Roman"/>
          <w:noProof/>
          <w:szCs w:val="24"/>
        </w:rPr>
        <w:t xml:space="preserve">(64), 39261–39265. </w:t>
      </w:r>
      <w:hyperlink r:id="rId402" w:history="1">
        <w:r w:rsidRPr="00557C28">
          <w:rPr>
            <w:rStyle w:val="Hyperlink"/>
            <w:rFonts w:ascii="Times New Roman" w:hAnsi="Times New Roman"/>
            <w:noProof/>
            <w:szCs w:val="24"/>
          </w:rPr>
          <w:t>https://doi.org/10.1039/D0RA05293K</w:t>
        </w:r>
      </w:hyperlink>
    </w:p>
    <w:p w14:paraId="47A4D2D7" w14:textId="1211655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Linkov, I., Trump, B. D., Anklam, E., Berube, D., Boisseasu, P., Cummings, C., Ferson, S., Florin, M. V., Goldstein, B., Hristozov, D., Jensen, K. A., Katalagarianakis, G., Kuzma, J., Lambert, J. H., Malloy, T., Malsch, I., Marcomini, A., Merad, M., Palma-Oliveira, J., … Vermeire, T. (2018). Comparative, collaborative, and integrative risk governance for emerging technologies. </w:t>
      </w:r>
      <w:r w:rsidRPr="00310E7E">
        <w:rPr>
          <w:rFonts w:ascii="Times New Roman" w:hAnsi="Times New Roman"/>
          <w:i/>
          <w:iCs/>
          <w:noProof/>
          <w:szCs w:val="24"/>
        </w:rPr>
        <w:t>Environment Systems and Decisions</w:t>
      </w:r>
      <w:r w:rsidRPr="00310E7E">
        <w:rPr>
          <w:rFonts w:ascii="Times New Roman" w:hAnsi="Times New Roman"/>
          <w:noProof/>
          <w:szCs w:val="24"/>
        </w:rPr>
        <w:t xml:space="preserve">, </w:t>
      </w:r>
      <w:r w:rsidRPr="00310E7E">
        <w:rPr>
          <w:rFonts w:ascii="Times New Roman" w:hAnsi="Times New Roman"/>
          <w:i/>
          <w:iCs/>
          <w:noProof/>
          <w:szCs w:val="24"/>
        </w:rPr>
        <w:t>38</w:t>
      </w:r>
      <w:r w:rsidRPr="00310E7E">
        <w:rPr>
          <w:rFonts w:ascii="Times New Roman" w:hAnsi="Times New Roman"/>
          <w:noProof/>
          <w:szCs w:val="24"/>
        </w:rPr>
        <w:t>(2), 170–176.</w:t>
      </w:r>
      <w:hyperlink r:id="rId403" w:history="1">
        <w:r w:rsidRPr="00E5389C">
          <w:rPr>
            <w:rStyle w:val="Hyperlink"/>
            <w:rFonts w:ascii="Times New Roman" w:hAnsi="Times New Roman"/>
            <w:noProof/>
            <w:szCs w:val="24"/>
          </w:rPr>
          <w:t xml:space="preserve"> https://doi.org/10.1007/s10669-018-9686-5</w:t>
        </w:r>
      </w:hyperlink>
    </w:p>
    <w:p w14:paraId="1939514F" w14:textId="5DEE2D5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Liu, G., Gilding, E. K., Kerr, E. D., Schulz, B. L., Tabet, B., Hamaker, B. R., &amp; Godwin, I. D. (2019). Increasing protein content and digestibility in sorghum grain with a synthetic biology approach. </w:t>
      </w:r>
      <w:r w:rsidRPr="00310E7E">
        <w:rPr>
          <w:rFonts w:ascii="Times New Roman" w:hAnsi="Times New Roman"/>
          <w:i/>
          <w:iCs/>
          <w:noProof/>
          <w:szCs w:val="24"/>
        </w:rPr>
        <w:t>Journal of Cereal Science</w:t>
      </w:r>
      <w:r w:rsidRPr="00310E7E">
        <w:rPr>
          <w:rFonts w:ascii="Times New Roman" w:hAnsi="Times New Roman"/>
          <w:noProof/>
          <w:szCs w:val="24"/>
        </w:rPr>
        <w:t xml:space="preserve">, </w:t>
      </w:r>
      <w:r w:rsidRPr="00310E7E">
        <w:rPr>
          <w:rFonts w:ascii="Times New Roman" w:hAnsi="Times New Roman"/>
          <w:i/>
          <w:iCs/>
          <w:noProof/>
          <w:szCs w:val="24"/>
        </w:rPr>
        <w:t>85</w:t>
      </w:r>
      <w:r w:rsidRPr="00310E7E">
        <w:rPr>
          <w:rFonts w:ascii="Times New Roman" w:hAnsi="Times New Roman"/>
          <w:noProof/>
          <w:szCs w:val="24"/>
        </w:rPr>
        <w:t xml:space="preserve">, 27–34. </w:t>
      </w:r>
      <w:hyperlink r:id="rId404" w:history="1">
        <w:r w:rsidRPr="00E5389C">
          <w:rPr>
            <w:rStyle w:val="Hyperlink"/>
            <w:rFonts w:ascii="Times New Roman" w:hAnsi="Times New Roman"/>
            <w:noProof/>
            <w:szCs w:val="24"/>
          </w:rPr>
          <w:t>https://doi.org/10.1016/j.jcs.2018.11.001</w:t>
        </w:r>
      </w:hyperlink>
    </w:p>
    <w:p w14:paraId="46F0F6F3" w14:textId="5B8CF2C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Liu, S., Jaouannet, M., Dempsey, D. A., Imani, J., Coustau, C., &amp; Kogel, K.-H. (2020). RNA-based technologies for insect control in plant production. </w:t>
      </w:r>
      <w:r w:rsidRPr="00310E7E">
        <w:rPr>
          <w:rFonts w:ascii="Times New Roman" w:hAnsi="Times New Roman"/>
          <w:i/>
          <w:iCs/>
          <w:noProof/>
          <w:szCs w:val="24"/>
        </w:rPr>
        <w:t>Biotechnology Advances</w:t>
      </w:r>
      <w:r w:rsidRPr="00310E7E">
        <w:rPr>
          <w:rFonts w:ascii="Times New Roman" w:hAnsi="Times New Roman"/>
          <w:noProof/>
          <w:szCs w:val="24"/>
        </w:rPr>
        <w:t xml:space="preserve">, </w:t>
      </w:r>
      <w:r w:rsidRPr="00310E7E">
        <w:rPr>
          <w:rFonts w:ascii="Times New Roman" w:hAnsi="Times New Roman"/>
          <w:i/>
          <w:iCs/>
          <w:noProof/>
          <w:szCs w:val="24"/>
        </w:rPr>
        <w:t>39</w:t>
      </w:r>
      <w:r w:rsidRPr="00310E7E">
        <w:rPr>
          <w:rFonts w:ascii="Times New Roman" w:hAnsi="Times New Roman"/>
          <w:noProof/>
          <w:szCs w:val="24"/>
        </w:rPr>
        <w:t xml:space="preserve">, 107463. </w:t>
      </w:r>
      <w:hyperlink r:id="rId405" w:history="1">
        <w:r w:rsidRPr="00E5389C">
          <w:rPr>
            <w:rStyle w:val="Hyperlink"/>
            <w:rFonts w:ascii="Times New Roman" w:hAnsi="Times New Roman"/>
            <w:noProof/>
            <w:szCs w:val="24"/>
          </w:rPr>
          <w:t>https://doi.org/10.1016/j.biotechadv.2019.107463</w:t>
        </w:r>
      </w:hyperlink>
    </w:p>
    <w:p w14:paraId="253EAB69" w14:textId="5A4070F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Liu, X., Miao, R., Lindberg, P., &amp; Lindblad, P. (2019). Modular engineering for efficient photosynthetic biosynthesis of 1-butanol from CO</w:t>
      </w:r>
      <w:r w:rsidRPr="00E5389C">
        <w:rPr>
          <w:rFonts w:ascii="Times New Roman" w:hAnsi="Times New Roman"/>
          <w:noProof/>
          <w:szCs w:val="24"/>
          <w:vertAlign w:val="subscript"/>
        </w:rPr>
        <w:t>2</w:t>
      </w:r>
      <w:r w:rsidRPr="00310E7E">
        <w:rPr>
          <w:rFonts w:ascii="Times New Roman" w:hAnsi="Times New Roman"/>
          <w:noProof/>
          <w:szCs w:val="24"/>
        </w:rPr>
        <w:t xml:space="preserve"> in cyanobacteria. </w:t>
      </w:r>
      <w:r w:rsidRPr="00310E7E">
        <w:rPr>
          <w:rFonts w:ascii="Times New Roman" w:hAnsi="Times New Roman"/>
          <w:i/>
          <w:iCs/>
          <w:noProof/>
          <w:szCs w:val="24"/>
        </w:rPr>
        <w:t>Energy &amp; Environmental Science</w:t>
      </w:r>
      <w:r w:rsidRPr="00310E7E">
        <w:rPr>
          <w:rFonts w:ascii="Times New Roman" w:hAnsi="Times New Roman"/>
          <w:noProof/>
          <w:szCs w:val="24"/>
        </w:rPr>
        <w:t xml:space="preserve">, </w:t>
      </w:r>
      <w:r w:rsidRPr="00310E7E">
        <w:rPr>
          <w:rFonts w:ascii="Times New Roman" w:hAnsi="Times New Roman"/>
          <w:i/>
          <w:iCs/>
          <w:noProof/>
          <w:szCs w:val="24"/>
        </w:rPr>
        <w:t>12</w:t>
      </w:r>
      <w:r w:rsidRPr="00310E7E">
        <w:rPr>
          <w:rFonts w:ascii="Times New Roman" w:hAnsi="Times New Roman"/>
          <w:noProof/>
          <w:szCs w:val="24"/>
        </w:rPr>
        <w:t xml:space="preserve">(9), 2765–2777. </w:t>
      </w:r>
      <w:hyperlink r:id="rId406" w:history="1">
        <w:r w:rsidRPr="00E5389C">
          <w:rPr>
            <w:rStyle w:val="Hyperlink"/>
            <w:rFonts w:ascii="Times New Roman" w:hAnsi="Times New Roman"/>
            <w:noProof/>
            <w:szCs w:val="24"/>
          </w:rPr>
          <w:t>https://doi.org/10.1039/C9EE01214A</w:t>
        </w:r>
      </w:hyperlink>
    </w:p>
    <w:p w14:paraId="70429A88" w14:textId="0355BB6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Lixin Dai, Borden, J., Jeffrey Nelson, &amp; Ruebling-Jass, K. (2019). </w:t>
      </w:r>
      <w:r w:rsidRPr="00310E7E">
        <w:rPr>
          <w:rFonts w:ascii="Times New Roman" w:hAnsi="Times New Roman"/>
          <w:i/>
          <w:iCs/>
          <w:noProof/>
          <w:szCs w:val="24"/>
        </w:rPr>
        <w:t>Yeast strains and methods for producing collagen, EP3473647A1</w:t>
      </w:r>
      <w:r w:rsidRPr="00310E7E">
        <w:rPr>
          <w:rFonts w:ascii="Times New Roman" w:hAnsi="Times New Roman"/>
          <w:noProof/>
          <w:szCs w:val="24"/>
        </w:rPr>
        <w:t xml:space="preserve"> (Vol. 1). </w:t>
      </w:r>
      <w:hyperlink r:id="rId407" w:history="1">
        <w:r w:rsidRPr="004C4215">
          <w:rPr>
            <w:rStyle w:val="Hyperlink"/>
            <w:rFonts w:ascii="Times New Roman" w:hAnsi="Times New Roman"/>
            <w:noProof/>
            <w:szCs w:val="24"/>
          </w:rPr>
          <w:t>https://patents.google.com/patent/EP3473647A1/en</w:t>
        </w:r>
      </w:hyperlink>
    </w:p>
    <w:p w14:paraId="462F46DF" w14:textId="5F40083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Long, K. C., Alphey, L., Annas, G. J., Bloss, C. S., Campbell, K. J., Champer, J., Chen, C. H., Choudhary, A., Church, G. M., Collins, J. P., Cooper, K. L., Delborne, J. A., Edwards, O. R., Emerson, C. I., Esvelt, K., Evans, S. W., Friedman, R. M., Gantz, V. M., Gould, F., … Akbari, O. S. (2021). Core commitments for field trials of gene drive organisms.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370</w:t>
      </w:r>
      <w:r w:rsidRPr="00310E7E">
        <w:rPr>
          <w:rFonts w:ascii="Times New Roman" w:hAnsi="Times New Roman"/>
          <w:noProof/>
          <w:szCs w:val="24"/>
        </w:rPr>
        <w:t xml:space="preserve">(6523), 1417–1419. </w:t>
      </w:r>
      <w:hyperlink r:id="rId408" w:history="1">
        <w:r w:rsidRPr="004C4215">
          <w:rPr>
            <w:rStyle w:val="Hyperlink"/>
            <w:rFonts w:ascii="Times New Roman" w:hAnsi="Times New Roman"/>
            <w:noProof/>
            <w:szCs w:val="24"/>
          </w:rPr>
          <w:t>https://doi.org/10.1126/science.abd1908</w:t>
        </w:r>
      </w:hyperlink>
    </w:p>
    <w:p w14:paraId="1EBEAF68" w14:textId="1DBA704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López Del Amo, V., Bishop, A. L., Sánchez C., H. M., Bennett, J. B., Feng, X., Marshall, J. M., Bier, E., &amp; Gantz, V. M. (2020). A transcomplementing gene drive provides a flexible platform for laboratory investigation and potential field deployment. </w:t>
      </w:r>
      <w:r w:rsidRPr="00310E7E">
        <w:rPr>
          <w:rFonts w:ascii="Times New Roman" w:hAnsi="Times New Roman"/>
          <w:i/>
          <w:iCs/>
          <w:noProof/>
          <w:szCs w:val="24"/>
        </w:rPr>
        <w:t>Nature Communications</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(1), 352. </w:t>
      </w:r>
      <w:hyperlink r:id="rId409" w:history="1">
        <w:r w:rsidRPr="004C4215">
          <w:rPr>
            <w:rStyle w:val="Hyperlink"/>
            <w:rFonts w:ascii="Times New Roman" w:hAnsi="Times New Roman"/>
            <w:noProof/>
            <w:szCs w:val="24"/>
          </w:rPr>
          <w:t>https://doi.org/10.1038/s41467-019-13977-7</w:t>
        </w:r>
      </w:hyperlink>
    </w:p>
    <w:p w14:paraId="2DC9A628" w14:textId="0A7E1933" w:rsidR="004C4215" w:rsidRDefault="004C4215" w:rsidP="00310E7E">
      <w:pPr>
        <w:widowControl w:val="0"/>
        <w:autoSpaceDE w:val="0"/>
        <w:autoSpaceDN w:val="0"/>
        <w:adjustRightInd w:val="0"/>
        <w:spacing w:after="140" w:line="240" w:lineRule="auto"/>
        <w:ind w:left="480" w:hanging="480"/>
        <w:rPr>
          <w:rFonts w:ascii="Times New Roman" w:hAnsi="Times New Roman"/>
          <w:noProof/>
          <w:szCs w:val="24"/>
        </w:rPr>
      </w:pPr>
      <w:r w:rsidRPr="004C4215">
        <w:rPr>
          <w:rFonts w:ascii="Times New Roman" w:hAnsi="Times New Roman"/>
          <w:noProof/>
          <w:szCs w:val="24"/>
        </w:rPr>
        <w:t xml:space="preserve">Lu, Y. (2017). Cell-free synthetic biology: Engineering in an open world. Synthetic and Systems Biotechnology, 2(1), 23–27. </w:t>
      </w:r>
      <w:hyperlink r:id="rId410" w:history="1">
        <w:r w:rsidRPr="004C4215">
          <w:rPr>
            <w:rStyle w:val="Hyperlink"/>
            <w:rFonts w:ascii="Times New Roman" w:hAnsi="Times New Roman"/>
            <w:noProof/>
            <w:szCs w:val="24"/>
          </w:rPr>
          <w:t>https://doi.org/10.1016/j.synbio.2017.02.003</w:t>
        </w:r>
      </w:hyperlink>
    </w:p>
    <w:p w14:paraId="2598E512" w14:textId="443B161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Luo, J., Sun, X., Cormack, B. P., &amp; Boeke, J. D. (2018). Karyotype engineering by chromosome fusion leads to reproductive isolation in yeast.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560</w:t>
      </w:r>
      <w:r w:rsidRPr="00310E7E">
        <w:rPr>
          <w:rFonts w:ascii="Times New Roman" w:hAnsi="Times New Roman"/>
          <w:noProof/>
          <w:szCs w:val="24"/>
        </w:rPr>
        <w:t xml:space="preserve">(7718), 392–396. </w:t>
      </w:r>
      <w:hyperlink r:id="rId411" w:history="1">
        <w:r w:rsidRPr="004C4215">
          <w:rPr>
            <w:rStyle w:val="Hyperlink"/>
            <w:rFonts w:ascii="Times New Roman" w:hAnsi="Times New Roman"/>
            <w:noProof/>
            <w:szCs w:val="24"/>
          </w:rPr>
          <w:t>https://doi.org/10.1038/s41586-018-0374-x</w:t>
        </w:r>
      </w:hyperlink>
    </w:p>
    <w:p w14:paraId="7598A087" w14:textId="1512A026" w:rsidR="00310E7E" w:rsidRPr="00F8168D"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fr-CA"/>
        </w:rPr>
      </w:pPr>
      <w:r w:rsidRPr="00310E7E">
        <w:rPr>
          <w:rFonts w:ascii="Times New Roman" w:hAnsi="Times New Roman"/>
          <w:noProof/>
          <w:szCs w:val="24"/>
        </w:rPr>
        <w:t xml:space="preserve">Luo, X., Reiter, M. A., d’Espaux, L., Wong, J., Denby, C. M., Lechner, A., Zhang, Y., Grzybowski, A. T., Harth, S., Lin, W., Lee, H., Yu, C., Shin, J., Deng, K., Benites, V. T., Wang, G., Baidoo, E. E. K., Chen, Y., Dev, I., … Keasling, J. D. (2019). Complete biosynthesis of cannabinoids and their unnatural analogues in yeast. </w:t>
      </w:r>
      <w:r w:rsidRPr="00F8168D">
        <w:rPr>
          <w:rFonts w:ascii="Times New Roman" w:hAnsi="Times New Roman"/>
          <w:i/>
          <w:iCs/>
          <w:noProof/>
          <w:szCs w:val="24"/>
          <w:lang w:val="fr-CA"/>
        </w:rPr>
        <w:t>Nature</w:t>
      </w:r>
      <w:r w:rsidRPr="00F8168D">
        <w:rPr>
          <w:rFonts w:ascii="Times New Roman" w:hAnsi="Times New Roman"/>
          <w:noProof/>
          <w:szCs w:val="24"/>
          <w:lang w:val="fr-CA"/>
        </w:rPr>
        <w:t xml:space="preserve">, </w:t>
      </w:r>
      <w:r w:rsidRPr="00F8168D">
        <w:rPr>
          <w:rFonts w:ascii="Times New Roman" w:hAnsi="Times New Roman"/>
          <w:i/>
          <w:iCs/>
          <w:noProof/>
          <w:szCs w:val="24"/>
          <w:lang w:val="fr-CA"/>
        </w:rPr>
        <w:t>567</w:t>
      </w:r>
      <w:r w:rsidRPr="00F8168D">
        <w:rPr>
          <w:rFonts w:ascii="Times New Roman" w:hAnsi="Times New Roman"/>
          <w:noProof/>
          <w:szCs w:val="24"/>
          <w:lang w:val="fr-CA"/>
        </w:rPr>
        <w:t xml:space="preserve">(7746), 123–126. </w:t>
      </w:r>
      <w:hyperlink r:id="rId412" w:history="1">
        <w:r w:rsidRPr="00F8168D">
          <w:rPr>
            <w:rStyle w:val="Hyperlink"/>
            <w:rFonts w:ascii="Times New Roman" w:hAnsi="Times New Roman"/>
            <w:noProof/>
            <w:szCs w:val="24"/>
            <w:lang w:val="fr-CA"/>
          </w:rPr>
          <w:t>https://doi.org/10.1038/s41586-019-0978-9</w:t>
        </w:r>
      </w:hyperlink>
    </w:p>
    <w:p w14:paraId="7B5355B3" w14:textId="6EA7047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fr-CA"/>
        </w:rPr>
        <w:t xml:space="preserve">Luo, Z., Yang, Q., Geng, B., Jiang, S., Yang, S., Li, X., Cai, Y., &amp; Dai, J. (2018). </w:t>
      </w:r>
      <w:r w:rsidRPr="00310E7E">
        <w:rPr>
          <w:rFonts w:ascii="Times New Roman" w:hAnsi="Times New Roman"/>
          <w:noProof/>
          <w:szCs w:val="24"/>
        </w:rPr>
        <w:t xml:space="preserve">Whole genome engineering by synthesis. </w:t>
      </w:r>
      <w:r w:rsidRPr="00310E7E">
        <w:rPr>
          <w:rFonts w:ascii="Times New Roman" w:hAnsi="Times New Roman"/>
          <w:i/>
          <w:iCs/>
          <w:noProof/>
          <w:szCs w:val="24"/>
        </w:rPr>
        <w:t>Science China Life Sciences</w:t>
      </w:r>
      <w:r w:rsidRPr="00310E7E">
        <w:rPr>
          <w:rFonts w:ascii="Times New Roman" w:hAnsi="Times New Roman"/>
          <w:noProof/>
          <w:szCs w:val="24"/>
        </w:rPr>
        <w:t xml:space="preserve">, </w:t>
      </w:r>
      <w:r w:rsidRPr="00310E7E">
        <w:rPr>
          <w:rFonts w:ascii="Times New Roman" w:hAnsi="Times New Roman"/>
          <w:i/>
          <w:iCs/>
          <w:noProof/>
          <w:szCs w:val="24"/>
        </w:rPr>
        <w:t>61</w:t>
      </w:r>
      <w:r w:rsidRPr="00310E7E">
        <w:rPr>
          <w:rFonts w:ascii="Times New Roman" w:hAnsi="Times New Roman"/>
          <w:noProof/>
          <w:szCs w:val="24"/>
        </w:rPr>
        <w:t xml:space="preserve">(12), 1515–1527. </w:t>
      </w:r>
      <w:hyperlink r:id="rId413" w:history="1">
        <w:r w:rsidRPr="00083E80">
          <w:rPr>
            <w:rStyle w:val="Hyperlink"/>
            <w:rFonts w:ascii="Times New Roman" w:hAnsi="Times New Roman"/>
            <w:noProof/>
            <w:szCs w:val="24"/>
          </w:rPr>
          <w:t>https://doi.org/10.1007/s11427-018-9403-y</w:t>
        </w:r>
      </w:hyperlink>
    </w:p>
    <w:p w14:paraId="470B9B34" w14:textId="7933FD8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Lyu, Y., Yu, H., Hu, Y., Shu, Q., &amp; Wang, J. (2020). Bionic design for the heat sink inspired by phyllotactic pattern. </w:t>
      </w:r>
      <w:r w:rsidRPr="00310E7E">
        <w:rPr>
          <w:rFonts w:ascii="Times New Roman" w:hAnsi="Times New Roman"/>
          <w:i/>
          <w:iCs/>
          <w:noProof/>
          <w:szCs w:val="24"/>
        </w:rPr>
        <w:t>Proceedings of the Institution of Mechanical Engineers, Part C: Journal of Mechanical Engineering Science</w:t>
      </w:r>
      <w:r w:rsidRPr="00310E7E">
        <w:rPr>
          <w:rFonts w:ascii="Times New Roman" w:hAnsi="Times New Roman"/>
          <w:noProof/>
          <w:szCs w:val="24"/>
        </w:rPr>
        <w:t xml:space="preserve">, 095440622095909. </w:t>
      </w:r>
      <w:hyperlink r:id="rId414" w:history="1">
        <w:r w:rsidRPr="00083E80">
          <w:rPr>
            <w:rStyle w:val="Hyperlink"/>
            <w:rFonts w:ascii="Times New Roman" w:hAnsi="Times New Roman"/>
            <w:noProof/>
            <w:szCs w:val="24"/>
          </w:rPr>
          <w:t>https://doi.org/10.1177/0954406220959094</w:t>
        </w:r>
      </w:hyperlink>
    </w:p>
    <w:p w14:paraId="234DF861" w14:textId="1E94758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Ma, W., &amp; Feng, Y. (2015). Protocells: At the interface of life and non-life. </w:t>
      </w:r>
      <w:r w:rsidRPr="00310E7E">
        <w:rPr>
          <w:rFonts w:ascii="Times New Roman" w:hAnsi="Times New Roman"/>
          <w:i/>
          <w:iCs/>
          <w:noProof/>
          <w:szCs w:val="24"/>
        </w:rPr>
        <w:t>Life</w:t>
      </w:r>
      <w:r w:rsidRPr="00310E7E">
        <w:rPr>
          <w:rFonts w:ascii="Times New Roman" w:hAnsi="Times New Roman"/>
          <w:noProof/>
          <w:szCs w:val="24"/>
        </w:rPr>
        <w:t xml:space="preserve">, </w:t>
      </w:r>
      <w:r w:rsidRPr="00310E7E">
        <w:rPr>
          <w:rFonts w:ascii="Times New Roman" w:hAnsi="Times New Roman"/>
          <w:i/>
          <w:iCs/>
          <w:noProof/>
          <w:szCs w:val="24"/>
        </w:rPr>
        <w:t>5</w:t>
      </w:r>
      <w:r w:rsidRPr="00310E7E">
        <w:rPr>
          <w:rFonts w:ascii="Times New Roman" w:hAnsi="Times New Roman"/>
          <w:noProof/>
          <w:szCs w:val="24"/>
        </w:rPr>
        <w:t xml:space="preserve">(1), 447–458. </w:t>
      </w:r>
      <w:hyperlink r:id="rId415" w:history="1">
        <w:r w:rsidRPr="00083E80">
          <w:rPr>
            <w:rStyle w:val="Hyperlink"/>
            <w:rFonts w:ascii="Times New Roman" w:hAnsi="Times New Roman"/>
            <w:noProof/>
            <w:szCs w:val="24"/>
          </w:rPr>
          <w:t>https://doi.org/10.3390/life5010447</w:t>
        </w:r>
      </w:hyperlink>
    </w:p>
    <w:p w14:paraId="013E5697" w14:textId="6FA790D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Ma, X., Zhang, X., Liu, H., &amp; Li, Z. (2020). Highly efficient DNA-free plant genome editing using virally delivered CRISPR–Cas9. </w:t>
      </w:r>
      <w:r w:rsidRPr="00310E7E">
        <w:rPr>
          <w:rFonts w:ascii="Times New Roman" w:hAnsi="Times New Roman"/>
          <w:i/>
          <w:iCs/>
          <w:noProof/>
          <w:szCs w:val="24"/>
        </w:rPr>
        <w:t>Nature Plants</w:t>
      </w:r>
      <w:r w:rsidRPr="00310E7E">
        <w:rPr>
          <w:rFonts w:ascii="Times New Roman" w:hAnsi="Times New Roman"/>
          <w:noProof/>
          <w:szCs w:val="24"/>
        </w:rPr>
        <w:t xml:space="preserve">, </w:t>
      </w:r>
      <w:r w:rsidRPr="00310E7E">
        <w:rPr>
          <w:rFonts w:ascii="Times New Roman" w:hAnsi="Times New Roman"/>
          <w:i/>
          <w:iCs/>
          <w:noProof/>
          <w:szCs w:val="24"/>
        </w:rPr>
        <w:t>6</w:t>
      </w:r>
      <w:r w:rsidRPr="00310E7E">
        <w:rPr>
          <w:rFonts w:ascii="Times New Roman" w:hAnsi="Times New Roman"/>
          <w:noProof/>
          <w:szCs w:val="24"/>
        </w:rPr>
        <w:t xml:space="preserve">(7), 773–779. </w:t>
      </w:r>
      <w:hyperlink r:id="rId416" w:history="1">
        <w:r w:rsidRPr="00083E80">
          <w:rPr>
            <w:rStyle w:val="Hyperlink"/>
            <w:rFonts w:ascii="Times New Roman" w:hAnsi="Times New Roman"/>
            <w:noProof/>
            <w:szCs w:val="24"/>
          </w:rPr>
          <w:t>https://doi.org/10.1038/s41477-020-0704-5</w:t>
        </w:r>
      </w:hyperlink>
    </w:p>
    <w:p w14:paraId="4F8C9EEB" w14:textId="5CF330A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Machado, A. K., Brown, N. A., Urban, M., Kanyuka, K., &amp; Hammond-Kosack, K. E. (2018). RNAi as an emerging approach to control Fusarium head blight disease and mycotoxin contamination in cereals. In </w:t>
      </w:r>
      <w:r w:rsidRPr="00310E7E">
        <w:rPr>
          <w:rFonts w:ascii="Times New Roman" w:hAnsi="Times New Roman"/>
          <w:i/>
          <w:iCs/>
          <w:noProof/>
          <w:szCs w:val="24"/>
        </w:rPr>
        <w:t>Pest Management Science</w:t>
      </w:r>
      <w:r w:rsidRPr="00310E7E">
        <w:rPr>
          <w:rFonts w:ascii="Times New Roman" w:hAnsi="Times New Roman"/>
          <w:noProof/>
          <w:szCs w:val="24"/>
        </w:rPr>
        <w:t xml:space="preserve">. </w:t>
      </w:r>
      <w:hyperlink r:id="rId417" w:history="1">
        <w:r w:rsidRPr="00083E80">
          <w:rPr>
            <w:rStyle w:val="Hyperlink"/>
            <w:rFonts w:ascii="Times New Roman" w:hAnsi="Times New Roman"/>
            <w:noProof/>
            <w:szCs w:val="24"/>
          </w:rPr>
          <w:t>https://doi.org/10.1002/ps.4748</w:t>
        </w:r>
      </w:hyperlink>
    </w:p>
    <w:p w14:paraId="60B982D3" w14:textId="2767FD4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Macnaghten, P., Owen, R., &amp; Jackson, R. (2016). Synthetic biology and the prospects for responsible innovation. </w:t>
      </w:r>
      <w:r w:rsidRPr="00310E7E">
        <w:rPr>
          <w:rFonts w:ascii="Times New Roman" w:hAnsi="Times New Roman"/>
          <w:i/>
          <w:iCs/>
          <w:noProof/>
          <w:szCs w:val="24"/>
        </w:rPr>
        <w:t>Essays in Biochemistry</w:t>
      </w:r>
      <w:r w:rsidRPr="00310E7E">
        <w:rPr>
          <w:rFonts w:ascii="Times New Roman" w:hAnsi="Times New Roman"/>
          <w:noProof/>
          <w:szCs w:val="24"/>
        </w:rPr>
        <w:t xml:space="preserve">, </w:t>
      </w:r>
      <w:r w:rsidRPr="00310E7E">
        <w:rPr>
          <w:rFonts w:ascii="Times New Roman" w:hAnsi="Times New Roman"/>
          <w:i/>
          <w:iCs/>
          <w:noProof/>
          <w:szCs w:val="24"/>
        </w:rPr>
        <w:t>60</w:t>
      </w:r>
      <w:r w:rsidRPr="00310E7E">
        <w:rPr>
          <w:rFonts w:ascii="Times New Roman" w:hAnsi="Times New Roman"/>
          <w:noProof/>
          <w:szCs w:val="24"/>
        </w:rPr>
        <w:t xml:space="preserve">(4). </w:t>
      </w:r>
      <w:hyperlink r:id="rId418" w:history="1">
        <w:r w:rsidRPr="00083E80">
          <w:rPr>
            <w:rStyle w:val="Hyperlink"/>
            <w:rFonts w:ascii="Times New Roman" w:hAnsi="Times New Roman"/>
            <w:noProof/>
            <w:szCs w:val="24"/>
          </w:rPr>
          <w:t>https://doi.org/10.1042/EBC20160048</w:t>
        </w:r>
      </w:hyperlink>
    </w:p>
    <w:p w14:paraId="47DCBBB5" w14:textId="2C750E9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Magocha, T. A., Zabed, H., Yang, M., Yun, J., Zhang, H., &amp; Qi, X. (2018). Improvement of industrially important microbial strains by genome shuffling: Current status and future prospects. </w:t>
      </w:r>
      <w:r w:rsidRPr="00310E7E">
        <w:rPr>
          <w:rFonts w:ascii="Times New Roman" w:hAnsi="Times New Roman"/>
          <w:i/>
          <w:iCs/>
          <w:noProof/>
          <w:szCs w:val="24"/>
        </w:rPr>
        <w:t>Bioresource Technology</w:t>
      </w:r>
      <w:r w:rsidRPr="00310E7E">
        <w:rPr>
          <w:rFonts w:ascii="Times New Roman" w:hAnsi="Times New Roman"/>
          <w:noProof/>
          <w:szCs w:val="24"/>
        </w:rPr>
        <w:t xml:space="preserve">, </w:t>
      </w:r>
      <w:r w:rsidRPr="00310E7E">
        <w:rPr>
          <w:rFonts w:ascii="Times New Roman" w:hAnsi="Times New Roman"/>
          <w:i/>
          <w:iCs/>
          <w:noProof/>
          <w:szCs w:val="24"/>
        </w:rPr>
        <w:t>257</w:t>
      </w:r>
      <w:r w:rsidRPr="00310E7E">
        <w:rPr>
          <w:rFonts w:ascii="Times New Roman" w:hAnsi="Times New Roman"/>
          <w:noProof/>
          <w:szCs w:val="24"/>
        </w:rPr>
        <w:t xml:space="preserve">(February), 281–289. </w:t>
      </w:r>
      <w:hyperlink r:id="rId419" w:history="1">
        <w:r w:rsidRPr="00083E80">
          <w:rPr>
            <w:rStyle w:val="Hyperlink"/>
            <w:rFonts w:ascii="Times New Roman" w:hAnsi="Times New Roman"/>
            <w:noProof/>
            <w:szCs w:val="24"/>
          </w:rPr>
          <w:t>https://doi.org/10.1016/j.biortech.2018.02.118</w:t>
        </w:r>
      </w:hyperlink>
    </w:p>
    <w:p w14:paraId="7A19ED89" w14:textId="0D6CC5E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Mahadevan, K., Kreps, J. A., Joshi, I., Ayoughi, F., Zhong, W., Kshirsagar, H., C</w:t>
      </w:r>
      <w:r w:rsidR="00083E80">
        <w:rPr>
          <w:rFonts w:ascii="Times New Roman" w:hAnsi="Times New Roman"/>
          <w:noProof/>
          <w:szCs w:val="24"/>
        </w:rPr>
        <w:t>hapeaux</w:t>
      </w:r>
      <w:r w:rsidRPr="00310E7E">
        <w:rPr>
          <w:rFonts w:ascii="Times New Roman" w:hAnsi="Times New Roman"/>
          <w:noProof/>
          <w:szCs w:val="24"/>
        </w:rPr>
        <w:t xml:space="preserve">, A., Rutherford-Jenkins, W., Patnaik, R., &amp; Ivey, F. D. (2020). </w:t>
      </w:r>
      <w:r w:rsidRPr="00310E7E">
        <w:rPr>
          <w:rFonts w:ascii="Times New Roman" w:hAnsi="Times New Roman"/>
          <w:i/>
          <w:iCs/>
          <w:noProof/>
          <w:szCs w:val="24"/>
        </w:rPr>
        <w:t>Protein compositions and consumable products thereof, US20210007384A1</w:t>
      </w:r>
      <w:r w:rsidRPr="00310E7E">
        <w:rPr>
          <w:rFonts w:ascii="Times New Roman" w:hAnsi="Times New Roman"/>
          <w:noProof/>
          <w:szCs w:val="24"/>
        </w:rPr>
        <w:t xml:space="preserve">. </w:t>
      </w:r>
      <w:hyperlink r:id="rId420" w:history="1">
        <w:r w:rsidRPr="00083E80">
          <w:rPr>
            <w:rStyle w:val="Hyperlink"/>
            <w:rFonts w:ascii="Times New Roman" w:hAnsi="Times New Roman"/>
            <w:noProof/>
            <w:szCs w:val="24"/>
          </w:rPr>
          <w:t>https://patents.google.com/patent/US20210007384A1</w:t>
        </w:r>
      </w:hyperlink>
    </w:p>
    <w:p w14:paraId="4FBA985B" w14:textId="750CB0D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Maharbiz, M. M. (2012). Synthetic multicellularity. </w:t>
      </w:r>
      <w:r w:rsidRPr="00310E7E">
        <w:rPr>
          <w:rFonts w:ascii="Times New Roman" w:hAnsi="Times New Roman"/>
          <w:i/>
          <w:iCs/>
          <w:noProof/>
          <w:szCs w:val="24"/>
        </w:rPr>
        <w:t>Trends in Cell Biology</w:t>
      </w:r>
      <w:r w:rsidRPr="00310E7E">
        <w:rPr>
          <w:rFonts w:ascii="Times New Roman" w:hAnsi="Times New Roman"/>
          <w:noProof/>
          <w:szCs w:val="24"/>
        </w:rPr>
        <w:t xml:space="preserve">, </w:t>
      </w:r>
      <w:r w:rsidRPr="00310E7E">
        <w:rPr>
          <w:rFonts w:ascii="Times New Roman" w:hAnsi="Times New Roman"/>
          <w:i/>
          <w:iCs/>
          <w:noProof/>
          <w:szCs w:val="24"/>
        </w:rPr>
        <w:t>22</w:t>
      </w:r>
      <w:r w:rsidRPr="00310E7E">
        <w:rPr>
          <w:rFonts w:ascii="Times New Roman" w:hAnsi="Times New Roman"/>
          <w:noProof/>
          <w:szCs w:val="24"/>
        </w:rPr>
        <w:t xml:space="preserve">(12), 617–623. </w:t>
      </w:r>
      <w:hyperlink r:id="rId421" w:history="1">
        <w:r w:rsidRPr="00FA33E7">
          <w:rPr>
            <w:rStyle w:val="Hyperlink"/>
            <w:rFonts w:ascii="Times New Roman" w:hAnsi="Times New Roman"/>
            <w:noProof/>
            <w:szCs w:val="24"/>
          </w:rPr>
          <w:t>https://doi.org/10.1016/j.tcb.2012.09.002</w:t>
        </w:r>
      </w:hyperlink>
    </w:p>
    <w:p w14:paraId="4473B100" w14:textId="48487B7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Maher, M. F., Nasti, R. A., Vollbrecht, M., Starker, C. G., Clark, M. D., &amp; Voytas, D. F. (2020). Plant gene editing through </w:t>
      </w:r>
      <w:r w:rsidRPr="00FA33E7">
        <w:rPr>
          <w:rFonts w:ascii="Times New Roman" w:hAnsi="Times New Roman"/>
          <w:i/>
          <w:iCs/>
          <w:noProof/>
          <w:szCs w:val="24"/>
        </w:rPr>
        <w:t>de novo</w:t>
      </w:r>
      <w:r w:rsidRPr="00310E7E">
        <w:rPr>
          <w:rFonts w:ascii="Times New Roman" w:hAnsi="Times New Roman"/>
          <w:noProof/>
          <w:szCs w:val="24"/>
        </w:rPr>
        <w:t xml:space="preserve"> induction of meristems.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38</w:t>
      </w:r>
      <w:r w:rsidRPr="00310E7E">
        <w:rPr>
          <w:rFonts w:ascii="Times New Roman" w:hAnsi="Times New Roman"/>
          <w:noProof/>
          <w:szCs w:val="24"/>
        </w:rPr>
        <w:t xml:space="preserve">(1), 84–89. </w:t>
      </w:r>
      <w:hyperlink r:id="rId422" w:history="1">
        <w:r w:rsidRPr="00FA33E7">
          <w:rPr>
            <w:rStyle w:val="Hyperlink"/>
            <w:rFonts w:ascii="Times New Roman" w:hAnsi="Times New Roman"/>
            <w:noProof/>
            <w:szCs w:val="24"/>
          </w:rPr>
          <w:t>https://doi.org/10.1038/s41587-019-0337-2</w:t>
        </w:r>
      </w:hyperlink>
    </w:p>
    <w:p w14:paraId="255A33F4" w14:textId="0B1072C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Makarkov, A. I., Golizeh, M., Ruiz-Lancheros, E., Gopal, A. A., Costas-Cancelas, I. N., Chierzi, S., Pillet, S., Charland, N., Landry, N., Rouiller, I., Wiseman, P. W., Ndao, M., &amp; Ward, B. J. (2019). Plant-derived virus-like particle vaccines drive cross-presentation of influenza A hemagglutinin peptides by human monocyte-derived macrophages. </w:t>
      </w:r>
      <w:r w:rsidRPr="00310E7E">
        <w:rPr>
          <w:rFonts w:ascii="Times New Roman" w:hAnsi="Times New Roman"/>
          <w:i/>
          <w:iCs/>
          <w:noProof/>
          <w:szCs w:val="24"/>
        </w:rPr>
        <w:t>Npj Vaccines</w:t>
      </w:r>
      <w:r w:rsidRPr="00310E7E">
        <w:rPr>
          <w:rFonts w:ascii="Times New Roman" w:hAnsi="Times New Roman"/>
          <w:noProof/>
          <w:szCs w:val="24"/>
        </w:rPr>
        <w:t xml:space="preserve">, </w:t>
      </w:r>
      <w:r w:rsidRPr="00310E7E">
        <w:rPr>
          <w:rFonts w:ascii="Times New Roman" w:hAnsi="Times New Roman"/>
          <w:i/>
          <w:iCs/>
          <w:noProof/>
          <w:szCs w:val="24"/>
        </w:rPr>
        <w:t>4</w:t>
      </w:r>
      <w:r w:rsidRPr="00310E7E">
        <w:rPr>
          <w:rFonts w:ascii="Times New Roman" w:hAnsi="Times New Roman"/>
          <w:noProof/>
          <w:szCs w:val="24"/>
        </w:rPr>
        <w:t xml:space="preserve">(1), 17. </w:t>
      </w:r>
      <w:hyperlink r:id="rId423" w:history="1">
        <w:r w:rsidRPr="00FA33E7">
          <w:rPr>
            <w:rStyle w:val="Hyperlink"/>
            <w:rFonts w:ascii="Times New Roman" w:hAnsi="Times New Roman"/>
            <w:noProof/>
            <w:szCs w:val="24"/>
          </w:rPr>
          <w:t>https://doi.org/10.1038/s41541-019-0111-y</w:t>
        </w:r>
      </w:hyperlink>
    </w:p>
    <w:p w14:paraId="1087E126" w14:textId="5BBCF75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Malay, A. D., Miyazaki, N., Biela, A., Chakraborti, S., Majsterkiewicz, K., Stupka, I., Kaplan, C. S., Kowalczyk, A., Piette, B. M. A. G., Hochberg, G. K. A., Wu, D., Wrobel, T. P., Fineberg, A., Kushwah, M. S., Kelemen, M., Vavpetič, P., Pelicon, P., Kukura, P., Benesch, J. L. P., … Heddle, J. G. (2019). An ultra-stable gold-coordinated protein cage displaying reversible assembly.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569</w:t>
      </w:r>
      <w:r w:rsidRPr="00310E7E">
        <w:rPr>
          <w:rFonts w:ascii="Times New Roman" w:hAnsi="Times New Roman"/>
          <w:noProof/>
          <w:szCs w:val="24"/>
        </w:rPr>
        <w:t xml:space="preserve">(7756), 438–442. </w:t>
      </w:r>
      <w:hyperlink r:id="rId424" w:history="1">
        <w:r w:rsidRPr="00FA33E7">
          <w:rPr>
            <w:rStyle w:val="Hyperlink"/>
            <w:rFonts w:ascii="Times New Roman" w:hAnsi="Times New Roman"/>
            <w:noProof/>
            <w:szCs w:val="24"/>
          </w:rPr>
          <w:t>https://doi.org/10.1038/s41586-019-1185-4</w:t>
        </w:r>
      </w:hyperlink>
    </w:p>
    <w:p w14:paraId="47D5298C" w14:textId="07BC87EE" w:rsidR="00310E7E" w:rsidRPr="009C2DA0"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fr-FR"/>
        </w:rPr>
      </w:pPr>
      <w:r w:rsidRPr="00310E7E">
        <w:rPr>
          <w:rFonts w:ascii="Times New Roman" w:hAnsi="Times New Roman"/>
          <w:noProof/>
          <w:szCs w:val="24"/>
        </w:rPr>
        <w:t xml:space="preserve">Maloney, T., Phelan, R., &amp; Simmons, N. (2018). Saving the horseshoe crab: A synthetic alternative to horseshoe crab blood for endotoxin detection. </w:t>
      </w:r>
      <w:r w:rsidRPr="009C2DA0">
        <w:rPr>
          <w:rFonts w:ascii="Times New Roman" w:hAnsi="Times New Roman"/>
          <w:i/>
          <w:iCs/>
          <w:noProof/>
          <w:szCs w:val="24"/>
          <w:lang w:val="fr-FR"/>
        </w:rPr>
        <w:t>PLoS Biology</w:t>
      </w:r>
      <w:r w:rsidRPr="009C2DA0">
        <w:rPr>
          <w:rFonts w:ascii="Times New Roman" w:hAnsi="Times New Roman"/>
          <w:noProof/>
          <w:szCs w:val="24"/>
          <w:lang w:val="fr-FR"/>
        </w:rPr>
        <w:t xml:space="preserve">, </w:t>
      </w:r>
      <w:r w:rsidRPr="009C2DA0">
        <w:rPr>
          <w:rFonts w:ascii="Times New Roman" w:hAnsi="Times New Roman"/>
          <w:i/>
          <w:iCs/>
          <w:noProof/>
          <w:szCs w:val="24"/>
          <w:lang w:val="fr-FR"/>
        </w:rPr>
        <w:t>16</w:t>
      </w:r>
      <w:r w:rsidRPr="009C2DA0">
        <w:rPr>
          <w:rFonts w:ascii="Times New Roman" w:hAnsi="Times New Roman"/>
          <w:noProof/>
          <w:szCs w:val="24"/>
          <w:lang w:val="fr-FR"/>
        </w:rPr>
        <w:t xml:space="preserve">(10), 1–10. </w:t>
      </w:r>
      <w:hyperlink r:id="rId425" w:history="1">
        <w:r w:rsidRPr="009C2DA0">
          <w:rPr>
            <w:rStyle w:val="Hyperlink"/>
            <w:rFonts w:ascii="Times New Roman" w:hAnsi="Times New Roman"/>
            <w:noProof/>
            <w:szCs w:val="24"/>
            <w:lang w:val="fr-FR"/>
          </w:rPr>
          <w:t>https://doi.org/10.1371/journal.pbio.2006607</w:t>
        </w:r>
      </w:hyperlink>
    </w:p>
    <w:p w14:paraId="57A7C948" w14:textId="2F24242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9C2DA0">
        <w:rPr>
          <w:rFonts w:ascii="Times New Roman" w:hAnsi="Times New Roman"/>
          <w:noProof/>
          <w:szCs w:val="24"/>
          <w:lang w:val="fr-FR"/>
        </w:rPr>
        <w:t xml:space="preserve">Malyshev, D. A., Dhami, K., Lavergne, T., Chen, T., Dai, N., Foster, J. M., Corrêa, I. R., &amp; Romesberg, F. E. (2014). </w:t>
      </w:r>
      <w:r w:rsidRPr="00310E7E">
        <w:rPr>
          <w:rFonts w:ascii="Times New Roman" w:hAnsi="Times New Roman"/>
          <w:noProof/>
          <w:szCs w:val="24"/>
        </w:rPr>
        <w:t xml:space="preserve">A semi-synthetic organism with an expanded genetic alphabet.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509</w:t>
      </w:r>
      <w:r w:rsidRPr="00310E7E">
        <w:rPr>
          <w:rFonts w:ascii="Times New Roman" w:hAnsi="Times New Roman"/>
          <w:noProof/>
          <w:szCs w:val="24"/>
        </w:rPr>
        <w:t xml:space="preserve">(7500), 385–388. </w:t>
      </w:r>
      <w:hyperlink r:id="rId426" w:history="1">
        <w:r w:rsidRPr="00FA33E7">
          <w:rPr>
            <w:rStyle w:val="Hyperlink"/>
            <w:rFonts w:ascii="Times New Roman" w:hAnsi="Times New Roman"/>
            <w:noProof/>
            <w:szCs w:val="24"/>
          </w:rPr>
          <w:t>https://doi.org/10.1038/nature13314</w:t>
        </w:r>
      </w:hyperlink>
    </w:p>
    <w:p w14:paraId="5AE1BECC" w14:textId="0F2D1E8C" w:rsidR="00310E7E" w:rsidRPr="009C2DA0"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fr-FR"/>
        </w:rPr>
      </w:pPr>
      <w:r w:rsidRPr="00310E7E">
        <w:rPr>
          <w:rFonts w:ascii="Times New Roman" w:hAnsi="Times New Roman"/>
          <w:noProof/>
          <w:szCs w:val="24"/>
        </w:rPr>
        <w:t xml:space="preserve">Mammoth BioSciences. (2018). </w:t>
      </w:r>
      <w:r w:rsidRPr="00310E7E">
        <w:rPr>
          <w:rFonts w:ascii="Times New Roman" w:hAnsi="Times New Roman"/>
          <w:i/>
          <w:iCs/>
          <w:noProof/>
          <w:szCs w:val="24"/>
        </w:rPr>
        <w:t>Mammoth Biosciences Launches to Develop World’s First CRISPR-Based Detection Platform</w:t>
      </w:r>
      <w:r w:rsidRPr="00310E7E">
        <w:rPr>
          <w:rFonts w:ascii="Times New Roman" w:hAnsi="Times New Roman"/>
          <w:noProof/>
          <w:szCs w:val="24"/>
        </w:rPr>
        <w:t xml:space="preserve">. </w:t>
      </w:r>
      <w:r w:rsidRPr="009C2DA0">
        <w:rPr>
          <w:rFonts w:ascii="Times New Roman" w:hAnsi="Times New Roman"/>
          <w:noProof/>
          <w:szCs w:val="24"/>
          <w:lang w:val="fr-FR"/>
        </w:rPr>
        <w:t xml:space="preserve">Mammoth Biosciences; SynBioBeta. </w:t>
      </w:r>
      <w:hyperlink r:id="rId427" w:history="1">
        <w:r w:rsidRPr="009C2DA0">
          <w:rPr>
            <w:rStyle w:val="Hyperlink"/>
            <w:rFonts w:ascii="Times New Roman" w:hAnsi="Times New Roman"/>
            <w:noProof/>
            <w:szCs w:val="24"/>
            <w:lang w:val="fr-FR"/>
          </w:rPr>
          <w:t>https://synbiobeta.com/mammoth-biosciences-launches-to-develop-worlds-first-crispr-based-detection-platform/</w:t>
        </w:r>
      </w:hyperlink>
    </w:p>
    <w:p w14:paraId="21618AAD" w14:textId="1B9DE89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9C2DA0">
        <w:rPr>
          <w:rFonts w:ascii="Times New Roman" w:hAnsi="Times New Roman"/>
          <w:noProof/>
          <w:szCs w:val="24"/>
          <w:lang w:val="fr-FR"/>
        </w:rPr>
        <w:t xml:space="preserve">Mao, C., Xie, H., Chen, S., Valverde, B. E., &amp; Qiang, S. (2017). </w:t>
      </w:r>
      <w:r w:rsidRPr="00310E7E">
        <w:rPr>
          <w:rFonts w:ascii="Times New Roman" w:hAnsi="Times New Roman"/>
          <w:noProof/>
          <w:szCs w:val="24"/>
        </w:rPr>
        <w:t xml:space="preserve">Error-prone PCR mutation of Ls-EPSPS gene from </w:t>
      </w:r>
      <w:r w:rsidRPr="00FA33E7">
        <w:rPr>
          <w:rFonts w:ascii="Times New Roman" w:hAnsi="Times New Roman"/>
          <w:i/>
          <w:iCs/>
          <w:noProof/>
          <w:szCs w:val="24"/>
        </w:rPr>
        <w:t>Liriope spicata</w:t>
      </w:r>
      <w:r w:rsidRPr="00310E7E">
        <w:rPr>
          <w:rFonts w:ascii="Times New Roman" w:hAnsi="Times New Roman"/>
          <w:noProof/>
          <w:szCs w:val="24"/>
        </w:rPr>
        <w:t xml:space="preserve"> conferring to its enhanced glyphosate-resistance. </w:t>
      </w:r>
      <w:r w:rsidRPr="00310E7E">
        <w:rPr>
          <w:rFonts w:ascii="Times New Roman" w:hAnsi="Times New Roman"/>
          <w:i/>
          <w:iCs/>
          <w:noProof/>
          <w:szCs w:val="24"/>
        </w:rPr>
        <w:t>Pesticide Biochemistry and Physiology</w:t>
      </w:r>
      <w:r w:rsidRPr="00310E7E">
        <w:rPr>
          <w:rFonts w:ascii="Times New Roman" w:hAnsi="Times New Roman"/>
          <w:noProof/>
          <w:szCs w:val="24"/>
        </w:rPr>
        <w:t xml:space="preserve">, </w:t>
      </w:r>
      <w:r w:rsidRPr="00310E7E">
        <w:rPr>
          <w:rFonts w:ascii="Times New Roman" w:hAnsi="Times New Roman"/>
          <w:i/>
          <w:iCs/>
          <w:noProof/>
          <w:szCs w:val="24"/>
        </w:rPr>
        <w:t>141</w:t>
      </w:r>
      <w:r w:rsidRPr="00310E7E">
        <w:rPr>
          <w:rFonts w:ascii="Times New Roman" w:hAnsi="Times New Roman"/>
          <w:noProof/>
          <w:szCs w:val="24"/>
        </w:rPr>
        <w:t xml:space="preserve">, 90–95. </w:t>
      </w:r>
      <w:hyperlink r:id="rId428" w:history="1">
        <w:r w:rsidRPr="00FA33E7">
          <w:rPr>
            <w:rStyle w:val="Hyperlink"/>
            <w:rFonts w:ascii="Times New Roman" w:hAnsi="Times New Roman"/>
            <w:noProof/>
            <w:szCs w:val="24"/>
          </w:rPr>
          <w:t>https://doi.org/10.1016/j.pestbp.2016.12.004</w:t>
        </w:r>
      </w:hyperlink>
    </w:p>
    <w:p w14:paraId="3611DE46" w14:textId="164B565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Marchant, G. E. (2001). The precautionary principle: an “unprincipled” approach to biotechnology regulation. </w:t>
      </w:r>
      <w:r w:rsidRPr="00310E7E">
        <w:rPr>
          <w:rFonts w:ascii="Times New Roman" w:hAnsi="Times New Roman"/>
          <w:i/>
          <w:iCs/>
          <w:noProof/>
          <w:szCs w:val="24"/>
        </w:rPr>
        <w:t>Journal of Risk Research</w:t>
      </w:r>
      <w:r w:rsidRPr="00310E7E">
        <w:rPr>
          <w:rFonts w:ascii="Times New Roman" w:hAnsi="Times New Roman"/>
          <w:noProof/>
          <w:szCs w:val="24"/>
        </w:rPr>
        <w:t xml:space="preserve">, </w:t>
      </w:r>
      <w:r w:rsidRPr="00310E7E">
        <w:rPr>
          <w:rFonts w:ascii="Times New Roman" w:hAnsi="Times New Roman"/>
          <w:i/>
          <w:iCs/>
          <w:noProof/>
          <w:szCs w:val="24"/>
        </w:rPr>
        <w:t>4</w:t>
      </w:r>
      <w:r w:rsidRPr="00310E7E">
        <w:rPr>
          <w:rFonts w:ascii="Times New Roman" w:hAnsi="Times New Roman"/>
          <w:noProof/>
          <w:szCs w:val="24"/>
        </w:rPr>
        <w:t xml:space="preserve">(2), 143–157. </w:t>
      </w:r>
      <w:hyperlink r:id="rId429" w:history="1">
        <w:r w:rsidRPr="004E6BF7">
          <w:rPr>
            <w:rStyle w:val="Hyperlink"/>
            <w:rFonts w:ascii="Times New Roman" w:hAnsi="Times New Roman"/>
            <w:noProof/>
            <w:szCs w:val="24"/>
          </w:rPr>
          <w:t>https://doi.org/10.1080/136698701750128088</w:t>
        </w:r>
      </w:hyperlink>
    </w:p>
    <w:p w14:paraId="6688EB95" w14:textId="6C3CD07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Marga, F. S., Forgacs, M. D. E. L., CASSINGHAM, &amp; Gabor, D. M. (2017). </w:t>
      </w:r>
      <w:r w:rsidRPr="00310E7E">
        <w:rPr>
          <w:rFonts w:ascii="Times New Roman" w:hAnsi="Times New Roman"/>
          <w:i/>
          <w:iCs/>
          <w:noProof/>
          <w:szCs w:val="24"/>
        </w:rPr>
        <w:t>Fabrics and methods of making them from cultured cells, WO2017003999A1</w:t>
      </w:r>
      <w:r w:rsidRPr="00310E7E">
        <w:rPr>
          <w:rFonts w:ascii="Times New Roman" w:hAnsi="Times New Roman"/>
          <w:noProof/>
          <w:szCs w:val="24"/>
        </w:rPr>
        <w:t xml:space="preserve"> (Issue 12). </w:t>
      </w:r>
      <w:hyperlink r:id="rId430" w:history="1">
        <w:r w:rsidRPr="004E6BF7">
          <w:rPr>
            <w:rStyle w:val="Hyperlink"/>
            <w:rFonts w:ascii="Times New Roman" w:hAnsi="Times New Roman"/>
            <w:noProof/>
            <w:szCs w:val="24"/>
          </w:rPr>
          <w:t>https://patents.google.com/patent/WO2017003999A1</w:t>
        </w:r>
      </w:hyperlink>
    </w:p>
    <w:p w14:paraId="2DC2B043" w14:textId="230C8AD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Marshall, J. M., &amp; Akbari, O. S. (2018). Can CRISPR-Based Gene Drive Be Confined in the Wild? A Question for Molecular and Population Biology. </w:t>
      </w:r>
      <w:r w:rsidRPr="00310E7E">
        <w:rPr>
          <w:rFonts w:ascii="Times New Roman" w:hAnsi="Times New Roman"/>
          <w:i/>
          <w:iCs/>
          <w:noProof/>
          <w:szCs w:val="24"/>
        </w:rPr>
        <w:t>ACS Chemical Biology</w:t>
      </w:r>
      <w:r w:rsidRPr="00310E7E">
        <w:rPr>
          <w:rFonts w:ascii="Times New Roman" w:hAnsi="Times New Roman"/>
          <w:noProof/>
          <w:szCs w:val="24"/>
        </w:rPr>
        <w:t xml:space="preserve">, </w:t>
      </w:r>
      <w:r w:rsidRPr="00310E7E">
        <w:rPr>
          <w:rFonts w:ascii="Times New Roman" w:hAnsi="Times New Roman"/>
          <w:i/>
          <w:iCs/>
          <w:noProof/>
          <w:szCs w:val="24"/>
        </w:rPr>
        <w:t>13</w:t>
      </w:r>
      <w:r w:rsidRPr="00310E7E">
        <w:rPr>
          <w:rFonts w:ascii="Times New Roman" w:hAnsi="Times New Roman"/>
          <w:noProof/>
          <w:szCs w:val="24"/>
        </w:rPr>
        <w:t xml:space="preserve">(2), 424–430. </w:t>
      </w:r>
      <w:hyperlink r:id="rId431" w:history="1">
        <w:r w:rsidRPr="004E6BF7">
          <w:rPr>
            <w:rStyle w:val="Hyperlink"/>
            <w:rFonts w:ascii="Times New Roman" w:hAnsi="Times New Roman"/>
            <w:noProof/>
            <w:szCs w:val="24"/>
          </w:rPr>
          <w:t>https://doi.org/10.1021/acschembio.7b00923</w:t>
        </w:r>
      </w:hyperlink>
    </w:p>
    <w:p w14:paraId="20F0BADB" w14:textId="59D1236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Massonnet-Bruneel, B., Corre-Catelin, N., Lacroix, R., Lees, R. S., Hoang, K. P., Nimmo, D., Alphey, L., &amp; Reiter, P. (2013). Fitness of Transgenic Mosquito </w:t>
      </w:r>
      <w:r w:rsidRPr="004E6BF7">
        <w:rPr>
          <w:rFonts w:ascii="Times New Roman" w:hAnsi="Times New Roman"/>
          <w:i/>
          <w:iCs/>
          <w:noProof/>
          <w:szCs w:val="24"/>
        </w:rPr>
        <w:t>Aedes aegypti</w:t>
      </w:r>
      <w:r w:rsidRPr="00310E7E">
        <w:rPr>
          <w:rFonts w:ascii="Times New Roman" w:hAnsi="Times New Roman"/>
          <w:noProof/>
          <w:szCs w:val="24"/>
        </w:rPr>
        <w:t xml:space="preserve"> Males Carrying a Dominant Lethal Genetic System. </w:t>
      </w:r>
      <w:r w:rsidRPr="00310E7E">
        <w:rPr>
          <w:rFonts w:ascii="Times New Roman" w:hAnsi="Times New Roman"/>
          <w:i/>
          <w:iCs/>
          <w:noProof/>
          <w:szCs w:val="24"/>
        </w:rPr>
        <w:t>PLoS ONE</w:t>
      </w:r>
      <w:r w:rsidRPr="00310E7E">
        <w:rPr>
          <w:rFonts w:ascii="Times New Roman" w:hAnsi="Times New Roman"/>
          <w:noProof/>
          <w:szCs w:val="24"/>
        </w:rPr>
        <w:t xml:space="preserve">, </w:t>
      </w:r>
      <w:r w:rsidRPr="00310E7E">
        <w:rPr>
          <w:rFonts w:ascii="Times New Roman" w:hAnsi="Times New Roman"/>
          <w:i/>
          <w:iCs/>
          <w:noProof/>
          <w:szCs w:val="24"/>
        </w:rPr>
        <w:t>8</w:t>
      </w:r>
      <w:r w:rsidRPr="00310E7E">
        <w:rPr>
          <w:rFonts w:ascii="Times New Roman" w:hAnsi="Times New Roman"/>
          <w:noProof/>
          <w:szCs w:val="24"/>
        </w:rPr>
        <w:t xml:space="preserve">(5). </w:t>
      </w:r>
      <w:hyperlink r:id="rId432" w:history="1">
        <w:r w:rsidRPr="004E6BF7">
          <w:rPr>
            <w:rStyle w:val="Hyperlink"/>
            <w:rFonts w:ascii="Times New Roman" w:hAnsi="Times New Roman"/>
            <w:noProof/>
            <w:szCs w:val="24"/>
          </w:rPr>
          <w:t>https://doi.org/10.1371/journal.pone.0062711</w:t>
        </w:r>
      </w:hyperlink>
    </w:p>
    <w:p w14:paraId="4E3D2618" w14:textId="4DE592C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Matassa, S., Boon, N., Pikaar, I., &amp; Verstraete, W. (2016). Microbial protein: future sustainable food supply route with low environmental footprint. </w:t>
      </w:r>
      <w:r w:rsidRPr="00310E7E">
        <w:rPr>
          <w:rFonts w:ascii="Times New Roman" w:hAnsi="Times New Roman"/>
          <w:i/>
          <w:iCs/>
          <w:noProof/>
          <w:szCs w:val="24"/>
        </w:rPr>
        <w:t>Microbial Biotechnology</w:t>
      </w:r>
      <w:r w:rsidRPr="00310E7E">
        <w:rPr>
          <w:rFonts w:ascii="Times New Roman" w:hAnsi="Times New Roman"/>
          <w:noProof/>
          <w:szCs w:val="24"/>
        </w:rPr>
        <w:t xml:space="preserve">, </w:t>
      </w:r>
      <w:r w:rsidRPr="00310E7E">
        <w:rPr>
          <w:rFonts w:ascii="Times New Roman" w:hAnsi="Times New Roman"/>
          <w:i/>
          <w:iCs/>
          <w:noProof/>
          <w:szCs w:val="24"/>
        </w:rPr>
        <w:t>9</w:t>
      </w:r>
      <w:r w:rsidRPr="00310E7E">
        <w:rPr>
          <w:rFonts w:ascii="Times New Roman" w:hAnsi="Times New Roman"/>
          <w:noProof/>
          <w:szCs w:val="24"/>
        </w:rPr>
        <w:t xml:space="preserve">(5), 568–575. </w:t>
      </w:r>
      <w:hyperlink r:id="rId433" w:history="1">
        <w:r w:rsidRPr="004E6BF7">
          <w:rPr>
            <w:rStyle w:val="Hyperlink"/>
            <w:rFonts w:ascii="Times New Roman" w:hAnsi="Times New Roman"/>
            <w:noProof/>
            <w:szCs w:val="24"/>
          </w:rPr>
          <w:t>https://doi.org/10.1111/1751-7915.12369</w:t>
        </w:r>
      </w:hyperlink>
    </w:p>
    <w:p w14:paraId="1AEB4BF3" w14:textId="27BEE97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Matsuyama, H., &amp; Suzuki, H. I. (2020). Systems and synthetic microRNA biology: From biogenesis to disease pathogenesis. In </w:t>
      </w:r>
      <w:r w:rsidRPr="00310E7E">
        <w:rPr>
          <w:rFonts w:ascii="Times New Roman" w:hAnsi="Times New Roman"/>
          <w:i/>
          <w:iCs/>
          <w:noProof/>
          <w:szCs w:val="24"/>
        </w:rPr>
        <w:t>International Journal of Molecular Sciences</w:t>
      </w:r>
      <w:r w:rsidRPr="00310E7E">
        <w:rPr>
          <w:rFonts w:ascii="Times New Roman" w:hAnsi="Times New Roman"/>
          <w:noProof/>
          <w:szCs w:val="24"/>
        </w:rPr>
        <w:t xml:space="preserve"> (Vol. 21, Issue 1). MDPI AG. </w:t>
      </w:r>
      <w:hyperlink r:id="rId434" w:history="1">
        <w:r w:rsidRPr="004E6BF7">
          <w:rPr>
            <w:rStyle w:val="Hyperlink"/>
            <w:rFonts w:ascii="Times New Roman" w:hAnsi="Times New Roman"/>
            <w:noProof/>
            <w:szCs w:val="24"/>
          </w:rPr>
          <w:t>https://doi.org/10.3390/ijms21010132</w:t>
        </w:r>
      </w:hyperlink>
    </w:p>
    <w:p w14:paraId="4FCD6BF6" w14:textId="73BB1FB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Matz, M. V, Treml, E. A., Aglyamova, G. V, &amp; Bay, L. K. (2018). Potential and limits for rapid genetic adaptation to warming in a Great Barrier Reef coral. </w:t>
      </w:r>
      <w:r w:rsidRPr="00310E7E">
        <w:rPr>
          <w:rFonts w:ascii="Times New Roman" w:hAnsi="Times New Roman"/>
          <w:i/>
          <w:iCs/>
          <w:noProof/>
          <w:szCs w:val="24"/>
        </w:rPr>
        <w:t>PLOS Genetics</w:t>
      </w:r>
      <w:r w:rsidRPr="00310E7E">
        <w:rPr>
          <w:rFonts w:ascii="Times New Roman" w:hAnsi="Times New Roman"/>
          <w:noProof/>
          <w:szCs w:val="24"/>
        </w:rPr>
        <w:t xml:space="preserve">, </w:t>
      </w:r>
      <w:r w:rsidRPr="00310E7E">
        <w:rPr>
          <w:rFonts w:ascii="Times New Roman" w:hAnsi="Times New Roman"/>
          <w:i/>
          <w:iCs/>
          <w:noProof/>
          <w:szCs w:val="24"/>
        </w:rPr>
        <w:t>14</w:t>
      </w:r>
      <w:r w:rsidRPr="00310E7E">
        <w:rPr>
          <w:rFonts w:ascii="Times New Roman" w:hAnsi="Times New Roman"/>
          <w:noProof/>
          <w:szCs w:val="24"/>
        </w:rPr>
        <w:t xml:space="preserve">(4), e1007220. </w:t>
      </w:r>
      <w:hyperlink r:id="rId435" w:history="1">
        <w:r w:rsidRPr="004E6BF7">
          <w:rPr>
            <w:rStyle w:val="Hyperlink"/>
            <w:rFonts w:ascii="Times New Roman" w:hAnsi="Times New Roman"/>
            <w:noProof/>
            <w:szCs w:val="24"/>
          </w:rPr>
          <w:t>https://doi.org/10.1371/journal.pgen.1007220</w:t>
        </w:r>
      </w:hyperlink>
    </w:p>
    <w:p w14:paraId="16B3AF89" w14:textId="522C7FC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McCarthy, D. M., &amp; Medford, J. I. (2020). Quantitative and Predictive Genetic Parts for Plant Synthetic Biology. In </w:t>
      </w:r>
      <w:r w:rsidRPr="00310E7E">
        <w:rPr>
          <w:rFonts w:ascii="Times New Roman" w:hAnsi="Times New Roman"/>
          <w:i/>
          <w:iCs/>
          <w:noProof/>
          <w:szCs w:val="24"/>
        </w:rPr>
        <w:t>Frontiers in Plant Science</w:t>
      </w:r>
      <w:r w:rsidRPr="00310E7E">
        <w:rPr>
          <w:rFonts w:ascii="Times New Roman" w:hAnsi="Times New Roman"/>
          <w:noProof/>
          <w:szCs w:val="24"/>
        </w:rPr>
        <w:t xml:space="preserve"> (Vol. 11, p. 512526). Frontiers Media S.A. </w:t>
      </w:r>
      <w:hyperlink r:id="rId436" w:history="1">
        <w:r w:rsidRPr="004E6BF7">
          <w:rPr>
            <w:rStyle w:val="Hyperlink"/>
            <w:rFonts w:ascii="Times New Roman" w:hAnsi="Times New Roman"/>
            <w:noProof/>
            <w:szCs w:val="24"/>
          </w:rPr>
          <w:t>https://doi.org/10.3389/fpls.2020.512526</w:t>
        </w:r>
      </w:hyperlink>
    </w:p>
    <w:p w14:paraId="0661D538" w14:textId="6B15262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Meiser, L. C., Antkowiak, P. L., Koch, J., Chen, W. D., Kohll, A. X., Stark, W. J., Heckel, R., &amp; Grass, R. N. (2020). Reading and writing digital data in DNA. </w:t>
      </w:r>
      <w:r w:rsidRPr="00310E7E">
        <w:rPr>
          <w:rFonts w:ascii="Times New Roman" w:hAnsi="Times New Roman"/>
          <w:i/>
          <w:iCs/>
          <w:noProof/>
          <w:szCs w:val="24"/>
        </w:rPr>
        <w:t>Nature Protocols</w:t>
      </w:r>
      <w:r w:rsidRPr="00310E7E">
        <w:rPr>
          <w:rFonts w:ascii="Times New Roman" w:hAnsi="Times New Roman"/>
          <w:noProof/>
          <w:szCs w:val="24"/>
        </w:rPr>
        <w:t xml:space="preserve">, </w:t>
      </w:r>
      <w:r w:rsidRPr="00310E7E">
        <w:rPr>
          <w:rFonts w:ascii="Times New Roman" w:hAnsi="Times New Roman"/>
          <w:i/>
          <w:iCs/>
          <w:noProof/>
          <w:szCs w:val="24"/>
        </w:rPr>
        <w:t>15</w:t>
      </w:r>
      <w:r w:rsidRPr="00310E7E">
        <w:rPr>
          <w:rFonts w:ascii="Times New Roman" w:hAnsi="Times New Roman"/>
          <w:noProof/>
          <w:szCs w:val="24"/>
        </w:rPr>
        <w:t xml:space="preserve">(1), 86–101. </w:t>
      </w:r>
      <w:hyperlink r:id="rId437" w:history="1">
        <w:r w:rsidRPr="004E6BF7">
          <w:rPr>
            <w:rStyle w:val="Hyperlink"/>
            <w:rFonts w:ascii="Times New Roman" w:hAnsi="Times New Roman"/>
            <w:noProof/>
            <w:szCs w:val="24"/>
          </w:rPr>
          <w:t>https://doi.org/10.1038/s41596-019-0244-5</w:t>
        </w:r>
      </w:hyperlink>
    </w:p>
    <w:p w14:paraId="723D6C87" w14:textId="54F2A05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Mendelsohn, M. L., Gathmann, A., Kardassi, D., Sachana, M., Hopwood, E. M., Dietz-Pfeilstetter, A., Michelsen-Correa, S., Fletcher, S. J., &amp; Székács, A. (2020). Summary of Discussions From the 2019 OECD Conference on RNAi Based Pesticides.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 740. </w:t>
      </w:r>
      <w:hyperlink r:id="rId438" w:history="1">
        <w:r w:rsidRPr="004E6BF7">
          <w:rPr>
            <w:rStyle w:val="Hyperlink"/>
            <w:rFonts w:ascii="Times New Roman" w:hAnsi="Times New Roman"/>
            <w:noProof/>
            <w:szCs w:val="24"/>
          </w:rPr>
          <w:t>https://doi.org/10.3389/fpls.2020.00740</w:t>
        </w:r>
      </w:hyperlink>
    </w:p>
    <w:p w14:paraId="3979772C" w14:textId="76741DA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Meng, F., &amp; Ellis, T. (2020). The second decade of synthetic biology: 2010–2020. In </w:t>
      </w:r>
      <w:r w:rsidRPr="00310E7E">
        <w:rPr>
          <w:rFonts w:ascii="Times New Roman" w:hAnsi="Times New Roman"/>
          <w:i/>
          <w:iCs/>
          <w:noProof/>
          <w:szCs w:val="24"/>
        </w:rPr>
        <w:t>Nature Communications</w:t>
      </w:r>
      <w:r w:rsidRPr="00310E7E">
        <w:rPr>
          <w:rFonts w:ascii="Times New Roman" w:hAnsi="Times New Roman"/>
          <w:noProof/>
          <w:szCs w:val="24"/>
        </w:rPr>
        <w:t xml:space="preserve"> (Vol. 11, Issue 1, pp. 1–4). Nature Research. </w:t>
      </w:r>
      <w:hyperlink r:id="rId439" w:history="1">
        <w:r w:rsidRPr="004E6BF7">
          <w:rPr>
            <w:rStyle w:val="Hyperlink"/>
            <w:rFonts w:ascii="Times New Roman" w:hAnsi="Times New Roman"/>
            <w:noProof/>
            <w:szCs w:val="24"/>
          </w:rPr>
          <w:t>https://doi.org/10.1038/s41467-020-19092-2</w:t>
        </w:r>
      </w:hyperlink>
    </w:p>
    <w:p w14:paraId="03DD9DD7" w14:textId="726BA36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Meng, X., Liu, H., Xu, W., Zhang, W., Wang, Z., &amp; Liu, W. (2020). Metabolic engineering S</w:t>
      </w:r>
      <w:r w:rsidRPr="004E6BF7">
        <w:rPr>
          <w:rFonts w:ascii="Times New Roman" w:hAnsi="Times New Roman"/>
          <w:i/>
          <w:iCs/>
          <w:noProof/>
          <w:szCs w:val="24"/>
        </w:rPr>
        <w:t>accharomyces cerevisiae</w:t>
      </w:r>
      <w:r w:rsidRPr="00310E7E">
        <w:rPr>
          <w:rFonts w:ascii="Times New Roman" w:hAnsi="Times New Roman"/>
          <w:noProof/>
          <w:szCs w:val="24"/>
        </w:rPr>
        <w:t xml:space="preserve"> for </w:t>
      </w:r>
      <w:r w:rsidRPr="00FC3272">
        <w:rPr>
          <w:rFonts w:ascii="Times New Roman" w:hAnsi="Times New Roman"/>
          <w:i/>
          <w:iCs/>
          <w:noProof/>
          <w:szCs w:val="24"/>
        </w:rPr>
        <w:t xml:space="preserve">de novo </w:t>
      </w:r>
      <w:r w:rsidRPr="00310E7E">
        <w:rPr>
          <w:rFonts w:ascii="Times New Roman" w:hAnsi="Times New Roman"/>
          <w:noProof/>
          <w:szCs w:val="24"/>
        </w:rPr>
        <w:t xml:space="preserve">production of the sesquiterpenoid (+)-nootkatone. </w:t>
      </w:r>
      <w:r w:rsidRPr="00310E7E">
        <w:rPr>
          <w:rFonts w:ascii="Times New Roman" w:hAnsi="Times New Roman"/>
          <w:i/>
          <w:iCs/>
          <w:noProof/>
          <w:szCs w:val="24"/>
        </w:rPr>
        <w:t>Microbial Cell Factories</w:t>
      </w:r>
      <w:r w:rsidRPr="00310E7E">
        <w:rPr>
          <w:rFonts w:ascii="Times New Roman" w:hAnsi="Times New Roman"/>
          <w:noProof/>
          <w:szCs w:val="24"/>
        </w:rPr>
        <w:t xml:space="preserve">, </w:t>
      </w:r>
      <w:r w:rsidRPr="00310E7E">
        <w:rPr>
          <w:rFonts w:ascii="Times New Roman" w:hAnsi="Times New Roman"/>
          <w:i/>
          <w:iCs/>
          <w:noProof/>
          <w:szCs w:val="24"/>
        </w:rPr>
        <w:t>19</w:t>
      </w:r>
      <w:r w:rsidRPr="00310E7E">
        <w:rPr>
          <w:rFonts w:ascii="Times New Roman" w:hAnsi="Times New Roman"/>
          <w:noProof/>
          <w:szCs w:val="24"/>
        </w:rPr>
        <w:t xml:space="preserve">(1). </w:t>
      </w:r>
      <w:hyperlink r:id="rId440" w:history="1">
        <w:r w:rsidRPr="004E6BF7">
          <w:rPr>
            <w:rStyle w:val="Hyperlink"/>
            <w:rFonts w:ascii="Times New Roman" w:hAnsi="Times New Roman"/>
            <w:noProof/>
            <w:szCs w:val="24"/>
          </w:rPr>
          <w:t>https://doi.org/10.1186/s12934-020-1295-6</w:t>
        </w:r>
      </w:hyperlink>
    </w:p>
    <w:p w14:paraId="67FD0630" w14:textId="1434AC9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Menz, J., Modrzejewski, D., Hartung, F., Wilhelm, R., &amp; Sprink, T. (2020). Genome Edited Crops Touch the Market: A View on the Global Development and Regulatory Environment.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(October). </w:t>
      </w:r>
      <w:hyperlink r:id="rId441" w:history="1">
        <w:r w:rsidRPr="004E6BF7">
          <w:rPr>
            <w:rStyle w:val="Hyperlink"/>
            <w:rFonts w:ascii="Times New Roman" w:hAnsi="Times New Roman"/>
            <w:noProof/>
            <w:szCs w:val="24"/>
          </w:rPr>
          <w:t>https://doi.org/10.3389/fpls.2020.586027</w:t>
        </w:r>
      </w:hyperlink>
    </w:p>
    <w:p w14:paraId="70E34B68" w14:textId="41837EC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Mezzetti, B., Smagghe, G., Arpaia, S., Christiaens, O., Dietz-Pfeilstetter, A., Jones, H., Kostov, K., Sabbadini, S., Opsahl-Sorteberg, H. G., Ventura, V., Taning, C. N. T., &amp; Sweet, J. (2020). RNAi: What is its position in agriculture? </w:t>
      </w:r>
      <w:r w:rsidRPr="00310E7E">
        <w:rPr>
          <w:rFonts w:ascii="Times New Roman" w:hAnsi="Times New Roman"/>
          <w:i/>
          <w:iCs/>
          <w:noProof/>
          <w:szCs w:val="24"/>
        </w:rPr>
        <w:t>Journal of Pest Science</w:t>
      </w:r>
      <w:r w:rsidRPr="00310E7E">
        <w:rPr>
          <w:rFonts w:ascii="Times New Roman" w:hAnsi="Times New Roman"/>
          <w:noProof/>
          <w:szCs w:val="24"/>
        </w:rPr>
        <w:t xml:space="preserve">, </w:t>
      </w:r>
      <w:r w:rsidRPr="00310E7E">
        <w:rPr>
          <w:rFonts w:ascii="Times New Roman" w:hAnsi="Times New Roman"/>
          <w:i/>
          <w:iCs/>
          <w:noProof/>
          <w:szCs w:val="24"/>
        </w:rPr>
        <w:t>93</w:t>
      </w:r>
      <w:r w:rsidRPr="00310E7E">
        <w:rPr>
          <w:rFonts w:ascii="Times New Roman" w:hAnsi="Times New Roman"/>
          <w:noProof/>
          <w:szCs w:val="24"/>
        </w:rPr>
        <w:t xml:space="preserve">(4), 1125–1130. </w:t>
      </w:r>
      <w:hyperlink r:id="rId442" w:history="1">
        <w:r w:rsidRPr="004E6BF7">
          <w:rPr>
            <w:rStyle w:val="Hyperlink"/>
            <w:rFonts w:ascii="Times New Roman" w:hAnsi="Times New Roman"/>
            <w:noProof/>
            <w:szCs w:val="24"/>
          </w:rPr>
          <w:t>https://doi.org/10.1007/s10340-020-01238-2</w:t>
        </w:r>
      </w:hyperlink>
    </w:p>
    <w:p w14:paraId="5AD0CB2B" w14:textId="69AE62F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Michael Eisenstein. (2020). Enzymatic DNA synthesis enters new phase. In </w:t>
      </w:r>
      <w:r w:rsidRPr="00310E7E">
        <w:rPr>
          <w:rFonts w:ascii="Times New Roman" w:hAnsi="Times New Roman"/>
          <w:i/>
          <w:iCs/>
          <w:noProof/>
          <w:szCs w:val="24"/>
        </w:rPr>
        <w:t>Nature biotechnology</w:t>
      </w:r>
      <w:r w:rsidRPr="00310E7E">
        <w:rPr>
          <w:rFonts w:ascii="Times New Roman" w:hAnsi="Times New Roman"/>
          <w:noProof/>
          <w:szCs w:val="24"/>
        </w:rPr>
        <w:t xml:space="preserve"> (Vol. 38, Issue 10, p. 1114). NLM (Medline). </w:t>
      </w:r>
      <w:hyperlink r:id="rId443" w:history="1">
        <w:r w:rsidRPr="00E35037">
          <w:rPr>
            <w:rStyle w:val="Hyperlink"/>
            <w:rFonts w:ascii="Times New Roman" w:hAnsi="Times New Roman"/>
            <w:noProof/>
            <w:szCs w:val="24"/>
          </w:rPr>
          <w:t>https://doi.org/10.1038/s41587-020-0708-8</w:t>
        </w:r>
      </w:hyperlink>
    </w:p>
    <w:p w14:paraId="170F0A2A" w14:textId="1A5D5C1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Millett, P., Binz, T., Evans, S. W., Kuiken, T., Oye, K., Palmer, M. J., van der Vlugt, C., Yambao, K., &amp; Yu, S. (2019). Developing a Comprehensive, Adaptive, and International Biosafety and Biosecurity Program for Advanced Biotechnology: The iGEM Experience. </w:t>
      </w:r>
      <w:r w:rsidRPr="00310E7E">
        <w:rPr>
          <w:rFonts w:ascii="Times New Roman" w:hAnsi="Times New Roman"/>
          <w:i/>
          <w:iCs/>
          <w:noProof/>
          <w:szCs w:val="24"/>
        </w:rPr>
        <w:t>Applied Biosafety</w:t>
      </w:r>
      <w:r w:rsidRPr="00310E7E">
        <w:rPr>
          <w:rFonts w:ascii="Times New Roman" w:hAnsi="Times New Roman"/>
          <w:noProof/>
          <w:szCs w:val="24"/>
        </w:rPr>
        <w:t xml:space="preserve">, </w:t>
      </w:r>
      <w:r w:rsidRPr="00310E7E">
        <w:rPr>
          <w:rFonts w:ascii="Times New Roman" w:hAnsi="Times New Roman"/>
          <w:i/>
          <w:iCs/>
          <w:noProof/>
          <w:szCs w:val="24"/>
        </w:rPr>
        <w:t>24</w:t>
      </w:r>
      <w:r w:rsidRPr="00310E7E">
        <w:rPr>
          <w:rFonts w:ascii="Times New Roman" w:hAnsi="Times New Roman"/>
          <w:noProof/>
          <w:szCs w:val="24"/>
        </w:rPr>
        <w:t xml:space="preserve">(2), 64–71. </w:t>
      </w:r>
      <w:hyperlink r:id="rId444" w:history="1">
        <w:r w:rsidRPr="00E35037">
          <w:rPr>
            <w:rStyle w:val="Hyperlink"/>
            <w:rFonts w:ascii="Times New Roman" w:hAnsi="Times New Roman"/>
            <w:noProof/>
            <w:szCs w:val="24"/>
          </w:rPr>
          <w:t>https://doi.org/10.1177/1535676019838075</w:t>
        </w:r>
      </w:hyperlink>
    </w:p>
    <w:p w14:paraId="3705A30F" w14:textId="36B6959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Moe-Behrens, G. H. G., Davis, R., &amp; Haynes, K. A. (2013). Preparing synthetic biology for the world. </w:t>
      </w:r>
      <w:r w:rsidRPr="00310E7E">
        <w:rPr>
          <w:rFonts w:ascii="Times New Roman" w:hAnsi="Times New Roman"/>
          <w:i/>
          <w:iCs/>
          <w:noProof/>
          <w:szCs w:val="24"/>
        </w:rPr>
        <w:t>Frontiers in Microbiology</w:t>
      </w:r>
      <w:r w:rsidRPr="00310E7E">
        <w:rPr>
          <w:rFonts w:ascii="Times New Roman" w:hAnsi="Times New Roman"/>
          <w:noProof/>
          <w:szCs w:val="24"/>
        </w:rPr>
        <w:t xml:space="preserve">, </w:t>
      </w:r>
      <w:r w:rsidRPr="00310E7E">
        <w:rPr>
          <w:rFonts w:ascii="Times New Roman" w:hAnsi="Times New Roman"/>
          <w:i/>
          <w:iCs/>
          <w:noProof/>
          <w:szCs w:val="24"/>
        </w:rPr>
        <w:t>4</w:t>
      </w:r>
      <w:r w:rsidRPr="00310E7E">
        <w:rPr>
          <w:rFonts w:ascii="Times New Roman" w:hAnsi="Times New Roman"/>
          <w:noProof/>
          <w:szCs w:val="24"/>
        </w:rPr>
        <w:t xml:space="preserve">. </w:t>
      </w:r>
      <w:hyperlink r:id="rId445" w:history="1">
        <w:r w:rsidRPr="00E35037">
          <w:rPr>
            <w:rStyle w:val="Hyperlink"/>
            <w:rFonts w:ascii="Times New Roman" w:hAnsi="Times New Roman"/>
            <w:noProof/>
            <w:szCs w:val="24"/>
          </w:rPr>
          <w:t>https://doi.org/10.3389/fmicb.2013.00005</w:t>
        </w:r>
      </w:hyperlink>
    </w:p>
    <w:p w14:paraId="6E4D39F5" w14:textId="32C133A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Mok, B. Y., de Moraes, M. H., Zeng, J., Bosch, D. E., Kotrys, A. V., Raguram, A., Hsu, F. S., Radey, M. C., Peterson, S. B., Mootha, V. K., Mougous, J. D., &amp; Liu, D. R. (2020). A bacterial cytidine deaminase toxin enables CRISPR-free mitochondrial base editing.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583</w:t>
      </w:r>
      <w:r w:rsidRPr="00310E7E">
        <w:rPr>
          <w:rFonts w:ascii="Times New Roman" w:hAnsi="Times New Roman"/>
          <w:noProof/>
          <w:szCs w:val="24"/>
        </w:rPr>
        <w:t xml:space="preserve">(7817), 631–637. </w:t>
      </w:r>
      <w:hyperlink r:id="rId446" w:history="1">
        <w:r w:rsidRPr="00E35037">
          <w:rPr>
            <w:rStyle w:val="Hyperlink"/>
            <w:rFonts w:ascii="Times New Roman" w:hAnsi="Times New Roman"/>
            <w:noProof/>
            <w:szCs w:val="24"/>
          </w:rPr>
          <w:t>https://doi.org/10.1038/s41586-020-2477-4</w:t>
        </w:r>
      </w:hyperlink>
    </w:p>
    <w:p w14:paraId="23B55F19" w14:textId="45812A4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Molitor, B., Mishra, A., &amp; Angenent, L. T. (2019). Power-to-protein: Converting renewable electric power and carbon dioxide into single cell protein with a two-stage bioprocess. </w:t>
      </w:r>
      <w:r w:rsidRPr="00310E7E">
        <w:rPr>
          <w:rFonts w:ascii="Times New Roman" w:hAnsi="Times New Roman"/>
          <w:i/>
          <w:iCs/>
          <w:noProof/>
          <w:szCs w:val="24"/>
        </w:rPr>
        <w:t>Energy and Environmental Science</w:t>
      </w:r>
      <w:r w:rsidRPr="00310E7E">
        <w:rPr>
          <w:rFonts w:ascii="Times New Roman" w:hAnsi="Times New Roman"/>
          <w:noProof/>
          <w:szCs w:val="24"/>
        </w:rPr>
        <w:t xml:space="preserve">, </w:t>
      </w:r>
      <w:r w:rsidRPr="00310E7E">
        <w:rPr>
          <w:rFonts w:ascii="Times New Roman" w:hAnsi="Times New Roman"/>
          <w:i/>
          <w:iCs/>
          <w:noProof/>
          <w:szCs w:val="24"/>
        </w:rPr>
        <w:t>12</w:t>
      </w:r>
      <w:r w:rsidRPr="00310E7E">
        <w:rPr>
          <w:rFonts w:ascii="Times New Roman" w:hAnsi="Times New Roman"/>
          <w:noProof/>
          <w:szCs w:val="24"/>
        </w:rPr>
        <w:t xml:space="preserve">(12), 3515–3521. </w:t>
      </w:r>
      <w:hyperlink r:id="rId447" w:history="1">
        <w:r w:rsidRPr="00E35037">
          <w:rPr>
            <w:rStyle w:val="Hyperlink"/>
            <w:rFonts w:ascii="Times New Roman" w:hAnsi="Times New Roman"/>
            <w:noProof/>
            <w:szCs w:val="24"/>
          </w:rPr>
          <w:t>https://doi.org/10.1039/c9ee02381j</w:t>
        </w:r>
      </w:hyperlink>
    </w:p>
    <w:p w14:paraId="000DF590" w14:textId="66EC49C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Moore, G., &amp; Tymowski, W. (2005). </w:t>
      </w:r>
      <w:r w:rsidRPr="00310E7E">
        <w:rPr>
          <w:rFonts w:ascii="Times New Roman" w:hAnsi="Times New Roman"/>
          <w:i/>
          <w:iCs/>
          <w:noProof/>
          <w:szCs w:val="24"/>
        </w:rPr>
        <w:t>Explanatory Guide to the International Treaty on Plant Genetic Resources for Food and Agriculture</w:t>
      </w:r>
      <w:r w:rsidRPr="00310E7E">
        <w:rPr>
          <w:rFonts w:ascii="Times New Roman" w:hAnsi="Times New Roman"/>
          <w:noProof/>
          <w:szCs w:val="24"/>
        </w:rPr>
        <w:t xml:space="preserve">. International Union for Conservation of Nature. </w:t>
      </w:r>
      <w:hyperlink r:id="rId448" w:history="1">
        <w:r w:rsidRPr="00E35037">
          <w:rPr>
            <w:rStyle w:val="Hyperlink"/>
            <w:rFonts w:ascii="Times New Roman" w:hAnsi="Times New Roman"/>
            <w:noProof/>
            <w:szCs w:val="24"/>
          </w:rPr>
          <w:t>https://www.iucn.org/content/explanatory-guide-international-treaty-plant-genetic-resources-food-and-agriculture</w:t>
        </w:r>
      </w:hyperlink>
    </w:p>
    <w:p w14:paraId="3292409F" w14:textId="4D404D0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More, S., Bampidis, V., Benford, D., Bragard, C., Halldorsson, T., Hernández‐Jerez, A., Susanne, H. B., Koutsoumanis, K., Machera, K., Naegeli, H., Nielsen, S. S., Schlatter, J., Schrenk, D., Silano, V., Turck, D., Younes, M., Glandorf, B., Herman, L., Tebbe, C., … Cocconcelli, P. S. (2020). Evaluation of existing guidelines for their adequacy for the microbial characterisation and environmental risk assessment of microorganisms obtained through synthetic biology. </w:t>
      </w:r>
      <w:r w:rsidRPr="00310E7E">
        <w:rPr>
          <w:rFonts w:ascii="Times New Roman" w:hAnsi="Times New Roman"/>
          <w:i/>
          <w:iCs/>
          <w:noProof/>
          <w:szCs w:val="24"/>
        </w:rPr>
        <w:t>EFSA Journal</w:t>
      </w:r>
      <w:r w:rsidRPr="00310E7E">
        <w:rPr>
          <w:rFonts w:ascii="Times New Roman" w:hAnsi="Times New Roman"/>
          <w:noProof/>
          <w:szCs w:val="24"/>
        </w:rPr>
        <w:t xml:space="preserve">, </w:t>
      </w:r>
      <w:r w:rsidRPr="00310E7E">
        <w:rPr>
          <w:rFonts w:ascii="Times New Roman" w:hAnsi="Times New Roman"/>
          <w:i/>
          <w:iCs/>
          <w:noProof/>
          <w:szCs w:val="24"/>
        </w:rPr>
        <w:t>18</w:t>
      </w:r>
      <w:r w:rsidRPr="00310E7E">
        <w:rPr>
          <w:rFonts w:ascii="Times New Roman" w:hAnsi="Times New Roman"/>
          <w:noProof/>
          <w:szCs w:val="24"/>
        </w:rPr>
        <w:t xml:space="preserve">(10). </w:t>
      </w:r>
      <w:hyperlink r:id="rId449" w:history="1">
        <w:r w:rsidRPr="00E35037">
          <w:rPr>
            <w:rStyle w:val="Hyperlink"/>
            <w:rFonts w:ascii="Times New Roman" w:hAnsi="Times New Roman"/>
            <w:noProof/>
            <w:szCs w:val="24"/>
          </w:rPr>
          <w:t>https://doi.org/10.2903/j.efsa.2020.6263</w:t>
        </w:r>
      </w:hyperlink>
    </w:p>
    <w:p w14:paraId="2FC5ED27" w14:textId="4E93DCD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Morita, K., &amp; Nakamura, H. (2017). </w:t>
      </w:r>
      <w:r w:rsidRPr="00310E7E">
        <w:rPr>
          <w:rFonts w:ascii="Times New Roman" w:hAnsi="Times New Roman"/>
          <w:i/>
          <w:iCs/>
          <w:noProof/>
          <w:szCs w:val="24"/>
        </w:rPr>
        <w:t>Modified fibroin, WO2017188434A1</w:t>
      </w:r>
      <w:r w:rsidRPr="00310E7E">
        <w:rPr>
          <w:rFonts w:ascii="Times New Roman" w:hAnsi="Times New Roman"/>
          <w:noProof/>
          <w:szCs w:val="24"/>
        </w:rPr>
        <w:t xml:space="preserve"> (Vol. 0, Issue 12). </w:t>
      </w:r>
      <w:hyperlink r:id="rId450" w:history="1">
        <w:r w:rsidRPr="00E35037">
          <w:rPr>
            <w:rStyle w:val="Hyperlink"/>
            <w:rFonts w:ascii="Times New Roman" w:hAnsi="Times New Roman"/>
            <w:noProof/>
            <w:szCs w:val="24"/>
          </w:rPr>
          <w:t>https://patents.google.com/patent/WO2017188434A1</w:t>
        </w:r>
      </w:hyperlink>
    </w:p>
    <w:p w14:paraId="5727CD07" w14:textId="6899D78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Morrison, N. I., Simmons, G. S., Fu, G., O’Connell, S., Walker, A. S., Dafa’alla, T., Walters, M., Claus, J., Tang, G., Jin, L., Marubbi, T., Epton, M. J., Harris, C. L., Staten, R. T., Miller, E., Miller, T. A., &amp; Alphey, L. (2012). Engineered Repressible Lethality for Controlling the Pink Bollworm, a Lepidopteran Pest of Cotton. </w:t>
      </w:r>
      <w:r w:rsidRPr="00310E7E">
        <w:rPr>
          <w:rFonts w:ascii="Times New Roman" w:hAnsi="Times New Roman"/>
          <w:i/>
          <w:iCs/>
          <w:noProof/>
          <w:szCs w:val="24"/>
        </w:rPr>
        <w:t>PLoS ONE</w:t>
      </w:r>
      <w:r w:rsidRPr="00310E7E">
        <w:rPr>
          <w:rFonts w:ascii="Times New Roman" w:hAnsi="Times New Roman"/>
          <w:noProof/>
          <w:szCs w:val="24"/>
        </w:rPr>
        <w:t xml:space="preserve">, </w:t>
      </w:r>
      <w:r w:rsidRPr="00310E7E">
        <w:rPr>
          <w:rFonts w:ascii="Times New Roman" w:hAnsi="Times New Roman"/>
          <w:i/>
          <w:iCs/>
          <w:noProof/>
          <w:szCs w:val="24"/>
        </w:rPr>
        <w:t>7</w:t>
      </w:r>
      <w:r w:rsidRPr="00310E7E">
        <w:rPr>
          <w:rFonts w:ascii="Times New Roman" w:hAnsi="Times New Roman"/>
          <w:noProof/>
          <w:szCs w:val="24"/>
        </w:rPr>
        <w:t xml:space="preserve">(12), e50922. </w:t>
      </w:r>
      <w:hyperlink r:id="rId451" w:history="1">
        <w:r w:rsidRPr="00E35037">
          <w:rPr>
            <w:rStyle w:val="Hyperlink"/>
            <w:rFonts w:ascii="Times New Roman" w:hAnsi="Times New Roman"/>
            <w:noProof/>
            <w:szCs w:val="24"/>
          </w:rPr>
          <w:t>https://doi.org/10.1371/journal.pone.0050922</w:t>
        </w:r>
      </w:hyperlink>
    </w:p>
    <w:p w14:paraId="2CF179E8" w14:textId="44B363C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Mueller, S. (2019). Are Market GM Plants an Unrecognized Platform for Bioterrorism and Biocrime? </w:t>
      </w:r>
      <w:r w:rsidRPr="00310E7E">
        <w:rPr>
          <w:rFonts w:ascii="Times New Roman" w:hAnsi="Times New Roman"/>
          <w:i/>
          <w:iCs/>
          <w:noProof/>
          <w:szCs w:val="24"/>
        </w:rPr>
        <w:t>Frontiers in Bioengineering and Biotechnology</w:t>
      </w:r>
      <w:r w:rsidRPr="00310E7E">
        <w:rPr>
          <w:rFonts w:ascii="Times New Roman" w:hAnsi="Times New Roman"/>
          <w:noProof/>
          <w:szCs w:val="24"/>
        </w:rPr>
        <w:t xml:space="preserve">, </w:t>
      </w:r>
      <w:r w:rsidRPr="00310E7E">
        <w:rPr>
          <w:rFonts w:ascii="Times New Roman" w:hAnsi="Times New Roman"/>
          <w:i/>
          <w:iCs/>
          <w:noProof/>
          <w:szCs w:val="24"/>
        </w:rPr>
        <w:t>7</w:t>
      </w:r>
      <w:r w:rsidRPr="00310E7E">
        <w:rPr>
          <w:rFonts w:ascii="Times New Roman" w:hAnsi="Times New Roman"/>
          <w:noProof/>
          <w:szCs w:val="24"/>
        </w:rPr>
        <w:t xml:space="preserve">. </w:t>
      </w:r>
      <w:hyperlink r:id="rId452" w:history="1">
        <w:r w:rsidRPr="00E35037">
          <w:rPr>
            <w:rStyle w:val="Hyperlink"/>
            <w:rFonts w:ascii="Times New Roman" w:hAnsi="Times New Roman"/>
            <w:noProof/>
            <w:szCs w:val="24"/>
          </w:rPr>
          <w:t>https://doi.org/10.3389/fbioe.2019.00121</w:t>
        </w:r>
      </w:hyperlink>
    </w:p>
    <w:p w14:paraId="46DE967E" w14:textId="1FCF672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Mukunda, G., Oye, K. A., &amp; Mohr, S. C. (2009). What rough beast? Synthetic biology, uncertainty, and the future of biosecurity. </w:t>
      </w:r>
      <w:r w:rsidRPr="00310E7E">
        <w:rPr>
          <w:rFonts w:ascii="Times New Roman" w:hAnsi="Times New Roman"/>
          <w:i/>
          <w:iCs/>
          <w:noProof/>
          <w:szCs w:val="24"/>
        </w:rPr>
        <w:t>Politics and the Life Sciences</w:t>
      </w:r>
      <w:r w:rsidRPr="00310E7E">
        <w:rPr>
          <w:rFonts w:ascii="Times New Roman" w:hAnsi="Times New Roman"/>
          <w:noProof/>
          <w:szCs w:val="24"/>
        </w:rPr>
        <w:t xml:space="preserve">, </w:t>
      </w:r>
      <w:r w:rsidRPr="00310E7E">
        <w:rPr>
          <w:rFonts w:ascii="Times New Roman" w:hAnsi="Times New Roman"/>
          <w:i/>
          <w:iCs/>
          <w:noProof/>
          <w:szCs w:val="24"/>
        </w:rPr>
        <w:t>28</w:t>
      </w:r>
      <w:r w:rsidRPr="00310E7E">
        <w:rPr>
          <w:rFonts w:ascii="Times New Roman" w:hAnsi="Times New Roman"/>
          <w:noProof/>
          <w:szCs w:val="24"/>
        </w:rPr>
        <w:t xml:space="preserve">(2), 2–26. </w:t>
      </w:r>
      <w:hyperlink r:id="rId453" w:history="1">
        <w:r w:rsidRPr="00E35037">
          <w:rPr>
            <w:rStyle w:val="Hyperlink"/>
            <w:rFonts w:ascii="Times New Roman" w:hAnsi="Times New Roman"/>
            <w:noProof/>
            <w:szCs w:val="24"/>
          </w:rPr>
          <w:t>https://doi.org/10.2990/28_2_2</w:t>
        </w:r>
      </w:hyperlink>
    </w:p>
    <w:p w14:paraId="6440381D" w14:textId="2C40DA0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Naegeli, H., Bresson, J. L., Dalmay, T., Dewhurst, I. C., Epstein, M. M., Guerche, P., Hejatko, J., Moreno, F. J., Mullins, E., Nogué, F., Rostoks, N., Serrano, J. J. S., Savoini, G., Veromann, E., Veronesi, F., Bonsall, M. B., Mumford, J., Wimmer, E. A., Devos, Y., … Firbank, L. G. (2020). Adequacy and sufficiency evaluation of existing EFSA guidelines for the molecular characterisation, environmental risk assessment and post-market environmental monitoring of genetically modified insects containing engineered gene drives. </w:t>
      </w:r>
      <w:r w:rsidRPr="00310E7E">
        <w:rPr>
          <w:rFonts w:ascii="Times New Roman" w:hAnsi="Times New Roman"/>
          <w:i/>
          <w:iCs/>
          <w:noProof/>
          <w:szCs w:val="24"/>
        </w:rPr>
        <w:t>EFSA Journal</w:t>
      </w:r>
      <w:r w:rsidRPr="00310E7E">
        <w:rPr>
          <w:rFonts w:ascii="Times New Roman" w:hAnsi="Times New Roman"/>
          <w:noProof/>
          <w:szCs w:val="24"/>
        </w:rPr>
        <w:t xml:space="preserve">, </w:t>
      </w:r>
      <w:r w:rsidRPr="00310E7E">
        <w:rPr>
          <w:rFonts w:ascii="Times New Roman" w:hAnsi="Times New Roman"/>
          <w:i/>
          <w:iCs/>
          <w:noProof/>
          <w:szCs w:val="24"/>
        </w:rPr>
        <w:t>18</w:t>
      </w:r>
      <w:r w:rsidRPr="00310E7E">
        <w:rPr>
          <w:rFonts w:ascii="Times New Roman" w:hAnsi="Times New Roman"/>
          <w:noProof/>
          <w:szCs w:val="24"/>
        </w:rPr>
        <w:t xml:space="preserve">(11). </w:t>
      </w:r>
      <w:hyperlink r:id="rId454" w:history="1">
        <w:r w:rsidRPr="00E35037">
          <w:rPr>
            <w:rStyle w:val="Hyperlink"/>
            <w:rFonts w:ascii="Times New Roman" w:hAnsi="Times New Roman"/>
            <w:noProof/>
            <w:szCs w:val="24"/>
          </w:rPr>
          <w:t>https://doi.org/10.2903/j.efsa.2020.6297</w:t>
        </w:r>
      </w:hyperlink>
    </w:p>
    <w:p w14:paraId="0EB5904C" w14:textId="5CFF942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Narayanan, H., Dingfelder, F., Butté, A., Lorenzen, N., Sokolov, M., &amp; Arosio, P. (2021). Machine Learning for Biologics: Opportunities for Protein Engineering, Developability, and Formulation. In </w:t>
      </w:r>
      <w:r w:rsidRPr="00310E7E">
        <w:rPr>
          <w:rFonts w:ascii="Times New Roman" w:hAnsi="Times New Roman"/>
          <w:i/>
          <w:iCs/>
          <w:noProof/>
          <w:szCs w:val="24"/>
        </w:rPr>
        <w:t>Trends in Pharmacological Sciences</w:t>
      </w:r>
      <w:r w:rsidRPr="00310E7E">
        <w:rPr>
          <w:rFonts w:ascii="Times New Roman" w:hAnsi="Times New Roman"/>
          <w:noProof/>
          <w:szCs w:val="24"/>
        </w:rPr>
        <w:t xml:space="preserve"> (Vol. 42, Issue 3, pp. 151–165). Elsevier Ltd. </w:t>
      </w:r>
      <w:hyperlink r:id="rId455" w:history="1">
        <w:r w:rsidRPr="00E35037">
          <w:rPr>
            <w:rStyle w:val="Hyperlink"/>
            <w:rFonts w:ascii="Times New Roman" w:hAnsi="Times New Roman"/>
            <w:noProof/>
            <w:szCs w:val="24"/>
          </w:rPr>
          <w:t>https://doi.org/10.1016/j.tips.2020.12.004</w:t>
        </w:r>
      </w:hyperlink>
    </w:p>
    <w:p w14:paraId="666D6C54" w14:textId="0888114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National Academies of Sciences Engineering and Medicine. (2016). </w:t>
      </w:r>
      <w:r w:rsidRPr="00310E7E">
        <w:rPr>
          <w:rFonts w:ascii="Times New Roman" w:hAnsi="Times New Roman"/>
          <w:i/>
          <w:iCs/>
          <w:noProof/>
          <w:szCs w:val="24"/>
        </w:rPr>
        <w:t>Gene Drives on the Horizon: Advancing Science, Navigating Uncertainty, and Aligning Research with Public Values</w:t>
      </w:r>
      <w:r w:rsidRPr="00310E7E">
        <w:rPr>
          <w:rFonts w:ascii="Times New Roman" w:hAnsi="Times New Roman"/>
          <w:noProof/>
          <w:szCs w:val="24"/>
        </w:rPr>
        <w:t xml:space="preserve">. </w:t>
      </w:r>
      <w:hyperlink r:id="rId456" w:history="1">
        <w:r w:rsidRPr="00E35037">
          <w:rPr>
            <w:rStyle w:val="Hyperlink"/>
            <w:rFonts w:ascii="Times New Roman" w:hAnsi="Times New Roman"/>
            <w:noProof/>
            <w:szCs w:val="24"/>
          </w:rPr>
          <w:t>https://doi.org/10.17226/23405</w:t>
        </w:r>
      </w:hyperlink>
    </w:p>
    <w:p w14:paraId="34D95D39" w14:textId="19DA11A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National Academies of Sciences Engineering and Medicine. (2017). </w:t>
      </w:r>
      <w:r w:rsidRPr="00310E7E">
        <w:rPr>
          <w:rFonts w:ascii="Times New Roman" w:hAnsi="Times New Roman"/>
          <w:i/>
          <w:iCs/>
          <w:noProof/>
          <w:szCs w:val="24"/>
        </w:rPr>
        <w:t>Preparing for Future Products of Biotechnology</w:t>
      </w:r>
      <w:r w:rsidRPr="00310E7E">
        <w:rPr>
          <w:rFonts w:ascii="Times New Roman" w:hAnsi="Times New Roman"/>
          <w:noProof/>
          <w:szCs w:val="24"/>
        </w:rPr>
        <w:t xml:space="preserve">. National Academies Press. </w:t>
      </w:r>
      <w:hyperlink r:id="rId457" w:history="1">
        <w:r w:rsidRPr="00E35037">
          <w:rPr>
            <w:rStyle w:val="Hyperlink"/>
            <w:rFonts w:ascii="Times New Roman" w:hAnsi="Times New Roman"/>
            <w:noProof/>
            <w:szCs w:val="24"/>
          </w:rPr>
          <w:t>https://doi.org/10.17226/24605</w:t>
        </w:r>
      </w:hyperlink>
    </w:p>
    <w:p w14:paraId="11DA357E" w14:textId="64E2608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National Academies of Sciences Engineering and Medicine. (2018). </w:t>
      </w:r>
      <w:r w:rsidRPr="00310E7E">
        <w:rPr>
          <w:rFonts w:ascii="Times New Roman" w:hAnsi="Times New Roman"/>
          <w:i/>
          <w:iCs/>
          <w:noProof/>
          <w:szCs w:val="24"/>
        </w:rPr>
        <w:t>Biodefense in the Age of Synthetic Biology</w:t>
      </w:r>
      <w:r w:rsidRPr="00310E7E">
        <w:rPr>
          <w:rFonts w:ascii="Times New Roman" w:hAnsi="Times New Roman"/>
          <w:noProof/>
          <w:szCs w:val="24"/>
        </w:rPr>
        <w:t>. National Academies Press.</w:t>
      </w:r>
      <w:hyperlink r:id="rId458" w:history="1">
        <w:r w:rsidRPr="00E35037">
          <w:rPr>
            <w:rStyle w:val="Hyperlink"/>
            <w:rFonts w:ascii="Times New Roman" w:hAnsi="Times New Roman"/>
            <w:noProof/>
            <w:szCs w:val="24"/>
          </w:rPr>
          <w:t xml:space="preserve"> https://doi.org/10.17226/24890</w:t>
        </w:r>
      </w:hyperlink>
    </w:p>
    <w:p w14:paraId="7B42D7D2" w14:textId="64C0B78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National Biosafety Management Agency. (2019). </w:t>
      </w:r>
      <w:r w:rsidRPr="00310E7E">
        <w:rPr>
          <w:rFonts w:ascii="Times New Roman" w:hAnsi="Times New Roman"/>
          <w:i/>
          <w:iCs/>
          <w:noProof/>
          <w:szCs w:val="24"/>
        </w:rPr>
        <w:t>National Biosafety Management Agency (Amendment) Act, 2019</w:t>
      </w:r>
      <w:r w:rsidRPr="00310E7E">
        <w:rPr>
          <w:rFonts w:ascii="Times New Roman" w:hAnsi="Times New Roman"/>
          <w:noProof/>
          <w:szCs w:val="24"/>
        </w:rPr>
        <w:t>.</w:t>
      </w:r>
      <w:hyperlink r:id="rId459" w:history="1">
        <w:r w:rsidRPr="00E35037">
          <w:rPr>
            <w:rStyle w:val="Hyperlink"/>
            <w:rFonts w:ascii="Times New Roman" w:hAnsi="Times New Roman"/>
            <w:noProof/>
            <w:szCs w:val="24"/>
          </w:rPr>
          <w:t xml:space="preserve"> http://bch.cbd.int/database/record.shtml?documentid=115102</w:t>
        </w:r>
      </w:hyperlink>
    </w:p>
    <w:p w14:paraId="4E5E8435" w14:textId="0281955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Neel, J.-C., Siani-Rose, M., &amp; Agabi, O. (2017). </w:t>
      </w:r>
      <w:r w:rsidRPr="00310E7E">
        <w:rPr>
          <w:rFonts w:ascii="Times New Roman" w:hAnsi="Times New Roman"/>
          <w:i/>
          <w:iCs/>
          <w:noProof/>
          <w:szCs w:val="24"/>
        </w:rPr>
        <w:t>Systems for detection, WO2018081657A2</w:t>
      </w:r>
      <w:r w:rsidRPr="00310E7E">
        <w:rPr>
          <w:rFonts w:ascii="Times New Roman" w:hAnsi="Times New Roman"/>
          <w:noProof/>
          <w:szCs w:val="24"/>
        </w:rPr>
        <w:t xml:space="preserve"> (Vol. 00, Issue 12). </w:t>
      </w:r>
      <w:hyperlink r:id="rId460" w:history="1">
        <w:r w:rsidRPr="00E35037">
          <w:rPr>
            <w:rStyle w:val="Hyperlink"/>
            <w:rFonts w:ascii="Times New Roman" w:hAnsi="Times New Roman"/>
            <w:noProof/>
            <w:szCs w:val="24"/>
          </w:rPr>
          <w:t>https://patents.google.com/patent/WO2018081657A2</w:t>
        </w:r>
      </w:hyperlink>
    </w:p>
    <w:p w14:paraId="1B02B4E8" w14:textId="53933D1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Nett, R. S., Lau, W., &amp; Sattely, E. S. (2020). Discovery and engineering of colchicine alkaloid biosynthesis.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584</w:t>
      </w:r>
      <w:r w:rsidRPr="00310E7E">
        <w:rPr>
          <w:rFonts w:ascii="Times New Roman" w:hAnsi="Times New Roman"/>
          <w:noProof/>
          <w:szCs w:val="24"/>
        </w:rPr>
        <w:t xml:space="preserve">(7819), 148–153. </w:t>
      </w:r>
      <w:hyperlink r:id="rId461" w:history="1">
        <w:r w:rsidRPr="00E35037">
          <w:rPr>
            <w:rStyle w:val="Hyperlink"/>
            <w:rFonts w:ascii="Times New Roman" w:hAnsi="Times New Roman"/>
            <w:noProof/>
            <w:szCs w:val="24"/>
          </w:rPr>
          <w:t>https://doi.org/10.1038/s41586-020-2546-8</w:t>
        </w:r>
      </w:hyperlink>
    </w:p>
    <w:p w14:paraId="51E2DEFA" w14:textId="59664C1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Ni, J., Tao, F., Du, H., &amp; Xu, P. (2015). Mimicking a natural pathway for </w:t>
      </w:r>
      <w:r w:rsidRPr="00E35037">
        <w:rPr>
          <w:rFonts w:ascii="Times New Roman" w:hAnsi="Times New Roman"/>
          <w:i/>
          <w:iCs/>
          <w:noProof/>
          <w:szCs w:val="24"/>
        </w:rPr>
        <w:t>de novo</w:t>
      </w:r>
      <w:r w:rsidRPr="00310E7E">
        <w:rPr>
          <w:rFonts w:ascii="Times New Roman" w:hAnsi="Times New Roman"/>
          <w:noProof/>
          <w:szCs w:val="24"/>
        </w:rPr>
        <w:t xml:space="preserve"> biosynthesis: Natural vanillin production from accessible carbon sources. </w:t>
      </w:r>
      <w:r w:rsidRPr="00310E7E">
        <w:rPr>
          <w:rFonts w:ascii="Times New Roman" w:hAnsi="Times New Roman"/>
          <w:i/>
          <w:iCs/>
          <w:noProof/>
          <w:szCs w:val="24"/>
        </w:rPr>
        <w:t>Scientific Reports</w:t>
      </w:r>
      <w:r w:rsidRPr="00310E7E">
        <w:rPr>
          <w:rFonts w:ascii="Times New Roman" w:hAnsi="Times New Roman"/>
          <w:noProof/>
          <w:szCs w:val="24"/>
        </w:rPr>
        <w:t xml:space="preserve">, </w:t>
      </w:r>
      <w:r w:rsidRPr="00310E7E">
        <w:rPr>
          <w:rFonts w:ascii="Times New Roman" w:hAnsi="Times New Roman"/>
          <w:i/>
          <w:iCs/>
          <w:noProof/>
          <w:szCs w:val="24"/>
        </w:rPr>
        <w:t>5</w:t>
      </w:r>
      <w:r w:rsidRPr="00310E7E">
        <w:rPr>
          <w:rFonts w:ascii="Times New Roman" w:hAnsi="Times New Roman"/>
          <w:noProof/>
          <w:szCs w:val="24"/>
        </w:rPr>
        <w:t xml:space="preserve">(1), 13670. </w:t>
      </w:r>
      <w:hyperlink r:id="rId462" w:history="1">
        <w:r w:rsidRPr="00E35037">
          <w:rPr>
            <w:rStyle w:val="Hyperlink"/>
            <w:rFonts w:ascii="Times New Roman" w:hAnsi="Times New Roman"/>
            <w:noProof/>
            <w:szCs w:val="24"/>
          </w:rPr>
          <w:t>https://doi.org/10.1038/srep13670</w:t>
        </w:r>
      </w:hyperlink>
    </w:p>
    <w:p w14:paraId="07910D97" w14:textId="102C2AF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Nicolia, A., Ferradini, N., Molla, G., Biagetti, E., Pollegioni, L., Veronesi, F., &amp; Rosellini, D. (2014). Expression of an evolved engineered variant of a bacterial glycine oxidase leads to glyphosate resistance in alfalfa. </w:t>
      </w:r>
      <w:r w:rsidRPr="00310E7E">
        <w:rPr>
          <w:rFonts w:ascii="Times New Roman" w:hAnsi="Times New Roman"/>
          <w:i/>
          <w:iCs/>
          <w:noProof/>
          <w:szCs w:val="24"/>
        </w:rPr>
        <w:t>Journal of Biotechnology</w:t>
      </w:r>
      <w:r w:rsidRPr="00310E7E">
        <w:rPr>
          <w:rFonts w:ascii="Times New Roman" w:hAnsi="Times New Roman"/>
          <w:noProof/>
          <w:szCs w:val="24"/>
        </w:rPr>
        <w:t xml:space="preserve">, </w:t>
      </w:r>
      <w:r w:rsidRPr="00310E7E">
        <w:rPr>
          <w:rFonts w:ascii="Times New Roman" w:hAnsi="Times New Roman"/>
          <w:i/>
          <w:iCs/>
          <w:noProof/>
          <w:szCs w:val="24"/>
        </w:rPr>
        <w:t>184</w:t>
      </w:r>
      <w:r w:rsidRPr="00310E7E">
        <w:rPr>
          <w:rFonts w:ascii="Times New Roman" w:hAnsi="Times New Roman"/>
          <w:noProof/>
          <w:szCs w:val="24"/>
        </w:rPr>
        <w:t xml:space="preserve">, 201–208. </w:t>
      </w:r>
      <w:hyperlink r:id="rId463" w:history="1">
        <w:r w:rsidRPr="00431185">
          <w:rPr>
            <w:rStyle w:val="Hyperlink"/>
            <w:rFonts w:ascii="Times New Roman" w:hAnsi="Times New Roman"/>
            <w:noProof/>
            <w:szCs w:val="24"/>
          </w:rPr>
          <w:t>https://doi.org/10.1016/j.jbiotec.2014.05.020</w:t>
        </w:r>
      </w:hyperlink>
    </w:p>
    <w:p w14:paraId="62C31B7E" w14:textId="01CA5AC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Niederholtmeyer, H., Sun, Z. Z., Hori, Y., Yeung, E., Verpoorte, A., Murray, R. M., &amp; Maerkl, S. J. (2015). Rapid cell-free forward engineering of novel genetic ring oscillators. </w:t>
      </w:r>
      <w:r w:rsidRPr="00310E7E">
        <w:rPr>
          <w:rFonts w:ascii="Times New Roman" w:hAnsi="Times New Roman"/>
          <w:i/>
          <w:iCs/>
          <w:noProof/>
          <w:szCs w:val="24"/>
        </w:rPr>
        <w:t>ELife</w:t>
      </w:r>
      <w:r w:rsidRPr="00310E7E">
        <w:rPr>
          <w:rFonts w:ascii="Times New Roman" w:hAnsi="Times New Roman"/>
          <w:noProof/>
          <w:szCs w:val="24"/>
        </w:rPr>
        <w:t xml:space="preserve">, </w:t>
      </w:r>
      <w:r w:rsidRPr="00310E7E">
        <w:rPr>
          <w:rFonts w:ascii="Times New Roman" w:hAnsi="Times New Roman"/>
          <w:i/>
          <w:iCs/>
          <w:noProof/>
          <w:szCs w:val="24"/>
        </w:rPr>
        <w:t>4</w:t>
      </w:r>
      <w:r w:rsidRPr="00310E7E">
        <w:rPr>
          <w:rFonts w:ascii="Times New Roman" w:hAnsi="Times New Roman"/>
          <w:noProof/>
          <w:szCs w:val="24"/>
        </w:rPr>
        <w:t xml:space="preserve">. </w:t>
      </w:r>
      <w:hyperlink r:id="rId464" w:history="1">
        <w:r w:rsidRPr="00431185">
          <w:rPr>
            <w:rStyle w:val="Hyperlink"/>
            <w:rFonts w:ascii="Times New Roman" w:hAnsi="Times New Roman"/>
            <w:noProof/>
            <w:szCs w:val="24"/>
          </w:rPr>
          <w:t>https://doi.org/10.7554/eLife.09771</w:t>
        </w:r>
      </w:hyperlink>
    </w:p>
    <w:p w14:paraId="72028F1B" w14:textId="36F4EEC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Nobel Media AB. (2021). </w:t>
      </w:r>
      <w:r w:rsidRPr="00310E7E">
        <w:rPr>
          <w:rFonts w:ascii="Times New Roman" w:hAnsi="Times New Roman"/>
          <w:i/>
          <w:iCs/>
          <w:noProof/>
          <w:szCs w:val="24"/>
        </w:rPr>
        <w:t>The Nobel Prize in Physiology or Medicine 2006 - NobelPrize.org</w:t>
      </w:r>
      <w:r w:rsidRPr="00310E7E">
        <w:rPr>
          <w:rFonts w:ascii="Times New Roman" w:hAnsi="Times New Roman"/>
          <w:noProof/>
          <w:szCs w:val="24"/>
        </w:rPr>
        <w:t>. NobelPrize.org.</w:t>
      </w:r>
      <w:hyperlink r:id="rId465" w:history="1">
        <w:r w:rsidRPr="00431185">
          <w:rPr>
            <w:rStyle w:val="Hyperlink"/>
            <w:rFonts w:ascii="Times New Roman" w:hAnsi="Times New Roman"/>
            <w:noProof/>
            <w:szCs w:val="24"/>
          </w:rPr>
          <w:t xml:space="preserve"> https://www.nobelprize.org/prizes/medicine/2006/summary/</w:t>
        </w:r>
      </w:hyperlink>
    </w:p>
    <w:p w14:paraId="6738F2F2" w14:textId="0BFCBB7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Noble, C., Adlam, B., Church, G. M., Esvelt, K. M., &amp; Nowak, M. A. (2018). Current CRISPR gene drive systems are likely to be highly invasive in wild populations. </w:t>
      </w:r>
      <w:r w:rsidRPr="00310E7E">
        <w:rPr>
          <w:rFonts w:ascii="Times New Roman" w:hAnsi="Times New Roman"/>
          <w:i/>
          <w:iCs/>
          <w:noProof/>
          <w:szCs w:val="24"/>
        </w:rPr>
        <w:t>ELife</w:t>
      </w:r>
      <w:r w:rsidRPr="00310E7E">
        <w:rPr>
          <w:rFonts w:ascii="Times New Roman" w:hAnsi="Times New Roman"/>
          <w:noProof/>
          <w:szCs w:val="24"/>
        </w:rPr>
        <w:t xml:space="preserve">, </w:t>
      </w:r>
      <w:r w:rsidRPr="00310E7E">
        <w:rPr>
          <w:rFonts w:ascii="Times New Roman" w:hAnsi="Times New Roman"/>
          <w:i/>
          <w:iCs/>
          <w:noProof/>
          <w:szCs w:val="24"/>
        </w:rPr>
        <w:t>7</w:t>
      </w:r>
      <w:r w:rsidRPr="00310E7E">
        <w:rPr>
          <w:rFonts w:ascii="Times New Roman" w:hAnsi="Times New Roman"/>
          <w:noProof/>
          <w:szCs w:val="24"/>
        </w:rPr>
        <w:t xml:space="preserve">. </w:t>
      </w:r>
      <w:hyperlink r:id="rId466" w:history="1">
        <w:r w:rsidRPr="00431185">
          <w:rPr>
            <w:rStyle w:val="Hyperlink"/>
            <w:rFonts w:ascii="Times New Roman" w:hAnsi="Times New Roman"/>
            <w:noProof/>
            <w:szCs w:val="24"/>
          </w:rPr>
          <w:t>https://doi.org/10.7554/eLife.33423</w:t>
        </w:r>
      </w:hyperlink>
    </w:p>
    <w:p w14:paraId="0ECD1CBD" w14:textId="215127E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Noble, C., Min, J., Olejarz, J., Buchthal, J., Chavez, A., Smidler, A. L., DeBenedictis, E. A., Church, G. M., Nowak, M. A., &amp; Esvelt, K. M. (2019). Daisy-chain gene drives for the alteration of local populations. </w:t>
      </w:r>
      <w:r w:rsidRPr="00310E7E">
        <w:rPr>
          <w:rFonts w:ascii="Times New Roman" w:hAnsi="Times New Roman"/>
          <w:i/>
          <w:iCs/>
          <w:noProof/>
          <w:szCs w:val="24"/>
        </w:rPr>
        <w:t>Proceedings of the National Academy of Sciences</w:t>
      </w:r>
      <w:r w:rsidRPr="00310E7E">
        <w:rPr>
          <w:rFonts w:ascii="Times New Roman" w:hAnsi="Times New Roman"/>
          <w:noProof/>
          <w:szCs w:val="24"/>
        </w:rPr>
        <w:t xml:space="preserve">, </w:t>
      </w:r>
      <w:r w:rsidRPr="00310E7E">
        <w:rPr>
          <w:rFonts w:ascii="Times New Roman" w:hAnsi="Times New Roman"/>
          <w:i/>
          <w:iCs/>
          <w:noProof/>
          <w:szCs w:val="24"/>
        </w:rPr>
        <w:t>116</w:t>
      </w:r>
      <w:r w:rsidRPr="00310E7E">
        <w:rPr>
          <w:rFonts w:ascii="Times New Roman" w:hAnsi="Times New Roman"/>
          <w:noProof/>
          <w:szCs w:val="24"/>
        </w:rPr>
        <w:t xml:space="preserve">(17), 8275–8282. </w:t>
      </w:r>
      <w:hyperlink r:id="rId467" w:history="1">
        <w:r w:rsidRPr="00431185">
          <w:rPr>
            <w:rStyle w:val="Hyperlink"/>
            <w:rFonts w:ascii="Times New Roman" w:hAnsi="Times New Roman"/>
            <w:noProof/>
            <w:szCs w:val="24"/>
          </w:rPr>
          <w:t>https://doi.org/10.1073/pnas.1716358116</w:t>
        </w:r>
      </w:hyperlink>
    </w:p>
    <w:p w14:paraId="6DD42492" w14:textId="7D00153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Norton, B. (2010). </w:t>
      </w:r>
      <w:r w:rsidRPr="00310E7E">
        <w:rPr>
          <w:rFonts w:ascii="Times New Roman" w:hAnsi="Times New Roman"/>
          <w:i/>
          <w:iCs/>
          <w:noProof/>
          <w:szCs w:val="24"/>
        </w:rPr>
        <w:t>Transcript from Meeting 2, Session 5 of the US Presidential Commission on Bioethics</w:t>
      </w:r>
      <w:r w:rsidRPr="00310E7E">
        <w:rPr>
          <w:rFonts w:ascii="Times New Roman" w:hAnsi="Times New Roman"/>
          <w:noProof/>
          <w:szCs w:val="24"/>
        </w:rPr>
        <w:t xml:space="preserve">. </w:t>
      </w:r>
      <w:hyperlink r:id="rId468" w:history="1">
        <w:r w:rsidRPr="00431185">
          <w:rPr>
            <w:rStyle w:val="Hyperlink"/>
            <w:rFonts w:ascii="Times New Roman" w:hAnsi="Times New Roman"/>
            <w:noProof/>
            <w:szCs w:val="24"/>
          </w:rPr>
          <w:t>http://bioethics.gov/cms/node/175</w:t>
        </w:r>
      </w:hyperlink>
    </w:p>
    <w:p w14:paraId="7E8BF1CB" w14:textId="7EE6626C" w:rsidR="00310E7E" w:rsidRPr="00F8168D"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fr-CA"/>
        </w:rPr>
      </w:pPr>
      <w:r w:rsidRPr="00F8168D">
        <w:rPr>
          <w:rFonts w:ascii="Times New Roman" w:hAnsi="Times New Roman"/>
          <w:noProof/>
          <w:szCs w:val="24"/>
          <w:lang w:val="fr-CA"/>
        </w:rPr>
        <w:t xml:space="preserve">Novak, B. (2018). De-Extinction. </w:t>
      </w:r>
      <w:r w:rsidRPr="00F8168D">
        <w:rPr>
          <w:rFonts w:ascii="Times New Roman" w:hAnsi="Times New Roman"/>
          <w:i/>
          <w:iCs/>
          <w:noProof/>
          <w:szCs w:val="24"/>
          <w:lang w:val="fr-CA"/>
        </w:rPr>
        <w:t>Genes</w:t>
      </w:r>
      <w:r w:rsidRPr="00F8168D">
        <w:rPr>
          <w:rFonts w:ascii="Times New Roman" w:hAnsi="Times New Roman"/>
          <w:noProof/>
          <w:szCs w:val="24"/>
          <w:lang w:val="fr-CA"/>
        </w:rPr>
        <w:t xml:space="preserve">, </w:t>
      </w:r>
      <w:r w:rsidRPr="00F8168D">
        <w:rPr>
          <w:rFonts w:ascii="Times New Roman" w:hAnsi="Times New Roman"/>
          <w:i/>
          <w:iCs/>
          <w:noProof/>
          <w:szCs w:val="24"/>
          <w:lang w:val="fr-CA"/>
        </w:rPr>
        <w:t>9</w:t>
      </w:r>
      <w:r w:rsidRPr="00F8168D">
        <w:rPr>
          <w:rFonts w:ascii="Times New Roman" w:hAnsi="Times New Roman"/>
          <w:noProof/>
          <w:szCs w:val="24"/>
          <w:lang w:val="fr-CA"/>
        </w:rPr>
        <w:t xml:space="preserve">(11), 548. </w:t>
      </w:r>
      <w:hyperlink r:id="rId469" w:history="1">
        <w:r w:rsidRPr="00F8168D">
          <w:rPr>
            <w:rStyle w:val="Hyperlink"/>
            <w:rFonts w:ascii="Times New Roman" w:hAnsi="Times New Roman"/>
            <w:noProof/>
            <w:szCs w:val="24"/>
            <w:lang w:val="fr-CA"/>
          </w:rPr>
          <w:t>https://doi.org/10.3390/genes9110548</w:t>
        </w:r>
      </w:hyperlink>
    </w:p>
    <w:p w14:paraId="59C7E338" w14:textId="3276CE0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Novak, B. J., Fraser, D., &amp; Maloney, T. H. (2020). Transforming ocean conservation: Applying the genetic rescue toolkit. In </w:t>
      </w:r>
      <w:r w:rsidRPr="00310E7E">
        <w:rPr>
          <w:rFonts w:ascii="Times New Roman" w:hAnsi="Times New Roman"/>
          <w:i/>
          <w:iCs/>
          <w:noProof/>
          <w:szCs w:val="24"/>
        </w:rPr>
        <w:t>Genes</w:t>
      </w:r>
      <w:r w:rsidRPr="00310E7E">
        <w:rPr>
          <w:rFonts w:ascii="Times New Roman" w:hAnsi="Times New Roman"/>
          <w:noProof/>
          <w:szCs w:val="24"/>
        </w:rPr>
        <w:t xml:space="preserve"> (Vol. 11, Issue 2). MDPI AG. </w:t>
      </w:r>
      <w:hyperlink r:id="rId470" w:history="1">
        <w:r w:rsidRPr="00431185">
          <w:rPr>
            <w:rStyle w:val="Hyperlink"/>
            <w:rFonts w:ascii="Times New Roman" w:hAnsi="Times New Roman"/>
            <w:noProof/>
            <w:szCs w:val="24"/>
          </w:rPr>
          <w:t>https://doi.org/10.3390/genes11020209</w:t>
        </w:r>
      </w:hyperlink>
    </w:p>
    <w:p w14:paraId="6464B987" w14:textId="2E74C99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Novak, B. J., Maloney, T., &amp; Phelan, R. (2018). Advancing a New Toolkit for Conservation: From Science to Policy. </w:t>
      </w:r>
      <w:r w:rsidRPr="00310E7E">
        <w:rPr>
          <w:rFonts w:ascii="Times New Roman" w:hAnsi="Times New Roman"/>
          <w:i/>
          <w:iCs/>
          <w:noProof/>
          <w:szCs w:val="24"/>
        </w:rPr>
        <w:t>The CRISPR Journal</w:t>
      </w:r>
      <w:r w:rsidRPr="00310E7E">
        <w:rPr>
          <w:rFonts w:ascii="Times New Roman" w:hAnsi="Times New Roman"/>
          <w:noProof/>
          <w:szCs w:val="24"/>
        </w:rPr>
        <w:t xml:space="preserve">, </w:t>
      </w:r>
      <w:r w:rsidRPr="00310E7E">
        <w:rPr>
          <w:rFonts w:ascii="Times New Roman" w:hAnsi="Times New Roman"/>
          <w:i/>
          <w:iCs/>
          <w:noProof/>
          <w:szCs w:val="24"/>
        </w:rPr>
        <w:t>1</w:t>
      </w:r>
      <w:r w:rsidRPr="00310E7E">
        <w:rPr>
          <w:rFonts w:ascii="Times New Roman" w:hAnsi="Times New Roman"/>
          <w:noProof/>
          <w:szCs w:val="24"/>
        </w:rPr>
        <w:t xml:space="preserve">(1), 11–15. </w:t>
      </w:r>
      <w:hyperlink r:id="rId471" w:history="1">
        <w:r w:rsidRPr="007A476A">
          <w:rPr>
            <w:rStyle w:val="Hyperlink"/>
            <w:rFonts w:ascii="Times New Roman" w:hAnsi="Times New Roman"/>
            <w:noProof/>
            <w:szCs w:val="24"/>
          </w:rPr>
          <w:t>https://doi.org/10.1089/crispr.2017.0019</w:t>
        </w:r>
      </w:hyperlink>
    </w:p>
    <w:p w14:paraId="072E5640" w14:textId="4067631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Noyce, R. S., Lederman, S., &amp; Evans, D. H. (2018). Construction of an infectious horsepox virus vaccine from chemically synthesized DNA fragments. </w:t>
      </w:r>
      <w:r w:rsidRPr="00310E7E">
        <w:rPr>
          <w:rFonts w:ascii="Times New Roman" w:hAnsi="Times New Roman"/>
          <w:i/>
          <w:iCs/>
          <w:noProof/>
          <w:szCs w:val="24"/>
        </w:rPr>
        <w:t>PLOS ONE</w:t>
      </w:r>
      <w:r w:rsidRPr="00310E7E">
        <w:rPr>
          <w:rFonts w:ascii="Times New Roman" w:hAnsi="Times New Roman"/>
          <w:noProof/>
          <w:szCs w:val="24"/>
        </w:rPr>
        <w:t xml:space="preserve">, </w:t>
      </w:r>
      <w:r w:rsidRPr="00310E7E">
        <w:rPr>
          <w:rFonts w:ascii="Times New Roman" w:hAnsi="Times New Roman"/>
          <w:i/>
          <w:iCs/>
          <w:noProof/>
          <w:szCs w:val="24"/>
        </w:rPr>
        <w:t>13</w:t>
      </w:r>
      <w:r w:rsidRPr="00310E7E">
        <w:rPr>
          <w:rFonts w:ascii="Times New Roman" w:hAnsi="Times New Roman"/>
          <w:noProof/>
          <w:szCs w:val="24"/>
        </w:rPr>
        <w:t xml:space="preserve">(1), e0188453. </w:t>
      </w:r>
      <w:hyperlink r:id="rId472" w:history="1">
        <w:r w:rsidRPr="007A476A">
          <w:rPr>
            <w:rStyle w:val="Hyperlink"/>
            <w:rFonts w:ascii="Times New Roman" w:hAnsi="Times New Roman"/>
            <w:noProof/>
            <w:szCs w:val="24"/>
          </w:rPr>
          <w:t>https://doi.org/10.1371/journal.pone.0188453</w:t>
        </w:r>
      </w:hyperlink>
    </w:p>
    <w:p w14:paraId="17AF7F70" w14:textId="6B46A2C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Nuffield Council on Bioethics. (2012). </w:t>
      </w:r>
      <w:r w:rsidRPr="00310E7E">
        <w:rPr>
          <w:rFonts w:ascii="Times New Roman" w:hAnsi="Times New Roman"/>
          <w:i/>
          <w:iCs/>
          <w:noProof/>
          <w:szCs w:val="24"/>
        </w:rPr>
        <w:t>Emerging biotechnologies: technology, choice and the public good</w:t>
      </w:r>
      <w:r w:rsidRPr="00310E7E">
        <w:rPr>
          <w:rFonts w:ascii="Times New Roman" w:hAnsi="Times New Roman"/>
          <w:noProof/>
          <w:szCs w:val="24"/>
        </w:rPr>
        <w:t xml:space="preserve">. </w:t>
      </w:r>
      <w:hyperlink r:id="rId473" w:history="1">
        <w:r w:rsidRPr="007A476A">
          <w:rPr>
            <w:rStyle w:val="Hyperlink"/>
            <w:rFonts w:ascii="Times New Roman" w:hAnsi="Times New Roman"/>
            <w:noProof/>
            <w:szCs w:val="24"/>
          </w:rPr>
          <w:t>https://www.nuffieldbioethics.org/publications/emerging-biotechnologies</w:t>
        </w:r>
      </w:hyperlink>
    </w:p>
    <w:p w14:paraId="42B8A947" w14:textId="65758C5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Nuffield Council on Bioethics. (2016). </w:t>
      </w:r>
      <w:r w:rsidRPr="00310E7E">
        <w:rPr>
          <w:rFonts w:ascii="Times New Roman" w:hAnsi="Times New Roman"/>
          <w:i/>
          <w:iCs/>
          <w:noProof/>
          <w:szCs w:val="24"/>
        </w:rPr>
        <w:t>Genome editing</w:t>
      </w:r>
      <w:r w:rsidRPr="00310E7E">
        <w:rPr>
          <w:rFonts w:ascii="Times New Roman" w:hAnsi="Times New Roman"/>
          <w:noProof/>
          <w:szCs w:val="24"/>
        </w:rPr>
        <w:t xml:space="preserve">. </w:t>
      </w:r>
      <w:hyperlink r:id="rId474" w:history="1">
        <w:r w:rsidRPr="007A476A">
          <w:rPr>
            <w:rStyle w:val="Hyperlink"/>
            <w:rFonts w:ascii="Times New Roman" w:hAnsi="Times New Roman"/>
            <w:noProof/>
            <w:szCs w:val="24"/>
          </w:rPr>
          <w:t>https://www.nuffieldbioethics.org/wp-content/uploads/Genome-editing-an-ethical-review.pdf</w:t>
        </w:r>
      </w:hyperlink>
    </w:p>
    <w:p w14:paraId="4142EE79" w14:textId="4E61EDE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O’Malley, M., Powell, A., Davies, J. F., &amp; Calvert, J. (2008). Knowledge-making distinctions in synthetic biology. </w:t>
      </w:r>
      <w:r w:rsidRPr="00310E7E">
        <w:rPr>
          <w:rFonts w:ascii="Times New Roman" w:hAnsi="Times New Roman"/>
          <w:i/>
          <w:iCs/>
          <w:noProof/>
          <w:szCs w:val="24"/>
        </w:rPr>
        <w:t>BioEssays</w:t>
      </w:r>
      <w:r w:rsidRPr="00310E7E">
        <w:rPr>
          <w:rFonts w:ascii="Times New Roman" w:hAnsi="Times New Roman"/>
          <w:noProof/>
          <w:szCs w:val="24"/>
        </w:rPr>
        <w:t xml:space="preserve">, </w:t>
      </w:r>
      <w:r w:rsidRPr="00310E7E">
        <w:rPr>
          <w:rFonts w:ascii="Times New Roman" w:hAnsi="Times New Roman"/>
          <w:i/>
          <w:iCs/>
          <w:noProof/>
          <w:szCs w:val="24"/>
        </w:rPr>
        <w:t>30</w:t>
      </w:r>
      <w:r w:rsidRPr="00310E7E">
        <w:rPr>
          <w:rFonts w:ascii="Times New Roman" w:hAnsi="Times New Roman"/>
          <w:noProof/>
          <w:szCs w:val="24"/>
        </w:rPr>
        <w:t>(1), 57–65.</w:t>
      </w:r>
      <w:hyperlink r:id="rId475" w:history="1">
        <w:r w:rsidRPr="007A476A">
          <w:rPr>
            <w:rStyle w:val="Hyperlink"/>
            <w:rFonts w:ascii="Times New Roman" w:hAnsi="Times New Roman"/>
            <w:noProof/>
            <w:szCs w:val="24"/>
          </w:rPr>
          <w:t xml:space="preserve"> https://doi.org/10.1002/bies.20664</w:t>
        </w:r>
      </w:hyperlink>
    </w:p>
    <w:p w14:paraId="3FC35E17" w14:textId="557EBAB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Oakley, S. D. (2012). </w:t>
      </w:r>
      <w:r w:rsidRPr="00310E7E">
        <w:rPr>
          <w:rFonts w:ascii="Times New Roman" w:hAnsi="Times New Roman"/>
          <w:i/>
          <w:iCs/>
          <w:noProof/>
          <w:szCs w:val="24"/>
        </w:rPr>
        <w:t>Carbon capture in fermentation, US8263372B2</w:t>
      </w:r>
      <w:r w:rsidRPr="00310E7E">
        <w:rPr>
          <w:rFonts w:ascii="Times New Roman" w:hAnsi="Times New Roman"/>
          <w:noProof/>
          <w:szCs w:val="24"/>
        </w:rPr>
        <w:t xml:space="preserve"> (Vol. 2, Issue 12). </w:t>
      </w:r>
      <w:hyperlink r:id="rId476" w:history="1">
        <w:r w:rsidRPr="007A476A">
          <w:rPr>
            <w:rStyle w:val="Hyperlink"/>
            <w:rFonts w:ascii="Times New Roman" w:hAnsi="Times New Roman"/>
            <w:noProof/>
            <w:szCs w:val="24"/>
          </w:rPr>
          <w:t>https://patents.google.com/patent/US8263372B2/</w:t>
        </w:r>
      </w:hyperlink>
    </w:p>
    <w:p w14:paraId="44FD72CB" w14:textId="1E27F43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Obukosia, S., Akinbo, O., Sinebo, W., Savadogo, M., Timpo, S., Adeyemo, M., Akile, S., Kebere, J., Ouedraogo, J., Ambali, A., &amp; Makinde, D. (2020). Update of Regulatory Options of New Breeding Techniques and Biosafety Approaches among Selected Countries: A Review. </w:t>
      </w:r>
      <w:r w:rsidRPr="00310E7E">
        <w:rPr>
          <w:rFonts w:ascii="Times New Roman" w:hAnsi="Times New Roman"/>
          <w:i/>
          <w:iCs/>
          <w:noProof/>
          <w:szCs w:val="24"/>
        </w:rPr>
        <w:t>Asian Journal of Biotechnology and Bioresource Technology</w:t>
      </w:r>
      <w:r w:rsidRPr="00310E7E">
        <w:rPr>
          <w:rFonts w:ascii="Times New Roman" w:hAnsi="Times New Roman"/>
          <w:noProof/>
          <w:szCs w:val="24"/>
        </w:rPr>
        <w:t xml:space="preserve">, </w:t>
      </w:r>
      <w:r w:rsidRPr="00310E7E">
        <w:rPr>
          <w:rFonts w:ascii="Times New Roman" w:hAnsi="Times New Roman"/>
          <w:i/>
          <w:iCs/>
          <w:noProof/>
          <w:szCs w:val="24"/>
        </w:rPr>
        <w:t>6</w:t>
      </w:r>
      <w:r w:rsidRPr="00310E7E">
        <w:rPr>
          <w:rFonts w:ascii="Times New Roman" w:hAnsi="Times New Roman"/>
          <w:noProof/>
          <w:szCs w:val="24"/>
        </w:rPr>
        <w:t xml:space="preserve">(3), 18–35. </w:t>
      </w:r>
      <w:hyperlink r:id="rId477" w:history="1">
        <w:r w:rsidRPr="007A476A">
          <w:rPr>
            <w:rStyle w:val="Hyperlink"/>
            <w:rFonts w:ascii="Times New Roman" w:hAnsi="Times New Roman"/>
            <w:noProof/>
            <w:szCs w:val="24"/>
          </w:rPr>
          <w:t>https://doi.org/10.9734/ajb2t/2020/v6i330083</w:t>
        </w:r>
      </w:hyperlink>
    </w:p>
    <w:p w14:paraId="4A29B8CD" w14:textId="28290E8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Office of the Gene Technology Regulator. (2013). </w:t>
      </w:r>
      <w:r w:rsidRPr="00310E7E">
        <w:rPr>
          <w:rFonts w:ascii="Times New Roman" w:hAnsi="Times New Roman"/>
          <w:i/>
          <w:iCs/>
          <w:noProof/>
          <w:szCs w:val="24"/>
        </w:rPr>
        <w:t>Risk Analysis Framework 2013</w:t>
      </w:r>
      <w:r w:rsidRPr="00310E7E">
        <w:rPr>
          <w:rFonts w:ascii="Times New Roman" w:hAnsi="Times New Roman"/>
          <w:noProof/>
          <w:szCs w:val="24"/>
        </w:rPr>
        <w:t xml:space="preserve">. </w:t>
      </w:r>
      <w:hyperlink r:id="rId478" w:history="1">
        <w:r w:rsidRPr="007A476A">
          <w:rPr>
            <w:rStyle w:val="Hyperlink"/>
            <w:rFonts w:ascii="Times New Roman" w:hAnsi="Times New Roman"/>
            <w:noProof/>
            <w:szCs w:val="24"/>
          </w:rPr>
          <w:t>www.ogtr.gov.au</w:t>
        </w:r>
      </w:hyperlink>
    </w:p>
    <w:p w14:paraId="3DA36F42"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Oldham, P. (2004). </w:t>
      </w:r>
      <w:r w:rsidRPr="00310E7E">
        <w:rPr>
          <w:rFonts w:ascii="Times New Roman" w:hAnsi="Times New Roman"/>
          <w:i/>
          <w:iCs/>
          <w:noProof/>
          <w:szCs w:val="24"/>
        </w:rPr>
        <w:t>Global Status and Trends in Intellectual Property Claims: Genomics, Proteomics and Biotechnology</w:t>
      </w:r>
      <w:r w:rsidRPr="00310E7E">
        <w:rPr>
          <w:rFonts w:ascii="Times New Roman" w:hAnsi="Times New Roman"/>
          <w:noProof/>
          <w:szCs w:val="24"/>
        </w:rPr>
        <w:t>. EC UNEP/CBD/WG-ABS/3/INF/4</w:t>
      </w:r>
    </w:p>
    <w:p w14:paraId="41F00833" w14:textId="5F2E28A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Oldham, P., Hall, S., &amp; Burton, G. (2012). Synthetic Biology: Mapping the Scientific Landscape. </w:t>
      </w:r>
      <w:r w:rsidRPr="00310E7E">
        <w:rPr>
          <w:rFonts w:ascii="Times New Roman" w:hAnsi="Times New Roman"/>
          <w:i/>
          <w:iCs/>
          <w:noProof/>
          <w:szCs w:val="24"/>
        </w:rPr>
        <w:t>PLoS ONE</w:t>
      </w:r>
      <w:r w:rsidRPr="00310E7E">
        <w:rPr>
          <w:rFonts w:ascii="Times New Roman" w:hAnsi="Times New Roman"/>
          <w:noProof/>
          <w:szCs w:val="24"/>
        </w:rPr>
        <w:t xml:space="preserve">, </w:t>
      </w:r>
      <w:r w:rsidRPr="00310E7E">
        <w:rPr>
          <w:rFonts w:ascii="Times New Roman" w:hAnsi="Times New Roman"/>
          <w:i/>
          <w:iCs/>
          <w:noProof/>
          <w:szCs w:val="24"/>
        </w:rPr>
        <w:t>7</w:t>
      </w:r>
      <w:r w:rsidRPr="00310E7E">
        <w:rPr>
          <w:rFonts w:ascii="Times New Roman" w:hAnsi="Times New Roman"/>
          <w:noProof/>
          <w:szCs w:val="24"/>
        </w:rPr>
        <w:t xml:space="preserve">(4), e34368. </w:t>
      </w:r>
      <w:hyperlink r:id="rId479" w:history="1">
        <w:r w:rsidRPr="007A476A">
          <w:rPr>
            <w:rStyle w:val="Hyperlink"/>
            <w:rFonts w:ascii="Times New Roman" w:hAnsi="Times New Roman"/>
            <w:noProof/>
            <w:szCs w:val="24"/>
          </w:rPr>
          <w:t>https://doi.org/10.1371/journal.pone.0034368</w:t>
        </w:r>
      </w:hyperlink>
    </w:p>
    <w:p w14:paraId="30776279" w14:textId="4C81669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Oppen, M. J. H., Gates, R. D., Blackall, L. L., Cantin, N., Chakravarti, L. J., Chan, W. Y., Cormick, C., Crean, A., Damjanovic, K., Epstein, H., Harrison, P. L., Jones, T. A., Miller, M., Pears, R. J., Peplow, L. M., Raftos, D. A., Schaffelke, B., Stewart, K., Torda, G., … Putnam, H. M. (2017). Shifting paradigms in restoration of the world’s coral reefs. </w:t>
      </w:r>
      <w:r w:rsidRPr="00310E7E">
        <w:rPr>
          <w:rFonts w:ascii="Times New Roman" w:hAnsi="Times New Roman"/>
          <w:i/>
          <w:iCs/>
          <w:noProof/>
          <w:szCs w:val="24"/>
        </w:rPr>
        <w:t>Global Change Biology</w:t>
      </w:r>
      <w:r w:rsidRPr="00310E7E">
        <w:rPr>
          <w:rFonts w:ascii="Times New Roman" w:hAnsi="Times New Roman"/>
          <w:noProof/>
          <w:szCs w:val="24"/>
        </w:rPr>
        <w:t xml:space="preserve">, </w:t>
      </w:r>
      <w:r w:rsidRPr="00310E7E">
        <w:rPr>
          <w:rFonts w:ascii="Times New Roman" w:hAnsi="Times New Roman"/>
          <w:i/>
          <w:iCs/>
          <w:noProof/>
          <w:szCs w:val="24"/>
        </w:rPr>
        <w:t>23</w:t>
      </w:r>
      <w:r w:rsidRPr="00310E7E">
        <w:rPr>
          <w:rFonts w:ascii="Times New Roman" w:hAnsi="Times New Roman"/>
          <w:noProof/>
          <w:szCs w:val="24"/>
        </w:rPr>
        <w:t xml:space="preserve">(9), 3437–3448. </w:t>
      </w:r>
      <w:hyperlink r:id="rId480" w:history="1">
        <w:r w:rsidRPr="007A476A">
          <w:rPr>
            <w:rStyle w:val="Hyperlink"/>
            <w:rFonts w:ascii="Times New Roman" w:hAnsi="Times New Roman"/>
            <w:noProof/>
            <w:szCs w:val="24"/>
          </w:rPr>
          <w:t>https://doi.org/10.1111/gcb.13647</w:t>
        </w:r>
      </w:hyperlink>
    </w:p>
    <w:p w14:paraId="6F097C8B" w14:textId="3E6325E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Organick, L., Ang, S. D., Chen, Y.-J., Lopez, R., Yekhanin, S., Makarychev, K., Racz, M. Z., Kamath, G., Gopalan, P., Nguyen, B., Takahashi, C. N., Newman, S., Parker, H.-Y., Rashtchian, C., Stewart, K., Gupta, G., Carlson, R., Mulligan, J., Carmean, D., … Strauss, K. (2018). Random access in large-scale DNA data storage.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36</w:t>
      </w:r>
      <w:r w:rsidRPr="00310E7E">
        <w:rPr>
          <w:rFonts w:ascii="Times New Roman" w:hAnsi="Times New Roman"/>
          <w:noProof/>
          <w:szCs w:val="24"/>
        </w:rPr>
        <w:t xml:space="preserve">(3), 242–248. </w:t>
      </w:r>
      <w:hyperlink r:id="rId481" w:history="1">
        <w:r w:rsidRPr="007A476A">
          <w:rPr>
            <w:rStyle w:val="Hyperlink"/>
            <w:rFonts w:ascii="Times New Roman" w:hAnsi="Times New Roman"/>
            <w:noProof/>
            <w:szCs w:val="24"/>
          </w:rPr>
          <w:t>https://doi.org/10.1038/nbt.4079</w:t>
        </w:r>
      </w:hyperlink>
    </w:p>
    <w:p w14:paraId="59FBD05D" w14:textId="0310BCC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Organick, L., Chen, Y.-J., Dumas Ang, S., Lopez, R., Liu, X., Strauss, K., &amp; Ceze, L. (2020). Probing the physical limits of reliable DNA data retrieval. </w:t>
      </w:r>
      <w:r w:rsidRPr="00310E7E">
        <w:rPr>
          <w:rFonts w:ascii="Times New Roman" w:hAnsi="Times New Roman"/>
          <w:i/>
          <w:iCs/>
          <w:noProof/>
          <w:szCs w:val="24"/>
        </w:rPr>
        <w:t>Nature Communications</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(1), 616. </w:t>
      </w:r>
      <w:hyperlink r:id="rId482" w:history="1">
        <w:r w:rsidRPr="007A476A">
          <w:rPr>
            <w:rStyle w:val="Hyperlink"/>
            <w:rFonts w:ascii="Times New Roman" w:hAnsi="Times New Roman"/>
            <w:noProof/>
            <w:szCs w:val="24"/>
          </w:rPr>
          <w:t>https://doi.org/10.1038/s41467-020-14319-8</w:t>
        </w:r>
      </w:hyperlink>
    </w:p>
    <w:p w14:paraId="2C7560F8" w14:textId="5BA283E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Ouzounov, N. (2019). </w:t>
      </w:r>
      <w:r w:rsidRPr="00310E7E">
        <w:rPr>
          <w:rFonts w:ascii="Times New Roman" w:hAnsi="Times New Roman"/>
          <w:i/>
          <w:iCs/>
          <w:noProof/>
          <w:szCs w:val="24"/>
        </w:rPr>
        <w:t>Expression of proteins in gram-negative bacteria wherein the ratio of perlplasmic volume to cytoplasmic volume is between 0.5:1 and 10:1, US20190106702A1</w:t>
      </w:r>
      <w:r w:rsidRPr="00310E7E">
        <w:rPr>
          <w:rFonts w:ascii="Times New Roman" w:hAnsi="Times New Roman"/>
          <w:noProof/>
          <w:szCs w:val="24"/>
        </w:rPr>
        <w:t xml:space="preserve"> (Vol. 1). </w:t>
      </w:r>
      <w:hyperlink r:id="rId483" w:history="1">
        <w:r w:rsidRPr="007A476A">
          <w:rPr>
            <w:rStyle w:val="Hyperlink"/>
            <w:rFonts w:ascii="Times New Roman" w:hAnsi="Times New Roman"/>
            <w:noProof/>
            <w:szCs w:val="24"/>
          </w:rPr>
          <w:t>https://patents.google.com/patent/US20190106702A1/</w:t>
        </w:r>
      </w:hyperlink>
    </w:p>
    <w:p w14:paraId="2E15D420" w14:textId="4695680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9C2DA0">
        <w:rPr>
          <w:rFonts w:ascii="Times New Roman" w:hAnsi="Times New Roman"/>
          <w:noProof/>
          <w:szCs w:val="24"/>
          <w:lang w:val="fr-FR"/>
        </w:rPr>
        <w:t xml:space="preserve">Ouzounov, N., Lorestani, A., &amp; Bhatia, M. (2020). </w:t>
      </w:r>
      <w:r w:rsidRPr="00310E7E">
        <w:rPr>
          <w:rFonts w:ascii="Times New Roman" w:hAnsi="Times New Roman"/>
          <w:i/>
          <w:iCs/>
          <w:noProof/>
          <w:szCs w:val="24"/>
        </w:rPr>
        <w:t>Recombinant collagen and elastin molecules and uses thereof, US20200247876A1</w:t>
      </w:r>
      <w:r w:rsidRPr="00310E7E">
        <w:rPr>
          <w:rFonts w:ascii="Times New Roman" w:hAnsi="Times New Roman"/>
          <w:noProof/>
          <w:szCs w:val="24"/>
        </w:rPr>
        <w:t>.</w:t>
      </w:r>
      <w:hyperlink r:id="rId484" w:history="1">
        <w:r w:rsidRPr="007A476A">
          <w:rPr>
            <w:rStyle w:val="Hyperlink"/>
            <w:rFonts w:ascii="Times New Roman" w:hAnsi="Times New Roman"/>
            <w:noProof/>
            <w:szCs w:val="24"/>
          </w:rPr>
          <w:t xml:space="preserve"> https://patents.google.com/patent/US20200247876A1/</w:t>
        </w:r>
      </w:hyperlink>
    </w:p>
    <w:p w14:paraId="167794C9" w14:textId="6A7ED93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Oye, K. A., Esvelt, K., Appleton, E., Catteruccia, F., Church, G., Kuiken, T., Lightfoot, S. B.-Y., McNamara, J., Smidler, A., &amp; Collins, J. P. (2014). Regulating gene drives.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345</w:t>
      </w:r>
      <w:r w:rsidRPr="00310E7E">
        <w:rPr>
          <w:rFonts w:ascii="Times New Roman" w:hAnsi="Times New Roman"/>
          <w:noProof/>
          <w:szCs w:val="24"/>
        </w:rPr>
        <w:t xml:space="preserve">(6197), 626–628. </w:t>
      </w:r>
      <w:hyperlink r:id="rId485" w:history="1">
        <w:r w:rsidRPr="007A476A">
          <w:rPr>
            <w:rStyle w:val="Hyperlink"/>
            <w:rFonts w:ascii="Times New Roman" w:hAnsi="Times New Roman"/>
            <w:noProof/>
            <w:szCs w:val="24"/>
          </w:rPr>
          <w:t>https://doi.org/10.1126/science.1254287</w:t>
        </w:r>
      </w:hyperlink>
    </w:p>
    <w:p w14:paraId="0493AF9A" w14:textId="3ED496C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Oye, Kenneth A., &amp; Wellhausen, R. (2009). The Intellectual Commons and Property in Synthetic Biology. In </w:t>
      </w:r>
      <w:r w:rsidRPr="00310E7E">
        <w:rPr>
          <w:rFonts w:ascii="Times New Roman" w:hAnsi="Times New Roman"/>
          <w:i/>
          <w:iCs/>
          <w:noProof/>
          <w:szCs w:val="24"/>
        </w:rPr>
        <w:t>Synthetic Biology</w:t>
      </w:r>
      <w:r w:rsidRPr="00310E7E">
        <w:rPr>
          <w:rFonts w:ascii="Times New Roman" w:hAnsi="Times New Roman"/>
          <w:noProof/>
          <w:szCs w:val="24"/>
        </w:rPr>
        <w:t xml:space="preserve"> (pp. 121–140). Springer Netherlands. </w:t>
      </w:r>
      <w:hyperlink r:id="rId486" w:history="1">
        <w:r w:rsidRPr="00351CA7">
          <w:rPr>
            <w:rStyle w:val="Hyperlink"/>
            <w:rFonts w:ascii="Times New Roman" w:hAnsi="Times New Roman"/>
            <w:noProof/>
            <w:szCs w:val="24"/>
          </w:rPr>
          <w:t>https://doi.org/10.1007/978-90-481-2678-1_8</w:t>
        </w:r>
      </w:hyperlink>
    </w:p>
    <w:p w14:paraId="30C44C7C" w14:textId="6BE11E0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Pan, X., Thompson, M. C., Zhang, Y., Liu, L., Fraser, J. S., Kelly, M. J. S., &amp; Kortemme, T. (2020). Expanding the space of protein geometries by computational design of </w:t>
      </w:r>
      <w:r w:rsidRPr="00351CA7">
        <w:rPr>
          <w:rFonts w:ascii="Times New Roman" w:hAnsi="Times New Roman"/>
          <w:i/>
          <w:iCs/>
          <w:noProof/>
          <w:szCs w:val="24"/>
        </w:rPr>
        <w:t>de novo</w:t>
      </w:r>
      <w:r w:rsidRPr="00310E7E">
        <w:rPr>
          <w:rFonts w:ascii="Times New Roman" w:hAnsi="Times New Roman"/>
          <w:noProof/>
          <w:szCs w:val="24"/>
        </w:rPr>
        <w:t xml:space="preserve"> fold families.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369</w:t>
      </w:r>
      <w:r w:rsidRPr="00310E7E">
        <w:rPr>
          <w:rFonts w:ascii="Times New Roman" w:hAnsi="Times New Roman"/>
          <w:noProof/>
          <w:szCs w:val="24"/>
        </w:rPr>
        <w:t xml:space="preserve">(6507), 1132–1136. </w:t>
      </w:r>
      <w:hyperlink r:id="rId487" w:history="1">
        <w:r w:rsidRPr="00351CA7">
          <w:rPr>
            <w:rStyle w:val="Hyperlink"/>
            <w:rFonts w:ascii="Times New Roman" w:hAnsi="Times New Roman"/>
            <w:noProof/>
            <w:szCs w:val="24"/>
          </w:rPr>
          <w:t>https://doi.org/10.1126/science.abc0881</w:t>
        </w:r>
      </w:hyperlink>
    </w:p>
    <w:p w14:paraId="75B70AF5" w14:textId="472960B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Pandika, M. (2017). Taking Aim at Poaching with Tissue Engineering. </w:t>
      </w:r>
      <w:r w:rsidRPr="00310E7E">
        <w:rPr>
          <w:rFonts w:ascii="Times New Roman" w:hAnsi="Times New Roman"/>
          <w:i/>
          <w:iCs/>
          <w:noProof/>
          <w:szCs w:val="24"/>
        </w:rPr>
        <w:t>ACS Central Science</w:t>
      </w:r>
      <w:r w:rsidRPr="00310E7E">
        <w:rPr>
          <w:rFonts w:ascii="Times New Roman" w:hAnsi="Times New Roman"/>
          <w:noProof/>
          <w:szCs w:val="24"/>
        </w:rPr>
        <w:t xml:space="preserve">, </w:t>
      </w:r>
      <w:r w:rsidRPr="00310E7E">
        <w:rPr>
          <w:rFonts w:ascii="Times New Roman" w:hAnsi="Times New Roman"/>
          <w:i/>
          <w:iCs/>
          <w:noProof/>
          <w:szCs w:val="24"/>
        </w:rPr>
        <w:t>3</w:t>
      </w:r>
      <w:r w:rsidRPr="00310E7E">
        <w:rPr>
          <w:rFonts w:ascii="Times New Roman" w:hAnsi="Times New Roman"/>
          <w:noProof/>
          <w:szCs w:val="24"/>
        </w:rPr>
        <w:t>(12), 1230–1233.</w:t>
      </w:r>
      <w:hyperlink r:id="rId488" w:history="1">
        <w:r w:rsidRPr="00351CA7">
          <w:rPr>
            <w:rStyle w:val="Hyperlink"/>
            <w:rFonts w:ascii="Times New Roman" w:hAnsi="Times New Roman"/>
            <w:noProof/>
            <w:szCs w:val="24"/>
          </w:rPr>
          <w:t xml:space="preserve"> https://doi.org/10.1021/acscentsci.7b00592</w:t>
        </w:r>
      </w:hyperlink>
    </w:p>
    <w:p w14:paraId="0A2C5803" w14:textId="3C5E278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Pardee, K., Green, A. A., Ferrante, T., Cameron, D. E., Daleykeyser, A., Yin, P., &amp; Collins, J. J. (2014). Paper-based synthetic gene networks. </w:t>
      </w:r>
      <w:r w:rsidRPr="00310E7E">
        <w:rPr>
          <w:rFonts w:ascii="Times New Roman" w:hAnsi="Times New Roman"/>
          <w:i/>
          <w:iCs/>
          <w:noProof/>
          <w:szCs w:val="24"/>
        </w:rPr>
        <w:t>Cell</w:t>
      </w:r>
      <w:r w:rsidRPr="00310E7E">
        <w:rPr>
          <w:rFonts w:ascii="Times New Roman" w:hAnsi="Times New Roman"/>
          <w:noProof/>
          <w:szCs w:val="24"/>
        </w:rPr>
        <w:t xml:space="preserve">, </w:t>
      </w:r>
      <w:r w:rsidRPr="00310E7E">
        <w:rPr>
          <w:rFonts w:ascii="Times New Roman" w:hAnsi="Times New Roman"/>
          <w:i/>
          <w:iCs/>
          <w:noProof/>
          <w:szCs w:val="24"/>
        </w:rPr>
        <w:t>159</w:t>
      </w:r>
      <w:r w:rsidRPr="00310E7E">
        <w:rPr>
          <w:rFonts w:ascii="Times New Roman" w:hAnsi="Times New Roman"/>
          <w:noProof/>
          <w:szCs w:val="24"/>
        </w:rPr>
        <w:t xml:space="preserve">(4), 940–954. </w:t>
      </w:r>
      <w:hyperlink r:id="rId489" w:history="1">
        <w:r w:rsidRPr="00351CA7">
          <w:rPr>
            <w:rStyle w:val="Hyperlink"/>
            <w:rFonts w:ascii="Times New Roman" w:hAnsi="Times New Roman"/>
            <w:noProof/>
            <w:szCs w:val="24"/>
          </w:rPr>
          <w:t>https://doi.org/10.1016/j.cell.2014.10.004</w:t>
        </w:r>
      </w:hyperlink>
    </w:p>
    <w:p w14:paraId="62391A11" w14:textId="3742272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Parens, E., Johnston, J., &amp; Moses, J. (2009). </w:t>
      </w:r>
      <w:r w:rsidRPr="00310E7E">
        <w:rPr>
          <w:rFonts w:ascii="Times New Roman" w:hAnsi="Times New Roman"/>
          <w:i/>
          <w:iCs/>
          <w:noProof/>
          <w:szCs w:val="24"/>
        </w:rPr>
        <w:t>Ethical Issues in Synthetic Biology: An Overview of the Debates</w:t>
      </w:r>
      <w:r w:rsidRPr="00310E7E">
        <w:rPr>
          <w:rFonts w:ascii="Times New Roman" w:hAnsi="Times New Roman"/>
          <w:noProof/>
          <w:szCs w:val="24"/>
        </w:rPr>
        <w:t xml:space="preserve">. </w:t>
      </w:r>
      <w:hyperlink r:id="rId490" w:history="1">
        <w:r w:rsidRPr="00351CA7">
          <w:rPr>
            <w:rStyle w:val="Hyperlink"/>
            <w:rFonts w:ascii="Times New Roman" w:hAnsi="Times New Roman"/>
            <w:noProof/>
            <w:szCs w:val="24"/>
          </w:rPr>
          <w:t>http://www.synbioproject.org/process/assets/files/6334/synbio3.pdf</w:t>
        </w:r>
      </w:hyperlink>
    </w:p>
    <w:p w14:paraId="43A9FA1B" w14:textId="5FA5478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Park, S.-C., Joung, Y.-H., Kim, K.-M., Kim, J.-K., &amp; Koh, H.-J. (2019). Gene-Edited Crops: Present Status and their Future. </w:t>
      </w:r>
      <w:r w:rsidRPr="00310E7E">
        <w:rPr>
          <w:rFonts w:ascii="Times New Roman" w:hAnsi="Times New Roman"/>
          <w:i/>
          <w:iCs/>
          <w:noProof/>
          <w:szCs w:val="24"/>
        </w:rPr>
        <w:t>Korean Journal of Breeding Science</w:t>
      </w:r>
      <w:r w:rsidRPr="00310E7E">
        <w:rPr>
          <w:rFonts w:ascii="Times New Roman" w:hAnsi="Times New Roman"/>
          <w:noProof/>
          <w:szCs w:val="24"/>
        </w:rPr>
        <w:t xml:space="preserve">, </w:t>
      </w:r>
      <w:r w:rsidRPr="00310E7E">
        <w:rPr>
          <w:rFonts w:ascii="Times New Roman" w:hAnsi="Times New Roman"/>
          <w:i/>
          <w:iCs/>
          <w:noProof/>
          <w:szCs w:val="24"/>
        </w:rPr>
        <w:t>51</w:t>
      </w:r>
      <w:r w:rsidRPr="00310E7E">
        <w:rPr>
          <w:rFonts w:ascii="Times New Roman" w:hAnsi="Times New Roman"/>
          <w:noProof/>
          <w:szCs w:val="24"/>
        </w:rPr>
        <w:t xml:space="preserve">(3), 175–183. </w:t>
      </w:r>
      <w:hyperlink r:id="rId491" w:history="1">
        <w:r w:rsidRPr="00351CA7">
          <w:rPr>
            <w:rStyle w:val="Hyperlink"/>
            <w:rFonts w:ascii="Times New Roman" w:hAnsi="Times New Roman"/>
            <w:noProof/>
            <w:szCs w:val="24"/>
          </w:rPr>
          <w:t>https://doi.org/10.9787/kjbs.2019.51.3.175</w:t>
        </w:r>
      </w:hyperlink>
    </w:p>
    <w:p w14:paraId="6AECC848" w14:textId="54EB942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Pauwels, K., Willemarck, N., Breyer, D., &amp; Herman, P. (2012). </w:t>
      </w:r>
      <w:r w:rsidRPr="00310E7E">
        <w:rPr>
          <w:rFonts w:ascii="Times New Roman" w:hAnsi="Times New Roman"/>
          <w:i/>
          <w:iCs/>
          <w:noProof/>
          <w:szCs w:val="24"/>
        </w:rPr>
        <w:t>Synthetic Biology: Latest developments, biosafety considerations and regulatory challenges</w:t>
      </w:r>
      <w:r w:rsidRPr="00310E7E">
        <w:rPr>
          <w:rFonts w:ascii="Times New Roman" w:hAnsi="Times New Roman"/>
          <w:noProof/>
          <w:szCs w:val="24"/>
        </w:rPr>
        <w:t xml:space="preserve">. </w:t>
      </w:r>
      <w:hyperlink r:id="rId492" w:history="1">
        <w:r w:rsidRPr="00351CA7">
          <w:rPr>
            <w:rStyle w:val="Hyperlink"/>
            <w:rFonts w:ascii="Times New Roman" w:hAnsi="Times New Roman"/>
            <w:noProof/>
            <w:szCs w:val="24"/>
          </w:rPr>
          <w:t>http://www.biosafety.be/PDF/120911_Doc_Synbio_SBB_FINAL.pdf</w:t>
        </w:r>
      </w:hyperlink>
    </w:p>
    <w:p w14:paraId="18CC5045" w14:textId="4AB0049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Peng, C., Zheng, M., Ding, L., Chen, X., Wang, X., Feng, X., Wang, J., &amp; Xu, J. (2020). Accurate Detection and Evaluation of the Gene-Editing Frequency in Plants Using Droplet Digital PCR.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 </w:t>
      </w:r>
      <w:hyperlink r:id="rId493" w:history="1">
        <w:r w:rsidRPr="00351CA7">
          <w:rPr>
            <w:rStyle w:val="Hyperlink"/>
            <w:rFonts w:ascii="Times New Roman" w:hAnsi="Times New Roman"/>
            <w:noProof/>
            <w:szCs w:val="24"/>
          </w:rPr>
          <w:t>https://doi.org/10.3389/fpls.2020.610790</w:t>
        </w:r>
      </w:hyperlink>
    </w:p>
    <w:p w14:paraId="71301FEF" w14:textId="7B6DFC6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Persikov, A. V, Ouzounov, N., &amp; Lorestani, A. (2020). </w:t>
      </w:r>
      <w:r w:rsidRPr="00310E7E">
        <w:rPr>
          <w:rFonts w:ascii="Times New Roman" w:hAnsi="Times New Roman"/>
          <w:i/>
          <w:iCs/>
          <w:noProof/>
          <w:szCs w:val="24"/>
        </w:rPr>
        <w:t>Methods and systems for engineering collagen, US20200184381A1</w:t>
      </w:r>
      <w:r w:rsidRPr="00310E7E">
        <w:rPr>
          <w:rFonts w:ascii="Times New Roman" w:hAnsi="Times New Roman"/>
          <w:noProof/>
          <w:szCs w:val="24"/>
        </w:rPr>
        <w:t xml:space="preserve"> (Vol. 2020). </w:t>
      </w:r>
      <w:hyperlink r:id="rId494" w:history="1">
        <w:r w:rsidRPr="00351CA7">
          <w:rPr>
            <w:rStyle w:val="Hyperlink"/>
            <w:rFonts w:ascii="Times New Roman" w:hAnsi="Times New Roman"/>
            <w:noProof/>
            <w:szCs w:val="24"/>
          </w:rPr>
          <w:t>https://patents.google.com/patent/US20200184381A1</w:t>
        </w:r>
      </w:hyperlink>
    </w:p>
    <w:p w14:paraId="5E460EDB" w14:textId="3EBEC80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Petek, M., Coll, A., Ferenc, R., Razinger, J., &amp; Gruden, K. (2020). Validating the Potential of Double-Stranded RNA Targeting Colorado Potato Beetle Mesh Gene in Laboratory and Field Trials.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 1250. </w:t>
      </w:r>
      <w:hyperlink r:id="rId495" w:history="1">
        <w:r w:rsidRPr="00351CA7">
          <w:rPr>
            <w:rStyle w:val="Hyperlink"/>
            <w:rFonts w:ascii="Times New Roman" w:hAnsi="Times New Roman"/>
            <w:noProof/>
            <w:szCs w:val="24"/>
          </w:rPr>
          <w:t>https://doi.org/10.3389/fpls.2020.01250</w:t>
        </w:r>
      </w:hyperlink>
    </w:p>
    <w:p w14:paraId="40B4CB4A" w14:textId="3B3E3FA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Peters, G., Coussement, P., Maertens, J., Lammertyn, J., &amp; De Mey, M. (2015). Putting RNA to work: Translating RNA fundamentals into biotechnological engineering practice. In </w:t>
      </w:r>
      <w:r w:rsidRPr="00310E7E">
        <w:rPr>
          <w:rFonts w:ascii="Times New Roman" w:hAnsi="Times New Roman"/>
          <w:i/>
          <w:iCs/>
          <w:noProof/>
          <w:szCs w:val="24"/>
        </w:rPr>
        <w:t>Biotechnology Advances</w:t>
      </w:r>
      <w:r w:rsidRPr="00310E7E">
        <w:rPr>
          <w:rFonts w:ascii="Times New Roman" w:hAnsi="Times New Roman"/>
          <w:noProof/>
          <w:szCs w:val="24"/>
        </w:rPr>
        <w:t xml:space="preserve"> (Vol. 33, Issue 8, pp. 1829–1844). Elsevier Inc. </w:t>
      </w:r>
      <w:hyperlink r:id="rId496" w:history="1">
        <w:r w:rsidRPr="00A53ACB">
          <w:rPr>
            <w:rStyle w:val="Hyperlink"/>
            <w:rFonts w:ascii="Times New Roman" w:hAnsi="Times New Roman"/>
            <w:noProof/>
            <w:szCs w:val="24"/>
          </w:rPr>
          <w:t>https://doi.org/10.1016/j.biotechadv.2015.10.011</w:t>
        </w:r>
      </w:hyperlink>
    </w:p>
    <w:p w14:paraId="72E7A6A7" w14:textId="1EAC14A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Phuc, H., Andreasen, M. H., Burton, R. S., Vass, C., Epton, M. J., Pape, G., Fu, G., Condon, K. C., Scaife, S., Donnelly, C. A., Coleman, P. G., White-Cooper, H., &amp; Alphey, L. (2007). Late-acting dominant lethal genetic systems and mosquito control. </w:t>
      </w:r>
      <w:r w:rsidRPr="00310E7E">
        <w:rPr>
          <w:rFonts w:ascii="Times New Roman" w:hAnsi="Times New Roman"/>
          <w:i/>
          <w:iCs/>
          <w:noProof/>
          <w:szCs w:val="24"/>
        </w:rPr>
        <w:t>BMC Biology</w:t>
      </w:r>
      <w:r w:rsidRPr="00310E7E">
        <w:rPr>
          <w:rFonts w:ascii="Times New Roman" w:hAnsi="Times New Roman"/>
          <w:noProof/>
          <w:szCs w:val="24"/>
        </w:rPr>
        <w:t xml:space="preserve">, </w:t>
      </w:r>
      <w:r w:rsidRPr="00310E7E">
        <w:rPr>
          <w:rFonts w:ascii="Times New Roman" w:hAnsi="Times New Roman"/>
          <w:i/>
          <w:iCs/>
          <w:noProof/>
          <w:szCs w:val="24"/>
        </w:rPr>
        <w:t>5</w:t>
      </w:r>
      <w:r w:rsidRPr="00310E7E">
        <w:rPr>
          <w:rFonts w:ascii="Times New Roman" w:hAnsi="Times New Roman"/>
          <w:noProof/>
          <w:szCs w:val="24"/>
        </w:rPr>
        <w:t xml:space="preserve">(1), 11. </w:t>
      </w:r>
      <w:hyperlink r:id="rId497" w:history="1">
        <w:r w:rsidRPr="00A53ACB">
          <w:rPr>
            <w:rStyle w:val="Hyperlink"/>
            <w:rFonts w:ascii="Times New Roman" w:hAnsi="Times New Roman"/>
            <w:noProof/>
            <w:szCs w:val="24"/>
          </w:rPr>
          <w:t>https://doi.org/10.1186/1741-7007-5-11</w:t>
        </w:r>
      </w:hyperlink>
    </w:p>
    <w:p w14:paraId="3BF14D87" w14:textId="3CD13DD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Piaggio, A. J., Segelbacher, G., Seddon, P. J., Alphey, L., Bennett, E. L., Carlson, R. H., Friedman, R. M., Kanavy, D., Phelan, R., Redford, K. H., Rosales, M., Slobodian, L., &amp; Wheeler, K. (2017). Is It Time for Synthetic Biodiversity Conservation? </w:t>
      </w:r>
      <w:r w:rsidRPr="00310E7E">
        <w:rPr>
          <w:rFonts w:ascii="Times New Roman" w:hAnsi="Times New Roman"/>
          <w:i/>
          <w:iCs/>
          <w:noProof/>
          <w:szCs w:val="24"/>
        </w:rPr>
        <w:t>Trends in Ecology &amp; Evolution</w:t>
      </w:r>
      <w:r w:rsidRPr="00310E7E">
        <w:rPr>
          <w:rFonts w:ascii="Times New Roman" w:hAnsi="Times New Roman"/>
          <w:noProof/>
          <w:szCs w:val="24"/>
        </w:rPr>
        <w:t xml:space="preserve">, </w:t>
      </w:r>
      <w:r w:rsidRPr="00310E7E">
        <w:rPr>
          <w:rFonts w:ascii="Times New Roman" w:hAnsi="Times New Roman"/>
          <w:i/>
          <w:iCs/>
          <w:noProof/>
          <w:szCs w:val="24"/>
        </w:rPr>
        <w:t>32</w:t>
      </w:r>
      <w:r w:rsidRPr="00310E7E">
        <w:rPr>
          <w:rFonts w:ascii="Times New Roman" w:hAnsi="Times New Roman"/>
          <w:noProof/>
          <w:szCs w:val="24"/>
        </w:rPr>
        <w:t xml:space="preserve">(2), 97–107. </w:t>
      </w:r>
      <w:hyperlink r:id="rId498" w:history="1">
        <w:r w:rsidRPr="00A53ACB">
          <w:rPr>
            <w:rStyle w:val="Hyperlink"/>
            <w:rFonts w:ascii="Times New Roman" w:hAnsi="Times New Roman"/>
            <w:noProof/>
            <w:szCs w:val="24"/>
          </w:rPr>
          <w:t>https://doi.org/10.1016/j.tree.2016.10.016</w:t>
        </w:r>
      </w:hyperlink>
    </w:p>
    <w:p w14:paraId="33380D6F" w14:textId="63EFA8A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Pickar-Oliver, A., &amp; Gersbach, C. A. (2019). The next generation of CRISPR–Cas technologies and applications. In </w:t>
      </w:r>
      <w:r w:rsidRPr="00310E7E">
        <w:rPr>
          <w:rFonts w:ascii="Times New Roman" w:hAnsi="Times New Roman"/>
          <w:i/>
          <w:iCs/>
          <w:noProof/>
          <w:szCs w:val="24"/>
        </w:rPr>
        <w:t>Nature Reviews Molecular Cell Biology</w:t>
      </w:r>
      <w:r w:rsidRPr="00310E7E">
        <w:rPr>
          <w:rFonts w:ascii="Times New Roman" w:hAnsi="Times New Roman"/>
          <w:noProof/>
          <w:szCs w:val="24"/>
        </w:rPr>
        <w:t xml:space="preserve"> (Vol. 20, Issue 8, pp. 490–507). Nature Publishing Group. </w:t>
      </w:r>
      <w:hyperlink r:id="rId499" w:history="1">
        <w:r w:rsidRPr="00A53ACB">
          <w:rPr>
            <w:rStyle w:val="Hyperlink"/>
            <w:rFonts w:ascii="Times New Roman" w:hAnsi="Times New Roman"/>
            <w:noProof/>
            <w:szCs w:val="24"/>
          </w:rPr>
          <w:t>https://doi.org/10.1038/s41580-019-0131-5</w:t>
        </w:r>
      </w:hyperlink>
    </w:p>
    <w:p w14:paraId="0868298E" w14:textId="7C2C2A4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es-ES"/>
        </w:rPr>
        <w:t xml:space="preserve">Pieja, A. J., Morse, M. C., &amp; Cal, A. J. (2017). </w:t>
      </w:r>
      <w:r w:rsidRPr="00310E7E">
        <w:rPr>
          <w:rFonts w:ascii="Times New Roman" w:hAnsi="Times New Roman"/>
          <w:noProof/>
          <w:szCs w:val="24"/>
        </w:rPr>
        <w:t xml:space="preserve">Methane to bioproducts: the future of the bioeconomy? In </w:t>
      </w:r>
      <w:r w:rsidRPr="00310E7E">
        <w:rPr>
          <w:rFonts w:ascii="Times New Roman" w:hAnsi="Times New Roman"/>
          <w:i/>
          <w:iCs/>
          <w:noProof/>
          <w:szCs w:val="24"/>
        </w:rPr>
        <w:t>Current Opinion in Chemical Biology</w:t>
      </w:r>
      <w:r w:rsidRPr="00310E7E">
        <w:rPr>
          <w:rFonts w:ascii="Times New Roman" w:hAnsi="Times New Roman"/>
          <w:noProof/>
          <w:szCs w:val="24"/>
        </w:rPr>
        <w:t xml:space="preserve"> (Vol. 41, pp. 123–131). Elsevier Ltd. </w:t>
      </w:r>
      <w:hyperlink r:id="rId500" w:history="1">
        <w:r w:rsidRPr="00A53ACB">
          <w:rPr>
            <w:rStyle w:val="Hyperlink"/>
            <w:rFonts w:ascii="Times New Roman" w:hAnsi="Times New Roman"/>
            <w:noProof/>
            <w:szCs w:val="24"/>
          </w:rPr>
          <w:t>https://doi.org/10.1016/j.cbpa.2017.10.024</w:t>
        </w:r>
      </w:hyperlink>
    </w:p>
    <w:p w14:paraId="1F0ED1FA" w14:textId="0573579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Pinheiro, V. B., Taylor, A. I., Cozens, C., Abramov, M., Renders, M., Zhang, S., Chaput, J. C., Wengel, J., Peak-Chew, S.-Y., McLaughlin, S. H., Herdewijn, P., &amp; Holliger, P. (2012). Synthetic Genetic Polymers Capable of Heredity and Evolution.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336</w:t>
      </w:r>
      <w:r w:rsidRPr="00310E7E">
        <w:rPr>
          <w:rFonts w:ascii="Times New Roman" w:hAnsi="Times New Roman"/>
          <w:noProof/>
          <w:szCs w:val="24"/>
        </w:rPr>
        <w:t xml:space="preserve">(6079), 341–344. </w:t>
      </w:r>
      <w:hyperlink r:id="rId501" w:history="1">
        <w:r w:rsidRPr="003837F5">
          <w:rPr>
            <w:rStyle w:val="Hyperlink"/>
            <w:rFonts w:ascii="Times New Roman" w:hAnsi="Times New Roman"/>
            <w:noProof/>
            <w:szCs w:val="24"/>
          </w:rPr>
          <w:t>https://doi.org/10.1126/science.1217622</w:t>
        </w:r>
      </w:hyperlink>
    </w:p>
    <w:p w14:paraId="169A2FCD" w14:textId="0A751D6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Pinheiro, Vitor B, &amp; Holliger, P. (2012). The XNA world: progress towards replication and evolution of synthetic genetic polymers. </w:t>
      </w:r>
      <w:r w:rsidRPr="00310E7E">
        <w:rPr>
          <w:rFonts w:ascii="Times New Roman" w:hAnsi="Times New Roman"/>
          <w:i/>
          <w:iCs/>
          <w:noProof/>
          <w:szCs w:val="24"/>
        </w:rPr>
        <w:t>Current Opinion in Chemical Biology</w:t>
      </w:r>
      <w:r w:rsidRPr="00310E7E">
        <w:rPr>
          <w:rFonts w:ascii="Times New Roman" w:hAnsi="Times New Roman"/>
          <w:noProof/>
          <w:szCs w:val="24"/>
        </w:rPr>
        <w:t xml:space="preserve">, </w:t>
      </w:r>
      <w:r w:rsidRPr="00310E7E">
        <w:rPr>
          <w:rFonts w:ascii="Times New Roman" w:hAnsi="Times New Roman"/>
          <w:i/>
          <w:iCs/>
          <w:noProof/>
          <w:szCs w:val="24"/>
        </w:rPr>
        <w:t>16</w:t>
      </w:r>
      <w:r w:rsidRPr="00310E7E">
        <w:rPr>
          <w:rFonts w:ascii="Times New Roman" w:hAnsi="Times New Roman"/>
          <w:noProof/>
          <w:szCs w:val="24"/>
        </w:rPr>
        <w:t xml:space="preserve">(3–4), 245–252. </w:t>
      </w:r>
      <w:hyperlink r:id="rId502" w:history="1">
        <w:r w:rsidRPr="003837F5">
          <w:rPr>
            <w:rStyle w:val="Hyperlink"/>
            <w:rFonts w:ascii="Times New Roman" w:hAnsi="Times New Roman"/>
            <w:noProof/>
            <w:szCs w:val="24"/>
          </w:rPr>
          <w:t>https://doi.org/10.1016/j.cbpa.2012.05.198</w:t>
        </w:r>
      </w:hyperlink>
    </w:p>
    <w:p w14:paraId="342885FE" w14:textId="3698A2F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Pivot Bio Inc. (2020). </w:t>
      </w:r>
      <w:r w:rsidRPr="00310E7E">
        <w:rPr>
          <w:rFonts w:ascii="Times New Roman" w:hAnsi="Times New Roman"/>
          <w:i/>
          <w:iCs/>
          <w:noProof/>
          <w:szCs w:val="24"/>
        </w:rPr>
        <w:t>Safety Sheet: Klebsiella variicola 137</w:t>
      </w:r>
      <w:r w:rsidRPr="00310E7E">
        <w:rPr>
          <w:rFonts w:ascii="Times New Roman" w:hAnsi="Times New Roman"/>
          <w:noProof/>
          <w:szCs w:val="24"/>
        </w:rPr>
        <w:t xml:space="preserve">. </w:t>
      </w:r>
      <w:hyperlink r:id="rId503" w:history="1">
        <w:r w:rsidRPr="003837F5">
          <w:rPr>
            <w:rStyle w:val="Hyperlink"/>
            <w:rFonts w:ascii="Times New Roman" w:hAnsi="Times New Roman"/>
            <w:noProof/>
            <w:szCs w:val="24"/>
          </w:rPr>
          <w:t>https://info.pivotbio.com/hubfs/Safety Data Sheets/Pivot-Bio-2020-08-07-PBP-Safety-Data-Sheet.pdf?hsLang=en-us</w:t>
        </w:r>
      </w:hyperlink>
    </w:p>
    <w:p w14:paraId="11A935CC" w14:textId="2F79AC7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Pixley, K. V, Falck-Zepeda, J. B., Giller, K. E., Glenna, L. L., Gould, F., Mallory-Smith, C. A., Stelly, D. M., &amp; Jr, C. N. S. (2019). Downloaded from www.annualreviews.org Access provided by 109. </w:t>
      </w:r>
      <w:r w:rsidRPr="00310E7E">
        <w:rPr>
          <w:rFonts w:ascii="Times New Roman" w:hAnsi="Times New Roman"/>
          <w:i/>
          <w:iCs/>
          <w:noProof/>
          <w:szCs w:val="24"/>
        </w:rPr>
        <w:t>Annu. Rev. Phytopathol</w:t>
      </w:r>
      <w:r w:rsidRPr="00310E7E">
        <w:rPr>
          <w:rFonts w:ascii="Times New Roman" w:hAnsi="Times New Roman"/>
          <w:noProof/>
          <w:szCs w:val="24"/>
        </w:rPr>
        <w:t xml:space="preserve">, </w:t>
      </w:r>
      <w:r w:rsidRPr="00310E7E">
        <w:rPr>
          <w:rFonts w:ascii="Times New Roman" w:hAnsi="Times New Roman"/>
          <w:i/>
          <w:iCs/>
          <w:noProof/>
          <w:szCs w:val="24"/>
        </w:rPr>
        <w:t>57</w:t>
      </w:r>
      <w:r w:rsidRPr="00310E7E">
        <w:rPr>
          <w:rFonts w:ascii="Times New Roman" w:hAnsi="Times New Roman"/>
          <w:noProof/>
          <w:szCs w:val="24"/>
        </w:rPr>
        <w:t xml:space="preserve">, 165–188. </w:t>
      </w:r>
      <w:hyperlink r:id="rId504" w:history="1">
        <w:r w:rsidRPr="003837F5">
          <w:rPr>
            <w:rStyle w:val="Hyperlink"/>
            <w:rFonts w:ascii="Times New Roman" w:hAnsi="Times New Roman"/>
            <w:noProof/>
            <w:szCs w:val="24"/>
          </w:rPr>
          <w:t>https://doi.org/10.1146/annurev-phyto-080417</w:t>
        </w:r>
      </w:hyperlink>
    </w:p>
    <w:p w14:paraId="23818264" w14:textId="0D9C788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Presidential Commission for the Study of Bioethical Issues. (2010). </w:t>
      </w:r>
      <w:r w:rsidRPr="00310E7E">
        <w:rPr>
          <w:rFonts w:ascii="Times New Roman" w:hAnsi="Times New Roman"/>
          <w:i/>
          <w:iCs/>
          <w:noProof/>
          <w:szCs w:val="24"/>
        </w:rPr>
        <w:t>New Directions: The Ethics of Synthetic Biology and Emerging Technologies</w:t>
      </w:r>
      <w:r w:rsidRPr="00310E7E">
        <w:rPr>
          <w:rFonts w:ascii="Times New Roman" w:hAnsi="Times New Roman"/>
          <w:noProof/>
          <w:szCs w:val="24"/>
        </w:rPr>
        <w:t xml:space="preserve">. </w:t>
      </w:r>
      <w:hyperlink r:id="rId505" w:history="1">
        <w:r w:rsidRPr="003837F5">
          <w:rPr>
            <w:rStyle w:val="Hyperlink"/>
            <w:rFonts w:ascii="Times New Roman" w:hAnsi="Times New Roman"/>
            <w:noProof/>
            <w:szCs w:val="24"/>
          </w:rPr>
          <w:t>www.bioethics.gov</w:t>
        </w:r>
      </w:hyperlink>
    </w:p>
    <w:p w14:paraId="3A740168" w14:textId="0ADAC60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Project, G. L. (2020). </w:t>
      </w:r>
      <w:r w:rsidRPr="00310E7E">
        <w:rPr>
          <w:rFonts w:ascii="Times New Roman" w:hAnsi="Times New Roman"/>
          <w:i/>
          <w:iCs/>
          <w:noProof/>
          <w:szCs w:val="24"/>
        </w:rPr>
        <w:t>Brazil: Animals. Global Gene Editing Regulation Tracker</w:t>
      </w:r>
      <w:r w:rsidRPr="00310E7E">
        <w:rPr>
          <w:rFonts w:ascii="Times New Roman" w:hAnsi="Times New Roman"/>
          <w:noProof/>
          <w:szCs w:val="24"/>
        </w:rPr>
        <w:t xml:space="preserve">. </w:t>
      </w:r>
      <w:hyperlink r:id="rId506" w:history="1">
        <w:r w:rsidRPr="003837F5">
          <w:rPr>
            <w:rStyle w:val="Hyperlink"/>
            <w:rFonts w:ascii="Times New Roman" w:hAnsi="Times New Roman"/>
            <w:noProof/>
            <w:szCs w:val="24"/>
          </w:rPr>
          <w:t>https://crispr-gene-editing-regs-tracker.geneticliteracyproject.org/brazil-animals/</w:t>
        </w:r>
      </w:hyperlink>
    </w:p>
    <w:p w14:paraId="0F66CCC6" w14:textId="3CDDA6E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Purcell, B. P., Williamson, D. T., Marga, F. S., Schofer, S. J., Cassingham, D. M., SPINELLA, S. M., &amp; Congdon, A. (2017). </w:t>
      </w:r>
      <w:r w:rsidRPr="00310E7E">
        <w:rPr>
          <w:rFonts w:ascii="Times New Roman" w:hAnsi="Times New Roman"/>
          <w:i/>
          <w:iCs/>
          <w:noProof/>
          <w:szCs w:val="24"/>
        </w:rPr>
        <w:t>Method for making a biofabricated material containing collagen fibrils, US20170233834A1</w:t>
      </w:r>
      <w:r w:rsidRPr="00310E7E">
        <w:rPr>
          <w:rFonts w:ascii="Times New Roman" w:hAnsi="Times New Roman"/>
          <w:noProof/>
          <w:szCs w:val="24"/>
        </w:rPr>
        <w:t xml:space="preserve"> (Vol. 1). </w:t>
      </w:r>
      <w:hyperlink r:id="rId507" w:history="1">
        <w:r w:rsidRPr="003837F5">
          <w:rPr>
            <w:rStyle w:val="Hyperlink"/>
            <w:rFonts w:ascii="Times New Roman" w:hAnsi="Times New Roman"/>
            <w:noProof/>
            <w:szCs w:val="24"/>
          </w:rPr>
          <w:t>https://patents.google.com/patent/US20170233834A1</w:t>
        </w:r>
      </w:hyperlink>
    </w:p>
    <w:p w14:paraId="75CA812C" w14:textId="0FE279B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Puzis, R., Farbiash, D., Brodt, O., Elovici, Y., &amp; Greenbaum, D. (2020). Increased cyber-biosecurity for DNA synthesis.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38</w:t>
      </w:r>
      <w:r w:rsidRPr="00310E7E">
        <w:rPr>
          <w:rFonts w:ascii="Times New Roman" w:hAnsi="Times New Roman"/>
          <w:noProof/>
          <w:szCs w:val="24"/>
        </w:rPr>
        <w:t xml:space="preserve">(12), 1379–1381. </w:t>
      </w:r>
      <w:hyperlink r:id="rId508" w:history="1">
        <w:r w:rsidRPr="003837F5">
          <w:rPr>
            <w:rStyle w:val="Hyperlink"/>
            <w:rFonts w:ascii="Times New Roman" w:hAnsi="Times New Roman"/>
            <w:noProof/>
            <w:szCs w:val="24"/>
          </w:rPr>
          <w:t>https://doi.org/10.1038/s41587-020-00761-y</w:t>
        </w:r>
      </w:hyperlink>
    </w:p>
    <w:p w14:paraId="74CA6C7E" w14:textId="7657605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Quarton, T., Ehrhardt, K., Lee, J., Kannan, S., Li, Y., Ma, L., &amp; Bleris, L. (2018). Mapping the operational landscape of microRNAs in synthetic gene circuits. </w:t>
      </w:r>
      <w:r w:rsidRPr="00310E7E">
        <w:rPr>
          <w:rFonts w:ascii="Times New Roman" w:hAnsi="Times New Roman"/>
          <w:i/>
          <w:iCs/>
          <w:noProof/>
          <w:szCs w:val="24"/>
        </w:rPr>
        <w:t>Npj Systems Biology and Applications</w:t>
      </w:r>
      <w:r w:rsidRPr="00310E7E">
        <w:rPr>
          <w:rFonts w:ascii="Times New Roman" w:hAnsi="Times New Roman"/>
          <w:noProof/>
          <w:szCs w:val="24"/>
        </w:rPr>
        <w:t xml:space="preserve">, </w:t>
      </w:r>
      <w:r w:rsidRPr="00310E7E">
        <w:rPr>
          <w:rFonts w:ascii="Times New Roman" w:hAnsi="Times New Roman"/>
          <w:i/>
          <w:iCs/>
          <w:noProof/>
          <w:szCs w:val="24"/>
        </w:rPr>
        <w:t>4</w:t>
      </w:r>
      <w:r w:rsidRPr="00310E7E">
        <w:rPr>
          <w:rFonts w:ascii="Times New Roman" w:hAnsi="Times New Roman"/>
          <w:noProof/>
          <w:szCs w:val="24"/>
        </w:rPr>
        <w:t xml:space="preserve">(1). </w:t>
      </w:r>
      <w:hyperlink r:id="rId509" w:history="1">
        <w:r w:rsidRPr="003837F5">
          <w:rPr>
            <w:rStyle w:val="Hyperlink"/>
            <w:rFonts w:ascii="Times New Roman" w:hAnsi="Times New Roman"/>
            <w:noProof/>
            <w:szCs w:val="24"/>
          </w:rPr>
          <w:t>https://doi.org/10.1038/s41540-017-0043-y</w:t>
        </w:r>
      </w:hyperlink>
    </w:p>
    <w:p w14:paraId="14B11330" w14:textId="089B2FD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Raban, R. R., Marshall, J. M., &amp; Akbari, O. S. (2020). Progress towards engineering gene drives for population control. In </w:t>
      </w:r>
      <w:r w:rsidRPr="00310E7E">
        <w:rPr>
          <w:rFonts w:ascii="Times New Roman" w:hAnsi="Times New Roman"/>
          <w:i/>
          <w:iCs/>
          <w:noProof/>
          <w:szCs w:val="24"/>
        </w:rPr>
        <w:t>Journal of Experimental Biology</w:t>
      </w:r>
      <w:r w:rsidRPr="00310E7E">
        <w:rPr>
          <w:rFonts w:ascii="Times New Roman" w:hAnsi="Times New Roman"/>
          <w:noProof/>
          <w:szCs w:val="24"/>
        </w:rPr>
        <w:t xml:space="preserve"> (Vol. 223, Issue Suppl 1). Company of Biologists Ltd. </w:t>
      </w:r>
      <w:hyperlink r:id="rId510" w:history="1">
        <w:r w:rsidRPr="003837F5">
          <w:rPr>
            <w:rStyle w:val="Hyperlink"/>
            <w:rFonts w:ascii="Times New Roman" w:hAnsi="Times New Roman"/>
            <w:noProof/>
            <w:szCs w:val="24"/>
          </w:rPr>
          <w:t>https://doi.org/10.1242/jeb.208181</w:t>
        </w:r>
      </w:hyperlink>
    </w:p>
    <w:p w14:paraId="6839E430" w14:textId="4E31618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Radivojević, T., Costello, Z., Workman, K., &amp; Garcia Martin, H. (2020). A machine learning Automated Recommendation Tool for synthetic biology. </w:t>
      </w:r>
      <w:r w:rsidRPr="00310E7E">
        <w:rPr>
          <w:rFonts w:ascii="Times New Roman" w:hAnsi="Times New Roman"/>
          <w:i/>
          <w:iCs/>
          <w:noProof/>
          <w:szCs w:val="24"/>
        </w:rPr>
        <w:t>Nature Communications</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(1). </w:t>
      </w:r>
      <w:hyperlink r:id="rId511" w:history="1">
        <w:r w:rsidRPr="003837F5">
          <w:rPr>
            <w:rStyle w:val="Hyperlink"/>
            <w:rFonts w:ascii="Times New Roman" w:hAnsi="Times New Roman"/>
            <w:noProof/>
            <w:szCs w:val="24"/>
          </w:rPr>
          <w:t>https://doi.org/10.1038/s41467-020-18008-4</w:t>
        </w:r>
      </w:hyperlink>
    </w:p>
    <w:p w14:paraId="0FF3F7C8" w14:textId="02BAD67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Rai, A., &amp; Boyle, J. (2007). Synthetic Biology: Caught between Property Rights, the Public Domain, and the Commons. </w:t>
      </w:r>
      <w:r w:rsidRPr="00310E7E">
        <w:rPr>
          <w:rFonts w:ascii="Times New Roman" w:hAnsi="Times New Roman"/>
          <w:i/>
          <w:iCs/>
          <w:noProof/>
          <w:szCs w:val="24"/>
        </w:rPr>
        <w:t>PLoS Biology</w:t>
      </w:r>
      <w:r w:rsidRPr="00310E7E">
        <w:rPr>
          <w:rFonts w:ascii="Times New Roman" w:hAnsi="Times New Roman"/>
          <w:noProof/>
          <w:szCs w:val="24"/>
        </w:rPr>
        <w:t xml:space="preserve">, </w:t>
      </w:r>
      <w:r w:rsidRPr="00310E7E">
        <w:rPr>
          <w:rFonts w:ascii="Times New Roman" w:hAnsi="Times New Roman"/>
          <w:i/>
          <w:iCs/>
          <w:noProof/>
          <w:szCs w:val="24"/>
        </w:rPr>
        <w:t>5</w:t>
      </w:r>
      <w:r w:rsidRPr="00310E7E">
        <w:rPr>
          <w:rFonts w:ascii="Times New Roman" w:hAnsi="Times New Roman"/>
          <w:noProof/>
          <w:szCs w:val="24"/>
        </w:rPr>
        <w:t xml:space="preserve">(3), e58. </w:t>
      </w:r>
      <w:hyperlink r:id="rId512" w:history="1">
        <w:r w:rsidRPr="003837F5">
          <w:rPr>
            <w:rStyle w:val="Hyperlink"/>
            <w:rFonts w:ascii="Times New Roman" w:hAnsi="Times New Roman"/>
            <w:noProof/>
            <w:szCs w:val="24"/>
          </w:rPr>
          <w:t>https://doi.org/10.1371/journal.pbio.0050058</w:t>
        </w:r>
      </w:hyperlink>
    </w:p>
    <w:p w14:paraId="1D756E2D" w14:textId="2461673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Ravikumar, S., Baylon, M. G., Park, S. J., &amp; Choi, J. (2017). Engineered microbial biosensors based on bacterial two-component systems as synthetic biotechnology platforms in bioremediation and biorefinery. </w:t>
      </w:r>
      <w:r w:rsidRPr="00310E7E">
        <w:rPr>
          <w:rFonts w:ascii="Times New Roman" w:hAnsi="Times New Roman"/>
          <w:i/>
          <w:iCs/>
          <w:noProof/>
          <w:szCs w:val="24"/>
        </w:rPr>
        <w:t>Microbial Cell Factories</w:t>
      </w:r>
      <w:r w:rsidRPr="00310E7E">
        <w:rPr>
          <w:rFonts w:ascii="Times New Roman" w:hAnsi="Times New Roman"/>
          <w:noProof/>
          <w:szCs w:val="24"/>
        </w:rPr>
        <w:t xml:space="preserve">, </w:t>
      </w:r>
      <w:r w:rsidRPr="00310E7E">
        <w:rPr>
          <w:rFonts w:ascii="Times New Roman" w:hAnsi="Times New Roman"/>
          <w:i/>
          <w:iCs/>
          <w:noProof/>
          <w:szCs w:val="24"/>
        </w:rPr>
        <w:t>16</w:t>
      </w:r>
      <w:r w:rsidRPr="00310E7E">
        <w:rPr>
          <w:rFonts w:ascii="Times New Roman" w:hAnsi="Times New Roman"/>
          <w:noProof/>
          <w:szCs w:val="24"/>
        </w:rPr>
        <w:t xml:space="preserve">(1), 62. </w:t>
      </w:r>
      <w:hyperlink r:id="rId513" w:history="1">
        <w:r w:rsidRPr="003837F5">
          <w:rPr>
            <w:rStyle w:val="Hyperlink"/>
            <w:rFonts w:ascii="Times New Roman" w:hAnsi="Times New Roman"/>
            <w:noProof/>
            <w:szCs w:val="24"/>
          </w:rPr>
          <w:t>https://doi.org/10.1186/s12934-017-0675-z</w:t>
        </w:r>
      </w:hyperlink>
    </w:p>
    <w:p w14:paraId="3D1088DE" w14:textId="6F88192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Redford, K. H., Adams, W., Carlson, R., Mace, G. M., &amp; Ceccarelli, B. (2014). Synthetic biology and the conservation of biodiversity. </w:t>
      </w:r>
      <w:r w:rsidRPr="00310E7E">
        <w:rPr>
          <w:rFonts w:ascii="Times New Roman" w:hAnsi="Times New Roman"/>
          <w:i/>
          <w:iCs/>
          <w:noProof/>
          <w:szCs w:val="24"/>
        </w:rPr>
        <w:t>Oryx</w:t>
      </w:r>
      <w:r w:rsidRPr="00310E7E">
        <w:rPr>
          <w:rFonts w:ascii="Times New Roman" w:hAnsi="Times New Roman"/>
          <w:noProof/>
          <w:szCs w:val="24"/>
        </w:rPr>
        <w:t xml:space="preserve">, </w:t>
      </w:r>
      <w:r w:rsidRPr="00310E7E">
        <w:rPr>
          <w:rFonts w:ascii="Times New Roman" w:hAnsi="Times New Roman"/>
          <w:i/>
          <w:iCs/>
          <w:noProof/>
          <w:szCs w:val="24"/>
        </w:rPr>
        <w:t>48</w:t>
      </w:r>
      <w:r w:rsidRPr="00310E7E">
        <w:rPr>
          <w:rFonts w:ascii="Times New Roman" w:hAnsi="Times New Roman"/>
          <w:noProof/>
          <w:szCs w:val="24"/>
        </w:rPr>
        <w:t xml:space="preserve">(3), 330–336. </w:t>
      </w:r>
      <w:hyperlink r:id="rId514" w:history="1">
        <w:r w:rsidRPr="003837F5">
          <w:rPr>
            <w:rStyle w:val="Hyperlink"/>
            <w:rFonts w:ascii="Times New Roman" w:hAnsi="Times New Roman"/>
            <w:noProof/>
            <w:szCs w:val="24"/>
          </w:rPr>
          <w:t>https://doi.org/10.1017/S0030605314000040</w:t>
        </w:r>
      </w:hyperlink>
    </w:p>
    <w:p w14:paraId="3E5F824B" w14:textId="35BD951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Redford, K. H., Adams, W., &amp; Mace, G. M. (2013). Synthetic Biology and Conservation of Nature: Wicked Problems and Wicked Solutions. </w:t>
      </w:r>
      <w:r w:rsidRPr="00310E7E">
        <w:rPr>
          <w:rFonts w:ascii="Times New Roman" w:hAnsi="Times New Roman"/>
          <w:i/>
          <w:iCs/>
          <w:noProof/>
          <w:szCs w:val="24"/>
        </w:rPr>
        <w:t>PLoS Biology</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(4), e1001530. </w:t>
      </w:r>
      <w:hyperlink r:id="rId515" w:history="1">
        <w:r w:rsidRPr="003837F5">
          <w:rPr>
            <w:rStyle w:val="Hyperlink"/>
            <w:rFonts w:ascii="Times New Roman" w:hAnsi="Times New Roman"/>
            <w:noProof/>
            <w:szCs w:val="24"/>
          </w:rPr>
          <w:t>https://doi.org/10.1371/journal.pbio.1001530</w:t>
        </w:r>
      </w:hyperlink>
    </w:p>
    <w:p w14:paraId="71164252" w14:textId="0FCC3B8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Redford, K. H., Brooks, T. M., Macfarlane, N. B. W., &amp; Adams, J. S. (Eds.). (2019). </w:t>
      </w:r>
      <w:r w:rsidRPr="00310E7E">
        <w:rPr>
          <w:rFonts w:ascii="Times New Roman" w:hAnsi="Times New Roman"/>
          <w:i/>
          <w:iCs/>
          <w:noProof/>
          <w:szCs w:val="24"/>
        </w:rPr>
        <w:t>Genetic frontiers for conservation: an assessment of synthetic biology and biodiversity conservation: technical assessment</w:t>
      </w:r>
      <w:r w:rsidRPr="00310E7E">
        <w:rPr>
          <w:rFonts w:ascii="Times New Roman" w:hAnsi="Times New Roman"/>
          <w:noProof/>
          <w:szCs w:val="24"/>
        </w:rPr>
        <w:t xml:space="preserve">. IUCN, International Union for Conservation of Nature. </w:t>
      </w:r>
      <w:hyperlink r:id="rId516" w:history="1">
        <w:r w:rsidRPr="003837F5">
          <w:rPr>
            <w:rStyle w:val="Hyperlink"/>
            <w:rFonts w:ascii="Times New Roman" w:hAnsi="Times New Roman"/>
            <w:noProof/>
            <w:szCs w:val="24"/>
          </w:rPr>
          <w:t>https://doi.org/10.2305/IUCN.CH.2019.05.en</w:t>
        </w:r>
      </w:hyperlink>
    </w:p>
    <w:p w14:paraId="7DFB4423" w14:textId="5C74BC6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Reed, J. S., &amp; Dyson, L. (2013). </w:t>
      </w:r>
      <w:r w:rsidRPr="00310E7E">
        <w:rPr>
          <w:rFonts w:ascii="Times New Roman" w:hAnsi="Times New Roman"/>
          <w:i/>
          <w:iCs/>
          <w:noProof/>
          <w:szCs w:val="24"/>
        </w:rPr>
        <w:t>Use of oxyhydrogen microorganisms for non-photosynthetic carbon capture and conversion of inorganic and/or c1 carbon sources into useful organic compounds, US20130149755A1</w:t>
      </w:r>
      <w:r w:rsidRPr="00310E7E">
        <w:rPr>
          <w:rFonts w:ascii="Times New Roman" w:hAnsi="Times New Roman"/>
          <w:noProof/>
          <w:szCs w:val="24"/>
        </w:rPr>
        <w:t xml:space="preserve"> (Vol. 1, Issue 19). </w:t>
      </w:r>
      <w:hyperlink r:id="rId517" w:history="1">
        <w:r w:rsidRPr="003837F5">
          <w:rPr>
            <w:rStyle w:val="Hyperlink"/>
            <w:rFonts w:ascii="Times New Roman" w:hAnsi="Times New Roman"/>
            <w:noProof/>
            <w:szCs w:val="24"/>
          </w:rPr>
          <w:t>https://patents.google.com/patent/US20130149755A1</w:t>
        </w:r>
      </w:hyperlink>
    </w:p>
    <w:p w14:paraId="2B71F8C3" w14:textId="3147A82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Rees-Garbutt, J., Chalkley, O., Landon, S., Purcell, O., Marucci, L., &amp; Grierson, C. (2020). Designing minimal genomes using whole-cell models. </w:t>
      </w:r>
      <w:r w:rsidRPr="00310E7E">
        <w:rPr>
          <w:rFonts w:ascii="Times New Roman" w:hAnsi="Times New Roman"/>
          <w:i/>
          <w:iCs/>
          <w:noProof/>
          <w:szCs w:val="24"/>
        </w:rPr>
        <w:t>Nature Communications</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(1), 1–12. </w:t>
      </w:r>
      <w:hyperlink r:id="rId518" w:history="1">
        <w:r w:rsidRPr="003837F5">
          <w:rPr>
            <w:rStyle w:val="Hyperlink"/>
            <w:rFonts w:ascii="Times New Roman" w:hAnsi="Times New Roman"/>
            <w:noProof/>
            <w:szCs w:val="24"/>
          </w:rPr>
          <w:t>https://doi.org/10.1038/s41467-020-14545-0</w:t>
        </w:r>
      </w:hyperlink>
    </w:p>
    <w:p w14:paraId="4E612908" w14:textId="17B18D3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Rees, H. A., &amp; Liu, D. R. (2018). Base editing: precision chemistry on the genome and transcriptome of living cells. In </w:t>
      </w:r>
      <w:r w:rsidRPr="00310E7E">
        <w:rPr>
          <w:rFonts w:ascii="Times New Roman" w:hAnsi="Times New Roman"/>
          <w:i/>
          <w:iCs/>
          <w:noProof/>
          <w:szCs w:val="24"/>
        </w:rPr>
        <w:t>Nature Reviews Genetics</w:t>
      </w:r>
      <w:r w:rsidRPr="00310E7E">
        <w:rPr>
          <w:rFonts w:ascii="Times New Roman" w:hAnsi="Times New Roman"/>
          <w:noProof/>
          <w:szCs w:val="24"/>
        </w:rPr>
        <w:t xml:space="preserve"> (Vol. 19, Issue 12, pp. 770–788). Nature Publishing Group. </w:t>
      </w:r>
      <w:hyperlink r:id="rId519" w:history="1">
        <w:r w:rsidRPr="003837F5">
          <w:rPr>
            <w:rStyle w:val="Hyperlink"/>
            <w:rFonts w:ascii="Times New Roman" w:hAnsi="Times New Roman"/>
            <w:noProof/>
            <w:szCs w:val="24"/>
          </w:rPr>
          <w:t>https://doi.org/10.1038/s41576-018-0059-1</w:t>
        </w:r>
      </w:hyperlink>
    </w:p>
    <w:p w14:paraId="006FE9BB" w14:textId="28112FA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Rees, M. (2013). Denial of Catastrophic Risks.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339</w:t>
      </w:r>
      <w:r w:rsidRPr="00310E7E">
        <w:rPr>
          <w:rFonts w:ascii="Times New Roman" w:hAnsi="Times New Roman"/>
          <w:noProof/>
          <w:szCs w:val="24"/>
        </w:rPr>
        <w:t xml:space="preserve">(6124), 1123–1123. </w:t>
      </w:r>
      <w:hyperlink r:id="rId520" w:history="1">
        <w:r w:rsidRPr="003837F5">
          <w:rPr>
            <w:rStyle w:val="Hyperlink"/>
            <w:rFonts w:ascii="Times New Roman" w:hAnsi="Times New Roman"/>
            <w:noProof/>
            <w:szCs w:val="24"/>
          </w:rPr>
          <w:t>https://doi.org/10.1126/science.1236756</w:t>
        </w:r>
      </w:hyperlink>
    </w:p>
    <w:p w14:paraId="54461C8A" w14:textId="04EE33E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Reeves, R. G., Voeneky, S., Caetano-Anollés, D., Beck, F., &amp; Boëte, C. (2018). Agricultural research, or a new bioweapon system?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362</w:t>
      </w:r>
      <w:r w:rsidRPr="00310E7E">
        <w:rPr>
          <w:rFonts w:ascii="Times New Roman" w:hAnsi="Times New Roman"/>
          <w:noProof/>
          <w:szCs w:val="24"/>
        </w:rPr>
        <w:t xml:space="preserve">(6410), 35–37. </w:t>
      </w:r>
      <w:hyperlink r:id="rId521" w:history="1">
        <w:r w:rsidRPr="003837F5">
          <w:rPr>
            <w:rStyle w:val="Hyperlink"/>
            <w:rFonts w:ascii="Times New Roman" w:hAnsi="Times New Roman"/>
            <w:noProof/>
            <w:szCs w:val="24"/>
          </w:rPr>
          <w:t>https://doi.org/10.1126/science.aat7664</w:t>
        </w:r>
      </w:hyperlink>
    </w:p>
    <w:p w14:paraId="20C1B21A" w14:textId="3CD2795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Reisinger, M., Sanders, E., &amp; Temme, K. (2020). </w:t>
      </w:r>
      <w:r w:rsidRPr="00310E7E">
        <w:rPr>
          <w:rFonts w:ascii="Times New Roman" w:hAnsi="Times New Roman"/>
          <w:i/>
          <w:iCs/>
          <w:noProof/>
          <w:szCs w:val="24"/>
        </w:rPr>
        <w:t>Improved consistency of crop yield through biological nitrogen fixation</w:t>
      </w:r>
      <w:r w:rsidRPr="00310E7E">
        <w:rPr>
          <w:rFonts w:ascii="Times New Roman" w:hAnsi="Times New Roman"/>
          <w:noProof/>
          <w:szCs w:val="24"/>
        </w:rPr>
        <w:t xml:space="preserve"> (Patent No. WO2020163251A1). </w:t>
      </w:r>
      <w:hyperlink r:id="rId522" w:history="1">
        <w:r w:rsidRPr="003837F5">
          <w:rPr>
            <w:rStyle w:val="Hyperlink"/>
            <w:rFonts w:ascii="Times New Roman" w:hAnsi="Times New Roman"/>
            <w:noProof/>
            <w:szCs w:val="24"/>
          </w:rPr>
          <w:t>https://patents.google.com/patent/WO2020163251A1/en?assignee=pivot+bio&amp;oq=pivot+bio</w:t>
        </w:r>
      </w:hyperlink>
    </w:p>
    <w:p w14:paraId="41DA4C5D" w14:textId="56C4BA3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Ren, J., Lee, J., &amp; Na, D. (2020). Recent advances in genetic engineering tools based on synthetic biology. In </w:t>
      </w:r>
      <w:r w:rsidRPr="00310E7E">
        <w:rPr>
          <w:rFonts w:ascii="Times New Roman" w:hAnsi="Times New Roman"/>
          <w:i/>
          <w:iCs/>
          <w:noProof/>
          <w:szCs w:val="24"/>
        </w:rPr>
        <w:t>Journal of Microbiology</w:t>
      </w:r>
      <w:r w:rsidRPr="00310E7E">
        <w:rPr>
          <w:rFonts w:ascii="Times New Roman" w:hAnsi="Times New Roman"/>
          <w:noProof/>
          <w:szCs w:val="24"/>
        </w:rPr>
        <w:t xml:space="preserve"> (Vol. 58, Issue 1). Microbiological Society of Korea. </w:t>
      </w:r>
      <w:hyperlink r:id="rId523" w:history="1">
        <w:r w:rsidRPr="003837F5">
          <w:rPr>
            <w:rStyle w:val="Hyperlink"/>
            <w:rFonts w:ascii="Times New Roman" w:hAnsi="Times New Roman"/>
            <w:noProof/>
            <w:szCs w:val="24"/>
          </w:rPr>
          <w:t>https://doi.org/10.1007/s12275-020-9334-x</w:t>
        </w:r>
      </w:hyperlink>
    </w:p>
    <w:p w14:paraId="6EB0591C" w14:textId="1058DD4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Renault, R., &amp; Agabi, O. E. (2018). </w:t>
      </w:r>
      <w:r w:rsidRPr="00310E7E">
        <w:rPr>
          <w:rFonts w:ascii="Times New Roman" w:hAnsi="Times New Roman"/>
          <w:i/>
          <w:iCs/>
          <w:noProof/>
          <w:szCs w:val="24"/>
        </w:rPr>
        <w:t>A reconfigurable biological computer based on coupled trainable neuronal gates, WO2018237302A1</w:t>
      </w:r>
      <w:r w:rsidRPr="00310E7E">
        <w:rPr>
          <w:rFonts w:ascii="Times New Roman" w:hAnsi="Times New Roman"/>
          <w:noProof/>
          <w:szCs w:val="24"/>
        </w:rPr>
        <w:t xml:space="preserve"> (Issue 12). </w:t>
      </w:r>
      <w:hyperlink r:id="rId524" w:history="1">
        <w:r w:rsidRPr="003837F5">
          <w:rPr>
            <w:rStyle w:val="Hyperlink"/>
            <w:rFonts w:ascii="Times New Roman" w:hAnsi="Times New Roman"/>
            <w:noProof/>
            <w:szCs w:val="24"/>
          </w:rPr>
          <w:t>https://patents.google.com/patent/WO2018237302A1</w:t>
        </w:r>
      </w:hyperlink>
    </w:p>
    <w:p w14:paraId="7E577264" w14:textId="122D958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Rendón, P., McInnis, D., Lance, D., &amp; Stewart, J. (2004). Medfly (Diptera:</w:t>
      </w:r>
      <w:r w:rsidRPr="003837F5">
        <w:rPr>
          <w:rFonts w:ascii="Times New Roman" w:hAnsi="Times New Roman"/>
          <w:i/>
          <w:iCs/>
          <w:noProof/>
          <w:szCs w:val="24"/>
        </w:rPr>
        <w:t>Tephritidae</w:t>
      </w:r>
      <w:r w:rsidRPr="00310E7E">
        <w:rPr>
          <w:rFonts w:ascii="Times New Roman" w:hAnsi="Times New Roman"/>
          <w:noProof/>
          <w:szCs w:val="24"/>
        </w:rPr>
        <w:t xml:space="preserve">) genetic sexing: Large-scale field comparison of males-only and bisexual sterile fly releases in Guatemala. </w:t>
      </w:r>
      <w:r w:rsidRPr="00310E7E">
        <w:rPr>
          <w:rFonts w:ascii="Times New Roman" w:hAnsi="Times New Roman"/>
          <w:i/>
          <w:iCs/>
          <w:noProof/>
          <w:szCs w:val="24"/>
        </w:rPr>
        <w:t>Journal of Economic Entomology</w:t>
      </w:r>
      <w:r w:rsidRPr="00310E7E">
        <w:rPr>
          <w:rFonts w:ascii="Times New Roman" w:hAnsi="Times New Roman"/>
          <w:noProof/>
          <w:szCs w:val="24"/>
        </w:rPr>
        <w:t xml:space="preserve">, </w:t>
      </w:r>
      <w:r w:rsidRPr="00310E7E">
        <w:rPr>
          <w:rFonts w:ascii="Times New Roman" w:hAnsi="Times New Roman"/>
          <w:i/>
          <w:iCs/>
          <w:noProof/>
          <w:szCs w:val="24"/>
        </w:rPr>
        <w:t>97</w:t>
      </w:r>
      <w:r w:rsidRPr="00310E7E">
        <w:rPr>
          <w:rFonts w:ascii="Times New Roman" w:hAnsi="Times New Roman"/>
          <w:noProof/>
          <w:szCs w:val="24"/>
        </w:rPr>
        <w:t xml:space="preserve">(5), 1547–1553. </w:t>
      </w:r>
      <w:hyperlink r:id="rId525" w:history="1">
        <w:r w:rsidRPr="003837F5">
          <w:rPr>
            <w:rStyle w:val="Hyperlink"/>
            <w:rFonts w:ascii="Times New Roman" w:hAnsi="Times New Roman"/>
            <w:noProof/>
            <w:szCs w:val="24"/>
          </w:rPr>
          <w:t>https://doi.org/10.1603/0022-0493-97.5.1547</w:t>
        </w:r>
      </w:hyperlink>
    </w:p>
    <w:p w14:paraId="7BCC63D4" w14:textId="02F87AB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Resnik, D. B. (2018). Ethics of community engagement in field trials of genetically modified mosquitoes. </w:t>
      </w:r>
      <w:r w:rsidRPr="00310E7E">
        <w:rPr>
          <w:rFonts w:ascii="Times New Roman" w:hAnsi="Times New Roman"/>
          <w:i/>
          <w:iCs/>
          <w:noProof/>
          <w:szCs w:val="24"/>
        </w:rPr>
        <w:t>Developing World Bioethics</w:t>
      </w:r>
      <w:r w:rsidRPr="00310E7E">
        <w:rPr>
          <w:rFonts w:ascii="Times New Roman" w:hAnsi="Times New Roman"/>
          <w:noProof/>
          <w:szCs w:val="24"/>
        </w:rPr>
        <w:t xml:space="preserve">, </w:t>
      </w:r>
      <w:r w:rsidRPr="00310E7E">
        <w:rPr>
          <w:rFonts w:ascii="Times New Roman" w:hAnsi="Times New Roman"/>
          <w:i/>
          <w:iCs/>
          <w:noProof/>
          <w:szCs w:val="24"/>
        </w:rPr>
        <w:t>18</w:t>
      </w:r>
      <w:r w:rsidRPr="00310E7E">
        <w:rPr>
          <w:rFonts w:ascii="Times New Roman" w:hAnsi="Times New Roman"/>
          <w:noProof/>
          <w:szCs w:val="24"/>
        </w:rPr>
        <w:t xml:space="preserve">(2), 135–143. </w:t>
      </w:r>
      <w:hyperlink r:id="rId526" w:history="1">
        <w:r w:rsidRPr="003837F5">
          <w:rPr>
            <w:rStyle w:val="Hyperlink"/>
            <w:rFonts w:ascii="Times New Roman" w:hAnsi="Times New Roman"/>
            <w:noProof/>
            <w:szCs w:val="24"/>
          </w:rPr>
          <w:t>https://doi.org/10.1111/dewb.12147</w:t>
        </w:r>
      </w:hyperlink>
    </w:p>
    <w:p w14:paraId="6B1EC5CE" w14:textId="56F818F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Reynolds, J. L. (2021). Engineering biological diversity: the international governance of synthetic biology, gene drives, and de-extinction for conservation. In </w:t>
      </w:r>
      <w:r w:rsidRPr="00310E7E">
        <w:rPr>
          <w:rFonts w:ascii="Times New Roman" w:hAnsi="Times New Roman"/>
          <w:i/>
          <w:iCs/>
          <w:noProof/>
          <w:szCs w:val="24"/>
        </w:rPr>
        <w:t>Current Opinion in Environmental Sustainability</w:t>
      </w:r>
      <w:r w:rsidRPr="00310E7E">
        <w:rPr>
          <w:rFonts w:ascii="Times New Roman" w:hAnsi="Times New Roman"/>
          <w:noProof/>
          <w:szCs w:val="24"/>
        </w:rPr>
        <w:t xml:space="preserve"> (Vol. 49, pp. 1–6). Elsevier B.V. </w:t>
      </w:r>
      <w:hyperlink r:id="rId527" w:history="1">
        <w:r w:rsidRPr="003837F5">
          <w:rPr>
            <w:rStyle w:val="Hyperlink"/>
            <w:rFonts w:ascii="Times New Roman" w:hAnsi="Times New Roman"/>
            <w:noProof/>
            <w:szCs w:val="24"/>
          </w:rPr>
          <w:t>https://doi.org/10.1016/j.cosust.2020.10.001</w:t>
        </w:r>
      </w:hyperlink>
    </w:p>
    <w:p w14:paraId="1697718A" w14:textId="0DC955B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Rhodes, J. I., &amp; Mandivenyi, W. (2020). </w:t>
      </w:r>
      <w:r w:rsidRPr="00310E7E">
        <w:rPr>
          <w:rFonts w:ascii="Times New Roman" w:hAnsi="Times New Roman"/>
          <w:i/>
          <w:iCs/>
          <w:noProof/>
          <w:szCs w:val="24"/>
        </w:rPr>
        <w:t>South Africa—Synthetic Biology Regulatory Considerations and Biodiversity – A Legal Perspective for South Africa</w:t>
      </w:r>
      <w:r w:rsidRPr="00310E7E">
        <w:rPr>
          <w:rFonts w:ascii="Times New Roman" w:hAnsi="Times New Roman"/>
          <w:noProof/>
          <w:szCs w:val="24"/>
        </w:rPr>
        <w:t xml:space="preserve"> (pp. 495–499). </w:t>
      </w:r>
      <w:hyperlink r:id="rId528" w:history="1">
        <w:r w:rsidRPr="003837F5">
          <w:rPr>
            <w:rStyle w:val="Hyperlink"/>
            <w:rFonts w:ascii="Times New Roman" w:hAnsi="Times New Roman"/>
            <w:noProof/>
            <w:szCs w:val="24"/>
          </w:rPr>
          <w:t>https://doi.org/10.1007/978-3-030-53183-6_24</w:t>
        </w:r>
      </w:hyperlink>
    </w:p>
    <w:p w14:paraId="4AEB7ECB" w14:textId="5AF4BFC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Ribarits, A., Eckerstorfer, M., Simon, S., &amp; Stepanek, W. (2021). Genome-Edited Plants: Opportunities and Challenges for an Anticipatory Detection and Identification Framework. </w:t>
      </w:r>
      <w:r w:rsidRPr="00310E7E">
        <w:rPr>
          <w:rFonts w:ascii="Times New Roman" w:hAnsi="Times New Roman"/>
          <w:i/>
          <w:iCs/>
          <w:noProof/>
          <w:szCs w:val="24"/>
        </w:rPr>
        <w:t>Foods</w:t>
      </w:r>
      <w:r w:rsidRPr="00310E7E">
        <w:rPr>
          <w:rFonts w:ascii="Times New Roman" w:hAnsi="Times New Roman"/>
          <w:noProof/>
          <w:szCs w:val="24"/>
        </w:rPr>
        <w:t xml:space="preserve">, </w:t>
      </w:r>
      <w:r w:rsidRPr="00310E7E">
        <w:rPr>
          <w:rFonts w:ascii="Times New Roman" w:hAnsi="Times New Roman"/>
          <w:i/>
          <w:iCs/>
          <w:noProof/>
          <w:szCs w:val="24"/>
        </w:rPr>
        <w:t>10</w:t>
      </w:r>
      <w:r w:rsidRPr="00310E7E">
        <w:rPr>
          <w:rFonts w:ascii="Times New Roman" w:hAnsi="Times New Roman"/>
          <w:noProof/>
          <w:szCs w:val="24"/>
        </w:rPr>
        <w:t xml:space="preserve">(2), 430. </w:t>
      </w:r>
      <w:hyperlink r:id="rId529" w:history="1">
        <w:r w:rsidRPr="003837F5">
          <w:rPr>
            <w:rStyle w:val="Hyperlink"/>
            <w:rFonts w:ascii="Times New Roman" w:hAnsi="Times New Roman"/>
            <w:noProof/>
            <w:szCs w:val="24"/>
          </w:rPr>
          <w:t>https://doi.org/10.3390/foods10020430</w:t>
        </w:r>
      </w:hyperlink>
    </w:p>
    <w:p w14:paraId="476C0C69" w14:textId="7140A2C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Ribarits, A., Narendja, F., Stepanek, W., &amp; Hochegger, R. (2020). Detection Methods Fit-for-Purpose in Enforcement Control of Genetically Modified Plants Produced with Novel Genomic Techniques (NGTs). </w:t>
      </w:r>
      <w:r w:rsidRPr="00310E7E">
        <w:rPr>
          <w:rFonts w:ascii="Times New Roman" w:hAnsi="Times New Roman"/>
          <w:i/>
          <w:iCs/>
          <w:noProof/>
          <w:szCs w:val="24"/>
        </w:rPr>
        <w:t>Agronomy</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(1), 61. </w:t>
      </w:r>
      <w:hyperlink r:id="rId530" w:history="1">
        <w:r w:rsidRPr="003837F5">
          <w:rPr>
            <w:rStyle w:val="Hyperlink"/>
            <w:rFonts w:ascii="Times New Roman" w:hAnsi="Times New Roman"/>
            <w:noProof/>
            <w:szCs w:val="24"/>
          </w:rPr>
          <w:t>https://doi.org/10.3390/agronomy11010061</w:t>
        </w:r>
      </w:hyperlink>
    </w:p>
    <w:p w14:paraId="38BB3F4D" w14:textId="6DB0E883" w:rsidR="003837F5" w:rsidRDefault="003837F5" w:rsidP="00310E7E">
      <w:pPr>
        <w:widowControl w:val="0"/>
        <w:autoSpaceDE w:val="0"/>
        <w:autoSpaceDN w:val="0"/>
        <w:adjustRightInd w:val="0"/>
        <w:spacing w:after="140" w:line="240" w:lineRule="auto"/>
        <w:ind w:left="480" w:hanging="480"/>
        <w:rPr>
          <w:rFonts w:ascii="Times New Roman" w:hAnsi="Times New Roman"/>
          <w:noProof/>
          <w:szCs w:val="24"/>
        </w:rPr>
      </w:pPr>
      <w:r w:rsidRPr="003837F5">
        <w:rPr>
          <w:rFonts w:ascii="Times New Roman" w:hAnsi="Times New Roman"/>
          <w:noProof/>
          <w:szCs w:val="24"/>
        </w:rPr>
        <w:t xml:space="preserve">Richardson, S. M., Mitchell, L. A., Stracquadanio, G., Yang, K., Dymond, J. S., DiCarlo, J. E., Lee, D., Huang, C. L. V., Chandrasegaran, S., Cai, Y., Boeke, J. D., &amp; Bader, J. S. (2017). Design of a synthetic yeast genome. Science, 355(6329), 1040–1044. </w:t>
      </w:r>
      <w:hyperlink r:id="rId531" w:history="1">
        <w:r w:rsidRPr="003837F5">
          <w:rPr>
            <w:rStyle w:val="Hyperlink"/>
            <w:rFonts w:ascii="Times New Roman" w:hAnsi="Times New Roman"/>
            <w:noProof/>
            <w:szCs w:val="24"/>
          </w:rPr>
          <w:t>https://doi.org/10.1126/science.aaf4557</w:t>
        </w:r>
      </w:hyperlink>
      <w:r w:rsidRPr="003837F5">
        <w:rPr>
          <w:rFonts w:ascii="Times New Roman" w:hAnsi="Times New Roman"/>
          <w:noProof/>
          <w:szCs w:val="24"/>
        </w:rPr>
        <w:t xml:space="preserve"> </w:t>
      </w:r>
    </w:p>
    <w:p w14:paraId="7E27F071" w14:textId="223B777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Ricroch, A. E., &amp; Hénard-Damave, M. C. (2016). Next biotech plants: new traits, crops, developers and technologies for addressing global challenges. In </w:t>
      </w:r>
      <w:r w:rsidRPr="00310E7E">
        <w:rPr>
          <w:rFonts w:ascii="Times New Roman" w:hAnsi="Times New Roman"/>
          <w:i/>
          <w:iCs/>
          <w:noProof/>
          <w:szCs w:val="24"/>
        </w:rPr>
        <w:t>Critical Reviews in Biotechnology</w:t>
      </w:r>
      <w:r w:rsidRPr="00310E7E">
        <w:rPr>
          <w:rFonts w:ascii="Times New Roman" w:hAnsi="Times New Roman"/>
          <w:noProof/>
          <w:szCs w:val="24"/>
        </w:rPr>
        <w:t xml:space="preserve"> (Vol. 36, Issue 4, pp. 675–690). Taylor and Francis Ltd. </w:t>
      </w:r>
      <w:hyperlink r:id="rId532" w:history="1">
        <w:r w:rsidRPr="00774939">
          <w:rPr>
            <w:rStyle w:val="Hyperlink"/>
            <w:rFonts w:ascii="Times New Roman" w:hAnsi="Times New Roman"/>
            <w:noProof/>
            <w:szCs w:val="24"/>
          </w:rPr>
          <w:t>https://doi.org/10.3109/07388551.2015.1004521</w:t>
        </w:r>
      </w:hyperlink>
    </w:p>
    <w:p w14:paraId="5D4017C2" w14:textId="2E91413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Ridley, C., Wang, J., &amp; Marr, S. (2019). </w:t>
      </w:r>
      <w:r w:rsidRPr="00310E7E">
        <w:rPr>
          <w:rFonts w:ascii="Times New Roman" w:hAnsi="Times New Roman"/>
          <w:i/>
          <w:iCs/>
          <w:noProof/>
          <w:szCs w:val="24"/>
        </w:rPr>
        <w:t>Chimeric terpene synthases, WO2019161141A9</w:t>
      </w:r>
      <w:r w:rsidRPr="00310E7E">
        <w:rPr>
          <w:rFonts w:ascii="Times New Roman" w:hAnsi="Times New Roman"/>
          <w:noProof/>
          <w:szCs w:val="24"/>
        </w:rPr>
        <w:t xml:space="preserve"> (Vol. 00, Issue 51).</w:t>
      </w:r>
      <w:r w:rsidR="00774939" w:rsidRPr="00774939">
        <w:t xml:space="preserve"> </w:t>
      </w:r>
      <w:hyperlink r:id="rId533" w:history="1">
        <w:r w:rsidR="00774939" w:rsidRPr="00774939">
          <w:rPr>
            <w:rStyle w:val="Hyperlink"/>
            <w:rFonts w:ascii="Times New Roman" w:hAnsi="Times New Roman"/>
            <w:noProof/>
            <w:szCs w:val="24"/>
          </w:rPr>
          <w:t>https://patents.google.com/patent/WO2019161141A1/en?q=Chimeric+terpene+synthases&amp;oq=Chimeric+terpene+synthases</w:t>
        </w:r>
      </w:hyperlink>
      <w:r w:rsidR="00774939">
        <w:rPr>
          <w:rFonts w:ascii="Times New Roman" w:hAnsi="Times New Roman"/>
          <w:noProof/>
          <w:szCs w:val="24"/>
        </w:rPr>
        <w:t xml:space="preserve"> </w:t>
      </w:r>
    </w:p>
    <w:p w14:paraId="7EDC5F4A" w14:textId="1073AF9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Rischer, H., Szilvay, G. R., &amp; Oksman-Caldentey, K. M. (2020). Cellular agriculture — industrial biotechnology for food and materials. In </w:t>
      </w:r>
      <w:r w:rsidRPr="00310E7E">
        <w:rPr>
          <w:rFonts w:ascii="Times New Roman" w:hAnsi="Times New Roman"/>
          <w:i/>
          <w:iCs/>
          <w:noProof/>
          <w:szCs w:val="24"/>
        </w:rPr>
        <w:t>Current Opinion in Biotechnology</w:t>
      </w:r>
      <w:r w:rsidRPr="00310E7E">
        <w:rPr>
          <w:rFonts w:ascii="Times New Roman" w:hAnsi="Times New Roman"/>
          <w:noProof/>
          <w:szCs w:val="24"/>
        </w:rPr>
        <w:t xml:space="preserve"> (Vol. 61, pp. 128–134). Elsevier Ltd.</w:t>
      </w:r>
      <w:hyperlink r:id="rId534" w:history="1">
        <w:r w:rsidRPr="00774939">
          <w:rPr>
            <w:rStyle w:val="Hyperlink"/>
            <w:rFonts w:ascii="Times New Roman" w:hAnsi="Times New Roman"/>
            <w:noProof/>
            <w:szCs w:val="24"/>
          </w:rPr>
          <w:t xml:space="preserve"> https://doi.org/10.1016/j.copbio.2019.12.003</w:t>
        </w:r>
      </w:hyperlink>
    </w:p>
    <w:p w14:paraId="674096B6" w14:textId="70EB5F7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Robbins, P. F., Morgan, R. A., Feldman, S. A., Yang, J. C., Sherry, R. M., Dudley, M. E., Wunderlich, J. R., Nahvi, A. V, Helman, L. J., Mackall, C. L., Kammula, U. S., Hughes, M. S., Restifo, N. P., Raffeld, M., Lee, C. C. R., Levy, C. L., Li, Y. F., El-Gamil, M., Schwarz, S. L., … Rosenberg, S. A. (2011). Tumor regression in patients with metastatic synovial cell sarcoma and melanoma using genetically engineered lymphocytes reactive with NY-ESO-1. </w:t>
      </w:r>
      <w:r w:rsidRPr="00310E7E">
        <w:rPr>
          <w:rFonts w:ascii="Times New Roman" w:hAnsi="Times New Roman"/>
          <w:i/>
          <w:iCs/>
          <w:noProof/>
          <w:szCs w:val="24"/>
        </w:rPr>
        <w:t>Journal of Clinical Oncology</w:t>
      </w:r>
      <w:r w:rsidRPr="00310E7E">
        <w:rPr>
          <w:rFonts w:ascii="Times New Roman" w:hAnsi="Times New Roman"/>
          <w:noProof/>
          <w:szCs w:val="24"/>
        </w:rPr>
        <w:t xml:space="preserve">, </w:t>
      </w:r>
      <w:r w:rsidRPr="00310E7E">
        <w:rPr>
          <w:rFonts w:ascii="Times New Roman" w:hAnsi="Times New Roman"/>
          <w:i/>
          <w:iCs/>
          <w:noProof/>
          <w:szCs w:val="24"/>
        </w:rPr>
        <w:t>29</w:t>
      </w:r>
      <w:r w:rsidRPr="00310E7E">
        <w:rPr>
          <w:rFonts w:ascii="Times New Roman" w:hAnsi="Times New Roman"/>
          <w:noProof/>
          <w:szCs w:val="24"/>
        </w:rPr>
        <w:t xml:space="preserve">(7), 917–924. </w:t>
      </w:r>
      <w:hyperlink r:id="rId535" w:history="1">
        <w:r w:rsidRPr="00774939">
          <w:rPr>
            <w:rStyle w:val="Hyperlink"/>
            <w:rFonts w:ascii="Times New Roman" w:hAnsi="Times New Roman"/>
            <w:noProof/>
            <w:szCs w:val="24"/>
          </w:rPr>
          <w:t>https://doi.org/10.1200/JCO.2010.32.2537</w:t>
        </w:r>
      </w:hyperlink>
    </w:p>
    <w:p w14:paraId="33E2B5A2" w14:textId="69578E1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Roberts, A., Andrade, P. P. de, Okumu, F., Quemada, H., Savadogo, M., Singh, J. A., &amp; James, S. (2017). Results from the Workshop “Problem Formulation for the Use of Gene Drive in Mosquitoes.” </w:t>
      </w:r>
      <w:r w:rsidRPr="00310E7E">
        <w:rPr>
          <w:rFonts w:ascii="Times New Roman" w:hAnsi="Times New Roman"/>
          <w:i/>
          <w:iCs/>
          <w:noProof/>
          <w:szCs w:val="24"/>
        </w:rPr>
        <w:t>The American Journal of Tropical Medicine and Hygiene</w:t>
      </w:r>
      <w:r w:rsidRPr="00310E7E">
        <w:rPr>
          <w:rFonts w:ascii="Times New Roman" w:hAnsi="Times New Roman"/>
          <w:noProof/>
          <w:szCs w:val="24"/>
        </w:rPr>
        <w:t xml:space="preserve">, </w:t>
      </w:r>
      <w:r w:rsidRPr="00310E7E">
        <w:rPr>
          <w:rFonts w:ascii="Times New Roman" w:hAnsi="Times New Roman"/>
          <w:i/>
          <w:iCs/>
          <w:noProof/>
          <w:szCs w:val="24"/>
        </w:rPr>
        <w:t>96</w:t>
      </w:r>
      <w:r w:rsidRPr="00310E7E">
        <w:rPr>
          <w:rFonts w:ascii="Times New Roman" w:hAnsi="Times New Roman"/>
          <w:noProof/>
          <w:szCs w:val="24"/>
        </w:rPr>
        <w:t xml:space="preserve">(3), 530–533. </w:t>
      </w:r>
      <w:hyperlink r:id="rId536" w:history="1">
        <w:r w:rsidRPr="00774939">
          <w:rPr>
            <w:rStyle w:val="Hyperlink"/>
            <w:rFonts w:ascii="Times New Roman" w:hAnsi="Times New Roman"/>
            <w:noProof/>
            <w:szCs w:val="24"/>
          </w:rPr>
          <w:t>https://doi.org/10.4269/ajtmh.16-0726</w:t>
        </w:r>
      </w:hyperlink>
    </w:p>
    <w:p w14:paraId="1B5EE8D0" w14:textId="1A67521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Rode, N. O., Courtier-Orgogozo, V., &amp; Débarre, F. (2020). Can a population targeted by a CRISPR-based homing gene drive be rescued? </w:t>
      </w:r>
      <w:r w:rsidRPr="00310E7E">
        <w:rPr>
          <w:rFonts w:ascii="Times New Roman" w:hAnsi="Times New Roman"/>
          <w:i/>
          <w:iCs/>
          <w:noProof/>
          <w:szCs w:val="24"/>
        </w:rPr>
        <w:t>G3: Genes, Genomes, Genetics</w:t>
      </w:r>
      <w:r w:rsidRPr="00310E7E">
        <w:rPr>
          <w:rFonts w:ascii="Times New Roman" w:hAnsi="Times New Roman"/>
          <w:noProof/>
          <w:szCs w:val="24"/>
        </w:rPr>
        <w:t xml:space="preserve">, </w:t>
      </w:r>
      <w:r w:rsidRPr="00310E7E">
        <w:rPr>
          <w:rFonts w:ascii="Times New Roman" w:hAnsi="Times New Roman"/>
          <w:i/>
          <w:iCs/>
          <w:noProof/>
          <w:szCs w:val="24"/>
        </w:rPr>
        <w:t>10</w:t>
      </w:r>
      <w:r w:rsidRPr="00310E7E">
        <w:rPr>
          <w:rFonts w:ascii="Times New Roman" w:hAnsi="Times New Roman"/>
          <w:noProof/>
          <w:szCs w:val="24"/>
        </w:rPr>
        <w:t xml:space="preserve">(9), 3403–3415. </w:t>
      </w:r>
      <w:hyperlink r:id="rId537" w:history="1">
        <w:r w:rsidRPr="00774939">
          <w:rPr>
            <w:rStyle w:val="Hyperlink"/>
            <w:rFonts w:ascii="Times New Roman" w:hAnsi="Times New Roman"/>
            <w:noProof/>
            <w:szCs w:val="24"/>
          </w:rPr>
          <w:t>https://doi.org/10.1534/g3.120.401484</w:t>
        </w:r>
      </w:hyperlink>
    </w:p>
    <w:p w14:paraId="231628B0" w14:textId="16C90FE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Rode, N. O., Estoup, A., Bourguet, D., Courtier-Orgogozo, V., &amp; Débarre, F. (2019). Population management using gene drive: molecular design, models of spread dynamics and assessment of ecological risks. </w:t>
      </w:r>
      <w:r w:rsidRPr="00310E7E">
        <w:rPr>
          <w:rFonts w:ascii="Times New Roman" w:hAnsi="Times New Roman"/>
          <w:i/>
          <w:iCs/>
          <w:noProof/>
          <w:szCs w:val="24"/>
        </w:rPr>
        <w:t>Conservation Genetics</w:t>
      </w:r>
      <w:r w:rsidRPr="00310E7E">
        <w:rPr>
          <w:rFonts w:ascii="Times New Roman" w:hAnsi="Times New Roman"/>
          <w:noProof/>
          <w:szCs w:val="24"/>
        </w:rPr>
        <w:t xml:space="preserve">, </w:t>
      </w:r>
      <w:r w:rsidRPr="00310E7E">
        <w:rPr>
          <w:rFonts w:ascii="Times New Roman" w:hAnsi="Times New Roman"/>
          <w:i/>
          <w:iCs/>
          <w:noProof/>
          <w:szCs w:val="24"/>
        </w:rPr>
        <w:t>20</w:t>
      </w:r>
      <w:r w:rsidRPr="00310E7E">
        <w:rPr>
          <w:rFonts w:ascii="Times New Roman" w:hAnsi="Times New Roman"/>
          <w:noProof/>
          <w:szCs w:val="24"/>
        </w:rPr>
        <w:t xml:space="preserve">(4), 671–690. </w:t>
      </w:r>
      <w:hyperlink r:id="rId538" w:history="1">
        <w:r w:rsidRPr="00774939">
          <w:rPr>
            <w:rStyle w:val="Hyperlink"/>
            <w:rFonts w:ascii="Times New Roman" w:hAnsi="Times New Roman"/>
            <w:noProof/>
            <w:szCs w:val="24"/>
          </w:rPr>
          <w:t>https://doi.org/10.1007/s10592-019-01165-5</w:t>
        </w:r>
      </w:hyperlink>
    </w:p>
    <w:p w14:paraId="2423B976" w14:textId="25C19DB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Rodrigues, T. B., &amp; Petrick, J. S. (2020). Safety Considerations for Humans and Other Vertebrates Regarding Agricultural Uses of Externally Applied RNA Molecules.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 </w:t>
      </w:r>
      <w:hyperlink r:id="rId539" w:history="1">
        <w:r w:rsidRPr="00774939">
          <w:rPr>
            <w:rStyle w:val="Hyperlink"/>
            <w:rFonts w:ascii="Times New Roman" w:hAnsi="Times New Roman"/>
            <w:noProof/>
            <w:szCs w:val="24"/>
          </w:rPr>
          <w:t>https://doi.org/10.3389/fpls.2020.00407</w:t>
        </w:r>
      </w:hyperlink>
    </w:p>
    <w:p w14:paraId="098EAF53" w14:textId="6997FD2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Romeis, J., Collatz, J., Glandorf, D. C. M., &amp; Bonsall, M. B. (2020). The value of existing regulatory frameworks for the environmental risk assessment of agricultural pest control using gene drives. </w:t>
      </w:r>
      <w:r w:rsidRPr="00310E7E">
        <w:rPr>
          <w:rFonts w:ascii="Times New Roman" w:hAnsi="Times New Roman"/>
          <w:i/>
          <w:iCs/>
          <w:noProof/>
          <w:szCs w:val="24"/>
        </w:rPr>
        <w:t>Environmental Science &amp; Policy</w:t>
      </w:r>
      <w:r w:rsidRPr="00310E7E">
        <w:rPr>
          <w:rFonts w:ascii="Times New Roman" w:hAnsi="Times New Roman"/>
          <w:noProof/>
          <w:szCs w:val="24"/>
        </w:rPr>
        <w:t xml:space="preserve">, </w:t>
      </w:r>
      <w:r w:rsidRPr="00310E7E">
        <w:rPr>
          <w:rFonts w:ascii="Times New Roman" w:hAnsi="Times New Roman"/>
          <w:i/>
          <w:iCs/>
          <w:noProof/>
          <w:szCs w:val="24"/>
        </w:rPr>
        <w:t>108</w:t>
      </w:r>
      <w:r w:rsidRPr="00310E7E">
        <w:rPr>
          <w:rFonts w:ascii="Times New Roman" w:hAnsi="Times New Roman"/>
          <w:noProof/>
          <w:szCs w:val="24"/>
        </w:rPr>
        <w:t xml:space="preserve">, 19–36. </w:t>
      </w:r>
      <w:hyperlink r:id="rId540" w:history="1">
        <w:r w:rsidRPr="00774939">
          <w:rPr>
            <w:rStyle w:val="Hyperlink"/>
            <w:rFonts w:ascii="Times New Roman" w:hAnsi="Times New Roman"/>
            <w:noProof/>
            <w:szCs w:val="24"/>
          </w:rPr>
          <w:t>https://doi.org/10.1016/j.envsci.2020.02.016</w:t>
        </w:r>
      </w:hyperlink>
    </w:p>
    <w:p w14:paraId="41E8B342" w14:textId="65CC878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Romeis, J., &amp; Widmer, F. (2020). Assessing the Risks of Topically Applied dsRNA-Based Products to Non-target Arthropods.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 679. </w:t>
      </w:r>
      <w:hyperlink r:id="rId541" w:history="1">
        <w:r w:rsidRPr="00774939">
          <w:rPr>
            <w:rStyle w:val="Hyperlink"/>
            <w:rFonts w:ascii="Times New Roman" w:hAnsi="Times New Roman"/>
            <w:noProof/>
            <w:szCs w:val="24"/>
          </w:rPr>
          <w:t>https://doi.org/10.3389/fpls.2020.00679</w:t>
        </w:r>
      </w:hyperlink>
    </w:p>
    <w:p w14:paraId="1731B5FC" w14:textId="28AA53B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Rourke, M. F., Phelan, A., &amp; Lawson, C. (2020). Access and benefit-sharing following the synthesis of horsepox virus. In </w:t>
      </w:r>
      <w:r w:rsidRPr="00310E7E">
        <w:rPr>
          <w:rFonts w:ascii="Times New Roman" w:hAnsi="Times New Roman"/>
          <w:i/>
          <w:iCs/>
          <w:noProof/>
          <w:szCs w:val="24"/>
        </w:rPr>
        <w:t>Nature Biotechnology</w:t>
      </w:r>
      <w:r w:rsidRPr="00310E7E">
        <w:rPr>
          <w:rFonts w:ascii="Times New Roman" w:hAnsi="Times New Roman"/>
          <w:noProof/>
          <w:szCs w:val="24"/>
        </w:rPr>
        <w:t xml:space="preserve"> (Vol. 38, Issue 5, pp. 537–539). Nature Research. </w:t>
      </w:r>
      <w:hyperlink r:id="rId542" w:history="1">
        <w:r w:rsidRPr="00774939">
          <w:rPr>
            <w:rStyle w:val="Hyperlink"/>
            <w:rFonts w:ascii="Times New Roman" w:hAnsi="Times New Roman"/>
            <w:noProof/>
            <w:szCs w:val="24"/>
          </w:rPr>
          <w:t>https://doi.org/10.1038/s41587-020-0518-z</w:t>
        </w:r>
      </w:hyperlink>
    </w:p>
    <w:p w14:paraId="1DCAD3B2" w14:textId="00290C04" w:rsidR="00774939" w:rsidRDefault="00774939" w:rsidP="00310E7E">
      <w:pPr>
        <w:widowControl w:val="0"/>
        <w:autoSpaceDE w:val="0"/>
        <w:autoSpaceDN w:val="0"/>
        <w:adjustRightInd w:val="0"/>
        <w:spacing w:after="140" w:line="240" w:lineRule="auto"/>
        <w:ind w:left="480" w:hanging="480"/>
        <w:rPr>
          <w:rFonts w:ascii="Times New Roman" w:hAnsi="Times New Roman"/>
          <w:noProof/>
          <w:szCs w:val="24"/>
        </w:rPr>
      </w:pPr>
      <w:r w:rsidRPr="00774939">
        <w:rPr>
          <w:rFonts w:ascii="Times New Roman" w:hAnsi="Times New Roman"/>
          <w:noProof/>
          <w:szCs w:val="24"/>
        </w:rPr>
        <w:t xml:space="preserve">Royal Academy of Engineering. (2017). Sustainability of liquid biofuels. </w:t>
      </w:r>
      <w:hyperlink r:id="rId543" w:history="1">
        <w:r w:rsidRPr="00774939">
          <w:rPr>
            <w:rStyle w:val="Hyperlink"/>
            <w:rFonts w:ascii="Times New Roman" w:hAnsi="Times New Roman"/>
            <w:noProof/>
            <w:szCs w:val="24"/>
          </w:rPr>
          <w:t>www.raeng.org.uk/biofuels</w:t>
        </w:r>
      </w:hyperlink>
    </w:p>
    <w:p w14:paraId="6CAF7B9E" w14:textId="7F09E28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Rüdelsheim, P, &amp; Smets, G. (2018). </w:t>
      </w:r>
      <w:r w:rsidRPr="00310E7E">
        <w:rPr>
          <w:rFonts w:ascii="Times New Roman" w:hAnsi="Times New Roman"/>
          <w:i/>
          <w:iCs/>
          <w:noProof/>
          <w:szCs w:val="24"/>
        </w:rPr>
        <w:t>Gene Drives: Experience with gene drive systems that may inform an environmental risk assessment</w:t>
      </w:r>
      <w:r w:rsidRPr="00310E7E">
        <w:rPr>
          <w:rFonts w:ascii="Times New Roman" w:hAnsi="Times New Roman"/>
          <w:noProof/>
          <w:szCs w:val="24"/>
        </w:rPr>
        <w:t>.</w:t>
      </w:r>
      <w:hyperlink r:id="rId544" w:history="1">
        <w:r w:rsidRPr="00774939">
          <w:rPr>
            <w:rStyle w:val="Hyperlink"/>
            <w:rFonts w:ascii="Times New Roman" w:hAnsi="Times New Roman"/>
            <w:noProof/>
            <w:szCs w:val="24"/>
          </w:rPr>
          <w:t xml:space="preserve"> https://cogem.net/app/uploads/2019/07/CGM-2018-03-Report-Gene-Drives-met-kaft1.pdf</w:t>
        </w:r>
      </w:hyperlink>
    </w:p>
    <w:p w14:paraId="69D857C6" w14:textId="581A461D" w:rsidR="00774939" w:rsidRDefault="00774939" w:rsidP="00310E7E">
      <w:pPr>
        <w:widowControl w:val="0"/>
        <w:autoSpaceDE w:val="0"/>
        <w:autoSpaceDN w:val="0"/>
        <w:adjustRightInd w:val="0"/>
        <w:spacing w:after="140" w:line="240" w:lineRule="auto"/>
        <w:ind w:left="480" w:hanging="480"/>
        <w:rPr>
          <w:rFonts w:ascii="Times New Roman" w:hAnsi="Times New Roman"/>
          <w:noProof/>
          <w:szCs w:val="24"/>
        </w:rPr>
      </w:pPr>
      <w:r w:rsidRPr="00774939">
        <w:rPr>
          <w:rFonts w:ascii="Times New Roman" w:hAnsi="Times New Roman"/>
          <w:noProof/>
          <w:szCs w:val="24"/>
        </w:rPr>
        <w:t xml:space="preserve">Rüdelsheim, P. L. J., &amp; Smets, G. (2018). Gene Drives Experience with gene drive systems that may inform an environmental risk assessment (COGEM Report CGM 2018-03). </w:t>
      </w:r>
      <w:hyperlink r:id="rId545" w:history="1">
        <w:r w:rsidRPr="00774939">
          <w:rPr>
            <w:rStyle w:val="Hyperlink"/>
            <w:rFonts w:ascii="Times New Roman" w:hAnsi="Times New Roman"/>
            <w:noProof/>
            <w:szCs w:val="24"/>
          </w:rPr>
          <w:t>https://cogem.net/en/publication/gene-drives-experience-with-gene-drive-systems-that-may-inform-an-environmental-risk-assessment/</w:t>
        </w:r>
      </w:hyperlink>
    </w:p>
    <w:p w14:paraId="105F816B" w14:textId="426573A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Rutz, B. (2009). Synthetic biology and patents. </w:t>
      </w:r>
      <w:r w:rsidRPr="00310E7E">
        <w:rPr>
          <w:rFonts w:ascii="Times New Roman" w:hAnsi="Times New Roman"/>
          <w:i/>
          <w:iCs/>
          <w:noProof/>
          <w:szCs w:val="24"/>
        </w:rPr>
        <w:t>EMBO Reports</w:t>
      </w:r>
      <w:r w:rsidRPr="00310E7E">
        <w:rPr>
          <w:rFonts w:ascii="Times New Roman" w:hAnsi="Times New Roman"/>
          <w:noProof/>
          <w:szCs w:val="24"/>
        </w:rPr>
        <w:t xml:space="preserve">, </w:t>
      </w:r>
      <w:r w:rsidRPr="00310E7E">
        <w:rPr>
          <w:rFonts w:ascii="Times New Roman" w:hAnsi="Times New Roman"/>
          <w:i/>
          <w:iCs/>
          <w:noProof/>
          <w:szCs w:val="24"/>
        </w:rPr>
        <w:t>10</w:t>
      </w:r>
      <w:r w:rsidRPr="00310E7E">
        <w:rPr>
          <w:rFonts w:ascii="Times New Roman" w:hAnsi="Times New Roman"/>
          <w:noProof/>
          <w:szCs w:val="24"/>
        </w:rPr>
        <w:t xml:space="preserve">(S1). </w:t>
      </w:r>
      <w:hyperlink r:id="rId546" w:history="1">
        <w:r w:rsidRPr="0078205D">
          <w:rPr>
            <w:rStyle w:val="Hyperlink"/>
            <w:rFonts w:ascii="Times New Roman" w:hAnsi="Times New Roman"/>
            <w:noProof/>
            <w:szCs w:val="24"/>
          </w:rPr>
          <w:t>https://doi.org/10.1038/embor.2009.131</w:t>
        </w:r>
      </w:hyperlink>
    </w:p>
    <w:p w14:paraId="3AF4A6C2" w14:textId="133D4FD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Rylott, E. L., &amp; Bruce, N. C. (2020). How synthetic biology can help bioremediation. In </w:t>
      </w:r>
      <w:r w:rsidRPr="00310E7E">
        <w:rPr>
          <w:rFonts w:ascii="Times New Roman" w:hAnsi="Times New Roman"/>
          <w:i/>
          <w:iCs/>
          <w:noProof/>
          <w:szCs w:val="24"/>
        </w:rPr>
        <w:t>Current Opinion in Chemical Biology</w:t>
      </w:r>
      <w:r w:rsidRPr="00310E7E">
        <w:rPr>
          <w:rFonts w:ascii="Times New Roman" w:hAnsi="Times New Roman"/>
          <w:noProof/>
          <w:szCs w:val="24"/>
        </w:rPr>
        <w:t xml:space="preserve"> (Vol. 58, pp. 86–95). Elsevier Ltd. </w:t>
      </w:r>
      <w:hyperlink r:id="rId547" w:history="1">
        <w:r w:rsidRPr="0078205D">
          <w:rPr>
            <w:rStyle w:val="Hyperlink"/>
            <w:rFonts w:ascii="Times New Roman" w:hAnsi="Times New Roman"/>
            <w:noProof/>
            <w:szCs w:val="24"/>
          </w:rPr>
          <w:t>https://doi.org/10.1016/j.cbpa.2020.07.004</w:t>
        </w:r>
      </w:hyperlink>
    </w:p>
    <w:p w14:paraId="56AE45DA" w14:textId="4999E7A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Ryu, M. H., Zhang, J., Toth, T., Khokhani, D., Geddes, B. A., Mus, F., Garcia-Costas, A., Peters, J. W., Poole, P. S., Ané, J. M., &amp; Voigt, C. A. (2020). Control of nitrogen fixation in bacteria that associate with cereals. </w:t>
      </w:r>
      <w:r w:rsidRPr="00310E7E">
        <w:rPr>
          <w:rFonts w:ascii="Times New Roman" w:hAnsi="Times New Roman"/>
          <w:i/>
          <w:iCs/>
          <w:noProof/>
          <w:szCs w:val="24"/>
        </w:rPr>
        <w:t>Nature Microbiology</w:t>
      </w:r>
      <w:r w:rsidRPr="00310E7E">
        <w:rPr>
          <w:rFonts w:ascii="Times New Roman" w:hAnsi="Times New Roman"/>
          <w:noProof/>
          <w:szCs w:val="24"/>
        </w:rPr>
        <w:t xml:space="preserve">, </w:t>
      </w:r>
      <w:r w:rsidRPr="00310E7E">
        <w:rPr>
          <w:rFonts w:ascii="Times New Roman" w:hAnsi="Times New Roman"/>
          <w:i/>
          <w:iCs/>
          <w:noProof/>
          <w:szCs w:val="24"/>
        </w:rPr>
        <w:t>5</w:t>
      </w:r>
      <w:r w:rsidRPr="00310E7E">
        <w:rPr>
          <w:rFonts w:ascii="Times New Roman" w:hAnsi="Times New Roman"/>
          <w:noProof/>
          <w:szCs w:val="24"/>
        </w:rPr>
        <w:t>(2), 314–330.</w:t>
      </w:r>
      <w:hyperlink r:id="rId548" w:history="1">
        <w:r w:rsidRPr="0078205D">
          <w:rPr>
            <w:rStyle w:val="Hyperlink"/>
            <w:rFonts w:ascii="Times New Roman" w:hAnsi="Times New Roman"/>
            <w:noProof/>
            <w:szCs w:val="24"/>
          </w:rPr>
          <w:t xml:space="preserve"> https://doi.org/10.1038/s41564-019-0631-2</w:t>
        </w:r>
      </w:hyperlink>
    </w:p>
    <w:p w14:paraId="76BAB32E" w14:textId="7916D9B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Sakuma, Y., &amp; Imai, M. (2015). From vesicles to protocells: The roles of amphiphilic molecules. In </w:t>
      </w:r>
      <w:r w:rsidRPr="00310E7E">
        <w:rPr>
          <w:rFonts w:ascii="Times New Roman" w:hAnsi="Times New Roman"/>
          <w:i/>
          <w:iCs/>
          <w:noProof/>
          <w:szCs w:val="24"/>
        </w:rPr>
        <w:t>Life</w:t>
      </w:r>
      <w:r w:rsidRPr="00310E7E">
        <w:rPr>
          <w:rFonts w:ascii="Times New Roman" w:hAnsi="Times New Roman"/>
          <w:noProof/>
          <w:szCs w:val="24"/>
        </w:rPr>
        <w:t xml:space="preserve"> (Vol. 5, Issue 1, pp. 651–675). MDPI AG.</w:t>
      </w:r>
      <w:hyperlink r:id="rId549" w:history="1">
        <w:r w:rsidRPr="0078205D">
          <w:rPr>
            <w:rStyle w:val="Hyperlink"/>
            <w:rFonts w:ascii="Times New Roman" w:hAnsi="Times New Roman"/>
            <w:noProof/>
            <w:szCs w:val="24"/>
          </w:rPr>
          <w:t xml:space="preserve"> https://doi.org/10.3390/life5010651</w:t>
        </w:r>
      </w:hyperlink>
    </w:p>
    <w:p w14:paraId="7378D6A1" w14:textId="3F0FF06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Sánchez C, H. M., Bennett, J. B., Wu, S. L., Rašić, G., Akbari, O. S., &amp; Marshall, J. M. (2020). Modeling confinement and reversibility of threshold-dependent gene drive systems in spatially-explicit </w:t>
      </w:r>
      <w:r w:rsidRPr="0078205D">
        <w:rPr>
          <w:rFonts w:ascii="Times New Roman" w:hAnsi="Times New Roman"/>
          <w:i/>
          <w:iCs/>
          <w:noProof/>
          <w:szCs w:val="24"/>
        </w:rPr>
        <w:t>Aedes aegypti</w:t>
      </w:r>
      <w:r w:rsidRPr="00310E7E">
        <w:rPr>
          <w:rFonts w:ascii="Times New Roman" w:hAnsi="Times New Roman"/>
          <w:noProof/>
          <w:szCs w:val="24"/>
        </w:rPr>
        <w:t xml:space="preserve"> populations. </w:t>
      </w:r>
      <w:r w:rsidRPr="00310E7E">
        <w:rPr>
          <w:rFonts w:ascii="Times New Roman" w:hAnsi="Times New Roman"/>
          <w:i/>
          <w:iCs/>
          <w:noProof/>
          <w:szCs w:val="24"/>
        </w:rPr>
        <w:t>BMC Biology</w:t>
      </w:r>
      <w:r w:rsidRPr="00310E7E">
        <w:rPr>
          <w:rFonts w:ascii="Times New Roman" w:hAnsi="Times New Roman"/>
          <w:noProof/>
          <w:szCs w:val="24"/>
        </w:rPr>
        <w:t xml:space="preserve">, </w:t>
      </w:r>
      <w:r w:rsidRPr="00310E7E">
        <w:rPr>
          <w:rFonts w:ascii="Times New Roman" w:hAnsi="Times New Roman"/>
          <w:i/>
          <w:iCs/>
          <w:noProof/>
          <w:szCs w:val="24"/>
        </w:rPr>
        <w:t>18</w:t>
      </w:r>
      <w:r w:rsidRPr="00310E7E">
        <w:rPr>
          <w:rFonts w:ascii="Times New Roman" w:hAnsi="Times New Roman"/>
          <w:noProof/>
          <w:szCs w:val="24"/>
        </w:rPr>
        <w:t>(1), 50.</w:t>
      </w:r>
      <w:hyperlink r:id="rId550" w:history="1">
        <w:r w:rsidRPr="0078205D">
          <w:rPr>
            <w:rStyle w:val="Hyperlink"/>
            <w:rFonts w:ascii="Times New Roman" w:hAnsi="Times New Roman"/>
            <w:noProof/>
            <w:szCs w:val="24"/>
          </w:rPr>
          <w:t xml:space="preserve"> https://doi.org/10.1186/s12915-020-0759-9</w:t>
        </w:r>
      </w:hyperlink>
    </w:p>
    <w:p w14:paraId="7DCEE67B" w14:textId="030C9E6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Santillán, M., &amp; Mackey, M. C. (2008). Quantitative approaches to the study of bistability in the lac operon of </w:t>
      </w:r>
      <w:r w:rsidRPr="003F32D5">
        <w:rPr>
          <w:rFonts w:ascii="Times New Roman" w:hAnsi="Times New Roman"/>
          <w:i/>
          <w:iCs/>
          <w:noProof/>
          <w:szCs w:val="24"/>
        </w:rPr>
        <w:t>Escherichia coli</w:t>
      </w:r>
      <w:r w:rsidRPr="00310E7E">
        <w:rPr>
          <w:rFonts w:ascii="Times New Roman" w:hAnsi="Times New Roman"/>
          <w:noProof/>
          <w:szCs w:val="24"/>
        </w:rPr>
        <w:t xml:space="preserve">. In </w:t>
      </w:r>
      <w:r w:rsidRPr="00310E7E">
        <w:rPr>
          <w:rFonts w:ascii="Times New Roman" w:hAnsi="Times New Roman"/>
          <w:i/>
          <w:iCs/>
          <w:noProof/>
          <w:szCs w:val="24"/>
        </w:rPr>
        <w:t>Journal of the Royal Society Interface</w:t>
      </w:r>
      <w:r w:rsidRPr="00310E7E">
        <w:rPr>
          <w:rFonts w:ascii="Times New Roman" w:hAnsi="Times New Roman"/>
          <w:noProof/>
          <w:szCs w:val="24"/>
        </w:rPr>
        <w:t xml:space="preserve"> (Vol. 5, Issue SUPPL. 1, p. S29). Royal Society. </w:t>
      </w:r>
      <w:hyperlink r:id="rId551" w:history="1">
        <w:r w:rsidRPr="00EF5B5F">
          <w:rPr>
            <w:rStyle w:val="Hyperlink"/>
            <w:rFonts w:ascii="Times New Roman" w:hAnsi="Times New Roman"/>
            <w:noProof/>
            <w:szCs w:val="24"/>
          </w:rPr>
          <w:t>https://doi.org/10.1098/rsif.2008.0086.focus</w:t>
        </w:r>
      </w:hyperlink>
    </w:p>
    <w:p w14:paraId="056CF09A" w14:textId="59902AD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Saran, D., &amp; Park, G. E. (2018). </w:t>
      </w:r>
      <w:r w:rsidRPr="00310E7E">
        <w:rPr>
          <w:rFonts w:ascii="Times New Roman" w:hAnsi="Times New Roman"/>
          <w:i/>
          <w:iCs/>
          <w:noProof/>
          <w:szCs w:val="24"/>
        </w:rPr>
        <w:t>Valencene synthase polypeptides, encoding nucleic acid molecules and uses thereof, US10000749B2</w:t>
      </w:r>
      <w:r w:rsidRPr="00310E7E">
        <w:rPr>
          <w:rFonts w:ascii="Times New Roman" w:hAnsi="Times New Roman"/>
          <w:noProof/>
          <w:szCs w:val="24"/>
        </w:rPr>
        <w:t xml:space="preserve"> (Vol. 2). </w:t>
      </w:r>
      <w:hyperlink r:id="rId552" w:history="1">
        <w:r w:rsidRPr="00EF5B5F">
          <w:rPr>
            <w:rStyle w:val="Hyperlink"/>
            <w:rFonts w:ascii="Times New Roman" w:hAnsi="Times New Roman"/>
            <w:noProof/>
            <w:szCs w:val="24"/>
          </w:rPr>
          <w:t>https://patents.google.com/patent/US10000749B2/</w:t>
        </w:r>
      </w:hyperlink>
    </w:p>
    <w:p w14:paraId="3F56F76C" w14:textId="18B91AA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Sauer, N. J., Mozoruk, J., Miller, R. B., Warburg, Z. J., Walker, K. A., Beetham, P. R., Schöpke, C. R., &amp; Gocal, G. F. W. (2016). Oligonucleotide-directed mutagenesis for precision gene editing. </w:t>
      </w:r>
      <w:r w:rsidRPr="00310E7E">
        <w:rPr>
          <w:rFonts w:ascii="Times New Roman" w:hAnsi="Times New Roman"/>
          <w:i/>
          <w:iCs/>
          <w:noProof/>
          <w:szCs w:val="24"/>
        </w:rPr>
        <w:t>Plant Biotechnology Journal</w:t>
      </w:r>
      <w:r w:rsidRPr="00310E7E">
        <w:rPr>
          <w:rFonts w:ascii="Times New Roman" w:hAnsi="Times New Roman"/>
          <w:noProof/>
          <w:szCs w:val="24"/>
        </w:rPr>
        <w:t xml:space="preserve">, </w:t>
      </w:r>
      <w:r w:rsidRPr="00310E7E">
        <w:rPr>
          <w:rFonts w:ascii="Times New Roman" w:hAnsi="Times New Roman"/>
          <w:i/>
          <w:iCs/>
          <w:noProof/>
          <w:szCs w:val="24"/>
        </w:rPr>
        <w:t>14</w:t>
      </w:r>
      <w:r w:rsidRPr="00310E7E">
        <w:rPr>
          <w:rFonts w:ascii="Times New Roman" w:hAnsi="Times New Roman"/>
          <w:noProof/>
          <w:szCs w:val="24"/>
        </w:rPr>
        <w:t xml:space="preserve">(2), 496–502. </w:t>
      </w:r>
      <w:hyperlink r:id="rId553" w:history="1">
        <w:r w:rsidRPr="00EF5B5F">
          <w:rPr>
            <w:rStyle w:val="Hyperlink"/>
            <w:rFonts w:ascii="Times New Roman" w:hAnsi="Times New Roman"/>
            <w:noProof/>
            <w:szCs w:val="24"/>
          </w:rPr>
          <w:t>https://doi.org/10.1111/pbi.12496</w:t>
        </w:r>
      </w:hyperlink>
    </w:p>
    <w:p w14:paraId="065EBBE9" w14:textId="6982AF2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Savakis, P. E., Angermayr, S. A., Hugenholtz, J., &amp; Hellingwerf, K. J. (2013). </w:t>
      </w:r>
      <w:r w:rsidRPr="00310E7E">
        <w:rPr>
          <w:rFonts w:ascii="Times New Roman" w:hAnsi="Times New Roman"/>
          <w:i/>
          <w:iCs/>
          <w:noProof/>
          <w:szCs w:val="24"/>
        </w:rPr>
        <w:t>Synthesis of acetoin, 2,3-butanediol and 2-butanol by cyanobacteria by heterologous expression of a catabolic pathway, WO2014092562A1</w:t>
      </w:r>
      <w:r w:rsidRPr="00310E7E">
        <w:rPr>
          <w:rFonts w:ascii="Times New Roman" w:hAnsi="Times New Roman"/>
          <w:noProof/>
          <w:szCs w:val="24"/>
        </w:rPr>
        <w:t xml:space="preserve"> (Vol. 21, Issue 12). </w:t>
      </w:r>
      <w:hyperlink r:id="rId554" w:history="1">
        <w:r w:rsidRPr="00EF5B5F">
          <w:rPr>
            <w:rStyle w:val="Hyperlink"/>
            <w:rFonts w:ascii="Times New Roman" w:hAnsi="Times New Roman"/>
            <w:noProof/>
            <w:szCs w:val="24"/>
          </w:rPr>
          <w:t>https://patents.google.com/patent/WO2014092562A1</w:t>
        </w:r>
      </w:hyperlink>
    </w:p>
    <w:p w14:paraId="7B5B8CAB" w14:textId="1383BE6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Savile, C. K., Janey, J. M., Mundorff, E. C., Moore, J. C., Tam, S., Jarvis, W. R., Colbeck, J. C., Krebber, A., Fleitz, F. J., Brands, J., Devine, P. N., Huisman, G. W., &amp; Hughes, G. J. (2010). Biocatalytic asymmetric synthesis of chiral amines from ketones applied to sitagliptin manufacture.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329</w:t>
      </w:r>
      <w:r w:rsidRPr="00310E7E">
        <w:rPr>
          <w:rFonts w:ascii="Times New Roman" w:hAnsi="Times New Roman"/>
          <w:noProof/>
          <w:szCs w:val="24"/>
        </w:rPr>
        <w:t xml:space="preserve">(5989), 305–309. </w:t>
      </w:r>
      <w:hyperlink r:id="rId555" w:history="1">
        <w:r w:rsidRPr="00EF5B5F">
          <w:rPr>
            <w:rStyle w:val="Hyperlink"/>
            <w:rFonts w:ascii="Times New Roman" w:hAnsi="Times New Roman"/>
            <w:noProof/>
            <w:szCs w:val="24"/>
          </w:rPr>
          <w:t>https://doi.org/10.1126/science.1188934</w:t>
        </w:r>
      </w:hyperlink>
    </w:p>
    <w:p w14:paraId="023070B7" w14:textId="00393AB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Schei, P. J., &amp; Tvedt, M. W. (2010). </w:t>
      </w:r>
      <w:r w:rsidRPr="00310E7E">
        <w:rPr>
          <w:rFonts w:ascii="Times New Roman" w:hAnsi="Times New Roman"/>
          <w:i/>
          <w:iCs/>
          <w:noProof/>
          <w:szCs w:val="24"/>
        </w:rPr>
        <w:t>“Genetic Resources” in the CBD: The Wording, the Past, the Present and the Future</w:t>
      </w:r>
      <w:r w:rsidRPr="00310E7E">
        <w:rPr>
          <w:rFonts w:ascii="Times New Roman" w:hAnsi="Times New Roman"/>
          <w:noProof/>
          <w:szCs w:val="24"/>
        </w:rPr>
        <w:t xml:space="preserve"> (FNI Report). </w:t>
      </w:r>
      <w:hyperlink r:id="rId556" w:history="1">
        <w:r w:rsidRPr="00EF5B5F">
          <w:rPr>
            <w:rStyle w:val="Hyperlink"/>
            <w:rFonts w:ascii="Times New Roman" w:hAnsi="Times New Roman"/>
            <w:noProof/>
            <w:szCs w:val="24"/>
          </w:rPr>
          <w:t>http://ma.chm-cbd.net/biodiversity/res_genetic/5ieme-atelier-panafricain-sur-l-acces-aux-ressources-genetiques-et-le-partage/fni-reports/2010-04-genetic-resources.pdf/download/ar/1/2010-04 Genetic Resources.pdf</w:t>
        </w:r>
      </w:hyperlink>
    </w:p>
    <w:p w14:paraId="1760C1DF" w14:textId="7089B33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Scheibel, T., Huemmerich, D., &amp; Ackerschott, C. (2010). </w:t>
      </w:r>
      <w:r w:rsidRPr="00310E7E">
        <w:rPr>
          <w:rFonts w:ascii="Times New Roman" w:hAnsi="Times New Roman"/>
          <w:i/>
          <w:iCs/>
          <w:noProof/>
          <w:szCs w:val="24"/>
        </w:rPr>
        <w:t>Recombinant spider silk proteins, US8034897B1</w:t>
      </w:r>
      <w:r w:rsidRPr="00310E7E">
        <w:rPr>
          <w:rFonts w:ascii="Times New Roman" w:hAnsi="Times New Roman"/>
          <w:noProof/>
          <w:szCs w:val="24"/>
        </w:rPr>
        <w:t xml:space="preserve"> (Vol. 2, Issue 12, pp. 31–38). </w:t>
      </w:r>
      <w:hyperlink r:id="rId557" w:history="1">
        <w:r w:rsidRPr="00EF5B5F">
          <w:rPr>
            <w:rStyle w:val="Hyperlink"/>
            <w:rFonts w:ascii="Times New Roman" w:hAnsi="Times New Roman"/>
            <w:noProof/>
            <w:szCs w:val="24"/>
          </w:rPr>
          <w:t>https://patents.google.com/patent/US8034897B1</w:t>
        </w:r>
      </w:hyperlink>
    </w:p>
    <w:p w14:paraId="75FA53FD" w14:textId="7F1B5B7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Schiemann, J., Robienski, J., Schleissing, S., Spök, A., Sprink, T., &amp; Wilhelm, R. A. (2020). Editorial: Plant Genome Editing – Policies and Governance.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 </w:t>
      </w:r>
      <w:hyperlink r:id="rId558" w:history="1">
        <w:r w:rsidRPr="00EF5B5F">
          <w:rPr>
            <w:rStyle w:val="Hyperlink"/>
            <w:rFonts w:ascii="Times New Roman" w:hAnsi="Times New Roman"/>
            <w:noProof/>
            <w:szCs w:val="24"/>
          </w:rPr>
          <w:t>https://doi.org/10.3389/fpls.2020.00284</w:t>
        </w:r>
      </w:hyperlink>
    </w:p>
    <w:p w14:paraId="1F7508CC" w14:textId="3AC4E79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Schmidt, M. (2009). Do I Understand What I Can Create? In </w:t>
      </w:r>
      <w:r w:rsidRPr="00310E7E">
        <w:rPr>
          <w:rFonts w:ascii="Times New Roman" w:hAnsi="Times New Roman"/>
          <w:i/>
          <w:iCs/>
          <w:noProof/>
          <w:szCs w:val="24"/>
        </w:rPr>
        <w:t>Synthetic Biology</w:t>
      </w:r>
      <w:r w:rsidRPr="00310E7E">
        <w:rPr>
          <w:rFonts w:ascii="Times New Roman" w:hAnsi="Times New Roman"/>
          <w:noProof/>
          <w:szCs w:val="24"/>
        </w:rPr>
        <w:t xml:space="preserve"> (pp. 81–100). Springer Netherlands. </w:t>
      </w:r>
      <w:hyperlink r:id="rId559" w:history="1">
        <w:r w:rsidRPr="00EF5B5F">
          <w:rPr>
            <w:rStyle w:val="Hyperlink"/>
            <w:rFonts w:ascii="Times New Roman" w:hAnsi="Times New Roman"/>
            <w:noProof/>
            <w:szCs w:val="24"/>
          </w:rPr>
          <w:t>https://doi.org/10.1007/978-90-481-2678-1_6</w:t>
        </w:r>
      </w:hyperlink>
    </w:p>
    <w:p w14:paraId="67DF458F" w14:textId="769D35D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fr-CA"/>
        </w:rPr>
        <w:t xml:space="preserve">Schmidt, M., &amp; de Lorenzo, V. (2012). </w:t>
      </w:r>
      <w:r w:rsidRPr="00310E7E">
        <w:rPr>
          <w:rFonts w:ascii="Times New Roman" w:hAnsi="Times New Roman"/>
          <w:noProof/>
          <w:szCs w:val="24"/>
        </w:rPr>
        <w:t xml:space="preserve">Synthetic constructs in/for the environment: Managing the interplay between natural and engineered Biology. </w:t>
      </w:r>
      <w:r w:rsidRPr="00310E7E">
        <w:rPr>
          <w:rFonts w:ascii="Times New Roman" w:hAnsi="Times New Roman"/>
          <w:i/>
          <w:iCs/>
          <w:noProof/>
          <w:szCs w:val="24"/>
        </w:rPr>
        <w:t>FEBS Letters</w:t>
      </w:r>
      <w:r w:rsidRPr="00310E7E">
        <w:rPr>
          <w:rFonts w:ascii="Times New Roman" w:hAnsi="Times New Roman"/>
          <w:noProof/>
          <w:szCs w:val="24"/>
        </w:rPr>
        <w:t xml:space="preserve">, </w:t>
      </w:r>
      <w:r w:rsidRPr="00310E7E">
        <w:rPr>
          <w:rFonts w:ascii="Times New Roman" w:hAnsi="Times New Roman"/>
          <w:i/>
          <w:iCs/>
          <w:noProof/>
          <w:szCs w:val="24"/>
        </w:rPr>
        <w:t>586</w:t>
      </w:r>
      <w:r w:rsidRPr="00310E7E">
        <w:rPr>
          <w:rFonts w:ascii="Times New Roman" w:hAnsi="Times New Roman"/>
          <w:noProof/>
          <w:szCs w:val="24"/>
        </w:rPr>
        <w:t xml:space="preserve">(15), 2199–2206. </w:t>
      </w:r>
      <w:hyperlink r:id="rId560" w:history="1">
        <w:r w:rsidRPr="008761FC">
          <w:rPr>
            <w:rStyle w:val="Hyperlink"/>
            <w:rFonts w:ascii="Times New Roman" w:hAnsi="Times New Roman"/>
            <w:noProof/>
            <w:szCs w:val="24"/>
          </w:rPr>
          <w:t>https://doi.org/10.1016/j.febslet.2012.02.022</w:t>
        </w:r>
      </w:hyperlink>
    </w:p>
    <w:p w14:paraId="7B7C7BC7" w14:textId="325EFD7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Schmied, W. H., Tnimov, Z., Uttamapinant, C., Rae, C. D., Fried, S. D., &amp; Chin, J. W. (2018). Controlling orthogonal ribosome subunit interactions enables evolution of new function.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564</w:t>
      </w:r>
      <w:r w:rsidRPr="00310E7E">
        <w:rPr>
          <w:rFonts w:ascii="Times New Roman" w:hAnsi="Times New Roman"/>
          <w:noProof/>
          <w:szCs w:val="24"/>
        </w:rPr>
        <w:t>(7736), 444–448.</w:t>
      </w:r>
      <w:hyperlink r:id="rId561" w:history="1">
        <w:r w:rsidRPr="008761FC">
          <w:rPr>
            <w:rStyle w:val="Hyperlink"/>
            <w:rFonts w:ascii="Times New Roman" w:hAnsi="Times New Roman"/>
            <w:noProof/>
            <w:szCs w:val="24"/>
          </w:rPr>
          <w:t xml:space="preserve"> https://doi.org/10.1038/s41586-018-0773-z</w:t>
        </w:r>
      </w:hyperlink>
    </w:p>
    <w:p w14:paraId="71A572A8" w14:textId="472EDED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Schopke, C., Gocal, G. F. W., Walker, K., &amp; Beetham, P. R. (2008). </w:t>
      </w:r>
      <w:r w:rsidRPr="00310E7E">
        <w:rPr>
          <w:rFonts w:ascii="Times New Roman" w:hAnsi="Times New Roman"/>
          <w:i/>
          <w:iCs/>
          <w:noProof/>
          <w:szCs w:val="24"/>
        </w:rPr>
        <w:t>Mutated acetohydroxyacid synthase genes in brassica</w:t>
      </w:r>
      <w:r w:rsidRPr="00310E7E">
        <w:rPr>
          <w:rFonts w:ascii="Times New Roman" w:hAnsi="Times New Roman"/>
          <w:noProof/>
          <w:szCs w:val="24"/>
        </w:rPr>
        <w:t xml:space="preserve"> (Patent No. CA2701624A1). </w:t>
      </w:r>
      <w:hyperlink r:id="rId562" w:history="1">
        <w:r w:rsidRPr="008761FC">
          <w:rPr>
            <w:rStyle w:val="Hyperlink"/>
            <w:rFonts w:ascii="Times New Roman" w:hAnsi="Times New Roman"/>
            <w:noProof/>
            <w:szCs w:val="24"/>
          </w:rPr>
          <w:t>https://patents.google.com/patent/CA2701624A1/en?q=%2B+canola&amp;assignee=%22cibus%22&amp;oq=%22cibus%22+%2B+canola</w:t>
        </w:r>
      </w:hyperlink>
    </w:p>
    <w:p w14:paraId="732C907D" w14:textId="46F1EBE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Scott, M. J., Gould, F., Lorenzen, M., Grubbs, N., Edwards, O., &amp; O’Brochta, D. (2018). Agricultural production: assessment of the potential use of Cas9-mediated gene drive systems for agricultural pest control. </w:t>
      </w:r>
      <w:r w:rsidRPr="00310E7E">
        <w:rPr>
          <w:rFonts w:ascii="Times New Roman" w:hAnsi="Times New Roman"/>
          <w:i/>
          <w:iCs/>
          <w:noProof/>
          <w:szCs w:val="24"/>
        </w:rPr>
        <w:t>Journal of Responsible Innovation</w:t>
      </w:r>
      <w:r w:rsidRPr="00310E7E">
        <w:rPr>
          <w:rFonts w:ascii="Times New Roman" w:hAnsi="Times New Roman"/>
          <w:noProof/>
          <w:szCs w:val="24"/>
        </w:rPr>
        <w:t xml:space="preserve">, </w:t>
      </w:r>
      <w:r w:rsidRPr="00310E7E">
        <w:rPr>
          <w:rFonts w:ascii="Times New Roman" w:hAnsi="Times New Roman"/>
          <w:i/>
          <w:iCs/>
          <w:noProof/>
          <w:szCs w:val="24"/>
        </w:rPr>
        <w:t>5</w:t>
      </w:r>
      <w:r w:rsidRPr="00310E7E">
        <w:rPr>
          <w:rFonts w:ascii="Times New Roman" w:hAnsi="Times New Roman"/>
          <w:noProof/>
          <w:szCs w:val="24"/>
        </w:rPr>
        <w:t xml:space="preserve">(sup1), S98–S120. </w:t>
      </w:r>
      <w:hyperlink r:id="rId563" w:history="1">
        <w:r w:rsidRPr="008761FC">
          <w:rPr>
            <w:rStyle w:val="Hyperlink"/>
            <w:rFonts w:ascii="Times New Roman" w:hAnsi="Times New Roman"/>
            <w:noProof/>
            <w:szCs w:val="24"/>
          </w:rPr>
          <w:t>https://doi.org/10.1080/23299460.2017.1410343</w:t>
        </w:r>
      </w:hyperlink>
    </w:p>
    <w:p w14:paraId="0FAFF630"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Secretariat of the Convention on Biological Diversity. (2000). </w:t>
      </w:r>
      <w:r w:rsidRPr="00310E7E">
        <w:rPr>
          <w:rFonts w:ascii="Times New Roman" w:hAnsi="Times New Roman"/>
          <w:i/>
          <w:iCs/>
          <w:noProof/>
          <w:szCs w:val="24"/>
        </w:rPr>
        <w:t>Cartagena Protocol on Biosafety to the Convention on Biological Diversity. Text and Annexes</w:t>
      </w:r>
      <w:r w:rsidRPr="00310E7E">
        <w:rPr>
          <w:rFonts w:ascii="Times New Roman" w:hAnsi="Times New Roman"/>
          <w:noProof/>
          <w:szCs w:val="24"/>
        </w:rPr>
        <w:t>.</w:t>
      </w:r>
    </w:p>
    <w:p w14:paraId="6C843CC4" w14:textId="04E58E4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Secretariat of the Convention on Biological Diversity. (2004). </w:t>
      </w:r>
      <w:r w:rsidRPr="00310E7E">
        <w:rPr>
          <w:rFonts w:ascii="Times New Roman" w:hAnsi="Times New Roman"/>
          <w:i/>
          <w:iCs/>
          <w:noProof/>
          <w:szCs w:val="24"/>
        </w:rPr>
        <w:t>Akwé kon : voluntary guidelines for the conduct of cultural, environmental, and social impact assessments regarding developments proposed to take place on, or which are likely to impact on, sacred sites and on lands and waters traditionally occupied or u</w:t>
      </w:r>
      <w:r w:rsidRPr="00310E7E">
        <w:rPr>
          <w:rFonts w:ascii="Times New Roman" w:hAnsi="Times New Roman"/>
          <w:noProof/>
          <w:szCs w:val="24"/>
        </w:rPr>
        <w:t xml:space="preserve">. Secretariat of the Convention on Biological Diversity. </w:t>
      </w:r>
      <w:hyperlink r:id="rId564" w:history="1">
        <w:r w:rsidRPr="008761FC">
          <w:rPr>
            <w:rStyle w:val="Hyperlink"/>
            <w:rFonts w:ascii="Times New Roman" w:hAnsi="Times New Roman"/>
            <w:noProof/>
            <w:szCs w:val="24"/>
          </w:rPr>
          <w:t>https://www.cbd.int/doc/publications/akwe-brochure-en.pdf</w:t>
        </w:r>
      </w:hyperlink>
    </w:p>
    <w:p w14:paraId="281C2749" w14:textId="6EA74B0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Secretariat of the Convention on Biological Diversity. (2011). </w:t>
      </w:r>
      <w:r w:rsidRPr="00310E7E">
        <w:rPr>
          <w:rFonts w:ascii="Times New Roman" w:hAnsi="Times New Roman"/>
          <w:i/>
          <w:iCs/>
          <w:noProof/>
          <w:szCs w:val="24"/>
        </w:rPr>
        <w:t>Tkarihwaié:ri Code of Ethical Conduct to Ensure Respect for the Cultural and Intellectual Heritage of Indigenous and Local Communities Relevant to the Conservation and Sustainable Use of Biological Diversity</w:t>
      </w:r>
      <w:r w:rsidRPr="00310E7E">
        <w:rPr>
          <w:rFonts w:ascii="Times New Roman" w:hAnsi="Times New Roman"/>
          <w:noProof/>
          <w:szCs w:val="24"/>
        </w:rPr>
        <w:t xml:space="preserve"> (p. 19). </w:t>
      </w:r>
      <w:hyperlink r:id="rId565" w:history="1">
        <w:r w:rsidRPr="008761FC">
          <w:rPr>
            <w:rStyle w:val="Hyperlink"/>
            <w:rFonts w:ascii="Times New Roman" w:hAnsi="Times New Roman"/>
            <w:noProof/>
            <w:szCs w:val="24"/>
          </w:rPr>
          <w:t>https://www.cbd.int/traditional/code.shtml</w:t>
        </w:r>
      </w:hyperlink>
    </w:p>
    <w:p w14:paraId="5B1BED91" w14:textId="0BAF317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Secretariat of the Convention on Biological Diversity. (2012). </w:t>
      </w:r>
      <w:r w:rsidRPr="00310E7E">
        <w:rPr>
          <w:rFonts w:ascii="Times New Roman" w:hAnsi="Times New Roman"/>
          <w:i/>
          <w:iCs/>
          <w:noProof/>
          <w:szCs w:val="24"/>
        </w:rPr>
        <w:t>Biosafety Technical Series 01</w:t>
      </w:r>
      <w:r w:rsidRPr="00310E7E">
        <w:rPr>
          <w:rFonts w:ascii="Times New Roman" w:hAnsi="Times New Roman"/>
          <w:noProof/>
          <w:szCs w:val="24"/>
        </w:rPr>
        <w:t xml:space="preserve">. </w:t>
      </w:r>
      <w:hyperlink r:id="rId566" w:history="1">
        <w:r w:rsidRPr="008761FC">
          <w:rPr>
            <w:rStyle w:val="Hyperlink"/>
            <w:rFonts w:ascii="Times New Roman" w:hAnsi="Times New Roman"/>
            <w:noProof/>
            <w:szCs w:val="24"/>
          </w:rPr>
          <w:t>http://bch.cbd.int/database/record.shtml?documentid=103868</w:t>
        </w:r>
      </w:hyperlink>
    </w:p>
    <w:p w14:paraId="5975A98B" w14:textId="0134348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Secretariat of the Convention on Biological Diversity. (2015). </w:t>
      </w:r>
      <w:r w:rsidRPr="00310E7E">
        <w:rPr>
          <w:rFonts w:ascii="Times New Roman" w:hAnsi="Times New Roman"/>
          <w:i/>
          <w:iCs/>
          <w:noProof/>
          <w:szCs w:val="24"/>
        </w:rPr>
        <w:t>Report of the Ad Hoc Technical Expert Group on Synthetic Biology</w:t>
      </w:r>
      <w:r w:rsidRPr="00310E7E">
        <w:rPr>
          <w:rFonts w:ascii="Times New Roman" w:hAnsi="Times New Roman"/>
          <w:noProof/>
          <w:szCs w:val="24"/>
        </w:rPr>
        <w:t xml:space="preserve"> (p. 19).</w:t>
      </w:r>
      <w:hyperlink r:id="rId567" w:history="1">
        <w:r w:rsidRPr="008761FC">
          <w:rPr>
            <w:rStyle w:val="Hyperlink"/>
            <w:rFonts w:ascii="Times New Roman" w:hAnsi="Times New Roman"/>
            <w:noProof/>
            <w:szCs w:val="24"/>
          </w:rPr>
          <w:t xml:space="preserve"> https://www.cbd.int/doc/meetings/synbio/synbioahteg-2015-01/official/synbioahteg-2015-01-03-en.pdf</w:t>
        </w:r>
      </w:hyperlink>
    </w:p>
    <w:p w14:paraId="11F6197B" w14:textId="4ACFB91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Secretariat of the Convention on Biological Diversity. (2015). </w:t>
      </w:r>
      <w:r w:rsidRPr="00310E7E">
        <w:rPr>
          <w:rFonts w:ascii="Times New Roman" w:hAnsi="Times New Roman"/>
          <w:i/>
          <w:iCs/>
          <w:noProof/>
          <w:szCs w:val="24"/>
        </w:rPr>
        <w:t>Synthetic Biology. CBD Technical Series No. 82</w:t>
      </w:r>
      <w:r w:rsidRPr="00310E7E">
        <w:rPr>
          <w:rFonts w:ascii="Times New Roman" w:hAnsi="Times New Roman"/>
          <w:noProof/>
          <w:szCs w:val="24"/>
        </w:rPr>
        <w:t>.</w:t>
      </w:r>
      <w:r w:rsidR="008761FC" w:rsidRPr="008761FC">
        <w:rPr>
          <w:rFonts w:ascii="Times New Roman" w:hAnsi="Times New Roman"/>
          <w:noProof/>
          <w:szCs w:val="24"/>
        </w:rPr>
        <w:t xml:space="preserve"> </w:t>
      </w:r>
      <w:r w:rsidR="008761FC" w:rsidRPr="00310E7E">
        <w:rPr>
          <w:rFonts w:ascii="Times New Roman" w:hAnsi="Times New Roman"/>
          <w:noProof/>
          <w:szCs w:val="24"/>
        </w:rPr>
        <w:t>https://www.cbd.int/doc/publications/cbd-ts-82-en.pdf</w:t>
      </w:r>
    </w:p>
    <w:p w14:paraId="0A08246F" w14:textId="6BFDEC3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Secretariat of the Convention on Biological Diversity. (2017). </w:t>
      </w:r>
      <w:r w:rsidRPr="00310E7E">
        <w:rPr>
          <w:rFonts w:ascii="Times New Roman" w:hAnsi="Times New Roman"/>
          <w:i/>
          <w:iCs/>
          <w:noProof/>
          <w:szCs w:val="24"/>
        </w:rPr>
        <w:t>Report of the Ad Hoc Technical Expert Group on Synthetic Biology, Montreal, Canada, 5-8 December 2017</w:t>
      </w:r>
      <w:r w:rsidRPr="00310E7E">
        <w:rPr>
          <w:rFonts w:ascii="Times New Roman" w:hAnsi="Times New Roman"/>
          <w:noProof/>
          <w:szCs w:val="24"/>
        </w:rPr>
        <w:t xml:space="preserve">. </w:t>
      </w:r>
      <w:hyperlink r:id="rId568" w:history="1">
        <w:r w:rsidRPr="008761FC">
          <w:rPr>
            <w:rStyle w:val="Hyperlink"/>
            <w:rFonts w:ascii="Times New Roman" w:hAnsi="Times New Roman"/>
            <w:noProof/>
            <w:szCs w:val="24"/>
          </w:rPr>
          <w:t>https://www.cbd.int/doc/c/aa10/9160/6c3fcedf265dbee686715016/synbio-ahteg-2017-01-03-en.pdf</w:t>
        </w:r>
      </w:hyperlink>
    </w:p>
    <w:p w14:paraId="756A7CE7"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Secretariat of the Convention on Biological Diversity. (2018). </w:t>
      </w:r>
      <w:r w:rsidRPr="00310E7E">
        <w:rPr>
          <w:rFonts w:ascii="Times New Roman" w:hAnsi="Times New Roman"/>
          <w:i/>
          <w:iCs/>
          <w:noProof/>
          <w:szCs w:val="24"/>
        </w:rPr>
        <w:t>Socio-economic considerations (Article 26). CBD/CP/MOP/9/10.</w:t>
      </w:r>
    </w:p>
    <w:p w14:paraId="1146AE2B" w14:textId="48FC4B0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Secretariat of the Convention on Biological Diversity. (2019). </w:t>
      </w:r>
      <w:r w:rsidRPr="00310E7E">
        <w:rPr>
          <w:rFonts w:ascii="Times New Roman" w:hAnsi="Times New Roman"/>
          <w:i/>
          <w:iCs/>
          <w:noProof/>
          <w:szCs w:val="24"/>
        </w:rPr>
        <w:t>Mo’ otz Kuxtal Voluntary Guidelines</w:t>
      </w:r>
      <w:r w:rsidRPr="00310E7E">
        <w:rPr>
          <w:rFonts w:ascii="Times New Roman" w:hAnsi="Times New Roman"/>
          <w:noProof/>
          <w:szCs w:val="24"/>
        </w:rPr>
        <w:t xml:space="preserve">. </w:t>
      </w:r>
      <w:hyperlink r:id="rId569" w:history="1">
        <w:r w:rsidRPr="008761FC">
          <w:rPr>
            <w:rStyle w:val="Hyperlink"/>
            <w:rFonts w:ascii="Times New Roman" w:hAnsi="Times New Roman"/>
            <w:noProof/>
            <w:szCs w:val="24"/>
          </w:rPr>
          <w:t>https://www.cbd.int/doc/publications/8j-cbd-mootz-kuxtal-en.pdf</w:t>
        </w:r>
      </w:hyperlink>
    </w:p>
    <w:p w14:paraId="5F947206" w14:textId="7571922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Secretariat of the Convention on Biological Diversity. (2019). </w:t>
      </w:r>
      <w:r w:rsidRPr="00310E7E">
        <w:rPr>
          <w:rFonts w:ascii="Times New Roman" w:hAnsi="Times New Roman"/>
          <w:i/>
          <w:iCs/>
          <w:noProof/>
          <w:szCs w:val="24"/>
        </w:rPr>
        <w:t>Report of the Ad Hoc Technical Expert Group on Synthetic Biology, Montreal, Canada, 4-7 June 2019</w:t>
      </w:r>
      <w:r w:rsidRPr="00310E7E">
        <w:rPr>
          <w:rFonts w:ascii="Times New Roman" w:hAnsi="Times New Roman"/>
          <w:noProof/>
          <w:szCs w:val="24"/>
        </w:rPr>
        <w:t xml:space="preserve">. </w:t>
      </w:r>
      <w:hyperlink r:id="rId570" w:history="1">
        <w:r w:rsidRPr="008761FC">
          <w:rPr>
            <w:rStyle w:val="Hyperlink"/>
            <w:rFonts w:ascii="Times New Roman" w:hAnsi="Times New Roman"/>
            <w:noProof/>
            <w:szCs w:val="24"/>
          </w:rPr>
          <w:t>https://www.cbd.int/doc/c/2074/26e7/a135b1b57dabe8e8ed669324/synbio-ahteg-2019-01-03-en.pdf</w:t>
        </w:r>
      </w:hyperlink>
    </w:p>
    <w:p w14:paraId="5CE7382E"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Secretariat of the Convention on Biological Diversity. (2020a). </w:t>
      </w:r>
      <w:r w:rsidRPr="00310E7E">
        <w:rPr>
          <w:rFonts w:ascii="Times New Roman" w:hAnsi="Times New Roman"/>
          <w:i/>
          <w:iCs/>
          <w:noProof/>
          <w:szCs w:val="24"/>
        </w:rPr>
        <w:t>Global Biodiversity Outlook 5</w:t>
      </w:r>
      <w:r w:rsidRPr="00310E7E">
        <w:rPr>
          <w:rFonts w:ascii="Times New Roman" w:hAnsi="Times New Roman"/>
          <w:noProof/>
          <w:szCs w:val="24"/>
        </w:rPr>
        <w:t>. https://www.cbd.int/gbo5</w:t>
      </w:r>
    </w:p>
    <w:p w14:paraId="2D631B0C" w14:textId="6C1B0C6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Secretariat of the Convention on Biological Diversity. (2020b). </w:t>
      </w:r>
      <w:r w:rsidRPr="00310E7E">
        <w:rPr>
          <w:rFonts w:ascii="Times New Roman" w:hAnsi="Times New Roman"/>
          <w:i/>
          <w:iCs/>
          <w:noProof/>
          <w:szCs w:val="24"/>
        </w:rPr>
        <w:t>Report of the Ad Hoc Technical Expert Group on Digital Sequence Information on Genetic Resources</w:t>
      </w:r>
      <w:r w:rsidRPr="00310E7E">
        <w:rPr>
          <w:rFonts w:ascii="Times New Roman" w:hAnsi="Times New Roman"/>
          <w:noProof/>
          <w:szCs w:val="24"/>
        </w:rPr>
        <w:t xml:space="preserve"> (p. 18). </w:t>
      </w:r>
      <w:hyperlink r:id="rId571" w:history="1">
        <w:r w:rsidRPr="008761FC">
          <w:rPr>
            <w:rStyle w:val="Hyperlink"/>
            <w:rFonts w:ascii="Times New Roman" w:hAnsi="Times New Roman"/>
            <w:noProof/>
            <w:szCs w:val="24"/>
          </w:rPr>
          <w:t>https://www.cbd.int/doc/c/ba60/7272/3260b5e396821d42bc21035a/dsi-ahteg-2020-01-07-en.pdf</w:t>
        </w:r>
      </w:hyperlink>
    </w:p>
    <w:p w14:paraId="0CFB2C06" w14:textId="673013F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Secretariat of the Convention on Biological Diversity. (2020</w:t>
      </w:r>
      <w:r w:rsidR="008761FC">
        <w:rPr>
          <w:rFonts w:ascii="Times New Roman" w:hAnsi="Times New Roman"/>
          <w:noProof/>
          <w:szCs w:val="24"/>
        </w:rPr>
        <w:t>c</w:t>
      </w:r>
      <w:r w:rsidRPr="00310E7E">
        <w:rPr>
          <w:rFonts w:ascii="Times New Roman" w:hAnsi="Times New Roman"/>
          <w:noProof/>
          <w:szCs w:val="24"/>
        </w:rPr>
        <w:t xml:space="preserve">, April). </w:t>
      </w:r>
      <w:r w:rsidRPr="00310E7E">
        <w:rPr>
          <w:rFonts w:ascii="Times New Roman" w:hAnsi="Times New Roman"/>
          <w:i/>
          <w:iCs/>
          <w:noProof/>
          <w:szCs w:val="24"/>
        </w:rPr>
        <w:t>Report of the Ad Hoc Technical Expert Group on Risk Assessment. Montreal, Canada, 30 March-3 April 2020. CBD/CP/RA/AHTEG/2020/1/5.</w:t>
      </w:r>
      <w:r w:rsidR="008761FC" w:rsidRPr="008761FC">
        <w:rPr>
          <w:rFonts w:ascii="Times New Roman" w:hAnsi="Times New Roman"/>
          <w:noProof/>
          <w:szCs w:val="24"/>
        </w:rPr>
        <w:t xml:space="preserve"> </w:t>
      </w:r>
      <w:hyperlink r:id="rId572" w:history="1">
        <w:r w:rsidR="008761FC" w:rsidRPr="008761FC">
          <w:rPr>
            <w:rStyle w:val="Hyperlink"/>
            <w:rFonts w:ascii="Times New Roman" w:hAnsi="Times New Roman"/>
            <w:noProof/>
            <w:szCs w:val="24"/>
          </w:rPr>
          <w:t>https://www.cbd.int/doc/c/a763/e248/4fa326e03e3c126b9615e95d/cp-ra-ahteg-2020-01-05-en.pdf</w:t>
        </w:r>
      </w:hyperlink>
      <w:r w:rsidRPr="00310E7E">
        <w:rPr>
          <w:rFonts w:ascii="Times New Roman" w:hAnsi="Times New Roman"/>
          <w:i/>
          <w:iCs/>
          <w:noProof/>
          <w:szCs w:val="24"/>
        </w:rPr>
        <w:t xml:space="preserve"> </w:t>
      </w:r>
      <w:r w:rsidRPr="00310E7E">
        <w:rPr>
          <w:rFonts w:ascii="Times New Roman" w:hAnsi="Times New Roman"/>
          <w:noProof/>
          <w:szCs w:val="24"/>
        </w:rPr>
        <w:t>.</w:t>
      </w:r>
    </w:p>
    <w:p w14:paraId="1AD4A086" w14:textId="061D318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Sekiyama, K., Ishikawa, M., &amp; Murata, S. (2019). </w:t>
      </w:r>
      <w:r w:rsidRPr="00310E7E">
        <w:rPr>
          <w:rFonts w:ascii="Times New Roman" w:hAnsi="Times New Roman"/>
          <w:i/>
          <w:iCs/>
          <w:noProof/>
          <w:szCs w:val="24"/>
        </w:rPr>
        <w:t>Spider silk protein film, and method for producing same, US20190300588A1</w:t>
      </w:r>
      <w:r w:rsidRPr="00310E7E">
        <w:rPr>
          <w:rFonts w:ascii="Times New Roman" w:hAnsi="Times New Roman"/>
          <w:noProof/>
          <w:szCs w:val="24"/>
        </w:rPr>
        <w:t xml:space="preserve"> (Vol. 1). </w:t>
      </w:r>
      <w:hyperlink r:id="rId573" w:history="1">
        <w:r w:rsidRPr="008761FC">
          <w:rPr>
            <w:rStyle w:val="Hyperlink"/>
            <w:rFonts w:ascii="Times New Roman" w:hAnsi="Times New Roman"/>
            <w:noProof/>
            <w:szCs w:val="24"/>
          </w:rPr>
          <w:t>https://patents.google.com/patent/US20190300588A1/</w:t>
        </w:r>
      </w:hyperlink>
    </w:p>
    <w:p w14:paraId="6A1EECF3" w14:textId="3C40692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Senior, A. W., Evans, R., Jumper, J., Kirkpatrick, J., Sifre, L., Green, T., Qin, C., Žídek, A., Nelson, A. W. R., Bridgland, A., Penedones, H., Petersen, S., Simonyan, K., Crossan, S., Kohli, P., Jones, D. T., Silver, D., Kavukcuoglu, K., &amp; Hassabis, D. (2020). Improved protein structure prediction using potentials from deep learning.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577</w:t>
      </w:r>
      <w:r w:rsidRPr="00310E7E">
        <w:rPr>
          <w:rFonts w:ascii="Times New Roman" w:hAnsi="Times New Roman"/>
          <w:noProof/>
          <w:szCs w:val="24"/>
        </w:rPr>
        <w:t xml:space="preserve">(7792), 706–710. </w:t>
      </w:r>
      <w:hyperlink r:id="rId574" w:history="1">
        <w:r w:rsidRPr="008761FC">
          <w:rPr>
            <w:rStyle w:val="Hyperlink"/>
            <w:rFonts w:ascii="Times New Roman" w:hAnsi="Times New Roman"/>
            <w:noProof/>
            <w:szCs w:val="24"/>
          </w:rPr>
          <w:t>https://doi.org/10.1038/s41586-019-1923-7</w:t>
        </w:r>
      </w:hyperlink>
    </w:p>
    <w:p w14:paraId="3F750FED" w14:textId="1F4AEA2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Service, R. F. (2006). BIOSECURITY: Synthetic Biologists Debate Policing Themselves.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312</w:t>
      </w:r>
      <w:r w:rsidRPr="00310E7E">
        <w:rPr>
          <w:rFonts w:ascii="Times New Roman" w:hAnsi="Times New Roman"/>
          <w:noProof/>
          <w:szCs w:val="24"/>
        </w:rPr>
        <w:t xml:space="preserve">(5777), 1116–1116. </w:t>
      </w:r>
      <w:hyperlink r:id="rId575" w:history="1">
        <w:r w:rsidRPr="008761FC">
          <w:rPr>
            <w:rStyle w:val="Hyperlink"/>
            <w:rFonts w:ascii="Times New Roman" w:hAnsi="Times New Roman"/>
            <w:noProof/>
            <w:szCs w:val="24"/>
          </w:rPr>
          <w:t>https://doi.org/10.1126/science.312.5777.1116</w:t>
        </w:r>
      </w:hyperlink>
    </w:p>
    <w:p w14:paraId="08F0D549" w14:textId="7086F0B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Servick, K. (2019). Eyeing organs for human transplants, companies unveil the most extensively gene-edited pigs yet. </w:t>
      </w:r>
      <w:r w:rsidRPr="00310E7E">
        <w:rPr>
          <w:rFonts w:ascii="Times New Roman" w:hAnsi="Times New Roman"/>
          <w:i/>
          <w:iCs/>
          <w:noProof/>
          <w:szCs w:val="24"/>
        </w:rPr>
        <w:t>Science</w:t>
      </w:r>
      <w:r w:rsidRPr="00310E7E">
        <w:rPr>
          <w:rFonts w:ascii="Times New Roman" w:hAnsi="Times New Roman"/>
          <w:noProof/>
          <w:szCs w:val="24"/>
        </w:rPr>
        <w:t xml:space="preserve">. </w:t>
      </w:r>
      <w:hyperlink r:id="rId576" w:history="1">
        <w:r w:rsidRPr="008761FC">
          <w:rPr>
            <w:rStyle w:val="Hyperlink"/>
            <w:rFonts w:ascii="Times New Roman" w:hAnsi="Times New Roman"/>
            <w:noProof/>
            <w:szCs w:val="24"/>
          </w:rPr>
          <w:t>https://doi.org/10.1126/science.aba6487</w:t>
        </w:r>
      </w:hyperlink>
    </w:p>
    <w:p w14:paraId="1A33115C" w14:textId="6338A84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Seyfried, G., Pei, L., &amp; Schmidt, M. (2014). European do-it-yourself (DIY) biology: Beyond the hope, hype and horror. </w:t>
      </w:r>
      <w:r w:rsidRPr="00310E7E">
        <w:rPr>
          <w:rFonts w:ascii="Times New Roman" w:hAnsi="Times New Roman"/>
          <w:i/>
          <w:iCs/>
          <w:noProof/>
          <w:szCs w:val="24"/>
        </w:rPr>
        <w:t>BioEssays</w:t>
      </w:r>
      <w:r w:rsidRPr="00310E7E">
        <w:rPr>
          <w:rFonts w:ascii="Times New Roman" w:hAnsi="Times New Roman"/>
          <w:noProof/>
          <w:szCs w:val="24"/>
        </w:rPr>
        <w:t xml:space="preserve">, </w:t>
      </w:r>
      <w:r w:rsidRPr="00310E7E">
        <w:rPr>
          <w:rFonts w:ascii="Times New Roman" w:hAnsi="Times New Roman"/>
          <w:i/>
          <w:iCs/>
          <w:noProof/>
          <w:szCs w:val="24"/>
        </w:rPr>
        <w:t>36</w:t>
      </w:r>
      <w:r w:rsidRPr="00310E7E">
        <w:rPr>
          <w:rFonts w:ascii="Times New Roman" w:hAnsi="Times New Roman"/>
          <w:noProof/>
          <w:szCs w:val="24"/>
        </w:rPr>
        <w:t xml:space="preserve">(6), 548–551. </w:t>
      </w:r>
      <w:hyperlink r:id="rId577" w:history="1">
        <w:r w:rsidRPr="008761FC">
          <w:rPr>
            <w:rStyle w:val="Hyperlink"/>
            <w:rFonts w:ascii="Times New Roman" w:hAnsi="Times New Roman"/>
            <w:noProof/>
            <w:szCs w:val="24"/>
          </w:rPr>
          <w:t>https://doi.org/10.1002/bies.201300149</w:t>
        </w:r>
      </w:hyperlink>
    </w:p>
    <w:p w14:paraId="342DC6F9" w14:textId="4496807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Seyran, E., &amp; Craig, W. (2018). New Breeding Techniques and Their Possible Regulation – AgBioForum. </w:t>
      </w:r>
      <w:r w:rsidRPr="00310E7E">
        <w:rPr>
          <w:rFonts w:ascii="Times New Roman" w:hAnsi="Times New Roman"/>
          <w:i/>
          <w:iCs/>
          <w:noProof/>
          <w:szCs w:val="24"/>
        </w:rPr>
        <w:t>AgBioForum</w:t>
      </w:r>
      <w:r w:rsidRPr="00310E7E">
        <w:rPr>
          <w:rFonts w:ascii="Times New Roman" w:hAnsi="Times New Roman"/>
          <w:noProof/>
          <w:szCs w:val="24"/>
        </w:rPr>
        <w:t xml:space="preserve">, </w:t>
      </w:r>
      <w:r w:rsidRPr="00310E7E">
        <w:rPr>
          <w:rFonts w:ascii="Times New Roman" w:hAnsi="Times New Roman"/>
          <w:i/>
          <w:iCs/>
          <w:noProof/>
          <w:szCs w:val="24"/>
        </w:rPr>
        <w:t>21</w:t>
      </w:r>
      <w:r w:rsidRPr="00310E7E">
        <w:rPr>
          <w:rFonts w:ascii="Times New Roman" w:hAnsi="Times New Roman"/>
          <w:noProof/>
          <w:szCs w:val="24"/>
        </w:rPr>
        <w:t>(1).</w:t>
      </w:r>
      <w:r w:rsidR="008761FC" w:rsidRPr="008761FC">
        <w:t xml:space="preserve"> </w:t>
      </w:r>
      <w:hyperlink r:id="rId578" w:history="1">
        <w:r w:rsidR="008761FC" w:rsidRPr="008761FC">
          <w:rPr>
            <w:rStyle w:val="Hyperlink"/>
            <w:rFonts w:ascii="Times New Roman" w:hAnsi="Times New Roman"/>
            <w:noProof/>
            <w:szCs w:val="24"/>
          </w:rPr>
          <w:t>https://agbioforum.org/new-breeding-techniques-and-their-possible-regulation/</w:t>
        </w:r>
      </w:hyperlink>
    </w:p>
    <w:p w14:paraId="5B36FC0C" w14:textId="2DC8599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Shaked, I., Oberhardt, M. A., Atias, N., Sharan, R., &amp; Ruppin, E. (2016). Metabolic Network Prediction of Drug Side Effects. </w:t>
      </w:r>
      <w:r w:rsidRPr="00310E7E">
        <w:rPr>
          <w:rFonts w:ascii="Times New Roman" w:hAnsi="Times New Roman"/>
          <w:i/>
          <w:iCs/>
          <w:noProof/>
          <w:szCs w:val="24"/>
        </w:rPr>
        <w:t>Cell Systems</w:t>
      </w:r>
      <w:r w:rsidRPr="00310E7E">
        <w:rPr>
          <w:rFonts w:ascii="Times New Roman" w:hAnsi="Times New Roman"/>
          <w:noProof/>
          <w:szCs w:val="24"/>
        </w:rPr>
        <w:t xml:space="preserve">, </w:t>
      </w:r>
      <w:r w:rsidRPr="00310E7E">
        <w:rPr>
          <w:rFonts w:ascii="Times New Roman" w:hAnsi="Times New Roman"/>
          <w:i/>
          <w:iCs/>
          <w:noProof/>
          <w:szCs w:val="24"/>
        </w:rPr>
        <w:t>2</w:t>
      </w:r>
      <w:r w:rsidRPr="00310E7E">
        <w:rPr>
          <w:rFonts w:ascii="Times New Roman" w:hAnsi="Times New Roman"/>
          <w:noProof/>
          <w:szCs w:val="24"/>
        </w:rPr>
        <w:t xml:space="preserve">(3), 209–213. </w:t>
      </w:r>
      <w:hyperlink r:id="rId579" w:history="1">
        <w:r w:rsidRPr="008761FC">
          <w:rPr>
            <w:rStyle w:val="Hyperlink"/>
            <w:rFonts w:ascii="Times New Roman" w:hAnsi="Times New Roman"/>
            <w:noProof/>
            <w:szCs w:val="24"/>
          </w:rPr>
          <w:t>https://doi.org/10.1016/j.cels.2016.03.001</w:t>
        </w:r>
      </w:hyperlink>
    </w:p>
    <w:p w14:paraId="67703E09" w14:textId="2398640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Shao, Y., Lu, N., Wu, Z., Cai, C., Wang, S., Zhang, L.-L., Zhou, F., Xiao, S., Liu, L., Zeng, X., Zheng, H., Yang, C., Zhao, Z., Zhao, G., Zhou, J.-Q., Xue, X., &amp; Qin, Z. (2018). Creating a functional single-chromosome yeast.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560</w:t>
      </w:r>
      <w:r w:rsidRPr="00310E7E">
        <w:rPr>
          <w:rFonts w:ascii="Times New Roman" w:hAnsi="Times New Roman"/>
          <w:noProof/>
          <w:szCs w:val="24"/>
        </w:rPr>
        <w:t xml:space="preserve">(7718), 331–335. </w:t>
      </w:r>
      <w:hyperlink r:id="rId580" w:history="1">
        <w:r w:rsidRPr="008761FC">
          <w:rPr>
            <w:rStyle w:val="Hyperlink"/>
            <w:rFonts w:ascii="Times New Roman" w:hAnsi="Times New Roman"/>
            <w:noProof/>
            <w:szCs w:val="24"/>
          </w:rPr>
          <w:t>https://doi.org/10.1038/s41586-018-0382-x</w:t>
        </w:r>
      </w:hyperlink>
    </w:p>
    <w:p w14:paraId="647DF8A4" w14:textId="785C479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Shapira, P., Kwon, S., &amp; Youtie, J. (2017). Tracking the emergence of synthetic biology. </w:t>
      </w:r>
      <w:r w:rsidRPr="00310E7E">
        <w:rPr>
          <w:rFonts w:ascii="Times New Roman" w:hAnsi="Times New Roman"/>
          <w:i/>
          <w:iCs/>
          <w:noProof/>
          <w:szCs w:val="24"/>
        </w:rPr>
        <w:t>Scientometrics</w:t>
      </w:r>
      <w:r w:rsidRPr="00310E7E">
        <w:rPr>
          <w:rFonts w:ascii="Times New Roman" w:hAnsi="Times New Roman"/>
          <w:noProof/>
          <w:szCs w:val="24"/>
        </w:rPr>
        <w:t xml:space="preserve">, </w:t>
      </w:r>
      <w:r w:rsidRPr="00310E7E">
        <w:rPr>
          <w:rFonts w:ascii="Times New Roman" w:hAnsi="Times New Roman"/>
          <w:i/>
          <w:iCs/>
          <w:noProof/>
          <w:szCs w:val="24"/>
        </w:rPr>
        <w:t>112</w:t>
      </w:r>
      <w:r w:rsidRPr="00310E7E">
        <w:rPr>
          <w:rFonts w:ascii="Times New Roman" w:hAnsi="Times New Roman"/>
          <w:noProof/>
          <w:szCs w:val="24"/>
        </w:rPr>
        <w:t xml:space="preserve">(3), 1439–1469. </w:t>
      </w:r>
      <w:hyperlink r:id="rId581" w:history="1">
        <w:r w:rsidRPr="008761FC">
          <w:rPr>
            <w:rStyle w:val="Hyperlink"/>
            <w:rFonts w:ascii="Times New Roman" w:hAnsi="Times New Roman"/>
            <w:noProof/>
            <w:szCs w:val="24"/>
          </w:rPr>
          <w:t>https://doi.org/10.1007/s11192-017-2452-5</w:t>
        </w:r>
      </w:hyperlink>
    </w:p>
    <w:p w14:paraId="4FB88EA2" w14:textId="71F3867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Shelton, A. M., Long, S. J., Walker, A. S., Bolton, M., Collins, H. L., Revuelta, L., Johnson, L. M., &amp; Morrison, N. I. (2020). First Field Release of a Genetically Engineered, Self-Limiting Agricultural Pest Insect: Evaluating Its Potential for Future Crop Protection. </w:t>
      </w:r>
      <w:r w:rsidRPr="00310E7E">
        <w:rPr>
          <w:rFonts w:ascii="Times New Roman" w:hAnsi="Times New Roman"/>
          <w:i/>
          <w:iCs/>
          <w:noProof/>
          <w:szCs w:val="24"/>
        </w:rPr>
        <w:t>Frontiers in Bioengineering and Biotechnology</w:t>
      </w:r>
      <w:r w:rsidRPr="00310E7E">
        <w:rPr>
          <w:rFonts w:ascii="Times New Roman" w:hAnsi="Times New Roman"/>
          <w:noProof/>
          <w:szCs w:val="24"/>
        </w:rPr>
        <w:t xml:space="preserve">, </w:t>
      </w:r>
      <w:r w:rsidRPr="00310E7E">
        <w:rPr>
          <w:rFonts w:ascii="Times New Roman" w:hAnsi="Times New Roman"/>
          <w:i/>
          <w:iCs/>
          <w:noProof/>
          <w:szCs w:val="24"/>
        </w:rPr>
        <w:t>7</w:t>
      </w:r>
      <w:r w:rsidRPr="00310E7E">
        <w:rPr>
          <w:rFonts w:ascii="Times New Roman" w:hAnsi="Times New Roman"/>
          <w:noProof/>
          <w:szCs w:val="24"/>
        </w:rPr>
        <w:t xml:space="preserve">. </w:t>
      </w:r>
      <w:hyperlink r:id="rId582" w:history="1">
        <w:r w:rsidRPr="008761FC">
          <w:rPr>
            <w:rStyle w:val="Hyperlink"/>
            <w:rFonts w:ascii="Times New Roman" w:hAnsi="Times New Roman"/>
            <w:noProof/>
            <w:szCs w:val="24"/>
          </w:rPr>
          <w:t>https://doi.org/10.3389/fbioe.2019.00482</w:t>
        </w:r>
      </w:hyperlink>
    </w:p>
    <w:p w14:paraId="7644BBA2" w14:textId="5F5E057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Sherkow, J. S. (2018). The CRISPR Patent Landscape: Past, Present, and Future. </w:t>
      </w:r>
      <w:r w:rsidRPr="00310E7E">
        <w:rPr>
          <w:rFonts w:ascii="Times New Roman" w:hAnsi="Times New Roman"/>
          <w:i/>
          <w:iCs/>
          <w:noProof/>
          <w:szCs w:val="24"/>
        </w:rPr>
        <w:t>The CRISPR Journal</w:t>
      </w:r>
      <w:r w:rsidRPr="00310E7E">
        <w:rPr>
          <w:rFonts w:ascii="Times New Roman" w:hAnsi="Times New Roman"/>
          <w:noProof/>
          <w:szCs w:val="24"/>
        </w:rPr>
        <w:t xml:space="preserve">, </w:t>
      </w:r>
      <w:r w:rsidRPr="00310E7E">
        <w:rPr>
          <w:rFonts w:ascii="Times New Roman" w:hAnsi="Times New Roman"/>
          <w:i/>
          <w:iCs/>
          <w:noProof/>
          <w:szCs w:val="24"/>
        </w:rPr>
        <w:t>1</w:t>
      </w:r>
      <w:r w:rsidRPr="00310E7E">
        <w:rPr>
          <w:rFonts w:ascii="Times New Roman" w:hAnsi="Times New Roman"/>
          <w:noProof/>
          <w:szCs w:val="24"/>
        </w:rPr>
        <w:t>(1), 5–9.</w:t>
      </w:r>
      <w:hyperlink r:id="rId583" w:history="1">
        <w:r w:rsidRPr="008761FC">
          <w:rPr>
            <w:rStyle w:val="Hyperlink"/>
            <w:rFonts w:ascii="Times New Roman" w:hAnsi="Times New Roman"/>
            <w:noProof/>
            <w:szCs w:val="24"/>
          </w:rPr>
          <w:t xml:space="preserve"> https://doi.org/10.1089/crispr.2017.0013</w:t>
        </w:r>
      </w:hyperlink>
    </w:p>
    <w:p w14:paraId="45DF2D70" w14:textId="73495FE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Shin, S.-E., Lim, J.-M., Koh, H. G., Kim, E. K., Kang, N. K., Jeon, S., Kwon, S., Shin, W.-S., Lee, B., Hwangbo, K., Kim, J., Ye, S. H., Yun, J.-Y., Seo, H., Oh, H.-M., Kim, K.-J., Kim, J.-S., Jeong, W.-J., Chang, Y. K., &amp; Jeong, B. (2016). CRISPR/Cas9-induced knockout and knock-in mutations in </w:t>
      </w:r>
      <w:r w:rsidRPr="008761FC">
        <w:rPr>
          <w:rFonts w:ascii="Times New Roman" w:hAnsi="Times New Roman"/>
          <w:i/>
          <w:iCs/>
          <w:noProof/>
          <w:szCs w:val="24"/>
        </w:rPr>
        <w:t>Chlamydomonas reinhardtii</w:t>
      </w:r>
      <w:r w:rsidRPr="00310E7E">
        <w:rPr>
          <w:rFonts w:ascii="Times New Roman" w:hAnsi="Times New Roman"/>
          <w:noProof/>
          <w:szCs w:val="24"/>
        </w:rPr>
        <w:t xml:space="preserve">. </w:t>
      </w:r>
      <w:r w:rsidRPr="00310E7E">
        <w:rPr>
          <w:rFonts w:ascii="Times New Roman" w:hAnsi="Times New Roman"/>
          <w:i/>
          <w:iCs/>
          <w:noProof/>
          <w:szCs w:val="24"/>
        </w:rPr>
        <w:t>Scientific Reports</w:t>
      </w:r>
      <w:r w:rsidRPr="00310E7E">
        <w:rPr>
          <w:rFonts w:ascii="Times New Roman" w:hAnsi="Times New Roman"/>
          <w:noProof/>
          <w:szCs w:val="24"/>
        </w:rPr>
        <w:t xml:space="preserve">, </w:t>
      </w:r>
      <w:r w:rsidRPr="00310E7E">
        <w:rPr>
          <w:rFonts w:ascii="Times New Roman" w:hAnsi="Times New Roman"/>
          <w:i/>
          <w:iCs/>
          <w:noProof/>
          <w:szCs w:val="24"/>
        </w:rPr>
        <w:t>6</w:t>
      </w:r>
      <w:r w:rsidRPr="00310E7E">
        <w:rPr>
          <w:rFonts w:ascii="Times New Roman" w:hAnsi="Times New Roman"/>
          <w:noProof/>
          <w:szCs w:val="24"/>
        </w:rPr>
        <w:t xml:space="preserve">(1), 27810. </w:t>
      </w:r>
      <w:hyperlink r:id="rId584" w:history="1">
        <w:r w:rsidRPr="008761FC">
          <w:rPr>
            <w:rStyle w:val="Hyperlink"/>
            <w:rFonts w:ascii="Times New Roman" w:hAnsi="Times New Roman"/>
            <w:noProof/>
            <w:szCs w:val="24"/>
          </w:rPr>
          <w:t>https://doi.org/10.1038/srep27810</w:t>
        </w:r>
      </w:hyperlink>
    </w:p>
    <w:p w14:paraId="1DDEF7A2" w14:textId="0BC4C4F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Shuba, E. S., &amp; Kifle, D. (2018). Microalgae to biofuels: ‘Promising’ alternative and renewable energy, review. In </w:t>
      </w:r>
      <w:r w:rsidRPr="00310E7E">
        <w:rPr>
          <w:rFonts w:ascii="Times New Roman" w:hAnsi="Times New Roman"/>
          <w:i/>
          <w:iCs/>
          <w:noProof/>
          <w:szCs w:val="24"/>
        </w:rPr>
        <w:t>Renewable and Sustainable Energy Reviews</w:t>
      </w:r>
      <w:r w:rsidRPr="00310E7E">
        <w:rPr>
          <w:rFonts w:ascii="Times New Roman" w:hAnsi="Times New Roman"/>
          <w:noProof/>
          <w:szCs w:val="24"/>
        </w:rPr>
        <w:t xml:space="preserve"> (Vol. 81, pp. 743–755). Elsevier Ltd. </w:t>
      </w:r>
      <w:hyperlink r:id="rId585" w:history="1">
        <w:r w:rsidRPr="008761FC">
          <w:rPr>
            <w:rStyle w:val="Hyperlink"/>
            <w:rFonts w:ascii="Times New Roman" w:hAnsi="Times New Roman"/>
            <w:noProof/>
            <w:szCs w:val="24"/>
          </w:rPr>
          <w:t>https://doi.org/10.1016/j.rser.2017.08.042</w:t>
        </w:r>
      </w:hyperlink>
    </w:p>
    <w:p w14:paraId="0DCEC271" w14:textId="26FC50B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Sillman, J., Nygren, L., Kahiluoto, H., Ruuskanen, V., Tamminen, A., Bajamundi, C., Nappa, M., Wuokko, M., Lindh, T., Vainikka, P., Pitkänen, J. P., &amp; Ahola, J. (2019). Bacterial protein for food and feed generated via renewable energy and direct air capture of CO2: Can it reduce land and water use? In </w:t>
      </w:r>
      <w:r w:rsidRPr="00310E7E">
        <w:rPr>
          <w:rFonts w:ascii="Times New Roman" w:hAnsi="Times New Roman"/>
          <w:i/>
          <w:iCs/>
          <w:noProof/>
          <w:szCs w:val="24"/>
        </w:rPr>
        <w:t>Global Food Security</w:t>
      </w:r>
      <w:r w:rsidRPr="00310E7E">
        <w:rPr>
          <w:rFonts w:ascii="Times New Roman" w:hAnsi="Times New Roman"/>
          <w:noProof/>
          <w:szCs w:val="24"/>
        </w:rPr>
        <w:t xml:space="preserve"> (Vol. 22, pp. 25–32). Elsevier B.V. </w:t>
      </w:r>
      <w:hyperlink r:id="rId586" w:history="1">
        <w:r w:rsidRPr="008761FC">
          <w:rPr>
            <w:rStyle w:val="Hyperlink"/>
            <w:rFonts w:ascii="Times New Roman" w:hAnsi="Times New Roman"/>
            <w:noProof/>
            <w:szCs w:val="24"/>
          </w:rPr>
          <w:t>https://doi.org/10.1016/j.gfs.2019.09.007</w:t>
        </w:r>
      </w:hyperlink>
    </w:p>
    <w:p w14:paraId="5006328E" w14:textId="14EE283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Silverman, A. D., Karim, A. S., &amp; Jewett, M. C. (2020). Cell-free gene expression: an expanded repertoire of applications. </w:t>
      </w:r>
      <w:r w:rsidRPr="00310E7E">
        <w:rPr>
          <w:rFonts w:ascii="Times New Roman" w:hAnsi="Times New Roman"/>
          <w:i/>
          <w:iCs/>
          <w:noProof/>
          <w:szCs w:val="24"/>
        </w:rPr>
        <w:t>Nature Reviews Genetics</w:t>
      </w:r>
      <w:r w:rsidRPr="00310E7E">
        <w:rPr>
          <w:rFonts w:ascii="Times New Roman" w:hAnsi="Times New Roman"/>
          <w:noProof/>
          <w:szCs w:val="24"/>
        </w:rPr>
        <w:t xml:space="preserve">, </w:t>
      </w:r>
      <w:r w:rsidRPr="00310E7E">
        <w:rPr>
          <w:rFonts w:ascii="Times New Roman" w:hAnsi="Times New Roman"/>
          <w:i/>
          <w:iCs/>
          <w:noProof/>
          <w:szCs w:val="24"/>
        </w:rPr>
        <w:t>21</w:t>
      </w:r>
      <w:r w:rsidRPr="00310E7E">
        <w:rPr>
          <w:rFonts w:ascii="Times New Roman" w:hAnsi="Times New Roman"/>
          <w:noProof/>
          <w:szCs w:val="24"/>
        </w:rPr>
        <w:t xml:space="preserve">(3), 151–170. </w:t>
      </w:r>
      <w:hyperlink r:id="rId587" w:history="1">
        <w:r w:rsidRPr="008060B3">
          <w:rPr>
            <w:rStyle w:val="Hyperlink"/>
            <w:rFonts w:ascii="Times New Roman" w:hAnsi="Times New Roman"/>
            <w:noProof/>
            <w:szCs w:val="24"/>
          </w:rPr>
          <w:t>https://doi.org/10.1038/s41576-019-0186-3</w:t>
        </w:r>
      </w:hyperlink>
    </w:p>
    <w:p w14:paraId="18CE52B2" w14:textId="1EF513F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Simon, A. J., D’Oelsnitz, S., &amp; Ellington, A. D. (2019). Synthetic evolution.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37</w:t>
      </w:r>
      <w:r w:rsidRPr="00310E7E">
        <w:rPr>
          <w:rFonts w:ascii="Times New Roman" w:hAnsi="Times New Roman"/>
          <w:noProof/>
          <w:szCs w:val="24"/>
        </w:rPr>
        <w:t xml:space="preserve">(7), 730–743. </w:t>
      </w:r>
      <w:hyperlink r:id="rId588" w:history="1">
        <w:r w:rsidRPr="008060B3">
          <w:rPr>
            <w:rStyle w:val="Hyperlink"/>
            <w:rFonts w:ascii="Times New Roman" w:hAnsi="Times New Roman"/>
            <w:noProof/>
            <w:szCs w:val="24"/>
          </w:rPr>
          <w:t>https://doi.org/10.1038/s41587-019-0157-4</w:t>
        </w:r>
      </w:hyperlink>
    </w:p>
    <w:p w14:paraId="3E4739BA" w14:textId="2E64D8E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Simoni, A., Hammond, A. M., Beaghton, A. K., Galizi, R., Taxiarchi, C., Kyrou, K., Meacci, D., Gribble, M., Morselli, G., Burt, A., Nolan, T., &amp; Crisanti, A. (2020). A male-biased sex-distorter gene drive for the human malaria vector </w:t>
      </w:r>
      <w:r w:rsidRPr="008060B3">
        <w:rPr>
          <w:rFonts w:ascii="Times New Roman" w:hAnsi="Times New Roman"/>
          <w:i/>
          <w:iCs/>
          <w:noProof/>
          <w:szCs w:val="24"/>
        </w:rPr>
        <w:t>Anopheles gambiae</w:t>
      </w:r>
      <w:r w:rsidRPr="00310E7E">
        <w:rPr>
          <w:rFonts w:ascii="Times New Roman" w:hAnsi="Times New Roman"/>
          <w:noProof/>
          <w:szCs w:val="24"/>
        </w:rPr>
        <w:t xml:space="preserve">.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38</w:t>
      </w:r>
      <w:r w:rsidRPr="00310E7E">
        <w:rPr>
          <w:rFonts w:ascii="Times New Roman" w:hAnsi="Times New Roman"/>
          <w:noProof/>
          <w:szCs w:val="24"/>
        </w:rPr>
        <w:t xml:space="preserve">(9), 1054–1060. </w:t>
      </w:r>
      <w:hyperlink r:id="rId589" w:history="1">
        <w:r w:rsidRPr="008060B3">
          <w:rPr>
            <w:rStyle w:val="Hyperlink"/>
            <w:rFonts w:ascii="Times New Roman" w:hAnsi="Times New Roman"/>
            <w:noProof/>
            <w:szCs w:val="24"/>
          </w:rPr>
          <w:t>https://doi.org/10.1038/s41587-020-0508-1</w:t>
        </w:r>
      </w:hyperlink>
    </w:p>
    <w:p w14:paraId="4D7E5DDA" w14:textId="6472B25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Singh, J. A. (2019). Informed consent and community engagement in open field research: lessons for gene drive science. </w:t>
      </w:r>
      <w:r w:rsidRPr="00310E7E">
        <w:rPr>
          <w:rFonts w:ascii="Times New Roman" w:hAnsi="Times New Roman"/>
          <w:i/>
          <w:iCs/>
          <w:noProof/>
          <w:szCs w:val="24"/>
        </w:rPr>
        <w:t>BMC Medical Ethics</w:t>
      </w:r>
      <w:r w:rsidRPr="00310E7E">
        <w:rPr>
          <w:rFonts w:ascii="Times New Roman" w:hAnsi="Times New Roman"/>
          <w:noProof/>
          <w:szCs w:val="24"/>
        </w:rPr>
        <w:t xml:space="preserve">, </w:t>
      </w:r>
      <w:r w:rsidRPr="00310E7E">
        <w:rPr>
          <w:rFonts w:ascii="Times New Roman" w:hAnsi="Times New Roman"/>
          <w:i/>
          <w:iCs/>
          <w:noProof/>
          <w:szCs w:val="24"/>
        </w:rPr>
        <w:t>20</w:t>
      </w:r>
      <w:r w:rsidRPr="00310E7E">
        <w:rPr>
          <w:rFonts w:ascii="Times New Roman" w:hAnsi="Times New Roman"/>
          <w:noProof/>
          <w:szCs w:val="24"/>
        </w:rPr>
        <w:t xml:space="preserve">(1), 54. </w:t>
      </w:r>
      <w:hyperlink r:id="rId590" w:history="1">
        <w:r w:rsidRPr="008060B3">
          <w:rPr>
            <w:rStyle w:val="Hyperlink"/>
            <w:rFonts w:ascii="Times New Roman" w:hAnsi="Times New Roman"/>
            <w:noProof/>
            <w:szCs w:val="24"/>
          </w:rPr>
          <w:t>https://doi.org/10.1186/s12910-019-0389-3</w:t>
        </w:r>
      </w:hyperlink>
    </w:p>
    <w:p w14:paraId="18FF3CCF" w14:textId="16A0A8C1" w:rsidR="008060B3" w:rsidRDefault="008060B3" w:rsidP="00310E7E">
      <w:pPr>
        <w:widowControl w:val="0"/>
        <w:autoSpaceDE w:val="0"/>
        <w:autoSpaceDN w:val="0"/>
        <w:adjustRightInd w:val="0"/>
        <w:spacing w:after="140" w:line="240" w:lineRule="auto"/>
        <w:ind w:left="480" w:hanging="480"/>
        <w:rPr>
          <w:rFonts w:ascii="Times New Roman" w:hAnsi="Times New Roman"/>
          <w:noProof/>
          <w:szCs w:val="24"/>
        </w:rPr>
      </w:pPr>
      <w:r w:rsidRPr="008060B3">
        <w:rPr>
          <w:rFonts w:ascii="Times New Roman" w:hAnsi="Times New Roman"/>
          <w:noProof/>
          <w:szCs w:val="24"/>
        </w:rPr>
        <w:t xml:space="preserve">Singh Nijar, G., &amp; South Centre. (2011). The Nagoya Protocol on Access and Benefit Sharing of Genetic Resources: Analysis and Implementation Options for Developing Countries. </w:t>
      </w:r>
      <w:hyperlink r:id="rId591" w:history="1">
        <w:r w:rsidRPr="008060B3">
          <w:rPr>
            <w:rStyle w:val="Hyperlink"/>
            <w:rFonts w:ascii="Times New Roman" w:hAnsi="Times New Roman"/>
            <w:noProof/>
            <w:szCs w:val="24"/>
          </w:rPr>
          <w:t>http://citeseerx.ist.psu.edu/viewdoc/summary?doi=10.1.1.357.7157</w:t>
        </w:r>
      </w:hyperlink>
    </w:p>
    <w:p w14:paraId="402A587B" w14:textId="15DC780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Singh, V., &amp; Braddick, D. (2015). Recent advances and versatility of MAGE towards industrial applications. In </w:t>
      </w:r>
      <w:r w:rsidRPr="00310E7E">
        <w:rPr>
          <w:rFonts w:ascii="Times New Roman" w:hAnsi="Times New Roman"/>
          <w:i/>
          <w:iCs/>
          <w:noProof/>
          <w:szCs w:val="24"/>
        </w:rPr>
        <w:t>Systems and Synthetic Biology</w:t>
      </w:r>
      <w:r w:rsidRPr="00310E7E">
        <w:rPr>
          <w:rFonts w:ascii="Times New Roman" w:hAnsi="Times New Roman"/>
          <w:noProof/>
          <w:szCs w:val="24"/>
        </w:rPr>
        <w:t xml:space="preserve"> (Vol. 9, Issue Suppl 1, pp. 1–9). Springer Netherlands. </w:t>
      </w:r>
      <w:hyperlink r:id="rId592" w:history="1">
        <w:r w:rsidRPr="008060B3">
          <w:rPr>
            <w:rStyle w:val="Hyperlink"/>
            <w:rFonts w:ascii="Times New Roman" w:hAnsi="Times New Roman"/>
            <w:noProof/>
            <w:szCs w:val="24"/>
          </w:rPr>
          <w:t>https://doi.org/10.1007/s11693-015-9184-8</w:t>
        </w:r>
      </w:hyperlink>
    </w:p>
    <w:p w14:paraId="33912ED7" w14:textId="094C0BA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Sinha, R., &amp; Shukla, P. (2019). Current Trends in Protein Engineering: Updates and Progress. </w:t>
      </w:r>
      <w:r w:rsidRPr="00310E7E">
        <w:rPr>
          <w:rFonts w:ascii="Times New Roman" w:hAnsi="Times New Roman"/>
          <w:i/>
          <w:iCs/>
          <w:noProof/>
          <w:szCs w:val="24"/>
        </w:rPr>
        <w:t>Current Protein &amp; Peptide Science</w:t>
      </w:r>
      <w:r w:rsidRPr="00310E7E">
        <w:rPr>
          <w:rFonts w:ascii="Times New Roman" w:hAnsi="Times New Roman"/>
          <w:noProof/>
          <w:szCs w:val="24"/>
        </w:rPr>
        <w:t xml:space="preserve">, </w:t>
      </w:r>
      <w:r w:rsidRPr="00310E7E">
        <w:rPr>
          <w:rFonts w:ascii="Times New Roman" w:hAnsi="Times New Roman"/>
          <w:i/>
          <w:iCs/>
          <w:noProof/>
          <w:szCs w:val="24"/>
        </w:rPr>
        <w:t>20</w:t>
      </w:r>
      <w:r w:rsidRPr="00310E7E">
        <w:rPr>
          <w:rFonts w:ascii="Times New Roman" w:hAnsi="Times New Roman"/>
          <w:noProof/>
          <w:szCs w:val="24"/>
        </w:rPr>
        <w:t xml:space="preserve">(5), 398–407. </w:t>
      </w:r>
      <w:hyperlink r:id="rId593" w:history="1">
        <w:r w:rsidRPr="008060B3">
          <w:rPr>
            <w:rStyle w:val="Hyperlink"/>
            <w:rFonts w:ascii="Times New Roman" w:hAnsi="Times New Roman"/>
            <w:noProof/>
            <w:szCs w:val="24"/>
          </w:rPr>
          <w:t>https://doi.org/10.2174/1389203720666181119120120</w:t>
        </w:r>
      </w:hyperlink>
    </w:p>
    <w:p w14:paraId="63BEC4DF" w14:textId="0B9EFB1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Sinkins, S. P., &amp; Gould, F. (2006). Gene drive systems for insect disease vectors. </w:t>
      </w:r>
      <w:r w:rsidRPr="00310E7E">
        <w:rPr>
          <w:rFonts w:ascii="Times New Roman" w:hAnsi="Times New Roman"/>
          <w:i/>
          <w:iCs/>
          <w:noProof/>
          <w:szCs w:val="24"/>
        </w:rPr>
        <w:t>Nature Reviews Genetics</w:t>
      </w:r>
      <w:r w:rsidRPr="00310E7E">
        <w:rPr>
          <w:rFonts w:ascii="Times New Roman" w:hAnsi="Times New Roman"/>
          <w:noProof/>
          <w:szCs w:val="24"/>
        </w:rPr>
        <w:t xml:space="preserve">, </w:t>
      </w:r>
      <w:r w:rsidRPr="00310E7E">
        <w:rPr>
          <w:rFonts w:ascii="Times New Roman" w:hAnsi="Times New Roman"/>
          <w:i/>
          <w:iCs/>
          <w:noProof/>
          <w:szCs w:val="24"/>
        </w:rPr>
        <w:t>7</w:t>
      </w:r>
      <w:r w:rsidRPr="00310E7E">
        <w:rPr>
          <w:rFonts w:ascii="Times New Roman" w:hAnsi="Times New Roman"/>
          <w:noProof/>
          <w:szCs w:val="24"/>
        </w:rPr>
        <w:t xml:space="preserve">(6), 427–435. </w:t>
      </w:r>
      <w:hyperlink r:id="rId594" w:history="1">
        <w:r w:rsidRPr="008060B3">
          <w:rPr>
            <w:rStyle w:val="Hyperlink"/>
            <w:rFonts w:ascii="Times New Roman" w:hAnsi="Times New Roman"/>
            <w:noProof/>
            <w:szCs w:val="24"/>
          </w:rPr>
          <w:t>https://doi.org/10.1038/nrg1870</w:t>
        </w:r>
      </w:hyperlink>
    </w:p>
    <w:p w14:paraId="289385E4" w14:textId="02A9DA7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Sirinathsinghji, E. (2019). </w:t>
      </w:r>
      <w:r w:rsidRPr="00310E7E">
        <w:rPr>
          <w:rFonts w:ascii="Times New Roman" w:hAnsi="Times New Roman"/>
          <w:i/>
          <w:iCs/>
          <w:noProof/>
          <w:szCs w:val="24"/>
        </w:rPr>
        <w:t>Gene Drive Organisms. What Africa Should Know About Actors Motives and Threats to Biodiversity and Food Systems</w:t>
      </w:r>
      <w:r w:rsidRPr="00310E7E">
        <w:rPr>
          <w:rFonts w:ascii="Times New Roman" w:hAnsi="Times New Roman"/>
          <w:noProof/>
          <w:szCs w:val="24"/>
        </w:rPr>
        <w:t>.</w:t>
      </w:r>
      <w:r w:rsidR="008060B3" w:rsidRPr="008060B3">
        <w:t xml:space="preserve"> </w:t>
      </w:r>
      <w:hyperlink r:id="rId595" w:history="1">
        <w:r w:rsidR="008060B3" w:rsidRPr="008060B3">
          <w:rPr>
            <w:rStyle w:val="Hyperlink"/>
            <w:rFonts w:ascii="Times New Roman" w:hAnsi="Times New Roman"/>
            <w:noProof/>
            <w:szCs w:val="24"/>
          </w:rPr>
          <w:t>https://www.acbio.org.za/sites/default/files/documents/Gene_drive_organisms_What_Africa_should_know_about_actors_motives_and_threats_to_biodiversity_and_food_systems.pdf</w:t>
        </w:r>
      </w:hyperlink>
    </w:p>
    <w:p w14:paraId="3E843E5D" w14:textId="08F5C1A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Sirinathsinghji, E. (2020). </w:t>
      </w:r>
      <w:r w:rsidRPr="00310E7E">
        <w:rPr>
          <w:rFonts w:ascii="Times New Roman" w:hAnsi="Times New Roman"/>
          <w:i/>
          <w:iCs/>
          <w:noProof/>
          <w:szCs w:val="24"/>
        </w:rPr>
        <w:t>Why genome edited organisms are not excluded from the Cartagena Protocol on Biosafety</w:t>
      </w:r>
      <w:r w:rsidRPr="00310E7E">
        <w:rPr>
          <w:rFonts w:ascii="Times New Roman" w:hAnsi="Times New Roman"/>
          <w:noProof/>
          <w:szCs w:val="24"/>
        </w:rPr>
        <w:t xml:space="preserve"> (p. 7). Third World Network Biosafety Briefing. </w:t>
      </w:r>
      <w:hyperlink r:id="rId596" w:history="1">
        <w:r w:rsidRPr="008060B3">
          <w:rPr>
            <w:rStyle w:val="Hyperlink"/>
            <w:rFonts w:ascii="Times New Roman" w:hAnsi="Times New Roman"/>
            <w:noProof/>
            <w:szCs w:val="24"/>
          </w:rPr>
          <w:t>http://www.genewatch.org/uploads/f03c6d66a9b354535738483c1c3d49e4/genome-edited-biobrief-dec2020-sirinathsinghji.pdf</w:t>
        </w:r>
      </w:hyperlink>
    </w:p>
    <w:p w14:paraId="72595B03" w14:textId="5CBDB4A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Slomovic, S., Pardee, K., &amp; Collins, J. J. (2015). Synthetic biology devices for</w:t>
      </w:r>
      <w:r w:rsidRPr="008060B3">
        <w:rPr>
          <w:rFonts w:ascii="Times New Roman" w:hAnsi="Times New Roman"/>
          <w:i/>
          <w:iCs/>
          <w:noProof/>
          <w:szCs w:val="24"/>
        </w:rPr>
        <w:t xml:space="preserve"> in vitro</w:t>
      </w:r>
      <w:r w:rsidRPr="00310E7E">
        <w:rPr>
          <w:rFonts w:ascii="Times New Roman" w:hAnsi="Times New Roman"/>
          <w:noProof/>
          <w:szCs w:val="24"/>
        </w:rPr>
        <w:t xml:space="preserve"> and i</w:t>
      </w:r>
      <w:r w:rsidRPr="008060B3">
        <w:rPr>
          <w:rFonts w:ascii="Times New Roman" w:hAnsi="Times New Roman"/>
          <w:i/>
          <w:iCs/>
          <w:noProof/>
          <w:szCs w:val="24"/>
        </w:rPr>
        <w:t xml:space="preserve">n vivo </w:t>
      </w:r>
      <w:r w:rsidRPr="00310E7E">
        <w:rPr>
          <w:rFonts w:ascii="Times New Roman" w:hAnsi="Times New Roman"/>
          <w:noProof/>
          <w:szCs w:val="24"/>
        </w:rPr>
        <w:t xml:space="preserve">diagnostics. </w:t>
      </w:r>
      <w:r w:rsidRPr="00310E7E">
        <w:rPr>
          <w:rFonts w:ascii="Times New Roman" w:hAnsi="Times New Roman"/>
          <w:i/>
          <w:iCs/>
          <w:noProof/>
          <w:szCs w:val="24"/>
        </w:rPr>
        <w:t>Proceedings of the National Academy of Sciences</w:t>
      </w:r>
      <w:r w:rsidRPr="00310E7E">
        <w:rPr>
          <w:rFonts w:ascii="Times New Roman" w:hAnsi="Times New Roman"/>
          <w:noProof/>
          <w:szCs w:val="24"/>
        </w:rPr>
        <w:t xml:space="preserve">, </w:t>
      </w:r>
      <w:r w:rsidRPr="00310E7E">
        <w:rPr>
          <w:rFonts w:ascii="Times New Roman" w:hAnsi="Times New Roman"/>
          <w:i/>
          <w:iCs/>
          <w:noProof/>
          <w:szCs w:val="24"/>
        </w:rPr>
        <w:t>112</w:t>
      </w:r>
      <w:r w:rsidRPr="00310E7E">
        <w:rPr>
          <w:rFonts w:ascii="Times New Roman" w:hAnsi="Times New Roman"/>
          <w:noProof/>
          <w:szCs w:val="24"/>
        </w:rPr>
        <w:t xml:space="preserve">(47), 14429–14435. </w:t>
      </w:r>
      <w:hyperlink r:id="rId597" w:history="1">
        <w:r w:rsidRPr="008060B3">
          <w:rPr>
            <w:rStyle w:val="Hyperlink"/>
            <w:rFonts w:ascii="Times New Roman" w:hAnsi="Times New Roman"/>
            <w:noProof/>
            <w:szCs w:val="24"/>
          </w:rPr>
          <w:t>https://doi.org/10.1073/pnas.1508521112</w:t>
        </w:r>
      </w:hyperlink>
    </w:p>
    <w:p w14:paraId="69056B23" w14:textId="5C972B2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Smanski, M. J., Zhou, H., Claesen, J., Shen, B., Fischbach, M. A., &amp; Voigt, C. A. (2016). Synthetic biology to access and expand nature’s chemical diversity. In </w:t>
      </w:r>
      <w:r w:rsidRPr="00310E7E">
        <w:rPr>
          <w:rFonts w:ascii="Times New Roman" w:hAnsi="Times New Roman"/>
          <w:i/>
          <w:iCs/>
          <w:noProof/>
          <w:szCs w:val="24"/>
        </w:rPr>
        <w:t>Nature Reviews Microbiology</w:t>
      </w:r>
      <w:r w:rsidRPr="00310E7E">
        <w:rPr>
          <w:rFonts w:ascii="Times New Roman" w:hAnsi="Times New Roman"/>
          <w:noProof/>
          <w:szCs w:val="24"/>
        </w:rPr>
        <w:t xml:space="preserve"> (Vol. 14, Issue 3, pp. 135–149). Nature Publishing Group.</w:t>
      </w:r>
      <w:hyperlink r:id="rId598" w:history="1">
        <w:r w:rsidRPr="008060B3">
          <w:rPr>
            <w:rStyle w:val="Hyperlink"/>
            <w:rFonts w:ascii="Times New Roman" w:hAnsi="Times New Roman"/>
            <w:noProof/>
            <w:szCs w:val="24"/>
          </w:rPr>
          <w:t xml:space="preserve"> https://doi.org/10.1038/nrmicro.2015.24</w:t>
        </w:r>
      </w:hyperlink>
    </w:p>
    <w:p w14:paraId="0FEC1108" w14:textId="5AD2462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Smets, G., &amp; Rüdelsheim, P. (2020). </w:t>
      </w:r>
      <w:r w:rsidRPr="00310E7E">
        <w:rPr>
          <w:rFonts w:ascii="Times New Roman" w:hAnsi="Times New Roman"/>
          <w:i/>
          <w:iCs/>
          <w:noProof/>
          <w:szCs w:val="24"/>
        </w:rPr>
        <w:t>Study on Risk Assessment Application of annex I of decision CP 9/13 to living modified organisms containing engineered gene drives</w:t>
      </w:r>
      <w:r w:rsidRPr="00310E7E">
        <w:rPr>
          <w:rFonts w:ascii="Times New Roman" w:hAnsi="Times New Roman"/>
          <w:noProof/>
          <w:szCs w:val="24"/>
        </w:rPr>
        <w:t xml:space="preserve">. </w:t>
      </w:r>
      <w:hyperlink r:id="rId599" w:history="1">
        <w:r w:rsidRPr="008060B3">
          <w:rPr>
            <w:rStyle w:val="Hyperlink"/>
            <w:rFonts w:ascii="Times New Roman" w:hAnsi="Times New Roman"/>
            <w:i/>
            <w:iCs/>
            <w:noProof/>
            <w:szCs w:val="24"/>
          </w:rPr>
          <w:t>https://www.cbd.int/doc/c/f22d/a5d7/850597e99231b7d0dd194c7f/cp-ra-ahteg-2020-01-04-en.pdf</w:t>
        </w:r>
      </w:hyperlink>
    </w:p>
    <w:p w14:paraId="6E562849" w14:textId="2C05F1C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Smirnoff, N. (2019). Engineering of metabolic pathways using synthetic enzyme complexes. </w:t>
      </w:r>
      <w:r w:rsidRPr="00310E7E">
        <w:rPr>
          <w:rFonts w:ascii="Times New Roman" w:hAnsi="Times New Roman"/>
          <w:i/>
          <w:iCs/>
          <w:noProof/>
          <w:szCs w:val="24"/>
        </w:rPr>
        <w:t>Plant Physiology</w:t>
      </w:r>
      <w:r w:rsidRPr="00310E7E">
        <w:rPr>
          <w:rFonts w:ascii="Times New Roman" w:hAnsi="Times New Roman"/>
          <w:noProof/>
          <w:szCs w:val="24"/>
        </w:rPr>
        <w:t xml:space="preserve">, </w:t>
      </w:r>
      <w:r w:rsidRPr="00310E7E">
        <w:rPr>
          <w:rFonts w:ascii="Times New Roman" w:hAnsi="Times New Roman"/>
          <w:i/>
          <w:iCs/>
          <w:noProof/>
          <w:szCs w:val="24"/>
        </w:rPr>
        <w:t>179</w:t>
      </w:r>
      <w:r w:rsidRPr="00310E7E">
        <w:rPr>
          <w:rFonts w:ascii="Times New Roman" w:hAnsi="Times New Roman"/>
          <w:noProof/>
          <w:szCs w:val="24"/>
        </w:rPr>
        <w:t xml:space="preserve">(3), 918–928. </w:t>
      </w:r>
      <w:hyperlink r:id="rId600" w:history="1">
        <w:r w:rsidRPr="008060B3">
          <w:rPr>
            <w:rStyle w:val="Hyperlink"/>
            <w:rFonts w:ascii="Times New Roman" w:hAnsi="Times New Roman"/>
            <w:noProof/>
            <w:szCs w:val="24"/>
          </w:rPr>
          <w:t>https://doi.org/10.1104/pp.18.01280</w:t>
        </w:r>
      </w:hyperlink>
    </w:p>
    <w:p w14:paraId="7A546430" w14:textId="1F39AE6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Snow, A. A., &amp; Smith, V. H. (2012). Genetically Engineered Algae for Biofuels: A Key Role for Ecologists. </w:t>
      </w:r>
      <w:r w:rsidRPr="00310E7E">
        <w:rPr>
          <w:rFonts w:ascii="Times New Roman" w:hAnsi="Times New Roman"/>
          <w:i/>
          <w:iCs/>
          <w:noProof/>
          <w:szCs w:val="24"/>
        </w:rPr>
        <w:t>BioScience</w:t>
      </w:r>
      <w:r w:rsidRPr="00310E7E">
        <w:rPr>
          <w:rFonts w:ascii="Times New Roman" w:hAnsi="Times New Roman"/>
          <w:noProof/>
          <w:szCs w:val="24"/>
        </w:rPr>
        <w:t xml:space="preserve">, </w:t>
      </w:r>
      <w:r w:rsidRPr="00310E7E">
        <w:rPr>
          <w:rFonts w:ascii="Times New Roman" w:hAnsi="Times New Roman"/>
          <w:i/>
          <w:iCs/>
          <w:noProof/>
          <w:szCs w:val="24"/>
        </w:rPr>
        <w:t>62</w:t>
      </w:r>
      <w:r w:rsidRPr="00310E7E">
        <w:rPr>
          <w:rFonts w:ascii="Times New Roman" w:hAnsi="Times New Roman"/>
          <w:noProof/>
          <w:szCs w:val="24"/>
        </w:rPr>
        <w:t xml:space="preserve">(8), 765–768. </w:t>
      </w:r>
      <w:hyperlink r:id="rId601" w:history="1">
        <w:r w:rsidRPr="008B2654">
          <w:rPr>
            <w:rStyle w:val="Hyperlink"/>
            <w:rFonts w:ascii="Times New Roman" w:hAnsi="Times New Roman"/>
            <w:noProof/>
            <w:szCs w:val="24"/>
          </w:rPr>
          <w:t>https://doi.org/10.1525/bio.2012.62.8.9</w:t>
        </w:r>
      </w:hyperlink>
    </w:p>
    <w:p w14:paraId="12948664" w14:textId="0EE4A20F" w:rsidR="00310E7E" w:rsidRPr="00F8168D"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es-ES"/>
        </w:rPr>
      </w:pPr>
      <w:r w:rsidRPr="00310E7E">
        <w:rPr>
          <w:rFonts w:ascii="Times New Roman" w:hAnsi="Times New Roman"/>
          <w:noProof/>
          <w:szCs w:val="24"/>
        </w:rPr>
        <w:t xml:space="preserve">Sofaer, H. R., Jarnevich, C. S., &amp; Pearse, I. S. (2018). The relationship between invader abundance and impact. </w:t>
      </w:r>
      <w:r w:rsidRPr="00F8168D">
        <w:rPr>
          <w:rFonts w:ascii="Times New Roman" w:hAnsi="Times New Roman"/>
          <w:i/>
          <w:iCs/>
          <w:noProof/>
          <w:szCs w:val="24"/>
          <w:lang w:val="es-ES"/>
        </w:rPr>
        <w:t>Ecosphere</w:t>
      </w:r>
      <w:r w:rsidRPr="00F8168D">
        <w:rPr>
          <w:rFonts w:ascii="Times New Roman" w:hAnsi="Times New Roman"/>
          <w:noProof/>
          <w:szCs w:val="24"/>
          <w:lang w:val="es-ES"/>
        </w:rPr>
        <w:t xml:space="preserve">, </w:t>
      </w:r>
      <w:r w:rsidRPr="00F8168D">
        <w:rPr>
          <w:rFonts w:ascii="Times New Roman" w:hAnsi="Times New Roman"/>
          <w:i/>
          <w:iCs/>
          <w:noProof/>
          <w:szCs w:val="24"/>
          <w:lang w:val="es-ES"/>
        </w:rPr>
        <w:t>9</w:t>
      </w:r>
      <w:r w:rsidRPr="00F8168D">
        <w:rPr>
          <w:rFonts w:ascii="Times New Roman" w:hAnsi="Times New Roman"/>
          <w:noProof/>
          <w:szCs w:val="24"/>
          <w:lang w:val="es-ES"/>
        </w:rPr>
        <w:t xml:space="preserve">(9), e02415. </w:t>
      </w:r>
      <w:hyperlink r:id="rId602" w:history="1">
        <w:r w:rsidRPr="00F8168D">
          <w:rPr>
            <w:rStyle w:val="Hyperlink"/>
            <w:rFonts w:ascii="Times New Roman" w:hAnsi="Times New Roman"/>
            <w:noProof/>
            <w:szCs w:val="24"/>
            <w:lang w:val="es-ES"/>
          </w:rPr>
          <w:t>https://doi.org/10.1002/ecs2.2415</w:t>
        </w:r>
      </w:hyperlink>
    </w:p>
    <w:p w14:paraId="66F47508" w14:textId="633ABCB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es-ES"/>
        </w:rPr>
        <w:t xml:space="preserve">Solé, R. V, Munteanu, A., Rodriguez-Caso, C., &amp; Macía, J. (2007). </w:t>
      </w:r>
      <w:r w:rsidRPr="00310E7E">
        <w:rPr>
          <w:rFonts w:ascii="Times New Roman" w:hAnsi="Times New Roman"/>
          <w:noProof/>
          <w:szCs w:val="24"/>
        </w:rPr>
        <w:t xml:space="preserve">Synthetic protocell biology: from reproduction to computation. </w:t>
      </w:r>
      <w:r w:rsidRPr="00310E7E">
        <w:rPr>
          <w:rFonts w:ascii="Times New Roman" w:hAnsi="Times New Roman"/>
          <w:i/>
          <w:iCs/>
          <w:noProof/>
          <w:szCs w:val="24"/>
        </w:rPr>
        <w:t>Philosophical Transactions of the Royal Society B: Biological Sciences</w:t>
      </w:r>
      <w:r w:rsidRPr="00310E7E">
        <w:rPr>
          <w:rFonts w:ascii="Times New Roman" w:hAnsi="Times New Roman"/>
          <w:noProof/>
          <w:szCs w:val="24"/>
        </w:rPr>
        <w:t xml:space="preserve">, </w:t>
      </w:r>
      <w:r w:rsidRPr="00310E7E">
        <w:rPr>
          <w:rFonts w:ascii="Times New Roman" w:hAnsi="Times New Roman"/>
          <w:i/>
          <w:iCs/>
          <w:noProof/>
          <w:szCs w:val="24"/>
        </w:rPr>
        <w:t>362</w:t>
      </w:r>
      <w:r w:rsidRPr="00310E7E">
        <w:rPr>
          <w:rFonts w:ascii="Times New Roman" w:hAnsi="Times New Roman"/>
          <w:noProof/>
          <w:szCs w:val="24"/>
        </w:rPr>
        <w:t>(1486), 1727–1739.</w:t>
      </w:r>
      <w:hyperlink r:id="rId603" w:history="1">
        <w:r w:rsidRPr="008B2654">
          <w:rPr>
            <w:rStyle w:val="Hyperlink"/>
            <w:rFonts w:ascii="Times New Roman" w:hAnsi="Times New Roman"/>
            <w:noProof/>
            <w:szCs w:val="24"/>
          </w:rPr>
          <w:t xml:space="preserve"> https://doi.org/10.1098/rstb.2007.2065</w:t>
        </w:r>
      </w:hyperlink>
    </w:p>
    <w:p w14:paraId="4B3A916B" w14:textId="65CDEC2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Sonnewald, U., Fernie, A. R., Gruissem, W., Schläpfer, P., Anjanappa, R. B., Chang, S., Ludewig, F., Rascher, U., Muller, O., Doorn, A. M., Rabbi, I. Y., &amp; Zierer, W. (2020). The Cassava Source–Sink project: opportunities and challenges for crop improvement by metabolic engineering. </w:t>
      </w:r>
      <w:r w:rsidRPr="00310E7E">
        <w:rPr>
          <w:rFonts w:ascii="Times New Roman" w:hAnsi="Times New Roman"/>
          <w:i/>
          <w:iCs/>
          <w:noProof/>
          <w:szCs w:val="24"/>
        </w:rPr>
        <w:t>The Plant Journal</w:t>
      </w:r>
      <w:r w:rsidRPr="00310E7E">
        <w:rPr>
          <w:rFonts w:ascii="Times New Roman" w:hAnsi="Times New Roman"/>
          <w:noProof/>
          <w:szCs w:val="24"/>
        </w:rPr>
        <w:t xml:space="preserve">, </w:t>
      </w:r>
      <w:r w:rsidRPr="00310E7E">
        <w:rPr>
          <w:rFonts w:ascii="Times New Roman" w:hAnsi="Times New Roman"/>
          <w:i/>
          <w:iCs/>
          <w:noProof/>
          <w:szCs w:val="24"/>
        </w:rPr>
        <w:t>103</w:t>
      </w:r>
      <w:r w:rsidRPr="00310E7E">
        <w:rPr>
          <w:rFonts w:ascii="Times New Roman" w:hAnsi="Times New Roman"/>
          <w:noProof/>
          <w:szCs w:val="24"/>
        </w:rPr>
        <w:t xml:space="preserve">(5), 1655–1665. </w:t>
      </w:r>
      <w:hyperlink r:id="rId604" w:history="1">
        <w:r w:rsidRPr="008B2654">
          <w:rPr>
            <w:rStyle w:val="Hyperlink"/>
            <w:rFonts w:ascii="Times New Roman" w:hAnsi="Times New Roman"/>
            <w:noProof/>
            <w:szCs w:val="24"/>
          </w:rPr>
          <w:t>https://doi.org/10.1111/tpj.14865</w:t>
        </w:r>
      </w:hyperlink>
    </w:p>
    <w:p w14:paraId="20E983B9" w14:textId="7109BCB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South, P. F., Cavanagh, A. P., Liu, H. W., &amp; Ort, D. R. (2019). Synthetic glycolate metabolism pathways stimulate crop growth and productivity in the field.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363</w:t>
      </w:r>
      <w:r w:rsidRPr="00310E7E">
        <w:rPr>
          <w:rFonts w:ascii="Times New Roman" w:hAnsi="Times New Roman"/>
          <w:noProof/>
          <w:szCs w:val="24"/>
        </w:rPr>
        <w:t xml:space="preserve">(6422), eaat9077. </w:t>
      </w:r>
      <w:hyperlink r:id="rId605" w:history="1">
        <w:r w:rsidRPr="008B2654">
          <w:rPr>
            <w:rStyle w:val="Hyperlink"/>
            <w:rFonts w:ascii="Times New Roman" w:hAnsi="Times New Roman"/>
            <w:noProof/>
            <w:szCs w:val="24"/>
          </w:rPr>
          <w:t>https://doi.org/10.1126/science.aat9077</w:t>
        </w:r>
      </w:hyperlink>
    </w:p>
    <w:p w14:paraId="396F1F7B" w14:textId="690C7B1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Spalding, M. D., &amp; Brown, B. E. (2015). Warm-water coral reefs and climate change. In </w:t>
      </w:r>
      <w:r w:rsidRPr="00310E7E">
        <w:rPr>
          <w:rFonts w:ascii="Times New Roman" w:hAnsi="Times New Roman"/>
          <w:i/>
          <w:iCs/>
          <w:noProof/>
          <w:szCs w:val="24"/>
        </w:rPr>
        <w:t>Science</w:t>
      </w:r>
      <w:r w:rsidRPr="00310E7E">
        <w:rPr>
          <w:rFonts w:ascii="Times New Roman" w:hAnsi="Times New Roman"/>
          <w:noProof/>
          <w:szCs w:val="24"/>
        </w:rPr>
        <w:t xml:space="preserve"> (Vol. 350, Issue 6262, pp. 769–771). American Association for the Advancement of Science. </w:t>
      </w:r>
      <w:hyperlink r:id="rId606" w:history="1">
        <w:r w:rsidRPr="008B2654">
          <w:rPr>
            <w:rStyle w:val="Hyperlink"/>
            <w:rFonts w:ascii="Times New Roman" w:hAnsi="Times New Roman"/>
            <w:noProof/>
            <w:szCs w:val="24"/>
          </w:rPr>
          <w:t>https://doi.org/10.1126/science.aad0349</w:t>
        </w:r>
      </w:hyperlink>
    </w:p>
    <w:p w14:paraId="77179243" w14:textId="70F5A99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Srinivasan, P., &amp; Smolke, C. D. (2020). Biosynthesis of medicinal tropane alkaloids in yeast.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585</w:t>
      </w:r>
      <w:r w:rsidRPr="00310E7E">
        <w:rPr>
          <w:rFonts w:ascii="Times New Roman" w:hAnsi="Times New Roman"/>
          <w:noProof/>
          <w:szCs w:val="24"/>
        </w:rPr>
        <w:t xml:space="preserve">(7826), 614–619. </w:t>
      </w:r>
      <w:hyperlink r:id="rId607" w:history="1">
        <w:r w:rsidRPr="008B2654">
          <w:rPr>
            <w:rStyle w:val="Hyperlink"/>
            <w:rFonts w:ascii="Times New Roman" w:hAnsi="Times New Roman"/>
            <w:noProof/>
            <w:szCs w:val="24"/>
          </w:rPr>
          <w:t>https://doi.org/10.1038/s41586-020-2650-9</w:t>
        </w:r>
      </w:hyperlink>
    </w:p>
    <w:p w14:paraId="5E5319B6" w14:textId="69DCFEF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Stanic, M., Hickerson, N. M. N., Arunraj, R., &amp; Samuel, M. A. (2020). Gene‐editing of the strigolactone receptor BnD14 confers promising shoot architectural changes in </w:t>
      </w:r>
      <w:r w:rsidRPr="008B2654">
        <w:rPr>
          <w:rFonts w:ascii="Times New Roman" w:hAnsi="Times New Roman"/>
          <w:i/>
          <w:iCs/>
          <w:noProof/>
          <w:szCs w:val="24"/>
        </w:rPr>
        <w:t>Brassica napus</w:t>
      </w:r>
      <w:r w:rsidRPr="00310E7E">
        <w:rPr>
          <w:rFonts w:ascii="Times New Roman" w:hAnsi="Times New Roman"/>
          <w:noProof/>
          <w:szCs w:val="24"/>
        </w:rPr>
        <w:t xml:space="preserve"> (canola). </w:t>
      </w:r>
      <w:r w:rsidRPr="00310E7E">
        <w:rPr>
          <w:rFonts w:ascii="Times New Roman" w:hAnsi="Times New Roman"/>
          <w:i/>
          <w:iCs/>
          <w:noProof/>
          <w:szCs w:val="24"/>
        </w:rPr>
        <w:t>Plant Biotechnology Journal</w:t>
      </w:r>
      <w:r w:rsidRPr="00310E7E">
        <w:rPr>
          <w:rFonts w:ascii="Times New Roman" w:hAnsi="Times New Roman"/>
          <w:noProof/>
          <w:szCs w:val="24"/>
        </w:rPr>
        <w:t xml:space="preserve">, pbi.13513. </w:t>
      </w:r>
      <w:hyperlink r:id="rId608" w:history="1">
        <w:r w:rsidRPr="008B2654">
          <w:rPr>
            <w:rStyle w:val="Hyperlink"/>
            <w:rFonts w:ascii="Times New Roman" w:hAnsi="Times New Roman"/>
            <w:noProof/>
            <w:szCs w:val="24"/>
          </w:rPr>
          <w:t>https://doi.org/10.1111/pbi.13513</w:t>
        </w:r>
      </w:hyperlink>
    </w:p>
    <w:p w14:paraId="350E413F" w14:textId="1D9758F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Stevanato, P., &amp; Biscarini, F. (2016). Digital PCR as New Approach to SNP Genotyping in Sugar Beet. </w:t>
      </w:r>
      <w:r w:rsidRPr="00310E7E">
        <w:rPr>
          <w:rFonts w:ascii="Times New Roman" w:hAnsi="Times New Roman"/>
          <w:i/>
          <w:iCs/>
          <w:noProof/>
          <w:szCs w:val="24"/>
        </w:rPr>
        <w:t>Sugar Tech</w:t>
      </w:r>
      <w:r w:rsidRPr="00310E7E">
        <w:rPr>
          <w:rFonts w:ascii="Times New Roman" w:hAnsi="Times New Roman"/>
          <w:noProof/>
          <w:szCs w:val="24"/>
        </w:rPr>
        <w:t xml:space="preserve">, </w:t>
      </w:r>
      <w:r w:rsidRPr="00310E7E">
        <w:rPr>
          <w:rFonts w:ascii="Times New Roman" w:hAnsi="Times New Roman"/>
          <w:i/>
          <w:iCs/>
          <w:noProof/>
          <w:szCs w:val="24"/>
        </w:rPr>
        <w:t>18</w:t>
      </w:r>
      <w:r w:rsidRPr="00310E7E">
        <w:rPr>
          <w:rFonts w:ascii="Times New Roman" w:hAnsi="Times New Roman"/>
          <w:noProof/>
          <w:szCs w:val="24"/>
        </w:rPr>
        <w:t xml:space="preserve">(4), 429–432. </w:t>
      </w:r>
      <w:hyperlink r:id="rId609" w:history="1">
        <w:r w:rsidRPr="008B2654">
          <w:rPr>
            <w:rStyle w:val="Hyperlink"/>
            <w:rFonts w:ascii="Times New Roman" w:hAnsi="Times New Roman"/>
            <w:noProof/>
            <w:szCs w:val="24"/>
          </w:rPr>
          <w:t>https://doi.org/10.1007/s12355-015-0408-8</w:t>
        </w:r>
      </w:hyperlink>
    </w:p>
    <w:p w14:paraId="7EE9D776" w14:textId="46BE0FB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Strouse, B., Bialk, P., Niamat, R. A., Rivera-Torres, N., &amp; Kmiec, E. B. (2015). Combinatorial gene editing in mammalian cells using ssODNs and TALENs. </w:t>
      </w:r>
      <w:r w:rsidRPr="00310E7E">
        <w:rPr>
          <w:rFonts w:ascii="Times New Roman" w:hAnsi="Times New Roman"/>
          <w:i/>
          <w:iCs/>
          <w:noProof/>
          <w:szCs w:val="24"/>
        </w:rPr>
        <w:t>Scientific Reports</w:t>
      </w:r>
      <w:r w:rsidRPr="00310E7E">
        <w:rPr>
          <w:rFonts w:ascii="Times New Roman" w:hAnsi="Times New Roman"/>
          <w:noProof/>
          <w:szCs w:val="24"/>
        </w:rPr>
        <w:t xml:space="preserve">, </w:t>
      </w:r>
      <w:r w:rsidRPr="00310E7E">
        <w:rPr>
          <w:rFonts w:ascii="Times New Roman" w:hAnsi="Times New Roman"/>
          <w:i/>
          <w:iCs/>
          <w:noProof/>
          <w:szCs w:val="24"/>
        </w:rPr>
        <w:t>4</w:t>
      </w:r>
      <w:r w:rsidRPr="00310E7E">
        <w:rPr>
          <w:rFonts w:ascii="Times New Roman" w:hAnsi="Times New Roman"/>
          <w:noProof/>
          <w:szCs w:val="24"/>
        </w:rPr>
        <w:t xml:space="preserve">(1), 3791. </w:t>
      </w:r>
      <w:hyperlink r:id="rId610" w:history="1">
        <w:r w:rsidRPr="008B2654">
          <w:rPr>
            <w:rStyle w:val="Hyperlink"/>
            <w:rFonts w:ascii="Times New Roman" w:hAnsi="Times New Roman"/>
            <w:noProof/>
            <w:szCs w:val="24"/>
          </w:rPr>
          <w:t>https://doi.org/10.1038/srep03791</w:t>
        </w:r>
      </w:hyperlink>
    </w:p>
    <w:p w14:paraId="6BFBD84E" w14:textId="764192E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Šutković, J., Karić, A., &amp; Y</w:t>
      </w:r>
      <w:r w:rsidR="008B2654">
        <w:rPr>
          <w:rFonts w:ascii="Times New Roman" w:hAnsi="Times New Roman"/>
          <w:noProof/>
          <w:szCs w:val="24"/>
        </w:rPr>
        <w:t>ildirim</w:t>
      </w:r>
      <w:r w:rsidRPr="00310E7E">
        <w:rPr>
          <w:rFonts w:ascii="Times New Roman" w:hAnsi="Times New Roman"/>
          <w:noProof/>
          <w:szCs w:val="24"/>
        </w:rPr>
        <w:t xml:space="preserve">, A. (2020). </w:t>
      </w:r>
      <w:r w:rsidR="008B2654" w:rsidRPr="008B2654">
        <w:rPr>
          <w:rFonts w:ascii="Times New Roman" w:hAnsi="Times New Roman"/>
          <w:i/>
          <w:iCs/>
          <w:noProof/>
          <w:szCs w:val="24"/>
        </w:rPr>
        <w:t xml:space="preserve">In silico </w:t>
      </w:r>
      <w:r w:rsidR="008B2654" w:rsidRPr="008B2654">
        <w:rPr>
          <w:rFonts w:ascii="Times New Roman" w:hAnsi="Times New Roman"/>
          <w:noProof/>
          <w:szCs w:val="24"/>
        </w:rPr>
        <w:t>identification and expression analysis of Metal-nicotianamine transporter (YSL3) and Oligopeptide transporter 3 (OPT3) under Cd stress in</w:t>
      </w:r>
      <w:r w:rsidR="008B2654" w:rsidRPr="008B2654">
        <w:rPr>
          <w:rFonts w:ascii="Times New Roman" w:hAnsi="Times New Roman"/>
          <w:i/>
          <w:iCs/>
          <w:noProof/>
          <w:szCs w:val="24"/>
        </w:rPr>
        <w:t xml:space="preserve"> Brassica oleracea </w:t>
      </w:r>
      <w:r w:rsidR="008B2654" w:rsidRPr="008B2654">
        <w:rPr>
          <w:rFonts w:ascii="Times New Roman" w:hAnsi="Times New Roman"/>
          <w:noProof/>
          <w:szCs w:val="24"/>
        </w:rPr>
        <w:t>var</w:t>
      </w:r>
      <w:r w:rsidR="008B2654" w:rsidRPr="008B2654">
        <w:rPr>
          <w:rFonts w:ascii="Times New Roman" w:hAnsi="Times New Roman"/>
          <w:i/>
          <w:iCs/>
          <w:noProof/>
          <w:szCs w:val="24"/>
        </w:rPr>
        <w:t>. acephala</w:t>
      </w:r>
      <w:r w:rsidRPr="00310E7E">
        <w:rPr>
          <w:rFonts w:ascii="Times New Roman" w:hAnsi="Times New Roman"/>
          <w:noProof/>
          <w:szCs w:val="24"/>
        </w:rPr>
        <w:t xml:space="preserve">. </w:t>
      </w:r>
      <w:r w:rsidRPr="00310E7E">
        <w:rPr>
          <w:rFonts w:ascii="Times New Roman" w:hAnsi="Times New Roman"/>
          <w:i/>
          <w:iCs/>
          <w:noProof/>
          <w:szCs w:val="24"/>
        </w:rPr>
        <w:t>Botanical Sciences</w:t>
      </w:r>
      <w:r w:rsidRPr="00310E7E">
        <w:rPr>
          <w:rFonts w:ascii="Times New Roman" w:hAnsi="Times New Roman"/>
          <w:noProof/>
          <w:szCs w:val="24"/>
        </w:rPr>
        <w:t xml:space="preserve">, </w:t>
      </w:r>
      <w:r w:rsidRPr="00310E7E">
        <w:rPr>
          <w:rFonts w:ascii="Times New Roman" w:hAnsi="Times New Roman"/>
          <w:i/>
          <w:iCs/>
          <w:noProof/>
          <w:szCs w:val="24"/>
        </w:rPr>
        <w:t>98</w:t>
      </w:r>
      <w:r w:rsidRPr="00310E7E">
        <w:rPr>
          <w:rFonts w:ascii="Times New Roman" w:hAnsi="Times New Roman"/>
          <w:noProof/>
          <w:szCs w:val="24"/>
        </w:rPr>
        <w:t xml:space="preserve">(4), 516–523. </w:t>
      </w:r>
      <w:hyperlink r:id="rId611" w:history="1">
        <w:r w:rsidRPr="008B2654">
          <w:rPr>
            <w:rStyle w:val="Hyperlink"/>
            <w:rFonts w:ascii="Times New Roman" w:hAnsi="Times New Roman"/>
            <w:noProof/>
            <w:szCs w:val="24"/>
          </w:rPr>
          <w:t>https://doi.org/10.17129/botsci.2628</w:t>
        </w:r>
      </w:hyperlink>
    </w:p>
    <w:p w14:paraId="37A60DB7" w14:textId="2678CD9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Swingle, B., Markel, E., Costantino, N., Bubunenko, M. G., Cartinhour, S., &amp; Court, D. L. (2010). Oligonucleotide recombination in Gram-negative bacteria. </w:t>
      </w:r>
      <w:r w:rsidRPr="00310E7E">
        <w:rPr>
          <w:rFonts w:ascii="Times New Roman" w:hAnsi="Times New Roman"/>
          <w:i/>
          <w:iCs/>
          <w:noProof/>
          <w:szCs w:val="24"/>
        </w:rPr>
        <w:t>Molecular Microbiology</w:t>
      </w:r>
      <w:r w:rsidRPr="00310E7E">
        <w:rPr>
          <w:rFonts w:ascii="Times New Roman" w:hAnsi="Times New Roman"/>
          <w:noProof/>
          <w:szCs w:val="24"/>
        </w:rPr>
        <w:t xml:space="preserve">, </w:t>
      </w:r>
      <w:r w:rsidRPr="00310E7E">
        <w:rPr>
          <w:rFonts w:ascii="Times New Roman" w:hAnsi="Times New Roman"/>
          <w:i/>
          <w:iCs/>
          <w:noProof/>
          <w:szCs w:val="24"/>
        </w:rPr>
        <w:t>75</w:t>
      </w:r>
      <w:r w:rsidRPr="00310E7E">
        <w:rPr>
          <w:rFonts w:ascii="Times New Roman" w:hAnsi="Times New Roman"/>
          <w:noProof/>
          <w:szCs w:val="24"/>
        </w:rPr>
        <w:t>(1), 138–148.</w:t>
      </w:r>
      <w:hyperlink r:id="rId612" w:history="1">
        <w:r w:rsidRPr="008B2654">
          <w:rPr>
            <w:rStyle w:val="Hyperlink"/>
            <w:rFonts w:ascii="Times New Roman" w:hAnsi="Times New Roman"/>
            <w:noProof/>
            <w:szCs w:val="24"/>
          </w:rPr>
          <w:t xml:space="preserve"> https://doi.org/10.1111/j.1365-2958.2009.06976.x</w:t>
        </w:r>
      </w:hyperlink>
    </w:p>
    <w:p w14:paraId="7868F62D" w14:textId="3F6B410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Synthetic biology: The technoscience and its societal consequences. (2009). In M. Schmidt, A. Kelle, A. Ganguli-Mitra, &amp; H. De Vriend (Eds.), </w:t>
      </w:r>
      <w:r w:rsidRPr="00310E7E">
        <w:rPr>
          <w:rFonts w:ascii="Times New Roman" w:hAnsi="Times New Roman"/>
          <w:i/>
          <w:iCs/>
          <w:noProof/>
          <w:szCs w:val="24"/>
        </w:rPr>
        <w:t>Synthetic Biology: The Technoscience and Its Societal Consequences</w:t>
      </w:r>
      <w:r w:rsidRPr="00310E7E">
        <w:rPr>
          <w:rFonts w:ascii="Times New Roman" w:hAnsi="Times New Roman"/>
          <w:noProof/>
          <w:szCs w:val="24"/>
        </w:rPr>
        <w:t xml:space="preserve">. Springer Netherlands. </w:t>
      </w:r>
      <w:hyperlink r:id="rId613" w:history="1">
        <w:r w:rsidRPr="008B2654">
          <w:rPr>
            <w:rStyle w:val="Hyperlink"/>
            <w:rFonts w:ascii="Times New Roman" w:hAnsi="Times New Roman"/>
            <w:noProof/>
            <w:szCs w:val="24"/>
          </w:rPr>
          <w:t>https://doi.org/10.1007/978-90-481-2678-1</w:t>
        </w:r>
      </w:hyperlink>
    </w:p>
    <w:p w14:paraId="6DB90E3C" w14:textId="2BB10C5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Synthetic Biology Leadership Council. (2016). </w:t>
      </w:r>
      <w:r w:rsidRPr="00310E7E">
        <w:rPr>
          <w:rFonts w:ascii="Times New Roman" w:hAnsi="Times New Roman"/>
          <w:i/>
          <w:iCs/>
          <w:noProof/>
          <w:szCs w:val="24"/>
        </w:rPr>
        <w:t>Biodesign for the Bioeconomy. UK Synthetic Biology Strategic Plan 2016.</w:t>
      </w:r>
      <w:r w:rsidRPr="00310E7E">
        <w:rPr>
          <w:rFonts w:ascii="Times New Roman" w:hAnsi="Times New Roman"/>
          <w:noProof/>
          <w:szCs w:val="24"/>
        </w:rPr>
        <w:t xml:space="preserve"> </w:t>
      </w:r>
      <w:hyperlink r:id="rId614" w:history="1">
        <w:r w:rsidRPr="008B2654">
          <w:rPr>
            <w:rStyle w:val="Hyperlink"/>
            <w:rFonts w:ascii="Times New Roman" w:hAnsi="Times New Roman"/>
            <w:noProof/>
            <w:szCs w:val="24"/>
          </w:rPr>
          <w:t>https://static1.squarespace.com/static/54a6bdb7e4b08424e69c93a1/t/589619873e00be743c62a76e/1486231951837/BioDesign+for+the+Bioeconomy+2016+-+DIGITAL.pdf</w:t>
        </w:r>
      </w:hyperlink>
    </w:p>
    <w:p w14:paraId="6F641798" w14:textId="2F680C1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Taagen, E., Bogdanove, A. J., &amp; Sorrells, M. E. (2020). Counting on Crossovers: Controlled Recombination for Plant Breeding. In </w:t>
      </w:r>
      <w:r w:rsidRPr="00310E7E">
        <w:rPr>
          <w:rFonts w:ascii="Times New Roman" w:hAnsi="Times New Roman"/>
          <w:i/>
          <w:iCs/>
          <w:noProof/>
          <w:szCs w:val="24"/>
        </w:rPr>
        <w:t>Trends in Plant Science</w:t>
      </w:r>
      <w:r w:rsidRPr="00310E7E">
        <w:rPr>
          <w:rFonts w:ascii="Times New Roman" w:hAnsi="Times New Roman"/>
          <w:noProof/>
          <w:szCs w:val="24"/>
        </w:rPr>
        <w:t xml:space="preserve"> (Vol. 25, Issue 5, pp. 455–465). Elsevier Ltd. </w:t>
      </w:r>
      <w:hyperlink r:id="rId615" w:history="1">
        <w:r w:rsidRPr="008B2654">
          <w:rPr>
            <w:rStyle w:val="Hyperlink"/>
            <w:rFonts w:ascii="Times New Roman" w:hAnsi="Times New Roman"/>
            <w:noProof/>
            <w:szCs w:val="24"/>
          </w:rPr>
          <w:t>https://doi.org/10.1016/j.tplants.2019.12.017</w:t>
        </w:r>
      </w:hyperlink>
    </w:p>
    <w:p w14:paraId="6DEA0F89" w14:textId="534B57B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es-ES"/>
        </w:rPr>
        <w:t xml:space="preserve">Tabatabaei Yazdi, S. M. H., Yuan, Y., Ma, J., Zhao, H., &amp; Milenkovic, O. (2015). </w:t>
      </w:r>
      <w:r w:rsidRPr="00310E7E">
        <w:rPr>
          <w:rFonts w:ascii="Times New Roman" w:hAnsi="Times New Roman"/>
          <w:noProof/>
          <w:szCs w:val="24"/>
        </w:rPr>
        <w:t xml:space="preserve">A Rewritable, Random-Access DNA-Based Storage System. </w:t>
      </w:r>
      <w:r w:rsidRPr="00310E7E">
        <w:rPr>
          <w:rFonts w:ascii="Times New Roman" w:hAnsi="Times New Roman"/>
          <w:i/>
          <w:iCs/>
          <w:noProof/>
          <w:szCs w:val="24"/>
        </w:rPr>
        <w:t>Scientific Reports</w:t>
      </w:r>
      <w:r w:rsidRPr="00310E7E">
        <w:rPr>
          <w:rFonts w:ascii="Times New Roman" w:hAnsi="Times New Roman"/>
          <w:noProof/>
          <w:szCs w:val="24"/>
        </w:rPr>
        <w:t xml:space="preserve">, </w:t>
      </w:r>
      <w:r w:rsidRPr="00310E7E">
        <w:rPr>
          <w:rFonts w:ascii="Times New Roman" w:hAnsi="Times New Roman"/>
          <w:i/>
          <w:iCs/>
          <w:noProof/>
          <w:szCs w:val="24"/>
        </w:rPr>
        <w:t>5</w:t>
      </w:r>
      <w:r w:rsidRPr="00310E7E">
        <w:rPr>
          <w:rFonts w:ascii="Times New Roman" w:hAnsi="Times New Roman"/>
          <w:noProof/>
          <w:szCs w:val="24"/>
        </w:rPr>
        <w:t xml:space="preserve">(1), 14138. </w:t>
      </w:r>
      <w:hyperlink r:id="rId616" w:history="1">
        <w:r w:rsidRPr="00EE5985">
          <w:rPr>
            <w:rStyle w:val="Hyperlink"/>
            <w:rFonts w:ascii="Times New Roman" w:hAnsi="Times New Roman"/>
            <w:noProof/>
            <w:szCs w:val="24"/>
          </w:rPr>
          <w:t>https://doi.org/10.1038/srep14138</w:t>
        </w:r>
      </w:hyperlink>
    </w:p>
    <w:p w14:paraId="4762FB92" w14:textId="57E614B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Takahashi, M. K., Hayes, C. A., Chappell, J., Sun, Z. Z., Murray, R. M., Noireaux, V., &amp; Lucks, J. B. (2015). Characterizing and prototyping genetic networks with cell-free transcription-translation reactions. </w:t>
      </w:r>
      <w:r w:rsidRPr="00310E7E">
        <w:rPr>
          <w:rFonts w:ascii="Times New Roman" w:hAnsi="Times New Roman"/>
          <w:i/>
          <w:iCs/>
          <w:noProof/>
          <w:szCs w:val="24"/>
        </w:rPr>
        <w:t>Methods</w:t>
      </w:r>
      <w:r w:rsidRPr="00310E7E">
        <w:rPr>
          <w:rFonts w:ascii="Times New Roman" w:hAnsi="Times New Roman"/>
          <w:noProof/>
          <w:szCs w:val="24"/>
        </w:rPr>
        <w:t xml:space="preserve">, </w:t>
      </w:r>
      <w:r w:rsidRPr="00310E7E">
        <w:rPr>
          <w:rFonts w:ascii="Times New Roman" w:hAnsi="Times New Roman"/>
          <w:i/>
          <w:iCs/>
          <w:noProof/>
          <w:szCs w:val="24"/>
        </w:rPr>
        <w:t>86</w:t>
      </w:r>
      <w:r w:rsidRPr="00310E7E">
        <w:rPr>
          <w:rFonts w:ascii="Times New Roman" w:hAnsi="Times New Roman"/>
          <w:noProof/>
          <w:szCs w:val="24"/>
        </w:rPr>
        <w:t xml:space="preserve">, 60–72. </w:t>
      </w:r>
      <w:hyperlink r:id="rId617" w:history="1">
        <w:r w:rsidRPr="00EE5985">
          <w:rPr>
            <w:rStyle w:val="Hyperlink"/>
            <w:rFonts w:ascii="Times New Roman" w:hAnsi="Times New Roman"/>
            <w:noProof/>
            <w:szCs w:val="24"/>
          </w:rPr>
          <w:t>https://doi.org/10.1016/j.ymeth.2015.05.020</w:t>
        </w:r>
      </w:hyperlink>
    </w:p>
    <w:p w14:paraId="3B59F32B" w14:textId="09B8C2D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Taliansky, M., Samarskaya, V., Zavriev, S. K., Fesenko, I., Kalinina, N. O., &amp; Love, A. J. (2021). RNA-Based Technologies for Engineering Plant Virus Resistance. </w:t>
      </w:r>
      <w:r w:rsidRPr="00310E7E">
        <w:rPr>
          <w:rFonts w:ascii="Times New Roman" w:hAnsi="Times New Roman"/>
          <w:i/>
          <w:iCs/>
          <w:noProof/>
          <w:szCs w:val="24"/>
        </w:rPr>
        <w:t>Plants</w:t>
      </w:r>
      <w:r w:rsidRPr="00310E7E">
        <w:rPr>
          <w:rFonts w:ascii="Times New Roman" w:hAnsi="Times New Roman"/>
          <w:noProof/>
          <w:szCs w:val="24"/>
        </w:rPr>
        <w:t xml:space="preserve">, </w:t>
      </w:r>
      <w:r w:rsidRPr="00310E7E">
        <w:rPr>
          <w:rFonts w:ascii="Times New Roman" w:hAnsi="Times New Roman"/>
          <w:i/>
          <w:iCs/>
          <w:noProof/>
          <w:szCs w:val="24"/>
        </w:rPr>
        <w:t>10</w:t>
      </w:r>
      <w:r w:rsidRPr="00310E7E">
        <w:rPr>
          <w:rFonts w:ascii="Times New Roman" w:hAnsi="Times New Roman"/>
          <w:noProof/>
          <w:szCs w:val="24"/>
        </w:rPr>
        <w:t xml:space="preserve">(1), 82. </w:t>
      </w:r>
      <w:hyperlink r:id="rId618" w:history="1">
        <w:r w:rsidRPr="00EE5985">
          <w:rPr>
            <w:rStyle w:val="Hyperlink"/>
            <w:rFonts w:ascii="Times New Roman" w:hAnsi="Times New Roman"/>
            <w:noProof/>
            <w:szCs w:val="24"/>
          </w:rPr>
          <w:t>https://doi.org/10.3390/plants10010082</w:t>
        </w:r>
      </w:hyperlink>
    </w:p>
    <w:p w14:paraId="04D29E61" w14:textId="720CCA9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Tan, X., Letendre, J. H., Collins, J. J., &amp; Wong, W. W. (2021). Synthetic biology in the clinic: engineering vaccines, diagnostics, and therapeutics. </w:t>
      </w:r>
      <w:r w:rsidRPr="00310E7E">
        <w:rPr>
          <w:rFonts w:ascii="Times New Roman" w:hAnsi="Times New Roman"/>
          <w:i/>
          <w:iCs/>
          <w:noProof/>
          <w:szCs w:val="24"/>
        </w:rPr>
        <w:t>Cell</w:t>
      </w:r>
      <w:r w:rsidRPr="00310E7E">
        <w:rPr>
          <w:rFonts w:ascii="Times New Roman" w:hAnsi="Times New Roman"/>
          <w:noProof/>
          <w:szCs w:val="24"/>
        </w:rPr>
        <w:t xml:space="preserve">, </w:t>
      </w:r>
      <w:r w:rsidRPr="00310E7E">
        <w:rPr>
          <w:rFonts w:ascii="Times New Roman" w:hAnsi="Times New Roman"/>
          <w:i/>
          <w:iCs/>
          <w:noProof/>
          <w:szCs w:val="24"/>
        </w:rPr>
        <w:t>184</w:t>
      </w:r>
      <w:r w:rsidRPr="00310E7E">
        <w:rPr>
          <w:rFonts w:ascii="Times New Roman" w:hAnsi="Times New Roman"/>
          <w:noProof/>
          <w:szCs w:val="24"/>
        </w:rPr>
        <w:t xml:space="preserve">(4), 881–898. </w:t>
      </w:r>
      <w:hyperlink r:id="rId619" w:history="1">
        <w:r w:rsidRPr="00EE5985">
          <w:rPr>
            <w:rStyle w:val="Hyperlink"/>
            <w:rFonts w:ascii="Times New Roman" w:hAnsi="Times New Roman"/>
            <w:noProof/>
            <w:szCs w:val="24"/>
          </w:rPr>
          <w:t>https://doi.org/10.1016/j.cell.2021.01.017</w:t>
        </w:r>
      </w:hyperlink>
    </w:p>
    <w:p w14:paraId="1F1295FB" w14:textId="7B170C1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Taning, C. N. T., Gui, S., De Schutter, K., Jahani, M., Castellanos, N. L., Christiaens, O., &amp; Smagghe, G. (2020). A sequence complementarity-based approach for evaluating off-target transcript knockdown in </w:t>
      </w:r>
      <w:r w:rsidRPr="00EE5985">
        <w:rPr>
          <w:rFonts w:ascii="Times New Roman" w:hAnsi="Times New Roman"/>
          <w:i/>
          <w:iCs/>
          <w:noProof/>
          <w:szCs w:val="24"/>
        </w:rPr>
        <w:t>Bombus terrestris</w:t>
      </w:r>
      <w:r w:rsidRPr="00310E7E">
        <w:rPr>
          <w:rFonts w:ascii="Times New Roman" w:hAnsi="Times New Roman"/>
          <w:noProof/>
          <w:szCs w:val="24"/>
        </w:rPr>
        <w:t xml:space="preserve">, following ingestion of pest-specific dsRNA. </w:t>
      </w:r>
      <w:r w:rsidRPr="00310E7E">
        <w:rPr>
          <w:rFonts w:ascii="Times New Roman" w:hAnsi="Times New Roman"/>
          <w:i/>
          <w:iCs/>
          <w:noProof/>
          <w:szCs w:val="24"/>
        </w:rPr>
        <w:t>Journal of Pest Science</w:t>
      </w:r>
      <w:r w:rsidRPr="00310E7E">
        <w:rPr>
          <w:rFonts w:ascii="Times New Roman" w:hAnsi="Times New Roman"/>
          <w:noProof/>
          <w:szCs w:val="24"/>
        </w:rPr>
        <w:t xml:space="preserve">, 1–17. </w:t>
      </w:r>
      <w:hyperlink r:id="rId620" w:history="1">
        <w:r w:rsidRPr="00EE5985">
          <w:rPr>
            <w:rStyle w:val="Hyperlink"/>
            <w:rFonts w:ascii="Times New Roman" w:hAnsi="Times New Roman"/>
            <w:noProof/>
            <w:szCs w:val="24"/>
          </w:rPr>
          <w:t>https://doi.org/10.1007/s10340-020-01273-z</w:t>
        </w:r>
      </w:hyperlink>
    </w:p>
    <w:p w14:paraId="27106E24" w14:textId="68DC0C5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Tay, P. K. R., Nguyen, P. Q., &amp; Joshi, N. S. (2017). A Synthetic Circuit for Mercury Bioremediation Using Self-Assembling Functional Amyloids. </w:t>
      </w:r>
      <w:r w:rsidRPr="00310E7E">
        <w:rPr>
          <w:rFonts w:ascii="Times New Roman" w:hAnsi="Times New Roman"/>
          <w:i/>
          <w:iCs/>
          <w:noProof/>
          <w:szCs w:val="24"/>
        </w:rPr>
        <w:t>ACS Synthetic Biology</w:t>
      </w:r>
      <w:r w:rsidRPr="00310E7E">
        <w:rPr>
          <w:rFonts w:ascii="Times New Roman" w:hAnsi="Times New Roman"/>
          <w:noProof/>
          <w:szCs w:val="24"/>
        </w:rPr>
        <w:t xml:space="preserve">, </w:t>
      </w:r>
      <w:r w:rsidRPr="00310E7E">
        <w:rPr>
          <w:rFonts w:ascii="Times New Roman" w:hAnsi="Times New Roman"/>
          <w:i/>
          <w:iCs/>
          <w:noProof/>
          <w:szCs w:val="24"/>
        </w:rPr>
        <w:t>6</w:t>
      </w:r>
      <w:r w:rsidRPr="00310E7E">
        <w:rPr>
          <w:rFonts w:ascii="Times New Roman" w:hAnsi="Times New Roman"/>
          <w:noProof/>
          <w:szCs w:val="24"/>
        </w:rPr>
        <w:t xml:space="preserve">(10), 1841–1850. </w:t>
      </w:r>
      <w:hyperlink r:id="rId621" w:history="1">
        <w:r w:rsidRPr="00EE5985">
          <w:rPr>
            <w:rStyle w:val="Hyperlink"/>
            <w:rFonts w:ascii="Times New Roman" w:hAnsi="Times New Roman"/>
            <w:noProof/>
            <w:szCs w:val="24"/>
          </w:rPr>
          <w:t>https://doi.org/10.1021/acssynbio.7b00137</w:t>
        </w:r>
      </w:hyperlink>
    </w:p>
    <w:p w14:paraId="3C5E1825" w14:textId="3A2D34A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Taylor, J. W., Eghtesadi, S. A., Points, L. J., Liu, T., &amp; Cronin, L. (2017). Autonomous model protocell division driven by molecular replication. </w:t>
      </w:r>
      <w:r w:rsidRPr="00310E7E">
        <w:rPr>
          <w:rFonts w:ascii="Times New Roman" w:hAnsi="Times New Roman"/>
          <w:i/>
          <w:iCs/>
          <w:noProof/>
          <w:szCs w:val="24"/>
        </w:rPr>
        <w:t>Nature Communications</w:t>
      </w:r>
      <w:r w:rsidRPr="00310E7E">
        <w:rPr>
          <w:rFonts w:ascii="Times New Roman" w:hAnsi="Times New Roman"/>
          <w:noProof/>
          <w:szCs w:val="24"/>
        </w:rPr>
        <w:t xml:space="preserve">, </w:t>
      </w:r>
      <w:r w:rsidRPr="00310E7E">
        <w:rPr>
          <w:rFonts w:ascii="Times New Roman" w:hAnsi="Times New Roman"/>
          <w:i/>
          <w:iCs/>
          <w:noProof/>
          <w:szCs w:val="24"/>
        </w:rPr>
        <w:t>8</w:t>
      </w:r>
      <w:r w:rsidRPr="00310E7E">
        <w:rPr>
          <w:rFonts w:ascii="Times New Roman" w:hAnsi="Times New Roman"/>
          <w:noProof/>
          <w:szCs w:val="24"/>
        </w:rPr>
        <w:t xml:space="preserve">(1). </w:t>
      </w:r>
      <w:hyperlink r:id="rId622" w:history="1">
        <w:r w:rsidRPr="00EE5985">
          <w:rPr>
            <w:rStyle w:val="Hyperlink"/>
            <w:rFonts w:ascii="Times New Roman" w:hAnsi="Times New Roman"/>
            <w:noProof/>
            <w:szCs w:val="24"/>
          </w:rPr>
          <w:t>https://doi.org/10.1038/s41467-017-00177-4</w:t>
        </w:r>
      </w:hyperlink>
    </w:p>
    <w:p w14:paraId="00D11EB5" w14:textId="5018FEC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Temme, K., Tamsi, A., Bloch, S., Tung, R., &amp; Clarke, E. (2020). </w:t>
      </w:r>
      <w:r w:rsidRPr="00310E7E">
        <w:rPr>
          <w:rFonts w:ascii="Times New Roman" w:hAnsi="Times New Roman"/>
          <w:i/>
          <w:iCs/>
          <w:noProof/>
          <w:szCs w:val="24"/>
        </w:rPr>
        <w:t>Methods and compositions for improving plant traits</w:t>
      </w:r>
      <w:r w:rsidRPr="00310E7E">
        <w:rPr>
          <w:rFonts w:ascii="Times New Roman" w:hAnsi="Times New Roman"/>
          <w:noProof/>
          <w:szCs w:val="24"/>
        </w:rPr>
        <w:t xml:space="preserve"> (Patent No. US10556839B2). </w:t>
      </w:r>
      <w:hyperlink r:id="rId623" w:history="1">
        <w:r w:rsidRPr="00EE5985">
          <w:rPr>
            <w:rStyle w:val="Hyperlink"/>
            <w:rFonts w:ascii="Times New Roman" w:hAnsi="Times New Roman"/>
            <w:noProof/>
            <w:szCs w:val="24"/>
          </w:rPr>
          <w:t>https://patents.google.com/patent/US10556839B2/en?assignee=pivot+bio&amp;oq=pivot+bio</w:t>
        </w:r>
      </w:hyperlink>
    </w:p>
    <w:p w14:paraId="7193C25E" w14:textId="185DB13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Thavarajah, W., Verosloff, M. S., Jung, J. K., Alam, K. K., Miller, J. D., Jewett, M. C., Young, S. L., &amp; Lucks, J. B. (2020). A primer on emerging field-deployable synthetic biology tools for global water quality monitoring. </w:t>
      </w:r>
      <w:r w:rsidRPr="00310E7E">
        <w:rPr>
          <w:rFonts w:ascii="Times New Roman" w:hAnsi="Times New Roman"/>
          <w:i/>
          <w:iCs/>
          <w:noProof/>
          <w:szCs w:val="24"/>
        </w:rPr>
        <w:t>Npj Clean Water</w:t>
      </w:r>
      <w:r w:rsidRPr="00310E7E">
        <w:rPr>
          <w:rFonts w:ascii="Times New Roman" w:hAnsi="Times New Roman"/>
          <w:noProof/>
          <w:szCs w:val="24"/>
        </w:rPr>
        <w:t xml:space="preserve">, </w:t>
      </w:r>
      <w:r w:rsidRPr="00310E7E">
        <w:rPr>
          <w:rFonts w:ascii="Times New Roman" w:hAnsi="Times New Roman"/>
          <w:i/>
          <w:iCs/>
          <w:noProof/>
          <w:szCs w:val="24"/>
        </w:rPr>
        <w:t>3</w:t>
      </w:r>
      <w:r w:rsidRPr="00310E7E">
        <w:rPr>
          <w:rFonts w:ascii="Times New Roman" w:hAnsi="Times New Roman"/>
          <w:noProof/>
          <w:szCs w:val="24"/>
        </w:rPr>
        <w:t xml:space="preserve">(1), 18. </w:t>
      </w:r>
      <w:hyperlink r:id="rId624" w:history="1">
        <w:r w:rsidRPr="00EE5985">
          <w:rPr>
            <w:rStyle w:val="Hyperlink"/>
            <w:rFonts w:ascii="Times New Roman" w:hAnsi="Times New Roman"/>
            <w:noProof/>
            <w:szCs w:val="24"/>
          </w:rPr>
          <w:t>https://doi.org/10.1038/s41545-020-0064-8</w:t>
        </w:r>
      </w:hyperlink>
    </w:p>
    <w:p w14:paraId="4C948E54"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The British Standards Institution. (2015). </w:t>
      </w:r>
      <w:r w:rsidRPr="00310E7E">
        <w:rPr>
          <w:rFonts w:ascii="Times New Roman" w:hAnsi="Times New Roman"/>
          <w:i/>
          <w:iCs/>
          <w:noProof/>
          <w:szCs w:val="24"/>
        </w:rPr>
        <w:t>Use of Standards for Digital Biological Information in the Design, Construction and Description of a Synthetic Biological System. Guide. PAS 246:2015.</w:t>
      </w:r>
    </w:p>
    <w:p w14:paraId="7A250D65" w14:textId="45B04F6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The Royal Academy of Engineering. (2009). </w:t>
      </w:r>
      <w:r w:rsidRPr="00310E7E">
        <w:rPr>
          <w:rFonts w:ascii="Times New Roman" w:hAnsi="Times New Roman"/>
          <w:i/>
          <w:iCs/>
          <w:noProof/>
          <w:szCs w:val="24"/>
        </w:rPr>
        <w:t>Synthetic Biology: scope, applications and implications</w:t>
      </w:r>
      <w:r w:rsidRPr="00310E7E">
        <w:rPr>
          <w:rFonts w:ascii="Times New Roman" w:hAnsi="Times New Roman"/>
          <w:noProof/>
          <w:szCs w:val="24"/>
        </w:rPr>
        <w:t xml:space="preserve">. </w:t>
      </w:r>
      <w:hyperlink r:id="rId625" w:history="1">
        <w:r w:rsidRPr="00EE5985">
          <w:rPr>
            <w:rStyle w:val="Hyperlink"/>
            <w:rFonts w:ascii="Times New Roman" w:hAnsi="Times New Roman"/>
            <w:noProof/>
            <w:szCs w:val="24"/>
          </w:rPr>
          <w:t>https://www.raeng.org.uk/publications/reports/synthetic-biology-report</w:t>
        </w:r>
      </w:hyperlink>
    </w:p>
    <w:p w14:paraId="7A7FD692" w14:textId="71A601A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Thomas-Walters, L., Hinsley, A., Bergin, D., Burgess, G., Doughty, H., Eppel, S., MacFarlane, D., Meijer, W., Lee, T. M., Phelps, J., Smith, R. J., Wan, A. K. Y., &amp; Veríssimo, D. (2021). Motivations for the use and consumption of wildlife products. </w:t>
      </w:r>
      <w:r w:rsidRPr="00310E7E">
        <w:rPr>
          <w:rFonts w:ascii="Times New Roman" w:hAnsi="Times New Roman"/>
          <w:i/>
          <w:iCs/>
          <w:noProof/>
          <w:szCs w:val="24"/>
        </w:rPr>
        <w:t>Conservation Biology</w:t>
      </w:r>
      <w:r w:rsidRPr="00310E7E">
        <w:rPr>
          <w:rFonts w:ascii="Times New Roman" w:hAnsi="Times New Roman"/>
          <w:noProof/>
          <w:szCs w:val="24"/>
        </w:rPr>
        <w:t xml:space="preserve">, </w:t>
      </w:r>
      <w:r w:rsidRPr="00310E7E">
        <w:rPr>
          <w:rFonts w:ascii="Times New Roman" w:hAnsi="Times New Roman"/>
          <w:i/>
          <w:iCs/>
          <w:noProof/>
          <w:szCs w:val="24"/>
        </w:rPr>
        <w:t>35</w:t>
      </w:r>
      <w:r w:rsidRPr="00310E7E">
        <w:rPr>
          <w:rFonts w:ascii="Times New Roman" w:hAnsi="Times New Roman"/>
          <w:noProof/>
          <w:szCs w:val="24"/>
        </w:rPr>
        <w:t xml:space="preserve">(2), 483–491. </w:t>
      </w:r>
      <w:hyperlink r:id="rId626" w:history="1">
        <w:r w:rsidRPr="00EE5985">
          <w:rPr>
            <w:rStyle w:val="Hyperlink"/>
            <w:rFonts w:ascii="Times New Roman" w:hAnsi="Times New Roman"/>
            <w:noProof/>
            <w:szCs w:val="24"/>
          </w:rPr>
          <w:t>https://doi.org/10.1111/cobi.13578</w:t>
        </w:r>
      </w:hyperlink>
    </w:p>
    <w:p w14:paraId="15579B0C" w14:textId="0657372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Thomas, D. D., Donnelly, C. A., Wood, R. J., &amp; Alphey, L. S. (2000). Insect population control using a dominant, repressible, lethal genetic system.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287</w:t>
      </w:r>
      <w:r w:rsidRPr="00310E7E">
        <w:rPr>
          <w:rFonts w:ascii="Times New Roman" w:hAnsi="Times New Roman"/>
          <w:noProof/>
          <w:szCs w:val="24"/>
        </w:rPr>
        <w:t xml:space="preserve">(5462), 2474–2476. </w:t>
      </w:r>
      <w:hyperlink r:id="rId627" w:history="1">
        <w:r w:rsidRPr="00EE5985">
          <w:rPr>
            <w:rStyle w:val="Hyperlink"/>
            <w:rFonts w:ascii="Times New Roman" w:hAnsi="Times New Roman"/>
            <w:noProof/>
            <w:szCs w:val="24"/>
          </w:rPr>
          <w:t>https://doi.org/10.1126/science.287.5462.2474</w:t>
        </w:r>
      </w:hyperlink>
    </w:p>
    <w:p w14:paraId="5CE3E683" w14:textId="49D3719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Thyer, R., Shroff, R., Klein, D. R., D’Oelsnitz, S., Cotham, V. C., Byrom, M., Brodbelt, J. S., &amp; Ellington, A. D. (2018). Custom selenoprotein production enabled by laboratory evolution of recoded bacterial strains.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36</w:t>
      </w:r>
      <w:r w:rsidRPr="00310E7E">
        <w:rPr>
          <w:rFonts w:ascii="Times New Roman" w:hAnsi="Times New Roman"/>
          <w:noProof/>
          <w:szCs w:val="24"/>
        </w:rPr>
        <w:t xml:space="preserve">(7), 624–631. </w:t>
      </w:r>
      <w:hyperlink r:id="rId628" w:history="1">
        <w:r w:rsidRPr="00EE5985">
          <w:rPr>
            <w:rStyle w:val="Hyperlink"/>
            <w:rFonts w:ascii="Times New Roman" w:hAnsi="Times New Roman"/>
            <w:noProof/>
            <w:szCs w:val="24"/>
          </w:rPr>
          <w:t>https://doi.org/10.1038/nbt.4154</w:t>
        </w:r>
      </w:hyperlink>
    </w:p>
    <w:p w14:paraId="2E0F108C" w14:textId="7384C21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Tian, Y.-S., Xu, J., Peng, R.-H., Xiong, A.-S., Xu, H., Zhao, W., Fu, X.-Y., Han, H.-J., &amp; Yao, Q.-H. (2013). Mutation by DNA shuffling of 5-enolpyruvylshikimate-3-phosphate synthase from </w:t>
      </w:r>
      <w:r w:rsidRPr="00310E7E">
        <w:rPr>
          <w:rFonts w:ascii="Times New Roman" w:hAnsi="Times New Roman"/>
          <w:i/>
          <w:iCs/>
          <w:noProof/>
          <w:szCs w:val="24"/>
        </w:rPr>
        <w:t>Malus domestica</w:t>
      </w:r>
      <w:r w:rsidR="00EE5985">
        <w:rPr>
          <w:rFonts w:ascii="Times New Roman" w:hAnsi="Times New Roman"/>
          <w:i/>
          <w:iCs/>
          <w:noProof/>
          <w:szCs w:val="24"/>
        </w:rPr>
        <w:t xml:space="preserve"> </w:t>
      </w:r>
      <w:r w:rsidRPr="00310E7E">
        <w:rPr>
          <w:rFonts w:ascii="Times New Roman" w:hAnsi="Times New Roman"/>
          <w:noProof/>
          <w:szCs w:val="24"/>
        </w:rPr>
        <w:t xml:space="preserve">for improved glyphosate resistance. </w:t>
      </w:r>
      <w:r w:rsidRPr="00310E7E">
        <w:rPr>
          <w:rFonts w:ascii="Times New Roman" w:hAnsi="Times New Roman"/>
          <w:i/>
          <w:iCs/>
          <w:noProof/>
          <w:szCs w:val="24"/>
        </w:rPr>
        <w:t>Plant Biotechnology Journal</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(7), 829–838. </w:t>
      </w:r>
      <w:hyperlink r:id="rId629" w:history="1">
        <w:r w:rsidRPr="00EE5985">
          <w:rPr>
            <w:rStyle w:val="Hyperlink"/>
            <w:rFonts w:ascii="Times New Roman" w:hAnsi="Times New Roman"/>
            <w:noProof/>
            <w:szCs w:val="24"/>
          </w:rPr>
          <w:t>https://doi.org/10.1111/pbi.12074</w:t>
        </w:r>
      </w:hyperlink>
    </w:p>
    <w:p w14:paraId="12FAA65A" w14:textId="0ABAF9B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Tinafar, A., Jaenes, K., &amp; Pardee, K. (2019). Synthetic Biology Goes Cell-Free. In </w:t>
      </w:r>
      <w:r w:rsidRPr="00310E7E">
        <w:rPr>
          <w:rFonts w:ascii="Times New Roman" w:hAnsi="Times New Roman"/>
          <w:i/>
          <w:iCs/>
          <w:noProof/>
          <w:szCs w:val="24"/>
        </w:rPr>
        <w:t>BMC Biology</w:t>
      </w:r>
      <w:r w:rsidRPr="00310E7E">
        <w:rPr>
          <w:rFonts w:ascii="Times New Roman" w:hAnsi="Times New Roman"/>
          <w:noProof/>
          <w:szCs w:val="24"/>
        </w:rPr>
        <w:t xml:space="preserve"> (Vol. 17, Issue 1, pp. 1–14). BioMed Central Ltd. </w:t>
      </w:r>
      <w:hyperlink r:id="rId630" w:history="1">
        <w:r w:rsidRPr="00EE5985">
          <w:rPr>
            <w:rStyle w:val="Hyperlink"/>
            <w:rFonts w:ascii="Times New Roman" w:hAnsi="Times New Roman"/>
            <w:noProof/>
            <w:szCs w:val="24"/>
          </w:rPr>
          <w:t>https://doi.org/10.1186/s12915-019-0685-x</w:t>
        </w:r>
      </w:hyperlink>
    </w:p>
    <w:p w14:paraId="34CC75DB" w14:textId="06D5FC4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Toparlak, O. D., &amp; Mansy, S. S. (2019). Progress in synthesizing protocells. </w:t>
      </w:r>
      <w:r w:rsidRPr="00310E7E">
        <w:rPr>
          <w:rFonts w:ascii="Times New Roman" w:hAnsi="Times New Roman"/>
          <w:i/>
          <w:iCs/>
          <w:noProof/>
          <w:szCs w:val="24"/>
        </w:rPr>
        <w:t>Experimental Biology and Medicine</w:t>
      </w:r>
      <w:r w:rsidRPr="00310E7E">
        <w:rPr>
          <w:rFonts w:ascii="Times New Roman" w:hAnsi="Times New Roman"/>
          <w:noProof/>
          <w:szCs w:val="24"/>
        </w:rPr>
        <w:t xml:space="preserve">, </w:t>
      </w:r>
      <w:r w:rsidRPr="00310E7E">
        <w:rPr>
          <w:rFonts w:ascii="Times New Roman" w:hAnsi="Times New Roman"/>
          <w:i/>
          <w:iCs/>
          <w:noProof/>
          <w:szCs w:val="24"/>
        </w:rPr>
        <w:t>244</w:t>
      </w:r>
      <w:r w:rsidRPr="00310E7E">
        <w:rPr>
          <w:rFonts w:ascii="Times New Roman" w:hAnsi="Times New Roman"/>
          <w:noProof/>
          <w:szCs w:val="24"/>
        </w:rPr>
        <w:t xml:space="preserve">(4), 304–313. </w:t>
      </w:r>
      <w:hyperlink r:id="rId631" w:history="1">
        <w:r w:rsidRPr="00984364">
          <w:rPr>
            <w:rStyle w:val="Hyperlink"/>
            <w:rFonts w:ascii="Times New Roman" w:hAnsi="Times New Roman"/>
            <w:noProof/>
            <w:szCs w:val="24"/>
          </w:rPr>
          <w:t>https://doi.org/10.1177/1535370218816657</w:t>
        </w:r>
      </w:hyperlink>
    </w:p>
    <w:p w14:paraId="22D21E03" w14:textId="5555A16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Torrance, A. W. (2010). Synthesizing Law for Synthetic Biology. </w:t>
      </w:r>
      <w:r w:rsidRPr="00310E7E">
        <w:rPr>
          <w:rFonts w:ascii="Times New Roman" w:hAnsi="Times New Roman"/>
          <w:i/>
          <w:iCs/>
          <w:noProof/>
          <w:szCs w:val="24"/>
        </w:rPr>
        <w:t>Minnesota Journal of Law, Science and Technology</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(2), 629–665. </w:t>
      </w:r>
      <w:hyperlink r:id="rId632" w:history="1">
        <w:r w:rsidRPr="00984364">
          <w:rPr>
            <w:rStyle w:val="Hyperlink"/>
            <w:rFonts w:ascii="Times New Roman" w:hAnsi="Times New Roman"/>
            <w:noProof/>
            <w:szCs w:val="24"/>
          </w:rPr>
          <w:t>https://papers.ssrn.com/sol3/papers.cfm?abstract_id=1629838</w:t>
        </w:r>
      </w:hyperlink>
    </w:p>
    <w:p w14:paraId="71D62F8E" w14:textId="1889446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es-ES"/>
        </w:rPr>
        <w:t xml:space="preserve">Torres-Martínez, S., &amp; Ruiz-Vázquez, R. M. (2017). </w:t>
      </w:r>
      <w:r w:rsidRPr="00310E7E">
        <w:rPr>
          <w:rFonts w:ascii="Times New Roman" w:hAnsi="Times New Roman"/>
          <w:noProof/>
          <w:szCs w:val="24"/>
        </w:rPr>
        <w:t xml:space="preserve">The RNAi Universe in Fungi: A Varied Landscape of Small RNAs and Biological Functions. </w:t>
      </w:r>
      <w:r w:rsidRPr="00310E7E">
        <w:rPr>
          <w:rFonts w:ascii="Times New Roman" w:hAnsi="Times New Roman"/>
          <w:i/>
          <w:iCs/>
          <w:noProof/>
          <w:szCs w:val="24"/>
        </w:rPr>
        <w:t>Annual Review of Microbiology</w:t>
      </w:r>
      <w:r w:rsidRPr="00310E7E">
        <w:rPr>
          <w:rFonts w:ascii="Times New Roman" w:hAnsi="Times New Roman"/>
          <w:noProof/>
          <w:szCs w:val="24"/>
        </w:rPr>
        <w:t xml:space="preserve">. </w:t>
      </w:r>
      <w:hyperlink r:id="rId633" w:history="1">
        <w:r w:rsidRPr="00984364">
          <w:rPr>
            <w:rStyle w:val="Hyperlink"/>
            <w:rFonts w:ascii="Times New Roman" w:hAnsi="Times New Roman"/>
            <w:noProof/>
            <w:szCs w:val="24"/>
          </w:rPr>
          <w:t>https://doi.org/10.1146/annurev-micro-090816-093352</w:t>
        </w:r>
      </w:hyperlink>
    </w:p>
    <w:p w14:paraId="40EB4BF4" w14:textId="144A1B1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Troadec, M.-B., &amp; Pagès, J.-C. (2019). Where are we with unintended effects in genome editing applications from DNA to phenotype: focus on plant applications. </w:t>
      </w:r>
      <w:r w:rsidRPr="00310E7E">
        <w:rPr>
          <w:rFonts w:ascii="Times New Roman" w:hAnsi="Times New Roman"/>
          <w:i/>
          <w:iCs/>
          <w:noProof/>
          <w:szCs w:val="24"/>
        </w:rPr>
        <w:t>Transgenic Research</w:t>
      </w:r>
      <w:r w:rsidRPr="00310E7E">
        <w:rPr>
          <w:rFonts w:ascii="Times New Roman" w:hAnsi="Times New Roman"/>
          <w:noProof/>
          <w:szCs w:val="24"/>
        </w:rPr>
        <w:t xml:space="preserve">, </w:t>
      </w:r>
      <w:r w:rsidRPr="00310E7E">
        <w:rPr>
          <w:rFonts w:ascii="Times New Roman" w:hAnsi="Times New Roman"/>
          <w:i/>
          <w:iCs/>
          <w:noProof/>
          <w:szCs w:val="24"/>
        </w:rPr>
        <w:t>28</w:t>
      </w:r>
      <w:r w:rsidRPr="00310E7E">
        <w:rPr>
          <w:rFonts w:ascii="Times New Roman" w:hAnsi="Times New Roman"/>
          <w:noProof/>
          <w:szCs w:val="24"/>
        </w:rPr>
        <w:t xml:space="preserve">(S2), 125–133. </w:t>
      </w:r>
      <w:hyperlink r:id="rId634" w:history="1">
        <w:r w:rsidRPr="00984364">
          <w:rPr>
            <w:rStyle w:val="Hyperlink"/>
            <w:rFonts w:ascii="Times New Roman" w:hAnsi="Times New Roman"/>
            <w:noProof/>
            <w:szCs w:val="24"/>
          </w:rPr>
          <w:t>https://doi.org/10.1007/s11248-019-00146-1</w:t>
        </w:r>
      </w:hyperlink>
    </w:p>
    <w:p w14:paraId="1DCDA2BD" w14:textId="6750C02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Trump, B. D., Galaitsi, S. E., Appleton, E., Bleijs, D. A., Florin, M., Gollihar, J. D., Hamilton, R. A., Kuiken, T., Lentzos, F., Mampuys, R., Merad, M., Novossiolova, T., Oye, K., Perkins, E., Garcia‐Reyero, N., Rhodes, C., &amp; Linkov, I. (2020). Building biosecurity for synthetic biology. </w:t>
      </w:r>
      <w:r w:rsidRPr="00310E7E">
        <w:rPr>
          <w:rFonts w:ascii="Times New Roman" w:hAnsi="Times New Roman"/>
          <w:i/>
          <w:iCs/>
          <w:noProof/>
          <w:szCs w:val="24"/>
        </w:rPr>
        <w:t>Molecular Systems Biology</w:t>
      </w:r>
      <w:r w:rsidRPr="00310E7E">
        <w:rPr>
          <w:rFonts w:ascii="Times New Roman" w:hAnsi="Times New Roman"/>
          <w:noProof/>
          <w:szCs w:val="24"/>
        </w:rPr>
        <w:t xml:space="preserve">, </w:t>
      </w:r>
      <w:r w:rsidRPr="00310E7E">
        <w:rPr>
          <w:rFonts w:ascii="Times New Roman" w:hAnsi="Times New Roman"/>
          <w:i/>
          <w:iCs/>
          <w:noProof/>
          <w:szCs w:val="24"/>
        </w:rPr>
        <w:t>16</w:t>
      </w:r>
      <w:r w:rsidRPr="00310E7E">
        <w:rPr>
          <w:rFonts w:ascii="Times New Roman" w:hAnsi="Times New Roman"/>
          <w:noProof/>
          <w:szCs w:val="24"/>
        </w:rPr>
        <w:t xml:space="preserve">(7). </w:t>
      </w:r>
      <w:hyperlink r:id="rId635" w:history="1">
        <w:r w:rsidRPr="00984364">
          <w:rPr>
            <w:rStyle w:val="Hyperlink"/>
            <w:rFonts w:ascii="Times New Roman" w:hAnsi="Times New Roman"/>
            <w:noProof/>
            <w:szCs w:val="24"/>
          </w:rPr>
          <w:t>https://doi.org/10.15252/msb.20209723</w:t>
        </w:r>
      </w:hyperlink>
    </w:p>
    <w:p w14:paraId="74E8F0FE" w14:textId="21D5458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Tsuruta, H., Lenihan, J. R., &amp; Regentin, R. (2019). </w:t>
      </w:r>
      <w:r w:rsidRPr="00310E7E">
        <w:rPr>
          <w:rFonts w:ascii="Times New Roman" w:hAnsi="Times New Roman"/>
          <w:i/>
          <w:iCs/>
          <w:noProof/>
          <w:szCs w:val="24"/>
        </w:rPr>
        <w:t>Production of isoprenoids, CA2700211C</w:t>
      </w:r>
      <w:r w:rsidRPr="00310E7E">
        <w:rPr>
          <w:rFonts w:ascii="Times New Roman" w:hAnsi="Times New Roman"/>
          <w:noProof/>
          <w:szCs w:val="24"/>
        </w:rPr>
        <w:t xml:space="preserve">. </w:t>
      </w:r>
      <w:hyperlink r:id="rId636" w:history="1">
        <w:r w:rsidRPr="00984364">
          <w:rPr>
            <w:rStyle w:val="Hyperlink"/>
            <w:rFonts w:ascii="Times New Roman" w:hAnsi="Times New Roman"/>
            <w:noProof/>
            <w:szCs w:val="24"/>
          </w:rPr>
          <w:t>https://patents.google.com/patent/CA2700211C</w:t>
        </w:r>
      </w:hyperlink>
    </w:p>
    <w:p w14:paraId="2772334A" w14:textId="0F49321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Tucker, J. B., &amp; Zilinskas, R. A. (2006). </w:t>
      </w:r>
      <w:r w:rsidRPr="00310E7E">
        <w:rPr>
          <w:rFonts w:ascii="Times New Roman" w:hAnsi="Times New Roman"/>
          <w:i/>
          <w:iCs/>
          <w:noProof/>
          <w:szCs w:val="24"/>
        </w:rPr>
        <w:t>The Promise and Perils of Synthetic Biology: On regulating designer microbes</w:t>
      </w:r>
      <w:r w:rsidRPr="00310E7E">
        <w:rPr>
          <w:rFonts w:ascii="Times New Roman" w:hAnsi="Times New Roman"/>
          <w:noProof/>
          <w:szCs w:val="24"/>
        </w:rPr>
        <w:t xml:space="preserve">. The New Atlantis. </w:t>
      </w:r>
      <w:hyperlink r:id="rId637" w:history="1">
        <w:r w:rsidRPr="00984364">
          <w:rPr>
            <w:rStyle w:val="Hyperlink"/>
            <w:rFonts w:ascii="Times New Roman" w:hAnsi="Times New Roman"/>
            <w:noProof/>
            <w:szCs w:val="24"/>
          </w:rPr>
          <w:t>https://www.thenewatlantis.com/publications/the-promise-and-perils-of-synthetic-biology</w:t>
        </w:r>
      </w:hyperlink>
    </w:p>
    <w:p w14:paraId="632670D4" w14:textId="2860743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Tumpey, T. M. (2005). Characterization of the Reconstructed 1918 Spanish Influenza Pandemic Virus.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310</w:t>
      </w:r>
      <w:r w:rsidRPr="00310E7E">
        <w:rPr>
          <w:rFonts w:ascii="Times New Roman" w:hAnsi="Times New Roman"/>
          <w:noProof/>
          <w:szCs w:val="24"/>
        </w:rPr>
        <w:t xml:space="preserve">(5745), 77–80. </w:t>
      </w:r>
      <w:hyperlink r:id="rId638" w:history="1">
        <w:r w:rsidRPr="00984364">
          <w:rPr>
            <w:rStyle w:val="Hyperlink"/>
            <w:rFonts w:ascii="Times New Roman" w:hAnsi="Times New Roman"/>
            <w:noProof/>
            <w:szCs w:val="24"/>
          </w:rPr>
          <w:t>https://doi.org/10.1126/science.1119392</w:t>
        </w:r>
      </w:hyperlink>
    </w:p>
    <w:p w14:paraId="54C351C7" w14:textId="13AFD7B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Tusé, D., Nandi, S., McDonald, K. A., &amp; Buyel, J. F. (2020). The Emergency Response Capacity of Plant-Based Biopharmaceutical Manufacturing-What It Is and What It Could Be.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 </w:t>
      </w:r>
      <w:hyperlink r:id="rId639" w:history="1">
        <w:r w:rsidRPr="00984364">
          <w:rPr>
            <w:rStyle w:val="Hyperlink"/>
            <w:rFonts w:ascii="Times New Roman" w:hAnsi="Times New Roman"/>
            <w:noProof/>
            <w:szCs w:val="24"/>
          </w:rPr>
          <w:t>https://doi.org/10.3389/fpls.2020.594019</w:t>
        </w:r>
      </w:hyperlink>
    </w:p>
    <w:p w14:paraId="6425142F" w14:textId="42761BB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United Nations. (1992). </w:t>
      </w:r>
      <w:r w:rsidRPr="00310E7E">
        <w:rPr>
          <w:rFonts w:ascii="Times New Roman" w:hAnsi="Times New Roman"/>
          <w:i/>
          <w:iCs/>
          <w:noProof/>
          <w:szCs w:val="24"/>
        </w:rPr>
        <w:t>Convention on Biological Diversity</w:t>
      </w:r>
      <w:r w:rsidRPr="00310E7E">
        <w:rPr>
          <w:rFonts w:ascii="Times New Roman" w:hAnsi="Times New Roman"/>
          <w:noProof/>
          <w:szCs w:val="24"/>
        </w:rPr>
        <w:t xml:space="preserve">. </w:t>
      </w:r>
      <w:hyperlink r:id="rId640" w:history="1">
        <w:r w:rsidRPr="00984364">
          <w:rPr>
            <w:rStyle w:val="Hyperlink"/>
            <w:rFonts w:ascii="Times New Roman" w:hAnsi="Times New Roman"/>
            <w:noProof/>
            <w:szCs w:val="24"/>
          </w:rPr>
          <w:t>https://www.cbd.int/doc/legal/cbd-en.pdf</w:t>
        </w:r>
      </w:hyperlink>
    </w:p>
    <w:p w14:paraId="7D84478E"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United Nations. (2007). </w:t>
      </w:r>
      <w:r w:rsidRPr="00310E7E">
        <w:rPr>
          <w:rFonts w:ascii="Times New Roman" w:hAnsi="Times New Roman"/>
          <w:i/>
          <w:iCs/>
          <w:noProof/>
          <w:szCs w:val="24"/>
        </w:rPr>
        <w:t>United Nations Declaration on the Rights of Indigenous Peoples United Nations</w:t>
      </w:r>
      <w:r w:rsidRPr="00310E7E">
        <w:rPr>
          <w:rFonts w:ascii="Times New Roman" w:hAnsi="Times New Roman"/>
          <w:noProof/>
          <w:szCs w:val="24"/>
        </w:rPr>
        <w:t>.</w:t>
      </w:r>
    </w:p>
    <w:p w14:paraId="56BA15C9" w14:textId="5050AD9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United Nations Conference on Trade and Development. (2019). </w:t>
      </w:r>
      <w:r w:rsidRPr="00310E7E">
        <w:rPr>
          <w:rFonts w:ascii="Times New Roman" w:hAnsi="Times New Roman"/>
          <w:i/>
          <w:iCs/>
          <w:noProof/>
          <w:szCs w:val="24"/>
        </w:rPr>
        <w:t>Synthetic Biology and its Potential Implications for BioTrade and Access and Benefit-Sharing</w:t>
      </w:r>
      <w:r w:rsidRPr="00310E7E">
        <w:rPr>
          <w:rFonts w:ascii="Times New Roman" w:hAnsi="Times New Roman"/>
          <w:noProof/>
          <w:szCs w:val="24"/>
        </w:rPr>
        <w:t xml:space="preserve"> (UNCTAD/DIT). </w:t>
      </w:r>
      <w:hyperlink r:id="rId641" w:history="1">
        <w:r w:rsidRPr="00984364">
          <w:rPr>
            <w:rStyle w:val="Hyperlink"/>
            <w:rFonts w:ascii="Times New Roman" w:hAnsi="Times New Roman"/>
            <w:noProof/>
            <w:szCs w:val="24"/>
          </w:rPr>
          <w:t>https://unctad.org/en/pages/PublicationWebflyer.aspx?publicationid=2554</w:t>
        </w:r>
      </w:hyperlink>
    </w:p>
    <w:p w14:paraId="3BE29BF5" w14:textId="7373409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United States Department of Agriculture. (2020). </w:t>
      </w:r>
      <w:r w:rsidRPr="00310E7E">
        <w:rPr>
          <w:rFonts w:ascii="Times New Roman" w:hAnsi="Times New Roman"/>
          <w:i/>
          <w:iCs/>
          <w:noProof/>
          <w:szCs w:val="24"/>
        </w:rPr>
        <w:t>Japan Determines Genome Edited Tomato Will Not be Regulated as GE</w:t>
      </w:r>
      <w:r w:rsidRPr="00310E7E">
        <w:rPr>
          <w:rFonts w:ascii="Times New Roman" w:hAnsi="Times New Roman"/>
          <w:noProof/>
          <w:szCs w:val="24"/>
        </w:rPr>
        <w:t xml:space="preserve"> (p. 2). </w:t>
      </w:r>
      <w:hyperlink r:id="rId642" w:history="1">
        <w:r w:rsidRPr="00984364">
          <w:rPr>
            <w:rStyle w:val="Hyperlink"/>
            <w:rFonts w:ascii="Times New Roman" w:hAnsi="Times New Roman"/>
            <w:noProof/>
            <w:szCs w:val="24"/>
          </w:rPr>
          <w:t>https://apps.fas.usda.gov/newgainapi/api/Report/DownloadReportByFileName?fileName=Japan Determines Genome Edited Tomato Will Not be Regulated as GE_Tokyo_Japan_12-10-2020</w:t>
        </w:r>
      </w:hyperlink>
    </w:p>
    <w:p w14:paraId="7F85DAF8" w14:textId="3C1E006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Urbina, J., Patil, A., Fujishima, K., Paulino-Lima, I. G., Saltikov, C., &amp; Rothschild, L. J. (2019). A new approach to biomining: Bioengineering surfaces for metal recovery from aqueous solutions. </w:t>
      </w:r>
      <w:r w:rsidRPr="00310E7E">
        <w:rPr>
          <w:rFonts w:ascii="Times New Roman" w:hAnsi="Times New Roman"/>
          <w:i/>
          <w:iCs/>
          <w:noProof/>
          <w:szCs w:val="24"/>
        </w:rPr>
        <w:t>Scientific Reports</w:t>
      </w:r>
      <w:r w:rsidRPr="00310E7E">
        <w:rPr>
          <w:rFonts w:ascii="Times New Roman" w:hAnsi="Times New Roman"/>
          <w:noProof/>
          <w:szCs w:val="24"/>
        </w:rPr>
        <w:t xml:space="preserve">, </w:t>
      </w:r>
      <w:r w:rsidRPr="00310E7E">
        <w:rPr>
          <w:rFonts w:ascii="Times New Roman" w:hAnsi="Times New Roman"/>
          <w:i/>
          <w:iCs/>
          <w:noProof/>
          <w:szCs w:val="24"/>
        </w:rPr>
        <w:t>9</w:t>
      </w:r>
      <w:r w:rsidRPr="00310E7E">
        <w:rPr>
          <w:rFonts w:ascii="Times New Roman" w:hAnsi="Times New Roman"/>
          <w:noProof/>
          <w:szCs w:val="24"/>
        </w:rPr>
        <w:t xml:space="preserve">(1), 1–11. </w:t>
      </w:r>
      <w:hyperlink r:id="rId643" w:history="1">
        <w:r w:rsidRPr="00984364">
          <w:rPr>
            <w:rStyle w:val="Hyperlink"/>
            <w:rFonts w:ascii="Times New Roman" w:hAnsi="Times New Roman"/>
            <w:noProof/>
            <w:szCs w:val="24"/>
          </w:rPr>
          <w:t>https://doi.org/10.1038/s41598-019-52778-2</w:t>
        </w:r>
      </w:hyperlink>
    </w:p>
    <w:p w14:paraId="4D2E5B8C"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USA Health and Human Services Department. (2020). Review and Revision of the Screening Framework Guidance for Providers of Synthetic Double-Stranded DNA. 85 FR 52611. 2020-18444. </w:t>
      </w:r>
      <w:r w:rsidRPr="00310E7E">
        <w:rPr>
          <w:rFonts w:ascii="Times New Roman" w:hAnsi="Times New Roman"/>
          <w:i/>
          <w:iCs/>
          <w:noProof/>
          <w:szCs w:val="24"/>
        </w:rPr>
        <w:t>Federal Register</w:t>
      </w:r>
      <w:r w:rsidRPr="00310E7E">
        <w:rPr>
          <w:rFonts w:ascii="Times New Roman" w:hAnsi="Times New Roman"/>
          <w:noProof/>
          <w:szCs w:val="24"/>
        </w:rPr>
        <w:t>, 52611–52613.</w:t>
      </w:r>
    </w:p>
    <w:p w14:paraId="067AE2A7" w14:textId="343205D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Uyhazi, K. E., &amp; Bennett, J. (2021). A CRISPR view of the 2020 Nobel Prize in Chemistry. </w:t>
      </w:r>
      <w:r w:rsidRPr="00310E7E">
        <w:rPr>
          <w:rFonts w:ascii="Times New Roman" w:hAnsi="Times New Roman"/>
          <w:i/>
          <w:iCs/>
          <w:noProof/>
          <w:szCs w:val="24"/>
        </w:rPr>
        <w:t>Journal of Clinical Investigation</w:t>
      </w:r>
      <w:r w:rsidRPr="00310E7E">
        <w:rPr>
          <w:rFonts w:ascii="Times New Roman" w:hAnsi="Times New Roman"/>
          <w:noProof/>
          <w:szCs w:val="24"/>
        </w:rPr>
        <w:t xml:space="preserve">, </w:t>
      </w:r>
      <w:r w:rsidRPr="00310E7E">
        <w:rPr>
          <w:rFonts w:ascii="Times New Roman" w:hAnsi="Times New Roman"/>
          <w:i/>
          <w:iCs/>
          <w:noProof/>
          <w:szCs w:val="24"/>
        </w:rPr>
        <w:t>131</w:t>
      </w:r>
      <w:r w:rsidRPr="00310E7E">
        <w:rPr>
          <w:rFonts w:ascii="Times New Roman" w:hAnsi="Times New Roman"/>
          <w:noProof/>
          <w:szCs w:val="24"/>
        </w:rPr>
        <w:t xml:space="preserve">(1). </w:t>
      </w:r>
      <w:hyperlink r:id="rId644" w:history="1">
        <w:r w:rsidRPr="00984364">
          <w:rPr>
            <w:rStyle w:val="Hyperlink"/>
            <w:rFonts w:ascii="Times New Roman" w:hAnsi="Times New Roman"/>
            <w:noProof/>
            <w:szCs w:val="24"/>
          </w:rPr>
          <w:t>https://doi.org/10.1172/JCI145214</w:t>
        </w:r>
      </w:hyperlink>
    </w:p>
    <w:p w14:paraId="3355DD83" w14:textId="1424006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van den Belt, H. (2013). Synthetic biology, patenting, health and global justice. </w:t>
      </w:r>
      <w:r w:rsidRPr="00310E7E">
        <w:rPr>
          <w:rFonts w:ascii="Times New Roman" w:hAnsi="Times New Roman"/>
          <w:i/>
          <w:iCs/>
          <w:noProof/>
          <w:szCs w:val="24"/>
        </w:rPr>
        <w:t>Systems and Synthetic Biology</w:t>
      </w:r>
      <w:r w:rsidRPr="00310E7E">
        <w:rPr>
          <w:rFonts w:ascii="Times New Roman" w:hAnsi="Times New Roman"/>
          <w:noProof/>
          <w:szCs w:val="24"/>
        </w:rPr>
        <w:t xml:space="preserve">, </w:t>
      </w:r>
      <w:r w:rsidRPr="00310E7E">
        <w:rPr>
          <w:rFonts w:ascii="Times New Roman" w:hAnsi="Times New Roman"/>
          <w:i/>
          <w:iCs/>
          <w:noProof/>
          <w:szCs w:val="24"/>
        </w:rPr>
        <w:t>7</w:t>
      </w:r>
      <w:r w:rsidRPr="00310E7E">
        <w:rPr>
          <w:rFonts w:ascii="Times New Roman" w:hAnsi="Times New Roman"/>
          <w:noProof/>
          <w:szCs w:val="24"/>
        </w:rPr>
        <w:t xml:space="preserve">(3), 87–98. </w:t>
      </w:r>
      <w:hyperlink r:id="rId645" w:history="1">
        <w:r w:rsidRPr="00984364">
          <w:rPr>
            <w:rStyle w:val="Hyperlink"/>
            <w:rFonts w:ascii="Times New Roman" w:hAnsi="Times New Roman"/>
            <w:noProof/>
            <w:szCs w:val="24"/>
          </w:rPr>
          <w:t>https://doi.org/10.1007/s11693-012-9098-7</w:t>
        </w:r>
      </w:hyperlink>
    </w:p>
    <w:p w14:paraId="001FB0F4"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van der Meer, P. (2002). Definitions. In C. Bail, R. Falkner, &amp; H. Marquard (Eds.), </w:t>
      </w:r>
      <w:r w:rsidRPr="00310E7E">
        <w:rPr>
          <w:rFonts w:ascii="Times New Roman" w:hAnsi="Times New Roman"/>
          <w:i/>
          <w:iCs/>
          <w:noProof/>
          <w:szCs w:val="24"/>
        </w:rPr>
        <w:t>The Cartagena Protocol on Biosafety: Reconciling Trade in Biotechnology with Environment and Development?</w:t>
      </w:r>
      <w:r w:rsidRPr="00310E7E">
        <w:rPr>
          <w:rFonts w:ascii="Times New Roman" w:hAnsi="Times New Roman"/>
          <w:noProof/>
          <w:szCs w:val="24"/>
        </w:rPr>
        <w:t xml:space="preserve"> (pp. 281–288). Earthscan Publications.</w:t>
      </w:r>
    </w:p>
    <w:p w14:paraId="5AD42342" w14:textId="17733E3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van der Vlugt, C., van den Akker, H., Roesink, C., &amp; Westra, J. (2018). </w:t>
      </w:r>
      <w:r w:rsidRPr="00310E7E">
        <w:rPr>
          <w:rFonts w:ascii="Times New Roman" w:hAnsi="Times New Roman"/>
          <w:i/>
          <w:iCs/>
          <w:noProof/>
          <w:szCs w:val="24"/>
        </w:rPr>
        <w:t>Risk assessment method for activities involving organisms with a gene drive under contained use</w:t>
      </w:r>
      <w:r w:rsidRPr="00310E7E">
        <w:rPr>
          <w:rFonts w:ascii="Times New Roman" w:hAnsi="Times New Roman"/>
          <w:noProof/>
          <w:szCs w:val="24"/>
        </w:rPr>
        <w:t xml:space="preserve">. </w:t>
      </w:r>
      <w:hyperlink r:id="rId646" w:history="1">
        <w:r w:rsidRPr="00984364">
          <w:rPr>
            <w:rStyle w:val="Hyperlink"/>
            <w:rFonts w:ascii="Times New Roman" w:hAnsi="Times New Roman"/>
            <w:noProof/>
            <w:szCs w:val="24"/>
          </w:rPr>
          <w:t>https://doi.org/10.21945/RIVM-2018-0090</w:t>
        </w:r>
      </w:hyperlink>
    </w:p>
    <w:p w14:paraId="175971AC" w14:textId="331DFEF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Van Eenennaam, A. L. (2019). Application of genome editing in farm animals: cattle. </w:t>
      </w:r>
      <w:r w:rsidRPr="00310E7E">
        <w:rPr>
          <w:rFonts w:ascii="Times New Roman" w:hAnsi="Times New Roman"/>
          <w:i/>
          <w:iCs/>
          <w:noProof/>
          <w:szCs w:val="24"/>
        </w:rPr>
        <w:t>Transgenic Research</w:t>
      </w:r>
      <w:r w:rsidRPr="00310E7E">
        <w:rPr>
          <w:rFonts w:ascii="Times New Roman" w:hAnsi="Times New Roman"/>
          <w:noProof/>
          <w:szCs w:val="24"/>
        </w:rPr>
        <w:t xml:space="preserve">, </w:t>
      </w:r>
      <w:r w:rsidRPr="00310E7E">
        <w:rPr>
          <w:rFonts w:ascii="Times New Roman" w:hAnsi="Times New Roman"/>
          <w:i/>
          <w:iCs/>
          <w:noProof/>
          <w:szCs w:val="24"/>
        </w:rPr>
        <w:t>28</w:t>
      </w:r>
      <w:r w:rsidRPr="00310E7E">
        <w:rPr>
          <w:rFonts w:ascii="Times New Roman" w:hAnsi="Times New Roman"/>
          <w:noProof/>
          <w:szCs w:val="24"/>
        </w:rPr>
        <w:t xml:space="preserve">(S2), 93–100. </w:t>
      </w:r>
      <w:hyperlink r:id="rId647" w:history="1">
        <w:r w:rsidRPr="00984364">
          <w:rPr>
            <w:rStyle w:val="Hyperlink"/>
            <w:rFonts w:ascii="Times New Roman" w:hAnsi="Times New Roman"/>
            <w:noProof/>
            <w:szCs w:val="24"/>
          </w:rPr>
          <w:t>https://doi.org/10.1007/s11248-019-00141-6</w:t>
        </w:r>
      </w:hyperlink>
    </w:p>
    <w:p w14:paraId="5D6A9B6A" w14:textId="6E9F316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Van Tassel, D. L., Tesdell, O., Schlautman, B., Rubin, M. J., DeHaan, L. R., Crews, T. E., &amp; Streit Krug, A. (2020). New Food Crop Domestication in the Age of Gene Editing: Genetic, Agronomic and Cultural Change Remain Co-evolutionarily Entangled.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 11. </w:t>
      </w:r>
      <w:hyperlink r:id="rId648" w:history="1">
        <w:r w:rsidRPr="00984364">
          <w:rPr>
            <w:rStyle w:val="Hyperlink"/>
            <w:rFonts w:ascii="Times New Roman" w:hAnsi="Times New Roman"/>
            <w:noProof/>
            <w:szCs w:val="24"/>
          </w:rPr>
          <w:t>https://doi.org/10.3389/fpls.2020.00789</w:t>
        </w:r>
      </w:hyperlink>
    </w:p>
    <w:p w14:paraId="5DD919BB" w14:textId="0F0C3D6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Vella, M. R., Gunning, C. E., Lloyd, A. L., &amp; Gould, F. (2017). Evaluating strategies for reversing CRISPR-Cas9 gene drives. </w:t>
      </w:r>
      <w:r w:rsidRPr="00310E7E">
        <w:rPr>
          <w:rFonts w:ascii="Times New Roman" w:hAnsi="Times New Roman"/>
          <w:i/>
          <w:iCs/>
          <w:noProof/>
          <w:szCs w:val="24"/>
        </w:rPr>
        <w:t>Scientific Reports</w:t>
      </w:r>
      <w:r w:rsidRPr="00310E7E">
        <w:rPr>
          <w:rFonts w:ascii="Times New Roman" w:hAnsi="Times New Roman"/>
          <w:noProof/>
          <w:szCs w:val="24"/>
        </w:rPr>
        <w:t xml:space="preserve">, </w:t>
      </w:r>
      <w:r w:rsidRPr="00310E7E">
        <w:rPr>
          <w:rFonts w:ascii="Times New Roman" w:hAnsi="Times New Roman"/>
          <w:i/>
          <w:iCs/>
          <w:noProof/>
          <w:szCs w:val="24"/>
        </w:rPr>
        <w:t>7</w:t>
      </w:r>
      <w:r w:rsidRPr="00310E7E">
        <w:rPr>
          <w:rFonts w:ascii="Times New Roman" w:hAnsi="Times New Roman"/>
          <w:noProof/>
          <w:szCs w:val="24"/>
        </w:rPr>
        <w:t xml:space="preserve">(1), 11038. </w:t>
      </w:r>
      <w:hyperlink r:id="rId649" w:history="1">
        <w:r w:rsidRPr="003C6A46">
          <w:rPr>
            <w:rStyle w:val="Hyperlink"/>
            <w:rFonts w:ascii="Times New Roman" w:hAnsi="Times New Roman"/>
            <w:noProof/>
            <w:szCs w:val="24"/>
          </w:rPr>
          <w:t>https://doi.org/10.1038/s41598-017-10633-2</w:t>
        </w:r>
      </w:hyperlink>
    </w:p>
    <w:p w14:paraId="6CBD0E2C" w14:textId="26ED119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Venetz, J. E., Del Medico, L., Wölfle, A., Schächle, P., Bucher, Y., Appert, D., Tschan, F., Flores-Tinoco, C. E., van Kooten, M., Guennoun, R., Deutsch, S., Christen, M., &amp; Christen, B. (2019). Chemical synthesis rewriting of a bacterial genome to achieve design flexibility and biological functionality. </w:t>
      </w:r>
      <w:r w:rsidRPr="00310E7E">
        <w:rPr>
          <w:rFonts w:ascii="Times New Roman" w:hAnsi="Times New Roman"/>
          <w:i/>
          <w:iCs/>
          <w:noProof/>
          <w:szCs w:val="24"/>
        </w:rPr>
        <w:t>Proceedings of the National Academy of Sciences</w:t>
      </w:r>
      <w:r w:rsidRPr="00310E7E">
        <w:rPr>
          <w:rFonts w:ascii="Times New Roman" w:hAnsi="Times New Roman"/>
          <w:noProof/>
          <w:szCs w:val="24"/>
        </w:rPr>
        <w:t xml:space="preserve">, </w:t>
      </w:r>
      <w:r w:rsidRPr="00310E7E">
        <w:rPr>
          <w:rFonts w:ascii="Times New Roman" w:hAnsi="Times New Roman"/>
          <w:i/>
          <w:iCs/>
          <w:noProof/>
          <w:szCs w:val="24"/>
        </w:rPr>
        <w:t>116</w:t>
      </w:r>
      <w:r w:rsidRPr="00310E7E">
        <w:rPr>
          <w:rFonts w:ascii="Times New Roman" w:hAnsi="Times New Roman"/>
          <w:noProof/>
          <w:szCs w:val="24"/>
        </w:rPr>
        <w:t xml:space="preserve">(16), 8070–8079. </w:t>
      </w:r>
      <w:hyperlink r:id="rId650" w:history="1">
        <w:r w:rsidRPr="003C6A46">
          <w:rPr>
            <w:rStyle w:val="Hyperlink"/>
            <w:rFonts w:ascii="Times New Roman" w:hAnsi="Times New Roman"/>
            <w:noProof/>
            <w:szCs w:val="24"/>
          </w:rPr>
          <w:t>https://doi.org/10.1073/pnas.1818259116</w:t>
        </w:r>
      </w:hyperlink>
    </w:p>
    <w:p w14:paraId="2BD595C3" w14:textId="77777777" w:rsidR="00310E7E" w:rsidRPr="009C2DA0"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fr-FR"/>
        </w:rPr>
      </w:pPr>
      <w:r w:rsidRPr="00310E7E">
        <w:rPr>
          <w:rFonts w:ascii="Times New Roman" w:hAnsi="Times New Roman"/>
          <w:noProof/>
          <w:szCs w:val="24"/>
        </w:rPr>
        <w:t xml:space="preserve">Vickers, C., &amp; Small, I. (2018, September). </w:t>
      </w:r>
      <w:r w:rsidRPr="00310E7E">
        <w:rPr>
          <w:rFonts w:ascii="Times New Roman" w:hAnsi="Times New Roman"/>
          <w:i/>
          <w:iCs/>
          <w:noProof/>
          <w:szCs w:val="24"/>
        </w:rPr>
        <w:t>The synthetic biology revolution is now – here’s what that means</w:t>
      </w:r>
      <w:r w:rsidRPr="00310E7E">
        <w:rPr>
          <w:rFonts w:ascii="Times New Roman" w:hAnsi="Times New Roman"/>
          <w:noProof/>
          <w:szCs w:val="24"/>
        </w:rPr>
        <w:t xml:space="preserve">. </w:t>
      </w:r>
      <w:r w:rsidRPr="009C2DA0">
        <w:rPr>
          <w:rFonts w:ascii="Times New Roman" w:hAnsi="Times New Roman"/>
          <w:noProof/>
          <w:szCs w:val="24"/>
          <w:lang w:val="fr-FR"/>
        </w:rPr>
        <w:t>Conversation.</w:t>
      </w:r>
    </w:p>
    <w:p w14:paraId="3BDF2358" w14:textId="411DC1FD"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9C2DA0">
        <w:rPr>
          <w:rFonts w:ascii="Times New Roman" w:hAnsi="Times New Roman"/>
          <w:noProof/>
          <w:szCs w:val="24"/>
          <w:lang w:val="fr-FR"/>
        </w:rPr>
        <w:t xml:space="preserve">Villa, J. K., Su, Y., Contreras, L. M., &amp; Hammond, M. C. (2018). </w:t>
      </w:r>
      <w:r w:rsidRPr="00310E7E">
        <w:rPr>
          <w:rFonts w:ascii="Times New Roman" w:hAnsi="Times New Roman"/>
          <w:noProof/>
          <w:szCs w:val="24"/>
        </w:rPr>
        <w:t xml:space="preserve">Synthetic Biology of Small RNAs and Riboswitches. In </w:t>
      </w:r>
      <w:r w:rsidRPr="00310E7E">
        <w:rPr>
          <w:rFonts w:ascii="Times New Roman" w:hAnsi="Times New Roman"/>
          <w:i/>
          <w:iCs/>
          <w:noProof/>
          <w:szCs w:val="24"/>
        </w:rPr>
        <w:t>Regulating with RNA in Bacteria and Archaea</w:t>
      </w:r>
      <w:r w:rsidRPr="00310E7E">
        <w:rPr>
          <w:rFonts w:ascii="Times New Roman" w:hAnsi="Times New Roman"/>
          <w:noProof/>
          <w:szCs w:val="24"/>
        </w:rPr>
        <w:t xml:space="preserve"> (Vol. 6, Issue 3, pp. 527–545). American Society of Microbiology. </w:t>
      </w:r>
      <w:hyperlink r:id="rId651" w:history="1">
        <w:r w:rsidRPr="003C6A46">
          <w:rPr>
            <w:rStyle w:val="Hyperlink"/>
            <w:rFonts w:ascii="Times New Roman" w:hAnsi="Times New Roman"/>
            <w:noProof/>
            <w:szCs w:val="24"/>
          </w:rPr>
          <w:t>https://doi.org/10.1128/microbiolspec.rwr-0007-2017</w:t>
        </w:r>
      </w:hyperlink>
    </w:p>
    <w:p w14:paraId="7A5BC813" w14:textId="620E0DA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Vogel, E., Santos, D., Mingels, L., Verdonckt, T.-W., &amp; Broeck, J. Vanden. (2019). RNA Interference in Insects: Protecting Beneficials and Controlling Pests. </w:t>
      </w:r>
      <w:r w:rsidRPr="00310E7E">
        <w:rPr>
          <w:rFonts w:ascii="Times New Roman" w:hAnsi="Times New Roman"/>
          <w:i/>
          <w:iCs/>
          <w:noProof/>
          <w:szCs w:val="24"/>
        </w:rPr>
        <w:t>Frontiers in Physiology</w:t>
      </w:r>
      <w:r w:rsidRPr="00310E7E">
        <w:rPr>
          <w:rFonts w:ascii="Times New Roman" w:hAnsi="Times New Roman"/>
          <w:noProof/>
          <w:szCs w:val="24"/>
        </w:rPr>
        <w:t xml:space="preserve">, </w:t>
      </w:r>
      <w:r w:rsidRPr="00310E7E">
        <w:rPr>
          <w:rFonts w:ascii="Times New Roman" w:hAnsi="Times New Roman"/>
          <w:i/>
          <w:iCs/>
          <w:noProof/>
          <w:szCs w:val="24"/>
        </w:rPr>
        <w:t>9</w:t>
      </w:r>
      <w:r w:rsidRPr="00310E7E">
        <w:rPr>
          <w:rFonts w:ascii="Times New Roman" w:hAnsi="Times New Roman"/>
          <w:noProof/>
          <w:szCs w:val="24"/>
        </w:rPr>
        <w:t xml:space="preserve">. </w:t>
      </w:r>
      <w:hyperlink r:id="rId652" w:history="1">
        <w:r w:rsidRPr="003C6A46">
          <w:rPr>
            <w:rStyle w:val="Hyperlink"/>
            <w:rFonts w:ascii="Times New Roman" w:hAnsi="Times New Roman"/>
            <w:noProof/>
            <w:szCs w:val="24"/>
          </w:rPr>
          <w:t>https://doi.org/10.3389/fphys.2018.01912</w:t>
        </w:r>
      </w:hyperlink>
    </w:p>
    <w:p w14:paraId="2E176A54" w14:textId="61A5E53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Voigt, C. A. (2020). Synthetic biology 2020–2030: six commercially-available products that are changing our world. </w:t>
      </w:r>
      <w:r w:rsidRPr="00310E7E">
        <w:rPr>
          <w:rFonts w:ascii="Times New Roman" w:hAnsi="Times New Roman"/>
          <w:i/>
          <w:iCs/>
          <w:noProof/>
          <w:szCs w:val="24"/>
        </w:rPr>
        <w:t>Nature Communications</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(1), 6379. </w:t>
      </w:r>
      <w:hyperlink r:id="rId653" w:history="1">
        <w:r w:rsidRPr="003C6A46">
          <w:rPr>
            <w:rStyle w:val="Hyperlink"/>
            <w:rFonts w:ascii="Times New Roman" w:hAnsi="Times New Roman"/>
            <w:noProof/>
            <w:szCs w:val="24"/>
          </w:rPr>
          <w:t>https://doi.org/10.1038/s41467-020-20122-2</w:t>
        </w:r>
      </w:hyperlink>
    </w:p>
    <w:p w14:paraId="5356E1DF" w14:textId="07D0DAC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Wagner, E. G. H., &amp; Romby, P. (2015). Small RNAs in Bacteria and Archaea: Who They Are, What They Do, and How They Do It. In </w:t>
      </w:r>
      <w:r w:rsidRPr="00310E7E">
        <w:rPr>
          <w:rFonts w:ascii="Times New Roman" w:hAnsi="Times New Roman"/>
          <w:i/>
          <w:iCs/>
          <w:noProof/>
          <w:szCs w:val="24"/>
        </w:rPr>
        <w:t>Advances in Genetics</w:t>
      </w:r>
      <w:r w:rsidRPr="00310E7E">
        <w:rPr>
          <w:rFonts w:ascii="Times New Roman" w:hAnsi="Times New Roman"/>
          <w:noProof/>
          <w:szCs w:val="24"/>
        </w:rPr>
        <w:t xml:space="preserve"> (Vol. 90). Elsevier Ltd. </w:t>
      </w:r>
      <w:hyperlink r:id="rId654" w:history="1">
        <w:r w:rsidRPr="003C6A46">
          <w:rPr>
            <w:rStyle w:val="Hyperlink"/>
            <w:rFonts w:ascii="Times New Roman" w:hAnsi="Times New Roman"/>
            <w:noProof/>
            <w:szCs w:val="24"/>
          </w:rPr>
          <w:t>https://doi.org/10.1016/bs.adgen.2015.05.001</w:t>
        </w:r>
      </w:hyperlink>
    </w:p>
    <w:p w14:paraId="4723FB2F" w14:textId="5AFD8F0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Waltz, E. (2017). A new crop of microbe startups raises big bucks, takes on the establishment.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35</w:t>
      </w:r>
      <w:r w:rsidRPr="00310E7E">
        <w:rPr>
          <w:rFonts w:ascii="Times New Roman" w:hAnsi="Times New Roman"/>
          <w:noProof/>
          <w:szCs w:val="24"/>
        </w:rPr>
        <w:t xml:space="preserve">(12), 1120–1122. </w:t>
      </w:r>
      <w:hyperlink r:id="rId655" w:history="1">
        <w:r w:rsidRPr="003C6A46">
          <w:rPr>
            <w:rStyle w:val="Hyperlink"/>
            <w:rFonts w:ascii="Times New Roman" w:hAnsi="Times New Roman"/>
            <w:noProof/>
            <w:szCs w:val="24"/>
          </w:rPr>
          <w:t>https://doi.org/10.1038/nbt1217-1120</w:t>
        </w:r>
      </w:hyperlink>
    </w:p>
    <w:p w14:paraId="4A680560" w14:textId="1148A78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Wambui Mbichi, R., Wang, Q. F., &amp; Wan, T. (2020). RNA directed DNA methylation and seed plant genome evolution. In </w:t>
      </w:r>
      <w:r w:rsidRPr="00310E7E">
        <w:rPr>
          <w:rFonts w:ascii="Times New Roman" w:hAnsi="Times New Roman"/>
          <w:i/>
          <w:iCs/>
          <w:noProof/>
          <w:szCs w:val="24"/>
        </w:rPr>
        <w:t>Plant Cell Reports</w:t>
      </w:r>
      <w:r w:rsidRPr="00310E7E">
        <w:rPr>
          <w:rFonts w:ascii="Times New Roman" w:hAnsi="Times New Roman"/>
          <w:noProof/>
          <w:szCs w:val="24"/>
        </w:rPr>
        <w:t xml:space="preserve"> (Vol. 39, Issue 8, pp. 983–996). Springer. </w:t>
      </w:r>
      <w:hyperlink r:id="rId656" w:history="1">
        <w:r w:rsidRPr="003C6A46">
          <w:rPr>
            <w:rStyle w:val="Hyperlink"/>
            <w:rFonts w:ascii="Times New Roman" w:hAnsi="Times New Roman"/>
            <w:noProof/>
            <w:szCs w:val="24"/>
          </w:rPr>
          <w:t>https://doi.org/10.1007/s00299-020-02558-4</w:t>
        </w:r>
      </w:hyperlink>
    </w:p>
    <w:p w14:paraId="13A322C6" w14:textId="027863B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Wan, X., Ho, T. Y. H., &amp; Wang, B. (2019). Engineering Prokaryote Synthetic Biology Biosensors. In </w:t>
      </w:r>
      <w:r w:rsidRPr="00310E7E">
        <w:rPr>
          <w:rFonts w:ascii="Times New Roman" w:hAnsi="Times New Roman"/>
          <w:i/>
          <w:iCs/>
          <w:noProof/>
          <w:szCs w:val="24"/>
        </w:rPr>
        <w:t>Handbook of Cell Biosensors</w:t>
      </w:r>
      <w:r w:rsidRPr="00310E7E">
        <w:rPr>
          <w:rFonts w:ascii="Times New Roman" w:hAnsi="Times New Roman"/>
          <w:noProof/>
          <w:szCs w:val="24"/>
        </w:rPr>
        <w:t xml:space="preserve"> (pp. 1–37). Springer International Publishing. </w:t>
      </w:r>
      <w:hyperlink r:id="rId657" w:history="1">
        <w:r w:rsidRPr="003C6A46">
          <w:rPr>
            <w:rStyle w:val="Hyperlink"/>
            <w:rFonts w:ascii="Times New Roman" w:hAnsi="Times New Roman"/>
            <w:noProof/>
            <w:szCs w:val="24"/>
          </w:rPr>
          <w:t>https://doi.org/10.1007/978-3-319-47405-2_131-1</w:t>
        </w:r>
      </w:hyperlink>
    </w:p>
    <w:p w14:paraId="7479B2CF" w14:textId="197AB77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Wang, B., Yang, H., Sun, J., Dou, C., Huang, J., &amp; Guo, F.-B. (2021). BioMaster: An Integrated Database and Analytic Platform to Provide Comprehensive Information About BioBrick Parts. </w:t>
      </w:r>
      <w:r w:rsidRPr="00310E7E">
        <w:rPr>
          <w:rFonts w:ascii="Times New Roman" w:hAnsi="Times New Roman"/>
          <w:i/>
          <w:iCs/>
          <w:noProof/>
          <w:szCs w:val="24"/>
        </w:rPr>
        <w:t>Frontiers in Microbiology</w:t>
      </w:r>
      <w:r w:rsidRPr="00310E7E">
        <w:rPr>
          <w:rFonts w:ascii="Times New Roman" w:hAnsi="Times New Roman"/>
          <w:noProof/>
          <w:szCs w:val="24"/>
        </w:rPr>
        <w:t xml:space="preserve">, </w:t>
      </w:r>
      <w:r w:rsidRPr="00310E7E">
        <w:rPr>
          <w:rFonts w:ascii="Times New Roman" w:hAnsi="Times New Roman"/>
          <w:i/>
          <w:iCs/>
          <w:noProof/>
          <w:szCs w:val="24"/>
        </w:rPr>
        <w:t>12</w:t>
      </w:r>
      <w:r w:rsidRPr="00310E7E">
        <w:rPr>
          <w:rFonts w:ascii="Times New Roman" w:hAnsi="Times New Roman"/>
          <w:noProof/>
          <w:szCs w:val="24"/>
        </w:rPr>
        <w:t xml:space="preserve">. </w:t>
      </w:r>
      <w:hyperlink r:id="rId658" w:history="1">
        <w:r w:rsidRPr="003C6A46">
          <w:rPr>
            <w:rStyle w:val="Hyperlink"/>
            <w:rFonts w:ascii="Times New Roman" w:hAnsi="Times New Roman"/>
            <w:noProof/>
            <w:szCs w:val="24"/>
          </w:rPr>
          <w:t>https://doi.org/10.3389/fmicb.2021.593979</w:t>
        </w:r>
      </w:hyperlink>
    </w:p>
    <w:p w14:paraId="7BCDA7D5" w14:textId="6CB3EE0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Wang, G., Björk, S. M., Huang, M., Liu, Q., Campbell, K., Nielsen, J., Joensson, H. N., &amp; Petranovic, D. (2019). RNAi expression tuning, microfluidic screening, and genome recombineering for improved protein production in </w:t>
      </w:r>
      <w:r w:rsidRPr="003F32D5">
        <w:rPr>
          <w:rFonts w:ascii="Times New Roman" w:hAnsi="Times New Roman"/>
          <w:i/>
          <w:iCs/>
          <w:noProof/>
          <w:szCs w:val="24"/>
        </w:rPr>
        <w:t>Saccharomyces</w:t>
      </w:r>
      <w:r w:rsidRPr="00310E7E">
        <w:rPr>
          <w:rFonts w:ascii="Times New Roman" w:hAnsi="Times New Roman"/>
          <w:noProof/>
          <w:szCs w:val="24"/>
        </w:rPr>
        <w:t xml:space="preserve"> cerevisiae. </w:t>
      </w:r>
      <w:r w:rsidRPr="00310E7E">
        <w:rPr>
          <w:rFonts w:ascii="Times New Roman" w:hAnsi="Times New Roman"/>
          <w:i/>
          <w:iCs/>
          <w:noProof/>
          <w:szCs w:val="24"/>
        </w:rPr>
        <w:t>Proceedings of the National Academy of Sciences</w:t>
      </w:r>
      <w:r w:rsidRPr="00310E7E">
        <w:rPr>
          <w:rFonts w:ascii="Times New Roman" w:hAnsi="Times New Roman"/>
          <w:noProof/>
          <w:szCs w:val="24"/>
        </w:rPr>
        <w:t xml:space="preserve">, </w:t>
      </w:r>
      <w:r w:rsidRPr="00310E7E">
        <w:rPr>
          <w:rFonts w:ascii="Times New Roman" w:hAnsi="Times New Roman"/>
          <w:i/>
          <w:iCs/>
          <w:noProof/>
          <w:szCs w:val="24"/>
        </w:rPr>
        <w:t>116</w:t>
      </w:r>
      <w:r w:rsidRPr="00310E7E">
        <w:rPr>
          <w:rFonts w:ascii="Times New Roman" w:hAnsi="Times New Roman"/>
          <w:noProof/>
          <w:szCs w:val="24"/>
        </w:rPr>
        <w:t xml:space="preserve">(19), 9324–9332. </w:t>
      </w:r>
      <w:hyperlink r:id="rId659" w:history="1">
        <w:r w:rsidRPr="003C6A46">
          <w:rPr>
            <w:rStyle w:val="Hyperlink"/>
            <w:rFonts w:ascii="Times New Roman" w:hAnsi="Times New Roman"/>
            <w:noProof/>
            <w:szCs w:val="24"/>
          </w:rPr>
          <w:t>https://doi.org/10.1073/pnas.1820561116</w:t>
        </w:r>
      </w:hyperlink>
    </w:p>
    <w:p w14:paraId="1BAC814E" w14:textId="20207BB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Wang, H. H., Isaacs, F. J., Carr, P. A., Sun, Z. Z., Xu, G., Forest, C. R., &amp; Church, G. M. (2009). Programming cells by multiplex genome engineering and accelerated evolution.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460</w:t>
      </w:r>
      <w:r w:rsidRPr="00310E7E">
        <w:rPr>
          <w:rFonts w:ascii="Times New Roman" w:hAnsi="Times New Roman"/>
          <w:noProof/>
          <w:szCs w:val="24"/>
        </w:rPr>
        <w:t xml:space="preserve">(7257), 894–898. </w:t>
      </w:r>
      <w:hyperlink r:id="rId660" w:history="1">
        <w:r w:rsidRPr="003C6A46">
          <w:rPr>
            <w:rStyle w:val="Hyperlink"/>
            <w:rFonts w:ascii="Times New Roman" w:hAnsi="Times New Roman"/>
            <w:noProof/>
            <w:szCs w:val="24"/>
          </w:rPr>
          <w:t>https://doi.org/10.1038/nature08187</w:t>
        </w:r>
      </w:hyperlink>
    </w:p>
    <w:p w14:paraId="43E9489B" w14:textId="31E5CBF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es-ES"/>
        </w:rPr>
        <w:t xml:space="preserve">Wang, H., Han, M., &amp; Qi, L. S. (2021). </w:t>
      </w:r>
      <w:r w:rsidRPr="00310E7E">
        <w:rPr>
          <w:rFonts w:ascii="Times New Roman" w:hAnsi="Times New Roman"/>
          <w:noProof/>
          <w:szCs w:val="24"/>
        </w:rPr>
        <w:t xml:space="preserve">Engineering 3D genome organization. In </w:t>
      </w:r>
      <w:r w:rsidRPr="00310E7E">
        <w:rPr>
          <w:rFonts w:ascii="Times New Roman" w:hAnsi="Times New Roman"/>
          <w:i/>
          <w:iCs/>
          <w:noProof/>
          <w:szCs w:val="24"/>
        </w:rPr>
        <w:t>Nature Reviews Genetics</w:t>
      </w:r>
      <w:r w:rsidRPr="00310E7E">
        <w:rPr>
          <w:rFonts w:ascii="Times New Roman" w:hAnsi="Times New Roman"/>
          <w:noProof/>
          <w:szCs w:val="24"/>
        </w:rPr>
        <w:t xml:space="preserve"> (pp. 1–18). Nature Research. </w:t>
      </w:r>
      <w:hyperlink r:id="rId661" w:history="1">
        <w:r w:rsidRPr="003C6A46">
          <w:rPr>
            <w:rStyle w:val="Hyperlink"/>
            <w:rFonts w:ascii="Times New Roman" w:hAnsi="Times New Roman"/>
            <w:noProof/>
            <w:szCs w:val="24"/>
          </w:rPr>
          <w:t>https://doi.org/10.1038/s41576-020-00325-5</w:t>
        </w:r>
      </w:hyperlink>
    </w:p>
    <w:p w14:paraId="67932FC8" w14:textId="36C71AB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Wang, L., Jiang, S., Chen, C., He, W., Wu, X., Wang, F., Tong, T., Zou, X., Li, Z., Luo, J., Deng, Z., &amp; Chen, S. (2018). Synthetic Genomics: From DNA Synthesis to Genome Design. </w:t>
      </w:r>
      <w:r w:rsidRPr="00310E7E">
        <w:rPr>
          <w:rFonts w:ascii="Times New Roman" w:hAnsi="Times New Roman"/>
          <w:i/>
          <w:iCs/>
          <w:noProof/>
          <w:szCs w:val="24"/>
        </w:rPr>
        <w:t>Angewandte Chemie - International Edition</w:t>
      </w:r>
      <w:r w:rsidRPr="00310E7E">
        <w:rPr>
          <w:rFonts w:ascii="Times New Roman" w:hAnsi="Times New Roman"/>
          <w:noProof/>
          <w:szCs w:val="24"/>
        </w:rPr>
        <w:t xml:space="preserve">, </w:t>
      </w:r>
      <w:r w:rsidRPr="00310E7E">
        <w:rPr>
          <w:rFonts w:ascii="Times New Roman" w:hAnsi="Times New Roman"/>
          <w:i/>
          <w:iCs/>
          <w:noProof/>
          <w:szCs w:val="24"/>
        </w:rPr>
        <w:t>57</w:t>
      </w:r>
      <w:r w:rsidRPr="00310E7E">
        <w:rPr>
          <w:rFonts w:ascii="Times New Roman" w:hAnsi="Times New Roman"/>
          <w:noProof/>
          <w:szCs w:val="24"/>
        </w:rPr>
        <w:t xml:space="preserve">(7), 1748–1756. </w:t>
      </w:r>
      <w:hyperlink r:id="rId662" w:history="1">
        <w:r w:rsidRPr="003C6A46">
          <w:rPr>
            <w:rStyle w:val="Hyperlink"/>
            <w:rFonts w:ascii="Times New Roman" w:hAnsi="Times New Roman"/>
            <w:noProof/>
            <w:szCs w:val="24"/>
          </w:rPr>
          <w:t>https://doi.org/10.1002/anie.201708741</w:t>
        </w:r>
      </w:hyperlink>
    </w:p>
    <w:p w14:paraId="149D04D1" w14:textId="5CBB4B6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Wang, M., Weiberg, A., Lin, F. M., Thomma, B. P. H. J., Huang, H. Da, &amp; Jin, H. (2016). Bidirectional cross-kingdom RNAi and fungal uptake of external RNAs confer plant protection. </w:t>
      </w:r>
      <w:r w:rsidRPr="00310E7E">
        <w:rPr>
          <w:rFonts w:ascii="Times New Roman" w:hAnsi="Times New Roman"/>
          <w:i/>
          <w:iCs/>
          <w:noProof/>
          <w:szCs w:val="24"/>
        </w:rPr>
        <w:t>Nature Plants</w:t>
      </w:r>
      <w:r w:rsidRPr="00310E7E">
        <w:rPr>
          <w:rFonts w:ascii="Times New Roman" w:hAnsi="Times New Roman"/>
          <w:noProof/>
          <w:szCs w:val="24"/>
        </w:rPr>
        <w:t xml:space="preserve">, </w:t>
      </w:r>
      <w:r w:rsidRPr="00310E7E">
        <w:rPr>
          <w:rFonts w:ascii="Times New Roman" w:hAnsi="Times New Roman"/>
          <w:i/>
          <w:iCs/>
          <w:noProof/>
          <w:szCs w:val="24"/>
        </w:rPr>
        <w:t>2</w:t>
      </w:r>
      <w:r w:rsidRPr="00310E7E">
        <w:rPr>
          <w:rFonts w:ascii="Times New Roman" w:hAnsi="Times New Roman"/>
          <w:noProof/>
          <w:szCs w:val="24"/>
        </w:rPr>
        <w:t xml:space="preserve">(10). </w:t>
      </w:r>
      <w:hyperlink r:id="rId663" w:history="1">
        <w:r w:rsidRPr="003C6A46">
          <w:rPr>
            <w:rStyle w:val="Hyperlink"/>
            <w:rFonts w:ascii="Times New Roman" w:hAnsi="Times New Roman"/>
            <w:noProof/>
            <w:szCs w:val="24"/>
          </w:rPr>
          <w:t>https://doi.org/10.1038/nplants.2016.151</w:t>
        </w:r>
      </w:hyperlink>
    </w:p>
    <w:p w14:paraId="66CE94C0" w14:textId="48F5796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Wang, Y., Cheng, X., Shan, Q., Zhang, Y., Liu, J., Gao, C., &amp; Qiu, J.-L. (2014). Simultaneous editing of three homoeoalleles in hexaploid bread wheat confers heritable resistance to powdery mildew.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32</w:t>
      </w:r>
      <w:r w:rsidRPr="00310E7E">
        <w:rPr>
          <w:rFonts w:ascii="Times New Roman" w:hAnsi="Times New Roman"/>
          <w:noProof/>
          <w:szCs w:val="24"/>
        </w:rPr>
        <w:t xml:space="preserve">(9), 947–951. </w:t>
      </w:r>
      <w:hyperlink r:id="rId664" w:history="1">
        <w:r w:rsidRPr="003C6A46">
          <w:rPr>
            <w:rStyle w:val="Hyperlink"/>
            <w:rFonts w:ascii="Times New Roman" w:hAnsi="Times New Roman"/>
            <w:noProof/>
            <w:szCs w:val="24"/>
          </w:rPr>
          <w:t>https://doi.org/10.1038/nbt.2969</w:t>
        </w:r>
      </w:hyperlink>
    </w:p>
    <w:p w14:paraId="1E2D66E3" w14:textId="0EAD1D7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Warmbrod, K. L., Trotochaud, M., &amp; Gronvall, G. K. (2020). IGEM and the Biotechnology Workforce of the Future. In </w:t>
      </w:r>
      <w:r w:rsidRPr="00310E7E">
        <w:rPr>
          <w:rFonts w:ascii="Times New Roman" w:hAnsi="Times New Roman"/>
          <w:i/>
          <w:iCs/>
          <w:noProof/>
          <w:szCs w:val="24"/>
        </w:rPr>
        <w:t>Health Security</w:t>
      </w:r>
      <w:r w:rsidRPr="00310E7E">
        <w:rPr>
          <w:rFonts w:ascii="Times New Roman" w:hAnsi="Times New Roman"/>
          <w:noProof/>
          <w:szCs w:val="24"/>
        </w:rPr>
        <w:t xml:space="preserve"> (Vol. 18, Issue 4, pp. 303–309). Mary Ann Liebert Inc. </w:t>
      </w:r>
      <w:hyperlink r:id="rId665" w:history="1">
        <w:r w:rsidRPr="003C6A46">
          <w:rPr>
            <w:rStyle w:val="Hyperlink"/>
            <w:rFonts w:ascii="Times New Roman" w:hAnsi="Times New Roman"/>
            <w:noProof/>
            <w:szCs w:val="24"/>
          </w:rPr>
          <w:t>https://doi.org/10.1089/hs.2020.0017</w:t>
        </w:r>
      </w:hyperlink>
    </w:p>
    <w:p w14:paraId="4ED0E3D6" w14:textId="78C3F80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Wassenegger, M., Heimes, S., Riedel, L., &amp; Sänger, H. L. (1994). RNA-directed </w:t>
      </w:r>
      <w:r w:rsidRPr="003C6A46">
        <w:rPr>
          <w:rFonts w:ascii="Times New Roman" w:hAnsi="Times New Roman"/>
          <w:i/>
          <w:iCs/>
          <w:noProof/>
          <w:szCs w:val="24"/>
        </w:rPr>
        <w:t>de novo</w:t>
      </w:r>
      <w:r w:rsidRPr="00310E7E">
        <w:rPr>
          <w:rFonts w:ascii="Times New Roman" w:hAnsi="Times New Roman"/>
          <w:noProof/>
          <w:szCs w:val="24"/>
        </w:rPr>
        <w:t xml:space="preserve"> methylation of genomic sequences in plants. </w:t>
      </w:r>
      <w:r w:rsidRPr="00310E7E">
        <w:rPr>
          <w:rFonts w:ascii="Times New Roman" w:hAnsi="Times New Roman"/>
          <w:i/>
          <w:iCs/>
          <w:noProof/>
          <w:szCs w:val="24"/>
        </w:rPr>
        <w:t>Cell</w:t>
      </w:r>
      <w:r w:rsidRPr="00310E7E">
        <w:rPr>
          <w:rFonts w:ascii="Times New Roman" w:hAnsi="Times New Roman"/>
          <w:noProof/>
          <w:szCs w:val="24"/>
        </w:rPr>
        <w:t xml:space="preserve">, </w:t>
      </w:r>
      <w:r w:rsidRPr="00310E7E">
        <w:rPr>
          <w:rFonts w:ascii="Times New Roman" w:hAnsi="Times New Roman"/>
          <w:i/>
          <w:iCs/>
          <w:noProof/>
          <w:szCs w:val="24"/>
        </w:rPr>
        <w:t>76</w:t>
      </w:r>
      <w:r w:rsidRPr="00310E7E">
        <w:rPr>
          <w:rFonts w:ascii="Times New Roman" w:hAnsi="Times New Roman"/>
          <w:noProof/>
          <w:szCs w:val="24"/>
        </w:rPr>
        <w:t xml:space="preserve">(3), 567–576. </w:t>
      </w:r>
      <w:hyperlink r:id="rId666" w:history="1">
        <w:r w:rsidRPr="003C6A46">
          <w:rPr>
            <w:rStyle w:val="Hyperlink"/>
            <w:rFonts w:ascii="Times New Roman" w:hAnsi="Times New Roman"/>
            <w:noProof/>
            <w:szCs w:val="24"/>
          </w:rPr>
          <w:t>https://doi.org/10.1016/0092-8674(94)90119-8</w:t>
        </w:r>
      </w:hyperlink>
    </w:p>
    <w:p w14:paraId="3EC16C9F" w14:textId="39D3792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Watts, K., Seshadri, R., &amp; Richardson, T. (2007). </w:t>
      </w:r>
      <w:r w:rsidRPr="00310E7E">
        <w:rPr>
          <w:rFonts w:ascii="Times New Roman" w:hAnsi="Times New Roman"/>
          <w:i/>
          <w:iCs/>
          <w:noProof/>
          <w:szCs w:val="24"/>
        </w:rPr>
        <w:t>Photosynthetic microorganisms comprising exogenous prokaryotic acyl-ACP thioesterases and methods for producing fatty acids, US8530207B2</w:t>
      </w:r>
      <w:r w:rsidRPr="00310E7E">
        <w:rPr>
          <w:rFonts w:ascii="Times New Roman" w:hAnsi="Times New Roman"/>
          <w:noProof/>
          <w:szCs w:val="24"/>
        </w:rPr>
        <w:t xml:space="preserve"> (Vol. 2, Issue 12). </w:t>
      </w:r>
      <w:hyperlink r:id="rId667" w:history="1">
        <w:r w:rsidRPr="003C6A46">
          <w:rPr>
            <w:rStyle w:val="Hyperlink"/>
            <w:rFonts w:ascii="Times New Roman" w:hAnsi="Times New Roman"/>
            <w:noProof/>
            <w:szCs w:val="24"/>
          </w:rPr>
          <w:t>https://patents.google.com/patent/US8530207B2</w:t>
        </w:r>
      </w:hyperlink>
    </w:p>
    <w:p w14:paraId="1D70EE79"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Welch, E. W., Bagley, M., Kuiken, T., &amp; Louafi, S. (2017). </w:t>
      </w:r>
      <w:r w:rsidRPr="00310E7E">
        <w:rPr>
          <w:rFonts w:ascii="Times New Roman" w:hAnsi="Times New Roman"/>
          <w:i/>
          <w:iCs/>
          <w:noProof/>
          <w:szCs w:val="24"/>
        </w:rPr>
        <w:t>Scoping Report Potential implications of new synthetic biology and genomic research trajectories on the International Treaty for Plant Genetic Resources for Food and Agriculture (ITPGRFA or ’Treaty’) Executive summary</w:t>
      </w:r>
      <w:r w:rsidRPr="00310E7E">
        <w:rPr>
          <w:rFonts w:ascii="Times New Roman" w:hAnsi="Times New Roman"/>
          <w:noProof/>
          <w:szCs w:val="24"/>
        </w:rPr>
        <w:t>.</w:t>
      </w:r>
    </w:p>
    <w:p w14:paraId="10796237" w14:textId="1335A98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Wellhausen, R., &amp; Mukunda, G. (2009). Aspects of the political economy of development and synthetic biology. </w:t>
      </w:r>
      <w:r w:rsidRPr="00310E7E">
        <w:rPr>
          <w:rFonts w:ascii="Times New Roman" w:hAnsi="Times New Roman"/>
          <w:i/>
          <w:iCs/>
          <w:noProof/>
          <w:szCs w:val="24"/>
        </w:rPr>
        <w:t>Systems and Synthetic Biology</w:t>
      </w:r>
      <w:r w:rsidRPr="00310E7E">
        <w:rPr>
          <w:rFonts w:ascii="Times New Roman" w:hAnsi="Times New Roman"/>
          <w:noProof/>
          <w:szCs w:val="24"/>
        </w:rPr>
        <w:t xml:space="preserve">, </w:t>
      </w:r>
      <w:r w:rsidRPr="00310E7E">
        <w:rPr>
          <w:rFonts w:ascii="Times New Roman" w:hAnsi="Times New Roman"/>
          <w:i/>
          <w:iCs/>
          <w:noProof/>
          <w:szCs w:val="24"/>
        </w:rPr>
        <w:t>3</w:t>
      </w:r>
      <w:r w:rsidRPr="00310E7E">
        <w:rPr>
          <w:rFonts w:ascii="Times New Roman" w:hAnsi="Times New Roman"/>
          <w:noProof/>
          <w:szCs w:val="24"/>
        </w:rPr>
        <w:t xml:space="preserve">(1–4), 115–123. </w:t>
      </w:r>
      <w:hyperlink r:id="rId668" w:history="1">
        <w:r w:rsidRPr="003C6A46">
          <w:rPr>
            <w:rStyle w:val="Hyperlink"/>
            <w:rFonts w:ascii="Times New Roman" w:hAnsi="Times New Roman"/>
            <w:noProof/>
            <w:szCs w:val="24"/>
          </w:rPr>
          <w:t>https://doi.org/10.1007/s11693-009-9032-9</w:t>
        </w:r>
      </w:hyperlink>
    </w:p>
    <w:p w14:paraId="1BB98BAF" w14:textId="2593F504"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Werner, B. T., Gaffar, F. Y., Schuemann, J., Biedenkopf, D., &amp; Koch, A. M. (2020). RNA-Spray-Mediated Silencing of Fusarium graminearum AGO and DCL Genes Improve Barley Disease Resistance.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11</w:t>
      </w:r>
      <w:r w:rsidRPr="00310E7E">
        <w:rPr>
          <w:rFonts w:ascii="Times New Roman" w:hAnsi="Times New Roman"/>
          <w:noProof/>
          <w:szCs w:val="24"/>
        </w:rPr>
        <w:t xml:space="preserve">, 476. </w:t>
      </w:r>
      <w:hyperlink r:id="rId669" w:history="1">
        <w:r w:rsidRPr="003C6A46">
          <w:rPr>
            <w:rStyle w:val="Hyperlink"/>
            <w:rFonts w:ascii="Times New Roman" w:hAnsi="Times New Roman"/>
            <w:noProof/>
            <w:szCs w:val="24"/>
          </w:rPr>
          <w:t>https://doi.org/10.3389/fpls.2020.00476</w:t>
        </w:r>
      </w:hyperlink>
    </w:p>
    <w:p w14:paraId="383078CA" w14:textId="74D17958" w:rsidR="00310E7E" w:rsidRPr="00F8168D"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fr-CA"/>
        </w:rPr>
      </w:pPr>
      <w:r w:rsidRPr="00310E7E">
        <w:rPr>
          <w:rFonts w:ascii="Times New Roman" w:hAnsi="Times New Roman"/>
          <w:noProof/>
          <w:szCs w:val="24"/>
        </w:rPr>
        <w:t xml:space="preserve">Wesolowska, W., &amp; Jackson, R. (2003). Evarcha culicivora sp.nov., a mosquito-eating jumping spider from East Africa [Araneae: Salticidae]. </w:t>
      </w:r>
      <w:r w:rsidRPr="00F8168D">
        <w:rPr>
          <w:rFonts w:ascii="Times New Roman" w:hAnsi="Times New Roman"/>
          <w:i/>
          <w:iCs/>
          <w:noProof/>
          <w:szCs w:val="24"/>
          <w:lang w:val="fr-CA"/>
        </w:rPr>
        <w:t>Annales Zoologici</w:t>
      </w:r>
      <w:r w:rsidRPr="00F8168D">
        <w:rPr>
          <w:rFonts w:ascii="Times New Roman" w:hAnsi="Times New Roman"/>
          <w:noProof/>
          <w:szCs w:val="24"/>
          <w:lang w:val="fr-CA"/>
        </w:rPr>
        <w:t xml:space="preserve">, </w:t>
      </w:r>
      <w:r w:rsidRPr="00F8168D">
        <w:rPr>
          <w:rFonts w:ascii="Times New Roman" w:hAnsi="Times New Roman"/>
          <w:i/>
          <w:iCs/>
          <w:noProof/>
          <w:szCs w:val="24"/>
          <w:lang w:val="fr-CA"/>
        </w:rPr>
        <w:t>53</w:t>
      </w:r>
      <w:r w:rsidRPr="00F8168D">
        <w:rPr>
          <w:rFonts w:ascii="Times New Roman" w:hAnsi="Times New Roman"/>
          <w:noProof/>
          <w:szCs w:val="24"/>
          <w:lang w:val="fr-CA"/>
        </w:rPr>
        <w:t xml:space="preserve">, 2. </w:t>
      </w:r>
      <w:hyperlink r:id="rId670" w:history="1">
        <w:r w:rsidRPr="00F8168D">
          <w:rPr>
            <w:rStyle w:val="Hyperlink"/>
            <w:rFonts w:ascii="Times New Roman" w:hAnsi="Times New Roman"/>
            <w:noProof/>
            <w:szCs w:val="24"/>
            <w:lang w:val="fr-CA"/>
          </w:rPr>
          <w:t>https://www.infona.pl/resource/bwmeta1.element.agro-article-39e3a929-12e0-4a59-8eb0-5f2fde78167b</w:t>
        </w:r>
      </w:hyperlink>
    </w:p>
    <w:p w14:paraId="3696AA69" w14:textId="2D9299F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fr-CA"/>
        </w:rPr>
        <w:t xml:space="preserve">Whelan, A. I., Gutti, P., &amp; Lema, M. A. (2020). </w:t>
      </w:r>
      <w:r w:rsidRPr="00310E7E">
        <w:rPr>
          <w:rFonts w:ascii="Times New Roman" w:hAnsi="Times New Roman"/>
          <w:noProof/>
          <w:szCs w:val="24"/>
        </w:rPr>
        <w:t xml:space="preserve">Gene Editing Regulation and Innovation Economics. </w:t>
      </w:r>
      <w:r w:rsidRPr="00310E7E">
        <w:rPr>
          <w:rFonts w:ascii="Times New Roman" w:hAnsi="Times New Roman"/>
          <w:i/>
          <w:iCs/>
          <w:noProof/>
          <w:szCs w:val="24"/>
        </w:rPr>
        <w:t>Frontiers in Bioengineering and Biotechnology</w:t>
      </w:r>
      <w:r w:rsidRPr="00310E7E">
        <w:rPr>
          <w:rFonts w:ascii="Times New Roman" w:hAnsi="Times New Roman"/>
          <w:noProof/>
          <w:szCs w:val="24"/>
        </w:rPr>
        <w:t xml:space="preserve">, </w:t>
      </w:r>
      <w:r w:rsidRPr="00310E7E">
        <w:rPr>
          <w:rFonts w:ascii="Times New Roman" w:hAnsi="Times New Roman"/>
          <w:i/>
          <w:iCs/>
          <w:noProof/>
          <w:szCs w:val="24"/>
        </w:rPr>
        <w:t>8</w:t>
      </w:r>
      <w:r w:rsidRPr="00310E7E">
        <w:rPr>
          <w:rFonts w:ascii="Times New Roman" w:hAnsi="Times New Roman"/>
          <w:noProof/>
          <w:szCs w:val="24"/>
        </w:rPr>
        <w:t xml:space="preserve">. </w:t>
      </w:r>
      <w:hyperlink r:id="rId671" w:history="1">
        <w:r w:rsidRPr="00670BDA">
          <w:rPr>
            <w:rStyle w:val="Hyperlink"/>
            <w:rFonts w:ascii="Times New Roman" w:hAnsi="Times New Roman"/>
            <w:noProof/>
            <w:szCs w:val="24"/>
          </w:rPr>
          <w:t>https://doi.org/10.3389/fbioe.2020.00303</w:t>
        </w:r>
      </w:hyperlink>
    </w:p>
    <w:p w14:paraId="4D144D7E" w14:textId="23462C6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Whelan, A. I., &amp; Lema, M. A. (2015). Regulatory framework for gene editing and other new breeding techniques (NBTs) in Argentina. </w:t>
      </w:r>
      <w:r w:rsidRPr="00310E7E">
        <w:rPr>
          <w:rFonts w:ascii="Times New Roman" w:hAnsi="Times New Roman"/>
          <w:i/>
          <w:iCs/>
          <w:noProof/>
          <w:szCs w:val="24"/>
        </w:rPr>
        <w:t>GM Crops &amp; Food</w:t>
      </w:r>
      <w:r w:rsidRPr="00310E7E">
        <w:rPr>
          <w:rFonts w:ascii="Times New Roman" w:hAnsi="Times New Roman"/>
          <w:noProof/>
          <w:szCs w:val="24"/>
        </w:rPr>
        <w:t xml:space="preserve">, </w:t>
      </w:r>
      <w:r w:rsidRPr="00310E7E">
        <w:rPr>
          <w:rFonts w:ascii="Times New Roman" w:hAnsi="Times New Roman"/>
          <w:i/>
          <w:iCs/>
          <w:noProof/>
          <w:szCs w:val="24"/>
        </w:rPr>
        <w:t>6</w:t>
      </w:r>
      <w:r w:rsidRPr="00310E7E">
        <w:rPr>
          <w:rFonts w:ascii="Times New Roman" w:hAnsi="Times New Roman"/>
          <w:noProof/>
          <w:szCs w:val="24"/>
        </w:rPr>
        <w:t xml:space="preserve">(4), 253–265. </w:t>
      </w:r>
      <w:hyperlink r:id="rId672" w:history="1">
        <w:r w:rsidRPr="00670BDA">
          <w:rPr>
            <w:rStyle w:val="Hyperlink"/>
            <w:rFonts w:ascii="Times New Roman" w:hAnsi="Times New Roman"/>
            <w:noProof/>
            <w:szCs w:val="24"/>
          </w:rPr>
          <w:t>https://doi.org/10.1080/21645698.2015.1114698</w:t>
        </w:r>
      </w:hyperlink>
    </w:p>
    <w:p w14:paraId="1EEDC254" w14:textId="55D8EE3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Whelan, A. I., &amp; Lema, M. A. (2017). A research program for the socioeconomic impacts of gene editing regulation. </w:t>
      </w:r>
      <w:r w:rsidRPr="00310E7E">
        <w:rPr>
          <w:rFonts w:ascii="Times New Roman" w:hAnsi="Times New Roman"/>
          <w:i/>
          <w:iCs/>
          <w:noProof/>
          <w:szCs w:val="24"/>
        </w:rPr>
        <w:t>GM Crops and Food</w:t>
      </w:r>
      <w:r w:rsidRPr="00310E7E">
        <w:rPr>
          <w:rFonts w:ascii="Times New Roman" w:hAnsi="Times New Roman"/>
          <w:noProof/>
          <w:szCs w:val="24"/>
        </w:rPr>
        <w:t xml:space="preserve">, </w:t>
      </w:r>
      <w:r w:rsidRPr="00310E7E">
        <w:rPr>
          <w:rFonts w:ascii="Times New Roman" w:hAnsi="Times New Roman"/>
          <w:i/>
          <w:iCs/>
          <w:noProof/>
          <w:szCs w:val="24"/>
        </w:rPr>
        <w:t>8</w:t>
      </w:r>
      <w:r w:rsidRPr="00310E7E">
        <w:rPr>
          <w:rFonts w:ascii="Times New Roman" w:hAnsi="Times New Roman"/>
          <w:noProof/>
          <w:szCs w:val="24"/>
        </w:rPr>
        <w:t xml:space="preserve">(1), 74–83. </w:t>
      </w:r>
      <w:hyperlink r:id="rId673" w:history="1">
        <w:r w:rsidRPr="00670BDA">
          <w:rPr>
            <w:rStyle w:val="Hyperlink"/>
            <w:rFonts w:ascii="Times New Roman" w:hAnsi="Times New Roman"/>
            <w:noProof/>
            <w:szCs w:val="24"/>
          </w:rPr>
          <w:t>https://doi.org/10.1080/21645698.2016.1271856</w:t>
        </w:r>
      </w:hyperlink>
    </w:p>
    <w:p w14:paraId="2244C50B" w14:textId="69DCD4F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White, N. J. (2008). Qinghaosu (Artemisinin): The Price of Success. </w:t>
      </w:r>
      <w:r w:rsidRPr="00310E7E">
        <w:rPr>
          <w:rFonts w:ascii="Times New Roman" w:hAnsi="Times New Roman"/>
          <w:i/>
          <w:iCs/>
          <w:noProof/>
          <w:szCs w:val="24"/>
        </w:rPr>
        <w:t>Science</w:t>
      </w:r>
      <w:r w:rsidRPr="00310E7E">
        <w:rPr>
          <w:rFonts w:ascii="Times New Roman" w:hAnsi="Times New Roman"/>
          <w:noProof/>
          <w:szCs w:val="24"/>
        </w:rPr>
        <w:t xml:space="preserve">, </w:t>
      </w:r>
      <w:r w:rsidRPr="00310E7E">
        <w:rPr>
          <w:rFonts w:ascii="Times New Roman" w:hAnsi="Times New Roman"/>
          <w:i/>
          <w:iCs/>
          <w:noProof/>
          <w:szCs w:val="24"/>
        </w:rPr>
        <w:t>320</w:t>
      </w:r>
      <w:r w:rsidRPr="00310E7E">
        <w:rPr>
          <w:rFonts w:ascii="Times New Roman" w:hAnsi="Times New Roman"/>
          <w:noProof/>
          <w:szCs w:val="24"/>
        </w:rPr>
        <w:t xml:space="preserve">(5874), 330–334. </w:t>
      </w:r>
      <w:hyperlink r:id="rId674" w:history="1">
        <w:r w:rsidRPr="00670BDA">
          <w:rPr>
            <w:rStyle w:val="Hyperlink"/>
            <w:rFonts w:ascii="Times New Roman" w:hAnsi="Times New Roman"/>
            <w:noProof/>
            <w:szCs w:val="24"/>
          </w:rPr>
          <w:t>https://doi.org/10.1126/science.1155165</w:t>
        </w:r>
      </w:hyperlink>
    </w:p>
    <w:p w14:paraId="4347F723" w14:textId="1ACB1BD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Whitfill, T. M. (2019). </w:t>
      </w:r>
      <w:r w:rsidRPr="00310E7E">
        <w:rPr>
          <w:rFonts w:ascii="Times New Roman" w:hAnsi="Times New Roman"/>
          <w:i/>
          <w:iCs/>
          <w:noProof/>
          <w:szCs w:val="24"/>
        </w:rPr>
        <w:t>Methods and compositions for treating skin disease with recombinant microorganisms, WO2019195714A1</w:t>
      </w:r>
      <w:r w:rsidRPr="00310E7E">
        <w:rPr>
          <w:rFonts w:ascii="Times New Roman" w:hAnsi="Times New Roman"/>
          <w:noProof/>
          <w:szCs w:val="24"/>
        </w:rPr>
        <w:t xml:space="preserve"> (Vol. 2019, Issue 2157, pp. 2018–2020). </w:t>
      </w:r>
      <w:hyperlink r:id="rId675" w:history="1">
        <w:r w:rsidRPr="00670BDA">
          <w:rPr>
            <w:rStyle w:val="Hyperlink"/>
            <w:rFonts w:ascii="Times New Roman" w:hAnsi="Times New Roman"/>
            <w:noProof/>
            <w:szCs w:val="24"/>
          </w:rPr>
          <w:t>https://patents.google.com/patent/WO2019195714A1/</w:t>
        </w:r>
      </w:hyperlink>
    </w:p>
    <w:p w14:paraId="3AE0BFC6" w14:textId="0E94454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Whittall, D. R., Baker, K. V., Breitling, R., &amp; Takano, E. (2020). Host Systems for the Production of Recombinant Spider Silk. In </w:t>
      </w:r>
      <w:r w:rsidRPr="00310E7E">
        <w:rPr>
          <w:rFonts w:ascii="Times New Roman" w:hAnsi="Times New Roman"/>
          <w:i/>
          <w:iCs/>
          <w:noProof/>
          <w:szCs w:val="24"/>
        </w:rPr>
        <w:t>Trends in Biotechnology</w:t>
      </w:r>
      <w:r w:rsidRPr="00310E7E">
        <w:rPr>
          <w:rFonts w:ascii="Times New Roman" w:hAnsi="Times New Roman"/>
          <w:noProof/>
          <w:szCs w:val="24"/>
        </w:rPr>
        <w:t xml:space="preserve">. Elsevier Ltd. </w:t>
      </w:r>
      <w:hyperlink r:id="rId676" w:history="1">
        <w:r w:rsidRPr="00670BDA">
          <w:rPr>
            <w:rStyle w:val="Hyperlink"/>
            <w:rFonts w:ascii="Times New Roman" w:hAnsi="Times New Roman"/>
            <w:noProof/>
            <w:szCs w:val="24"/>
          </w:rPr>
          <w:t>https://doi.org/10.1016/j.tibtech.2020.09.007</w:t>
        </w:r>
      </w:hyperlink>
    </w:p>
    <w:p w14:paraId="5B29E266" w14:textId="4740524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Widmaier, D., &amp; Breslauer, D. (2015). </w:t>
      </w:r>
      <w:r w:rsidRPr="00310E7E">
        <w:rPr>
          <w:rFonts w:ascii="Times New Roman" w:hAnsi="Times New Roman"/>
          <w:i/>
          <w:iCs/>
          <w:noProof/>
          <w:szCs w:val="24"/>
        </w:rPr>
        <w:t>Cellular Reprogramming for Product Optimization, US20150293076A1</w:t>
      </w:r>
      <w:r w:rsidRPr="00310E7E">
        <w:rPr>
          <w:rFonts w:ascii="Times New Roman" w:hAnsi="Times New Roman"/>
          <w:noProof/>
          <w:szCs w:val="24"/>
        </w:rPr>
        <w:t xml:space="preserve"> (Vol. 1, Issue 19). </w:t>
      </w:r>
      <w:hyperlink r:id="rId677" w:history="1">
        <w:r w:rsidRPr="00670BDA">
          <w:rPr>
            <w:rStyle w:val="Hyperlink"/>
            <w:rFonts w:ascii="Times New Roman" w:hAnsi="Times New Roman"/>
            <w:noProof/>
            <w:szCs w:val="24"/>
          </w:rPr>
          <w:t>https://patents.google.com/patent/US20150293076A1/</w:t>
        </w:r>
      </w:hyperlink>
    </w:p>
    <w:p w14:paraId="70DF4A3A" w14:textId="22F6FA7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Wieland, M., &amp; Fussenegger, M. (2012). Engineering Molecular Circuits Using Synthetic Biology in Mammalian Cells. </w:t>
      </w:r>
      <w:r w:rsidRPr="00310E7E">
        <w:rPr>
          <w:rFonts w:ascii="Times New Roman" w:hAnsi="Times New Roman"/>
          <w:i/>
          <w:iCs/>
          <w:noProof/>
          <w:szCs w:val="24"/>
        </w:rPr>
        <w:t>Annual Review of Chemical and Biomolecular Engineering</w:t>
      </w:r>
      <w:r w:rsidRPr="00310E7E">
        <w:rPr>
          <w:rFonts w:ascii="Times New Roman" w:hAnsi="Times New Roman"/>
          <w:noProof/>
          <w:szCs w:val="24"/>
        </w:rPr>
        <w:t xml:space="preserve">, </w:t>
      </w:r>
      <w:r w:rsidRPr="00310E7E">
        <w:rPr>
          <w:rFonts w:ascii="Times New Roman" w:hAnsi="Times New Roman"/>
          <w:i/>
          <w:iCs/>
          <w:noProof/>
          <w:szCs w:val="24"/>
        </w:rPr>
        <w:t>3</w:t>
      </w:r>
      <w:r w:rsidRPr="00310E7E">
        <w:rPr>
          <w:rFonts w:ascii="Times New Roman" w:hAnsi="Times New Roman"/>
          <w:noProof/>
          <w:szCs w:val="24"/>
        </w:rPr>
        <w:t xml:space="preserve">(1), 209–234. </w:t>
      </w:r>
      <w:hyperlink r:id="rId678" w:history="1">
        <w:r w:rsidRPr="00670BDA">
          <w:rPr>
            <w:rStyle w:val="Hyperlink"/>
            <w:rFonts w:ascii="Times New Roman" w:hAnsi="Times New Roman"/>
            <w:noProof/>
            <w:szCs w:val="24"/>
          </w:rPr>
          <w:t>https://doi.org/10.1146/annurev-chembioeng-061010-114145</w:t>
        </w:r>
      </w:hyperlink>
    </w:p>
    <w:p w14:paraId="412F97D8" w14:textId="2C89581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Wikmark, O.-G., Brautaset, T., Agapito-Tenfen, S. Z., Okoli, A. S., Myhr, A. I., Binimelis, R., &amp; Ching, L. L. (2016). </w:t>
      </w:r>
      <w:r w:rsidRPr="00310E7E">
        <w:rPr>
          <w:rFonts w:ascii="Times New Roman" w:hAnsi="Times New Roman"/>
          <w:i/>
          <w:iCs/>
          <w:noProof/>
          <w:szCs w:val="24"/>
        </w:rPr>
        <w:t>Synthetic biology - biosafety and contribution to addressing societal challenges</w:t>
      </w:r>
      <w:r w:rsidRPr="00310E7E">
        <w:rPr>
          <w:rFonts w:ascii="Times New Roman" w:hAnsi="Times New Roman"/>
          <w:noProof/>
          <w:szCs w:val="24"/>
        </w:rPr>
        <w:t xml:space="preserve"> (p. 69). </w:t>
      </w:r>
      <w:hyperlink r:id="rId679" w:history="1">
        <w:r w:rsidRPr="00670BDA">
          <w:rPr>
            <w:rStyle w:val="Hyperlink"/>
            <w:rFonts w:ascii="Times New Roman" w:hAnsi="Times New Roman"/>
            <w:noProof/>
            <w:szCs w:val="24"/>
          </w:rPr>
          <w:t>https://genok.com/arkiv/6216/</w:t>
        </w:r>
      </w:hyperlink>
    </w:p>
    <w:p w14:paraId="59E10E36" w14:textId="391F4A9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Wilson, R. H., &amp; Whitney, S. M. (2017). Improving CO2 fixation by enhancing rubisco performance. In </w:t>
      </w:r>
      <w:r w:rsidRPr="00310E7E">
        <w:rPr>
          <w:rFonts w:ascii="Times New Roman" w:hAnsi="Times New Roman"/>
          <w:i/>
          <w:iCs/>
          <w:noProof/>
          <w:szCs w:val="24"/>
        </w:rPr>
        <w:t>Directed Enzyme Evolution: Advances and Applications</w:t>
      </w:r>
      <w:r w:rsidRPr="00310E7E">
        <w:rPr>
          <w:rFonts w:ascii="Times New Roman" w:hAnsi="Times New Roman"/>
          <w:noProof/>
          <w:szCs w:val="24"/>
        </w:rPr>
        <w:t xml:space="preserve"> (pp. 101–126). Springer International Publishing. </w:t>
      </w:r>
      <w:hyperlink r:id="rId680" w:history="1">
        <w:r w:rsidRPr="00670BDA">
          <w:rPr>
            <w:rStyle w:val="Hyperlink"/>
            <w:rFonts w:ascii="Times New Roman" w:hAnsi="Times New Roman"/>
            <w:noProof/>
            <w:szCs w:val="24"/>
          </w:rPr>
          <w:t>https://doi.org/10.1007/978-3-319-50413-1_4</w:t>
        </w:r>
      </w:hyperlink>
    </w:p>
    <w:p w14:paraId="29EB182B" w14:textId="60DB092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Wisely, S. M., Ryder, O. A., Santymire, R. M., Engelhardt, J. F., &amp; Novak, B. J. (2015). A Road Map for 21st Century Genetic Restoration: Gene Pool Enrichment of the Black-Footed Ferret. In </w:t>
      </w:r>
      <w:r w:rsidRPr="00310E7E">
        <w:rPr>
          <w:rFonts w:ascii="Times New Roman" w:hAnsi="Times New Roman"/>
          <w:i/>
          <w:iCs/>
          <w:noProof/>
          <w:szCs w:val="24"/>
        </w:rPr>
        <w:t>Journal of Heredity</w:t>
      </w:r>
      <w:r w:rsidRPr="00310E7E">
        <w:rPr>
          <w:rFonts w:ascii="Times New Roman" w:hAnsi="Times New Roman"/>
          <w:noProof/>
          <w:szCs w:val="24"/>
        </w:rPr>
        <w:t xml:space="preserve"> (Vol. 106, Issue 5, pp. 581–592). Oxford University Press. </w:t>
      </w:r>
      <w:hyperlink r:id="rId681" w:history="1">
        <w:r w:rsidRPr="00670BDA">
          <w:rPr>
            <w:rStyle w:val="Hyperlink"/>
            <w:rFonts w:ascii="Times New Roman" w:hAnsi="Times New Roman"/>
            <w:noProof/>
            <w:szCs w:val="24"/>
          </w:rPr>
          <w:t>https://doi.org/10.1093/jhered/esv041</w:t>
        </w:r>
      </w:hyperlink>
    </w:p>
    <w:p w14:paraId="3B0AE856" w14:textId="22C34F3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Wolt, J. D., Wang, K., &amp; Yang, B. (2016). The Regulatory Status of Genome‐edited Crops. </w:t>
      </w:r>
      <w:r w:rsidRPr="00310E7E">
        <w:rPr>
          <w:rFonts w:ascii="Times New Roman" w:hAnsi="Times New Roman"/>
          <w:i/>
          <w:iCs/>
          <w:noProof/>
          <w:szCs w:val="24"/>
        </w:rPr>
        <w:t>Plant Biotechnology Journal</w:t>
      </w:r>
      <w:r w:rsidRPr="00310E7E">
        <w:rPr>
          <w:rFonts w:ascii="Times New Roman" w:hAnsi="Times New Roman"/>
          <w:noProof/>
          <w:szCs w:val="24"/>
        </w:rPr>
        <w:t xml:space="preserve">, </w:t>
      </w:r>
      <w:r w:rsidRPr="00310E7E">
        <w:rPr>
          <w:rFonts w:ascii="Times New Roman" w:hAnsi="Times New Roman"/>
          <w:i/>
          <w:iCs/>
          <w:noProof/>
          <w:szCs w:val="24"/>
        </w:rPr>
        <w:t>14</w:t>
      </w:r>
      <w:r w:rsidRPr="00310E7E">
        <w:rPr>
          <w:rFonts w:ascii="Times New Roman" w:hAnsi="Times New Roman"/>
          <w:noProof/>
          <w:szCs w:val="24"/>
        </w:rPr>
        <w:t xml:space="preserve">(2), 510–518. </w:t>
      </w:r>
      <w:hyperlink r:id="rId682" w:history="1">
        <w:r w:rsidRPr="00670BDA">
          <w:rPr>
            <w:rStyle w:val="Hyperlink"/>
            <w:rFonts w:ascii="Times New Roman" w:hAnsi="Times New Roman"/>
            <w:noProof/>
            <w:szCs w:val="24"/>
          </w:rPr>
          <w:t>https://doi.org/10.1111/pbi.12444</w:t>
        </w:r>
      </w:hyperlink>
    </w:p>
    <w:p w14:paraId="2C80065B" w14:textId="5AE31F4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Woodrow Wilson International Center for Scholars. (2012). </w:t>
      </w:r>
      <w:r w:rsidRPr="00310E7E">
        <w:rPr>
          <w:rFonts w:ascii="Times New Roman" w:hAnsi="Times New Roman"/>
          <w:i/>
          <w:iCs/>
          <w:noProof/>
          <w:szCs w:val="24"/>
        </w:rPr>
        <w:t>Draft: Inventory of Synthetic Biology Products – Existing and Possible.</w:t>
      </w:r>
      <w:r w:rsidRPr="00310E7E">
        <w:rPr>
          <w:rFonts w:ascii="Times New Roman" w:hAnsi="Times New Roman"/>
          <w:noProof/>
          <w:szCs w:val="24"/>
        </w:rPr>
        <w:t xml:space="preserve"> </w:t>
      </w:r>
      <w:hyperlink r:id="rId683" w:history="1">
        <w:r w:rsidRPr="00670BDA">
          <w:rPr>
            <w:rStyle w:val="Hyperlink"/>
            <w:rFonts w:ascii="Times New Roman" w:hAnsi="Times New Roman"/>
            <w:noProof/>
            <w:szCs w:val="24"/>
          </w:rPr>
          <w:t>https://www.cbd.int/doc/emerging-issues/emergingissues-2013-07-WilsonCenter-SynbioApplicationsInventory-en.pdf</w:t>
        </w:r>
      </w:hyperlink>
    </w:p>
    <w:p w14:paraId="4680A61A" w14:textId="7777777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World Health Organization. (2011). </w:t>
      </w:r>
      <w:r w:rsidRPr="00310E7E">
        <w:rPr>
          <w:rFonts w:ascii="Times New Roman" w:hAnsi="Times New Roman"/>
          <w:i/>
          <w:iCs/>
          <w:noProof/>
          <w:szCs w:val="24"/>
        </w:rPr>
        <w:t>Global Malaria Programme. The use of DDT in malaria vector control. WHO position statement</w:t>
      </w:r>
      <w:r w:rsidRPr="00310E7E">
        <w:rPr>
          <w:rFonts w:ascii="Times New Roman" w:hAnsi="Times New Roman"/>
          <w:noProof/>
          <w:szCs w:val="24"/>
        </w:rPr>
        <w:t>.</w:t>
      </w:r>
    </w:p>
    <w:p w14:paraId="50711381" w14:textId="520DA5A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World Health Organization. (2015). </w:t>
      </w:r>
      <w:r w:rsidRPr="00310E7E">
        <w:rPr>
          <w:rFonts w:ascii="Times New Roman" w:hAnsi="Times New Roman"/>
          <w:i/>
          <w:iCs/>
          <w:noProof/>
          <w:szCs w:val="24"/>
        </w:rPr>
        <w:t>The Independent Advisory Group on Public Health Implications of Synthetic Biology Technology Related to Smallpox</w:t>
      </w:r>
      <w:r w:rsidRPr="00310E7E">
        <w:rPr>
          <w:rFonts w:ascii="Times New Roman" w:hAnsi="Times New Roman"/>
          <w:noProof/>
          <w:szCs w:val="24"/>
        </w:rPr>
        <w:t xml:space="preserve">. </w:t>
      </w:r>
      <w:hyperlink r:id="rId684" w:history="1">
        <w:r w:rsidRPr="00670BDA">
          <w:rPr>
            <w:rStyle w:val="Hyperlink"/>
            <w:rFonts w:ascii="Times New Roman" w:hAnsi="Times New Roman"/>
            <w:noProof/>
            <w:szCs w:val="24"/>
          </w:rPr>
          <w:t>https://apps.who.int/iris/bitstream/handle/10665/198357/WHO_HSE_PED_2015.1_eng.pdf;sequence=1</w:t>
        </w:r>
      </w:hyperlink>
    </w:p>
    <w:p w14:paraId="1D061076" w14:textId="50F4CD6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World Health Organization. (2020a). </w:t>
      </w:r>
      <w:r w:rsidRPr="00310E7E">
        <w:rPr>
          <w:rFonts w:ascii="Times New Roman" w:hAnsi="Times New Roman"/>
          <w:i/>
          <w:iCs/>
          <w:noProof/>
          <w:szCs w:val="24"/>
        </w:rPr>
        <w:t>Evaluation of genetically modified mosquitoes for the control of vector-borne diseases</w:t>
      </w:r>
      <w:r w:rsidRPr="00310E7E">
        <w:rPr>
          <w:rFonts w:ascii="Times New Roman" w:hAnsi="Times New Roman"/>
          <w:noProof/>
          <w:szCs w:val="24"/>
        </w:rPr>
        <w:t xml:space="preserve"> (p. 7). </w:t>
      </w:r>
      <w:hyperlink r:id="rId685" w:history="1">
        <w:r w:rsidRPr="00670BDA">
          <w:rPr>
            <w:rStyle w:val="Hyperlink"/>
            <w:rFonts w:ascii="Times New Roman" w:hAnsi="Times New Roman"/>
            <w:noProof/>
            <w:szCs w:val="24"/>
          </w:rPr>
          <w:t>https://www.who.int/publications/i/item/9789240013155</w:t>
        </w:r>
      </w:hyperlink>
    </w:p>
    <w:p w14:paraId="0CB2351E" w14:textId="235E5E1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World Health Organization. (2020b). </w:t>
      </w:r>
      <w:r w:rsidRPr="00310E7E">
        <w:rPr>
          <w:rFonts w:ascii="Times New Roman" w:hAnsi="Times New Roman"/>
          <w:i/>
          <w:iCs/>
          <w:noProof/>
          <w:szCs w:val="24"/>
        </w:rPr>
        <w:t>Laboratory Biosafety Manual: Fourth Edition</w:t>
      </w:r>
      <w:r w:rsidRPr="00310E7E">
        <w:rPr>
          <w:rFonts w:ascii="Times New Roman" w:hAnsi="Times New Roman"/>
          <w:noProof/>
          <w:szCs w:val="24"/>
        </w:rPr>
        <w:t xml:space="preserve"> (p. 124). </w:t>
      </w:r>
      <w:hyperlink r:id="rId686" w:history="1">
        <w:r w:rsidRPr="00670BDA">
          <w:rPr>
            <w:rStyle w:val="Hyperlink"/>
            <w:rFonts w:ascii="Times New Roman" w:hAnsi="Times New Roman"/>
            <w:noProof/>
            <w:szCs w:val="24"/>
          </w:rPr>
          <w:t>https://www.who.int/publications/i/item/9789240011311</w:t>
        </w:r>
      </w:hyperlink>
    </w:p>
    <w:p w14:paraId="2BAC86DB" w14:textId="154089A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World Intellectual Property Organization. (2004). </w:t>
      </w:r>
      <w:r w:rsidRPr="00310E7E">
        <w:rPr>
          <w:rFonts w:ascii="Times New Roman" w:hAnsi="Times New Roman"/>
          <w:i/>
          <w:iCs/>
          <w:noProof/>
          <w:szCs w:val="24"/>
        </w:rPr>
        <w:t>WIPO intellectual property handbook: policy, law and use. Geneva, World Intellectual Property Organization</w:t>
      </w:r>
      <w:r w:rsidRPr="00310E7E">
        <w:rPr>
          <w:rFonts w:ascii="Times New Roman" w:hAnsi="Times New Roman"/>
          <w:noProof/>
          <w:szCs w:val="24"/>
        </w:rPr>
        <w:t xml:space="preserve">. </w:t>
      </w:r>
      <w:hyperlink r:id="rId687" w:history="1">
        <w:r w:rsidRPr="00670BDA">
          <w:rPr>
            <w:rStyle w:val="Hyperlink"/>
            <w:rFonts w:ascii="Times New Roman" w:hAnsi="Times New Roman"/>
            <w:noProof/>
            <w:szCs w:val="24"/>
          </w:rPr>
          <w:t>https://www.wipo.int/edocs/pubdocs/en/wipo_pub_489.pdf</w:t>
        </w:r>
      </w:hyperlink>
    </w:p>
    <w:p w14:paraId="14BE59ED" w14:textId="2F3C2B2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World Trade Organization. (2006). </w:t>
      </w:r>
      <w:r w:rsidRPr="00310E7E">
        <w:rPr>
          <w:rFonts w:ascii="Times New Roman" w:hAnsi="Times New Roman"/>
          <w:i/>
          <w:iCs/>
          <w:noProof/>
          <w:szCs w:val="24"/>
        </w:rPr>
        <w:t>Reports out on biotech disputes</w:t>
      </w:r>
      <w:r w:rsidRPr="00310E7E">
        <w:rPr>
          <w:rFonts w:ascii="Times New Roman" w:hAnsi="Times New Roman"/>
          <w:noProof/>
          <w:szCs w:val="24"/>
        </w:rPr>
        <w:t xml:space="preserve">. </w:t>
      </w:r>
      <w:hyperlink r:id="rId688" w:history="1">
        <w:r w:rsidRPr="00670BDA">
          <w:rPr>
            <w:rStyle w:val="Hyperlink"/>
            <w:rFonts w:ascii="Times New Roman" w:hAnsi="Times New Roman"/>
            <w:noProof/>
            <w:szCs w:val="24"/>
          </w:rPr>
          <w:t>https://www.wto.org/english/news_e/news06_e/291r_e.htm</w:t>
        </w:r>
      </w:hyperlink>
    </w:p>
    <w:p w14:paraId="658C8ED2" w14:textId="395A5EC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Worrall, E. A., Bravo-Cazar, A., Nilon, A. T., Fletcher, S. J., Robinson, K. E., Carr, J. P., &amp; Mitter, N. (2019). Exogenous Application of RNAi-Inducing Double-Stranded RNA Inhibits Aphid-Mediated Transmission of a Plant Virus. </w:t>
      </w:r>
      <w:r w:rsidRPr="00310E7E">
        <w:rPr>
          <w:rFonts w:ascii="Times New Roman" w:hAnsi="Times New Roman"/>
          <w:i/>
          <w:iCs/>
          <w:noProof/>
          <w:szCs w:val="24"/>
        </w:rPr>
        <w:t>Frontiers in Plant Science</w:t>
      </w:r>
      <w:r w:rsidRPr="00310E7E">
        <w:rPr>
          <w:rFonts w:ascii="Times New Roman" w:hAnsi="Times New Roman"/>
          <w:noProof/>
          <w:szCs w:val="24"/>
        </w:rPr>
        <w:t xml:space="preserve">, </w:t>
      </w:r>
      <w:r w:rsidRPr="00310E7E">
        <w:rPr>
          <w:rFonts w:ascii="Times New Roman" w:hAnsi="Times New Roman"/>
          <w:i/>
          <w:iCs/>
          <w:noProof/>
          <w:szCs w:val="24"/>
        </w:rPr>
        <w:t>10</w:t>
      </w:r>
      <w:r w:rsidRPr="00310E7E">
        <w:rPr>
          <w:rFonts w:ascii="Times New Roman" w:hAnsi="Times New Roman"/>
          <w:noProof/>
          <w:szCs w:val="24"/>
        </w:rPr>
        <w:t xml:space="preserve">. </w:t>
      </w:r>
      <w:hyperlink r:id="rId689" w:history="1">
        <w:r w:rsidRPr="00670BDA">
          <w:rPr>
            <w:rStyle w:val="Hyperlink"/>
            <w:rFonts w:ascii="Times New Roman" w:hAnsi="Times New Roman"/>
            <w:noProof/>
            <w:szCs w:val="24"/>
          </w:rPr>
          <w:t>https://doi.org/10.3389/fpls.2019.00265</w:t>
        </w:r>
      </w:hyperlink>
    </w:p>
    <w:p w14:paraId="5C4FF131" w14:textId="27E938D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Wright, O., Stan, G.-B., &amp; Ellis, T. (2013). Building-in biosafety for synthetic biology. </w:t>
      </w:r>
      <w:r w:rsidRPr="00310E7E">
        <w:rPr>
          <w:rFonts w:ascii="Times New Roman" w:hAnsi="Times New Roman"/>
          <w:i/>
          <w:iCs/>
          <w:noProof/>
          <w:szCs w:val="24"/>
        </w:rPr>
        <w:t>Microbiology</w:t>
      </w:r>
      <w:r w:rsidRPr="00310E7E">
        <w:rPr>
          <w:rFonts w:ascii="Times New Roman" w:hAnsi="Times New Roman"/>
          <w:noProof/>
          <w:szCs w:val="24"/>
        </w:rPr>
        <w:t xml:space="preserve">, </w:t>
      </w:r>
      <w:r w:rsidRPr="00310E7E">
        <w:rPr>
          <w:rFonts w:ascii="Times New Roman" w:hAnsi="Times New Roman"/>
          <w:i/>
          <w:iCs/>
          <w:noProof/>
          <w:szCs w:val="24"/>
        </w:rPr>
        <w:t>159</w:t>
      </w:r>
      <w:r w:rsidRPr="00310E7E">
        <w:rPr>
          <w:rFonts w:ascii="Times New Roman" w:hAnsi="Times New Roman"/>
          <w:noProof/>
          <w:szCs w:val="24"/>
        </w:rPr>
        <w:t xml:space="preserve">(Pt_7), 1221–1235. </w:t>
      </w:r>
      <w:hyperlink r:id="rId690" w:history="1">
        <w:r w:rsidRPr="00670BDA">
          <w:rPr>
            <w:rStyle w:val="Hyperlink"/>
            <w:rFonts w:ascii="Times New Roman" w:hAnsi="Times New Roman"/>
            <w:noProof/>
            <w:szCs w:val="24"/>
          </w:rPr>
          <w:t>https://doi.org/10.1099/mic.0.066308-0</w:t>
        </w:r>
      </w:hyperlink>
    </w:p>
    <w:p w14:paraId="01E4DC04" w14:textId="6C999B2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Wu, B., Luo, L., &amp; Gao, X. J. (2016). Cas9-triggered chain ablation of </w:t>
      </w:r>
      <w:r w:rsidRPr="00670BDA">
        <w:rPr>
          <w:rFonts w:ascii="Times New Roman" w:hAnsi="Times New Roman"/>
          <w:i/>
          <w:iCs/>
          <w:noProof/>
          <w:szCs w:val="24"/>
        </w:rPr>
        <w:t>cas9</w:t>
      </w:r>
      <w:r w:rsidRPr="00310E7E">
        <w:rPr>
          <w:rFonts w:ascii="Times New Roman" w:hAnsi="Times New Roman"/>
          <w:noProof/>
          <w:szCs w:val="24"/>
        </w:rPr>
        <w:t xml:space="preserve"> as a gene drive brake.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34</w:t>
      </w:r>
      <w:r w:rsidRPr="00310E7E">
        <w:rPr>
          <w:rFonts w:ascii="Times New Roman" w:hAnsi="Times New Roman"/>
          <w:noProof/>
          <w:szCs w:val="24"/>
        </w:rPr>
        <w:t xml:space="preserve">(2), 137–138. </w:t>
      </w:r>
      <w:hyperlink r:id="rId691" w:history="1">
        <w:r w:rsidRPr="00670BDA">
          <w:rPr>
            <w:rStyle w:val="Hyperlink"/>
            <w:rFonts w:ascii="Times New Roman" w:hAnsi="Times New Roman"/>
            <w:noProof/>
            <w:szCs w:val="24"/>
          </w:rPr>
          <w:t>https://doi.org/10.1038/nbt.3444</w:t>
        </w:r>
      </w:hyperlink>
    </w:p>
    <w:p w14:paraId="43D9388E" w14:textId="3D9D2BF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Wu, M.-R., Jusiak, B., &amp; Lu, T. K. (2019). Engineering advanced cancer therapies with synthetic biology. </w:t>
      </w:r>
      <w:r w:rsidRPr="00310E7E">
        <w:rPr>
          <w:rFonts w:ascii="Times New Roman" w:hAnsi="Times New Roman"/>
          <w:i/>
          <w:iCs/>
          <w:noProof/>
          <w:szCs w:val="24"/>
        </w:rPr>
        <w:t>Nature Reviews Cancer</w:t>
      </w:r>
      <w:r w:rsidRPr="00310E7E">
        <w:rPr>
          <w:rFonts w:ascii="Times New Roman" w:hAnsi="Times New Roman"/>
          <w:noProof/>
          <w:szCs w:val="24"/>
        </w:rPr>
        <w:t xml:space="preserve">, </w:t>
      </w:r>
      <w:r w:rsidRPr="00310E7E">
        <w:rPr>
          <w:rFonts w:ascii="Times New Roman" w:hAnsi="Times New Roman"/>
          <w:i/>
          <w:iCs/>
          <w:noProof/>
          <w:szCs w:val="24"/>
        </w:rPr>
        <w:t>19</w:t>
      </w:r>
      <w:r w:rsidRPr="00310E7E">
        <w:rPr>
          <w:rFonts w:ascii="Times New Roman" w:hAnsi="Times New Roman"/>
          <w:noProof/>
          <w:szCs w:val="24"/>
        </w:rPr>
        <w:t xml:space="preserve">(4), 187–195. </w:t>
      </w:r>
      <w:hyperlink r:id="rId692" w:history="1">
        <w:r w:rsidRPr="00670BDA">
          <w:rPr>
            <w:rStyle w:val="Hyperlink"/>
            <w:rFonts w:ascii="Times New Roman" w:hAnsi="Times New Roman"/>
            <w:noProof/>
            <w:szCs w:val="24"/>
          </w:rPr>
          <w:t>https://doi.org/10.1038/s41568-019-0121-0</w:t>
        </w:r>
      </w:hyperlink>
    </w:p>
    <w:p w14:paraId="7F5B74C7" w14:textId="3C6FFC2D" w:rsidR="00310E7E" w:rsidRPr="009C2DA0"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fr-FR"/>
        </w:rPr>
      </w:pPr>
      <w:r w:rsidRPr="00310E7E">
        <w:rPr>
          <w:rFonts w:ascii="Times New Roman" w:hAnsi="Times New Roman"/>
          <w:noProof/>
          <w:szCs w:val="24"/>
        </w:rPr>
        <w:t xml:space="preserve">Wytinck, N., Manchur, C. L., Li, V. H., Whyard, S., &amp; Belmonte, M. F. (2020). dsRNA Uptake in Plant Pests and Pathogens: Insights into RNAi-Based Insect and Fungal Control Technology. </w:t>
      </w:r>
      <w:r w:rsidRPr="009C2DA0">
        <w:rPr>
          <w:rFonts w:ascii="Times New Roman" w:hAnsi="Times New Roman"/>
          <w:i/>
          <w:iCs/>
          <w:noProof/>
          <w:szCs w:val="24"/>
          <w:lang w:val="fr-FR"/>
        </w:rPr>
        <w:t>Plants</w:t>
      </w:r>
      <w:r w:rsidRPr="009C2DA0">
        <w:rPr>
          <w:rFonts w:ascii="Times New Roman" w:hAnsi="Times New Roman"/>
          <w:noProof/>
          <w:szCs w:val="24"/>
          <w:lang w:val="fr-FR"/>
        </w:rPr>
        <w:t xml:space="preserve">, </w:t>
      </w:r>
      <w:r w:rsidRPr="009C2DA0">
        <w:rPr>
          <w:rFonts w:ascii="Times New Roman" w:hAnsi="Times New Roman"/>
          <w:i/>
          <w:iCs/>
          <w:noProof/>
          <w:szCs w:val="24"/>
          <w:lang w:val="fr-FR"/>
        </w:rPr>
        <w:t>9</w:t>
      </w:r>
      <w:r w:rsidRPr="009C2DA0">
        <w:rPr>
          <w:rFonts w:ascii="Times New Roman" w:hAnsi="Times New Roman"/>
          <w:noProof/>
          <w:szCs w:val="24"/>
          <w:lang w:val="fr-FR"/>
        </w:rPr>
        <w:t xml:space="preserve">(12), 1780. </w:t>
      </w:r>
      <w:hyperlink r:id="rId693" w:history="1">
        <w:r w:rsidRPr="009C2DA0">
          <w:rPr>
            <w:rStyle w:val="Hyperlink"/>
            <w:rFonts w:ascii="Times New Roman" w:hAnsi="Times New Roman"/>
            <w:noProof/>
            <w:szCs w:val="24"/>
            <w:lang w:val="fr-FR"/>
          </w:rPr>
          <w:t>https://doi.org/10.3390/plants9121780</w:t>
        </w:r>
      </w:hyperlink>
    </w:p>
    <w:p w14:paraId="729BFB4A" w14:textId="75AF686B"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9C2DA0">
        <w:rPr>
          <w:rFonts w:ascii="Times New Roman" w:hAnsi="Times New Roman"/>
          <w:noProof/>
          <w:szCs w:val="24"/>
          <w:lang w:val="fr-FR"/>
        </w:rPr>
        <w:t xml:space="preserve">Xia, P. F., Li, Q., Tan, L. R., Liu, M. M., Jin, Y. S., &amp; Wang, S. G. (2018). </w:t>
      </w:r>
      <w:r w:rsidRPr="00310E7E">
        <w:rPr>
          <w:rFonts w:ascii="Times New Roman" w:hAnsi="Times New Roman"/>
          <w:noProof/>
          <w:szCs w:val="24"/>
        </w:rPr>
        <w:t xml:space="preserve">Synthetic Whole-Cell Biodevices for Targeted Degradation of Antibiotics. </w:t>
      </w:r>
      <w:r w:rsidRPr="00310E7E">
        <w:rPr>
          <w:rFonts w:ascii="Times New Roman" w:hAnsi="Times New Roman"/>
          <w:i/>
          <w:iCs/>
          <w:noProof/>
          <w:szCs w:val="24"/>
        </w:rPr>
        <w:t>Scientific Reports</w:t>
      </w:r>
      <w:r w:rsidRPr="00310E7E">
        <w:rPr>
          <w:rFonts w:ascii="Times New Roman" w:hAnsi="Times New Roman"/>
          <w:noProof/>
          <w:szCs w:val="24"/>
        </w:rPr>
        <w:t xml:space="preserve">, </w:t>
      </w:r>
      <w:r w:rsidRPr="00310E7E">
        <w:rPr>
          <w:rFonts w:ascii="Times New Roman" w:hAnsi="Times New Roman"/>
          <w:i/>
          <w:iCs/>
          <w:noProof/>
          <w:szCs w:val="24"/>
        </w:rPr>
        <w:t>8</w:t>
      </w:r>
      <w:r w:rsidRPr="00310E7E">
        <w:rPr>
          <w:rFonts w:ascii="Times New Roman" w:hAnsi="Times New Roman"/>
          <w:noProof/>
          <w:szCs w:val="24"/>
        </w:rPr>
        <w:t xml:space="preserve">(1). </w:t>
      </w:r>
      <w:hyperlink r:id="rId694" w:history="1">
        <w:r w:rsidRPr="00670BDA">
          <w:rPr>
            <w:rStyle w:val="Hyperlink"/>
            <w:rFonts w:ascii="Times New Roman" w:hAnsi="Times New Roman"/>
            <w:noProof/>
            <w:szCs w:val="24"/>
          </w:rPr>
          <w:t>https://doi.org/10.1038/s41598-018-21350-9</w:t>
        </w:r>
      </w:hyperlink>
    </w:p>
    <w:p w14:paraId="65042F9B" w14:textId="6594B31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9C2DA0">
        <w:rPr>
          <w:rFonts w:ascii="Times New Roman" w:hAnsi="Times New Roman"/>
          <w:noProof/>
          <w:szCs w:val="24"/>
          <w:lang w:val="fr-FR"/>
        </w:rPr>
        <w:t xml:space="preserve">Xu, B. Y., Xu, J., &amp; Yomo, T. (2019). </w:t>
      </w:r>
      <w:r w:rsidRPr="00310E7E">
        <w:rPr>
          <w:rFonts w:ascii="Times New Roman" w:hAnsi="Times New Roman"/>
          <w:noProof/>
          <w:szCs w:val="24"/>
        </w:rPr>
        <w:t xml:space="preserve">A protocell with fusion and division. In </w:t>
      </w:r>
      <w:r w:rsidRPr="00310E7E">
        <w:rPr>
          <w:rFonts w:ascii="Times New Roman" w:hAnsi="Times New Roman"/>
          <w:i/>
          <w:iCs/>
          <w:noProof/>
          <w:szCs w:val="24"/>
        </w:rPr>
        <w:t>Biochemical Society Transactions</w:t>
      </w:r>
      <w:r w:rsidRPr="00310E7E">
        <w:rPr>
          <w:rFonts w:ascii="Times New Roman" w:hAnsi="Times New Roman"/>
          <w:noProof/>
          <w:szCs w:val="24"/>
        </w:rPr>
        <w:t xml:space="preserve"> (Vol. 47, Issue 6, pp. 1909–1919). Portland Press Ltd. </w:t>
      </w:r>
      <w:hyperlink r:id="rId695" w:history="1">
        <w:r w:rsidRPr="00670BDA">
          <w:rPr>
            <w:rStyle w:val="Hyperlink"/>
            <w:rFonts w:ascii="Times New Roman" w:hAnsi="Times New Roman"/>
            <w:noProof/>
            <w:szCs w:val="24"/>
          </w:rPr>
          <w:t>https://doi.org/10.1042/BST20190576</w:t>
        </w:r>
      </w:hyperlink>
    </w:p>
    <w:p w14:paraId="6CA33289" w14:textId="46787FE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Xu, C., Lu, P., Gamal El-Din, T. M., Pei, X. Y., Johnson, M. C., Uyeda, A., Bick, M. J., Xu, Q., Jiang, D., Bai, H., Reggiano, G., Hsia, Y., Brunette, T. J., Dou, J., Ma, D., Lynch, E. M., Boyken, S. E., Huang, P. S., Stewart, L., … Baker, D. (2020). Computational design of transmembrane pores. </w:t>
      </w:r>
      <w:r w:rsidRPr="00310E7E">
        <w:rPr>
          <w:rFonts w:ascii="Times New Roman" w:hAnsi="Times New Roman"/>
          <w:i/>
          <w:iCs/>
          <w:noProof/>
          <w:szCs w:val="24"/>
        </w:rPr>
        <w:t>Nature</w:t>
      </w:r>
      <w:r w:rsidRPr="00310E7E">
        <w:rPr>
          <w:rFonts w:ascii="Times New Roman" w:hAnsi="Times New Roman"/>
          <w:noProof/>
          <w:szCs w:val="24"/>
        </w:rPr>
        <w:t xml:space="preserve">, </w:t>
      </w:r>
      <w:r w:rsidRPr="00310E7E">
        <w:rPr>
          <w:rFonts w:ascii="Times New Roman" w:hAnsi="Times New Roman"/>
          <w:i/>
          <w:iCs/>
          <w:noProof/>
          <w:szCs w:val="24"/>
        </w:rPr>
        <w:t>585</w:t>
      </w:r>
      <w:r w:rsidRPr="00310E7E">
        <w:rPr>
          <w:rFonts w:ascii="Times New Roman" w:hAnsi="Times New Roman"/>
          <w:noProof/>
          <w:szCs w:val="24"/>
        </w:rPr>
        <w:t>(7823), 129–134.</w:t>
      </w:r>
      <w:hyperlink r:id="rId696" w:history="1">
        <w:r w:rsidRPr="00670BDA">
          <w:rPr>
            <w:rStyle w:val="Hyperlink"/>
            <w:rFonts w:ascii="Times New Roman" w:hAnsi="Times New Roman"/>
            <w:noProof/>
            <w:szCs w:val="24"/>
          </w:rPr>
          <w:t xml:space="preserve"> https://doi.org/10.1038/s41586-020-2646-5</w:t>
        </w:r>
      </w:hyperlink>
    </w:p>
    <w:p w14:paraId="4BD69AD2" w14:textId="5B83335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Xu, X. R. S., Bulger, E. A., Gantz, V. M., Klanseck, C., Heimler, S. R., Auradkar, A., Bennett, J. B., Miller, L. A., Leahy, S., Juste, S. S., Buchman, A., Akbari, O. S., Marshall, J. M., &amp; Bier, E. (2020). Active Genetic Neutralizing Elements for Halting or Deleting Gene Drives. </w:t>
      </w:r>
      <w:r w:rsidRPr="00310E7E">
        <w:rPr>
          <w:rFonts w:ascii="Times New Roman" w:hAnsi="Times New Roman"/>
          <w:i/>
          <w:iCs/>
          <w:noProof/>
          <w:szCs w:val="24"/>
        </w:rPr>
        <w:t>Molecular Cell</w:t>
      </w:r>
      <w:r w:rsidRPr="00310E7E">
        <w:rPr>
          <w:rFonts w:ascii="Times New Roman" w:hAnsi="Times New Roman"/>
          <w:noProof/>
          <w:szCs w:val="24"/>
        </w:rPr>
        <w:t xml:space="preserve">, </w:t>
      </w:r>
      <w:r w:rsidRPr="00310E7E">
        <w:rPr>
          <w:rFonts w:ascii="Times New Roman" w:hAnsi="Times New Roman"/>
          <w:i/>
          <w:iCs/>
          <w:noProof/>
          <w:szCs w:val="24"/>
        </w:rPr>
        <w:t>80</w:t>
      </w:r>
      <w:r w:rsidRPr="00310E7E">
        <w:rPr>
          <w:rFonts w:ascii="Times New Roman" w:hAnsi="Times New Roman"/>
          <w:noProof/>
          <w:szCs w:val="24"/>
        </w:rPr>
        <w:t xml:space="preserve">(2), 246-262.e4. </w:t>
      </w:r>
      <w:hyperlink r:id="rId697" w:history="1">
        <w:r w:rsidRPr="00670BDA">
          <w:rPr>
            <w:rStyle w:val="Hyperlink"/>
            <w:rFonts w:ascii="Times New Roman" w:hAnsi="Times New Roman"/>
            <w:noProof/>
            <w:szCs w:val="24"/>
          </w:rPr>
          <w:t>https://doi.org/10.1016/j.molcel.2020.09.003</w:t>
        </w:r>
      </w:hyperlink>
    </w:p>
    <w:p w14:paraId="02FE373F" w14:textId="268DD89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Xu, X., Zhong, H., Liu, W., &amp; Tao, Y. (2020). Extension of Genetic Marker List Using Unnatural Amino Acid System: An Efficient Genomic Modification Strategy in</w:t>
      </w:r>
      <w:r w:rsidRPr="003F32D5">
        <w:rPr>
          <w:rFonts w:ascii="Times New Roman" w:hAnsi="Times New Roman"/>
          <w:i/>
          <w:iCs/>
          <w:noProof/>
          <w:szCs w:val="24"/>
        </w:rPr>
        <w:t xml:space="preserve"> Escherichia coli</w:t>
      </w:r>
      <w:r w:rsidRPr="00310E7E">
        <w:rPr>
          <w:rFonts w:ascii="Times New Roman" w:hAnsi="Times New Roman"/>
          <w:noProof/>
          <w:szCs w:val="24"/>
        </w:rPr>
        <w:t xml:space="preserve">. </w:t>
      </w:r>
      <w:r w:rsidRPr="00310E7E">
        <w:rPr>
          <w:rFonts w:ascii="Times New Roman" w:hAnsi="Times New Roman"/>
          <w:i/>
          <w:iCs/>
          <w:noProof/>
          <w:szCs w:val="24"/>
        </w:rPr>
        <w:t>Frontiers in Bioengineering and Biotechnology</w:t>
      </w:r>
      <w:r w:rsidRPr="00310E7E">
        <w:rPr>
          <w:rFonts w:ascii="Times New Roman" w:hAnsi="Times New Roman"/>
          <w:noProof/>
          <w:szCs w:val="24"/>
        </w:rPr>
        <w:t xml:space="preserve">, </w:t>
      </w:r>
      <w:r w:rsidRPr="00310E7E">
        <w:rPr>
          <w:rFonts w:ascii="Times New Roman" w:hAnsi="Times New Roman"/>
          <w:i/>
          <w:iCs/>
          <w:noProof/>
          <w:szCs w:val="24"/>
        </w:rPr>
        <w:t>8</w:t>
      </w:r>
      <w:r w:rsidRPr="00310E7E">
        <w:rPr>
          <w:rFonts w:ascii="Times New Roman" w:hAnsi="Times New Roman"/>
          <w:noProof/>
          <w:szCs w:val="24"/>
        </w:rPr>
        <w:t xml:space="preserve">, 145. </w:t>
      </w:r>
      <w:hyperlink r:id="rId698" w:history="1">
        <w:r w:rsidRPr="00670BDA">
          <w:rPr>
            <w:rStyle w:val="Hyperlink"/>
            <w:rFonts w:ascii="Times New Roman" w:hAnsi="Times New Roman"/>
            <w:noProof/>
            <w:szCs w:val="24"/>
          </w:rPr>
          <w:t>https://doi.org/10.3389/fbioe.2020.00145</w:t>
        </w:r>
      </w:hyperlink>
    </w:p>
    <w:p w14:paraId="6D9A0DE7" w14:textId="6B679A7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Yan, L., Sun, P., Xu, Y., Zhang, S., Wei, W., &amp; Zhao, J. (2018). Integration of a Gold-Specific Whole E. coli Cell Sensing and Adsorption Based on BioBrick. </w:t>
      </w:r>
      <w:r w:rsidRPr="00310E7E">
        <w:rPr>
          <w:rFonts w:ascii="Times New Roman" w:hAnsi="Times New Roman"/>
          <w:i/>
          <w:iCs/>
          <w:noProof/>
          <w:szCs w:val="24"/>
        </w:rPr>
        <w:t>International Journal of Molecular Sciences</w:t>
      </w:r>
      <w:r w:rsidRPr="00310E7E">
        <w:rPr>
          <w:rFonts w:ascii="Times New Roman" w:hAnsi="Times New Roman"/>
          <w:noProof/>
          <w:szCs w:val="24"/>
        </w:rPr>
        <w:t xml:space="preserve">, </w:t>
      </w:r>
      <w:r w:rsidRPr="00310E7E">
        <w:rPr>
          <w:rFonts w:ascii="Times New Roman" w:hAnsi="Times New Roman"/>
          <w:i/>
          <w:iCs/>
          <w:noProof/>
          <w:szCs w:val="24"/>
        </w:rPr>
        <w:t>19</w:t>
      </w:r>
      <w:r w:rsidRPr="00310E7E">
        <w:rPr>
          <w:rFonts w:ascii="Times New Roman" w:hAnsi="Times New Roman"/>
          <w:noProof/>
          <w:szCs w:val="24"/>
        </w:rPr>
        <w:t xml:space="preserve">(12), 3741. </w:t>
      </w:r>
      <w:hyperlink r:id="rId699" w:history="1">
        <w:r w:rsidRPr="00670BDA">
          <w:rPr>
            <w:rStyle w:val="Hyperlink"/>
            <w:rFonts w:ascii="Times New Roman" w:hAnsi="Times New Roman"/>
            <w:noProof/>
            <w:szCs w:val="24"/>
          </w:rPr>
          <w:t>https://doi.org/10.3390/ijms19123741</w:t>
        </w:r>
      </w:hyperlink>
    </w:p>
    <w:p w14:paraId="4A144298" w14:textId="6FC2D590"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Yan, S., Qian, J., Cai, C., Ma, Z., Li, J., Yin, M., Ren, B., &amp; Shen, J. (2020). Spray method application of transdermal dsRNA delivery system for efficient gene silencing and pest control on soybean aphid </w:t>
      </w:r>
      <w:r w:rsidRPr="003F32D5">
        <w:rPr>
          <w:rFonts w:ascii="Times New Roman" w:hAnsi="Times New Roman"/>
          <w:i/>
          <w:iCs/>
          <w:noProof/>
          <w:szCs w:val="24"/>
        </w:rPr>
        <w:t>Aphis glycines</w:t>
      </w:r>
      <w:r w:rsidRPr="00310E7E">
        <w:rPr>
          <w:rFonts w:ascii="Times New Roman" w:hAnsi="Times New Roman"/>
          <w:noProof/>
          <w:szCs w:val="24"/>
        </w:rPr>
        <w:t xml:space="preserve">. </w:t>
      </w:r>
      <w:r w:rsidRPr="00310E7E">
        <w:rPr>
          <w:rFonts w:ascii="Times New Roman" w:hAnsi="Times New Roman"/>
          <w:i/>
          <w:iCs/>
          <w:noProof/>
          <w:szCs w:val="24"/>
        </w:rPr>
        <w:t>Journal of Pest Science</w:t>
      </w:r>
      <w:r w:rsidRPr="00310E7E">
        <w:rPr>
          <w:rFonts w:ascii="Times New Roman" w:hAnsi="Times New Roman"/>
          <w:noProof/>
          <w:szCs w:val="24"/>
        </w:rPr>
        <w:t xml:space="preserve">, </w:t>
      </w:r>
      <w:r w:rsidRPr="00310E7E">
        <w:rPr>
          <w:rFonts w:ascii="Times New Roman" w:hAnsi="Times New Roman"/>
          <w:i/>
          <w:iCs/>
          <w:noProof/>
          <w:szCs w:val="24"/>
        </w:rPr>
        <w:t>93</w:t>
      </w:r>
      <w:r w:rsidRPr="00310E7E">
        <w:rPr>
          <w:rFonts w:ascii="Times New Roman" w:hAnsi="Times New Roman"/>
          <w:noProof/>
          <w:szCs w:val="24"/>
        </w:rPr>
        <w:t xml:space="preserve">(1), 449–459. </w:t>
      </w:r>
      <w:hyperlink r:id="rId700" w:history="1">
        <w:r w:rsidRPr="003F32D5">
          <w:rPr>
            <w:rStyle w:val="Hyperlink"/>
            <w:rFonts w:ascii="Times New Roman" w:hAnsi="Times New Roman"/>
            <w:noProof/>
            <w:szCs w:val="24"/>
          </w:rPr>
          <w:t>https://doi.org/10.1007/s10340-019-01157-x</w:t>
        </w:r>
      </w:hyperlink>
    </w:p>
    <w:p w14:paraId="064B8C60" w14:textId="62EF6875"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Yang, K. K., Wu, Z., &amp; Arnold, F. H. (2019). Machine-learning-guided directed evolution for protein engineering. In </w:t>
      </w:r>
      <w:r w:rsidRPr="00310E7E">
        <w:rPr>
          <w:rFonts w:ascii="Times New Roman" w:hAnsi="Times New Roman"/>
          <w:i/>
          <w:iCs/>
          <w:noProof/>
          <w:szCs w:val="24"/>
        </w:rPr>
        <w:t>Nature Methods</w:t>
      </w:r>
      <w:r w:rsidRPr="00310E7E">
        <w:rPr>
          <w:rFonts w:ascii="Times New Roman" w:hAnsi="Times New Roman"/>
          <w:noProof/>
          <w:szCs w:val="24"/>
        </w:rPr>
        <w:t xml:space="preserve"> (Vol. 16, Issue 8, pp. 687–694). Nature Publishing Group. </w:t>
      </w:r>
      <w:hyperlink r:id="rId701" w:history="1">
        <w:r w:rsidRPr="003F32D5">
          <w:rPr>
            <w:rStyle w:val="Hyperlink"/>
            <w:rFonts w:ascii="Times New Roman" w:hAnsi="Times New Roman"/>
            <w:noProof/>
            <w:szCs w:val="24"/>
          </w:rPr>
          <w:t>https://doi.org/10.1038/s41592-019-0496-6</w:t>
        </w:r>
      </w:hyperlink>
    </w:p>
    <w:p w14:paraId="1B54F979" w14:textId="3607F592"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Yang, Z., Han, Y., Ma, Y., Chen, Q., Zhan, Y., Lu, W., Cai, L., Hou, M., Chen, S., Yan, Y., &amp; Lin, M. (2018). Global investigation of an engineered nitrogen-fixing</w:t>
      </w:r>
      <w:r w:rsidRPr="003F32D5">
        <w:rPr>
          <w:rFonts w:ascii="Times New Roman" w:hAnsi="Times New Roman"/>
          <w:i/>
          <w:iCs/>
          <w:noProof/>
          <w:szCs w:val="24"/>
        </w:rPr>
        <w:t xml:space="preserve"> Escherichia coli</w:t>
      </w:r>
      <w:r w:rsidRPr="00310E7E">
        <w:rPr>
          <w:rFonts w:ascii="Times New Roman" w:hAnsi="Times New Roman"/>
          <w:noProof/>
          <w:szCs w:val="24"/>
        </w:rPr>
        <w:t xml:space="preserve"> strain reveals regulatory coupling between host and heterologous nitrogen-fixation genes. </w:t>
      </w:r>
      <w:r w:rsidRPr="00310E7E">
        <w:rPr>
          <w:rFonts w:ascii="Times New Roman" w:hAnsi="Times New Roman"/>
          <w:i/>
          <w:iCs/>
          <w:noProof/>
          <w:szCs w:val="24"/>
        </w:rPr>
        <w:t>Scientific Reports</w:t>
      </w:r>
      <w:r w:rsidRPr="00310E7E">
        <w:rPr>
          <w:rFonts w:ascii="Times New Roman" w:hAnsi="Times New Roman"/>
          <w:noProof/>
          <w:szCs w:val="24"/>
        </w:rPr>
        <w:t xml:space="preserve">, </w:t>
      </w:r>
      <w:r w:rsidRPr="00310E7E">
        <w:rPr>
          <w:rFonts w:ascii="Times New Roman" w:hAnsi="Times New Roman"/>
          <w:i/>
          <w:iCs/>
          <w:noProof/>
          <w:szCs w:val="24"/>
        </w:rPr>
        <w:t>8</w:t>
      </w:r>
      <w:r w:rsidRPr="00310E7E">
        <w:rPr>
          <w:rFonts w:ascii="Times New Roman" w:hAnsi="Times New Roman"/>
          <w:noProof/>
          <w:szCs w:val="24"/>
        </w:rPr>
        <w:t xml:space="preserve">(1), 10928. </w:t>
      </w:r>
      <w:hyperlink r:id="rId702" w:history="1">
        <w:r w:rsidRPr="003F32D5">
          <w:rPr>
            <w:rStyle w:val="Hyperlink"/>
            <w:rFonts w:ascii="Times New Roman" w:hAnsi="Times New Roman"/>
            <w:noProof/>
            <w:szCs w:val="24"/>
          </w:rPr>
          <w:t>https://doi.org/10.1038/s41598-018-29204-0</w:t>
        </w:r>
      </w:hyperlink>
    </w:p>
    <w:p w14:paraId="25F34C15" w14:textId="01C2B18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Yau, Y.-Y., &amp; Stewart, C. N. (2013). Less is more: strategies to remove marker genes from transgenic plants. </w:t>
      </w:r>
      <w:r w:rsidRPr="00310E7E">
        <w:rPr>
          <w:rFonts w:ascii="Times New Roman" w:hAnsi="Times New Roman"/>
          <w:i/>
          <w:iCs/>
          <w:noProof/>
          <w:szCs w:val="24"/>
        </w:rPr>
        <w:t>BMC Biotechnology</w:t>
      </w:r>
      <w:r w:rsidRPr="00310E7E">
        <w:rPr>
          <w:rFonts w:ascii="Times New Roman" w:hAnsi="Times New Roman"/>
          <w:noProof/>
          <w:szCs w:val="24"/>
        </w:rPr>
        <w:t xml:space="preserve">, </w:t>
      </w:r>
      <w:r w:rsidRPr="00310E7E">
        <w:rPr>
          <w:rFonts w:ascii="Times New Roman" w:hAnsi="Times New Roman"/>
          <w:i/>
          <w:iCs/>
          <w:noProof/>
          <w:szCs w:val="24"/>
        </w:rPr>
        <w:t>13</w:t>
      </w:r>
      <w:r w:rsidRPr="00310E7E">
        <w:rPr>
          <w:rFonts w:ascii="Times New Roman" w:hAnsi="Times New Roman"/>
          <w:noProof/>
          <w:szCs w:val="24"/>
        </w:rPr>
        <w:t xml:space="preserve">(1), 36. </w:t>
      </w:r>
      <w:hyperlink r:id="rId703" w:history="1">
        <w:r w:rsidRPr="003F32D5">
          <w:rPr>
            <w:rStyle w:val="Hyperlink"/>
            <w:rFonts w:ascii="Times New Roman" w:hAnsi="Times New Roman"/>
            <w:noProof/>
            <w:szCs w:val="24"/>
          </w:rPr>
          <w:t>https://doi.org/10.1186/1472-6750-13-36</w:t>
        </w:r>
      </w:hyperlink>
    </w:p>
    <w:p w14:paraId="01BA9328" w14:textId="57E38CD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Yim, S. S., McBee, R. M., Song, A. M., Huang, Y., Sheth, R. U., &amp; Wang, H. H. (2021). Robust direct digital-to-biological data storage in living cells. </w:t>
      </w:r>
      <w:r w:rsidRPr="00310E7E">
        <w:rPr>
          <w:rFonts w:ascii="Times New Roman" w:hAnsi="Times New Roman"/>
          <w:i/>
          <w:iCs/>
          <w:noProof/>
          <w:szCs w:val="24"/>
        </w:rPr>
        <w:t>Nature Chemical Biology</w:t>
      </w:r>
      <w:r w:rsidRPr="00310E7E">
        <w:rPr>
          <w:rFonts w:ascii="Times New Roman" w:hAnsi="Times New Roman"/>
          <w:noProof/>
          <w:szCs w:val="24"/>
        </w:rPr>
        <w:t xml:space="preserve">, </w:t>
      </w:r>
      <w:r w:rsidRPr="00310E7E">
        <w:rPr>
          <w:rFonts w:ascii="Times New Roman" w:hAnsi="Times New Roman"/>
          <w:i/>
          <w:iCs/>
          <w:noProof/>
          <w:szCs w:val="24"/>
        </w:rPr>
        <w:t>17</w:t>
      </w:r>
      <w:r w:rsidRPr="00310E7E">
        <w:rPr>
          <w:rFonts w:ascii="Times New Roman" w:hAnsi="Times New Roman"/>
          <w:noProof/>
          <w:szCs w:val="24"/>
        </w:rPr>
        <w:t xml:space="preserve">(3), 246–253. </w:t>
      </w:r>
      <w:hyperlink r:id="rId704" w:history="1">
        <w:r w:rsidRPr="003F32D5">
          <w:rPr>
            <w:rStyle w:val="Hyperlink"/>
            <w:rFonts w:ascii="Times New Roman" w:hAnsi="Times New Roman"/>
            <w:noProof/>
            <w:szCs w:val="24"/>
          </w:rPr>
          <w:t>https://doi.org/10.1038/s41589-020-00711-4</w:t>
        </w:r>
      </w:hyperlink>
    </w:p>
    <w:p w14:paraId="6DAC0A9E" w14:textId="44830EAC"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Zeng, Q., Qiu, F., &amp; Yuan, L. (2008). Production of artemisinin by genetically-modified microbes. In </w:t>
      </w:r>
      <w:r w:rsidRPr="00310E7E">
        <w:rPr>
          <w:rFonts w:ascii="Times New Roman" w:hAnsi="Times New Roman"/>
          <w:i/>
          <w:iCs/>
          <w:noProof/>
          <w:szCs w:val="24"/>
        </w:rPr>
        <w:t>Biotechnology Letters</w:t>
      </w:r>
      <w:r w:rsidRPr="00310E7E">
        <w:rPr>
          <w:rFonts w:ascii="Times New Roman" w:hAnsi="Times New Roman"/>
          <w:noProof/>
          <w:szCs w:val="24"/>
        </w:rPr>
        <w:t xml:space="preserve"> (Vol. 30, Issue 4, pp. 581–592). Biotechnol Lett. </w:t>
      </w:r>
      <w:hyperlink r:id="rId705" w:history="1">
        <w:r w:rsidRPr="003F32D5">
          <w:rPr>
            <w:rStyle w:val="Hyperlink"/>
            <w:rFonts w:ascii="Times New Roman" w:hAnsi="Times New Roman"/>
            <w:noProof/>
            <w:szCs w:val="24"/>
          </w:rPr>
          <w:t>https://doi.org/10.1007/s10529-007-9596-y</w:t>
        </w:r>
      </w:hyperlink>
    </w:p>
    <w:p w14:paraId="7C204C3A" w14:textId="1E202CCA"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Zentrale Kommission für die Biologische Sicherheit. (2018). </w:t>
      </w:r>
      <w:r w:rsidRPr="00310E7E">
        <w:rPr>
          <w:rFonts w:ascii="Times New Roman" w:hAnsi="Times New Roman"/>
          <w:i/>
          <w:iCs/>
          <w:noProof/>
          <w:szCs w:val="24"/>
        </w:rPr>
        <w:t>2nd Interim report of the German Central Committee on Biological Safety</w:t>
      </w:r>
      <w:r w:rsidRPr="00310E7E">
        <w:rPr>
          <w:rFonts w:ascii="Times New Roman" w:hAnsi="Times New Roman"/>
          <w:noProof/>
          <w:szCs w:val="24"/>
        </w:rPr>
        <w:t xml:space="preserve">. </w:t>
      </w:r>
      <w:hyperlink r:id="rId706" w:history="1">
        <w:r w:rsidRPr="003F32D5">
          <w:rPr>
            <w:rStyle w:val="Hyperlink"/>
            <w:rFonts w:ascii="Times New Roman" w:hAnsi="Times New Roman"/>
            <w:noProof/>
            <w:szCs w:val="24"/>
          </w:rPr>
          <w:t>https://www.zkbs-online.de/ZKBS/SharedDocs/Downloads/02_Allgemeine_Stellungnahmen_englisch/general_subjects/2nd_report_Synthetic_Biology_2018.html?nn=13046640#download=1</w:t>
        </w:r>
      </w:hyperlink>
    </w:p>
    <w:p w14:paraId="7E195583" w14:textId="0E7D5497"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Zhang, D., Hussain, A., Manghwar, H., Xie, K., Xie, S., Zhao, S., Larkin, R. M., Qing, P., Jin, S., &amp; Ding, F. (2020a). Genome editing with the CRISPR-Cas system: an art, ethics and global regulatory perspective. </w:t>
      </w:r>
      <w:r w:rsidRPr="00310E7E">
        <w:rPr>
          <w:rFonts w:ascii="Times New Roman" w:hAnsi="Times New Roman"/>
          <w:i/>
          <w:iCs/>
          <w:noProof/>
          <w:szCs w:val="24"/>
        </w:rPr>
        <w:t>Plant Biotechnology Journal</w:t>
      </w:r>
      <w:r w:rsidRPr="00310E7E">
        <w:rPr>
          <w:rFonts w:ascii="Times New Roman" w:hAnsi="Times New Roman"/>
          <w:noProof/>
          <w:szCs w:val="24"/>
        </w:rPr>
        <w:t xml:space="preserve">. </w:t>
      </w:r>
      <w:hyperlink r:id="rId707" w:history="1">
        <w:r w:rsidRPr="003F32D5">
          <w:rPr>
            <w:rStyle w:val="Hyperlink"/>
            <w:rFonts w:ascii="Times New Roman" w:hAnsi="Times New Roman"/>
            <w:noProof/>
            <w:szCs w:val="24"/>
          </w:rPr>
          <w:t>https://doi.org/10.1111/pbi.13383</w:t>
        </w:r>
      </w:hyperlink>
    </w:p>
    <w:p w14:paraId="2CF279F4" w14:textId="6C52E35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Zhang, D., Hussain, A., Manghwar, H., Xie, K., Xie, S., Zhao, S., Larkin, R. M., Qing, P., Jin, S., &amp; Ding, F. (2020b). Genome editing with the CRISPR‐Cas system: an art, ethics and global regulatory perspective. </w:t>
      </w:r>
      <w:r w:rsidRPr="00310E7E">
        <w:rPr>
          <w:rFonts w:ascii="Times New Roman" w:hAnsi="Times New Roman"/>
          <w:i/>
          <w:iCs/>
          <w:noProof/>
          <w:szCs w:val="24"/>
        </w:rPr>
        <w:t>Plant Biotechnology Journal</w:t>
      </w:r>
      <w:r w:rsidRPr="00310E7E">
        <w:rPr>
          <w:rFonts w:ascii="Times New Roman" w:hAnsi="Times New Roman"/>
          <w:noProof/>
          <w:szCs w:val="24"/>
        </w:rPr>
        <w:t xml:space="preserve">, </w:t>
      </w:r>
      <w:r w:rsidRPr="00310E7E">
        <w:rPr>
          <w:rFonts w:ascii="Times New Roman" w:hAnsi="Times New Roman"/>
          <w:i/>
          <w:iCs/>
          <w:noProof/>
          <w:szCs w:val="24"/>
        </w:rPr>
        <w:t>18</w:t>
      </w:r>
      <w:r w:rsidRPr="00310E7E">
        <w:rPr>
          <w:rFonts w:ascii="Times New Roman" w:hAnsi="Times New Roman"/>
          <w:noProof/>
          <w:szCs w:val="24"/>
        </w:rPr>
        <w:t xml:space="preserve">(8), 1651–1669. </w:t>
      </w:r>
      <w:hyperlink r:id="rId708" w:history="1">
        <w:r w:rsidRPr="003F32D5">
          <w:rPr>
            <w:rStyle w:val="Hyperlink"/>
            <w:rFonts w:ascii="Times New Roman" w:hAnsi="Times New Roman"/>
            <w:noProof/>
            <w:szCs w:val="24"/>
          </w:rPr>
          <w:t>https://doi.org/10.1111/pbi.13383</w:t>
        </w:r>
      </w:hyperlink>
    </w:p>
    <w:p w14:paraId="6D3D46C0" w14:textId="771E747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Zhang, H., Demirer, G. S., Zhang, H., Ye, T., Goh, N. S., Aditham, A. J., Cunningham, F. J., Fan, C., &amp; Landry, M. P. (2019). DNA nanostructures coordinate gene silencing in mature plants. </w:t>
      </w:r>
      <w:r w:rsidRPr="00310E7E">
        <w:rPr>
          <w:rFonts w:ascii="Times New Roman" w:hAnsi="Times New Roman"/>
          <w:i/>
          <w:iCs/>
          <w:noProof/>
          <w:szCs w:val="24"/>
        </w:rPr>
        <w:t>Proceedings of the National Academy of Sciences of the United States of America</w:t>
      </w:r>
      <w:r w:rsidRPr="00310E7E">
        <w:rPr>
          <w:rFonts w:ascii="Times New Roman" w:hAnsi="Times New Roman"/>
          <w:noProof/>
          <w:szCs w:val="24"/>
        </w:rPr>
        <w:t xml:space="preserve">, </w:t>
      </w:r>
      <w:r w:rsidRPr="00310E7E">
        <w:rPr>
          <w:rFonts w:ascii="Times New Roman" w:hAnsi="Times New Roman"/>
          <w:i/>
          <w:iCs/>
          <w:noProof/>
          <w:szCs w:val="24"/>
        </w:rPr>
        <w:t>116</w:t>
      </w:r>
      <w:r w:rsidRPr="00310E7E">
        <w:rPr>
          <w:rFonts w:ascii="Times New Roman" w:hAnsi="Times New Roman"/>
          <w:noProof/>
          <w:szCs w:val="24"/>
        </w:rPr>
        <w:t xml:space="preserve">(15), 7543–7548. </w:t>
      </w:r>
      <w:hyperlink r:id="rId709" w:history="1">
        <w:r w:rsidRPr="003F32D5">
          <w:rPr>
            <w:rStyle w:val="Hyperlink"/>
            <w:rFonts w:ascii="Times New Roman" w:hAnsi="Times New Roman"/>
            <w:noProof/>
            <w:szCs w:val="24"/>
          </w:rPr>
          <w:t>https://doi.org/10.1073/pnas.1818290116</w:t>
        </w:r>
      </w:hyperlink>
    </w:p>
    <w:p w14:paraId="62D02E08" w14:textId="67E527FF"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fr-CA"/>
        </w:rPr>
        <w:t xml:space="preserve">Zhang, N., Li, C., Hu, Y., Li, K., Liang, J., Wang, L., Du, L., &amp; Jiang, S. (2020). </w:t>
      </w:r>
      <w:r w:rsidRPr="00310E7E">
        <w:rPr>
          <w:rFonts w:ascii="Times New Roman" w:hAnsi="Times New Roman"/>
          <w:noProof/>
          <w:szCs w:val="24"/>
        </w:rPr>
        <w:t xml:space="preserve">Current development of COVID-19 diagnostics, vaccines and therapeutics. </w:t>
      </w:r>
      <w:r w:rsidRPr="00310E7E">
        <w:rPr>
          <w:rFonts w:ascii="Times New Roman" w:hAnsi="Times New Roman"/>
          <w:i/>
          <w:iCs/>
          <w:noProof/>
          <w:szCs w:val="24"/>
        </w:rPr>
        <w:t>Microbes and Infection</w:t>
      </w:r>
      <w:r w:rsidRPr="00310E7E">
        <w:rPr>
          <w:rFonts w:ascii="Times New Roman" w:hAnsi="Times New Roman"/>
          <w:noProof/>
          <w:szCs w:val="24"/>
        </w:rPr>
        <w:t xml:space="preserve">, </w:t>
      </w:r>
      <w:r w:rsidRPr="00310E7E">
        <w:rPr>
          <w:rFonts w:ascii="Times New Roman" w:hAnsi="Times New Roman"/>
          <w:i/>
          <w:iCs/>
          <w:noProof/>
          <w:szCs w:val="24"/>
        </w:rPr>
        <w:t>22</w:t>
      </w:r>
      <w:r w:rsidRPr="00310E7E">
        <w:rPr>
          <w:rFonts w:ascii="Times New Roman" w:hAnsi="Times New Roman"/>
          <w:noProof/>
          <w:szCs w:val="24"/>
        </w:rPr>
        <w:t xml:space="preserve">(6–7), 231–235. </w:t>
      </w:r>
      <w:hyperlink r:id="rId710" w:history="1">
        <w:r w:rsidRPr="003F32D5">
          <w:rPr>
            <w:rStyle w:val="Hyperlink"/>
            <w:rFonts w:ascii="Times New Roman" w:hAnsi="Times New Roman"/>
            <w:noProof/>
            <w:szCs w:val="24"/>
          </w:rPr>
          <w:t>https://doi.org/10.1016/j.micinf.2020.05.001</w:t>
        </w:r>
      </w:hyperlink>
    </w:p>
    <w:p w14:paraId="6782D387" w14:textId="6CBC950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Zhang, X., Lin, Y., Wu, Q., Wang, Y., &amp; Chen, G. Q. (2020). Synthetic Biology and Genome-Editing Tools for Improving PHA Metabolic Engineering. In </w:t>
      </w:r>
      <w:r w:rsidRPr="00310E7E">
        <w:rPr>
          <w:rFonts w:ascii="Times New Roman" w:hAnsi="Times New Roman"/>
          <w:i/>
          <w:iCs/>
          <w:noProof/>
          <w:szCs w:val="24"/>
        </w:rPr>
        <w:t>Trends in Biotechnology</w:t>
      </w:r>
      <w:r w:rsidRPr="00310E7E">
        <w:rPr>
          <w:rFonts w:ascii="Times New Roman" w:hAnsi="Times New Roman"/>
          <w:noProof/>
          <w:szCs w:val="24"/>
        </w:rPr>
        <w:t xml:space="preserve"> (Vol. 38, Issue 7, pp. 689–700). Elsevier Ltd. </w:t>
      </w:r>
      <w:hyperlink r:id="rId711" w:history="1">
        <w:r w:rsidRPr="003F32D5">
          <w:rPr>
            <w:rStyle w:val="Hyperlink"/>
            <w:rFonts w:ascii="Times New Roman" w:hAnsi="Times New Roman"/>
            <w:noProof/>
            <w:szCs w:val="24"/>
          </w:rPr>
          <w:t>https://doi.org/10.1016/j.tibtech.2019.10.006</w:t>
        </w:r>
      </w:hyperlink>
    </w:p>
    <w:p w14:paraId="20F9CE17" w14:textId="132C2D51"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Zhang, Yong, Zhang, F., Li, X., Baller, J. A., Qi, Y., Starker, C. G., Bogdanove, A. J., &amp; Voytas, D. F. (2013). Transcription activator-like effector nucleases enable efficient plant genome engineering. </w:t>
      </w:r>
      <w:r w:rsidRPr="00310E7E">
        <w:rPr>
          <w:rFonts w:ascii="Times New Roman" w:hAnsi="Times New Roman"/>
          <w:i/>
          <w:iCs/>
          <w:noProof/>
          <w:szCs w:val="24"/>
        </w:rPr>
        <w:t>Plant Physiology</w:t>
      </w:r>
      <w:r w:rsidRPr="00310E7E">
        <w:rPr>
          <w:rFonts w:ascii="Times New Roman" w:hAnsi="Times New Roman"/>
          <w:noProof/>
          <w:szCs w:val="24"/>
        </w:rPr>
        <w:t xml:space="preserve">, </w:t>
      </w:r>
      <w:r w:rsidRPr="00310E7E">
        <w:rPr>
          <w:rFonts w:ascii="Times New Roman" w:hAnsi="Times New Roman"/>
          <w:i/>
          <w:iCs/>
          <w:noProof/>
          <w:szCs w:val="24"/>
        </w:rPr>
        <w:t>161</w:t>
      </w:r>
      <w:r w:rsidRPr="00310E7E">
        <w:rPr>
          <w:rFonts w:ascii="Times New Roman" w:hAnsi="Times New Roman"/>
          <w:noProof/>
          <w:szCs w:val="24"/>
        </w:rPr>
        <w:t xml:space="preserve">(1), 20–27. </w:t>
      </w:r>
      <w:hyperlink r:id="rId712" w:history="1">
        <w:r w:rsidRPr="003F32D5">
          <w:rPr>
            <w:rStyle w:val="Hyperlink"/>
            <w:rFonts w:ascii="Times New Roman" w:hAnsi="Times New Roman"/>
            <w:noProof/>
            <w:szCs w:val="24"/>
          </w:rPr>
          <w:t>https://doi.org/10.1104/pp.112.205179</w:t>
        </w:r>
      </w:hyperlink>
    </w:p>
    <w:p w14:paraId="2A641F59" w14:textId="7EC54BBE"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Zhang, Yorke, Lamb, B. M., Feldman, A. W., Zhou, A. X., Lavergne, T., Li, L., &amp; Romesberg, F. E. (2017). A semisynthetic organism engineered for the stable expansion of the genetic alphabet. </w:t>
      </w:r>
      <w:r w:rsidRPr="00310E7E">
        <w:rPr>
          <w:rFonts w:ascii="Times New Roman" w:hAnsi="Times New Roman"/>
          <w:i/>
          <w:iCs/>
          <w:noProof/>
          <w:szCs w:val="24"/>
        </w:rPr>
        <w:t>Proceedings of the National Academy of Sciences</w:t>
      </w:r>
      <w:r w:rsidRPr="00310E7E">
        <w:rPr>
          <w:rFonts w:ascii="Times New Roman" w:hAnsi="Times New Roman"/>
          <w:noProof/>
          <w:szCs w:val="24"/>
        </w:rPr>
        <w:t xml:space="preserve">, </w:t>
      </w:r>
      <w:r w:rsidRPr="00310E7E">
        <w:rPr>
          <w:rFonts w:ascii="Times New Roman" w:hAnsi="Times New Roman"/>
          <w:i/>
          <w:iCs/>
          <w:noProof/>
          <w:szCs w:val="24"/>
        </w:rPr>
        <w:t>114</w:t>
      </w:r>
      <w:r w:rsidRPr="00310E7E">
        <w:rPr>
          <w:rFonts w:ascii="Times New Roman" w:hAnsi="Times New Roman"/>
          <w:noProof/>
          <w:szCs w:val="24"/>
        </w:rPr>
        <w:t xml:space="preserve">(6), 1317–1322. </w:t>
      </w:r>
      <w:hyperlink r:id="rId713" w:history="1">
        <w:r w:rsidRPr="003F32D5">
          <w:rPr>
            <w:rStyle w:val="Hyperlink"/>
            <w:rFonts w:ascii="Times New Roman" w:hAnsi="Times New Roman"/>
            <w:noProof/>
            <w:szCs w:val="24"/>
          </w:rPr>
          <w:t>https://doi.org/10.1073/pnas.1616443114</w:t>
        </w:r>
      </w:hyperlink>
    </w:p>
    <w:p w14:paraId="5E136EC0" w14:textId="304EFB0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Zhao, H., &amp; Wolt, J. D. (2017). Risk associated with off-target plant genome editing and methods for its limitation. In </w:t>
      </w:r>
      <w:r w:rsidRPr="00310E7E">
        <w:rPr>
          <w:rFonts w:ascii="Times New Roman" w:hAnsi="Times New Roman"/>
          <w:i/>
          <w:iCs/>
          <w:noProof/>
          <w:szCs w:val="24"/>
        </w:rPr>
        <w:t>Emerging Topics in Life Sciences</w:t>
      </w:r>
      <w:r w:rsidRPr="00310E7E">
        <w:rPr>
          <w:rFonts w:ascii="Times New Roman" w:hAnsi="Times New Roman"/>
          <w:noProof/>
          <w:szCs w:val="24"/>
        </w:rPr>
        <w:t xml:space="preserve"> (Vol. 1, Issue 2, pp. 231–240). Portland Press Ltd. </w:t>
      </w:r>
      <w:hyperlink r:id="rId714" w:history="1">
        <w:r w:rsidRPr="003F32D5">
          <w:rPr>
            <w:rStyle w:val="Hyperlink"/>
            <w:rFonts w:ascii="Times New Roman" w:hAnsi="Times New Roman"/>
            <w:noProof/>
            <w:szCs w:val="24"/>
          </w:rPr>
          <w:t>https://doi.org/10.1042/ETLS20170037</w:t>
        </w:r>
      </w:hyperlink>
    </w:p>
    <w:p w14:paraId="2A8C984A" w14:textId="7C477523"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fr-CA"/>
        </w:rPr>
        <w:t xml:space="preserve">Zhou, R., Bhuiya, M. W., Cai, X., Yu, X., &amp; Eilerman, R. G. (2014). </w:t>
      </w:r>
      <w:r w:rsidRPr="00310E7E">
        <w:rPr>
          <w:rFonts w:ascii="Times New Roman" w:hAnsi="Times New Roman"/>
          <w:i/>
          <w:iCs/>
          <w:noProof/>
          <w:szCs w:val="24"/>
        </w:rPr>
        <w:t>Methods of making vanillin via microbial fermentation utilizing ferulic acid provided by a modified caffeic acid 3-o-methyltransferase, WO2014106189A2</w:t>
      </w:r>
      <w:r w:rsidRPr="00310E7E">
        <w:rPr>
          <w:rFonts w:ascii="Times New Roman" w:hAnsi="Times New Roman"/>
          <w:noProof/>
          <w:szCs w:val="24"/>
        </w:rPr>
        <w:t xml:space="preserve"> (Vol. 5, Issue 12). </w:t>
      </w:r>
      <w:hyperlink r:id="rId715" w:history="1">
        <w:r w:rsidRPr="003F32D5">
          <w:rPr>
            <w:rStyle w:val="Hyperlink"/>
            <w:rFonts w:ascii="Times New Roman" w:hAnsi="Times New Roman"/>
            <w:noProof/>
            <w:szCs w:val="24"/>
          </w:rPr>
          <w:t>https://patents.google.com/patent/WO2014106189A2</w:t>
        </w:r>
      </w:hyperlink>
    </w:p>
    <w:p w14:paraId="6EBB0EDE" w14:textId="5A65BF26"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310E7E">
        <w:rPr>
          <w:rFonts w:ascii="Times New Roman" w:hAnsi="Times New Roman"/>
          <w:noProof/>
          <w:szCs w:val="24"/>
        </w:rPr>
        <w:t xml:space="preserve">Zhou, X., Franklin, R. A., Adler, M., Jacox, J. B., Bailis, W., Shyer, J. A., Flavell, R. A., Mayo, A., Alon, U., &amp; Medzhitov, R. (2018). Circuit Design Features of a Stable Two-Cell System. </w:t>
      </w:r>
      <w:r w:rsidRPr="00310E7E">
        <w:rPr>
          <w:rFonts w:ascii="Times New Roman" w:hAnsi="Times New Roman"/>
          <w:i/>
          <w:iCs/>
          <w:noProof/>
          <w:szCs w:val="24"/>
        </w:rPr>
        <w:t>Cell</w:t>
      </w:r>
      <w:r w:rsidRPr="00310E7E">
        <w:rPr>
          <w:rFonts w:ascii="Times New Roman" w:hAnsi="Times New Roman"/>
          <w:noProof/>
          <w:szCs w:val="24"/>
        </w:rPr>
        <w:t xml:space="preserve">, </w:t>
      </w:r>
      <w:r w:rsidRPr="00310E7E">
        <w:rPr>
          <w:rFonts w:ascii="Times New Roman" w:hAnsi="Times New Roman"/>
          <w:i/>
          <w:iCs/>
          <w:noProof/>
          <w:szCs w:val="24"/>
        </w:rPr>
        <w:t>172</w:t>
      </w:r>
      <w:r w:rsidRPr="00310E7E">
        <w:rPr>
          <w:rFonts w:ascii="Times New Roman" w:hAnsi="Times New Roman"/>
          <w:noProof/>
          <w:szCs w:val="24"/>
        </w:rPr>
        <w:t xml:space="preserve">(4), 744-757.e17. </w:t>
      </w:r>
      <w:hyperlink r:id="rId716" w:history="1">
        <w:r w:rsidRPr="003F32D5">
          <w:rPr>
            <w:rStyle w:val="Hyperlink"/>
            <w:rFonts w:ascii="Times New Roman" w:hAnsi="Times New Roman"/>
            <w:noProof/>
            <w:szCs w:val="24"/>
          </w:rPr>
          <w:t>https://doi.org/10.1016/j.cell.2018.01.015</w:t>
        </w:r>
      </w:hyperlink>
    </w:p>
    <w:p w14:paraId="19365F80" w14:textId="2AE45618"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szCs w:val="24"/>
        </w:rPr>
      </w:pPr>
      <w:r w:rsidRPr="00F8168D">
        <w:rPr>
          <w:rFonts w:ascii="Times New Roman" w:hAnsi="Times New Roman"/>
          <w:noProof/>
          <w:szCs w:val="24"/>
          <w:lang w:val="fr-CA"/>
        </w:rPr>
        <w:t xml:space="preserve">Zhu, H., Li, C., &amp; Gao, C. (2020). </w:t>
      </w:r>
      <w:r w:rsidRPr="00310E7E">
        <w:rPr>
          <w:rFonts w:ascii="Times New Roman" w:hAnsi="Times New Roman"/>
          <w:noProof/>
          <w:szCs w:val="24"/>
        </w:rPr>
        <w:t xml:space="preserve">Applications of CRISPR–Cas in agriculture and plant biotechnology. </w:t>
      </w:r>
      <w:r w:rsidRPr="00310E7E">
        <w:rPr>
          <w:rFonts w:ascii="Times New Roman" w:hAnsi="Times New Roman"/>
          <w:i/>
          <w:iCs/>
          <w:noProof/>
          <w:szCs w:val="24"/>
        </w:rPr>
        <w:t>Nature Reviews Molecular Cell Biology</w:t>
      </w:r>
      <w:r w:rsidRPr="00310E7E">
        <w:rPr>
          <w:rFonts w:ascii="Times New Roman" w:hAnsi="Times New Roman"/>
          <w:noProof/>
          <w:szCs w:val="24"/>
        </w:rPr>
        <w:t xml:space="preserve">, </w:t>
      </w:r>
      <w:r w:rsidRPr="00310E7E">
        <w:rPr>
          <w:rFonts w:ascii="Times New Roman" w:hAnsi="Times New Roman"/>
          <w:i/>
          <w:iCs/>
          <w:noProof/>
          <w:szCs w:val="24"/>
        </w:rPr>
        <w:t>21</w:t>
      </w:r>
      <w:r w:rsidRPr="00310E7E">
        <w:rPr>
          <w:rFonts w:ascii="Times New Roman" w:hAnsi="Times New Roman"/>
          <w:noProof/>
          <w:szCs w:val="24"/>
        </w:rPr>
        <w:t xml:space="preserve">(11), 661–677. </w:t>
      </w:r>
      <w:hyperlink r:id="rId717" w:history="1">
        <w:r w:rsidRPr="003F32D5">
          <w:rPr>
            <w:rStyle w:val="Hyperlink"/>
            <w:rFonts w:ascii="Times New Roman" w:hAnsi="Times New Roman"/>
            <w:noProof/>
            <w:szCs w:val="24"/>
          </w:rPr>
          <w:t>https://doi.org/10.1038/s41580-020-00288-9</w:t>
        </w:r>
      </w:hyperlink>
    </w:p>
    <w:p w14:paraId="55FA66EC" w14:textId="0EFEEB5D" w:rsidR="00310E7E" w:rsidRPr="00F8168D" w:rsidRDefault="00310E7E" w:rsidP="00310E7E">
      <w:pPr>
        <w:widowControl w:val="0"/>
        <w:autoSpaceDE w:val="0"/>
        <w:autoSpaceDN w:val="0"/>
        <w:adjustRightInd w:val="0"/>
        <w:spacing w:after="140" w:line="240" w:lineRule="auto"/>
        <w:ind w:left="480" w:hanging="480"/>
        <w:rPr>
          <w:rFonts w:ascii="Times New Roman" w:hAnsi="Times New Roman"/>
          <w:noProof/>
          <w:szCs w:val="24"/>
          <w:lang w:val="fr-CA"/>
        </w:rPr>
      </w:pPr>
      <w:r w:rsidRPr="00310E7E">
        <w:rPr>
          <w:rFonts w:ascii="Times New Roman" w:hAnsi="Times New Roman"/>
          <w:noProof/>
          <w:szCs w:val="24"/>
        </w:rPr>
        <w:t xml:space="preserve">Zotti, M., dos Santos, E. A., Cagliari, D., Christiaens, O., Taning, C. N. T., &amp; Smagghe, G. (2018). RNA interference technology in crop protection against arthropod pests, pathogens and nematodes. </w:t>
      </w:r>
      <w:r w:rsidRPr="00F8168D">
        <w:rPr>
          <w:rFonts w:ascii="Times New Roman" w:hAnsi="Times New Roman"/>
          <w:i/>
          <w:iCs/>
          <w:noProof/>
          <w:szCs w:val="24"/>
          <w:lang w:val="fr-CA"/>
        </w:rPr>
        <w:t>Pest Management Science</w:t>
      </w:r>
      <w:r w:rsidRPr="00F8168D">
        <w:rPr>
          <w:rFonts w:ascii="Times New Roman" w:hAnsi="Times New Roman"/>
          <w:noProof/>
          <w:szCs w:val="24"/>
          <w:lang w:val="fr-CA"/>
        </w:rPr>
        <w:t xml:space="preserve">, </w:t>
      </w:r>
      <w:r w:rsidRPr="00F8168D">
        <w:rPr>
          <w:rFonts w:ascii="Times New Roman" w:hAnsi="Times New Roman"/>
          <w:i/>
          <w:iCs/>
          <w:noProof/>
          <w:szCs w:val="24"/>
          <w:lang w:val="fr-CA"/>
        </w:rPr>
        <w:t>74</w:t>
      </w:r>
      <w:r w:rsidRPr="00F8168D">
        <w:rPr>
          <w:rFonts w:ascii="Times New Roman" w:hAnsi="Times New Roman"/>
          <w:noProof/>
          <w:szCs w:val="24"/>
          <w:lang w:val="fr-CA"/>
        </w:rPr>
        <w:t xml:space="preserve">(6), 1239–1250. </w:t>
      </w:r>
      <w:hyperlink r:id="rId718" w:history="1">
        <w:r w:rsidRPr="00F8168D">
          <w:rPr>
            <w:rStyle w:val="Hyperlink"/>
            <w:rFonts w:ascii="Times New Roman" w:hAnsi="Times New Roman"/>
            <w:noProof/>
            <w:szCs w:val="24"/>
            <w:lang w:val="fr-CA"/>
          </w:rPr>
          <w:t>https://doi.org/10.1002/ps.4813</w:t>
        </w:r>
      </w:hyperlink>
    </w:p>
    <w:p w14:paraId="024B5922" w14:textId="06B2B8B9" w:rsidR="00310E7E" w:rsidRPr="00310E7E" w:rsidRDefault="00310E7E" w:rsidP="00310E7E">
      <w:pPr>
        <w:widowControl w:val="0"/>
        <w:autoSpaceDE w:val="0"/>
        <w:autoSpaceDN w:val="0"/>
        <w:adjustRightInd w:val="0"/>
        <w:spacing w:after="140" w:line="240" w:lineRule="auto"/>
        <w:ind w:left="480" w:hanging="480"/>
        <w:rPr>
          <w:rFonts w:ascii="Times New Roman" w:hAnsi="Times New Roman"/>
          <w:noProof/>
        </w:rPr>
      </w:pPr>
      <w:r w:rsidRPr="00F8168D">
        <w:rPr>
          <w:rFonts w:ascii="Times New Roman" w:hAnsi="Times New Roman"/>
          <w:noProof/>
          <w:szCs w:val="24"/>
          <w:lang w:val="fr-CA"/>
        </w:rPr>
        <w:t xml:space="preserve">Zsögön, A., Čermák, T., Naves, E. R., Notini, M. M., Edel, K. H., Weinl, S., Freschi, L., Voytas, D. F., Kudla, J., &amp; Peres, L. E. P. (2018). </w:t>
      </w:r>
      <w:r w:rsidRPr="003F32D5">
        <w:rPr>
          <w:rFonts w:ascii="Times New Roman" w:hAnsi="Times New Roman"/>
          <w:i/>
          <w:iCs/>
          <w:noProof/>
          <w:szCs w:val="24"/>
        </w:rPr>
        <w:t>De novo</w:t>
      </w:r>
      <w:r w:rsidRPr="00310E7E">
        <w:rPr>
          <w:rFonts w:ascii="Times New Roman" w:hAnsi="Times New Roman"/>
          <w:noProof/>
          <w:szCs w:val="24"/>
        </w:rPr>
        <w:t xml:space="preserve"> domestication of wild tomato using genome editing. </w:t>
      </w:r>
      <w:r w:rsidRPr="00310E7E">
        <w:rPr>
          <w:rFonts w:ascii="Times New Roman" w:hAnsi="Times New Roman"/>
          <w:i/>
          <w:iCs/>
          <w:noProof/>
          <w:szCs w:val="24"/>
        </w:rPr>
        <w:t>Nature Biotechnology</w:t>
      </w:r>
      <w:r w:rsidRPr="00310E7E">
        <w:rPr>
          <w:rFonts w:ascii="Times New Roman" w:hAnsi="Times New Roman"/>
          <w:noProof/>
          <w:szCs w:val="24"/>
        </w:rPr>
        <w:t xml:space="preserve">, </w:t>
      </w:r>
      <w:r w:rsidRPr="00310E7E">
        <w:rPr>
          <w:rFonts w:ascii="Times New Roman" w:hAnsi="Times New Roman"/>
          <w:i/>
          <w:iCs/>
          <w:noProof/>
          <w:szCs w:val="24"/>
        </w:rPr>
        <w:t>36</w:t>
      </w:r>
      <w:r w:rsidRPr="00310E7E">
        <w:rPr>
          <w:rFonts w:ascii="Times New Roman" w:hAnsi="Times New Roman"/>
          <w:noProof/>
          <w:szCs w:val="24"/>
        </w:rPr>
        <w:t xml:space="preserve">(12), 1211–1216. </w:t>
      </w:r>
      <w:hyperlink r:id="rId719" w:history="1">
        <w:r w:rsidRPr="003F32D5">
          <w:rPr>
            <w:rStyle w:val="Hyperlink"/>
            <w:rFonts w:ascii="Times New Roman" w:hAnsi="Times New Roman"/>
            <w:noProof/>
            <w:szCs w:val="24"/>
          </w:rPr>
          <w:t>https://doi.org/10.1038/nbt.4272</w:t>
        </w:r>
      </w:hyperlink>
    </w:p>
    <w:p w14:paraId="1AB3B598" w14:textId="1FA72853" w:rsidR="00DA5126" w:rsidRPr="008805B8" w:rsidRDefault="00DA5126" w:rsidP="00310E7E">
      <w:pPr>
        <w:widowControl w:val="0"/>
        <w:autoSpaceDE w:val="0"/>
        <w:autoSpaceDN w:val="0"/>
        <w:adjustRightInd w:val="0"/>
        <w:spacing w:after="140" w:line="240" w:lineRule="auto"/>
        <w:ind w:left="480" w:hanging="480"/>
        <w:rPr>
          <w:rFonts w:ascii="Times New Roman" w:hAnsi="Times New Roman"/>
          <w:kern w:val="22"/>
          <w:u w:val="single"/>
        </w:rPr>
      </w:pPr>
      <w:r>
        <w:rPr>
          <w:rFonts w:ascii="Times New Roman" w:hAnsi="Times New Roman"/>
          <w:kern w:val="22"/>
          <w:u w:val="single"/>
        </w:rPr>
        <w:fldChar w:fldCharType="end"/>
      </w:r>
    </w:p>
    <w:sectPr w:rsidR="00DA5126" w:rsidRPr="008805B8" w:rsidSect="004D70EC">
      <w:headerReference w:type="default" r:id="rId720"/>
      <w:footerReference w:type="first" r:id="rId721"/>
      <w:pgSz w:w="12240" w:h="15840"/>
      <w:pgMar w:top="1021" w:right="1440" w:bottom="1134" w:left="1440" w:header="454"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9C3B60" w14:textId="77777777" w:rsidR="00B6010A" w:rsidRDefault="00B6010A" w:rsidP="00A268DA">
      <w:pPr>
        <w:spacing w:after="0" w:line="240" w:lineRule="auto"/>
      </w:pPr>
      <w:r>
        <w:separator/>
      </w:r>
    </w:p>
  </w:endnote>
  <w:endnote w:type="continuationSeparator" w:id="0">
    <w:p w14:paraId="5C031395" w14:textId="77777777" w:rsidR="00B6010A" w:rsidRDefault="00B6010A" w:rsidP="00A268DA">
      <w:pPr>
        <w:spacing w:after="0" w:line="240" w:lineRule="auto"/>
      </w:pPr>
      <w:r>
        <w:continuationSeparator/>
      </w:r>
    </w:p>
  </w:endnote>
  <w:endnote w:type="continuationNotice" w:id="1">
    <w:p w14:paraId="6051BD2D" w14:textId="77777777" w:rsidR="00B6010A" w:rsidRDefault="00B601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Glosa Math Roman">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NSimSun">
    <w:panose1 w:val="02010609030101010101"/>
    <w:charset w:val="86"/>
    <w:family w:val="modern"/>
    <w:pitch w:val="fixed"/>
    <w:sig w:usb0="00000283" w:usb1="288F0000" w:usb2="00000016" w:usb3="00000000" w:csb0="00040001" w:csb1="00000000"/>
  </w:font>
  <w:font w:name="Minion Pro">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ofia Pro Light">
    <w:altName w:val="Calibri"/>
    <w:charset w:val="00"/>
    <w:family w:val="swiss"/>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00675A50" w14:paraId="1E2E1433" w14:textId="77777777" w:rsidTr="008805B8">
      <w:tc>
        <w:tcPr>
          <w:tcW w:w="3120" w:type="dxa"/>
        </w:tcPr>
        <w:p w14:paraId="5C2B46D8" w14:textId="6CB9B45D" w:rsidR="00675A50" w:rsidRDefault="00675A50" w:rsidP="008805B8">
          <w:pPr>
            <w:pStyle w:val="Header"/>
            <w:ind w:left="-115"/>
            <w:jc w:val="left"/>
          </w:pPr>
        </w:p>
      </w:tc>
      <w:tc>
        <w:tcPr>
          <w:tcW w:w="3120" w:type="dxa"/>
        </w:tcPr>
        <w:p w14:paraId="20A76E01" w14:textId="507F567A" w:rsidR="00675A50" w:rsidRDefault="00675A50" w:rsidP="008805B8">
          <w:pPr>
            <w:pStyle w:val="Header"/>
            <w:jc w:val="center"/>
          </w:pPr>
        </w:p>
      </w:tc>
      <w:tc>
        <w:tcPr>
          <w:tcW w:w="3120" w:type="dxa"/>
        </w:tcPr>
        <w:p w14:paraId="001E6DDC" w14:textId="11D63B59" w:rsidR="00675A50" w:rsidRDefault="00675A50" w:rsidP="008805B8">
          <w:pPr>
            <w:pStyle w:val="Header"/>
            <w:ind w:right="-115"/>
            <w:jc w:val="right"/>
          </w:pPr>
        </w:p>
      </w:tc>
    </w:tr>
  </w:tbl>
  <w:p w14:paraId="549AD97E" w14:textId="12EF917C" w:rsidR="00675A50" w:rsidRDefault="00675A50" w:rsidP="008805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5309647"/>
      <w:docPartObj>
        <w:docPartGallery w:val="Page Numbers (Bottom of Page)"/>
        <w:docPartUnique/>
      </w:docPartObj>
    </w:sdtPr>
    <w:sdtEndPr>
      <w:rPr>
        <w:noProof/>
      </w:rPr>
    </w:sdtEndPr>
    <w:sdtContent>
      <w:p w14:paraId="62EC3E34" w14:textId="0681F478" w:rsidR="00675A50" w:rsidRDefault="00B6010A">
        <w:pPr>
          <w:pStyle w:val="Footer"/>
        </w:pPr>
      </w:p>
    </w:sdtContent>
  </w:sdt>
  <w:p w14:paraId="251D2AAA" w14:textId="19F147E7" w:rsidR="00675A50" w:rsidRDefault="00675A50" w:rsidP="000F14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4855236"/>
      <w:docPartObj>
        <w:docPartGallery w:val="Page Numbers (Bottom of Page)"/>
        <w:docPartUnique/>
      </w:docPartObj>
    </w:sdtPr>
    <w:sdtEndPr>
      <w:rPr>
        <w:noProof/>
      </w:rPr>
    </w:sdtEndPr>
    <w:sdtContent>
      <w:p w14:paraId="46F82C11" w14:textId="7F22B97B" w:rsidR="00675A50" w:rsidRDefault="00675A50">
        <w:pPr>
          <w:pStyle w:val="Footer"/>
        </w:pPr>
        <w:r>
          <w:fldChar w:fldCharType="begin"/>
        </w:r>
        <w:r>
          <w:instrText xml:space="preserve"> PAGE   \* MERGEFORMAT </w:instrText>
        </w:r>
        <w:r>
          <w:fldChar w:fldCharType="separate"/>
        </w:r>
        <w:r>
          <w:rPr>
            <w:noProof/>
          </w:rPr>
          <w:t>2</w:t>
        </w:r>
        <w:r>
          <w:rPr>
            <w:noProof/>
          </w:rPr>
          <w:fldChar w:fldCharType="end"/>
        </w:r>
      </w:p>
    </w:sdtContent>
  </w:sdt>
  <w:p w14:paraId="0BCAAF3C" w14:textId="77777777" w:rsidR="00675A50" w:rsidRDefault="00675A50" w:rsidP="008805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1826426"/>
      <w:docPartObj>
        <w:docPartGallery w:val="Page Numbers (Bottom of Page)"/>
        <w:docPartUnique/>
      </w:docPartObj>
    </w:sdtPr>
    <w:sdtEndPr>
      <w:rPr>
        <w:noProof/>
      </w:rPr>
    </w:sdtEndPr>
    <w:sdtContent>
      <w:p w14:paraId="20179B5C" w14:textId="2C190F95" w:rsidR="00675A50" w:rsidRDefault="00675A50">
        <w:pPr>
          <w:pStyle w:val="Footer"/>
        </w:pPr>
        <w:r>
          <w:fldChar w:fldCharType="begin"/>
        </w:r>
        <w:r>
          <w:instrText xml:space="preserve"> PAGE   \* MERGEFORMAT </w:instrText>
        </w:r>
        <w:r>
          <w:fldChar w:fldCharType="separate"/>
        </w:r>
        <w:r>
          <w:rPr>
            <w:noProof/>
          </w:rPr>
          <w:t>2</w:t>
        </w:r>
        <w:r>
          <w:rPr>
            <w:noProof/>
          </w:rPr>
          <w:fldChar w:fldCharType="end"/>
        </w:r>
      </w:p>
    </w:sdtContent>
  </w:sdt>
  <w:p w14:paraId="5B27BF99" w14:textId="77777777" w:rsidR="00675A50" w:rsidRDefault="00675A50" w:rsidP="000F14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00675A50" w14:paraId="3D5A476B" w14:textId="77777777" w:rsidTr="008805B8">
      <w:tc>
        <w:tcPr>
          <w:tcW w:w="3120" w:type="dxa"/>
        </w:tcPr>
        <w:p w14:paraId="442245C1" w14:textId="1ED7A5D0" w:rsidR="00675A50" w:rsidRDefault="00675A50" w:rsidP="008805B8">
          <w:pPr>
            <w:pStyle w:val="Header"/>
            <w:ind w:left="-115"/>
            <w:jc w:val="left"/>
          </w:pPr>
        </w:p>
      </w:tc>
      <w:tc>
        <w:tcPr>
          <w:tcW w:w="3120" w:type="dxa"/>
        </w:tcPr>
        <w:p w14:paraId="1DE028E3" w14:textId="03733EDA" w:rsidR="00675A50" w:rsidRDefault="00675A50" w:rsidP="008805B8">
          <w:pPr>
            <w:pStyle w:val="Header"/>
            <w:jc w:val="center"/>
          </w:pPr>
        </w:p>
      </w:tc>
      <w:tc>
        <w:tcPr>
          <w:tcW w:w="3120" w:type="dxa"/>
        </w:tcPr>
        <w:p w14:paraId="0DBFC49A" w14:textId="184F3CB0" w:rsidR="00675A50" w:rsidRDefault="00675A50" w:rsidP="008805B8">
          <w:pPr>
            <w:pStyle w:val="Header"/>
            <w:ind w:right="-115"/>
            <w:jc w:val="right"/>
          </w:pPr>
        </w:p>
      </w:tc>
    </w:tr>
  </w:tbl>
  <w:p w14:paraId="50CB2DE1" w14:textId="000280D1" w:rsidR="00675A50" w:rsidRDefault="00675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0EC7D2" w14:textId="77777777" w:rsidR="00B6010A" w:rsidRDefault="00B6010A" w:rsidP="00A268DA">
      <w:pPr>
        <w:spacing w:after="0" w:line="240" w:lineRule="auto"/>
      </w:pPr>
      <w:r>
        <w:separator/>
      </w:r>
    </w:p>
  </w:footnote>
  <w:footnote w:type="continuationSeparator" w:id="0">
    <w:p w14:paraId="35B137AF" w14:textId="77777777" w:rsidR="00B6010A" w:rsidRDefault="00B6010A" w:rsidP="00A268DA">
      <w:pPr>
        <w:spacing w:after="0" w:line="240" w:lineRule="auto"/>
      </w:pPr>
      <w:r>
        <w:continuationSeparator/>
      </w:r>
    </w:p>
  </w:footnote>
  <w:footnote w:type="continuationNotice" w:id="1">
    <w:p w14:paraId="4C4D0544" w14:textId="77777777" w:rsidR="00B6010A" w:rsidRDefault="00B6010A">
      <w:pPr>
        <w:spacing w:after="0" w:line="240" w:lineRule="auto"/>
      </w:pPr>
    </w:p>
  </w:footnote>
  <w:footnote w:id="2">
    <w:p w14:paraId="4B663E73" w14:textId="77777777" w:rsidR="009C2DA0" w:rsidRPr="00EA775A" w:rsidRDefault="009C2DA0" w:rsidP="009C2DA0">
      <w:pPr>
        <w:pStyle w:val="FootnoteText"/>
        <w:suppressLineNumbers/>
        <w:suppressAutoHyphens/>
        <w:kinsoku w:val="0"/>
        <w:overflowPunct w:val="0"/>
        <w:autoSpaceDE w:val="0"/>
        <w:autoSpaceDN w:val="0"/>
        <w:rPr>
          <w:kern w:val="18"/>
          <w:szCs w:val="18"/>
          <w:lang w:val="en-GB"/>
        </w:rPr>
      </w:pPr>
      <w:r w:rsidRPr="00EA775A">
        <w:rPr>
          <w:rStyle w:val="FootnoteReference"/>
          <w:kern w:val="18"/>
          <w:szCs w:val="18"/>
        </w:rPr>
        <w:t>*</w:t>
      </w:r>
      <w:r w:rsidRPr="00EA775A">
        <w:rPr>
          <w:kern w:val="18"/>
          <w:szCs w:val="18"/>
        </w:rPr>
        <w:t xml:space="preserve"> </w:t>
      </w:r>
      <w:r w:rsidRPr="00EA775A">
        <w:rPr>
          <w:kern w:val="18"/>
          <w:szCs w:val="18"/>
          <w:lang w:val="en-GB"/>
        </w:rPr>
        <w:t>CBD/SBSTTA/24/1.</w:t>
      </w:r>
    </w:p>
  </w:footnote>
  <w:footnote w:id="3">
    <w:p w14:paraId="2C76AF19" w14:textId="77777777" w:rsidR="009C2DA0" w:rsidRPr="00EA775A" w:rsidRDefault="009C2DA0" w:rsidP="009C2DA0">
      <w:pPr>
        <w:pStyle w:val="FootnoteText"/>
        <w:suppressLineNumbers/>
        <w:suppressAutoHyphens/>
        <w:kinsoku w:val="0"/>
        <w:overflowPunct w:val="0"/>
        <w:autoSpaceDE w:val="0"/>
        <w:autoSpaceDN w:val="0"/>
        <w:rPr>
          <w:szCs w:val="18"/>
          <w:lang w:val="en-GB"/>
        </w:rPr>
      </w:pPr>
      <w:r w:rsidRPr="00EA775A">
        <w:rPr>
          <w:rStyle w:val="FootnoteReference"/>
          <w:kern w:val="18"/>
          <w:szCs w:val="18"/>
        </w:rPr>
        <w:footnoteRef/>
      </w:r>
      <w:r w:rsidRPr="00EA775A">
        <w:rPr>
          <w:kern w:val="18"/>
          <w:szCs w:val="18"/>
        </w:rPr>
        <w:t xml:space="preserve"> </w:t>
      </w:r>
      <w:hyperlink r:id="rId1" w:history="1">
        <w:r w:rsidRPr="00EA775A">
          <w:rPr>
            <w:rStyle w:val="Hyperlink"/>
            <w:kern w:val="18"/>
            <w:szCs w:val="18"/>
          </w:rPr>
          <w:t>https://www.cbd.int/doc/publications/cbd-ts-82-en.pdf</w:t>
        </w:r>
      </w:hyperlink>
    </w:p>
  </w:footnote>
  <w:footnote w:id="4">
    <w:p w14:paraId="2BC824F7" w14:textId="131D564E" w:rsidR="00675A50" w:rsidRPr="00AF4794" w:rsidRDefault="00675A50" w:rsidP="004C6580">
      <w:pPr>
        <w:pStyle w:val="FootnoteText"/>
        <w:ind w:firstLine="0"/>
        <w:rPr>
          <w:lang w:val="en-US"/>
        </w:rPr>
      </w:pPr>
      <w:r>
        <w:rPr>
          <w:rStyle w:val="FootnoteReference"/>
        </w:rPr>
        <w:footnoteRef/>
      </w:r>
      <w:r>
        <w:t xml:space="preserve"> </w:t>
      </w:r>
      <w:hyperlink r:id="rId2" w:history="1">
        <w:r w:rsidRPr="001B250E">
          <w:rPr>
            <w:rStyle w:val="Hyperlink"/>
          </w:rPr>
          <w:t>https://www.cbd.int/doc/c/b006/4abe/2f4e0cdaca9f3884c9b92607/sbstta-24-inf-06-en.pdf</w:t>
        </w:r>
      </w:hyperlink>
      <w:r>
        <w:rPr>
          <w:lang w:val="en-US"/>
        </w:rPr>
        <w:t xml:space="preserve">. </w:t>
      </w:r>
    </w:p>
  </w:footnote>
  <w:footnote w:id="5">
    <w:p w14:paraId="7D848770" w14:textId="482F8FFE" w:rsidR="00675A50" w:rsidRPr="007F141B" w:rsidRDefault="00675A50" w:rsidP="009D22D7">
      <w:pPr>
        <w:pStyle w:val="FootnoteText"/>
        <w:ind w:left="284" w:hanging="284"/>
        <w:rPr>
          <w:lang w:val="en-GB"/>
        </w:rPr>
      </w:pPr>
      <w:r>
        <w:rPr>
          <w:rStyle w:val="FootnoteReference"/>
        </w:rPr>
        <w:footnoteRef/>
      </w:r>
      <w:r>
        <w:t xml:space="preserve"> </w:t>
      </w:r>
      <w:r w:rsidRPr="005E3964">
        <w:t>MarketsandMarkets™ report elaborated by Area Science Park, Italy</w:t>
      </w:r>
      <w:r>
        <w:rPr>
          <w:lang w:val="en-GB"/>
        </w:rPr>
        <w:t xml:space="preserve"> (</w:t>
      </w:r>
      <w:r w:rsidRPr="005E3964">
        <w:t>22 February 2021)</w:t>
      </w:r>
      <w:r>
        <w:rPr>
          <w:lang w:val="en-GB"/>
        </w:rPr>
        <w:t>.</w:t>
      </w:r>
    </w:p>
  </w:footnote>
  <w:footnote w:id="6">
    <w:p w14:paraId="7A5CDF65" w14:textId="193B8E7A" w:rsidR="00675A50" w:rsidRPr="006E12EC" w:rsidRDefault="00675A50" w:rsidP="009D22D7">
      <w:pPr>
        <w:pStyle w:val="FootnoteText"/>
        <w:ind w:left="284" w:hanging="284"/>
        <w:jc w:val="left"/>
        <w:rPr>
          <w:lang w:val="en-GB"/>
        </w:rPr>
      </w:pPr>
      <w:r>
        <w:rPr>
          <w:rStyle w:val="FootnoteReference"/>
        </w:rPr>
        <w:footnoteRef/>
      </w:r>
      <w:r>
        <w:t xml:space="preserve"> </w:t>
      </w:r>
      <w:hyperlink r:id="rId3" w:history="1">
        <w:r w:rsidRPr="009F7AD2">
          <w:rPr>
            <w:rStyle w:val="Hyperlink"/>
            <w:lang w:val="en-GB"/>
          </w:rPr>
          <w:t>https://www.isaaa.org/kc/cropbiotechupdate/article/default.asp?ID=18727</w:t>
        </w:r>
      </w:hyperlink>
      <w:r>
        <w:rPr>
          <w:lang w:val="en-GB"/>
        </w:rPr>
        <w:t xml:space="preserve"> </w:t>
      </w:r>
    </w:p>
  </w:footnote>
  <w:footnote w:id="7">
    <w:p w14:paraId="6F99FE92" w14:textId="6021DF8F" w:rsidR="00675A50" w:rsidRDefault="00675A50" w:rsidP="00FF78F8">
      <w:pPr>
        <w:pStyle w:val="FootnoteText"/>
        <w:ind w:left="284" w:hanging="284"/>
      </w:pPr>
      <w:r>
        <w:rPr>
          <w:rStyle w:val="FootnoteReference"/>
          <w:rFonts w:eastAsia="SimSun"/>
        </w:rPr>
        <w:footnoteRef/>
      </w:r>
      <w:r>
        <w:t xml:space="preserve"> </w:t>
      </w:r>
      <w:r w:rsidRPr="00996CD8">
        <w:rPr>
          <w:rFonts w:asciiTheme="majorBidi" w:hAnsiTheme="majorBidi" w:cstheme="majorBidi"/>
        </w:rPr>
        <w:t xml:space="preserve">In eukaryotes, sRNA are a class of RNA molecules that include small interfering RNAs (siRNAs) derived from </w:t>
      </w:r>
      <w:r>
        <w:rPr>
          <w:rFonts w:asciiTheme="majorBidi" w:hAnsiTheme="majorBidi" w:cstheme="majorBidi"/>
          <w:lang w:val="en-US"/>
        </w:rPr>
        <w:t>dsRNAs (such as viruses),</w:t>
      </w:r>
      <w:r w:rsidRPr="00996CD8">
        <w:rPr>
          <w:rFonts w:asciiTheme="majorBidi" w:hAnsiTheme="majorBidi" w:cstheme="majorBidi"/>
        </w:rPr>
        <w:t xml:space="preserve"> microRNA (miRNA) derived from endogenous miRNA</w:t>
      </w:r>
      <w:r>
        <w:rPr>
          <w:rFonts w:asciiTheme="majorBidi" w:hAnsiTheme="majorBidi" w:cstheme="majorBidi"/>
        </w:rPr>
        <w:t xml:space="preserve"> genes (encoding hairpin structures)</w:t>
      </w:r>
      <w:r w:rsidRPr="00996CD8">
        <w:rPr>
          <w:rFonts w:asciiTheme="majorBidi" w:hAnsiTheme="majorBidi" w:cstheme="majorBidi"/>
        </w:rPr>
        <w:t>, among other</w:t>
      </w:r>
      <w:r>
        <w:rPr>
          <w:rFonts w:asciiTheme="majorBidi" w:hAnsiTheme="majorBidi" w:cstheme="majorBidi"/>
          <w:lang w:val="en-US"/>
        </w:rPr>
        <w:t xml:space="preserve"> type</w:t>
      </w:r>
      <w:r w:rsidRPr="00996CD8">
        <w:rPr>
          <w:rFonts w:asciiTheme="majorBidi" w:hAnsiTheme="majorBidi" w:cstheme="majorBidi"/>
        </w:rPr>
        <w:t>s.</w:t>
      </w:r>
      <w:r>
        <w:t xml:space="preserve"> </w:t>
      </w:r>
      <w:r w:rsidRPr="00996CD8">
        <w:rPr>
          <w:rFonts w:asciiTheme="majorBidi" w:hAnsiTheme="majorBidi" w:cstheme="majorBidi"/>
        </w:rPr>
        <w:t>The size of the processed sRNAs vary depending on the species, but a</w:t>
      </w:r>
      <w:r>
        <w:rPr>
          <w:rFonts w:asciiTheme="majorBidi" w:hAnsiTheme="majorBidi" w:cstheme="majorBidi"/>
          <w:lang w:val="en-US"/>
        </w:rPr>
        <w:t>re</w:t>
      </w:r>
      <w:r w:rsidRPr="00996CD8">
        <w:rPr>
          <w:rFonts w:asciiTheme="majorBidi" w:hAnsiTheme="majorBidi" w:cstheme="majorBidi"/>
        </w:rPr>
        <w:t xml:space="preserve"> roughly between 21 and 2</w:t>
      </w:r>
      <w:r>
        <w:rPr>
          <w:rFonts w:asciiTheme="majorBidi" w:hAnsiTheme="majorBidi" w:cstheme="majorBidi"/>
          <w:lang w:val="en-US"/>
        </w:rPr>
        <w:t>5</w:t>
      </w:r>
      <w:r w:rsidRPr="00996CD8">
        <w:rPr>
          <w:rFonts w:asciiTheme="majorBidi" w:hAnsiTheme="majorBidi" w:cstheme="majorBidi"/>
        </w:rPr>
        <w:t xml:space="preserve"> nucleotides in size.</w:t>
      </w:r>
    </w:p>
  </w:footnote>
  <w:footnote w:id="8">
    <w:p w14:paraId="684B3319" w14:textId="3546F8ED" w:rsidR="00675A50" w:rsidRPr="00C95F0D" w:rsidRDefault="00675A50" w:rsidP="00572023">
      <w:pPr>
        <w:pStyle w:val="FootnoteText"/>
        <w:ind w:firstLine="0"/>
        <w:rPr>
          <w:lang w:val="en-US"/>
        </w:rPr>
      </w:pPr>
      <w:r>
        <w:rPr>
          <w:rStyle w:val="FootnoteReference"/>
        </w:rPr>
        <w:footnoteRef/>
      </w:r>
      <w:r>
        <w:t xml:space="preserve"> </w:t>
      </w:r>
      <w:r>
        <w:rPr>
          <w:lang w:val="en-US"/>
        </w:rPr>
        <w:t xml:space="preserve">Riboswitches are regulatory sequences of RNA with secondary structure that control gene expression through structural alterations in response to binding specific ligands without the need for sensory proteins </w:t>
      </w:r>
      <w:r w:rsidRPr="00F66AF0">
        <w:rPr>
          <w:lang w:val="en-GB"/>
        </w:rPr>
        <w:t>Vézina Bédard et al. 2020</w:t>
      </w:r>
      <w:r>
        <w:rPr>
          <w:lang w:val="en-US"/>
        </w:rPr>
        <w:t>).</w:t>
      </w:r>
    </w:p>
  </w:footnote>
  <w:footnote w:id="9">
    <w:p w14:paraId="3BD4189A" w14:textId="0E526726" w:rsidR="00675A50" w:rsidRPr="008F6B23" w:rsidRDefault="00675A50" w:rsidP="008F6B23">
      <w:pPr>
        <w:pStyle w:val="FootnoteText"/>
        <w:ind w:firstLine="0"/>
        <w:rPr>
          <w:lang w:val="en-US"/>
        </w:rPr>
      </w:pPr>
      <w:r>
        <w:rPr>
          <w:rStyle w:val="FootnoteReference"/>
        </w:rPr>
        <w:footnoteRef/>
      </w:r>
      <w:r>
        <w:t xml:space="preserve"> </w:t>
      </w:r>
      <w:hyperlink r:id="rId4" w:history="1">
        <w:r w:rsidRPr="009F7AD2">
          <w:rPr>
            <w:rStyle w:val="Hyperlink"/>
          </w:rPr>
          <w:t>https://igem.org/Registry</w:t>
        </w:r>
      </w:hyperlink>
      <w:r>
        <w:rPr>
          <w:lang w:val="en-US"/>
        </w:rPr>
        <w:t xml:space="preserve"> </w:t>
      </w:r>
    </w:p>
  </w:footnote>
  <w:footnote w:id="10">
    <w:p w14:paraId="30593EC7" w14:textId="50650348" w:rsidR="00675A50" w:rsidRPr="009739A2" w:rsidRDefault="00675A50" w:rsidP="00A0754C">
      <w:pPr>
        <w:pStyle w:val="FootnoteText"/>
        <w:spacing w:before="0" w:after="80"/>
        <w:ind w:firstLine="0"/>
        <w:rPr>
          <w:szCs w:val="18"/>
        </w:rPr>
      </w:pPr>
      <w:r w:rsidRPr="008F6B23">
        <w:rPr>
          <w:rStyle w:val="FootnoteCharacters"/>
          <w:szCs w:val="18"/>
          <w:u w:val="none"/>
          <w:vertAlign w:val="superscript"/>
        </w:rPr>
        <w:footnoteRef/>
      </w:r>
      <w:r>
        <w:rPr>
          <w:szCs w:val="18"/>
          <w:lang w:val="en-US"/>
        </w:rPr>
        <w:t xml:space="preserve"> </w:t>
      </w:r>
      <w:r w:rsidRPr="009739A2">
        <w:rPr>
          <w:szCs w:val="18"/>
        </w:rPr>
        <w:t xml:space="preserve">Other </w:t>
      </w:r>
      <w:r w:rsidRPr="009739A2">
        <w:rPr>
          <w:bCs/>
          <w:szCs w:val="18"/>
        </w:rPr>
        <w:t xml:space="preserve">areas of research sometimes included within </w:t>
      </w:r>
      <w:r>
        <w:rPr>
          <w:bCs/>
          <w:szCs w:val="18"/>
          <w:lang w:val="en-US"/>
        </w:rPr>
        <w:t>synthetic biology</w:t>
      </w:r>
      <w:r w:rsidRPr="009739A2">
        <w:rPr>
          <w:bCs/>
          <w:szCs w:val="18"/>
        </w:rPr>
        <w:t xml:space="preserve"> include engineered synthetic multicellularity and the </w:t>
      </w:r>
      <w:r w:rsidRPr="009739A2">
        <w:rPr>
          <w:szCs w:val="18"/>
        </w:rPr>
        <w:t>design of microbia</w:t>
      </w:r>
      <w:r>
        <w:rPr>
          <w:szCs w:val="18"/>
          <w:lang w:val="en-GB"/>
        </w:rPr>
        <w:t>l</w:t>
      </w:r>
      <w:r w:rsidRPr="009739A2">
        <w:rPr>
          <w:szCs w:val="18"/>
        </w:rPr>
        <w:t xml:space="preserve"> consortia that communicate across species and coordinate towards human-specified ends </w:t>
      </w:r>
      <w:r>
        <w:rPr>
          <w:szCs w:val="18"/>
        </w:rPr>
        <w:fldChar w:fldCharType="begin" w:fldLock="1"/>
      </w:r>
      <w:r>
        <w:rPr>
          <w:szCs w:val="18"/>
        </w:rPr>
        <w:instrText>ADDIN CSL_CITATION {"citationItems":[{"id":"ITEM-1","itemData":{"DOI":"10.1007/978-90-481-2678-1_3","author":[{"dropping-particle":"","family":"Lam","given":"Carolyn M.C.","non-dropping-particle":"","parse-names":false,"suffix":""},{"dropping-particle":"","family":"Godinho","given":"Miguel","non-dropping-particle":"","parse-names":false,"suffix":""},{"dropping-particle":"","family":"Santos","given":"Vítor A.P. Martins","non-dropping-particle":"dos","parse-names":false,"suffix":""}],"container-title":"Synthetic Biology","id":"ITEM-1","issued":{"date-parts":[["2009"]]},"page":"23-48","publisher":"Springer Netherlands","publisher-place":"Dordrecht","title":"An Introduction to Synthetic Biology","type":"chapter"},"uris":["http://www.mendeley.com/documents/?uuid=90c6636d-a846-4252-9a94-db7d37035168"]},{"id":"ITEM-2","itemData":{"DOI":"10.1016/j.tcb.2012.09.002","ISSN":"09628924","author":[{"dropping-particle":"","family":"Maharbiz","given":"Michel M.","non-dropping-particle":"","parse-names":false,"suffix":""}],"container-title":"Trends in Cell Biology","id":"ITEM-2","issue":"12","issued":{"date-parts":[["2012","12"]]},"page":"617-623","title":"Synthetic multicellularity","type":"article-journal","volume":"22"},"uris":["http://www.mendeley.com/documents/?uuid=e14a50e9-b43a-4d81-a469-f74ad0691d0e"]}],"mendeley":{"formattedCitation":"(Lam et al., 2009; Maharbiz, 2012)","plainTextFormattedCitation":"(Lam et al., 2009; Maharbiz, 2012)","previouslyFormattedCitation":"(Lam et al., 2009; Maharbiz, 2012)"},"properties":{"noteIndex":0},"schema":"https://github.com/citation-style-language/schema/raw/master/csl-citation.json"}</w:instrText>
      </w:r>
      <w:r>
        <w:rPr>
          <w:szCs w:val="18"/>
        </w:rPr>
        <w:fldChar w:fldCharType="separate"/>
      </w:r>
      <w:r w:rsidRPr="003D0369">
        <w:rPr>
          <w:noProof/>
          <w:szCs w:val="18"/>
        </w:rPr>
        <w:t>(Lam et al., 2009; Maharbiz, 2012)</w:t>
      </w:r>
      <w:r>
        <w:rPr>
          <w:szCs w:val="18"/>
        </w:rPr>
        <w:fldChar w:fldCharType="end"/>
      </w:r>
      <w:r w:rsidRPr="009739A2">
        <w:rPr>
          <w:szCs w:val="18"/>
        </w:rPr>
        <w:t xml:space="preserve">. These areas are not discussed in this document because they are not frequently included when </w:t>
      </w:r>
      <w:r>
        <w:rPr>
          <w:szCs w:val="18"/>
          <w:lang w:val="en-US"/>
        </w:rPr>
        <w:t>synthetic biology</w:t>
      </w:r>
      <w:r w:rsidRPr="009739A2">
        <w:rPr>
          <w:szCs w:val="18"/>
        </w:rPr>
        <w:t xml:space="preserve"> is discussed, and commentators have not addressed them in terms of their implications for ethics, biosafety, biosecurity, or other aspects. </w:t>
      </w:r>
    </w:p>
  </w:footnote>
  <w:footnote w:id="11">
    <w:p w14:paraId="49B7AA21" w14:textId="4E3BBB4B" w:rsidR="00675A50" w:rsidRPr="009739A2" w:rsidRDefault="00675A50" w:rsidP="00FB61DD">
      <w:pPr>
        <w:pStyle w:val="FootnoteText"/>
        <w:spacing w:before="0" w:after="80"/>
        <w:ind w:firstLine="0"/>
        <w:jc w:val="left"/>
        <w:rPr>
          <w:szCs w:val="18"/>
        </w:rPr>
      </w:pPr>
      <w:r w:rsidRPr="009739A2">
        <w:rPr>
          <w:rStyle w:val="FootnoteCharacters"/>
          <w:szCs w:val="18"/>
          <w:u w:val="none"/>
          <w:vertAlign w:val="superscript"/>
        </w:rPr>
        <w:footnoteRef/>
      </w:r>
      <w:r>
        <w:rPr>
          <w:szCs w:val="18"/>
          <w:lang w:val="en-US"/>
        </w:rPr>
        <w:t xml:space="preserve"> </w:t>
      </w:r>
      <w:r w:rsidRPr="009739A2">
        <w:rPr>
          <w:szCs w:val="18"/>
        </w:rPr>
        <w:t>This section and the next on protocells are sometimes categori</w:t>
      </w:r>
      <w:r>
        <w:rPr>
          <w:szCs w:val="18"/>
          <w:lang w:val="en-US"/>
        </w:rPr>
        <w:t>s</w:t>
      </w:r>
      <w:r w:rsidRPr="009739A2">
        <w:rPr>
          <w:szCs w:val="18"/>
        </w:rPr>
        <w:t xml:space="preserve">ed together, and sometimes top-down and bottom-up genomic engineering are separated, but all are commonly included within the scope of </w:t>
      </w:r>
      <w:r>
        <w:rPr>
          <w:szCs w:val="18"/>
          <w:lang w:val="en-US"/>
        </w:rPr>
        <w:t>synthetic biology</w:t>
      </w:r>
      <w:r w:rsidRPr="009739A2">
        <w:rPr>
          <w:szCs w:val="18"/>
        </w:rPr>
        <w:t>.</w:t>
      </w:r>
    </w:p>
  </w:footnote>
  <w:footnote w:id="12">
    <w:p w14:paraId="35FF8D42" w14:textId="7B6B0C38" w:rsidR="00675A50" w:rsidRPr="00C95F0D" w:rsidRDefault="00675A50" w:rsidP="00FB61DD">
      <w:pPr>
        <w:pStyle w:val="FootnoteText"/>
        <w:ind w:firstLine="0"/>
        <w:rPr>
          <w:lang w:val="en-US"/>
        </w:rPr>
      </w:pPr>
      <w:r>
        <w:rPr>
          <w:rStyle w:val="FootnoteReference"/>
        </w:rPr>
        <w:footnoteRef/>
      </w:r>
      <w:r>
        <w:t xml:space="preserve"> </w:t>
      </w:r>
      <w:hyperlink r:id="rId5" w:history="1">
        <w:r w:rsidRPr="001B250E">
          <w:rPr>
            <w:rStyle w:val="Hyperlink"/>
          </w:rPr>
          <w:t>https://www.buildacell.org</w:t>
        </w:r>
      </w:hyperlink>
    </w:p>
  </w:footnote>
  <w:footnote w:id="13">
    <w:p w14:paraId="3B0E051B" w14:textId="6120D2AE" w:rsidR="00675A50" w:rsidRPr="002D336D" w:rsidRDefault="00675A50" w:rsidP="004668E1">
      <w:pPr>
        <w:pStyle w:val="FootnoteText"/>
        <w:spacing w:after="0"/>
        <w:ind w:left="284" w:hanging="284"/>
        <w:rPr>
          <w:lang w:val="en-US"/>
        </w:rPr>
      </w:pPr>
      <w:r>
        <w:rPr>
          <w:rStyle w:val="FootnoteReference"/>
        </w:rPr>
        <w:footnoteRef/>
      </w:r>
      <w:r>
        <w:t xml:space="preserve"> </w:t>
      </w:r>
      <w:hyperlink r:id="rId6" w:history="1">
        <w:r w:rsidRPr="001B250E">
          <w:rPr>
            <w:rStyle w:val="Hyperlink"/>
          </w:rPr>
          <w:t>https://reviverestore.org/projects/black-footed-ferret/</w:t>
        </w:r>
      </w:hyperlink>
      <w:r>
        <w:rPr>
          <w:lang w:val="en-US"/>
        </w:rPr>
        <w:t xml:space="preserve"> </w:t>
      </w:r>
    </w:p>
  </w:footnote>
  <w:footnote w:id="14">
    <w:p w14:paraId="0B863748" w14:textId="57EC1EAA" w:rsidR="00675A50" w:rsidRPr="0095647B" w:rsidRDefault="00675A50" w:rsidP="004668E1">
      <w:pPr>
        <w:pStyle w:val="FootnoteText"/>
        <w:spacing w:after="0"/>
        <w:ind w:left="284" w:hanging="284"/>
      </w:pPr>
      <w:r>
        <w:rPr>
          <w:rStyle w:val="FootnoteReference"/>
        </w:rPr>
        <w:footnoteRef/>
      </w:r>
      <w:hyperlink r:id="rId7" w:history="1">
        <w:r w:rsidRPr="001B250E">
          <w:rPr>
            <w:rStyle w:val="Hyperlink"/>
          </w:rPr>
          <w:t>https://www.fws.gov/mountain-prairie/pressrel/2021/02182021-USFWS-and-Partners-Innovative-Genetic-Cloning-Research-Black-footed-Ferret-Conservation.php</w:t>
        </w:r>
      </w:hyperlink>
      <w:r w:rsidRPr="0095647B">
        <w:t>.</w:t>
      </w:r>
    </w:p>
  </w:footnote>
  <w:footnote w:id="15">
    <w:p w14:paraId="2ADFC4FD" w14:textId="63B767FD" w:rsidR="00675A50" w:rsidRPr="002D336D" w:rsidRDefault="00675A50" w:rsidP="00F03DEC">
      <w:pPr>
        <w:pStyle w:val="FootnoteText"/>
        <w:spacing w:after="0"/>
        <w:ind w:firstLine="0"/>
        <w:rPr>
          <w:lang w:val="en-US"/>
        </w:rPr>
      </w:pPr>
      <w:r>
        <w:rPr>
          <w:rStyle w:val="FootnoteReference"/>
        </w:rPr>
        <w:footnoteRef/>
      </w:r>
      <w:r>
        <w:t xml:space="preserve"> </w:t>
      </w:r>
      <w:hyperlink r:id="rId8" w:history="1">
        <w:r w:rsidRPr="001B250E">
          <w:rPr>
            <w:rStyle w:val="Hyperlink"/>
          </w:rPr>
          <w:t>http://www.targetmalaria.org</w:t>
        </w:r>
      </w:hyperlink>
    </w:p>
  </w:footnote>
  <w:footnote w:id="16">
    <w:p w14:paraId="5E79920D" w14:textId="61797AD8" w:rsidR="00675A50" w:rsidRPr="002D336D" w:rsidRDefault="00675A50" w:rsidP="00F03DEC">
      <w:pPr>
        <w:pStyle w:val="FootnoteText"/>
        <w:spacing w:after="0"/>
        <w:ind w:firstLine="0"/>
        <w:rPr>
          <w:lang w:val="en-US"/>
        </w:rPr>
      </w:pPr>
      <w:r>
        <w:rPr>
          <w:rStyle w:val="FootnoteReference"/>
        </w:rPr>
        <w:footnoteRef/>
      </w:r>
      <w:r>
        <w:t xml:space="preserve"> </w:t>
      </w:r>
      <w:hyperlink r:id="rId9" w:history="1">
        <w:r w:rsidRPr="001B250E">
          <w:rPr>
            <w:rStyle w:val="Hyperlink"/>
          </w:rPr>
          <w:t>https://ucimi.org</w:t>
        </w:r>
      </w:hyperlink>
    </w:p>
  </w:footnote>
  <w:footnote w:id="17">
    <w:p w14:paraId="635B22FB" w14:textId="1E0B28E3" w:rsidR="00675A50" w:rsidRPr="00F96F27" w:rsidRDefault="00675A50" w:rsidP="00F96F27">
      <w:pPr>
        <w:pStyle w:val="FootnoteText"/>
        <w:spacing w:before="0"/>
        <w:ind w:firstLine="0"/>
        <w:rPr>
          <w:lang w:val="en-US"/>
        </w:rPr>
      </w:pPr>
      <w:r>
        <w:rPr>
          <w:rStyle w:val="FootnoteReference"/>
        </w:rPr>
        <w:footnoteRef/>
      </w:r>
      <w:r>
        <w:t xml:space="preserve"> </w:t>
      </w:r>
      <w:hyperlink r:id="rId10" w:history="1">
        <w:r w:rsidRPr="001B250E">
          <w:rPr>
            <w:rStyle w:val="Hyperlink"/>
          </w:rPr>
          <w:t>https://synthsym.org</w:t>
        </w:r>
      </w:hyperlink>
    </w:p>
  </w:footnote>
  <w:footnote w:id="18">
    <w:p w14:paraId="56E047E6" w14:textId="2D2C5FB6" w:rsidR="00675A50" w:rsidRPr="000F7B37" w:rsidRDefault="00675A50" w:rsidP="00F96F27">
      <w:pPr>
        <w:pStyle w:val="FootnoteText"/>
        <w:spacing w:before="0"/>
        <w:ind w:firstLine="0"/>
        <w:rPr>
          <w:lang w:val="en-US"/>
        </w:rPr>
      </w:pPr>
      <w:r>
        <w:rPr>
          <w:rStyle w:val="FootnoteReference"/>
        </w:rPr>
        <w:footnoteRef/>
      </w:r>
      <w:r>
        <w:t xml:space="preserve"> </w:t>
      </w:r>
      <w:r>
        <w:rPr>
          <w:lang w:val="en-US"/>
        </w:rPr>
        <w:t>The research was not funded by the DARPA Insect Allies Project.</w:t>
      </w:r>
    </w:p>
  </w:footnote>
  <w:footnote w:id="19">
    <w:p w14:paraId="75333903" w14:textId="748F9023" w:rsidR="00675A50" w:rsidRPr="00A76F31" w:rsidRDefault="00675A50" w:rsidP="00F96F27">
      <w:pPr>
        <w:pStyle w:val="FootnoteText"/>
        <w:spacing w:before="0"/>
        <w:ind w:firstLine="0"/>
        <w:rPr>
          <w:lang w:val="en-GB"/>
        </w:rPr>
      </w:pPr>
      <w:r>
        <w:rPr>
          <w:rStyle w:val="FootnoteReference"/>
        </w:rPr>
        <w:footnoteRef/>
      </w:r>
      <w:r>
        <w:t xml:space="preserve"> </w:t>
      </w:r>
      <w:r w:rsidRPr="00646903">
        <w:t>San Diego Zoo scientists revive cells from 40-year deep freeze to clone endangered horse</w:t>
      </w:r>
      <w:r>
        <w:rPr>
          <w:lang w:val="en-GB"/>
        </w:rPr>
        <w:t xml:space="preserve">, Los Angeles Times, 13 </w:t>
      </w:r>
      <w:r w:rsidRPr="00C24DE0">
        <w:rPr>
          <w:lang w:val="en-GB"/>
        </w:rPr>
        <w:t>O</w:t>
      </w:r>
      <w:r>
        <w:rPr>
          <w:lang w:val="en-GB"/>
        </w:rPr>
        <w:t>ctober</w:t>
      </w:r>
      <w:r w:rsidRPr="00C24DE0">
        <w:rPr>
          <w:lang w:val="en-GB"/>
        </w:rPr>
        <w:t xml:space="preserve"> 2020</w:t>
      </w:r>
      <w:r>
        <w:rPr>
          <w:lang w:val="en-GB"/>
        </w:rPr>
        <w:t xml:space="preserve">. </w:t>
      </w:r>
      <w:hyperlink r:id="rId11" w:history="1">
        <w:r w:rsidRPr="001B250E">
          <w:rPr>
            <w:rStyle w:val="Hyperlink"/>
            <w:lang w:val="en-GB"/>
          </w:rPr>
          <w:t>https://www.latimes.com/california/story/2020-10-13/san-diego-zoo-scientists-use-cells-frozen-away-for-40-years-to-clone-endangered-przewalskis-horse</w:t>
        </w:r>
      </w:hyperlink>
      <w:r>
        <w:rPr>
          <w:lang w:val="en-GB"/>
        </w:rPr>
        <w:t>.</w:t>
      </w:r>
    </w:p>
  </w:footnote>
  <w:footnote w:id="20">
    <w:p w14:paraId="7027DDF9" w14:textId="2A714392" w:rsidR="00675A50" w:rsidRPr="00087610" w:rsidRDefault="00675A50">
      <w:pPr>
        <w:pStyle w:val="FootnoteText"/>
      </w:pPr>
      <w:r>
        <w:rPr>
          <w:rStyle w:val="FootnoteReference"/>
        </w:rPr>
        <w:footnoteRef/>
      </w:r>
      <w:r>
        <w:t xml:space="preserve"> </w:t>
      </w:r>
      <w:hyperlink r:id="rId12" w:history="1">
        <w:r w:rsidRPr="00DE7F9A">
          <w:rPr>
            <w:rStyle w:val="Hyperlink"/>
            <w:rFonts w:eastAsiaTheme="minorHAnsi"/>
          </w:rPr>
          <w:t>http://parts.igem.org/</w:t>
        </w:r>
      </w:hyperlink>
    </w:p>
  </w:footnote>
  <w:footnote w:id="21">
    <w:p w14:paraId="5A214142" w14:textId="2FFC52BA" w:rsidR="00675A50" w:rsidRPr="00087610" w:rsidRDefault="00675A50">
      <w:pPr>
        <w:pStyle w:val="FootnoteText"/>
      </w:pPr>
      <w:r>
        <w:rPr>
          <w:rStyle w:val="FootnoteReference"/>
        </w:rPr>
        <w:footnoteRef/>
      </w:r>
      <w:r>
        <w:t xml:space="preserve"> </w:t>
      </w:r>
      <w:hyperlink r:id="rId13" w:history="1">
        <w:r w:rsidRPr="00A259A2">
          <w:rPr>
            <w:rStyle w:val="Hyperlink"/>
            <w:rFonts w:eastAsiaTheme="minorHAnsi" w:hint="eastAsia"/>
          </w:rPr>
          <w:t>http://www.biomaster-uestc.cn</w:t>
        </w:r>
      </w:hyperlink>
    </w:p>
  </w:footnote>
  <w:footnote w:id="22">
    <w:p w14:paraId="590960C2" w14:textId="2CE1DF11" w:rsidR="00675A50" w:rsidRPr="00CB5AFD" w:rsidRDefault="00675A50">
      <w:pPr>
        <w:pStyle w:val="FootnoteText"/>
        <w:rPr>
          <w:lang w:val="en-US"/>
        </w:rPr>
      </w:pPr>
      <w:r>
        <w:rPr>
          <w:rStyle w:val="FootnoteReference"/>
        </w:rPr>
        <w:footnoteRef/>
      </w:r>
      <w:r>
        <w:t xml:space="preserve"> </w:t>
      </w:r>
      <w:hyperlink r:id="rId14">
        <w:r w:rsidRPr="0299BB36">
          <w:rPr>
            <w:rFonts w:cstheme="minorBidi"/>
            <w:color w:val="0000FF"/>
            <w:u w:val="single"/>
          </w:rPr>
          <w:t>https://www.buildacell.org/</w:t>
        </w:r>
      </w:hyperlink>
    </w:p>
  </w:footnote>
  <w:footnote w:id="23">
    <w:p w14:paraId="0795B241" w14:textId="77777777" w:rsidR="00675A50" w:rsidRPr="000F038C" w:rsidRDefault="00675A50" w:rsidP="00DE2163">
      <w:pPr>
        <w:pStyle w:val="FootnoteText"/>
        <w:ind w:firstLine="0"/>
      </w:pPr>
      <w:r>
        <w:rPr>
          <w:rStyle w:val="FootnoteReference"/>
        </w:rPr>
        <w:footnoteRef/>
      </w:r>
      <w:r>
        <w:t xml:space="preserve"> </w:t>
      </w:r>
      <w:r w:rsidRPr="000F038C">
        <w:t>53,426 words, 11 JPG images, and one JavaScript program</w:t>
      </w:r>
    </w:p>
  </w:footnote>
  <w:footnote w:id="24">
    <w:p w14:paraId="14E423DC" w14:textId="310D3A97" w:rsidR="00675A50" w:rsidRPr="000F7B37" w:rsidRDefault="00675A50" w:rsidP="00DE2163">
      <w:pPr>
        <w:pStyle w:val="FootnoteText"/>
        <w:ind w:firstLine="0"/>
        <w:rPr>
          <w:lang w:val="en-US"/>
        </w:rPr>
      </w:pPr>
      <w:r>
        <w:rPr>
          <w:rStyle w:val="FootnoteReference"/>
        </w:rPr>
        <w:footnoteRef/>
      </w:r>
      <w:r>
        <w:t xml:space="preserve"> </w:t>
      </w:r>
      <w:r w:rsidRPr="00587BE9">
        <w:t xml:space="preserve"> </w:t>
      </w:r>
      <w:r>
        <w:rPr>
          <w:lang w:val="en-US"/>
        </w:rPr>
        <w:t>F</w:t>
      </w:r>
      <w:r w:rsidRPr="00587BE9">
        <w:t>ive files comprised all 154 of Shakespeare’s sonnets (ASCII text), a classic scientific paper (PDF format), a medium-resolution colour photograph of the European Bioinformatics Institute (JPEG 2000 format), a 26-s</w:t>
      </w:r>
      <w:r>
        <w:rPr>
          <w:lang w:val="en-US"/>
        </w:rPr>
        <w:t>econd</w:t>
      </w:r>
      <w:r w:rsidRPr="00587BE9">
        <w:t xml:space="preserve"> excerpt from Martin Luther King’s 1963 ‘I have a dream’ speech (MP3 format) and a Huffman code</w:t>
      </w:r>
      <w:r>
        <w:rPr>
          <w:lang w:val="en-US"/>
        </w:rPr>
        <w:t xml:space="preserve"> to </w:t>
      </w:r>
      <w:r w:rsidRPr="00B83CB0">
        <w:rPr>
          <w:lang w:val="en-US"/>
        </w:rPr>
        <w:t>convert bytes to base-3 digits (ASCII text)</w:t>
      </w:r>
      <w:r>
        <w:rPr>
          <w:lang w:val="en-US"/>
        </w:rPr>
        <w:t>.</w:t>
      </w:r>
    </w:p>
  </w:footnote>
  <w:footnote w:id="25">
    <w:p w14:paraId="0F4063E6" w14:textId="5A6D496A" w:rsidR="00675A50" w:rsidRPr="00950A17" w:rsidRDefault="00675A50" w:rsidP="00DE2163">
      <w:pPr>
        <w:pStyle w:val="FootnoteText"/>
        <w:ind w:firstLine="0"/>
      </w:pPr>
      <w:r>
        <w:rPr>
          <w:rStyle w:val="FootnoteReference"/>
        </w:rPr>
        <w:footnoteRef/>
      </w:r>
      <w:r>
        <w:t xml:space="preserve"> </w:t>
      </w:r>
      <w:r w:rsidRPr="00873150">
        <w:t>high-definition video, images, audio, and text</w:t>
      </w:r>
      <w:r>
        <w:rPr>
          <w:lang w:val="en-US"/>
        </w:rPr>
        <w:t>, including</w:t>
      </w:r>
      <w:r w:rsidRPr="00873150">
        <w:t xml:space="preserve"> the “Universal Declaration of Human Rights” in over 100 languages (doi:10.1080/13642989808406748; </w:t>
      </w:r>
      <w:hyperlink r:id="rId15" w:history="1">
        <w:r w:rsidRPr="009E7DB7">
          <w:rPr>
            <w:rStyle w:val="Hyperlink"/>
          </w:rPr>
          <w:t>http://www.ohchr.org/EN/UDHR/Pages/UDHRIndex.aspx</w:t>
        </w:r>
      </w:hyperlink>
      <w:r w:rsidRPr="00873150">
        <w:t>), a high-definition music video of the band “OK Go” (</w:t>
      </w:r>
      <w:hyperlink r:id="rId16" w:history="1">
        <w:r w:rsidRPr="009E7DB7">
          <w:rPr>
            <w:rStyle w:val="Hyperlink"/>
          </w:rPr>
          <w:t>https://www.youtube.com/watch?v=qybUFnY7Y8w</w:t>
        </w:r>
      </w:hyperlink>
      <w:r w:rsidRPr="00873150">
        <w:t>), and a CropTrust database of the seeds stored in the Svalbard Global Seed Vault (</w:t>
      </w:r>
      <w:hyperlink r:id="rId17" w:history="1">
        <w:r w:rsidRPr="009E7DB7">
          <w:rPr>
            <w:rStyle w:val="Hyperlink"/>
          </w:rPr>
          <w:t>https://www.nordgen.org/sgsv</w:t>
        </w:r>
      </w:hyperlink>
      <w:r w:rsidRPr="00873150">
        <w:t>).</w:t>
      </w:r>
    </w:p>
  </w:footnote>
  <w:footnote w:id="26">
    <w:p w14:paraId="463B19EF" w14:textId="7AD6791D" w:rsidR="00675A50" w:rsidRPr="00177764" w:rsidRDefault="00675A50" w:rsidP="00177764">
      <w:pPr>
        <w:pStyle w:val="FootnoteText"/>
        <w:ind w:firstLine="0"/>
      </w:pPr>
      <w:r>
        <w:rPr>
          <w:rStyle w:val="FootnoteReference"/>
        </w:rPr>
        <w:footnoteRef/>
      </w:r>
      <w:r>
        <w:t xml:space="preserve"> </w:t>
      </w:r>
      <w:r>
        <w:rPr>
          <w:lang w:val="en-US"/>
        </w:rPr>
        <w:t>Chemical (e.g. alkylating agents, intercalating agents, base analogues) and physical (e.g. gamma rays, X-rays, ionising radiation) mutagenesis are considered techniques used in traditional plant breeding (Oladosu et al. 2016).</w:t>
      </w:r>
    </w:p>
  </w:footnote>
  <w:footnote w:id="27">
    <w:p w14:paraId="56F327DB" w14:textId="28CD5B65" w:rsidR="00675A50" w:rsidRPr="00CB6198" w:rsidRDefault="00675A50" w:rsidP="00CB6198">
      <w:pPr>
        <w:pStyle w:val="FootnoteText"/>
        <w:ind w:firstLine="0"/>
      </w:pPr>
      <w:r>
        <w:rPr>
          <w:rStyle w:val="FootnoteReference"/>
        </w:rPr>
        <w:footnoteRef/>
      </w:r>
      <w:r>
        <w:t xml:space="preserve"> </w:t>
      </w:r>
      <w:r>
        <w:rPr>
          <w:lang w:val="en-US"/>
        </w:rPr>
        <w:t xml:space="preserve">New breeding techniques include genome editing (CRISPR, ODN, ZFN, TALENs), cisgenesis, intragenesis, RdDM, agroinfiltration, grafting LM rootstock and reverse breeding, amongst others </w:t>
      </w:r>
      <w:r>
        <w:rPr>
          <w:lang w:val="en-US"/>
        </w:rPr>
        <w:fldChar w:fldCharType="begin" w:fldLock="1"/>
      </w:r>
      <w:r>
        <w:rPr>
          <w:lang w:val="en-US"/>
        </w:rPr>
        <w:instrText>ADDIN CSL_CITATION {"citationItems":[{"id":"ITEM-1","itemData":{"author":[{"dropping-particle":"","family":"Seyran","given":"Esra","non-dropping-particle":"","parse-names":false,"suffix":""},{"dropping-particle":"","family":"Craig","given":"Wendy","non-dropping-particle":"","parse-names":false,"suffix":""}],"container-title":"AgBioForum","id":"ITEM-1","issue":"1","issued":{"date-parts":[["2018"]]},"title":"New Breeding Techniques and Their Possible Regulation – AgBioForum","type":"article-journal","volume":"21"},"uris":["http://www.mendeley.com/documents/?uuid=e0737d0a-2c56-4687-a299-6ef0456c47d7"]}],"mendeley":{"formattedCitation":"(Seyran &amp; Craig, 2018)","plainTextFormattedCitation":"(Seyran &amp; Craig, 2018)","previouslyFormattedCitation":"(Seyran &amp; Craig, 2018)"},"properties":{"noteIndex":0},"schema":"https://github.com/citation-style-language/schema/raw/master/csl-citation.json"}</w:instrText>
      </w:r>
      <w:r>
        <w:rPr>
          <w:lang w:val="en-US"/>
        </w:rPr>
        <w:fldChar w:fldCharType="separate"/>
      </w:r>
      <w:r w:rsidRPr="00D97874">
        <w:rPr>
          <w:noProof/>
          <w:lang w:val="en-US"/>
        </w:rPr>
        <w:t>(Seyran &amp; Craig, 2018)</w:t>
      </w:r>
      <w:r>
        <w:rPr>
          <w:lang w:val="en-US"/>
        </w:rPr>
        <w:fldChar w:fldCharType="end"/>
      </w:r>
      <w:r>
        <w:rPr>
          <w:lang w:val="en-US"/>
        </w:rPr>
        <w:t>.</w:t>
      </w:r>
    </w:p>
  </w:footnote>
  <w:footnote w:id="28">
    <w:p w14:paraId="1DBFB3A9" w14:textId="77777777" w:rsidR="00675A50" w:rsidRDefault="00675A50" w:rsidP="00630B03">
      <w:pPr>
        <w:pStyle w:val="FootnoteText"/>
        <w:ind w:firstLine="0"/>
      </w:pPr>
      <w:r>
        <w:rPr>
          <w:rStyle w:val="FootnoteReference"/>
        </w:rPr>
        <w:footnoteRef/>
      </w:r>
      <w:r>
        <w:t xml:space="preserve"> The right to self-determination is a fundamental principle in international law, embodied in the Charter of the United Nations and the International Covenant on Civil and Political Rights and the International Covenant on Economic, Social and Cultural Rights.</w:t>
      </w:r>
    </w:p>
  </w:footnote>
  <w:footnote w:id="29">
    <w:p w14:paraId="43247FAF" w14:textId="77777777" w:rsidR="00675A50" w:rsidRPr="0042756B" w:rsidRDefault="00675A50" w:rsidP="008F6B23">
      <w:pPr>
        <w:pStyle w:val="FootnoteText"/>
        <w:ind w:firstLine="0"/>
        <w:jc w:val="left"/>
        <w:rPr>
          <w:lang w:val="en-US"/>
        </w:rPr>
      </w:pPr>
      <w:r>
        <w:rPr>
          <w:rStyle w:val="FootnoteReference"/>
        </w:rPr>
        <w:footnoteRef/>
      </w:r>
      <w:r>
        <w:t xml:space="preserve"> </w:t>
      </w:r>
      <w:r w:rsidRPr="00AE26F1">
        <w:t>International Labour Organization</w:t>
      </w:r>
      <w:r>
        <w:rPr>
          <w:lang w:val="en-US"/>
        </w:rPr>
        <w:t xml:space="preserve">, </w:t>
      </w:r>
      <w:r w:rsidRPr="00AE26F1">
        <w:rPr>
          <w:lang w:val="en-US"/>
        </w:rPr>
        <w:t>Indigenous and Tribal Populations Convention</w:t>
      </w:r>
      <w:r>
        <w:rPr>
          <w:lang w:val="en-US"/>
        </w:rPr>
        <w:t xml:space="preserve"> (No. 107)</w:t>
      </w:r>
      <w:r w:rsidRPr="00AE26F1">
        <w:t xml:space="preserve"> </w:t>
      </w:r>
      <w:hyperlink r:id="rId18" w:history="1">
        <w:r w:rsidRPr="00057124">
          <w:rPr>
            <w:rStyle w:val="Hyperlink"/>
          </w:rPr>
          <w:t>https://www.ilo.org/dyn/normlex/en/f?p=NORMLEXPUB:12100:0::NO::P12100_ILO_CODE:C107</w:t>
        </w:r>
      </w:hyperlink>
      <w:r>
        <w:rPr>
          <w:lang w:val="en-US"/>
        </w:rPr>
        <w:t xml:space="preserve"> </w:t>
      </w:r>
    </w:p>
  </w:footnote>
  <w:footnote w:id="30">
    <w:p w14:paraId="4E578274" w14:textId="3B7CD78F" w:rsidR="00675A50" w:rsidRPr="008F6B23" w:rsidRDefault="00675A50">
      <w:pPr>
        <w:pStyle w:val="FootnoteText"/>
        <w:ind w:firstLine="0"/>
        <w:rPr>
          <w:lang w:val="en-US"/>
        </w:rPr>
      </w:pPr>
      <w:r>
        <w:rPr>
          <w:rStyle w:val="FootnoteReference"/>
        </w:rPr>
        <w:footnoteRef/>
      </w:r>
      <w:r>
        <w:t xml:space="preserve"> </w:t>
      </w:r>
      <w:hyperlink r:id="rId19" w:anchor="stakeholder-engagement" w:history="1">
        <w:r w:rsidRPr="009F7AD2">
          <w:rPr>
            <w:rStyle w:val="Hyperlink"/>
          </w:rPr>
          <w:t>https://targetmalaria.org/what-we-do/our-approach/#stakeholder-engagement</w:t>
        </w:r>
      </w:hyperlink>
      <w:r>
        <w:rPr>
          <w:lang w:val="en-US"/>
        </w:rPr>
        <w:t xml:space="preserve"> </w:t>
      </w:r>
    </w:p>
  </w:footnote>
  <w:footnote w:id="31">
    <w:p w14:paraId="11FFAD86" w14:textId="7A870252" w:rsidR="00675A50" w:rsidRPr="008F6B23" w:rsidRDefault="00675A50" w:rsidP="00830638">
      <w:pPr>
        <w:pStyle w:val="FootnoteText"/>
        <w:ind w:left="284" w:hanging="284"/>
        <w:rPr>
          <w:lang w:val="en-US"/>
        </w:rPr>
      </w:pPr>
      <w:r>
        <w:rPr>
          <w:rStyle w:val="FootnoteReference"/>
        </w:rPr>
        <w:footnoteRef/>
      </w:r>
      <w:r>
        <w:t xml:space="preserve"> </w:t>
      </w:r>
      <w:hyperlink r:id="rId20" w:history="1">
        <w:r w:rsidRPr="009F7AD2">
          <w:rPr>
            <w:rStyle w:val="Hyperlink"/>
          </w:rPr>
          <w:t>https://www.media.mit.edu/projects/preventing-tick-borne-disease-by-permanently-immunizing-mice/overview/</w:t>
        </w:r>
      </w:hyperlink>
      <w:r>
        <w:rPr>
          <w:lang w:val="en-US"/>
        </w:rPr>
        <w:t xml:space="preserve"> </w:t>
      </w:r>
    </w:p>
  </w:footnote>
  <w:footnote w:id="32">
    <w:p w14:paraId="683580AA" w14:textId="2CC92917" w:rsidR="00675A50" w:rsidRPr="003177C1" w:rsidRDefault="00675A50" w:rsidP="00EE15F4">
      <w:pPr>
        <w:pStyle w:val="FootnoteText"/>
        <w:spacing w:after="0"/>
        <w:ind w:left="142" w:hanging="142"/>
      </w:pPr>
      <w:r>
        <w:rPr>
          <w:rStyle w:val="FootnoteReference"/>
        </w:rPr>
        <w:footnoteRef/>
      </w:r>
      <w:r>
        <w:t xml:space="preserve"> </w:t>
      </w:r>
      <w:hyperlink r:id="rId21" w:history="1">
        <w:r w:rsidRPr="00FC301F">
          <w:rPr>
            <w:rStyle w:val="Hyperlink"/>
          </w:rPr>
          <w:t>https://genesynthesisconsortium.org</w:t>
        </w:r>
      </w:hyperlink>
    </w:p>
  </w:footnote>
  <w:footnote w:id="33">
    <w:p w14:paraId="5B5F1B98" w14:textId="20216A93" w:rsidR="00675A50" w:rsidRPr="008124E7" w:rsidRDefault="00675A50" w:rsidP="008F6B23">
      <w:pPr>
        <w:pStyle w:val="FootnoteText"/>
        <w:spacing w:after="0"/>
        <w:ind w:left="142" w:hanging="142"/>
        <w:jc w:val="left"/>
      </w:pPr>
      <w:r>
        <w:rPr>
          <w:rStyle w:val="FootnoteReference"/>
        </w:rPr>
        <w:footnoteRef/>
      </w:r>
      <w:r>
        <w:t>Screening Framework Guidance for Providers of Synthetic</w:t>
      </w:r>
      <w:r>
        <w:rPr>
          <w:lang w:val="en-US"/>
        </w:rPr>
        <w:t xml:space="preserve"> </w:t>
      </w:r>
      <w:r>
        <w:t>Double-Stranded DNA</w:t>
      </w:r>
      <w:r>
        <w:rPr>
          <w:lang w:val="en-US"/>
        </w:rPr>
        <w:t xml:space="preserve">, </w:t>
      </w:r>
      <w:hyperlink r:id="rId22" w:history="1">
        <w:r w:rsidRPr="00FC70BE">
          <w:rPr>
            <w:rStyle w:val="Hyperlink"/>
            <w:lang w:val="en-US"/>
          </w:rPr>
          <w:t>https://www.phe.gov/preparedness/legal/guidance/syndna/documents/syndna-guidance.pdf</w:t>
        </w:r>
      </w:hyperlink>
      <w:r>
        <w:rPr>
          <w:lang w:val="en-US"/>
        </w:rPr>
        <w:t>.</w:t>
      </w:r>
    </w:p>
  </w:footnote>
  <w:footnote w:id="34">
    <w:p w14:paraId="6070A652" w14:textId="0629E0F2" w:rsidR="00675A50" w:rsidRPr="00EE15F4" w:rsidRDefault="00675A50" w:rsidP="00EE15F4">
      <w:pPr>
        <w:pStyle w:val="FootnoteText"/>
        <w:spacing w:after="0"/>
        <w:ind w:left="142" w:hanging="142"/>
      </w:pPr>
      <w:r>
        <w:rPr>
          <w:rStyle w:val="FootnoteReference"/>
        </w:rPr>
        <w:footnoteRef/>
      </w:r>
      <w:r>
        <w:t xml:space="preserve"> </w:t>
      </w:r>
      <w:r>
        <w:rPr>
          <w:lang w:val="en-US"/>
        </w:rPr>
        <w:t>Obfuscation is when code is purposely complicated to conceal what the it performs</w:t>
      </w:r>
    </w:p>
  </w:footnote>
  <w:footnote w:id="35">
    <w:p w14:paraId="1D135A0A" w14:textId="2E045F05" w:rsidR="00675A50" w:rsidRPr="006C6FE7" w:rsidRDefault="00675A50" w:rsidP="008F6B23">
      <w:pPr>
        <w:pStyle w:val="FootnoteText"/>
        <w:ind w:firstLine="0"/>
        <w:jc w:val="left"/>
      </w:pPr>
      <w:r>
        <w:rPr>
          <w:rStyle w:val="FootnoteReference"/>
        </w:rPr>
        <w:footnoteRef/>
      </w:r>
      <w:r>
        <w:t xml:space="preserve"> ISO/IEC 17025:2017</w:t>
      </w:r>
      <w:r>
        <w:rPr>
          <w:lang w:val="en-US"/>
        </w:rPr>
        <w:t xml:space="preserve">: </w:t>
      </w:r>
      <w:r>
        <w:t>General requirements for the competence of testing and calibration laboratories</w:t>
      </w:r>
      <w:r>
        <w:rPr>
          <w:lang w:val="en-US"/>
        </w:rPr>
        <w:t xml:space="preserve">; </w:t>
      </w:r>
      <w:hyperlink r:id="rId23" w:history="1">
        <w:r w:rsidRPr="009A19DB">
          <w:rPr>
            <w:rStyle w:val="Hyperlink"/>
            <w:lang w:val="en-US"/>
          </w:rPr>
          <w:t>https://www.iso.org/standard/66912.html</w:t>
        </w:r>
      </w:hyperlink>
      <w:r>
        <w:rPr>
          <w:lang w:val="en-US"/>
        </w:rPr>
        <w:t xml:space="preserve">. </w:t>
      </w:r>
    </w:p>
  </w:footnote>
  <w:footnote w:id="36">
    <w:p w14:paraId="24E5225E" w14:textId="5D70CC7F" w:rsidR="00675A50" w:rsidRPr="00274DF8" w:rsidRDefault="00675A50" w:rsidP="008F6B23">
      <w:pPr>
        <w:pStyle w:val="FootnoteText"/>
        <w:ind w:firstLine="0"/>
        <w:jc w:val="left"/>
        <w:rPr>
          <w:lang w:val="en-US"/>
        </w:rPr>
      </w:pPr>
      <w:r>
        <w:rPr>
          <w:rStyle w:val="FootnoteReference"/>
        </w:rPr>
        <w:footnoteRef/>
      </w:r>
      <w:r>
        <w:t xml:space="preserve"> </w:t>
      </w:r>
      <w:r>
        <w:rPr>
          <w:lang w:val="en-US"/>
        </w:rPr>
        <w:t>As per undated letter ‘</w:t>
      </w:r>
      <w:r w:rsidRPr="00E84FC9">
        <w:rPr>
          <w:lang w:val="en-US"/>
        </w:rPr>
        <w:t>A Call to Protect Food Systems from Genetic Extinction Technology: The Global Food and Agriculture Movement Says NO to Release of Gene Drives</w:t>
      </w:r>
      <w:r>
        <w:rPr>
          <w:lang w:val="en-US"/>
        </w:rPr>
        <w:t xml:space="preserve">’, accessible at </w:t>
      </w:r>
      <w:hyperlink r:id="rId24" w:history="1">
        <w:r w:rsidRPr="00F1292E">
          <w:rPr>
            <w:rStyle w:val="Hyperlink"/>
            <w:lang w:val="en-US"/>
          </w:rPr>
          <w:t>https://www.etcgroup.org/sites/www.etcgroup.org/files/files/forcing_the_farm_sign_on_letter_english_web.pdf</w:t>
        </w:r>
      </w:hyperlink>
    </w:p>
  </w:footnote>
  <w:footnote w:id="37">
    <w:p w14:paraId="05642F03" w14:textId="4553A59C" w:rsidR="00675A50" w:rsidRPr="00BB14FD" w:rsidRDefault="00675A50" w:rsidP="003736F2">
      <w:pPr>
        <w:pStyle w:val="FootnoteText"/>
        <w:spacing w:after="0"/>
        <w:ind w:firstLine="0"/>
        <w:rPr>
          <w:lang w:val="en-US"/>
        </w:rPr>
      </w:pPr>
      <w:r>
        <w:rPr>
          <w:rStyle w:val="FootnoteReference"/>
        </w:rPr>
        <w:footnoteRef/>
      </w:r>
      <w:r>
        <w:t xml:space="preserve"> </w:t>
      </w:r>
      <w:hyperlink r:id="rId25" w:history="1">
        <w:r w:rsidRPr="00DB6EF4">
          <w:rPr>
            <w:rStyle w:val="Hyperlink"/>
          </w:rPr>
          <w:t>https://2020.igem.org/Safety/Committee</w:t>
        </w:r>
      </w:hyperlink>
    </w:p>
  </w:footnote>
  <w:footnote w:id="38">
    <w:p w14:paraId="6F6C35A1" w14:textId="054A7502" w:rsidR="00675A50" w:rsidRPr="00983335" w:rsidRDefault="00675A50" w:rsidP="003736F2">
      <w:pPr>
        <w:pStyle w:val="FootnoteText"/>
        <w:spacing w:after="0"/>
        <w:ind w:firstLine="0"/>
        <w:rPr>
          <w:lang w:val="en-US"/>
        </w:rPr>
      </w:pPr>
      <w:r>
        <w:rPr>
          <w:rStyle w:val="FootnoteReference"/>
        </w:rPr>
        <w:footnoteRef/>
      </w:r>
      <w:r>
        <w:t xml:space="preserve"> </w:t>
      </w:r>
      <w:r>
        <w:rPr>
          <w:lang w:val="en-US"/>
        </w:rPr>
        <w:t xml:space="preserve">As per their Safety Rules: </w:t>
      </w:r>
      <w:hyperlink r:id="rId26" w:history="1">
        <w:r w:rsidRPr="00DB6EF4">
          <w:rPr>
            <w:rStyle w:val="Hyperlink"/>
            <w:lang w:val="en-US"/>
          </w:rPr>
          <w:t>https://2020.igem.org/Safety/Rules</w:t>
        </w:r>
      </w:hyperlink>
    </w:p>
  </w:footnote>
  <w:footnote w:id="39">
    <w:p w14:paraId="25525824" w14:textId="6B6DA03E" w:rsidR="00675A50" w:rsidRPr="00983335" w:rsidRDefault="00675A50" w:rsidP="003736F2">
      <w:pPr>
        <w:pStyle w:val="FootnoteText"/>
        <w:spacing w:after="0"/>
        <w:ind w:firstLine="0"/>
        <w:rPr>
          <w:lang w:val="en-US"/>
        </w:rPr>
      </w:pPr>
      <w:r>
        <w:rPr>
          <w:rStyle w:val="FootnoteReference"/>
        </w:rPr>
        <w:footnoteRef/>
      </w:r>
      <w:r>
        <w:t xml:space="preserve"> </w:t>
      </w:r>
      <w:hyperlink r:id="rId27" w:history="1">
        <w:r w:rsidRPr="00DB6EF4">
          <w:rPr>
            <w:rStyle w:val="Hyperlink"/>
            <w:lang w:val="en-US"/>
          </w:rPr>
          <w:t>https://igem.org/Safety</w:t>
        </w:r>
      </w:hyperlink>
    </w:p>
  </w:footnote>
  <w:footnote w:id="40">
    <w:p w14:paraId="0F03D313" w14:textId="77777777" w:rsidR="00675A50" w:rsidRPr="00392C99" w:rsidRDefault="00675A50" w:rsidP="00DD16A1">
      <w:pPr>
        <w:pStyle w:val="FootnoteText"/>
        <w:spacing w:after="0"/>
        <w:ind w:firstLine="0"/>
      </w:pPr>
      <w:r>
        <w:rPr>
          <w:rStyle w:val="FootnoteReference"/>
        </w:rPr>
        <w:footnoteRef/>
      </w:r>
      <w:r>
        <w:rPr>
          <w:lang w:val="en-US"/>
        </w:rPr>
        <w:t xml:space="preserve"> </w:t>
      </w:r>
      <w:r w:rsidRPr="00392C99">
        <w:t>“... any technological application that uses biological systems, living organisms, or derivatives thereof, to make or modify products or processes for specific use”</w:t>
      </w:r>
    </w:p>
  </w:footnote>
  <w:footnote w:id="41">
    <w:p w14:paraId="4B675E58" w14:textId="0A8CB74E" w:rsidR="00675A50" w:rsidRDefault="00675A50" w:rsidP="00DD16A1">
      <w:pPr>
        <w:spacing w:before="120" w:after="0" w:line="240" w:lineRule="auto"/>
        <w:jc w:val="both"/>
      </w:pPr>
      <w:r w:rsidRPr="008805B8">
        <w:rPr>
          <w:rStyle w:val="FootnoteReference"/>
          <w:lang w:val="x-none" w:eastAsia="ar-SA"/>
        </w:rPr>
        <w:footnoteRef/>
      </w:r>
      <w:r w:rsidRPr="008805B8">
        <w:rPr>
          <w:rStyle w:val="FootnoteReference"/>
          <w:lang w:val="x-none" w:eastAsia="ar-SA"/>
        </w:rPr>
        <w:t xml:space="preserve"> </w:t>
      </w:r>
      <w:r w:rsidRPr="00736F0A">
        <w:rPr>
          <w:rFonts w:ascii="Times New Roman" w:eastAsia="Times New Roman" w:hAnsi="Times New Roman"/>
          <w:kern w:val="1"/>
          <w:sz w:val="18"/>
          <w:szCs w:val="24"/>
          <w:lang w:eastAsia="ar-SA"/>
        </w:rPr>
        <w:t>As noted in</w:t>
      </w:r>
      <w:r>
        <w:rPr>
          <w:rFonts w:ascii="Times New Roman" w:eastAsia="Times New Roman" w:hAnsi="Times New Roman"/>
          <w:kern w:val="1"/>
          <w:sz w:val="18"/>
          <w:szCs w:val="24"/>
          <w:lang w:eastAsia="ar-SA"/>
        </w:rPr>
        <w:t xml:space="preserve"> the scope and methods in Section B.</w:t>
      </w:r>
    </w:p>
  </w:footnote>
  <w:footnote w:id="42">
    <w:p w14:paraId="0C66A25E" w14:textId="77777777" w:rsidR="00675A50" w:rsidRPr="004E0D8F" w:rsidRDefault="00675A50" w:rsidP="00B12251">
      <w:pPr>
        <w:pStyle w:val="FootnoteText"/>
        <w:ind w:firstLine="0"/>
      </w:pPr>
      <w:r>
        <w:rPr>
          <w:rStyle w:val="FootnoteReference"/>
        </w:rPr>
        <w:footnoteRef/>
      </w:r>
      <w:r>
        <w:t xml:space="preserve"> It </w:t>
      </w:r>
      <w:r w:rsidRPr="004E0D8F">
        <w:t xml:space="preserve">should be noted that this document is made available for the information of Parties to the Convention and is not intended to affect the rights and obligations of Parties to the Convention or its Protocols.   </w:t>
      </w:r>
    </w:p>
  </w:footnote>
  <w:footnote w:id="43">
    <w:p w14:paraId="58DA354D" w14:textId="6D2C5EB0" w:rsidR="00675A50" w:rsidRDefault="00675A50" w:rsidP="00532F2A">
      <w:pPr>
        <w:spacing w:after="120" w:line="240" w:lineRule="auto"/>
        <w:jc w:val="both"/>
        <w:rPr>
          <w:rFonts w:cs="Calibri"/>
        </w:rPr>
      </w:pPr>
      <w:r w:rsidRPr="00104C6E">
        <w:rPr>
          <w:rFonts w:ascii="Times New Roman" w:eastAsia="Times New Roman" w:hAnsi="Times New Roman"/>
          <w:kern w:val="1"/>
          <w:sz w:val="18"/>
          <w:szCs w:val="24"/>
          <w:vertAlign w:val="superscript"/>
          <w:lang w:val="x-none" w:eastAsia="ar-SA"/>
        </w:rPr>
        <w:footnoteRef/>
      </w:r>
      <w:r w:rsidRPr="00104C6E">
        <w:rPr>
          <w:rFonts w:ascii="Times New Roman" w:eastAsia="Times New Roman" w:hAnsi="Times New Roman"/>
          <w:kern w:val="1"/>
          <w:sz w:val="18"/>
          <w:szCs w:val="24"/>
          <w:lang w:val="x-none" w:eastAsia="ar-SA"/>
        </w:rPr>
        <w:t xml:space="preserve"> MOP-3 to the Nagoya Protocol also adopted a decision on digital sequence information on genetic resources in which it requested the Open-ended Working Group on the Post-2020 Global Biodiversity Framework to submit the outcome of its deliberations for consideration by MOP-4, see decision NP-3/12.</w:t>
      </w:r>
    </w:p>
  </w:footnote>
  <w:footnote w:id="44">
    <w:p w14:paraId="3B86673D" w14:textId="1F7C5B5D" w:rsidR="00675A50" w:rsidRPr="00E37D94" w:rsidRDefault="00675A50" w:rsidP="00532F2A">
      <w:pPr>
        <w:pStyle w:val="FootnoteText"/>
        <w:spacing w:before="0" w:after="120"/>
        <w:ind w:firstLine="0"/>
        <w:rPr>
          <w:lang w:val="en-US"/>
        </w:rPr>
      </w:pPr>
      <w:r>
        <w:rPr>
          <w:rStyle w:val="FootnoteReference"/>
        </w:rPr>
        <w:footnoteRef/>
      </w:r>
      <w:r>
        <w:rPr>
          <w:lang w:val="en-US"/>
        </w:rPr>
        <w:t xml:space="preserve"> In evaluating the </w:t>
      </w:r>
      <w:r w:rsidRPr="00835634">
        <w:rPr>
          <w:lang w:val="en-US"/>
        </w:rPr>
        <w:t>scope of digital sequence information on genetic resources</w:t>
      </w:r>
      <w:r>
        <w:rPr>
          <w:lang w:val="en-US"/>
        </w:rPr>
        <w:t xml:space="preserve"> </w:t>
      </w:r>
      <w:r w:rsidRPr="00835634">
        <w:rPr>
          <w:lang w:val="en-US"/>
        </w:rPr>
        <w:t>and terminology</w:t>
      </w:r>
      <w:r>
        <w:rPr>
          <w:lang w:val="en-US"/>
        </w:rPr>
        <w:t>,</w:t>
      </w:r>
      <w:r>
        <w:t xml:space="preserve"> </w:t>
      </w:r>
      <w:r>
        <w:rPr>
          <w:lang w:val="en-US"/>
        </w:rPr>
        <w:t xml:space="preserve">the AHTEG on DSI </w:t>
      </w:r>
      <w:r>
        <w:t>noted that clearly defined</w:t>
      </w:r>
      <w:r>
        <w:rPr>
          <w:lang w:val="en-US"/>
        </w:rPr>
        <w:t xml:space="preserve"> </w:t>
      </w:r>
      <w:r>
        <w:t>groups would assist negotiators in the Convention process and other forums when discussing topics</w:t>
      </w:r>
      <w:r>
        <w:rPr>
          <w:lang w:val="en-US"/>
        </w:rPr>
        <w:t xml:space="preserve"> </w:t>
      </w:r>
      <w:r>
        <w:t>related to digital sequence information</w:t>
      </w:r>
      <w:r>
        <w:rPr>
          <w:lang w:val="en-US"/>
        </w:rPr>
        <w:t xml:space="preserve">, and proposed a conceptual approach for defining such groups, see the report of the AHTEG, </w:t>
      </w:r>
      <w:r>
        <w:t>CBD/DSI/AHTEG/</w:t>
      </w:r>
      <w:r>
        <w:fldChar w:fldCharType="begin" w:fldLock="1"/>
      </w:r>
      <w:r>
        <w:instrText>ADDIN CSL_CITATION {"citationItems":[{"id":"ITEM-1","itemData":{"author":[{"dropping-particle":"","family":"Secretariat of the Convention on Biological Diversity","given":"","non-dropping-particle":"","parse-names":false,"suffix":""}],"id":"ITEM-1","issued":{"date-parts":[["2020"]]},"page":"18","publisher-place":"Montreal, Canada","title":"Report of the Ad Hoc Technical Expert Group on Digital Sequence Information on Genetic Resources","type":"article"},"uris":["http://www.mendeley.com/documents/?uuid=22ed39b8-1f1c-4904-b017-708295426713"]}],"mendeley":{"formattedCitation":"(Secretariat of the Convention on Biological Diversity, 2020b)","manualFormatting":"2020","plainTextFormattedCitation":"(Secretariat of the Convention on Biological Diversity, 2020b)","previouslyFormattedCitation":"(Secretariat of the Convention on Biological Diversity, 2020b)"},"properties":{"noteIndex":0},"schema":"https://github.com/citation-style-language/schema/raw/master/csl-citation.json"}</w:instrText>
      </w:r>
      <w:r>
        <w:fldChar w:fldCharType="separate"/>
      </w:r>
      <w:r w:rsidRPr="00CE6A7C">
        <w:rPr>
          <w:noProof/>
        </w:rPr>
        <w:t>2020</w:t>
      </w:r>
      <w:r>
        <w:fldChar w:fldCharType="end"/>
      </w:r>
      <w:r>
        <w:t>/1/7</w:t>
      </w:r>
      <w:r>
        <w:rPr>
          <w:lang w:val="en-US"/>
        </w:rPr>
        <w:t xml:space="preserve">. </w:t>
      </w:r>
    </w:p>
  </w:footnote>
  <w:footnote w:id="45">
    <w:p w14:paraId="5F112321" w14:textId="71BABC97" w:rsidR="00675A50" w:rsidRPr="00806F87" w:rsidRDefault="00675A50" w:rsidP="0029670C">
      <w:pPr>
        <w:pStyle w:val="FootnoteText"/>
        <w:spacing w:after="0"/>
        <w:ind w:firstLine="0"/>
      </w:pPr>
      <w:r>
        <w:rPr>
          <w:rStyle w:val="FootnoteReference"/>
        </w:rPr>
        <w:footnoteRef/>
      </w:r>
      <w:r>
        <w:t xml:space="preserve"> </w:t>
      </w:r>
      <w:hyperlink r:id="rId28" w:history="1">
        <w:r w:rsidRPr="00DB6EF4">
          <w:rPr>
            <w:rStyle w:val="Hyperlink"/>
          </w:rPr>
          <w:t>https://bch.cbd.int/synbio/</w:t>
        </w:r>
      </w:hyperlink>
    </w:p>
  </w:footnote>
  <w:footnote w:id="46">
    <w:p w14:paraId="16215042" w14:textId="53B9C4CA" w:rsidR="00675A50" w:rsidRPr="00012217" w:rsidRDefault="00675A50" w:rsidP="0029670C">
      <w:pPr>
        <w:pStyle w:val="FootnoteText"/>
        <w:spacing w:after="0"/>
        <w:ind w:firstLine="0"/>
      </w:pPr>
      <w:r>
        <w:rPr>
          <w:rStyle w:val="FootnoteReference"/>
        </w:rPr>
        <w:footnoteRef/>
      </w:r>
      <w:r>
        <w:t xml:space="preserve"> </w:t>
      </w:r>
      <w:r>
        <w:rPr>
          <w:lang w:val="en-US"/>
        </w:rPr>
        <w:t xml:space="preserve">Decisions </w:t>
      </w:r>
      <w:r w:rsidRPr="003D64CA">
        <w:rPr>
          <w:lang w:val="en-US"/>
        </w:rPr>
        <w:t>BS-VII/12</w:t>
      </w:r>
      <w:r>
        <w:rPr>
          <w:lang w:val="en-US"/>
        </w:rPr>
        <w:t>,</w:t>
      </w:r>
      <w:r w:rsidRPr="003D64CA">
        <w:rPr>
          <w:lang w:val="en-US"/>
        </w:rPr>
        <w:t xml:space="preserve"> XII/24</w:t>
      </w:r>
      <w:r>
        <w:rPr>
          <w:lang w:val="en-US"/>
        </w:rPr>
        <w:t>, 14/19 and 9/13.</w:t>
      </w:r>
    </w:p>
  </w:footnote>
  <w:footnote w:id="47">
    <w:p w14:paraId="7958264C" w14:textId="32812B4C" w:rsidR="00675A50" w:rsidRPr="00DC1145" w:rsidRDefault="00675A50" w:rsidP="008F6B23">
      <w:pPr>
        <w:pStyle w:val="FootnoteText"/>
        <w:ind w:firstLine="0"/>
        <w:rPr>
          <w:lang w:val="en-US"/>
        </w:rPr>
      </w:pPr>
      <w:r>
        <w:rPr>
          <w:rStyle w:val="FootnoteReference"/>
        </w:rPr>
        <w:footnoteRef/>
      </w:r>
      <w:r>
        <w:t xml:space="preserve"> </w:t>
      </w:r>
      <w:hyperlink r:id="rId29" w:anchor="Product%20Information" w:history="1">
        <w:r w:rsidRPr="009F7AD2">
          <w:rPr>
            <w:rStyle w:val="Hyperlink"/>
          </w:rPr>
          <w:t>https://www.neb.com/products/e0546-biobrick-assembly-kit#Product%20Information</w:t>
        </w:r>
      </w:hyperlink>
      <w:r>
        <w:rPr>
          <w:lang w:val="en-US"/>
        </w:rPr>
        <w:t xml:space="preserve"> </w:t>
      </w:r>
      <w:r w:rsidRPr="00DC1145">
        <w:tab/>
      </w:r>
    </w:p>
  </w:footnote>
  <w:footnote w:id="48">
    <w:p w14:paraId="74C1D93E" w14:textId="530398EB" w:rsidR="00675A50" w:rsidRPr="00F365D3" w:rsidRDefault="00675A50" w:rsidP="00F365D3">
      <w:pPr>
        <w:pStyle w:val="FootnoteText"/>
        <w:ind w:firstLine="0"/>
        <w:rPr>
          <w:lang w:val="en-GB"/>
        </w:rPr>
      </w:pPr>
      <w:r>
        <w:rPr>
          <w:rStyle w:val="FootnoteReference"/>
        </w:rPr>
        <w:footnoteRef/>
      </w:r>
      <w:r>
        <w:t xml:space="preserve"> </w:t>
      </w:r>
      <w:r>
        <w:rPr>
          <w:lang w:val="en-GB"/>
        </w:rPr>
        <w:t xml:space="preserve">The </w:t>
      </w:r>
      <w:r w:rsidRPr="00FE58ED">
        <w:rPr>
          <w:lang w:val="en-GB"/>
        </w:rPr>
        <w:t xml:space="preserve">Guidance </w:t>
      </w:r>
      <w:r>
        <w:rPr>
          <w:lang w:val="en-GB"/>
        </w:rPr>
        <w:t>o</w:t>
      </w:r>
      <w:r w:rsidRPr="00FE58ED">
        <w:rPr>
          <w:lang w:val="en-GB"/>
        </w:rPr>
        <w:t xml:space="preserve">n Risk Assessment </w:t>
      </w:r>
      <w:r>
        <w:rPr>
          <w:lang w:val="en-GB"/>
        </w:rPr>
        <w:t>o</w:t>
      </w:r>
      <w:r w:rsidRPr="00FE58ED">
        <w:rPr>
          <w:lang w:val="en-GB"/>
        </w:rPr>
        <w:t xml:space="preserve">f Living Modified Organisms </w:t>
      </w:r>
      <w:r>
        <w:rPr>
          <w:lang w:val="en-GB"/>
        </w:rPr>
        <w:t>a</w:t>
      </w:r>
      <w:r w:rsidRPr="00FE58ED">
        <w:rPr>
          <w:lang w:val="en-GB"/>
        </w:rPr>
        <w:t>nd Monitoring</w:t>
      </w:r>
      <w:r>
        <w:rPr>
          <w:lang w:val="en-GB"/>
        </w:rPr>
        <w:t xml:space="preserve"> </w:t>
      </w:r>
      <w:r w:rsidRPr="00FE58ED">
        <w:rPr>
          <w:lang w:val="en-GB"/>
        </w:rPr>
        <w:t xml:space="preserve">in the Context </w:t>
      </w:r>
      <w:r>
        <w:rPr>
          <w:lang w:val="en-GB"/>
        </w:rPr>
        <w:t>o</w:t>
      </w:r>
      <w:r w:rsidRPr="00FE58ED">
        <w:rPr>
          <w:lang w:val="en-GB"/>
        </w:rPr>
        <w:t>f Risk Assessment</w:t>
      </w:r>
      <w:r>
        <w:rPr>
          <w:lang w:val="en-GB"/>
        </w:rPr>
        <w:t xml:space="preserve"> is available at </w:t>
      </w:r>
      <w:hyperlink r:id="rId30" w:history="1">
        <w:r w:rsidRPr="009F7AD2">
          <w:rPr>
            <w:rStyle w:val="Hyperlink"/>
            <w:lang w:val="en-GB"/>
          </w:rPr>
          <w:t>https://www.cbd.int/doc/meetings/bs/mop-08/official/bs-mop-08-08-add1-en.pdf</w:t>
        </w:r>
      </w:hyperlink>
      <w:r>
        <w:rPr>
          <w:lang w:val="en-GB"/>
        </w:rPr>
        <w:t>.</w:t>
      </w:r>
    </w:p>
  </w:footnote>
  <w:footnote w:id="49">
    <w:p w14:paraId="42ADD063" w14:textId="7AAAB7CF" w:rsidR="00675A50" w:rsidRPr="00B54158" w:rsidRDefault="00675A50" w:rsidP="008D396E">
      <w:pPr>
        <w:pStyle w:val="FootnoteText"/>
        <w:spacing w:after="0"/>
        <w:ind w:firstLine="0"/>
        <w:rPr>
          <w:szCs w:val="18"/>
        </w:rPr>
      </w:pPr>
      <w:r w:rsidRPr="008F6B23">
        <w:rPr>
          <w:rStyle w:val="FootnoteCharacters"/>
          <w:szCs w:val="18"/>
          <w:u w:val="none"/>
          <w:vertAlign w:val="superscript"/>
        </w:rPr>
        <w:footnoteRef/>
      </w:r>
      <w:r w:rsidRPr="00291EE9">
        <w:rPr>
          <w:szCs w:val="18"/>
          <w:vertAlign w:val="superscript"/>
        </w:rPr>
        <w:t xml:space="preserve"> </w:t>
      </w:r>
      <w:r>
        <w:rPr>
          <w:szCs w:val="18"/>
        </w:rPr>
        <w:t>The Cartagena Protocol</w:t>
      </w:r>
      <w:r w:rsidRPr="00B54158">
        <w:rPr>
          <w:szCs w:val="18"/>
        </w:rPr>
        <w:t xml:space="preserve"> does not require that Parties regulate such LMOs according to the AIA provisions, but Parties are still free to </w:t>
      </w:r>
      <w:r w:rsidRPr="00B54158">
        <w:rPr>
          <w:bCs/>
          <w:szCs w:val="18"/>
        </w:rPr>
        <w:t xml:space="preserve">use national legislation to require AIA and risk assessment </w:t>
      </w:r>
      <w:r>
        <w:rPr>
          <w:bCs/>
          <w:szCs w:val="18"/>
        </w:rPr>
        <w:fldChar w:fldCharType="begin" w:fldLock="1"/>
      </w:r>
      <w:r>
        <w:rPr>
          <w:bCs/>
          <w:szCs w:val="18"/>
        </w:rPr>
        <w:instrText>ADDIN CSL_CITATION {"citationItems":[{"id":"ITEM-1","itemData":{"author":[{"dropping-particle":"","family":"Ascencio","given":"Alfonso","non-dropping-particle":"","parse-names":false,"suffix":""},{"dropping-particle":"","family":"Burhenne-Guilmin","given":"Françoise","non-dropping-particle":"","parse-names":false,"suffix":""},{"dropping-particle":"","family":"Kinderlerer","given":"Julian","non-dropping-particle":"","parse-names":false,"suffix":""},{"dropping-particle":"","family":"Kummer","given":"Katharina","non-dropping-particle":"","parse-names":false,"suffix":""},{"dropping-particle":"","family":"Viña","given":"Antonio","non-dropping-particle":"La","parse-names":false,"suffix":""},{"dropping-particle":"","family":"Mackenzie","given":"Ruth","non-dropping-particle":"","parse-names":false,"suffix":""},{"dropping-particle":"","family":"Tapper","given":"Richard","non-dropping-particle":"","parse-names":false,"suffix":""},{"dropping-particle":"","family":"Werksman","given":"Jacob D","non-dropping-particle":"","parse-names":false,"suffix":""}],"collection-title":"36690","id":"ITEM-1","issued":{"date-parts":[["2003"]]},"title":"An explanatory guide to the Cartagena protocol on biosafety","type":"report"},"uris":["http://www.mendeley.com/documents/?uuid=d3065aa0-5fb9-4656-adb1-6dd0a81a87e1"]}],"mendeley":{"formattedCitation":"(Ascencio et al., 2003)","plainTextFormattedCitation":"(Ascencio et al., 2003)","previouslyFormattedCitation":"(Ascencio et al., 2003)"},"properties":{"noteIndex":0},"schema":"https://github.com/citation-style-language/schema/raw/master/csl-citation.json"}</w:instrText>
      </w:r>
      <w:r>
        <w:rPr>
          <w:bCs/>
          <w:szCs w:val="18"/>
        </w:rPr>
        <w:fldChar w:fldCharType="separate"/>
      </w:r>
      <w:r w:rsidRPr="00C93DD2">
        <w:rPr>
          <w:bCs/>
          <w:noProof/>
          <w:szCs w:val="18"/>
        </w:rPr>
        <w:t>(Ascencio et al., 2003)</w:t>
      </w:r>
      <w:r>
        <w:rPr>
          <w:bCs/>
          <w:szCs w:val="18"/>
        </w:rPr>
        <w:fldChar w:fldCharType="end"/>
      </w:r>
      <w:r w:rsidRPr="00B54158">
        <w:rPr>
          <w:bCs/>
          <w:szCs w:val="18"/>
        </w:rPr>
        <w:t>.</w:t>
      </w:r>
    </w:p>
  </w:footnote>
  <w:footnote w:id="50">
    <w:p w14:paraId="21203371" w14:textId="77777777" w:rsidR="00675A50" w:rsidRPr="00B54158" w:rsidRDefault="00675A50" w:rsidP="008D396E">
      <w:pPr>
        <w:pStyle w:val="FootnoteText"/>
        <w:spacing w:after="0"/>
        <w:ind w:firstLine="0"/>
        <w:jc w:val="left"/>
        <w:rPr>
          <w:szCs w:val="18"/>
        </w:rPr>
      </w:pPr>
      <w:r w:rsidRPr="008F6B23">
        <w:rPr>
          <w:rStyle w:val="FootnoteCharacters"/>
          <w:szCs w:val="18"/>
          <w:u w:val="none"/>
          <w:vertAlign w:val="superscript"/>
        </w:rPr>
        <w:footnoteRef/>
      </w:r>
      <w:r w:rsidRPr="00291EE9">
        <w:rPr>
          <w:szCs w:val="18"/>
          <w:vertAlign w:val="superscript"/>
        </w:rPr>
        <w:t xml:space="preserve"> </w:t>
      </w:r>
      <w:r w:rsidRPr="00B54158">
        <w:rPr>
          <w:szCs w:val="18"/>
        </w:rPr>
        <w:t xml:space="preserve">This concern is premised on the ICSWGSB's view </w:t>
      </w:r>
      <w:r>
        <w:rPr>
          <w:szCs w:val="18"/>
        </w:rPr>
        <w:t>that organisms resulting from synthetic biology</w:t>
      </w:r>
      <w:r w:rsidRPr="00B54158">
        <w:rPr>
          <w:szCs w:val="18"/>
        </w:rPr>
        <w:t xml:space="preserve"> techniques, such as </w:t>
      </w:r>
      <w:r w:rsidRPr="00B54158">
        <w:rPr>
          <w:i/>
          <w:iCs/>
          <w:szCs w:val="18"/>
        </w:rPr>
        <w:t xml:space="preserve">de novo </w:t>
      </w:r>
      <w:r w:rsidRPr="00B54158">
        <w:rPr>
          <w:szCs w:val="18"/>
        </w:rPr>
        <w:t>organisms designed and constructed in the lab, may be significantly different from other organisms, including conventionally genetically-modified organisms, in that they lack analogs in the natural world (ICSWGSB 2011).</w:t>
      </w:r>
    </w:p>
  </w:footnote>
  <w:footnote w:id="51">
    <w:p w14:paraId="21588C32" w14:textId="77777777" w:rsidR="00675A50" w:rsidRPr="00B54158" w:rsidRDefault="00675A50" w:rsidP="001B3C35">
      <w:pPr>
        <w:pStyle w:val="FootnoteText"/>
        <w:spacing w:after="0"/>
        <w:ind w:firstLine="0"/>
        <w:rPr>
          <w:szCs w:val="18"/>
        </w:rPr>
      </w:pPr>
      <w:r w:rsidRPr="008F6B23">
        <w:rPr>
          <w:rStyle w:val="FootnoteCharacters"/>
          <w:szCs w:val="18"/>
          <w:u w:val="none"/>
          <w:vertAlign w:val="superscript"/>
        </w:rPr>
        <w:footnoteRef/>
      </w:r>
      <w:r w:rsidRPr="00291EE9">
        <w:rPr>
          <w:szCs w:val="18"/>
          <w:vertAlign w:val="superscript"/>
        </w:rPr>
        <w:t xml:space="preserve"> </w:t>
      </w:r>
      <w:r>
        <w:rPr>
          <w:szCs w:val="18"/>
        </w:rPr>
        <w:t>The IUCN Guide to the Cartagena Protocol reports that living modified organisms</w:t>
      </w:r>
      <w:r w:rsidRPr="00B54158">
        <w:rPr>
          <w:szCs w:val="18"/>
        </w:rPr>
        <w:t xml:space="preserve"> that are pharmaceuticals for humans are “principally genetically engineered vaccines” (Mackenzie et al. 2003). </w:t>
      </w:r>
      <w:r w:rsidRPr="00585718">
        <w:rPr>
          <w:szCs w:val="18"/>
        </w:rPr>
        <w:t>In comments to an earlier version of this document, one organization noted that “continued research and development of vaccines, whether for humans or animals, may be discouraged if synthetic biology is further included within the Cartagena Protocol.”</w:t>
      </w:r>
    </w:p>
  </w:footnote>
  <w:footnote w:id="52">
    <w:p w14:paraId="685C0743" w14:textId="77777777" w:rsidR="00675A50" w:rsidRDefault="00675A50" w:rsidP="00960C06">
      <w:pPr>
        <w:pStyle w:val="FootnoteText"/>
        <w:spacing w:after="0"/>
        <w:ind w:firstLine="0"/>
        <w:jc w:val="left"/>
      </w:pPr>
      <w:r w:rsidRPr="008F6B23">
        <w:rPr>
          <w:rStyle w:val="FootnoteCharacters"/>
          <w:u w:val="none"/>
          <w:vertAlign w:val="superscript"/>
        </w:rPr>
        <w:footnoteRef/>
      </w:r>
      <w:r>
        <w:rPr>
          <w:szCs w:val="18"/>
        </w:rPr>
        <w:t xml:space="preserve"> See </w:t>
      </w:r>
      <w:hyperlink r:id="rId31" w:history="1">
        <w:r>
          <w:rPr>
            <w:rStyle w:val="Hyperlink"/>
            <w:szCs w:val="18"/>
          </w:rPr>
          <w:t>http://www.cbd.int/abs/nagoya-protocol/signatories/default.shtml</w:t>
        </w:r>
      </w:hyperlink>
      <w:r>
        <w:rPr>
          <w:szCs w:val="18"/>
        </w:rPr>
        <w:t>.</w:t>
      </w:r>
    </w:p>
  </w:footnote>
  <w:footnote w:id="53">
    <w:p w14:paraId="7782D183" w14:textId="77777777" w:rsidR="00675A50" w:rsidRPr="004E0D8F" w:rsidRDefault="00675A50" w:rsidP="00960C06">
      <w:pPr>
        <w:pStyle w:val="FootnoteText"/>
        <w:ind w:firstLine="0"/>
      </w:pPr>
      <w:r>
        <w:rPr>
          <w:rStyle w:val="FootnoteReference"/>
        </w:rPr>
        <w:footnoteRef/>
      </w:r>
      <w:r>
        <w:t xml:space="preserve"> </w:t>
      </w:r>
      <w:r w:rsidRPr="004E0D8F">
        <w:t>It should be noted that this document is made available for the information of Parties to the Convention and is not intended to affect the rights and obligations of Parties to the Convention or its Protocols.</w:t>
      </w:r>
    </w:p>
  </w:footnote>
  <w:footnote w:id="54">
    <w:p w14:paraId="70AC7EC1" w14:textId="09E0C180" w:rsidR="00675A50" w:rsidRDefault="00675A50" w:rsidP="00960C06">
      <w:pPr>
        <w:pStyle w:val="FootnoteText"/>
        <w:spacing w:after="0"/>
        <w:ind w:firstLine="0"/>
        <w:jc w:val="left"/>
      </w:pPr>
      <w:r w:rsidRPr="008F6B23">
        <w:rPr>
          <w:rStyle w:val="FootnoteCharacters"/>
          <w:u w:val="none"/>
          <w:vertAlign w:val="superscript"/>
        </w:rPr>
        <w:footnoteRef/>
      </w:r>
      <w:r>
        <w:rPr>
          <w:szCs w:val="18"/>
          <w:vertAlign w:val="superscript"/>
        </w:rPr>
        <w:t xml:space="preserve"> </w:t>
      </w:r>
      <w:r>
        <w:rPr>
          <w:szCs w:val="18"/>
          <w:lang w:val="en-US"/>
        </w:rPr>
        <w:t>See Singh Nijar (2011) for descriptions of the arguments for differing interpretations of the role of derivatives in the Nagoya Protocol.</w:t>
      </w:r>
    </w:p>
  </w:footnote>
  <w:footnote w:id="55">
    <w:p w14:paraId="54500429" w14:textId="499CD8A6" w:rsidR="00675A50" w:rsidRPr="009C2DA0" w:rsidRDefault="00675A50" w:rsidP="008F6B23">
      <w:pPr>
        <w:pStyle w:val="FootnoteText"/>
        <w:ind w:firstLine="0"/>
        <w:jc w:val="left"/>
        <w:rPr>
          <w:lang w:val="fr-FR"/>
        </w:rPr>
      </w:pPr>
      <w:r>
        <w:rPr>
          <w:rStyle w:val="FootnoteReference"/>
        </w:rPr>
        <w:footnoteRef/>
      </w:r>
      <w:r>
        <w:t xml:space="preserve"> </w:t>
      </w:r>
      <w:r>
        <w:rPr>
          <w:rFonts w:eastAsia="Calibri" w:hAnsi="Calibri"/>
          <w:lang w:val="en-GB" w:eastAsia="en-US"/>
        </w:rPr>
        <w:t xml:space="preserve">Responsible Life Sciences Research for Global Health Security. </w:t>
      </w:r>
      <w:r w:rsidRPr="009C2DA0">
        <w:rPr>
          <w:rFonts w:eastAsia="Calibri" w:hAnsi="Calibri"/>
          <w:lang w:val="fr-FR" w:eastAsia="en-US"/>
        </w:rPr>
        <w:t xml:space="preserve">A Guidance Document. Available at: </w:t>
      </w:r>
      <w:hyperlink r:id="rId32" w:history="1">
        <w:r w:rsidRPr="009C2DA0">
          <w:rPr>
            <w:rStyle w:val="Hyperlink"/>
            <w:rFonts w:eastAsia="Calibri" w:hAnsi="Calibri"/>
            <w:lang w:val="fr-FR" w:eastAsia="en-US"/>
          </w:rPr>
          <w:t>https://apps.who.int/iris/handle/10665/70507</w:t>
        </w:r>
      </w:hyperlink>
    </w:p>
  </w:footnote>
  <w:footnote w:id="56">
    <w:p w14:paraId="1CBC750F" w14:textId="5E43DDBB" w:rsidR="00675A50" w:rsidRPr="009C2DA0" w:rsidRDefault="00675A50" w:rsidP="008F6B23">
      <w:pPr>
        <w:pStyle w:val="FootnoteText"/>
        <w:ind w:firstLine="0"/>
        <w:rPr>
          <w:szCs w:val="18"/>
          <w:lang w:val="fr-FR"/>
        </w:rPr>
      </w:pPr>
      <w:r w:rsidRPr="004D0B6F">
        <w:rPr>
          <w:rStyle w:val="FootnoteReference"/>
          <w:szCs w:val="18"/>
        </w:rPr>
        <w:footnoteRef/>
      </w:r>
      <w:r w:rsidRPr="009C2DA0">
        <w:rPr>
          <w:szCs w:val="18"/>
          <w:lang w:val="fr-FR"/>
        </w:rPr>
        <w:t xml:space="preserve"> </w:t>
      </w:r>
      <w:hyperlink r:id="rId33" w:history="1">
        <w:r w:rsidRPr="008F6B23">
          <w:rPr>
            <w:rStyle w:val="Hyperlink"/>
            <w:szCs w:val="18"/>
          </w:rPr>
          <w:t>https://www.who.int/teams/ihr/ihr-review-committees/covid-19</w:t>
        </w:r>
      </w:hyperlink>
      <w:r w:rsidRPr="009C2DA0">
        <w:rPr>
          <w:szCs w:val="18"/>
          <w:lang w:val="fr-FR"/>
        </w:rPr>
        <w:t xml:space="preserve"> </w:t>
      </w:r>
    </w:p>
  </w:footnote>
  <w:footnote w:id="57">
    <w:p w14:paraId="274A4118" w14:textId="6C3EA8FE" w:rsidR="00675A50" w:rsidRPr="009C2DA0" w:rsidRDefault="00675A50" w:rsidP="008F6B23">
      <w:pPr>
        <w:pStyle w:val="FootnoteText"/>
        <w:ind w:firstLine="0"/>
        <w:rPr>
          <w:lang w:val="fr-FR"/>
        </w:rPr>
      </w:pPr>
      <w:r w:rsidRPr="004D0B6F">
        <w:rPr>
          <w:rStyle w:val="FootnoteReference"/>
          <w:szCs w:val="18"/>
        </w:rPr>
        <w:footnoteRef/>
      </w:r>
      <w:r w:rsidRPr="009C2DA0">
        <w:rPr>
          <w:szCs w:val="18"/>
          <w:lang w:val="fr-FR"/>
        </w:rPr>
        <w:t xml:space="preserve"> </w:t>
      </w:r>
      <w:hyperlink r:id="rId34" w:history="1">
        <w:r w:rsidRPr="008F6B23">
          <w:rPr>
            <w:rStyle w:val="Hyperlink"/>
            <w:szCs w:val="18"/>
          </w:rPr>
          <w:t>https://www.un.org/disarmament/unoda-continues-its-mission-on-covid-19/</w:t>
        </w:r>
      </w:hyperlink>
      <w:r w:rsidRPr="009C2DA0">
        <w:rPr>
          <w:color w:val="454545"/>
          <w:szCs w:val="18"/>
          <w:shd w:val="clear" w:color="auto" w:fill="FFFFFF"/>
          <w:lang w:val="fr-FR"/>
        </w:rPr>
        <w:t xml:space="preserve"> </w:t>
      </w:r>
    </w:p>
  </w:footnote>
  <w:footnote w:id="58">
    <w:p w14:paraId="66B00F8E" w14:textId="77777777" w:rsidR="00675A50" w:rsidRPr="00576C49" w:rsidRDefault="00675A50" w:rsidP="008F6B23">
      <w:pPr>
        <w:pStyle w:val="FootnoteText"/>
        <w:ind w:firstLine="0"/>
        <w:rPr>
          <w:rFonts w:eastAsia="Yu Mincho"/>
          <w:lang w:eastAsia="ja-JP"/>
        </w:rPr>
      </w:pPr>
      <w:r>
        <w:rPr>
          <w:rStyle w:val="FootnoteReference"/>
        </w:rPr>
        <w:footnoteRef/>
      </w:r>
      <w:r>
        <w:t xml:space="preserve"> WHO, </w:t>
      </w:r>
      <w:r w:rsidRPr="00021779">
        <w:t>Synthetic biology technologies</w:t>
      </w:r>
      <w:r>
        <w:t>, June 2015 (</w:t>
      </w:r>
      <w:hyperlink r:id="rId35" w:history="1">
        <w:r w:rsidRPr="00576C49">
          <w:rPr>
            <w:rStyle w:val="Hyperlink"/>
          </w:rPr>
          <w:t>https://www.who.int/news-room/feature-stories/detail/synthetic-biology-technologies</w:t>
        </w:r>
      </w:hyperlink>
      <w:r w:rsidRPr="00576C49">
        <w:t xml:space="preserve">) </w:t>
      </w:r>
    </w:p>
  </w:footnote>
  <w:footnote w:id="59">
    <w:p w14:paraId="0B51B2A0" w14:textId="77777777" w:rsidR="00675A50" w:rsidRDefault="00675A50" w:rsidP="008F6B23">
      <w:pPr>
        <w:pStyle w:val="FootnoteText"/>
        <w:ind w:firstLine="0"/>
      </w:pPr>
      <w:r w:rsidRPr="00576C49">
        <w:rPr>
          <w:rStyle w:val="FootnoteReference"/>
        </w:rPr>
        <w:footnoteRef/>
      </w:r>
      <w:r w:rsidRPr="00576C49">
        <w:t xml:space="preserve"> WHO Recommendations concerning the distribution, handling and synthesis of variola virus DNA (2016), available at </w:t>
      </w:r>
      <w:hyperlink r:id="rId36" w:history="1">
        <w:r w:rsidRPr="00576C49">
          <w:rPr>
            <w:rStyle w:val="Hyperlink"/>
          </w:rPr>
          <w:t>https://www.who.int/publications/i/item/10665-241232</w:t>
        </w:r>
      </w:hyperlink>
      <w:r>
        <w:t xml:space="preserve"> </w:t>
      </w:r>
    </w:p>
  </w:footnote>
  <w:footnote w:id="60">
    <w:p w14:paraId="583E5726" w14:textId="3A8EABDF" w:rsidR="00675A50" w:rsidRPr="008F6B23" w:rsidRDefault="00675A50" w:rsidP="004B3151">
      <w:pPr>
        <w:pStyle w:val="FootnoteText"/>
        <w:ind w:hanging="14"/>
        <w:rPr>
          <w:lang w:val="en-US"/>
        </w:rPr>
      </w:pPr>
      <w:r>
        <w:rPr>
          <w:rStyle w:val="FootnoteReference"/>
        </w:rPr>
        <w:footnoteRef/>
      </w:r>
      <w:r>
        <w:t xml:space="preserve"> WHO. Evaluation of genetically modified mosquitoes for the control of vector-borne diseases. Position statement. </w:t>
      </w:r>
      <w:hyperlink r:id="rId37" w:history="1">
        <w:r w:rsidRPr="009F7AD2">
          <w:rPr>
            <w:rStyle w:val="Hyperlink"/>
          </w:rPr>
          <w:t>https://www.who.int/publications/i/item/9789240013155</w:t>
        </w:r>
      </w:hyperlink>
      <w:r>
        <w:rPr>
          <w:lang w:val="en-US"/>
        </w:rPr>
        <w:t xml:space="preserve"> </w:t>
      </w:r>
    </w:p>
  </w:footnote>
  <w:footnote w:id="61">
    <w:p w14:paraId="6AA24164" w14:textId="1E657BC5" w:rsidR="00675A50" w:rsidRPr="00576C49" w:rsidRDefault="00675A50" w:rsidP="00067044">
      <w:pPr>
        <w:pStyle w:val="FootnoteText"/>
        <w:ind w:firstLine="0"/>
        <w:jc w:val="left"/>
        <w:rPr>
          <w:rFonts w:eastAsia="Yu Mincho"/>
          <w:lang w:eastAsia="ja-JP"/>
        </w:rPr>
      </w:pPr>
      <w:r>
        <w:rPr>
          <w:rStyle w:val="FootnoteReference"/>
        </w:rPr>
        <w:footnoteRef/>
      </w:r>
      <w:r>
        <w:t xml:space="preserve">  </w:t>
      </w:r>
      <w:r w:rsidRPr="00D97AF5">
        <w:t>Laboratory biosafety manual, 4</w:t>
      </w:r>
      <w:r w:rsidRPr="008F6B23">
        <w:rPr>
          <w:vertAlign w:val="superscript"/>
        </w:rPr>
        <w:t>th</w:t>
      </w:r>
      <w:r w:rsidRPr="00D97AF5">
        <w:t xml:space="preserve"> edition: </w:t>
      </w:r>
      <w:r>
        <w:t>core document</w:t>
      </w:r>
      <w:r>
        <w:rPr>
          <w:lang w:val="en-US"/>
        </w:rPr>
        <w:t xml:space="preserve">. </w:t>
      </w:r>
      <w:r w:rsidRPr="008F6B23">
        <w:rPr>
          <w:lang w:val="fr-CA"/>
        </w:rPr>
        <w:t xml:space="preserve">Available </w:t>
      </w:r>
      <w:r>
        <w:rPr>
          <w:lang w:val="fr-CA"/>
        </w:rPr>
        <w:t>at:</w:t>
      </w:r>
      <w:hyperlink r:id="rId38" w:history="1">
        <w:r w:rsidRPr="009F7AD2">
          <w:rPr>
            <w:rStyle w:val="Hyperlink"/>
          </w:rPr>
          <w:t>https://www.who.int/publications/i/item/9789240011311</w:t>
        </w:r>
      </w:hyperlink>
      <w:r>
        <w:t xml:space="preserve"> </w:t>
      </w:r>
    </w:p>
  </w:footnote>
  <w:footnote w:id="62">
    <w:p w14:paraId="6DB38B71" w14:textId="0FD7ACAF" w:rsidR="00675A50" w:rsidRPr="008F6B23" w:rsidRDefault="00675A50" w:rsidP="008F6B23">
      <w:pPr>
        <w:pStyle w:val="FootnoteText"/>
        <w:ind w:firstLine="0"/>
        <w:rPr>
          <w:rFonts w:eastAsia="Yu Mincho"/>
          <w:lang w:val="en-US" w:eastAsia="ja-JP"/>
        </w:rPr>
      </w:pPr>
      <w:r w:rsidRPr="00576C49">
        <w:rPr>
          <w:rStyle w:val="FootnoteReference"/>
        </w:rPr>
        <w:footnoteRef/>
      </w:r>
      <w:r w:rsidRPr="00576C49">
        <w:t xml:space="preserve"> </w:t>
      </w:r>
      <w:hyperlink r:id="rId39" w:history="1">
        <w:r w:rsidRPr="009F7AD2">
          <w:rPr>
            <w:rStyle w:val="Hyperlink"/>
          </w:rPr>
          <w:t>https://www.who.int/influenza/pip/virus_sharing/en/</w:t>
        </w:r>
      </w:hyperlink>
      <w:r>
        <w:rPr>
          <w:lang w:val="en-US"/>
        </w:rPr>
        <w:t xml:space="preserve"> </w:t>
      </w:r>
    </w:p>
  </w:footnote>
  <w:footnote w:id="63">
    <w:p w14:paraId="1BF96065" w14:textId="2C7AF2D8" w:rsidR="00675A50" w:rsidRPr="008F6B23" w:rsidRDefault="00675A50" w:rsidP="008F6B23">
      <w:pPr>
        <w:pStyle w:val="FootnoteText"/>
        <w:ind w:firstLine="0"/>
        <w:rPr>
          <w:rFonts w:eastAsia="Yu Mincho"/>
          <w:lang w:val="en-US" w:eastAsia="ja-JP"/>
        </w:rPr>
      </w:pPr>
      <w:r w:rsidRPr="00576C49">
        <w:rPr>
          <w:rStyle w:val="FootnoteReference"/>
        </w:rPr>
        <w:footnoteRef/>
      </w:r>
      <w:r w:rsidRPr="00576C49">
        <w:t xml:space="preserve"> </w:t>
      </w:r>
      <w:hyperlink r:id="rId40" w:history="1">
        <w:r w:rsidRPr="009F7AD2">
          <w:rPr>
            <w:rStyle w:val="Hyperlink"/>
          </w:rPr>
          <w:t>https://www.who.int/influenza/pip/en/</w:t>
        </w:r>
      </w:hyperlink>
      <w:r>
        <w:rPr>
          <w:lang w:val="en-US"/>
        </w:rPr>
        <w:t xml:space="preserve"> </w:t>
      </w:r>
    </w:p>
  </w:footnote>
  <w:footnote w:id="64">
    <w:p w14:paraId="5181CBA3" w14:textId="17F71D16" w:rsidR="00675A50" w:rsidRDefault="00675A50" w:rsidP="00695EC2">
      <w:pPr>
        <w:pStyle w:val="FootnoteText"/>
        <w:spacing w:after="0"/>
        <w:ind w:left="284" w:hanging="284"/>
      </w:pPr>
      <w:r>
        <w:rPr>
          <w:rStyle w:val="FootnoteReference"/>
        </w:rPr>
        <w:footnoteRef/>
      </w:r>
      <w:r>
        <w:t xml:space="preserve"> Pursuant to </w:t>
      </w:r>
      <w:r w:rsidRPr="00602BE9">
        <w:rPr>
          <w:lang w:val="en-GB"/>
        </w:rPr>
        <w:t>Decisions 17.89</w:t>
      </w:r>
      <w:r>
        <w:rPr>
          <w:lang w:val="en-GB"/>
        </w:rPr>
        <w:t xml:space="preserve"> </w:t>
      </w:r>
      <w:r w:rsidRPr="00602BE9">
        <w:rPr>
          <w:lang w:val="en-GB"/>
        </w:rPr>
        <w:t>to 17.91</w:t>
      </w:r>
      <w:r>
        <w:rPr>
          <w:lang w:val="en-GB"/>
        </w:rPr>
        <w:t xml:space="preserve"> available at </w:t>
      </w:r>
      <w:hyperlink r:id="rId41" w:history="1">
        <w:r w:rsidRPr="00DB6EF4">
          <w:rPr>
            <w:rStyle w:val="Hyperlink"/>
            <w:lang w:val="en-GB"/>
          </w:rPr>
          <w:t>https://cites.org/sites/default/files/eng/com/sc/69/E-SC69-35.pdf</w:t>
        </w:r>
      </w:hyperlink>
      <w:r>
        <w:rPr>
          <w:lang w:val="en-GB"/>
        </w:rPr>
        <w:t>.</w:t>
      </w:r>
    </w:p>
  </w:footnote>
  <w:footnote w:id="65">
    <w:p w14:paraId="7B6E013F" w14:textId="75BB587B" w:rsidR="00675A50" w:rsidRDefault="00675A50" w:rsidP="008F6B23">
      <w:pPr>
        <w:pStyle w:val="FootnoteText"/>
        <w:spacing w:after="0"/>
        <w:ind w:firstLine="0"/>
      </w:pPr>
      <w:r>
        <w:rPr>
          <w:rStyle w:val="FootnoteReference"/>
        </w:rPr>
        <w:footnoteRef/>
      </w:r>
      <w:r>
        <w:t xml:space="preserve"> Specifically pursuant to </w:t>
      </w:r>
      <w:r w:rsidRPr="00F85AE9">
        <w:rPr>
          <w:lang w:val="en-GB"/>
        </w:rPr>
        <w:t>Resolution Conf. 9.6 (Rev. CoP16)</w:t>
      </w:r>
      <w:r>
        <w:rPr>
          <w:lang w:val="en-GB"/>
        </w:rPr>
        <w:t xml:space="preserve"> </w:t>
      </w:r>
      <w:r w:rsidRPr="007670F7">
        <w:rPr>
          <w:lang w:val="en-GB"/>
        </w:rPr>
        <w:t>concerning Trade in readily recogni</w:t>
      </w:r>
      <w:r>
        <w:rPr>
          <w:lang w:val="en-GB"/>
        </w:rPr>
        <w:t>s</w:t>
      </w:r>
      <w:r w:rsidRPr="007670F7">
        <w:rPr>
          <w:lang w:val="en-GB"/>
        </w:rPr>
        <w:t>able parts and derivatives,</w:t>
      </w:r>
      <w:r>
        <w:rPr>
          <w:lang w:val="en-GB"/>
        </w:rPr>
        <w:t xml:space="preserve"> available at </w:t>
      </w:r>
      <w:hyperlink r:id="rId42" w:history="1">
        <w:r w:rsidRPr="00DB6EF4">
          <w:rPr>
            <w:rStyle w:val="Hyperlink"/>
            <w:lang w:val="en-GB"/>
          </w:rPr>
          <w:t>https://old.cites.org/eng/res/09/09-06R16.php</w:t>
        </w:r>
      </w:hyperlink>
      <w:r>
        <w:rPr>
          <w:lang w:val="en-GB"/>
        </w:rPr>
        <w:t>.</w:t>
      </w:r>
    </w:p>
  </w:footnote>
  <w:footnote w:id="66">
    <w:p w14:paraId="45052EE3" w14:textId="09231706" w:rsidR="00675A50" w:rsidRPr="00640873" w:rsidRDefault="00675A50" w:rsidP="008F6B23">
      <w:pPr>
        <w:pStyle w:val="FootnoteText"/>
        <w:spacing w:after="0"/>
        <w:ind w:firstLine="0"/>
        <w:rPr>
          <w:lang w:val="en-GB"/>
        </w:rPr>
      </w:pPr>
      <w:r>
        <w:rPr>
          <w:rStyle w:val="FootnoteReference"/>
        </w:rPr>
        <w:footnoteRef/>
      </w:r>
      <w:r>
        <w:t xml:space="preserve"> </w:t>
      </w:r>
      <w:r w:rsidRPr="00521DD8">
        <w:rPr>
          <w:lang w:val="en-GB"/>
        </w:rPr>
        <w:t xml:space="preserve">The study is available as Annex 6 to Document </w:t>
      </w:r>
      <w:r>
        <w:rPr>
          <w:lang w:val="en-GB"/>
        </w:rPr>
        <w:t xml:space="preserve">SC70 33 available at </w:t>
      </w:r>
      <w:hyperlink r:id="rId43" w:history="1">
        <w:r w:rsidRPr="00622878">
          <w:rPr>
            <w:rStyle w:val="Hyperlink"/>
            <w:lang w:val="en-GB"/>
          </w:rPr>
          <w:t>https://cites.org/sites/default/files/eng/com/sc/70/E-SC70-33-A6.pdf</w:t>
        </w:r>
      </w:hyperlink>
      <w:r>
        <w:rPr>
          <w:lang w:val="en-GB"/>
        </w:rPr>
        <w:t>.</w:t>
      </w:r>
    </w:p>
  </w:footnote>
  <w:footnote w:id="67">
    <w:p w14:paraId="4632C506" w14:textId="7B66EB1E" w:rsidR="00675A50" w:rsidRDefault="00675A50" w:rsidP="00EC239B">
      <w:pPr>
        <w:pStyle w:val="FootnoteText"/>
        <w:spacing w:after="0"/>
        <w:ind w:firstLine="0"/>
      </w:pPr>
      <w:r>
        <w:rPr>
          <w:rStyle w:val="FootnoteReference"/>
        </w:rPr>
        <w:footnoteRef/>
      </w:r>
      <w:r>
        <w:t xml:space="preserve"> As noted in the </w:t>
      </w:r>
      <w:r>
        <w:rPr>
          <w:lang w:val="en-US"/>
        </w:rPr>
        <w:t>M</w:t>
      </w:r>
      <w:r>
        <w:t xml:space="preserve">eeting document </w:t>
      </w:r>
      <w:r w:rsidRPr="00C75641">
        <w:t>CoP18 Doc. 43</w:t>
      </w:r>
      <w:r>
        <w:t xml:space="preserve"> ‘</w:t>
      </w:r>
      <w:r w:rsidRPr="00C75641">
        <w:t xml:space="preserve">Specimens Produced </w:t>
      </w:r>
      <w:r>
        <w:t>f</w:t>
      </w:r>
      <w:r w:rsidRPr="00C75641">
        <w:t xml:space="preserve">rom Synthetic </w:t>
      </w:r>
      <w:r>
        <w:t>o</w:t>
      </w:r>
      <w:r w:rsidRPr="00C75641">
        <w:t>r Cultured D</w:t>
      </w:r>
      <w:r>
        <w:t xml:space="preserve">NA’ submitted to </w:t>
      </w:r>
      <w:r w:rsidRPr="00C75641">
        <w:t>Eighteenth meeting of the Conference of the Parties</w:t>
      </w:r>
      <w:r>
        <w:t xml:space="preserve">, </w:t>
      </w:r>
      <w:r w:rsidRPr="00C75641">
        <w:t>23 May – 3 June 2019</w:t>
      </w:r>
      <w:r>
        <w:t>.</w:t>
      </w:r>
    </w:p>
  </w:footnote>
  <w:footnote w:id="68">
    <w:p w14:paraId="51298004" w14:textId="77777777" w:rsidR="00675A50" w:rsidRPr="00474099" w:rsidRDefault="00675A50" w:rsidP="009B247E">
      <w:pPr>
        <w:pStyle w:val="FootnoteText"/>
        <w:ind w:firstLine="0"/>
        <w:jc w:val="left"/>
        <w:rPr>
          <w:lang w:val="en-GB"/>
        </w:rPr>
      </w:pPr>
      <w:r>
        <w:rPr>
          <w:rStyle w:val="FootnoteReference"/>
        </w:rPr>
        <w:footnoteRef/>
      </w:r>
      <w:r>
        <w:t xml:space="preserve"> </w:t>
      </w:r>
      <w:r>
        <w:rPr>
          <w:lang w:val="en-GB"/>
        </w:rPr>
        <w:t xml:space="preserve">As per the Summary Record </w:t>
      </w:r>
      <w:r w:rsidRPr="008844CA">
        <w:rPr>
          <w:lang w:val="en-GB"/>
        </w:rPr>
        <w:t xml:space="preserve">Seventieth meeting of the Standing Committee </w:t>
      </w:r>
      <w:r>
        <w:rPr>
          <w:lang w:val="en-GB"/>
        </w:rPr>
        <w:t xml:space="preserve">SC70SR available at </w:t>
      </w:r>
      <w:hyperlink r:id="rId44" w:history="1">
        <w:r w:rsidRPr="00952A77">
          <w:rPr>
            <w:rStyle w:val="Hyperlink"/>
            <w:lang w:val="en-GB"/>
          </w:rPr>
          <w:t>https://cites.org/sites/default/files/eng/com/sc/70/exsum/E-SC70-SR.pdf</w:t>
        </w:r>
      </w:hyperlink>
      <w:r>
        <w:rPr>
          <w:lang w:val="en-GB"/>
        </w:rPr>
        <w:t>.</w:t>
      </w:r>
    </w:p>
  </w:footnote>
  <w:footnote w:id="69">
    <w:p w14:paraId="099DC3AA" w14:textId="3656E931" w:rsidR="00675A50" w:rsidRPr="00474099" w:rsidRDefault="00675A50" w:rsidP="00474099">
      <w:pPr>
        <w:pStyle w:val="FootnoteText"/>
        <w:ind w:firstLine="0"/>
        <w:rPr>
          <w:lang w:val="en-GB"/>
        </w:rPr>
      </w:pPr>
      <w:r>
        <w:rPr>
          <w:rStyle w:val="FootnoteReference"/>
        </w:rPr>
        <w:footnoteRef/>
      </w:r>
      <w:r>
        <w:t xml:space="preserve"> </w:t>
      </w:r>
      <w:r>
        <w:rPr>
          <w:lang w:val="en-GB"/>
        </w:rPr>
        <w:t xml:space="preserve">Note, the change in terminology from “specimens produced through </w:t>
      </w:r>
      <w:r w:rsidRPr="00174544">
        <w:rPr>
          <w:lang w:val="en-GB"/>
        </w:rPr>
        <w:t>synthetic or cultured DNA</w:t>
      </w:r>
      <w:r>
        <w:rPr>
          <w:lang w:val="en-GB"/>
        </w:rPr>
        <w:t xml:space="preserve"> </w:t>
      </w:r>
      <w:r w:rsidRPr="008D1550">
        <w:rPr>
          <w:lang w:val="en-GB"/>
        </w:rPr>
        <w:t>to “specimens produced through biotechnology”</w:t>
      </w:r>
      <w:r>
        <w:rPr>
          <w:lang w:val="en-GB"/>
        </w:rPr>
        <w:t xml:space="preserve"> was made in accordance with to the Standing Committee’s recommendation.</w:t>
      </w:r>
    </w:p>
  </w:footnote>
  <w:footnote w:id="70">
    <w:p w14:paraId="261515F7" w14:textId="6DC1A548" w:rsidR="00675A50" w:rsidRPr="00474099" w:rsidRDefault="00675A50" w:rsidP="008F6B23">
      <w:pPr>
        <w:pStyle w:val="FootnoteText"/>
        <w:ind w:firstLine="0"/>
        <w:jc w:val="left"/>
        <w:rPr>
          <w:lang w:val="en-GB"/>
        </w:rPr>
      </w:pPr>
      <w:r>
        <w:rPr>
          <w:rStyle w:val="FootnoteReference"/>
        </w:rPr>
        <w:footnoteRef/>
      </w:r>
      <w:r>
        <w:t xml:space="preserve"> </w:t>
      </w:r>
      <w:r>
        <w:rPr>
          <w:lang w:val="en-GB"/>
        </w:rPr>
        <w:t xml:space="preserve">As per Decisions </w:t>
      </w:r>
      <w:r w:rsidRPr="006579E7">
        <w:rPr>
          <w:lang w:val="en-GB"/>
        </w:rPr>
        <w:t>18.147 - 18.150 Specimens produced through biotechnology</w:t>
      </w:r>
      <w:r>
        <w:rPr>
          <w:lang w:val="en-GB"/>
        </w:rPr>
        <w:t xml:space="preserve"> available at </w:t>
      </w:r>
      <w:hyperlink r:id="rId45" w:history="1">
        <w:r w:rsidRPr="00E51B9E">
          <w:rPr>
            <w:rStyle w:val="Hyperlink"/>
            <w:lang w:val="en-GB"/>
          </w:rPr>
          <w:t>https://cites.org/eng/taxonomy/term/42062</w:t>
        </w:r>
      </w:hyperlink>
      <w:r>
        <w:rPr>
          <w:lang w:val="en-GB"/>
        </w:rPr>
        <w:t xml:space="preserve">. </w:t>
      </w:r>
    </w:p>
  </w:footnote>
  <w:footnote w:id="71">
    <w:p w14:paraId="79280FCE" w14:textId="77777777" w:rsidR="00675A50" w:rsidRPr="00371900" w:rsidRDefault="00675A50" w:rsidP="000325B2">
      <w:pPr>
        <w:pStyle w:val="FootnoteText"/>
        <w:ind w:firstLine="0"/>
        <w:rPr>
          <w:lang w:val="en-US"/>
        </w:rPr>
      </w:pPr>
      <w:r>
        <w:rPr>
          <w:rStyle w:val="FootnoteReference"/>
        </w:rPr>
        <w:footnoteRef/>
      </w:r>
      <w:r>
        <w:t xml:space="preserve"> </w:t>
      </w:r>
      <w:r w:rsidRPr="00371900">
        <w:t>The rules relevant to the present note are customary law, although some other concepts in the Articles on State Responsibility may not be universally accepted. Previous drafts of the Articles on State Responsibility had introduced the concept of “international crimes”, which included serious breaches of certain environmental obligations. However, that concept was subsequently dropped and does not appear in the final outcome of the ILC’s work.</w:t>
      </w:r>
    </w:p>
  </w:footnote>
  <w:footnote w:id="72">
    <w:p w14:paraId="10F3417C" w14:textId="77777777" w:rsidR="00675A50" w:rsidRPr="00154FD4" w:rsidRDefault="00675A50" w:rsidP="000325B2">
      <w:pPr>
        <w:pStyle w:val="FootnoteText"/>
        <w:ind w:firstLine="0"/>
        <w:rPr>
          <w:szCs w:val="22"/>
          <w:shd w:val="clear" w:color="auto" w:fill="FFFFFF"/>
        </w:rPr>
      </w:pPr>
      <w:r>
        <w:rPr>
          <w:rStyle w:val="FootnoteReference"/>
        </w:rPr>
        <w:footnoteRef/>
      </w:r>
      <w:r>
        <w:t xml:space="preserve"> </w:t>
      </w:r>
      <w:r w:rsidRPr="00DD3DFF">
        <w:rPr>
          <w:szCs w:val="22"/>
          <w:shd w:val="clear" w:color="auto" w:fill="FFFFFF"/>
        </w:rPr>
        <w:t>In addition, and as a result of a separate stream of work, the International Law Commission has also drafted a separate set of articles regarding harmful effects of “hazardous” acts, even where such acts are not in breach of an international obligation, although such principles only refer to the allocation of loss</w:t>
      </w:r>
      <w:r>
        <w:rPr>
          <w:szCs w:val="22"/>
          <w:shd w:val="clear" w:color="auto" w:fill="FFFFFF"/>
        </w:rPr>
        <w:t>, s</w:t>
      </w:r>
      <w:r w:rsidRPr="00154FD4">
        <w:rPr>
          <w:szCs w:val="22"/>
          <w:shd w:val="clear" w:color="auto" w:fill="FFFFFF"/>
        </w:rPr>
        <w:t xml:space="preserve">ee for instance the work of the ILC on </w:t>
      </w:r>
      <w:r w:rsidRPr="00154FD4">
        <w:rPr>
          <w:i/>
          <w:szCs w:val="22"/>
          <w:shd w:val="clear" w:color="auto" w:fill="FFFFFF"/>
        </w:rPr>
        <w:t>Draft Articles on Prevention of Transboundary Harm from Hazardous Activities</w:t>
      </w:r>
      <w:r w:rsidRPr="00154FD4">
        <w:rPr>
          <w:szCs w:val="22"/>
          <w:shd w:val="clear" w:color="auto" w:fill="FFFFFF"/>
        </w:rPr>
        <w:t>, UN Doc A/56/10.</w:t>
      </w:r>
      <w:r>
        <w:rPr>
          <w:szCs w:val="22"/>
          <w:shd w:val="clear" w:color="auto" w:fill="FFFFFF"/>
        </w:rPr>
        <w:t xml:space="preserve"> </w:t>
      </w:r>
      <w:r w:rsidRPr="00DD3DFF">
        <w:rPr>
          <w:szCs w:val="22"/>
          <w:shd w:val="clear" w:color="auto" w:fill="FFFFFF"/>
        </w:rPr>
        <w:t xml:space="preserve">This could include making private </w:t>
      </w:r>
      <w:r>
        <w:rPr>
          <w:szCs w:val="22"/>
          <w:shd w:val="clear" w:color="auto" w:fill="FFFFFF"/>
        </w:rPr>
        <w:t>actors liable under domestic law, cf.</w:t>
      </w:r>
      <w:r w:rsidRPr="00154FD4">
        <w:rPr>
          <w:szCs w:val="22"/>
          <w:shd w:val="clear" w:color="auto" w:fill="FFFFFF"/>
        </w:rPr>
        <w:t xml:space="preserve"> ILC, </w:t>
      </w:r>
      <w:r w:rsidRPr="00154FD4">
        <w:rPr>
          <w:i/>
          <w:szCs w:val="22"/>
          <w:shd w:val="clear" w:color="auto" w:fill="FFFFFF"/>
        </w:rPr>
        <w:t xml:space="preserve">Draft principles on the allocation of loss in the case of transboundary harm arising out of hazardous activities, </w:t>
      </w:r>
      <w:r w:rsidRPr="00154FD4">
        <w:rPr>
          <w:szCs w:val="22"/>
          <w:shd w:val="clear" w:color="auto" w:fill="FFFFFF"/>
        </w:rPr>
        <w:t>UN Doc. A/66/10, para</w:t>
      </w:r>
      <w:r>
        <w:rPr>
          <w:szCs w:val="22"/>
          <w:shd w:val="clear" w:color="auto" w:fill="FFFFFF"/>
        </w:rPr>
        <w:t>graph</w:t>
      </w:r>
      <w:r w:rsidRPr="00154FD4">
        <w:rPr>
          <w:szCs w:val="22"/>
          <w:shd w:val="clear" w:color="auto" w:fill="FFFFFF"/>
        </w:rPr>
        <w:t xml:space="preserve"> 66, in particular principle 4.2.</w:t>
      </w:r>
      <w:r>
        <w:rPr>
          <w:szCs w:val="22"/>
          <w:shd w:val="clear" w:color="auto" w:fill="FFFFFF"/>
        </w:rPr>
        <w:t xml:space="preserve"> </w:t>
      </w:r>
      <w:r w:rsidRPr="00154FD4">
        <w:rPr>
          <w:szCs w:val="22"/>
          <w:shd w:val="clear" w:color="auto" w:fill="FFFFFF"/>
        </w:rPr>
        <w:t xml:space="preserve">In contrast to many of the Articles on State Responsibility, these draft articles do not reflect customary law. </w:t>
      </w:r>
    </w:p>
  </w:footnote>
  <w:footnote w:id="73">
    <w:p w14:paraId="5F23EEF6" w14:textId="48608C57" w:rsidR="00675A50" w:rsidRDefault="00675A50" w:rsidP="000325B2">
      <w:r w:rsidRPr="00442A5B">
        <w:rPr>
          <w:rStyle w:val="FootnoteReference"/>
          <w:rFonts w:ascii="Times New Roman" w:eastAsia="Times New Roman" w:hAnsi="Times New Roman"/>
          <w:kern w:val="1"/>
          <w:sz w:val="18"/>
          <w:szCs w:val="24"/>
          <w:lang w:val="x-none" w:eastAsia="ar-SA"/>
        </w:rPr>
        <w:footnoteRef/>
      </w:r>
      <w:r w:rsidRPr="00442A5B">
        <w:rPr>
          <w:rStyle w:val="FootnoteReference"/>
          <w:rFonts w:ascii="Times New Roman" w:eastAsia="Times New Roman" w:hAnsi="Times New Roman"/>
          <w:kern w:val="1"/>
          <w:sz w:val="18"/>
          <w:szCs w:val="24"/>
          <w:lang w:val="x-none" w:eastAsia="ar-SA"/>
        </w:rPr>
        <w:t xml:space="preserve"> </w:t>
      </w:r>
      <w:r>
        <w:rPr>
          <w:rFonts w:ascii="Times New Roman" w:eastAsia="Times New Roman" w:hAnsi="Times New Roman"/>
          <w:kern w:val="1"/>
          <w:sz w:val="18"/>
          <w:szCs w:val="24"/>
          <w:lang w:eastAsia="ar-SA"/>
        </w:rPr>
        <w:t xml:space="preserve">As per the relationships outlined in the </w:t>
      </w:r>
      <w:r w:rsidRPr="00442A5B">
        <w:rPr>
          <w:rFonts w:ascii="Times New Roman" w:eastAsia="Times New Roman" w:hAnsi="Times New Roman"/>
          <w:kern w:val="1"/>
          <w:sz w:val="18"/>
          <w:shd w:val="clear" w:color="auto" w:fill="FFFFFF"/>
          <w:lang w:val="x-none" w:eastAsia="ar-SA"/>
        </w:rPr>
        <w:t>Draft Articles on Prevention of Transboundary Harm from Hazardous Activities</w:t>
      </w:r>
      <w:r>
        <w:rPr>
          <w:rFonts w:ascii="Times New Roman" w:eastAsia="Times New Roman" w:hAnsi="Times New Roman"/>
          <w:kern w:val="1"/>
          <w:sz w:val="18"/>
          <w:shd w:val="clear" w:color="auto" w:fill="FFFFFF"/>
          <w:lang w:eastAsia="ar-SA"/>
        </w:rPr>
        <w:t>, as</w:t>
      </w:r>
      <w:r w:rsidRPr="00442A5B">
        <w:rPr>
          <w:rFonts w:ascii="Times New Roman" w:eastAsia="Times New Roman" w:hAnsi="Times New Roman"/>
          <w:kern w:val="1"/>
          <w:sz w:val="18"/>
          <w:shd w:val="clear" w:color="auto" w:fill="FFFFFF"/>
          <w:lang w:val="x-none" w:eastAsia="ar-SA"/>
        </w:rPr>
        <w:t xml:space="preserve"> explained in footnote </w:t>
      </w:r>
      <w:r>
        <w:rPr>
          <w:rFonts w:ascii="Times New Roman" w:eastAsia="Times New Roman" w:hAnsi="Times New Roman"/>
          <w:kern w:val="1"/>
          <w:sz w:val="18"/>
          <w:shd w:val="clear" w:color="auto" w:fill="FFFFFF"/>
          <w:lang w:eastAsia="ar-SA"/>
        </w:rPr>
        <w:t>64</w:t>
      </w:r>
      <w:r w:rsidRPr="00442A5B">
        <w:rPr>
          <w:rFonts w:ascii="Times New Roman" w:eastAsia="Times New Roman" w:hAnsi="Times New Roman"/>
          <w:kern w:val="1"/>
          <w:sz w:val="18"/>
          <w:shd w:val="clear" w:color="auto" w:fill="FFFFFF"/>
          <w:lang w:val="x-none" w:eastAsia="ar-SA"/>
        </w:rPr>
        <w:t>.</w:t>
      </w:r>
    </w:p>
  </w:footnote>
  <w:footnote w:id="74">
    <w:p w14:paraId="00934710" w14:textId="77777777" w:rsidR="00675A50" w:rsidRPr="000D2432" w:rsidRDefault="00675A50" w:rsidP="000325B2">
      <w:pPr>
        <w:pStyle w:val="FootnoteText"/>
        <w:ind w:firstLine="0"/>
        <w:rPr>
          <w:lang w:val="en-US"/>
        </w:rPr>
      </w:pPr>
      <w:r>
        <w:rPr>
          <w:rStyle w:val="FootnoteReference"/>
        </w:rPr>
        <w:footnoteRef/>
      </w:r>
      <w:r>
        <w:t xml:space="preserve"> ICJ, Case concerning the Gabcikovo-Nagymaros Project (</w:t>
      </w:r>
      <w:r w:rsidRPr="000D2432">
        <w:t>Hungary v. Slovakia</w:t>
      </w:r>
      <w:r>
        <w:rPr>
          <w:i/>
        </w:rPr>
        <w:t>)</w:t>
      </w:r>
      <w:r>
        <w:t xml:space="preserve">, ICJ Reports 1997, 7, paragraph 53; and Legality of the Threat or Use of Nuclear Weapons (Advisory Opinion - General Assembly), ICJ Reports 1996, 22, paragraph 29. </w:t>
      </w:r>
    </w:p>
  </w:footnote>
  <w:footnote w:id="75">
    <w:p w14:paraId="2D19CF4F" w14:textId="77777777" w:rsidR="00675A50" w:rsidRPr="00B44E2D" w:rsidRDefault="00675A50" w:rsidP="000325B2">
      <w:pPr>
        <w:pStyle w:val="FootnoteText"/>
        <w:ind w:firstLine="0"/>
        <w:rPr>
          <w:lang w:val="en-US"/>
        </w:rPr>
      </w:pPr>
      <w:r>
        <w:rPr>
          <w:rStyle w:val="FootnoteReference"/>
        </w:rPr>
        <w:footnoteRef/>
      </w:r>
      <w:r>
        <w:t xml:space="preserve"> </w:t>
      </w:r>
      <w:r>
        <w:rPr>
          <w:lang w:val="en-US"/>
        </w:rPr>
        <w:t xml:space="preserve">The earliest version of this concept can be found in the </w:t>
      </w:r>
      <w:r w:rsidRPr="00A67F3F">
        <w:rPr>
          <w:lang w:val="en-US"/>
        </w:rPr>
        <w:t>Trail Smelter Arbitration</w:t>
      </w:r>
      <w:r>
        <w:rPr>
          <w:lang w:val="en-US"/>
        </w:rPr>
        <w:t xml:space="preserve">, where the arbitral tribunal stated that ”under principles of international law (…) no State has the right to use or permit of its territory in such a manner as to cause injury by fumes on or in the territory of another or the properties therein, if the case is of serious consequence and the injury is established by clear and convincing evidence”, see Trail Smelter Arbitration (United States v. Canada, Reports of International Arbitral Awards, vol.3, 1938 (1941), p. 1965). </w:t>
      </w:r>
    </w:p>
  </w:footnote>
  <w:footnote w:id="76">
    <w:p w14:paraId="5232E0C4" w14:textId="77777777" w:rsidR="00675A50" w:rsidRDefault="00675A50" w:rsidP="000325B2">
      <w:pPr>
        <w:pStyle w:val="FootnoteText"/>
        <w:ind w:firstLine="0"/>
        <w:jc w:val="left"/>
      </w:pPr>
      <w:r w:rsidRPr="008F6B23">
        <w:rPr>
          <w:rStyle w:val="FootnoteCharacters"/>
          <w:u w:val="none"/>
          <w:vertAlign w:val="superscript"/>
        </w:rPr>
        <w:footnoteRef/>
      </w:r>
      <w:r>
        <w:t xml:space="preserve"> ICJ, Case concerning Pulp Mills on the R</w:t>
      </w:r>
      <w:r w:rsidRPr="00446CFA">
        <w:t xml:space="preserve">iver Uruguay (Argentia v. Uruguay), </w:t>
      </w:r>
      <w:r>
        <w:t>ICJ Reports 2010, 14, paragraph 101.</w:t>
      </w:r>
    </w:p>
  </w:footnote>
  <w:footnote w:id="77">
    <w:p w14:paraId="04E5A718" w14:textId="77777777" w:rsidR="00675A50" w:rsidRDefault="00675A50" w:rsidP="000325B2">
      <w:pPr>
        <w:pStyle w:val="FootnoteText"/>
        <w:ind w:firstLine="0"/>
        <w:jc w:val="left"/>
      </w:pPr>
      <w:r w:rsidRPr="008F6B23">
        <w:rPr>
          <w:rStyle w:val="FootnoteCharacters"/>
          <w:u w:val="none"/>
          <w:vertAlign w:val="superscript"/>
        </w:rPr>
        <w:footnoteRef/>
      </w:r>
      <w:r w:rsidRPr="00986472">
        <w:rPr>
          <w:vertAlign w:val="superscript"/>
        </w:rPr>
        <w:t xml:space="preserve"> </w:t>
      </w:r>
      <w:r>
        <w:t>31 ILM 876 (1992); cf. principle 21 of the preceding 1972 Declaration of the UN Conference on the Human Environment (Stockholm Declaration), 11 ILM 1416 (1972).</w:t>
      </w:r>
    </w:p>
  </w:footnote>
  <w:footnote w:id="78">
    <w:p w14:paraId="79480474" w14:textId="77777777" w:rsidR="00675A50" w:rsidRPr="00897837" w:rsidRDefault="00675A50" w:rsidP="000325B2">
      <w:pPr>
        <w:pStyle w:val="FootnoteText"/>
        <w:ind w:firstLine="0"/>
      </w:pPr>
      <w:r>
        <w:rPr>
          <w:rStyle w:val="FootnoteReference"/>
        </w:rPr>
        <w:footnoteRef/>
      </w:r>
      <w:r>
        <w:t xml:space="preserve"> See section 4.2</w:t>
      </w:r>
      <w:r>
        <w:rPr>
          <w:lang w:val="en-US"/>
        </w:rPr>
        <w:t>.</w:t>
      </w:r>
      <w:r>
        <w:t xml:space="preserve"> above and also </w:t>
      </w:r>
      <w:r w:rsidRPr="5AAE7B46">
        <w:rPr>
          <w:lang w:val="en-GB"/>
        </w:rPr>
        <w:t>section 4.2.5</w:t>
      </w:r>
      <w:r>
        <w:rPr>
          <w:lang w:val="en-GB"/>
        </w:rPr>
        <w:t>.</w:t>
      </w:r>
      <w:r w:rsidRPr="5AAE7B46">
        <w:rPr>
          <w:lang w:val="en-GB"/>
        </w:rPr>
        <w:t xml:space="preserve"> of the information document </w:t>
      </w:r>
      <w:r>
        <w:t>UNEP/CBD/COP/12/INF/11</w:t>
      </w:r>
      <w:r w:rsidRPr="5AAE7B46">
        <w:rPr>
          <w:lang w:val="en-GB"/>
        </w:rPr>
        <w:t>prepared by the Executive Secretary and submitted to the 12th meeting of the Conference of the Parties</w:t>
      </w:r>
    </w:p>
  </w:footnote>
  <w:footnote w:id="79">
    <w:p w14:paraId="5ADFD3F2" w14:textId="46479025" w:rsidR="00675A50" w:rsidRPr="0002123F" w:rsidRDefault="00675A50" w:rsidP="000325B2">
      <w:pPr>
        <w:pStyle w:val="FootnoteText"/>
        <w:ind w:firstLine="0"/>
        <w:jc w:val="left"/>
      </w:pPr>
      <w:r>
        <w:rPr>
          <w:rStyle w:val="FootnoteReference"/>
        </w:rPr>
        <w:footnoteRef/>
      </w:r>
      <w:r>
        <w:t xml:space="preserve"> The Nagoya – Kuala Lumpur Supplementary Protocol on Liability and Redress to the Cartagena Protocol on Biosafety provides, in its Article 4, a list of factors as basis for determining whether a particular damage is “significant”, see </w:t>
      </w:r>
      <w:r>
        <w:rPr>
          <w:lang w:val="en-GB"/>
        </w:rPr>
        <w:t>S</w:t>
      </w:r>
      <w:r>
        <w:t xml:space="preserve">ection </w:t>
      </w:r>
      <w:r>
        <w:rPr>
          <w:lang w:val="en-GB"/>
        </w:rPr>
        <w:t>8.3</w:t>
      </w:r>
      <w:r>
        <w:t xml:space="preserve">. </w:t>
      </w:r>
    </w:p>
  </w:footnote>
  <w:footnote w:id="80">
    <w:p w14:paraId="57D2C3DA" w14:textId="77777777" w:rsidR="00675A50" w:rsidRDefault="00675A50" w:rsidP="00986472">
      <w:pPr>
        <w:pStyle w:val="FootnoteText"/>
        <w:ind w:firstLine="0"/>
      </w:pPr>
      <w:r w:rsidRPr="008F6B23">
        <w:rPr>
          <w:rStyle w:val="FootnoteCharacters"/>
          <w:u w:val="none"/>
          <w:vertAlign w:val="superscript"/>
        </w:rPr>
        <w:footnoteRef/>
      </w:r>
      <w:r>
        <w:rPr>
          <w:lang w:val="en-US"/>
        </w:rPr>
        <w:t xml:space="preserve"> Note that the exact relationship between the two dimensions of the no harm concept is still subject to a significant degree of unclarity. All sources seem to agree though that the obligation to prevent represents an essential aspect of the obligation not to cause significant harm (Handl 2007).</w:t>
      </w:r>
    </w:p>
  </w:footnote>
  <w:footnote w:id="81">
    <w:p w14:paraId="4BB07356" w14:textId="77777777" w:rsidR="00675A50" w:rsidRDefault="00675A50" w:rsidP="00986472">
      <w:pPr>
        <w:pStyle w:val="FootnoteText"/>
        <w:ind w:firstLine="0"/>
      </w:pPr>
      <w:r w:rsidRPr="008F6B23">
        <w:rPr>
          <w:rStyle w:val="FootnoteCharacters"/>
          <w:u w:val="none"/>
          <w:vertAlign w:val="superscript"/>
        </w:rPr>
        <w:footnoteRef/>
      </w:r>
      <w:r w:rsidRPr="008F6B23">
        <w:rPr>
          <w:vertAlign w:val="superscript"/>
        </w:rPr>
        <w:t xml:space="preserve"> </w:t>
      </w:r>
      <w:r>
        <w:t xml:space="preserve">Cf. ILC, </w:t>
      </w:r>
      <w:r>
        <w:rPr>
          <w:i/>
        </w:rPr>
        <w:t>Articles on State Responsibility</w:t>
      </w:r>
      <w:r>
        <w:rPr>
          <w:lang w:val="en-US"/>
        </w:rPr>
        <w:t xml:space="preserve">, UN Doc. A/56/10, para 77, Chapter III para 2; ILC, </w:t>
      </w:r>
      <w:r>
        <w:rPr>
          <w:i/>
          <w:lang w:val="en-US"/>
        </w:rPr>
        <w:t>Draft articles on prevention of transboundary harm from hazardous activities</w:t>
      </w:r>
      <w:r>
        <w:rPr>
          <w:lang w:val="en-US"/>
        </w:rPr>
        <w:t xml:space="preserve">, UN Doc. A/56/10, paragraph 98, Article 3 paragraph 8. </w:t>
      </w:r>
    </w:p>
  </w:footnote>
  <w:footnote w:id="82">
    <w:p w14:paraId="4B458EB8" w14:textId="77777777" w:rsidR="00675A50" w:rsidRDefault="00675A50" w:rsidP="00986472">
      <w:pPr>
        <w:pStyle w:val="FootnoteText"/>
        <w:ind w:firstLine="0"/>
      </w:pPr>
      <w:r w:rsidRPr="008F6B23">
        <w:rPr>
          <w:rStyle w:val="FootnoteCharacters"/>
          <w:u w:val="none"/>
          <w:vertAlign w:val="superscript"/>
        </w:rPr>
        <w:footnoteRef/>
      </w:r>
      <w:r w:rsidRPr="008F6B23">
        <w:rPr>
          <w:vertAlign w:val="superscript"/>
        </w:rPr>
        <w:t xml:space="preserve"> </w:t>
      </w:r>
      <w:r>
        <w:t xml:space="preserve">In recent years the ICJ has only granted two applications for provisional measures, in cases involving the imminent execution of prisoners, </w:t>
      </w:r>
      <w:r w:rsidRPr="003427B4">
        <w:t>LaGrand Case (Germany v. United States of America)</w:t>
      </w:r>
      <w:r>
        <w:t xml:space="preserve">, Provisional Measures, order of 03.03.1999; Avena and Other Mexican Nationals (Mexico </w:t>
      </w:r>
      <w:r>
        <w:rPr>
          <w:i/>
        </w:rPr>
        <w:t>v.</w:t>
      </w:r>
      <w:r>
        <w:t xml:space="preserve"> United States of America), order of 05.02.2003. All other applications were rejected, see </w:t>
      </w:r>
      <w:r>
        <w:rPr>
          <w:lang w:val="en-US"/>
        </w:rPr>
        <w:t xml:space="preserve">Armed Activities on the Territory of the Congo (New Application: 2002) (Democratic Republic of the Congo </w:t>
      </w:r>
      <w:r>
        <w:rPr>
          <w:i/>
          <w:lang w:val="en-US"/>
        </w:rPr>
        <w:t>v.</w:t>
      </w:r>
      <w:r>
        <w:rPr>
          <w:lang w:val="en-US"/>
        </w:rPr>
        <w:t xml:space="preserve"> Rwanda), order of 10.07.2002; </w:t>
      </w:r>
      <w:r>
        <w:t xml:space="preserve">Certain Criminal Proceedings in France (Republic of the Congo </w:t>
      </w:r>
      <w:r>
        <w:rPr>
          <w:i/>
        </w:rPr>
        <w:t>v.</w:t>
      </w:r>
      <w:r>
        <w:t xml:space="preserve"> France), order of 17.06.2003; Pulp Mills on the River Uruguay (Argentina </w:t>
      </w:r>
      <w:r>
        <w:rPr>
          <w:i/>
        </w:rPr>
        <w:t>v.</w:t>
      </w:r>
      <w:r>
        <w:t xml:space="preserve"> Uruguay), orders of 13.07.2006 and 23.01.2007; Questions relating to the Obligation to Prosecute or Extradite (Belgium </w:t>
      </w:r>
      <w:r>
        <w:rPr>
          <w:i/>
        </w:rPr>
        <w:t>v.</w:t>
      </w:r>
      <w:r>
        <w:t xml:space="preserve"> Senegal), order of 28.05.2009; Proceedings instituted by the Republic of Costa Rica against the Republic of Nicaragua, press release of 19.11.2010; all available at http://www.icj-cij.org.</w:t>
      </w:r>
    </w:p>
  </w:footnote>
  <w:footnote w:id="83">
    <w:p w14:paraId="468118F0" w14:textId="30910E19" w:rsidR="00675A50" w:rsidRPr="008C3103" w:rsidRDefault="00675A50" w:rsidP="000325B2">
      <w:pPr>
        <w:pStyle w:val="FootnoteText"/>
        <w:ind w:firstLine="0"/>
        <w:rPr>
          <w:lang w:val="en-US"/>
        </w:rPr>
      </w:pPr>
      <w:r>
        <w:rPr>
          <w:rStyle w:val="FootnoteReference"/>
        </w:rPr>
        <w:footnoteRef/>
      </w:r>
      <w:r>
        <w:t xml:space="preserve"> </w:t>
      </w:r>
      <w:r w:rsidRPr="00A67F3F">
        <w:t>ICJ, Case concerning Pulp Mills on the River Uruguay (Argenti</w:t>
      </w:r>
      <w:r>
        <w:rPr>
          <w:lang w:val="en-GB"/>
        </w:rPr>
        <w:t>n</w:t>
      </w:r>
      <w:r w:rsidRPr="00A67F3F">
        <w:t>a v. Uruguay), ICJ Reports 201</w:t>
      </w:r>
      <w:r>
        <w:t>0, paragraphs 204 -206.</w:t>
      </w:r>
    </w:p>
  </w:footnote>
  <w:footnote w:id="84">
    <w:p w14:paraId="3E910D3D" w14:textId="7EEAF25F" w:rsidR="00675A50" w:rsidRPr="007F7B15" w:rsidRDefault="00675A50" w:rsidP="000325B2">
      <w:pPr>
        <w:pStyle w:val="FootnoteText"/>
        <w:ind w:firstLine="0"/>
      </w:pPr>
      <w:r>
        <w:rPr>
          <w:rStyle w:val="FootnoteReference"/>
        </w:rPr>
        <w:footnoteRef/>
      </w:r>
      <w:r>
        <w:t xml:space="preserve"> Relevant in this context is also the Australia Group, an informal forum of countries which, through the harmonisation of export controls, seeks to ensure that exports do not contribute to the development of chemical or biological weapons. The 41 states participating in the Australia Group are parties to the Chemical Weapons Convention and the Biological Weapons Convention. Coordination of national export control measures assists Australia Group participants to fulfil their obligations under those conventions. The Australia Group meets annually to discuss ways of increasing the effectiveness of participating countries’ national export licensing measures to prevent potential proliferators from obtaining materials for chemical or biological weapons programs. Since 2007, meetings of the Australia Group have discussed synthetic biology, see </w:t>
      </w:r>
      <w:hyperlink r:id="rId46" w:history="1">
        <w:r w:rsidRPr="009F7AD2">
          <w:rPr>
            <w:rStyle w:val="Hyperlink"/>
          </w:rPr>
          <w:t>www.australiagroup.net</w:t>
        </w:r>
      </w:hyperlink>
      <w:r>
        <w:t>.</w:t>
      </w:r>
    </w:p>
  </w:footnote>
  <w:footnote w:id="85">
    <w:p w14:paraId="5DB5C529" w14:textId="77777777" w:rsidR="00675A50" w:rsidRDefault="00675A50" w:rsidP="000325B2">
      <w:pPr>
        <w:pStyle w:val="FootnoteText"/>
        <w:ind w:firstLine="0"/>
        <w:jc w:val="left"/>
      </w:pPr>
      <w:r w:rsidRPr="008F6B23">
        <w:rPr>
          <w:rStyle w:val="FootnoteCharacters"/>
          <w:u w:val="none"/>
          <w:vertAlign w:val="superscript"/>
        </w:rPr>
        <w:footnoteRef/>
      </w:r>
      <w:r w:rsidRPr="00414697">
        <w:rPr>
          <w:vertAlign w:val="superscript"/>
        </w:rPr>
        <w:t xml:space="preserve"> </w:t>
      </w:r>
      <w:r>
        <w:rPr>
          <w:szCs w:val="22"/>
        </w:rPr>
        <w:t>A Review Conference is a conference of State Parties, which, in accordance with Article XII of the Convention reviews the operation of the Convention and also considers, among others, new scientific and technological developments relevant to the Convention.</w:t>
      </w:r>
    </w:p>
  </w:footnote>
  <w:footnote w:id="86">
    <w:p w14:paraId="2159943B" w14:textId="77777777" w:rsidR="00675A50" w:rsidRDefault="00675A50" w:rsidP="000325B2">
      <w:pPr>
        <w:pStyle w:val="FootnoteText"/>
        <w:spacing w:before="0" w:after="0"/>
        <w:ind w:firstLine="0"/>
        <w:jc w:val="left"/>
      </w:pPr>
      <w:r w:rsidRPr="00780506">
        <w:rPr>
          <w:rStyle w:val="FootnoteReference"/>
        </w:rPr>
        <w:footnoteRef/>
      </w:r>
      <w:r w:rsidRPr="00780506">
        <w:rPr>
          <w:rStyle w:val="FootnoteReference"/>
        </w:rPr>
        <w:t xml:space="preserve"> </w:t>
      </w:r>
      <w:r>
        <w:rPr>
          <w:lang w:val="en-US"/>
        </w:rPr>
        <w:t xml:space="preserve">For references to working documents under the Biological Weapons Convention that address synthetic biology, see UNICRI 2011. </w:t>
      </w:r>
    </w:p>
  </w:footnote>
  <w:footnote w:id="87">
    <w:p w14:paraId="04986937" w14:textId="3A825E8B" w:rsidR="00675A50" w:rsidRPr="003D4877" w:rsidRDefault="00675A50" w:rsidP="000325B2">
      <w:pPr>
        <w:pStyle w:val="FootnoteText"/>
        <w:spacing w:before="0" w:after="0"/>
        <w:ind w:firstLine="0"/>
        <w:rPr>
          <w:lang w:val="en-US"/>
        </w:rPr>
      </w:pPr>
      <w:r>
        <w:rPr>
          <w:rStyle w:val="FootnoteReference"/>
        </w:rPr>
        <w:footnoteRef/>
      </w:r>
      <w:r>
        <w:t xml:space="preserve"> </w:t>
      </w:r>
      <w:hyperlink r:id="rId47" w:history="1">
        <w:r w:rsidRPr="009F7AD2">
          <w:rPr>
            <w:rStyle w:val="Hyperlink"/>
          </w:rPr>
          <w:t>https://undocs.org/bwc/msp/2018/mx.2/2</w:t>
        </w:r>
      </w:hyperlink>
      <w:r>
        <w:rPr>
          <w:lang w:val="en-US"/>
        </w:rPr>
        <w:t xml:space="preserve"> </w:t>
      </w:r>
    </w:p>
  </w:footnote>
  <w:footnote w:id="88">
    <w:p w14:paraId="660904EC" w14:textId="564A6E41" w:rsidR="00675A50" w:rsidRPr="008F6B23" w:rsidRDefault="00675A50" w:rsidP="000325B2">
      <w:pPr>
        <w:pStyle w:val="FootnoteText"/>
        <w:spacing w:before="0" w:after="0"/>
        <w:ind w:firstLine="0"/>
        <w:rPr>
          <w:lang w:val="en-US"/>
        </w:rPr>
      </w:pPr>
      <w:r>
        <w:rPr>
          <w:rStyle w:val="FootnoteReference"/>
        </w:rPr>
        <w:footnoteRef/>
      </w:r>
      <w:r>
        <w:t xml:space="preserve"> </w:t>
      </w:r>
      <w:hyperlink r:id="rId48" w:history="1">
        <w:r w:rsidRPr="009F7AD2">
          <w:rPr>
            <w:rStyle w:val="Hyperlink"/>
          </w:rPr>
          <w:t>https://meetings.unoda.org/meeting/bwc-msp-2020/</w:t>
        </w:r>
      </w:hyperlink>
      <w:r>
        <w:rPr>
          <w:lang w:val="en-US"/>
        </w:rPr>
        <w:t xml:space="preserve"> </w:t>
      </w:r>
    </w:p>
  </w:footnote>
  <w:footnote w:id="89">
    <w:p w14:paraId="030EB671" w14:textId="7D788E2F" w:rsidR="00675A50" w:rsidRPr="00780506" w:rsidRDefault="00675A50" w:rsidP="000325B2">
      <w:pPr>
        <w:pStyle w:val="FootnoteText"/>
        <w:spacing w:before="0" w:after="0"/>
        <w:ind w:firstLine="0"/>
        <w:rPr>
          <w:lang w:val="en-US"/>
        </w:rPr>
      </w:pPr>
      <w:r>
        <w:rPr>
          <w:rStyle w:val="FootnoteReference"/>
        </w:rPr>
        <w:footnoteRef/>
      </w:r>
      <w:r>
        <w:t xml:space="preserve"> </w:t>
      </w:r>
      <w:r>
        <w:rPr>
          <w:lang w:val="en-US"/>
        </w:rPr>
        <w:t>For example, a submission by the US to the 2020 Meeting of Experts concerning ‘</w:t>
      </w:r>
      <w:r w:rsidRPr="007A57E6">
        <w:rPr>
          <w:lang w:val="en-US"/>
        </w:rPr>
        <w:t>Approaches to Governance for Scientific and Technological</w:t>
      </w:r>
      <w:r>
        <w:rPr>
          <w:lang w:val="en-US"/>
        </w:rPr>
        <w:t xml:space="preserve"> </w:t>
      </w:r>
      <w:r w:rsidRPr="007A57E6">
        <w:rPr>
          <w:lang w:val="en-US"/>
        </w:rPr>
        <w:t>Advances in the Life Sciences Relevant to the Biological and</w:t>
      </w:r>
      <w:r>
        <w:rPr>
          <w:lang w:val="en-US"/>
        </w:rPr>
        <w:t xml:space="preserve"> </w:t>
      </w:r>
      <w:r w:rsidRPr="007A57E6">
        <w:rPr>
          <w:lang w:val="en-US"/>
        </w:rPr>
        <w:t>Toxin Weapons Convention</w:t>
      </w:r>
      <w:r>
        <w:rPr>
          <w:lang w:val="en-US"/>
        </w:rPr>
        <w:t xml:space="preserve">’ available at </w:t>
      </w:r>
      <w:hyperlink r:id="rId49" w:history="1">
        <w:r w:rsidRPr="009F7AD2">
          <w:rPr>
            <w:rStyle w:val="Hyperlink"/>
            <w:kern w:val="22"/>
            <w:lang w:val="en-GB" w:eastAsia="hi-IN" w:bidi="hi-IN"/>
          </w:rPr>
          <w:t>https://undocs.org/BWC/MSP/2020/MX.2/WP.1</w:t>
        </w:r>
      </w:hyperlink>
      <w:r>
        <w:rPr>
          <w:kern w:val="22"/>
          <w:lang w:val="en-GB" w:eastAsia="hi-IN" w:bidi="hi-IN"/>
        </w:rPr>
        <w:t>.</w:t>
      </w:r>
    </w:p>
  </w:footnote>
  <w:footnote w:id="90">
    <w:p w14:paraId="1738E2D9" w14:textId="393681DC" w:rsidR="00675A50" w:rsidRDefault="00675A50" w:rsidP="00C11250">
      <w:pPr>
        <w:pStyle w:val="FootnoteText"/>
        <w:ind w:firstLine="0"/>
      </w:pPr>
      <w:r>
        <w:rPr>
          <w:rStyle w:val="FootnoteReference"/>
        </w:rPr>
        <w:footnoteRef/>
      </w:r>
      <w:r>
        <w:t xml:space="preserve"> </w:t>
      </w:r>
      <w:hyperlink r:id="rId50" w:history="1">
        <w:r w:rsidRPr="009F7AD2">
          <w:rPr>
            <w:rStyle w:val="Hyperlink"/>
          </w:rPr>
          <w:t>https://www.un.org/disarmament/enmod/</w:t>
        </w:r>
      </w:hyperlink>
      <w:r>
        <w:rPr>
          <w:lang w:val="en-US"/>
        </w:rPr>
        <w:t xml:space="preserve">  </w:t>
      </w:r>
    </w:p>
  </w:footnote>
  <w:footnote w:id="91">
    <w:p w14:paraId="096D9178" w14:textId="375C3260" w:rsidR="00675A50" w:rsidRPr="008F6B23" w:rsidRDefault="00675A50" w:rsidP="00C11250">
      <w:pPr>
        <w:pStyle w:val="FootnoteText"/>
        <w:ind w:firstLine="0"/>
        <w:rPr>
          <w:lang w:val="en-US"/>
        </w:rPr>
      </w:pPr>
      <w:r w:rsidRPr="00FC1824">
        <w:rPr>
          <w:rStyle w:val="FootnoteReference"/>
        </w:rPr>
        <w:footnoteRef/>
      </w:r>
      <w:r w:rsidRPr="00FC1824">
        <w:t xml:space="preserve"> </w:t>
      </w:r>
      <w:hyperlink r:id="rId51" w:history="1">
        <w:r w:rsidRPr="00FC1824">
          <w:rPr>
            <w:rStyle w:val="Hyperlink"/>
          </w:rPr>
          <w:t>https://geneva-s3.unoda.org/static-unoda-site/pages/templates/enmod/UNSG%2BNV%2Bre%2BENMOD.pdf</w:t>
        </w:r>
      </w:hyperlink>
      <w:r>
        <w:rPr>
          <w:lang w:val="en-US"/>
        </w:rPr>
        <w:t xml:space="preserve"> </w:t>
      </w:r>
    </w:p>
  </w:footnote>
  <w:footnote w:id="92">
    <w:p w14:paraId="40A8A597" w14:textId="753A941B" w:rsidR="00675A50" w:rsidRDefault="00675A50" w:rsidP="00FE73EB">
      <w:pPr>
        <w:spacing w:after="0" w:line="240" w:lineRule="auto"/>
        <w:ind w:left="284" w:hanging="284"/>
        <w:contextualSpacing/>
      </w:pPr>
      <w:r w:rsidRPr="00FE73EB">
        <w:rPr>
          <w:rFonts w:ascii="Times New Roman" w:eastAsia="Times New Roman" w:hAnsi="Times New Roman"/>
          <w:kern w:val="1"/>
          <w:sz w:val="18"/>
          <w:szCs w:val="24"/>
          <w:vertAlign w:val="superscript"/>
          <w:lang w:val="x-none" w:eastAsia="ar-SA"/>
        </w:rPr>
        <w:footnoteRef/>
      </w:r>
      <w:r w:rsidRPr="00FE73EB">
        <w:rPr>
          <w:rFonts w:ascii="Times New Roman" w:eastAsia="Times New Roman" w:hAnsi="Times New Roman"/>
          <w:kern w:val="1"/>
          <w:sz w:val="18"/>
          <w:szCs w:val="24"/>
          <w:lang w:val="x-none" w:eastAsia="ar-SA"/>
        </w:rPr>
        <w:t xml:space="preserve"> In 2006, the United Nations Commission on Human Rights was replaced by the United Nations Human Rights Council.</w:t>
      </w:r>
    </w:p>
  </w:footnote>
  <w:footnote w:id="93">
    <w:p w14:paraId="2E32CB12" w14:textId="4B95342E" w:rsidR="00675A50" w:rsidRPr="0042756B" w:rsidRDefault="00675A50" w:rsidP="008F6B23">
      <w:pPr>
        <w:pStyle w:val="FootnoteText"/>
        <w:spacing w:after="0"/>
        <w:ind w:firstLine="0"/>
        <w:contextualSpacing/>
        <w:rPr>
          <w:lang w:val="en-US"/>
        </w:rPr>
      </w:pPr>
      <w:r>
        <w:rPr>
          <w:rStyle w:val="FootnoteReference"/>
        </w:rPr>
        <w:footnoteRef/>
      </w:r>
      <w:r>
        <w:t xml:space="preserve"> </w:t>
      </w:r>
      <w:r w:rsidRPr="00555119">
        <w:t>Human Rights Council</w:t>
      </w:r>
      <w:r>
        <w:rPr>
          <w:lang w:val="en-US"/>
        </w:rPr>
        <w:t xml:space="preserve">, </w:t>
      </w:r>
      <w:r>
        <w:t>Study of the Expert Mechanism on the Rights of Indigenous Peoples</w:t>
      </w:r>
      <w:r w:rsidRPr="00555119">
        <w:t xml:space="preserve"> </w:t>
      </w:r>
      <w:r>
        <w:rPr>
          <w:lang w:val="en-US"/>
        </w:rPr>
        <w:t xml:space="preserve">on </w:t>
      </w:r>
      <w:r>
        <w:t>Free, prior and informed consent: a human rights-based approach</w:t>
      </w:r>
      <w:r>
        <w:rPr>
          <w:lang w:val="en-US"/>
        </w:rPr>
        <w:t xml:space="preserve">, </w:t>
      </w:r>
      <w:r w:rsidRPr="00555119">
        <w:t>10 August 2018</w:t>
      </w:r>
      <w:r>
        <w:rPr>
          <w:lang w:val="en-US"/>
        </w:rPr>
        <w:t>, (</w:t>
      </w:r>
      <w:hyperlink r:id="rId52" w:history="1">
        <w:r w:rsidRPr="00555119">
          <w:rPr>
            <w:rStyle w:val="Hyperlink"/>
            <w:lang w:val="en-US"/>
          </w:rPr>
          <w:t>A/HRC/39/62</w:t>
        </w:r>
      </w:hyperlink>
      <w:r>
        <w:rPr>
          <w:lang w:val="en-US"/>
        </w:rPr>
        <w:t>).</w:t>
      </w:r>
    </w:p>
  </w:footnote>
  <w:footnote w:id="94">
    <w:p w14:paraId="65EFC557" w14:textId="7CE58C6F" w:rsidR="00675A50" w:rsidRDefault="00675A50" w:rsidP="005226F1">
      <w:pPr>
        <w:pStyle w:val="FootnoteText"/>
        <w:spacing w:after="0"/>
        <w:ind w:firstLine="0"/>
      </w:pPr>
      <w:r>
        <w:rPr>
          <w:rStyle w:val="FootnoteReference"/>
        </w:rPr>
        <w:footnoteRef/>
      </w:r>
      <w:r>
        <w:t xml:space="preserve"> </w:t>
      </w:r>
      <w:hyperlink r:id="rId53" w:history="1">
        <w:r w:rsidRPr="00DB6EF4">
          <w:rPr>
            <w:rStyle w:val="Hyperlink"/>
          </w:rPr>
          <w:t>https://undocs.org/en/a/res/72/249</w:t>
        </w:r>
      </w:hyperlink>
      <w:r>
        <w:rPr>
          <w:lang w:val="en-US"/>
        </w:rPr>
        <w:t xml:space="preserve"> </w:t>
      </w:r>
    </w:p>
  </w:footnote>
  <w:footnote w:id="95">
    <w:p w14:paraId="3A727FFC" w14:textId="1B2F3F7E" w:rsidR="00675A50" w:rsidRDefault="00675A50" w:rsidP="005226F1">
      <w:pPr>
        <w:pStyle w:val="FootnoteText"/>
        <w:spacing w:after="0"/>
        <w:ind w:firstLine="0"/>
      </w:pPr>
      <w:r>
        <w:rPr>
          <w:rStyle w:val="FootnoteReference"/>
        </w:rPr>
        <w:footnoteRef/>
      </w:r>
      <w:r>
        <w:t xml:space="preserve"> </w:t>
      </w:r>
      <w:hyperlink r:id="rId54" w:history="1">
        <w:r w:rsidRPr="00DB6EF4">
          <w:rPr>
            <w:rStyle w:val="Hyperlink"/>
          </w:rPr>
          <w:t>https://www.un.org/bbnj/</w:t>
        </w:r>
      </w:hyperlink>
      <w:r>
        <w:rPr>
          <w:lang w:val="en-US"/>
        </w:rPr>
        <w:t xml:space="preserve"> </w:t>
      </w:r>
    </w:p>
  </w:footnote>
  <w:footnote w:id="96">
    <w:p w14:paraId="110C3D5C" w14:textId="419B4EE1" w:rsidR="00675A50" w:rsidRDefault="00675A50" w:rsidP="005226F1">
      <w:pPr>
        <w:pStyle w:val="FootnoteText"/>
        <w:spacing w:after="0"/>
        <w:ind w:firstLine="0"/>
      </w:pPr>
      <w:r>
        <w:rPr>
          <w:rStyle w:val="FootnoteReference"/>
        </w:rPr>
        <w:footnoteRef/>
      </w:r>
      <w:r>
        <w:t xml:space="preserve"> </w:t>
      </w:r>
      <w:hyperlink r:id="rId55" w:history="1">
        <w:r w:rsidRPr="00DB6EF4">
          <w:rPr>
            <w:rStyle w:val="Hyperlink"/>
          </w:rPr>
          <w:t>https://www.un.org/bbnj/sites/www.un.org.bbnj/files/bbnj_intersessional_programmeofwork_210114.pdf</w:t>
        </w:r>
      </w:hyperlink>
      <w:r>
        <w:rPr>
          <w:lang w:val="en-US"/>
        </w:rPr>
        <w:t xml:space="preserve"> </w:t>
      </w:r>
    </w:p>
  </w:footnote>
  <w:footnote w:id="97">
    <w:p w14:paraId="05117976" w14:textId="77777777" w:rsidR="00675A50" w:rsidRPr="0042756B" w:rsidRDefault="00675A50" w:rsidP="008F6B23">
      <w:pPr>
        <w:pStyle w:val="FootnoteText"/>
        <w:ind w:firstLine="0"/>
        <w:jc w:val="left"/>
        <w:rPr>
          <w:lang w:val="en-US"/>
        </w:rPr>
      </w:pPr>
      <w:r>
        <w:rPr>
          <w:rStyle w:val="FootnoteReference"/>
        </w:rPr>
        <w:footnoteRef/>
      </w:r>
      <w:r>
        <w:t xml:space="preserve"> </w:t>
      </w:r>
      <w:r>
        <w:rPr>
          <w:lang w:val="en-US"/>
        </w:rPr>
        <w:t xml:space="preserve">WIPO, </w:t>
      </w:r>
      <w:r w:rsidRPr="0042756B">
        <w:rPr>
          <w:i/>
          <w:iCs/>
        </w:rPr>
        <w:t xml:space="preserve">Intellectual Property </w:t>
      </w:r>
      <w:r w:rsidRPr="0042756B">
        <w:rPr>
          <w:i/>
          <w:iCs/>
          <w:lang w:val="en-US"/>
        </w:rPr>
        <w:t>a</w:t>
      </w:r>
      <w:r w:rsidRPr="0042756B">
        <w:rPr>
          <w:i/>
          <w:iCs/>
        </w:rPr>
        <w:t>nd Traditional Cultural Expressions/Folklore</w:t>
      </w:r>
      <w:r>
        <w:rPr>
          <w:lang w:val="en-US"/>
        </w:rPr>
        <w:t xml:space="preserve">, </w:t>
      </w:r>
      <w:hyperlink r:id="rId56" w:history="1">
        <w:r w:rsidRPr="00057124">
          <w:rPr>
            <w:rStyle w:val="Hyperlink"/>
          </w:rPr>
          <w:t>https://www.wipo.int/edocs/pubdocs/en/tk/913/wipo_pub_913.pdf</w:t>
        </w:r>
      </w:hyperlink>
      <w:r>
        <w:rPr>
          <w:lang w:val="en-US"/>
        </w:rPr>
        <w:t xml:space="preserve"> </w:t>
      </w:r>
    </w:p>
  </w:footnote>
  <w:footnote w:id="98">
    <w:p w14:paraId="55A4B72B" w14:textId="49FCCA97" w:rsidR="00675A50" w:rsidRPr="008F6B23" w:rsidRDefault="00675A50" w:rsidP="005226F1">
      <w:pPr>
        <w:pStyle w:val="FootnoteText"/>
        <w:ind w:firstLine="0"/>
        <w:rPr>
          <w:lang w:val="en-US"/>
        </w:rPr>
      </w:pPr>
      <w:r w:rsidRPr="008F6B23">
        <w:rPr>
          <w:vertAlign w:val="superscript"/>
          <w:lang w:val="en-US"/>
        </w:rPr>
        <w:t>95</w:t>
      </w:r>
      <w:r w:rsidRPr="002E754B">
        <w:rPr>
          <w:lang w:val="en-US"/>
        </w:rPr>
        <w:t xml:space="preserve"> </w:t>
      </w:r>
      <w:hyperlink r:id="rId57" w:history="1">
        <w:r w:rsidRPr="0084085A">
          <w:rPr>
            <w:rStyle w:val="Hyperlink"/>
            <w:lang w:val="en-US"/>
          </w:rPr>
          <w:t>https://www.wipo.int/publications/en/series/index.jsp?id=144</w:t>
        </w:r>
      </w:hyperlink>
    </w:p>
  </w:footnote>
  <w:footnote w:id="99">
    <w:p w14:paraId="5C579295" w14:textId="08AB7AEE" w:rsidR="00675A50" w:rsidRPr="008155CC" w:rsidRDefault="00675A50" w:rsidP="005226F1">
      <w:pPr>
        <w:pStyle w:val="FootnoteText"/>
        <w:ind w:firstLine="0"/>
        <w:rPr>
          <w:lang w:val="en-US"/>
        </w:rPr>
      </w:pPr>
      <w:r>
        <w:rPr>
          <w:rStyle w:val="FootnoteReference"/>
        </w:rPr>
        <w:footnoteRef/>
      </w:r>
      <w:r>
        <w:t xml:space="preserve"> </w:t>
      </w:r>
      <w:hyperlink r:id="rId58" w:history="1">
        <w:r w:rsidRPr="0059191C">
          <w:rPr>
            <w:rStyle w:val="Hyperlink"/>
          </w:rPr>
          <w:t>https://www.wipo.int/export/sites/www/tk/en/igc/pdf/igc_mandate_2020-2021.pdf</w:t>
        </w:r>
      </w:hyperlink>
      <w:r>
        <w:rPr>
          <w:lang w:val="en-US"/>
        </w:rPr>
        <w:t xml:space="preserve"> </w:t>
      </w:r>
    </w:p>
  </w:footnote>
  <w:footnote w:id="100">
    <w:p w14:paraId="67023534" w14:textId="2E06E18A" w:rsidR="00675A50" w:rsidRPr="00474099" w:rsidRDefault="00675A50" w:rsidP="00474099">
      <w:pPr>
        <w:pStyle w:val="FootnoteText"/>
        <w:ind w:firstLine="0"/>
        <w:rPr>
          <w:lang w:val="en-GB"/>
        </w:rPr>
      </w:pPr>
      <w:r>
        <w:rPr>
          <w:rStyle w:val="FootnoteReference"/>
        </w:rPr>
        <w:footnoteRef/>
      </w:r>
      <w:r>
        <w:t xml:space="preserve"> </w:t>
      </w:r>
      <w:r>
        <w:rPr>
          <w:lang w:val="en-GB"/>
        </w:rPr>
        <w:t xml:space="preserve">At the time of writing the </w:t>
      </w:r>
      <w:r w:rsidRPr="00376ECB">
        <w:rPr>
          <w:lang w:val="en-GB"/>
        </w:rPr>
        <w:t>continued exemption of least-developed countries (LDCs) from TRIPS obligations</w:t>
      </w:r>
      <w:r>
        <w:rPr>
          <w:lang w:val="en-GB"/>
        </w:rPr>
        <w:t xml:space="preserve"> issue was under consideration as per the </w:t>
      </w:r>
      <w:r w:rsidRPr="00C8058F">
        <w:rPr>
          <w:lang w:val="en-GB"/>
        </w:rPr>
        <w:t>proposal contained in document IP/C/W/668</w:t>
      </w:r>
      <w:r>
        <w:rPr>
          <w:lang w:val="en-GB"/>
        </w:rPr>
        <w:t>, most recently considered at</w:t>
      </w:r>
      <w:r w:rsidRPr="00376ECB">
        <w:rPr>
          <w:lang w:val="en-GB"/>
        </w:rPr>
        <w:t xml:space="preserve"> a meeting of the Council for Trade-Related Aspects of Intellectual Property Rights (TRIPS) on 10-11 March 2021</w:t>
      </w:r>
      <w:r>
        <w:rPr>
          <w:lang w:val="en-GB"/>
        </w:rPr>
        <w:t>.</w:t>
      </w:r>
      <w:r w:rsidRPr="00376ECB">
        <w:rPr>
          <w:lang w:val="en-GB"/>
        </w:rPr>
        <w:t xml:space="preserve"> </w:t>
      </w:r>
    </w:p>
  </w:footnote>
  <w:footnote w:id="101">
    <w:p w14:paraId="32398B84" w14:textId="77777777" w:rsidR="00675A50" w:rsidRPr="001B47BF" w:rsidRDefault="00675A50" w:rsidP="0051013B">
      <w:pPr>
        <w:pStyle w:val="FootnoteText"/>
        <w:ind w:firstLine="0"/>
        <w:rPr>
          <w:lang w:val="en-US"/>
        </w:rPr>
      </w:pPr>
      <w:r>
        <w:rPr>
          <w:rStyle w:val="FootnoteReference"/>
        </w:rPr>
        <w:footnoteRef/>
      </w:r>
      <w:r>
        <w:t xml:space="preserve"> </w:t>
      </w:r>
      <w:r w:rsidRPr="001B47BF">
        <w:t>Unless otherwise stated, reference to the UPOV Convention in the following refers to the 1991 Act of the UPOV Convention.</w:t>
      </w:r>
    </w:p>
  </w:footnote>
  <w:footnote w:id="102">
    <w:p w14:paraId="21746096" w14:textId="77777777" w:rsidR="00675A50" w:rsidRPr="00492269" w:rsidRDefault="00675A50" w:rsidP="009F4205">
      <w:pPr>
        <w:pStyle w:val="FootnoteText"/>
        <w:ind w:firstLine="0"/>
      </w:pPr>
      <w:r>
        <w:rPr>
          <w:rStyle w:val="FootnoteReference"/>
        </w:rPr>
        <w:footnoteRef/>
      </w:r>
      <w:r>
        <w:t xml:space="preserve"> Available at: </w:t>
      </w:r>
      <w:hyperlink r:id="rId59" w:anchor="block-agenda-items-list" w:history="1">
        <w:r w:rsidRPr="00492269">
          <w:rPr>
            <w:rStyle w:val="Hyperlink"/>
          </w:rPr>
          <w:t>www.ippc.int/core-activities/standards-setting/ispms#block-agenda-items-list</w:t>
        </w:r>
      </w:hyperlink>
      <w:r>
        <w:t>.</w:t>
      </w:r>
    </w:p>
  </w:footnote>
  <w:footnote w:id="103">
    <w:p w14:paraId="08AA2A6F" w14:textId="77777777" w:rsidR="00675A50" w:rsidRPr="00EC22AF" w:rsidRDefault="00675A50" w:rsidP="00F827DD">
      <w:pPr>
        <w:pStyle w:val="FootnoteText"/>
        <w:ind w:firstLine="0"/>
      </w:pPr>
      <w:r>
        <w:rPr>
          <w:rStyle w:val="FootnoteReference"/>
        </w:rPr>
        <w:footnoteRef/>
      </w:r>
      <w:r>
        <w:t xml:space="preserve"> For an introduction to the Codex Alimentarius see </w:t>
      </w:r>
      <w:hyperlink r:id="rId60" w:history="1">
        <w:r w:rsidRPr="007310E6">
          <w:rPr>
            <w:rStyle w:val="Hyperlink"/>
          </w:rPr>
          <w:t>http://www.codexalimentarius.org/about-codex/en/</w:t>
        </w:r>
      </w:hyperlink>
      <w:r>
        <w:t xml:space="preserve">. </w:t>
      </w:r>
    </w:p>
  </w:footnote>
  <w:footnote w:id="104">
    <w:p w14:paraId="032AA7A7" w14:textId="2859C24E" w:rsidR="00675A50" w:rsidRPr="00EC22AF" w:rsidRDefault="00675A50" w:rsidP="00F827DD">
      <w:pPr>
        <w:pStyle w:val="FootnoteText"/>
        <w:ind w:firstLine="0"/>
      </w:pPr>
      <w:r>
        <w:rPr>
          <w:rStyle w:val="FootnoteReference"/>
        </w:rPr>
        <w:footnoteRef/>
      </w:r>
      <w:r>
        <w:t xml:space="preserve"> These documents are available online at </w:t>
      </w:r>
      <w:hyperlink r:id="rId61" w:history="1">
        <w:r w:rsidRPr="009F7AD2">
          <w:rPr>
            <w:rStyle w:val="Hyperlink"/>
          </w:rPr>
          <w:t>www.codexalimentarius.org/standards/list-of-standards/</w:t>
        </w:r>
      </w:hyperlink>
      <w:r>
        <w:t>.</w:t>
      </w:r>
    </w:p>
  </w:footnote>
  <w:footnote w:id="105">
    <w:p w14:paraId="1F0E03A4" w14:textId="1DE30701" w:rsidR="00675A50" w:rsidRPr="008F6B23" w:rsidRDefault="00675A50" w:rsidP="00C93DF3">
      <w:pPr>
        <w:pStyle w:val="FootnoteText"/>
        <w:ind w:left="284" w:hanging="284"/>
        <w:rPr>
          <w:lang w:val="en-US"/>
        </w:rPr>
      </w:pPr>
      <w:r>
        <w:rPr>
          <w:rStyle w:val="FootnoteReference"/>
        </w:rPr>
        <w:footnoteRef/>
      </w:r>
      <w:r>
        <w:t xml:space="preserve"> </w:t>
      </w:r>
      <w:hyperlink r:id="rId62" w:history="1">
        <w:r w:rsidRPr="009F7AD2">
          <w:rPr>
            <w:rStyle w:val="Hyperlink"/>
          </w:rPr>
          <w:t>https://www.cbd.int/decisions/cop/13/18</w:t>
        </w:r>
      </w:hyperlink>
      <w:r>
        <w:rPr>
          <w:lang w:val="en-US"/>
        </w:rPr>
        <w:t xml:space="preserve"> </w:t>
      </w:r>
    </w:p>
  </w:footnote>
  <w:footnote w:id="106">
    <w:p w14:paraId="7A5B731F" w14:textId="77777777" w:rsidR="00675A50" w:rsidRPr="00967711" w:rsidRDefault="00675A50" w:rsidP="00C93DF3">
      <w:pPr>
        <w:pStyle w:val="FootnoteText"/>
        <w:spacing w:after="0"/>
        <w:ind w:left="284" w:hanging="284"/>
      </w:pPr>
      <w:r w:rsidRPr="00967711">
        <w:rPr>
          <w:rStyle w:val="FootnoteReference"/>
        </w:rPr>
        <w:footnoteRef/>
      </w:r>
      <w:r w:rsidRPr="00967711">
        <w:t xml:space="preserve"> </w:t>
      </w:r>
      <w:hyperlink r:id="rId63" w:history="1">
        <w:r w:rsidRPr="00572869">
          <w:rPr>
            <w:rStyle w:val="Hyperlink"/>
            <w:rFonts w:eastAsia="Arial Unicode MS"/>
          </w:rPr>
          <w:t>https://sci.hms.harvard.edu/</w:t>
        </w:r>
      </w:hyperlink>
      <w:r>
        <w:t xml:space="preserve"> </w:t>
      </w:r>
    </w:p>
  </w:footnote>
  <w:footnote w:id="107">
    <w:p w14:paraId="215C6187" w14:textId="77777777" w:rsidR="00675A50" w:rsidRPr="00D60ED4" w:rsidRDefault="00675A50" w:rsidP="00C93DF3">
      <w:pPr>
        <w:pStyle w:val="FootnoteText"/>
        <w:spacing w:after="0"/>
        <w:ind w:left="284" w:hanging="284"/>
      </w:pPr>
      <w:r w:rsidRPr="00D60ED4">
        <w:rPr>
          <w:rStyle w:val="FootnoteReference"/>
        </w:rPr>
        <w:footnoteRef/>
      </w:r>
      <w:r w:rsidRPr="00D60ED4">
        <w:t xml:space="preserve"> </w:t>
      </w:r>
      <w:hyperlink r:id="rId64" w:history="1">
        <w:r w:rsidRPr="00D60ED4">
          <w:rPr>
            <w:rStyle w:val="Hyperlink"/>
            <w:rFonts w:eastAsia="Arial Unicode MS"/>
          </w:rPr>
          <w:t>https://ainowinstitute.org/</w:t>
        </w:r>
      </w:hyperlink>
      <w:r>
        <w:t xml:space="preserve"> </w:t>
      </w:r>
    </w:p>
  </w:footnote>
  <w:footnote w:id="108">
    <w:p w14:paraId="701635DB" w14:textId="77777777" w:rsidR="00675A50" w:rsidRPr="00594DCE" w:rsidRDefault="00675A50" w:rsidP="00C93DF3">
      <w:pPr>
        <w:pStyle w:val="FootnoteText"/>
        <w:spacing w:after="0"/>
        <w:ind w:left="284" w:hanging="284"/>
      </w:pPr>
      <w:r w:rsidRPr="00594DCE">
        <w:rPr>
          <w:rStyle w:val="FootnoteReference"/>
        </w:rPr>
        <w:footnoteRef/>
      </w:r>
      <w:r w:rsidRPr="00594DCE">
        <w:t xml:space="preserve"> </w:t>
      </w:r>
      <w:hyperlink r:id="rId65" w:history="1">
        <w:r w:rsidRPr="00572869">
          <w:rPr>
            <w:rStyle w:val="Hyperlink"/>
            <w:rFonts w:eastAsia="Arial Unicode MS"/>
          </w:rPr>
          <w:t>https://www.editingnature.org/</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napToGrid w:val="0"/>
        <w:kern w:val="22"/>
      </w:rPr>
      <w:alias w:val="Subject"/>
      <w:tag w:val=""/>
      <w:id w:val="288095547"/>
      <w:placeholder>
        <w:docPart w:val="ACD92C77615A4E07B3508B45DC08D168"/>
      </w:placeholder>
      <w:dataBinding w:prefixMappings="xmlns:ns0='http://purl.org/dc/elements/1.1/' xmlns:ns1='http://schemas.openxmlformats.org/package/2006/metadata/core-properties' " w:xpath="/ns1:coreProperties[1]/ns0:subject[1]" w:storeItemID="{6C3C8BC8-F283-45AE-878A-BAB7291924A1}"/>
      <w:text/>
    </w:sdtPr>
    <w:sdtEndPr/>
    <w:sdtContent>
      <w:p w14:paraId="60282C72" w14:textId="2332A6BE" w:rsidR="009C2DA0" w:rsidRDefault="009C2DA0" w:rsidP="00E54213">
        <w:pPr>
          <w:suppressLineNumbers/>
          <w:suppressAutoHyphens/>
          <w:kinsoku w:val="0"/>
          <w:overflowPunct w:val="0"/>
          <w:autoSpaceDE w:val="0"/>
          <w:autoSpaceDN w:val="0"/>
          <w:rPr>
            <w:snapToGrid w:val="0"/>
            <w:kern w:val="22"/>
          </w:rPr>
        </w:pPr>
        <w:r>
          <w:rPr>
            <w:snapToGrid w:val="0"/>
            <w:kern w:val="22"/>
          </w:rPr>
          <w:t>CBD/SBSTTA/24/INF/19</w:t>
        </w:r>
      </w:p>
    </w:sdtContent>
  </w:sdt>
  <w:p w14:paraId="003DED81" w14:textId="77777777" w:rsidR="009C2DA0" w:rsidRDefault="009C2DA0" w:rsidP="000838CB">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D0C91" w14:textId="77777777" w:rsidR="00675A50" w:rsidRDefault="00675A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E871BC" w14:textId="434786AC" w:rsidR="00675A50" w:rsidRDefault="00675A50" w:rsidP="00AA7C6D">
    <w:pPr>
      <w:pStyle w:val="Header"/>
      <w:spacing w:before="0" w:after="0"/>
      <w:jc w:val="right"/>
      <w:rPr>
        <w:noProof/>
        <w:szCs w:val="22"/>
        <w:lang w:val="en-US"/>
      </w:rPr>
    </w:pPr>
  </w:p>
  <w:p w14:paraId="2A063FB7" w14:textId="77777777" w:rsidR="00675A50" w:rsidRPr="004539A5" w:rsidRDefault="00675A50" w:rsidP="00AA7C6D">
    <w:pPr>
      <w:pStyle w:val="Header"/>
      <w:spacing w:before="0" w:after="0"/>
      <w:jc w:val="right"/>
      <w:rPr>
        <w:noProof/>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25E87F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8320D020">
      <w:start w:val="1"/>
      <w:numFmt w:val="upperRoman"/>
      <w:lvlText w:val="%1."/>
      <w:lvlJc w:val="left"/>
      <w:pPr>
        <w:tabs>
          <w:tab w:val="num" w:pos="720"/>
        </w:tabs>
        <w:ind w:left="0" w:firstLine="0"/>
      </w:pPr>
      <w:rPr>
        <w:rFonts w:ascii="Symbol" w:hAnsi="Symbol" w:cs="Symbol"/>
      </w:rPr>
    </w:lvl>
    <w:lvl w:ilvl="1" w:tplc="EFE4A410">
      <w:start w:val="1"/>
      <w:numFmt w:val="upperLetter"/>
      <w:lvlText w:val="%2."/>
      <w:lvlJc w:val="left"/>
      <w:pPr>
        <w:tabs>
          <w:tab w:val="num" w:pos="360"/>
        </w:tabs>
        <w:ind w:left="0" w:firstLine="0"/>
      </w:pPr>
      <w:rPr>
        <w:rFonts w:ascii="Symbol" w:hAnsi="Symbol" w:cs="Symbol"/>
      </w:rPr>
    </w:lvl>
    <w:lvl w:ilvl="2" w:tplc="932A2EEA">
      <w:start w:val="1"/>
      <w:numFmt w:val="decimal"/>
      <w:lvlText w:val="%3."/>
      <w:lvlJc w:val="left"/>
      <w:pPr>
        <w:tabs>
          <w:tab w:val="num" w:pos="360"/>
        </w:tabs>
        <w:ind w:left="0" w:firstLine="0"/>
      </w:pPr>
      <w:rPr>
        <w:rFonts w:ascii="Symbol" w:hAnsi="Symbol" w:cs="Symbol"/>
      </w:rPr>
    </w:lvl>
    <w:lvl w:ilvl="3" w:tplc="0ED8DA86">
      <w:start w:val="1"/>
      <w:numFmt w:val="decimal"/>
      <w:lvlText w:val="1.%4"/>
      <w:lvlJc w:val="left"/>
      <w:pPr>
        <w:tabs>
          <w:tab w:val="num" w:pos="360"/>
        </w:tabs>
        <w:ind w:left="0" w:firstLine="0"/>
      </w:pPr>
      <w:rPr>
        <w:rFonts w:ascii="Symbol" w:hAnsi="Symbol" w:cs="Symbol"/>
      </w:rPr>
    </w:lvl>
    <w:lvl w:ilvl="4" w:tplc="F1BEAB2A">
      <w:start w:val="1"/>
      <w:numFmt w:val="lowerRoman"/>
      <w:lvlText w:val="(%5)"/>
      <w:lvlJc w:val="left"/>
      <w:pPr>
        <w:tabs>
          <w:tab w:val="num" w:pos="720"/>
        </w:tabs>
        <w:ind w:left="0" w:firstLine="0"/>
      </w:pPr>
      <w:rPr>
        <w:rFonts w:ascii="Symbol" w:hAnsi="Symbol" w:cs="Symbol"/>
      </w:rPr>
    </w:lvl>
    <w:lvl w:ilvl="5" w:tplc="EC4002E8">
      <w:start w:val="1"/>
      <w:numFmt w:val="lowerLetter"/>
      <w:lvlText w:val="(%6)"/>
      <w:lvlJc w:val="left"/>
      <w:pPr>
        <w:tabs>
          <w:tab w:val="num" w:pos="1080"/>
        </w:tabs>
        <w:ind w:left="720" w:firstLine="0"/>
      </w:pPr>
      <w:rPr>
        <w:rFonts w:ascii="Symbol" w:hAnsi="Symbol" w:cs="Symbol"/>
      </w:rPr>
    </w:lvl>
    <w:lvl w:ilvl="6" w:tplc="CC2685B6">
      <w:start w:val="1"/>
      <w:numFmt w:val="lowerRoman"/>
      <w:lvlText w:val="(%7)"/>
      <w:lvlJc w:val="left"/>
      <w:pPr>
        <w:tabs>
          <w:tab w:val="num" w:pos="4680"/>
        </w:tabs>
        <w:ind w:left="4320" w:firstLine="0"/>
      </w:pPr>
      <w:rPr>
        <w:rFonts w:ascii="Symbol" w:hAnsi="Symbol" w:cs="Symbol"/>
      </w:rPr>
    </w:lvl>
    <w:lvl w:ilvl="7" w:tplc="0414B3D2">
      <w:start w:val="1"/>
      <w:numFmt w:val="lowerLetter"/>
      <w:lvlText w:val="(%8)"/>
      <w:lvlJc w:val="left"/>
      <w:pPr>
        <w:tabs>
          <w:tab w:val="num" w:pos="-360"/>
        </w:tabs>
        <w:ind w:left="720" w:firstLine="0"/>
      </w:pPr>
      <w:rPr>
        <w:rFonts w:ascii="Symbol" w:hAnsi="Symbol" w:cs="Symbol"/>
      </w:rPr>
    </w:lvl>
    <w:lvl w:ilvl="8" w:tplc="2D56AE66">
      <w:start w:val="1"/>
      <w:numFmt w:val="lowerRoman"/>
      <w:lvlText w:val="(%9)"/>
      <w:lvlJc w:val="left"/>
      <w:pPr>
        <w:tabs>
          <w:tab w:val="num" w:pos="6120"/>
        </w:tabs>
        <w:ind w:left="5760" w:firstLine="0"/>
      </w:pPr>
      <w:rPr>
        <w:rFonts w:ascii="Symbol" w:hAnsi="Symbol" w:cs="Symbol"/>
      </w:rPr>
    </w:lvl>
  </w:abstractNum>
  <w:abstractNum w:abstractNumId="2" w15:restartNumberingAfterBreak="0">
    <w:nsid w:val="00000002"/>
    <w:multiLevelType w:val="hybridMultilevel"/>
    <w:tmpl w:val="00000002"/>
    <w:name w:val="WW8Num2"/>
    <w:lvl w:ilvl="0" w:tplc="0374E8D0">
      <w:start w:val="1"/>
      <w:numFmt w:val="upperRoman"/>
      <w:lvlText w:val="%1."/>
      <w:lvlJc w:val="left"/>
      <w:pPr>
        <w:tabs>
          <w:tab w:val="num" w:pos="360"/>
        </w:tabs>
        <w:ind w:left="0" w:firstLine="0"/>
      </w:pPr>
      <w:rPr>
        <w:rFonts w:ascii="Times New Roman" w:eastAsia="SimSun" w:hAnsi="Times New Roman" w:cs="Times New Roman"/>
      </w:rPr>
    </w:lvl>
    <w:lvl w:ilvl="1" w:tplc="0154359C">
      <w:start w:val="1"/>
      <w:numFmt w:val="upperLetter"/>
      <w:lvlText w:val="%2."/>
      <w:lvlJc w:val="left"/>
      <w:pPr>
        <w:tabs>
          <w:tab w:val="num" w:pos="1080"/>
        </w:tabs>
        <w:ind w:left="720" w:firstLine="0"/>
      </w:pPr>
      <w:rPr>
        <w:rFonts w:ascii="Courier New" w:hAnsi="Courier New" w:cs="Courier New"/>
      </w:rPr>
    </w:lvl>
    <w:lvl w:ilvl="2" w:tplc="012AE092">
      <w:start w:val="1"/>
      <w:numFmt w:val="decimal"/>
      <w:lvlText w:val="%3."/>
      <w:lvlJc w:val="left"/>
      <w:pPr>
        <w:tabs>
          <w:tab w:val="num" w:pos="1800"/>
        </w:tabs>
        <w:ind w:left="1440" w:firstLine="0"/>
      </w:pPr>
      <w:rPr>
        <w:rFonts w:ascii="Wingdings" w:hAnsi="Wingdings" w:cs="Wingdings"/>
      </w:rPr>
    </w:lvl>
    <w:lvl w:ilvl="3" w:tplc="F678E468">
      <w:start w:val="1"/>
      <w:numFmt w:val="lowerLetter"/>
      <w:lvlText w:val="%4)"/>
      <w:lvlJc w:val="left"/>
      <w:pPr>
        <w:tabs>
          <w:tab w:val="num" w:pos="2520"/>
        </w:tabs>
        <w:ind w:left="2160" w:firstLine="0"/>
      </w:pPr>
      <w:rPr>
        <w:rFonts w:ascii="Courier New" w:hAnsi="Courier New" w:cs="Courier New"/>
      </w:rPr>
    </w:lvl>
    <w:lvl w:ilvl="4" w:tplc="1FDCBF0A">
      <w:start w:val="1"/>
      <w:numFmt w:val="decimal"/>
      <w:lvlText w:val="(%5)"/>
      <w:lvlJc w:val="left"/>
      <w:pPr>
        <w:tabs>
          <w:tab w:val="num" w:pos="3240"/>
        </w:tabs>
        <w:ind w:left="2880" w:firstLine="0"/>
      </w:pPr>
      <w:rPr>
        <w:rFonts w:ascii="Courier New" w:hAnsi="Courier New" w:cs="Courier New"/>
      </w:rPr>
    </w:lvl>
    <w:lvl w:ilvl="5" w:tplc="6B7E53D8">
      <w:start w:val="1"/>
      <w:numFmt w:val="lowerLetter"/>
      <w:lvlText w:val="(%6)"/>
      <w:lvlJc w:val="left"/>
      <w:pPr>
        <w:tabs>
          <w:tab w:val="num" w:pos="3960"/>
        </w:tabs>
        <w:ind w:left="3600" w:firstLine="0"/>
      </w:pPr>
      <w:rPr>
        <w:rFonts w:ascii="Courier New" w:hAnsi="Courier New" w:cs="Courier New"/>
      </w:rPr>
    </w:lvl>
    <w:lvl w:ilvl="6" w:tplc="02C48278">
      <w:start w:val="1"/>
      <w:numFmt w:val="lowerRoman"/>
      <w:lvlText w:val="(%7)"/>
      <w:lvlJc w:val="left"/>
      <w:pPr>
        <w:tabs>
          <w:tab w:val="num" w:pos="4680"/>
        </w:tabs>
        <w:ind w:left="4320" w:firstLine="0"/>
      </w:pPr>
      <w:rPr>
        <w:rFonts w:ascii="Courier New" w:hAnsi="Courier New" w:cs="Courier New"/>
      </w:rPr>
    </w:lvl>
    <w:lvl w:ilvl="7" w:tplc="BF6E5CDA">
      <w:start w:val="1"/>
      <w:numFmt w:val="lowerLetter"/>
      <w:lvlText w:val="(%8)"/>
      <w:lvlJc w:val="left"/>
      <w:pPr>
        <w:tabs>
          <w:tab w:val="num" w:pos="5400"/>
        </w:tabs>
        <w:ind w:left="5040" w:firstLine="0"/>
      </w:pPr>
      <w:rPr>
        <w:rFonts w:ascii="Courier New" w:hAnsi="Courier New" w:cs="Courier New"/>
      </w:rPr>
    </w:lvl>
    <w:lvl w:ilvl="8" w:tplc="A9580452">
      <w:start w:val="1"/>
      <w:numFmt w:val="lowerRoman"/>
      <w:lvlText w:val="(%9)"/>
      <w:lvlJc w:val="left"/>
      <w:pPr>
        <w:tabs>
          <w:tab w:val="num" w:pos="6120"/>
        </w:tabs>
        <w:ind w:left="5760" w:firstLine="0"/>
      </w:pPr>
      <w:rPr>
        <w:rFonts w:ascii="Courier New" w:hAnsi="Courier New" w:cs="Courier New"/>
      </w:rPr>
    </w:lvl>
  </w:abstractNum>
  <w:abstractNum w:abstractNumId="3" w15:restartNumberingAfterBreak="0">
    <w:nsid w:val="00000003"/>
    <w:multiLevelType w:val="hybridMultilevel"/>
    <w:tmpl w:val="00000003"/>
    <w:name w:val="WW8Num3"/>
    <w:lvl w:ilvl="0" w:tplc="FF40DAE0">
      <w:start w:val="1"/>
      <w:numFmt w:val="bullet"/>
      <w:lvlText w:val="o"/>
      <w:lvlJc w:val="left"/>
      <w:pPr>
        <w:tabs>
          <w:tab w:val="num" w:pos="720"/>
        </w:tabs>
        <w:ind w:left="720" w:hanging="360"/>
      </w:pPr>
      <w:rPr>
        <w:rFonts w:ascii="Courier New" w:hAnsi="Courier New"/>
        <w:b/>
      </w:rPr>
    </w:lvl>
    <w:lvl w:ilvl="1" w:tplc="3C2AA42C">
      <w:numFmt w:val="decimal"/>
      <w:lvlText w:val=""/>
      <w:lvlJc w:val="left"/>
    </w:lvl>
    <w:lvl w:ilvl="2" w:tplc="B3B84448">
      <w:numFmt w:val="decimal"/>
      <w:lvlText w:val=""/>
      <w:lvlJc w:val="left"/>
    </w:lvl>
    <w:lvl w:ilvl="3" w:tplc="E9A03E06">
      <w:numFmt w:val="decimal"/>
      <w:lvlText w:val=""/>
      <w:lvlJc w:val="left"/>
    </w:lvl>
    <w:lvl w:ilvl="4" w:tplc="BD9ED8FA">
      <w:numFmt w:val="decimal"/>
      <w:lvlText w:val=""/>
      <w:lvlJc w:val="left"/>
    </w:lvl>
    <w:lvl w:ilvl="5" w:tplc="A2562516">
      <w:numFmt w:val="decimal"/>
      <w:lvlText w:val=""/>
      <w:lvlJc w:val="left"/>
    </w:lvl>
    <w:lvl w:ilvl="6" w:tplc="33A25094">
      <w:numFmt w:val="decimal"/>
      <w:lvlText w:val=""/>
      <w:lvlJc w:val="left"/>
    </w:lvl>
    <w:lvl w:ilvl="7" w:tplc="8C2AD0BE">
      <w:numFmt w:val="decimal"/>
      <w:lvlText w:val=""/>
      <w:lvlJc w:val="left"/>
    </w:lvl>
    <w:lvl w:ilvl="8" w:tplc="C8F60B0C">
      <w:numFmt w:val="decimal"/>
      <w:lvlText w:val=""/>
      <w:lvlJc w:val="left"/>
    </w:lvl>
  </w:abstractNum>
  <w:abstractNum w:abstractNumId="4" w15:restartNumberingAfterBreak="0">
    <w:nsid w:val="00000004"/>
    <w:multiLevelType w:val="hybridMultilevel"/>
    <w:tmpl w:val="00000004"/>
    <w:name w:val="WW8Num4"/>
    <w:lvl w:ilvl="0" w:tplc="24EE0DA0">
      <w:start w:val="1"/>
      <w:numFmt w:val="lowerLetter"/>
      <w:lvlText w:val="%1)"/>
      <w:lvlJc w:val="left"/>
      <w:pPr>
        <w:tabs>
          <w:tab w:val="num" w:pos="720"/>
        </w:tabs>
        <w:ind w:left="720" w:hanging="720"/>
      </w:pPr>
      <w:rPr>
        <w:rFonts w:ascii="Times New Roman" w:eastAsia="SimSun" w:hAnsi="Times New Roman" w:cs="Times New Roman"/>
      </w:rPr>
    </w:lvl>
    <w:lvl w:ilvl="1" w:tplc="F522CA58">
      <w:numFmt w:val="decimal"/>
      <w:lvlText w:val=""/>
      <w:lvlJc w:val="left"/>
    </w:lvl>
    <w:lvl w:ilvl="2" w:tplc="2C4CB864">
      <w:numFmt w:val="decimal"/>
      <w:lvlText w:val=""/>
      <w:lvlJc w:val="left"/>
    </w:lvl>
    <w:lvl w:ilvl="3" w:tplc="80781C46">
      <w:numFmt w:val="decimal"/>
      <w:lvlText w:val=""/>
      <w:lvlJc w:val="left"/>
    </w:lvl>
    <w:lvl w:ilvl="4" w:tplc="FE5E19BA">
      <w:numFmt w:val="decimal"/>
      <w:lvlText w:val=""/>
      <w:lvlJc w:val="left"/>
    </w:lvl>
    <w:lvl w:ilvl="5" w:tplc="7C1E07B0">
      <w:numFmt w:val="decimal"/>
      <w:lvlText w:val=""/>
      <w:lvlJc w:val="left"/>
    </w:lvl>
    <w:lvl w:ilvl="6" w:tplc="6F662BDE">
      <w:numFmt w:val="decimal"/>
      <w:lvlText w:val=""/>
      <w:lvlJc w:val="left"/>
    </w:lvl>
    <w:lvl w:ilvl="7" w:tplc="6F08060C">
      <w:numFmt w:val="decimal"/>
      <w:lvlText w:val=""/>
      <w:lvlJc w:val="left"/>
    </w:lvl>
    <w:lvl w:ilvl="8" w:tplc="7BD2BFF6">
      <w:numFmt w:val="decimal"/>
      <w:lvlText w:val=""/>
      <w:lvlJc w:val="left"/>
    </w:lvl>
  </w:abstractNum>
  <w:abstractNum w:abstractNumId="5" w15:restartNumberingAfterBreak="0">
    <w:nsid w:val="00000005"/>
    <w:multiLevelType w:val="hybridMultilevel"/>
    <w:tmpl w:val="00000005"/>
    <w:name w:val="WW8Num5"/>
    <w:lvl w:ilvl="0" w:tplc="D21C0936">
      <w:start w:val="1"/>
      <w:numFmt w:val="lowerLetter"/>
      <w:lvlText w:val="(%1)"/>
      <w:lvlJc w:val="left"/>
      <w:pPr>
        <w:tabs>
          <w:tab w:val="num" w:pos="1080"/>
        </w:tabs>
        <w:ind w:left="1080" w:hanging="360"/>
      </w:pPr>
      <w:rPr>
        <w:rFonts w:ascii="Symbol" w:eastAsia="Calibri" w:hAnsi="Symbol" w:cs="Times New Roman"/>
      </w:rPr>
    </w:lvl>
    <w:lvl w:ilvl="1" w:tplc="D4765CA8">
      <w:numFmt w:val="decimal"/>
      <w:lvlText w:val=""/>
      <w:lvlJc w:val="left"/>
    </w:lvl>
    <w:lvl w:ilvl="2" w:tplc="FFD2E932">
      <w:numFmt w:val="decimal"/>
      <w:lvlText w:val=""/>
      <w:lvlJc w:val="left"/>
    </w:lvl>
    <w:lvl w:ilvl="3" w:tplc="C6344330">
      <w:numFmt w:val="decimal"/>
      <w:lvlText w:val=""/>
      <w:lvlJc w:val="left"/>
    </w:lvl>
    <w:lvl w:ilvl="4" w:tplc="F3800184">
      <w:numFmt w:val="decimal"/>
      <w:lvlText w:val=""/>
      <w:lvlJc w:val="left"/>
    </w:lvl>
    <w:lvl w:ilvl="5" w:tplc="83EEE4BA">
      <w:numFmt w:val="decimal"/>
      <w:lvlText w:val=""/>
      <w:lvlJc w:val="left"/>
    </w:lvl>
    <w:lvl w:ilvl="6" w:tplc="6FE4FB54">
      <w:numFmt w:val="decimal"/>
      <w:lvlText w:val=""/>
      <w:lvlJc w:val="left"/>
    </w:lvl>
    <w:lvl w:ilvl="7" w:tplc="4AD899D0">
      <w:numFmt w:val="decimal"/>
      <w:lvlText w:val=""/>
      <w:lvlJc w:val="left"/>
    </w:lvl>
    <w:lvl w:ilvl="8" w:tplc="26C6DB6C">
      <w:numFmt w:val="decimal"/>
      <w:lvlText w:val=""/>
      <w:lvlJc w:val="left"/>
    </w:lvl>
  </w:abstractNum>
  <w:abstractNum w:abstractNumId="6" w15:restartNumberingAfterBreak="0">
    <w:nsid w:val="00000006"/>
    <w:multiLevelType w:val="hybridMultilevel"/>
    <w:tmpl w:val="2D9E7664"/>
    <w:name w:val="WW8Num6"/>
    <w:lvl w:ilvl="0" w:tplc="6DBE6AEE">
      <w:start w:val="1"/>
      <w:numFmt w:val="decimal"/>
      <w:lvlText w:val="%1."/>
      <w:lvlJc w:val="left"/>
      <w:pPr>
        <w:tabs>
          <w:tab w:val="num" w:pos="360"/>
        </w:tabs>
        <w:ind w:left="0" w:firstLine="0"/>
      </w:pPr>
      <w:rPr>
        <w:rFonts w:ascii="Times New Roman" w:hAnsi="Times New Roman" w:cs="Times New Roman" w:hint="default"/>
        <w:b w:val="0"/>
      </w:rPr>
    </w:lvl>
    <w:lvl w:ilvl="1" w:tplc="AF8C13E0">
      <w:start w:val="1"/>
      <w:numFmt w:val="bullet"/>
      <w:lvlText w:val=""/>
      <w:lvlJc w:val="left"/>
      <w:pPr>
        <w:tabs>
          <w:tab w:val="num" w:pos="1440"/>
        </w:tabs>
        <w:ind w:left="0" w:firstLine="720"/>
      </w:pPr>
      <w:rPr>
        <w:rFonts w:ascii="Symbol" w:hAnsi="Symbol" w:hint="default"/>
        <w:b w:val="0"/>
        <w:color w:val="525252" w:themeColor="accent3" w:themeShade="80"/>
      </w:rPr>
    </w:lvl>
    <w:lvl w:ilvl="2" w:tplc="52B2EB0C">
      <w:start w:val="1"/>
      <w:numFmt w:val="lowerRoman"/>
      <w:lvlText w:val="(%3)"/>
      <w:lvlJc w:val="right"/>
      <w:pPr>
        <w:tabs>
          <w:tab w:val="num" w:pos="1440"/>
        </w:tabs>
        <w:ind w:left="1440" w:hanging="360"/>
      </w:pPr>
      <w:rPr>
        <w:rFonts w:ascii="Wingdings" w:hAnsi="Wingdings" w:cs="Wingdings"/>
      </w:rPr>
    </w:lvl>
    <w:lvl w:ilvl="3" w:tplc="B3C05CC2">
      <w:start w:val="1"/>
      <w:numFmt w:val="bullet"/>
      <w:lvlText w:val=""/>
      <w:lvlJc w:val="left"/>
      <w:pPr>
        <w:tabs>
          <w:tab w:val="num" w:pos="2160"/>
        </w:tabs>
        <w:ind w:left="2160" w:hanging="720"/>
      </w:pPr>
      <w:rPr>
        <w:rFonts w:ascii="Symbol" w:hAnsi="Symbol"/>
      </w:rPr>
    </w:lvl>
    <w:lvl w:ilvl="4" w:tplc="7C761DCA">
      <w:start w:val="1"/>
      <w:numFmt w:val="lowerLetter"/>
      <w:lvlText w:val="(%5)"/>
      <w:lvlJc w:val="left"/>
      <w:pPr>
        <w:tabs>
          <w:tab w:val="num" w:pos="1800"/>
        </w:tabs>
        <w:ind w:left="1800" w:hanging="360"/>
      </w:pPr>
      <w:rPr>
        <w:b w:val="0"/>
        <w:bCs w:val="0"/>
      </w:rPr>
    </w:lvl>
    <w:lvl w:ilvl="5" w:tplc="FEB61BE6">
      <w:start w:val="1"/>
      <w:numFmt w:val="lowerRoman"/>
      <w:lvlText w:val="(%6)"/>
      <w:lvlJc w:val="left"/>
      <w:pPr>
        <w:tabs>
          <w:tab w:val="num" w:pos="2160"/>
        </w:tabs>
        <w:ind w:left="2160" w:hanging="360"/>
      </w:pPr>
    </w:lvl>
    <w:lvl w:ilvl="6" w:tplc="9B269EA4">
      <w:start w:val="1"/>
      <w:numFmt w:val="decimal"/>
      <w:lvlText w:val="%7."/>
      <w:lvlJc w:val="left"/>
      <w:pPr>
        <w:tabs>
          <w:tab w:val="num" w:pos="2520"/>
        </w:tabs>
        <w:ind w:left="2520" w:hanging="360"/>
      </w:pPr>
    </w:lvl>
    <w:lvl w:ilvl="7" w:tplc="66E033DC">
      <w:start w:val="1"/>
      <w:numFmt w:val="lowerLetter"/>
      <w:lvlText w:val="%8."/>
      <w:lvlJc w:val="left"/>
      <w:pPr>
        <w:tabs>
          <w:tab w:val="num" w:pos="2880"/>
        </w:tabs>
        <w:ind w:left="2880" w:hanging="360"/>
      </w:pPr>
    </w:lvl>
    <w:lvl w:ilvl="8" w:tplc="08168678">
      <w:start w:val="1"/>
      <w:numFmt w:val="lowerRoman"/>
      <w:lvlText w:val="%9."/>
      <w:lvlJc w:val="left"/>
      <w:pPr>
        <w:tabs>
          <w:tab w:val="num" w:pos="3240"/>
        </w:tabs>
        <w:ind w:left="3240" w:hanging="360"/>
      </w:pPr>
    </w:lvl>
  </w:abstractNum>
  <w:abstractNum w:abstractNumId="7" w15:restartNumberingAfterBreak="0">
    <w:nsid w:val="00000007"/>
    <w:multiLevelType w:val="hybridMultilevel"/>
    <w:tmpl w:val="00000007"/>
    <w:name w:val="WW8Num7"/>
    <w:lvl w:ilvl="0" w:tplc="14CE90CA">
      <w:start w:val="1"/>
      <w:numFmt w:val="decimal"/>
      <w:pStyle w:val="Style5"/>
      <w:lvlText w:val="%1."/>
      <w:lvlJc w:val="left"/>
      <w:pPr>
        <w:tabs>
          <w:tab w:val="num" w:pos="360"/>
        </w:tabs>
        <w:ind w:left="0" w:firstLine="0"/>
      </w:pPr>
      <w:rPr>
        <w:rFonts w:ascii="Symbol" w:hAnsi="Symbol" w:cs="Symbol"/>
      </w:rPr>
    </w:lvl>
    <w:lvl w:ilvl="1" w:tplc="2E76F0F2">
      <w:start w:val="1"/>
      <w:numFmt w:val="lowerLetter"/>
      <w:lvlText w:val="(%2)"/>
      <w:lvlJc w:val="left"/>
      <w:pPr>
        <w:tabs>
          <w:tab w:val="num" w:pos="1440"/>
        </w:tabs>
        <w:ind w:left="0" w:firstLine="720"/>
      </w:pPr>
      <w:rPr>
        <w:rFonts w:ascii="Courier New" w:hAnsi="Courier New" w:cs="Courier New"/>
      </w:rPr>
    </w:lvl>
    <w:lvl w:ilvl="2" w:tplc="FA1A7C10">
      <w:start w:val="1"/>
      <w:numFmt w:val="lowerRoman"/>
      <w:lvlText w:val="(%3)"/>
      <w:lvlJc w:val="right"/>
      <w:pPr>
        <w:tabs>
          <w:tab w:val="num" w:pos="1440"/>
        </w:tabs>
        <w:ind w:left="1440" w:hanging="360"/>
      </w:pPr>
      <w:rPr>
        <w:rFonts w:ascii="Wingdings" w:hAnsi="Wingdings" w:cs="Wingdings"/>
      </w:rPr>
    </w:lvl>
    <w:lvl w:ilvl="3" w:tplc="F306DB7C">
      <w:start w:val="1"/>
      <w:numFmt w:val="bullet"/>
      <w:lvlText w:val=""/>
      <w:lvlJc w:val="left"/>
      <w:pPr>
        <w:tabs>
          <w:tab w:val="num" w:pos="2160"/>
        </w:tabs>
        <w:ind w:left="2160" w:hanging="720"/>
      </w:pPr>
      <w:rPr>
        <w:rFonts w:ascii="Symbol" w:hAnsi="Symbol" w:cs="Symbol" w:hint="default"/>
      </w:rPr>
    </w:lvl>
    <w:lvl w:ilvl="4" w:tplc="A23EB6D6">
      <w:start w:val="1"/>
      <w:numFmt w:val="lowerLetter"/>
      <w:lvlText w:val="(%5)"/>
      <w:lvlJc w:val="left"/>
      <w:pPr>
        <w:tabs>
          <w:tab w:val="num" w:pos="1800"/>
        </w:tabs>
        <w:ind w:left="1800" w:hanging="360"/>
      </w:pPr>
      <w:rPr>
        <w:rFonts w:ascii="Wingdings" w:hAnsi="Wingdings" w:cs="Wingdings"/>
      </w:rPr>
    </w:lvl>
    <w:lvl w:ilvl="5" w:tplc="DD0EE58A">
      <w:start w:val="1"/>
      <w:numFmt w:val="lowerRoman"/>
      <w:lvlText w:val="(%6)"/>
      <w:lvlJc w:val="left"/>
      <w:pPr>
        <w:tabs>
          <w:tab w:val="num" w:pos="2160"/>
        </w:tabs>
        <w:ind w:left="2160" w:hanging="360"/>
      </w:pPr>
      <w:rPr>
        <w:rFonts w:ascii="Wingdings" w:hAnsi="Wingdings" w:cs="Wingdings"/>
      </w:rPr>
    </w:lvl>
    <w:lvl w:ilvl="6" w:tplc="8B02327A">
      <w:start w:val="1"/>
      <w:numFmt w:val="decimal"/>
      <w:lvlText w:val="%7."/>
      <w:lvlJc w:val="left"/>
      <w:pPr>
        <w:tabs>
          <w:tab w:val="num" w:pos="2520"/>
        </w:tabs>
        <w:ind w:left="2520" w:hanging="360"/>
      </w:pPr>
      <w:rPr>
        <w:rFonts w:ascii="Wingdings" w:hAnsi="Wingdings" w:cs="Wingdings"/>
      </w:rPr>
    </w:lvl>
    <w:lvl w:ilvl="7" w:tplc="C64A816A">
      <w:start w:val="1"/>
      <w:numFmt w:val="lowerLetter"/>
      <w:lvlText w:val="%8."/>
      <w:lvlJc w:val="left"/>
      <w:pPr>
        <w:tabs>
          <w:tab w:val="num" w:pos="2880"/>
        </w:tabs>
        <w:ind w:left="2880" w:hanging="360"/>
      </w:pPr>
      <w:rPr>
        <w:rFonts w:ascii="Wingdings" w:hAnsi="Wingdings" w:cs="Wingdings"/>
      </w:rPr>
    </w:lvl>
    <w:lvl w:ilvl="8" w:tplc="3C724B08">
      <w:start w:val="1"/>
      <w:numFmt w:val="lowerRoman"/>
      <w:lvlText w:val="%9."/>
      <w:lvlJc w:val="left"/>
      <w:pPr>
        <w:tabs>
          <w:tab w:val="num" w:pos="3240"/>
        </w:tabs>
        <w:ind w:left="3240" w:hanging="360"/>
      </w:pPr>
      <w:rPr>
        <w:rFonts w:ascii="Wingdings" w:hAnsi="Wingdings" w:cs="Wingdings"/>
      </w:rPr>
    </w:lvl>
  </w:abstractNum>
  <w:abstractNum w:abstractNumId="8" w15:restartNumberingAfterBreak="0">
    <w:nsid w:val="00000008"/>
    <w:multiLevelType w:val="hybridMultilevel"/>
    <w:tmpl w:val="00000008"/>
    <w:name w:val="WW8Num8"/>
    <w:lvl w:ilvl="0" w:tplc="3B327C5E">
      <w:start w:val="1"/>
      <w:numFmt w:val="decimal"/>
      <w:lvlText w:val="%1."/>
      <w:lvlJc w:val="left"/>
      <w:pPr>
        <w:tabs>
          <w:tab w:val="num" w:pos="1080"/>
        </w:tabs>
        <w:ind w:left="1080" w:hanging="360"/>
      </w:pPr>
      <w:rPr>
        <w:rFonts w:ascii="Times New Roman" w:eastAsia="SimSun" w:hAnsi="Times New Roman" w:cs="Times New Roman"/>
      </w:rPr>
    </w:lvl>
    <w:lvl w:ilvl="1" w:tplc="BBAC56F6">
      <w:numFmt w:val="decimal"/>
      <w:lvlText w:val=""/>
      <w:lvlJc w:val="left"/>
    </w:lvl>
    <w:lvl w:ilvl="2" w:tplc="8F4CD12A">
      <w:numFmt w:val="decimal"/>
      <w:lvlText w:val=""/>
      <w:lvlJc w:val="left"/>
    </w:lvl>
    <w:lvl w:ilvl="3" w:tplc="B502AB96">
      <w:numFmt w:val="decimal"/>
      <w:lvlText w:val=""/>
      <w:lvlJc w:val="left"/>
    </w:lvl>
    <w:lvl w:ilvl="4" w:tplc="2DCEAB48">
      <w:numFmt w:val="decimal"/>
      <w:lvlText w:val=""/>
      <w:lvlJc w:val="left"/>
    </w:lvl>
    <w:lvl w:ilvl="5" w:tplc="8550C1AC">
      <w:numFmt w:val="decimal"/>
      <w:lvlText w:val=""/>
      <w:lvlJc w:val="left"/>
    </w:lvl>
    <w:lvl w:ilvl="6" w:tplc="73E8ED18">
      <w:numFmt w:val="decimal"/>
      <w:lvlText w:val=""/>
      <w:lvlJc w:val="left"/>
    </w:lvl>
    <w:lvl w:ilvl="7" w:tplc="6FCEBD16">
      <w:numFmt w:val="decimal"/>
      <w:lvlText w:val=""/>
      <w:lvlJc w:val="left"/>
    </w:lvl>
    <w:lvl w:ilvl="8" w:tplc="83329896">
      <w:numFmt w:val="decimal"/>
      <w:lvlText w:val=""/>
      <w:lvlJc w:val="left"/>
    </w:lvl>
  </w:abstractNum>
  <w:abstractNum w:abstractNumId="9" w15:restartNumberingAfterBreak="0">
    <w:nsid w:val="00000009"/>
    <w:multiLevelType w:val="multilevel"/>
    <w:tmpl w:val="0CB8371C"/>
    <w:name w:val="WW8Num9"/>
    <w:lvl w:ilvl="0">
      <w:start w:val="4"/>
      <w:numFmt w:val="decimal"/>
      <w:lvlText w:val="%1."/>
      <w:lvlJc w:val="left"/>
      <w:pPr>
        <w:tabs>
          <w:tab w:val="num" w:pos="720"/>
        </w:tabs>
        <w:ind w:left="720" w:hanging="360"/>
      </w:pPr>
      <w:rPr>
        <w:rFonts w:ascii="Times New Roman" w:eastAsia="SimSun" w:hAnsi="Times New Roman" w:cs="Times New Roman"/>
        <w:color w:val="000000"/>
        <w:kern w:val="1"/>
        <w:szCs w:val="22"/>
        <w:lang w:val="en-US" w:eastAsia="hi-IN" w:bidi="hi-IN"/>
      </w:rPr>
    </w:lvl>
    <w:lvl w:ilvl="1">
      <w:start w:val="2"/>
      <w:numFmt w:val="decimal"/>
      <w:lvlText w:val="%1.%2."/>
      <w:lvlJc w:val="left"/>
      <w:pPr>
        <w:tabs>
          <w:tab w:val="num" w:pos="1080"/>
        </w:tabs>
        <w:ind w:left="1080" w:hanging="360"/>
      </w:pPr>
      <w:rPr>
        <w:rFonts w:ascii="Courier New" w:hAnsi="Courier New" w:cs="Courier New"/>
      </w:rPr>
    </w:lvl>
    <w:lvl w:ilvl="2">
      <w:start w:val="4"/>
      <w:numFmt w:val="decimal"/>
      <w:lvlText w:val="%1.%2.%3"/>
      <w:lvlJc w:val="left"/>
      <w:pPr>
        <w:tabs>
          <w:tab w:val="num" w:pos="1440"/>
        </w:tabs>
        <w:ind w:left="1440" w:hanging="360"/>
      </w:pPr>
      <w:rPr>
        <w:rFonts w:ascii="Wingdings" w:hAnsi="Wingdings" w:cs="Wingdings"/>
        <w:lang w:val="en-US"/>
      </w:rPr>
    </w:lvl>
    <w:lvl w:ilvl="3">
      <w:start w:val="1"/>
      <w:numFmt w:val="decimal"/>
      <w:lvlText w:val="%1.%2.%3.%4."/>
      <w:lvlJc w:val="left"/>
      <w:pPr>
        <w:tabs>
          <w:tab w:val="num" w:pos="1800"/>
        </w:tabs>
        <w:ind w:left="1800" w:hanging="360"/>
      </w:pPr>
      <w:rPr>
        <w:rFonts w:ascii="Symbol" w:hAnsi="Symbol" w:cs="Symbol"/>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0A"/>
    <w:multiLevelType w:val="hybridMultilevel"/>
    <w:tmpl w:val="0000000A"/>
    <w:name w:val="WW8Num11"/>
    <w:lvl w:ilvl="0" w:tplc="61BE2E7A">
      <w:start w:val="1"/>
      <w:numFmt w:val="decimal"/>
      <w:lvlText w:val="%1)"/>
      <w:lvlJc w:val="left"/>
      <w:pPr>
        <w:tabs>
          <w:tab w:val="num" w:pos="720"/>
        </w:tabs>
        <w:ind w:left="720" w:hanging="360"/>
      </w:pPr>
      <w:rPr>
        <w:rFonts w:ascii="Courier New" w:eastAsia="SimSun" w:hAnsi="Courier New" w:cs="Courier New" w:hint="default"/>
        <w:color w:val="000000"/>
        <w:kern w:val="1"/>
        <w:szCs w:val="22"/>
        <w:shd w:val="clear" w:color="auto" w:fill="auto"/>
        <w:lang w:val="en-US" w:eastAsia="hi-IN" w:bidi="hi-IN"/>
      </w:rPr>
    </w:lvl>
    <w:lvl w:ilvl="1" w:tplc="70F00384">
      <w:start w:val="1"/>
      <w:numFmt w:val="decimal"/>
      <w:lvlText w:val="%2."/>
      <w:lvlJc w:val="left"/>
      <w:pPr>
        <w:tabs>
          <w:tab w:val="num" w:pos="1080"/>
        </w:tabs>
        <w:ind w:left="1080" w:hanging="360"/>
      </w:pPr>
    </w:lvl>
    <w:lvl w:ilvl="2" w:tplc="370E6B02">
      <w:start w:val="1"/>
      <w:numFmt w:val="decimal"/>
      <w:lvlText w:val="%3."/>
      <w:lvlJc w:val="left"/>
      <w:pPr>
        <w:tabs>
          <w:tab w:val="num" w:pos="1440"/>
        </w:tabs>
        <w:ind w:left="1440" w:hanging="360"/>
      </w:pPr>
      <w:rPr>
        <w:lang w:val="en-US"/>
      </w:rPr>
    </w:lvl>
    <w:lvl w:ilvl="3" w:tplc="C8D89142">
      <w:start w:val="1"/>
      <w:numFmt w:val="decimal"/>
      <w:lvlText w:val="%4."/>
      <w:lvlJc w:val="left"/>
      <w:pPr>
        <w:tabs>
          <w:tab w:val="num" w:pos="1800"/>
        </w:tabs>
        <w:ind w:left="1800" w:hanging="360"/>
      </w:pPr>
    </w:lvl>
    <w:lvl w:ilvl="4" w:tplc="1C1E0080">
      <w:start w:val="1"/>
      <w:numFmt w:val="decimal"/>
      <w:lvlText w:val="%5."/>
      <w:lvlJc w:val="left"/>
      <w:pPr>
        <w:tabs>
          <w:tab w:val="num" w:pos="2160"/>
        </w:tabs>
        <w:ind w:left="2160" w:hanging="360"/>
      </w:pPr>
    </w:lvl>
    <w:lvl w:ilvl="5" w:tplc="9058E922">
      <w:start w:val="1"/>
      <w:numFmt w:val="decimal"/>
      <w:lvlText w:val="%6."/>
      <w:lvlJc w:val="left"/>
      <w:pPr>
        <w:tabs>
          <w:tab w:val="num" w:pos="2520"/>
        </w:tabs>
        <w:ind w:left="2520" w:hanging="360"/>
      </w:pPr>
    </w:lvl>
    <w:lvl w:ilvl="6" w:tplc="65DC2AF8">
      <w:start w:val="1"/>
      <w:numFmt w:val="decimal"/>
      <w:lvlText w:val="%7."/>
      <w:lvlJc w:val="left"/>
      <w:pPr>
        <w:tabs>
          <w:tab w:val="num" w:pos="2880"/>
        </w:tabs>
        <w:ind w:left="2880" w:hanging="360"/>
      </w:pPr>
    </w:lvl>
    <w:lvl w:ilvl="7" w:tplc="F3165A4A">
      <w:start w:val="1"/>
      <w:numFmt w:val="decimal"/>
      <w:lvlText w:val="%8."/>
      <w:lvlJc w:val="left"/>
      <w:pPr>
        <w:tabs>
          <w:tab w:val="num" w:pos="3240"/>
        </w:tabs>
        <w:ind w:left="3240" w:hanging="360"/>
      </w:pPr>
    </w:lvl>
    <w:lvl w:ilvl="8" w:tplc="26944CAE">
      <w:start w:val="1"/>
      <w:numFmt w:val="decimal"/>
      <w:lvlText w:val="%9."/>
      <w:lvlJc w:val="left"/>
      <w:pPr>
        <w:tabs>
          <w:tab w:val="num" w:pos="3600"/>
        </w:tabs>
        <w:ind w:left="3600" w:hanging="360"/>
      </w:pPr>
    </w:lvl>
  </w:abstractNum>
  <w:abstractNum w:abstractNumId="11" w15:restartNumberingAfterBreak="0">
    <w:nsid w:val="0020713B"/>
    <w:multiLevelType w:val="hybridMultilevel"/>
    <w:tmpl w:val="520024FA"/>
    <w:lvl w:ilvl="0" w:tplc="6DBE6AEE">
      <w:start w:val="1"/>
      <w:numFmt w:val="decimal"/>
      <w:lvlText w:val="%1."/>
      <w:lvlJc w:val="left"/>
      <w:pPr>
        <w:tabs>
          <w:tab w:val="num" w:pos="360"/>
        </w:tabs>
        <w:ind w:left="0" w:firstLine="0"/>
      </w:pPr>
      <w:rPr>
        <w:rFonts w:ascii="Times New Roman" w:hAnsi="Times New Roman" w:cs="Times New Roman" w:hint="default"/>
        <w:b w:val="0"/>
      </w:rPr>
    </w:lvl>
    <w:lvl w:ilvl="1" w:tplc="3B46466E">
      <w:start w:val="1"/>
      <w:numFmt w:val="lowerLetter"/>
      <w:lvlText w:val="(%2)"/>
      <w:lvlJc w:val="left"/>
      <w:pPr>
        <w:tabs>
          <w:tab w:val="num" w:pos="1440"/>
        </w:tabs>
        <w:ind w:left="0" w:firstLine="720"/>
      </w:pPr>
      <w:rPr>
        <w:rFonts w:ascii="Times New Roman" w:hAnsi="Times New Roman" w:cs="Times New Roman" w:hint="default"/>
        <w:b w:val="0"/>
      </w:rPr>
    </w:lvl>
    <w:lvl w:ilvl="2" w:tplc="52B2EB0C">
      <w:start w:val="1"/>
      <w:numFmt w:val="lowerRoman"/>
      <w:lvlText w:val="(%3)"/>
      <w:lvlJc w:val="right"/>
      <w:pPr>
        <w:tabs>
          <w:tab w:val="num" w:pos="1440"/>
        </w:tabs>
        <w:ind w:left="1440" w:hanging="360"/>
      </w:pPr>
      <w:rPr>
        <w:rFonts w:ascii="Wingdings" w:hAnsi="Wingdings" w:cs="Wingdings"/>
      </w:rPr>
    </w:lvl>
    <w:lvl w:ilvl="3" w:tplc="B3C05CC2">
      <w:start w:val="1"/>
      <w:numFmt w:val="bullet"/>
      <w:lvlText w:val=""/>
      <w:lvlJc w:val="left"/>
      <w:pPr>
        <w:tabs>
          <w:tab w:val="num" w:pos="2160"/>
        </w:tabs>
        <w:ind w:left="2160" w:hanging="720"/>
      </w:pPr>
      <w:rPr>
        <w:rFonts w:ascii="Symbol" w:hAnsi="Symbol"/>
      </w:rPr>
    </w:lvl>
    <w:lvl w:ilvl="4" w:tplc="E4041740">
      <w:start w:val="2"/>
      <w:numFmt w:val="lowerLetter"/>
      <w:lvlText w:val="(%5)"/>
      <w:lvlJc w:val="left"/>
      <w:pPr>
        <w:tabs>
          <w:tab w:val="num" w:pos="1800"/>
        </w:tabs>
        <w:ind w:left="1800" w:hanging="360"/>
      </w:pPr>
      <w:rPr>
        <w:rFonts w:ascii="Times New Roman" w:hAnsi="Times New Roman" w:cs="Times New Roman" w:hint="default"/>
        <w:b w:val="0"/>
        <w:bCs w:val="0"/>
      </w:rPr>
    </w:lvl>
    <w:lvl w:ilvl="5" w:tplc="FEB61BE6">
      <w:start w:val="1"/>
      <w:numFmt w:val="lowerRoman"/>
      <w:lvlText w:val="(%6)"/>
      <w:lvlJc w:val="left"/>
      <w:pPr>
        <w:tabs>
          <w:tab w:val="num" w:pos="2160"/>
        </w:tabs>
        <w:ind w:left="2160" w:hanging="360"/>
      </w:pPr>
    </w:lvl>
    <w:lvl w:ilvl="6" w:tplc="9B269EA4">
      <w:start w:val="1"/>
      <w:numFmt w:val="decimal"/>
      <w:lvlText w:val="%7."/>
      <w:lvlJc w:val="left"/>
      <w:pPr>
        <w:tabs>
          <w:tab w:val="num" w:pos="2520"/>
        </w:tabs>
        <w:ind w:left="2520" w:hanging="360"/>
      </w:pPr>
    </w:lvl>
    <w:lvl w:ilvl="7" w:tplc="66E033DC">
      <w:start w:val="1"/>
      <w:numFmt w:val="lowerLetter"/>
      <w:lvlText w:val="%8."/>
      <w:lvlJc w:val="left"/>
      <w:pPr>
        <w:tabs>
          <w:tab w:val="num" w:pos="2880"/>
        </w:tabs>
        <w:ind w:left="2880" w:hanging="360"/>
      </w:pPr>
    </w:lvl>
    <w:lvl w:ilvl="8" w:tplc="08168678">
      <w:start w:val="1"/>
      <w:numFmt w:val="lowerRoman"/>
      <w:lvlText w:val="%9."/>
      <w:lvlJc w:val="left"/>
      <w:pPr>
        <w:tabs>
          <w:tab w:val="num" w:pos="3240"/>
        </w:tabs>
        <w:ind w:left="3240" w:hanging="360"/>
      </w:pPr>
    </w:lvl>
  </w:abstractNum>
  <w:abstractNum w:abstractNumId="12" w15:restartNumberingAfterBreak="0">
    <w:nsid w:val="00D354A3"/>
    <w:multiLevelType w:val="hybridMultilevel"/>
    <w:tmpl w:val="4ED4B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1EE435B"/>
    <w:multiLevelType w:val="hybridMultilevel"/>
    <w:tmpl w:val="B0180FE4"/>
    <w:lvl w:ilvl="0" w:tplc="0566575E">
      <w:start w:val="1"/>
      <w:numFmt w:val="bullet"/>
      <w:lvlText w:val=""/>
      <w:lvlJc w:val="left"/>
      <w:pPr>
        <w:ind w:left="113" w:hanging="113"/>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25D6713"/>
    <w:multiLevelType w:val="hybridMultilevel"/>
    <w:tmpl w:val="FFFFFFFF"/>
    <w:lvl w:ilvl="0" w:tplc="278EC664">
      <w:start w:val="1"/>
      <w:numFmt w:val="bullet"/>
      <w:lvlText w:val="·"/>
      <w:lvlJc w:val="left"/>
      <w:pPr>
        <w:ind w:left="720" w:hanging="360"/>
      </w:pPr>
      <w:rPr>
        <w:rFonts w:ascii="Symbol" w:hAnsi="Symbol" w:hint="default"/>
      </w:rPr>
    </w:lvl>
    <w:lvl w:ilvl="1" w:tplc="95681C9E">
      <w:start w:val="1"/>
      <w:numFmt w:val="bullet"/>
      <w:lvlText w:val="o"/>
      <w:lvlJc w:val="left"/>
      <w:pPr>
        <w:ind w:left="1440" w:hanging="360"/>
      </w:pPr>
      <w:rPr>
        <w:rFonts w:ascii="Courier New" w:hAnsi="Courier New" w:hint="default"/>
      </w:rPr>
    </w:lvl>
    <w:lvl w:ilvl="2" w:tplc="1FB275B6">
      <w:start w:val="1"/>
      <w:numFmt w:val="bullet"/>
      <w:lvlText w:val=""/>
      <w:lvlJc w:val="left"/>
      <w:pPr>
        <w:ind w:left="2160" w:hanging="360"/>
      </w:pPr>
      <w:rPr>
        <w:rFonts w:ascii="Wingdings" w:hAnsi="Wingdings" w:hint="default"/>
      </w:rPr>
    </w:lvl>
    <w:lvl w:ilvl="3" w:tplc="296A4164">
      <w:start w:val="1"/>
      <w:numFmt w:val="bullet"/>
      <w:lvlText w:val=""/>
      <w:lvlJc w:val="left"/>
      <w:pPr>
        <w:ind w:left="2880" w:hanging="360"/>
      </w:pPr>
      <w:rPr>
        <w:rFonts w:ascii="Symbol" w:hAnsi="Symbol" w:hint="default"/>
      </w:rPr>
    </w:lvl>
    <w:lvl w:ilvl="4" w:tplc="FFF2AF9E">
      <w:start w:val="1"/>
      <w:numFmt w:val="bullet"/>
      <w:lvlText w:val="o"/>
      <w:lvlJc w:val="left"/>
      <w:pPr>
        <w:ind w:left="3600" w:hanging="360"/>
      </w:pPr>
      <w:rPr>
        <w:rFonts w:ascii="Courier New" w:hAnsi="Courier New" w:hint="default"/>
      </w:rPr>
    </w:lvl>
    <w:lvl w:ilvl="5" w:tplc="CD7EEF22">
      <w:start w:val="1"/>
      <w:numFmt w:val="bullet"/>
      <w:lvlText w:val=""/>
      <w:lvlJc w:val="left"/>
      <w:pPr>
        <w:ind w:left="4320" w:hanging="360"/>
      </w:pPr>
      <w:rPr>
        <w:rFonts w:ascii="Wingdings" w:hAnsi="Wingdings" w:hint="default"/>
      </w:rPr>
    </w:lvl>
    <w:lvl w:ilvl="6" w:tplc="972C18CC">
      <w:start w:val="1"/>
      <w:numFmt w:val="bullet"/>
      <w:lvlText w:val=""/>
      <w:lvlJc w:val="left"/>
      <w:pPr>
        <w:ind w:left="5040" w:hanging="360"/>
      </w:pPr>
      <w:rPr>
        <w:rFonts w:ascii="Symbol" w:hAnsi="Symbol" w:hint="default"/>
      </w:rPr>
    </w:lvl>
    <w:lvl w:ilvl="7" w:tplc="AA9C9DF8">
      <w:start w:val="1"/>
      <w:numFmt w:val="bullet"/>
      <w:lvlText w:val="o"/>
      <w:lvlJc w:val="left"/>
      <w:pPr>
        <w:ind w:left="5760" w:hanging="360"/>
      </w:pPr>
      <w:rPr>
        <w:rFonts w:ascii="Courier New" w:hAnsi="Courier New" w:hint="default"/>
      </w:rPr>
    </w:lvl>
    <w:lvl w:ilvl="8" w:tplc="B26E9B56">
      <w:start w:val="1"/>
      <w:numFmt w:val="bullet"/>
      <w:lvlText w:val=""/>
      <w:lvlJc w:val="left"/>
      <w:pPr>
        <w:ind w:left="6480" w:hanging="360"/>
      </w:pPr>
      <w:rPr>
        <w:rFonts w:ascii="Wingdings" w:hAnsi="Wingdings" w:hint="default"/>
      </w:rPr>
    </w:lvl>
  </w:abstractNum>
  <w:abstractNum w:abstractNumId="15" w15:restartNumberingAfterBreak="0">
    <w:nsid w:val="03020D78"/>
    <w:multiLevelType w:val="hybridMultilevel"/>
    <w:tmpl w:val="FFFFFFFF"/>
    <w:lvl w:ilvl="0" w:tplc="C996F456">
      <w:start w:val="1"/>
      <w:numFmt w:val="bullet"/>
      <w:lvlText w:val=""/>
      <w:lvlJc w:val="left"/>
      <w:pPr>
        <w:ind w:left="720" w:hanging="360"/>
      </w:pPr>
      <w:rPr>
        <w:rFonts w:ascii="Symbol" w:hAnsi="Symbol" w:hint="default"/>
      </w:rPr>
    </w:lvl>
    <w:lvl w:ilvl="1" w:tplc="309E7DCA">
      <w:start w:val="1"/>
      <w:numFmt w:val="bullet"/>
      <w:lvlText w:val="o"/>
      <w:lvlJc w:val="left"/>
      <w:pPr>
        <w:ind w:left="1440" w:hanging="360"/>
      </w:pPr>
      <w:rPr>
        <w:rFonts w:ascii="Courier New" w:hAnsi="Courier New" w:hint="default"/>
      </w:rPr>
    </w:lvl>
    <w:lvl w:ilvl="2" w:tplc="428C85CE">
      <w:start w:val="1"/>
      <w:numFmt w:val="bullet"/>
      <w:lvlText w:val=""/>
      <w:lvlJc w:val="left"/>
      <w:pPr>
        <w:ind w:left="2160" w:hanging="360"/>
      </w:pPr>
      <w:rPr>
        <w:rFonts w:ascii="Wingdings" w:hAnsi="Wingdings" w:hint="default"/>
      </w:rPr>
    </w:lvl>
    <w:lvl w:ilvl="3" w:tplc="9C747EC4">
      <w:start w:val="1"/>
      <w:numFmt w:val="bullet"/>
      <w:lvlText w:val=""/>
      <w:lvlJc w:val="left"/>
      <w:pPr>
        <w:ind w:left="2880" w:hanging="360"/>
      </w:pPr>
      <w:rPr>
        <w:rFonts w:ascii="Symbol" w:hAnsi="Symbol" w:hint="default"/>
      </w:rPr>
    </w:lvl>
    <w:lvl w:ilvl="4" w:tplc="B584177A">
      <w:start w:val="1"/>
      <w:numFmt w:val="bullet"/>
      <w:lvlText w:val="o"/>
      <w:lvlJc w:val="left"/>
      <w:pPr>
        <w:ind w:left="3600" w:hanging="360"/>
      </w:pPr>
      <w:rPr>
        <w:rFonts w:ascii="Courier New" w:hAnsi="Courier New" w:hint="default"/>
      </w:rPr>
    </w:lvl>
    <w:lvl w:ilvl="5" w:tplc="E74A96CA">
      <w:start w:val="1"/>
      <w:numFmt w:val="bullet"/>
      <w:lvlText w:val=""/>
      <w:lvlJc w:val="left"/>
      <w:pPr>
        <w:ind w:left="4320" w:hanging="360"/>
      </w:pPr>
      <w:rPr>
        <w:rFonts w:ascii="Wingdings" w:hAnsi="Wingdings" w:hint="default"/>
      </w:rPr>
    </w:lvl>
    <w:lvl w:ilvl="6" w:tplc="5692A6E8">
      <w:start w:val="1"/>
      <w:numFmt w:val="bullet"/>
      <w:lvlText w:val=""/>
      <w:lvlJc w:val="left"/>
      <w:pPr>
        <w:ind w:left="5040" w:hanging="360"/>
      </w:pPr>
      <w:rPr>
        <w:rFonts w:ascii="Symbol" w:hAnsi="Symbol" w:hint="default"/>
      </w:rPr>
    </w:lvl>
    <w:lvl w:ilvl="7" w:tplc="BE764FD2">
      <w:start w:val="1"/>
      <w:numFmt w:val="bullet"/>
      <w:lvlText w:val="o"/>
      <w:lvlJc w:val="left"/>
      <w:pPr>
        <w:ind w:left="5760" w:hanging="360"/>
      </w:pPr>
      <w:rPr>
        <w:rFonts w:ascii="Courier New" w:hAnsi="Courier New" w:hint="default"/>
      </w:rPr>
    </w:lvl>
    <w:lvl w:ilvl="8" w:tplc="8024884E">
      <w:start w:val="1"/>
      <w:numFmt w:val="bullet"/>
      <w:lvlText w:val=""/>
      <w:lvlJc w:val="left"/>
      <w:pPr>
        <w:ind w:left="6480" w:hanging="360"/>
      </w:pPr>
      <w:rPr>
        <w:rFonts w:ascii="Wingdings" w:hAnsi="Wingdings" w:hint="default"/>
      </w:rPr>
    </w:lvl>
  </w:abstractNum>
  <w:abstractNum w:abstractNumId="16" w15:restartNumberingAfterBreak="0">
    <w:nsid w:val="0442075B"/>
    <w:multiLevelType w:val="hybridMultilevel"/>
    <w:tmpl w:val="B712C99A"/>
    <w:lvl w:ilvl="0" w:tplc="04090001">
      <w:start w:val="1"/>
      <w:numFmt w:val="bullet"/>
      <w:lvlText w:val=""/>
      <w:lvlJc w:val="left"/>
      <w:pPr>
        <w:ind w:left="720" w:hanging="360"/>
      </w:pPr>
      <w:rPr>
        <w:rFonts w:ascii="Symbol" w:hAnsi="Symbol" w:hint="default"/>
      </w:rPr>
    </w:lvl>
    <w:lvl w:ilvl="1" w:tplc="B3C05CC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47A7A7C"/>
    <w:multiLevelType w:val="hybridMultilevel"/>
    <w:tmpl w:val="7074AE50"/>
    <w:lvl w:ilvl="0" w:tplc="6DBE6AEE">
      <w:start w:val="1"/>
      <w:numFmt w:val="decimal"/>
      <w:lvlText w:val="%1."/>
      <w:lvlJc w:val="left"/>
      <w:pPr>
        <w:tabs>
          <w:tab w:val="num" w:pos="360"/>
        </w:tabs>
        <w:ind w:left="0" w:firstLine="0"/>
      </w:pPr>
      <w:rPr>
        <w:rFonts w:ascii="Times New Roman" w:hAnsi="Times New Roman" w:cs="Times New Roman" w:hint="default"/>
        <w:b w:val="0"/>
      </w:rPr>
    </w:lvl>
    <w:lvl w:ilvl="1" w:tplc="3B46466E">
      <w:start w:val="1"/>
      <w:numFmt w:val="lowerLetter"/>
      <w:lvlText w:val="(%2)"/>
      <w:lvlJc w:val="left"/>
      <w:pPr>
        <w:tabs>
          <w:tab w:val="num" w:pos="1440"/>
        </w:tabs>
        <w:ind w:left="0" w:firstLine="720"/>
      </w:pPr>
      <w:rPr>
        <w:rFonts w:ascii="Times New Roman" w:hAnsi="Times New Roman" w:cs="Times New Roman" w:hint="default"/>
        <w:b w:val="0"/>
      </w:rPr>
    </w:lvl>
    <w:lvl w:ilvl="2" w:tplc="52B2EB0C">
      <w:start w:val="1"/>
      <w:numFmt w:val="lowerRoman"/>
      <w:lvlText w:val="(%3)"/>
      <w:lvlJc w:val="right"/>
      <w:pPr>
        <w:tabs>
          <w:tab w:val="num" w:pos="1440"/>
        </w:tabs>
        <w:ind w:left="1440" w:hanging="360"/>
      </w:pPr>
      <w:rPr>
        <w:rFonts w:ascii="Wingdings" w:hAnsi="Wingdings" w:cs="Wingdings"/>
      </w:rPr>
    </w:lvl>
    <w:lvl w:ilvl="3" w:tplc="B3C05CC2">
      <w:start w:val="1"/>
      <w:numFmt w:val="bullet"/>
      <w:lvlText w:val=""/>
      <w:lvlJc w:val="left"/>
      <w:pPr>
        <w:tabs>
          <w:tab w:val="num" w:pos="2160"/>
        </w:tabs>
        <w:ind w:left="2160" w:hanging="720"/>
      </w:pPr>
      <w:rPr>
        <w:rFonts w:ascii="Symbol" w:hAnsi="Symbol"/>
      </w:rPr>
    </w:lvl>
    <w:lvl w:ilvl="4" w:tplc="E4041740">
      <w:start w:val="2"/>
      <w:numFmt w:val="lowerLetter"/>
      <w:lvlText w:val="(%5)"/>
      <w:lvlJc w:val="left"/>
      <w:pPr>
        <w:tabs>
          <w:tab w:val="num" w:pos="1800"/>
        </w:tabs>
        <w:ind w:left="1800" w:hanging="360"/>
      </w:pPr>
      <w:rPr>
        <w:rFonts w:ascii="Times New Roman" w:hAnsi="Times New Roman" w:cs="Times New Roman" w:hint="default"/>
        <w:b w:val="0"/>
        <w:bCs w:val="0"/>
      </w:rPr>
    </w:lvl>
    <w:lvl w:ilvl="5" w:tplc="FEB61BE6">
      <w:start w:val="1"/>
      <w:numFmt w:val="lowerRoman"/>
      <w:lvlText w:val="(%6)"/>
      <w:lvlJc w:val="left"/>
      <w:pPr>
        <w:tabs>
          <w:tab w:val="num" w:pos="2160"/>
        </w:tabs>
        <w:ind w:left="2160" w:hanging="360"/>
      </w:pPr>
    </w:lvl>
    <w:lvl w:ilvl="6" w:tplc="9B269EA4">
      <w:start w:val="1"/>
      <w:numFmt w:val="decimal"/>
      <w:lvlText w:val="%7."/>
      <w:lvlJc w:val="left"/>
      <w:pPr>
        <w:tabs>
          <w:tab w:val="num" w:pos="2520"/>
        </w:tabs>
        <w:ind w:left="2520" w:hanging="360"/>
      </w:pPr>
    </w:lvl>
    <w:lvl w:ilvl="7" w:tplc="66E033DC">
      <w:start w:val="1"/>
      <w:numFmt w:val="lowerLetter"/>
      <w:lvlText w:val="%8."/>
      <w:lvlJc w:val="left"/>
      <w:pPr>
        <w:tabs>
          <w:tab w:val="num" w:pos="2880"/>
        </w:tabs>
        <w:ind w:left="2880" w:hanging="360"/>
      </w:pPr>
    </w:lvl>
    <w:lvl w:ilvl="8" w:tplc="08168678">
      <w:start w:val="1"/>
      <w:numFmt w:val="lowerRoman"/>
      <w:lvlText w:val="%9."/>
      <w:lvlJc w:val="left"/>
      <w:pPr>
        <w:tabs>
          <w:tab w:val="num" w:pos="3240"/>
        </w:tabs>
        <w:ind w:left="3240" w:hanging="360"/>
      </w:pPr>
    </w:lvl>
  </w:abstractNum>
  <w:abstractNum w:abstractNumId="18" w15:restartNumberingAfterBreak="0">
    <w:nsid w:val="055837CB"/>
    <w:multiLevelType w:val="hybridMultilevel"/>
    <w:tmpl w:val="FFFFFFFF"/>
    <w:lvl w:ilvl="0" w:tplc="56BA99F0">
      <w:start w:val="1"/>
      <w:numFmt w:val="bullet"/>
      <w:lvlText w:val=""/>
      <w:lvlJc w:val="left"/>
      <w:pPr>
        <w:ind w:left="720" w:hanging="360"/>
      </w:pPr>
      <w:rPr>
        <w:rFonts w:ascii="Symbol" w:hAnsi="Symbol" w:hint="default"/>
      </w:rPr>
    </w:lvl>
    <w:lvl w:ilvl="1" w:tplc="292A88A0">
      <w:start w:val="1"/>
      <w:numFmt w:val="bullet"/>
      <w:lvlText w:val="o"/>
      <w:lvlJc w:val="left"/>
      <w:pPr>
        <w:ind w:left="1440" w:hanging="360"/>
      </w:pPr>
      <w:rPr>
        <w:rFonts w:ascii="Courier New" w:hAnsi="Courier New" w:hint="default"/>
      </w:rPr>
    </w:lvl>
    <w:lvl w:ilvl="2" w:tplc="FCC49EC8">
      <w:start w:val="1"/>
      <w:numFmt w:val="bullet"/>
      <w:lvlText w:val=""/>
      <w:lvlJc w:val="left"/>
      <w:pPr>
        <w:ind w:left="2160" w:hanging="360"/>
      </w:pPr>
      <w:rPr>
        <w:rFonts w:ascii="Wingdings" w:hAnsi="Wingdings" w:hint="default"/>
      </w:rPr>
    </w:lvl>
    <w:lvl w:ilvl="3" w:tplc="E7B6F03E">
      <w:start w:val="1"/>
      <w:numFmt w:val="bullet"/>
      <w:lvlText w:val=""/>
      <w:lvlJc w:val="left"/>
      <w:pPr>
        <w:ind w:left="2880" w:hanging="360"/>
      </w:pPr>
      <w:rPr>
        <w:rFonts w:ascii="Symbol" w:hAnsi="Symbol" w:hint="default"/>
      </w:rPr>
    </w:lvl>
    <w:lvl w:ilvl="4" w:tplc="3022028C">
      <w:start w:val="1"/>
      <w:numFmt w:val="bullet"/>
      <w:lvlText w:val="o"/>
      <w:lvlJc w:val="left"/>
      <w:pPr>
        <w:ind w:left="3600" w:hanging="360"/>
      </w:pPr>
      <w:rPr>
        <w:rFonts w:ascii="Courier New" w:hAnsi="Courier New" w:hint="default"/>
      </w:rPr>
    </w:lvl>
    <w:lvl w:ilvl="5" w:tplc="19E4B1EA">
      <w:start w:val="1"/>
      <w:numFmt w:val="bullet"/>
      <w:lvlText w:val=""/>
      <w:lvlJc w:val="left"/>
      <w:pPr>
        <w:ind w:left="4320" w:hanging="360"/>
      </w:pPr>
      <w:rPr>
        <w:rFonts w:ascii="Wingdings" w:hAnsi="Wingdings" w:hint="default"/>
      </w:rPr>
    </w:lvl>
    <w:lvl w:ilvl="6" w:tplc="D4208DF0">
      <w:start w:val="1"/>
      <w:numFmt w:val="bullet"/>
      <w:lvlText w:val=""/>
      <w:lvlJc w:val="left"/>
      <w:pPr>
        <w:ind w:left="5040" w:hanging="360"/>
      </w:pPr>
      <w:rPr>
        <w:rFonts w:ascii="Symbol" w:hAnsi="Symbol" w:hint="default"/>
      </w:rPr>
    </w:lvl>
    <w:lvl w:ilvl="7" w:tplc="D40449C8">
      <w:start w:val="1"/>
      <w:numFmt w:val="bullet"/>
      <w:lvlText w:val="o"/>
      <w:lvlJc w:val="left"/>
      <w:pPr>
        <w:ind w:left="5760" w:hanging="360"/>
      </w:pPr>
      <w:rPr>
        <w:rFonts w:ascii="Courier New" w:hAnsi="Courier New" w:hint="default"/>
      </w:rPr>
    </w:lvl>
    <w:lvl w:ilvl="8" w:tplc="E1B68366">
      <w:start w:val="1"/>
      <w:numFmt w:val="bullet"/>
      <w:lvlText w:val=""/>
      <w:lvlJc w:val="left"/>
      <w:pPr>
        <w:ind w:left="6480" w:hanging="360"/>
      </w:pPr>
      <w:rPr>
        <w:rFonts w:ascii="Wingdings" w:hAnsi="Wingdings" w:hint="default"/>
      </w:rPr>
    </w:lvl>
  </w:abstractNum>
  <w:abstractNum w:abstractNumId="19" w15:restartNumberingAfterBreak="0">
    <w:nsid w:val="05610F13"/>
    <w:multiLevelType w:val="hybridMultilevel"/>
    <w:tmpl w:val="FFFFFFFF"/>
    <w:lvl w:ilvl="0" w:tplc="160875FC">
      <w:start w:val="1"/>
      <w:numFmt w:val="bullet"/>
      <w:lvlText w:val=""/>
      <w:lvlJc w:val="left"/>
      <w:pPr>
        <w:ind w:left="720" w:hanging="360"/>
      </w:pPr>
      <w:rPr>
        <w:rFonts w:ascii="Symbol" w:hAnsi="Symbol" w:hint="default"/>
      </w:rPr>
    </w:lvl>
    <w:lvl w:ilvl="1" w:tplc="C84A5F18">
      <w:start w:val="1"/>
      <w:numFmt w:val="bullet"/>
      <w:lvlText w:val="o"/>
      <w:lvlJc w:val="left"/>
      <w:pPr>
        <w:ind w:left="1440" w:hanging="360"/>
      </w:pPr>
      <w:rPr>
        <w:rFonts w:ascii="Courier New" w:hAnsi="Courier New" w:hint="default"/>
      </w:rPr>
    </w:lvl>
    <w:lvl w:ilvl="2" w:tplc="AAC26252">
      <w:start w:val="1"/>
      <w:numFmt w:val="bullet"/>
      <w:lvlText w:val=""/>
      <w:lvlJc w:val="left"/>
      <w:pPr>
        <w:ind w:left="2160" w:hanging="360"/>
      </w:pPr>
      <w:rPr>
        <w:rFonts w:ascii="Wingdings" w:hAnsi="Wingdings" w:hint="default"/>
      </w:rPr>
    </w:lvl>
    <w:lvl w:ilvl="3" w:tplc="42CE4B78">
      <w:start w:val="1"/>
      <w:numFmt w:val="bullet"/>
      <w:lvlText w:val=""/>
      <w:lvlJc w:val="left"/>
      <w:pPr>
        <w:ind w:left="2880" w:hanging="360"/>
      </w:pPr>
      <w:rPr>
        <w:rFonts w:ascii="Symbol" w:hAnsi="Symbol" w:hint="default"/>
      </w:rPr>
    </w:lvl>
    <w:lvl w:ilvl="4" w:tplc="9DDA3D8E">
      <w:start w:val="1"/>
      <w:numFmt w:val="bullet"/>
      <w:lvlText w:val="o"/>
      <w:lvlJc w:val="left"/>
      <w:pPr>
        <w:ind w:left="3600" w:hanging="360"/>
      </w:pPr>
      <w:rPr>
        <w:rFonts w:ascii="Courier New" w:hAnsi="Courier New" w:hint="default"/>
      </w:rPr>
    </w:lvl>
    <w:lvl w:ilvl="5" w:tplc="D5A2210E">
      <w:start w:val="1"/>
      <w:numFmt w:val="bullet"/>
      <w:lvlText w:val=""/>
      <w:lvlJc w:val="left"/>
      <w:pPr>
        <w:ind w:left="4320" w:hanging="360"/>
      </w:pPr>
      <w:rPr>
        <w:rFonts w:ascii="Wingdings" w:hAnsi="Wingdings" w:hint="default"/>
      </w:rPr>
    </w:lvl>
    <w:lvl w:ilvl="6" w:tplc="706EBFF6">
      <w:start w:val="1"/>
      <w:numFmt w:val="bullet"/>
      <w:lvlText w:val=""/>
      <w:lvlJc w:val="left"/>
      <w:pPr>
        <w:ind w:left="5040" w:hanging="360"/>
      </w:pPr>
      <w:rPr>
        <w:rFonts w:ascii="Symbol" w:hAnsi="Symbol" w:hint="default"/>
      </w:rPr>
    </w:lvl>
    <w:lvl w:ilvl="7" w:tplc="CB7CDD94">
      <w:start w:val="1"/>
      <w:numFmt w:val="bullet"/>
      <w:lvlText w:val="o"/>
      <w:lvlJc w:val="left"/>
      <w:pPr>
        <w:ind w:left="5760" w:hanging="360"/>
      </w:pPr>
      <w:rPr>
        <w:rFonts w:ascii="Courier New" w:hAnsi="Courier New" w:hint="default"/>
      </w:rPr>
    </w:lvl>
    <w:lvl w:ilvl="8" w:tplc="2FAAF410">
      <w:start w:val="1"/>
      <w:numFmt w:val="bullet"/>
      <w:lvlText w:val=""/>
      <w:lvlJc w:val="left"/>
      <w:pPr>
        <w:ind w:left="6480" w:hanging="360"/>
      </w:pPr>
      <w:rPr>
        <w:rFonts w:ascii="Wingdings" w:hAnsi="Wingdings" w:hint="default"/>
      </w:rPr>
    </w:lvl>
  </w:abstractNum>
  <w:abstractNum w:abstractNumId="20" w15:restartNumberingAfterBreak="0">
    <w:nsid w:val="05A23823"/>
    <w:multiLevelType w:val="hybridMultilevel"/>
    <w:tmpl w:val="CE32F4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6AF08D1"/>
    <w:multiLevelType w:val="hybridMultilevel"/>
    <w:tmpl w:val="A92C8174"/>
    <w:lvl w:ilvl="0" w:tplc="DD0A671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6E6611C"/>
    <w:multiLevelType w:val="hybridMultilevel"/>
    <w:tmpl w:val="FFFFFFFF"/>
    <w:lvl w:ilvl="0" w:tplc="69B6E926">
      <w:start w:val="1"/>
      <w:numFmt w:val="bullet"/>
      <w:lvlText w:val=""/>
      <w:lvlJc w:val="left"/>
      <w:pPr>
        <w:ind w:left="720" w:hanging="360"/>
      </w:pPr>
      <w:rPr>
        <w:rFonts w:ascii="Symbol" w:hAnsi="Symbol" w:hint="default"/>
      </w:rPr>
    </w:lvl>
    <w:lvl w:ilvl="1" w:tplc="F4FE3994">
      <w:start w:val="1"/>
      <w:numFmt w:val="bullet"/>
      <w:lvlText w:val="o"/>
      <w:lvlJc w:val="left"/>
      <w:pPr>
        <w:ind w:left="1440" w:hanging="360"/>
      </w:pPr>
      <w:rPr>
        <w:rFonts w:ascii="Courier New" w:hAnsi="Courier New" w:hint="default"/>
      </w:rPr>
    </w:lvl>
    <w:lvl w:ilvl="2" w:tplc="67327C22">
      <w:start w:val="1"/>
      <w:numFmt w:val="bullet"/>
      <w:lvlText w:val=""/>
      <w:lvlJc w:val="left"/>
      <w:pPr>
        <w:ind w:left="2160" w:hanging="360"/>
      </w:pPr>
      <w:rPr>
        <w:rFonts w:ascii="Wingdings" w:hAnsi="Wingdings" w:hint="default"/>
      </w:rPr>
    </w:lvl>
    <w:lvl w:ilvl="3" w:tplc="8FBEF904">
      <w:start w:val="1"/>
      <w:numFmt w:val="bullet"/>
      <w:lvlText w:val=""/>
      <w:lvlJc w:val="left"/>
      <w:pPr>
        <w:ind w:left="2880" w:hanging="360"/>
      </w:pPr>
      <w:rPr>
        <w:rFonts w:ascii="Symbol" w:hAnsi="Symbol" w:hint="default"/>
      </w:rPr>
    </w:lvl>
    <w:lvl w:ilvl="4" w:tplc="AF804914">
      <w:start w:val="1"/>
      <w:numFmt w:val="bullet"/>
      <w:lvlText w:val="o"/>
      <w:lvlJc w:val="left"/>
      <w:pPr>
        <w:ind w:left="3600" w:hanging="360"/>
      </w:pPr>
      <w:rPr>
        <w:rFonts w:ascii="Courier New" w:hAnsi="Courier New" w:hint="default"/>
      </w:rPr>
    </w:lvl>
    <w:lvl w:ilvl="5" w:tplc="1116C2CC">
      <w:start w:val="1"/>
      <w:numFmt w:val="bullet"/>
      <w:lvlText w:val=""/>
      <w:lvlJc w:val="left"/>
      <w:pPr>
        <w:ind w:left="4320" w:hanging="360"/>
      </w:pPr>
      <w:rPr>
        <w:rFonts w:ascii="Wingdings" w:hAnsi="Wingdings" w:hint="default"/>
      </w:rPr>
    </w:lvl>
    <w:lvl w:ilvl="6" w:tplc="A1D624DA">
      <w:start w:val="1"/>
      <w:numFmt w:val="bullet"/>
      <w:lvlText w:val=""/>
      <w:lvlJc w:val="left"/>
      <w:pPr>
        <w:ind w:left="5040" w:hanging="360"/>
      </w:pPr>
      <w:rPr>
        <w:rFonts w:ascii="Symbol" w:hAnsi="Symbol" w:hint="default"/>
      </w:rPr>
    </w:lvl>
    <w:lvl w:ilvl="7" w:tplc="26D04244">
      <w:start w:val="1"/>
      <w:numFmt w:val="bullet"/>
      <w:lvlText w:val="o"/>
      <w:lvlJc w:val="left"/>
      <w:pPr>
        <w:ind w:left="5760" w:hanging="360"/>
      </w:pPr>
      <w:rPr>
        <w:rFonts w:ascii="Courier New" w:hAnsi="Courier New" w:hint="default"/>
      </w:rPr>
    </w:lvl>
    <w:lvl w:ilvl="8" w:tplc="AA868842">
      <w:start w:val="1"/>
      <w:numFmt w:val="bullet"/>
      <w:lvlText w:val=""/>
      <w:lvlJc w:val="left"/>
      <w:pPr>
        <w:ind w:left="6480" w:hanging="360"/>
      </w:pPr>
      <w:rPr>
        <w:rFonts w:ascii="Wingdings" w:hAnsi="Wingdings" w:hint="default"/>
      </w:rPr>
    </w:lvl>
  </w:abstractNum>
  <w:abstractNum w:abstractNumId="23" w15:restartNumberingAfterBreak="0">
    <w:nsid w:val="0734777D"/>
    <w:multiLevelType w:val="hybridMultilevel"/>
    <w:tmpl w:val="7170382A"/>
    <w:lvl w:ilvl="0" w:tplc="0409000B">
      <w:start w:val="1"/>
      <w:numFmt w:val="bullet"/>
      <w:lvlText w:val=""/>
      <w:lvlJc w:val="left"/>
      <w:pPr>
        <w:ind w:left="720" w:hanging="360"/>
      </w:pPr>
      <w:rPr>
        <w:rFonts w:ascii="Wingdings" w:hAnsi="Wingdings" w:hint="default"/>
      </w:rPr>
    </w:lvl>
    <w:lvl w:ilvl="1" w:tplc="202229CE">
      <w:start w:val="1"/>
      <w:numFmt w:val="bullet"/>
      <w:lvlText w:val="o"/>
      <w:lvlJc w:val="left"/>
      <w:pPr>
        <w:ind w:left="1440" w:hanging="360"/>
      </w:pPr>
      <w:rPr>
        <w:rFonts w:ascii="Courier New" w:hAnsi="Courier New" w:hint="default"/>
      </w:rPr>
    </w:lvl>
    <w:lvl w:ilvl="2" w:tplc="41CA5A76">
      <w:start w:val="1"/>
      <w:numFmt w:val="bullet"/>
      <w:lvlText w:val=""/>
      <w:lvlJc w:val="left"/>
      <w:pPr>
        <w:ind w:left="2160" w:hanging="360"/>
      </w:pPr>
      <w:rPr>
        <w:rFonts w:ascii="Wingdings" w:hAnsi="Wingdings" w:hint="default"/>
      </w:rPr>
    </w:lvl>
    <w:lvl w:ilvl="3" w:tplc="E592D350">
      <w:start w:val="1"/>
      <w:numFmt w:val="bullet"/>
      <w:lvlText w:val=""/>
      <w:lvlJc w:val="left"/>
      <w:pPr>
        <w:ind w:left="2880" w:hanging="360"/>
      </w:pPr>
      <w:rPr>
        <w:rFonts w:ascii="Symbol" w:hAnsi="Symbol" w:hint="default"/>
      </w:rPr>
    </w:lvl>
    <w:lvl w:ilvl="4" w:tplc="1CC40CD2">
      <w:start w:val="1"/>
      <w:numFmt w:val="bullet"/>
      <w:lvlText w:val="o"/>
      <w:lvlJc w:val="left"/>
      <w:pPr>
        <w:ind w:left="3600" w:hanging="360"/>
      </w:pPr>
      <w:rPr>
        <w:rFonts w:ascii="Courier New" w:hAnsi="Courier New" w:hint="default"/>
      </w:rPr>
    </w:lvl>
    <w:lvl w:ilvl="5" w:tplc="0E88F462">
      <w:start w:val="1"/>
      <w:numFmt w:val="bullet"/>
      <w:lvlText w:val=""/>
      <w:lvlJc w:val="left"/>
      <w:pPr>
        <w:ind w:left="4320" w:hanging="360"/>
      </w:pPr>
      <w:rPr>
        <w:rFonts w:ascii="Wingdings" w:hAnsi="Wingdings" w:hint="default"/>
      </w:rPr>
    </w:lvl>
    <w:lvl w:ilvl="6" w:tplc="E8E43828">
      <w:start w:val="1"/>
      <w:numFmt w:val="bullet"/>
      <w:lvlText w:val=""/>
      <w:lvlJc w:val="left"/>
      <w:pPr>
        <w:ind w:left="5040" w:hanging="360"/>
      </w:pPr>
      <w:rPr>
        <w:rFonts w:ascii="Symbol" w:hAnsi="Symbol" w:hint="default"/>
      </w:rPr>
    </w:lvl>
    <w:lvl w:ilvl="7" w:tplc="BBC0419E">
      <w:start w:val="1"/>
      <w:numFmt w:val="bullet"/>
      <w:lvlText w:val="o"/>
      <w:lvlJc w:val="left"/>
      <w:pPr>
        <w:ind w:left="5760" w:hanging="360"/>
      </w:pPr>
      <w:rPr>
        <w:rFonts w:ascii="Courier New" w:hAnsi="Courier New" w:hint="default"/>
      </w:rPr>
    </w:lvl>
    <w:lvl w:ilvl="8" w:tplc="C8169B20">
      <w:start w:val="1"/>
      <w:numFmt w:val="bullet"/>
      <w:lvlText w:val=""/>
      <w:lvlJc w:val="left"/>
      <w:pPr>
        <w:ind w:left="6480" w:hanging="360"/>
      </w:pPr>
      <w:rPr>
        <w:rFonts w:ascii="Wingdings" w:hAnsi="Wingdings" w:hint="default"/>
      </w:rPr>
    </w:lvl>
  </w:abstractNum>
  <w:abstractNum w:abstractNumId="24" w15:restartNumberingAfterBreak="0">
    <w:nsid w:val="07A155C2"/>
    <w:multiLevelType w:val="hybridMultilevel"/>
    <w:tmpl w:val="FFFFFFFF"/>
    <w:lvl w:ilvl="0" w:tplc="8A7EA70E">
      <w:start w:val="1"/>
      <w:numFmt w:val="bullet"/>
      <w:lvlText w:val="·"/>
      <w:lvlJc w:val="left"/>
      <w:pPr>
        <w:ind w:left="720" w:hanging="360"/>
      </w:pPr>
      <w:rPr>
        <w:rFonts w:ascii="Symbol" w:hAnsi="Symbol" w:hint="default"/>
      </w:rPr>
    </w:lvl>
    <w:lvl w:ilvl="1" w:tplc="36BE973C">
      <w:start w:val="1"/>
      <w:numFmt w:val="bullet"/>
      <w:lvlText w:val="o"/>
      <w:lvlJc w:val="left"/>
      <w:pPr>
        <w:ind w:left="1440" w:hanging="360"/>
      </w:pPr>
      <w:rPr>
        <w:rFonts w:ascii="Courier New" w:hAnsi="Courier New" w:hint="default"/>
      </w:rPr>
    </w:lvl>
    <w:lvl w:ilvl="2" w:tplc="527CBF68">
      <w:start w:val="1"/>
      <w:numFmt w:val="bullet"/>
      <w:lvlText w:val=""/>
      <w:lvlJc w:val="left"/>
      <w:pPr>
        <w:ind w:left="2160" w:hanging="360"/>
      </w:pPr>
      <w:rPr>
        <w:rFonts w:ascii="Wingdings" w:hAnsi="Wingdings" w:hint="default"/>
      </w:rPr>
    </w:lvl>
    <w:lvl w:ilvl="3" w:tplc="77E4ED62">
      <w:start w:val="1"/>
      <w:numFmt w:val="bullet"/>
      <w:lvlText w:val=""/>
      <w:lvlJc w:val="left"/>
      <w:pPr>
        <w:ind w:left="2880" w:hanging="360"/>
      </w:pPr>
      <w:rPr>
        <w:rFonts w:ascii="Symbol" w:hAnsi="Symbol" w:hint="default"/>
      </w:rPr>
    </w:lvl>
    <w:lvl w:ilvl="4" w:tplc="49D4A24E">
      <w:start w:val="1"/>
      <w:numFmt w:val="bullet"/>
      <w:lvlText w:val="o"/>
      <w:lvlJc w:val="left"/>
      <w:pPr>
        <w:ind w:left="3600" w:hanging="360"/>
      </w:pPr>
      <w:rPr>
        <w:rFonts w:ascii="Courier New" w:hAnsi="Courier New" w:hint="default"/>
      </w:rPr>
    </w:lvl>
    <w:lvl w:ilvl="5" w:tplc="10D2992A">
      <w:start w:val="1"/>
      <w:numFmt w:val="bullet"/>
      <w:lvlText w:val=""/>
      <w:lvlJc w:val="left"/>
      <w:pPr>
        <w:ind w:left="4320" w:hanging="360"/>
      </w:pPr>
      <w:rPr>
        <w:rFonts w:ascii="Wingdings" w:hAnsi="Wingdings" w:hint="default"/>
      </w:rPr>
    </w:lvl>
    <w:lvl w:ilvl="6" w:tplc="7F704926">
      <w:start w:val="1"/>
      <w:numFmt w:val="bullet"/>
      <w:lvlText w:val=""/>
      <w:lvlJc w:val="left"/>
      <w:pPr>
        <w:ind w:left="5040" w:hanging="360"/>
      </w:pPr>
      <w:rPr>
        <w:rFonts w:ascii="Symbol" w:hAnsi="Symbol" w:hint="default"/>
      </w:rPr>
    </w:lvl>
    <w:lvl w:ilvl="7" w:tplc="B6F69B86">
      <w:start w:val="1"/>
      <w:numFmt w:val="bullet"/>
      <w:lvlText w:val="o"/>
      <w:lvlJc w:val="left"/>
      <w:pPr>
        <w:ind w:left="5760" w:hanging="360"/>
      </w:pPr>
      <w:rPr>
        <w:rFonts w:ascii="Courier New" w:hAnsi="Courier New" w:hint="default"/>
      </w:rPr>
    </w:lvl>
    <w:lvl w:ilvl="8" w:tplc="F16C3F6C">
      <w:start w:val="1"/>
      <w:numFmt w:val="bullet"/>
      <w:lvlText w:val=""/>
      <w:lvlJc w:val="left"/>
      <w:pPr>
        <w:ind w:left="6480" w:hanging="360"/>
      </w:pPr>
      <w:rPr>
        <w:rFonts w:ascii="Wingdings" w:hAnsi="Wingdings" w:hint="default"/>
      </w:rPr>
    </w:lvl>
  </w:abstractNum>
  <w:abstractNum w:abstractNumId="25" w15:restartNumberingAfterBreak="0">
    <w:nsid w:val="08931C88"/>
    <w:multiLevelType w:val="multilevel"/>
    <w:tmpl w:val="96BC24C2"/>
    <w:lvl w:ilvl="0">
      <w:start w:val="9"/>
      <w:numFmt w:val="decimal"/>
      <w:lvlText w:val="%1"/>
      <w:lvlJc w:val="left"/>
      <w:pPr>
        <w:ind w:left="480" w:hanging="480"/>
      </w:pPr>
      <w:rPr>
        <w:rFonts w:hint="default"/>
      </w:rPr>
    </w:lvl>
    <w:lvl w:ilvl="1">
      <w:start w:val="1"/>
      <w:numFmt w:val="decimal"/>
      <w:lvlText w:val="%1.%2"/>
      <w:lvlJc w:val="left"/>
      <w:pPr>
        <w:ind w:left="930" w:hanging="480"/>
      </w:pPr>
      <w:rPr>
        <w:rFonts w:hint="default"/>
      </w:rPr>
    </w:lvl>
    <w:lvl w:ilvl="2">
      <w:start w:val="3"/>
      <w:numFmt w:val="decimal"/>
      <w:lvlText w:val="%1.%2.%3"/>
      <w:lvlJc w:val="left"/>
      <w:pPr>
        <w:ind w:left="1620" w:hanging="720"/>
      </w:pPr>
      <w:rPr>
        <w:rFonts w:hint="default"/>
      </w:rPr>
    </w:lvl>
    <w:lvl w:ilvl="3">
      <w:start w:val="1"/>
      <w:numFmt w:val="lowerLetter"/>
      <w:lvlText w:val="%1.%2.%3.%4"/>
      <w:lvlJc w:val="left"/>
      <w:pPr>
        <w:ind w:left="2070" w:hanging="720"/>
      </w:pPr>
      <w:rPr>
        <w:rFonts w:hint="default"/>
      </w:rPr>
    </w:lvl>
    <w:lvl w:ilvl="4">
      <w:start w:val="1"/>
      <w:numFmt w:val="lowerLetter"/>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26" w15:restartNumberingAfterBreak="0">
    <w:nsid w:val="08B5470A"/>
    <w:multiLevelType w:val="hybridMultilevel"/>
    <w:tmpl w:val="A0F2FCF0"/>
    <w:lvl w:ilvl="0" w:tplc="20560D5A">
      <w:start w:val="3"/>
      <w:numFmt w:val="bullet"/>
      <w:lvlText w:val="•"/>
      <w:lvlJc w:val="left"/>
      <w:pPr>
        <w:ind w:left="1080" w:hanging="72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090114E9"/>
    <w:multiLevelType w:val="hybridMultilevel"/>
    <w:tmpl w:val="1FD0C73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09BC1A2F"/>
    <w:multiLevelType w:val="hybridMultilevel"/>
    <w:tmpl w:val="52F27C2A"/>
    <w:lvl w:ilvl="0" w:tplc="B3C05CC2">
      <w:start w:val="1"/>
      <w:numFmt w:val="bullet"/>
      <w:lvlText w:val=""/>
      <w:lvlJc w:val="left"/>
      <w:pPr>
        <w:ind w:left="720" w:hanging="360"/>
      </w:pPr>
      <w:rPr>
        <w:rFonts w:ascii="Symbol" w:hAnsi="Symbol"/>
      </w:rPr>
    </w:lvl>
    <w:lvl w:ilvl="1" w:tplc="B3C05CC2">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AAD4160"/>
    <w:multiLevelType w:val="hybridMultilevel"/>
    <w:tmpl w:val="FFFFFFFF"/>
    <w:lvl w:ilvl="0" w:tplc="6D26B1C6">
      <w:start w:val="1"/>
      <w:numFmt w:val="decimal"/>
      <w:lvlText w:val="%1."/>
      <w:lvlJc w:val="left"/>
      <w:pPr>
        <w:ind w:left="720" w:hanging="360"/>
      </w:pPr>
    </w:lvl>
    <w:lvl w:ilvl="1" w:tplc="7F183B8C">
      <w:start w:val="1"/>
      <w:numFmt w:val="lowerLetter"/>
      <w:lvlText w:val="%2."/>
      <w:lvlJc w:val="left"/>
      <w:pPr>
        <w:ind w:left="1440" w:hanging="360"/>
      </w:pPr>
    </w:lvl>
    <w:lvl w:ilvl="2" w:tplc="DF94B0D0">
      <w:start w:val="1"/>
      <w:numFmt w:val="lowerRoman"/>
      <w:lvlText w:val="%3."/>
      <w:lvlJc w:val="right"/>
      <w:pPr>
        <w:ind w:left="2160" w:hanging="180"/>
      </w:pPr>
    </w:lvl>
    <w:lvl w:ilvl="3" w:tplc="8E9C9BBC">
      <w:start w:val="1"/>
      <w:numFmt w:val="decimal"/>
      <w:lvlText w:val="%4."/>
      <w:lvlJc w:val="left"/>
      <w:pPr>
        <w:ind w:left="2880" w:hanging="360"/>
      </w:pPr>
    </w:lvl>
    <w:lvl w:ilvl="4" w:tplc="F4B0B996">
      <w:start w:val="1"/>
      <w:numFmt w:val="lowerLetter"/>
      <w:lvlText w:val="%5."/>
      <w:lvlJc w:val="left"/>
      <w:pPr>
        <w:ind w:left="3600" w:hanging="360"/>
      </w:pPr>
    </w:lvl>
    <w:lvl w:ilvl="5" w:tplc="1ED2AF5A">
      <w:start w:val="1"/>
      <w:numFmt w:val="lowerRoman"/>
      <w:lvlText w:val="%6."/>
      <w:lvlJc w:val="right"/>
      <w:pPr>
        <w:ind w:left="4320" w:hanging="180"/>
      </w:pPr>
    </w:lvl>
    <w:lvl w:ilvl="6" w:tplc="BFD03E1E">
      <w:start w:val="1"/>
      <w:numFmt w:val="decimal"/>
      <w:lvlText w:val="%7."/>
      <w:lvlJc w:val="left"/>
      <w:pPr>
        <w:ind w:left="5040" w:hanging="360"/>
      </w:pPr>
    </w:lvl>
    <w:lvl w:ilvl="7" w:tplc="641ACEAC">
      <w:start w:val="1"/>
      <w:numFmt w:val="lowerLetter"/>
      <w:lvlText w:val="%8."/>
      <w:lvlJc w:val="left"/>
      <w:pPr>
        <w:ind w:left="5760" w:hanging="360"/>
      </w:pPr>
    </w:lvl>
    <w:lvl w:ilvl="8" w:tplc="203042DA">
      <w:start w:val="1"/>
      <w:numFmt w:val="lowerRoman"/>
      <w:lvlText w:val="%9."/>
      <w:lvlJc w:val="right"/>
      <w:pPr>
        <w:ind w:left="6480" w:hanging="180"/>
      </w:pPr>
    </w:lvl>
  </w:abstractNum>
  <w:abstractNum w:abstractNumId="30" w15:restartNumberingAfterBreak="0">
    <w:nsid w:val="0AD537C0"/>
    <w:multiLevelType w:val="hybridMultilevel"/>
    <w:tmpl w:val="585E9604"/>
    <w:lvl w:ilvl="0" w:tplc="5784E3D0">
      <w:start w:val="1"/>
      <w:numFmt w:val="decimal"/>
      <w:pStyle w:val="Para2"/>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AE64205"/>
    <w:multiLevelType w:val="hybridMultilevel"/>
    <w:tmpl w:val="E2CAFD24"/>
    <w:lvl w:ilvl="0" w:tplc="B3C05CC2">
      <w:start w:val="1"/>
      <w:numFmt w:val="bullet"/>
      <w:lvlText w:val=""/>
      <w:lvlJc w:val="left"/>
      <w:pPr>
        <w:tabs>
          <w:tab w:val="num" w:pos="720"/>
        </w:tabs>
        <w:ind w:left="0" w:firstLine="0"/>
      </w:pPr>
      <w:rPr>
        <w:rFonts w:ascii="Symbol" w:hAnsi="Symbol"/>
      </w:rPr>
    </w:lvl>
    <w:lvl w:ilvl="1" w:tplc="EFE4A410">
      <w:start w:val="1"/>
      <w:numFmt w:val="upperLetter"/>
      <w:lvlText w:val="%2."/>
      <w:lvlJc w:val="left"/>
      <w:pPr>
        <w:tabs>
          <w:tab w:val="num" w:pos="360"/>
        </w:tabs>
        <w:ind w:left="0" w:firstLine="0"/>
      </w:pPr>
      <w:rPr>
        <w:rFonts w:ascii="Symbol" w:hAnsi="Symbol" w:cs="Symbol"/>
      </w:rPr>
    </w:lvl>
    <w:lvl w:ilvl="2" w:tplc="932A2EEA">
      <w:start w:val="1"/>
      <w:numFmt w:val="decimal"/>
      <w:lvlText w:val="%3."/>
      <w:lvlJc w:val="left"/>
      <w:pPr>
        <w:tabs>
          <w:tab w:val="num" w:pos="360"/>
        </w:tabs>
        <w:ind w:left="0" w:firstLine="0"/>
      </w:pPr>
      <w:rPr>
        <w:rFonts w:ascii="Symbol" w:hAnsi="Symbol" w:cs="Symbol"/>
      </w:rPr>
    </w:lvl>
    <w:lvl w:ilvl="3" w:tplc="0ED8DA86">
      <w:start w:val="1"/>
      <w:numFmt w:val="decimal"/>
      <w:lvlText w:val="1.%4"/>
      <w:lvlJc w:val="left"/>
      <w:pPr>
        <w:tabs>
          <w:tab w:val="num" w:pos="360"/>
        </w:tabs>
        <w:ind w:left="0" w:firstLine="0"/>
      </w:pPr>
      <w:rPr>
        <w:rFonts w:ascii="Symbol" w:hAnsi="Symbol" w:cs="Symbol"/>
      </w:rPr>
    </w:lvl>
    <w:lvl w:ilvl="4" w:tplc="F1BEAB2A">
      <w:start w:val="1"/>
      <w:numFmt w:val="lowerRoman"/>
      <w:lvlText w:val="(%5)"/>
      <w:lvlJc w:val="left"/>
      <w:pPr>
        <w:tabs>
          <w:tab w:val="num" w:pos="720"/>
        </w:tabs>
        <w:ind w:left="0" w:firstLine="0"/>
      </w:pPr>
      <w:rPr>
        <w:rFonts w:ascii="Symbol" w:hAnsi="Symbol" w:cs="Symbol"/>
      </w:rPr>
    </w:lvl>
    <w:lvl w:ilvl="5" w:tplc="EC4002E8">
      <w:start w:val="1"/>
      <w:numFmt w:val="lowerLetter"/>
      <w:lvlText w:val="(%6)"/>
      <w:lvlJc w:val="left"/>
      <w:pPr>
        <w:tabs>
          <w:tab w:val="num" w:pos="1080"/>
        </w:tabs>
        <w:ind w:left="720" w:firstLine="0"/>
      </w:pPr>
      <w:rPr>
        <w:rFonts w:ascii="Symbol" w:hAnsi="Symbol" w:cs="Symbol"/>
      </w:rPr>
    </w:lvl>
    <w:lvl w:ilvl="6" w:tplc="CC2685B6">
      <w:start w:val="1"/>
      <w:numFmt w:val="lowerRoman"/>
      <w:lvlText w:val="(%7)"/>
      <w:lvlJc w:val="left"/>
      <w:pPr>
        <w:tabs>
          <w:tab w:val="num" w:pos="4680"/>
        </w:tabs>
        <w:ind w:left="4320" w:firstLine="0"/>
      </w:pPr>
      <w:rPr>
        <w:rFonts w:ascii="Symbol" w:hAnsi="Symbol" w:cs="Symbol"/>
      </w:rPr>
    </w:lvl>
    <w:lvl w:ilvl="7" w:tplc="0414B3D2">
      <w:start w:val="1"/>
      <w:numFmt w:val="lowerLetter"/>
      <w:lvlText w:val="(%8)"/>
      <w:lvlJc w:val="left"/>
      <w:pPr>
        <w:tabs>
          <w:tab w:val="num" w:pos="-360"/>
        </w:tabs>
        <w:ind w:left="720" w:firstLine="0"/>
      </w:pPr>
      <w:rPr>
        <w:rFonts w:ascii="Symbol" w:hAnsi="Symbol" w:cs="Symbol"/>
      </w:rPr>
    </w:lvl>
    <w:lvl w:ilvl="8" w:tplc="2D56AE66">
      <w:start w:val="1"/>
      <w:numFmt w:val="lowerRoman"/>
      <w:lvlText w:val="(%9)"/>
      <w:lvlJc w:val="left"/>
      <w:pPr>
        <w:tabs>
          <w:tab w:val="num" w:pos="6120"/>
        </w:tabs>
        <w:ind w:left="5760" w:firstLine="0"/>
      </w:pPr>
      <w:rPr>
        <w:rFonts w:ascii="Symbol" w:hAnsi="Symbol" w:cs="Symbol"/>
      </w:rPr>
    </w:lvl>
  </w:abstractNum>
  <w:abstractNum w:abstractNumId="32" w15:restartNumberingAfterBreak="0">
    <w:nsid w:val="0B783795"/>
    <w:multiLevelType w:val="hybridMultilevel"/>
    <w:tmpl w:val="F8767834"/>
    <w:lvl w:ilvl="0" w:tplc="B3C05CC2">
      <w:start w:val="1"/>
      <w:numFmt w:val="bullet"/>
      <w:lvlText w:val=""/>
      <w:lvlJc w:val="left"/>
      <w:pPr>
        <w:ind w:left="720" w:hanging="360"/>
      </w:pPr>
      <w:rPr>
        <w:rFonts w:ascii="Symbol" w:hAnsi="Symbo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0B8E7974"/>
    <w:multiLevelType w:val="hybridMultilevel"/>
    <w:tmpl w:val="5D46994A"/>
    <w:lvl w:ilvl="0" w:tplc="6DBE6AEE">
      <w:start w:val="1"/>
      <w:numFmt w:val="decimal"/>
      <w:lvlText w:val="%1."/>
      <w:lvlJc w:val="left"/>
      <w:pPr>
        <w:tabs>
          <w:tab w:val="num" w:pos="360"/>
        </w:tabs>
        <w:ind w:left="0" w:firstLine="0"/>
      </w:pPr>
      <w:rPr>
        <w:rFonts w:ascii="Times New Roman" w:hAnsi="Times New Roman" w:cs="Times New Roman" w:hint="default"/>
        <w:b w:val="0"/>
      </w:rPr>
    </w:lvl>
    <w:lvl w:ilvl="1" w:tplc="3B46466E">
      <w:start w:val="1"/>
      <w:numFmt w:val="lowerLetter"/>
      <w:lvlText w:val="(%2)"/>
      <w:lvlJc w:val="left"/>
      <w:pPr>
        <w:tabs>
          <w:tab w:val="num" w:pos="1440"/>
        </w:tabs>
        <w:ind w:left="0" w:firstLine="720"/>
      </w:pPr>
      <w:rPr>
        <w:rFonts w:ascii="Times New Roman" w:hAnsi="Times New Roman" w:cs="Times New Roman" w:hint="default"/>
        <w:b w:val="0"/>
      </w:rPr>
    </w:lvl>
    <w:lvl w:ilvl="2" w:tplc="52B2EB0C">
      <w:start w:val="1"/>
      <w:numFmt w:val="lowerRoman"/>
      <w:lvlText w:val="(%3)"/>
      <w:lvlJc w:val="right"/>
      <w:pPr>
        <w:tabs>
          <w:tab w:val="num" w:pos="1440"/>
        </w:tabs>
        <w:ind w:left="1440" w:hanging="360"/>
      </w:pPr>
      <w:rPr>
        <w:rFonts w:ascii="Wingdings" w:hAnsi="Wingdings" w:cs="Wingdings"/>
      </w:rPr>
    </w:lvl>
    <w:lvl w:ilvl="3" w:tplc="B3C05CC2">
      <w:start w:val="1"/>
      <w:numFmt w:val="bullet"/>
      <w:lvlText w:val=""/>
      <w:lvlJc w:val="left"/>
      <w:pPr>
        <w:tabs>
          <w:tab w:val="num" w:pos="2160"/>
        </w:tabs>
        <w:ind w:left="2160" w:hanging="720"/>
      </w:pPr>
      <w:rPr>
        <w:rFonts w:ascii="Symbol" w:hAnsi="Symbol"/>
      </w:rPr>
    </w:lvl>
    <w:lvl w:ilvl="4" w:tplc="9D402520">
      <w:start w:val="1"/>
      <w:numFmt w:val="lowerLetter"/>
      <w:lvlText w:val="(%5)"/>
      <w:lvlJc w:val="left"/>
      <w:pPr>
        <w:tabs>
          <w:tab w:val="num" w:pos="1800"/>
        </w:tabs>
        <w:ind w:left="1800" w:hanging="360"/>
      </w:pPr>
      <w:rPr>
        <w:rFonts w:ascii="Times New Roman" w:hAnsi="Times New Roman" w:cs="Times New Roman" w:hint="default"/>
        <w:b w:val="0"/>
        <w:bCs w:val="0"/>
      </w:rPr>
    </w:lvl>
    <w:lvl w:ilvl="5" w:tplc="FEB61BE6">
      <w:start w:val="1"/>
      <w:numFmt w:val="lowerRoman"/>
      <w:lvlText w:val="(%6)"/>
      <w:lvlJc w:val="left"/>
      <w:pPr>
        <w:tabs>
          <w:tab w:val="num" w:pos="2160"/>
        </w:tabs>
        <w:ind w:left="2160" w:hanging="360"/>
      </w:pPr>
    </w:lvl>
    <w:lvl w:ilvl="6" w:tplc="9B269EA4">
      <w:start w:val="1"/>
      <w:numFmt w:val="decimal"/>
      <w:lvlText w:val="%7."/>
      <w:lvlJc w:val="left"/>
      <w:pPr>
        <w:tabs>
          <w:tab w:val="num" w:pos="2520"/>
        </w:tabs>
        <w:ind w:left="2520" w:hanging="360"/>
      </w:pPr>
    </w:lvl>
    <w:lvl w:ilvl="7" w:tplc="66E033DC">
      <w:start w:val="1"/>
      <w:numFmt w:val="lowerLetter"/>
      <w:lvlText w:val="%8."/>
      <w:lvlJc w:val="left"/>
      <w:pPr>
        <w:tabs>
          <w:tab w:val="num" w:pos="2880"/>
        </w:tabs>
        <w:ind w:left="2880" w:hanging="360"/>
      </w:pPr>
    </w:lvl>
    <w:lvl w:ilvl="8" w:tplc="08168678">
      <w:start w:val="1"/>
      <w:numFmt w:val="lowerRoman"/>
      <w:lvlText w:val="%9."/>
      <w:lvlJc w:val="left"/>
      <w:pPr>
        <w:tabs>
          <w:tab w:val="num" w:pos="3240"/>
        </w:tabs>
        <w:ind w:left="3240" w:hanging="360"/>
      </w:pPr>
    </w:lvl>
  </w:abstractNum>
  <w:abstractNum w:abstractNumId="34" w15:restartNumberingAfterBreak="0">
    <w:nsid w:val="0BD21C0E"/>
    <w:multiLevelType w:val="hybridMultilevel"/>
    <w:tmpl w:val="57E8D944"/>
    <w:lvl w:ilvl="0" w:tplc="B9C0AE40">
      <w:start w:val="1"/>
      <w:numFmt w:val="decimal"/>
      <w:pStyle w:val="heading40"/>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C05557E"/>
    <w:multiLevelType w:val="hybridMultilevel"/>
    <w:tmpl w:val="72A0E242"/>
    <w:lvl w:ilvl="0" w:tplc="0566575E">
      <w:start w:val="1"/>
      <w:numFmt w:val="bullet"/>
      <w:lvlText w:val=""/>
      <w:lvlJc w:val="left"/>
      <w:pPr>
        <w:ind w:left="113" w:hanging="113"/>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0C704408"/>
    <w:multiLevelType w:val="multilevel"/>
    <w:tmpl w:val="51CE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D774656"/>
    <w:multiLevelType w:val="hybridMultilevel"/>
    <w:tmpl w:val="376C8AE0"/>
    <w:name w:val="WW8Num622"/>
    <w:lvl w:ilvl="0" w:tplc="04090001">
      <w:start w:val="1"/>
      <w:numFmt w:val="bullet"/>
      <w:lvlText w:val=""/>
      <w:lvlJc w:val="left"/>
      <w:pPr>
        <w:ind w:left="1004" w:hanging="360"/>
      </w:pPr>
      <w:rPr>
        <w:rFonts w:ascii="Symbol" w:hAnsi="Symbol" w:hint="default"/>
      </w:rPr>
    </w:lvl>
    <w:lvl w:ilvl="1" w:tplc="3BAEFED6">
      <w:start w:val="1"/>
      <w:numFmt w:val="bullet"/>
      <w:lvlText w:val="-"/>
      <w:lvlJc w:val="left"/>
      <w:pPr>
        <w:ind w:left="2084" w:hanging="720"/>
      </w:pPr>
      <w:rPr>
        <w:rFonts w:ascii="Times New Roman" w:eastAsia="Calibri" w:hAnsi="Times New Roman" w:cs="Times New Roman" w:hint="default"/>
      </w:rPr>
    </w:lvl>
    <w:lvl w:ilvl="2" w:tplc="33325120">
      <w:start w:val="1"/>
      <w:numFmt w:val="bullet"/>
      <w:lvlText w:val="•"/>
      <w:lvlJc w:val="left"/>
      <w:pPr>
        <w:ind w:left="2804" w:hanging="720"/>
      </w:pPr>
      <w:rPr>
        <w:rFonts w:ascii="Times New Roman" w:eastAsia="Calibri" w:hAnsi="Times New Roman" w:cs="Times New Roman"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8" w15:restartNumberingAfterBreak="0">
    <w:nsid w:val="0DC73408"/>
    <w:multiLevelType w:val="hybridMultilevel"/>
    <w:tmpl w:val="FFFFFFFF"/>
    <w:lvl w:ilvl="0" w:tplc="92B4B038">
      <w:start w:val="1"/>
      <w:numFmt w:val="bullet"/>
      <w:lvlText w:val=""/>
      <w:lvlJc w:val="left"/>
      <w:pPr>
        <w:ind w:left="720" w:hanging="360"/>
      </w:pPr>
      <w:rPr>
        <w:rFonts w:ascii="Symbol" w:hAnsi="Symbol" w:hint="default"/>
      </w:rPr>
    </w:lvl>
    <w:lvl w:ilvl="1" w:tplc="D3C8535C">
      <w:start w:val="1"/>
      <w:numFmt w:val="bullet"/>
      <w:lvlText w:val="o"/>
      <w:lvlJc w:val="left"/>
      <w:pPr>
        <w:ind w:left="1440" w:hanging="360"/>
      </w:pPr>
      <w:rPr>
        <w:rFonts w:ascii="Courier New" w:hAnsi="Courier New" w:hint="default"/>
      </w:rPr>
    </w:lvl>
    <w:lvl w:ilvl="2" w:tplc="5608FACE">
      <w:start w:val="1"/>
      <w:numFmt w:val="bullet"/>
      <w:lvlText w:val=""/>
      <w:lvlJc w:val="left"/>
      <w:pPr>
        <w:ind w:left="2160" w:hanging="360"/>
      </w:pPr>
      <w:rPr>
        <w:rFonts w:ascii="Wingdings" w:hAnsi="Wingdings" w:hint="default"/>
      </w:rPr>
    </w:lvl>
    <w:lvl w:ilvl="3" w:tplc="56300252">
      <w:start w:val="1"/>
      <w:numFmt w:val="bullet"/>
      <w:lvlText w:val=""/>
      <w:lvlJc w:val="left"/>
      <w:pPr>
        <w:ind w:left="2880" w:hanging="360"/>
      </w:pPr>
      <w:rPr>
        <w:rFonts w:ascii="Symbol" w:hAnsi="Symbol" w:hint="default"/>
      </w:rPr>
    </w:lvl>
    <w:lvl w:ilvl="4" w:tplc="681EE896">
      <w:start w:val="1"/>
      <w:numFmt w:val="bullet"/>
      <w:lvlText w:val="o"/>
      <w:lvlJc w:val="left"/>
      <w:pPr>
        <w:ind w:left="3600" w:hanging="360"/>
      </w:pPr>
      <w:rPr>
        <w:rFonts w:ascii="Courier New" w:hAnsi="Courier New" w:hint="default"/>
      </w:rPr>
    </w:lvl>
    <w:lvl w:ilvl="5" w:tplc="86C4A558">
      <w:start w:val="1"/>
      <w:numFmt w:val="bullet"/>
      <w:lvlText w:val=""/>
      <w:lvlJc w:val="left"/>
      <w:pPr>
        <w:ind w:left="4320" w:hanging="360"/>
      </w:pPr>
      <w:rPr>
        <w:rFonts w:ascii="Wingdings" w:hAnsi="Wingdings" w:hint="default"/>
      </w:rPr>
    </w:lvl>
    <w:lvl w:ilvl="6" w:tplc="B1C4203E">
      <w:start w:val="1"/>
      <w:numFmt w:val="bullet"/>
      <w:lvlText w:val=""/>
      <w:lvlJc w:val="left"/>
      <w:pPr>
        <w:ind w:left="5040" w:hanging="360"/>
      </w:pPr>
      <w:rPr>
        <w:rFonts w:ascii="Symbol" w:hAnsi="Symbol" w:hint="default"/>
      </w:rPr>
    </w:lvl>
    <w:lvl w:ilvl="7" w:tplc="482052A4">
      <w:start w:val="1"/>
      <w:numFmt w:val="bullet"/>
      <w:lvlText w:val="o"/>
      <w:lvlJc w:val="left"/>
      <w:pPr>
        <w:ind w:left="5760" w:hanging="360"/>
      </w:pPr>
      <w:rPr>
        <w:rFonts w:ascii="Courier New" w:hAnsi="Courier New" w:hint="default"/>
      </w:rPr>
    </w:lvl>
    <w:lvl w:ilvl="8" w:tplc="EE96AF2C">
      <w:start w:val="1"/>
      <w:numFmt w:val="bullet"/>
      <w:lvlText w:val=""/>
      <w:lvlJc w:val="left"/>
      <w:pPr>
        <w:ind w:left="6480" w:hanging="360"/>
      </w:pPr>
      <w:rPr>
        <w:rFonts w:ascii="Wingdings" w:hAnsi="Wingdings" w:hint="default"/>
      </w:rPr>
    </w:lvl>
  </w:abstractNum>
  <w:abstractNum w:abstractNumId="39" w15:restartNumberingAfterBreak="0">
    <w:nsid w:val="0E337837"/>
    <w:multiLevelType w:val="hybridMultilevel"/>
    <w:tmpl w:val="FFFFFFFF"/>
    <w:lvl w:ilvl="0" w:tplc="3208EC40">
      <w:start w:val="1"/>
      <w:numFmt w:val="bullet"/>
      <w:lvlText w:val=""/>
      <w:lvlJc w:val="left"/>
      <w:pPr>
        <w:ind w:left="720" w:hanging="360"/>
      </w:pPr>
      <w:rPr>
        <w:rFonts w:ascii="Symbol" w:hAnsi="Symbol" w:hint="default"/>
      </w:rPr>
    </w:lvl>
    <w:lvl w:ilvl="1" w:tplc="0B2CD86E">
      <w:start w:val="1"/>
      <w:numFmt w:val="bullet"/>
      <w:lvlText w:val="o"/>
      <w:lvlJc w:val="left"/>
      <w:pPr>
        <w:ind w:left="1440" w:hanging="360"/>
      </w:pPr>
      <w:rPr>
        <w:rFonts w:ascii="Courier New" w:hAnsi="Courier New" w:hint="default"/>
      </w:rPr>
    </w:lvl>
    <w:lvl w:ilvl="2" w:tplc="A644E87A">
      <w:start w:val="1"/>
      <w:numFmt w:val="bullet"/>
      <w:lvlText w:val=""/>
      <w:lvlJc w:val="left"/>
      <w:pPr>
        <w:ind w:left="2160" w:hanging="360"/>
      </w:pPr>
      <w:rPr>
        <w:rFonts w:ascii="Wingdings" w:hAnsi="Wingdings" w:hint="default"/>
      </w:rPr>
    </w:lvl>
    <w:lvl w:ilvl="3" w:tplc="22AC6DF4">
      <w:start w:val="1"/>
      <w:numFmt w:val="bullet"/>
      <w:lvlText w:val=""/>
      <w:lvlJc w:val="left"/>
      <w:pPr>
        <w:ind w:left="2880" w:hanging="360"/>
      </w:pPr>
      <w:rPr>
        <w:rFonts w:ascii="Symbol" w:hAnsi="Symbol" w:hint="default"/>
      </w:rPr>
    </w:lvl>
    <w:lvl w:ilvl="4" w:tplc="9260F15C">
      <w:start w:val="1"/>
      <w:numFmt w:val="bullet"/>
      <w:lvlText w:val="o"/>
      <w:lvlJc w:val="left"/>
      <w:pPr>
        <w:ind w:left="3600" w:hanging="360"/>
      </w:pPr>
      <w:rPr>
        <w:rFonts w:ascii="Courier New" w:hAnsi="Courier New" w:hint="default"/>
      </w:rPr>
    </w:lvl>
    <w:lvl w:ilvl="5" w:tplc="F02A0E36">
      <w:start w:val="1"/>
      <w:numFmt w:val="bullet"/>
      <w:lvlText w:val=""/>
      <w:lvlJc w:val="left"/>
      <w:pPr>
        <w:ind w:left="4320" w:hanging="360"/>
      </w:pPr>
      <w:rPr>
        <w:rFonts w:ascii="Wingdings" w:hAnsi="Wingdings" w:hint="default"/>
      </w:rPr>
    </w:lvl>
    <w:lvl w:ilvl="6" w:tplc="8E48CC0E">
      <w:start w:val="1"/>
      <w:numFmt w:val="bullet"/>
      <w:lvlText w:val=""/>
      <w:lvlJc w:val="left"/>
      <w:pPr>
        <w:ind w:left="5040" w:hanging="360"/>
      </w:pPr>
      <w:rPr>
        <w:rFonts w:ascii="Symbol" w:hAnsi="Symbol" w:hint="default"/>
      </w:rPr>
    </w:lvl>
    <w:lvl w:ilvl="7" w:tplc="C5B8A678">
      <w:start w:val="1"/>
      <w:numFmt w:val="bullet"/>
      <w:lvlText w:val="o"/>
      <w:lvlJc w:val="left"/>
      <w:pPr>
        <w:ind w:left="5760" w:hanging="360"/>
      </w:pPr>
      <w:rPr>
        <w:rFonts w:ascii="Courier New" w:hAnsi="Courier New" w:hint="default"/>
      </w:rPr>
    </w:lvl>
    <w:lvl w:ilvl="8" w:tplc="BDA6302E">
      <w:start w:val="1"/>
      <w:numFmt w:val="bullet"/>
      <w:lvlText w:val=""/>
      <w:lvlJc w:val="left"/>
      <w:pPr>
        <w:ind w:left="6480" w:hanging="360"/>
      </w:pPr>
      <w:rPr>
        <w:rFonts w:ascii="Wingdings" w:hAnsi="Wingdings" w:hint="default"/>
      </w:rPr>
    </w:lvl>
  </w:abstractNum>
  <w:abstractNum w:abstractNumId="40" w15:restartNumberingAfterBreak="0">
    <w:nsid w:val="0FD47829"/>
    <w:multiLevelType w:val="hybridMultilevel"/>
    <w:tmpl w:val="3B628DF0"/>
    <w:lvl w:ilvl="0" w:tplc="DC58A136">
      <w:start w:val="1"/>
      <w:numFmt w:val="decimal"/>
      <w:pStyle w:val="para4"/>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FE0351F"/>
    <w:multiLevelType w:val="hybridMultilevel"/>
    <w:tmpl w:val="55FAE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0FFF5D1B"/>
    <w:multiLevelType w:val="hybridMultilevel"/>
    <w:tmpl w:val="FFFFFFFF"/>
    <w:lvl w:ilvl="0" w:tplc="4A78618A">
      <w:start w:val="1"/>
      <w:numFmt w:val="bullet"/>
      <w:lvlText w:val=""/>
      <w:lvlJc w:val="left"/>
      <w:pPr>
        <w:ind w:left="720" w:hanging="360"/>
      </w:pPr>
      <w:rPr>
        <w:rFonts w:ascii="Symbol" w:hAnsi="Symbol" w:hint="default"/>
      </w:rPr>
    </w:lvl>
    <w:lvl w:ilvl="1" w:tplc="4692BB44">
      <w:start w:val="1"/>
      <w:numFmt w:val="bullet"/>
      <w:lvlText w:val="o"/>
      <w:lvlJc w:val="left"/>
      <w:pPr>
        <w:ind w:left="1440" w:hanging="360"/>
      </w:pPr>
      <w:rPr>
        <w:rFonts w:ascii="Courier New" w:hAnsi="Courier New" w:hint="default"/>
      </w:rPr>
    </w:lvl>
    <w:lvl w:ilvl="2" w:tplc="B4D27492">
      <w:start w:val="1"/>
      <w:numFmt w:val="bullet"/>
      <w:lvlText w:val=""/>
      <w:lvlJc w:val="left"/>
      <w:pPr>
        <w:ind w:left="2160" w:hanging="360"/>
      </w:pPr>
      <w:rPr>
        <w:rFonts w:ascii="Wingdings" w:hAnsi="Wingdings" w:hint="default"/>
      </w:rPr>
    </w:lvl>
    <w:lvl w:ilvl="3" w:tplc="85E04664">
      <w:start w:val="1"/>
      <w:numFmt w:val="bullet"/>
      <w:lvlText w:val=""/>
      <w:lvlJc w:val="left"/>
      <w:pPr>
        <w:ind w:left="2880" w:hanging="360"/>
      </w:pPr>
      <w:rPr>
        <w:rFonts w:ascii="Symbol" w:hAnsi="Symbol" w:hint="default"/>
      </w:rPr>
    </w:lvl>
    <w:lvl w:ilvl="4" w:tplc="CD360E24">
      <w:start w:val="1"/>
      <w:numFmt w:val="bullet"/>
      <w:lvlText w:val="o"/>
      <w:lvlJc w:val="left"/>
      <w:pPr>
        <w:ind w:left="3600" w:hanging="360"/>
      </w:pPr>
      <w:rPr>
        <w:rFonts w:ascii="Courier New" w:hAnsi="Courier New" w:hint="default"/>
      </w:rPr>
    </w:lvl>
    <w:lvl w:ilvl="5" w:tplc="C284BEE8">
      <w:start w:val="1"/>
      <w:numFmt w:val="bullet"/>
      <w:lvlText w:val=""/>
      <w:lvlJc w:val="left"/>
      <w:pPr>
        <w:ind w:left="4320" w:hanging="360"/>
      </w:pPr>
      <w:rPr>
        <w:rFonts w:ascii="Wingdings" w:hAnsi="Wingdings" w:hint="default"/>
      </w:rPr>
    </w:lvl>
    <w:lvl w:ilvl="6" w:tplc="6C94CFFE">
      <w:start w:val="1"/>
      <w:numFmt w:val="bullet"/>
      <w:lvlText w:val=""/>
      <w:lvlJc w:val="left"/>
      <w:pPr>
        <w:ind w:left="5040" w:hanging="360"/>
      </w:pPr>
      <w:rPr>
        <w:rFonts w:ascii="Symbol" w:hAnsi="Symbol" w:hint="default"/>
      </w:rPr>
    </w:lvl>
    <w:lvl w:ilvl="7" w:tplc="E0A24908">
      <w:start w:val="1"/>
      <w:numFmt w:val="bullet"/>
      <w:lvlText w:val="o"/>
      <w:lvlJc w:val="left"/>
      <w:pPr>
        <w:ind w:left="5760" w:hanging="360"/>
      </w:pPr>
      <w:rPr>
        <w:rFonts w:ascii="Courier New" w:hAnsi="Courier New" w:hint="default"/>
      </w:rPr>
    </w:lvl>
    <w:lvl w:ilvl="8" w:tplc="1A3CB52A">
      <w:start w:val="1"/>
      <w:numFmt w:val="bullet"/>
      <w:lvlText w:val=""/>
      <w:lvlJc w:val="left"/>
      <w:pPr>
        <w:ind w:left="6480" w:hanging="360"/>
      </w:pPr>
      <w:rPr>
        <w:rFonts w:ascii="Wingdings" w:hAnsi="Wingdings" w:hint="default"/>
      </w:rPr>
    </w:lvl>
  </w:abstractNum>
  <w:abstractNum w:abstractNumId="43" w15:restartNumberingAfterBreak="0">
    <w:nsid w:val="1046731A"/>
    <w:multiLevelType w:val="hybridMultilevel"/>
    <w:tmpl w:val="D72A1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0D26A77"/>
    <w:multiLevelType w:val="hybridMultilevel"/>
    <w:tmpl w:val="82822C28"/>
    <w:lvl w:ilvl="0" w:tplc="3648C304">
      <w:start w:val="1"/>
      <w:numFmt w:val="lowerLetter"/>
      <w:lvlText w:val="(%1)"/>
      <w:lvlJc w:val="left"/>
      <w:pPr>
        <w:ind w:left="720" w:hanging="360"/>
      </w:pPr>
      <w:rPr>
        <w:rFonts w:hint="default"/>
        <w:i w:val="0"/>
      </w:rPr>
    </w:lvl>
    <w:lvl w:ilvl="1" w:tplc="04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11756254"/>
    <w:multiLevelType w:val="hybridMultilevel"/>
    <w:tmpl w:val="E2EADE1A"/>
    <w:lvl w:ilvl="0" w:tplc="6DBE6AEE">
      <w:start w:val="1"/>
      <w:numFmt w:val="decimal"/>
      <w:lvlText w:val="%1."/>
      <w:lvlJc w:val="left"/>
      <w:pPr>
        <w:tabs>
          <w:tab w:val="num" w:pos="360"/>
        </w:tabs>
        <w:ind w:left="0" w:firstLine="0"/>
      </w:pPr>
      <w:rPr>
        <w:rFonts w:ascii="Times New Roman" w:hAnsi="Times New Roman" w:cs="Times New Roman" w:hint="default"/>
        <w:b w:val="0"/>
      </w:rPr>
    </w:lvl>
    <w:lvl w:ilvl="1" w:tplc="3B46466E">
      <w:start w:val="1"/>
      <w:numFmt w:val="lowerLetter"/>
      <w:lvlText w:val="(%2)"/>
      <w:lvlJc w:val="left"/>
      <w:pPr>
        <w:tabs>
          <w:tab w:val="num" w:pos="1440"/>
        </w:tabs>
        <w:ind w:left="0" w:firstLine="720"/>
      </w:pPr>
      <w:rPr>
        <w:rFonts w:ascii="Times New Roman" w:hAnsi="Times New Roman" w:cs="Times New Roman" w:hint="default"/>
        <w:b w:val="0"/>
      </w:rPr>
    </w:lvl>
    <w:lvl w:ilvl="2" w:tplc="52B2EB0C">
      <w:start w:val="1"/>
      <w:numFmt w:val="lowerRoman"/>
      <w:lvlText w:val="(%3)"/>
      <w:lvlJc w:val="right"/>
      <w:pPr>
        <w:tabs>
          <w:tab w:val="num" w:pos="1440"/>
        </w:tabs>
        <w:ind w:left="1440" w:hanging="360"/>
      </w:pPr>
      <w:rPr>
        <w:rFonts w:ascii="Wingdings" w:hAnsi="Wingdings" w:cs="Wingdings"/>
      </w:rPr>
    </w:lvl>
    <w:lvl w:ilvl="3" w:tplc="B3C05CC2">
      <w:start w:val="1"/>
      <w:numFmt w:val="bullet"/>
      <w:lvlText w:val=""/>
      <w:lvlJc w:val="left"/>
      <w:pPr>
        <w:tabs>
          <w:tab w:val="num" w:pos="2160"/>
        </w:tabs>
        <w:ind w:left="2160" w:hanging="720"/>
      </w:pPr>
      <w:rPr>
        <w:rFonts w:ascii="Symbol" w:hAnsi="Symbol"/>
      </w:rPr>
    </w:lvl>
    <w:lvl w:ilvl="4" w:tplc="E4041740">
      <w:start w:val="2"/>
      <w:numFmt w:val="lowerLetter"/>
      <w:lvlText w:val="(%5)"/>
      <w:lvlJc w:val="left"/>
      <w:pPr>
        <w:tabs>
          <w:tab w:val="num" w:pos="1800"/>
        </w:tabs>
        <w:ind w:left="1800" w:hanging="360"/>
      </w:pPr>
      <w:rPr>
        <w:rFonts w:ascii="Times New Roman" w:hAnsi="Times New Roman" w:cs="Times New Roman" w:hint="default"/>
        <w:b w:val="0"/>
        <w:bCs w:val="0"/>
      </w:rPr>
    </w:lvl>
    <w:lvl w:ilvl="5" w:tplc="FEB61BE6">
      <w:start w:val="1"/>
      <w:numFmt w:val="lowerRoman"/>
      <w:lvlText w:val="(%6)"/>
      <w:lvlJc w:val="left"/>
      <w:pPr>
        <w:tabs>
          <w:tab w:val="num" w:pos="2160"/>
        </w:tabs>
        <w:ind w:left="2160" w:hanging="360"/>
      </w:pPr>
    </w:lvl>
    <w:lvl w:ilvl="6" w:tplc="9B269EA4">
      <w:start w:val="1"/>
      <w:numFmt w:val="decimal"/>
      <w:lvlText w:val="%7."/>
      <w:lvlJc w:val="left"/>
      <w:pPr>
        <w:tabs>
          <w:tab w:val="num" w:pos="2520"/>
        </w:tabs>
        <w:ind w:left="2520" w:hanging="360"/>
      </w:pPr>
    </w:lvl>
    <w:lvl w:ilvl="7" w:tplc="66E033DC">
      <w:start w:val="1"/>
      <w:numFmt w:val="lowerLetter"/>
      <w:lvlText w:val="%8."/>
      <w:lvlJc w:val="left"/>
      <w:pPr>
        <w:tabs>
          <w:tab w:val="num" w:pos="2880"/>
        </w:tabs>
        <w:ind w:left="2880" w:hanging="360"/>
      </w:pPr>
    </w:lvl>
    <w:lvl w:ilvl="8" w:tplc="08168678">
      <w:start w:val="1"/>
      <w:numFmt w:val="lowerRoman"/>
      <w:lvlText w:val="%9."/>
      <w:lvlJc w:val="left"/>
      <w:pPr>
        <w:tabs>
          <w:tab w:val="num" w:pos="3240"/>
        </w:tabs>
        <w:ind w:left="3240" w:hanging="360"/>
      </w:pPr>
    </w:lvl>
  </w:abstractNum>
  <w:abstractNum w:abstractNumId="46" w15:restartNumberingAfterBreak="0">
    <w:nsid w:val="11AD5ABF"/>
    <w:multiLevelType w:val="hybridMultilevel"/>
    <w:tmpl w:val="381CE104"/>
    <w:lvl w:ilvl="0" w:tplc="6DBE6AEE">
      <w:start w:val="1"/>
      <w:numFmt w:val="decimal"/>
      <w:lvlText w:val="%1."/>
      <w:lvlJc w:val="left"/>
      <w:pPr>
        <w:tabs>
          <w:tab w:val="num" w:pos="360"/>
        </w:tabs>
        <w:ind w:left="0" w:firstLine="0"/>
      </w:pPr>
      <w:rPr>
        <w:rFonts w:ascii="Times New Roman" w:hAnsi="Times New Roman" w:cs="Times New Roman" w:hint="default"/>
        <w:b w:val="0"/>
      </w:rPr>
    </w:lvl>
    <w:lvl w:ilvl="1" w:tplc="3B46466E">
      <w:start w:val="1"/>
      <w:numFmt w:val="lowerLetter"/>
      <w:lvlText w:val="(%2)"/>
      <w:lvlJc w:val="left"/>
      <w:pPr>
        <w:tabs>
          <w:tab w:val="num" w:pos="1440"/>
        </w:tabs>
        <w:ind w:left="0" w:firstLine="720"/>
      </w:pPr>
      <w:rPr>
        <w:rFonts w:ascii="Times New Roman" w:hAnsi="Times New Roman" w:cs="Times New Roman" w:hint="default"/>
        <w:b w:val="0"/>
      </w:rPr>
    </w:lvl>
    <w:lvl w:ilvl="2" w:tplc="52B2EB0C">
      <w:start w:val="1"/>
      <w:numFmt w:val="lowerRoman"/>
      <w:lvlText w:val="(%3)"/>
      <w:lvlJc w:val="right"/>
      <w:pPr>
        <w:tabs>
          <w:tab w:val="num" w:pos="1440"/>
        </w:tabs>
        <w:ind w:left="1440" w:hanging="360"/>
      </w:pPr>
      <w:rPr>
        <w:rFonts w:ascii="Wingdings" w:hAnsi="Wingdings" w:cs="Wingdings"/>
      </w:rPr>
    </w:lvl>
    <w:lvl w:ilvl="3" w:tplc="B3C05CC2">
      <w:start w:val="1"/>
      <w:numFmt w:val="bullet"/>
      <w:lvlText w:val=""/>
      <w:lvlJc w:val="left"/>
      <w:pPr>
        <w:tabs>
          <w:tab w:val="num" w:pos="2160"/>
        </w:tabs>
        <w:ind w:left="2160" w:hanging="720"/>
      </w:pPr>
      <w:rPr>
        <w:rFonts w:ascii="Symbol" w:hAnsi="Symbol"/>
      </w:rPr>
    </w:lvl>
    <w:lvl w:ilvl="4" w:tplc="E4041740">
      <w:start w:val="2"/>
      <w:numFmt w:val="lowerLetter"/>
      <w:lvlText w:val="(%5)"/>
      <w:lvlJc w:val="left"/>
      <w:pPr>
        <w:tabs>
          <w:tab w:val="num" w:pos="1800"/>
        </w:tabs>
        <w:ind w:left="1800" w:hanging="360"/>
      </w:pPr>
      <w:rPr>
        <w:rFonts w:ascii="Times New Roman" w:hAnsi="Times New Roman" w:cs="Times New Roman" w:hint="default"/>
        <w:b w:val="0"/>
        <w:bCs w:val="0"/>
      </w:rPr>
    </w:lvl>
    <w:lvl w:ilvl="5" w:tplc="FEB61BE6">
      <w:start w:val="1"/>
      <w:numFmt w:val="lowerRoman"/>
      <w:lvlText w:val="(%6)"/>
      <w:lvlJc w:val="left"/>
      <w:pPr>
        <w:tabs>
          <w:tab w:val="num" w:pos="2160"/>
        </w:tabs>
        <w:ind w:left="2160" w:hanging="360"/>
      </w:pPr>
    </w:lvl>
    <w:lvl w:ilvl="6" w:tplc="9B269EA4">
      <w:start w:val="1"/>
      <w:numFmt w:val="decimal"/>
      <w:lvlText w:val="%7."/>
      <w:lvlJc w:val="left"/>
      <w:pPr>
        <w:tabs>
          <w:tab w:val="num" w:pos="2520"/>
        </w:tabs>
        <w:ind w:left="2520" w:hanging="360"/>
      </w:pPr>
    </w:lvl>
    <w:lvl w:ilvl="7" w:tplc="66E033DC">
      <w:start w:val="1"/>
      <w:numFmt w:val="lowerLetter"/>
      <w:lvlText w:val="%8."/>
      <w:lvlJc w:val="left"/>
      <w:pPr>
        <w:tabs>
          <w:tab w:val="num" w:pos="2880"/>
        </w:tabs>
        <w:ind w:left="2880" w:hanging="360"/>
      </w:pPr>
    </w:lvl>
    <w:lvl w:ilvl="8" w:tplc="08168678">
      <w:start w:val="1"/>
      <w:numFmt w:val="lowerRoman"/>
      <w:lvlText w:val="%9."/>
      <w:lvlJc w:val="left"/>
      <w:pPr>
        <w:tabs>
          <w:tab w:val="num" w:pos="3240"/>
        </w:tabs>
        <w:ind w:left="3240" w:hanging="360"/>
      </w:pPr>
    </w:lvl>
  </w:abstractNum>
  <w:abstractNum w:abstractNumId="47" w15:restartNumberingAfterBreak="0">
    <w:nsid w:val="12B15309"/>
    <w:multiLevelType w:val="hybridMultilevel"/>
    <w:tmpl w:val="FFFFFFFF"/>
    <w:lvl w:ilvl="0" w:tplc="75E415FC">
      <w:start w:val="1"/>
      <w:numFmt w:val="bullet"/>
      <w:lvlText w:val=""/>
      <w:lvlJc w:val="left"/>
      <w:pPr>
        <w:ind w:left="720" w:hanging="360"/>
      </w:pPr>
      <w:rPr>
        <w:rFonts w:ascii="Symbol" w:hAnsi="Symbol" w:hint="default"/>
      </w:rPr>
    </w:lvl>
    <w:lvl w:ilvl="1" w:tplc="D6C4CC68">
      <w:start w:val="1"/>
      <w:numFmt w:val="bullet"/>
      <w:lvlText w:val="o"/>
      <w:lvlJc w:val="left"/>
      <w:pPr>
        <w:ind w:left="1440" w:hanging="360"/>
      </w:pPr>
      <w:rPr>
        <w:rFonts w:ascii="Courier New" w:hAnsi="Courier New" w:hint="default"/>
      </w:rPr>
    </w:lvl>
    <w:lvl w:ilvl="2" w:tplc="3CA01D12">
      <w:start w:val="1"/>
      <w:numFmt w:val="bullet"/>
      <w:lvlText w:val=""/>
      <w:lvlJc w:val="left"/>
      <w:pPr>
        <w:ind w:left="2160" w:hanging="360"/>
      </w:pPr>
      <w:rPr>
        <w:rFonts w:ascii="Wingdings" w:hAnsi="Wingdings" w:hint="default"/>
      </w:rPr>
    </w:lvl>
    <w:lvl w:ilvl="3" w:tplc="9836C200">
      <w:start w:val="1"/>
      <w:numFmt w:val="bullet"/>
      <w:lvlText w:val=""/>
      <w:lvlJc w:val="left"/>
      <w:pPr>
        <w:ind w:left="2880" w:hanging="360"/>
      </w:pPr>
      <w:rPr>
        <w:rFonts w:ascii="Symbol" w:hAnsi="Symbol" w:hint="default"/>
      </w:rPr>
    </w:lvl>
    <w:lvl w:ilvl="4" w:tplc="115EA122">
      <w:start w:val="1"/>
      <w:numFmt w:val="bullet"/>
      <w:lvlText w:val="o"/>
      <w:lvlJc w:val="left"/>
      <w:pPr>
        <w:ind w:left="3600" w:hanging="360"/>
      </w:pPr>
      <w:rPr>
        <w:rFonts w:ascii="Courier New" w:hAnsi="Courier New" w:hint="default"/>
      </w:rPr>
    </w:lvl>
    <w:lvl w:ilvl="5" w:tplc="1DD82B40">
      <w:start w:val="1"/>
      <w:numFmt w:val="bullet"/>
      <w:lvlText w:val=""/>
      <w:lvlJc w:val="left"/>
      <w:pPr>
        <w:ind w:left="4320" w:hanging="360"/>
      </w:pPr>
      <w:rPr>
        <w:rFonts w:ascii="Wingdings" w:hAnsi="Wingdings" w:hint="default"/>
      </w:rPr>
    </w:lvl>
    <w:lvl w:ilvl="6" w:tplc="A2B2337C">
      <w:start w:val="1"/>
      <w:numFmt w:val="bullet"/>
      <w:lvlText w:val=""/>
      <w:lvlJc w:val="left"/>
      <w:pPr>
        <w:ind w:left="5040" w:hanging="360"/>
      </w:pPr>
      <w:rPr>
        <w:rFonts w:ascii="Symbol" w:hAnsi="Symbol" w:hint="default"/>
      </w:rPr>
    </w:lvl>
    <w:lvl w:ilvl="7" w:tplc="72465A28">
      <w:start w:val="1"/>
      <w:numFmt w:val="bullet"/>
      <w:lvlText w:val="o"/>
      <w:lvlJc w:val="left"/>
      <w:pPr>
        <w:ind w:left="5760" w:hanging="360"/>
      </w:pPr>
      <w:rPr>
        <w:rFonts w:ascii="Courier New" w:hAnsi="Courier New" w:hint="default"/>
      </w:rPr>
    </w:lvl>
    <w:lvl w:ilvl="8" w:tplc="432C5970">
      <w:start w:val="1"/>
      <w:numFmt w:val="bullet"/>
      <w:lvlText w:val=""/>
      <w:lvlJc w:val="left"/>
      <w:pPr>
        <w:ind w:left="6480" w:hanging="360"/>
      </w:pPr>
      <w:rPr>
        <w:rFonts w:ascii="Wingdings" w:hAnsi="Wingdings" w:hint="default"/>
      </w:rPr>
    </w:lvl>
  </w:abstractNum>
  <w:abstractNum w:abstractNumId="48" w15:restartNumberingAfterBreak="0">
    <w:nsid w:val="15034CF3"/>
    <w:multiLevelType w:val="hybridMultilevel"/>
    <w:tmpl w:val="232473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5407C00"/>
    <w:multiLevelType w:val="hybridMultilevel"/>
    <w:tmpl w:val="370EA642"/>
    <w:lvl w:ilvl="0" w:tplc="04090001">
      <w:start w:val="1"/>
      <w:numFmt w:val="bullet"/>
      <w:lvlText w:val=""/>
      <w:lvlJc w:val="left"/>
      <w:pPr>
        <w:ind w:left="2340" w:hanging="360"/>
      </w:pPr>
      <w:rPr>
        <w:rFonts w:ascii="Symbol" w:hAnsi="Symbol" w:hint="default"/>
      </w:rPr>
    </w:lvl>
    <w:lvl w:ilvl="1" w:tplc="04090001">
      <w:start w:val="1"/>
      <w:numFmt w:val="bullet"/>
      <w:lvlText w:val=""/>
      <w:lvlJc w:val="left"/>
      <w:pPr>
        <w:ind w:left="3060" w:hanging="360"/>
      </w:pPr>
      <w:rPr>
        <w:rFonts w:ascii="Symbol" w:hAnsi="Symbol"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50" w15:restartNumberingAfterBreak="0">
    <w:nsid w:val="15691202"/>
    <w:multiLevelType w:val="hybridMultilevel"/>
    <w:tmpl w:val="0CCC3240"/>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16073190"/>
    <w:multiLevelType w:val="hybridMultilevel"/>
    <w:tmpl w:val="67220B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6CD6FCE"/>
    <w:multiLevelType w:val="hybridMultilevel"/>
    <w:tmpl w:val="F214A298"/>
    <w:lvl w:ilvl="0" w:tplc="04090001">
      <w:start w:val="1"/>
      <w:numFmt w:val="bullet"/>
      <w:lvlText w:val=""/>
      <w:lvlJc w:val="left"/>
      <w:pPr>
        <w:ind w:left="720" w:hanging="360"/>
      </w:pPr>
      <w:rPr>
        <w:rFonts w:ascii="Symbol" w:hAnsi="Symbol" w:hint="default"/>
      </w:rPr>
    </w:lvl>
    <w:lvl w:ilvl="1" w:tplc="B3C05CC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7071BDA"/>
    <w:multiLevelType w:val="hybridMultilevel"/>
    <w:tmpl w:val="C5B072D0"/>
    <w:lvl w:ilvl="0" w:tplc="431E60D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 w15:restartNumberingAfterBreak="0">
    <w:nsid w:val="17926FD1"/>
    <w:multiLevelType w:val="hybridMultilevel"/>
    <w:tmpl w:val="FFFFFFFF"/>
    <w:lvl w:ilvl="0" w:tplc="C68436DC">
      <w:start w:val="1"/>
      <w:numFmt w:val="bullet"/>
      <w:lvlText w:val=""/>
      <w:lvlJc w:val="left"/>
      <w:pPr>
        <w:ind w:left="720" w:hanging="360"/>
      </w:pPr>
      <w:rPr>
        <w:rFonts w:ascii="Symbol" w:hAnsi="Symbol" w:hint="default"/>
      </w:rPr>
    </w:lvl>
    <w:lvl w:ilvl="1" w:tplc="0E74E4F4">
      <w:start w:val="1"/>
      <w:numFmt w:val="bullet"/>
      <w:lvlText w:val="o"/>
      <w:lvlJc w:val="left"/>
      <w:pPr>
        <w:ind w:left="1440" w:hanging="360"/>
      </w:pPr>
      <w:rPr>
        <w:rFonts w:ascii="Courier New" w:hAnsi="Courier New" w:hint="default"/>
      </w:rPr>
    </w:lvl>
    <w:lvl w:ilvl="2" w:tplc="2A1CF668">
      <w:start w:val="1"/>
      <w:numFmt w:val="bullet"/>
      <w:lvlText w:val=""/>
      <w:lvlJc w:val="left"/>
      <w:pPr>
        <w:ind w:left="2160" w:hanging="360"/>
      </w:pPr>
      <w:rPr>
        <w:rFonts w:ascii="Wingdings" w:hAnsi="Wingdings" w:hint="default"/>
      </w:rPr>
    </w:lvl>
    <w:lvl w:ilvl="3" w:tplc="9FA60A72">
      <w:start w:val="1"/>
      <w:numFmt w:val="bullet"/>
      <w:lvlText w:val=""/>
      <w:lvlJc w:val="left"/>
      <w:pPr>
        <w:ind w:left="2880" w:hanging="360"/>
      </w:pPr>
      <w:rPr>
        <w:rFonts w:ascii="Symbol" w:hAnsi="Symbol" w:hint="default"/>
      </w:rPr>
    </w:lvl>
    <w:lvl w:ilvl="4" w:tplc="38D6E0BA">
      <w:start w:val="1"/>
      <w:numFmt w:val="bullet"/>
      <w:lvlText w:val="o"/>
      <w:lvlJc w:val="left"/>
      <w:pPr>
        <w:ind w:left="3600" w:hanging="360"/>
      </w:pPr>
      <w:rPr>
        <w:rFonts w:ascii="Courier New" w:hAnsi="Courier New" w:hint="default"/>
      </w:rPr>
    </w:lvl>
    <w:lvl w:ilvl="5" w:tplc="E578D272">
      <w:start w:val="1"/>
      <w:numFmt w:val="bullet"/>
      <w:lvlText w:val=""/>
      <w:lvlJc w:val="left"/>
      <w:pPr>
        <w:ind w:left="4320" w:hanging="360"/>
      </w:pPr>
      <w:rPr>
        <w:rFonts w:ascii="Wingdings" w:hAnsi="Wingdings" w:hint="default"/>
      </w:rPr>
    </w:lvl>
    <w:lvl w:ilvl="6" w:tplc="0720D354">
      <w:start w:val="1"/>
      <w:numFmt w:val="bullet"/>
      <w:lvlText w:val=""/>
      <w:lvlJc w:val="left"/>
      <w:pPr>
        <w:ind w:left="5040" w:hanging="360"/>
      </w:pPr>
      <w:rPr>
        <w:rFonts w:ascii="Symbol" w:hAnsi="Symbol" w:hint="default"/>
      </w:rPr>
    </w:lvl>
    <w:lvl w:ilvl="7" w:tplc="EE68C0EA">
      <w:start w:val="1"/>
      <w:numFmt w:val="bullet"/>
      <w:lvlText w:val="o"/>
      <w:lvlJc w:val="left"/>
      <w:pPr>
        <w:ind w:left="5760" w:hanging="360"/>
      </w:pPr>
      <w:rPr>
        <w:rFonts w:ascii="Courier New" w:hAnsi="Courier New" w:hint="default"/>
      </w:rPr>
    </w:lvl>
    <w:lvl w:ilvl="8" w:tplc="56A67BE4">
      <w:start w:val="1"/>
      <w:numFmt w:val="bullet"/>
      <w:lvlText w:val=""/>
      <w:lvlJc w:val="left"/>
      <w:pPr>
        <w:ind w:left="6480" w:hanging="360"/>
      </w:pPr>
      <w:rPr>
        <w:rFonts w:ascii="Wingdings" w:hAnsi="Wingdings" w:hint="default"/>
      </w:rPr>
    </w:lvl>
  </w:abstractNum>
  <w:abstractNum w:abstractNumId="55" w15:restartNumberingAfterBreak="0">
    <w:nsid w:val="1805272F"/>
    <w:multiLevelType w:val="hybridMultilevel"/>
    <w:tmpl w:val="C15A13CE"/>
    <w:lvl w:ilvl="0" w:tplc="1644AA52">
      <w:start w:val="28"/>
      <w:numFmt w:val="bullet"/>
      <w:lvlText w:val="•"/>
      <w:lvlJc w:val="left"/>
      <w:pPr>
        <w:ind w:left="720" w:hanging="360"/>
      </w:pPr>
      <w:rPr>
        <w:rFonts w:ascii="Times New Roman" w:eastAsia="Arial Unicode MS"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98F30C3"/>
    <w:multiLevelType w:val="hybridMultilevel"/>
    <w:tmpl w:val="D24AEBD8"/>
    <w:lvl w:ilvl="0" w:tplc="F9B05A86">
      <w:start w:val="4"/>
      <w:numFmt w:val="lowerLetter"/>
      <w:lvlText w:val="(%1)"/>
      <w:lvlJc w:val="left"/>
      <w:pPr>
        <w:tabs>
          <w:tab w:val="num" w:pos="1800"/>
        </w:tabs>
        <w:ind w:left="1800" w:hanging="360"/>
      </w:pPr>
      <w:rPr>
        <w:rFonts w:ascii="Times New Roman" w:hAnsi="Times New Roman" w:cs="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19A62B20"/>
    <w:multiLevelType w:val="hybridMultilevel"/>
    <w:tmpl w:val="05062986"/>
    <w:lvl w:ilvl="0" w:tplc="0566575E">
      <w:start w:val="1"/>
      <w:numFmt w:val="bullet"/>
      <w:lvlText w:val=""/>
      <w:lvlJc w:val="left"/>
      <w:pPr>
        <w:ind w:left="113" w:hanging="113"/>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C5767DA"/>
    <w:multiLevelType w:val="hybridMultilevel"/>
    <w:tmpl w:val="6588871E"/>
    <w:lvl w:ilvl="0" w:tplc="D4A6A66E">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1CC55A80"/>
    <w:multiLevelType w:val="hybridMultilevel"/>
    <w:tmpl w:val="FFFFFFFF"/>
    <w:lvl w:ilvl="0" w:tplc="4D784620">
      <w:start w:val="1"/>
      <w:numFmt w:val="bullet"/>
      <w:lvlText w:val=""/>
      <w:lvlJc w:val="left"/>
      <w:pPr>
        <w:ind w:left="720" w:hanging="360"/>
      </w:pPr>
      <w:rPr>
        <w:rFonts w:ascii="Symbol" w:hAnsi="Symbol" w:hint="default"/>
      </w:rPr>
    </w:lvl>
    <w:lvl w:ilvl="1" w:tplc="C5749006">
      <w:start w:val="1"/>
      <w:numFmt w:val="bullet"/>
      <w:lvlText w:val="o"/>
      <w:lvlJc w:val="left"/>
      <w:pPr>
        <w:ind w:left="1440" w:hanging="360"/>
      </w:pPr>
      <w:rPr>
        <w:rFonts w:ascii="Courier New" w:hAnsi="Courier New" w:hint="default"/>
      </w:rPr>
    </w:lvl>
    <w:lvl w:ilvl="2" w:tplc="A24AA012">
      <w:start w:val="1"/>
      <w:numFmt w:val="bullet"/>
      <w:lvlText w:val=""/>
      <w:lvlJc w:val="left"/>
      <w:pPr>
        <w:ind w:left="2160" w:hanging="360"/>
      </w:pPr>
      <w:rPr>
        <w:rFonts w:ascii="Wingdings" w:hAnsi="Wingdings" w:hint="default"/>
      </w:rPr>
    </w:lvl>
    <w:lvl w:ilvl="3" w:tplc="821A933A">
      <w:start w:val="1"/>
      <w:numFmt w:val="bullet"/>
      <w:lvlText w:val=""/>
      <w:lvlJc w:val="left"/>
      <w:pPr>
        <w:ind w:left="2880" w:hanging="360"/>
      </w:pPr>
      <w:rPr>
        <w:rFonts w:ascii="Symbol" w:hAnsi="Symbol" w:hint="default"/>
      </w:rPr>
    </w:lvl>
    <w:lvl w:ilvl="4" w:tplc="BB926964">
      <w:start w:val="1"/>
      <w:numFmt w:val="bullet"/>
      <w:lvlText w:val="o"/>
      <w:lvlJc w:val="left"/>
      <w:pPr>
        <w:ind w:left="3600" w:hanging="360"/>
      </w:pPr>
      <w:rPr>
        <w:rFonts w:ascii="Courier New" w:hAnsi="Courier New" w:hint="default"/>
      </w:rPr>
    </w:lvl>
    <w:lvl w:ilvl="5" w:tplc="B8AE6E76">
      <w:start w:val="1"/>
      <w:numFmt w:val="bullet"/>
      <w:lvlText w:val=""/>
      <w:lvlJc w:val="left"/>
      <w:pPr>
        <w:ind w:left="4320" w:hanging="360"/>
      </w:pPr>
      <w:rPr>
        <w:rFonts w:ascii="Wingdings" w:hAnsi="Wingdings" w:hint="default"/>
      </w:rPr>
    </w:lvl>
    <w:lvl w:ilvl="6" w:tplc="FC8ABF28">
      <w:start w:val="1"/>
      <w:numFmt w:val="bullet"/>
      <w:lvlText w:val=""/>
      <w:lvlJc w:val="left"/>
      <w:pPr>
        <w:ind w:left="5040" w:hanging="360"/>
      </w:pPr>
      <w:rPr>
        <w:rFonts w:ascii="Symbol" w:hAnsi="Symbol" w:hint="default"/>
      </w:rPr>
    </w:lvl>
    <w:lvl w:ilvl="7" w:tplc="1CC646B2">
      <w:start w:val="1"/>
      <w:numFmt w:val="bullet"/>
      <w:lvlText w:val="o"/>
      <w:lvlJc w:val="left"/>
      <w:pPr>
        <w:ind w:left="5760" w:hanging="360"/>
      </w:pPr>
      <w:rPr>
        <w:rFonts w:ascii="Courier New" w:hAnsi="Courier New" w:hint="default"/>
      </w:rPr>
    </w:lvl>
    <w:lvl w:ilvl="8" w:tplc="97CCEF9A">
      <w:start w:val="1"/>
      <w:numFmt w:val="bullet"/>
      <w:lvlText w:val=""/>
      <w:lvlJc w:val="left"/>
      <w:pPr>
        <w:ind w:left="6480" w:hanging="360"/>
      </w:pPr>
      <w:rPr>
        <w:rFonts w:ascii="Wingdings" w:hAnsi="Wingdings" w:hint="default"/>
      </w:rPr>
    </w:lvl>
  </w:abstractNum>
  <w:abstractNum w:abstractNumId="60" w15:restartNumberingAfterBreak="0">
    <w:nsid w:val="1D4773B5"/>
    <w:multiLevelType w:val="hybridMultilevel"/>
    <w:tmpl w:val="3F2860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20127AA0"/>
    <w:multiLevelType w:val="hybridMultilevel"/>
    <w:tmpl w:val="1DD85CD8"/>
    <w:lvl w:ilvl="0" w:tplc="F9AE3E8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203F49DB"/>
    <w:multiLevelType w:val="hybridMultilevel"/>
    <w:tmpl w:val="FFFFFFFF"/>
    <w:lvl w:ilvl="0" w:tplc="414C8160">
      <w:start w:val="1"/>
      <w:numFmt w:val="bullet"/>
      <w:lvlText w:val=""/>
      <w:lvlJc w:val="left"/>
      <w:pPr>
        <w:ind w:left="720" w:hanging="360"/>
      </w:pPr>
      <w:rPr>
        <w:rFonts w:ascii="Symbol" w:hAnsi="Symbol" w:hint="default"/>
      </w:rPr>
    </w:lvl>
    <w:lvl w:ilvl="1" w:tplc="E8DCDAFE">
      <w:start w:val="1"/>
      <w:numFmt w:val="bullet"/>
      <w:lvlText w:val="o"/>
      <w:lvlJc w:val="left"/>
      <w:pPr>
        <w:ind w:left="1440" w:hanging="360"/>
      </w:pPr>
      <w:rPr>
        <w:rFonts w:ascii="Courier New" w:hAnsi="Courier New" w:hint="default"/>
      </w:rPr>
    </w:lvl>
    <w:lvl w:ilvl="2" w:tplc="DE6E9F4C">
      <w:start w:val="1"/>
      <w:numFmt w:val="bullet"/>
      <w:lvlText w:val=""/>
      <w:lvlJc w:val="left"/>
      <w:pPr>
        <w:ind w:left="2160" w:hanging="360"/>
      </w:pPr>
      <w:rPr>
        <w:rFonts w:ascii="Wingdings" w:hAnsi="Wingdings" w:hint="default"/>
      </w:rPr>
    </w:lvl>
    <w:lvl w:ilvl="3" w:tplc="9CAC1F6A">
      <w:start w:val="1"/>
      <w:numFmt w:val="bullet"/>
      <w:lvlText w:val=""/>
      <w:lvlJc w:val="left"/>
      <w:pPr>
        <w:ind w:left="2880" w:hanging="360"/>
      </w:pPr>
      <w:rPr>
        <w:rFonts w:ascii="Symbol" w:hAnsi="Symbol" w:hint="default"/>
      </w:rPr>
    </w:lvl>
    <w:lvl w:ilvl="4" w:tplc="928A43A6">
      <w:start w:val="1"/>
      <w:numFmt w:val="bullet"/>
      <w:lvlText w:val="o"/>
      <w:lvlJc w:val="left"/>
      <w:pPr>
        <w:ind w:left="3600" w:hanging="360"/>
      </w:pPr>
      <w:rPr>
        <w:rFonts w:ascii="Courier New" w:hAnsi="Courier New" w:hint="default"/>
      </w:rPr>
    </w:lvl>
    <w:lvl w:ilvl="5" w:tplc="9154E2F0">
      <w:start w:val="1"/>
      <w:numFmt w:val="bullet"/>
      <w:lvlText w:val=""/>
      <w:lvlJc w:val="left"/>
      <w:pPr>
        <w:ind w:left="4320" w:hanging="360"/>
      </w:pPr>
      <w:rPr>
        <w:rFonts w:ascii="Wingdings" w:hAnsi="Wingdings" w:hint="default"/>
      </w:rPr>
    </w:lvl>
    <w:lvl w:ilvl="6" w:tplc="9CFCFF2E">
      <w:start w:val="1"/>
      <w:numFmt w:val="bullet"/>
      <w:lvlText w:val=""/>
      <w:lvlJc w:val="left"/>
      <w:pPr>
        <w:ind w:left="5040" w:hanging="360"/>
      </w:pPr>
      <w:rPr>
        <w:rFonts w:ascii="Symbol" w:hAnsi="Symbol" w:hint="default"/>
      </w:rPr>
    </w:lvl>
    <w:lvl w:ilvl="7" w:tplc="5010DF0A">
      <w:start w:val="1"/>
      <w:numFmt w:val="bullet"/>
      <w:lvlText w:val="o"/>
      <w:lvlJc w:val="left"/>
      <w:pPr>
        <w:ind w:left="5760" w:hanging="360"/>
      </w:pPr>
      <w:rPr>
        <w:rFonts w:ascii="Courier New" w:hAnsi="Courier New" w:hint="default"/>
      </w:rPr>
    </w:lvl>
    <w:lvl w:ilvl="8" w:tplc="3B907370">
      <w:start w:val="1"/>
      <w:numFmt w:val="bullet"/>
      <w:lvlText w:val=""/>
      <w:lvlJc w:val="left"/>
      <w:pPr>
        <w:ind w:left="6480" w:hanging="360"/>
      </w:pPr>
      <w:rPr>
        <w:rFonts w:ascii="Wingdings" w:hAnsi="Wingdings" w:hint="default"/>
      </w:rPr>
    </w:lvl>
  </w:abstractNum>
  <w:abstractNum w:abstractNumId="63" w15:restartNumberingAfterBreak="0">
    <w:nsid w:val="205F11A5"/>
    <w:multiLevelType w:val="hybridMultilevel"/>
    <w:tmpl w:val="2E7252FA"/>
    <w:lvl w:ilvl="0" w:tplc="5330B486">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4" w15:restartNumberingAfterBreak="0">
    <w:nsid w:val="21E62620"/>
    <w:multiLevelType w:val="hybridMultilevel"/>
    <w:tmpl w:val="C0B6BB88"/>
    <w:lvl w:ilvl="0" w:tplc="B3C05CC2">
      <w:start w:val="1"/>
      <w:numFmt w:val="bullet"/>
      <w:lvlText w:val=""/>
      <w:lvlJc w:val="left"/>
      <w:pPr>
        <w:ind w:left="720" w:hanging="360"/>
      </w:pPr>
      <w:rPr>
        <w:rFonts w:ascii="Symbol" w:hAnsi="Symbo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39D781D"/>
    <w:multiLevelType w:val="hybridMultilevel"/>
    <w:tmpl w:val="FFFFFFFF"/>
    <w:lvl w:ilvl="0" w:tplc="9CAC011C">
      <w:start w:val="1"/>
      <w:numFmt w:val="bullet"/>
      <w:lvlText w:val=""/>
      <w:lvlJc w:val="left"/>
      <w:pPr>
        <w:ind w:left="720" w:hanging="360"/>
      </w:pPr>
      <w:rPr>
        <w:rFonts w:ascii="Symbol" w:hAnsi="Symbol" w:hint="default"/>
      </w:rPr>
    </w:lvl>
    <w:lvl w:ilvl="1" w:tplc="CA2A3010">
      <w:start w:val="1"/>
      <w:numFmt w:val="bullet"/>
      <w:lvlText w:val="o"/>
      <w:lvlJc w:val="left"/>
      <w:pPr>
        <w:ind w:left="1440" w:hanging="360"/>
      </w:pPr>
      <w:rPr>
        <w:rFonts w:ascii="Courier New" w:hAnsi="Courier New" w:hint="default"/>
      </w:rPr>
    </w:lvl>
    <w:lvl w:ilvl="2" w:tplc="487657A8">
      <w:start w:val="1"/>
      <w:numFmt w:val="bullet"/>
      <w:lvlText w:val=""/>
      <w:lvlJc w:val="left"/>
      <w:pPr>
        <w:ind w:left="2160" w:hanging="360"/>
      </w:pPr>
      <w:rPr>
        <w:rFonts w:ascii="Wingdings" w:hAnsi="Wingdings" w:hint="default"/>
      </w:rPr>
    </w:lvl>
    <w:lvl w:ilvl="3" w:tplc="221C0856">
      <w:start w:val="1"/>
      <w:numFmt w:val="bullet"/>
      <w:lvlText w:val=""/>
      <w:lvlJc w:val="left"/>
      <w:pPr>
        <w:ind w:left="2880" w:hanging="360"/>
      </w:pPr>
      <w:rPr>
        <w:rFonts w:ascii="Symbol" w:hAnsi="Symbol" w:hint="default"/>
      </w:rPr>
    </w:lvl>
    <w:lvl w:ilvl="4" w:tplc="2DB6E972">
      <w:start w:val="1"/>
      <w:numFmt w:val="bullet"/>
      <w:lvlText w:val="o"/>
      <w:lvlJc w:val="left"/>
      <w:pPr>
        <w:ind w:left="3600" w:hanging="360"/>
      </w:pPr>
      <w:rPr>
        <w:rFonts w:ascii="Courier New" w:hAnsi="Courier New" w:hint="default"/>
      </w:rPr>
    </w:lvl>
    <w:lvl w:ilvl="5" w:tplc="7542F348">
      <w:start w:val="1"/>
      <w:numFmt w:val="bullet"/>
      <w:lvlText w:val=""/>
      <w:lvlJc w:val="left"/>
      <w:pPr>
        <w:ind w:left="4320" w:hanging="360"/>
      </w:pPr>
      <w:rPr>
        <w:rFonts w:ascii="Wingdings" w:hAnsi="Wingdings" w:hint="default"/>
      </w:rPr>
    </w:lvl>
    <w:lvl w:ilvl="6" w:tplc="B9C09496">
      <w:start w:val="1"/>
      <w:numFmt w:val="bullet"/>
      <w:lvlText w:val=""/>
      <w:lvlJc w:val="left"/>
      <w:pPr>
        <w:ind w:left="5040" w:hanging="360"/>
      </w:pPr>
      <w:rPr>
        <w:rFonts w:ascii="Symbol" w:hAnsi="Symbol" w:hint="default"/>
      </w:rPr>
    </w:lvl>
    <w:lvl w:ilvl="7" w:tplc="D702DE7A">
      <w:start w:val="1"/>
      <w:numFmt w:val="bullet"/>
      <w:lvlText w:val="o"/>
      <w:lvlJc w:val="left"/>
      <w:pPr>
        <w:ind w:left="5760" w:hanging="360"/>
      </w:pPr>
      <w:rPr>
        <w:rFonts w:ascii="Courier New" w:hAnsi="Courier New" w:hint="default"/>
      </w:rPr>
    </w:lvl>
    <w:lvl w:ilvl="8" w:tplc="6B0AC79E">
      <w:start w:val="1"/>
      <w:numFmt w:val="bullet"/>
      <w:lvlText w:val=""/>
      <w:lvlJc w:val="left"/>
      <w:pPr>
        <w:ind w:left="6480" w:hanging="360"/>
      </w:pPr>
      <w:rPr>
        <w:rFonts w:ascii="Wingdings" w:hAnsi="Wingdings" w:hint="default"/>
      </w:rPr>
    </w:lvl>
  </w:abstractNum>
  <w:abstractNum w:abstractNumId="66" w15:restartNumberingAfterBreak="0">
    <w:nsid w:val="24BA2659"/>
    <w:multiLevelType w:val="hybridMultilevel"/>
    <w:tmpl w:val="C2A6DE4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7" w15:restartNumberingAfterBreak="0">
    <w:nsid w:val="251258CF"/>
    <w:multiLevelType w:val="hybridMultilevel"/>
    <w:tmpl w:val="A282E4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 w15:restartNumberingAfterBreak="0">
    <w:nsid w:val="25724530"/>
    <w:multiLevelType w:val="hybridMultilevel"/>
    <w:tmpl w:val="EB48CC7E"/>
    <w:lvl w:ilvl="0" w:tplc="6DBE6AEE">
      <w:start w:val="1"/>
      <w:numFmt w:val="decimal"/>
      <w:lvlText w:val="%1."/>
      <w:lvlJc w:val="left"/>
      <w:pPr>
        <w:tabs>
          <w:tab w:val="num" w:pos="360"/>
        </w:tabs>
        <w:ind w:left="0" w:firstLine="0"/>
      </w:pPr>
      <w:rPr>
        <w:rFonts w:ascii="Times New Roman" w:hAnsi="Times New Roman" w:cs="Times New Roman" w:hint="default"/>
        <w:b w:val="0"/>
      </w:rPr>
    </w:lvl>
    <w:lvl w:ilvl="1" w:tplc="3B46466E">
      <w:start w:val="1"/>
      <w:numFmt w:val="lowerLetter"/>
      <w:lvlText w:val="(%2)"/>
      <w:lvlJc w:val="left"/>
      <w:pPr>
        <w:tabs>
          <w:tab w:val="num" w:pos="1440"/>
        </w:tabs>
        <w:ind w:left="0" w:firstLine="720"/>
      </w:pPr>
      <w:rPr>
        <w:rFonts w:ascii="Times New Roman" w:hAnsi="Times New Roman" w:cs="Times New Roman" w:hint="default"/>
        <w:b w:val="0"/>
      </w:rPr>
    </w:lvl>
    <w:lvl w:ilvl="2" w:tplc="52B2EB0C">
      <w:start w:val="1"/>
      <w:numFmt w:val="lowerRoman"/>
      <w:lvlText w:val="(%3)"/>
      <w:lvlJc w:val="right"/>
      <w:pPr>
        <w:tabs>
          <w:tab w:val="num" w:pos="1440"/>
        </w:tabs>
        <w:ind w:left="1440" w:hanging="360"/>
      </w:pPr>
      <w:rPr>
        <w:rFonts w:ascii="Wingdings" w:hAnsi="Wingdings" w:cs="Wingdings"/>
      </w:rPr>
    </w:lvl>
    <w:lvl w:ilvl="3" w:tplc="B3C05CC2">
      <w:start w:val="1"/>
      <w:numFmt w:val="bullet"/>
      <w:lvlText w:val=""/>
      <w:lvlJc w:val="left"/>
      <w:pPr>
        <w:tabs>
          <w:tab w:val="num" w:pos="2160"/>
        </w:tabs>
        <w:ind w:left="2160" w:hanging="720"/>
      </w:pPr>
      <w:rPr>
        <w:rFonts w:ascii="Symbol" w:hAnsi="Symbol"/>
      </w:rPr>
    </w:lvl>
    <w:lvl w:ilvl="4" w:tplc="9D402520">
      <w:start w:val="1"/>
      <w:numFmt w:val="lowerLetter"/>
      <w:lvlText w:val="(%5)"/>
      <w:lvlJc w:val="left"/>
      <w:pPr>
        <w:tabs>
          <w:tab w:val="num" w:pos="1800"/>
        </w:tabs>
        <w:ind w:left="1800" w:hanging="360"/>
      </w:pPr>
      <w:rPr>
        <w:rFonts w:ascii="Times New Roman" w:hAnsi="Times New Roman" w:cs="Times New Roman" w:hint="default"/>
        <w:b w:val="0"/>
        <w:bCs w:val="0"/>
      </w:rPr>
    </w:lvl>
    <w:lvl w:ilvl="5" w:tplc="FEB61BE6">
      <w:start w:val="1"/>
      <w:numFmt w:val="lowerRoman"/>
      <w:lvlText w:val="(%6)"/>
      <w:lvlJc w:val="left"/>
      <w:pPr>
        <w:tabs>
          <w:tab w:val="num" w:pos="2160"/>
        </w:tabs>
        <w:ind w:left="2160" w:hanging="360"/>
      </w:pPr>
    </w:lvl>
    <w:lvl w:ilvl="6" w:tplc="9B269EA4">
      <w:start w:val="1"/>
      <w:numFmt w:val="decimal"/>
      <w:lvlText w:val="%7."/>
      <w:lvlJc w:val="left"/>
      <w:pPr>
        <w:tabs>
          <w:tab w:val="num" w:pos="2520"/>
        </w:tabs>
        <w:ind w:left="2520" w:hanging="360"/>
      </w:pPr>
    </w:lvl>
    <w:lvl w:ilvl="7" w:tplc="66E033DC">
      <w:start w:val="1"/>
      <w:numFmt w:val="lowerLetter"/>
      <w:lvlText w:val="%8."/>
      <w:lvlJc w:val="left"/>
      <w:pPr>
        <w:tabs>
          <w:tab w:val="num" w:pos="2880"/>
        </w:tabs>
        <w:ind w:left="2880" w:hanging="360"/>
      </w:pPr>
    </w:lvl>
    <w:lvl w:ilvl="8" w:tplc="08168678">
      <w:start w:val="1"/>
      <w:numFmt w:val="lowerRoman"/>
      <w:lvlText w:val="%9."/>
      <w:lvlJc w:val="left"/>
      <w:pPr>
        <w:tabs>
          <w:tab w:val="num" w:pos="3240"/>
        </w:tabs>
        <w:ind w:left="3240" w:hanging="360"/>
      </w:pPr>
    </w:lvl>
  </w:abstractNum>
  <w:abstractNum w:abstractNumId="69" w15:restartNumberingAfterBreak="0">
    <w:nsid w:val="2585068E"/>
    <w:multiLevelType w:val="hybridMultilevel"/>
    <w:tmpl w:val="5DE46E80"/>
    <w:lvl w:ilvl="0" w:tplc="B3C05CC2">
      <w:start w:val="1"/>
      <w:numFmt w:val="bullet"/>
      <w:lvlText w:val=""/>
      <w:lvlJc w:val="left"/>
      <w:pPr>
        <w:ind w:left="360" w:hanging="360"/>
      </w:pPr>
      <w:rPr>
        <w:rFonts w:ascii="Symbol" w:hAnsi="Symbol"/>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25AF757A"/>
    <w:multiLevelType w:val="hybridMultilevel"/>
    <w:tmpl w:val="3FFE866E"/>
    <w:lvl w:ilvl="0" w:tplc="5330B486">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1" w15:restartNumberingAfterBreak="0">
    <w:nsid w:val="25B5401B"/>
    <w:multiLevelType w:val="hybridMultilevel"/>
    <w:tmpl w:val="2C12140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66F1FAF"/>
    <w:multiLevelType w:val="hybridMultilevel"/>
    <w:tmpl w:val="6A280A1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3" w15:restartNumberingAfterBreak="0">
    <w:nsid w:val="28C55687"/>
    <w:multiLevelType w:val="multilevel"/>
    <w:tmpl w:val="78F4A5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74" w15:restartNumberingAfterBreak="0">
    <w:nsid w:val="2931009C"/>
    <w:multiLevelType w:val="hybridMultilevel"/>
    <w:tmpl w:val="FFFFFFFF"/>
    <w:lvl w:ilvl="0" w:tplc="2E24623C">
      <w:start w:val="1"/>
      <w:numFmt w:val="bullet"/>
      <w:lvlText w:val=""/>
      <w:lvlJc w:val="left"/>
      <w:pPr>
        <w:ind w:left="720" w:hanging="360"/>
      </w:pPr>
      <w:rPr>
        <w:rFonts w:ascii="Symbol" w:hAnsi="Symbol" w:hint="default"/>
      </w:rPr>
    </w:lvl>
    <w:lvl w:ilvl="1" w:tplc="F702B1AE">
      <w:start w:val="1"/>
      <w:numFmt w:val="bullet"/>
      <w:lvlText w:val="o"/>
      <w:lvlJc w:val="left"/>
      <w:pPr>
        <w:ind w:left="1440" w:hanging="360"/>
      </w:pPr>
      <w:rPr>
        <w:rFonts w:ascii="Courier New" w:hAnsi="Courier New" w:hint="default"/>
      </w:rPr>
    </w:lvl>
    <w:lvl w:ilvl="2" w:tplc="D9F4218E">
      <w:start w:val="1"/>
      <w:numFmt w:val="bullet"/>
      <w:lvlText w:val=""/>
      <w:lvlJc w:val="left"/>
      <w:pPr>
        <w:ind w:left="2160" w:hanging="360"/>
      </w:pPr>
      <w:rPr>
        <w:rFonts w:ascii="Wingdings" w:hAnsi="Wingdings" w:hint="default"/>
      </w:rPr>
    </w:lvl>
    <w:lvl w:ilvl="3" w:tplc="AF40A9D0">
      <w:start w:val="1"/>
      <w:numFmt w:val="bullet"/>
      <w:lvlText w:val=""/>
      <w:lvlJc w:val="left"/>
      <w:pPr>
        <w:ind w:left="2880" w:hanging="360"/>
      </w:pPr>
      <w:rPr>
        <w:rFonts w:ascii="Symbol" w:hAnsi="Symbol" w:hint="default"/>
      </w:rPr>
    </w:lvl>
    <w:lvl w:ilvl="4" w:tplc="109A4384">
      <w:start w:val="1"/>
      <w:numFmt w:val="bullet"/>
      <w:lvlText w:val="o"/>
      <w:lvlJc w:val="left"/>
      <w:pPr>
        <w:ind w:left="3600" w:hanging="360"/>
      </w:pPr>
      <w:rPr>
        <w:rFonts w:ascii="Courier New" w:hAnsi="Courier New" w:hint="default"/>
      </w:rPr>
    </w:lvl>
    <w:lvl w:ilvl="5" w:tplc="AA3AF504">
      <w:start w:val="1"/>
      <w:numFmt w:val="bullet"/>
      <w:lvlText w:val=""/>
      <w:lvlJc w:val="left"/>
      <w:pPr>
        <w:ind w:left="4320" w:hanging="360"/>
      </w:pPr>
      <w:rPr>
        <w:rFonts w:ascii="Wingdings" w:hAnsi="Wingdings" w:hint="default"/>
      </w:rPr>
    </w:lvl>
    <w:lvl w:ilvl="6" w:tplc="256272DC">
      <w:start w:val="1"/>
      <w:numFmt w:val="bullet"/>
      <w:lvlText w:val=""/>
      <w:lvlJc w:val="left"/>
      <w:pPr>
        <w:ind w:left="5040" w:hanging="360"/>
      </w:pPr>
      <w:rPr>
        <w:rFonts w:ascii="Symbol" w:hAnsi="Symbol" w:hint="default"/>
      </w:rPr>
    </w:lvl>
    <w:lvl w:ilvl="7" w:tplc="DAF68834">
      <w:start w:val="1"/>
      <w:numFmt w:val="bullet"/>
      <w:lvlText w:val="o"/>
      <w:lvlJc w:val="left"/>
      <w:pPr>
        <w:ind w:left="5760" w:hanging="360"/>
      </w:pPr>
      <w:rPr>
        <w:rFonts w:ascii="Courier New" w:hAnsi="Courier New" w:hint="default"/>
      </w:rPr>
    </w:lvl>
    <w:lvl w:ilvl="8" w:tplc="9B86E85C">
      <w:start w:val="1"/>
      <w:numFmt w:val="bullet"/>
      <w:lvlText w:val=""/>
      <w:lvlJc w:val="left"/>
      <w:pPr>
        <w:ind w:left="6480" w:hanging="360"/>
      </w:pPr>
      <w:rPr>
        <w:rFonts w:ascii="Wingdings" w:hAnsi="Wingdings" w:hint="default"/>
      </w:rPr>
    </w:lvl>
  </w:abstractNum>
  <w:abstractNum w:abstractNumId="75" w15:restartNumberingAfterBreak="0">
    <w:nsid w:val="293C24AF"/>
    <w:multiLevelType w:val="multilevel"/>
    <w:tmpl w:val="7EA26A48"/>
    <w:lvl w:ilvl="0">
      <w:start w:val="10"/>
      <w:numFmt w:val="decimal"/>
      <w:lvlText w:val="%1."/>
      <w:lvlJc w:val="left"/>
      <w:pPr>
        <w:ind w:left="1290" w:hanging="360"/>
      </w:pPr>
      <w:rPr>
        <w:rFonts w:hint="default"/>
      </w:rPr>
    </w:lvl>
    <w:lvl w:ilvl="1">
      <w:start w:val="1"/>
      <w:numFmt w:val="decimal"/>
      <w:isLgl/>
      <w:lvlText w:val="%1.%2."/>
      <w:lvlJc w:val="left"/>
      <w:pPr>
        <w:ind w:left="1410" w:hanging="480"/>
      </w:pPr>
      <w:rPr>
        <w:rFonts w:hint="default"/>
      </w:rPr>
    </w:lvl>
    <w:lvl w:ilvl="2">
      <w:start w:val="1"/>
      <w:numFmt w:val="lowerLetter"/>
      <w:isLgl/>
      <w:lvlText w:val="%1.%2.%3."/>
      <w:lvlJc w:val="left"/>
      <w:pPr>
        <w:ind w:left="1650" w:hanging="720"/>
      </w:pPr>
      <w:rPr>
        <w:rFonts w:hint="default"/>
      </w:rPr>
    </w:lvl>
    <w:lvl w:ilvl="3">
      <w:start w:val="1"/>
      <w:numFmt w:val="lowerLetter"/>
      <w:isLgl/>
      <w:lvlText w:val="%1.%2.%3.%4."/>
      <w:lvlJc w:val="left"/>
      <w:pPr>
        <w:ind w:left="1650" w:hanging="720"/>
      </w:pPr>
      <w:rPr>
        <w:rFonts w:hint="default"/>
      </w:rPr>
    </w:lvl>
    <w:lvl w:ilvl="4">
      <w:start w:val="1"/>
      <w:numFmt w:val="lowerLetter"/>
      <w:isLgl/>
      <w:lvlText w:val="%1.%2.%3.%4.%5."/>
      <w:lvlJc w:val="left"/>
      <w:pPr>
        <w:ind w:left="2010" w:hanging="1080"/>
      </w:pPr>
      <w:rPr>
        <w:rFonts w:hint="default"/>
      </w:rPr>
    </w:lvl>
    <w:lvl w:ilvl="5">
      <w:start w:val="1"/>
      <w:numFmt w:val="decimal"/>
      <w:isLgl/>
      <w:lvlText w:val="%1.%2.%3.%4.%5.%6."/>
      <w:lvlJc w:val="left"/>
      <w:pPr>
        <w:ind w:left="2010" w:hanging="1080"/>
      </w:pPr>
      <w:rPr>
        <w:rFonts w:hint="default"/>
      </w:rPr>
    </w:lvl>
    <w:lvl w:ilvl="6">
      <w:start w:val="1"/>
      <w:numFmt w:val="decimal"/>
      <w:isLgl/>
      <w:lvlText w:val="%1.%2.%3.%4.%5.%6.%7."/>
      <w:lvlJc w:val="left"/>
      <w:pPr>
        <w:ind w:left="2370" w:hanging="1440"/>
      </w:pPr>
      <w:rPr>
        <w:rFonts w:hint="default"/>
      </w:rPr>
    </w:lvl>
    <w:lvl w:ilvl="7">
      <w:start w:val="1"/>
      <w:numFmt w:val="decimal"/>
      <w:isLgl/>
      <w:lvlText w:val="%1.%2.%3.%4.%5.%6.%7.%8."/>
      <w:lvlJc w:val="left"/>
      <w:pPr>
        <w:ind w:left="2370" w:hanging="1440"/>
      </w:pPr>
      <w:rPr>
        <w:rFonts w:hint="default"/>
      </w:rPr>
    </w:lvl>
    <w:lvl w:ilvl="8">
      <w:start w:val="1"/>
      <w:numFmt w:val="decimal"/>
      <w:isLgl/>
      <w:lvlText w:val="%1.%2.%3.%4.%5.%6.%7.%8.%9."/>
      <w:lvlJc w:val="left"/>
      <w:pPr>
        <w:ind w:left="2730" w:hanging="1800"/>
      </w:pPr>
      <w:rPr>
        <w:rFonts w:hint="default"/>
      </w:rPr>
    </w:lvl>
  </w:abstractNum>
  <w:abstractNum w:abstractNumId="76" w15:restartNumberingAfterBreak="0">
    <w:nsid w:val="295C75B2"/>
    <w:multiLevelType w:val="hybridMultilevel"/>
    <w:tmpl w:val="16F61A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2AF2486E"/>
    <w:multiLevelType w:val="multilevel"/>
    <w:tmpl w:val="EAEE538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2D137FBE"/>
    <w:multiLevelType w:val="hybridMultilevel"/>
    <w:tmpl w:val="FFFFFFFF"/>
    <w:lvl w:ilvl="0" w:tplc="FFD6633C">
      <w:start w:val="1"/>
      <w:numFmt w:val="decimal"/>
      <w:lvlText w:val="%1."/>
      <w:lvlJc w:val="left"/>
      <w:pPr>
        <w:ind w:left="720" w:hanging="360"/>
      </w:pPr>
    </w:lvl>
    <w:lvl w:ilvl="1" w:tplc="8E2E00BE">
      <w:start w:val="1"/>
      <w:numFmt w:val="decimal"/>
      <w:lvlText w:val="%2."/>
      <w:lvlJc w:val="left"/>
      <w:pPr>
        <w:ind w:left="1440" w:hanging="360"/>
      </w:pPr>
    </w:lvl>
    <w:lvl w:ilvl="2" w:tplc="DE66864C">
      <w:start w:val="1"/>
      <w:numFmt w:val="lowerRoman"/>
      <w:lvlText w:val="%3."/>
      <w:lvlJc w:val="right"/>
      <w:pPr>
        <w:ind w:left="2160" w:hanging="180"/>
      </w:pPr>
    </w:lvl>
    <w:lvl w:ilvl="3" w:tplc="8F0C4EB8">
      <w:start w:val="1"/>
      <w:numFmt w:val="decimal"/>
      <w:lvlText w:val="%4."/>
      <w:lvlJc w:val="left"/>
      <w:pPr>
        <w:ind w:left="2880" w:hanging="360"/>
      </w:pPr>
    </w:lvl>
    <w:lvl w:ilvl="4" w:tplc="5BAE8844">
      <w:start w:val="1"/>
      <w:numFmt w:val="lowerLetter"/>
      <w:lvlText w:val="%5."/>
      <w:lvlJc w:val="left"/>
      <w:pPr>
        <w:ind w:left="3600" w:hanging="360"/>
      </w:pPr>
    </w:lvl>
    <w:lvl w:ilvl="5" w:tplc="0066C906">
      <w:start w:val="1"/>
      <w:numFmt w:val="lowerRoman"/>
      <w:lvlText w:val="%6."/>
      <w:lvlJc w:val="right"/>
      <w:pPr>
        <w:ind w:left="4320" w:hanging="180"/>
      </w:pPr>
    </w:lvl>
    <w:lvl w:ilvl="6" w:tplc="745A16BC">
      <w:start w:val="1"/>
      <w:numFmt w:val="decimal"/>
      <w:lvlText w:val="%7."/>
      <w:lvlJc w:val="left"/>
      <w:pPr>
        <w:ind w:left="5040" w:hanging="360"/>
      </w:pPr>
    </w:lvl>
    <w:lvl w:ilvl="7" w:tplc="71787CB0">
      <w:start w:val="1"/>
      <w:numFmt w:val="lowerLetter"/>
      <w:lvlText w:val="%8."/>
      <w:lvlJc w:val="left"/>
      <w:pPr>
        <w:ind w:left="5760" w:hanging="360"/>
      </w:pPr>
    </w:lvl>
    <w:lvl w:ilvl="8" w:tplc="FBACADE4">
      <w:start w:val="1"/>
      <w:numFmt w:val="lowerRoman"/>
      <w:lvlText w:val="%9."/>
      <w:lvlJc w:val="right"/>
      <w:pPr>
        <w:ind w:left="6480" w:hanging="180"/>
      </w:pPr>
    </w:lvl>
  </w:abstractNum>
  <w:abstractNum w:abstractNumId="79" w15:restartNumberingAfterBreak="0">
    <w:nsid w:val="2D363EBA"/>
    <w:multiLevelType w:val="hybridMultilevel"/>
    <w:tmpl w:val="72909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E18052D"/>
    <w:multiLevelType w:val="hybridMultilevel"/>
    <w:tmpl w:val="A100FB3E"/>
    <w:lvl w:ilvl="0" w:tplc="199E3304">
      <w:start w:val="1"/>
      <w:numFmt w:val="bullet"/>
      <w:lvlText w:val=""/>
      <w:lvlJc w:val="left"/>
      <w:pPr>
        <w:ind w:left="720" w:hanging="360"/>
      </w:pPr>
      <w:rPr>
        <w:rFonts w:ascii="Symbol" w:hAnsi="Symbol" w:hint="default"/>
      </w:rPr>
    </w:lvl>
    <w:lvl w:ilvl="1" w:tplc="674E7A2E">
      <w:start w:val="1"/>
      <w:numFmt w:val="lowerRoman"/>
      <w:lvlText w:val="%2."/>
      <w:lvlJc w:val="right"/>
      <w:pPr>
        <w:ind w:left="1440" w:hanging="360"/>
      </w:pPr>
      <w:rPr>
        <w:rFonts w:hint="default"/>
      </w:rPr>
    </w:lvl>
    <w:lvl w:ilvl="2" w:tplc="A936FAB6">
      <w:start w:val="1"/>
      <w:numFmt w:val="bullet"/>
      <w:lvlText w:val=""/>
      <w:lvlJc w:val="left"/>
      <w:pPr>
        <w:ind w:left="2160" w:hanging="360"/>
      </w:pPr>
      <w:rPr>
        <w:rFonts w:ascii="Wingdings" w:hAnsi="Wingdings" w:hint="default"/>
      </w:rPr>
    </w:lvl>
    <w:lvl w:ilvl="3" w:tplc="D084E51C">
      <w:start w:val="1"/>
      <w:numFmt w:val="bullet"/>
      <w:lvlText w:val=""/>
      <w:lvlJc w:val="left"/>
      <w:pPr>
        <w:ind w:left="2880" w:hanging="360"/>
      </w:pPr>
      <w:rPr>
        <w:rFonts w:ascii="Symbol" w:hAnsi="Symbol" w:hint="default"/>
      </w:rPr>
    </w:lvl>
    <w:lvl w:ilvl="4" w:tplc="165419EE">
      <w:start w:val="1"/>
      <w:numFmt w:val="bullet"/>
      <w:lvlText w:val="o"/>
      <w:lvlJc w:val="left"/>
      <w:pPr>
        <w:ind w:left="3600" w:hanging="360"/>
      </w:pPr>
      <w:rPr>
        <w:rFonts w:ascii="Courier New" w:hAnsi="Courier New" w:hint="default"/>
      </w:rPr>
    </w:lvl>
    <w:lvl w:ilvl="5" w:tplc="17DE2546">
      <w:start w:val="1"/>
      <w:numFmt w:val="bullet"/>
      <w:lvlText w:val=""/>
      <w:lvlJc w:val="left"/>
      <w:pPr>
        <w:ind w:left="4320" w:hanging="360"/>
      </w:pPr>
      <w:rPr>
        <w:rFonts w:ascii="Wingdings" w:hAnsi="Wingdings" w:hint="default"/>
      </w:rPr>
    </w:lvl>
    <w:lvl w:ilvl="6" w:tplc="792E608A">
      <w:start w:val="1"/>
      <w:numFmt w:val="bullet"/>
      <w:lvlText w:val=""/>
      <w:lvlJc w:val="left"/>
      <w:pPr>
        <w:ind w:left="5040" w:hanging="360"/>
      </w:pPr>
      <w:rPr>
        <w:rFonts w:ascii="Symbol" w:hAnsi="Symbol" w:hint="default"/>
      </w:rPr>
    </w:lvl>
    <w:lvl w:ilvl="7" w:tplc="EB8E2AD6">
      <w:start w:val="1"/>
      <w:numFmt w:val="bullet"/>
      <w:lvlText w:val="o"/>
      <w:lvlJc w:val="left"/>
      <w:pPr>
        <w:ind w:left="5760" w:hanging="360"/>
      </w:pPr>
      <w:rPr>
        <w:rFonts w:ascii="Courier New" w:hAnsi="Courier New" w:hint="default"/>
      </w:rPr>
    </w:lvl>
    <w:lvl w:ilvl="8" w:tplc="B3AEB356">
      <w:start w:val="1"/>
      <w:numFmt w:val="bullet"/>
      <w:lvlText w:val=""/>
      <w:lvlJc w:val="left"/>
      <w:pPr>
        <w:ind w:left="6480" w:hanging="360"/>
      </w:pPr>
      <w:rPr>
        <w:rFonts w:ascii="Wingdings" w:hAnsi="Wingdings" w:hint="default"/>
      </w:rPr>
    </w:lvl>
  </w:abstractNum>
  <w:abstractNum w:abstractNumId="81" w15:restartNumberingAfterBreak="0">
    <w:nsid w:val="2EB91DF0"/>
    <w:multiLevelType w:val="hybridMultilevel"/>
    <w:tmpl w:val="FFFFFFFF"/>
    <w:lvl w:ilvl="0" w:tplc="902443E4">
      <w:start w:val="1"/>
      <w:numFmt w:val="upperRoman"/>
      <w:lvlText w:val="%1."/>
      <w:lvlJc w:val="right"/>
      <w:pPr>
        <w:ind w:left="720" w:hanging="360"/>
      </w:pPr>
    </w:lvl>
    <w:lvl w:ilvl="1" w:tplc="E7683C98">
      <w:start w:val="1"/>
      <w:numFmt w:val="lowerLetter"/>
      <w:lvlText w:val="%2."/>
      <w:lvlJc w:val="left"/>
      <w:pPr>
        <w:ind w:left="1440" w:hanging="360"/>
      </w:pPr>
    </w:lvl>
    <w:lvl w:ilvl="2" w:tplc="016E3A82">
      <w:start w:val="1"/>
      <w:numFmt w:val="lowerRoman"/>
      <w:lvlText w:val="%3."/>
      <w:lvlJc w:val="right"/>
      <w:pPr>
        <w:ind w:left="2160" w:hanging="180"/>
      </w:pPr>
    </w:lvl>
    <w:lvl w:ilvl="3" w:tplc="12E41FB8">
      <w:start w:val="1"/>
      <w:numFmt w:val="decimal"/>
      <w:lvlText w:val="%4."/>
      <w:lvlJc w:val="left"/>
      <w:pPr>
        <w:ind w:left="2880" w:hanging="360"/>
      </w:pPr>
    </w:lvl>
    <w:lvl w:ilvl="4" w:tplc="1A0E08BA">
      <w:start w:val="1"/>
      <w:numFmt w:val="lowerLetter"/>
      <w:lvlText w:val="%5."/>
      <w:lvlJc w:val="left"/>
      <w:pPr>
        <w:ind w:left="3600" w:hanging="360"/>
      </w:pPr>
    </w:lvl>
    <w:lvl w:ilvl="5" w:tplc="44222AD2">
      <w:start w:val="1"/>
      <w:numFmt w:val="lowerRoman"/>
      <w:lvlText w:val="%6."/>
      <w:lvlJc w:val="right"/>
      <w:pPr>
        <w:ind w:left="4320" w:hanging="180"/>
      </w:pPr>
    </w:lvl>
    <w:lvl w:ilvl="6" w:tplc="04C2EC78">
      <w:start w:val="1"/>
      <w:numFmt w:val="decimal"/>
      <w:lvlText w:val="%7."/>
      <w:lvlJc w:val="left"/>
      <w:pPr>
        <w:ind w:left="5040" w:hanging="360"/>
      </w:pPr>
    </w:lvl>
    <w:lvl w:ilvl="7" w:tplc="5B42616A">
      <w:start w:val="1"/>
      <w:numFmt w:val="lowerLetter"/>
      <w:lvlText w:val="%8."/>
      <w:lvlJc w:val="left"/>
      <w:pPr>
        <w:ind w:left="5760" w:hanging="360"/>
      </w:pPr>
    </w:lvl>
    <w:lvl w:ilvl="8" w:tplc="99DC1D30">
      <w:start w:val="1"/>
      <w:numFmt w:val="lowerRoman"/>
      <w:lvlText w:val="%9."/>
      <w:lvlJc w:val="right"/>
      <w:pPr>
        <w:ind w:left="6480" w:hanging="180"/>
      </w:pPr>
    </w:lvl>
  </w:abstractNum>
  <w:abstractNum w:abstractNumId="82" w15:restartNumberingAfterBreak="0">
    <w:nsid w:val="2EC90F7D"/>
    <w:multiLevelType w:val="hybridMultilevel"/>
    <w:tmpl w:val="A6743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ECB5F7C"/>
    <w:multiLevelType w:val="hybridMultilevel"/>
    <w:tmpl w:val="AFB40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30810539"/>
    <w:multiLevelType w:val="hybridMultilevel"/>
    <w:tmpl w:val="FFFFFFFF"/>
    <w:lvl w:ilvl="0" w:tplc="16E4A7DE">
      <w:start w:val="1"/>
      <w:numFmt w:val="bullet"/>
      <w:lvlText w:val=""/>
      <w:lvlJc w:val="left"/>
      <w:pPr>
        <w:ind w:left="720" w:hanging="360"/>
      </w:pPr>
      <w:rPr>
        <w:rFonts w:ascii="Symbol" w:hAnsi="Symbol" w:hint="default"/>
      </w:rPr>
    </w:lvl>
    <w:lvl w:ilvl="1" w:tplc="709C964A">
      <w:start w:val="1"/>
      <w:numFmt w:val="bullet"/>
      <w:lvlText w:val="o"/>
      <w:lvlJc w:val="left"/>
      <w:pPr>
        <w:ind w:left="1440" w:hanging="360"/>
      </w:pPr>
      <w:rPr>
        <w:rFonts w:ascii="Courier New" w:hAnsi="Courier New" w:hint="default"/>
      </w:rPr>
    </w:lvl>
    <w:lvl w:ilvl="2" w:tplc="14C89AD4">
      <w:start w:val="1"/>
      <w:numFmt w:val="bullet"/>
      <w:lvlText w:val=""/>
      <w:lvlJc w:val="left"/>
      <w:pPr>
        <w:ind w:left="2160" w:hanging="360"/>
      </w:pPr>
      <w:rPr>
        <w:rFonts w:ascii="Wingdings" w:hAnsi="Wingdings" w:hint="default"/>
      </w:rPr>
    </w:lvl>
    <w:lvl w:ilvl="3" w:tplc="5380E618">
      <w:start w:val="1"/>
      <w:numFmt w:val="bullet"/>
      <w:lvlText w:val=""/>
      <w:lvlJc w:val="left"/>
      <w:pPr>
        <w:ind w:left="2880" w:hanging="360"/>
      </w:pPr>
      <w:rPr>
        <w:rFonts w:ascii="Symbol" w:hAnsi="Symbol" w:hint="default"/>
      </w:rPr>
    </w:lvl>
    <w:lvl w:ilvl="4" w:tplc="D2767CA8">
      <w:start w:val="1"/>
      <w:numFmt w:val="bullet"/>
      <w:lvlText w:val="o"/>
      <w:lvlJc w:val="left"/>
      <w:pPr>
        <w:ind w:left="3600" w:hanging="360"/>
      </w:pPr>
      <w:rPr>
        <w:rFonts w:ascii="Courier New" w:hAnsi="Courier New" w:hint="default"/>
      </w:rPr>
    </w:lvl>
    <w:lvl w:ilvl="5" w:tplc="A50AFB52">
      <w:start w:val="1"/>
      <w:numFmt w:val="bullet"/>
      <w:lvlText w:val=""/>
      <w:lvlJc w:val="left"/>
      <w:pPr>
        <w:ind w:left="4320" w:hanging="360"/>
      </w:pPr>
      <w:rPr>
        <w:rFonts w:ascii="Wingdings" w:hAnsi="Wingdings" w:hint="default"/>
      </w:rPr>
    </w:lvl>
    <w:lvl w:ilvl="6" w:tplc="45D0A1F4">
      <w:start w:val="1"/>
      <w:numFmt w:val="bullet"/>
      <w:lvlText w:val=""/>
      <w:lvlJc w:val="left"/>
      <w:pPr>
        <w:ind w:left="5040" w:hanging="360"/>
      </w:pPr>
      <w:rPr>
        <w:rFonts w:ascii="Symbol" w:hAnsi="Symbol" w:hint="default"/>
      </w:rPr>
    </w:lvl>
    <w:lvl w:ilvl="7" w:tplc="9BB26648">
      <w:start w:val="1"/>
      <w:numFmt w:val="bullet"/>
      <w:lvlText w:val="o"/>
      <w:lvlJc w:val="left"/>
      <w:pPr>
        <w:ind w:left="5760" w:hanging="360"/>
      </w:pPr>
      <w:rPr>
        <w:rFonts w:ascii="Courier New" w:hAnsi="Courier New" w:hint="default"/>
      </w:rPr>
    </w:lvl>
    <w:lvl w:ilvl="8" w:tplc="7214C3F0">
      <w:start w:val="1"/>
      <w:numFmt w:val="bullet"/>
      <w:lvlText w:val=""/>
      <w:lvlJc w:val="left"/>
      <w:pPr>
        <w:ind w:left="6480" w:hanging="360"/>
      </w:pPr>
      <w:rPr>
        <w:rFonts w:ascii="Wingdings" w:hAnsi="Wingdings" w:hint="default"/>
      </w:rPr>
    </w:lvl>
  </w:abstractNum>
  <w:abstractNum w:abstractNumId="85" w15:restartNumberingAfterBreak="0">
    <w:nsid w:val="32442572"/>
    <w:multiLevelType w:val="hybridMultilevel"/>
    <w:tmpl w:val="75B2C708"/>
    <w:lvl w:ilvl="0" w:tplc="04090001">
      <w:start w:val="1"/>
      <w:numFmt w:val="bullet"/>
      <w:lvlText w:val=""/>
      <w:lvlJc w:val="left"/>
      <w:pPr>
        <w:ind w:left="720" w:hanging="360"/>
      </w:pPr>
      <w:rPr>
        <w:rFonts w:ascii="Symbol" w:hAnsi="Symbol" w:hint="default"/>
      </w:rPr>
    </w:lvl>
    <w:lvl w:ilvl="1" w:tplc="B3C05CC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26044E7"/>
    <w:multiLevelType w:val="hybridMultilevel"/>
    <w:tmpl w:val="42E226A8"/>
    <w:lvl w:ilvl="0" w:tplc="C1800190">
      <w:start w:val="1"/>
      <w:numFmt w:val="lowerLetter"/>
      <w:lvlText w:val="(%1)"/>
      <w:lvlJc w:val="left"/>
      <w:pPr>
        <w:ind w:left="1080" w:hanging="360"/>
      </w:pPr>
      <w:rPr>
        <w:rFonts w:ascii="Times New Roman" w:hAnsi="Times New Roman" w:cs="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3295494B"/>
    <w:multiLevelType w:val="hybridMultilevel"/>
    <w:tmpl w:val="FFFFFFFF"/>
    <w:lvl w:ilvl="0" w:tplc="F8A21BD0">
      <w:start w:val="1"/>
      <w:numFmt w:val="bullet"/>
      <w:lvlText w:val=""/>
      <w:lvlJc w:val="left"/>
      <w:pPr>
        <w:ind w:left="720" w:hanging="360"/>
      </w:pPr>
      <w:rPr>
        <w:rFonts w:ascii="Symbol" w:hAnsi="Symbol" w:hint="default"/>
      </w:rPr>
    </w:lvl>
    <w:lvl w:ilvl="1" w:tplc="4008D034">
      <w:start w:val="1"/>
      <w:numFmt w:val="bullet"/>
      <w:lvlText w:val="o"/>
      <w:lvlJc w:val="left"/>
      <w:pPr>
        <w:ind w:left="1440" w:hanging="360"/>
      </w:pPr>
      <w:rPr>
        <w:rFonts w:ascii="Courier New" w:hAnsi="Courier New" w:hint="default"/>
      </w:rPr>
    </w:lvl>
    <w:lvl w:ilvl="2" w:tplc="ECEA6ACA">
      <w:start w:val="1"/>
      <w:numFmt w:val="bullet"/>
      <w:lvlText w:val=""/>
      <w:lvlJc w:val="left"/>
      <w:pPr>
        <w:ind w:left="2160" w:hanging="360"/>
      </w:pPr>
      <w:rPr>
        <w:rFonts w:ascii="Wingdings" w:hAnsi="Wingdings" w:hint="default"/>
      </w:rPr>
    </w:lvl>
    <w:lvl w:ilvl="3" w:tplc="2182FA8C">
      <w:start w:val="1"/>
      <w:numFmt w:val="bullet"/>
      <w:lvlText w:val=""/>
      <w:lvlJc w:val="left"/>
      <w:pPr>
        <w:ind w:left="2880" w:hanging="360"/>
      </w:pPr>
      <w:rPr>
        <w:rFonts w:ascii="Symbol" w:hAnsi="Symbol" w:hint="default"/>
      </w:rPr>
    </w:lvl>
    <w:lvl w:ilvl="4" w:tplc="69487B9E">
      <w:start w:val="1"/>
      <w:numFmt w:val="bullet"/>
      <w:lvlText w:val="o"/>
      <w:lvlJc w:val="left"/>
      <w:pPr>
        <w:ind w:left="3600" w:hanging="360"/>
      </w:pPr>
      <w:rPr>
        <w:rFonts w:ascii="Courier New" w:hAnsi="Courier New" w:hint="default"/>
      </w:rPr>
    </w:lvl>
    <w:lvl w:ilvl="5" w:tplc="E3CA82DA">
      <w:start w:val="1"/>
      <w:numFmt w:val="bullet"/>
      <w:lvlText w:val=""/>
      <w:lvlJc w:val="left"/>
      <w:pPr>
        <w:ind w:left="4320" w:hanging="360"/>
      </w:pPr>
      <w:rPr>
        <w:rFonts w:ascii="Wingdings" w:hAnsi="Wingdings" w:hint="default"/>
      </w:rPr>
    </w:lvl>
    <w:lvl w:ilvl="6" w:tplc="7BE0B1C8">
      <w:start w:val="1"/>
      <w:numFmt w:val="bullet"/>
      <w:lvlText w:val=""/>
      <w:lvlJc w:val="left"/>
      <w:pPr>
        <w:ind w:left="5040" w:hanging="360"/>
      </w:pPr>
      <w:rPr>
        <w:rFonts w:ascii="Symbol" w:hAnsi="Symbol" w:hint="default"/>
      </w:rPr>
    </w:lvl>
    <w:lvl w:ilvl="7" w:tplc="CA5CA992">
      <w:start w:val="1"/>
      <w:numFmt w:val="bullet"/>
      <w:lvlText w:val="o"/>
      <w:lvlJc w:val="left"/>
      <w:pPr>
        <w:ind w:left="5760" w:hanging="360"/>
      </w:pPr>
      <w:rPr>
        <w:rFonts w:ascii="Courier New" w:hAnsi="Courier New" w:hint="default"/>
      </w:rPr>
    </w:lvl>
    <w:lvl w:ilvl="8" w:tplc="C91850B4">
      <w:start w:val="1"/>
      <w:numFmt w:val="bullet"/>
      <w:lvlText w:val=""/>
      <w:lvlJc w:val="left"/>
      <w:pPr>
        <w:ind w:left="6480" w:hanging="360"/>
      </w:pPr>
      <w:rPr>
        <w:rFonts w:ascii="Wingdings" w:hAnsi="Wingdings" w:hint="default"/>
      </w:rPr>
    </w:lvl>
  </w:abstractNum>
  <w:abstractNum w:abstractNumId="88" w15:restartNumberingAfterBreak="0">
    <w:nsid w:val="32B17A5B"/>
    <w:multiLevelType w:val="hybridMultilevel"/>
    <w:tmpl w:val="2BD03B50"/>
    <w:lvl w:ilvl="0" w:tplc="930CC7DE">
      <w:start w:val="2"/>
      <w:numFmt w:val="lowerLetter"/>
      <w:lvlText w:val="(%1)"/>
      <w:lvlJc w:val="left"/>
      <w:pPr>
        <w:tabs>
          <w:tab w:val="num" w:pos="1800"/>
        </w:tabs>
        <w:ind w:left="1800" w:hanging="360"/>
      </w:pPr>
      <w:rPr>
        <w:rFonts w:ascii="Times New Roman" w:hAnsi="Times New Roman" w:cs="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335616DF"/>
    <w:multiLevelType w:val="hybridMultilevel"/>
    <w:tmpl w:val="FFFFFFFF"/>
    <w:lvl w:ilvl="0" w:tplc="55D2DCF4">
      <w:start w:val="1"/>
      <w:numFmt w:val="bullet"/>
      <w:lvlText w:val=""/>
      <w:lvlJc w:val="left"/>
      <w:pPr>
        <w:ind w:left="720" w:hanging="360"/>
      </w:pPr>
      <w:rPr>
        <w:rFonts w:ascii="Symbol" w:hAnsi="Symbol" w:hint="default"/>
      </w:rPr>
    </w:lvl>
    <w:lvl w:ilvl="1" w:tplc="06B6F098">
      <w:start w:val="1"/>
      <w:numFmt w:val="bullet"/>
      <w:lvlText w:val="o"/>
      <w:lvlJc w:val="left"/>
      <w:pPr>
        <w:ind w:left="1440" w:hanging="360"/>
      </w:pPr>
      <w:rPr>
        <w:rFonts w:ascii="Courier New" w:hAnsi="Courier New" w:hint="default"/>
      </w:rPr>
    </w:lvl>
    <w:lvl w:ilvl="2" w:tplc="7C843570">
      <w:start w:val="1"/>
      <w:numFmt w:val="bullet"/>
      <w:lvlText w:val=""/>
      <w:lvlJc w:val="left"/>
      <w:pPr>
        <w:ind w:left="2160" w:hanging="360"/>
      </w:pPr>
      <w:rPr>
        <w:rFonts w:ascii="Wingdings" w:hAnsi="Wingdings" w:hint="default"/>
      </w:rPr>
    </w:lvl>
    <w:lvl w:ilvl="3" w:tplc="5A7CA820">
      <w:start w:val="1"/>
      <w:numFmt w:val="bullet"/>
      <w:lvlText w:val=""/>
      <w:lvlJc w:val="left"/>
      <w:pPr>
        <w:ind w:left="2880" w:hanging="360"/>
      </w:pPr>
      <w:rPr>
        <w:rFonts w:ascii="Symbol" w:hAnsi="Symbol" w:hint="default"/>
      </w:rPr>
    </w:lvl>
    <w:lvl w:ilvl="4" w:tplc="804099C8">
      <w:start w:val="1"/>
      <w:numFmt w:val="bullet"/>
      <w:lvlText w:val="o"/>
      <w:lvlJc w:val="left"/>
      <w:pPr>
        <w:ind w:left="3600" w:hanging="360"/>
      </w:pPr>
      <w:rPr>
        <w:rFonts w:ascii="Courier New" w:hAnsi="Courier New" w:hint="default"/>
      </w:rPr>
    </w:lvl>
    <w:lvl w:ilvl="5" w:tplc="1F52F40E">
      <w:start w:val="1"/>
      <w:numFmt w:val="bullet"/>
      <w:lvlText w:val=""/>
      <w:lvlJc w:val="left"/>
      <w:pPr>
        <w:ind w:left="4320" w:hanging="360"/>
      </w:pPr>
      <w:rPr>
        <w:rFonts w:ascii="Wingdings" w:hAnsi="Wingdings" w:hint="default"/>
      </w:rPr>
    </w:lvl>
    <w:lvl w:ilvl="6" w:tplc="3D5A029C">
      <w:start w:val="1"/>
      <w:numFmt w:val="bullet"/>
      <w:lvlText w:val=""/>
      <w:lvlJc w:val="left"/>
      <w:pPr>
        <w:ind w:left="5040" w:hanging="360"/>
      </w:pPr>
      <w:rPr>
        <w:rFonts w:ascii="Symbol" w:hAnsi="Symbol" w:hint="default"/>
      </w:rPr>
    </w:lvl>
    <w:lvl w:ilvl="7" w:tplc="89A26F22">
      <w:start w:val="1"/>
      <w:numFmt w:val="bullet"/>
      <w:lvlText w:val="o"/>
      <w:lvlJc w:val="left"/>
      <w:pPr>
        <w:ind w:left="5760" w:hanging="360"/>
      </w:pPr>
      <w:rPr>
        <w:rFonts w:ascii="Courier New" w:hAnsi="Courier New" w:hint="default"/>
      </w:rPr>
    </w:lvl>
    <w:lvl w:ilvl="8" w:tplc="0EF89D8E">
      <w:start w:val="1"/>
      <w:numFmt w:val="bullet"/>
      <w:lvlText w:val=""/>
      <w:lvlJc w:val="left"/>
      <w:pPr>
        <w:ind w:left="6480" w:hanging="360"/>
      </w:pPr>
      <w:rPr>
        <w:rFonts w:ascii="Wingdings" w:hAnsi="Wingdings" w:hint="default"/>
      </w:rPr>
    </w:lvl>
  </w:abstractNum>
  <w:abstractNum w:abstractNumId="90" w15:restartNumberingAfterBreak="0">
    <w:nsid w:val="33DB15D0"/>
    <w:multiLevelType w:val="hybridMultilevel"/>
    <w:tmpl w:val="242289CA"/>
    <w:lvl w:ilvl="0" w:tplc="A8E02F9C">
      <w:start w:val="1"/>
      <w:numFmt w:val="bullet"/>
      <w:lvlText w:val=""/>
      <w:lvlJc w:val="left"/>
      <w:pPr>
        <w:ind w:left="720" w:hanging="360"/>
      </w:pPr>
      <w:rPr>
        <w:rFonts w:ascii="Symbol" w:hAnsi="Symbol" w:hint="default"/>
      </w:rPr>
    </w:lvl>
    <w:lvl w:ilvl="1" w:tplc="B92E9DF8">
      <w:start w:val="1"/>
      <w:numFmt w:val="bullet"/>
      <w:lvlText w:val="o"/>
      <w:lvlJc w:val="left"/>
      <w:pPr>
        <w:ind w:left="1440" w:hanging="360"/>
      </w:pPr>
      <w:rPr>
        <w:rFonts w:ascii="Courier New" w:hAnsi="Courier New" w:hint="default"/>
      </w:rPr>
    </w:lvl>
    <w:lvl w:ilvl="2" w:tplc="D7CE8794">
      <w:start w:val="1"/>
      <w:numFmt w:val="bullet"/>
      <w:lvlText w:val=""/>
      <w:lvlJc w:val="left"/>
      <w:pPr>
        <w:ind w:left="2160" w:hanging="360"/>
      </w:pPr>
      <w:rPr>
        <w:rFonts w:ascii="Wingdings" w:hAnsi="Wingdings" w:hint="default"/>
      </w:rPr>
    </w:lvl>
    <w:lvl w:ilvl="3" w:tplc="BB8C8388">
      <w:start w:val="1"/>
      <w:numFmt w:val="bullet"/>
      <w:lvlText w:val=""/>
      <w:lvlJc w:val="left"/>
      <w:pPr>
        <w:ind w:left="2880" w:hanging="360"/>
      </w:pPr>
      <w:rPr>
        <w:rFonts w:ascii="Symbol" w:hAnsi="Symbol" w:hint="default"/>
      </w:rPr>
    </w:lvl>
    <w:lvl w:ilvl="4" w:tplc="8CC848A6">
      <w:start w:val="1"/>
      <w:numFmt w:val="bullet"/>
      <w:lvlText w:val="o"/>
      <w:lvlJc w:val="left"/>
      <w:pPr>
        <w:ind w:left="3600" w:hanging="360"/>
      </w:pPr>
      <w:rPr>
        <w:rFonts w:ascii="Courier New" w:hAnsi="Courier New" w:hint="default"/>
      </w:rPr>
    </w:lvl>
    <w:lvl w:ilvl="5" w:tplc="824E506C">
      <w:start w:val="1"/>
      <w:numFmt w:val="bullet"/>
      <w:lvlText w:val=""/>
      <w:lvlJc w:val="left"/>
      <w:pPr>
        <w:ind w:left="4320" w:hanging="360"/>
      </w:pPr>
      <w:rPr>
        <w:rFonts w:ascii="Wingdings" w:hAnsi="Wingdings" w:hint="default"/>
      </w:rPr>
    </w:lvl>
    <w:lvl w:ilvl="6" w:tplc="BAFE53B4">
      <w:start w:val="1"/>
      <w:numFmt w:val="bullet"/>
      <w:lvlText w:val=""/>
      <w:lvlJc w:val="left"/>
      <w:pPr>
        <w:ind w:left="5040" w:hanging="360"/>
      </w:pPr>
      <w:rPr>
        <w:rFonts w:ascii="Symbol" w:hAnsi="Symbol" w:hint="default"/>
      </w:rPr>
    </w:lvl>
    <w:lvl w:ilvl="7" w:tplc="859C508C">
      <w:start w:val="1"/>
      <w:numFmt w:val="bullet"/>
      <w:lvlText w:val="o"/>
      <w:lvlJc w:val="left"/>
      <w:pPr>
        <w:ind w:left="5760" w:hanging="360"/>
      </w:pPr>
      <w:rPr>
        <w:rFonts w:ascii="Courier New" w:hAnsi="Courier New" w:hint="default"/>
      </w:rPr>
    </w:lvl>
    <w:lvl w:ilvl="8" w:tplc="A3021694">
      <w:start w:val="1"/>
      <w:numFmt w:val="bullet"/>
      <w:lvlText w:val=""/>
      <w:lvlJc w:val="left"/>
      <w:pPr>
        <w:ind w:left="6480" w:hanging="360"/>
      </w:pPr>
      <w:rPr>
        <w:rFonts w:ascii="Wingdings" w:hAnsi="Wingdings" w:hint="default"/>
      </w:rPr>
    </w:lvl>
  </w:abstractNum>
  <w:abstractNum w:abstractNumId="91" w15:restartNumberingAfterBreak="0">
    <w:nsid w:val="344F69D4"/>
    <w:multiLevelType w:val="hybridMultilevel"/>
    <w:tmpl w:val="10143F74"/>
    <w:lvl w:ilvl="0" w:tplc="FFFFFFFF">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5105DCA"/>
    <w:multiLevelType w:val="hybridMultilevel"/>
    <w:tmpl w:val="31C48174"/>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3" w15:restartNumberingAfterBreak="0">
    <w:nsid w:val="35761B42"/>
    <w:multiLevelType w:val="hybridMultilevel"/>
    <w:tmpl w:val="FFFFFFFF"/>
    <w:lvl w:ilvl="0" w:tplc="BEA41288">
      <w:start w:val="1"/>
      <w:numFmt w:val="bullet"/>
      <w:lvlText w:val="·"/>
      <w:lvlJc w:val="left"/>
      <w:pPr>
        <w:ind w:left="720" w:hanging="360"/>
      </w:pPr>
      <w:rPr>
        <w:rFonts w:ascii="Symbol" w:hAnsi="Symbol" w:hint="default"/>
      </w:rPr>
    </w:lvl>
    <w:lvl w:ilvl="1" w:tplc="2B4EB942">
      <w:start w:val="1"/>
      <w:numFmt w:val="bullet"/>
      <w:lvlText w:val="o"/>
      <w:lvlJc w:val="left"/>
      <w:pPr>
        <w:ind w:left="1440" w:hanging="360"/>
      </w:pPr>
      <w:rPr>
        <w:rFonts w:ascii="Courier New" w:hAnsi="Courier New" w:hint="default"/>
      </w:rPr>
    </w:lvl>
    <w:lvl w:ilvl="2" w:tplc="8C5E7B44">
      <w:start w:val="1"/>
      <w:numFmt w:val="bullet"/>
      <w:lvlText w:val=""/>
      <w:lvlJc w:val="left"/>
      <w:pPr>
        <w:ind w:left="2160" w:hanging="360"/>
      </w:pPr>
      <w:rPr>
        <w:rFonts w:ascii="Wingdings" w:hAnsi="Wingdings" w:hint="default"/>
      </w:rPr>
    </w:lvl>
    <w:lvl w:ilvl="3" w:tplc="541AE55E">
      <w:start w:val="1"/>
      <w:numFmt w:val="bullet"/>
      <w:lvlText w:val=""/>
      <w:lvlJc w:val="left"/>
      <w:pPr>
        <w:ind w:left="2880" w:hanging="360"/>
      </w:pPr>
      <w:rPr>
        <w:rFonts w:ascii="Symbol" w:hAnsi="Symbol" w:hint="default"/>
      </w:rPr>
    </w:lvl>
    <w:lvl w:ilvl="4" w:tplc="D9BA45C2">
      <w:start w:val="1"/>
      <w:numFmt w:val="bullet"/>
      <w:lvlText w:val="o"/>
      <w:lvlJc w:val="left"/>
      <w:pPr>
        <w:ind w:left="3600" w:hanging="360"/>
      </w:pPr>
      <w:rPr>
        <w:rFonts w:ascii="Courier New" w:hAnsi="Courier New" w:hint="default"/>
      </w:rPr>
    </w:lvl>
    <w:lvl w:ilvl="5" w:tplc="A308F2F4">
      <w:start w:val="1"/>
      <w:numFmt w:val="bullet"/>
      <w:lvlText w:val=""/>
      <w:lvlJc w:val="left"/>
      <w:pPr>
        <w:ind w:left="4320" w:hanging="360"/>
      </w:pPr>
      <w:rPr>
        <w:rFonts w:ascii="Wingdings" w:hAnsi="Wingdings" w:hint="default"/>
      </w:rPr>
    </w:lvl>
    <w:lvl w:ilvl="6" w:tplc="457C28D4">
      <w:start w:val="1"/>
      <w:numFmt w:val="bullet"/>
      <w:lvlText w:val=""/>
      <w:lvlJc w:val="left"/>
      <w:pPr>
        <w:ind w:left="5040" w:hanging="360"/>
      </w:pPr>
      <w:rPr>
        <w:rFonts w:ascii="Symbol" w:hAnsi="Symbol" w:hint="default"/>
      </w:rPr>
    </w:lvl>
    <w:lvl w:ilvl="7" w:tplc="A2D2FBE2">
      <w:start w:val="1"/>
      <w:numFmt w:val="bullet"/>
      <w:lvlText w:val="o"/>
      <w:lvlJc w:val="left"/>
      <w:pPr>
        <w:ind w:left="5760" w:hanging="360"/>
      </w:pPr>
      <w:rPr>
        <w:rFonts w:ascii="Courier New" w:hAnsi="Courier New" w:hint="default"/>
      </w:rPr>
    </w:lvl>
    <w:lvl w:ilvl="8" w:tplc="CD5834BA">
      <w:start w:val="1"/>
      <w:numFmt w:val="bullet"/>
      <w:lvlText w:val=""/>
      <w:lvlJc w:val="left"/>
      <w:pPr>
        <w:ind w:left="6480" w:hanging="360"/>
      </w:pPr>
      <w:rPr>
        <w:rFonts w:ascii="Wingdings" w:hAnsi="Wingdings" w:hint="default"/>
      </w:rPr>
    </w:lvl>
  </w:abstractNum>
  <w:abstractNum w:abstractNumId="94" w15:restartNumberingAfterBreak="0">
    <w:nsid w:val="3597332C"/>
    <w:multiLevelType w:val="hybridMultilevel"/>
    <w:tmpl w:val="A798EF6A"/>
    <w:name w:val="WW8Num622222222222222222"/>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35B479FA"/>
    <w:multiLevelType w:val="hybridMultilevel"/>
    <w:tmpl w:val="4C9A0386"/>
    <w:lvl w:ilvl="0" w:tplc="04090001">
      <w:start w:val="1"/>
      <w:numFmt w:val="bullet"/>
      <w:lvlText w:val=""/>
      <w:lvlJc w:val="left"/>
      <w:pPr>
        <w:ind w:left="720" w:hanging="360"/>
      </w:pPr>
      <w:rPr>
        <w:rFonts w:ascii="Symbol" w:hAnsi="Symbol" w:hint="default"/>
      </w:rPr>
    </w:lvl>
    <w:lvl w:ilvl="1" w:tplc="B3C05CC2">
      <w:start w:val="1"/>
      <w:numFmt w:val="bullet"/>
      <w:lvlText w:val=""/>
      <w:lvlJc w:val="left"/>
      <w:pPr>
        <w:ind w:left="1440" w:hanging="360"/>
      </w:pPr>
      <w:rPr>
        <w:rFonts w:ascii="Symbol" w:hAnsi="Symbol" w:hint="default"/>
      </w:rPr>
    </w:lvl>
    <w:lvl w:ilvl="2" w:tplc="75862AC8">
      <w:start w:val="2"/>
      <w:numFmt w:val="bullet"/>
      <w:lvlText w:val="-"/>
      <w:lvlJc w:val="left"/>
      <w:pPr>
        <w:ind w:left="2160" w:hanging="360"/>
      </w:pPr>
      <w:rPr>
        <w:rFonts w:ascii="Times New Roman" w:eastAsia="SimSu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35E53E10"/>
    <w:multiLevelType w:val="hybridMultilevel"/>
    <w:tmpl w:val="332C7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6767E02"/>
    <w:multiLevelType w:val="hybridMultilevel"/>
    <w:tmpl w:val="CB9A496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6E40898"/>
    <w:multiLevelType w:val="hybridMultilevel"/>
    <w:tmpl w:val="FFFFFFFF"/>
    <w:lvl w:ilvl="0" w:tplc="C92633D2">
      <w:start w:val="1"/>
      <w:numFmt w:val="bullet"/>
      <w:lvlText w:val=""/>
      <w:lvlJc w:val="left"/>
      <w:pPr>
        <w:ind w:left="720" w:hanging="360"/>
      </w:pPr>
      <w:rPr>
        <w:rFonts w:ascii="Symbol" w:hAnsi="Symbol" w:hint="default"/>
      </w:rPr>
    </w:lvl>
    <w:lvl w:ilvl="1" w:tplc="553C5ADC">
      <w:start w:val="1"/>
      <w:numFmt w:val="bullet"/>
      <w:lvlText w:val="o"/>
      <w:lvlJc w:val="left"/>
      <w:pPr>
        <w:ind w:left="1440" w:hanging="360"/>
      </w:pPr>
      <w:rPr>
        <w:rFonts w:ascii="Courier New" w:hAnsi="Courier New" w:hint="default"/>
      </w:rPr>
    </w:lvl>
    <w:lvl w:ilvl="2" w:tplc="23B2BA8E">
      <w:start w:val="1"/>
      <w:numFmt w:val="bullet"/>
      <w:lvlText w:val=""/>
      <w:lvlJc w:val="left"/>
      <w:pPr>
        <w:ind w:left="2160" w:hanging="360"/>
      </w:pPr>
      <w:rPr>
        <w:rFonts w:ascii="Wingdings" w:hAnsi="Wingdings" w:hint="default"/>
      </w:rPr>
    </w:lvl>
    <w:lvl w:ilvl="3" w:tplc="6086844E">
      <w:start w:val="1"/>
      <w:numFmt w:val="bullet"/>
      <w:lvlText w:val=""/>
      <w:lvlJc w:val="left"/>
      <w:pPr>
        <w:ind w:left="2880" w:hanging="360"/>
      </w:pPr>
      <w:rPr>
        <w:rFonts w:ascii="Symbol" w:hAnsi="Symbol" w:hint="default"/>
      </w:rPr>
    </w:lvl>
    <w:lvl w:ilvl="4" w:tplc="3872C57A">
      <w:start w:val="1"/>
      <w:numFmt w:val="bullet"/>
      <w:lvlText w:val="o"/>
      <w:lvlJc w:val="left"/>
      <w:pPr>
        <w:ind w:left="3600" w:hanging="360"/>
      </w:pPr>
      <w:rPr>
        <w:rFonts w:ascii="Courier New" w:hAnsi="Courier New" w:hint="default"/>
      </w:rPr>
    </w:lvl>
    <w:lvl w:ilvl="5" w:tplc="6B446DB4">
      <w:start w:val="1"/>
      <w:numFmt w:val="bullet"/>
      <w:lvlText w:val=""/>
      <w:lvlJc w:val="left"/>
      <w:pPr>
        <w:ind w:left="4320" w:hanging="360"/>
      </w:pPr>
      <w:rPr>
        <w:rFonts w:ascii="Wingdings" w:hAnsi="Wingdings" w:hint="default"/>
      </w:rPr>
    </w:lvl>
    <w:lvl w:ilvl="6" w:tplc="0EA2DFCE">
      <w:start w:val="1"/>
      <w:numFmt w:val="bullet"/>
      <w:lvlText w:val=""/>
      <w:lvlJc w:val="left"/>
      <w:pPr>
        <w:ind w:left="5040" w:hanging="360"/>
      </w:pPr>
      <w:rPr>
        <w:rFonts w:ascii="Symbol" w:hAnsi="Symbol" w:hint="default"/>
      </w:rPr>
    </w:lvl>
    <w:lvl w:ilvl="7" w:tplc="965CF2BC">
      <w:start w:val="1"/>
      <w:numFmt w:val="bullet"/>
      <w:lvlText w:val="o"/>
      <w:lvlJc w:val="left"/>
      <w:pPr>
        <w:ind w:left="5760" w:hanging="360"/>
      </w:pPr>
      <w:rPr>
        <w:rFonts w:ascii="Courier New" w:hAnsi="Courier New" w:hint="default"/>
      </w:rPr>
    </w:lvl>
    <w:lvl w:ilvl="8" w:tplc="B958EBF2">
      <w:start w:val="1"/>
      <w:numFmt w:val="bullet"/>
      <w:lvlText w:val=""/>
      <w:lvlJc w:val="left"/>
      <w:pPr>
        <w:ind w:left="6480" w:hanging="360"/>
      </w:pPr>
      <w:rPr>
        <w:rFonts w:ascii="Wingdings" w:hAnsi="Wingdings" w:hint="default"/>
      </w:rPr>
    </w:lvl>
  </w:abstractNum>
  <w:abstractNum w:abstractNumId="99" w15:restartNumberingAfterBreak="0">
    <w:nsid w:val="3748043B"/>
    <w:multiLevelType w:val="hybridMultilevel"/>
    <w:tmpl w:val="DCAAE906"/>
    <w:lvl w:ilvl="0" w:tplc="04090001">
      <w:start w:val="1"/>
      <w:numFmt w:val="bullet"/>
      <w:lvlText w:val=""/>
      <w:lvlJc w:val="left"/>
      <w:pPr>
        <w:ind w:left="720" w:hanging="360"/>
      </w:pPr>
      <w:rPr>
        <w:rFonts w:ascii="Symbol" w:hAnsi="Symbol" w:hint="default"/>
      </w:rPr>
    </w:lvl>
    <w:lvl w:ilvl="1" w:tplc="B3C05CC2">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3B074910"/>
    <w:multiLevelType w:val="hybridMultilevel"/>
    <w:tmpl w:val="836C275A"/>
    <w:lvl w:ilvl="0" w:tplc="92E4E33E">
      <w:start w:val="1"/>
      <w:numFmt w:val="upperRoman"/>
      <w:lvlText w:val="%1."/>
      <w:lvlJc w:val="right"/>
      <w:pPr>
        <w:ind w:left="720" w:hanging="360"/>
      </w:pPr>
      <w:rPr>
        <w:rFonts w:hint="default"/>
      </w:rPr>
    </w:lvl>
    <w:lvl w:ilvl="1" w:tplc="E7683C98">
      <w:start w:val="1"/>
      <w:numFmt w:val="lowerLetter"/>
      <w:lvlText w:val="%2."/>
      <w:lvlJc w:val="left"/>
      <w:pPr>
        <w:ind w:left="1440" w:hanging="360"/>
      </w:pPr>
    </w:lvl>
    <w:lvl w:ilvl="2" w:tplc="016E3A82">
      <w:start w:val="1"/>
      <w:numFmt w:val="lowerRoman"/>
      <w:lvlText w:val="%3."/>
      <w:lvlJc w:val="right"/>
      <w:pPr>
        <w:ind w:left="2160" w:hanging="180"/>
      </w:pPr>
    </w:lvl>
    <w:lvl w:ilvl="3" w:tplc="12E41FB8">
      <w:start w:val="1"/>
      <w:numFmt w:val="decimal"/>
      <w:lvlText w:val="%4."/>
      <w:lvlJc w:val="left"/>
      <w:pPr>
        <w:ind w:left="2880" w:hanging="360"/>
      </w:pPr>
    </w:lvl>
    <w:lvl w:ilvl="4" w:tplc="1A0E08BA">
      <w:start w:val="1"/>
      <w:numFmt w:val="lowerLetter"/>
      <w:lvlText w:val="%5."/>
      <w:lvlJc w:val="left"/>
      <w:pPr>
        <w:ind w:left="3600" w:hanging="360"/>
      </w:pPr>
    </w:lvl>
    <w:lvl w:ilvl="5" w:tplc="44222AD2">
      <w:start w:val="1"/>
      <w:numFmt w:val="lowerRoman"/>
      <w:lvlText w:val="%6."/>
      <w:lvlJc w:val="right"/>
      <w:pPr>
        <w:ind w:left="4320" w:hanging="180"/>
      </w:pPr>
    </w:lvl>
    <w:lvl w:ilvl="6" w:tplc="04C2EC78">
      <w:start w:val="1"/>
      <w:numFmt w:val="decimal"/>
      <w:lvlText w:val="%7."/>
      <w:lvlJc w:val="left"/>
      <w:pPr>
        <w:ind w:left="5040" w:hanging="360"/>
      </w:pPr>
    </w:lvl>
    <w:lvl w:ilvl="7" w:tplc="5B42616A">
      <w:start w:val="1"/>
      <w:numFmt w:val="lowerLetter"/>
      <w:lvlText w:val="%8."/>
      <w:lvlJc w:val="left"/>
      <w:pPr>
        <w:ind w:left="5760" w:hanging="360"/>
      </w:pPr>
    </w:lvl>
    <w:lvl w:ilvl="8" w:tplc="99DC1D30">
      <w:start w:val="1"/>
      <w:numFmt w:val="lowerRoman"/>
      <w:lvlText w:val="%9."/>
      <w:lvlJc w:val="right"/>
      <w:pPr>
        <w:ind w:left="6480" w:hanging="180"/>
      </w:pPr>
    </w:lvl>
  </w:abstractNum>
  <w:abstractNum w:abstractNumId="101" w15:restartNumberingAfterBreak="0">
    <w:nsid w:val="3B91643B"/>
    <w:multiLevelType w:val="hybridMultilevel"/>
    <w:tmpl w:val="FFFFFFFF"/>
    <w:lvl w:ilvl="0" w:tplc="FF6A4C4C">
      <w:start w:val="1"/>
      <w:numFmt w:val="bullet"/>
      <w:lvlText w:val=""/>
      <w:lvlJc w:val="left"/>
      <w:pPr>
        <w:ind w:left="720" w:hanging="360"/>
      </w:pPr>
      <w:rPr>
        <w:rFonts w:ascii="Symbol" w:hAnsi="Symbol" w:hint="default"/>
      </w:rPr>
    </w:lvl>
    <w:lvl w:ilvl="1" w:tplc="7908CA96">
      <w:start w:val="1"/>
      <w:numFmt w:val="bullet"/>
      <w:lvlText w:val="o"/>
      <w:lvlJc w:val="left"/>
      <w:pPr>
        <w:ind w:left="1440" w:hanging="360"/>
      </w:pPr>
      <w:rPr>
        <w:rFonts w:ascii="Courier New" w:hAnsi="Courier New" w:hint="default"/>
      </w:rPr>
    </w:lvl>
    <w:lvl w:ilvl="2" w:tplc="87182552">
      <w:start w:val="1"/>
      <w:numFmt w:val="bullet"/>
      <w:lvlText w:val=""/>
      <w:lvlJc w:val="left"/>
      <w:pPr>
        <w:ind w:left="2160" w:hanging="360"/>
      </w:pPr>
      <w:rPr>
        <w:rFonts w:ascii="Wingdings" w:hAnsi="Wingdings" w:hint="default"/>
      </w:rPr>
    </w:lvl>
    <w:lvl w:ilvl="3" w:tplc="33CED2B2">
      <w:start w:val="1"/>
      <w:numFmt w:val="bullet"/>
      <w:lvlText w:val=""/>
      <w:lvlJc w:val="left"/>
      <w:pPr>
        <w:ind w:left="2880" w:hanging="360"/>
      </w:pPr>
      <w:rPr>
        <w:rFonts w:ascii="Symbol" w:hAnsi="Symbol" w:hint="default"/>
      </w:rPr>
    </w:lvl>
    <w:lvl w:ilvl="4" w:tplc="78083DE2">
      <w:start w:val="1"/>
      <w:numFmt w:val="bullet"/>
      <w:lvlText w:val="o"/>
      <w:lvlJc w:val="left"/>
      <w:pPr>
        <w:ind w:left="3600" w:hanging="360"/>
      </w:pPr>
      <w:rPr>
        <w:rFonts w:ascii="Courier New" w:hAnsi="Courier New" w:hint="default"/>
      </w:rPr>
    </w:lvl>
    <w:lvl w:ilvl="5" w:tplc="63E83752">
      <w:start w:val="1"/>
      <w:numFmt w:val="bullet"/>
      <w:lvlText w:val=""/>
      <w:lvlJc w:val="left"/>
      <w:pPr>
        <w:ind w:left="4320" w:hanging="360"/>
      </w:pPr>
      <w:rPr>
        <w:rFonts w:ascii="Wingdings" w:hAnsi="Wingdings" w:hint="default"/>
      </w:rPr>
    </w:lvl>
    <w:lvl w:ilvl="6" w:tplc="B142BFA8">
      <w:start w:val="1"/>
      <w:numFmt w:val="bullet"/>
      <w:lvlText w:val=""/>
      <w:lvlJc w:val="left"/>
      <w:pPr>
        <w:ind w:left="5040" w:hanging="360"/>
      </w:pPr>
      <w:rPr>
        <w:rFonts w:ascii="Symbol" w:hAnsi="Symbol" w:hint="default"/>
      </w:rPr>
    </w:lvl>
    <w:lvl w:ilvl="7" w:tplc="32FAF9C8">
      <w:start w:val="1"/>
      <w:numFmt w:val="bullet"/>
      <w:lvlText w:val="o"/>
      <w:lvlJc w:val="left"/>
      <w:pPr>
        <w:ind w:left="5760" w:hanging="360"/>
      </w:pPr>
      <w:rPr>
        <w:rFonts w:ascii="Courier New" w:hAnsi="Courier New" w:hint="default"/>
      </w:rPr>
    </w:lvl>
    <w:lvl w:ilvl="8" w:tplc="F160B3F2">
      <w:start w:val="1"/>
      <w:numFmt w:val="bullet"/>
      <w:lvlText w:val=""/>
      <w:lvlJc w:val="left"/>
      <w:pPr>
        <w:ind w:left="6480" w:hanging="360"/>
      </w:pPr>
      <w:rPr>
        <w:rFonts w:ascii="Wingdings" w:hAnsi="Wingdings" w:hint="default"/>
      </w:rPr>
    </w:lvl>
  </w:abstractNum>
  <w:abstractNum w:abstractNumId="102" w15:restartNumberingAfterBreak="0">
    <w:nsid w:val="3BB0008E"/>
    <w:multiLevelType w:val="hybridMultilevel"/>
    <w:tmpl w:val="4738B46E"/>
    <w:lvl w:ilvl="0" w:tplc="6DBE6AEE">
      <w:start w:val="1"/>
      <w:numFmt w:val="decimal"/>
      <w:lvlText w:val="%1."/>
      <w:lvlJc w:val="left"/>
      <w:pPr>
        <w:ind w:left="720" w:hanging="360"/>
      </w:pPr>
      <w:rPr>
        <w:rFonts w:ascii="Times New Roman"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3C0722C4"/>
    <w:multiLevelType w:val="hybridMultilevel"/>
    <w:tmpl w:val="D9A29FAE"/>
    <w:lvl w:ilvl="0" w:tplc="83A863AC">
      <w:start w:val="1"/>
      <w:numFmt w:val="decimal"/>
      <w:lvlText w:val="%1."/>
      <w:lvlJc w:val="left"/>
      <w:pPr>
        <w:ind w:left="720" w:hanging="360"/>
      </w:pPr>
    </w:lvl>
    <w:lvl w:ilvl="1" w:tplc="14E61960">
      <w:start w:val="1"/>
      <w:numFmt w:val="lowerLetter"/>
      <w:lvlText w:val="%2."/>
      <w:lvlJc w:val="left"/>
      <w:pPr>
        <w:ind w:left="1440" w:hanging="360"/>
      </w:pPr>
    </w:lvl>
    <w:lvl w:ilvl="2" w:tplc="C6EE18B2">
      <w:start w:val="1"/>
      <w:numFmt w:val="lowerRoman"/>
      <w:lvlText w:val="%3."/>
      <w:lvlJc w:val="right"/>
      <w:pPr>
        <w:ind w:left="2160" w:hanging="180"/>
      </w:pPr>
    </w:lvl>
    <w:lvl w:ilvl="3" w:tplc="A3AC8582">
      <w:start w:val="1"/>
      <w:numFmt w:val="decimal"/>
      <w:lvlText w:val="%4."/>
      <w:lvlJc w:val="left"/>
      <w:pPr>
        <w:ind w:left="2880" w:hanging="360"/>
      </w:pPr>
    </w:lvl>
    <w:lvl w:ilvl="4" w:tplc="463E2244">
      <w:start w:val="1"/>
      <w:numFmt w:val="lowerLetter"/>
      <w:lvlText w:val="%5."/>
      <w:lvlJc w:val="left"/>
      <w:pPr>
        <w:ind w:left="3600" w:hanging="360"/>
      </w:pPr>
    </w:lvl>
    <w:lvl w:ilvl="5" w:tplc="03D8CA4E">
      <w:start w:val="1"/>
      <w:numFmt w:val="lowerRoman"/>
      <w:lvlText w:val="%6."/>
      <w:lvlJc w:val="right"/>
      <w:pPr>
        <w:ind w:left="4320" w:hanging="180"/>
      </w:pPr>
    </w:lvl>
    <w:lvl w:ilvl="6" w:tplc="B4441742">
      <w:start w:val="1"/>
      <w:numFmt w:val="decimal"/>
      <w:lvlText w:val="%7."/>
      <w:lvlJc w:val="left"/>
      <w:pPr>
        <w:ind w:left="5040" w:hanging="360"/>
      </w:pPr>
    </w:lvl>
    <w:lvl w:ilvl="7" w:tplc="B21A0A96">
      <w:start w:val="1"/>
      <w:numFmt w:val="lowerLetter"/>
      <w:lvlText w:val="%8."/>
      <w:lvlJc w:val="left"/>
      <w:pPr>
        <w:ind w:left="5760" w:hanging="360"/>
      </w:pPr>
    </w:lvl>
    <w:lvl w:ilvl="8" w:tplc="60D0753E">
      <w:start w:val="1"/>
      <w:numFmt w:val="lowerRoman"/>
      <w:lvlText w:val="%9."/>
      <w:lvlJc w:val="right"/>
      <w:pPr>
        <w:ind w:left="6480" w:hanging="180"/>
      </w:pPr>
    </w:lvl>
  </w:abstractNum>
  <w:abstractNum w:abstractNumId="104" w15:restartNumberingAfterBreak="0">
    <w:nsid w:val="3C2F1E68"/>
    <w:multiLevelType w:val="hybridMultilevel"/>
    <w:tmpl w:val="5EAAFC6A"/>
    <w:lvl w:ilvl="0" w:tplc="B3C05CC2">
      <w:start w:val="1"/>
      <w:numFmt w:val="bullet"/>
      <w:lvlText w:val=""/>
      <w:lvlJc w:val="left"/>
      <w:pPr>
        <w:ind w:left="720" w:hanging="360"/>
      </w:pPr>
      <w:rPr>
        <w:rFonts w:ascii="Symbol" w:hAnsi="Symbo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3D39641B"/>
    <w:multiLevelType w:val="hybridMultilevel"/>
    <w:tmpl w:val="7B365682"/>
    <w:lvl w:ilvl="0" w:tplc="6DBE6AEE">
      <w:start w:val="1"/>
      <w:numFmt w:val="decimal"/>
      <w:lvlText w:val="%1."/>
      <w:lvlJc w:val="left"/>
      <w:pPr>
        <w:tabs>
          <w:tab w:val="num" w:pos="360"/>
        </w:tabs>
        <w:ind w:left="0" w:firstLine="0"/>
      </w:pPr>
      <w:rPr>
        <w:rFonts w:ascii="Times New Roman" w:hAnsi="Times New Roman" w:cs="Times New Roman" w:hint="default"/>
        <w:b w:val="0"/>
      </w:rPr>
    </w:lvl>
    <w:lvl w:ilvl="1" w:tplc="3B46466E">
      <w:start w:val="1"/>
      <w:numFmt w:val="lowerLetter"/>
      <w:lvlText w:val="(%2)"/>
      <w:lvlJc w:val="left"/>
      <w:pPr>
        <w:tabs>
          <w:tab w:val="num" w:pos="1440"/>
        </w:tabs>
        <w:ind w:left="0" w:firstLine="720"/>
      </w:pPr>
      <w:rPr>
        <w:rFonts w:ascii="Times New Roman" w:hAnsi="Times New Roman" w:cs="Times New Roman" w:hint="default"/>
        <w:b w:val="0"/>
      </w:rPr>
    </w:lvl>
    <w:lvl w:ilvl="2" w:tplc="52B2EB0C">
      <w:start w:val="1"/>
      <w:numFmt w:val="lowerRoman"/>
      <w:lvlText w:val="(%3)"/>
      <w:lvlJc w:val="right"/>
      <w:pPr>
        <w:tabs>
          <w:tab w:val="num" w:pos="1440"/>
        </w:tabs>
        <w:ind w:left="1440" w:hanging="360"/>
      </w:pPr>
      <w:rPr>
        <w:rFonts w:ascii="Wingdings" w:hAnsi="Wingdings" w:cs="Wingdings"/>
      </w:rPr>
    </w:lvl>
    <w:lvl w:ilvl="3" w:tplc="B3C05CC2">
      <w:start w:val="1"/>
      <w:numFmt w:val="bullet"/>
      <w:lvlText w:val=""/>
      <w:lvlJc w:val="left"/>
      <w:pPr>
        <w:tabs>
          <w:tab w:val="num" w:pos="2160"/>
        </w:tabs>
        <w:ind w:left="2160" w:hanging="720"/>
      </w:pPr>
      <w:rPr>
        <w:rFonts w:ascii="Symbol" w:hAnsi="Symbol"/>
      </w:rPr>
    </w:lvl>
    <w:lvl w:ilvl="4" w:tplc="9D402520">
      <w:start w:val="1"/>
      <w:numFmt w:val="lowerLetter"/>
      <w:lvlText w:val="(%5)"/>
      <w:lvlJc w:val="left"/>
      <w:pPr>
        <w:tabs>
          <w:tab w:val="num" w:pos="1800"/>
        </w:tabs>
        <w:ind w:left="1800" w:hanging="360"/>
      </w:pPr>
      <w:rPr>
        <w:rFonts w:ascii="Times New Roman" w:hAnsi="Times New Roman" w:cs="Times New Roman" w:hint="default"/>
        <w:b w:val="0"/>
        <w:bCs w:val="0"/>
      </w:rPr>
    </w:lvl>
    <w:lvl w:ilvl="5" w:tplc="FEB61BE6">
      <w:start w:val="1"/>
      <w:numFmt w:val="lowerRoman"/>
      <w:lvlText w:val="(%6)"/>
      <w:lvlJc w:val="left"/>
      <w:pPr>
        <w:tabs>
          <w:tab w:val="num" w:pos="2160"/>
        </w:tabs>
        <w:ind w:left="2160" w:hanging="360"/>
      </w:pPr>
    </w:lvl>
    <w:lvl w:ilvl="6" w:tplc="9B269EA4">
      <w:start w:val="1"/>
      <w:numFmt w:val="decimal"/>
      <w:lvlText w:val="%7."/>
      <w:lvlJc w:val="left"/>
      <w:pPr>
        <w:tabs>
          <w:tab w:val="num" w:pos="2520"/>
        </w:tabs>
        <w:ind w:left="2520" w:hanging="360"/>
      </w:pPr>
    </w:lvl>
    <w:lvl w:ilvl="7" w:tplc="66E033DC">
      <w:start w:val="1"/>
      <w:numFmt w:val="lowerLetter"/>
      <w:lvlText w:val="%8."/>
      <w:lvlJc w:val="left"/>
      <w:pPr>
        <w:tabs>
          <w:tab w:val="num" w:pos="2880"/>
        </w:tabs>
        <w:ind w:left="2880" w:hanging="360"/>
      </w:pPr>
    </w:lvl>
    <w:lvl w:ilvl="8" w:tplc="08168678">
      <w:start w:val="1"/>
      <w:numFmt w:val="lowerRoman"/>
      <w:lvlText w:val="%9."/>
      <w:lvlJc w:val="left"/>
      <w:pPr>
        <w:tabs>
          <w:tab w:val="num" w:pos="3240"/>
        </w:tabs>
        <w:ind w:left="3240" w:hanging="360"/>
      </w:pPr>
    </w:lvl>
  </w:abstractNum>
  <w:abstractNum w:abstractNumId="106" w15:restartNumberingAfterBreak="0">
    <w:nsid w:val="3D727BC9"/>
    <w:multiLevelType w:val="multilevel"/>
    <w:tmpl w:val="663A2126"/>
    <w:lvl w:ilvl="0">
      <w:start w:val="1"/>
      <w:numFmt w:val="decimal"/>
      <w:lvlText w:val="%1."/>
      <w:lvlJc w:val="left"/>
      <w:pPr>
        <w:ind w:left="720" w:hanging="360"/>
      </w:pPr>
      <w:rPr>
        <w:rFonts w:hint="default"/>
        <w:b/>
      </w:rPr>
    </w:lvl>
    <w:lvl w:ilvl="1">
      <w:start w:val="2"/>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7" w15:restartNumberingAfterBreak="0">
    <w:nsid w:val="3D9C58A1"/>
    <w:multiLevelType w:val="multilevel"/>
    <w:tmpl w:val="07E65170"/>
    <w:lvl w:ilvl="0">
      <w:start w:val="5"/>
      <w:numFmt w:val="decimal"/>
      <w:pStyle w:val="Style1"/>
      <w:lvlText w:val="%1."/>
      <w:lvlJc w:val="left"/>
      <w:pPr>
        <w:ind w:left="720" w:hanging="360"/>
      </w:pPr>
      <w:rPr>
        <w:rFonts w:hint="default"/>
        <w:b/>
      </w:rPr>
    </w:lvl>
    <w:lvl w:ilvl="1">
      <w:start w:val="2"/>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8" w15:restartNumberingAfterBreak="0">
    <w:nsid w:val="3E660095"/>
    <w:multiLevelType w:val="hybridMultilevel"/>
    <w:tmpl w:val="F2EC05DE"/>
    <w:lvl w:ilvl="0" w:tplc="5330B486">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9" w15:restartNumberingAfterBreak="0">
    <w:nsid w:val="3E6C7BE8"/>
    <w:multiLevelType w:val="hybridMultilevel"/>
    <w:tmpl w:val="9FD68562"/>
    <w:lvl w:ilvl="0" w:tplc="3648C304">
      <w:start w:val="1"/>
      <w:numFmt w:val="lowerLetter"/>
      <w:lvlText w:val="(%1)"/>
      <w:lvlJc w:val="left"/>
      <w:pPr>
        <w:ind w:left="720" w:hanging="360"/>
      </w:pPr>
      <w:rPr>
        <w:rFonts w:hint="default"/>
        <w:i w:val="0"/>
      </w:rPr>
    </w:lvl>
    <w:lvl w:ilvl="1" w:tplc="04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3EC26B8C"/>
    <w:multiLevelType w:val="hybridMultilevel"/>
    <w:tmpl w:val="76C25232"/>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11" w15:restartNumberingAfterBreak="0">
    <w:nsid w:val="3EFB6BE9"/>
    <w:multiLevelType w:val="hybridMultilevel"/>
    <w:tmpl w:val="12C0A47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3F043C07"/>
    <w:multiLevelType w:val="hybridMultilevel"/>
    <w:tmpl w:val="C8EEE95C"/>
    <w:name w:val="WW8Num6222"/>
    <w:lvl w:ilvl="0" w:tplc="04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3" w15:restartNumberingAfterBreak="0">
    <w:nsid w:val="3F08664E"/>
    <w:multiLevelType w:val="hybridMultilevel"/>
    <w:tmpl w:val="FFFFFFFF"/>
    <w:lvl w:ilvl="0" w:tplc="FCB07136">
      <w:start w:val="1"/>
      <w:numFmt w:val="bullet"/>
      <w:lvlText w:val=""/>
      <w:lvlJc w:val="left"/>
      <w:pPr>
        <w:ind w:left="720" w:hanging="360"/>
      </w:pPr>
      <w:rPr>
        <w:rFonts w:ascii="Symbol" w:hAnsi="Symbol" w:hint="default"/>
      </w:rPr>
    </w:lvl>
    <w:lvl w:ilvl="1" w:tplc="99409994">
      <w:start w:val="1"/>
      <w:numFmt w:val="bullet"/>
      <w:lvlText w:val="o"/>
      <w:lvlJc w:val="left"/>
      <w:pPr>
        <w:ind w:left="1440" w:hanging="360"/>
      </w:pPr>
      <w:rPr>
        <w:rFonts w:ascii="Courier New" w:hAnsi="Courier New" w:hint="default"/>
      </w:rPr>
    </w:lvl>
    <w:lvl w:ilvl="2" w:tplc="32B4AFDC">
      <w:start w:val="1"/>
      <w:numFmt w:val="bullet"/>
      <w:lvlText w:val=""/>
      <w:lvlJc w:val="left"/>
      <w:pPr>
        <w:ind w:left="2160" w:hanging="360"/>
      </w:pPr>
      <w:rPr>
        <w:rFonts w:ascii="Wingdings" w:hAnsi="Wingdings" w:hint="default"/>
      </w:rPr>
    </w:lvl>
    <w:lvl w:ilvl="3" w:tplc="1774131A">
      <w:start w:val="1"/>
      <w:numFmt w:val="bullet"/>
      <w:lvlText w:val=""/>
      <w:lvlJc w:val="left"/>
      <w:pPr>
        <w:ind w:left="2880" w:hanging="360"/>
      </w:pPr>
      <w:rPr>
        <w:rFonts w:ascii="Symbol" w:hAnsi="Symbol" w:hint="default"/>
      </w:rPr>
    </w:lvl>
    <w:lvl w:ilvl="4" w:tplc="4C303AF4">
      <w:start w:val="1"/>
      <w:numFmt w:val="bullet"/>
      <w:lvlText w:val="o"/>
      <w:lvlJc w:val="left"/>
      <w:pPr>
        <w:ind w:left="3600" w:hanging="360"/>
      </w:pPr>
      <w:rPr>
        <w:rFonts w:ascii="Courier New" w:hAnsi="Courier New" w:hint="default"/>
      </w:rPr>
    </w:lvl>
    <w:lvl w:ilvl="5" w:tplc="096A69BE">
      <w:start w:val="1"/>
      <w:numFmt w:val="bullet"/>
      <w:lvlText w:val=""/>
      <w:lvlJc w:val="left"/>
      <w:pPr>
        <w:ind w:left="4320" w:hanging="360"/>
      </w:pPr>
      <w:rPr>
        <w:rFonts w:ascii="Wingdings" w:hAnsi="Wingdings" w:hint="default"/>
      </w:rPr>
    </w:lvl>
    <w:lvl w:ilvl="6" w:tplc="0526FF0A">
      <w:start w:val="1"/>
      <w:numFmt w:val="bullet"/>
      <w:lvlText w:val=""/>
      <w:lvlJc w:val="left"/>
      <w:pPr>
        <w:ind w:left="5040" w:hanging="360"/>
      </w:pPr>
      <w:rPr>
        <w:rFonts w:ascii="Symbol" w:hAnsi="Symbol" w:hint="default"/>
      </w:rPr>
    </w:lvl>
    <w:lvl w:ilvl="7" w:tplc="C53E8786">
      <w:start w:val="1"/>
      <w:numFmt w:val="bullet"/>
      <w:lvlText w:val="o"/>
      <w:lvlJc w:val="left"/>
      <w:pPr>
        <w:ind w:left="5760" w:hanging="360"/>
      </w:pPr>
      <w:rPr>
        <w:rFonts w:ascii="Courier New" w:hAnsi="Courier New" w:hint="default"/>
      </w:rPr>
    </w:lvl>
    <w:lvl w:ilvl="8" w:tplc="C52234CE">
      <w:start w:val="1"/>
      <w:numFmt w:val="bullet"/>
      <w:lvlText w:val=""/>
      <w:lvlJc w:val="left"/>
      <w:pPr>
        <w:ind w:left="6480" w:hanging="360"/>
      </w:pPr>
      <w:rPr>
        <w:rFonts w:ascii="Wingdings" w:hAnsi="Wingdings" w:hint="default"/>
      </w:rPr>
    </w:lvl>
  </w:abstractNum>
  <w:abstractNum w:abstractNumId="114" w15:restartNumberingAfterBreak="0">
    <w:nsid w:val="3F1D04FF"/>
    <w:multiLevelType w:val="hybridMultilevel"/>
    <w:tmpl w:val="5DF62CB2"/>
    <w:lvl w:ilvl="0" w:tplc="2604BC6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3FA278BC"/>
    <w:multiLevelType w:val="hybridMultilevel"/>
    <w:tmpl w:val="52A0549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3FC822EC"/>
    <w:multiLevelType w:val="hybridMultilevel"/>
    <w:tmpl w:val="9CAAB416"/>
    <w:lvl w:ilvl="0" w:tplc="70C24D0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3FEB4F74"/>
    <w:multiLevelType w:val="hybridMultilevel"/>
    <w:tmpl w:val="FFFFFFFF"/>
    <w:lvl w:ilvl="0" w:tplc="9DA2F55A">
      <w:start w:val="1"/>
      <w:numFmt w:val="bullet"/>
      <w:lvlText w:val=""/>
      <w:lvlJc w:val="left"/>
      <w:pPr>
        <w:ind w:left="720" w:hanging="360"/>
      </w:pPr>
      <w:rPr>
        <w:rFonts w:ascii="Symbol" w:hAnsi="Symbol" w:hint="default"/>
      </w:rPr>
    </w:lvl>
    <w:lvl w:ilvl="1" w:tplc="0E3692A4">
      <w:start w:val="1"/>
      <w:numFmt w:val="bullet"/>
      <w:lvlText w:val="o"/>
      <w:lvlJc w:val="left"/>
      <w:pPr>
        <w:ind w:left="1440" w:hanging="360"/>
      </w:pPr>
      <w:rPr>
        <w:rFonts w:ascii="Courier New" w:hAnsi="Courier New" w:hint="default"/>
      </w:rPr>
    </w:lvl>
    <w:lvl w:ilvl="2" w:tplc="32BCBE00">
      <w:start w:val="1"/>
      <w:numFmt w:val="bullet"/>
      <w:lvlText w:val=""/>
      <w:lvlJc w:val="left"/>
      <w:pPr>
        <w:ind w:left="2160" w:hanging="360"/>
      </w:pPr>
      <w:rPr>
        <w:rFonts w:ascii="Wingdings" w:hAnsi="Wingdings" w:hint="default"/>
      </w:rPr>
    </w:lvl>
    <w:lvl w:ilvl="3" w:tplc="AA562B08">
      <w:start w:val="1"/>
      <w:numFmt w:val="bullet"/>
      <w:lvlText w:val=""/>
      <w:lvlJc w:val="left"/>
      <w:pPr>
        <w:ind w:left="2880" w:hanging="360"/>
      </w:pPr>
      <w:rPr>
        <w:rFonts w:ascii="Symbol" w:hAnsi="Symbol" w:hint="default"/>
      </w:rPr>
    </w:lvl>
    <w:lvl w:ilvl="4" w:tplc="4D26265A">
      <w:start w:val="1"/>
      <w:numFmt w:val="bullet"/>
      <w:lvlText w:val="o"/>
      <w:lvlJc w:val="left"/>
      <w:pPr>
        <w:ind w:left="3600" w:hanging="360"/>
      </w:pPr>
      <w:rPr>
        <w:rFonts w:ascii="Courier New" w:hAnsi="Courier New" w:hint="default"/>
      </w:rPr>
    </w:lvl>
    <w:lvl w:ilvl="5" w:tplc="B0228576">
      <w:start w:val="1"/>
      <w:numFmt w:val="bullet"/>
      <w:lvlText w:val=""/>
      <w:lvlJc w:val="left"/>
      <w:pPr>
        <w:ind w:left="4320" w:hanging="360"/>
      </w:pPr>
      <w:rPr>
        <w:rFonts w:ascii="Wingdings" w:hAnsi="Wingdings" w:hint="default"/>
      </w:rPr>
    </w:lvl>
    <w:lvl w:ilvl="6" w:tplc="62D60AAA">
      <w:start w:val="1"/>
      <w:numFmt w:val="bullet"/>
      <w:lvlText w:val=""/>
      <w:lvlJc w:val="left"/>
      <w:pPr>
        <w:ind w:left="5040" w:hanging="360"/>
      </w:pPr>
      <w:rPr>
        <w:rFonts w:ascii="Symbol" w:hAnsi="Symbol" w:hint="default"/>
      </w:rPr>
    </w:lvl>
    <w:lvl w:ilvl="7" w:tplc="72BABCE2">
      <w:start w:val="1"/>
      <w:numFmt w:val="bullet"/>
      <w:lvlText w:val="o"/>
      <w:lvlJc w:val="left"/>
      <w:pPr>
        <w:ind w:left="5760" w:hanging="360"/>
      </w:pPr>
      <w:rPr>
        <w:rFonts w:ascii="Courier New" w:hAnsi="Courier New" w:hint="default"/>
      </w:rPr>
    </w:lvl>
    <w:lvl w:ilvl="8" w:tplc="A14C6186">
      <w:start w:val="1"/>
      <w:numFmt w:val="bullet"/>
      <w:lvlText w:val=""/>
      <w:lvlJc w:val="left"/>
      <w:pPr>
        <w:ind w:left="6480" w:hanging="360"/>
      </w:pPr>
      <w:rPr>
        <w:rFonts w:ascii="Wingdings" w:hAnsi="Wingdings" w:hint="default"/>
      </w:rPr>
    </w:lvl>
  </w:abstractNum>
  <w:abstractNum w:abstractNumId="118" w15:restartNumberingAfterBreak="0">
    <w:nsid w:val="400C5D5E"/>
    <w:multiLevelType w:val="hybridMultilevel"/>
    <w:tmpl w:val="8BE8BA82"/>
    <w:lvl w:ilvl="0" w:tplc="A152535C">
      <w:start w:val="5"/>
      <w:numFmt w:val="lowerLetter"/>
      <w:lvlText w:val="(%1)"/>
      <w:lvlJc w:val="left"/>
      <w:pPr>
        <w:tabs>
          <w:tab w:val="num" w:pos="1800"/>
        </w:tabs>
        <w:ind w:left="1800" w:hanging="360"/>
      </w:pPr>
      <w:rPr>
        <w:rFonts w:ascii="Times New Roman" w:hAnsi="Times New Roman" w:cs="Times New Roman" w:hint="default"/>
        <w:b w:val="0"/>
        <w:bCs w:val="0"/>
      </w:rPr>
    </w:lvl>
    <w:lvl w:ilvl="1" w:tplc="90FA6DA0">
      <w:start w:val="6"/>
      <w:numFmt w:val="bullet"/>
      <w:lvlText w:val="•"/>
      <w:lvlJc w:val="left"/>
      <w:pPr>
        <w:ind w:left="1800" w:hanging="720"/>
      </w:pPr>
      <w:rPr>
        <w:rFonts w:ascii="Times New Roman" w:eastAsia="SimSu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0653484"/>
    <w:multiLevelType w:val="hybridMultilevel"/>
    <w:tmpl w:val="FFFFFFFF"/>
    <w:lvl w:ilvl="0" w:tplc="F2AAF550">
      <w:start w:val="1"/>
      <w:numFmt w:val="bullet"/>
      <w:lvlText w:val=""/>
      <w:lvlJc w:val="left"/>
      <w:pPr>
        <w:ind w:left="720" w:hanging="360"/>
      </w:pPr>
      <w:rPr>
        <w:rFonts w:ascii="Symbol" w:hAnsi="Symbol" w:hint="default"/>
      </w:rPr>
    </w:lvl>
    <w:lvl w:ilvl="1" w:tplc="90BE7472">
      <w:start w:val="1"/>
      <w:numFmt w:val="bullet"/>
      <w:lvlText w:val="o"/>
      <w:lvlJc w:val="left"/>
      <w:pPr>
        <w:ind w:left="1440" w:hanging="360"/>
      </w:pPr>
      <w:rPr>
        <w:rFonts w:ascii="Courier New" w:hAnsi="Courier New" w:hint="default"/>
      </w:rPr>
    </w:lvl>
    <w:lvl w:ilvl="2" w:tplc="B6D0DE94">
      <w:start w:val="1"/>
      <w:numFmt w:val="bullet"/>
      <w:lvlText w:val=""/>
      <w:lvlJc w:val="left"/>
      <w:pPr>
        <w:ind w:left="2160" w:hanging="360"/>
      </w:pPr>
      <w:rPr>
        <w:rFonts w:ascii="Wingdings" w:hAnsi="Wingdings" w:hint="default"/>
      </w:rPr>
    </w:lvl>
    <w:lvl w:ilvl="3" w:tplc="639492B0">
      <w:start w:val="1"/>
      <w:numFmt w:val="bullet"/>
      <w:lvlText w:val=""/>
      <w:lvlJc w:val="left"/>
      <w:pPr>
        <w:ind w:left="2880" w:hanging="360"/>
      </w:pPr>
      <w:rPr>
        <w:rFonts w:ascii="Symbol" w:hAnsi="Symbol" w:hint="default"/>
      </w:rPr>
    </w:lvl>
    <w:lvl w:ilvl="4" w:tplc="D034F42A">
      <w:start w:val="1"/>
      <w:numFmt w:val="bullet"/>
      <w:lvlText w:val="o"/>
      <w:lvlJc w:val="left"/>
      <w:pPr>
        <w:ind w:left="3600" w:hanging="360"/>
      </w:pPr>
      <w:rPr>
        <w:rFonts w:ascii="Courier New" w:hAnsi="Courier New" w:hint="default"/>
      </w:rPr>
    </w:lvl>
    <w:lvl w:ilvl="5" w:tplc="84ECF56C">
      <w:start w:val="1"/>
      <w:numFmt w:val="bullet"/>
      <w:lvlText w:val=""/>
      <w:lvlJc w:val="left"/>
      <w:pPr>
        <w:ind w:left="4320" w:hanging="360"/>
      </w:pPr>
      <w:rPr>
        <w:rFonts w:ascii="Wingdings" w:hAnsi="Wingdings" w:hint="default"/>
      </w:rPr>
    </w:lvl>
    <w:lvl w:ilvl="6" w:tplc="BE64B2D6">
      <w:start w:val="1"/>
      <w:numFmt w:val="bullet"/>
      <w:lvlText w:val=""/>
      <w:lvlJc w:val="left"/>
      <w:pPr>
        <w:ind w:left="5040" w:hanging="360"/>
      </w:pPr>
      <w:rPr>
        <w:rFonts w:ascii="Symbol" w:hAnsi="Symbol" w:hint="default"/>
      </w:rPr>
    </w:lvl>
    <w:lvl w:ilvl="7" w:tplc="54EE8A18">
      <w:start w:val="1"/>
      <w:numFmt w:val="bullet"/>
      <w:lvlText w:val="o"/>
      <w:lvlJc w:val="left"/>
      <w:pPr>
        <w:ind w:left="5760" w:hanging="360"/>
      </w:pPr>
      <w:rPr>
        <w:rFonts w:ascii="Courier New" w:hAnsi="Courier New" w:hint="default"/>
      </w:rPr>
    </w:lvl>
    <w:lvl w:ilvl="8" w:tplc="1E76FD2E">
      <w:start w:val="1"/>
      <w:numFmt w:val="bullet"/>
      <w:lvlText w:val=""/>
      <w:lvlJc w:val="left"/>
      <w:pPr>
        <w:ind w:left="6480" w:hanging="360"/>
      </w:pPr>
      <w:rPr>
        <w:rFonts w:ascii="Wingdings" w:hAnsi="Wingdings" w:hint="default"/>
      </w:rPr>
    </w:lvl>
  </w:abstractNum>
  <w:abstractNum w:abstractNumId="120" w15:restartNumberingAfterBreak="0">
    <w:nsid w:val="40CF0655"/>
    <w:multiLevelType w:val="hybridMultilevel"/>
    <w:tmpl w:val="33AA8C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40F11CFA"/>
    <w:multiLevelType w:val="hybridMultilevel"/>
    <w:tmpl w:val="FFFFFFFF"/>
    <w:lvl w:ilvl="0" w:tplc="9E6AC0EC">
      <w:start w:val="1"/>
      <w:numFmt w:val="bullet"/>
      <w:lvlText w:val=""/>
      <w:lvlJc w:val="left"/>
      <w:pPr>
        <w:ind w:left="720" w:hanging="360"/>
      </w:pPr>
      <w:rPr>
        <w:rFonts w:ascii="Symbol" w:hAnsi="Symbol" w:hint="default"/>
      </w:rPr>
    </w:lvl>
    <w:lvl w:ilvl="1" w:tplc="B5F05A48">
      <w:start w:val="1"/>
      <w:numFmt w:val="bullet"/>
      <w:lvlText w:val="o"/>
      <w:lvlJc w:val="left"/>
      <w:pPr>
        <w:ind w:left="1440" w:hanging="360"/>
      </w:pPr>
      <w:rPr>
        <w:rFonts w:ascii="Courier New" w:hAnsi="Courier New" w:hint="default"/>
      </w:rPr>
    </w:lvl>
    <w:lvl w:ilvl="2" w:tplc="EAA8F7B8">
      <w:start w:val="1"/>
      <w:numFmt w:val="bullet"/>
      <w:lvlText w:val=""/>
      <w:lvlJc w:val="left"/>
      <w:pPr>
        <w:ind w:left="2160" w:hanging="360"/>
      </w:pPr>
      <w:rPr>
        <w:rFonts w:ascii="Wingdings" w:hAnsi="Wingdings" w:hint="default"/>
      </w:rPr>
    </w:lvl>
    <w:lvl w:ilvl="3" w:tplc="CF22C07A">
      <w:start w:val="1"/>
      <w:numFmt w:val="bullet"/>
      <w:lvlText w:val=""/>
      <w:lvlJc w:val="left"/>
      <w:pPr>
        <w:ind w:left="2880" w:hanging="360"/>
      </w:pPr>
      <w:rPr>
        <w:rFonts w:ascii="Symbol" w:hAnsi="Symbol" w:hint="default"/>
      </w:rPr>
    </w:lvl>
    <w:lvl w:ilvl="4" w:tplc="AEEADB50">
      <w:start w:val="1"/>
      <w:numFmt w:val="bullet"/>
      <w:lvlText w:val="o"/>
      <w:lvlJc w:val="left"/>
      <w:pPr>
        <w:ind w:left="3600" w:hanging="360"/>
      </w:pPr>
      <w:rPr>
        <w:rFonts w:ascii="Courier New" w:hAnsi="Courier New" w:hint="default"/>
      </w:rPr>
    </w:lvl>
    <w:lvl w:ilvl="5" w:tplc="22FC9768">
      <w:start w:val="1"/>
      <w:numFmt w:val="bullet"/>
      <w:lvlText w:val=""/>
      <w:lvlJc w:val="left"/>
      <w:pPr>
        <w:ind w:left="4320" w:hanging="360"/>
      </w:pPr>
      <w:rPr>
        <w:rFonts w:ascii="Wingdings" w:hAnsi="Wingdings" w:hint="default"/>
      </w:rPr>
    </w:lvl>
    <w:lvl w:ilvl="6" w:tplc="F014D172">
      <w:start w:val="1"/>
      <w:numFmt w:val="bullet"/>
      <w:lvlText w:val=""/>
      <w:lvlJc w:val="left"/>
      <w:pPr>
        <w:ind w:left="5040" w:hanging="360"/>
      </w:pPr>
      <w:rPr>
        <w:rFonts w:ascii="Symbol" w:hAnsi="Symbol" w:hint="default"/>
      </w:rPr>
    </w:lvl>
    <w:lvl w:ilvl="7" w:tplc="81E2546E">
      <w:start w:val="1"/>
      <w:numFmt w:val="bullet"/>
      <w:lvlText w:val="o"/>
      <w:lvlJc w:val="left"/>
      <w:pPr>
        <w:ind w:left="5760" w:hanging="360"/>
      </w:pPr>
      <w:rPr>
        <w:rFonts w:ascii="Courier New" w:hAnsi="Courier New" w:hint="default"/>
      </w:rPr>
    </w:lvl>
    <w:lvl w:ilvl="8" w:tplc="741850DC">
      <w:start w:val="1"/>
      <w:numFmt w:val="bullet"/>
      <w:lvlText w:val=""/>
      <w:lvlJc w:val="left"/>
      <w:pPr>
        <w:ind w:left="6480" w:hanging="360"/>
      </w:pPr>
      <w:rPr>
        <w:rFonts w:ascii="Wingdings" w:hAnsi="Wingdings" w:hint="default"/>
      </w:rPr>
    </w:lvl>
  </w:abstractNum>
  <w:abstractNum w:abstractNumId="122" w15:restartNumberingAfterBreak="0">
    <w:nsid w:val="40F11E3B"/>
    <w:multiLevelType w:val="hybridMultilevel"/>
    <w:tmpl w:val="4136479C"/>
    <w:name w:val="WW8Num62"/>
    <w:lvl w:ilvl="0" w:tplc="7B78299C">
      <w:start w:val="2"/>
      <w:numFmt w:val="lowerLetter"/>
      <w:lvlText w:val="(%1)"/>
      <w:lvlJc w:val="left"/>
      <w:pPr>
        <w:ind w:left="1080" w:hanging="360"/>
      </w:pPr>
      <w:rPr>
        <w:rFonts w:ascii="Times New Roman" w:hAnsi="Times New Roman" w:cs="Times New Roman" w:hint="default"/>
        <w:b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41D30195"/>
    <w:multiLevelType w:val="hybridMultilevel"/>
    <w:tmpl w:val="FFFFFFFF"/>
    <w:lvl w:ilvl="0" w:tplc="E0000938">
      <w:start w:val="1"/>
      <w:numFmt w:val="bullet"/>
      <w:lvlText w:val=""/>
      <w:lvlJc w:val="left"/>
      <w:pPr>
        <w:ind w:left="720" w:hanging="360"/>
      </w:pPr>
      <w:rPr>
        <w:rFonts w:ascii="Symbol" w:hAnsi="Symbol" w:hint="default"/>
      </w:rPr>
    </w:lvl>
    <w:lvl w:ilvl="1" w:tplc="2DC8C958">
      <w:start w:val="1"/>
      <w:numFmt w:val="bullet"/>
      <w:lvlText w:val="o"/>
      <w:lvlJc w:val="left"/>
      <w:pPr>
        <w:ind w:left="1440" w:hanging="360"/>
      </w:pPr>
      <w:rPr>
        <w:rFonts w:ascii="Courier New" w:hAnsi="Courier New" w:hint="default"/>
      </w:rPr>
    </w:lvl>
    <w:lvl w:ilvl="2" w:tplc="D14836BE">
      <w:start w:val="1"/>
      <w:numFmt w:val="bullet"/>
      <w:lvlText w:val=""/>
      <w:lvlJc w:val="left"/>
      <w:pPr>
        <w:ind w:left="2160" w:hanging="360"/>
      </w:pPr>
      <w:rPr>
        <w:rFonts w:ascii="Wingdings" w:hAnsi="Wingdings" w:hint="default"/>
      </w:rPr>
    </w:lvl>
    <w:lvl w:ilvl="3" w:tplc="614E4F50">
      <w:start w:val="1"/>
      <w:numFmt w:val="bullet"/>
      <w:lvlText w:val=""/>
      <w:lvlJc w:val="left"/>
      <w:pPr>
        <w:ind w:left="2880" w:hanging="360"/>
      </w:pPr>
      <w:rPr>
        <w:rFonts w:ascii="Symbol" w:hAnsi="Symbol" w:hint="default"/>
      </w:rPr>
    </w:lvl>
    <w:lvl w:ilvl="4" w:tplc="167E2610">
      <w:start w:val="1"/>
      <w:numFmt w:val="bullet"/>
      <w:lvlText w:val="o"/>
      <w:lvlJc w:val="left"/>
      <w:pPr>
        <w:ind w:left="3600" w:hanging="360"/>
      </w:pPr>
      <w:rPr>
        <w:rFonts w:ascii="Courier New" w:hAnsi="Courier New" w:hint="default"/>
      </w:rPr>
    </w:lvl>
    <w:lvl w:ilvl="5" w:tplc="7C74CF14">
      <w:start w:val="1"/>
      <w:numFmt w:val="bullet"/>
      <w:lvlText w:val=""/>
      <w:lvlJc w:val="left"/>
      <w:pPr>
        <w:ind w:left="4320" w:hanging="360"/>
      </w:pPr>
      <w:rPr>
        <w:rFonts w:ascii="Wingdings" w:hAnsi="Wingdings" w:hint="default"/>
      </w:rPr>
    </w:lvl>
    <w:lvl w:ilvl="6" w:tplc="E40C4F26">
      <w:start w:val="1"/>
      <w:numFmt w:val="bullet"/>
      <w:lvlText w:val=""/>
      <w:lvlJc w:val="left"/>
      <w:pPr>
        <w:ind w:left="5040" w:hanging="360"/>
      </w:pPr>
      <w:rPr>
        <w:rFonts w:ascii="Symbol" w:hAnsi="Symbol" w:hint="default"/>
      </w:rPr>
    </w:lvl>
    <w:lvl w:ilvl="7" w:tplc="F45ACDC0">
      <w:start w:val="1"/>
      <w:numFmt w:val="bullet"/>
      <w:lvlText w:val="o"/>
      <w:lvlJc w:val="left"/>
      <w:pPr>
        <w:ind w:left="5760" w:hanging="360"/>
      </w:pPr>
      <w:rPr>
        <w:rFonts w:ascii="Courier New" w:hAnsi="Courier New" w:hint="default"/>
      </w:rPr>
    </w:lvl>
    <w:lvl w:ilvl="8" w:tplc="C2D4E69E">
      <w:start w:val="1"/>
      <w:numFmt w:val="bullet"/>
      <w:lvlText w:val=""/>
      <w:lvlJc w:val="left"/>
      <w:pPr>
        <w:ind w:left="6480" w:hanging="360"/>
      </w:pPr>
      <w:rPr>
        <w:rFonts w:ascii="Wingdings" w:hAnsi="Wingdings" w:hint="default"/>
      </w:rPr>
    </w:lvl>
  </w:abstractNum>
  <w:abstractNum w:abstractNumId="124" w15:restartNumberingAfterBreak="0">
    <w:nsid w:val="42806BF7"/>
    <w:multiLevelType w:val="hybridMultilevel"/>
    <w:tmpl w:val="FFFFFFFF"/>
    <w:lvl w:ilvl="0" w:tplc="3CCE1A4A">
      <w:start w:val="1"/>
      <w:numFmt w:val="bullet"/>
      <w:lvlText w:val=""/>
      <w:lvlJc w:val="left"/>
      <w:pPr>
        <w:ind w:left="720" w:hanging="360"/>
      </w:pPr>
      <w:rPr>
        <w:rFonts w:ascii="Symbol" w:hAnsi="Symbol" w:hint="default"/>
      </w:rPr>
    </w:lvl>
    <w:lvl w:ilvl="1" w:tplc="04DAA2BC">
      <w:start w:val="1"/>
      <w:numFmt w:val="bullet"/>
      <w:lvlText w:val="o"/>
      <w:lvlJc w:val="left"/>
      <w:pPr>
        <w:ind w:left="1440" w:hanging="360"/>
      </w:pPr>
      <w:rPr>
        <w:rFonts w:ascii="Courier New" w:hAnsi="Courier New" w:hint="default"/>
      </w:rPr>
    </w:lvl>
    <w:lvl w:ilvl="2" w:tplc="A94EB2CC">
      <w:start w:val="1"/>
      <w:numFmt w:val="bullet"/>
      <w:lvlText w:val=""/>
      <w:lvlJc w:val="left"/>
      <w:pPr>
        <w:ind w:left="2160" w:hanging="360"/>
      </w:pPr>
      <w:rPr>
        <w:rFonts w:ascii="Wingdings" w:hAnsi="Wingdings" w:hint="default"/>
      </w:rPr>
    </w:lvl>
    <w:lvl w:ilvl="3" w:tplc="B58E7C6E">
      <w:start w:val="1"/>
      <w:numFmt w:val="bullet"/>
      <w:lvlText w:val=""/>
      <w:lvlJc w:val="left"/>
      <w:pPr>
        <w:ind w:left="2880" w:hanging="360"/>
      </w:pPr>
      <w:rPr>
        <w:rFonts w:ascii="Symbol" w:hAnsi="Symbol" w:hint="default"/>
      </w:rPr>
    </w:lvl>
    <w:lvl w:ilvl="4" w:tplc="02AAAF2C">
      <w:start w:val="1"/>
      <w:numFmt w:val="bullet"/>
      <w:lvlText w:val="o"/>
      <w:lvlJc w:val="left"/>
      <w:pPr>
        <w:ind w:left="3600" w:hanging="360"/>
      </w:pPr>
      <w:rPr>
        <w:rFonts w:ascii="Courier New" w:hAnsi="Courier New" w:hint="default"/>
      </w:rPr>
    </w:lvl>
    <w:lvl w:ilvl="5" w:tplc="DAF68F8E">
      <w:start w:val="1"/>
      <w:numFmt w:val="bullet"/>
      <w:lvlText w:val=""/>
      <w:lvlJc w:val="left"/>
      <w:pPr>
        <w:ind w:left="4320" w:hanging="360"/>
      </w:pPr>
      <w:rPr>
        <w:rFonts w:ascii="Wingdings" w:hAnsi="Wingdings" w:hint="default"/>
      </w:rPr>
    </w:lvl>
    <w:lvl w:ilvl="6" w:tplc="A7760460">
      <w:start w:val="1"/>
      <w:numFmt w:val="bullet"/>
      <w:lvlText w:val=""/>
      <w:lvlJc w:val="left"/>
      <w:pPr>
        <w:ind w:left="5040" w:hanging="360"/>
      </w:pPr>
      <w:rPr>
        <w:rFonts w:ascii="Symbol" w:hAnsi="Symbol" w:hint="default"/>
      </w:rPr>
    </w:lvl>
    <w:lvl w:ilvl="7" w:tplc="234ECFB4">
      <w:start w:val="1"/>
      <w:numFmt w:val="bullet"/>
      <w:lvlText w:val="o"/>
      <w:lvlJc w:val="left"/>
      <w:pPr>
        <w:ind w:left="5760" w:hanging="360"/>
      </w:pPr>
      <w:rPr>
        <w:rFonts w:ascii="Courier New" w:hAnsi="Courier New" w:hint="default"/>
      </w:rPr>
    </w:lvl>
    <w:lvl w:ilvl="8" w:tplc="DC44C884">
      <w:start w:val="1"/>
      <w:numFmt w:val="bullet"/>
      <w:lvlText w:val=""/>
      <w:lvlJc w:val="left"/>
      <w:pPr>
        <w:ind w:left="6480" w:hanging="360"/>
      </w:pPr>
      <w:rPr>
        <w:rFonts w:ascii="Wingdings" w:hAnsi="Wingdings" w:hint="default"/>
      </w:rPr>
    </w:lvl>
  </w:abstractNum>
  <w:abstractNum w:abstractNumId="125" w15:restartNumberingAfterBreak="0">
    <w:nsid w:val="42AB6BFD"/>
    <w:multiLevelType w:val="hybridMultilevel"/>
    <w:tmpl w:val="FFFFFFFF"/>
    <w:lvl w:ilvl="0" w:tplc="28361370">
      <w:start w:val="1"/>
      <w:numFmt w:val="bullet"/>
      <w:lvlText w:val="·"/>
      <w:lvlJc w:val="left"/>
      <w:pPr>
        <w:ind w:left="720" w:hanging="360"/>
      </w:pPr>
      <w:rPr>
        <w:rFonts w:ascii="Symbol" w:hAnsi="Symbol" w:hint="default"/>
      </w:rPr>
    </w:lvl>
    <w:lvl w:ilvl="1" w:tplc="F5AC8EC4">
      <w:start w:val="1"/>
      <w:numFmt w:val="bullet"/>
      <w:lvlText w:val="o"/>
      <w:lvlJc w:val="left"/>
      <w:pPr>
        <w:ind w:left="1440" w:hanging="360"/>
      </w:pPr>
      <w:rPr>
        <w:rFonts w:ascii="Courier New" w:hAnsi="Courier New" w:hint="default"/>
      </w:rPr>
    </w:lvl>
    <w:lvl w:ilvl="2" w:tplc="79D0C410">
      <w:start w:val="1"/>
      <w:numFmt w:val="bullet"/>
      <w:lvlText w:val=""/>
      <w:lvlJc w:val="left"/>
      <w:pPr>
        <w:ind w:left="2160" w:hanging="360"/>
      </w:pPr>
      <w:rPr>
        <w:rFonts w:ascii="Wingdings" w:hAnsi="Wingdings" w:hint="default"/>
      </w:rPr>
    </w:lvl>
    <w:lvl w:ilvl="3" w:tplc="13089268">
      <w:start w:val="1"/>
      <w:numFmt w:val="bullet"/>
      <w:lvlText w:val=""/>
      <w:lvlJc w:val="left"/>
      <w:pPr>
        <w:ind w:left="2880" w:hanging="360"/>
      </w:pPr>
      <w:rPr>
        <w:rFonts w:ascii="Symbol" w:hAnsi="Symbol" w:hint="default"/>
      </w:rPr>
    </w:lvl>
    <w:lvl w:ilvl="4" w:tplc="29C28340">
      <w:start w:val="1"/>
      <w:numFmt w:val="bullet"/>
      <w:lvlText w:val="o"/>
      <w:lvlJc w:val="left"/>
      <w:pPr>
        <w:ind w:left="3600" w:hanging="360"/>
      </w:pPr>
      <w:rPr>
        <w:rFonts w:ascii="Courier New" w:hAnsi="Courier New" w:hint="default"/>
      </w:rPr>
    </w:lvl>
    <w:lvl w:ilvl="5" w:tplc="BC904F18">
      <w:start w:val="1"/>
      <w:numFmt w:val="bullet"/>
      <w:lvlText w:val=""/>
      <w:lvlJc w:val="left"/>
      <w:pPr>
        <w:ind w:left="4320" w:hanging="360"/>
      </w:pPr>
      <w:rPr>
        <w:rFonts w:ascii="Wingdings" w:hAnsi="Wingdings" w:hint="default"/>
      </w:rPr>
    </w:lvl>
    <w:lvl w:ilvl="6" w:tplc="B1BC2760">
      <w:start w:val="1"/>
      <w:numFmt w:val="bullet"/>
      <w:lvlText w:val=""/>
      <w:lvlJc w:val="left"/>
      <w:pPr>
        <w:ind w:left="5040" w:hanging="360"/>
      </w:pPr>
      <w:rPr>
        <w:rFonts w:ascii="Symbol" w:hAnsi="Symbol" w:hint="default"/>
      </w:rPr>
    </w:lvl>
    <w:lvl w:ilvl="7" w:tplc="F4A86988">
      <w:start w:val="1"/>
      <w:numFmt w:val="bullet"/>
      <w:lvlText w:val="o"/>
      <w:lvlJc w:val="left"/>
      <w:pPr>
        <w:ind w:left="5760" w:hanging="360"/>
      </w:pPr>
      <w:rPr>
        <w:rFonts w:ascii="Courier New" w:hAnsi="Courier New" w:hint="default"/>
      </w:rPr>
    </w:lvl>
    <w:lvl w:ilvl="8" w:tplc="F3EE7A76">
      <w:start w:val="1"/>
      <w:numFmt w:val="bullet"/>
      <w:lvlText w:val=""/>
      <w:lvlJc w:val="left"/>
      <w:pPr>
        <w:ind w:left="6480" w:hanging="360"/>
      </w:pPr>
      <w:rPr>
        <w:rFonts w:ascii="Wingdings" w:hAnsi="Wingdings" w:hint="default"/>
      </w:rPr>
    </w:lvl>
  </w:abstractNum>
  <w:abstractNum w:abstractNumId="126" w15:restartNumberingAfterBreak="0">
    <w:nsid w:val="42C65529"/>
    <w:multiLevelType w:val="hybridMultilevel"/>
    <w:tmpl w:val="C19AB39C"/>
    <w:lvl w:ilvl="0" w:tplc="9ABCAB8A">
      <w:start w:val="1"/>
      <w:numFmt w:val="decimal"/>
      <w:lvlText w:val="%1."/>
      <w:lvlJc w:val="left"/>
      <w:pPr>
        <w:ind w:left="720" w:hanging="360"/>
      </w:pPr>
      <w:rPr>
        <w:rFonts w:hint="default"/>
        <w:sz w:val="20"/>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2E87A6A"/>
    <w:multiLevelType w:val="hybridMultilevel"/>
    <w:tmpl w:val="1C346DC8"/>
    <w:lvl w:ilvl="0" w:tplc="5330B486">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8" w15:restartNumberingAfterBreak="0">
    <w:nsid w:val="43387C18"/>
    <w:multiLevelType w:val="hybridMultilevel"/>
    <w:tmpl w:val="11684956"/>
    <w:lvl w:ilvl="0" w:tplc="E95E6458">
      <w:start w:val="1"/>
      <w:numFmt w:val="decimal"/>
      <w:lvlText w:val="%1."/>
      <w:lvlJc w:val="left"/>
      <w:pPr>
        <w:ind w:left="1920" w:hanging="360"/>
      </w:pPr>
      <w:rPr>
        <w:rFonts w:asciiTheme="majorBidi" w:hAnsiTheme="majorBidi" w:cstheme="majorBidi" w:hint="default"/>
        <w:b/>
        <w:bCs/>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434458EC"/>
    <w:multiLevelType w:val="hybridMultilevel"/>
    <w:tmpl w:val="FFFFFFFF"/>
    <w:lvl w:ilvl="0" w:tplc="5F56EB7A">
      <w:start w:val="1"/>
      <w:numFmt w:val="bullet"/>
      <w:lvlText w:val="·"/>
      <w:lvlJc w:val="left"/>
      <w:pPr>
        <w:ind w:left="720" w:hanging="360"/>
      </w:pPr>
      <w:rPr>
        <w:rFonts w:ascii="Symbol" w:hAnsi="Symbol" w:hint="default"/>
      </w:rPr>
    </w:lvl>
    <w:lvl w:ilvl="1" w:tplc="51440F48">
      <w:start w:val="1"/>
      <w:numFmt w:val="bullet"/>
      <w:lvlText w:val="o"/>
      <w:lvlJc w:val="left"/>
      <w:pPr>
        <w:ind w:left="1440" w:hanging="360"/>
      </w:pPr>
      <w:rPr>
        <w:rFonts w:ascii="Courier New" w:hAnsi="Courier New" w:hint="default"/>
      </w:rPr>
    </w:lvl>
    <w:lvl w:ilvl="2" w:tplc="AA3A1292">
      <w:start w:val="1"/>
      <w:numFmt w:val="bullet"/>
      <w:lvlText w:val=""/>
      <w:lvlJc w:val="left"/>
      <w:pPr>
        <w:ind w:left="2160" w:hanging="360"/>
      </w:pPr>
      <w:rPr>
        <w:rFonts w:ascii="Wingdings" w:hAnsi="Wingdings" w:hint="default"/>
      </w:rPr>
    </w:lvl>
    <w:lvl w:ilvl="3" w:tplc="DBBA22A4">
      <w:start w:val="1"/>
      <w:numFmt w:val="bullet"/>
      <w:lvlText w:val=""/>
      <w:lvlJc w:val="left"/>
      <w:pPr>
        <w:ind w:left="2880" w:hanging="360"/>
      </w:pPr>
      <w:rPr>
        <w:rFonts w:ascii="Symbol" w:hAnsi="Symbol" w:hint="default"/>
      </w:rPr>
    </w:lvl>
    <w:lvl w:ilvl="4" w:tplc="69E4B2D2">
      <w:start w:val="1"/>
      <w:numFmt w:val="bullet"/>
      <w:lvlText w:val="o"/>
      <w:lvlJc w:val="left"/>
      <w:pPr>
        <w:ind w:left="3600" w:hanging="360"/>
      </w:pPr>
      <w:rPr>
        <w:rFonts w:ascii="Courier New" w:hAnsi="Courier New" w:hint="default"/>
      </w:rPr>
    </w:lvl>
    <w:lvl w:ilvl="5" w:tplc="AB7ADAC4">
      <w:start w:val="1"/>
      <w:numFmt w:val="bullet"/>
      <w:lvlText w:val=""/>
      <w:lvlJc w:val="left"/>
      <w:pPr>
        <w:ind w:left="4320" w:hanging="360"/>
      </w:pPr>
      <w:rPr>
        <w:rFonts w:ascii="Wingdings" w:hAnsi="Wingdings" w:hint="default"/>
      </w:rPr>
    </w:lvl>
    <w:lvl w:ilvl="6" w:tplc="15C21FE0">
      <w:start w:val="1"/>
      <w:numFmt w:val="bullet"/>
      <w:lvlText w:val=""/>
      <w:lvlJc w:val="left"/>
      <w:pPr>
        <w:ind w:left="5040" w:hanging="360"/>
      </w:pPr>
      <w:rPr>
        <w:rFonts w:ascii="Symbol" w:hAnsi="Symbol" w:hint="default"/>
      </w:rPr>
    </w:lvl>
    <w:lvl w:ilvl="7" w:tplc="2CBE053A">
      <w:start w:val="1"/>
      <w:numFmt w:val="bullet"/>
      <w:lvlText w:val="o"/>
      <w:lvlJc w:val="left"/>
      <w:pPr>
        <w:ind w:left="5760" w:hanging="360"/>
      </w:pPr>
      <w:rPr>
        <w:rFonts w:ascii="Courier New" w:hAnsi="Courier New" w:hint="default"/>
      </w:rPr>
    </w:lvl>
    <w:lvl w:ilvl="8" w:tplc="048A9112">
      <w:start w:val="1"/>
      <w:numFmt w:val="bullet"/>
      <w:lvlText w:val=""/>
      <w:lvlJc w:val="left"/>
      <w:pPr>
        <w:ind w:left="6480" w:hanging="360"/>
      </w:pPr>
      <w:rPr>
        <w:rFonts w:ascii="Wingdings" w:hAnsi="Wingdings" w:hint="default"/>
      </w:rPr>
    </w:lvl>
  </w:abstractNum>
  <w:abstractNum w:abstractNumId="130" w15:restartNumberingAfterBreak="0">
    <w:nsid w:val="44150AA6"/>
    <w:multiLevelType w:val="hybridMultilevel"/>
    <w:tmpl w:val="FFFFFFFF"/>
    <w:lvl w:ilvl="0" w:tplc="42DE8C46">
      <w:start w:val="1"/>
      <w:numFmt w:val="bullet"/>
      <w:lvlText w:val=""/>
      <w:lvlJc w:val="left"/>
      <w:pPr>
        <w:ind w:left="720" w:hanging="360"/>
      </w:pPr>
      <w:rPr>
        <w:rFonts w:ascii="Symbol" w:hAnsi="Symbol" w:hint="default"/>
      </w:rPr>
    </w:lvl>
    <w:lvl w:ilvl="1" w:tplc="E7541AA6">
      <w:start w:val="1"/>
      <w:numFmt w:val="bullet"/>
      <w:lvlText w:val="o"/>
      <w:lvlJc w:val="left"/>
      <w:pPr>
        <w:ind w:left="1440" w:hanging="360"/>
      </w:pPr>
      <w:rPr>
        <w:rFonts w:ascii="Courier New" w:hAnsi="Courier New" w:hint="default"/>
      </w:rPr>
    </w:lvl>
    <w:lvl w:ilvl="2" w:tplc="A710C03C">
      <w:start w:val="1"/>
      <w:numFmt w:val="bullet"/>
      <w:lvlText w:val=""/>
      <w:lvlJc w:val="left"/>
      <w:pPr>
        <w:ind w:left="2160" w:hanging="360"/>
      </w:pPr>
      <w:rPr>
        <w:rFonts w:ascii="Wingdings" w:hAnsi="Wingdings" w:hint="default"/>
      </w:rPr>
    </w:lvl>
    <w:lvl w:ilvl="3" w:tplc="6CF45204">
      <w:start w:val="1"/>
      <w:numFmt w:val="bullet"/>
      <w:lvlText w:val=""/>
      <w:lvlJc w:val="left"/>
      <w:pPr>
        <w:ind w:left="2880" w:hanging="360"/>
      </w:pPr>
      <w:rPr>
        <w:rFonts w:ascii="Symbol" w:hAnsi="Symbol" w:hint="default"/>
      </w:rPr>
    </w:lvl>
    <w:lvl w:ilvl="4" w:tplc="D58C0242">
      <w:start w:val="1"/>
      <w:numFmt w:val="bullet"/>
      <w:lvlText w:val="o"/>
      <w:lvlJc w:val="left"/>
      <w:pPr>
        <w:ind w:left="3600" w:hanging="360"/>
      </w:pPr>
      <w:rPr>
        <w:rFonts w:ascii="Courier New" w:hAnsi="Courier New" w:hint="default"/>
      </w:rPr>
    </w:lvl>
    <w:lvl w:ilvl="5" w:tplc="E102B232">
      <w:start w:val="1"/>
      <w:numFmt w:val="bullet"/>
      <w:lvlText w:val=""/>
      <w:lvlJc w:val="left"/>
      <w:pPr>
        <w:ind w:left="4320" w:hanging="360"/>
      </w:pPr>
      <w:rPr>
        <w:rFonts w:ascii="Wingdings" w:hAnsi="Wingdings" w:hint="default"/>
      </w:rPr>
    </w:lvl>
    <w:lvl w:ilvl="6" w:tplc="AC583CAC">
      <w:start w:val="1"/>
      <w:numFmt w:val="bullet"/>
      <w:lvlText w:val=""/>
      <w:lvlJc w:val="left"/>
      <w:pPr>
        <w:ind w:left="5040" w:hanging="360"/>
      </w:pPr>
      <w:rPr>
        <w:rFonts w:ascii="Symbol" w:hAnsi="Symbol" w:hint="default"/>
      </w:rPr>
    </w:lvl>
    <w:lvl w:ilvl="7" w:tplc="139458EA">
      <w:start w:val="1"/>
      <w:numFmt w:val="bullet"/>
      <w:lvlText w:val="o"/>
      <w:lvlJc w:val="left"/>
      <w:pPr>
        <w:ind w:left="5760" w:hanging="360"/>
      </w:pPr>
      <w:rPr>
        <w:rFonts w:ascii="Courier New" w:hAnsi="Courier New" w:hint="default"/>
      </w:rPr>
    </w:lvl>
    <w:lvl w:ilvl="8" w:tplc="9C866D72">
      <w:start w:val="1"/>
      <w:numFmt w:val="bullet"/>
      <w:lvlText w:val=""/>
      <w:lvlJc w:val="left"/>
      <w:pPr>
        <w:ind w:left="6480" w:hanging="360"/>
      </w:pPr>
      <w:rPr>
        <w:rFonts w:ascii="Wingdings" w:hAnsi="Wingdings" w:hint="default"/>
      </w:rPr>
    </w:lvl>
  </w:abstractNum>
  <w:abstractNum w:abstractNumId="131" w15:restartNumberingAfterBreak="0">
    <w:nsid w:val="44221950"/>
    <w:multiLevelType w:val="multilevel"/>
    <w:tmpl w:val="97B2EF16"/>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132" w15:restartNumberingAfterBreak="0">
    <w:nsid w:val="442A44C5"/>
    <w:multiLevelType w:val="hybridMultilevel"/>
    <w:tmpl w:val="13B8D816"/>
    <w:lvl w:ilvl="0" w:tplc="0706B83E">
      <w:start w:val="1"/>
      <w:numFmt w:val="decimal"/>
      <w:lvlText w:val="%1."/>
      <w:lvlJc w:val="left"/>
      <w:pPr>
        <w:ind w:left="720" w:hanging="360"/>
      </w:pPr>
      <w:rPr>
        <w:rFonts w:ascii="Arial" w:hAnsi="Arial" w:cs="Arial" w:hint="default"/>
        <w:sz w:val="16"/>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45766FEE"/>
    <w:multiLevelType w:val="hybridMultilevel"/>
    <w:tmpl w:val="A8DA55BA"/>
    <w:lvl w:ilvl="0" w:tplc="254C4254">
      <w:start w:val="1"/>
      <w:numFmt w:val="bullet"/>
      <w:lvlText w:val=""/>
      <w:lvlJc w:val="left"/>
      <w:pPr>
        <w:ind w:left="720" w:hanging="360"/>
      </w:pPr>
      <w:rPr>
        <w:rFonts w:ascii="Symbol" w:hAnsi="Symbol" w:hint="default"/>
      </w:rPr>
    </w:lvl>
    <w:lvl w:ilvl="1" w:tplc="ECB6A340">
      <w:start w:val="1"/>
      <w:numFmt w:val="bullet"/>
      <w:lvlText w:val="o"/>
      <w:lvlJc w:val="left"/>
      <w:pPr>
        <w:ind w:left="1440" w:hanging="360"/>
      </w:pPr>
      <w:rPr>
        <w:rFonts w:ascii="Courier New" w:hAnsi="Courier New" w:hint="default"/>
      </w:rPr>
    </w:lvl>
    <w:lvl w:ilvl="2" w:tplc="47A031FE">
      <w:start w:val="1"/>
      <w:numFmt w:val="bullet"/>
      <w:lvlText w:val=""/>
      <w:lvlJc w:val="left"/>
      <w:pPr>
        <w:ind w:left="2160" w:hanging="360"/>
      </w:pPr>
      <w:rPr>
        <w:rFonts w:ascii="Wingdings" w:hAnsi="Wingdings" w:hint="default"/>
      </w:rPr>
    </w:lvl>
    <w:lvl w:ilvl="3" w:tplc="669E5BFC">
      <w:start w:val="1"/>
      <w:numFmt w:val="bullet"/>
      <w:lvlText w:val=""/>
      <w:lvlJc w:val="left"/>
      <w:pPr>
        <w:ind w:left="2880" w:hanging="360"/>
      </w:pPr>
      <w:rPr>
        <w:rFonts w:ascii="Symbol" w:hAnsi="Symbol" w:hint="default"/>
      </w:rPr>
    </w:lvl>
    <w:lvl w:ilvl="4" w:tplc="41361C86">
      <w:start w:val="1"/>
      <w:numFmt w:val="bullet"/>
      <w:lvlText w:val="o"/>
      <w:lvlJc w:val="left"/>
      <w:pPr>
        <w:ind w:left="3600" w:hanging="360"/>
      </w:pPr>
      <w:rPr>
        <w:rFonts w:ascii="Courier New" w:hAnsi="Courier New" w:hint="default"/>
      </w:rPr>
    </w:lvl>
    <w:lvl w:ilvl="5" w:tplc="C6483962">
      <w:start w:val="1"/>
      <w:numFmt w:val="bullet"/>
      <w:lvlText w:val=""/>
      <w:lvlJc w:val="left"/>
      <w:pPr>
        <w:ind w:left="4320" w:hanging="360"/>
      </w:pPr>
      <w:rPr>
        <w:rFonts w:ascii="Wingdings" w:hAnsi="Wingdings" w:hint="default"/>
      </w:rPr>
    </w:lvl>
    <w:lvl w:ilvl="6" w:tplc="CFFA48E6">
      <w:start w:val="1"/>
      <w:numFmt w:val="bullet"/>
      <w:lvlText w:val=""/>
      <w:lvlJc w:val="left"/>
      <w:pPr>
        <w:ind w:left="5040" w:hanging="360"/>
      </w:pPr>
      <w:rPr>
        <w:rFonts w:ascii="Symbol" w:hAnsi="Symbol" w:hint="default"/>
      </w:rPr>
    </w:lvl>
    <w:lvl w:ilvl="7" w:tplc="1DB63874">
      <w:start w:val="1"/>
      <w:numFmt w:val="bullet"/>
      <w:lvlText w:val="o"/>
      <w:lvlJc w:val="left"/>
      <w:pPr>
        <w:ind w:left="5760" w:hanging="360"/>
      </w:pPr>
      <w:rPr>
        <w:rFonts w:ascii="Courier New" w:hAnsi="Courier New" w:hint="default"/>
      </w:rPr>
    </w:lvl>
    <w:lvl w:ilvl="8" w:tplc="1EB0D1A0">
      <w:start w:val="1"/>
      <w:numFmt w:val="bullet"/>
      <w:lvlText w:val=""/>
      <w:lvlJc w:val="left"/>
      <w:pPr>
        <w:ind w:left="6480" w:hanging="360"/>
      </w:pPr>
      <w:rPr>
        <w:rFonts w:ascii="Wingdings" w:hAnsi="Wingdings" w:hint="default"/>
      </w:rPr>
    </w:lvl>
  </w:abstractNum>
  <w:abstractNum w:abstractNumId="134" w15:restartNumberingAfterBreak="0">
    <w:nsid w:val="4663047A"/>
    <w:multiLevelType w:val="hybridMultilevel"/>
    <w:tmpl w:val="E9EA4AFA"/>
    <w:lvl w:ilvl="0" w:tplc="C1F219C0">
      <w:start w:val="1"/>
      <w:numFmt w:val="decimal"/>
      <w:lvlText w:val="%1."/>
      <w:lvlJc w:val="left"/>
      <w:pPr>
        <w:ind w:left="720" w:hanging="360"/>
      </w:pPr>
    </w:lvl>
    <w:lvl w:ilvl="1" w:tplc="4648A646">
      <w:start w:val="1"/>
      <w:numFmt w:val="decimal"/>
      <w:lvlText w:val="%2."/>
      <w:lvlJc w:val="left"/>
      <w:pPr>
        <w:ind w:left="1440" w:hanging="360"/>
      </w:pPr>
    </w:lvl>
    <w:lvl w:ilvl="2" w:tplc="7632B6DA">
      <w:start w:val="1"/>
      <w:numFmt w:val="lowerRoman"/>
      <w:lvlText w:val="%3."/>
      <w:lvlJc w:val="right"/>
      <w:pPr>
        <w:ind w:left="2160" w:hanging="180"/>
      </w:pPr>
    </w:lvl>
    <w:lvl w:ilvl="3" w:tplc="72800CC2">
      <w:start w:val="1"/>
      <w:numFmt w:val="decimal"/>
      <w:lvlText w:val="%4."/>
      <w:lvlJc w:val="left"/>
      <w:pPr>
        <w:ind w:left="2880" w:hanging="360"/>
      </w:pPr>
    </w:lvl>
    <w:lvl w:ilvl="4" w:tplc="C6263308">
      <w:start w:val="1"/>
      <w:numFmt w:val="lowerLetter"/>
      <w:lvlText w:val="%5."/>
      <w:lvlJc w:val="left"/>
      <w:pPr>
        <w:ind w:left="3600" w:hanging="360"/>
      </w:pPr>
    </w:lvl>
    <w:lvl w:ilvl="5" w:tplc="0FEE5F7E">
      <w:start w:val="1"/>
      <w:numFmt w:val="lowerRoman"/>
      <w:lvlText w:val="%6."/>
      <w:lvlJc w:val="right"/>
      <w:pPr>
        <w:ind w:left="4320" w:hanging="180"/>
      </w:pPr>
    </w:lvl>
    <w:lvl w:ilvl="6" w:tplc="F53490C0">
      <w:start w:val="1"/>
      <w:numFmt w:val="decimal"/>
      <w:lvlText w:val="%7."/>
      <w:lvlJc w:val="left"/>
      <w:pPr>
        <w:ind w:left="5040" w:hanging="360"/>
      </w:pPr>
    </w:lvl>
    <w:lvl w:ilvl="7" w:tplc="BA96C004">
      <w:start w:val="1"/>
      <w:numFmt w:val="lowerLetter"/>
      <w:lvlText w:val="%8."/>
      <w:lvlJc w:val="left"/>
      <w:pPr>
        <w:ind w:left="5760" w:hanging="360"/>
      </w:pPr>
    </w:lvl>
    <w:lvl w:ilvl="8" w:tplc="DEDA1350">
      <w:start w:val="1"/>
      <w:numFmt w:val="lowerRoman"/>
      <w:lvlText w:val="%9."/>
      <w:lvlJc w:val="right"/>
      <w:pPr>
        <w:ind w:left="6480" w:hanging="180"/>
      </w:pPr>
    </w:lvl>
  </w:abstractNum>
  <w:abstractNum w:abstractNumId="135" w15:restartNumberingAfterBreak="0">
    <w:nsid w:val="480811B7"/>
    <w:multiLevelType w:val="hybridMultilevel"/>
    <w:tmpl w:val="C758EE60"/>
    <w:lvl w:ilvl="0" w:tplc="C1800190">
      <w:start w:val="1"/>
      <w:numFmt w:val="lowerLetter"/>
      <w:lvlText w:val="(%1)"/>
      <w:lvlJc w:val="left"/>
      <w:pPr>
        <w:ind w:left="720" w:hanging="360"/>
      </w:pPr>
      <w:rPr>
        <w:rFonts w:ascii="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48E1113F"/>
    <w:multiLevelType w:val="hybridMultilevel"/>
    <w:tmpl w:val="FFFFFFFF"/>
    <w:lvl w:ilvl="0" w:tplc="C54C9CF2">
      <w:start w:val="1"/>
      <w:numFmt w:val="bullet"/>
      <w:lvlText w:val=""/>
      <w:lvlJc w:val="left"/>
      <w:pPr>
        <w:ind w:left="720" w:hanging="360"/>
      </w:pPr>
      <w:rPr>
        <w:rFonts w:ascii="Symbol" w:hAnsi="Symbol" w:hint="default"/>
      </w:rPr>
    </w:lvl>
    <w:lvl w:ilvl="1" w:tplc="71F89F1C">
      <w:start w:val="1"/>
      <w:numFmt w:val="bullet"/>
      <w:lvlText w:val="o"/>
      <w:lvlJc w:val="left"/>
      <w:pPr>
        <w:ind w:left="1440" w:hanging="360"/>
      </w:pPr>
      <w:rPr>
        <w:rFonts w:ascii="Courier New" w:hAnsi="Courier New" w:hint="default"/>
      </w:rPr>
    </w:lvl>
    <w:lvl w:ilvl="2" w:tplc="8A4875FE">
      <w:start w:val="1"/>
      <w:numFmt w:val="bullet"/>
      <w:lvlText w:val=""/>
      <w:lvlJc w:val="left"/>
      <w:pPr>
        <w:ind w:left="2160" w:hanging="360"/>
      </w:pPr>
      <w:rPr>
        <w:rFonts w:ascii="Wingdings" w:hAnsi="Wingdings" w:hint="default"/>
      </w:rPr>
    </w:lvl>
    <w:lvl w:ilvl="3" w:tplc="EFA8952C">
      <w:start w:val="1"/>
      <w:numFmt w:val="bullet"/>
      <w:lvlText w:val=""/>
      <w:lvlJc w:val="left"/>
      <w:pPr>
        <w:ind w:left="2880" w:hanging="360"/>
      </w:pPr>
      <w:rPr>
        <w:rFonts w:ascii="Symbol" w:hAnsi="Symbol" w:hint="default"/>
      </w:rPr>
    </w:lvl>
    <w:lvl w:ilvl="4" w:tplc="1E8062A6">
      <w:start w:val="1"/>
      <w:numFmt w:val="bullet"/>
      <w:lvlText w:val="o"/>
      <w:lvlJc w:val="left"/>
      <w:pPr>
        <w:ind w:left="3600" w:hanging="360"/>
      </w:pPr>
      <w:rPr>
        <w:rFonts w:ascii="Courier New" w:hAnsi="Courier New" w:hint="default"/>
      </w:rPr>
    </w:lvl>
    <w:lvl w:ilvl="5" w:tplc="FD987724">
      <w:start w:val="1"/>
      <w:numFmt w:val="bullet"/>
      <w:lvlText w:val=""/>
      <w:lvlJc w:val="left"/>
      <w:pPr>
        <w:ind w:left="4320" w:hanging="360"/>
      </w:pPr>
      <w:rPr>
        <w:rFonts w:ascii="Wingdings" w:hAnsi="Wingdings" w:hint="default"/>
      </w:rPr>
    </w:lvl>
    <w:lvl w:ilvl="6" w:tplc="37B478A6">
      <w:start w:val="1"/>
      <w:numFmt w:val="bullet"/>
      <w:lvlText w:val=""/>
      <w:lvlJc w:val="left"/>
      <w:pPr>
        <w:ind w:left="5040" w:hanging="360"/>
      </w:pPr>
      <w:rPr>
        <w:rFonts w:ascii="Symbol" w:hAnsi="Symbol" w:hint="default"/>
      </w:rPr>
    </w:lvl>
    <w:lvl w:ilvl="7" w:tplc="E8548DA6">
      <w:start w:val="1"/>
      <w:numFmt w:val="bullet"/>
      <w:lvlText w:val="o"/>
      <w:lvlJc w:val="left"/>
      <w:pPr>
        <w:ind w:left="5760" w:hanging="360"/>
      </w:pPr>
      <w:rPr>
        <w:rFonts w:ascii="Courier New" w:hAnsi="Courier New" w:hint="default"/>
      </w:rPr>
    </w:lvl>
    <w:lvl w:ilvl="8" w:tplc="7E4491A0">
      <w:start w:val="1"/>
      <w:numFmt w:val="bullet"/>
      <w:lvlText w:val=""/>
      <w:lvlJc w:val="left"/>
      <w:pPr>
        <w:ind w:left="6480" w:hanging="360"/>
      </w:pPr>
      <w:rPr>
        <w:rFonts w:ascii="Wingdings" w:hAnsi="Wingdings" w:hint="default"/>
      </w:rPr>
    </w:lvl>
  </w:abstractNum>
  <w:abstractNum w:abstractNumId="137" w15:restartNumberingAfterBreak="0">
    <w:nsid w:val="48FE0E87"/>
    <w:multiLevelType w:val="hybridMultilevel"/>
    <w:tmpl w:val="FFFFFFFF"/>
    <w:lvl w:ilvl="0" w:tplc="F8FC635A">
      <w:start w:val="1"/>
      <w:numFmt w:val="bullet"/>
      <w:lvlText w:val=""/>
      <w:lvlJc w:val="left"/>
      <w:pPr>
        <w:ind w:left="720" w:hanging="360"/>
      </w:pPr>
      <w:rPr>
        <w:rFonts w:ascii="Symbol" w:hAnsi="Symbol" w:hint="default"/>
      </w:rPr>
    </w:lvl>
    <w:lvl w:ilvl="1" w:tplc="D3B8D674">
      <w:start w:val="1"/>
      <w:numFmt w:val="bullet"/>
      <w:lvlText w:val="o"/>
      <w:lvlJc w:val="left"/>
      <w:pPr>
        <w:ind w:left="1440" w:hanging="360"/>
      </w:pPr>
      <w:rPr>
        <w:rFonts w:ascii="Courier New" w:hAnsi="Courier New" w:hint="default"/>
      </w:rPr>
    </w:lvl>
    <w:lvl w:ilvl="2" w:tplc="D234CAB2">
      <w:start w:val="1"/>
      <w:numFmt w:val="bullet"/>
      <w:lvlText w:val=""/>
      <w:lvlJc w:val="left"/>
      <w:pPr>
        <w:ind w:left="2160" w:hanging="360"/>
      </w:pPr>
      <w:rPr>
        <w:rFonts w:ascii="Wingdings" w:hAnsi="Wingdings" w:hint="default"/>
      </w:rPr>
    </w:lvl>
    <w:lvl w:ilvl="3" w:tplc="9AE490C2">
      <w:start w:val="1"/>
      <w:numFmt w:val="bullet"/>
      <w:lvlText w:val=""/>
      <w:lvlJc w:val="left"/>
      <w:pPr>
        <w:ind w:left="2880" w:hanging="360"/>
      </w:pPr>
      <w:rPr>
        <w:rFonts w:ascii="Symbol" w:hAnsi="Symbol" w:hint="default"/>
      </w:rPr>
    </w:lvl>
    <w:lvl w:ilvl="4" w:tplc="D02A5174">
      <w:start w:val="1"/>
      <w:numFmt w:val="bullet"/>
      <w:lvlText w:val="o"/>
      <w:lvlJc w:val="left"/>
      <w:pPr>
        <w:ind w:left="3600" w:hanging="360"/>
      </w:pPr>
      <w:rPr>
        <w:rFonts w:ascii="Courier New" w:hAnsi="Courier New" w:hint="default"/>
      </w:rPr>
    </w:lvl>
    <w:lvl w:ilvl="5" w:tplc="1F462D20">
      <w:start w:val="1"/>
      <w:numFmt w:val="bullet"/>
      <w:lvlText w:val=""/>
      <w:lvlJc w:val="left"/>
      <w:pPr>
        <w:ind w:left="4320" w:hanging="360"/>
      </w:pPr>
      <w:rPr>
        <w:rFonts w:ascii="Wingdings" w:hAnsi="Wingdings" w:hint="default"/>
      </w:rPr>
    </w:lvl>
    <w:lvl w:ilvl="6" w:tplc="93BE8EF2">
      <w:start w:val="1"/>
      <w:numFmt w:val="bullet"/>
      <w:lvlText w:val=""/>
      <w:lvlJc w:val="left"/>
      <w:pPr>
        <w:ind w:left="5040" w:hanging="360"/>
      </w:pPr>
      <w:rPr>
        <w:rFonts w:ascii="Symbol" w:hAnsi="Symbol" w:hint="default"/>
      </w:rPr>
    </w:lvl>
    <w:lvl w:ilvl="7" w:tplc="462EDF40">
      <w:start w:val="1"/>
      <w:numFmt w:val="bullet"/>
      <w:lvlText w:val="o"/>
      <w:lvlJc w:val="left"/>
      <w:pPr>
        <w:ind w:left="5760" w:hanging="360"/>
      </w:pPr>
      <w:rPr>
        <w:rFonts w:ascii="Courier New" w:hAnsi="Courier New" w:hint="default"/>
      </w:rPr>
    </w:lvl>
    <w:lvl w:ilvl="8" w:tplc="2DC68F58">
      <w:start w:val="1"/>
      <w:numFmt w:val="bullet"/>
      <w:lvlText w:val=""/>
      <w:lvlJc w:val="left"/>
      <w:pPr>
        <w:ind w:left="6480" w:hanging="360"/>
      </w:pPr>
      <w:rPr>
        <w:rFonts w:ascii="Wingdings" w:hAnsi="Wingdings" w:hint="default"/>
      </w:rPr>
    </w:lvl>
  </w:abstractNum>
  <w:abstractNum w:abstractNumId="138" w15:restartNumberingAfterBreak="0">
    <w:nsid w:val="49D10FF6"/>
    <w:multiLevelType w:val="hybridMultilevel"/>
    <w:tmpl w:val="E0ACB4EC"/>
    <w:lvl w:ilvl="0" w:tplc="B3C05CC2">
      <w:start w:val="1"/>
      <w:numFmt w:val="bullet"/>
      <w:lvlText w:val=""/>
      <w:lvlJc w:val="left"/>
      <w:pPr>
        <w:ind w:left="720" w:hanging="360"/>
      </w:pPr>
      <w:rPr>
        <w:rFonts w:ascii="Symbol" w:hAnsi="Symbol"/>
      </w:rPr>
    </w:lvl>
    <w:lvl w:ilvl="1" w:tplc="B3C05CC2">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4A5A347C"/>
    <w:multiLevelType w:val="hybridMultilevel"/>
    <w:tmpl w:val="FFFFFFFF"/>
    <w:lvl w:ilvl="0" w:tplc="46F6B6B8">
      <w:start w:val="1"/>
      <w:numFmt w:val="decimal"/>
      <w:lvlText w:val="%1."/>
      <w:lvlJc w:val="left"/>
      <w:pPr>
        <w:tabs>
          <w:tab w:val="num" w:pos="720"/>
        </w:tabs>
        <w:ind w:left="720" w:hanging="720"/>
      </w:pPr>
    </w:lvl>
    <w:lvl w:ilvl="1" w:tplc="205CADE2">
      <w:start w:val="1"/>
      <w:numFmt w:val="decimal"/>
      <w:lvlText w:val="%2."/>
      <w:lvlJc w:val="left"/>
      <w:pPr>
        <w:tabs>
          <w:tab w:val="num" w:pos="1440"/>
        </w:tabs>
        <w:ind w:left="1440" w:hanging="720"/>
      </w:pPr>
    </w:lvl>
    <w:lvl w:ilvl="2" w:tplc="2C82EB6A">
      <w:start w:val="1"/>
      <w:numFmt w:val="decimal"/>
      <w:lvlText w:val="%3."/>
      <w:lvlJc w:val="left"/>
      <w:pPr>
        <w:tabs>
          <w:tab w:val="num" w:pos="2160"/>
        </w:tabs>
        <w:ind w:left="2160" w:hanging="720"/>
      </w:pPr>
    </w:lvl>
    <w:lvl w:ilvl="3" w:tplc="CC149C62">
      <w:start w:val="1"/>
      <w:numFmt w:val="decimal"/>
      <w:lvlText w:val="%4."/>
      <w:lvlJc w:val="left"/>
      <w:pPr>
        <w:tabs>
          <w:tab w:val="num" w:pos="2880"/>
        </w:tabs>
        <w:ind w:left="2880" w:hanging="720"/>
      </w:pPr>
    </w:lvl>
    <w:lvl w:ilvl="4" w:tplc="D20E1864">
      <w:start w:val="1"/>
      <w:numFmt w:val="decimal"/>
      <w:lvlText w:val="%5."/>
      <w:lvlJc w:val="left"/>
      <w:pPr>
        <w:tabs>
          <w:tab w:val="num" w:pos="3600"/>
        </w:tabs>
        <w:ind w:left="3600" w:hanging="720"/>
      </w:pPr>
    </w:lvl>
    <w:lvl w:ilvl="5" w:tplc="2BDC056C">
      <w:start w:val="1"/>
      <w:numFmt w:val="decimal"/>
      <w:lvlText w:val="%6."/>
      <w:lvlJc w:val="left"/>
      <w:pPr>
        <w:tabs>
          <w:tab w:val="num" w:pos="4320"/>
        </w:tabs>
        <w:ind w:left="4320" w:hanging="720"/>
      </w:pPr>
    </w:lvl>
    <w:lvl w:ilvl="6" w:tplc="83B0730C">
      <w:start w:val="1"/>
      <w:numFmt w:val="decimal"/>
      <w:lvlText w:val="%7."/>
      <w:lvlJc w:val="left"/>
      <w:pPr>
        <w:tabs>
          <w:tab w:val="num" w:pos="5040"/>
        </w:tabs>
        <w:ind w:left="5040" w:hanging="720"/>
      </w:pPr>
    </w:lvl>
    <w:lvl w:ilvl="7" w:tplc="F634E93C">
      <w:start w:val="1"/>
      <w:numFmt w:val="decimal"/>
      <w:lvlText w:val="%8."/>
      <w:lvlJc w:val="left"/>
      <w:pPr>
        <w:tabs>
          <w:tab w:val="num" w:pos="5760"/>
        </w:tabs>
        <w:ind w:left="5760" w:hanging="720"/>
      </w:pPr>
    </w:lvl>
    <w:lvl w:ilvl="8" w:tplc="5D724F8E">
      <w:start w:val="1"/>
      <w:numFmt w:val="decimal"/>
      <w:lvlText w:val="%9."/>
      <w:lvlJc w:val="left"/>
      <w:pPr>
        <w:tabs>
          <w:tab w:val="num" w:pos="6480"/>
        </w:tabs>
        <w:ind w:left="6480" w:hanging="720"/>
      </w:pPr>
    </w:lvl>
  </w:abstractNum>
  <w:abstractNum w:abstractNumId="140" w15:restartNumberingAfterBreak="0">
    <w:nsid w:val="4B902167"/>
    <w:multiLevelType w:val="hybridMultilevel"/>
    <w:tmpl w:val="FFFFFFFF"/>
    <w:lvl w:ilvl="0" w:tplc="2CE6FCD0">
      <w:start w:val="1"/>
      <w:numFmt w:val="bullet"/>
      <w:lvlText w:val="·"/>
      <w:lvlJc w:val="left"/>
      <w:pPr>
        <w:ind w:left="720" w:hanging="360"/>
      </w:pPr>
      <w:rPr>
        <w:rFonts w:ascii="Symbol" w:hAnsi="Symbol" w:hint="default"/>
      </w:rPr>
    </w:lvl>
    <w:lvl w:ilvl="1" w:tplc="47D06D28">
      <w:start w:val="1"/>
      <w:numFmt w:val="bullet"/>
      <w:lvlText w:val="o"/>
      <w:lvlJc w:val="left"/>
      <w:pPr>
        <w:ind w:left="1440" w:hanging="360"/>
      </w:pPr>
      <w:rPr>
        <w:rFonts w:ascii="Courier New" w:hAnsi="Courier New" w:hint="default"/>
      </w:rPr>
    </w:lvl>
    <w:lvl w:ilvl="2" w:tplc="2F9A9BC4">
      <w:start w:val="1"/>
      <w:numFmt w:val="bullet"/>
      <w:lvlText w:val=""/>
      <w:lvlJc w:val="left"/>
      <w:pPr>
        <w:ind w:left="2160" w:hanging="360"/>
      </w:pPr>
      <w:rPr>
        <w:rFonts w:ascii="Wingdings" w:hAnsi="Wingdings" w:hint="default"/>
      </w:rPr>
    </w:lvl>
    <w:lvl w:ilvl="3" w:tplc="4B88366C">
      <w:start w:val="1"/>
      <w:numFmt w:val="bullet"/>
      <w:lvlText w:val=""/>
      <w:lvlJc w:val="left"/>
      <w:pPr>
        <w:ind w:left="2880" w:hanging="360"/>
      </w:pPr>
      <w:rPr>
        <w:rFonts w:ascii="Symbol" w:hAnsi="Symbol" w:hint="default"/>
      </w:rPr>
    </w:lvl>
    <w:lvl w:ilvl="4" w:tplc="3D30A504">
      <w:start w:val="1"/>
      <w:numFmt w:val="bullet"/>
      <w:lvlText w:val="o"/>
      <w:lvlJc w:val="left"/>
      <w:pPr>
        <w:ind w:left="3600" w:hanging="360"/>
      </w:pPr>
      <w:rPr>
        <w:rFonts w:ascii="Courier New" w:hAnsi="Courier New" w:hint="default"/>
      </w:rPr>
    </w:lvl>
    <w:lvl w:ilvl="5" w:tplc="FC887E04">
      <w:start w:val="1"/>
      <w:numFmt w:val="bullet"/>
      <w:lvlText w:val=""/>
      <w:lvlJc w:val="left"/>
      <w:pPr>
        <w:ind w:left="4320" w:hanging="360"/>
      </w:pPr>
      <w:rPr>
        <w:rFonts w:ascii="Wingdings" w:hAnsi="Wingdings" w:hint="default"/>
      </w:rPr>
    </w:lvl>
    <w:lvl w:ilvl="6" w:tplc="0788670C">
      <w:start w:val="1"/>
      <w:numFmt w:val="bullet"/>
      <w:lvlText w:val=""/>
      <w:lvlJc w:val="left"/>
      <w:pPr>
        <w:ind w:left="5040" w:hanging="360"/>
      </w:pPr>
      <w:rPr>
        <w:rFonts w:ascii="Symbol" w:hAnsi="Symbol" w:hint="default"/>
      </w:rPr>
    </w:lvl>
    <w:lvl w:ilvl="7" w:tplc="95C2C3AA">
      <w:start w:val="1"/>
      <w:numFmt w:val="bullet"/>
      <w:lvlText w:val="o"/>
      <w:lvlJc w:val="left"/>
      <w:pPr>
        <w:ind w:left="5760" w:hanging="360"/>
      </w:pPr>
      <w:rPr>
        <w:rFonts w:ascii="Courier New" w:hAnsi="Courier New" w:hint="default"/>
      </w:rPr>
    </w:lvl>
    <w:lvl w:ilvl="8" w:tplc="05A035B6">
      <w:start w:val="1"/>
      <w:numFmt w:val="bullet"/>
      <w:lvlText w:val=""/>
      <w:lvlJc w:val="left"/>
      <w:pPr>
        <w:ind w:left="6480" w:hanging="360"/>
      </w:pPr>
      <w:rPr>
        <w:rFonts w:ascii="Wingdings" w:hAnsi="Wingdings" w:hint="default"/>
      </w:rPr>
    </w:lvl>
  </w:abstractNum>
  <w:abstractNum w:abstractNumId="141" w15:restartNumberingAfterBreak="0">
    <w:nsid w:val="4BED75A7"/>
    <w:multiLevelType w:val="hybridMultilevel"/>
    <w:tmpl w:val="691CE120"/>
    <w:lvl w:ilvl="0" w:tplc="503C65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4BFE0DD4"/>
    <w:multiLevelType w:val="hybridMultilevel"/>
    <w:tmpl w:val="FFFFFFFF"/>
    <w:lvl w:ilvl="0" w:tplc="57F839BC">
      <w:start w:val="1"/>
      <w:numFmt w:val="bullet"/>
      <w:lvlText w:val=""/>
      <w:lvlJc w:val="left"/>
      <w:pPr>
        <w:ind w:left="720" w:hanging="360"/>
      </w:pPr>
      <w:rPr>
        <w:rFonts w:ascii="Symbol" w:hAnsi="Symbol" w:hint="default"/>
      </w:rPr>
    </w:lvl>
    <w:lvl w:ilvl="1" w:tplc="61184466">
      <w:start w:val="1"/>
      <w:numFmt w:val="bullet"/>
      <w:lvlText w:val="o"/>
      <w:lvlJc w:val="left"/>
      <w:pPr>
        <w:ind w:left="1440" w:hanging="360"/>
      </w:pPr>
      <w:rPr>
        <w:rFonts w:ascii="Courier New" w:hAnsi="Courier New" w:hint="default"/>
      </w:rPr>
    </w:lvl>
    <w:lvl w:ilvl="2" w:tplc="5B86B3A8">
      <w:start w:val="1"/>
      <w:numFmt w:val="bullet"/>
      <w:lvlText w:val=""/>
      <w:lvlJc w:val="left"/>
      <w:pPr>
        <w:ind w:left="2160" w:hanging="360"/>
      </w:pPr>
      <w:rPr>
        <w:rFonts w:ascii="Wingdings" w:hAnsi="Wingdings" w:hint="default"/>
      </w:rPr>
    </w:lvl>
    <w:lvl w:ilvl="3" w:tplc="E6A6314E">
      <w:start w:val="1"/>
      <w:numFmt w:val="bullet"/>
      <w:lvlText w:val=""/>
      <w:lvlJc w:val="left"/>
      <w:pPr>
        <w:ind w:left="2880" w:hanging="360"/>
      </w:pPr>
      <w:rPr>
        <w:rFonts w:ascii="Symbol" w:hAnsi="Symbol" w:hint="default"/>
      </w:rPr>
    </w:lvl>
    <w:lvl w:ilvl="4" w:tplc="DC16BAB0">
      <w:start w:val="1"/>
      <w:numFmt w:val="bullet"/>
      <w:lvlText w:val="o"/>
      <w:lvlJc w:val="left"/>
      <w:pPr>
        <w:ind w:left="3600" w:hanging="360"/>
      </w:pPr>
      <w:rPr>
        <w:rFonts w:ascii="Courier New" w:hAnsi="Courier New" w:hint="default"/>
      </w:rPr>
    </w:lvl>
    <w:lvl w:ilvl="5" w:tplc="7786E8EA">
      <w:start w:val="1"/>
      <w:numFmt w:val="bullet"/>
      <w:lvlText w:val=""/>
      <w:lvlJc w:val="left"/>
      <w:pPr>
        <w:ind w:left="4320" w:hanging="360"/>
      </w:pPr>
      <w:rPr>
        <w:rFonts w:ascii="Wingdings" w:hAnsi="Wingdings" w:hint="default"/>
      </w:rPr>
    </w:lvl>
    <w:lvl w:ilvl="6" w:tplc="E3FCCAB4">
      <w:start w:val="1"/>
      <w:numFmt w:val="bullet"/>
      <w:lvlText w:val=""/>
      <w:lvlJc w:val="left"/>
      <w:pPr>
        <w:ind w:left="5040" w:hanging="360"/>
      </w:pPr>
      <w:rPr>
        <w:rFonts w:ascii="Symbol" w:hAnsi="Symbol" w:hint="default"/>
      </w:rPr>
    </w:lvl>
    <w:lvl w:ilvl="7" w:tplc="E7BA6A2C">
      <w:start w:val="1"/>
      <w:numFmt w:val="bullet"/>
      <w:lvlText w:val="o"/>
      <w:lvlJc w:val="left"/>
      <w:pPr>
        <w:ind w:left="5760" w:hanging="360"/>
      </w:pPr>
      <w:rPr>
        <w:rFonts w:ascii="Courier New" w:hAnsi="Courier New" w:hint="default"/>
      </w:rPr>
    </w:lvl>
    <w:lvl w:ilvl="8" w:tplc="72DAB402">
      <w:start w:val="1"/>
      <w:numFmt w:val="bullet"/>
      <w:lvlText w:val=""/>
      <w:lvlJc w:val="left"/>
      <w:pPr>
        <w:ind w:left="6480" w:hanging="360"/>
      </w:pPr>
      <w:rPr>
        <w:rFonts w:ascii="Wingdings" w:hAnsi="Wingdings" w:hint="default"/>
      </w:rPr>
    </w:lvl>
  </w:abstractNum>
  <w:abstractNum w:abstractNumId="143" w15:restartNumberingAfterBreak="0">
    <w:nsid w:val="4CB176C1"/>
    <w:multiLevelType w:val="hybridMultilevel"/>
    <w:tmpl w:val="FFFFFFFF"/>
    <w:lvl w:ilvl="0" w:tplc="17A8E444">
      <w:start w:val="1"/>
      <w:numFmt w:val="bullet"/>
      <w:lvlText w:val=""/>
      <w:lvlJc w:val="left"/>
      <w:pPr>
        <w:ind w:left="720" w:hanging="360"/>
      </w:pPr>
      <w:rPr>
        <w:rFonts w:ascii="Symbol" w:hAnsi="Symbol" w:hint="default"/>
      </w:rPr>
    </w:lvl>
    <w:lvl w:ilvl="1" w:tplc="8F7867D4">
      <w:start w:val="1"/>
      <w:numFmt w:val="bullet"/>
      <w:lvlText w:val="o"/>
      <w:lvlJc w:val="left"/>
      <w:pPr>
        <w:ind w:left="1440" w:hanging="360"/>
      </w:pPr>
      <w:rPr>
        <w:rFonts w:ascii="Courier New" w:hAnsi="Courier New" w:hint="default"/>
      </w:rPr>
    </w:lvl>
    <w:lvl w:ilvl="2" w:tplc="A894C350">
      <w:start w:val="1"/>
      <w:numFmt w:val="bullet"/>
      <w:lvlText w:val=""/>
      <w:lvlJc w:val="left"/>
      <w:pPr>
        <w:ind w:left="2160" w:hanging="360"/>
      </w:pPr>
      <w:rPr>
        <w:rFonts w:ascii="Wingdings" w:hAnsi="Wingdings" w:hint="default"/>
      </w:rPr>
    </w:lvl>
    <w:lvl w:ilvl="3" w:tplc="8EC469C6">
      <w:start w:val="1"/>
      <w:numFmt w:val="bullet"/>
      <w:lvlText w:val=""/>
      <w:lvlJc w:val="left"/>
      <w:pPr>
        <w:ind w:left="2880" w:hanging="360"/>
      </w:pPr>
      <w:rPr>
        <w:rFonts w:ascii="Symbol" w:hAnsi="Symbol" w:hint="default"/>
      </w:rPr>
    </w:lvl>
    <w:lvl w:ilvl="4" w:tplc="41A4C57A">
      <w:start w:val="1"/>
      <w:numFmt w:val="bullet"/>
      <w:lvlText w:val="o"/>
      <w:lvlJc w:val="left"/>
      <w:pPr>
        <w:ind w:left="3600" w:hanging="360"/>
      </w:pPr>
      <w:rPr>
        <w:rFonts w:ascii="Courier New" w:hAnsi="Courier New" w:hint="default"/>
      </w:rPr>
    </w:lvl>
    <w:lvl w:ilvl="5" w:tplc="90F227C2">
      <w:start w:val="1"/>
      <w:numFmt w:val="bullet"/>
      <w:lvlText w:val=""/>
      <w:lvlJc w:val="left"/>
      <w:pPr>
        <w:ind w:left="4320" w:hanging="360"/>
      </w:pPr>
      <w:rPr>
        <w:rFonts w:ascii="Wingdings" w:hAnsi="Wingdings" w:hint="default"/>
      </w:rPr>
    </w:lvl>
    <w:lvl w:ilvl="6" w:tplc="A1D02040">
      <w:start w:val="1"/>
      <w:numFmt w:val="bullet"/>
      <w:lvlText w:val=""/>
      <w:lvlJc w:val="left"/>
      <w:pPr>
        <w:ind w:left="5040" w:hanging="360"/>
      </w:pPr>
      <w:rPr>
        <w:rFonts w:ascii="Symbol" w:hAnsi="Symbol" w:hint="default"/>
      </w:rPr>
    </w:lvl>
    <w:lvl w:ilvl="7" w:tplc="AC6C1810">
      <w:start w:val="1"/>
      <w:numFmt w:val="bullet"/>
      <w:lvlText w:val="o"/>
      <w:lvlJc w:val="left"/>
      <w:pPr>
        <w:ind w:left="5760" w:hanging="360"/>
      </w:pPr>
      <w:rPr>
        <w:rFonts w:ascii="Courier New" w:hAnsi="Courier New" w:hint="default"/>
      </w:rPr>
    </w:lvl>
    <w:lvl w:ilvl="8" w:tplc="6AAA5882">
      <w:start w:val="1"/>
      <w:numFmt w:val="bullet"/>
      <w:lvlText w:val=""/>
      <w:lvlJc w:val="left"/>
      <w:pPr>
        <w:ind w:left="6480" w:hanging="360"/>
      </w:pPr>
      <w:rPr>
        <w:rFonts w:ascii="Wingdings" w:hAnsi="Wingdings" w:hint="default"/>
      </w:rPr>
    </w:lvl>
  </w:abstractNum>
  <w:abstractNum w:abstractNumId="144" w15:restartNumberingAfterBreak="0">
    <w:nsid w:val="4CF224FA"/>
    <w:multiLevelType w:val="hybridMultilevel"/>
    <w:tmpl w:val="82CC525A"/>
    <w:lvl w:ilvl="0" w:tplc="C1800190">
      <w:start w:val="1"/>
      <w:numFmt w:val="lowerLetter"/>
      <w:lvlText w:val="(%1)"/>
      <w:lvlJc w:val="left"/>
      <w:pPr>
        <w:tabs>
          <w:tab w:val="num" w:pos="1440"/>
        </w:tabs>
        <w:ind w:left="0" w:firstLine="72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4DC65FFD"/>
    <w:multiLevelType w:val="hybridMultilevel"/>
    <w:tmpl w:val="9F7E4624"/>
    <w:lvl w:ilvl="0" w:tplc="131EEA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4DFA2CEE"/>
    <w:multiLevelType w:val="hybridMultilevel"/>
    <w:tmpl w:val="D4344E86"/>
    <w:name w:val="WW8Num62222222222222222222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4DFA3A8E"/>
    <w:multiLevelType w:val="multilevel"/>
    <w:tmpl w:val="4B0C9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9" w15:restartNumberingAfterBreak="0">
    <w:nsid w:val="4EAA0333"/>
    <w:multiLevelType w:val="hybridMultilevel"/>
    <w:tmpl w:val="FFFFFFFF"/>
    <w:lvl w:ilvl="0" w:tplc="DCAA1CB0">
      <w:start w:val="1"/>
      <w:numFmt w:val="bullet"/>
      <w:lvlText w:val=""/>
      <w:lvlJc w:val="left"/>
      <w:pPr>
        <w:ind w:left="720" w:hanging="360"/>
      </w:pPr>
      <w:rPr>
        <w:rFonts w:ascii="Symbol" w:hAnsi="Symbol" w:hint="default"/>
      </w:rPr>
    </w:lvl>
    <w:lvl w:ilvl="1" w:tplc="005AE3C0">
      <w:start w:val="1"/>
      <w:numFmt w:val="bullet"/>
      <w:lvlText w:val="o"/>
      <w:lvlJc w:val="left"/>
      <w:pPr>
        <w:ind w:left="1440" w:hanging="360"/>
      </w:pPr>
      <w:rPr>
        <w:rFonts w:ascii="Courier New" w:hAnsi="Courier New" w:hint="default"/>
      </w:rPr>
    </w:lvl>
    <w:lvl w:ilvl="2" w:tplc="D0AAA2E2">
      <w:start w:val="1"/>
      <w:numFmt w:val="bullet"/>
      <w:lvlText w:val=""/>
      <w:lvlJc w:val="left"/>
      <w:pPr>
        <w:ind w:left="2160" w:hanging="360"/>
      </w:pPr>
      <w:rPr>
        <w:rFonts w:ascii="Wingdings" w:hAnsi="Wingdings" w:hint="default"/>
      </w:rPr>
    </w:lvl>
    <w:lvl w:ilvl="3" w:tplc="23224CEA">
      <w:start w:val="1"/>
      <w:numFmt w:val="bullet"/>
      <w:lvlText w:val=""/>
      <w:lvlJc w:val="left"/>
      <w:pPr>
        <w:ind w:left="2880" w:hanging="360"/>
      </w:pPr>
      <w:rPr>
        <w:rFonts w:ascii="Symbol" w:hAnsi="Symbol" w:hint="default"/>
      </w:rPr>
    </w:lvl>
    <w:lvl w:ilvl="4" w:tplc="0A64EB70">
      <w:start w:val="1"/>
      <w:numFmt w:val="bullet"/>
      <w:lvlText w:val="o"/>
      <w:lvlJc w:val="left"/>
      <w:pPr>
        <w:ind w:left="3600" w:hanging="360"/>
      </w:pPr>
      <w:rPr>
        <w:rFonts w:ascii="Courier New" w:hAnsi="Courier New" w:hint="default"/>
      </w:rPr>
    </w:lvl>
    <w:lvl w:ilvl="5" w:tplc="DD92E12E">
      <w:start w:val="1"/>
      <w:numFmt w:val="bullet"/>
      <w:lvlText w:val=""/>
      <w:lvlJc w:val="left"/>
      <w:pPr>
        <w:ind w:left="4320" w:hanging="360"/>
      </w:pPr>
      <w:rPr>
        <w:rFonts w:ascii="Wingdings" w:hAnsi="Wingdings" w:hint="default"/>
      </w:rPr>
    </w:lvl>
    <w:lvl w:ilvl="6" w:tplc="212CDA4A">
      <w:start w:val="1"/>
      <w:numFmt w:val="bullet"/>
      <w:lvlText w:val=""/>
      <w:lvlJc w:val="left"/>
      <w:pPr>
        <w:ind w:left="5040" w:hanging="360"/>
      </w:pPr>
      <w:rPr>
        <w:rFonts w:ascii="Symbol" w:hAnsi="Symbol" w:hint="default"/>
      </w:rPr>
    </w:lvl>
    <w:lvl w:ilvl="7" w:tplc="D9203A50">
      <w:start w:val="1"/>
      <w:numFmt w:val="bullet"/>
      <w:lvlText w:val="o"/>
      <w:lvlJc w:val="left"/>
      <w:pPr>
        <w:ind w:left="5760" w:hanging="360"/>
      </w:pPr>
      <w:rPr>
        <w:rFonts w:ascii="Courier New" w:hAnsi="Courier New" w:hint="default"/>
      </w:rPr>
    </w:lvl>
    <w:lvl w:ilvl="8" w:tplc="8F227624">
      <w:start w:val="1"/>
      <w:numFmt w:val="bullet"/>
      <w:lvlText w:val=""/>
      <w:lvlJc w:val="left"/>
      <w:pPr>
        <w:ind w:left="6480" w:hanging="360"/>
      </w:pPr>
      <w:rPr>
        <w:rFonts w:ascii="Wingdings" w:hAnsi="Wingdings" w:hint="default"/>
      </w:rPr>
    </w:lvl>
  </w:abstractNum>
  <w:abstractNum w:abstractNumId="150" w15:restartNumberingAfterBreak="0">
    <w:nsid w:val="4F1345A9"/>
    <w:multiLevelType w:val="hybridMultilevel"/>
    <w:tmpl w:val="348A1D24"/>
    <w:name w:val="WW8Num6222222222222222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4FF35147"/>
    <w:multiLevelType w:val="hybridMultilevel"/>
    <w:tmpl w:val="FFFFFFFF"/>
    <w:lvl w:ilvl="0" w:tplc="ADC29DD0">
      <w:start w:val="1"/>
      <w:numFmt w:val="bullet"/>
      <w:lvlText w:val="·"/>
      <w:lvlJc w:val="left"/>
      <w:pPr>
        <w:ind w:left="720" w:hanging="360"/>
      </w:pPr>
      <w:rPr>
        <w:rFonts w:ascii="Symbol" w:hAnsi="Symbol" w:hint="default"/>
      </w:rPr>
    </w:lvl>
    <w:lvl w:ilvl="1" w:tplc="DFDA703A">
      <w:start w:val="1"/>
      <w:numFmt w:val="bullet"/>
      <w:lvlText w:val="o"/>
      <w:lvlJc w:val="left"/>
      <w:pPr>
        <w:ind w:left="1440" w:hanging="360"/>
      </w:pPr>
      <w:rPr>
        <w:rFonts w:ascii="Courier New" w:hAnsi="Courier New" w:hint="default"/>
      </w:rPr>
    </w:lvl>
    <w:lvl w:ilvl="2" w:tplc="F9C47AE8">
      <w:start w:val="1"/>
      <w:numFmt w:val="bullet"/>
      <w:lvlText w:val=""/>
      <w:lvlJc w:val="left"/>
      <w:pPr>
        <w:ind w:left="2160" w:hanging="360"/>
      </w:pPr>
      <w:rPr>
        <w:rFonts w:ascii="Wingdings" w:hAnsi="Wingdings" w:hint="default"/>
      </w:rPr>
    </w:lvl>
    <w:lvl w:ilvl="3" w:tplc="7430DDCE">
      <w:start w:val="1"/>
      <w:numFmt w:val="bullet"/>
      <w:lvlText w:val=""/>
      <w:lvlJc w:val="left"/>
      <w:pPr>
        <w:ind w:left="2880" w:hanging="360"/>
      </w:pPr>
      <w:rPr>
        <w:rFonts w:ascii="Symbol" w:hAnsi="Symbol" w:hint="default"/>
      </w:rPr>
    </w:lvl>
    <w:lvl w:ilvl="4" w:tplc="E940DBB2">
      <w:start w:val="1"/>
      <w:numFmt w:val="bullet"/>
      <w:lvlText w:val="o"/>
      <w:lvlJc w:val="left"/>
      <w:pPr>
        <w:ind w:left="3600" w:hanging="360"/>
      </w:pPr>
      <w:rPr>
        <w:rFonts w:ascii="Courier New" w:hAnsi="Courier New" w:hint="default"/>
      </w:rPr>
    </w:lvl>
    <w:lvl w:ilvl="5" w:tplc="C1EAE988">
      <w:start w:val="1"/>
      <w:numFmt w:val="bullet"/>
      <w:lvlText w:val=""/>
      <w:lvlJc w:val="left"/>
      <w:pPr>
        <w:ind w:left="4320" w:hanging="360"/>
      </w:pPr>
      <w:rPr>
        <w:rFonts w:ascii="Wingdings" w:hAnsi="Wingdings" w:hint="default"/>
      </w:rPr>
    </w:lvl>
    <w:lvl w:ilvl="6" w:tplc="A60C989E">
      <w:start w:val="1"/>
      <w:numFmt w:val="bullet"/>
      <w:lvlText w:val=""/>
      <w:lvlJc w:val="left"/>
      <w:pPr>
        <w:ind w:left="5040" w:hanging="360"/>
      </w:pPr>
      <w:rPr>
        <w:rFonts w:ascii="Symbol" w:hAnsi="Symbol" w:hint="default"/>
      </w:rPr>
    </w:lvl>
    <w:lvl w:ilvl="7" w:tplc="866EA63A">
      <w:start w:val="1"/>
      <w:numFmt w:val="bullet"/>
      <w:lvlText w:val="o"/>
      <w:lvlJc w:val="left"/>
      <w:pPr>
        <w:ind w:left="5760" w:hanging="360"/>
      </w:pPr>
      <w:rPr>
        <w:rFonts w:ascii="Courier New" w:hAnsi="Courier New" w:hint="default"/>
      </w:rPr>
    </w:lvl>
    <w:lvl w:ilvl="8" w:tplc="7EF01CAE">
      <w:start w:val="1"/>
      <w:numFmt w:val="bullet"/>
      <w:lvlText w:val=""/>
      <w:lvlJc w:val="left"/>
      <w:pPr>
        <w:ind w:left="6480" w:hanging="360"/>
      </w:pPr>
      <w:rPr>
        <w:rFonts w:ascii="Wingdings" w:hAnsi="Wingdings" w:hint="default"/>
      </w:rPr>
    </w:lvl>
  </w:abstractNum>
  <w:abstractNum w:abstractNumId="152" w15:restartNumberingAfterBreak="0">
    <w:nsid w:val="50064D8E"/>
    <w:multiLevelType w:val="hybridMultilevel"/>
    <w:tmpl w:val="2A1A95DA"/>
    <w:lvl w:ilvl="0" w:tplc="6DBE6AEE">
      <w:start w:val="1"/>
      <w:numFmt w:val="decimal"/>
      <w:lvlText w:val="%1."/>
      <w:lvlJc w:val="left"/>
      <w:pPr>
        <w:tabs>
          <w:tab w:val="num" w:pos="360"/>
        </w:tabs>
        <w:ind w:left="0" w:firstLine="0"/>
      </w:pPr>
      <w:rPr>
        <w:rFonts w:ascii="Times New Roman" w:hAnsi="Times New Roman" w:cs="Times New Roman" w:hint="default"/>
        <w:b w:val="0"/>
      </w:rPr>
    </w:lvl>
    <w:lvl w:ilvl="1" w:tplc="18DE4E52">
      <w:start w:val="1"/>
      <w:numFmt w:val="bullet"/>
      <w:lvlText w:val=""/>
      <w:lvlJc w:val="left"/>
      <w:pPr>
        <w:tabs>
          <w:tab w:val="num" w:pos="1440"/>
        </w:tabs>
        <w:ind w:left="0" w:firstLine="720"/>
      </w:pPr>
      <w:rPr>
        <w:rFonts w:ascii="Symbol" w:hAnsi="Symbol" w:hint="default"/>
        <w:b w:val="0"/>
        <w:color w:val="525252" w:themeColor="accent3" w:themeShade="80"/>
        <w:sz w:val="20"/>
      </w:rPr>
    </w:lvl>
    <w:lvl w:ilvl="2" w:tplc="52B2EB0C">
      <w:start w:val="1"/>
      <w:numFmt w:val="lowerRoman"/>
      <w:lvlText w:val="(%3)"/>
      <w:lvlJc w:val="right"/>
      <w:pPr>
        <w:tabs>
          <w:tab w:val="num" w:pos="1440"/>
        </w:tabs>
        <w:ind w:left="1440" w:hanging="360"/>
      </w:pPr>
      <w:rPr>
        <w:rFonts w:ascii="Wingdings" w:hAnsi="Wingdings" w:cs="Wingdings"/>
      </w:rPr>
    </w:lvl>
    <w:lvl w:ilvl="3" w:tplc="B3C05CC2">
      <w:start w:val="1"/>
      <w:numFmt w:val="bullet"/>
      <w:lvlText w:val=""/>
      <w:lvlJc w:val="left"/>
      <w:pPr>
        <w:tabs>
          <w:tab w:val="num" w:pos="2160"/>
        </w:tabs>
        <w:ind w:left="2160" w:hanging="720"/>
      </w:pPr>
      <w:rPr>
        <w:rFonts w:ascii="Symbol" w:hAnsi="Symbol"/>
      </w:rPr>
    </w:lvl>
    <w:lvl w:ilvl="4" w:tplc="7C761DCA">
      <w:start w:val="1"/>
      <w:numFmt w:val="lowerLetter"/>
      <w:lvlText w:val="(%5)"/>
      <w:lvlJc w:val="left"/>
      <w:pPr>
        <w:tabs>
          <w:tab w:val="num" w:pos="1800"/>
        </w:tabs>
        <w:ind w:left="1800" w:hanging="360"/>
      </w:pPr>
      <w:rPr>
        <w:b w:val="0"/>
        <w:bCs w:val="0"/>
      </w:rPr>
    </w:lvl>
    <w:lvl w:ilvl="5" w:tplc="FEB61BE6">
      <w:start w:val="1"/>
      <w:numFmt w:val="lowerRoman"/>
      <w:lvlText w:val="(%6)"/>
      <w:lvlJc w:val="left"/>
      <w:pPr>
        <w:tabs>
          <w:tab w:val="num" w:pos="2160"/>
        </w:tabs>
        <w:ind w:left="2160" w:hanging="360"/>
      </w:pPr>
    </w:lvl>
    <w:lvl w:ilvl="6" w:tplc="9B269EA4">
      <w:start w:val="1"/>
      <w:numFmt w:val="decimal"/>
      <w:lvlText w:val="%7."/>
      <w:lvlJc w:val="left"/>
      <w:pPr>
        <w:tabs>
          <w:tab w:val="num" w:pos="2520"/>
        </w:tabs>
        <w:ind w:left="2520" w:hanging="360"/>
      </w:pPr>
    </w:lvl>
    <w:lvl w:ilvl="7" w:tplc="66E033DC">
      <w:start w:val="1"/>
      <w:numFmt w:val="lowerLetter"/>
      <w:lvlText w:val="%8."/>
      <w:lvlJc w:val="left"/>
      <w:pPr>
        <w:tabs>
          <w:tab w:val="num" w:pos="2880"/>
        </w:tabs>
        <w:ind w:left="2880" w:hanging="360"/>
      </w:pPr>
    </w:lvl>
    <w:lvl w:ilvl="8" w:tplc="08168678">
      <w:start w:val="1"/>
      <w:numFmt w:val="lowerRoman"/>
      <w:lvlText w:val="%9."/>
      <w:lvlJc w:val="left"/>
      <w:pPr>
        <w:tabs>
          <w:tab w:val="num" w:pos="3240"/>
        </w:tabs>
        <w:ind w:left="3240" w:hanging="360"/>
      </w:pPr>
    </w:lvl>
  </w:abstractNum>
  <w:abstractNum w:abstractNumId="153" w15:restartNumberingAfterBreak="0">
    <w:nsid w:val="5042377C"/>
    <w:multiLevelType w:val="hybridMultilevel"/>
    <w:tmpl w:val="FFFFFFFF"/>
    <w:lvl w:ilvl="0" w:tplc="B5F05D90">
      <w:start w:val="1"/>
      <w:numFmt w:val="bullet"/>
      <w:lvlText w:val=""/>
      <w:lvlJc w:val="left"/>
      <w:pPr>
        <w:ind w:left="720" w:hanging="360"/>
      </w:pPr>
      <w:rPr>
        <w:rFonts w:ascii="Symbol" w:hAnsi="Symbol" w:hint="default"/>
      </w:rPr>
    </w:lvl>
    <w:lvl w:ilvl="1" w:tplc="F6248C22">
      <w:start w:val="1"/>
      <w:numFmt w:val="lowerRoman"/>
      <w:lvlText w:val="%2."/>
      <w:lvlJc w:val="right"/>
      <w:pPr>
        <w:ind w:left="1440" w:hanging="360"/>
      </w:pPr>
      <w:rPr>
        <w:rFonts w:hint="default"/>
      </w:rPr>
    </w:lvl>
    <w:lvl w:ilvl="2" w:tplc="6FD2378E">
      <w:start w:val="1"/>
      <w:numFmt w:val="bullet"/>
      <w:lvlText w:val=""/>
      <w:lvlJc w:val="left"/>
      <w:pPr>
        <w:ind w:left="2160" w:hanging="360"/>
      </w:pPr>
      <w:rPr>
        <w:rFonts w:ascii="Wingdings" w:hAnsi="Wingdings" w:hint="default"/>
      </w:rPr>
    </w:lvl>
    <w:lvl w:ilvl="3" w:tplc="B4ACB220">
      <w:start w:val="1"/>
      <w:numFmt w:val="bullet"/>
      <w:lvlText w:val=""/>
      <w:lvlJc w:val="left"/>
      <w:pPr>
        <w:ind w:left="2880" w:hanging="360"/>
      </w:pPr>
      <w:rPr>
        <w:rFonts w:ascii="Symbol" w:hAnsi="Symbol" w:hint="default"/>
      </w:rPr>
    </w:lvl>
    <w:lvl w:ilvl="4" w:tplc="EBE44C6A">
      <w:start w:val="1"/>
      <w:numFmt w:val="bullet"/>
      <w:lvlText w:val="o"/>
      <w:lvlJc w:val="left"/>
      <w:pPr>
        <w:ind w:left="3600" w:hanging="360"/>
      </w:pPr>
      <w:rPr>
        <w:rFonts w:ascii="Courier New" w:hAnsi="Courier New" w:hint="default"/>
      </w:rPr>
    </w:lvl>
    <w:lvl w:ilvl="5" w:tplc="F60AA6EC">
      <w:start w:val="1"/>
      <w:numFmt w:val="bullet"/>
      <w:lvlText w:val=""/>
      <w:lvlJc w:val="left"/>
      <w:pPr>
        <w:ind w:left="4320" w:hanging="360"/>
      </w:pPr>
      <w:rPr>
        <w:rFonts w:ascii="Wingdings" w:hAnsi="Wingdings" w:hint="default"/>
      </w:rPr>
    </w:lvl>
    <w:lvl w:ilvl="6" w:tplc="5BE2826A">
      <w:start w:val="1"/>
      <w:numFmt w:val="bullet"/>
      <w:lvlText w:val=""/>
      <w:lvlJc w:val="left"/>
      <w:pPr>
        <w:ind w:left="5040" w:hanging="360"/>
      </w:pPr>
      <w:rPr>
        <w:rFonts w:ascii="Symbol" w:hAnsi="Symbol" w:hint="default"/>
      </w:rPr>
    </w:lvl>
    <w:lvl w:ilvl="7" w:tplc="9D30B224">
      <w:start w:val="1"/>
      <w:numFmt w:val="bullet"/>
      <w:lvlText w:val="o"/>
      <w:lvlJc w:val="left"/>
      <w:pPr>
        <w:ind w:left="5760" w:hanging="360"/>
      </w:pPr>
      <w:rPr>
        <w:rFonts w:ascii="Courier New" w:hAnsi="Courier New" w:hint="default"/>
      </w:rPr>
    </w:lvl>
    <w:lvl w:ilvl="8" w:tplc="BAFE30F8">
      <w:start w:val="1"/>
      <w:numFmt w:val="bullet"/>
      <w:lvlText w:val=""/>
      <w:lvlJc w:val="left"/>
      <w:pPr>
        <w:ind w:left="6480" w:hanging="360"/>
      </w:pPr>
      <w:rPr>
        <w:rFonts w:ascii="Wingdings" w:hAnsi="Wingdings" w:hint="default"/>
      </w:rPr>
    </w:lvl>
  </w:abstractNum>
  <w:abstractNum w:abstractNumId="154" w15:restartNumberingAfterBreak="0">
    <w:nsid w:val="505507D2"/>
    <w:multiLevelType w:val="hybridMultilevel"/>
    <w:tmpl w:val="74880E68"/>
    <w:lvl w:ilvl="0" w:tplc="9E56C606">
      <w:start w:val="1"/>
      <w:numFmt w:val="bullet"/>
      <w:lvlText w:val=""/>
      <w:lvlJc w:val="left"/>
      <w:pPr>
        <w:tabs>
          <w:tab w:val="num" w:pos="720"/>
        </w:tabs>
        <w:ind w:left="720" w:hanging="360"/>
      </w:pPr>
      <w:rPr>
        <w:rFonts w:ascii="Wingdings" w:hAnsi="Wingdings" w:hint="default"/>
        <w:sz w:val="20"/>
      </w:rPr>
    </w:lvl>
    <w:lvl w:ilvl="1" w:tplc="5B3EB310" w:tentative="1">
      <w:start w:val="1"/>
      <w:numFmt w:val="bullet"/>
      <w:lvlText w:val=""/>
      <w:lvlJc w:val="left"/>
      <w:pPr>
        <w:tabs>
          <w:tab w:val="num" w:pos="1440"/>
        </w:tabs>
        <w:ind w:left="1440" w:hanging="360"/>
      </w:pPr>
      <w:rPr>
        <w:rFonts w:ascii="Wingdings" w:hAnsi="Wingdings" w:hint="default"/>
        <w:sz w:val="20"/>
      </w:rPr>
    </w:lvl>
    <w:lvl w:ilvl="2" w:tplc="D8B2E3F2" w:tentative="1">
      <w:start w:val="1"/>
      <w:numFmt w:val="bullet"/>
      <w:lvlText w:val=""/>
      <w:lvlJc w:val="left"/>
      <w:pPr>
        <w:tabs>
          <w:tab w:val="num" w:pos="2160"/>
        </w:tabs>
        <w:ind w:left="2160" w:hanging="360"/>
      </w:pPr>
      <w:rPr>
        <w:rFonts w:ascii="Wingdings" w:hAnsi="Wingdings" w:hint="default"/>
        <w:sz w:val="20"/>
      </w:rPr>
    </w:lvl>
    <w:lvl w:ilvl="3" w:tplc="3612B170" w:tentative="1">
      <w:start w:val="1"/>
      <w:numFmt w:val="bullet"/>
      <w:lvlText w:val=""/>
      <w:lvlJc w:val="left"/>
      <w:pPr>
        <w:tabs>
          <w:tab w:val="num" w:pos="2880"/>
        </w:tabs>
        <w:ind w:left="2880" w:hanging="360"/>
      </w:pPr>
      <w:rPr>
        <w:rFonts w:ascii="Wingdings" w:hAnsi="Wingdings" w:hint="default"/>
        <w:sz w:val="20"/>
      </w:rPr>
    </w:lvl>
    <w:lvl w:ilvl="4" w:tplc="B1A48F10" w:tentative="1">
      <w:start w:val="1"/>
      <w:numFmt w:val="bullet"/>
      <w:lvlText w:val=""/>
      <w:lvlJc w:val="left"/>
      <w:pPr>
        <w:tabs>
          <w:tab w:val="num" w:pos="3600"/>
        </w:tabs>
        <w:ind w:left="3600" w:hanging="360"/>
      </w:pPr>
      <w:rPr>
        <w:rFonts w:ascii="Wingdings" w:hAnsi="Wingdings" w:hint="default"/>
        <w:sz w:val="20"/>
      </w:rPr>
    </w:lvl>
    <w:lvl w:ilvl="5" w:tplc="DA00B990" w:tentative="1">
      <w:start w:val="1"/>
      <w:numFmt w:val="bullet"/>
      <w:lvlText w:val=""/>
      <w:lvlJc w:val="left"/>
      <w:pPr>
        <w:tabs>
          <w:tab w:val="num" w:pos="4320"/>
        </w:tabs>
        <w:ind w:left="4320" w:hanging="360"/>
      </w:pPr>
      <w:rPr>
        <w:rFonts w:ascii="Wingdings" w:hAnsi="Wingdings" w:hint="default"/>
        <w:sz w:val="20"/>
      </w:rPr>
    </w:lvl>
    <w:lvl w:ilvl="6" w:tplc="41B8AC66" w:tentative="1">
      <w:start w:val="1"/>
      <w:numFmt w:val="bullet"/>
      <w:lvlText w:val=""/>
      <w:lvlJc w:val="left"/>
      <w:pPr>
        <w:tabs>
          <w:tab w:val="num" w:pos="5040"/>
        </w:tabs>
        <w:ind w:left="5040" w:hanging="360"/>
      </w:pPr>
      <w:rPr>
        <w:rFonts w:ascii="Wingdings" w:hAnsi="Wingdings" w:hint="default"/>
        <w:sz w:val="20"/>
      </w:rPr>
    </w:lvl>
    <w:lvl w:ilvl="7" w:tplc="35209B90" w:tentative="1">
      <w:start w:val="1"/>
      <w:numFmt w:val="bullet"/>
      <w:lvlText w:val=""/>
      <w:lvlJc w:val="left"/>
      <w:pPr>
        <w:tabs>
          <w:tab w:val="num" w:pos="5760"/>
        </w:tabs>
        <w:ind w:left="5760" w:hanging="360"/>
      </w:pPr>
      <w:rPr>
        <w:rFonts w:ascii="Wingdings" w:hAnsi="Wingdings" w:hint="default"/>
        <w:sz w:val="20"/>
      </w:rPr>
    </w:lvl>
    <w:lvl w:ilvl="8" w:tplc="515A547A"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10A445D"/>
    <w:multiLevelType w:val="hybridMultilevel"/>
    <w:tmpl w:val="FFFFFFFF"/>
    <w:lvl w:ilvl="0" w:tplc="EBA6075C">
      <w:start w:val="1"/>
      <w:numFmt w:val="bullet"/>
      <w:lvlText w:val=""/>
      <w:lvlJc w:val="left"/>
      <w:pPr>
        <w:ind w:left="720" w:hanging="360"/>
      </w:pPr>
      <w:rPr>
        <w:rFonts w:ascii="Symbol" w:hAnsi="Symbol" w:hint="default"/>
      </w:rPr>
    </w:lvl>
    <w:lvl w:ilvl="1" w:tplc="D6BC6B8A">
      <w:start w:val="1"/>
      <w:numFmt w:val="bullet"/>
      <w:lvlText w:val="o"/>
      <w:lvlJc w:val="left"/>
      <w:pPr>
        <w:ind w:left="1440" w:hanging="360"/>
      </w:pPr>
      <w:rPr>
        <w:rFonts w:ascii="Courier New" w:hAnsi="Courier New" w:hint="default"/>
      </w:rPr>
    </w:lvl>
    <w:lvl w:ilvl="2" w:tplc="038A0832">
      <w:start w:val="1"/>
      <w:numFmt w:val="bullet"/>
      <w:lvlText w:val=""/>
      <w:lvlJc w:val="left"/>
      <w:pPr>
        <w:ind w:left="2160" w:hanging="360"/>
      </w:pPr>
      <w:rPr>
        <w:rFonts w:ascii="Wingdings" w:hAnsi="Wingdings" w:hint="default"/>
      </w:rPr>
    </w:lvl>
    <w:lvl w:ilvl="3" w:tplc="A810F42A">
      <w:start w:val="1"/>
      <w:numFmt w:val="bullet"/>
      <w:lvlText w:val=""/>
      <w:lvlJc w:val="left"/>
      <w:pPr>
        <w:ind w:left="2880" w:hanging="360"/>
      </w:pPr>
      <w:rPr>
        <w:rFonts w:ascii="Symbol" w:hAnsi="Symbol" w:hint="default"/>
      </w:rPr>
    </w:lvl>
    <w:lvl w:ilvl="4" w:tplc="B6B00560">
      <w:start w:val="1"/>
      <w:numFmt w:val="bullet"/>
      <w:lvlText w:val="o"/>
      <w:lvlJc w:val="left"/>
      <w:pPr>
        <w:ind w:left="3600" w:hanging="360"/>
      </w:pPr>
      <w:rPr>
        <w:rFonts w:ascii="Courier New" w:hAnsi="Courier New" w:hint="default"/>
      </w:rPr>
    </w:lvl>
    <w:lvl w:ilvl="5" w:tplc="8C0645BC">
      <w:start w:val="1"/>
      <w:numFmt w:val="bullet"/>
      <w:lvlText w:val=""/>
      <w:lvlJc w:val="left"/>
      <w:pPr>
        <w:ind w:left="4320" w:hanging="360"/>
      </w:pPr>
      <w:rPr>
        <w:rFonts w:ascii="Wingdings" w:hAnsi="Wingdings" w:hint="default"/>
      </w:rPr>
    </w:lvl>
    <w:lvl w:ilvl="6" w:tplc="C8620292">
      <w:start w:val="1"/>
      <w:numFmt w:val="bullet"/>
      <w:lvlText w:val=""/>
      <w:lvlJc w:val="left"/>
      <w:pPr>
        <w:ind w:left="5040" w:hanging="360"/>
      </w:pPr>
      <w:rPr>
        <w:rFonts w:ascii="Symbol" w:hAnsi="Symbol" w:hint="default"/>
      </w:rPr>
    </w:lvl>
    <w:lvl w:ilvl="7" w:tplc="D9540C3A">
      <w:start w:val="1"/>
      <w:numFmt w:val="bullet"/>
      <w:lvlText w:val="o"/>
      <w:lvlJc w:val="left"/>
      <w:pPr>
        <w:ind w:left="5760" w:hanging="360"/>
      </w:pPr>
      <w:rPr>
        <w:rFonts w:ascii="Courier New" w:hAnsi="Courier New" w:hint="default"/>
      </w:rPr>
    </w:lvl>
    <w:lvl w:ilvl="8" w:tplc="72DA73D2">
      <w:start w:val="1"/>
      <w:numFmt w:val="bullet"/>
      <w:lvlText w:val=""/>
      <w:lvlJc w:val="left"/>
      <w:pPr>
        <w:ind w:left="6480" w:hanging="360"/>
      </w:pPr>
      <w:rPr>
        <w:rFonts w:ascii="Wingdings" w:hAnsi="Wingdings" w:hint="default"/>
      </w:rPr>
    </w:lvl>
  </w:abstractNum>
  <w:abstractNum w:abstractNumId="156" w15:restartNumberingAfterBreak="0">
    <w:nsid w:val="51277D40"/>
    <w:multiLevelType w:val="hybridMultilevel"/>
    <w:tmpl w:val="9128530E"/>
    <w:lvl w:ilvl="0" w:tplc="F43C26D6">
      <w:start w:val="1"/>
      <w:numFmt w:val="bullet"/>
      <w:lvlText w:val="-"/>
      <w:lvlJc w:val="left"/>
      <w:pPr>
        <w:ind w:left="720" w:hanging="360"/>
      </w:pPr>
      <w:rPr>
        <w:rFonts w:ascii="Times New Roman" w:eastAsia="SimSun" w:hAnsi="Times New Roman" w:cs="Times New Roman"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7" w15:restartNumberingAfterBreak="0">
    <w:nsid w:val="516726C0"/>
    <w:multiLevelType w:val="hybridMultilevel"/>
    <w:tmpl w:val="FFFFFFFF"/>
    <w:lvl w:ilvl="0" w:tplc="9FD2C202">
      <w:start w:val="1"/>
      <w:numFmt w:val="bullet"/>
      <w:lvlText w:val=""/>
      <w:lvlJc w:val="left"/>
      <w:pPr>
        <w:ind w:left="720" w:hanging="360"/>
      </w:pPr>
      <w:rPr>
        <w:rFonts w:ascii="Symbol" w:hAnsi="Symbol" w:hint="default"/>
      </w:rPr>
    </w:lvl>
    <w:lvl w:ilvl="1" w:tplc="375C3DAE">
      <w:start w:val="1"/>
      <w:numFmt w:val="bullet"/>
      <w:lvlText w:val="o"/>
      <w:lvlJc w:val="left"/>
      <w:pPr>
        <w:ind w:left="1440" w:hanging="360"/>
      </w:pPr>
      <w:rPr>
        <w:rFonts w:ascii="Courier New" w:hAnsi="Courier New" w:hint="default"/>
      </w:rPr>
    </w:lvl>
    <w:lvl w:ilvl="2" w:tplc="CDFE4722">
      <w:start w:val="1"/>
      <w:numFmt w:val="bullet"/>
      <w:lvlText w:val=""/>
      <w:lvlJc w:val="left"/>
      <w:pPr>
        <w:ind w:left="2160" w:hanging="360"/>
      </w:pPr>
      <w:rPr>
        <w:rFonts w:ascii="Wingdings" w:hAnsi="Wingdings" w:hint="default"/>
      </w:rPr>
    </w:lvl>
    <w:lvl w:ilvl="3" w:tplc="667636DA">
      <w:start w:val="1"/>
      <w:numFmt w:val="bullet"/>
      <w:lvlText w:val=""/>
      <w:lvlJc w:val="left"/>
      <w:pPr>
        <w:ind w:left="2880" w:hanging="360"/>
      </w:pPr>
      <w:rPr>
        <w:rFonts w:ascii="Symbol" w:hAnsi="Symbol" w:hint="default"/>
      </w:rPr>
    </w:lvl>
    <w:lvl w:ilvl="4" w:tplc="B4FCD8E8">
      <w:start w:val="1"/>
      <w:numFmt w:val="bullet"/>
      <w:lvlText w:val="o"/>
      <w:lvlJc w:val="left"/>
      <w:pPr>
        <w:ind w:left="3600" w:hanging="360"/>
      </w:pPr>
      <w:rPr>
        <w:rFonts w:ascii="Courier New" w:hAnsi="Courier New" w:hint="default"/>
      </w:rPr>
    </w:lvl>
    <w:lvl w:ilvl="5" w:tplc="D6203030">
      <w:start w:val="1"/>
      <w:numFmt w:val="bullet"/>
      <w:lvlText w:val=""/>
      <w:lvlJc w:val="left"/>
      <w:pPr>
        <w:ind w:left="4320" w:hanging="360"/>
      </w:pPr>
      <w:rPr>
        <w:rFonts w:ascii="Wingdings" w:hAnsi="Wingdings" w:hint="default"/>
      </w:rPr>
    </w:lvl>
    <w:lvl w:ilvl="6" w:tplc="01D0F518">
      <w:start w:val="1"/>
      <w:numFmt w:val="bullet"/>
      <w:lvlText w:val=""/>
      <w:lvlJc w:val="left"/>
      <w:pPr>
        <w:ind w:left="5040" w:hanging="360"/>
      </w:pPr>
      <w:rPr>
        <w:rFonts w:ascii="Symbol" w:hAnsi="Symbol" w:hint="default"/>
      </w:rPr>
    </w:lvl>
    <w:lvl w:ilvl="7" w:tplc="31D8768A">
      <w:start w:val="1"/>
      <w:numFmt w:val="bullet"/>
      <w:lvlText w:val="o"/>
      <w:lvlJc w:val="left"/>
      <w:pPr>
        <w:ind w:left="5760" w:hanging="360"/>
      </w:pPr>
      <w:rPr>
        <w:rFonts w:ascii="Courier New" w:hAnsi="Courier New" w:hint="default"/>
      </w:rPr>
    </w:lvl>
    <w:lvl w:ilvl="8" w:tplc="18689EF4">
      <w:start w:val="1"/>
      <w:numFmt w:val="bullet"/>
      <w:lvlText w:val=""/>
      <w:lvlJc w:val="left"/>
      <w:pPr>
        <w:ind w:left="6480" w:hanging="360"/>
      </w:pPr>
      <w:rPr>
        <w:rFonts w:ascii="Wingdings" w:hAnsi="Wingdings" w:hint="default"/>
      </w:rPr>
    </w:lvl>
  </w:abstractNum>
  <w:abstractNum w:abstractNumId="158" w15:restartNumberingAfterBreak="0">
    <w:nsid w:val="516E1E31"/>
    <w:multiLevelType w:val="hybridMultilevel"/>
    <w:tmpl w:val="058E86C2"/>
    <w:name w:val="WW8Num64"/>
    <w:lvl w:ilvl="0" w:tplc="0E286E2A">
      <w:start w:val="3"/>
      <w:numFmt w:val="lowerLetter"/>
      <w:lvlText w:val="(%1)"/>
      <w:lvlJc w:val="left"/>
      <w:pPr>
        <w:tabs>
          <w:tab w:val="num" w:pos="1440"/>
        </w:tabs>
        <w:ind w:left="0" w:firstLine="720"/>
      </w:pPr>
      <w:rPr>
        <w:rFonts w:ascii="Times New Roman"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51C258A8"/>
    <w:multiLevelType w:val="hybridMultilevel"/>
    <w:tmpl w:val="995ABC8E"/>
    <w:lvl w:ilvl="0" w:tplc="0AD84B72">
      <w:start w:val="1"/>
      <w:numFmt w:val="lowerLetter"/>
      <w:lvlText w:val="(%1)"/>
      <w:lvlJc w:val="left"/>
      <w:pPr>
        <w:ind w:left="360" w:hanging="360"/>
      </w:pPr>
      <w:rPr>
        <w:rFonts w:hint="default"/>
        <w:i w:val="0"/>
        <w:iCs/>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0" w15:restartNumberingAfterBreak="0">
    <w:nsid w:val="51F74690"/>
    <w:multiLevelType w:val="hybridMultilevel"/>
    <w:tmpl w:val="58226A6A"/>
    <w:lvl w:ilvl="0" w:tplc="61FCA084">
      <w:start w:val="1"/>
      <w:numFmt w:val="decimal"/>
      <w:lvlText w:val="7.%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2F66B5A"/>
    <w:multiLevelType w:val="hybridMultilevel"/>
    <w:tmpl w:val="1ED05764"/>
    <w:lvl w:ilvl="0" w:tplc="5330B486">
      <w:start w:val="1"/>
      <w:numFmt w:val="bullet"/>
      <w:lvlText w:val=""/>
      <w:lvlJc w:val="left"/>
      <w:pPr>
        <w:ind w:left="720" w:hanging="360"/>
      </w:pPr>
      <w:rPr>
        <w:rFonts w:ascii="Symbol" w:hAnsi="Symbol" w:hint="default"/>
      </w:rPr>
    </w:lvl>
    <w:lvl w:ilvl="1" w:tplc="202229CE">
      <w:start w:val="1"/>
      <w:numFmt w:val="bullet"/>
      <w:lvlText w:val="o"/>
      <w:lvlJc w:val="left"/>
      <w:pPr>
        <w:ind w:left="1440" w:hanging="360"/>
      </w:pPr>
      <w:rPr>
        <w:rFonts w:ascii="Courier New" w:hAnsi="Courier New" w:hint="default"/>
      </w:rPr>
    </w:lvl>
    <w:lvl w:ilvl="2" w:tplc="41CA5A76">
      <w:start w:val="1"/>
      <w:numFmt w:val="bullet"/>
      <w:lvlText w:val=""/>
      <w:lvlJc w:val="left"/>
      <w:pPr>
        <w:ind w:left="2160" w:hanging="360"/>
      </w:pPr>
      <w:rPr>
        <w:rFonts w:ascii="Wingdings" w:hAnsi="Wingdings" w:hint="default"/>
      </w:rPr>
    </w:lvl>
    <w:lvl w:ilvl="3" w:tplc="E592D350">
      <w:start w:val="1"/>
      <w:numFmt w:val="bullet"/>
      <w:lvlText w:val=""/>
      <w:lvlJc w:val="left"/>
      <w:pPr>
        <w:ind w:left="2880" w:hanging="360"/>
      </w:pPr>
      <w:rPr>
        <w:rFonts w:ascii="Symbol" w:hAnsi="Symbol" w:hint="default"/>
      </w:rPr>
    </w:lvl>
    <w:lvl w:ilvl="4" w:tplc="1CC40CD2">
      <w:start w:val="1"/>
      <w:numFmt w:val="bullet"/>
      <w:lvlText w:val="o"/>
      <w:lvlJc w:val="left"/>
      <w:pPr>
        <w:ind w:left="3600" w:hanging="360"/>
      </w:pPr>
      <w:rPr>
        <w:rFonts w:ascii="Courier New" w:hAnsi="Courier New" w:hint="default"/>
      </w:rPr>
    </w:lvl>
    <w:lvl w:ilvl="5" w:tplc="0E88F462">
      <w:start w:val="1"/>
      <w:numFmt w:val="bullet"/>
      <w:lvlText w:val=""/>
      <w:lvlJc w:val="left"/>
      <w:pPr>
        <w:ind w:left="4320" w:hanging="360"/>
      </w:pPr>
      <w:rPr>
        <w:rFonts w:ascii="Wingdings" w:hAnsi="Wingdings" w:hint="default"/>
      </w:rPr>
    </w:lvl>
    <w:lvl w:ilvl="6" w:tplc="E8E43828">
      <w:start w:val="1"/>
      <w:numFmt w:val="bullet"/>
      <w:lvlText w:val=""/>
      <w:lvlJc w:val="left"/>
      <w:pPr>
        <w:ind w:left="5040" w:hanging="360"/>
      </w:pPr>
      <w:rPr>
        <w:rFonts w:ascii="Symbol" w:hAnsi="Symbol" w:hint="default"/>
      </w:rPr>
    </w:lvl>
    <w:lvl w:ilvl="7" w:tplc="BBC0419E">
      <w:start w:val="1"/>
      <w:numFmt w:val="bullet"/>
      <w:lvlText w:val="o"/>
      <w:lvlJc w:val="left"/>
      <w:pPr>
        <w:ind w:left="5760" w:hanging="360"/>
      </w:pPr>
      <w:rPr>
        <w:rFonts w:ascii="Courier New" w:hAnsi="Courier New" w:hint="default"/>
      </w:rPr>
    </w:lvl>
    <w:lvl w:ilvl="8" w:tplc="C8169B20">
      <w:start w:val="1"/>
      <w:numFmt w:val="bullet"/>
      <w:lvlText w:val=""/>
      <w:lvlJc w:val="left"/>
      <w:pPr>
        <w:ind w:left="6480" w:hanging="360"/>
      </w:pPr>
      <w:rPr>
        <w:rFonts w:ascii="Wingdings" w:hAnsi="Wingdings" w:hint="default"/>
      </w:rPr>
    </w:lvl>
  </w:abstractNum>
  <w:abstractNum w:abstractNumId="162" w15:restartNumberingAfterBreak="0">
    <w:nsid w:val="53DE2434"/>
    <w:multiLevelType w:val="hybridMultilevel"/>
    <w:tmpl w:val="FFFFFFFF"/>
    <w:lvl w:ilvl="0" w:tplc="FFFFFFFF">
      <w:start w:val="1"/>
      <w:numFmt w:val="bullet"/>
      <w:lvlText w:val="·"/>
      <w:lvlJc w:val="left"/>
      <w:pPr>
        <w:ind w:left="720" w:hanging="360"/>
      </w:pPr>
      <w:rPr>
        <w:rFonts w:ascii="Symbol" w:hAnsi="Symbol" w:hint="default"/>
      </w:rPr>
    </w:lvl>
    <w:lvl w:ilvl="1" w:tplc="A682389E">
      <w:start w:val="1"/>
      <w:numFmt w:val="bullet"/>
      <w:lvlText w:val="o"/>
      <w:lvlJc w:val="left"/>
      <w:pPr>
        <w:ind w:left="1440" w:hanging="360"/>
      </w:pPr>
      <w:rPr>
        <w:rFonts w:ascii="Courier New" w:hAnsi="Courier New" w:hint="default"/>
      </w:rPr>
    </w:lvl>
    <w:lvl w:ilvl="2" w:tplc="6AD633C0">
      <w:start w:val="1"/>
      <w:numFmt w:val="bullet"/>
      <w:lvlText w:val=""/>
      <w:lvlJc w:val="left"/>
      <w:pPr>
        <w:ind w:left="2160" w:hanging="360"/>
      </w:pPr>
      <w:rPr>
        <w:rFonts w:ascii="Wingdings" w:hAnsi="Wingdings" w:hint="default"/>
      </w:rPr>
    </w:lvl>
    <w:lvl w:ilvl="3" w:tplc="AD065AAA">
      <w:start w:val="1"/>
      <w:numFmt w:val="bullet"/>
      <w:lvlText w:val=""/>
      <w:lvlJc w:val="left"/>
      <w:pPr>
        <w:ind w:left="2880" w:hanging="360"/>
      </w:pPr>
      <w:rPr>
        <w:rFonts w:ascii="Symbol" w:hAnsi="Symbol" w:hint="default"/>
      </w:rPr>
    </w:lvl>
    <w:lvl w:ilvl="4" w:tplc="C464BF0A">
      <w:start w:val="1"/>
      <w:numFmt w:val="bullet"/>
      <w:lvlText w:val="o"/>
      <w:lvlJc w:val="left"/>
      <w:pPr>
        <w:ind w:left="3600" w:hanging="360"/>
      </w:pPr>
      <w:rPr>
        <w:rFonts w:ascii="Courier New" w:hAnsi="Courier New" w:hint="default"/>
      </w:rPr>
    </w:lvl>
    <w:lvl w:ilvl="5" w:tplc="64CE8898">
      <w:start w:val="1"/>
      <w:numFmt w:val="bullet"/>
      <w:lvlText w:val=""/>
      <w:lvlJc w:val="left"/>
      <w:pPr>
        <w:ind w:left="4320" w:hanging="360"/>
      </w:pPr>
      <w:rPr>
        <w:rFonts w:ascii="Wingdings" w:hAnsi="Wingdings" w:hint="default"/>
      </w:rPr>
    </w:lvl>
    <w:lvl w:ilvl="6" w:tplc="C5EC8168">
      <w:start w:val="1"/>
      <w:numFmt w:val="bullet"/>
      <w:lvlText w:val=""/>
      <w:lvlJc w:val="left"/>
      <w:pPr>
        <w:ind w:left="5040" w:hanging="360"/>
      </w:pPr>
      <w:rPr>
        <w:rFonts w:ascii="Symbol" w:hAnsi="Symbol" w:hint="default"/>
      </w:rPr>
    </w:lvl>
    <w:lvl w:ilvl="7" w:tplc="E05E0FB0">
      <w:start w:val="1"/>
      <w:numFmt w:val="bullet"/>
      <w:lvlText w:val="o"/>
      <w:lvlJc w:val="left"/>
      <w:pPr>
        <w:ind w:left="5760" w:hanging="360"/>
      </w:pPr>
      <w:rPr>
        <w:rFonts w:ascii="Courier New" w:hAnsi="Courier New" w:hint="default"/>
      </w:rPr>
    </w:lvl>
    <w:lvl w:ilvl="8" w:tplc="1ADA8C60">
      <w:start w:val="1"/>
      <w:numFmt w:val="bullet"/>
      <w:lvlText w:val=""/>
      <w:lvlJc w:val="left"/>
      <w:pPr>
        <w:ind w:left="6480" w:hanging="360"/>
      </w:pPr>
      <w:rPr>
        <w:rFonts w:ascii="Wingdings" w:hAnsi="Wingdings" w:hint="default"/>
      </w:rPr>
    </w:lvl>
  </w:abstractNum>
  <w:abstractNum w:abstractNumId="163" w15:restartNumberingAfterBreak="0">
    <w:nsid w:val="5465011D"/>
    <w:multiLevelType w:val="hybridMultilevel"/>
    <w:tmpl w:val="FFFFFFFF"/>
    <w:lvl w:ilvl="0" w:tplc="E45072FA">
      <w:start w:val="1"/>
      <w:numFmt w:val="bullet"/>
      <w:lvlText w:val=""/>
      <w:lvlJc w:val="left"/>
      <w:pPr>
        <w:ind w:left="720" w:hanging="360"/>
      </w:pPr>
      <w:rPr>
        <w:rFonts w:ascii="Symbol" w:hAnsi="Symbol" w:hint="default"/>
      </w:rPr>
    </w:lvl>
    <w:lvl w:ilvl="1" w:tplc="7592CB68">
      <w:start w:val="1"/>
      <w:numFmt w:val="bullet"/>
      <w:lvlText w:val="o"/>
      <w:lvlJc w:val="left"/>
      <w:pPr>
        <w:ind w:left="1440" w:hanging="360"/>
      </w:pPr>
      <w:rPr>
        <w:rFonts w:ascii="Courier New" w:hAnsi="Courier New" w:hint="default"/>
      </w:rPr>
    </w:lvl>
    <w:lvl w:ilvl="2" w:tplc="1326171C">
      <w:start w:val="1"/>
      <w:numFmt w:val="bullet"/>
      <w:lvlText w:val=""/>
      <w:lvlJc w:val="left"/>
      <w:pPr>
        <w:ind w:left="2160" w:hanging="360"/>
      </w:pPr>
      <w:rPr>
        <w:rFonts w:ascii="Wingdings" w:hAnsi="Wingdings" w:hint="default"/>
      </w:rPr>
    </w:lvl>
    <w:lvl w:ilvl="3" w:tplc="F74CE7E8">
      <w:start w:val="1"/>
      <w:numFmt w:val="bullet"/>
      <w:lvlText w:val=""/>
      <w:lvlJc w:val="left"/>
      <w:pPr>
        <w:ind w:left="2880" w:hanging="360"/>
      </w:pPr>
      <w:rPr>
        <w:rFonts w:ascii="Symbol" w:hAnsi="Symbol" w:hint="default"/>
      </w:rPr>
    </w:lvl>
    <w:lvl w:ilvl="4" w:tplc="3D82292A">
      <w:start w:val="1"/>
      <w:numFmt w:val="bullet"/>
      <w:lvlText w:val="o"/>
      <w:lvlJc w:val="left"/>
      <w:pPr>
        <w:ind w:left="3600" w:hanging="360"/>
      </w:pPr>
      <w:rPr>
        <w:rFonts w:ascii="Courier New" w:hAnsi="Courier New" w:hint="default"/>
      </w:rPr>
    </w:lvl>
    <w:lvl w:ilvl="5" w:tplc="9558D6A0">
      <w:start w:val="1"/>
      <w:numFmt w:val="bullet"/>
      <w:lvlText w:val=""/>
      <w:lvlJc w:val="left"/>
      <w:pPr>
        <w:ind w:left="4320" w:hanging="360"/>
      </w:pPr>
      <w:rPr>
        <w:rFonts w:ascii="Wingdings" w:hAnsi="Wingdings" w:hint="default"/>
      </w:rPr>
    </w:lvl>
    <w:lvl w:ilvl="6" w:tplc="79425608">
      <w:start w:val="1"/>
      <w:numFmt w:val="bullet"/>
      <w:lvlText w:val=""/>
      <w:lvlJc w:val="left"/>
      <w:pPr>
        <w:ind w:left="5040" w:hanging="360"/>
      </w:pPr>
      <w:rPr>
        <w:rFonts w:ascii="Symbol" w:hAnsi="Symbol" w:hint="default"/>
      </w:rPr>
    </w:lvl>
    <w:lvl w:ilvl="7" w:tplc="F9C80486">
      <w:start w:val="1"/>
      <w:numFmt w:val="bullet"/>
      <w:lvlText w:val="o"/>
      <w:lvlJc w:val="left"/>
      <w:pPr>
        <w:ind w:left="5760" w:hanging="360"/>
      </w:pPr>
      <w:rPr>
        <w:rFonts w:ascii="Courier New" w:hAnsi="Courier New" w:hint="default"/>
      </w:rPr>
    </w:lvl>
    <w:lvl w:ilvl="8" w:tplc="C9926470">
      <w:start w:val="1"/>
      <w:numFmt w:val="bullet"/>
      <w:lvlText w:val=""/>
      <w:lvlJc w:val="left"/>
      <w:pPr>
        <w:ind w:left="6480" w:hanging="360"/>
      </w:pPr>
      <w:rPr>
        <w:rFonts w:ascii="Wingdings" w:hAnsi="Wingdings" w:hint="default"/>
      </w:rPr>
    </w:lvl>
  </w:abstractNum>
  <w:abstractNum w:abstractNumId="164" w15:restartNumberingAfterBreak="0">
    <w:nsid w:val="559D2AF1"/>
    <w:multiLevelType w:val="multilevel"/>
    <w:tmpl w:val="C13A7EAC"/>
    <w:lvl w:ilvl="0">
      <w:start w:val="1"/>
      <w:numFmt w:val="bullet"/>
      <w:lvlText w:val=""/>
      <w:lvlJc w:val="left"/>
      <w:pPr>
        <w:ind w:left="1080" w:hanging="360"/>
      </w:pPr>
      <w:rPr>
        <w:rFonts w:ascii="Symbol" w:hAnsi="Symbol" w:hint="default"/>
      </w:r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165" w15:restartNumberingAfterBreak="0">
    <w:nsid w:val="55D21F07"/>
    <w:multiLevelType w:val="hybridMultilevel"/>
    <w:tmpl w:val="08A2971A"/>
    <w:lvl w:ilvl="0" w:tplc="25046C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55DC2F40"/>
    <w:multiLevelType w:val="hybridMultilevel"/>
    <w:tmpl w:val="B5CCE242"/>
    <w:name w:val="WW8Num63"/>
    <w:lvl w:ilvl="0" w:tplc="72A232B6">
      <w:start w:val="1"/>
      <w:numFmt w:val="lowerLetter"/>
      <w:lvlText w:val="(%1)"/>
      <w:lvlJc w:val="left"/>
      <w:pPr>
        <w:ind w:left="1440" w:hanging="360"/>
      </w:pPr>
      <w:rPr>
        <w:rFonts w:ascii="Times New Roman" w:hAnsi="Times New Roman" w:cs="Times New Roman"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7" w15:restartNumberingAfterBreak="0">
    <w:nsid w:val="55F97E4E"/>
    <w:multiLevelType w:val="hybridMultilevel"/>
    <w:tmpl w:val="26DE8E52"/>
    <w:lvl w:ilvl="0" w:tplc="C1800190">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56042261"/>
    <w:multiLevelType w:val="hybridMultilevel"/>
    <w:tmpl w:val="FFFFFFFF"/>
    <w:lvl w:ilvl="0" w:tplc="382C40D4">
      <w:start w:val="1"/>
      <w:numFmt w:val="bullet"/>
      <w:lvlText w:val=""/>
      <w:lvlJc w:val="left"/>
      <w:pPr>
        <w:ind w:left="720" w:hanging="360"/>
      </w:pPr>
      <w:rPr>
        <w:rFonts w:ascii="Symbol" w:hAnsi="Symbol" w:hint="default"/>
      </w:rPr>
    </w:lvl>
    <w:lvl w:ilvl="1" w:tplc="90F474B6">
      <w:start w:val="1"/>
      <w:numFmt w:val="bullet"/>
      <w:lvlText w:val="o"/>
      <w:lvlJc w:val="left"/>
      <w:pPr>
        <w:ind w:left="1440" w:hanging="360"/>
      </w:pPr>
      <w:rPr>
        <w:rFonts w:ascii="Courier New" w:hAnsi="Courier New" w:hint="default"/>
      </w:rPr>
    </w:lvl>
    <w:lvl w:ilvl="2" w:tplc="D8DC14A6">
      <w:start w:val="1"/>
      <w:numFmt w:val="bullet"/>
      <w:lvlText w:val=""/>
      <w:lvlJc w:val="left"/>
      <w:pPr>
        <w:ind w:left="2160" w:hanging="360"/>
      </w:pPr>
      <w:rPr>
        <w:rFonts w:ascii="Wingdings" w:hAnsi="Wingdings" w:hint="default"/>
      </w:rPr>
    </w:lvl>
    <w:lvl w:ilvl="3" w:tplc="668A5B78">
      <w:start w:val="1"/>
      <w:numFmt w:val="bullet"/>
      <w:lvlText w:val=""/>
      <w:lvlJc w:val="left"/>
      <w:pPr>
        <w:ind w:left="2880" w:hanging="360"/>
      </w:pPr>
      <w:rPr>
        <w:rFonts w:ascii="Symbol" w:hAnsi="Symbol" w:hint="default"/>
      </w:rPr>
    </w:lvl>
    <w:lvl w:ilvl="4" w:tplc="7C229384">
      <w:start w:val="1"/>
      <w:numFmt w:val="bullet"/>
      <w:lvlText w:val="o"/>
      <w:lvlJc w:val="left"/>
      <w:pPr>
        <w:ind w:left="3600" w:hanging="360"/>
      </w:pPr>
      <w:rPr>
        <w:rFonts w:ascii="Courier New" w:hAnsi="Courier New" w:hint="default"/>
      </w:rPr>
    </w:lvl>
    <w:lvl w:ilvl="5" w:tplc="9B4656CA">
      <w:start w:val="1"/>
      <w:numFmt w:val="bullet"/>
      <w:lvlText w:val=""/>
      <w:lvlJc w:val="left"/>
      <w:pPr>
        <w:ind w:left="4320" w:hanging="360"/>
      </w:pPr>
      <w:rPr>
        <w:rFonts w:ascii="Wingdings" w:hAnsi="Wingdings" w:hint="default"/>
      </w:rPr>
    </w:lvl>
    <w:lvl w:ilvl="6" w:tplc="F79CC35E">
      <w:start w:val="1"/>
      <w:numFmt w:val="bullet"/>
      <w:lvlText w:val=""/>
      <w:lvlJc w:val="left"/>
      <w:pPr>
        <w:ind w:left="5040" w:hanging="360"/>
      </w:pPr>
      <w:rPr>
        <w:rFonts w:ascii="Symbol" w:hAnsi="Symbol" w:hint="default"/>
      </w:rPr>
    </w:lvl>
    <w:lvl w:ilvl="7" w:tplc="7EBEE4F4">
      <w:start w:val="1"/>
      <w:numFmt w:val="bullet"/>
      <w:lvlText w:val="o"/>
      <w:lvlJc w:val="left"/>
      <w:pPr>
        <w:ind w:left="5760" w:hanging="360"/>
      </w:pPr>
      <w:rPr>
        <w:rFonts w:ascii="Courier New" w:hAnsi="Courier New" w:hint="default"/>
      </w:rPr>
    </w:lvl>
    <w:lvl w:ilvl="8" w:tplc="E4D8E8FA">
      <w:start w:val="1"/>
      <w:numFmt w:val="bullet"/>
      <w:lvlText w:val=""/>
      <w:lvlJc w:val="left"/>
      <w:pPr>
        <w:ind w:left="6480" w:hanging="360"/>
      </w:pPr>
      <w:rPr>
        <w:rFonts w:ascii="Wingdings" w:hAnsi="Wingdings" w:hint="default"/>
      </w:rPr>
    </w:lvl>
  </w:abstractNum>
  <w:abstractNum w:abstractNumId="169" w15:restartNumberingAfterBreak="0">
    <w:nsid w:val="57354B30"/>
    <w:multiLevelType w:val="hybridMultilevel"/>
    <w:tmpl w:val="FFFFFFFF"/>
    <w:lvl w:ilvl="0" w:tplc="5C50F07C">
      <w:start w:val="1"/>
      <w:numFmt w:val="bullet"/>
      <w:lvlText w:val=""/>
      <w:lvlJc w:val="left"/>
      <w:pPr>
        <w:ind w:left="720" w:hanging="360"/>
      </w:pPr>
      <w:rPr>
        <w:rFonts w:ascii="Symbol" w:hAnsi="Symbol" w:hint="default"/>
      </w:rPr>
    </w:lvl>
    <w:lvl w:ilvl="1" w:tplc="573607EA">
      <w:start w:val="1"/>
      <w:numFmt w:val="bullet"/>
      <w:lvlText w:val="o"/>
      <w:lvlJc w:val="left"/>
      <w:pPr>
        <w:ind w:left="1440" w:hanging="360"/>
      </w:pPr>
      <w:rPr>
        <w:rFonts w:ascii="Courier New" w:hAnsi="Courier New" w:hint="default"/>
      </w:rPr>
    </w:lvl>
    <w:lvl w:ilvl="2" w:tplc="DE2CBC5C">
      <w:start w:val="1"/>
      <w:numFmt w:val="bullet"/>
      <w:lvlText w:val=""/>
      <w:lvlJc w:val="left"/>
      <w:pPr>
        <w:ind w:left="2160" w:hanging="360"/>
      </w:pPr>
      <w:rPr>
        <w:rFonts w:ascii="Wingdings" w:hAnsi="Wingdings" w:hint="default"/>
      </w:rPr>
    </w:lvl>
    <w:lvl w:ilvl="3" w:tplc="A5AE6C5A">
      <w:start w:val="1"/>
      <w:numFmt w:val="bullet"/>
      <w:lvlText w:val=""/>
      <w:lvlJc w:val="left"/>
      <w:pPr>
        <w:ind w:left="2880" w:hanging="360"/>
      </w:pPr>
      <w:rPr>
        <w:rFonts w:ascii="Symbol" w:hAnsi="Symbol" w:hint="default"/>
      </w:rPr>
    </w:lvl>
    <w:lvl w:ilvl="4" w:tplc="4EC8C452">
      <w:start w:val="1"/>
      <w:numFmt w:val="bullet"/>
      <w:lvlText w:val="o"/>
      <w:lvlJc w:val="left"/>
      <w:pPr>
        <w:ind w:left="3600" w:hanging="360"/>
      </w:pPr>
      <w:rPr>
        <w:rFonts w:ascii="Courier New" w:hAnsi="Courier New" w:hint="default"/>
      </w:rPr>
    </w:lvl>
    <w:lvl w:ilvl="5" w:tplc="08A0227E">
      <w:start w:val="1"/>
      <w:numFmt w:val="bullet"/>
      <w:lvlText w:val=""/>
      <w:lvlJc w:val="left"/>
      <w:pPr>
        <w:ind w:left="4320" w:hanging="360"/>
      </w:pPr>
      <w:rPr>
        <w:rFonts w:ascii="Wingdings" w:hAnsi="Wingdings" w:hint="default"/>
      </w:rPr>
    </w:lvl>
    <w:lvl w:ilvl="6" w:tplc="97365DA8">
      <w:start w:val="1"/>
      <w:numFmt w:val="bullet"/>
      <w:lvlText w:val=""/>
      <w:lvlJc w:val="left"/>
      <w:pPr>
        <w:ind w:left="5040" w:hanging="360"/>
      </w:pPr>
      <w:rPr>
        <w:rFonts w:ascii="Symbol" w:hAnsi="Symbol" w:hint="default"/>
      </w:rPr>
    </w:lvl>
    <w:lvl w:ilvl="7" w:tplc="706ECA2C">
      <w:start w:val="1"/>
      <w:numFmt w:val="bullet"/>
      <w:lvlText w:val="o"/>
      <w:lvlJc w:val="left"/>
      <w:pPr>
        <w:ind w:left="5760" w:hanging="360"/>
      </w:pPr>
      <w:rPr>
        <w:rFonts w:ascii="Courier New" w:hAnsi="Courier New" w:hint="default"/>
      </w:rPr>
    </w:lvl>
    <w:lvl w:ilvl="8" w:tplc="992A63E0">
      <w:start w:val="1"/>
      <w:numFmt w:val="bullet"/>
      <w:lvlText w:val=""/>
      <w:lvlJc w:val="left"/>
      <w:pPr>
        <w:ind w:left="6480" w:hanging="360"/>
      </w:pPr>
      <w:rPr>
        <w:rFonts w:ascii="Wingdings" w:hAnsi="Wingdings" w:hint="default"/>
      </w:rPr>
    </w:lvl>
  </w:abstractNum>
  <w:abstractNum w:abstractNumId="170" w15:restartNumberingAfterBreak="0">
    <w:nsid w:val="576C1D62"/>
    <w:multiLevelType w:val="hybridMultilevel"/>
    <w:tmpl w:val="F5288976"/>
    <w:lvl w:ilvl="0" w:tplc="10090001">
      <w:start w:val="1"/>
      <w:numFmt w:val="bullet"/>
      <w:lvlText w:val=""/>
      <w:lvlJc w:val="left"/>
      <w:pPr>
        <w:ind w:left="1260" w:hanging="360"/>
      </w:pPr>
      <w:rPr>
        <w:rFonts w:ascii="Symbol" w:hAnsi="Symbol" w:hint="default"/>
      </w:rPr>
    </w:lvl>
    <w:lvl w:ilvl="1" w:tplc="10090003" w:tentative="1">
      <w:start w:val="1"/>
      <w:numFmt w:val="bullet"/>
      <w:lvlText w:val="o"/>
      <w:lvlJc w:val="left"/>
      <w:pPr>
        <w:ind w:left="1980" w:hanging="360"/>
      </w:pPr>
      <w:rPr>
        <w:rFonts w:ascii="Courier New" w:hAnsi="Courier New" w:cs="Courier New" w:hint="default"/>
      </w:rPr>
    </w:lvl>
    <w:lvl w:ilvl="2" w:tplc="10090005" w:tentative="1">
      <w:start w:val="1"/>
      <w:numFmt w:val="bullet"/>
      <w:lvlText w:val=""/>
      <w:lvlJc w:val="left"/>
      <w:pPr>
        <w:ind w:left="2700" w:hanging="360"/>
      </w:pPr>
      <w:rPr>
        <w:rFonts w:ascii="Wingdings" w:hAnsi="Wingdings" w:hint="default"/>
      </w:rPr>
    </w:lvl>
    <w:lvl w:ilvl="3" w:tplc="10090001" w:tentative="1">
      <w:start w:val="1"/>
      <w:numFmt w:val="bullet"/>
      <w:lvlText w:val=""/>
      <w:lvlJc w:val="left"/>
      <w:pPr>
        <w:ind w:left="3420" w:hanging="360"/>
      </w:pPr>
      <w:rPr>
        <w:rFonts w:ascii="Symbol" w:hAnsi="Symbol" w:hint="default"/>
      </w:rPr>
    </w:lvl>
    <w:lvl w:ilvl="4" w:tplc="10090003" w:tentative="1">
      <w:start w:val="1"/>
      <w:numFmt w:val="bullet"/>
      <w:lvlText w:val="o"/>
      <w:lvlJc w:val="left"/>
      <w:pPr>
        <w:ind w:left="4140" w:hanging="360"/>
      </w:pPr>
      <w:rPr>
        <w:rFonts w:ascii="Courier New" w:hAnsi="Courier New" w:cs="Courier New" w:hint="default"/>
      </w:rPr>
    </w:lvl>
    <w:lvl w:ilvl="5" w:tplc="10090005" w:tentative="1">
      <w:start w:val="1"/>
      <w:numFmt w:val="bullet"/>
      <w:lvlText w:val=""/>
      <w:lvlJc w:val="left"/>
      <w:pPr>
        <w:ind w:left="4860" w:hanging="360"/>
      </w:pPr>
      <w:rPr>
        <w:rFonts w:ascii="Wingdings" w:hAnsi="Wingdings" w:hint="default"/>
      </w:rPr>
    </w:lvl>
    <w:lvl w:ilvl="6" w:tplc="10090001" w:tentative="1">
      <w:start w:val="1"/>
      <w:numFmt w:val="bullet"/>
      <w:lvlText w:val=""/>
      <w:lvlJc w:val="left"/>
      <w:pPr>
        <w:ind w:left="5580" w:hanging="360"/>
      </w:pPr>
      <w:rPr>
        <w:rFonts w:ascii="Symbol" w:hAnsi="Symbol" w:hint="default"/>
      </w:rPr>
    </w:lvl>
    <w:lvl w:ilvl="7" w:tplc="10090003" w:tentative="1">
      <w:start w:val="1"/>
      <w:numFmt w:val="bullet"/>
      <w:lvlText w:val="o"/>
      <w:lvlJc w:val="left"/>
      <w:pPr>
        <w:ind w:left="6300" w:hanging="360"/>
      </w:pPr>
      <w:rPr>
        <w:rFonts w:ascii="Courier New" w:hAnsi="Courier New" w:cs="Courier New" w:hint="default"/>
      </w:rPr>
    </w:lvl>
    <w:lvl w:ilvl="8" w:tplc="10090005" w:tentative="1">
      <w:start w:val="1"/>
      <w:numFmt w:val="bullet"/>
      <w:lvlText w:val=""/>
      <w:lvlJc w:val="left"/>
      <w:pPr>
        <w:ind w:left="7020" w:hanging="360"/>
      </w:pPr>
      <w:rPr>
        <w:rFonts w:ascii="Wingdings" w:hAnsi="Wingdings" w:hint="default"/>
      </w:rPr>
    </w:lvl>
  </w:abstractNum>
  <w:abstractNum w:abstractNumId="171" w15:restartNumberingAfterBreak="0">
    <w:nsid w:val="57841C80"/>
    <w:multiLevelType w:val="hybridMultilevel"/>
    <w:tmpl w:val="1A1E4A44"/>
    <w:lvl w:ilvl="0" w:tplc="25046C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59153AC0"/>
    <w:multiLevelType w:val="hybridMultilevel"/>
    <w:tmpl w:val="62469A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3" w15:restartNumberingAfterBreak="0">
    <w:nsid w:val="5945673B"/>
    <w:multiLevelType w:val="hybridMultilevel"/>
    <w:tmpl w:val="FFFFFFFF"/>
    <w:lvl w:ilvl="0" w:tplc="045C9476">
      <w:start w:val="1"/>
      <w:numFmt w:val="bullet"/>
      <w:lvlText w:val=""/>
      <w:lvlJc w:val="left"/>
      <w:pPr>
        <w:ind w:left="720" w:hanging="360"/>
      </w:pPr>
      <w:rPr>
        <w:rFonts w:ascii="Symbol" w:hAnsi="Symbol" w:hint="default"/>
      </w:rPr>
    </w:lvl>
    <w:lvl w:ilvl="1" w:tplc="EBDA882E">
      <w:start w:val="1"/>
      <w:numFmt w:val="bullet"/>
      <w:lvlText w:val="o"/>
      <w:lvlJc w:val="left"/>
      <w:pPr>
        <w:ind w:left="1440" w:hanging="360"/>
      </w:pPr>
      <w:rPr>
        <w:rFonts w:ascii="Courier New" w:hAnsi="Courier New" w:hint="default"/>
      </w:rPr>
    </w:lvl>
    <w:lvl w:ilvl="2" w:tplc="B00E75D8">
      <w:start w:val="1"/>
      <w:numFmt w:val="bullet"/>
      <w:lvlText w:val=""/>
      <w:lvlJc w:val="left"/>
      <w:pPr>
        <w:ind w:left="2160" w:hanging="360"/>
      </w:pPr>
      <w:rPr>
        <w:rFonts w:ascii="Wingdings" w:hAnsi="Wingdings" w:hint="default"/>
      </w:rPr>
    </w:lvl>
    <w:lvl w:ilvl="3" w:tplc="470278FA">
      <w:start w:val="1"/>
      <w:numFmt w:val="bullet"/>
      <w:lvlText w:val=""/>
      <w:lvlJc w:val="left"/>
      <w:pPr>
        <w:ind w:left="2880" w:hanging="360"/>
      </w:pPr>
      <w:rPr>
        <w:rFonts w:ascii="Symbol" w:hAnsi="Symbol" w:hint="default"/>
      </w:rPr>
    </w:lvl>
    <w:lvl w:ilvl="4" w:tplc="81D0AD96">
      <w:start w:val="1"/>
      <w:numFmt w:val="bullet"/>
      <w:lvlText w:val="o"/>
      <w:lvlJc w:val="left"/>
      <w:pPr>
        <w:ind w:left="3600" w:hanging="360"/>
      </w:pPr>
      <w:rPr>
        <w:rFonts w:ascii="Courier New" w:hAnsi="Courier New" w:hint="default"/>
      </w:rPr>
    </w:lvl>
    <w:lvl w:ilvl="5" w:tplc="C010C204">
      <w:start w:val="1"/>
      <w:numFmt w:val="bullet"/>
      <w:lvlText w:val=""/>
      <w:lvlJc w:val="left"/>
      <w:pPr>
        <w:ind w:left="4320" w:hanging="360"/>
      </w:pPr>
      <w:rPr>
        <w:rFonts w:ascii="Wingdings" w:hAnsi="Wingdings" w:hint="default"/>
      </w:rPr>
    </w:lvl>
    <w:lvl w:ilvl="6" w:tplc="B6FED6EA">
      <w:start w:val="1"/>
      <w:numFmt w:val="bullet"/>
      <w:lvlText w:val=""/>
      <w:lvlJc w:val="left"/>
      <w:pPr>
        <w:ind w:left="5040" w:hanging="360"/>
      </w:pPr>
      <w:rPr>
        <w:rFonts w:ascii="Symbol" w:hAnsi="Symbol" w:hint="default"/>
      </w:rPr>
    </w:lvl>
    <w:lvl w:ilvl="7" w:tplc="8EB89E3A">
      <w:start w:val="1"/>
      <w:numFmt w:val="bullet"/>
      <w:lvlText w:val="o"/>
      <w:lvlJc w:val="left"/>
      <w:pPr>
        <w:ind w:left="5760" w:hanging="360"/>
      </w:pPr>
      <w:rPr>
        <w:rFonts w:ascii="Courier New" w:hAnsi="Courier New" w:hint="default"/>
      </w:rPr>
    </w:lvl>
    <w:lvl w:ilvl="8" w:tplc="8752FD64">
      <w:start w:val="1"/>
      <w:numFmt w:val="bullet"/>
      <w:lvlText w:val=""/>
      <w:lvlJc w:val="left"/>
      <w:pPr>
        <w:ind w:left="6480" w:hanging="360"/>
      </w:pPr>
      <w:rPr>
        <w:rFonts w:ascii="Wingdings" w:hAnsi="Wingdings" w:hint="default"/>
      </w:rPr>
    </w:lvl>
  </w:abstractNum>
  <w:abstractNum w:abstractNumId="174" w15:restartNumberingAfterBreak="0">
    <w:nsid w:val="59710F83"/>
    <w:multiLevelType w:val="hybridMultilevel"/>
    <w:tmpl w:val="FFFFFFFF"/>
    <w:lvl w:ilvl="0" w:tplc="852685B2">
      <w:start w:val="1"/>
      <w:numFmt w:val="bullet"/>
      <w:lvlText w:val=""/>
      <w:lvlJc w:val="left"/>
      <w:pPr>
        <w:ind w:left="720" w:hanging="360"/>
      </w:pPr>
      <w:rPr>
        <w:rFonts w:ascii="Symbol" w:hAnsi="Symbol" w:hint="default"/>
      </w:rPr>
    </w:lvl>
    <w:lvl w:ilvl="1" w:tplc="8900525C">
      <w:start w:val="1"/>
      <w:numFmt w:val="bullet"/>
      <w:lvlText w:val="o"/>
      <w:lvlJc w:val="left"/>
      <w:pPr>
        <w:ind w:left="1440" w:hanging="360"/>
      </w:pPr>
      <w:rPr>
        <w:rFonts w:ascii="Courier New" w:hAnsi="Courier New" w:hint="default"/>
      </w:rPr>
    </w:lvl>
    <w:lvl w:ilvl="2" w:tplc="0FCC5926">
      <w:start w:val="1"/>
      <w:numFmt w:val="bullet"/>
      <w:lvlText w:val=""/>
      <w:lvlJc w:val="left"/>
      <w:pPr>
        <w:ind w:left="2160" w:hanging="360"/>
      </w:pPr>
      <w:rPr>
        <w:rFonts w:ascii="Wingdings" w:hAnsi="Wingdings" w:hint="default"/>
      </w:rPr>
    </w:lvl>
    <w:lvl w:ilvl="3" w:tplc="9BC2F4C8">
      <w:start w:val="1"/>
      <w:numFmt w:val="bullet"/>
      <w:lvlText w:val=""/>
      <w:lvlJc w:val="left"/>
      <w:pPr>
        <w:ind w:left="2880" w:hanging="360"/>
      </w:pPr>
      <w:rPr>
        <w:rFonts w:ascii="Symbol" w:hAnsi="Symbol" w:hint="default"/>
      </w:rPr>
    </w:lvl>
    <w:lvl w:ilvl="4" w:tplc="4C1EB18E">
      <w:start w:val="1"/>
      <w:numFmt w:val="bullet"/>
      <w:lvlText w:val="o"/>
      <w:lvlJc w:val="left"/>
      <w:pPr>
        <w:ind w:left="3600" w:hanging="360"/>
      </w:pPr>
      <w:rPr>
        <w:rFonts w:ascii="Courier New" w:hAnsi="Courier New" w:hint="default"/>
      </w:rPr>
    </w:lvl>
    <w:lvl w:ilvl="5" w:tplc="13F61844">
      <w:start w:val="1"/>
      <w:numFmt w:val="bullet"/>
      <w:lvlText w:val=""/>
      <w:lvlJc w:val="left"/>
      <w:pPr>
        <w:ind w:left="4320" w:hanging="360"/>
      </w:pPr>
      <w:rPr>
        <w:rFonts w:ascii="Wingdings" w:hAnsi="Wingdings" w:hint="default"/>
      </w:rPr>
    </w:lvl>
    <w:lvl w:ilvl="6" w:tplc="41E67AC6">
      <w:start w:val="1"/>
      <w:numFmt w:val="bullet"/>
      <w:lvlText w:val=""/>
      <w:lvlJc w:val="left"/>
      <w:pPr>
        <w:ind w:left="5040" w:hanging="360"/>
      </w:pPr>
      <w:rPr>
        <w:rFonts w:ascii="Symbol" w:hAnsi="Symbol" w:hint="default"/>
      </w:rPr>
    </w:lvl>
    <w:lvl w:ilvl="7" w:tplc="6C60F6BE">
      <w:start w:val="1"/>
      <w:numFmt w:val="bullet"/>
      <w:lvlText w:val="o"/>
      <w:lvlJc w:val="left"/>
      <w:pPr>
        <w:ind w:left="5760" w:hanging="360"/>
      </w:pPr>
      <w:rPr>
        <w:rFonts w:ascii="Courier New" w:hAnsi="Courier New" w:hint="default"/>
      </w:rPr>
    </w:lvl>
    <w:lvl w:ilvl="8" w:tplc="61824B5E">
      <w:start w:val="1"/>
      <w:numFmt w:val="bullet"/>
      <w:lvlText w:val=""/>
      <w:lvlJc w:val="left"/>
      <w:pPr>
        <w:ind w:left="6480" w:hanging="360"/>
      </w:pPr>
      <w:rPr>
        <w:rFonts w:ascii="Wingdings" w:hAnsi="Wingdings" w:hint="default"/>
      </w:rPr>
    </w:lvl>
  </w:abstractNum>
  <w:abstractNum w:abstractNumId="175" w15:restartNumberingAfterBreak="0">
    <w:nsid w:val="59AE3156"/>
    <w:multiLevelType w:val="hybridMultilevel"/>
    <w:tmpl w:val="EE3C322C"/>
    <w:lvl w:ilvl="0" w:tplc="04090001">
      <w:start w:val="1"/>
      <w:numFmt w:val="bullet"/>
      <w:lvlText w:val=""/>
      <w:lvlJc w:val="left"/>
      <w:pPr>
        <w:ind w:left="720" w:hanging="360"/>
      </w:pPr>
      <w:rPr>
        <w:rFonts w:ascii="Symbol" w:hAnsi="Symbol" w:hint="default"/>
      </w:rPr>
    </w:lvl>
    <w:lvl w:ilvl="1" w:tplc="B3C05CC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59F72297"/>
    <w:multiLevelType w:val="hybridMultilevel"/>
    <w:tmpl w:val="69A084D2"/>
    <w:name w:val="WW8Num6222222222222222222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5A095D9D"/>
    <w:multiLevelType w:val="hybridMultilevel"/>
    <w:tmpl w:val="43F451E0"/>
    <w:lvl w:ilvl="0" w:tplc="04090001">
      <w:start w:val="1"/>
      <w:numFmt w:val="bullet"/>
      <w:lvlText w:val=""/>
      <w:lvlJc w:val="left"/>
      <w:pPr>
        <w:ind w:left="720" w:hanging="360"/>
      </w:pPr>
      <w:rPr>
        <w:rFonts w:ascii="Symbol" w:hAnsi="Symbol" w:hint="default"/>
      </w:rPr>
    </w:lvl>
    <w:lvl w:ilvl="1" w:tplc="B3C05CC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5A7D325A"/>
    <w:multiLevelType w:val="hybridMultilevel"/>
    <w:tmpl w:val="D4EC0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5A955F19"/>
    <w:multiLevelType w:val="multilevel"/>
    <w:tmpl w:val="2F7AB19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80" w15:restartNumberingAfterBreak="0">
    <w:nsid w:val="5AAE0F37"/>
    <w:multiLevelType w:val="hybridMultilevel"/>
    <w:tmpl w:val="A29E2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5BA05214"/>
    <w:multiLevelType w:val="hybridMultilevel"/>
    <w:tmpl w:val="2018C328"/>
    <w:lvl w:ilvl="0" w:tplc="04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2" w15:restartNumberingAfterBreak="0">
    <w:nsid w:val="5DB06A24"/>
    <w:multiLevelType w:val="hybridMultilevel"/>
    <w:tmpl w:val="81CE646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5E5079A7"/>
    <w:multiLevelType w:val="hybridMultilevel"/>
    <w:tmpl w:val="8E2EEF66"/>
    <w:lvl w:ilvl="0" w:tplc="B3C05CC2">
      <w:start w:val="1"/>
      <w:numFmt w:val="bullet"/>
      <w:lvlText w:val=""/>
      <w:lvlJc w:val="left"/>
      <w:pPr>
        <w:ind w:left="720" w:hanging="360"/>
      </w:pPr>
      <w:rPr>
        <w:rFonts w:ascii="Symbol" w:hAnsi="Symbol"/>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15:restartNumberingAfterBreak="0">
    <w:nsid w:val="5F2F5383"/>
    <w:multiLevelType w:val="hybridMultilevel"/>
    <w:tmpl w:val="0994C36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5F8538C3"/>
    <w:multiLevelType w:val="hybridMultilevel"/>
    <w:tmpl w:val="A01A8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60072A76"/>
    <w:multiLevelType w:val="hybridMultilevel"/>
    <w:tmpl w:val="FFFFFFFF"/>
    <w:lvl w:ilvl="0" w:tplc="481CE042">
      <w:start w:val="1"/>
      <w:numFmt w:val="bullet"/>
      <w:lvlText w:val=""/>
      <w:lvlJc w:val="left"/>
      <w:pPr>
        <w:ind w:left="720" w:hanging="360"/>
      </w:pPr>
      <w:rPr>
        <w:rFonts w:ascii="Symbol" w:hAnsi="Symbol" w:hint="default"/>
      </w:rPr>
    </w:lvl>
    <w:lvl w:ilvl="1" w:tplc="DB002094">
      <w:start w:val="1"/>
      <w:numFmt w:val="bullet"/>
      <w:lvlText w:val="o"/>
      <w:lvlJc w:val="left"/>
      <w:pPr>
        <w:ind w:left="1440" w:hanging="360"/>
      </w:pPr>
      <w:rPr>
        <w:rFonts w:ascii="Courier New" w:hAnsi="Courier New" w:hint="default"/>
      </w:rPr>
    </w:lvl>
    <w:lvl w:ilvl="2" w:tplc="4F40DF54">
      <w:start w:val="1"/>
      <w:numFmt w:val="bullet"/>
      <w:lvlText w:val=""/>
      <w:lvlJc w:val="left"/>
      <w:pPr>
        <w:ind w:left="2160" w:hanging="360"/>
      </w:pPr>
      <w:rPr>
        <w:rFonts w:ascii="Wingdings" w:hAnsi="Wingdings" w:hint="default"/>
      </w:rPr>
    </w:lvl>
    <w:lvl w:ilvl="3" w:tplc="5D585EFC">
      <w:start w:val="1"/>
      <w:numFmt w:val="bullet"/>
      <w:lvlText w:val=""/>
      <w:lvlJc w:val="left"/>
      <w:pPr>
        <w:ind w:left="2880" w:hanging="360"/>
      </w:pPr>
      <w:rPr>
        <w:rFonts w:ascii="Symbol" w:hAnsi="Symbol" w:hint="default"/>
      </w:rPr>
    </w:lvl>
    <w:lvl w:ilvl="4" w:tplc="46548486">
      <w:start w:val="1"/>
      <w:numFmt w:val="bullet"/>
      <w:lvlText w:val="o"/>
      <w:lvlJc w:val="left"/>
      <w:pPr>
        <w:ind w:left="3600" w:hanging="360"/>
      </w:pPr>
      <w:rPr>
        <w:rFonts w:ascii="Courier New" w:hAnsi="Courier New" w:hint="default"/>
      </w:rPr>
    </w:lvl>
    <w:lvl w:ilvl="5" w:tplc="858CB062">
      <w:start w:val="1"/>
      <w:numFmt w:val="bullet"/>
      <w:lvlText w:val=""/>
      <w:lvlJc w:val="left"/>
      <w:pPr>
        <w:ind w:left="4320" w:hanging="360"/>
      </w:pPr>
      <w:rPr>
        <w:rFonts w:ascii="Wingdings" w:hAnsi="Wingdings" w:hint="default"/>
      </w:rPr>
    </w:lvl>
    <w:lvl w:ilvl="6" w:tplc="5296D5D4">
      <w:start w:val="1"/>
      <w:numFmt w:val="bullet"/>
      <w:lvlText w:val=""/>
      <w:lvlJc w:val="left"/>
      <w:pPr>
        <w:ind w:left="5040" w:hanging="360"/>
      </w:pPr>
      <w:rPr>
        <w:rFonts w:ascii="Symbol" w:hAnsi="Symbol" w:hint="default"/>
      </w:rPr>
    </w:lvl>
    <w:lvl w:ilvl="7" w:tplc="C78A7DB6">
      <w:start w:val="1"/>
      <w:numFmt w:val="bullet"/>
      <w:lvlText w:val="o"/>
      <w:lvlJc w:val="left"/>
      <w:pPr>
        <w:ind w:left="5760" w:hanging="360"/>
      </w:pPr>
      <w:rPr>
        <w:rFonts w:ascii="Courier New" w:hAnsi="Courier New" w:hint="default"/>
      </w:rPr>
    </w:lvl>
    <w:lvl w:ilvl="8" w:tplc="34CE2E9A">
      <w:start w:val="1"/>
      <w:numFmt w:val="bullet"/>
      <w:lvlText w:val=""/>
      <w:lvlJc w:val="left"/>
      <w:pPr>
        <w:ind w:left="6480" w:hanging="360"/>
      </w:pPr>
      <w:rPr>
        <w:rFonts w:ascii="Wingdings" w:hAnsi="Wingdings" w:hint="default"/>
      </w:rPr>
    </w:lvl>
  </w:abstractNum>
  <w:abstractNum w:abstractNumId="187" w15:restartNumberingAfterBreak="0">
    <w:nsid w:val="60F72717"/>
    <w:multiLevelType w:val="hybridMultilevel"/>
    <w:tmpl w:val="4FE20E36"/>
    <w:lvl w:ilvl="0" w:tplc="8E468922">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8" w15:restartNumberingAfterBreak="0">
    <w:nsid w:val="616B038F"/>
    <w:multiLevelType w:val="hybridMultilevel"/>
    <w:tmpl w:val="FFFFFFFF"/>
    <w:lvl w:ilvl="0" w:tplc="4EF0B356">
      <w:start w:val="1"/>
      <w:numFmt w:val="bullet"/>
      <w:lvlText w:val=""/>
      <w:lvlJc w:val="left"/>
      <w:pPr>
        <w:ind w:left="720" w:hanging="360"/>
      </w:pPr>
      <w:rPr>
        <w:rFonts w:ascii="Symbol" w:hAnsi="Symbol" w:hint="default"/>
      </w:rPr>
    </w:lvl>
    <w:lvl w:ilvl="1" w:tplc="5E043718">
      <w:start w:val="1"/>
      <w:numFmt w:val="bullet"/>
      <w:lvlText w:val="o"/>
      <w:lvlJc w:val="left"/>
      <w:pPr>
        <w:ind w:left="1440" w:hanging="360"/>
      </w:pPr>
      <w:rPr>
        <w:rFonts w:ascii="Courier New" w:hAnsi="Courier New" w:hint="default"/>
      </w:rPr>
    </w:lvl>
    <w:lvl w:ilvl="2" w:tplc="DD7EB114">
      <w:start w:val="1"/>
      <w:numFmt w:val="bullet"/>
      <w:lvlText w:val=""/>
      <w:lvlJc w:val="left"/>
      <w:pPr>
        <w:ind w:left="2160" w:hanging="360"/>
      </w:pPr>
      <w:rPr>
        <w:rFonts w:ascii="Wingdings" w:hAnsi="Wingdings" w:hint="default"/>
      </w:rPr>
    </w:lvl>
    <w:lvl w:ilvl="3" w:tplc="FF34293E">
      <w:start w:val="1"/>
      <w:numFmt w:val="bullet"/>
      <w:lvlText w:val=""/>
      <w:lvlJc w:val="left"/>
      <w:pPr>
        <w:ind w:left="2880" w:hanging="360"/>
      </w:pPr>
      <w:rPr>
        <w:rFonts w:ascii="Symbol" w:hAnsi="Symbol" w:hint="default"/>
      </w:rPr>
    </w:lvl>
    <w:lvl w:ilvl="4" w:tplc="8714AC82">
      <w:start w:val="1"/>
      <w:numFmt w:val="bullet"/>
      <w:lvlText w:val="o"/>
      <w:lvlJc w:val="left"/>
      <w:pPr>
        <w:ind w:left="3600" w:hanging="360"/>
      </w:pPr>
      <w:rPr>
        <w:rFonts w:ascii="Courier New" w:hAnsi="Courier New" w:hint="default"/>
      </w:rPr>
    </w:lvl>
    <w:lvl w:ilvl="5" w:tplc="9DF4410E">
      <w:start w:val="1"/>
      <w:numFmt w:val="bullet"/>
      <w:lvlText w:val=""/>
      <w:lvlJc w:val="left"/>
      <w:pPr>
        <w:ind w:left="4320" w:hanging="360"/>
      </w:pPr>
      <w:rPr>
        <w:rFonts w:ascii="Wingdings" w:hAnsi="Wingdings" w:hint="default"/>
      </w:rPr>
    </w:lvl>
    <w:lvl w:ilvl="6" w:tplc="2E92FFA6">
      <w:start w:val="1"/>
      <w:numFmt w:val="bullet"/>
      <w:lvlText w:val=""/>
      <w:lvlJc w:val="left"/>
      <w:pPr>
        <w:ind w:left="5040" w:hanging="360"/>
      </w:pPr>
      <w:rPr>
        <w:rFonts w:ascii="Symbol" w:hAnsi="Symbol" w:hint="default"/>
      </w:rPr>
    </w:lvl>
    <w:lvl w:ilvl="7" w:tplc="150A5FB2">
      <w:start w:val="1"/>
      <w:numFmt w:val="bullet"/>
      <w:lvlText w:val="o"/>
      <w:lvlJc w:val="left"/>
      <w:pPr>
        <w:ind w:left="5760" w:hanging="360"/>
      </w:pPr>
      <w:rPr>
        <w:rFonts w:ascii="Courier New" w:hAnsi="Courier New" w:hint="default"/>
      </w:rPr>
    </w:lvl>
    <w:lvl w:ilvl="8" w:tplc="893E86B0">
      <w:start w:val="1"/>
      <w:numFmt w:val="bullet"/>
      <w:lvlText w:val=""/>
      <w:lvlJc w:val="left"/>
      <w:pPr>
        <w:ind w:left="6480" w:hanging="360"/>
      </w:pPr>
      <w:rPr>
        <w:rFonts w:ascii="Wingdings" w:hAnsi="Wingdings" w:hint="default"/>
      </w:rPr>
    </w:lvl>
  </w:abstractNum>
  <w:abstractNum w:abstractNumId="189" w15:restartNumberingAfterBreak="0">
    <w:nsid w:val="619B355E"/>
    <w:multiLevelType w:val="hybridMultilevel"/>
    <w:tmpl w:val="FFFFFFFF"/>
    <w:lvl w:ilvl="0" w:tplc="497A5758">
      <w:start w:val="1"/>
      <w:numFmt w:val="bullet"/>
      <w:lvlText w:val=""/>
      <w:lvlJc w:val="left"/>
      <w:pPr>
        <w:ind w:left="720" w:hanging="360"/>
      </w:pPr>
      <w:rPr>
        <w:rFonts w:ascii="Symbol" w:hAnsi="Symbol" w:hint="default"/>
      </w:rPr>
    </w:lvl>
    <w:lvl w:ilvl="1" w:tplc="516E6EB8">
      <w:start w:val="1"/>
      <w:numFmt w:val="bullet"/>
      <w:lvlText w:val="-"/>
      <w:lvlJc w:val="left"/>
      <w:pPr>
        <w:ind w:left="1440" w:hanging="360"/>
      </w:pPr>
      <w:rPr>
        <w:rFonts w:ascii="Calibri" w:hAnsi="Calibri" w:hint="default"/>
      </w:rPr>
    </w:lvl>
    <w:lvl w:ilvl="2" w:tplc="1D8AAF54">
      <w:start w:val="1"/>
      <w:numFmt w:val="bullet"/>
      <w:lvlText w:val=""/>
      <w:lvlJc w:val="left"/>
      <w:pPr>
        <w:ind w:left="2160" w:hanging="360"/>
      </w:pPr>
      <w:rPr>
        <w:rFonts w:ascii="Wingdings" w:hAnsi="Wingdings" w:hint="default"/>
      </w:rPr>
    </w:lvl>
    <w:lvl w:ilvl="3" w:tplc="D494D60C">
      <w:start w:val="1"/>
      <w:numFmt w:val="bullet"/>
      <w:lvlText w:val=""/>
      <w:lvlJc w:val="left"/>
      <w:pPr>
        <w:ind w:left="2880" w:hanging="360"/>
      </w:pPr>
      <w:rPr>
        <w:rFonts w:ascii="Symbol" w:hAnsi="Symbol" w:hint="default"/>
      </w:rPr>
    </w:lvl>
    <w:lvl w:ilvl="4" w:tplc="475AC9DA">
      <w:start w:val="1"/>
      <w:numFmt w:val="bullet"/>
      <w:lvlText w:val="o"/>
      <w:lvlJc w:val="left"/>
      <w:pPr>
        <w:ind w:left="3600" w:hanging="360"/>
      </w:pPr>
      <w:rPr>
        <w:rFonts w:ascii="Courier New" w:hAnsi="Courier New" w:hint="default"/>
      </w:rPr>
    </w:lvl>
    <w:lvl w:ilvl="5" w:tplc="3BFEF82A">
      <w:start w:val="1"/>
      <w:numFmt w:val="bullet"/>
      <w:lvlText w:val=""/>
      <w:lvlJc w:val="left"/>
      <w:pPr>
        <w:ind w:left="4320" w:hanging="360"/>
      </w:pPr>
      <w:rPr>
        <w:rFonts w:ascii="Wingdings" w:hAnsi="Wingdings" w:hint="default"/>
      </w:rPr>
    </w:lvl>
    <w:lvl w:ilvl="6" w:tplc="E9589396">
      <w:start w:val="1"/>
      <w:numFmt w:val="bullet"/>
      <w:lvlText w:val=""/>
      <w:lvlJc w:val="left"/>
      <w:pPr>
        <w:ind w:left="5040" w:hanging="360"/>
      </w:pPr>
      <w:rPr>
        <w:rFonts w:ascii="Symbol" w:hAnsi="Symbol" w:hint="default"/>
      </w:rPr>
    </w:lvl>
    <w:lvl w:ilvl="7" w:tplc="5EBCD2DA">
      <w:start w:val="1"/>
      <w:numFmt w:val="bullet"/>
      <w:lvlText w:val="o"/>
      <w:lvlJc w:val="left"/>
      <w:pPr>
        <w:ind w:left="5760" w:hanging="360"/>
      </w:pPr>
      <w:rPr>
        <w:rFonts w:ascii="Courier New" w:hAnsi="Courier New" w:hint="default"/>
      </w:rPr>
    </w:lvl>
    <w:lvl w:ilvl="8" w:tplc="A0405692">
      <w:start w:val="1"/>
      <w:numFmt w:val="bullet"/>
      <w:lvlText w:val=""/>
      <w:lvlJc w:val="left"/>
      <w:pPr>
        <w:ind w:left="6480" w:hanging="360"/>
      </w:pPr>
      <w:rPr>
        <w:rFonts w:ascii="Wingdings" w:hAnsi="Wingdings" w:hint="default"/>
      </w:rPr>
    </w:lvl>
  </w:abstractNum>
  <w:abstractNum w:abstractNumId="190" w15:restartNumberingAfterBreak="0">
    <w:nsid w:val="6348051D"/>
    <w:multiLevelType w:val="hybridMultilevel"/>
    <w:tmpl w:val="A6F6A9F0"/>
    <w:lvl w:ilvl="0" w:tplc="0652B158">
      <w:start w:val="1"/>
      <w:numFmt w:val="decimal"/>
      <w:lvlText w:val="%1."/>
      <w:lvlJc w:val="left"/>
      <w:pPr>
        <w:ind w:left="720" w:hanging="360"/>
      </w:pPr>
    </w:lvl>
    <w:lvl w:ilvl="1" w:tplc="2A30B672">
      <w:start w:val="1"/>
      <w:numFmt w:val="lowerLetter"/>
      <w:lvlText w:val="%2."/>
      <w:lvlJc w:val="left"/>
      <w:pPr>
        <w:ind w:left="1440" w:hanging="360"/>
      </w:pPr>
    </w:lvl>
    <w:lvl w:ilvl="2" w:tplc="D5D028E0">
      <w:start w:val="1"/>
      <w:numFmt w:val="lowerRoman"/>
      <w:lvlText w:val="%3."/>
      <w:lvlJc w:val="right"/>
      <w:pPr>
        <w:ind w:left="2160" w:hanging="180"/>
      </w:pPr>
    </w:lvl>
    <w:lvl w:ilvl="3" w:tplc="84846312">
      <w:start w:val="1"/>
      <w:numFmt w:val="decimal"/>
      <w:lvlText w:val="%4."/>
      <w:lvlJc w:val="left"/>
      <w:pPr>
        <w:ind w:left="2880" w:hanging="360"/>
      </w:pPr>
    </w:lvl>
    <w:lvl w:ilvl="4" w:tplc="2F4AA8B2">
      <w:start w:val="1"/>
      <w:numFmt w:val="lowerLetter"/>
      <w:lvlText w:val="%5."/>
      <w:lvlJc w:val="left"/>
      <w:pPr>
        <w:ind w:left="3600" w:hanging="360"/>
      </w:pPr>
    </w:lvl>
    <w:lvl w:ilvl="5" w:tplc="34061392">
      <w:start w:val="1"/>
      <w:numFmt w:val="lowerRoman"/>
      <w:lvlText w:val="%6."/>
      <w:lvlJc w:val="right"/>
      <w:pPr>
        <w:ind w:left="4320" w:hanging="180"/>
      </w:pPr>
    </w:lvl>
    <w:lvl w:ilvl="6" w:tplc="39469C52">
      <w:start w:val="1"/>
      <w:numFmt w:val="decimal"/>
      <w:lvlText w:val="%7."/>
      <w:lvlJc w:val="left"/>
      <w:pPr>
        <w:ind w:left="5040" w:hanging="360"/>
      </w:pPr>
    </w:lvl>
    <w:lvl w:ilvl="7" w:tplc="9676C05E">
      <w:start w:val="1"/>
      <w:numFmt w:val="lowerLetter"/>
      <w:lvlText w:val="%8."/>
      <w:lvlJc w:val="left"/>
      <w:pPr>
        <w:ind w:left="5760" w:hanging="360"/>
      </w:pPr>
    </w:lvl>
    <w:lvl w:ilvl="8" w:tplc="55DEACE4">
      <w:start w:val="1"/>
      <w:numFmt w:val="lowerRoman"/>
      <w:lvlText w:val="%9."/>
      <w:lvlJc w:val="right"/>
      <w:pPr>
        <w:ind w:left="6480" w:hanging="180"/>
      </w:pPr>
    </w:lvl>
  </w:abstractNum>
  <w:abstractNum w:abstractNumId="191" w15:restartNumberingAfterBreak="0">
    <w:nsid w:val="63CB3B9F"/>
    <w:multiLevelType w:val="hybridMultilevel"/>
    <w:tmpl w:val="FFFFFFFF"/>
    <w:lvl w:ilvl="0" w:tplc="0AB0853E">
      <w:start w:val="1"/>
      <w:numFmt w:val="bullet"/>
      <w:lvlText w:val=""/>
      <w:lvlJc w:val="left"/>
      <w:pPr>
        <w:ind w:left="720" w:hanging="360"/>
      </w:pPr>
      <w:rPr>
        <w:rFonts w:ascii="Symbol" w:hAnsi="Symbol" w:hint="default"/>
      </w:rPr>
    </w:lvl>
    <w:lvl w:ilvl="1" w:tplc="18DAE414">
      <w:start w:val="1"/>
      <w:numFmt w:val="bullet"/>
      <w:lvlText w:val="o"/>
      <w:lvlJc w:val="left"/>
      <w:pPr>
        <w:ind w:left="1440" w:hanging="360"/>
      </w:pPr>
      <w:rPr>
        <w:rFonts w:ascii="Courier New" w:hAnsi="Courier New" w:hint="default"/>
      </w:rPr>
    </w:lvl>
    <w:lvl w:ilvl="2" w:tplc="4EE4F5F6">
      <w:start w:val="1"/>
      <w:numFmt w:val="bullet"/>
      <w:lvlText w:val=""/>
      <w:lvlJc w:val="left"/>
      <w:pPr>
        <w:ind w:left="2160" w:hanging="360"/>
      </w:pPr>
      <w:rPr>
        <w:rFonts w:ascii="Wingdings" w:hAnsi="Wingdings" w:hint="default"/>
      </w:rPr>
    </w:lvl>
    <w:lvl w:ilvl="3" w:tplc="6F9E6EAA">
      <w:start w:val="1"/>
      <w:numFmt w:val="bullet"/>
      <w:lvlText w:val=""/>
      <w:lvlJc w:val="left"/>
      <w:pPr>
        <w:ind w:left="2880" w:hanging="360"/>
      </w:pPr>
      <w:rPr>
        <w:rFonts w:ascii="Symbol" w:hAnsi="Symbol" w:hint="default"/>
      </w:rPr>
    </w:lvl>
    <w:lvl w:ilvl="4" w:tplc="08A4C1D0">
      <w:start w:val="1"/>
      <w:numFmt w:val="bullet"/>
      <w:lvlText w:val="o"/>
      <w:lvlJc w:val="left"/>
      <w:pPr>
        <w:ind w:left="3600" w:hanging="360"/>
      </w:pPr>
      <w:rPr>
        <w:rFonts w:ascii="Courier New" w:hAnsi="Courier New" w:hint="default"/>
      </w:rPr>
    </w:lvl>
    <w:lvl w:ilvl="5" w:tplc="E94CC78C">
      <w:start w:val="1"/>
      <w:numFmt w:val="bullet"/>
      <w:lvlText w:val=""/>
      <w:lvlJc w:val="left"/>
      <w:pPr>
        <w:ind w:left="4320" w:hanging="360"/>
      </w:pPr>
      <w:rPr>
        <w:rFonts w:ascii="Wingdings" w:hAnsi="Wingdings" w:hint="default"/>
      </w:rPr>
    </w:lvl>
    <w:lvl w:ilvl="6" w:tplc="B94C15B4">
      <w:start w:val="1"/>
      <w:numFmt w:val="bullet"/>
      <w:lvlText w:val=""/>
      <w:lvlJc w:val="left"/>
      <w:pPr>
        <w:ind w:left="5040" w:hanging="360"/>
      </w:pPr>
      <w:rPr>
        <w:rFonts w:ascii="Symbol" w:hAnsi="Symbol" w:hint="default"/>
      </w:rPr>
    </w:lvl>
    <w:lvl w:ilvl="7" w:tplc="E1DEBC46">
      <w:start w:val="1"/>
      <w:numFmt w:val="bullet"/>
      <w:lvlText w:val="o"/>
      <w:lvlJc w:val="left"/>
      <w:pPr>
        <w:ind w:left="5760" w:hanging="360"/>
      </w:pPr>
      <w:rPr>
        <w:rFonts w:ascii="Courier New" w:hAnsi="Courier New" w:hint="default"/>
      </w:rPr>
    </w:lvl>
    <w:lvl w:ilvl="8" w:tplc="3A74D88E">
      <w:start w:val="1"/>
      <w:numFmt w:val="bullet"/>
      <w:lvlText w:val=""/>
      <w:lvlJc w:val="left"/>
      <w:pPr>
        <w:ind w:left="6480" w:hanging="360"/>
      </w:pPr>
      <w:rPr>
        <w:rFonts w:ascii="Wingdings" w:hAnsi="Wingdings" w:hint="default"/>
      </w:rPr>
    </w:lvl>
  </w:abstractNum>
  <w:abstractNum w:abstractNumId="192" w15:restartNumberingAfterBreak="0">
    <w:nsid w:val="643C14C2"/>
    <w:multiLevelType w:val="hybridMultilevel"/>
    <w:tmpl w:val="32740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64E619D7"/>
    <w:multiLevelType w:val="hybridMultilevel"/>
    <w:tmpl w:val="12D02BE6"/>
    <w:lvl w:ilvl="0" w:tplc="0409000B">
      <w:start w:val="1"/>
      <w:numFmt w:val="bullet"/>
      <w:lvlText w:val=""/>
      <w:lvlJc w:val="left"/>
      <w:pPr>
        <w:ind w:left="720" w:hanging="360"/>
      </w:pPr>
      <w:rPr>
        <w:rFonts w:ascii="Wingdings" w:hAnsi="Wingdings" w:hint="default"/>
      </w:rPr>
    </w:lvl>
    <w:lvl w:ilvl="1" w:tplc="202229CE">
      <w:start w:val="1"/>
      <w:numFmt w:val="bullet"/>
      <w:lvlText w:val="o"/>
      <w:lvlJc w:val="left"/>
      <w:pPr>
        <w:ind w:left="1440" w:hanging="360"/>
      </w:pPr>
      <w:rPr>
        <w:rFonts w:ascii="Courier New" w:hAnsi="Courier New" w:hint="default"/>
      </w:rPr>
    </w:lvl>
    <w:lvl w:ilvl="2" w:tplc="41CA5A76">
      <w:start w:val="1"/>
      <w:numFmt w:val="bullet"/>
      <w:lvlText w:val=""/>
      <w:lvlJc w:val="left"/>
      <w:pPr>
        <w:ind w:left="2160" w:hanging="360"/>
      </w:pPr>
      <w:rPr>
        <w:rFonts w:ascii="Wingdings" w:hAnsi="Wingdings" w:hint="default"/>
      </w:rPr>
    </w:lvl>
    <w:lvl w:ilvl="3" w:tplc="E592D350">
      <w:start w:val="1"/>
      <w:numFmt w:val="bullet"/>
      <w:lvlText w:val=""/>
      <w:lvlJc w:val="left"/>
      <w:pPr>
        <w:ind w:left="2880" w:hanging="360"/>
      </w:pPr>
      <w:rPr>
        <w:rFonts w:ascii="Symbol" w:hAnsi="Symbol" w:hint="default"/>
      </w:rPr>
    </w:lvl>
    <w:lvl w:ilvl="4" w:tplc="1CC40CD2">
      <w:start w:val="1"/>
      <w:numFmt w:val="bullet"/>
      <w:lvlText w:val="o"/>
      <w:lvlJc w:val="left"/>
      <w:pPr>
        <w:ind w:left="3600" w:hanging="360"/>
      </w:pPr>
      <w:rPr>
        <w:rFonts w:ascii="Courier New" w:hAnsi="Courier New" w:hint="default"/>
      </w:rPr>
    </w:lvl>
    <w:lvl w:ilvl="5" w:tplc="0E88F462">
      <w:start w:val="1"/>
      <w:numFmt w:val="bullet"/>
      <w:lvlText w:val=""/>
      <w:lvlJc w:val="left"/>
      <w:pPr>
        <w:ind w:left="4320" w:hanging="360"/>
      </w:pPr>
      <w:rPr>
        <w:rFonts w:ascii="Wingdings" w:hAnsi="Wingdings" w:hint="default"/>
      </w:rPr>
    </w:lvl>
    <w:lvl w:ilvl="6" w:tplc="E8E43828">
      <w:start w:val="1"/>
      <w:numFmt w:val="bullet"/>
      <w:lvlText w:val=""/>
      <w:lvlJc w:val="left"/>
      <w:pPr>
        <w:ind w:left="5040" w:hanging="360"/>
      </w:pPr>
      <w:rPr>
        <w:rFonts w:ascii="Symbol" w:hAnsi="Symbol" w:hint="default"/>
      </w:rPr>
    </w:lvl>
    <w:lvl w:ilvl="7" w:tplc="BBC0419E">
      <w:start w:val="1"/>
      <w:numFmt w:val="bullet"/>
      <w:lvlText w:val="o"/>
      <w:lvlJc w:val="left"/>
      <w:pPr>
        <w:ind w:left="5760" w:hanging="360"/>
      </w:pPr>
      <w:rPr>
        <w:rFonts w:ascii="Courier New" w:hAnsi="Courier New" w:hint="default"/>
      </w:rPr>
    </w:lvl>
    <w:lvl w:ilvl="8" w:tplc="C8169B20">
      <w:start w:val="1"/>
      <w:numFmt w:val="bullet"/>
      <w:lvlText w:val=""/>
      <w:lvlJc w:val="left"/>
      <w:pPr>
        <w:ind w:left="6480" w:hanging="360"/>
      </w:pPr>
      <w:rPr>
        <w:rFonts w:ascii="Wingdings" w:hAnsi="Wingdings" w:hint="default"/>
      </w:rPr>
    </w:lvl>
  </w:abstractNum>
  <w:abstractNum w:abstractNumId="194" w15:restartNumberingAfterBreak="0">
    <w:nsid w:val="657F7FDD"/>
    <w:multiLevelType w:val="hybridMultilevel"/>
    <w:tmpl w:val="1C622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65844159"/>
    <w:multiLevelType w:val="hybridMultilevel"/>
    <w:tmpl w:val="4DE48BF6"/>
    <w:lvl w:ilvl="0" w:tplc="25046C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675A31B3"/>
    <w:multiLevelType w:val="hybridMultilevel"/>
    <w:tmpl w:val="FFFFFFFF"/>
    <w:lvl w:ilvl="0" w:tplc="BA060464">
      <w:start w:val="1"/>
      <w:numFmt w:val="bullet"/>
      <w:lvlText w:val=""/>
      <w:lvlJc w:val="left"/>
      <w:pPr>
        <w:ind w:left="720" w:hanging="360"/>
      </w:pPr>
      <w:rPr>
        <w:rFonts w:ascii="Symbol" w:hAnsi="Symbol" w:hint="default"/>
      </w:rPr>
    </w:lvl>
    <w:lvl w:ilvl="1" w:tplc="AC860490">
      <w:start w:val="1"/>
      <w:numFmt w:val="bullet"/>
      <w:lvlText w:val="o"/>
      <w:lvlJc w:val="left"/>
      <w:pPr>
        <w:ind w:left="1440" w:hanging="360"/>
      </w:pPr>
      <w:rPr>
        <w:rFonts w:ascii="Courier New" w:hAnsi="Courier New" w:hint="default"/>
      </w:rPr>
    </w:lvl>
    <w:lvl w:ilvl="2" w:tplc="7D7209F6">
      <w:start w:val="1"/>
      <w:numFmt w:val="bullet"/>
      <w:lvlText w:val=""/>
      <w:lvlJc w:val="left"/>
      <w:pPr>
        <w:ind w:left="2160" w:hanging="360"/>
      </w:pPr>
      <w:rPr>
        <w:rFonts w:ascii="Wingdings" w:hAnsi="Wingdings" w:hint="default"/>
      </w:rPr>
    </w:lvl>
    <w:lvl w:ilvl="3" w:tplc="874C097A">
      <w:start w:val="1"/>
      <w:numFmt w:val="bullet"/>
      <w:lvlText w:val=""/>
      <w:lvlJc w:val="left"/>
      <w:pPr>
        <w:ind w:left="2880" w:hanging="360"/>
      </w:pPr>
      <w:rPr>
        <w:rFonts w:ascii="Symbol" w:hAnsi="Symbol" w:hint="default"/>
      </w:rPr>
    </w:lvl>
    <w:lvl w:ilvl="4" w:tplc="DEA89804">
      <w:start w:val="1"/>
      <w:numFmt w:val="bullet"/>
      <w:lvlText w:val="o"/>
      <w:lvlJc w:val="left"/>
      <w:pPr>
        <w:ind w:left="3600" w:hanging="360"/>
      </w:pPr>
      <w:rPr>
        <w:rFonts w:ascii="Courier New" w:hAnsi="Courier New" w:hint="default"/>
      </w:rPr>
    </w:lvl>
    <w:lvl w:ilvl="5" w:tplc="50BCAB0E">
      <w:start w:val="1"/>
      <w:numFmt w:val="bullet"/>
      <w:lvlText w:val=""/>
      <w:lvlJc w:val="left"/>
      <w:pPr>
        <w:ind w:left="4320" w:hanging="360"/>
      </w:pPr>
      <w:rPr>
        <w:rFonts w:ascii="Wingdings" w:hAnsi="Wingdings" w:hint="default"/>
      </w:rPr>
    </w:lvl>
    <w:lvl w:ilvl="6" w:tplc="B64E86A8">
      <w:start w:val="1"/>
      <w:numFmt w:val="bullet"/>
      <w:lvlText w:val=""/>
      <w:lvlJc w:val="left"/>
      <w:pPr>
        <w:ind w:left="5040" w:hanging="360"/>
      </w:pPr>
      <w:rPr>
        <w:rFonts w:ascii="Symbol" w:hAnsi="Symbol" w:hint="default"/>
      </w:rPr>
    </w:lvl>
    <w:lvl w:ilvl="7" w:tplc="4C42F0FA">
      <w:start w:val="1"/>
      <w:numFmt w:val="bullet"/>
      <w:lvlText w:val="o"/>
      <w:lvlJc w:val="left"/>
      <w:pPr>
        <w:ind w:left="5760" w:hanging="360"/>
      </w:pPr>
      <w:rPr>
        <w:rFonts w:ascii="Courier New" w:hAnsi="Courier New" w:hint="default"/>
      </w:rPr>
    </w:lvl>
    <w:lvl w:ilvl="8" w:tplc="4C90AF1E">
      <w:start w:val="1"/>
      <w:numFmt w:val="bullet"/>
      <w:lvlText w:val=""/>
      <w:lvlJc w:val="left"/>
      <w:pPr>
        <w:ind w:left="6480" w:hanging="360"/>
      </w:pPr>
      <w:rPr>
        <w:rFonts w:ascii="Wingdings" w:hAnsi="Wingdings" w:hint="default"/>
      </w:rPr>
    </w:lvl>
  </w:abstractNum>
  <w:abstractNum w:abstractNumId="197" w15:restartNumberingAfterBreak="0">
    <w:nsid w:val="675C12F2"/>
    <w:multiLevelType w:val="hybridMultilevel"/>
    <w:tmpl w:val="E7B83A9E"/>
    <w:lvl w:ilvl="0" w:tplc="5A5AB9FE">
      <w:start w:val="6"/>
      <w:numFmt w:val="lowerLetter"/>
      <w:lvlText w:val="(%1)"/>
      <w:lvlJc w:val="left"/>
      <w:pPr>
        <w:tabs>
          <w:tab w:val="num" w:pos="1800"/>
        </w:tabs>
        <w:ind w:left="1800" w:hanging="360"/>
      </w:pPr>
      <w:rPr>
        <w:rFonts w:ascii="Times New Roman" w:hAnsi="Times New Roman" w:cs="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8" w15:restartNumberingAfterBreak="0">
    <w:nsid w:val="681824F8"/>
    <w:multiLevelType w:val="hybridMultilevel"/>
    <w:tmpl w:val="D8467CE8"/>
    <w:name w:val="WW8Num622222222222222222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9" w15:restartNumberingAfterBreak="0">
    <w:nsid w:val="688D3EE4"/>
    <w:multiLevelType w:val="hybridMultilevel"/>
    <w:tmpl w:val="FFFFFFFF"/>
    <w:lvl w:ilvl="0" w:tplc="F4225246">
      <w:start w:val="1"/>
      <w:numFmt w:val="bullet"/>
      <w:lvlText w:val=""/>
      <w:lvlJc w:val="left"/>
      <w:pPr>
        <w:ind w:left="720" w:hanging="360"/>
      </w:pPr>
      <w:rPr>
        <w:rFonts w:ascii="Symbol" w:hAnsi="Symbol" w:hint="default"/>
      </w:rPr>
    </w:lvl>
    <w:lvl w:ilvl="1" w:tplc="C39E2A0A">
      <w:start w:val="1"/>
      <w:numFmt w:val="bullet"/>
      <w:lvlText w:val="o"/>
      <w:lvlJc w:val="left"/>
      <w:pPr>
        <w:ind w:left="1440" w:hanging="360"/>
      </w:pPr>
      <w:rPr>
        <w:rFonts w:ascii="Courier New" w:hAnsi="Courier New" w:hint="default"/>
      </w:rPr>
    </w:lvl>
    <w:lvl w:ilvl="2" w:tplc="1A3CD9CC">
      <w:start w:val="1"/>
      <w:numFmt w:val="bullet"/>
      <w:lvlText w:val=""/>
      <w:lvlJc w:val="left"/>
      <w:pPr>
        <w:ind w:left="2160" w:hanging="360"/>
      </w:pPr>
      <w:rPr>
        <w:rFonts w:ascii="Wingdings" w:hAnsi="Wingdings" w:hint="default"/>
      </w:rPr>
    </w:lvl>
    <w:lvl w:ilvl="3" w:tplc="0C72F04A">
      <w:start w:val="1"/>
      <w:numFmt w:val="bullet"/>
      <w:lvlText w:val=""/>
      <w:lvlJc w:val="left"/>
      <w:pPr>
        <w:ind w:left="2880" w:hanging="360"/>
      </w:pPr>
      <w:rPr>
        <w:rFonts w:ascii="Symbol" w:hAnsi="Symbol" w:hint="default"/>
      </w:rPr>
    </w:lvl>
    <w:lvl w:ilvl="4" w:tplc="CA0E22EE">
      <w:start w:val="1"/>
      <w:numFmt w:val="bullet"/>
      <w:lvlText w:val="o"/>
      <w:lvlJc w:val="left"/>
      <w:pPr>
        <w:ind w:left="3600" w:hanging="360"/>
      </w:pPr>
      <w:rPr>
        <w:rFonts w:ascii="Courier New" w:hAnsi="Courier New" w:hint="default"/>
      </w:rPr>
    </w:lvl>
    <w:lvl w:ilvl="5" w:tplc="8626EDDE">
      <w:start w:val="1"/>
      <w:numFmt w:val="bullet"/>
      <w:lvlText w:val=""/>
      <w:lvlJc w:val="left"/>
      <w:pPr>
        <w:ind w:left="4320" w:hanging="360"/>
      </w:pPr>
      <w:rPr>
        <w:rFonts w:ascii="Wingdings" w:hAnsi="Wingdings" w:hint="default"/>
      </w:rPr>
    </w:lvl>
    <w:lvl w:ilvl="6" w:tplc="F3FA5146">
      <w:start w:val="1"/>
      <w:numFmt w:val="bullet"/>
      <w:lvlText w:val=""/>
      <w:lvlJc w:val="left"/>
      <w:pPr>
        <w:ind w:left="5040" w:hanging="360"/>
      </w:pPr>
      <w:rPr>
        <w:rFonts w:ascii="Symbol" w:hAnsi="Symbol" w:hint="default"/>
      </w:rPr>
    </w:lvl>
    <w:lvl w:ilvl="7" w:tplc="5E2C321A">
      <w:start w:val="1"/>
      <w:numFmt w:val="bullet"/>
      <w:lvlText w:val="o"/>
      <w:lvlJc w:val="left"/>
      <w:pPr>
        <w:ind w:left="5760" w:hanging="360"/>
      </w:pPr>
      <w:rPr>
        <w:rFonts w:ascii="Courier New" w:hAnsi="Courier New" w:hint="default"/>
      </w:rPr>
    </w:lvl>
    <w:lvl w:ilvl="8" w:tplc="9B0E06C8">
      <w:start w:val="1"/>
      <w:numFmt w:val="bullet"/>
      <w:lvlText w:val=""/>
      <w:lvlJc w:val="left"/>
      <w:pPr>
        <w:ind w:left="6480" w:hanging="360"/>
      </w:pPr>
      <w:rPr>
        <w:rFonts w:ascii="Wingdings" w:hAnsi="Wingdings" w:hint="default"/>
      </w:rPr>
    </w:lvl>
  </w:abstractNum>
  <w:abstractNum w:abstractNumId="200" w15:restartNumberingAfterBreak="0">
    <w:nsid w:val="68BE0BAB"/>
    <w:multiLevelType w:val="hybridMultilevel"/>
    <w:tmpl w:val="FFFFFFFF"/>
    <w:lvl w:ilvl="0" w:tplc="B120B5CC">
      <w:start w:val="1"/>
      <w:numFmt w:val="bullet"/>
      <w:lvlText w:val=""/>
      <w:lvlJc w:val="left"/>
      <w:pPr>
        <w:ind w:left="720" w:hanging="360"/>
      </w:pPr>
      <w:rPr>
        <w:rFonts w:ascii="Symbol" w:hAnsi="Symbol" w:hint="default"/>
      </w:rPr>
    </w:lvl>
    <w:lvl w:ilvl="1" w:tplc="C6A09522">
      <w:start w:val="1"/>
      <w:numFmt w:val="bullet"/>
      <w:lvlText w:val="o"/>
      <w:lvlJc w:val="left"/>
      <w:pPr>
        <w:ind w:left="1440" w:hanging="360"/>
      </w:pPr>
      <w:rPr>
        <w:rFonts w:ascii="Courier New" w:hAnsi="Courier New" w:hint="default"/>
      </w:rPr>
    </w:lvl>
    <w:lvl w:ilvl="2" w:tplc="D9FC507E">
      <w:start w:val="1"/>
      <w:numFmt w:val="bullet"/>
      <w:lvlText w:val=""/>
      <w:lvlJc w:val="left"/>
      <w:pPr>
        <w:ind w:left="2160" w:hanging="360"/>
      </w:pPr>
      <w:rPr>
        <w:rFonts w:ascii="Wingdings" w:hAnsi="Wingdings" w:hint="default"/>
      </w:rPr>
    </w:lvl>
    <w:lvl w:ilvl="3" w:tplc="8948257E">
      <w:start w:val="1"/>
      <w:numFmt w:val="bullet"/>
      <w:lvlText w:val=""/>
      <w:lvlJc w:val="left"/>
      <w:pPr>
        <w:ind w:left="2880" w:hanging="360"/>
      </w:pPr>
      <w:rPr>
        <w:rFonts w:ascii="Symbol" w:hAnsi="Symbol" w:hint="default"/>
      </w:rPr>
    </w:lvl>
    <w:lvl w:ilvl="4" w:tplc="C1847388">
      <w:start w:val="1"/>
      <w:numFmt w:val="bullet"/>
      <w:lvlText w:val="o"/>
      <w:lvlJc w:val="left"/>
      <w:pPr>
        <w:ind w:left="3600" w:hanging="360"/>
      </w:pPr>
      <w:rPr>
        <w:rFonts w:ascii="Courier New" w:hAnsi="Courier New" w:hint="default"/>
      </w:rPr>
    </w:lvl>
    <w:lvl w:ilvl="5" w:tplc="A40ABEDA">
      <w:start w:val="1"/>
      <w:numFmt w:val="bullet"/>
      <w:lvlText w:val=""/>
      <w:lvlJc w:val="left"/>
      <w:pPr>
        <w:ind w:left="4320" w:hanging="360"/>
      </w:pPr>
      <w:rPr>
        <w:rFonts w:ascii="Wingdings" w:hAnsi="Wingdings" w:hint="default"/>
      </w:rPr>
    </w:lvl>
    <w:lvl w:ilvl="6" w:tplc="3D36961E">
      <w:start w:val="1"/>
      <w:numFmt w:val="bullet"/>
      <w:lvlText w:val=""/>
      <w:lvlJc w:val="left"/>
      <w:pPr>
        <w:ind w:left="5040" w:hanging="360"/>
      </w:pPr>
      <w:rPr>
        <w:rFonts w:ascii="Symbol" w:hAnsi="Symbol" w:hint="default"/>
      </w:rPr>
    </w:lvl>
    <w:lvl w:ilvl="7" w:tplc="9D52EE38">
      <w:start w:val="1"/>
      <w:numFmt w:val="bullet"/>
      <w:lvlText w:val="o"/>
      <w:lvlJc w:val="left"/>
      <w:pPr>
        <w:ind w:left="5760" w:hanging="360"/>
      </w:pPr>
      <w:rPr>
        <w:rFonts w:ascii="Courier New" w:hAnsi="Courier New" w:hint="default"/>
      </w:rPr>
    </w:lvl>
    <w:lvl w:ilvl="8" w:tplc="7158B804">
      <w:start w:val="1"/>
      <w:numFmt w:val="bullet"/>
      <w:lvlText w:val=""/>
      <w:lvlJc w:val="left"/>
      <w:pPr>
        <w:ind w:left="6480" w:hanging="360"/>
      </w:pPr>
      <w:rPr>
        <w:rFonts w:ascii="Wingdings" w:hAnsi="Wingdings" w:hint="default"/>
      </w:rPr>
    </w:lvl>
  </w:abstractNum>
  <w:abstractNum w:abstractNumId="201" w15:restartNumberingAfterBreak="0">
    <w:nsid w:val="68E439E9"/>
    <w:multiLevelType w:val="hybridMultilevel"/>
    <w:tmpl w:val="FFFFFFFF"/>
    <w:lvl w:ilvl="0" w:tplc="FFFFFFFF">
      <w:start w:val="1"/>
      <w:numFmt w:val="bullet"/>
      <w:pStyle w:val="Para1"/>
      <w:lvlText w:val=""/>
      <w:lvlJc w:val="left"/>
      <w:pPr>
        <w:ind w:left="720" w:hanging="360"/>
      </w:pPr>
      <w:rPr>
        <w:rFonts w:ascii="Symbol" w:hAnsi="Symbol" w:hint="default"/>
      </w:rPr>
    </w:lvl>
    <w:lvl w:ilvl="1" w:tplc="CB0412A0">
      <w:start w:val="1"/>
      <w:numFmt w:val="bullet"/>
      <w:lvlText w:val="o"/>
      <w:lvlJc w:val="left"/>
      <w:pPr>
        <w:ind w:left="1440" w:hanging="360"/>
      </w:pPr>
      <w:rPr>
        <w:rFonts w:ascii="Courier New" w:hAnsi="Courier New" w:hint="default"/>
      </w:rPr>
    </w:lvl>
    <w:lvl w:ilvl="2" w:tplc="D8B63F1C">
      <w:start w:val="1"/>
      <w:numFmt w:val="bullet"/>
      <w:lvlText w:val=""/>
      <w:lvlJc w:val="left"/>
      <w:pPr>
        <w:ind w:left="2160" w:hanging="360"/>
      </w:pPr>
      <w:rPr>
        <w:rFonts w:ascii="Wingdings" w:hAnsi="Wingdings" w:hint="default"/>
      </w:rPr>
    </w:lvl>
    <w:lvl w:ilvl="3" w:tplc="82765702">
      <w:start w:val="1"/>
      <w:numFmt w:val="bullet"/>
      <w:lvlText w:val=""/>
      <w:lvlJc w:val="left"/>
      <w:pPr>
        <w:ind w:left="2880" w:hanging="360"/>
      </w:pPr>
      <w:rPr>
        <w:rFonts w:ascii="Symbol" w:hAnsi="Symbol" w:hint="default"/>
      </w:rPr>
    </w:lvl>
    <w:lvl w:ilvl="4" w:tplc="77AEC984">
      <w:start w:val="1"/>
      <w:numFmt w:val="bullet"/>
      <w:lvlText w:val="o"/>
      <w:lvlJc w:val="left"/>
      <w:pPr>
        <w:ind w:left="3600" w:hanging="360"/>
      </w:pPr>
      <w:rPr>
        <w:rFonts w:ascii="Courier New" w:hAnsi="Courier New" w:hint="default"/>
      </w:rPr>
    </w:lvl>
    <w:lvl w:ilvl="5" w:tplc="6D387EDC">
      <w:start w:val="1"/>
      <w:numFmt w:val="bullet"/>
      <w:lvlText w:val=""/>
      <w:lvlJc w:val="left"/>
      <w:pPr>
        <w:ind w:left="4320" w:hanging="360"/>
      </w:pPr>
      <w:rPr>
        <w:rFonts w:ascii="Wingdings" w:hAnsi="Wingdings" w:hint="default"/>
      </w:rPr>
    </w:lvl>
    <w:lvl w:ilvl="6" w:tplc="49A250E8">
      <w:start w:val="1"/>
      <w:numFmt w:val="bullet"/>
      <w:lvlText w:val=""/>
      <w:lvlJc w:val="left"/>
      <w:pPr>
        <w:ind w:left="5040" w:hanging="360"/>
      </w:pPr>
      <w:rPr>
        <w:rFonts w:ascii="Symbol" w:hAnsi="Symbol" w:hint="default"/>
      </w:rPr>
    </w:lvl>
    <w:lvl w:ilvl="7" w:tplc="4DE6BE76">
      <w:start w:val="1"/>
      <w:numFmt w:val="bullet"/>
      <w:lvlText w:val="o"/>
      <w:lvlJc w:val="left"/>
      <w:pPr>
        <w:ind w:left="5760" w:hanging="360"/>
      </w:pPr>
      <w:rPr>
        <w:rFonts w:ascii="Courier New" w:hAnsi="Courier New" w:hint="default"/>
      </w:rPr>
    </w:lvl>
    <w:lvl w:ilvl="8" w:tplc="4CD63E40">
      <w:start w:val="1"/>
      <w:numFmt w:val="bullet"/>
      <w:lvlText w:val=""/>
      <w:lvlJc w:val="left"/>
      <w:pPr>
        <w:ind w:left="6480" w:hanging="360"/>
      </w:pPr>
      <w:rPr>
        <w:rFonts w:ascii="Wingdings" w:hAnsi="Wingdings" w:hint="default"/>
      </w:rPr>
    </w:lvl>
  </w:abstractNum>
  <w:abstractNum w:abstractNumId="202" w15:restartNumberingAfterBreak="0">
    <w:nsid w:val="69E2421D"/>
    <w:multiLevelType w:val="hybridMultilevel"/>
    <w:tmpl w:val="A5FEA54C"/>
    <w:name w:val="WW8Num62222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3" w15:restartNumberingAfterBreak="0">
    <w:nsid w:val="6A2C7150"/>
    <w:multiLevelType w:val="hybridMultilevel"/>
    <w:tmpl w:val="95B01D30"/>
    <w:lvl w:ilvl="0" w:tplc="04090001">
      <w:start w:val="1"/>
      <w:numFmt w:val="bullet"/>
      <w:lvlText w:val=""/>
      <w:lvlJc w:val="left"/>
      <w:pPr>
        <w:tabs>
          <w:tab w:val="num" w:pos="360"/>
        </w:tabs>
        <w:ind w:left="0" w:firstLine="0"/>
      </w:pPr>
      <w:rPr>
        <w:rFonts w:ascii="Symbol" w:hAnsi="Symbol" w:hint="default"/>
        <w:b w:val="0"/>
      </w:rPr>
    </w:lvl>
    <w:lvl w:ilvl="1" w:tplc="C1800190">
      <w:start w:val="1"/>
      <w:numFmt w:val="lowerLetter"/>
      <w:lvlText w:val="(%2)"/>
      <w:lvlJc w:val="left"/>
      <w:pPr>
        <w:tabs>
          <w:tab w:val="num" w:pos="1440"/>
        </w:tabs>
        <w:ind w:left="0" w:firstLine="720"/>
      </w:pPr>
      <w:rPr>
        <w:rFonts w:ascii="Times New Roman" w:hAnsi="Times New Roman" w:cs="Times New Roman" w:hint="default"/>
        <w:b w:val="0"/>
      </w:rPr>
    </w:lvl>
    <w:lvl w:ilvl="2" w:tplc="52B2EB0C">
      <w:start w:val="1"/>
      <w:numFmt w:val="lowerRoman"/>
      <w:lvlText w:val="(%3)"/>
      <w:lvlJc w:val="right"/>
      <w:pPr>
        <w:tabs>
          <w:tab w:val="num" w:pos="1440"/>
        </w:tabs>
        <w:ind w:left="1440" w:hanging="360"/>
      </w:pPr>
      <w:rPr>
        <w:rFonts w:ascii="Wingdings" w:hAnsi="Wingdings" w:cs="Wingdings"/>
      </w:rPr>
    </w:lvl>
    <w:lvl w:ilvl="3" w:tplc="B3C05CC2">
      <w:start w:val="1"/>
      <w:numFmt w:val="bullet"/>
      <w:lvlText w:val=""/>
      <w:lvlJc w:val="left"/>
      <w:pPr>
        <w:tabs>
          <w:tab w:val="num" w:pos="2160"/>
        </w:tabs>
        <w:ind w:left="2160" w:hanging="720"/>
      </w:pPr>
      <w:rPr>
        <w:rFonts w:ascii="Symbol" w:hAnsi="Symbol"/>
      </w:rPr>
    </w:lvl>
    <w:lvl w:ilvl="4" w:tplc="011C1194">
      <w:start w:val="1"/>
      <w:numFmt w:val="lowerLetter"/>
      <w:lvlText w:val="(%5)"/>
      <w:lvlJc w:val="left"/>
      <w:pPr>
        <w:tabs>
          <w:tab w:val="num" w:pos="1637"/>
        </w:tabs>
        <w:ind w:left="1637" w:hanging="360"/>
      </w:pPr>
      <w:rPr>
        <w:rFonts w:hint="default"/>
        <w:i/>
        <w:iCs w:val="0"/>
      </w:rPr>
    </w:lvl>
    <w:lvl w:ilvl="5" w:tplc="FEB61BE6">
      <w:start w:val="1"/>
      <w:numFmt w:val="lowerRoman"/>
      <w:lvlText w:val="(%6)"/>
      <w:lvlJc w:val="left"/>
      <w:pPr>
        <w:tabs>
          <w:tab w:val="num" w:pos="2160"/>
        </w:tabs>
        <w:ind w:left="2160" w:hanging="360"/>
      </w:pPr>
    </w:lvl>
    <w:lvl w:ilvl="6" w:tplc="9B269EA4">
      <w:start w:val="1"/>
      <w:numFmt w:val="decimal"/>
      <w:lvlText w:val="%7."/>
      <w:lvlJc w:val="left"/>
      <w:pPr>
        <w:tabs>
          <w:tab w:val="num" w:pos="2520"/>
        </w:tabs>
        <w:ind w:left="2520" w:hanging="360"/>
      </w:pPr>
    </w:lvl>
    <w:lvl w:ilvl="7" w:tplc="66E033DC">
      <w:start w:val="1"/>
      <w:numFmt w:val="lowerLetter"/>
      <w:lvlText w:val="%8."/>
      <w:lvlJc w:val="left"/>
      <w:pPr>
        <w:tabs>
          <w:tab w:val="num" w:pos="2880"/>
        </w:tabs>
        <w:ind w:left="2880" w:hanging="360"/>
      </w:pPr>
    </w:lvl>
    <w:lvl w:ilvl="8" w:tplc="08168678">
      <w:start w:val="1"/>
      <w:numFmt w:val="lowerRoman"/>
      <w:lvlText w:val="%9."/>
      <w:lvlJc w:val="left"/>
      <w:pPr>
        <w:tabs>
          <w:tab w:val="num" w:pos="3240"/>
        </w:tabs>
        <w:ind w:left="3240" w:hanging="360"/>
      </w:pPr>
    </w:lvl>
  </w:abstractNum>
  <w:abstractNum w:abstractNumId="204" w15:restartNumberingAfterBreak="0">
    <w:nsid w:val="6ABB5D53"/>
    <w:multiLevelType w:val="hybridMultilevel"/>
    <w:tmpl w:val="75F48C4C"/>
    <w:lvl w:ilvl="0" w:tplc="C1800190">
      <w:start w:val="1"/>
      <w:numFmt w:val="lowerLetter"/>
      <w:lvlText w:val="(%1)"/>
      <w:lvlJc w:val="left"/>
      <w:pPr>
        <w:ind w:left="720" w:hanging="360"/>
      </w:pPr>
      <w:rPr>
        <w:rFonts w:ascii="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6AC437A0"/>
    <w:multiLevelType w:val="hybridMultilevel"/>
    <w:tmpl w:val="FFFFFFFF"/>
    <w:lvl w:ilvl="0" w:tplc="FFFFFFFF">
      <w:start w:val="1"/>
      <w:numFmt w:val="bullet"/>
      <w:lvlText w:val=""/>
      <w:lvlJc w:val="left"/>
      <w:pPr>
        <w:ind w:left="720" w:hanging="360"/>
      </w:pPr>
      <w:rPr>
        <w:rFonts w:ascii="Symbol" w:hAnsi="Symbol" w:hint="default"/>
      </w:rPr>
    </w:lvl>
    <w:lvl w:ilvl="1" w:tplc="D1F2B6FC">
      <w:start w:val="1"/>
      <w:numFmt w:val="bullet"/>
      <w:lvlText w:val="o"/>
      <w:lvlJc w:val="left"/>
      <w:pPr>
        <w:ind w:left="1440" w:hanging="360"/>
      </w:pPr>
      <w:rPr>
        <w:rFonts w:ascii="Courier New" w:hAnsi="Courier New" w:hint="default"/>
      </w:rPr>
    </w:lvl>
    <w:lvl w:ilvl="2" w:tplc="6C962920">
      <w:start w:val="1"/>
      <w:numFmt w:val="bullet"/>
      <w:lvlText w:val=""/>
      <w:lvlJc w:val="left"/>
      <w:pPr>
        <w:ind w:left="2160" w:hanging="360"/>
      </w:pPr>
      <w:rPr>
        <w:rFonts w:ascii="Wingdings" w:hAnsi="Wingdings" w:hint="default"/>
      </w:rPr>
    </w:lvl>
    <w:lvl w:ilvl="3" w:tplc="1EBC6C28">
      <w:start w:val="1"/>
      <w:numFmt w:val="bullet"/>
      <w:lvlText w:val=""/>
      <w:lvlJc w:val="left"/>
      <w:pPr>
        <w:ind w:left="2880" w:hanging="360"/>
      </w:pPr>
      <w:rPr>
        <w:rFonts w:ascii="Symbol" w:hAnsi="Symbol" w:hint="default"/>
      </w:rPr>
    </w:lvl>
    <w:lvl w:ilvl="4" w:tplc="DBE0B222">
      <w:start w:val="1"/>
      <w:numFmt w:val="bullet"/>
      <w:lvlText w:val="o"/>
      <w:lvlJc w:val="left"/>
      <w:pPr>
        <w:ind w:left="3600" w:hanging="360"/>
      </w:pPr>
      <w:rPr>
        <w:rFonts w:ascii="Courier New" w:hAnsi="Courier New" w:hint="default"/>
      </w:rPr>
    </w:lvl>
    <w:lvl w:ilvl="5" w:tplc="36D855B2">
      <w:start w:val="1"/>
      <w:numFmt w:val="bullet"/>
      <w:lvlText w:val=""/>
      <w:lvlJc w:val="left"/>
      <w:pPr>
        <w:ind w:left="4320" w:hanging="360"/>
      </w:pPr>
      <w:rPr>
        <w:rFonts w:ascii="Wingdings" w:hAnsi="Wingdings" w:hint="default"/>
      </w:rPr>
    </w:lvl>
    <w:lvl w:ilvl="6" w:tplc="EBF6F960">
      <w:start w:val="1"/>
      <w:numFmt w:val="bullet"/>
      <w:lvlText w:val=""/>
      <w:lvlJc w:val="left"/>
      <w:pPr>
        <w:ind w:left="5040" w:hanging="360"/>
      </w:pPr>
      <w:rPr>
        <w:rFonts w:ascii="Symbol" w:hAnsi="Symbol" w:hint="default"/>
      </w:rPr>
    </w:lvl>
    <w:lvl w:ilvl="7" w:tplc="8758D288">
      <w:start w:val="1"/>
      <w:numFmt w:val="bullet"/>
      <w:lvlText w:val="o"/>
      <w:lvlJc w:val="left"/>
      <w:pPr>
        <w:ind w:left="5760" w:hanging="360"/>
      </w:pPr>
      <w:rPr>
        <w:rFonts w:ascii="Courier New" w:hAnsi="Courier New" w:hint="default"/>
      </w:rPr>
    </w:lvl>
    <w:lvl w:ilvl="8" w:tplc="34A036DC">
      <w:start w:val="1"/>
      <w:numFmt w:val="bullet"/>
      <w:lvlText w:val=""/>
      <w:lvlJc w:val="left"/>
      <w:pPr>
        <w:ind w:left="6480" w:hanging="360"/>
      </w:pPr>
      <w:rPr>
        <w:rFonts w:ascii="Wingdings" w:hAnsi="Wingdings" w:hint="default"/>
      </w:rPr>
    </w:lvl>
  </w:abstractNum>
  <w:abstractNum w:abstractNumId="206" w15:restartNumberingAfterBreak="0">
    <w:nsid w:val="6AFB0034"/>
    <w:multiLevelType w:val="hybridMultilevel"/>
    <w:tmpl w:val="116244F4"/>
    <w:lvl w:ilvl="0" w:tplc="6DBE6AEE">
      <w:start w:val="1"/>
      <w:numFmt w:val="decimal"/>
      <w:lvlText w:val="%1."/>
      <w:lvlJc w:val="left"/>
      <w:pPr>
        <w:ind w:left="720" w:hanging="360"/>
      </w:pPr>
      <w:rPr>
        <w:rFonts w:ascii="Times New Roman"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7" w15:restartNumberingAfterBreak="0">
    <w:nsid w:val="6B062349"/>
    <w:multiLevelType w:val="hybridMultilevel"/>
    <w:tmpl w:val="DA941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6B3C1E65"/>
    <w:multiLevelType w:val="multilevel"/>
    <w:tmpl w:val="17740DE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lowerLetter"/>
      <w:lvlText w:val="%1.%2.%3.%4"/>
      <w:lvlJc w:val="left"/>
      <w:pPr>
        <w:ind w:left="1800" w:hanging="720"/>
      </w:pPr>
      <w:rPr>
        <w:rFonts w:hint="default"/>
      </w:rPr>
    </w:lvl>
    <w:lvl w:ilvl="4">
      <w:start w:val="1"/>
      <w:numFmt w:val="lowerLetter"/>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9" w15:restartNumberingAfterBreak="0">
    <w:nsid w:val="6BF0298C"/>
    <w:multiLevelType w:val="hybridMultilevel"/>
    <w:tmpl w:val="2AA68E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6C567369"/>
    <w:multiLevelType w:val="hybridMultilevel"/>
    <w:tmpl w:val="AF26B698"/>
    <w:lvl w:ilvl="0" w:tplc="FC2A7DBC">
      <w:start w:val="1"/>
      <w:numFmt w:val="decimal"/>
      <w:lvlText w:val="%1."/>
      <w:lvlJc w:val="left"/>
      <w:pPr>
        <w:ind w:left="720" w:hanging="360"/>
      </w:pPr>
      <w:rPr>
        <w:rFonts w:ascii="Arial" w:hAnsi="Arial" w:cs="Arial" w:hint="default"/>
        <w:sz w:val="16"/>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6DFB13C6"/>
    <w:multiLevelType w:val="hybridMultilevel"/>
    <w:tmpl w:val="73424280"/>
    <w:lvl w:ilvl="0" w:tplc="6DBE6AEE">
      <w:start w:val="1"/>
      <w:numFmt w:val="decimal"/>
      <w:lvlText w:val="%1."/>
      <w:lvlJc w:val="left"/>
      <w:pPr>
        <w:ind w:left="720" w:hanging="360"/>
      </w:pPr>
      <w:rPr>
        <w:rFonts w:ascii="Times New Roman"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2" w15:restartNumberingAfterBreak="0">
    <w:nsid w:val="6E7668A0"/>
    <w:multiLevelType w:val="hybridMultilevel"/>
    <w:tmpl w:val="FFFFFFFF"/>
    <w:lvl w:ilvl="0" w:tplc="34CAAD16">
      <w:start w:val="1"/>
      <w:numFmt w:val="bullet"/>
      <w:lvlText w:val=""/>
      <w:lvlJc w:val="left"/>
      <w:pPr>
        <w:ind w:left="720" w:hanging="360"/>
      </w:pPr>
      <w:rPr>
        <w:rFonts w:ascii="Symbol" w:hAnsi="Symbol" w:hint="default"/>
      </w:rPr>
    </w:lvl>
    <w:lvl w:ilvl="1" w:tplc="C03E85BE">
      <w:start w:val="1"/>
      <w:numFmt w:val="bullet"/>
      <w:lvlText w:val="o"/>
      <w:lvlJc w:val="left"/>
      <w:pPr>
        <w:ind w:left="1440" w:hanging="360"/>
      </w:pPr>
      <w:rPr>
        <w:rFonts w:ascii="Courier New" w:hAnsi="Courier New" w:hint="default"/>
      </w:rPr>
    </w:lvl>
    <w:lvl w:ilvl="2" w:tplc="2DE61FCA">
      <w:start w:val="1"/>
      <w:numFmt w:val="bullet"/>
      <w:lvlText w:val=""/>
      <w:lvlJc w:val="left"/>
      <w:pPr>
        <w:ind w:left="2160" w:hanging="360"/>
      </w:pPr>
      <w:rPr>
        <w:rFonts w:ascii="Wingdings" w:hAnsi="Wingdings" w:hint="default"/>
      </w:rPr>
    </w:lvl>
    <w:lvl w:ilvl="3" w:tplc="CD20D186">
      <w:start w:val="1"/>
      <w:numFmt w:val="bullet"/>
      <w:lvlText w:val=""/>
      <w:lvlJc w:val="left"/>
      <w:pPr>
        <w:ind w:left="2880" w:hanging="360"/>
      </w:pPr>
      <w:rPr>
        <w:rFonts w:ascii="Symbol" w:hAnsi="Symbol" w:hint="default"/>
      </w:rPr>
    </w:lvl>
    <w:lvl w:ilvl="4" w:tplc="B5FAC19E">
      <w:start w:val="1"/>
      <w:numFmt w:val="bullet"/>
      <w:lvlText w:val="o"/>
      <w:lvlJc w:val="left"/>
      <w:pPr>
        <w:ind w:left="3600" w:hanging="360"/>
      </w:pPr>
      <w:rPr>
        <w:rFonts w:ascii="Courier New" w:hAnsi="Courier New" w:hint="default"/>
      </w:rPr>
    </w:lvl>
    <w:lvl w:ilvl="5" w:tplc="4B8000A4">
      <w:start w:val="1"/>
      <w:numFmt w:val="bullet"/>
      <w:lvlText w:val=""/>
      <w:lvlJc w:val="left"/>
      <w:pPr>
        <w:ind w:left="4320" w:hanging="360"/>
      </w:pPr>
      <w:rPr>
        <w:rFonts w:ascii="Wingdings" w:hAnsi="Wingdings" w:hint="default"/>
      </w:rPr>
    </w:lvl>
    <w:lvl w:ilvl="6" w:tplc="13B2FF0C">
      <w:start w:val="1"/>
      <w:numFmt w:val="bullet"/>
      <w:lvlText w:val=""/>
      <w:lvlJc w:val="left"/>
      <w:pPr>
        <w:ind w:left="5040" w:hanging="360"/>
      </w:pPr>
      <w:rPr>
        <w:rFonts w:ascii="Symbol" w:hAnsi="Symbol" w:hint="default"/>
      </w:rPr>
    </w:lvl>
    <w:lvl w:ilvl="7" w:tplc="F8A80BB2">
      <w:start w:val="1"/>
      <w:numFmt w:val="bullet"/>
      <w:lvlText w:val="o"/>
      <w:lvlJc w:val="left"/>
      <w:pPr>
        <w:ind w:left="5760" w:hanging="360"/>
      </w:pPr>
      <w:rPr>
        <w:rFonts w:ascii="Courier New" w:hAnsi="Courier New" w:hint="default"/>
      </w:rPr>
    </w:lvl>
    <w:lvl w:ilvl="8" w:tplc="FEB88D18">
      <w:start w:val="1"/>
      <w:numFmt w:val="bullet"/>
      <w:lvlText w:val=""/>
      <w:lvlJc w:val="left"/>
      <w:pPr>
        <w:ind w:left="6480" w:hanging="360"/>
      </w:pPr>
      <w:rPr>
        <w:rFonts w:ascii="Wingdings" w:hAnsi="Wingdings" w:hint="default"/>
      </w:rPr>
    </w:lvl>
  </w:abstractNum>
  <w:abstractNum w:abstractNumId="213" w15:restartNumberingAfterBreak="0">
    <w:nsid w:val="6FC51FE5"/>
    <w:multiLevelType w:val="hybridMultilevel"/>
    <w:tmpl w:val="FFFFFFFF"/>
    <w:lvl w:ilvl="0" w:tplc="B7C21F7A">
      <w:start w:val="1"/>
      <w:numFmt w:val="bullet"/>
      <w:lvlText w:val=""/>
      <w:lvlJc w:val="left"/>
      <w:pPr>
        <w:ind w:left="720" w:hanging="360"/>
      </w:pPr>
      <w:rPr>
        <w:rFonts w:ascii="Symbol" w:hAnsi="Symbol" w:hint="default"/>
      </w:rPr>
    </w:lvl>
    <w:lvl w:ilvl="1" w:tplc="026890DA">
      <w:start w:val="1"/>
      <w:numFmt w:val="bullet"/>
      <w:lvlText w:val="o"/>
      <w:lvlJc w:val="left"/>
      <w:pPr>
        <w:ind w:left="1440" w:hanging="360"/>
      </w:pPr>
      <w:rPr>
        <w:rFonts w:ascii="Courier New" w:hAnsi="Courier New" w:hint="default"/>
      </w:rPr>
    </w:lvl>
    <w:lvl w:ilvl="2" w:tplc="A7340ECE">
      <w:start w:val="1"/>
      <w:numFmt w:val="bullet"/>
      <w:lvlText w:val=""/>
      <w:lvlJc w:val="left"/>
      <w:pPr>
        <w:ind w:left="2160" w:hanging="360"/>
      </w:pPr>
      <w:rPr>
        <w:rFonts w:ascii="Wingdings" w:hAnsi="Wingdings" w:hint="default"/>
      </w:rPr>
    </w:lvl>
    <w:lvl w:ilvl="3" w:tplc="4E7EA198">
      <w:start w:val="1"/>
      <w:numFmt w:val="bullet"/>
      <w:lvlText w:val=""/>
      <w:lvlJc w:val="left"/>
      <w:pPr>
        <w:ind w:left="2880" w:hanging="360"/>
      </w:pPr>
      <w:rPr>
        <w:rFonts w:ascii="Symbol" w:hAnsi="Symbol" w:hint="default"/>
      </w:rPr>
    </w:lvl>
    <w:lvl w:ilvl="4" w:tplc="DF8EE04E">
      <w:start w:val="1"/>
      <w:numFmt w:val="bullet"/>
      <w:lvlText w:val="o"/>
      <w:lvlJc w:val="left"/>
      <w:pPr>
        <w:ind w:left="3600" w:hanging="360"/>
      </w:pPr>
      <w:rPr>
        <w:rFonts w:ascii="Courier New" w:hAnsi="Courier New" w:hint="default"/>
      </w:rPr>
    </w:lvl>
    <w:lvl w:ilvl="5" w:tplc="C436D458">
      <w:start w:val="1"/>
      <w:numFmt w:val="bullet"/>
      <w:lvlText w:val=""/>
      <w:lvlJc w:val="left"/>
      <w:pPr>
        <w:ind w:left="4320" w:hanging="360"/>
      </w:pPr>
      <w:rPr>
        <w:rFonts w:ascii="Wingdings" w:hAnsi="Wingdings" w:hint="default"/>
      </w:rPr>
    </w:lvl>
    <w:lvl w:ilvl="6" w:tplc="C6925DC8">
      <w:start w:val="1"/>
      <w:numFmt w:val="bullet"/>
      <w:lvlText w:val=""/>
      <w:lvlJc w:val="left"/>
      <w:pPr>
        <w:ind w:left="5040" w:hanging="360"/>
      </w:pPr>
      <w:rPr>
        <w:rFonts w:ascii="Symbol" w:hAnsi="Symbol" w:hint="default"/>
      </w:rPr>
    </w:lvl>
    <w:lvl w:ilvl="7" w:tplc="54861288">
      <w:start w:val="1"/>
      <w:numFmt w:val="bullet"/>
      <w:lvlText w:val="o"/>
      <w:lvlJc w:val="left"/>
      <w:pPr>
        <w:ind w:left="5760" w:hanging="360"/>
      </w:pPr>
      <w:rPr>
        <w:rFonts w:ascii="Courier New" w:hAnsi="Courier New" w:hint="default"/>
      </w:rPr>
    </w:lvl>
    <w:lvl w:ilvl="8" w:tplc="5AB08134">
      <w:start w:val="1"/>
      <w:numFmt w:val="bullet"/>
      <w:lvlText w:val=""/>
      <w:lvlJc w:val="left"/>
      <w:pPr>
        <w:ind w:left="6480" w:hanging="360"/>
      </w:pPr>
      <w:rPr>
        <w:rFonts w:ascii="Wingdings" w:hAnsi="Wingdings" w:hint="default"/>
      </w:rPr>
    </w:lvl>
  </w:abstractNum>
  <w:abstractNum w:abstractNumId="214" w15:restartNumberingAfterBreak="0">
    <w:nsid w:val="70734B84"/>
    <w:multiLevelType w:val="hybridMultilevel"/>
    <w:tmpl w:val="F348DAA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709B27BF"/>
    <w:multiLevelType w:val="hybridMultilevel"/>
    <w:tmpl w:val="162AADFE"/>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6" w15:restartNumberingAfterBreak="0">
    <w:nsid w:val="71A763BC"/>
    <w:multiLevelType w:val="hybridMultilevel"/>
    <w:tmpl w:val="ED4C424A"/>
    <w:lvl w:ilvl="0" w:tplc="B3C05CC2">
      <w:start w:val="1"/>
      <w:numFmt w:val="bullet"/>
      <w:lvlText w:val=""/>
      <w:lvlJc w:val="left"/>
      <w:pPr>
        <w:ind w:left="720" w:hanging="360"/>
      </w:pPr>
      <w:rPr>
        <w:rFonts w:ascii="Symbol" w:hAnsi="Symbo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15:restartNumberingAfterBreak="0">
    <w:nsid w:val="734A1F83"/>
    <w:multiLevelType w:val="hybridMultilevel"/>
    <w:tmpl w:val="4C189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74470C29"/>
    <w:multiLevelType w:val="multilevel"/>
    <w:tmpl w:val="9F4810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9" w15:restartNumberingAfterBreak="0">
    <w:nsid w:val="75342760"/>
    <w:multiLevelType w:val="hybridMultilevel"/>
    <w:tmpl w:val="FFFFFFFF"/>
    <w:lvl w:ilvl="0" w:tplc="B0960570">
      <w:start w:val="1"/>
      <w:numFmt w:val="bullet"/>
      <w:lvlText w:val="·"/>
      <w:lvlJc w:val="left"/>
      <w:pPr>
        <w:ind w:left="720" w:hanging="360"/>
      </w:pPr>
      <w:rPr>
        <w:rFonts w:ascii="Symbol" w:hAnsi="Symbol" w:hint="default"/>
      </w:rPr>
    </w:lvl>
    <w:lvl w:ilvl="1" w:tplc="16C26C76">
      <w:start w:val="1"/>
      <w:numFmt w:val="bullet"/>
      <w:lvlText w:val="o"/>
      <w:lvlJc w:val="left"/>
      <w:pPr>
        <w:ind w:left="1440" w:hanging="360"/>
      </w:pPr>
      <w:rPr>
        <w:rFonts w:ascii="Courier New" w:hAnsi="Courier New" w:hint="default"/>
      </w:rPr>
    </w:lvl>
    <w:lvl w:ilvl="2" w:tplc="4CA2520A">
      <w:start w:val="1"/>
      <w:numFmt w:val="bullet"/>
      <w:lvlText w:val=""/>
      <w:lvlJc w:val="left"/>
      <w:pPr>
        <w:ind w:left="2160" w:hanging="360"/>
      </w:pPr>
      <w:rPr>
        <w:rFonts w:ascii="Wingdings" w:hAnsi="Wingdings" w:hint="default"/>
      </w:rPr>
    </w:lvl>
    <w:lvl w:ilvl="3" w:tplc="A692E30E">
      <w:start w:val="1"/>
      <w:numFmt w:val="bullet"/>
      <w:lvlText w:val=""/>
      <w:lvlJc w:val="left"/>
      <w:pPr>
        <w:ind w:left="2880" w:hanging="360"/>
      </w:pPr>
      <w:rPr>
        <w:rFonts w:ascii="Symbol" w:hAnsi="Symbol" w:hint="default"/>
      </w:rPr>
    </w:lvl>
    <w:lvl w:ilvl="4" w:tplc="24BE18FC">
      <w:start w:val="1"/>
      <w:numFmt w:val="bullet"/>
      <w:lvlText w:val="o"/>
      <w:lvlJc w:val="left"/>
      <w:pPr>
        <w:ind w:left="3600" w:hanging="360"/>
      </w:pPr>
      <w:rPr>
        <w:rFonts w:ascii="Courier New" w:hAnsi="Courier New" w:hint="default"/>
      </w:rPr>
    </w:lvl>
    <w:lvl w:ilvl="5" w:tplc="04F0A52C">
      <w:start w:val="1"/>
      <w:numFmt w:val="bullet"/>
      <w:lvlText w:val=""/>
      <w:lvlJc w:val="left"/>
      <w:pPr>
        <w:ind w:left="4320" w:hanging="360"/>
      </w:pPr>
      <w:rPr>
        <w:rFonts w:ascii="Wingdings" w:hAnsi="Wingdings" w:hint="default"/>
      </w:rPr>
    </w:lvl>
    <w:lvl w:ilvl="6" w:tplc="23EC5FEA">
      <w:start w:val="1"/>
      <w:numFmt w:val="bullet"/>
      <w:lvlText w:val=""/>
      <w:lvlJc w:val="left"/>
      <w:pPr>
        <w:ind w:left="5040" w:hanging="360"/>
      </w:pPr>
      <w:rPr>
        <w:rFonts w:ascii="Symbol" w:hAnsi="Symbol" w:hint="default"/>
      </w:rPr>
    </w:lvl>
    <w:lvl w:ilvl="7" w:tplc="24C88C9C">
      <w:start w:val="1"/>
      <w:numFmt w:val="bullet"/>
      <w:lvlText w:val="o"/>
      <w:lvlJc w:val="left"/>
      <w:pPr>
        <w:ind w:left="5760" w:hanging="360"/>
      </w:pPr>
      <w:rPr>
        <w:rFonts w:ascii="Courier New" w:hAnsi="Courier New" w:hint="default"/>
      </w:rPr>
    </w:lvl>
    <w:lvl w:ilvl="8" w:tplc="D67CF564">
      <w:start w:val="1"/>
      <w:numFmt w:val="bullet"/>
      <w:lvlText w:val=""/>
      <w:lvlJc w:val="left"/>
      <w:pPr>
        <w:ind w:left="6480" w:hanging="360"/>
      </w:pPr>
      <w:rPr>
        <w:rFonts w:ascii="Wingdings" w:hAnsi="Wingdings" w:hint="default"/>
      </w:rPr>
    </w:lvl>
  </w:abstractNum>
  <w:abstractNum w:abstractNumId="220" w15:restartNumberingAfterBreak="0">
    <w:nsid w:val="756865A0"/>
    <w:multiLevelType w:val="hybridMultilevel"/>
    <w:tmpl w:val="E15044E8"/>
    <w:lvl w:ilvl="0" w:tplc="A152535C">
      <w:start w:val="5"/>
      <w:numFmt w:val="lowerLetter"/>
      <w:lvlText w:val="(%1)"/>
      <w:lvlJc w:val="left"/>
      <w:pPr>
        <w:tabs>
          <w:tab w:val="num" w:pos="1800"/>
        </w:tabs>
        <w:ind w:left="1800" w:hanging="360"/>
      </w:pPr>
      <w:rPr>
        <w:rFonts w:ascii="Times New Roman" w:hAnsi="Times New Roman" w:cs="Times New Roman" w:hint="default"/>
        <w:b w:val="0"/>
        <w:bCs w:val="0"/>
      </w:rPr>
    </w:lvl>
    <w:lvl w:ilvl="1" w:tplc="08090001">
      <w:start w:val="1"/>
      <w:numFmt w:val="bullet"/>
      <w:lvlText w:val=""/>
      <w:lvlJc w:val="left"/>
      <w:pPr>
        <w:ind w:left="1800" w:hanging="72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1" w15:restartNumberingAfterBreak="0">
    <w:nsid w:val="76667D46"/>
    <w:multiLevelType w:val="hybridMultilevel"/>
    <w:tmpl w:val="81D69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781335C7"/>
    <w:multiLevelType w:val="hybridMultilevel"/>
    <w:tmpl w:val="705E43FC"/>
    <w:lvl w:ilvl="0" w:tplc="D826BE56">
      <w:start w:val="1"/>
      <w:numFmt w:val="decimal"/>
      <w:lvlText w:val="6.%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3" w15:restartNumberingAfterBreak="0">
    <w:nsid w:val="79F02DFA"/>
    <w:multiLevelType w:val="hybridMultilevel"/>
    <w:tmpl w:val="A388027E"/>
    <w:lvl w:ilvl="0" w:tplc="BBFE83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7C3C4E03"/>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5" w15:restartNumberingAfterBreak="0">
    <w:nsid w:val="7C4F35D9"/>
    <w:multiLevelType w:val="hybridMultilevel"/>
    <w:tmpl w:val="56627570"/>
    <w:lvl w:ilvl="0" w:tplc="F8DEDD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7E031F8F"/>
    <w:multiLevelType w:val="hybridMultilevel"/>
    <w:tmpl w:val="DBACDC12"/>
    <w:lvl w:ilvl="0" w:tplc="6DBE6AEE">
      <w:start w:val="1"/>
      <w:numFmt w:val="decimal"/>
      <w:lvlText w:val="%1."/>
      <w:lvlJc w:val="left"/>
      <w:pPr>
        <w:tabs>
          <w:tab w:val="num" w:pos="360"/>
        </w:tabs>
        <w:ind w:left="0" w:firstLine="0"/>
      </w:pPr>
      <w:rPr>
        <w:rFonts w:ascii="Times New Roman" w:hAnsi="Times New Roman" w:cs="Times New Roman" w:hint="default"/>
        <w:b w:val="0"/>
      </w:rPr>
    </w:lvl>
    <w:lvl w:ilvl="1" w:tplc="3B46466E">
      <w:start w:val="1"/>
      <w:numFmt w:val="lowerLetter"/>
      <w:lvlText w:val="(%2)"/>
      <w:lvlJc w:val="left"/>
      <w:pPr>
        <w:tabs>
          <w:tab w:val="num" w:pos="1440"/>
        </w:tabs>
        <w:ind w:left="0" w:firstLine="720"/>
      </w:pPr>
      <w:rPr>
        <w:rFonts w:ascii="Times New Roman" w:hAnsi="Times New Roman" w:cs="Times New Roman" w:hint="default"/>
        <w:b w:val="0"/>
      </w:rPr>
    </w:lvl>
    <w:lvl w:ilvl="2" w:tplc="52B2EB0C">
      <w:start w:val="1"/>
      <w:numFmt w:val="lowerRoman"/>
      <w:lvlText w:val="(%3)"/>
      <w:lvlJc w:val="right"/>
      <w:pPr>
        <w:tabs>
          <w:tab w:val="num" w:pos="1440"/>
        </w:tabs>
        <w:ind w:left="1440" w:hanging="360"/>
      </w:pPr>
      <w:rPr>
        <w:rFonts w:ascii="Wingdings" w:hAnsi="Wingdings" w:cs="Wingdings"/>
      </w:rPr>
    </w:lvl>
    <w:lvl w:ilvl="3" w:tplc="B3C05CC2">
      <w:start w:val="1"/>
      <w:numFmt w:val="bullet"/>
      <w:lvlText w:val=""/>
      <w:lvlJc w:val="left"/>
      <w:pPr>
        <w:tabs>
          <w:tab w:val="num" w:pos="2160"/>
        </w:tabs>
        <w:ind w:left="2160" w:hanging="720"/>
      </w:pPr>
      <w:rPr>
        <w:rFonts w:ascii="Symbol" w:hAnsi="Symbol"/>
      </w:rPr>
    </w:lvl>
    <w:lvl w:ilvl="4" w:tplc="C5947230">
      <w:start w:val="1"/>
      <w:numFmt w:val="lowerLetter"/>
      <w:lvlText w:val="(%5)"/>
      <w:lvlJc w:val="left"/>
      <w:pPr>
        <w:tabs>
          <w:tab w:val="num" w:pos="1800"/>
        </w:tabs>
        <w:ind w:left="1800" w:hanging="360"/>
      </w:pPr>
      <w:rPr>
        <w:rFonts w:hint="default"/>
        <w:b w:val="0"/>
        <w:bCs w:val="0"/>
      </w:rPr>
    </w:lvl>
    <w:lvl w:ilvl="5" w:tplc="FEB61BE6">
      <w:start w:val="1"/>
      <w:numFmt w:val="lowerRoman"/>
      <w:lvlText w:val="(%6)"/>
      <w:lvlJc w:val="left"/>
      <w:pPr>
        <w:tabs>
          <w:tab w:val="num" w:pos="2160"/>
        </w:tabs>
        <w:ind w:left="2160" w:hanging="360"/>
      </w:pPr>
    </w:lvl>
    <w:lvl w:ilvl="6" w:tplc="9B269EA4">
      <w:start w:val="1"/>
      <w:numFmt w:val="decimal"/>
      <w:lvlText w:val="%7."/>
      <w:lvlJc w:val="left"/>
      <w:pPr>
        <w:tabs>
          <w:tab w:val="num" w:pos="2520"/>
        </w:tabs>
        <w:ind w:left="2520" w:hanging="360"/>
      </w:pPr>
    </w:lvl>
    <w:lvl w:ilvl="7" w:tplc="66E033DC">
      <w:start w:val="1"/>
      <w:numFmt w:val="lowerLetter"/>
      <w:lvlText w:val="%8."/>
      <w:lvlJc w:val="left"/>
      <w:pPr>
        <w:tabs>
          <w:tab w:val="num" w:pos="2880"/>
        </w:tabs>
        <w:ind w:left="2880" w:hanging="360"/>
      </w:pPr>
    </w:lvl>
    <w:lvl w:ilvl="8" w:tplc="08168678">
      <w:start w:val="1"/>
      <w:numFmt w:val="lowerRoman"/>
      <w:lvlText w:val="%9."/>
      <w:lvlJc w:val="left"/>
      <w:pPr>
        <w:tabs>
          <w:tab w:val="num" w:pos="3240"/>
        </w:tabs>
        <w:ind w:left="3240" w:hanging="360"/>
      </w:pPr>
    </w:lvl>
  </w:abstractNum>
  <w:abstractNum w:abstractNumId="227" w15:restartNumberingAfterBreak="0">
    <w:nsid w:val="7E93267C"/>
    <w:multiLevelType w:val="hybridMultilevel"/>
    <w:tmpl w:val="FFFFFFFF"/>
    <w:lvl w:ilvl="0" w:tplc="312CB724">
      <w:start w:val="1"/>
      <w:numFmt w:val="bullet"/>
      <w:lvlText w:val=""/>
      <w:lvlJc w:val="left"/>
      <w:pPr>
        <w:ind w:left="720" w:hanging="360"/>
      </w:pPr>
      <w:rPr>
        <w:rFonts w:ascii="Symbol" w:hAnsi="Symbol" w:hint="default"/>
      </w:rPr>
    </w:lvl>
    <w:lvl w:ilvl="1" w:tplc="76A40902">
      <w:start w:val="1"/>
      <w:numFmt w:val="bullet"/>
      <w:lvlText w:val="o"/>
      <w:lvlJc w:val="left"/>
      <w:pPr>
        <w:ind w:left="1440" w:hanging="360"/>
      </w:pPr>
      <w:rPr>
        <w:rFonts w:ascii="Courier New" w:hAnsi="Courier New" w:hint="default"/>
      </w:rPr>
    </w:lvl>
    <w:lvl w:ilvl="2" w:tplc="F2B83ED2">
      <w:start w:val="1"/>
      <w:numFmt w:val="bullet"/>
      <w:lvlText w:val=""/>
      <w:lvlJc w:val="left"/>
      <w:pPr>
        <w:ind w:left="2160" w:hanging="360"/>
      </w:pPr>
      <w:rPr>
        <w:rFonts w:ascii="Wingdings" w:hAnsi="Wingdings" w:hint="default"/>
      </w:rPr>
    </w:lvl>
    <w:lvl w:ilvl="3" w:tplc="5AE6A4CE">
      <w:start w:val="1"/>
      <w:numFmt w:val="bullet"/>
      <w:lvlText w:val=""/>
      <w:lvlJc w:val="left"/>
      <w:pPr>
        <w:ind w:left="2880" w:hanging="360"/>
      </w:pPr>
      <w:rPr>
        <w:rFonts w:ascii="Symbol" w:hAnsi="Symbol" w:hint="default"/>
      </w:rPr>
    </w:lvl>
    <w:lvl w:ilvl="4" w:tplc="FF585684">
      <w:start w:val="1"/>
      <w:numFmt w:val="bullet"/>
      <w:lvlText w:val="o"/>
      <w:lvlJc w:val="left"/>
      <w:pPr>
        <w:ind w:left="3600" w:hanging="360"/>
      </w:pPr>
      <w:rPr>
        <w:rFonts w:ascii="Courier New" w:hAnsi="Courier New" w:hint="default"/>
      </w:rPr>
    </w:lvl>
    <w:lvl w:ilvl="5" w:tplc="6B0AC5C6">
      <w:start w:val="1"/>
      <w:numFmt w:val="bullet"/>
      <w:lvlText w:val=""/>
      <w:lvlJc w:val="left"/>
      <w:pPr>
        <w:ind w:left="4320" w:hanging="360"/>
      </w:pPr>
      <w:rPr>
        <w:rFonts w:ascii="Wingdings" w:hAnsi="Wingdings" w:hint="default"/>
      </w:rPr>
    </w:lvl>
    <w:lvl w:ilvl="6" w:tplc="DC6A8E46">
      <w:start w:val="1"/>
      <w:numFmt w:val="bullet"/>
      <w:lvlText w:val=""/>
      <w:lvlJc w:val="left"/>
      <w:pPr>
        <w:ind w:left="5040" w:hanging="360"/>
      </w:pPr>
      <w:rPr>
        <w:rFonts w:ascii="Symbol" w:hAnsi="Symbol" w:hint="default"/>
      </w:rPr>
    </w:lvl>
    <w:lvl w:ilvl="7" w:tplc="AE6CE494">
      <w:start w:val="1"/>
      <w:numFmt w:val="bullet"/>
      <w:lvlText w:val="o"/>
      <w:lvlJc w:val="left"/>
      <w:pPr>
        <w:ind w:left="5760" w:hanging="360"/>
      </w:pPr>
      <w:rPr>
        <w:rFonts w:ascii="Courier New" w:hAnsi="Courier New" w:hint="default"/>
      </w:rPr>
    </w:lvl>
    <w:lvl w:ilvl="8" w:tplc="81A4E994">
      <w:start w:val="1"/>
      <w:numFmt w:val="bullet"/>
      <w:lvlText w:val=""/>
      <w:lvlJc w:val="left"/>
      <w:pPr>
        <w:ind w:left="6480" w:hanging="360"/>
      </w:pPr>
      <w:rPr>
        <w:rFonts w:ascii="Wingdings" w:hAnsi="Wingdings" w:hint="default"/>
      </w:rPr>
    </w:lvl>
  </w:abstractNum>
  <w:abstractNum w:abstractNumId="228" w15:restartNumberingAfterBreak="0">
    <w:nsid w:val="7F3D18F5"/>
    <w:multiLevelType w:val="hybridMultilevel"/>
    <w:tmpl w:val="3E8A827A"/>
    <w:lvl w:ilvl="0" w:tplc="F67C990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7FBB7780"/>
    <w:multiLevelType w:val="hybridMultilevel"/>
    <w:tmpl w:val="23B67E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7FDA25BC"/>
    <w:multiLevelType w:val="hybridMultilevel"/>
    <w:tmpl w:val="E20EEB48"/>
    <w:lvl w:ilvl="0" w:tplc="04090001">
      <w:start w:val="1"/>
      <w:numFmt w:val="bullet"/>
      <w:lvlText w:val=""/>
      <w:lvlJc w:val="left"/>
      <w:pPr>
        <w:ind w:left="720" w:hanging="360"/>
      </w:pPr>
      <w:rPr>
        <w:rFonts w:ascii="Symbol" w:hAnsi="Symbol" w:hint="default"/>
      </w:rPr>
    </w:lvl>
    <w:lvl w:ilvl="1" w:tplc="C0867642">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7FDF5922"/>
    <w:multiLevelType w:val="hybridMultilevel"/>
    <w:tmpl w:val="732253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3"/>
  </w:num>
  <w:num w:numId="2">
    <w:abstractNumId w:val="22"/>
  </w:num>
  <w:num w:numId="3">
    <w:abstractNumId w:val="213"/>
  </w:num>
  <w:num w:numId="4">
    <w:abstractNumId w:val="24"/>
  </w:num>
  <w:num w:numId="5">
    <w:abstractNumId w:val="142"/>
  </w:num>
  <w:num w:numId="6">
    <w:abstractNumId w:val="59"/>
  </w:num>
  <w:num w:numId="7">
    <w:abstractNumId w:val="169"/>
  </w:num>
  <w:num w:numId="8">
    <w:abstractNumId w:val="1"/>
  </w:num>
  <w:num w:numId="9">
    <w:abstractNumId w:val="2"/>
  </w:num>
  <w:num w:numId="10">
    <w:abstractNumId w:val="3"/>
  </w:num>
  <w:num w:numId="11">
    <w:abstractNumId w:val="4"/>
  </w:num>
  <w:num w:numId="12">
    <w:abstractNumId w:val="5"/>
  </w:num>
  <w:num w:numId="13">
    <w:abstractNumId w:val="6"/>
  </w:num>
  <w:num w:numId="14">
    <w:abstractNumId w:val="7"/>
  </w:num>
  <w:num w:numId="15">
    <w:abstractNumId w:val="116"/>
  </w:num>
  <w:num w:numId="16">
    <w:abstractNumId w:val="34"/>
  </w:num>
  <w:num w:numId="17">
    <w:abstractNumId w:val="30"/>
  </w:num>
  <w:num w:numId="18">
    <w:abstractNumId w:val="40"/>
  </w:num>
  <w:num w:numId="19">
    <w:abstractNumId w:val="222"/>
  </w:num>
  <w:num w:numId="20">
    <w:abstractNumId w:val="55"/>
  </w:num>
  <w:num w:numId="21">
    <w:abstractNumId w:val="106"/>
  </w:num>
  <w:num w:numId="22">
    <w:abstractNumId w:val="107"/>
  </w:num>
  <w:num w:numId="23">
    <w:abstractNumId w:val="160"/>
  </w:num>
  <w:num w:numId="24">
    <w:abstractNumId w:val="231"/>
  </w:num>
  <w:num w:numId="25">
    <w:abstractNumId w:val="135"/>
  </w:num>
  <w:num w:numId="26">
    <w:abstractNumId w:val="165"/>
  </w:num>
  <w:num w:numId="27">
    <w:abstractNumId w:val="72"/>
  </w:num>
  <w:num w:numId="28">
    <w:abstractNumId w:val="170"/>
  </w:num>
  <w:num w:numId="29">
    <w:abstractNumId w:val="0"/>
  </w:num>
  <w:num w:numId="30">
    <w:abstractNumId w:val="91"/>
  </w:num>
  <w:num w:numId="31">
    <w:abstractNumId w:val="87"/>
  </w:num>
  <w:num w:numId="32">
    <w:abstractNumId w:val="39"/>
  </w:num>
  <w:num w:numId="33">
    <w:abstractNumId w:val="168"/>
  </w:num>
  <w:num w:numId="34">
    <w:abstractNumId w:val="84"/>
  </w:num>
  <w:num w:numId="35">
    <w:abstractNumId w:val="119"/>
  </w:num>
  <w:num w:numId="36">
    <w:abstractNumId w:val="113"/>
  </w:num>
  <w:num w:numId="37">
    <w:abstractNumId w:val="54"/>
  </w:num>
  <w:num w:numId="38">
    <w:abstractNumId w:val="74"/>
  </w:num>
  <w:num w:numId="39">
    <w:abstractNumId w:val="188"/>
  </w:num>
  <w:num w:numId="40">
    <w:abstractNumId w:val="117"/>
  </w:num>
  <w:num w:numId="41">
    <w:abstractNumId w:val="174"/>
  </w:num>
  <w:num w:numId="42">
    <w:abstractNumId w:val="201"/>
  </w:num>
  <w:num w:numId="43">
    <w:abstractNumId w:val="157"/>
  </w:num>
  <w:num w:numId="44">
    <w:abstractNumId w:val="124"/>
  </w:num>
  <w:num w:numId="45">
    <w:abstractNumId w:val="15"/>
  </w:num>
  <w:num w:numId="46">
    <w:abstractNumId w:val="161"/>
  </w:num>
  <w:num w:numId="47">
    <w:abstractNumId w:val="173"/>
  </w:num>
  <w:num w:numId="48">
    <w:abstractNumId w:val="162"/>
  </w:num>
  <w:num w:numId="49">
    <w:abstractNumId w:val="151"/>
  </w:num>
  <w:num w:numId="50">
    <w:abstractNumId w:val="125"/>
  </w:num>
  <w:num w:numId="51">
    <w:abstractNumId w:val="129"/>
  </w:num>
  <w:num w:numId="52">
    <w:abstractNumId w:val="219"/>
  </w:num>
  <w:num w:numId="53">
    <w:abstractNumId w:val="140"/>
  </w:num>
  <w:num w:numId="54">
    <w:abstractNumId w:val="14"/>
  </w:num>
  <w:num w:numId="55">
    <w:abstractNumId w:val="196"/>
  </w:num>
  <w:num w:numId="56">
    <w:abstractNumId w:val="121"/>
  </w:num>
  <w:num w:numId="57">
    <w:abstractNumId w:val="137"/>
  </w:num>
  <w:num w:numId="58">
    <w:abstractNumId w:val="149"/>
  </w:num>
  <w:num w:numId="59">
    <w:abstractNumId w:val="205"/>
  </w:num>
  <w:num w:numId="60">
    <w:abstractNumId w:val="42"/>
  </w:num>
  <w:num w:numId="61">
    <w:abstractNumId w:val="130"/>
  </w:num>
  <w:num w:numId="62">
    <w:abstractNumId w:val="38"/>
  </w:num>
  <w:num w:numId="63">
    <w:abstractNumId w:val="143"/>
  </w:num>
  <w:num w:numId="64">
    <w:abstractNumId w:val="19"/>
  </w:num>
  <w:num w:numId="65">
    <w:abstractNumId w:val="199"/>
  </w:num>
  <w:num w:numId="66">
    <w:abstractNumId w:val="163"/>
  </w:num>
  <w:num w:numId="67">
    <w:abstractNumId w:val="123"/>
  </w:num>
  <w:num w:numId="68">
    <w:abstractNumId w:val="212"/>
  </w:num>
  <w:num w:numId="69">
    <w:abstractNumId w:val="89"/>
  </w:num>
  <w:num w:numId="70">
    <w:abstractNumId w:val="200"/>
  </w:num>
  <w:num w:numId="71">
    <w:abstractNumId w:val="18"/>
  </w:num>
  <w:num w:numId="72">
    <w:abstractNumId w:val="65"/>
  </w:num>
  <w:num w:numId="73">
    <w:abstractNumId w:val="101"/>
  </w:num>
  <w:num w:numId="74">
    <w:abstractNumId w:val="190"/>
  </w:num>
  <w:num w:numId="75">
    <w:abstractNumId w:val="29"/>
  </w:num>
  <w:num w:numId="76">
    <w:abstractNumId w:val="103"/>
  </w:num>
  <w:num w:numId="77">
    <w:abstractNumId w:val="134"/>
  </w:num>
  <w:num w:numId="78">
    <w:abstractNumId w:val="80"/>
  </w:num>
  <w:num w:numId="79">
    <w:abstractNumId w:val="90"/>
  </w:num>
  <w:num w:numId="80">
    <w:abstractNumId w:val="133"/>
  </w:num>
  <w:num w:numId="81">
    <w:abstractNumId w:val="131"/>
  </w:num>
  <w:num w:numId="82">
    <w:abstractNumId w:val="78"/>
  </w:num>
  <w:num w:numId="83">
    <w:abstractNumId w:val="153"/>
  </w:num>
  <w:num w:numId="84">
    <w:abstractNumId w:val="47"/>
  </w:num>
  <w:num w:numId="85">
    <w:abstractNumId w:val="155"/>
  </w:num>
  <w:num w:numId="86">
    <w:abstractNumId w:val="164"/>
  </w:num>
  <w:num w:numId="87">
    <w:abstractNumId w:val="62"/>
  </w:num>
  <w:num w:numId="88">
    <w:abstractNumId w:val="191"/>
  </w:num>
  <w:num w:numId="89">
    <w:abstractNumId w:val="186"/>
  </w:num>
  <w:num w:numId="90">
    <w:abstractNumId w:val="81"/>
  </w:num>
  <w:num w:numId="91">
    <w:abstractNumId w:val="227"/>
  </w:num>
  <w:num w:numId="92">
    <w:abstractNumId w:val="136"/>
  </w:num>
  <w:num w:numId="93">
    <w:abstractNumId w:val="77"/>
  </w:num>
  <w:num w:numId="94">
    <w:abstractNumId w:val="100"/>
  </w:num>
  <w:num w:numId="95">
    <w:abstractNumId w:val="145"/>
  </w:num>
  <w:num w:numId="96">
    <w:abstractNumId w:val="218"/>
  </w:num>
  <w:num w:numId="97">
    <w:abstractNumId w:val="223"/>
  </w:num>
  <w:num w:numId="98">
    <w:abstractNumId w:val="156"/>
  </w:num>
  <w:num w:numId="99">
    <w:abstractNumId w:val="156"/>
  </w:num>
  <w:num w:numId="100">
    <w:abstractNumId w:val="67"/>
  </w:num>
  <w:num w:numId="101">
    <w:abstractNumId w:val="141"/>
  </w:num>
  <w:num w:numId="102">
    <w:abstractNumId w:val="217"/>
  </w:num>
  <w:num w:numId="103">
    <w:abstractNumId w:val="60"/>
  </w:num>
  <w:num w:numId="104">
    <w:abstractNumId w:val="48"/>
  </w:num>
  <w:num w:numId="105">
    <w:abstractNumId w:val="229"/>
  </w:num>
  <w:num w:numId="106">
    <w:abstractNumId w:val="76"/>
  </w:num>
  <w:num w:numId="107">
    <w:abstractNumId w:val="182"/>
  </w:num>
  <w:num w:numId="108">
    <w:abstractNumId w:val="120"/>
  </w:num>
  <w:num w:numId="109">
    <w:abstractNumId w:val="209"/>
  </w:num>
  <w:num w:numId="110">
    <w:abstractNumId w:val="50"/>
  </w:num>
  <w:num w:numId="111">
    <w:abstractNumId w:val="215"/>
  </w:num>
  <w:num w:numId="112">
    <w:abstractNumId w:val="97"/>
  </w:num>
  <w:num w:numId="113">
    <w:abstractNumId w:val="207"/>
  </w:num>
  <w:num w:numId="114">
    <w:abstractNumId w:val="41"/>
  </w:num>
  <w:num w:numId="115">
    <w:abstractNumId w:val="20"/>
  </w:num>
  <w:num w:numId="116">
    <w:abstractNumId w:val="195"/>
  </w:num>
  <w:num w:numId="117">
    <w:abstractNumId w:val="171"/>
  </w:num>
  <w:num w:numId="118">
    <w:abstractNumId w:val="208"/>
  </w:num>
  <w:num w:numId="119">
    <w:abstractNumId w:val="25"/>
  </w:num>
  <w:num w:numId="120">
    <w:abstractNumId w:val="75"/>
  </w:num>
  <w:num w:numId="121">
    <w:abstractNumId w:val="187"/>
  </w:num>
  <w:num w:numId="122">
    <w:abstractNumId w:val="6"/>
  </w:num>
  <w:num w:numId="123">
    <w:abstractNumId w:val="132"/>
  </w:num>
  <w:num w:numId="124">
    <w:abstractNumId w:val="6"/>
    <w:lvlOverride w:ilvl="0">
      <w:startOverride w:val="1"/>
    </w:lvlOverride>
    <w:lvlOverride w:ilvl="1">
      <w:startOverride w:val="1"/>
    </w:lvlOverride>
  </w:num>
  <w:num w:numId="125">
    <w:abstractNumId w:val="6"/>
    <w:lvlOverride w:ilvl="0">
      <w:startOverride w:val="3"/>
    </w:lvlOverride>
  </w:num>
  <w:num w:numId="126">
    <w:abstractNumId w:val="144"/>
  </w:num>
  <w:num w:numId="127">
    <w:abstractNumId w:val="37"/>
  </w:num>
  <w:num w:numId="128">
    <w:abstractNumId w:val="112"/>
  </w:num>
  <w:num w:numId="129">
    <w:abstractNumId w:val="114"/>
  </w:num>
  <w:num w:numId="130">
    <w:abstractNumId w:val="139"/>
  </w:num>
  <w:num w:numId="131">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54"/>
  </w:num>
  <w:num w:numId="133">
    <w:abstractNumId w:val="115"/>
  </w:num>
  <w:num w:numId="134">
    <w:abstractNumId w:val="202"/>
  </w:num>
  <w:num w:numId="135">
    <w:abstractNumId w:val="111"/>
  </w:num>
  <w:num w:numId="136">
    <w:abstractNumId w:val="214"/>
  </w:num>
  <w:num w:numId="137">
    <w:abstractNumId w:val="150"/>
  </w:num>
  <w:num w:numId="138">
    <w:abstractNumId w:val="94"/>
  </w:num>
  <w:num w:numId="139">
    <w:abstractNumId w:val="198"/>
  </w:num>
  <w:num w:numId="140">
    <w:abstractNumId w:val="176"/>
  </w:num>
  <w:num w:numId="141">
    <w:abstractNumId w:val="146"/>
  </w:num>
  <w:num w:numId="142">
    <w:abstractNumId w:val="98"/>
  </w:num>
  <w:num w:numId="143">
    <w:abstractNumId w:val="53"/>
  </w:num>
  <w:num w:numId="144">
    <w:abstractNumId w:val="27"/>
  </w:num>
  <w:num w:numId="145">
    <w:abstractNumId w:val="31"/>
  </w:num>
  <w:num w:numId="146">
    <w:abstractNumId w:val="99"/>
  </w:num>
  <w:num w:numId="147">
    <w:abstractNumId w:val="32"/>
  </w:num>
  <w:num w:numId="148">
    <w:abstractNumId w:val="26"/>
  </w:num>
  <w:num w:numId="149">
    <w:abstractNumId w:val="96"/>
  </w:num>
  <w:num w:numId="150">
    <w:abstractNumId w:val="230"/>
  </w:num>
  <w:num w:numId="151">
    <w:abstractNumId w:val="221"/>
  </w:num>
  <w:num w:numId="152">
    <w:abstractNumId w:val="159"/>
  </w:num>
  <w:num w:numId="153">
    <w:abstractNumId w:val="181"/>
  </w:num>
  <w:num w:numId="154">
    <w:abstractNumId w:val="66"/>
  </w:num>
  <w:num w:numId="155">
    <w:abstractNumId w:val="180"/>
  </w:num>
  <w:num w:numId="156">
    <w:abstractNumId w:val="110"/>
  </w:num>
  <w:num w:numId="157">
    <w:abstractNumId w:val="71"/>
  </w:num>
  <w:num w:numId="158">
    <w:abstractNumId w:val="92"/>
  </w:num>
  <w:num w:numId="159">
    <w:abstractNumId w:val="203"/>
  </w:num>
  <w:num w:numId="160">
    <w:abstractNumId w:val="63"/>
  </w:num>
  <w:num w:numId="161">
    <w:abstractNumId w:val="70"/>
  </w:num>
  <w:num w:numId="162">
    <w:abstractNumId w:val="127"/>
  </w:num>
  <w:num w:numId="163">
    <w:abstractNumId w:val="108"/>
  </w:num>
  <w:num w:numId="164">
    <w:abstractNumId w:val="69"/>
  </w:num>
  <w:num w:numId="165">
    <w:abstractNumId w:val="6"/>
    <w:lvlOverride w:ilvl="0">
      <w:startOverride w:val="1"/>
    </w:lvlOverride>
    <w:lvlOverride w:ilvl="1">
      <w:startOverride w:val="1"/>
    </w:lvlOverride>
  </w:num>
  <w:num w:numId="166">
    <w:abstractNumId w:val="6"/>
    <w:lvlOverride w:ilvl="0">
      <w:startOverride w:val="1"/>
    </w:lvlOverride>
    <w:lvlOverride w:ilvl="1">
      <w:startOverride w:val="5"/>
    </w:lvlOverride>
  </w:num>
  <w:num w:numId="167">
    <w:abstractNumId w:val="6"/>
    <w:lvlOverride w:ilvl="0">
      <w:startOverride w:val="1"/>
    </w:lvlOverride>
    <w:lvlOverride w:ilvl="1">
      <w:startOverride w:val="1"/>
    </w:lvlOverride>
  </w:num>
  <w:num w:numId="168">
    <w:abstractNumId w:val="16"/>
  </w:num>
  <w:num w:numId="169">
    <w:abstractNumId w:val="85"/>
  </w:num>
  <w:num w:numId="170">
    <w:abstractNumId w:val="177"/>
  </w:num>
  <w:num w:numId="171">
    <w:abstractNumId w:val="175"/>
  </w:num>
  <w:num w:numId="172">
    <w:abstractNumId w:val="95"/>
  </w:num>
  <w:num w:numId="173">
    <w:abstractNumId w:val="52"/>
  </w:num>
  <w:num w:numId="174">
    <w:abstractNumId w:val="6"/>
    <w:lvlOverride w:ilvl="0">
      <w:startOverride w:val="1"/>
    </w:lvlOverride>
    <w:lvlOverride w:ilvl="1">
      <w:startOverride w:val="1"/>
    </w:lvlOverride>
  </w:num>
  <w:num w:numId="175">
    <w:abstractNumId w:val="6"/>
    <w:lvlOverride w:ilvl="0">
      <w:startOverride w:val="1"/>
    </w:lvlOverride>
    <w:lvlOverride w:ilvl="1">
      <w:startOverride w:val="1"/>
    </w:lvlOverride>
  </w:num>
  <w:num w:numId="176">
    <w:abstractNumId w:val="6"/>
    <w:lvlOverride w:ilvl="0">
      <w:startOverride w:val="1"/>
    </w:lvlOverride>
    <w:lvlOverride w:ilvl="1">
      <w:startOverride w:val="3"/>
    </w:lvlOverride>
  </w:num>
  <w:num w:numId="177">
    <w:abstractNumId w:val="216"/>
  </w:num>
  <w:num w:numId="178">
    <w:abstractNumId w:val="138"/>
  </w:num>
  <w:num w:numId="179">
    <w:abstractNumId w:val="64"/>
  </w:num>
  <w:num w:numId="180">
    <w:abstractNumId w:val="104"/>
  </w:num>
  <w:num w:numId="181">
    <w:abstractNumId w:val="73"/>
  </w:num>
  <w:num w:numId="182">
    <w:abstractNumId w:val="28"/>
  </w:num>
  <w:num w:numId="183">
    <w:abstractNumId w:val="210"/>
  </w:num>
  <w:num w:numId="184">
    <w:abstractNumId w:val="126"/>
  </w:num>
  <w:num w:numId="185">
    <w:abstractNumId w:val="49"/>
  </w:num>
  <w:num w:numId="186">
    <w:abstractNumId w:val="167"/>
  </w:num>
  <w:num w:numId="187">
    <w:abstractNumId w:val="86"/>
  </w:num>
  <w:num w:numId="188">
    <w:abstractNumId w:val="122"/>
  </w:num>
  <w:num w:numId="189">
    <w:abstractNumId w:val="225"/>
  </w:num>
  <w:num w:numId="190">
    <w:abstractNumId w:val="228"/>
  </w:num>
  <w:num w:numId="191">
    <w:abstractNumId w:val="79"/>
  </w:num>
  <w:num w:numId="192">
    <w:abstractNumId w:val="147"/>
  </w:num>
  <w:num w:numId="193">
    <w:abstractNumId w:val="189"/>
  </w:num>
  <w:num w:numId="194">
    <w:abstractNumId w:val="166"/>
  </w:num>
  <w:num w:numId="195">
    <w:abstractNumId w:val="33"/>
  </w:num>
  <w:num w:numId="196">
    <w:abstractNumId w:val="158"/>
  </w:num>
  <w:num w:numId="197">
    <w:abstractNumId w:val="105"/>
  </w:num>
  <w:num w:numId="198">
    <w:abstractNumId w:val="68"/>
  </w:num>
  <w:num w:numId="199">
    <w:abstractNumId w:val="88"/>
  </w:num>
  <w:num w:numId="200">
    <w:abstractNumId w:val="226"/>
  </w:num>
  <w:num w:numId="201">
    <w:abstractNumId w:val="45"/>
  </w:num>
  <w:num w:numId="202">
    <w:abstractNumId w:val="11"/>
  </w:num>
  <w:num w:numId="203">
    <w:abstractNumId w:val="56"/>
  </w:num>
  <w:num w:numId="204">
    <w:abstractNumId w:val="46"/>
  </w:num>
  <w:num w:numId="205">
    <w:abstractNumId w:val="118"/>
  </w:num>
  <w:num w:numId="206">
    <w:abstractNumId w:val="17"/>
  </w:num>
  <w:num w:numId="207">
    <w:abstractNumId w:val="197"/>
  </w:num>
  <w:num w:numId="208">
    <w:abstractNumId w:val="83"/>
  </w:num>
  <w:num w:numId="209">
    <w:abstractNumId w:val="220"/>
  </w:num>
  <w:num w:numId="210">
    <w:abstractNumId w:val="204"/>
  </w:num>
  <w:num w:numId="211">
    <w:abstractNumId w:val="82"/>
  </w:num>
  <w:num w:numId="212">
    <w:abstractNumId w:val="57"/>
  </w:num>
  <w:num w:numId="213">
    <w:abstractNumId w:val="13"/>
  </w:num>
  <w:num w:numId="214">
    <w:abstractNumId w:val="35"/>
  </w:num>
  <w:num w:numId="215">
    <w:abstractNumId w:val="58"/>
  </w:num>
  <w:num w:numId="216">
    <w:abstractNumId w:val="44"/>
  </w:num>
  <w:num w:numId="217">
    <w:abstractNumId w:val="152"/>
  </w:num>
  <w:num w:numId="218">
    <w:abstractNumId w:val="12"/>
  </w:num>
  <w:num w:numId="219">
    <w:abstractNumId w:val="192"/>
  </w:num>
  <w:num w:numId="220">
    <w:abstractNumId w:val="194"/>
  </w:num>
  <w:num w:numId="221">
    <w:abstractNumId w:val="178"/>
  </w:num>
  <w:num w:numId="222">
    <w:abstractNumId w:val="109"/>
  </w:num>
  <w:num w:numId="223">
    <w:abstractNumId w:val="224"/>
  </w:num>
  <w:num w:numId="224">
    <w:abstractNumId w:val="184"/>
  </w:num>
  <w:num w:numId="225">
    <w:abstractNumId w:val="43"/>
  </w:num>
  <w:num w:numId="226">
    <w:abstractNumId w:val="172"/>
  </w:num>
  <w:num w:numId="227">
    <w:abstractNumId w:val="183"/>
  </w:num>
  <w:num w:numId="228">
    <w:abstractNumId w:val="128"/>
  </w:num>
  <w:num w:numId="229">
    <w:abstractNumId w:val="21"/>
  </w:num>
  <w:num w:numId="230">
    <w:abstractNumId w:val="185"/>
  </w:num>
  <w:num w:numId="231">
    <w:abstractNumId w:val="193"/>
  </w:num>
  <w:num w:numId="232">
    <w:abstractNumId w:val="23"/>
  </w:num>
  <w:num w:numId="233">
    <w:abstractNumId w:val="211"/>
  </w:num>
  <w:num w:numId="234">
    <w:abstractNumId w:val="36"/>
  </w:num>
  <w:num w:numId="235">
    <w:abstractNumId w:val="206"/>
  </w:num>
  <w:num w:numId="236">
    <w:abstractNumId w:val="102"/>
  </w:num>
  <w:num w:numId="237">
    <w:abstractNumId w:val="51"/>
  </w:num>
  <w:num w:numId="238">
    <w:abstractNumId w:val="179"/>
  </w:num>
  <w:num w:numId="239">
    <w:abstractNumId w:val="61"/>
  </w:num>
  <w:num w:numId="240">
    <w:abstractNumId w:val="148"/>
  </w:num>
  <w:numIdMacAtCleanup w:val="2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8DA"/>
    <w:rsid w:val="0000026A"/>
    <w:rsid w:val="000002A7"/>
    <w:rsid w:val="000003AC"/>
    <w:rsid w:val="000005F9"/>
    <w:rsid w:val="0000073F"/>
    <w:rsid w:val="00000766"/>
    <w:rsid w:val="00000818"/>
    <w:rsid w:val="0000087A"/>
    <w:rsid w:val="000008F6"/>
    <w:rsid w:val="00000A20"/>
    <w:rsid w:val="00000AFF"/>
    <w:rsid w:val="00000B33"/>
    <w:rsid w:val="00000C99"/>
    <w:rsid w:val="00000DAB"/>
    <w:rsid w:val="00000E2D"/>
    <w:rsid w:val="00000F7D"/>
    <w:rsid w:val="00000F80"/>
    <w:rsid w:val="000010B4"/>
    <w:rsid w:val="00001132"/>
    <w:rsid w:val="000011B4"/>
    <w:rsid w:val="0000123E"/>
    <w:rsid w:val="0000124C"/>
    <w:rsid w:val="0000133F"/>
    <w:rsid w:val="00001347"/>
    <w:rsid w:val="0000137A"/>
    <w:rsid w:val="0000143D"/>
    <w:rsid w:val="000014D5"/>
    <w:rsid w:val="00001578"/>
    <w:rsid w:val="00001581"/>
    <w:rsid w:val="000015C6"/>
    <w:rsid w:val="00001627"/>
    <w:rsid w:val="000017A9"/>
    <w:rsid w:val="0000189D"/>
    <w:rsid w:val="00001989"/>
    <w:rsid w:val="00001A0B"/>
    <w:rsid w:val="00001AF9"/>
    <w:rsid w:val="00001C0C"/>
    <w:rsid w:val="00001C57"/>
    <w:rsid w:val="00001CC9"/>
    <w:rsid w:val="00001D60"/>
    <w:rsid w:val="00001E44"/>
    <w:rsid w:val="00001EA6"/>
    <w:rsid w:val="00001EF5"/>
    <w:rsid w:val="00001F0D"/>
    <w:rsid w:val="0000211B"/>
    <w:rsid w:val="0000217A"/>
    <w:rsid w:val="0000217F"/>
    <w:rsid w:val="0000226A"/>
    <w:rsid w:val="0000237F"/>
    <w:rsid w:val="00002455"/>
    <w:rsid w:val="00002489"/>
    <w:rsid w:val="000024D0"/>
    <w:rsid w:val="000026EA"/>
    <w:rsid w:val="0000298A"/>
    <w:rsid w:val="000029CC"/>
    <w:rsid w:val="00002A73"/>
    <w:rsid w:val="00002A7D"/>
    <w:rsid w:val="00002AA4"/>
    <w:rsid w:val="00002C50"/>
    <w:rsid w:val="00002D10"/>
    <w:rsid w:val="00002D5C"/>
    <w:rsid w:val="00002F3A"/>
    <w:rsid w:val="00002F8D"/>
    <w:rsid w:val="00002FFD"/>
    <w:rsid w:val="000031A8"/>
    <w:rsid w:val="000031EB"/>
    <w:rsid w:val="00003392"/>
    <w:rsid w:val="000034B1"/>
    <w:rsid w:val="0000354C"/>
    <w:rsid w:val="00003561"/>
    <w:rsid w:val="00003591"/>
    <w:rsid w:val="00003ACE"/>
    <w:rsid w:val="00003BC9"/>
    <w:rsid w:val="00003BCD"/>
    <w:rsid w:val="00003CEC"/>
    <w:rsid w:val="00004006"/>
    <w:rsid w:val="00004120"/>
    <w:rsid w:val="0000426E"/>
    <w:rsid w:val="000045FF"/>
    <w:rsid w:val="000046C4"/>
    <w:rsid w:val="000046D5"/>
    <w:rsid w:val="0000471C"/>
    <w:rsid w:val="00004741"/>
    <w:rsid w:val="00004855"/>
    <w:rsid w:val="00004885"/>
    <w:rsid w:val="00004A63"/>
    <w:rsid w:val="00004B6A"/>
    <w:rsid w:val="00004D34"/>
    <w:rsid w:val="00004D8A"/>
    <w:rsid w:val="00004DF9"/>
    <w:rsid w:val="00004F0E"/>
    <w:rsid w:val="00004FBA"/>
    <w:rsid w:val="00004FF2"/>
    <w:rsid w:val="0000505F"/>
    <w:rsid w:val="00005241"/>
    <w:rsid w:val="0000525D"/>
    <w:rsid w:val="000052A3"/>
    <w:rsid w:val="000055C5"/>
    <w:rsid w:val="00005719"/>
    <w:rsid w:val="00005B45"/>
    <w:rsid w:val="00005BDB"/>
    <w:rsid w:val="00005C0F"/>
    <w:rsid w:val="00005EBD"/>
    <w:rsid w:val="00005F9A"/>
    <w:rsid w:val="000060AF"/>
    <w:rsid w:val="00006112"/>
    <w:rsid w:val="000061FB"/>
    <w:rsid w:val="00006387"/>
    <w:rsid w:val="000063BD"/>
    <w:rsid w:val="000063C1"/>
    <w:rsid w:val="00006442"/>
    <w:rsid w:val="00006773"/>
    <w:rsid w:val="0000686F"/>
    <w:rsid w:val="000069C3"/>
    <w:rsid w:val="00006AFD"/>
    <w:rsid w:val="00006BE3"/>
    <w:rsid w:val="00006C3B"/>
    <w:rsid w:val="00006C7F"/>
    <w:rsid w:val="000073DB"/>
    <w:rsid w:val="0000744B"/>
    <w:rsid w:val="000074DA"/>
    <w:rsid w:val="0000758A"/>
    <w:rsid w:val="00007662"/>
    <w:rsid w:val="0000771A"/>
    <w:rsid w:val="0000790E"/>
    <w:rsid w:val="00007A03"/>
    <w:rsid w:val="00007ABA"/>
    <w:rsid w:val="00007BA4"/>
    <w:rsid w:val="00007BC7"/>
    <w:rsid w:val="00007D95"/>
    <w:rsid w:val="00007DB3"/>
    <w:rsid w:val="00007E00"/>
    <w:rsid w:val="00007E5A"/>
    <w:rsid w:val="00007EBB"/>
    <w:rsid w:val="00007F75"/>
    <w:rsid w:val="0001022E"/>
    <w:rsid w:val="00010289"/>
    <w:rsid w:val="00010479"/>
    <w:rsid w:val="00010510"/>
    <w:rsid w:val="000106A8"/>
    <w:rsid w:val="000106D2"/>
    <w:rsid w:val="000106FA"/>
    <w:rsid w:val="00010741"/>
    <w:rsid w:val="000107A5"/>
    <w:rsid w:val="000107AF"/>
    <w:rsid w:val="000107C7"/>
    <w:rsid w:val="00010856"/>
    <w:rsid w:val="00010954"/>
    <w:rsid w:val="00010B43"/>
    <w:rsid w:val="00010B71"/>
    <w:rsid w:val="00010C41"/>
    <w:rsid w:val="0001107E"/>
    <w:rsid w:val="000110C4"/>
    <w:rsid w:val="00011139"/>
    <w:rsid w:val="00011162"/>
    <w:rsid w:val="000111B6"/>
    <w:rsid w:val="00011246"/>
    <w:rsid w:val="000112D0"/>
    <w:rsid w:val="000112EF"/>
    <w:rsid w:val="00011324"/>
    <w:rsid w:val="00011395"/>
    <w:rsid w:val="00011437"/>
    <w:rsid w:val="00011467"/>
    <w:rsid w:val="00011E3C"/>
    <w:rsid w:val="00011F4F"/>
    <w:rsid w:val="00011FA0"/>
    <w:rsid w:val="00012042"/>
    <w:rsid w:val="0001221B"/>
    <w:rsid w:val="000122BB"/>
    <w:rsid w:val="00012460"/>
    <w:rsid w:val="00012490"/>
    <w:rsid w:val="0001258B"/>
    <w:rsid w:val="00012826"/>
    <w:rsid w:val="00012878"/>
    <w:rsid w:val="000128DB"/>
    <w:rsid w:val="00012A98"/>
    <w:rsid w:val="00012B75"/>
    <w:rsid w:val="00012D24"/>
    <w:rsid w:val="00012DAA"/>
    <w:rsid w:val="00012F75"/>
    <w:rsid w:val="00012FBD"/>
    <w:rsid w:val="00013045"/>
    <w:rsid w:val="00013092"/>
    <w:rsid w:val="0001309E"/>
    <w:rsid w:val="000130C0"/>
    <w:rsid w:val="000130F4"/>
    <w:rsid w:val="00013207"/>
    <w:rsid w:val="000134A5"/>
    <w:rsid w:val="00013632"/>
    <w:rsid w:val="000136E5"/>
    <w:rsid w:val="0001380D"/>
    <w:rsid w:val="00013866"/>
    <w:rsid w:val="00013897"/>
    <w:rsid w:val="00013B72"/>
    <w:rsid w:val="00013B8C"/>
    <w:rsid w:val="00013C0E"/>
    <w:rsid w:val="00013D6B"/>
    <w:rsid w:val="00013E6B"/>
    <w:rsid w:val="00013ED1"/>
    <w:rsid w:val="00013FBA"/>
    <w:rsid w:val="000141D5"/>
    <w:rsid w:val="0001422C"/>
    <w:rsid w:val="00014231"/>
    <w:rsid w:val="00014266"/>
    <w:rsid w:val="00014280"/>
    <w:rsid w:val="0001428A"/>
    <w:rsid w:val="0001428B"/>
    <w:rsid w:val="00014330"/>
    <w:rsid w:val="000144FB"/>
    <w:rsid w:val="0001450C"/>
    <w:rsid w:val="0001459C"/>
    <w:rsid w:val="000145C1"/>
    <w:rsid w:val="0001465C"/>
    <w:rsid w:val="000146AA"/>
    <w:rsid w:val="00014810"/>
    <w:rsid w:val="00014822"/>
    <w:rsid w:val="00014D16"/>
    <w:rsid w:val="00014D2A"/>
    <w:rsid w:val="00014D75"/>
    <w:rsid w:val="00014D8C"/>
    <w:rsid w:val="00014EC6"/>
    <w:rsid w:val="00014F48"/>
    <w:rsid w:val="00014FDD"/>
    <w:rsid w:val="000150DB"/>
    <w:rsid w:val="00015124"/>
    <w:rsid w:val="000153EA"/>
    <w:rsid w:val="000153F0"/>
    <w:rsid w:val="0001549D"/>
    <w:rsid w:val="0001555C"/>
    <w:rsid w:val="000157D3"/>
    <w:rsid w:val="000157F6"/>
    <w:rsid w:val="00015A32"/>
    <w:rsid w:val="00015A5B"/>
    <w:rsid w:val="00015AB8"/>
    <w:rsid w:val="00015B01"/>
    <w:rsid w:val="00015B82"/>
    <w:rsid w:val="00015BA9"/>
    <w:rsid w:val="00015CF9"/>
    <w:rsid w:val="00016030"/>
    <w:rsid w:val="0001607B"/>
    <w:rsid w:val="000162A9"/>
    <w:rsid w:val="0001633D"/>
    <w:rsid w:val="000163EC"/>
    <w:rsid w:val="000165A1"/>
    <w:rsid w:val="000165AA"/>
    <w:rsid w:val="000168CB"/>
    <w:rsid w:val="000168D0"/>
    <w:rsid w:val="000169B8"/>
    <w:rsid w:val="00016A22"/>
    <w:rsid w:val="00016D38"/>
    <w:rsid w:val="00016D58"/>
    <w:rsid w:val="00016DBE"/>
    <w:rsid w:val="00016E89"/>
    <w:rsid w:val="00016FC5"/>
    <w:rsid w:val="000170E9"/>
    <w:rsid w:val="000173A0"/>
    <w:rsid w:val="000174C6"/>
    <w:rsid w:val="0001759E"/>
    <w:rsid w:val="000176FC"/>
    <w:rsid w:val="0001792B"/>
    <w:rsid w:val="00017D3F"/>
    <w:rsid w:val="00017D66"/>
    <w:rsid w:val="00017F3C"/>
    <w:rsid w:val="00017FB9"/>
    <w:rsid w:val="00020342"/>
    <w:rsid w:val="000204DB"/>
    <w:rsid w:val="00020550"/>
    <w:rsid w:val="000205D0"/>
    <w:rsid w:val="00020753"/>
    <w:rsid w:val="00020783"/>
    <w:rsid w:val="000208A2"/>
    <w:rsid w:val="00020963"/>
    <w:rsid w:val="00020AEA"/>
    <w:rsid w:val="00020B7A"/>
    <w:rsid w:val="00020BC3"/>
    <w:rsid w:val="00020CAD"/>
    <w:rsid w:val="00020DBA"/>
    <w:rsid w:val="00020F49"/>
    <w:rsid w:val="00021189"/>
    <w:rsid w:val="000211DB"/>
    <w:rsid w:val="00021211"/>
    <w:rsid w:val="0002123A"/>
    <w:rsid w:val="00021338"/>
    <w:rsid w:val="000213D9"/>
    <w:rsid w:val="000213F3"/>
    <w:rsid w:val="00021506"/>
    <w:rsid w:val="000216C9"/>
    <w:rsid w:val="00021879"/>
    <w:rsid w:val="000219B3"/>
    <w:rsid w:val="000219C8"/>
    <w:rsid w:val="00021A13"/>
    <w:rsid w:val="00021A81"/>
    <w:rsid w:val="00021A92"/>
    <w:rsid w:val="00021BA0"/>
    <w:rsid w:val="00021BB0"/>
    <w:rsid w:val="00021BBB"/>
    <w:rsid w:val="00021C6C"/>
    <w:rsid w:val="00021CB1"/>
    <w:rsid w:val="00021DCF"/>
    <w:rsid w:val="00021E6F"/>
    <w:rsid w:val="000220EC"/>
    <w:rsid w:val="0002215B"/>
    <w:rsid w:val="000221CE"/>
    <w:rsid w:val="00022236"/>
    <w:rsid w:val="000222F6"/>
    <w:rsid w:val="00022550"/>
    <w:rsid w:val="00022600"/>
    <w:rsid w:val="0002275E"/>
    <w:rsid w:val="000227DD"/>
    <w:rsid w:val="00022848"/>
    <w:rsid w:val="00022B20"/>
    <w:rsid w:val="00022B59"/>
    <w:rsid w:val="00022BC9"/>
    <w:rsid w:val="00022D20"/>
    <w:rsid w:val="00022D3B"/>
    <w:rsid w:val="00022D9E"/>
    <w:rsid w:val="00022E05"/>
    <w:rsid w:val="00022E2A"/>
    <w:rsid w:val="00022E58"/>
    <w:rsid w:val="00022F18"/>
    <w:rsid w:val="000230C8"/>
    <w:rsid w:val="00023102"/>
    <w:rsid w:val="00023397"/>
    <w:rsid w:val="00023500"/>
    <w:rsid w:val="00023603"/>
    <w:rsid w:val="000236D7"/>
    <w:rsid w:val="0002380E"/>
    <w:rsid w:val="000238F6"/>
    <w:rsid w:val="000239AB"/>
    <w:rsid w:val="00023A51"/>
    <w:rsid w:val="00023AC8"/>
    <w:rsid w:val="00023DA1"/>
    <w:rsid w:val="00023F40"/>
    <w:rsid w:val="00023F64"/>
    <w:rsid w:val="00024007"/>
    <w:rsid w:val="0002401B"/>
    <w:rsid w:val="0002407D"/>
    <w:rsid w:val="00024178"/>
    <w:rsid w:val="00024221"/>
    <w:rsid w:val="0002423B"/>
    <w:rsid w:val="0002425A"/>
    <w:rsid w:val="00024265"/>
    <w:rsid w:val="000244C5"/>
    <w:rsid w:val="0002492B"/>
    <w:rsid w:val="00024AE5"/>
    <w:rsid w:val="00024CA4"/>
    <w:rsid w:val="00024CAB"/>
    <w:rsid w:val="00024D41"/>
    <w:rsid w:val="00024E2C"/>
    <w:rsid w:val="00024E93"/>
    <w:rsid w:val="0002501B"/>
    <w:rsid w:val="000250C5"/>
    <w:rsid w:val="00025180"/>
    <w:rsid w:val="00025243"/>
    <w:rsid w:val="00025251"/>
    <w:rsid w:val="000252A3"/>
    <w:rsid w:val="00025365"/>
    <w:rsid w:val="00025520"/>
    <w:rsid w:val="00025599"/>
    <w:rsid w:val="000256CF"/>
    <w:rsid w:val="0002590D"/>
    <w:rsid w:val="00025B37"/>
    <w:rsid w:val="00025BB0"/>
    <w:rsid w:val="00025DCE"/>
    <w:rsid w:val="00025FBF"/>
    <w:rsid w:val="0002624B"/>
    <w:rsid w:val="0002631E"/>
    <w:rsid w:val="00026452"/>
    <w:rsid w:val="000264E5"/>
    <w:rsid w:val="000264F3"/>
    <w:rsid w:val="00026594"/>
    <w:rsid w:val="000265A5"/>
    <w:rsid w:val="000265B5"/>
    <w:rsid w:val="000265DA"/>
    <w:rsid w:val="00026701"/>
    <w:rsid w:val="00026728"/>
    <w:rsid w:val="000267E3"/>
    <w:rsid w:val="000267FB"/>
    <w:rsid w:val="00026841"/>
    <w:rsid w:val="00026BB8"/>
    <w:rsid w:val="00026C58"/>
    <w:rsid w:val="00026C6A"/>
    <w:rsid w:val="00026D94"/>
    <w:rsid w:val="00026DA9"/>
    <w:rsid w:val="00026E32"/>
    <w:rsid w:val="00026FEA"/>
    <w:rsid w:val="00027045"/>
    <w:rsid w:val="00027204"/>
    <w:rsid w:val="00027298"/>
    <w:rsid w:val="0002736E"/>
    <w:rsid w:val="0002739A"/>
    <w:rsid w:val="000275CB"/>
    <w:rsid w:val="0002762F"/>
    <w:rsid w:val="00027632"/>
    <w:rsid w:val="00027788"/>
    <w:rsid w:val="000277D7"/>
    <w:rsid w:val="0002799B"/>
    <w:rsid w:val="00027CA7"/>
    <w:rsid w:val="00027CAE"/>
    <w:rsid w:val="00027CC0"/>
    <w:rsid w:val="00027D0D"/>
    <w:rsid w:val="00027ECE"/>
    <w:rsid w:val="00027F2D"/>
    <w:rsid w:val="00030169"/>
    <w:rsid w:val="0003017A"/>
    <w:rsid w:val="0003020A"/>
    <w:rsid w:val="00030422"/>
    <w:rsid w:val="0003048F"/>
    <w:rsid w:val="00030654"/>
    <w:rsid w:val="00030671"/>
    <w:rsid w:val="000306CC"/>
    <w:rsid w:val="00030776"/>
    <w:rsid w:val="0003078B"/>
    <w:rsid w:val="0003090F"/>
    <w:rsid w:val="00030A03"/>
    <w:rsid w:val="00030B67"/>
    <w:rsid w:val="00030C03"/>
    <w:rsid w:val="00030C7E"/>
    <w:rsid w:val="00030E59"/>
    <w:rsid w:val="00030F95"/>
    <w:rsid w:val="00030FE9"/>
    <w:rsid w:val="00031122"/>
    <w:rsid w:val="0003115A"/>
    <w:rsid w:val="00031589"/>
    <w:rsid w:val="00031621"/>
    <w:rsid w:val="000316DB"/>
    <w:rsid w:val="000318BF"/>
    <w:rsid w:val="000318E0"/>
    <w:rsid w:val="00031940"/>
    <w:rsid w:val="00031CCD"/>
    <w:rsid w:val="00031D08"/>
    <w:rsid w:val="00031D4D"/>
    <w:rsid w:val="00031D83"/>
    <w:rsid w:val="00031F7B"/>
    <w:rsid w:val="00031FDF"/>
    <w:rsid w:val="00032084"/>
    <w:rsid w:val="00032090"/>
    <w:rsid w:val="000320AD"/>
    <w:rsid w:val="000321F2"/>
    <w:rsid w:val="00032248"/>
    <w:rsid w:val="0003230D"/>
    <w:rsid w:val="00032354"/>
    <w:rsid w:val="000323E9"/>
    <w:rsid w:val="000324F9"/>
    <w:rsid w:val="000325B2"/>
    <w:rsid w:val="00032911"/>
    <w:rsid w:val="00032A55"/>
    <w:rsid w:val="00032A97"/>
    <w:rsid w:val="00032AA9"/>
    <w:rsid w:val="00032AD8"/>
    <w:rsid w:val="00032D49"/>
    <w:rsid w:val="00032D66"/>
    <w:rsid w:val="00032D77"/>
    <w:rsid w:val="00032F85"/>
    <w:rsid w:val="00033055"/>
    <w:rsid w:val="000331E9"/>
    <w:rsid w:val="00033333"/>
    <w:rsid w:val="00033565"/>
    <w:rsid w:val="00033595"/>
    <w:rsid w:val="000335B8"/>
    <w:rsid w:val="000336DE"/>
    <w:rsid w:val="000337C9"/>
    <w:rsid w:val="00033986"/>
    <w:rsid w:val="00033D39"/>
    <w:rsid w:val="00033D68"/>
    <w:rsid w:val="00033DE4"/>
    <w:rsid w:val="00033DE8"/>
    <w:rsid w:val="00033E1C"/>
    <w:rsid w:val="00033F48"/>
    <w:rsid w:val="00033F7D"/>
    <w:rsid w:val="00033FBF"/>
    <w:rsid w:val="000340BC"/>
    <w:rsid w:val="0003417E"/>
    <w:rsid w:val="000341B4"/>
    <w:rsid w:val="0003431E"/>
    <w:rsid w:val="0003434C"/>
    <w:rsid w:val="000343BD"/>
    <w:rsid w:val="000344AF"/>
    <w:rsid w:val="00034575"/>
    <w:rsid w:val="0003481F"/>
    <w:rsid w:val="00034A69"/>
    <w:rsid w:val="00034AF7"/>
    <w:rsid w:val="00034B93"/>
    <w:rsid w:val="00034CD7"/>
    <w:rsid w:val="00034D90"/>
    <w:rsid w:val="00034E66"/>
    <w:rsid w:val="00034EA9"/>
    <w:rsid w:val="000350BB"/>
    <w:rsid w:val="0003518A"/>
    <w:rsid w:val="0003525D"/>
    <w:rsid w:val="000352FB"/>
    <w:rsid w:val="0003548C"/>
    <w:rsid w:val="000356FC"/>
    <w:rsid w:val="00035A6E"/>
    <w:rsid w:val="00035A95"/>
    <w:rsid w:val="00035AE5"/>
    <w:rsid w:val="00035B2E"/>
    <w:rsid w:val="00035BBF"/>
    <w:rsid w:val="00035D5A"/>
    <w:rsid w:val="00035EA5"/>
    <w:rsid w:val="00035F1E"/>
    <w:rsid w:val="00035F53"/>
    <w:rsid w:val="00036067"/>
    <w:rsid w:val="00036069"/>
    <w:rsid w:val="00036405"/>
    <w:rsid w:val="000365DA"/>
    <w:rsid w:val="00036626"/>
    <w:rsid w:val="00036711"/>
    <w:rsid w:val="000367CC"/>
    <w:rsid w:val="00036CE2"/>
    <w:rsid w:val="00036E49"/>
    <w:rsid w:val="00036E94"/>
    <w:rsid w:val="00036FAF"/>
    <w:rsid w:val="00036FBA"/>
    <w:rsid w:val="00036FC4"/>
    <w:rsid w:val="0003706E"/>
    <w:rsid w:val="00037091"/>
    <w:rsid w:val="00037153"/>
    <w:rsid w:val="000371C7"/>
    <w:rsid w:val="0003735A"/>
    <w:rsid w:val="00037395"/>
    <w:rsid w:val="00037409"/>
    <w:rsid w:val="00037571"/>
    <w:rsid w:val="00037A1E"/>
    <w:rsid w:val="00037B52"/>
    <w:rsid w:val="00037BAA"/>
    <w:rsid w:val="00037C3F"/>
    <w:rsid w:val="00037F41"/>
    <w:rsid w:val="0004006F"/>
    <w:rsid w:val="0004015B"/>
    <w:rsid w:val="00040183"/>
    <w:rsid w:val="00040437"/>
    <w:rsid w:val="0004067B"/>
    <w:rsid w:val="0004068C"/>
    <w:rsid w:val="000408BE"/>
    <w:rsid w:val="00040A90"/>
    <w:rsid w:val="00040ADD"/>
    <w:rsid w:val="00040D2E"/>
    <w:rsid w:val="00040D62"/>
    <w:rsid w:val="00040DC6"/>
    <w:rsid w:val="0004104F"/>
    <w:rsid w:val="00041069"/>
    <w:rsid w:val="000410E4"/>
    <w:rsid w:val="00041196"/>
    <w:rsid w:val="000411C5"/>
    <w:rsid w:val="000412AA"/>
    <w:rsid w:val="000414F2"/>
    <w:rsid w:val="000415E4"/>
    <w:rsid w:val="00041625"/>
    <w:rsid w:val="0004168C"/>
    <w:rsid w:val="0004171D"/>
    <w:rsid w:val="0004176F"/>
    <w:rsid w:val="000418BA"/>
    <w:rsid w:val="00041B55"/>
    <w:rsid w:val="00041BC3"/>
    <w:rsid w:val="00041BC8"/>
    <w:rsid w:val="00041C7E"/>
    <w:rsid w:val="00041F4B"/>
    <w:rsid w:val="00041F56"/>
    <w:rsid w:val="00042034"/>
    <w:rsid w:val="00042058"/>
    <w:rsid w:val="0004210F"/>
    <w:rsid w:val="00042266"/>
    <w:rsid w:val="000423FE"/>
    <w:rsid w:val="00042673"/>
    <w:rsid w:val="000426CB"/>
    <w:rsid w:val="00042881"/>
    <w:rsid w:val="00042898"/>
    <w:rsid w:val="00042934"/>
    <w:rsid w:val="00042A77"/>
    <w:rsid w:val="00042B0C"/>
    <w:rsid w:val="00042B51"/>
    <w:rsid w:val="00042B53"/>
    <w:rsid w:val="00042BE3"/>
    <w:rsid w:val="00042CF4"/>
    <w:rsid w:val="00042DD2"/>
    <w:rsid w:val="00042E32"/>
    <w:rsid w:val="000433C7"/>
    <w:rsid w:val="000433DB"/>
    <w:rsid w:val="000434B6"/>
    <w:rsid w:val="0004354E"/>
    <w:rsid w:val="0004359D"/>
    <w:rsid w:val="000435A3"/>
    <w:rsid w:val="00043663"/>
    <w:rsid w:val="000436C6"/>
    <w:rsid w:val="000437BD"/>
    <w:rsid w:val="00043B78"/>
    <w:rsid w:val="00043CFC"/>
    <w:rsid w:val="00043EC9"/>
    <w:rsid w:val="00044087"/>
    <w:rsid w:val="0004417E"/>
    <w:rsid w:val="0004424A"/>
    <w:rsid w:val="000443AC"/>
    <w:rsid w:val="000446C1"/>
    <w:rsid w:val="00044B20"/>
    <w:rsid w:val="00044B46"/>
    <w:rsid w:val="00044B5E"/>
    <w:rsid w:val="00044DAE"/>
    <w:rsid w:val="00044E03"/>
    <w:rsid w:val="00044FF8"/>
    <w:rsid w:val="00045180"/>
    <w:rsid w:val="000451DF"/>
    <w:rsid w:val="00045268"/>
    <w:rsid w:val="00045271"/>
    <w:rsid w:val="00045354"/>
    <w:rsid w:val="000453AD"/>
    <w:rsid w:val="000455C4"/>
    <w:rsid w:val="000456BB"/>
    <w:rsid w:val="00045717"/>
    <w:rsid w:val="00045839"/>
    <w:rsid w:val="00045908"/>
    <w:rsid w:val="00045AD7"/>
    <w:rsid w:val="00045BA8"/>
    <w:rsid w:val="00045D4B"/>
    <w:rsid w:val="00046226"/>
    <w:rsid w:val="00046228"/>
    <w:rsid w:val="00046266"/>
    <w:rsid w:val="00046496"/>
    <w:rsid w:val="00046623"/>
    <w:rsid w:val="000466DB"/>
    <w:rsid w:val="00046749"/>
    <w:rsid w:val="000468BD"/>
    <w:rsid w:val="000468D2"/>
    <w:rsid w:val="00046917"/>
    <w:rsid w:val="00046956"/>
    <w:rsid w:val="00046985"/>
    <w:rsid w:val="000469AC"/>
    <w:rsid w:val="000469B2"/>
    <w:rsid w:val="000469EA"/>
    <w:rsid w:val="00046A4B"/>
    <w:rsid w:val="00046A88"/>
    <w:rsid w:val="00046DED"/>
    <w:rsid w:val="00046F34"/>
    <w:rsid w:val="000470E2"/>
    <w:rsid w:val="00047180"/>
    <w:rsid w:val="000471AE"/>
    <w:rsid w:val="00047323"/>
    <w:rsid w:val="0004732F"/>
    <w:rsid w:val="00047342"/>
    <w:rsid w:val="000473AE"/>
    <w:rsid w:val="00047425"/>
    <w:rsid w:val="00047475"/>
    <w:rsid w:val="00047891"/>
    <w:rsid w:val="000478A5"/>
    <w:rsid w:val="000478E9"/>
    <w:rsid w:val="00047A8B"/>
    <w:rsid w:val="00047BBA"/>
    <w:rsid w:val="00047CC2"/>
    <w:rsid w:val="00047DE8"/>
    <w:rsid w:val="0004FFE0"/>
    <w:rsid w:val="00050056"/>
    <w:rsid w:val="0005010E"/>
    <w:rsid w:val="0005017C"/>
    <w:rsid w:val="00050332"/>
    <w:rsid w:val="00050384"/>
    <w:rsid w:val="000505DF"/>
    <w:rsid w:val="000507B0"/>
    <w:rsid w:val="00050896"/>
    <w:rsid w:val="0005091D"/>
    <w:rsid w:val="0005098C"/>
    <w:rsid w:val="00050B25"/>
    <w:rsid w:val="00050C26"/>
    <w:rsid w:val="0005100D"/>
    <w:rsid w:val="000510FA"/>
    <w:rsid w:val="000511B1"/>
    <w:rsid w:val="00051250"/>
    <w:rsid w:val="00051465"/>
    <w:rsid w:val="00051592"/>
    <w:rsid w:val="000516BB"/>
    <w:rsid w:val="000516C7"/>
    <w:rsid w:val="00051898"/>
    <w:rsid w:val="000519C0"/>
    <w:rsid w:val="00051A03"/>
    <w:rsid w:val="00051AF6"/>
    <w:rsid w:val="00051BB6"/>
    <w:rsid w:val="00051BEA"/>
    <w:rsid w:val="00051CBA"/>
    <w:rsid w:val="00051E09"/>
    <w:rsid w:val="00051E6C"/>
    <w:rsid w:val="00051E9C"/>
    <w:rsid w:val="00051F50"/>
    <w:rsid w:val="00052003"/>
    <w:rsid w:val="00052061"/>
    <w:rsid w:val="00052115"/>
    <w:rsid w:val="00052153"/>
    <w:rsid w:val="0005226E"/>
    <w:rsid w:val="00052275"/>
    <w:rsid w:val="000523BA"/>
    <w:rsid w:val="000524EC"/>
    <w:rsid w:val="000524FE"/>
    <w:rsid w:val="00052556"/>
    <w:rsid w:val="000525B1"/>
    <w:rsid w:val="00052657"/>
    <w:rsid w:val="0005265B"/>
    <w:rsid w:val="0005266E"/>
    <w:rsid w:val="00052A34"/>
    <w:rsid w:val="00052B50"/>
    <w:rsid w:val="00052BC8"/>
    <w:rsid w:val="00052FB4"/>
    <w:rsid w:val="0005303B"/>
    <w:rsid w:val="0005312B"/>
    <w:rsid w:val="00053173"/>
    <w:rsid w:val="000531D0"/>
    <w:rsid w:val="0005322F"/>
    <w:rsid w:val="00053288"/>
    <w:rsid w:val="000532FB"/>
    <w:rsid w:val="00053392"/>
    <w:rsid w:val="000538CE"/>
    <w:rsid w:val="000538FD"/>
    <w:rsid w:val="00053B18"/>
    <w:rsid w:val="00053BFA"/>
    <w:rsid w:val="00053FEF"/>
    <w:rsid w:val="0005405B"/>
    <w:rsid w:val="0005413D"/>
    <w:rsid w:val="000545FE"/>
    <w:rsid w:val="0005479B"/>
    <w:rsid w:val="0005492E"/>
    <w:rsid w:val="00054A53"/>
    <w:rsid w:val="00054BA7"/>
    <w:rsid w:val="00054BBC"/>
    <w:rsid w:val="00054C86"/>
    <w:rsid w:val="00054CEF"/>
    <w:rsid w:val="00054D94"/>
    <w:rsid w:val="00054DB6"/>
    <w:rsid w:val="00054E01"/>
    <w:rsid w:val="00054FC7"/>
    <w:rsid w:val="00055125"/>
    <w:rsid w:val="000552EC"/>
    <w:rsid w:val="00055301"/>
    <w:rsid w:val="0005552D"/>
    <w:rsid w:val="00055645"/>
    <w:rsid w:val="000556BF"/>
    <w:rsid w:val="000557C5"/>
    <w:rsid w:val="000558C3"/>
    <w:rsid w:val="000559B6"/>
    <w:rsid w:val="00055A84"/>
    <w:rsid w:val="00055AAB"/>
    <w:rsid w:val="00055B14"/>
    <w:rsid w:val="00055C6F"/>
    <w:rsid w:val="00055E4E"/>
    <w:rsid w:val="00055E98"/>
    <w:rsid w:val="00055F0A"/>
    <w:rsid w:val="000560B6"/>
    <w:rsid w:val="0005617A"/>
    <w:rsid w:val="00056225"/>
    <w:rsid w:val="000562DD"/>
    <w:rsid w:val="00056339"/>
    <w:rsid w:val="00056548"/>
    <w:rsid w:val="00056678"/>
    <w:rsid w:val="000566A2"/>
    <w:rsid w:val="0005674C"/>
    <w:rsid w:val="000567B3"/>
    <w:rsid w:val="0005689A"/>
    <w:rsid w:val="000569A1"/>
    <w:rsid w:val="00056B07"/>
    <w:rsid w:val="00056B0D"/>
    <w:rsid w:val="00056C39"/>
    <w:rsid w:val="00056C73"/>
    <w:rsid w:val="00056C7C"/>
    <w:rsid w:val="00056CAC"/>
    <w:rsid w:val="00057020"/>
    <w:rsid w:val="0005702D"/>
    <w:rsid w:val="00057244"/>
    <w:rsid w:val="000573D8"/>
    <w:rsid w:val="00057592"/>
    <w:rsid w:val="000575A7"/>
    <w:rsid w:val="0005776C"/>
    <w:rsid w:val="00057874"/>
    <w:rsid w:val="000578F9"/>
    <w:rsid w:val="00057A9C"/>
    <w:rsid w:val="00057BAC"/>
    <w:rsid w:val="00057DF3"/>
    <w:rsid w:val="00057F8D"/>
    <w:rsid w:val="00060080"/>
    <w:rsid w:val="00060117"/>
    <w:rsid w:val="000601BE"/>
    <w:rsid w:val="00060226"/>
    <w:rsid w:val="0006057F"/>
    <w:rsid w:val="00060B99"/>
    <w:rsid w:val="00060D15"/>
    <w:rsid w:val="00060D20"/>
    <w:rsid w:val="00060E0C"/>
    <w:rsid w:val="00060E4C"/>
    <w:rsid w:val="00060EA8"/>
    <w:rsid w:val="000612C3"/>
    <w:rsid w:val="00061475"/>
    <w:rsid w:val="000614CC"/>
    <w:rsid w:val="000615FE"/>
    <w:rsid w:val="00061843"/>
    <w:rsid w:val="000618B2"/>
    <w:rsid w:val="00061A45"/>
    <w:rsid w:val="00061A61"/>
    <w:rsid w:val="00061A8C"/>
    <w:rsid w:val="00061ADB"/>
    <w:rsid w:val="00061C07"/>
    <w:rsid w:val="00061CD8"/>
    <w:rsid w:val="00061E71"/>
    <w:rsid w:val="00061F90"/>
    <w:rsid w:val="00062002"/>
    <w:rsid w:val="0006204A"/>
    <w:rsid w:val="00062214"/>
    <w:rsid w:val="000624D0"/>
    <w:rsid w:val="000624D3"/>
    <w:rsid w:val="00062571"/>
    <w:rsid w:val="000625AB"/>
    <w:rsid w:val="00062703"/>
    <w:rsid w:val="00062717"/>
    <w:rsid w:val="00062723"/>
    <w:rsid w:val="000627B6"/>
    <w:rsid w:val="0006280F"/>
    <w:rsid w:val="00062BB8"/>
    <w:rsid w:val="00062CAF"/>
    <w:rsid w:val="00062E6D"/>
    <w:rsid w:val="00062EA1"/>
    <w:rsid w:val="0006305A"/>
    <w:rsid w:val="000632BE"/>
    <w:rsid w:val="000632F5"/>
    <w:rsid w:val="0006358C"/>
    <w:rsid w:val="000638CF"/>
    <w:rsid w:val="000639BC"/>
    <w:rsid w:val="00063A1D"/>
    <w:rsid w:val="00063A28"/>
    <w:rsid w:val="00063B3C"/>
    <w:rsid w:val="00063C44"/>
    <w:rsid w:val="00063D01"/>
    <w:rsid w:val="00063D42"/>
    <w:rsid w:val="00063D51"/>
    <w:rsid w:val="00063DD7"/>
    <w:rsid w:val="00063F0A"/>
    <w:rsid w:val="00063F7C"/>
    <w:rsid w:val="00063FA2"/>
    <w:rsid w:val="00064012"/>
    <w:rsid w:val="00064184"/>
    <w:rsid w:val="0006425D"/>
    <w:rsid w:val="00064417"/>
    <w:rsid w:val="000644C4"/>
    <w:rsid w:val="00064777"/>
    <w:rsid w:val="0006494E"/>
    <w:rsid w:val="00064A58"/>
    <w:rsid w:val="00064D45"/>
    <w:rsid w:val="00064D54"/>
    <w:rsid w:val="00064F3E"/>
    <w:rsid w:val="0006511C"/>
    <w:rsid w:val="00065211"/>
    <w:rsid w:val="000652F1"/>
    <w:rsid w:val="00065363"/>
    <w:rsid w:val="000655B1"/>
    <w:rsid w:val="000655BB"/>
    <w:rsid w:val="000656B4"/>
    <w:rsid w:val="0006577C"/>
    <w:rsid w:val="000658CD"/>
    <w:rsid w:val="00065B26"/>
    <w:rsid w:val="00065EB1"/>
    <w:rsid w:val="00065EBD"/>
    <w:rsid w:val="00065F85"/>
    <w:rsid w:val="00066075"/>
    <w:rsid w:val="00066152"/>
    <w:rsid w:val="000661DA"/>
    <w:rsid w:val="00066228"/>
    <w:rsid w:val="00066353"/>
    <w:rsid w:val="00066380"/>
    <w:rsid w:val="00066524"/>
    <w:rsid w:val="00066525"/>
    <w:rsid w:val="00066541"/>
    <w:rsid w:val="000665B4"/>
    <w:rsid w:val="000666CB"/>
    <w:rsid w:val="00066883"/>
    <w:rsid w:val="000668C8"/>
    <w:rsid w:val="00066B0F"/>
    <w:rsid w:val="00066E19"/>
    <w:rsid w:val="00066E5F"/>
    <w:rsid w:val="00066E60"/>
    <w:rsid w:val="00066E8D"/>
    <w:rsid w:val="00066F02"/>
    <w:rsid w:val="00066FFD"/>
    <w:rsid w:val="00067044"/>
    <w:rsid w:val="00067102"/>
    <w:rsid w:val="00067171"/>
    <w:rsid w:val="00067221"/>
    <w:rsid w:val="000673DB"/>
    <w:rsid w:val="00067506"/>
    <w:rsid w:val="00067621"/>
    <w:rsid w:val="000678AB"/>
    <w:rsid w:val="000679E9"/>
    <w:rsid w:val="00067AC5"/>
    <w:rsid w:val="00067D31"/>
    <w:rsid w:val="00067DA6"/>
    <w:rsid w:val="00067E55"/>
    <w:rsid w:val="00067E89"/>
    <w:rsid w:val="00069CAC"/>
    <w:rsid w:val="00070005"/>
    <w:rsid w:val="000700F0"/>
    <w:rsid w:val="000702C1"/>
    <w:rsid w:val="00070482"/>
    <w:rsid w:val="0007070B"/>
    <w:rsid w:val="0007079F"/>
    <w:rsid w:val="000708DC"/>
    <w:rsid w:val="00070A3F"/>
    <w:rsid w:val="00070B13"/>
    <w:rsid w:val="00070D36"/>
    <w:rsid w:val="00070E45"/>
    <w:rsid w:val="00070E91"/>
    <w:rsid w:val="00070F3B"/>
    <w:rsid w:val="00070F5E"/>
    <w:rsid w:val="00070FAF"/>
    <w:rsid w:val="000711C5"/>
    <w:rsid w:val="00071272"/>
    <w:rsid w:val="00071378"/>
    <w:rsid w:val="0007137B"/>
    <w:rsid w:val="00071382"/>
    <w:rsid w:val="00071485"/>
    <w:rsid w:val="000717EE"/>
    <w:rsid w:val="00071918"/>
    <w:rsid w:val="00071A06"/>
    <w:rsid w:val="00071A4D"/>
    <w:rsid w:val="00071A75"/>
    <w:rsid w:val="00071B21"/>
    <w:rsid w:val="00071DDA"/>
    <w:rsid w:val="00071E07"/>
    <w:rsid w:val="00071FA1"/>
    <w:rsid w:val="0007207D"/>
    <w:rsid w:val="000720A6"/>
    <w:rsid w:val="000721E6"/>
    <w:rsid w:val="0007226E"/>
    <w:rsid w:val="000722E1"/>
    <w:rsid w:val="00072323"/>
    <w:rsid w:val="0007250C"/>
    <w:rsid w:val="0007251C"/>
    <w:rsid w:val="00072792"/>
    <w:rsid w:val="00072A49"/>
    <w:rsid w:val="00072AAC"/>
    <w:rsid w:val="00072C91"/>
    <w:rsid w:val="00072C9D"/>
    <w:rsid w:val="00072E11"/>
    <w:rsid w:val="00072E67"/>
    <w:rsid w:val="00072E79"/>
    <w:rsid w:val="00072F3D"/>
    <w:rsid w:val="00072F4B"/>
    <w:rsid w:val="00073016"/>
    <w:rsid w:val="00073192"/>
    <w:rsid w:val="000731B4"/>
    <w:rsid w:val="0007321C"/>
    <w:rsid w:val="00073444"/>
    <w:rsid w:val="000734B1"/>
    <w:rsid w:val="000738E6"/>
    <w:rsid w:val="0007397E"/>
    <w:rsid w:val="00073C5B"/>
    <w:rsid w:val="00073D41"/>
    <w:rsid w:val="0007413A"/>
    <w:rsid w:val="000741AB"/>
    <w:rsid w:val="00074241"/>
    <w:rsid w:val="0007426C"/>
    <w:rsid w:val="00074279"/>
    <w:rsid w:val="000742DC"/>
    <w:rsid w:val="0007438D"/>
    <w:rsid w:val="000745DB"/>
    <w:rsid w:val="00074676"/>
    <w:rsid w:val="00074702"/>
    <w:rsid w:val="000747EF"/>
    <w:rsid w:val="000748BC"/>
    <w:rsid w:val="00074A2F"/>
    <w:rsid w:val="00074B2C"/>
    <w:rsid w:val="00074D19"/>
    <w:rsid w:val="00075018"/>
    <w:rsid w:val="00075085"/>
    <w:rsid w:val="000750CA"/>
    <w:rsid w:val="000750FA"/>
    <w:rsid w:val="000751CA"/>
    <w:rsid w:val="0007533C"/>
    <w:rsid w:val="000753B6"/>
    <w:rsid w:val="0007542D"/>
    <w:rsid w:val="00075550"/>
    <w:rsid w:val="00075574"/>
    <w:rsid w:val="000755AE"/>
    <w:rsid w:val="000756F3"/>
    <w:rsid w:val="00075912"/>
    <w:rsid w:val="0007592E"/>
    <w:rsid w:val="00075A2C"/>
    <w:rsid w:val="00075C65"/>
    <w:rsid w:val="00075D90"/>
    <w:rsid w:val="00075EEA"/>
    <w:rsid w:val="00076338"/>
    <w:rsid w:val="0007647E"/>
    <w:rsid w:val="0007677D"/>
    <w:rsid w:val="00076812"/>
    <w:rsid w:val="000768F3"/>
    <w:rsid w:val="000769AF"/>
    <w:rsid w:val="000769E3"/>
    <w:rsid w:val="00076F6A"/>
    <w:rsid w:val="0007709D"/>
    <w:rsid w:val="0007735D"/>
    <w:rsid w:val="000773A3"/>
    <w:rsid w:val="0007752E"/>
    <w:rsid w:val="0007755C"/>
    <w:rsid w:val="00077615"/>
    <w:rsid w:val="000776ED"/>
    <w:rsid w:val="0007776F"/>
    <w:rsid w:val="000778CE"/>
    <w:rsid w:val="00077A64"/>
    <w:rsid w:val="00077A81"/>
    <w:rsid w:val="00077E0C"/>
    <w:rsid w:val="00077E6B"/>
    <w:rsid w:val="00077EC4"/>
    <w:rsid w:val="00077F29"/>
    <w:rsid w:val="00080088"/>
    <w:rsid w:val="00080162"/>
    <w:rsid w:val="0008037D"/>
    <w:rsid w:val="0008038B"/>
    <w:rsid w:val="00080530"/>
    <w:rsid w:val="000805DF"/>
    <w:rsid w:val="000805F0"/>
    <w:rsid w:val="000805FF"/>
    <w:rsid w:val="0008081E"/>
    <w:rsid w:val="0008087F"/>
    <w:rsid w:val="00080A93"/>
    <w:rsid w:val="00080B72"/>
    <w:rsid w:val="000810EE"/>
    <w:rsid w:val="00081230"/>
    <w:rsid w:val="000813BB"/>
    <w:rsid w:val="00081422"/>
    <w:rsid w:val="00081423"/>
    <w:rsid w:val="000814AE"/>
    <w:rsid w:val="0008150E"/>
    <w:rsid w:val="00081742"/>
    <w:rsid w:val="00081A9F"/>
    <w:rsid w:val="00081F33"/>
    <w:rsid w:val="0008202D"/>
    <w:rsid w:val="00082092"/>
    <w:rsid w:val="0008220C"/>
    <w:rsid w:val="00082373"/>
    <w:rsid w:val="000823EF"/>
    <w:rsid w:val="00082409"/>
    <w:rsid w:val="000824CD"/>
    <w:rsid w:val="00082503"/>
    <w:rsid w:val="000827B9"/>
    <w:rsid w:val="000827EE"/>
    <w:rsid w:val="0008287F"/>
    <w:rsid w:val="00082A18"/>
    <w:rsid w:val="00082A2C"/>
    <w:rsid w:val="00082D1F"/>
    <w:rsid w:val="00082D5E"/>
    <w:rsid w:val="00082E3D"/>
    <w:rsid w:val="000830E7"/>
    <w:rsid w:val="0008310B"/>
    <w:rsid w:val="000832D9"/>
    <w:rsid w:val="00083419"/>
    <w:rsid w:val="000834E7"/>
    <w:rsid w:val="00083656"/>
    <w:rsid w:val="0008370A"/>
    <w:rsid w:val="0008376E"/>
    <w:rsid w:val="00083828"/>
    <w:rsid w:val="00083A7F"/>
    <w:rsid w:val="00083E80"/>
    <w:rsid w:val="00083F6E"/>
    <w:rsid w:val="00083F8D"/>
    <w:rsid w:val="00084015"/>
    <w:rsid w:val="00084194"/>
    <w:rsid w:val="0008437E"/>
    <w:rsid w:val="000843E2"/>
    <w:rsid w:val="00084534"/>
    <w:rsid w:val="0008462B"/>
    <w:rsid w:val="00084885"/>
    <w:rsid w:val="000848D7"/>
    <w:rsid w:val="00084907"/>
    <w:rsid w:val="00084C07"/>
    <w:rsid w:val="00084CBC"/>
    <w:rsid w:val="00084D28"/>
    <w:rsid w:val="000850C5"/>
    <w:rsid w:val="000851EE"/>
    <w:rsid w:val="000852F6"/>
    <w:rsid w:val="000857FA"/>
    <w:rsid w:val="000857FC"/>
    <w:rsid w:val="00085901"/>
    <w:rsid w:val="00085A08"/>
    <w:rsid w:val="00085A57"/>
    <w:rsid w:val="00085D7B"/>
    <w:rsid w:val="00085D7E"/>
    <w:rsid w:val="00085EC9"/>
    <w:rsid w:val="00085F72"/>
    <w:rsid w:val="00085F8C"/>
    <w:rsid w:val="000861C8"/>
    <w:rsid w:val="000862B7"/>
    <w:rsid w:val="000862F4"/>
    <w:rsid w:val="0008635E"/>
    <w:rsid w:val="0008643C"/>
    <w:rsid w:val="0008643F"/>
    <w:rsid w:val="000864D0"/>
    <w:rsid w:val="000864D8"/>
    <w:rsid w:val="000866D1"/>
    <w:rsid w:val="000867D5"/>
    <w:rsid w:val="000867EF"/>
    <w:rsid w:val="0008686F"/>
    <w:rsid w:val="0008698F"/>
    <w:rsid w:val="000869B2"/>
    <w:rsid w:val="00086A86"/>
    <w:rsid w:val="00086AA0"/>
    <w:rsid w:val="00086ADF"/>
    <w:rsid w:val="00086BD0"/>
    <w:rsid w:val="00086C99"/>
    <w:rsid w:val="00086D40"/>
    <w:rsid w:val="00086E6F"/>
    <w:rsid w:val="000871AF"/>
    <w:rsid w:val="000871DC"/>
    <w:rsid w:val="0008724B"/>
    <w:rsid w:val="000874E6"/>
    <w:rsid w:val="00087610"/>
    <w:rsid w:val="00087636"/>
    <w:rsid w:val="000877C9"/>
    <w:rsid w:val="00087804"/>
    <w:rsid w:val="00087867"/>
    <w:rsid w:val="00087925"/>
    <w:rsid w:val="00087C2C"/>
    <w:rsid w:val="00087C78"/>
    <w:rsid w:val="00087CDF"/>
    <w:rsid w:val="00087CFE"/>
    <w:rsid w:val="00087D3A"/>
    <w:rsid w:val="00087D83"/>
    <w:rsid w:val="00090158"/>
    <w:rsid w:val="000901FD"/>
    <w:rsid w:val="00090412"/>
    <w:rsid w:val="00090417"/>
    <w:rsid w:val="00090493"/>
    <w:rsid w:val="000904DC"/>
    <w:rsid w:val="00090913"/>
    <w:rsid w:val="000909B1"/>
    <w:rsid w:val="00090AC9"/>
    <w:rsid w:val="00090D35"/>
    <w:rsid w:val="00090F70"/>
    <w:rsid w:val="00090FF0"/>
    <w:rsid w:val="00090FF8"/>
    <w:rsid w:val="00091529"/>
    <w:rsid w:val="00091574"/>
    <w:rsid w:val="000915D7"/>
    <w:rsid w:val="00091609"/>
    <w:rsid w:val="000916F2"/>
    <w:rsid w:val="0009186A"/>
    <w:rsid w:val="0009186E"/>
    <w:rsid w:val="00091954"/>
    <w:rsid w:val="000919F6"/>
    <w:rsid w:val="00091ADE"/>
    <w:rsid w:val="00091BC1"/>
    <w:rsid w:val="00091BC2"/>
    <w:rsid w:val="00091BC9"/>
    <w:rsid w:val="00091D8E"/>
    <w:rsid w:val="00091E0A"/>
    <w:rsid w:val="00091E9D"/>
    <w:rsid w:val="00091F37"/>
    <w:rsid w:val="00091FB9"/>
    <w:rsid w:val="00092115"/>
    <w:rsid w:val="000922A1"/>
    <w:rsid w:val="000923FF"/>
    <w:rsid w:val="00092461"/>
    <w:rsid w:val="000924AE"/>
    <w:rsid w:val="0009250D"/>
    <w:rsid w:val="00092587"/>
    <w:rsid w:val="0009279A"/>
    <w:rsid w:val="000927AC"/>
    <w:rsid w:val="0009287F"/>
    <w:rsid w:val="00092899"/>
    <w:rsid w:val="00092904"/>
    <w:rsid w:val="000929CE"/>
    <w:rsid w:val="00092A74"/>
    <w:rsid w:val="00092AB3"/>
    <w:rsid w:val="00092B70"/>
    <w:rsid w:val="00092BB3"/>
    <w:rsid w:val="00092C43"/>
    <w:rsid w:val="00092CA7"/>
    <w:rsid w:val="00092FB3"/>
    <w:rsid w:val="000930D4"/>
    <w:rsid w:val="0009314C"/>
    <w:rsid w:val="00093215"/>
    <w:rsid w:val="00093401"/>
    <w:rsid w:val="00093482"/>
    <w:rsid w:val="000936B5"/>
    <w:rsid w:val="0009377F"/>
    <w:rsid w:val="0009380B"/>
    <w:rsid w:val="0009382F"/>
    <w:rsid w:val="00093989"/>
    <w:rsid w:val="00093A2C"/>
    <w:rsid w:val="00093A7E"/>
    <w:rsid w:val="00093C5B"/>
    <w:rsid w:val="00093C64"/>
    <w:rsid w:val="00093CCD"/>
    <w:rsid w:val="00093F74"/>
    <w:rsid w:val="00094115"/>
    <w:rsid w:val="00094116"/>
    <w:rsid w:val="000941A8"/>
    <w:rsid w:val="00094235"/>
    <w:rsid w:val="00094239"/>
    <w:rsid w:val="00094438"/>
    <w:rsid w:val="0009451B"/>
    <w:rsid w:val="00094541"/>
    <w:rsid w:val="00094691"/>
    <w:rsid w:val="0009486E"/>
    <w:rsid w:val="000948B6"/>
    <w:rsid w:val="00094BE3"/>
    <w:rsid w:val="00095219"/>
    <w:rsid w:val="00095272"/>
    <w:rsid w:val="00095397"/>
    <w:rsid w:val="000953E5"/>
    <w:rsid w:val="00095599"/>
    <w:rsid w:val="00095608"/>
    <w:rsid w:val="0009568D"/>
    <w:rsid w:val="000957CB"/>
    <w:rsid w:val="000957ED"/>
    <w:rsid w:val="00095938"/>
    <w:rsid w:val="00095959"/>
    <w:rsid w:val="00095A54"/>
    <w:rsid w:val="00095CC3"/>
    <w:rsid w:val="00095DE9"/>
    <w:rsid w:val="00095E14"/>
    <w:rsid w:val="00095EBD"/>
    <w:rsid w:val="00096002"/>
    <w:rsid w:val="00096040"/>
    <w:rsid w:val="00096104"/>
    <w:rsid w:val="0009622F"/>
    <w:rsid w:val="000964AF"/>
    <w:rsid w:val="000966AA"/>
    <w:rsid w:val="00096923"/>
    <w:rsid w:val="00096B37"/>
    <w:rsid w:val="00096D16"/>
    <w:rsid w:val="00096DC2"/>
    <w:rsid w:val="00096E4E"/>
    <w:rsid w:val="00096FC1"/>
    <w:rsid w:val="00097074"/>
    <w:rsid w:val="00097249"/>
    <w:rsid w:val="000972FB"/>
    <w:rsid w:val="0009731A"/>
    <w:rsid w:val="00097325"/>
    <w:rsid w:val="0009738B"/>
    <w:rsid w:val="00097397"/>
    <w:rsid w:val="00097421"/>
    <w:rsid w:val="000975F6"/>
    <w:rsid w:val="000976D2"/>
    <w:rsid w:val="0009771D"/>
    <w:rsid w:val="000977CA"/>
    <w:rsid w:val="00097980"/>
    <w:rsid w:val="000979EE"/>
    <w:rsid w:val="00097B91"/>
    <w:rsid w:val="00097BBC"/>
    <w:rsid w:val="00097D0D"/>
    <w:rsid w:val="00097EB6"/>
    <w:rsid w:val="00097FA7"/>
    <w:rsid w:val="0009BA56"/>
    <w:rsid w:val="000A0286"/>
    <w:rsid w:val="000A02FF"/>
    <w:rsid w:val="000A030F"/>
    <w:rsid w:val="000A036A"/>
    <w:rsid w:val="000A0537"/>
    <w:rsid w:val="000A0617"/>
    <w:rsid w:val="000A06BB"/>
    <w:rsid w:val="000A06DF"/>
    <w:rsid w:val="000A086C"/>
    <w:rsid w:val="000A087B"/>
    <w:rsid w:val="000A08D2"/>
    <w:rsid w:val="000A090F"/>
    <w:rsid w:val="000A0947"/>
    <w:rsid w:val="000A09D4"/>
    <w:rsid w:val="000A0C6E"/>
    <w:rsid w:val="000A0F96"/>
    <w:rsid w:val="000A0FBF"/>
    <w:rsid w:val="000A0FD5"/>
    <w:rsid w:val="000A1028"/>
    <w:rsid w:val="000A109A"/>
    <w:rsid w:val="000A11AA"/>
    <w:rsid w:val="000A11E9"/>
    <w:rsid w:val="000A123E"/>
    <w:rsid w:val="000A1274"/>
    <w:rsid w:val="000A1286"/>
    <w:rsid w:val="000A13E0"/>
    <w:rsid w:val="000A13E8"/>
    <w:rsid w:val="000A17A9"/>
    <w:rsid w:val="000A1914"/>
    <w:rsid w:val="000A19BE"/>
    <w:rsid w:val="000A1B6D"/>
    <w:rsid w:val="000A1C6A"/>
    <w:rsid w:val="000A1D3A"/>
    <w:rsid w:val="000A1F1F"/>
    <w:rsid w:val="000A1F80"/>
    <w:rsid w:val="000A21B3"/>
    <w:rsid w:val="000A21EF"/>
    <w:rsid w:val="000A2204"/>
    <w:rsid w:val="000A2315"/>
    <w:rsid w:val="000A23BB"/>
    <w:rsid w:val="000A23FD"/>
    <w:rsid w:val="000A249C"/>
    <w:rsid w:val="000A24EE"/>
    <w:rsid w:val="000A2541"/>
    <w:rsid w:val="000A279D"/>
    <w:rsid w:val="000A2BEF"/>
    <w:rsid w:val="000A2D2A"/>
    <w:rsid w:val="000A2FEF"/>
    <w:rsid w:val="000A3033"/>
    <w:rsid w:val="000A309F"/>
    <w:rsid w:val="000A30F0"/>
    <w:rsid w:val="000A3256"/>
    <w:rsid w:val="000A32D4"/>
    <w:rsid w:val="000A3313"/>
    <w:rsid w:val="000A3504"/>
    <w:rsid w:val="000A361E"/>
    <w:rsid w:val="000A3689"/>
    <w:rsid w:val="000A36B6"/>
    <w:rsid w:val="000A38CB"/>
    <w:rsid w:val="000A393D"/>
    <w:rsid w:val="000A3B49"/>
    <w:rsid w:val="000A3E54"/>
    <w:rsid w:val="000A3E81"/>
    <w:rsid w:val="000A3F8B"/>
    <w:rsid w:val="000A3FEE"/>
    <w:rsid w:val="000A400F"/>
    <w:rsid w:val="000A4019"/>
    <w:rsid w:val="000A41A9"/>
    <w:rsid w:val="000A43C8"/>
    <w:rsid w:val="000A4540"/>
    <w:rsid w:val="000A465F"/>
    <w:rsid w:val="000A46E5"/>
    <w:rsid w:val="000A4787"/>
    <w:rsid w:val="000A47C8"/>
    <w:rsid w:val="000A480A"/>
    <w:rsid w:val="000A4810"/>
    <w:rsid w:val="000A4AB8"/>
    <w:rsid w:val="000A4C8A"/>
    <w:rsid w:val="000A4CFD"/>
    <w:rsid w:val="000A4D8D"/>
    <w:rsid w:val="000A4E1B"/>
    <w:rsid w:val="000A4F82"/>
    <w:rsid w:val="000A5131"/>
    <w:rsid w:val="000A5408"/>
    <w:rsid w:val="000A5561"/>
    <w:rsid w:val="000A5597"/>
    <w:rsid w:val="000A5651"/>
    <w:rsid w:val="000A5653"/>
    <w:rsid w:val="000A57B4"/>
    <w:rsid w:val="000A57EA"/>
    <w:rsid w:val="000A5C6D"/>
    <w:rsid w:val="000A5C83"/>
    <w:rsid w:val="000A5F48"/>
    <w:rsid w:val="000A5FCE"/>
    <w:rsid w:val="000A6005"/>
    <w:rsid w:val="000A61FD"/>
    <w:rsid w:val="000A6547"/>
    <w:rsid w:val="000A66CC"/>
    <w:rsid w:val="000A6794"/>
    <w:rsid w:val="000A67D3"/>
    <w:rsid w:val="000A6986"/>
    <w:rsid w:val="000A6A6A"/>
    <w:rsid w:val="000A6A76"/>
    <w:rsid w:val="000A6C3E"/>
    <w:rsid w:val="000A6CD1"/>
    <w:rsid w:val="000A6F73"/>
    <w:rsid w:val="000A6F81"/>
    <w:rsid w:val="000A6F9A"/>
    <w:rsid w:val="000A6FB0"/>
    <w:rsid w:val="000A70E1"/>
    <w:rsid w:val="000A71CC"/>
    <w:rsid w:val="000A7330"/>
    <w:rsid w:val="000A7585"/>
    <w:rsid w:val="000A7735"/>
    <w:rsid w:val="000A784B"/>
    <w:rsid w:val="000A79BF"/>
    <w:rsid w:val="000A7B12"/>
    <w:rsid w:val="000A7BD6"/>
    <w:rsid w:val="000A7BEB"/>
    <w:rsid w:val="000A7C1D"/>
    <w:rsid w:val="000A7C3C"/>
    <w:rsid w:val="000A7D91"/>
    <w:rsid w:val="000A7E41"/>
    <w:rsid w:val="000A7E71"/>
    <w:rsid w:val="000A7F31"/>
    <w:rsid w:val="000A7F7C"/>
    <w:rsid w:val="000B0251"/>
    <w:rsid w:val="000B032A"/>
    <w:rsid w:val="000B03BB"/>
    <w:rsid w:val="000B0519"/>
    <w:rsid w:val="000B0660"/>
    <w:rsid w:val="000B0774"/>
    <w:rsid w:val="000B08EC"/>
    <w:rsid w:val="000B0950"/>
    <w:rsid w:val="000B0AE1"/>
    <w:rsid w:val="000B0B81"/>
    <w:rsid w:val="000B0CF4"/>
    <w:rsid w:val="000B0DB1"/>
    <w:rsid w:val="000B0E32"/>
    <w:rsid w:val="000B0ECE"/>
    <w:rsid w:val="000B0F9B"/>
    <w:rsid w:val="000B1016"/>
    <w:rsid w:val="000B108F"/>
    <w:rsid w:val="000B109E"/>
    <w:rsid w:val="000B127C"/>
    <w:rsid w:val="000B1405"/>
    <w:rsid w:val="000B15BF"/>
    <w:rsid w:val="000B17D6"/>
    <w:rsid w:val="000B1821"/>
    <w:rsid w:val="000B1855"/>
    <w:rsid w:val="000B1963"/>
    <w:rsid w:val="000B1973"/>
    <w:rsid w:val="000B1BA6"/>
    <w:rsid w:val="000B1BB9"/>
    <w:rsid w:val="000B1C89"/>
    <w:rsid w:val="000B1D69"/>
    <w:rsid w:val="000B1DBA"/>
    <w:rsid w:val="000B1E22"/>
    <w:rsid w:val="000B1E39"/>
    <w:rsid w:val="000B1E80"/>
    <w:rsid w:val="000B1F3E"/>
    <w:rsid w:val="000B1FD5"/>
    <w:rsid w:val="000B20BA"/>
    <w:rsid w:val="000B2103"/>
    <w:rsid w:val="000B219F"/>
    <w:rsid w:val="000B220E"/>
    <w:rsid w:val="000B2258"/>
    <w:rsid w:val="000B231D"/>
    <w:rsid w:val="000B238F"/>
    <w:rsid w:val="000B2431"/>
    <w:rsid w:val="000B2666"/>
    <w:rsid w:val="000B281A"/>
    <w:rsid w:val="000B2A48"/>
    <w:rsid w:val="000B2ACC"/>
    <w:rsid w:val="000B2BD4"/>
    <w:rsid w:val="000B2C56"/>
    <w:rsid w:val="000B2CBF"/>
    <w:rsid w:val="000B2D8E"/>
    <w:rsid w:val="000B2DDC"/>
    <w:rsid w:val="000B2EA7"/>
    <w:rsid w:val="000B2FCD"/>
    <w:rsid w:val="000B2FD5"/>
    <w:rsid w:val="000B3048"/>
    <w:rsid w:val="000B3173"/>
    <w:rsid w:val="000B3194"/>
    <w:rsid w:val="000B322C"/>
    <w:rsid w:val="000B36D4"/>
    <w:rsid w:val="000B37CF"/>
    <w:rsid w:val="000B38A5"/>
    <w:rsid w:val="000B3938"/>
    <w:rsid w:val="000B3A3E"/>
    <w:rsid w:val="000B3AC3"/>
    <w:rsid w:val="000B3B6F"/>
    <w:rsid w:val="000B3C69"/>
    <w:rsid w:val="000B3C8E"/>
    <w:rsid w:val="000B3D0A"/>
    <w:rsid w:val="000B3E9A"/>
    <w:rsid w:val="000B40EA"/>
    <w:rsid w:val="000B420D"/>
    <w:rsid w:val="000B4284"/>
    <w:rsid w:val="000B42B0"/>
    <w:rsid w:val="000B42DB"/>
    <w:rsid w:val="000B42EF"/>
    <w:rsid w:val="000B4326"/>
    <w:rsid w:val="000B44E3"/>
    <w:rsid w:val="000B458E"/>
    <w:rsid w:val="000B4628"/>
    <w:rsid w:val="000B472C"/>
    <w:rsid w:val="000B47B2"/>
    <w:rsid w:val="000B47D4"/>
    <w:rsid w:val="000B47F7"/>
    <w:rsid w:val="000B4AA7"/>
    <w:rsid w:val="000B4AE8"/>
    <w:rsid w:val="000B4C12"/>
    <w:rsid w:val="000B4C1B"/>
    <w:rsid w:val="000B4CFA"/>
    <w:rsid w:val="000B4CFC"/>
    <w:rsid w:val="000B500B"/>
    <w:rsid w:val="000B511B"/>
    <w:rsid w:val="000B515E"/>
    <w:rsid w:val="000B51E4"/>
    <w:rsid w:val="000B5277"/>
    <w:rsid w:val="000B547F"/>
    <w:rsid w:val="000B549F"/>
    <w:rsid w:val="000B5513"/>
    <w:rsid w:val="000B5591"/>
    <w:rsid w:val="000B573B"/>
    <w:rsid w:val="000B580E"/>
    <w:rsid w:val="000B5845"/>
    <w:rsid w:val="000B584D"/>
    <w:rsid w:val="000B598C"/>
    <w:rsid w:val="000B59C6"/>
    <w:rsid w:val="000B5A6B"/>
    <w:rsid w:val="000B5AAB"/>
    <w:rsid w:val="000B5AB7"/>
    <w:rsid w:val="000B5BF2"/>
    <w:rsid w:val="000B5DA3"/>
    <w:rsid w:val="000B5E43"/>
    <w:rsid w:val="000B5F8F"/>
    <w:rsid w:val="000B5FF6"/>
    <w:rsid w:val="000B6083"/>
    <w:rsid w:val="000B625A"/>
    <w:rsid w:val="000B633E"/>
    <w:rsid w:val="000B641A"/>
    <w:rsid w:val="000B648F"/>
    <w:rsid w:val="000B65E1"/>
    <w:rsid w:val="000B681B"/>
    <w:rsid w:val="000B69A7"/>
    <w:rsid w:val="000B69E2"/>
    <w:rsid w:val="000B6B9E"/>
    <w:rsid w:val="000B6BAF"/>
    <w:rsid w:val="000B6BF0"/>
    <w:rsid w:val="000B6C80"/>
    <w:rsid w:val="000B6DFC"/>
    <w:rsid w:val="000B6E59"/>
    <w:rsid w:val="000B6EB1"/>
    <w:rsid w:val="000B6F13"/>
    <w:rsid w:val="000B6F77"/>
    <w:rsid w:val="000B6FB8"/>
    <w:rsid w:val="000B71BC"/>
    <w:rsid w:val="000B71C6"/>
    <w:rsid w:val="000B71E9"/>
    <w:rsid w:val="000B720F"/>
    <w:rsid w:val="000B7494"/>
    <w:rsid w:val="000B74CB"/>
    <w:rsid w:val="000B767A"/>
    <w:rsid w:val="000B77E7"/>
    <w:rsid w:val="000B781A"/>
    <w:rsid w:val="000B7879"/>
    <w:rsid w:val="000B78FD"/>
    <w:rsid w:val="000B79B0"/>
    <w:rsid w:val="000B7AAE"/>
    <w:rsid w:val="000B7B8C"/>
    <w:rsid w:val="000B7D32"/>
    <w:rsid w:val="000B7E02"/>
    <w:rsid w:val="000B7E78"/>
    <w:rsid w:val="000B7E7F"/>
    <w:rsid w:val="000C0041"/>
    <w:rsid w:val="000C0172"/>
    <w:rsid w:val="000C01DB"/>
    <w:rsid w:val="000C023F"/>
    <w:rsid w:val="000C0407"/>
    <w:rsid w:val="000C0698"/>
    <w:rsid w:val="000C091F"/>
    <w:rsid w:val="000C0A06"/>
    <w:rsid w:val="000C0AE7"/>
    <w:rsid w:val="000C0C14"/>
    <w:rsid w:val="000C0DE0"/>
    <w:rsid w:val="000C0E26"/>
    <w:rsid w:val="000C0F82"/>
    <w:rsid w:val="000C101A"/>
    <w:rsid w:val="000C1147"/>
    <w:rsid w:val="000C1182"/>
    <w:rsid w:val="000C12EB"/>
    <w:rsid w:val="000C1359"/>
    <w:rsid w:val="000C1368"/>
    <w:rsid w:val="000C13B2"/>
    <w:rsid w:val="000C1455"/>
    <w:rsid w:val="000C151C"/>
    <w:rsid w:val="000C157C"/>
    <w:rsid w:val="000C16DD"/>
    <w:rsid w:val="000C16DE"/>
    <w:rsid w:val="000C16F4"/>
    <w:rsid w:val="000C177C"/>
    <w:rsid w:val="000C17A1"/>
    <w:rsid w:val="000C17B7"/>
    <w:rsid w:val="000C1AC6"/>
    <w:rsid w:val="000C1B0C"/>
    <w:rsid w:val="000C1FFA"/>
    <w:rsid w:val="000C20C3"/>
    <w:rsid w:val="000C2329"/>
    <w:rsid w:val="000C274C"/>
    <w:rsid w:val="000C2812"/>
    <w:rsid w:val="000C29ED"/>
    <w:rsid w:val="000C2B1B"/>
    <w:rsid w:val="000C2B8F"/>
    <w:rsid w:val="000C2C5F"/>
    <w:rsid w:val="000C2CC1"/>
    <w:rsid w:val="000C2CD7"/>
    <w:rsid w:val="000C2ED6"/>
    <w:rsid w:val="000C2F39"/>
    <w:rsid w:val="000C30F3"/>
    <w:rsid w:val="000C33A5"/>
    <w:rsid w:val="000C33DE"/>
    <w:rsid w:val="000C3481"/>
    <w:rsid w:val="000C355B"/>
    <w:rsid w:val="000C3642"/>
    <w:rsid w:val="000C36D2"/>
    <w:rsid w:val="000C38C7"/>
    <w:rsid w:val="000C38F8"/>
    <w:rsid w:val="000C3916"/>
    <w:rsid w:val="000C393A"/>
    <w:rsid w:val="000C3C45"/>
    <w:rsid w:val="000C3CB2"/>
    <w:rsid w:val="000C3EE7"/>
    <w:rsid w:val="000C3F34"/>
    <w:rsid w:val="000C3FBB"/>
    <w:rsid w:val="000C410A"/>
    <w:rsid w:val="000C4135"/>
    <w:rsid w:val="000C4285"/>
    <w:rsid w:val="000C44D4"/>
    <w:rsid w:val="000C460D"/>
    <w:rsid w:val="000C463C"/>
    <w:rsid w:val="000C465D"/>
    <w:rsid w:val="000C48E6"/>
    <w:rsid w:val="000C49E3"/>
    <w:rsid w:val="000C4A23"/>
    <w:rsid w:val="000C4A24"/>
    <w:rsid w:val="000C4A2B"/>
    <w:rsid w:val="000C4AF1"/>
    <w:rsid w:val="000C4B16"/>
    <w:rsid w:val="000C4B81"/>
    <w:rsid w:val="000C4B8B"/>
    <w:rsid w:val="000C4B9C"/>
    <w:rsid w:val="000C4DEE"/>
    <w:rsid w:val="000C4FBA"/>
    <w:rsid w:val="000C50DA"/>
    <w:rsid w:val="000C5102"/>
    <w:rsid w:val="000C51BF"/>
    <w:rsid w:val="000C51F0"/>
    <w:rsid w:val="000C5650"/>
    <w:rsid w:val="000C5804"/>
    <w:rsid w:val="000C58A3"/>
    <w:rsid w:val="000C5A35"/>
    <w:rsid w:val="000C5AD1"/>
    <w:rsid w:val="000C5C31"/>
    <w:rsid w:val="000C5C90"/>
    <w:rsid w:val="000C5E77"/>
    <w:rsid w:val="000C5EC6"/>
    <w:rsid w:val="000C5EE8"/>
    <w:rsid w:val="000C6015"/>
    <w:rsid w:val="000C6334"/>
    <w:rsid w:val="000C6386"/>
    <w:rsid w:val="000C642C"/>
    <w:rsid w:val="000C6531"/>
    <w:rsid w:val="000C66EC"/>
    <w:rsid w:val="000C6856"/>
    <w:rsid w:val="000C68FD"/>
    <w:rsid w:val="000C69DA"/>
    <w:rsid w:val="000C6AF2"/>
    <w:rsid w:val="000C6BEA"/>
    <w:rsid w:val="000C6C0E"/>
    <w:rsid w:val="000C6C5E"/>
    <w:rsid w:val="000C6C66"/>
    <w:rsid w:val="000C6D1A"/>
    <w:rsid w:val="000C6D54"/>
    <w:rsid w:val="000C6D6A"/>
    <w:rsid w:val="000C6FB5"/>
    <w:rsid w:val="000C70AD"/>
    <w:rsid w:val="000C712D"/>
    <w:rsid w:val="000C7153"/>
    <w:rsid w:val="000C7167"/>
    <w:rsid w:val="000C7235"/>
    <w:rsid w:val="000C7287"/>
    <w:rsid w:val="000C7402"/>
    <w:rsid w:val="000C76C1"/>
    <w:rsid w:val="000C774C"/>
    <w:rsid w:val="000C78C2"/>
    <w:rsid w:val="000C78F0"/>
    <w:rsid w:val="000C796B"/>
    <w:rsid w:val="000C7C4A"/>
    <w:rsid w:val="000C7CD5"/>
    <w:rsid w:val="000C7E2D"/>
    <w:rsid w:val="000C7EC0"/>
    <w:rsid w:val="000C7F6F"/>
    <w:rsid w:val="000D0182"/>
    <w:rsid w:val="000D02DC"/>
    <w:rsid w:val="000D0362"/>
    <w:rsid w:val="000D0497"/>
    <w:rsid w:val="000D05CC"/>
    <w:rsid w:val="000D07BF"/>
    <w:rsid w:val="000D0CBE"/>
    <w:rsid w:val="000D0FCB"/>
    <w:rsid w:val="000D0FFB"/>
    <w:rsid w:val="000D100D"/>
    <w:rsid w:val="000D1064"/>
    <w:rsid w:val="000D1098"/>
    <w:rsid w:val="000D109E"/>
    <w:rsid w:val="000D1211"/>
    <w:rsid w:val="000D1257"/>
    <w:rsid w:val="000D12BB"/>
    <w:rsid w:val="000D155D"/>
    <w:rsid w:val="000D1624"/>
    <w:rsid w:val="000D1667"/>
    <w:rsid w:val="000D16FF"/>
    <w:rsid w:val="000D17ED"/>
    <w:rsid w:val="000D1866"/>
    <w:rsid w:val="000D18E8"/>
    <w:rsid w:val="000D19AE"/>
    <w:rsid w:val="000D1C19"/>
    <w:rsid w:val="000D1CFF"/>
    <w:rsid w:val="000D1EF5"/>
    <w:rsid w:val="000D1EFF"/>
    <w:rsid w:val="000D1FBD"/>
    <w:rsid w:val="000D203B"/>
    <w:rsid w:val="000D213D"/>
    <w:rsid w:val="000D2150"/>
    <w:rsid w:val="000D21A1"/>
    <w:rsid w:val="000D22D8"/>
    <w:rsid w:val="000D230B"/>
    <w:rsid w:val="000D23DF"/>
    <w:rsid w:val="000D2415"/>
    <w:rsid w:val="000D2422"/>
    <w:rsid w:val="000D2689"/>
    <w:rsid w:val="000D276E"/>
    <w:rsid w:val="000D29C9"/>
    <w:rsid w:val="000D2ABC"/>
    <w:rsid w:val="000D2CD8"/>
    <w:rsid w:val="000D2F3B"/>
    <w:rsid w:val="000D2F4E"/>
    <w:rsid w:val="000D30F3"/>
    <w:rsid w:val="000D3113"/>
    <w:rsid w:val="000D337E"/>
    <w:rsid w:val="000D33AB"/>
    <w:rsid w:val="000D343D"/>
    <w:rsid w:val="000D3460"/>
    <w:rsid w:val="000D3550"/>
    <w:rsid w:val="000D35D5"/>
    <w:rsid w:val="000D35DB"/>
    <w:rsid w:val="000D36AC"/>
    <w:rsid w:val="000D36ED"/>
    <w:rsid w:val="000D3704"/>
    <w:rsid w:val="000D3882"/>
    <w:rsid w:val="000D3977"/>
    <w:rsid w:val="000D39E7"/>
    <w:rsid w:val="000D3D6A"/>
    <w:rsid w:val="000D3FBB"/>
    <w:rsid w:val="000D43BB"/>
    <w:rsid w:val="000D4524"/>
    <w:rsid w:val="000D45BF"/>
    <w:rsid w:val="000D45D7"/>
    <w:rsid w:val="000D47FE"/>
    <w:rsid w:val="000D4803"/>
    <w:rsid w:val="000D48C4"/>
    <w:rsid w:val="000D497A"/>
    <w:rsid w:val="000D4A72"/>
    <w:rsid w:val="000D4B9D"/>
    <w:rsid w:val="000D4BB5"/>
    <w:rsid w:val="000D4D37"/>
    <w:rsid w:val="000D4E56"/>
    <w:rsid w:val="000D4E61"/>
    <w:rsid w:val="000D4FB9"/>
    <w:rsid w:val="000D5223"/>
    <w:rsid w:val="000D5249"/>
    <w:rsid w:val="000D52B9"/>
    <w:rsid w:val="000D5327"/>
    <w:rsid w:val="000D53C5"/>
    <w:rsid w:val="000D556F"/>
    <w:rsid w:val="000D5854"/>
    <w:rsid w:val="000D58B0"/>
    <w:rsid w:val="000D5A1F"/>
    <w:rsid w:val="000D5AD0"/>
    <w:rsid w:val="000D5B13"/>
    <w:rsid w:val="000D5B3E"/>
    <w:rsid w:val="000D5B5D"/>
    <w:rsid w:val="000D5C6B"/>
    <w:rsid w:val="000D5D56"/>
    <w:rsid w:val="000D5E81"/>
    <w:rsid w:val="000D5E87"/>
    <w:rsid w:val="000D609E"/>
    <w:rsid w:val="000D626D"/>
    <w:rsid w:val="000D6404"/>
    <w:rsid w:val="000D649F"/>
    <w:rsid w:val="000D64B2"/>
    <w:rsid w:val="000D6614"/>
    <w:rsid w:val="000D6897"/>
    <w:rsid w:val="000D696F"/>
    <w:rsid w:val="000D69F4"/>
    <w:rsid w:val="000D6A31"/>
    <w:rsid w:val="000D6B54"/>
    <w:rsid w:val="000D6DA1"/>
    <w:rsid w:val="000D6F26"/>
    <w:rsid w:val="000D6F88"/>
    <w:rsid w:val="000D6FF4"/>
    <w:rsid w:val="000D70A0"/>
    <w:rsid w:val="000D7253"/>
    <w:rsid w:val="000D7414"/>
    <w:rsid w:val="000D75C6"/>
    <w:rsid w:val="000D763C"/>
    <w:rsid w:val="000D76E8"/>
    <w:rsid w:val="000D780E"/>
    <w:rsid w:val="000D7874"/>
    <w:rsid w:val="000D79A9"/>
    <w:rsid w:val="000D7A43"/>
    <w:rsid w:val="000D7B86"/>
    <w:rsid w:val="000D7BEC"/>
    <w:rsid w:val="000D7CB7"/>
    <w:rsid w:val="000D7D90"/>
    <w:rsid w:val="000D7DDE"/>
    <w:rsid w:val="000E0431"/>
    <w:rsid w:val="000E04B2"/>
    <w:rsid w:val="000E0608"/>
    <w:rsid w:val="000E084E"/>
    <w:rsid w:val="000E085D"/>
    <w:rsid w:val="000E0A97"/>
    <w:rsid w:val="000E0ABA"/>
    <w:rsid w:val="000E0BB4"/>
    <w:rsid w:val="000E0CBF"/>
    <w:rsid w:val="000E0CDB"/>
    <w:rsid w:val="000E0DFC"/>
    <w:rsid w:val="000E0E1E"/>
    <w:rsid w:val="000E0E76"/>
    <w:rsid w:val="000E0EB0"/>
    <w:rsid w:val="000E0F33"/>
    <w:rsid w:val="000E0F8E"/>
    <w:rsid w:val="000E0FB2"/>
    <w:rsid w:val="000E1034"/>
    <w:rsid w:val="000E1166"/>
    <w:rsid w:val="000E1174"/>
    <w:rsid w:val="000E120A"/>
    <w:rsid w:val="000E1686"/>
    <w:rsid w:val="000E1878"/>
    <w:rsid w:val="000E19D2"/>
    <w:rsid w:val="000E1A22"/>
    <w:rsid w:val="000E1A4B"/>
    <w:rsid w:val="000E1C31"/>
    <w:rsid w:val="000E1DA9"/>
    <w:rsid w:val="000E1DBC"/>
    <w:rsid w:val="000E2028"/>
    <w:rsid w:val="000E2080"/>
    <w:rsid w:val="000E2112"/>
    <w:rsid w:val="000E254C"/>
    <w:rsid w:val="000E289B"/>
    <w:rsid w:val="000E28B2"/>
    <w:rsid w:val="000E2904"/>
    <w:rsid w:val="000E295C"/>
    <w:rsid w:val="000E2D09"/>
    <w:rsid w:val="000E2DD2"/>
    <w:rsid w:val="000E2EB1"/>
    <w:rsid w:val="000E2EB7"/>
    <w:rsid w:val="000E2FD3"/>
    <w:rsid w:val="000E308C"/>
    <w:rsid w:val="000E31F9"/>
    <w:rsid w:val="000E3325"/>
    <w:rsid w:val="000E357B"/>
    <w:rsid w:val="000E35CF"/>
    <w:rsid w:val="000E36ED"/>
    <w:rsid w:val="000E372B"/>
    <w:rsid w:val="000E377C"/>
    <w:rsid w:val="000E37D9"/>
    <w:rsid w:val="000E3889"/>
    <w:rsid w:val="000E3B02"/>
    <w:rsid w:val="000E3BC7"/>
    <w:rsid w:val="000E3C30"/>
    <w:rsid w:val="000E3FA0"/>
    <w:rsid w:val="000E4071"/>
    <w:rsid w:val="000E40C6"/>
    <w:rsid w:val="000E4139"/>
    <w:rsid w:val="000E41B3"/>
    <w:rsid w:val="000E41DA"/>
    <w:rsid w:val="000E41F8"/>
    <w:rsid w:val="000E420B"/>
    <w:rsid w:val="000E427F"/>
    <w:rsid w:val="000E42EF"/>
    <w:rsid w:val="000E4318"/>
    <w:rsid w:val="000E4393"/>
    <w:rsid w:val="000E448E"/>
    <w:rsid w:val="000E44B0"/>
    <w:rsid w:val="000E4722"/>
    <w:rsid w:val="000E4776"/>
    <w:rsid w:val="000E4824"/>
    <w:rsid w:val="000E4961"/>
    <w:rsid w:val="000E4AB4"/>
    <w:rsid w:val="000E4AEA"/>
    <w:rsid w:val="000E4DC7"/>
    <w:rsid w:val="000E4FF6"/>
    <w:rsid w:val="000E5011"/>
    <w:rsid w:val="000E5089"/>
    <w:rsid w:val="000E52F2"/>
    <w:rsid w:val="000E5349"/>
    <w:rsid w:val="000E534B"/>
    <w:rsid w:val="000E540D"/>
    <w:rsid w:val="000E558B"/>
    <w:rsid w:val="000E5649"/>
    <w:rsid w:val="000E5678"/>
    <w:rsid w:val="000E56C9"/>
    <w:rsid w:val="000E5770"/>
    <w:rsid w:val="000E5788"/>
    <w:rsid w:val="000E5861"/>
    <w:rsid w:val="000E5936"/>
    <w:rsid w:val="000E59C8"/>
    <w:rsid w:val="000E5B04"/>
    <w:rsid w:val="000E5B67"/>
    <w:rsid w:val="000E5B75"/>
    <w:rsid w:val="000E5BAF"/>
    <w:rsid w:val="000E5E38"/>
    <w:rsid w:val="000E5F70"/>
    <w:rsid w:val="000E5FB5"/>
    <w:rsid w:val="000E6024"/>
    <w:rsid w:val="000E6089"/>
    <w:rsid w:val="000E611F"/>
    <w:rsid w:val="000E6222"/>
    <w:rsid w:val="000E6380"/>
    <w:rsid w:val="000E64C5"/>
    <w:rsid w:val="000E651F"/>
    <w:rsid w:val="000E6607"/>
    <w:rsid w:val="000E6609"/>
    <w:rsid w:val="000E665A"/>
    <w:rsid w:val="000E6B15"/>
    <w:rsid w:val="000E6B7F"/>
    <w:rsid w:val="000E6B93"/>
    <w:rsid w:val="000E6CDF"/>
    <w:rsid w:val="000E6D5E"/>
    <w:rsid w:val="000E6DE4"/>
    <w:rsid w:val="000E6F7E"/>
    <w:rsid w:val="000E7078"/>
    <w:rsid w:val="000E7095"/>
    <w:rsid w:val="000E71D0"/>
    <w:rsid w:val="000E720A"/>
    <w:rsid w:val="000E72A9"/>
    <w:rsid w:val="000E72EA"/>
    <w:rsid w:val="000E7344"/>
    <w:rsid w:val="000E73CA"/>
    <w:rsid w:val="000E73F2"/>
    <w:rsid w:val="000E742E"/>
    <w:rsid w:val="000E7488"/>
    <w:rsid w:val="000E7536"/>
    <w:rsid w:val="000E757A"/>
    <w:rsid w:val="000E75A7"/>
    <w:rsid w:val="000E772D"/>
    <w:rsid w:val="000E7779"/>
    <w:rsid w:val="000E77F2"/>
    <w:rsid w:val="000E78D6"/>
    <w:rsid w:val="000E7A11"/>
    <w:rsid w:val="000E7B90"/>
    <w:rsid w:val="000E7D35"/>
    <w:rsid w:val="000E7DD0"/>
    <w:rsid w:val="000E7E47"/>
    <w:rsid w:val="000E7F83"/>
    <w:rsid w:val="000F009F"/>
    <w:rsid w:val="000F0275"/>
    <w:rsid w:val="000F03CA"/>
    <w:rsid w:val="000F047E"/>
    <w:rsid w:val="000F0536"/>
    <w:rsid w:val="000F06D2"/>
    <w:rsid w:val="000F06FE"/>
    <w:rsid w:val="000F081E"/>
    <w:rsid w:val="000F083A"/>
    <w:rsid w:val="000F08BC"/>
    <w:rsid w:val="000F092F"/>
    <w:rsid w:val="000F0967"/>
    <w:rsid w:val="000F0A1A"/>
    <w:rsid w:val="000F0B38"/>
    <w:rsid w:val="000F0C0C"/>
    <w:rsid w:val="000F0C86"/>
    <w:rsid w:val="000F0D6C"/>
    <w:rsid w:val="000F0D73"/>
    <w:rsid w:val="000F1379"/>
    <w:rsid w:val="000F145D"/>
    <w:rsid w:val="000F1481"/>
    <w:rsid w:val="000F14C1"/>
    <w:rsid w:val="000F1539"/>
    <w:rsid w:val="000F157E"/>
    <w:rsid w:val="000F15F6"/>
    <w:rsid w:val="000F1702"/>
    <w:rsid w:val="000F1778"/>
    <w:rsid w:val="000F19E5"/>
    <w:rsid w:val="000F1A47"/>
    <w:rsid w:val="000F1B6F"/>
    <w:rsid w:val="000F1CA1"/>
    <w:rsid w:val="000F1CEA"/>
    <w:rsid w:val="000F1DBA"/>
    <w:rsid w:val="000F1F2D"/>
    <w:rsid w:val="000F2014"/>
    <w:rsid w:val="000F2026"/>
    <w:rsid w:val="000F2065"/>
    <w:rsid w:val="000F212B"/>
    <w:rsid w:val="000F224C"/>
    <w:rsid w:val="000F239E"/>
    <w:rsid w:val="000F23B3"/>
    <w:rsid w:val="000F249F"/>
    <w:rsid w:val="000F24E7"/>
    <w:rsid w:val="000F2524"/>
    <w:rsid w:val="000F2556"/>
    <w:rsid w:val="000F25F3"/>
    <w:rsid w:val="000F27BE"/>
    <w:rsid w:val="000F2BEE"/>
    <w:rsid w:val="000F2DCA"/>
    <w:rsid w:val="000F2E9A"/>
    <w:rsid w:val="000F2EAE"/>
    <w:rsid w:val="000F305D"/>
    <w:rsid w:val="000F33ED"/>
    <w:rsid w:val="000F364F"/>
    <w:rsid w:val="000F3712"/>
    <w:rsid w:val="000F3853"/>
    <w:rsid w:val="000F3A4A"/>
    <w:rsid w:val="000F3A5F"/>
    <w:rsid w:val="000F3B74"/>
    <w:rsid w:val="000F3BBC"/>
    <w:rsid w:val="000F3D4E"/>
    <w:rsid w:val="000F3DEB"/>
    <w:rsid w:val="000F3E6F"/>
    <w:rsid w:val="000F401F"/>
    <w:rsid w:val="000F421D"/>
    <w:rsid w:val="000F4251"/>
    <w:rsid w:val="000F42BB"/>
    <w:rsid w:val="000F4301"/>
    <w:rsid w:val="000F4312"/>
    <w:rsid w:val="000F43B0"/>
    <w:rsid w:val="000F4495"/>
    <w:rsid w:val="000F44F3"/>
    <w:rsid w:val="000F4720"/>
    <w:rsid w:val="000F482F"/>
    <w:rsid w:val="000F4A66"/>
    <w:rsid w:val="000F4AF0"/>
    <w:rsid w:val="000F4C19"/>
    <w:rsid w:val="000F4F1E"/>
    <w:rsid w:val="000F4F6F"/>
    <w:rsid w:val="000F50AB"/>
    <w:rsid w:val="000F5155"/>
    <w:rsid w:val="000F52B0"/>
    <w:rsid w:val="000F5384"/>
    <w:rsid w:val="000F5454"/>
    <w:rsid w:val="000F54F5"/>
    <w:rsid w:val="000F562F"/>
    <w:rsid w:val="000F5652"/>
    <w:rsid w:val="000F565E"/>
    <w:rsid w:val="000F57D0"/>
    <w:rsid w:val="000F58EC"/>
    <w:rsid w:val="000F5998"/>
    <w:rsid w:val="000F5AFC"/>
    <w:rsid w:val="000F5B16"/>
    <w:rsid w:val="000F5BEF"/>
    <w:rsid w:val="000F5BFF"/>
    <w:rsid w:val="000F5CC8"/>
    <w:rsid w:val="000F601F"/>
    <w:rsid w:val="000F604B"/>
    <w:rsid w:val="000F60B0"/>
    <w:rsid w:val="000F61B5"/>
    <w:rsid w:val="000F64D1"/>
    <w:rsid w:val="000F653C"/>
    <w:rsid w:val="000F6561"/>
    <w:rsid w:val="000F65CB"/>
    <w:rsid w:val="000F65D1"/>
    <w:rsid w:val="000F65E2"/>
    <w:rsid w:val="000F66CF"/>
    <w:rsid w:val="000F67A4"/>
    <w:rsid w:val="000F68AF"/>
    <w:rsid w:val="000F6A46"/>
    <w:rsid w:val="000F6A64"/>
    <w:rsid w:val="000F6D2D"/>
    <w:rsid w:val="000F6DC0"/>
    <w:rsid w:val="000F6E71"/>
    <w:rsid w:val="000F6E96"/>
    <w:rsid w:val="000F7171"/>
    <w:rsid w:val="000F71C3"/>
    <w:rsid w:val="000F7326"/>
    <w:rsid w:val="000F74AF"/>
    <w:rsid w:val="000F754F"/>
    <w:rsid w:val="000F7601"/>
    <w:rsid w:val="000F7616"/>
    <w:rsid w:val="000F768A"/>
    <w:rsid w:val="000F76AF"/>
    <w:rsid w:val="000F76B1"/>
    <w:rsid w:val="000F77A0"/>
    <w:rsid w:val="000F7983"/>
    <w:rsid w:val="000F7A19"/>
    <w:rsid w:val="000F7A3E"/>
    <w:rsid w:val="000F7BB7"/>
    <w:rsid w:val="000F7E0D"/>
    <w:rsid w:val="000F7E8C"/>
    <w:rsid w:val="000F7F4D"/>
    <w:rsid w:val="001000C9"/>
    <w:rsid w:val="001000CE"/>
    <w:rsid w:val="0010039B"/>
    <w:rsid w:val="00100560"/>
    <w:rsid w:val="00100724"/>
    <w:rsid w:val="0010084B"/>
    <w:rsid w:val="0010095D"/>
    <w:rsid w:val="00100C8C"/>
    <w:rsid w:val="00100E96"/>
    <w:rsid w:val="00100F3B"/>
    <w:rsid w:val="00101083"/>
    <w:rsid w:val="00101313"/>
    <w:rsid w:val="00101335"/>
    <w:rsid w:val="00101343"/>
    <w:rsid w:val="001015F4"/>
    <w:rsid w:val="0010165B"/>
    <w:rsid w:val="0010175C"/>
    <w:rsid w:val="0010182A"/>
    <w:rsid w:val="00101C37"/>
    <w:rsid w:val="00101CE0"/>
    <w:rsid w:val="00101F9F"/>
    <w:rsid w:val="00101FF9"/>
    <w:rsid w:val="0010212F"/>
    <w:rsid w:val="001021E6"/>
    <w:rsid w:val="00102572"/>
    <w:rsid w:val="00102591"/>
    <w:rsid w:val="001026D9"/>
    <w:rsid w:val="0010279B"/>
    <w:rsid w:val="00102A34"/>
    <w:rsid w:val="00102D76"/>
    <w:rsid w:val="00102DCC"/>
    <w:rsid w:val="00102EED"/>
    <w:rsid w:val="00103015"/>
    <w:rsid w:val="00103028"/>
    <w:rsid w:val="001030DA"/>
    <w:rsid w:val="001032E4"/>
    <w:rsid w:val="00103358"/>
    <w:rsid w:val="0010337F"/>
    <w:rsid w:val="001033D1"/>
    <w:rsid w:val="001033E0"/>
    <w:rsid w:val="0010341B"/>
    <w:rsid w:val="0010346F"/>
    <w:rsid w:val="001034EE"/>
    <w:rsid w:val="0010357C"/>
    <w:rsid w:val="00103767"/>
    <w:rsid w:val="0010395F"/>
    <w:rsid w:val="00103A5B"/>
    <w:rsid w:val="00103A95"/>
    <w:rsid w:val="00103B1E"/>
    <w:rsid w:val="00103DBC"/>
    <w:rsid w:val="00103E1D"/>
    <w:rsid w:val="00103E50"/>
    <w:rsid w:val="00103EA5"/>
    <w:rsid w:val="001040C5"/>
    <w:rsid w:val="001041D3"/>
    <w:rsid w:val="001041F4"/>
    <w:rsid w:val="001042FB"/>
    <w:rsid w:val="00104463"/>
    <w:rsid w:val="0010451E"/>
    <w:rsid w:val="001045E6"/>
    <w:rsid w:val="00104671"/>
    <w:rsid w:val="001046F0"/>
    <w:rsid w:val="0010470D"/>
    <w:rsid w:val="00104866"/>
    <w:rsid w:val="001048B3"/>
    <w:rsid w:val="00104A78"/>
    <w:rsid w:val="00104A96"/>
    <w:rsid w:val="00104B42"/>
    <w:rsid w:val="00104C6E"/>
    <w:rsid w:val="00104D4D"/>
    <w:rsid w:val="00104DF3"/>
    <w:rsid w:val="00104F2C"/>
    <w:rsid w:val="00104F80"/>
    <w:rsid w:val="00105046"/>
    <w:rsid w:val="00105106"/>
    <w:rsid w:val="0010512F"/>
    <w:rsid w:val="00105194"/>
    <w:rsid w:val="001051E6"/>
    <w:rsid w:val="00105496"/>
    <w:rsid w:val="00105593"/>
    <w:rsid w:val="0010569E"/>
    <w:rsid w:val="0010571B"/>
    <w:rsid w:val="0010591F"/>
    <w:rsid w:val="00105969"/>
    <w:rsid w:val="00105B7E"/>
    <w:rsid w:val="00105C2E"/>
    <w:rsid w:val="00105DA4"/>
    <w:rsid w:val="00105DB7"/>
    <w:rsid w:val="00105F8D"/>
    <w:rsid w:val="00105FD0"/>
    <w:rsid w:val="00106068"/>
    <w:rsid w:val="001061AD"/>
    <w:rsid w:val="00106335"/>
    <w:rsid w:val="00106595"/>
    <w:rsid w:val="00106721"/>
    <w:rsid w:val="001067B2"/>
    <w:rsid w:val="00106971"/>
    <w:rsid w:val="00106AA8"/>
    <w:rsid w:val="00106BD6"/>
    <w:rsid w:val="00106C6A"/>
    <w:rsid w:val="00106D56"/>
    <w:rsid w:val="00106E54"/>
    <w:rsid w:val="00106F4E"/>
    <w:rsid w:val="0010708B"/>
    <w:rsid w:val="00107120"/>
    <w:rsid w:val="00107145"/>
    <w:rsid w:val="00107354"/>
    <w:rsid w:val="001074E8"/>
    <w:rsid w:val="001075EB"/>
    <w:rsid w:val="0010764B"/>
    <w:rsid w:val="001076A6"/>
    <w:rsid w:val="0010770B"/>
    <w:rsid w:val="001077E6"/>
    <w:rsid w:val="00107812"/>
    <w:rsid w:val="00107BB7"/>
    <w:rsid w:val="00107C8D"/>
    <w:rsid w:val="00107D8F"/>
    <w:rsid w:val="00107DA0"/>
    <w:rsid w:val="00107E0B"/>
    <w:rsid w:val="00110058"/>
    <w:rsid w:val="00110082"/>
    <w:rsid w:val="0011055D"/>
    <w:rsid w:val="00110855"/>
    <w:rsid w:val="00110942"/>
    <w:rsid w:val="00110B18"/>
    <w:rsid w:val="00110B8A"/>
    <w:rsid w:val="00110BCA"/>
    <w:rsid w:val="00110BEB"/>
    <w:rsid w:val="00110C13"/>
    <w:rsid w:val="00110C6B"/>
    <w:rsid w:val="00110E64"/>
    <w:rsid w:val="00110EB3"/>
    <w:rsid w:val="00111082"/>
    <w:rsid w:val="00111096"/>
    <w:rsid w:val="001110D4"/>
    <w:rsid w:val="001112FA"/>
    <w:rsid w:val="001113F7"/>
    <w:rsid w:val="00111417"/>
    <w:rsid w:val="001116E1"/>
    <w:rsid w:val="00111764"/>
    <w:rsid w:val="00111891"/>
    <w:rsid w:val="00111937"/>
    <w:rsid w:val="00111C52"/>
    <w:rsid w:val="00111D05"/>
    <w:rsid w:val="00111D40"/>
    <w:rsid w:val="00111D5F"/>
    <w:rsid w:val="00111DEA"/>
    <w:rsid w:val="00111E57"/>
    <w:rsid w:val="00111F54"/>
    <w:rsid w:val="00112070"/>
    <w:rsid w:val="00112085"/>
    <w:rsid w:val="0011267A"/>
    <w:rsid w:val="001126EE"/>
    <w:rsid w:val="001129A8"/>
    <w:rsid w:val="00112AF4"/>
    <w:rsid w:val="00112B31"/>
    <w:rsid w:val="00112C27"/>
    <w:rsid w:val="00112E83"/>
    <w:rsid w:val="00113107"/>
    <w:rsid w:val="00113120"/>
    <w:rsid w:val="001134DD"/>
    <w:rsid w:val="001135D7"/>
    <w:rsid w:val="00113608"/>
    <w:rsid w:val="00113671"/>
    <w:rsid w:val="001137F2"/>
    <w:rsid w:val="00113968"/>
    <w:rsid w:val="00113A29"/>
    <w:rsid w:val="00113A76"/>
    <w:rsid w:val="00113DA1"/>
    <w:rsid w:val="00113DF1"/>
    <w:rsid w:val="00113EA8"/>
    <w:rsid w:val="00113EB0"/>
    <w:rsid w:val="001140A4"/>
    <w:rsid w:val="001140C8"/>
    <w:rsid w:val="00114105"/>
    <w:rsid w:val="00114237"/>
    <w:rsid w:val="001142C1"/>
    <w:rsid w:val="001148D5"/>
    <w:rsid w:val="0011499B"/>
    <w:rsid w:val="00114AD8"/>
    <w:rsid w:val="00114AF2"/>
    <w:rsid w:val="00114B10"/>
    <w:rsid w:val="00114BB1"/>
    <w:rsid w:val="00114C4C"/>
    <w:rsid w:val="00114EFC"/>
    <w:rsid w:val="001155F0"/>
    <w:rsid w:val="001157D2"/>
    <w:rsid w:val="001157D8"/>
    <w:rsid w:val="001159BE"/>
    <w:rsid w:val="00115AF6"/>
    <w:rsid w:val="00115AFD"/>
    <w:rsid w:val="00115B06"/>
    <w:rsid w:val="00115B56"/>
    <w:rsid w:val="00115BBE"/>
    <w:rsid w:val="00115C67"/>
    <w:rsid w:val="00115ECB"/>
    <w:rsid w:val="0011607C"/>
    <w:rsid w:val="001160E8"/>
    <w:rsid w:val="0011635B"/>
    <w:rsid w:val="00116378"/>
    <w:rsid w:val="001164C6"/>
    <w:rsid w:val="001164F1"/>
    <w:rsid w:val="00116553"/>
    <w:rsid w:val="0011657F"/>
    <w:rsid w:val="001165BD"/>
    <w:rsid w:val="001165FE"/>
    <w:rsid w:val="00116A35"/>
    <w:rsid w:val="00116B90"/>
    <w:rsid w:val="00116CF0"/>
    <w:rsid w:val="00116EE4"/>
    <w:rsid w:val="00117169"/>
    <w:rsid w:val="00117222"/>
    <w:rsid w:val="0011727C"/>
    <w:rsid w:val="001172A5"/>
    <w:rsid w:val="001172E2"/>
    <w:rsid w:val="001175D9"/>
    <w:rsid w:val="00117651"/>
    <w:rsid w:val="001176F2"/>
    <w:rsid w:val="001178AA"/>
    <w:rsid w:val="00117C1E"/>
    <w:rsid w:val="00117CE0"/>
    <w:rsid w:val="00117E4A"/>
    <w:rsid w:val="00117EA5"/>
    <w:rsid w:val="00117F33"/>
    <w:rsid w:val="00120011"/>
    <w:rsid w:val="0012016C"/>
    <w:rsid w:val="00120250"/>
    <w:rsid w:val="001202B6"/>
    <w:rsid w:val="001202FC"/>
    <w:rsid w:val="00120306"/>
    <w:rsid w:val="00120500"/>
    <w:rsid w:val="001205AC"/>
    <w:rsid w:val="00120981"/>
    <w:rsid w:val="00120A70"/>
    <w:rsid w:val="00120B66"/>
    <w:rsid w:val="00120DDA"/>
    <w:rsid w:val="00120E17"/>
    <w:rsid w:val="00120EE6"/>
    <w:rsid w:val="00120FC2"/>
    <w:rsid w:val="00121075"/>
    <w:rsid w:val="001212B7"/>
    <w:rsid w:val="0012135A"/>
    <w:rsid w:val="0012140D"/>
    <w:rsid w:val="0012162C"/>
    <w:rsid w:val="00121645"/>
    <w:rsid w:val="0012168F"/>
    <w:rsid w:val="001216E6"/>
    <w:rsid w:val="00121830"/>
    <w:rsid w:val="00121AE9"/>
    <w:rsid w:val="00121C20"/>
    <w:rsid w:val="00121CF4"/>
    <w:rsid w:val="00121D70"/>
    <w:rsid w:val="00121D7F"/>
    <w:rsid w:val="00121D97"/>
    <w:rsid w:val="00121E48"/>
    <w:rsid w:val="00121EDD"/>
    <w:rsid w:val="00121F16"/>
    <w:rsid w:val="00122264"/>
    <w:rsid w:val="00122408"/>
    <w:rsid w:val="00122520"/>
    <w:rsid w:val="00122554"/>
    <w:rsid w:val="00122572"/>
    <w:rsid w:val="00122622"/>
    <w:rsid w:val="001226F2"/>
    <w:rsid w:val="00122733"/>
    <w:rsid w:val="001227AC"/>
    <w:rsid w:val="00122865"/>
    <w:rsid w:val="001229A1"/>
    <w:rsid w:val="00122A09"/>
    <w:rsid w:val="00122A6F"/>
    <w:rsid w:val="00122BFB"/>
    <w:rsid w:val="00122C61"/>
    <w:rsid w:val="00122C91"/>
    <w:rsid w:val="00122CCD"/>
    <w:rsid w:val="00122DCA"/>
    <w:rsid w:val="00122E82"/>
    <w:rsid w:val="00122F25"/>
    <w:rsid w:val="0012305E"/>
    <w:rsid w:val="001231E0"/>
    <w:rsid w:val="001231E3"/>
    <w:rsid w:val="001234AE"/>
    <w:rsid w:val="001236A7"/>
    <w:rsid w:val="001237D2"/>
    <w:rsid w:val="00123812"/>
    <w:rsid w:val="00123A84"/>
    <w:rsid w:val="00123A87"/>
    <w:rsid w:val="00123B83"/>
    <w:rsid w:val="00123C8F"/>
    <w:rsid w:val="0012408D"/>
    <w:rsid w:val="001240F7"/>
    <w:rsid w:val="00124151"/>
    <w:rsid w:val="0012415F"/>
    <w:rsid w:val="00124245"/>
    <w:rsid w:val="00124285"/>
    <w:rsid w:val="00124413"/>
    <w:rsid w:val="001244DC"/>
    <w:rsid w:val="0012453F"/>
    <w:rsid w:val="001245FA"/>
    <w:rsid w:val="001247CE"/>
    <w:rsid w:val="00124833"/>
    <w:rsid w:val="00124963"/>
    <w:rsid w:val="00124A86"/>
    <w:rsid w:val="00124B35"/>
    <w:rsid w:val="00124C3F"/>
    <w:rsid w:val="00124CB0"/>
    <w:rsid w:val="00124DA3"/>
    <w:rsid w:val="00124E16"/>
    <w:rsid w:val="00124E21"/>
    <w:rsid w:val="00124F70"/>
    <w:rsid w:val="00124F82"/>
    <w:rsid w:val="001250D9"/>
    <w:rsid w:val="00125309"/>
    <w:rsid w:val="0012539D"/>
    <w:rsid w:val="001254C4"/>
    <w:rsid w:val="00125557"/>
    <w:rsid w:val="00125571"/>
    <w:rsid w:val="00125622"/>
    <w:rsid w:val="001256FD"/>
    <w:rsid w:val="0012578B"/>
    <w:rsid w:val="001257E2"/>
    <w:rsid w:val="00125943"/>
    <w:rsid w:val="00125B49"/>
    <w:rsid w:val="00125BD7"/>
    <w:rsid w:val="00125D97"/>
    <w:rsid w:val="00125E16"/>
    <w:rsid w:val="00125ED9"/>
    <w:rsid w:val="00125F6C"/>
    <w:rsid w:val="0012626B"/>
    <w:rsid w:val="00126323"/>
    <w:rsid w:val="0012632D"/>
    <w:rsid w:val="0012637A"/>
    <w:rsid w:val="00126391"/>
    <w:rsid w:val="001263B9"/>
    <w:rsid w:val="001264BA"/>
    <w:rsid w:val="0012658A"/>
    <w:rsid w:val="00126629"/>
    <w:rsid w:val="00126709"/>
    <w:rsid w:val="0012677A"/>
    <w:rsid w:val="001268AC"/>
    <w:rsid w:val="00126B0C"/>
    <w:rsid w:val="00126BC6"/>
    <w:rsid w:val="00126D26"/>
    <w:rsid w:val="00126DA9"/>
    <w:rsid w:val="00126DD3"/>
    <w:rsid w:val="00126E33"/>
    <w:rsid w:val="00126E85"/>
    <w:rsid w:val="00126F5E"/>
    <w:rsid w:val="00127051"/>
    <w:rsid w:val="001271E6"/>
    <w:rsid w:val="00127359"/>
    <w:rsid w:val="001273E8"/>
    <w:rsid w:val="001274C1"/>
    <w:rsid w:val="001274D7"/>
    <w:rsid w:val="00127569"/>
    <w:rsid w:val="0012784C"/>
    <w:rsid w:val="0012793E"/>
    <w:rsid w:val="00127B80"/>
    <w:rsid w:val="00127F1C"/>
    <w:rsid w:val="00130064"/>
    <w:rsid w:val="0013006F"/>
    <w:rsid w:val="00130106"/>
    <w:rsid w:val="00130287"/>
    <w:rsid w:val="001302C5"/>
    <w:rsid w:val="001303BB"/>
    <w:rsid w:val="001303CA"/>
    <w:rsid w:val="00130563"/>
    <w:rsid w:val="001305B3"/>
    <w:rsid w:val="0013072C"/>
    <w:rsid w:val="0013095F"/>
    <w:rsid w:val="00130BA4"/>
    <w:rsid w:val="00130FC0"/>
    <w:rsid w:val="00130FDE"/>
    <w:rsid w:val="001310D9"/>
    <w:rsid w:val="00131195"/>
    <w:rsid w:val="001312DB"/>
    <w:rsid w:val="00131439"/>
    <w:rsid w:val="0013145D"/>
    <w:rsid w:val="00131518"/>
    <w:rsid w:val="0013158B"/>
    <w:rsid w:val="001315D3"/>
    <w:rsid w:val="001315E2"/>
    <w:rsid w:val="0013173E"/>
    <w:rsid w:val="0013176E"/>
    <w:rsid w:val="0013183B"/>
    <w:rsid w:val="0013189A"/>
    <w:rsid w:val="00131AAC"/>
    <w:rsid w:val="00131ACF"/>
    <w:rsid w:val="00131B59"/>
    <w:rsid w:val="00131CCB"/>
    <w:rsid w:val="00131D95"/>
    <w:rsid w:val="00131E3E"/>
    <w:rsid w:val="00131F0F"/>
    <w:rsid w:val="00132005"/>
    <w:rsid w:val="001320E4"/>
    <w:rsid w:val="001321E1"/>
    <w:rsid w:val="00132282"/>
    <w:rsid w:val="00132463"/>
    <w:rsid w:val="00132607"/>
    <w:rsid w:val="001327D4"/>
    <w:rsid w:val="0013287F"/>
    <w:rsid w:val="00132910"/>
    <w:rsid w:val="00132933"/>
    <w:rsid w:val="00132A29"/>
    <w:rsid w:val="00132A2A"/>
    <w:rsid w:val="00132A61"/>
    <w:rsid w:val="00132ADF"/>
    <w:rsid w:val="00132DC1"/>
    <w:rsid w:val="00132DF2"/>
    <w:rsid w:val="00132E37"/>
    <w:rsid w:val="00132E43"/>
    <w:rsid w:val="00133193"/>
    <w:rsid w:val="0013320F"/>
    <w:rsid w:val="00133628"/>
    <w:rsid w:val="00133646"/>
    <w:rsid w:val="0013374E"/>
    <w:rsid w:val="001337E5"/>
    <w:rsid w:val="0013381B"/>
    <w:rsid w:val="00133AB2"/>
    <w:rsid w:val="00133FC7"/>
    <w:rsid w:val="0013432D"/>
    <w:rsid w:val="00134336"/>
    <w:rsid w:val="001344B6"/>
    <w:rsid w:val="0013458E"/>
    <w:rsid w:val="001345ED"/>
    <w:rsid w:val="0013471E"/>
    <w:rsid w:val="00134754"/>
    <w:rsid w:val="00134814"/>
    <w:rsid w:val="001349C0"/>
    <w:rsid w:val="00134A10"/>
    <w:rsid w:val="00135033"/>
    <w:rsid w:val="001350CD"/>
    <w:rsid w:val="00135238"/>
    <w:rsid w:val="001353A0"/>
    <w:rsid w:val="0013544E"/>
    <w:rsid w:val="0013547D"/>
    <w:rsid w:val="001354A8"/>
    <w:rsid w:val="001355EA"/>
    <w:rsid w:val="00135636"/>
    <w:rsid w:val="0013563A"/>
    <w:rsid w:val="00135667"/>
    <w:rsid w:val="001358F7"/>
    <w:rsid w:val="00135BFF"/>
    <w:rsid w:val="00135C45"/>
    <w:rsid w:val="00135C6C"/>
    <w:rsid w:val="00135D0E"/>
    <w:rsid w:val="00135F6E"/>
    <w:rsid w:val="001360E2"/>
    <w:rsid w:val="00136164"/>
    <w:rsid w:val="0013620A"/>
    <w:rsid w:val="00136266"/>
    <w:rsid w:val="001363DB"/>
    <w:rsid w:val="0013643E"/>
    <w:rsid w:val="00136547"/>
    <w:rsid w:val="00136656"/>
    <w:rsid w:val="00136744"/>
    <w:rsid w:val="001367C1"/>
    <w:rsid w:val="001368A3"/>
    <w:rsid w:val="0013696E"/>
    <w:rsid w:val="00136A46"/>
    <w:rsid w:val="00136A63"/>
    <w:rsid w:val="00136A66"/>
    <w:rsid w:val="00136BE1"/>
    <w:rsid w:val="00136DDA"/>
    <w:rsid w:val="00136FCF"/>
    <w:rsid w:val="00136FE0"/>
    <w:rsid w:val="00137017"/>
    <w:rsid w:val="00137093"/>
    <w:rsid w:val="001370E6"/>
    <w:rsid w:val="00137235"/>
    <w:rsid w:val="001373DE"/>
    <w:rsid w:val="00137632"/>
    <w:rsid w:val="00137634"/>
    <w:rsid w:val="001376F2"/>
    <w:rsid w:val="00137953"/>
    <w:rsid w:val="00137A1F"/>
    <w:rsid w:val="00137A8D"/>
    <w:rsid w:val="00137C94"/>
    <w:rsid w:val="00137D29"/>
    <w:rsid w:val="00137DC8"/>
    <w:rsid w:val="00137E06"/>
    <w:rsid w:val="00137ECA"/>
    <w:rsid w:val="00140050"/>
    <w:rsid w:val="001401DE"/>
    <w:rsid w:val="0014033C"/>
    <w:rsid w:val="0014037E"/>
    <w:rsid w:val="001403E8"/>
    <w:rsid w:val="00140514"/>
    <w:rsid w:val="00140541"/>
    <w:rsid w:val="0014079D"/>
    <w:rsid w:val="001407FE"/>
    <w:rsid w:val="0014092E"/>
    <w:rsid w:val="00140993"/>
    <w:rsid w:val="00140A28"/>
    <w:rsid w:val="00140ACA"/>
    <w:rsid w:val="00140E24"/>
    <w:rsid w:val="0014110B"/>
    <w:rsid w:val="001413C2"/>
    <w:rsid w:val="001416B7"/>
    <w:rsid w:val="001418AA"/>
    <w:rsid w:val="00141921"/>
    <w:rsid w:val="00141A3C"/>
    <w:rsid w:val="00141A66"/>
    <w:rsid w:val="00141B18"/>
    <w:rsid w:val="00141BC5"/>
    <w:rsid w:val="00141C22"/>
    <w:rsid w:val="00141C4A"/>
    <w:rsid w:val="00141CC5"/>
    <w:rsid w:val="00141CEE"/>
    <w:rsid w:val="00141D01"/>
    <w:rsid w:val="00141E4B"/>
    <w:rsid w:val="00141F03"/>
    <w:rsid w:val="0014210C"/>
    <w:rsid w:val="001421DE"/>
    <w:rsid w:val="0014228C"/>
    <w:rsid w:val="001422BE"/>
    <w:rsid w:val="00142397"/>
    <w:rsid w:val="0014245C"/>
    <w:rsid w:val="00142546"/>
    <w:rsid w:val="0014268B"/>
    <w:rsid w:val="001426C7"/>
    <w:rsid w:val="001428FD"/>
    <w:rsid w:val="00142944"/>
    <w:rsid w:val="00143058"/>
    <w:rsid w:val="001432A6"/>
    <w:rsid w:val="00143370"/>
    <w:rsid w:val="001433FE"/>
    <w:rsid w:val="001434F7"/>
    <w:rsid w:val="0014350B"/>
    <w:rsid w:val="001435D4"/>
    <w:rsid w:val="001435EC"/>
    <w:rsid w:val="00143731"/>
    <w:rsid w:val="001437C9"/>
    <w:rsid w:val="0014395A"/>
    <w:rsid w:val="00143A1B"/>
    <w:rsid w:val="00143B9D"/>
    <w:rsid w:val="00143BF8"/>
    <w:rsid w:val="00144075"/>
    <w:rsid w:val="00144086"/>
    <w:rsid w:val="0014412F"/>
    <w:rsid w:val="00144207"/>
    <w:rsid w:val="00144673"/>
    <w:rsid w:val="00144705"/>
    <w:rsid w:val="001447DA"/>
    <w:rsid w:val="001447DD"/>
    <w:rsid w:val="0014496B"/>
    <w:rsid w:val="00144A0F"/>
    <w:rsid w:val="00144A52"/>
    <w:rsid w:val="00144CB6"/>
    <w:rsid w:val="00144DFB"/>
    <w:rsid w:val="00144F23"/>
    <w:rsid w:val="00144FDE"/>
    <w:rsid w:val="00145016"/>
    <w:rsid w:val="001452FB"/>
    <w:rsid w:val="00145365"/>
    <w:rsid w:val="001455EB"/>
    <w:rsid w:val="001457D2"/>
    <w:rsid w:val="001458EF"/>
    <w:rsid w:val="00145ACD"/>
    <w:rsid w:val="00145AD3"/>
    <w:rsid w:val="00145B4C"/>
    <w:rsid w:val="00145B5D"/>
    <w:rsid w:val="00145C0E"/>
    <w:rsid w:val="00145C4B"/>
    <w:rsid w:val="00145C7F"/>
    <w:rsid w:val="00145CD5"/>
    <w:rsid w:val="00145D80"/>
    <w:rsid w:val="00145D81"/>
    <w:rsid w:val="00145FEB"/>
    <w:rsid w:val="001460A2"/>
    <w:rsid w:val="0014636C"/>
    <w:rsid w:val="00146582"/>
    <w:rsid w:val="001466F5"/>
    <w:rsid w:val="00146845"/>
    <w:rsid w:val="0014685F"/>
    <w:rsid w:val="00146AAC"/>
    <w:rsid w:val="00146C46"/>
    <w:rsid w:val="00146DEA"/>
    <w:rsid w:val="00146E6D"/>
    <w:rsid w:val="00146F3E"/>
    <w:rsid w:val="00146FC5"/>
    <w:rsid w:val="0014700F"/>
    <w:rsid w:val="001470BD"/>
    <w:rsid w:val="0014719B"/>
    <w:rsid w:val="00147304"/>
    <w:rsid w:val="0014733E"/>
    <w:rsid w:val="00147368"/>
    <w:rsid w:val="0014737C"/>
    <w:rsid w:val="001473C3"/>
    <w:rsid w:val="001476FC"/>
    <w:rsid w:val="0014772E"/>
    <w:rsid w:val="001479DD"/>
    <w:rsid w:val="00147AB9"/>
    <w:rsid w:val="00147B7D"/>
    <w:rsid w:val="00147C31"/>
    <w:rsid w:val="00147C58"/>
    <w:rsid w:val="00147C6D"/>
    <w:rsid w:val="00147D12"/>
    <w:rsid w:val="00147D2A"/>
    <w:rsid w:val="00147D75"/>
    <w:rsid w:val="00147DF1"/>
    <w:rsid w:val="00147F4E"/>
    <w:rsid w:val="0015005B"/>
    <w:rsid w:val="001501A4"/>
    <w:rsid w:val="0015026B"/>
    <w:rsid w:val="00150289"/>
    <w:rsid w:val="001502D2"/>
    <w:rsid w:val="001503A7"/>
    <w:rsid w:val="00150481"/>
    <w:rsid w:val="001504E9"/>
    <w:rsid w:val="001505D0"/>
    <w:rsid w:val="001506B8"/>
    <w:rsid w:val="0015084C"/>
    <w:rsid w:val="00150948"/>
    <w:rsid w:val="00150A73"/>
    <w:rsid w:val="00150B36"/>
    <w:rsid w:val="00150DCA"/>
    <w:rsid w:val="00150FE0"/>
    <w:rsid w:val="001511A5"/>
    <w:rsid w:val="001511A8"/>
    <w:rsid w:val="0015120C"/>
    <w:rsid w:val="00151265"/>
    <w:rsid w:val="001514DA"/>
    <w:rsid w:val="00151618"/>
    <w:rsid w:val="0015175A"/>
    <w:rsid w:val="00151AA3"/>
    <w:rsid w:val="00151BB9"/>
    <w:rsid w:val="00151D08"/>
    <w:rsid w:val="00151E1F"/>
    <w:rsid w:val="00151EF3"/>
    <w:rsid w:val="00151F10"/>
    <w:rsid w:val="00152008"/>
    <w:rsid w:val="00152019"/>
    <w:rsid w:val="001520AA"/>
    <w:rsid w:val="00152358"/>
    <w:rsid w:val="00152445"/>
    <w:rsid w:val="0015253C"/>
    <w:rsid w:val="001525B8"/>
    <w:rsid w:val="00152691"/>
    <w:rsid w:val="00152699"/>
    <w:rsid w:val="0015282F"/>
    <w:rsid w:val="001528D2"/>
    <w:rsid w:val="001528DA"/>
    <w:rsid w:val="0015293C"/>
    <w:rsid w:val="00152981"/>
    <w:rsid w:val="00152A06"/>
    <w:rsid w:val="00152A61"/>
    <w:rsid w:val="00152C4E"/>
    <w:rsid w:val="00152E0B"/>
    <w:rsid w:val="00152E4E"/>
    <w:rsid w:val="00152E79"/>
    <w:rsid w:val="00152F1B"/>
    <w:rsid w:val="00152F6C"/>
    <w:rsid w:val="0015307C"/>
    <w:rsid w:val="001530B1"/>
    <w:rsid w:val="00153170"/>
    <w:rsid w:val="001531FE"/>
    <w:rsid w:val="001533BB"/>
    <w:rsid w:val="00153401"/>
    <w:rsid w:val="001535C0"/>
    <w:rsid w:val="001536D2"/>
    <w:rsid w:val="0015372F"/>
    <w:rsid w:val="00153865"/>
    <w:rsid w:val="001538BE"/>
    <w:rsid w:val="0015394B"/>
    <w:rsid w:val="00153C04"/>
    <w:rsid w:val="00153D99"/>
    <w:rsid w:val="00153F27"/>
    <w:rsid w:val="0015401E"/>
    <w:rsid w:val="00154026"/>
    <w:rsid w:val="00154109"/>
    <w:rsid w:val="001543ED"/>
    <w:rsid w:val="0015443F"/>
    <w:rsid w:val="00154523"/>
    <w:rsid w:val="00154535"/>
    <w:rsid w:val="0015455F"/>
    <w:rsid w:val="00154626"/>
    <w:rsid w:val="00154774"/>
    <w:rsid w:val="001547EA"/>
    <w:rsid w:val="00154851"/>
    <w:rsid w:val="00154881"/>
    <w:rsid w:val="001549CC"/>
    <w:rsid w:val="00154AC8"/>
    <w:rsid w:val="00154B4C"/>
    <w:rsid w:val="00154C04"/>
    <w:rsid w:val="00154C34"/>
    <w:rsid w:val="00154E43"/>
    <w:rsid w:val="00154EF8"/>
    <w:rsid w:val="00154FD6"/>
    <w:rsid w:val="001551C1"/>
    <w:rsid w:val="00155276"/>
    <w:rsid w:val="00155315"/>
    <w:rsid w:val="001554DC"/>
    <w:rsid w:val="00155534"/>
    <w:rsid w:val="00155757"/>
    <w:rsid w:val="001557DB"/>
    <w:rsid w:val="00155809"/>
    <w:rsid w:val="00155821"/>
    <w:rsid w:val="00155828"/>
    <w:rsid w:val="00155879"/>
    <w:rsid w:val="001558D6"/>
    <w:rsid w:val="00155D18"/>
    <w:rsid w:val="00155DCB"/>
    <w:rsid w:val="00156214"/>
    <w:rsid w:val="00156249"/>
    <w:rsid w:val="00156367"/>
    <w:rsid w:val="0015656D"/>
    <w:rsid w:val="001565FC"/>
    <w:rsid w:val="0015667F"/>
    <w:rsid w:val="00156731"/>
    <w:rsid w:val="0015673B"/>
    <w:rsid w:val="00156827"/>
    <w:rsid w:val="00156931"/>
    <w:rsid w:val="0015696A"/>
    <w:rsid w:val="00156984"/>
    <w:rsid w:val="00156D06"/>
    <w:rsid w:val="00156DA3"/>
    <w:rsid w:val="00156DD6"/>
    <w:rsid w:val="00156E3A"/>
    <w:rsid w:val="00156EA5"/>
    <w:rsid w:val="00156ED9"/>
    <w:rsid w:val="00156F7C"/>
    <w:rsid w:val="001570E6"/>
    <w:rsid w:val="00157311"/>
    <w:rsid w:val="001573B4"/>
    <w:rsid w:val="00157512"/>
    <w:rsid w:val="00157664"/>
    <w:rsid w:val="00157716"/>
    <w:rsid w:val="001578D7"/>
    <w:rsid w:val="0015796A"/>
    <w:rsid w:val="00157B45"/>
    <w:rsid w:val="00157B46"/>
    <w:rsid w:val="00157C3C"/>
    <w:rsid w:val="00157CC9"/>
    <w:rsid w:val="00157E28"/>
    <w:rsid w:val="00157E2F"/>
    <w:rsid w:val="00157E66"/>
    <w:rsid w:val="00157F19"/>
    <w:rsid w:val="00157FAB"/>
    <w:rsid w:val="00157FC3"/>
    <w:rsid w:val="0015F7C3"/>
    <w:rsid w:val="00160293"/>
    <w:rsid w:val="001602BF"/>
    <w:rsid w:val="00160440"/>
    <w:rsid w:val="001605C1"/>
    <w:rsid w:val="001605F6"/>
    <w:rsid w:val="0016068B"/>
    <w:rsid w:val="00160808"/>
    <w:rsid w:val="001608EE"/>
    <w:rsid w:val="00160B0B"/>
    <w:rsid w:val="00160DA2"/>
    <w:rsid w:val="00160DAB"/>
    <w:rsid w:val="00160F4D"/>
    <w:rsid w:val="001611A3"/>
    <w:rsid w:val="00161362"/>
    <w:rsid w:val="001613F3"/>
    <w:rsid w:val="00161427"/>
    <w:rsid w:val="001614F5"/>
    <w:rsid w:val="001615F1"/>
    <w:rsid w:val="001617F3"/>
    <w:rsid w:val="0016183A"/>
    <w:rsid w:val="00161A01"/>
    <w:rsid w:val="00161C36"/>
    <w:rsid w:val="00161DCB"/>
    <w:rsid w:val="00162008"/>
    <w:rsid w:val="00162150"/>
    <w:rsid w:val="0016217C"/>
    <w:rsid w:val="00162198"/>
    <w:rsid w:val="001622A4"/>
    <w:rsid w:val="001623A2"/>
    <w:rsid w:val="00162665"/>
    <w:rsid w:val="00162752"/>
    <w:rsid w:val="0016282C"/>
    <w:rsid w:val="0016284B"/>
    <w:rsid w:val="001629BB"/>
    <w:rsid w:val="00162AC3"/>
    <w:rsid w:val="00162BF8"/>
    <w:rsid w:val="00162C91"/>
    <w:rsid w:val="00162CA4"/>
    <w:rsid w:val="00162D8F"/>
    <w:rsid w:val="00162FE5"/>
    <w:rsid w:val="001630F9"/>
    <w:rsid w:val="00163135"/>
    <w:rsid w:val="00163212"/>
    <w:rsid w:val="0016340B"/>
    <w:rsid w:val="001634BA"/>
    <w:rsid w:val="001634D6"/>
    <w:rsid w:val="0016366A"/>
    <w:rsid w:val="001637A7"/>
    <w:rsid w:val="001637CD"/>
    <w:rsid w:val="001638C4"/>
    <w:rsid w:val="00163997"/>
    <w:rsid w:val="001639AC"/>
    <w:rsid w:val="00163A88"/>
    <w:rsid w:val="00163C9F"/>
    <w:rsid w:val="00163DC7"/>
    <w:rsid w:val="00163EFE"/>
    <w:rsid w:val="00163F0F"/>
    <w:rsid w:val="00163F4B"/>
    <w:rsid w:val="00163F51"/>
    <w:rsid w:val="00163F8E"/>
    <w:rsid w:val="00164004"/>
    <w:rsid w:val="001640C6"/>
    <w:rsid w:val="001641C9"/>
    <w:rsid w:val="001642A1"/>
    <w:rsid w:val="00164377"/>
    <w:rsid w:val="001644B8"/>
    <w:rsid w:val="00164619"/>
    <w:rsid w:val="00164632"/>
    <w:rsid w:val="00164834"/>
    <w:rsid w:val="00164AB4"/>
    <w:rsid w:val="00164AC7"/>
    <w:rsid w:val="00164D05"/>
    <w:rsid w:val="0016516E"/>
    <w:rsid w:val="001653B3"/>
    <w:rsid w:val="001654A9"/>
    <w:rsid w:val="0016554E"/>
    <w:rsid w:val="00165550"/>
    <w:rsid w:val="001655ED"/>
    <w:rsid w:val="001655FB"/>
    <w:rsid w:val="001656A6"/>
    <w:rsid w:val="001656CF"/>
    <w:rsid w:val="001657C0"/>
    <w:rsid w:val="001657C1"/>
    <w:rsid w:val="00165A18"/>
    <w:rsid w:val="00165B1C"/>
    <w:rsid w:val="00165ED9"/>
    <w:rsid w:val="001661A3"/>
    <w:rsid w:val="0016625B"/>
    <w:rsid w:val="00166294"/>
    <w:rsid w:val="001662AF"/>
    <w:rsid w:val="0016640E"/>
    <w:rsid w:val="001664FB"/>
    <w:rsid w:val="00166627"/>
    <w:rsid w:val="00166757"/>
    <w:rsid w:val="0016675E"/>
    <w:rsid w:val="001668C0"/>
    <w:rsid w:val="001669F8"/>
    <w:rsid w:val="00166CCE"/>
    <w:rsid w:val="00166D51"/>
    <w:rsid w:val="00166EBC"/>
    <w:rsid w:val="001672C3"/>
    <w:rsid w:val="001673B4"/>
    <w:rsid w:val="001674EA"/>
    <w:rsid w:val="00167573"/>
    <w:rsid w:val="001675BE"/>
    <w:rsid w:val="001675C9"/>
    <w:rsid w:val="00167608"/>
    <w:rsid w:val="001676CE"/>
    <w:rsid w:val="001677F2"/>
    <w:rsid w:val="00167859"/>
    <w:rsid w:val="001678CC"/>
    <w:rsid w:val="00167990"/>
    <w:rsid w:val="001679C1"/>
    <w:rsid w:val="00167A38"/>
    <w:rsid w:val="00167A86"/>
    <w:rsid w:val="00167B4C"/>
    <w:rsid w:val="00167B5C"/>
    <w:rsid w:val="00167B9B"/>
    <w:rsid w:val="00167DFE"/>
    <w:rsid w:val="00170122"/>
    <w:rsid w:val="0017018B"/>
    <w:rsid w:val="001701A1"/>
    <w:rsid w:val="0017028B"/>
    <w:rsid w:val="001702BC"/>
    <w:rsid w:val="001702E3"/>
    <w:rsid w:val="00170305"/>
    <w:rsid w:val="00170343"/>
    <w:rsid w:val="0017047C"/>
    <w:rsid w:val="00170522"/>
    <w:rsid w:val="00170562"/>
    <w:rsid w:val="00170773"/>
    <w:rsid w:val="001707F3"/>
    <w:rsid w:val="0017090F"/>
    <w:rsid w:val="00170B4A"/>
    <w:rsid w:val="00170B94"/>
    <w:rsid w:val="00170C38"/>
    <w:rsid w:val="00170D02"/>
    <w:rsid w:val="00170D99"/>
    <w:rsid w:val="00170E3C"/>
    <w:rsid w:val="0017115A"/>
    <w:rsid w:val="001713F2"/>
    <w:rsid w:val="001714A3"/>
    <w:rsid w:val="00171679"/>
    <w:rsid w:val="001716C8"/>
    <w:rsid w:val="0017179C"/>
    <w:rsid w:val="001719F2"/>
    <w:rsid w:val="00171A1C"/>
    <w:rsid w:val="00171A9A"/>
    <w:rsid w:val="00171B99"/>
    <w:rsid w:val="00171DAB"/>
    <w:rsid w:val="00171EBF"/>
    <w:rsid w:val="00172071"/>
    <w:rsid w:val="00172168"/>
    <w:rsid w:val="00172334"/>
    <w:rsid w:val="00172432"/>
    <w:rsid w:val="00172523"/>
    <w:rsid w:val="00172852"/>
    <w:rsid w:val="001728BF"/>
    <w:rsid w:val="0017297D"/>
    <w:rsid w:val="001729CF"/>
    <w:rsid w:val="00172A1D"/>
    <w:rsid w:val="00172AEC"/>
    <w:rsid w:val="00172AF9"/>
    <w:rsid w:val="00172D5D"/>
    <w:rsid w:val="00172E0B"/>
    <w:rsid w:val="00172F50"/>
    <w:rsid w:val="00172FB5"/>
    <w:rsid w:val="00172FBE"/>
    <w:rsid w:val="001731CF"/>
    <w:rsid w:val="00173380"/>
    <w:rsid w:val="001733EA"/>
    <w:rsid w:val="00173437"/>
    <w:rsid w:val="0017353E"/>
    <w:rsid w:val="0017354A"/>
    <w:rsid w:val="00173617"/>
    <w:rsid w:val="0017370A"/>
    <w:rsid w:val="00173832"/>
    <w:rsid w:val="001738D1"/>
    <w:rsid w:val="00173B5A"/>
    <w:rsid w:val="00173EF9"/>
    <w:rsid w:val="00173F0F"/>
    <w:rsid w:val="00173FA7"/>
    <w:rsid w:val="00174050"/>
    <w:rsid w:val="00174179"/>
    <w:rsid w:val="00174339"/>
    <w:rsid w:val="0017441D"/>
    <w:rsid w:val="00174544"/>
    <w:rsid w:val="00174559"/>
    <w:rsid w:val="00174601"/>
    <w:rsid w:val="00174649"/>
    <w:rsid w:val="00174929"/>
    <w:rsid w:val="00174943"/>
    <w:rsid w:val="00174D26"/>
    <w:rsid w:val="00174F88"/>
    <w:rsid w:val="00175069"/>
    <w:rsid w:val="00175115"/>
    <w:rsid w:val="00175224"/>
    <w:rsid w:val="00175294"/>
    <w:rsid w:val="001753CB"/>
    <w:rsid w:val="00175438"/>
    <w:rsid w:val="001757F3"/>
    <w:rsid w:val="001758D9"/>
    <w:rsid w:val="00175EFE"/>
    <w:rsid w:val="00175F7F"/>
    <w:rsid w:val="00175FBE"/>
    <w:rsid w:val="00176071"/>
    <w:rsid w:val="00176097"/>
    <w:rsid w:val="00176166"/>
    <w:rsid w:val="001761CD"/>
    <w:rsid w:val="00176213"/>
    <w:rsid w:val="0017631C"/>
    <w:rsid w:val="00176401"/>
    <w:rsid w:val="001764B7"/>
    <w:rsid w:val="00176606"/>
    <w:rsid w:val="0017661A"/>
    <w:rsid w:val="001766DA"/>
    <w:rsid w:val="001767E3"/>
    <w:rsid w:val="00176999"/>
    <w:rsid w:val="00176BF7"/>
    <w:rsid w:val="00176C18"/>
    <w:rsid w:val="00176D64"/>
    <w:rsid w:val="00176ED8"/>
    <w:rsid w:val="00176FCF"/>
    <w:rsid w:val="00176FEC"/>
    <w:rsid w:val="001770F1"/>
    <w:rsid w:val="00177283"/>
    <w:rsid w:val="0017734B"/>
    <w:rsid w:val="0017736C"/>
    <w:rsid w:val="001773ED"/>
    <w:rsid w:val="001774FB"/>
    <w:rsid w:val="00177625"/>
    <w:rsid w:val="001776A1"/>
    <w:rsid w:val="001776E6"/>
    <w:rsid w:val="00177764"/>
    <w:rsid w:val="00177808"/>
    <w:rsid w:val="00177872"/>
    <w:rsid w:val="00177922"/>
    <w:rsid w:val="00177967"/>
    <w:rsid w:val="00177B37"/>
    <w:rsid w:val="00177BB7"/>
    <w:rsid w:val="00177BD5"/>
    <w:rsid w:val="00177C08"/>
    <w:rsid w:val="00177E77"/>
    <w:rsid w:val="00177F98"/>
    <w:rsid w:val="00177FED"/>
    <w:rsid w:val="001804A1"/>
    <w:rsid w:val="00180582"/>
    <w:rsid w:val="00180785"/>
    <w:rsid w:val="0018080A"/>
    <w:rsid w:val="00180820"/>
    <w:rsid w:val="00180906"/>
    <w:rsid w:val="00180B7A"/>
    <w:rsid w:val="00180B8A"/>
    <w:rsid w:val="00180BEB"/>
    <w:rsid w:val="00180D88"/>
    <w:rsid w:val="00180E1E"/>
    <w:rsid w:val="001812BD"/>
    <w:rsid w:val="001813DD"/>
    <w:rsid w:val="001813ED"/>
    <w:rsid w:val="00181632"/>
    <w:rsid w:val="00181642"/>
    <w:rsid w:val="001817A5"/>
    <w:rsid w:val="0018187C"/>
    <w:rsid w:val="0018188E"/>
    <w:rsid w:val="00181947"/>
    <w:rsid w:val="00181980"/>
    <w:rsid w:val="00181996"/>
    <w:rsid w:val="001819F6"/>
    <w:rsid w:val="00181BBB"/>
    <w:rsid w:val="00181C7B"/>
    <w:rsid w:val="00181EAE"/>
    <w:rsid w:val="00182020"/>
    <w:rsid w:val="001820C3"/>
    <w:rsid w:val="0018215D"/>
    <w:rsid w:val="001822DD"/>
    <w:rsid w:val="0018241E"/>
    <w:rsid w:val="00182450"/>
    <w:rsid w:val="00182AAF"/>
    <w:rsid w:val="00182B0E"/>
    <w:rsid w:val="00182BAB"/>
    <w:rsid w:val="00182CF6"/>
    <w:rsid w:val="00182D03"/>
    <w:rsid w:val="00182FBB"/>
    <w:rsid w:val="00183065"/>
    <w:rsid w:val="001830A9"/>
    <w:rsid w:val="0018320C"/>
    <w:rsid w:val="001832CB"/>
    <w:rsid w:val="00183433"/>
    <w:rsid w:val="00183797"/>
    <w:rsid w:val="001837E9"/>
    <w:rsid w:val="00183829"/>
    <w:rsid w:val="00183951"/>
    <w:rsid w:val="00183996"/>
    <w:rsid w:val="00183B35"/>
    <w:rsid w:val="00183B70"/>
    <w:rsid w:val="00183C35"/>
    <w:rsid w:val="00183C4E"/>
    <w:rsid w:val="00183DFC"/>
    <w:rsid w:val="00183E72"/>
    <w:rsid w:val="00183E96"/>
    <w:rsid w:val="00183F8A"/>
    <w:rsid w:val="0018410D"/>
    <w:rsid w:val="0018422B"/>
    <w:rsid w:val="0018438C"/>
    <w:rsid w:val="00184399"/>
    <w:rsid w:val="00184541"/>
    <w:rsid w:val="001845CE"/>
    <w:rsid w:val="001846C3"/>
    <w:rsid w:val="001846DD"/>
    <w:rsid w:val="001847F1"/>
    <w:rsid w:val="001848E1"/>
    <w:rsid w:val="001848E2"/>
    <w:rsid w:val="00184D47"/>
    <w:rsid w:val="00184D60"/>
    <w:rsid w:val="00184DDF"/>
    <w:rsid w:val="00184EA6"/>
    <w:rsid w:val="00184EEC"/>
    <w:rsid w:val="00184EF9"/>
    <w:rsid w:val="00184F21"/>
    <w:rsid w:val="0018511C"/>
    <w:rsid w:val="0018521E"/>
    <w:rsid w:val="00185591"/>
    <w:rsid w:val="001857FF"/>
    <w:rsid w:val="001858D2"/>
    <w:rsid w:val="00185925"/>
    <w:rsid w:val="00185A06"/>
    <w:rsid w:val="00185A30"/>
    <w:rsid w:val="00185AD1"/>
    <w:rsid w:val="00185B8F"/>
    <w:rsid w:val="00185C13"/>
    <w:rsid w:val="00185D34"/>
    <w:rsid w:val="00185F9B"/>
    <w:rsid w:val="00186225"/>
    <w:rsid w:val="001862EF"/>
    <w:rsid w:val="00186461"/>
    <w:rsid w:val="001864BD"/>
    <w:rsid w:val="001864C0"/>
    <w:rsid w:val="001865FE"/>
    <w:rsid w:val="001866AC"/>
    <w:rsid w:val="00186700"/>
    <w:rsid w:val="001868C5"/>
    <w:rsid w:val="001868E0"/>
    <w:rsid w:val="0018692B"/>
    <w:rsid w:val="001869AA"/>
    <w:rsid w:val="00186A0F"/>
    <w:rsid w:val="00186A32"/>
    <w:rsid w:val="00186D31"/>
    <w:rsid w:val="00186D71"/>
    <w:rsid w:val="00186E01"/>
    <w:rsid w:val="00186E4A"/>
    <w:rsid w:val="001871A2"/>
    <w:rsid w:val="00187298"/>
    <w:rsid w:val="00187436"/>
    <w:rsid w:val="00187668"/>
    <w:rsid w:val="001877BC"/>
    <w:rsid w:val="00187839"/>
    <w:rsid w:val="00187BBD"/>
    <w:rsid w:val="00187CAC"/>
    <w:rsid w:val="00187CE7"/>
    <w:rsid w:val="00187D1C"/>
    <w:rsid w:val="00187D4B"/>
    <w:rsid w:val="00187EC5"/>
    <w:rsid w:val="00187F24"/>
    <w:rsid w:val="00190096"/>
    <w:rsid w:val="00190110"/>
    <w:rsid w:val="0019022E"/>
    <w:rsid w:val="00190268"/>
    <w:rsid w:val="00190363"/>
    <w:rsid w:val="0019047A"/>
    <w:rsid w:val="0019052D"/>
    <w:rsid w:val="001905A4"/>
    <w:rsid w:val="00190721"/>
    <w:rsid w:val="00190725"/>
    <w:rsid w:val="00190736"/>
    <w:rsid w:val="00190773"/>
    <w:rsid w:val="001907FC"/>
    <w:rsid w:val="001908B9"/>
    <w:rsid w:val="00190D64"/>
    <w:rsid w:val="00190EB2"/>
    <w:rsid w:val="00190F20"/>
    <w:rsid w:val="00191052"/>
    <w:rsid w:val="0019116A"/>
    <w:rsid w:val="00191428"/>
    <w:rsid w:val="0019164A"/>
    <w:rsid w:val="0019166D"/>
    <w:rsid w:val="001916E5"/>
    <w:rsid w:val="001916E9"/>
    <w:rsid w:val="00191987"/>
    <w:rsid w:val="0019199C"/>
    <w:rsid w:val="00191C92"/>
    <w:rsid w:val="00191CD2"/>
    <w:rsid w:val="00191CD5"/>
    <w:rsid w:val="00191CE4"/>
    <w:rsid w:val="00191DFE"/>
    <w:rsid w:val="00191E76"/>
    <w:rsid w:val="001920C6"/>
    <w:rsid w:val="001921AF"/>
    <w:rsid w:val="001921E2"/>
    <w:rsid w:val="0019220C"/>
    <w:rsid w:val="00192306"/>
    <w:rsid w:val="001923CB"/>
    <w:rsid w:val="001923D1"/>
    <w:rsid w:val="00192490"/>
    <w:rsid w:val="001924A8"/>
    <w:rsid w:val="001928EA"/>
    <w:rsid w:val="0019292D"/>
    <w:rsid w:val="00192C50"/>
    <w:rsid w:val="00192E77"/>
    <w:rsid w:val="00193051"/>
    <w:rsid w:val="001931A2"/>
    <w:rsid w:val="00193240"/>
    <w:rsid w:val="001933C7"/>
    <w:rsid w:val="001934E2"/>
    <w:rsid w:val="00193850"/>
    <w:rsid w:val="0019390E"/>
    <w:rsid w:val="00193984"/>
    <w:rsid w:val="001939BB"/>
    <w:rsid w:val="00193A37"/>
    <w:rsid w:val="00193A3E"/>
    <w:rsid w:val="00193AF8"/>
    <w:rsid w:val="00193BDD"/>
    <w:rsid w:val="00193C92"/>
    <w:rsid w:val="00193C9F"/>
    <w:rsid w:val="00193D32"/>
    <w:rsid w:val="00193D94"/>
    <w:rsid w:val="0019404E"/>
    <w:rsid w:val="0019409F"/>
    <w:rsid w:val="00194107"/>
    <w:rsid w:val="001941DC"/>
    <w:rsid w:val="0019447F"/>
    <w:rsid w:val="001947D5"/>
    <w:rsid w:val="00194B00"/>
    <w:rsid w:val="00194C18"/>
    <w:rsid w:val="00194C6E"/>
    <w:rsid w:val="00194CC3"/>
    <w:rsid w:val="00194CD8"/>
    <w:rsid w:val="00194DA6"/>
    <w:rsid w:val="00194DCD"/>
    <w:rsid w:val="00194F6A"/>
    <w:rsid w:val="00195097"/>
    <w:rsid w:val="00195233"/>
    <w:rsid w:val="001952AA"/>
    <w:rsid w:val="001952D5"/>
    <w:rsid w:val="001952D8"/>
    <w:rsid w:val="00195481"/>
    <w:rsid w:val="00195503"/>
    <w:rsid w:val="00195608"/>
    <w:rsid w:val="001956F4"/>
    <w:rsid w:val="00195706"/>
    <w:rsid w:val="00195808"/>
    <w:rsid w:val="00195966"/>
    <w:rsid w:val="00195A17"/>
    <w:rsid w:val="00195A5C"/>
    <w:rsid w:val="00195A87"/>
    <w:rsid w:val="00195A96"/>
    <w:rsid w:val="00195B4F"/>
    <w:rsid w:val="00195B9B"/>
    <w:rsid w:val="00195D55"/>
    <w:rsid w:val="00195ED0"/>
    <w:rsid w:val="00196102"/>
    <w:rsid w:val="00196161"/>
    <w:rsid w:val="0019624A"/>
    <w:rsid w:val="0019630D"/>
    <w:rsid w:val="0019647E"/>
    <w:rsid w:val="001964FC"/>
    <w:rsid w:val="00196626"/>
    <w:rsid w:val="001966BB"/>
    <w:rsid w:val="001968AB"/>
    <w:rsid w:val="001968AD"/>
    <w:rsid w:val="0019691E"/>
    <w:rsid w:val="001969B0"/>
    <w:rsid w:val="00196A76"/>
    <w:rsid w:val="00196AB8"/>
    <w:rsid w:val="00196AC0"/>
    <w:rsid w:val="00196AFB"/>
    <w:rsid w:val="00196B1D"/>
    <w:rsid w:val="00196B39"/>
    <w:rsid w:val="00196BF5"/>
    <w:rsid w:val="00196CF0"/>
    <w:rsid w:val="00196EC6"/>
    <w:rsid w:val="00196F39"/>
    <w:rsid w:val="00196FCB"/>
    <w:rsid w:val="00197282"/>
    <w:rsid w:val="001976D5"/>
    <w:rsid w:val="00197732"/>
    <w:rsid w:val="001978CF"/>
    <w:rsid w:val="001979F3"/>
    <w:rsid w:val="00197A9F"/>
    <w:rsid w:val="00197AC5"/>
    <w:rsid w:val="00197B12"/>
    <w:rsid w:val="00197B4A"/>
    <w:rsid w:val="00197CEE"/>
    <w:rsid w:val="00197E6B"/>
    <w:rsid w:val="00197EFF"/>
    <w:rsid w:val="00197FD3"/>
    <w:rsid w:val="001A014A"/>
    <w:rsid w:val="001A0251"/>
    <w:rsid w:val="001A02F4"/>
    <w:rsid w:val="001A03DC"/>
    <w:rsid w:val="001A054E"/>
    <w:rsid w:val="001A05E2"/>
    <w:rsid w:val="001A068A"/>
    <w:rsid w:val="001A0786"/>
    <w:rsid w:val="001A08A6"/>
    <w:rsid w:val="001A0AD9"/>
    <w:rsid w:val="001A0CF0"/>
    <w:rsid w:val="001A1015"/>
    <w:rsid w:val="001A116D"/>
    <w:rsid w:val="001A11DB"/>
    <w:rsid w:val="001A12FB"/>
    <w:rsid w:val="001A1440"/>
    <w:rsid w:val="001A158D"/>
    <w:rsid w:val="001A165E"/>
    <w:rsid w:val="001A1665"/>
    <w:rsid w:val="001A17DF"/>
    <w:rsid w:val="001A17F5"/>
    <w:rsid w:val="001A1808"/>
    <w:rsid w:val="001A1816"/>
    <w:rsid w:val="001A1863"/>
    <w:rsid w:val="001A18A3"/>
    <w:rsid w:val="001A1A27"/>
    <w:rsid w:val="001A1B9D"/>
    <w:rsid w:val="001A1CCD"/>
    <w:rsid w:val="001A1D46"/>
    <w:rsid w:val="001A1ED3"/>
    <w:rsid w:val="001A20D0"/>
    <w:rsid w:val="001A2114"/>
    <w:rsid w:val="001A2154"/>
    <w:rsid w:val="001A22BF"/>
    <w:rsid w:val="001A2388"/>
    <w:rsid w:val="001A2437"/>
    <w:rsid w:val="001A246B"/>
    <w:rsid w:val="001A2518"/>
    <w:rsid w:val="001A2557"/>
    <w:rsid w:val="001A25C0"/>
    <w:rsid w:val="001A269D"/>
    <w:rsid w:val="001A2750"/>
    <w:rsid w:val="001A27CC"/>
    <w:rsid w:val="001A280B"/>
    <w:rsid w:val="001A2821"/>
    <w:rsid w:val="001A2833"/>
    <w:rsid w:val="001A2835"/>
    <w:rsid w:val="001A29AE"/>
    <w:rsid w:val="001A2AEA"/>
    <w:rsid w:val="001A2D5E"/>
    <w:rsid w:val="001A30FA"/>
    <w:rsid w:val="001A31D1"/>
    <w:rsid w:val="001A34A9"/>
    <w:rsid w:val="001A3508"/>
    <w:rsid w:val="001A35E3"/>
    <w:rsid w:val="001A39E8"/>
    <w:rsid w:val="001A3AB4"/>
    <w:rsid w:val="001A3C2A"/>
    <w:rsid w:val="001A3C31"/>
    <w:rsid w:val="001A3D8C"/>
    <w:rsid w:val="001A3FEB"/>
    <w:rsid w:val="001A400C"/>
    <w:rsid w:val="001A41BB"/>
    <w:rsid w:val="001A4233"/>
    <w:rsid w:val="001A42D7"/>
    <w:rsid w:val="001A42DC"/>
    <w:rsid w:val="001A434D"/>
    <w:rsid w:val="001A4474"/>
    <w:rsid w:val="001A45B2"/>
    <w:rsid w:val="001A45F2"/>
    <w:rsid w:val="001A4660"/>
    <w:rsid w:val="001A466C"/>
    <w:rsid w:val="001A4733"/>
    <w:rsid w:val="001A476E"/>
    <w:rsid w:val="001A47E6"/>
    <w:rsid w:val="001A488A"/>
    <w:rsid w:val="001A48DD"/>
    <w:rsid w:val="001A4A1D"/>
    <w:rsid w:val="001A4A52"/>
    <w:rsid w:val="001A4ABA"/>
    <w:rsid w:val="001A4BEB"/>
    <w:rsid w:val="001A4CEB"/>
    <w:rsid w:val="001A5035"/>
    <w:rsid w:val="001A50C5"/>
    <w:rsid w:val="001A527D"/>
    <w:rsid w:val="001A52F2"/>
    <w:rsid w:val="001A5321"/>
    <w:rsid w:val="001A53C1"/>
    <w:rsid w:val="001A5502"/>
    <w:rsid w:val="001A552D"/>
    <w:rsid w:val="001A558C"/>
    <w:rsid w:val="001A55D1"/>
    <w:rsid w:val="001A5717"/>
    <w:rsid w:val="001A5790"/>
    <w:rsid w:val="001A58A6"/>
    <w:rsid w:val="001A58B1"/>
    <w:rsid w:val="001A593C"/>
    <w:rsid w:val="001A595C"/>
    <w:rsid w:val="001A5CB4"/>
    <w:rsid w:val="001A5CBF"/>
    <w:rsid w:val="001A5DF5"/>
    <w:rsid w:val="001A5F17"/>
    <w:rsid w:val="001A607E"/>
    <w:rsid w:val="001A61CD"/>
    <w:rsid w:val="001A639B"/>
    <w:rsid w:val="001A6475"/>
    <w:rsid w:val="001A6530"/>
    <w:rsid w:val="001A654C"/>
    <w:rsid w:val="001A67AD"/>
    <w:rsid w:val="001A6922"/>
    <w:rsid w:val="001A6929"/>
    <w:rsid w:val="001A69B8"/>
    <w:rsid w:val="001A6A08"/>
    <w:rsid w:val="001A6B1D"/>
    <w:rsid w:val="001A6D5C"/>
    <w:rsid w:val="001A6D6A"/>
    <w:rsid w:val="001A6DCF"/>
    <w:rsid w:val="001A6F38"/>
    <w:rsid w:val="001A6FC6"/>
    <w:rsid w:val="001A7014"/>
    <w:rsid w:val="001A7049"/>
    <w:rsid w:val="001A7070"/>
    <w:rsid w:val="001A7222"/>
    <w:rsid w:val="001A7272"/>
    <w:rsid w:val="001A7333"/>
    <w:rsid w:val="001A7345"/>
    <w:rsid w:val="001A7446"/>
    <w:rsid w:val="001A74B1"/>
    <w:rsid w:val="001A7620"/>
    <w:rsid w:val="001A7705"/>
    <w:rsid w:val="001A781C"/>
    <w:rsid w:val="001A7A64"/>
    <w:rsid w:val="001A7ABF"/>
    <w:rsid w:val="001A7ADE"/>
    <w:rsid w:val="001A7C4D"/>
    <w:rsid w:val="001A7CA5"/>
    <w:rsid w:val="001B01BF"/>
    <w:rsid w:val="001B03BA"/>
    <w:rsid w:val="001B070E"/>
    <w:rsid w:val="001B072C"/>
    <w:rsid w:val="001B07B1"/>
    <w:rsid w:val="001B08AE"/>
    <w:rsid w:val="001B0BC3"/>
    <w:rsid w:val="001B0EA7"/>
    <w:rsid w:val="001B0FC1"/>
    <w:rsid w:val="001B1011"/>
    <w:rsid w:val="001B1236"/>
    <w:rsid w:val="001B1378"/>
    <w:rsid w:val="001B13C6"/>
    <w:rsid w:val="001B165E"/>
    <w:rsid w:val="001B173B"/>
    <w:rsid w:val="001B189F"/>
    <w:rsid w:val="001B1995"/>
    <w:rsid w:val="001B1BB5"/>
    <w:rsid w:val="001B1D05"/>
    <w:rsid w:val="001B1D4F"/>
    <w:rsid w:val="001B1E8A"/>
    <w:rsid w:val="001B2085"/>
    <w:rsid w:val="001B2168"/>
    <w:rsid w:val="001B21EE"/>
    <w:rsid w:val="001B2285"/>
    <w:rsid w:val="001B22BF"/>
    <w:rsid w:val="001B2630"/>
    <w:rsid w:val="001B26F9"/>
    <w:rsid w:val="001B275D"/>
    <w:rsid w:val="001B281D"/>
    <w:rsid w:val="001B2B38"/>
    <w:rsid w:val="001B2BC0"/>
    <w:rsid w:val="001B2BD9"/>
    <w:rsid w:val="001B2C1B"/>
    <w:rsid w:val="001B2C66"/>
    <w:rsid w:val="001B2C70"/>
    <w:rsid w:val="001B2D23"/>
    <w:rsid w:val="001B2FEF"/>
    <w:rsid w:val="001B319A"/>
    <w:rsid w:val="001B31EB"/>
    <w:rsid w:val="001B3248"/>
    <w:rsid w:val="001B32B6"/>
    <w:rsid w:val="001B3416"/>
    <w:rsid w:val="001B3653"/>
    <w:rsid w:val="001B3677"/>
    <w:rsid w:val="001B384F"/>
    <w:rsid w:val="001B3926"/>
    <w:rsid w:val="001B3B98"/>
    <w:rsid w:val="001B3BCB"/>
    <w:rsid w:val="001B3BF5"/>
    <w:rsid w:val="001B3C35"/>
    <w:rsid w:val="001B3CCC"/>
    <w:rsid w:val="001B3DA3"/>
    <w:rsid w:val="001B3E76"/>
    <w:rsid w:val="001B3F59"/>
    <w:rsid w:val="001B3F68"/>
    <w:rsid w:val="001B3FCD"/>
    <w:rsid w:val="001B409B"/>
    <w:rsid w:val="001B417A"/>
    <w:rsid w:val="001B4189"/>
    <w:rsid w:val="001B41B8"/>
    <w:rsid w:val="001B4220"/>
    <w:rsid w:val="001B4345"/>
    <w:rsid w:val="001B44B2"/>
    <w:rsid w:val="001B45A6"/>
    <w:rsid w:val="001B45B0"/>
    <w:rsid w:val="001B4652"/>
    <w:rsid w:val="001B46FA"/>
    <w:rsid w:val="001B4805"/>
    <w:rsid w:val="001B4BAB"/>
    <w:rsid w:val="001B4C3F"/>
    <w:rsid w:val="001B4CCE"/>
    <w:rsid w:val="001B4DD4"/>
    <w:rsid w:val="001B4EA6"/>
    <w:rsid w:val="001B4F01"/>
    <w:rsid w:val="001B4F83"/>
    <w:rsid w:val="001B5086"/>
    <w:rsid w:val="001B514A"/>
    <w:rsid w:val="001B53EA"/>
    <w:rsid w:val="001B55E1"/>
    <w:rsid w:val="001B56A4"/>
    <w:rsid w:val="001B59E8"/>
    <w:rsid w:val="001B5AF2"/>
    <w:rsid w:val="001B5B53"/>
    <w:rsid w:val="001B5BC4"/>
    <w:rsid w:val="001B5C65"/>
    <w:rsid w:val="001B5E2A"/>
    <w:rsid w:val="001B5F08"/>
    <w:rsid w:val="001B5FD0"/>
    <w:rsid w:val="001B612F"/>
    <w:rsid w:val="001B6293"/>
    <w:rsid w:val="001B640B"/>
    <w:rsid w:val="001B654F"/>
    <w:rsid w:val="001B67F1"/>
    <w:rsid w:val="001B67F2"/>
    <w:rsid w:val="001B68B8"/>
    <w:rsid w:val="001B6A6D"/>
    <w:rsid w:val="001B6AA1"/>
    <w:rsid w:val="001B6ADC"/>
    <w:rsid w:val="001B6B94"/>
    <w:rsid w:val="001B6C01"/>
    <w:rsid w:val="001B6C59"/>
    <w:rsid w:val="001B6C75"/>
    <w:rsid w:val="001B6CEF"/>
    <w:rsid w:val="001B6E3B"/>
    <w:rsid w:val="001B701E"/>
    <w:rsid w:val="001B70C0"/>
    <w:rsid w:val="001B70FB"/>
    <w:rsid w:val="001B7530"/>
    <w:rsid w:val="001B754C"/>
    <w:rsid w:val="001B75E9"/>
    <w:rsid w:val="001B7624"/>
    <w:rsid w:val="001B77D7"/>
    <w:rsid w:val="001B78AD"/>
    <w:rsid w:val="001B7903"/>
    <w:rsid w:val="001B790B"/>
    <w:rsid w:val="001B79D0"/>
    <w:rsid w:val="001B7ABF"/>
    <w:rsid w:val="001B7B22"/>
    <w:rsid w:val="001B7BC1"/>
    <w:rsid w:val="001B7D7A"/>
    <w:rsid w:val="001B7DF1"/>
    <w:rsid w:val="001B7EA5"/>
    <w:rsid w:val="001B7F0E"/>
    <w:rsid w:val="001B7FF7"/>
    <w:rsid w:val="001BA1E1"/>
    <w:rsid w:val="001C00EF"/>
    <w:rsid w:val="001C0137"/>
    <w:rsid w:val="001C04B5"/>
    <w:rsid w:val="001C0503"/>
    <w:rsid w:val="001C079C"/>
    <w:rsid w:val="001C07E6"/>
    <w:rsid w:val="001C0948"/>
    <w:rsid w:val="001C09FD"/>
    <w:rsid w:val="001C0ADA"/>
    <w:rsid w:val="001C0B4F"/>
    <w:rsid w:val="001C0BBF"/>
    <w:rsid w:val="001C0C5F"/>
    <w:rsid w:val="001C0E63"/>
    <w:rsid w:val="001C0E89"/>
    <w:rsid w:val="001C0FD2"/>
    <w:rsid w:val="001C0FF7"/>
    <w:rsid w:val="001C131A"/>
    <w:rsid w:val="001C1578"/>
    <w:rsid w:val="001C1634"/>
    <w:rsid w:val="001C17BF"/>
    <w:rsid w:val="001C1818"/>
    <w:rsid w:val="001C1904"/>
    <w:rsid w:val="001C1963"/>
    <w:rsid w:val="001C1B73"/>
    <w:rsid w:val="001C1E14"/>
    <w:rsid w:val="001C1EC9"/>
    <w:rsid w:val="001C1FAB"/>
    <w:rsid w:val="001C210E"/>
    <w:rsid w:val="001C2142"/>
    <w:rsid w:val="001C235A"/>
    <w:rsid w:val="001C23C7"/>
    <w:rsid w:val="001C2465"/>
    <w:rsid w:val="001C2497"/>
    <w:rsid w:val="001C2684"/>
    <w:rsid w:val="001C26CF"/>
    <w:rsid w:val="001C2796"/>
    <w:rsid w:val="001C28B0"/>
    <w:rsid w:val="001C28B1"/>
    <w:rsid w:val="001C2B33"/>
    <w:rsid w:val="001C2B9D"/>
    <w:rsid w:val="001C2BF5"/>
    <w:rsid w:val="001C2CAD"/>
    <w:rsid w:val="001C2CFB"/>
    <w:rsid w:val="001C2F34"/>
    <w:rsid w:val="001C2FF5"/>
    <w:rsid w:val="001C325D"/>
    <w:rsid w:val="001C32CE"/>
    <w:rsid w:val="001C339F"/>
    <w:rsid w:val="001C33AA"/>
    <w:rsid w:val="001C344F"/>
    <w:rsid w:val="001C34C3"/>
    <w:rsid w:val="001C3528"/>
    <w:rsid w:val="001C3594"/>
    <w:rsid w:val="001C35FC"/>
    <w:rsid w:val="001C3619"/>
    <w:rsid w:val="001C3643"/>
    <w:rsid w:val="001C3654"/>
    <w:rsid w:val="001C3691"/>
    <w:rsid w:val="001C3879"/>
    <w:rsid w:val="001C38F3"/>
    <w:rsid w:val="001C3DE9"/>
    <w:rsid w:val="001C3E3C"/>
    <w:rsid w:val="001C3EC2"/>
    <w:rsid w:val="001C3EE5"/>
    <w:rsid w:val="001C3F7E"/>
    <w:rsid w:val="001C3FF5"/>
    <w:rsid w:val="001C406B"/>
    <w:rsid w:val="001C4212"/>
    <w:rsid w:val="001C42BA"/>
    <w:rsid w:val="001C46AF"/>
    <w:rsid w:val="001C47BC"/>
    <w:rsid w:val="001C480D"/>
    <w:rsid w:val="001C482C"/>
    <w:rsid w:val="001C48C7"/>
    <w:rsid w:val="001C4982"/>
    <w:rsid w:val="001C4AB0"/>
    <w:rsid w:val="001C4B64"/>
    <w:rsid w:val="001C4BE5"/>
    <w:rsid w:val="001C4DF5"/>
    <w:rsid w:val="001C4E92"/>
    <w:rsid w:val="001C4FDE"/>
    <w:rsid w:val="001C514E"/>
    <w:rsid w:val="001C5281"/>
    <w:rsid w:val="001C5834"/>
    <w:rsid w:val="001C58B6"/>
    <w:rsid w:val="001C5903"/>
    <w:rsid w:val="001C5913"/>
    <w:rsid w:val="001C5983"/>
    <w:rsid w:val="001C5B1F"/>
    <w:rsid w:val="001C5BCC"/>
    <w:rsid w:val="001C5D56"/>
    <w:rsid w:val="001C5FA5"/>
    <w:rsid w:val="001C6032"/>
    <w:rsid w:val="001C605D"/>
    <w:rsid w:val="001C610E"/>
    <w:rsid w:val="001C6131"/>
    <w:rsid w:val="001C616D"/>
    <w:rsid w:val="001C62B8"/>
    <w:rsid w:val="001C62D8"/>
    <w:rsid w:val="001C6390"/>
    <w:rsid w:val="001C643A"/>
    <w:rsid w:val="001C6607"/>
    <w:rsid w:val="001C6656"/>
    <w:rsid w:val="001C686E"/>
    <w:rsid w:val="001C6899"/>
    <w:rsid w:val="001C6978"/>
    <w:rsid w:val="001C6A01"/>
    <w:rsid w:val="001C6A3E"/>
    <w:rsid w:val="001C6EFA"/>
    <w:rsid w:val="001C703F"/>
    <w:rsid w:val="001C7098"/>
    <w:rsid w:val="001C71DB"/>
    <w:rsid w:val="001C7377"/>
    <w:rsid w:val="001C746F"/>
    <w:rsid w:val="001C75E4"/>
    <w:rsid w:val="001C7661"/>
    <w:rsid w:val="001C7904"/>
    <w:rsid w:val="001C7C01"/>
    <w:rsid w:val="001C7C7B"/>
    <w:rsid w:val="001C7D36"/>
    <w:rsid w:val="001C7D51"/>
    <w:rsid w:val="001C7EB6"/>
    <w:rsid w:val="001D003A"/>
    <w:rsid w:val="001D0127"/>
    <w:rsid w:val="001D032D"/>
    <w:rsid w:val="001D050E"/>
    <w:rsid w:val="001D05AC"/>
    <w:rsid w:val="001D06C7"/>
    <w:rsid w:val="001D07B8"/>
    <w:rsid w:val="001D085F"/>
    <w:rsid w:val="001D0996"/>
    <w:rsid w:val="001D09F3"/>
    <w:rsid w:val="001D0A50"/>
    <w:rsid w:val="001D0AB2"/>
    <w:rsid w:val="001D0C39"/>
    <w:rsid w:val="001D0CBD"/>
    <w:rsid w:val="001D0CE0"/>
    <w:rsid w:val="001D0E75"/>
    <w:rsid w:val="001D0EEF"/>
    <w:rsid w:val="001D1130"/>
    <w:rsid w:val="001D127E"/>
    <w:rsid w:val="001D1302"/>
    <w:rsid w:val="001D1387"/>
    <w:rsid w:val="001D176C"/>
    <w:rsid w:val="001D1A6F"/>
    <w:rsid w:val="001D1C2B"/>
    <w:rsid w:val="001D1D45"/>
    <w:rsid w:val="001D1FF7"/>
    <w:rsid w:val="001D20C9"/>
    <w:rsid w:val="001D20CA"/>
    <w:rsid w:val="001D2143"/>
    <w:rsid w:val="001D218B"/>
    <w:rsid w:val="001D233B"/>
    <w:rsid w:val="001D233C"/>
    <w:rsid w:val="001D2458"/>
    <w:rsid w:val="001D261B"/>
    <w:rsid w:val="001D262D"/>
    <w:rsid w:val="001D2754"/>
    <w:rsid w:val="001D284E"/>
    <w:rsid w:val="001D2852"/>
    <w:rsid w:val="001D2868"/>
    <w:rsid w:val="001D288D"/>
    <w:rsid w:val="001D28B5"/>
    <w:rsid w:val="001D2BE5"/>
    <w:rsid w:val="001D2C02"/>
    <w:rsid w:val="001D2C0F"/>
    <w:rsid w:val="001D2C44"/>
    <w:rsid w:val="001D2D29"/>
    <w:rsid w:val="001D2DF4"/>
    <w:rsid w:val="001D2E10"/>
    <w:rsid w:val="001D2F23"/>
    <w:rsid w:val="001D3014"/>
    <w:rsid w:val="001D31BD"/>
    <w:rsid w:val="001D327B"/>
    <w:rsid w:val="001D340C"/>
    <w:rsid w:val="001D34D3"/>
    <w:rsid w:val="001D357A"/>
    <w:rsid w:val="001D36F4"/>
    <w:rsid w:val="001D37C4"/>
    <w:rsid w:val="001D3873"/>
    <w:rsid w:val="001D39D9"/>
    <w:rsid w:val="001D3A5D"/>
    <w:rsid w:val="001D3BB9"/>
    <w:rsid w:val="001D3BBE"/>
    <w:rsid w:val="001D3E2A"/>
    <w:rsid w:val="001D3E5E"/>
    <w:rsid w:val="001D3E93"/>
    <w:rsid w:val="001D3FEB"/>
    <w:rsid w:val="001D4010"/>
    <w:rsid w:val="001D410D"/>
    <w:rsid w:val="001D417E"/>
    <w:rsid w:val="001D449B"/>
    <w:rsid w:val="001D44DF"/>
    <w:rsid w:val="001D4536"/>
    <w:rsid w:val="001D478C"/>
    <w:rsid w:val="001D47B2"/>
    <w:rsid w:val="001D488B"/>
    <w:rsid w:val="001D49B6"/>
    <w:rsid w:val="001D4A83"/>
    <w:rsid w:val="001D4C46"/>
    <w:rsid w:val="001D4D14"/>
    <w:rsid w:val="001D4DC6"/>
    <w:rsid w:val="001D4E96"/>
    <w:rsid w:val="001D4EB4"/>
    <w:rsid w:val="001D5035"/>
    <w:rsid w:val="001D5043"/>
    <w:rsid w:val="001D507E"/>
    <w:rsid w:val="001D5233"/>
    <w:rsid w:val="001D53B4"/>
    <w:rsid w:val="001D53F7"/>
    <w:rsid w:val="001D546A"/>
    <w:rsid w:val="001D54B9"/>
    <w:rsid w:val="001D54BA"/>
    <w:rsid w:val="001D5684"/>
    <w:rsid w:val="001D59B3"/>
    <w:rsid w:val="001D5A7B"/>
    <w:rsid w:val="001D5B4D"/>
    <w:rsid w:val="001D5E33"/>
    <w:rsid w:val="001D5F79"/>
    <w:rsid w:val="001D605C"/>
    <w:rsid w:val="001D6087"/>
    <w:rsid w:val="001D60E2"/>
    <w:rsid w:val="001D6129"/>
    <w:rsid w:val="001D61E7"/>
    <w:rsid w:val="001D6202"/>
    <w:rsid w:val="001D6467"/>
    <w:rsid w:val="001D650C"/>
    <w:rsid w:val="001D65BD"/>
    <w:rsid w:val="001D65D2"/>
    <w:rsid w:val="001D68C9"/>
    <w:rsid w:val="001D6A2C"/>
    <w:rsid w:val="001D6A51"/>
    <w:rsid w:val="001D6AAC"/>
    <w:rsid w:val="001D6B6B"/>
    <w:rsid w:val="001D6C70"/>
    <w:rsid w:val="001D6C93"/>
    <w:rsid w:val="001D6EA7"/>
    <w:rsid w:val="001D6F30"/>
    <w:rsid w:val="001D6F70"/>
    <w:rsid w:val="001D6F9D"/>
    <w:rsid w:val="001D71F8"/>
    <w:rsid w:val="001D7430"/>
    <w:rsid w:val="001D7506"/>
    <w:rsid w:val="001D7650"/>
    <w:rsid w:val="001D7860"/>
    <w:rsid w:val="001D7874"/>
    <w:rsid w:val="001D7887"/>
    <w:rsid w:val="001D78B1"/>
    <w:rsid w:val="001D7B24"/>
    <w:rsid w:val="001D7C3A"/>
    <w:rsid w:val="001D7C59"/>
    <w:rsid w:val="001D7CB9"/>
    <w:rsid w:val="001D7D19"/>
    <w:rsid w:val="001D7D47"/>
    <w:rsid w:val="001D7D79"/>
    <w:rsid w:val="001D7DB0"/>
    <w:rsid w:val="001D7E7E"/>
    <w:rsid w:val="001E02ED"/>
    <w:rsid w:val="001E031E"/>
    <w:rsid w:val="001E03D8"/>
    <w:rsid w:val="001E03FE"/>
    <w:rsid w:val="001E04F4"/>
    <w:rsid w:val="001E06B9"/>
    <w:rsid w:val="001E06E3"/>
    <w:rsid w:val="001E08CC"/>
    <w:rsid w:val="001E0972"/>
    <w:rsid w:val="001E0AEE"/>
    <w:rsid w:val="001E0DA6"/>
    <w:rsid w:val="001E0E4C"/>
    <w:rsid w:val="001E0E75"/>
    <w:rsid w:val="001E0FBB"/>
    <w:rsid w:val="001E107E"/>
    <w:rsid w:val="001E10CF"/>
    <w:rsid w:val="001E119E"/>
    <w:rsid w:val="001E11BD"/>
    <w:rsid w:val="001E125D"/>
    <w:rsid w:val="001E1286"/>
    <w:rsid w:val="001E1320"/>
    <w:rsid w:val="001E139C"/>
    <w:rsid w:val="001E1434"/>
    <w:rsid w:val="001E155E"/>
    <w:rsid w:val="001E15EC"/>
    <w:rsid w:val="001E17EF"/>
    <w:rsid w:val="001E17F1"/>
    <w:rsid w:val="001E18E8"/>
    <w:rsid w:val="001E1D0D"/>
    <w:rsid w:val="001E1E0A"/>
    <w:rsid w:val="001E208B"/>
    <w:rsid w:val="001E217D"/>
    <w:rsid w:val="001E21C9"/>
    <w:rsid w:val="001E21DC"/>
    <w:rsid w:val="001E245C"/>
    <w:rsid w:val="001E2510"/>
    <w:rsid w:val="001E2546"/>
    <w:rsid w:val="001E2594"/>
    <w:rsid w:val="001E25A4"/>
    <w:rsid w:val="001E26B7"/>
    <w:rsid w:val="001E27D7"/>
    <w:rsid w:val="001E286B"/>
    <w:rsid w:val="001E2A02"/>
    <w:rsid w:val="001E2AB2"/>
    <w:rsid w:val="001E2C3C"/>
    <w:rsid w:val="001E2D71"/>
    <w:rsid w:val="001E3087"/>
    <w:rsid w:val="001E30D6"/>
    <w:rsid w:val="001E3109"/>
    <w:rsid w:val="001E327A"/>
    <w:rsid w:val="001E35E5"/>
    <w:rsid w:val="001E3634"/>
    <w:rsid w:val="001E37D7"/>
    <w:rsid w:val="001E38B9"/>
    <w:rsid w:val="001E3998"/>
    <w:rsid w:val="001E39B8"/>
    <w:rsid w:val="001E3A2F"/>
    <w:rsid w:val="001E3A5D"/>
    <w:rsid w:val="001E3A7E"/>
    <w:rsid w:val="001E3B72"/>
    <w:rsid w:val="001E3B7A"/>
    <w:rsid w:val="001E3C6D"/>
    <w:rsid w:val="001E3CC9"/>
    <w:rsid w:val="001E3D23"/>
    <w:rsid w:val="001E3D79"/>
    <w:rsid w:val="001E3E2B"/>
    <w:rsid w:val="001E3E41"/>
    <w:rsid w:val="001E3F87"/>
    <w:rsid w:val="001E4232"/>
    <w:rsid w:val="001E4235"/>
    <w:rsid w:val="001E4264"/>
    <w:rsid w:val="001E4265"/>
    <w:rsid w:val="001E42E4"/>
    <w:rsid w:val="001E433A"/>
    <w:rsid w:val="001E4563"/>
    <w:rsid w:val="001E4623"/>
    <w:rsid w:val="001E4814"/>
    <w:rsid w:val="001E49CE"/>
    <w:rsid w:val="001E4A15"/>
    <w:rsid w:val="001E4BCB"/>
    <w:rsid w:val="001E4BD1"/>
    <w:rsid w:val="001E4C33"/>
    <w:rsid w:val="001E5173"/>
    <w:rsid w:val="001E5207"/>
    <w:rsid w:val="001E54C1"/>
    <w:rsid w:val="001E55A0"/>
    <w:rsid w:val="001E563F"/>
    <w:rsid w:val="001E5680"/>
    <w:rsid w:val="001E56F7"/>
    <w:rsid w:val="001E56FA"/>
    <w:rsid w:val="001E57DD"/>
    <w:rsid w:val="001E5A2B"/>
    <w:rsid w:val="001E5DDA"/>
    <w:rsid w:val="001E5E8B"/>
    <w:rsid w:val="001E6197"/>
    <w:rsid w:val="001E6314"/>
    <w:rsid w:val="001E6342"/>
    <w:rsid w:val="001E6416"/>
    <w:rsid w:val="001E642D"/>
    <w:rsid w:val="001E6A45"/>
    <w:rsid w:val="001E6A65"/>
    <w:rsid w:val="001E6AE2"/>
    <w:rsid w:val="001E6B1B"/>
    <w:rsid w:val="001E6CEC"/>
    <w:rsid w:val="001E6D27"/>
    <w:rsid w:val="001E6D3B"/>
    <w:rsid w:val="001E6E19"/>
    <w:rsid w:val="001E6E23"/>
    <w:rsid w:val="001E6E97"/>
    <w:rsid w:val="001E6F8F"/>
    <w:rsid w:val="001E6FC7"/>
    <w:rsid w:val="001E708D"/>
    <w:rsid w:val="001E7179"/>
    <w:rsid w:val="001E73BC"/>
    <w:rsid w:val="001E74E5"/>
    <w:rsid w:val="001E74F3"/>
    <w:rsid w:val="001E7764"/>
    <w:rsid w:val="001E79F2"/>
    <w:rsid w:val="001E7B48"/>
    <w:rsid w:val="001E7BC9"/>
    <w:rsid w:val="001E7D59"/>
    <w:rsid w:val="001E7E6A"/>
    <w:rsid w:val="001E7F08"/>
    <w:rsid w:val="001E7F23"/>
    <w:rsid w:val="001F0058"/>
    <w:rsid w:val="001F00D5"/>
    <w:rsid w:val="001F013C"/>
    <w:rsid w:val="001F016C"/>
    <w:rsid w:val="001F0230"/>
    <w:rsid w:val="001F0455"/>
    <w:rsid w:val="001F047B"/>
    <w:rsid w:val="001F04AB"/>
    <w:rsid w:val="001F04CF"/>
    <w:rsid w:val="001F0772"/>
    <w:rsid w:val="001F07DF"/>
    <w:rsid w:val="001F091C"/>
    <w:rsid w:val="001F0AB0"/>
    <w:rsid w:val="001F0C4B"/>
    <w:rsid w:val="001F0D12"/>
    <w:rsid w:val="001F0E16"/>
    <w:rsid w:val="001F10A2"/>
    <w:rsid w:val="001F10ED"/>
    <w:rsid w:val="001F13EC"/>
    <w:rsid w:val="001F154D"/>
    <w:rsid w:val="001F1551"/>
    <w:rsid w:val="001F162F"/>
    <w:rsid w:val="001F1771"/>
    <w:rsid w:val="001F17B3"/>
    <w:rsid w:val="001F17B7"/>
    <w:rsid w:val="001F197D"/>
    <w:rsid w:val="001F1B4C"/>
    <w:rsid w:val="001F1C5C"/>
    <w:rsid w:val="001F1D9A"/>
    <w:rsid w:val="001F1E28"/>
    <w:rsid w:val="001F2121"/>
    <w:rsid w:val="001F2136"/>
    <w:rsid w:val="001F21F4"/>
    <w:rsid w:val="001F23BC"/>
    <w:rsid w:val="001F2475"/>
    <w:rsid w:val="001F250E"/>
    <w:rsid w:val="001F26AB"/>
    <w:rsid w:val="001F29E4"/>
    <w:rsid w:val="001F2AEB"/>
    <w:rsid w:val="001F2BEE"/>
    <w:rsid w:val="001F2C48"/>
    <w:rsid w:val="001F2CB0"/>
    <w:rsid w:val="001F2D7B"/>
    <w:rsid w:val="001F2E98"/>
    <w:rsid w:val="001F2EB3"/>
    <w:rsid w:val="001F3091"/>
    <w:rsid w:val="001F32B3"/>
    <w:rsid w:val="001F3425"/>
    <w:rsid w:val="001F3475"/>
    <w:rsid w:val="001F36B1"/>
    <w:rsid w:val="001F36E5"/>
    <w:rsid w:val="001F3754"/>
    <w:rsid w:val="001F383C"/>
    <w:rsid w:val="001F3892"/>
    <w:rsid w:val="001F39AC"/>
    <w:rsid w:val="001F3CDB"/>
    <w:rsid w:val="001F3D44"/>
    <w:rsid w:val="001F3D5B"/>
    <w:rsid w:val="001F3D72"/>
    <w:rsid w:val="001F3DA4"/>
    <w:rsid w:val="001F3EB1"/>
    <w:rsid w:val="001F3ED1"/>
    <w:rsid w:val="001F3F40"/>
    <w:rsid w:val="001F3FA4"/>
    <w:rsid w:val="001F4168"/>
    <w:rsid w:val="001F41C4"/>
    <w:rsid w:val="001F44A1"/>
    <w:rsid w:val="001F45AC"/>
    <w:rsid w:val="001F462D"/>
    <w:rsid w:val="001F4710"/>
    <w:rsid w:val="001F4979"/>
    <w:rsid w:val="001F49C9"/>
    <w:rsid w:val="001F4A88"/>
    <w:rsid w:val="001F4B51"/>
    <w:rsid w:val="001F4C22"/>
    <w:rsid w:val="001F4C89"/>
    <w:rsid w:val="001F4D33"/>
    <w:rsid w:val="001F4D3F"/>
    <w:rsid w:val="001F4EDD"/>
    <w:rsid w:val="001F4F95"/>
    <w:rsid w:val="001F50B9"/>
    <w:rsid w:val="001F53C5"/>
    <w:rsid w:val="001F55D1"/>
    <w:rsid w:val="001F5682"/>
    <w:rsid w:val="001F56D5"/>
    <w:rsid w:val="001F5734"/>
    <w:rsid w:val="001F58F7"/>
    <w:rsid w:val="001F59C7"/>
    <w:rsid w:val="001F5A90"/>
    <w:rsid w:val="001F5BD4"/>
    <w:rsid w:val="001F5CCB"/>
    <w:rsid w:val="001F5D0C"/>
    <w:rsid w:val="001F5D4D"/>
    <w:rsid w:val="001F5E3E"/>
    <w:rsid w:val="001F5F75"/>
    <w:rsid w:val="001F62A5"/>
    <w:rsid w:val="001F642F"/>
    <w:rsid w:val="001F64F8"/>
    <w:rsid w:val="001F6584"/>
    <w:rsid w:val="001F664C"/>
    <w:rsid w:val="001F667B"/>
    <w:rsid w:val="001F6680"/>
    <w:rsid w:val="001F6720"/>
    <w:rsid w:val="001F6729"/>
    <w:rsid w:val="001F67DC"/>
    <w:rsid w:val="001F6982"/>
    <w:rsid w:val="001F6A63"/>
    <w:rsid w:val="001F6A9F"/>
    <w:rsid w:val="001F6B29"/>
    <w:rsid w:val="001F6C8B"/>
    <w:rsid w:val="001F6E39"/>
    <w:rsid w:val="001F6E69"/>
    <w:rsid w:val="001F723B"/>
    <w:rsid w:val="001F74A5"/>
    <w:rsid w:val="001F755A"/>
    <w:rsid w:val="001F7570"/>
    <w:rsid w:val="001F7682"/>
    <w:rsid w:val="001F76E4"/>
    <w:rsid w:val="001F77B7"/>
    <w:rsid w:val="001F7962"/>
    <w:rsid w:val="001F79A7"/>
    <w:rsid w:val="001F7A39"/>
    <w:rsid w:val="001F7A5A"/>
    <w:rsid w:val="001F7C00"/>
    <w:rsid w:val="001F7F3B"/>
    <w:rsid w:val="0020000E"/>
    <w:rsid w:val="002000EF"/>
    <w:rsid w:val="00200183"/>
    <w:rsid w:val="00200401"/>
    <w:rsid w:val="0020043C"/>
    <w:rsid w:val="00200566"/>
    <w:rsid w:val="002005A8"/>
    <w:rsid w:val="002005B4"/>
    <w:rsid w:val="002006BA"/>
    <w:rsid w:val="0020074C"/>
    <w:rsid w:val="0020079D"/>
    <w:rsid w:val="00200866"/>
    <w:rsid w:val="0020098A"/>
    <w:rsid w:val="00200A82"/>
    <w:rsid w:val="00200AE6"/>
    <w:rsid w:val="00200B0A"/>
    <w:rsid w:val="00200E38"/>
    <w:rsid w:val="00200E69"/>
    <w:rsid w:val="00200F3E"/>
    <w:rsid w:val="00200FAD"/>
    <w:rsid w:val="0020101A"/>
    <w:rsid w:val="00201179"/>
    <w:rsid w:val="002012A2"/>
    <w:rsid w:val="00201304"/>
    <w:rsid w:val="00201359"/>
    <w:rsid w:val="0020144B"/>
    <w:rsid w:val="002014CC"/>
    <w:rsid w:val="0020170E"/>
    <w:rsid w:val="00201740"/>
    <w:rsid w:val="00201803"/>
    <w:rsid w:val="002018AB"/>
    <w:rsid w:val="00201A38"/>
    <w:rsid w:val="00201B6F"/>
    <w:rsid w:val="00201B79"/>
    <w:rsid w:val="00201C7C"/>
    <w:rsid w:val="00201CF0"/>
    <w:rsid w:val="00201ED0"/>
    <w:rsid w:val="002021EE"/>
    <w:rsid w:val="002027ED"/>
    <w:rsid w:val="00202AD1"/>
    <w:rsid w:val="00202D15"/>
    <w:rsid w:val="00202DBF"/>
    <w:rsid w:val="00202E4E"/>
    <w:rsid w:val="00202E8F"/>
    <w:rsid w:val="00202EFD"/>
    <w:rsid w:val="0020304D"/>
    <w:rsid w:val="00203110"/>
    <w:rsid w:val="00203141"/>
    <w:rsid w:val="002031BB"/>
    <w:rsid w:val="0020328D"/>
    <w:rsid w:val="00203374"/>
    <w:rsid w:val="00203408"/>
    <w:rsid w:val="002034F6"/>
    <w:rsid w:val="002035BD"/>
    <w:rsid w:val="00203648"/>
    <w:rsid w:val="002036E0"/>
    <w:rsid w:val="0020375F"/>
    <w:rsid w:val="0020378A"/>
    <w:rsid w:val="00203968"/>
    <w:rsid w:val="00203BC2"/>
    <w:rsid w:val="00203E22"/>
    <w:rsid w:val="00203E71"/>
    <w:rsid w:val="00203FA3"/>
    <w:rsid w:val="00204022"/>
    <w:rsid w:val="00204081"/>
    <w:rsid w:val="002040CA"/>
    <w:rsid w:val="00204229"/>
    <w:rsid w:val="00204345"/>
    <w:rsid w:val="00204360"/>
    <w:rsid w:val="002043C0"/>
    <w:rsid w:val="0020468B"/>
    <w:rsid w:val="00204733"/>
    <w:rsid w:val="0020481F"/>
    <w:rsid w:val="00204821"/>
    <w:rsid w:val="0020488D"/>
    <w:rsid w:val="00204946"/>
    <w:rsid w:val="002049C6"/>
    <w:rsid w:val="002049E1"/>
    <w:rsid w:val="00204A63"/>
    <w:rsid w:val="00204C00"/>
    <w:rsid w:val="00204D38"/>
    <w:rsid w:val="00204D84"/>
    <w:rsid w:val="00204E23"/>
    <w:rsid w:val="00204EA1"/>
    <w:rsid w:val="00204ED0"/>
    <w:rsid w:val="00204F88"/>
    <w:rsid w:val="00204FE3"/>
    <w:rsid w:val="00205022"/>
    <w:rsid w:val="00205075"/>
    <w:rsid w:val="00205219"/>
    <w:rsid w:val="0020521B"/>
    <w:rsid w:val="0020525B"/>
    <w:rsid w:val="0020525D"/>
    <w:rsid w:val="002052E4"/>
    <w:rsid w:val="00205409"/>
    <w:rsid w:val="00205521"/>
    <w:rsid w:val="0020555E"/>
    <w:rsid w:val="0020562F"/>
    <w:rsid w:val="00205648"/>
    <w:rsid w:val="002056DA"/>
    <w:rsid w:val="00205A72"/>
    <w:rsid w:val="00205B67"/>
    <w:rsid w:val="00205BFF"/>
    <w:rsid w:val="00205C11"/>
    <w:rsid w:val="00205CA4"/>
    <w:rsid w:val="00205CB2"/>
    <w:rsid w:val="00205E9A"/>
    <w:rsid w:val="0020614D"/>
    <w:rsid w:val="00206177"/>
    <w:rsid w:val="002062D5"/>
    <w:rsid w:val="0020640A"/>
    <w:rsid w:val="002064B0"/>
    <w:rsid w:val="002065AC"/>
    <w:rsid w:val="0020679A"/>
    <w:rsid w:val="002067C8"/>
    <w:rsid w:val="0020692B"/>
    <w:rsid w:val="00206958"/>
    <w:rsid w:val="00206993"/>
    <w:rsid w:val="002069D8"/>
    <w:rsid w:val="00206DEE"/>
    <w:rsid w:val="00206F61"/>
    <w:rsid w:val="00207076"/>
    <w:rsid w:val="0020721F"/>
    <w:rsid w:val="002072EB"/>
    <w:rsid w:val="0020761C"/>
    <w:rsid w:val="00207668"/>
    <w:rsid w:val="00207757"/>
    <w:rsid w:val="0020786A"/>
    <w:rsid w:val="0020791E"/>
    <w:rsid w:val="0020795A"/>
    <w:rsid w:val="002079AB"/>
    <w:rsid w:val="00207AA6"/>
    <w:rsid w:val="00207AC2"/>
    <w:rsid w:val="00207AC7"/>
    <w:rsid w:val="00207B52"/>
    <w:rsid w:val="00207BBB"/>
    <w:rsid w:val="00207BD9"/>
    <w:rsid w:val="00207CE6"/>
    <w:rsid w:val="00207F42"/>
    <w:rsid w:val="00207F4D"/>
    <w:rsid w:val="00210221"/>
    <w:rsid w:val="00210445"/>
    <w:rsid w:val="00210556"/>
    <w:rsid w:val="00210594"/>
    <w:rsid w:val="002105AE"/>
    <w:rsid w:val="002107C4"/>
    <w:rsid w:val="002107F2"/>
    <w:rsid w:val="002108FE"/>
    <w:rsid w:val="0021098F"/>
    <w:rsid w:val="00210A4C"/>
    <w:rsid w:val="00210E1C"/>
    <w:rsid w:val="00210E67"/>
    <w:rsid w:val="00210EA1"/>
    <w:rsid w:val="00210F21"/>
    <w:rsid w:val="00210FB7"/>
    <w:rsid w:val="00210FE0"/>
    <w:rsid w:val="00211184"/>
    <w:rsid w:val="00211474"/>
    <w:rsid w:val="0021153E"/>
    <w:rsid w:val="002115CF"/>
    <w:rsid w:val="0021163B"/>
    <w:rsid w:val="00211729"/>
    <w:rsid w:val="0021194E"/>
    <w:rsid w:val="002119E0"/>
    <w:rsid w:val="002119F8"/>
    <w:rsid w:val="00211A07"/>
    <w:rsid w:val="00211A93"/>
    <w:rsid w:val="00211C5A"/>
    <w:rsid w:val="00211E3A"/>
    <w:rsid w:val="00212044"/>
    <w:rsid w:val="00212241"/>
    <w:rsid w:val="00212243"/>
    <w:rsid w:val="0021234F"/>
    <w:rsid w:val="0021247C"/>
    <w:rsid w:val="00212519"/>
    <w:rsid w:val="00212540"/>
    <w:rsid w:val="002125A2"/>
    <w:rsid w:val="0021299D"/>
    <w:rsid w:val="00212A33"/>
    <w:rsid w:val="00212C66"/>
    <w:rsid w:val="00212CCD"/>
    <w:rsid w:val="00213100"/>
    <w:rsid w:val="00213113"/>
    <w:rsid w:val="00213115"/>
    <w:rsid w:val="00213208"/>
    <w:rsid w:val="0021320C"/>
    <w:rsid w:val="002133AD"/>
    <w:rsid w:val="0021363A"/>
    <w:rsid w:val="0021368F"/>
    <w:rsid w:val="002137E3"/>
    <w:rsid w:val="002137E9"/>
    <w:rsid w:val="0021382B"/>
    <w:rsid w:val="00213922"/>
    <w:rsid w:val="00213948"/>
    <w:rsid w:val="0021399F"/>
    <w:rsid w:val="002139EA"/>
    <w:rsid w:val="002139EE"/>
    <w:rsid w:val="00213A3F"/>
    <w:rsid w:val="00213C27"/>
    <w:rsid w:val="00213DAF"/>
    <w:rsid w:val="00213E61"/>
    <w:rsid w:val="00213EFC"/>
    <w:rsid w:val="00213F44"/>
    <w:rsid w:val="002140E5"/>
    <w:rsid w:val="0021412B"/>
    <w:rsid w:val="00214160"/>
    <w:rsid w:val="00214359"/>
    <w:rsid w:val="002143BC"/>
    <w:rsid w:val="002143F3"/>
    <w:rsid w:val="002143F8"/>
    <w:rsid w:val="00214560"/>
    <w:rsid w:val="00214582"/>
    <w:rsid w:val="002145B8"/>
    <w:rsid w:val="00214830"/>
    <w:rsid w:val="0021484A"/>
    <w:rsid w:val="002148AA"/>
    <w:rsid w:val="00214B38"/>
    <w:rsid w:val="00214C5A"/>
    <w:rsid w:val="00214EEC"/>
    <w:rsid w:val="00214EED"/>
    <w:rsid w:val="00214F2C"/>
    <w:rsid w:val="002150E3"/>
    <w:rsid w:val="00215433"/>
    <w:rsid w:val="002154BF"/>
    <w:rsid w:val="00215579"/>
    <w:rsid w:val="002155B2"/>
    <w:rsid w:val="00215623"/>
    <w:rsid w:val="0021567C"/>
    <w:rsid w:val="00215794"/>
    <w:rsid w:val="00215895"/>
    <w:rsid w:val="00215A38"/>
    <w:rsid w:val="00215AB9"/>
    <w:rsid w:val="00215BF6"/>
    <w:rsid w:val="0021612E"/>
    <w:rsid w:val="00216161"/>
    <w:rsid w:val="0021620B"/>
    <w:rsid w:val="002163FE"/>
    <w:rsid w:val="0021646F"/>
    <w:rsid w:val="002164B5"/>
    <w:rsid w:val="00216526"/>
    <w:rsid w:val="00216714"/>
    <w:rsid w:val="0021691F"/>
    <w:rsid w:val="0021699C"/>
    <w:rsid w:val="00216B40"/>
    <w:rsid w:val="00216BA7"/>
    <w:rsid w:val="00216DF0"/>
    <w:rsid w:val="00216E6B"/>
    <w:rsid w:val="00216EFB"/>
    <w:rsid w:val="002174A9"/>
    <w:rsid w:val="00217548"/>
    <w:rsid w:val="00217553"/>
    <w:rsid w:val="002175D7"/>
    <w:rsid w:val="00217723"/>
    <w:rsid w:val="002178E0"/>
    <w:rsid w:val="00217C03"/>
    <w:rsid w:val="00217C99"/>
    <w:rsid w:val="00220027"/>
    <w:rsid w:val="00220180"/>
    <w:rsid w:val="00220259"/>
    <w:rsid w:val="00220377"/>
    <w:rsid w:val="002203B7"/>
    <w:rsid w:val="002203EF"/>
    <w:rsid w:val="00220524"/>
    <w:rsid w:val="002205AB"/>
    <w:rsid w:val="00220634"/>
    <w:rsid w:val="002206CF"/>
    <w:rsid w:val="00220751"/>
    <w:rsid w:val="00220780"/>
    <w:rsid w:val="002207A9"/>
    <w:rsid w:val="00220CCC"/>
    <w:rsid w:val="00220CDB"/>
    <w:rsid w:val="00220D06"/>
    <w:rsid w:val="00220DF1"/>
    <w:rsid w:val="00220DF5"/>
    <w:rsid w:val="00220FC2"/>
    <w:rsid w:val="0022100A"/>
    <w:rsid w:val="002211E9"/>
    <w:rsid w:val="002212BA"/>
    <w:rsid w:val="002213FC"/>
    <w:rsid w:val="0022169A"/>
    <w:rsid w:val="0022171C"/>
    <w:rsid w:val="0022199F"/>
    <w:rsid w:val="00221A8D"/>
    <w:rsid w:val="00221B13"/>
    <w:rsid w:val="00221CB6"/>
    <w:rsid w:val="00221D92"/>
    <w:rsid w:val="0022202C"/>
    <w:rsid w:val="002220EC"/>
    <w:rsid w:val="0022211C"/>
    <w:rsid w:val="00222142"/>
    <w:rsid w:val="0022231B"/>
    <w:rsid w:val="00222338"/>
    <w:rsid w:val="00222451"/>
    <w:rsid w:val="00222516"/>
    <w:rsid w:val="00222640"/>
    <w:rsid w:val="00222663"/>
    <w:rsid w:val="0022267E"/>
    <w:rsid w:val="002227A8"/>
    <w:rsid w:val="00222801"/>
    <w:rsid w:val="002228F4"/>
    <w:rsid w:val="00222B30"/>
    <w:rsid w:val="00222B97"/>
    <w:rsid w:val="00222CBD"/>
    <w:rsid w:val="00222EF8"/>
    <w:rsid w:val="00222F80"/>
    <w:rsid w:val="00223061"/>
    <w:rsid w:val="002231F6"/>
    <w:rsid w:val="002231F8"/>
    <w:rsid w:val="002235B0"/>
    <w:rsid w:val="002235E4"/>
    <w:rsid w:val="00223668"/>
    <w:rsid w:val="0022371F"/>
    <w:rsid w:val="0022375D"/>
    <w:rsid w:val="0022386E"/>
    <w:rsid w:val="002238BE"/>
    <w:rsid w:val="002239AA"/>
    <w:rsid w:val="002239F8"/>
    <w:rsid w:val="00223A78"/>
    <w:rsid w:val="00223B16"/>
    <w:rsid w:val="00223B78"/>
    <w:rsid w:val="00223C50"/>
    <w:rsid w:val="00223D95"/>
    <w:rsid w:val="00223DFA"/>
    <w:rsid w:val="00223E73"/>
    <w:rsid w:val="00223EA4"/>
    <w:rsid w:val="00223ECD"/>
    <w:rsid w:val="00224132"/>
    <w:rsid w:val="0022427E"/>
    <w:rsid w:val="00224342"/>
    <w:rsid w:val="00224406"/>
    <w:rsid w:val="0022448F"/>
    <w:rsid w:val="00224505"/>
    <w:rsid w:val="0022459E"/>
    <w:rsid w:val="002246C2"/>
    <w:rsid w:val="00224906"/>
    <w:rsid w:val="00224B81"/>
    <w:rsid w:val="00224C09"/>
    <w:rsid w:val="00224D56"/>
    <w:rsid w:val="00224E0B"/>
    <w:rsid w:val="00224EF7"/>
    <w:rsid w:val="00225142"/>
    <w:rsid w:val="0022515D"/>
    <w:rsid w:val="00225223"/>
    <w:rsid w:val="00225249"/>
    <w:rsid w:val="00225453"/>
    <w:rsid w:val="002254FC"/>
    <w:rsid w:val="00225510"/>
    <w:rsid w:val="0022576A"/>
    <w:rsid w:val="002257EE"/>
    <w:rsid w:val="002258CC"/>
    <w:rsid w:val="00225964"/>
    <w:rsid w:val="00225AD0"/>
    <w:rsid w:val="00225BBA"/>
    <w:rsid w:val="00225C18"/>
    <w:rsid w:val="00226259"/>
    <w:rsid w:val="00226281"/>
    <w:rsid w:val="00226473"/>
    <w:rsid w:val="002264F4"/>
    <w:rsid w:val="002264FB"/>
    <w:rsid w:val="002265A3"/>
    <w:rsid w:val="002265AC"/>
    <w:rsid w:val="002265B0"/>
    <w:rsid w:val="0022661B"/>
    <w:rsid w:val="002266BD"/>
    <w:rsid w:val="00226702"/>
    <w:rsid w:val="00226970"/>
    <w:rsid w:val="00226982"/>
    <w:rsid w:val="00226A94"/>
    <w:rsid w:val="00226AA6"/>
    <w:rsid w:val="00226C4C"/>
    <w:rsid w:val="00226CFC"/>
    <w:rsid w:val="00226D61"/>
    <w:rsid w:val="00226F99"/>
    <w:rsid w:val="0022701F"/>
    <w:rsid w:val="0022704C"/>
    <w:rsid w:val="00227159"/>
    <w:rsid w:val="00227169"/>
    <w:rsid w:val="002271F4"/>
    <w:rsid w:val="002272EB"/>
    <w:rsid w:val="00227411"/>
    <w:rsid w:val="00227524"/>
    <w:rsid w:val="00227677"/>
    <w:rsid w:val="0022784D"/>
    <w:rsid w:val="00227958"/>
    <w:rsid w:val="00227997"/>
    <w:rsid w:val="00227A33"/>
    <w:rsid w:val="00227BA1"/>
    <w:rsid w:val="00227C14"/>
    <w:rsid w:val="00227C50"/>
    <w:rsid w:val="00230031"/>
    <w:rsid w:val="002301CD"/>
    <w:rsid w:val="002301DA"/>
    <w:rsid w:val="0023027E"/>
    <w:rsid w:val="00230527"/>
    <w:rsid w:val="0023060E"/>
    <w:rsid w:val="00230779"/>
    <w:rsid w:val="002307FD"/>
    <w:rsid w:val="002309DD"/>
    <w:rsid w:val="00230A62"/>
    <w:rsid w:val="00230D0E"/>
    <w:rsid w:val="00230DFC"/>
    <w:rsid w:val="00230EFD"/>
    <w:rsid w:val="00230F29"/>
    <w:rsid w:val="00230F6F"/>
    <w:rsid w:val="00230F7D"/>
    <w:rsid w:val="002310B0"/>
    <w:rsid w:val="002310D3"/>
    <w:rsid w:val="002311A0"/>
    <w:rsid w:val="002313E8"/>
    <w:rsid w:val="00231477"/>
    <w:rsid w:val="002315D5"/>
    <w:rsid w:val="002316AD"/>
    <w:rsid w:val="002316DF"/>
    <w:rsid w:val="00231753"/>
    <w:rsid w:val="00231770"/>
    <w:rsid w:val="002318F0"/>
    <w:rsid w:val="00231A15"/>
    <w:rsid w:val="00231A9E"/>
    <w:rsid w:val="00231B0F"/>
    <w:rsid w:val="00231B58"/>
    <w:rsid w:val="00231EF3"/>
    <w:rsid w:val="00231F02"/>
    <w:rsid w:val="00231F89"/>
    <w:rsid w:val="0023201F"/>
    <w:rsid w:val="00232031"/>
    <w:rsid w:val="00232036"/>
    <w:rsid w:val="0023205F"/>
    <w:rsid w:val="002321AB"/>
    <w:rsid w:val="00232295"/>
    <w:rsid w:val="0023243E"/>
    <w:rsid w:val="002324AC"/>
    <w:rsid w:val="002324D3"/>
    <w:rsid w:val="0023284F"/>
    <w:rsid w:val="00232AD2"/>
    <w:rsid w:val="00232B5C"/>
    <w:rsid w:val="00232C84"/>
    <w:rsid w:val="00233093"/>
    <w:rsid w:val="002330B8"/>
    <w:rsid w:val="00233226"/>
    <w:rsid w:val="00233479"/>
    <w:rsid w:val="00233668"/>
    <w:rsid w:val="002336C3"/>
    <w:rsid w:val="00233786"/>
    <w:rsid w:val="002337E0"/>
    <w:rsid w:val="0023393A"/>
    <w:rsid w:val="00233A00"/>
    <w:rsid w:val="00233A5A"/>
    <w:rsid w:val="00233C22"/>
    <w:rsid w:val="00233D7A"/>
    <w:rsid w:val="00233E07"/>
    <w:rsid w:val="00233EA6"/>
    <w:rsid w:val="0023400F"/>
    <w:rsid w:val="00234216"/>
    <w:rsid w:val="0023464E"/>
    <w:rsid w:val="0023479A"/>
    <w:rsid w:val="0023488F"/>
    <w:rsid w:val="00234A73"/>
    <w:rsid w:val="00234AA5"/>
    <w:rsid w:val="00234AF5"/>
    <w:rsid w:val="00234B05"/>
    <w:rsid w:val="00234BFC"/>
    <w:rsid w:val="00234DD3"/>
    <w:rsid w:val="00234EAF"/>
    <w:rsid w:val="00234FFA"/>
    <w:rsid w:val="00235041"/>
    <w:rsid w:val="002351A6"/>
    <w:rsid w:val="00235369"/>
    <w:rsid w:val="0023549F"/>
    <w:rsid w:val="002356A8"/>
    <w:rsid w:val="00235753"/>
    <w:rsid w:val="0023592A"/>
    <w:rsid w:val="00235AD8"/>
    <w:rsid w:val="00235AEA"/>
    <w:rsid w:val="00235B92"/>
    <w:rsid w:val="00235CAF"/>
    <w:rsid w:val="00235CCC"/>
    <w:rsid w:val="00235EAB"/>
    <w:rsid w:val="002361F6"/>
    <w:rsid w:val="00236318"/>
    <w:rsid w:val="002365F3"/>
    <w:rsid w:val="00236618"/>
    <w:rsid w:val="00236641"/>
    <w:rsid w:val="002366CC"/>
    <w:rsid w:val="00236749"/>
    <w:rsid w:val="0023685E"/>
    <w:rsid w:val="00236998"/>
    <w:rsid w:val="002369BA"/>
    <w:rsid w:val="002369CA"/>
    <w:rsid w:val="00236B3E"/>
    <w:rsid w:val="00236D36"/>
    <w:rsid w:val="00236DD4"/>
    <w:rsid w:val="00237001"/>
    <w:rsid w:val="00237108"/>
    <w:rsid w:val="002371AE"/>
    <w:rsid w:val="00237225"/>
    <w:rsid w:val="0023739D"/>
    <w:rsid w:val="002373DF"/>
    <w:rsid w:val="002373EF"/>
    <w:rsid w:val="00237426"/>
    <w:rsid w:val="002375A8"/>
    <w:rsid w:val="00237903"/>
    <w:rsid w:val="00237A14"/>
    <w:rsid w:val="00237A48"/>
    <w:rsid w:val="00237AAD"/>
    <w:rsid w:val="00237FA3"/>
    <w:rsid w:val="0023A3C1"/>
    <w:rsid w:val="00240087"/>
    <w:rsid w:val="00240104"/>
    <w:rsid w:val="002402A4"/>
    <w:rsid w:val="0024041B"/>
    <w:rsid w:val="00240533"/>
    <w:rsid w:val="00240554"/>
    <w:rsid w:val="002406C0"/>
    <w:rsid w:val="0024073C"/>
    <w:rsid w:val="0024096F"/>
    <w:rsid w:val="00240A7D"/>
    <w:rsid w:val="00240B6F"/>
    <w:rsid w:val="00240BAF"/>
    <w:rsid w:val="00240CE6"/>
    <w:rsid w:val="00240CEA"/>
    <w:rsid w:val="00240CED"/>
    <w:rsid w:val="00240D35"/>
    <w:rsid w:val="00240E57"/>
    <w:rsid w:val="00240F81"/>
    <w:rsid w:val="00240F82"/>
    <w:rsid w:val="00240F85"/>
    <w:rsid w:val="00241031"/>
    <w:rsid w:val="00241186"/>
    <w:rsid w:val="0024148A"/>
    <w:rsid w:val="00241583"/>
    <w:rsid w:val="00241777"/>
    <w:rsid w:val="00241866"/>
    <w:rsid w:val="002418BA"/>
    <w:rsid w:val="0024190B"/>
    <w:rsid w:val="00241AF7"/>
    <w:rsid w:val="00241B9E"/>
    <w:rsid w:val="00241BF7"/>
    <w:rsid w:val="00241D56"/>
    <w:rsid w:val="00241D71"/>
    <w:rsid w:val="00241DC8"/>
    <w:rsid w:val="00241EB2"/>
    <w:rsid w:val="00242007"/>
    <w:rsid w:val="0024207D"/>
    <w:rsid w:val="00242259"/>
    <w:rsid w:val="0024226C"/>
    <w:rsid w:val="00242291"/>
    <w:rsid w:val="002422A7"/>
    <w:rsid w:val="0024262A"/>
    <w:rsid w:val="0024280D"/>
    <w:rsid w:val="00242884"/>
    <w:rsid w:val="00242922"/>
    <w:rsid w:val="002429ED"/>
    <w:rsid w:val="00242B33"/>
    <w:rsid w:val="00242B85"/>
    <w:rsid w:val="00242C29"/>
    <w:rsid w:val="00242C53"/>
    <w:rsid w:val="00242CB7"/>
    <w:rsid w:val="00242E35"/>
    <w:rsid w:val="00242E3F"/>
    <w:rsid w:val="00242EAC"/>
    <w:rsid w:val="00242FC1"/>
    <w:rsid w:val="00243058"/>
    <w:rsid w:val="00243063"/>
    <w:rsid w:val="0024312E"/>
    <w:rsid w:val="002432A8"/>
    <w:rsid w:val="00243334"/>
    <w:rsid w:val="002433E8"/>
    <w:rsid w:val="00243596"/>
    <w:rsid w:val="00243753"/>
    <w:rsid w:val="0024377A"/>
    <w:rsid w:val="002437F2"/>
    <w:rsid w:val="002439D9"/>
    <w:rsid w:val="00243B0E"/>
    <w:rsid w:val="00243B75"/>
    <w:rsid w:val="00243B7D"/>
    <w:rsid w:val="00243DE6"/>
    <w:rsid w:val="00243F14"/>
    <w:rsid w:val="00243FE1"/>
    <w:rsid w:val="002441BE"/>
    <w:rsid w:val="002441FF"/>
    <w:rsid w:val="00244206"/>
    <w:rsid w:val="00244245"/>
    <w:rsid w:val="002442B2"/>
    <w:rsid w:val="002443D1"/>
    <w:rsid w:val="0024463B"/>
    <w:rsid w:val="002447FD"/>
    <w:rsid w:val="002447FF"/>
    <w:rsid w:val="00244C21"/>
    <w:rsid w:val="00244CDF"/>
    <w:rsid w:val="00244DE7"/>
    <w:rsid w:val="00245081"/>
    <w:rsid w:val="002451A1"/>
    <w:rsid w:val="00245335"/>
    <w:rsid w:val="00245371"/>
    <w:rsid w:val="00245454"/>
    <w:rsid w:val="002455EB"/>
    <w:rsid w:val="0024569A"/>
    <w:rsid w:val="002456F6"/>
    <w:rsid w:val="0024581C"/>
    <w:rsid w:val="0024593E"/>
    <w:rsid w:val="00245985"/>
    <w:rsid w:val="002459CF"/>
    <w:rsid w:val="00245A75"/>
    <w:rsid w:val="00245B6F"/>
    <w:rsid w:val="00245BB0"/>
    <w:rsid w:val="00245C5E"/>
    <w:rsid w:val="00245CF3"/>
    <w:rsid w:val="00245D0D"/>
    <w:rsid w:val="00245D23"/>
    <w:rsid w:val="00245D29"/>
    <w:rsid w:val="00246249"/>
    <w:rsid w:val="0024647D"/>
    <w:rsid w:val="00246498"/>
    <w:rsid w:val="002465F2"/>
    <w:rsid w:val="00246883"/>
    <w:rsid w:val="00246B75"/>
    <w:rsid w:val="00246C6D"/>
    <w:rsid w:val="00246CA7"/>
    <w:rsid w:val="00246CC5"/>
    <w:rsid w:val="00246CDA"/>
    <w:rsid w:val="00246E62"/>
    <w:rsid w:val="00246FD8"/>
    <w:rsid w:val="00247018"/>
    <w:rsid w:val="002470E2"/>
    <w:rsid w:val="00247385"/>
    <w:rsid w:val="002473BF"/>
    <w:rsid w:val="0024760D"/>
    <w:rsid w:val="00247633"/>
    <w:rsid w:val="0024776C"/>
    <w:rsid w:val="002477AB"/>
    <w:rsid w:val="002478F3"/>
    <w:rsid w:val="00247992"/>
    <w:rsid w:val="002479AA"/>
    <w:rsid w:val="00247A33"/>
    <w:rsid w:val="00247B1F"/>
    <w:rsid w:val="00247BE5"/>
    <w:rsid w:val="00247C03"/>
    <w:rsid w:val="00247C90"/>
    <w:rsid w:val="00247E9C"/>
    <w:rsid w:val="00250052"/>
    <w:rsid w:val="002500B5"/>
    <w:rsid w:val="002500C6"/>
    <w:rsid w:val="0025016A"/>
    <w:rsid w:val="00250207"/>
    <w:rsid w:val="00250590"/>
    <w:rsid w:val="00250799"/>
    <w:rsid w:val="00250DF8"/>
    <w:rsid w:val="00250E7C"/>
    <w:rsid w:val="00250F50"/>
    <w:rsid w:val="002511E7"/>
    <w:rsid w:val="00251210"/>
    <w:rsid w:val="0025135D"/>
    <w:rsid w:val="0025187F"/>
    <w:rsid w:val="00251942"/>
    <w:rsid w:val="002519A6"/>
    <w:rsid w:val="00251B7B"/>
    <w:rsid w:val="00251D0F"/>
    <w:rsid w:val="00251DA3"/>
    <w:rsid w:val="00251DB8"/>
    <w:rsid w:val="00252150"/>
    <w:rsid w:val="0025216F"/>
    <w:rsid w:val="0025223C"/>
    <w:rsid w:val="00252293"/>
    <w:rsid w:val="0025229D"/>
    <w:rsid w:val="00252655"/>
    <w:rsid w:val="00252864"/>
    <w:rsid w:val="002528BE"/>
    <w:rsid w:val="00252A47"/>
    <w:rsid w:val="00252B76"/>
    <w:rsid w:val="00252B8B"/>
    <w:rsid w:val="00252BE0"/>
    <w:rsid w:val="00252C0F"/>
    <w:rsid w:val="00252CFA"/>
    <w:rsid w:val="00252D76"/>
    <w:rsid w:val="00252E3D"/>
    <w:rsid w:val="00252EEF"/>
    <w:rsid w:val="00252F72"/>
    <w:rsid w:val="0025307E"/>
    <w:rsid w:val="00253167"/>
    <w:rsid w:val="00253201"/>
    <w:rsid w:val="00253256"/>
    <w:rsid w:val="00253477"/>
    <w:rsid w:val="002537B6"/>
    <w:rsid w:val="002537DB"/>
    <w:rsid w:val="002538F3"/>
    <w:rsid w:val="00253C6F"/>
    <w:rsid w:val="00253C92"/>
    <w:rsid w:val="00253CF6"/>
    <w:rsid w:val="00253D45"/>
    <w:rsid w:val="00253D9E"/>
    <w:rsid w:val="00253FE5"/>
    <w:rsid w:val="002540FC"/>
    <w:rsid w:val="0025412D"/>
    <w:rsid w:val="00254162"/>
    <w:rsid w:val="00254373"/>
    <w:rsid w:val="002544DA"/>
    <w:rsid w:val="0025473C"/>
    <w:rsid w:val="00254983"/>
    <w:rsid w:val="00254A0B"/>
    <w:rsid w:val="00254B1D"/>
    <w:rsid w:val="00254BAE"/>
    <w:rsid w:val="00254BD1"/>
    <w:rsid w:val="00254BF2"/>
    <w:rsid w:val="00254C2B"/>
    <w:rsid w:val="00254D00"/>
    <w:rsid w:val="00254D2D"/>
    <w:rsid w:val="00254E17"/>
    <w:rsid w:val="00254F0C"/>
    <w:rsid w:val="00255033"/>
    <w:rsid w:val="00255042"/>
    <w:rsid w:val="00255078"/>
    <w:rsid w:val="0025520B"/>
    <w:rsid w:val="00255362"/>
    <w:rsid w:val="002553B8"/>
    <w:rsid w:val="002553DB"/>
    <w:rsid w:val="0025543C"/>
    <w:rsid w:val="002555D2"/>
    <w:rsid w:val="00255600"/>
    <w:rsid w:val="0025567F"/>
    <w:rsid w:val="0025571B"/>
    <w:rsid w:val="00255788"/>
    <w:rsid w:val="0025578A"/>
    <w:rsid w:val="00255903"/>
    <w:rsid w:val="002559C1"/>
    <w:rsid w:val="00255A73"/>
    <w:rsid w:val="00255CAA"/>
    <w:rsid w:val="00255DC0"/>
    <w:rsid w:val="00255E74"/>
    <w:rsid w:val="00255E86"/>
    <w:rsid w:val="0025609D"/>
    <w:rsid w:val="002560FC"/>
    <w:rsid w:val="00256192"/>
    <w:rsid w:val="00256273"/>
    <w:rsid w:val="00256277"/>
    <w:rsid w:val="002562C1"/>
    <w:rsid w:val="0025634B"/>
    <w:rsid w:val="0025640D"/>
    <w:rsid w:val="002564B8"/>
    <w:rsid w:val="00256538"/>
    <w:rsid w:val="0025661E"/>
    <w:rsid w:val="002566CF"/>
    <w:rsid w:val="002567C7"/>
    <w:rsid w:val="0025699F"/>
    <w:rsid w:val="00256A76"/>
    <w:rsid w:val="00256B63"/>
    <w:rsid w:val="00256C41"/>
    <w:rsid w:val="00256D3D"/>
    <w:rsid w:val="00256D61"/>
    <w:rsid w:val="00256E07"/>
    <w:rsid w:val="00256F22"/>
    <w:rsid w:val="00256FB4"/>
    <w:rsid w:val="00256FFF"/>
    <w:rsid w:val="002571AD"/>
    <w:rsid w:val="00257280"/>
    <w:rsid w:val="002573B1"/>
    <w:rsid w:val="00257792"/>
    <w:rsid w:val="00257851"/>
    <w:rsid w:val="00257924"/>
    <w:rsid w:val="00257B1C"/>
    <w:rsid w:val="00257FBB"/>
    <w:rsid w:val="002601B6"/>
    <w:rsid w:val="0026038D"/>
    <w:rsid w:val="0026045F"/>
    <w:rsid w:val="002604AC"/>
    <w:rsid w:val="002605D0"/>
    <w:rsid w:val="00260766"/>
    <w:rsid w:val="002607D6"/>
    <w:rsid w:val="002608BE"/>
    <w:rsid w:val="00260B12"/>
    <w:rsid w:val="00260C86"/>
    <w:rsid w:val="002610CF"/>
    <w:rsid w:val="002614DE"/>
    <w:rsid w:val="00261557"/>
    <w:rsid w:val="002615A2"/>
    <w:rsid w:val="002615D8"/>
    <w:rsid w:val="002615F3"/>
    <w:rsid w:val="0026167C"/>
    <w:rsid w:val="0026178E"/>
    <w:rsid w:val="0026193A"/>
    <w:rsid w:val="00261B15"/>
    <w:rsid w:val="00261B35"/>
    <w:rsid w:val="00261B79"/>
    <w:rsid w:val="00261D09"/>
    <w:rsid w:val="00261DD7"/>
    <w:rsid w:val="00261F3F"/>
    <w:rsid w:val="00262006"/>
    <w:rsid w:val="00262107"/>
    <w:rsid w:val="002621AC"/>
    <w:rsid w:val="00262998"/>
    <w:rsid w:val="00262BF3"/>
    <w:rsid w:val="00262C0E"/>
    <w:rsid w:val="00262D1B"/>
    <w:rsid w:val="00262DA4"/>
    <w:rsid w:val="00262FDE"/>
    <w:rsid w:val="00263068"/>
    <w:rsid w:val="0026312C"/>
    <w:rsid w:val="00263312"/>
    <w:rsid w:val="0026362F"/>
    <w:rsid w:val="0026375B"/>
    <w:rsid w:val="00263773"/>
    <w:rsid w:val="002637D2"/>
    <w:rsid w:val="00263944"/>
    <w:rsid w:val="00263CEA"/>
    <w:rsid w:val="00263DEE"/>
    <w:rsid w:val="00263FDD"/>
    <w:rsid w:val="00264247"/>
    <w:rsid w:val="0026429D"/>
    <w:rsid w:val="00264429"/>
    <w:rsid w:val="00264449"/>
    <w:rsid w:val="002644E9"/>
    <w:rsid w:val="00264513"/>
    <w:rsid w:val="002645B3"/>
    <w:rsid w:val="002645F8"/>
    <w:rsid w:val="00264675"/>
    <w:rsid w:val="002647C0"/>
    <w:rsid w:val="0026495B"/>
    <w:rsid w:val="002649CC"/>
    <w:rsid w:val="00264ABE"/>
    <w:rsid w:val="00264CD8"/>
    <w:rsid w:val="00264DAD"/>
    <w:rsid w:val="00264EFB"/>
    <w:rsid w:val="00264FB2"/>
    <w:rsid w:val="0026536F"/>
    <w:rsid w:val="002654B0"/>
    <w:rsid w:val="002655FA"/>
    <w:rsid w:val="00265807"/>
    <w:rsid w:val="002658A4"/>
    <w:rsid w:val="00265926"/>
    <w:rsid w:val="00266017"/>
    <w:rsid w:val="0026602A"/>
    <w:rsid w:val="00266100"/>
    <w:rsid w:val="00266160"/>
    <w:rsid w:val="002662B5"/>
    <w:rsid w:val="00266353"/>
    <w:rsid w:val="00266371"/>
    <w:rsid w:val="002664A4"/>
    <w:rsid w:val="00266571"/>
    <w:rsid w:val="002665A4"/>
    <w:rsid w:val="00266679"/>
    <w:rsid w:val="0026668B"/>
    <w:rsid w:val="00266704"/>
    <w:rsid w:val="00266983"/>
    <w:rsid w:val="00266989"/>
    <w:rsid w:val="00266A33"/>
    <w:rsid w:val="00266B1F"/>
    <w:rsid w:val="00266BFA"/>
    <w:rsid w:val="00266C07"/>
    <w:rsid w:val="00266C38"/>
    <w:rsid w:val="00266CAC"/>
    <w:rsid w:val="00266CC1"/>
    <w:rsid w:val="00266D43"/>
    <w:rsid w:val="00266EAC"/>
    <w:rsid w:val="00266EF8"/>
    <w:rsid w:val="00266F6A"/>
    <w:rsid w:val="00266FA6"/>
    <w:rsid w:val="00267104"/>
    <w:rsid w:val="0026723A"/>
    <w:rsid w:val="00267490"/>
    <w:rsid w:val="0026752E"/>
    <w:rsid w:val="00267564"/>
    <w:rsid w:val="002675DA"/>
    <w:rsid w:val="00267757"/>
    <w:rsid w:val="002678C7"/>
    <w:rsid w:val="0026791E"/>
    <w:rsid w:val="0026797F"/>
    <w:rsid w:val="00267BF5"/>
    <w:rsid w:val="00267BF9"/>
    <w:rsid w:val="00267C05"/>
    <w:rsid w:val="00267F68"/>
    <w:rsid w:val="002682A4"/>
    <w:rsid w:val="00270099"/>
    <w:rsid w:val="0027020C"/>
    <w:rsid w:val="00270250"/>
    <w:rsid w:val="00270285"/>
    <w:rsid w:val="0027029C"/>
    <w:rsid w:val="002702F0"/>
    <w:rsid w:val="0027064A"/>
    <w:rsid w:val="00270718"/>
    <w:rsid w:val="002707FA"/>
    <w:rsid w:val="002708F3"/>
    <w:rsid w:val="002709D3"/>
    <w:rsid w:val="00270AC4"/>
    <w:rsid w:val="00270B56"/>
    <w:rsid w:val="00270E37"/>
    <w:rsid w:val="00270EC6"/>
    <w:rsid w:val="00270EE6"/>
    <w:rsid w:val="002710E7"/>
    <w:rsid w:val="0027127F"/>
    <w:rsid w:val="002712AF"/>
    <w:rsid w:val="002714B8"/>
    <w:rsid w:val="002714EF"/>
    <w:rsid w:val="0027153A"/>
    <w:rsid w:val="00271594"/>
    <w:rsid w:val="00271D98"/>
    <w:rsid w:val="00271EBC"/>
    <w:rsid w:val="00271FDC"/>
    <w:rsid w:val="00272052"/>
    <w:rsid w:val="0027223D"/>
    <w:rsid w:val="0027229A"/>
    <w:rsid w:val="002722B2"/>
    <w:rsid w:val="00272397"/>
    <w:rsid w:val="0027245D"/>
    <w:rsid w:val="00272479"/>
    <w:rsid w:val="00272587"/>
    <w:rsid w:val="00272733"/>
    <w:rsid w:val="0027287D"/>
    <w:rsid w:val="0027299E"/>
    <w:rsid w:val="002729B9"/>
    <w:rsid w:val="00272B49"/>
    <w:rsid w:val="00272DAB"/>
    <w:rsid w:val="00272E15"/>
    <w:rsid w:val="00272E2C"/>
    <w:rsid w:val="00272E7D"/>
    <w:rsid w:val="00272F03"/>
    <w:rsid w:val="00272F45"/>
    <w:rsid w:val="00273097"/>
    <w:rsid w:val="002730A9"/>
    <w:rsid w:val="002731B0"/>
    <w:rsid w:val="002731F8"/>
    <w:rsid w:val="00273222"/>
    <w:rsid w:val="0027336E"/>
    <w:rsid w:val="0027342E"/>
    <w:rsid w:val="002735B6"/>
    <w:rsid w:val="00273643"/>
    <w:rsid w:val="002737BF"/>
    <w:rsid w:val="00273891"/>
    <w:rsid w:val="00273A08"/>
    <w:rsid w:val="00273B08"/>
    <w:rsid w:val="00273BF1"/>
    <w:rsid w:val="00273C0A"/>
    <w:rsid w:val="00273D55"/>
    <w:rsid w:val="00273F35"/>
    <w:rsid w:val="00273F39"/>
    <w:rsid w:val="00273FC5"/>
    <w:rsid w:val="00274033"/>
    <w:rsid w:val="00274061"/>
    <w:rsid w:val="002740D6"/>
    <w:rsid w:val="00274198"/>
    <w:rsid w:val="002743ED"/>
    <w:rsid w:val="00274524"/>
    <w:rsid w:val="00274659"/>
    <w:rsid w:val="002746CC"/>
    <w:rsid w:val="00274772"/>
    <w:rsid w:val="0027480E"/>
    <w:rsid w:val="00274875"/>
    <w:rsid w:val="00274969"/>
    <w:rsid w:val="002749BF"/>
    <w:rsid w:val="00274A8B"/>
    <w:rsid w:val="00274B7F"/>
    <w:rsid w:val="00274CDE"/>
    <w:rsid w:val="00274EA6"/>
    <w:rsid w:val="00274EBB"/>
    <w:rsid w:val="00274F22"/>
    <w:rsid w:val="00274F4F"/>
    <w:rsid w:val="002750CF"/>
    <w:rsid w:val="00275101"/>
    <w:rsid w:val="0027526B"/>
    <w:rsid w:val="00275288"/>
    <w:rsid w:val="00275387"/>
    <w:rsid w:val="002754B4"/>
    <w:rsid w:val="002754CB"/>
    <w:rsid w:val="00275607"/>
    <w:rsid w:val="002757C4"/>
    <w:rsid w:val="00275964"/>
    <w:rsid w:val="00275AD1"/>
    <w:rsid w:val="00275C00"/>
    <w:rsid w:val="00275C99"/>
    <w:rsid w:val="00275D57"/>
    <w:rsid w:val="00275D73"/>
    <w:rsid w:val="00275DD1"/>
    <w:rsid w:val="00275E94"/>
    <w:rsid w:val="00275F9E"/>
    <w:rsid w:val="00275FFB"/>
    <w:rsid w:val="0027611F"/>
    <w:rsid w:val="00276225"/>
    <w:rsid w:val="00276318"/>
    <w:rsid w:val="002763E8"/>
    <w:rsid w:val="00276481"/>
    <w:rsid w:val="002764D1"/>
    <w:rsid w:val="002765DC"/>
    <w:rsid w:val="002767D9"/>
    <w:rsid w:val="002768B1"/>
    <w:rsid w:val="002768D7"/>
    <w:rsid w:val="00276B5F"/>
    <w:rsid w:val="00276D04"/>
    <w:rsid w:val="00276EDD"/>
    <w:rsid w:val="00277064"/>
    <w:rsid w:val="002771E3"/>
    <w:rsid w:val="002772D3"/>
    <w:rsid w:val="002773F5"/>
    <w:rsid w:val="002774D7"/>
    <w:rsid w:val="002774FF"/>
    <w:rsid w:val="002776ED"/>
    <w:rsid w:val="00277795"/>
    <w:rsid w:val="0027794E"/>
    <w:rsid w:val="00277A2F"/>
    <w:rsid w:val="00277A31"/>
    <w:rsid w:val="00277AC9"/>
    <w:rsid w:val="00277ADE"/>
    <w:rsid w:val="00277BEA"/>
    <w:rsid w:val="00277C1D"/>
    <w:rsid w:val="00277D59"/>
    <w:rsid w:val="00277DE2"/>
    <w:rsid w:val="00277EB6"/>
    <w:rsid w:val="00277EB8"/>
    <w:rsid w:val="002800C7"/>
    <w:rsid w:val="00280150"/>
    <w:rsid w:val="00280310"/>
    <w:rsid w:val="0028033F"/>
    <w:rsid w:val="002803C6"/>
    <w:rsid w:val="00280440"/>
    <w:rsid w:val="00280537"/>
    <w:rsid w:val="0028055E"/>
    <w:rsid w:val="002805F2"/>
    <w:rsid w:val="002807FE"/>
    <w:rsid w:val="00280868"/>
    <w:rsid w:val="00280893"/>
    <w:rsid w:val="002809DF"/>
    <w:rsid w:val="00280AB0"/>
    <w:rsid w:val="00280B3F"/>
    <w:rsid w:val="00280C64"/>
    <w:rsid w:val="00280C6C"/>
    <w:rsid w:val="00280DB3"/>
    <w:rsid w:val="00280E9A"/>
    <w:rsid w:val="00280ECD"/>
    <w:rsid w:val="00281053"/>
    <w:rsid w:val="002810B9"/>
    <w:rsid w:val="0028114E"/>
    <w:rsid w:val="002811E5"/>
    <w:rsid w:val="0028129D"/>
    <w:rsid w:val="0028135E"/>
    <w:rsid w:val="002815F1"/>
    <w:rsid w:val="002816CF"/>
    <w:rsid w:val="002816EB"/>
    <w:rsid w:val="0028172B"/>
    <w:rsid w:val="002817F3"/>
    <w:rsid w:val="00281AB0"/>
    <w:rsid w:val="00281B69"/>
    <w:rsid w:val="00281B6B"/>
    <w:rsid w:val="00281C25"/>
    <w:rsid w:val="00282361"/>
    <w:rsid w:val="00282386"/>
    <w:rsid w:val="002823A5"/>
    <w:rsid w:val="00282427"/>
    <w:rsid w:val="002824E5"/>
    <w:rsid w:val="00282513"/>
    <w:rsid w:val="0028254B"/>
    <w:rsid w:val="0028261A"/>
    <w:rsid w:val="002827F5"/>
    <w:rsid w:val="002828A6"/>
    <w:rsid w:val="00282940"/>
    <w:rsid w:val="00282946"/>
    <w:rsid w:val="00282954"/>
    <w:rsid w:val="00282B8D"/>
    <w:rsid w:val="00282C93"/>
    <w:rsid w:val="00282E49"/>
    <w:rsid w:val="0028301C"/>
    <w:rsid w:val="0028305D"/>
    <w:rsid w:val="002832F9"/>
    <w:rsid w:val="00283330"/>
    <w:rsid w:val="00283490"/>
    <w:rsid w:val="00283589"/>
    <w:rsid w:val="0028359F"/>
    <w:rsid w:val="0028372C"/>
    <w:rsid w:val="00283875"/>
    <w:rsid w:val="00283A62"/>
    <w:rsid w:val="00283A7F"/>
    <w:rsid w:val="00283AE0"/>
    <w:rsid w:val="00283B36"/>
    <w:rsid w:val="00283B5A"/>
    <w:rsid w:val="00283FE5"/>
    <w:rsid w:val="0028406A"/>
    <w:rsid w:val="002841B5"/>
    <w:rsid w:val="002842F6"/>
    <w:rsid w:val="00284533"/>
    <w:rsid w:val="00284634"/>
    <w:rsid w:val="002846A8"/>
    <w:rsid w:val="002848C1"/>
    <w:rsid w:val="002848EA"/>
    <w:rsid w:val="00284938"/>
    <w:rsid w:val="00284B3F"/>
    <w:rsid w:val="00284CCF"/>
    <w:rsid w:val="00284CE8"/>
    <w:rsid w:val="00284D33"/>
    <w:rsid w:val="00284D4C"/>
    <w:rsid w:val="00284D68"/>
    <w:rsid w:val="00284FE5"/>
    <w:rsid w:val="0028510C"/>
    <w:rsid w:val="0028511A"/>
    <w:rsid w:val="00285215"/>
    <w:rsid w:val="0028534E"/>
    <w:rsid w:val="0028543E"/>
    <w:rsid w:val="002854EC"/>
    <w:rsid w:val="002856BD"/>
    <w:rsid w:val="002856C8"/>
    <w:rsid w:val="00285937"/>
    <w:rsid w:val="00285B0D"/>
    <w:rsid w:val="00285C02"/>
    <w:rsid w:val="00285C33"/>
    <w:rsid w:val="00285C88"/>
    <w:rsid w:val="00285E2C"/>
    <w:rsid w:val="00285E9F"/>
    <w:rsid w:val="00285EC8"/>
    <w:rsid w:val="00286027"/>
    <w:rsid w:val="0028615A"/>
    <w:rsid w:val="002864BC"/>
    <w:rsid w:val="0028677C"/>
    <w:rsid w:val="002867CC"/>
    <w:rsid w:val="002868E4"/>
    <w:rsid w:val="002868E5"/>
    <w:rsid w:val="00286AC7"/>
    <w:rsid w:val="00286B87"/>
    <w:rsid w:val="00286CCC"/>
    <w:rsid w:val="00286DC6"/>
    <w:rsid w:val="00286EAE"/>
    <w:rsid w:val="00286F6E"/>
    <w:rsid w:val="002871F8"/>
    <w:rsid w:val="002872AA"/>
    <w:rsid w:val="002874D3"/>
    <w:rsid w:val="0028765A"/>
    <w:rsid w:val="00287820"/>
    <w:rsid w:val="00287865"/>
    <w:rsid w:val="002878FF"/>
    <w:rsid w:val="00287A07"/>
    <w:rsid w:val="00287A1B"/>
    <w:rsid w:val="00287B80"/>
    <w:rsid w:val="00287EDB"/>
    <w:rsid w:val="00287F63"/>
    <w:rsid w:val="0029001F"/>
    <w:rsid w:val="00290259"/>
    <w:rsid w:val="00290345"/>
    <w:rsid w:val="002903BF"/>
    <w:rsid w:val="0029071C"/>
    <w:rsid w:val="002908F8"/>
    <w:rsid w:val="00290AF0"/>
    <w:rsid w:val="00290B51"/>
    <w:rsid w:val="00290B71"/>
    <w:rsid w:val="00290C5F"/>
    <w:rsid w:val="00290FA3"/>
    <w:rsid w:val="00291110"/>
    <w:rsid w:val="002912A8"/>
    <w:rsid w:val="00291337"/>
    <w:rsid w:val="002914EC"/>
    <w:rsid w:val="00291657"/>
    <w:rsid w:val="002916A5"/>
    <w:rsid w:val="002917CF"/>
    <w:rsid w:val="00291930"/>
    <w:rsid w:val="002919CB"/>
    <w:rsid w:val="00291A1B"/>
    <w:rsid w:val="00291B2A"/>
    <w:rsid w:val="00291C8C"/>
    <w:rsid w:val="0029212C"/>
    <w:rsid w:val="0029221A"/>
    <w:rsid w:val="00292247"/>
    <w:rsid w:val="002922C7"/>
    <w:rsid w:val="0029231C"/>
    <w:rsid w:val="002923C8"/>
    <w:rsid w:val="0029255F"/>
    <w:rsid w:val="0029262B"/>
    <w:rsid w:val="002927FB"/>
    <w:rsid w:val="00292894"/>
    <w:rsid w:val="002928B9"/>
    <w:rsid w:val="00292916"/>
    <w:rsid w:val="0029298B"/>
    <w:rsid w:val="002929D1"/>
    <w:rsid w:val="00292A24"/>
    <w:rsid w:val="00292B44"/>
    <w:rsid w:val="00292E6D"/>
    <w:rsid w:val="00292FDC"/>
    <w:rsid w:val="0029301A"/>
    <w:rsid w:val="00293026"/>
    <w:rsid w:val="00293115"/>
    <w:rsid w:val="002931B4"/>
    <w:rsid w:val="002933EA"/>
    <w:rsid w:val="00293441"/>
    <w:rsid w:val="00293480"/>
    <w:rsid w:val="00293606"/>
    <w:rsid w:val="002936D5"/>
    <w:rsid w:val="00293723"/>
    <w:rsid w:val="00293773"/>
    <w:rsid w:val="002937FD"/>
    <w:rsid w:val="0029399D"/>
    <w:rsid w:val="00293A5A"/>
    <w:rsid w:val="00293A76"/>
    <w:rsid w:val="00293A8C"/>
    <w:rsid w:val="00293E6C"/>
    <w:rsid w:val="00293F92"/>
    <w:rsid w:val="00293FAB"/>
    <w:rsid w:val="00293FFE"/>
    <w:rsid w:val="0029411B"/>
    <w:rsid w:val="00294152"/>
    <w:rsid w:val="00294160"/>
    <w:rsid w:val="002941B1"/>
    <w:rsid w:val="00294388"/>
    <w:rsid w:val="002943B2"/>
    <w:rsid w:val="002943EB"/>
    <w:rsid w:val="00294466"/>
    <w:rsid w:val="00294569"/>
    <w:rsid w:val="0029457B"/>
    <w:rsid w:val="0029457D"/>
    <w:rsid w:val="0029467E"/>
    <w:rsid w:val="002946C0"/>
    <w:rsid w:val="002947D7"/>
    <w:rsid w:val="0029497E"/>
    <w:rsid w:val="0029498D"/>
    <w:rsid w:val="00294BFB"/>
    <w:rsid w:val="00294C41"/>
    <w:rsid w:val="00294CB6"/>
    <w:rsid w:val="00294DAF"/>
    <w:rsid w:val="00294DBF"/>
    <w:rsid w:val="00294DE6"/>
    <w:rsid w:val="00294EA2"/>
    <w:rsid w:val="00294F1C"/>
    <w:rsid w:val="0029509F"/>
    <w:rsid w:val="002951DE"/>
    <w:rsid w:val="002952CE"/>
    <w:rsid w:val="00295614"/>
    <w:rsid w:val="0029567B"/>
    <w:rsid w:val="002956FF"/>
    <w:rsid w:val="0029575D"/>
    <w:rsid w:val="002957B2"/>
    <w:rsid w:val="00295F1F"/>
    <w:rsid w:val="002960F2"/>
    <w:rsid w:val="00296188"/>
    <w:rsid w:val="0029618A"/>
    <w:rsid w:val="002962B4"/>
    <w:rsid w:val="0029630F"/>
    <w:rsid w:val="002963B7"/>
    <w:rsid w:val="00296589"/>
    <w:rsid w:val="002966E2"/>
    <w:rsid w:val="0029670C"/>
    <w:rsid w:val="0029689C"/>
    <w:rsid w:val="002968D1"/>
    <w:rsid w:val="00296945"/>
    <w:rsid w:val="00296961"/>
    <w:rsid w:val="0029696E"/>
    <w:rsid w:val="00296BBB"/>
    <w:rsid w:val="00296C4D"/>
    <w:rsid w:val="00296D4A"/>
    <w:rsid w:val="00296DFD"/>
    <w:rsid w:val="00296E9A"/>
    <w:rsid w:val="00297211"/>
    <w:rsid w:val="0029724E"/>
    <w:rsid w:val="00297331"/>
    <w:rsid w:val="00297594"/>
    <w:rsid w:val="00297819"/>
    <w:rsid w:val="00297A70"/>
    <w:rsid w:val="00297BB4"/>
    <w:rsid w:val="00297BB8"/>
    <w:rsid w:val="00297D9D"/>
    <w:rsid w:val="00297EE8"/>
    <w:rsid w:val="00297EF8"/>
    <w:rsid w:val="002A0045"/>
    <w:rsid w:val="002A00D3"/>
    <w:rsid w:val="002A0154"/>
    <w:rsid w:val="002A01AC"/>
    <w:rsid w:val="002A026C"/>
    <w:rsid w:val="002A0412"/>
    <w:rsid w:val="002A0423"/>
    <w:rsid w:val="002A04ED"/>
    <w:rsid w:val="002A05B0"/>
    <w:rsid w:val="002A0849"/>
    <w:rsid w:val="002A097F"/>
    <w:rsid w:val="002A0B7D"/>
    <w:rsid w:val="002A0CDF"/>
    <w:rsid w:val="002A0E04"/>
    <w:rsid w:val="002A10A5"/>
    <w:rsid w:val="002A12D9"/>
    <w:rsid w:val="002A1431"/>
    <w:rsid w:val="002A1455"/>
    <w:rsid w:val="002A15F9"/>
    <w:rsid w:val="002A1702"/>
    <w:rsid w:val="002A1775"/>
    <w:rsid w:val="002A1871"/>
    <w:rsid w:val="002A188B"/>
    <w:rsid w:val="002A19A6"/>
    <w:rsid w:val="002A19F4"/>
    <w:rsid w:val="002A1A57"/>
    <w:rsid w:val="002A1AB1"/>
    <w:rsid w:val="002A1D77"/>
    <w:rsid w:val="002A1DC7"/>
    <w:rsid w:val="002A1E1D"/>
    <w:rsid w:val="002A1EB8"/>
    <w:rsid w:val="002A1F5D"/>
    <w:rsid w:val="002A1F90"/>
    <w:rsid w:val="002A203E"/>
    <w:rsid w:val="002A2082"/>
    <w:rsid w:val="002A2119"/>
    <w:rsid w:val="002A219C"/>
    <w:rsid w:val="002A2267"/>
    <w:rsid w:val="002A2329"/>
    <w:rsid w:val="002A2349"/>
    <w:rsid w:val="002A2425"/>
    <w:rsid w:val="002A2471"/>
    <w:rsid w:val="002A2514"/>
    <w:rsid w:val="002A27B6"/>
    <w:rsid w:val="002A2BD2"/>
    <w:rsid w:val="002A2C9F"/>
    <w:rsid w:val="002A2D09"/>
    <w:rsid w:val="002A2D4F"/>
    <w:rsid w:val="002A2E70"/>
    <w:rsid w:val="002A2FC1"/>
    <w:rsid w:val="002A310C"/>
    <w:rsid w:val="002A32A3"/>
    <w:rsid w:val="002A345C"/>
    <w:rsid w:val="002A3493"/>
    <w:rsid w:val="002A34FC"/>
    <w:rsid w:val="002A3524"/>
    <w:rsid w:val="002A3670"/>
    <w:rsid w:val="002A36D3"/>
    <w:rsid w:val="002A3803"/>
    <w:rsid w:val="002A3900"/>
    <w:rsid w:val="002A3A54"/>
    <w:rsid w:val="002A3BA8"/>
    <w:rsid w:val="002A3BD2"/>
    <w:rsid w:val="002A3C51"/>
    <w:rsid w:val="002A4107"/>
    <w:rsid w:val="002A436F"/>
    <w:rsid w:val="002A449E"/>
    <w:rsid w:val="002A44BB"/>
    <w:rsid w:val="002A46A8"/>
    <w:rsid w:val="002A475E"/>
    <w:rsid w:val="002A4913"/>
    <w:rsid w:val="002A497E"/>
    <w:rsid w:val="002A4B48"/>
    <w:rsid w:val="002A4D2B"/>
    <w:rsid w:val="002A4D73"/>
    <w:rsid w:val="002A4F30"/>
    <w:rsid w:val="002A51EC"/>
    <w:rsid w:val="002A5263"/>
    <w:rsid w:val="002A534B"/>
    <w:rsid w:val="002A5414"/>
    <w:rsid w:val="002A55A3"/>
    <w:rsid w:val="002A55FA"/>
    <w:rsid w:val="002A589C"/>
    <w:rsid w:val="002A59A0"/>
    <w:rsid w:val="002A59E8"/>
    <w:rsid w:val="002A5B56"/>
    <w:rsid w:val="002A5B8A"/>
    <w:rsid w:val="002A5CD7"/>
    <w:rsid w:val="002A6026"/>
    <w:rsid w:val="002A62A4"/>
    <w:rsid w:val="002A62CC"/>
    <w:rsid w:val="002A62F8"/>
    <w:rsid w:val="002A63E3"/>
    <w:rsid w:val="002A6426"/>
    <w:rsid w:val="002A6441"/>
    <w:rsid w:val="002A64EE"/>
    <w:rsid w:val="002A6580"/>
    <w:rsid w:val="002A6738"/>
    <w:rsid w:val="002A68B3"/>
    <w:rsid w:val="002A6941"/>
    <w:rsid w:val="002A69D3"/>
    <w:rsid w:val="002A6A8A"/>
    <w:rsid w:val="002A6AFC"/>
    <w:rsid w:val="002A6C01"/>
    <w:rsid w:val="002A6D82"/>
    <w:rsid w:val="002A6DFB"/>
    <w:rsid w:val="002A6E36"/>
    <w:rsid w:val="002A6EE6"/>
    <w:rsid w:val="002A6F3C"/>
    <w:rsid w:val="002A70F9"/>
    <w:rsid w:val="002A71C8"/>
    <w:rsid w:val="002A7408"/>
    <w:rsid w:val="002A74E8"/>
    <w:rsid w:val="002A753F"/>
    <w:rsid w:val="002A75DB"/>
    <w:rsid w:val="002A75FF"/>
    <w:rsid w:val="002A7661"/>
    <w:rsid w:val="002A78A7"/>
    <w:rsid w:val="002A79EA"/>
    <w:rsid w:val="002A7AE5"/>
    <w:rsid w:val="002A7B06"/>
    <w:rsid w:val="002A7EA9"/>
    <w:rsid w:val="002B01FD"/>
    <w:rsid w:val="002B0241"/>
    <w:rsid w:val="002B0399"/>
    <w:rsid w:val="002B045F"/>
    <w:rsid w:val="002B04EC"/>
    <w:rsid w:val="002B056C"/>
    <w:rsid w:val="002B0770"/>
    <w:rsid w:val="002B077E"/>
    <w:rsid w:val="002B07FE"/>
    <w:rsid w:val="002B0942"/>
    <w:rsid w:val="002B0A9B"/>
    <w:rsid w:val="002B0BF2"/>
    <w:rsid w:val="002B0C2A"/>
    <w:rsid w:val="002B0E95"/>
    <w:rsid w:val="002B104B"/>
    <w:rsid w:val="002B1217"/>
    <w:rsid w:val="002B1228"/>
    <w:rsid w:val="002B132D"/>
    <w:rsid w:val="002B133A"/>
    <w:rsid w:val="002B1418"/>
    <w:rsid w:val="002B14BC"/>
    <w:rsid w:val="002B14DE"/>
    <w:rsid w:val="002B15C1"/>
    <w:rsid w:val="002B1653"/>
    <w:rsid w:val="002B1672"/>
    <w:rsid w:val="002B17C4"/>
    <w:rsid w:val="002B1BF3"/>
    <w:rsid w:val="002B1C69"/>
    <w:rsid w:val="002B1C9C"/>
    <w:rsid w:val="002B1CD3"/>
    <w:rsid w:val="002B1CF5"/>
    <w:rsid w:val="002B1D24"/>
    <w:rsid w:val="002B1E0D"/>
    <w:rsid w:val="002B1EEC"/>
    <w:rsid w:val="002B2016"/>
    <w:rsid w:val="002B203F"/>
    <w:rsid w:val="002B2126"/>
    <w:rsid w:val="002B21B4"/>
    <w:rsid w:val="002B21FF"/>
    <w:rsid w:val="002B2413"/>
    <w:rsid w:val="002B2456"/>
    <w:rsid w:val="002B248C"/>
    <w:rsid w:val="002B2528"/>
    <w:rsid w:val="002B25BD"/>
    <w:rsid w:val="002B25E1"/>
    <w:rsid w:val="002B2A28"/>
    <w:rsid w:val="002B2A95"/>
    <w:rsid w:val="002B2B7C"/>
    <w:rsid w:val="002B2D53"/>
    <w:rsid w:val="002B3041"/>
    <w:rsid w:val="002B3135"/>
    <w:rsid w:val="002B315A"/>
    <w:rsid w:val="002B326A"/>
    <w:rsid w:val="002B3343"/>
    <w:rsid w:val="002B33F0"/>
    <w:rsid w:val="002B3650"/>
    <w:rsid w:val="002B37EE"/>
    <w:rsid w:val="002B3808"/>
    <w:rsid w:val="002B3890"/>
    <w:rsid w:val="002B3A75"/>
    <w:rsid w:val="002B3B08"/>
    <w:rsid w:val="002B3BC7"/>
    <w:rsid w:val="002B3BFA"/>
    <w:rsid w:val="002B3CF1"/>
    <w:rsid w:val="002B3D56"/>
    <w:rsid w:val="002B3E02"/>
    <w:rsid w:val="002B3F35"/>
    <w:rsid w:val="002B41F7"/>
    <w:rsid w:val="002B42C0"/>
    <w:rsid w:val="002B43BA"/>
    <w:rsid w:val="002B449F"/>
    <w:rsid w:val="002B44E3"/>
    <w:rsid w:val="002B4569"/>
    <w:rsid w:val="002B48CF"/>
    <w:rsid w:val="002B49B9"/>
    <w:rsid w:val="002B49D3"/>
    <w:rsid w:val="002B4D9B"/>
    <w:rsid w:val="002B50DC"/>
    <w:rsid w:val="002B515A"/>
    <w:rsid w:val="002B51C2"/>
    <w:rsid w:val="002B51D0"/>
    <w:rsid w:val="002B53A8"/>
    <w:rsid w:val="002B54DC"/>
    <w:rsid w:val="002B54FF"/>
    <w:rsid w:val="002B558B"/>
    <w:rsid w:val="002B5639"/>
    <w:rsid w:val="002B580D"/>
    <w:rsid w:val="002B5898"/>
    <w:rsid w:val="002B5984"/>
    <w:rsid w:val="002B5A88"/>
    <w:rsid w:val="002B5ABE"/>
    <w:rsid w:val="002B5BBC"/>
    <w:rsid w:val="002B5BC6"/>
    <w:rsid w:val="002B5BD6"/>
    <w:rsid w:val="002B5C25"/>
    <w:rsid w:val="002B5C59"/>
    <w:rsid w:val="002B5CFB"/>
    <w:rsid w:val="002B6192"/>
    <w:rsid w:val="002B637B"/>
    <w:rsid w:val="002B6402"/>
    <w:rsid w:val="002B648D"/>
    <w:rsid w:val="002B6496"/>
    <w:rsid w:val="002B6665"/>
    <w:rsid w:val="002B678F"/>
    <w:rsid w:val="002B67D4"/>
    <w:rsid w:val="002B6835"/>
    <w:rsid w:val="002B6903"/>
    <w:rsid w:val="002B6B05"/>
    <w:rsid w:val="002B6C71"/>
    <w:rsid w:val="002B6E34"/>
    <w:rsid w:val="002B6EED"/>
    <w:rsid w:val="002B6EFD"/>
    <w:rsid w:val="002B71E7"/>
    <w:rsid w:val="002B722D"/>
    <w:rsid w:val="002B7310"/>
    <w:rsid w:val="002B735E"/>
    <w:rsid w:val="002B7521"/>
    <w:rsid w:val="002B7743"/>
    <w:rsid w:val="002B77FD"/>
    <w:rsid w:val="002B7A6D"/>
    <w:rsid w:val="002B7B81"/>
    <w:rsid w:val="002B7B82"/>
    <w:rsid w:val="002B7B84"/>
    <w:rsid w:val="002B7F58"/>
    <w:rsid w:val="002B7F80"/>
    <w:rsid w:val="002C0056"/>
    <w:rsid w:val="002C009A"/>
    <w:rsid w:val="002C0126"/>
    <w:rsid w:val="002C04EF"/>
    <w:rsid w:val="002C072E"/>
    <w:rsid w:val="002C076B"/>
    <w:rsid w:val="002C07EF"/>
    <w:rsid w:val="002C0933"/>
    <w:rsid w:val="002C0A55"/>
    <w:rsid w:val="002C0E23"/>
    <w:rsid w:val="002C0E4F"/>
    <w:rsid w:val="002C0F9A"/>
    <w:rsid w:val="002C0FAA"/>
    <w:rsid w:val="002C150B"/>
    <w:rsid w:val="002C153D"/>
    <w:rsid w:val="002C17A6"/>
    <w:rsid w:val="002C182D"/>
    <w:rsid w:val="002C18A0"/>
    <w:rsid w:val="002C18D2"/>
    <w:rsid w:val="002C1965"/>
    <w:rsid w:val="002C19BC"/>
    <w:rsid w:val="002C1B9C"/>
    <w:rsid w:val="002C1C87"/>
    <w:rsid w:val="002C1E06"/>
    <w:rsid w:val="002C1E2B"/>
    <w:rsid w:val="002C1E9E"/>
    <w:rsid w:val="002C2024"/>
    <w:rsid w:val="002C217A"/>
    <w:rsid w:val="002C23C6"/>
    <w:rsid w:val="002C23F9"/>
    <w:rsid w:val="002C2403"/>
    <w:rsid w:val="002C285C"/>
    <w:rsid w:val="002C28EF"/>
    <w:rsid w:val="002C2B8F"/>
    <w:rsid w:val="002C2D4D"/>
    <w:rsid w:val="002C2DD5"/>
    <w:rsid w:val="002C2ED3"/>
    <w:rsid w:val="002C2EE1"/>
    <w:rsid w:val="002C2EF5"/>
    <w:rsid w:val="002C2FC9"/>
    <w:rsid w:val="002C2FCF"/>
    <w:rsid w:val="002C300A"/>
    <w:rsid w:val="002C3031"/>
    <w:rsid w:val="002C309D"/>
    <w:rsid w:val="002C313D"/>
    <w:rsid w:val="002C3149"/>
    <w:rsid w:val="002C31F5"/>
    <w:rsid w:val="002C3280"/>
    <w:rsid w:val="002C32A6"/>
    <w:rsid w:val="002C3326"/>
    <w:rsid w:val="002C3502"/>
    <w:rsid w:val="002C3550"/>
    <w:rsid w:val="002C35A6"/>
    <w:rsid w:val="002C37B8"/>
    <w:rsid w:val="002C3875"/>
    <w:rsid w:val="002C388A"/>
    <w:rsid w:val="002C3B70"/>
    <w:rsid w:val="002C3BDD"/>
    <w:rsid w:val="002C3C74"/>
    <w:rsid w:val="002C3CB0"/>
    <w:rsid w:val="002C3FD1"/>
    <w:rsid w:val="002C417D"/>
    <w:rsid w:val="002C42BF"/>
    <w:rsid w:val="002C4312"/>
    <w:rsid w:val="002C441E"/>
    <w:rsid w:val="002C443E"/>
    <w:rsid w:val="002C44CB"/>
    <w:rsid w:val="002C4506"/>
    <w:rsid w:val="002C4756"/>
    <w:rsid w:val="002C47C0"/>
    <w:rsid w:val="002C4852"/>
    <w:rsid w:val="002C486C"/>
    <w:rsid w:val="002C48CE"/>
    <w:rsid w:val="002C4A37"/>
    <w:rsid w:val="002C4B51"/>
    <w:rsid w:val="002C4BE8"/>
    <w:rsid w:val="002C5015"/>
    <w:rsid w:val="002C51B1"/>
    <w:rsid w:val="002C5558"/>
    <w:rsid w:val="002C576F"/>
    <w:rsid w:val="002C58C7"/>
    <w:rsid w:val="002C58D1"/>
    <w:rsid w:val="002C58F2"/>
    <w:rsid w:val="002C5B6E"/>
    <w:rsid w:val="002C5C9C"/>
    <w:rsid w:val="002C5D09"/>
    <w:rsid w:val="002C5D4F"/>
    <w:rsid w:val="002C5F3B"/>
    <w:rsid w:val="002C60EB"/>
    <w:rsid w:val="002C6192"/>
    <w:rsid w:val="002C6303"/>
    <w:rsid w:val="002C64DA"/>
    <w:rsid w:val="002C65DF"/>
    <w:rsid w:val="002C6708"/>
    <w:rsid w:val="002C67DC"/>
    <w:rsid w:val="002C6A65"/>
    <w:rsid w:val="002C6C21"/>
    <w:rsid w:val="002C6C81"/>
    <w:rsid w:val="002C6D4D"/>
    <w:rsid w:val="002C6D8D"/>
    <w:rsid w:val="002C6E6F"/>
    <w:rsid w:val="002C6E91"/>
    <w:rsid w:val="002C6F8B"/>
    <w:rsid w:val="002C7022"/>
    <w:rsid w:val="002C71B3"/>
    <w:rsid w:val="002C7245"/>
    <w:rsid w:val="002C72B9"/>
    <w:rsid w:val="002C7600"/>
    <w:rsid w:val="002C78EA"/>
    <w:rsid w:val="002C7A45"/>
    <w:rsid w:val="002C7C7B"/>
    <w:rsid w:val="002C7DBB"/>
    <w:rsid w:val="002D0016"/>
    <w:rsid w:val="002D00BA"/>
    <w:rsid w:val="002D01D2"/>
    <w:rsid w:val="002D0224"/>
    <w:rsid w:val="002D027E"/>
    <w:rsid w:val="002D04D7"/>
    <w:rsid w:val="002D04EC"/>
    <w:rsid w:val="002D0588"/>
    <w:rsid w:val="002D058F"/>
    <w:rsid w:val="002D05EC"/>
    <w:rsid w:val="002D07F0"/>
    <w:rsid w:val="002D0843"/>
    <w:rsid w:val="002D084F"/>
    <w:rsid w:val="002D08C2"/>
    <w:rsid w:val="002D0A9A"/>
    <w:rsid w:val="002D0BD1"/>
    <w:rsid w:val="002D0BDF"/>
    <w:rsid w:val="002D0D79"/>
    <w:rsid w:val="002D0DA8"/>
    <w:rsid w:val="002D10C4"/>
    <w:rsid w:val="002D11C3"/>
    <w:rsid w:val="002D1230"/>
    <w:rsid w:val="002D13B5"/>
    <w:rsid w:val="002D13FA"/>
    <w:rsid w:val="002D173D"/>
    <w:rsid w:val="002D189A"/>
    <w:rsid w:val="002D1B6A"/>
    <w:rsid w:val="002D1CE5"/>
    <w:rsid w:val="002D1D7B"/>
    <w:rsid w:val="002D1E68"/>
    <w:rsid w:val="002D2012"/>
    <w:rsid w:val="002D2225"/>
    <w:rsid w:val="002D22AE"/>
    <w:rsid w:val="002D23B0"/>
    <w:rsid w:val="002D2BCF"/>
    <w:rsid w:val="002D2F00"/>
    <w:rsid w:val="002D301B"/>
    <w:rsid w:val="002D30A0"/>
    <w:rsid w:val="002D31C2"/>
    <w:rsid w:val="002D322F"/>
    <w:rsid w:val="002D32B0"/>
    <w:rsid w:val="002D32D7"/>
    <w:rsid w:val="002D3352"/>
    <w:rsid w:val="002D336D"/>
    <w:rsid w:val="002D33C8"/>
    <w:rsid w:val="002D3537"/>
    <w:rsid w:val="002D3571"/>
    <w:rsid w:val="002D36D2"/>
    <w:rsid w:val="002D3958"/>
    <w:rsid w:val="002D3A01"/>
    <w:rsid w:val="002D3A12"/>
    <w:rsid w:val="002D3C04"/>
    <w:rsid w:val="002D3D1C"/>
    <w:rsid w:val="002D3D9F"/>
    <w:rsid w:val="002D3E5B"/>
    <w:rsid w:val="002D3E89"/>
    <w:rsid w:val="002D3F75"/>
    <w:rsid w:val="002D3FB2"/>
    <w:rsid w:val="002D3FD6"/>
    <w:rsid w:val="002D40D7"/>
    <w:rsid w:val="002D4138"/>
    <w:rsid w:val="002D432C"/>
    <w:rsid w:val="002D44A4"/>
    <w:rsid w:val="002D4560"/>
    <w:rsid w:val="002D4587"/>
    <w:rsid w:val="002D46B4"/>
    <w:rsid w:val="002D4754"/>
    <w:rsid w:val="002D4762"/>
    <w:rsid w:val="002D4947"/>
    <w:rsid w:val="002D4959"/>
    <w:rsid w:val="002D49B3"/>
    <w:rsid w:val="002D4A25"/>
    <w:rsid w:val="002D4A37"/>
    <w:rsid w:val="002D4A54"/>
    <w:rsid w:val="002D4AB4"/>
    <w:rsid w:val="002D4AB7"/>
    <w:rsid w:val="002D4D20"/>
    <w:rsid w:val="002D4DC5"/>
    <w:rsid w:val="002D4F67"/>
    <w:rsid w:val="002D4F94"/>
    <w:rsid w:val="002D4F9B"/>
    <w:rsid w:val="002D527D"/>
    <w:rsid w:val="002D5453"/>
    <w:rsid w:val="002D54F0"/>
    <w:rsid w:val="002D57E9"/>
    <w:rsid w:val="002D5860"/>
    <w:rsid w:val="002D59BA"/>
    <w:rsid w:val="002D5A69"/>
    <w:rsid w:val="002D5A8C"/>
    <w:rsid w:val="002D5B09"/>
    <w:rsid w:val="002D5B3B"/>
    <w:rsid w:val="002D5BDA"/>
    <w:rsid w:val="002D5C12"/>
    <w:rsid w:val="002D5C47"/>
    <w:rsid w:val="002D5CBF"/>
    <w:rsid w:val="002D5DA5"/>
    <w:rsid w:val="002D5F67"/>
    <w:rsid w:val="002D609C"/>
    <w:rsid w:val="002D6178"/>
    <w:rsid w:val="002D6281"/>
    <w:rsid w:val="002D657C"/>
    <w:rsid w:val="002D6594"/>
    <w:rsid w:val="002D65F9"/>
    <w:rsid w:val="002D6760"/>
    <w:rsid w:val="002D6917"/>
    <w:rsid w:val="002D69E4"/>
    <w:rsid w:val="002D6A06"/>
    <w:rsid w:val="002D6D01"/>
    <w:rsid w:val="002D6F36"/>
    <w:rsid w:val="002D6FF4"/>
    <w:rsid w:val="002D726D"/>
    <w:rsid w:val="002D7278"/>
    <w:rsid w:val="002D7405"/>
    <w:rsid w:val="002D7486"/>
    <w:rsid w:val="002D75F9"/>
    <w:rsid w:val="002D7616"/>
    <w:rsid w:val="002D76D0"/>
    <w:rsid w:val="002D7733"/>
    <w:rsid w:val="002D7752"/>
    <w:rsid w:val="002D77B7"/>
    <w:rsid w:val="002D77D0"/>
    <w:rsid w:val="002D7991"/>
    <w:rsid w:val="002D7AD2"/>
    <w:rsid w:val="002D7B3D"/>
    <w:rsid w:val="002D7C15"/>
    <w:rsid w:val="002D7C71"/>
    <w:rsid w:val="002D7C8A"/>
    <w:rsid w:val="002D7D3D"/>
    <w:rsid w:val="002D7EB7"/>
    <w:rsid w:val="002E00DD"/>
    <w:rsid w:val="002E027C"/>
    <w:rsid w:val="002E02B7"/>
    <w:rsid w:val="002E02E7"/>
    <w:rsid w:val="002E049E"/>
    <w:rsid w:val="002E059E"/>
    <w:rsid w:val="002E07FF"/>
    <w:rsid w:val="002E086C"/>
    <w:rsid w:val="002E08C4"/>
    <w:rsid w:val="002E08E5"/>
    <w:rsid w:val="002E0A56"/>
    <w:rsid w:val="002E0AD9"/>
    <w:rsid w:val="002E0B98"/>
    <w:rsid w:val="002E0BF3"/>
    <w:rsid w:val="002E0D1C"/>
    <w:rsid w:val="002E0D23"/>
    <w:rsid w:val="002E0D8A"/>
    <w:rsid w:val="002E0DAE"/>
    <w:rsid w:val="002E0FFF"/>
    <w:rsid w:val="002E1049"/>
    <w:rsid w:val="002E140A"/>
    <w:rsid w:val="002E1420"/>
    <w:rsid w:val="002E1630"/>
    <w:rsid w:val="002E16D3"/>
    <w:rsid w:val="002E1A63"/>
    <w:rsid w:val="002E1DB3"/>
    <w:rsid w:val="002E1E1D"/>
    <w:rsid w:val="002E1EE2"/>
    <w:rsid w:val="002E1FB7"/>
    <w:rsid w:val="002E20A0"/>
    <w:rsid w:val="002E223F"/>
    <w:rsid w:val="002E22D7"/>
    <w:rsid w:val="002E2491"/>
    <w:rsid w:val="002E25C5"/>
    <w:rsid w:val="002E292B"/>
    <w:rsid w:val="002E295B"/>
    <w:rsid w:val="002E2B14"/>
    <w:rsid w:val="002E2B3E"/>
    <w:rsid w:val="002E2D1E"/>
    <w:rsid w:val="002E303F"/>
    <w:rsid w:val="002E31A7"/>
    <w:rsid w:val="002E31DF"/>
    <w:rsid w:val="002E34AC"/>
    <w:rsid w:val="002E34C7"/>
    <w:rsid w:val="002E363E"/>
    <w:rsid w:val="002E37B3"/>
    <w:rsid w:val="002E38C1"/>
    <w:rsid w:val="002E3921"/>
    <w:rsid w:val="002E3925"/>
    <w:rsid w:val="002E39C9"/>
    <w:rsid w:val="002E3A02"/>
    <w:rsid w:val="002E3A49"/>
    <w:rsid w:val="002E3D16"/>
    <w:rsid w:val="002E3D73"/>
    <w:rsid w:val="002E3F9B"/>
    <w:rsid w:val="002E3FC3"/>
    <w:rsid w:val="002E415F"/>
    <w:rsid w:val="002E419C"/>
    <w:rsid w:val="002E42EF"/>
    <w:rsid w:val="002E4348"/>
    <w:rsid w:val="002E441B"/>
    <w:rsid w:val="002E447E"/>
    <w:rsid w:val="002E47A8"/>
    <w:rsid w:val="002E48F0"/>
    <w:rsid w:val="002E48F9"/>
    <w:rsid w:val="002E493B"/>
    <w:rsid w:val="002E494C"/>
    <w:rsid w:val="002E494E"/>
    <w:rsid w:val="002E4A9D"/>
    <w:rsid w:val="002E4AFE"/>
    <w:rsid w:val="002E4D0B"/>
    <w:rsid w:val="002E4D22"/>
    <w:rsid w:val="002E4D70"/>
    <w:rsid w:val="002E4E18"/>
    <w:rsid w:val="002E4F13"/>
    <w:rsid w:val="002E5097"/>
    <w:rsid w:val="002E51A7"/>
    <w:rsid w:val="002E52E6"/>
    <w:rsid w:val="002E53FA"/>
    <w:rsid w:val="002E54AF"/>
    <w:rsid w:val="002E54E8"/>
    <w:rsid w:val="002E55CA"/>
    <w:rsid w:val="002E5648"/>
    <w:rsid w:val="002E5652"/>
    <w:rsid w:val="002E573B"/>
    <w:rsid w:val="002E576A"/>
    <w:rsid w:val="002E58FF"/>
    <w:rsid w:val="002E598B"/>
    <w:rsid w:val="002E5A50"/>
    <w:rsid w:val="002E5D04"/>
    <w:rsid w:val="002E5EA8"/>
    <w:rsid w:val="002E5F5E"/>
    <w:rsid w:val="002E6006"/>
    <w:rsid w:val="002E6102"/>
    <w:rsid w:val="002E6110"/>
    <w:rsid w:val="002E6119"/>
    <w:rsid w:val="002E61AF"/>
    <w:rsid w:val="002E6228"/>
    <w:rsid w:val="002E6254"/>
    <w:rsid w:val="002E6282"/>
    <w:rsid w:val="002E6374"/>
    <w:rsid w:val="002E63E5"/>
    <w:rsid w:val="002E63F0"/>
    <w:rsid w:val="002E666E"/>
    <w:rsid w:val="002E6818"/>
    <w:rsid w:val="002E6821"/>
    <w:rsid w:val="002E6953"/>
    <w:rsid w:val="002E6C24"/>
    <w:rsid w:val="002E6F37"/>
    <w:rsid w:val="002E70D6"/>
    <w:rsid w:val="002E722D"/>
    <w:rsid w:val="002E74E2"/>
    <w:rsid w:val="002E754B"/>
    <w:rsid w:val="002E765C"/>
    <w:rsid w:val="002E7867"/>
    <w:rsid w:val="002E79F7"/>
    <w:rsid w:val="002E7E3A"/>
    <w:rsid w:val="002E7E8C"/>
    <w:rsid w:val="002E7EAF"/>
    <w:rsid w:val="002F0072"/>
    <w:rsid w:val="002F013B"/>
    <w:rsid w:val="002F01A7"/>
    <w:rsid w:val="002F026E"/>
    <w:rsid w:val="002F02A8"/>
    <w:rsid w:val="002F0386"/>
    <w:rsid w:val="002F0553"/>
    <w:rsid w:val="002F068B"/>
    <w:rsid w:val="002F075A"/>
    <w:rsid w:val="002F0980"/>
    <w:rsid w:val="002F09BE"/>
    <w:rsid w:val="002F0BF1"/>
    <w:rsid w:val="002F0DDE"/>
    <w:rsid w:val="002F1082"/>
    <w:rsid w:val="002F12FB"/>
    <w:rsid w:val="002F1302"/>
    <w:rsid w:val="002F13E1"/>
    <w:rsid w:val="002F143E"/>
    <w:rsid w:val="002F14C9"/>
    <w:rsid w:val="002F150B"/>
    <w:rsid w:val="002F1530"/>
    <w:rsid w:val="002F1835"/>
    <w:rsid w:val="002F1904"/>
    <w:rsid w:val="002F1991"/>
    <w:rsid w:val="002F19C3"/>
    <w:rsid w:val="002F1A11"/>
    <w:rsid w:val="002F1A7D"/>
    <w:rsid w:val="002F1AF8"/>
    <w:rsid w:val="002F1D15"/>
    <w:rsid w:val="002F1DD3"/>
    <w:rsid w:val="002F205B"/>
    <w:rsid w:val="002F2067"/>
    <w:rsid w:val="002F207B"/>
    <w:rsid w:val="002F216B"/>
    <w:rsid w:val="002F2324"/>
    <w:rsid w:val="002F2767"/>
    <w:rsid w:val="002F294F"/>
    <w:rsid w:val="002F2DAB"/>
    <w:rsid w:val="002F315A"/>
    <w:rsid w:val="002F33EB"/>
    <w:rsid w:val="002F340D"/>
    <w:rsid w:val="002F354B"/>
    <w:rsid w:val="002F357F"/>
    <w:rsid w:val="002F36A0"/>
    <w:rsid w:val="002F36A2"/>
    <w:rsid w:val="002F373C"/>
    <w:rsid w:val="002F37D4"/>
    <w:rsid w:val="002F3880"/>
    <w:rsid w:val="002F39E1"/>
    <w:rsid w:val="002F3A01"/>
    <w:rsid w:val="002F3A73"/>
    <w:rsid w:val="002F3BE8"/>
    <w:rsid w:val="002F3CCB"/>
    <w:rsid w:val="002F3D69"/>
    <w:rsid w:val="002F3DA3"/>
    <w:rsid w:val="002F3E3B"/>
    <w:rsid w:val="002F3F81"/>
    <w:rsid w:val="002F4025"/>
    <w:rsid w:val="002F40AA"/>
    <w:rsid w:val="002F411D"/>
    <w:rsid w:val="002F426E"/>
    <w:rsid w:val="002F44E2"/>
    <w:rsid w:val="002F45CF"/>
    <w:rsid w:val="002F472C"/>
    <w:rsid w:val="002F47CE"/>
    <w:rsid w:val="002F4CDA"/>
    <w:rsid w:val="002F4DFE"/>
    <w:rsid w:val="002F4F64"/>
    <w:rsid w:val="002F4FA0"/>
    <w:rsid w:val="002F5180"/>
    <w:rsid w:val="002F51EA"/>
    <w:rsid w:val="002F529E"/>
    <w:rsid w:val="002F52F3"/>
    <w:rsid w:val="002F548A"/>
    <w:rsid w:val="002F54FC"/>
    <w:rsid w:val="002F5652"/>
    <w:rsid w:val="002F5724"/>
    <w:rsid w:val="002F5817"/>
    <w:rsid w:val="002F58BC"/>
    <w:rsid w:val="002F5A13"/>
    <w:rsid w:val="002F5A2A"/>
    <w:rsid w:val="002F5AAA"/>
    <w:rsid w:val="002F5AF1"/>
    <w:rsid w:val="002F5C19"/>
    <w:rsid w:val="002F5FD8"/>
    <w:rsid w:val="002F6203"/>
    <w:rsid w:val="002F6384"/>
    <w:rsid w:val="002F63AA"/>
    <w:rsid w:val="002F641E"/>
    <w:rsid w:val="002F6430"/>
    <w:rsid w:val="002F64B0"/>
    <w:rsid w:val="002F6503"/>
    <w:rsid w:val="002F6532"/>
    <w:rsid w:val="002F6599"/>
    <w:rsid w:val="002F6742"/>
    <w:rsid w:val="002F68B0"/>
    <w:rsid w:val="002F691A"/>
    <w:rsid w:val="002F6AA4"/>
    <w:rsid w:val="002F6FCC"/>
    <w:rsid w:val="002F6FD5"/>
    <w:rsid w:val="002F7079"/>
    <w:rsid w:val="002F7093"/>
    <w:rsid w:val="002F70C8"/>
    <w:rsid w:val="002F712D"/>
    <w:rsid w:val="002F7165"/>
    <w:rsid w:val="002F7179"/>
    <w:rsid w:val="002F7202"/>
    <w:rsid w:val="002F7229"/>
    <w:rsid w:val="002F7277"/>
    <w:rsid w:val="002F732B"/>
    <w:rsid w:val="002F73D8"/>
    <w:rsid w:val="002F74D4"/>
    <w:rsid w:val="002F74F3"/>
    <w:rsid w:val="002F7545"/>
    <w:rsid w:val="002F782C"/>
    <w:rsid w:val="002F783E"/>
    <w:rsid w:val="002F7B26"/>
    <w:rsid w:val="002F7CCF"/>
    <w:rsid w:val="002F7D23"/>
    <w:rsid w:val="002F7D89"/>
    <w:rsid w:val="002F7DAE"/>
    <w:rsid w:val="00300005"/>
    <w:rsid w:val="00300031"/>
    <w:rsid w:val="003000D9"/>
    <w:rsid w:val="00300176"/>
    <w:rsid w:val="003001A7"/>
    <w:rsid w:val="003001EC"/>
    <w:rsid w:val="00300421"/>
    <w:rsid w:val="0030046D"/>
    <w:rsid w:val="003005BB"/>
    <w:rsid w:val="00300793"/>
    <w:rsid w:val="0030090A"/>
    <w:rsid w:val="0030090C"/>
    <w:rsid w:val="00300945"/>
    <w:rsid w:val="00300956"/>
    <w:rsid w:val="00300AD3"/>
    <w:rsid w:val="00300B05"/>
    <w:rsid w:val="00300BB7"/>
    <w:rsid w:val="00300C57"/>
    <w:rsid w:val="00300CBF"/>
    <w:rsid w:val="00300D45"/>
    <w:rsid w:val="00300DAB"/>
    <w:rsid w:val="00300E5B"/>
    <w:rsid w:val="00300EB7"/>
    <w:rsid w:val="00301002"/>
    <w:rsid w:val="00301273"/>
    <w:rsid w:val="003013B3"/>
    <w:rsid w:val="0030140D"/>
    <w:rsid w:val="0030149E"/>
    <w:rsid w:val="003014C7"/>
    <w:rsid w:val="0030155C"/>
    <w:rsid w:val="00301733"/>
    <w:rsid w:val="00301952"/>
    <w:rsid w:val="003019CB"/>
    <w:rsid w:val="00301C58"/>
    <w:rsid w:val="00301D0C"/>
    <w:rsid w:val="00301E00"/>
    <w:rsid w:val="00301F75"/>
    <w:rsid w:val="00302089"/>
    <w:rsid w:val="003020AA"/>
    <w:rsid w:val="003020D1"/>
    <w:rsid w:val="00302109"/>
    <w:rsid w:val="00302284"/>
    <w:rsid w:val="003025CA"/>
    <w:rsid w:val="003027F1"/>
    <w:rsid w:val="00302B1F"/>
    <w:rsid w:val="00302BBC"/>
    <w:rsid w:val="00302BBD"/>
    <w:rsid w:val="00302DD5"/>
    <w:rsid w:val="00302E7C"/>
    <w:rsid w:val="00302FF1"/>
    <w:rsid w:val="00303072"/>
    <w:rsid w:val="0030315A"/>
    <w:rsid w:val="003031F8"/>
    <w:rsid w:val="00303516"/>
    <w:rsid w:val="003039DB"/>
    <w:rsid w:val="00303ABB"/>
    <w:rsid w:val="00303B07"/>
    <w:rsid w:val="00303C15"/>
    <w:rsid w:val="00303D99"/>
    <w:rsid w:val="00303E04"/>
    <w:rsid w:val="00304126"/>
    <w:rsid w:val="00304206"/>
    <w:rsid w:val="003042FC"/>
    <w:rsid w:val="003044C2"/>
    <w:rsid w:val="003044FE"/>
    <w:rsid w:val="0030454A"/>
    <w:rsid w:val="003045A1"/>
    <w:rsid w:val="003046A0"/>
    <w:rsid w:val="0030487D"/>
    <w:rsid w:val="0030490B"/>
    <w:rsid w:val="0030496C"/>
    <w:rsid w:val="00304A3D"/>
    <w:rsid w:val="00304C1E"/>
    <w:rsid w:val="00304C29"/>
    <w:rsid w:val="00304DD6"/>
    <w:rsid w:val="00304ED7"/>
    <w:rsid w:val="00304F27"/>
    <w:rsid w:val="00305216"/>
    <w:rsid w:val="00305256"/>
    <w:rsid w:val="00305277"/>
    <w:rsid w:val="0030528A"/>
    <w:rsid w:val="00305291"/>
    <w:rsid w:val="003052EE"/>
    <w:rsid w:val="003053CE"/>
    <w:rsid w:val="003053F6"/>
    <w:rsid w:val="00305504"/>
    <w:rsid w:val="00305867"/>
    <w:rsid w:val="003058AB"/>
    <w:rsid w:val="00305962"/>
    <w:rsid w:val="00305C4B"/>
    <w:rsid w:val="00305D3A"/>
    <w:rsid w:val="00305DAC"/>
    <w:rsid w:val="00305DD4"/>
    <w:rsid w:val="00305FAD"/>
    <w:rsid w:val="00305FE6"/>
    <w:rsid w:val="003060B0"/>
    <w:rsid w:val="00306149"/>
    <w:rsid w:val="003062C3"/>
    <w:rsid w:val="003066E5"/>
    <w:rsid w:val="003067EE"/>
    <w:rsid w:val="00306984"/>
    <w:rsid w:val="00306A65"/>
    <w:rsid w:val="00306B02"/>
    <w:rsid w:val="00306EC9"/>
    <w:rsid w:val="00307090"/>
    <w:rsid w:val="0030713F"/>
    <w:rsid w:val="00307189"/>
    <w:rsid w:val="003071E9"/>
    <w:rsid w:val="003073C5"/>
    <w:rsid w:val="003073D3"/>
    <w:rsid w:val="003076C3"/>
    <w:rsid w:val="0030787C"/>
    <w:rsid w:val="00307ADB"/>
    <w:rsid w:val="00307B3D"/>
    <w:rsid w:val="00307CF3"/>
    <w:rsid w:val="00307FA8"/>
    <w:rsid w:val="00310135"/>
    <w:rsid w:val="0031016E"/>
    <w:rsid w:val="0031028E"/>
    <w:rsid w:val="003102F5"/>
    <w:rsid w:val="003103C6"/>
    <w:rsid w:val="00310628"/>
    <w:rsid w:val="00310757"/>
    <w:rsid w:val="003107D9"/>
    <w:rsid w:val="00310928"/>
    <w:rsid w:val="00310978"/>
    <w:rsid w:val="00310B17"/>
    <w:rsid w:val="00310CB4"/>
    <w:rsid w:val="00310CBE"/>
    <w:rsid w:val="00310E30"/>
    <w:rsid w:val="00310E7E"/>
    <w:rsid w:val="0031108D"/>
    <w:rsid w:val="003110D8"/>
    <w:rsid w:val="0031118C"/>
    <w:rsid w:val="00311366"/>
    <w:rsid w:val="00311381"/>
    <w:rsid w:val="003114C3"/>
    <w:rsid w:val="0031163A"/>
    <w:rsid w:val="00311645"/>
    <w:rsid w:val="003118A1"/>
    <w:rsid w:val="003119EE"/>
    <w:rsid w:val="00311BE8"/>
    <w:rsid w:val="00311CD0"/>
    <w:rsid w:val="00311D77"/>
    <w:rsid w:val="00311FBC"/>
    <w:rsid w:val="00312037"/>
    <w:rsid w:val="0031208D"/>
    <w:rsid w:val="00312431"/>
    <w:rsid w:val="003124DC"/>
    <w:rsid w:val="00312792"/>
    <w:rsid w:val="003128DF"/>
    <w:rsid w:val="003128FF"/>
    <w:rsid w:val="003129CD"/>
    <w:rsid w:val="00312A6D"/>
    <w:rsid w:val="00312BAB"/>
    <w:rsid w:val="00312C6E"/>
    <w:rsid w:val="00313037"/>
    <w:rsid w:val="0031308F"/>
    <w:rsid w:val="003131D2"/>
    <w:rsid w:val="003132E8"/>
    <w:rsid w:val="003132E9"/>
    <w:rsid w:val="003132F8"/>
    <w:rsid w:val="003135B9"/>
    <w:rsid w:val="003136D0"/>
    <w:rsid w:val="00313957"/>
    <w:rsid w:val="00313A68"/>
    <w:rsid w:val="00313A91"/>
    <w:rsid w:val="00313BF7"/>
    <w:rsid w:val="00313C69"/>
    <w:rsid w:val="00313DE4"/>
    <w:rsid w:val="003140D5"/>
    <w:rsid w:val="00314185"/>
    <w:rsid w:val="00314290"/>
    <w:rsid w:val="00314404"/>
    <w:rsid w:val="00314676"/>
    <w:rsid w:val="003146AE"/>
    <w:rsid w:val="0031470F"/>
    <w:rsid w:val="00314745"/>
    <w:rsid w:val="00314A46"/>
    <w:rsid w:val="00314AF1"/>
    <w:rsid w:val="00314BBD"/>
    <w:rsid w:val="00314BCC"/>
    <w:rsid w:val="00314D01"/>
    <w:rsid w:val="00314E15"/>
    <w:rsid w:val="00314FC3"/>
    <w:rsid w:val="00315099"/>
    <w:rsid w:val="00315402"/>
    <w:rsid w:val="00315470"/>
    <w:rsid w:val="003154CE"/>
    <w:rsid w:val="003154DA"/>
    <w:rsid w:val="003155B7"/>
    <w:rsid w:val="00315603"/>
    <w:rsid w:val="0031563A"/>
    <w:rsid w:val="003156A5"/>
    <w:rsid w:val="00315861"/>
    <w:rsid w:val="003158AE"/>
    <w:rsid w:val="0031590D"/>
    <w:rsid w:val="00315B3A"/>
    <w:rsid w:val="00315BD7"/>
    <w:rsid w:val="00315BE1"/>
    <w:rsid w:val="00315C3D"/>
    <w:rsid w:val="00315C49"/>
    <w:rsid w:val="00315F71"/>
    <w:rsid w:val="0031623C"/>
    <w:rsid w:val="00316280"/>
    <w:rsid w:val="00316330"/>
    <w:rsid w:val="003163F5"/>
    <w:rsid w:val="003164C7"/>
    <w:rsid w:val="0031670C"/>
    <w:rsid w:val="00316713"/>
    <w:rsid w:val="0031682E"/>
    <w:rsid w:val="00316830"/>
    <w:rsid w:val="00316A60"/>
    <w:rsid w:val="00316A7E"/>
    <w:rsid w:val="00316B8C"/>
    <w:rsid w:val="00316B8E"/>
    <w:rsid w:val="00316BD0"/>
    <w:rsid w:val="00316C9B"/>
    <w:rsid w:val="00316CDC"/>
    <w:rsid w:val="00316D98"/>
    <w:rsid w:val="00316E2C"/>
    <w:rsid w:val="00316F13"/>
    <w:rsid w:val="00316F4D"/>
    <w:rsid w:val="00316F66"/>
    <w:rsid w:val="00316F69"/>
    <w:rsid w:val="00316F9B"/>
    <w:rsid w:val="00317319"/>
    <w:rsid w:val="0031732F"/>
    <w:rsid w:val="00317472"/>
    <w:rsid w:val="0031748F"/>
    <w:rsid w:val="0031751A"/>
    <w:rsid w:val="003175BF"/>
    <w:rsid w:val="003175C3"/>
    <w:rsid w:val="003177C1"/>
    <w:rsid w:val="0031780D"/>
    <w:rsid w:val="00317851"/>
    <w:rsid w:val="00317950"/>
    <w:rsid w:val="00317A87"/>
    <w:rsid w:val="00317CAF"/>
    <w:rsid w:val="00317F12"/>
    <w:rsid w:val="00320198"/>
    <w:rsid w:val="003202DE"/>
    <w:rsid w:val="0032033C"/>
    <w:rsid w:val="00320683"/>
    <w:rsid w:val="00320995"/>
    <w:rsid w:val="003209A3"/>
    <w:rsid w:val="00320CA8"/>
    <w:rsid w:val="00320D34"/>
    <w:rsid w:val="00320D60"/>
    <w:rsid w:val="00320D8E"/>
    <w:rsid w:val="00320F36"/>
    <w:rsid w:val="00320FBC"/>
    <w:rsid w:val="00321056"/>
    <w:rsid w:val="003210AC"/>
    <w:rsid w:val="003210C0"/>
    <w:rsid w:val="003213EC"/>
    <w:rsid w:val="003214DA"/>
    <w:rsid w:val="0032150E"/>
    <w:rsid w:val="0032170B"/>
    <w:rsid w:val="003217AD"/>
    <w:rsid w:val="00321804"/>
    <w:rsid w:val="00321837"/>
    <w:rsid w:val="0032189A"/>
    <w:rsid w:val="00321961"/>
    <w:rsid w:val="00321A27"/>
    <w:rsid w:val="00321A4C"/>
    <w:rsid w:val="00321B46"/>
    <w:rsid w:val="00321CB3"/>
    <w:rsid w:val="00321EEC"/>
    <w:rsid w:val="00321FF7"/>
    <w:rsid w:val="003221B3"/>
    <w:rsid w:val="0032235A"/>
    <w:rsid w:val="003224BF"/>
    <w:rsid w:val="003224FE"/>
    <w:rsid w:val="00322774"/>
    <w:rsid w:val="00322865"/>
    <w:rsid w:val="00322914"/>
    <w:rsid w:val="00322D34"/>
    <w:rsid w:val="00322E86"/>
    <w:rsid w:val="00323037"/>
    <w:rsid w:val="003230D8"/>
    <w:rsid w:val="0032310C"/>
    <w:rsid w:val="003231CC"/>
    <w:rsid w:val="00323233"/>
    <w:rsid w:val="003232B1"/>
    <w:rsid w:val="0032334D"/>
    <w:rsid w:val="00323361"/>
    <w:rsid w:val="003233C3"/>
    <w:rsid w:val="00323409"/>
    <w:rsid w:val="003234C1"/>
    <w:rsid w:val="00323534"/>
    <w:rsid w:val="003236CD"/>
    <w:rsid w:val="0032373E"/>
    <w:rsid w:val="0032381C"/>
    <w:rsid w:val="00323857"/>
    <w:rsid w:val="0032386C"/>
    <w:rsid w:val="00323C88"/>
    <w:rsid w:val="00323CA6"/>
    <w:rsid w:val="00323CA7"/>
    <w:rsid w:val="00323D25"/>
    <w:rsid w:val="00323DE0"/>
    <w:rsid w:val="0032410C"/>
    <w:rsid w:val="00324250"/>
    <w:rsid w:val="00324283"/>
    <w:rsid w:val="003242E4"/>
    <w:rsid w:val="0032442D"/>
    <w:rsid w:val="00324472"/>
    <w:rsid w:val="0032448F"/>
    <w:rsid w:val="003244DE"/>
    <w:rsid w:val="0032465B"/>
    <w:rsid w:val="00324764"/>
    <w:rsid w:val="003247EB"/>
    <w:rsid w:val="0032488E"/>
    <w:rsid w:val="00324D57"/>
    <w:rsid w:val="00324DD9"/>
    <w:rsid w:val="00324F95"/>
    <w:rsid w:val="003251D4"/>
    <w:rsid w:val="00325330"/>
    <w:rsid w:val="00325382"/>
    <w:rsid w:val="0032538D"/>
    <w:rsid w:val="00325403"/>
    <w:rsid w:val="0032540C"/>
    <w:rsid w:val="00325418"/>
    <w:rsid w:val="0032546C"/>
    <w:rsid w:val="003254C3"/>
    <w:rsid w:val="00325641"/>
    <w:rsid w:val="00325656"/>
    <w:rsid w:val="0032588F"/>
    <w:rsid w:val="00325A69"/>
    <w:rsid w:val="00325A98"/>
    <w:rsid w:val="00325B29"/>
    <w:rsid w:val="00325B62"/>
    <w:rsid w:val="00325E5C"/>
    <w:rsid w:val="00326023"/>
    <w:rsid w:val="003261A9"/>
    <w:rsid w:val="003262E1"/>
    <w:rsid w:val="003264C1"/>
    <w:rsid w:val="003268B8"/>
    <w:rsid w:val="00326C05"/>
    <w:rsid w:val="00326CF0"/>
    <w:rsid w:val="003270E1"/>
    <w:rsid w:val="00327150"/>
    <w:rsid w:val="0032739D"/>
    <w:rsid w:val="003273C6"/>
    <w:rsid w:val="00327481"/>
    <w:rsid w:val="003274D1"/>
    <w:rsid w:val="003279D8"/>
    <w:rsid w:val="00327B6B"/>
    <w:rsid w:val="00327E3A"/>
    <w:rsid w:val="00327EA8"/>
    <w:rsid w:val="0033007A"/>
    <w:rsid w:val="0033026B"/>
    <w:rsid w:val="003302E7"/>
    <w:rsid w:val="003303E2"/>
    <w:rsid w:val="00330432"/>
    <w:rsid w:val="0033069C"/>
    <w:rsid w:val="00330761"/>
    <w:rsid w:val="003307AB"/>
    <w:rsid w:val="003308B8"/>
    <w:rsid w:val="003309BB"/>
    <w:rsid w:val="00330A25"/>
    <w:rsid w:val="00330A31"/>
    <w:rsid w:val="00330B40"/>
    <w:rsid w:val="00330BFF"/>
    <w:rsid w:val="00330C2C"/>
    <w:rsid w:val="00330C83"/>
    <w:rsid w:val="00330DEE"/>
    <w:rsid w:val="00330E7D"/>
    <w:rsid w:val="00330FC4"/>
    <w:rsid w:val="0033110C"/>
    <w:rsid w:val="003312B5"/>
    <w:rsid w:val="00331316"/>
    <w:rsid w:val="0033132C"/>
    <w:rsid w:val="003315D6"/>
    <w:rsid w:val="00331662"/>
    <w:rsid w:val="00331876"/>
    <w:rsid w:val="00331975"/>
    <w:rsid w:val="00331A01"/>
    <w:rsid w:val="00331A24"/>
    <w:rsid w:val="00331A29"/>
    <w:rsid w:val="00331CC0"/>
    <w:rsid w:val="00331D1F"/>
    <w:rsid w:val="00331D89"/>
    <w:rsid w:val="00331E17"/>
    <w:rsid w:val="00331ECD"/>
    <w:rsid w:val="00331EF1"/>
    <w:rsid w:val="00331FE5"/>
    <w:rsid w:val="003321EC"/>
    <w:rsid w:val="00332239"/>
    <w:rsid w:val="0033228D"/>
    <w:rsid w:val="00332467"/>
    <w:rsid w:val="00332489"/>
    <w:rsid w:val="003324CA"/>
    <w:rsid w:val="003326F5"/>
    <w:rsid w:val="0033276E"/>
    <w:rsid w:val="00332BE7"/>
    <w:rsid w:val="00332BFB"/>
    <w:rsid w:val="00332C07"/>
    <w:rsid w:val="00332FC7"/>
    <w:rsid w:val="00332FF8"/>
    <w:rsid w:val="00333044"/>
    <w:rsid w:val="0033318D"/>
    <w:rsid w:val="00333296"/>
    <w:rsid w:val="00333319"/>
    <w:rsid w:val="00333495"/>
    <w:rsid w:val="0033390F"/>
    <w:rsid w:val="00333C2C"/>
    <w:rsid w:val="00333EFB"/>
    <w:rsid w:val="00333F31"/>
    <w:rsid w:val="00333F34"/>
    <w:rsid w:val="00333F4C"/>
    <w:rsid w:val="00333FB6"/>
    <w:rsid w:val="00333FD1"/>
    <w:rsid w:val="00334058"/>
    <w:rsid w:val="003340E3"/>
    <w:rsid w:val="00334162"/>
    <w:rsid w:val="0033416F"/>
    <w:rsid w:val="00334347"/>
    <w:rsid w:val="0033434F"/>
    <w:rsid w:val="00334376"/>
    <w:rsid w:val="003343E3"/>
    <w:rsid w:val="00334428"/>
    <w:rsid w:val="003344AA"/>
    <w:rsid w:val="0033476B"/>
    <w:rsid w:val="003347A6"/>
    <w:rsid w:val="00334ACD"/>
    <w:rsid w:val="00334BE8"/>
    <w:rsid w:val="00334C77"/>
    <w:rsid w:val="00334E02"/>
    <w:rsid w:val="00334F09"/>
    <w:rsid w:val="00335034"/>
    <w:rsid w:val="00335190"/>
    <w:rsid w:val="003351BD"/>
    <w:rsid w:val="00335398"/>
    <w:rsid w:val="0033545D"/>
    <w:rsid w:val="003354C3"/>
    <w:rsid w:val="00335592"/>
    <w:rsid w:val="00335594"/>
    <w:rsid w:val="003356E0"/>
    <w:rsid w:val="00335796"/>
    <w:rsid w:val="00335E14"/>
    <w:rsid w:val="00335E1A"/>
    <w:rsid w:val="00335ED0"/>
    <w:rsid w:val="00335EEF"/>
    <w:rsid w:val="003361BA"/>
    <w:rsid w:val="00336389"/>
    <w:rsid w:val="00336478"/>
    <w:rsid w:val="0033648D"/>
    <w:rsid w:val="003365F0"/>
    <w:rsid w:val="00336809"/>
    <w:rsid w:val="00336860"/>
    <w:rsid w:val="00336876"/>
    <w:rsid w:val="003368D7"/>
    <w:rsid w:val="0033697C"/>
    <w:rsid w:val="00336AC1"/>
    <w:rsid w:val="00336D92"/>
    <w:rsid w:val="00336DFB"/>
    <w:rsid w:val="00337138"/>
    <w:rsid w:val="00337185"/>
    <w:rsid w:val="00337271"/>
    <w:rsid w:val="00337360"/>
    <w:rsid w:val="00337492"/>
    <w:rsid w:val="00337EDB"/>
    <w:rsid w:val="00337F41"/>
    <w:rsid w:val="00340269"/>
    <w:rsid w:val="00340375"/>
    <w:rsid w:val="003403AD"/>
    <w:rsid w:val="003404EC"/>
    <w:rsid w:val="00340512"/>
    <w:rsid w:val="003405DB"/>
    <w:rsid w:val="003405E2"/>
    <w:rsid w:val="003405F4"/>
    <w:rsid w:val="00340803"/>
    <w:rsid w:val="00340B06"/>
    <w:rsid w:val="00340C7B"/>
    <w:rsid w:val="00340EE0"/>
    <w:rsid w:val="00340F2C"/>
    <w:rsid w:val="00341013"/>
    <w:rsid w:val="0034118B"/>
    <w:rsid w:val="003411AB"/>
    <w:rsid w:val="0034132C"/>
    <w:rsid w:val="003414A9"/>
    <w:rsid w:val="00341552"/>
    <w:rsid w:val="003418B6"/>
    <w:rsid w:val="00341A08"/>
    <w:rsid w:val="00341B13"/>
    <w:rsid w:val="00341BEE"/>
    <w:rsid w:val="00341CCD"/>
    <w:rsid w:val="00341DA4"/>
    <w:rsid w:val="00341EE4"/>
    <w:rsid w:val="00342044"/>
    <w:rsid w:val="003422A8"/>
    <w:rsid w:val="003422BC"/>
    <w:rsid w:val="0034231B"/>
    <w:rsid w:val="00342370"/>
    <w:rsid w:val="003424F3"/>
    <w:rsid w:val="00342537"/>
    <w:rsid w:val="00342558"/>
    <w:rsid w:val="00342693"/>
    <w:rsid w:val="003426C5"/>
    <w:rsid w:val="00342709"/>
    <w:rsid w:val="00342725"/>
    <w:rsid w:val="00342867"/>
    <w:rsid w:val="003428C9"/>
    <w:rsid w:val="00342A3F"/>
    <w:rsid w:val="00342A9C"/>
    <w:rsid w:val="00342C90"/>
    <w:rsid w:val="003430B2"/>
    <w:rsid w:val="003431CC"/>
    <w:rsid w:val="00343372"/>
    <w:rsid w:val="00343512"/>
    <w:rsid w:val="003435BD"/>
    <w:rsid w:val="003436C0"/>
    <w:rsid w:val="00343B97"/>
    <w:rsid w:val="00343C61"/>
    <w:rsid w:val="00343D26"/>
    <w:rsid w:val="00343D7F"/>
    <w:rsid w:val="00343DD2"/>
    <w:rsid w:val="00343F91"/>
    <w:rsid w:val="00343FB2"/>
    <w:rsid w:val="00344008"/>
    <w:rsid w:val="00344342"/>
    <w:rsid w:val="003443B7"/>
    <w:rsid w:val="00344449"/>
    <w:rsid w:val="00344517"/>
    <w:rsid w:val="0034454E"/>
    <w:rsid w:val="003445B3"/>
    <w:rsid w:val="003445E4"/>
    <w:rsid w:val="00344608"/>
    <w:rsid w:val="003448EB"/>
    <w:rsid w:val="0034495B"/>
    <w:rsid w:val="00344A46"/>
    <w:rsid w:val="00344B54"/>
    <w:rsid w:val="00344BCB"/>
    <w:rsid w:val="00344C72"/>
    <w:rsid w:val="00344D44"/>
    <w:rsid w:val="00344D84"/>
    <w:rsid w:val="00344DF0"/>
    <w:rsid w:val="00344E5E"/>
    <w:rsid w:val="00344E81"/>
    <w:rsid w:val="00344EC3"/>
    <w:rsid w:val="003450FF"/>
    <w:rsid w:val="0034512C"/>
    <w:rsid w:val="0034516C"/>
    <w:rsid w:val="0034565A"/>
    <w:rsid w:val="00345717"/>
    <w:rsid w:val="00345929"/>
    <w:rsid w:val="00345934"/>
    <w:rsid w:val="0034595D"/>
    <w:rsid w:val="00345975"/>
    <w:rsid w:val="00345B9D"/>
    <w:rsid w:val="00345C08"/>
    <w:rsid w:val="00345C0D"/>
    <w:rsid w:val="00345D67"/>
    <w:rsid w:val="00345E51"/>
    <w:rsid w:val="00345EC7"/>
    <w:rsid w:val="00346053"/>
    <w:rsid w:val="00346084"/>
    <w:rsid w:val="003460E8"/>
    <w:rsid w:val="003462BB"/>
    <w:rsid w:val="00346511"/>
    <w:rsid w:val="00346517"/>
    <w:rsid w:val="00346588"/>
    <w:rsid w:val="003465B1"/>
    <w:rsid w:val="00346904"/>
    <w:rsid w:val="00346A28"/>
    <w:rsid w:val="00346A3E"/>
    <w:rsid w:val="00346B26"/>
    <w:rsid w:val="00346C63"/>
    <w:rsid w:val="00347068"/>
    <w:rsid w:val="003470F6"/>
    <w:rsid w:val="0034716D"/>
    <w:rsid w:val="00347191"/>
    <w:rsid w:val="0034719C"/>
    <w:rsid w:val="00347229"/>
    <w:rsid w:val="003473C2"/>
    <w:rsid w:val="0034748B"/>
    <w:rsid w:val="003474DA"/>
    <w:rsid w:val="00347539"/>
    <w:rsid w:val="0034763C"/>
    <w:rsid w:val="00347903"/>
    <w:rsid w:val="00347985"/>
    <w:rsid w:val="00347A22"/>
    <w:rsid w:val="00347A9B"/>
    <w:rsid w:val="00347BE8"/>
    <w:rsid w:val="00347C29"/>
    <w:rsid w:val="00347D0F"/>
    <w:rsid w:val="00350047"/>
    <w:rsid w:val="003502B9"/>
    <w:rsid w:val="003502E8"/>
    <w:rsid w:val="00350415"/>
    <w:rsid w:val="00350701"/>
    <w:rsid w:val="00350774"/>
    <w:rsid w:val="00350860"/>
    <w:rsid w:val="003508A4"/>
    <w:rsid w:val="003508BA"/>
    <w:rsid w:val="00350960"/>
    <w:rsid w:val="003509D9"/>
    <w:rsid w:val="003509E0"/>
    <w:rsid w:val="00350BE4"/>
    <w:rsid w:val="00350BFE"/>
    <w:rsid w:val="00350C17"/>
    <w:rsid w:val="00350C99"/>
    <w:rsid w:val="00350DEC"/>
    <w:rsid w:val="00350E24"/>
    <w:rsid w:val="00350E60"/>
    <w:rsid w:val="00350E85"/>
    <w:rsid w:val="0035110E"/>
    <w:rsid w:val="00351119"/>
    <w:rsid w:val="00351178"/>
    <w:rsid w:val="003511FB"/>
    <w:rsid w:val="0035126F"/>
    <w:rsid w:val="003513A1"/>
    <w:rsid w:val="00351496"/>
    <w:rsid w:val="003514E8"/>
    <w:rsid w:val="00351591"/>
    <w:rsid w:val="003516AA"/>
    <w:rsid w:val="0035171C"/>
    <w:rsid w:val="00351C18"/>
    <w:rsid w:val="00351C4E"/>
    <w:rsid w:val="00351CA7"/>
    <w:rsid w:val="00351DC7"/>
    <w:rsid w:val="00351E48"/>
    <w:rsid w:val="00351F9B"/>
    <w:rsid w:val="0035201A"/>
    <w:rsid w:val="003521E6"/>
    <w:rsid w:val="00352427"/>
    <w:rsid w:val="00352466"/>
    <w:rsid w:val="00352485"/>
    <w:rsid w:val="003526C7"/>
    <w:rsid w:val="00352716"/>
    <w:rsid w:val="003527CA"/>
    <w:rsid w:val="0035281B"/>
    <w:rsid w:val="00352823"/>
    <w:rsid w:val="003529B6"/>
    <w:rsid w:val="003529FC"/>
    <w:rsid w:val="00352A4E"/>
    <w:rsid w:val="00352BAC"/>
    <w:rsid w:val="00352C3B"/>
    <w:rsid w:val="00352D08"/>
    <w:rsid w:val="00352E57"/>
    <w:rsid w:val="00352EC8"/>
    <w:rsid w:val="00352FB7"/>
    <w:rsid w:val="0035301F"/>
    <w:rsid w:val="00353180"/>
    <w:rsid w:val="003531BC"/>
    <w:rsid w:val="00353907"/>
    <w:rsid w:val="0035391B"/>
    <w:rsid w:val="00353A7B"/>
    <w:rsid w:val="00353AD5"/>
    <w:rsid w:val="00354008"/>
    <w:rsid w:val="0035402B"/>
    <w:rsid w:val="0035406B"/>
    <w:rsid w:val="0035408B"/>
    <w:rsid w:val="0035432F"/>
    <w:rsid w:val="0035442F"/>
    <w:rsid w:val="0035455E"/>
    <w:rsid w:val="003547C9"/>
    <w:rsid w:val="0035485D"/>
    <w:rsid w:val="00354B2E"/>
    <w:rsid w:val="00354B7D"/>
    <w:rsid w:val="00354B8E"/>
    <w:rsid w:val="00354BEE"/>
    <w:rsid w:val="00354BF3"/>
    <w:rsid w:val="00354C42"/>
    <w:rsid w:val="00354D03"/>
    <w:rsid w:val="00354F53"/>
    <w:rsid w:val="00355085"/>
    <w:rsid w:val="00355262"/>
    <w:rsid w:val="0035543F"/>
    <w:rsid w:val="003554C1"/>
    <w:rsid w:val="0035556D"/>
    <w:rsid w:val="00355775"/>
    <w:rsid w:val="00355970"/>
    <w:rsid w:val="00355971"/>
    <w:rsid w:val="00355BAF"/>
    <w:rsid w:val="00355DDE"/>
    <w:rsid w:val="00355F7E"/>
    <w:rsid w:val="00355F98"/>
    <w:rsid w:val="0035604F"/>
    <w:rsid w:val="003560E9"/>
    <w:rsid w:val="00356167"/>
    <w:rsid w:val="00356269"/>
    <w:rsid w:val="003562DA"/>
    <w:rsid w:val="00356634"/>
    <w:rsid w:val="00356642"/>
    <w:rsid w:val="003566DB"/>
    <w:rsid w:val="0035685C"/>
    <w:rsid w:val="00356936"/>
    <w:rsid w:val="00356990"/>
    <w:rsid w:val="003569A8"/>
    <w:rsid w:val="00356C23"/>
    <w:rsid w:val="00356C57"/>
    <w:rsid w:val="00356D1C"/>
    <w:rsid w:val="00356D27"/>
    <w:rsid w:val="00356DD2"/>
    <w:rsid w:val="00356DEA"/>
    <w:rsid w:val="00356E3D"/>
    <w:rsid w:val="00356E72"/>
    <w:rsid w:val="00356EE9"/>
    <w:rsid w:val="00356F5B"/>
    <w:rsid w:val="0035723E"/>
    <w:rsid w:val="00357283"/>
    <w:rsid w:val="003573A5"/>
    <w:rsid w:val="003573E4"/>
    <w:rsid w:val="003575C4"/>
    <w:rsid w:val="00357621"/>
    <w:rsid w:val="003576DC"/>
    <w:rsid w:val="0035779C"/>
    <w:rsid w:val="00357A5C"/>
    <w:rsid w:val="00357B2B"/>
    <w:rsid w:val="00357BE7"/>
    <w:rsid w:val="00357EE9"/>
    <w:rsid w:val="00357FC9"/>
    <w:rsid w:val="00357FEE"/>
    <w:rsid w:val="003600EE"/>
    <w:rsid w:val="00360155"/>
    <w:rsid w:val="003602A4"/>
    <w:rsid w:val="0036034A"/>
    <w:rsid w:val="00360640"/>
    <w:rsid w:val="003606C5"/>
    <w:rsid w:val="0036072A"/>
    <w:rsid w:val="00360974"/>
    <w:rsid w:val="00360A29"/>
    <w:rsid w:val="00360AB0"/>
    <w:rsid w:val="00360B27"/>
    <w:rsid w:val="00360C58"/>
    <w:rsid w:val="00360CAA"/>
    <w:rsid w:val="00360CD2"/>
    <w:rsid w:val="00360F06"/>
    <w:rsid w:val="00360F51"/>
    <w:rsid w:val="00360F7E"/>
    <w:rsid w:val="003610CA"/>
    <w:rsid w:val="003614B7"/>
    <w:rsid w:val="003615FB"/>
    <w:rsid w:val="00361849"/>
    <w:rsid w:val="00361933"/>
    <w:rsid w:val="00361AC7"/>
    <w:rsid w:val="00361BEC"/>
    <w:rsid w:val="00361CC2"/>
    <w:rsid w:val="00361D79"/>
    <w:rsid w:val="00361E56"/>
    <w:rsid w:val="00361EC2"/>
    <w:rsid w:val="00362118"/>
    <w:rsid w:val="00362369"/>
    <w:rsid w:val="003624C6"/>
    <w:rsid w:val="00362552"/>
    <w:rsid w:val="0036259C"/>
    <w:rsid w:val="00362621"/>
    <w:rsid w:val="003627FC"/>
    <w:rsid w:val="003628FF"/>
    <w:rsid w:val="00362A6D"/>
    <w:rsid w:val="00362C14"/>
    <w:rsid w:val="00362DAD"/>
    <w:rsid w:val="00362E9A"/>
    <w:rsid w:val="00362ED7"/>
    <w:rsid w:val="0036301D"/>
    <w:rsid w:val="00363031"/>
    <w:rsid w:val="00363073"/>
    <w:rsid w:val="00363165"/>
    <w:rsid w:val="003634DB"/>
    <w:rsid w:val="003635B3"/>
    <w:rsid w:val="003635DD"/>
    <w:rsid w:val="00363608"/>
    <w:rsid w:val="00363611"/>
    <w:rsid w:val="00363759"/>
    <w:rsid w:val="003637E4"/>
    <w:rsid w:val="003638F2"/>
    <w:rsid w:val="0036396F"/>
    <w:rsid w:val="003639D7"/>
    <w:rsid w:val="003639E6"/>
    <w:rsid w:val="00363A1B"/>
    <w:rsid w:val="00363AEF"/>
    <w:rsid w:val="00363C78"/>
    <w:rsid w:val="00363CD0"/>
    <w:rsid w:val="00363EED"/>
    <w:rsid w:val="00363F20"/>
    <w:rsid w:val="00363F97"/>
    <w:rsid w:val="00364006"/>
    <w:rsid w:val="003642F4"/>
    <w:rsid w:val="00364519"/>
    <w:rsid w:val="0036451F"/>
    <w:rsid w:val="003646C1"/>
    <w:rsid w:val="003647AF"/>
    <w:rsid w:val="003647D0"/>
    <w:rsid w:val="003648A3"/>
    <w:rsid w:val="003649E7"/>
    <w:rsid w:val="00364A74"/>
    <w:rsid w:val="00364C5B"/>
    <w:rsid w:val="00364C78"/>
    <w:rsid w:val="00364CB0"/>
    <w:rsid w:val="00364D5E"/>
    <w:rsid w:val="00364D82"/>
    <w:rsid w:val="00364EF8"/>
    <w:rsid w:val="0036506E"/>
    <w:rsid w:val="003650C4"/>
    <w:rsid w:val="00365190"/>
    <w:rsid w:val="003653FE"/>
    <w:rsid w:val="003654D1"/>
    <w:rsid w:val="003655E1"/>
    <w:rsid w:val="0036566D"/>
    <w:rsid w:val="003657D4"/>
    <w:rsid w:val="0036582B"/>
    <w:rsid w:val="00365945"/>
    <w:rsid w:val="003659E2"/>
    <w:rsid w:val="00365A8E"/>
    <w:rsid w:val="00365C2F"/>
    <w:rsid w:val="00365E0A"/>
    <w:rsid w:val="00365EEC"/>
    <w:rsid w:val="00365F93"/>
    <w:rsid w:val="00366029"/>
    <w:rsid w:val="0036610F"/>
    <w:rsid w:val="00366151"/>
    <w:rsid w:val="003661BC"/>
    <w:rsid w:val="003662E9"/>
    <w:rsid w:val="003663E5"/>
    <w:rsid w:val="003665BD"/>
    <w:rsid w:val="00366622"/>
    <w:rsid w:val="003666B7"/>
    <w:rsid w:val="003667A9"/>
    <w:rsid w:val="0036684C"/>
    <w:rsid w:val="0036698A"/>
    <w:rsid w:val="00366D12"/>
    <w:rsid w:val="00366E76"/>
    <w:rsid w:val="00366EA9"/>
    <w:rsid w:val="00366EAE"/>
    <w:rsid w:val="00366FBF"/>
    <w:rsid w:val="0036702B"/>
    <w:rsid w:val="0036711B"/>
    <w:rsid w:val="0036714E"/>
    <w:rsid w:val="00367335"/>
    <w:rsid w:val="00367448"/>
    <w:rsid w:val="00367607"/>
    <w:rsid w:val="0036776A"/>
    <w:rsid w:val="00367939"/>
    <w:rsid w:val="00367951"/>
    <w:rsid w:val="00367AA5"/>
    <w:rsid w:val="00367B9B"/>
    <w:rsid w:val="00367C48"/>
    <w:rsid w:val="00367CDE"/>
    <w:rsid w:val="00367CE7"/>
    <w:rsid w:val="00367CFA"/>
    <w:rsid w:val="00367DC3"/>
    <w:rsid w:val="00367E8C"/>
    <w:rsid w:val="0037012B"/>
    <w:rsid w:val="00370258"/>
    <w:rsid w:val="00370275"/>
    <w:rsid w:val="003703AB"/>
    <w:rsid w:val="00370579"/>
    <w:rsid w:val="00370616"/>
    <w:rsid w:val="00370682"/>
    <w:rsid w:val="0037073E"/>
    <w:rsid w:val="003707F5"/>
    <w:rsid w:val="00370979"/>
    <w:rsid w:val="003709A4"/>
    <w:rsid w:val="00370C47"/>
    <w:rsid w:val="00370E8B"/>
    <w:rsid w:val="00370F8E"/>
    <w:rsid w:val="00370FE5"/>
    <w:rsid w:val="0037108D"/>
    <w:rsid w:val="003711B4"/>
    <w:rsid w:val="003711DB"/>
    <w:rsid w:val="003712E6"/>
    <w:rsid w:val="003713D5"/>
    <w:rsid w:val="0037143A"/>
    <w:rsid w:val="0037157F"/>
    <w:rsid w:val="003715C7"/>
    <w:rsid w:val="003719C1"/>
    <w:rsid w:val="003719F8"/>
    <w:rsid w:val="00371A4B"/>
    <w:rsid w:val="00371A55"/>
    <w:rsid w:val="00371B3C"/>
    <w:rsid w:val="00371BE7"/>
    <w:rsid w:val="00371E62"/>
    <w:rsid w:val="00371F65"/>
    <w:rsid w:val="00372097"/>
    <w:rsid w:val="003720A3"/>
    <w:rsid w:val="003720FE"/>
    <w:rsid w:val="00372242"/>
    <w:rsid w:val="003722DD"/>
    <w:rsid w:val="00372591"/>
    <w:rsid w:val="003725CA"/>
    <w:rsid w:val="003726A0"/>
    <w:rsid w:val="003726D6"/>
    <w:rsid w:val="0037270F"/>
    <w:rsid w:val="00372832"/>
    <w:rsid w:val="0037297A"/>
    <w:rsid w:val="00372986"/>
    <w:rsid w:val="00372A83"/>
    <w:rsid w:val="00372D0B"/>
    <w:rsid w:val="00372DC0"/>
    <w:rsid w:val="003730D3"/>
    <w:rsid w:val="003730EB"/>
    <w:rsid w:val="003730EE"/>
    <w:rsid w:val="00373126"/>
    <w:rsid w:val="00373265"/>
    <w:rsid w:val="0037341F"/>
    <w:rsid w:val="003736F2"/>
    <w:rsid w:val="0037375B"/>
    <w:rsid w:val="0037386F"/>
    <w:rsid w:val="003739B2"/>
    <w:rsid w:val="00373A20"/>
    <w:rsid w:val="00373AFA"/>
    <w:rsid w:val="00373B18"/>
    <w:rsid w:val="00373B76"/>
    <w:rsid w:val="00373C23"/>
    <w:rsid w:val="00373C58"/>
    <w:rsid w:val="00373CDB"/>
    <w:rsid w:val="00373F47"/>
    <w:rsid w:val="00373F75"/>
    <w:rsid w:val="00374051"/>
    <w:rsid w:val="00374232"/>
    <w:rsid w:val="003743CC"/>
    <w:rsid w:val="003746B5"/>
    <w:rsid w:val="00374701"/>
    <w:rsid w:val="0037481E"/>
    <w:rsid w:val="0037492C"/>
    <w:rsid w:val="00374A73"/>
    <w:rsid w:val="00374AFD"/>
    <w:rsid w:val="00374D41"/>
    <w:rsid w:val="00374D45"/>
    <w:rsid w:val="00374DB0"/>
    <w:rsid w:val="00374DC2"/>
    <w:rsid w:val="00374E15"/>
    <w:rsid w:val="00374F70"/>
    <w:rsid w:val="00374FC1"/>
    <w:rsid w:val="0037504F"/>
    <w:rsid w:val="003750BB"/>
    <w:rsid w:val="003750F9"/>
    <w:rsid w:val="00375164"/>
    <w:rsid w:val="00375245"/>
    <w:rsid w:val="00375442"/>
    <w:rsid w:val="003754BC"/>
    <w:rsid w:val="00375640"/>
    <w:rsid w:val="003756C6"/>
    <w:rsid w:val="0037589C"/>
    <w:rsid w:val="00375A37"/>
    <w:rsid w:val="00375AFC"/>
    <w:rsid w:val="00375B71"/>
    <w:rsid w:val="00375BB4"/>
    <w:rsid w:val="00375D83"/>
    <w:rsid w:val="00375FD3"/>
    <w:rsid w:val="00375FE2"/>
    <w:rsid w:val="003760EE"/>
    <w:rsid w:val="00376155"/>
    <w:rsid w:val="003764DA"/>
    <w:rsid w:val="0037683B"/>
    <w:rsid w:val="0037697C"/>
    <w:rsid w:val="00376AC0"/>
    <w:rsid w:val="00376DC7"/>
    <w:rsid w:val="00376E7E"/>
    <w:rsid w:val="00376ECB"/>
    <w:rsid w:val="00376F3E"/>
    <w:rsid w:val="00376FE1"/>
    <w:rsid w:val="0037701A"/>
    <w:rsid w:val="00377062"/>
    <w:rsid w:val="003772BF"/>
    <w:rsid w:val="0037730D"/>
    <w:rsid w:val="0037748C"/>
    <w:rsid w:val="00377849"/>
    <w:rsid w:val="00377924"/>
    <w:rsid w:val="00377B17"/>
    <w:rsid w:val="00377B40"/>
    <w:rsid w:val="00377B51"/>
    <w:rsid w:val="00377CA6"/>
    <w:rsid w:val="00377E38"/>
    <w:rsid w:val="00377F66"/>
    <w:rsid w:val="0038021D"/>
    <w:rsid w:val="00380224"/>
    <w:rsid w:val="003802B1"/>
    <w:rsid w:val="003803E1"/>
    <w:rsid w:val="0038065C"/>
    <w:rsid w:val="003807DA"/>
    <w:rsid w:val="00380819"/>
    <w:rsid w:val="00380886"/>
    <w:rsid w:val="00380909"/>
    <w:rsid w:val="00380BCB"/>
    <w:rsid w:val="00380BF2"/>
    <w:rsid w:val="00380C26"/>
    <w:rsid w:val="00380CA1"/>
    <w:rsid w:val="00380CE5"/>
    <w:rsid w:val="00380CF4"/>
    <w:rsid w:val="00380D94"/>
    <w:rsid w:val="00380E41"/>
    <w:rsid w:val="00381065"/>
    <w:rsid w:val="00381277"/>
    <w:rsid w:val="003812C9"/>
    <w:rsid w:val="00381480"/>
    <w:rsid w:val="003814E4"/>
    <w:rsid w:val="003818D6"/>
    <w:rsid w:val="00381989"/>
    <w:rsid w:val="00381A22"/>
    <w:rsid w:val="00381B70"/>
    <w:rsid w:val="00381C5D"/>
    <w:rsid w:val="00381D0D"/>
    <w:rsid w:val="00381D47"/>
    <w:rsid w:val="00381D7D"/>
    <w:rsid w:val="00381FF0"/>
    <w:rsid w:val="003821C9"/>
    <w:rsid w:val="003821D3"/>
    <w:rsid w:val="00382303"/>
    <w:rsid w:val="0038246C"/>
    <w:rsid w:val="00382486"/>
    <w:rsid w:val="0038251E"/>
    <w:rsid w:val="00382520"/>
    <w:rsid w:val="003826C7"/>
    <w:rsid w:val="003826D0"/>
    <w:rsid w:val="00382844"/>
    <w:rsid w:val="003828A4"/>
    <w:rsid w:val="00382995"/>
    <w:rsid w:val="00382B2E"/>
    <w:rsid w:val="00382B3C"/>
    <w:rsid w:val="00382C97"/>
    <w:rsid w:val="00382DC3"/>
    <w:rsid w:val="00382DCD"/>
    <w:rsid w:val="00382FA4"/>
    <w:rsid w:val="0038305C"/>
    <w:rsid w:val="00383076"/>
    <w:rsid w:val="003831E0"/>
    <w:rsid w:val="00383275"/>
    <w:rsid w:val="00383543"/>
    <w:rsid w:val="003836D3"/>
    <w:rsid w:val="0038379F"/>
    <w:rsid w:val="003837F5"/>
    <w:rsid w:val="0038381C"/>
    <w:rsid w:val="00383B99"/>
    <w:rsid w:val="00383C81"/>
    <w:rsid w:val="00383E0E"/>
    <w:rsid w:val="00383F85"/>
    <w:rsid w:val="0038404E"/>
    <w:rsid w:val="00384158"/>
    <w:rsid w:val="00384296"/>
    <w:rsid w:val="00384657"/>
    <w:rsid w:val="00384706"/>
    <w:rsid w:val="0038481B"/>
    <w:rsid w:val="00384869"/>
    <w:rsid w:val="003848F6"/>
    <w:rsid w:val="00384962"/>
    <w:rsid w:val="00384973"/>
    <w:rsid w:val="003849BF"/>
    <w:rsid w:val="00384AED"/>
    <w:rsid w:val="00384D7F"/>
    <w:rsid w:val="00385068"/>
    <w:rsid w:val="00385113"/>
    <w:rsid w:val="00385150"/>
    <w:rsid w:val="00385465"/>
    <w:rsid w:val="003854FE"/>
    <w:rsid w:val="00385636"/>
    <w:rsid w:val="00385699"/>
    <w:rsid w:val="0038570D"/>
    <w:rsid w:val="003857CC"/>
    <w:rsid w:val="00385852"/>
    <w:rsid w:val="00385B12"/>
    <w:rsid w:val="00385B2D"/>
    <w:rsid w:val="00385B56"/>
    <w:rsid w:val="00385C71"/>
    <w:rsid w:val="00385DFE"/>
    <w:rsid w:val="00385E02"/>
    <w:rsid w:val="00385F65"/>
    <w:rsid w:val="00385F77"/>
    <w:rsid w:val="00385F82"/>
    <w:rsid w:val="00385FBA"/>
    <w:rsid w:val="0038625A"/>
    <w:rsid w:val="00386287"/>
    <w:rsid w:val="00386372"/>
    <w:rsid w:val="003864C6"/>
    <w:rsid w:val="00386503"/>
    <w:rsid w:val="0038650A"/>
    <w:rsid w:val="0038662B"/>
    <w:rsid w:val="003867BC"/>
    <w:rsid w:val="00386835"/>
    <w:rsid w:val="003868D6"/>
    <w:rsid w:val="00386A0C"/>
    <w:rsid w:val="00386A95"/>
    <w:rsid w:val="00386D16"/>
    <w:rsid w:val="00386DC4"/>
    <w:rsid w:val="00386DD6"/>
    <w:rsid w:val="00386E19"/>
    <w:rsid w:val="00386F6C"/>
    <w:rsid w:val="003871EA"/>
    <w:rsid w:val="003872C2"/>
    <w:rsid w:val="00387468"/>
    <w:rsid w:val="003874F6"/>
    <w:rsid w:val="0038760A"/>
    <w:rsid w:val="003876EF"/>
    <w:rsid w:val="003876F1"/>
    <w:rsid w:val="00387868"/>
    <w:rsid w:val="00387979"/>
    <w:rsid w:val="00387A1B"/>
    <w:rsid w:val="00387A8A"/>
    <w:rsid w:val="00387B86"/>
    <w:rsid w:val="00387C49"/>
    <w:rsid w:val="00387C8B"/>
    <w:rsid w:val="00387DAE"/>
    <w:rsid w:val="00387DF9"/>
    <w:rsid w:val="00387E08"/>
    <w:rsid w:val="00387E0C"/>
    <w:rsid w:val="00387E80"/>
    <w:rsid w:val="00387E97"/>
    <w:rsid w:val="003900BB"/>
    <w:rsid w:val="00390266"/>
    <w:rsid w:val="003904E8"/>
    <w:rsid w:val="0039058F"/>
    <w:rsid w:val="0039060E"/>
    <w:rsid w:val="00390654"/>
    <w:rsid w:val="00390792"/>
    <w:rsid w:val="003908D3"/>
    <w:rsid w:val="00390B9D"/>
    <w:rsid w:val="00390CC6"/>
    <w:rsid w:val="00390D1D"/>
    <w:rsid w:val="00390DF0"/>
    <w:rsid w:val="00391047"/>
    <w:rsid w:val="0039108D"/>
    <w:rsid w:val="00391095"/>
    <w:rsid w:val="003910A6"/>
    <w:rsid w:val="003913A0"/>
    <w:rsid w:val="003913B3"/>
    <w:rsid w:val="0039154B"/>
    <w:rsid w:val="00391717"/>
    <w:rsid w:val="00391793"/>
    <w:rsid w:val="00391823"/>
    <w:rsid w:val="003918DE"/>
    <w:rsid w:val="0039197E"/>
    <w:rsid w:val="00391B53"/>
    <w:rsid w:val="00391BAA"/>
    <w:rsid w:val="00391D2F"/>
    <w:rsid w:val="00391DFB"/>
    <w:rsid w:val="00391F2B"/>
    <w:rsid w:val="00392024"/>
    <w:rsid w:val="00392258"/>
    <w:rsid w:val="003922BA"/>
    <w:rsid w:val="003922E6"/>
    <w:rsid w:val="0039234E"/>
    <w:rsid w:val="0039243A"/>
    <w:rsid w:val="003926C8"/>
    <w:rsid w:val="003927CF"/>
    <w:rsid w:val="00392964"/>
    <w:rsid w:val="0039297F"/>
    <w:rsid w:val="003929A9"/>
    <w:rsid w:val="003929C0"/>
    <w:rsid w:val="00392B60"/>
    <w:rsid w:val="00392B9D"/>
    <w:rsid w:val="00392D92"/>
    <w:rsid w:val="00392DE9"/>
    <w:rsid w:val="00392F90"/>
    <w:rsid w:val="0039322E"/>
    <w:rsid w:val="003932BC"/>
    <w:rsid w:val="003935A1"/>
    <w:rsid w:val="003937A1"/>
    <w:rsid w:val="003937D0"/>
    <w:rsid w:val="003938A9"/>
    <w:rsid w:val="0039398E"/>
    <w:rsid w:val="00393A70"/>
    <w:rsid w:val="00393BFC"/>
    <w:rsid w:val="00393C3B"/>
    <w:rsid w:val="00393C3E"/>
    <w:rsid w:val="00393CB6"/>
    <w:rsid w:val="00393D7C"/>
    <w:rsid w:val="00393F1E"/>
    <w:rsid w:val="00393FA5"/>
    <w:rsid w:val="00393FFA"/>
    <w:rsid w:val="0039400C"/>
    <w:rsid w:val="003942D1"/>
    <w:rsid w:val="00394317"/>
    <w:rsid w:val="0039444A"/>
    <w:rsid w:val="00394480"/>
    <w:rsid w:val="003944BE"/>
    <w:rsid w:val="00394684"/>
    <w:rsid w:val="00394706"/>
    <w:rsid w:val="00394722"/>
    <w:rsid w:val="003949B2"/>
    <w:rsid w:val="003949C3"/>
    <w:rsid w:val="00394ACE"/>
    <w:rsid w:val="00394B12"/>
    <w:rsid w:val="00394BA6"/>
    <w:rsid w:val="00394E26"/>
    <w:rsid w:val="00394E54"/>
    <w:rsid w:val="00394F06"/>
    <w:rsid w:val="00394F77"/>
    <w:rsid w:val="00394FCA"/>
    <w:rsid w:val="00395015"/>
    <w:rsid w:val="003950BD"/>
    <w:rsid w:val="00395267"/>
    <w:rsid w:val="00395287"/>
    <w:rsid w:val="0039540D"/>
    <w:rsid w:val="00395495"/>
    <w:rsid w:val="003955ED"/>
    <w:rsid w:val="0039573E"/>
    <w:rsid w:val="00395B99"/>
    <w:rsid w:val="00395C7A"/>
    <w:rsid w:val="00395DA0"/>
    <w:rsid w:val="00395EAD"/>
    <w:rsid w:val="00395EFC"/>
    <w:rsid w:val="00395F50"/>
    <w:rsid w:val="00395FD6"/>
    <w:rsid w:val="00395FD9"/>
    <w:rsid w:val="0039605A"/>
    <w:rsid w:val="0039606A"/>
    <w:rsid w:val="00396495"/>
    <w:rsid w:val="003965C9"/>
    <w:rsid w:val="003966CA"/>
    <w:rsid w:val="00396765"/>
    <w:rsid w:val="003967F5"/>
    <w:rsid w:val="003968EA"/>
    <w:rsid w:val="00396A2E"/>
    <w:rsid w:val="00396A6A"/>
    <w:rsid w:val="00396AB7"/>
    <w:rsid w:val="00396E5D"/>
    <w:rsid w:val="00396E66"/>
    <w:rsid w:val="00396EAC"/>
    <w:rsid w:val="00396ED5"/>
    <w:rsid w:val="00396F86"/>
    <w:rsid w:val="00396FDA"/>
    <w:rsid w:val="00397166"/>
    <w:rsid w:val="003971AB"/>
    <w:rsid w:val="0039721E"/>
    <w:rsid w:val="0039726F"/>
    <w:rsid w:val="003972DC"/>
    <w:rsid w:val="003972FD"/>
    <w:rsid w:val="003974F9"/>
    <w:rsid w:val="0039757F"/>
    <w:rsid w:val="003976F3"/>
    <w:rsid w:val="003977B2"/>
    <w:rsid w:val="003977E2"/>
    <w:rsid w:val="00397807"/>
    <w:rsid w:val="0039784A"/>
    <w:rsid w:val="00397CDE"/>
    <w:rsid w:val="00397EBE"/>
    <w:rsid w:val="00397F9E"/>
    <w:rsid w:val="0039DF25"/>
    <w:rsid w:val="003A010A"/>
    <w:rsid w:val="003A0115"/>
    <w:rsid w:val="003A011A"/>
    <w:rsid w:val="003A017E"/>
    <w:rsid w:val="003A04B8"/>
    <w:rsid w:val="003A0672"/>
    <w:rsid w:val="003A06B8"/>
    <w:rsid w:val="003A074E"/>
    <w:rsid w:val="003A09CE"/>
    <w:rsid w:val="003A0B93"/>
    <w:rsid w:val="003A0BBD"/>
    <w:rsid w:val="003A1180"/>
    <w:rsid w:val="003A1555"/>
    <w:rsid w:val="003A157D"/>
    <w:rsid w:val="003A1643"/>
    <w:rsid w:val="003A169F"/>
    <w:rsid w:val="003A17EE"/>
    <w:rsid w:val="003A1856"/>
    <w:rsid w:val="003A18D9"/>
    <w:rsid w:val="003A194C"/>
    <w:rsid w:val="003A1960"/>
    <w:rsid w:val="003A1981"/>
    <w:rsid w:val="003A1A27"/>
    <w:rsid w:val="003A1AA9"/>
    <w:rsid w:val="003A1B56"/>
    <w:rsid w:val="003A1B5B"/>
    <w:rsid w:val="003A1B8E"/>
    <w:rsid w:val="003A1C67"/>
    <w:rsid w:val="003A1E0A"/>
    <w:rsid w:val="003A1F32"/>
    <w:rsid w:val="003A1FA7"/>
    <w:rsid w:val="003A2191"/>
    <w:rsid w:val="003A22F6"/>
    <w:rsid w:val="003A23B6"/>
    <w:rsid w:val="003A23D9"/>
    <w:rsid w:val="003A2516"/>
    <w:rsid w:val="003A26E6"/>
    <w:rsid w:val="003A2746"/>
    <w:rsid w:val="003A289E"/>
    <w:rsid w:val="003A2B6E"/>
    <w:rsid w:val="003A2C42"/>
    <w:rsid w:val="003A2D07"/>
    <w:rsid w:val="003A2EA2"/>
    <w:rsid w:val="003A2EA6"/>
    <w:rsid w:val="003A2FE5"/>
    <w:rsid w:val="003A30A3"/>
    <w:rsid w:val="003A32FB"/>
    <w:rsid w:val="003A3326"/>
    <w:rsid w:val="003A3445"/>
    <w:rsid w:val="003A34B6"/>
    <w:rsid w:val="003A34C0"/>
    <w:rsid w:val="003A3551"/>
    <w:rsid w:val="003A3608"/>
    <w:rsid w:val="003A36AF"/>
    <w:rsid w:val="003A36DC"/>
    <w:rsid w:val="003A3724"/>
    <w:rsid w:val="003A37EC"/>
    <w:rsid w:val="003A3837"/>
    <w:rsid w:val="003A386B"/>
    <w:rsid w:val="003A3880"/>
    <w:rsid w:val="003A3982"/>
    <w:rsid w:val="003A39E4"/>
    <w:rsid w:val="003A3A67"/>
    <w:rsid w:val="003A3B49"/>
    <w:rsid w:val="003A3C0C"/>
    <w:rsid w:val="003A3CBC"/>
    <w:rsid w:val="003A3D7A"/>
    <w:rsid w:val="003A3ED3"/>
    <w:rsid w:val="003A4003"/>
    <w:rsid w:val="003A409B"/>
    <w:rsid w:val="003A4139"/>
    <w:rsid w:val="003A41BB"/>
    <w:rsid w:val="003A425D"/>
    <w:rsid w:val="003A42BF"/>
    <w:rsid w:val="003A43E8"/>
    <w:rsid w:val="003A4451"/>
    <w:rsid w:val="003A4488"/>
    <w:rsid w:val="003A449F"/>
    <w:rsid w:val="003A4579"/>
    <w:rsid w:val="003A46CE"/>
    <w:rsid w:val="003A4A6B"/>
    <w:rsid w:val="003A4BC7"/>
    <w:rsid w:val="003A4D9B"/>
    <w:rsid w:val="003A4F3E"/>
    <w:rsid w:val="003A5097"/>
    <w:rsid w:val="003A50A5"/>
    <w:rsid w:val="003A5473"/>
    <w:rsid w:val="003A54B4"/>
    <w:rsid w:val="003A56B7"/>
    <w:rsid w:val="003A56BC"/>
    <w:rsid w:val="003A580E"/>
    <w:rsid w:val="003A58F4"/>
    <w:rsid w:val="003A5A4E"/>
    <w:rsid w:val="003A5B14"/>
    <w:rsid w:val="003A5ECB"/>
    <w:rsid w:val="003A5F70"/>
    <w:rsid w:val="003A6078"/>
    <w:rsid w:val="003A60AE"/>
    <w:rsid w:val="003A60BA"/>
    <w:rsid w:val="003A6142"/>
    <w:rsid w:val="003A62FB"/>
    <w:rsid w:val="003A632A"/>
    <w:rsid w:val="003A637B"/>
    <w:rsid w:val="003A6432"/>
    <w:rsid w:val="003A6462"/>
    <w:rsid w:val="003A6557"/>
    <w:rsid w:val="003A6596"/>
    <w:rsid w:val="003A65A7"/>
    <w:rsid w:val="003A679C"/>
    <w:rsid w:val="003A696F"/>
    <w:rsid w:val="003A69FB"/>
    <w:rsid w:val="003A6A91"/>
    <w:rsid w:val="003A6D60"/>
    <w:rsid w:val="003A6D63"/>
    <w:rsid w:val="003A6E5B"/>
    <w:rsid w:val="003A6E5C"/>
    <w:rsid w:val="003A6FC3"/>
    <w:rsid w:val="003A6FC4"/>
    <w:rsid w:val="003A7046"/>
    <w:rsid w:val="003A7216"/>
    <w:rsid w:val="003A72C1"/>
    <w:rsid w:val="003A738F"/>
    <w:rsid w:val="003A78A5"/>
    <w:rsid w:val="003A78D0"/>
    <w:rsid w:val="003A7949"/>
    <w:rsid w:val="003A795D"/>
    <w:rsid w:val="003A7A66"/>
    <w:rsid w:val="003A7AC3"/>
    <w:rsid w:val="003A7CAB"/>
    <w:rsid w:val="003B0095"/>
    <w:rsid w:val="003B00DA"/>
    <w:rsid w:val="003B019E"/>
    <w:rsid w:val="003B0334"/>
    <w:rsid w:val="003B0603"/>
    <w:rsid w:val="003B0678"/>
    <w:rsid w:val="003B0BB3"/>
    <w:rsid w:val="003B0CF0"/>
    <w:rsid w:val="003B0DAB"/>
    <w:rsid w:val="003B0FAA"/>
    <w:rsid w:val="003B100A"/>
    <w:rsid w:val="003B10FF"/>
    <w:rsid w:val="003B1114"/>
    <w:rsid w:val="003B1263"/>
    <w:rsid w:val="003B1433"/>
    <w:rsid w:val="003B1570"/>
    <w:rsid w:val="003B15B7"/>
    <w:rsid w:val="003B1636"/>
    <w:rsid w:val="003B184A"/>
    <w:rsid w:val="003B1905"/>
    <w:rsid w:val="003B1B25"/>
    <w:rsid w:val="003B1C04"/>
    <w:rsid w:val="003B1D36"/>
    <w:rsid w:val="003B1DC2"/>
    <w:rsid w:val="003B1EE2"/>
    <w:rsid w:val="003B1F85"/>
    <w:rsid w:val="003B2043"/>
    <w:rsid w:val="003B22AB"/>
    <w:rsid w:val="003B230A"/>
    <w:rsid w:val="003B2472"/>
    <w:rsid w:val="003B2607"/>
    <w:rsid w:val="003B2807"/>
    <w:rsid w:val="003B295F"/>
    <w:rsid w:val="003B29EA"/>
    <w:rsid w:val="003B2A63"/>
    <w:rsid w:val="003B2ABC"/>
    <w:rsid w:val="003B2B0F"/>
    <w:rsid w:val="003B2B29"/>
    <w:rsid w:val="003B2B44"/>
    <w:rsid w:val="003B2C77"/>
    <w:rsid w:val="003B2F93"/>
    <w:rsid w:val="003B3098"/>
    <w:rsid w:val="003B32EA"/>
    <w:rsid w:val="003B3306"/>
    <w:rsid w:val="003B3476"/>
    <w:rsid w:val="003B34A7"/>
    <w:rsid w:val="003B35F3"/>
    <w:rsid w:val="003B3650"/>
    <w:rsid w:val="003B368D"/>
    <w:rsid w:val="003B36E8"/>
    <w:rsid w:val="003B3720"/>
    <w:rsid w:val="003B3880"/>
    <w:rsid w:val="003B3924"/>
    <w:rsid w:val="003B3A00"/>
    <w:rsid w:val="003B3A16"/>
    <w:rsid w:val="003B3E40"/>
    <w:rsid w:val="003B3E43"/>
    <w:rsid w:val="003B3F18"/>
    <w:rsid w:val="003B4006"/>
    <w:rsid w:val="003B400C"/>
    <w:rsid w:val="003B4057"/>
    <w:rsid w:val="003B4067"/>
    <w:rsid w:val="003B4140"/>
    <w:rsid w:val="003B41E5"/>
    <w:rsid w:val="003B43D9"/>
    <w:rsid w:val="003B43E5"/>
    <w:rsid w:val="003B4448"/>
    <w:rsid w:val="003B44FE"/>
    <w:rsid w:val="003B474F"/>
    <w:rsid w:val="003B4824"/>
    <w:rsid w:val="003B4845"/>
    <w:rsid w:val="003B487D"/>
    <w:rsid w:val="003B487E"/>
    <w:rsid w:val="003B4A00"/>
    <w:rsid w:val="003B4B77"/>
    <w:rsid w:val="003B4BF3"/>
    <w:rsid w:val="003B4C32"/>
    <w:rsid w:val="003B4CD7"/>
    <w:rsid w:val="003B4DA0"/>
    <w:rsid w:val="003B4E36"/>
    <w:rsid w:val="003B4F1A"/>
    <w:rsid w:val="003B4F1D"/>
    <w:rsid w:val="003B5153"/>
    <w:rsid w:val="003B5276"/>
    <w:rsid w:val="003B52FB"/>
    <w:rsid w:val="003B55DC"/>
    <w:rsid w:val="003B5681"/>
    <w:rsid w:val="003B58F6"/>
    <w:rsid w:val="003B5A0A"/>
    <w:rsid w:val="003B5AFD"/>
    <w:rsid w:val="003B5C51"/>
    <w:rsid w:val="003B5D59"/>
    <w:rsid w:val="003B5E51"/>
    <w:rsid w:val="003B5EAA"/>
    <w:rsid w:val="003B5EDD"/>
    <w:rsid w:val="003B5FB9"/>
    <w:rsid w:val="003B6028"/>
    <w:rsid w:val="003B60C2"/>
    <w:rsid w:val="003B610A"/>
    <w:rsid w:val="003B6230"/>
    <w:rsid w:val="003B6323"/>
    <w:rsid w:val="003B6425"/>
    <w:rsid w:val="003B6612"/>
    <w:rsid w:val="003B6790"/>
    <w:rsid w:val="003B67E7"/>
    <w:rsid w:val="003B67FF"/>
    <w:rsid w:val="003B69DE"/>
    <w:rsid w:val="003B6BFC"/>
    <w:rsid w:val="003B6D0E"/>
    <w:rsid w:val="003B6F41"/>
    <w:rsid w:val="003B6FCA"/>
    <w:rsid w:val="003B6FCB"/>
    <w:rsid w:val="003B714D"/>
    <w:rsid w:val="003B7157"/>
    <w:rsid w:val="003B7200"/>
    <w:rsid w:val="003B7466"/>
    <w:rsid w:val="003B770F"/>
    <w:rsid w:val="003B7A32"/>
    <w:rsid w:val="003B7BDF"/>
    <w:rsid w:val="003B7C68"/>
    <w:rsid w:val="003B7CCD"/>
    <w:rsid w:val="003B7E77"/>
    <w:rsid w:val="003B7EDF"/>
    <w:rsid w:val="003B7F88"/>
    <w:rsid w:val="003B7F89"/>
    <w:rsid w:val="003B7FD6"/>
    <w:rsid w:val="003C02B2"/>
    <w:rsid w:val="003C02D4"/>
    <w:rsid w:val="003C039F"/>
    <w:rsid w:val="003C03BF"/>
    <w:rsid w:val="003C0440"/>
    <w:rsid w:val="003C0493"/>
    <w:rsid w:val="003C06C0"/>
    <w:rsid w:val="003C085D"/>
    <w:rsid w:val="003C0A36"/>
    <w:rsid w:val="003C0B49"/>
    <w:rsid w:val="003C0CB5"/>
    <w:rsid w:val="003C0F22"/>
    <w:rsid w:val="003C0F29"/>
    <w:rsid w:val="003C0FD9"/>
    <w:rsid w:val="003C103F"/>
    <w:rsid w:val="003C1044"/>
    <w:rsid w:val="003C10BF"/>
    <w:rsid w:val="003C119C"/>
    <w:rsid w:val="003C121A"/>
    <w:rsid w:val="003C1225"/>
    <w:rsid w:val="003C128A"/>
    <w:rsid w:val="003C135D"/>
    <w:rsid w:val="003C13C0"/>
    <w:rsid w:val="003C1476"/>
    <w:rsid w:val="003C15C3"/>
    <w:rsid w:val="003C170B"/>
    <w:rsid w:val="003C19A2"/>
    <w:rsid w:val="003C1AC1"/>
    <w:rsid w:val="003C1B31"/>
    <w:rsid w:val="003C1C0B"/>
    <w:rsid w:val="003C1CF9"/>
    <w:rsid w:val="003C1D01"/>
    <w:rsid w:val="003C1D0D"/>
    <w:rsid w:val="003C1EAC"/>
    <w:rsid w:val="003C1F8C"/>
    <w:rsid w:val="003C2061"/>
    <w:rsid w:val="003C2236"/>
    <w:rsid w:val="003C2466"/>
    <w:rsid w:val="003C2499"/>
    <w:rsid w:val="003C25FC"/>
    <w:rsid w:val="003C280A"/>
    <w:rsid w:val="003C2993"/>
    <w:rsid w:val="003C2B28"/>
    <w:rsid w:val="003C2CF4"/>
    <w:rsid w:val="003C2D49"/>
    <w:rsid w:val="003C2DBC"/>
    <w:rsid w:val="003C2DBE"/>
    <w:rsid w:val="003C2E37"/>
    <w:rsid w:val="003C2FCC"/>
    <w:rsid w:val="003C2FF4"/>
    <w:rsid w:val="003C3013"/>
    <w:rsid w:val="003C3108"/>
    <w:rsid w:val="003C3229"/>
    <w:rsid w:val="003C3244"/>
    <w:rsid w:val="003C32EF"/>
    <w:rsid w:val="003C35C3"/>
    <w:rsid w:val="003C3852"/>
    <w:rsid w:val="003C3895"/>
    <w:rsid w:val="003C3948"/>
    <w:rsid w:val="003C398D"/>
    <w:rsid w:val="003C399D"/>
    <w:rsid w:val="003C3D4B"/>
    <w:rsid w:val="003C3E0F"/>
    <w:rsid w:val="003C40A2"/>
    <w:rsid w:val="003C40FE"/>
    <w:rsid w:val="003C420B"/>
    <w:rsid w:val="003C431C"/>
    <w:rsid w:val="003C4674"/>
    <w:rsid w:val="003C49D4"/>
    <w:rsid w:val="003C4D49"/>
    <w:rsid w:val="003C4E8D"/>
    <w:rsid w:val="003C5298"/>
    <w:rsid w:val="003C52FA"/>
    <w:rsid w:val="003C5346"/>
    <w:rsid w:val="003C53B2"/>
    <w:rsid w:val="003C5434"/>
    <w:rsid w:val="003C5480"/>
    <w:rsid w:val="003C5495"/>
    <w:rsid w:val="003C54DE"/>
    <w:rsid w:val="003C5533"/>
    <w:rsid w:val="003C57E6"/>
    <w:rsid w:val="003C5833"/>
    <w:rsid w:val="003C585A"/>
    <w:rsid w:val="003C593E"/>
    <w:rsid w:val="003C5B9D"/>
    <w:rsid w:val="003C5E04"/>
    <w:rsid w:val="003C5E9B"/>
    <w:rsid w:val="003C5EAD"/>
    <w:rsid w:val="003C6091"/>
    <w:rsid w:val="003C60AA"/>
    <w:rsid w:val="003C60D3"/>
    <w:rsid w:val="003C6287"/>
    <w:rsid w:val="003C6336"/>
    <w:rsid w:val="003C63CA"/>
    <w:rsid w:val="003C658D"/>
    <w:rsid w:val="003C6721"/>
    <w:rsid w:val="003C684F"/>
    <w:rsid w:val="003C6891"/>
    <w:rsid w:val="003C68DD"/>
    <w:rsid w:val="003C69DF"/>
    <w:rsid w:val="003C6A2F"/>
    <w:rsid w:val="003C6A31"/>
    <w:rsid w:val="003C6A46"/>
    <w:rsid w:val="003C6B70"/>
    <w:rsid w:val="003C6C28"/>
    <w:rsid w:val="003C6E86"/>
    <w:rsid w:val="003C6ED7"/>
    <w:rsid w:val="003C6FAC"/>
    <w:rsid w:val="003C70B7"/>
    <w:rsid w:val="003C72DB"/>
    <w:rsid w:val="003C73D5"/>
    <w:rsid w:val="003C73FB"/>
    <w:rsid w:val="003C7541"/>
    <w:rsid w:val="003C762E"/>
    <w:rsid w:val="003C7669"/>
    <w:rsid w:val="003C77C0"/>
    <w:rsid w:val="003C78DD"/>
    <w:rsid w:val="003C7B08"/>
    <w:rsid w:val="003C7B37"/>
    <w:rsid w:val="003C7B40"/>
    <w:rsid w:val="003C7FB7"/>
    <w:rsid w:val="003CE2C6"/>
    <w:rsid w:val="003D006E"/>
    <w:rsid w:val="003D00AB"/>
    <w:rsid w:val="003D00EB"/>
    <w:rsid w:val="003D0102"/>
    <w:rsid w:val="003D02B7"/>
    <w:rsid w:val="003D0369"/>
    <w:rsid w:val="003D03B8"/>
    <w:rsid w:val="003D03C4"/>
    <w:rsid w:val="003D044A"/>
    <w:rsid w:val="003D047E"/>
    <w:rsid w:val="003D04F0"/>
    <w:rsid w:val="003D0606"/>
    <w:rsid w:val="003D0823"/>
    <w:rsid w:val="003D08AA"/>
    <w:rsid w:val="003D08BF"/>
    <w:rsid w:val="003D0A5C"/>
    <w:rsid w:val="003D0A66"/>
    <w:rsid w:val="003D0AD0"/>
    <w:rsid w:val="003D0AD1"/>
    <w:rsid w:val="003D0B34"/>
    <w:rsid w:val="003D0B8B"/>
    <w:rsid w:val="003D0C78"/>
    <w:rsid w:val="003D0EA6"/>
    <w:rsid w:val="003D0ED8"/>
    <w:rsid w:val="003D0F5D"/>
    <w:rsid w:val="003D10D1"/>
    <w:rsid w:val="003D111A"/>
    <w:rsid w:val="003D12E4"/>
    <w:rsid w:val="003D1526"/>
    <w:rsid w:val="003D1725"/>
    <w:rsid w:val="003D1743"/>
    <w:rsid w:val="003D185A"/>
    <w:rsid w:val="003D1A94"/>
    <w:rsid w:val="003D1C20"/>
    <w:rsid w:val="003D1C7C"/>
    <w:rsid w:val="003D1CB3"/>
    <w:rsid w:val="003D1D42"/>
    <w:rsid w:val="003D1E4A"/>
    <w:rsid w:val="003D1E57"/>
    <w:rsid w:val="003D1E9C"/>
    <w:rsid w:val="003D1ED4"/>
    <w:rsid w:val="003D1EEA"/>
    <w:rsid w:val="003D2118"/>
    <w:rsid w:val="003D2447"/>
    <w:rsid w:val="003D2498"/>
    <w:rsid w:val="003D2665"/>
    <w:rsid w:val="003D2684"/>
    <w:rsid w:val="003D27B9"/>
    <w:rsid w:val="003D294B"/>
    <w:rsid w:val="003D2DB3"/>
    <w:rsid w:val="003D2EF7"/>
    <w:rsid w:val="003D2FF8"/>
    <w:rsid w:val="003D3051"/>
    <w:rsid w:val="003D3274"/>
    <w:rsid w:val="003D3398"/>
    <w:rsid w:val="003D33DC"/>
    <w:rsid w:val="003D349B"/>
    <w:rsid w:val="003D363B"/>
    <w:rsid w:val="003D3689"/>
    <w:rsid w:val="003D3763"/>
    <w:rsid w:val="003D3799"/>
    <w:rsid w:val="003D37D8"/>
    <w:rsid w:val="003D37ED"/>
    <w:rsid w:val="003D38FF"/>
    <w:rsid w:val="003D39B3"/>
    <w:rsid w:val="003D3A2A"/>
    <w:rsid w:val="003D3A78"/>
    <w:rsid w:val="003D3B26"/>
    <w:rsid w:val="003D3B8B"/>
    <w:rsid w:val="003D3BDF"/>
    <w:rsid w:val="003D3BEA"/>
    <w:rsid w:val="003D3CAD"/>
    <w:rsid w:val="003D3E70"/>
    <w:rsid w:val="003D3F84"/>
    <w:rsid w:val="003D3FD0"/>
    <w:rsid w:val="003D4088"/>
    <w:rsid w:val="003D4262"/>
    <w:rsid w:val="003D4320"/>
    <w:rsid w:val="003D4440"/>
    <w:rsid w:val="003D4570"/>
    <w:rsid w:val="003D464E"/>
    <w:rsid w:val="003D46A2"/>
    <w:rsid w:val="003D48CB"/>
    <w:rsid w:val="003D48E8"/>
    <w:rsid w:val="003D4A87"/>
    <w:rsid w:val="003D4B00"/>
    <w:rsid w:val="003D4E6A"/>
    <w:rsid w:val="003D4E85"/>
    <w:rsid w:val="003D515F"/>
    <w:rsid w:val="003D52B4"/>
    <w:rsid w:val="003D5587"/>
    <w:rsid w:val="003D55C7"/>
    <w:rsid w:val="003D57A7"/>
    <w:rsid w:val="003D57D8"/>
    <w:rsid w:val="003D5954"/>
    <w:rsid w:val="003D5997"/>
    <w:rsid w:val="003D59D0"/>
    <w:rsid w:val="003D59D4"/>
    <w:rsid w:val="003D5A51"/>
    <w:rsid w:val="003D5BA2"/>
    <w:rsid w:val="003D5BFA"/>
    <w:rsid w:val="003D5D0B"/>
    <w:rsid w:val="003D5D10"/>
    <w:rsid w:val="003D5D96"/>
    <w:rsid w:val="003D5DD1"/>
    <w:rsid w:val="003D60BF"/>
    <w:rsid w:val="003D60C1"/>
    <w:rsid w:val="003D6125"/>
    <w:rsid w:val="003D6205"/>
    <w:rsid w:val="003D628D"/>
    <w:rsid w:val="003D62DA"/>
    <w:rsid w:val="003D6444"/>
    <w:rsid w:val="003D64B3"/>
    <w:rsid w:val="003D64F7"/>
    <w:rsid w:val="003D6686"/>
    <w:rsid w:val="003D66F1"/>
    <w:rsid w:val="003D66F6"/>
    <w:rsid w:val="003D67DF"/>
    <w:rsid w:val="003D67E6"/>
    <w:rsid w:val="003D6875"/>
    <w:rsid w:val="003D694D"/>
    <w:rsid w:val="003D6B0C"/>
    <w:rsid w:val="003D6BC9"/>
    <w:rsid w:val="003D6CAC"/>
    <w:rsid w:val="003D6E69"/>
    <w:rsid w:val="003D6F34"/>
    <w:rsid w:val="003D6FE8"/>
    <w:rsid w:val="003D7016"/>
    <w:rsid w:val="003D7178"/>
    <w:rsid w:val="003D7193"/>
    <w:rsid w:val="003D7322"/>
    <w:rsid w:val="003D754F"/>
    <w:rsid w:val="003D75D9"/>
    <w:rsid w:val="003D7607"/>
    <w:rsid w:val="003D76DA"/>
    <w:rsid w:val="003D7909"/>
    <w:rsid w:val="003D7DA6"/>
    <w:rsid w:val="003D7E5B"/>
    <w:rsid w:val="003D7F34"/>
    <w:rsid w:val="003D7F38"/>
    <w:rsid w:val="003DEC65"/>
    <w:rsid w:val="003E0107"/>
    <w:rsid w:val="003E012A"/>
    <w:rsid w:val="003E019D"/>
    <w:rsid w:val="003E0225"/>
    <w:rsid w:val="003E02A1"/>
    <w:rsid w:val="003E0405"/>
    <w:rsid w:val="003E064E"/>
    <w:rsid w:val="003E0A6F"/>
    <w:rsid w:val="003E0AAF"/>
    <w:rsid w:val="003E0D09"/>
    <w:rsid w:val="003E0D3F"/>
    <w:rsid w:val="003E0E52"/>
    <w:rsid w:val="003E0E9D"/>
    <w:rsid w:val="003E0FFC"/>
    <w:rsid w:val="003E11BC"/>
    <w:rsid w:val="003E11E9"/>
    <w:rsid w:val="003E1227"/>
    <w:rsid w:val="003E1269"/>
    <w:rsid w:val="003E1552"/>
    <w:rsid w:val="003E17A7"/>
    <w:rsid w:val="003E1873"/>
    <w:rsid w:val="003E18C6"/>
    <w:rsid w:val="003E1941"/>
    <w:rsid w:val="003E1AA3"/>
    <w:rsid w:val="003E1B5F"/>
    <w:rsid w:val="003E1E2C"/>
    <w:rsid w:val="003E1FB4"/>
    <w:rsid w:val="003E2162"/>
    <w:rsid w:val="003E2320"/>
    <w:rsid w:val="003E236D"/>
    <w:rsid w:val="003E24B3"/>
    <w:rsid w:val="003E2612"/>
    <w:rsid w:val="003E2638"/>
    <w:rsid w:val="003E2791"/>
    <w:rsid w:val="003E2865"/>
    <w:rsid w:val="003E2894"/>
    <w:rsid w:val="003E2B07"/>
    <w:rsid w:val="003E2BBD"/>
    <w:rsid w:val="003E2C2C"/>
    <w:rsid w:val="003E2D9E"/>
    <w:rsid w:val="003E2E96"/>
    <w:rsid w:val="003E2F72"/>
    <w:rsid w:val="003E30A0"/>
    <w:rsid w:val="003E30AE"/>
    <w:rsid w:val="003E3178"/>
    <w:rsid w:val="003E3237"/>
    <w:rsid w:val="003E329A"/>
    <w:rsid w:val="003E32A9"/>
    <w:rsid w:val="003E32AE"/>
    <w:rsid w:val="003E3337"/>
    <w:rsid w:val="003E3419"/>
    <w:rsid w:val="003E34E2"/>
    <w:rsid w:val="003E360A"/>
    <w:rsid w:val="003E366E"/>
    <w:rsid w:val="003E36F1"/>
    <w:rsid w:val="003E3775"/>
    <w:rsid w:val="003E3823"/>
    <w:rsid w:val="003E38A2"/>
    <w:rsid w:val="003E38A9"/>
    <w:rsid w:val="003E39D4"/>
    <w:rsid w:val="003E3A85"/>
    <w:rsid w:val="003E3AB4"/>
    <w:rsid w:val="003E3B0D"/>
    <w:rsid w:val="003E3B22"/>
    <w:rsid w:val="003E3DDB"/>
    <w:rsid w:val="003E3E88"/>
    <w:rsid w:val="003E3F65"/>
    <w:rsid w:val="003E41A3"/>
    <w:rsid w:val="003E4298"/>
    <w:rsid w:val="003E42D3"/>
    <w:rsid w:val="003E4525"/>
    <w:rsid w:val="003E46C5"/>
    <w:rsid w:val="003E47AF"/>
    <w:rsid w:val="003E47FD"/>
    <w:rsid w:val="003E482B"/>
    <w:rsid w:val="003E49DD"/>
    <w:rsid w:val="003E4A44"/>
    <w:rsid w:val="003E4B91"/>
    <w:rsid w:val="003E4BD1"/>
    <w:rsid w:val="003E4CF5"/>
    <w:rsid w:val="003E4CF9"/>
    <w:rsid w:val="003E508D"/>
    <w:rsid w:val="003E51A3"/>
    <w:rsid w:val="003E51A4"/>
    <w:rsid w:val="003E51D6"/>
    <w:rsid w:val="003E536D"/>
    <w:rsid w:val="003E5501"/>
    <w:rsid w:val="003E5551"/>
    <w:rsid w:val="003E557A"/>
    <w:rsid w:val="003E55A3"/>
    <w:rsid w:val="003E5740"/>
    <w:rsid w:val="003E591B"/>
    <w:rsid w:val="003E5A73"/>
    <w:rsid w:val="003E5ADC"/>
    <w:rsid w:val="003E5AEA"/>
    <w:rsid w:val="003E5B9E"/>
    <w:rsid w:val="003E5CCE"/>
    <w:rsid w:val="003E5DA7"/>
    <w:rsid w:val="003E5DB0"/>
    <w:rsid w:val="003E5FA5"/>
    <w:rsid w:val="003E6116"/>
    <w:rsid w:val="003E61A6"/>
    <w:rsid w:val="003E627A"/>
    <w:rsid w:val="003E62A4"/>
    <w:rsid w:val="003E63F0"/>
    <w:rsid w:val="003E6428"/>
    <w:rsid w:val="003E6447"/>
    <w:rsid w:val="003E670C"/>
    <w:rsid w:val="003E6965"/>
    <w:rsid w:val="003E69BE"/>
    <w:rsid w:val="003E69E7"/>
    <w:rsid w:val="003E6B0C"/>
    <w:rsid w:val="003E6B95"/>
    <w:rsid w:val="003E6C6E"/>
    <w:rsid w:val="003E6D07"/>
    <w:rsid w:val="003E6EDD"/>
    <w:rsid w:val="003E6EEF"/>
    <w:rsid w:val="003E7061"/>
    <w:rsid w:val="003E72B1"/>
    <w:rsid w:val="003E7340"/>
    <w:rsid w:val="003E759A"/>
    <w:rsid w:val="003E759B"/>
    <w:rsid w:val="003E75C4"/>
    <w:rsid w:val="003E7643"/>
    <w:rsid w:val="003E7649"/>
    <w:rsid w:val="003E76BF"/>
    <w:rsid w:val="003E7725"/>
    <w:rsid w:val="003E77B1"/>
    <w:rsid w:val="003E77D5"/>
    <w:rsid w:val="003E79B2"/>
    <w:rsid w:val="003E79EF"/>
    <w:rsid w:val="003E7A23"/>
    <w:rsid w:val="003E7C22"/>
    <w:rsid w:val="003E7CA3"/>
    <w:rsid w:val="003E7D72"/>
    <w:rsid w:val="003E7E37"/>
    <w:rsid w:val="003E7EB8"/>
    <w:rsid w:val="003E7F32"/>
    <w:rsid w:val="003F011B"/>
    <w:rsid w:val="003F02B1"/>
    <w:rsid w:val="003F0526"/>
    <w:rsid w:val="003F0623"/>
    <w:rsid w:val="003F07C4"/>
    <w:rsid w:val="003F0998"/>
    <w:rsid w:val="003F0BB7"/>
    <w:rsid w:val="003F0C99"/>
    <w:rsid w:val="003F0E7D"/>
    <w:rsid w:val="003F0F6D"/>
    <w:rsid w:val="003F149E"/>
    <w:rsid w:val="003F14AD"/>
    <w:rsid w:val="003F1615"/>
    <w:rsid w:val="003F18F5"/>
    <w:rsid w:val="003F1A0D"/>
    <w:rsid w:val="003F1AFD"/>
    <w:rsid w:val="003F1CE2"/>
    <w:rsid w:val="003F1CE8"/>
    <w:rsid w:val="003F1DE9"/>
    <w:rsid w:val="003F1E12"/>
    <w:rsid w:val="003F1EED"/>
    <w:rsid w:val="003F1F43"/>
    <w:rsid w:val="003F2153"/>
    <w:rsid w:val="003F21A2"/>
    <w:rsid w:val="003F22D0"/>
    <w:rsid w:val="003F236B"/>
    <w:rsid w:val="003F250E"/>
    <w:rsid w:val="003F2532"/>
    <w:rsid w:val="003F256B"/>
    <w:rsid w:val="003F27CF"/>
    <w:rsid w:val="003F28C6"/>
    <w:rsid w:val="003F28EC"/>
    <w:rsid w:val="003F29E8"/>
    <w:rsid w:val="003F2B8D"/>
    <w:rsid w:val="003F2CA5"/>
    <w:rsid w:val="003F2CB9"/>
    <w:rsid w:val="003F2CC1"/>
    <w:rsid w:val="003F2D62"/>
    <w:rsid w:val="003F2DEF"/>
    <w:rsid w:val="003F2E1E"/>
    <w:rsid w:val="003F2FCE"/>
    <w:rsid w:val="003F30D6"/>
    <w:rsid w:val="003F3118"/>
    <w:rsid w:val="003F31AF"/>
    <w:rsid w:val="003F32D5"/>
    <w:rsid w:val="003F33EA"/>
    <w:rsid w:val="003F3461"/>
    <w:rsid w:val="003F354D"/>
    <w:rsid w:val="003F3867"/>
    <w:rsid w:val="003F38AC"/>
    <w:rsid w:val="003F38B0"/>
    <w:rsid w:val="003F38CD"/>
    <w:rsid w:val="003F39F1"/>
    <w:rsid w:val="003F3B8B"/>
    <w:rsid w:val="003F3BD4"/>
    <w:rsid w:val="003F3DDF"/>
    <w:rsid w:val="003F3E36"/>
    <w:rsid w:val="003F3F06"/>
    <w:rsid w:val="003F3F36"/>
    <w:rsid w:val="003F3F75"/>
    <w:rsid w:val="003F40AB"/>
    <w:rsid w:val="003F4115"/>
    <w:rsid w:val="003F422A"/>
    <w:rsid w:val="003F4418"/>
    <w:rsid w:val="003F44FC"/>
    <w:rsid w:val="003F4643"/>
    <w:rsid w:val="003F4655"/>
    <w:rsid w:val="003F468F"/>
    <w:rsid w:val="003F4793"/>
    <w:rsid w:val="003F47D8"/>
    <w:rsid w:val="003F47F8"/>
    <w:rsid w:val="003F490E"/>
    <w:rsid w:val="003F49C1"/>
    <w:rsid w:val="003F4B9F"/>
    <w:rsid w:val="003F4DE8"/>
    <w:rsid w:val="003F4F61"/>
    <w:rsid w:val="003F5214"/>
    <w:rsid w:val="003F52CA"/>
    <w:rsid w:val="003F536A"/>
    <w:rsid w:val="003F5374"/>
    <w:rsid w:val="003F5377"/>
    <w:rsid w:val="003F550A"/>
    <w:rsid w:val="003F5640"/>
    <w:rsid w:val="003F565B"/>
    <w:rsid w:val="003F56E5"/>
    <w:rsid w:val="003F56E7"/>
    <w:rsid w:val="003F5762"/>
    <w:rsid w:val="003F57E7"/>
    <w:rsid w:val="003F587D"/>
    <w:rsid w:val="003F5AE6"/>
    <w:rsid w:val="003F5B10"/>
    <w:rsid w:val="003F5C77"/>
    <w:rsid w:val="003F5DA7"/>
    <w:rsid w:val="003F5F9B"/>
    <w:rsid w:val="003F5FC5"/>
    <w:rsid w:val="003F6114"/>
    <w:rsid w:val="003F628B"/>
    <w:rsid w:val="003F63A2"/>
    <w:rsid w:val="003F649B"/>
    <w:rsid w:val="003F6766"/>
    <w:rsid w:val="003F67D0"/>
    <w:rsid w:val="003F6948"/>
    <w:rsid w:val="003F699B"/>
    <w:rsid w:val="003F6CD2"/>
    <w:rsid w:val="003F6D84"/>
    <w:rsid w:val="003F6E75"/>
    <w:rsid w:val="003F6E89"/>
    <w:rsid w:val="003F705C"/>
    <w:rsid w:val="003F7336"/>
    <w:rsid w:val="003F73BD"/>
    <w:rsid w:val="003F7426"/>
    <w:rsid w:val="003F74FD"/>
    <w:rsid w:val="003F7521"/>
    <w:rsid w:val="003F7579"/>
    <w:rsid w:val="003F777C"/>
    <w:rsid w:val="003F7786"/>
    <w:rsid w:val="003F77D7"/>
    <w:rsid w:val="003F77F9"/>
    <w:rsid w:val="003F790F"/>
    <w:rsid w:val="003F7A27"/>
    <w:rsid w:val="003F7BF6"/>
    <w:rsid w:val="003F7CCB"/>
    <w:rsid w:val="003F7D2A"/>
    <w:rsid w:val="003F7DD9"/>
    <w:rsid w:val="003F7FDC"/>
    <w:rsid w:val="004000E5"/>
    <w:rsid w:val="00400151"/>
    <w:rsid w:val="00400165"/>
    <w:rsid w:val="0040033F"/>
    <w:rsid w:val="0040034D"/>
    <w:rsid w:val="0040039C"/>
    <w:rsid w:val="0040047F"/>
    <w:rsid w:val="00400489"/>
    <w:rsid w:val="004005A6"/>
    <w:rsid w:val="004006A1"/>
    <w:rsid w:val="004007B2"/>
    <w:rsid w:val="0040084A"/>
    <w:rsid w:val="004008BF"/>
    <w:rsid w:val="0040093B"/>
    <w:rsid w:val="0040096F"/>
    <w:rsid w:val="00400A9D"/>
    <w:rsid w:val="00400C47"/>
    <w:rsid w:val="00400E05"/>
    <w:rsid w:val="00400E1E"/>
    <w:rsid w:val="00400ECB"/>
    <w:rsid w:val="00400F78"/>
    <w:rsid w:val="00400FDA"/>
    <w:rsid w:val="00401109"/>
    <w:rsid w:val="004011EB"/>
    <w:rsid w:val="0040129D"/>
    <w:rsid w:val="004014B5"/>
    <w:rsid w:val="0040152D"/>
    <w:rsid w:val="004016B7"/>
    <w:rsid w:val="004016D2"/>
    <w:rsid w:val="004017FC"/>
    <w:rsid w:val="004018E3"/>
    <w:rsid w:val="004019A8"/>
    <w:rsid w:val="004019FE"/>
    <w:rsid w:val="00401A71"/>
    <w:rsid w:val="00401AE5"/>
    <w:rsid w:val="00401B3E"/>
    <w:rsid w:val="00401D4E"/>
    <w:rsid w:val="0040203C"/>
    <w:rsid w:val="00402049"/>
    <w:rsid w:val="004021B6"/>
    <w:rsid w:val="004024B5"/>
    <w:rsid w:val="004025D8"/>
    <w:rsid w:val="004028F0"/>
    <w:rsid w:val="00402943"/>
    <w:rsid w:val="00402B0A"/>
    <w:rsid w:val="00402C9E"/>
    <w:rsid w:val="004033D9"/>
    <w:rsid w:val="0040340D"/>
    <w:rsid w:val="004034BA"/>
    <w:rsid w:val="004035A2"/>
    <w:rsid w:val="004036FC"/>
    <w:rsid w:val="00403759"/>
    <w:rsid w:val="0040379C"/>
    <w:rsid w:val="004038BB"/>
    <w:rsid w:val="004038F5"/>
    <w:rsid w:val="00403A09"/>
    <w:rsid w:val="00403B0A"/>
    <w:rsid w:val="00403C88"/>
    <w:rsid w:val="00403D06"/>
    <w:rsid w:val="00403D4F"/>
    <w:rsid w:val="00403D58"/>
    <w:rsid w:val="00403DDC"/>
    <w:rsid w:val="00403F37"/>
    <w:rsid w:val="0040408A"/>
    <w:rsid w:val="0040416B"/>
    <w:rsid w:val="00404212"/>
    <w:rsid w:val="004043F6"/>
    <w:rsid w:val="004044BF"/>
    <w:rsid w:val="004045C4"/>
    <w:rsid w:val="004045D3"/>
    <w:rsid w:val="0040464A"/>
    <w:rsid w:val="00404719"/>
    <w:rsid w:val="0040479E"/>
    <w:rsid w:val="004049E1"/>
    <w:rsid w:val="00404AD8"/>
    <w:rsid w:val="00404B07"/>
    <w:rsid w:val="00404C72"/>
    <w:rsid w:val="00405314"/>
    <w:rsid w:val="0040543B"/>
    <w:rsid w:val="00405458"/>
    <w:rsid w:val="0040549C"/>
    <w:rsid w:val="00405641"/>
    <w:rsid w:val="00405676"/>
    <w:rsid w:val="004056E9"/>
    <w:rsid w:val="0040577F"/>
    <w:rsid w:val="00405859"/>
    <w:rsid w:val="004058CD"/>
    <w:rsid w:val="004059CD"/>
    <w:rsid w:val="00405B4F"/>
    <w:rsid w:val="00405BAF"/>
    <w:rsid w:val="00405DDC"/>
    <w:rsid w:val="00405FA2"/>
    <w:rsid w:val="00405FF2"/>
    <w:rsid w:val="00405FFC"/>
    <w:rsid w:val="004060A5"/>
    <w:rsid w:val="00406176"/>
    <w:rsid w:val="00406299"/>
    <w:rsid w:val="004062B1"/>
    <w:rsid w:val="004064A6"/>
    <w:rsid w:val="004064D6"/>
    <w:rsid w:val="00406618"/>
    <w:rsid w:val="0040672B"/>
    <w:rsid w:val="004067FD"/>
    <w:rsid w:val="00406800"/>
    <w:rsid w:val="0040697C"/>
    <w:rsid w:val="00406A07"/>
    <w:rsid w:val="00406B0A"/>
    <w:rsid w:val="00406C36"/>
    <w:rsid w:val="00406C43"/>
    <w:rsid w:val="00406D12"/>
    <w:rsid w:val="00406D88"/>
    <w:rsid w:val="00406EE4"/>
    <w:rsid w:val="00407192"/>
    <w:rsid w:val="00407242"/>
    <w:rsid w:val="00407487"/>
    <w:rsid w:val="004076C0"/>
    <w:rsid w:val="00407A02"/>
    <w:rsid w:val="00407A3D"/>
    <w:rsid w:val="00407AAD"/>
    <w:rsid w:val="00407B5E"/>
    <w:rsid w:val="00407B6E"/>
    <w:rsid w:val="00407B70"/>
    <w:rsid w:val="00407C65"/>
    <w:rsid w:val="00407D5D"/>
    <w:rsid w:val="00407E34"/>
    <w:rsid w:val="00407F9C"/>
    <w:rsid w:val="0041004A"/>
    <w:rsid w:val="004100B3"/>
    <w:rsid w:val="0041013B"/>
    <w:rsid w:val="00410264"/>
    <w:rsid w:val="0041028A"/>
    <w:rsid w:val="0041031B"/>
    <w:rsid w:val="00410422"/>
    <w:rsid w:val="0041059C"/>
    <w:rsid w:val="00410815"/>
    <w:rsid w:val="0041094B"/>
    <w:rsid w:val="00410A8C"/>
    <w:rsid w:val="00410C77"/>
    <w:rsid w:val="00410CA3"/>
    <w:rsid w:val="00410CB5"/>
    <w:rsid w:val="00410D5E"/>
    <w:rsid w:val="00410FCC"/>
    <w:rsid w:val="0041117F"/>
    <w:rsid w:val="0041126B"/>
    <w:rsid w:val="0041133A"/>
    <w:rsid w:val="0041138C"/>
    <w:rsid w:val="004113B9"/>
    <w:rsid w:val="004115E6"/>
    <w:rsid w:val="00411611"/>
    <w:rsid w:val="004116D7"/>
    <w:rsid w:val="004116F3"/>
    <w:rsid w:val="00411891"/>
    <w:rsid w:val="004118FB"/>
    <w:rsid w:val="0041197F"/>
    <w:rsid w:val="004119A6"/>
    <w:rsid w:val="00411A1B"/>
    <w:rsid w:val="00411DBB"/>
    <w:rsid w:val="00411DD1"/>
    <w:rsid w:val="00411F91"/>
    <w:rsid w:val="00412325"/>
    <w:rsid w:val="00412452"/>
    <w:rsid w:val="0041274C"/>
    <w:rsid w:val="004127A1"/>
    <w:rsid w:val="004128E3"/>
    <w:rsid w:val="004128F2"/>
    <w:rsid w:val="00412950"/>
    <w:rsid w:val="004129BA"/>
    <w:rsid w:val="004129FE"/>
    <w:rsid w:val="00412A25"/>
    <w:rsid w:val="00412A4E"/>
    <w:rsid w:val="00412B25"/>
    <w:rsid w:val="00412BC0"/>
    <w:rsid w:val="00412BDE"/>
    <w:rsid w:val="00412C75"/>
    <w:rsid w:val="00412CEA"/>
    <w:rsid w:val="00412E19"/>
    <w:rsid w:val="00412F48"/>
    <w:rsid w:val="004130BC"/>
    <w:rsid w:val="004132FE"/>
    <w:rsid w:val="004133B2"/>
    <w:rsid w:val="004136C7"/>
    <w:rsid w:val="004137BD"/>
    <w:rsid w:val="0041380F"/>
    <w:rsid w:val="00413880"/>
    <w:rsid w:val="004138A1"/>
    <w:rsid w:val="004138A7"/>
    <w:rsid w:val="004138DF"/>
    <w:rsid w:val="00413A63"/>
    <w:rsid w:val="00413B11"/>
    <w:rsid w:val="00413B66"/>
    <w:rsid w:val="00413BA4"/>
    <w:rsid w:val="00413C18"/>
    <w:rsid w:val="00413E5F"/>
    <w:rsid w:val="00413F79"/>
    <w:rsid w:val="0041425B"/>
    <w:rsid w:val="004143D8"/>
    <w:rsid w:val="00414442"/>
    <w:rsid w:val="00414620"/>
    <w:rsid w:val="004146EC"/>
    <w:rsid w:val="004146FA"/>
    <w:rsid w:val="00414793"/>
    <w:rsid w:val="004147C1"/>
    <w:rsid w:val="004148DD"/>
    <w:rsid w:val="00414988"/>
    <w:rsid w:val="00414A37"/>
    <w:rsid w:val="00414A8B"/>
    <w:rsid w:val="00414B92"/>
    <w:rsid w:val="00414E8D"/>
    <w:rsid w:val="0041501E"/>
    <w:rsid w:val="004151CD"/>
    <w:rsid w:val="004151CE"/>
    <w:rsid w:val="004155FD"/>
    <w:rsid w:val="0041560C"/>
    <w:rsid w:val="0041565F"/>
    <w:rsid w:val="0041578A"/>
    <w:rsid w:val="00415846"/>
    <w:rsid w:val="0041587D"/>
    <w:rsid w:val="00415BC1"/>
    <w:rsid w:val="00415E06"/>
    <w:rsid w:val="00415FD5"/>
    <w:rsid w:val="00416179"/>
    <w:rsid w:val="00416250"/>
    <w:rsid w:val="004162F0"/>
    <w:rsid w:val="00416357"/>
    <w:rsid w:val="004164C6"/>
    <w:rsid w:val="00416716"/>
    <w:rsid w:val="00416B7F"/>
    <w:rsid w:val="00416B85"/>
    <w:rsid w:val="00416BA5"/>
    <w:rsid w:val="00416C21"/>
    <w:rsid w:val="00416D12"/>
    <w:rsid w:val="00416DDB"/>
    <w:rsid w:val="00416E49"/>
    <w:rsid w:val="00416E96"/>
    <w:rsid w:val="00416F3F"/>
    <w:rsid w:val="00416F75"/>
    <w:rsid w:val="00417066"/>
    <w:rsid w:val="004170DC"/>
    <w:rsid w:val="0041715B"/>
    <w:rsid w:val="00417177"/>
    <w:rsid w:val="004171C3"/>
    <w:rsid w:val="00417211"/>
    <w:rsid w:val="00417445"/>
    <w:rsid w:val="00417519"/>
    <w:rsid w:val="00417572"/>
    <w:rsid w:val="004176F4"/>
    <w:rsid w:val="004178D7"/>
    <w:rsid w:val="00417996"/>
    <w:rsid w:val="00417BFA"/>
    <w:rsid w:val="00417CD1"/>
    <w:rsid w:val="00417E5B"/>
    <w:rsid w:val="00417F78"/>
    <w:rsid w:val="00417F92"/>
    <w:rsid w:val="00419263"/>
    <w:rsid w:val="004201F7"/>
    <w:rsid w:val="004203D6"/>
    <w:rsid w:val="0042042C"/>
    <w:rsid w:val="004205A8"/>
    <w:rsid w:val="00420867"/>
    <w:rsid w:val="00420959"/>
    <w:rsid w:val="00420ACA"/>
    <w:rsid w:val="00420AD3"/>
    <w:rsid w:val="00420B42"/>
    <w:rsid w:val="00420C03"/>
    <w:rsid w:val="00420E2B"/>
    <w:rsid w:val="00420FBB"/>
    <w:rsid w:val="00421010"/>
    <w:rsid w:val="00421112"/>
    <w:rsid w:val="00421244"/>
    <w:rsid w:val="004213B9"/>
    <w:rsid w:val="004214D8"/>
    <w:rsid w:val="0042153C"/>
    <w:rsid w:val="00421790"/>
    <w:rsid w:val="00421795"/>
    <w:rsid w:val="0042182D"/>
    <w:rsid w:val="0042189D"/>
    <w:rsid w:val="00421902"/>
    <w:rsid w:val="00421919"/>
    <w:rsid w:val="004219E8"/>
    <w:rsid w:val="00421A0D"/>
    <w:rsid w:val="00421CCD"/>
    <w:rsid w:val="00421E47"/>
    <w:rsid w:val="00421EF0"/>
    <w:rsid w:val="00421EF8"/>
    <w:rsid w:val="00422022"/>
    <w:rsid w:val="004221E7"/>
    <w:rsid w:val="00422206"/>
    <w:rsid w:val="00422244"/>
    <w:rsid w:val="004228F8"/>
    <w:rsid w:val="00422969"/>
    <w:rsid w:val="00422B61"/>
    <w:rsid w:val="00422BA8"/>
    <w:rsid w:val="00422C9E"/>
    <w:rsid w:val="00422CE1"/>
    <w:rsid w:val="00422D2A"/>
    <w:rsid w:val="00422DAD"/>
    <w:rsid w:val="00422E73"/>
    <w:rsid w:val="00422E95"/>
    <w:rsid w:val="00422ED4"/>
    <w:rsid w:val="004230AC"/>
    <w:rsid w:val="00423134"/>
    <w:rsid w:val="0042334B"/>
    <w:rsid w:val="004234BF"/>
    <w:rsid w:val="00423764"/>
    <w:rsid w:val="0042396F"/>
    <w:rsid w:val="00423A31"/>
    <w:rsid w:val="00423B0C"/>
    <w:rsid w:val="00423B0D"/>
    <w:rsid w:val="00423C3E"/>
    <w:rsid w:val="00423D05"/>
    <w:rsid w:val="00423E84"/>
    <w:rsid w:val="00423E98"/>
    <w:rsid w:val="00423F65"/>
    <w:rsid w:val="00424217"/>
    <w:rsid w:val="00424361"/>
    <w:rsid w:val="00424430"/>
    <w:rsid w:val="004244E2"/>
    <w:rsid w:val="00424604"/>
    <w:rsid w:val="004246B8"/>
    <w:rsid w:val="00424733"/>
    <w:rsid w:val="00424790"/>
    <w:rsid w:val="00424855"/>
    <w:rsid w:val="00424866"/>
    <w:rsid w:val="004248D0"/>
    <w:rsid w:val="00424A86"/>
    <w:rsid w:val="00424A95"/>
    <w:rsid w:val="00424AF9"/>
    <w:rsid w:val="00424D6C"/>
    <w:rsid w:val="00424DBA"/>
    <w:rsid w:val="00424E0A"/>
    <w:rsid w:val="00424E1A"/>
    <w:rsid w:val="00424F0B"/>
    <w:rsid w:val="00424F3E"/>
    <w:rsid w:val="00424F85"/>
    <w:rsid w:val="00424FA6"/>
    <w:rsid w:val="004250AF"/>
    <w:rsid w:val="00425180"/>
    <w:rsid w:val="004252C6"/>
    <w:rsid w:val="00425310"/>
    <w:rsid w:val="0042548D"/>
    <w:rsid w:val="004254AC"/>
    <w:rsid w:val="00425585"/>
    <w:rsid w:val="0042570B"/>
    <w:rsid w:val="004257C5"/>
    <w:rsid w:val="004258C6"/>
    <w:rsid w:val="004259FD"/>
    <w:rsid w:val="00425A2B"/>
    <w:rsid w:val="00425A5B"/>
    <w:rsid w:val="00425B41"/>
    <w:rsid w:val="00425CBF"/>
    <w:rsid w:val="00425D76"/>
    <w:rsid w:val="00425E7D"/>
    <w:rsid w:val="00425E95"/>
    <w:rsid w:val="00425FA4"/>
    <w:rsid w:val="00425FC9"/>
    <w:rsid w:val="00426412"/>
    <w:rsid w:val="00426464"/>
    <w:rsid w:val="0042654D"/>
    <w:rsid w:val="004265CF"/>
    <w:rsid w:val="004265F2"/>
    <w:rsid w:val="0042665D"/>
    <w:rsid w:val="00426672"/>
    <w:rsid w:val="00426733"/>
    <w:rsid w:val="004267B9"/>
    <w:rsid w:val="00426838"/>
    <w:rsid w:val="00426882"/>
    <w:rsid w:val="00426A81"/>
    <w:rsid w:val="00426AA1"/>
    <w:rsid w:val="00426D89"/>
    <w:rsid w:val="00426DF0"/>
    <w:rsid w:val="00426E47"/>
    <w:rsid w:val="00426EB3"/>
    <w:rsid w:val="00426F30"/>
    <w:rsid w:val="004270DF"/>
    <w:rsid w:val="004272A2"/>
    <w:rsid w:val="00427338"/>
    <w:rsid w:val="00427395"/>
    <w:rsid w:val="00427579"/>
    <w:rsid w:val="00427690"/>
    <w:rsid w:val="0042780A"/>
    <w:rsid w:val="00427941"/>
    <w:rsid w:val="00427A07"/>
    <w:rsid w:val="00427A90"/>
    <w:rsid w:val="00427AA3"/>
    <w:rsid w:val="00427F6C"/>
    <w:rsid w:val="00427FB1"/>
    <w:rsid w:val="00427FD8"/>
    <w:rsid w:val="00430029"/>
    <w:rsid w:val="004300DD"/>
    <w:rsid w:val="00430147"/>
    <w:rsid w:val="004302DC"/>
    <w:rsid w:val="0043060D"/>
    <w:rsid w:val="004306EA"/>
    <w:rsid w:val="00430822"/>
    <w:rsid w:val="00430907"/>
    <w:rsid w:val="0043090A"/>
    <w:rsid w:val="00430975"/>
    <w:rsid w:val="0043098D"/>
    <w:rsid w:val="00430CA5"/>
    <w:rsid w:val="00430DB6"/>
    <w:rsid w:val="00430EE7"/>
    <w:rsid w:val="00431028"/>
    <w:rsid w:val="0043106C"/>
    <w:rsid w:val="0043113E"/>
    <w:rsid w:val="00431185"/>
    <w:rsid w:val="004311EB"/>
    <w:rsid w:val="004312F9"/>
    <w:rsid w:val="00431331"/>
    <w:rsid w:val="00431366"/>
    <w:rsid w:val="004313B1"/>
    <w:rsid w:val="0043151D"/>
    <w:rsid w:val="004315EF"/>
    <w:rsid w:val="00431600"/>
    <w:rsid w:val="004316CA"/>
    <w:rsid w:val="004316E0"/>
    <w:rsid w:val="00431750"/>
    <w:rsid w:val="00431792"/>
    <w:rsid w:val="00431845"/>
    <w:rsid w:val="00431858"/>
    <w:rsid w:val="0043189D"/>
    <w:rsid w:val="004318C2"/>
    <w:rsid w:val="00431A5C"/>
    <w:rsid w:val="00431AE8"/>
    <w:rsid w:val="00431B15"/>
    <w:rsid w:val="00431B81"/>
    <w:rsid w:val="00431B96"/>
    <w:rsid w:val="00431C55"/>
    <w:rsid w:val="00431CBC"/>
    <w:rsid w:val="00431D18"/>
    <w:rsid w:val="00432199"/>
    <w:rsid w:val="00432250"/>
    <w:rsid w:val="00432319"/>
    <w:rsid w:val="00432346"/>
    <w:rsid w:val="004323E2"/>
    <w:rsid w:val="0043254C"/>
    <w:rsid w:val="004325A4"/>
    <w:rsid w:val="0043265B"/>
    <w:rsid w:val="00432681"/>
    <w:rsid w:val="0043291C"/>
    <w:rsid w:val="004329F3"/>
    <w:rsid w:val="00432A74"/>
    <w:rsid w:val="00432AFD"/>
    <w:rsid w:val="00432B3A"/>
    <w:rsid w:val="00432B7E"/>
    <w:rsid w:val="00432CC7"/>
    <w:rsid w:val="00432CD0"/>
    <w:rsid w:val="00432D5C"/>
    <w:rsid w:val="00432EC2"/>
    <w:rsid w:val="00432FE9"/>
    <w:rsid w:val="004330C6"/>
    <w:rsid w:val="0043333A"/>
    <w:rsid w:val="00433356"/>
    <w:rsid w:val="0043348D"/>
    <w:rsid w:val="004334DF"/>
    <w:rsid w:val="004335ED"/>
    <w:rsid w:val="0043374E"/>
    <w:rsid w:val="004337AC"/>
    <w:rsid w:val="004338F7"/>
    <w:rsid w:val="00433ACF"/>
    <w:rsid w:val="00433B34"/>
    <w:rsid w:val="00433D25"/>
    <w:rsid w:val="00433E96"/>
    <w:rsid w:val="00433F18"/>
    <w:rsid w:val="00433FD2"/>
    <w:rsid w:val="0043403E"/>
    <w:rsid w:val="00434124"/>
    <w:rsid w:val="0043413C"/>
    <w:rsid w:val="0043446C"/>
    <w:rsid w:val="004345E9"/>
    <w:rsid w:val="0043460D"/>
    <w:rsid w:val="00434958"/>
    <w:rsid w:val="00434AAA"/>
    <w:rsid w:val="00434C0D"/>
    <w:rsid w:val="00434C24"/>
    <w:rsid w:val="00434DF0"/>
    <w:rsid w:val="00434E43"/>
    <w:rsid w:val="00434F29"/>
    <w:rsid w:val="0043501E"/>
    <w:rsid w:val="00435151"/>
    <w:rsid w:val="004351D5"/>
    <w:rsid w:val="0043523B"/>
    <w:rsid w:val="0043525D"/>
    <w:rsid w:val="004352CA"/>
    <w:rsid w:val="004353B3"/>
    <w:rsid w:val="00435465"/>
    <w:rsid w:val="0043551A"/>
    <w:rsid w:val="00435535"/>
    <w:rsid w:val="004355C8"/>
    <w:rsid w:val="00435643"/>
    <w:rsid w:val="0043567C"/>
    <w:rsid w:val="004356BB"/>
    <w:rsid w:val="004358BF"/>
    <w:rsid w:val="004359FB"/>
    <w:rsid w:val="00435BD8"/>
    <w:rsid w:val="00435D12"/>
    <w:rsid w:val="00435EAB"/>
    <w:rsid w:val="00435EEF"/>
    <w:rsid w:val="00436234"/>
    <w:rsid w:val="00436478"/>
    <w:rsid w:val="0043659A"/>
    <w:rsid w:val="004365EC"/>
    <w:rsid w:val="00436703"/>
    <w:rsid w:val="004367F4"/>
    <w:rsid w:val="00436886"/>
    <w:rsid w:val="004368CF"/>
    <w:rsid w:val="00436A2B"/>
    <w:rsid w:val="00436A4C"/>
    <w:rsid w:val="00436B16"/>
    <w:rsid w:val="00436BEF"/>
    <w:rsid w:val="00436CFF"/>
    <w:rsid w:val="00436D0B"/>
    <w:rsid w:val="0043701B"/>
    <w:rsid w:val="00437093"/>
    <w:rsid w:val="004370D3"/>
    <w:rsid w:val="004371C5"/>
    <w:rsid w:val="0043736C"/>
    <w:rsid w:val="00437468"/>
    <w:rsid w:val="00437491"/>
    <w:rsid w:val="0043760C"/>
    <w:rsid w:val="00437653"/>
    <w:rsid w:val="0043769C"/>
    <w:rsid w:val="004377C0"/>
    <w:rsid w:val="00437837"/>
    <w:rsid w:val="00437991"/>
    <w:rsid w:val="00437AAB"/>
    <w:rsid w:val="00437B6F"/>
    <w:rsid w:val="00437CD1"/>
    <w:rsid w:val="00437E55"/>
    <w:rsid w:val="00437ED3"/>
    <w:rsid w:val="00437F0D"/>
    <w:rsid w:val="00437F2E"/>
    <w:rsid w:val="004392A1"/>
    <w:rsid w:val="00440274"/>
    <w:rsid w:val="00440331"/>
    <w:rsid w:val="0044037B"/>
    <w:rsid w:val="004403D8"/>
    <w:rsid w:val="00440475"/>
    <w:rsid w:val="004404DB"/>
    <w:rsid w:val="00440502"/>
    <w:rsid w:val="0044085B"/>
    <w:rsid w:val="004408A5"/>
    <w:rsid w:val="00440925"/>
    <w:rsid w:val="00440BD6"/>
    <w:rsid w:val="00440D64"/>
    <w:rsid w:val="00440D6A"/>
    <w:rsid w:val="0044100C"/>
    <w:rsid w:val="0044112D"/>
    <w:rsid w:val="0044155F"/>
    <w:rsid w:val="004415CE"/>
    <w:rsid w:val="004416A1"/>
    <w:rsid w:val="004417DE"/>
    <w:rsid w:val="0044180E"/>
    <w:rsid w:val="0044184C"/>
    <w:rsid w:val="00441953"/>
    <w:rsid w:val="00441A35"/>
    <w:rsid w:val="00441AE2"/>
    <w:rsid w:val="00441B01"/>
    <w:rsid w:val="00441D30"/>
    <w:rsid w:val="00441DA3"/>
    <w:rsid w:val="00441DB1"/>
    <w:rsid w:val="00441F62"/>
    <w:rsid w:val="00442067"/>
    <w:rsid w:val="00442072"/>
    <w:rsid w:val="00442219"/>
    <w:rsid w:val="0044250A"/>
    <w:rsid w:val="00442613"/>
    <w:rsid w:val="00442805"/>
    <w:rsid w:val="00442919"/>
    <w:rsid w:val="00442A67"/>
    <w:rsid w:val="00442C9F"/>
    <w:rsid w:val="00442D08"/>
    <w:rsid w:val="00442EDD"/>
    <w:rsid w:val="00442F2C"/>
    <w:rsid w:val="004430B9"/>
    <w:rsid w:val="00443345"/>
    <w:rsid w:val="004434AC"/>
    <w:rsid w:val="0044359A"/>
    <w:rsid w:val="004435B0"/>
    <w:rsid w:val="004436E8"/>
    <w:rsid w:val="0044373A"/>
    <w:rsid w:val="00443796"/>
    <w:rsid w:val="00443799"/>
    <w:rsid w:val="00443910"/>
    <w:rsid w:val="00443996"/>
    <w:rsid w:val="004439E4"/>
    <w:rsid w:val="00443B9D"/>
    <w:rsid w:val="00443EE7"/>
    <w:rsid w:val="00444037"/>
    <w:rsid w:val="00444163"/>
    <w:rsid w:val="004441EF"/>
    <w:rsid w:val="00444204"/>
    <w:rsid w:val="00444536"/>
    <w:rsid w:val="0044459D"/>
    <w:rsid w:val="004446D5"/>
    <w:rsid w:val="004447B5"/>
    <w:rsid w:val="0044485C"/>
    <w:rsid w:val="00444926"/>
    <w:rsid w:val="004449CF"/>
    <w:rsid w:val="00444B85"/>
    <w:rsid w:val="00444C60"/>
    <w:rsid w:val="00444D03"/>
    <w:rsid w:val="00444D21"/>
    <w:rsid w:val="00444E1D"/>
    <w:rsid w:val="00444E63"/>
    <w:rsid w:val="00444E69"/>
    <w:rsid w:val="00444E8E"/>
    <w:rsid w:val="00444F43"/>
    <w:rsid w:val="004450E9"/>
    <w:rsid w:val="004451B6"/>
    <w:rsid w:val="0044528C"/>
    <w:rsid w:val="0044531A"/>
    <w:rsid w:val="00445453"/>
    <w:rsid w:val="0044545C"/>
    <w:rsid w:val="004454EB"/>
    <w:rsid w:val="00445622"/>
    <w:rsid w:val="004457BE"/>
    <w:rsid w:val="00445859"/>
    <w:rsid w:val="004459EC"/>
    <w:rsid w:val="00445A4B"/>
    <w:rsid w:val="00445ACF"/>
    <w:rsid w:val="00445D50"/>
    <w:rsid w:val="00445F8F"/>
    <w:rsid w:val="0044601E"/>
    <w:rsid w:val="004460DA"/>
    <w:rsid w:val="00446193"/>
    <w:rsid w:val="004462AF"/>
    <w:rsid w:val="00446365"/>
    <w:rsid w:val="004464A8"/>
    <w:rsid w:val="004466E6"/>
    <w:rsid w:val="004467C9"/>
    <w:rsid w:val="004468CD"/>
    <w:rsid w:val="00446997"/>
    <w:rsid w:val="004469A0"/>
    <w:rsid w:val="00446B3C"/>
    <w:rsid w:val="00446BE0"/>
    <w:rsid w:val="00446C49"/>
    <w:rsid w:val="00446C70"/>
    <w:rsid w:val="00446E36"/>
    <w:rsid w:val="00446EB2"/>
    <w:rsid w:val="00447018"/>
    <w:rsid w:val="004471C0"/>
    <w:rsid w:val="004471DF"/>
    <w:rsid w:val="0044729C"/>
    <w:rsid w:val="004473D0"/>
    <w:rsid w:val="0044753B"/>
    <w:rsid w:val="00447650"/>
    <w:rsid w:val="004476F0"/>
    <w:rsid w:val="00447889"/>
    <w:rsid w:val="004478F5"/>
    <w:rsid w:val="004479C2"/>
    <w:rsid w:val="004479CC"/>
    <w:rsid w:val="00447A40"/>
    <w:rsid w:val="004500EE"/>
    <w:rsid w:val="004501D9"/>
    <w:rsid w:val="00450210"/>
    <w:rsid w:val="004502E6"/>
    <w:rsid w:val="00450376"/>
    <w:rsid w:val="0045044E"/>
    <w:rsid w:val="004504EC"/>
    <w:rsid w:val="00450592"/>
    <w:rsid w:val="004505E2"/>
    <w:rsid w:val="004505E3"/>
    <w:rsid w:val="00450938"/>
    <w:rsid w:val="00450A6E"/>
    <w:rsid w:val="00450DA0"/>
    <w:rsid w:val="00450EA0"/>
    <w:rsid w:val="00450F2C"/>
    <w:rsid w:val="00451070"/>
    <w:rsid w:val="00451120"/>
    <w:rsid w:val="0045115E"/>
    <w:rsid w:val="004512DD"/>
    <w:rsid w:val="00451323"/>
    <w:rsid w:val="00451499"/>
    <w:rsid w:val="004514A9"/>
    <w:rsid w:val="004514DB"/>
    <w:rsid w:val="004515FB"/>
    <w:rsid w:val="00451607"/>
    <w:rsid w:val="00451676"/>
    <w:rsid w:val="004516F3"/>
    <w:rsid w:val="004517B8"/>
    <w:rsid w:val="004517BE"/>
    <w:rsid w:val="004518E9"/>
    <w:rsid w:val="00451C34"/>
    <w:rsid w:val="00451D70"/>
    <w:rsid w:val="004522F8"/>
    <w:rsid w:val="0045236E"/>
    <w:rsid w:val="00452541"/>
    <w:rsid w:val="00452587"/>
    <w:rsid w:val="00452600"/>
    <w:rsid w:val="0045263A"/>
    <w:rsid w:val="00452725"/>
    <w:rsid w:val="0045284F"/>
    <w:rsid w:val="0045297C"/>
    <w:rsid w:val="00452AD0"/>
    <w:rsid w:val="00452B45"/>
    <w:rsid w:val="00452FA7"/>
    <w:rsid w:val="00453285"/>
    <w:rsid w:val="004533E6"/>
    <w:rsid w:val="00453630"/>
    <w:rsid w:val="00453655"/>
    <w:rsid w:val="004536C8"/>
    <w:rsid w:val="00453710"/>
    <w:rsid w:val="004538B7"/>
    <w:rsid w:val="004539A5"/>
    <w:rsid w:val="004539B7"/>
    <w:rsid w:val="00453A13"/>
    <w:rsid w:val="00453BF7"/>
    <w:rsid w:val="00453D2D"/>
    <w:rsid w:val="00453DF6"/>
    <w:rsid w:val="00453E1A"/>
    <w:rsid w:val="00454105"/>
    <w:rsid w:val="004541D1"/>
    <w:rsid w:val="004541ED"/>
    <w:rsid w:val="0045433B"/>
    <w:rsid w:val="004544A7"/>
    <w:rsid w:val="00454575"/>
    <w:rsid w:val="0045461A"/>
    <w:rsid w:val="00454630"/>
    <w:rsid w:val="004548A9"/>
    <w:rsid w:val="00454A21"/>
    <w:rsid w:val="00454B64"/>
    <w:rsid w:val="00454B66"/>
    <w:rsid w:val="00454DC3"/>
    <w:rsid w:val="00454E60"/>
    <w:rsid w:val="00454E73"/>
    <w:rsid w:val="00454E96"/>
    <w:rsid w:val="00454F70"/>
    <w:rsid w:val="004550EA"/>
    <w:rsid w:val="00455276"/>
    <w:rsid w:val="00455337"/>
    <w:rsid w:val="004553BE"/>
    <w:rsid w:val="004556B0"/>
    <w:rsid w:val="0045571C"/>
    <w:rsid w:val="00455925"/>
    <w:rsid w:val="00455994"/>
    <w:rsid w:val="00455A46"/>
    <w:rsid w:val="00455B13"/>
    <w:rsid w:val="00455BFF"/>
    <w:rsid w:val="00455E44"/>
    <w:rsid w:val="00455FDD"/>
    <w:rsid w:val="00456033"/>
    <w:rsid w:val="004560EA"/>
    <w:rsid w:val="004561CA"/>
    <w:rsid w:val="00456299"/>
    <w:rsid w:val="004563CE"/>
    <w:rsid w:val="0045655C"/>
    <w:rsid w:val="0045681A"/>
    <w:rsid w:val="004568D4"/>
    <w:rsid w:val="0045690D"/>
    <w:rsid w:val="004569AD"/>
    <w:rsid w:val="00456A4E"/>
    <w:rsid w:val="00456B17"/>
    <w:rsid w:val="00456BF2"/>
    <w:rsid w:val="00456D57"/>
    <w:rsid w:val="00456D7A"/>
    <w:rsid w:val="00456DEE"/>
    <w:rsid w:val="00456EE3"/>
    <w:rsid w:val="00456F30"/>
    <w:rsid w:val="00456F3D"/>
    <w:rsid w:val="00456F84"/>
    <w:rsid w:val="004570D3"/>
    <w:rsid w:val="00457187"/>
    <w:rsid w:val="004573B0"/>
    <w:rsid w:val="004574DF"/>
    <w:rsid w:val="00457558"/>
    <w:rsid w:val="0045761D"/>
    <w:rsid w:val="00457841"/>
    <w:rsid w:val="004578A1"/>
    <w:rsid w:val="004578B1"/>
    <w:rsid w:val="00457C2E"/>
    <w:rsid w:val="00457D7D"/>
    <w:rsid w:val="00457DE1"/>
    <w:rsid w:val="00457E6E"/>
    <w:rsid w:val="00457E8A"/>
    <w:rsid w:val="00460092"/>
    <w:rsid w:val="0046020C"/>
    <w:rsid w:val="0046026C"/>
    <w:rsid w:val="00460382"/>
    <w:rsid w:val="00460435"/>
    <w:rsid w:val="00460591"/>
    <w:rsid w:val="004605FA"/>
    <w:rsid w:val="004607FA"/>
    <w:rsid w:val="00460A13"/>
    <w:rsid w:val="00460AB4"/>
    <w:rsid w:val="00460B30"/>
    <w:rsid w:val="00460F40"/>
    <w:rsid w:val="004611A9"/>
    <w:rsid w:val="0046120C"/>
    <w:rsid w:val="00461303"/>
    <w:rsid w:val="0046132C"/>
    <w:rsid w:val="00461345"/>
    <w:rsid w:val="00461349"/>
    <w:rsid w:val="004613BF"/>
    <w:rsid w:val="004613E2"/>
    <w:rsid w:val="004619DB"/>
    <w:rsid w:val="00461CCA"/>
    <w:rsid w:val="00461F34"/>
    <w:rsid w:val="00462053"/>
    <w:rsid w:val="0046210A"/>
    <w:rsid w:val="0046219D"/>
    <w:rsid w:val="0046226D"/>
    <w:rsid w:val="00462603"/>
    <w:rsid w:val="00462750"/>
    <w:rsid w:val="004627D4"/>
    <w:rsid w:val="0046288A"/>
    <w:rsid w:val="00462A6A"/>
    <w:rsid w:val="00462A8D"/>
    <w:rsid w:val="00462C50"/>
    <w:rsid w:val="00462D5A"/>
    <w:rsid w:val="00462ED6"/>
    <w:rsid w:val="00462EDD"/>
    <w:rsid w:val="00462F41"/>
    <w:rsid w:val="00463114"/>
    <w:rsid w:val="00463165"/>
    <w:rsid w:val="004631CA"/>
    <w:rsid w:val="0046323D"/>
    <w:rsid w:val="00463306"/>
    <w:rsid w:val="00463554"/>
    <w:rsid w:val="00463561"/>
    <w:rsid w:val="00463657"/>
    <w:rsid w:val="0046382B"/>
    <w:rsid w:val="00463926"/>
    <w:rsid w:val="00463928"/>
    <w:rsid w:val="0046399D"/>
    <w:rsid w:val="00463A00"/>
    <w:rsid w:val="00463A58"/>
    <w:rsid w:val="00463AB3"/>
    <w:rsid w:val="00463AB5"/>
    <w:rsid w:val="00463BE6"/>
    <w:rsid w:val="00463C09"/>
    <w:rsid w:val="00463C56"/>
    <w:rsid w:val="00463E05"/>
    <w:rsid w:val="00463E17"/>
    <w:rsid w:val="00463ED3"/>
    <w:rsid w:val="00463F42"/>
    <w:rsid w:val="0046402E"/>
    <w:rsid w:val="004640B4"/>
    <w:rsid w:val="0046415F"/>
    <w:rsid w:val="00464167"/>
    <w:rsid w:val="00464454"/>
    <w:rsid w:val="00464477"/>
    <w:rsid w:val="004645A6"/>
    <w:rsid w:val="00464625"/>
    <w:rsid w:val="004646E6"/>
    <w:rsid w:val="004646F6"/>
    <w:rsid w:val="0046477A"/>
    <w:rsid w:val="00464880"/>
    <w:rsid w:val="00464947"/>
    <w:rsid w:val="00464CE9"/>
    <w:rsid w:val="00464CF9"/>
    <w:rsid w:val="00464D22"/>
    <w:rsid w:val="00464D23"/>
    <w:rsid w:val="00464DCE"/>
    <w:rsid w:val="00464E3F"/>
    <w:rsid w:val="00464FAE"/>
    <w:rsid w:val="00464FB5"/>
    <w:rsid w:val="00465061"/>
    <w:rsid w:val="004650AE"/>
    <w:rsid w:val="0046529A"/>
    <w:rsid w:val="004652FA"/>
    <w:rsid w:val="00465492"/>
    <w:rsid w:val="004654D8"/>
    <w:rsid w:val="004655F7"/>
    <w:rsid w:val="00465643"/>
    <w:rsid w:val="00465B96"/>
    <w:rsid w:val="00465BF0"/>
    <w:rsid w:val="00465C40"/>
    <w:rsid w:val="00465DA4"/>
    <w:rsid w:val="0046630F"/>
    <w:rsid w:val="00466697"/>
    <w:rsid w:val="004666CC"/>
    <w:rsid w:val="004666F0"/>
    <w:rsid w:val="00466825"/>
    <w:rsid w:val="0046687D"/>
    <w:rsid w:val="004668E1"/>
    <w:rsid w:val="00466959"/>
    <w:rsid w:val="0046696D"/>
    <w:rsid w:val="00466A7A"/>
    <w:rsid w:val="00466A9C"/>
    <w:rsid w:val="00466D49"/>
    <w:rsid w:val="00466DF6"/>
    <w:rsid w:val="00466F38"/>
    <w:rsid w:val="00466F85"/>
    <w:rsid w:val="0046744D"/>
    <w:rsid w:val="004675EC"/>
    <w:rsid w:val="00467622"/>
    <w:rsid w:val="00467810"/>
    <w:rsid w:val="00467978"/>
    <w:rsid w:val="004679A0"/>
    <w:rsid w:val="00467ACE"/>
    <w:rsid w:val="00467ADE"/>
    <w:rsid w:val="00467B7C"/>
    <w:rsid w:val="00467C3E"/>
    <w:rsid w:val="00467C8A"/>
    <w:rsid w:val="00467D27"/>
    <w:rsid w:val="00467E65"/>
    <w:rsid w:val="00467E6F"/>
    <w:rsid w:val="00467F3E"/>
    <w:rsid w:val="00467FBB"/>
    <w:rsid w:val="00470058"/>
    <w:rsid w:val="0047006D"/>
    <w:rsid w:val="00470135"/>
    <w:rsid w:val="004701E9"/>
    <w:rsid w:val="004703A3"/>
    <w:rsid w:val="00470675"/>
    <w:rsid w:val="0047070C"/>
    <w:rsid w:val="004707D7"/>
    <w:rsid w:val="004707FF"/>
    <w:rsid w:val="00470856"/>
    <w:rsid w:val="00470920"/>
    <w:rsid w:val="004709B2"/>
    <w:rsid w:val="00470B76"/>
    <w:rsid w:val="00471078"/>
    <w:rsid w:val="004711BD"/>
    <w:rsid w:val="004711D5"/>
    <w:rsid w:val="00471332"/>
    <w:rsid w:val="0047148D"/>
    <w:rsid w:val="004715E3"/>
    <w:rsid w:val="004719C0"/>
    <w:rsid w:val="00471A2A"/>
    <w:rsid w:val="00471A7B"/>
    <w:rsid w:val="00471B1D"/>
    <w:rsid w:val="00471CE1"/>
    <w:rsid w:val="00471EF8"/>
    <w:rsid w:val="00471FA4"/>
    <w:rsid w:val="0047211A"/>
    <w:rsid w:val="00472371"/>
    <w:rsid w:val="0047237F"/>
    <w:rsid w:val="004723FD"/>
    <w:rsid w:val="00472503"/>
    <w:rsid w:val="00472572"/>
    <w:rsid w:val="00472A2F"/>
    <w:rsid w:val="00472B12"/>
    <w:rsid w:val="00472BA4"/>
    <w:rsid w:val="00472BBF"/>
    <w:rsid w:val="00472C87"/>
    <w:rsid w:val="00472CBD"/>
    <w:rsid w:val="00472F0F"/>
    <w:rsid w:val="00472F55"/>
    <w:rsid w:val="00472FAE"/>
    <w:rsid w:val="00472FC3"/>
    <w:rsid w:val="0047305D"/>
    <w:rsid w:val="004730C8"/>
    <w:rsid w:val="00473372"/>
    <w:rsid w:val="00473513"/>
    <w:rsid w:val="004735A5"/>
    <w:rsid w:val="00473755"/>
    <w:rsid w:val="004737C5"/>
    <w:rsid w:val="004737EC"/>
    <w:rsid w:val="0047382F"/>
    <w:rsid w:val="00473914"/>
    <w:rsid w:val="00473A1F"/>
    <w:rsid w:val="00473A6C"/>
    <w:rsid w:val="00473A97"/>
    <w:rsid w:val="00473AD3"/>
    <w:rsid w:val="00473B0A"/>
    <w:rsid w:val="00473BD7"/>
    <w:rsid w:val="00473C30"/>
    <w:rsid w:val="00473C56"/>
    <w:rsid w:val="00473EFC"/>
    <w:rsid w:val="00473F40"/>
    <w:rsid w:val="00474070"/>
    <w:rsid w:val="00474099"/>
    <w:rsid w:val="004741BD"/>
    <w:rsid w:val="0047429A"/>
    <w:rsid w:val="00474440"/>
    <w:rsid w:val="004746FD"/>
    <w:rsid w:val="0047471E"/>
    <w:rsid w:val="00474877"/>
    <w:rsid w:val="004748EA"/>
    <w:rsid w:val="004748EF"/>
    <w:rsid w:val="00474BD6"/>
    <w:rsid w:val="00474C9E"/>
    <w:rsid w:val="00474E2C"/>
    <w:rsid w:val="00474EB5"/>
    <w:rsid w:val="00474F5C"/>
    <w:rsid w:val="00474F84"/>
    <w:rsid w:val="00474F98"/>
    <w:rsid w:val="0047518E"/>
    <w:rsid w:val="00475242"/>
    <w:rsid w:val="00475284"/>
    <w:rsid w:val="0047559F"/>
    <w:rsid w:val="00475764"/>
    <w:rsid w:val="004758BF"/>
    <w:rsid w:val="004758C8"/>
    <w:rsid w:val="004758E9"/>
    <w:rsid w:val="00475A24"/>
    <w:rsid w:val="00475BDC"/>
    <w:rsid w:val="00475BFD"/>
    <w:rsid w:val="00475C93"/>
    <w:rsid w:val="00475CD8"/>
    <w:rsid w:val="00475D0D"/>
    <w:rsid w:val="00475D3F"/>
    <w:rsid w:val="00475E02"/>
    <w:rsid w:val="00475EA0"/>
    <w:rsid w:val="00475F28"/>
    <w:rsid w:val="00475F94"/>
    <w:rsid w:val="004762E6"/>
    <w:rsid w:val="004763F4"/>
    <w:rsid w:val="00476504"/>
    <w:rsid w:val="00476799"/>
    <w:rsid w:val="00476AEC"/>
    <w:rsid w:val="00476B09"/>
    <w:rsid w:val="00476EDD"/>
    <w:rsid w:val="00476FA7"/>
    <w:rsid w:val="00477242"/>
    <w:rsid w:val="0047727A"/>
    <w:rsid w:val="00477292"/>
    <w:rsid w:val="00477343"/>
    <w:rsid w:val="00477349"/>
    <w:rsid w:val="0047734D"/>
    <w:rsid w:val="0047751B"/>
    <w:rsid w:val="00477574"/>
    <w:rsid w:val="004775A1"/>
    <w:rsid w:val="004775B3"/>
    <w:rsid w:val="0047760E"/>
    <w:rsid w:val="00477646"/>
    <w:rsid w:val="00477852"/>
    <w:rsid w:val="00477A11"/>
    <w:rsid w:val="00477CEB"/>
    <w:rsid w:val="00477EB0"/>
    <w:rsid w:val="00477EDF"/>
    <w:rsid w:val="00477F08"/>
    <w:rsid w:val="00477FFB"/>
    <w:rsid w:val="00478538"/>
    <w:rsid w:val="0048001A"/>
    <w:rsid w:val="0048004C"/>
    <w:rsid w:val="004801A1"/>
    <w:rsid w:val="004801DA"/>
    <w:rsid w:val="00480232"/>
    <w:rsid w:val="00480268"/>
    <w:rsid w:val="00480342"/>
    <w:rsid w:val="004803B8"/>
    <w:rsid w:val="00480569"/>
    <w:rsid w:val="004806DC"/>
    <w:rsid w:val="0048072D"/>
    <w:rsid w:val="004807A1"/>
    <w:rsid w:val="00480B30"/>
    <w:rsid w:val="00480C0B"/>
    <w:rsid w:val="00480DCC"/>
    <w:rsid w:val="00480E71"/>
    <w:rsid w:val="0048112D"/>
    <w:rsid w:val="00481159"/>
    <w:rsid w:val="0048137C"/>
    <w:rsid w:val="00481422"/>
    <w:rsid w:val="00481447"/>
    <w:rsid w:val="004814EE"/>
    <w:rsid w:val="0048153B"/>
    <w:rsid w:val="00481552"/>
    <w:rsid w:val="00481631"/>
    <w:rsid w:val="0048169A"/>
    <w:rsid w:val="00481800"/>
    <w:rsid w:val="00481810"/>
    <w:rsid w:val="00481815"/>
    <w:rsid w:val="00481A0D"/>
    <w:rsid w:val="00481A82"/>
    <w:rsid w:val="00481AD4"/>
    <w:rsid w:val="00481C15"/>
    <w:rsid w:val="00481DBF"/>
    <w:rsid w:val="00481ECA"/>
    <w:rsid w:val="00481F48"/>
    <w:rsid w:val="00481FFB"/>
    <w:rsid w:val="00482031"/>
    <w:rsid w:val="004820AE"/>
    <w:rsid w:val="004820BD"/>
    <w:rsid w:val="004821EA"/>
    <w:rsid w:val="00482215"/>
    <w:rsid w:val="0048225C"/>
    <w:rsid w:val="004822DB"/>
    <w:rsid w:val="00482441"/>
    <w:rsid w:val="004825D6"/>
    <w:rsid w:val="004825DD"/>
    <w:rsid w:val="004828AC"/>
    <w:rsid w:val="004829CF"/>
    <w:rsid w:val="00482B02"/>
    <w:rsid w:val="00482B1E"/>
    <w:rsid w:val="00482DF6"/>
    <w:rsid w:val="00482E1B"/>
    <w:rsid w:val="00483031"/>
    <w:rsid w:val="00483104"/>
    <w:rsid w:val="00483160"/>
    <w:rsid w:val="004833B6"/>
    <w:rsid w:val="004833D2"/>
    <w:rsid w:val="00483648"/>
    <w:rsid w:val="0048369C"/>
    <w:rsid w:val="00483822"/>
    <w:rsid w:val="004838DD"/>
    <w:rsid w:val="00483978"/>
    <w:rsid w:val="004839E8"/>
    <w:rsid w:val="00483A65"/>
    <w:rsid w:val="00483A8E"/>
    <w:rsid w:val="00483BC1"/>
    <w:rsid w:val="00483C1D"/>
    <w:rsid w:val="00483C64"/>
    <w:rsid w:val="00483CC5"/>
    <w:rsid w:val="00483D43"/>
    <w:rsid w:val="00483D7C"/>
    <w:rsid w:val="00483D7F"/>
    <w:rsid w:val="00483F4F"/>
    <w:rsid w:val="00484454"/>
    <w:rsid w:val="0048447C"/>
    <w:rsid w:val="004844E2"/>
    <w:rsid w:val="0048458E"/>
    <w:rsid w:val="00484606"/>
    <w:rsid w:val="0048461F"/>
    <w:rsid w:val="00484691"/>
    <w:rsid w:val="004847D7"/>
    <w:rsid w:val="00484853"/>
    <w:rsid w:val="004848D1"/>
    <w:rsid w:val="004848F9"/>
    <w:rsid w:val="00484B0E"/>
    <w:rsid w:val="00484BFC"/>
    <w:rsid w:val="00484D05"/>
    <w:rsid w:val="00484D37"/>
    <w:rsid w:val="00484E47"/>
    <w:rsid w:val="00484F67"/>
    <w:rsid w:val="0048508C"/>
    <w:rsid w:val="00485296"/>
    <w:rsid w:val="00485575"/>
    <w:rsid w:val="00485680"/>
    <w:rsid w:val="0048577D"/>
    <w:rsid w:val="004857D5"/>
    <w:rsid w:val="004857D7"/>
    <w:rsid w:val="004858A3"/>
    <w:rsid w:val="004858BF"/>
    <w:rsid w:val="004858DE"/>
    <w:rsid w:val="00485C0E"/>
    <w:rsid w:val="00485D34"/>
    <w:rsid w:val="00485D40"/>
    <w:rsid w:val="00485F18"/>
    <w:rsid w:val="00485F66"/>
    <w:rsid w:val="00486253"/>
    <w:rsid w:val="004863A3"/>
    <w:rsid w:val="004863B2"/>
    <w:rsid w:val="004863D9"/>
    <w:rsid w:val="0048642B"/>
    <w:rsid w:val="0048658E"/>
    <w:rsid w:val="00486596"/>
    <w:rsid w:val="004865AC"/>
    <w:rsid w:val="00486724"/>
    <w:rsid w:val="00486957"/>
    <w:rsid w:val="00486BC1"/>
    <w:rsid w:val="00486E7C"/>
    <w:rsid w:val="00486E8C"/>
    <w:rsid w:val="00486EA6"/>
    <w:rsid w:val="004873A3"/>
    <w:rsid w:val="00487431"/>
    <w:rsid w:val="0048744C"/>
    <w:rsid w:val="0048748E"/>
    <w:rsid w:val="00487558"/>
    <w:rsid w:val="0048758D"/>
    <w:rsid w:val="00487667"/>
    <w:rsid w:val="004876EF"/>
    <w:rsid w:val="00487778"/>
    <w:rsid w:val="00487864"/>
    <w:rsid w:val="004879B0"/>
    <w:rsid w:val="00487A43"/>
    <w:rsid w:val="00487AF3"/>
    <w:rsid w:val="00487BD1"/>
    <w:rsid w:val="00487C16"/>
    <w:rsid w:val="00487C7B"/>
    <w:rsid w:val="00487D16"/>
    <w:rsid w:val="00487D30"/>
    <w:rsid w:val="00487E67"/>
    <w:rsid w:val="00490082"/>
    <w:rsid w:val="004900AA"/>
    <w:rsid w:val="004900E4"/>
    <w:rsid w:val="0049018C"/>
    <w:rsid w:val="004902DB"/>
    <w:rsid w:val="004902E3"/>
    <w:rsid w:val="00490343"/>
    <w:rsid w:val="0049058A"/>
    <w:rsid w:val="004905C3"/>
    <w:rsid w:val="004906F2"/>
    <w:rsid w:val="0049082E"/>
    <w:rsid w:val="00490861"/>
    <w:rsid w:val="00490900"/>
    <w:rsid w:val="00490920"/>
    <w:rsid w:val="00490AA3"/>
    <w:rsid w:val="00490AF9"/>
    <w:rsid w:val="00490C28"/>
    <w:rsid w:val="00490CE6"/>
    <w:rsid w:val="00490D83"/>
    <w:rsid w:val="00491030"/>
    <w:rsid w:val="0049104C"/>
    <w:rsid w:val="0049122B"/>
    <w:rsid w:val="00491232"/>
    <w:rsid w:val="00491247"/>
    <w:rsid w:val="004912FA"/>
    <w:rsid w:val="00491335"/>
    <w:rsid w:val="0049143E"/>
    <w:rsid w:val="0049161F"/>
    <w:rsid w:val="00491622"/>
    <w:rsid w:val="00491653"/>
    <w:rsid w:val="004916E6"/>
    <w:rsid w:val="0049195D"/>
    <w:rsid w:val="00491A83"/>
    <w:rsid w:val="00491DF7"/>
    <w:rsid w:val="00491E5C"/>
    <w:rsid w:val="00491F1F"/>
    <w:rsid w:val="00491F6F"/>
    <w:rsid w:val="00491F7D"/>
    <w:rsid w:val="0049204D"/>
    <w:rsid w:val="004920EA"/>
    <w:rsid w:val="00492167"/>
    <w:rsid w:val="004922A1"/>
    <w:rsid w:val="004922FB"/>
    <w:rsid w:val="00492405"/>
    <w:rsid w:val="00492504"/>
    <w:rsid w:val="00492939"/>
    <w:rsid w:val="004929BF"/>
    <w:rsid w:val="004929F6"/>
    <w:rsid w:val="00492AC7"/>
    <w:rsid w:val="00492B78"/>
    <w:rsid w:val="00492D60"/>
    <w:rsid w:val="00492FFF"/>
    <w:rsid w:val="00493007"/>
    <w:rsid w:val="0049315A"/>
    <w:rsid w:val="00493323"/>
    <w:rsid w:val="00493345"/>
    <w:rsid w:val="00493610"/>
    <w:rsid w:val="00493747"/>
    <w:rsid w:val="00493934"/>
    <w:rsid w:val="00493995"/>
    <w:rsid w:val="004939B9"/>
    <w:rsid w:val="004939F4"/>
    <w:rsid w:val="00493AC6"/>
    <w:rsid w:val="00493B4E"/>
    <w:rsid w:val="00493B7A"/>
    <w:rsid w:val="00493BBE"/>
    <w:rsid w:val="00493EF4"/>
    <w:rsid w:val="004940FE"/>
    <w:rsid w:val="0049425D"/>
    <w:rsid w:val="0049457D"/>
    <w:rsid w:val="004948CC"/>
    <w:rsid w:val="00494918"/>
    <w:rsid w:val="00494946"/>
    <w:rsid w:val="00494A58"/>
    <w:rsid w:val="00494B7A"/>
    <w:rsid w:val="00494DE5"/>
    <w:rsid w:val="00494E5B"/>
    <w:rsid w:val="0049519C"/>
    <w:rsid w:val="00495247"/>
    <w:rsid w:val="00495323"/>
    <w:rsid w:val="0049558B"/>
    <w:rsid w:val="00495659"/>
    <w:rsid w:val="00495814"/>
    <w:rsid w:val="00495877"/>
    <w:rsid w:val="004958D5"/>
    <w:rsid w:val="004959CF"/>
    <w:rsid w:val="00495A29"/>
    <w:rsid w:val="00495BC4"/>
    <w:rsid w:val="00495D97"/>
    <w:rsid w:val="00495E41"/>
    <w:rsid w:val="00495EC7"/>
    <w:rsid w:val="00496011"/>
    <w:rsid w:val="004960B7"/>
    <w:rsid w:val="004960D7"/>
    <w:rsid w:val="004961B1"/>
    <w:rsid w:val="004961D6"/>
    <w:rsid w:val="004962BA"/>
    <w:rsid w:val="0049634B"/>
    <w:rsid w:val="00496385"/>
    <w:rsid w:val="004964EC"/>
    <w:rsid w:val="00496585"/>
    <w:rsid w:val="004965E0"/>
    <w:rsid w:val="004965FE"/>
    <w:rsid w:val="00496731"/>
    <w:rsid w:val="00496841"/>
    <w:rsid w:val="00496B1D"/>
    <w:rsid w:val="00496BF1"/>
    <w:rsid w:val="00496E02"/>
    <w:rsid w:val="00496E2C"/>
    <w:rsid w:val="00496F75"/>
    <w:rsid w:val="00496F7C"/>
    <w:rsid w:val="004971A8"/>
    <w:rsid w:val="004971FE"/>
    <w:rsid w:val="00497266"/>
    <w:rsid w:val="004972F3"/>
    <w:rsid w:val="00497328"/>
    <w:rsid w:val="00497707"/>
    <w:rsid w:val="0049774F"/>
    <w:rsid w:val="004977F9"/>
    <w:rsid w:val="00497B16"/>
    <w:rsid w:val="00497BEC"/>
    <w:rsid w:val="00497DA3"/>
    <w:rsid w:val="00497DF2"/>
    <w:rsid w:val="00497F25"/>
    <w:rsid w:val="00497FDE"/>
    <w:rsid w:val="004A0529"/>
    <w:rsid w:val="004A06F4"/>
    <w:rsid w:val="004A0859"/>
    <w:rsid w:val="004A0C51"/>
    <w:rsid w:val="004A10E9"/>
    <w:rsid w:val="004A1148"/>
    <w:rsid w:val="004A1159"/>
    <w:rsid w:val="004A1195"/>
    <w:rsid w:val="004A11B2"/>
    <w:rsid w:val="004A11BF"/>
    <w:rsid w:val="004A13C5"/>
    <w:rsid w:val="004A14D6"/>
    <w:rsid w:val="004A1579"/>
    <w:rsid w:val="004A16D8"/>
    <w:rsid w:val="004A1747"/>
    <w:rsid w:val="004A17CA"/>
    <w:rsid w:val="004A1831"/>
    <w:rsid w:val="004A1889"/>
    <w:rsid w:val="004A1ADC"/>
    <w:rsid w:val="004A1AFB"/>
    <w:rsid w:val="004A1BC1"/>
    <w:rsid w:val="004A1BD8"/>
    <w:rsid w:val="004A1CF1"/>
    <w:rsid w:val="004A1D98"/>
    <w:rsid w:val="004A1DA3"/>
    <w:rsid w:val="004A1E64"/>
    <w:rsid w:val="004A22B3"/>
    <w:rsid w:val="004A2666"/>
    <w:rsid w:val="004A27C2"/>
    <w:rsid w:val="004A282D"/>
    <w:rsid w:val="004A2A09"/>
    <w:rsid w:val="004A2CA8"/>
    <w:rsid w:val="004A2F62"/>
    <w:rsid w:val="004A305B"/>
    <w:rsid w:val="004A31DA"/>
    <w:rsid w:val="004A3277"/>
    <w:rsid w:val="004A334A"/>
    <w:rsid w:val="004A33DD"/>
    <w:rsid w:val="004A34E9"/>
    <w:rsid w:val="004A34EC"/>
    <w:rsid w:val="004A3580"/>
    <w:rsid w:val="004A3778"/>
    <w:rsid w:val="004A379B"/>
    <w:rsid w:val="004A387A"/>
    <w:rsid w:val="004A3B6A"/>
    <w:rsid w:val="004A3D2F"/>
    <w:rsid w:val="004A3E98"/>
    <w:rsid w:val="004A3EF3"/>
    <w:rsid w:val="004A3F7C"/>
    <w:rsid w:val="004A4084"/>
    <w:rsid w:val="004A441A"/>
    <w:rsid w:val="004A4534"/>
    <w:rsid w:val="004A46F2"/>
    <w:rsid w:val="004A47C6"/>
    <w:rsid w:val="004A489B"/>
    <w:rsid w:val="004A4905"/>
    <w:rsid w:val="004A4932"/>
    <w:rsid w:val="004A493A"/>
    <w:rsid w:val="004A4957"/>
    <w:rsid w:val="004A49D9"/>
    <w:rsid w:val="004A49F7"/>
    <w:rsid w:val="004A4BF5"/>
    <w:rsid w:val="004A4D22"/>
    <w:rsid w:val="004A4D32"/>
    <w:rsid w:val="004A4D3F"/>
    <w:rsid w:val="004A4DAC"/>
    <w:rsid w:val="004A4E04"/>
    <w:rsid w:val="004A4EE8"/>
    <w:rsid w:val="004A4F13"/>
    <w:rsid w:val="004A50EB"/>
    <w:rsid w:val="004A51AD"/>
    <w:rsid w:val="004A5339"/>
    <w:rsid w:val="004A53F3"/>
    <w:rsid w:val="004A553F"/>
    <w:rsid w:val="004A55D1"/>
    <w:rsid w:val="004A5607"/>
    <w:rsid w:val="004A56DD"/>
    <w:rsid w:val="004A56E2"/>
    <w:rsid w:val="004A5747"/>
    <w:rsid w:val="004A597C"/>
    <w:rsid w:val="004A5A46"/>
    <w:rsid w:val="004A5CF0"/>
    <w:rsid w:val="004A5D9E"/>
    <w:rsid w:val="004A5DC8"/>
    <w:rsid w:val="004A5E9A"/>
    <w:rsid w:val="004A5F21"/>
    <w:rsid w:val="004A60D6"/>
    <w:rsid w:val="004A6379"/>
    <w:rsid w:val="004A64AE"/>
    <w:rsid w:val="004A64C1"/>
    <w:rsid w:val="004A650C"/>
    <w:rsid w:val="004A665B"/>
    <w:rsid w:val="004A6A35"/>
    <w:rsid w:val="004A6AC2"/>
    <w:rsid w:val="004A6ADA"/>
    <w:rsid w:val="004A6B99"/>
    <w:rsid w:val="004A6BBA"/>
    <w:rsid w:val="004A6D6F"/>
    <w:rsid w:val="004A6DFF"/>
    <w:rsid w:val="004A6E29"/>
    <w:rsid w:val="004A6EE2"/>
    <w:rsid w:val="004A6F64"/>
    <w:rsid w:val="004A6F70"/>
    <w:rsid w:val="004A6FA9"/>
    <w:rsid w:val="004A70ED"/>
    <w:rsid w:val="004A716A"/>
    <w:rsid w:val="004A71F7"/>
    <w:rsid w:val="004A7216"/>
    <w:rsid w:val="004A72BA"/>
    <w:rsid w:val="004A7346"/>
    <w:rsid w:val="004A7401"/>
    <w:rsid w:val="004A74B6"/>
    <w:rsid w:val="004A75F2"/>
    <w:rsid w:val="004A762A"/>
    <w:rsid w:val="004A76D5"/>
    <w:rsid w:val="004A7931"/>
    <w:rsid w:val="004A79D6"/>
    <w:rsid w:val="004A79EB"/>
    <w:rsid w:val="004A7A12"/>
    <w:rsid w:val="004A7AA5"/>
    <w:rsid w:val="004A7BBE"/>
    <w:rsid w:val="004A7F39"/>
    <w:rsid w:val="004A7F7D"/>
    <w:rsid w:val="004B00C3"/>
    <w:rsid w:val="004B0104"/>
    <w:rsid w:val="004B034B"/>
    <w:rsid w:val="004B04E7"/>
    <w:rsid w:val="004B053E"/>
    <w:rsid w:val="004B0614"/>
    <w:rsid w:val="004B064A"/>
    <w:rsid w:val="004B0727"/>
    <w:rsid w:val="004B0AB2"/>
    <w:rsid w:val="004B0B26"/>
    <w:rsid w:val="004B0B51"/>
    <w:rsid w:val="004B0B7B"/>
    <w:rsid w:val="004B0D8F"/>
    <w:rsid w:val="004B0DB3"/>
    <w:rsid w:val="004B0DE8"/>
    <w:rsid w:val="004B0EE6"/>
    <w:rsid w:val="004B0F1B"/>
    <w:rsid w:val="004B0FF9"/>
    <w:rsid w:val="004B1134"/>
    <w:rsid w:val="004B12B8"/>
    <w:rsid w:val="004B138C"/>
    <w:rsid w:val="004B13D1"/>
    <w:rsid w:val="004B159A"/>
    <w:rsid w:val="004B1654"/>
    <w:rsid w:val="004B16CA"/>
    <w:rsid w:val="004B16FE"/>
    <w:rsid w:val="004B17CD"/>
    <w:rsid w:val="004B1B63"/>
    <w:rsid w:val="004B1C09"/>
    <w:rsid w:val="004B1E52"/>
    <w:rsid w:val="004B1EDD"/>
    <w:rsid w:val="004B213A"/>
    <w:rsid w:val="004B213F"/>
    <w:rsid w:val="004B22C0"/>
    <w:rsid w:val="004B23E7"/>
    <w:rsid w:val="004B2B0A"/>
    <w:rsid w:val="004B2BA4"/>
    <w:rsid w:val="004B2BD2"/>
    <w:rsid w:val="004B2C05"/>
    <w:rsid w:val="004B2E49"/>
    <w:rsid w:val="004B2F6D"/>
    <w:rsid w:val="004B30AC"/>
    <w:rsid w:val="004B3151"/>
    <w:rsid w:val="004B31DB"/>
    <w:rsid w:val="004B32BC"/>
    <w:rsid w:val="004B3340"/>
    <w:rsid w:val="004B33E4"/>
    <w:rsid w:val="004B3400"/>
    <w:rsid w:val="004B34AF"/>
    <w:rsid w:val="004B351E"/>
    <w:rsid w:val="004B3520"/>
    <w:rsid w:val="004B3561"/>
    <w:rsid w:val="004B368E"/>
    <w:rsid w:val="004B36B0"/>
    <w:rsid w:val="004B37C3"/>
    <w:rsid w:val="004B386F"/>
    <w:rsid w:val="004B389D"/>
    <w:rsid w:val="004B38A8"/>
    <w:rsid w:val="004B3901"/>
    <w:rsid w:val="004B3989"/>
    <w:rsid w:val="004B3E8C"/>
    <w:rsid w:val="004B3EF6"/>
    <w:rsid w:val="004B40BD"/>
    <w:rsid w:val="004B4154"/>
    <w:rsid w:val="004B432A"/>
    <w:rsid w:val="004B4432"/>
    <w:rsid w:val="004B4434"/>
    <w:rsid w:val="004B453F"/>
    <w:rsid w:val="004B458B"/>
    <w:rsid w:val="004B464B"/>
    <w:rsid w:val="004B46DE"/>
    <w:rsid w:val="004B4767"/>
    <w:rsid w:val="004B4792"/>
    <w:rsid w:val="004B47B6"/>
    <w:rsid w:val="004B47D5"/>
    <w:rsid w:val="004B486F"/>
    <w:rsid w:val="004B4986"/>
    <w:rsid w:val="004B4B41"/>
    <w:rsid w:val="004B4C0B"/>
    <w:rsid w:val="004B4D9F"/>
    <w:rsid w:val="004B4DB6"/>
    <w:rsid w:val="004B4EB2"/>
    <w:rsid w:val="004B4F3E"/>
    <w:rsid w:val="004B5021"/>
    <w:rsid w:val="004B50FE"/>
    <w:rsid w:val="004B510B"/>
    <w:rsid w:val="004B5123"/>
    <w:rsid w:val="004B512D"/>
    <w:rsid w:val="004B532D"/>
    <w:rsid w:val="004B5511"/>
    <w:rsid w:val="004B56A7"/>
    <w:rsid w:val="004B56AA"/>
    <w:rsid w:val="004B56BB"/>
    <w:rsid w:val="004B5706"/>
    <w:rsid w:val="004B57D4"/>
    <w:rsid w:val="004B585C"/>
    <w:rsid w:val="004B5987"/>
    <w:rsid w:val="004B5BFF"/>
    <w:rsid w:val="004B5D0C"/>
    <w:rsid w:val="004B5D48"/>
    <w:rsid w:val="004B5E1B"/>
    <w:rsid w:val="004B5E93"/>
    <w:rsid w:val="004B5ECC"/>
    <w:rsid w:val="004B5F4A"/>
    <w:rsid w:val="004B60EA"/>
    <w:rsid w:val="004B617D"/>
    <w:rsid w:val="004B6213"/>
    <w:rsid w:val="004B640E"/>
    <w:rsid w:val="004B6468"/>
    <w:rsid w:val="004B64BB"/>
    <w:rsid w:val="004B64CE"/>
    <w:rsid w:val="004B65E7"/>
    <w:rsid w:val="004B66DD"/>
    <w:rsid w:val="004B6754"/>
    <w:rsid w:val="004B6771"/>
    <w:rsid w:val="004B6858"/>
    <w:rsid w:val="004B6AC2"/>
    <w:rsid w:val="004B6BB2"/>
    <w:rsid w:val="004B6C6E"/>
    <w:rsid w:val="004B6E71"/>
    <w:rsid w:val="004B6EC3"/>
    <w:rsid w:val="004B740F"/>
    <w:rsid w:val="004B74CA"/>
    <w:rsid w:val="004B75C2"/>
    <w:rsid w:val="004B766E"/>
    <w:rsid w:val="004B789E"/>
    <w:rsid w:val="004B799F"/>
    <w:rsid w:val="004B7A13"/>
    <w:rsid w:val="004B7A7F"/>
    <w:rsid w:val="004B7B01"/>
    <w:rsid w:val="004B7B75"/>
    <w:rsid w:val="004B7CA7"/>
    <w:rsid w:val="004B7CCA"/>
    <w:rsid w:val="004B7CFC"/>
    <w:rsid w:val="004B7D78"/>
    <w:rsid w:val="004B7EE9"/>
    <w:rsid w:val="004BA0D1"/>
    <w:rsid w:val="004C011E"/>
    <w:rsid w:val="004C01AB"/>
    <w:rsid w:val="004C02DE"/>
    <w:rsid w:val="004C034A"/>
    <w:rsid w:val="004C0405"/>
    <w:rsid w:val="004C0536"/>
    <w:rsid w:val="004C0579"/>
    <w:rsid w:val="004C0611"/>
    <w:rsid w:val="004C0719"/>
    <w:rsid w:val="004C08AC"/>
    <w:rsid w:val="004C0983"/>
    <w:rsid w:val="004C0B13"/>
    <w:rsid w:val="004C0C11"/>
    <w:rsid w:val="004C107A"/>
    <w:rsid w:val="004C1186"/>
    <w:rsid w:val="004C12A7"/>
    <w:rsid w:val="004C1352"/>
    <w:rsid w:val="004C13D8"/>
    <w:rsid w:val="004C1528"/>
    <w:rsid w:val="004C15F3"/>
    <w:rsid w:val="004C16FD"/>
    <w:rsid w:val="004C18E3"/>
    <w:rsid w:val="004C1961"/>
    <w:rsid w:val="004C1F81"/>
    <w:rsid w:val="004C1FA4"/>
    <w:rsid w:val="004C1FEA"/>
    <w:rsid w:val="004C218F"/>
    <w:rsid w:val="004C21A9"/>
    <w:rsid w:val="004C21C3"/>
    <w:rsid w:val="004C23DE"/>
    <w:rsid w:val="004C24D3"/>
    <w:rsid w:val="004C24DD"/>
    <w:rsid w:val="004C25FB"/>
    <w:rsid w:val="004C262D"/>
    <w:rsid w:val="004C2672"/>
    <w:rsid w:val="004C269E"/>
    <w:rsid w:val="004C2715"/>
    <w:rsid w:val="004C274B"/>
    <w:rsid w:val="004C291D"/>
    <w:rsid w:val="004C2B23"/>
    <w:rsid w:val="004C2C0F"/>
    <w:rsid w:val="004C2F21"/>
    <w:rsid w:val="004C301B"/>
    <w:rsid w:val="004C30BF"/>
    <w:rsid w:val="004C32FF"/>
    <w:rsid w:val="004C34FC"/>
    <w:rsid w:val="004C355C"/>
    <w:rsid w:val="004C3942"/>
    <w:rsid w:val="004C3C66"/>
    <w:rsid w:val="004C3D3D"/>
    <w:rsid w:val="004C3D92"/>
    <w:rsid w:val="004C3DB3"/>
    <w:rsid w:val="004C3DD9"/>
    <w:rsid w:val="004C3E4B"/>
    <w:rsid w:val="004C3FCA"/>
    <w:rsid w:val="004C401D"/>
    <w:rsid w:val="004C408C"/>
    <w:rsid w:val="004C4095"/>
    <w:rsid w:val="004C4215"/>
    <w:rsid w:val="004C4447"/>
    <w:rsid w:val="004C4448"/>
    <w:rsid w:val="004C44C5"/>
    <w:rsid w:val="004C458E"/>
    <w:rsid w:val="004C4738"/>
    <w:rsid w:val="004C47FC"/>
    <w:rsid w:val="004C4837"/>
    <w:rsid w:val="004C49AD"/>
    <w:rsid w:val="004C4C48"/>
    <w:rsid w:val="004C4E06"/>
    <w:rsid w:val="004C505D"/>
    <w:rsid w:val="004C50BD"/>
    <w:rsid w:val="004C53FE"/>
    <w:rsid w:val="004C5421"/>
    <w:rsid w:val="004C54D7"/>
    <w:rsid w:val="004C553F"/>
    <w:rsid w:val="004C5575"/>
    <w:rsid w:val="004C567A"/>
    <w:rsid w:val="004C5A65"/>
    <w:rsid w:val="004C5A8C"/>
    <w:rsid w:val="004C5B5B"/>
    <w:rsid w:val="004C5CA5"/>
    <w:rsid w:val="004C5ECA"/>
    <w:rsid w:val="004C607D"/>
    <w:rsid w:val="004C60C0"/>
    <w:rsid w:val="004C6194"/>
    <w:rsid w:val="004C61D0"/>
    <w:rsid w:val="004C61FC"/>
    <w:rsid w:val="004C62D8"/>
    <w:rsid w:val="004C6580"/>
    <w:rsid w:val="004C6796"/>
    <w:rsid w:val="004C68FC"/>
    <w:rsid w:val="004C69B5"/>
    <w:rsid w:val="004C69DB"/>
    <w:rsid w:val="004C6A66"/>
    <w:rsid w:val="004C6B43"/>
    <w:rsid w:val="004C6C34"/>
    <w:rsid w:val="004C6D0B"/>
    <w:rsid w:val="004C6F3C"/>
    <w:rsid w:val="004C7442"/>
    <w:rsid w:val="004C7464"/>
    <w:rsid w:val="004C7467"/>
    <w:rsid w:val="004C75AE"/>
    <w:rsid w:val="004C7619"/>
    <w:rsid w:val="004C766B"/>
    <w:rsid w:val="004C7A9B"/>
    <w:rsid w:val="004C7AE3"/>
    <w:rsid w:val="004C7BF7"/>
    <w:rsid w:val="004C7D80"/>
    <w:rsid w:val="004C7E93"/>
    <w:rsid w:val="004C7EB7"/>
    <w:rsid w:val="004C7ECE"/>
    <w:rsid w:val="004C7F17"/>
    <w:rsid w:val="004C7F32"/>
    <w:rsid w:val="004C7F3C"/>
    <w:rsid w:val="004D0015"/>
    <w:rsid w:val="004D0186"/>
    <w:rsid w:val="004D03FB"/>
    <w:rsid w:val="004D0447"/>
    <w:rsid w:val="004D04C3"/>
    <w:rsid w:val="004D04DB"/>
    <w:rsid w:val="004D06B3"/>
    <w:rsid w:val="004D07B6"/>
    <w:rsid w:val="004D08DD"/>
    <w:rsid w:val="004D098F"/>
    <w:rsid w:val="004D09EF"/>
    <w:rsid w:val="004D09FB"/>
    <w:rsid w:val="004D0A67"/>
    <w:rsid w:val="004D0ABD"/>
    <w:rsid w:val="004D0B6F"/>
    <w:rsid w:val="004D0BA5"/>
    <w:rsid w:val="004D0C4D"/>
    <w:rsid w:val="004D0ED4"/>
    <w:rsid w:val="004D0FEF"/>
    <w:rsid w:val="004D1131"/>
    <w:rsid w:val="004D1329"/>
    <w:rsid w:val="004D13DE"/>
    <w:rsid w:val="004D1453"/>
    <w:rsid w:val="004D1580"/>
    <w:rsid w:val="004D1614"/>
    <w:rsid w:val="004D171A"/>
    <w:rsid w:val="004D17E8"/>
    <w:rsid w:val="004D18F9"/>
    <w:rsid w:val="004D1D91"/>
    <w:rsid w:val="004D1E93"/>
    <w:rsid w:val="004D1F28"/>
    <w:rsid w:val="004D1FAC"/>
    <w:rsid w:val="004D2059"/>
    <w:rsid w:val="004D211A"/>
    <w:rsid w:val="004D2192"/>
    <w:rsid w:val="004D21EB"/>
    <w:rsid w:val="004D222C"/>
    <w:rsid w:val="004D226A"/>
    <w:rsid w:val="004D2288"/>
    <w:rsid w:val="004D2408"/>
    <w:rsid w:val="004D2438"/>
    <w:rsid w:val="004D25CC"/>
    <w:rsid w:val="004D26E1"/>
    <w:rsid w:val="004D2746"/>
    <w:rsid w:val="004D2997"/>
    <w:rsid w:val="004D29AF"/>
    <w:rsid w:val="004D2A09"/>
    <w:rsid w:val="004D2AC9"/>
    <w:rsid w:val="004D2CAD"/>
    <w:rsid w:val="004D2D42"/>
    <w:rsid w:val="004D2E3C"/>
    <w:rsid w:val="004D2E77"/>
    <w:rsid w:val="004D2E8A"/>
    <w:rsid w:val="004D2ED4"/>
    <w:rsid w:val="004D307B"/>
    <w:rsid w:val="004D3268"/>
    <w:rsid w:val="004D339E"/>
    <w:rsid w:val="004D33D3"/>
    <w:rsid w:val="004D33E4"/>
    <w:rsid w:val="004D346F"/>
    <w:rsid w:val="004D3484"/>
    <w:rsid w:val="004D36C2"/>
    <w:rsid w:val="004D36DE"/>
    <w:rsid w:val="004D3765"/>
    <w:rsid w:val="004D381A"/>
    <w:rsid w:val="004D3A2B"/>
    <w:rsid w:val="004D3D57"/>
    <w:rsid w:val="004D3E1C"/>
    <w:rsid w:val="004D3E71"/>
    <w:rsid w:val="004D4078"/>
    <w:rsid w:val="004D41F3"/>
    <w:rsid w:val="004D4359"/>
    <w:rsid w:val="004D43B6"/>
    <w:rsid w:val="004D43CB"/>
    <w:rsid w:val="004D43F1"/>
    <w:rsid w:val="004D472A"/>
    <w:rsid w:val="004D474A"/>
    <w:rsid w:val="004D47A4"/>
    <w:rsid w:val="004D4992"/>
    <w:rsid w:val="004D49EE"/>
    <w:rsid w:val="004D4B73"/>
    <w:rsid w:val="004D4FD8"/>
    <w:rsid w:val="004D5004"/>
    <w:rsid w:val="004D51DB"/>
    <w:rsid w:val="004D524B"/>
    <w:rsid w:val="004D5350"/>
    <w:rsid w:val="004D536B"/>
    <w:rsid w:val="004D5380"/>
    <w:rsid w:val="004D547B"/>
    <w:rsid w:val="004D54E3"/>
    <w:rsid w:val="004D55BA"/>
    <w:rsid w:val="004D58E3"/>
    <w:rsid w:val="004D596C"/>
    <w:rsid w:val="004D5984"/>
    <w:rsid w:val="004D5AD1"/>
    <w:rsid w:val="004D5B4B"/>
    <w:rsid w:val="004D5C38"/>
    <w:rsid w:val="004D5E79"/>
    <w:rsid w:val="004D5FC3"/>
    <w:rsid w:val="004D6013"/>
    <w:rsid w:val="004D604F"/>
    <w:rsid w:val="004D6328"/>
    <w:rsid w:val="004D64D5"/>
    <w:rsid w:val="004D659C"/>
    <w:rsid w:val="004D6692"/>
    <w:rsid w:val="004D6696"/>
    <w:rsid w:val="004D6711"/>
    <w:rsid w:val="004D6866"/>
    <w:rsid w:val="004D6888"/>
    <w:rsid w:val="004D68A0"/>
    <w:rsid w:val="004D68B1"/>
    <w:rsid w:val="004D69DB"/>
    <w:rsid w:val="004D6B54"/>
    <w:rsid w:val="004D6CF3"/>
    <w:rsid w:val="004D6D5C"/>
    <w:rsid w:val="004D6F40"/>
    <w:rsid w:val="004D6F9A"/>
    <w:rsid w:val="004D6FC2"/>
    <w:rsid w:val="004D70AF"/>
    <w:rsid w:val="004D70EC"/>
    <w:rsid w:val="004D72CA"/>
    <w:rsid w:val="004D7510"/>
    <w:rsid w:val="004D752A"/>
    <w:rsid w:val="004D7559"/>
    <w:rsid w:val="004D7783"/>
    <w:rsid w:val="004D77C5"/>
    <w:rsid w:val="004D79FB"/>
    <w:rsid w:val="004D7A43"/>
    <w:rsid w:val="004D7BD8"/>
    <w:rsid w:val="004D7C9D"/>
    <w:rsid w:val="004D7CC0"/>
    <w:rsid w:val="004D7DBA"/>
    <w:rsid w:val="004D7DF8"/>
    <w:rsid w:val="004D7F1E"/>
    <w:rsid w:val="004D7F59"/>
    <w:rsid w:val="004E000F"/>
    <w:rsid w:val="004E00A2"/>
    <w:rsid w:val="004E0180"/>
    <w:rsid w:val="004E0262"/>
    <w:rsid w:val="004E0278"/>
    <w:rsid w:val="004E02A0"/>
    <w:rsid w:val="004E03D5"/>
    <w:rsid w:val="004E0427"/>
    <w:rsid w:val="004E04F8"/>
    <w:rsid w:val="004E06EF"/>
    <w:rsid w:val="004E0926"/>
    <w:rsid w:val="004E0B42"/>
    <w:rsid w:val="004E0BE0"/>
    <w:rsid w:val="004E0CCB"/>
    <w:rsid w:val="004E0EDB"/>
    <w:rsid w:val="004E1087"/>
    <w:rsid w:val="004E10ED"/>
    <w:rsid w:val="004E1234"/>
    <w:rsid w:val="004E140D"/>
    <w:rsid w:val="004E155F"/>
    <w:rsid w:val="004E156E"/>
    <w:rsid w:val="004E182E"/>
    <w:rsid w:val="004E18F1"/>
    <w:rsid w:val="004E190D"/>
    <w:rsid w:val="004E1990"/>
    <w:rsid w:val="004E19EA"/>
    <w:rsid w:val="004E1A11"/>
    <w:rsid w:val="004E1B9A"/>
    <w:rsid w:val="004E1C6C"/>
    <w:rsid w:val="004E1F95"/>
    <w:rsid w:val="004E20EF"/>
    <w:rsid w:val="004E228E"/>
    <w:rsid w:val="004E22CC"/>
    <w:rsid w:val="004E2423"/>
    <w:rsid w:val="004E256C"/>
    <w:rsid w:val="004E2588"/>
    <w:rsid w:val="004E2684"/>
    <w:rsid w:val="004E27B0"/>
    <w:rsid w:val="004E27C7"/>
    <w:rsid w:val="004E28E3"/>
    <w:rsid w:val="004E29D9"/>
    <w:rsid w:val="004E2AC3"/>
    <w:rsid w:val="004E2E6D"/>
    <w:rsid w:val="004E2EEC"/>
    <w:rsid w:val="004E3000"/>
    <w:rsid w:val="004E3007"/>
    <w:rsid w:val="004E30C7"/>
    <w:rsid w:val="004E30F1"/>
    <w:rsid w:val="004E32A9"/>
    <w:rsid w:val="004E32C5"/>
    <w:rsid w:val="004E3309"/>
    <w:rsid w:val="004E3371"/>
    <w:rsid w:val="004E33CB"/>
    <w:rsid w:val="004E37A0"/>
    <w:rsid w:val="004E384B"/>
    <w:rsid w:val="004E39AD"/>
    <w:rsid w:val="004E3A14"/>
    <w:rsid w:val="004E3BCE"/>
    <w:rsid w:val="004E3BFB"/>
    <w:rsid w:val="004E3F5E"/>
    <w:rsid w:val="004E4217"/>
    <w:rsid w:val="004E4347"/>
    <w:rsid w:val="004E45D0"/>
    <w:rsid w:val="004E46F5"/>
    <w:rsid w:val="004E4B7B"/>
    <w:rsid w:val="004E4B82"/>
    <w:rsid w:val="004E4C87"/>
    <w:rsid w:val="004E4D22"/>
    <w:rsid w:val="004E4D75"/>
    <w:rsid w:val="004E4E61"/>
    <w:rsid w:val="004E5070"/>
    <w:rsid w:val="004E517A"/>
    <w:rsid w:val="004E539D"/>
    <w:rsid w:val="004E5402"/>
    <w:rsid w:val="004E5512"/>
    <w:rsid w:val="004E5687"/>
    <w:rsid w:val="004E56E9"/>
    <w:rsid w:val="004E57B3"/>
    <w:rsid w:val="004E57E8"/>
    <w:rsid w:val="004E58E8"/>
    <w:rsid w:val="004E5992"/>
    <w:rsid w:val="004E59B7"/>
    <w:rsid w:val="004E59C9"/>
    <w:rsid w:val="004E59FA"/>
    <w:rsid w:val="004E5BA5"/>
    <w:rsid w:val="004E5BBA"/>
    <w:rsid w:val="004E5BF3"/>
    <w:rsid w:val="004E5C15"/>
    <w:rsid w:val="004E5C80"/>
    <w:rsid w:val="004E5C85"/>
    <w:rsid w:val="004E5CCC"/>
    <w:rsid w:val="004E5E7C"/>
    <w:rsid w:val="004E5F41"/>
    <w:rsid w:val="004E5F7E"/>
    <w:rsid w:val="004E637E"/>
    <w:rsid w:val="004E64EE"/>
    <w:rsid w:val="004E64F5"/>
    <w:rsid w:val="004E65A0"/>
    <w:rsid w:val="004E6765"/>
    <w:rsid w:val="004E67F9"/>
    <w:rsid w:val="004E68EC"/>
    <w:rsid w:val="004E6A75"/>
    <w:rsid w:val="004E6A7A"/>
    <w:rsid w:val="004E6B08"/>
    <w:rsid w:val="004E6BF7"/>
    <w:rsid w:val="004E6D4C"/>
    <w:rsid w:val="004E6DE5"/>
    <w:rsid w:val="004E6F50"/>
    <w:rsid w:val="004E6F6F"/>
    <w:rsid w:val="004E6FAB"/>
    <w:rsid w:val="004E714A"/>
    <w:rsid w:val="004E725F"/>
    <w:rsid w:val="004E741D"/>
    <w:rsid w:val="004E75F2"/>
    <w:rsid w:val="004E7708"/>
    <w:rsid w:val="004E7895"/>
    <w:rsid w:val="004E7896"/>
    <w:rsid w:val="004E795D"/>
    <w:rsid w:val="004E7973"/>
    <w:rsid w:val="004E7C4A"/>
    <w:rsid w:val="004E7E73"/>
    <w:rsid w:val="004E7F44"/>
    <w:rsid w:val="004F019D"/>
    <w:rsid w:val="004F021F"/>
    <w:rsid w:val="004F0347"/>
    <w:rsid w:val="004F04BD"/>
    <w:rsid w:val="004F04DB"/>
    <w:rsid w:val="004F053A"/>
    <w:rsid w:val="004F064D"/>
    <w:rsid w:val="004F0830"/>
    <w:rsid w:val="004F083F"/>
    <w:rsid w:val="004F0842"/>
    <w:rsid w:val="004F0881"/>
    <w:rsid w:val="004F0919"/>
    <w:rsid w:val="004F09AD"/>
    <w:rsid w:val="004F0A92"/>
    <w:rsid w:val="004F0B7F"/>
    <w:rsid w:val="004F0CF3"/>
    <w:rsid w:val="004F0D40"/>
    <w:rsid w:val="004F0D5C"/>
    <w:rsid w:val="004F0F06"/>
    <w:rsid w:val="004F0FCC"/>
    <w:rsid w:val="004F115F"/>
    <w:rsid w:val="004F11C5"/>
    <w:rsid w:val="004F11C8"/>
    <w:rsid w:val="004F128C"/>
    <w:rsid w:val="004F1338"/>
    <w:rsid w:val="004F1376"/>
    <w:rsid w:val="004F13F0"/>
    <w:rsid w:val="004F140B"/>
    <w:rsid w:val="004F159F"/>
    <w:rsid w:val="004F15AB"/>
    <w:rsid w:val="004F162C"/>
    <w:rsid w:val="004F1695"/>
    <w:rsid w:val="004F1852"/>
    <w:rsid w:val="004F1899"/>
    <w:rsid w:val="004F1911"/>
    <w:rsid w:val="004F19A1"/>
    <w:rsid w:val="004F1A56"/>
    <w:rsid w:val="004F1C14"/>
    <w:rsid w:val="004F1D48"/>
    <w:rsid w:val="004F1DF9"/>
    <w:rsid w:val="004F1FB2"/>
    <w:rsid w:val="004F1FC9"/>
    <w:rsid w:val="004F2105"/>
    <w:rsid w:val="004F2347"/>
    <w:rsid w:val="004F2541"/>
    <w:rsid w:val="004F27B1"/>
    <w:rsid w:val="004F2817"/>
    <w:rsid w:val="004F28CB"/>
    <w:rsid w:val="004F2A4F"/>
    <w:rsid w:val="004F2BC0"/>
    <w:rsid w:val="004F2CB2"/>
    <w:rsid w:val="004F3084"/>
    <w:rsid w:val="004F324F"/>
    <w:rsid w:val="004F336C"/>
    <w:rsid w:val="004F3498"/>
    <w:rsid w:val="004F349C"/>
    <w:rsid w:val="004F3574"/>
    <w:rsid w:val="004F35A7"/>
    <w:rsid w:val="004F3776"/>
    <w:rsid w:val="004F382E"/>
    <w:rsid w:val="004F398B"/>
    <w:rsid w:val="004F398E"/>
    <w:rsid w:val="004F3991"/>
    <w:rsid w:val="004F3A85"/>
    <w:rsid w:val="004F3D22"/>
    <w:rsid w:val="004F43A9"/>
    <w:rsid w:val="004F48B5"/>
    <w:rsid w:val="004F4969"/>
    <w:rsid w:val="004F4A92"/>
    <w:rsid w:val="004F4B1D"/>
    <w:rsid w:val="004F4C65"/>
    <w:rsid w:val="004F4CF7"/>
    <w:rsid w:val="004F4DAD"/>
    <w:rsid w:val="004F4F32"/>
    <w:rsid w:val="004F506D"/>
    <w:rsid w:val="004F508B"/>
    <w:rsid w:val="004F5144"/>
    <w:rsid w:val="004F521D"/>
    <w:rsid w:val="004F5296"/>
    <w:rsid w:val="004F5352"/>
    <w:rsid w:val="004F53EE"/>
    <w:rsid w:val="004F554B"/>
    <w:rsid w:val="004F575E"/>
    <w:rsid w:val="004F5767"/>
    <w:rsid w:val="004F588E"/>
    <w:rsid w:val="004F5C2C"/>
    <w:rsid w:val="004F5E0A"/>
    <w:rsid w:val="004F5E7E"/>
    <w:rsid w:val="004F5E96"/>
    <w:rsid w:val="004F6442"/>
    <w:rsid w:val="004F6486"/>
    <w:rsid w:val="004F6536"/>
    <w:rsid w:val="004F655C"/>
    <w:rsid w:val="004F674C"/>
    <w:rsid w:val="004F67E7"/>
    <w:rsid w:val="004F6B28"/>
    <w:rsid w:val="004F6BA6"/>
    <w:rsid w:val="004F6CA3"/>
    <w:rsid w:val="004F6E70"/>
    <w:rsid w:val="004F6F19"/>
    <w:rsid w:val="004F6FB4"/>
    <w:rsid w:val="004F6FE3"/>
    <w:rsid w:val="004F72C7"/>
    <w:rsid w:val="004F7551"/>
    <w:rsid w:val="004F7657"/>
    <w:rsid w:val="004F7D21"/>
    <w:rsid w:val="004F7E06"/>
    <w:rsid w:val="004F7F9C"/>
    <w:rsid w:val="005002ED"/>
    <w:rsid w:val="005004BE"/>
    <w:rsid w:val="00500598"/>
    <w:rsid w:val="00500603"/>
    <w:rsid w:val="0050060E"/>
    <w:rsid w:val="00500787"/>
    <w:rsid w:val="0050078A"/>
    <w:rsid w:val="005007CB"/>
    <w:rsid w:val="005009BA"/>
    <w:rsid w:val="00500BA4"/>
    <w:rsid w:val="00500C2F"/>
    <w:rsid w:val="00500F82"/>
    <w:rsid w:val="0050100A"/>
    <w:rsid w:val="00501023"/>
    <w:rsid w:val="00501107"/>
    <w:rsid w:val="0050146B"/>
    <w:rsid w:val="00501532"/>
    <w:rsid w:val="00501844"/>
    <w:rsid w:val="0050190C"/>
    <w:rsid w:val="00501A62"/>
    <w:rsid w:val="00501B72"/>
    <w:rsid w:val="00501C52"/>
    <w:rsid w:val="00501DB6"/>
    <w:rsid w:val="00501ECB"/>
    <w:rsid w:val="00502021"/>
    <w:rsid w:val="00502152"/>
    <w:rsid w:val="00502190"/>
    <w:rsid w:val="005021CF"/>
    <w:rsid w:val="005022E6"/>
    <w:rsid w:val="00502444"/>
    <w:rsid w:val="00502572"/>
    <w:rsid w:val="005025B2"/>
    <w:rsid w:val="0050262D"/>
    <w:rsid w:val="00502718"/>
    <w:rsid w:val="0050277E"/>
    <w:rsid w:val="005029A1"/>
    <w:rsid w:val="00502A3C"/>
    <w:rsid w:val="00502B4A"/>
    <w:rsid w:val="00502B5D"/>
    <w:rsid w:val="00502BAF"/>
    <w:rsid w:val="00502BD1"/>
    <w:rsid w:val="00502CA5"/>
    <w:rsid w:val="00502DA6"/>
    <w:rsid w:val="00502EC9"/>
    <w:rsid w:val="00502FBB"/>
    <w:rsid w:val="00503005"/>
    <w:rsid w:val="0050306D"/>
    <w:rsid w:val="00503071"/>
    <w:rsid w:val="005030BC"/>
    <w:rsid w:val="00503120"/>
    <w:rsid w:val="00503146"/>
    <w:rsid w:val="00503248"/>
    <w:rsid w:val="00503439"/>
    <w:rsid w:val="005034F3"/>
    <w:rsid w:val="00503627"/>
    <w:rsid w:val="005036D8"/>
    <w:rsid w:val="00503749"/>
    <w:rsid w:val="0050388B"/>
    <w:rsid w:val="00503A93"/>
    <w:rsid w:val="00503BC6"/>
    <w:rsid w:val="00503CF1"/>
    <w:rsid w:val="00503DB0"/>
    <w:rsid w:val="00503F21"/>
    <w:rsid w:val="00503F25"/>
    <w:rsid w:val="00504132"/>
    <w:rsid w:val="005041FA"/>
    <w:rsid w:val="00504221"/>
    <w:rsid w:val="00504325"/>
    <w:rsid w:val="005043AB"/>
    <w:rsid w:val="00504413"/>
    <w:rsid w:val="0050463D"/>
    <w:rsid w:val="00504729"/>
    <w:rsid w:val="005047A6"/>
    <w:rsid w:val="0050489A"/>
    <w:rsid w:val="005048E2"/>
    <w:rsid w:val="00504912"/>
    <w:rsid w:val="0050491D"/>
    <w:rsid w:val="005049D4"/>
    <w:rsid w:val="00504CFF"/>
    <w:rsid w:val="00504D1E"/>
    <w:rsid w:val="00504D23"/>
    <w:rsid w:val="00504D4E"/>
    <w:rsid w:val="00504DC5"/>
    <w:rsid w:val="00504EE2"/>
    <w:rsid w:val="00505096"/>
    <w:rsid w:val="005050E4"/>
    <w:rsid w:val="0050518E"/>
    <w:rsid w:val="00505326"/>
    <w:rsid w:val="00505361"/>
    <w:rsid w:val="00505545"/>
    <w:rsid w:val="00505581"/>
    <w:rsid w:val="00505593"/>
    <w:rsid w:val="00505807"/>
    <w:rsid w:val="0050584E"/>
    <w:rsid w:val="00505B9C"/>
    <w:rsid w:val="00505D57"/>
    <w:rsid w:val="00505F17"/>
    <w:rsid w:val="00505F58"/>
    <w:rsid w:val="00505F8A"/>
    <w:rsid w:val="00506225"/>
    <w:rsid w:val="0050633B"/>
    <w:rsid w:val="0050635C"/>
    <w:rsid w:val="005069DC"/>
    <w:rsid w:val="00506A2C"/>
    <w:rsid w:val="00506A45"/>
    <w:rsid w:val="00506BD1"/>
    <w:rsid w:val="00506E21"/>
    <w:rsid w:val="00506F53"/>
    <w:rsid w:val="0050700A"/>
    <w:rsid w:val="00507446"/>
    <w:rsid w:val="00507498"/>
    <w:rsid w:val="0050756E"/>
    <w:rsid w:val="005075B1"/>
    <w:rsid w:val="00507640"/>
    <w:rsid w:val="005076D0"/>
    <w:rsid w:val="00507720"/>
    <w:rsid w:val="0050779F"/>
    <w:rsid w:val="0050780F"/>
    <w:rsid w:val="00507832"/>
    <w:rsid w:val="0050795A"/>
    <w:rsid w:val="00507A3B"/>
    <w:rsid w:val="00507D7A"/>
    <w:rsid w:val="00507DDD"/>
    <w:rsid w:val="00507EE7"/>
    <w:rsid w:val="00507F44"/>
    <w:rsid w:val="0051003B"/>
    <w:rsid w:val="0051013B"/>
    <w:rsid w:val="0051013E"/>
    <w:rsid w:val="00510399"/>
    <w:rsid w:val="00510455"/>
    <w:rsid w:val="00510902"/>
    <w:rsid w:val="0051091F"/>
    <w:rsid w:val="00510929"/>
    <w:rsid w:val="00510994"/>
    <w:rsid w:val="00510DCE"/>
    <w:rsid w:val="00510EBA"/>
    <w:rsid w:val="00510FD9"/>
    <w:rsid w:val="00511076"/>
    <w:rsid w:val="005110A6"/>
    <w:rsid w:val="0051132B"/>
    <w:rsid w:val="00511360"/>
    <w:rsid w:val="005113AA"/>
    <w:rsid w:val="00511435"/>
    <w:rsid w:val="005114EA"/>
    <w:rsid w:val="005117DE"/>
    <w:rsid w:val="005118C0"/>
    <w:rsid w:val="0051198A"/>
    <w:rsid w:val="00511AB5"/>
    <w:rsid w:val="00511AF6"/>
    <w:rsid w:val="00511B4E"/>
    <w:rsid w:val="00511B7A"/>
    <w:rsid w:val="00511CC9"/>
    <w:rsid w:val="00511D56"/>
    <w:rsid w:val="00511D8C"/>
    <w:rsid w:val="00511DEC"/>
    <w:rsid w:val="00511E99"/>
    <w:rsid w:val="00511EA9"/>
    <w:rsid w:val="00512014"/>
    <w:rsid w:val="005120AE"/>
    <w:rsid w:val="0051221A"/>
    <w:rsid w:val="0051226E"/>
    <w:rsid w:val="005124BE"/>
    <w:rsid w:val="00512796"/>
    <w:rsid w:val="005127E8"/>
    <w:rsid w:val="00512806"/>
    <w:rsid w:val="0051284F"/>
    <w:rsid w:val="0051285F"/>
    <w:rsid w:val="00512A2B"/>
    <w:rsid w:val="00512AF6"/>
    <w:rsid w:val="00512DD8"/>
    <w:rsid w:val="00512E5F"/>
    <w:rsid w:val="00512F16"/>
    <w:rsid w:val="00512FC2"/>
    <w:rsid w:val="00512FD8"/>
    <w:rsid w:val="00512FFF"/>
    <w:rsid w:val="0051307E"/>
    <w:rsid w:val="005131BA"/>
    <w:rsid w:val="00513423"/>
    <w:rsid w:val="00513463"/>
    <w:rsid w:val="0051350B"/>
    <w:rsid w:val="0051359F"/>
    <w:rsid w:val="00513860"/>
    <w:rsid w:val="005138B6"/>
    <w:rsid w:val="0051394E"/>
    <w:rsid w:val="005139F7"/>
    <w:rsid w:val="00513B56"/>
    <w:rsid w:val="00513BB7"/>
    <w:rsid w:val="00513D65"/>
    <w:rsid w:val="00513DAF"/>
    <w:rsid w:val="00513E18"/>
    <w:rsid w:val="00513F0F"/>
    <w:rsid w:val="00513F23"/>
    <w:rsid w:val="00513FC2"/>
    <w:rsid w:val="00514428"/>
    <w:rsid w:val="0051460E"/>
    <w:rsid w:val="005146C6"/>
    <w:rsid w:val="00514714"/>
    <w:rsid w:val="00514752"/>
    <w:rsid w:val="00514781"/>
    <w:rsid w:val="0051481A"/>
    <w:rsid w:val="00514A04"/>
    <w:rsid w:val="00514B39"/>
    <w:rsid w:val="00514B59"/>
    <w:rsid w:val="00514FD3"/>
    <w:rsid w:val="005151EF"/>
    <w:rsid w:val="00515262"/>
    <w:rsid w:val="0051544B"/>
    <w:rsid w:val="0051571F"/>
    <w:rsid w:val="00515930"/>
    <w:rsid w:val="00515A12"/>
    <w:rsid w:val="00515AC3"/>
    <w:rsid w:val="00515B9F"/>
    <w:rsid w:val="00515BF8"/>
    <w:rsid w:val="00515DCD"/>
    <w:rsid w:val="00515F49"/>
    <w:rsid w:val="005160EB"/>
    <w:rsid w:val="005161CF"/>
    <w:rsid w:val="005161EF"/>
    <w:rsid w:val="005161F8"/>
    <w:rsid w:val="005162C7"/>
    <w:rsid w:val="005162D1"/>
    <w:rsid w:val="00516315"/>
    <w:rsid w:val="00516368"/>
    <w:rsid w:val="0051645E"/>
    <w:rsid w:val="005164B7"/>
    <w:rsid w:val="005164FD"/>
    <w:rsid w:val="00516504"/>
    <w:rsid w:val="00516590"/>
    <w:rsid w:val="00516600"/>
    <w:rsid w:val="0051677A"/>
    <w:rsid w:val="00516783"/>
    <w:rsid w:val="005168F5"/>
    <w:rsid w:val="00516A53"/>
    <w:rsid w:val="00516A5A"/>
    <w:rsid w:val="00516B45"/>
    <w:rsid w:val="00516D16"/>
    <w:rsid w:val="00516D84"/>
    <w:rsid w:val="00516DAD"/>
    <w:rsid w:val="00516E14"/>
    <w:rsid w:val="00516EA6"/>
    <w:rsid w:val="005170E5"/>
    <w:rsid w:val="005172B3"/>
    <w:rsid w:val="00517365"/>
    <w:rsid w:val="00517487"/>
    <w:rsid w:val="005174D9"/>
    <w:rsid w:val="00517764"/>
    <w:rsid w:val="005178C6"/>
    <w:rsid w:val="005179C3"/>
    <w:rsid w:val="00517A15"/>
    <w:rsid w:val="00517A30"/>
    <w:rsid w:val="00517AB8"/>
    <w:rsid w:val="00517B3F"/>
    <w:rsid w:val="00517BBA"/>
    <w:rsid w:val="00517C00"/>
    <w:rsid w:val="00517CD0"/>
    <w:rsid w:val="00517E18"/>
    <w:rsid w:val="00517EB3"/>
    <w:rsid w:val="00517F36"/>
    <w:rsid w:val="00520040"/>
    <w:rsid w:val="005200E7"/>
    <w:rsid w:val="0052032E"/>
    <w:rsid w:val="00520363"/>
    <w:rsid w:val="00520367"/>
    <w:rsid w:val="005203E4"/>
    <w:rsid w:val="00520592"/>
    <w:rsid w:val="005205E9"/>
    <w:rsid w:val="00520631"/>
    <w:rsid w:val="005207E9"/>
    <w:rsid w:val="00520BDB"/>
    <w:rsid w:val="00520EA1"/>
    <w:rsid w:val="00521061"/>
    <w:rsid w:val="00521139"/>
    <w:rsid w:val="0052114D"/>
    <w:rsid w:val="0052117B"/>
    <w:rsid w:val="005211BC"/>
    <w:rsid w:val="0052129E"/>
    <w:rsid w:val="005213FA"/>
    <w:rsid w:val="00521491"/>
    <w:rsid w:val="005216B8"/>
    <w:rsid w:val="0052185E"/>
    <w:rsid w:val="00521866"/>
    <w:rsid w:val="00521A76"/>
    <w:rsid w:val="00521ACB"/>
    <w:rsid w:val="00521B76"/>
    <w:rsid w:val="00521DD8"/>
    <w:rsid w:val="00521E66"/>
    <w:rsid w:val="00521F26"/>
    <w:rsid w:val="00521F34"/>
    <w:rsid w:val="00521FD6"/>
    <w:rsid w:val="0052234E"/>
    <w:rsid w:val="00522438"/>
    <w:rsid w:val="00522505"/>
    <w:rsid w:val="0052253F"/>
    <w:rsid w:val="00522567"/>
    <w:rsid w:val="00522647"/>
    <w:rsid w:val="00522671"/>
    <w:rsid w:val="005226C1"/>
    <w:rsid w:val="005226F1"/>
    <w:rsid w:val="0052284D"/>
    <w:rsid w:val="0052286A"/>
    <w:rsid w:val="0052291F"/>
    <w:rsid w:val="005229E0"/>
    <w:rsid w:val="00522A05"/>
    <w:rsid w:val="00522A27"/>
    <w:rsid w:val="00522ADF"/>
    <w:rsid w:val="00522B6E"/>
    <w:rsid w:val="00522C40"/>
    <w:rsid w:val="00522E2D"/>
    <w:rsid w:val="00522FD6"/>
    <w:rsid w:val="00523050"/>
    <w:rsid w:val="00523196"/>
    <w:rsid w:val="005231CA"/>
    <w:rsid w:val="00523254"/>
    <w:rsid w:val="0052325C"/>
    <w:rsid w:val="005232DF"/>
    <w:rsid w:val="00523492"/>
    <w:rsid w:val="005234AD"/>
    <w:rsid w:val="005235D1"/>
    <w:rsid w:val="0052362E"/>
    <w:rsid w:val="00523686"/>
    <w:rsid w:val="005237ED"/>
    <w:rsid w:val="00523953"/>
    <w:rsid w:val="00523B9F"/>
    <w:rsid w:val="00523BDC"/>
    <w:rsid w:val="00523C29"/>
    <w:rsid w:val="00523D18"/>
    <w:rsid w:val="00523DA1"/>
    <w:rsid w:val="005242E0"/>
    <w:rsid w:val="005243B7"/>
    <w:rsid w:val="00524436"/>
    <w:rsid w:val="00524445"/>
    <w:rsid w:val="005244F2"/>
    <w:rsid w:val="005248EC"/>
    <w:rsid w:val="00524A20"/>
    <w:rsid w:val="00524A62"/>
    <w:rsid w:val="00524AB5"/>
    <w:rsid w:val="00524B01"/>
    <w:rsid w:val="00524B86"/>
    <w:rsid w:val="00524BB1"/>
    <w:rsid w:val="00524C78"/>
    <w:rsid w:val="00524D3A"/>
    <w:rsid w:val="00524D71"/>
    <w:rsid w:val="00524E90"/>
    <w:rsid w:val="005250D7"/>
    <w:rsid w:val="0052512D"/>
    <w:rsid w:val="0052518C"/>
    <w:rsid w:val="0052526B"/>
    <w:rsid w:val="00525571"/>
    <w:rsid w:val="00525598"/>
    <w:rsid w:val="0052560A"/>
    <w:rsid w:val="005256FE"/>
    <w:rsid w:val="00525712"/>
    <w:rsid w:val="005258D2"/>
    <w:rsid w:val="00525A3C"/>
    <w:rsid w:val="00525C6D"/>
    <w:rsid w:val="00525C7A"/>
    <w:rsid w:val="00525D74"/>
    <w:rsid w:val="00525E7C"/>
    <w:rsid w:val="00525F04"/>
    <w:rsid w:val="00525FB6"/>
    <w:rsid w:val="00526185"/>
    <w:rsid w:val="00526212"/>
    <w:rsid w:val="00526248"/>
    <w:rsid w:val="005262DD"/>
    <w:rsid w:val="00526327"/>
    <w:rsid w:val="005266D3"/>
    <w:rsid w:val="0052671B"/>
    <w:rsid w:val="0052684A"/>
    <w:rsid w:val="00526A1D"/>
    <w:rsid w:val="00526D64"/>
    <w:rsid w:val="00526E06"/>
    <w:rsid w:val="005270B1"/>
    <w:rsid w:val="00527142"/>
    <w:rsid w:val="00527211"/>
    <w:rsid w:val="005272BB"/>
    <w:rsid w:val="005272D1"/>
    <w:rsid w:val="0052734B"/>
    <w:rsid w:val="00527370"/>
    <w:rsid w:val="005274E0"/>
    <w:rsid w:val="00527543"/>
    <w:rsid w:val="00527CC3"/>
    <w:rsid w:val="00527DC9"/>
    <w:rsid w:val="00527F92"/>
    <w:rsid w:val="00527FE9"/>
    <w:rsid w:val="0053016A"/>
    <w:rsid w:val="005302E8"/>
    <w:rsid w:val="0053031D"/>
    <w:rsid w:val="00530340"/>
    <w:rsid w:val="005303E1"/>
    <w:rsid w:val="00530446"/>
    <w:rsid w:val="005304A6"/>
    <w:rsid w:val="00530598"/>
    <w:rsid w:val="005305FA"/>
    <w:rsid w:val="00530679"/>
    <w:rsid w:val="0053077F"/>
    <w:rsid w:val="0053081A"/>
    <w:rsid w:val="00530987"/>
    <w:rsid w:val="00530A95"/>
    <w:rsid w:val="00530A99"/>
    <w:rsid w:val="00530B72"/>
    <w:rsid w:val="00530C23"/>
    <w:rsid w:val="00530C7B"/>
    <w:rsid w:val="00530C98"/>
    <w:rsid w:val="00530D47"/>
    <w:rsid w:val="00530E0D"/>
    <w:rsid w:val="005311C2"/>
    <w:rsid w:val="005312A2"/>
    <w:rsid w:val="005312ED"/>
    <w:rsid w:val="005312F5"/>
    <w:rsid w:val="00531599"/>
    <w:rsid w:val="005317FE"/>
    <w:rsid w:val="00531985"/>
    <w:rsid w:val="00531A3C"/>
    <w:rsid w:val="00531A9F"/>
    <w:rsid w:val="00531B00"/>
    <w:rsid w:val="00531B17"/>
    <w:rsid w:val="00531B48"/>
    <w:rsid w:val="00531BB1"/>
    <w:rsid w:val="00531C5D"/>
    <w:rsid w:val="00531CA7"/>
    <w:rsid w:val="00531D9C"/>
    <w:rsid w:val="00531F6E"/>
    <w:rsid w:val="00531F75"/>
    <w:rsid w:val="00532019"/>
    <w:rsid w:val="00532122"/>
    <w:rsid w:val="00532234"/>
    <w:rsid w:val="005322D8"/>
    <w:rsid w:val="00532300"/>
    <w:rsid w:val="005323F0"/>
    <w:rsid w:val="00532464"/>
    <w:rsid w:val="00532821"/>
    <w:rsid w:val="005328D8"/>
    <w:rsid w:val="0053294B"/>
    <w:rsid w:val="005329B8"/>
    <w:rsid w:val="00532BB4"/>
    <w:rsid w:val="00532C79"/>
    <w:rsid w:val="00532E75"/>
    <w:rsid w:val="00532F2A"/>
    <w:rsid w:val="00532FCE"/>
    <w:rsid w:val="005330DD"/>
    <w:rsid w:val="00533146"/>
    <w:rsid w:val="00533153"/>
    <w:rsid w:val="00533245"/>
    <w:rsid w:val="00533323"/>
    <w:rsid w:val="00533324"/>
    <w:rsid w:val="005333BA"/>
    <w:rsid w:val="005333C0"/>
    <w:rsid w:val="005333C3"/>
    <w:rsid w:val="0053350F"/>
    <w:rsid w:val="00533780"/>
    <w:rsid w:val="00533AD1"/>
    <w:rsid w:val="00533B38"/>
    <w:rsid w:val="00533B3B"/>
    <w:rsid w:val="00533BC0"/>
    <w:rsid w:val="00533BDA"/>
    <w:rsid w:val="00533C1E"/>
    <w:rsid w:val="00533D42"/>
    <w:rsid w:val="005342FE"/>
    <w:rsid w:val="00534414"/>
    <w:rsid w:val="005345DF"/>
    <w:rsid w:val="00534615"/>
    <w:rsid w:val="00534622"/>
    <w:rsid w:val="00534652"/>
    <w:rsid w:val="00534809"/>
    <w:rsid w:val="00534846"/>
    <w:rsid w:val="005348C3"/>
    <w:rsid w:val="00534C10"/>
    <w:rsid w:val="00534EC1"/>
    <w:rsid w:val="00534F25"/>
    <w:rsid w:val="00534F92"/>
    <w:rsid w:val="00534FBB"/>
    <w:rsid w:val="00535027"/>
    <w:rsid w:val="00535102"/>
    <w:rsid w:val="00535180"/>
    <w:rsid w:val="00535274"/>
    <w:rsid w:val="00535408"/>
    <w:rsid w:val="00535410"/>
    <w:rsid w:val="0053544C"/>
    <w:rsid w:val="005354AC"/>
    <w:rsid w:val="005354BB"/>
    <w:rsid w:val="00535761"/>
    <w:rsid w:val="00535A49"/>
    <w:rsid w:val="00535AEF"/>
    <w:rsid w:val="00535C7A"/>
    <w:rsid w:val="00535CC5"/>
    <w:rsid w:val="00535D4B"/>
    <w:rsid w:val="00535D70"/>
    <w:rsid w:val="00535EAE"/>
    <w:rsid w:val="00535F1C"/>
    <w:rsid w:val="00535F97"/>
    <w:rsid w:val="00535F9B"/>
    <w:rsid w:val="00536011"/>
    <w:rsid w:val="00536065"/>
    <w:rsid w:val="00536114"/>
    <w:rsid w:val="005361CE"/>
    <w:rsid w:val="00536215"/>
    <w:rsid w:val="005362F3"/>
    <w:rsid w:val="00536306"/>
    <w:rsid w:val="00536369"/>
    <w:rsid w:val="005364E2"/>
    <w:rsid w:val="00536700"/>
    <w:rsid w:val="00536709"/>
    <w:rsid w:val="0053681C"/>
    <w:rsid w:val="00536872"/>
    <w:rsid w:val="005368DD"/>
    <w:rsid w:val="00536A72"/>
    <w:rsid w:val="00536B2D"/>
    <w:rsid w:val="00536B38"/>
    <w:rsid w:val="00536C18"/>
    <w:rsid w:val="00536E9B"/>
    <w:rsid w:val="00537078"/>
    <w:rsid w:val="00537095"/>
    <w:rsid w:val="00537313"/>
    <w:rsid w:val="00537320"/>
    <w:rsid w:val="005373FD"/>
    <w:rsid w:val="0053753C"/>
    <w:rsid w:val="00537806"/>
    <w:rsid w:val="00537A17"/>
    <w:rsid w:val="00537A9E"/>
    <w:rsid w:val="00537B7F"/>
    <w:rsid w:val="00537D00"/>
    <w:rsid w:val="00537E06"/>
    <w:rsid w:val="00537F02"/>
    <w:rsid w:val="0054003C"/>
    <w:rsid w:val="005400B1"/>
    <w:rsid w:val="00540179"/>
    <w:rsid w:val="00540189"/>
    <w:rsid w:val="00540309"/>
    <w:rsid w:val="00540340"/>
    <w:rsid w:val="0054037A"/>
    <w:rsid w:val="00540474"/>
    <w:rsid w:val="00540735"/>
    <w:rsid w:val="005407CC"/>
    <w:rsid w:val="00540B60"/>
    <w:rsid w:val="00540BC4"/>
    <w:rsid w:val="00540C21"/>
    <w:rsid w:val="00540D67"/>
    <w:rsid w:val="00540D72"/>
    <w:rsid w:val="00540F04"/>
    <w:rsid w:val="00540F9C"/>
    <w:rsid w:val="00541051"/>
    <w:rsid w:val="0054161C"/>
    <w:rsid w:val="00541683"/>
    <w:rsid w:val="00541801"/>
    <w:rsid w:val="00541A29"/>
    <w:rsid w:val="00541A54"/>
    <w:rsid w:val="00541BD5"/>
    <w:rsid w:val="00541BDF"/>
    <w:rsid w:val="00541E92"/>
    <w:rsid w:val="00541F11"/>
    <w:rsid w:val="00542270"/>
    <w:rsid w:val="005422A3"/>
    <w:rsid w:val="005422DB"/>
    <w:rsid w:val="005423D2"/>
    <w:rsid w:val="00542424"/>
    <w:rsid w:val="005428C7"/>
    <w:rsid w:val="005429FF"/>
    <w:rsid w:val="00542CE6"/>
    <w:rsid w:val="00542CF6"/>
    <w:rsid w:val="0054301E"/>
    <w:rsid w:val="00543103"/>
    <w:rsid w:val="0054327A"/>
    <w:rsid w:val="005432E1"/>
    <w:rsid w:val="005433F4"/>
    <w:rsid w:val="00543450"/>
    <w:rsid w:val="005434BB"/>
    <w:rsid w:val="0054365B"/>
    <w:rsid w:val="0054380A"/>
    <w:rsid w:val="0054388F"/>
    <w:rsid w:val="005438A5"/>
    <w:rsid w:val="005438B3"/>
    <w:rsid w:val="00543A1D"/>
    <w:rsid w:val="00543BBB"/>
    <w:rsid w:val="00543D0F"/>
    <w:rsid w:val="00543DEC"/>
    <w:rsid w:val="00543FBA"/>
    <w:rsid w:val="00543FDE"/>
    <w:rsid w:val="00544027"/>
    <w:rsid w:val="00544069"/>
    <w:rsid w:val="0054416D"/>
    <w:rsid w:val="0054420B"/>
    <w:rsid w:val="0054444C"/>
    <w:rsid w:val="005445FD"/>
    <w:rsid w:val="005446CB"/>
    <w:rsid w:val="00544799"/>
    <w:rsid w:val="005449E1"/>
    <w:rsid w:val="00544A77"/>
    <w:rsid w:val="00544BB8"/>
    <w:rsid w:val="00544BBF"/>
    <w:rsid w:val="00544C8F"/>
    <w:rsid w:val="00544C95"/>
    <w:rsid w:val="00544DC9"/>
    <w:rsid w:val="00544DCD"/>
    <w:rsid w:val="00544ED9"/>
    <w:rsid w:val="00545003"/>
    <w:rsid w:val="0054514D"/>
    <w:rsid w:val="00545230"/>
    <w:rsid w:val="0054525A"/>
    <w:rsid w:val="005452CE"/>
    <w:rsid w:val="00545386"/>
    <w:rsid w:val="00545445"/>
    <w:rsid w:val="00545760"/>
    <w:rsid w:val="0054578B"/>
    <w:rsid w:val="005458C7"/>
    <w:rsid w:val="00545B29"/>
    <w:rsid w:val="00545BCA"/>
    <w:rsid w:val="00545D13"/>
    <w:rsid w:val="00545D1A"/>
    <w:rsid w:val="00545D88"/>
    <w:rsid w:val="00545EBD"/>
    <w:rsid w:val="00545ED3"/>
    <w:rsid w:val="00545F92"/>
    <w:rsid w:val="00545FF8"/>
    <w:rsid w:val="00545FFD"/>
    <w:rsid w:val="005460D1"/>
    <w:rsid w:val="005460F9"/>
    <w:rsid w:val="005461DB"/>
    <w:rsid w:val="00546315"/>
    <w:rsid w:val="00546339"/>
    <w:rsid w:val="0054639A"/>
    <w:rsid w:val="005464D6"/>
    <w:rsid w:val="00546502"/>
    <w:rsid w:val="005465E2"/>
    <w:rsid w:val="00546641"/>
    <w:rsid w:val="005467B9"/>
    <w:rsid w:val="005468FE"/>
    <w:rsid w:val="0054697B"/>
    <w:rsid w:val="00546B8F"/>
    <w:rsid w:val="00546C71"/>
    <w:rsid w:val="00546C77"/>
    <w:rsid w:val="00546EC8"/>
    <w:rsid w:val="00546F31"/>
    <w:rsid w:val="00547039"/>
    <w:rsid w:val="00547056"/>
    <w:rsid w:val="00547248"/>
    <w:rsid w:val="00547411"/>
    <w:rsid w:val="0054746C"/>
    <w:rsid w:val="005475DF"/>
    <w:rsid w:val="005475F6"/>
    <w:rsid w:val="005477B2"/>
    <w:rsid w:val="00547885"/>
    <w:rsid w:val="00547936"/>
    <w:rsid w:val="00547C51"/>
    <w:rsid w:val="00547D17"/>
    <w:rsid w:val="00547D69"/>
    <w:rsid w:val="00547F62"/>
    <w:rsid w:val="00550142"/>
    <w:rsid w:val="0055015D"/>
    <w:rsid w:val="0055029F"/>
    <w:rsid w:val="005502C4"/>
    <w:rsid w:val="005502E2"/>
    <w:rsid w:val="00550337"/>
    <w:rsid w:val="005503E5"/>
    <w:rsid w:val="0055057D"/>
    <w:rsid w:val="005505E7"/>
    <w:rsid w:val="005506A7"/>
    <w:rsid w:val="00550704"/>
    <w:rsid w:val="005507EE"/>
    <w:rsid w:val="00550924"/>
    <w:rsid w:val="005509AB"/>
    <w:rsid w:val="00550CEA"/>
    <w:rsid w:val="00550CF5"/>
    <w:rsid w:val="00550E4E"/>
    <w:rsid w:val="00550E59"/>
    <w:rsid w:val="00550EB6"/>
    <w:rsid w:val="0055113A"/>
    <w:rsid w:val="0055113C"/>
    <w:rsid w:val="005511BF"/>
    <w:rsid w:val="0055121A"/>
    <w:rsid w:val="005512FC"/>
    <w:rsid w:val="005513AE"/>
    <w:rsid w:val="005513BA"/>
    <w:rsid w:val="005514F9"/>
    <w:rsid w:val="005515B6"/>
    <w:rsid w:val="00551602"/>
    <w:rsid w:val="0055174B"/>
    <w:rsid w:val="00551852"/>
    <w:rsid w:val="005518B9"/>
    <w:rsid w:val="00551AA7"/>
    <w:rsid w:val="00551B89"/>
    <w:rsid w:val="00551F1E"/>
    <w:rsid w:val="0055216D"/>
    <w:rsid w:val="0055241C"/>
    <w:rsid w:val="005524F2"/>
    <w:rsid w:val="005525BF"/>
    <w:rsid w:val="00552750"/>
    <w:rsid w:val="005527BD"/>
    <w:rsid w:val="005527FB"/>
    <w:rsid w:val="00552834"/>
    <w:rsid w:val="00552920"/>
    <w:rsid w:val="00552935"/>
    <w:rsid w:val="00552AEA"/>
    <w:rsid w:val="00552D59"/>
    <w:rsid w:val="00552E6A"/>
    <w:rsid w:val="00552EF6"/>
    <w:rsid w:val="0055323C"/>
    <w:rsid w:val="005534A4"/>
    <w:rsid w:val="00553572"/>
    <w:rsid w:val="0055369D"/>
    <w:rsid w:val="005536ED"/>
    <w:rsid w:val="005538A3"/>
    <w:rsid w:val="00553A81"/>
    <w:rsid w:val="00553B96"/>
    <w:rsid w:val="00553D98"/>
    <w:rsid w:val="00553EC3"/>
    <w:rsid w:val="00553F4F"/>
    <w:rsid w:val="00553F8B"/>
    <w:rsid w:val="0055402F"/>
    <w:rsid w:val="00554563"/>
    <w:rsid w:val="00554634"/>
    <w:rsid w:val="00554698"/>
    <w:rsid w:val="0055484A"/>
    <w:rsid w:val="005549E7"/>
    <w:rsid w:val="00554A5D"/>
    <w:rsid w:val="00554BD8"/>
    <w:rsid w:val="00554C75"/>
    <w:rsid w:val="00554C77"/>
    <w:rsid w:val="00554CF2"/>
    <w:rsid w:val="00554F19"/>
    <w:rsid w:val="00555352"/>
    <w:rsid w:val="00555708"/>
    <w:rsid w:val="0055578B"/>
    <w:rsid w:val="00555A19"/>
    <w:rsid w:val="00555A8C"/>
    <w:rsid w:val="00555AB6"/>
    <w:rsid w:val="00555BDC"/>
    <w:rsid w:val="00555C8C"/>
    <w:rsid w:val="00555E28"/>
    <w:rsid w:val="00555F7D"/>
    <w:rsid w:val="00555FF6"/>
    <w:rsid w:val="00556047"/>
    <w:rsid w:val="0055636A"/>
    <w:rsid w:val="00556438"/>
    <w:rsid w:val="0055652B"/>
    <w:rsid w:val="0055662F"/>
    <w:rsid w:val="0055679D"/>
    <w:rsid w:val="00556838"/>
    <w:rsid w:val="00556939"/>
    <w:rsid w:val="00556AD5"/>
    <w:rsid w:val="00556B7A"/>
    <w:rsid w:val="00556C50"/>
    <w:rsid w:val="00556E26"/>
    <w:rsid w:val="00556E46"/>
    <w:rsid w:val="00556F4F"/>
    <w:rsid w:val="00557142"/>
    <w:rsid w:val="005571A7"/>
    <w:rsid w:val="0055720B"/>
    <w:rsid w:val="005574A6"/>
    <w:rsid w:val="00557509"/>
    <w:rsid w:val="00557617"/>
    <w:rsid w:val="0055789D"/>
    <w:rsid w:val="00557C28"/>
    <w:rsid w:val="00557D73"/>
    <w:rsid w:val="00557E2F"/>
    <w:rsid w:val="0055B0A5"/>
    <w:rsid w:val="00560048"/>
    <w:rsid w:val="0056014B"/>
    <w:rsid w:val="00560208"/>
    <w:rsid w:val="005602AD"/>
    <w:rsid w:val="005602B9"/>
    <w:rsid w:val="0056033B"/>
    <w:rsid w:val="00560729"/>
    <w:rsid w:val="00560833"/>
    <w:rsid w:val="00560877"/>
    <w:rsid w:val="005608A2"/>
    <w:rsid w:val="00560930"/>
    <w:rsid w:val="00560987"/>
    <w:rsid w:val="00560AA8"/>
    <w:rsid w:val="00560C83"/>
    <w:rsid w:val="00560E05"/>
    <w:rsid w:val="00560E55"/>
    <w:rsid w:val="00560F30"/>
    <w:rsid w:val="00560FC8"/>
    <w:rsid w:val="00561066"/>
    <w:rsid w:val="00561121"/>
    <w:rsid w:val="00561279"/>
    <w:rsid w:val="00561297"/>
    <w:rsid w:val="00561300"/>
    <w:rsid w:val="00561540"/>
    <w:rsid w:val="005618CE"/>
    <w:rsid w:val="005619B0"/>
    <w:rsid w:val="00561BE5"/>
    <w:rsid w:val="00561D5E"/>
    <w:rsid w:val="00561DB3"/>
    <w:rsid w:val="00561FAD"/>
    <w:rsid w:val="00562067"/>
    <w:rsid w:val="00562072"/>
    <w:rsid w:val="005620E7"/>
    <w:rsid w:val="00562142"/>
    <w:rsid w:val="0056214E"/>
    <w:rsid w:val="0056220A"/>
    <w:rsid w:val="00562307"/>
    <w:rsid w:val="00562352"/>
    <w:rsid w:val="00562833"/>
    <w:rsid w:val="00562C2A"/>
    <w:rsid w:val="00562C6B"/>
    <w:rsid w:val="00562E3F"/>
    <w:rsid w:val="00562F07"/>
    <w:rsid w:val="00562F53"/>
    <w:rsid w:val="00563102"/>
    <w:rsid w:val="005631E1"/>
    <w:rsid w:val="005632FF"/>
    <w:rsid w:val="0056352D"/>
    <w:rsid w:val="0056359E"/>
    <w:rsid w:val="005636AF"/>
    <w:rsid w:val="00563700"/>
    <w:rsid w:val="005639D7"/>
    <w:rsid w:val="005639ED"/>
    <w:rsid w:val="00563B82"/>
    <w:rsid w:val="00563BF1"/>
    <w:rsid w:val="00563C41"/>
    <w:rsid w:val="00563EEC"/>
    <w:rsid w:val="00563F55"/>
    <w:rsid w:val="005640CA"/>
    <w:rsid w:val="00564248"/>
    <w:rsid w:val="00564299"/>
    <w:rsid w:val="005643DA"/>
    <w:rsid w:val="00564423"/>
    <w:rsid w:val="005644FF"/>
    <w:rsid w:val="00564532"/>
    <w:rsid w:val="00564549"/>
    <w:rsid w:val="00564584"/>
    <w:rsid w:val="0056470E"/>
    <w:rsid w:val="0056473C"/>
    <w:rsid w:val="00564D22"/>
    <w:rsid w:val="00564DD0"/>
    <w:rsid w:val="00564E2E"/>
    <w:rsid w:val="00564E5F"/>
    <w:rsid w:val="00564F6D"/>
    <w:rsid w:val="00564F75"/>
    <w:rsid w:val="005653C9"/>
    <w:rsid w:val="00565635"/>
    <w:rsid w:val="00565645"/>
    <w:rsid w:val="00565839"/>
    <w:rsid w:val="00565AC2"/>
    <w:rsid w:val="00565AE3"/>
    <w:rsid w:val="00565E2E"/>
    <w:rsid w:val="00565ED0"/>
    <w:rsid w:val="00565EE6"/>
    <w:rsid w:val="005660AD"/>
    <w:rsid w:val="005661E9"/>
    <w:rsid w:val="00566616"/>
    <w:rsid w:val="00566673"/>
    <w:rsid w:val="00566696"/>
    <w:rsid w:val="005666D9"/>
    <w:rsid w:val="00566730"/>
    <w:rsid w:val="00566772"/>
    <w:rsid w:val="005667BD"/>
    <w:rsid w:val="005667F7"/>
    <w:rsid w:val="0056682C"/>
    <w:rsid w:val="005668C8"/>
    <w:rsid w:val="00566948"/>
    <w:rsid w:val="00566B02"/>
    <w:rsid w:val="00566B0C"/>
    <w:rsid w:val="00566BAA"/>
    <w:rsid w:val="00566BBB"/>
    <w:rsid w:val="00566F75"/>
    <w:rsid w:val="00566FA3"/>
    <w:rsid w:val="005670B3"/>
    <w:rsid w:val="005672D8"/>
    <w:rsid w:val="005675BB"/>
    <w:rsid w:val="00567896"/>
    <w:rsid w:val="005679A3"/>
    <w:rsid w:val="005679D5"/>
    <w:rsid w:val="00567A7B"/>
    <w:rsid w:val="00567ADE"/>
    <w:rsid w:val="00567CFA"/>
    <w:rsid w:val="00567D63"/>
    <w:rsid w:val="00567D6E"/>
    <w:rsid w:val="00567E39"/>
    <w:rsid w:val="00567E9B"/>
    <w:rsid w:val="00567FC0"/>
    <w:rsid w:val="00567FFC"/>
    <w:rsid w:val="00570181"/>
    <w:rsid w:val="005704D4"/>
    <w:rsid w:val="00570573"/>
    <w:rsid w:val="005705F3"/>
    <w:rsid w:val="005706F5"/>
    <w:rsid w:val="005707A3"/>
    <w:rsid w:val="00570804"/>
    <w:rsid w:val="00570895"/>
    <w:rsid w:val="005708DD"/>
    <w:rsid w:val="00570990"/>
    <w:rsid w:val="00570B4B"/>
    <w:rsid w:val="00570C73"/>
    <w:rsid w:val="00571011"/>
    <w:rsid w:val="005711AE"/>
    <w:rsid w:val="0057148C"/>
    <w:rsid w:val="005715F8"/>
    <w:rsid w:val="0057182F"/>
    <w:rsid w:val="00571901"/>
    <w:rsid w:val="00571970"/>
    <w:rsid w:val="00571B03"/>
    <w:rsid w:val="00571CA6"/>
    <w:rsid w:val="00571D15"/>
    <w:rsid w:val="00571ED0"/>
    <w:rsid w:val="00571F58"/>
    <w:rsid w:val="00571FCA"/>
    <w:rsid w:val="00572023"/>
    <w:rsid w:val="00572049"/>
    <w:rsid w:val="00572127"/>
    <w:rsid w:val="0057214F"/>
    <w:rsid w:val="005724DE"/>
    <w:rsid w:val="00572670"/>
    <w:rsid w:val="00572763"/>
    <w:rsid w:val="0057282D"/>
    <w:rsid w:val="00572955"/>
    <w:rsid w:val="00572994"/>
    <w:rsid w:val="005729D3"/>
    <w:rsid w:val="00572A35"/>
    <w:rsid w:val="00572AD2"/>
    <w:rsid w:val="00572BB5"/>
    <w:rsid w:val="00572C20"/>
    <w:rsid w:val="00572C39"/>
    <w:rsid w:val="00572C75"/>
    <w:rsid w:val="00572CC4"/>
    <w:rsid w:val="00572D1F"/>
    <w:rsid w:val="00572DB3"/>
    <w:rsid w:val="00572E0D"/>
    <w:rsid w:val="00572E57"/>
    <w:rsid w:val="00572F5E"/>
    <w:rsid w:val="005731A8"/>
    <w:rsid w:val="005732EB"/>
    <w:rsid w:val="00573381"/>
    <w:rsid w:val="0057376E"/>
    <w:rsid w:val="00573989"/>
    <w:rsid w:val="00573AD7"/>
    <w:rsid w:val="00573BAB"/>
    <w:rsid w:val="00573C45"/>
    <w:rsid w:val="00573C62"/>
    <w:rsid w:val="00573D47"/>
    <w:rsid w:val="00573DB9"/>
    <w:rsid w:val="00573E61"/>
    <w:rsid w:val="00573EE2"/>
    <w:rsid w:val="00573F0C"/>
    <w:rsid w:val="00573F3C"/>
    <w:rsid w:val="00574181"/>
    <w:rsid w:val="005742E3"/>
    <w:rsid w:val="0057431E"/>
    <w:rsid w:val="0057434E"/>
    <w:rsid w:val="005745D7"/>
    <w:rsid w:val="00574659"/>
    <w:rsid w:val="005747DA"/>
    <w:rsid w:val="0057480A"/>
    <w:rsid w:val="0057483E"/>
    <w:rsid w:val="005748F2"/>
    <w:rsid w:val="00574938"/>
    <w:rsid w:val="00574A76"/>
    <w:rsid w:val="00574B95"/>
    <w:rsid w:val="00574C35"/>
    <w:rsid w:val="00574D56"/>
    <w:rsid w:val="00574E38"/>
    <w:rsid w:val="0057501A"/>
    <w:rsid w:val="005750E0"/>
    <w:rsid w:val="00575172"/>
    <w:rsid w:val="0057522C"/>
    <w:rsid w:val="005752F8"/>
    <w:rsid w:val="00575330"/>
    <w:rsid w:val="005753D3"/>
    <w:rsid w:val="00575789"/>
    <w:rsid w:val="005757B2"/>
    <w:rsid w:val="005757BC"/>
    <w:rsid w:val="00575950"/>
    <w:rsid w:val="00575B99"/>
    <w:rsid w:val="00575BE4"/>
    <w:rsid w:val="00575C71"/>
    <w:rsid w:val="00575D48"/>
    <w:rsid w:val="00575E80"/>
    <w:rsid w:val="00575F0F"/>
    <w:rsid w:val="0057620A"/>
    <w:rsid w:val="00576351"/>
    <w:rsid w:val="00576524"/>
    <w:rsid w:val="005765F5"/>
    <w:rsid w:val="0057662E"/>
    <w:rsid w:val="00576682"/>
    <w:rsid w:val="00576779"/>
    <w:rsid w:val="005767B8"/>
    <w:rsid w:val="00576B3C"/>
    <w:rsid w:val="00576BF6"/>
    <w:rsid w:val="00576CCF"/>
    <w:rsid w:val="00576DB7"/>
    <w:rsid w:val="005776C2"/>
    <w:rsid w:val="0057786A"/>
    <w:rsid w:val="00577A5C"/>
    <w:rsid w:val="00577C00"/>
    <w:rsid w:val="00577C16"/>
    <w:rsid w:val="00577E7D"/>
    <w:rsid w:val="00577E98"/>
    <w:rsid w:val="00577F67"/>
    <w:rsid w:val="00580043"/>
    <w:rsid w:val="00580046"/>
    <w:rsid w:val="005801E0"/>
    <w:rsid w:val="005801F3"/>
    <w:rsid w:val="0058040B"/>
    <w:rsid w:val="005806D0"/>
    <w:rsid w:val="00580868"/>
    <w:rsid w:val="005808A3"/>
    <w:rsid w:val="00580A2B"/>
    <w:rsid w:val="00580A5D"/>
    <w:rsid w:val="00580B63"/>
    <w:rsid w:val="00580D13"/>
    <w:rsid w:val="00580D2D"/>
    <w:rsid w:val="00580E63"/>
    <w:rsid w:val="0058112E"/>
    <w:rsid w:val="005812D9"/>
    <w:rsid w:val="005814CD"/>
    <w:rsid w:val="00581675"/>
    <w:rsid w:val="005816CB"/>
    <w:rsid w:val="005818AD"/>
    <w:rsid w:val="005818EB"/>
    <w:rsid w:val="0058191C"/>
    <w:rsid w:val="0058198C"/>
    <w:rsid w:val="00581AE6"/>
    <w:rsid w:val="00581BB6"/>
    <w:rsid w:val="00581EE6"/>
    <w:rsid w:val="00581FCD"/>
    <w:rsid w:val="005820DF"/>
    <w:rsid w:val="005823D9"/>
    <w:rsid w:val="00582498"/>
    <w:rsid w:val="005824E7"/>
    <w:rsid w:val="00582520"/>
    <w:rsid w:val="0058287F"/>
    <w:rsid w:val="005828EE"/>
    <w:rsid w:val="00582962"/>
    <w:rsid w:val="00582A99"/>
    <w:rsid w:val="00582AD4"/>
    <w:rsid w:val="00582BD7"/>
    <w:rsid w:val="00582CB1"/>
    <w:rsid w:val="00582E5D"/>
    <w:rsid w:val="00582FA5"/>
    <w:rsid w:val="0058304D"/>
    <w:rsid w:val="00583188"/>
    <w:rsid w:val="00583231"/>
    <w:rsid w:val="0058336C"/>
    <w:rsid w:val="005833B7"/>
    <w:rsid w:val="005836F2"/>
    <w:rsid w:val="00583804"/>
    <w:rsid w:val="005839EB"/>
    <w:rsid w:val="00583A04"/>
    <w:rsid w:val="00583A09"/>
    <w:rsid w:val="00583B75"/>
    <w:rsid w:val="00583B90"/>
    <w:rsid w:val="00583BE5"/>
    <w:rsid w:val="00583C3B"/>
    <w:rsid w:val="00583E23"/>
    <w:rsid w:val="00584009"/>
    <w:rsid w:val="00584013"/>
    <w:rsid w:val="005840EC"/>
    <w:rsid w:val="00584159"/>
    <w:rsid w:val="005842E1"/>
    <w:rsid w:val="0058434C"/>
    <w:rsid w:val="005844B3"/>
    <w:rsid w:val="005845AB"/>
    <w:rsid w:val="005845B9"/>
    <w:rsid w:val="005847ED"/>
    <w:rsid w:val="00584906"/>
    <w:rsid w:val="00584959"/>
    <w:rsid w:val="00584A2D"/>
    <w:rsid w:val="00584C40"/>
    <w:rsid w:val="00584D63"/>
    <w:rsid w:val="005850A3"/>
    <w:rsid w:val="00585191"/>
    <w:rsid w:val="005852DE"/>
    <w:rsid w:val="005854E1"/>
    <w:rsid w:val="00585A36"/>
    <w:rsid w:val="00585A4B"/>
    <w:rsid w:val="00585AAE"/>
    <w:rsid w:val="00585C4A"/>
    <w:rsid w:val="00585C89"/>
    <w:rsid w:val="00585CBD"/>
    <w:rsid w:val="00585F19"/>
    <w:rsid w:val="00585F25"/>
    <w:rsid w:val="00585F3A"/>
    <w:rsid w:val="00585FEC"/>
    <w:rsid w:val="00586045"/>
    <w:rsid w:val="0058604D"/>
    <w:rsid w:val="005860B9"/>
    <w:rsid w:val="005860CB"/>
    <w:rsid w:val="00586173"/>
    <w:rsid w:val="00586521"/>
    <w:rsid w:val="005865CF"/>
    <w:rsid w:val="00586609"/>
    <w:rsid w:val="00586696"/>
    <w:rsid w:val="005866B5"/>
    <w:rsid w:val="005867ED"/>
    <w:rsid w:val="0058691F"/>
    <w:rsid w:val="00586C44"/>
    <w:rsid w:val="00586C73"/>
    <w:rsid w:val="00586EB3"/>
    <w:rsid w:val="00586ECA"/>
    <w:rsid w:val="00586EEE"/>
    <w:rsid w:val="0058725F"/>
    <w:rsid w:val="005872EB"/>
    <w:rsid w:val="00587445"/>
    <w:rsid w:val="0058744A"/>
    <w:rsid w:val="005877AF"/>
    <w:rsid w:val="00587ADD"/>
    <w:rsid w:val="00587B62"/>
    <w:rsid w:val="00587BFF"/>
    <w:rsid w:val="00587C5E"/>
    <w:rsid w:val="00587C74"/>
    <w:rsid w:val="00587D29"/>
    <w:rsid w:val="00587E63"/>
    <w:rsid w:val="00590135"/>
    <w:rsid w:val="00590137"/>
    <w:rsid w:val="005901A9"/>
    <w:rsid w:val="005901B0"/>
    <w:rsid w:val="00590436"/>
    <w:rsid w:val="005905B8"/>
    <w:rsid w:val="0059063E"/>
    <w:rsid w:val="0059074F"/>
    <w:rsid w:val="0059081B"/>
    <w:rsid w:val="0059084E"/>
    <w:rsid w:val="00590915"/>
    <w:rsid w:val="00590924"/>
    <w:rsid w:val="00590AEC"/>
    <w:rsid w:val="00590C38"/>
    <w:rsid w:val="00590CB6"/>
    <w:rsid w:val="00590E1F"/>
    <w:rsid w:val="00590F70"/>
    <w:rsid w:val="00591072"/>
    <w:rsid w:val="00591117"/>
    <w:rsid w:val="0059132A"/>
    <w:rsid w:val="00591693"/>
    <w:rsid w:val="005919F2"/>
    <w:rsid w:val="00591AAA"/>
    <w:rsid w:val="00591C97"/>
    <w:rsid w:val="00591D36"/>
    <w:rsid w:val="00591E12"/>
    <w:rsid w:val="00592018"/>
    <w:rsid w:val="0059216A"/>
    <w:rsid w:val="005921A0"/>
    <w:rsid w:val="005921EC"/>
    <w:rsid w:val="00592226"/>
    <w:rsid w:val="00592377"/>
    <w:rsid w:val="0059237A"/>
    <w:rsid w:val="005923F9"/>
    <w:rsid w:val="00592505"/>
    <w:rsid w:val="0059250F"/>
    <w:rsid w:val="00592592"/>
    <w:rsid w:val="00592617"/>
    <w:rsid w:val="005926FE"/>
    <w:rsid w:val="00592A3D"/>
    <w:rsid w:val="00592CB1"/>
    <w:rsid w:val="00592D03"/>
    <w:rsid w:val="00592DD8"/>
    <w:rsid w:val="00592FF9"/>
    <w:rsid w:val="0059313C"/>
    <w:rsid w:val="0059317A"/>
    <w:rsid w:val="0059325C"/>
    <w:rsid w:val="0059334A"/>
    <w:rsid w:val="0059341E"/>
    <w:rsid w:val="00593465"/>
    <w:rsid w:val="00593619"/>
    <w:rsid w:val="00593620"/>
    <w:rsid w:val="0059383A"/>
    <w:rsid w:val="005938BD"/>
    <w:rsid w:val="00593951"/>
    <w:rsid w:val="0059395F"/>
    <w:rsid w:val="00593975"/>
    <w:rsid w:val="00593A40"/>
    <w:rsid w:val="00593A5F"/>
    <w:rsid w:val="00593AAA"/>
    <w:rsid w:val="00593B36"/>
    <w:rsid w:val="00593F2E"/>
    <w:rsid w:val="00594199"/>
    <w:rsid w:val="005941E7"/>
    <w:rsid w:val="005941FA"/>
    <w:rsid w:val="005941FC"/>
    <w:rsid w:val="005942D9"/>
    <w:rsid w:val="0059433F"/>
    <w:rsid w:val="005944A4"/>
    <w:rsid w:val="005946B5"/>
    <w:rsid w:val="00594778"/>
    <w:rsid w:val="005947AE"/>
    <w:rsid w:val="00594A53"/>
    <w:rsid w:val="00594AEA"/>
    <w:rsid w:val="00594CC4"/>
    <w:rsid w:val="0059510B"/>
    <w:rsid w:val="0059513C"/>
    <w:rsid w:val="0059516F"/>
    <w:rsid w:val="005951E9"/>
    <w:rsid w:val="0059528E"/>
    <w:rsid w:val="005953E3"/>
    <w:rsid w:val="00595747"/>
    <w:rsid w:val="005957BF"/>
    <w:rsid w:val="00595A0B"/>
    <w:rsid w:val="00595DE3"/>
    <w:rsid w:val="00595ECF"/>
    <w:rsid w:val="00595F97"/>
    <w:rsid w:val="00595FAE"/>
    <w:rsid w:val="00596008"/>
    <w:rsid w:val="005960CB"/>
    <w:rsid w:val="00596137"/>
    <w:rsid w:val="00596236"/>
    <w:rsid w:val="005962AB"/>
    <w:rsid w:val="005963B2"/>
    <w:rsid w:val="0059640B"/>
    <w:rsid w:val="0059660B"/>
    <w:rsid w:val="00596617"/>
    <w:rsid w:val="00596682"/>
    <w:rsid w:val="005966F8"/>
    <w:rsid w:val="00596816"/>
    <w:rsid w:val="00596A2C"/>
    <w:rsid w:val="00596A85"/>
    <w:rsid w:val="00596AAC"/>
    <w:rsid w:val="00596B3D"/>
    <w:rsid w:val="00597093"/>
    <w:rsid w:val="0059716A"/>
    <w:rsid w:val="00597270"/>
    <w:rsid w:val="00597463"/>
    <w:rsid w:val="005976EC"/>
    <w:rsid w:val="0059795D"/>
    <w:rsid w:val="00597A64"/>
    <w:rsid w:val="00597CCD"/>
    <w:rsid w:val="00597DA7"/>
    <w:rsid w:val="0059A888"/>
    <w:rsid w:val="005A003E"/>
    <w:rsid w:val="005A01B4"/>
    <w:rsid w:val="005A0264"/>
    <w:rsid w:val="005A034C"/>
    <w:rsid w:val="005A0397"/>
    <w:rsid w:val="005A048F"/>
    <w:rsid w:val="005A05C4"/>
    <w:rsid w:val="005A0856"/>
    <w:rsid w:val="005A094B"/>
    <w:rsid w:val="005A0A19"/>
    <w:rsid w:val="005A0AEF"/>
    <w:rsid w:val="005A0BDD"/>
    <w:rsid w:val="005A0EDD"/>
    <w:rsid w:val="005A0F3B"/>
    <w:rsid w:val="005A0F3D"/>
    <w:rsid w:val="005A102F"/>
    <w:rsid w:val="005A109D"/>
    <w:rsid w:val="005A1122"/>
    <w:rsid w:val="005A113D"/>
    <w:rsid w:val="005A116C"/>
    <w:rsid w:val="005A128A"/>
    <w:rsid w:val="005A12F4"/>
    <w:rsid w:val="005A1307"/>
    <w:rsid w:val="005A13C7"/>
    <w:rsid w:val="005A1416"/>
    <w:rsid w:val="005A1486"/>
    <w:rsid w:val="005A162D"/>
    <w:rsid w:val="005A1632"/>
    <w:rsid w:val="005A171E"/>
    <w:rsid w:val="005A1756"/>
    <w:rsid w:val="005A1BF2"/>
    <w:rsid w:val="005A1C2B"/>
    <w:rsid w:val="005A1C7E"/>
    <w:rsid w:val="005A1D0F"/>
    <w:rsid w:val="005A1E37"/>
    <w:rsid w:val="005A1F49"/>
    <w:rsid w:val="005A1F5A"/>
    <w:rsid w:val="005A20B3"/>
    <w:rsid w:val="005A2110"/>
    <w:rsid w:val="005A2187"/>
    <w:rsid w:val="005A2454"/>
    <w:rsid w:val="005A25CA"/>
    <w:rsid w:val="005A2636"/>
    <w:rsid w:val="005A2729"/>
    <w:rsid w:val="005A2759"/>
    <w:rsid w:val="005A2BE2"/>
    <w:rsid w:val="005A2CB9"/>
    <w:rsid w:val="005A2EB0"/>
    <w:rsid w:val="005A2F04"/>
    <w:rsid w:val="005A2F16"/>
    <w:rsid w:val="005A311B"/>
    <w:rsid w:val="005A3179"/>
    <w:rsid w:val="005A3221"/>
    <w:rsid w:val="005A3316"/>
    <w:rsid w:val="005A33CD"/>
    <w:rsid w:val="005A34D9"/>
    <w:rsid w:val="005A3501"/>
    <w:rsid w:val="005A37F7"/>
    <w:rsid w:val="005A3809"/>
    <w:rsid w:val="005A3869"/>
    <w:rsid w:val="005A390A"/>
    <w:rsid w:val="005A3AFE"/>
    <w:rsid w:val="005A3E48"/>
    <w:rsid w:val="005A3E57"/>
    <w:rsid w:val="005A401C"/>
    <w:rsid w:val="005A4099"/>
    <w:rsid w:val="005A40C6"/>
    <w:rsid w:val="005A40DA"/>
    <w:rsid w:val="005A41FA"/>
    <w:rsid w:val="005A4293"/>
    <w:rsid w:val="005A42AC"/>
    <w:rsid w:val="005A42DE"/>
    <w:rsid w:val="005A43C7"/>
    <w:rsid w:val="005A43DF"/>
    <w:rsid w:val="005A4476"/>
    <w:rsid w:val="005A458B"/>
    <w:rsid w:val="005A461D"/>
    <w:rsid w:val="005A4803"/>
    <w:rsid w:val="005A48E2"/>
    <w:rsid w:val="005A4ABF"/>
    <w:rsid w:val="005A4E03"/>
    <w:rsid w:val="005A4EE8"/>
    <w:rsid w:val="005A512B"/>
    <w:rsid w:val="005A519B"/>
    <w:rsid w:val="005A521F"/>
    <w:rsid w:val="005A531D"/>
    <w:rsid w:val="005A5364"/>
    <w:rsid w:val="005A536E"/>
    <w:rsid w:val="005A53A6"/>
    <w:rsid w:val="005A5698"/>
    <w:rsid w:val="005A5785"/>
    <w:rsid w:val="005A58A2"/>
    <w:rsid w:val="005A597E"/>
    <w:rsid w:val="005A598F"/>
    <w:rsid w:val="005A59F8"/>
    <w:rsid w:val="005A5A1F"/>
    <w:rsid w:val="005A5B6A"/>
    <w:rsid w:val="005A5C0B"/>
    <w:rsid w:val="005A5CE4"/>
    <w:rsid w:val="005A605E"/>
    <w:rsid w:val="005A6114"/>
    <w:rsid w:val="005A63C4"/>
    <w:rsid w:val="005A6431"/>
    <w:rsid w:val="005A652D"/>
    <w:rsid w:val="005A655B"/>
    <w:rsid w:val="005A6575"/>
    <w:rsid w:val="005A66F9"/>
    <w:rsid w:val="005A6727"/>
    <w:rsid w:val="005A698D"/>
    <w:rsid w:val="005A6AA7"/>
    <w:rsid w:val="005A6CBE"/>
    <w:rsid w:val="005A6EC2"/>
    <w:rsid w:val="005A6F4B"/>
    <w:rsid w:val="005A70B9"/>
    <w:rsid w:val="005A7292"/>
    <w:rsid w:val="005A7462"/>
    <w:rsid w:val="005A7486"/>
    <w:rsid w:val="005A74ED"/>
    <w:rsid w:val="005A75BC"/>
    <w:rsid w:val="005A76AC"/>
    <w:rsid w:val="005A76EC"/>
    <w:rsid w:val="005A7AC1"/>
    <w:rsid w:val="005A7B6C"/>
    <w:rsid w:val="005A7BBE"/>
    <w:rsid w:val="005A7CE1"/>
    <w:rsid w:val="005A7DCC"/>
    <w:rsid w:val="005A7E0B"/>
    <w:rsid w:val="005A7EAF"/>
    <w:rsid w:val="005A7EF9"/>
    <w:rsid w:val="005A7F94"/>
    <w:rsid w:val="005A7FAA"/>
    <w:rsid w:val="005AE4FC"/>
    <w:rsid w:val="005B0108"/>
    <w:rsid w:val="005B01F1"/>
    <w:rsid w:val="005B0249"/>
    <w:rsid w:val="005B037F"/>
    <w:rsid w:val="005B0406"/>
    <w:rsid w:val="005B0536"/>
    <w:rsid w:val="005B08F2"/>
    <w:rsid w:val="005B0937"/>
    <w:rsid w:val="005B09BA"/>
    <w:rsid w:val="005B0DF4"/>
    <w:rsid w:val="005B0F72"/>
    <w:rsid w:val="005B1017"/>
    <w:rsid w:val="005B114A"/>
    <w:rsid w:val="005B1399"/>
    <w:rsid w:val="005B14EB"/>
    <w:rsid w:val="005B151E"/>
    <w:rsid w:val="005B152D"/>
    <w:rsid w:val="005B1589"/>
    <w:rsid w:val="005B15E2"/>
    <w:rsid w:val="005B1649"/>
    <w:rsid w:val="005B16D5"/>
    <w:rsid w:val="005B175F"/>
    <w:rsid w:val="005B18E3"/>
    <w:rsid w:val="005B195C"/>
    <w:rsid w:val="005B19C5"/>
    <w:rsid w:val="005B1A4E"/>
    <w:rsid w:val="005B1ADE"/>
    <w:rsid w:val="005B1AE5"/>
    <w:rsid w:val="005B1B12"/>
    <w:rsid w:val="005B1B84"/>
    <w:rsid w:val="005B1BE3"/>
    <w:rsid w:val="005B1C3F"/>
    <w:rsid w:val="005B1DFF"/>
    <w:rsid w:val="005B1F0D"/>
    <w:rsid w:val="005B2023"/>
    <w:rsid w:val="005B2215"/>
    <w:rsid w:val="005B2296"/>
    <w:rsid w:val="005B24A4"/>
    <w:rsid w:val="005B24B4"/>
    <w:rsid w:val="005B2661"/>
    <w:rsid w:val="005B2707"/>
    <w:rsid w:val="005B281E"/>
    <w:rsid w:val="005B285E"/>
    <w:rsid w:val="005B291B"/>
    <w:rsid w:val="005B296E"/>
    <w:rsid w:val="005B2BE5"/>
    <w:rsid w:val="005B2BEA"/>
    <w:rsid w:val="005B2C43"/>
    <w:rsid w:val="005B2CAF"/>
    <w:rsid w:val="005B2E36"/>
    <w:rsid w:val="005B32A4"/>
    <w:rsid w:val="005B3330"/>
    <w:rsid w:val="005B349F"/>
    <w:rsid w:val="005B34EF"/>
    <w:rsid w:val="005B356A"/>
    <w:rsid w:val="005B3584"/>
    <w:rsid w:val="005B36F5"/>
    <w:rsid w:val="005B3744"/>
    <w:rsid w:val="005B3853"/>
    <w:rsid w:val="005B38F1"/>
    <w:rsid w:val="005B39BF"/>
    <w:rsid w:val="005B3A25"/>
    <w:rsid w:val="005B3B37"/>
    <w:rsid w:val="005B3B63"/>
    <w:rsid w:val="005B3D18"/>
    <w:rsid w:val="005B3EFB"/>
    <w:rsid w:val="005B3F13"/>
    <w:rsid w:val="005B40CB"/>
    <w:rsid w:val="005B4187"/>
    <w:rsid w:val="005B426E"/>
    <w:rsid w:val="005B42F2"/>
    <w:rsid w:val="005B446B"/>
    <w:rsid w:val="005B45DE"/>
    <w:rsid w:val="005B45F7"/>
    <w:rsid w:val="005B46EE"/>
    <w:rsid w:val="005B4AA6"/>
    <w:rsid w:val="005B4AF3"/>
    <w:rsid w:val="005B4C2C"/>
    <w:rsid w:val="005B4CF5"/>
    <w:rsid w:val="005B4D13"/>
    <w:rsid w:val="005B4D43"/>
    <w:rsid w:val="005B4D50"/>
    <w:rsid w:val="005B4FC7"/>
    <w:rsid w:val="005B5032"/>
    <w:rsid w:val="005B515B"/>
    <w:rsid w:val="005B515C"/>
    <w:rsid w:val="005B5333"/>
    <w:rsid w:val="005B547C"/>
    <w:rsid w:val="005B57D1"/>
    <w:rsid w:val="005B5940"/>
    <w:rsid w:val="005B59E9"/>
    <w:rsid w:val="005B59EE"/>
    <w:rsid w:val="005B5A94"/>
    <w:rsid w:val="005B5A96"/>
    <w:rsid w:val="005B5C6B"/>
    <w:rsid w:val="005B5F17"/>
    <w:rsid w:val="005B5F1C"/>
    <w:rsid w:val="005B61FA"/>
    <w:rsid w:val="005B64A6"/>
    <w:rsid w:val="005B64A7"/>
    <w:rsid w:val="005B64B9"/>
    <w:rsid w:val="005B668B"/>
    <w:rsid w:val="005B6772"/>
    <w:rsid w:val="005B6E1A"/>
    <w:rsid w:val="005B6E32"/>
    <w:rsid w:val="005B6E46"/>
    <w:rsid w:val="005B6EF3"/>
    <w:rsid w:val="005B6FBD"/>
    <w:rsid w:val="005B703A"/>
    <w:rsid w:val="005B7352"/>
    <w:rsid w:val="005B75A5"/>
    <w:rsid w:val="005B75E0"/>
    <w:rsid w:val="005B76AA"/>
    <w:rsid w:val="005B798D"/>
    <w:rsid w:val="005B7F6F"/>
    <w:rsid w:val="005C0021"/>
    <w:rsid w:val="005C006B"/>
    <w:rsid w:val="005C0087"/>
    <w:rsid w:val="005C0151"/>
    <w:rsid w:val="005C0249"/>
    <w:rsid w:val="005C0464"/>
    <w:rsid w:val="005C0466"/>
    <w:rsid w:val="005C047A"/>
    <w:rsid w:val="005C0544"/>
    <w:rsid w:val="005C0629"/>
    <w:rsid w:val="005C06D5"/>
    <w:rsid w:val="005C0791"/>
    <w:rsid w:val="005C0A07"/>
    <w:rsid w:val="005C0C0F"/>
    <w:rsid w:val="005C0C26"/>
    <w:rsid w:val="005C0D60"/>
    <w:rsid w:val="005C0D8E"/>
    <w:rsid w:val="005C0E1E"/>
    <w:rsid w:val="005C0E2E"/>
    <w:rsid w:val="005C0F49"/>
    <w:rsid w:val="005C0F9E"/>
    <w:rsid w:val="005C10FB"/>
    <w:rsid w:val="005C1155"/>
    <w:rsid w:val="005C146A"/>
    <w:rsid w:val="005C14D5"/>
    <w:rsid w:val="005C14FF"/>
    <w:rsid w:val="005C1632"/>
    <w:rsid w:val="005C1667"/>
    <w:rsid w:val="005C17A4"/>
    <w:rsid w:val="005C18C5"/>
    <w:rsid w:val="005C18ED"/>
    <w:rsid w:val="005C1949"/>
    <w:rsid w:val="005C1969"/>
    <w:rsid w:val="005C1A03"/>
    <w:rsid w:val="005C1A28"/>
    <w:rsid w:val="005C1AEB"/>
    <w:rsid w:val="005C1DA3"/>
    <w:rsid w:val="005C1DF4"/>
    <w:rsid w:val="005C1F70"/>
    <w:rsid w:val="005C1F8D"/>
    <w:rsid w:val="005C2027"/>
    <w:rsid w:val="005C20EE"/>
    <w:rsid w:val="005C214E"/>
    <w:rsid w:val="005C22A2"/>
    <w:rsid w:val="005C22D3"/>
    <w:rsid w:val="005C2710"/>
    <w:rsid w:val="005C278F"/>
    <w:rsid w:val="005C27A0"/>
    <w:rsid w:val="005C27F6"/>
    <w:rsid w:val="005C298B"/>
    <w:rsid w:val="005C29AF"/>
    <w:rsid w:val="005C2A3A"/>
    <w:rsid w:val="005C2A95"/>
    <w:rsid w:val="005C2ADD"/>
    <w:rsid w:val="005C2BCC"/>
    <w:rsid w:val="005C2BE7"/>
    <w:rsid w:val="005C2DCA"/>
    <w:rsid w:val="005C2DF4"/>
    <w:rsid w:val="005C2F9F"/>
    <w:rsid w:val="005C30DF"/>
    <w:rsid w:val="005C30FE"/>
    <w:rsid w:val="005C31C1"/>
    <w:rsid w:val="005C3206"/>
    <w:rsid w:val="005C32B2"/>
    <w:rsid w:val="005C3348"/>
    <w:rsid w:val="005C344D"/>
    <w:rsid w:val="005C373F"/>
    <w:rsid w:val="005C374B"/>
    <w:rsid w:val="005C3798"/>
    <w:rsid w:val="005C37F6"/>
    <w:rsid w:val="005C387B"/>
    <w:rsid w:val="005C3907"/>
    <w:rsid w:val="005C3981"/>
    <w:rsid w:val="005C3B1F"/>
    <w:rsid w:val="005C3BCC"/>
    <w:rsid w:val="005C3CFF"/>
    <w:rsid w:val="005C3D22"/>
    <w:rsid w:val="005C3D9E"/>
    <w:rsid w:val="005C3E2A"/>
    <w:rsid w:val="005C3FAF"/>
    <w:rsid w:val="005C3FCB"/>
    <w:rsid w:val="005C409F"/>
    <w:rsid w:val="005C4290"/>
    <w:rsid w:val="005C43A5"/>
    <w:rsid w:val="005C4422"/>
    <w:rsid w:val="005C4637"/>
    <w:rsid w:val="005C46E1"/>
    <w:rsid w:val="005C4754"/>
    <w:rsid w:val="005C492E"/>
    <w:rsid w:val="005C4A2F"/>
    <w:rsid w:val="005C4A8F"/>
    <w:rsid w:val="005C4D28"/>
    <w:rsid w:val="005C4F9D"/>
    <w:rsid w:val="005C5050"/>
    <w:rsid w:val="005C5143"/>
    <w:rsid w:val="005C5253"/>
    <w:rsid w:val="005C531C"/>
    <w:rsid w:val="005C53E6"/>
    <w:rsid w:val="005C55D2"/>
    <w:rsid w:val="005C569A"/>
    <w:rsid w:val="005C56BE"/>
    <w:rsid w:val="005C586D"/>
    <w:rsid w:val="005C58F1"/>
    <w:rsid w:val="005C59E4"/>
    <w:rsid w:val="005C5C25"/>
    <w:rsid w:val="005C5C33"/>
    <w:rsid w:val="005C5F53"/>
    <w:rsid w:val="005C600A"/>
    <w:rsid w:val="005C60A5"/>
    <w:rsid w:val="005C6119"/>
    <w:rsid w:val="005C6205"/>
    <w:rsid w:val="005C62B5"/>
    <w:rsid w:val="005C6401"/>
    <w:rsid w:val="005C6469"/>
    <w:rsid w:val="005C6633"/>
    <w:rsid w:val="005C67DC"/>
    <w:rsid w:val="005C68CF"/>
    <w:rsid w:val="005C6945"/>
    <w:rsid w:val="005C69D0"/>
    <w:rsid w:val="005C6C27"/>
    <w:rsid w:val="005C6CC8"/>
    <w:rsid w:val="005C6E19"/>
    <w:rsid w:val="005C6FC3"/>
    <w:rsid w:val="005C7071"/>
    <w:rsid w:val="005C72D8"/>
    <w:rsid w:val="005C75E0"/>
    <w:rsid w:val="005C7644"/>
    <w:rsid w:val="005C773A"/>
    <w:rsid w:val="005C777D"/>
    <w:rsid w:val="005C77D6"/>
    <w:rsid w:val="005C77E1"/>
    <w:rsid w:val="005C789B"/>
    <w:rsid w:val="005C7AC0"/>
    <w:rsid w:val="005C7AF2"/>
    <w:rsid w:val="005C7B0F"/>
    <w:rsid w:val="005C7B38"/>
    <w:rsid w:val="005C7CD2"/>
    <w:rsid w:val="005D00E8"/>
    <w:rsid w:val="005D01ED"/>
    <w:rsid w:val="005D01FF"/>
    <w:rsid w:val="005D04D1"/>
    <w:rsid w:val="005D04F3"/>
    <w:rsid w:val="005D0664"/>
    <w:rsid w:val="005D0793"/>
    <w:rsid w:val="005D0828"/>
    <w:rsid w:val="005D09EA"/>
    <w:rsid w:val="005D0A46"/>
    <w:rsid w:val="005D0EEA"/>
    <w:rsid w:val="005D0F4E"/>
    <w:rsid w:val="005D0F86"/>
    <w:rsid w:val="005D14F7"/>
    <w:rsid w:val="005D183F"/>
    <w:rsid w:val="005D198E"/>
    <w:rsid w:val="005D1994"/>
    <w:rsid w:val="005D19EE"/>
    <w:rsid w:val="005D1A32"/>
    <w:rsid w:val="005D1AA9"/>
    <w:rsid w:val="005D1DF8"/>
    <w:rsid w:val="005D1E27"/>
    <w:rsid w:val="005D1E83"/>
    <w:rsid w:val="005D202C"/>
    <w:rsid w:val="005D24AC"/>
    <w:rsid w:val="005D252C"/>
    <w:rsid w:val="005D2589"/>
    <w:rsid w:val="005D2954"/>
    <w:rsid w:val="005D2B8F"/>
    <w:rsid w:val="005D2C17"/>
    <w:rsid w:val="005D2DD5"/>
    <w:rsid w:val="005D31A5"/>
    <w:rsid w:val="005D31AE"/>
    <w:rsid w:val="005D34C3"/>
    <w:rsid w:val="005D3502"/>
    <w:rsid w:val="005D3A12"/>
    <w:rsid w:val="005D3A7A"/>
    <w:rsid w:val="005D3AB7"/>
    <w:rsid w:val="005D3BC0"/>
    <w:rsid w:val="005D3C2C"/>
    <w:rsid w:val="005D3DC5"/>
    <w:rsid w:val="005D3E50"/>
    <w:rsid w:val="005D3F19"/>
    <w:rsid w:val="005D4082"/>
    <w:rsid w:val="005D410D"/>
    <w:rsid w:val="005D428C"/>
    <w:rsid w:val="005D4293"/>
    <w:rsid w:val="005D4307"/>
    <w:rsid w:val="005D43C6"/>
    <w:rsid w:val="005D45F8"/>
    <w:rsid w:val="005D47FA"/>
    <w:rsid w:val="005D47FB"/>
    <w:rsid w:val="005D4898"/>
    <w:rsid w:val="005D48C0"/>
    <w:rsid w:val="005D4A1C"/>
    <w:rsid w:val="005D4B1A"/>
    <w:rsid w:val="005D4D74"/>
    <w:rsid w:val="005D4E30"/>
    <w:rsid w:val="005D4EC5"/>
    <w:rsid w:val="005D4EFB"/>
    <w:rsid w:val="005D5036"/>
    <w:rsid w:val="005D5145"/>
    <w:rsid w:val="005D5193"/>
    <w:rsid w:val="005D51BF"/>
    <w:rsid w:val="005D5355"/>
    <w:rsid w:val="005D53E7"/>
    <w:rsid w:val="005D53F6"/>
    <w:rsid w:val="005D5462"/>
    <w:rsid w:val="005D54FA"/>
    <w:rsid w:val="005D56BA"/>
    <w:rsid w:val="005D5924"/>
    <w:rsid w:val="005D59CD"/>
    <w:rsid w:val="005D59EE"/>
    <w:rsid w:val="005D5A9E"/>
    <w:rsid w:val="005D5B82"/>
    <w:rsid w:val="005D5C0A"/>
    <w:rsid w:val="005D5C13"/>
    <w:rsid w:val="005D5C80"/>
    <w:rsid w:val="005D5CB8"/>
    <w:rsid w:val="005D5CF8"/>
    <w:rsid w:val="005D5D2D"/>
    <w:rsid w:val="005D5E2C"/>
    <w:rsid w:val="005D6304"/>
    <w:rsid w:val="005D647D"/>
    <w:rsid w:val="005D6940"/>
    <w:rsid w:val="005D69B6"/>
    <w:rsid w:val="005D6C23"/>
    <w:rsid w:val="005D6C7B"/>
    <w:rsid w:val="005D6CA9"/>
    <w:rsid w:val="005D6E35"/>
    <w:rsid w:val="005D6F06"/>
    <w:rsid w:val="005D6F3A"/>
    <w:rsid w:val="005D70D4"/>
    <w:rsid w:val="005D7214"/>
    <w:rsid w:val="005D722F"/>
    <w:rsid w:val="005D72DF"/>
    <w:rsid w:val="005D73A1"/>
    <w:rsid w:val="005D761B"/>
    <w:rsid w:val="005D7665"/>
    <w:rsid w:val="005D7827"/>
    <w:rsid w:val="005D784D"/>
    <w:rsid w:val="005D78A0"/>
    <w:rsid w:val="005D7AB9"/>
    <w:rsid w:val="005D7CB2"/>
    <w:rsid w:val="005D7DF9"/>
    <w:rsid w:val="005D7E66"/>
    <w:rsid w:val="005D7F82"/>
    <w:rsid w:val="005D7FB0"/>
    <w:rsid w:val="005E0015"/>
    <w:rsid w:val="005E01C2"/>
    <w:rsid w:val="005E040B"/>
    <w:rsid w:val="005E051A"/>
    <w:rsid w:val="005E05A7"/>
    <w:rsid w:val="005E074D"/>
    <w:rsid w:val="005E07C0"/>
    <w:rsid w:val="005E0828"/>
    <w:rsid w:val="005E0870"/>
    <w:rsid w:val="005E08BC"/>
    <w:rsid w:val="005E0CD3"/>
    <w:rsid w:val="005E0DA4"/>
    <w:rsid w:val="005E0E40"/>
    <w:rsid w:val="005E1043"/>
    <w:rsid w:val="005E115E"/>
    <w:rsid w:val="005E1378"/>
    <w:rsid w:val="005E13A4"/>
    <w:rsid w:val="005E149E"/>
    <w:rsid w:val="005E14B8"/>
    <w:rsid w:val="005E1595"/>
    <w:rsid w:val="005E15BB"/>
    <w:rsid w:val="005E15D3"/>
    <w:rsid w:val="005E15E1"/>
    <w:rsid w:val="005E15E5"/>
    <w:rsid w:val="005E1733"/>
    <w:rsid w:val="005E1787"/>
    <w:rsid w:val="005E1826"/>
    <w:rsid w:val="005E1927"/>
    <w:rsid w:val="005E1B53"/>
    <w:rsid w:val="005E1B5F"/>
    <w:rsid w:val="005E1CA4"/>
    <w:rsid w:val="005E1D3B"/>
    <w:rsid w:val="005E1D5E"/>
    <w:rsid w:val="005E1D62"/>
    <w:rsid w:val="005E1DD2"/>
    <w:rsid w:val="005E1E0F"/>
    <w:rsid w:val="005E1FD6"/>
    <w:rsid w:val="005E2022"/>
    <w:rsid w:val="005E2029"/>
    <w:rsid w:val="005E215B"/>
    <w:rsid w:val="005E246B"/>
    <w:rsid w:val="005E2697"/>
    <w:rsid w:val="005E2710"/>
    <w:rsid w:val="005E27CE"/>
    <w:rsid w:val="005E280F"/>
    <w:rsid w:val="005E2ABD"/>
    <w:rsid w:val="005E2B5A"/>
    <w:rsid w:val="005E2BC5"/>
    <w:rsid w:val="005E2C64"/>
    <w:rsid w:val="005E2C6F"/>
    <w:rsid w:val="005E2DE1"/>
    <w:rsid w:val="005E2E24"/>
    <w:rsid w:val="005E2ED3"/>
    <w:rsid w:val="005E2F04"/>
    <w:rsid w:val="005E2F2A"/>
    <w:rsid w:val="005E30BB"/>
    <w:rsid w:val="005E31F5"/>
    <w:rsid w:val="005E34D9"/>
    <w:rsid w:val="005E3514"/>
    <w:rsid w:val="005E36BB"/>
    <w:rsid w:val="005E37C7"/>
    <w:rsid w:val="005E38F9"/>
    <w:rsid w:val="005E38FC"/>
    <w:rsid w:val="005E3964"/>
    <w:rsid w:val="005E39C2"/>
    <w:rsid w:val="005E39D6"/>
    <w:rsid w:val="005E3A58"/>
    <w:rsid w:val="005E3B4F"/>
    <w:rsid w:val="005E3DC3"/>
    <w:rsid w:val="005E3EC5"/>
    <w:rsid w:val="005E3F95"/>
    <w:rsid w:val="005E3FF9"/>
    <w:rsid w:val="005E4066"/>
    <w:rsid w:val="005E4144"/>
    <w:rsid w:val="005E414C"/>
    <w:rsid w:val="005E419A"/>
    <w:rsid w:val="005E41AD"/>
    <w:rsid w:val="005E427F"/>
    <w:rsid w:val="005E4397"/>
    <w:rsid w:val="005E439A"/>
    <w:rsid w:val="005E4444"/>
    <w:rsid w:val="005E44F9"/>
    <w:rsid w:val="005E45D4"/>
    <w:rsid w:val="005E4603"/>
    <w:rsid w:val="005E462E"/>
    <w:rsid w:val="005E4631"/>
    <w:rsid w:val="005E4A15"/>
    <w:rsid w:val="005E4A37"/>
    <w:rsid w:val="005E4A50"/>
    <w:rsid w:val="005E4C20"/>
    <w:rsid w:val="005E4E2D"/>
    <w:rsid w:val="005E4F72"/>
    <w:rsid w:val="005E5177"/>
    <w:rsid w:val="005E51F8"/>
    <w:rsid w:val="005E527B"/>
    <w:rsid w:val="005E530D"/>
    <w:rsid w:val="005E53A6"/>
    <w:rsid w:val="005E53D1"/>
    <w:rsid w:val="005E54B8"/>
    <w:rsid w:val="005E54D5"/>
    <w:rsid w:val="005E5545"/>
    <w:rsid w:val="005E56DD"/>
    <w:rsid w:val="005E5740"/>
    <w:rsid w:val="005E57F2"/>
    <w:rsid w:val="005E588D"/>
    <w:rsid w:val="005E592A"/>
    <w:rsid w:val="005E59C0"/>
    <w:rsid w:val="005E5BA7"/>
    <w:rsid w:val="005E5BBF"/>
    <w:rsid w:val="005E5D4F"/>
    <w:rsid w:val="005E5E1A"/>
    <w:rsid w:val="005E5E4D"/>
    <w:rsid w:val="005E5F32"/>
    <w:rsid w:val="005E6456"/>
    <w:rsid w:val="005E64F2"/>
    <w:rsid w:val="005E652B"/>
    <w:rsid w:val="005E6588"/>
    <w:rsid w:val="005E6799"/>
    <w:rsid w:val="005E68A5"/>
    <w:rsid w:val="005E6902"/>
    <w:rsid w:val="005E6A7B"/>
    <w:rsid w:val="005E6AF0"/>
    <w:rsid w:val="005E6CAC"/>
    <w:rsid w:val="005E6DFA"/>
    <w:rsid w:val="005E6F40"/>
    <w:rsid w:val="005E712B"/>
    <w:rsid w:val="005E7246"/>
    <w:rsid w:val="005E724A"/>
    <w:rsid w:val="005E7533"/>
    <w:rsid w:val="005E7A56"/>
    <w:rsid w:val="005E7C1E"/>
    <w:rsid w:val="005E7C65"/>
    <w:rsid w:val="005E7E32"/>
    <w:rsid w:val="005E7EB9"/>
    <w:rsid w:val="005E7ED3"/>
    <w:rsid w:val="005E7F70"/>
    <w:rsid w:val="005E7F82"/>
    <w:rsid w:val="005F0394"/>
    <w:rsid w:val="005F085C"/>
    <w:rsid w:val="005F08F2"/>
    <w:rsid w:val="005F099C"/>
    <w:rsid w:val="005F0A90"/>
    <w:rsid w:val="005F0B32"/>
    <w:rsid w:val="005F0B9E"/>
    <w:rsid w:val="005F0C30"/>
    <w:rsid w:val="005F0E1C"/>
    <w:rsid w:val="005F0E5D"/>
    <w:rsid w:val="005F0E61"/>
    <w:rsid w:val="005F0F84"/>
    <w:rsid w:val="005F0FFF"/>
    <w:rsid w:val="005F1133"/>
    <w:rsid w:val="005F1592"/>
    <w:rsid w:val="005F159A"/>
    <w:rsid w:val="005F15BB"/>
    <w:rsid w:val="005F15C3"/>
    <w:rsid w:val="005F160E"/>
    <w:rsid w:val="005F1615"/>
    <w:rsid w:val="005F1804"/>
    <w:rsid w:val="005F18CF"/>
    <w:rsid w:val="005F1A16"/>
    <w:rsid w:val="005F1A35"/>
    <w:rsid w:val="005F1ABC"/>
    <w:rsid w:val="005F1ACF"/>
    <w:rsid w:val="005F1ADB"/>
    <w:rsid w:val="005F1CC6"/>
    <w:rsid w:val="005F1D34"/>
    <w:rsid w:val="005F1E99"/>
    <w:rsid w:val="005F1FDB"/>
    <w:rsid w:val="005F2087"/>
    <w:rsid w:val="005F2221"/>
    <w:rsid w:val="005F2345"/>
    <w:rsid w:val="005F2454"/>
    <w:rsid w:val="005F258B"/>
    <w:rsid w:val="005F25FE"/>
    <w:rsid w:val="005F2601"/>
    <w:rsid w:val="005F27B2"/>
    <w:rsid w:val="005F2BF4"/>
    <w:rsid w:val="005F2CD1"/>
    <w:rsid w:val="005F2D68"/>
    <w:rsid w:val="005F2FDE"/>
    <w:rsid w:val="005F3080"/>
    <w:rsid w:val="005F335B"/>
    <w:rsid w:val="005F3421"/>
    <w:rsid w:val="005F3463"/>
    <w:rsid w:val="005F379C"/>
    <w:rsid w:val="005F394A"/>
    <w:rsid w:val="005F3A0B"/>
    <w:rsid w:val="005F3A91"/>
    <w:rsid w:val="005F3AC1"/>
    <w:rsid w:val="005F3D9D"/>
    <w:rsid w:val="005F3DD3"/>
    <w:rsid w:val="005F4149"/>
    <w:rsid w:val="005F42A7"/>
    <w:rsid w:val="005F42BA"/>
    <w:rsid w:val="005F4387"/>
    <w:rsid w:val="005F4453"/>
    <w:rsid w:val="005F44A4"/>
    <w:rsid w:val="005F45A8"/>
    <w:rsid w:val="005F45A9"/>
    <w:rsid w:val="005F4606"/>
    <w:rsid w:val="005F4714"/>
    <w:rsid w:val="005F4735"/>
    <w:rsid w:val="005F4850"/>
    <w:rsid w:val="005F4886"/>
    <w:rsid w:val="005F48D4"/>
    <w:rsid w:val="005F4A07"/>
    <w:rsid w:val="005F4BAE"/>
    <w:rsid w:val="005F4BB8"/>
    <w:rsid w:val="005F51EE"/>
    <w:rsid w:val="005F53AC"/>
    <w:rsid w:val="005F54BD"/>
    <w:rsid w:val="005F54D1"/>
    <w:rsid w:val="005F564F"/>
    <w:rsid w:val="005F5731"/>
    <w:rsid w:val="005F5871"/>
    <w:rsid w:val="005F5AC9"/>
    <w:rsid w:val="005F5B13"/>
    <w:rsid w:val="005F5D3E"/>
    <w:rsid w:val="005F5D40"/>
    <w:rsid w:val="005F5E87"/>
    <w:rsid w:val="005F6059"/>
    <w:rsid w:val="005F614D"/>
    <w:rsid w:val="005F6153"/>
    <w:rsid w:val="005F6190"/>
    <w:rsid w:val="005F642C"/>
    <w:rsid w:val="005F64D0"/>
    <w:rsid w:val="005F6671"/>
    <w:rsid w:val="005F670D"/>
    <w:rsid w:val="005F6A20"/>
    <w:rsid w:val="005F6A59"/>
    <w:rsid w:val="005F6B4A"/>
    <w:rsid w:val="005F6B83"/>
    <w:rsid w:val="005F6F4E"/>
    <w:rsid w:val="005F7252"/>
    <w:rsid w:val="005F7266"/>
    <w:rsid w:val="005F7732"/>
    <w:rsid w:val="005F7855"/>
    <w:rsid w:val="005F794B"/>
    <w:rsid w:val="005F7953"/>
    <w:rsid w:val="005F797B"/>
    <w:rsid w:val="005F798A"/>
    <w:rsid w:val="005F79AF"/>
    <w:rsid w:val="005F7A24"/>
    <w:rsid w:val="005F7A99"/>
    <w:rsid w:val="005F7E17"/>
    <w:rsid w:val="005F7E27"/>
    <w:rsid w:val="005F7EA7"/>
    <w:rsid w:val="005F7ECE"/>
    <w:rsid w:val="005F7F4E"/>
    <w:rsid w:val="005FB837"/>
    <w:rsid w:val="00600171"/>
    <w:rsid w:val="006002CE"/>
    <w:rsid w:val="00600471"/>
    <w:rsid w:val="006004D4"/>
    <w:rsid w:val="0060058A"/>
    <w:rsid w:val="006007C6"/>
    <w:rsid w:val="00600887"/>
    <w:rsid w:val="00600A0A"/>
    <w:rsid w:val="00600A83"/>
    <w:rsid w:val="00600B56"/>
    <w:rsid w:val="00600CD0"/>
    <w:rsid w:val="00600D65"/>
    <w:rsid w:val="00600DE9"/>
    <w:rsid w:val="00600E4C"/>
    <w:rsid w:val="006010BF"/>
    <w:rsid w:val="006010C8"/>
    <w:rsid w:val="006011F2"/>
    <w:rsid w:val="00601486"/>
    <w:rsid w:val="0060166C"/>
    <w:rsid w:val="0060167E"/>
    <w:rsid w:val="00601691"/>
    <w:rsid w:val="0060182F"/>
    <w:rsid w:val="00601870"/>
    <w:rsid w:val="00601992"/>
    <w:rsid w:val="00601A0F"/>
    <w:rsid w:val="00601BAB"/>
    <w:rsid w:val="00601E67"/>
    <w:rsid w:val="00601F77"/>
    <w:rsid w:val="0060208D"/>
    <w:rsid w:val="00602114"/>
    <w:rsid w:val="006021F9"/>
    <w:rsid w:val="00602251"/>
    <w:rsid w:val="006022E5"/>
    <w:rsid w:val="0060244C"/>
    <w:rsid w:val="00602551"/>
    <w:rsid w:val="006026C5"/>
    <w:rsid w:val="00602740"/>
    <w:rsid w:val="006027A9"/>
    <w:rsid w:val="006027B7"/>
    <w:rsid w:val="006027F5"/>
    <w:rsid w:val="006029C4"/>
    <w:rsid w:val="00602F37"/>
    <w:rsid w:val="00603069"/>
    <w:rsid w:val="0060319F"/>
    <w:rsid w:val="006031DA"/>
    <w:rsid w:val="00603208"/>
    <w:rsid w:val="0060324B"/>
    <w:rsid w:val="0060324C"/>
    <w:rsid w:val="006032AD"/>
    <w:rsid w:val="00603375"/>
    <w:rsid w:val="006033AE"/>
    <w:rsid w:val="00603562"/>
    <w:rsid w:val="006036B6"/>
    <w:rsid w:val="006036E1"/>
    <w:rsid w:val="00603729"/>
    <w:rsid w:val="00603880"/>
    <w:rsid w:val="00603AFD"/>
    <w:rsid w:val="00603B3D"/>
    <w:rsid w:val="00603DA8"/>
    <w:rsid w:val="00603DF1"/>
    <w:rsid w:val="00603E56"/>
    <w:rsid w:val="00604101"/>
    <w:rsid w:val="0060414F"/>
    <w:rsid w:val="00604185"/>
    <w:rsid w:val="00604319"/>
    <w:rsid w:val="00604333"/>
    <w:rsid w:val="0060439B"/>
    <w:rsid w:val="00604560"/>
    <w:rsid w:val="00604580"/>
    <w:rsid w:val="0060459C"/>
    <w:rsid w:val="006045BB"/>
    <w:rsid w:val="0060478B"/>
    <w:rsid w:val="00604A25"/>
    <w:rsid w:val="00604A68"/>
    <w:rsid w:val="00604A85"/>
    <w:rsid w:val="00604A9F"/>
    <w:rsid w:val="00604AAE"/>
    <w:rsid w:val="00604D15"/>
    <w:rsid w:val="00604D53"/>
    <w:rsid w:val="00604D8C"/>
    <w:rsid w:val="00604EBA"/>
    <w:rsid w:val="00604EF0"/>
    <w:rsid w:val="00604FF5"/>
    <w:rsid w:val="0060502A"/>
    <w:rsid w:val="0060510A"/>
    <w:rsid w:val="006051D2"/>
    <w:rsid w:val="00605248"/>
    <w:rsid w:val="00605255"/>
    <w:rsid w:val="006052B3"/>
    <w:rsid w:val="006052BD"/>
    <w:rsid w:val="0060536F"/>
    <w:rsid w:val="006053B6"/>
    <w:rsid w:val="006053E6"/>
    <w:rsid w:val="006055A2"/>
    <w:rsid w:val="006056A6"/>
    <w:rsid w:val="006057F0"/>
    <w:rsid w:val="00605818"/>
    <w:rsid w:val="0060588A"/>
    <w:rsid w:val="0060592F"/>
    <w:rsid w:val="0060596C"/>
    <w:rsid w:val="006059D1"/>
    <w:rsid w:val="006059E0"/>
    <w:rsid w:val="00605A22"/>
    <w:rsid w:val="00605D53"/>
    <w:rsid w:val="00605DDB"/>
    <w:rsid w:val="00605E94"/>
    <w:rsid w:val="00605F8B"/>
    <w:rsid w:val="006060C4"/>
    <w:rsid w:val="0060624E"/>
    <w:rsid w:val="00606281"/>
    <w:rsid w:val="006062D9"/>
    <w:rsid w:val="006062E5"/>
    <w:rsid w:val="00606396"/>
    <w:rsid w:val="00606434"/>
    <w:rsid w:val="0060643C"/>
    <w:rsid w:val="00606623"/>
    <w:rsid w:val="006067A5"/>
    <w:rsid w:val="006067EB"/>
    <w:rsid w:val="00606818"/>
    <w:rsid w:val="00606950"/>
    <w:rsid w:val="00606A12"/>
    <w:rsid w:val="00606B7C"/>
    <w:rsid w:val="00606B8A"/>
    <w:rsid w:val="00606BBB"/>
    <w:rsid w:val="00606BCB"/>
    <w:rsid w:val="00606CC2"/>
    <w:rsid w:val="00606CE9"/>
    <w:rsid w:val="00606D1E"/>
    <w:rsid w:val="00606DC1"/>
    <w:rsid w:val="00606EEF"/>
    <w:rsid w:val="00606F57"/>
    <w:rsid w:val="00606FA0"/>
    <w:rsid w:val="0060708B"/>
    <w:rsid w:val="006070BF"/>
    <w:rsid w:val="0060717C"/>
    <w:rsid w:val="00607558"/>
    <w:rsid w:val="00607736"/>
    <w:rsid w:val="00607808"/>
    <w:rsid w:val="00607A1B"/>
    <w:rsid w:val="00607A7C"/>
    <w:rsid w:val="00607C2C"/>
    <w:rsid w:val="00607DE0"/>
    <w:rsid w:val="00607EF4"/>
    <w:rsid w:val="00607FFB"/>
    <w:rsid w:val="006100DE"/>
    <w:rsid w:val="00610210"/>
    <w:rsid w:val="00610322"/>
    <w:rsid w:val="0061055E"/>
    <w:rsid w:val="006105E6"/>
    <w:rsid w:val="00610652"/>
    <w:rsid w:val="0061075B"/>
    <w:rsid w:val="00610851"/>
    <w:rsid w:val="006108C5"/>
    <w:rsid w:val="006109FE"/>
    <w:rsid w:val="00610A57"/>
    <w:rsid w:val="00610ADB"/>
    <w:rsid w:val="00610B6B"/>
    <w:rsid w:val="00610BBE"/>
    <w:rsid w:val="00610C30"/>
    <w:rsid w:val="00611132"/>
    <w:rsid w:val="006118D0"/>
    <w:rsid w:val="00611B98"/>
    <w:rsid w:val="00611BD8"/>
    <w:rsid w:val="00611CC7"/>
    <w:rsid w:val="00611DD7"/>
    <w:rsid w:val="00611EFC"/>
    <w:rsid w:val="006120B7"/>
    <w:rsid w:val="006122AB"/>
    <w:rsid w:val="006122CC"/>
    <w:rsid w:val="00612471"/>
    <w:rsid w:val="006125DF"/>
    <w:rsid w:val="00612607"/>
    <w:rsid w:val="00612641"/>
    <w:rsid w:val="00612653"/>
    <w:rsid w:val="0061284F"/>
    <w:rsid w:val="00612928"/>
    <w:rsid w:val="00612A50"/>
    <w:rsid w:val="00612B08"/>
    <w:rsid w:val="00612BF7"/>
    <w:rsid w:val="00612C66"/>
    <w:rsid w:val="00612E85"/>
    <w:rsid w:val="00612E8D"/>
    <w:rsid w:val="006130C8"/>
    <w:rsid w:val="006130D1"/>
    <w:rsid w:val="0061310E"/>
    <w:rsid w:val="00613436"/>
    <w:rsid w:val="0061364B"/>
    <w:rsid w:val="00613650"/>
    <w:rsid w:val="006136FE"/>
    <w:rsid w:val="006137AF"/>
    <w:rsid w:val="006137F3"/>
    <w:rsid w:val="00613E51"/>
    <w:rsid w:val="00613EF6"/>
    <w:rsid w:val="00613F17"/>
    <w:rsid w:val="0061405B"/>
    <w:rsid w:val="006140DF"/>
    <w:rsid w:val="0061410E"/>
    <w:rsid w:val="00614147"/>
    <w:rsid w:val="00614470"/>
    <w:rsid w:val="00614515"/>
    <w:rsid w:val="00614536"/>
    <w:rsid w:val="006145CB"/>
    <w:rsid w:val="006145E1"/>
    <w:rsid w:val="006145F2"/>
    <w:rsid w:val="006147DA"/>
    <w:rsid w:val="006148F4"/>
    <w:rsid w:val="00614A20"/>
    <w:rsid w:val="00614BDD"/>
    <w:rsid w:val="00614CDE"/>
    <w:rsid w:val="00614D29"/>
    <w:rsid w:val="00614FA2"/>
    <w:rsid w:val="006150EF"/>
    <w:rsid w:val="00615489"/>
    <w:rsid w:val="0061576B"/>
    <w:rsid w:val="006157A8"/>
    <w:rsid w:val="00615A35"/>
    <w:rsid w:val="00615A9C"/>
    <w:rsid w:val="00615AEE"/>
    <w:rsid w:val="00615C77"/>
    <w:rsid w:val="00615EDC"/>
    <w:rsid w:val="00615EE1"/>
    <w:rsid w:val="006160AA"/>
    <w:rsid w:val="0061625D"/>
    <w:rsid w:val="006162AC"/>
    <w:rsid w:val="006164C5"/>
    <w:rsid w:val="00616545"/>
    <w:rsid w:val="006166AB"/>
    <w:rsid w:val="006166ED"/>
    <w:rsid w:val="00616739"/>
    <w:rsid w:val="006168E9"/>
    <w:rsid w:val="00616E59"/>
    <w:rsid w:val="00616FA6"/>
    <w:rsid w:val="006172D8"/>
    <w:rsid w:val="00617307"/>
    <w:rsid w:val="00617335"/>
    <w:rsid w:val="006174C0"/>
    <w:rsid w:val="006177B1"/>
    <w:rsid w:val="006177E3"/>
    <w:rsid w:val="0061795C"/>
    <w:rsid w:val="00617C11"/>
    <w:rsid w:val="00617C45"/>
    <w:rsid w:val="00617CFD"/>
    <w:rsid w:val="00617DEA"/>
    <w:rsid w:val="0062015C"/>
    <w:rsid w:val="00620228"/>
    <w:rsid w:val="006202A1"/>
    <w:rsid w:val="006202BD"/>
    <w:rsid w:val="006202C7"/>
    <w:rsid w:val="006203A7"/>
    <w:rsid w:val="006204B6"/>
    <w:rsid w:val="00620521"/>
    <w:rsid w:val="00620555"/>
    <w:rsid w:val="006206F7"/>
    <w:rsid w:val="0062073C"/>
    <w:rsid w:val="006208A0"/>
    <w:rsid w:val="006208D6"/>
    <w:rsid w:val="00620974"/>
    <w:rsid w:val="00620D7D"/>
    <w:rsid w:val="00620DBC"/>
    <w:rsid w:val="00621125"/>
    <w:rsid w:val="0062119C"/>
    <w:rsid w:val="0062126B"/>
    <w:rsid w:val="006212F0"/>
    <w:rsid w:val="00621369"/>
    <w:rsid w:val="00621499"/>
    <w:rsid w:val="006214EB"/>
    <w:rsid w:val="006216CC"/>
    <w:rsid w:val="006216F2"/>
    <w:rsid w:val="006217F4"/>
    <w:rsid w:val="0062198A"/>
    <w:rsid w:val="006219B5"/>
    <w:rsid w:val="00621A5B"/>
    <w:rsid w:val="00621AA1"/>
    <w:rsid w:val="00621B47"/>
    <w:rsid w:val="00621B86"/>
    <w:rsid w:val="00621D68"/>
    <w:rsid w:val="00621D9D"/>
    <w:rsid w:val="00621DD6"/>
    <w:rsid w:val="00622007"/>
    <w:rsid w:val="00622096"/>
    <w:rsid w:val="006220C9"/>
    <w:rsid w:val="0062215F"/>
    <w:rsid w:val="0062231D"/>
    <w:rsid w:val="0062238F"/>
    <w:rsid w:val="0062263D"/>
    <w:rsid w:val="00622878"/>
    <w:rsid w:val="00622A78"/>
    <w:rsid w:val="00622ADD"/>
    <w:rsid w:val="00622BF4"/>
    <w:rsid w:val="00622C19"/>
    <w:rsid w:val="00622DB4"/>
    <w:rsid w:val="00622E17"/>
    <w:rsid w:val="00622E4A"/>
    <w:rsid w:val="00622EC6"/>
    <w:rsid w:val="00622FAD"/>
    <w:rsid w:val="00623032"/>
    <w:rsid w:val="0062304A"/>
    <w:rsid w:val="006231C4"/>
    <w:rsid w:val="006232DD"/>
    <w:rsid w:val="006233AA"/>
    <w:rsid w:val="006233AC"/>
    <w:rsid w:val="006233C7"/>
    <w:rsid w:val="006233F6"/>
    <w:rsid w:val="00623521"/>
    <w:rsid w:val="0062354D"/>
    <w:rsid w:val="006236D3"/>
    <w:rsid w:val="006237E0"/>
    <w:rsid w:val="006238CA"/>
    <w:rsid w:val="0062390E"/>
    <w:rsid w:val="00623962"/>
    <w:rsid w:val="00623B6B"/>
    <w:rsid w:val="00623BD7"/>
    <w:rsid w:val="00623C81"/>
    <w:rsid w:val="00623CD2"/>
    <w:rsid w:val="00623CE5"/>
    <w:rsid w:val="00623CF7"/>
    <w:rsid w:val="00623D74"/>
    <w:rsid w:val="00623DC0"/>
    <w:rsid w:val="00623E18"/>
    <w:rsid w:val="00623EFB"/>
    <w:rsid w:val="00623F11"/>
    <w:rsid w:val="00623F57"/>
    <w:rsid w:val="00624458"/>
    <w:rsid w:val="006246F5"/>
    <w:rsid w:val="0062477E"/>
    <w:rsid w:val="00624787"/>
    <w:rsid w:val="006249BB"/>
    <w:rsid w:val="00624C15"/>
    <w:rsid w:val="00624EF1"/>
    <w:rsid w:val="0062501D"/>
    <w:rsid w:val="006251AD"/>
    <w:rsid w:val="006251BC"/>
    <w:rsid w:val="00625236"/>
    <w:rsid w:val="006252A8"/>
    <w:rsid w:val="00625363"/>
    <w:rsid w:val="00625454"/>
    <w:rsid w:val="006254CE"/>
    <w:rsid w:val="006254F2"/>
    <w:rsid w:val="006257D4"/>
    <w:rsid w:val="00625A37"/>
    <w:rsid w:val="00625B9C"/>
    <w:rsid w:val="00625D62"/>
    <w:rsid w:val="00625D7C"/>
    <w:rsid w:val="00625ECE"/>
    <w:rsid w:val="00625F3A"/>
    <w:rsid w:val="0062607A"/>
    <w:rsid w:val="006262B2"/>
    <w:rsid w:val="0062682B"/>
    <w:rsid w:val="00626C75"/>
    <w:rsid w:val="00626E99"/>
    <w:rsid w:val="00627566"/>
    <w:rsid w:val="00627567"/>
    <w:rsid w:val="006275C1"/>
    <w:rsid w:val="0062767A"/>
    <w:rsid w:val="00627688"/>
    <w:rsid w:val="006276C2"/>
    <w:rsid w:val="006276FD"/>
    <w:rsid w:val="0062787E"/>
    <w:rsid w:val="00627A20"/>
    <w:rsid w:val="00627A8A"/>
    <w:rsid w:val="00627AB3"/>
    <w:rsid w:val="00627B7B"/>
    <w:rsid w:val="00627CF6"/>
    <w:rsid w:val="00627FA6"/>
    <w:rsid w:val="00627FC7"/>
    <w:rsid w:val="00630045"/>
    <w:rsid w:val="006300E9"/>
    <w:rsid w:val="0063013C"/>
    <w:rsid w:val="0063015F"/>
    <w:rsid w:val="0063019E"/>
    <w:rsid w:val="006302A0"/>
    <w:rsid w:val="006303D6"/>
    <w:rsid w:val="00630493"/>
    <w:rsid w:val="006304EE"/>
    <w:rsid w:val="0063065E"/>
    <w:rsid w:val="0063089A"/>
    <w:rsid w:val="006308A9"/>
    <w:rsid w:val="006308B9"/>
    <w:rsid w:val="006308D8"/>
    <w:rsid w:val="0063096A"/>
    <w:rsid w:val="0063097D"/>
    <w:rsid w:val="00630B03"/>
    <w:rsid w:val="00630B3F"/>
    <w:rsid w:val="00630EE3"/>
    <w:rsid w:val="00630EFE"/>
    <w:rsid w:val="00631260"/>
    <w:rsid w:val="006312D0"/>
    <w:rsid w:val="00631335"/>
    <w:rsid w:val="00631410"/>
    <w:rsid w:val="00631435"/>
    <w:rsid w:val="0063143D"/>
    <w:rsid w:val="00631510"/>
    <w:rsid w:val="00631516"/>
    <w:rsid w:val="006315EB"/>
    <w:rsid w:val="00631658"/>
    <w:rsid w:val="006316EB"/>
    <w:rsid w:val="006317A2"/>
    <w:rsid w:val="006318B7"/>
    <w:rsid w:val="00631C5A"/>
    <w:rsid w:val="00631C66"/>
    <w:rsid w:val="00631CFE"/>
    <w:rsid w:val="00631F3C"/>
    <w:rsid w:val="00631F87"/>
    <w:rsid w:val="006320C5"/>
    <w:rsid w:val="00632266"/>
    <w:rsid w:val="006323A7"/>
    <w:rsid w:val="00632495"/>
    <w:rsid w:val="0063259D"/>
    <w:rsid w:val="006325D0"/>
    <w:rsid w:val="0063276B"/>
    <w:rsid w:val="0063299C"/>
    <w:rsid w:val="006329E9"/>
    <w:rsid w:val="00632D4B"/>
    <w:rsid w:val="00632E47"/>
    <w:rsid w:val="00632EA5"/>
    <w:rsid w:val="00632F30"/>
    <w:rsid w:val="006334F7"/>
    <w:rsid w:val="0063360D"/>
    <w:rsid w:val="00633668"/>
    <w:rsid w:val="00633682"/>
    <w:rsid w:val="0063379B"/>
    <w:rsid w:val="00633ACD"/>
    <w:rsid w:val="00633B49"/>
    <w:rsid w:val="00633BAB"/>
    <w:rsid w:val="00633BD3"/>
    <w:rsid w:val="00633C13"/>
    <w:rsid w:val="00633D08"/>
    <w:rsid w:val="00633F52"/>
    <w:rsid w:val="00633FF2"/>
    <w:rsid w:val="00634123"/>
    <w:rsid w:val="006341AF"/>
    <w:rsid w:val="0063445C"/>
    <w:rsid w:val="0063449A"/>
    <w:rsid w:val="006347FA"/>
    <w:rsid w:val="0063486C"/>
    <w:rsid w:val="00634909"/>
    <w:rsid w:val="00634AFC"/>
    <w:rsid w:val="00634D63"/>
    <w:rsid w:val="00635111"/>
    <w:rsid w:val="00635167"/>
    <w:rsid w:val="0063526B"/>
    <w:rsid w:val="006353DE"/>
    <w:rsid w:val="0063547F"/>
    <w:rsid w:val="00635484"/>
    <w:rsid w:val="006356D7"/>
    <w:rsid w:val="00635703"/>
    <w:rsid w:val="0063574E"/>
    <w:rsid w:val="00635857"/>
    <w:rsid w:val="0063585E"/>
    <w:rsid w:val="0063586A"/>
    <w:rsid w:val="0063592A"/>
    <w:rsid w:val="00635988"/>
    <w:rsid w:val="006359DD"/>
    <w:rsid w:val="00635AA0"/>
    <w:rsid w:val="00635CA2"/>
    <w:rsid w:val="00635F2B"/>
    <w:rsid w:val="00635F31"/>
    <w:rsid w:val="00635F56"/>
    <w:rsid w:val="0063608E"/>
    <w:rsid w:val="006362AB"/>
    <w:rsid w:val="00636357"/>
    <w:rsid w:val="00636626"/>
    <w:rsid w:val="0063668D"/>
    <w:rsid w:val="006368C9"/>
    <w:rsid w:val="00636956"/>
    <w:rsid w:val="0063697B"/>
    <w:rsid w:val="00636C08"/>
    <w:rsid w:val="00636CCE"/>
    <w:rsid w:val="00636DD0"/>
    <w:rsid w:val="00636E4C"/>
    <w:rsid w:val="00637072"/>
    <w:rsid w:val="006370A3"/>
    <w:rsid w:val="006372D8"/>
    <w:rsid w:val="006373A2"/>
    <w:rsid w:val="0063746C"/>
    <w:rsid w:val="00637A9A"/>
    <w:rsid w:val="00637B90"/>
    <w:rsid w:val="00637BF4"/>
    <w:rsid w:val="00637C32"/>
    <w:rsid w:val="00637C6D"/>
    <w:rsid w:val="00637D6A"/>
    <w:rsid w:val="00637EB4"/>
    <w:rsid w:val="00640387"/>
    <w:rsid w:val="00640594"/>
    <w:rsid w:val="006405DA"/>
    <w:rsid w:val="00640667"/>
    <w:rsid w:val="00640833"/>
    <w:rsid w:val="00640871"/>
    <w:rsid w:val="006408FF"/>
    <w:rsid w:val="00640A18"/>
    <w:rsid w:val="00640A8E"/>
    <w:rsid w:val="00640BD9"/>
    <w:rsid w:val="00640C01"/>
    <w:rsid w:val="00640DAC"/>
    <w:rsid w:val="00640ED9"/>
    <w:rsid w:val="00640F2E"/>
    <w:rsid w:val="00640F51"/>
    <w:rsid w:val="00640FEB"/>
    <w:rsid w:val="006411D7"/>
    <w:rsid w:val="0064123B"/>
    <w:rsid w:val="0064123E"/>
    <w:rsid w:val="00641250"/>
    <w:rsid w:val="0064137C"/>
    <w:rsid w:val="00641559"/>
    <w:rsid w:val="00641595"/>
    <w:rsid w:val="006416AD"/>
    <w:rsid w:val="0064175E"/>
    <w:rsid w:val="0064182C"/>
    <w:rsid w:val="006419C5"/>
    <w:rsid w:val="00641ADC"/>
    <w:rsid w:val="00641C97"/>
    <w:rsid w:val="00641F26"/>
    <w:rsid w:val="00641F2C"/>
    <w:rsid w:val="0064207A"/>
    <w:rsid w:val="00642266"/>
    <w:rsid w:val="0064229A"/>
    <w:rsid w:val="006424FB"/>
    <w:rsid w:val="0064252E"/>
    <w:rsid w:val="00642976"/>
    <w:rsid w:val="00642AEB"/>
    <w:rsid w:val="00642B4B"/>
    <w:rsid w:val="00642BF0"/>
    <w:rsid w:val="00642CB4"/>
    <w:rsid w:val="00642DAB"/>
    <w:rsid w:val="00642F2E"/>
    <w:rsid w:val="00642F94"/>
    <w:rsid w:val="0064305B"/>
    <w:rsid w:val="006431CD"/>
    <w:rsid w:val="00643355"/>
    <w:rsid w:val="006434B9"/>
    <w:rsid w:val="00643597"/>
    <w:rsid w:val="0064363C"/>
    <w:rsid w:val="0064388E"/>
    <w:rsid w:val="00643C40"/>
    <w:rsid w:val="00643CAD"/>
    <w:rsid w:val="00643D57"/>
    <w:rsid w:val="00643DBB"/>
    <w:rsid w:val="006442B9"/>
    <w:rsid w:val="00644315"/>
    <w:rsid w:val="0064433A"/>
    <w:rsid w:val="006447E2"/>
    <w:rsid w:val="0064491B"/>
    <w:rsid w:val="006449F9"/>
    <w:rsid w:val="00644A99"/>
    <w:rsid w:val="00644AD4"/>
    <w:rsid w:val="00644E09"/>
    <w:rsid w:val="00644E1B"/>
    <w:rsid w:val="00644F04"/>
    <w:rsid w:val="00644F06"/>
    <w:rsid w:val="00644FDB"/>
    <w:rsid w:val="00645033"/>
    <w:rsid w:val="00645075"/>
    <w:rsid w:val="00645130"/>
    <w:rsid w:val="006451BC"/>
    <w:rsid w:val="006451E1"/>
    <w:rsid w:val="006455E1"/>
    <w:rsid w:val="0064567A"/>
    <w:rsid w:val="00645818"/>
    <w:rsid w:val="00645969"/>
    <w:rsid w:val="00645A11"/>
    <w:rsid w:val="00645C17"/>
    <w:rsid w:val="00645C31"/>
    <w:rsid w:val="00645F48"/>
    <w:rsid w:val="006460E4"/>
    <w:rsid w:val="00646179"/>
    <w:rsid w:val="00646199"/>
    <w:rsid w:val="00646270"/>
    <w:rsid w:val="00646439"/>
    <w:rsid w:val="006464AA"/>
    <w:rsid w:val="006464F6"/>
    <w:rsid w:val="00646546"/>
    <w:rsid w:val="0064655B"/>
    <w:rsid w:val="006465E9"/>
    <w:rsid w:val="00646764"/>
    <w:rsid w:val="00646903"/>
    <w:rsid w:val="00646A31"/>
    <w:rsid w:val="00646C2E"/>
    <w:rsid w:val="00646CFA"/>
    <w:rsid w:val="00646DA7"/>
    <w:rsid w:val="00646DD0"/>
    <w:rsid w:val="00646E14"/>
    <w:rsid w:val="00646ED5"/>
    <w:rsid w:val="006471A5"/>
    <w:rsid w:val="006474A9"/>
    <w:rsid w:val="006476B4"/>
    <w:rsid w:val="00647727"/>
    <w:rsid w:val="00647755"/>
    <w:rsid w:val="0064777D"/>
    <w:rsid w:val="00647799"/>
    <w:rsid w:val="006478F5"/>
    <w:rsid w:val="00647A5A"/>
    <w:rsid w:val="00647AB3"/>
    <w:rsid w:val="00647BAE"/>
    <w:rsid w:val="00647BC4"/>
    <w:rsid w:val="00647CFE"/>
    <w:rsid w:val="00647E49"/>
    <w:rsid w:val="00647EB5"/>
    <w:rsid w:val="00647ED8"/>
    <w:rsid w:val="0064F1A2"/>
    <w:rsid w:val="006500CD"/>
    <w:rsid w:val="006500D9"/>
    <w:rsid w:val="006501F4"/>
    <w:rsid w:val="00650455"/>
    <w:rsid w:val="00650544"/>
    <w:rsid w:val="006505DC"/>
    <w:rsid w:val="00650896"/>
    <w:rsid w:val="0065094E"/>
    <w:rsid w:val="00650A31"/>
    <w:rsid w:val="00650B79"/>
    <w:rsid w:val="00650D42"/>
    <w:rsid w:val="00650E9E"/>
    <w:rsid w:val="00650EDD"/>
    <w:rsid w:val="0065101D"/>
    <w:rsid w:val="0065107A"/>
    <w:rsid w:val="006510D4"/>
    <w:rsid w:val="00651175"/>
    <w:rsid w:val="00651212"/>
    <w:rsid w:val="0065146C"/>
    <w:rsid w:val="006514C8"/>
    <w:rsid w:val="006517DD"/>
    <w:rsid w:val="00651852"/>
    <w:rsid w:val="00651A2F"/>
    <w:rsid w:val="00651AF8"/>
    <w:rsid w:val="00651AFD"/>
    <w:rsid w:val="00651B38"/>
    <w:rsid w:val="00651BF7"/>
    <w:rsid w:val="00651CDC"/>
    <w:rsid w:val="0065207C"/>
    <w:rsid w:val="00652149"/>
    <w:rsid w:val="006522E3"/>
    <w:rsid w:val="00652389"/>
    <w:rsid w:val="00652489"/>
    <w:rsid w:val="00652652"/>
    <w:rsid w:val="0065284E"/>
    <w:rsid w:val="00652854"/>
    <w:rsid w:val="006528BD"/>
    <w:rsid w:val="00652957"/>
    <w:rsid w:val="00652977"/>
    <w:rsid w:val="00652A69"/>
    <w:rsid w:val="00652AB2"/>
    <w:rsid w:val="00652B0A"/>
    <w:rsid w:val="00652CE4"/>
    <w:rsid w:val="00652E58"/>
    <w:rsid w:val="00652ECD"/>
    <w:rsid w:val="00652F4A"/>
    <w:rsid w:val="00652F8C"/>
    <w:rsid w:val="0065309F"/>
    <w:rsid w:val="00653285"/>
    <w:rsid w:val="0065359A"/>
    <w:rsid w:val="006535D9"/>
    <w:rsid w:val="0065374D"/>
    <w:rsid w:val="0065386D"/>
    <w:rsid w:val="00653A02"/>
    <w:rsid w:val="00653B20"/>
    <w:rsid w:val="00653C3D"/>
    <w:rsid w:val="00653C7B"/>
    <w:rsid w:val="00653D95"/>
    <w:rsid w:val="00653EC2"/>
    <w:rsid w:val="00654024"/>
    <w:rsid w:val="0065402D"/>
    <w:rsid w:val="006540DC"/>
    <w:rsid w:val="00654116"/>
    <w:rsid w:val="0065414B"/>
    <w:rsid w:val="006541A5"/>
    <w:rsid w:val="00654247"/>
    <w:rsid w:val="006542DB"/>
    <w:rsid w:val="00654380"/>
    <w:rsid w:val="006544D9"/>
    <w:rsid w:val="00654650"/>
    <w:rsid w:val="00654872"/>
    <w:rsid w:val="006548C0"/>
    <w:rsid w:val="0065493A"/>
    <w:rsid w:val="00654954"/>
    <w:rsid w:val="00654B60"/>
    <w:rsid w:val="00654BDF"/>
    <w:rsid w:val="00654D3B"/>
    <w:rsid w:val="00654EEA"/>
    <w:rsid w:val="00654F49"/>
    <w:rsid w:val="00654F4B"/>
    <w:rsid w:val="00654F8C"/>
    <w:rsid w:val="006550FC"/>
    <w:rsid w:val="00655166"/>
    <w:rsid w:val="006551C0"/>
    <w:rsid w:val="00655289"/>
    <w:rsid w:val="006552C0"/>
    <w:rsid w:val="006552F0"/>
    <w:rsid w:val="00655421"/>
    <w:rsid w:val="00655484"/>
    <w:rsid w:val="00655550"/>
    <w:rsid w:val="006557D1"/>
    <w:rsid w:val="00655830"/>
    <w:rsid w:val="00655957"/>
    <w:rsid w:val="00655A48"/>
    <w:rsid w:val="00655C2D"/>
    <w:rsid w:val="00655C51"/>
    <w:rsid w:val="00656003"/>
    <w:rsid w:val="006560CE"/>
    <w:rsid w:val="00656115"/>
    <w:rsid w:val="00656259"/>
    <w:rsid w:val="0065627A"/>
    <w:rsid w:val="00656696"/>
    <w:rsid w:val="00656742"/>
    <w:rsid w:val="006567D7"/>
    <w:rsid w:val="00656835"/>
    <w:rsid w:val="0065687E"/>
    <w:rsid w:val="006568EB"/>
    <w:rsid w:val="00656922"/>
    <w:rsid w:val="00656979"/>
    <w:rsid w:val="006569A5"/>
    <w:rsid w:val="006569FD"/>
    <w:rsid w:val="00656C07"/>
    <w:rsid w:val="00656D4E"/>
    <w:rsid w:val="00656DDA"/>
    <w:rsid w:val="00656EAF"/>
    <w:rsid w:val="006571A0"/>
    <w:rsid w:val="00657237"/>
    <w:rsid w:val="006572E4"/>
    <w:rsid w:val="00657363"/>
    <w:rsid w:val="0065737F"/>
    <w:rsid w:val="00657478"/>
    <w:rsid w:val="006574A6"/>
    <w:rsid w:val="00657564"/>
    <w:rsid w:val="006575CE"/>
    <w:rsid w:val="0065777A"/>
    <w:rsid w:val="00657884"/>
    <w:rsid w:val="006579E7"/>
    <w:rsid w:val="00657A25"/>
    <w:rsid w:val="00657E83"/>
    <w:rsid w:val="00657EF3"/>
    <w:rsid w:val="0066014D"/>
    <w:rsid w:val="00660170"/>
    <w:rsid w:val="006601A4"/>
    <w:rsid w:val="00660241"/>
    <w:rsid w:val="006603C8"/>
    <w:rsid w:val="00660416"/>
    <w:rsid w:val="006606D5"/>
    <w:rsid w:val="00660998"/>
    <w:rsid w:val="00660A0C"/>
    <w:rsid w:val="00660B5D"/>
    <w:rsid w:val="00660DFD"/>
    <w:rsid w:val="00660F2D"/>
    <w:rsid w:val="00660F9E"/>
    <w:rsid w:val="00661114"/>
    <w:rsid w:val="00661399"/>
    <w:rsid w:val="00661960"/>
    <w:rsid w:val="00661BEC"/>
    <w:rsid w:val="00661E4B"/>
    <w:rsid w:val="006621EA"/>
    <w:rsid w:val="00662388"/>
    <w:rsid w:val="006623BB"/>
    <w:rsid w:val="006624E5"/>
    <w:rsid w:val="006626BF"/>
    <w:rsid w:val="00662740"/>
    <w:rsid w:val="006627D5"/>
    <w:rsid w:val="006627E8"/>
    <w:rsid w:val="006627FE"/>
    <w:rsid w:val="006628A2"/>
    <w:rsid w:val="006629BA"/>
    <w:rsid w:val="00662A2B"/>
    <w:rsid w:val="00662B7F"/>
    <w:rsid w:val="00662D81"/>
    <w:rsid w:val="00662ECF"/>
    <w:rsid w:val="00663118"/>
    <w:rsid w:val="006631F9"/>
    <w:rsid w:val="00663456"/>
    <w:rsid w:val="006634F4"/>
    <w:rsid w:val="0066366B"/>
    <w:rsid w:val="00663673"/>
    <w:rsid w:val="006636FC"/>
    <w:rsid w:val="00663712"/>
    <w:rsid w:val="00663824"/>
    <w:rsid w:val="006638ED"/>
    <w:rsid w:val="00663A6B"/>
    <w:rsid w:val="00663B08"/>
    <w:rsid w:val="00663D57"/>
    <w:rsid w:val="00663EF9"/>
    <w:rsid w:val="00663F15"/>
    <w:rsid w:val="00663F7B"/>
    <w:rsid w:val="0066400E"/>
    <w:rsid w:val="00664133"/>
    <w:rsid w:val="00664273"/>
    <w:rsid w:val="006644E3"/>
    <w:rsid w:val="00664594"/>
    <w:rsid w:val="0066483A"/>
    <w:rsid w:val="006648A7"/>
    <w:rsid w:val="00664955"/>
    <w:rsid w:val="00664B06"/>
    <w:rsid w:val="00664B0D"/>
    <w:rsid w:val="00664C2E"/>
    <w:rsid w:val="00664CB5"/>
    <w:rsid w:val="00664CFA"/>
    <w:rsid w:val="00664D28"/>
    <w:rsid w:val="00664D56"/>
    <w:rsid w:val="00664DDF"/>
    <w:rsid w:val="00665017"/>
    <w:rsid w:val="00665037"/>
    <w:rsid w:val="006650E0"/>
    <w:rsid w:val="006651F7"/>
    <w:rsid w:val="006652DE"/>
    <w:rsid w:val="006653FB"/>
    <w:rsid w:val="006656B5"/>
    <w:rsid w:val="00665798"/>
    <w:rsid w:val="006657B6"/>
    <w:rsid w:val="006658A3"/>
    <w:rsid w:val="00665993"/>
    <w:rsid w:val="00665AD6"/>
    <w:rsid w:val="00665B38"/>
    <w:rsid w:val="00665B93"/>
    <w:rsid w:val="00665D08"/>
    <w:rsid w:val="00665F0C"/>
    <w:rsid w:val="00665F3C"/>
    <w:rsid w:val="00665F60"/>
    <w:rsid w:val="00665F64"/>
    <w:rsid w:val="00666060"/>
    <w:rsid w:val="006662FB"/>
    <w:rsid w:val="0066631A"/>
    <w:rsid w:val="006663AF"/>
    <w:rsid w:val="00666502"/>
    <w:rsid w:val="00666598"/>
    <w:rsid w:val="006665BE"/>
    <w:rsid w:val="0066665A"/>
    <w:rsid w:val="0066673E"/>
    <w:rsid w:val="00666856"/>
    <w:rsid w:val="0066685B"/>
    <w:rsid w:val="0066695C"/>
    <w:rsid w:val="006669F4"/>
    <w:rsid w:val="006669F8"/>
    <w:rsid w:val="00666BBE"/>
    <w:rsid w:val="00666CD0"/>
    <w:rsid w:val="00666FAA"/>
    <w:rsid w:val="0066713E"/>
    <w:rsid w:val="00667169"/>
    <w:rsid w:val="0066720D"/>
    <w:rsid w:val="00667329"/>
    <w:rsid w:val="006673BF"/>
    <w:rsid w:val="00667591"/>
    <w:rsid w:val="0066760D"/>
    <w:rsid w:val="006676BF"/>
    <w:rsid w:val="00667921"/>
    <w:rsid w:val="00667957"/>
    <w:rsid w:val="006679F2"/>
    <w:rsid w:val="006679F3"/>
    <w:rsid w:val="00667B80"/>
    <w:rsid w:val="0067030E"/>
    <w:rsid w:val="00670320"/>
    <w:rsid w:val="006703B0"/>
    <w:rsid w:val="00670530"/>
    <w:rsid w:val="0067063F"/>
    <w:rsid w:val="0067067A"/>
    <w:rsid w:val="006707ED"/>
    <w:rsid w:val="00670806"/>
    <w:rsid w:val="0067092D"/>
    <w:rsid w:val="006709AD"/>
    <w:rsid w:val="006709C5"/>
    <w:rsid w:val="00670AE7"/>
    <w:rsid w:val="00670AF8"/>
    <w:rsid w:val="00670B9B"/>
    <w:rsid w:val="00670BDA"/>
    <w:rsid w:val="00670C82"/>
    <w:rsid w:val="00670D29"/>
    <w:rsid w:val="00670DE3"/>
    <w:rsid w:val="00670E3C"/>
    <w:rsid w:val="00670FBC"/>
    <w:rsid w:val="006710BE"/>
    <w:rsid w:val="00671154"/>
    <w:rsid w:val="00671265"/>
    <w:rsid w:val="006712F0"/>
    <w:rsid w:val="00671462"/>
    <w:rsid w:val="006714C0"/>
    <w:rsid w:val="00671501"/>
    <w:rsid w:val="0067150F"/>
    <w:rsid w:val="00671526"/>
    <w:rsid w:val="0067156D"/>
    <w:rsid w:val="00671722"/>
    <w:rsid w:val="00671728"/>
    <w:rsid w:val="0067177B"/>
    <w:rsid w:val="00671A28"/>
    <w:rsid w:val="00671ABE"/>
    <w:rsid w:val="00671B8C"/>
    <w:rsid w:val="00671DA6"/>
    <w:rsid w:val="00671DBA"/>
    <w:rsid w:val="00672061"/>
    <w:rsid w:val="00672066"/>
    <w:rsid w:val="00672121"/>
    <w:rsid w:val="006721DC"/>
    <w:rsid w:val="00672324"/>
    <w:rsid w:val="00672399"/>
    <w:rsid w:val="00672440"/>
    <w:rsid w:val="006724CD"/>
    <w:rsid w:val="0067256F"/>
    <w:rsid w:val="006726D2"/>
    <w:rsid w:val="0067274F"/>
    <w:rsid w:val="006727DB"/>
    <w:rsid w:val="006728AA"/>
    <w:rsid w:val="006729BD"/>
    <w:rsid w:val="00672B18"/>
    <w:rsid w:val="00672C34"/>
    <w:rsid w:val="00672C8D"/>
    <w:rsid w:val="00672CBF"/>
    <w:rsid w:val="0067300E"/>
    <w:rsid w:val="00673041"/>
    <w:rsid w:val="006730E9"/>
    <w:rsid w:val="0067328C"/>
    <w:rsid w:val="0067355C"/>
    <w:rsid w:val="0067360D"/>
    <w:rsid w:val="00673911"/>
    <w:rsid w:val="00673957"/>
    <w:rsid w:val="00673966"/>
    <w:rsid w:val="00673B25"/>
    <w:rsid w:val="00673B43"/>
    <w:rsid w:val="00673B94"/>
    <w:rsid w:val="00673CAA"/>
    <w:rsid w:val="00673DCA"/>
    <w:rsid w:val="00673E0E"/>
    <w:rsid w:val="00673E71"/>
    <w:rsid w:val="00673FC2"/>
    <w:rsid w:val="00673FCA"/>
    <w:rsid w:val="006741D9"/>
    <w:rsid w:val="00674295"/>
    <w:rsid w:val="00674437"/>
    <w:rsid w:val="0067449F"/>
    <w:rsid w:val="006745F1"/>
    <w:rsid w:val="006746AE"/>
    <w:rsid w:val="00674847"/>
    <w:rsid w:val="0067493E"/>
    <w:rsid w:val="006749E8"/>
    <w:rsid w:val="00674A8A"/>
    <w:rsid w:val="00674B28"/>
    <w:rsid w:val="00674B33"/>
    <w:rsid w:val="00674BC8"/>
    <w:rsid w:val="00674C20"/>
    <w:rsid w:val="00674D06"/>
    <w:rsid w:val="00674F40"/>
    <w:rsid w:val="00675155"/>
    <w:rsid w:val="006751EA"/>
    <w:rsid w:val="0067527B"/>
    <w:rsid w:val="006752EB"/>
    <w:rsid w:val="0067533E"/>
    <w:rsid w:val="00675611"/>
    <w:rsid w:val="0067582F"/>
    <w:rsid w:val="0067592E"/>
    <w:rsid w:val="00675A04"/>
    <w:rsid w:val="00675A50"/>
    <w:rsid w:val="00675C18"/>
    <w:rsid w:val="00675C59"/>
    <w:rsid w:val="00675CC4"/>
    <w:rsid w:val="00675D79"/>
    <w:rsid w:val="00676124"/>
    <w:rsid w:val="0067619A"/>
    <w:rsid w:val="006765EA"/>
    <w:rsid w:val="006766B3"/>
    <w:rsid w:val="00676778"/>
    <w:rsid w:val="00676827"/>
    <w:rsid w:val="0067684C"/>
    <w:rsid w:val="0067685F"/>
    <w:rsid w:val="0067688B"/>
    <w:rsid w:val="00676898"/>
    <w:rsid w:val="00676A84"/>
    <w:rsid w:val="00676BBF"/>
    <w:rsid w:val="00676BC4"/>
    <w:rsid w:val="00676E8B"/>
    <w:rsid w:val="00676E92"/>
    <w:rsid w:val="00677176"/>
    <w:rsid w:val="00677227"/>
    <w:rsid w:val="00677436"/>
    <w:rsid w:val="0067748A"/>
    <w:rsid w:val="00677535"/>
    <w:rsid w:val="00677794"/>
    <w:rsid w:val="006777F8"/>
    <w:rsid w:val="00677871"/>
    <w:rsid w:val="006778E5"/>
    <w:rsid w:val="00677A29"/>
    <w:rsid w:val="00677A9C"/>
    <w:rsid w:val="00677CAF"/>
    <w:rsid w:val="00677CDF"/>
    <w:rsid w:val="00677DEB"/>
    <w:rsid w:val="00677DEC"/>
    <w:rsid w:val="00677DED"/>
    <w:rsid w:val="00677E0A"/>
    <w:rsid w:val="00677E9B"/>
    <w:rsid w:val="0068002E"/>
    <w:rsid w:val="00680247"/>
    <w:rsid w:val="006802B2"/>
    <w:rsid w:val="006803D6"/>
    <w:rsid w:val="006803D8"/>
    <w:rsid w:val="0068048F"/>
    <w:rsid w:val="00680514"/>
    <w:rsid w:val="006805CC"/>
    <w:rsid w:val="00680A1E"/>
    <w:rsid w:val="00680AB4"/>
    <w:rsid w:val="00680AD9"/>
    <w:rsid w:val="00680B37"/>
    <w:rsid w:val="00680B66"/>
    <w:rsid w:val="00680C11"/>
    <w:rsid w:val="00680E09"/>
    <w:rsid w:val="00680E41"/>
    <w:rsid w:val="00680E74"/>
    <w:rsid w:val="00680F78"/>
    <w:rsid w:val="00681087"/>
    <w:rsid w:val="00681112"/>
    <w:rsid w:val="00681162"/>
    <w:rsid w:val="006812B2"/>
    <w:rsid w:val="006813ED"/>
    <w:rsid w:val="0068140E"/>
    <w:rsid w:val="00681483"/>
    <w:rsid w:val="00681687"/>
    <w:rsid w:val="006816AC"/>
    <w:rsid w:val="0068178A"/>
    <w:rsid w:val="0068184F"/>
    <w:rsid w:val="00681BA4"/>
    <w:rsid w:val="00681E30"/>
    <w:rsid w:val="00681E80"/>
    <w:rsid w:val="00681FF5"/>
    <w:rsid w:val="00682081"/>
    <w:rsid w:val="00682084"/>
    <w:rsid w:val="00682137"/>
    <w:rsid w:val="00682155"/>
    <w:rsid w:val="0068238E"/>
    <w:rsid w:val="006826AD"/>
    <w:rsid w:val="006827F9"/>
    <w:rsid w:val="006828E1"/>
    <w:rsid w:val="00682AB9"/>
    <w:rsid w:val="00682B23"/>
    <w:rsid w:val="00682BF5"/>
    <w:rsid w:val="00682C11"/>
    <w:rsid w:val="00682C59"/>
    <w:rsid w:val="00682C80"/>
    <w:rsid w:val="00682CF9"/>
    <w:rsid w:val="00682DE5"/>
    <w:rsid w:val="00682FC6"/>
    <w:rsid w:val="00682FD1"/>
    <w:rsid w:val="0068315B"/>
    <w:rsid w:val="00683259"/>
    <w:rsid w:val="006833F3"/>
    <w:rsid w:val="00683463"/>
    <w:rsid w:val="006834A1"/>
    <w:rsid w:val="00683500"/>
    <w:rsid w:val="0068359D"/>
    <w:rsid w:val="006836FA"/>
    <w:rsid w:val="00683786"/>
    <w:rsid w:val="00683A6E"/>
    <w:rsid w:val="00683B85"/>
    <w:rsid w:val="00683B8F"/>
    <w:rsid w:val="00683C2F"/>
    <w:rsid w:val="00683FA4"/>
    <w:rsid w:val="0068402D"/>
    <w:rsid w:val="00684037"/>
    <w:rsid w:val="0068425C"/>
    <w:rsid w:val="00684531"/>
    <w:rsid w:val="00684641"/>
    <w:rsid w:val="006846F6"/>
    <w:rsid w:val="0068473D"/>
    <w:rsid w:val="00684858"/>
    <w:rsid w:val="00684930"/>
    <w:rsid w:val="00684B53"/>
    <w:rsid w:val="00684B63"/>
    <w:rsid w:val="00684B6F"/>
    <w:rsid w:val="00684BAE"/>
    <w:rsid w:val="00684C22"/>
    <w:rsid w:val="00684CBA"/>
    <w:rsid w:val="00684CC7"/>
    <w:rsid w:val="00684FCA"/>
    <w:rsid w:val="00684FCB"/>
    <w:rsid w:val="0068522A"/>
    <w:rsid w:val="006853A5"/>
    <w:rsid w:val="006856B8"/>
    <w:rsid w:val="006856BE"/>
    <w:rsid w:val="006856F9"/>
    <w:rsid w:val="0068575D"/>
    <w:rsid w:val="0068577C"/>
    <w:rsid w:val="006857B4"/>
    <w:rsid w:val="006857F9"/>
    <w:rsid w:val="00685AF4"/>
    <w:rsid w:val="00685B7B"/>
    <w:rsid w:val="00685BFF"/>
    <w:rsid w:val="00685C9C"/>
    <w:rsid w:val="00685CE4"/>
    <w:rsid w:val="00685E2B"/>
    <w:rsid w:val="00685E67"/>
    <w:rsid w:val="00685F65"/>
    <w:rsid w:val="0068601E"/>
    <w:rsid w:val="00686071"/>
    <w:rsid w:val="00686161"/>
    <w:rsid w:val="006861CD"/>
    <w:rsid w:val="006863BF"/>
    <w:rsid w:val="00686412"/>
    <w:rsid w:val="0068675E"/>
    <w:rsid w:val="00686834"/>
    <w:rsid w:val="00686C4F"/>
    <w:rsid w:val="00686D70"/>
    <w:rsid w:val="0068700B"/>
    <w:rsid w:val="006871C8"/>
    <w:rsid w:val="006874F9"/>
    <w:rsid w:val="006876F5"/>
    <w:rsid w:val="0068780B"/>
    <w:rsid w:val="00687A12"/>
    <w:rsid w:val="00687C2F"/>
    <w:rsid w:val="00687C8D"/>
    <w:rsid w:val="00687C93"/>
    <w:rsid w:val="00687D8E"/>
    <w:rsid w:val="00687DEA"/>
    <w:rsid w:val="00690018"/>
    <w:rsid w:val="0069006B"/>
    <w:rsid w:val="00690131"/>
    <w:rsid w:val="006902F1"/>
    <w:rsid w:val="00690309"/>
    <w:rsid w:val="00690313"/>
    <w:rsid w:val="006904AB"/>
    <w:rsid w:val="006904D0"/>
    <w:rsid w:val="00690544"/>
    <w:rsid w:val="006905E7"/>
    <w:rsid w:val="0069060E"/>
    <w:rsid w:val="00690933"/>
    <w:rsid w:val="00690957"/>
    <w:rsid w:val="0069097B"/>
    <w:rsid w:val="00690B38"/>
    <w:rsid w:val="00690EF8"/>
    <w:rsid w:val="00691052"/>
    <w:rsid w:val="0069107E"/>
    <w:rsid w:val="00691117"/>
    <w:rsid w:val="006913EB"/>
    <w:rsid w:val="0069171B"/>
    <w:rsid w:val="00691CA0"/>
    <w:rsid w:val="00691DC0"/>
    <w:rsid w:val="00691E54"/>
    <w:rsid w:val="00692273"/>
    <w:rsid w:val="00692284"/>
    <w:rsid w:val="006922CB"/>
    <w:rsid w:val="006924A7"/>
    <w:rsid w:val="006924EC"/>
    <w:rsid w:val="00692553"/>
    <w:rsid w:val="006926D3"/>
    <w:rsid w:val="00692769"/>
    <w:rsid w:val="00692782"/>
    <w:rsid w:val="00692821"/>
    <w:rsid w:val="006928F7"/>
    <w:rsid w:val="00692931"/>
    <w:rsid w:val="0069297D"/>
    <w:rsid w:val="00692A40"/>
    <w:rsid w:val="00692BC8"/>
    <w:rsid w:val="00692BFB"/>
    <w:rsid w:val="00692D96"/>
    <w:rsid w:val="00692DA7"/>
    <w:rsid w:val="00692E23"/>
    <w:rsid w:val="00692EB8"/>
    <w:rsid w:val="00692F59"/>
    <w:rsid w:val="00693016"/>
    <w:rsid w:val="0069311F"/>
    <w:rsid w:val="006932DA"/>
    <w:rsid w:val="006933CD"/>
    <w:rsid w:val="006933DE"/>
    <w:rsid w:val="006933ED"/>
    <w:rsid w:val="006934A5"/>
    <w:rsid w:val="006935AE"/>
    <w:rsid w:val="00693625"/>
    <w:rsid w:val="00693638"/>
    <w:rsid w:val="00693691"/>
    <w:rsid w:val="0069378F"/>
    <w:rsid w:val="006938F0"/>
    <w:rsid w:val="00693A66"/>
    <w:rsid w:val="00693A7C"/>
    <w:rsid w:val="00693AB9"/>
    <w:rsid w:val="00693B8C"/>
    <w:rsid w:val="00693C0F"/>
    <w:rsid w:val="00693C4F"/>
    <w:rsid w:val="00693C56"/>
    <w:rsid w:val="00693C76"/>
    <w:rsid w:val="00693DE5"/>
    <w:rsid w:val="00693F33"/>
    <w:rsid w:val="00693F4D"/>
    <w:rsid w:val="00693F84"/>
    <w:rsid w:val="00694094"/>
    <w:rsid w:val="006940E6"/>
    <w:rsid w:val="0069448D"/>
    <w:rsid w:val="00694499"/>
    <w:rsid w:val="006944A8"/>
    <w:rsid w:val="006944EC"/>
    <w:rsid w:val="006944F9"/>
    <w:rsid w:val="0069451C"/>
    <w:rsid w:val="00694661"/>
    <w:rsid w:val="0069466F"/>
    <w:rsid w:val="0069470B"/>
    <w:rsid w:val="00694731"/>
    <w:rsid w:val="006948CD"/>
    <w:rsid w:val="00694AE3"/>
    <w:rsid w:val="00694C3A"/>
    <w:rsid w:val="00694D90"/>
    <w:rsid w:val="00694DA6"/>
    <w:rsid w:val="00694DC1"/>
    <w:rsid w:val="00694ECE"/>
    <w:rsid w:val="00695198"/>
    <w:rsid w:val="0069526A"/>
    <w:rsid w:val="00695278"/>
    <w:rsid w:val="0069538E"/>
    <w:rsid w:val="00695420"/>
    <w:rsid w:val="006954C5"/>
    <w:rsid w:val="006954E0"/>
    <w:rsid w:val="006955D2"/>
    <w:rsid w:val="00695624"/>
    <w:rsid w:val="0069566A"/>
    <w:rsid w:val="006957BA"/>
    <w:rsid w:val="006957D7"/>
    <w:rsid w:val="00695860"/>
    <w:rsid w:val="0069599A"/>
    <w:rsid w:val="00695A00"/>
    <w:rsid w:val="00695A2B"/>
    <w:rsid w:val="00695A59"/>
    <w:rsid w:val="00695A81"/>
    <w:rsid w:val="00695C39"/>
    <w:rsid w:val="00695E2D"/>
    <w:rsid w:val="00695E46"/>
    <w:rsid w:val="00695E62"/>
    <w:rsid w:val="00695EC2"/>
    <w:rsid w:val="00696003"/>
    <w:rsid w:val="00696023"/>
    <w:rsid w:val="006960A2"/>
    <w:rsid w:val="006960C4"/>
    <w:rsid w:val="00696451"/>
    <w:rsid w:val="0069645A"/>
    <w:rsid w:val="006965CA"/>
    <w:rsid w:val="0069682F"/>
    <w:rsid w:val="00696A71"/>
    <w:rsid w:val="00696C29"/>
    <w:rsid w:val="00696C67"/>
    <w:rsid w:val="00696CB7"/>
    <w:rsid w:val="00696F41"/>
    <w:rsid w:val="00696F49"/>
    <w:rsid w:val="00696FFD"/>
    <w:rsid w:val="0069700D"/>
    <w:rsid w:val="0069702B"/>
    <w:rsid w:val="00697050"/>
    <w:rsid w:val="00697085"/>
    <w:rsid w:val="00697141"/>
    <w:rsid w:val="0069732D"/>
    <w:rsid w:val="00697402"/>
    <w:rsid w:val="006974CC"/>
    <w:rsid w:val="00697555"/>
    <w:rsid w:val="00697B03"/>
    <w:rsid w:val="00697BC5"/>
    <w:rsid w:val="00697BCF"/>
    <w:rsid w:val="00697D3F"/>
    <w:rsid w:val="00697E1B"/>
    <w:rsid w:val="00697E38"/>
    <w:rsid w:val="006A01F2"/>
    <w:rsid w:val="006A026D"/>
    <w:rsid w:val="006A0367"/>
    <w:rsid w:val="006A03A7"/>
    <w:rsid w:val="006A051A"/>
    <w:rsid w:val="006A062E"/>
    <w:rsid w:val="006A0971"/>
    <w:rsid w:val="006A09A4"/>
    <w:rsid w:val="006A0A08"/>
    <w:rsid w:val="006A0A43"/>
    <w:rsid w:val="006A0A50"/>
    <w:rsid w:val="006A0B7A"/>
    <w:rsid w:val="006A0C47"/>
    <w:rsid w:val="006A0C55"/>
    <w:rsid w:val="006A0C6C"/>
    <w:rsid w:val="006A0FD0"/>
    <w:rsid w:val="006A11A5"/>
    <w:rsid w:val="006A11A8"/>
    <w:rsid w:val="006A11C5"/>
    <w:rsid w:val="006A11D8"/>
    <w:rsid w:val="006A12C1"/>
    <w:rsid w:val="006A13B4"/>
    <w:rsid w:val="006A1636"/>
    <w:rsid w:val="006A1AB4"/>
    <w:rsid w:val="006A1B98"/>
    <w:rsid w:val="006A1BBF"/>
    <w:rsid w:val="006A1CE6"/>
    <w:rsid w:val="006A1D91"/>
    <w:rsid w:val="006A1E47"/>
    <w:rsid w:val="006A1EC5"/>
    <w:rsid w:val="006A1EDB"/>
    <w:rsid w:val="006A1FF1"/>
    <w:rsid w:val="006A219B"/>
    <w:rsid w:val="006A2203"/>
    <w:rsid w:val="006A22C1"/>
    <w:rsid w:val="006A2362"/>
    <w:rsid w:val="006A240B"/>
    <w:rsid w:val="006A2458"/>
    <w:rsid w:val="006A2536"/>
    <w:rsid w:val="006A2613"/>
    <w:rsid w:val="006A262B"/>
    <w:rsid w:val="006A263C"/>
    <w:rsid w:val="006A26BC"/>
    <w:rsid w:val="006A2899"/>
    <w:rsid w:val="006A2958"/>
    <w:rsid w:val="006A2E98"/>
    <w:rsid w:val="006A2F31"/>
    <w:rsid w:val="006A3077"/>
    <w:rsid w:val="006A30DE"/>
    <w:rsid w:val="006A3116"/>
    <w:rsid w:val="006A3209"/>
    <w:rsid w:val="006A3243"/>
    <w:rsid w:val="006A32B5"/>
    <w:rsid w:val="006A3377"/>
    <w:rsid w:val="006A34CB"/>
    <w:rsid w:val="006A3536"/>
    <w:rsid w:val="006A367A"/>
    <w:rsid w:val="006A3745"/>
    <w:rsid w:val="006A37A9"/>
    <w:rsid w:val="006A387B"/>
    <w:rsid w:val="006A38F7"/>
    <w:rsid w:val="006A3A35"/>
    <w:rsid w:val="006A3B94"/>
    <w:rsid w:val="006A3C64"/>
    <w:rsid w:val="006A3C80"/>
    <w:rsid w:val="006A3D0D"/>
    <w:rsid w:val="006A3EDB"/>
    <w:rsid w:val="006A3F2F"/>
    <w:rsid w:val="006A4141"/>
    <w:rsid w:val="006A4307"/>
    <w:rsid w:val="006A4535"/>
    <w:rsid w:val="006A47A9"/>
    <w:rsid w:val="006A4963"/>
    <w:rsid w:val="006A498F"/>
    <w:rsid w:val="006A49B0"/>
    <w:rsid w:val="006A4ADB"/>
    <w:rsid w:val="006A4B8C"/>
    <w:rsid w:val="006A4C5B"/>
    <w:rsid w:val="006A4C73"/>
    <w:rsid w:val="006A4CB5"/>
    <w:rsid w:val="006A4DE3"/>
    <w:rsid w:val="006A4E15"/>
    <w:rsid w:val="006A4F18"/>
    <w:rsid w:val="006A5056"/>
    <w:rsid w:val="006A514F"/>
    <w:rsid w:val="006A52E3"/>
    <w:rsid w:val="006A54A3"/>
    <w:rsid w:val="006A54C4"/>
    <w:rsid w:val="006A5578"/>
    <w:rsid w:val="006A5650"/>
    <w:rsid w:val="006A567B"/>
    <w:rsid w:val="006A57D6"/>
    <w:rsid w:val="006A58A6"/>
    <w:rsid w:val="006A590C"/>
    <w:rsid w:val="006A5C85"/>
    <w:rsid w:val="006A5CD5"/>
    <w:rsid w:val="006A5D2F"/>
    <w:rsid w:val="006A5E44"/>
    <w:rsid w:val="006A5F04"/>
    <w:rsid w:val="006A6093"/>
    <w:rsid w:val="006A60C3"/>
    <w:rsid w:val="006A625E"/>
    <w:rsid w:val="006A6266"/>
    <w:rsid w:val="006A6993"/>
    <w:rsid w:val="006A6B6A"/>
    <w:rsid w:val="006A6C50"/>
    <w:rsid w:val="006A6CD6"/>
    <w:rsid w:val="006A6F5D"/>
    <w:rsid w:val="006A7038"/>
    <w:rsid w:val="006A72D8"/>
    <w:rsid w:val="006A7384"/>
    <w:rsid w:val="006A7388"/>
    <w:rsid w:val="006A7471"/>
    <w:rsid w:val="006A748F"/>
    <w:rsid w:val="006A74BB"/>
    <w:rsid w:val="006A7552"/>
    <w:rsid w:val="006A7604"/>
    <w:rsid w:val="006A772C"/>
    <w:rsid w:val="006A78F7"/>
    <w:rsid w:val="006A7ABE"/>
    <w:rsid w:val="006A7B0C"/>
    <w:rsid w:val="006A7B62"/>
    <w:rsid w:val="006A7C57"/>
    <w:rsid w:val="006A7CC6"/>
    <w:rsid w:val="006A7DCD"/>
    <w:rsid w:val="006A7E12"/>
    <w:rsid w:val="006A7E64"/>
    <w:rsid w:val="006A7FFE"/>
    <w:rsid w:val="006AE5E1"/>
    <w:rsid w:val="006B00D7"/>
    <w:rsid w:val="006B0109"/>
    <w:rsid w:val="006B01E8"/>
    <w:rsid w:val="006B01F4"/>
    <w:rsid w:val="006B02BA"/>
    <w:rsid w:val="006B02D2"/>
    <w:rsid w:val="006B050F"/>
    <w:rsid w:val="006B05B9"/>
    <w:rsid w:val="006B0600"/>
    <w:rsid w:val="006B0685"/>
    <w:rsid w:val="006B069B"/>
    <w:rsid w:val="006B06FF"/>
    <w:rsid w:val="006B0805"/>
    <w:rsid w:val="006B081A"/>
    <w:rsid w:val="006B0A57"/>
    <w:rsid w:val="006B0AEA"/>
    <w:rsid w:val="006B0B5C"/>
    <w:rsid w:val="006B0D9A"/>
    <w:rsid w:val="006B1011"/>
    <w:rsid w:val="006B1060"/>
    <w:rsid w:val="006B10A2"/>
    <w:rsid w:val="006B1203"/>
    <w:rsid w:val="006B13B6"/>
    <w:rsid w:val="006B1547"/>
    <w:rsid w:val="006B1661"/>
    <w:rsid w:val="006B1718"/>
    <w:rsid w:val="006B17C5"/>
    <w:rsid w:val="006B199D"/>
    <w:rsid w:val="006B1A1E"/>
    <w:rsid w:val="006B1A72"/>
    <w:rsid w:val="006B1ACD"/>
    <w:rsid w:val="006B1ADB"/>
    <w:rsid w:val="006B1B2C"/>
    <w:rsid w:val="006B1BE8"/>
    <w:rsid w:val="006B1C58"/>
    <w:rsid w:val="006B1CDB"/>
    <w:rsid w:val="006B1CE7"/>
    <w:rsid w:val="006B1DD2"/>
    <w:rsid w:val="006B1F58"/>
    <w:rsid w:val="006B1F80"/>
    <w:rsid w:val="006B205B"/>
    <w:rsid w:val="006B21A4"/>
    <w:rsid w:val="006B21CC"/>
    <w:rsid w:val="006B22E6"/>
    <w:rsid w:val="006B25B0"/>
    <w:rsid w:val="006B2743"/>
    <w:rsid w:val="006B2A6F"/>
    <w:rsid w:val="006B2ABD"/>
    <w:rsid w:val="006B2D7E"/>
    <w:rsid w:val="006B2E9D"/>
    <w:rsid w:val="006B2F29"/>
    <w:rsid w:val="006B310C"/>
    <w:rsid w:val="006B3132"/>
    <w:rsid w:val="006B3160"/>
    <w:rsid w:val="006B3249"/>
    <w:rsid w:val="006B349B"/>
    <w:rsid w:val="006B3731"/>
    <w:rsid w:val="006B37FE"/>
    <w:rsid w:val="006B38BF"/>
    <w:rsid w:val="006B38C2"/>
    <w:rsid w:val="006B39B9"/>
    <w:rsid w:val="006B39EB"/>
    <w:rsid w:val="006B3A9D"/>
    <w:rsid w:val="006B3ABE"/>
    <w:rsid w:val="006B3C29"/>
    <w:rsid w:val="006B3C91"/>
    <w:rsid w:val="006B3CED"/>
    <w:rsid w:val="006B3CF5"/>
    <w:rsid w:val="006B3D14"/>
    <w:rsid w:val="006B3E49"/>
    <w:rsid w:val="006B4047"/>
    <w:rsid w:val="006B414E"/>
    <w:rsid w:val="006B41DE"/>
    <w:rsid w:val="006B430A"/>
    <w:rsid w:val="006B456E"/>
    <w:rsid w:val="006B4722"/>
    <w:rsid w:val="006B47F1"/>
    <w:rsid w:val="006B48F8"/>
    <w:rsid w:val="006B4988"/>
    <w:rsid w:val="006B4A3B"/>
    <w:rsid w:val="006B4B42"/>
    <w:rsid w:val="006B4C73"/>
    <w:rsid w:val="006B4CCC"/>
    <w:rsid w:val="006B4DC5"/>
    <w:rsid w:val="006B4E1F"/>
    <w:rsid w:val="006B4E67"/>
    <w:rsid w:val="006B4ECC"/>
    <w:rsid w:val="006B500E"/>
    <w:rsid w:val="006B50CC"/>
    <w:rsid w:val="006B52C1"/>
    <w:rsid w:val="006B5519"/>
    <w:rsid w:val="006B5533"/>
    <w:rsid w:val="006B563A"/>
    <w:rsid w:val="006B5760"/>
    <w:rsid w:val="006B5772"/>
    <w:rsid w:val="006B5803"/>
    <w:rsid w:val="006B58F0"/>
    <w:rsid w:val="006B598C"/>
    <w:rsid w:val="006B5A67"/>
    <w:rsid w:val="006B5A6E"/>
    <w:rsid w:val="006B5A7B"/>
    <w:rsid w:val="006B5AF1"/>
    <w:rsid w:val="006B5B0C"/>
    <w:rsid w:val="006B5C9C"/>
    <w:rsid w:val="006B5CBA"/>
    <w:rsid w:val="006B5D07"/>
    <w:rsid w:val="006B5DEB"/>
    <w:rsid w:val="006B5E32"/>
    <w:rsid w:val="006B5F17"/>
    <w:rsid w:val="006B6163"/>
    <w:rsid w:val="006B6305"/>
    <w:rsid w:val="006B6334"/>
    <w:rsid w:val="006B64A7"/>
    <w:rsid w:val="006B666E"/>
    <w:rsid w:val="006B6726"/>
    <w:rsid w:val="006B6875"/>
    <w:rsid w:val="006B6C07"/>
    <w:rsid w:val="006B6C0B"/>
    <w:rsid w:val="006B6D03"/>
    <w:rsid w:val="006B6DF5"/>
    <w:rsid w:val="006B6E00"/>
    <w:rsid w:val="006B6ED8"/>
    <w:rsid w:val="006B6F53"/>
    <w:rsid w:val="006B6F84"/>
    <w:rsid w:val="006B6FC2"/>
    <w:rsid w:val="006B6FC4"/>
    <w:rsid w:val="006B7088"/>
    <w:rsid w:val="006B7113"/>
    <w:rsid w:val="006B7291"/>
    <w:rsid w:val="006B7480"/>
    <w:rsid w:val="006B749B"/>
    <w:rsid w:val="006B74B4"/>
    <w:rsid w:val="006B74CC"/>
    <w:rsid w:val="006B7551"/>
    <w:rsid w:val="006B75A1"/>
    <w:rsid w:val="006B7842"/>
    <w:rsid w:val="006B7961"/>
    <w:rsid w:val="006B79E6"/>
    <w:rsid w:val="006B79F8"/>
    <w:rsid w:val="006B7A6B"/>
    <w:rsid w:val="006B7BFC"/>
    <w:rsid w:val="006B7DBA"/>
    <w:rsid w:val="006B7DC5"/>
    <w:rsid w:val="006B7F48"/>
    <w:rsid w:val="006B7FCC"/>
    <w:rsid w:val="006BD9B7"/>
    <w:rsid w:val="006C00E4"/>
    <w:rsid w:val="006C0243"/>
    <w:rsid w:val="006C0342"/>
    <w:rsid w:val="006C03C0"/>
    <w:rsid w:val="006C043F"/>
    <w:rsid w:val="006C0492"/>
    <w:rsid w:val="006C05E9"/>
    <w:rsid w:val="006C0625"/>
    <w:rsid w:val="006C0968"/>
    <w:rsid w:val="006C0C0F"/>
    <w:rsid w:val="006C0D11"/>
    <w:rsid w:val="006C0D56"/>
    <w:rsid w:val="006C0DA7"/>
    <w:rsid w:val="006C0FBC"/>
    <w:rsid w:val="006C1140"/>
    <w:rsid w:val="006C1230"/>
    <w:rsid w:val="006C132F"/>
    <w:rsid w:val="006C13D1"/>
    <w:rsid w:val="006C1589"/>
    <w:rsid w:val="006C15CE"/>
    <w:rsid w:val="006C15FE"/>
    <w:rsid w:val="006C16D6"/>
    <w:rsid w:val="006C1B0A"/>
    <w:rsid w:val="006C1CC0"/>
    <w:rsid w:val="006C1D23"/>
    <w:rsid w:val="006C1D75"/>
    <w:rsid w:val="006C1F4E"/>
    <w:rsid w:val="006C20D0"/>
    <w:rsid w:val="006C228B"/>
    <w:rsid w:val="006C23BF"/>
    <w:rsid w:val="006C2522"/>
    <w:rsid w:val="006C25B9"/>
    <w:rsid w:val="006C261E"/>
    <w:rsid w:val="006C2795"/>
    <w:rsid w:val="006C290E"/>
    <w:rsid w:val="006C294F"/>
    <w:rsid w:val="006C2A7D"/>
    <w:rsid w:val="006C2B1A"/>
    <w:rsid w:val="006C2B2E"/>
    <w:rsid w:val="006C2D16"/>
    <w:rsid w:val="006C3099"/>
    <w:rsid w:val="006C3127"/>
    <w:rsid w:val="006C31FD"/>
    <w:rsid w:val="006C33E2"/>
    <w:rsid w:val="006C3578"/>
    <w:rsid w:val="006C35BA"/>
    <w:rsid w:val="006C36E1"/>
    <w:rsid w:val="006C3783"/>
    <w:rsid w:val="006C37E0"/>
    <w:rsid w:val="006C3978"/>
    <w:rsid w:val="006C39F0"/>
    <w:rsid w:val="006C3AE5"/>
    <w:rsid w:val="006C3C84"/>
    <w:rsid w:val="006C3CCE"/>
    <w:rsid w:val="006C3D60"/>
    <w:rsid w:val="006C3D9A"/>
    <w:rsid w:val="006C3EA7"/>
    <w:rsid w:val="006C3F6E"/>
    <w:rsid w:val="006C3FA8"/>
    <w:rsid w:val="006C4124"/>
    <w:rsid w:val="006C4206"/>
    <w:rsid w:val="006C44B4"/>
    <w:rsid w:val="006C44EA"/>
    <w:rsid w:val="006C4504"/>
    <w:rsid w:val="006C45E3"/>
    <w:rsid w:val="006C47AD"/>
    <w:rsid w:val="006C47CE"/>
    <w:rsid w:val="006C47F6"/>
    <w:rsid w:val="006C487D"/>
    <w:rsid w:val="006C491B"/>
    <w:rsid w:val="006C4995"/>
    <w:rsid w:val="006C4BAD"/>
    <w:rsid w:val="006C4BEA"/>
    <w:rsid w:val="006C4CB9"/>
    <w:rsid w:val="006C4D22"/>
    <w:rsid w:val="006C4D37"/>
    <w:rsid w:val="006C4E52"/>
    <w:rsid w:val="006C5021"/>
    <w:rsid w:val="006C5092"/>
    <w:rsid w:val="006C5116"/>
    <w:rsid w:val="006C5138"/>
    <w:rsid w:val="006C522F"/>
    <w:rsid w:val="006C52FC"/>
    <w:rsid w:val="006C541A"/>
    <w:rsid w:val="006C5428"/>
    <w:rsid w:val="006C56AE"/>
    <w:rsid w:val="006C5732"/>
    <w:rsid w:val="006C5764"/>
    <w:rsid w:val="006C5A75"/>
    <w:rsid w:val="006C5B83"/>
    <w:rsid w:val="006C5C72"/>
    <w:rsid w:val="006C5D90"/>
    <w:rsid w:val="006C5FBA"/>
    <w:rsid w:val="006C6138"/>
    <w:rsid w:val="006C61CD"/>
    <w:rsid w:val="006C61DB"/>
    <w:rsid w:val="006C6223"/>
    <w:rsid w:val="006C62C7"/>
    <w:rsid w:val="006C62CA"/>
    <w:rsid w:val="006C633C"/>
    <w:rsid w:val="006C653A"/>
    <w:rsid w:val="006C6545"/>
    <w:rsid w:val="006C657C"/>
    <w:rsid w:val="006C6668"/>
    <w:rsid w:val="006C67E4"/>
    <w:rsid w:val="006C67FC"/>
    <w:rsid w:val="006C6962"/>
    <w:rsid w:val="006C6997"/>
    <w:rsid w:val="006C6A51"/>
    <w:rsid w:val="006C6B1B"/>
    <w:rsid w:val="006C6C0C"/>
    <w:rsid w:val="006C6D6C"/>
    <w:rsid w:val="006C6DBF"/>
    <w:rsid w:val="006C6DC3"/>
    <w:rsid w:val="006C6F16"/>
    <w:rsid w:val="006C6F77"/>
    <w:rsid w:val="006C6FE7"/>
    <w:rsid w:val="006C7008"/>
    <w:rsid w:val="006C72E6"/>
    <w:rsid w:val="006C75B9"/>
    <w:rsid w:val="006C7619"/>
    <w:rsid w:val="006C7799"/>
    <w:rsid w:val="006C79C6"/>
    <w:rsid w:val="006C7A52"/>
    <w:rsid w:val="006C7AEB"/>
    <w:rsid w:val="006C7B56"/>
    <w:rsid w:val="006C7BD6"/>
    <w:rsid w:val="006C7D07"/>
    <w:rsid w:val="006C7DC5"/>
    <w:rsid w:val="006C7DD5"/>
    <w:rsid w:val="006C7F75"/>
    <w:rsid w:val="006C7F92"/>
    <w:rsid w:val="006D039D"/>
    <w:rsid w:val="006D041B"/>
    <w:rsid w:val="006D0577"/>
    <w:rsid w:val="006D065E"/>
    <w:rsid w:val="006D0B13"/>
    <w:rsid w:val="006D0B8C"/>
    <w:rsid w:val="006D0BC6"/>
    <w:rsid w:val="006D0BE9"/>
    <w:rsid w:val="006D0C84"/>
    <w:rsid w:val="006D0C98"/>
    <w:rsid w:val="006D0D0B"/>
    <w:rsid w:val="006D0D93"/>
    <w:rsid w:val="006D0DC3"/>
    <w:rsid w:val="006D0E4D"/>
    <w:rsid w:val="006D1135"/>
    <w:rsid w:val="006D1136"/>
    <w:rsid w:val="006D1315"/>
    <w:rsid w:val="006D1425"/>
    <w:rsid w:val="006D14B7"/>
    <w:rsid w:val="006D16D7"/>
    <w:rsid w:val="006D1702"/>
    <w:rsid w:val="006D1796"/>
    <w:rsid w:val="006D18B3"/>
    <w:rsid w:val="006D1A07"/>
    <w:rsid w:val="006D1B53"/>
    <w:rsid w:val="006D1BEF"/>
    <w:rsid w:val="006D1E49"/>
    <w:rsid w:val="006D1E50"/>
    <w:rsid w:val="006D1FFA"/>
    <w:rsid w:val="006D206C"/>
    <w:rsid w:val="006D20AD"/>
    <w:rsid w:val="006D20F2"/>
    <w:rsid w:val="006D216A"/>
    <w:rsid w:val="006D22CD"/>
    <w:rsid w:val="006D22F4"/>
    <w:rsid w:val="006D273F"/>
    <w:rsid w:val="006D27CF"/>
    <w:rsid w:val="006D28F4"/>
    <w:rsid w:val="006D2A07"/>
    <w:rsid w:val="006D2B96"/>
    <w:rsid w:val="006D2BC5"/>
    <w:rsid w:val="006D2C95"/>
    <w:rsid w:val="006D2CA1"/>
    <w:rsid w:val="006D2DA7"/>
    <w:rsid w:val="006D2F87"/>
    <w:rsid w:val="006D3255"/>
    <w:rsid w:val="006D32EA"/>
    <w:rsid w:val="006D32EC"/>
    <w:rsid w:val="006D332D"/>
    <w:rsid w:val="006D3371"/>
    <w:rsid w:val="006D338E"/>
    <w:rsid w:val="006D3637"/>
    <w:rsid w:val="006D36BC"/>
    <w:rsid w:val="006D37CA"/>
    <w:rsid w:val="006D389E"/>
    <w:rsid w:val="006D39D2"/>
    <w:rsid w:val="006D3A13"/>
    <w:rsid w:val="006D3A50"/>
    <w:rsid w:val="006D3A6A"/>
    <w:rsid w:val="006D3AB6"/>
    <w:rsid w:val="006D3AD4"/>
    <w:rsid w:val="006D3AE0"/>
    <w:rsid w:val="006D3CB9"/>
    <w:rsid w:val="006D3DBF"/>
    <w:rsid w:val="006D3E3C"/>
    <w:rsid w:val="006D3EEF"/>
    <w:rsid w:val="006D3F23"/>
    <w:rsid w:val="006D430E"/>
    <w:rsid w:val="006D4357"/>
    <w:rsid w:val="006D435C"/>
    <w:rsid w:val="006D442E"/>
    <w:rsid w:val="006D44B7"/>
    <w:rsid w:val="006D457F"/>
    <w:rsid w:val="006D4629"/>
    <w:rsid w:val="006D472D"/>
    <w:rsid w:val="006D486E"/>
    <w:rsid w:val="006D493C"/>
    <w:rsid w:val="006D4A54"/>
    <w:rsid w:val="006D4BA4"/>
    <w:rsid w:val="006D4D00"/>
    <w:rsid w:val="006D4E6E"/>
    <w:rsid w:val="006D5373"/>
    <w:rsid w:val="006D5380"/>
    <w:rsid w:val="006D5441"/>
    <w:rsid w:val="006D549B"/>
    <w:rsid w:val="006D5624"/>
    <w:rsid w:val="006D58CB"/>
    <w:rsid w:val="006D5976"/>
    <w:rsid w:val="006D5A01"/>
    <w:rsid w:val="006D5C0E"/>
    <w:rsid w:val="006D5CFC"/>
    <w:rsid w:val="006D5D88"/>
    <w:rsid w:val="006D5E0E"/>
    <w:rsid w:val="006D5E65"/>
    <w:rsid w:val="006D5EE2"/>
    <w:rsid w:val="006D5F3D"/>
    <w:rsid w:val="006D60AC"/>
    <w:rsid w:val="006D6450"/>
    <w:rsid w:val="006D66DF"/>
    <w:rsid w:val="006D6962"/>
    <w:rsid w:val="006D6BC0"/>
    <w:rsid w:val="006D6BF5"/>
    <w:rsid w:val="006D6C61"/>
    <w:rsid w:val="006D6DAC"/>
    <w:rsid w:val="006D6FBA"/>
    <w:rsid w:val="006D716A"/>
    <w:rsid w:val="006D71D6"/>
    <w:rsid w:val="006D72C6"/>
    <w:rsid w:val="006D72F4"/>
    <w:rsid w:val="006D74B9"/>
    <w:rsid w:val="006D74E3"/>
    <w:rsid w:val="006D7640"/>
    <w:rsid w:val="006D7669"/>
    <w:rsid w:val="006D772B"/>
    <w:rsid w:val="006D79EA"/>
    <w:rsid w:val="006D7ABB"/>
    <w:rsid w:val="006D7AC6"/>
    <w:rsid w:val="006D7F03"/>
    <w:rsid w:val="006D7F89"/>
    <w:rsid w:val="006E01D1"/>
    <w:rsid w:val="006E033A"/>
    <w:rsid w:val="006E04C8"/>
    <w:rsid w:val="006E053A"/>
    <w:rsid w:val="006E072D"/>
    <w:rsid w:val="006E078A"/>
    <w:rsid w:val="006E090E"/>
    <w:rsid w:val="006E0AB3"/>
    <w:rsid w:val="006E0B18"/>
    <w:rsid w:val="006E0CDC"/>
    <w:rsid w:val="006E0F39"/>
    <w:rsid w:val="006E0FA6"/>
    <w:rsid w:val="006E102C"/>
    <w:rsid w:val="006E10DD"/>
    <w:rsid w:val="006E114C"/>
    <w:rsid w:val="006E1188"/>
    <w:rsid w:val="006E12EC"/>
    <w:rsid w:val="006E130F"/>
    <w:rsid w:val="006E1459"/>
    <w:rsid w:val="006E1471"/>
    <w:rsid w:val="006E153E"/>
    <w:rsid w:val="006E167E"/>
    <w:rsid w:val="006E1697"/>
    <w:rsid w:val="006E16A8"/>
    <w:rsid w:val="006E17D0"/>
    <w:rsid w:val="006E17D6"/>
    <w:rsid w:val="006E1899"/>
    <w:rsid w:val="006E18DA"/>
    <w:rsid w:val="006E1A60"/>
    <w:rsid w:val="006E1C02"/>
    <w:rsid w:val="006E1E89"/>
    <w:rsid w:val="006E2014"/>
    <w:rsid w:val="006E206D"/>
    <w:rsid w:val="006E20DF"/>
    <w:rsid w:val="006E217F"/>
    <w:rsid w:val="006E2294"/>
    <w:rsid w:val="006E22C7"/>
    <w:rsid w:val="006E24FD"/>
    <w:rsid w:val="006E26E1"/>
    <w:rsid w:val="006E2777"/>
    <w:rsid w:val="006E2891"/>
    <w:rsid w:val="006E2CB9"/>
    <w:rsid w:val="006E2CCC"/>
    <w:rsid w:val="006E2D11"/>
    <w:rsid w:val="006E2D4A"/>
    <w:rsid w:val="006E2E69"/>
    <w:rsid w:val="006E2F92"/>
    <w:rsid w:val="006E2FE8"/>
    <w:rsid w:val="006E3035"/>
    <w:rsid w:val="006E3297"/>
    <w:rsid w:val="006E3329"/>
    <w:rsid w:val="006E3424"/>
    <w:rsid w:val="006E35D0"/>
    <w:rsid w:val="006E35DB"/>
    <w:rsid w:val="006E360D"/>
    <w:rsid w:val="006E3625"/>
    <w:rsid w:val="006E3757"/>
    <w:rsid w:val="006E39BD"/>
    <w:rsid w:val="006E39C2"/>
    <w:rsid w:val="006E3A33"/>
    <w:rsid w:val="006E3A4A"/>
    <w:rsid w:val="006E3BC6"/>
    <w:rsid w:val="006E3C54"/>
    <w:rsid w:val="006E3CE8"/>
    <w:rsid w:val="006E3D13"/>
    <w:rsid w:val="006E3DAD"/>
    <w:rsid w:val="006E3FC6"/>
    <w:rsid w:val="006E4231"/>
    <w:rsid w:val="006E43A5"/>
    <w:rsid w:val="006E4423"/>
    <w:rsid w:val="006E4467"/>
    <w:rsid w:val="006E458C"/>
    <w:rsid w:val="006E4641"/>
    <w:rsid w:val="006E476D"/>
    <w:rsid w:val="006E486C"/>
    <w:rsid w:val="006E4937"/>
    <w:rsid w:val="006E497C"/>
    <w:rsid w:val="006E4A03"/>
    <w:rsid w:val="006E4A20"/>
    <w:rsid w:val="006E4A35"/>
    <w:rsid w:val="006E4AB8"/>
    <w:rsid w:val="006E4CF7"/>
    <w:rsid w:val="006E4D1C"/>
    <w:rsid w:val="006E4F63"/>
    <w:rsid w:val="006E4F7A"/>
    <w:rsid w:val="006E4FBE"/>
    <w:rsid w:val="006E50DD"/>
    <w:rsid w:val="006E50F5"/>
    <w:rsid w:val="006E5123"/>
    <w:rsid w:val="006E51E2"/>
    <w:rsid w:val="006E529E"/>
    <w:rsid w:val="006E5357"/>
    <w:rsid w:val="006E537B"/>
    <w:rsid w:val="006E53C9"/>
    <w:rsid w:val="006E54E9"/>
    <w:rsid w:val="006E5683"/>
    <w:rsid w:val="006E5815"/>
    <w:rsid w:val="006E58D1"/>
    <w:rsid w:val="006E5C59"/>
    <w:rsid w:val="006E5D09"/>
    <w:rsid w:val="006E5E8D"/>
    <w:rsid w:val="006E5E96"/>
    <w:rsid w:val="006E6086"/>
    <w:rsid w:val="006E60CC"/>
    <w:rsid w:val="006E615B"/>
    <w:rsid w:val="006E619E"/>
    <w:rsid w:val="006E630C"/>
    <w:rsid w:val="006E66E4"/>
    <w:rsid w:val="006E66ED"/>
    <w:rsid w:val="006E6929"/>
    <w:rsid w:val="006E6AAD"/>
    <w:rsid w:val="006E6B0E"/>
    <w:rsid w:val="006E6E93"/>
    <w:rsid w:val="006E6EE2"/>
    <w:rsid w:val="006E6F2A"/>
    <w:rsid w:val="006E7053"/>
    <w:rsid w:val="006E7076"/>
    <w:rsid w:val="006E710E"/>
    <w:rsid w:val="006E716B"/>
    <w:rsid w:val="006E7218"/>
    <w:rsid w:val="006E7875"/>
    <w:rsid w:val="006E7A1F"/>
    <w:rsid w:val="006E7AD3"/>
    <w:rsid w:val="006E7AE4"/>
    <w:rsid w:val="006E7C81"/>
    <w:rsid w:val="006E7D0D"/>
    <w:rsid w:val="006E7E1A"/>
    <w:rsid w:val="006E7EC6"/>
    <w:rsid w:val="006E7F1E"/>
    <w:rsid w:val="006E7F3E"/>
    <w:rsid w:val="006E7FCD"/>
    <w:rsid w:val="006F00BF"/>
    <w:rsid w:val="006F0166"/>
    <w:rsid w:val="006F01C2"/>
    <w:rsid w:val="006F0298"/>
    <w:rsid w:val="006F043A"/>
    <w:rsid w:val="006F047D"/>
    <w:rsid w:val="006F04F6"/>
    <w:rsid w:val="006F05B5"/>
    <w:rsid w:val="006F0742"/>
    <w:rsid w:val="006F07E0"/>
    <w:rsid w:val="006F0925"/>
    <w:rsid w:val="006F097D"/>
    <w:rsid w:val="006F0996"/>
    <w:rsid w:val="006F09A8"/>
    <w:rsid w:val="006F09B6"/>
    <w:rsid w:val="006F0B1F"/>
    <w:rsid w:val="006F0B46"/>
    <w:rsid w:val="006F0C48"/>
    <w:rsid w:val="006F0D23"/>
    <w:rsid w:val="006F0D5C"/>
    <w:rsid w:val="006F0D8B"/>
    <w:rsid w:val="006F0E46"/>
    <w:rsid w:val="006F0E81"/>
    <w:rsid w:val="006F0F47"/>
    <w:rsid w:val="006F10B8"/>
    <w:rsid w:val="006F1129"/>
    <w:rsid w:val="006F1264"/>
    <w:rsid w:val="006F1302"/>
    <w:rsid w:val="006F1416"/>
    <w:rsid w:val="006F1546"/>
    <w:rsid w:val="006F15EC"/>
    <w:rsid w:val="006F1609"/>
    <w:rsid w:val="006F1695"/>
    <w:rsid w:val="006F187E"/>
    <w:rsid w:val="006F1A51"/>
    <w:rsid w:val="006F1AF0"/>
    <w:rsid w:val="006F1B7A"/>
    <w:rsid w:val="006F1BC4"/>
    <w:rsid w:val="006F1C44"/>
    <w:rsid w:val="006F1EA2"/>
    <w:rsid w:val="006F1EB2"/>
    <w:rsid w:val="006F1ED8"/>
    <w:rsid w:val="006F1FFE"/>
    <w:rsid w:val="006F2207"/>
    <w:rsid w:val="006F223C"/>
    <w:rsid w:val="006F2268"/>
    <w:rsid w:val="006F22A2"/>
    <w:rsid w:val="006F2551"/>
    <w:rsid w:val="006F26FF"/>
    <w:rsid w:val="006F28B0"/>
    <w:rsid w:val="006F299B"/>
    <w:rsid w:val="006F2A66"/>
    <w:rsid w:val="006F2A6B"/>
    <w:rsid w:val="006F2CC9"/>
    <w:rsid w:val="006F2CF1"/>
    <w:rsid w:val="006F2DC8"/>
    <w:rsid w:val="006F2E60"/>
    <w:rsid w:val="006F2E8C"/>
    <w:rsid w:val="006F2EA5"/>
    <w:rsid w:val="006F2EE6"/>
    <w:rsid w:val="006F2F6D"/>
    <w:rsid w:val="006F2FB8"/>
    <w:rsid w:val="006F3016"/>
    <w:rsid w:val="006F31F7"/>
    <w:rsid w:val="006F3201"/>
    <w:rsid w:val="006F32F4"/>
    <w:rsid w:val="006F334E"/>
    <w:rsid w:val="006F356E"/>
    <w:rsid w:val="006F3666"/>
    <w:rsid w:val="006F36D3"/>
    <w:rsid w:val="006F3812"/>
    <w:rsid w:val="006F385D"/>
    <w:rsid w:val="006F39D1"/>
    <w:rsid w:val="006F3A28"/>
    <w:rsid w:val="006F3AC9"/>
    <w:rsid w:val="006F3AE4"/>
    <w:rsid w:val="006F3B64"/>
    <w:rsid w:val="006F3BA3"/>
    <w:rsid w:val="006F3C3C"/>
    <w:rsid w:val="006F3D15"/>
    <w:rsid w:val="006F3E25"/>
    <w:rsid w:val="006F3F31"/>
    <w:rsid w:val="006F416F"/>
    <w:rsid w:val="006F437A"/>
    <w:rsid w:val="006F43FF"/>
    <w:rsid w:val="006F44B6"/>
    <w:rsid w:val="006F4712"/>
    <w:rsid w:val="006F4E22"/>
    <w:rsid w:val="006F4EAC"/>
    <w:rsid w:val="006F4EFF"/>
    <w:rsid w:val="006F4F67"/>
    <w:rsid w:val="006F5079"/>
    <w:rsid w:val="006F5285"/>
    <w:rsid w:val="006F529A"/>
    <w:rsid w:val="006F53BC"/>
    <w:rsid w:val="006F5407"/>
    <w:rsid w:val="006F57E8"/>
    <w:rsid w:val="006F588C"/>
    <w:rsid w:val="006F58D0"/>
    <w:rsid w:val="006F59AB"/>
    <w:rsid w:val="006F5A3B"/>
    <w:rsid w:val="006F5B90"/>
    <w:rsid w:val="006F5CFD"/>
    <w:rsid w:val="006F5E5D"/>
    <w:rsid w:val="006F5EDD"/>
    <w:rsid w:val="006F5EE4"/>
    <w:rsid w:val="006F5F00"/>
    <w:rsid w:val="006F60BA"/>
    <w:rsid w:val="006F60F8"/>
    <w:rsid w:val="006F6113"/>
    <w:rsid w:val="006F62E9"/>
    <w:rsid w:val="006F66C3"/>
    <w:rsid w:val="006F6715"/>
    <w:rsid w:val="006F67D5"/>
    <w:rsid w:val="006F6896"/>
    <w:rsid w:val="006F69D9"/>
    <w:rsid w:val="006F6A73"/>
    <w:rsid w:val="006F6AC8"/>
    <w:rsid w:val="006F6B9E"/>
    <w:rsid w:val="006F6BC4"/>
    <w:rsid w:val="006F6C0C"/>
    <w:rsid w:val="006F6C65"/>
    <w:rsid w:val="006F6F64"/>
    <w:rsid w:val="006F6F98"/>
    <w:rsid w:val="006F6FDE"/>
    <w:rsid w:val="006F7065"/>
    <w:rsid w:val="006F7084"/>
    <w:rsid w:val="006F72D1"/>
    <w:rsid w:val="006F75D7"/>
    <w:rsid w:val="006F761D"/>
    <w:rsid w:val="006F7752"/>
    <w:rsid w:val="006F7785"/>
    <w:rsid w:val="006F788F"/>
    <w:rsid w:val="006F79EC"/>
    <w:rsid w:val="006F7DDA"/>
    <w:rsid w:val="006FF6D0"/>
    <w:rsid w:val="00700134"/>
    <w:rsid w:val="0070028F"/>
    <w:rsid w:val="00700292"/>
    <w:rsid w:val="007002C9"/>
    <w:rsid w:val="007002CF"/>
    <w:rsid w:val="00700316"/>
    <w:rsid w:val="0070050C"/>
    <w:rsid w:val="007005A7"/>
    <w:rsid w:val="007006F7"/>
    <w:rsid w:val="007008CE"/>
    <w:rsid w:val="00700A0B"/>
    <w:rsid w:val="00700AC9"/>
    <w:rsid w:val="00700B97"/>
    <w:rsid w:val="00700C12"/>
    <w:rsid w:val="00700EE9"/>
    <w:rsid w:val="00701122"/>
    <w:rsid w:val="0070124A"/>
    <w:rsid w:val="007014E3"/>
    <w:rsid w:val="00701531"/>
    <w:rsid w:val="0070164D"/>
    <w:rsid w:val="00701670"/>
    <w:rsid w:val="007016B3"/>
    <w:rsid w:val="00701751"/>
    <w:rsid w:val="007017E6"/>
    <w:rsid w:val="0070184E"/>
    <w:rsid w:val="00701982"/>
    <w:rsid w:val="00701A3D"/>
    <w:rsid w:val="00701B5E"/>
    <w:rsid w:val="00701B8C"/>
    <w:rsid w:val="00701C17"/>
    <w:rsid w:val="00701EE5"/>
    <w:rsid w:val="00701F25"/>
    <w:rsid w:val="0070209F"/>
    <w:rsid w:val="00702171"/>
    <w:rsid w:val="00702192"/>
    <w:rsid w:val="007022BC"/>
    <w:rsid w:val="007022D5"/>
    <w:rsid w:val="007023A5"/>
    <w:rsid w:val="007023C7"/>
    <w:rsid w:val="00702412"/>
    <w:rsid w:val="00702524"/>
    <w:rsid w:val="00702526"/>
    <w:rsid w:val="007025CF"/>
    <w:rsid w:val="00702627"/>
    <w:rsid w:val="00702694"/>
    <w:rsid w:val="00702B27"/>
    <w:rsid w:val="00702C03"/>
    <w:rsid w:val="00702C30"/>
    <w:rsid w:val="00702D1B"/>
    <w:rsid w:val="00702E35"/>
    <w:rsid w:val="007030B8"/>
    <w:rsid w:val="00703106"/>
    <w:rsid w:val="0070371C"/>
    <w:rsid w:val="00703833"/>
    <w:rsid w:val="00703952"/>
    <w:rsid w:val="007039CD"/>
    <w:rsid w:val="00703B47"/>
    <w:rsid w:val="00703D91"/>
    <w:rsid w:val="00703EC5"/>
    <w:rsid w:val="007042CE"/>
    <w:rsid w:val="0070432B"/>
    <w:rsid w:val="00704342"/>
    <w:rsid w:val="0070457B"/>
    <w:rsid w:val="00704655"/>
    <w:rsid w:val="00704AD3"/>
    <w:rsid w:val="00704AED"/>
    <w:rsid w:val="00704F29"/>
    <w:rsid w:val="00705018"/>
    <w:rsid w:val="0070505B"/>
    <w:rsid w:val="0070505C"/>
    <w:rsid w:val="0070517B"/>
    <w:rsid w:val="00705317"/>
    <w:rsid w:val="00705332"/>
    <w:rsid w:val="00705473"/>
    <w:rsid w:val="0070559B"/>
    <w:rsid w:val="007057D0"/>
    <w:rsid w:val="00705BA6"/>
    <w:rsid w:val="00705D7B"/>
    <w:rsid w:val="007060DC"/>
    <w:rsid w:val="007065A5"/>
    <w:rsid w:val="007065BC"/>
    <w:rsid w:val="00706764"/>
    <w:rsid w:val="0070699B"/>
    <w:rsid w:val="007069DE"/>
    <w:rsid w:val="00706B70"/>
    <w:rsid w:val="00706BF1"/>
    <w:rsid w:val="00706C24"/>
    <w:rsid w:val="00706C48"/>
    <w:rsid w:val="00706EC9"/>
    <w:rsid w:val="00706EE9"/>
    <w:rsid w:val="00706F42"/>
    <w:rsid w:val="00707152"/>
    <w:rsid w:val="007073B5"/>
    <w:rsid w:val="00707401"/>
    <w:rsid w:val="00707453"/>
    <w:rsid w:val="0070752E"/>
    <w:rsid w:val="00707530"/>
    <w:rsid w:val="00707538"/>
    <w:rsid w:val="0070755D"/>
    <w:rsid w:val="00707574"/>
    <w:rsid w:val="00707599"/>
    <w:rsid w:val="007075F2"/>
    <w:rsid w:val="007077CC"/>
    <w:rsid w:val="0070794B"/>
    <w:rsid w:val="00707B96"/>
    <w:rsid w:val="00707D2F"/>
    <w:rsid w:val="00707D39"/>
    <w:rsid w:val="00707D3B"/>
    <w:rsid w:val="00707EFE"/>
    <w:rsid w:val="00707FF4"/>
    <w:rsid w:val="007100C6"/>
    <w:rsid w:val="007100DF"/>
    <w:rsid w:val="007100EC"/>
    <w:rsid w:val="0071013E"/>
    <w:rsid w:val="007101B4"/>
    <w:rsid w:val="00710231"/>
    <w:rsid w:val="007102A3"/>
    <w:rsid w:val="00710507"/>
    <w:rsid w:val="00710549"/>
    <w:rsid w:val="00710585"/>
    <w:rsid w:val="00710649"/>
    <w:rsid w:val="0071070E"/>
    <w:rsid w:val="00710808"/>
    <w:rsid w:val="0071081A"/>
    <w:rsid w:val="00710AA8"/>
    <w:rsid w:val="00710B85"/>
    <w:rsid w:val="00710C23"/>
    <w:rsid w:val="00710CEA"/>
    <w:rsid w:val="00710E23"/>
    <w:rsid w:val="00710E4B"/>
    <w:rsid w:val="00710F56"/>
    <w:rsid w:val="00710F87"/>
    <w:rsid w:val="007111A2"/>
    <w:rsid w:val="007112C6"/>
    <w:rsid w:val="00711365"/>
    <w:rsid w:val="007113FF"/>
    <w:rsid w:val="007114E8"/>
    <w:rsid w:val="0071154C"/>
    <w:rsid w:val="007116C5"/>
    <w:rsid w:val="007116DC"/>
    <w:rsid w:val="0071176C"/>
    <w:rsid w:val="007117D5"/>
    <w:rsid w:val="00711833"/>
    <w:rsid w:val="0071196B"/>
    <w:rsid w:val="00711B38"/>
    <w:rsid w:val="00711BBB"/>
    <w:rsid w:val="00711C4A"/>
    <w:rsid w:val="00711E6A"/>
    <w:rsid w:val="00711EA7"/>
    <w:rsid w:val="00711F09"/>
    <w:rsid w:val="00712041"/>
    <w:rsid w:val="007120DD"/>
    <w:rsid w:val="007121AD"/>
    <w:rsid w:val="0071222F"/>
    <w:rsid w:val="00712276"/>
    <w:rsid w:val="0071234B"/>
    <w:rsid w:val="007126CD"/>
    <w:rsid w:val="00712725"/>
    <w:rsid w:val="0071278B"/>
    <w:rsid w:val="0071298B"/>
    <w:rsid w:val="007129FE"/>
    <w:rsid w:val="00712A41"/>
    <w:rsid w:val="00712B23"/>
    <w:rsid w:val="00712DD4"/>
    <w:rsid w:val="00712DD8"/>
    <w:rsid w:val="00712E44"/>
    <w:rsid w:val="00713073"/>
    <w:rsid w:val="007130B8"/>
    <w:rsid w:val="0071310E"/>
    <w:rsid w:val="00713279"/>
    <w:rsid w:val="00713301"/>
    <w:rsid w:val="007133A3"/>
    <w:rsid w:val="00713422"/>
    <w:rsid w:val="0071346C"/>
    <w:rsid w:val="00713599"/>
    <w:rsid w:val="00713932"/>
    <w:rsid w:val="00713976"/>
    <w:rsid w:val="007139B0"/>
    <w:rsid w:val="00713B4E"/>
    <w:rsid w:val="00713C18"/>
    <w:rsid w:val="00713C58"/>
    <w:rsid w:val="00713C6D"/>
    <w:rsid w:val="00713C93"/>
    <w:rsid w:val="007140E1"/>
    <w:rsid w:val="00714121"/>
    <w:rsid w:val="007141E3"/>
    <w:rsid w:val="007142B4"/>
    <w:rsid w:val="007142FE"/>
    <w:rsid w:val="00714302"/>
    <w:rsid w:val="007143E3"/>
    <w:rsid w:val="00714496"/>
    <w:rsid w:val="00714522"/>
    <w:rsid w:val="00714537"/>
    <w:rsid w:val="0071456F"/>
    <w:rsid w:val="007145F6"/>
    <w:rsid w:val="00714794"/>
    <w:rsid w:val="007147A7"/>
    <w:rsid w:val="007147E1"/>
    <w:rsid w:val="00714806"/>
    <w:rsid w:val="0071484F"/>
    <w:rsid w:val="00714A78"/>
    <w:rsid w:val="00714A9A"/>
    <w:rsid w:val="00714CFC"/>
    <w:rsid w:val="00714DE1"/>
    <w:rsid w:val="00714FFC"/>
    <w:rsid w:val="0071509A"/>
    <w:rsid w:val="007150B3"/>
    <w:rsid w:val="007155D7"/>
    <w:rsid w:val="007156CD"/>
    <w:rsid w:val="00715725"/>
    <w:rsid w:val="007158AC"/>
    <w:rsid w:val="00715954"/>
    <w:rsid w:val="0071597C"/>
    <w:rsid w:val="007159A5"/>
    <w:rsid w:val="00715A17"/>
    <w:rsid w:val="00715B5E"/>
    <w:rsid w:val="00715DCC"/>
    <w:rsid w:val="00715EEC"/>
    <w:rsid w:val="00715EEF"/>
    <w:rsid w:val="00716080"/>
    <w:rsid w:val="0071609E"/>
    <w:rsid w:val="007160D4"/>
    <w:rsid w:val="007160E8"/>
    <w:rsid w:val="00716236"/>
    <w:rsid w:val="007163C6"/>
    <w:rsid w:val="00716564"/>
    <w:rsid w:val="00716719"/>
    <w:rsid w:val="00716728"/>
    <w:rsid w:val="0071675F"/>
    <w:rsid w:val="00716890"/>
    <w:rsid w:val="007169E6"/>
    <w:rsid w:val="007169F2"/>
    <w:rsid w:val="00716B70"/>
    <w:rsid w:val="00716BEA"/>
    <w:rsid w:val="00716CCD"/>
    <w:rsid w:val="00716CF1"/>
    <w:rsid w:val="00716D4B"/>
    <w:rsid w:val="00716E9B"/>
    <w:rsid w:val="00716EE9"/>
    <w:rsid w:val="00716F05"/>
    <w:rsid w:val="00716F9B"/>
    <w:rsid w:val="00717271"/>
    <w:rsid w:val="0071752A"/>
    <w:rsid w:val="0071754E"/>
    <w:rsid w:val="00717724"/>
    <w:rsid w:val="00717736"/>
    <w:rsid w:val="007177EB"/>
    <w:rsid w:val="00717917"/>
    <w:rsid w:val="00717992"/>
    <w:rsid w:val="007179B5"/>
    <w:rsid w:val="00717BFD"/>
    <w:rsid w:val="00717C12"/>
    <w:rsid w:val="00717C33"/>
    <w:rsid w:val="00717C6B"/>
    <w:rsid w:val="00717D1B"/>
    <w:rsid w:val="00717E51"/>
    <w:rsid w:val="00717EAE"/>
    <w:rsid w:val="00717F8D"/>
    <w:rsid w:val="007201B4"/>
    <w:rsid w:val="007204B5"/>
    <w:rsid w:val="007204D5"/>
    <w:rsid w:val="00720576"/>
    <w:rsid w:val="007207B4"/>
    <w:rsid w:val="0072084F"/>
    <w:rsid w:val="00720A51"/>
    <w:rsid w:val="00720AED"/>
    <w:rsid w:val="00720B8E"/>
    <w:rsid w:val="00720DB5"/>
    <w:rsid w:val="00720DDB"/>
    <w:rsid w:val="00720F1B"/>
    <w:rsid w:val="00720F3A"/>
    <w:rsid w:val="00721056"/>
    <w:rsid w:val="007210DA"/>
    <w:rsid w:val="00721141"/>
    <w:rsid w:val="00721151"/>
    <w:rsid w:val="0072134E"/>
    <w:rsid w:val="00721394"/>
    <w:rsid w:val="00721511"/>
    <w:rsid w:val="007215F7"/>
    <w:rsid w:val="00721788"/>
    <w:rsid w:val="007219C6"/>
    <w:rsid w:val="00721A5F"/>
    <w:rsid w:val="00721AB3"/>
    <w:rsid w:val="00721B9F"/>
    <w:rsid w:val="00721C35"/>
    <w:rsid w:val="00721C5F"/>
    <w:rsid w:val="00721CA9"/>
    <w:rsid w:val="00721E42"/>
    <w:rsid w:val="00721E9A"/>
    <w:rsid w:val="007220B8"/>
    <w:rsid w:val="0072218C"/>
    <w:rsid w:val="007222C8"/>
    <w:rsid w:val="007223F9"/>
    <w:rsid w:val="00722600"/>
    <w:rsid w:val="0072277D"/>
    <w:rsid w:val="00722780"/>
    <w:rsid w:val="007227EE"/>
    <w:rsid w:val="007228BA"/>
    <w:rsid w:val="0072294E"/>
    <w:rsid w:val="00722AF1"/>
    <w:rsid w:val="00722F74"/>
    <w:rsid w:val="00723119"/>
    <w:rsid w:val="0072312D"/>
    <w:rsid w:val="007231B5"/>
    <w:rsid w:val="0072341E"/>
    <w:rsid w:val="00723559"/>
    <w:rsid w:val="007235E8"/>
    <w:rsid w:val="007235F0"/>
    <w:rsid w:val="007235FD"/>
    <w:rsid w:val="0072369B"/>
    <w:rsid w:val="00723A78"/>
    <w:rsid w:val="00723BD9"/>
    <w:rsid w:val="00723C14"/>
    <w:rsid w:val="00723CE2"/>
    <w:rsid w:val="00723D6F"/>
    <w:rsid w:val="00723FA7"/>
    <w:rsid w:val="00723FCB"/>
    <w:rsid w:val="00724172"/>
    <w:rsid w:val="007242D4"/>
    <w:rsid w:val="00724343"/>
    <w:rsid w:val="007243E3"/>
    <w:rsid w:val="00724505"/>
    <w:rsid w:val="0072453A"/>
    <w:rsid w:val="00724577"/>
    <w:rsid w:val="007245BC"/>
    <w:rsid w:val="0072460B"/>
    <w:rsid w:val="0072466B"/>
    <w:rsid w:val="007246E8"/>
    <w:rsid w:val="007246EE"/>
    <w:rsid w:val="007247BF"/>
    <w:rsid w:val="00724849"/>
    <w:rsid w:val="00724A2D"/>
    <w:rsid w:val="00724A38"/>
    <w:rsid w:val="00724A8D"/>
    <w:rsid w:val="00724ABD"/>
    <w:rsid w:val="00724AD0"/>
    <w:rsid w:val="00724AD6"/>
    <w:rsid w:val="00724AF9"/>
    <w:rsid w:val="00724B02"/>
    <w:rsid w:val="00724C80"/>
    <w:rsid w:val="00724D63"/>
    <w:rsid w:val="00724ED3"/>
    <w:rsid w:val="00725006"/>
    <w:rsid w:val="007250A0"/>
    <w:rsid w:val="00725148"/>
    <w:rsid w:val="007251DE"/>
    <w:rsid w:val="00725360"/>
    <w:rsid w:val="0072539C"/>
    <w:rsid w:val="00725411"/>
    <w:rsid w:val="00725634"/>
    <w:rsid w:val="00725706"/>
    <w:rsid w:val="00725804"/>
    <w:rsid w:val="00725816"/>
    <w:rsid w:val="007258EB"/>
    <w:rsid w:val="0072590F"/>
    <w:rsid w:val="00725B20"/>
    <w:rsid w:val="00725BB1"/>
    <w:rsid w:val="00725C6F"/>
    <w:rsid w:val="00725CC2"/>
    <w:rsid w:val="00725D3A"/>
    <w:rsid w:val="00726011"/>
    <w:rsid w:val="00726047"/>
    <w:rsid w:val="007260EF"/>
    <w:rsid w:val="00726149"/>
    <w:rsid w:val="0072618C"/>
    <w:rsid w:val="007261CE"/>
    <w:rsid w:val="007263CE"/>
    <w:rsid w:val="007264A4"/>
    <w:rsid w:val="00726552"/>
    <w:rsid w:val="00726557"/>
    <w:rsid w:val="007265D7"/>
    <w:rsid w:val="0072678C"/>
    <w:rsid w:val="007267C3"/>
    <w:rsid w:val="0072681B"/>
    <w:rsid w:val="00726918"/>
    <w:rsid w:val="007269E0"/>
    <w:rsid w:val="00726AD0"/>
    <w:rsid w:val="00726C15"/>
    <w:rsid w:val="00726CA6"/>
    <w:rsid w:val="00727232"/>
    <w:rsid w:val="007272C4"/>
    <w:rsid w:val="007272D1"/>
    <w:rsid w:val="00727358"/>
    <w:rsid w:val="0072745A"/>
    <w:rsid w:val="00727640"/>
    <w:rsid w:val="0072768F"/>
    <w:rsid w:val="007278AE"/>
    <w:rsid w:val="0072796A"/>
    <w:rsid w:val="00727AFD"/>
    <w:rsid w:val="00727B9E"/>
    <w:rsid w:val="00727BE2"/>
    <w:rsid w:val="00727C3F"/>
    <w:rsid w:val="00727C69"/>
    <w:rsid w:val="00727CA9"/>
    <w:rsid w:val="00727EF2"/>
    <w:rsid w:val="00727F18"/>
    <w:rsid w:val="00727F21"/>
    <w:rsid w:val="00730086"/>
    <w:rsid w:val="007300A3"/>
    <w:rsid w:val="00730132"/>
    <w:rsid w:val="00730448"/>
    <w:rsid w:val="0073054B"/>
    <w:rsid w:val="0073054C"/>
    <w:rsid w:val="00730661"/>
    <w:rsid w:val="007307C1"/>
    <w:rsid w:val="007307E9"/>
    <w:rsid w:val="00730A17"/>
    <w:rsid w:val="00730B43"/>
    <w:rsid w:val="00730BDF"/>
    <w:rsid w:val="00730C24"/>
    <w:rsid w:val="00730C2C"/>
    <w:rsid w:val="00730D7C"/>
    <w:rsid w:val="00730F77"/>
    <w:rsid w:val="00730F8D"/>
    <w:rsid w:val="00730FC7"/>
    <w:rsid w:val="0073101D"/>
    <w:rsid w:val="0073104A"/>
    <w:rsid w:val="0073104C"/>
    <w:rsid w:val="00731055"/>
    <w:rsid w:val="00731103"/>
    <w:rsid w:val="00731278"/>
    <w:rsid w:val="0073133F"/>
    <w:rsid w:val="0073137E"/>
    <w:rsid w:val="007314EC"/>
    <w:rsid w:val="007316BA"/>
    <w:rsid w:val="00731721"/>
    <w:rsid w:val="00731739"/>
    <w:rsid w:val="00731749"/>
    <w:rsid w:val="007317AA"/>
    <w:rsid w:val="0073188B"/>
    <w:rsid w:val="007318DF"/>
    <w:rsid w:val="00731ACC"/>
    <w:rsid w:val="00731C43"/>
    <w:rsid w:val="00731D76"/>
    <w:rsid w:val="00731D7E"/>
    <w:rsid w:val="00731F12"/>
    <w:rsid w:val="00731FC8"/>
    <w:rsid w:val="00732008"/>
    <w:rsid w:val="00732041"/>
    <w:rsid w:val="00732220"/>
    <w:rsid w:val="0073225B"/>
    <w:rsid w:val="007323E0"/>
    <w:rsid w:val="00732445"/>
    <w:rsid w:val="0073261A"/>
    <w:rsid w:val="0073272C"/>
    <w:rsid w:val="007327A6"/>
    <w:rsid w:val="00732934"/>
    <w:rsid w:val="00732B6D"/>
    <w:rsid w:val="00732C60"/>
    <w:rsid w:val="00732C76"/>
    <w:rsid w:val="00732CB3"/>
    <w:rsid w:val="00732DD6"/>
    <w:rsid w:val="00732F40"/>
    <w:rsid w:val="00732FBC"/>
    <w:rsid w:val="00733137"/>
    <w:rsid w:val="007331C2"/>
    <w:rsid w:val="00733260"/>
    <w:rsid w:val="00733298"/>
    <w:rsid w:val="0073333F"/>
    <w:rsid w:val="007336E8"/>
    <w:rsid w:val="0073383D"/>
    <w:rsid w:val="00733C4B"/>
    <w:rsid w:val="00733E69"/>
    <w:rsid w:val="00733E7C"/>
    <w:rsid w:val="00733FD8"/>
    <w:rsid w:val="007340A9"/>
    <w:rsid w:val="007340C4"/>
    <w:rsid w:val="007341D5"/>
    <w:rsid w:val="00734252"/>
    <w:rsid w:val="007342D6"/>
    <w:rsid w:val="007343B2"/>
    <w:rsid w:val="0073461C"/>
    <w:rsid w:val="00734653"/>
    <w:rsid w:val="00734672"/>
    <w:rsid w:val="0073492E"/>
    <w:rsid w:val="007349E7"/>
    <w:rsid w:val="00734BA1"/>
    <w:rsid w:val="00734C7D"/>
    <w:rsid w:val="00734D14"/>
    <w:rsid w:val="00734E0C"/>
    <w:rsid w:val="00734FA2"/>
    <w:rsid w:val="00735085"/>
    <w:rsid w:val="00735262"/>
    <w:rsid w:val="0073529D"/>
    <w:rsid w:val="0073547A"/>
    <w:rsid w:val="007357A1"/>
    <w:rsid w:val="007357EE"/>
    <w:rsid w:val="00735850"/>
    <w:rsid w:val="0073592D"/>
    <w:rsid w:val="00735940"/>
    <w:rsid w:val="007359B5"/>
    <w:rsid w:val="007359BF"/>
    <w:rsid w:val="00735C1F"/>
    <w:rsid w:val="00735D18"/>
    <w:rsid w:val="00735EF1"/>
    <w:rsid w:val="007361A6"/>
    <w:rsid w:val="007361BD"/>
    <w:rsid w:val="007363CA"/>
    <w:rsid w:val="00736433"/>
    <w:rsid w:val="007365C7"/>
    <w:rsid w:val="00736609"/>
    <w:rsid w:val="0073676C"/>
    <w:rsid w:val="00736802"/>
    <w:rsid w:val="00736885"/>
    <w:rsid w:val="00736903"/>
    <w:rsid w:val="0073696C"/>
    <w:rsid w:val="00736AD3"/>
    <w:rsid w:val="00736AE4"/>
    <w:rsid w:val="00736BEB"/>
    <w:rsid w:val="00736D24"/>
    <w:rsid w:val="00736D2A"/>
    <w:rsid w:val="00736D2E"/>
    <w:rsid w:val="00736D81"/>
    <w:rsid w:val="00736FDF"/>
    <w:rsid w:val="0073734A"/>
    <w:rsid w:val="00737389"/>
    <w:rsid w:val="007377D7"/>
    <w:rsid w:val="0073782C"/>
    <w:rsid w:val="007378F1"/>
    <w:rsid w:val="0073793F"/>
    <w:rsid w:val="00737A6F"/>
    <w:rsid w:val="00737AD1"/>
    <w:rsid w:val="00737C87"/>
    <w:rsid w:val="00737D6A"/>
    <w:rsid w:val="00737EB3"/>
    <w:rsid w:val="00737F21"/>
    <w:rsid w:val="0073865A"/>
    <w:rsid w:val="0074012A"/>
    <w:rsid w:val="00740263"/>
    <w:rsid w:val="007402E7"/>
    <w:rsid w:val="00740357"/>
    <w:rsid w:val="007404C1"/>
    <w:rsid w:val="007405AE"/>
    <w:rsid w:val="007405B8"/>
    <w:rsid w:val="007406D8"/>
    <w:rsid w:val="00740713"/>
    <w:rsid w:val="007407B0"/>
    <w:rsid w:val="00740B05"/>
    <w:rsid w:val="00741130"/>
    <w:rsid w:val="0074113D"/>
    <w:rsid w:val="00741281"/>
    <w:rsid w:val="00741346"/>
    <w:rsid w:val="0074137E"/>
    <w:rsid w:val="007413B9"/>
    <w:rsid w:val="007413FB"/>
    <w:rsid w:val="00741881"/>
    <w:rsid w:val="00741888"/>
    <w:rsid w:val="007418E8"/>
    <w:rsid w:val="00741940"/>
    <w:rsid w:val="00741C49"/>
    <w:rsid w:val="00741D1A"/>
    <w:rsid w:val="00741E88"/>
    <w:rsid w:val="00741EE4"/>
    <w:rsid w:val="00741FD7"/>
    <w:rsid w:val="00742133"/>
    <w:rsid w:val="00742285"/>
    <w:rsid w:val="0074230B"/>
    <w:rsid w:val="0074238A"/>
    <w:rsid w:val="007426C9"/>
    <w:rsid w:val="007426EC"/>
    <w:rsid w:val="007428F6"/>
    <w:rsid w:val="00742972"/>
    <w:rsid w:val="00742BE8"/>
    <w:rsid w:val="00742ED1"/>
    <w:rsid w:val="00743011"/>
    <w:rsid w:val="0074304D"/>
    <w:rsid w:val="0074308B"/>
    <w:rsid w:val="007430BC"/>
    <w:rsid w:val="00743175"/>
    <w:rsid w:val="007431D7"/>
    <w:rsid w:val="00743211"/>
    <w:rsid w:val="0074351F"/>
    <w:rsid w:val="0074375E"/>
    <w:rsid w:val="007437A7"/>
    <w:rsid w:val="007437D4"/>
    <w:rsid w:val="007438AA"/>
    <w:rsid w:val="007439E5"/>
    <w:rsid w:val="00743A69"/>
    <w:rsid w:val="00743B49"/>
    <w:rsid w:val="00743DAB"/>
    <w:rsid w:val="00743E39"/>
    <w:rsid w:val="00743E5A"/>
    <w:rsid w:val="00743F9A"/>
    <w:rsid w:val="00744016"/>
    <w:rsid w:val="00744057"/>
    <w:rsid w:val="00744111"/>
    <w:rsid w:val="007442D3"/>
    <w:rsid w:val="00744347"/>
    <w:rsid w:val="00744455"/>
    <w:rsid w:val="0074492B"/>
    <w:rsid w:val="007449E5"/>
    <w:rsid w:val="00744A00"/>
    <w:rsid w:val="00744AD0"/>
    <w:rsid w:val="00744B66"/>
    <w:rsid w:val="00744B92"/>
    <w:rsid w:val="00744C7D"/>
    <w:rsid w:val="00744D73"/>
    <w:rsid w:val="0074505D"/>
    <w:rsid w:val="00745378"/>
    <w:rsid w:val="007453A4"/>
    <w:rsid w:val="00745687"/>
    <w:rsid w:val="00745730"/>
    <w:rsid w:val="00745789"/>
    <w:rsid w:val="007457F6"/>
    <w:rsid w:val="00745A6B"/>
    <w:rsid w:val="00745AAF"/>
    <w:rsid w:val="00745B6C"/>
    <w:rsid w:val="00745C12"/>
    <w:rsid w:val="00745D14"/>
    <w:rsid w:val="00745DE4"/>
    <w:rsid w:val="00745E0F"/>
    <w:rsid w:val="00745E11"/>
    <w:rsid w:val="00745E16"/>
    <w:rsid w:val="00745F33"/>
    <w:rsid w:val="007461D9"/>
    <w:rsid w:val="00746357"/>
    <w:rsid w:val="0074650B"/>
    <w:rsid w:val="00746620"/>
    <w:rsid w:val="007466F7"/>
    <w:rsid w:val="00746706"/>
    <w:rsid w:val="00746746"/>
    <w:rsid w:val="00746774"/>
    <w:rsid w:val="007467E6"/>
    <w:rsid w:val="0074687F"/>
    <w:rsid w:val="00746B81"/>
    <w:rsid w:val="00746BA5"/>
    <w:rsid w:val="00746E91"/>
    <w:rsid w:val="00747256"/>
    <w:rsid w:val="007474CD"/>
    <w:rsid w:val="007475A6"/>
    <w:rsid w:val="00747719"/>
    <w:rsid w:val="0074783A"/>
    <w:rsid w:val="0074788E"/>
    <w:rsid w:val="007479A7"/>
    <w:rsid w:val="00747DB6"/>
    <w:rsid w:val="00747DE3"/>
    <w:rsid w:val="00747E62"/>
    <w:rsid w:val="0075016B"/>
    <w:rsid w:val="007501A0"/>
    <w:rsid w:val="0075023C"/>
    <w:rsid w:val="007502B8"/>
    <w:rsid w:val="00750319"/>
    <w:rsid w:val="00750560"/>
    <w:rsid w:val="007507B8"/>
    <w:rsid w:val="00750970"/>
    <w:rsid w:val="007509EC"/>
    <w:rsid w:val="00750B9E"/>
    <w:rsid w:val="00750C26"/>
    <w:rsid w:val="00750D69"/>
    <w:rsid w:val="00750E2A"/>
    <w:rsid w:val="00751051"/>
    <w:rsid w:val="00751171"/>
    <w:rsid w:val="007512BB"/>
    <w:rsid w:val="00751631"/>
    <w:rsid w:val="007519DB"/>
    <w:rsid w:val="007519F1"/>
    <w:rsid w:val="00751C3C"/>
    <w:rsid w:val="00751C77"/>
    <w:rsid w:val="00751DCE"/>
    <w:rsid w:val="00751FE2"/>
    <w:rsid w:val="007520FB"/>
    <w:rsid w:val="00752154"/>
    <w:rsid w:val="0075216F"/>
    <w:rsid w:val="007522A6"/>
    <w:rsid w:val="00752513"/>
    <w:rsid w:val="007525AA"/>
    <w:rsid w:val="007525C8"/>
    <w:rsid w:val="0075272D"/>
    <w:rsid w:val="00752913"/>
    <w:rsid w:val="0075299F"/>
    <w:rsid w:val="00752B1B"/>
    <w:rsid w:val="00752C8C"/>
    <w:rsid w:val="00752DE0"/>
    <w:rsid w:val="00752E09"/>
    <w:rsid w:val="00752E6E"/>
    <w:rsid w:val="00752EF2"/>
    <w:rsid w:val="00752F2B"/>
    <w:rsid w:val="00753257"/>
    <w:rsid w:val="0075325A"/>
    <w:rsid w:val="00753275"/>
    <w:rsid w:val="0075329F"/>
    <w:rsid w:val="007534BF"/>
    <w:rsid w:val="0075352D"/>
    <w:rsid w:val="007535FC"/>
    <w:rsid w:val="00753796"/>
    <w:rsid w:val="007538D4"/>
    <w:rsid w:val="00753A2F"/>
    <w:rsid w:val="00753A98"/>
    <w:rsid w:val="00753B83"/>
    <w:rsid w:val="00753C1A"/>
    <w:rsid w:val="00753CCF"/>
    <w:rsid w:val="00753EA9"/>
    <w:rsid w:val="00753F0D"/>
    <w:rsid w:val="00753F32"/>
    <w:rsid w:val="00754079"/>
    <w:rsid w:val="007541C0"/>
    <w:rsid w:val="00754339"/>
    <w:rsid w:val="0075433E"/>
    <w:rsid w:val="00754346"/>
    <w:rsid w:val="00754356"/>
    <w:rsid w:val="007543C0"/>
    <w:rsid w:val="007543C1"/>
    <w:rsid w:val="007546FA"/>
    <w:rsid w:val="00754756"/>
    <w:rsid w:val="00754951"/>
    <w:rsid w:val="00754988"/>
    <w:rsid w:val="00754B0B"/>
    <w:rsid w:val="00754C55"/>
    <w:rsid w:val="00754E42"/>
    <w:rsid w:val="00754E67"/>
    <w:rsid w:val="00754ED0"/>
    <w:rsid w:val="00754F9C"/>
    <w:rsid w:val="00754FDD"/>
    <w:rsid w:val="00755018"/>
    <w:rsid w:val="007550DB"/>
    <w:rsid w:val="007550F7"/>
    <w:rsid w:val="007550FA"/>
    <w:rsid w:val="00755553"/>
    <w:rsid w:val="007555F3"/>
    <w:rsid w:val="00755650"/>
    <w:rsid w:val="00755674"/>
    <w:rsid w:val="00755702"/>
    <w:rsid w:val="00755C59"/>
    <w:rsid w:val="00755CF2"/>
    <w:rsid w:val="00755DE2"/>
    <w:rsid w:val="00755DFF"/>
    <w:rsid w:val="00755F3A"/>
    <w:rsid w:val="00755F8A"/>
    <w:rsid w:val="007560E3"/>
    <w:rsid w:val="00756152"/>
    <w:rsid w:val="00756160"/>
    <w:rsid w:val="00756223"/>
    <w:rsid w:val="0075632D"/>
    <w:rsid w:val="007563DA"/>
    <w:rsid w:val="00756611"/>
    <w:rsid w:val="0075667B"/>
    <w:rsid w:val="00756705"/>
    <w:rsid w:val="00756970"/>
    <w:rsid w:val="007569D4"/>
    <w:rsid w:val="007569D8"/>
    <w:rsid w:val="00756A70"/>
    <w:rsid w:val="00756B2F"/>
    <w:rsid w:val="00756B4C"/>
    <w:rsid w:val="00756D0F"/>
    <w:rsid w:val="00756D4C"/>
    <w:rsid w:val="00756DBE"/>
    <w:rsid w:val="00756DD6"/>
    <w:rsid w:val="00756E0D"/>
    <w:rsid w:val="00756E60"/>
    <w:rsid w:val="00756F1F"/>
    <w:rsid w:val="00757024"/>
    <w:rsid w:val="00757066"/>
    <w:rsid w:val="0075706A"/>
    <w:rsid w:val="00757135"/>
    <w:rsid w:val="007573B4"/>
    <w:rsid w:val="007573CD"/>
    <w:rsid w:val="0075748F"/>
    <w:rsid w:val="00757567"/>
    <w:rsid w:val="007575BB"/>
    <w:rsid w:val="007575FB"/>
    <w:rsid w:val="00757785"/>
    <w:rsid w:val="007577BF"/>
    <w:rsid w:val="0075788F"/>
    <w:rsid w:val="0075794A"/>
    <w:rsid w:val="007579C6"/>
    <w:rsid w:val="007579D5"/>
    <w:rsid w:val="00757B35"/>
    <w:rsid w:val="00757B78"/>
    <w:rsid w:val="00757D35"/>
    <w:rsid w:val="00757D51"/>
    <w:rsid w:val="00757F37"/>
    <w:rsid w:val="00757F43"/>
    <w:rsid w:val="00757FF3"/>
    <w:rsid w:val="0076013B"/>
    <w:rsid w:val="007601B7"/>
    <w:rsid w:val="00760252"/>
    <w:rsid w:val="0076044C"/>
    <w:rsid w:val="00760470"/>
    <w:rsid w:val="007604DA"/>
    <w:rsid w:val="0076053F"/>
    <w:rsid w:val="007605BD"/>
    <w:rsid w:val="0076060E"/>
    <w:rsid w:val="0076061E"/>
    <w:rsid w:val="007608EB"/>
    <w:rsid w:val="00760BC4"/>
    <w:rsid w:val="00760D69"/>
    <w:rsid w:val="00760DCE"/>
    <w:rsid w:val="00760ECF"/>
    <w:rsid w:val="00760FBF"/>
    <w:rsid w:val="0076100A"/>
    <w:rsid w:val="00761051"/>
    <w:rsid w:val="0076109B"/>
    <w:rsid w:val="0076115F"/>
    <w:rsid w:val="007611D3"/>
    <w:rsid w:val="007611D6"/>
    <w:rsid w:val="0076133E"/>
    <w:rsid w:val="0076171C"/>
    <w:rsid w:val="007619BA"/>
    <w:rsid w:val="00761A27"/>
    <w:rsid w:val="00761C5B"/>
    <w:rsid w:val="00761C77"/>
    <w:rsid w:val="00761C9B"/>
    <w:rsid w:val="00761D34"/>
    <w:rsid w:val="00761D88"/>
    <w:rsid w:val="00761FE8"/>
    <w:rsid w:val="00762000"/>
    <w:rsid w:val="007621A2"/>
    <w:rsid w:val="007621BC"/>
    <w:rsid w:val="00762221"/>
    <w:rsid w:val="00762423"/>
    <w:rsid w:val="0076247E"/>
    <w:rsid w:val="00762894"/>
    <w:rsid w:val="007628EA"/>
    <w:rsid w:val="00762903"/>
    <w:rsid w:val="007629DC"/>
    <w:rsid w:val="00762A03"/>
    <w:rsid w:val="00762B17"/>
    <w:rsid w:val="00762BD7"/>
    <w:rsid w:val="00762E25"/>
    <w:rsid w:val="00762E85"/>
    <w:rsid w:val="00762ED6"/>
    <w:rsid w:val="00762F28"/>
    <w:rsid w:val="00762FCF"/>
    <w:rsid w:val="0076338C"/>
    <w:rsid w:val="007637E9"/>
    <w:rsid w:val="007638E1"/>
    <w:rsid w:val="00763935"/>
    <w:rsid w:val="00763BAD"/>
    <w:rsid w:val="00763DF6"/>
    <w:rsid w:val="00763E50"/>
    <w:rsid w:val="00763FF5"/>
    <w:rsid w:val="00764066"/>
    <w:rsid w:val="00764082"/>
    <w:rsid w:val="007640B0"/>
    <w:rsid w:val="007640E8"/>
    <w:rsid w:val="007641A4"/>
    <w:rsid w:val="007641F3"/>
    <w:rsid w:val="0076426A"/>
    <w:rsid w:val="0076430C"/>
    <w:rsid w:val="00764355"/>
    <w:rsid w:val="007643F1"/>
    <w:rsid w:val="0076459C"/>
    <w:rsid w:val="007645C2"/>
    <w:rsid w:val="007646BC"/>
    <w:rsid w:val="007646FA"/>
    <w:rsid w:val="0076490E"/>
    <w:rsid w:val="00764A92"/>
    <w:rsid w:val="00764BB9"/>
    <w:rsid w:val="00764BDB"/>
    <w:rsid w:val="00764E18"/>
    <w:rsid w:val="00764E20"/>
    <w:rsid w:val="00764EAF"/>
    <w:rsid w:val="00764F26"/>
    <w:rsid w:val="00764F5D"/>
    <w:rsid w:val="00764F8C"/>
    <w:rsid w:val="007650CC"/>
    <w:rsid w:val="007651C5"/>
    <w:rsid w:val="007652A5"/>
    <w:rsid w:val="00765361"/>
    <w:rsid w:val="00765591"/>
    <w:rsid w:val="007655B2"/>
    <w:rsid w:val="00765629"/>
    <w:rsid w:val="00765746"/>
    <w:rsid w:val="0076582B"/>
    <w:rsid w:val="0076589C"/>
    <w:rsid w:val="00765A22"/>
    <w:rsid w:val="00765B48"/>
    <w:rsid w:val="00765B59"/>
    <w:rsid w:val="00765B6A"/>
    <w:rsid w:val="00765C2F"/>
    <w:rsid w:val="0076601C"/>
    <w:rsid w:val="007660B9"/>
    <w:rsid w:val="00766108"/>
    <w:rsid w:val="007662C6"/>
    <w:rsid w:val="00766381"/>
    <w:rsid w:val="007663BA"/>
    <w:rsid w:val="00766430"/>
    <w:rsid w:val="00766523"/>
    <w:rsid w:val="0076664C"/>
    <w:rsid w:val="007668C4"/>
    <w:rsid w:val="00766914"/>
    <w:rsid w:val="00766A0C"/>
    <w:rsid w:val="00766B46"/>
    <w:rsid w:val="00766B50"/>
    <w:rsid w:val="00766CAD"/>
    <w:rsid w:val="00766EED"/>
    <w:rsid w:val="00766F27"/>
    <w:rsid w:val="00766F5F"/>
    <w:rsid w:val="007670E4"/>
    <w:rsid w:val="007670F7"/>
    <w:rsid w:val="00767144"/>
    <w:rsid w:val="00767204"/>
    <w:rsid w:val="007673D7"/>
    <w:rsid w:val="007674D5"/>
    <w:rsid w:val="0076776A"/>
    <w:rsid w:val="007677D6"/>
    <w:rsid w:val="00767B06"/>
    <w:rsid w:val="00767CB6"/>
    <w:rsid w:val="00767CF8"/>
    <w:rsid w:val="00767D46"/>
    <w:rsid w:val="00767EFB"/>
    <w:rsid w:val="00767FDB"/>
    <w:rsid w:val="00770002"/>
    <w:rsid w:val="00770225"/>
    <w:rsid w:val="0077024A"/>
    <w:rsid w:val="007702CF"/>
    <w:rsid w:val="007703D3"/>
    <w:rsid w:val="007703F0"/>
    <w:rsid w:val="00770601"/>
    <w:rsid w:val="00770690"/>
    <w:rsid w:val="007706A8"/>
    <w:rsid w:val="00770727"/>
    <w:rsid w:val="00770887"/>
    <w:rsid w:val="00770A61"/>
    <w:rsid w:val="00770AA6"/>
    <w:rsid w:val="00770B05"/>
    <w:rsid w:val="00770C24"/>
    <w:rsid w:val="00770DAB"/>
    <w:rsid w:val="00770DAC"/>
    <w:rsid w:val="00770EA4"/>
    <w:rsid w:val="00770F48"/>
    <w:rsid w:val="00771224"/>
    <w:rsid w:val="0077130C"/>
    <w:rsid w:val="007713BA"/>
    <w:rsid w:val="007713FA"/>
    <w:rsid w:val="007715EF"/>
    <w:rsid w:val="00771814"/>
    <w:rsid w:val="00771955"/>
    <w:rsid w:val="00771A20"/>
    <w:rsid w:val="00771B0A"/>
    <w:rsid w:val="00771B8E"/>
    <w:rsid w:val="00771BEA"/>
    <w:rsid w:val="00771D66"/>
    <w:rsid w:val="00771DAA"/>
    <w:rsid w:val="00771E9A"/>
    <w:rsid w:val="00771F40"/>
    <w:rsid w:val="00771F8B"/>
    <w:rsid w:val="007720DC"/>
    <w:rsid w:val="00772576"/>
    <w:rsid w:val="007727A4"/>
    <w:rsid w:val="007727B6"/>
    <w:rsid w:val="007728CE"/>
    <w:rsid w:val="00772952"/>
    <w:rsid w:val="00772986"/>
    <w:rsid w:val="007729B8"/>
    <w:rsid w:val="007729E3"/>
    <w:rsid w:val="00772C79"/>
    <w:rsid w:val="00772CB6"/>
    <w:rsid w:val="00772D2A"/>
    <w:rsid w:val="00772E1F"/>
    <w:rsid w:val="00772EAD"/>
    <w:rsid w:val="00772FD3"/>
    <w:rsid w:val="007731D1"/>
    <w:rsid w:val="00773225"/>
    <w:rsid w:val="007732A3"/>
    <w:rsid w:val="00773329"/>
    <w:rsid w:val="0077333C"/>
    <w:rsid w:val="007733B6"/>
    <w:rsid w:val="00773551"/>
    <w:rsid w:val="00773567"/>
    <w:rsid w:val="007738EF"/>
    <w:rsid w:val="00773A2F"/>
    <w:rsid w:val="00773AD5"/>
    <w:rsid w:val="00773B49"/>
    <w:rsid w:val="00773C60"/>
    <w:rsid w:val="00773C65"/>
    <w:rsid w:val="00773C98"/>
    <w:rsid w:val="00773CB9"/>
    <w:rsid w:val="00773CE2"/>
    <w:rsid w:val="00773D83"/>
    <w:rsid w:val="00773E50"/>
    <w:rsid w:val="00773E8A"/>
    <w:rsid w:val="00773ED9"/>
    <w:rsid w:val="00773F07"/>
    <w:rsid w:val="00773FFE"/>
    <w:rsid w:val="0077410D"/>
    <w:rsid w:val="007742A8"/>
    <w:rsid w:val="00774321"/>
    <w:rsid w:val="00774506"/>
    <w:rsid w:val="007746A7"/>
    <w:rsid w:val="00774837"/>
    <w:rsid w:val="0077484D"/>
    <w:rsid w:val="00774886"/>
    <w:rsid w:val="00774939"/>
    <w:rsid w:val="00774B1E"/>
    <w:rsid w:val="00774C70"/>
    <w:rsid w:val="00774D85"/>
    <w:rsid w:val="00774D90"/>
    <w:rsid w:val="00774DB7"/>
    <w:rsid w:val="00774DD0"/>
    <w:rsid w:val="00774EC1"/>
    <w:rsid w:val="00774F29"/>
    <w:rsid w:val="0077504E"/>
    <w:rsid w:val="00775219"/>
    <w:rsid w:val="00775265"/>
    <w:rsid w:val="0077529E"/>
    <w:rsid w:val="0077529F"/>
    <w:rsid w:val="007752BA"/>
    <w:rsid w:val="0077530F"/>
    <w:rsid w:val="0077556B"/>
    <w:rsid w:val="0077562E"/>
    <w:rsid w:val="007758E8"/>
    <w:rsid w:val="00775974"/>
    <w:rsid w:val="00775A7A"/>
    <w:rsid w:val="00775BFD"/>
    <w:rsid w:val="00775D78"/>
    <w:rsid w:val="00775E9D"/>
    <w:rsid w:val="00775F5C"/>
    <w:rsid w:val="00776128"/>
    <w:rsid w:val="007761E7"/>
    <w:rsid w:val="007765DD"/>
    <w:rsid w:val="00776669"/>
    <w:rsid w:val="00776760"/>
    <w:rsid w:val="00776CF3"/>
    <w:rsid w:val="00776E50"/>
    <w:rsid w:val="00776EA1"/>
    <w:rsid w:val="00776EBC"/>
    <w:rsid w:val="00776EFB"/>
    <w:rsid w:val="00776F28"/>
    <w:rsid w:val="00776F76"/>
    <w:rsid w:val="00776FC2"/>
    <w:rsid w:val="00777090"/>
    <w:rsid w:val="007770EF"/>
    <w:rsid w:val="00777103"/>
    <w:rsid w:val="00777125"/>
    <w:rsid w:val="00777129"/>
    <w:rsid w:val="00777132"/>
    <w:rsid w:val="0077719C"/>
    <w:rsid w:val="007771A5"/>
    <w:rsid w:val="007772A0"/>
    <w:rsid w:val="007772E3"/>
    <w:rsid w:val="007774A6"/>
    <w:rsid w:val="007774B5"/>
    <w:rsid w:val="00777638"/>
    <w:rsid w:val="0077765A"/>
    <w:rsid w:val="007776DB"/>
    <w:rsid w:val="0077783F"/>
    <w:rsid w:val="0077786F"/>
    <w:rsid w:val="007779E0"/>
    <w:rsid w:val="00777AD5"/>
    <w:rsid w:val="00777BDC"/>
    <w:rsid w:val="00777D14"/>
    <w:rsid w:val="00777D1C"/>
    <w:rsid w:val="00777D6C"/>
    <w:rsid w:val="00777E5B"/>
    <w:rsid w:val="00777EA2"/>
    <w:rsid w:val="00777EE4"/>
    <w:rsid w:val="00780099"/>
    <w:rsid w:val="00780128"/>
    <w:rsid w:val="00780183"/>
    <w:rsid w:val="007801DF"/>
    <w:rsid w:val="0078052B"/>
    <w:rsid w:val="00780542"/>
    <w:rsid w:val="0078060F"/>
    <w:rsid w:val="00780661"/>
    <w:rsid w:val="007806BD"/>
    <w:rsid w:val="00780774"/>
    <w:rsid w:val="00780A19"/>
    <w:rsid w:val="00780A70"/>
    <w:rsid w:val="00780AFD"/>
    <w:rsid w:val="00780B96"/>
    <w:rsid w:val="00780D52"/>
    <w:rsid w:val="00780D60"/>
    <w:rsid w:val="00780E76"/>
    <w:rsid w:val="00780EA8"/>
    <w:rsid w:val="00780EC0"/>
    <w:rsid w:val="00780FB0"/>
    <w:rsid w:val="0078108A"/>
    <w:rsid w:val="007810FC"/>
    <w:rsid w:val="0078119D"/>
    <w:rsid w:val="00781227"/>
    <w:rsid w:val="0078129C"/>
    <w:rsid w:val="00781679"/>
    <w:rsid w:val="007816B6"/>
    <w:rsid w:val="0078187E"/>
    <w:rsid w:val="007818EA"/>
    <w:rsid w:val="00781945"/>
    <w:rsid w:val="0078195F"/>
    <w:rsid w:val="00781A71"/>
    <w:rsid w:val="00781A94"/>
    <w:rsid w:val="00781AFF"/>
    <w:rsid w:val="00781B64"/>
    <w:rsid w:val="00781CC2"/>
    <w:rsid w:val="00781D0A"/>
    <w:rsid w:val="00781D1E"/>
    <w:rsid w:val="0078205D"/>
    <w:rsid w:val="00782082"/>
    <w:rsid w:val="007824A3"/>
    <w:rsid w:val="00782518"/>
    <w:rsid w:val="00782583"/>
    <w:rsid w:val="0078269F"/>
    <w:rsid w:val="0078280A"/>
    <w:rsid w:val="00782814"/>
    <w:rsid w:val="0078286F"/>
    <w:rsid w:val="0078295F"/>
    <w:rsid w:val="00782973"/>
    <w:rsid w:val="007829CC"/>
    <w:rsid w:val="00782AA1"/>
    <w:rsid w:val="00782BB0"/>
    <w:rsid w:val="00782BB6"/>
    <w:rsid w:val="00782BF5"/>
    <w:rsid w:val="00782CB3"/>
    <w:rsid w:val="00782E1B"/>
    <w:rsid w:val="00782F70"/>
    <w:rsid w:val="00782FE9"/>
    <w:rsid w:val="0078303A"/>
    <w:rsid w:val="0078342B"/>
    <w:rsid w:val="007836B7"/>
    <w:rsid w:val="00783852"/>
    <w:rsid w:val="00783876"/>
    <w:rsid w:val="00783A47"/>
    <w:rsid w:val="00783A8B"/>
    <w:rsid w:val="00783B71"/>
    <w:rsid w:val="00783BBA"/>
    <w:rsid w:val="00783C1E"/>
    <w:rsid w:val="00783DCC"/>
    <w:rsid w:val="00784099"/>
    <w:rsid w:val="00784101"/>
    <w:rsid w:val="00784198"/>
    <w:rsid w:val="007841B6"/>
    <w:rsid w:val="007841E2"/>
    <w:rsid w:val="0078421A"/>
    <w:rsid w:val="00784254"/>
    <w:rsid w:val="00784297"/>
    <w:rsid w:val="007842DE"/>
    <w:rsid w:val="00784796"/>
    <w:rsid w:val="007847F3"/>
    <w:rsid w:val="00784B2C"/>
    <w:rsid w:val="00784CBA"/>
    <w:rsid w:val="00784D67"/>
    <w:rsid w:val="00784E43"/>
    <w:rsid w:val="00784E7A"/>
    <w:rsid w:val="00784FA6"/>
    <w:rsid w:val="00785091"/>
    <w:rsid w:val="007850C5"/>
    <w:rsid w:val="007850C6"/>
    <w:rsid w:val="00785198"/>
    <w:rsid w:val="00785282"/>
    <w:rsid w:val="0078528A"/>
    <w:rsid w:val="00785396"/>
    <w:rsid w:val="007854B9"/>
    <w:rsid w:val="00785566"/>
    <w:rsid w:val="00785AA4"/>
    <w:rsid w:val="00785AE9"/>
    <w:rsid w:val="00785B74"/>
    <w:rsid w:val="00785BB8"/>
    <w:rsid w:val="0078613D"/>
    <w:rsid w:val="00786155"/>
    <w:rsid w:val="00786166"/>
    <w:rsid w:val="00786399"/>
    <w:rsid w:val="00786429"/>
    <w:rsid w:val="007864FF"/>
    <w:rsid w:val="00786539"/>
    <w:rsid w:val="00786585"/>
    <w:rsid w:val="00786766"/>
    <w:rsid w:val="007868CF"/>
    <w:rsid w:val="0078691D"/>
    <w:rsid w:val="00786952"/>
    <w:rsid w:val="00786969"/>
    <w:rsid w:val="00786991"/>
    <w:rsid w:val="007869C6"/>
    <w:rsid w:val="00786A68"/>
    <w:rsid w:val="00786BAF"/>
    <w:rsid w:val="00786BCA"/>
    <w:rsid w:val="00786C20"/>
    <w:rsid w:val="00786CCA"/>
    <w:rsid w:val="00786CD1"/>
    <w:rsid w:val="00786D48"/>
    <w:rsid w:val="00786DD5"/>
    <w:rsid w:val="00786E58"/>
    <w:rsid w:val="00786F68"/>
    <w:rsid w:val="00786F92"/>
    <w:rsid w:val="007870FA"/>
    <w:rsid w:val="00787122"/>
    <w:rsid w:val="007871F8"/>
    <w:rsid w:val="007873D5"/>
    <w:rsid w:val="00787414"/>
    <w:rsid w:val="0078747D"/>
    <w:rsid w:val="007874BE"/>
    <w:rsid w:val="007875EF"/>
    <w:rsid w:val="0078780F"/>
    <w:rsid w:val="007878C1"/>
    <w:rsid w:val="007878C3"/>
    <w:rsid w:val="00787957"/>
    <w:rsid w:val="007879B0"/>
    <w:rsid w:val="007879DE"/>
    <w:rsid w:val="00787A4B"/>
    <w:rsid w:val="00787C08"/>
    <w:rsid w:val="00787EC0"/>
    <w:rsid w:val="00790056"/>
    <w:rsid w:val="007900FC"/>
    <w:rsid w:val="007901B5"/>
    <w:rsid w:val="007902DA"/>
    <w:rsid w:val="007903D7"/>
    <w:rsid w:val="007907FA"/>
    <w:rsid w:val="00790AEB"/>
    <w:rsid w:val="00790B31"/>
    <w:rsid w:val="00790CB0"/>
    <w:rsid w:val="00790F8A"/>
    <w:rsid w:val="0079101B"/>
    <w:rsid w:val="00791083"/>
    <w:rsid w:val="007911E9"/>
    <w:rsid w:val="00791265"/>
    <w:rsid w:val="00791364"/>
    <w:rsid w:val="007913A8"/>
    <w:rsid w:val="00791979"/>
    <w:rsid w:val="00791A4D"/>
    <w:rsid w:val="00791ADE"/>
    <w:rsid w:val="00791B58"/>
    <w:rsid w:val="00791BCE"/>
    <w:rsid w:val="00791C22"/>
    <w:rsid w:val="00791C5F"/>
    <w:rsid w:val="00791DB9"/>
    <w:rsid w:val="00791E44"/>
    <w:rsid w:val="00792195"/>
    <w:rsid w:val="00792663"/>
    <w:rsid w:val="007926F2"/>
    <w:rsid w:val="00792734"/>
    <w:rsid w:val="00792775"/>
    <w:rsid w:val="007929A3"/>
    <w:rsid w:val="00792AD1"/>
    <w:rsid w:val="00792C0F"/>
    <w:rsid w:val="00792C9E"/>
    <w:rsid w:val="00792D28"/>
    <w:rsid w:val="00792DDB"/>
    <w:rsid w:val="00792F25"/>
    <w:rsid w:val="0079311D"/>
    <w:rsid w:val="00793207"/>
    <w:rsid w:val="0079323B"/>
    <w:rsid w:val="00793255"/>
    <w:rsid w:val="0079341F"/>
    <w:rsid w:val="00793504"/>
    <w:rsid w:val="007935F2"/>
    <w:rsid w:val="00793662"/>
    <w:rsid w:val="00793E4C"/>
    <w:rsid w:val="00793EB5"/>
    <w:rsid w:val="00793FC7"/>
    <w:rsid w:val="00794043"/>
    <w:rsid w:val="0079409F"/>
    <w:rsid w:val="007940D6"/>
    <w:rsid w:val="00794295"/>
    <w:rsid w:val="00794342"/>
    <w:rsid w:val="00794443"/>
    <w:rsid w:val="00794634"/>
    <w:rsid w:val="007946C3"/>
    <w:rsid w:val="007947E7"/>
    <w:rsid w:val="007947FC"/>
    <w:rsid w:val="00794818"/>
    <w:rsid w:val="00794B31"/>
    <w:rsid w:val="00794B5D"/>
    <w:rsid w:val="00794DFA"/>
    <w:rsid w:val="00794E91"/>
    <w:rsid w:val="00794F02"/>
    <w:rsid w:val="00794F52"/>
    <w:rsid w:val="00795135"/>
    <w:rsid w:val="00795288"/>
    <w:rsid w:val="00795318"/>
    <w:rsid w:val="007953A5"/>
    <w:rsid w:val="00795528"/>
    <w:rsid w:val="00795659"/>
    <w:rsid w:val="00795703"/>
    <w:rsid w:val="007957BF"/>
    <w:rsid w:val="007957E6"/>
    <w:rsid w:val="007958BC"/>
    <w:rsid w:val="007958CC"/>
    <w:rsid w:val="00795CC0"/>
    <w:rsid w:val="00795CD6"/>
    <w:rsid w:val="00795CD9"/>
    <w:rsid w:val="00795E4E"/>
    <w:rsid w:val="00795E7F"/>
    <w:rsid w:val="0079620B"/>
    <w:rsid w:val="00796222"/>
    <w:rsid w:val="00796321"/>
    <w:rsid w:val="00796479"/>
    <w:rsid w:val="007966BF"/>
    <w:rsid w:val="007966C1"/>
    <w:rsid w:val="00796847"/>
    <w:rsid w:val="00796A3D"/>
    <w:rsid w:val="00796B27"/>
    <w:rsid w:val="00796D58"/>
    <w:rsid w:val="00796D88"/>
    <w:rsid w:val="00796E09"/>
    <w:rsid w:val="00796E8A"/>
    <w:rsid w:val="00796F00"/>
    <w:rsid w:val="0079712C"/>
    <w:rsid w:val="00797268"/>
    <w:rsid w:val="007973B8"/>
    <w:rsid w:val="0079757D"/>
    <w:rsid w:val="00797636"/>
    <w:rsid w:val="007976DC"/>
    <w:rsid w:val="00797753"/>
    <w:rsid w:val="0079782F"/>
    <w:rsid w:val="007978D4"/>
    <w:rsid w:val="00797959"/>
    <w:rsid w:val="00797C0D"/>
    <w:rsid w:val="00797C96"/>
    <w:rsid w:val="00797CC3"/>
    <w:rsid w:val="00797F7A"/>
    <w:rsid w:val="007A0089"/>
    <w:rsid w:val="007A01EA"/>
    <w:rsid w:val="007A0338"/>
    <w:rsid w:val="007A03C2"/>
    <w:rsid w:val="007A04DE"/>
    <w:rsid w:val="007A05AE"/>
    <w:rsid w:val="007A0779"/>
    <w:rsid w:val="007A084A"/>
    <w:rsid w:val="007A093B"/>
    <w:rsid w:val="007A09CB"/>
    <w:rsid w:val="007A0AA8"/>
    <w:rsid w:val="007A0CAB"/>
    <w:rsid w:val="007A0DE0"/>
    <w:rsid w:val="007A0E5D"/>
    <w:rsid w:val="007A0ED2"/>
    <w:rsid w:val="007A0EFB"/>
    <w:rsid w:val="007A101F"/>
    <w:rsid w:val="007A107F"/>
    <w:rsid w:val="007A11AF"/>
    <w:rsid w:val="007A14D5"/>
    <w:rsid w:val="007A14D6"/>
    <w:rsid w:val="007A150E"/>
    <w:rsid w:val="007A161F"/>
    <w:rsid w:val="007A167B"/>
    <w:rsid w:val="007A16C6"/>
    <w:rsid w:val="007A17ED"/>
    <w:rsid w:val="007A193B"/>
    <w:rsid w:val="007A19AE"/>
    <w:rsid w:val="007A1D7B"/>
    <w:rsid w:val="007A1E9C"/>
    <w:rsid w:val="007A2242"/>
    <w:rsid w:val="007A22A2"/>
    <w:rsid w:val="007A235C"/>
    <w:rsid w:val="007A2568"/>
    <w:rsid w:val="007A2611"/>
    <w:rsid w:val="007A2698"/>
    <w:rsid w:val="007A26C9"/>
    <w:rsid w:val="007A2901"/>
    <w:rsid w:val="007A2945"/>
    <w:rsid w:val="007A2A02"/>
    <w:rsid w:val="007A2C8B"/>
    <w:rsid w:val="007A2DB2"/>
    <w:rsid w:val="007A2E84"/>
    <w:rsid w:val="007A3078"/>
    <w:rsid w:val="007A308E"/>
    <w:rsid w:val="007A30F8"/>
    <w:rsid w:val="007A3160"/>
    <w:rsid w:val="007A31C6"/>
    <w:rsid w:val="007A3215"/>
    <w:rsid w:val="007A3222"/>
    <w:rsid w:val="007A3370"/>
    <w:rsid w:val="007A33F0"/>
    <w:rsid w:val="007A3592"/>
    <w:rsid w:val="007A35C5"/>
    <w:rsid w:val="007A35FF"/>
    <w:rsid w:val="007A368C"/>
    <w:rsid w:val="007A378A"/>
    <w:rsid w:val="007A37B3"/>
    <w:rsid w:val="007A38AB"/>
    <w:rsid w:val="007A39E1"/>
    <w:rsid w:val="007A3A68"/>
    <w:rsid w:val="007A3A6A"/>
    <w:rsid w:val="007A3ACB"/>
    <w:rsid w:val="007A3B33"/>
    <w:rsid w:val="007A3C2E"/>
    <w:rsid w:val="007A3CD1"/>
    <w:rsid w:val="007A3E61"/>
    <w:rsid w:val="007A3EFB"/>
    <w:rsid w:val="007A4082"/>
    <w:rsid w:val="007A420A"/>
    <w:rsid w:val="007A4345"/>
    <w:rsid w:val="007A43B6"/>
    <w:rsid w:val="007A4519"/>
    <w:rsid w:val="007A473F"/>
    <w:rsid w:val="007A476A"/>
    <w:rsid w:val="007A47AB"/>
    <w:rsid w:val="007A48B6"/>
    <w:rsid w:val="007A49EA"/>
    <w:rsid w:val="007A4C4D"/>
    <w:rsid w:val="007A4C60"/>
    <w:rsid w:val="007A4CB9"/>
    <w:rsid w:val="007A4D07"/>
    <w:rsid w:val="007A4FCF"/>
    <w:rsid w:val="007A50BC"/>
    <w:rsid w:val="007A5201"/>
    <w:rsid w:val="007A522C"/>
    <w:rsid w:val="007A524C"/>
    <w:rsid w:val="007A5474"/>
    <w:rsid w:val="007A5497"/>
    <w:rsid w:val="007A54DA"/>
    <w:rsid w:val="007A5519"/>
    <w:rsid w:val="007A5530"/>
    <w:rsid w:val="007A56D9"/>
    <w:rsid w:val="007A595A"/>
    <w:rsid w:val="007A596A"/>
    <w:rsid w:val="007A5A43"/>
    <w:rsid w:val="007A5B58"/>
    <w:rsid w:val="007A5C7A"/>
    <w:rsid w:val="007A5C85"/>
    <w:rsid w:val="007A5E4C"/>
    <w:rsid w:val="007A5F3E"/>
    <w:rsid w:val="007A6046"/>
    <w:rsid w:val="007A624D"/>
    <w:rsid w:val="007A625C"/>
    <w:rsid w:val="007A6425"/>
    <w:rsid w:val="007A6503"/>
    <w:rsid w:val="007A66E9"/>
    <w:rsid w:val="007A67AC"/>
    <w:rsid w:val="007A680A"/>
    <w:rsid w:val="007A6B6D"/>
    <w:rsid w:val="007A6F70"/>
    <w:rsid w:val="007A6FCA"/>
    <w:rsid w:val="007A70BA"/>
    <w:rsid w:val="007A70FD"/>
    <w:rsid w:val="007A7423"/>
    <w:rsid w:val="007A743D"/>
    <w:rsid w:val="007A7497"/>
    <w:rsid w:val="007A757E"/>
    <w:rsid w:val="007A76ED"/>
    <w:rsid w:val="007A772A"/>
    <w:rsid w:val="007A786C"/>
    <w:rsid w:val="007A78AB"/>
    <w:rsid w:val="007A7A05"/>
    <w:rsid w:val="007A7B19"/>
    <w:rsid w:val="007A7C81"/>
    <w:rsid w:val="007A7E3E"/>
    <w:rsid w:val="007A7FC1"/>
    <w:rsid w:val="007B008D"/>
    <w:rsid w:val="007B0092"/>
    <w:rsid w:val="007B03DE"/>
    <w:rsid w:val="007B0505"/>
    <w:rsid w:val="007B07A2"/>
    <w:rsid w:val="007B080E"/>
    <w:rsid w:val="007B083E"/>
    <w:rsid w:val="007B094E"/>
    <w:rsid w:val="007B09DF"/>
    <w:rsid w:val="007B0A41"/>
    <w:rsid w:val="007B0A53"/>
    <w:rsid w:val="007B0B20"/>
    <w:rsid w:val="007B0BF6"/>
    <w:rsid w:val="007B0E16"/>
    <w:rsid w:val="007B108E"/>
    <w:rsid w:val="007B10AE"/>
    <w:rsid w:val="007B1160"/>
    <w:rsid w:val="007B11D7"/>
    <w:rsid w:val="007B11FF"/>
    <w:rsid w:val="007B12D7"/>
    <w:rsid w:val="007B138A"/>
    <w:rsid w:val="007B13B4"/>
    <w:rsid w:val="007B1473"/>
    <w:rsid w:val="007B1500"/>
    <w:rsid w:val="007B158B"/>
    <w:rsid w:val="007B15C2"/>
    <w:rsid w:val="007B15E4"/>
    <w:rsid w:val="007B174B"/>
    <w:rsid w:val="007B1793"/>
    <w:rsid w:val="007B17A3"/>
    <w:rsid w:val="007B1836"/>
    <w:rsid w:val="007B1994"/>
    <w:rsid w:val="007B19C1"/>
    <w:rsid w:val="007B1ADC"/>
    <w:rsid w:val="007B1B4E"/>
    <w:rsid w:val="007B1C13"/>
    <w:rsid w:val="007B1D61"/>
    <w:rsid w:val="007B1EB4"/>
    <w:rsid w:val="007B1EF1"/>
    <w:rsid w:val="007B2043"/>
    <w:rsid w:val="007B204A"/>
    <w:rsid w:val="007B2051"/>
    <w:rsid w:val="007B2185"/>
    <w:rsid w:val="007B236B"/>
    <w:rsid w:val="007B258A"/>
    <w:rsid w:val="007B265B"/>
    <w:rsid w:val="007B2706"/>
    <w:rsid w:val="007B2753"/>
    <w:rsid w:val="007B2823"/>
    <w:rsid w:val="007B290A"/>
    <w:rsid w:val="007B2C3E"/>
    <w:rsid w:val="007B2C4C"/>
    <w:rsid w:val="007B2C94"/>
    <w:rsid w:val="007B2CA1"/>
    <w:rsid w:val="007B2D08"/>
    <w:rsid w:val="007B2D4C"/>
    <w:rsid w:val="007B30DA"/>
    <w:rsid w:val="007B316B"/>
    <w:rsid w:val="007B3314"/>
    <w:rsid w:val="007B33C0"/>
    <w:rsid w:val="007B33CE"/>
    <w:rsid w:val="007B33FC"/>
    <w:rsid w:val="007B3512"/>
    <w:rsid w:val="007B359E"/>
    <w:rsid w:val="007B35FD"/>
    <w:rsid w:val="007B3699"/>
    <w:rsid w:val="007B36E3"/>
    <w:rsid w:val="007B3740"/>
    <w:rsid w:val="007B383A"/>
    <w:rsid w:val="007B3874"/>
    <w:rsid w:val="007B387E"/>
    <w:rsid w:val="007B3CA5"/>
    <w:rsid w:val="007B3F2D"/>
    <w:rsid w:val="007B45FD"/>
    <w:rsid w:val="007B45FF"/>
    <w:rsid w:val="007B4674"/>
    <w:rsid w:val="007B4722"/>
    <w:rsid w:val="007B4788"/>
    <w:rsid w:val="007B47C4"/>
    <w:rsid w:val="007B4821"/>
    <w:rsid w:val="007B494F"/>
    <w:rsid w:val="007B49B8"/>
    <w:rsid w:val="007B4A3B"/>
    <w:rsid w:val="007B4BDE"/>
    <w:rsid w:val="007B4C89"/>
    <w:rsid w:val="007B4CAC"/>
    <w:rsid w:val="007B4CB0"/>
    <w:rsid w:val="007B4DD6"/>
    <w:rsid w:val="007B505A"/>
    <w:rsid w:val="007B52AB"/>
    <w:rsid w:val="007B53D3"/>
    <w:rsid w:val="007B5636"/>
    <w:rsid w:val="007B565B"/>
    <w:rsid w:val="007B5736"/>
    <w:rsid w:val="007B5843"/>
    <w:rsid w:val="007B5919"/>
    <w:rsid w:val="007B59B3"/>
    <w:rsid w:val="007B5A20"/>
    <w:rsid w:val="007B5A69"/>
    <w:rsid w:val="007B5BC0"/>
    <w:rsid w:val="007B5CD0"/>
    <w:rsid w:val="007B5E40"/>
    <w:rsid w:val="007B5F0A"/>
    <w:rsid w:val="007B5FB6"/>
    <w:rsid w:val="007B6025"/>
    <w:rsid w:val="007B614F"/>
    <w:rsid w:val="007B6170"/>
    <w:rsid w:val="007B61E1"/>
    <w:rsid w:val="007B61F1"/>
    <w:rsid w:val="007B6207"/>
    <w:rsid w:val="007B622C"/>
    <w:rsid w:val="007B632A"/>
    <w:rsid w:val="007B6386"/>
    <w:rsid w:val="007B63E0"/>
    <w:rsid w:val="007B63E3"/>
    <w:rsid w:val="007B6406"/>
    <w:rsid w:val="007B6668"/>
    <w:rsid w:val="007B6680"/>
    <w:rsid w:val="007B6AED"/>
    <w:rsid w:val="007B6B01"/>
    <w:rsid w:val="007B6D61"/>
    <w:rsid w:val="007B6E0E"/>
    <w:rsid w:val="007B6E86"/>
    <w:rsid w:val="007B6E97"/>
    <w:rsid w:val="007B712F"/>
    <w:rsid w:val="007B7160"/>
    <w:rsid w:val="007B71DF"/>
    <w:rsid w:val="007B71F6"/>
    <w:rsid w:val="007B7202"/>
    <w:rsid w:val="007B7328"/>
    <w:rsid w:val="007B732F"/>
    <w:rsid w:val="007B75E4"/>
    <w:rsid w:val="007B76AB"/>
    <w:rsid w:val="007B77C5"/>
    <w:rsid w:val="007B789F"/>
    <w:rsid w:val="007B7B57"/>
    <w:rsid w:val="007B7BC0"/>
    <w:rsid w:val="007B7C33"/>
    <w:rsid w:val="007B7CEA"/>
    <w:rsid w:val="007B7D01"/>
    <w:rsid w:val="007B7DAB"/>
    <w:rsid w:val="007B7E89"/>
    <w:rsid w:val="007B7F50"/>
    <w:rsid w:val="007B7FAB"/>
    <w:rsid w:val="007C0028"/>
    <w:rsid w:val="007C0364"/>
    <w:rsid w:val="007C039C"/>
    <w:rsid w:val="007C04B0"/>
    <w:rsid w:val="007C0551"/>
    <w:rsid w:val="007C069D"/>
    <w:rsid w:val="007C0758"/>
    <w:rsid w:val="007C09EA"/>
    <w:rsid w:val="007C0A05"/>
    <w:rsid w:val="007C0B96"/>
    <w:rsid w:val="007C0C81"/>
    <w:rsid w:val="007C0E0F"/>
    <w:rsid w:val="007C0F1C"/>
    <w:rsid w:val="007C1074"/>
    <w:rsid w:val="007C112E"/>
    <w:rsid w:val="007C13A1"/>
    <w:rsid w:val="007C13A2"/>
    <w:rsid w:val="007C156E"/>
    <w:rsid w:val="007C17E0"/>
    <w:rsid w:val="007C1834"/>
    <w:rsid w:val="007C1A2A"/>
    <w:rsid w:val="007C1B1F"/>
    <w:rsid w:val="007C1CCE"/>
    <w:rsid w:val="007C1D92"/>
    <w:rsid w:val="007C1F54"/>
    <w:rsid w:val="007C1FBC"/>
    <w:rsid w:val="007C2017"/>
    <w:rsid w:val="007C2146"/>
    <w:rsid w:val="007C2275"/>
    <w:rsid w:val="007C22FF"/>
    <w:rsid w:val="007C2409"/>
    <w:rsid w:val="007C269C"/>
    <w:rsid w:val="007C26BF"/>
    <w:rsid w:val="007C28F8"/>
    <w:rsid w:val="007C2ADB"/>
    <w:rsid w:val="007C2D7A"/>
    <w:rsid w:val="007C2DC2"/>
    <w:rsid w:val="007C2ECD"/>
    <w:rsid w:val="007C2F29"/>
    <w:rsid w:val="007C2F92"/>
    <w:rsid w:val="007C3240"/>
    <w:rsid w:val="007C3490"/>
    <w:rsid w:val="007C3537"/>
    <w:rsid w:val="007C35A7"/>
    <w:rsid w:val="007C35E5"/>
    <w:rsid w:val="007C38D9"/>
    <w:rsid w:val="007C399C"/>
    <w:rsid w:val="007C3ABA"/>
    <w:rsid w:val="007C3BC3"/>
    <w:rsid w:val="007C3C1A"/>
    <w:rsid w:val="007C3C2B"/>
    <w:rsid w:val="007C3CD2"/>
    <w:rsid w:val="007C3CF4"/>
    <w:rsid w:val="007C3E0E"/>
    <w:rsid w:val="007C3EF5"/>
    <w:rsid w:val="007C4156"/>
    <w:rsid w:val="007C4189"/>
    <w:rsid w:val="007C41C7"/>
    <w:rsid w:val="007C422F"/>
    <w:rsid w:val="007C42D3"/>
    <w:rsid w:val="007C4441"/>
    <w:rsid w:val="007C44AF"/>
    <w:rsid w:val="007C451C"/>
    <w:rsid w:val="007C45FD"/>
    <w:rsid w:val="007C4697"/>
    <w:rsid w:val="007C4705"/>
    <w:rsid w:val="007C47CD"/>
    <w:rsid w:val="007C48B2"/>
    <w:rsid w:val="007C48CE"/>
    <w:rsid w:val="007C4C77"/>
    <w:rsid w:val="007C4CE0"/>
    <w:rsid w:val="007C4D07"/>
    <w:rsid w:val="007C4DE3"/>
    <w:rsid w:val="007C4FBF"/>
    <w:rsid w:val="007C506A"/>
    <w:rsid w:val="007C5110"/>
    <w:rsid w:val="007C514B"/>
    <w:rsid w:val="007C5170"/>
    <w:rsid w:val="007C5186"/>
    <w:rsid w:val="007C51EB"/>
    <w:rsid w:val="007C528F"/>
    <w:rsid w:val="007C52D1"/>
    <w:rsid w:val="007C546D"/>
    <w:rsid w:val="007C5557"/>
    <w:rsid w:val="007C5847"/>
    <w:rsid w:val="007C5861"/>
    <w:rsid w:val="007C5992"/>
    <w:rsid w:val="007C59F7"/>
    <w:rsid w:val="007C5BF7"/>
    <w:rsid w:val="007C5C81"/>
    <w:rsid w:val="007C5E69"/>
    <w:rsid w:val="007C5EC0"/>
    <w:rsid w:val="007C5F29"/>
    <w:rsid w:val="007C5F69"/>
    <w:rsid w:val="007C605B"/>
    <w:rsid w:val="007C60FF"/>
    <w:rsid w:val="007C61B5"/>
    <w:rsid w:val="007C6333"/>
    <w:rsid w:val="007C63A1"/>
    <w:rsid w:val="007C63AA"/>
    <w:rsid w:val="007C64F4"/>
    <w:rsid w:val="007C6507"/>
    <w:rsid w:val="007C65BC"/>
    <w:rsid w:val="007C65C0"/>
    <w:rsid w:val="007C66F0"/>
    <w:rsid w:val="007C674E"/>
    <w:rsid w:val="007C67A9"/>
    <w:rsid w:val="007C6876"/>
    <w:rsid w:val="007C6B32"/>
    <w:rsid w:val="007C6E0A"/>
    <w:rsid w:val="007C703B"/>
    <w:rsid w:val="007C707D"/>
    <w:rsid w:val="007C70D3"/>
    <w:rsid w:val="007C7150"/>
    <w:rsid w:val="007C742B"/>
    <w:rsid w:val="007C7448"/>
    <w:rsid w:val="007C7576"/>
    <w:rsid w:val="007C7612"/>
    <w:rsid w:val="007C76EA"/>
    <w:rsid w:val="007C77CC"/>
    <w:rsid w:val="007C797B"/>
    <w:rsid w:val="007C7A9B"/>
    <w:rsid w:val="007C7C27"/>
    <w:rsid w:val="007C7DF7"/>
    <w:rsid w:val="007C7E4B"/>
    <w:rsid w:val="007C7E64"/>
    <w:rsid w:val="007C7FEC"/>
    <w:rsid w:val="007D0228"/>
    <w:rsid w:val="007D04CE"/>
    <w:rsid w:val="007D0777"/>
    <w:rsid w:val="007D077E"/>
    <w:rsid w:val="007D092F"/>
    <w:rsid w:val="007D0AF1"/>
    <w:rsid w:val="007D0B08"/>
    <w:rsid w:val="007D0B59"/>
    <w:rsid w:val="007D0B93"/>
    <w:rsid w:val="007D0E3B"/>
    <w:rsid w:val="007D0E57"/>
    <w:rsid w:val="007D0E5C"/>
    <w:rsid w:val="007D1023"/>
    <w:rsid w:val="007D1060"/>
    <w:rsid w:val="007D118E"/>
    <w:rsid w:val="007D12F0"/>
    <w:rsid w:val="007D1340"/>
    <w:rsid w:val="007D13A3"/>
    <w:rsid w:val="007D13FA"/>
    <w:rsid w:val="007D14B9"/>
    <w:rsid w:val="007D14F5"/>
    <w:rsid w:val="007D1542"/>
    <w:rsid w:val="007D15A8"/>
    <w:rsid w:val="007D15E9"/>
    <w:rsid w:val="007D17B2"/>
    <w:rsid w:val="007D1814"/>
    <w:rsid w:val="007D1CF6"/>
    <w:rsid w:val="007D1D37"/>
    <w:rsid w:val="007D1E89"/>
    <w:rsid w:val="007D1F6C"/>
    <w:rsid w:val="007D21F3"/>
    <w:rsid w:val="007D2283"/>
    <w:rsid w:val="007D25FF"/>
    <w:rsid w:val="007D2772"/>
    <w:rsid w:val="007D278C"/>
    <w:rsid w:val="007D287D"/>
    <w:rsid w:val="007D289A"/>
    <w:rsid w:val="007D29A4"/>
    <w:rsid w:val="007D2BED"/>
    <w:rsid w:val="007D2D51"/>
    <w:rsid w:val="007D2E15"/>
    <w:rsid w:val="007D2EB4"/>
    <w:rsid w:val="007D2F90"/>
    <w:rsid w:val="007D2F9D"/>
    <w:rsid w:val="007D3072"/>
    <w:rsid w:val="007D329C"/>
    <w:rsid w:val="007D33B0"/>
    <w:rsid w:val="007D3552"/>
    <w:rsid w:val="007D3588"/>
    <w:rsid w:val="007D3680"/>
    <w:rsid w:val="007D38F2"/>
    <w:rsid w:val="007D396A"/>
    <w:rsid w:val="007D39C3"/>
    <w:rsid w:val="007D3C59"/>
    <w:rsid w:val="007D3C97"/>
    <w:rsid w:val="007D3D43"/>
    <w:rsid w:val="007D3F46"/>
    <w:rsid w:val="007D406E"/>
    <w:rsid w:val="007D4177"/>
    <w:rsid w:val="007D42ED"/>
    <w:rsid w:val="007D44E7"/>
    <w:rsid w:val="007D47E5"/>
    <w:rsid w:val="007D4830"/>
    <w:rsid w:val="007D48BC"/>
    <w:rsid w:val="007D49A7"/>
    <w:rsid w:val="007D4A98"/>
    <w:rsid w:val="007D4AB0"/>
    <w:rsid w:val="007D4BD9"/>
    <w:rsid w:val="007D4C86"/>
    <w:rsid w:val="007D4D19"/>
    <w:rsid w:val="007D4D77"/>
    <w:rsid w:val="007D4E29"/>
    <w:rsid w:val="007D5171"/>
    <w:rsid w:val="007D52CD"/>
    <w:rsid w:val="007D5301"/>
    <w:rsid w:val="007D532C"/>
    <w:rsid w:val="007D552D"/>
    <w:rsid w:val="007D55E9"/>
    <w:rsid w:val="007D570F"/>
    <w:rsid w:val="007D57BD"/>
    <w:rsid w:val="007D5976"/>
    <w:rsid w:val="007D5C86"/>
    <w:rsid w:val="007D5C8B"/>
    <w:rsid w:val="007D5EFE"/>
    <w:rsid w:val="007D5F11"/>
    <w:rsid w:val="007D5F15"/>
    <w:rsid w:val="007D607D"/>
    <w:rsid w:val="007D619C"/>
    <w:rsid w:val="007D61BB"/>
    <w:rsid w:val="007D6254"/>
    <w:rsid w:val="007D6275"/>
    <w:rsid w:val="007D639A"/>
    <w:rsid w:val="007D6533"/>
    <w:rsid w:val="007D6692"/>
    <w:rsid w:val="007D6792"/>
    <w:rsid w:val="007D682D"/>
    <w:rsid w:val="007D692F"/>
    <w:rsid w:val="007D6A9C"/>
    <w:rsid w:val="007D6C71"/>
    <w:rsid w:val="007D6C8A"/>
    <w:rsid w:val="007D6CA8"/>
    <w:rsid w:val="007D6F0A"/>
    <w:rsid w:val="007D6F2B"/>
    <w:rsid w:val="007D70FC"/>
    <w:rsid w:val="007D7111"/>
    <w:rsid w:val="007D7235"/>
    <w:rsid w:val="007D727E"/>
    <w:rsid w:val="007D7702"/>
    <w:rsid w:val="007D7802"/>
    <w:rsid w:val="007D786E"/>
    <w:rsid w:val="007D7885"/>
    <w:rsid w:val="007D78BF"/>
    <w:rsid w:val="007D79D4"/>
    <w:rsid w:val="007D7A22"/>
    <w:rsid w:val="007D7C5D"/>
    <w:rsid w:val="007D7CE5"/>
    <w:rsid w:val="007D7D62"/>
    <w:rsid w:val="007D7E55"/>
    <w:rsid w:val="007D7FC0"/>
    <w:rsid w:val="007E0030"/>
    <w:rsid w:val="007E0133"/>
    <w:rsid w:val="007E01FD"/>
    <w:rsid w:val="007E0230"/>
    <w:rsid w:val="007E024C"/>
    <w:rsid w:val="007E0372"/>
    <w:rsid w:val="007E03C2"/>
    <w:rsid w:val="007E03C6"/>
    <w:rsid w:val="007E04E0"/>
    <w:rsid w:val="007E076B"/>
    <w:rsid w:val="007E09F7"/>
    <w:rsid w:val="007E09FD"/>
    <w:rsid w:val="007E0E4D"/>
    <w:rsid w:val="007E0EF8"/>
    <w:rsid w:val="007E0FBB"/>
    <w:rsid w:val="007E127A"/>
    <w:rsid w:val="007E12DB"/>
    <w:rsid w:val="007E12E7"/>
    <w:rsid w:val="007E1305"/>
    <w:rsid w:val="007E1332"/>
    <w:rsid w:val="007E1364"/>
    <w:rsid w:val="007E1405"/>
    <w:rsid w:val="007E1463"/>
    <w:rsid w:val="007E1605"/>
    <w:rsid w:val="007E17C9"/>
    <w:rsid w:val="007E184B"/>
    <w:rsid w:val="007E18B5"/>
    <w:rsid w:val="007E19D8"/>
    <w:rsid w:val="007E1CB9"/>
    <w:rsid w:val="007E1D28"/>
    <w:rsid w:val="007E2282"/>
    <w:rsid w:val="007E2502"/>
    <w:rsid w:val="007E2546"/>
    <w:rsid w:val="007E267A"/>
    <w:rsid w:val="007E2692"/>
    <w:rsid w:val="007E26C8"/>
    <w:rsid w:val="007E282D"/>
    <w:rsid w:val="007E29B4"/>
    <w:rsid w:val="007E2A99"/>
    <w:rsid w:val="007E2BAA"/>
    <w:rsid w:val="007E2C95"/>
    <w:rsid w:val="007E2DC0"/>
    <w:rsid w:val="007E315D"/>
    <w:rsid w:val="007E3288"/>
    <w:rsid w:val="007E3334"/>
    <w:rsid w:val="007E3463"/>
    <w:rsid w:val="007E3480"/>
    <w:rsid w:val="007E35A1"/>
    <w:rsid w:val="007E3932"/>
    <w:rsid w:val="007E3AB3"/>
    <w:rsid w:val="007E3B15"/>
    <w:rsid w:val="007E3B49"/>
    <w:rsid w:val="007E3CF0"/>
    <w:rsid w:val="007E3E89"/>
    <w:rsid w:val="007E3F2F"/>
    <w:rsid w:val="007E4167"/>
    <w:rsid w:val="007E4251"/>
    <w:rsid w:val="007E4329"/>
    <w:rsid w:val="007E4557"/>
    <w:rsid w:val="007E4705"/>
    <w:rsid w:val="007E4819"/>
    <w:rsid w:val="007E4A9E"/>
    <w:rsid w:val="007E4B10"/>
    <w:rsid w:val="007E4BFB"/>
    <w:rsid w:val="007E4D32"/>
    <w:rsid w:val="007E4F1F"/>
    <w:rsid w:val="007E4F4D"/>
    <w:rsid w:val="007E50A5"/>
    <w:rsid w:val="007E50C2"/>
    <w:rsid w:val="007E50F0"/>
    <w:rsid w:val="007E5112"/>
    <w:rsid w:val="007E51AE"/>
    <w:rsid w:val="007E52F8"/>
    <w:rsid w:val="007E5421"/>
    <w:rsid w:val="007E55E2"/>
    <w:rsid w:val="007E56DA"/>
    <w:rsid w:val="007E56FB"/>
    <w:rsid w:val="007E5900"/>
    <w:rsid w:val="007E5BE1"/>
    <w:rsid w:val="007E5BE7"/>
    <w:rsid w:val="007E5BF7"/>
    <w:rsid w:val="007E5C12"/>
    <w:rsid w:val="007E5C24"/>
    <w:rsid w:val="007E5F85"/>
    <w:rsid w:val="007E5FBC"/>
    <w:rsid w:val="007E5FEB"/>
    <w:rsid w:val="007E6059"/>
    <w:rsid w:val="007E61FE"/>
    <w:rsid w:val="007E62A2"/>
    <w:rsid w:val="007E63BF"/>
    <w:rsid w:val="007E6489"/>
    <w:rsid w:val="007E65D3"/>
    <w:rsid w:val="007E6610"/>
    <w:rsid w:val="007E6665"/>
    <w:rsid w:val="007E67E8"/>
    <w:rsid w:val="007E6876"/>
    <w:rsid w:val="007E6901"/>
    <w:rsid w:val="007E6993"/>
    <w:rsid w:val="007E6AC1"/>
    <w:rsid w:val="007E6C7C"/>
    <w:rsid w:val="007E6D7B"/>
    <w:rsid w:val="007E6F1D"/>
    <w:rsid w:val="007E6F52"/>
    <w:rsid w:val="007E6FAE"/>
    <w:rsid w:val="007E7014"/>
    <w:rsid w:val="007E7021"/>
    <w:rsid w:val="007E703A"/>
    <w:rsid w:val="007E7267"/>
    <w:rsid w:val="007E72A8"/>
    <w:rsid w:val="007E72A9"/>
    <w:rsid w:val="007E7340"/>
    <w:rsid w:val="007E735A"/>
    <w:rsid w:val="007E7376"/>
    <w:rsid w:val="007E740C"/>
    <w:rsid w:val="007E74E5"/>
    <w:rsid w:val="007E7545"/>
    <w:rsid w:val="007E765B"/>
    <w:rsid w:val="007E76B5"/>
    <w:rsid w:val="007E7D64"/>
    <w:rsid w:val="007E7D8A"/>
    <w:rsid w:val="007E7EA6"/>
    <w:rsid w:val="007E7EBB"/>
    <w:rsid w:val="007F0108"/>
    <w:rsid w:val="007F0135"/>
    <w:rsid w:val="007F0163"/>
    <w:rsid w:val="007F0198"/>
    <w:rsid w:val="007F01B9"/>
    <w:rsid w:val="007F022F"/>
    <w:rsid w:val="007F03DC"/>
    <w:rsid w:val="007F0442"/>
    <w:rsid w:val="007F077E"/>
    <w:rsid w:val="007F09B4"/>
    <w:rsid w:val="007F09C1"/>
    <w:rsid w:val="007F0A48"/>
    <w:rsid w:val="007F0A5B"/>
    <w:rsid w:val="007F0BAD"/>
    <w:rsid w:val="007F0C92"/>
    <w:rsid w:val="007F0E11"/>
    <w:rsid w:val="007F0F0E"/>
    <w:rsid w:val="007F106C"/>
    <w:rsid w:val="007F11AD"/>
    <w:rsid w:val="007F1216"/>
    <w:rsid w:val="007F1220"/>
    <w:rsid w:val="007F1389"/>
    <w:rsid w:val="007F141B"/>
    <w:rsid w:val="007F1441"/>
    <w:rsid w:val="007F1469"/>
    <w:rsid w:val="007F1501"/>
    <w:rsid w:val="007F1641"/>
    <w:rsid w:val="007F17AA"/>
    <w:rsid w:val="007F17FD"/>
    <w:rsid w:val="007F183C"/>
    <w:rsid w:val="007F19B2"/>
    <w:rsid w:val="007F19F4"/>
    <w:rsid w:val="007F1A62"/>
    <w:rsid w:val="007F1AE3"/>
    <w:rsid w:val="007F1B37"/>
    <w:rsid w:val="007F1BA0"/>
    <w:rsid w:val="007F1BC1"/>
    <w:rsid w:val="007F1D38"/>
    <w:rsid w:val="007F205B"/>
    <w:rsid w:val="007F215A"/>
    <w:rsid w:val="007F21A7"/>
    <w:rsid w:val="007F236F"/>
    <w:rsid w:val="007F23A3"/>
    <w:rsid w:val="007F265E"/>
    <w:rsid w:val="007F26F9"/>
    <w:rsid w:val="007F29A4"/>
    <w:rsid w:val="007F2B86"/>
    <w:rsid w:val="007F2F1E"/>
    <w:rsid w:val="007F3027"/>
    <w:rsid w:val="007F3092"/>
    <w:rsid w:val="007F30EC"/>
    <w:rsid w:val="007F3217"/>
    <w:rsid w:val="007F3449"/>
    <w:rsid w:val="007F3532"/>
    <w:rsid w:val="007F3661"/>
    <w:rsid w:val="007F38E3"/>
    <w:rsid w:val="007F38E4"/>
    <w:rsid w:val="007F3B6E"/>
    <w:rsid w:val="007F3F30"/>
    <w:rsid w:val="007F403E"/>
    <w:rsid w:val="007F4430"/>
    <w:rsid w:val="007F44E9"/>
    <w:rsid w:val="007F454E"/>
    <w:rsid w:val="007F466B"/>
    <w:rsid w:val="007F481D"/>
    <w:rsid w:val="007F497F"/>
    <w:rsid w:val="007F4AB6"/>
    <w:rsid w:val="007F4AE6"/>
    <w:rsid w:val="007F4BAC"/>
    <w:rsid w:val="007F5098"/>
    <w:rsid w:val="007F51E5"/>
    <w:rsid w:val="007F5289"/>
    <w:rsid w:val="007F535B"/>
    <w:rsid w:val="007F537A"/>
    <w:rsid w:val="007F53C5"/>
    <w:rsid w:val="007F5462"/>
    <w:rsid w:val="007F55A6"/>
    <w:rsid w:val="007F570C"/>
    <w:rsid w:val="007F57A8"/>
    <w:rsid w:val="007F5877"/>
    <w:rsid w:val="007F5887"/>
    <w:rsid w:val="007F590D"/>
    <w:rsid w:val="007F597C"/>
    <w:rsid w:val="007F5984"/>
    <w:rsid w:val="007F5AC3"/>
    <w:rsid w:val="007F5AC6"/>
    <w:rsid w:val="007F5B02"/>
    <w:rsid w:val="007F5B96"/>
    <w:rsid w:val="007F5B9B"/>
    <w:rsid w:val="007F5E66"/>
    <w:rsid w:val="007F5EFC"/>
    <w:rsid w:val="007F5F6D"/>
    <w:rsid w:val="007F5FA4"/>
    <w:rsid w:val="007F62DC"/>
    <w:rsid w:val="007F6538"/>
    <w:rsid w:val="007F6735"/>
    <w:rsid w:val="007F6736"/>
    <w:rsid w:val="007F685A"/>
    <w:rsid w:val="007F6896"/>
    <w:rsid w:val="007F68FE"/>
    <w:rsid w:val="007F6A54"/>
    <w:rsid w:val="007F6A6C"/>
    <w:rsid w:val="007F6AE3"/>
    <w:rsid w:val="007F6CFE"/>
    <w:rsid w:val="007F6F2E"/>
    <w:rsid w:val="007F70D8"/>
    <w:rsid w:val="007F71F4"/>
    <w:rsid w:val="007F72C8"/>
    <w:rsid w:val="007F7304"/>
    <w:rsid w:val="007F7355"/>
    <w:rsid w:val="007F7549"/>
    <w:rsid w:val="007F7578"/>
    <w:rsid w:val="007F772E"/>
    <w:rsid w:val="007F7734"/>
    <w:rsid w:val="007F7774"/>
    <w:rsid w:val="007F787C"/>
    <w:rsid w:val="007F78B3"/>
    <w:rsid w:val="007F78BF"/>
    <w:rsid w:val="007F7963"/>
    <w:rsid w:val="007F7B31"/>
    <w:rsid w:val="007F7BA0"/>
    <w:rsid w:val="007F7C90"/>
    <w:rsid w:val="007F7DB0"/>
    <w:rsid w:val="007F7EA3"/>
    <w:rsid w:val="00800176"/>
    <w:rsid w:val="008001B7"/>
    <w:rsid w:val="008001DA"/>
    <w:rsid w:val="00800239"/>
    <w:rsid w:val="0080038C"/>
    <w:rsid w:val="00800390"/>
    <w:rsid w:val="00800434"/>
    <w:rsid w:val="00800546"/>
    <w:rsid w:val="008005EA"/>
    <w:rsid w:val="00800607"/>
    <w:rsid w:val="008006AF"/>
    <w:rsid w:val="0080080B"/>
    <w:rsid w:val="00800A0A"/>
    <w:rsid w:val="00800C1D"/>
    <w:rsid w:val="00800C4E"/>
    <w:rsid w:val="00800C56"/>
    <w:rsid w:val="00800C73"/>
    <w:rsid w:val="00800DF2"/>
    <w:rsid w:val="00800E2C"/>
    <w:rsid w:val="00800E30"/>
    <w:rsid w:val="008010F1"/>
    <w:rsid w:val="00801187"/>
    <w:rsid w:val="0080140F"/>
    <w:rsid w:val="008014E8"/>
    <w:rsid w:val="00801525"/>
    <w:rsid w:val="008015B8"/>
    <w:rsid w:val="0080173B"/>
    <w:rsid w:val="008018F9"/>
    <w:rsid w:val="00801914"/>
    <w:rsid w:val="0080192D"/>
    <w:rsid w:val="00801A1E"/>
    <w:rsid w:val="00801AE8"/>
    <w:rsid w:val="00801BB5"/>
    <w:rsid w:val="00801D4A"/>
    <w:rsid w:val="00801F06"/>
    <w:rsid w:val="00801F7E"/>
    <w:rsid w:val="00801FB4"/>
    <w:rsid w:val="008020CA"/>
    <w:rsid w:val="008020F4"/>
    <w:rsid w:val="00802172"/>
    <w:rsid w:val="008021DF"/>
    <w:rsid w:val="0080225F"/>
    <w:rsid w:val="008022A8"/>
    <w:rsid w:val="00802302"/>
    <w:rsid w:val="00802307"/>
    <w:rsid w:val="008023DD"/>
    <w:rsid w:val="00802501"/>
    <w:rsid w:val="0080267A"/>
    <w:rsid w:val="00802A42"/>
    <w:rsid w:val="00802B0B"/>
    <w:rsid w:val="00802B96"/>
    <w:rsid w:val="00802C8C"/>
    <w:rsid w:val="00802CA7"/>
    <w:rsid w:val="00802CD5"/>
    <w:rsid w:val="00802E45"/>
    <w:rsid w:val="00802E53"/>
    <w:rsid w:val="00802EB3"/>
    <w:rsid w:val="00802F5B"/>
    <w:rsid w:val="00802F87"/>
    <w:rsid w:val="008031E4"/>
    <w:rsid w:val="00803200"/>
    <w:rsid w:val="00803222"/>
    <w:rsid w:val="008032B6"/>
    <w:rsid w:val="0080343A"/>
    <w:rsid w:val="00803875"/>
    <w:rsid w:val="008038D2"/>
    <w:rsid w:val="008039CB"/>
    <w:rsid w:val="00803A90"/>
    <w:rsid w:val="00803AC8"/>
    <w:rsid w:val="00803AE6"/>
    <w:rsid w:val="00803DAA"/>
    <w:rsid w:val="00803F2F"/>
    <w:rsid w:val="00803F87"/>
    <w:rsid w:val="0080412C"/>
    <w:rsid w:val="00804182"/>
    <w:rsid w:val="008041F3"/>
    <w:rsid w:val="00804215"/>
    <w:rsid w:val="00804279"/>
    <w:rsid w:val="008042FA"/>
    <w:rsid w:val="0080439C"/>
    <w:rsid w:val="0080451D"/>
    <w:rsid w:val="0080469F"/>
    <w:rsid w:val="008046B1"/>
    <w:rsid w:val="00804887"/>
    <w:rsid w:val="00804973"/>
    <w:rsid w:val="00804A76"/>
    <w:rsid w:val="00804B3D"/>
    <w:rsid w:val="00804B7F"/>
    <w:rsid w:val="00804C7E"/>
    <w:rsid w:val="00804D98"/>
    <w:rsid w:val="00804E6C"/>
    <w:rsid w:val="00804E72"/>
    <w:rsid w:val="00804F25"/>
    <w:rsid w:val="0080517B"/>
    <w:rsid w:val="0080517C"/>
    <w:rsid w:val="00805183"/>
    <w:rsid w:val="008051F8"/>
    <w:rsid w:val="0080526B"/>
    <w:rsid w:val="00805333"/>
    <w:rsid w:val="00805481"/>
    <w:rsid w:val="00805490"/>
    <w:rsid w:val="008054F3"/>
    <w:rsid w:val="008055A8"/>
    <w:rsid w:val="008056F5"/>
    <w:rsid w:val="00805767"/>
    <w:rsid w:val="0080576E"/>
    <w:rsid w:val="00805B30"/>
    <w:rsid w:val="00805BFF"/>
    <w:rsid w:val="00805E6E"/>
    <w:rsid w:val="008060B3"/>
    <w:rsid w:val="0080632D"/>
    <w:rsid w:val="00806344"/>
    <w:rsid w:val="008063D9"/>
    <w:rsid w:val="00806411"/>
    <w:rsid w:val="0080652D"/>
    <w:rsid w:val="00806632"/>
    <w:rsid w:val="00806790"/>
    <w:rsid w:val="008069B5"/>
    <w:rsid w:val="00806B46"/>
    <w:rsid w:val="00806B54"/>
    <w:rsid w:val="00806C79"/>
    <w:rsid w:val="00806CA6"/>
    <w:rsid w:val="00806E45"/>
    <w:rsid w:val="00806F87"/>
    <w:rsid w:val="008071A8"/>
    <w:rsid w:val="008071F3"/>
    <w:rsid w:val="00807221"/>
    <w:rsid w:val="0080735F"/>
    <w:rsid w:val="00807387"/>
    <w:rsid w:val="00807A2D"/>
    <w:rsid w:val="00807B4E"/>
    <w:rsid w:val="00807C3A"/>
    <w:rsid w:val="00807E9A"/>
    <w:rsid w:val="00808C41"/>
    <w:rsid w:val="0081019A"/>
    <w:rsid w:val="008102D4"/>
    <w:rsid w:val="008102E5"/>
    <w:rsid w:val="00810642"/>
    <w:rsid w:val="0081097A"/>
    <w:rsid w:val="008109FD"/>
    <w:rsid w:val="00810B24"/>
    <w:rsid w:val="00810DF0"/>
    <w:rsid w:val="00810F5C"/>
    <w:rsid w:val="00810FE4"/>
    <w:rsid w:val="0081104C"/>
    <w:rsid w:val="008112BB"/>
    <w:rsid w:val="0081138C"/>
    <w:rsid w:val="008113AA"/>
    <w:rsid w:val="0081152E"/>
    <w:rsid w:val="0081168E"/>
    <w:rsid w:val="00811970"/>
    <w:rsid w:val="008119E9"/>
    <w:rsid w:val="00811A27"/>
    <w:rsid w:val="00811AC5"/>
    <w:rsid w:val="00811C54"/>
    <w:rsid w:val="00811CCA"/>
    <w:rsid w:val="00811EDC"/>
    <w:rsid w:val="00811F6E"/>
    <w:rsid w:val="00811FBF"/>
    <w:rsid w:val="00811FC6"/>
    <w:rsid w:val="0081207E"/>
    <w:rsid w:val="008121A1"/>
    <w:rsid w:val="00812262"/>
    <w:rsid w:val="008122EB"/>
    <w:rsid w:val="0081232D"/>
    <w:rsid w:val="00812494"/>
    <w:rsid w:val="008124E7"/>
    <w:rsid w:val="0081252E"/>
    <w:rsid w:val="00812703"/>
    <w:rsid w:val="00812736"/>
    <w:rsid w:val="00812768"/>
    <w:rsid w:val="00812788"/>
    <w:rsid w:val="008127BD"/>
    <w:rsid w:val="008127C0"/>
    <w:rsid w:val="0081281A"/>
    <w:rsid w:val="00812A11"/>
    <w:rsid w:val="00812E3A"/>
    <w:rsid w:val="00812E6C"/>
    <w:rsid w:val="00812EA9"/>
    <w:rsid w:val="00812FD8"/>
    <w:rsid w:val="00813004"/>
    <w:rsid w:val="00813218"/>
    <w:rsid w:val="00813276"/>
    <w:rsid w:val="008133A7"/>
    <w:rsid w:val="0081346E"/>
    <w:rsid w:val="00813506"/>
    <w:rsid w:val="008135EA"/>
    <w:rsid w:val="008136E8"/>
    <w:rsid w:val="00813853"/>
    <w:rsid w:val="008139E1"/>
    <w:rsid w:val="008139E9"/>
    <w:rsid w:val="00813A28"/>
    <w:rsid w:val="00813B4F"/>
    <w:rsid w:val="00813BD8"/>
    <w:rsid w:val="00813D21"/>
    <w:rsid w:val="008140A5"/>
    <w:rsid w:val="0081413F"/>
    <w:rsid w:val="00814437"/>
    <w:rsid w:val="0081458F"/>
    <w:rsid w:val="00814609"/>
    <w:rsid w:val="00814715"/>
    <w:rsid w:val="0081485E"/>
    <w:rsid w:val="008149BD"/>
    <w:rsid w:val="00814D41"/>
    <w:rsid w:val="00814D5B"/>
    <w:rsid w:val="00814D71"/>
    <w:rsid w:val="00814E55"/>
    <w:rsid w:val="00814E5E"/>
    <w:rsid w:val="00814F25"/>
    <w:rsid w:val="00815042"/>
    <w:rsid w:val="008151F1"/>
    <w:rsid w:val="0081526F"/>
    <w:rsid w:val="00815453"/>
    <w:rsid w:val="00815589"/>
    <w:rsid w:val="008155CC"/>
    <w:rsid w:val="0081560D"/>
    <w:rsid w:val="00815926"/>
    <w:rsid w:val="00815AF1"/>
    <w:rsid w:val="00815B95"/>
    <w:rsid w:val="00815B9E"/>
    <w:rsid w:val="00815CEF"/>
    <w:rsid w:val="00815DCA"/>
    <w:rsid w:val="00815DFB"/>
    <w:rsid w:val="00815E2F"/>
    <w:rsid w:val="00816104"/>
    <w:rsid w:val="008161F6"/>
    <w:rsid w:val="00816639"/>
    <w:rsid w:val="008166AD"/>
    <w:rsid w:val="008166BA"/>
    <w:rsid w:val="008167D4"/>
    <w:rsid w:val="0081683B"/>
    <w:rsid w:val="00816843"/>
    <w:rsid w:val="00816ABF"/>
    <w:rsid w:val="00816D51"/>
    <w:rsid w:val="00816DED"/>
    <w:rsid w:val="00816E25"/>
    <w:rsid w:val="00816FEE"/>
    <w:rsid w:val="0081701A"/>
    <w:rsid w:val="008171A4"/>
    <w:rsid w:val="008172E0"/>
    <w:rsid w:val="00817808"/>
    <w:rsid w:val="00817B23"/>
    <w:rsid w:val="00817B92"/>
    <w:rsid w:val="00817C8D"/>
    <w:rsid w:val="00817FF8"/>
    <w:rsid w:val="0081C93E"/>
    <w:rsid w:val="00820090"/>
    <w:rsid w:val="008201DE"/>
    <w:rsid w:val="0082023C"/>
    <w:rsid w:val="0082033E"/>
    <w:rsid w:val="00820622"/>
    <w:rsid w:val="008206F9"/>
    <w:rsid w:val="008207CB"/>
    <w:rsid w:val="0082081A"/>
    <w:rsid w:val="00820871"/>
    <w:rsid w:val="008208C7"/>
    <w:rsid w:val="008209EB"/>
    <w:rsid w:val="00820AA7"/>
    <w:rsid w:val="00820CA0"/>
    <w:rsid w:val="00820CCE"/>
    <w:rsid w:val="00820CD9"/>
    <w:rsid w:val="00820E78"/>
    <w:rsid w:val="00820F20"/>
    <w:rsid w:val="00821017"/>
    <w:rsid w:val="0082110E"/>
    <w:rsid w:val="00821301"/>
    <w:rsid w:val="00821302"/>
    <w:rsid w:val="00821453"/>
    <w:rsid w:val="00821767"/>
    <w:rsid w:val="0082176A"/>
    <w:rsid w:val="008217FB"/>
    <w:rsid w:val="00821993"/>
    <w:rsid w:val="00821B1F"/>
    <w:rsid w:val="00821B2B"/>
    <w:rsid w:val="00821CED"/>
    <w:rsid w:val="00821D56"/>
    <w:rsid w:val="00821F29"/>
    <w:rsid w:val="00821F2D"/>
    <w:rsid w:val="00821F79"/>
    <w:rsid w:val="00821FC0"/>
    <w:rsid w:val="0082200E"/>
    <w:rsid w:val="0082208D"/>
    <w:rsid w:val="0082238F"/>
    <w:rsid w:val="00822448"/>
    <w:rsid w:val="008225BA"/>
    <w:rsid w:val="008225CA"/>
    <w:rsid w:val="00822771"/>
    <w:rsid w:val="008227BF"/>
    <w:rsid w:val="00822CCF"/>
    <w:rsid w:val="00822EDB"/>
    <w:rsid w:val="00822F1A"/>
    <w:rsid w:val="00823127"/>
    <w:rsid w:val="00823239"/>
    <w:rsid w:val="0082361B"/>
    <w:rsid w:val="00823626"/>
    <w:rsid w:val="0082383C"/>
    <w:rsid w:val="00823A82"/>
    <w:rsid w:val="00823B4C"/>
    <w:rsid w:val="00823BA9"/>
    <w:rsid w:val="00823C02"/>
    <w:rsid w:val="00823D3A"/>
    <w:rsid w:val="00823F97"/>
    <w:rsid w:val="00823FA0"/>
    <w:rsid w:val="00824045"/>
    <w:rsid w:val="00824096"/>
    <w:rsid w:val="0082410C"/>
    <w:rsid w:val="0082422A"/>
    <w:rsid w:val="0082425A"/>
    <w:rsid w:val="00824326"/>
    <w:rsid w:val="0082442E"/>
    <w:rsid w:val="00824438"/>
    <w:rsid w:val="008246F7"/>
    <w:rsid w:val="00824812"/>
    <w:rsid w:val="00824B74"/>
    <w:rsid w:val="00824BFE"/>
    <w:rsid w:val="00824C42"/>
    <w:rsid w:val="00824C84"/>
    <w:rsid w:val="00824C99"/>
    <w:rsid w:val="00824E1E"/>
    <w:rsid w:val="00824EE4"/>
    <w:rsid w:val="00824F9C"/>
    <w:rsid w:val="00824FD2"/>
    <w:rsid w:val="00825105"/>
    <w:rsid w:val="00825134"/>
    <w:rsid w:val="00825187"/>
    <w:rsid w:val="008251F8"/>
    <w:rsid w:val="00825394"/>
    <w:rsid w:val="00825521"/>
    <w:rsid w:val="00825534"/>
    <w:rsid w:val="00825577"/>
    <w:rsid w:val="00825586"/>
    <w:rsid w:val="008256C3"/>
    <w:rsid w:val="00825702"/>
    <w:rsid w:val="00825786"/>
    <w:rsid w:val="008258AB"/>
    <w:rsid w:val="008259EF"/>
    <w:rsid w:val="00825A0E"/>
    <w:rsid w:val="00825AF4"/>
    <w:rsid w:val="00825B1D"/>
    <w:rsid w:val="00825C19"/>
    <w:rsid w:val="00826045"/>
    <w:rsid w:val="008260CC"/>
    <w:rsid w:val="00826629"/>
    <w:rsid w:val="008268F7"/>
    <w:rsid w:val="00826A73"/>
    <w:rsid w:val="00826B82"/>
    <w:rsid w:val="00826CBC"/>
    <w:rsid w:val="00826D8F"/>
    <w:rsid w:val="00826DAC"/>
    <w:rsid w:val="00826E65"/>
    <w:rsid w:val="00827116"/>
    <w:rsid w:val="00827251"/>
    <w:rsid w:val="00827308"/>
    <w:rsid w:val="008273A6"/>
    <w:rsid w:val="00827448"/>
    <w:rsid w:val="00827488"/>
    <w:rsid w:val="00827740"/>
    <w:rsid w:val="008278DD"/>
    <w:rsid w:val="00827973"/>
    <w:rsid w:val="00827A63"/>
    <w:rsid w:val="00827B8E"/>
    <w:rsid w:val="00827D7F"/>
    <w:rsid w:val="00827DD9"/>
    <w:rsid w:val="00827F76"/>
    <w:rsid w:val="00827F99"/>
    <w:rsid w:val="0082E137"/>
    <w:rsid w:val="0083018C"/>
    <w:rsid w:val="00830237"/>
    <w:rsid w:val="0083023F"/>
    <w:rsid w:val="008302C1"/>
    <w:rsid w:val="008303A6"/>
    <w:rsid w:val="00830431"/>
    <w:rsid w:val="008305E5"/>
    <w:rsid w:val="00830638"/>
    <w:rsid w:val="00830674"/>
    <w:rsid w:val="008306D2"/>
    <w:rsid w:val="008307AB"/>
    <w:rsid w:val="0083080E"/>
    <w:rsid w:val="008308B4"/>
    <w:rsid w:val="00830942"/>
    <w:rsid w:val="00830BE4"/>
    <w:rsid w:val="00830C4A"/>
    <w:rsid w:val="00830D6F"/>
    <w:rsid w:val="00830F2A"/>
    <w:rsid w:val="00831107"/>
    <w:rsid w:val="008311FB"/>
    <w:rsid w:val="008313CA"/>
    <w:rsid w:val="008314E9"/>
    <w:rsid w:val="008314EC"/>
    <w:rsid w:val="00831536"/>
    <w:rsid w:val="00831601"/>
    <w:rsid w:val="00831664"/>
    <w:rsid w:val="00831691"/>
    <w:rsid w:val="00831746"/>
    <w:rsid w:val="008318A2"/>
    <w:rsid w:val="008319CB"/>
    <w:rsid w:val="00831AF1"/>
    <w:rsid w:val="00831E27"/>
    <w:rsid w:val="00831EF6"/>
    <w:rsid w:val="00831F03"/>
    <w:rsid w:val="00831F12"/>
    <w:rsid w:val="00831F15"/>
    <w:rsid w:val="0083201C"/>
    <w:rsid w:val="00832208"/>
    <w:rsid w:val="0083227B"/>
    <w:rsid w:val="008323A5"/>
    <w:rsid w:val="008323A8"/>
    <w:rsid w:val="0083264A"/>
    <w:rsid w:val="00832714"/>
    <w:rsid w:val="0083274F"/>
    <w:rsid w:val="0083296D"/>
    <w:rsid w:val="00832AE8"/>
    <w:rsid w:val="00832B89"/>
    <w:rsid w:val="00832BEC"/>
    <w:rsid w:val="00832C23"/>
    <w:rsid w:val="00832E28"/>
    <w:rsid w:val="008332E1"/>
    <w:rsid w:val="00833325"/>
    <w:rsid w:val="008333B9"/>
    <w:rsid w:val="00833484"/>
    <w:rsid w:val="008335F9"/>
    <w:rsid w:val="00833617"/>
    <w:rsid w:val="00833630"/>
    <w:rsid w:val="00833771"/>
    <w:rsid w:val="00833790"/>
    <w:rsid w:val="0083390A"/>
    <w:rsid w:val="008339E0"/>
    <w:rsid w:val="00833A3C"/>
    <w:rsid w:val="00833AFD"/>
    <w:rsid w:val="00833B61"/>
    <w:rsid w:val="00833BFC"/>
    <w:rsid w:val="00833FB0"/>
    <w:rsid w:val="0083410A"/>
    <w:rsid w:val="00834489"/>
    <w:rsid w:val="008344AE"/>
    <w:rsid w:val="008344B7"/>
    <w:rsid w:val="00834607"/>
    <w:rsid w:val="00834649"/>
    <w:rsid w:val="008346C1"/>
    <w:rsid w:val="00834750"/>
    <w:rsid w:val="00834842"/>
    <w:rsid w:val="008348AA"/>
    <w:rsid w:val="008348EA"/>
    <w:rsid w:val="0083492C"/>
    <w:rsid w:val="00834A79"/>
    <w:rsid w:val="00834ACE"/>
    <w:rsid w:val="00834BB9"/>
    <w:rsid w:val="00834BC4"/>
    <w:rsid w:val="00834CAB"/>
    <w:rsid w:val="00834D6E"/>
    <w:rsid w:val="00834E14"/>
    <w:rsid w:val="00834E83"/>
    <w:rsid w:val="00834EBF"/>
    <w:rsid w:val="00834EFB"/>
    <w:rsid w:val="00834F2E"/>
    <w:rsid w:val="008351B1"/>
    <w:rsid w:val="008351CF"/>
    <w:rsid w:val="008352AB"/>
    <w:rsid w:val="00835317"/>
    <w:rsid w:val="00835549"/>
    <w:rsid w:val="00835634"/>
    <w:rsid w:val="00835A9B"/>
    <w:rsid w:val="00835B9C"/>
    <w:rsid w:val="00835D0C"/>
    <w:rsid w:val="00835F72"/>
    <w:rsid w:val="0083615F"/>
    <w:rsid w:val="0083617B"/>
    <w:rsid w:val="008364D8"/>
    <w:rsid w:val="00836504"/>
    <w:rsid w:val="0083656F"/>
    <w:rsid w:val="00836723"/>
    <w:rsid w:val="00836785"/>
    <w:rsid w:val="008368E5"/>
    <w:rsid w:val="0083690C"/>
    <w:rsid w:val="008369DC"/>
    <w:rsid w:val="00836A15"/>
    <w:rsid w:val="00836B00"/>
    <w:rsid w:val="00836B24"/>
    <w:rsid w:val="00836B4A"/>
    <w:rsid w:val="00836CA3"/>
    <w:rsid w:val="00836E72"/>
    <w:rsid w:val="00836FF2"/>
    <w:rsid w:val="00836FFE"/>
    <w:rsid w:val="0083703F"/>
    <w:rsid w:val="0083714F"/>
    <w:rsid w:val="0083721B"/>
    <w:rsid w:val="00837267"/>
    <w:rsid w:val="00837283"/>
    <w:rsid w:val="00837302"/>
    <w:rsid w:val="0083767E"/>
    <w:rsid w:val="00837816"/>
    <w:rsid w:val="0083789D"/>
    <w:rsid w:val="00837B1D"/>
    <w:rsid w:val="00837B42"/>
    <w:rsid w:val="00837B75"/>
    <w:rsid w:val="00837B8B"/>
    <w:rsid w:val="00837C9B"/>
    <w:rsid w:val="00837DCB"/>
    <w:rsid w:val="00837FC1"/>
    <w:rsid w:val="00840144"/>
    <w:rsid w:val="008401B6"/>
    <w:rsid w:val="008402A5"/>
    <w:rsid w:val="008405A1"/>
    <w:rsid w:val="00840711"/>
    <w:rsid w:val="00840747"/>
    <w:rsid w:val="00840761"/>
    <w:rsid w:val="0084085A"/>
    <w:rsid w:val="0084085E"/>
    <w:rsid w:val="008409C1"/>
    <w:rsid w:val="00840DA4"/>
    <w:rsid w:val="00840EBD"/>
    <w:rsid w:val="00840FC0"/>
    <w:rsid w:val="00840FE7"/>
    <w:rsid w:val="00841118"/>
    <w:rsid w:val="00841254"/>
    <w:rsid w:val="00841368"/>
    <w:rsid w:val="00841414"/>
    <w:rsid w:val="00841573"/>
    <w:rsid w:val="0084168C"/>
    <w:rsid w:val="00841740"/>
    <w:rsid w:val="00841831"/>
    <w:rsid w:val="00841841"/>
    <w:rsid w:val="008418C9"/>
    <w:rsid w:val="00841A40"/>
    <w:rsid w:val="00841B75"/>
    <w:rsid w:val="00841BD4"/>
    <w:rsid w:val="00841DC5"/>
    <w:rsid w:val="00841DF4"/>
    <w:rsid w:val="00841F47"/>
    <w:rsid w:val="00841FE7"/>
    <w:rsid w:val="00842003"/>
    <w:rsid w:val="008420BE"/>
    <w:rsid w:val="0084211B"/>
    <w:rsid w:val="0084218D"/>
    <w:rsid w:val="008422C9"/>
    <w:rsid w:val="00842551"/>
    <w:rsid w:val="00842595"/>
    <w:rsid w:val="0084274F"/>
    <w:rsid w:val="008428C1"/>
    <w:rsid w:val="0084290C"/>
    <w:rsid w:val="00842A84"/>
    <w:rsid w:val="00842D11"/>
    <w:rsid w:val="00842FFC"/>
    <w:rsid w:val="00843006"/>
    <w:rsid w:val="00843076"/>
    <w:rsid w:val="00843079"/>
    <w:rsid w:val="00843278"/>
    <w:rsid w:val="008433ED"/>
    <w:rsid w:val="008434C1"/>
    <w:rsid w:val="0084379B"/>
    <w:rsid w:val="00843859"/>
    <w:rsid w:val="008438A9"/>
    <w:rsid w:val="008438DD"/>
    <w:rsid w:val="00843990"/>
    <w:rsid w:val="00843D4F"/>
    <w:rsid w:val="00843E0B"/>
    <w:rsid w:val="00843EF0"/>
    <w:rsid w:val="00844070"/>
    <w:rsid w:val="00844212"/>
    <w:rsid w:val="00844330"/>
    <w:rsid w:val="00844565"/>
    <w:rsid w:val="008445CD"/>
    <w:rsid w:val="00844620"/>
    <w:rsid w:val="0084463C"/>
    <w:rsid w:val="00844697"/>
    <w:rsid w:val="00844A63"/>
    <w:rsid w:val="00844A9F"/>
    <w:rsid w:val="00844C10"/>
    <w:rsid w:val="00844DEB"/>
    <w:rsid w:val="00845075"/>
    <w:rsid w:val="00845148"/>
    <w:rsid w:val="00845339"/>
    <w:rsid w:val="008453DA"/>
    <w:rsid w:val="0084544C"/>
    <w:rsid w:val="008454A8"/>
    <w:rsid w:val="008455D3"/>
    <w:rsid w:val="00845604"/>
    <w:rsid w:val="008456FF"/>
    <w:rsid w:val="00845742"/>
    <w:rsid w:val="008457E5"/>
    <w:rsid w:val="008459F3"/>
    <w:rsid w:val="008459F4"/>
    <w:rsid w:val="00845A42"/>
    <w:rsid w:val="00845C50"/>
    <w:rsid w:val="00845E3A"/>
    <w:rsid w:val="00845EFC"/>
    <w:rsid w:val="00845F01"/>
    <w:rsid w:val="00846378"/>
    <w:rsid w:val="008463D1"/>
    <w:rsid w:val="00846588"/>
    <w:rsid w:val="00846591"/>
    <w:rsid w:val="0084675B"/>
    <w:rsid w:val="0084690B"/>
    <w:rsid w:val="008469C5"/>
    <w:rsid w:val="00846A94"/>
    <w:rsid w:val="00846BD6"/>
    <w:rsid w:val="00846CDF"/>
    <w:rsid w:val="00846E69"/>
    <w:rsid w:val="00846F7C"/>
    <w:rsid w:val="008471BF"/>
    <w:rsid w:val="0084746C"/>
    <w:rsid w:val="008474DB"/>
    <w:rsid w:val="00847523"/>
    <w:rsid w:val="00847570"/>
    <w:rsid w:val="0084758A"/>
    <w:rsid w:val="008475A9"/>
    <w:rsid w:val="008476CE"/>
    <w:rsid w:val="0084775C"/>
    <w:rsid w:val="008477BA"/>
    <w:rsid w:val="008477BB"/>
    <w:rsid w:val="008479F4"/>
    <w:rsid w:val="00847A45"/>
    <w:rsid w:val="00847BDE"/>
    <w:rsid w:val="00847BFF"/>
    <w:rsid w:val="00847D1B"/>
    <w:rsid w:val="00850111"/>
    <w:rsid w:val="0085047B"/>
    <w:rsid w:val="008505B5"/>
    <w:rsid w:val="008505BE"/>
    <w:rsid w:val="00850725"/>
    <w:rsid w:val="0085073E"/>
    <w:rsid w:val="00850752"/>
    <w:rsid w:val="00850867"/>
    <w:rsid w:val="00850A22"/>
    <w:rsid w:val="00850ACD"/>
    <w:rsid w:val="00850ACE"/>
    <w:rsid w:val="00850C51"/>
    <w:rsid w:val="00850D6E"/>
    <w:rsid w:val="00850DF0"/>
    <w:rsid w:val="00850E3D"/>
    <w:rsid w:val="00850FC3"/>
    <w:rsid w:val="0085118E"/>
    <w:rsid w:val="00851277"/>
    <w:rsid w:val="0085129A"/>
    <w:rsid w:val="008512E7"/>
    <w:rsid w:val="00851534"/>
    <w:rsid w:val="008516B7"/>
    <w:rsid w:val="00851801"/>
    <w:rsid w:val="00851903"/>
    <w:rsid w:val="00851A43"/>
    <w:rsid w:val="00851C3E"/>
    <w:rsid w:val="00851C9E"/>
    <w:rsid w:val="00851D43"/>
    <w:rsid w:val="00851D69"/>
    <w:rsid w:val="00851DEE"/>
    <w:rsid w:val="00851F02"/>
    <w:rsid w:val="0085201F"/>
    <w:rsid w:val="0085245C"/>
    <w:rsid w:val="008524B6"/>
    <w:rsid w:val="008524D7"/>
    <w:rsid w:val="00852505"/>
    <w:rsid w:val="00852695"/>
    <w:rsid w:val="00852857"/>
    <w:rsid w:val="008529B6"/>
    <w:rsid w:val="00852B19"/>
    <w:rsid w:val="00852B25"/>
    <w:rsid w:val="00852C44"/>
    <w:rsid w:val="00852CCF"/>
    <w:rsid w:val="00852CD6"/>
    <w:rsid w:val="00852D8D"/>
    <w:rsid w:val="00852E24"/>
    <w:rsid w:val="00852F1D"/>
    <w:rsid w:val="00852FD7"/>
    <w:rsid w:val="00853410"/>
    <w:rsid w:val="00853630"/>
    <w:rsid w:val="0085379C"/>
    <w:rsid w:val="00853904"/>
    <w:rsid w:val="00853974"/>
    <w:rsid w:val="0085398C"/>
    <w:rsid w:val="00853C92"/>
    <w:rsid w:val="00853CC0"/>
    <w:rsid w:val="00853DF9"/>
    <w:rsid w:val="00853F5E"/>
    <w:rsid w:val="00854007"/>
    <w:rsid w:val="00854070"/>
    <w:rsid w:val="008540A9"/>
    <w:rsid w:val="008540E9"/>
    <w:rsid w:val="0085419E"/>
    <w:rsid w:val="00854259"/>
    <w:rsid w:val="008542FC"/>
    <w:rsid w:val="0085434D"/>
    <w:rsid w:val="008543F0"/>
    <w:rsid w:val="0085446B"/>
    <w:rsid w:val="00854477"/>
    <w:rsid w:val="008544C7"/>
    <w:rsid w:val="00854582"/>
    <w:rsid w:val="008545C1"/>
    <w:rsid w:val="0085478A"/>
    <w:rsid w:val="008548EA"/>
    <w:rsid w:val="008549A5"/>
    <w:rsid w:val="008549B6"/>
    <w:rsid w:val="00854B31"/>
    <w:rsid w:val="00855021"/>
    <w:rsid w:val="0085506D"/>
    <w:rsid w:val="008551E0"/>
    <w:rsid w:val="008552BB"/>
    <w:rsid w:val="00855898"/>
    <w:rsid w:val="0085598E"/>
    <w:rsid w:val="008559F7"/>
    <w:rsid w:val="00855A76"/>
    <w:rsid w:val="00855B95"/>
    <w:rsid w:val="00855C59"/>
    <w:rsid w:val="00855CB3"/>
    <w:rsid w:val="00855D54"/>
    <w:rsid w:val="00855DA4"/>
    <w:rsid w:val="00855DED"/>
    <w:rsid w:val="008561D8"/>
    <w:rsid w:val="008563D3"/>
    <w:rsid w:val="008566FB"/>
    <w:rsid w:val="00856AC4"/>
    <w:rsid w:val="00856B26"/>
    <w:rsid w:val="00856C75"/>
    <w:rsid w:val="00856D40"/>
    <w:rsid w:val="00856DCB"/>
    <w:rsid w:val="00856DD7"/>
    <w:rsid w:val="00856E57"/>
    <w:rsid w:val="00856E87"/>
    <w:rsid w:val="0085710D"/>
    <w:rsid w:val="00857155"/>
    <w:rsid w:val="00857188"/>
    <w:rsid w:val="00857263"/>
    <w:rsid w:val="008573A3"/>
    <w:rsid w:val="0085748D"/>
    <w:rsid w:val="00857544"/>
    <w:rsid w:val="00857678"/>
    <w:rsid w:val="00857771"/>
    <w:rsid w:val="00857901"/>
    <w:rsid w:val="008579C4"/>
    <w:rsid w:val="00857A5B"/>
    <w:rsid w:val="00857B73"/>
    <w:rsid w:val="00857BBD"/>
    <w:rsid w:val="00857BC0"/>
    <w:rsid w:val="00857CDC"/>
    <w:rsid w:val="00857CFE"/>
    <w:rsid w:val="00857D94"/>
    <w:rsid w:val="00857DDF"/>
    <w:rsid w:val="00857EA2"/>
    <w:rsid w:val="00857EC8"/>
    <w:rsid w:val="00857ECD"/>
    <w:rsid w:val="00857F13"/>
    <w:rsid w:val="00857FA3"/>
    <w:rsid w:val="008601D2"/>
    <w:rsid w:val="008602E5"/>
    <w:rsid w:val="00860319"/>
    <w:rsid w:val="00860489"/>
    <w:rsid w:val="008604F1"/>
    <w:rsid w:val="00860603"/>
    <w:rsid w:val="0086080F"/>
    <w:rsid w:val="008609EB"/>
    <w:rsid w:val="00860BA1"/>
    <w:rsid w:val="00860BC2"/>
    <w:rsid w:val="00860CA8"/>
    <w:rsid w:val="00860D4D"/>
    <w:rsid w:val="00860D63"/>
    <w:rsid w:val="00860D97"/>
    <w:rsid w:val="00860DB7"/>
    <w:rsid w:val="00860E97"/>
    <w:rsid w:val="00860F82"/>
    <w:rsid w:val="00860FCB"/>
    <w:rsid w:val="00861034"/>
    <w:rsid w:val="00861203"/>
    <w:rsid w:val="008612CD"/>
    <w:rsid w:val="00861348"/>
    <w:rsid w:val="00861351"/>
    <w:rsid w:val="00861480"/>
    <w:rsid w:val="0086149D"/>
    <w:rsid w:val="008615A3"/>
    <w:rsid w:val="008615B9"/>
    <w:rsid w:val="008615C1"/>
    <w:rsid w:val="008617CA"/>
    <w:rsid w:val="00861888"/>
    <w:rsid w:val="00861A41"/>
    <w:rsid w:val="00861B0B"/>
    <w:rsid w:val="00861C50"/>
    <w:rsid w:val="00861C82"/>
    <w:rsid w:val="0086202B"/>
    <w:rsid w:val="0086229B"/>
    <w:rsid w:val="00862304"/>
    <w:rsid w:val="00862368"/>
    <w:rsid w:val="008623CF"/>
    <w:rsid w:val="00862404"/>
    <w:rsid w:val="00862931"/>
    <w:rsid w:val="008629CA"/>
    <w:rsid w:val="00862AFC"/>
    <w:rsid w:val="00862B02"/>
    <w:rsid w:val="00862F47"/>
    <w:rsid w:val="0086309E"/>
    <w:rsid w:val="008630D2"/>
    <w:rsid w:val="008632F8"/>
    <w:rsid w:val="0086331E"/>
    <w:rsid w:val="008633AA"/>
    <w:rsid w:val="0086346D"/>
    <w:rsid w:val="0086364F"/>
    <w:rsid w:val="00863667"/>
    <w:rsid w:val="008636D3"/>
    <w:rsid w:val="00863981"/>
    <w:rsid w:val="00863A58"/>
    <w:rsid w:val="00863AF7"/>
    <w:rsid w:val="00863B3B"/>
    <w:rsid w:val="00863B3D"/>
    <w:rsid w:val="00863DDE"/>
    <w:rsid w:val="00863EE7"/>
    <w:rsid w:val="00863FC9"/>
    <w:rsid w:val="008640E6"/>
    <w:rsid w:val="0086426F"/>
    <w:rsid w:val="00864400"/>
    <w:rsid w:val="00864548"/>
    <w:rsid w:val="008645A9"/>
    <w:rsid w:val="0086461D"/>
    <w:rsid w:val="00864734"/>
    <w:rsid w:val="0086473B"/>
    <w:rsid w:val="0086493F"/>
    <w:rsid w:val="00864B17"/>
    <w:rsid w:val="00864CFA"/>
    <w:rsid w:val="00864E28"/>
    <w:rsid w:val="00865010"/>
    <w:rsid w:val="00865385"/>
    <w:rsid w:val="00865431"/>
    <w:rsid w:val="00865454"/>
    <w:rsid w:val="008656F0"/>
    <w:rsid w:val="008657A3"/>
    <w:rsid w:val="00865834"/>
    <w:rsid w:val="00865855"/>
    <w:rsid w:val="00865A69"/>
    <w:rsid w:val="00865B0B"/>
    <w:rsid w:val="00865EBD"/>
    <w:rsid w:val="00866078"/>
    <w:rsid w:val="0086607E"/>
    <w:rsid w:val="008663DA"/>
    <w:rsid w:val="008663FD"/>
    <w:rsid w:val="0086646F"/>
    <w:rsid w:val="0086658F"/>
    <w:rsid w:val="008665C1"/>
    <w:rsid w:val="00866642"/>
    <w:rsid w:val="00866646"/>
    <w:rsid w:val="00866668"/>
    <w:rsid w:val="0086686B"/>
    <w:rsid w:val="00866950"/>
    <w:rsid w:val="00866C76"/>
    <w:rsid w:val="00866CB0"/>
    <w:rsid w:val="00866D7A"/>
    <w:rsid w:val="00866D89"/>
    <w:rsid w:val="00866E39"/>
    <w:rsid w:val="00866EBD"/>
    <w:rsid w:val="00866FEE"/>
    <w:rsid w:val="00867032"/>
    <w:rsid w:val="008671D7"/>
    <w:rsid w:val="008673D1"/>
    <w:rsid w:val="00867499"/>
    <w:rsid w:val="00867501"/>
    <w:rsid w:val="00867668"/>
    <w:rsid w:val="0086785E"/>
    <w:rsid w:val="0086788D"/>
    <w:rsid w:val="00867948"/>
    <w:rsid w:val="0086794F"/>
    <w:rsid w:val="0086796F"/>
    <w:rsid w:val="00867978"/>
    <w:rsid w:val="00867C96"/>
    <w:rsid w:val="00867CA9"/>
    <w:rsid w:val="00867D33"/>
    <w:rsid w:val="00867DDD"/>
    <w:rsid w:val="00867E58"/>
    <w:rsid w:val="0087007B"/>
    <w:rsid w:val="00870154"/>
    <w:rsid w:val="008703FF"/>
    <w:rsid w:val="008705FC"/>
    <w:rsid w:val="0087062E"/>
    <w:rsid w:val="0087068B"/>
    <w:rsid w:val="00870833"/>
    <w:rsid w:val="008708C3"/>
    <w:rsid w:val="00870A81"/>
    <w:rsid w:val="00870B5B"/>
    <w:rsid w:val="00870D46"/>
    <w:rsid w:val="00870E19"/>
    <w:rsid w:val="00870E89"/>
    <w:rsid w:val="00870EE9"/>
    <w:rsid w:val="0087106D"/>
    <w:rsid w:val="00871145"/>
    <w:rsid w:val="0087132A"/>
    <w:rsid w:val="0087140C"/>
    <w:rsid w:val="008715F2"/>
    <w:rsid w:val="008716EC"/>
    <w:rsid w:val="008717D8"/>
    <w:rsid w:val="008718AB"/>
    <w:rsid w:val="008718B8"/>
    <w:rsid w:val="008719B0"/>
    <w:rsid w:val="00871C26"/>
    <w:rsid w:val="00871C6D"/>
    <w:rsid w:val="00871C86"/>
    <w:rsid w:val="00871C98"/>
    <w:rsid w:val="00871CEC"/>
    <w:rsid w:val="00871EA6"/>
    <w:rsid w:val="00871EF6"/>
    <w:rsid w:val="00871F43"/>
    <w:rsid w:val="008721F7"/>
    <w:rsid w:val="00872256"/>
    <w:rsid w:val="008722C4"/>
    <w:rsid w:val="008722D7"/>
    <w:rsid w:val="0087238F"/>
    <w:rsid w:val="00872418"/>
    <w:rsid w:val="00872772"/>
    <w:rsid w:val="008728BD"/>
    <w:rsid w:val="00872983"/>
    <w:rsid w:val="0087298D"/>
    <w:rsid w:val="008729AF"/>
    <w:rsid w:val="00872A2E"/>
    <w:rsid w:val="00872A8D"/>
    <w:rsid w:val="00872D39"/>
    <w:rsid w:val="00872D3A"/>
    <w:rsid w:val="00872D72"/>
    <w:rsid w:val="00872D92"/>
    <w:rsid w:val="00872DEE"/>
    <w:rsid w:val="00872E2E"/>
    <w:rsid w:val="00872F2D"/>
    <w:rsid w:val="00872F6D"/>
    <w:rsid w:val="008732D1"/>
    <w:rsid w:val="00873384"/>
    <w:rsid w:val="008735D0"/>
    <w:rsid w:val="008735D6"/>
    <w:rsid w:val="00873612"/>
    <w:rsid w:val="008738C0"/>
    <w:rsid w:val="0087394A"/>
    <w:rsid w:val="008739F4"/>
    <w:rsid w:val="00873B55"/>
    <w:rsid w:val="00873C97"/>
    <w:rsid w:val="00873CB2"/>
    <w:rsid w:val="00873CF9"/>
    <w:rsid w:val="00873D8B"/>
    <w:rsid w:val="00873EC5"/>
    <w:rsid w:val="00873F9C"/>
    <w:rsid w:val="00873FE5"/>
    <w:rsid w:val="0087410F"/>
    <w:rsid w:val="0087418A"/>
    <w:rsid w:val="0087427B"/>
    <w:rsid w:val="0087469B"/>
    <w:rsid w:val="008747BB"/>
    <w:rsid w:val="00874834"/>
    <w:rsid w:val="00874922"/>
    <w:rsid w:val="0087493E"/>
    <w:rsid w:val="008749F8"/>
    <w:rsid w:val="00874D0D"/>
    <w:rsid w:val="0087504B"/>
    <w:rsid w:val="008750AA"/>
    <w:rsid w:val="008750E9"/>
    <w:rsid w:val="008755DE"/>
    <w:rsid w:val="0087560F"/>
    <w:rsid w:val="00875656"/>
    <w:rsid w:val="008757BA"/>
    <w:rsid w:val="00875807"/>
    <w:rsid w:val="00875982"/>
    <w:rsid w:val="00875AA7"/>
    <w:rsid w:val="00875B1E"/>
    <w:rsid w:val="00875B40"/>
    <w:rsid w:val="00875C1C"/>
    <w:rsid w:val="00875CBD"/>
    <w:rsid w:val="00875D0F"/>
    <w:rsid w:val="00875D48"/>
    <w:rsid w:val="00875E92"/>
    <w:rsid w:val="00875EAA"/>
    <w:rsid w:val="00875F6B"/>
    <w:rsid w:val="008761FC"/>
    <w:rsid w:val="008762D6"/>
    <w:rsid w:val="0087639D"/>
    <w:rsid w:val="008763F6"/>
    <w:rsid w:val="008763FA"/>
    <w:rsid w:val="00876489"/>
    <w:rsid w:val="008765B3"/>
    <w:rsid w:val="008766C0"/>
    <w:rsid w:val="00876A10"/>
    <w:rsid w:val="00876B27"/>
    <w:rsid w:val="00876B89"/>
    <w:rsid w:val="00876C82"/>
    <w:rsid w:val="00876C8E"/>
    <w:rsid w:val="00876DBD"/>
    <w:rsid w:val="00876EE7"/>
    <w:rsid w:val="00876F28"/>
    <w:rsid w:val="00876FF4"/>
    <w:rsid w:val="00876FF5"/>
    <w:rsid w:val="0087704D"/>
    <w:rsid w:val="008773A5"/>
    <w:rsid w:val="008774A7"/>
    <w:rsid w:val="00877532"/>
    <w:rsid w:val="0087755F"/>
    <w:rsid w:val="008776CB"/>
    <w:rsid w:val="008777CA"/>
    <w:rsid w:val="0087785C"/>
    <w:rsid w:val="00877B41"/>
    <w:rsid w:val="00877D4E"/>
    <w:rsid w:val="00877DF3"/>
    <w:rsid w:val="00877E23"/>
    <w:rsid w:val="00877E78"/>
    <w:rsid w:val="00877EDD"/>
    <w:rsid w:val="00877FF7"/>
    <w:rsid w:val="0088004C"/>
    <w:rsid w:val="0088017D"/>
    <w:rsid w:val="0088057C"/>
    <w:rsid w:val="008805B8"/>
    <w:rsid w:val="008806CC"/>
    <w:rsid w:val="00880741"/>
    <w:rsid w:val="008807DF"/>
    <w:rsid w:val="00880812"/>
    <w:rsid w:val="00880815"/>
    <w:rsid w:val="00880A9A"/>
    <w:rsid w:val="00880CD0"/>
    <w:rsid w:val="00880D37"/>
    <w:rsid w:val="00880D89"/>
    <w:rsid w:val="00880DBD"/>
    <w:rsid w:val="00880E4F"/>
    <w:rsid w:val="00880EE2"/>
    <w:rsid w:val="00880FB0"/>
    <w:rsid w:val="00880FFA"/>
    <w:rsid w:val="00881179"/>
    <w:rsid w:val="008812B5"/>
    <w:rsid w:val="008812FC"/>
    <w:rsid w:val="0088139C"/>
    <w:rsid w:val="00881464"/>
    <w:rsid w:val="008814D8"/>
    <w:rsid w:val="00881504"/>
    <w:rsid w:val="00881573"/>
    <w:rsid w:val="00881732"/>
    <w:rsid w:val="0088180E"/>
    <w:rsid w:val="00881A52"/>
    <w:rsid w:val="00881A73"/>
    <w:rsid w:val="00881BAB"/>
    <w:rsid w:val="00881CA7"/>
    <w:rsid w:val="00881D71"/>
    <w:rsid w:val="00881E70"/>
    <w:rsid w:val="00882017"/>
    <w:rsid w:val="00882215"/>
    <w:rsid w:val="00882260"/>
    <w:rsid w:val="008822D7"/>
    <w:rsid w:val="00882433"/>
    <w:rsid w:val="00882617"/>
    <w:rsid w:val="00882650"/>
    <w:rsid w:val="0088266E"/>
    <w:rsid w:val="00882696"/>
    <w:rsid w:val="008826D9"/>
    <w:rsid w:val="00882A11"/>
    <w:rsid w:val="00882B41"/>
    <w:rsid w:val="00882C3F"/>
    <w:rsid w:val="00882D01"/>
    <w:rsid w:val="00882EF1"/>
    <w:rsid w:val="00882EF2"/>
    <w:rsid w:val="00882F8B"/>
    <w:rsid w:val="00882FD2"/>
    <w:rsid w:val="008830E0"/>
    <w:rsid w:val="0088326F"/>
    <w:rsid w:val="008832BB"/>
    <w:rsid w:val="00883353"/>
    <w:rsid w:val="0088340A"/>
    <w:rsid w:val="0088354D"/>
    <w:rsid w:val="008835D2"/>
    <w:rsid w:val="0088362A"/>
    <w:rsid w:val="00883669"/>
    <w:rsid w:val="00883A85"/>
    <w:rsid w:val="00883B38"/>
    <w:rsid w:val="00883CC9"/>
    <w:rsid w:val="00883DA2"/>
    <w:rsid w:val="00883E95"/>
    <w:rsid w:val="00883FCC"/>
    <w:rsid w:val="00884145"/>
    <w:rsid w:val="00884250"/>
    <w:rsid w:val="00884312"/>
    <w:rsid w:val="008843E9"/>
    <w:rsid w:val="008844CA"/>
    <w:rsid w:val="008844DA"/>
    <w:rsid w:val="00884591"/>
    <w:rsid w:val="008845BE"/>
    <w:rsid w:val="0088473A"/>
    <w:rsid w:val="00884773"/>
    <w:rsid w:val="00884826"/>
    <w:rsid w:val="00884963"/>
    <w:rsid w:val="0088496A"/>
    <w:rsid w:val="008849AA"/>
    <w:rsid w:val="00884B1B"/>
    <w:rsid w:val="00884CF5"/>
    <w:rsid w:val="00884CFB"/>
    <w:rsid w:val="00885227"/>
    <w:rsid w:val="0088534B"/>
    <w:rsid w:val="00885356"/>
    <w:rsid w:val="0088557A"/>
    <w:rsid w:val="0088566A"/>
    <w:rsid w:val="008856CC"/>
    <w:rsid w:val="008856F1"/>
    <w:rsid w:val="008858E8"/>
    <w:rsid w:val="008859AA"/>
    <w:rsid w:val="00885B57"/>
    <w:rsid w:val="00885BC8"/>
    <w:rsid w:val="00885D19"/>
    <w:rsid w:val="00886011"/>
    <w:rsid w:val="0088619E"/>
    <w:rsid w:val="008861D4"/>
    <w:rsid w:val="008862A1"/>
    <w:rsid w:val="00886321"/>
    <w:rsid w:val="00886355"/>
    <w:rsid w:val="00886644"/>
    <w:rsid w:val="008866EA"/>
    <w:rsid w:val="008867D2"/>
    <w:rsid w:val="008868CC"/>
    <w:rsid w:val="00886C24"/>
    <w:rsid w:val="00886FE9"/>
    <w:rsid w:val="00886FF5"/>
    <w:rsid w:val="00887031"/>
    <w:rsid w:val="0088704F"/>
    <w:rsid w:val="00887056"/>
    <w:rsid w:val="008871AD"/>
    <w:rsid w:val="00887351"/>
    <w:rsid w:val="008873B4"/>
    <w:rsid w:val="0088778E"/>
    <w:rsid w:val="0088780B"/>
    <w:rsid w:val="00887AB7"/>
    <w:rsid w:val="00887B1A"/>
    <w:rsid w:val="00887C31"/>
    <w:rsid w:val="00887C82"/>
    <w:rsid w:val="00887D7F"/>
    <w:rsid w:val="00887DE2"/>
    <w:rsid w:val="00887EB2"/>
    <w:rsid w:val="00887F3B"/>
    <w:rsid w:val="00890012"/>
    <w:rsid w:val="00890064"/>
    <w:rsid w:val="0089038B"/>
    <w:rsid w:val="008903BA"/>
    <w:rsid w:val="00890438"/>
    <w:rsid w:val="0089049D"/>
    <w:rsid w:val="0089064A"/>
    <w:rsid w:val="00890794"/>
    <w:rsid w:val="008907DE"/>
    <w:rsid w:val="00890873"/>
    <w:rsid w:val="00890B07"/>
    <w:rsid w:val="00890D8C"/>
    <w:rsid w:val="00890DC2"/>
    <w:rsid w:val="00890E50"/>
    <w:rsid w:val="00890E52"/>
    <w:rsid w:val="00890ECD"/>
    <w:rsid w:val="00890F05"/>
    <w:rsid w:val="00890F06"/>
    <w:rsid w:val="00890F1C"/>
    <w:rsid w:val="008912D1"/>
    <w:rsid w:val="00891681"/>
    <w:rsid w:val="00891693"/>
    <w:rsid w:val="00891915"/>
    <w:rsid w:val="0089191F"/>
    <w:rsid w:val="008919C2"/>
    <w:rsid w:val="00891A52"/>
    <w:rsid w:val="00891A9F"/>
    <w:rsid w:val="00891F13"/>
    <w:rsid w:val="00891F7A"/>
    <w:rsid w:val="00892024"/>
    <w:rsid w:val="00892112"/>
    <w:rsid w:val="0089220A"/>
    <w:rsid w:val="0089224A"/>
    <w:rsid w:val="008922FD"/>
    <w:rsid w:val="0089234E"/>
    <w:rsid w:val="00892421"/>
    <w:rsid w:val="0089255D"/>
    <w:rsid w:val="0089264A"/>
    <w:rsid w:val="00892687"/>
    <w:rsid w:val="00892AAF"/>
    <w:rsid w:val="00892D58"/>
    <w:rsid w:val="00893360"/>
    <w:rsid w:val="0089342A"/>
    <w:rsid w:val="00893455"/>
    <w:rsid w:val="00893754"/>
    <w:rsid w:val="008938E9"/>
    <w:rsid w:val="00893BB7"/>
    <w:rsid w:val="00893C35"/>
    <w:rsid w:val="00893C62"/>
    <w:rsid w:val="00893C92"/>
    <w:rsid w:val="00893F18"/>
    <w:rsid w:val="00893F9D"/>
    <w:rsid w:val="00893FF9"/>
    <w:rsid w:val="0089402C"/>
    <w:rsid w:val="0089405C"/>
    <w:rsid w:val="00894293"/>
    <w:rsid w:val="00894350"/>
    <w:rsid w:val="00894536"/>
    <w:rsid w:val="00894620"/>
    <w:rsid w:val="0089467E"/>
    <w:rsid w:val="00894798"/>
    <w:rsid w:val="008947AE"/>
    <w:rsid w:val="00894815"/>
    <w:rsid w:val="00894849"/>
    <w:rsid w:val="00894AFB"/>
    <w:rsid w:val="00894B50"/>
    <w:rsid w:val="00894C1A"/>
    <w:rsid w:val="00894C73"/>
    <w:rsid w:val="00894CCD"/>
    <w:rsid w:val="00894DFD"/>
    <w:rsid w:val="0089509E"/>
    <w:rsid w:val="008950BF"/>
    <w:rsid w:val="008950FF"/>
    <w:rsid w:val="0089511B"/>
    <w:rsid w:val="00895347"/>
    <w:rsid w:val="008955CB"/>
    <w:rsid w:val="00895799"/>
    <w:rsid w:val="0089581C"/>
    <w:rsid w:val="00895AD0"/>
    <w:rsid w:val="00895F54"/>
    <w:rsid w:val="008960B9"/>
    <w:rsid w:val="0089611B"/>
    <w:rsid w:val="0089619C"/>
    <w:rsid w:val="008961B1"/>
    <w:rsid w:val="008961C1"/>
    <w:rsid w:val="008962B3"/>
    <w:rsid w:val="0089633C"/>
    <w:rsid w:val="0089637F"/>
    <w:rsid w:val="008963F6"/>
    <w:rsid w:val="00896556"/>
    <w:rsid w:val="008965E7"/>
    <w:rsid w:val="008965F0"/>
    <w:rsid w:val="00896773"/>
    <w:rsid w:val="008968E7"/>
    <w:rsid w:val="00896A62"/>
    <w:rsid w:val="00896C7C"/>
    <w:rsid w:val="00896D7F"/>
    <w:rsid w:val="00896DDD"/>
    <w:rsid w:val="00896F15"/>
    <w:rsid w:val="0089721B"/>
    <w:rsid w:val="00897452"/>
    <w:rsid w:val="008974C4"/>
    <w:rsid w:val="00897574"/>
    <w:rsid w:val="0089761F"/>
    <w:rsid w:val="008976E9"/>
    <w:rsid w:val="0089772D"/>
    <w:rsid w:val="0089787A"/>
    <w:rsid w:val="00897C88"/>
    <w:rsid w:val="00897CDA"/>
    <w:rsid w:val="00897D7B"/>
    <w:rsid w:val="00897EB2"/>
    <w:rsid w:val="008A0043"/>
    <w:rsid w:val="008A0173"/>
    <w:rsid w:val="008A01BF"/>
    <w:rsid w:val="008A01C5"/>
    <w:rsid w:val="008A059B"/>
    <w:rsid w:val="008A05AE"/>
    <w:rsid w:val="008A06FC"/>
    <w:rsid w:val="008A07BC"/>
    <w:rsid w:val="008A0816"/>
    <w:rsid w:val="008A08A3"/>
    <w:rsid w:val="008A0A10"/>
    <w:rsid w:val="008A0B37"/>
    <w:rsid w:val="008A0D48"/>
    <w:rsid w:val="008A0DB3"/>
    <w:rsid w:val="008A0DCD"/>
    <w:rsid w:val="008A0F6A"/>
    <w:rsid w:val="008A1004"/>
    <w:rsid w:val="008A11E2"/>
    <w:rsid w:val="008A13C6"/>
    <w:rsid w:val="008A166B"/>
    <w:rsid w:val="008A18D0"/>
    <w:rsid w:val="008A1915"/>
    <w:rsid w:val="008A1A4B"/>
    <w:rsid w:val="008A1C28"/>
    <w:rsid w:val="008A1D04"/>
    <w:rsid w:val="008A206F"/>
    <w:rsid w:val="008A20C6"/>
    <w:rsid w:val="008A21AC"/>
    <w:rsid w:val="008A2393"/>
    <w:rsid w:val="008A243D"/>
    <w:rsid w:val="008A2516"/>
    <w:rsid w:val="008A25CF"/>
    <w:rsid w:val="008A2819"/>
    <w:rsid w:val="008A2A78"/>
    <w:rsid w:val="008A2BCC"/>
    <w:rsid w:val="008A2D6E"/>
    <w:rsid w:val="008A3108"/>
    <w:rsid w:val="008A3213"/>
    <w:rsid w:val="008A3264"/>
    <w:rsid w:val="008A32A8"/>
    <w:rsid w:val="008A3398"/>
    <w:rsid w:val="008A33F6"/>
    <w:rsid w:val="008A350F"/>
    <w:rsid w:val="008A3551"/>
    <w:rsid w:val="008A3579"/>
    <w:rsid w:val="008A36B3"/>
    <w:rsid w:val="008A36EE"/>
    <w:rsid w:val="008A378E"/>
    <w:rsid w:val="008A380F"/>
    <w:rsid w:val="008A3887"/>
    <w:rsid w:val="008A39D1"/>
    <w:rsid w:val="008A3AB3"/>
    <w:rsid w:val="008A3ABD"/>
    <w:rsid w:val="008A3CE3"/>
    <w:rsid w:val="008A3D44"/>
    <w:rsid w:val="008A3F41"/>
    <w:rsid w:val="008A3FBA"/>
    <w:rsid w:val="008A4084"/>
    <w:rsid w:val="008A40F1"/>
    <w:rsid w:val="008A415E"/>
    <w:rsid w:val="008A4192"/>
    <w:rsid w:val="008A424D"/>
    <w:rsid w:val="008A43B8"/>
    <w:rsid w:val="008A455C"/>
    <w:rsid w:val="008A4581"/>
    <w:rsid w:val="008A466B"/>
    <w:rsid w:val="008A467C"/>
    <w:rsid w:val="008A46DF"/>
    <w:rsid w:val="008A4731"/>
    <w:rsid w:val="008A475F"/>
    <w:rsid w:val="008A47D7"/>
    <w:rsid w:val="008A4874"/>
    <w:rsid w:val="008A487D"/>
    <w:rsid w:val="008A492C"/>
    <w:rsid w:val="008A4964"/>
    <w:rsid w:val="008A4977"/>
    <w:rsid w:val="008A4A37"/>
    <w:rsid w:val="008A4A6B"/>
    <w:rsid w:val="008A4C03"/>
    <w:rsid w:val="008A4C36"/>
    <w:rsid w:val="008A4DA7"/>
    <w:rsid w:val="008A4DCE"/>
    <w:rsid w:val="008A4EED"/>
    <w:rsid w:val="008A4F18"/>
    <w:rsid w:val="008A510E"/>
    <w:rsid w:val="008A511B"/>
    <w:rsid w:val="008A51AC"/>
    <w:rsid w:val="008A5232"/>
    <w:rsid w:val="008A536F"/>
    <w:rsid w:val="008A548A"/>
    <w:rsid w:val="008A54A5"/>
    <w:rsid w:val="008A5570"/>
    <w:rsid w:val="008A5755"/>
    <w:rsid w:val="008A5782"/>
    <w:rsid w:val="008A5839"/>
    <w:rsid w:val="008A5A99"/>
    <w:rsid w:val="008A5B2C"/>
    <w:rsid w:val="008A5B74"/>
    <w:rsid w:val="008A5B9D"/>
    <w:rsid w:val="008A5BA1"/>
    <w:rsid w:val="008A5E7E"/>
    <w:rsid w:val="008A5EB3"/>
    <w:rsid w:val="008A609F"/>
    <w:rsid w:val="008A60E2"/>
    <w:rsid w:val="008A616E"/>
    <w:rsid w:val="008A63A7"/>
    <w:rsid w:val="008A6445"/>
    <w:rsid w:val="008A6757"/>
    <w:rsid w:val="008A682B"/>
    <w:rsid w:val="008A6C5D"/>
    <w:rsid w:val="008A6D61"/>
    <w:rsid w:val="008A6E46"/>
    <w:rsid w:val="008A6ECF"/>
    <w:rsid w:val="008A6F71"/>
    <w:rsid w:val="008A707C"/>
    <w:rsid w:val="008A710B"/>
    <w:rsid w:val="008A728E"/>
    <w:rsid w:val="008A72C7"/>
    <w:rsid w:val="008A72F1"/>
    <w:rsid w:val="008A7345"/>
    <w:rsid w:val="008A7415"/>
    <w:rsid w:val="008A7460"/>
    <w:rsid w:val="008A7590"/>
    <w:rsid w:val="008A793F"/>
    <w:rsid w:val="008A7970"/>
    <w:rsid w:val="008A79BD"/>
    <w:rsid w:val="008A79D1"/>
    <w:rsid w:val="008A7A36"/>
    <w:rsid w:val="008A7BD3"/>
    <w:rsid w:val="008A7DDA"/>
    <w:rsid w:val="008A7E69"/>
    <w:rsid w:val="008A7E6A"/>
    <w:rsid w:val="008B0044"/>
    <w:rsid w:val="008B00B8"/>
    <w:rsid w:val="008B0352"/>
    <w:rsid w:val="008B0361"/>
    <w:rsid w:val="008B04BA"/>
    <w:rsid w:val="008B04BC"/>
    <w:rsid w:val="008B0660"/>
    <w:rsid w:val="008B076B"/>
    <w:rsid w:val="008B07A4"/>
    <w:rsid w:val="008B07BD"/>
    <w:rsid w:val="008B0888"/>
    <w:rsid w:val="008B096D"/>
    <w:rsid w:val="008B0A25"/>
    <w:rsid w:val="008B0A5C"/>
    <w:rsid w:val="008B0A7A"/>
    <w:rsid w:val="008B0B90"/>
    <w:rsid w:val="008B0C0B"/>
    <w:rsid w:val="008B0D66"/>
    <w:rsid w:val="008B0EDE"/>
    <w:rsid w:val="008B1083"/>
    <w:rsid w:val="008B123E"/>
    <w:rsid w:val="008B1273"/>
    <w:rsid w:val="008B1283"/>
    <w:rsid w:val="008B12F3"/>
    <w:rsid w:val="008B1447"/>
    <w:rsid w:val="008B151A"/>
    <w:rsid w:val="008B1603"/>
    <w:rsid w:val="008B1982"/>
    <w:rsid w:val="008B19C9"/>
    <w:rsid w:val="008B1BF2"/>
    <w:rsid w:val="008B1C06"/>
    <w:rsid w:val="008B1CB9"/>
    <w:rsid w:val="008B1D05"/>
    <w:rsid w:val="008B1D0D"/>
    <w:rsid w:val="008B1E9C"/>
    <w:rsid w:val="008B21A1"/>
    <w:rsid w:val="008B21CD"/>
    <w:rsid w:val="008B2206"/>
    <w:rsid w:val="008B221A"/>
    <w:rsid w:val="008B223A"/>
    <w:rsid w:val="008B227F"/>
    <w:rsid w:val="008B2374"/>
    <w:rsid w:val="008B25F4"/>
    <w:rsid w:val="008B2654"/>
    <w:rsid w:val="008B292F"/>
    <w:rsid w:val="008B29BF"/>
    <w:rsid w:val="008B2B8F"/>
    <w:rsid w:val="008B2C98"/>
    <w:rsid w:val="008B2D03"/>
    <w:rsid w:val="008B2E38"/>
    <w:rsid w:val="008B2E94"/>
    <w:rsid w:val="008B2EB3"/>
    <w:rsid w:val="008B2EE9"/>
    <w:rsid w:val="008B2F28"/>
    <w:rsid w:val="008B2FBB"/>
    <w:rsid w:val="008B2FC2"/>
    <w:rsid w:val="008B31B8"/>
    <w:rsid w:val="008B31D3"/>
    <w:rsid w:val="008B32E9"/>
    <w:rsid w:val="008B3324"/>
    <w:rsid w:val="008B35FC"/>
    <w:rsid w:val="008B36C5"/>
    <w:rsid w:val="008B3761"/>
    <w:rsid w:val="008B3805"/>
    <w:rsid w:val="008B3846"/>
    <w:rsid w:val="008B3952"/>
    <w:rsid w:val="008B39C9"/>
    <w:rsid w:val="008B3A1E"/>
    <w:rsid w:val="008B3BDC"/>
    <w:rsid w:val="008B3D58"/>
    <w:rsid w:val="008B3D8B"/>
    <w:rsid w:val="008B40F7"/>
    <w:rsid w:val="008B41BF"/>
    <w:rsid w:val="008B4348"/>
    <w:rsid w:val="008B46EE"/>
    <w:rsid w:val="008B4725"/>
    <w:rsid w:val="008B4926"/>
    <w:rsid w:val="008B4A30"/>
    <w:rsid w:val="008B4B95"/>
    <w:rsid w:val="008B4C43"/>
    <w:rsid w:val="008B4CCA"/>
    <w:rsid w:val="008B4D1E"/>
    <w:rsid w:val="008B4DAE"/>
    <w:rsid w:val="008B4DD0"/>
    <w:rsid w:val="008B4E39"/>
    <w:rsid w:val="008B4F70"/>
    <w:rsid w:val="008B4F94"/>
    <w:rsid w:val="008B511F"/>
    <w:rsid w:val="008B5185"/>
    <w:rsid w:val="008B518F"/>
    <w:rsid w:val="008B52B1"/>
    <w:rsid w:val="008B52F4"/>
    <w:rsid w:val="008B5386"/>
    <w:rsid w:val="008B5396"/>
    <w:rsid w:val="008B53DE"/>
    <w:rsid w:val="008B55CE"/>
    <w:rsid w:val="008B57B7"/>
    <w:rsid w:val="008B58CC"/>
    <w:rsid w:val="008B58DD"/>
    <w:rsid w:val="008B5942"/>
    <w:rsid w:val="008B5C0F"/>
    <w:rsid w:val="008B5C7E"/>
    <w:rsid w:val="008B5D3A"/>
    <w:rsid w:val="008B5D48"/>
    <w:rsid w:val="008B5D73"/>
    <w:rsid w:val="008B5F16"/>
    <w:rsid w:val="008B5F1F"/>
    <w:rsid w:val="008B5F74"/>
    <w:rsid w:val="008B60CD"/>
    <w:rsid w:val="008B622D"/>
    <w:rsid w:val="008B623A"/>
    <w:rsid w:val="008B66A8"/>
    <w:rsid w:val="008B66C4"/>
    <w:rsid w:val="008B66E2"/>
    <w:rsid w:val="008B6726"/>
    <w:rsid w:val="008B67A7"/>
    <w:rsid w:val="008B68F0"/>
    <w:rsid w:val="008B69D0"/>
    <w:rsid w:val="008B6A87"/>
    <w:rsid w:val="008B6CF9"/>
    <w:rsid w:val="008B6D08"/>
    <w:rsid w:val="008B6E07"/>
    <w:rsid w:val="008B6EA7"/>
    <w:rsid w:val="008B6F6F"/>
    <w:rsid w:val="008B6FBB"/>
    <w:rsid w:val="008B6FF0"/>
    <w:rsid w:val="008B7059"/>
    <w:rsid w:val="008B70B2"/>
    <w:rsid w:val="008B71D9"/>
    <w:rsid w:val="008B734F"/>
    <w:rsid w:val="008B7389"/>
    <w:rsid w:val="008B757A"/>
    <w:rsid w:val="008B77A1"/>
    <w:rsid w:val="008B77A5"/>
    <w:rsid w:val="008B77A9"/>
    <w:rsid w:val="008B797D"/>
    <w:rsid w:val="008B7C78"/>
    <w:rsid w:val="008B7D81"/>
    <w:rsid w:val="008B7DE6"/>
    <w:rsid w:val="008B7DFE"/>
    <w:rsid w:val="008B7E51"/>
    <w:rsid w:val="008B7FB0"/>
    <w:rsid w:val="008C00AA"/>
    <w:rsid w:val="008C02B1"/>
    <w:rsid w:val="008C02DE"/>
    <w:rsid w:val="008C0398"/>
    <w:rsid w:val="008C0425"/>
    <w:rsid w:val="008C0590"/>
    <w:rsid w:val="008C0647"/>
    <w:rsid w:val="008C0669"/>
    <w:rsid w:val="008C0847"/>
    <w:rsid w:val="008C0C19"/>
    <w:rsid w:val="008C0C2E"/>
    <w:rsid w:val="008C0D1A"/>
    <w:rsid w:val="008C0DC2"/>
    <w:rsid w:val="008C0E78"/>
    <w:rsid w:val="008C1096"/>
    <w:rsid w:val="008C116F"/>
    <w:rsid w:val="008C12D5"/>
    <w:rsid w:val="008C13EC"/>
    <w:rsid w:val="008C141D"/>
    <w:rsid w:val="008C1496"/>
    <w:rsid w:val="008C14D5"/>
    <w:rsid w:val="008C14E9"/>
    <w:rsid w:val="008C14FD"/>
    <w:rsid w:val="008C1524"/>
    <w:rsid w:val="008C154D"/>
    <w:rsid w:val="008C15F6"/>
    <w:rsid w:val="008C160C"/>
    <w:rsid w:val="008C16A3"/>
    <w:rsid w:val="008C1852"/>
    <w:rsid w:val="008C1A41"/>
    <w:rsid w:val="008C1A7E"/>
    <w:rsid w:val="008C1AA8"/>
    <w:rsid w:val="008C1C65"/>
    <w:rsid w:val="008C1CEC"/>
    <w:rsid w:val="008C21A7"/>
    <w:rsid w:val="008C21FF"/>
    <w:rsid w:val="008C2263"/>
    <w:rsid w:val="008C235D"/>
    <w:rsid w:val="008C2370"/>
    <w:rsid w:val="008C23D4"/>
    <w:rsid w:val="008C23DB"/>
    <w:rsid w:val="008C241B"/>
    <w:rsid w:val="008C2532"/>
    <w:rsid w:val="008C2540"/>
    <w:rsid w:val="008C26B3"/>
    <w:rsid w:val="008C26C5"/>
    <w:rsid w:val="008C2780"/>
    <w:rsid w:val="008C2810"/>
    <w:rsid w:val="008C2A1C"/>
    <w:rsid w:val="008C2AB7"/>
    <w:rsid w:val="008C2AEB"/>
    <w:rsid w:val="008C2B07"/>
    <w:rsid w:val="008C2B40"/>
    <w:rsid w:val="008C2BD8"/>
    <w:rsid w:val="008C2CCD"/>
    <w:rsid w:val="008C2D75"/>
    <w:rsid w:val="008C2D78"/>
    <w:rsid w:val="008C3418"/>
    <w:rsid w:val="008C342E"/>
    <w:rsid w:val="008C3460"/>
    <w:rsid w:val="008C350E"/>
    <w:rsid w:val="008C36C7"/>
    <w:rsid w:val="008C38B0"/>
    <w:rsid w:val="008C3B93"/>
    <w:rsid w:val="008C3B99"/>
    <w:rsid w:val="008C3D8B"/>
    <w:rsid w:val="008C3E38"/>
    <w:rsid w:val="008C3FD5"/>
    <w:rsid w:val="008C40E0"/>
    <w:rsid w:val="008C433F"/>
    <w:rsid w:val="008C441F"/>
    <w:rsid w:val="008C4424"/>
    <w:rsid w:val="008C4696"/>
    <w:rsid w:val="008C46FF"/>
    <w:rsid w:val="008C4859"/>
    <w:rsid w:val="008C489E"/>
    <w:rsid w:val="008C48F9"/>
    <w:rsid w:val="008C4AB4"/>
    <w:rsid w:val="008C4AED"/>
    <w:rsid w:val="008C4D4B"/>
    <w:rsid w:val="008C4FC2"/>
    <w:rsid w:val="008C5078"/>
    <w:rsid w:val="008C5080"/>
    <w:rsid w:val="008C510B"/>
    <w:rsid w:val="008C52A5"/>
    <w:rsid w:val="008C550D"/>
    <w:rsid w:val="008C5591"/>
    <w:rsid w:val="008C56A7"/>
    <w:rsid w:val="008C56F1"/>
    <w:rsid w:val="008C5742"/>
    <w:rsid w:val="008C57F2"/>
    <w:rsid w:val="008C5B95"/>
    <w:rsid w:val="008C5C81"/>
    <w:rsid w:val="008C5C98"/>
    <w:rsid w:val="008C60BD"/>
    <w:rsid w:val="008C6166"/>
    <w:rsid w:val="008C619A"/>
    <w:rsid w:val="008C63B4"/>
    <w:rsid w:val="008C63CC"/>
    <w:rsid w:val="008C64AA"/>
    <w:rsid w:val="008C6638"/>
    <w:rsid w:val="008C671F"/>
    <w:rsid w:val="008C6890"/>
    <w:rsid w:val="008C692F"/>
    <w:rsid w:val="008C6B22"/>
    <w:rsid w:val="008C6BB2"/>
    <w:rsid w:val="008C6C93"/>
    <w:rsid w:val="008C6DC0"/>
    <w:rsid w:val="008C6E03"/>
    <w:rsid w:val="008C6E1A"/>
    <w:rsid w:val="008C701A"/>
    <w:rsid w:val="008C7219"/>
    <w:rsid w:val="008C725A"/>
    <w:rsid w:val="008C7318"/>
    <w:rsid w:val="008C7390"/>
    <w:rsid w:val="008C7537"/>
    <w:rsid w:val="008C764C"/>
    <w:rsid w:val="008C79B7"/>
    <w:rsid w:val="008C7A0B"/>
    <w:rsid w:val="008C7B3E"/>
    <w:rsid w:val="008C7C57"/>
    <w:rsid w:val="008C7CBB"/>
    <w:rsid w:val="008C7CD8"/>
    <w:rsid w:val="008C7DFF"/>
    <w:rsid w:val="008C7E94"/>
    <w:rsid w:val="008C7EA4"/>
    <w:rsid w:val="008C7EDF"/>
    <w:rsid w:val="008C7F18"/>
    <w:rsid w:val="008C7F1F"/>
    <w:rsid w:val="008D0194"/>
    <w:rsid w:val="008D01DB"/>
    <w:rsid w:val="008D02C0"/>
    <w:rsid w:val="008D0361"/>
    <w:rsid w:val="008D040A"/>
    <w:rsid w:val="008D04E8"/>
    <w:rsid w:val="008D0719"/>
    <w:rsid w:val="008D0737"/>
    <w:rsid w:val="008D076A"/>
    <w:rsid w:val="008D094B"/>
    <w:rsid w:val="008D098B"/>
    <w:rsid w:val="008D09FA"/>
    <w:rsid w:val="008D0AA1"/>
    <w:rsid w:val="008D0C12"/>
    <w:rsid w:val="008D0D3F"/>
    <w:rsid w:val="008D0E05"/>
    <w:rsid w:val="008D0FC6"/>
    <w:rsid w:val="008D0FE5"/>
    <w:rsid w:val="008D1022"/>
    <w:rsid w:val="008D10B7"/>
    <w:rsid w:val="008D1127"/>
    <w:rsid w:val="008D1224"/>
    <w:rsid w:val="008D1366"/>
    <w:rsid w:val="008D13C8"/>
    <w:rsid w:val="008D1406"/>
    <w:rsid w:val="008D140B"/>
    <w:rsid w:val="008D1481"/>
    <w:rsid w:val="008D1550"/>
    <w:rsid w:val="008D1641"/>
    <w:rsid w:val="008D18BF"/>
    <w:rsid w:val="008D1916"/>
    <w:rsid w:val="008D1B13"/>
    <w:rsid w:val="008D1B53"/>
    <w:rsid w:val="008D1BBE"/>
    <w:rsid w:val="008D1BD0"/>
    <w:rsid w:val="008D1C0C"/>
    <w:rsid w:val="008D1D94"/>
    <w:rsid w:val="008D1DD4"/>
    <w:rsid w:val="008D1DF2"/>
    <w:rsid w:val="008D1E75"/>
    <w:rsid w:val="008D1E92"/>
    <w:rsid w:val="008D2407"/>
    <w:rsid w:val="008D2512"/>
    <w:rsid w:val="008D2653"/>
    <w:rsid w:val="008D2663"/>
    <w:rsid w:val="008D270A"/>
    <w:rsid w:val="008D29C6"/>
    <w:rsid w:val="008D2B42"/>
    <w:rsid w:val="008D2C26"/>
    <w:rsid w:val="008D2EC3"/>
    <w:rsid w:val="008D3069"/>
    <w:rsid w:val="008D317D"/>
    <w:rsid w:val="008D31C2"/>
    <w:rsid w:val="008D3201"/>
    <w:rsid w:val="008D3351"/>
    <w:rsid w:val="008D341D"/>
    <w:rsid w:val="008D3449"/>
    <w:rsid w:val="008D3559"/>
    <w:rsid w:val="008D3887"/>
    <w:rsid w:val="008D38DA"/>
    <w:rsid w:val="008D396E"/>
    <w:rsid w:val="008D3984"/>
    <w:rsid w:val="008D39D4"/>
    <w:rsid w:val="008D39DD"/>
    <w:rsid w:val="008D3A00"/>
    <w:rsid w:val="008D3A56"/>
    <w:rsid w:val="008D3AA6"/>
    <w:rsid w:val="008D3BB6"/>
    <w:rsid w:val="008D3E31"/>
    <w:rsid w:val="008D3F31"/>
    <w:rsid w:val="008D3F56"/>
    <w:rsid w:val="008D3FD3"/>
    <w:rsid w:val="008D4002"/>
    <w:rsid w:val="008D401F"/>
    <w:rsid w:val="008D402D"/>
    <w:rsid w:val="008D40B9"/>
    <w:rsid w:val="008D4294"/>
    <w:rsid w:val="008D443C"/>
    <w:rsid w:val="008D444A"/>
    <w:rsid w:val="008D44A0"/>
    <w:rsid w:val="008D44AA"/>
    <w:rsid w:val="008D47EC"/>
    <w:rsid w:val="008D4935"/>
    <w:rsid w:val="008D4A67"/>
    <w:rsid w:val="008D4D5E"/>
    <w:rsid w:val="008D4DFE"/>
    <w:rsid w:val="008D4F62"/>
    <w:rsid w:val="008D502D"/>
    <w:rsid w:val="008D5110"/>
    <w:rsid w:val="008D5126"/>
    <w:rsid w:val="008D5225"/>
    <w:rsid w:val="008D5293"/>
    <w:rsid w:val="008D52A3"/>
    <w:rsid w:val="008D5474"/>
    <w:rsid w:val="008D57C6"/>
    <w:rsid w:val="008D58E6"/>
    <w:rsid w:val="008D5902"/>
    <w:rsid w:val="008D5ABA"/>
    <w:rsid w:val="008D5C53"/>
    <w:rsid w:val="008D5D21"/>
    <w:rsid w:val="008D5DDF"/>
    <w:rsid w:val="008D5DE6"/>
    <w:rsid w:val="008D5F37"/>
    <w:rsid w:val="008D6058"/>
    <w:rsid w:val="008D615D"/>
    <w:rsid w:val="008D61CA"/>
    <w:rsid w:val="008D620A"/>
    <w:rsid w:val="008D6260"/>
    <w:rsid w:val="008D6346"/>
    <w:rsid w:val="008D6425"/>
    <w:rsid w:val="008D652F"/>
    <w:rsid w:val="008D657E"/>
    <w:rsid w:val="008D667D"/>
    <w:rsid w:val="008D6790"/>
    <w:rsid w:val="008D67DA"/>
    <w:rsid w:val="008D683B"/>
    <w:rsid w:val="008D68FA"/>
    <w:rsid w:val="008D6A53"/>
    <w:rsid w:val="008D6AFE"/>
    <w:rsid w:val="008D6BE8"/>
    <w:rsid w:val="008D6D0A"/>
    <w:rsid w:val="008D6DF8"/>
    <w:rsid w:val="008D715F"/>
    <w:rsid w:val="008D71DC"/>
    <w:rsid w:val="008D721C"/>
    <w:rsid w:val="008D724C"/>
    <w:rsid w:val="008D7273"/>
    <w:rsid w:val="008D72FC"/>
    <w:rsid w:val="008D7473"/>
    <w:rsid w:val="008D76B5"/>
    <w:rsid w:val="008D7766"/>
    <w:rsid w:val="008D777E"/>
    <w:rsid w:val="008D79E2"/>
    <w:rsid w:val="008D7BD6"/>
    <w:rsid w:val="008D7CFB"/>
    <w:rsid w:val="008D7D6A"/>
    <w:rsid w:val="008D7F9D"/>
    <w:rsid w:val="008E00E2"/>
    <w:rsid w:val="008E0108"/>
    <w:rsid w:val="008E0153"/>
    <w:rsid w:val="008E01A8"/>
    <w:rsid w:val="008E0359"/>
    <w:rsid w:val="008E0444"/>
    <w:rsid w:val="008E06F5"/>
    <w:rsid w:val="008E07BF"/>
    <w:rsid w:val="008E083C"/>
    <w:rsid w:val="008E095F"/>
    <w:rsid w:val="008E0BDD"/>
    <w:rsid w:val="008E0CFE"/>
    <w:rsid w:val="008E0E60"/>
    <w:rsid w:val="008E0F57"/>
    <w:rsid w:val="008E0F61"/>
    <w:rsid w:val="008E0F76"/>
    <w:rsid w:val="008E10CB"/>
    <w:rsid w:val="008E1576"/>
    <w:rsid w:val="008E16CC"/>
    <w:rsid w:val="008E1754"/>
    <w:rsid w:val="008E1977"/>
    <w:rsid w:val="008E1B17"/>
    <w:rsid w:val="008E1B41"/>
    <w:rsid w:val="008E1B42"/>
    <w:rsid w:val="008E1BA8"/>
    <w:rsid w:val="008E1BAB"/>
    <w:rsid w:val="008E1C21"/>
    <w:rsid w:val="008E1C6B"/>
    <w:rsid w:val="008E1CDE"/>
    <w:rsid w:val="008E1D2A"/>
    <w:rsid w:val="008E1D42"/>
    <w:rsid w:val="008E1DC6"/>
    <w:rsid w:val="008E216F"/>
    <w:rsid w:val="008E21C6"/>
    <w:rsid w:val="008E230B"/>
    <w:rsid w:val="008E2A45"/>
    <w:rsid w:val="008E2AA6"/>
    <w:rsid w:val="008E2B9A"/>
    <w:rsid w:val="008E2BB8"/>
    <w:rsid w:val="008E2D4F"/>
    <w:rsid w:val="008E2E46"/>
    <w:rsid w:val="008E2E70"/>
    <w:rsid w:val="008E2F5A"/>
    <w:rsid w:val="008E2F73"/>
    <w:rsid w:val="008E3060"/>
    <w:rsid w:val="008E322C"/>
    <w:rsid w:val="008E32AD"/>
    <w:rsid w:val="008E33DC"/>
    <w:rsid w:val="008E36E8"/>
    <w:rsid w:val="008E3771"/>
    <w:rsid w:val="008E3813"/>
    <w:rsid w:val="008E3893"/>
    <w:rsid w:val="008E38A7"/>
    <w:rsid w:val="008E396C"/>
    <w:rsid w:val="008E3981"/>
    <w:rsid w:val="008E3ACC"/>
    <w:rsid w:val="008E3BFD"/>
    <w:rsid w:val="008E3D47"/>
    <w:rsid w:val="008E3D7D"/>
    <w:rsid w:val="008E3DBD"/>
    <w:rsid w:val="008E3E2E"/>
    <w:rsid w:val="008E3EDF"/>
    <w:rsid w:val="008E3F6A"/>
    <w:rsid w:val="008E4092"/>
    <w:rsid w:val="008E412D"/>
    <w:rsid w:val="008E415C"/>
    <w:rsid w:val="008E4280"/>
    <w:rsid w:val="008E42D2"/>
    <w:rsid w:val="008E43C0"/>
    <w:rsid w:val="008E4487"/>
    <w:rsid w:val="008E470A"/>
    <w:rsid w:val="008E4954"/>
    <w:rsid w:val="008E4A56"/>
    <w:rsid w:val="008E4C67"/>
    <w:rsid w:val="008E4DE7"/>
    <w:rsid w:val="008E509F"/>
    <w:rsid w:val="008E5578"/>
    <w:rsid w:val="008E5813"/>
    <w:rsid w:val="008E58A2"/>
    <w:rsid w:val="008E58BE"/>
    <w:rsid w:val="008E59EB"/>
    <w:rsid w:val="008E5A54"/>
    <w:rsid w:val="008E5BC5"/>
    <w:rsid w:val="008E5C55"/>
    <w:rsid w:val="008E5D08"/>
    <w:rsid w:val="008E5D44"/>
    <w:rsid w:val="008E5E09"/>
    <w:rsid w:val="008E5F5C"/>
    <w:rsid w:val="008E5FCC"/>
    <w:rsid w:val="008E60A4"/>
    <w:rsid w:val="008E61C4"/>
    <w:rsid w:val="008E62CD"/>
    <w:rsid w:val="008E6427"/>
    <w:rsid w:val="008E6725"/>
    <w:rsid w:val="008E67A9"/>
    <w:rsid w:val="008E69A7"/>
    <w:rsid w:val="008E6A15"/>
    <w:rsid w:val="008E6AAF"/>
    <w:rsid w:val="008E6AE2"/>
    <w:rsid w:val="008E6B9B"/>
    <w:rsid w:val="008E6C89"/>
    <w:rsid w:val="008E6CB5"/>
    <w:rsid w:val="008E6D68"/>
    <w:rsid w:val="008E6E25"/>
    <w:rsid w:val="008E6FCE"/>
    <w:rsid w:val="008E7064"/>
    <w:rsid w:val="008E70C9"/>
    <w:rsid w:val="008E727C"/>
    <w:rsid w:val="008E72F0"/>
    <w:rsid w:val="008E732F"/>
    <w:rsid w:val="008E740C"/>
    <w:rsid w:val="008E7659"/>
    <w:rsid w:val="008E7840"/>
    <w:rsid w:val="008E7927"/>
    <w:rsid w:val="008E7B7E"/>
    <w:rsid w:val="008E7BE4"/>
    <w:rsid w:val="008E7D9C"/>
    <w:rsid w:val="008E7E1A"/>
    <w:rsid w:val="008E7E2D"/>
    <w:rsid w:val="008E7EDD"/>
    <w:rsid w:val="008E7EF1"/>
    <w:rsid w:val="008E7F95"/>
    <w:rsid w:val="008F00D9"/>
    <w:rsid w:val="008F00F2"/>
    <w:rsid w:val="008F015C"/>
    <w:rsid w:val="008F019F"/>
    <w:rsid w:val="008F0370"/>
    <w:rsid w:val="008F0472"/>
    <w:rsid w:val="008F04B2"/>
    <w:rsid w:val="008F05CC"/>
    <w:rsid w:val="008F073C"/>
    <w:rsid w:val="008F0774"/>
    <w:rsid w:val="008F07C5"/>
    <w:rsid w:val="008F0A7C"/>
    <w:rsid w:val="008F0B20"/>
    <w:rsid w:val="008F0B4D"/>
    <w:rsid w:val="008F0BCF"/>
    <w:rsid w:val="008F0D1F"/>
    <w:rsid w:val="008F0D97"/>
    <w:rsid w:val="008F0DBF"/>
    <w:rsid w:val="008F1015"/>
    <w:rsid w:val="008F1111"/>
    <w:rsid w:val="008F11A1"/>
    <w:rsid w:val="008F11D5"/>
    <w:rsid w:val="008F12CE"/>
    <w:rsid w:val="008F1326"/>
    <w:rsid w:val="008F132D"/>
    <w:rsid w:val="008F167D"/>
    <w:rsid w:val="008F168D"/>
    <w:rsid w:val="008F16DB"/>
    <w:rsid w:val="008F171B"/>
    <w:rsid w:val="008F1954"/>
    <w:rsid w:val="008F19D8"/>
    <w:rsid w:val="008F1B6E"/>
    <w:rsid w:val="008F1BA6"/>
    <w:rsid w:val="008F1E01"/>
    <w:rsid w:val="008F1F93"/>
    <w:rsid w:val="008F1FCC"/>
    <w:rsid w:val="008F1FD2"/>
    <w:rsid w:val="008F2158"/>
    <w:rsid w:val="008F21F8"/>
    <w:rsid w:val="008F2416"/>
    <w:rsid w:val="008F2487"/>
    <w:rsid w:val="008F2590"/>
    <w:rsid w:val="008F2721"/>
    <w:rsid w:val="008F2734"/>
    <w:rsid w:val="008F281D"/>
    <w:rsid w:val="008F288B"/>
    <w:rsid w:val="008F295C"/>
    <w:rsid w:val="008F29A2"/>
    <w:rsid w:val="008F29B9"/>
    <w:rsid w:val="008F2A8C"/>
    <w:rsid w:val="008F2F92"/>
    <w:rsid w:val="008F304E"/>
    <w:rsid w:val="008F3052"/>
    <w:rsid w:val="008F30FB"/>
    <w:rsid w:val="008F3113"/>
    <w:rsid w:val="008F335A"/>
    <w:rsid w:val="008F3373"/>
    <w:rsid w:val="008F3380"/>
    <w:rsid w:val="008F347D"/>
    <w:rsid w:val="008F349D"/>
    <w:rsid w:val="008F34E9"/>
    <w:rsid w:val="008F364B"/>
    <w:rsid w:val="008F3748"/>
    <w:rsid w:val="008F37F1"/>
    <w:rsid w:val="008F3AC5"/>
    <w:rsid w:val="008F3B54"/>
    <w:rsid w:val="008F3B6B"/>
    <w:rsid w:val="008F3C72"/>
    <w:rsid w:val="008F3C89"/>
    <w:rsid w:val="008F3DAF"/>
    <w:rsid w:val="008F3EE3"/>
    <w:rsid w:val="008F3FAB"/>
    <w:rsid w:val="008F456D"/>
    <w:rsid w:val="008F45ED"/>
    <w:rsid w:val="008F469D"/>
    <w:rsid w:val="008F476D"/>
    <w:rsid w:val="008F49B1"/>
    <w:rsid w:val="008F4AF2"/>
    <w:rsid w:val="008F4BC1"/>
    <w:rsid w:val="008F4BCD"/>
    <w:rsid w:val="008F4CE0"/>
    <w:rsid w:val="008F4D96"/>
    <w:rsid w:val="008F4F17"/>
    <w:rsid w:val="008F50BA"/>
    <w:rsid w:val="008F50E3"/>
    <w:rsid w:val="008F5204"/>
    <w:rsid w:val="008F5243"/>
    <w:rsid w:val="008F531F"/>
    <w:rsid w:val="008F554E"/>
    <w:rsid w:val="008F558C"/>
    <w:rsid w:val="008F569D"/>
    <w:rsid w:val="008F5718"/>
    <w:rsid w:val="008F58F9"/>
    <w:rsid w:val="008F594E"/>
    <w:rsid w:val="008F5963"/>
    <w:rsid w:val="008F5B23"/>
    <w:rsid w:val="008F5CF8"/>
    <w:rsid w:val="008F5DB1"/>
    <w:rsid w:val="008F5E19"/>
    <w:rsid w:val="008F5FD8"/>
    <w:rsid w:val="008F6107"/>
    <w:rsid w:val="008F61AC"/>
    <w:rsid w:val="008F61CC"/>
    <w:rsid w:val="008F62C8"/>
    <w:rsid w:val="008F6367"/>
    <w:rsid w:val="008F6416"/>
    <w:rsid w:val="008F641C"/>
    <w:rsid w:val="008F64DB"/>
    <w:rsid w:val="008F6555"/>
    <w:rsid w:val="008F67A7"/>
    <w:rsid w:val="008F67AF"/>
    <w:rsid w:val="008F6840"/>
    <w:rsid w:val="008F6882"/>
    <w:rsid w:val="008F69BF"/>
    <w:rsid w:val="008F6A40"/>
    <w:rsid w:val="008F6A4D"/>
    <w:rsid w:val="008F6A80"/>
    <w:rsid w:val="008F6A90"/>
    <w:rsid w:val="008F6B23"/>
    <w:rsid w:val="008F6B57"/>
    <w:rsid w:val="008F6E09"/>
    <w:rsid w:val="008F706F"/>
    <w:rsid w:val="008F7104"/>
    <w:rsid w:val="008F72A2"/>
    <w:rsid w:val="008F7432"/>
    <w:rsid w:val="008F744A"/>
    <w:rsid w:val="008F74F1"/>
    <w:rsid w:val="008F766B"/>
    <w:rsid w:val="008F7670"/>
    <w:rsid w:val="008F7815"/>
    <w:rsid w:val="008F78AB"/>
    <w:rsid w:val="008F798A"/>
    <w:rsid w:val="008F7B80"/>
    <w:rsid w:val="008F7CE3"/>
    <w:rsid w:val="008F7CED"/>
    <w:rsid w:val="008F7D47"/>
    <w:rsid w:val="008F7D70"/>
    <w:rsid w:val="0090001D"/>
    <w:rsid w:val="009000B7"/>
    <w:rsid w:val="00900128"/>
    <w:rsid w:val="00900277"/>
    <w:rsid w:val="00900394"/>
    <w:rsid w:val="00900868"/>
    <w:rsid w:val="00900BCC"/>
    <w:rsid w:val="00900BDA"/>
    <w:rsid w:val="00900D81"/>
    <w:rsid w:val="00900E07"/>
    <w:rsid w:val="00900FA4"/>
    <w:rsid w:val="00900FF4"/>
    <w:rsid w:val="00901170"/>
    <w:rsid w:val="00901192"/>
    <w:rsid w:val="009013E0"/>
    <w:rsid w:val="009014C7"/>
    <w:rsid w:val="0090159E"/>
    <w:rsid w:val="009015C2"/>
    <w:rsid w:val="009015E7"/>
    <w:rsid w:val="0090161E"/>
    <w:rsid w:val="0090173B"/>
    <w:rsid w:val="0090177A"/>
    <w:rsid w:val="0090187C"/>
    <w:rsid w:val="00901931"/>
    <w:rsid w:val="00901B3F"/>
    <w:rsid w:val="00901C1A"/>
    <w:rsid w:val="00901D24"/>
    <w:rsid w:val="00901D9A"/>
    <w:rsid w:val="00901DE7"/>
    <w:rsid w:val="00901E49"/>
    <w:rsid w:val="00901F4B"/>
    <w:rsid w:val="00902157"/>
    <w:rsid w:val="0090227E"/>
    <w:rsid w:val="00902315"/>
    <w:rsid w:val="009023FF"/>
    <w:rsid w:val="00902414"/>
    <w:rsid w:val="00902497"/>
    <w:rsid w:val="0090262E"/>
    <w:rsid w:val="009026D9"/>
    <w:rsid w:val="0090298F"/>
    <w:rsid w:val="00902A50"/>
    <w:rsid w:val="00902C4D"/>
    <w:rsid w:val="00902D5B"/>
    <w:rsid w:val="00902D7A"/>
    <w:rsid w:val="00902D81"/>
    <w:rsid w:val="00902D90"/>
    <w:rsid w:val="00902E4E"/>
    <w:rsid w:val="00902EA6"/>
    <w:rsid w:val="00902EEB"/>
    <w:rsid w:val="00902F11"/>
    <w:rsid w:val="00902F97"/>
    <w:rsid w:val="00903029"/>
    <w:rsid w:val="00903320"/>
    <w:rsid w:val="0090335B"/>
    <w:rsid w:val="00903442"/>
    <w:rsid w:val="009035D9"/>
    <w:rsid w:val="009035F7"/>
    <w:rsid w:val="009036CD"/>
    <w:rsid w:val="0090370D"/>
    <w:rsid w:val="009037F5"/>
    <w:rsid w:val="0090397A"/>
    <w:rsid w:val="00903A99"/>
    <w:rsid w:val="00903C24"/>
    <w:rsid w:val="00903C7D"/>
    <w:rsid w:val="00903CA9"/>
    <w:rsid w:val="00903D44"/>
    <w:rsid w:val="00903DD8"/>
    <w:rsid w:val="00903E46"/>
    <w:rsid w:val="00903E86"/>
    <w:rsid w:val="00903E96"/>
    <w:rsid w:val="00903ECC"/>
    <w:rsid w:val="00903EF2"/>
    <w:rsid w:val="009041C6"/>
    <w:rsid w:val="00904632"/>
    <w:rsid w:val="0090463B"/>
    <w:rsid w:val="009047CD"/>
    <w:rsid w:val="009048DC"/>
    <w:rsid w:val="009049BF"/>
    <w:rsid w:val="00904C65"/>
    <w:rsid w:val="00904CEB"/>
    <w:rsid w:val="00904EE5"/>
    <w:rsid w:val="00904FDC"/>
    <w:rsid w:val="00905048"/>
    <w:rsid w:val="00905064"/>
    <w:rsid w:val="00905096"/>
    <w:rsid w:val="009051F5"/>
    <w:rsid w:val="00905437"/>
    <w:rsid w:val="0090559A"/>
    <w:rsid w:val="00905E97"/>
    <w:rsid w:val="00905F32"/>
    <w:rsid w:val="00905F9E"/>
    <w:rsid w:val="00905FF0"/>
    <w:rsid w:val="00906028"/>
    <w:rsid w:val="009060E8"/>
    <w:rsid w:val="009062C0"/>
    <w:rsid w:val="009064E2"/>
    <w:rsid w:val="0090656D"/>
    <w:rsid w:val="00906582"/>
    <w:rsid w:val="00906779"/>
    <w:rsid w:val="00906852"/>
    <w:rsid w:val="0090691D"/>
    <w:rsid w:val="00906A3E"/>
    <w:rsid w:val="00906A65"/>
    <w:rsid w:val="00906BA7"/>
    <w:rsid w:val="00906CB9"/>
    <w:rsid w:val="00906DE6"/>
    <w:rsid w:val="00906EE7"/>
    <w:rsid w:val="00907002"/>
    <w:rsid w:val="0090703B"/>
    <w:rsid w:val="009070B6"/>
    <w:rsid w:val="009070E1"/>
    <w:rsid w:val="0090715F"/>
    <w:rsid w:val="0090778A"/>
    <w:rsid w:val="00907858"/>
    <w:rsid w:val="009078EC"/>
    <w:rsid w:val="00907B20"/>
    <w:rsid w:val="00907B23"/>
    <w:rsid w:val="00907DB8"/>
    <w:rsid w:val="00907DFA"/>
    <w:rsid w:val="00907E93"/>
    <w:rsid w:val="00907F07"/>
    <w:rsid w:val="00910116"/>
    <w:rsid w:val="009101C3"/>
    <w:rsid w:val="00910393"/>
    <w:rsid w:val="009103FD"/>
    <w:rsid w:val="00910420"/>
    <w:rsid w:val="00910437"/>
    <w:rsid w:val="009109A0"/>
    <w:rsid w:val="00910A05"/>
    <w:rsid w:val="00910C3E"/>
    <w:rsid w:val="00910CA3"/>
    <w:rsid w:val="00910CFB"/>
    <w:rsid w:val="00910E58"/>
    <w:rsid w:val="00911015"/>
    <w:rsid w:val="0091107D"/>
    <w:rsid w:val="00911110"/>
    <w:rsid w:val="00911464"/>
    <w:rsid w:val="0091194E"/>
    <w:rsid w:val="00911A1A"/>
    <w:rsid w:val="00911CEF"/>
    <w:rsid w:val="00911DC4"/>
    <w:rsid w:val="00911EDD"/>
    <w:rsid w:val="00911F5D"/>
    <w:rsid w:val="00911FB2"/>
    <w:rsid w:val="009120C4"/>
    <w:rsid w:val="009120F1"/>
    <w:rsid w:val="009123C6"/>
    <w:rsid w:val="0091249F"/>
    <w:rsid w:val="0091257A"/>
    <w:rsid w:val="009127F3"/>
    <w:rsid w:val="00912925"/>
    <w:rsid w:val="009129FC"/>
    <w:rsid w:val="00912DCA"/>
    <w:rsid w:val="00912E6E"/>
    <w:rsid w:val="009130F0"/>
    <w:rsid w:val="00913175"/>
    <w:rsid w:val="009131BE"/>
    <w:rsid w:val="0091340C"/>
    <w:rsid w:val="00913427"/>
    <w:rsid w:val="0091365F"/>
    <w:rsid w:val="00913A04"/>
    <w:rsid w:val="00913AA4"/>
    <w:rsid w:val="00913B81"/>
    <w:rsid w:val="00913C7B"/>
    <w:rsid w:val="00913D89"/>
    <w:rsid w:val="00913F3A"/>
    <w:rsid w:val="0091403B"/>
    <w:rsid w:val="00914070"/>
    <w:rsid w:val="0091416F"/>
    <w:rsid w:val="0091426C"/>
    <w:rsid w:val="00914552"/>
    <w:rsid w:val="009146A5"/>
    <w:rsid w:val="00914729"/>
    <w:rsid w:val="00914763"/>
    <w:rsid w:val="00914780"/>
    <w:rsid w:val="009147E2"/>
    <w:rsid w:val="009147E6"/>
    <w:rsid w:val="00914860"/>
    <w:rsid w:val="00914907"/>
    <w:rsid w:val="00914A99"/>
    <w:rsid w:val="00914AC9"/>
    <w:rsid w:val="00914B98"/>
    <w:rsid w:val="00914BFA"/>
    <w:rsid w:val="00914EAB"/>
    <w:rsid w:val="00914EB8"/>
    <w:rsid w:val="00914ECF"/>
    <w:rsid w:val="00914F76"/>
    <w:rsid w:val="00914FA6"/>
    <w:rsid w:val="0091501C"/>
    <w:rsid w:val="0091506F"/>
    <w:rsid w:val="0091507C"/>
    <w:rsid w:val="00915134"/>
    <w:rsid w:val="00915357"/>
    <w:rsid w:val="009153B0"/>
    <w:rsid w:val="00915571"/>
    <w:rsid w:val="00915653"/>
    <w:rsid w:val="009156DE"/>
    <w:rsid w:val="0091573C"/>
    <w:rsid w:val="009157E6"/>
    <w:rsid w:val="00915828"/>
    <w:rsid w:val="00915A26"/>
    <w:rsid w:val="00915B37"/>
    <w:rsid w:val="00915BAE"/>
    <w:rsid w:val="00915CD7"/>
    <w:rsid w:val="00915E43"/>
    <w:rsid w:val="00915E9F"/>
    <w:rsid w:val="00916238"/>
    <w:rsid w:val="00916317"/>
    <w:rsid w:val="00916373"/>
    <w:rsid w:val="009163FE"/>
    <w:rsid w:val="0091640C"/>
    <w:rsid w:val="00916639"/>
    <w:rsid w:val="009166D1"/>
    <w:rsid w:val="009167A2"/>
    <w:rsid w:val="0091688F"/>
    <w:rsid w:val="00916907"/>
    <w:rsid w:val="009169E9"/>
    <w:rsid w:val="00916A08"/>
    <w:rsid w:val="00916A4E"/>
    <w:rsid w:val="00916B79"/>
    <w:rsid w:val="00916B8B"/>
    <w:rsid w:val="00916BEE"/>
    <w:rsid w:val="00916D5C"/>
    <w:rsid w:val="00916DA7"/>
    <w:rsid w:val="00916DC1"/>
    <w:rsid w:val="00917140"/>
    <w:rsid w:val="009172C4"/>
    <w:rsid w:val="009174E3"/>
    <w:rsid w:val="0091754B"/>
    <w:rsid w:val="009175D4"/>
    <w:rsid w:val="0091762F"/>
    <w:rsid w:val="009176A8"/>
    <w:rsid w:val="00917758"/>
    <w:rsid w:val="0091784C"/>
    <w:rsid w:val="009178EE"/>
    <w:rsid w:val="009178FA"/>
    <w:rsid w:val="00917A2B"/>
    <w:rsid w:val="00917A3C"/>
    <w:rsid w:val="00917C23"/>
    <w:rsid w:val="00917CAA"/>
    <w:rsid w:val="00917D8D"/>
    <w:rsid w:val="00920096"/>
    <w:rsid w:val="009200BD"/>
    <w:rsid w:val="00920134"/>
    <w:rsid w:val="009204A7"/>
    <w:rsid w:val="00920664"/>
    <w:rsid w:val="00920789"/>
    <w:rsid w:val="00920803"/>
    <w:rsid w:val="009209E3"/>
    <w:rsid w:val="00920A14"/>
    <w:rsid w:val="00920ACA"/>
    <w:rsid w:val="00920B21"/>
    <w:rsid w:val="00920D88"/>
    <w:rsid w:val="00920E15"/>
    <w:rsid w:val="00920F41"/>
    <w:rsid w:val="009210E8"/>
    <w:rsid w:val="00921138"/>
    <w:rsid w:val="009211C4"/>
    <w:rsid w:val="0092145E"/>
    <w:rsid w:val="00921580"/>
    <w:rsid w:val="00921662"/>
    <w:rsid w:val="00921902"/>
    <w:rsid w:val="00921937"/>
    <w:rsid w:val="009219C1"/>
    <w:rsid w:val="00921A71"/>
    <w:rsid w:val="00921AC2"/>
    <w:rsid w:val="00921AFE"/>
    <w:rsid w:val="00921C4A"/>
    <w:rsid w:val="00921DFA"/>
    <w:rsid w:val="00921EC7"/>
    <w:rsid w:val="009221D2"/>
    <w:rsid w:val="009224EE"/>
    <w:rsid w:val="00922541"/>
    <w:rsid w:val="0092263F"/>
    <w:rsid w:val="00922642"/>
    <w:rsid w:val="0092264A"/>
    <w:rsid w:val="0092275F"/>
    <w:rsid w:val="00922788"/>
    <w:rsid w:val="009227DB"/>
    <w:rsid w:val="0092287E"/>
    <w:rsid w:val="00922AA5"/>
    <w:rsid w:val="00922D70"/>
    <w:rsid w:val="00922E41"/>
    <w:rsid w:val="00922EA1"/>
    <w:rsid w:val="00922EB7"/>
    <w:rsid w:val="009230EE"/>
    <w:rsid w:val="0092338F"/>
    <w:rsid w:val="009236AE"/>
    <w:rsid w:val="009236FD"/>
    <w:rsid w:val="009238B9"/>
    <w:rsid w:val="00923A09"/>
    <w:rsid w:val="00923C1A"/>
    <w:rsid w:val="00923C27"/>
    <w:rsid w:val="00923C30"/>
    <w:rsid w:val="00923D8D"/>
    <w:rsid w:val="00923DFC"/>
    <w:rsid w:val="00923E19"/>
    <w:rsid w:val="00924076"/>
    <w:rsid w:val="009241D0"/>
    <w:rsid w:val="009241E0"/>
    <w:rsid w:val="00924321"/>
    <w:rsid w:val="0092432D"/>
    <w:rsid w:val="009243B2"/>
    <w:rsid w:val="009244DF"/>
    <w:rsid w:val="0092467A"/>
    <w:rsid w:val="0092475D"/>
    <w:rsid w:val="009248EA"/>
    <w:rsid w:val="00924964"/>
    <w:rsid w:val="00924D05"/>
    <w:rsid w:val="00924E57"/>
    <w:rsid w:val="00924E6B"/>
    <w:rsid w:val="009252CE"/>
    <w:rsid w:val="00925417"/>
    <w:rsid w:val="0092541D"/>
    <w:rsid w:val="009254AD"/>
    <w:rsid w:val="0092567E"/>
    <w:rsid w:val="009256A5"/>
    <w:rsid w:val="009257C6"/>
    <w:rsid w:val="009257EB"/>
    <w:rsid w:val="00925960"/>
    <w:rsid w:val="00925984"/>
    <w:rsid w:val="00925AAE"/>
    <w:rsid w:val="00925B11"/>
    <w:rsid w:val="00925B2C"/>
    <w:rsid w:val="00925CAC"/>
    <w:rsid w:val="00925CB5"/>
    <w:rsid w:val="00925D74"/>
    <w:rsid w:val="00925DA7"/>
    <w:rsid w:val="00925E0B"/>
    <w:rsid w:val="00925EB9"/>
    <w:rsid w:val="00925EBE"/>
    <w:rsid w:val="00925EEF"/>
    <w:rsid w:val="00925FF8"/>
    <w:rsid w:val="00926167"/>
    <w:rsid w:val="0092618C"/>
    <w:rsid w:val="009261E6"/>
    <w:rsid w:val="009262E2"/>
    <w:rsid w:val="00926401"/>
    <w:rsid w:val="009265D8"/>
    <w:rsid w:val="00926817"/>
    <w:rsid w:val="0092681A"/>
    <w:rsid w:val="009268A9"/>
    <w:rsid w:val="00926965"/>
    <w:rsid w:val="00926AD5"/>
    <w:rsid w:val="00926BB3"/>
    <w:rsid w:val="00926CBA"/>
    <w:rsid w:val="00926D08"/>
    <w:rsid w:val="00926D90"/>
    <w:rsid w:val="00926E39"/>
    <w:rsid w:val="009274B8"/>
    <w:rsid w:val="009274E6"/>
    <w:rsid w:val="00927599"/>
    <w:rsid w:val="00927812"/>
    <w:rsid w:val="0092781D"/>
    <w:rsid w:val="00927843"/>
    <w:rsid w:val="009279B6"/>
    <w:rsid w:val="009279BE"/>
    <w:rsid w:val="00927E52"/>
    <w:rsid w:val="00927FC8"/>
    <w:rsid w:val="0093014A"/>
    <w:rsid w:val="00930185"/>
    <w:rsid w:val="009301F8"/>
    <w:rsid w:val="009302DB"/>
    <w:rsid w:val="0093064C"/>
    <w:rsid w:val="0093072A"/>
    <w:rsid w:val="00930AB2"/>
    <w:rsid w:val="00930B78"/>
    <w:rsid w:val="00930CF7"/>
    <w:rsid w:val="00930E42"/>
    <w:rsid w:val="00930EB4"/>
    <w:rsid w:val="00930F7F"/>
    <w:rsid w:val="00930FA1"/>
    <w:rsid w:val="00930FC3"/>
    <w:rsid w:val="009311FF"/>
    <w:rsid w:val="00931268"/>
    <w:rsid w:val="009312BD"/>
    <w:rsid w:val="009312E0"/>
    <w:rsid w:val="0093135B"/>
    <w:rsid w:val="00931504"/>
    <w:rsid w:val="009316B5"/>
    <w:rsid w:val="0093177B"/>
    <w:rsid w:val="009317C9"/>
    <w:rsid w:val="00931B04"/>
    <w:rsid w:val="00931BF7"/>
    <w:rsid w:val="00931C73"/>
    <w:rsid w:val="00931DC1"/>
    <w:rsid w:val="00931FF8"/>
    <w:rsid w:val="0093200A"/>
    <w:rsid w:val="0093201C"/>
    <w:rsid w:val="0093208F"/>
    <w:rsid w:val="0093216B"/>
    <w:rsid w:val="009321DF"/>
    <w:rsid w:val="00932218"/>
    <w:rsid w:val="0093224F"/>
    <w:rsid w:val="009322F6"/>
    <w:rsid w:val="009323A8"/>
    <w:rsid w:val="00932549"/>
    <w:rsid w:val="0093257A"/>
    <w:rsid w:val="009325EB"/>
    <w:rsid w:val="00932608"/>
    <w:rsid w:val="0093267E"/>
    <w:rsid w:val="00932921"/>
    <w:rsid w:val="0093296D"/>
    <w:rsid w:val="00932B37"/>
    <w:rsid w:val="00932B44"/>
    <w:rsid w:val="00932C81"/>
    <w:rsid w:val="00932D1C"/>
    <w:rsid w:val="00932EEF"/>
    <w:rsid w:val="00932FEA"/>
    <w:rsid w:val="00933224"/>
    <w:rsid w:val="009332E4"/>
    <w:rsid w:val="0093336F"/>
    <w:rsid w:val="00933380"/>
    <w:rsid w:val="00933592"/>
    <w:rsid w:val="00933660"/>
    <w:rsid w:val="00933841"/>
    <w:rsid w:val="00933846"/>
    <w:rsid w:val="009338AD"/>
    <w:rsid w:val="009338F9"/>
    <w:rsid w:val="00933B12"/>
    <w:rsid w:val="00933B2F"/>
    <w:rsid w:val="00933B77"/>
    <w:rsid w:val="00933CA2"/>
    <w:rsid w:val="00933D2F"/>
    <w:rsid w:val="0093417A"/>
    <w:rsid w:val="00934260"/>
    <w:rsid w:val="00934283"/>
    <w:rsid w:val="0093435D"/>
    <w:rsid w:val="00934364"/>
    <w:rsid w:val="009343B2"/>
    <w:rsid w:val="009343D5"/>
    <w:rsid w:val="0093445F"/>
    <w:rsid w:val="009345E3"/>
    <w:rsid w:val="00934757"/>
    <w:rsid w:val="00934A69"/>
    <w:rsid w:val="00934BB5"/>
    <w:rsid w:val="00934BDC"/>
    <w:rsid w:val="00934C22"/>
    <w:rsid w:val="00934C5D"/>
    <w:rsid w:val="00934E0B"/>
    <w:rsid w:val="00934E2C"/>
    <w:rsid w:val="00934EB4"/>
    <w:rsid w:val="00934FB6"/>
    <w:rsid w:val="0093515B"/>
    <w:rsid w:val="0093516F"/>
    <w:rsid w:val="009351E2"/>
    <w:rsid w:val="00935244"/>
    <w:rsid w:val="009352B0"/>
    <w:rsid w:val="009352B2"/>
    <w:rsid w:val="009352E4"/>
    <w:rsid w:val="009353A9"/>
    <w:rsid w:val="00935410"/>
    <w:rsid w:val="00935414"/>
    <w:rsid w:val="00935482"/>
    <w:rsid w:val="00935650"/>
    <w:rsid w:val="009356F7"/>
    <w:rsid w:val="009357A7"/>
    <w:rsid w:val="00935831"/>
    <w:rsid w:val="0093591B"/>
    <w:rsid w:val="009359F5"/>
    <w:rsid w:val="00935AB8"/>
    <w:rsid w:val="00935B2D"/>
    <w:rsid w:val="00935CD0"/>
    <w:rsid w:val="00935FD2"/>
    <w:rsid w:val="00936089"/>
    <w:rsid w:val="009360A0"/>
    <w:rsid w:val="009361F9"/>
    <w:rsid w:val="0093627E"/>
    <w:rsid w:val="00936329"/>
    <w:rsid w:val="0093640C"/>
    <w:rsid w:val="009365B6"/>
    <w:rsid w:val="0093660C"/>
    <w:rsid w:val="00936678"/>
    <w:rsid w:val="00936747"/>
    <w:rsid w:val="00936824"/>
    <w:rsid w:val="0093687B"/>
    <w:rsid w:val="009368D6"/>
    <w:rsid w:val="009369DA"/>
    <w:rsid w:val="00936AB1"/>
    <w:rsid w:val="00936C3D"/>
    <w:rsid w:val="00936C79"/>
    <w:rsid w:val="00936CAE"/>
    <w:rsid w:val="00936F23"/>
    <w:rsid w:val="00937030"/>
    <w:rsid w:val="00937122"/>
    <w:rsid w:val="00937249"/>
    <w:rsid w:val="009372CF"/>
    <w:rsid w:val="009372F5"/>
    <w:rsid w:val="0093730E"/>
    <w:rsid w:val="00937336"/>
    <w:rsid w:val="009374CF"/>
    <w:rsid w:val="00937583"/>
    <w:rsid w:val="009376B6"/>
    <w:rsid w:val="00937705"/>
    <w:rsid w:val="009377D0"/>
    <w:rsid w:val="00937831"/>
    <w:rsid w:val="0093785F"/>
    <w:rsid w:val="00937897"/>
    <w:rsid w:val="009378C0"/>
    <w:rsid w:val="009378C5"/>
    <w:rsid w:val="00937AB6"/>
    <w:rsid w:val="00937B21"/>
    <w:rsid w:val="00937B3A"/>
    <w:rsid w:val="00937C2C"/>
    <w:rsid w:val="00937D84"/>
    <w:rsid w:val="00937E1E"/>
    <w:rsid w:val="00937F39"/>
    <w:rsid w:val="009402A8"/>
    <w:rsid w:val="009402BF"/>
    <w:rsid w:val="009403A5"/>
    <w:rsid w:val="00940455"/>
    <w:rsid w:val="0094047C"/>
    <w:rsid w:val="009404CE"/>
    <w:rsid w:val="009406D0"/>
    <w:rsid w:val="00940917"/>
    <w:rsid w:val="00940964"/>
    <w:rsid w:val="00940D3E"/>
    <w:rsid w:val="00940F34"/>
    <w:rsid w:val="00941161"/>
    <w:rsid w:val="00941204"/>
    <w:rsid w:val="00941539"/>
    <w:rsid w:val="0094157F"/>
    <w:rsid w:val="00941648"/>
    <w:rsid w:val="009417A8"/>
    <w:rsid w:val="00941838"/>
    <w:rsid w:val="00941B01"/>
    <w:rsid w:val="00941B7C"/>
    <w:rsid w:val="00941BCE"/>
    <w:rsid w:val="00941CF9"/>
    <w:rsid w:val="00941D1A"/>
    <w:rsid w:val="00941E61"/>
    <w:rsid w:val="00941E74"/>
    <w:rsid w:val="00941EF8"/>
    <w:rsid w:val="00941EFA"/>
    <w:rsid w:val="00941F0B"/>
    <w:rsid w:val="00941FB2"/>
    <w:rsid w:val="00942059"/>
    <w:rsid w:val="009422D1"/>
    <w:rsid w:val="00942353"/>
    <w:rsid w:val="00942467"/>
    <w:rsid w:val="00942573"/>
    <w:rsid w:val="0094258D"/>
    <w:rsid w:val="00942591"/>
    <w:rsid w:val="00942687"/>
    <w:rsid w:val="00942811"/>
    <w:rsid w:val="0094297A"/>
    <w:rsid w:val="00942A86"/>
    <w:rsid w:val="00942F00"/>
    <w:rsid w:val="00942F16"/>
    <w:rsid w:val="00942F88"/>
    <w:rsid w:val="0094300A"/>
    <w:rsid w:val="00943109"/>
    <w:rsid w:val="00943136"/>
    <w:rsid w:val="00943169"/>
    <w:rsid w:val="009432C2"/>
    <w:rsid w:val="009432D7"/>
    <w:rsid w:val="009433A0"/>
    <w:rsid w:val="00943460"/>
    <w:rsid w:val="00943465"/>
    <w:rsid w:val="00943764"/>
    <w:rsid w:val="0094379D"/>
    <w:rsid w:val="009438A5"/>
    <w:rsid w:val="009438E1"/>
    <w:rsid w:val="0094397A"/>
    <w:rsid w:val="00943ABB"/>
    <w:rsid w:val="00943ADF"/>
    <w:rsid w:val="00943F90"/>
    <w:rsid w:val="00943FC0"/>
    <w:rsid w:val="00944125"/>
    <w:rsid w:val="009441A9"/>
    <w:rsid w:val="00944218"/>
    <w:rsid w:val="00944240"/>
    <w:rsid w:val="00944255"/>
    <w:rsid w:val="00944333"/>
    <w:rsid w:val="009444E1"/>
    <w:rsid w:val="00944516"/>
    <w:rsid w:val="00944523"/>
    <w:rsid w:val="00944531"/>
    <w:rsid w:val="0094453E"/>
    <w:rsid w:val="00944893"/>
    <w:rsid w:val="00944BB0"/>
    <w:rsid w:val="00944C5D"/>
    <w:rsid w:val="00944D98"/>
    <w:rsid w:val="00944DE1"/>
    <w:rsid w:val="00944E9C"/>
    <w:rsid w:val="00944F93"/>
    <w:rsid w:val="0094500C"/>
    <w:rsid w:val="009453FF"/>
    <w:rsid w:val="00945514"/>
    <w:rsid w:val="0094551D"/>
    <w:rsid w:val="009455DB"/>
    <w:rsid w:val="00945683"/>
    <w:rsid w:val="0094585D"/>
    <w:rsid w:val="009458AD"/>
    <w:rsid w:val="00945A15"/>
    <w:rsid w:val="00945ADB"/>
    <w:rsid w:val="00945BE9"/>
    <w:rsid w:val="00945C1B"/>
    <w:rsid w:val="00945C67"/>
    <w:rsid w:val="00945DF7"/>
    <w:rsid w:val="00945EDD"/>
    <w:rsid w:val="00946073"/>
    <w:rsid w:val="0094608E"/>
    <w:rsid w:val="009461F4"/>
    <w:rsid w:val="0094621C"/>
    <w:rsid w:val="00946292"/>
    <w:rsid w:val="009462C0"/>
    <w:rsid w:val="00946416"/>
    <w:rsid w:val="009465AF"/>
    <w:rsid w:val="00946610"/>
    <w:rsid w:val="00946611"/>
    <w:rsid w:val="00946666"/>
    <w:rsid w:val="0094684F"/>
    <w:rsid w:val="009468C7"/>
    <w:rsid w:val="00946912"/>
    <w:rsid w:val="009469BC"/>
    <w:rsid w:val="00946AFC"/>
    <w:rsid w:val="00946C03"/>
    <w:rsid w:val="00946DAC"/>
    <w:rsid w:val="00946DD8"/>
    <w:rsid w:val="00946E8F"/>
    <w:rsid w:val="00946F29"/>
    <w:rsid w:val="00946F88"/>
    <w:rsid w:val="00946FB4"/>
    <w:rsid w:val="00947015"/>
    <w:rsid w:val="009471EC"/>
    <w:rsid w:val="00947350"/>
    <w:rsid w:val="00947361"/>
    <w:rsid w:val="00947363"/>
    <w:rsid w:val="0094737F"/>
    <w:rsid w:val="00947512"/>
    <w:rsid w:val="0094757A"/>
    <w:rsid w:val="009475EB"/>
    <w:rsid w:val="0094768C"/>
    <w:rsid w:val="00947767"/>
    <w:rsid w:val="0094798A"/>
    <w:rsid w:val="00947A02"/>
    <w:rsid w:val="00947A60"/>
    <w:rsid w:val="00947A8D"/>
    <w:rsid w:val="00947B4A"/>
    <w:rsid w:val="00947F2F"/>
    <w:rsid w:val="009500D6"/>
    <w:rsid w:val="00950254"/>
    <w:rsid w:val="00950358"/>
    <w:rsid w:val="00950671"/>
    <w:rsid w:val="009507D5"/>
    <w:rsid w:val="00950A79"/>
    <w:rsid w:val="00950A8C"/>
    <w:rsid w:val="00950B5E"/>
    <w:rsid w:val="00950C9C"/>
    <w:rsid w:val="00950CA1"/>
    <w:rsid w:val="00950F3D"/>
    <w:rsid w:val="00951023"/>
    <w:rsid w:val="0095103D"/>
    <w:rsid w:val="009510C6"/>
    <w:rsid w:val="009510C9"/>
    <w:rsid w:val="00951280"/>
    <w:rsid w:val="009513B0"/>
    <w:rsid w:val="009515CE"/>
    <w:rsid w:val="009515E7"/>
    <w:rsid w:val="00951721"/>
    <w:rsid w:val="009517E2"/>
    <w:rsid w:val="009518B2"/>
    <w:rsid w:val="00951AE6"/>
    <w:rsid w:val="00951B98"/>
    <w:rsid w:val="00951CD2"/>
    <w:rsid w:val="00951E92"/>
    <w:rsid w:val="00951F9E"/>
    <w:rsid w:val="009520A1"/>
    <w:rsid w:val="0095230F"/>
    <w:rsid w:val="00952346"/>
    <w:rsid w:val="009524BC"/>
    <w:rsid w:val="00952596"/>
    <w:rsid w:val="009525C1"/>
    <w:rsid w:val="00952646"/>
    <w:rsid w:val="009526A2"/>
    <w:rsid w:val="009527D9"/>
    <w:rsid w:val="00952850"/>
    <w:rsid w:val="0095290D"/>
    <w:rsid w:val="00952A77"/>
    <w:rsid w:val="00952AB0"/>
    <w:rsid w:val="00952C05"/>
    <w:rsid w:val="00952EBC"/>
    <w:rsid w:val="00952F39"/>
    <w:rsid w:val="0095307F"/>
    <w:rsid w:val="009531A7"/>
    <w:rsid w:val="00953319"/>
    <w:rsid w:val="00953378"/>
    <w:rsid w:val="00953428"/>
    <w:rsid w:val="009534C8"/>
    <w:rsid w:val="00953527"/>
    <w:rsid w:val="00953818"/>
    <w:rsid w:val="0095386E"/>
    <w:rsid w:val="00953BC3"/>
    <w:rsid w:val="00953C72"/>
    <w:rsid w:val="00953CE2"/>
    <w:rsid w:val="00953CE8"/>
    <w:rsid w:val="00953D2D"/>
    <w:rsid w:val="00953F8B"/>
    <w:rsid w:val="009541B7"/>
    <w:rsid w:val="0095434B"/>
    <w:rsid w:val="00954375"/>
    <w:rsid w:val="009543F5"/>
    <w:rsid w:val="009543F8"/>
    <w:rsid w:val="0095452B"/>
    <w:rsid w:val="009545AE"/>
    <w:rsid w:val="00954609"/>
    <w:rsid w:val="00954612"/>
    <w:rsid w:val="009549A9"/>
    <w:rsid w:val="00954A78"/>
    <w:rsid w:val="00954A8F"/>
    <w:rsid w:val="00954C52"/>
    <w:rsid w:val="00954C58"/>
    <w:rsid w:val="00954C84"/>
    <w:rsid w:val="00954DC9"/>
    <w:rsid w:val="00954F7F"/>
    <w:rsid w:val="00955079"/>
    <w:rsid w:val="009550CD"/>
    <w:rsid w:val="009550E0"/>
    <w:rsid w:val="00955193"/>
    <w:rsid w:val="009551A3"/>
    <w:rsid w:val="00955391"/>
    <w:rsid w:val="009555B6"/>
    <w:rsid w:val="009555E4"/>
    <w:rsid w:val="009555F8"/>
    <w:rsid w:val="009557D2"/>
    <w:rsid w:val="0095594F"/>
    <w:rsid w:val="009559C2"/>
    <w:rsid w:val="00955A57"/>
    <w:rsid w:val="00955B48"/>
    <w:rsid w:val="00955C0D"/>
    <w:rsid w:val="00955C65"/>
    <w:rsid w:val="00955DFA"/>
    <w:rsid w:val="00955E94"/>
    <w:rsid w:val="0095603B"/>
    <w:rsid w:val="00956127"/>
    <w:rsid w:val="00956310"/>
    <w:rsid w:val="0095647B"/>
    <w:rsid w:val="009565F3"/>
    <w:rsid w:val="00956678"/>
    <w:rsid w:val="00956997"/>
    <w:rsid w:val="00956B45"/>
    <w:rsid w:val="00956BA9"/>
    <w:rsid w:val="00956D02"/>
    <w:rsid w:val="00956EDF"/>
    <w:rsid w:val="00956F89"/>
    <w:rsid w:val="0095707E"/>
    <w:rsid w:val="00957269"/>
    <w:rsid w:val="00957312"/>
    <w:rsid w:val="0095750F"/>
    <w:rsid w:val="00957562"/>
    <w:rsid w:val="009575A1"/>
    <w:rsid w:val="009575C4"/>
    <w:rsid w:val="009575C6"/>
    <w:rsid w:val="00957688"/>
    <w:rsid w:val="009576C2"/>
    <w:rsid w:val="009577A9"/>
    <w:rsid w:val="009579E4"/>
    <w:rsid w:val="00957B58"/>
    <w:rsid w:val="00957D63"/>
    <w:rsid w:val="00957DA7"/>
    <w:rsid w:val="00957E23"/>
    <w:rsid w:val="00957EA0"/>
    <w:rsid w:val="00960182"/>
    <w:rsid w:val="009603E7"/>
    <w:rsid w:val="0096061C"/>
    <w:rsid w:val="009606BD"/>
    <w:rsid w:val="009607CD"/>
    <w:rsid w:val="009609F6"/>
    <w:rsid w:val="00960AF3"/>
    <w:rsid w:val="00960C06"/>
    <w:rsid w:val="00960D7B"/>
    <w:rsid w:val="00960E7A"/>
    <w:rsid w:val="0096108B"/>
    <w:rsid w:val="00961172"/>
    <w:rsid w:val="00961236"/>
    <w:rsid w:val="00961439"/>
    <w:rsid w:val="009614CE"/>
    <w:rsid w:val="00961503"/>
    <w:rsid w:val="0096155D"/>
    <w:rsid w:val="0096168F"/>
    <w:rsid w:val="00961ACF"/>
    <w:rsid w:val="00961B43"/>
    <w:rsid w:val="00961B9E"/>
    <w:rsid w:val="00961C75"/>
    <w:rsid w:val="00961EFA"/>
    <w:rsid w:val="00961F93"/>
    <w:rsid w:val="00961FEB"/>
    <w:rsid w:val="0096205C"/>
    <w:rsid w:val="00962099"/>
    <w:rsid w:val="009620FC"/>
    <w:rsid w:val="00962117"/>
    <w:rsid w:val="00962270"/>
    <w:rsid w:val="009623E4"/>
    <w:rsid w:val="00962443"/>
    <w:rsid w:val="0096279B"/>
    <w:rsid w:val="0096289F"/>
    <w:rsid w:val="009628F4"/>
    <w:rsid w:val="009629BC"/>
    <w:rsid w:val="009629C6"/>
    <w:rsid w:val="00962A60"/>
    <w:rsid w:val="00962AC7"/>
    <w:rsid w:val="00962BD8"/>
    <w:rsid w:val="00962C95"/>
    <w:rsid w:val="00962D44"/>
    <w:rsid w:val="00962DA2"/>
    <w:rsid w:val="00962DD0"/>
    <w:rsid w:val="00962E06"/>
    <w:rsid w:val="00962F3E"/>
    <w:rsid w:val="00962F98"/>
    <w:rsid w:val="00963328"/>
    <w:rsid w:val="00963329"/>
    <w:rsid w:val="0096332D"/>
    <w:rsid w:val="00963342"/>
    <w:rsid w:val="00963499"/>
    <w:rsid w:val="00963731"/>
    <w:rsid w:val="0096374C"/>
    <w:rsid w:val="00963847"/>
    <w:rsid w:val="00963A84"/>
    <w:rsid w:val="00963B70"/>
    <w:rsid w:val="00963D86"/>
    <w:rsid w:val="00963DC5"/>
    <w:rsid w:val="00963F5E"/>
    <w:rsid w:val="00963F7B"/>
    <w:rsid w:val="00963F8E"/>
    <w:rsid w:val="00964016"/>
    <w:rsid w:val="0096414B"/>
    <w:rsid w:val="00964156"/>
    <w:rsid w:val="009641EE"/>
    <w:rsid w:val="00964258"/>
    <w:rsid w:val="0096433D"/>
    <w:rsid w:val="009643A2"/>
    <w:rsid w:val="009648F8"/>
    <w:rsid w:val="0096495C"/>
    <w:rsid w:val="00964A36"/>
    <w:rsid w:val="00964A47"/>
    <w:rsid w:val="00964D66"/>
    <w:rsid w:val="00965104"/>
    <w:rsid w:val="009651C5"/>
    <w:rsid w:val="00965641"/>
    <w:rsid w:val="0096580F"/>
    <w:rsid w:val="00965863"/>
    <w:rsid w:val="0096593A"/>
    <w:rsid w:val="00965A12"/>
    <w:rsid w:val="00965A26"/>
    <w:rsid w:val="00965A33"/>
    <w:rsid w:val="00965D52"/>
    <w:rsid w:val="00965E20"/>
    <w:rsid w:val="0096601C"/>
    <w:rsid w:val="009660E4"/>
    <w:rsid w:val="00966359"/>
    <w:rsid w:val="0096646C"/>
    <w:rsid w:val="00966490"/>
    <w:rsid w:val="00966ABD"/>
    <w:rsid w:val="00966B2C"/>
    <w:rsid w:val="00966C2B"/>
    <w:rsid w:val="00966DC5"/>
    <w:rsid w:val="00966DF3"/>
    <w:rsid w:val="00966ED4"/>
    <w:rsid w:val="00966EE5"/>
    <w:rsid w:val="00966F76"/>
    <w:rsid w:val="00967330"/>
    <w:rsid w:val="009674D3"/>
    <w:rsid w:val="009675E9"/>
    <w:rsid w:val="009678D1"/>
    <w:rsid w:val="00967B48"/>
    <w:rsid w:val="00967B53"/>
    <w:rsid w:val="00967C44"/>
    <w:rsid w:val="00967CD4"/>
    <w:rsid w:val="009700F3"/>
    <w:rsid w:val="0097011B"/>
    <w:rsid w:val="00970360"/>
    <w:rsid w:val="00970437"/>
    <w:rsid w:val="00970577"/>
    <w:rsid w:val="009705C6"/>
    <w:rsid w:val="0097071E"/>
    <w:rsid w:val="00970828"/>
    <w:rsid w:val="00970900"/>
    <w:rsid w:val="00970ACF"/>
    <w:rsid w:val="00970ADD"/>
    <w:rsid w:val="00970B63"/>
    <w:rsid w:val="00970BEF"/>
    <w:rsid w:val="00970D63"/>
    <w:rsid w:val="00970E2F"/>
    <w:rsid w:val="00971012"/>
    <w:rsid w:val="0097105B"/>
    <w:rsid w:val="009711F3"/>
    <w:rsid w:val="00971265"/>
    <w:rsid w:val="00971277"/>
    <w:rsid w:val="009715BA"/>
    <w:rsid w:val="009715E7"/>
    <w:rsid w:val="00971613"/>
    <w:rsid w:val="0097162E"/>
    <w:rsid w:val="009716AA"/>
    <w:rsid w:val="009716C3"/>
    <w:rsid w:val="00971702"/>
    <w:rsid w:val="0097181B"/>
    <w:rsid w:val="0097189B"/>
    <w:rsid w:val="009719F0"/>
    <w:rsid w:val="00971B7E"/>
    <w:rsid w:val="00971B8B"/>
    <w:rsid w:val="00971DD0"/>
    <w:rsid w:val="00971F0A"/>
    <w:rsid w:val="00972077"/>
    <w:rsid w:val="0097215F"/>
    <w:rsid w:val="00972303"/>
    <w:rsid w:val="00972380"/>
    <w:rsid w:val="009723E7"/>
    <w:rsid w:val="009724F3"/>
    <w:rsid w:val="009725AB"/>
    <w:rsid w:val="00972A80"/>
    <w:rsid w:val="00972BCE"/>
    <w:rsid w:val="00972CED"/>
    <w:rsid w:val="00972D38"/>
    <w:rsid w:val="00972D51"/>
    <w:rsid w:val="00972D82"/>
    <w:rsid w:val="00972E1D"/>
    <w:rsid w:val="00972FBD"/>
    <w:rsid w:val="00973089"/>
    <w:rsid w:val="009731BC"/>
    <w:rsid w:val="0097322E"/>
    <w:rsid w:val="009732D8"/>
    <w:rsid w:val="00973441"/>
    <w:rsid w:val="00973507"/>
    <w:rsid w:val="009735A5"/>
    <w:rsid w:val="00973844"/>
    <w:rsid w:val="00973875"/>
    <w:rsid w:val="009739A2"/>
    <w:rsid w:val="00973B15"/>
    <w:rsid w:val="00973B7D"/>
    <w:rsid w:val="00973B93"/>
    <w:rsid w:val="00973BA8"/>
    <w:rsid w:val="00973BC4"/>
    <w:rsid w:val="00973CAB"/>
    <w:rsid w:val="00973D6A"/>
    <w:rsid w:val="00973F2F"/>
    <w:rsid w:val="00974211"/>
    <w:rsid w:val="00974436"/>
    <w:rsid w:val="0097443C"/>
    <w:rsid w:val="009744B7"/>
    <w:rsid w:val="009746C5"/>
    <w:rsid w:val="009746DB"/>
    <w:rsid w:val="0097487B"/>
    <w:rsid w:val="00974899"/>
    <w:rsid w:val="00974B23"/>
    <w:rsid w:val="00974C76"/>
    <w:rsid w:val="00974E99"/>
    <w:rsid w:val="00974FFF"/>
    <w:rsid w:val="0097514A"/>
    <w:rsid w:val="00975242"/>
    <w:rsid w:val="00975657"/>
    <w:rsid w:val="0097574C"/>
    <w:rsid w:val="00975AD6"/>
    <w:rsid w:val="00975B8F"/>
    <w:rsid w:val="00975DCE"/>
    <w:rsid w:val="00975E1C"/>
    <w:rsid w:val="00975F2F"/>
    <w:rsid w:val="00975F9E"/>
    <w:rsid w:val="0097612C"/>
    <w:rsid w:val="00976305"/>
    <w:rsid w:val="00976331"/>
    <w:rsid w:val="00976612"/>
    <w:rsid w:val="0097662F"/>
    <w:rsid w:val="00976785"/>
    <w:rsid w:val="00976841"/>
    <w:rsid w:val="009768DC"/>
    <w:rsid w:val="0097693C"/>
    <w:rsid w:val="00976986"/>
    <w:rsid w:val="009769D2"/>
    <w:rsid w:val="00976A58"/>
    <w:rsid w:val="00976DCF"/>
    <w:rsid w:val="00976F85"/>
    <w:rsid w:val="00976FFB"/>
    <w:rsid w:val="0097704B"/>
    <w:rsid w:val="0097710A"/>
    <w:rsid w:val="009771D7"/>
    <w:rsid w:val="009772D3"/>
    <w:rsid w:val="009773D7"/>
    <w:rsid w:val="00977489"/>
    <w:rsid w:val="009774D5"/>
    <w:rsid w:val="00977648"/>
    <w:rsid w:val="00977A2E"/>
    <w:rsid w:val="00977B31"/>
    <w:rsid w:val="00977BCA"/>
    <w:rsid w:val="00977D48"/>
    <w:rsid w:val="00977F6E"/>
    <w:rsid w:val="009804B1"/>
    <w:rsid w:val="00980641"/>
    <w:rsid w:val="009806AF"/>
    <w:rsid w:val="009806FA"/>
    <w:rsid w:val="009808C7"/>
    <w:rsid w:val="00980BF0"/>
    <w:rsid w:val="00980C6E"/>
    <w:rsid w:val="00980D18"/>
    <w:rsid w:val="00980D46"/>
    <w:rsid w:val="00980ED6"/>
    <w:rsid w:val="00980F73"/>
    <w:rsid w:val="00980F86"/>
    <w:rsid w:val="00981332"/>
    <w:rsid w:val="009814E5"/>
    <w:rsid w:val="0098161B"/>
    <w:rsid w:val="009817A1"/>
    <w:rsid w:val="009817E5"/>
    <w:rsid w:val="00981823"/>
    <w:rsid w:val="00981A11"/>
    <w:rsid w:val="00981B6A"/>
    <w:rsid w:val="00981B71"/>
    <w:rsid w:val="00981C46"/>
    <w:rsid w:val="00981C4D"/>
    <w:rsid w:val="00981CB0"/>
    <w:rsid w:val="00981D93"/>
    <w:rsid w:val="0098218B"/>
    <w:rsid w:val="0098232B"/>
    <w:rsid w:val="00982412"/>
    <w:rsid w:val="00982664"/>
    <w:rsid w:val="00982688"/>
    <w:rsid w:val="0098270C"/>
    <w:rsid w:val="00982711"/>
    <w:rsid w:val="00982786"/>
    <w:rsid w:val="00982D15"/>
    <w:rsid w:val="00982D6A"/>
    <w:rsid w:val="00982EE0"/>
    <w:rsid w:val="00982F21"/>
    <w:rsid w:val="00983008"/>
    <w:rsid w:val="00983137"/>
    <w:rsid w:val="009832EE"/>
    <w:rsid w:val="00983483"/>
    <w:rsid w:val="00983644"/>
    <w:rsid w:val="00983645"/>
    <w:rsid w:val="009836E0"/>
    <w:rsid w:val="0098390B"/>
    <w:rsid w:val="00983924"/>
    <w:rsid w:val="00983925"/>
    <w:rsid w:val="00983ADE"/>
    <w:rsid w:val="00983BA8"/>
    <w:rsid w:val="00983ECB"/>
    <w:rsid w:val="00983EDE"/>
    <w:rsid w:val="00983F0A"/>
    <w:rsid w:val="00983F12"/>
    <w:rsid w:val="00984039"/>
    <w:rsid w:val="0098429F"/>
    <w:rsid w:val="00984364"/>
    <w:rsid w:val="0098448E"/>
    <w:rsid w:val="009844DF"/>
    <w:rsid w:val="0098450D"/>
    <w:rsid w:val="00984512"/>
    <w:rsid w:val="00984669"/>
    <w:rsid w:val="009846A0"/>
    <w:rsid w:val="009846DF"/>
    <w:rsid w:val="009847D4"/>
    <w:rsid w:val="00984858"/>
    <w:rsid w:val="0098497F"/>
    <w:rsid w:val="00984A71"/>
    <w:rsid w:val="00984C00"/>
    <w:rsid w:val="00984C16"/>
    <w:rsid w:val="00984EC9"/>
    <w:rsid w:val="00984F97"/>
    <w:rsid w:val="00984FD7"/>
    <w:rsid w:val="00985077"/>
    <w:rsid w:val="00985347"/>
    <w:rsid w:val="009855BE"/>
    <w:rsid w:val="00985B61"/>
    <w:rsid w:val="00985D4A"/>
    <w:rsid w:val="00985D93"/>
    <w:rsid w:val="00985E5F"/>
    <w:rsid w:val="00985EE1"/>
    <w:rsid w:val="00986056"/>
    <w:rsid w:val="00986131"/>
    <w:rsid w:val="009862E1"/>
    <w:rsid w:val="009863E3"/>
    <w:rsid w:val="00986420"/>
    <w:rsid w:val="00986472"/>
    <w:rsid w:val="00986604"/>
    <w:rsid w:val="009868F5"/>
    <w:rsid w:val="00986939"/>
    <w:rsid w:val="00986A21"/>
    <w:rsid w:val="00986CA7"/>
    <w:rsid w:val="00986EA0"/>
    <w:rsid w:val="00986FB2"/>
    <w:rsid w:val="00986FC1"/>
    <w:rsid w:val="0098720F"/>
    <w:rsid w:val="00987243"/>
    <w:rsid w:val="00987250"/>
    <w:rsid w:val="00987395"/>
    <w:rsid w:val="00987535"/>
    <w:rsid w:val="0098761F"/>
    <w:rsid w:val="00987821"/>
    <w:rsid w:val="00987847"/>
    <w:rsid w:val="00987B02"/>
    <w:rsid w:val="00987B21"/>
    <w:rsid w:val="00987C55"/>
    <w:rsid w:val="00987C92"/>
    <w:rsid w:val="00987CD0"/>
    <w:rsid w:val="00987F24"/>
    <w:rsid w:val="00990049"/>
    <w:rsid w:val="0099029E"/>
    <w:rsid w:val="0099055A"/>
    <w:rsid w:val="00990801"/>
    <w:rsid w:val="00990A31"/>
    <w:rsid w:val="00990AF8"/>
    <w:rsid w:val="00990B3E"/>
    <w:rsid w:val="00990D5C"/>
    <w:rsid w:val="00990E3A"/>
    <w:rsid w:val="00990EB3"/>
    <w:rsid w:val="00990FC6"/>
    <w:rsid w:val="0099110A"/>
    <w:rsid w:val="009911AB"/>
    <w:rsid w:val="0099120A"/>
    <w:rsid w:val="00991768"/>
    <w:rsid w:val="009917E4"/>
    <w:rsid w:val="00991813"/>
    <w:rsid w:val="00991BCD"/>
    <w:rsid w:val="00991BEC"/>
    <w:rsid w:val="00991E9A"/>
    <w:rsid w:val="00991F03"/>
    <w:rsid w:val="00991F84"/>
    <w:rsid w:val="00992083"/>
    <w:rsid w:val="0099213E"/>
    <w:rsid w:val="0099219E"/>
    <w:rsid w:val="0099228C"/>
    <w:rsid w:val="00992294"/>
    <w:rsid w:val="009922A2"/>
    <w:rsid w:val="00992361"/>
    <w:rsid w:val="0099243F"/>
    <w:rsid w:val="009927C0"/>
    <w:rsid w:val="009929C1"/>
    <w:rsid w:val="009929DC"/>
    <w:rsid w:val="00992A04"/>
    <w:rsid w:val="00992A8D"/>
    <w:rsid w:val="00992D1B"/>
    <w:rsid w:val="00992D4A"/>
    <w:rsid w:val="00992D70"/>
    <w:rsid w:val="00992DAF"/>
    <w:rsid w:val="00992DE8"/>
    <w:rsid w:val="00992E21"/>
    <w:rsid w:val="00992E24"/>
    <w:rsid w:val="00992F07"/>
    <w:rsid w:val="00993192"/>
    <w:rsid w:val="00993285"/>
    <w:rsid w:val="009932BA"/>
    <w:rsid w:val="00993306"/>
    <w:rsid w:val="0099331D"/>
    <w:rsid w:val="00993327"/>
    <w:rsid w:val="009933C0"/>
    <w:rsid w:val="009934FE"/>
    <w:rsid w:val="00993543"/>
    <w:rsid w:val="009935D4"/>
    <w:rsid w:val="009935DB"/>
    <w:rsid w:val="009936D0"/>
    <w:rsid w:val="009936DF"/>
    <w:rsid w:val="00993722"/>
    <w:rsid w:val="009937D7"/>
    <w:rsid w:val="009938D9"/>
    <w:rsid w:val="0099391F"/>
    <w:rsid w:val="00993A7E"/>
    <w:rsid w:val="00993B5A"/>
    <w:rsid w:val="00993F09"/>
    <w:rsid w:val="00993FDA"/>
    <w:rsid w:val="00994094"/>
    <w:rsid w:val="009940BC"/>
    <w:rsid w:val="009940F9"/>
    <w:rsid w:val="0099410E"/>
    <w:rsid w:val="009941A5"/>
    <w:rsid w:val="009941E6"/>
    <w:rsid w:val="0099426E"/>
    <w:rsid w:val="00994478"/>
    <w:rsid w:val="00994598"/>
    <w:rsid w:val="0099472B"/>
    <w:rsid w:val="00994931"/>
    <w:rsid w:val="00994965"/>
    <w:rsid w:val="00994C89"/>
    <w:rsid w:val="00994CEB"/>
    <w:rsid w:val="00994E19"/>
    <w:rsid w:val="00994E77"/>
    <w:rsid w:val="00994F05"/>
    <w:rsid w:val="00994F91"/>
    <w:rsid w:val="00995030"/>
    <w:rsid w:val="009950FC"/>
    <w:rsid w:val="00995185"/>
    <w:rsid w:val="00995229"/>
    <w:rsid w:val="00995230"/>
    <w:rsid w:val="00995357"/>
    <w:rsid w:val="009953EE"/>
    <w:rsid w:val="0099553F"/>
    <w:rsid w:val="009955F3"/>
    <w:rsid w:val="009956A3"/>
    <w:rsid w:val="00995781"/>
    <w:rsid w:val="009957A5"/>
    <w:rsid w:val="00995857"/>
    <w:rsid w:val="009959BF"/>
    <w:rsid w:val="00995A59"/>
    <w:rsid w:val="00995AA6"/>
    <w:rsid w:val="00995B78"/>
    <w:rsid w:val="00995B97"/>
    <w:rsid w:val="00995BF1"/>
    <w:rsid w:val="00995C6F"/>
    <w:rsid w:val="00995C99"/>
    <w:rsid w:val="00995D2E"/>
    <w:rsid w:val="00995F19"/>
    <w:rsid w:val="00995FA9"/>
    <w:rsid w:val="00996140"/>
    <w:rsid w:val="009961C3"/>
    <w:rsid w:val="0099622D"/>
    <w:rsid w:val="0099635A"/>
    <w:rsid w:val="009963DB"/>
    <w:rsid w:val="009963F7"/>
    <w:rsid w:val="0099649D"/>
    <w:rsid w:val="009964DC"/>
    <w:rsid w:val="00996585"/>
    <w:rsid w:val="0099684C"/>
    <w:rsid w:val="00996880"/>
    <w:rsid w:val="0099689D"/>
    <w:rsid w:val="009968B0"/>
    <w:rsid w:val="00996BAE"/>
    <w:rsid w:val="00996D61"/>
    <w:rsid w:val="00996DD5"/>
    <w:rsid w:val="00996F57"/>
    <w:rsid w:val="0099703A"/>
    <w:rsid w:val="009971AE"/>
    <w:rsid w:val="00997481"/>
    <w:rsid w:val="009974E9"/>
    <w:rsid w:val="009975DE"/>
    <w:rsid w:val="00997637"/>
    <w:rsid w:val="00997706"/>
    <w:rsid w:val="009977F8"/>
    <w:rsid w:val="00997A66"/>
    <w:rsid w:val="00997BB2"/>
    <w:rsid w:val="00997BC5"/>
    <w:rsid w:val="00997D20"/>
    <w:rsid w:val="00997D5F"/>
    <w:rsid w:val="00997D93"/>
    <w:rsid w:val="00997E1A"/>
    <w:rsid w:val="00997E50"/>
    <w:rsid w:val="00997EE5"/>
    <w:rsid w:val="00997FDC"/>
    <w:rsid w:val="009A007A"/>
    <w:rsid w:val="009A0138"/>
    <w:rsid w:val="009A01DA"/>
    <w:rsid w:val="009A03E1"/>
    <w:rsid w:val="009A04FB"/>
    <w:rsid w:val="009A0514"/>
    <w:rsid w:val="009A065F"/>
    <w:rsid w:val="009A076F"/>
    <w:rsid w:val="009A0A9D"/>
    <w:rsid w:val="009A0B5F"/>
    <w:rsid w:val="009A0CC6"/>
    <w:rsid w:val="009A0D0E"/>
    <w:rsid w:val="009A0EE9"/>
    <w:rsid w:val="009A0FB4"/>
    <w:rsid w:val="009A1057"/>
    <w:rsid w:val="009A12B4"/>
    <w:rsid w:val="009A13D8"/>
    <w:rsid w:val="009A14F0"/>
    <w:rsid w:val="009A164E"/>
    <w:rsid w:val="009A173E"/>
    <w:rsid w:val="009A1822"/>
    <w:rsid w:val="009A183C"/>
    <w:rsid w:val="009A193C"/>
    <w:rsid w:val="009A1A42"/>
    <w:rsid w:val="009A1B5A"/>
    <w:rsid w:val="009A1BCA"/>
    <w:rsid w:val="009A1C2F"/>
    <w:rsid w:val="009A1D10"/>
    <w:rsid w:val="009A1D3A"/>
    <w:rsid w:val="009A1F2C"/>
    <w:rsid w:val="009A20C8"/>
    <w:rsid w:val="009A20C9"/>
    <w:rsid w:val="009A20FF"/>
    <w:rsid w:val="009A21AB"/>
    <w:rsid w:val="009A226B"/>
    <w:rsid w:val="009A22B4"/>
    <w:rsid w:val="009A22F9"/>
    <w:rsid w:val="009A238B"/>
    <w:rsid w:val="009A251B"/>
    <w:rsid w:val="009A2560"/>
    <w:rsid w:val="009A262B"/>
    <w:rsid w:val="009A2851"/>
    <w:rsid w:val="009A28DB"/>
    <w:rsid w:val="009A2951"/>
    <w:rsid w:val="009A29F7"/>
    <w:rsid w:val="009A2D88"/>
    <w:rsid w:val="009A3000"/>
    <w:rsid w:val="009A3089"/>
    <w:rsid w:val="009A3127"/>
    <w:rsid w:val="009A32E5"/>
    <w:rsid w:val="009A332B"/>
    <w:rsid w:val="009A33F7"/>
    <w:rsid w:val="009A369D"/>
    <w:rsid w:val="009A36DC"/>
    <w:rsid w:val="009A37D3"/>
    <w:rsid w:val="009A3862"/>
    <w:rsid w:val="009A3AB8"/>
    <w:rsid w:val="009A3C86"/>
    <w:rsid w:val="009A3DC3"/>
    <w:rsid w:val="009A3E1C"/>
    <w:rsid w:val="009A3E4C"/>
    <w:rsid w:val="009A3FB1"/>
    <w:rsid w:val="009A40D8"/>
    <w:rsid w:val="009A4129"/>
    <w:rsid w:val="009A41E0"/>
    <w:rsid w:val="009A4287"/>
    <w:rsid w:val="009A4526"/>
    <w:rsid w:val="009A455D"/>
    <w:rsid w:val="009A47A2"/>
    <w:rsid w:val="009A4B29"/>
    <w:rsid w:val="009A4C55"/>
    <w:rsid w:val="009A4D57"/>
    <w:rsid w:val="009A4D82"/>
    <w:rsid w:val="009A4D8C"/>
    <w:rsid w:val="009A4DB7"/>
    <w:rsid w:val="009A4F10"/>
    <w:rsid w:val="009A507B"/>
    <w:rsid w:val="009A52BC"/>
    <w:rsid w:val="009A54C1"/>
    <w:rsid w:val="009A5609"/>
    <w:rsid w:val="009A582F"/>
    <w:rsid w:val="009A583C"/>
    <w:rsid w:val="009A5893"/>
    <w:rsid w:val="009A5A0A"/>
    <w:rsid w:val="009A5AB8"/>
    <w:rsid w:val="009A5AC1"/>
    <w:rsid w:val="009A5C11"/>
    <w:rsid w:val="009A5C34"/>
    <w:rsid w:val="009A5C4C"/>
    <w:rsid w:val="009A5D32"/>
    <w:rsid w:val="009A5EE6"/>
    <w:rsid w:val="009A5F8A"/>
    <w:rsid w:val="009A5FEC"/>
    <w:rsid w:val="009A6174"/>
    <w:rsid w:val="009A62DD"/>
    <w:rsid w:val="009A62F4"/>
    <w:rsid w:val="009A6393"/>
    <w:rsid w:val="009A6483"/>
    <w:rsid w:val="009A6832"/>
    <w:rsid w:val="009A699C"/>
    <w:rsid w:val="009A6A32"/>
    <w:rsid w:val="009A6DC5"/>
    <w:rsid w:val="009A7103"/>
    <w:rsid w:val="009A7222"/>
    <w:rsid w:val="009A74C5"/>
    <w:rsid w:val="009A74F1"/>
    <w:rsid w:val="009A7619"/>
    <w:rsid w:val="009A7625"/>
    <w:rsid w:val="009A7828"/>
    <w:rsid w:val="009A787B"/>
    <w:rsid w:val="009A79FE"/>
    <w:rsid w:val="009A7B22"/>
    <w:rsid w:val="009A7BA0"/>
    <w:rsid w:val="009A7F5E"/>
    <w:rsid w:val="009B005B"/>
    <w:rsid w:val="009B01C5"/>
    <w:rsid w:val="009B02A9"/>
    <w:rsid w:val="009B0353"/>
    <w:rsid w:val="009B0587"/>
    <w:rsid w:val="009B07F7"/>
    <w:rsid w:val="009B0873"/>
    <w:rsid w:val="009B097A"/>
    <w:rsid w:val="009B09E8"/>
    <w:rsid w:val="009B0D92"/>
    <w:rsid w:val="009B0E2C"/>
    <w:rsid w:val="009B0E56"/>
    <w:rsid w:val="009B0E98"/>
    <w:rsid w:val="009B11FE"/>
    <w:rsid w:val="009B124C"/>
    <w:rsid w:val="009B12D6"/>
    <w:rsid w:val="009B1440"/>
    <w:rsid w:val="009B1548"/>
    <w:rsid w:val="009B1605"/>
    <w:rsid w:val="009B16C3"/>
    <w:rsid w:val="009B1816"/>
    <w:rsid w:val="009B1824"/>
    <w:rsid w:val="009B18A5"/>
    <w:rsid w:val="009B1E22"/>
    <w:rsid w:val="009B1E35"/>
    <w:rsid w:val="009B230E"/>
    <w:rsid w:val="009B2311"/>
    <w:rsid w:val="009B247E"/>
    <w:rsid w:val="009B264E"/>
    <w:rsid w:val="009B269D"/>
    <w:rsid w:val="009B2898"/>
    <w:rsid w:val="009B28EF"/>
    <w:rsid w:val="009B2C94"/>
    <w:rsid w:val="009B2F65"/>
    <w:rsid w:val="009B31F5"/>
    <w:rsid w:val="009B32A0"/>
    <w:rsid w:val="009B3357"/>
    <w:rsid w:val="009B3388"/>
    <w:rsid w:val="009B34CB"/>
    <w:rsid w:val="009B358C"/>
    <w:rsid w:val="009B38E2"/>
    <w:rsid w:val="009B3992"/>
    <w:rsid w:val="009B39F3"/>
    <w:rsid w:val="009B3C82"/>
    <w:rsid w:val="009B3EB6"/>
    <w:rsid w:val="009B3F32"/>
    <w:rsid w:val="009B3F69"/>
    <w:rsid w:val="009B3F89"/>
    <w:rsid w:val="009B41F0"/>
    <w:rsid w:val="009B420D"/>
    <w:rsid w:val="009B4306"/>
    <w:rsid w:val="009B43B7"/>
    <w:rsid w:val="009B440D"/>
    <w:rsid w:val="009B45DA"/>
    <w:rsid w:val="009B47AF"/>
    <w:rsid w:val="009B47F7"/>
    <w:rsid w:val="009B48C0"/>
    <w:rsid w:val="009B48F7"/>
    <w:rsid w:val="009B49B8"/>
    <w:rsid w:val="009B4A98"/>
    <w:rsid w:val="009B4AFE"/>
    <w:rsid w:val="009B4BD7"/>
    <w:rsid w:val="009B4BF8"/>
    <w:rsid w:val="009B4D74"/>
    <w:rsid w:val="009B4E10"/>
    <w:rsid w:val="009B4F7D"/>
    <w:rsid w:val="009B513C"/>
    <w:rsid w:val="009B53F2"/>
    <w:rsid w:val="009B567B"/>
    <w:rsid w:val="009B5832"/>
    <w:rsid w:val="009B5849"/>
    <w:rsid w:val="009B592E"/>
    <w:rsid w:val="009B5AEB"/>
    <w:rsid w:val="009B5B30"/>
    <w:rsid w:val="009B5B37"/>
    <w:rsid w:val="009B5E11"/>
    <w:rsid w:val="009B5E5E"/>
    <w:rsid w:val="009B6020"/>
    <w:rsid w:val="009B61B6"/>
    <w:rsid w:val="009B6255"/>
    <w:rsid w:val="009B625F"/>
    <w:rsid w:val="009B62D8"/>
    <w:rsid w:val="009B62E7"/>
    <w:rsid w:val="009B636B"/>
    <w:rsid w:val="009B63B2"/>
    <w:rsid w:val="009B63B4"/>
    <w:rsid w:val="009B6517"/>
    <w:rsid w:val="009B6550"/>
    <w:rsid w:val="009B65C3"/>
    <w:rsid w:val="009B688F"/>
    <w:rsid w:val="009B6D43"/>
    <w:rsid w:val="009B6DA3"/>
    <w:rsid w:val="009B6E0D"/>
    <w:rsid w:val="009B70E3"/>
    <w:rsid w:val="009B7579"/>
    <w:rsid w:val="009B7652"/>
    <w:rsid w:val="009B77FB"/>
    <w:rsid w:val="009B78FE"/>
    <w:rsid w:val="009B7978"/>
    <w:rsid w:val="009B7F93"/>
    <w:rsid w:val="009C00AF"/>
    <w:rsid w:val="009C0194"/>
    <w:rsid w:val="009C02E5"/>
    <w:rsid w:val="009C036F"/>
    <w:rsid w:val="009C0377"/>
    <w:rsid w:val="009C04C9"/>
    <w:rsid w:val="009C0511"/>
    <w:rsid w:val="009C0593"/>
    <w:rsid w:val="009C0659"/>
    <w:rsid w:val="009C0782"/>
    <w:rsid w:val="009C082A"/>
    <w:rsid w:val="009C083C"/>
    <w:rsid w:val="009C0A0D"/>
    <w:rsid w:val="009C0A74"/>
    <w:rsid w:val="009C0C5A"/>
    <w:rsid w:val="009C0E84"/>
    <w:rsid w:val="009C0F03"/>
    <w:rsid w:val="009C0F70"/>
    <w:rsid w:val="009C1023"/>
    <w:rsid w:val="009C1164"/>
    <w:rsid w:val="009C12D7"/>
    <w:rsid w:val="009C12DC"/>
    <w:rsid w:val="009C12FE"/>
    <w:rsid w:val="009C14AD"/>
    <w:rsid w:val="009C14F1"/>
    <w:rsid w:val="009C153F"/>
    <w:rsid w:val="009C1609"/>
    <w:rsid w:val="009C1624"/>
    <w:rsid w:val="009C167E"/>
    <w:rsid w:val="009C1902"/>
    <w:rsid w:val="009C1919"/>
    <w:rsid w:val="009C1997"/>
    <w:rsid w:val="009C1BB7"/>
    <w:rsid w:val="009C1D35"/>
    <w:rsid w:val="009C1DEF"/>
    <w:rsid w:val="009C2012"/>
    <w:rsid w:val="009C21FC"/>
    <w:rsid w:val="009C21FF"/>
    <w:rsid w:val="009C23AB"/>
    <w:rsid w:val="009C23DF"/>
    <w:rsid w:val="009C2446"/>
    <w:rsid w:val="009C2496"/>
    <w:rsid w:val="009C25CE"/>
    <w:rsid w:val="009C25DA"/>
    <w:rsid w:val="009C26AC"/>
    <w:rsid w:val="009C2711"/>
    <w:rsid w:val="009C273F"/>
    <w:rsid w:val="009C27BF"/>
    <w:rsid w:val="009C2809"/>
    <w:rsid w:val="009C287D"/>
    <w:rsid w:val="009C2A7F"/>
    <w:rsid w:val="009C2C4F"/>
    <w:rsid w:val="009C2CB8"/>
    <w:rsid w:val="009C2DA0"/>
    <w:rsid w:val="009C2F11"/>
    <w:rsid w:val="009C2F79"/>
    <w:rsid w:val="009C2FA6"/>
    <w:rsid w:val="009C31F8"/>
    <w:rsid w:val="009C3224"/>
    <w:rsid w:val="009C3300"/>
    <w:rsid w:val="009C338D"/>
    <w:rsid w:val="009C33E9"/>
    <w:rsid w:val="009C33FC"/>
    <w:rsid w:val="009C34B5"/>
    <w:rsid w:val="009C350F"/>
    <w:rsid w:val="009C354F"/>
    <w:rsid w:val="009C3666"/>
    <w:rsid w:val="009C36A5"/>
    <w:rsid w:val="009C3868"/>
    <w:rsid w:val="009C38C3"/>
    <w:rsid w:val="009C3916"/>
    <w:rsid w:val="009C3944"/>
    <w:rsid w:val="009C3AC9"/>
    <w:rsid w:val="009C3B4D"/>
    <w:rsid w:val="009C3B7B"/>
    <w:rsid w:val="009C3D96"/>
    <w:rsid w:val="009C3FA0"/>
    <w:rsid w:val="009C4019"/>
    <w:rsid w:val="009C4116"/>
    <w:rsid w:val="009C41B5"/>
    <w:rsid w:val="009C42D5"/>
    <w:rsid w:val="009C42F9"/>
    <w:rsid w:val="009C430C"/>
    <w:rsid w:val="009C44B5"/>
    <w:rsid w:val="009C44EE"/>
    <w:rsid w:val="009C4683"/>
    <w:rsid w:val="009C4B12"/>
    <w:rsid w:val="009C4BDD"/>
    <w:rsid w:val="009C4C78"/>
    <w:rsid w:val="009C4D51"/>
    <w:rsid w:val="009C4D76"/>
    <w:rsid w:val="009C4E29"/>
    <w:rsid w:val="009C4E35"/>
    <w:rsid w:val="009C4E60"/>
    <w:rsid w:val="009C4EBF"/>
    <w:rsid w:val="009C5232"/>
    <w:rsid w:val="009C5454"/>
    <w:rsid w:val="009C552B"/>
    <w:rsid w:val="009C55B2"/>
    <w:rsid w:val="009C55F2"/>
    <w:rsid w:val="009C5713"/>
    <w:rsid w:val="009C5817"/>
    <w:rsid w:val="009C5897"/>
    <w:rsid w:val="009C5993"/>
    <w:rsid w:val="009C5A59"/>
    <w:rsid w:val="009C5ADB"/>
    <w:rsid w:val="009C5C27"/>
    <w:rsid w:val="009C5C45"/>
    <w:rsid w:val="009C5C75"/>
    <w:rsid w:val="009C5D9A"/>
    <w:rsid w:val="009C601E"/>
    <w:rsid w:val="009C6336"/>
    <w:rsid w:val="009C633C"/>
    <w:rsid w:val="009C63A9"/>
    <w:rsid w:val="009C6640"/>
    <w:rsid w:val="009C66DC"/>
    <w:rsid w:val="009C682E"/>
    <w:rsid w:val="009C683D"/>
    <w:rsid w:val="009C6881"/>
    <w:rsid w:val="009C68C9"/>
    <w:rsid w:val="009C68F7"/>
    <w:rsid w:val="009C6903"/>
    <w:rsid w:val="009C6923"/>
    <w:rsid w:val="009C69AA"/>
    <w:rsid w:val="009C6A30"/>
    <w:rsid w:val="009C6A9E"/>
    <w:rsid w:val="009C6B15"/>
    <w:rsid w:val="009C6B68"/>
    <w:rsid w:val="009C6BB2"/>
    <w:rsid w:val="009C6BD6"/>
    <w:rsid w:val="009C6CC4"/>
    <w:rsid w:val="009C6E30"/>
    <w:rsid w:val="009C6E74"/>
    <w:rsid w:val="009C6EB1"/>
    <w:rsid w:val="009C6F93"/>
    <w:rsid w:val="009C6F95"/>
    <w:rsid w:val="009C704A"/>
    <w:rsid w:val="009C70A9"/>
    <w:rsid w:val="009C70BC"/>
    <w:rsid w:val="009C7146"/>
    <w:rsid w:val="009C714B"/>
    <w:rsid w:val="009C719F"/>
    <w:rsid w:val="009C7387"/>
    <w:rsid w:val="009C75D7"/>
    <w:rsid w:val="009C7782"/>
    <w:rsid w:val="009C78DB"/>
    <w:rsid w:val="009C7987"/>
    <w:rsid w:val="009C7BB4"/>
    <w:rsid w:val="009C7C2E"/>
    <w:rsid w:val="009C7F65"/>
    <w:rsid w:val="009C7F70"/>
    <w:rsid w:val="009C7F98"/>
    <w:rsid w:val="009D018C"/>
    <w:rsid w:val="009D01FA"/>
    <w:rsid w:val="009D0242"/>
    <w:rsid w:val="009D02DE"/>
    <w:rsid w:val="009D034E"/>
    <w:rsid w:val="009D03C6"/>
    <w:rsid w:val="009D0417"/>
    <w:rsid w:val="009D0500"/>
    <w:rsid w:val="009D06D2"/>
    <w:rsid w:val="009D0848"/>
    <w:rsid w:val="009D0866"/>
    <w:rsid w:val="009D093E"/>
    <w:rsid w:val="009D0B8C"/>
    <w:rsid w:val="009D0C2F"/>
    <w:rsid w:val="009D0D73"/>
    <w:rsid w:val="009D0ED8"/>
    <w:rsid w:val="009D0F0A"/>
    <w:rsid w:val="009D0F80"/>
    <w:rsid w:val="009D105F"/>
    <w:rsid w:val="009D1060"/>
    <w:rsid w:val="009D13A3"/>
    <w:rsid w:val="009D13E0"/>
    <w:rsid w:val="009D15AC"/>
    <w:rsid w:val="009D161A"/>
    <w:rsid w:val="009D16A3"/>
    <w:rsid w:val="009D16C2"/>
    <w:rsid w:val="009D1708"/>
    <w:rsid w:val="009D1718"/>
    <w:rsid w:val="009D19BF"/>
    <w:rsid w:val="009D1AA9"/>
    <w:rsid w:val="009D1AEE"/>
    <w:rsid w:val="009D1B09"/>
    <w:rsid w:val="009D1C18"/>
    <w:rsid w:val="009D1C80"/>
    <w:rsid w:val="009D1D5F"/>
    <w:rsid w:val="009D1F83"/>
    <w:rsid w:val="009D20EC"/>
    <w:rsid w:val="009D2249"/>
    <w:rsid w:val="009D22D7"/>
    <w:rsid w:val="009D233D"/>
    <w:rsid w:val="009D23F0"/>
    <w:rsid w:val="009D2448"/>
    <w:rsid w:val="009D272C"/>
    <w:rsid w:val="009D281F"/>
    <w:rsid w:val="009D2A66"/>
    <w:rsid w:val="009D2A9D"/>
    <w:rsid w:val="009D2AF8"/>
    <w:rsid w:val="009D2B02"/>
    <w:rsid w:val="009D2C12"/>
    <w:rsid w:val="009D2DB6"/>
    <w:rsid w:val="009D2E65"/>
    <w:rsid w:val="009D3024"/>
    <w:rsid w:val="009D30D7"/>
    <w:rsid w:val="009D3173"/>
    <w:rsid w:val="009D3201"/>
    <w:rsid w:val="009D32A2"/>
    <w:rsid w:val="009D331A"/>
    <w:rsid w:val="009D363D"/>
    <w:rsid w:val="009D368F"/>
    <w:rsid w:val="009D37CF"/>
    <w:rsid w:val="009D3806"/>
    <w:rsid w:val="009D3864"/>
    <w:rsid w:val="009D3979"/>
    <w:rsid w:val="009D3C2E"/>
    <w:rsid w:val="009D3D53"/>
    <w:rsid w:val="009D3DD5"/>
    <w:rsid w:val="009D3DF9"/>
    <w:rsid w:val="009D3E06"/>
    <w:rsid w:val="009D400F"/>
    <w:rsid w:val="009D4037"/>
    <w:rsid w:val="009D4197"/>
    <w:rsid w:val="009D41F0"/>
    <w:rsid w:val="009D422A"/>
    <w:rsid w:val="009D435B"/>
    <w:rsid w:val="009D43CC"/>
    <w:rsid w:val="009D43CD"/>
    <w:rsid w:val="009D46B6"/>
    <w:rsid w:val="009D470C"/>
    <w:rsid w:val="009D4A51"/>
    <w:rsid w:val="009D4B5E"/>
    <w:rsid w:val="009D4B8B"/>
    <w:rsid w:val="009D4C46"/>
    <w:rsid w:val="009D51A6"/>
    <w:rsid w:val="009D539D"/>
    <w:rsid w:val="009D53F4"/>
    <w:rsid w:val="009D5538"/>
    <w:rsid w:val="009D5649"/>
    <w:rsid w:val="009D5689"/>
    <w:rsid w:val="009D56FD"/>
    <w:rsid w:val="009D5716"/>
    <w:rsid w:val="009D572B"/>
    <w:rsid w:val="009D57A7"/>
    <w:rsid w:val="009D58A4"/>
    <w:rsid w:val="009D5AF4"/>
    <w:rsid w:val="009D5C18"/>
    <w:rsid w:val="009D5C9C"/>
    <w:rsid w:val="009D5CD8"/>
    <w:rsid w:val="009D5E42"/>
    <w:rsid w:val="009D5E87"/>
    <w:rsid w:val="009D5FA7"/>
    <w:rsid w:val="009D619A"/>
    <w:rsid w:val="009D62C0"/>
    <w:rsid w:val="009D6548"/>
    <w:rsid w:val="009D657A"/>
    <w:rsid w:val="009D66F2"/>
    <w:rsid w:val="009D677F"/>
    <w:rsid w:val="009D67DC"/>
    <w:rsid w:val="009D6AEB"/>
    <w:rsid w:val="009D6B1B"/>
    <w:rsid w:val="009D6BC8"/>
    <w:rsid w:val="009D6C2D"/>
    <w:rsid w:val="009D6F02"/>
    <w:rsid w:val="009D6F4D"/>
    <w:rsid w:val="009D70B0"/>
    <w:rsid w:val="009D7130"/>
    <w:rsid w:val="009D71D2"/>
    <w:rsid w:val="009D7245"/>
    <w:rsid w:val="009D77A5"/>
    <w:rsid w:val="009D7ADD"/>
    <w:rsid w:val="009D7B5A"/>
    <w:rsid w:val="009D7C9C"/>
    <w:rsid w:val="009D7F93"/>
    <w:rsid w:val="009E02E1"/>
    <w:rsid w:val="009E0455"/>
    <w:rsid w:val="009E0528"/>
    <w:rsid w:val="009E0597"/>
    <w:rsid w:val="009E062F"/>
    <w:rsid w:val="009E0655"/>
    <w:rsid w:val="009E07CF"/>
    <w:rsid w:val="009E0886"/>
    <w:rsid w:val="009E0970"/>
    <w:rsid w:val="009E0973"/>
    <w:rsid w:val="009E0AE3"/>
    <w:rsid w:val="009E0B41"/>
    <w:rsid w:val="009E0B74"/>
    <w:rsid w:val="009E0BA9"/>
    <w:rsid w:val="009E0BD0"/>
    <w:rsid w:val="009E0D29"/>
    <w:rsid w:val="009E0F65"/>
    <w:rsid w:val="009E0FF5"/>
    <w:rsid w:val="009E105E"/>
    <w:rsid w:val="009E113F"/>
    <w:rsid w:val="009E1156"/>
    <w:rsid w:val="009E117A"/>
    <w:rsid w:val="009E1182"/>
    <w:rsid w:val="009E13A0"/>
    <w:rsid w:val="009E150E"/>
    <w:rsid w:val="009E152D"/>
    <w:rsid w:val="009E159E"/>
    <w:rsid w:val="009E1614"/>
    <w:rsid w:val="009E1677"/>
    <w:rsid w:val="009E19A2"/>
    <w:rsid w:val="009E1A51"/>
    <w:rsid w:val="009E1BB9"/>
    <w:rsid w:val="009E1C5B"/>
    <w:rsid w:val="009E1D04"/>
    <w:rsid w:val="009E1D98"/>
    <w:rsid w:val="009E1FC5"/>
    <w:rsid w:val="009E207E"/>
    <w:rsid w:val="009E2153"/>
    <w:rsid w:val="009E23C2"/>
    <w:rsid w:val="009E2521"/>
    <w:rsid w:val="009E2616"/>
    <w:rsid w:val="009E261A"/>
    <w:rsid w:val="009E2635"/>
    <w:rsid w:val="009E2653"/>
    <w:rsid w:val="009E27D8"/>
    <w:rsid w:val="009E2A70"/>
    <w:rsid w:val="009E2C02"/>
    <w:rsid w:val="009E2D1A"/>
    <w:rsid w:val="009E2D84"/>
    <w:rsid w:val="009E2ECD"/>
    <w:rsid w:val="009E2EED"/>
    <w:rsid w:val="009E3397"/>
    <w:rsid w:val="009E33BD"/>
    <w:rsid w:val="009E340E"/>
    <w:rsid w:val="009E3529"/>
    <w:rsid w:val="009E3539"/>
    <w:rsid w:val="009E36CE"/>
    <w:rsid w:val="009E3967"/>
    <w:rsid w:val="009E397C"/>
    <w:rsid w:val="009E3A91"/>
    <w:rsid w:val="009E3C18"/>
    <w:rsid w:val="009E3C24"/>
    <w:rsid w:val="009E3C4A"/>
    <w:rsid w:val="009E3DE1"/>
    <w:rsid w:val="009E3FE5"/>
    <w:rsid w:val="009E41F0"/>
    <w:rsid w:val="009E4345"/>
    <w:rsid w:val="009E444E"/>
    <w:rsid w:val="009E4533"/>
    <w:rsid w:val="009E47AE"/>
    <w:rsid w:val="009E4963"/>
    <w:rsid w:val="009E4A71"/>
    <w:rsid w:val="009E4B95"/>
    <w:rsid w:val="009E4C51"/>
    <w:rsid w:val="009E4D6C"/>
    <w:rsid w:val="009E4EFA"/>
    <w:rsid w:val="009E4FDB"/>
    <w:rsid w:val="009E50DF"/>
    <w:rsid w:val="009E519E"/>
    <w:rsid w:val="009E5302"/>
    <w:rsid w:val="009E532D"/>
    <w:rsid w:val="009E53AF"/>
    <w:rsid w:val="009E552F"/>
    <w:rsid w:val="009E5649"/>
    <w:rsid w:val="009E565F"/>
    <w:rsid w:val="009E5CD1"/>
    <w:rsid w:val="009E5EE7"/>
    <w:rsid w:val="009E6019"/>
    <w:rsid w:val="009E60C6"/>
    <w:rsid w:val="009E6239"/>
    <w:rsid w:val="009E62C2"/>
    <w:rsid w:val="009E63B2"/>
    <w:rsid w:val="009E6457"/>
    <w:rsid w:val="009E64B9"/>
    <w:rsid w:val="009E6748"/>
    <w:rsid w:val="009E6825"/>
    <w:rsid w:val="009E68FE"/>
    <w:rsid w:val="009E6D14"/>
    <w:rsid w:val="009E6F3F"/>
    <w:rsid w:val="009E6F90"/>
    <w:rsid w:val="009E741E"/>
    <w:rsid w:val="009E7494"/>
    <w:rsid w:val="009E7514"/>
    <w:rsid w:val="009E755B"/>
    <w:rsid w:val="009E7644"/>
    <w:rsid w:val="009E764B"/>
    <w:rsid w:val="009E77FD"/>
    <w:rsid w:val="009E78A4"/>
    <w:rsid w:val="009E7AB3"/>
    <w:rsid w:val="009E7B50"/>
    <w:rsid w:val="009E7BAB"/>
    <w:rsid w:val="009E7DB7"/>
    <w:rsid w:val="009E7E63"/>
    <w:rsid w:val="009E7EA0"/>
    <w:rsid w:val="009E7EF8"/>
    <w:rsid w:val="009E7F2E"/>
    <w:rsid w:val="009E7F64"/>
    <w:rsid w:val="009E7FC0"/>
    <w:rsid w:val="009F0246"/>
    <w:rsid w:val="009F04A6"/>
    <w:rsid w:val="009F05F0"/>
    <w:rsid w:val="009F06CB"/>
    <w:rsid w:val="009F06FC"/>
    <w:rsid w:val="009F081C"/>
    <w:rsid w:val="009F09AE"/>
    <w:rsid w:val="009F0B9C"/>
    <w:rsid w:val="009F0CE2"/>
    <w:rsid w:val="009F10CB"/>
    <w:rsid w:val="009F121C"/>
    <w:rsid w:val="009F1400"/>
    <w:rsid w:val="009F14B6"/>
    <w:rsid w:val="009F157C"/>
    <w:rsid w:val="009F159D"/>
    <w:rsid w:val="009F17F1"/>
    <w:rsid w:val="009F195D"/>
    <w:rsid w:val="009F198B"/>
    <w:rsid w:val="009F19A8"/>
    <w:rsid w:val="009F19B8"/>
    <w:rsid w:val="009F1BBA"/>
    <w:rsid w:val="009F1FAD"/>
    <w:rsid w:val="009F2042"/>
    <w:rsid w:val="009F2046"/>
    <w:rsid w:val="009F2091"/>
    <w:rsid w:val="009F21CC"/>
    <w:rsid w:val="009F22CB"/>
    <w:rsid w:val="009F24D4"/>
    <w:rsid w:val="009F253A"/>
    <w:rsid w:val="009F2569"/>
    <w:rsid w:val="009F25B7"/>
    <w:rsid w:val="009F25CC"/>
    <w:rsid w:val="009F2640"/>
    <w:rsid w:val="009F27BA"/>
    <w:rsid w:val="009F27FB"/>
    <w:rsid w:val="009F28B9"/>
    <w:rsid w:val="009F2AB4"/>
    <w:rsid w:val="009F2B09"/>
    <w:rsid w:val="009F2BB0"/>
    <w:rsid w:val="009F2C22"/>
    <w:rsid w:val="009F2D80"/>
    <w:rsid w:val="009F2F34"/>
    <w:rsid w:val="009F301C"/>
    <w:rsid w:val="009F318B"/>
    <w:rsid w:val="009F336C"/>
    <w:rsid w:val="009F352C"/>
    <w:rsid w:val="009F3559"/>
    <w:rsid w:val="009F35EF"/>
    <w:rsid w:val="009F36A7"/>
    <w:rsid w:val="009F3783"/>
    <w:rsid w:val="009F37EA"/>
    <w:rsid w:val="009F37F8"/>
    <w:rsid w:val="009F38F7"/>
    <w:rsid w:val="009F39C1"/>
    <w:rsid w:val="009F3A3B"/>
    <w:rsid w:val="009F3BB0"/>
    <w:rsid w:val="009F3E1D"/>
    <w:rsid w:val="009F3EB8"/>
    <w:rsid w:val="009F40FC"/>
    <w:rsid w:val="009F4205"/>
    <w:rsid w:val="009F426E"/>
    <w:rsid w:val="009F42A9"/>
    <w:rsid w:val="009F45B8"/>
    <w:rsid w:val="009F4660"/>
    <w:rsid w:val="009F466F"/>
    <w:rsid w:val="009F4670"/>
    <w:rsid w:val="009F46C3"/>
    <w:rsid w:val="009F470E"/>
    <w:rsid w:val="009F4AE7"/>
    <w:rsid w:val="009F4BB4"/>
    <w:rsid w:val="009F4CA6"/>
    <w:rsid w:val="009F4D9D"/>
    <w:rsid w:val="009F51B7"/>
    <w:rsid w:val="009F52A0"/>
    <w:rsid w:val="009F5320"/>
    <w:rsid w:val="009F5344"/>
    <w:rsid w:val="009F548F"/>
    <w:rsid w:val="009F56EF"/>
    <w:rsid w:val="009F56F4"/>
    <w:rsid w:val="009F5702"/>
    <w:rsid w:val="009F5826"/>
    <w:rsid w:val="009F593B"/>
    <w:rsid w:val="009F59BA"/>
    <w:rsid w:val="009F5A0F"/>
    <w:rsid w:val="009F5A62"/>
    <w:rsid w:val="009F5B16"/>
    <w:rsid w:val="009F5B29"/>
    <w:rsid w:val="009F5C76"/>
    <w:rsid w:val="009F5E06"/>
    <w:rsid w:val="009F5E25"/>
    <w:rsid w:val="009F6006"/>
    <w:rsid w:val="009F60BA"/>
    <w:rsid w:val="009F6143"/>
    <w:rsid w:val="009F6173"/>
    <w:rsid w:val="009F643C"/>
    <w:rsid w:val="009F6450"/>
    <w:rsid w:val="009F649A"/>
    <w:rsid w:val="009F651E"/>
    <w:rsid w:val="009F6640"/>
    <w:rsid w:val="009F66BB"/>
    <w:rsid w:val="009F6806"/>
    <w:rsid w:val="009F6916"/>
    <w:rsid w:val="009F6945"/>
    <w:rsid w:val="009F6A28"/>
    <w:rsid w:val="009F6ABB"/>
    <w:rsid w:val="009F6C1B"/>
    <w:rsid w:val="009F6E5D"/>
    <w:rsid w:val="009F6EED"/>
    <w:rsid w:val="009F6F3E"/>
    <w:rsid w:val="009F70E5"/>
    <w:rsid w:val="009F7220"/>
    <w:rsid w:val="009F7450"/>
    <w:rsid w:val="009F7519"/>
    <w:rsid w:val="009F7574"/>
    <w:rsid w:val="009F75E5"/>
    <w:rsid w:val="009F7747"/>
    <w:rsid w:val="009F77D6"/>
    <w:rsid w:val="009F794E"/>
    <w:rsid w:val="009F7A41"/>
    <w:rsid w:val="009F7AFE"/>
    <w:rsid w:val="009F7B8F"/>
    <w:rsid w:val="009F7FEF"/>
    <w:rsid w:val="00A001D1"/>
    <w:rsid w:val="00A0036A"/>
    <w:rsid w:val="00A0037F"/>
    <w:rsid w:val="00A004D2"/>
    <w:rsid w:val="00A00576"/>
    <w:rsid w:val="00A00608"/>
    <w:rsid w:val="00A00923"/>
    <w:rsid w:val="00A00A63"/>
    <w:rsid w:val="00A00B53"/>
    <w:rsid w:val="00A00B7D"/>
    <w:rsid w:val="00A00B81"/>
    <w:rsid w:val="00A00D40"/>
    <w:rsid w:val="00A00F8B"/>
    <w:rsid w:val="00A00F9F"/>
    <w:rsid w:val="00A0104E"/>
    <w:rsid w:val="00A0128F"/>
    <w:rsid w:val="00A0140A"/>
    <w:rsid w:val="00A0143F"/>
    <w:rsid w:val="00A0148E"/>
    <w:rsid w:val="00A01575"/>
    <w:rsid w:val="00A015EA"/>
    <w:rsid w:val="00A01711"/>
    <w:rsid w:val="00A01953"/>
    <w:rsid w:val="00A01B88"/>
    <w:rsid w:val="00A01CEF"/>
    <w:rsid w:val="00A01DA7"/>
    <w:rsid w:val="00A01E4B"/>
    <w:rsid w:val="00A01EB3"/>
    <w:rsid w:val="00A01FF2"/>
    <w:rsid w:val="00A0208A"/>
    <w:rsid w:val="00A02180"/>
    <w:rsid w:val="00A02408"/>
    <w:rsid w:val="00A0243A"/>
    <w:rsid w:val="00A024B8"/>
    <w:rsid w:val="00A026BF"/>
    <w:rsid w:val="00A02762"/>
    <w:rsid w:val="00A0280E"/>
    <w:rsid w:val="00A0299E"/>
    <w:rsid w:val="00A02A6E"/>
    <w:rsid w:val="00A02AD1"/>
    <w:rsid w:val="00A02B16"/>
    <w:rsid w:val="00A02DC2"/>
    <w:rsid w:val="00A02DC3"/>
    <w:rsid w:val="00A02E36"/>
    <w:rsid w:val="00A02F11"/>
    <w:rsid w:val="00A03090"/>
    <w:rsid w:val="00A0310E"/>
    <w:rsid w:val="00A03145"/>
    <w:rsid w:val="00A031A0"/>
    <w:rsid w:val="00A032D3"/>
    <w:rsid w:val="00A03319"/>
    <w:rsid w:val="00A03339"/>
    <w:rsid w:val="00A03426"/>
    <w:rsid w:val="00A0396D"/>
    <w:rsid w:val="00A03980"/>
    <w:rsid w:val="00A03A6B"/>
    <w:rsid w:val="00A03C43"/>
    <w:rsid w:val="00A03CC3"/>
    <w:rsid w:val="00A03D61"/>
    <w:rsid w:val="00A03DA6"/>
    <w:rsid w:val="00A03E84"/>
    <w:rsid w:val="00A03EDB"/>
    <w:rsid w:val="00A0411D"/>
    <w:rsid w:val="00A04172"/>
    <w:rsid w:val="00A041D1"/>
    <w:rsid w:val="00A0455A"/>
    <w:rsid w:val="00A045B6"/>
    <w:rsid w:val="00A045C3"/>
    <w:rsid w:val="00A045F2"/>
    <w:rsid w:val="00A04626"/>
    <w:rsid w:val="00A04788"/>
    <w:rsid w:val="00A047F9"/>
    <w:rsid w:val="00A0482D"/>
    <w:rsid w:val="00A04895"/>
    <w:rsid w:val="00A048BC"/>
    <w:rsid w:val="00A048FC"/>
    <w:rsid w:val="00A04F4E"/>
    <w:rsid w:val="00A050A0"/>
    <w:rsid w:val="00A050FB"/>
    <w:rsid w:val="00A05330"/>
    <w:rsid w:val="00A0536B"/>
    <w:rsid w:val="00A053D9"/>
    <w:rsid w:val="00A053E6"/>
    <w:rsid w:val="00A05417"/>
    <w:rsid w:val="00A05585"/>
    <w:rsid w:val="00A05751"/>
    <w:rsid w:val="00A0584F"/>
    <w:rsid w:val="00A05942"/>
    <w:rsid w:val="00A05C07"/>
    <w:rsid w:val="00A05E4A"/>
    <w:rsid w:val="00A05F0B"/>
    <w:rsid w:val="00A060AE"/>
    <w:rsid w:val="00A0613D"/>
    <w:rsid w:val="00A061B3"/>
    <w:rsid w:val="00A06341"/>
    <w:rsid w:val="00A06505"/>
    <w:rsid w:val="00A065F7"/>
    <w:rsid w:val="00A0668B"/>
    <w:rsid w:val="00A0670A"/>
    <w:rsid w:val="00A06822"/>
    <w:rsid w:val="00A068CC"/>
    <w:rsid w:val="00A06955"/>
    <w:rsid w:val="00A06A14"/>
    <w:rsid w:val="00A06A37"/>
    <w:rsid w:val="00A06A5F"/>
    <w:rsid w:val="00A06E4E"/>
    <w:rsid w:val="00A06EBD"/>
    <w:rsid w:val="00A0700D"/>
    <w:rsid w:val="00A07010"/>
    <w:rsid w:val="00A071D3"/>
    <w:rsid w:val="00A072D9"/>
    <w:rsid w:val="00A07515"/>
    <w:rsid w:val="00A0754C"/>
    <w:rsid w:val="00A07668"/>
    <w:rsid w:val="00A07775"/>
    <w:rsid w:val="00A0777B"/>
    <w:rsid w:val="00A078C0"/>
    <w:rsid w:val="00A07913"/>
    <w:rsid w:val="00A0798C"/>
    <w:rsid w:val="00A079FE"/>
    <w:rsid w:val="00A07B07"/>
    <w:rsid w:val="00A07C50"/>
    <w:rsid w:val="00A07D33"/>
    <w:rsid w:val="00A07DE2"/>
    <w:rsid w:val="00A07ECD"/>
    <w:rsid w:val="00A07F9C"/>
    <w:rsid w:val="00A0DEB2"/>
    <w:rsid w:val="00A1007F"/>
    <w:rsid w:val="00A10108"/>
    <w:rsid w:val="00A10120"/>
    <w:rsid w:val="00A101FC"/>
    <w:rsid w:val="00A104EB"/>
    <w:rsid w:val="00A1058A"/>
    <w:rsid w:val="00A10631"/>
    <w:rsid w:val="00A1064C"/>
    <w:rsid w:val="00A106CB"/>
    <w:rsid w:val="00A1070E"/>
    <w:rsid w:val="00A109FC"/>
    <w:rsid w:val="00A10B67"/>
    <w:rsid w:val="00A10CDA"/>
    <w:rsid w:val="00A11147"/>
    <w:rsid w:val="00A1129A"/>
    <w:rsid w:val="00A11303"/>
    <w:rsid w:val="00A11307"/>
    <w:rsid w:val="00A113D3"/>
    <w:rsid w:val="00A11568"/>
    <w:rsid w:val="00A115E3"/>
    <w:rsid w:val="00A116C0"/>
    <w:rsid w:val="00A11770"/>
    <w:rsid w:val="00A11895"/>
    <w:rsid w:val="00A118EF"/>
    <w:rsid w:val="00A11919"/>
    <w:rsid w:val="00A11A72"/>
    <w:rsid w:val="00A11AB5"/>
    <w:rsid w:val="00A11B90"/>
    <w:rsid w:val="00A11F60"/>
    <w:rsid w:val="00A11F7D"/>
    <w:rsid w:val="00A11FAE"/>
    <w:rsid w:val="00A12150"/>
    <w:rsid w:val="00A1228A"/>
    <w:rsid w:val="00A126C3"/>
    <w:rsid w:val="00A1279A"/>
    <w:rsid w:val="00A1298E"/>
    <w:rsid w:val="00A12997"/>
    <w:rsid w:val="00A12AA4"/>
    <w:rsid w:val="00A12E3F"/>
    <w:rsid w:val="00A12FCB"/>
    <w:rsid w:val="00A12FF4"/>
    <w:rsid w:val="00A1312D"/>
    <w:rsid w:val="00A132AF"/>
    <w:rsid w:val="00A132F7"/>
    <w:rsid w:val="00A1377F"/>
    <w:rsid w:val="00A13839"/>
    <w:rsid w:val="00A13903"/>
    <w:rsid w:val="00A1393C"/>
    <w:rsid w:val="00A13A6A"/>
    <w:rsid w:val="00A13D36"/>
    <w:rsid w:val="00A13D38"/>
    <w:rsid w:val="00A13D90"/>
    <w:rsid w:val="00A13E1B"/>
    <w:rsid w:val="00A14086"/>
    <w:rsid w:val="00A1411E"/>
    <w:rsid w:val="00A141D6"/>
    <w:rsid w:val="00A142D4"/>
    <w:rsid w:val="00A1430D"/>
    <w:rsid w:val="00A14386"/>
    <w:rsid w:val="00A143D2"/>
    <w:rsid w:val="00A143F8"/>
    <w:rsid w:val="00A143FE"/>
    <w:rsid w:val="00A14506"/>
    <w:rsid w:val="00A1459D"/>
    <w:rsid w:val="00A145A9"/>
    <w:rsid w:val="00A146DD"/>
    <w:rsid w:val="00A14C4B"/>
    <w:rsid w:val="00A14CF1"/>
    <w:rsid w:val="00A14D1C"/>
    <w:rsid w:val="00A14D6F"/>
    <w:rsid w:val="00A14D73"/>
    <w:rsid w:val="00A14ED7"/>
    <w:rsid w:val="00A14EDB"/>
    <w:rsid w:val="00A14F00"/>
    <w:rsid w:val="00A14FBA"/>
    <w:rsid w:val="00A15065"/>
    <w:rsid w:val="00A150EF"/>
    <w:rsid w:val="00A15116"/>
    <w:rsid w:val="00A1517E"/>
    <w:rsid w:val="00A151FD"/>
    <w:rsid w:val="00A152CA"/>
    <w:rsid w:val="00A152D6"/>
    <w:rsid w:val="00A15300"/>
    <w:rsid w:val="00A15706"/>
    <w:rsid w:val="00A15828"/>
    <w:rsid w:val="00A159F4"/>
    <w:rsid w:val="00A15A99"/>
    <w:rsid w:val="00A15ABE"/>
    <w:rsid w:val="00A15C07"/>
    <w:rsid w:val="00A15D0D"/>
    <w:rsid w:val="00A15E11"/>
    <w:rsid w:val="00A15E26"/>
    <w:rsid w:val="00A15E67"/>
    <w:rsid w:val="00A15EF1"/>
    <w:rsid w:val="00A1602D"/>
    <w:rsid w:val="00A16074"/>
    <w:rsid w:val="00A160B0"/>
    <w:rsid w:val="00A1631E"/>
    <w:rsid w:val="00A1641F"/>
    <w:rsid w:val="00A1642C"/>
    <w:rsid w:val="00A16466"/>
    <w:rsid w:val="00A16517"/>
    <w:rsid w:val="00A16668"/>
    <w:rsid w:val="00A1677D"/>
    <w:rsid w:val="00A167D7"/>
    <w:rsid w:val="00A1693C"/>
    <w:rsid w:val="00A16B3B"/>
    <w:rsid w:val="00A16CE9"/>
    <w:rsid w:val="00A16EC9"/>
    <w:rsid w:val="00A17044"/>
    <w:rsid w:val="00A1706A"/>
    <w:rsid w:val="00A1713B"/>
    <w:rsid w:val="00A172D9"/>
    <w:rsid w:val="00A1730C"/>
    <w:rsid w:val="00A1735F"/>
    <w:rsid w:val="00A1744A"/>
    <w:rsid w:val="00A17570"/>
    <w:rsid w:val="00A1759D"/>
    <w:rsid w:val="00A17691"/>
    <w:rsid w:val="00A178D4"/>
    <w:rsid w:val="00A17924"/>
    <w:rsid w:val="00A1796B"/>
    <w:rsid w:val="00A17A04"/>
    <w:rsid w:val="00A17A75"/>
    <w:rsid w:val="00A17B5A"/>
    <w:rsid w:val="00A17B81"/>
    <w:rsid w:val="00A17C2C"/>
    <w:rsid w:val="00A17EA0"/>
    <w:rsid w:val="00A17F5E"/>
    <w:rsid w:val="00A2002F"/>
    <w:rsid w:val="00A200ED"/>
    <w:rsid w:val="00A201CE"/>
    <w:rsid w:val="00A20212"/>
    <w:rsid w:val="00A20278"/>
    <w:rsid w:val="00A202B3"/>
    <w:rsid w:val="00A20318"/>
    <w:rsid w:val="00A2038A"/>
    <w:rsid w:val="00A206B6"/>
    <w:rsid w:val="00A206D4"/>
    <w:rsid w:val="00A207C9"/>
    <w:rsid w:val="00A209D4"/>
    <w:rsid w:val="00A20ADB"/>
    <w:rsid w:val="00A20CF9"/>
    <w:rsid w:val="00A20E16"/>
    <w:rsid w:val="00A20E99"/>
    <w:rsid w:val="00A20F87"/>
    <w:rsid w:val="00A2103F"/>
    <w:rsid w:val="00A21151"/>
    <w:rsid w:val="00A21278"/>
    <w:rsid w:val="00A2144D"/>
    <w:rsid w:val="00A21760"/>
    <w:rsid w:val="00A21A04"/>
    <w:rsid w:val="00A21A20"/>
    <w:rsid w:val="00A21C7D"/>
    <w:rsid w:val="00A21F15"/>
    <w:rsid w:val="00A21FAB"/>
    <w:rsid w:val="00A21FFC"/>
    <w:rsid w:val="00A2201D"/>
    <w:rsid w:val="00A22070"/>
    <w:rsid w:val="00A220C6"/>
    <w:rsid w:val="00A22255"/>
    <w:rsid w:val="00A22308"/>
    <w:rsid w:val="00A22369"/>
    <w:rsid w:val="00A223B8"/>
    <w:rsid w:val="00A223D0"/>
    <w:rsid w:val="00A22417"/>
    <w:rsid w:val="00A22541"/>
    <w:rsid w:val="00A2260E"/>
    <w:rsid w:val="00A22706"/>
    <w:rsid w:val="00A22710"/>
    <w:rsid w:val="00A22836"/>
    <w:rsid w:val="00A22A01"/>
    <w:rsid w:val="00A22A71"/>
    <w:rsid w:val="00A22B86"/>
    <w:rsid w:val="00A22B87"/>
    <w:rsid w:val="00A22BC1"/>
    <w:rsid w:val="00A22C49"/>
    <w:rsid w:val="00A22C6B"/>
    <w:rsid w:val="00A22EEF"/>
    <w:rsid w:val="00A23039"/>
    <w:rsid w:val="00A2317F"/>
    <w:rsid w:val="00A232F6"/>
    <w:rsid w:val="00A23322"/>
    <w:rsid w:val="00A23343"/>
    <w:rsid w:val="00A233D1"/>
    <w:rsid w:val="00A23404"/>
    <w:rsid w:val="00A23590"/>
    <w:rsid w:val="00A236D7"/>
    <w:rsid w:val="00A237ED"/>
    <w:rsid w:val="00A2397A"/>
    <w:rsid w:val="00A23A80"/>
    <w:rsid w:val="00A23B97"/>
    <w:rsid w:val="00A23E29"/>
    <w:rsid w:val="00A23F4F"/>
    <w:rsid w:val="00A23FE4"/>
    <w:rsid w:val="00A2418C"/>
    <w:rsid w:val="00A24325"/>
    <w:rsid w:val="00A2456F"/>
    <w:rsid w:val="00A2459D"/>
    <w:rsid w:val="00A24696"/>
    <w:rsid w:val="00A247AC"/>
    <w:rsid w:val="00A2480E"/>
    <w:rsid w:val="00A248EE"/>
    <w:rsid w:val="00A249B4"/>
    <w:rsid w:val="00A249C9"/>
    <w:rsid w:val="00A24B68"/>
    <w:rsid w:val="00A24B7C"/>
    <w:rsid w:val="00A24CDA"/>
    <w:rsid w:val="00A24CED"/>
    <w:rsid w:val="00A24E1F"/>
    <w:rsid w:val="00A24EA0"/>
    <w:rsid w:val="00A24EB0"/>
    <w:rsid w:val="00A24ED1"/>
    <w:rsid w:val="00A2501A"/>
    <w:rsid w:val="00A25211"/>
    <w:rsid w:val="00A252C8"/>
    <w:rsid w:val="00A2543A"/>
    <w:rsid w:val="00A25494"/>
    <w:rsid w:val="00A2556E"/>
    <w:rsid w:val="00A25658"/>
    <w:rsid w:val="00A259E1"/>
    <w:rsid w:val="00A25A77"/>
    <w:rsid w:val="00A25AD9"/>
    <w:rsid w:val="00A25B09"/>
    <w:rsid w:val="00A25B8E"/>
    <w:rsid w:val="00A25C6D"/>
    <w:rsid w:val="00A25CA6"/>
    <w:rsid w:val="00A25D0D"/>
    <w:rsid w:val="00A25E6E"/>
    <w:rsid w:val="00A25F63"/>
    <w:rsid w:val="00A25F72"/>
    <w:rsid w:val="00A26179"/>
    <w:rsid w:val="00A263E8"/>
    <w:rsid w:val="00A265C5"/>
    <w:rsid w:val="00A26689"/>
    <w:rsid w:val="00A2668D"/>
    <w:rsid w:val="00A2680F"/>
    <w:rsid w:val="00A2685E"/>
    <w:rsid w:val="00A268DA"/>
    <w:rsid w:val="00A2691F"/>
    <w:rsid w:val="00A26974"/>
    <w:rsid w:val="00A26995"/>
    <w:rsid w:val="00A26AEE"/>
    <w:rsid w:val="00A26B17"/>
    <w:rsid w:val="00A26BFB"/>
    <w:rsid w:val="00A26BFF"/>
    <w:rsid w:val="00A26C6A"/>
    <w:rsid w:val="00A26CD5"/>
    <w:rsid w:val="00A26D25"/>
    <w:rsid w:val="00A26DBD"/>
    <w:rsid w:val="00A26E0B"/>
    <w:rsid w:val="00A26E31"/>
    <w:rsid w:val="00A26EBB"/>
    <w:rsid w:val="00A26F06"/>
    <w:rsid w:val="00A26FFA"/>
    <w:rsid w:val="00A27050"/>
    <w:rsid w:val="00A274E5"/>
    <w:rsid w:val="00A2751B"/>
    <w:rsid w:val="00A2761B"/>
    <w:rsid w:val="00A276E5"/>
    <w:rsid w:val="00A278BB"/>
    <w:rsid w:val="00A279BE"/>
    <w:rsid w:val="00A27A4F"/>
    <w:rsid w:val="00A27C55"/>
    <w:rsid w:val="00A27C71"/>
    <w:rsid w:val="00A27C79"/>
    <w:rsid w:val="00A27D1A"/>
    <w:rsid w:val="00A27D21"/>
    <w:rsid w:val="00A27F62"/>
    <w:rsid w:val="00A27F8D"/>
    <w:rsid w:val="00A301D7"/>
    <w:rsid w:val="00A302A7"/>
    <w:rsid w:val="00A30475"/>
    <w:rsid w:val="00A3051D"/>
    <w:rsid w:val="00A305C5"/>
    <w:rsid w:val="00A30636"/>
    <w:rsid w:val="00A306A7"/>
    <w:rsid w:val="00A3097A"/>
    <w:rsid w:val="00A3097E"/>
    <w:rsid w:val="00A30987"/>
    <w:rsid w:val="00A30D34"/>
    <w:rsid w:val="00A30F60"/>
    <w:rsid w:val="00A31061"/>
    <w:rsid w:val="00A31329"/>
    <w:rsid w:val="00A31576"/>
    <w:rsid w:val="00A3181A"/>
    <w:rsid w:val="00A319E8"/>
    <w:rsid w:val="00A31A79"/>
    <w:rsid w:val="00A31BDD"/>
    <w:rsid w:val="00A31C12"/>
    <w:rsid w:val="00A31EB6"/>
    <w:rsid w:val="00A31EED"/>
    <w:rsid w:val="00A31FFE"/>
    <w:rsid w:val="00A3220B"/>
    <w:rsid w:val="00A323A9"/>
    <w:rsid w:val="00A323F6"/>
    <w:rsid w:val="00A324B3"/>
    <w:rsid w:val="00A325AF"/>
    <w:rsid w:val="00A329C3"/>
    <w:rsid w:val="00A32A71"/>
    <w:rsid w:val="00A32BC8"/>
    <w:rsid w:val="00A32DE4"/>
    <w:rsid w:val="00A32E3C"/>
    <w:rsid w:val="00A32E4A"/>
    <w:rsid w:val="00A32EC7"/>
    <w:rsid w:val="00A32F3C"/>
    <w:rsid w:val="00A32FB9"/>
    <w:rsid w:val="00A33086"/>
    <w:rsid w:val="00A330AA"/>
    <w:rsid w:val="00A33298"/>
    <w:rsid w:val="00A332A0"/>
    <w:rsid w:val="00A33317"/>
    <w:rsid w:val="00A334ED"/>
    <w:rsid w:val="00A33525"/>
    <w:rsid w:val="00A33892"/>
    <w:rsid w:val="00A338BF"/>
    <w:rsid w:val="00A33A60"/>
    <w:rsid w:val="00A33B2B"/>
    <w:rsid w:val="00A33BED"/>
    <w:rsid w:val="00A33C37"/>
    <w:rsid w:val="00A33C68"/>
    <w:rsid w:val="00A3422F"/>
    <w:rsid w:val="00A34254"/>
    <w:rsid w:val="00A34267"/>
    <w:rsid w:val="00A34276"/>
    <w:rsid w:val="00A343E5"/>
    <w:rsid w:val="00A3444A"/>
    <w:rsid w:val="00A344C0"/>
    <w:rsid w:val="00A345D0"/>
    <w:rsid w:val="00A34650"/>
    <w:rsid w:val="00A346AC"/>
    <w:rsid w:val="00A34711"/>
    <w:rsid w:val="00A3475D"/>
    <w:rsid w:val="00A347EE"/>
    <w:rsid w:val="00A3481E"/>
    <w:rsid w:val="00A348CD"/>
    <w:rsid w:val="00A34908"/>
    <w:rsid w:val="00A34A25"/>
    <w:rsid w:val="00A34AFC"/>
    <w:rsid w:val="00A34C5E"/>
    <w:rsid w:val="00A34C8F"/>
    <w:rsid w:val="00A34D83"/>
    <w:rsid w:val="00A34D9A"/>
    <w:rsid w:val="00A34E8A"/>
    <w:rsid w:val="00A34FA1"/>
    <w:rsid w:val="00A35091"/>
    <w:rsid w:val="00A3519F"/>
    <w:rsid w:val="00A3520D"/>
    <w:rsid w:val="00A35243"/>
    <w:rsid w:val="00A3533D"/>
    <w:rsid w:val="00A353EA"/>
    <w:rsid w:val="00A354D2"/>
    <w:rsid w:val="00A354D3"/>
    <w:rsid w:val="00A35500"/>
    <w:rsid w:val="00A35974"/>
    <w:rsid w:val="00A35A39"/>
    <w:rsid w:val="00A35C9E"/>
    <w:rsid w:val="00A35DC2"/>
    <w:rsid w:val="00A35DEF"/>
    <w:rsid w:val="00A35E81"/>
    <w:rsid w:val="00A36002"/>
    <w:rsid w:val="00A360B5"/>
    <w:rsid w:val="00A36278"/>
    <w:rsid w:val="00A36467"/>
    <w:rsid w:val="00A36485"/>
    <w:rsid w:val="00A3662F"/>
    <w:rsid w:val="00A366A0"/>
    <w:rsid w:val="00A367EB"/>
    <w:rsid w:val="00A36A95"/>
    <w:rsid w:val="00A36C7B"/>
    <w:rsid w:val="00A36D46"/>
    <w:rsid w:val="00A36E29"/>
    <w:rsid w:val="00A37152"/>
    <w:rsid w:val="00A37186"/>
    <w:rsid w:val="00A37205"/>
    <w:rsid w:val="00A3733A"/>
    <w:rsid w:val="00A37355"/>
    <w:rsid w:val="00A3736D"/>
    <w:rsid w:val="00A37532"/>
    <w:rsid w:val="00A37579"/>
    <w:rsid w:val="00A375B4"/>
    <w:rsid w:val="00A37822"/>
    <w:rsid w:val="00A378AC"/>
    <w:rsid w:val="00A378FE"/>
    <w:rsid w:val="00A37A87"/>
    <w:rsid w:val="00A37ABD"/>
    <w:rsid w:val="00A37B0E"/>
    <w:rsid w:val="00A37C6F"/>
    <w:rsid w:val="00A37CD3"/>
    <w:rsid w:val="00A37D9B"/>
    <w:rsid w:val="00A37EF6"/>
    <w:rsid w:val="00A37F96"/>
    <w:rsid w:val="00A400E3"/>
    <w:rsid w:val="00A40155"/>
    <w:rsid w:val="00A401F4"/>
    <w:rsid w:val="00A4025C"/>
    <w:rsid w:val="00A4040B"/>
    <w:rsid w:val="00A404E0"/>
    <w:rsid w:val="00A406F1"/>
    <w:rsid w:val="00A4075A"/>
    <w:rsid w:val="00A40812"/>
    <w:rsid w:val="00A40880"/>
    <w:rsid w:val="00A4090F"/>
    <w:rsid w:val="00A4095B"/>
    <w:rsid w:val="00A40A5B"/>
    <w:rsid w:val="00A40A79"/>
    <w:rsid w:val="00A40ACF"/>
    <w:rsid w:val="00A40C44"/>
    <w:rsid w:val="00A40D3B"/>
    <w:rsid w:val="00A40D48"/>
    <w:rsid w:val="00A40D9E"/>
    <w:rsid w:val="00A40EF6"/>
    <w:rsid w:val="00A410D1"/>
    <w:rsid w:val="00A4131A"/>
    <w:rsid w:val="00A41337"/>
    <w:rsid w:val="00A4144C"/>
    <w:rsid w:val="00A414BA"/>
    <w:rsid w:val="00A4154B"/>
    <w:rsid w:val="00A41638"/>
    <w:rsid w:val="00A41736"/>
    <w:rsid w:val="00A418AF"/>
    <w:rsid w:val="00A41A67"/>
    <w:rsid w:val="00A41A6D"/>
    <w:rsid w:val="00A41B6A"/>
    <w:rsid w:val="00A41CE0"/>
    <w:rsid w:val="00A41D41"/>
    <w:rsid w:val="00A41D76"/>
    <w:rsid w:val="00A41D7E"/>
    <w:rsid w:val="00A41D90"/>
    <w:rsid w:val="00A41DDB"/>
    <w:rsid w:val="00A41DDF"/>
    <w:rsid w:val="00A42094"/>
    <w:rsid w:val="00A42394"/>
    <w:rsid w:val="00A424F1"/>
    <w:rsid w:val="00A4252F"/>
    <w:rsid w:val="00A4269E"/>
    <w:rsid w:val="00A426A9"/>
    <w:rsid w:val="00A42705"/>
    <w:rsid w:val="00A427C2"/>
    <w:rsid w:val="00A427F5"/>
    <w:rsid w:val="00A4289D"/>
    <w:rsid w:val="00A428A2"/>
    <w:rsid w:val="00A429FB"/>
    <w:rsid w:val="00A42C5A"/>
    <w:rsid w:val="00A42DB7"/>
    <w:rsid w:val="00A42DDD"/>
    <w:rsid w:val="00A43167"/>
    <w:rsid w:val="00A432BA"/>
    <w:rsid w:val="00A432DB"/>
    <w:rsid w:val="00A4346A"/>
    <w:rsid w:val="00A43512"/>
    <w:rsid w:val="00A4352C"/>
    <w:rsid w:val="00A4354A"/>
    <w:rsid w:val="00A4363D"/>
    <w:rsid w:val="00A4374C"/>
    <w:rsid w:val="00A43830"/>
    <w:rsid w:val="00A439D7"/>
    <w:rsid w:val="00A43AF3"/>
    <w:rsid w:val="00A43C34"/>
    <w:rsid w:val="00A43C62"/>
    <w:rsid w:val="00A43C6A"/>
    <w:rsid w:val="00A43CB8"/>
    <w:rsid w:val="00A43E0D"/>
    <w:rsid w:val="00A4412E"/>
    <w:rsid w:val="00A44170"/>
    <w:rsid w:val="00A444CF"/>
    <w:rsid w:val="00A44574"/>
    <w:rsid w:val="00A445A7"/>
    <w:rsid w:val="00A445C1"/>
    <w:rsid w:val="00A445D3"/>
    <w:rsid w:val="00A44766"/>
    <w:rsid w:val="00A447F4"/>
    <w:rsid w:val="00A448CC"/>
    <w:rsid w:val="00A44939"/>
    <w:rsid w:val="00A4497A"/>
    <w:rsid w:val="00A449CC"/>
    <w:rsid w:val="00A44AE0"/>
    <w:rsid w:val="00A44DC8"/>
    <w:rsid w:val="00A44DDD"/>
    <w:rsid w:val="00A44E27"/>
    <w:rsid w:val="00A44F7A"/>
    <w:rsid w:val="00A44FF4"/>
    <w:rsid w:val="00A450C8"/>
    <w:rsid w:val="00A45404"/>
    <w:rsid w:val="00A45408"/>
    <w:rsid w:val="00A45494"/>
    <w:rsid w:val="00A456C5"/>
    <w:rsid w:val="00A4577C"/>
    <w:rsid w:val="00A45878"/>
    <w:rsid w:val="00A45969"/>
    <w:rsid w:val="00A459E9"/>
    <w:rsid w:val="00A45BB0"/>
    <w:rsid w:val="00A45D3C"/>
    <w:rsid w:val="00A45D6F"/>
    <w:rsid w:val="00A45D89"/>
    <w:rsid w:val="00A45DF4"/>
    <w:rsid w:val="00A46009"/>
    <w:rsid w:val="00A46083"/>
    <w:rsid w:val="00A46118"/>
    <w:rsid w:val="00A4638B"/>
    <w:rsid w:val="00A4639A"/>
    <w:rsid w:val="00A4642A"/>
    <w:rsid w:val="00A464E4"/>
    <w:rsid w:val="00A46736"/>
    <w:rsid w:val="00A4681F"/>
    <w:rsid w:val="00A46942"/>
    <w:rsid w:val="00A46AE9"/>
    <w:rsid w:val="00A46B03"/>
    <w:rsid w:val="00A46E08"/>
    <w:rsid w:val="00A470A8"/>
    <w:rsid w:val="00A47135"/>
    <w:rsid w:val="00A471A7"/>
    <w:rsid w:val="00A471B6"/>
    <w:rsid w:val="00A472C7"/>
    <w:rsid w:val="00A4741C"/>
    <w:rsid w:val="00A4742E"/>
    <w:rsid w:val="00A47493"/>
    <w:rsid w:val="00A47665"/>
    <w:rsid w:val="00A476AC"/>
    <w:rsid w:val="00A47731"/>
    <w:rsid w:val="00A47761"/>
    <w:rsid w:val="00A4786A"/>
    <w:rsid w:val="00A47A6C"/>
    <w:rsid w:val="00A47C37"/>
    <w:rsid w:val="00A47C87"/>
    <w:rsid w:val="00A47D78"/>
    <w:rsid w:val="00A47EED"/>
    <w:rsid w:val="00A47FF0"/>
    <w:rsid w:val="00A50300"/>
    <w:rsid w:val="00A50315"/>
    <w:rsid w:val="00A50530"/>
    <w:rsid w:val="00A507F9"/>
    <w:rsid w:val="00A508AD"/>
    <w:rsid w:val="00A508EC"/>
    <w:rsid w:val="00A508F6"/>
    <w:rsid w:val="00A509DC"/>
    <w:rsid w:val="00A509FA"/>
    <w:rsid w:val="00A50A3E"/>
    <w:rsid w:val="00A50A8D"/>
    <w:rsid w:val="00A50BBF"/>
    <w:rsid w:val="00A50C2A"/>
    <w:rsid w:val="00A50C30"/>
    <w:rsid w:val="00A50DB1"/>
    <w:rsid w:val="00A51090"/>
    <w:rsid w:val="00A51226"/>
    <w:rsid w:val="00A51230"/>
    <w:rsid w:val="00A5125E"/>
    <w:rsid w:val="00A51319"/>
    <w:rsid w:val="00A5135A"/>
    <w:rsid w:val="00A5138A"/>
    <w:rsid w:val="00A513A6"/>
    <w:rsid w:val="00A51650"/>
    <w:rsid w:val="00A517DC"/>
    <w:rsid w:val="00A51841"/>
    <w:rsid w:val="00A5192F"/>
    <w:rsid w:val="00A519D3"/>
    <w:rsid w:val="00A51AFF"/>
    <w:rsid w:val="00A51B40"/>
    <w:rsid w:val="00A51C84"/>
    <w:rsid w:val="00A51CA1"/>
    <w:rsid w:val="00A51D9D"/>
    <w:rsid w:val="00A51E0F"/>
    <w:rsid w:val="00A51F1F"/>
    <w:rsid w:val="00A52000"/>
    <w:rsid w:val="00A520A2"/>
    <w:rsid w:val="00A5227E"/>
    <w:rsid w:val="00A5235F"/>
    <w:rsid w:val="00A52460"/>
    <w:rsid w:val="00A524A7"/>
    <w:rsid w:val="00A52623"/>
    <w:rsid w:val="00A526A9"/>
    <w:rsid w:val="00A52779"/>
    <w:rsid w:val="00A52877"/>
    <w:rsid w:val="00A52905"/>
    <w:rsid w:val="00A52934"/>
    <w:rsid w:val="00A52977"/>
    <w:rsid w:val="00A52B97"/>
    <w:rsid w:val="00A52F61"/>
    <w:rsid w:val="00A52FB1"/>
    <w:rsid w:val="00A5303F"/>
    <w:rsid w:val="00A5304B"/>
    <w:rsid w:val="00A53125"/>
    <w:rsid w:val="00A5317B"/>
    <w:rsid w:val="00A53222"/>
    <w:rsid w:val="00A53319"/>
    <w:rsid w:val="00A53344"/>
    <w:rsid w:val="00A5341C"/>
    <w:rsid w:val="00A534FE"/>
    <w:rsid w:val="00A535E3"/>
    <w:rsid w:val="00A535FD"/>
    <w:rsid w:val="00A53813"/>
    <w:rsid w:val="00A5387D"/>
    <w:rsid w:val="00A539FB"/>
    <w:rsid w:val="00A53A57"/>
    <w:rsid w:val="00A53ACB"/>
    <w:rsid w:val="00A53BF9"/>
    <w:rsid w:val="00A53EE5"/>
    <w:rsid w:val="00A53FDD"/>
    <w:rsid w:val="00A54028"/>
    <w:rsid w:val="00A54035"/>
    <w:rsid w:val="00A540F8"/>
    <w:rsid w:val="00A542C6"/>
    <w:rsid w:val="00A542D6"/>
    <w:rsid w:val="00A5473E"/>
    <w:rsid w:val="00A548AB"/>
    <w:rsid w:val="00A54BAA"/>
    <w:rsid w:val="00A54D59"/>
    <w:rsid w:val="00A54F36"/>
    <w:rsid w:val="00A5505E"/>
    <w:rsid w:val="00A55231"/>
    <w:rsid w:val="00A5540F"/>
    <w:rsid w:val="00A556B0"/>
    <w:rsid w:val="00A5571C"/>
    <w:rsid w:val="00A5576A"/>
    <w:rsid w:val="00A557DE"/>
    <w:rsid w:val="00A5581D"/>
    <w:rsid w:val="00A5586A"/>
    <w:rsid w:val="00A559A0"/>
    <w:rsid w:val="00A55AE0"/>
    <w:rsid w:val="00A55D32"/>
    <w:rsid w:val="00A55E9B"/>
    <w:rsid w:val="00A56203"/>
    <w:rsid w:val="00A56372"/>
    <w:rsid w:val="00A563E1"/>
    <w:rsid w:val="00A5646B"/>
    <w:rsid w:val="00A56486"/>
    <w:rsid w:val="00A56487"/>
    <w:rsid w:val="00A56575"/>
    <w:rsid w:val="00A565CB"/>
    <w:rsid w:val="00A5667D"/>
    <w:rsid w:val="00A56690"/>
    <w:rsid w:val="00A56C63"/>
    <w:rsid w:val="00A57068"/>
    <w:rsid w:val="00A570A4"/>
    <w:rsid w:val="00A5718C"/>
    <w:rsid w:val="00A5719C"/>
    <w:rsid w:val="00A571DF"/>
    <w:rsid w:val="00A571FF"/>
    <w:rsid w:val="00A57200"/>
    <w:rsid w:val="00A574BA"/>
    <w:rsid w:val="00A57577"/>
    <w:rsid w:val="00A57652"/>
    <w:rsid w:val="00A578D5"/>
    <w:rsid w:val="00A5798E"/>
    <w:rsid w:val="00A57A81"/>
    <w:rsid w:val="00A57ACF"/>
    <w:rsid w:val="00A57B33"/>
    <w:rsid w:val="00A57DE3"/>
    <w:rsid w:val="00A57F1C"/>
    <w:rsid w:val="00A600BA"/>
    <w:rsid w:val="00A6020C"/>
    <w:rsid w:val="00A602CB"/>
    <w:rsid w:val="00A60615"/>
    <w:rsid w:val="00A60731"/>
    <w:rsid w:val="00A60ACF"/>
    <w:rsid w:val="00A60C89"/>
    <w:rsid w:val="00A60F6F"/>
    <w:rsid w:val="00A61004"/>
    <w:rsid w:val="00A6130A"/>
    <w:rsid w:val="00A61323"/>
    <w:rsid w:val="00A61788"/>
    <w:rsid w:val="00A6195A"/>
    <w:rsid w:val="00A61CEA"/>
    <w:rsid w:val="00A61D07"/>
    <w:rsid w:val="00A61E34"/>
    <w:rsid w:val="00A61E8A"/>
    <w:rsid w:val="00A61FC4"/>
    <w:rsid w:val="00A621C1"/>
    <w:rsid w:val="00A6250E"/>
    <w:rsid w:val="00A62601"/>
    <w:rsid w:val="00A6262B"/>
    <w:rsid w:val="00A62660"/>
    <w:rsid w:val="00A6286E"/>
    <w:rsid w:val="00A6295A"/>
    <w:rsid w:val="00A62A69"/>
    <w:rsid w:val="00A62C03"/>
    <w:rsid w:val="00A63056"/>
    <w:rsid w:val="00A63236"/>
    <w:rsid w:val="00A632DB"/>
    <w:rsid w:val="00A634E1"/>
    <w:rsid w:val="00A635B1"/>
    <w:rsid w:val="00A63847"/>
    <w:rsid w:val="00A638AB"/>
    <w:rsid w:val="00A63904"/>
    <w:rsid w:val="00A6392F"/>
    <w:rsid w:val="00A63CBA"/>
    <w:rsid w:val="00A63D0C"/>
    <w:rsid w:val="00A63D24"/>
    <w:rsid w:val="00A63D61"/>
    <w:rsid w:val="00A63F8B"/>
    <w:rsid w:val="00A6406A"/>
    <w:rsid w:val="00A641C0"/>
    <w:rsid w:val="00A641E0"/>
    <w:rsid w:val="00A64229"/>
    <w:rsid w:val="00A6447C"/>
    <w:rsid w:val="00A6448B"/>
    <w:rsid w:val="00A64577"/>
    <w:rsid w:val="00A64628"/>
    <w:rsid w:val="00A64717"/>
    <w:rsid w:val="00A647E7"/>
    <w:rsid w:val="00A6480B"/>
    <w:rsid w:val="00A64846"/>
    <w:rsid w:val="00A64C64"/>
    <w:rsid w:val="00A64DDA"/>
    <w:rsid w:val="00A64EF7"/>
    <w:rsid w:val="00A65196"/>
    <w:rsid w:val="00A651B5"/>
    <w:rsid w:val="00A651FA"/>
    <w:rsid w:val="00A65202"/>
    <w:rsid w:val="00A65217"/>
    <w:rsid w:val="00A65243"/>
    <w:rsid w:val="00A656D3"/>
    <w:rsid w:val="00A658E7"/>
    <w:rsid w:val="00A65A4F"/>
    <w:rsid w:val="00A65A8E"/>
    <w:rsid w:val="00A65AE1"/>
    <w:rsid w:val="00A65B58"/>
    <w:rsid w:val="00A65C36"/>
    <w:rsid w:val="00A65C81"/>
    <w:rsid w:val="00A65CAF"/>
    <w:rsid w:val="00A65FDD"/>
    <w:rsid w:val="00A660E1"/>
    <w:rsid w:val="00A6611D"/>
    <w:rsid w:val="00A6621C"/>
    <w:rsid w:val="00A66271"/>
    <w:rsid w:val="00A66272"/>
    <w:rsid w:val="00A66582"/>
    <w:rsid w:val="00A665DA"/>
    <w:rsid w:val="00A6676F"/>
    <w:rsid w:val="00A66926"/>
    <w:rsid w:val="00A6699C"/>
    <w:rsid w:val="00A669EC"/>
    <w:rsid w:val="00A66A10"/>
    <w:rsid w:val="00A66ACC"/>
    <w:rsid w:val="00A66B58"/>
    <w:rsid w:val="00A66BE7"/>
    <w:rsid w:val="00A66CDA"/>
    <w:rsid w:val="00A66E5B"/>
    <w:rsid w:val="00A6706E"/>
    <w:rsid w:val="00A6727F"/>
    <w:rsid w:val="00A672B1"/>
    <w:rsid w:val="00A672D4"/>
    <w:rsid w:val="00A672FD"/>
    <w:rsid w:val="00A67309"/>
    <w:rsid w:val="00A67356"/>
    <w:rsid w:val="00A675F6"/>
    <w:rsid w:val="00A676EE"/>
    <w:rsid w:val="00A67742"/>
    <w:rsid w:val="00A67820"/>
    <w:rsid w:val="00A67B57"/>
    <w:rsid w:val="00A67BE0"/>
    <w:rsid w:val="00A67DB0"/>
    <w:rsid w:val="00A67EEE"/>
    <w:rsid w:val="00A67FD3"/>
    <w:rsid w:val="00A7008C"/>
    <w:rsid w:val="00A7009C"/>
    <w:rsid w:val="00A70146"/>
    <w:rsid w:val="00A70222"/>
    <w:rsid w:val="00A7029F"/>
    <w:rsid w:val="00A70394"/>
    <w:rsid w:val="00A703B2"/>
    <w:rsid w:val="00A703EC"/>
    <w:rsid w:val="00A7046C"/>
    <w:rsid w:val="00A70615"/>
    <w:rsid w:val="00A70759"/>
    <w:rsid w:val="00A708C9"/>
    <w:rsid w:val="00A7099B"/>
    <w:rsid w:val="00A709DB"/>
    <w:rsid w:val="00A70A1E"/>
    <w:rsid w:val="00A70BD1"/>
    <w:rsid w:val="00A70C11"/>
    <w:rsid w:val="00A70C69"/>
    <w:rsid w:val="00A70CA6"/>
    <w:rsid w:val="00A70F43"/>
    <w:rsid w:val="00A70FAA"/>
    <w:rsid w:val="00A710CE"/>
    <w:rsid w:val="00A7112C"/>
    <w:rsid w:val="00A7124A"/>
    <w:rsid w:val="00A7128B"/>
    <w:rsid w:val="00A71425"/>
    <w:rsid w:val="00A714DB"/>
    <w:rsid w:val="00A71886"/>
    <w:rsid w:val="00A71A08"/>
    <w:rsid w:val="00A71BBC"/>
    <w:rsid w:val="00A71BD7"/>
    <w:rsid w:val="00A71BDA"/>
    <w:rsid w:val="00A71E1F"/>
    <w:rsid w:val="00A71E24"/>
    <w:rsid w:val="00A71EA5"/>
    <w:rsid w:val="00A720A9"/>
    <w:rsid w:val="00A72365"/>
    <w:rsid w:val="00A724D1"/>
    <w:rsid w:val="00A72554"/>
    <w:rsid w:val="00A72588"/>
    <w:rsid w:val="00A725FF"/>
    <w:rsid w:val="00A726A8"/>
    <w:rsid w:val="00A727F2"/>
    <w:rsid w:val="00A7296D"/>
    <w:rsid w:val="00A72A32"/>
    <w:rsid w:val="00A72A4A"/>
    <w:rsid w:val="00A72A76"/>
    <w:rsid w:val="00A72BA8"/>
    <w:rsid w:val="00A72BB8"/>
    <w:rsid w:val="00A72C24"/>
    <w:rsid w:val="00A72C2A"/>
    <w:rsid w:val="00A72C87"/>
    <w:rsid w:val="00A72E40"/>
    <w:rsid w:val="00A72E80"/>
    <w:rsid w:val="00A72FED"/>
    <w:rsid w:val="00A7314C"/>
    <w:rsid w:val="00A731A3"/>
    <w:rsid w:val="00A7331D"/>
    <w:rsid w:val="00A73375"/>
    <w:rsid w:val="00A73413"/>
    <w:rsid w:val="00A7348B"/>
    <w:rsid w:val="00A7349C"/>
    <w:rsid w:val="00A737BE"/>
    <w:rsid w:val="00A737CD"/>
    <w:rsid w:val="00A73A8E"/>
    <w:rsid w:val="00A73B9D"/>
    <w:rsid w:val="00A73C68"/>
    <w:rsid w:val="00A73CF6"/>
    <w:rsid w:val="00A73F70"/>
    <w:rsid w:val="00A73FDD"/>
    <w:rsid w:val="00A743F2"/>
    <w:rsid w:val="00A744AA"/>
    <w:rsid w:val="00A744E8"/>
    <w:rsid w:val="00A744ED"/>
    <w:rsid w:val="00A7452D"/>
    <w:rsid w:val="00A7454F"/>
    <w:rsid w:val="00A74690"/>
    <w:rsid w:val="00A748AD"/>
    <w:rsid w:val="00A7493D"/>
    <w:rsid w:val="00A749B8"/>
    <w:rsid w:val="00A74A8B"/>
    <w:rsid w:val="00A74DE3"/>
    <w:rsid w:val="00A74E82"/>
    <w:rsid w:val="00A74F40"/>
    <w:rsid w:val="00A74F56"/>
    <w:rsid w:val="00A75166"/>
    <w:rsid w:val="00A754B3"/>
    <w:rsid w:val="00A755B3"/>
    <w:rsid w:val="00A75854"/>
    <w:rsid w:val="00A758DC"/>
    <w:rsid w:val="00A7593F"/>
    <w:rsid w:val="00A759B3"/>
    <w:rsid w:val="00A759F6"/>
    <w:rsid w:val="00A75A39"/>
    <w:rsid w:val="00A75BD5"/>
    <w:rsid w:val="00A75BF6"/>
    <w:rsid w:val="00A75CC0"/>
    <w:rsid w:val="00A75CC3"/>
    <w:rsid w:val="00A75D30"/>
    <w:rsid w:val="00A75D4A"/>
    <w:rsid w:val="00A75DDC"/>
    <w:rsid w:val="00A75E57"/>
    <w:rsid w:val="00A76160"/>
    <w:rsid w:val="00A76589"/>
    <w:rsid w:val="00A76639"/>
    <w:rsid w:val="00A7684B"/>
    <w:rsid w:val="00A768AD"/>
    <w:rsid w:val="00A768EC"/>
    <w:rsid w:val="00A76A9F"/>
    <w:rsid w:val="00A76B01"/>
    <w:rsid w:val="00A76C40"/>
    <w:rsid w:val="00A76C77"/>
    <w:rsid w:val="00A76CD7"/>
    <w:rsid w:val="00A76D00"/>
    <w:rsid w:val="00A76D76"/>
    <w:rsid w:val="00A76F31"/>
    <w:rsid w:val="00A7705E"/>
    <w:rsid w:val="00A771C7"/>
    <w:rsid w:val="00A7729F"/>
    <w:rsid w:val="00A773C5"/>
    <w:rsid w:val="00A773CE"/>
    <w:rsid w:val="00A7746D"/>
    <w:rsid w:val="00A774A2"/>
    <w:rsid w:val="00A775AC"/>
    <w:rsid w:val="00A77715"/>
    <w:rsid w:val="00A778FC"/>
    <w:rsid w:val="00A779CF"/>
    <w:rsid w:val="00A779F3"/>
    <w:rsid w:val="00A77A8B"/>
    <w:rsid w:val="00A77B2B"/>
    <w:rsid w:val="00A77BDD"/>
    <w:rsid w:val="00A77BDE"/>
    <w:rsid w:val="00A77EEB"/>
    <w:rsid w:val="00A8031D"/>
    <w:rsid w:val="00A80611"/>
    <w:rsid w:val="00A807E1"/>
    <w:rsid w:val="00A80809"/>
    <w:rsid w:val="00A80842"/>
    <w:rsid w:val="00A80921"/>
    <w:rsid w:val="00A80A20"/>
    <w:rsid w:val="00A80D1D"/>
    <w:rsid w:val="00A80E86"/>
    <w:rsid w:val="00A810F8"/>
    <w:rsid w:val="00A81288"/>
    <w:rsid w:val="00A812F5"/>
    <w:rsid w:val="00A813B3"/>
    <w:rsid w:val="00A81520"/>
    <w:rsid w:val="00A81578"/>
    <w:rsid w:val="00A815E8"/>
    <w:rsid w:val="00A8167E"/>
    <w:rsid w:val="00A81943"/>
    <w:rsid w:val="00A819E8"/>
    <w:rsid w:val="00A81AA1"/>
    <w:rsid w:val="00A81C42"/>
    <w:rsid w:val="00A821D6"/>
    <w:rsid w:val="00A824B1"/>
    <w:rsid w:val="00A827C2"/>
    <w:rsid w:val="00A8284A"/>
    <w:rsid w:val="00A8291F"/>
    <w:rsid w:val="00A829CA"/>
    <w:rsid w:val="00A82A65"/>
    <w:rsid w:val="00A82C17"/>
    <w:rsid w:val="00A82C9B"/>
    <w:rsid w:val="00A82F99"/>
    <w:rsid w:val="00A82FF9"/>
    <w:rsid w:val="00A830B5"/>
    <w:rsid w:val="00A832E3"/>
    <w:rsid w:val="00A833DF"/>
    <w:rsid w:val="00A8378B"/>
    <w:rsid w:val="00A83897"/>
    <w:rsid w:val="00A838D7"/>
    <w:rsid w:val="00A83997"/>
    <w:rsid w:val="00A839FC"/>
    <w:rsid w:val="00A83AD4"/>
    <w:rsid w:val="00A83ADB"/>
    <w:rsid w:val="00A83BAB"/>
    <w:rsid w:val="00A83BCA"/>
    <w:rsid w:val="00A83C0F"/>
    <w:rsid w:val="00A83ED9"/>
    <w:rsid w:val="00A83FD7"/>
    <w:rsid w:val="00A84083"/>
    <w:rsid w:val="00A8418C"/>
    <w:rsid w:val="00A841C8"/>
    <w:rsid w:val="00A84297"/>
    <w:rsid w:val="00A843D8"/>
    <w:rsid w:val="00A84616"/>
    <w:rsid w:val="00A8469D"/>
    <w:rsid w:val="00A8472F"/>
    <w:rsid w:val="00A84745"/>
    <w:rsid w:val="00A84770"/>
    <w:rsid w:val="00A8479A"/>
    <w:rsid w:val="00A847EC"/>
    <w:rsid w:val="00A84805"/>
    <w:rsid w:val="00A8495C"/>
    <w:rsid w:val="00A84ACD"/>
    <w:rsid w:val="00A84B96"/>
    <w:rsid w:val="00A84DA6"/>
    <w:rsid w:val="00A84DC8"/>
    <w:rsid w:val="00A84F26"/>
    <w:rsid w:val="00A8507D"/>
    <w:rsid w:val="00A850B7"/>
    <w:rsid w:val="00A85148"/>
    <w:rsid w:val="00A852C9"/>
    <w:rsid w:val="00A8535F"/>
    <w:rsid w:val="00A8556C"/>
    <w:rsid w:val="00A8566C"/>
    <w:rsid w:val="00A856A0"/>
    <w:rsid w:val="00A8582C"/>
    <w:rsid w:val="00A858A2"/>
    <w:rsid w:val="00A858AB"/>
    <w:rsid w:val="00A859B6"/>
    <w:rsid w:val="00A85AB3"/>
    <w:rsid w:val="00A85B12"/>
    <w:rsid w:val="00A85C0E"/>
    <w:rsid w:val="00A85C51"/>
    <w:rsid w:val="00A85CA6"/>
    <w:rsid w:val="00A85D57"/>
    <w:rsid w:val="00A85DD4"/>
    <w:rsid w:val="00A85EF3"/>
    <w:rsid w:val="00A85F0E"/>
    <w:rsid w:val="00A85FCC"/>
    <w:rsid w:val="00A8615B"/>
    <w:rsid w:val="00A8621C"/>
    <w:rsid w:val="00A8675C"/>
    <w:rsid w:val="00A867DA"/>
    <w:rsid w:val="00A867E7"/>
    <w:rsid w:val="00A868EE"/>
    <w:rsid w:val="00A868F7"/>
    <w:rsid w:val="00A86BC6"/>
    <w:rsid w:val="00A86D6E"/>
    <w:rsid w:val="00A86E10"/>
    <w:rsid w:val="00A86E6E"/>
    <w:rsid w:val="00A87007"/>
    <w:rsid w:val="00A8716C"/>
    <w:rsid w:val="00A8717B"/>
    <w:rsid w:val="00A871A0"/>
    <w:rsid w:val="00A8725A"/>
    <w:rsid w:val="00A875C1"/>
    <w:rsid w:val="00A87608"/>
    <w:rsid w:val="00A876AB"/>
    <w:rsid w:val="00A8778D"/>
    <w:rsid w:val="00A877FD"/>
    <w:rsid w:val="00A877FE"/>
    <w:rsid w:val="00A87811"/>
    <w:rsid w:val="00A878D6"/>
    <w:rsid w:val="00A87918"/>
    <w:rsid w:val="00A8793E"/>
    <w:rsid w:val="00A879F8"/>
    <w:rsid w:val="00A87D64"/>
    <w:rsid w:val="00A9005B"/>
    <w:rsid w:val="00A90577"/>
    <w:rsid w:val="00A905BF"/>
    <w:rsid w:val="00A9060D"/>
    <w:rsid w:val="00A906AA"/>
    <w:rsid w:val="00A90811"/>
    <w:rsid w:val="00A9081B"/>
    <w:rsid w:val="00A90881"/>
    <w:rsid w:val="00A908F2"/>
    <w:rsid w:val="00A90AEB"/>
    <w:rsid w:val="00A90CAA"/>
    <w:rsid w:val="00A90D33"/>
    <w:rsid w:val="00A90D79"/>
    <w:rsid w:val="00A90F16"/>
    <w:rsid w:val="00A9106D"/>
    <w:rsid w:val="00A91090"/>
    <w:rsid w:val="00A910D0"/>
    <w:rsid w:val="00A9120B"/>
    <w:rsid w:val="00A913D5"/>
    <w:rsid w:val="00A914C9"/>
    <w:rsid w:val="00A91568"/>
    <w:rsid w:val="00A91700"/>
    <w:rsid w:val="00A9182F"/>
    <w:rsid w:val="00A9188B"/>
    <w:rsid w:val="00A91B00"/>
    <w:rsid w:val="00A91C4B"/>
    <w:rsid w:val="00A91CDD"/>
    <w:rsid w:val="00A91CE5"/>
    <w:rsid w:val="00A91DF7"/>
    <w:rsid w:val="00A91ED8"/>
    <w:rsid w:val="00A921E6"/>
    <w:rsid w:val="00A923F3"/>
    <w:rsid w:val="00A9253E"/>
    <w:rsid w:val="00A92591"/>
    <w:rsid w:val="00A9259C"/>
    <w:rsid w:val="00A9261A"/>
    <w:rsid w:val="00A92820"/>
    <w:rsid w:val="00A9287C"/>
    <w:rsid w:val="00A929EF"/>
    <w:rsid w:val="00A92BA7"/>
    <w:rsid w:val="00A92FF1"/>
    <w:rsid w:val="00A932CA"/>
    <w:rsid w:val="00A932DA"/>
    <w:rsid w:val="00A932DF"/>
    <w:rsid w:val="00A933E5"/>
    <w:rsid w:val="00A933EB"/>
    <w:rsid w:val="00A93430"/>
    <w:rsid w:val="00A93492"/>
    <w:rsid w:val="00A936F3"/>
    <w:rsid w:val="00A93714"/>
    <w:rsid w:val="00A93B29"/>
    <w:rsid w:val="00A93BA9"/>
    <w:rsid w:val="00A93C30"/>
    <w:rsid w:val="00A93C57"/>
    <w:rsid w:val="00A93EFB"/>
    <w:rsid w:val="00A93F8D"/>
    <w:rsid w:val="00A9400F"/>
    <w:rsid w:val="00A94019"/>
    <w:rsid w:val="00A94029"/>
    <w:rsid w:val="00A940C5"/>
    <w:rsid w:val="00A941BF"/>
    <w:rsid w:val="00A9425F"/>
    <w:rsid w:val="00A9442E"/>
    <w:rsid w:val="00A94455"/>
    <w:rsid w:val="00A94515"/>
    <w:rsid w:val="00A9455A"/>
    <w:rsid w:val="00A9463D"/>
    <w:rsid w:val="00A94A4E"/>
    <w:rsid w:val="00A94B19"/>
    <w:rsid w:val="00A94B1A"/>
    <w:rsid w:val="00A94B90"/>
    <w:rsid w:val="00A94CB1"/>
    <w:rsid w:val="00A94DCE"/>
    <w:rsid w:val="00A94E2E"/>
    <w:rsid w:val="00A94E48"/>
    <w:rsid w:val="00A94EA9"/>
    <w:rsid w:val="00A94FB0"/>
    <w:rsid w:val="00A95076"/>
    <w:rsid w:val="00A95568"/>
    <w:rsid w:val="00A95583"/>
    <w:rsid w:val="00A955D4"/>
    <w:rsid w:val="00A95632"/>
    <w:rsid w:val="00A956F6"/>
    <w:rsid w:val="00A95993"/>
    <w:rsid w:val="00A95A53"/>
    <w:rsid w:val="00A95A61"/>
    <w:rsid w:val="00A95CB5"/>
    <w:rsid w:val="00A95CCC"/>
    <w:rsid w:val="00A95CE1"/>
    <w:rsid w:val="00A95F96"/>
    <w:rsid w:val="00A96059"/>
    <w:rsid w:val="00A962F2"/>
    <w:rsid w:val="00A9632D"/>
    <w:rsid w:val="00A96477"/>
    <w:rsid w:val="00A9689F"/>
    <w:rsid w:val="00A96A21"/>
    <w:rsid w:val="00A96AAA"/>
    <w:rsid w:val="00A96CF5"/>
    <w:rsid w:val="00A96CFC"/>
    <w:rsid w:val="00A97021"/>
    <w:rsid w:val="00A97048"/>
    <w:rsid w:val="00A97109"/>
    <w:rsid w:val="00A97118"/>
    <w:rsid w:val="00A971B4"/>
    <w:rsid w:val="00A97291"/>
    <w:rsid w:val="00A974A7"/>
    <w:rsid w:val="00A975BB"/>
    <w:rsid w:val="00A976B1"/>
    <w:rsid w:val="00A97783"/>
    <w:rsid w:val="00A979FB"/>
    <w:rsid w:val="00A97AAE"/>
    <w:rsid w:val="00A97D71"/>
    <w:rsid w:val="00A97E52"/>
    <w:rsid w:val="00A97FC4"/>
    <w:rsid w:val="00A97FEB"/>
    <w:rsid w:val="00AA005B"/>
    <w:rsid w:val="00AA009C"/>
    <w:rsid w:val="00AA028E"/>
    <w:rsid w:val="00AA03A4"/>
    <w:rsid w:val="00AA051A"/>
    <w:rsid w:val="00AA051E"/>
    <w:rsid w:val="00AA0559"/>
    <w:rsid w:val="00AA057E"/>
    <w:rsid w:val="00AA0841"/>
    <w:rsid w:val="00AA09E8"/>
    <w:rsid w:val="00AA0A0A"/>
    <w:rsid w:val="00AA0A49"/>
    <w:rsid w:val="00AA0A72"/>
    <w:rsid w:val="00AA0B1E"/>
    <w:rsid w:val="00AA0C65"/>
    <w:rsid w:val="00AA0C8B"/>
    <w:rsid w:val="00AA0C96"/>
    <w:rsid w:val="00AA0F37"/>
    <w:rsid w:val="00AA13F4"/>
    <w:rsid w:val="00AA1424"/>
    <w:rsid w:val="00AA14C7"/>
    <w:rsid w:val="00AA1567"/>
    <w:rsid w:val="00AA1589"/>
    <w:rsid w:val="00AA16B4"/>
    <w:rsid w:val="00AA17A6"/>
    <w:rsid w:val="00AA18A6"/>
    <w:rsid w:val="00AA1984"/>
    <w:rsid w:val="00AA1A2B"/>
    <w:rsid w:val="00AA1A68"/>
    <w:rsid w:val="00AA1B5F"/>
    <w:rsid w:val="00AA1BAD"/>
    <w:rsid w:val="00AA1D03"/>
    <w:rsid w:val="00AA1FB0"/>
    <w:rsid w:val="00AA1FD2"/>
    <w:rsid w:val="00AA210E"/>
    <w:rsid w:val="00AA2156"/>
    <w:rsid w:val="00AA21AB"/>
    <w:rsid w:val="00AA21C9"/>
    <w:rsid w:val="00AA22E6"/>
    <w:rsid w:val="00AA23E6"/>
    <w:rsid w:val="00AA2400"/>
    <w:rsid w:val="00AA28D1"/>
    <w:rsid w:val="00AA2A90"/>
    <w:rsid w:val="00AA2D35"/>
    <w:rsid w:val="00AA2E40"/>
    <w:rsid w:val="00AA2F58"/>
    <w:rsid w:val="00AA3075"/>
    <w:rsid w:val="00AA31A4"/>
    <w:rsid w:val="00AA322E"/>
    <w:rsid w:val="00AA3395"/>
    <w:rsid w:val="00AA342E"/>
    <w:rsid w:val="00AA34B8"/>
    <w:rsid w:val="00AA34D8"/>
    <w:rsid w:val="00AA34DB"/>
    <w:rsid w:val="00AA34F4"/>
    <w:rsid w:val="00AA3645"/>
    <w:rsid w:val="00AA36D4"/>
    <w:rsid w:val="00AA3827"/>
    <w:rsid w:val="00AA384A"/>
    <w:rsid w:val="00AA396C"/>
    <w:rsid w:val="00AA397A"/>
    <w:rsid w:val="00AA3C9A"/>
    <w:rsid w:val="00AA3D08"/>
    <w:rsid w:val="00AA3E37"/>
    <w:rsid w:val="00AA3F51"/>
    <w:rsid w:val="00AA3F57"/>
    <w:rsid w:val="00AA40FC"/>
    <w:rsid w:val="00AA410B"/>
    <w:rsid w:val="00AA42B6"/>
    <w:rsid w:val="00AA4347"/>
    <w:rsid w:val="00AA445F"/>
    <w:rsid w:val="00AA44B9"/>
    <w:rsid w:val="00AA45A8"/>
    <w:rsid w:val="00AA46E8"/>
    <w:rsid w:val="00AA4745"/>
    <w:rsid w:val="00AA4A3B"/>
    <w:rsid w:val="00AA4BB9"/>
    <w:rsid w:val="00AA4BC3"/>
    <w:rsid w:val="00AA4CCE"/>
    <w:rsid w:val="00AA4CF3"/>
    <w:rsid w:val="00AA4DB9"/>
    <w:rsid w:val="00AA4E16"/>
    <w:rsid w:val="00AA4F2C"/>
    <w:rsid w:val="00AA4F53"/>
    <w:rsid w:val="00AA5073"/>
    <w:rsid w:val="00AA5231"/>
    <w:rsid w:val="00AA5356"/>
    <w:rsid w:val="00AA5438"/>
    <w:rsid w:val="00AA5467"/>
    <w:rsid w:val="00AA54C0"/>
    <w:rsid w:val="00AA54D9"/>
    <w:rsid w:val="00AA55F6"/>
    <w:rsid w:val="00AA5816"/>
    <w:rsid w:val="00AA5A60"/>
    <w:rsid w:val="00AA5C7E"/>
    <w:rsid w:val="00AA5DE0"/>
    <w:rsid w:val="00AA5E17"/>
    <w:rsid w:val="00AA5FCB"/>
    <w:rsid w:val="00AA5FEF"/>
    <w:rsid w:val="00AA60C0"/>
    <w:rsid w:val="00AA6246"/>
    <w:rsid w:val="00AA6485"/>
    <w:rsid w:val="00AA65A0"/>
    <w:rsid w:val="00AA65FD"/>
    <w:rsid w:val="00AA660E"/>
    <w:rsid w:val="00AA66CA"/>
    <w:rsid w:val="00AA66E3"/>
    <w:rsid w:val="00AA6761"/>
    <w:rsid w:val="00AA6809"/>
    <w:rsid w:val="00AA688B"/>
    <w:rsid w:val="00AA689D"/>
    <w:rsid w:val="00AA69FF"/>
    <w:rsid w:val="00AA6A3F"/>
    <w:rsid w:val="00AA6C8F"/>
    <w:rsid w:val="00AA713C"/>
    <w:rsid w:val="00AA7171"/>
    <w:rsid w:val="00AA724C"/>
    <w:rsid w:val="00AA7435"/>
    <w:rsid w:val="00AA74A4"/>
    <w:rsid w:val="00AA74E4"/>
    <w:rsid w:val="00AA7528"/>
    <w:rsid w:val="00AA7532"/>
    <w:rsid w:val="00AA77A2"/>
    <w:rsid w:val="00AA7A7E"/>
    <w:rsid w:val="00AA7A93"/>
    <w:rsid w:val="00AA7C6D"/>
    <w:rsid w:val="00AA7D0B"/>
    <w:rsid w:val="00AB01B6"/>
    <w:rsid w:val="00AB0543"/>
    <w:rsid w:val="00AB058B"/>
    <w:rsid w:val="00AB064F"/>
    <w:rsid w:val="00AB07A3"/>
    <w:rsid w:val="00AB0820"/>
    <w:rsid w:val="00AB08F3"/>
    <w:rsid w:val="00AB0B91"/>
    <w:rsid w:val="00AB0D19"/>
    <w:rsid w:val="00AB0DBA"/>
    <w:rsid w:val="00AB0DC9"/>
    <w:rsid w:val="00AB10D2"/>
    <w:rsid w:val="00AB118D"/>
    <w:rsid w:val="00AB13CE"/>
    <w:rsid w:val="00AB13D6"/>
    <w:rsid w:val="00AB15C2"/>
    <w:rsid w:val="00AB1609"/>
    <w:rsid w:val="00AB1705"/>
    <w:rsid w:val="00AB1710"/>
    <w:rsid w:val="00AB1855"/>
    <w:rsid w:val="00AB1A15"/>
    <w:rsid w:val="00AB1A7B"/>
    <w:rsid w:val="00AB1CF6"/>
    <w:rsid w:val="00AB1D6F"/>
    <w:rsid w:val="00AB1D90"/>
    <w:rsid w:val="00AB1E24"/>
    <w:rsid w:val="00AB1ECD"/>
    <w:rsid w:val="00AB1EE1"/>
    <w:rsid w:val="00AB1F30"/>
    <w:rsid w:val="00AB1FF5"/>
    <w:rsid w:val="00AB20A7"/>
    <w:rsid w:val="00AB2360"/>
    <w:rsid w:val="00AB23CC"/>
    <w:rsid w:val="00AB23E6"/>
    <w:rsid w:val="00AB24C0"/>
    <w:rsid w:val="00AB262E"/>
    <w:rsid w:val="00AB283C"/>
    <w:rsid w:val="00AB2A4A"/>
    <w:rsid w:val="00AB2A7B"/>
    <w:rsid w:val="00AB2AB8"/>
    <w:rsid w:val="00AB2AC2"/>
    <w:rsid w:val="00AB2B66"/>
    <w:rsid w:val="00AB2BB6"/>
    <w:rsid w:val="00AB2DC9"/>
    <w:rsid w:val="00AB2F12"/>
    <w:rsid w:val="00AB2F94"/>
    <w:rsid w:val="00AB2FF8"/>
    <w:rsid w:val="00AB3109"/>
    <w:rsid w:val="00AB312D"/>
    <w:rsid w:val="00AB321B"/>
    <w:rsid w:val="00AB3243"/>
    <w:rsid w:val="00AB32E0"/>
    <w:rsid w:val="00AB32E9"/>
    <w:rsid w:val="00AB34CA"/>
    <w:rsid w:val="00AB3665"/>
    <w:rsid w:val="00AB37A8"/>
    <w:rsid w:val="00AB3845"/>
    <w:rsid w:val="00AB3883"/>
    <w:rsid w:val="00AB38DA"/>
    <w:rsid w:val="00AB3AEB"/>
    <w:rsid w:val="00AB3B0B"/>
    <w:rsid w:val="00AB3B4F"/>
    <w:rsid w:val="00AB3BE7"/>
    <w:rsid w:val="00AB3C5D"/>
    <w:rsid w:val="00AB3D36"/>
    <w:rsid w:val="00AB3D50"/>
    <w:rsid w:val="00AB3F84"/>
    <w:rsid w:val="00AB4048"/>
    <w:rsid w:val="00AB4189"/>
    <w:rsid w:val="00AB41F3"/>
    <w:rsid w:val="00AB4313"/>
    <w:rsid w:val="00AB442E"/>
    <w:rsid w:val="00AB444A"/>
    <w:rsid w:val="00AB4464"/>
    <w:rsid w:val="00AB4544"/>
    <w:rsid w:val="00AB4915"/>
    <w:rsid w:val="00AB49D0"/>
    <w:rsid w:val="00AB4B01"/>
    <w:rsid w:val="00AB4B69"/>
    <w:rsid w:val="00AB5077"/>
    <w:rsid w:val="00AB515E"/>
    <w:rsid w:val="00AB5318"/>
    <w:rsid w:val="00AB533A"/>
    <w:rsid w:val="00AB53F2"/>
    <w:rsid w:val="00AB54A3"/>
    <w:rsid w:val="00AB57BF"/>
    <w:rsid w:val="00AB5882"/>
    <w:rsid w:val="00AB58D2"/>
    <w:rsid w:val="00AB58EA"/>
    <w:rsid w:val="00AB597F"/>
    <w:rsid w:val="00AB5A0E"/>
    <w:rsid w:val="00AB5A8A"/>
    <w:rsid w:val="00AB5BAF"/>
    <w:rsid w:val="00AB5C2A"/>
    <w:rsid w:val="00AB5C87"/>
    <w:rsid w:val="00AB5D10"/>
    <w:rsid w:val="00AB5EC3"/>
    <w:rsid w:val="00AB6064"/>
    <w:rsid w:val="00AB6093"/>
    <w:rsid w:val="00AB6113"/>
    <w:rsid w:val="00AB61B4"/>
    <w:rsid w:val="00AB6284"/>
    <w:rsid w:val="00AB6320"/>
    <w:rsid w:val="00AB63ED"/>
    <w:rsid w:val="00AB643A"/>
    <w:rsid w:val="00AB65E6"/>
    <w:rsid w:val="00AB6697"/>
    <w:rsid w:val="00AB6792"/>
    <w:rsid w:val="00AB67B1"/>
    <w:rsid w:val="00AB68DF"/>
    <w:rsid w:val="00AB692D"/>
    <w:rsid w:val="00AB696F"/>
    <w:rsid w:val="00AB6983"/>
    <w:rsid w:val="00AB6A95"/>
    <w:rsid w:val="00AB6CF9"/>
    <w:rsid w:val="00AB6E69"/>
    <w:rsid w:val="00AB6EA1"/>
    <w:rsid w:val="00AB70AC"/>
    <w:rsid w:val="00AB713B"/>
    <w:rsid w:val="00AB7222"/>
    <w:rsid w:val="00AB724E"/>
    <w:rsid w:val="00AB73DD"/>
    <w:rsid w:val="00AB73F9"/>
    <w:rsid w:val="00AB7461"/>
    <w:rsid w:val="00AB7696"/>
    <w:rsid w:val="00AB76C5"/>
    <w:rsid w:val="00AB77F4"/>
    <w:rsid w:val="00AB78F0"/>
    <w:rsid w:val="00AB7A62"/>
    <w:rsid w:val="00AB7ED1"/>
    <w:rsid w:val="00AB7F59"/>
    <w:rsid w:val="00AC0176"/>
    <w:rsid w:val="00AC0177"/>
    <w:rsid w:val="00AC01C7"/>
    <w:rsid w:val="00AC062D"/>
    <w:rsid w:val="00AC065E"/>
    <w:rsid w:val="00AC0684"/>
    <w:rsid w:val="00AC06D2"/>
    <w:rsid w:val="00AC093B"/>
    <w:rsid w:val="00AC0979"/>
    <w:rsid w:val="00AC09E5"/>
    <w:rsid w:val="00AC0A00"/>
    <w:rsid w:val="00AC0A9A"/>
    <w:rsid w:val="00AC0AE8"/>
    <w:rsid w:val="00AC0B00"/>
    <w:rsid w:val="00AC0CEC"/>
    <w:rsid w:val="00AC0F14"/>
    <w:rsid w:val="00AC107D"/>
    <w:rsid w:val="00AC115E"/>
    <w:rsid w:val="00AC11C2"/>
    <w:rsid w:val="00AC136B"/>
    <w:rsid w:val="00AC137D"/>
    <w:rsid w:val="00AC1395"/>
    <w:rsid w:val="00AC13D5"/>
    <w:rsid w:val="00AC15A0"/>
    <w:rsid w:val="00AC15A7"/>
    <w:rsid w:val="00AC16DF"/>
    <w:rsid w:val="00AC18D0"/>
    <w:rsid w:val="00AC18DF"/>
    <w:rsid w:val="00AC1923"/>
    <w:rsid w:val="00AC19F2"/>
    <w:rsid w:val="00AC1AAE"/>
    <w:rsid w:val="00AC1B53"/>
    <w:rsid w:val="00AC1CBD"/>
    <w:rsid w:val="00AC1DB4"/>
    <w:rsid w:val="00AC2009"/>
    <w:rsid w:val="00AC208B"/>
    <w:rsid w:val="00AC2272"/>
    <w:rsid w:val="00AC2273"/>
    <w:rsid w:val="00AC24CB"/>
    <w:rsid w:val="00AC2612"/>
    <w:rsid w:val="00AC2623"/>
    <w:rsid w:val="00AC2765"/>
    <w:rsid w:val="00AC27DA"/>
    <w:rsid w:val="00AC2875"/>
    <w:rsid w:val="00AC28BD"/>
    <w:rsid w:val="00AC2A36"/>
    <w:rsid w:val="00AC2A83"/>
    <w:rsid w:val="00AC2B19"/>
    <w:rsid w:val="00AC2B7B"/>
    <w:rsid w:val="00AC2C61"/>
    <w:rsid w:val="00AC2C77"/>
    <w:rsid w:val="00AC2DED"/>
    <w:rsid w:val="00AC313B"/>
    <w:rsid w:val="00AC3159"/>
    <w:rsid w:val="00AC31C7"/>
    <w:rsid w:val="00AC330A"/>
    <w:rsid w:val="00AC3346"/>
    <w:rsid w:val="00AC3434"/>
    <w:rsid w:val="00AC34B4"/>
    <w:rsid w:val="00AC361C"/>
    <w:rsid w:val="00AC36FF"/>
    <w:rsid w:val="00AC37EE"/>
    <w:rsid w:val="00AC3BEF"/>
    <w:rsid w:val="00AC3C07"/>
    <w:rsid w:val="00AC3C1C"/>
    <w:rsid w:val="00AC3DEE"/>
    <w:rsid w:val="00AC3DF4"/>
    <w:rsid w:val="00AC3E82"/>
    <w:rsid w:val="00AC3ECB"/>
    <w:rsid w:val="00AC3FC5"/>
    <w:rsid w:val="00AC42D2"/>
    <w:rsid w:val="00AC4428"/>
    <w:rsid w:val="00AC463E"/>
    <w:rsid w:val="00AC46BB"/>
    <w:rsid w:val="00AC4788"/>
    <w:rsid w:val="00AC47A4"/>
    <w:rsid w:val="00AC47CC"/>
    <w:rsid w:val="00AC4938"/>
    <w:rsid w:val="00AC4A18"/>
    <w:rsid w:val="00AC4C05"/>
    <w:rsid w:val="00AC4C4A"/>
    <w:rsid w:val="00AC4DF9"/>
    <w:rsid w:val="00AC5095"/>
    <w:rsid w:val="00AC50C7"/>
    <w:rsid w:val="00AC528F"/>
    <w:rsid w:val="00AC52E6"/>
    <w:rsid w:val="00AC541C"/>
    <w:rsid w:val="00AC5483"/>
    <w:rsid w:val="00AC57FA"/>
    <w:rsid w:val="00AC584F"/>
    <w:rsid w:val="00AC5A0A"/>
    <w:rsid w:val="00AC5C0F"/>
    <w:rsid w:val="00AC5C96"/>
    <w:rsid w:val="00AC608E"/>
    <w:rsid w:val="00AC62E4"/>
    <w:rsid w:val="00AC6374"/>
    <w:rsid w:val="00AC637A"/>
    <w:rsid w:val="00AC649E"/>
    <w:rsid w:val="00AC65B3"/>
    <w:rsid w:val="00AC65D5"/>
    <w:rsid w:val="00AC6628"/>
    <w:rsid w:val="00AC68E4"/>
    <w:rsid w:val="00AC6958"/>
    <w:rsid w:val="00AC6AAF"/>
    <w:rsid w:val="00AC6AF6"/>
    <w:rsid w:val="00AC6B15"/>
    <w:rsid w:val="00AC6B90"/>
    <w:rsid w:val="00AC6BEA"/>
    <w:rsid w:val="00AC6BF2"/>
    <w:rsid w:val="00AC6C3F"/>
    <w:rsid w:val="00AC6D46"/>
    <w:rsid w:val="00AC6DD6"/>
    <w:rsid w:val="00AC6F4B"/>
    <w:rsid w:val="00AC6FDA"/>
    <w:rsid w:val="00AC705F"/>
    <w:rsid w:val="00AC7077"/>
    <w:rsid w:val="00AC709C"/>
    <w:rsid w:val="00AC736E"/>
    <w:rsid w:val="00AC7696"/>
    <w:rsid w:val="00AC7737"/>
    <w:rsid w:val="00AC77E2"/>
    <w:rsid w:val="00AC7A47"/>
    <w:rsid w:val="00AC7B6F"/>
    <w:rsid w:val="00AC7BC3"/>
    <w:rsid w:val="00AC7C8B"/>
    <w:rsid w:val="00AC7CBA"/>
    <w:rsid w:val="00AC7D00"/>
    <w:rsid w:val="00AC7D8D"/>
    <w:rsid w:val="00AC7ECB"/>
    <w:rsid w:val="00AD0126"/>
    <w:rsid w:val="00AD014D"/>
    <w:rsid w:val="00AD016E"/>
    <w:rsid w:val="00AD026C"/>
    <w:rsid w:val="00AD028F"/>
    <w:rsid w:val="00AD02E1"/>
    <w:rsid w:val="00AD0671"/>
    <w:rsid w:val="00AD06D3"/>
    <w:rsid w:val="00AD0776"/>
    <w:rsid w:val="00AD0817"/>
    <w:rsid w:val="00AD0880"/>
    <w:rsid w:val="00AD0A76"/>
    <w:rsid w:val="00AD0D98"/>
    <w:rsid w:val="00AD1021"/>
    <w:rsid w:val="00AD10E8"/>
    <w:rsid w:val="00AD1158"/>
    <w:rsid w:val="00AD1568"/>
    <w:rsid w:val="00AD1796"/>
    <w:rsid w:val="00AD17FD"/>
    <w:rsid w:val="00AD1884"/>
    <w:rsid w:val="00AD1959"/>
    <w:rsid w:val="00AD19A6"/>
    <w:rsid w:val="00AD1AF4"/>
    <w:rsid w:val="00AD1B99"/>
    <w:rsid w:val="00AD1D0F"/>
    <w:rsid w:val="00AD1EBE"/>
    <w:rsid w:val="00AD2083"/>
    <w:rsid w:val="00AD21DA"/>
    <w:rsid w:val="00AD2601"/>
    <w:rsid w:val="00AD26E2"/>
    <w:rsid w:val="00AD2A57"/>
    <w:rsid w:val="00AD2AA2"/>
    <w:rsid w:val="00AD2AD2"/>
    <w:rsid w:val="00AD2C8A"/>
    <w:rsid w:val="00AD2CC7"/>
    <w:rsid w:val="00AD2ED2"/>
    <w:rsid w:val="00AD302F"/>
    <w:rsid w:val="00AD3163"/>
    <w:rsid w:val="00AD321A"/>
    <w:rsid w:val="00AD336C"/>
    <w:rsid w:val="00AD3592"/>
    <w:rsid w:val="00AD35FB"/>
    <w:rsid w:val="00AD3789"/>
    <w:rsid w:val="00AD3908"/>
    <w:rsid w:val="00AD39C0"/>
    <w:rsid w:val="00AD3A46"/>
    <w:rsid w:val="00AD3A63"/>
    <w:rsid w:val="00AD3B49"/>
    <w:rsid w:val="00AD3C37"/>
    <w:rsid w:val="00AD3D37"/>
    <w:rsid w:val="00AD3D8A"/>
    <w:rsid w:val="00AD3DEE"/>
    <w:rsid w:val="00AD3E37"/>
    <w:rsid w:val="00AD40D9"/>
    <w:rsid w:val="00AD429D"/>
    <w:rsid w:val="00AD444F"/>
    <w:rsid w:val="00AD46AD"/>
    <w:rsid w:val="00AD47F7"/>
    <w:rsid w:val="00AD4B54"/>
    <w:rsid w:val="00AD4D45"/>
    <w:rsid w:val="00AD4D9B"/>
    <w:rsid w:val="00AD4DC7"/>
    <w:rsid w:val="00AD4E20"/>
    <w:rsid w:val="00AD4EB8"/>
    <w:rsid w:val="00AD4FC8"/>
    <w:rsid w:val="00AD513E"/>
    <w:rsid w:val="00AD51A9"/>
    <w:rsid w:val="00AD52EE"/>
    <w:rsid w:val="00AD5369"/>
    <w:rsid w:val="00AD5518"/>
    <w:rsid w:val="00AD553C"/>
    <w:rsid w:val="00AD567E"/>
    <w:rsid w:val="00AD57E0"/>
    <w:rsid w:val="00AD5C75"/>
    <w:rsid w:val="00AD5D03"/>
    <w:rsid w:val="00AD5F0E"/>
    <w:rsid w:val="00AD5FE5"/>
    <w:rsid w:val="00AD601B"/>
    <w:rsid w:val="00AD61CF"/>
    <w:rsid w:val="00AD625B"/>
    <w:rsid w:val="00AD6688"/>
    <w:rsid w:val="00AD66DA"/>
    <w:rsid w:val="00AD66DC"/>
    <w:rsid w:val="00AD6798"/>
    <w:rsid w:val="00AD67B9"/>
    <w:rsid w:val="00AD6B1B"/>
    <w:rsid w:val="00AD6BAC"/>
    <w:rsid w:val="00AD6D8C"/>
    <w:rsid w:val="00AD6EEB"/>
    <w:rsid w:val="00AD6F10"/>
    <w:rsid w:val="00AD70C7"/>
    <w:rsid w:val="00AD7175"/>
    <w:rsid w:val="00AD7237"/>
    <w:rsid w:val="00AD73D8"/>
    <w:rsid w:val="00AD73ED"/>
    <w:rsid w:val="00AD741E"/>
    <w:rsid w:val="00AD7460"/>
    <w:rsid w:val="00AD7639"/>
    <w:rsid w:val="00AD76EB"/>
    <w:rsid w:val="00AD77F1"/>
    <w:rsid w:val="00AD78A5"/>
    <w:rsid w:val="00AD78E4"/>
    <w:rsid w:val="00AD796E"/>
    <w:rsid w:val="00AD7A6D"/>
    <w:rsid w:val="00AD7AC2"/>
    <w:rsid w:val="00AD7B1B"/>
    <w:rsid w:val="00AD7B4C"/>
    <w:rsid w:val="00AD7B84"/>
    <w:rsid w:val="00AD7D95"/>
    <w:rsid w:val="00AD7DC8"/>
    <w:rsid w:val="00AD7FED"/>
    <w:rsid w:val="00AD7FF4"/>
    <w:rsid w:val="00AE0082"/>
    <w:rsid w:val="00AE00B8"/>
    <w:rsid w:val="00AE0190"/>
    <w:rsid w:val="00AE024C"/>
    <w:rsid w:val="00AE02C8"/>
    <w:rsid w:val="00AE0302"/>
    <w:rsid w:val="00AE030E"/>
    <w:rsid w:val="00AE0330"/>
    <w:rsid w:val="00AE03CF"/>
    <w:rsid w:val="00AE066C"/>
    <w:rsid w:val="00AE06C5"/>
    <w:rsid w:val="00AE06C9"/>
    <w:rsid w:val="00AE06FB"/>
    <w:rsid w:val="00AE0891"/>
    <w:rsid w:val="00AE0A2C"/>
    <w:rsid w:val="00AE0B91"/>
    <w:rsid w:val="00AE0BE2"/>
    <w:rsid w:val="00AE0BE9"/>
    <w:rsid w:val="00AE0C9A"/>
    <w:rsid w:val="00AE0E35"/>
    <w:rsid w:val="00AE0E80"/>
    <w:rsid w:val="00AE0EC2"/>
    <w:rsid w:val="00AE10EC"/>
    <w:rsid w:val="00AE1133"/>
    <w:rsid w:val="00AE11AD"/>
    <w:rsid w:val="00AE14C3"/>
    <w:rsid w:val="00AE1597"/>
    <w:rsid w:val="00AE15C5"/>
    <w:rsid w:val="00AE16EE"/>
    <w:rsid w:val="00AE17CA"/>
    <w:rsid w:val="00AE18E1"/>
    <w:rsid w:val="00AE1911"/>
    <w:rsid w:val="00AE1944"/>
    <w:rsid w:val="00AE19C9"/>
    <w:rsid w:val="00AE1C99"/>
    <w:rsid w:val="00AE1D3A"/>
    <w:rsid w:val="00AE1FF9"/>
    <w:rsid w:val="00AE2326"/>
    <w:rsid w:val="00AE23FF"/>
    <w:rsid w:val="00AE2464"/>
    <w:rsid w:val="00AE2467"/>
    <w:rsid w:val="00AE2612"/>
    <w:rsid w:val="00AE261D"/>
    <w:rsid w:val="00AE27B4"/>
    <w:rsid w:val="00AE27D6"/>
    <w:rsid w:val="00AE2855"/>
    <w:rsid w:val="00AE28EB"/>
    <w:rsid w:val="00AE2927"/>
    <w:rsid w:val="00AE2ACF"/>
    <w:rsid w:val="00AE2ADB"/>
    <w:rsid w:val="00AE2C1C"/>
    <w:rsid w:val="00AE2FD7"/>
    <w:rsid w:val="00AE31F5"/>
    <w:rsid w:val="00AE3316"/>
    <w:rsid w:val="00AE3372"/>
    <w:rsid w:val="00AE37CE"/>
    <w:rsid w:val="00AE3824"/>
    <w:rsid w:val="00AE3898"/>
    <w:rsid w:val="00AE3960"/>
    <w:rsid w:val="00AE3A59"/>
    <w:rsid w:val="00AE3B2C"/>
    <w:rsid w:val="00AE3BE0"/>
    <w:rsid w:val="00AE3C07"/>
    <w:rsid w:val="00AE3CB2"/>
    <w:rsid w:val="00AE3D2E"/>
    <w:rsid w:val="00AE3D82"/>
    <w:rsid w:val="00AE42B7"/>
    <w:rsid w:val="00AE42C4"/>
    <w:rsid w:val="00AE4391"/>
    <w:rsid w:val="00AE44AC"/>
    <w:rsid w:val="00AE4556"/>
    <w:rsid w:val="00AE456D"/>
    <w:rsid w:val="00AE458A"/>
    <w:rsid w:val="00AE48C7"/>
    <w:rsid w:val="00AE490A"/>
    <w:rsid w:val="00AE4935"/>
    <w:rsid w:val="00AE49A9"/>
    <w:rsid w:val="00AE49D4"/>
    <w:rsid w:val="00AE4AC7"/>
    <w:rsid w:val="00AE4AEB"/>
    <w:rsid w:val="00AE4B3C"/>
    <w:rsid w:val="00AE4B93"/>
    <w:rsid w:val="00AE4CEF"/>
    <w:rsid w:val="00AE4DC6"/>
    <w:rsid w:val="00AE4EA9"/>
    <w:rsid w:val="00AE4FDE"/>
    <w:rsid w:val="00AE4FF9"/>
    <w:rsid w:val="00AE507B"/>
    <w:rsid w:val="00AE545E"/>
    <w:rsid w:val="00AE5610"/>
    <w:rsid w:val="00AE589B"/>
    <w:rsid w:val="00AE58AC"/>
    <w:rsid w:val="00AE5950"/>
    <w:rsid w:val="00AE5BF6"/>
    <w:rsid w:val="00AE60CD"/>
    <w:rsid w:val="00AE61E0"/>
    <w:rsid w:val="00AE61EE"/>
    <w:rsid w:val="00AE61F0"/>
    <w:rsid w:val="00AE6431"/>
    <w:rsid w:val="00AE6459"/>
    <w:rsid w:val="00AE6517"/>
    <w:rsid w:val="00AE65A3"/>
    <w:rsid w:val="00AE65E7"/>
    <w:rsid w:val="00AE681E"/>
    <w:rsid w:val="00AE68F9"/>
    <w:rsid w:val="00AE6908"/>
    <w:rsid w:val="00AE6A2B"/>
    <w:rsid w:val="00AE6A31"/>
    <w:rsid w:val="00AE6C52"/>
    <w:rsid w:val="00AE6D09"/>
    <w:rsid w:val="00AE6DDF"/>
    <w:rsid w:val="00AE6E36"/>
    <w:rsid w:val="00AE6F5B"/>
    <w:rsid w:val="00AE700F"/>
    <w:rsid w:val="00AE7129"/>
    <w:rsid w:val="00AE712A"/>
    <w:rsid w:val="00AE71A5"/>
    <w:rsid w:val="00AE71F5"/>
    <w:rsid w:val="00AE727E"/>
    <w:rsid w:val="00AE74AE"/>
    <w:rsid w:val="00AE765B"/>
    <w:rsid w:val="00AE7774"/>
    <w:rsid w:val="00AE7785"/>
    <w:rsid w:val="00AE7824"/>
    <w:rsid w:val="00AE78B0"/>
    <w:rsid w:val="00AE78B8"/>
    <w:rsid w:val="00AE78D4"/>
    <w:rsid w:val="00AE7903"/>
    <w:rsid w:val="00AE7B1F"/>
    <w:rsid w:val="00AE7CFC"/>
    <w:rsid w:val="00AE7D09"/>
    <w:rsid w:val="00AE7D38"/>
    <w:rsid w:val="00AE7D73"/>
    <w:rsid w:val="00AE7E2B"/>
    <w:rsid w:val="00AE7E60"/>
    <w:rsid w:val="00AE7FA5"/>
    <w:rsid w:val="00AF0047"/>
    <w:rsid w:val="00AF01A9"/>
    <w:rsid w:val="00AF01AE"/>
    <w:rsid w:val="00AF0362"/>
    <w:rsid w:val="00AF048F"/>
    <w:rsid w:val="00AF04B6"/>
    <w:rsid w:val="00AF066C"/>
    <w:rsid w:val="00AF07C8"/>
    <w:rsid w:val="00AF08C9"/>
    <w:rsid w:val="00AF0913"/>
    <w:rsid w:val="00AF0A7E"/>
    <w:rsid w:val="00AF0C1E"/>
    <w:rsid w:val="00AF0EF8"/>
    <w:rsid w:val="00AF1027"/>
    <w:rsid w:val="00AF11AC"/>
    <w:rsid w:val="00AF1349"/>
    <w:rsid w:val="00AF1371"/>
    <w:rsid w:val="00AF1376"/>
    <w:rsid w:val="00AF1561"/>
    <w:rsid w:val="00AF1755"/>
    <w:rsid w:val="00AF17BE"/>
    <w:rsid w:val="00AF181D"/>
    <w:rsid w:val="00AF1977"/>
    <w:rsid w:val="00AF1984"/>
    <w:rsid w:val="00AF1FFD"/>
    <w:rsid w:val="00AF2055"/>
    <w:rsid w:val="00AF235B"/>
    <w:rsid w:val="00AF2660"/>
    <w:rsid w:val="00AF2706"/>
    <w:rsid w:val="00AF27A4"/>
    <w:rsid w:val="00AF2883"/>
    <w:rsid w:val="00AF28B6"/>
    <w:rsid w:val="00AF28C5"/>
    <w:rsid w:val="00AF2957"/>
    <w:rsid w:val="00AF2A65"/>
    <w:rsid w:val="00AF2AB8"/>
    <w:rsid w:val="00AF2C9A"/>
    <w:rsid w:val="00AF2DC9"/>
    <w:rsid w:val="00AF2DF9"/>
    <w:rsid w:val="00AF2DFF"/>
    <w:rsid w:val="00AF2E2C"/>
    <w:rsid w:val="00AF2EB7"/>
    <w:rsid w:val="00AF2F89"/>
    <w:rsid w:val="00AF2FBA"/>
    <w:rsid w:val="00AF3116"/>
    <w:rsid w:val="00AF342C"/>
    <w:rsid w:val="00AF3478"/>
    <w:rsid w:val="00AF3568"/>
    <w:rsid w:val="00AF36A5"/>
    <w:rsid w:val="00AF392C"/>
    <w:rsid w:val="00AF3A11"/>
    <w:rsid w:val="00AF3C7F"/>
    <w:rsid w:val="00AF3D0A"/>
    <w:rsid w:val="00AF3D95"/>
    <w:rsid w:val="00AF3FDD"/>
    <w:rsid w:val="00AF4186"/>
    <w:rsid w:val="00AF41A6"/>
    <w:rsid w:val="00AF464B"/>
    <w:rsid w:val="00AF4738"/>
    <w:rsid w:val="00AF474F"/>
    <w:rsid w:val="00AF4794"/>
    <w:rsid w:val="00AF4975"/>
    <w:rsid w:val="00AF4978"/>
    <w:rsid w:val="00AF498D"/>
    <w:rsid w:val="00AF49A9"/>
    <w:rsid w:val="00AF4AC0"/>
    <w:rsid w:val="00AF4B71"/>
    <w:rsid w:val="00AF4B88"/>
    <w:rsid w:val="00AF4B8C"/>
    <w:rsid w:val="00AF4D41"/>
    <w:rsid w:val="00AF4D90"/>
    <w:rsid w:val="00AF4E11"/>
    <w:rsid w:val="00AF508A"/>
    <w:rsid w:val="00AF51FD"/>
    <w:rsid w:val="00AF52C0"/>
    <w:rsid w:val="00AF53EB"/>
    <w:rsid w:val="00AF5440"/>
    <w:rsid w:val="00AF548F"/>
    <w:rsid w:val="00AF54E0"/>
    <w:rsid w:val="00AF55F3"/>
    <w:rsid w:val="00AF5601"/>
    <w:rsid w:val="00AF5667"/>
    <w:rsid w:val="00AF5729"/>
    <w:rsid w:val="00AF5856"/>
    <w:rsid w:val="00AF595B"/>
    <w:rsid w:val="00AF5AA8"/>
    <w:rsid w:val="00AF5AC4"/>
    <w:rsid w:val="00AF5BC7"/>
    <w:rsid w:val="00AF5D2A"/>
    <w:rsid w:val="00AF5DCC"/>
    <w:rsid w:val="00AF5FD2"/>
    <w:rsid w:val="00AF606B"/>
    <w:rsid w:val="00AF6190"/>
    <w:rsid w:val="00AF628F"/>
    <w:rsid w:val="00AF6453"/>
    <w:rsid w:val="00AF65D4"/>
    <w:rsid w:val="00AF695F"/>
    <w:rsid w:val="00AF696B"/>
    <w:rsid w:val="00AF69FA"/>
    <w:rsid w:val="00AF6A0A"/>
    <w:rsid w:val="00AF6BC2"/>
    <w:rsid w:val="00AF6C3E"/>
    <w:rsid w:val="00AF6CB2"/>
    <w:rsid w:val="00AF6D45"/>
    <w:rsid w:val="00AF6D76"/>
    <w:rsid w:val="00AF6FF7"/>
    <w:rsid w:val="00AF70BF"/>
    <w:rsid w:val="00AF70C5"/>
    <w:rsid w:val="00AF71D2"/>
    <w:rsid w:val="00AF7432"/>
    <w:rsid w:val="00AF7471"/>
    <w:rsid w:val="00AF75B4"/>
    <w:rsid w:val="00AF762B"/>
    <w:rsid w:val="00AF7631"/>
    <w:rsid w:val="00AF7760"/>
    <w:rsid w:val="00AF788D"/>
    <w:rsid w:val="00AF7BAA"/>
    <w:rsid w:val="00AF7D35"/>
    <w:rsid w:val="00AF7E02"/>
    <w:rsid w:val="00B001E3"/>
    <w:rsid w:val="00B00355"/>
    <w:rsid w:val="00B00381"/>
    <w:rsid w:val="00B00435"/>
    <w:rsid w:val="00B00636"/>
    <w:rsid w:val="00B006FD"/>
    <w:rsid w:val="00B00758"/>
    <w:rsid w:val="00B007FD"/>
    <w:rsid w:val="00B0081E"/>
    <w:rsid w:val="00B00854"/>
    <w:rsid w:val="00B00950"/>
    <w:rsid w:val="00B00A10"/>
    <w:rsid w:val="00B00A12"/>
    <w:rsid w:val="00B00A6B"/>
    <w:rsid w:val="00B00B84"/>
    <w:rsid w:val="00B00C56"/>
    <w:rsid w:val="00B00D89"/>
    <w:rsid w:val="00B00DAF"/>
    <w:rsid w:val="00B00E1B"/>
    <w:rsid w:val="00B00E6A"/>
    <w:rsid w:val="00B00EF9"/>
    <w:rsid w:val="00B0123D"/>
    <w:rsid w:val="00B012C5"/>
    <w:rsid w:val="00B01356"/>
    <w:rsid w:val="00B013CF"/>
    <w:rsid w:val="00B014F8"/>
    <w:rsid w:val="00B0152F"/>
    <w:rsid w:val="00B01536"/>
    <w:rsid w:val="00B01555"/>
    <w:rsid w:val="00B016BD"/>
    <w:rsid w:val="00B017B2"/>
    <w:rsid w:val="00B0183D"/>
    <w:rsid w:val="00B019D2"/>
    <w:rsid w:val="00B01A31"/>
    <w:rsid w:val="00B01A40"/>
    <w:rsid w:val="00B01A78"/>
    <w:rsid w:val="00B01A83"/>
    <w:rsid w:val="00B01AEB"/>
    <w:rsid w:val="00B01E00"/>
    <w:rsid w:val="00B0208D"/>
    <w:rsid w:val="00B020BB"/>
    <w:rsid w:val="00B02176"/>
    <w:rsid w:val="00B021AA"/>
    <w:rsid w:val="00B0223C"/>
    <w:rsid w:val="00B022E6"/>
    <w:rsid w:val="00B02367"/>
    <w:rsid w:val="00B023BD"/>
    <w:rsid w:val="00B02606"/>
    <w:rsid w:val="00B02773"/>
    <w:rsid w:val="00B027BB"/>
    <w:rsid w:val="00B027BD"/>
    <w:rsid w:val="00B028A9"/>
    <w:rsid w:val="00B02973"/>
    <w:rsid w:val="00B02AF3"/>
    <w:rsid w:val="00B02BA3"/>
    <w:rsid w:val="00B02C11"/>
    <w:rsid w:val="00B02E0F"/>
    <w:rsid w:val="00B02E1C"/>
    <w:rsid w:val="00B02E24"/>
    <w:rsid w:val="00B03357"/>
    <w:rsid w:val="00B03364"/>
    <w:rsid w:val="00B03480"/>
    <w:rsid w:val="00B0360A"/>
    <w:rsid w:val="00B0367F"/>
    <w:rsid w:val="00B03910"/>
    <w:rsid w:val="00B03A6A"/>
    <w:rsid w:val="00B03B1A"/>
    <w:rsid w:val="00B03B46"/>
    <w:rsid w:val="00B03B71"/>
    <w:rsid w:val="00B03BBC"/>
    <w:rsid w:val="00B03BD3"/>
    <w:rsid w:val="00B03C2F"/>
    <w:rsid w:val="00B03DFA"/>
    <w:rsid w:val="00B03E27"/>
    <w:rsid w:val="00B03F0E"/>
    <w:rsid w:val="00B03FED"/>
    <w:rsid w:val="00B043EF"/>
    <w:rsid w:val="00B04414"/>
    <w:rsid w:val="00B04416"/>
    <w:rsid w:val="00B04582"/>
    <w:rsid w:val="00B0465C"/>
    <w:rsid w:val="00B0468C"/>
    <w:rsid w:val="00B046A2"/>
    <w:rsid w:val="00B048B9"/>
    <w:rsid w:val="00B04BA6"/>
    <w:rsid w:val="00B04BF5"/>
    <w:rsid w:val="00B04C54"/>
    <w:rsid w:val="00B04F0C"/>
    <w:rsid w:val="00B04F75"/>
    <w:rsid w:val="00B04FCB"/>
    <w:rsid w:val="00B05061"/>
    <w:rsid w:val="00B0510C"/>
    <w:rsid w:val="00B051B7"/>
    <w:rsid w:val="00B05438"/>
    <w:rsid w:val="00B054F3"/>
    <w:rsid w:val="00B05628"/>
    <w:rsid w:val="00B05784"/>
    <w:rsid w:val="00B057DB"/>
    <w:rsid w:val="00B0590C"/>
    <w:rsid w:val="00B05928"/>
    <w:rsid w:val="00B05AFF"/>
    <w:rsid w:val="00B05C40"/>
    <w:rsid w:val="00B05CB0"/>
    <w:rsid w:val="00B05CBE"/>
    <w:rsid w:val="00B06157"/>
    <w:rsid w:val="00B06188"/>
    <w:rsid w:val="00B0623A"/>
    <w:rsid w:val="00B06424"/>
    <w:rsid w:val="00B064E4"/>
    <w:rsid w:val="00B065C3"/>
    <w:rsid w:val="00B0678D"/>
    <w:rsid w:val="00B068A5"/>
    <w:rsid w:val="00B068B3"/>
    <w:rsid w:val="00B06982"/>
    <w:rsid w:val="00B069E2"/>
    <w:rsid w:val="00B06AF1"/>
    <w:rsid w:val="00B06C96"/>
    <w:rsid w:val="00B06CE0"/>
    <w:rsid w:val="00B06D1B"/>
    <w:rsid w:val="00B06D8B"/>
    <w:rsid w:val="00B06DB1"/>
    <w:rsid w:val="00B06F47"/>
    <w:rsid w:val="00B07168"/>
    <w:rsid w:val="00B072F6"/>
    <w:rsid w:val="00B07379"/>
    <w:rsid w:val="00B074F8"/>
    <w:rsid w:val="00B07921"/>
    <w:rsid w:val="00B07996"/>
    <w:rsid w:val="00B07A19"/>
    <w:rsid w:val="00B07A53"/>
    <w:rsid w:val="00B07A86"/>
    <w:rsid w:val="00B07B02"/>
    <w:rsid w:val="00B07CFD"/>
    <w:rsid w:val="00B07D71"/>
    <w:rsid w:val="00B07E3F"/>
    <w:rsid w:val="00B1019E"/>
    <w:rsid w:val="00B1035A"/>
    <w:rsid w:val="00B10380"/>
    <w:rsid w:val="00B103BF"/>
    <w:rsid w:val="00B10417"/>
    <w:rsid w:val="00B10439"/>
    <w:rsid w:val="00B1044C"/>
    <w:rsid w:val="00B106D4"/>
    <w:rsid w:val="00B1070D"/>
    <w:rsid w:val="00B1074D"/>
    <w:rsid w:val="00B10913"/>
    <w:rsid w:val="00B10A13"/>
    <w:rsid w:val="00B10AC7"/>
    <w:rsid w:val="00B10AE2"/>
    <w:rsid w:val="00B10C96"/>
    <w:rsid w:val="00B10D9C"/>
    <w:rsid w:val="00B10E36"/>
    <w:rsid w:val="00B10E56"/>
    <w:rsid w:val="00B10ECB"/>
    <w:rsid w:val="00B1105C"/>
    <w:rsid w:val="00B11087"/>
    <w:rsid w:val="00B1108A"/>
    <w:rsid w:val="00B11237"/>
    <w:rsid w:val="00B11446"/>
    <w:rsid w:val="00B11458"/>
    <w:rsid w:val="00B1151E"/>
    <w:rsid w:val="00B1198B"/>
    <w:rsid w:val="00B11A03"/>
    <w:rsid w:val="00B11D64"/>
    <w:rsid w:val="00B11E6F"/>
    <w:rsid w:val="00B11E82"/>
    <w:rsid w:val="00B11E85"/>
    <w:rsid w:val="00B11EA2"/>
    <w:rsid w:val="00B11F7D"/>
    <w:rsid w:val="00B11FF6"/>
    <w:rsid w:val="00B12004"/>
    <w:rsid w:val="00B1216D"/>
    <w:rsid w:val="00B12251"/>
    <w:rsid w:val="00B12327"/>
    <w:rsid w:val="00B12363"/>
    <w:rsid w:val="00B12576"/>
    <w:rsid w:val="00B125E2"/>
    <w:rsid w:val="00B12601"/>
    <w:rsid w:val="00B1273B"/>
    <w:rsid w:val="00B1274F"/>
    <w:rsid w:val="00B127CB"/>
    <w:rsid w:val="00B1298F"/>
    <w:rsid w:val="00B12A90"/>
    <w:rsid w:val="00B12BAF"/>
    <w:rsid w:val="00B12C69"/>
    <w:rsid w:val="00B12DC0"/>
    <w:rsid w:val="00B12E75"/>
    <w:rsid w:val="00B13376"/>
    <w:rsid w:val="00B13453"/>
    <w:rsid w:val="00B134A6"/>
    <w:rsid w:val="00B136F1"/>
    <w:rsid w:val="00B13768"/>
    <w:rsid w:val="00B138CF"/>
    <w:rsid w:val="00B1390C"/>
    <w:rsid w:val="00B13917"/>
    <w:rsid w:val="00B1397E"/>
    <w:rsid w:val="00B13B62"/>
    <w:rsid w:val="00B13C20"/>
    <w:rsid w:val="00B13CAB"/>
    <w:rsid w:val="00B13D23"/>
    <w:rsid w:val="00B13D89"/>
    <w:rsid w:val="00B13DEB"/>
    <w:rsid w:val="00B13DF0"/>
    <w:rsid w:val="00B13F64"/>
    <w:rsid w:val="00B14006"/>
    <w:rsid w:val="00B14077"/>
    <w:rsid w:val="00B140CC"/>
    <w:rsid w:val="00B140F5"/>
    <w:rsid w:val="00B14241"/>
    <w:rsid w:val="00B14271"/>
    <w:rsid w:val="00B142F8"/>
    <w:rsid w:val="00B1437F"/>
    <w:rsid w:val="00B14416"/>
    <w:rsid w:val="00B1459C"/>
    <w:rsid w:val="00B14658"/>
    <w:rsid w:val="00B14819"/>
    <w:rsid w:val="00B14A09"/>
    <w:rsid w:val="00B14B3D"/>
    <w:rsid w:val="00B14B94"/>
    <w:rsid w:val="00B14CB7"/>
    <w:rsid w:val="00B14CF7"/>
    <w:rsid w:val="00B14F9B"/>
    <w:rsid w:val="00B15138"/>
    <w:rsid w:val="00B151D1"/>
    <w:rsid w:val="00B153A7"/>
    <w:rsid w:val="00B15406"/>
    <w:rsid w:val="00B154B6"/>
    <w:rsid w:val="00B1564A"/>
    <w:rsid w:val="00B156AF"/>
    <w:rsid w:val="00B156BE"/>
    <w:rsid w:val="00B1574E"/>
    <w:rsid w:val="00B157E4"/>
    <w:rsid w:val="00B15846"/>
    <w:rsid w:val="00B1595C"/>
    <w:rsid w:val="00B159D0"/>
    <w:rsid w:val="00B159EA"/>
    <w:rsid w:val="00B15A0E"/>
    <w:rsid w:val="00B15BE6"/>
    <w:rsid w:val="00B15EAA"/>
    <w:rsid w:val="00B15FFF"/>
    <w:rsid w:val="00B16030"/>
    <w:rsid w:val="00B1615B"/>
    <w:rsid w:val="00B165D7"/>
    <w:rsid w:val="00B166AE"/>
    <w:rsid w:val="00B1685F"/>
    <w:rsid w:val="00B16927"/>
    <w:rsid w:val="00B169BD"/>
    <w:rsid w:val="00B16A4C"/>
    <w:rsid w:val="00B16B98"/>
    <w:rsid w:val="00B16C86"/>
    <w:rsid w:val="00B16D0E"/>
    <w:rsid w:val="00B16D15"/>
    <w:rsid w:val="00B16DAF"/>
    <w:rsid w:val="00B16ED7"/>
    <w:rsid w:val="00B16F6A"/>
    <w:rsid w:val="00B17096"/>
    <w:rsid w:val="00B170E5"/>
    <w:rsid w:val="00B17137"/>
    <w:rsid w:val="00B17175"/>
    <w:rsid w:val="00B173A5"/>
    <w:rsid w:val="00B173D7"/>
    <w:rsid w:val="00B17565"/>
    <w:rsid w:val="00B17820"/>
    <w:rsid w:val="00B178F9"/>
    <w:rsid w:val="00B179D3"/>
    <w:rsid w:val="00B17A1F"/>
    <w:rsid w:val="00B17ABF"/>
    <w:rsid w:val="00B17B3A"/>
    <w:rsid w:val="00B17CD6"/>
    <w:rsid w:val="00B17D64"/>
    <w:rsid w:val="00B17E8B"/>
    <w:rsid w:val="00B17F89"/>
    <w:rsid w:val="00B2009A"/>
    <w:rsid w:val="00B200A8"/>
    <w:rsid w:val="00B2013F"/>
    <w:rsid w:val="00B201EE"/>
    <w:rsid w:val="00B206ED"/>
    <w:rsid w:val="00B20759"/>
    <w:rsid w:val="00B20791"/>
    <w:rsid w:val="00B20843"/>
    <w:rsid w:val="00B20845"/>
    <w:rsid w:val="00B20916"/>
    <w:rsid w:val="00B2091B"/>
    <w:rsid w:val="00B20A54"/>
    <w:rsid w:val="00B20AA5"/>
    <w:rsid w:val="00B20B26"/>
    <w:rsid w:val="00B20D5F"/>
    <w:rsid w:val="00B20DE9"/>
    <w:rsid w:val="00B20E30"/>
    <w:rsid w:val="00B20F35"/>
    <w:rsid w:val="00B2119C"/>
    <w:rsid w:val="00B21447"/>
    <w:rsid w:val="00B2155A"/>
    <w:rsid w:val="00B216BD"/>
    <w:rsid w:val="00B21747"/>
    <w:rsid w:val="00B21A52"/>
    <w:rsid w:val="00B21E2E"/>
    <w:rsid w:val="00B21F35"/>
    <w:rsid w:val="00B21F3A"/>
    <w:rsid w:val="00B220B7"/>
    <w:rsid w:val="00B22180"/>
    <w:rsid w:val="00B221DC"/>
    <w:rsid w:val="00B22384"/>
    <w:rsid w:val="00B224AF"/>
    <w:rsid w:val="00B2259C"/>
    <w:rsid w:val="00B22654"/>
    <w:rsid w:val="00B22864"/>
    <w:rsid w:val="00B22877"/>
    <w:rsid w:val="00B22884"/>
    <w:rsid w:val="00B22903"/>
    <w:rsid w:val="00B22989"/>
    <w:rsid w:val="00B22AEA"/>
    <w:rsid w:val="00B22D8F"/>
    <w:rsid w:val="00B22ED8"/>
    <w:rsid w:val="00B22F3C"/>
    <w:rsid w:val="00B22FF2"/>
    <w:rsid w:val="00B23071"/>
    <w:rsid w:val="00B2307E"/>
    <w:rsid w:val="00B230FB"/>
    <w:rsid w:val="00B231AB"/>
    <w:rsid w:val="00B231D3"/>
    <w:rsid w:val="00B231FB"/>
    <w:rsid w:val="00B232F4"/>
    <w:rsid w:val="00B23363"/>
    <w:rsid w:val="00B233A6"/>
    <w:rsid w:val="00B233C4"/>
    <w:rsid w:val="00B234DB"/>
    <w:rsid w:val="00B23587"/>
    <w:rsid w:val="00B2360B"/>
    <w:rsid w:val="00B237D5"/>
    <w:rsid w:val="00B2393A"/>
    <w:rsid w:val="00B23BCB"/>
    <w:rsid w:val="00B23CBF"/>
    <w:rsid w:val="00B23CE6"/>
    <w:rsid w:val="00B23EE5"/>
    <w:rsid w:val="00B24022"/>
    <w:rsid w:val="00B241AC"/>
    <w:rsid w:val="00B24210"/>
    <w:rsid w:val="00B24240"/>
    <w:rsid w:val="00B2431D"/>
    <w:rsid w:val="00B245DD"/>
    <w:rsid w:val="00B2464C"/>
    <w:rsid w:val="00B247C6"/>
    <w:rsid w:val="00B248DD"/>
    <w:rsid w:val="00B249F3"/>
    <w:rsid w:val="00B24A62"/>
    <w:rsid w:val="00B24B1F"/>
    <w:rsid w:val="00B24B4D"/>
    <w:rsid w:val="00B24C18"/>
    <w:rsid w:val="00B24E13"/>
    <w:rsid w:val="00B24FBD"/>
    <w:rsid w:val="00B250D9"/>
    <w:rsid w:val="00B25266"/>
    <w:rsid w:val="00B252E7"/>
    <w:rsid w:val="00B25424"/>
    <w:rsid w:val="00B254C2"/>
    <w:rsid w:val="00B255E3"/>
    <w:rsid w:val="00B257CD"/>
    <w:rsid w:val="00B258D7"/>
    <w:rsid w:val="00B25993"/>
    <w:rsid w:val="00B25EF4"/>
    <w:rsid w:val="00B25FE1"/>
    <w:rsid w:val="00B261C9"/>
    <w:rsid w:val="00B26324"/>
    <w:rsid w:val="00B26426"/>
    <w:rsid w:val="00B26440"/>
    <w:rsid w:val="00B2647A"/>
    <w:rsid w:val="00B265A8"/>
    <w:rsid w:val="00B267BF"/>
    <w:rsid w:val="00B26818"/>
    <w:rsid w:val="00B26899"/>
    <w:rsid w:val="00B268C4"/>
    <w:rsid w:val="00B26A83"/>
    <w:rsid w:val="00B26B20"/>
    <w:rsid w:val="00B26B68"/>
    <w:rsid w:val="00B26BE5"/>
    <w:rsid w:val="00B26D35"/>
    <w:rsid w:val="00B26E5C"/>
    <w:rsid w:val="00B26EA8"/>
    <w:rsid w:val="00B26F2A"/>
    <w:rsid w:val="00B26F49"/>
    <w:rsid w:val="00B26FB9"/>
    <w:rsid w:val="00B2724F"/>
    <w:rsid w:val="00B272A9"/>
    <w:rsid w:val="00B2733C"/>
    <w:rsid w:val="00B273A2"/>
    <w:rsid w:val="00B2740B"/>
    <w:rsid w:val="00B2768F"/>
    <w:rsid w:val="00B2784A"/>
    <w:rsid w:val="00B2786B"/>
    <w:rsid w:val="00B27966"/>
    <w:rsid w:val="00B27B94"/>
    <w:rsid w:val="00B30003"/>
    <w:rsid w:val="00B30091"/>
    <w:rsid w:val="00B304BD"/>
    <w:rsid w:val="00B30689"/>
    <w:rsid w:val="00B3070C"/>
    <w:rsid w:val="00B30810"/>
    <w:rsid w:val="00B308BF"/>
    <w:rsid w:val="00B3095D"/>
    <w:rsid w:val="00B309C0"/>
    <w:rsid w:val="00B30C99"/>
    <w:rsid w:val="00B30E6D"/>
    <w:rsid w:val="00B30ED2"/>
    <w:rsid w:val="00B31028"/>
    <w:rsid w:val="00B310E0"/>
    <w:rsid w:val="00B311BF"/>
    <w:rsid w:val="00B312BF"/>
    <w:rsid w:val="00B31465"/>
    <w:rsid w:val="00B315DB"/>
    <w:rsid w:val="00B3161B"/>
    <w:rsid w:val="00B3174F"/>
    <w:rsid w:val="00B318D7"/>
    <w:rsid w:val="00B31907"/>
    <w:rsid w:val="00B31AF4"/>
    <w:rsid w:val="00B31B47"/>
    <w:rsid w:val="00B31C74"/>
    <w:rsid w:val="00B31D3B"/>
    <w:rsid w:val="00B31D87"/>
    <w:rsid w:val="00B31DB5"/>
    <w:rsid w:val="00B31E84"/>
    <w:rsid w:val="00B31EC2"/>
    <w:rsid w:val="00B31EEE"/>
    <w:rsid w:val="00B320E8"/>
    <w:rsid w:val="00B320F9"/>
    <w:rsid w:val="00B3210D"/>
    <w:rsid w:val="00B32169"/>
    <w:rsid w:val="00B321A1"/>
    <w:rsid w:val="00B3230D"/>
    <w:rsid w:val="00B323EB"/>
    <w:rsid w:val="00B3243C"/>
    <w:rsid w:val="00B32478"/>
    <w:rsid w:val="00B325CF"/>
    <w:rsid w:val="00B3262A"/>
    <w:rsid w:val="00B32664"/>
    <w:rsid w:val="00B3282B"/>
    <w:rsid w:val="00B32851"/>
    <w:rsid w:val="00B32862"/>
    <w:rsid w:val="00B329C1"/>
    <w:rsid w:val="00B329F9"/>
    <w:rsid w:val="00B32C1B"/>
    <w:rsid w:val="00B32D3D"/>
    <w:rsid w:val="00B32D63"/>
    <w:rsid w:val="00B32D64"/>
    <w:rsid w:val="00B32DA4"/>
    <w:rsid w:val="00B32E65"/>
    <w:rsid w:val="00B32EC2"/>
    <w:rsid w:val="00B3323D"/>
    <w:rsid w:val="00B33523"/>
    <w:rsid w:val="00B336EF"/>
    <w:rsid w:val="00B33726"/>
    <w:rsid w:val="00B33801"/>
    <w:rsid w:val="00B33B7F"/>
    <w:rsid w:val="00B34094"/>
    <w:rsid w:val="00B3411A"/>
    <w:rsid w:val="00B343AD"/>
    <w:rsid w:val="00B34506"/>
    <w:rsid w:val="00B346C9"/>
    <w:rsid w:val="00B34713"/>
    <w:rsid w:val="00B34724"/>
    <w:rsid w:val="00B34A33"/>
    <w:rsid w:val="00B34A6F"/>
    <w:rsid w:val="00B34B38"/>
    <w:rsid w:val="00B34B8A"/>
    <w:rsid w:val="00B34D35"/>
    <w:rsid w:val="00B34F94"/>
    <w:rsid w:val="00B34FC3"/>
    <w:rsid w:val="00B35122"/>
    <w:rsid w:val="00B351C1"/>
    <w:rsid w:val="00B35262"/>
    <w:rsid w:val="00B3530B"/>
    <w:rsid w:val="00B354E8"/>
    <w:rsid w:val="00B355DE"/>
    <w:rsid w:val="00B35630"/>
    <w:rsid w:val="00B35654"/>
    <w:rsid w:val="00B3585C"/>
    <w:rsid w:val="00B3587C"/>
    <w:rsid w:val="00B35A94"/>
    <w:rsid w:val="00B35AD9"/>
    <w:rsid w:val="00B35B59"/>
    <w:rsid w:val="00B360BA"/>
    <w:rsid w:val="00B36316"/>
    <w:rsid w:val="00B363F3"/>
    <w:rsid w:val="00B36566"/>
    <w:rsid w:val="00B36577"/>
    <w:rsid w:val="00B365CD"/>
    <w:rsid w:val="00B36B92"/>
    <w:rsid w:val="00B36C34"/>
    <w:rsid w:val="00B36C66"/>
    <w:rsid w:val="00B36D2A"/>
    <w:rsid w:val="00B36D73"/>
    <w:rsid w:val="00B36EB9"/>
    <w:rsid w:val="00B37046"/>
    <w:rsid w:val="00B371DA"/>
    <w:rsid w:val="00B37210"/>
    <w:rsid w:val="00B37230"/>
    <w:rsid w:val="00B3730C"/>
    <w:rsid w:val="00B37315"/>
    <w:rsid w:val="00B37338"/>
    <w:rsid w:val="00B37467"/>
    <w:rsid w:val="00B3753A"/>
    <w:rsid w:val="00B37603"/>
    <w:rsid w:val="00B37657"/>
    <w:rsid w:val="00B37659"/>
    <w:rsid w:val="00B37958"/>
    <w:rsid w:val="00B37AD7"/>
    <w:rsid w:val="00B37D02"/>
    <w:rsid w:val="00B37DD0"/>
    <w:rsid w:val="00B37E49"/>
    <w:rsid w:val="00B37F9D"/>
    <w:rsid w:val="00B4001C"/>
    <w:rsid w:val="00B400B7"/>
    <w:rsid w:val="00B40206"/>
    <w:rsid w:val="00B402EA"/>
    <w:rsid w:val="00B403AC"/>
    <w:rsid w:val="00B4045F"/>
    <w:rsid w:val="00B4053B"/>
    <w:rsid w:val="00B40650"/>
    <w:rsid w:val="00B40714"/>
    <w:rsid w:val="00B4072C"/>
    <w:rsid w:val="00B40745"/>
    <w:rsid w:val="00B409CC"/>
    <w:rsid w:val="00B40A7B"/>
    <w:rsid w:val="00B40B02"/>
    <w:rsid w:val="00B40B72"/>
    <w:rsid w:val="00B40B8E"/>
    <w:rsid w:val="00B40B9B"/>
    <w:rsid w:val="00B40CBB"/>
    <w:rsid w:val="00B40E04"/>
    <w:rsid w:val="00B40ED0"/>
    <w:rsid w:val="00B40F90"/>
    <w:rsid w:val="00B4107C"/>
    <w:rsid w:val="00B41115"/>
    <w:rsid w:val="00B41136"/>
    <w:rsid w:val="00B4121E"/>
    <w:rsid w:val="00B4129F"/>
    <w:rsid w:val="00B41382"/>
    <w:rsid w:val="00B413A7"/>
    <w:rsid w:val="00B414DC"/>
    <w:rsid w:val="00B414F3"/>
    <w:rsid w:val="00B41613"/>
    <w:rsid w:val="00B4174E"/>
    <w:rsid w:val="00B41781"/>
    <w:rsid w:val="00B41811"/>
    <w:rsid w:val="00B41A4A"/>
    <w:rsid w:val="00B41C18"/>
    <w:rsid w:val="00B41C2E"/>
    <w:rsid w:val="00B41D4F"/>
    <w:rsid w:val="00B41E87"/>
    <w:rsid w:val="00B41E9C"/>
    <w:rsid w:val="00B41EA0"/>
    <w:rsid w:val="00B41EF8"/>
    <w:rsid w:val="00B41FA6"/>
    <w:rsid w:val="00B42118"/>
    <w:rsid w:val="00B4220A"/>
    <w:rsid w:val="00B42295"/>
    <w:rsid w:val="00B422E1"/>
    <w:rsid w:val="00B4235A"/>
    <w:rsid w:val="00B42622"/>
    <w:rsid w:val="00B426C0"/>
    <w:rsid w:val="00B42A63"/>
    <w:rsid w:val="00B42AEF"/>
    <w:rsid w:val="00B42AF7"/>
    <w:rsid w:val="00B42F23"/>
    <w:rsid w:val="00B43018"/>
    <w:rsid w:val="00B43050"/>
    <w:rsid w:val="00B4326B"/>
    <w:rsid w:val="00B432B4"/>
    <w:rsid w:val="00B43324"/>
    <w:rsid w:val="00B43483"/>
    <w:rsid w:val="00B43642"/>
    <w:rsid w:val="00B437D6"/>
    <w:rsid w:val="00B43A83"/>
    <w:rsid w:val="00B43AA4"/>
    <w:rsid w:val="00B43AB8"/>
    <w:rsid w:val="00B43B5B"/>
    <w:rsid w:val="00B43CD4"/>
    <w:rsid w:val="00B43D30"/>
    <w:rsid w:val="00B43D7A"/>
    <w:rsid w:val="00B44070"/>
    <w:rsid w:val="00B4414E"/>
    <w:rsid w:val="00B4421C"/>
    <w:rsid w:val="00B442CF"/>
    <w:rsid w:val="00B443EB"/>
    <w:rsid w:val="00B44414"/>
    <w:rsid w:val="00B445F1"/>
    <w:rsid w:val="00B44624"/>
    <w:rsid w:val="00B446F7"/>
    <w:rsid w:val="00B44840"/>
    <w:rsid w:val="00B4490F"/>
    <w:rsid w:val="00B44930"/>
    <w:rsid w:val="00B449AE"/>
    <w:rsid w:val="00B449BE"/>
    <w:rsid w:val="00B44B5F"/>
    <w:rsid w:val="00B44B94"/>
    <w:rsid w:val="00B44D2D"/>
    <w:rsid w:val="00B45077"/>
    <w:rsid w:val="00B4517C"/>
    <w:rsid w:val="00B4528B"/>
    <w:rsid w:val="00B45310"/>
    <w:rsid w:val="00B4545E"/>
    <w:rsid w:val="00B4550C"/>
    <w:rsid w:val="00B455A4"/>
    <w:rsid w:val="00B4565A"/>
    <w:rsid w:val="00B458BD"/>
    <w:rsid w:val="00B45A4A"/>
    <w:rsid w:val="00B45B37"/>
    <w:rsid w:val="00B45BAC"/>
    <w:rsid w:val="00B45C65"/>
    <w:rsid w:val="00B45C68"/>
    <w:rsid w:val="00B45C7E"/>
    <w:rsid w:val="00B45D9E"/>
    <w:rsid w:val="00B45DCD"/>
    <w:rsid w:val="00B45E8B"/>
    <w:rsid w:val="00B45F59"/>
    <w:rsid w:val="00B46356"/>
    <w:rsid w:val="00B46555"/>
    <w:rsid w:val="00B465DD"/>
    <w:rsid w:val="00B467D8"/>
    <w:rsid w:val="00B469D0"/>
    <w:rsid w:val="00B469FE"/>
    <w:rsid w:val="00B46B35"/>
    <w:rsid w:val="00B46BAB"/>
    <w:rsid w:val="00B46C10"/>
    <w:rsid w:val="00B46C25"/>
    <w:rsid w:val="00B46EA5"/>
    <w:rsid w:val="00B46F23"/>
    <w:rsid w:val="00B46FB5"/>
    <w:rsid w:val="00B4701F"/>
    <w:rsid w:val="00B471A5"/>
    <w:rsid w:val="00B472D3"/>
    <w:rsid w:val="00B474E6"/>
    <w:rsid w:val="00B47543"/>
    <w:rsid w:val="00B4762F"/>
    <w:rsid w:val="00B4765D"/>
    <w:rsid w:val="00B47667"/>
    <w:rsid w:val="00B477B8"/>
    <w:rsid w:val="00B47842"/>
    <w:rsid w:val="00B47952"/>
    <w:rsid w:val="00B47A39"/>
    <w:rsid w:val="00B47A49"/>
    <w:rsid w:val="00B47CAC"/>
    <w:rsid w:val="00B47D4A"/>
    <w:rsid w:val="00B47DD3"/>
    <w:rsid w:val="00B47E27"/>
    <w:rsid w:val="00B47E28"/>
    <w:rsid w:val="00B47E5C"/>
    <w:rsid w:val="00B47F18"/>
    <w:rsid w:val="00B47FF4"/>
    <w:rsid w:val="00B501AE"/>
    <w:rsid w:val="00B50255"/>
    <w:rsid w:val="00B502FB"/>
    <w:rsid w:val="00B503BD"/>
    <w:rsid w:val="00B503C8"/>
    <w:rsid w:val="00B50412"/>
    <w:rsid w:val="00B50632"/>
    <w:rsid w:val="00B5077A"/>
    <w:rsid w:val="00B507B1"/>
    <w:rsid w:val="00B509AB"/>
    <w:rsid w:val="00B50A5C"/>
    <w:rsid w:val="00B50A61"/>
    <w:rsid w:val="00B50B0F"/>
    <w:rsid w:val="00B50B88"/>
    <w:rsid w:val="00B50BFA"/>
    <w:rsid w:val="00B5118A"/>
    <w:rsid w:val="00B511BC"/>
    <w:rsid w:val="00B5128F"/>
    <w:rsid w:val="00B51338"/>
    <w:rsid w:val="00B51549"/>
    <w:rsid w:val="00B515F8"/>
    <w:rsid w:val="00B5163A"/>
    <w:rsid w:val="00B51653"/>
    <w:rsid w:val="00B51710"/>
    <w:rsid w:val="00B5184C"/>
    <w:rsid w:val="00B5192C"/>
    <w:rsid w:val="00B5196C"/>
    <w:rsid w:val="00B5198D"/>
    <w:rsid w:val="00B51BC5"/>
    <w:rsid w:val="00B51BCE"/>
    <w:rsid w:val="00B51DD3"/>
    <w:rsid w:val="00B51EA2"/>
    <w:rsid w:val="00B52044"/>
    <w:rsid w:val="00B5208F"/>
    <w:rsid w:val="00B5210D"/>
    <w:rsid w:val="00B5221C"/>
    <w:rsid w:val="00B52512"/>
    <w:rsid w:val="00B525DF"/>
    <w:rsid w:val="00B525F8"/>
    <w:rsid w:val="00B52B4B"/>
    <w:rsid w:val="00B52D2A"/>
    <w:rsid w:val="00B52D3F"/>
    <w:rsid w:val="00B53416"/>
    <w:rsid w:val="00B53579"/>
    <w:rsid w:val="00B5365E"/>
    <w:rsid w:val="00B5365F"/>
    <w:rsid w:val="00B537EA"/>
    <w:rsid w:val="00B53852"/>
    <w:rsid w:val="00B53903"/>
    <w:rsid w:val="00B53D95"/>
    <w:rsid w:val="00B53E6F"/>
    <w:rsid w:val="00B53EA2"/>
    <w:rsid w:val="00B53FB4"/>
    <w:rsid w:val="00B54067"/>
    <w:rsid w:val="00B543F5"/>
    <w:rsid w:val="00B54459"/>
    <w:rsid w:val="00B545F8"/>
    <w:rsid w:val="00B5466D"/>
    <w:rsid w:val="00B546B4"/>
    <w:rsid w:val="00B548DA"/>
    <w:rsid w:val="00B5490F"/>
    <w:rsid w:val="00B54914"/>
    <w:rsid w:val="00B5492D"/>
    <w:rsid w:val="00B54AD7"/>
    <w:rsid w:val="00B54AFF"/>
    <w:rsid w:val="00B54BB1"/>
    <w:rsid w:val="00B54C35"/>
    <w:rsid w:val="00B54C7C"/>
    <w:rsid w:val="00B54E13"/>
    <w:rsid w:val="00B54E7D"/>
    <w:rsid w:val="00B54EF4"/>
    <w:rsid w:val="00B54FCC"/>
    <w:rsid w:val="00B54FFF"/>
    <w:rsid w:val="00B55101"/>
    <w:rsid w:val="00B5514B"/>
    <w:rsid w:val="00B55173"/>
    <w:rsid w:val="00B551C6"/>
    <w:rsid w:val="00B552AC"/>
    <w:rsid w:val="00B55379"/>
    <w:rsid w:val="00B553C3"/>
    <w:rsid w:val="00B55446"/>
    <w:rsid w:val="00B55591"/>
    <w:rsid w:val="00B555FE"/>
    <w:rsid w:val="00B556B5"/>
    <w:rsid w:val="00B55743"/>
    <w:rsid w:val="00B55907"/>
    <w:rsid w:val="00B55A66"/>
    <w:rsid w:val="00B55AAC"/>
    <w:rsid w:val="00B55C92"/>
    <w:rsid w:val="00B55DA6"/>
    <w:rsid w:val="00B56151"/>
    <w:rsid w:val="00B5646F"/>
    <w:rsid w:val="00B56706"/>
    <w:rsid w:val="00B567B0"/>
    <w:rsid w:val="00B56889"/>
    <w:rsid w:val="00B568ED"/>
    <w:rsid w:val="00B56B3A"/>
    <w:rsid w:val="00B56B79"/>
    <w:rsid w:val="00B56BB4"/>
    <w:rsid w:val="00B56BE6"/>
    <w:rsid w:val="00B571C1"/>
    <w:rsid w:val="00B57283"/>
    <w:rsid w:val="00B573C2"/>
    <w:rsid w:val="00B57415"/>
    <w:rsid w:val="00B57692"/>
    <w:rsid w:val="00B5780E"/>
    <w:rsid w:val="00B5783E"/>
    <w:rsid w:val="00B5797D"/>
    <w:rsid w:val="00B57981"/>
    <w:rsid w:val="00B579EE"/>
    <w:rsid w:val="00B57B13"/>
    <w:rsid w:val="00B57B35"/>
    <w:rsid w:val="00B57BE1"/>
    <w:rsid w:val="00B57BE4"/>
    <w:rsid w:val="00B57BFB"/>
    <w:rsid w:val="00B57FE8"/>
    <w:rsid w:val="00B59497"/>
    <w:rsid w:val="00B600A3"/>
    <w:rsid w:val="00B6010A"/>
    <w:rsid w:val="00B60122"/>
    <w:rsid w:val="00B6038B"/>
    <w:rsid w:val="00B605CE"/>
    <w:rsid w:val="00B60685"/>
    <w:rsid w:val="00B60714"/>
    <w:rsid w:val="00B6093B"/>
    <w:rsid w:val="00B609E9"/>
    <w:rsid w:val="00B60A26"/>
    <w:rsid w:val="00B60AEE"/>
    <w:rsid w:val="00B60B12"/>
    <w:rsid w:val="00B60B7F"/>
    <w:rsid w:val="00B60C60"/>
    <w:rsid w:val="00B60C6C"/>
    <w:rsid w:val="00B60CA3"/>
    <w:rsid w:val="00B60DA6"/>
    <w:rsid w:val="00B60E06"/>
    <w:rsid w:val="00B60E98"/>
    <w:rsid w:val="00B6112F"/>
    <w:rsid w:val="00B6113E"/>
    <w:rsid w:val="00B61299"/>
    <w:rsid w:val="00B61343"/>
    <w:rsid w:val="00B6147D"/>
    <w:rsid w:val="00B61694"/>
    <w:rsid w:val="00B6177F"/>
    <w:rsid w:val="00B617B2"/>
    <w:rsid w:val="00B61812"/>
    <w:rsid w:val="00B61915"/>
    <w:rsid w:val="00B61916"/>
    <w:rsid w:val="00B6199E"/>
    <w:rsid w:val="00B619BA"/>
    <w:rsid w:val="00B61A51"/>
    <w:rsid w:val="00B61F0D"/>
    <w:rsid w:val="00B61FE0"/>
    <w:rsid w:val="00B62054"/>
    <w:rsid w:val="00B62102"/>
    <w:rsid w:val="00B6211E"/>
    <w:rsid w:val="00B6212C"/>
    <w:rsid w:val="00B62209"/>
    <w:rsid w:val="00B62334"/>
    <w:rsid w:val="00B62361"/>
    <w:rsid w:val="00B62364"/>
    <w:rsid w:val="00B62441"/>
    <w:rsid w:val="00B624B2"/>
    <w:rsid w:val="00B62517"/>
    <w:rsid w:val="00B6257C"/>
    <w:rsid w:val="00B627B7"/>
    <w:rsid w:val="00B62975"/>
    <w:rsid w:val="00B62991"/>
    <w:rsid w:val="00B62A25"/>
    <w:rsid w:val="00B62C00"/>
    <w:rsid w:val="00B62DCC"/>
    <w:rsid w:val="00B62E46"/>
    <w:rsid w:val="00B62EE1"/>
    <w:rsid w:val="00B630D7"/>
    <w:rsid w:val="00B6312B"/>
    <w:rsid w:val="00B63228"/>
    <w:rsid w:val="00B633EB"/>
    <w:rsid w:val="00B63506"/>
    <w:rsid w:val="00B63571"/>
    <w:rsid w:val="00B635F7"/>
    <w:rsid w:val="00B63663"/>
    <w:rsid w:val="00B6367F"/>
    <w:rsid w:val="00B6380E"/>
    <w:rsid w:val="00B63840"/>
    <w:rsid w:val="00B6397E"/>
    <w:rsid w:val="00B639B4"/>
    <w:rsid w:val="00B63A5D"/>
    <w:rsid w:val="00B63AC8"/>
    <w:rsid w:val="00B63B14"/>
    <w:rsid w:val="00B63B47"/>
    <w:rsid w:val="00B63B5D"/>
    <w:rsid w:val="00B63D2A"/>
    <w:rsid w:val="00B63E1D"/>
    <w:rsid w:val="00B63FE5"/>
    <w:rsid w:val="00B63FFE"/>
    <w:rsid w:val="00B64031"/>
    <w:rsid w:val="00B64079"/>
    <w:rsid w:val="00B640C7"/>
    <w:rsid w:val="00B6414A"/>
    <w:rsid w:val="00B64338"/>
    <w:rsid w:val="00B64443"/>
    <w:rsid w:val="00B64444"/>
    <w:rsid w:val="00B6449D"/>
    <w:rsid w:val="00B6463A"/>
    <w:rsid w:val="00B64823"/>
    <w:rsid w:val="00B64838"/>
    <w:rsid w:val="00B64895"/>
    <w:rsid w:val="00B6490C"/>
    <w:rsid w:val="00B6496C"/>
    <w:rsid w:val="00B64AC7"/>
    <w:rsid w:val="00B64BF1"/>
    <w:rsid w:val="00B64D04"/>
    <w:rsid w:val="00B64D35"/>
    <w:rsid w:val="00B64D5D"/>
    <w:rsid w:val="00B64DCE"/>
    <w:rsid w:val="00B64DE1"/>
    <w:rsid w:val="00B64ECC"/>
    <w:rsid w:val="00B6505E"/>
    <w:rsid w:val="00B65215"/>
    <w:rsid w:val="00B652E7"/>
    <w:rsid w:val="00B65386"/>
    <w:rsid w:val="00B653E5"/>
    <w:rsid w:val="00B6545E"/>
    <w:rsid w:val="00B655A7"/>
    <w:rsid w:val="00B65760"/>
    <w:rsid w:val="00B657E0"/>
    <w:rsid w:val="00B658F9"/>
    <w:rsid w:val="00B65A70"/>
    <w:rsid w:val="00B65A8D"/>
    <w:rsid w:val="00B65BE3"/>
    <w:rsid w:val="00B65F27"/>
    <w:rsid w:val="00B65F53"/>
    <w:rsid w:val="00B65F84"/>
    <w:rsid w:val="00B660A4"/>
    <w:rsid w:val="00B6612E"/>
    <w:rsid w:val="00B66174"/>
    <w:rsid w:val="00B661CF"/>
    <w:rsid w:val="00B663BB"/>
    <w:rsid w:val="00B66482"/>
    <w:rsid w:val="00B66534"/>
    <w:rsid w:val="00B666CE"/>
    <w:rsid w:val="00B667A2"/>
    <w:rsid w:val="00B66849"/>
    <w:rsid w:val="00B668FC"/>
    <w:rsid w:val="00B66A9B"/>
    <w:rsid w:val="00B66B8B"/>
    <w:rsid w:val="00B66BEF"/>
    <w:rsid w:val="00B6708D"/>
    <w:rsid w:val="00B670F0"/>
    <w:rsid w:val="00B6718B"/>
    <w:rsid w:val="00B6720A"/>
    <w:rsid w:val="00B67218"/>
    <w:rsid w:val="00B6722D"/>
    <w:rsid w:val="00B6723B"/>
    <w:rsid w:val="00B6724E"/>
    <w:rsid w:val="00B6725E"/>
    <w:rsid w:val="00B67261"/>
    <w:rsid w:val="00B672BB"/>
    <w:rsid w:val="00B67335"/>
    <w:rsid w:val="00B6743B"/>
    <w:rsid w:val="00B674B9"/>
    <w:rsid w:val="00B6750A"/>
    <w:rsid w:val="00B67528"/>
    <w:rsid w:val="00B6759F"/>
    <w:rsid w:val="00B675DA"/>
    <w:rsid w:val="00B675E9"/>
    <w:rsid w:val="00B6765A"/>
    <w:rsid w:val="00B6791F"/>
    <w:rsid w:val="00B67924"/>
    <w:rsid w:val="00B67A49"/>
    <w:rsid w:val="00B67C0D"/>
    <w:rsid w:val="00B67C3F"/>
    <w:rsid w:val="00B67E90"/>
    <w:rsid w:val="00B67F1E"/>
    <w:rsid w:val="00B67FBA"/>
    <w:rsid w:val="00B702BC"/>
    <w:rsid w:val="00B70400"/>
    <w:rsid w:val="00B7056D"/>
    <w:rsid w:val="00B70729"/>
    <w:rsid w:val="00B70771"/>
    <w:rsid w:val="00B707E4"/>
    <w:rsid w:val="00B708B1"/>
    <w:rsid w:val="00B70952"/>
    <w:rsid w:val="00B70AA3"/>
    <w:rsid w:val="00B70AD7"/>
    <w:rsid w:val="00B70B25"/>
    <w:rsid w:val="00B70BF9"/>
    <w:rsid w:val="00B70CC3"/>
    <w:rsid w:val="00B70D48"/>
    <w:rsid w:val="00B70D87"/>
    <w:rsid w:val="00B70DD0"/>
    <w:rsid w:val="00B70EFC"/>
    <w:rsid w:val="00B7100F"/>
    <w:rsid w:val="00B71052"/>
    <w:rsid w:val="00B710D3"/>
    <w:rsid w:val="00B7117C"/>
    <w:rsid w:val="00B71187"/>
    <w:rsid w:val="00B7119B"/>
    <w:rsid w:val="00B71239"/>
    <w:rsid w:val="00B7129E"/>
    <w:rsid w:val="00B71449"/>
    <w:rsid w:val="00B71471"/>
    <w:rsid w:val="00B715BC"/>
    <w:rsid w:val="00B71639"/>
    <w:rsid w:val="00B7178A"/>
    <w:rsid w:val="00B717AE"/>
    <w:rsid w:val="00B717B3"/>
    <w:rsid w:val="00B718A0"/>
    <w:rsid w:val="00B718CC"/>
    <w:rsid w:val="00B719E8"/>
    <w:rsid w:val="00B71ABA"/>
    <w:rsid w:val="00B71C75"/>
    <w:rsid w:val="00B71CB4"/>
    <w:rsid w:val="00B71CEF"/>
    <w:rsid w:val="00B71DED"/>
    <w:rsid w:val="00B71EFB"/>
    <w:rsid w:val="00B71FBF"/>
    <w:rsid w:val="00B720A0"/>
    <w:rsid w:val="00B7221A"/>
    <w:rsid w:val="00B72275"/>
    <w:rsid w:val="00B722FB"/>
    <w:rsid w:val="00B72426"/>
    <w:rsid w:val="00B724D8"/>
    <w:rsid w:val="00B72589"/>
    <w:rsid w:val="00B728F1"/>
    <w:rsid w:val="00B72ADF"/>
    <w:rsid w:val="00B72B92"/>
    <w:rsid w:val="00B72C90"/>
    <w:rsid w:val="00B72CDB"/>
    <w:rsid w:val="00B72D2D"/>
    <w:rsid w:val="00B72E6B"/>
    <w:rsid w:val="00B72F4F"/>
    <w:rsid w:val="00B7300A"/>
    <w:rsid w:val="00B73178"/>
    <w:rsid w:val="00B7328B"/>
    <w:rsid w:val="00B73366"/>
    <w:rsid w:val="00B73400"/>
    <w:rsid w:val="00B734A3"/>
    <w:rsid w:val="00B73517"/>
    <w:rsid w:val="00B73631"/>
    <w:rsid w:val="00B7364C"/>
    <w:rsid w:val="00B73742"/>
    <w:rsid w:val="00B7392E"/>
    <w:rsid w:val="00B73994"/>
    <w:rsid w:val="00B739A0"/>
    <w:rsid w:val="00B73B34"/>
    <w:rsid w:val="00B73D74"/>
    <w:rsid w:val="00B73DA6"/>
    <w:rsid w:val="00B73DBA"/>
    <w:rsid w:val="00B73E49"/>
    <w:rsid w:val="00B73E74"/>
    <w:rsid w:val="00B73EEE"/>
    <w:rsid w:val="00B73F01"/>
    <w:rsid w:val="00B73F7D"/>
    <w:rsid w:val="00B7417F"/>
    <w:rsid w:val="00B7427E"/>
    <w:rsid w:val="00B7435D"/>
    <w:rsid w:val="00B743C3"/>
    <w:rsid w:val="00B7454D"/>
    <w:rsid w:val="00B74575"/>
    <w:rsid w:val="00B74678"/>
    <w:rsid w:val="00B746D2"/>
    <w:rsid w:val="00B746DC"/>
    <w:rsid w:val="00B747EE"/>
    <w:rsid w:val="00B748D3"/>
    <w:rsid w:val="00B748E6"/>
    <w:rsid w:val="00B749AA"/>
    <w:rsid w:val="00B74B2C"/>
    <w:rsid w:val="00B74BB2"/>
    <w:rsid w:val="00B74C3B"/>
    <w:rsid w:val="00B74C7C"/>
    <w:rsid w:val="00B74EA0"/>
    <w:rsid w:val="00B75211"/>
    <w:rsid w:val="00B75223"/>
    <w:rsid w:val="00B75378"/>
    <w:rsid w:val="00B75479"/>
    <w:rsid w:val="00B754AB"/>
    <w:rsid w:val="00B754FA"/>
    <w:rsid w:val="00B7551B"/>
    <w:rsid w:val="00B75578"/>
    <w:rsid w:val="00B75620"/>
    <w:rsid w:val="00B7569D"/>
    <w:rsid w:val="00B75771"/>
    <w:rsid w:val="00B757C2"/>
    <w:rsid w:val="00B758A7"/>
    <w:rsid w:val="00B759F6"/>
    <w:rsid w:val="00B75A24"/>
    <w:rsid w:val="00B75A3F"/>
    <w:rsid w:val="00B75AAA"/>
    <w:rsid w:val="00B75AFC"/>
    <w:rsid w:val="00B75B07"/>
    <w:rsid w:val="00B75BE1"/>
    <w:rsid w:val="00B76115"/>
    <w:rsid w:val="00B7619B"/>
    <w:rsid w:val="00B76270"/>
    <w:rsid w:val="00B7628B"/>
    <w:rsid w:val="00B76672"/>
    <w:rsid w:val="00B76853"/>
    <w:rsid w:val="00B76878"/>
    <w:rsid w:val="00B76AA7"/>
    <w:rsid w:val="00B76B4F"/>
    <w:rsid w:val="00B76B71"/>
    <w:rsid w:val="00B76C99"/>
    <w:rsid w:val="00B76CAB"/>
    <w:rsid w:val="00B76F5B"/>
    <w:rsid w:val="00B76F81"/>
    <w:rsid w:val="00B76FEE"/>
    <w:rsid w:val="00B7714D"/>
    <w:rsid w:val="00B7728B"/>
    <w:rsid w:val="00B774FF"/>
    <w:rsid w:val="00B7750B"/>
    <w:rsid w:val="00B77616"/>
    <w:rsid w:val="00B77619"/>
    <w:rsid w:val="00B7771A"/>
    <w:rsid w:val="00B777C6"/>
    <w:rsid w:val="00B77930"/>
    <w:rsid w:val="00B77B55"/>
    <w:rsid w:val="00B77D00"/>
    <w:rsid w:val="00B77D85"/>
    <w:rsid w:val="00B77EB6"/>
    <w:rsid w:val="00B77FA8"/>
    <w:rsid w:val="00B8001F"/>
    <w:rsid w:val="00B80288"/>
    <w:rsid w:val="00B802A8"/>
    <w:rsid w:val="00B804FF"/>
    <w:rsid w:val="00B8050A"/>
    <w:rsid w:val="00B8053A"/>
    <w:rsid w:val="00B80684"/>
    <w:rsid w:val="00B80721"/>
    <w:rsid w:val="00B80824"/>
    <w:rsid w:val="00B80839"/>
    <w:rsid w:val="00B80987"/>
    <w:rsid w:val="00B809C5"/>
    <w:rsid w:val="00B80B9C"/>
    <w:rsid w:val="00B80E8F"/>
    <w:rsid w:val="00B80FA6"/>
    <w:rsid w:val="00B80FBF"/>
    <w:rsid w:val="00B81058"/>
    <w:rsid w:val="00B8157D"/>
    <w:rsid w:val="00B8160D"/>
    <w:rsid w:val="00B817A6"/>
    <w:rsid w:val="00B818B4"/>
    <w:rsid w:val="00B818E4"/>
    <w:rsid w:val="00B81918"/>
    <w:rsid w:val="00B81A7C"/>
    <w:rsid w:val="00B81C0A"/>
    <w:rsid w:val="00B81D42"/>
    <w:rsid w:val="00B81EEA"/>
    <w:rsid w:val="00B82018"/>
    <w:rsid w:val="00B821F9"/>
    <w:rsid w:val="00B82358"/>
    <w:rsid w:val="00B82555"/>
    <w:rsid w:val="00B8263A"/>
    <w:rsid w:val="00B826BE"/>
    <w:rsid w:val="00B826D6"/>
    <w:rsid w:val="00B82856"/>
    <w:rsid w:val="00B829AB"/>
    <w:rsid w:val="00B82A9E"/>
    <w:rsid w:val="00B82AD3"/>
    <w:rsid w:val="00B82E3C"/>
    <w:rsid w:val="00B82EE5"/>
    <w:rsid w:val="00B82FDB"/>
    <w:rsid w:val="00B83120"/>
    <w:rsid w:val="00B8315F"/>
    <w:rsid w:val="00B8316B"/>
    <w:rsid w:val="00B83180"/>
    <w:rsid w:val="00B83298"/>
    <w:rsid w:val="00B832E9"/>
    <w:rsid w:val="00B83336"/>
    <w:rsid w:val="00B833BC"/>
    <w:rsid w:val="00B83414"/>
    <w:rsid w:val="00B83428"/>
    <w:rsid w:val="00B8346D"/>
    <w:rsid w:val="00B83962"/>
    <w:rsid w:val="00B83D4F"/>
    <w:rsid w:val="00B83DFD"/>
    <w:rsid w:val="00B83EA3"/>
    <w:rsid w:val="00B8402B"/>
    <w:rsid w:val="00B840CD"/>
    <w:rsid w:val="00B84106"/>
    <w:rsid w:val="00B84294"/>
    <w:rsid w:val="00B842A5"/>
    <w:rsid w:val="00B842EF"/>
    <w:rsid w:val="00B843C7"/>
    <w:rsid w:val="00B843D9"/>
    <w:rsid w:val="00B843DC"/>
    <w:rsid w:val="00B846B0"/>
    <w:rsid w:val="00B84818"/>
    <w:rsid w:val="00B8484F"/>
    <w:rsid w:val="00B849E0"/>
    <w:rsid w:val="00B84B10"/>
    <w:rsid w:val="00B84B43"/>
    <w:rsid w:val="00B84BB5"/>
    <w:rsid w:val="00B84CEB"/>
    <w:rsid w:val="00B84DA1"/>
    <w:rsid w:val="00B84DFA"/>
    <w:rsid w:val="00B84FFB"/>
    <w:rsid w:val="00B85089"/>
    <w:rsid w:val="00B8519B"/>
    <w:rsid w:val="00B8526C"/>
    <w:rsid w:val="00B8527C"/>
    <w:rsid w:val="00B85393"/>
    <w:rsid w:val="00B853BD"/>
    <w:rsid w:val="00B8545B"/>
    <w:rsid w:val="00B855D5"/>
    <w:rsid w:val="00B856EF"/>
    <w:rsid w:val="00B8590C"/>
    <w:rsid w:val="00B85CE2"/>
    <w:rsid w:val="00B85D13"/>
    <w:rsid w:val="00B85D78"/>
    <w:rsid w:val="00B85DCF"/>
    <w:rsid w:val="00B85DEE"/>
    <w:rsid w:val="00B85E0C"/>
    <w:rsid w:val="00B85E21"/>
    <w:rsid w:val="00B8608E"/>
    <w:rsid w:val="00B860A9"/>
    <w:rsid w:val="00B86230"/>
    <w:rsid w:val="00B863BA"/>
    <w:rsid w:val="00B86492"/>
    <w:rsid w:val="00B8668C"/>
    <w:rsid w:val="00B8688E"/>
    <w:rsid w:val="00B86B7B"/>
    <w:rsid w:val="00B86BF4"/>
    <w:rsid w:val="00B86CEF"/>
    <w:rsid w:val="00B86D7E"/>
    <w:rsid w:val="00B86E51"/>
    <w:rsid w:val="00B86F52"/>
    <w:rsid w:val="00B86FA3"/>
    <w:rsid w:val="00B87056"/>
    <w:rsid w:val="00B87079"/>
    <w:rsid w:val="00B871B6"/>
    <w:rsid w:val="00B8723E"/>
    <w:rsid w:val="00B87295"/>
    <w:rsid w:val="00B873CA"/>
    <w:rsid w:val="00B8747D"/>
    <w:rsid w:val="00B87733"/>
    <w:rsid w:val="00B87793"/>
    <w:rsid w:val="00B87A9E"/>
    <w:rsid w:val="00B87CEF"/>
    <w:rsid w:val="00B87E70"/>
    <w:rsid w:val="00B87F9D"/>
    <w:rsid w:val="00B87FFE"/>
    <w:rsid w:val="00B90020"/>
    <w:rsid w:val="00B9014D"/>
    <w:rsid w:val="00B90282"/>
    <w:rsid w:val="00B9033B"/>
    <w:rsid w:val="00B904DE"/>
    <w:rsid w:val="00B905EB"/>
    <w:rsid w:val="00B9067B"/>
    <w:rsid w:val="00B907B2"/>
    <w:rsid w:val="00B90903"/>
    <w:rsid w:val="00B9093E"/>
    <w:rsid w:val="00B909CF"/>
    <w:rsid w:val="00B90ADE"/>
    <w:rsid w:val="00B90B96"/>
    <w:rsid w:val="00B90C36"/>
    <w:rsid w:val="00B90D10"/>
    <w:rsid w:val="00B90D53"/>
    <w:rsid w:val="00B90D5E"/>
    <w:rsid w:val="00B90DA7"/>
    <w:rsid w:val="00B90DC9"/>
    <w:rsid w:val="00B90F09"/>
    <w:rsid w:val="00B90F0B"/>
    <w:rsid w:val="00B90F27"/>
    <w:rsid w:val="00B90FD1"/>
    <w:rsid w:val="00B91150"/>
    <w:rsid w:val="00B91407"/>
    <w:rsid w:val="00B91415"/>
    <w:rsid w:val="00B9145B"/>
    <w:rsid w:val="00B91603"/>
    <w:rsid w:val="00B91655"/>
    <w:rsid w:val="00B916C7"/>
    <w:rsid w:val="00B91748"/>
    <w:rsid w:val="00B91808"/>
    <w:rsid w:val="00B91961"/>
    <w:rsid w:val="00B91962"/>
    <w:rsid w:val="00B91A3C"/>
    <w:rsid w:val="00B91A77"/>
    <w:rsid w:val="00B91B41"/>
    <w:rsid w:val="00B91B46"/>
    <w:rsid w:val="00B91C7F"/>
    <w:rsid w:val="00B91CB3"/>
    <w:rsid w:val="00B91CE5"/>
    <w:rsid w:val="00B91E98"/>
    <w:rsid w:val="00B91F64"/>
    <w:rsid w:val="00B9208A"/>
    <w:rsid w:val="00B921CF"/>
    <w:rsid w:val="00B92244"/>
    <w:rsid w:val="00B92267"/>
    <w:rsid w:val="00B92420"/>
    <w:rsid w:val="00B92525"/>
    <w:rsid w:val="00B9276A"/>
    <w:rsid w:val="00B927F8"/>
    <w:rsid w:val="00B928A6"/>
    <w:rsid w:val="00B92931"/>
    <w:rsid w:val="00B929CE"/>
    <w:rsid w:val="00B92BAD"/>
    <w:rsid w:val="00B92BDB"/>
    <w:rsid w:val="00B92BED"/>
    <w:rsid w:val="00B92C2F"/>
    <w:rsid w:val="00B92CBA"/>
    <w:rsid w:val="00B92D3C"/>
    <w:rsid w:val="00B92E9C"/>
    <w:rsid w:val="00B92F6A"/>
    <w:rsid w:val="00B92FB3"/>
    <w:rsid w:val="00B93045"/>
    <w:rsid w:val="00B9304D"/>
    <w:rsid w:val="00B93060"/>
    <w:rsid w:val="00B93128"/>
    <w:rsid w:val="00B93188"/>
    <w:rsid w:val="00B933B1"/>
    <w:rsid w:val="00B934CF"/>
    <w:rsid w:val="00B93509"/>
    <w:rsid w:val="00B93588"/>
    <w:rsid w:val="00B93602"/>
    <w:rsid w:val="00B9365B"/>
    <w:rsid w:val="00B937E4"/>
    <w:rsid w:val="00B93939"/>
    <w:rsid w:val="00B93AC4"/>
    <w:rsid w:val="00B93B37"/>
    <w:rsid w:val="00B93BAD"/>
    <w:rsid w:val="00B93EE9"/>
    <w:rsid w:val="00B942EE"/>
    <w:rsid w:val="00B947C7"/>
    <w:rsid w:val="00B94968"/>
    <w:rsid w:val="00B94B1F"/>
    <w:rsid w:val="00B94BA2"/>
    <w:rsid w:val="00B94E83"/>
    <w:rsid w:val="00B95078"/>
    <w:rsid w:val="00B95245"/>
    <w:rsid w:val="00B95384"/>
    <w:rsid w:val="00B954A3"/>
    <w:rsid w:val="00B954E5"/>
    <w:rsid w:val="00B95515"/>
    <w:rsid w:val="00B9557A"/>
    <w:rsid w:val="00B95C31"/>
    <w:rsid w:val="00B95CDB"/>
    <w:rsid w:val="00B95D3C"/>
    <w:rsid w:val="00B95E57"/>
    <w:rsid w:val="00B95E94"/>
    <w:rsid w:val="00B95EE4"/>
    <w:rsid w:val="00B96042"/>
    <w:rsid w:val="00B96111"/>
    <w:rsid w:val="00B962CB"/>
    <w:rsid w:val="00B9640C"/>
    <w:rsid w:val="00B9645A"/>
    <w:rsid w:val="00B96482"/>
    <w:rsid w:val="00B9649D"/>
    <w:rsid w:val="00B964D5"/>
    <w:rsid w:val="00B96633"/>
    <w:rsid w:val="00B967ED"/>
    <w:rsid w:val="00B968AA"/>
    <w:rsid w:val="00B96A09"/>
    <w:rsid w:val="00B96C74"/>
    <w:rsid w:val="00B96CFD"/>
    <w:rsid w:val="00B96DD0"/>
    <w:rsid w:val="00B96F6B"/>
    <w:rsid w:val="00B96F70"/>
    <w:rsid w:val="00B97050"/>
    <w:rsid w:val="00B970C2"/>
    <w:rsid w:val="00B971FD"/>
    <w:rsid w:val="00B9737A"/>
    <w:rsid w:val="00B97384"/>
    <w:rsid w:val="00B973DE"/>
    <w:rsid w:val="00B97471"/>
    <w:rsid w:val="00B976DA"/>
    <w:rsid w:val="00B97918"/>
    <w:rsid w:val="00B9791D"/>
    <w:rsid w:val="00B979A5"/>
    <w:rsid w:val="00B97A36"/>
    <w:rsid w:val="00B97AE4"/>
    <w:rsid w:val="00B97B47"/>
    <w:rsid w:val="00B97CD0"/>
    <w:rsid w:val="00B97D2B"/>
    <w:rsid w:val="00BA0252"/>
    <w:rsid w:val="00BA033E"/>
    <w:rsid w:val="00BA03FF"/>
    <w:rsid w:val="00BA044D"/>
    <w:rsid w:val="00BA0468"/>
    <w:rsid w:val="00BA04C2"/>
    <w:rsid w:val="00BA0562"/>
    <w:rsid w:val="00BA0599"/>
    <w:rsid w:val="00BA064B"/>
    <w:rsid w:val="00BA06E1"/>
    <w:rsid w:val="00BA0866"/>
    <w:rsid w:val="00BA088B"/>
    <w:rsid w:val="00BA0C4E"/>
    <w:rsid w:val="00BA0C5E"/>
    <w:rsid w:val="00BA0E62"/>
    <w:rsid w:val="00BA1085"/>
    <w:rsid w:val="00BA10D1"/>
    <w:rsid w:val="00BA11CA"/>
    <w:rsid w:val="00BA12D0"/>
    <w:rsid w:val="00BA136C"/>
    <w:rsid w:val="00BA1558"/>
    <w:rsid w:val="00BA1564"/>
    <w:rsid w:val="00BA17A2"/>
    <w:rsid w:val="00BA17E2"/>
    <w:rsid w:val="00BA193C"/>
    <w:rsid w:val="00BA19F8"/>
    <w:rsid w:val="00BA1DAE"/>
    <w:rsid w:val="00BA214F"/>
    <w:rsid w:val="00BA2459"/>
    <w:rsid w:val="00BA26C3"/>
    <w:rsid w:val="00BA2856"/>
    <w:rsid w:val="00BA2D34"/>
    <w:rsid w:val="00BA2F0A"/>
    <w:rsid w:val="00BA30EF"/>
    <w:rsid w:val="00BA3196"/>
    <w:rsid w:val="00BA32EF"/>
    <w:rsid w:val="00BA3472"/>
    <w:rsid w:val="00BA362D"/>
    <w:rsid w:val="00BA364F"/>
    <w:rsid w:val="00BA36E9"/>
    <w:rsid w:val="00BA3720"/>
    <w:rsid w:val="00BA3726"/>
    <w:rsid w:val="00BA37BD"/>
    <w:rsid w:val="00BA37BE"/>
    <w:rsid w:val="00BA3911"/>
    <w:rsid w:val="00BA3928"/>
    <w:rsid w:val="00BA3C58"/>
    <w:rsid w:val="00BA3C89"/>
    <w:rsid w:val="00BA3D13"/>
    <w:rsid w:val="00BA3E36"/>
    <w:rsid w:val="00BA3EC3"/>
    <w:rsid w:val="00BA4145"/>
    <w:rsid w:val="00BA414B"/>
    <w:rsid w:val="00BA41D2"/>
    <w:rsid w:val="00BA41E3"/>
    <w:rsid w:val="00BA441E"/>
    <w:rsid w:val="00BA450C"/>
    <w:rsid w:val="00BA4528"/>
    <w:rsid w:val="00BA46C1"/>
    <w:rsid w:val="00BA46CB"/>
    <w:rsid w:val="00BA49D4"/>
    <w:rsid w:val="00BA4A84"/>
    <w:rsid w:val="00BA4B91"/>
    <w:rsid w:val="00BA4C84"/>
    <w:rsid w:val="00BA4CA5"/>
    <w:rsid w:val="00BA4D7C"/>
    <w:rsid w:val="00BA4DA8"/>
    <w:rsid w:val="00BA50A9"/>
    <w:rsid w:val="00BA515F"/>
    <w:rsid w:val="00BA5334"/>
    <w:rsid w:val="00BA540C"/>
    <w:rsid w:val="00BA58F3"/>
    <w:rsid w:val="00BA591D"/>
    <w:rsid w:val="00BA5A6F"/>
    <w:rsid w:val="00BA5A85"/>
    <w:rsid w:val="00BA5B5F"/>
    <w:rsid w:val="00BA5BA7"/>
    <w:rsid w:val="00BA5CD7"/>
    <w:rsid w:val="00BA5EB1"/>
    <w:rsid w:val="00BA5ECB"/>
    <w:rsid w:val="00BA5EFC"/>
    <w:rsid w:val="00BA6005"/>
    <w:rsid w:val="00BA62EB"/>
    <w:rsid w:val="00BA6379"/>
    <w:rsid w:val="00BA63D1"/>
    <w:rsid w:val="00BA6481"/>
    <w:rsid w:val="00BA6491"/>
    <w:rsid w:val="00BA650F"/>
    <w:rsid w:val="00BA67BF"/>
    <w:rsid w:val="00BA69FB"/>
    <w:rsid w:val="00BA6AF5"/>
    <w:rsid w:val="00BA6C7F"/>
    <w:rsid w:val="00BA6DF5"/>
    <w:rsid w:val="00BA7296"/>
    <w:rsid w:val="00BA74CC"/>
    <w:rsid w:val="00BA7580"/>
    <w:rsid w:val="00BA75A3"/>
    <w:rsid w:val="00BA75C7"/>
    <w:rsid w:val="00BA765C"/>
    <w:rsid w:val="00BA7699"/>
    <w:rsid w:val="00BA76B1"/>
    <w:rsid w:val="00BA76B8"/>
    <w:rsid w:val="00BA77D3"/>
    <w:rsid w:val="00BA78EB"/>
    <w:rsid w:val="00BA7939"/>
    <w:rsid w:val="00BA7973"/>
    <w:rsid w:val="00BA7B48"/>
    <w:rsid w:val="00BA7B8C"/>
    <w:rsid w:val="00BA7C2E"/>
    <w:rsid w:val="00BA7C97"/>
    <w:rsid w:val="00BA7D11"/>
    <w:rsid w:val="00BA7E48"/>
    <w:rsid w:val="00BA7EBB"/>
    <w:rsid w:val="00BA7EC2"/>
    <w:rsid w:val="00BA7F01"/>
    <w:rsid w:val="00BB0017"/>
    <w:rsid w:val="00BB0026"/>
    <w:rsid w:val="00BB0057"/>
    <w:rsid w:val="00BB005C"/>
    <w:rsid w:val="00BB0206"/>
    <w:rsid w:val="00BB0207"/>
    <w:rsid w:val="00BB0396"/>
    <w:rsid w:val="00BB0414"/>
    <w:rsid w:val="00BB06DE"/>
    <w:rsid w:val="00BB06FF"/>
    <w:rsid w:val="00BB0A06"/>
    <w:rsid w:val="00BB0CB4"/>
    <w:rsid w:val="00BB0E2C"/>
    <w:rsid w:val="00BB0EC4"/>
    <w:rsid w:val="00BB0F27"/>
    <w:rsid w:val="00BB1045"/>
    <w:rsid w:val="00BB107A"/>
    <w:rsid w:val="00BB1089"/>
    <w:rsid w:val="00BB116E"/>
    <w:rsid w:val="00BB11A9"/>
    <w:rsid w:val="00BB11ED"/>
    <w:rsid w:val="00BB11F7"/>
    <w:rsid w:val="00BB129D"/>
    <w:rsid w:val="00BB12D8"/>
    <w:rsid w:val="00BB1397"/>
    <w:rsid w:val="00BB1421"/>
    <w:rsid w:val="00BB14F4"/>
    <w:rsid w:val="00BB1556"/>
    <w:rsid w:val="00BB1610"/>
    <w:rsid w:val="00BB166B"/>
    <w:rsid w:val="00BB1AE6"/>
    <w:rsid w:val="00BB1BB4"/>
    <w:rsid w:val="00BB1E16"/>
    <w:rsid w:val="00BB1F99"/>
    <w:rsid w:val="00BB1FA4"/>
    <w:rsid w:val="00BB20EC"/>
    <w:rsid w:val="00BB217D"/>
    <w:rsid w:val="00BB22A7"/>
    <w:rsid w:val="00BB2391"/>
    <w:rsid w:val="00BB24A0"/>
    <w:rsid w:val="00BB2576"/>
    <w:rsid w:val="00BB26DA"/>
    <w:rsid w:val="00BB28F5"/>
    <w:rsid w:val="00BB2931"/>
    <w:rsid w:val="00BB29D7"/>
    <w:rsid w:val="00BB29F6"/>
    <w:rsid w:val="00BB2A14"/>
    <w:rsid w:val="00BB2B49"/>
    <w:rsid w:val="00BB2D45"/>
    <w:rsid w:val="00BB2F41"/>
    <w:rsid w:val="00BB3090"/>
    <w:rsid w:val="00BB30D2"/>
    <w:rsid w:val="00BB3158"/>
    <w:rsid w:val="00BB33A9"/>
    <w:rsid w:val="00BB3545"/>
    <w:rsid w:val="00BB3565"/>
    <w:rsid w:val="00BB3654"/>
    <w:rsid w:val="00BB37C5"/>
    <w:rsid w:val="00BB37DB"/>
    <w:rsid w:val="00BB382E"/>
    <w:rsid w:val="00BB390F"/>
    <w:rsid w:val="00BB39C0"/>
    <w:rsid w:val="00BB3AB4"/>
    <w:rsid w:val="00BB3B01"/>
    <w:rsid w:val="00BB3CAC"/>
    <w:rsid w:val="00BB3E84"/>
    <w:rsid w:val="00BB400D"/>
    <w:rsid w:val="00BB4042"/>
    <w:rsid w:val="00BB40D5"/>
    <w:rsid w:val="00BB40DF"/>
    <w:rsid w:val="00BB41FA"/>
    <w:rsid w:val="00BB42F7"/>
    <w:rsid w:val="00BB4350"/>
    <w:rsid w:val="00BB43E7"/>
    <w:rsid w:val="00BB4427"/>
    <w:rsid w:val="00BB4470"/>
    <w:rsid w:val="00BB44B1"/>
    <w:rsid w:val="00BB4556"/>
    <w:rsid w:val="00BB459E"/>
    <w:rsid w:val="00BB45A9"/>
    <w:rsid w:val="00BB4666"/>
    <w:rsid w:val="00BB4683"/>
    <w:rsid w:val="00BB46F8"/>
    <w:rsid w:val="00BB4B10"/>
    <w:rsid w:val="00BB4BA1"/>
    <w:rsid w:val="00BB4BA9"/>
    <w:rsid w:val="00BB4C47"/>
    <w:rsid w:val="00BB4C7F"/>
    <w:rsid w:val="00BB4C97"/>
    <w:rsid w:val="00BB4EB8"/>
    <w:rsid w:val="00BB5052"/>
    <w:rsid w:val="00BB50C2"/>
    <w:rsid w:val="00BB51C6"/>
    <w:rsid w:val="00BB53AB"/>
    <w:rsid w:val="00BB53C5"/>
    <w:rsid w:val="00BB54CA"/>
    <w:rsid w:val="00BB54D7"/>
    <w:rsid w:val="00BB55B2"/>
    <w:rsid w:val="00BB565D"/>
    <w:rsid w:val="00BB56A7"/>
    <w:rsid w:val="00BB577E"/>
    <w:rsid w:val="00BB57CA"/>
    <w:rsid w:val="00BB5987"/>
    <w:rsid w:val="00BB5A21"/>
    <w:rsid w:val="00BB5AB0"/>
    <w:rsid w:val="00BB5B56"/>
    <w:rsid w:val="00BB5C28"/>
    <w:rsid w:val="00BB5DA4"/>
    <w:rsid w:val="00BB5EB1"/>
    <w:rsid w:val="00BB5FF1"/>
    <w:rsid w:val="00BB6127"/>
    <w:rsid w:val="00BB617D"/>
    <w:rsid w:val="00BB66F1"/>
    <w:rsid w:val="00BB674B"/>
    <w:rsid w:val="00BB67CB"/>
    <w:rsid w:val="00BB6808"/>
    <w:rsid w:val="00BB69D3"/>
    <w:rsid w:val="00BB69FD"/>
    <w:rsid w:val="00BB6B1F"/>
    <w:rsid w:val="00BB6CA0"/>
    <w:rsid w:val="00BB6CCD"/>
    <w:rsid w:val="00BB6D85"/>
    <w:rsid w:val="00BB6DAE"/>
    <w:rsid w:val="00BB6EF4"/>
    <w:rsid w:val="00BB6F7A"/>
    <w:rsid w:val="00BB702D"/>
    <w:rsid w:val="00BB71B7"/>
    <w:rsid w:val="00BB7235"/>
    <w:rsid w:val="00BB7295"/>
    <w:rsid w:val="00BB7330"/>
    <w:rsid w:val="00BB735F"/>
    <w:rsid w:val="00BB738C"/>
    <w:rsid w:val="00BB7496"/>
    <w:rsid w:val="00BB7498"/>
    <w:rsid w:val="00BB765E"/>
    <w:rsid w:val="00BB768B"/>
    <w:rsid w:val="00BB7756"/>
    <w:rsid w:val="00BB775E"/>
    <w:rsid w:val="00BB7873"/>
    <w:rsid w:val="00BB7D71"/>
    <w:rsid w:val="00BC020E"/>
    <w:rsid w:val="00BC02B2"/>
    <w:rsid w:val="00BC049F"/>
    <w:rsid w:val="00BC053A"/>
    <w:rsid w:val="00BC071A"/>
    <w:rsid w:val="00BC0A02"/>
    <w:rsid w:val="00BC0C0D"/>
    <w:rsid w:val="00BC0C90"/>
    <w:rsid w:val="00BC0D9A"/>
    <w:rsid w:val="00BC0E3F"/>
    <w:rsid w:val="00BC0EA8"/>
    <w:rsid w:val="00BC1062"/>
    <w:rsid w:val="00BC108E"/>
    <w:rsid w:val="00BC126D"/>
    <w:rsid w:val="00BC152E"/>
    <w:rsid w:val="00BC1726"/>
    <w:rsid w:val="00BC17A4"/>
    <w:rsid w:val="00BC17D0"/>
    <w:rsid w:val="00BC18E0"/>
    <w:rsid w:val="00BC1B63"/>
    <w:rsid w:val="00BC1C34"/>
    <w:rsid w:val="00BC1C5D"/>
    <w:rsid w:val="00BC1D6A"/>
    <w:rsid w:val="00BC1D6E"/>
    <w:rsid w:val="00BC1EB8"/>
    <w:rsid w:val="00BC1FB4"/>
    <w:rsid w:val="00BC2009"/>
    <w:rsid w:val="00BC2025"/>
    <w:rsid w:val="00BC2036"/>
    <w:rsid w:val="00BC2271"/>
    <w:rsid w:val="00BC2486"/>
    <w:rsid w:val="00BC257B"/>
    <w:rsid w:val="00BC25A8"/>
    <w:rsid w:val="00BC2624"/>
    <w:rsid w:val="00BC2728"/>
    <w:rsid w:val="00BC28EB"/>
    <w:rsid w:val="00BC2AB6"/>
    <w:rsid w:val="00BC2B66"/>
    <w:rsid w:val="00BC2C4A"/>
    <w:rsid w:val="00BC2EFE"/>
    <w:rsid w:val="00BC2FF4"/>
    <w:rsid w:val="00BC3402"/>
    <w:rsid w:val="00BC341C"/>
    <w:rsid w:val="00BC3475"/>
    <w:rsid w:val="00BC352C"/>
    <w:rsid w:val="00BC3569"/>
    <w:rsid w:val="00BC3815"/>
    <w:rsid w:val="00BC3881"/>
    <w:rsid w:val="00BC3A4F"/>
    <w:rsid w:val="00BC3B4C"/>
    <w:rsid w:val="00BC3BCB"/>
    <w:rsid w:val="00BC3C11"/>
    <w:rsid w:val="00BC3C1F"/>
    <w:rsid w:val="00BC3D31"/>
    <w:rsid w:val="00BC3DF6"/>
    <w:rsid w:val="00BC3FE0"/>
    <w:rsid w:val="00BC4041"/>
    <w:rsid w:val="00BC40C8"/>
    <w:rsid w:val="00BC4229"/>
    <w:rsid w:val="00BC4234"/>
    <w:rsid w:val="00BC4359"/>
    <w:rsid w:val="00BC43F4"/>
    <w:rsid w:val="00BC445D"/>
    <w:rsid w:val="00BC45D0"/>
    <w:rsid w:val="00BC465C"/>
    <w:rsid w:val="00BC4EFC"/>
    <w:rsid w:val="00BC4F9D"/>
    <w:rsid w:val="00BC50F0"/>
    <w:rsid w:val="00BC50F6"/>
    <w:rsid w:val="00BC523D"/>
    <w:rsid w:val="00BC5291"/>
    <w:rsid w:val="00BC53A2"/>
    <w:rsid w:val="00BC56E6"/>
    <w:rsid w:val="00BC5850"/>
    <w:rsid w:val="00BC59AE"/>
    <w:rsid w:val="00BC59E9"/>
    <w:rsid w:val="00BC5A7A"/>
    <w:rsid w:val="00BC5CE9"/>
    <w:rsid w:val="00BC5D6F"/>
    <w:rsid w:val="00BC6265"/>
    <w:rsid w:val="00BC6305"/>
    <w:rsid w:val="00BC63AB"/>
    <w:rsid w:val="00BC66B1"/>
    <w:rsid w:val="00BC676E"/>
    <w:rsid w:val="00BC67E8"/>
    <w:rsid w:val="00BC6806"/>
    <w:rsid w:val="00BC68AC"/>
    <w:rsid w:val="00BC69D4"/>
    <w:rsid w:val="00BC6B84"/>
    <w:rsid w:val="00BC6C0C"/>
    <w:rsid w:val="00BC6CBD"/>
    <w:rsid w:val="00BC6D51"/>
    <w:rsid w:val="00BC6D7D"/>
    <w:rsid w:val="00BC6E7E"/>
    <w:rsid w:val="00BC703E"/>
    <w:rsid w:val="00BC7215"/>
    <w:rsid w:val="00BC727C"/>
    <w:rsid w:val="00BC7687"/>
    <w:rsid w:val="00BC7811"/>
    <w:rsid w:val="00BC7823"/>
    <w:rsid w:val="00BC7965"/>
    <w:rsid w:val="00BC7BDC"/>
    <w:rsid w:val="00BC7C02"/>
    <w:rsid w:val="00BC7E38"/>
    <w:rsid w:val="00BC7EAD"/>
    <w:rsid w:val="00BC7EDB"/>
    <w:rsid w:val="00BC7F11"/>
    <w:rsid w:val="00BCA0F6"/>
    <w:rsid w:val="00BD00CA"/>
    <w:rsid w:val="00BD01A9"/>
    <w:rsid w:val="00BD0288"/>
    <w:rsid w:val="00BD029C"/>
    <w:rsid w:val="00BD02AE"/>
    <w:rsid w:val="00BD0395"/>
    <w:rsid w:val="00BD0540"/>
    <w:rsid w:val="00BD05DD"/>
    <w:rsid w:val="00BD0757"/>
    <w:rsid w:val="00BD08A8"/>
    <w:rsid w:val="00BD0A9D"/>
    <w:rsid w:val="00BD0ACB"/>
    <w:rsid w:val="00BD0AFC"/>
    <w:rsid w:val="00BD0D24"/>
    <w:rsid w:val="00BD0E27"/>
    <w:rsid w:val="00BD0E5D"/>
    <w:rsid w:val="00BD0F46"/>
    <w:rsid w:val="00BD1066"/>
    <w:rsid w:val="00BD10C2"/>
    <w:rsid w:val="00BD1225"/>
    <w:rsid w:val="00BD1316"/>
    <w:rsid w:val="00BD1428"/>
    <w:rsid w:val="00BD14A2"/>
    <w:rsid w:val="00BD14E9"/>
    <w:rsid w:val="00BD163A"/>
    <w:rsid w:val="00BD16C7"/>
    <w:rsid w:val="00BD1747"/>
    <w:rsid w:val="00BD17B8"/>
    <w:rsid w:val="00BD180B"/>
    <w:rsid w:val="00BD18B1"/>
    <w:rsid w:val="00BD1993"/>
    <w:rsid w:val="00BD19FB"/>
    <w:rsid w:val="00BD1C0D"/>
    <w:rsid w:val="00BD1CE0"/>
    <w:rsid w:val="00BD1D32"/>
    <w:rsid w:val="00BD1DEE"/>
    <w:rsid w:val="00BD1E7D"/>
    <w:rsid w:val="00BD1EA8"/>
    <w:rsid w:val="00BD2004"/>
    <w:rsid w:val="00BD200C"/>
    <w:rsid w:val="00BD2149"/>
    <w:rsid w:val="00BD2511"/>
    <w:rsid w:val="00BD2527"/>
    <w:rsid w:val="00BD27C9"/>
    <w:rsid w:val="00BD2A02"/>
    <w:rsid w:val="00BD2A7C"/>
    <w:rsid w:val="00BD2A99"/>
    <w:rsid w:val="00BD2B55"/>
    <w:rsid w:val="00BD2BC2"/>
    <w:rsid w:val="00BD2E5C"/>
    <w:rsid w:val="00BD2F39"/>
    <w:rsid w:val="00BD301E"/>
    <w:rsid w:val="00BD30B3"/>
    <w:rsid w:val="00BD30B7"/>
    <w:rsid w:val="00BD3120"/>
    <w:rsid w:val="00BD312D"/>
    <w:rsid w:val="00BD3285"/>
    <w:rsid w:val="00BD32FB"/>
    <w:rsid w:val="00BD338D"/>
    <w:rsid w:val="00BD3528"/>
    <w:rsid w:val="00BD3544"/>
    <w:rsid w:val="00BD3760"/>
    <w:rsid w:val="00BD3939"/>
    <w:rsid w:val="00BD3AF8"/>
    <w:rsid w:val="00BD3BCB"/>
    <w:rsid w:val="00BD3D80"/>
    <w:rsid w:val="00BD3E3D"/>
    <w:rsid w:val="00BD418A"/>
    <w:rsid w:val="00BD422D"/>
    <w:rsid w:val="00BD4269"/>
    <w:rsid w:val="00BD432D"/>
    <w:rsid w:val="00BD4338"/>
    <w:rsid w:val="00BD4360"/>
    <w:rsid w:val="00BD4443"/>
    <w:rsid w:val="00BD44BA"/>
    <w:rsid w:val="00BD45DB"/>
    <w:rsid w:val="00BD4751"/>
    <w:rsid w:val="00BD477F"/>
    <w:rsid w:val="00BD4783"/>
    <w:rsid w:val="00BD4834"/>
    <w:rsid w:val="00BD49FB"/>
    <w:rsid w:val="00BD4D39"/>
    <w:rsid w:val="00BD4DCF"/>
    <w:rsid w:val="00BD4E80"/>
    <w:rsid w:val="00BD4EBC"/>
    <w:rsid w:val="00BD4F94"/>
    <w:rsid w:val="00BD5013"/>
    <w:rsid w:val="00BD5128"/>
    <w:rsid w:val="00BD5188"/>
    <w:rsid w:val="00BD529D"/>
    <w:rsid w:val="00BD52A7"/>
    <w:rsid w:val="00BD52FE"/>
    <w:rsid w:val="00BD5358"/>
    <w:rsid w:val="00BD537D"/>
    <w:rsid w:val="00BD54A4"/>
    <w:rsid w:val="00BD56F3"/>
    <w:rsid w:val="00BD5794"/>
    <w:rsid w:val="00BD5810"/>
    <w:rsid w:val="00BD5837"/>
    <w:rsid w:val="00BD5879"/>
    <w:rsid w:val="00BD587C"/>
    <w:rsid w:val="00BD5B7F"/>
    <w:rsid w:val="00BD5C31"/>
    <w:rsid w:val="00BD6282"/>
    <w:rsid w:val="00BD6453"/>
    <w:rsid w:val="00BD64AB"/>
    <w:rsid w:val="00BD65AA"/>
    <w:rsid w:val="00BD6763"/>
    <w:rsid w:val="00BD67C0"/>
    <w:rsid w:val="00BD6842"/>
    <w:rsid w:val="00BD6952"/>
    <w:rsid w:val="00BD6A4D"/>
    <w:rsid w:val="00BD6D9B"/>
    <w:rsid w:val="00BD6E92"/>
    <w:rsid w:val="00BD6F1B"/>
    <w:rsid w:val="00BD6F2D"/>
    <w:rsid w:val="00BD71DD"/>
    <w:rsid w:val="00BD720F"/>
    <w:rsid w:val="00BD722E"/>
    <w:rsid w:val="00BD7372"/>
    <w:rsid w:val="00BD7378"/>
    <w:rsid w:val="00BD74A0"/>
    <w:rsid w:val="00BD7653"/>
    <w:rsid w:val="00BD78C4"/>
    <w:rsid w:val="00BD7940"/>
    <w:rsid w:val="00BD7948"/>
    <w:rsid w:val="00BD79C4"/>
    <w:rsid w:val="00BD7BFD"/>
    <w:rsid w:val="00BD7C0E"/>
    <w:rsid w:val="00BD7C6F"/>
    <w:rsid w:val="00BD7DD3"/>
    <w:rsid w:val="00BE002F"/>
    <w:rsid w:val="00BE034F"/>
    <w:rsid w:val="00BE03AF"/>
    <w:rsid w:val="00BE045F"/>
    <w:rsid w:val="00BE04AA"/>
    <w:rsid w:val="00BE05AC"/>
    <w:rsid w:val="00BE065F"/>
    <w:rsid w:val="00BE06B9"/>
    <w:rsid w:val="00BE0721"/>
    <w:rsid w:val="00BE072C"/>
    <w:rsid w:val="00BE0736"/>
    <w:rsid w:val="00BE07BC"/>
    <w:rsid w:val="00BE07DD"/>
    <w:rsid w:val="00BE08B8"/>
    <w:rsid w:val="00BE0AA6"/>
    <w:rsid w:val="00BE0AFA"/>
    <w:rsid w:val="00BE0B1A"/>
    <w:rsid w:val="00BE0BAA"/>
    <w:rsid w:val="00BE0BD0"/>
    <w:rsid w:val="00BE0C02"/>
    <w:rsid w:val="00BE0EF1"/>
    <w:rsid w:val="00BE0F37"/>
    <w:rsid w:val="00BE1017"/>
    <w:rsid w:val="00BE10C4"/>
    <w:rsid w:val="00BE1115"/>
    <w:rsid w:val="00BE114D"/>
    <w:rsid w:val="00BE122C"/>
    <w:rsid w:val="00BE139B"/>
    <w:rsid w:val="00BE13EA"/>
    <w:rsid w:val="00BE14DA"/>
    <w:rsid w:val="00BE14FD"/>
    <w:rsid w:val="00BE152A"/>
    <w:rsid w:val="00BE176A"/>
    <w:rsid w:val="00BE17E4"/>
    <w:rsid w:val="00BE184E"/>
    <w:rsid w:val="00BE186D"/>
    <w:rsid w:val="00BE18CB"/>
    <w:rsid w:val="00BE1AEB"/>
    <w:rsid w:val="00BE1B6C"/>
    <w:rsid w:val="00BE1BC6"/>
    <w:rsid w:val="00BE1F19"/>
    <w:rsid w:val="00BE21D0"/>
    <w:rsid w:val="00BE2233"/>
    <w:rsid w:val="00BE2352"/>
    <w:rsid w:val="00BE2432"/>
    <w:rsid w:val="00BE24A2"/>
    <w:rsid w:val="00BE2716"/>
    <w:rsid w:val="00BE27F5"/>
    <w:rsid w:val="00BE2B13"/>
    <w:rsid w:val="00BE2BB1"/>
    <w:rsid w:val="00BE2BD5"/>
    <w:rsid w:val="00BE2C81"/>
    <w:rsid w:val="00BE2D0C"/>
    <w:rsid w:val="00BE2EF2"/>
    <w:rsid w:val="00BE2F2E"/>
    <w:rsid w:val="00BE3068"/>
    <w:rsid w:val="00BE30AF"/>
    <w:rsid w:val="00BE3197"/>
    <w:rsid w:val="00BE32FF"/>
    <w:rsid w:val="00BE3303"/>
    <w:rsid w:val="00BE3330"/>
    <w:rsid w:val="00BE3379"/>
    <w:rsid w:val="00BE3404"/>
    <w:rsid w:val="00BE3705"/>
    <w:rsid w:val="00BE3790"/>
    <w:rsid w:val="00BE385D"/>
    <w:rsid w:val="00BE3877"/>
    <w:rsid w:val="00BE38FC"/>
    <w:rsid w:val="00BE3A80"/>
    <w:rsid w:val="00BE3B08"/>
    <w:rsid w:val="00BE3BA9"/>
    <w:rsid w:val="00BE3C93"/>
    <w:rsid w:val="00BE3D6B"/>
    <w:rsid w:val="00BE3DDD"/>
    <w:rsid w:val="00BE3E0C"/>
    <w:rsid w:val="00BE3FF1"/>
    <w:rsid w:val="00BE402F"/>
    <w:rsid w:val="00BE409E"/>
    <w:rsid w:val="00BE411B"/>
    <w:rsid w:val="00BE4126"/>
    <w:rsid w:val="00BE435D"/>
    <w:rsid w:val="00BE4455"/>
    <w:rsid w:val="00BE44A9"/>
    <w:rsid w:val="00BE462A"/>
    <w:rsid w:val="00BE47A2"/>
    <w:rsid w:val="00BE4920"/>
    <w:rsid w:val="00BE493E"/>
    <w:rsid w:val="00BE4949"/>
    <w:rsid w:val="00BE4CE7"/>
    <w:rsid w:val="00BE4D75"/>
    <w:rsid w:val="00BE4DC5"/>
    <w:rsid w:val="00BE4DCA"/>
    <w:rsid w:val="00BE4E2F"/>
    <w:rsid w:val="00BE506B"/>
    <w:rsid w:val="00BE51A7"/>
    <w:rsid w:val="00BE5356"/>
    <w:rsid w:val="00BE536E"/>
    <w:rsid w:val="00BE5451"/>
    <w:rsid w:val="00BE545B"/>
    <w:rsid w:val="00BE55BB"/>
    <w:rsid w:val="00BE5804"/>
    <w:rsid w:val="00BE5937"/>
    <w:rsid w:val="00BE5954"/>
    <w:rsid w:val="00BE5A3F"/>
    <w:rsid w:val="00BE5B2D"/>
    <w:rsid w:val="00BE5B2F"/>
    <w:rsid w:val="00BE5B9A"/>
    <w:rsid w:val="00BE5C15"/>
    <w:rsid w:val="00BE5D26"/>
    <w:rsid w:val="00BE5D97"/>
    <w:rsid w:val="00BE5DFB"/>
    <w:rsid w:val="00BE5E44"/>
    <w:rsid w:val="00BE5F56"/>
    <w:rsid w:val="00BE5F5A"/>
    <w:rsid w:val="00BE5FD1"/>
    <w:rsid w:val="00BE609B"/>
    <w:rsid w:val="00BE626D"/>
    <w:rsid w:val="00BE62B5"/>
    <w:rsid w:val="00BE687C"/>
    <w:rsid w:val="00BE6908"/>
    <w:rsid w:val="00BE69A1"/>
    <w:rsid w:val="00BE6A31"/>
    <w:rsid w:val="00BE6A98"/>
    <w:rsid w:val="00BE6AA6"/>
    <w:rsid w:val="00BE6B47"/>
    <w:rsid w:val="00BE6E6A"/>
    <w:rsid w:val="00BE6F71"/>
    <w:rsid w:val="00BE7024"/>
    <w:rsid w:val="00BE70A7"/>
    <w:rsid w:val="00BE7173"/>
    <w:rsid w:val="00BE733D"/>
    <w:rsid w:val="00BE739B"/>
    <w:rsid w:val="00BE7517"/>
    <w:rsid w:val="00BE75EB"/>
    <w:rsid w:val="00BE77A0"/>
    <w:rsid w:val="00BE78EA"/>
    <w:rsid w:val="00BE7943"/>
    <w:rsid w:val="00BE7ACD"/>
    <w:rsid w:val="00BE7B5A"/>
    <w:rsid w:val="00BE7BB4"/>
    <w:rsid w:val="00BE7BE5"/>
    <w:rsid w:val="00BE7CBD"/>
    <w:rsid w:val="00BE7D0D"/>
    <w:rsid w:val="00BE7E25"/>
    <w:rsid w:val="00BE7E6F"/>
    <w:rsid w:val="00BE7EAC"/>
    <w:rsid w:val="00BE7F45"/>
    <w:rsid w:val="00BF0085"/>
    <w:rsid w:val="00BF01E4"/>
    <w:rsid w:val="00BF04B3"/>
    <w:rsid w:val="00BF05BA"/>
    <w:rsid w:val="00BF07B7"/>
    <w:rsid w:val="00BF089F"/>
    <w:rsid w:val="00BF098B"/>
    <w:rsid w:val="00BF0D85"/>
    <w:rsid w:val="00BF0EA0"/>
    <w:rsid w:val="00BF0FA2"/>
    <w:rsid w:val="00BF11C0"/>
    <w:rsid w:val="00BF122C"/>
    <w:rsid w:val="00BF13E1"/>
    <w:rsid w:val="00BF14B7"/>
    <w:rsid w:val="00BF14C0"/>
    <w:rsid w:val="00BF1521"/>
    <w:rsid w:val="00BF170C"/>
    <w:rsid w:val="00BF17BA"/>
    <w:rsid w:val="00BF1811"/>
    <w:rsid w:val="00BF1D04"/>
    <w:rsid w:val="00BF1DD0"/>
    <w:rsid w:val="00BF1E13"/>
    <w:rsid w:val="00BF1F1A"/>
    <w:rsid w:val="00BF204C"/>
    <w:rsid w:val="00BF2156"/>
    <w:rsid w:val="00BF21D7"/>
    <w:rsid w:val="00BF22C0"/>
    <w:rsid w:val="00BF2484"/>
    <w:rsid w:val="00BF25A7"/>
    <w:rsid w:val="00BF266C"/>
    <w:rsid w:val="00BF2673"/>
    <w:rsid w:val="00BF2742"/>
    <w:rsid w:val="00BF27D1"/>
    <w:rsid w:val="00BF2839"/>
    <w:rsid w:val="00BF2894"/>
    <w:rsid w:val="00BF2941"/>
    <w:rsid w:val="00BF29E8"/>
    <w:rsid w:val="00BF2A32"/>
    <w:rsid w:val="00BF2C9A"/>
    <w:rsid w:val="00BF2D0E"/>
    <w:rsid w:val="00BF2D49"/>
    <w:rsid w:val="00BF2D5A"/>
    <w:rsid w:val="00BF2F37"/>
    <w:rsid w:val="00BF301B"/>
    <w:rsid w:val="00BF31B9"/>
    <w:rsid w:val="00BF3216"/>
    <w:rsid w:val="00BF328E"/>
    <w:rsid w:val="00BF3347"/>
    <w:rsid w:val="00BF348D"/>
    <w:rsid w:val="00BF3528"/>
    <w:rsid w:val="00BF360C"/>
    <w:rsid w:val="00BF371D"/>
    <w:rsid w:val="00BF3889"/>
    <w:rsid w:val="00BF38C5"/>
    <w:rsid w:val="00BF394A"/>
    <w:rsid w:val="00BF3AFA"/>
    <w:rsid w:val="00BF3B02"/>
    <w:rsid w:val="00BF3B35"/>
    <w:rsid w:val="00BF3CB9"/>
    <w:rsid w:val="00BF4034"/>
    <w:rsid w:val="00BF415B"/>
    <w:rsid w:val="00BF4204"/>
    <w:rsid w:val="00BF4302"/>
    <w:rsid w:val="00BF454F"/>
    <w:rsid w:val="00BF4597"/>
    <w:rsid w:val="00BF4643"/>
    <w:rsid w:val="00BF469B"/>
    <w:rsid w:val="00BF4867"/>
    <w:rsid w:val="00BF4872"/>
    <w:rsid w:val="00BF499C"/>
    <w:rsid w:val="00BF49AD"/>
    <w:rsid w:val="00BF4AE2"/>
    <w:rsid w:val="00BF4B0C"/>
    <w:rsid w:val="00BF4CA2"/>
    <w:rsid w:val="00BF4D5E"/>
    <w:rsid w:val="00BF4D6C"/>
    <w:rsid w:val="00BF4D92"/>
    <w:rsid w:val="00BF4F33"/>
    <w:rsid w:val="00BF515D"/>
    <w:rsid w:val="00BF5275"/>
    <w:rsid w:val="00BF52C1"/>
    <w:rsid w:val="00BF547F"/>
    <w:rsid w:val="00BF555C"/>
    <w:rsid w:val="00BF5580"/>
    <w:rsid w:val="00BF5677"/>
    <w:rsid w:val="00BF5854"/>
    <w:rsid w:val="00BF5873"/>
    <w:rsid w:val="00BF58FB"/>
    <w:rsid w:val="00BF59EC"/>
    <w:rsid w:val="00BF5AAB"/>
    <w:rsid w:val="00BF5C9F"/>
    <w:rsid w:val="00BF5DC3"/>
    <w:rsid w:val="00BF5E76"/>
    <w:rsid w:val="00BF5ED8"/>
    <w:rsid w:val="00BF609A"/>
    <w:rsid w:val="00BF60B2"/>
    <w:rsid w:val="00BF632D"/>
    <w:rsid w:val="00BF656F"/>
    <w:rsid w:val="00BF65C7"/>
    <w:rsid w:val="00BF65E1"/>
    <w:rsid w:val="00BF660F"/>
    <w:rsid w:val="00BF673B"/>
    <w:rsid w:val="00BF679E"/>
    <w:rsid w:val="00BF6B21"/>
    <w:rsid w:val="00BF6C14"/>
    <w:rsid w:val="00BF6DA2"/>
    <w:rsid w:val="00BF6DE3"/>
    <w:rsid w:val="00BF6DE8"/>
    <w:rsid w:val="00BF6E01"/>
    <w:rsid w:val="00BF6E65"/>
    <w:rsid w:val="00BF7059"/>
    <w:rsid w:val="00BF70E3"/>
    <w:rsid w:val="00BF721E"/>
    <w:rsid w:val="00BF723F"/>
    <w:rsid w:val="00BF7494"/>
    <w:rsid w:val="00BF76BB"/>
    <w:rsid w:val="00BF778C"/>
    <w:rsid w:val="00BF79E3"/>
    <w:rsid w:val="00BF7A81"/>
    <w:rsid w:val="00BF7ADC"/>
    <w:rsid w:val="00BF7AF9"/>
    <w:rsid w:val="00BF7DE6"/>
    <w:rsid w:val="00BF7EA5"/>
    <w:rsid w:val="00C000B8"/>
    <w:rsid w:val="00C00269"/>
    <w:rsid w:val="00C0042D"/>
    <w:rsid w:val="00C0052A"/>
    <w:rsid w:val="00C0077D"/>
    <w:rsid w:val="00C00797"/>
    <w:rsid w:val="00C00B22"/>
    <w:rsid w:val="00C00B33"/>
    <w:rsid w:val="00C00BA2"/>
    <w:rsid w:val="00C00D14"/>
    <w:rsid w:val="00C00F0C"/>
    <w:rsid w:val="00C01004"/>
    <w:rsid w:val="00C01348"/>
    <w:rsid w:val="00C013DE"/>
    <w:rsid w:val="00C013FA"/>
    <w:rsid w:val="00C01428"/>
    <w:rsid w:val="00C01507"/>
    <w:rsid w:val="00C0155B"/>
    <w:rsid w:val="00C016F1"/>
    <w:rsid w:val="00C01985"/>
    <w:rsid w:val="00C01A1B"/>
    <w:rsid w:val="00C01A84"/>
    <w:rsid w:val="00C01B0B"/>
    <w:rsid w:val="00C01DE7"/>
    <w:rsid w:val="00C01E6F"/>
    <w:rsid w:val="00C01EAF"/>
    <w:rsid w:val="00C01ED5"/>
    <w:rsid w:val="00C02291"/>
    <w:rsid w:val="00C022F4"/>
    <w:rsid w:val="00C0232D"/>
    <w:rsid w:val="00C0251A"/>
    <w:rsid w:val="00C02546"/>
    <w:rsid w:val="00C025E3"/>
    <w:rsid w:val="00C0273F"/>
    <w:rsid w:val="00C02846"/>
    <w:rsid w:val="00C028BD"/>
    <w:rsid w:val="00C02980"/>
    <w:rsid w:val="00C02AD9"/>
    <w:rsid w:val="00C02C7E"/>
    <w:rsid w:val="00C02DBE"/>
    <w:rsid w:val="00C02E25"/>
    <w:rsid w:val="00C02F79"/>
    <w:rsid w:val="00C02FCF"/>
    <w:rsid w:val="00C03085"/>
    <w:rsid w:val="00C03146"/>
    <w:rsid w:val="00C031FE"/>
    <w:rsid w:val="00C0325E"/>
    <w:rsid w:val="00C032A7"/>
    <w:rsid w:val="00C03585"/>
    <w:rsid w:val="00C03627"/>
    <w:rsid w:val="00C0388A"/>
    <w:rsid w:val="00C03A44"/>
    <w:rsid w:val="00C03A81"/>
    <w:rsid w:val="00C03BCA"/>
    <w:rsid w:val="00C03CCB"/>
    <w:rsid w:val="00C03E25"/>
    <w:rsid w:val="00C03EC0"/>
    <w:rsid w:val="00C03EFB"/>
    <w:rsid w:val="00C03F10"/>
    <w:rsid w:val="00C03F80"/>
    <w:rsid w:val="00C041BC"/>
    <w:rsid w:val="00C0424F"/>
    <w:rsid w:val="00C042DD"/>
    <w:rsid w:val="00C04300"/>
    <w:rsid w:val="00C043F9"/>
    <w:rsid w:val="00C045BC"/>
    <w:rsid w:val="00C045D4"/>
    <w:rsid w:val="00C0460C"/>
    <w:rsid w:val="00C047FE"/>
    <w:rsid w:val="00C0481D"/>
    <w:rsid w:val="00C048E9"/>
    <w:rsid w:val="00C04D56"/>
    <w:rsid w:val="00C04D66"/>
    <w:rsid w:val="00C04DE7"/>
    <w:rsid w:val="00C04EC3"/>
    <w:rsid w:val="00C04F1E"/>
    <w:rsid w:val="00C04F63"/>
    <w:rsid w:val="00C05080"/>
    <w:rsid w:val="00C0518D"/>
    <w:rsid w:val="00C0529A"/>
    <w:rsid w:val="00C0544A"/>
    <w:rsid w:val="00C0547C"/>
    <w:rsid w:val="00C05498"/>
    <w:rsid w:val="00C05559"/>
    <w:rsid w:val="00C05563"/>
    <w:rsid w:val="00C0561F"/>
    <w:rsid w:val="00C056E0"/>
    <w:rsid w:val="00C05878"/>
    <w:rsid w:val="00C0595E"/>
    <w:rsid w:val="00C0598D"/>
    <w:rsid w:val="00C0599E"/>
    <w:rsid w:val="00C05FA4"/>
    <w:rsid w:val="00C05FCF"/>
    <w:rsid w:val="00C0615E"/>
    <w:rsid w:val="00C062DF"/>
    <w:rsid w:val="00C062FE"/>
    <w:rsid w:val="00C06453"/>
    <w:rsid w:val="00C06468"/>
    <w:rsid w:val="00C0646F"/>
    <w:rsid w:val="00C06724"/>
    <w:rsid w:val="00C06743"/>
    <w:rsid w:val="00C068B7"/>
    <w:rsid w:val="00C06989"/>
    <w:rsid w:val="00C069A4"/>
    <w:rsid w:val="00C06BC8"/>
    <w:rsid w:val="00C06C21"/>
    <w:rsid w:val="00C06CBC"/>
    <w:rsid w:val="00C06CE8"/>
    <w:rsid w:val="00C06CFA"/>
    <w:rsid w:val="00C06D08"/>
    <w:rsid w:val="00C06EEB"/>
    <w:rsid w:val="00C07098"/>
    <w:rsid w:val="00C070AB"/>
    <w:rsid w:val="00C071DE"/>
    <w:rsid w:val="00C07486"/>
    <w:rsid w:val="00C074BD"/>
    <w:rsid w:val="00C07737"/>
    <w:rsid w:val="00C07865"/>
    <w:rsid w:val="00C07AEB"/>
    <w:rsid w:val="00C07AED"/>
    <w:rsid w:val="00C07C78"/>
    <w:rsid w:val="00C07FBE"/>
    <w:rsid w:val="00C100AC"/>
    <w:rsid w:val="00C10174"/>
    <w:rsid w:val="00C103C8"/>
    <w:rsid w:val="00C103D1"/>
    <w:rsid w:val="00C103D4"/>
    <w:rsid w:val="00C103EA"/>
    <w:rsid w:val="00C1043E"/>
    <w:rsid w:val="00C10468"/>
    <w:rsid w:val="00C10526"/>
    <w:rsid w:val="00C10646"/>
    <w:rsid w:val="00C10677"/>
    <w:rsid w:val="00C10971"/>
    <w:rsid w:val="00C10980"/>
    <w:rsid w:val="00C10A83"/>
    <w:rsid w:val="00C10B12"/>
    <w:rsid w:val="00C10BDF"/>
    <w:rsid w:val="00C10C73"/>
    <w:rsid w:val="00C10C87"/>
    <w:rsid w:val="00C10C96"/>
    <w:rsid w:val="00C10D24"/>
    <w:rsid w:val="00C10F2C"/>
    <w:rsid w:val="00C10F91"/>
    <w:rsid w:val="00C10F92"/>
    <w:rsid w:val="00C110F6"/>
    <w:rsid w:val="00C11146"/>
    <w:rsid w:val="00C1118D"/>
    <w:rsid w:val="00C1119E"/>
    <w:rsid w:val="00C11250"/>
    <w:rsid w:val="00C113C3"/>
    <w:rsid w:val="00C115D4"/>
    <w:rsid w:val="00C11635"/>
    <w:rsid w:val="00C116A0"/>
    <w:rsid w:val="00C116B1"/>
    <w:rsid w:val="00C11725"/>
    <w:rsid w:val="00C11853"/>
    <w:rsid w:val="00C118AD"/>
    <w:rsid w:val="00C118F4"/>
    <w:rsid w:val="00C11C48"/>
    <w:rsid w:val="00C11CBB"/>
    <w:rsid w:val="00C11DBD"/>
    <w:rsid w:val="00C11DD5"/>
    <w:rsid w:val="00C11E13"/>
    <w:rsid w:val="00C11F81"/>
    <w:rsid w:val="00C120B8"/>
    <w:rsid w:val="00C12190"/>
    <w:rsid w:val="00C121F8"/>
    <w:rsid w:val="00C12285"/>
    <w:rsid w:val="00C122A2"/>
    <w:rsid w:val="00C122F6"/>
    <w:rsid w:val="00C12415"/>
    <w:rsid w:val="00C124FE"/>
    <w:rsid w:val="00C1257C"/>
    <w:rsid w:val="00C126CE"/>
    <w:rsid w:val="00C1287D"/>
    <w:rsid w:val="00C128DA"/>
    <w:rsid w:val="00C129D4"/>
    <w:rsid w:val="00C12C33"/>
    <w:rsid w:val="00C12C3F"/>
    <w:rsid w:val="00C12E03"/>
    <w:rsid w:val="00C1312A"/>
    <w:rsid w:val="00C1314F"/>
    <w:rsid w:val="00C13224"/>
    <w:rsid w:val="00C1322E"/>
    <w:rsid w:val="00C1340A"/>
    <w:rsid w:val="00C1346A"/>
    <w:rsid w:val="00C13598"/>
    <w:rsid w:val="00C135CA"/>
    <w:rsid w:val="00C13662"/>
    <w:rsid w:val="00C13806"/>
    <w:rsid w:val="00C13818"/>
    <w:rsid w:val="00C13B70"/>
    <w:rsid w:val="00C13BB6"/>
    <w:rsid w:val="00C13CB5"/>
    <w:rsid w:val="00C13D4A"/>
    <w:rsid w:val="00C13E8A"/>
    <w:rsid w:val="00C14039"/>
    <w:rsid w:val="00C140D6"/>
    <w:rsid w:val="00C140ED"/>
    <w:rsid w:val="00C142B3"/>
    <w:rsid w:val="00C14412"/>
    <w:rsid w:val="00C14423"/>
    <w:rsid w:val="00C144E9"/>
    <w:rsid w:val="00C144F8"/>
    <w:rsid w:val="00C14689"/>
    <w:rsid w:val="00C14734"/>
    <w:rsid w:val="00C1484A"/>
    <w:rsid w:val="00C14AFC"/>
    <w:rsid w:val="00C14C7C"/>
    <w:rsid w:val="00C14D57"/>
    <w:rsid w:val="00C15118"/>
    <w:rsid w:val="00C151AF"/>
    <w:rsid w:val="00C15350"/>
    <w:rsid w:val="00C1547D"/>
    <w:rsid w:val="00C156D5"/>
    <w:rsid w:val="00C156D7"/>
    <w:rsid w:val="00C15772"/>
    <w:rsid w:val="00C15B62"/>
    <w:rsid w:val="00C15FF1"/>
    <w:rsid w:val="00C16167"/>
    <w:rsid w:val="00C16296"/>
    <w:rsid w:val="00C1629F"/>
    <w:rsid w:val="00C16335"/>
    <w:rsid w:val="00C16356"/>
    <w:rsid w:val="00C16490"/>
    <w:rsid w:val="00C16580"/>
    <w:rsid w:val="00C1664E"/>
    <w:rsid w:val="00C166E1"/>
    <w:rsid w:val="00C16910"/>
    <w:rsid w:val="00C16A8D"/>
    <w:rsid w:val="00C16B76"/>
    <w:rsid w:val="00C16BD5"/>
    <w:rsid w:val="00C16CBA"/>
    <w:rsid w:val="00C16CBF"/>
    <w:rsid w:val="00C16D43"/>
    <w:rsid w:val="00C16DB0"/>
    <w:rsid w:val="00C16DEC"/>
    <w:rsid w:val="00C16E3E"/>
    <w:rsid w:val="00C16F0A"/>
    <w:rsid w:val="00C16F45"/>
    <w:rsid w:val="00C171F1"/>
    <w:rsid w:val="00C1721C"/>
    <w:rsid w:val="00C172CE"/>
    <w:rsid w:val="00C172FA"/>
    <w:rsid w:val="00C17343"/>
    <w:rsid w:val="00C1742C"/>
    <w:rsid w:val="00C17689"/>
    <w:rsid w:val="00C1771A"/>
    <w:rsid w:val="00C177A3"/>
    <w:rsid w:val="00C1781F"/>
    <w:rsid w:val="00C17AAC"/>
    <w:rsid w:val="00C17BBD"/>
    <w:rsid w:val="00C17C39"/>
    <w:rsid w:val="00C17DB3"/>
    <w:rsid w:val="00C17E09"/>
    <w:rsid w:val="00C17F4C"/>
    <w:rsid w:val="00C17FDE"/>
    <w:rsid w:val="00C2001D"/>
    <w:rsid w:val="00C200B4"/>
    <w:rsid w:val="00C202B1"/>
    <w:rsid w:val="00C2039B"/>
    <w:rsid w:val="00C204B5"/>
    <w:rsid w:val="00C20547"/>
    <w:rsid w:val="00C2058A"/>
    <w:rsid w:val="00C20602"/>
    <w:rsid w:val="00C20662"/>
    <w:rsid w:val="00C210A8"/>
    <w:rsid w:val="00C21116"/>
    <w:rsid w:val="00C213DB"/>
    <w:rsid w:val="00C214E4"/>
    <w:rsid w:val="00C214FE"/>
    <w:rsid w:val="00C21525"/>
    <w:rsid w:val="00C21657"/>
    <w:rsid w:val="00C217BA"/>
    <w:rsid w:val="00C2190B"/>
    <w:rsid w:val="00C21AB0"/>
    <w:rsid w:val="00C21B94"/>
    <w:rsid w:val="00C21BE9"/>
    <w:rsid w:val="00C21C20"/>
    <w:rsid w:val="00C21D62"/>
    <w:rsid w:val="00C21DD3"/>
    <w:rsid w:val="00C21DFA"/>
    <w:rsid w:val="00C21DFB"/>
    <w:rsid w:val="00C21F0D"/>
    <w:rsid w:val="00C22103"/>
    <w:rsid w:val="00C22180"/>
    <w:rsid w:val="00C22271"/>
    <w:rsid w:val="00C22289"/>
    <w:rsid w:val="00C223A3"/>
    <w:rsid w:val="00C22468"/>
    <w:rsid w:val="00C22485"/>
    <w:rsid w:val="00C2250F"/>
    <w:rsid w:val="00C2257D"/>
    <w:rsid w:val="00C225B3"/>
    <w:rsid w:val="00C22717"/>
    <w:rsid w:val="00C227F8"/>
    <w:rsid w:val="00C22A7E"/>
    <w:rsid w:val="00C22C6F"/>
    <w:rsid w:val="00C22C9A"/>
    <w:rsid w:val="00C22D15"/>
    <w:rsid w:val="00C22D7A"/>
    <w:rsid w:val="00C22DC7"/>
    <w:rsid w:val="00C22FDC"/>
    <w:rsid w:val="00C23071"/>
    <w:rsid w:val="00C2316E"/>
    <w:rsid w:val="00C231BC"/>
    <w:rsid w:val="00C23381"/>
    <w:rsid w:val="00C23420"/>
    <w:rsid w:val="00C234B2"/>
    <w:rsid w:val="00C2368D"/>
    <w:rsid w:val="00C236C4"/>
    <w:rsid w:val="00C2387D"/>
    <w:rsid w:val="00C2389B"/>
    <w:rsid w:val="00C23A65"/>
    <w:rsid w:val="00C23ACE"/>
    <w:rsid w:val="00C23C1B"/>
    <w:rsid w:val="00C23C46"/>
    <w:rsid w:val="00C23C76"/>
    <w:rsid w:val="00C23FF1"/>
    <w:rsid w:val="00C2401E"/>
    <w:rsid w:val="00C24334"/>
    <w:rsid w:val="00C24460"/>
    <w:rsid w:val="00C24473"/>
    <w:rsid w:val="00C244D5"/>
    <w:rsid w:val="00C2450A"/>
    <w:rsid w:val="00C245DA"/>
    <w:rsid w:val="00C24666"/>
    <w:rsid w:val="00C2479D"/>
    <w:rsid w:val="00C24850"/>
    <w:rsid w:val="00C2489D"/>
    <w:rsid w:val="00C248AB"/>
    <w:rsid w:val="00C24A35"/>
    <w:rsid w:val="00C24D83"/>
    <w:rsid w:val="00C24DDF"/>
    <w:rsid w:val="00C24DE0"/>
    <w:rsid w:val="00C24E81"/>
    <w:rsid w:val="00C24F0A"/>
    <w:rsid w:val="00C24FF1"/>
    <w:rsid w:val="00C2502F"/>
    <w:rsid w:val="00C2526F"/>
    <w:rsid w:val="00C2596A"/>
    <w:rsid w:val="00C259AF"/>
    <w:rsid w:val="00C25AEE"/>
    <w:rsid w:val="00C25B7E"/>
    <w:rsid w:val="00C25C6A"/>
    <w:rsid w:val="00C25E13"/>
    <w:rsid w:val="00C25F58"/>
    <w:rsid w:val="00C26062"/>
    <w:rsid w:val="00C26508"/>
    <w:rsid w:val="00C266A3"/>
    <w:rsid w:val="00C268A6"/>
    <w:rsid w:val="00C26C1A"/>
    <w:rsid w:val="00C26DE6"/>
    <w:rsid w:val="00C26DE7"/>
    <w:rsid w:val="00C26EE4"/>
    <w:rsid w:val="00C270DD"/>
    <w:rsid w:val="00C270FE"/>
    <w:rsid w:val="00C27148"/>
    <w:rsid w:val="00C27178"/>
    <w:rsid w:val="00C271F2"/>
    <w:rsid w:val="00C2729A"/>
    <w:rsid w:val="00C27401"/>
    <w:rsid w:val="00C274F7"/>
    <w:rsid w:val="00C2762E"/>
    <w:rsid w:val="00C27847"/>
    <w:rsid w:val="00C27898"/>
    <w:rsid w:val="00C27997"/>
    <w:rsid w:val="00C27AA0"/>
    <w:rsid w:val="00C27B45"/>
    <w:rsid w:val="00C27CB5"/>
    <w:rsid w:val="00C27CEC"/>
    <w:rsid w:val="00C27D52"/>
    <w:rsid w:val="00C27DAB"/>
    <w:rsid w:val="00C27E8A"/>
    <w:rsid w:val="00C27FC0"/>
    <w:rsid w:val="00C30484"/>
    <w:rsid w:val="00C30497"/>
    <w:rsid w:val="00C30561"/>
    <w:rsid w:val="00C30603"/>
    <w:rsid w:val="00C30CAD"/>
    <w:rsid w:val="00C30D6B"/>
    <w:rsid w:val="00C30DCA"/>
    <w:rsid w:val="00C30E03"/>
    <w:rsid w:val="00C30F1C"/>
    <w:rsid w:val="00C30F40"/>
    <w:rsid w:val="00C30FA3"/>
    <w:rsid w:val="00C31201"/>
    <w:rsid w:val="00C31284"/>
    <w:rsid w:val="00C3137A"/>
    <w:rsid w:val="00C31472"/>
    <w:rsid w:val="00C314FD"/>
    <w:rsid w:val="00C3153C"/>
    <w:rsid w:val="00C315ED"/>
    <w:rsid w:val="00C31629"/>
    <w:rsid w:val="00C31655"/>
    <w:rsid w:val="00C316A0"/>
    <w:rsid w:val="00C31704"/>
    <w:rsid w:val="00C31718"/>
    <w:rsid w:val="00C31859"/>
    <w:rsid w:val="00C31873"/>
    <w:rsid w:val="00C31B45"/>
    <w:rsid w:val="00C31BD2"/>
    <w:rsid w:val="00C31D73"/>
    <w:rsid w:val="00C31E0C"/>
    <w:rsid w:val="00C32072"/>
    <w:rsid w:val="00C3224A"/>
    <w:rsid w:val="00C3229F"/>
    <w:rsid w:val="00C32360"/>
    <w:rsid w:val="00C3254B"/>
    <w:rsid w:val="00C32631"/>
    <w:rsid w:val="00C326F4"/>
    <w:rsid w:val="00C32713"/>
    <w:rsid w:val="00C327A2"/>
    <w:rsid w:val="00C327AB"/>
    <w:rsid w:val="00C3292A"/>
    <w:rsid w:val="00C32984"/>
    <w:rsid w:val="00C3298A"/>
    <w:rsid w:val="00C329E6"/>
    <w:rsid w:val="00C32CAA"/>
    <w:rsid w:val="00C32DAB"/>
    <w:rsid w:val="00C32E2B"/>
    <w:rsid w:val="00C32E64"/>
    <w:rsid w:val="00C32F48"/>
    <w:rsid w:val="00C3367F"/>
    <w:rsid w:val="00C336B0"/>
    <w:rsid w:val="00C337FA"/>
    <w:rsid w:val="00C338C7"/>
    <w:rsid w:val="00C338D0"/>
    <w:rsid w:val="00C339FD"/>
    <w:rsid w:val="00C33AE3"/>
    <w:rsid w:val="00C33B9B"/>
    <w:rsid w:val="00C33BE7"/>
    <w:rsid w:val="00C33BEE"/>
    <w:rsid w:val="00C33E0B"/>
    <w:rsid w:val="00C33EB5"/>
    <w:rsid w:val="00C34022"/>
    <w:rsid w:val="00C3422E"/>
    <w:rsid w:val="00C3429B"/>
    <w:rsid w:val="00C34415"/>
    <w:rsid w:val="00C345B4"/>
    <w:rsid w:val="00C349E3"/>
    <w:rsid w:val="00C34B3E"/>
    <w:rsid w:val="00C34B62"/>
    <w:rsid w:val="00C34B7A"/>
    <w:rsid w:val="00C34BC4"/>
    <w:rsid w:val="00C34C42"/>
    <w:rsid w:val="00C34C89"/>
    <w:rsid w:val="00C34C8F"/>
    <w:rsid w:val="00C34DA6"/>
    <w:rsid w:val="00C34E4B"/>
    <w:rsid w:val="00C34ED1"/>
    <w:rsid w:val="00C34F97"/>
    <w:rsid w:val="00C34FFB"/>
    <w:rsid w:val="00C35129"/>
    <w:rsid w:val="00C352D6"/>
    <w:rsid w:val="00C35470"/>
    <w:rsid w:val="00C3551A"/>
    <w:rsid w:val="00C3558C"/>
    <w:rsid w:val="00C35AA1"/>
    <w:rsid w:val="00C35B2D"/>
    <w:rsid w:val="00C35E2E"/>
    <w:rsid w:val="00C35E3F"/>
    <w:rsid w:val="00C35F1A"/>
    <w:rsid w:val="00C35FF6"/>
    <w:rsid w:val="00C36073"/>
    <w:rsid w:val="00C362BA"/>
    <w:rsid w:val="00C363F2"/>
    <w:rsid w:val="00C3648F"/>
    <w:rsid w:val="00C36540"/>
    <w:rsid w:val="00C36583"/>
    <w:rsid w:val="00C3661C"/>
    <w:rsid w:val="00C369CE"/>
    <w:rsid w:val="00C369E2"/>
    <w:rsid w:val="00C36B78"/>
    <w:rsid w:val="00C36B8E"/>
    <w:rsid w:val="00C36E4C"/>
    <w:rsid w:val="00C36EB8"/>
    <w:rsid w:val="00C36ED9"/>
    <w:rsid w:val="00C37115"/>
    <w:rsid w:val="00C371B8"/>
    <w:rsid w:val="00C371E5"/>
    <w:rsid w:val="00C37254"/>
    <w:rsid w:val="00C3729E"/>
    <w:rsid w:val="00C3751C"/>
    <w:rsid w:val="00C3761A"/>
    <w:rsid w:val="00C37645"/>
    <w:rsid w:val="00C377AA"/>
    <w:rsid w:val="00C37832"/>
    <w:rsid w:val="00C37A99"/>
    <w:rsid w:val="00C37AE0"/>
    <w:rsid w:val="00C37B0A"/>
    <w:rsid w:val="00C37B10"/>
    <w:rsid w:val="00C37B85"/>
    <w:rsid w:val="00C37BEA"/>
    <w:rsid w:val="00C37F27"/>
    <w:rsid w:val="00C37F45"/>
    <w:rsid w:val="00C3D698"/>
    <w:rsid w:val="00C3F014"/>
    <w:rsid w:val="00C40117"/>
    <w:rsid w:val="00C4014A"/>
    <w:rsid w:val="00C402FD"/>
    <w:rsid w:val="00C40438"/>
    <w:rsid w:val="00C40539"/>
    <w:rsid w:val="00C4061B"/>
    <w:rsid w:val="00C40760"/>
    <w:rsid w:val="00C4083F"/>
    <w:rsid w:val="00C40850"/>
    <w:rsid w:val="00C408E0"/>
    <w:rsid w:val="00C40A18"/>
    <w:rsid w:val="00C40B22"/>
    <w:rsid w:val="00C40C35"/>
    <w:rsid w:val="00C40C7F"/>
    <w:rsid w:val="00C410B0"/>
    <w:rsid w:val="00C412A8"/>
    <w:rsid w:val="00C41306"/>
    <w:rsid w:val="00C413CC"/>
    <w:rsid w:val="00C414C1"/>
    <w:rsid w:val="00C41581"/>
    <w:rsid w:val="00C41680"/>
    <w:rsid w:val="00C41755"/>
    <w:rsid w:val="00C417BC"/>
    <w:rsid w:val="00C4182B"/>
    <w:rsid w:val="00C41AF9"/>
    <w:rsid w:val="00C41B2D"/>
    <w:rsid w:val="00C41BBB"/>
    <w:rsid w:val="00C41C17"/>
    <w:rsid w:val="00C41DBD"/>
    <w:rsid w:val="00C41EF2"/>
    <w:rsid w:val="00C41F32"/>
    <w:rsid w:val="00C41F43"/>
    <w:rsid w:val="00C420B4"/>
    <w:rsid w:val="00C421B4"/>
    <w:rsid w:val="00C423C3"/>
    <w:rsid w:val="00C4257C"/>
    <w:rsid w:val="00C42638"/>
    <w:rsid w:val="00C426F8"/>
    <w:rsid w:val="00C428A9"/>
    <w:rsid w:val="00C428AF"/>
    <w:rsid w:val="00C428F3"/>
    <w:rsid w:val="00C42A24"/>
    <w:rsid w:val="00C42A9A"/>
    <w:rsid w:val="00C42AA3"/>
    <w:rsid w:val="00C42AF3"/>
    <w:rsid w:val="00C42C3F"/>
    <w:rsid w:val="00C42C5A"/>
    <w:rsid w:val="00C42D1A"/>
    <w:rsid w:val="00C42D99"/>
    <w:rsid w:val="00C42EEF"/>
    <w:rsid w:val="00C42FCB"/>
    <w:rsid w:val="00C4309E"/>
    <w:rsid w:val="00C433A7"/>
    <w:rsid w:val="00C434EC"/>
    <w:rsid w:val="00C435EB"/>
    <w:rsid w:val="00C437AE"/>
    <w:rsid w:val="00C437C9"/>
    <w:rsid w:val="00C43AB4"/>
    <w:rsid w:val="00C43E6D"/>
    <w:rsid w:val="00C43EA9"/>
    <w:rsid w:val="00C43EF2"/>
    <w:rsid w:val="00C43FE1"/>
    <w:rsid w:val="00C4407D"/>
    <w:rsid w:val="00C4415F"/>
    <w:rsid w:val="00C4422A"/>
    <w:rsid w:val="00C445A2"/>
    <w:rsid w:val="00C44752"/>
    <w:rsid w:val="00C447F7"/>
    <w:rsid w:val="00C44835"/>
    <w:rsid w:val="00C449D1"/>
    <w:rsid w:val="00C449D7"/>
    <w:rsid w:val="00C44A29"/>
    <w:rsid w:val="00C44B8F"/>
    <w:rsid w:val="00C44C86"/>
    <w:rsid w:val="00C44E12"/>
    <w:rsid w:val="00C44EC4"/>
    <w:rsid w:val="00C450AB"/>
    <w:rsid w:val="00C45103"/>
    <w:rsid w:val="00C45108"/>
    <w:rsid w:val="00C45116"/>
    <w:rsid w:val="00C451E3"/>
    <w:rsid w:val="00C45234"/>
    <w:rsid w:val="00C4535A"/>
    <w:rsid w:val="00C45392"/>
    <w:rsid w:val="00C4549D"/>
    <w:rsid w:val="00C455C3"/>
    <w:rsid w:val="00C45605"/>
    <w:rsid w:val="00C456AB"/>
    <w:rsid w:val="00C456C7"/>
    <w:rsid w:val="00C45728"/>
    <w:rsid w:val="00C45791"/>
    <w:rsid w:val="00C458C2"/>
    <w:rsid w:val="00C45A6A"/>
    <w:rsid w:val="00C45A89"/>
    <w:rsid w:val="00C45C38"/>
    <w:rsid w:val="00C45D02"/>
    <w:rsid w:val="00C45FEA"/>
    <w:rsid w:val="00C4632D"/>
    <w:rsid w:val="00C46693"/>
    <w:rsid w:val="00C466DA"/>
    <w:rsid w:val="00C469FC"/>
    <w:rsid w:val="00C46A4C"/>
    <w:rsid w:val="00C46B90"/>
    <w:rsid w:val="00C46DE6"/>
    <w:rsid w:val="00C4703B"/>
    <w:rsid w:val="00C4705F"/>
    <w:rsid w:val="00C470A8"/>
    <w:rsid w:val="00C47326"/>
    <w:rsid w:val="00C473A7"/>
    <w:rsid w:val="00C473C9"/>
    <w:rsid w:val="00C473DD"/>
    <w:rsid w:val="00C474D8"/>
    <w:rsid w:val="00C47501"/>
    <w:rsid w:val="00C4769E"/>
    <w:rsid w:val="00C47779"/>
    <w:rsid w:val="00C477EC"/>
    <w:rsid w:val="00C47898"/>
    <w:rsid w:val="00C478DC"/>
    <w:rsid w:val="00C47B44"/>
    <w:rsid w:val="00C47B6A"/>
    <w:rsid w:val="00C47C20"/>
    <w:rsid w:val="00C47C88"/>
    <w:rsid w:val="00C47E3B"/>
    <w:rsid w:val="00C47E55"/>
    <w:rsid w:val="00C47F68"/>
    <w:rsid w:val="00C50023"/>
    <w:rsid w:val="00C50050"/>
    <w:rsid w:val="00C50051"/>
    <w:rsid w:val="00C50077"/>
    <w:rsid w:val="00C50101"/>
    <w:rsid w:val="00C50259"/>
    <w:rsid w:val="00C5047E"/>
    <w:rsid w:val="00C5058B"/>
    <w:rsid w:val="00C5067B"/>
    <w:rsid w:val="00C507F7"/>
    <w:rsid w:val="00C50ACB"/>
    <w:rsid w:val="00C50B51"/>
    <w:rsid w:val="00C50C0D"/>
    <w:rsid w:val="00C50C17"/>
    <w:rsid w:val="00C50C49"/>
    <w:rsid w:val="00C50C6E"/>
    <w:rsid w:val="00C50CCF"/>
    <w:rsid w:val="00C50D10"/>
    <w:rsid w:val="00C50D96"/>
    <w:rsid w:val="00C50DFF"/>
    <w:rsid w:val="00C50ED9"/>
    <w:rsid w:val="00C50FB2"/>
    <w:rsid w:val="00C50FDC"/>
    <w:rsid w:val="00C510DB"/>
    <w:rsid w:val="00C510E7"/>
    <w:rsid w:val="00C512A6"/>
    <w:rsid w:val="00C5135F"/>
    <w:rsid w:val="00C513D9"/>
    <w:rsid w:val="00C51553"/>
    <w:rsid w:val="00C515D7"/>
    <w:rsid w:val="00C519AF"/>
    <w:rsid w:val="00C51CB1"/>
    <w:rsid w:val="00C51CDC"/>
    <w:rsid w:val="00C51D88"/>
    <w:rsid w:val="00C51D9D"/>
    <w:rsid w:val="00C51DC3"/>
    <w:rsid w:val="00C51EDD"/>
    <w:rsid w:val="00C52056"/>
    <w:rsid w:val="00C5207A"/>
    <w:rsid w:val="00C520D5"/>
    <w:rsid w:val="00C521C7"/>
    <w:rsid w:val="00C522DD"/>
    <w:rsid w:val="00C52327"/>
    <w:rsid w:val="00C5247C"/>
    <w:rsid w:val="00C524F5"/>
    <w:rsid w:val="00C52600"/>
    <w:rsid w:val="00C52698"/>
    <w:rsid w:val="00C5289F"/>
    <w:rsid w:val="00C529EB"/>
    <w:rsid w:val="00C52BA4"/>
    <w:rsid w:val="00C52C0B"/>
    <w:rsid w:val="00C52CDC"/>
    <w:rsid w:val="00C52DFD"/>
    <w:rsid w:val="00C52F57"/>
    <w:rsid w:val="00C52FA9"/>
    <w:rsid w:val="00C52FEA"/>
    <w:rsid w:val="00C53022"/>
    <w:rsid w:val="00C5304D"/>
    <w:rsid w:val="00C531AA"/>
    <w:rsid w:val="00C531FA"/>
    <w:rsid w:val="00C533B1"/>
    <w:rsid w:val="00C534FC"/>
    <w:rsid w:val="00C535B6"/>
    <w:rsid w:val="00C5361F"/>
    <w:rsid w:val="00C53636"/>
    <w:rsid w:val="00C53721"/>
    <w:rsid w:val="00C538E8"/>
    <w:rsid w:val="00C53908"/>
    <w:rsid w:val="00C5399F"/>
    <w:rsid w:val="00C53A11"/>
    <w:rsid w:val="00C53A3B"/>
    <w:rsid w:val="00C53DBD"/>
    <w:rsid w:val="00C53EC7"/>
    <w:rsid w:val="00C53F26"/>
    <w:rsid w:val="00C540A3"/>
    <w:rsid w:val="00C54219"/>
    <w:rsid w:val="00C5423B"/>
    <w:rsid w:val="00C54303"/>
    <w:rsid w:val="00C5435B"/>
    <w:rsid w:val="00C54435"/>
    <w:rsid w:val="00C54545"/>
    <w:rsid w:val="00C545BA"/>
    <w:rsid w:val="00C545EE"/>
    <w:rsid w:val="00C546E3"/>
    <w:rsid w:val="00C54772"/>
    <w:rsid w:val="00C547B2"/>
    <w:rsid w:val="00C54838"/>
    <w:rsid w:val="00C548DA"/>
    <w:rsid w:val="00C54AAD"/>
    <w:rsid w:val="00C54CB5"/>
    <w:rsid w:val="00C54FD6"/>
    <w:rsid w:val="00C55084"/>
    <w:rsid w:val="00C550E0"/>
    <w:rsid w:val="00C552A2"/>
    <w:rsid w:val="00C552AB"/>
    <w:rsid w:val="00C554CB"/>
    <w:rsid w:val="00C554DB"/>
    <w:rsid w:val="00C55509"/>
    <w:rsid w:val="00C555E7"/>
    <w:rsid w:val="00C55797"/>
    <w:rsid w:val="00C5584F"/>
    <w:rsid w:val="00C558A4"/>
    <w:rsid w:val="00C5597B"/>
    <w:rsid w:val="00C55B7E"/>
    <w:rsid w:val="00C55BB3"/>
    <w:rsid w:val="00C55CDC"/>
    <w:rsid w:val="00C55CE9"/>
    <w:rsid w:val="00C55DA6"/>
    <w:rsid w:val="00C56027"/>
    <w:rsid w:val="00C560E6"/>
    <w:rsid w:val="00C5611F"/>
    <w:rsid w:val="00C56231"/>
    <w:rsid w:val="00C56257"/>
    <w:rsid w:val="00C562D2"/>
    <w:rsid w:val="00C56599"/>
    <w:rsid w:val="00C565D7"/>
    <w:rsid w:val="00C566A9"/>
    <w:rsid w:val="00C5674E"/>
    <w:rsid w:val="00C56AED"/>
    <w:rsid w:val="00C56B8F"/>
    <w:rsid w:val="00C56BB4"/>
    <w:rsid w:val="00C56C35"/>
    <w:rsid w:val="00C56DAC"/>
    <w:rsid w:val="00C56E0B"/>
    <w:rsid w:val="00C56E58"/>
    <w:rsid w:val="00C56F0E"/>
    <w:rsid w:val="00C56F13"/>
    <w:rsid w:val="00C57111"/>
    <w:rsid w:val="00C5716E"/>
    <w:rsid w:val="00C574AE"/>
    <w:rsid w:val="00C57528"/>
    <w:rsid w:val="00C575C5"/>
    <w:rsid w:val="00C5762D"/>
    <w:rsid w:val="00C57794"/>
    <w:rsid w:val="00C577BE"/>
    <w:rsid w:val="00C57A0F"/>
    <w:rsid w:val="00C57BE0"/>
    <w:rsid w:val="00C57DD9"/>
    <w:rsid w:val="00C57E31"/>
    <w:rsid w:val="00C57E52"/>
    <w:rsid w:val="00C57F21"/>
    <w:rsid w:val="00C60023"/>
    <w:rsid w:val="00C600CE"/>
    <w:rsid w:val="00C601C9"/>
    <w:rsid w:val="00C60225"/>
    <w:rsid w:val="00C6060D"/>
    <w:rsid w:val="00C60A4C"/>
    <w:rsid w:val="00C60A7D"/>
    <w:rsid w:val="00C60C20"/>
    <w:rsid w:val="00C60C45"/>
    <w:rsid w:val="00C60D44"/>
    <w:rsid w:val="00C60F96"/>
    <w:rsid w:val="00C611D3"/>
    <w:rsid w:val="00C611D4"/>
    <w:rsid w:val="00C6122A"/>
    <w:rsid w:val="00C61252"/>
    <w:rsid w:val="00C61288"/>
    <w:rsid w:val="00C6129C"/>
    <w:rsid w:val="00C612B7"/>
    <w:rsid w:val="00C613EC"/>
    <w:rsid w:val="00C613F4"/>
    <w:rsid w:val="00C614B3"/>
    <w:rsid w:val="00C614CA"/>
    <w:rsid w:val="00C614E2"/>
    <w:rsid w:val="00C6156B"/>
    <w:rsid w:val="00C615F4"/>
    <w:rsid w:val="00C615FF"/>
    <w:rsid w:val="00C616A3"/>
    <w:rsid w:val="00C616DB"/>
    <w:rsid w:val="00C617E5"/>
    <w:rsid w:val="00C618BE"/>
    <w:rsid w:val="00C61ABF"/>
    <w:rsid w:val="00C61AED"/>
    <w:rsid w:val="00C61BAD"/>
    <w:rsid w:val="00C61C7C"/>
    <w:rsid w:val="00C61CBE"/>
    <w:rsid w:val="00C61DC6"/>
    <w:rsid w:val="00C61F87"/>
    <w:rsid w:val="00C61FE4"/>
    <w:rsid w:val="00C62002"/>
    <w:rsid w:val="00C620D1"/>
    <w:rsid w:val="00C620D7"/>
    <w:rsid w:val="00C62180"/>
    <w:rsid w:val="00C62363"/>
    <w:rsid w:val="00C6237B"/>
    <w:rsid w:val="00C62390"/>
    <w:rsid w:val="00C624D0"/>
    <w:rsid w:val="00C62585"/>
    <w:rsid w:val="00C62652"/>
    <w:rsid w:val="00C62685"/>
    <w:rsid w:val="00C6293D"/>
    <w:rsid w:val="00C62A30"/>
    <w:rsid w:val="00C62A9E"/>
    <w:rsid w:val="00C62AB9"/>
    <w:rsid w:val="00C62B70"/>
    <w:rsid w:val="00C62B71"/>
    <w:rsid w:val="00C62BCA"/>
    <w:rsid w:val="00C62C16"/>
    <w:rsid w:val="00C62C75"/>
    <w:rsid w:val="00C62C8C"/>
    <w:rsid w:val="00C62DE8"/>
    <w:rsid w:val="00C62E76"/>
    <w:rsid w:val="00C6308B"/>
    <w:rsid w:val="00C6317B"/>
    <w:rsid w:val="00C63275"/>
    <w:rsid w:val="00C63382"/>
    <w:rsid w:val="00C63628"/>
    <w:rsid w:val="00C636A2"/>
    <w:rsid w:val="00C63944"/>
    <w:rsid w:val="00C6394A"/>
    <w:rsid w:val="00C63B87"/>
    <w:rsid w:val="00C63C3D"/>
    <w:rsid w:val="00C63C64"/>
    <w:rsid w:val="00C63DCB"/>
    <w:rsid w:val="00C63EFB"/>
    <w:rsid w:val="00C63FE0"/>
    <w:rsid w:val="00C64002"/>
    <w:rsid w:val="00C6409F"/>
    <w:rsid w:val="00C640D2"/>
    <w:rsid w:val="00C642E0"/>
    <w:rsid w:val="00C6442E"/>
    <w:rsid w:val="00C644BD"/>
    <w:rsid w:val="00C647D0"/>
    <w:rsid w:val="00C64951"/>
    <w:rsid w:val="00C64BEA"/>
    <w:rsid w:val="00C64C30"/>
    <w:rsid w:val="00C64C6C"/>
    <w:rsid w:val="00C64E0F"/>
    <w:rsid w:val="00C64E41"/>
    <w:rsid w:val="00C64FCF"/>
    <w:rsid w:val="00C64FE2"/>
    <w:rsid w:val="00C650FB"/>
    <w:rsid w:val="00C6538F"/>
    <w:rsid w:val="00C653B8"/>
    <w:rsid w:val="00C65527"/>
    <w:rsid w:val="00C65802"/>
    <w:rsid w:val="00C659E4"/>
    <w:rsid w:val="00C65A86"/>
    <w:rsid w:val="00C65B16"/>
    <w:rsid w:val="00C65B23"/>
    <w:rsid w:val="00C65BE5"/>
    <w:rsid w:val="00C65E09"/>
    <w:rsid w:val="00C6624A"/>
    <w:rsid w:val="00C664A4"/>
    <w:rsid w:val="00C6658D"/>
    <w:rsid w:val="00C665AF"/>
    <w:rsid w:val="00C665E3"/>
    <w:rsid w:val="00C6660B"/>
    <w:rsid w:val="00C66957"/>
    <w:rsid w:val="00C669B5"/>
    <w:rsid w:val="00C66AF6"/>
    <w:rsid w:val="00C66C3D"/>
    <w:rsid w:val="00C66C99"/>
    <w:rsid w:val="00C66EB5"/>
    <w:rsid w:val="00C66EDD"/>
    <w:rsid w:val="00C66EFA"/>
    <w:rsid w:val="00C67033"/>
    <w:rsid w:val="00C67173"/>
    <w:rsid w:val="00C67377"/>
    <w:rsid w:val="00C67455"/>
    <w:rsid w:val="00C675B4"/>
    <w:rsid w:val="00C67696"/>
    <w:rsid w:val="00C67883"/>
    <w:rsid w:val="00C67A38"/>
    <w:rsid w:val="00C67A77"/>
    <w:rsid w:val="00C67A9D"/>
    <w:rsid w:val="00C67A9E"/>
    <w:rsid w:val="00C67BB3"/>
    <w:rsid w:val="00C67BC9"/>
    <w:rsid w:val="00C67C39"/>
    <w:rsid w:val="00C67C8D"/>
    <w:rsid w:val="00C67C96"/>
    <w:rsid w:val="00C67CF9"/>
    <w:rsid w:val="00C67E21"/>
    <w:rsid w:val="00C67E77"/>
    <w:rsid w:val="00C67E9E"/>
    <w:rsid w:val="00C67EC0"/>
    <w:rsid w:val="00C700D1"/>
    <w:rsid w:val="00C7014A"/>
    <w:rsid w:val="00C70233"/>
    <w:rsid w:val="00C70390"/>
    <w:rsid w:val="00C70527"/>
    <w:rsid w:val="00C705B0"/>
    <w:rsid w:val="00C70655"/>
    <w:rsid w:val="00C70804"/>
    <w:rsid w:val="00C708BD"/>
    <w:rsid w:val="00C70C0A"/>
    <w:rsid w:val="00C70CB3"/>
    <w:rsid w:val="00C70F45"/>
    <w:rsid w:val="00C70F5F"/>
    <w:rsid w:val="00C7102B"/>
    <w:rsid w:val="00C7105C"/>
    <w:rsid w:val="00C710F7"/>
    <w:rsid w:val="00C711BA"/>
    <w:rsid w:val="00C712FE"/>
    <w:rsid w:val="00C71344"/>
    <w:rsid w:val="00C71368"/>
    <w:rsid w:val="00C71387"/>
    <w:rsid w:val="00C713A5"/>
    <w:rsid w:val="00C71457"/>
    <w:rsid w:val="00C7146A"/>
    <w:rsid w:val="00C714E8"/>
    <w:rsid w:val="00C715B6"/>
    <w:rsid w:val="00C71621"/>
    <w:rsid w:val="00C71758"/>
    <w:rsid w:val="00C71759"/>
    <w:rsid w:val="00C717B2"/>
    <w:rsid w:val="00C717C3"/>
    <w:rsid w:val="00C71808"/>
    <w:rsid w:val="00C71878"/>
    <w:rsid w:val="00C71D16"/>
    <w:rsid w:val="00C71D48"/>
    <w:rsid w:val="00C71D4B"/>
    <w:rsid w:val="00C71E03"/>
    <w:rsid w:val="00C71F35"/>
    <w:rsid w:val="00C71F9F"/>
    <w:rsid w:val="00C71FD7"/>
    <w:rsid w:val="00C7226E"/>
    <w:rsid w:val="00C7232A"/>
    <w:rsid w:val="00C72340"/>
    <w:rsid w:val="00C7243F"/>
    <w:rsid w:val="00C7251B"/>
    <w:rsid w:val="00C72845"/>
    <w:rsid w:val="00C72A29"/>
    <w:rsid w:val="00C72B21"/>
    <w:rsid w:val="00C72CC3"/>
    <w:rsid w:val="00C72DB4"/>
    <w:rsid w:val="00C72EC1"/>
    <w:rsid w:val="00C72F88"/>
    <w:rsid w:val="00C73054"/>
    <w:rsid w:val="00C73354"/>
    <w:rsid w:val="00C734C3"/>
    <w:rsid w:val="00C734F1"/>
    <w:rsid w:val="00C735BB"/>
    <w:rsid w:val="00C73702"/>
    <w:rsid w:val="00C73721"/>
    <w:rsid w:val="00C7375F"/>
    <w:rsid w:val="00C739D2"/>
    <w:rsid w:val="00C73BFC"/>
    <w:rsid w:val="00C73CBE"/>
    <w:rsid w:val="00C73D0B"/>
    <w:rsid w:val="00C73DC1"/>
    <w:rsid w:val="00C73DE5"/>
    <w:rsid w:val="00C73E31"/>
    <w:rsid w:val="00C73E73"/>
    <w:rsid w:val="00C7405B"/>
    <w:rsid w:val="00C74166"/>
    <w:rsid w:val="00C74181"/>
    <w:rsid w:val="00C74185"/>
    <w:rsid w:val="00C74305"/>
    <w:rsid w:val="00C74422"/>
    <w:rsid w:val="00C74462"/>
    <w:rsid w:val="00C744E5"/>
    <w:rsid w:val="00C7458D"/>
    <w:rsid w:val="00C746A7"/>
    <w:rsid w:val="00C748F8"/>
    <w:rsid w:val="00C74A5E"/>
    <w:rsid w:val="00C74CBF"/>
    <w:rsid w:val="00C74DA0"/>
    <w:rsid w:val="00C74E90"/>
    <w:rsid w:val="00C74EBD"/>
    <w:rsid w:val="00C74F72"/>
    <w:rsid w:val="00C750FB"/>
    <w:rsid w:val="00C75262"/>
    <w:rsid w:val="00C754DD"/>
    <w:rsid w:val="00C75542"/>
    <w:rsid w:val="00C756EF"/>
    <w:rsid w:val="00C7580E"/>
    <w:rsid w:val="00C75873"/>
    <w:rsid w:val="00C758C9"/>
    <w:rsid w:val="00C7592F"/>
    <w:rsid w:val="00C75A46"/>
    <w:rsid w:val="00C75A49"/>
    <w:rsid w:val="00C75A83"/>
    <w:rsid w:val="00C75ABD"/>
    <w:rsid w:val="00C75C06"/>
    <w:rsid w:val="00C75CD9"/>
    <w:rsid w:val="00C75D5A"/>
    <w:rsid w:val="00C75D79"/>
    <w:rsid w:val="00C75E02"/>
    <w:rsid w:val="00C75E72"/>
    <w:rsid w:val="00C760B6"/>
    <w:rsid w:val="00C761C2"/>
    <w:rsid w:val="00C761E7"/>
    <w:rsid w:val="00C7622A"/>
    <w:rsid w:val="00C76315"/>
    <w:rsid w:val="00C76482"/>
    <w:rsid w:val="00C764D5"/>
    <w:rsid w:val="00C76620"/>
    <w:rsid w:val="00C76621"/>
    <w:rsid w:val="00C76798"/>
    <w:rsid w:val="00C768C1"/>
    <w:rsid w:val="00C76B05"/>
    <w:rsid w:val="00C76B4E"/>
    <w:rsid w:val="00C76B70"/>
    <w:rsid w:val="00C76E29"/>
    <w:rsid w:val="00C76E6D"/>
    <w:rsid w:val="00C7707A"/>
    <w:rsid w:val="00C77175"/>
    <w:rsid w:val="00C771E1"/>
    <w:rsid w:val="00C771E4"/>
    <w:rsid w:val="00C771E7"/>
    <w:rsid w:val="00C7730A"/>
    <w:rsid w:val="00C77336"/>
    <w:rsid w:val="00C773C7"/>
    <w:rsid w:val="00C7784F"/>
    <w:rsid w:val="00C77915"/>
    <w:rsid w:val="00C77A71"/>
    <w:rsid w:val="00C77AA4"/>
    <w:rsid w:val="00C77ACD"/>
    <w:rsid w:val="00C77E6E"/>
    <w:rsid w:val="00C77FB6"/>
    <w:rsid w:val="00C801C2"/>
    <w:rsid w:val="00C8033B"/>
    <w:rsid w:val="00C80487"/>
    <w:rsid w:val="00C8058F"/>
    <w:rsid w:val="00C80593"/>
    <w:rsid w:val="00C80612"/>
    <w:rsid w:val="00C806C1"/>
    <w:rsid w:val="00C806F2"/>
    <w:rsid w:val="00C80728"/>
    <w:rsid w:val="00C80763"/>
    <w:rsid w:val="00C808B3"/>
    <w:rsid w:val="00C808E8"/>
    <w:rsid w:val="00C809B0"/>
    <w:rsid w:val="00C80C7F"/>
    <w:rsid w:val="00C80E80"/>
    <w:rsid w:val="00C80EC5"/>
    <w:rsid w:val="00C80EF4"/>
    <w:rsid w:val="00C80F27"/>
    <w:rsid w:val="00C8107C"/>
    <w:rsid w:val="00C813AD"/>
    <w:rsid w:val="00C815FB"/>
    <w:rsid w:val="00C817BB"/>
    <w:rsid w:val="00C8187F"/>
    <w:rsid w:val="00C818D2"/>
    <w:rsid w:val="00C81B39"/>
    <w:rsid w:val="00C81C3C"/>
    <w:rsid w:val="00C81E96"/>
    <w:rsid w:val="00C81ED7"/>
    <w:rsid w:val="00C8207A"/>
    <w:rsid w:val="00C821A3"/>
    <w:rsid w:val="00C8237A"/>
    <w:rsid w:val="00C82402"/>
    <w:rsid w:val="00C8240F"/>
    <w:rsid w:val="00C8246E"/>
    <w:rsid w:val="00C824ED"/>
    <w:rsid w:val="00C8257A"/>
    <w:rsid w:val="00C82848"/>
    <w:rsid w:val="00C82852"/>
    <w:rsid w:val="00C82859"/>
    <w:rsid w:val="00C82B5F"/>
    <w:rsid w:val="00C82B9F"/>
    <w:rsid w:val="00C82BB6"/>
    <w:rsid w:val="00C82E31"/>
    <w:rsid w:val="00C82FB0"/>
    <w:rsid w:val="00C83174"/>
    <w:rsid w:val="00C832AC"/>
    <w:rsid w:val="00C83331"/>
    <w:rsid w:val="00C83403"/>
    <w:rsid w:val="00C8368B"/>
    <w:rsid w:val="00C836A4"/>
    <w:rsid w:val="00C83D28"/>
    <w:rsid w:val="00C83DCF"/>
    <w:rsid w:val="00C83EAB"/>
    <w:rsid w:val="00C83FE8"/>
    <w:rsid w:val="00C8417D"/>
    <w:rsid w:val="00C8435D"/>
    <w:rsid w:val="00C8438A"/>
    <w:rsid w:val="00C8442B"/>
    <w:rsid w:val="00C8450E"/>
    <w:rsid w:val="00C845A7"/>
    <w:rsid w:val="00C846C2"/>
    <w:rsid w:val="00C847CA"/>
    <w:rsid w:val="00C847F8"/>
    <w:rsid w:val="00C84930"/>
    <w:rsid w:val="00C84AEA"/>
    <w:rsid w:val="00C84B55"/>
    <w:rsid w:val="00C84BF4"/>
    <w:rsid w:val="00C84CB0"/>
    <w:rsid w:val="00C84E22"/>
    <w:rsid w:val="00C84EC3"/>
    <w:rsid w:val="00C84F15"/>
    <w:rsid w:val="00C84F5B"/>
    <w:rsid w:val="00C851A4"/>
    <w:rsid w:val="00C851E7"/>
    <w:rsid w:val="00C8523B"/>
    <w:rsid w:val="00C854FE"/>
    <w:rsid w:val="00C8566F"/>
    <w:rsid w:val="00C856CA"/>
    <w:rsid w:val="00C8570C"/>
    <w:rsid w:val="00C858AC"/>
    <w:rsid w:val="00C8596A"/>
    <w:rsid w:val="00C85A60"/>
    <w:rsid w:val="00C85B0C"/>
    <w:rsid w:val="00C85E7B"/>
    <w:rsid w:val="00C85F6E"/>
    <w:rsid w:val="00C85FDD"/>
    <w:rsid w:val="00C85FFF"/>
    <w:rsid w:val="00C860AF"/>
    <w:rsid w:val="00C860DA"/>
    <w:rsid w:val="00C862B9"/>
    <w:rsid w:val="00C86386"/>
    <w:rsid w:val="00C864B2"/>
    <w:rsid w:val="00C86581"/>
    <w:rsid w:val="00C86632"/>
    <w:rsid w:val="00C86645"/>
    <w:rsid w:val="00C866FB"/>
    <w:rsid w:val="00C867A2"/>
    <w:rsid w:val="00C86897"/>
    <w:rsid w:val="00C8692D"/>
    <w:rsid w:val="00C86A28"/>
    <w:rsid w:val="00C86BA1"/>
    <w:rsid w:val="00C86C76"/>
    <w:rsid w:val="00C86D24"/>
    <w:rsid w:val="00C86E8B"/>
    <w:rsid w:val="00C87000"/>
    <w:rsid w:val="00C87121"/>
    <w:rsid w:val="00C87149"/>
    <w:rsid w:val="00C87187"/>
    <w:rsid w:val="00C8721E"/>
    <w:rsid w:val="00C872B1"/>
    <w:rsid w:val="00C872E4"/>
    <w:rsid w:val="00C8732A"/>
    <w:rsid w:val="00C8745E"/>
    <w:rsid w:val="00C87615"/>
    <w:rsid w:val="00C878A9"/>
    <w:rsid w:val="00C87947"/>
    <w:rsid w:val="00C87B47"/>
    <w:rsid w:val="00C87C03"/>
    <w:rsid w:val="00C87C30"/>
    <w:rsid w:val="00C87FA7"/>
    <w:rsid w:val="00C87FA9"/>
    <w:rsid w:val="00C87FE0"/>
    <w:rsid w:val="00C902A3"/>
    <w:rsid w:val="00C9039C"/>
    <w:rsid w:val="00C905AD"/>
    <w:rsid w:val="00C9060B"/>
    <w:rsid w:val="00C90680"/>
    <w:rsid w:val="00C90692"/>
    <w:rsid w:val="00C90868"/>
    <w:rsid w:val="00C9094E"/>
    <w:rsid w:val="00C90B5A"/>
    <w:rsid w:val="00C90C92"/>
    <w:rsid w:val="00C90D7E"/>
    <w:rsid w:val="00C90D94"/>
    <w:rsid w:val="00C90F37"/>
    <w:rsid w:val="00C90F43"/>
    <w:rsid w:val="00C90F68"/>
    <w:rsid w:val="00C91020"/>
    <w:rsid w:val="00C9105C"/>
    <w:rsid w:val="00C910C6"/>
    <w:rsid w:val="00C91176"/>
    <w:rsid w:val="00C9133A"/>
    <w:rsid w:val="00C916FC"/>
    <w:rsid w:val="00C919AC"/>
    <w:rsid w:val="00C91B40"/>
    <w:rsid w:val="00C91C27"/>
    <w:rsid w:val="00C91E36"/>
    <w:rsid w:val="00C91EB6"/>
    <w:rsid w:val="00C91F97"/>
    <w:rsid w:val="00C91FC3"/>
    <w:rsid w:val="00C920CF"/>
    <w:rsid w:val="00C920FE"/>
    <w:rsid w:val="00C92306"/>
    <w:rsid w:val="00C92326"/>
    <w:rsid w:val="00C924A9"/>
    <w:rsid w:val="00C925C9"/>
    <w:rsid w:val="00C92663"/>
    <w:rsid w:val="00C928BF"/>
    <w:rsid w:val="00C92A96"/>
    <w:rsid w:val="00C92CF8"/>
    <w:rsid w:val="00C92E01"/>
    <w:rsid w:val="00C92E17"/>
    <w:rsid w:val="00C92E5F"/>
    <w:rsid w:val="00C92F54"/>
    <w:rsid w:val="00C92FBA"/>
    <w:rsid w:val="00C92FC1"/>
    <w:rsid w:val="00C930D8"/>
    <w:rsid w:val="00C9316D"/>
    <w:rsid w:val="00C932FF"/>
    <w:rsid w:val="00C93326"/>
    <w:rsid w:val="00C9348B"/>
    <w:rsid w:val="00C93966"/>
    <w:rsid w:val="00C93A3A"/>
    <w:rsid w:val="00C93AC3"/>
    <w:rsid w:val="00C93D06"/>
    <w:rsid w:val="00C93DD2"/>
    <w:rsid w:val="00C93DF3"/>
    <w:rsid w:val="00C93E1D"/>
    <w:rsid w:val="00C93E3A"/>
    <w:rsid w:val="00C93E3E"/>
    <w:rsid w:val="00C93EF3"/>
    <w:rsid w:val="00C94086"/>
    <w:rsid w:val="00C9431A"/>
    <w:rsid w:val="00C94390"/>
    <w:rsid w:val="00C94409"/>
    <w:rsid w:val="00C944BA"/>
    <w:rsid w:val="00C945AB"/>
    <w:rsid w:val="00C94680"/>
    <w:rsid w:val="00C94697"/>
    <w:rsid w:val="00C946FD"/>
    <w:rsid w:val="00C94745"/>
    <w:rsid w:val="00C94753"/>
    <w:rsid w:val="00C94784"/>
    <w:rsid w:val="00C94819"/>
    <w:rsid w:val="00C949E0"/>
    <w:rsid w:val="00C94A16"/>
    <w:rsid w:val="00C94A42"/>
    <w:rsid w:val="00C94CF8"/>
    <w:rsid w:val="00C94FE4"/>
    <w:rsid w:val="00C95009"/>
    <w:rsid w:val="00C950D5"/>
    <w:rsid w:val="00C952EF"/>
    <w:rsid w:val="00C957C1"/>
    <w:rsid w:val="00C9583B"/>
    <w:rsid w:val="00C95912"/>
    <w:rsid w:val="00C95951"/>
    <w:rsid w:val="00C95ADD"/>
    <w:rsid w:val="00C95B99"/>
    <w:rsid w:val="00C95D91"/>
    <w:rsid w:val="00C95DA3"/>
    <w:rsid w:val="00C95DAC"/>
    <w:rsid w:val="00C95F0D"/>
    <w:rsid w:val="00C960F5"/>
    <w:rsid w:val="00C961EA"/>
    <w:rsid w:val="00C96256"/>
    <w:rsid w:val="00C962B9"/>
    <w:rsid w:val="00C962F3"/>
    <w:rsid w:val="00C9641D"/>
    <w:rsid w:val="00C964A2"/>
    <w:rsid w:val="00C964B7"/>
    <w:rsid w:val="00C96504"/>
    <w:rsid w:val="00C965B0"/>
    <w:rsid w:val="00C965C0"/>
    <w:rsid w:val="00C965E6"/>
    <w:rsid w:val="00C96608"/>
    <w:rsid w:val="00C96645"/>
    <w:rsid w:val="00C96768"/>
    <w:rsid w:val="00C9680E"/>
    <w:rsid w:val="00C96812"/>
    <w:rsid w:val="00C96977"/>
    <w:rsid w:val="00C969E9"/>
    <w:rsid w:val="00C96C59"/>
    <w:rsid w:val="00C96D8E"/>
    <w:rsid w:val="00C96DF4"/>
    <w:rsid w:val="00C96F05"/>
    <w:rsid w:val="00C96F16"/>
    <w:rsid w:val="00C97306"/>
    <w:rsid w:val="00C973B4"/>
    <w:rsid w:val="00C97412"/>
    <w:rsid w:val="00C9778A"/>
    <w:rsid w:val="00C977B7"/>
    <w:rsid w:val="00C977FC"/>
    <w:rsid w:val="00C979CE"/>
    <w:rsid w:val="00C97A68"/>
    <w:rsid w:val="00C97C4F"/>
    <w:rsid w:val="00C97ED1"/>
    <w:rsid w:val="00C97EDF"/>
    <w:rsid w:val="00CA0050"/>
    <w:rsid w:val="00CA009C"/>
    <w:rsid w:val="00CA030D"/>
    <w:rsid w:val="00CA0316"/>
    <w:rsid w:val="00CA0474"/>
    <w:rsid w:val="00CA062E"/>
    <w:rsid w:val="00CA079E"/>
    <w:rsid w:val="00CA07D9"/>
    <w:rsid w:val="00CA08D1"/>
    <w:rsid w:val="00CA0A91"/>
    <w:rsid w:val="00CA0CED"/>
    <w:rsid w:val="00CA0DD2"/>
    <w:rsid w:val="00CA0DF6"/>
    <w:rsid w:val="00CA0EC4"/>
    <w:rsid w:val="00CA0F6E"/>
    <w:rsid w:val="00CA10BA"/>
    <w:rsid w:val="00CA1123"/>
    <w:rsid w:val="00CA1203"/>
    <w:rsid w:val="00CA12C6"/>
    <w:rsid w:val="00CA1452"/>
    <w:rsid w:val="00CA1643"/>
    <w:rsid w:val="00CA166E"/>
    <w:rsid w:val="00CA1696"/>
    <w:rsid w:val="00CA16B6"/>
    <w:rsid w:val="00CA16C3"/>
    <w:rsid w:val="00CA1724"/>
    <w:rsid w:val="00CA1896"/>
    <w:rsid w:val="00CA1972"/>
    <w:rsid w:val="00CA1B0A"/>
    <w:rsid w:val="00CA1BDE"/>
    <w:rsid w:val="00CA1DB8"/>
    <w:rsid w:val="00CA1E74"/>
    <w:rsid w:val="00CA1E7D"/>
    <w:rsid w:val="00CA1FCC"/>
    <w:rsid w:val="00CA209B"/>
    <w:rsid w:val="00CA20E2"/>
    <w:rsid w:val="00CA2103"/>
    <w:rsid w:val="00CA2110"/>
    <w:rsid w:val="00CA22A1"/>
    <w:rsid w:val="00CA2767"/>
    <w:rsid w:val="00CA2894"/>
    <w:rsid w:val="00CA28D3"/>
    <w:rsid w:val="00CA2A55"/>
    <w:rsid w:val="00CA2ABF"/>
    <w:rsid w:val="00CA2B56"/>
    <w:rsid w:val="00CA2C39"/>
    <w:rsid w:val="00CA2D39"/>
    <w:rsid w:val="00CA306F"/>
    <w:rsid w:val="00CA3305"/>
    <w:rsid w:val="00CA3469"/>
    <w:rsid w:val="00CA34A8"/>
    <w:rsid w:val="00CA34EB"/>
    <w:rsid w:val="00CA355A"/>
    <w:rsid w:val="00CA3664"/>
    <w:rsid w:val="00CA36D2"/>
    <w:rsid w:val="00CA3816"/>
    <w:rsid w:val="00CA38F9"/>
    <w:rsid w:val="00CA3A4D"/>
    <w:rsid w:val="00CA3B73"/>
    <w:rsid w:val="00CA3D4A"/>
    <w:rsid w:val="00CA3F61"/>
    <w:rsid w:val="00CA3F69"/>
    <w:rsid w:val="00CA4060"/>
    <w:rsid w:val="00CA40A8"/>
    <w:rsid w:val="00CA40B2"/>
    <w:rsid w:val="00CA40CB"/>
    <w:rsid w:val="00CA41BF"/>
    <w:rsid w:val="00CA45F4"/>
    <w:rsid w:val="00CA460B"/>
    <w:rsid w:val="00CA4745"/>
    <w:rsid w:val="00CA4750"/>
    <w:rsid w:val="00CA475F"/>
    <w:rsid w:val="00CA4A9A"/>
    <w:rsid w:val="00CA4AF3"/>
    <w:rsid w:val="00CA4CA0"/>
    <w:rsid w:val="00CA4CE1"/>
    <w:rsid w:val="00CA4D99"/>
    <w:rsid w:val="00CA4DAD"/>
    <w:rsid w:val="00CA4DD0"/>
    <w:rsid w:val="00CA4EBB"/>
    <w:rsid w:val="00CA4F0D"/>
    <w:rsid w:val="00CA4F1A"/>
    <w:rsid w:val="00CA4FB6"/>
    <w:rsid w:val="00CA5013"/>
    <w:rsid w:val="00CA501E"/>
    <w:rsid w:val="00CA50BD"/>
    <w:rsid w:val="00CA510A"/>
    <w:rsid w:val="00CA5172"/>
    <w:rsid w:val="00CA5252"/>
    <w:rsid w:val="00CA5330"/>
    <w:rsid w:val="00CA5360"/>
    <w:rsid w:val="00CA5589"/>
    <w:rsid w:val="00CA5753"/>
    <w:rsid w:val="00CA57E3"/>
    <w:rsid w:val="00CA5833"/>
    <w:rsid w:val="00CA58B1"/>
    <w:rsid w:val="00CA5955"/>
    <w:rsid w:val="00CA5A68"/>
    <w:rsid w:val="00CA5B03"/>
    <w:rsid w:val="00CA5C5B"/>
    <w:rsid w:val="00CA5CE6"/>
    <w:rsid w:val="00CA5E63"/>
    <w:rsid w:val="00CA5FCD"/>
    <w:rsid w:val="00CA5FFA"/>
    <w:rsid w:val="00CA60D5"/>
    <w:rsid w:val="00CA60E7"/>
    <w:rsid w:val="00CA626B"/>
    <w:rsid w:val="00CA65F4"/>
    <w:rsid w:val="00CA6959"/>
    <w:rsid w:val="00CA6C72"/>
    <w:rsid w:val="00CA6DED"/>
    <w:rsid w:val="00CA6E3D"/>
    <w:rsid w:val="00CA6EA6"/>
    <w:rsid w:val="00CA6EBF"/>
    <w:rsid w:val="00CA6FDE"/>
    <w:rsid w:val="00CA7157"/>
    <w:rsid w:val="00CA72E6"/>
    <w:rsid w:val="00CA7302"/>
    <w:rsid w:val="00CA7460"/>
    <w:rsid w:val="00CA75EC"/>
    <w:rsid w:val="00CA75F2"/>
    <w:rsid w:val="00CA7645"/>
    <w:rsid w:val="00CA76F0"/>
    <w:rsid w:val="00CA77AD"/>
    <w:rsid w:val="00CA7829"/>
    <w:rsid w:val="00CA78FA"/>
    <w:rsid w:val="00CA7B23"/>
    <w:rsid w:val="00CA7B52"/>
    <w:rsid w:val="00CA7D4D"/>
    <w:rsid w:val="00CB01DD"/>
    <w:rsid w:val="00CB020B"/>
    <w:rsid w:val="00CB043B"/>
    <w:rsid w:val="00CB045C"/>
    <w:rsid w:val="00CB04F0"/>
    <w:rsid w:val="00CB0516"/>
    <w:rsid w:val="00CB06AA"/>
    <w:rsid w:val="00CB08D9"/>
    <w:rsid w:val="00CB09F8"/>
    <w:rsid w:val="00CB0B31"/>
    <w:rsid w:val="00CB0F1D"/>
    <w:rsid w:val="00CB11B0"/>
    <w:rsid w:val="00CB1200"/>
    <w:rsid w:val="00CB1279"/>
    <w:rsid w:val="00CB129B"/>
    <w:rsid w:val="00CB1381"/>
    <w:rsid w:val="00CB1404"/>
    <w:rsid w:val="00CB144F"/>
    <w:rsid w:val="00CB1569"/>
    <w:rsid w:val="00CB159C"/>
    <w:rsid w:val="00CB16C9"/>
    <w:rsid w:val="00CB16D8"/>
    <w:rsid w:val="00CB1700"/>
    <w:rsid w:val="00CB1815"/>
    <w:rsid w:val="00CB182F"/>
    <w:rsid w:val="00CB1836"/>
    <w:rsid w:val="00CB19F5"/>
    <w:rsid w:val="00CB1D79"/>
    <w:rsid w:val="00CB1FF2"/>
    <w:rsid w:val="00CB2127"/>
    <w:rsid w:val="00CB2303"/>
    <w:rsid w:val="00CB2341"/>
    <w:rsid w:val="00CB2462"/>
    <w:rsid w:val="00CB2479"/>
    <w:rsid w:val="00CB2488"/>
    <w:rsid w:val="00CB2492"/>
    <w:rsid w:val="00CB24AB"/>
    <w:rsid w:val="00CB25DD"/>
    <w:rsid w:val="00CB2640"/>
    <w:rsid w:val="00CB264F"/>
    <w:rsid w:val="00CB268D"/>
    <w:rsid w:val="00CB282C"/>
    <w:rsid w:val="00CB2958"/>
    <w:rsid w:val="00CB2B38"/>
    <w:rsid w:val="00CB2BAD"/>
    <w:rsid w:val="00CB2C76"/>
    <w:rsid w:val="00CB2CE5"/>
    <w:rsid w:val="00CB2D4D"/>
    <w:rsid w:val="00CB2F86"/>
    <w:rsid w:val="00CB2FED"/>
    <w:rsid w:val="00CB32F7"/>
    <w:rsid w:val="00CB34E5"/>
    <w:rsid w:val="00CB368C"/>
    <w:rsid w:val="00CB3727"/>
    <w:rsid w:val="00CB37C5"/>
    <w:rsid w:val="00CB39D0"/>
    <w:rsid w:val="00CB3B4C"/>
    <w:rsid w:val="00CB3BB3"/>
    <w:rsid w:val="00CB3DAE"/>
    <w:rsid w:val="00CB3EBE"/>
    <w:rsid w:val="00CB3F45"/>
    <w:rsid w:val="00CB3FB1"/>
    <w:rsid w:val="00CB4013"/>
    <w:rsid w:val="00CB4022"/>
    <w:rsid w:val="00CB40C7"/>
    <w:rsid w:val="00CB432A"/>
    <w:rsid w:val="00CB446C"/>
    <w:rsid w:val="00CB450D"/>
    <w:rsid w:val="00CB465B"/>
    <w:rsid w:val="00CB46E1"/>
    <w:rsid w:val="00CB473D"/>
    <w:rsid w:val="00CB4748"/>
    <w:rsid w:val="00CB485A"/>
    <w:rsid w:val="00CB48CD"/>
    <w:rsid w:val="00CB49D6"/>
    <w:rsid w:val="00CB4A5F"/>
    <w:rsid w:val="00CB4BD6"/>
    <w:rsid w:val="00CB4C0F"/>
    <w:rsid w:val="00CB4E2E"/>
    <w:rsid w:val="00CB4E7E"/>
    <w:rsid w:val="00CB4EB9"/>
    <w:rsid w:val="00CB4F5E"/>
    <w:rsid w:val="00CB5162"/>
    <w:rsid w:val="00CB51C6"/>
    <w:rsid w:val="00CB52E3"/>
    <w:rsid w:val="00CB53F1"/>
    <w:rsid w:val="00CB54C5"/>
    <w:rsid w:val="00CB551E"/>
    <w:rsid w:val="00CB564D"/>
    <w:rsid w:val="00CB56A5"/>
    <w:rsid w:val="00CB57A2"/>
    <w:rsid w:val="00CB59A4"/>
    <w:rsid w:val="00CB5AF8"/>
    <w:rsid w:val="00CB5AFD"/>
    <w:rsid w:val="00CB5B7E"/>
    <w:rsid w:val="00CB5BB3"/>
    <w:rsid w:val="00CB5C6B"/>
    <w:rsid w:val="00CB5D82"/>
    <w:rsid w:val="00CB5E6A"/>
    <w:rsid w:val="00CB5EAB"/>
    <w:rsid w:val="00CB5FB9"/>
    <w:rsid w:val="00CB6054"/>
    <w:rsid w:val="00CB6198"/>
    <w:rsid w:val="00CB62EB"/>
    <w:rsid w:val="00CB630C"/>
    <w:rsid w:val="00CB63CC"/>
    <w:rsid w:val="00CB643E"/>
    <w:rsid w:val="00CB6677"/>
    <w:rsid w:val="00CB66ED"/>
    <w:rsid w:val="00CB6723"/>
    <w:rsid w:val="00CB677E"/>
    <w:rsid w:val="00CB6873"/>
    <w:rsid w:val="00CB698A"/>
    <w:rsid w:val="00CB6BA6"/>
    <w:rsid w:val="00CB6CB0"/>
    <w:rsid w:val="00CB6CD8"/>
    <w:rsid w:val="00CB6E1F"/>
    <w:rsid w:val="00CB71B4"/>
    <w:rsid w:val="00CB72E3"/>
    <w:rsid w:val="00CB7348"/>
    <w:rsid w:val="00CB735E"/>
    <w:rsid w:val="00CB7416"/>
    <w:rsid w:val="00CB76C6"/>
    <w:rsid w:val="00CB7987"/>
    <w:rsid w:val="00CB79C2"/>
    <w:rsid w:val="00CB7A1D"/>
    <w:rsid w:val="00CB7A59"/>
    <w:rsid w:val="00CB7B0A"/>
    <w:rsid w:val="00CB7D65"/>
    <w:rsid w:val="00CB7DB3"/>
    <w:rsid w:val="00CB7E97"/>
    <w:rsid w:val="00CC0127"/>
    <w:rsid w:val="00CC0238"/>
    <w:rsid w:val="00CC0302"/>
    <w:rsid w:val="00CC0492"/>
    <w:rsid w:val="00CC05AB"/>
    <w:rsid w:val="00CC05DC"/>
    <w:rsid w:val="00CC077A"/>
    <w:rsid w:val="00CC0999"/>
    <w:rsid w:val="00CC099B"/>
    <w:rsid w:val="00CC0A38"/>
    <w:rsid w:val="00CC0B45"/>
    <w:rsid w:val="00CC0C32"/>
    <w:rsid w:val="00CC0F52"/>
    <w:rsid w:val="00CC12F4"/>
    <w:rsid w:val="00CC1530"/>
    <w:rsid w:val="00CC1569"/>
    <w:rsid w:val="00CC169F"/>
    <w:rsid w:val="00CC1A4E"/>
    <w:rsid w:val="00CC1A59"/>
    <w:rsid w:val="00CC1A7F"/>
    <w:rsid w:val="00CC1A95"/>
    <w:rsid w:val="00CC1D25"/>
    <w:rsid w:val="00CC1D47"/>
    <w:rsid w:val="00CC1E86"/>
    <w:rsid w:val="00CC1F69"/>
    <w:rsid w:val="00CC20FC"/>
    <w:rsid w:val="00CC2378"/>
    <w:rsid w:val="00CC23F0"/>
    <w:rsid w:val="00CC2472"/>
    <w:rsid w:val="00CC2484"/>
    <w:rsid w:val="00CC24F9"/>
    <w:rsid w:val="00CC2567"/>
    <w:rsid w:val="00CC2570"/>
    <w:rsid w:val="00CC2631"/>
    <w:rsid w:val="00CC26CB"/>
    <w:rsid w:val="00CC2818"/>
    <w:rsid w:val="00CC2A3B"/>
    <w:rsid w:val="00CC2ACD"/>
    <w:rsid w:val="00CC2AF8"/>
    <w:rsid w:val="00CC2D0D"/>
    <w:rsid w:val="00CC2DF0"/>
    <w:rsid w:val="00CC2F11"/>
    <w:rsid w:val="00CC2F20"/>
    <w:rsid w:val="00CC2F8D"/>
    <w:rsid w:val="00CC2FBC"/>
    <w:rsid w:val="00CC30BC"/>
    <w:rsid w:val="00CC311D"/>
    <w:rsid w:val="00CC33F4"/>
    <w:rsid w:val="00CC3499"/>
    <w:rsid w:val="00CC34D5"/>
    <w:rsid w:val="00CC39A2"/>
    <w:rsid w:val="00CC3A0D"/>
    <w:rsid w:val="00CC3B55"/>
    <w:rsid w:val="00CC3BEF"/>
    <w:rsid w:val="00CC3CA1"/>
    <w:rsid w:val="00CC3CF2"/>
    <w:rsid w:val="00CC3D57"/>
    <w:rsid w:val="00CC3D87"/>
    <w:rsid w:val="00CC4161"/>
    <w:rsid w:val="00CC42AB"/>
    <w:rsid w:val="00CC4308"/>
    <w:rsid w:val="00CC4321"/>
    <w:rsid w:val="00CC4332"/>
    <w:rsid w:val="00CC44B2"/>
    <w:rsid w:val="00CC4512"/>
    <w:rsid w:val="00CC4573"/>
    <w:rsid w:val="00CC47FA"/>
    <w:rsid w:val="00CC4AEA"/>
    <w:rsid w:val="00CC4C5D"/>
    <w:rsid w:val="00CC4EC4"/>
    <w:rsid w:val="00CC4FB0"/>
    <w:rsid w:val="00CC5012"/>
    <w:rsid w:val="00CC5160"/>
    <w:rsid w:val="00CC51CF"/>
    <w:rsid w:val="00CC5269"/>
    <w:rsid w:val="00CC52E6"/>
    <w:rsid w:val="00CC52EB"/>
    <w:rsid w:val="00CC54F4"/>
    <w:rsid w:val="00CC551A"/>
    <w:rsid w:val="00CC5595"/>
    <w:rsid w:val="00CC55C8"/>
    <w:rsid w:val="00CC5718"/>
    <w:rsid w:val="00CC5A05"/>
    <w:rsid w:val="00CC5A37"/>
    <w:rsid w:val="00CC5AA4"/>
    <w:rsid w:val="00CC5ACB"/>
    <w:rsid w:val="00CC5AE4"/>
    <w:rsid w:val="00CC5C95"/>
    <w:rsid w:val="00CC5C9D"/>
    <w:rsid w:val="00CC5D73"/>
    <w:rsid w:val="00CC5DFF"/>
    <w:rsid w:val="00CC5E4E"/>
    <w:rsid w:val="00CC5F19"/>
    <w:rsid w:val="00CC6068"/>
    <w:rsid w:val="00CC60D8"/>
    <w:rsid w:val="00CC6177"/>
    <w:rsid w:val="00CC61A9"/>
    <w:rsid w:val="00CC61DC"/>
    <w:rsid w:val="00CC6352"/>
    <w:rsid w:val="00CC66FE"/>
    <w:rsid w:val="00CC678A"/>
    <w:rsid w:val="00CC6C87"/>
    <w:rsid w:val="00CC6FA5"/>
    <w:rsid w:val="00CC708A"/>
    <w:rsid w:val="00CC7127"/>
    <w:rsid w:val="00CC7221"/>
    <w:rsid w:val="00CC725D"/>
    <w:rsid w:val="00CC7391"/>
    <w:rsid w:val="00CC73E4"/>
    <w:rsid w:val="00CC745C"/>
    <w:rsid w:val="00CC74A0"/>
    <w:rsid w:val="00CC7569"/>
    <w:rsid w:val="00CC7897"/>
    <w:rsid w:val="00CC78D3"/>
    <w:rsid w:val="00CC7936"/>
    <w:rsid w:val="00CC7ADB"/>
    <w:rsid w:val="00CC7AE1"/>
    <w:rsid w:val="00CC7B5D"/>
    <w:rsid w:val="00CC7BF2"/>
    <w:rsid w:val="00CC7D0A"/>
    <w:rsid w:val="00CD0170"/>
    <w:rsid w:val="00CD0285"/>
    <w:rsid w:val="00CD0293"/>
    <w:rsid w:val="00CD0503"/>
    <w:rsid w:val="00CD0520"/>
    <w:rsid w:val="00CD0711"/>
    <w:rsid w:val="00CD0B2E"/>
    <w:rsid w:val="00CD0B62"/>
    <w:rsid w:val="00CD0CCD"/>
    <w:rsid w:val="00CD0E3E"/>
    <w:rsid w:val="00CD0EE8"/>
    <w:rsid w:val="00CD1075"/>
    <w:rsid w:val="00CD1163"/>
    <w:rsid w:val="00CD11C5"/>
    <w:rsid w:val="00CD12FA"/>
    <w:rsid w:val="00CD130C"/>
    <w:rsid w:val="00CD1338"/>
    <w:rsid w:val="00CD1549"/>
    <w:rsid w:val="00CD1658"/>
    <w:rsid w:val="00CD1725"/>
    <w:rsid w:val="00CD1B89"/>
    <w:rsid w:val="00CD1BAB"/>
    <w:rsid w:val="00CD1C5A"/>
    <w:rsid w:val="00CD1D69"/>
    <w:rsid w:val="00CD1EF3"/>
    <w:rsid w:val="00CD1F67"/>
    <w:rsid w:val="00CD1FD4"/>
    <w:rsid w:val="00CD1FFD"/>
    <w:rsid w:val="00CD2014"/>
    <w:rsid w:val="00CD2580"/>
    <w:rsid w:val="00CD25CE"/>
    <w:rsid w:val="00CD2602"/>
    <w:rsid w:val="00CD26A9"/>
    <w:rsid w:val="00CD273C"/>
    <w:rsid w:val="00CD27B3"/>
    <w:rsid w:val="00CD27F9"/>
    <w:rsid w:val="00CD2828"/>
    <w:rsid w:val="00CD28CB"/>
    <w:rsid w:val="00CD2949"/>
    <w:rsid w:val="00CD2A8F"/>
    <w:rsid w:val="00CD2C44"/>
    <w:rsid w:val="00CD2E3C"/>
    <w:rsid w:val="00CD2F4F"/>
    <w:rsid w:val="00CD2FC3"/>
    <w:rsid w:val="00CD3224"/>
    <w:rsid w:val="00CD32F2"/>
    <w:rsid w:val="00CD3581"/>
    <w:rsid w:val="00CD35C5"/>
    <w:rsid w:val="00CD3813"/>
    <w:rsid w:val="00CD38D8"/>
    <w:rsid w:val="00CD39B8"/>
    <w:rsid w:val="00CD39CE"/>
    <w:rsid w:val="00CD3B3F"/>
    <w:rsid w:val="00CD3CDC"/>
    <w:rsid w:val="00CD3D0A"/>
    <w:rsid w:val="00CD3FF6"/>
    <w:rsid w:val="00CD4015"/>
    <w:rsid w:val="00CD407D"/>
    <w:rsid w:val="00CD409D"/>
    <w:rsid w:val="00CD4194"/>
    <w:rsid w:val="00CD4222"/>
    <w:rsid w:val="00CD42DA"/>
    <w:rsid w:val="00CD4418"/>
    <w:rsid w:val="00CD459E"/>
    <w:rsid w:val="00CD45A1"/>
    <w:rsid w:val="00CD45D7"/>
    <w:rsid w:val="00CD465B"/>
    <w:rsid w:val="00CD473F"/>
    <w:rsid w:val="00CD4998"/>
    <w:rsid w:val="00CD4BE2"/>
    <w:rsid w:val="00CD4C0D"/>
    <w:rsid w:val="00CD4F32"/>
    <w:rsid w:val="00CD4FBC"/>
    <w:rsid w:val="00CD5011"/>
    <w:rsid w:val="00CD50BE"/>
    <w:rsid w:val="00CD51D0"/>
    <w:rsid w:val="00CD5252"/>
    <w:rsid w:val="00CD5276"/>
    <w:rsid w:val="00CD5315"/>
    <w:rsid w:val="00CD591C"/>
    <w:rsid w:val="00CD5A76"/>
    <w:rsid w:val="00CD5B3E"/>
    <w:rsid w:val="00CD5BAC"/>
    <w:rsid w:val="00CD5C72"/>
    <w:rsid w:val="00CD5D52"/>
    <w:rsid w:val="00CD5DA6"/>
    <w:rsid w:val="00CD5E22"/>
    <w:rsid w:val="00CD5E58"/>
    <w:rsid w:val="00CD5F8C"/>
    <w:rsid w:val="00CD5FAC"/>
    <w:rsid w:val="00CD5FC4"/>
    <w:rsid w:val="00CD6081"/>
    <w:rsid w:val="00CD614C"/>
    <w:rsid w:val="00CD61A0"/>
    <w:rsid w:val="00CD6230"/>
    <w:rsid w:val="00CD63A3"/>
    <w:rsid w:val="00CD64A2"/>
    <w:rsid w:val="00CD656A"/>
    <w:rsid w:val="00CD65AA"/>
    <w:rsid w:val="00CD670A"/>
    <w:rsid w:val="00CD6806"/>
    <w:rsid w:val="00CD682A"/>
    <w:rsid w:val="00CD6916"/>
    <w:rsid w:val="00CD6944"/>
    <w:rsid w:val="00CD6A40"/>
    <w:rsid w:val="00CD6B2B"/>
    <w:rsid w:val="00CD6BEA"/>
    <w:rsid w:val="00CD6D5F"/>
    <w:rsid w:val="00CD6DAC"/>
    <w:rsid w:val="00CD6E0F"/>
    <w:rsid w:val="00CD6ECD"/>
    <w:rsid w:val="00CD7053"/>
    <w:rsid w:val="00CD7073"/>
    <w:rsid w:val="00CD728D"/>
    <w:rsid w:val="00CD7291"/>
    <w:rsid w:val="00CD74BE"/>
    <w:rsid w:val="00CD75E1"/>
    <w:rsid w:val="00CD7708"/>
    <w:rsid w:val="00CD78D1"/>
    <w:rsid w:val="00CD79F2"/>
    <w:rsid w:val="00CD7A46"/>
    <w:rsid w:val="00CD7AAD"/>
    <w:rsid w:val="00CD7C8F"/>
    <w:rsid w:val="00CD7CA3"/>
    <w:rsid w:val="00CD7D68"/>
    <w:rsid w:val="00CD7DA4"/>
    <w:rsid w:val="00CD7DB9"/>
    <w:rsid w:val="00CD7DCF"/>
    <w:rsid w:val="00CD7DD5"/>
    <w:rsid w:val="00CD7E1F"/>
    <w:rsid w:val="00CD7E54"/>
    <w:rsid w:val="00CE0049"/>
    <w:rsid w:val="00CE021A"/>
    <w:rsid w:val="00CE0305"/>
    <w:rsid w:val="00CE04D0"/>
    <w:rsid w:val="00CE0533"/>
    <w:rsid w:val="00CE06A6"/>
    <w:rsid w:val="00CE06EE"/>
    <w:rsid w:val="00CE0890"/>
    <w:rsid w:val="00CE08AC"/>
    <w:rsid w:val="00CE0A93"/>
    <w:rsid w:val="00CE0AAE"/>
    <w:rsid w:val="00CE0B03"/>
    <w:rsid w:val="00CE0B1E"/>
    <w:rsid w:val="00CE0B24"/>
    <w:rsid w:val="00CE0C60"/>
    <w:rsid w:val="00CE0DA7"/>
    <w:rsid w:val="00CE0EE9"/>
    <w:rsid w:val="00CE0FBA"/>
    <w:rsid w:val="00CE114B"/>
    <w:rsid w:val="00CE1220"/>
    <w:rsid w:val="00CE1336"/>
    <w:rsid w:val="00CE1337"/>
    <w:rsid w:val="00CE1462"/>
    <w:rsid w:val="00CE14DA"/>
    <w:rsid w:val="00CE14F9"/>
    <w:rsid w:val="00CE1546"/>
    <w:rsid w:val="00CE155D"/>
    <w:rsid w:val="00CE159F"/>
    <w:rsid w:val="00CE1683"/>
    <w:rsid w:val="00CE17F3"/>
    <w:rsid w:val="00CE183B"/>
    <w:rsid w:val="00CE1889"/>
    <w:rsid w:val="00CE1999"/>
    <w:rsid w:val="00CE19D0"/>
    <w:rsid w:val="00CE1C21"/>
    <w:rsid w:val="00CE1C78"/>
    <w:rsid w:val="00CE1FB3"/>
    <w:rsid w:val="00CE2070"/>
    <w:rsid w:val="00CE21A8"/>
    <w:rsid w:val="00CE23B9"/>
    <w:rsid w:val="00CE23D9"/>
    <w:rsid w:val="00CE2405"/>
    <w:rsid w:val="00CE2435"/>
    <w:rsid w:val="00CE24E4"/>
    <w:rsid w:val="00CE2593"/>
    <w:rsid w:val="00CE2620"/>
    <w:rsid w:val="00CE2746"/>
    <w:rsid w:val="00CE2824"/>
    <w:rsid w:val="00CE2848"/>
    <w:rsid w:val="00CE28AC"/>
    <w:rsid w:val="00CE28E7"/>
    <w:rsid w:val="00CE2990"/>
    <w:rsid w:val="00CE2B8D"/>
    <w:rsid w:val="00CE2B96"/>
    <w:rsid w:val="00CE2FE0"/>
    <w:rsid w:val="00CE3020"/>
    <w:rsid w:val="00CE3085"/>
    <w:rsid w:val="00CE309B"/>
    <w:rsid w:val="00CE30E8"/>
    <w:rsid w:val="00CE3143"/>
    <w:rsid w:val="00CE324B"/>
    <w:rsid w:val="00CE3482"/>
    <w:rsid w:val="00CE364E"/>
    <w:rsid w:val="00CE36B5"/>
    <w:rsid w:val="00CE37C3"/>
    <w:rsid w:val="00CE37CA"/>
    <w:rsid w:val="00CE3861"/>
    <w:rsid w:val="00CE39C3"/>
    <w:rsid w:val="00CE3F0F"/>
    <w:rsid w:val="00CE4180"/>
    <w:rsid w:val="00CE42FB"/>
    <w:rsid w:val="00CE4300"/>
    <w:rsid w:val="00CE4438"/>
    <w:rsid w:val="00CE446A"/>
    <w:rsid w:val="00CE458A"/>
    <w:rsid w:val="00CE459D"/>
    <w:rsid w:val="00CE4621"/>
    <w:rsid w:val="00CE4714"/>
    <w:rsid w:val="00CE484C"/>
    <w:rsid w:val="00CE499D"/>
    <w:rsid w:val="00CE4A0D"/>
    <w:rsid w:val="00CE4CB2"/>
    <w:rsid w:val="00CE4D1B"/>
    <w:rsid w:val="00CE4E0D"/>
    <w:rsid w:val="00CE5293"/>
    <w:rsid w:val="00CE53AB"/>
    <w:rsid w:val="00CE5592"/>
    <w:rsid w:val="00CE5665"/>
    <w:rsid w:val="00CE56A2"/>
    <w:rsid w:val="00CE577E"/>
    <w:rsid w:val="00CE586B"/>
    <w:rsid w:val="00CE5873"/>
    <w:rsid w:val="00CE5AED"/>
    <w:rsid w:val="00CE5C17"/>
    <w:rsid w:val="00CE5DEA"/>
    <w:rsid w:val="00CE5E4C"/>
    <w:rsid w:val="00CE5E74"/>
    <w:rsid w:val="00CE603A"/>
    <w:rsid w:val="00CE6227"/>
    <w:rsid w:val="00CE62F3"/>
    <w:rsid w:val="00CE634D"/>
    <w:rsid w:val="00CE646D"/>
    <w:rsid w:val="00CE6612"/>
    <w:rsid w:val="00CE66E2"/>
    <w:rsid w:val="00CE6724"/>
    <w:rsid w:val="00CE6777"/>
    <w:rsid w:val="00CE67C2"/>
    <w:rsid w:val="00CE6A7C"/>
    <w:rsid w:val="00CE6ADE"/>
    <w:rsid w:val="00CE6CC3"/>
    <w:rsid w:val="00CE6D20"/>
    <w:rsid w:val="00CE6DA7"/>
    <w:rsid w:val="00CE6EE2"/>
    <w:rsid w:val="00CE6FFF"/>
    <w:rsid w:val="00CE707B"/>
    <w:rsid w:val="00CE716D"/>
    <w:rsid w:val="00CE73B5"/>
    <w:rsid w:val="00CE73E4"/>
    <w:rsid w:val="00CE761D"/>
    <w:rsid w:val="00CE7774"/>
    <w:rsid w:val="00CE77C8"/>
    <w:rsid w:val="00CE780F"/>
    <w:rsid w:val="00CE7962"/>
    <w:rsid w:val="00CE7988"/>
    <w:rsid w:val="00CE7A5A"/>
    <w:rsid w:val="00CE7AEE"/>
    <w:rsid w:val="00CE7B74"/>
    <w:rsid w:val="00CE7B7C"/>
    <w:rsid w:val="00CE7F2D"/>
    <w:rsid w:val="00CE7FA2"/>
    <w:rsid w:val="00CF0000"/>
    <w:rsid w:val="00CF00BE"/>
    <w:rsid w:val="00CF0161"/>
    <w:rsid w:val="00CF0295"/>
    <w:rsid w:val="00CF02D3"/>
    <w:rsid w:val="00CF038F"/>
    <w:rsid w:val="00CF03F2"/>
    <w:rsid w:val="00CF0549"/>
    <w:rsid w:val="00CF0609"/>
    <w:rsid w:val="00CF06DE"/>
    <w:rsid w:val="00CF0758"/>
    <w:rsid w:val="00CF0854"/>
    <w:rsid w:val="00CF0B00"/>
    <w:rsid w:val="00CF0C70"/>
    <w:rsid w:val="00CF0D39"/>
    <w:rsid w:val="00CF0E07"/>
    <w:rsid w:val="00CF0ED0"/>
    <w:rsid w:val="00CF0F1E"/>
    <w:rsid w:val="00CF0F7A"/>
    <w:rsid w:val="00CF0FB7"/>
    <w:rsid w:val="00CF1116"/>
    <w:rsid w:val="00CF1269"/>
    <w:rsid w:val="00CF1792"/>
    <w:rsid w:val="00CF17DD"/>
    <w:rsid w:val="00CF184A"/>
    <w:rsid w:val="00CF1C4D"/>
    <w:rsid w:val="00CF1E5E"/>
    <w:rsid w:val="00CF1EE9"/>
    <w:rsid w:val="00CF1FBA"/>
    <w:rsid w:val="00CF206C"/>
    <w:rsid w:val="00CF2119"/>
    <w:rsid w:val="00CF2186"/>
    <w:rsid w:val="00CF229C"/>
    <w:rsid w:val="00CF2317"/>
    <w:rsid w:val="00CF28AF"/>
    <w:rsid w:val="00CF2A4A"/>
    <w:rsid w:val="00CF2D27"/>
    <w:rsid w:val="00CF2DC5"/>
    <w:rsid w:val="00CF2E45"/>
    <w:rsid w:val="00CF2E4A"/>
    <w:rsid w:val="00CF300F"/>
    <w:rsid w:val="00CF3098"/>
    <w:rsid w:val="00CF31A1"/>
    <w:rsid w:val="00CF31CA"/>
    <w:rsid w:val="00CF33B4"/>
    <w:rsid w:val="00CF341E"/>
    <w:rsid w:val="00CF3537"/>
    <w:rsid w:val="00CF35E7"/>
    <w:rsid w:val="00CF372F"/>
    <w:rsid w:val="00CF3849"/>
    <w:rsid w:val="00CF3855"/>
    <w:rsid w:val="00CF38C3"/>
    <w:rsid w:val="00CF38CE"/>
    <w:rsid w:val="00CF3A10"/>
    <w:rsid w:val="00CF3B22"/>
    <w:rsid w:val="00CF3BAC"/>
    <w:rsid w:val="00CF3BE7"/>
    <w:rsid w:val="00CF3C00"/>
    <w:rsid w:val="00CF3D94"/>
    <w:rsid w:val="00CF3EE1"/>
    <w:rsid w:val="00CF3F70"/>
    <w:rsid w:val="00CF409B"/>
    <w:rsid w:val="00CF42C1"/>
    <w:rsid w:val="00CF43BB"/>
    <w:rsid w:val="00CF4516"/>
    <w:rsid w:val="00CF4547"/>
    <w:rsid w:val="00CF4572"/>
    <w:rsid w:val="00CF45B1"/>
    <w:rsid w:val="00CF462F"/>
    <w:rsid w:val="00CF471B"/>
    <w:rsid w:val="00CF480B"/>
    <w:rsid w:val="00CF49D2"/>
    <w:rsid w:val="00CF49FE"/>
    <w:rsid w:val="00CF4BF6"/>
    <w:rsid w:val="00CF5110"/>
    <w:rsid w:val="00CF51FD"/>
    <w:rsid w:val="00CF5264"/>
    <w:rsid w:val="00CF52CE"/>
    <w:rsid w:val="00CF5665"/>
    <w:rsid w:val="00CF58D3"/>
    <w:rsid w:val="00CF5956"/>
    <w:rsid w:val="00CF59AD"/>
    <w:rsid w:val="00CF5A51"/>
    <w:rsid w:val="00CF5C96"/>
    <w:rsid w:val="00CF5D5F"/>
    <w:rsid w:val="00CF5D81"/>
    <w:rsid w:val="00CF5DDC"/>
    <w:rsid w:val="00CF6316"/>
    <w:rsid w:val="00CF6317"/>
    <w:rsid w:val="00CF633E"/>
    <w:rsid w:val="00CF64DC"/>
    <w:rsid w:val="00CF65AD"/>
    <w:rsid w:val="00CF65C5"/>
    <w:rsid w:val="00CF6644"/>
    <w:rsid w:val="00CF66B9"/>
    <w:rsid w:val="00CF676A"/>
    <w:rsid w:val="00CF689B"/>
    <w:rsid w:val="00CF689C"/>
    <w:rsid w:val="00CF68FA"/>
    <w:rsid w:val="00CF6A0E"/>
    <w:rsid w:val="00CF6AE3"/>
    <w:rsid w:val="00CF6BA1"/>
    <w:rsid w:val="00CF6D30"/>
    <w:rsid w:val="00CF6D8B"/>
    <w:rsid w:val="00CF6DD1"/>
    <w:rsid w:val="00CF6DFC"/>
    <w:rsid w:val="00CF6F26"/>
    <w:rsid w:val="00CF6F8C"/>
    <w:rsid w:val="00CF7213"/>
    <w:rsid w:val="00CF7547"/>
    <w:rsid w:val="00CF7713"/>
    <w:rsid w:val="00CF783B"/>
    <w:rsid w:val="00CF7857"/>
    <w:rsid w:val="00CF7DC6"/>
    <w:rsid w:val="00CF7EDE"/>
    <w:rsid w:val="00CFCA39"/>
    <w:rsid w:val="00D00373"/>
    <w:rsid w:val="00D006B5"/>
    <w:rsid w:val="00D00815"/>
    <w:rsid w:val="00D0085E"/>
    <w:rsid w:val="00D0088C"/>
    <w:rsid w:val="00D00AD9"/>
    <w:rsid w:val="00D00AE3"/>
    <w:rsid w:val="00D00B08"/>
    <w:rsid w:val="00D00B25"/>
    <w:rsid w:val="00D00C14"/>
    <w:rsid w:val="00D00C46"/>
    <w:rsid w:val="00D00C53"/>
    <w:rsid w:val="00D00D87"/>
    <w:rsid w:val="00D00E30"/>
    <w:rsid w:val="00D00E5C"/>
    <w:rsid w:val="00D00E5F"/>
    <w:rsid w:val="00D00E95"/>
    <w:rsid w:val="00D00F84"/>
    <w:rsid w:val="00D00F8E"/>
    <w:rsid w:val="00D00FB4"/>
    <w:rsid w:val="00D00FF3"/>
    <w:rsid w:val="00D0119C"/>
    <w:rsid w:val="00D0132C"/>
    <w:rsid w:val="00D01406"/>
    <w:rsid w:val="00D014A3"/>
    <w:rsid w:val="00D0150E"/>
    <w:rsid w:val="00D0151D"/>
    <w:rsid w:val="00D01791"/>
    <w:rsid w:val="00D01803"/>
    <w:rsid w:val="00D0188E"/>
    <w:rsid w:val="00D01895"/>
    <w:rsid w:val="00D0191F"/>
    <w:rsid w:val="00D019D9"/>
    <w:rsid w:val="00D01C9C"/>
    <w:rsid w:val="00D01E5C"/>
    <w:rsid w:val="00D01FBC"/>
    <w:rsid w:val="00D0215D"/>
    <w:rsid w:val="00D022C8"/>
    <w:rsid w:val="00D0236A"/>
    <w:rsid w:val="00D023C2"/>
    <w:rsid w:val="00D02466"/>
    <w:rsid w:val="00D02759"/>
    <w:rsid w:val="00D02848"/>
    <w:rsid w:val="00D02929"/>
    <w:rsid w:val="00D02A09"/>
    <w:rsid w:val="00D02AAD"/>
    <w:rsid w:val="00D02B05"/>
    <w:rsid w:val="00D02B7E"/>
    <w:rsid w:val="00D02E3C"/>
    <w:rsid w:val="00D02E98"/>
    <w:rsid w:val="00D033BC"/>
    <w:rsid w:val="00D0353F"/>
    <w:rsid w:val="00D03675"/>
    <w:rsid w:val="00D038B4"/>
    <w:rsid w:val="00D038D3"/>
    <w:rsid w:val="00D038FF"/>
    <w:rsid w:val="00D03979"/>
    <w:rsid w:val="00D0399D"/>
    <w:rsid w:val="00D039BD"/>
    <w:rsid w:val="00D03C90"/>
    <w:rsid w:val="00D03DF9"/>
    <w:rsid w:val="00D03EAC"/>
    <w:rsid w:val="00D03FE3"/>
    <w:rsid w:val="00D03FFC"/>
    <w:rsid w:val="00D04022"/>
    <w:rsid w:val="00D0402F"/>
    <w:rsid w:val="00D04218"/>
    <w:rsid w:val="00D0431F"/>
    <w:rsid w:val="00D0432A"/>
    <w:rsid w:val="00D0434E"/>
    <w:rsid w:val="00D046C4"/>
    <w:rsid w:val="00D04714"/>
    <w:rsid w:val="00D04729"/>
    <w:rsid w:val="00D04906"/>
    <w:rsid w:val="00D0494B"/>
    <w:rsid w:val="00D049F6"/>
    <w:rsid w:val="00D04A4B"/>
    <w:rsid w:val="00D04D9F"/>
    <w:rsid w:val="00D04EE3"/>
    <w:rsid w:val="00D04F92"/>
    <w:rsid w:val="00D0529F"/>
    <w:rsid w:val="00D052C0"/>
    <w:rsid w:val="00D052DB"/>
    <w:rsid w:val="00D0547B"/>
    <w:rsid w:val="00D05511"/>
    <w:rsid w:val="00D05527"/>
    <w:rsid w:val="00D0555C"/>
    <w:rsid w:val="00D056EF"/>
    <w:rsid w:val="00D05A0D"/>
    <w:rsid w:val="00D05A9A"/>
    <w:rsid w:val="00D05B2E"/>
    <w:rsid w:val="00D05BCC"/>
    <w:rsid w:val="00D05CD4"/>
    <w:rsid w:val="00D05D92"/>
    <w:rsid w:val="00D05EF6"/>
    <w:rsid w:val="00D05F1C"/>
    <w:rsid w:val="00D060DA"/>
    <w:rsid w:val="00D060EB"/>
    <w:rsid w:val="00D061AD"/>
    <w:rsid w:val="00D0634E"/>
    <w:rsid w:val="00D064B7"/>
    <w:rsid w:val="00D0669E"/>
    <w:rsid w:val="00D06B57"/>
    <w:rsid w:val="00D06C2F"/>
    <w:rsid w:val="00D06D12"/>
    <w:rsid w:val="00D06EB4"/>
    <w:rsid w:val="00D0716C"/>
    <w:rsid w:val="00D071B0"/>
    <w:rsid w:val="00D0729F"/>
    <w:rsid w:val="00D0740F"/>
    <w:rsid w:val="00D0742E"/>
    <w:rsid w:val="00D07534"/>
    <w:rsid w:val="00D07699"/>
    <w:rsid w:val="00D078F6"/>
    <w:rsid w:val="00D07A0E"/>
    <w:rsid w:val="00D07AF0"/>
    <w:rsid w:val="00D07CA7"/>
    <w:rsid w:val="00D07CCB"/>
    <w:rsid w:val="00D07D39"/>
    <w:rsid w:val="00D07DAE"/>
    <w:rsid w:val="00D07E3A"/>
    <w:rsid w:val="00D07ECD"/>
    <w:rsid w:val="00D07F7B"/>
    <w:rsid w:val="00D100E3"/>
    <w:rsid w:val="00D10108"/>
    <w:rsid w:val="00D1015B"/>
    <w:rsid w:val="00D10267"/>
    <w:rsid w:val="00D1035D"/>
    <w:rsid w:val="00D1038C"/>
    <w:rsid w:val="00D1044E"/>
    <w:rsid w:val="00D10498"/>
    <w:rsid w:val="00D104E9"/>
    <w:rsid w:val="00D1064A"/>
    <w:rsid w:val="00D10AB8"/>
    <w:rsid w:val="00D10AC1"/>
    <w:rsid w:val="00D10B4E"/>
    <w:rsid w:val="00D10D05"/>
    <w:rsid w:val="00D11056"/>
    <w:rsid w:val="00D11102"/>
    <w:rsid w:val="00D11161"/>
    <w:rsid w:val="00D1133B"/>
    <w:rsid w:val="00D1133C"/>
    <w:rsid w:val="00D11410"/>
    <w:rsid w:val="00D11424"/>
    <w:rsid w:val="00D11568"/>
    <w:rsid w:val="00D116A6"/>
    <w:rsid w:val="00D1172E"/>
    <w:rsid w:val="00D117B6"/>
    <w:rsid w:val="00D119E2"/>
    <w:rsid w:val="00D11AAE"/>
    <w:rsid w:val="00D11C20"/>
    <w:rsid w:val="00D11CD6"/>
    <w:rsid w:val="00D11D93"/>
    <w:rsid w:val="00D11DCD"/>
    <w:rsid w:val="00D11FD6"/>
    <w:rsid w:val="00D1209B"/>
    <w:rsid w:val="00D1225A"/>
    <w:rsid w:val="00D122D0"/>
    <w:rsid w:val="00D12364"/>
    <w:rsid w:val="00D1236A"/>
    <w:rsid w:val="00D1237F"/>
    <w:rsid w:val="00D1250F"/>
    <w:rsid w:val="00D1262F"/>
    <w:rsid w:val="00D12778"/>
    <w:rsid w:val="00D12875"/>
    <w:rsid w:val="00D128FC"/>
    <w:rsid w:val="00D129D7"/>
    <w:rsid w:val="00D12AA8"/>
    <w:rsid w:val="00D12B57"/>
    <w:rsid w:val="00D12E14"/>
    <w:rsid w:val="00D12FAC"/>
    <w:rsid w:val="00D1310D"/>
    <w:rsid w:val="00D131B4"/>
    <w:rsid w:val="00D134E9"/>
    <w:rsid w:val="00D136A4"/>
    <w:rsid w:val="00D13726"/>
    <w:rsid w:val="00D1373E"/>
    <w:rsid w:val="00D1378F"/>
    <w:rsid w:val="00D13A0E"/>
    <w:rsid w:val="00D13BE7"/>
    <w:rsid w:val="00D13C39"/>
    <w:rsid w:val="00D13C99"/>
    <w:rsid w:val="00D13D54"/>
    <w:rsid w:val="00D13E3C"/>
    <w:rsid w:val="00D13E44"/>
    <w:rsid w:val="00D13EA8"/>
    <w:rsid w:val="00D13F6C"/>
    <w:rsid w:val="00D13F7C"/>
    <w:rsid w:val="00D13FAF"/>
    <w:rsid w:val="00D1403A"/>
    <w:rsid w:val="00D140A3"/>
    <w:rsid w:val="00D14239"/>
    <w:rsid w:val="00D142EC"/>
    <w:rsid w:val="00D1431D"/>
    <w:rsid w:val="00D143A2"/>
    <w:rsid w:val="00D14761"/>
    <w:rsid w:val="00D14878"/>
    <w:rsid w:val="00D148FD"/>
    <w:rsid w:val="00D149A7"/>
    <w:rsid w:val="00D14B63"/>
    <w:rsid w:val="00D14C6A"/>
    <w:rsid w:val="00D14DDD"/>
    <w:rsid w:val="00D14DF2"/>
    <w:rsid w:val="00D15094"/>
    <w:rsid w:val="00D150E6"/>
    <w:rsid w:val="00D1516D"/>
    <w:rsid w:val="00D15193"/>
    <w:rsid w:val="00D153DB"/>
    <w:rsid w:val="00D1540B"/>
    <w:rsid w:val="00D15478"/>
    <w:rsid w:val="00D1556D"/>
    <w:rsid w:val="00D15A4A"/>
    <w:rsid w:val="00D15A96"/>
    <w:rsid w:val="00D15AE7"/>
    <w:rsid w:val="00D15DFD"/>
    <w:rsid w:val="00D15E3A"/>
    <w:rsid w:val="00D15ED1"/>
    <w:rsid w:val="00D16109"/>
    <w:rsid w:val="00D16128"/>
    <w:rsid w:val="00D16342"/>
    <w:rsid w:val="00D163E7"/>
    <w:rsid w:val="00D16435"/>
    <w:rsid w:val="00D1644B"/>
    <w:rsid w:val="00D1649B"/>
    <w:rsid w:val="00D1654D"/>
    <w:rsid w:val="00D165FC"/>
    <w:rsid w:val="00D16670"/>
    <w:rsid w:val="00D166B0"/>
    <w:rsid w:val="00D166DD"/>
    <w:rsid w:val="00D16783"/>
    <w:rsid w:val="00D16822"/>
    <w:rsid w:val="00D16902"/>
    <w:rsid w:val="00D16960"/>
    <w:rsid w:val="00D169A4"/>
    <w:rsid w:val="00D16C8C"/>
    <w:rsid w:val="00D16C91"/>
    <w:rsid w:val="00D16E5A"/>
    <w:rsid w:val="00D16E83"/>
    <w:rsid w:val="00D16FD7"/>
    <w:rsid w:val="00D17045"/>
    <w:rsid w:val="00D170BE"/>
    <w:rsid w:val="00D172E0"/>
    <w:rsid w:val="00D17455"/>
    <w:rsid w:val="00D1745C"/>
    <w:rsid w:val="00D1749A"/>
    <w:rsid w:val="00D174DB"/>
    <w:rsid w:val="00D175A9"/>
    <w:rsid w:val="00D175FA"/>
    <w:rsid w:val="00D176A2"/>
    <w:rsid w:val="00D1779E"/>
    <w:rsid w:val="00D17843"/>
    <w:rsid w:val="00D17AC8"/>
    <w:rsid w:val="00D17C66"/>
    <w:rsid w:val="00D17CB3"/>
    <w:rsid w:val="00D17CD1"/>
    <w:rsid w:val="00D17D39"/>
    <w:rsid w:val="00D17D6B"/>
    <w:rsid w:val="00D17E19"/>
    <w:rsid w:val="00D17E74"/>
    <w:rsid w:val="00D20000"/>
    <w:rsid w:val="00D2001F"/>
    <w:rsid w:val="00D200A1"/>
    <w:rsid w:val="00D20396"/>
    <w:rsid w:val="00D20554"/>
    <w:rsid w:val="00D205D8"/>
    <w:rsid w:val="00D205EE"/>
    <w:rsid w:val="00D207DB"/>
    <w:rsid w:val="00D207E9"/>
    <w:rsid w:val="00D208B7"/>
    <w:rsid w:val="00D208D0"/>
    <w:rsid w:val="00D20934"/>
    <w:rsid w:val="00D2094A"/>
    <w:rsid w:val="00D20A23"/>
    <w:rsid w:val="00D20B53"/>
    <w:rsid w:val="00D20C84"/>
    <w:rsid w:val="00D20D71"/>
    <w:rsid w:val="00D20DC9"/>
    <w:rsid w:val="00D20E78"/>
    <w:rsid w:val="00D21007"/>
    <w:rsid w:val="00D21179"/>
    <w:rsid w:val="00D2117B"/>
    <w:rsid w:val="00D211AD"/>
    <w:rsid w:val="00D211BB"/>
    <w:rsid w:val="00D211E9"/>
    <w:rsid w:val="00D212FE"/>
    <w:rsid w:val="00D2133A"/>
    <w:rsid w:val="00D213A6"/>
    <w:rsid w:val="00D2158A"/>
    <w:rsid w:val="00D215B9"/>
    <w:rsid w:val="00D215E3"/>
    <w:rsid w:val="00D2167C"/>
    <w:rsid w:val="00D21853"/>
    <w:rsid w:val="00D21911"/>
    <w:rsid w:val="00D219C3"/>
    <w:rsid w:val="00D21C63"/>
    <w:rsid w:val="00D21E6A"/>
    <w:rsid w:val="00D21EF9"/>
    <w:rsid w:val="00D21FAE"/>
    <w:rsid w:val="00D2216C"/>
    <w:rsid w:val="00D224C3"/>
    <w:rsid w:val="00D22582"/>
    <w:rsid w:val="00D22761"/>
    <w:rsid w:val="00D227FA"/>
    <w:rsid w:val="00D229C1"/>
    <w:rsid w:val="00D22B01"/>
    <w:rsid w:val="00D22C73"/>
    <w:rsid w:val="00D22D0C"/>
    <w:rsid w:val="00D22DF6"/>
    <w:rsid w:val="00D22F52"/>
    <w:rsid w:val="00D23041"/>
    <w:rsid w:val="00D230BD"/>
    <w:rsid w:val="00D23115"/>
    <w:rsid w:val="00D233AA"/>
    <w:rsid w:val="00D233AB"/>
    <w:rsid w:val="00D2342B"/>
    <w:rsid w:val="00D2348E"/>
    <w:rsid w:val="00D235B4"/>
    <w:rsid w:val="00D235EC"/>
    <w:rsid w:val="00D23678"/>
    <w:rsid w:val="00D23707"/>
    <w:rsid w:val="00D237B1"/>
    <w:rsid w:val="00D23823"/>
    <w:rsid w:val="00D23878"/>
    <w:rsid w:val="00D23959"/>
    <w:rsid w:val="00D23AA4"/>
    <w:rsid w:val="00D23B4E"/>
    <w:rsid w:val="00D23B8B"/>
    <w:rsid w:val="00D23BCB"/>
    <w:rsid w:val="00D23CFF"/>
    <w:rsid w:val="00D23D36"/>
    <w:rsid w:val="00D23D8A"/>
    <w:rsid w:val="00D23EB6"/>
    <w:rsid w:val="00D24542"/>
    <w:rsid w:val="00D246C8"/>
    <w:rsid w:val="00D246D5"/>
    <w:rsid w:val="00D24792"/>
    <w:rsid w:val="00D2479F"/>
    <w:rsid w:val="00D24AA3"/>
    <w:rsid w:val="00D24C1F"/>
    <w:rsid w:val="00D24E32"/>
    <w:rsid w:val="00D24E7E"/>
    <w:rsid w:val="00D24E86"/>
    <w:rsid w:val="00D24F03"/>
    <w:rsid w:val="00D24F55"/>
    <w:rsid w:val="00D24F63"/>
    <w:rsid w:val="00D2513F"/>
    <w:rsid w:val="00D25341"/>
    <w:rsid w:val="00D25616"/>
    <w:rsid w:val="00D25698"/>
    <w:rsid w:val="00D25780"/>
    <w:rsid w:val="00D2588C"/>
    <w:rsid w:val="00D25A2A"/>
    <w:rsid w:val="00D25A3F"/>
    <w:rsid w:val="00D25B01"/>
    <w:rsid w:val="00D25B20"/>
    <w:rsid w:val="00D25BC0"/>
    <w:rsid w:val="00D25BF5"/>
    <w:rsid w:val="00D25C7F"/>
    <w:rsid w:val="00D25CC8"/>
    <w:rsid w:val="00D25DC4"/>
    <w:rsid w:val="00D25F9D"/>
    <w:rsid w:val="00D25FBC"/>
    <w:rsid w:val="00D26167"/>
    <w:rsid w:val="00D26192"/>
    <w:rsid w:val="00D26279"/>
    <w:rsid w:val="00D26557"/>
    <w:rsid w:val="00D265C8"/>
    <w:rsid w:val="00D2675C"/>
    <w:rsid w:val="00D2679D"/>
    <w:rsid w:val="00D267BC"/>
    <w:rsid w:val="00D268A9"/>
    <w:rsid w:val="00D26911"/>
    <w:rsid w:val="00D26AEF"/>
    <w:rsid w:val="00D26BCD"/>
    <w:rsid w:val="00D26CE7"/>
    <w:rsid w:val="00D26EB7"/>
    <w:rsid w:val="00D26F1E"/>
    <w:rsid w:val="00D27069"/>
    <w:rsid w:val="00D2716C"/>
    <w:rsid w:val="00D27290"/>
    <w:rsid w:val="00D272C4"/>
    <w:rsid w:val="00D273F4"/>
    <w:rsid w:val="00D2742C"/>
    <w:rsid w:val="00D274A4"/>
    <w:rsid w:val="00D27601"/>
    <w:rsid w:val="00D276DD"/>
    <w:rsid w:val="00D27748"/>
    <w:rsid w:val="00D278B0"/>
    <w:rsid w:val="00D278E0"/>
    <w:rsid w:val="00D27924"/>
    <w:rsid w:val="00D27967"/>
    <w:rsid w:val="00D27A32"/>
    <w:rsid w:val="00D27AEF"/>
    <w:rsid w:val="00D27B2E"/>
    <w:rsid w:val="00D27B99"/>
    <w:rsid w:val="00D27BFB"/>
    <w:rsid w:val="00D27C16"/>
    <w:rsid w:val="00D27D4C"/>
    <w:rsid w:val="00D27DB2"/>
    <w:rsid w:val="00D27E45"/>
    <w:rsid w:val="00D300DF"/>
    <w:rsid w:val="00D3068A"/>
    <w:rsid w:val="00D306B1"/>
    <w:rsid w:val="00D30758"/>
    <w:rsid w:val="00D307B0"/>
    <w:rsid w:val="00D3080C"/>
    <w:rsid w:val="00D30875"/>
    <w:rsid w:val="00D308E1"/>
    <w:rsid w:val="00D30975"/>
    <w:rsid w:val="00D3098B"/>
    <w:rsid w:val="00D30C6C"/>
    <w:rsid w:val="00D30E37"/>
    <w:rsid w:val="00D31018"/>
    <w:rsid w:val="00D311EA"/>
    <w:rsid w:val="00D3123B"/>
    <w:rsid w:val="00D312F6"/>
    <w:rsid w:val="00D31304"/>
    <w:rsid w:val="00D31409"/>
    <w:rsid w:val="00D31514"/>
    <w:rsid w:val="00D317A9"/>
    <w:rsid w:val="00D317B2"/>
    <w:rsid w:val="00D3190C"/>
    <w:rsid w:val="00D31A6E"/>
    <w:rsid w:val="00D31ABC"/>
    <w:rsid w:val="00D31AFB"/>
    <w:rsid w:val="00D31BE0"/>
    <w:rsid w:val="00D31BE6"/>
    <w:rsid w:val="00D31D0B"/>
    <w:rsid w:val="00D31E91"/>
    <w:rsid w:val="00D3204C"/>
    <w:rsid w:val="00D3224D"/>
    <w:rsid w:val="00D32287"/>
    <w:rsid w:val="00D32412"/>
    <w:rsid w:val="00D32497"/>
    <w:rsid w:val="00D325F2"/>
    <w:rsid w:val="00D326D5"/>
    <w:rsid w:val="00D32737"/>
    <w:rsid w:val="00D32739"/>
    <w:rsid w:val="00D32B2B"/>
    <w:rsid w:val="00D32BE5"/>
    <w:rsid w:val="00D32C67"/>
    <w:rsid w:val="00D32D91"/>
    <w:rsid w:val="00D32E7F"/>
    <w:rsid w:val="00D32F1F"/>
    <w:rsid w:val="00D33066"/>
    <w:rsid w:val="00D330D1"/>
    <w:rsid w:val="00D333F6"/>
    <w:rsid w:val="00D33560"/>
    <w:rsid w:val="00D335AE"/>
    <w:rsid w:val="00D3391C"/>
    <w:rsid w:val="00D33AE0"/>
    <w:rsid w:val="00D33BDB"/>
    <w:rsid w:val="00D33C28"/>
    <w:rsid w:val="00D33C72"/>
    <w:rsid w:val="00D33D59"/>
    <w:rsid w:val="00D33E20"/>
    <w:rsid w:val="00D33F2E"/>
    <w:rsid w:val="00D33F86"/>
    <w:rsid w:val="00D340C8"/>
    <w:rsid w:val="00D340D0"/>
    <w:rsid w:val="00D341D0"/>
    <w:rsid w:val="00D34239"/>
    <w:rsid w:val="00D34335"/>
    <w:rsid w:val="00D3441F"/>
    <w:rsid w:val="00D34461"/>
    <w:rsid w:val="00D3469A"/>
    <w:rsid w:val="00D34734"/>
    <w:rsid w:val="00D3487D"/>
    <w:rsid w:val="00D3495A"/>
    <w:rsid w:val="00D3497A"/>
    <w:rsid w:val="00D34E41"/>
    <w:rsid w:val="00D34EBF"/>
    <w:rsid w:val="00D34EE0"/>
    <w:rsid w:val="00D3511B"/>
    <w:rsid w:val="00D3530D"/>
    <w:rsid w:val="00D354AB"/>
    <w:rsid w:val="00D354D2"/>
    <w:rsid w:val="00D35505"/>
    <w:rsid w:val="00D35737"/>
    <w:rsid w:val="00D3584A"/>
    <w:rsid w:val="00D35872"/>
    <w:rsid w:val="00D35A67"/>
    <w:rsid w:val="00D35AEE"/>
    <w:rsid w:val="00D35B4E"/>
    <w:rsid w:val="00D35BD9"/>
    <w:rsid w:val="00D35E2C"/>
    <w:rsid w:val="00D35E66"/>
    <w:rsid w:val="00D35FD1"/>
    <w:rsid w:val="00D36066"/>
    <w:rsid w:val="00D36093"/>
    <w:rsid w:val="00D362A9"/>
    <w:rsid w:val="00D36319"/>
    <w:rsid w:val="00D36471"/>
    <w:rsid w:val="00D364E8"/>
    <w:rsid w:val="00D366D6"/>
    <w:rsid w:val="00D3689C"/>
    <w:rsid w:val="00D368B7"/>
    <w:rsid w:val="00D36945"/>
    <w:rsid w:val="00D36B76"/>
    <w:rsid w:val="00D36BCC"/>
    <w:rsid w:val="00D36DB3"/>
    <w:rsid w:val="00D36F58"/>
    <w:rsid w:val="00D36F6F"/>
    <w:rsid w:val="00D3711F"/>
    <w:rsid w:val="00D37166"/>
    <w:rsid w:val="00D3717A"/>
    <w:rsid w:val="00D37384"/>
    <w:rsid w:val="00D37415"/>
    <w:rsid w:val="00D37522"/>
    <w:rsid w:val="00D376C7"/>
    <w:rsid w:val="00D37845"/>
    <w:rsid w:val="00D37CAF"/>
    <w:rsid w:val="00D401AA"/>
    <w:rsid w:val="00D40380"/>
    <w:rsid w:val="00D40421"/>
    <w:rsid w:val="00D404F6"/>
    <w:rsid w:val="00D4055C"/>
    <w:rsid w:val="00D40708"/>
    <w:rsid w:val="00D4092A"/>
    <w:rsid w:val="00D40A5C"/>
    <w:rsid w:val="00D40A69"/>
    <w:rsid w:val="00D40B8F"/>
    <w:rsid w:val="00D40D9C"/>
    <w:rsid w:val="00D40EEE"/>
    <w:rsid w:val="00D40F51"/>
    <w:rsid w:val="00D4107C"/>
    <w:rsid w:val="00D41169"/>
    <w:rsid w:val="00D411F3"/>
    <w:rsid w:val="00D413AA"/>
    <w:rsid w:val="00D4164E"/>
    <w:rsid w:val="00D418F3"/>
    <w:rsid w:val="00D419D9"/>
    <w:rsid w:val="00D41A21"/>
    <w:rsid w:val="00D41A4B"/>
    <w:rsid w:val="00D41AE4"/>
    <w:rsid w:val="00D41CCA"/>
    <w:rsid w:val="00D41E98"/>
    <w:rsid w:val="00D41F2F"/>
    <w:rsid w:val="00D41FC2"/>
    <w:rsid w:val="00D420FF"/>
    <w:rsid w:val="00D421C9"/>
    <w:rsid w:val="00D422AD"/>
    <w:rsid w:val="00D42447"/>
    <w:rsid w:val="00D424AC"/>
    <w:rsid w:val="00D424DA"/>
    <w:rsid w:val="00D425F8"/>
    <w:rsid w:val="00D42607"/>
    <w:rsid w:val="00D42609"/>
    <w:rsid w:val="00D4277B"/>
    <w:rsid w:val="00D428A2"/>
    <w:rsid w:val="00D42A3C"/>
    <w:rsid w:val="00D42A5B"/>
    <w:rsid w:val="00D42A62"/>
    <w:rsid w:val="00D42ABA"/>
    <w:rsid w:val="00D42C2F"/>
    <w:rsid w:val="00D42C7B"/>
    <w:rsid w:val="00D42C80"/>
    <w:rsid w:val="00D42E5B"/>
    <w:rsid w:val="00D42E86"/>
    <w:rsid w:val="00D43032"/>
    <w:rsid w:val="00D43151"/>
    <w:rsid w:val="00D431A5"/>
    <w:rsid w:val="00D431FB"/>
    <w:rsid w:val="00D43307"/>
    <w:rsid w:val="00D43338"/>
    <w:rsid w:val="00D43363"/>
    <w:rsid w:val="00D433A6"/>
    <w:rsid w:val="00D4366B"/>
    <w:rsid w:val="00D43798"/>
    <w:rsid w:val="00D437A7"/>
    <w:rsid w:val="00D43919"/>
    <w:rsid w:val="00D43979"/>
    <w:rsid w:val="00D4399E"/>
    <w:rsid w:val="00D43A91"/>
    <w:rsid w:val="00D43FED"/>
    <w:rsid w:val="00D4400B"/>
    <w:rsid w:val="00D44054"/>
    <w:rsid w:val="00D441AA"/>
    <w:rsid w:val="00D4433D"/>
    <w:rsid w:val="00D44367"/>
    <w:rsid w:val="00D44408"/>
    <w:rsid w:val="00D444B2"/>
    <w:rsid w:val="00D44669"/>
    <w:rsid w:val="00D44838"/>
    <w:rsid w:val="00D44843"/>
    <w:rsid w:val="00D44AAD"/>
    <w:rsid w:val="00D44C5A"/>
    <w:rsid w:val="00D44CDF"/>
    <w:rsid w:val="00D44CF6"/>
    <w:rsid w:val="00D44D26"/>
    <w:rsid w:val="00D44DD7"/>
    <w:rsid w:val="00D450A2"/>
    <w:rsid w:val="00D4510B"/>
    <w:rsid w:val="00D45149"/>
    <w:rsid w:val="00D45249"/>
    <w:rsid w:val="00D45372"/>
    <w:rsid w:val="00D455B1"/>
    <w:rsid w:val="00D456B7"/>
    <w:rsid w:val="00D45796"/>
    <w:rsid w:val="00D45AD0"/>
    <w:rsid w:val="00D45AE9"/>
    <w:rsid w:val="00D45BFC"/>
    <w:rsid w:val="00D45C4E"/>
    <w:rsid w:val="00D45C57"/>
    <w:rsid w:val="00D45D3E"/>
    <w:rsid w:val="00D45DBE"/>
    <w:rsid w:val="00D45DCD"/>
    <w:rsid w:val="00D45F45"/>
    <w:rsid w:val="00D4624F"/>
    <w:rsid w:val="00D462F1"/>
    <w:rsid w:val="00D462FD"/>
    <w:rsid w:val="00D4645E"/>
    <w:rsid w:val="00D4648F"/>
    <w:rsid w:val="00D46563"/>
    <w:rsid w:val="00D465FD"/>
    <w:rsid w:val="00D46621"/>
    <w:rsid w:val="00D46889"/>
    <w:rsid w:val="00D46AA5"/>
    <w:rsid w:val="00D46ABD"/>
    <w:rsid w:val="00D46AC4"/>
    <w:rsid w:val="00D46C07"/>
    <w:rsid w:val="00D46C66"/>
    <w:rsid w:val="00D46F57"/>
    <w:rsid w:val="00D470AC"/>
    <w:rsid w:val="00D4726F"/>
    <w:rsid w:val="00D4756D"/>
    <w:rsid w:val="00D47614"/>
    <w:rsid w:val="00D4768C"/>
    <w:rsid w:val="00D476DD"/>
    <w:rsid w:val="00D477A9"/>
    <w:rsid w:val="00D47857"/>
    <w:rsid w:val="00D47933"/>
    <w:rsid w:val="00D4795C"/>
    <w:rsid w:val="00D47A63"/>
    <w:rsid w:val="00D47C46"/>
    <w:rsid w:val="00D47CDF"/>
    <w:rsid w:val="00D50208"/>
    <w:rsid w:val="00D503DA"/>
    <w:rsid w:val="00D50583"/>
    <w:rsid w:val="00D505E6"/>
    <w:rsid w:val="00D506CB"/>
    <w:rsid w:val="00D509E1"/>
    <w:rsid w:val="00D50B0F"/>
    <w:rsid w:val="00D50D82"/>
    <w:rsid w:val="00D50DB8"/>
    <w:rsid w:val="00D50EEA"/>
    <w:rsid w:val="00D50F25"/>
    <w:rsid w:val="00D50FE5"/>
    <w:rsid w:val="00D51055"/>
    <w:rsid w:val="00D5106C"/>
    <w:rsid w:val="00D5108D"/>
    <w:rsid w:val="00D510CD"/>
    <w:rsid w:val="00D51142"/>
    <w:rsid w:val="00D511F5"/>
    <w:rsid w:val="00D5123F"/>
    <w:rsid w:val="00D512BA"/>
    <w:rsid w:val="00D512E1"/>
    <w:rsid w:val="00D512E8"/>
    <w:rsid w:val="00D51518"/>
    <w:rsid w:val="00D515EE"/>
    <w:rsid w:val="00D51832"/>
    <w:rsid w:val="00D5186B"/>
    <w:rsid w:val="00D519F2"/>
    <w:rsid w:val="00D51A9C"/>
    <w:rsid w:val="00D51AF2"/>
    <w:rsid w:val="00D51BF7"/>
    <w:rsid w:val="00D51DA5"/>
    <w:rsid w:val="00D51E0E"/>
    <w:rsid w:val="00D52174"/>
    <w:rsid w:val="00D523E5"/>
    <w:rsid w:val="00D5253B"/>
    <w:rsid w:val="00D52581"/>
    <w:rsid w:val="00D525A2"/>
    <w:rsid w:val="00D52639"/>
    <w:rsid w:val="00D52969"/>
    <w:rsid w:val="00D52BB8"/>
    <w:rsid w:val="00D52D35"/>
    <w:rsid w:val="00D52EBD"/>
    <w:rsid w:val="00D52F33"/>
    <w:rsid w:val="00D52F83"/>
    <w:rsid w:val="00D52FC5"/>
    <w:rsid w:val="00D52FC9"/>
    <w:rsid w:val="00D5300C"/>
    <w:rsid w:val="00D530CA"/>
    <w:rsid w:val="00D53282"/>
    <w:rsid w:val="00D532CC"/>
    <w:rsid w:val="00D53351"/>
    <w:rsid w:val="00D533A0"/>
    <w:rsid w:val="00D5359F"/>
    <w:rsid w:val="00D53760"/>
    <w:rsid w:val="00D53824"/>
    <w:rsid w:val="00D538CF"/>
    <w:rsid w:val="00D5390F"/>
    <w:rsid w:val="00D53A6A"/>
    <w:rsid w:val="00D53B78"/>
    <w:rsid w:val="00D53C8F"/>
    <w:rsid w:val="00D53FC3"/>
    <w:rsid w:val="00D54180"/>
    <w:rsid w:val="00D5426B"/>
    <w:rsid w:val="00D54373"/>
    <w:rsid w:val="00D54392"/>
    <w:rsid w:val="00D54605"/>
    <w:rsid w:val="00D54613"/>
    <w:rsid w:val="00D547D3"/>
    <w:rsid w:val="00D54830"/>
    <w:rsid w:val="00D5496A"/>
    <w:rsid w:val="00D54A6A"/>
    <w:rsid w:val="00D54A99"/>
    <w:rsid w:val="00D54AC4"/>
    <w:rsid w:val="00D54C1F"/>
    <w:rsid w:val="00D54CD9"/>
    <w:rsid w:val="00D550F6"/>
    <w:rsid w:val="00D5529D"/>
    <w:rsid w:val="00D55417"/>
    <w:rsid w:val="00D55430"/>
    <w:rsid w:val="00D55710"/>
    <w:rsid w:val="00D55ABF"/>
    <w:rsid w:val="00D55B0D"/>
    <w:rsid w:val="00D55C78"/>
    <w:rsid w:val="00D55CFA"/>
    <w:rsid w:val="00D55EF5"/>
    <w:rsid w:val="00D5600B"/>
    <w:rsid w:val="00D5614C"/>
    <w:rsid w:val="00D562A0"/>
    <w:rsid w:val="00D563D9"/>
    <w:rsid w:val="00D56406"/>
    <w:rsid w:val="00D56695"/>
    <w:rsid w:val="00D568CF"/>
    <w:rsid w:val="00D5691A"/>
    <w:rsid w:val="00D56A1E"/>
    <w:rsid w:val="00D56C01"/>
    <w:rsid w:val="00D56C3D"/>
    <w:rsid w:val="00D56E68"/>
    <w:rsid w:val="00D56EF0"/>
    <w:rsid w:val="00D5725B"/>
    <w:rsid w:val="00D573AC"/>
    <w:rsid w:val="00D573D5"/>
    <w:rsid w:val="00D5743A"/>
    <w:rsid w:val="00D57521"/>
    <w:rsid w:val="00D57530"/>
    <w:rsid w:val="00D5755D"/>
    <w:rsid w:val="00D57563"/>
    <w:rsid w:val="00D57731"/>
    <w:rsid w:val="00D5778E"/>
    <w:rsid w:val="00D57925"/>
    <w:rsid w:val="00D57926"/>
    <w:rsid w:val="00D57975"/>
    <w:rsid w:val="00D57A72"/>
    <w:rsid w:val="00D57BC0"/>
    <w:rsid w:val="00D57CB5"/>
    <w:rsid w:val="00D57D10"/>
    <w:rsid w:val="00D57DE2"/>
    <w:rsid w:val="00D57F39"/>
    <w:rsid w:val="00D601AA"/>
    <w:rsid w:val="00D602CE"/>
    <w:rsid w:val="00D60383"/>
    <w:rsid w:val="00D603C2"/>
    <w:rsid w:val="00D6049F"/>
    <w:rsid w:val="00D6054D"/>
    <w:rsid w:val="00D607BD"/>
    <w:rsid w:val="00D607F8"/>
    <w:rsid w:val="00D6086D"/>
    <w:rsid w:val="00D60959"/>
    <w:rsid w:val="00D60A94"/>
    <w:rsid w:val="00D60B63"/>
    <w:rsid w:val="00D60DD1"/>
    <w:rsid w:val="00D60ED9"/>
    <w:rsid w:val="00D60F01"/>
    <w:rsid w:val="00D610C2"/>
    <w:rsid w:val="00D61185"/>
    <w:rsid w:val="00D611BB"/>
    <w:rsid w:val="00D6127F"/>
    <w:rsid w:val="00D612D6"/>
    <w:rsid w:val="00D61492"/>
    <w:rsid w:val="00D618C2"/>
    <w:rsid w:val="00D6190B"/>
    <w:rsid w:val="00D61B41"/>
    <w:rsid w:val="00D61BF1"/>
    <w:rsid w:val="00D61CD2"/>
    <w:rsid w:val="00D61D4A"/>
    <w:rsid w:val="00D61E02"/>
    <w:rsid w:val="00D61E6A"/>
    <w:rsid w:val="00D62045"/>
    <w:rsid w:val="00D62350"/>
    <w:rsid w:val="00D6240A"/>
    <w:rsid w:val="00D62478"/>
    <w:rsid w:val="00D625BA"/>
    <w:rsid w:val="00D626E4"/>
    <w:rsid w:val="00D626FE"/>
    <w:rsid w:val="00D62785"/>
    <w:rsid w:val="00D6280D"/>
    <w:rsid w:val="00D62977"/>
    <w:rsid w:val="00D62992"/>
    <w:rsid w:val="00D62A41"/>
    <w:rsid w:val="00D62AC9"/>
    <w:rsid w:val="00D62BAB"/>
    <w:rsid w:val="00D62CB9"/>
    <w:rsid w:val="00D62CC4"/>
    <w:rsid w:val="00D62E85"/>
    <w:rsid w:val="00D62EFB"/>
    <w:rsid w:val="00D62F1E"/>
    <w:rsid w:val="00D63260"/>
    <w:rsid w:val="00D632E3"/>
    <w:rsid w:val="00D63419"/>
    <w:rsid w:val="00D63446"/>
    <w:rsid w:val="00D6346D"/>
    <w:rsid w:val="00D63470"/>
    <w:rsid w:val="00D63720"/>
    <w:rsid w:val="00D638E0"/>
    <w:rsid w:val="00D63914"/>
    <w:rsid w:val="00D63AFB"/>
    <w:rsid w:val="00D63BCB"/>
    <w:rsid w:val="00D63CFB"/>
    <w:rsid w:val="00D64090"/>
    <w:rsid w:val="00D641E9"/>
    <w:rsid w:val="00D6431F"/>
    <w:rsid w:val="00D6435F"/>
    <w:rsid w:val="00D64384"/>
    <w:rsid w:val="00D643B9"/>
    <w:rsid w:val="00D6440D"/>
    <w:rsid w:val="00D644C5"/>
    <w:rsid w:val="00D6458A"/>
    <w:rsid w:val="00D64686"/>
    <w:rsid w:val="00D6478F"/>
    <w:rsid w:val="00D647A5"/>
    <w:rsid w:val="00D647B0"/>
    <w:rsid w:val="00D6485F"/>
    <w:rsid w:val="00D6498B"/>
    <w:rsid w:val="00D649A2"/>
    <w:rsid w:val="00D649BC"/>
    <w:rsid w:val="00D64AB0"/>
    <w:rsid w:val="00D64AF9"/>
    <w:rsid w:val="00D64BC7"/>
    <w:rsid w:val="00D64C75"/>
    <w:rsid w:val="00D64EC9"/>
    <w:rsid w:val="00D64F53"/>
    <w:rsid w:val="00D65108"/>
    <w:rsid w:val="00D65133"/>
    <w:rsid w:val="00D65153"/>
    <w:rsid w:val="00D6520D"/>
    <w:rsid w:val="00D652F3"/>
    <w:rsid w:val="00D6533D"/>
    <w:rsid w:val="00D65423"/>
    <w:rsid w:val="00D65438"/>
    <w:rsid w:val="00D65547"/>
    <w:rsid w:val="00D65643"/>
    <w:rsid w:val="00D65794"/>
    <w:rsid w:val="00D658CE"/>
    <w:rsid w:val="00D65C0D"/>
    <w:rsid w:val="00D65C1C"/>
    <w:rsid w:val="00D65C3B"/>
    <w:rsid w:val="00D6605D"/>
    <w:rsid w:val="00D661AB"/>
    <w:rsid w:val="00D661AD"/>
    <w:rsid w:val="00D662A8"/>
    <w:rsid w:val="00D66363"/>
    <w:rsid w:val="00D66398"/>
    <w:rsid w:val="00D663F8"/>
    <w:rsid w:val="00D6641E"/>
    <w:rsid w:val="00D664FE"/>
    <w:rsid w:val="00D665CC"/>
    <w:rsid w:val="00D6695B"/>
    <w:rsid w:val="00D66983"/>
    <w:rsid w:val="00D66A23"/>
    <w:rsid w:val="00D66B95"/>
    <w:rsid w:val="00D66BAC"/>
    <w:rsid w:val="00D66BD6"/>
    <w:rsid w:val="00D66C02"/>
    <w:rsid w:val="00D66C04"/>
    <w:rsid w:val="00D66DAB"/>
    <w:rsid w:val="00D66DF3"/>
    <w:rsid w:val="00D66E8E"/>
    <w:rsid w:val="00D66EB3"/>
    <w:rsid w:val="00D66F40"/>
    <w:rsid w:val="00D66F79"/>
    <w:rsid w:val="00D66FE0"/>
    <w:rsid w:val="00D671D0"/>
    <w:rsid w:val="00D67229"/>
    <w:rsid w:val="00D6742E"/>
    <w:rsid w:val="00D67454"/>
    <w:rsid w:val="00D67509"/>
    <w:rsid w:val="00D67593"/>
    <w:rsid w:val="00D675A1"/>
    <w:rsid w:val="00D675C3"/>
    <w:rsid w:val="00D67765"/>
    <w:rsid w:val="00D67C5E"/>
    <w:rsid w:val="00D67D12"/>
    <w:rsid w:val="00D67D6D"/>
    <w:rsid w:val="00D67E4E"/>
    <w:rsid w:val="00D67E76"/>
    <w:rsid w:val="00D67EB0"/>
    <w:rsid w:val="00D67EFA"/>
    <w:rsid w:val="00D6BFB2"/>
    <w:rsid w:val="00D7005D"/>
    <w:rsid w:val="00D70075"/>
    <w:rsid w:val="00D702CF"/>
    <w:rsid w:val="00D70395"/>
    <w:rsid w:val="00D706B7"/>
    <w:rsid w:val="00D706C8"/>
    <w:rsid w:val="00D70837"/>
    <w:rsid w:val="00D70887"/>
    <w:rsid w:val="00D70914"/>
    <w:rsid w:val="00D7095C"/>
    <w:rsid w:val="00D70B1F"/>
    <w:rsid w:val="00D71070"/>
    <w:rsid w:val="00D71079"/>
    <w:rsid w:val="00D71398"/>
    <w:rsid w:val="00D7175F"/>
    <w:rsid w:val="00D71BBF"/>
    <w:rsid w:val="00D71E6E"/>
    <w:rsid w:val="00D71E9E"/>
    <w:rsid w:val="00D71F47"/>
    <w:rsid w:val="00D7214A"/>
    <w:rsid w:val="00D722D2"/>
    <w:rsid w:val="00D725A4"/>
    <w:rsid w:val="00D725F2"/>
    <w:rsid w:val="00D726A3"/>
    <w:rsid w:val="00D72761"/>
    <w:rsid w:val="00D728C9"/>
    <w:rsid w:val="00D72A12"/>
    <w:rsid w:val="00D72B12"/>
    <w:rsid w:val="00D72B9F"/>
    <w:rsid w:val="00D72C66"/>
    <w:rsid w:val="00D72D1F"/>
    <w:rsid w:val="00D72E47"/>
    <w:rsid w:val="00D72E72"/>
    <w:rsid w:val="00D72F14"/>
    <w:rsid w:val="00D72F30"/>
    <w:rsid w:val="00D7305A"/>
    <w:rsid w:val="00D73169"/>
    <w:rsid w:val="00D7322D"/>
    <w:rsid w:val="00D732E9"/>
    <w:rsid w:val="00D735ED"/>
    <w:rsid w:val="00D73694"/>
    <w:rsid w:val="00D736E3"/>
    <w:rsid w:val="00D73752"/>
    <w:rsid w:val="00D7376D"/>
    <w:rsid w:val="00D73868"/>
    <w:rsid w:val="00D7390A"/>
    <w:rsid w:val="00D73991"/>
    <w:rsid w:val="00D73D3F"/>
    <w:rsid w:val="00D73E61"/>
    <w:rsid w:val="00D73F2F"/>
    <w:rsid w:val="00D74204"/>
    <w:rsid w:val="00D74258"/>
    <w:rsid w:val="00D742A9"/>
    <w:rsid w:val="00D74362"/>
    <w:rsid w:val="00D7441A"/>
    <w:rsid w:val="00D7453F"/>
    <w:rsid w:val="00D745CC"/>
    <w:rsid w:val="00D74615"/>
    <w:rsid w:val="00D74858"/>
    <w:rsid w:val="00D74880"/>
    <w:rsid w:val="00D74985"/>
    <w:rsid w:val="00D74A55"/>
    <w:rsid w:val="00D74A88"/>
    <w:rsid w:val="00D74AD2"/>
    <w:rsid w:val="00D74B01"/>
    <w:rsid w:val="00D74B33"/>
    <w:rsid w:val="00D74C35"/>
    <w:rsid w:val="00D74C96"/>
    <w:rsid w:val="00D74EB2"/>
    <w:rsid w:val="00D74ED1"/>
    <w:rsid w:val="00D74F4C"/>
    <w:rsid w:val="00D75145"/>
    <w:rsid w:val="00D751CE"/>
    <w:rsid w:val="00D751F4"/>
    <w:rsid w:val="00D7537E"/>
    <w:rsid w:val="00D75562"/>
    <w:rsid w:val="00D755BC"/>
    <w:rsid w:val="00D756CA"/>
    <w:rsid w:val="00D757B6"/>
    <w:rsid w:val="00D757BE"/>
    <w:rsid w:val="00D757C2"/>
    <w:rsid w:val="00D7597F"/>
    <w:rsid w:val="00D75C5F"/>
    <w:rsid w:val="00D75C66"/>
    <w:rsid w:val="00D75EAC"/>
    <w:rsid w:val="00D75ED5"/>
    <w:rsid w:val="00D75EEC"/>
    <w:rsid w:val="00D75F15"/>
    <w:rsid w:val="00D75F44"/>
    <w:rsid w:val="00D75F64"/>
    <w:rsid w:val="00D75FB5"/>
    <w:rsid w:val="00D7602E"/>
    <w:rsid w:val="00D760DE"/>
    <w:rsid w:val="00D76371"/>
    <w:rsid w:val="00D7639F"/>
    <w:rsid w:val="00D764DA"/>
    <w:rsid w:val="00D766E9"/>
    <w:rsid w:val="00D76767"/>
    <w:rsid w:val="00D76809"/>
    <w:rsid w:val="00D76C43"/>
    <w:rsid w:val="00D76E69"/>
    <w:rsid w:val="00D76E6A"/>
    <w:rsid w:val="00D76F96"/>
    <w:rsid w:val="00D76FDD"/>
    <w:rsid w:val="00D770AB"/>
    <w:rsid w:val="00D77171"/>
    <w:rsid w:val="00D772FF"/>
    <w:rsid w:val="00D774AD"/>
    <w:rsid w:val="00D77530"/>
    <w:rsid w:val="00D775B0"/>
    <w:rsid w:val="00D775BB"/>
    <w:rsid w:val="00D775C5"/>
    <w:rsid w:val="00D77633"/>
    <w:rsid w:val="00D77687"/>
    <w:rsid w:val="00D77801"/>
    <w:rsid w:val="00D77875"/>
    <w:rsid w:val="00D7796F"/>
    <w:rsid w:val="00D779CC"/>
    <w:rsid w:val="00D77A2F"/>
    <w:rsid w:val="00D77AD5"/>
    <w:rsid w:val="00D77B45"/>
    <w:rsid w:val="00D77C85"/>
    <w:rsid w:val="00D77DE9"/>
    <w:rsid w:val="00D77E69"/>
    <w:rsid w:val="00D77E6E"/>
    <w:rsid w:val="00D77E98"/>
    <w:rsid w:val="00D77FB5"/>
    <w:rsid w:val="00D77FF9"/>
    <w:rsid w:val="00D80187"/>
    <w:rsid w:val="00D8030C"/>
    <w:rsid w:val="00D804A9"/>
    <w:rsid w:val="00D8055C"/>
    <w:rsid w:val="00D80844"/>
    <w:rsid w:val="00D808A1"/>
    <w:rsid w:val="00D808E8"/>
    <w:rsid w:val="00D80915"/>
    <w:rsid w:val="00D80A30"/>
    <w:rsid w:val="00D80B79"/>
    <w:rsid w:val="00D80B80"/>
    <w:rsid w:val="00D80C2E"/>
    <w:rsid w:val="00D80C5D"/>
    <w:rsid w:val="00D80F15"/>
    <w:rsid w:val="00D8108B"/>
    <w:rsid w:val="00D8132F"/>
    <w:rsid w:val="00D8147D"/>
    <w:rsid w:val="00D814B7"/>
    <w:rsid w:val="00D814F4"/>
    <w:rsid w:val="00D8176E"/>
    <w:rsid w:val="00D81779"/>
    <w:rsid w:val="00D81872"/>
    <w:rsid w:val="00D8189A"/>
    <w:rsid w:val="00D81922"/>
    <w:rsid w:val="00D819E5"/>
    <w:rsid w:val="00D81B08"/>
    <w:rsid w:val="00D81B78"/>
    <w:rsid w:val="00D81B8C"/>
    <w:rsid w:val="00D81BE5"/>
    <w:rsid w:val="00D81C98"/>
    <w:rsid w:val="00D81D9E"/>
    <w:rsid w:val="00D81E46"/>
    <w:rsid w:val="00D81F77"/>
    <w:rsid w:val="00D82042"/>
    <w:rsid w:val="00D8229D"/>
    <w:rsid w:val="00D823F7"/>
    <w:rsid w:val="00D82445"/>
    <w:rsid w:val="00D82503"/>
    <w:rsid w:val="00D82505"/>
    <w:rsid w:val="00D8290E"/>
    <w:rsid w:val="00D829C4"/>
    <w:rsid w:val="00D82A5E"/>
    <w:rsid w:val="00D82C0D"/>
    <w:rsid w:val="00D82C23"/>
    <w:rsid w:val="00D82C7B"/>
    <w:rsid w:val="00D830EC"/>
    <w:rsid w:val="00D8333A"/>
    <w:rsid w:val="00D83369"/>
    <w:rsid w:val="00D834B7"/>
    <w:rsid w:val="00D83609"/>
    <w:rsid w:val="00D83619"/>
    <w:rsid w:val="00D83684"/>
    <w:rsid w:val="00D83767"/>
    <w:rsid w:val="00D8396E"/>
    <w:rsid w:val="00D83A50"/>
    <w:rsid w:val="00D83A5E"/>
    <w:rsid w:val="00D83C88"/>
    <w:rsid w:val="00D83E40"/>
    <w:rsid w:val="00D83ED6"/>
    <w:rsid w:val="00D8401E"/>
    <w:rsid w:val="00D842DB"/>
    <w:rsid w:val="00D8435D"/>
    <w:rsid w:val="00D843B1"/>
    <w:rsid w:val="00D84632"/>
    <w:rsid w:val="00D8469D"/>
    <w:rsid w:val="00D8469F"/>
    <w:rsid w:val="00D849A0"/>
    <w:rsid w:val="00D849AF"/>
    <w:rsid w:val="00D84A23"/>
    <w:rsid w:val="00D84A7D"/>
    <w:rsid w:val="00D84BD4"/>
    <w:rsid w:val="00D84C67"/>
    <w:rsid w:val="00D84CF5"/>
    <w:rsid w:val="00D84E70"/>
    <w:rsid w:val="00D84EAB"/>
    <w:rsid w:val="00D84FAE"/>
    <w:rsid w:val="00D84FB0"/>
    <w:rsid w:val="00D852B8"/>
    <w:rsid w:val="00D852C7"/>
    <w:rsid w:val="00D853DB"/>
    <w:rsid w:val="00D85405"/>
    <w:rsid w:val="00D8546E"/>
    <w:rsid w:val="00D8547B"/>
    <w:rsid w:val="00D855A9"/>
    <w:rsid w:val="00D85669"/>
    <w:rsid w:val="00D856D8"/>
    <w:rsid w:val="00D85784"/>
    <w:rsid w:val="00D857C1"/>
    <w:rsid w:val="00D85844"/>
    <w:rsid w:val="00D858CE"/>
    <w:rsid w:val="00D858F4"/>
    <w:rsid w:val="00D85B75"/>
    <w:rsid w:val="00D85DFE"/>
    <w:rsid w:val="00D85EC9"/>
    <w:rsid w:val="00D85F77"/>
    <w:rsid w:val="00D86329"/>
    <w:rsid w:val="00D863EE"/>
    <w:rsid w:val="00D86439"/>
    <w:rsid w:val="00D865EA"/>
    <w:rsid w:val="00D86672"/>
    <w:rsid w:val="00D86997"/>
    <w:rsid w:val="00D869AA"/>
    <w:rsid w:val="00D86A06"/>
    <w:rsid w:val="00D86A15"/>
    <w:rsid w:val="00D86A5B"/>
    <w:rsid w:val="00D86F07"/>
    <w:rsid w:val="00D86F2B"/>
    <w:rsid w:val="00D87212"/>
    <w:rsid w:val="00D8726B"/>
    <w:rsid w:val="00D872A6"/>
    <w:rsid w:val="00D87513"/>
    <w:rsid w:val="00D87533"/>
    <w:rsid w:val="00D87564"/>
    <w:rsid w:val="00D8763E"/>
    <w:rsid w:val="00D876CE"/>
    <w:rsid w:val="00D87723"/>
    <w:rsid w:val="00D878DC"/>
    <w:rsid w:val="00D87A4B"/>
    <w:rsid w:val="00D87C2A"/>
    <w:rsid w:val="00D87D89"/>
    <w:rsid w:val="00D87D99"/>
    <w:rsid w:val="00D87D9A"/>
    <w:rsid w:val="00D87FB4"/>
    <w:rsid w:val="00D900BE"/>
    <w:rsid w:val="00D900DB"/>
    <w:rsid w:val="00D900E9"/>
    <w:rsid w:val="00D9017F"/>
    <w:rsid w:val="00D9031A"/>
    <w:rsid w:val="00D9047E"/>
    <w:rsid w:val="00D90522"/>
    <w:rsid w:val="00D9057C"/>
    <w:rsid w:val="00D905D7"/>
    <w:rsid w:val="00D907F2"/>
    <w:rsid w:val="00D9093C"/>
    <w:rsid w:val="00D90A14"/>
    <w:rsid w:val="00D90D83"/>
    <w:rsid w:val="00D90EC3"/>
    <w:rsid w:val="00D91088"/>
    <w:rsid w:val="00D91180"/>
    <w:rsid w:val="00D91269"/>
    <w:rsid w:val="00D9131A"/>
    <w:rsid w:val="00D913ED"/>
    <w:rsid w:val="00D9147D"/>
    <w:rsid w:val="00D91632"/>
    <w:rsid w:val="00D916EE"/>
    <w:rsid w:val="00D9175B"/>
    <w:rsid w:val="00D91A30"/>
    <w:rsid w:val="00D91A5C"/>
    <w:rsid w:val="00D91AD5"/>
    <w:rsid w:val="00D91D99"/>
    <w:rsid w:val="00D91FCA"/>
    <w:rsid w:val="00D92059"/>
    <w:rsid w:val="00D92196"/>
    <w:rsid w:val="00D921CE"/>
    <w:rsid w:val="00D92299"/>
    <w:rsid w:val="00D923DA"/>
    <w:rsid w:val="00D92484"/>
    <w:rsid w:val="00D9287D"/>
    <w:rsid w:val="00D928ED"/>
    <w:rsid w:val="00D92928"/>
    <w:rsid w:val="00D929FD"/>
    <w:rsid w:val="00D92A50"/>
    <w:rsid w:val="00D92AF1"/>
    <w:rsid w:val="00D92B8F"/>
    <w:rsid w:val="00D92C7D"/>
    <w:rsid w:val="00D930B3"/>
    <w:rsid w:val="00D93122"/>
    <w:rsid w:val="00D9329F"/>
    <w:rsid w:val="00D93365"/>
    <w:rsid w:val="00D93556"/>
    <w:rsid w:val="00D935AF"/>
    <w:rsid w:val="00D93815"/>
    <w:rsid w:val="00D938DD"/>
    <w:rsid w:val="00D93B60"/>
    <w:rsid w:val="00D93B8F"/>
    <w:rsid w:val="00D93BD5"/>
    <w:rsid w:val="00D93C18"/>
    <w:rsid w:val="00D93C88"/>
    <w:rsid w:val="00D93CE3"/>
    <w:rsid w:val="00D93D0D"/>
    <w:rsid w:val="00D93D3C"/>
    <w:rsid w:val="00D93D57"/>
    <w:rsid w:val="00D93E13"/>
    <w:rsid w:val="00D93FA5"/>
    <w:rsid w:val="00D94040"/>
    <w:rsid w:val="00D941D8"/>
    <w:rsid w:val="00D94559"/>
    <w:rsid w:val="00D94591"/>
    <w:rsid w:val="00D945B0"/>
    <w:rsid w:val="00D94830"/>
    <w:rsid w:val="00D9484A"/>
    <w:rsid w:val="00D9495C"/>
    <w:rsid w:val="00D9496B"/>
    <w:rsid w:val="00D949EF"/>
    <w:rsid w:val="00D94A15"/>
    <w:rsid w:val="00D94ACB"/>
    <w:rsid w:val="00D94BE4"/>
    <w:rsid w:val="00D94CF5"/>
    <w:rsid w:val="00D94DDA"/>
    <w:rsid w:val="00D94F77"/>
    <w:rsid w:val="00D95160"/>
    <w:rsid w:val="00D95358"/>
    <w:rsid w:val="00D95394"/>
    <w:rsid w:val="00D95430"/>
    <w:rsid w:val="00D95484"/>
    <w:rsid w:val="00D954C2"/>
    <w:rsid w:val="00D954C3"/>
    <w:rsid w:val="00D954F7"/>
    <w:rsid w:val="00D955D5"/>
    <w:rsid w:val="00D95792"/>
    <w:rsid w:val="00D95987"/>
    <w:rsid w:val="00D95B4D"/>
    <w:rsid w:val="00D95C50"/>
    <w:rsid w:val="00D95DE4"/>
    <w:rsid w:val="00D95F0D"/>
    <w:rsid w:val="00D9622E"/>
    <w:rsid w:val="00D9627F"/>
    <w:rsid w:val="00D9644C"/>
    <w:rsid w:val="00D96683"/>
    <w:rsid w:val="00D966B4"/>
    <w:rsid w:val="00D96795"/>
    <w:rsid w:val="00D96997"/>
    <w:rsid w:val="00D96A96"/>
    <w:rsid w:val="00D96B05"/>
    <w:rsid w:val="00D96B8E"/>
    <w:rsid w:val="00D96C94"/>
    <w:rsid w:val="00D96E41"/>
    <w:rsid w:val="00D9706E"/>
    <w:rsid w:val="00D970C8"/>
    <w:rsid w:val="00D971C6"/>
    <w:rsid w:val="00D974F0"/>
    <w:rsid w:val="00D975A4"/>
    <w:rsid w:val="00D975CC"/>
    <w:rsid w:val="00D975D8"/>
    <w:rsid w:val="00D97631"/>
    <w:rsid w:val="00D976F3"/>
    <w:rsid w:val="00D97799"/>
    <w:rsid w:val="00D97874"/>
    <w:rsid w:val="00D9792A"/>
    <w:rsid w:val="00D9799C"/>
    <w:rsid w:val="00D979BA"/>
    <w:rsid w:val="00D979E3"/>
    <w:rsid w:val="00D97AA5"/>
    <w:rsid w:val="00D97AC4"/>
    <w:rsid w:val="00D97AC7"/>
    <w:rsid w:val="00D97C81"/>
    <w:rsid w:val="00D97F78"/>
    <w:rsid w:val="00DA010E"/>
    <w:rsid w:val="00DA0221"/>
    <w:rsid w:val="00DA0455"/>
    <w:rsid w:val="00DA0545"/>
    <w:rsid w:val="00DA0643"/>
    <w:rsid w:val="00DA06A9"/>
    <w:rsid w:val="00DA06BD"/>
    <w:rsid w:val="00DA06BE"/>
    <w:rsid w:val="00DA0A03"/>
    <w:rsid w:val="00DA0C35"/>
    <w:rsid w:val="00DA0CC5"/>
    <w:rsid w:val="00DA0D1B"/>
    <w:rsid w:val="00DA0D9D"/>
    <w:rsid w:val="00DA0DFA"/>
    <w:rsid w:val="00DA0F19"/>
    <w:rsid w:val="00DA11F0"/>
    <w:rsid w:val="00DA1246"/>
    <w:rsid w:val="00DA12A2"/>
    <w:rsid w:val="00DA130F"/>
    <w:rsid w:val="00DA134E"/>
    <w:rsid w:val="00DA1390"/>
    <w:rsid w:val="00DA1403"/>
    <w:rsid w:val="00DA143A"/>
    <w:rsid w:val="00DA14BF"/>
    <w:rsid w:val="00DA14D5"/>
    <w:rsid w:val="00DA1526"/>
    <w:rsid w:val="00DA156D"/>
    <w:rsid w:val="00DA1671"/>
    <w:rsid w:val="00DA1734"/>
    <w:rsid w:val="00DA17CA"/>
    <w:rsid w:val="00DA19ED"/>
    <w:rsid w:val="00DA1C39"/>
    <w:rsid w:val="00DA1D2A"/>
    <w:rsid w:val="00DA1D98"/>
    <w:rsid w:val="00DA1E93"/>
    <w:rsid w:val="00DA1FF8"/>
    <w:rsid w:val="00DA2065"/>
    <w:rsid w:val="00DA2193"/>
    <w:rsid w:val="00DA21BF"/>
    <w:rsid w:val="00DA22A7"/>
    <w:rsid w:val="00DA22F8"/>
    <w:rsid w:val="00DA23FD"/>
    <w:rsid w:val="00DA2566"/>
    <w:rsid w:val="00DA2587"/>
    <w:rsid w:val="00DA25E4"/>
    <w:rsid w:val="00DA2744"/>
    <w:rsid w:val="00DA27F2"/>
    <w:rsid w:val="00DA293F"/>
    <w:rsid w:val="00DA2B07"/>
    <w:rsid w:val="00DA303D"/>
    <w:rsid w:val="00DA306F"/>
    <w:rsid w:val="00DA31FA"/>
    <w:rsid w:val="00DA3300"/>
    <w:rsid w:val="00DA33EE"/>
    <w:rsid w:val="00DA345A"/>
    <w:rsid w:val="00DA348D"/>
    <w:rsid w:val="00DA3585"/>
    <w:rsid w:val="00DA3590"/>
    <w:rsid w:val="00DA369F"/>
    <w:rsid w:val="00DA3836"/>
    <w:rsid w:val="00DA3A6C"/>
    <w:rsid w:val="00DA3B7B"/>
    <w:rsid w:val="00DA3BC2"/>
    <w:rsid w:val="00DA3DE7"/>
    <w:rsid w:val="00DA3E0C"/>
    <w:rsid w:val="00DA3F7E"/>
    <w:rsid w:val="00DA3F8D"/>
    <w:rsid w:val="00DA3FD9"/>
    <w:rsid w:val="00DA409C"/>
    <w:rsid w:val="00DA434A"/>
    <w:rsid w:val="00DA442F"/>
    <w:rsid w:val="00DA45C8"/>
    <w:rsid w:val="00DA45F3"/>
    <w:rsid w:val="00DA474D"/>
    <w:rsid w:val="00DA47F5"/>
    <w:rsid w:val="00DA4966"/>
    <w:rsid w:val="00DA49E7"/>
    <w:rsid w:val="00DA4A4F"/>
    <w:rsid w:val="00DA4A65"/>
    <w:rsid w:val="00DA4B35"/>
    <w:rsid w:val="00DA4C80"/>
    <w:rsid w:val="00DA4E7A"/>
    <w:rsid w:val="00DA4EB9"/>
    <w:rsid w:val="00DA4EBA"/>
    <w:rsid w:val="00DA4F0C"/>
    <w:rsid w:val="00DA4FD2"/>
    <w:rsid w:val="00DA5126"/>
    <w:rsid w:val="00DA51B4"/>
    <w:rsid w:val="00DA524D"/>
    <w:rsid w:val="00DA5361"/>
    <w:rsid w:val="00DA5418"/>
    <w:rsid w:val="00DA561E"/>
    <w:rsid w:val="00DA576B"/>
    <w:rsid w:val="00DA5930"/>
    <w:rsid w:val="00DA5A60"/>
    <w:rsid w:val="00DA5A8E"/>
    <w:rsid w:val="00DA5C00"/>
    <w:rsid w:val="00DA5C97"/>
    <w:rsid w:val="00DA60AC"/>
    <w:rsid w:val="00DA616C"/>
    <w:rsid w:val="00DA61C7"/>
    <w:rsid w:val="00DA61D1"/>
    <w:rsid w:val="00DA628F"/>
    <w:rsid w:val="00DA62AE"/>
    <w:rsid w:val="00DA644E"/>
    <w:rsid w:val="00DA6531"/>
    <w:rsid w:val="00DA659E"/>
    <w:rsid w:val="00DA6620"/>
    <w:rsid w:val="00DA6689"/>
    <w:rsid w:val="00DA677E"/>
    <w:rsid w:val="00DA680D"/>
    <w:rsid w:val="00DA692B"/>
    <w:rsid w:val="00DA6999"/>
    <w:rsid w:val="00DA6B2B"/>
    <w:rsid w:val="00DA6BC4"/>
    <w:rsid w:val="00DA6D9B"/>
    <w:rsid w:val="00DA6F30"/>
    <w:rsid w:val="00DA6FD9"/>
    <w:rsid w:val="00DA71F0"/>
    <w:rsid w:val="00DA72B7"/>
    <w:rsid w:val="00DA738B"/>
    <w:rsid w:val="00DA7553"/>
    <w:rsid w:val="00DA7777"/>
    <w:rsid w:val="00DA77F7"/>
    <w:rsid w:val="00DA789F"/>
    <w:rsid w:val="00DA7C49"/>
    <w:rsid w:val="00DA7C87"/>
    <w:rsid w:val="00DA7CCD"/>
    <w:rsid w:val="00DB025D"/>
    <w:rsid w:val="00DB02D8"/>
    <w:rsid w:val="00DB039B"/>
    <w:rsid w:val="00DB056C"/>
    <w:rsid w:val="00DB068F"/>
    <w:rsid w:val="00DB0691"/>
    <w:rsid w:val="00DB06FE"/>
    <w:rsid w:val="00DB0740"/>
    <w:rsid w:val="00DB07ED"/>
    <w:rsid w:val="00DB08B9"/>
    <w:rsid w:val="00DB08CD"/>
    <w:rsid w:val="00DB0A69"/>
    <w:rsid w:val="00DB0C0A"/>
    <w:rsid w:val="00DB0C6B"/>
    <w:rsid w:val="00DB0C91"/>
    <w:rsid w:val="00DB0CE2"/>
    <w:rsid w:val="00DB0EDA"/>
    <w:rsid w:val="00DB0FB0"/>
    <w:rsid w:val="00DB0FC1"/>
    <w:rsid w:val="00DB0FF9"/>
    <w:rsid w:val="00DB10C3"/>
    <w:rsid w:val="00DB11C0"/>
    <w:rsid w:val="00DB11CC"/>
    <w:rsid w:val="00DB1474"/>
    <w:rsid w:val="00DB15D1"/>
    <w:rsid w:val="00DB1616"/>
    <w:rsid w:val="00DB1649"/>
    <w:rsid w:val="00DB170D"/>
    <w:rsid w:val="00DB17D6"/>
    <w:rsid w:val="00DB1929"/>
    <w:rsid w:val="00DB1A76"/>
    <w:rsid w:val="00DB1B00"/>
    <w:rsid w:val="00DB1B19"/>
    <w:rsid w:val="00DB1C08"/>
    <w:rsid w:val="00DB1F33"/>
    <w:rsid w:val="00DB237A"/>
    <w:rsid w:val="00DB2438"/>
    <w:rsid w:val="00DB24A3"/>
    <w:rsid w:val="00DB26B5"/>
    <w:rsid w:val="00DB26F4"/>
    <w:rsid w:val="00DB2719"/>
    <w:rsid w:val="00DB2722"/>
    <w:rsid w:val="00DB2816"/>
    <w:rsid w:val="00DB281D"/>
    <w:rsid w:val="00DB2910"/>
    <w:rsid w:val="00DB2946"/>
    <w:rsid w:val="00DB2BDE"/>
    <w:rsid w:val="00DB2CA4"/>
    <w:rsid w:val="00DB2CF0"/>
    <w:rsid w:val="00DB2FF9"/>
    <w:rsid w:val="00DB316A"/>
    <w:rsid w:val="00DB318E"/>
    <w:rsid w:val="00DB33BA"/>
    <w:rsid w:val="00DB33D8"/>
    <w:rsid w:val="00DB3410"/>
    <w:rsid w:val="00DB353B"/>
    <w:rsid w:val="00DB3633"/>
    <w:rsid w:val="00DB3765"/>
    <w:rsid w:val="00DB38EA"/>
    <w:rsid w:val="00DB3BBB"/>
    <w:rsid w:val="00DB3DC9"/>
    <w:rsid w:val="00DB3E45"/>
    <w:rsid w:val="00DB3F27"/>
    <w:rsid w:val="00DB4036"/>
    <w:rsid w:val="00DB410C"/>
    <w:rsid w:val="00DB41A7"/>
    <w:rsid w:val="00DB4212"/>
    <w:rsid w:val="00DB4565"/>
    <w:rsid w:val="00DB45DB"/>
    <w:rsid w:val="00DB45E4"/>
    <w:rsid w:val="00DB483F"/>
    <w:rsid w:val="00DB49A3"/>
    <w:rsid w:val="00DB4D43"/>
    <w:rsid w:val="00DB4DA2"/>
    <w:rsid w:val="00DB4FA1"/>
    <w:rsid w:val="00DB4FD1"/>
    <w:rsid w:val="00DB501B"/>
    <w:rsid w:val="00DB5179"/>
    <w:rsid w:val="00DB5185"/>
    <w:rsid w:val="00DB5194"/>
    <w:rsid w:val="00DB51A0"/>
    <w:rsid w:val="00DB51D8"/>
    <w:rsid w:val="00DB5347"/>
    <w:rsid w:val="00DB53FA"/>
    <w:rsid w:val="00DB55C8"/>
    <w:rsid w:val="00DB586B"/>
    <w:rsid w:val="00DB58BD"/>
    <w:rsid w:val="00DB597B"/>
    <w:rsid w:val="00DB5998"/>
    <w:rsid w:val="00DB59B8"/>
    <w:rsid w:val="00DB5A2D"/>
    <w:rsid w:val="00DB5AA4"/>
    <w:rsid w:val="00DB5B5F"/>
    <w:rsid w:val="00DB5BA1"/>
    <w:rsid w:val="00DB5C8E"/>
    <w:rsid w:val="00DB5DEB"/>
    <w:rsid w:val="00DB5E7E"/>
    <w:rsid w:val="00DB5EEF"/>
    <w:rsid w:val="00DB5F79"/>
    <w:rsid w:val="00DB6020"/>
    <w:rsid w:val="00DB6088"/>
    <w:rsid w:val="00DB6136"/>
    <w:rsid w:val="00DB6139"/>
    <w:rsid w:val="00DB6441"/>
    <w:rsid w:val="00DB65E8"/>
    <w:rsid w:val="00DB665C"/>
    <w:rsid w:val="00DB6798"/>
    <w:rsid w:val="00DB6864"/>
    <w:rsid w:val="00DB68D6"/>
    <w:rsid w:val="00DB6944"/>
    <w:rsid w:val="00DB6A3A"/>
    <w:rsid w:val="00DB6B3B"/>
    <w:rsid w:val="00DB6B3F"/>
    <w:rsid w:val="00DB6BAF"/>
    <w:rsid w:val="00DB6C2B"/>
    <w:rsid w:val="00DB6C2D"/>
    <w:rsid w:val="00DB6D1C"/>
    <w:rsid w:val="00DB6FC1"/>
    <w:rsid w:val="00DB6FD6"/>
    <w:rsid w:val="00DB7089"/>
    <w:rsid w:val="00DB715B"/>
    <w:rsid w:val="00DB715F"/>
    <w:rsid w:val="00DB7295"/>
    <w:rsid w:val="00DB7379"/>
    <w:rsid w:val="00DB7452"/>
    <w:rsid w:val="00DB7542"/>
    <w:rsid w:val="00DB75B6"/>
    <w:rsid w:val="00DB7632"/>
    <w:rsid w:val="00DB767A"/>
    <w:rsid w:val="00DB797B"/>
    <w:rsid w:val="00DB7A39"/>
    <w:rsid w:val="00DB7B31"/>
    <w:rsid w:val="00DB7D94"/>
    <w:rsid w:val="00DB7E9C"/>
    <w:rsid w:val="00DB7ED1"/>
    <w:rsid w:val="00DB7FCE"/>
    <w:rsid w:val="00DBD378"/>
    <w:rsid w:val="00DC0067"/>
    <w:rsid w:val="00DC0097"/>
    <w:rsid w:val="00DC0200"/>
    <w:rsid w:val="00DC029A"/>
    <w:rsid w:val="00DC02B0"/>
    <w:rsid w:val="00DC03C2"/>
    <w:rsid w:val="00DC04AA"/>
    <w:rsid w:val="00DC06A3"/>
    <w:rsid w:val="00DC0716"/>
    <w:rsid w:val="00DC07B6"/>
    <w:rsid w:val="00DC09AE"/>
    <w:rsid w:val="00DC0AED"/>
    <w:rsid w:val="00DC0AF6"/>
    <w:rsid w:val="00DC0E33"/>
    <w:rsid w:val="00DC0E72"/>
    <w:rsid w:val="00DC0FD2"/>
    <w:rsid w:val="00DC10AF"/>
    <w:rsid w:val="00DC1129"/>
    <w:rsid w:val="00DC1230"/>
    <w:rsid w:val="00DC1280"/>
    <w:rsid w:val="00DC138C"/>
    <w:rsid w:val="00DC148C"/>
    <w:rsid w:val="00DC1560"/>
    <w:rsid w:val="00DC1686"/>
    <w:rsid w:val="00DC17F8"/>
    <w:rsid w:val="00DC1910"/>
    <w:rsid w:val="00DC1A5F"/>
    <w:rsid w:val="00DC1D21"/>
    <w:rsid w:val="00DC1E0E"/>
    <w:rsid w:val="00DC1E86"/>
    <w:rsid w:val="00DC2184"/>
    <w:rsid w:val="00DC2193"/>
    <w:rsid w:val="00DC222E"/>
    <w:rsid w:val="00DC2416"/>
    <w:rsid w:val="00DC2488"/>
    <w:rsid w:val="00DC24B3"/>
    <w:rsid w:val="00DC281E"/>
    <w:rsid w:val="00DC2828"/>
    <w:rsid w:val="00DC2891"/>
    <w:rsid w:val="00DC2986"/>
    <w:rsid w:val="00DC298A"/>
    <w:rsid w:val="00DC2B27"/>
    <w:rsid w:val="00DC2BC2"/>
    <w:rsid w:val="00DC2C01"/>
    <w:rsid w:val="00DC2C99"/>
    <w:rsid w:val="00DC2FAE"/>
    <w:rsid w:val="00DC317C"/>
    <w:rsid w:val="00DC32DF"/>
    <w:rsid w:val="00DC3382"/>
    <w:rsid w:val="00DC33A8"/>
    <w:rsid w:val="00DC33C8"/>
    <w:rsid w:val="00DC3564"/>
    <w:rsid w:val="00DC36F3"/>
    <w:rsid w:val="00DC37BF"/>
    <w:rsid w:val="00DC385E"/>
    <w:rsid w:val="00DC3C32"/>
    <w:rsid w:val="00DC3D56"/>
    <w:rsid w:val="00DC3D9F"/>
    <w:rsid w:val="00DC3E13"/>
    <w:rsid w:val="00DC3F74"/>
    <w:rsid w:val="00DC42AB"/>
    <w:rsid w:val="00DC4407"/>
    <w:rsid w:val="00DC4412"/>
    <w:rsid w:val="00DC449D"/>
    <w:rsid w:val="00DC458C"/>
    <w:rsid w:val="00DC46BB"/>
    <w:rsid w:val="00DC4C77"/>
    <w:rsid w:val="00DC4CB5"/>
    <w:rsid w:val="00DC4DF3"/>
    <w:rsid w:val="00DC4ED7"/>
    <w:rsid w:val="00DC4F43"/>
    <w:rsid w:val="00DC4F74"/>
    <w:rsid w:val="00DC5014"/>
    <w:rsid w:val="00DC5047"/>
    <w:rsid w:val="00DC5119"/>
    <w:rsid w:val="00DC5177"/>
    <w:rsid w:val="00DC51EE"/>
    <w:rsid w:val="00DC52CF"/>
    <w:rsid w:val="00DC5422"/>
    <w:rsid w:val="00DC5444"/>
    <w:rsid w:val="00DC5446"/>
    <w:rsid w:val="00DC54FA"/>
    <w:rsid w:val="00DC557C"/>
    <w:rsid w:val="00DC5729"/>
    <w:rsid w:val="00DC5A34"/>
    <w:rsid w:val="00DC5AE4"/>
    <w:rsid w:val="00DC5AE7"/>
    <w:rsid w:val="00DC5B1A"/>
    <w:rsid w:val="00DC5B92"/>
    <w:rsid w:val="00DC5B99"/>
    <w:rsid w:val="00DC5BF4"/>
    <w:rsid w:val="00DC5CA1"/>
    <w:rsid w:val="00DC5CFF"/>
    <w:rsid w:val="00DC5F5B"/>
    <w:rsid w:val="00DC5F73"/>
    <w:rsid w:val="00DC6006"/>
    <w:rsid w:val="00DC610B"/>
    <w:rsid w:val="00DC6436"/>
    <w:rsid w:val="00DC6460"/>
    <w:rsid w:val="00DC64EE"/>
    <w:rsid w:val="00DC65D8"/>
    <w:rsid w:val="00DC6700"/>
    <w:rsid w:val="00DC670E"/>
    <w:rsid w:val="00DC6921"/>
    <w:rsid w:val="00DC69DD"/>
    <w:rsid w:val="00DC6ADF"/>
    <w:rsid w:val="00DC6B32"/>
    <w:rsid w:val="00DC6DAA"/>
    <w:rsid w:val="00DC6E87"/>
    <w:rsid w:val="00DC7053"/>
    <w:rsid w:val="00DC705B"/>
    <w:rsid w:val="00DC7159"/>
    <w:rsid w:val="00DC72C4"/>
    <w:rsid w:val="00DC77EF"/>
    <w:rsid w:val="00DC7829"/>
    <w:rsid w:val="00DC790E"/>
    <w:rsid w:val="00DC7BDB"/>
    <w:rsid w:val="00DC7CA7"/>
    <w:rsid w:val="00DC7D90"/>
    <w:rsid w:val="00DC7EA9"/>
    <w:rsid w:val="00DC7EE9"/>
    <w:rsid w:val="00DD0182"/>
    <w:rsid w:val="00DD01CA"/>
    <w:rsid w:val="00DD0268"/>
    <w:rsid w:val="00DD0310"/>
    <w:rsid w:val="00DD03C6"/>
    <w:rsid w:val="00DD04F3"/>
    <w:rsid w:val="00DD0537"/>
    <w:rsid w:val="00DD064B"/>
    <w:rsid w:val="00DD0664"/>
    <w:rsid w:val="00DD0740"/>
    <w:rsid w:val="00DD084F"/>
    <w:rsid w:val="00DD0A83"/>
    <w:rsid w:val="00DD0CE6"/>
    <w:rsid w:val="00DD0E1D"/>
    <w:rsid w:val="00DD0E94"/>
    <w:rsid w:val="00DD0EDB"/>
    <w:rsid w:val="00DD10F1"/>
    <w:rsid w:val="00DD11A7"/>
    <w:rsid w:val="00DD1241"/>
    <w:rsid w:val="00DD1377"/>
    <w:rsid w:val="00DD139D"/>
    <w:rsid w:val="00DD13F1"/>
    <w:rsid w:val="00DD14BA"/>
    <w:rsid w:val="00DD1508"/>
    <w:rsid w:val="00DD164C"/>
    <w:rsid w:val="00DD1651"/>
    <w:rsid w:val="00DD16A1"/>
    <w:rsid w:val="00DD174D"/>
    <w:rsid w:val="00DD18B5"/>
    <w:rsid w:val="00DD1ACF"/>
    <w:rsid w:val="00DD1C21"/>
    <w:rsid w:val="00DD1C52"/>
    <w:rsid w:val="00DD1C87"/>
    <w:rsid w:val="00DD1ED3"/>
    <w:rsid w:val="00DD1F81"/>
    <w:rsid w:val="00DD2047"/>
    <w:rsid w:val="00DD210B"/>
    <w:rsid w:val="00DD22AC"/>
    <w:rsid w:val="00DD2305"/>
    <w:rsid w:val="00DD23A5"/>
    <w:rsid w:val="00DD249F"/>
    <w:rsid w:val="00DD250F"/>
    <w:rsid w:val="00DD2530"/>
    <w:rsid w:val="00DD2594"/>
    <w:rsid w:val="00DD25AB"/>
    <w:rsid w:val="00DD25FB"/>
    <w:rsid w:val="00DD27B8"/>
    <w:rsid w:val="00DD27D8"/>
    <w:rsid w:val="00DD286B"/>
    <w:rsid w:val="00DD2879"/>
    <w:rsid w:val="00DD2891"/>
    <w:rsid w:val="00DD2A17"/>
    <w:rsid w:val="00DD2B04"/>
    <w:rsid w:val="00DD2C9F"/>
    <w:rsid w:val="00DD2CDA"/>
    <w:rsid w:val="00DD2CF8"/>
    <w:rsid w:val="00DD2EB6"/>
    <w:rsid w:val="00DD306A"/>
    <w:rsid w:val="00DD346D"/>
    <w:rsid w:val="00DD3581"/>
    <w:rsid w:val="00DD3728"/>
    <w:rsid w:val="00DD3795"/>
    <w:rsid w:val="00DD3867"/>
    <w:rsid w:val="00DD389D"/>
    <w:rsid w:val="00DD38EC"/>
    <w:rsid w:val="00DD398C"/>
    <w:rsid w:val="00DD39D6"/>
    <w:rsid w:val="00DD3A3F"/>
    <w:rsid w:val="00DD3CA5"/>
    <w:rsid w:val="00DD3CE4"/>
    <w:rsid w:val="00DD3DCD"/>
    <w:rsid w:val="00DD3E41"/>
    <w:rsid w:val="00DD3EC8"/>
    <w:rsid w:val="00DD3EEA"/>
    <w:rsid w:val="00DD3F5F"/>
    <w:rsid w:val="00DD4069"/>
    <w:rsid w:val="00DD4209"/>
    <w:rsid w:val="00DD44CE"/>
    <w:rsid w:val="00DD454F"/>
    <w:rsid w:val="00DD47B2"/>
    <w:rsid w:val="00DD480C"/>
    <w:rsid w:val="00DD4838"/>
    <w:rsid w:val="00DD4904"/>
    <w:rsid w:val="00DD491A"/>
    <w:rsid w:val="00DD4934"/>
    <w:rsid w:val="00DD4A2A"/>
    <w:rsid w:val="00DD4A9C"/>
    <w:rsid w:val="00DD4B18"/>
    <w:rsid w:val="00DD4B73"/>
    <w:rsid w:val="00DD4BA1"/>
    <w:rsid w:val="00DD4BF2"/>
    <w:rsid w:val="00DD4E10"/>
    <w:rsid w:val="00DD4E6B"/>
    <w:rsid w:val="00DD4F6A"/>
    <w:rsid w:val="00DD4F8B"/>
    <w:rsid w:val="00DD4FA9"/>
    <w:rsid w:val="00DD4FDB"/>
    <w:rsid w:val="00DD5028"/>
    <w:rsid w:val="00DD52C1"/>
    <w:rsid w:val="00DD5344"/>
    <w:rsid w:val="00DD53DF"/>
    <w:rsid w:val="00DD5404"/>
    <w:rsid w:val="00DD5617"/>
    <w:rsid w:val="00DD5658"/>
    <w:rsid w:val="00DD5719"/>
    <w:rsid w:val="00DD5743"/>
    <w:rsid w:val="00DD57C3"/>
    <w:rsid w:val="00DD5937"/>
    <w:rsid w:val="00DD5B93"/>
    <w:rsid w:val="00DD5D10"/>
    <w:rsid w:val="00DD5DD5"/>
    <w:rsid w:val="00DD5E54"/>
    <w:rsid w:val="00DD5E61"/>
    <w:rsid w:val="00DD5EAF"/>
    <w:rsid w:val="00DD5F59"/>
    <w:rsid w:val="00DD5FEC"/>
    <w:rsid w:val="00DD6076"/>
    <w:rsid w:val="00DD608C"/>
    <w:rsid w:val="00DD622F"/>
    <w:rsid w:val="00DD65AD"/>
    <w:rsid w:val="00DD66BE"/>
    <w:rsid w:val="00DD66E6"/>
    <w:rsid w:val="00DD690F"/>
    <w:rsid w:val="00DD699F"/>
    <w:rsid w:val="00DD6E62"/>
    <w:rsid w:val="00DD6FD3"/>
    <w:rsid w:val="00DD7017"/>
    <w:rsid w:val="00DD7053"/>
    <w:rsid w:val="00DD7104"/>
    <w:rsid w:val="00DD711D"/>
    <w:rsid w:val="00DD72C2"/>
    <w:rsid w:val="00DD733E"/>
    <w:rsid w:val="00DD736F"/>
    <w:rsid w:val="00DD7A1D"/>
    <w:rsid w:val="00DD7AED"/>
    <w:rsid w:val="00DD7BA6"/>
    <w:rsid w:val="00DD7BC1"/>
    <w:rsid w:val="00DD7DA7"/>
    <w:rsid w:val="00DD7FC8"/>
    <w:rsid w:val="00DDD2F2"/>
    <w:rsid w:val="00DE0096"/>
    <w:rsid w:val="00DE02FF"/>
    <w:rsid w:val="00DE0336"/>
    <w:rsid w:val="00DE05AB"/>
    <w:rsid w:val="00DE05D7"/>
    <w:rsid w:val="00DE0606"/>
    <w:rsid w:val="00DE07BA"/>
    <w:rsid w:val="00DE0A41"/>
    <w:rsid w:val="00DE0D30"/>
    <w:rsid w:val="00DE0EA9"/>
    <w:rsid w:val="00DE0EC5"/>
    <w:rsid w:val="00DE0ECD"/>
    <w:rsid w:val="00DE0ED0"/>
    <w:rsid w:val="00DE12F5"/>
    <w:rsid w:val="00DE1496"/>
    <w:rsid w:val="00DE14C6"/>
    <w:rsid w:val="00DE1544"/>
    <w:rsid w:val="00DE16F4"/>
    <w:rsid w:val="00DE1740"/>
    <w:rsid w:val="00DE1A70"/>
    <w:rsid w:val="00DE1B00"/>
    <w:rsid w:val="00DE1B03"/>
    <w:rsid w:val="00DE1C2F"/>
    <w:rsid w:val="00DE1D0D"/>
    <w:rsid w:val="00DE1F46"/>
    <w:rsid w:val="00DE2025"/>
    <w:rsid w:val="00DE2163"/>
    <w:rsid w:val="00DE230F"/>
    <w:rsid w:val="00DE23DB"/>
    <w:rsid w:val="00DE246B"/>
    <w:rsid w:val="00DE2863"/>
    <w:rsid w:val="00DE2914"/>
    <w:rsid w:val="00DE2A07"/>
    <w:rsid w:val="00DE2B2C"/>
    <w:rsid w:val="00DE2DC1"/>
    <w:rsid w:val="00DE2DD5"/>
    <w:rsid w:val="00DE2DED"/>
    <w:rsid w:val="00DE2E34"/>
    <w:rsid w:val="00DE2EA7"/>
    <w:rsid w:val="00DE33BC"/>
    <w:rsid w:val="00DE33FE"/>
    <w:rsid w:val="00DE3471"/>
    <w:rsid w:val="00DE3540"/>
    <w:rsid w:val="00DE3621"/>
    <w:rsid w:val="00DE3711"/>
    <w:rsid w:val="00DE399F"/>
    <w:rsid w:val="00DE39A9"/>
    <w:rsid w:val="00DE3A9E"/>
    <w:rsid w:val="00DE3ADC"/>
    <w:rsid w:val="00DE3B5D"/>
    <w:rsid w:val="00DE3C27"/>
    <w:rsid w:val="00DE3C65"/>
    <w:rsid w:val="00DE3E47"/>
    <w:rsid w:val="00DE3EED"/>
    <w:rsid w:val="00DE3F87"/>
    <w:rsid w:val="00DE4171"/>
    <w:rsid w:val="00DE4179"/>
    <w:rsid w:val="00DE421E"/>
    <w:rsid w:val="00DE43C0"/>
    <w:rsid w:val="00DE4422"/>
    <w:rsid w:val="00DE44B1"/>
    <w:rsid w:val="00DE4525"/>
    <w:rsid w:val="00DE452D"/>
    <w:rsid w:val="00DE4543"/>
    <w:rsid w:val="00DE468C"/>
    <w:rsid w:val="00DE472A"/>
    <w:rsid w:val="00DE478F"/>
    <w:rsid w:val="00DE4819"/>
    <w:rsid w:val="00DE4916"/>
    <w:rsid w:val="00DE4B76"/>
    <w:rsid w:val="00DE4BB2"/>
    <w:rsid w:val="00DE4D6D"/>
    <w:rsid w:val="00DE4D99"/>
    <w:rsid w:val="00DE4DC2"/>
    <w:rsid w:val="00DE4F50"/>
    <w:rsid w:val="00DE5104"/>
    <w:rsid w:val="00DE513B"/>
    <w:rsid w:val="00DE5424"/>
    <w:rsid w:val="00DE542E"/>
    <w:rsid w:val="00DE5443"/>
    <w:rsid w:val="00DE5538"/>
    <w:rsid w:val="00DE5589"/>
    <w:rsid w:val="00DE56BE"/>
    <w:rsid w:val="00DE5790"/>
    <w:rsid w:val="00DE593C"/>
    <w:rsid w:val="00DE5A4C"/>
    <w:rsid w:val="00DE5AD3"/>
    <w:rsid w:val="00DE5CF4"/>
    <w:rsid w:val="00DE5D91"/>
    <w:rsid w:val="00DE5DB0"/>
    <w:rsid w:val="00DE5E58"/>
    <w:rsid w:val="00DE5E72"/>
    <w:rsid w:val="00DE5EBC"/>
    <w:rsid w:val="00DE5F32"/>
    <w:rsid w:val="00DE6030"/>
    <w:rsid w:val="00DE604C"/>
    <w:rsid w:val="00DE61BA"/>
    <w:rsid w:val="00DE631F"/>
    <w:rsid w:val="00DE632C"/>
    <w:rsid w:val="00DE6470"/>
    <w:rsid w:val="00DE66A4"/>
    <w:rsid w:val="00DE6716"/>
    <w:rsid w:val="00DE673C"/>
    <w:rsid w:val="00DE67C9"/>
    <w:rsid w:val="00DE68C8"/>
    <w:rsid w:val="00DE6913"/>
    <w:rsid w:val="00DE6964"/>
    <w:rsid w:val="00DE6B97"/>
    <w:rsid w:val="00DE6F49"/>
    <w:rsid w:val="00DE6FF5"/>
    <w:rsid w:val="00DE751A"/>
    <w:rsid w:val="00DE7709"/>
    <w:rsid w:val="00DE77CE"/>
    <w:rsid w:val="00DE7978"/>
    <w:rsid w:val="00DE7B18"/>
    <w:rsid w:val="00DE7C31"/>
    <w:rsid w:val="00DE7CFB"/>
    <w:rsid w:val="00DE7DDA"/>
    <w:rsid w:val="00DE7F9A"/>
    <w:rsid w:val="00DF015C"/>
    <w:rsid w:val="00DF0598"/>
    <w:rsid w:val="00DF05D1"/>
    <w:rsid w:val="00DF065C"/>
    <w:rsid w:val="00DF06BE"/>
    <w:rsid w:val="00DF07C2"/>
    <w:rsid w:val="00DF08CC"/>
    <w:rsid w:val="00DF0AA0"/>
    <w:rsid w:val="00DF0AD1"/>
    <w:rsid w:val="00DF0BCA"/>
    <w:rsid w:val="00DF0C82"/>
    <w:rsid w:val="00DF0CAC"/>
    <w:rsid w:val="00DF0CC9"/>
    <w:rsid w:val="00DF0D7C"/>
    <w:rsid w:val="00DF0E82"/>
    <w:rsid w:val="00DF0FA3"/>
    <w:rsid w:val="00DF10A0"/>
    <w:rsid w:val="00DF10E9"/>
    <w:rsid w:val="00DF110E"/>
    <w:rsid w:val="00DF123A"/>
    <w:rsid w:val="00DF129B"/>
    <w:rsid w:val="00DF1312"/>
    <w:rsid w:val="00DF1333"/>
    <w:rsid w:val="00DF160C"/>
    <w:rsid w:val="00DF163E"/>
    <w:rsid w:val="00DF16A5"/>
    <w:rsid w:val="00DF17E4"/>
    <w:rsid w:val="00DF1AC2"/>
    <w:rsid w:val="00DF1B4C"/>
    <w:rsid w:val="00DF1CBE"/>
    <w:rsid w:val="00DF1CC0"/>
    <w:rsid w:val="00DF1D52"/>
    <w:rsid w:val="00DF1ED8"/>
    <w:rsid w:val="00DF1F17"/>
    <w:rsid w:val="00DF1FE1"/>
    <w:rsid w:val="00DF200C"/>
    <w:rsid w:val="00DF20C4"/>
    <w:rsid w:val="00DF21B6"/>
    <w:rsid w:val="00DF21D5"/>
    <w:rsid w:val="00DF2205"/>
    <w:rsid w:val="00DF229D"/>
    <w:rsid w:val="00DF22EE"/>
    <w:rsid w:val="00DF2399"/>
    <w:rsid w:val="00DF24E7"/>
    <w:rsid w:val="00DF264C"/>
    <w:rsid w:val="00DF271C"/>
    <w:rsid w:val="00DF280F"/>
    <w:rsid w:val="00DF28BE"/>
    <w:rsid w:val="00DF290B"/>
    <w:rsid w:val="00DF298F"/>
    <w:rsid w:val="00DF2B8B"/>
    <w:rsid w:val="00DF2C4C"/>
    <w:rsid w:val="00DF2C9E"/>
    <w:rsid w:val="00DF2D5B"/>
    <w:rsid w:val="00DF2DD8"/>
    <w:rsid w:val="00DF2DF4"/>
    <w:rsid w:val="00DF2E2B"/>
    <w:rsid w:val="00DF2E68"/>
    <w:rsid w:val="00DF2ECE"/>
    <w:rsid w:val="00DF2EE3"/>
    <w:rsid w:val="00DF2F21"/>
    <w:rsid w:val="00DF2F59"/>
    <w:rsid w:val="00DF3013"/>
    <w:rsid w:val="00DF30CC"/>
    <w:rsid w:val="00DF3341"/>
    <w:rsid w:val="00DF33F3"/>
    <w:rsid w:val="00DF33F7"/>
    <w:rsid w:val="00DF34A6"/>
    <w:rsid w:val="00DF35AF"/>
    <w:rsid w:val="00DF35EA"/>
    <w:rsid w:val="00DF3614"/>
    <w:rsid w:val="00DF36B5"/>
    <w:rsid w:val="00DF3786"/>
    <w:rsid w:val="00DF37FA"/>
    <w:rsid w:val="00DF392C"/>
    <w:rsid w:val="00DF3CAC"/>
    <w:rsid w:val="00DF3FE1"/>
    <w:rsid w:val="00DF4021"/>
    <w:rsid w:val="00DF416B"/>
    <w:rsid w:val="00DF4176"/>
    <w:rsid w:val="00DF4198"/>
    <w:rsid w:val="00DF41EA"/>
    <w:rsid w:val="00DF4382"/>
    <w:rsid w:val="00DF45F3"/>
    <w:rsid w:val="00DF49E4"/>
    <w:rsid w:val="00DF4B13"/>
    <w:rsid w:val="00DF4B88"/>
    <w:rsid w:val="00DF4BF3"/>
    <w:rsid w:val="00DF4C4D"/>
    <w:rsid w:val="00DF4D88"/>
    <w:rsid w:val="00DF4DBE"/>
    <w:rsid w:val="00DF4E9F"/>
    <w:rsid w:val="00DF50AD"/>
    <w:rsid w:val="00DF51EE"/>
    <w:rsid w:val="00DF563D"/>
    <w:rsid w:val="00DF578F"/>
    <w:rsid w:val="00DF5943"/>
    <w:rsid w:val="00DF5B3F"/>
    <w:rsid w:val="00DF5C95"/>
    <w:rsid w:val="00DF5F3E"/>
    <w:rsid w:val="00DF6167"/>
    <w:rsid w:val="00DF62CD"/>
    <w:rsid w:val="00DF6362"/>
    <w:rsid w:val="00DF6453"/>
    <w:rsid w:val="00DF65CB"/>
    <w:rsid w:val="00DF67BB"/>
    <w:rsid w:val="00DF6812"/>
    <w:rsid w:val="00DF686D"/>
    <w:rsid w:val="00DF68A0"/>
    <w:rsid w:val="00DF6AA1"/>
    <w:rsid w:val="00DF6BC4"/>
    <w:rsid w:val="00DF6C3D"/>
    <w:rsid w:val="00DF6C60"/>
    <w:rsid w:val="00DF6EDC"/>
    <w:rsid w:val="00DF6F00"/>
    <w:rsid w:val="00DF7116"/>
    <w:rsid w:val="00DF7389"/>
    <w:rsid w:val="00DF74A0"/>
    <w:rsid w:val="00DF74EE"/>
    <w:rsid w:val="00DF76E9"/>
    <w:rsid w:val="00DF779C"/>
    <w:rsid w:val="00DF77DD"/>
    <w:rsid w:val="00DF7970"/>
    <w:rsid w:val="00DF7A4E"/>
    <w:rsid w:val="00DF7A6B"/>
    <w:rsid w:val="00DF7B3F"/>
    <w:rsid w:val="00DF7B91"/>
    <w:rsid w:val="00DF7BAC"/>
    <w:rsid w:val="00DF7C5E"/>
    <w:rsid w:val="00DF7C9C"/>
    <w:rsid w:val="00DF7CEA"/>
    <w:rsid w:val="00DF7E2B"/>
    <w:rsid w:val="00DF7EB1"/>
    <w:rsid w:val="00E00010"/>
    <w:rsid w:val="00E000B6"/>
    <w:rsid w:val="00E000F6"/>
    <w:rsid w:val="00E00248"/>
    <w:rsid w:val="00E00251"/>
    <w:rsid w:val="00E0027D"/>
    <w:rsid w:val="00E00293"/>
    <w:rsid w:val="00E002C0"/>
    <w:rsid w:val="00E002C9"/>
    <w:rsid w:val="00E003E4"/>
    <w:rsid w:val="00E0059E"/>
    <w:rsid w:val="00E005EC"/>
    <w:rsid w:val="00E006A1"/>
    <w:rsid w:val="00E008B6"/>
    <w:rsid w:val="00E00A6B"/>
    <w:rsid w:val="00E00ADC"/>
    <w:rsid w:val="00E00BAC"/>
    <w:rsid w:val="00E00BED"/>
    <w:rsid w:val="00E00C42"/>
    <w:rsid w:val="00E00CEE"/>
    <w:rsid w:val="00E00D12"/>
    <w:rsid w:val="00E00DA1"/>
    <w:rsid w:val="00E00DB5"/>
    <w:rsid w:val="00E00DC7"/>
    <w:rsid w:val="00E00DF8"/>
    <w:rsid w:val="00E00E2C"/>
    <w:rsid w:val="00E011E3"/>
    <w:rsid w:val="00E01377"/>
    <w:rsid w:val="00E01572"/>
    <w:rsid w:val="00E0165A"/>
    <w:rsid w:val="00E0183C"/>
    <w:rsid w:val="00E01AC8"/>
    <w:rsid w:val="00E01B88"/>
    <w:rsid w:val="00E01C9E"/>
    <w:rsid w:val="00E01CF7"/>
    <w:rsid w:val="00E01E0D"/>
    <w:rsid w:val="00E024E7"/>
    <w:rsid w:val="00E026FE"/>
    <w:rsid w:val="00E0270A"/>
    <w:rsid w:val="00E02791"/>
    <w:rsid w:val="00E027EB"/>
    <w:rsid w:val="00E027F7"/>
    <w:rsid w:val="00E0294B"/>
    <w:rsid w:val="00E02995"/>
    <w:rsid w:val="00E02A0A"/>
    <w:rsid w:val="00E02ABA"/>
    <w:rsid w:val="00E02B2D"/>
    <w:rsid w:val="00E02BC0"/>
    <w:rsid w:val="00E02E72"/>
    <w:rsid w:val="00E02F04"/>
    <w:rsid w:val="00E02F12"/>
    <w:rsid w:val="00E02F51"/>
    <w:rsid w:val="00E02F94"/>
    <w:rsid w:val="00E02FC5"/>
    <w:rsid w:val="00E03068"/>
    <w:rsid w:val="00E03364"/>
    <w:rsid w:val="00E0344D"/>
    <w:rsid w:val="00E03479"/>
    <w:rsid w:val="00E0370E"/>
    <w:rsid w:val="00E037D4"/>
    <w:rsid w:val="00E03841"/>
    <w:rsid w:val="00E03884"/>
    <w:rsid w:val="00E03A37"/>
    <w:rsid w:val="00E03AC6"/>
    <w:rsid w:val="00E03AD9"/>
    <w:rsid w:val="00E03BE4"/>
    <w:rsid w:val="00E03F50"/>
    <w:rsid w:val="00E03F6A"/>
    <w:rsid w:val="00E0404A"/>
    <w:rsid w:val="00E04149"/>
    <w:rsid w:val="00E04297"/>
    <w:rsid w:val="00E042D7"/>
    <w:rsid w:val="00E04315"/>
    <w:rsid w:val="00E0433E"/>
    <w:rsid w:val="00E044AA"/>
    <w:rsid w:val="00E046A9"/>
    <w:rsid w:val="00E0480D"/>
    <w:rsid w:val="00E04B01"/>
    <w:rsid w:val="00E04B1D"/>
    <w:rsid w:val="00E04CCF"/>
    <w:rsid w:val="00E04DB0"/>
    <w:rsid w:val="00E04E6D"/>
    <w:rsid w:val="00E04F29"/>
    <w:rsid w:val="00E05003"/>
    <w:rsid w:val="00E053A5"/>
    <w:rsid w:val="00E05537"/>
    <w:rsid w:val="00E0553B"/>
    <w:rsid w:val="00E05551"/>
    <w:rsid w:val="00E05559"/>
    <w:rsid w:val="00E0558B"/>
    <w:rsid w:val="00E05686"/>
    <w:rsid w:val="00E05750"/>
    <w:rsid w:val="00E0577F"/>
    <w:rsid w:val="00E05CE4"/>
    <w:rsid w:val="00E05DB6"/>
    <w:rsid w:val="00E05E4A"/>
    <w:rsid w:val="00E05F93"/>
    <w:rsid w:val="00E05FC3"/>
    <w:rsid w:val="00E05FFA"/>
    <w:rsid w:val="00E0604B"/>
    <w:rsid w:val="00E061BF"/>
    <w:rsid w:val="00E061F6"/>
    <w:rsid w:val="00E063F3"/>
    <w:rsid w:val="00E064F1"/>
    <w:rsid w:val="00E06567"/>
    <w:rsid w:val="00E06607"/>
    <w:rsid w:val="00E06659"/>
    <w:rsid w:val="00E0666B"/>
    <w:rsid w:val="00E0670C"/>
    <w:rsid w:val="00E06AA3"/>
    <w:rsid w:val="00E06BDA"/>
    <w:rsid w:val="00E06CB6"/>
    <w:rsid w:val="00E06CF4"/>
    <w:rsid w:val="00E06E05"/>
    <w:rsid w:val="00E06FF6"/>
    <w:rsid w:val="00E07207"/>
    <w:rsid w:val="00E072C8"/>
    <w:rsid w:val="00E0752F"/>
    <w:rsid w:val="00E07593"/>
    <w:rsid w:val="00E07853"/>
    <w:rsid w:val="00E07884"/>
    <w:rsid w:val="00E078AF"/>
    <w:rsid w:val="00E07A1C"/>
    <w:rsid w:val="00E07AB1"/>
    <w:rsid w:val="00E07AE1"/>
    <w:rsid w:val="00E07BD7"/>
    <w:rsid w:val="00E07C01"/>
    <w:rsid w:val="00E07C3A"/>
    <w:rsid w:val="00E07C4E"/>
    <w:rsid w:val="00E07C61"/>
    <w:rsid w:val="00E07CF4"/>
    <w:rsid w:val="00E07E2A"/>
    <w:rsid w:val="00E10014"/>
    <w:rsid w:val="00E1004D"/>
    <w:rsid w:val="00E100AA"/>
    <w:rsid w:val="00E102B8"/>
    <w:rsid w:val="00E102E2"/>
    <w:rsid w:val="00E1034F"/>
    <w:rsid w:val="00E103C6"/>
    <w:rsid w:val="00E103F9"/>
    <w:rsid w:val="00E10414"/>
    <w:rsid w:val="00E105A5"/>
    <w:rsid w:val="00E10765"/>
    <w:rsid w:val="00E10A00"/>
    <w:rsid w:val="00E10B12"/>
    <w:rsid w:val="00E10B1C"/>
    <w:rsid w:val="00E10C49"/>
    <w:rsid w:val="00E10C9D"/>
    <w:rsid w:val="00E10E3B"/>
    <w:rsid w:val="00E10E82"/>
    <w:rsid w:val="00E10ECF"/>
    <w:rsid w:val="00E10FD1"/>
    <w:rsid w:val="00E11030"/>
    <w:rsid w:val="00E110D6"/>
    <w:rsid w:val="00E1122E"/>
    <w:rsid w:val="00E11366"/>
    <w:rsid w:val="00E113FE"/>
    <w:rsid w:val="00E1150D"/>
    <w:rsid w:val="00E1168C"/>
    <w:rsid w:val="00E118A3"/>
    <w:rsid w:val="00E11AFD"/>
    <w:rsid w:val="00E11BBE"/>
    <w:rsid w:val="00E11D07"/>
    <w:rsid w:val="00E11D6E"/>
    <w:rsid w:val="00E11D84"/>
    <w:rsid w:val="00E11E54"/>
    <w:rsid w:val="00E11F5F"/>
    <w:rsid w:val="00E1216F"/>
    <w:rsid w:val="00E12253"/>
    <w:rsid w:val="00E122B1"/>
    <w:rsid w:val="00E125C1"/>
    <w:rsid w:val="00E12646"/>
    <w:rsid w:val="00E1286F"/>
    <w:rsid w:val="00E128F7"/>
    <w:rsid w:val="00E12954"/>
    <w:rsid w:val="00E12A28"/>
    <w:rsid w:val="00E12BDB"/>
    <w:rsid w:val="00E12BE4"/>
    <w:rsid w:val="00E12BF9"/>
    <w:rsid w:val="00E12BFD"/>
    <w:rsid w:val="00E12CC3"/>
    <w:rsid w:val="00E12D37"/>
    <w:rsid w:val="00E12D7E"/>
    <w:rsid w:val="00E12E27"/>
    <w:rsid w:val="00E12F58"/>
    <w:rsid w:val="00E13035"/>
    <w:rsid w:val="00E1308A"/>
    <w:rsid w:val="00E130AA"/>
    <w:rsid w:val="00E130EE"/>
    <w:rsid w:val="00E13284"/>
    <w:rsid w:val="00E13337"/>
    <w:rsid w:val="00E13365"/>
    <w:rsid w:val="00E133A5"/>
    <w:rsid w:val="00E133BA"/>
    <w:rsid w:val="00E13426"/>
    <w:rsid w:val="00E13488"/>
    <w:rsid w:val="00E135FE"/>
    <w:rsid w:val="00E13615"/>
    <w:rsid w:val="00E13707"/>
    <w:rsid w:val="00E137A5"/>
    <w:rsid w:val="00E13803"/>
    <w:rsid w:val="00E13854"/>
    <w:rsid w:val="00E13856"/>
    <w:rsid w:val="00E13C31"/>
    <w:rsid w:val="00E13D95"/>
    <w:rsid w:val="00E13EAF"/>
    <w:rsid w:val="00E13ECC"/>
    <w:rsid w:val="00E13FEB"/>
    <w:rsid w:val="00E1410E"/>
    <w:rsid w:val="00E1418E"/>
    <w:rsid w:val="00E1457C"/>
    <w:rsid w:val="00E145A6"/>
    <w:rsid w:val="00E14659"/>
    <w:rsid w:val="00E146D8"/>
    <w:rsid w:val="00E1482A"/>
    <w:rsid w:val="00E14837"/>
    <w:rsid w:val="00E14A5E"/>
    <w:rsid w:val="00E14E2D"/>
    <w:rsid w:val="00E14E7B"/>
    <w:rsid w:val="00E14EE3"/>
    <w:rsid w:val="00E14F57"/>
    <w:rsid w:val="00E15095"/>
    <w:rsid w:val="00E151ED"/>
    <w:rsid w:val="00E151EE"/>
    <w:rsid w:val="00E1520F"/>
    <w:rsid w:val="00E15216"/>
    <w:rsid w:val="00E1529F"/>
    <w:rsid w:val="00E1537D"/>
    <w:rsid w:val="00E15411"/>
    <w:rsid w:val="00E1555F"/>
    <w:rsid w:val="00E15698"/>
    <w:rsid w:val="00E15825"/>
    <w:rsid w:val="00E15882"/>
    <w:rsid w:val="00E15884"/>
    <w:rsid w:val="00E158D9"/>
    <w:rsid w:val="00E15A4C"/>
    <w:rsid w:val="00E15B07"/>
    <w:rsid w:val="00E15B3A"/>
    <w:rsid w:val="00E15BCA"/>
    <w:rsid w:val="00E15DDE"/>
    <w:rsid w:val="00E1608D"/>
    <w:rsid w:val="00E160D7"/>
    <w:rsid w:val="00E160DD"/>
    <w:rsid w:val="00E160FB"/>
    <w:rsid w:val="00E16219"/>
    <w:rsid w:val="00E162AD"/>
    <w:rsid w:val="00E1632D"/>
    <w:rsid w:val="00E1640A"/>
    <w:rsid w:val="00E16451"/>
    <w:rsid w:val="00E165E5"/>
    <w:rsid w:val="00E167CB"/>
    <w:rsid w:val="00E16B8C"/>
    <w:rsid w:val="00E16D58"/>
    <w:rsid w:val="00E16F2F"/>
    <w:rsid w:val="00E16FAA"/>
    <w:rsid w:val="00E1720B"/>
    <w:rsid w:val="00E17235"/>
    <w:rsid w:val="00E17259"/>
    <w:rsid w:val="00E17400"/>
    <w:rsid w:val="00E1777E"/>
    <w:rsid w:val="00E177DD"/>
    <w:rsid w:val="00E1782A"/>
    <w:rsid w:val="00E17851"/>
    <w:rsid w:val="00E17A45"/>
    <w:rsid w:val="00E17ACF"/>
    <w:rsid w:val="00E17B33"/>
    <w:rsid w:val="00E17E62"/>
    <w:rsid w:val="00E17F89"/>
    <w:rsid w:val="00E20030"/>
    <w:rsid w:val="00E20107"/>
    <w:rsid w:val="00E20145"/>
    <w:rsid w:val="00E2025F"/>
    <w:rsid w:val="00E20270"/>
    <w:rsid w:val="00E202C1"/>
    <w:rsid w:val="00E2035A"/>
    <w:rsid w:val="00E2036E"/>
    <w:rsid w:val="00E20410"/>
    <w:rsid w:val="00E204C9"/>
    <w:rsid w:val="00E205F7"/>
    <w:rsid w:val="00E207F7"/>
    <w:rsid w:val="00E207FC"/>
    <w:rsid w:val="00E2095F"/>
    <w:rsid w:val="00E209CE"/>
    <w:rsid w:val="00E209D2"/>
    <w:rsid w:val="00E20BB9"/>
    <w:rsid w:val="00E20C64"/>
    <w:rsid w:val="00E20D02"/>
    <w:rsid w:val="00E20D46"/>
    <w:rsid w:val="00E20D7D"/>
    <w:rsid w:val="00E20DA0"/>
    <w:rsid w:val="00E20EC9"/>
    <w:rsid w:val="00E20F08"/>
    <w:rsid w:val="00E20F4C"/>
    <w:rsid w:val="00E20FB1"/>
    <w:rsid w:val="00E21038"/>
    <w:rsid w:val="00E2104C"/>
    <w:rsid w:val="00E210BB"/>
    <w:rsid w:val="00E21124"/>
    <w:rsid w:val="00E2115D"/>
    <w:rsid w:val="00E21260"/>
    <w:rsid w:val="00E21300"/>
    <w:rsid w:val="00E21319"/>
    <w:rsid w:val="00E213E2"/>
    <w:rsid w:val="00E214A3"/>
    <w:rsid w:val="00E215D4"/>
    <w:rsid w:val="00E2166F"/>
    <w:rsid w:val="00E216AD"/>
    <w:rsid w:val="00E2173E"/>
    <w:rsid w:val="00E217B5"/>
    <w:rsid w:val="00E21ACF"/>
    <w:rsid w:val="00E21C3D"/>
    <w:rsid w:val="00E21D95"/>
    <w:rsid w:val="00E21F48"/>
    <w:rsid w:val="00E2219A"/>
    <w:rsid w:val="00E221A1"/>
    <w:rsid w:val="00E22407"/>
    <w:rsid w:val="00E2247C"/>
    <w:rsid w:val="00E2252F"/>
    <w:rsid w:val="00E225BE"/>
    <w:rsid w:val="00E22934"/>
    <w:rsid w:val="00E229BE"/>
    <w:rsid w:val="00E22AB8"/>
    <w:rsid w:val="00E22F31"/>
    <w:rsid w:val="00E22F90"/>
    <w:rsid w:val="00E22F95"/>
    <w:rsid w:val="00E23234"/>
    <w:rsid w:val="00E2324E"/>
    <w:rsid w:val="00E232B5"/>
    <w:rsid w:val="00E23508"/>
    <w:rsid w:val="00E235B4"/>
    <w:rsid w:val="00E236AC"/>
    <w:rsid w:val="00E2370D"/>
    <w:rsid w:val="00E238CE"/>
    <w:rsid w:val="00E23A2A"/>
    <w:rsid w:val="00E23AB9"/>
    <w:rsid w:val="00E23AD4"/>
    <w:rsid w:val="00E23B91"/>
    <w:rsid w:val="00E23D69"/>
    <w:rsid w:val="00E24076"/>
    <w:rsid w:val="00E2424D"/>
    <w:rsid w:val="00E24290"/>
    <w:rsid w:val="00E2437D"/>
    <w:rsid w:val="00E243AF"/>
    <w:rsid w:val="00E24495"/>
    <w:rsid w:val="00E2451E"/>
    <w:rsid w:val="00E24531"/>
    <w:rsid w:val="00E24657"/>
    <w:rsid w:val="00E2467D"/>
    <w:rsid w:val="00E249EF"/>
    <w:rsid w:val="00E24A23"/>
    <w:rsid w:val="00E24A41"/>
    <w:rsid w:val="00E24B3E"/>
    <w:rsid w:val="00E24B8F"/>
    <w:rsid w:val="00E24C9D"/>
    <w:rsid w:val="00E24CE2"/>
    <w:rsid w:val="00E24D4C"/>
    <w:rsid w:val="00E24EEB"/>
    <w:rsid w:val="00E24FEA"/>
    <w:rsid w:val="00E25048"/>
    <w:rsid w:val="00E253B6"/>
    <w:rsid w:val="00E253C2"/>
    <w:rsid w:val="00E25444"/>
    <w:rsid w:val="00E25486"/>
    <w:rsid w:val="00E25553"/>
    <w:rsid w:val="00E257AB"/>
    <w:rsid w:val="00E25824"/>
    <w:rsid w:val="00E2583D"/>
    <w:rsid w:val="00E2589F"/>
    <w:rsid w:val="00E25923"/>
    <w:rsid w:val="00E25AB7"/>
    <w:rsid w:val="00E25C1D"/>
    <w:rsid w:val="00E25C94"/>
    <w:rsid w:val="00E25ED0"/>
    <w:rsid w:val="00E261F2"/>
    <w:rsid w:val="00E2622D"/>
    <w:rsid w:val="00E262D2"/>
    <w:rsid w:val="00E26685"/>
    <w:rsid w:val="00E266F7"/>
    <w:rsid w:val="00E268EC"/>
    <w:rsid w:val="00E2691B"/>
    <w:rsid w:val="00E26967"/>
    <w:rsid w:val="00E26B53"/>
    <w:rsid w:val="00E26C99"/>
    <w:rsid w:val="00E26DD4"/>
    <w:rsid w:val="00E26E00"/>
    <w:rsid w:val="00E26E5B"/>
    <w:rsid w:val="00E2704D"/>
    <w:rsid w:val="00E270FF"/>
    <w:rsid w:val="00E2719A"/>
    <w:rsid w:val="00E271C3"/>
    <w:rsid w:val="00E2720C"/>
    <w:rsid w:val="00E2725F"/>
    <w:rsid w:val="00E2735F"/>
    <w:rsid w:val="00E273E8"/>
    <w:rsid w:val="00E27594"/>
    <w:rsid w:val="00E275A1"/>
    <w:rsid w:val="00E275A3"/>
    <w:rsid w:val="00E27675"/>
    <w:rsid w:val="00E27818"/>
    <w:rsid w:val="00E2794D"/>
    <w:rsid w:val="00E27A2A"/>
    <w:rsid w:val="00E27BA3"/>
    <w:rsid w:val="00E27C59"/>
    <w:rsid w:val="00E27CC4"/>
    <w:rsid w:val="00E27D12"/>
    <w:rsid w:val="00E27EC9"/>
    <w:rsid w:val="00E27F36"/>
    <w:rsid w:val="00E30096"/>
    <w:rsid w:val="00E3011E"/>
    <w:rsid w:val="00E30138"/>
    <w:rsid w:val="00E302B2"/>
    <w:rsid w:val="00E302E3"/>
    <w:rsid w:val="00E3049A"/>
    <w:rsid w:val="00E305CB"/>
    <w:rsid w:val="00E306D1"/>
    <w:rsid w:val="00E3092B"/>
    <w:rsid w:val="00E30A52"/>
    <w:rsid w:val="00E30BAF"/>
    <w:rsid w:val="00E30CB5"/>
    <w:rsid w:val="00E30D65"/>
    <w:rsid w:val="00E30DAC"/>
    <w:rsid w:val="00E30DEE"/>
    <w:rsid w:val="00E30E61"/>
    <w:rsid w:val="00E30F40"/>
    <w:rsid w:val="00E30FBA"/>
    <w:rsid w:val="00E31275"/>
    <w:rsid w:val="00E3128C"/>
    <w:rsid w:val="00E312BE"/>
    <w:rsid w:val="00E31769"/>
    <w:rsid w:val="00E319E3"/>
    <w:rsid w:val="00E31A4C"/>
    <w:rsid w:val="00E31B5D"/>
    <w:rsid w:val="00E31C0B"/>
    <w:rsid w:val="00E31C68"/>
    <w:rsid w:val="00E31C7B"/>
    <w:rsid w:val="00E32059"/>
    <w:rsid w:val="00E3207D"/>
    <w:rsid w:val="00E320C5"/>
    <w:rsid w:val="00E32113"/>
    <w:rsid w:val="00E32432"/>
    <w:rsid w:val="00E325C2"/>
    <w:rsid w:val="00E32601"/>
    <w:rsid w:val="00E3273C"/>
    <w:rsid w:val="00E3286E"/>
    <w:rsid w:val="00E32A2E"/>
    <w:rsid w:val="00E32C0C"/>
    <w:rsid w:val="00E32C65"/>
    <w:rsid w:val="00E32D55"/>
    <w:rsid w:val="00E32E24"/>
    <w:rsid w:val="00E32E6A"/>
    <w:rsid w:val="00E32F02"/>
    <w:rsid w:val="00E330AE"/>
    <w:rsid w:val="00E33128"/>
    <w:rsid w:val="00E3330F"/>
    <w:rsid w:val="00E3337E"/>
    <w:rsid w:val="00E33486"/>
    <w:rsid w:val="00E334C4"/>
    <w:rsid w:val="00E334E7"/>
    <w:rsid w:val="00E3362B"/>
    <w:rsid w:val="00E33650"/>
    <w:rsid w:val="00E337FE"/>
    <w:rsid w:val="00E33810"/>
    <w:rsid w:val="00E339AA"/>
    <w:rsid w:val="00E33B26"/>
    <w:rsid w:val="00E33B2C"/>
    <w:rsid w:val="00E33B95"/>
    <w:rsid w:val="00E33BF7"/>
    <w:rsid w:val="00E33D9A"/>
    <w:rsid w:val="00E33E4A"/>
    <w:rsid w:val="00E33EA3"/>
    <w:rsid w:val="00E33F42"/>
    <w:rsid w:val="00E34103"/>
    <w:rsid w:val="00E34144"/>
    <w:rsid w:val="00E341A9"/>
    <w:rsid w:val="00E34354"/>
    <w:rsid w:val="00E344CA"/>
    <w:rsid w:val="00E34822"/>
    <w:rsid w:val="00E34929"/>
    <w:rsid w:val="00E3496A"/>
    <w:rsid w:val="00E34A15"/>
    <w:rsid w:val="00E34A1E"/>
    <w:rsid w:val="00E34A3D"/>
    <w:rsid w:val="00E34A53"/>
    <w:rsid w:val="00E34A85"/>
    <w:rsid w:val="00E34B3A"/>
    <w:rsid w:val="00E34CED"/>
    <w:rsid w:val="00E34F07"/>
    <w:rsid w:val="00E35037"/>
    <w:rsid w:val="00E351B3"/>
    <w:rsid w:val="00E351D5"/>
    <w:rsid w:val="00E3540F"/>
    <w:rsid w:val="00E35560"/>
    <w:rsid w:val="00E356E7"/>
    <w:rsid w:val="00E3575D"/>
    <w:rsid w:val="00E35810"/>
    <w:rsid w:val="00E3586A"/>
    <w:rsid w:val="00E3586B"/>
    <w:rsid w:val="00E35976"/>
    <w:rsid w:val="00E35D18"/>
    <w:rsid w:val="00E35DED"/>
    <w:rsid w:val="00E35E20"/>
    <w:rsid w:val="00E35EE8"/>
    <w:rsid w:val="00E36057"/>
    <w:rsid w:val="00E360C6"/>
    <w:rsid w:val="00E360F0"/>
    <w:rsid w:val="00E361F0"/>
    <w:rsid w:val="00E362AD"/>
    <w:rsid w:val="00E362E6"/>
    <w:rsid w:val="00E36425"/>
    <w:rsid w:val="00E366F8"/>
    <w:rsid w:val="00E3691C"/>
    <w:rsid w:val="00E369D3"/>
    <w:rsid w:val="00E369E5"/>
    <w:rsid w:val="00E36B04"/>
    <w:rsid w:val="00E36B74"/>
    <w:rsid w:val="00E36BC8"/>
    <w:rsid w:val="00E36BCB"/>
    <w:rsid w:val="00E36C2D"/>
    <w:rsid w:val="00E36D96"/>
    <w:rsid w:val="00E36DDE"/>
    <w:rsid w:val="00E36E2E"/>
    <w:rsid w:val="00E36E46"/>
    <w:rsid w:val="00E36F01"/>
    <w:rsid w:val="00E36FC0"/>
    <w:rsid w:val="00E36FC3"/>
    <w:rsid w:val="00E37078"/>
    <w:rsid w:val="00E3708D"/>
    <w:rsid w:val="00E37091"/>
    <w:rsid w:val="00E372CD"/>
    <w:rsid w:val="00E3733F"/>
    <w:rsid w:val="00E3737E"/>
    <w:rsid w:val="00E3742B"/>
    <w:rsid w:val="00E37534"/>
    <w:rsid w:val="00E3754B"/>
    <w:rsid w:val="00E377E3"/>
    <w:rsid w:val="00E3782A"/>
    <w:rsid w:val="00E3785C"/>
    <w:rsid w:val="00E379E7"/>
    <w:rsid w:val="00E37AA1"/>
    <w:rsid w:val="00E37B0E"/>
    <w:rsid w:val="00E37BF9"/>
    <w:rsid w:val="00E37C0B"/>
    <w:rsid w:val="00E37CE4"/>
    <w:rsid w:val="00E37D81"/>
    <w:rsid w:val="00E37EE0"/>
    <w:rsid w:val="00E37F9D"/>
    <w:rsid w:val="00E40112"/>
    <w:rsid w:val="00E402FC"/>
    <w:rsid w:val="00E40341"/>
    <w:rsid w:val="00E403C0"/>
    <w:rsid w:val="00E403F9"/>
    <w:rsid w:val="00E40453"/>
    <w:rsid w:val="00E404B2"/>
    <w:rsid w:val="00E4054E"/>
    <w:rsid w:val="00E405DD"/>
    <w:rsid w:val="00E40613"/>
    <w:rsid w:val="00E406A9"/>
    <w:rsid w:val="00E40832"/>
    <w:rsid w:val="00E4089C"/>
    <w:rsid w:val="00E409A7"/>
    <w:rsid w:val="00E40A42"/>
    <w:rsid w:val="00E40A71"/>
    <w:rsid w:val="00E40B25"/>
    <w:rsid w:val="00E40BA0"/>
    <w:rsid w:val="00E40BAA"/>
    <w:rsid w:val="00E40BAC"/>
    <w:rsid w:val="00E40C12"/>
    <w:rsid w:val="00E40C30"/>
    <w:rsid w:val="00E40D73"/>
    <w:rsid w:val="00E40E3D"/>
    <w:rsid w:val="00E40E5D"/>
    <w:rsid w:val="00E41033"/>
    <w:rsid w:val="00E410F8"/>
    <w:rsid w:val="00E4112A"/>
    <w:rsid w:val="00E41299"/>
    <w:rsid w:val="00E413E8"/>
    <w:rsid w:val="00E4168A"/>
    <w:rsid w:val="00E41927"/>
    <w:rsid w:val="00E419CD"/>
    <w:rsid w:val="00E41E2C"/>
    <w:rsid w:val="00E41EDE"/>
    <w:rsid w:val="00E41F68"/>
    <w:rsid w:val="00E420B2"/>
    <w:rsid w:val="00E420F1"/>
    <w:rsid w:val="00E420FF"/>
    <w:rsid w:val="00E42293"/>
    <w:rsid w:val="00E42330"/>
    <w:rsid w:val="00E423B7"/>
    <w:rsid w:val="00E4243D"/>
    <w:rsid w:val="00E42517"/>
    <w:rsid w:val="00E4258D"/>
    <w:rsid w:val="00E425E8"/>
    <w:rsid w:val="00E426C6"/>
    <w:rsid w:val="00E4285A"/>
    <w:rsid w:val="00E42C2C"/>
    <w:rsid w:val="00E42D46"/>
    <w:rsid w:val="00E42DE1"/>
    <w:rsid w:val="00E42E61"/>
    <w:rsid w:val="00E42EF2"/>
    <w:rsid w:val="00E4304D"/>
    <w:rsid w:val="00E43099"/>
    <w:rsid w:val="00E43182"/>
    <w:rsid w:val="00E431E8"/>
    <w:rsid w:val="00E432D2"/>
    <w:rsid w:val="00E43562"/>
    <w:rsid w:val="00E4368E"/>
    <w:rsid w:val="00E436FB"/>
    <w:rsid w:val="00E4395E"/>
    <w:rsid w:val="00E439D7"/>
    <w:rsid w:val="00E43A34"/>
    <w:rsid w:val="00E43A81"/>
    <w:rsid w:val="00E43A89"/>
    <w:rsid w:val="00E43ACF"/>
    <w:rsid w:val="00E43C46"/>
    <w:rsid w:val="00E43C86"/>
    <w:rsid w:val="00E43D6C"/>
    <w:rsid w:val="00E43E3D"/>
    <w:rsid w:val="00E4410B"/>
    <w:rsid w:val="00E44236"/>
    <w:rsid w:val="00E444C0"/>
    <w:rsid w:val="00E445AD"/>
    <w:rsid w:val="00E445DF"/>
    <w:rsid w:val="00E4467E"/>
    <w:rsid w:val="00E447F5"/>
    <w:rsid w:val="00E4497F"/>
    <w:rsid w:val="00E44BCA"/>
    <w:rsid w:val="00E44CDF"/>
    <w:rsid w:val="00E44D8E"/>
    <w:rsid w:val="00E44EB8"/>
    <w:rsid w:val="00E44EEF"/>
    <w:rsid w:val="00E44FF4"/>
    <w:rsid w:val="00E451E0"/>
    <w:rsid w:val="00E45215"/>
    <w:rsid w:val="00E452BC"/>
    <w:rsid w:val="00E45405"/>
    <w:rsid w:val="00E45427"/>
    <w:rsid w:val="00E45459"/>
    <w:rsid w:val="00E455AF"/>
    <w:rsid w:val="00E45744"/>
    <w:rsid w:val="00E4583C"/>
    <w:rsid w:val="00E459AF"/>
    <w:rsid w:val="00E45AB6"/>
    <w:rsid w:val="00E45C7B"/>
    <w:rsid w:val="00E45E51"/>
    <w:rsid w:val="00E45EA5"/>
    <w:rsid w:val="00E45ED8"/>
    <w:rsid w:val="00E45F15"/>
    <w:rsid w:val="00E46032"/>
    <w:rsid w:val="00E462DB"/>
    <w:rsid w:val="00E463C3"/>
    <w:rsid w:val="00E46403"/>
    <w:rsid w:val="00E46461"/>
    <w:rsid w:val="00E4661B"/>
    <w:rsid w:val="00E466B1"/>
    <w:rsid w:val="00E467B8"/>
    <w:rsid w:val="00E468BE"/>
    <w:rsid w:val="00E46935"/>
    <w:rsid w:val="00E4697C"/>
    <w:rsid w:val="00E46AF4"/>
    <w:rsid w:val="00E46E53"/>
    <w:rsid w:val="00E46FAD"/>
    <w:rsid w:val="00E46FD1"/>
    <w:rsid w:val="00E470B3"/>
    <w:rsid w:val="00E471A8"/>
    <w:rsid w:val="00E47695"/>
    <w:rsid w:val="00E476C6"/>
    <w:rsid w:val="00E47730"/>
    <w:rsid w:val="00E47832"/>
    <w:rsid w:val="00E47853"/>
    <w:rsid w:val="00E478AB"/>
    <w:rsid w:val="00E47A10"/>
    <w:rsid w:val="00E47C31"/>
    <w:rsid w:val="00E47DDF"/>
    <w:rsid w:val="00E47E32"/>
    <w:rsid w:val="00E47ED8"/>
    <w:rsid w:val="00E47F20"/>
    <w:rsid w:val="00E47F82"/>
    <w:rsid w:val="00E47FDF"/>
    <w:rsid w:val="00E50187"/>
    <w:rsid w:val="00E502B8"/>
    <w:rsid w:val="00E504CB"/>
    <w:rsid w:val="00E50655"/>
    <w:rsid w:val="00E5067F"/>
    <w:rsid w:val="00E5068B"/>
    <w:rsid w:val="00E506DD"/>
    <w:rsid w:val="00E5074D"/>
    <w:rsid w:val="00E507AB"/>
    <w:rsid w:val="00E508EE"/>
    <w:rsid w:val="00E50979"/>
    <w:rsid w:val="00E50984"/>
    <w:rsid w:val="00E5099F"/>
    <w:rsid w:val="00E50A89"/>
    <w:rsid w:val="00E50AB7"/>
    <w:rsid w:val="00E50B2A"/>
    <w:rsid w:val="00E50C42"/>
    <w:rsid w:val="00E50CE6"/>
    <w:rsid w:val="00E50D17"/>
    <w:rsid w:val="00E50F61"/>
    <w:rsid w:val="00E5112A"/>
    <w:rsid w:val="00E511C4"/>
    <w:rsid w:val="00E51244"/>
    <w:rsid w:val="00E5129C"/>
    <w:rsid w:val="00E51344"/>
    <w:rsid w:val="00E51351"/>
    <w:rsid w:val="00E515D5"/>
    <w:rsid w:val="00E51711"/>
    <w:rsid w:val="00E517ED"/>
    <w:rsid w:val="00E51981"/>
    <w:rsid w:val="00E51A48"/>
    <w:rsid w:val="00E51B75"/>
    <w:rsid w:val="00E51B9E"/>
    <w:rsid w:val="00E51BED"/>
    <w:rsid w:val="00E51D39"/>
    <w:rsid w:val="00E51E17"/>
    <w:rsid w:val="00E51FBC"/>
    <w:rsid w:val="00E51FD5"/>
    <w:rsid w:val="00E520A0"/>
    <w:rsid w:val="00E521BE"/>
    <w:rsid w:val="00E521CD"/>
    <w:rsid w:val="00E523C5"/>
    <w:rsid w:val="00E52734"/>
    <w:rsid w:val="00E5281C"/>
    <w:rsid w:val="00E52A28"/>
    <w:rsid w:val="00E52B30"/>
    <w:rsid w:val="00E52D12"/>
    <w:rsid w:val="00E52DF2"/>
    <w:rsid w:val="00E52E43"/>
    <w:rsid w:val="00E52F0D"/>
    <w:rsid w:val="00E53133"/>
    <w:rsid w:val="00E5322F"/>
    <w:rsid w:val="00E53389"/>
    <w:rsid w:val="00E533DB"/>
    <w:rsid w:val="00E53450"/>
    <w:rsid w:val="00E534FC"/>
    <w:rsid w:val="00E536D8"/>
    <w:rsid w:val="00E537D8"/>
    <w:rsid w:val="00E5389C"/>
    <w:rsid w:val="00E53A04"/>
    <w:rsid w:val="00E53ACC"/>
    <w:rsid w:val="00E53B7E"/>
    <w:rsid w:val="00E53C49"/>
    <w:rsid w:val="00E53DE2"/>
    <w:rsid w:val="00E53E95"/>
    <w:rsid w:val="00E53EB6"/>
    <w:rsid w:val="00E54176"/>
    <w:rsid w:val="00E5422D"/>
    <w:rsid w:val="00E542A9"/>
    <w:rsid w:val="00E542BF"/>
    <w:rsid w:val="00E54411"/>
    <w:rsid w:val="00E54594"/>
    <w:rsid w:val="00E54619"/>
    <w:rsid w:val="00E54757"/>
    <w:rsid w:val="00E54760"/>
    <w:rsid w:val="00E54787"/>
    <w:rsid w:val="00E548AD"/>
    <w:rsid w:val="00E54B04"/>
    <w:rsid w:val="00E54C46"/>
    <w:rsid w:val="00E54C9D"/>
    <w:rsid w:val="00E54D24"/>
    <w:rsid w:val="00E54D2B"/>
    <w:rsid w:val="00E54FCB"/>
    <w:rsid w:val="00E551BC"/>
    <w:rsid w:val="00E5527B"/>
    <w:rsid w:val="00E5528F"/>
    <w:rsid w:val="00E55366"/>
    <w:rsid w:val="00E5538F"/>
    <w:rsid w:val="00E5559D"/>
    <w:rsid w:val="00E55636"/>
    <w:rsid w:val="00E5571D"/>
    <w:rsid w:val="00E55996"/>
    <w:rsid w:val="00E55998"/>
    <w:rsid w:val="00E55BA2"/>
    <w:rsid w:val="00E55BEB"/>
    <w:rsid w:val="00E55C63"/>
    <w:rsid w:val="00E55CE8"/>
    <w:rsid w:val="00E55FA1"/>
    <w:rsid w:val="00E5601D"/>
    <w:rsid w:val="00E561EB"/>
    <w:rsid w:val="00E56341"/>
    <w:rsid w:val="00E5641B"/>
    <w:rsid w:val="00E564E4"/>
    <w:rsid w:val="00E56608"/>
    <w:rsid w:val="00E56647"/>
    <w:rsid w:val="00E566A0"/>
    <w:rsid w:val="00E568CB"/>
    <w:rsid w:val="00E56BAA"/>
    <w:rsid w:val="00E56BC7"/>
    <w:rsid w:val="00E56BE7"/>
    <w:rsid w:val="00E56C07"/>
    <w:rsid w:val="00E56C1D"/>
    <w:rsid w:val="00E56C73"/>
    <w:rsid w:val="00E56C7F"/>
    <w:rsid w:val="00E56D33"/>
    <w:rsid w:val="00E56E2D"/>
    <w:rsid w:val="00E56E38"/>
    <w:rsid w:val="00E5709F"/>
    <w:rsid w:val="00E572E0"/>
    <w:rsid w:val="00E573C9"/>
    <w:rsid w:val="00E575FF"/>
    <w:rsid w:val="00E5768E"/>
    <w:rsid w:val="00E57893"/>
    <w:rsid w:val="00E57A03"/>
    <w:rsid w:val="00E57A78"/>
    <w:rsid w:val="00E57B93"/>
    <w:rsid w:val="00E57BB8"/>
    <w:rsid w:val="00E57D4B"/>
    <w:rsid w:val="00E57F06"/>
    <w:rsid w:val="00E57F23"/>
    <w:rsid w:val="00E57FE3"/>
    <w:rsid w:val="00E6015D"/>
    <w:rsid w:val="00E603C5"/>
    <w:rsid w:val="00E604A4"/>
    <w:rsid w:val="00E60570"/>
    <w:rsid w:val="00E6058D"/>
    <w:rsid w:val="00E608CC"/>
    <w:rsid w:val="00E60A60"/>
    <w:rsid w:val="00E60B12"/>
    <w:rsid w:val="00E60B93"/>
    <w:rsid w:val="00E60CD1"/>
    <w:rsid w:val="00E60CDE"/>
    <w:rsid w:val="00E60CF1"/>
    <w:rsid w:val="00E60CFD"/>
    <w:rsid w:val="00E60E35"/>
    <w:rsid w:val="00E60E99"/>
    <w:rsid w:val="00E60F50"/>
    <w:rsid w:val="00E61017"/>
    <w:rsid w:val="00E61025"/>
    <w:rsid w:val="00E610CB"/>
    <w:rsid w:val="00E61151"/>
    <w:rsid w:val="00E61178"/>
    <w:rsid w:val="00E611A6"/>
    <w:rsid w:val="00E6129B"/>
    <w:rsid w:val="00E613D9"/>
    <w:rsid w:val="00E61476"/>
    <w:rsid w:val="00E614DC"/>
    <w:rsid w:val="00E61732"/>
    <w:rsid w:val="00E617A5"/>
    <w:rsid w:val="00E61829"/>
    <w:rsid w:val="00E61876"/>
    <w:rsid w:val="00E619ED"/>
    <w:rsid w:val="00E61A2A"/>
    <w:rsid w:val="00E61D47"/>
    <w:rsid w:val="00E61F78"/>
    <w:rsid w:val="00E61F9C"/>
    <w:rsid w:val="00E6203A"/>
    <w:rsid w:val="00E621F6"/>
    <w:rsid w:val="00E62200"/>
    <w:rsid w:val="00E62203"/>
    <w:rsid w:val="00E622E0"/>
    <w:rsid w:val="00E622E8"/>
    <w:rsid w:val="00E62723"/>
    <w:rsid w:val="00E627F8"/>
    <w:rsid w:val="00E62887"/>
    <w:rsid w:val="00E62979"/>
    <w:rsid w:val="00E62A17"/>
    <w:rsid w:val="00E62BC6"/>
    <w:rsid w:val="00E62BFE"/>
    <w:rsid w:val="00E62D0B"/>
    <w:rsid w:val="00E62D10"/>
    <w:rsid w:val="00E62DE3"/>
    <w:rsid w:val="00E62F10"/>
    <w:rsid w:val="00E6314C"/>
    <w:rsid w:val="00E631E3"/>
    <w:rsid w:val="00E63204"/>
    <w:rsid w:val="00E63543"/>
    <w:rsid w:val="00E63600"/>
    <w:rsid w:val="00E63614"/>
    <w:rsid w:val="00E63676"/>
    <w:rsid w:val="00E6382C"/>
    <w:rsid w:val="00E63853"/>
    <w:rsid w:val="00E63C22"/>
    <w:rsid w:val="00E63E12"/>
    <w:rsid w:val="00E63F40"/>
    <w:rsid w:val="00E6410F"/>
    <w:rsid w:val="00E64190"/>
    <w:rsid w:val="00E64199"/>
    <w:rsid w:val="00E641CC"/>
    <w:rsid w:val="00E6423F"/>
    <w:rsid w:val="00E6448F"/>
    <w:rsid w:val="00E64610"/>
    <w:rsid w:val="00E6475F"/>
    <w:rsid w:val="00E64807"/>
    <w:rsid w:val="00E6483F"/>
    <w:rsid w:val="00E64866"/>
    <w:rsid w:val="00E64912"/>
    <w:rsid w:val="00E64BA6"/>
    <w:rsid w:val="00E64BBD"/>
    <w:rsid w:val="00E64C45"/>
    <w:rsid w:val="00E64D1A"/>
    <w:rsid w:val="00E64F56"/>
    <w:rsid w:val="00E6508B"/>
    <w:rsid w:val="00E650D4"/>
    <w:rsid w:val="00E651BA"/>
    <w:rsid w:val="00E6523B"/>
    <w:rsid w:val="00E6529A"/>
    <w:rsid w:val="00E652B4"/>
    <w:rsid w:val="00E6537D"/>
    <w:rsid w:val="00E654B3"/>
    <w:rsid w:val="00E6564F"/>
    <w:rsid w:val="00E657D7"/>
    <w:rsid w:val="00E6585F"/>
    <w:rsid w:val="00E65B82"/>
    <w:rsid w:val="00E65C77"/>
    <w:rsid w:val="00E65EEA"/>
    <w:rsid w:val="00E65EF9"/>
    <w:rsid w:val="00E6604D"/>
    <w:rsid w:val="00E660FC"/>
    <w:rsid w:val="00E6612E"/>
    <w:rsid w:val="00E661FB"/>
    <w:rsid w:val="00E66334"/>
    <w:rsid w:val="00E663DD"/>
    <w:rsid w:val="00E66498"/>
    <w:rsid w:val="00E6652F"/>
    <w:rsid w:val="00E666F2"/>
    <w:rsid w:val="00E6670C"/>
    <w:rsid w:val="00E669AA"/>
    <w:rsid w:val="00E669BE"/>
    <w:rsid w:val="00E669CC"/>
    <w:rsid w:val="00E66A19"/>
    <w:rsid w:val="00E66AA7"/>
    <w:rsid w:val="00E66AE4"/>
    <w:rsid w:val="00E66DDD"/>
    <w:rsid w:val="00E66E59"/>
    <w:rsid w:val="00E66EE7"/>
    <w:rsid w:val="00E66F8A"/>
    <w:rsid w:val="00E6706D"/>
    <w:rsid w:val="00E67265"/>
    <w:rsid w:val="00E6729E"/>
    <w:rsid w:val="00E672D7"/>
    <w:rsid w:val="00E675E7"/>
    <w:rsid w:val="00E67646"/>
    <w:rsid w:val="00E6774B"/>
    <w:rsid w:val="00E67975"/>
    <w:rsid w:val="00E67983"/>
    <w:rsid w:val="00E67A5A"/>
    <w:rsid w:val="00E67AA7"/>
    <w:rsid w:val="00E67B03"/>
    <w:rsid w:val="00E67C21"/>
    <w:rsid w:val="00E67C53"/>
    <w:rsid w:val="00E67CD5"/>
    <w:rsid w:val="00E67E65"/>
    <w:rsid w:val="00E67E67"/>
    <w:rsid w:val="00E67F35"/>
    <w:rsid w:val="00E70011"/>
    <w:rsid w:val="00E701D8"/>
    <w:rsid w:val="00E7046F"/>
    <w:rsid w:val="00E7059F"/>
    <w:rsid w:val="00E705B9"/>
    <w:rsid w:val="00E705BC"/>
    <w:rsid w:val="00E70681"/>
    <w:rsid w:val="00E706A1"/>
    <w:rsid w:val="00E70742"/>
    <w:rsid w:val="00E708F1"/>
    <w:rsid w:val="00E70A55"/>
    <w:rsid w:val="00E70A61"/>
    <w:rsid w:val="00E70AC4"/>
    <w:rsid w:val="00E70B10"/>
    <w:rsid w:val="00E70BB2"/>
    <w:rsid w:val="00E70C22"/>
    <w:rsid w:val="00E70D0C"/>
    <w:rsid w:val="00E70D77"/>
    <w:rsid w:val="00E70E6C"/>
    <w:rsid w:val="00E70E7A"/>
    <w:rsid w:val="00E70FA5"/>
    <w:rsid w:val="00E7106E"/>
    <w:rsid w:val="00E710E8"/>
    <w:rsid w:val="00E71205"/>
    <w:rsid w:val="00E712E5"/>
    <w:rsid w:val="00E715D6"/>
    <w:rsid w:val="00E71603"/>
    <w:rsid w:val="00E71D43"/>
    <w:rsid w:val="00E71DC0"/>
    <w:rsid w:val="00E71E4B"/>
    <w:rsid w:val="00E71EAE"/>
    <w:rsid w:val="00E725D0"/>
    <w:rsid w:val="00E7265A"/>
    <w:rsid w:val="00E727AF"/>
    <w:rsid w:val="00E72A63"/>
    <w:rsid w:val="00E72B2C"/>
    <w:rsid w:val="00E72CB7"/>
    <w:rsid w:val="00E72D35"/>
    <w:rsid w:val="00E72F0D"/>
    <w:rsid w:val="00E72F3C"/>
    <w:rsid w:val="00E73018"/>
    <w:rsid w:val="00E73212"/>
    <w:rsid w:val="00E73628"/>
    <w:rsid w:val="00E7366E"/>
    <w:rsid w:val="00E73754"/>
    <w:rsid w:val="00E7375E"/>
    <w:rsid w:val="00E73A8E"/>
    <w:rsid w:val="00E73B6C"/>
    <w:rsid w:val="00E73C4E"/>
    <w:rsid w:val="00E73CC9"/>
    <w:rsid w:val="00E73DA9"/>
    <w:rsid w:val="00E73E8E"/>
    <w:rsid w:val="00E73EB8"/>
    <w:rsid w:val="00E73EF7"/>
    <w:rsid w:val="00E73FEE"/>
    <w:rsid w:val="00E73FFA"/>
    <w:rsid w:val="00E7403C"/>
    <w:rsid w:val="00E743AB"/>
    <w:rsid w:val="00E74476"/>
    <w:rsid w:val="00E74526"/>
    <w:rsid w:val="00E745BF"/>
    <w:rsid w:val="00E74625"/>
    <w:rsid w:val="00E746FA"/>
    <w:rsid w:val="00E7475C"/>
    <w:rsid w:val="00E74851"/>
    <w:rsid w:val="00E74921"/>
    <w:rsid w:val="00E74B6A"/>
    <w:rsid w:val="00E74BBC"/>
    <w:rsid w:val="00E74C6D"/>
    <w:rsid w:val="00E74F4D"/>
    <w:rsid w:val="00E74FB9"/>
    <w:rsid w:val="00E7510C"/>
    <w:rsid w:val="00E751A8"/>
    <w:rsid w:val="00E75222"/>
    <w:rsid w:val="00E752A1"/>
    <w:rsid w:val="00E753EC"/>
    <w:rsid w:val="00E7545F"/>
    <w:rsid w:val="00E75654"/>
    <w:rsid w:val="00E756B4"/>
    <w:rsid w:val="00E756D3"/>
    <w:rsid w:val="00E757F9"/>
    <w:rsid w:val="00E75932"/>
    <w:rsid w:val="00E759B9"/>
    <w:rsid w:val="00E75A3D"/>
    <w:rsid w:val="00E75A43"/>
    <w:rsid w:val="00E75B53"/>
    <w:rsid w:val="00E75C2C"/>
    <w:rsid w:val="00E75E36"/>
    <w:rsid w:val="00E75E93"/>
    <w:rsid w:val="00E760FD"/>
    <w:rsid w:val="00E76486"/>
    <w:rsid w:val="00E76616"/>
    <w:rsid w:val="00E76701"/>
    <w:rsid w:val="00E7671E"/>
    <w:rsid w:val="00E767FC"/>
    <w:rsid w:val="00E7692C"/>
    <w:rsid w:val="00E76AE1"/>
    <w:rsid w:val="00E76B9B"/>
    <w:rsid w:val="00E76C2D"/>
    <w:rsid w:val="00E76C74"/>
    <w:rsid w:val="00E76C94"/>
    <w:rsid w:val="00E76CEE"/>
    <w:rsid w:val="00E76DBA"/>
    <w:rsid w:val="00E76EFA"/>
    <w:rsid w:val="00E76F01"/>
    <w:rsid w:val="00E76F32"/>
    <w:rsid w:val="00E77121"/>
    <w:rsid w:val="00E771C6"/>
    <w:rsid w:val="00E77275"/>
    <w:rsid w:val="00E773BF"/>
    <w:rsid w:val="00E7744A"/>
    <w:rsid w:val="00E7755F"/>
    <w:rsid w:val="00E77635"/>
    <w:rsid w:val="00E776F6"/>
    <w:rsid w:val="00E77877"/>
    <w:rsid w:val="00E77878"/>
    <w:rsid w:val="00E77981"/>
    <w:rsid w:val="00E77B3E"/>
    <w:rsid w:val="00E77C66"/>
    <w:rsid w:val="00E77CC0"/>
    <w:rsid w:val="00E77DD1"/>
    <w:rsid w:val="00E77E68"/>
    <w:rsid w:val="00E77E6F"/>
    <w:rsid w:val="00E7D145"/>
    <w:rsid w:val="00E80276"/>
    <w:rsid w:val="00E8028A"/>
    <w:rsid w:val="00E803CF"/>
    <w:rsid w:val="00E80421"/>
    <w:rsid w:val="00E80449"/>
    <w:rsid w:val="00E805F1"/>
    <w:rsid w:val="00E8069D"/>
    <w:rsid w:val="00E807D1"/>
    <w:rsid w:val="00E80888"/>
    <w:rsid w:val="00E808A9"/>
    <w:rsid w:val="00E80958"/>
    <w:rsid w:val="00E809BF"/>
    <w:rsid w:val="00E80A18"/>
    <w:rsid w:val="00E80AB0"/>
    <w:rsid w:val="00E80ABD"/>
    <w:rsid w:val="00E80CFA"/>
    <w:rsid w:val="00E80DC2"/>
    <w:rsid w:val="00E813A5"/>
    <w:rsid w:val="00E814DD"/>
    <w:rsid w:val="00E815D4"/>
    <w:rsid w:val="00E81649"/>
    <w:rsid w:val="00E81908"/>
    <w:rsid w:val="00E81A60"/>
    <w:rsid w:val="00E81AA1"/>
    <w:rsid w:val="00E81BE6"/>
    <w:rsid w:val="00E81E5A"/>
    <w:rsid w:val="00E81F18"/>
    <w:rsid w:val="00E81F2F"/>
    <w:rsid w:val="00E820B2"/>
    <w:rsid w:val="00E82102"/>
    <w:rsid w:val="00E82162"/>
    <w:rsid w:val="00E821C6"/>
    <w:rsid w:val="00E82240"/>
    <w:rsid w:val="00E822E4"/>
    <w:rsid w:val="00E82577"/>
    <w:rsid w:val="00E826E7"/>
    <w:rsid w:val="00E8278C"/>
    <w:rsid w:val="00E82791"/>
    <w:rsid w:val="00E82A8B"/>
    <w:rsid w:val="00E82B68"/>
    <w:rsid w:val="00E82BBE"/>
    <w:rsid w:val="00E82C0B"/>
    <w:rsid w:val="00E8309D"/>
    <w:rsid w:val="00E830DC"/>
    <w:rsid w:val="00E831D5"/>
    <w:rsid w:val="00E83318"/>
    <w:rsid w:val="00E833C8"/>
    <w:rsid w:val="00E83404"/>
    <w:rsid w:val="00E83522"/>
    <w:rsid w:val="00E83525"/>
    <w:rsid w:val="00E8367F"/>
    <w:rsid w:val="00E836CC"/>
    <w:rsid w:val="00E83730"/>
    <w:rsid w:val="00E837A4"/>
    <w:rsid w:val="00E83888"/>
    <w:rsid w:val="00E83918"/>
    <w:rsid w:val="00E8395C"/>
    <w:rsid w:val="00E83D1C"/>
    <w:rsid w:val="00E83D1F"/>
    <w:rsid w:val="00E83E62"/>
    <w:rsid w:val="00E83F06"/>
    <w:rsid w:val="00E84027"/>
    <w:rsid w:val="00E843F6"/>
    <w:rsid w:val="00E84434"/>
    <w:rsid w:val="00E844E8"/>
    <w:rsid w:val="00E8464E"/>
    <w:rsid w:val="00E84838"/>
    <w:rsid w:val="00E84909"/>
    <w:rsid w:val="00E8491B"/>
    <w:rsid w:val="00E84CA8"/>
    <w:rsid w:val="00E84EB2"/>
    <w:rsid w:val="00E84FC9"/>
    <w:rsid w:val="00E84FDF"/>
    <w:rsid w:val="00E85208"/>
    <w:rsid w:val="00E8523F"/>
    <w:rsid w:val="00E85301"/>
    <w:rsid w:val="00E8531A"/>
    <w:rsid w:val="00E8547C"/>
    <w:rsid w:val="00E854EF"/>
    <w:rsid w:val="00E8569A"/>
    <w:rsid w:val="00E85784"/>
    <w:rsid w:val="00E857D9"/>
    <w:rsid w:val="00E857EF"/>
    <w:rsid w:val="00E85895"/>
    <w:rsid w:val="00E858E0"/>
    <w:rsid w:val="00E8594A"/>
    <w:rsid w:val="00E85A49"/>
    <w:rsid w:val="00E85CB4"/>
    <w:rsid w:val="00E85E36"/>
    <w:rsid w:val="00E85E3F"/>
    <w:rsid w:val="00E85F67"/>
    <w:rsid w:val="00E85FAA"/>
    <w:rsid w:val="00E86053"/>
    <w:rsid w:val="00E86367"/>
    <w:rsid w:val="00E86403"/>
    <w:rsid w:val="00E866A3"/>
    <w:rsid w:val="00E86785"/>
    <w:rsid w:val="00E8683D"/>
    <w:rsid w:val="00E86978"/>
    <w:rsid w:val="00E86A9C"/>
    <w:rsid w:val="00E86AE5"/>
    <w:rsid w:val="00E86B8A"/>
    <w:rsid w:val="00E86C44"/>
    <w:rsid w:val="00E86D31"/>
    <w:rsid w:val="00E86E9A"/>
    <w:rsid w:val="00E86F87"/>
    <w:rsid w:val="00E87055"/>
    <w:rsid w:val="00E870D7"/>
    <w:rsid w:val="00E872A5"/>
    <w:rsid w:val="00E8736C"/>
    <w:rsid w:val="00E873A1"/>
    <w:rsid w:val="00E877A7"/>
    <w:rsid w:val="00E87854"/>
    <w:rsid w:val="00E8785A"/>
    <w:rsid w:val="00E8788D"/>
    <w:rsid w:val="00E87A89"/>
    <w:rsid w:val="00E87AF9"/>
    <w:rsid w:val="00E87BE0"/>
    <w:rsid w:val="00E87C60"/>
    <w:rsid w:val="00E87D55"/>
    <w:rsid w:val="00E87DE9"/>
    <w:rsid w:val="00E87E6C"/>
    <w:rsid w:val="00E87EAA"/>
    <w:rsid w:val="00E87FF0"/>
    <w:rsid w:val="00E9022F"/>
    <w:rsid w:val="00E9027C"/>
    <w:rsid w:val="00E9045E"/>
    <w:rsid w:val="00E9096A"/>
    <w:rsid w:val="00E90AE2"/>
    <w:rsid w:val="00E90B4D"/>
    <w:rsid w:val="00E90DC3"/>
    <w:rsid w:val="00E90E3A"/>
    <w:rsid w:val="00E90FAC"/>
    <w:rsid w:val="00E914D0"/>
    <w:rsid w:val="00E916CB"/>
    <w:rsid w:val="00E91921"/>
    <w:rsid w:val="00E9198C"/>
    <w:rsid w:val="00E91D5C"/>
    <w:rsid w:val="00E91DC9"/>
    <w:rsid w:val="00E91E03"/>
    <w:rsid w:val="00E91FF5"/>
    <w:rsid w:val="00E920A9"/>
    <w:rsid w:val="00E92136"/>
    <w:rsid w:val="00E92238"/>
    <w:rsid w:val="00E92256"/>
    <w:rsid w:val="00E922BC"/>
    <w:rsid w:val="00E92387"/>
    <w:rsid w:val="00E923E3"/>
    <w:rsid w:val="00E92428"/>
    <w:rsid w:val="00E9244B"/>
    <w:rsid w:val="00E92589"/>
    <w:rsid w:val="00E9258C"/>
    <w:rsid w:val="00E926EB"/>
    <w:rsid w:val="00E9288C"/>
    <w:rsid w:val="00E92B56"/>
    <w:rsid w:val="00E92BA3"/>
    <w:rsid w:val="00E92C1E"/>
    <w:rsid w:val="00E92D95"/>
    <w:rsid w:val="00E92E1E"/>
    <w:rsid w:val="00E92F0D"/>
    <w:rsid w:val="00E92F63"/>
    <w:rsid w:val="00E92FE0"/>
    <w:rsid w:val="00E931C1"/>
    <w:rsid w:val="00E932A3"/>
    <w:rsid w:val="00E932B0"/>
    <w:rsid w:val="00E932E6"/>
    <w:rsid w:val="00E9354F"/>
    <w:rsid w:val="00E936AC"/>
    <w:rsid w:val="00E93B17"/>
    <w:rsid w:val="00E93CC0"/>
    <w:rsid w:val="00E93CD2"/>
    <w:rsid w:val="00E93E9A"/>
    <w:rsid w:val="00E93F9C"/>
    <w:rsid w:val="00E94174"/>
    <w:rsid w:val="00E94300"/>
    <w:rsid w:val="00E94542"/>
    <w:rsid w:val="00E94655"/>
    <w:rsid w:val="00E946B8"/>
    <w:rsid w:val="00E94943"/>
    <w:rsid w:val="00E94A19"/>
    <w:rsid w:val="00E94ABF"/>
    <w:rsid w:val="00E94AC7"/>
    <w:rsid w:val="00E94BE4"/>
    <w:rsid w:val="00E94C2B"/>
    <w:rsid w:val="00E94CEF"/>
    <w:rsid w:val="00E94D86"/>
    <w:rsid w:val="00E94F98"/>
    <w:rsid w:val="00E95026"/>
    <w:rsid w:val="00E9506A"/>
    <w:rsid w:val="00E95211"/>
    <w:rsid w:val="00E952CA"/>
    <w:rsid w:val="00E95410"/>
    <w:rsid w:val="00E95536"/>
    <w:rsid w:val="00E95666"/>
    <w:rsid w:val="00E956DB"/>
    <w:rsid w:val="00E95A33"/>
    <w:rsid w:val="00E95B97"/>
    <w:rsid w:val="00E95BB8"/>
    <w:rsid w:val="00E95C9D"/>
    <w:rsid w:val="00E95D07"/>
    <w:rsid w:val="00E95EDA"/>
    <w:rsid w:val="00E95EFA"/>
    <w:rsid w:val="00E95FB8"/>
    <w:rsid w:val="00E960EF"/>
    <w:rsid w:val="00E96108"/>
    <w:rsid w:val="00E961B5"/>
    <w:rsid w:val="00E961EE"/>
    <w:rsid w:val="00E96437"/>
    <w:rsid w:val="00E965DA"/>
    <w:rsid w:val="00E9663B"/>
    <w:rsid w:val="00E969BD"/>
    <w:rsid w:val="00E96B28"/>
    <w:rsid w:val="00E96BB8"/>
    <w:rsid w:val="00E96CE1"/>
    <w:rsid w:val="00E96D16"/>
    <w:rsid w:val="00E96D7A"/>
    <w:rsid w:val="00E96DC1"/>
    <w:rsid w:val="00E96DDA"/>
    <w:rsid w:val="00E96F0C"/>
    <w:rsid w:val="00E96F1D"/>
    <w:rsid w:val="00E972F2"/>
    <w:rsid w:val="00E9732E"/>
    <w:rsid w:val="00E97376"/>
    <w:rsid w:val="00E97380"/>
    <w:rsid w:val="00E974EA"/>
    <w:rsid w:val="00E97981"/>
    <w:rsid w:val="00E97C76"/>
    <w:rsid w:val="00E97DC7"/>
    <w:rsid w:val="00E97E5E"/>
    <w:rsid w:val="00EA004C"/>
    <w:rsid w:val="00EA0060"/>
    <w:rsid w:val="00EA006E"/>
    <w:rsid w:val="00EA0113"/>
    <w:rsid w:val="00EA0151"/>
    <w:rsid w:val="00EA01FC"/>
    <w:rsid w:val="00EA02F2"/>
    <w:rsid w:val="00EA032C"/>
    <w:rsid w:val="00EA051D"/>
    <w:rsid w:val="00EA0765"/>
    <w:rsid w:val="00EA0775"/>
    <w:rsid w:val="00EA07E2"/>
    <w:rsid w:val="00EA0867"/>
    <w:rsid w:val="00EA0A32"/>
    <w:rsid w:val="00EA0AA4"/>
    <w:rsid w:val="00EA0AFF"/>
    <w:rsid w:val="00EA0B14"/>
    <w:rsid w:val="00EA0BF1"/>
    <w:rsid w:val="00EA0FCE"/>
    <w:rsid w:val="00EA1046"/>
    <w:rsid w:val="00EA1101"/>
    <w:rsid w:val="00EA11AF"/>
    <w:rsid w:val="00EA1698"/>
    <w:rsid w:val="00EA18C5"/>
    <w:rsid w:val="00EA1B18"/>
    <w:rsid w:val="00EA1B46"/>
    <w:rsid w:val="00EA1B5B"/>
    <w:rsid w:val="00EA1E5B"/>
    <w:rsid w:val="00EA1EB5"/>
    <w:rsid w:val="00EA22AE"/>
    <w:rsid w:val="00EA22CE"/>
    <w:rsid w:val="00EA2608"/>
    <w:rsid w:val="00EA2685"/>
    <w:rsid w:val="00EA28F5"/>
    <w:rsid w:val="00EA2A91"/>
    <w:rsid w:val="00EA2AEF"/>
    <w:rsid w:val="00EA2B00"/>
    <w:rsid w:val="00EA2BD4"/>
    <w:rsid w:val="00EA2D6F"/>
    <w:rsid w:val="00EA2E41"/>
    <w:rsid w:val="00EA308B"/>
    <w:rsid w:val="00EA30A7"/>
    <w:rsid w:val="00EA30D8"/>
    <w:rsid w:val="00EA30E0"/>
    <w:rsid w:val="00EA3119"/>
    <w:rsid w:val="00EA3132"/>
    <w:rsid w:val="00EA3176"/>
    <w:rsid w:val="00EA344F"/>
    <w:rsid w:val="00EA35CA"/>
    <w:rsid w:val="00EA36C8"/>
    <w:rsid w:val="00EA378E"/>
    <w:rsid w:val="00EA3797"/>
    <w:rsid w:val="00EA3990"/>
    <w:rsid w:val="00EA39E2"/>
    <w:rsid w:val="00EA39F7"/>
    <w:rsid w:val="00EA3BD4"/>
    <w:rsid w:val="00EA3BE9"/>
    <w:rsid w:val="00EA3F51"/>
    <w:rsid w:val="00EA3FBB"/>
    <w:rsid w:val="00EA425D"/>
    <w:rsid w:val="00EA43A0"/>
    <w:rsid w:val="00EA44EB"/>
    <w:rsid w:val="00EA45D4"/>
    <w:rsid w:val="00EA46FC"/>
    <w:rsid w:val="00EA4724"/>
    <w:rsid w:val="00EA4784"/>
    <w:rsid w:val="00EA47C7"/>
    <w:rsid w:val="00EA4828"/>
    <w:rsid w:val="00EA48CE"/>
    <w:rsid w:val="00EA48E4"/>
    <w:rsid w:val="00EA4A67"/>
    <w:rsid w:val="00EA4C6D"/>
    <w:rsid w:val="00EA4DA0"/>
    <w:rsid w:val="00EA4EA7"/>
    <w:rsid w:val="00EA4EF6"/>
    <w:rsid w:val="00EA4F84"/>
    <w:rsid w:val="00EA4FB9"/>
    <w:rsid w:val="00EA51EB"/>
    <w:rsid w:val="00EA536B"/>
    <w:rsid w:val="00EA5477"/>
    <w:rsid w:val="00EA552F"/>
    <w:rsid w:val="00EA57EA"/>
    <w:rsid w:val="00EA590A"/>
    <w:rsid w:val="00EA5BD1"/>
    <w:rsid w:val="00EA5CC0"/>
    <w:rsid w:val="00EA5D5E"/>
    <w:rsid w:val="00EA5DD9"/>
    <w:rsid w:val="00EA5DF5"/>
    <w:rsid w:val="00EA5EB6"/>
    <w:rsid w:val="00EA5F7F"/>
    <w:rsid w:val="00EA6150"/>
    <w:rsid w:val="00EA6157"/>
    <w:rsid w:val="00EA623F"/>
    <w:rsid w:val="00EA641C"/>
    <w:rsid w:val="00EA670D"/>
    <w:rsid w:val="00EA67F7"/>
    <w:rsid w:val="00EA6882"/>
    <w:rsid w:val="00EA6895"/>
    <w:rsid w:val="00EA693C"/>
    <w:rsid w:val="00EA694C"/>
    <w:rsid w:val="00EA6950"/>
    <w:rsid w:val="00EA69B4"/>
    <w:rsid w:val="00EA6A98"/>
    <w:rsid w:val="00EA6C59"/>
    <w:rsid w:val="00EA6E05"/>
    <w:rsid w:val="00EA6E09"/>
    <w:rsid w:val="00EA71BD"/>
    <w:rsid w:val="00EA72B2"/>
    <w:rsid w:val="00EA7596"/>
    <w:rsid w:val="00EA75A8"/>
    <w:rsid w:val="00EA769D"/>
    <w:rsid w:val="00EA78C9"/>
    <w:rsid w:val="00EA799E"/>
    <w:rsid w:val="00EA7A94"/>
    <w:rsid w:val="00EA7AC2"/>
    <w:rsid w:val="00EA7B28"/>
    <w:rsid w:val="00EA7B86"/>
    <w:rsid w:val="00EA7D0A"/>
    <w:rsid w:val="00EA7D44"/>
    <w:rsid w:val="00EA7F4B"/>
    <w:rsid w:val="00EA848E"/>
    <w:rsid w:val="00EB00C2"/>
    <w:rsid w:val="00EB0166"/>
    <w:rsid w:val="00EB02D6"/>
    <w:rsid w:val="00EB0402"/>
    <w:rsid w:val="00EB056F"/>
    <w:rsid w:val="00EB05D0"/>
    <w:rsid w:val="00EB064F"/>
    <w:rsid w:val="00EB067E"/>
    <w:rsid w:val="00EB069D"/>
    <w:rsid w:val="00EB06E9"/>
    <w:rsid w:val="00EB090D"/>
    <w:rsid w:val="00EB0AF3"/>
    <w:rsid w:val="00EB0BAE"/>
    <w:rsid w:val="00EB0CC6"/>
    <w:rsid w:val="00EB0CE2"/>
    <w:rsid w:val="00EB0D08"/>
    <w:rsid w:val="00EB0D91"/>
    <w:rsid w:val="00EB0EE5"/>
    <w:rsid w:val="00EB1179"/>
    <w:rsid w:val="00EB15DF"/>
    <w:rsid w:val="00EB167B"/>
    <w:rsid w:val="00EB1715"/>
    <w:rsid w:val="00EB1758"/>
    <w:rsid w:val="00EB1858"/>
    <w:rsid w:val="00EB1912"/>
    <w:rsid w:val="00EB1AEA"/>
    <w:rsid w:val="00EB1B2E"/>
    <w:rsid w:val="00EB1B60"/>
    <w:rsid w:val="00EB219D"/>
    <w:rsid w:val="00EB2283"/>
    <w:rsid w:val="00EB22D1"/>
    <w:rsid w:val="00EB2383"/>
    <w:rsid w:val="00EB238B"/>
    <w:rsid w:val="00EB2540"/>
    <w:rsid w:val="00EB2594"/>
    <w:rsid w:val="00EB28F9"/>
    <w:rsid w:val="00EB2953"/>
    <w:rsid w:val="00EB2A05"/>
    <w:rsid w:val="00EB2BB9"/>
    <w:rsid w:val="00EB2EB3"/>
    <w:rsid w:val="00EB2F8B"/>
    <w:rsid w:val="00EB2FEF"/>
    <w:rsid w:val="00EB320D"/>
    <w:rsid w:val="00EB3270"/>
    <w:rsid w:val="00EB32BC"/>
    <w:rsid w:val="00EB33CD"/>
    <w:rsid w:val="00EB3439"/>
    <w:rsid w:val="00EB349F"/>
    <w:rsid w:val="00EB365F"/>
    <w:rsid w:val="00EB3744"/>
    <w:rsid w:val="00EB3808"/>
    <w:rsid w:val="00EB3821"/>
    <w:rsid w:val="00EB38C2"/>
    <w:rsid w:val="00EB3937"/>
    <w:rsid w:val="00EB3A74"/>
    <w:rsid w:val="00EB3ABA"/>
    <w:rsid w:val="00EB3BC7"/>
    <w:rsid w:val="00EB3BD1"/>
    <w:rsid w:val="00EB3DA0"/>
    <w:rsid w:val="00EB3EAA"/>
    <w:rsid w:val="00EB3FD4"/>
    <w:rsid w:val="00EB417F"/>
    <w:rsid w:val="00EB41B1"/>
    <w:rsid w:val="00EB43D3"/>
    <w:rsid w:val="00EB44A1"/>
    <w:rsid w:val="00EB44E0"/>
    <w:rsid w:val="00EB44EB"/>
    <w:rsid w:val="00EB4507"/>
    <w:rsid w:val="00EB4784"/>
    <w:rsid w:val="00EB4876"/>
    <w:rsid w:val="00EB48EF"/>
    <w:rsid w:val="00EB4B5A"/>
    <w:rsid w:val="00EB4BAF"/>
    <w:rsid w:val="00EB4D46"/>
    <w:rsid w:val="00EB4E0C"/>
    <w:rsid w:val="00EB4EBF"/>
    <w:rsid w:val="00EB4EC3"/>
    <w:rsid w:val="00EB4F15"/>
    <w:rsid w:val="00EB5002"/>
    <w:rsid w:val="00EB514E"/>
    <w:rsid w:val="00EB5248"/>
    <w:rsid w:val="00EB52FB"/>
    <w:rsid w:val="00EB53C8"/>
    <w:rsid w:val="00EB541C"/>
    <w:rsid w:val="00EB54ED"/>
    <w:rsid w:val="00EB5779"/>
    <w:rsid w:val="00EB587C"/>
    <w:rsid w:val="00EB5C52"/>
    <w:rsid w:val="00EB5DA7"/>
    <w:rsid w:val="00EB5DF5"/>
    <w:rsid w:val="00EB5F21"/>
    <w:rsid w:val="00EB5F38"/>
    <w:rsid w:val="00EB6031"/>
    <w:rsid w:val="00EB60BD"/>
    <w:rsid w:val="00EB63F6"/>
    <w:rsid w:val="00EB648F"/>
    <w:rsid w:val="00EB64B6"/>
    <w:rsid w:val="00EB656C"/>
    <w:rsid w:val="00EB6588"/>
    <w:rsid w:val="00EB661B"/>
    <w:rsid w:val="00EB677F"/>
    <w:rsid w:val="00EB678C"/>
    <w:rsid w:val="00EB6A10"/>
    <w:rsid w:val="00EB6ABE"/>
    <w:rsid w:val="00EB6B8A"/>
    <w:rsid w:val="00EB6D5E"/>
    <w:rsid w:val="00EB6DA8"/>
    <w:rsid w:val="00EB6E53"/>
    <w:rsid w:val="00EB6E85"/>
    <w:rsid w:val="00EB6FBB"/>
    <w:rsid w:val="00EB6FF0"/>
    <w:rsid w:val="00EB709C"/>
    <w:rsid w:val="00EB7367"/>
    <w:rsid w:val="00EB7389"/>
    <w:rsid w:val="00EB7601"/>
    <w:rsid w:val="00EB7660"/>
    <w:rsid w:val="00EB76F2"/>
    <w:rsid w:val="00EB773E"/>
    <w:rsid w:val="00EB77DB"/>
    <w:rsid w:val="00EB7820"/>
    <w:rsid w:val="00EB7944"/>
    <w:rsid w:val="00EB799D"/>
    <w:rsid w:val="00EB79C0"/>
    <w:rsid w:val="00EB7A13"/>
    <w:rsid w:val="00EB7A41"/>
    <w:rsid w:val="00EB7B24"/>
    <w:rsid w:val="00EB7B72"/>
    <w:rsid w:val="00EB7CAF"/>
    <w:rsid w:val="00EB7CEC"/>
    <w:rsid w:val="00EB7D61"/>
    <w:rsid w:val="00EB7D82"/>
    <w:rsid w:val="00EB7E38"/>
    <w:rsid w:val="00EB7E6C"/>
    <w:rsid w:val="00EB7F54"/>
    <w:rsid w:val="00EB7F7E"/>
    <w:rsid w:val="00EC005C"/>
    <w:rsid w:val="00EC01E4"/>
    <w:rsid w:val="00EC02D0"/>
    <w:rsid w:val="00EC06F0"/>
    <w:rsid w:val="00EC0760"/>
    <w:rsid w:val="00EC0820"/>
    <w:rsid w:val="00EC0902"/>
    <w:rsid w:val="00EC09E6"/>
    <w:rsid w:val="00EC0AF2"/>
    <w:rsid w:val="00EC0BD3"/>
    <w:rsid w:val="00EC0DE5"/>
    <w:rsid w:val="00EC0DF2"/>
    <w:rsid w:val="00EC0EF1"/>
    <w:rsid w:val="00EC0EF2"/>
    <w:rsid w:val="00EC10CB"/>
    <w:rsid w:val="00EC121A"/>
    <w:rsid w:val="00EC1282"/>
    <w:rsid w:val="00EC13A6"/>
    <w:rsid w:val="00EC15CD"/>
    <w:rsid w:val="00EC16C9"/>
    <w:rsid w:val="00EC16EF"/>
    <w:rsid w:val="00EC1717"/>
    <w:rsid w:val="00EC1864"/>
    <w:rsid w:val="00EC190A"/>
    <w:rsid w:val="00EC1A1D"/>
    <w:rsid w:val="00EC1A8B"/>
    <w:rsid w:val="00EC1B11"/>
    <w:rsid w:val="00EC1BF9"/>
    <w:rsid w:val="00EC1C12"/>
    <w:rsid w:val="00EC1E35"/>
    <w:rsid w:val="00EC1EB5"/>
    <w:rsid w:val="00EC1ED5"/>
    <w:rsid w:val="00EC1EF4"/>
    <w:rsid w:val="00EC2030"/>
    <w:rsid w:val="00EC2063"/>
    <w:rsid w:val="00EC21F6"/>
    <w:rsid w:val="00EC231D"/>
    <w:rsid w:val="00EC2343"/>
    <w:rsid w:val="00EC239B"/>
    <w:rsid w:val="00EC242B"/>
    <w:rsid w:val="00EC24F6"/>
    <w:rsid w:val="00EC25B7"/>
    <w:rsid w:val="00EC26A3"/>
    <w:rsid w:val="00EC284C"/>
    <w:rsid w:val="00EC28AF"/>
    <w:rsid w:val="00EC28CD"/>
    <w:rsid w:val="00EC2A83"/>
    <w:rsid w:val="00EC2A93"/>
    <w:rsid w:val="00EC2B0E"/>
    <w:rsid w:val="00EC2D4B"/>
    <w:rsid w:val="00EC3074"/>
    <w:rsid w:val="00EC30A8"/>
    <w:rsid w:val="00EC32EF"/>
    <w:rsid w:val="00EC3331"/>
    <w:rsid w:val="00EC337F"/>
    <w:rsid w:val="00EC34DB"/>
    <w:rsid w:val="00EC35BF"/>
    <w:rsid w:val="00EC36E2"/>
    <w:rsid w:val="00EC37CE"/>
    <w:rsid w:val="00EC3A3D"/>
    <w:rsid w:val="00EC3A86"/>
    <w:rsid w:val="00EC3AC5"/>
    <w:rsid w:val="00EC3AD8"/>
    <w:rsid w:val="00EC3B8B"/>
    <w:rsid w:val="00EC3BAF"/>
    <w:rsid w:val="00EC3E50"/>
    <w:rsid w:val="00EC3EE8"/>
    <w:rsid w:val="00EC3FB7"/>
    <w:rsid w:val="00EC4063"/>
    <w:rsid w:val="00EC4157"/>
    <w:rsid w:val="00EC42AF"/>
    <w:rsid w:val="00EC43AA"/>
    <w:rsid w:val="00EC447E"/>
    <w:rsid w:val="00EC44C5"/>
    <w:rsid w:val="00EC44E5"/>
    <w:rsid w:val="00EC44E7"/>
    <w:rsid w:val="00EC466A"/>
    <w:rsid w:val="00EC4782"/>
    <w:rsid w:val="00EC4821"/>
    <w:rsid w:val="00EC49A9"/>
    <w:rsid w:val="00EC4A17"/>
    <w:rsid w:val="00EC4CD4"/>
    <w:rsid w:val="00EC4D8F"/>
    <w:rsid w:val="00EC4DCC"/>
    <w:rsid w:val="00EC4E8A"/>
    <w:rsid w:val="00EC4F58"/>
    <w:rsid w:val="00EC51D9"/>
    <w:rsid w:val="00EC523A"/>
    <w:rsid w:val="00EC52B9"/>
    <w:rsid w:val="00EC5346"/>
    <w:rsid w:val="00EC53C4"/>
    <w:rsid w:val="00EC53F6"/>
    <w:rsid w:val="00EC5432"/>
    <w:rsid w:val="00EC547F"/>
    <w:rsid w:val="00EC552D"/>
    <w:rsid w:val="00EC5633"/>
    <w:rsid w:val="00EC56D2"/>
    <w:rsid w:val="00EC595E"/>
    <w:rsid w:val="00EC597B"/>
    <w:rsid w:val="00EC5A18"/>
    <w:rsid w:val="00EC5A6E"/>
    <w:rsid w:val="00EC5A73"/>
    <w:rsid w:val="00EC5AC0"/>
    <w:rsid w:val="00EC5C82"/>
    <w:rsid w:val="00EC5E78"/>
    <w:rsid w:val="00EC6050"/>
    <w:rsid w:val="00EC609B"/>
    <w:rsid w:val="00EC615A"/>
    <w:rsid w:val="00EC6262"/>
    <w:rsid w:val="00EC62F8"/>
    <w:rsid w:val="00EC6337"/>
    <w:rsid w:val="00EC633C"/>
    <w:rsid w:val="00EC6523"/>
    <w:rsid w:val="00EC657E"/>
    <w:rsid w:val="00EC66CE"/>
    <w:rsid w:val="00EC676C"/>
    <w:rsid w:val="00EC67C6"/>
    <w:rsid w:val="00EC684A"/>
    <w:rsid w:val="00EC6903"/>
    <w:rsid w:val="00EC6ABD"/>
    <w:rsid w:val="00EC6AF9"/>
    <w:rsid w:val="00EC6B04"/>
    <w:rsid w:val="00EC6B37"/>
    <w:rsid w:val="00EC6BD0"/>
    <w:rsid w:val="00EC6E6B"/>
    <w:rsid w:val="00EC6E87"/>
    <w:rsid w:val="00EC6EDD"/>
    <w:rsid w:val="00EC6FEC"/>
    <w:rsid w:val="00EC7020"/>
    <w:rsid w:val="00EC70D3"/>
    <w:rsid w:val="00EC70E8"/>
    <w:rsid w:val="00EC73CA"/>
    <w:rsid w:val="00EC7411"/>
    <w:rsid w:val="00EC74D8"/>
    <w:rsid w:val="00EC7523"/>
    <w:rsid w:val="00EC76FB"/>
    <w:rsid w:val="00EC776A"/>
    <w:rsid w:val="00EC7841"/>
    <w:rsid w:val="00EC79C7"/>
    <w:rsid w:val="00EC7FE6"/>
    <w:rsid w:val="00EC7FF7"/>
    <w:rsid w:val="00EC7FFD"/>
    <w:rsid w:val="00EC9D99"/>
    <w:rsid w:val="00ED00C6"/>
    <w:rsid w:val="00ED0148"/>
    <w:rsid w:val="00ED01A5"/>
    <w:rsid w:val="00ED01FD"/>
    <w:rsid w:val="00ED0330"/>
    <w:rsid w:val="00ED03C4"/>
    <w:rsid w:val="00ED046D"/>
    <w:rsid w:val="00ED04F2"/>
    <w:rsid w:val="00ED0560"/>
    <w:rsid w:val="00ED05E6"/>
    <w:rsid w:val="00ED0641"/>
    <w:rsid w:val="00ED0808"/>
    <w:rsid w:val="00ED0951"/>
    <w:rsid w:val="00ED0A7A"/>
    <w:rsid w:val="00ED0A87"/>
    <w:rsid w:val="00ED0B25"/>
    <w:rsid w:val="00ED0BBB"/>
    <w:rsid w:val="00ED0CA5"/>
    <w:rsid w:val="00ED0D3C"/>
    <w:rsid w:val="00ED0EA1"/>
    <w:rsid w:val="00ED0EB7"/>
    <w:rsid w:val="00ED1444"/>
    <w:rsid w:val="00ED1547"/>
    <w:rsid w:val="00ED1634"/>
    <w:rsid w:val="00ED168C"/>
    <w:rsid w:val="00ED185C"/>
    <w:rsid w:val="00ED1A7B"/>
    <w:rsid w:val="00ED1D21"/>
    <w:rsid w:val="00ED1E30"/>
    <w:rsid w:val="00ED1E4F"/>
    <w:rsid w:val="00ED1E9C"/>
    <w:rsid w:val="00ED1F6B"/>
    <w:rsid w:val="00ED20AA"/>
    <w:rsid w:val="00ED20E4"/>
    <w:rsid w:val="00ED20E6"/>
    <w:rsid w:val="00ED21A5"/>
    <w:rsid w:val="00ED22FF"/>
    <w:rsid w:val="00ED24E8"/>
    <w:rsid w:val="00ED2617"/>
    <w:rsid w:val="00ED2740"/>
    <w:rsid w:val="00ED2B11"/>
    <w:rsid w:val="00ED2B73"/>
    <w:rsid w:val="00ED2BF5"/>
    <w:rsid w:val="00ED2C90"/>
    <w:rsid w:val="00ED2E7C"/>
    <w:rsid w:val="00ED2F46"/>
    <w:rsid w:val="00ED2FC2"/>
    <w:rsid w:val="00ED301F"/>
    <w:rsid w:val="00ED3027"/>
    <w:rsid w:val="00ED3253"/>
    <w:rsid w:val="00ED3362"/>
    <w:rsid w:val="00ED3463"/>
    <w:rsid w:val="00ED35AB"/>
    <w:rsid w:val="00ED3868"/>
    <w:rsid w:val="00ED3BA0"/>
    <w:rsid w:val="00ED3CBA"/>
    <w:rsid w:val="00ED3D1E"/>
    <w:rsid w:val="00ED3FBD"/>
    <w:rsid w:val="00ED406B"/>
    <w:rsid w:val="00ED40DC"/>
    <w:rsid w:val="00ED42B4"/>
    <w:rsid w:val="00ED45B0"/>
    <w:rsid w:val="00ED45B9"/>
    <w:rsid w:val="00ED45CA"/>
    <w:rsid w:val="00ED470A"/>
    <w:rsid w:val="00ED4762"/>
    <w:rsid w:val="00ED47C3"/>
    <w:rsid w:val="00ED4902"/>
    <w:rsid w:val="00ED4A94"/>
    <w:rsid w:val="00ED4ABD"/>
    <w:rsid w:val="00ED4B0F"/>
    <w:rsid w:val="00ED4B79"/>
    <w:rsid w:val="00ED4C85"/>
    <w:rsid w:val="00ED4E00"/>
    <w:rsid w:val="00ED4EBE"/>
    <w:rsid w:val="00ED4F02"/>
    <w:rsid w:val="00ED511F"/>
    <w:rsid w:val="00ED51AF"/>
    <w:rsid w:val="00ED522F"/>
    <w:rsid w:val="00ED5239"/>
    <w:rsid w:val="00ED540E"/>
    <w:rsid w:val="00ED5421"/>
    <w:rsid w:val="00ED55AD"/>
    <w:rsid w:val="00ED56BF"/>
    <w:rsid w:val="00ED5784"/>
    <w:rsid w:val="00ED578B"/>
    <w:rsid w:val="00ED57A0"/>
    <w:rsid w:val="00ED59CE"/>
    <w:rsid w:val="00ED59E1"/>
    <w:rsid w:val="00ED59EB"/>
    <w:rsid w:val="00ED59F6"/>
    <w:rsid w:val="00ED5BCA"/>
    <w:rsid w:val="00ED5D0C"/>
    <w:rsid w:val="00ED5F32"/>
    <w:rsid w:val="00ED5F79"/>
    <w:rsid w:val="00ED602E"/>
    <w:rsid w:val="00ED620B"/>
    <w:rsid w:val="00ED629F"/>
    <w:rsid w:val="00ED6525"/>
    <w:rsid w:val="00ED6655"/>
    <w:rsid w:val="00ED678F"/>
    <w:rsid w:val="00ED682B"/>
    <w:rsid w:val="00ED6B4A"/>
    <w:rsid w:val="00ED6C13"/>
    <w:rsid w:val="00ED6CB3"/>
    <w:rsid w:val="00ED6D35"/>
    <w:rsid w:val="00ED6EB0"/>
    <w:rsid w:val="00ED6F18"/>
    <w:rsid w:val="00ED7087"/>
    <w:rsid w:val="00ED7273"/>
    <w:rsid w:val="00ED72A9"/>
    <w:rsid w:val="00ED74E2"/>
    <w:rsid w:val="00ED754E"/>
    <w:rsid w:val="00ED757D"/>
    <w:rsid w:val="00ED76B9"/>
    <w:rsid w:val="00ED76E9"/>
    <w:rsid w:val="00ED77EE"/>
    <w:rsid w:val="00ED79F0"/>
    <w:rsid w:val="00ED7A1E"/>
    <w:rsid w:val="00ED7A89"/>
    <w:rsid w:val="00ED7B91"/>
    <w:rsid w:val="00ED7BEB"/>
    <w:rsid w:val="00ED7C1E"/>
    <w:rsid w:val="00ED7CC4"/>
    <w:rsid w:val="00ED7DBC"/>
    <w:rsid w:val="00ED7FC3"/>
    <w:rsid w:val="00EE020A"/>
    <w:rsid w:val="00EE034C"/>
    <w:rsid w:val="00EE04A7"/>
    <w:rsid w:val="00EE05D3"/>
    <w:rsid w:val="00EE05DD"/>
    <w:rsid w:val="00EE0616"/>
    <w:rsid w:val="00EE07CE"/>
    <w:rsid w:val="00EE0971"/>
    <w:rsid w:val="00EE0A4A"/>
    <w:rsid w:val="00EE0B2D"/>
    <w:rsid w:val="00EE0B54"/>
    <w:rsid w:val="00EE0EBD"/>
    <w:rsid w:val="00EE0F1F"/>
    <w:rsid w:val="00EE129F"/>
    <w:rsid w:val="00EE15F4"/>
    <w:rsid w:val="00EE1630"/>
    <w:rsid w:val="00EE16B5"/>
    <w:rsid w:val="00EE1ADF"/>
    <w:rsid w:val="00EE1BFA"/>
    <w:rsid w:val="00EE1E2C"/>
    <w:rsid w:val="00EE1F06"/>
    <w:rsid w:val="00EE1F0A"/>
    <w:rsid w:val="00EE1F7A"/>
    <w:rsid w:val="00EE2141"/>
    <w:rsid w:val="00EE23AE"/>
    <w:rsid w:val="00EE244F"/>
    <w:rsid w:val="00EE24E8"/>
    <w:rsid w:val="00EE258F"/>
    <w:rsid w:val="00EE25C4"/>
    <w:rsid w:val="00EE26BA"/>
    <w:rsid w:val="00EE26EF"/>
    <w:rsid w:val="00EE2715"/>
    <w:rsid w:val="00EE2779"/>
    <w:rsid w:val="00EE2788"/>
    <w:rsid w:val="00EE283E"/>
    <w:rsid w:val="00EE287C"/>
    <w:rsid w:val="00EE29E4"/>
    <w:rsid w:val="00EE2A65"/>
    <w:rsid w:val="00EE2AC7"/>
    <w:rsid w:val="00EE2C7F"/>
    <w:rsid w:val="00EE2DF3"/>
    <w:rsid w:val="00EE2E87"/>
    <w:rsid w:val="00EE2E96"/>
    <w:rsid w:val="00EE2F0C"/>
    <w:rsid w:val="00EE3207"/>
    <w:rsid w:val="00EE32C7"/>
    <w:rsid w:val="00EE3316"/>
    <w:rsid w:val="00EE340D"/>
    <w:rsid w:val="00EE34B6"/>
    <w:rsid w:val="00EE34CD"/>
    <w:rsid w:val="00EE39AB"/>
    <w:rsid w:val="00EE39F6"/>
    <w:rsid w:val="00EE3A94"/>
    <w:rsid w:val="00EE3B48"/>
    <w:rsid w:val="00EE3C69"/>
    <w:rsid w:val="00EE3CCF"/>
    <w:rsid w:val="00EE3CF1"/>
    <w:rsid w:val="00EE4011"/>
    <w:rsid w:val="00EE4037"/>
    <w:rsid w:val="00EE42D6"/>
    <w:rsid w:val="00EE4342"/>
    <w:rsid w:val="00EE4363"/>
    <w:rsid w:val="00EE43B8"/>
    <w:rsid w:val="00EE443F"/>
    <w:rsid w:val="00EE463D"/>
    <w:rsid w:val="00EE464A"/>
    <w:rsid w:val="00EE472A"/>
    <w:rsid w:val="00EE4781"/>
    <w:rsid w:val="00EE47C7"/>
    <w:rsid w:val="00EE4A49"/>
    <w:rsid w:val="00EE4A5A"/>
    <w:rsid w:val="00EE4B0D"/>
    <w:rsid w:val="00EE4B49"/>
    <w:rsid w:val="00EE4C27"/>
    <w:rsid w:val="00EE4CA5"/>
    <w:rsid w:val="00EE4D31"/>
    <w:rsid w:val="00EE4D45"/>
    <w:rsid w:val="00EE4F8E"/>
    <w:rsid w:val="00EE51B8"/>
    <w:rsid w:val="00EE5327"/>
    <w:rsid w:val="00EE5522"/>
    <w:rsid w:val="00EE56FF"/>
    <w:rsid w:val="00EE5763"/>
    <w:rsid w:val="00EE5857"/>
    <w:rsid w:val="00EE5875"/>
    <w:rsid w:val="00EE5933"/>
    <w:rsid w:val="00EE5985"/>
    <w:rsid w:val="00EE5B56"/>
    <w:rsid w:val="00EE5B9D"/>
    <w:rsid w:val="00EE5E23"/>
    <w:rsid w:val="00EE604F"/>
    <w:rsid w:val="00EE6271"/>
    <w:rsid w:val="00EE6375"/>
    <w:rsid w:val="00EE648E"/>
    <w:rsid w:val="00EE6655"/>
    <w:rsid w:val="00EE668F"/>
    <w:rsid w:val="00EE66B1"/>
    <w:rsid w:val="00EE68E6"/>
    <w:rsid w:val="00EE6B28"/>
    <w:rsid w:val="00EE6D80"/>
    <w:rsid w:val="00EE6E2A"/>
    <w:rsid w:val="00EE6FC4"/>
    <w:rsid w:val="00EE703A"/>
    <w:rsid w:val="00EE7070"/>
    <w:rsid w:val="00EE72EB"/>
    <w:rsid w:val="00EE75D4"/>
    <w:rsid w:val="00EE761A"/>
    <w:rsid w:val="00EE76A6"/>
    <w:rsid w:val="00EE775D"/>
    <w:rsid w:val="00EE77E8"/>
    <w:rsid w:val="00EE79F6"/>
    <w:rsid w:val="00EE7F2E"/>
    <w:rsid w:val="00EE7FD2"/>
    <w:rsid w:val="00EF0098"/>
    <w:rsid w:val="00EF00D4"/>
    <w:rsid w:val="00EF03AA"/>
    <w:rsid w:val="00EF0583"/>
    <w:rsid w:val="00EF0673"/>
    <w:rsid w:val="00EF06E5"/>
    <w:rsid w:val="00EF080F"/>
    <w:rsid w:val="00EF0829"/>
    <w:rsid w:val="00EF0BC2"/>
    <w:rsid w:val="00EF0C68"/>
    <w:rsid w:val="00EF0DB6"/>
    <w:rsid w:val="00EF0F8C"/>
    <w:rsid w:val="00EF11DD"/>
    <w:rsid w:val="00EF13A9"/>
    <w:rsid w:val="00EF13B9"/>
    <w:rsid w:val="00EF1693"/>
    <w:rsid w:val="00EF17C7"/>
    <w:rsid w:val="00EF17F0"/>
    <w:rsid w:val="00EF180B"/>
    <w:rsid w:val="00EF1A95"/>
    <w:rsid w:val="00EF1AB0"/>
    <w:rsid w:val="00EF1AFE"/>
    <w:rsid w:val="00EF1E06"/>
    <w:rsid w:val="00EF1E18"/>
    <w:rsid w:val="00EF1E75"/>
    <w:rsid w:val="00EF1EBE"/>
    <w:rsid w:val="00EF1EFB"/>
    <w:rsid w:val="00EF1F41"/>
    <w:rsid w:val="00EF20F6"/>
    <w:rsid w:val="00EF21FD"/>
    <w:rsid w:val="00EF23A0"/>
    <w:rsid w:val="00EF24DD"/>
    <w:rsid w:val="00EF2A9B"/>
    <w:rsid w:val="00EF2B8D"/>
    <w:rsid w:val="00EF2C16"/>
    <w:rsid w:val="00EF2D49"/>
    <w:rsid w:val="00EF2D55"/>
    <w:rsid w:val="00EF2D8D"/>
    <w:rsid w:val="00EF2ED7"/>
    <w:rsid w:val="00EF3261"/>
    <w:rsid w:val="00EF331E"/>
    <w:rsid w:val="00EF33F0"/>
    <w:rsid w:val="00EF354A"/>
    <w:rsid w:val="00EF37C6"/>
    <w:rsid w:val="00EF380A"/>
    <w:rsid w:val="00EF3972"/>
    <w:rsid w:val="00EF39DF"/>
    <w:rsid w:val="00EF3A8C"/>
    <w:rsid w:val="00EF3AEA"/>
    <w:rsid w:val="00EF3E7D"/>
    <w:rsid w:val="00EF4038"/>
    <w:rsid w:val="00EF42F4"/>
    <w:rsid w:val="00EF43AA"/>
    <w:rsid w:val="00EF43D2"/>
    <w:rsid w:val="00EF44EE"/>
    <w:rsid w:val="00EF4681"/>
    <w:rsid w:val="00EF4756"/>
    <w:rsid w:val="00EF48B8"/>
    <w:rsid w:val="00EF4918"/>
    <w:rsid w:val="00EF4949"/>
    <w:rsid w:val="00EF4965"/>
    <w:rsid w:val="00EF4BA1"/>
    <w:rsid w:val="00EF4BEA"/>
    <w:rsid w:val="00EF4C7E"/>
    <w:rsid w:val="00EF4D29"/>
    <w:rsid w:val="00EF4D90"/>
    <w:rsid w:val="00EF4EC7"/>
    <w:rsid w:val="00EF51D8"/>
    <w:rsid w:val="00EF51F2"/>
    <w:rsid w:val="00EF5203"/>
    <w:rsid w:val="00EF52CD"/>
    <w:rsid w:val="00EF5339"/>
    <w:rsid w:val="00EF5423"/>
    <w:rsid w:val="00EF5488"/>
    <w:rsid w:val="00EF5581"/>
    <w:rsid w:val="00EF5718"/>
    <w:rsid w:val="00EF57B8"/>
    <w:rsid w:val="00EF57E9"/>
    <w:rsid w:val="00EF5AB9"/>
    <w:rsid w:val="00EF5B5D"/>
    <w:rsid w:val="00EF5B5F"/>
    <w:rsid w:val="00EF5ED6"/>
    <w:rsid w:val="00EF5F9B"/>
    <w:rsid w:val="00EF609E"/>
    <w:rsid w:val="00EF625D"/>
    <w:rsid w:val="00EF6331"/>
    <w:rsid w:val="00EF6368"/>
    <w:rsid w:val="00EF63C9"/>
    <w:rsid w:val="00EF63E5"/>
    <w:rsid w:val="00EF6469"/>
    <w:rsid w:val="00EF64DE"/>
    <w:rsid w:val="00EF65F1"/>
    <w:rsid w:val="00EF68EA"/>
    <w:rsid w:val="00EF6962"/>
    <w:rsid w:val="00EF6A1C"/>
    <w:rsid w:val="00EF6A40"/>
    <w:rsid w:val="00EF6B50"/>
    <w:rsid w:val="00EF6C1D"/>
    <w:rsid w:val="00EF6D10"/>
    <w:rsid w:val="00EF6D80"/>
    <w:rsid w:val="00EF6D8B"/>
    <w:rsid w:val="00EF6DFC"/>
    <w:rsid w:val="00EF6E0F"/>
    <w:rsid w:val="00EF6E4C"/>
    <w:rsid w:val="00EF6E67"/>
    <w:rsid w:val="00EF6FA9"/>
    <w:rsid w:val="00EF706E"/>
    <w:rsid w:val="00EF7089"/>
    <w:rsid w:val="00EF72F5"/>
    <w:rsid w:val="00EF733D"/>
    <w:rsid w:val="00EF7419"/>
    <w:rsid w:val="00EF74C8"/>
    <w:rsid w:val="00EF7514"/>
    <w:rsid w:val="00EF771E"/>
    <w:rsid w:val="00EF78A6"/>
    <w:rsid w:val="00EF79A0"/>
    <w:rsid w:val="00EF79B9"/>
    <w:rsid w:val="00EF7B5B"/>
    <w:rsid w:val="00EF7BC0"/>
    <w:rsid w:val="00EF7E86"/>
    <w:rsid w:val="00EF7E90"/>
    <w:rsid w:val="00EF7FE0"/>
    <w:rsid w:val="00F0025E"/>
    <w:rsid w:val="00F002D2"/>
    <w:rsid w:val="00F002D6"/>
    <w:rsid w:val="00F002DD"/>
    <w:rsid w:val="00F0047B"/>
    <w:rsid w:val="00F006C7"/>
    <w:rsid w:val="00F007BC"/>
    <w:rsid w:val="00F00C16"/>
    <w:rsid w:val="00F00C56"/>
    <w:rsid w:val="00F00C67"/>
    <w:rsid w:val="00F00C68"/>
    <w:rsid w:val="00F00DC9"/>
    <w:rsid w:val="00F00E38"/>
    <w:rsid w:val="00F01033"/>
    <w:rsid w:val="00F010AA"/>
    <w:rsid w:val="00F0121B"/>
    <w:rsid w:val="00F01230"/>
    <w:rsid w:val="00F012C0"/>
    <w:rsid w:val="00F012C7"/>
    <w:rsid w:val="00F0141F"/>
    <w:rsid w:val="00F01460"/>
    <w:rsid w:val="00F015AD"/>
    <w:rsid w:val="00F0161E"/>
    <w:rsid w:val="00F017F6"/>
    <w:rsid w:val="00F01804"/>
    <w:rsid w:val="00F019DB"/>
    <w:rsid w:val="00F01A1B"/>
    <w:rsid w:val="00F01A21"/>
    <w:rsid w:val="00F01AB4"/>
    <w:rsid w:val="00F01AD2"/>
    <w:rsid w:val="00F01AD4"/>
    <w:rsid w:val="00F01BF9"/>
    <w:rsid w:val="00F01D65"/>
    <w:rsid w:val="00F01EC1"/>
    <w:rsid w:val="00F01F80"/>
    <w:rsid w:val="00F01F97"/>
    <w:rsid w:val="00F021CE"/>
    <w:rsid w:val="00F02230"/>
    <w:rsid w:val="00F02286"/>
    <w:rsid w:val="00F023F5"/>
    <w:rsid w:val="00F024F1"/>
    <w:rsid w:val="00F02560"/>
    <w:rsid w:val="00F0259C"/>
    <w:rsid w:val="00F0268A"/>
    <w:rsid w:val="00F0268B"/>
    <w:rsid w:val="00F02837"/>
    <w:rsid w:val="00F02879"/>
    <w:rsid w:val="00F02918"/>
    <w:rsid w:val="00F02A9E"/>
    <w:rsid w:val="00F02B8B"/>
    <w:rsid w:val="00F02F8B"/>
    <w:rsid w:val="00F02F91"/>
    <w:rsid w:val="00F03110"/>
    <w:rsid w:val="00F03135"/>
    <w:rsid w:val="00F031D4"/>
    <w:rsid w:val="00F03254"/>
    <w:rsid w:val="00F0327F"/>
    <w:rsid w:val="00F03498"/>
    <w:rsid w:val="00F034EB"/>
    <w:rsid w:val="00F03582"/>
    <w:rsid w:val="00F03656"/>
    <w:rsid w:val="00F0373F"/>
    <w:rsid w:val="00F03759"/>
    <w:rsid w:val="00F037BA"/>
    <w:rsid w:val="00F0381E"/>
    <w:rsid w:val="00F038A8"/>
    <w:rsid w:val="00F03940"/>
    <w:rsid w:val="00F03C39"/>
    <w:rsid w:val="00F03C7A"/>
    <w:rsid w:val="00F03DB5"/>
    <w:rsid w:val="00F03DEC"/>
    <w:rsid w:val="00F03E81"/>
    <w:rsid w:val="00F03EF1"/>
    <w:rsid w:val="00F0403C"/>
    <w:rsid w:val="00F041FC"/>
    <w:rsid w:val="00F04368"/>
    <w:rsid w:val="00F04373"/>
    <w:rsid w:val="00F04405"/>
    <w:rsid w:val="00F045BB"/>
    <w:rsid w:val="00F045FE"/>
    <w:rsid w:val="00F04694"/>
    <w:rsid w:val="00F047E6"/>
    <w:rsid w:val="00F04844"/>
    <w:rsid w:val="00F0495B"/>
    <w:rsid w:val="00F04ABF"/>
    <w:rsid w:val="00F04AF1"/>
    <w:rsid w:val="00F04B33"/>
    <w:rsid w:val="00F04BE3"/>
    <w:rsid w:val="00F04C0B"/>
    <w:rsid w:val="00F04C93"/>
    <w:rsid w:val="00F04D85"/>
    <w:rsid w:val="00F04E96"/>
    <w:rsid w:val="00F04EA6"/>
    <w:rsid w:val="00F04F3D"/>
    <w:rsid w:val="00F04F88"/>
    <w:rsid w:val="00F05007"/>
    <w:rsid w:val="00F052FA"/>
    <w:rsid w:val="00F05347"/>
    <w:rsid w:val="00F0541C"/>
    <w:rsid w:val="00F054AA"/>
    <w:rsid w:val="00F05547"/>
    <w:rsid w:val="00F056A0"/>
    <w:rsid w:val="00F056C6"/>
    <w:rsid w:val="00F057A3"/>
    <w:rsid w:val="00F0582D"/>
    <w:rsid w:val="00F05933"/>
    <w:rsid w:val="00F0594C"/>
    <w:rsid w:val="00F05A0F"/>
    <w:rsid w:val="00F05A7F"/>
    <w:rsid w:val="00F05BB3"/>
    <w:rsid w:val="00F05BB5"/>
    <w:rsid w:val="00F05CDE"/>
    <w:rsid w:val="00F05ED0"/>
    <w:rsid w:val="00F0605F"/>
    <w:rsid w:val="00F060AC"/>
    <w:rsid w:val="00F060CE"/>
    <w:rsid w:val="00F06121"/>
    <w:rsid w:val="00F061F4"/>
    <w:rsid w:val="00F062DD"/>
    <w:rsid w:val="00F063CE"/>
    <w:rsid w:val="00F06435"/>
    <w:rsid w:val="00F06450"/>
    <w:rsid w:val="00F066FB"/>
    <w:rsid w:val="00F069D7"/>
    <w:rsid w:val="00F06A95"/>
    <w:rsid w:val="00F06B68"/>
    <w:rsid w:val="00F06BCC"/>
    <w:rsid w:val="00F06D30"/>
    <w:rsid w:val="00F06DDC"/>
    <w:rsid w:val="00F07022"/>
    <w:rsid w:val="00F07057"/>
    <w:rsid w:val="00F070B0"/>
    <w:rsid w:val="00F070F3"/>
    <w:rsid w:val="00F07269"/>
    <w:rsid w:val="00F073F2"/>
    <w:rsid w:val="00F0742A"/>
    <w:rsid w:val="00F0749C"/>
    <w:rsid w:val="00F074C0"/>
    <w:rsid w:val="00F0754C"/>
    <w:rsid w:val="00F075D2"/>
    <w:rsid w:val="00F07786"/>
    <w:rsid w:val="00F0780A"/>
    <w:rsid w:val="00F0798E"/>
    <w:rsid w:val="00F07ACF"/>
    <w:rsid w:val="00F07B75"/>
    <w:rsid w:val="00F07BD2"/>
    <w:rsid w:val="00F07D93"/>
    <w:rsid w:val="00F07EC6"/>
    <w:rsid w:val="00F07F6D"/>
    <w:rsid w:val="00F07FC1"/>
    <w:rsid w:val="00F10029"/>
    <w:rsid w:val="00F101A7"/>
    <w:rsid w:val="00F1020C"/>
    <w:rsid w:val="00F10356"/>
    <w:rsid w:val="00F106A0"/>
    <w:rsid w:val="00F106B6"/>
    <w:rsid w:val="00F10903"/>
    <w:rsid w:val="00F10B75"/>
    <w:rsid w:val="00F10CF0"/>
    <w:rsid w:val="00F10D4E"/>
    <w:rsid w:val="00F10EC8"/>
    <w:rsid w:val="00F10ECA"/>
    <w:rsid w:val="00F1108F"/>
    <w:rsid w:val="00F110FC"/>
    <w:rsid w:val="00F1117C"/>
    <w:rsid w:val="00F11183"/>
    <w:rsid w:val="00F1145A"/>
    <w:rsid w:val="00F1145C"/>
    <w:rsid w:val="00F114B4"/>
    <w:rsid w:val="00F1154C"/>
    <w:rsid w:val="00F11740"/>
    <w:rsid w:val="00F119E9"/>
    <w:rsid w:val="00F11B23"/>
    <w:rsid w:val="00F11C30"/>
    <w:rsid w:val="00F11C7C"/>
    <w:rsid w:val="00F11F48"/>
    <w:rsid w:val="00F11FE7"/>
    <w:rsid w:val="00F11FF2"/>
    <w:rsid w:val="00F12361"/>
    <w:rsid w:val="00F1238F"/>
    <w:rsid w:val="00F123C8"/>
    <w:rsid w:val="00F12492"/>
    <w:rsid w:val="00F124BF"/>
    <w:rsid w:val="00F1255F"/>
    <w:rsid w:val="00F126A9"/>
    <w:rsid w:val="00F12773"/>
    <w:rsid w:val="00F1278D"/>
    <w:rsid w:val="00F129B1"/>
    <w:rsid w:val="00F12C34"/>
    <w:rsid w:val="00F12C7D"/>
    <w:rsid w:val="00F12D82"/>
    <w:rsid w:val="00F12ED7"/>
    <w:rsid w:val="00F12FFB"/>
    <w:rsid w:val="00F1308A"/>
    <w:rsid w:val="00F131E2"/>
    <w:rsid w:val="00F132EF"/>
    <w:rsid w:val="00F13361"/>
    <w:rsid w:val="00F133B3"/>
    <w:rsid w:val="00F1340A"/>
    <w:rsid w:val="00F135CA"/>
    <w:rsid w:val="00F136B3"/>
    <w:rsid w:val="00F13943"/>
    <w:rsid w:val="00F1394D"/>
    <w:rsid w:val="00F139E8"/>
    <w:rsid w:val="00F13A04"/>
    <w:rsid w:val="00F13A89"/>
    <w:rsid w:val="00F13BB9"/>
    <w:rsid w:val="00F13BFC"/>
    <w:rsid w:val="00F13C04"/>
    <w:rsid w:val="00F13D77"/>
    <w:rsid w:val="00F13DE5"/>
    <w:rsid w:val="00F140F5"/>
    <w:rsid w:val="00F1416A"/>
    <w:rsid w:val="00F1440B"/>
    <w:rsid w:val="00F146AF"/>
    <w:rsid w:val="00F14969"/>
    <w:rsid w:val="00F14A3D"/>
    <w:rsid w:val="00F14B8F"/>
    <w:rsid w:val="00F14CA6"/>
    <w:rsid w:val="00F14CC5"/>
    <w:rsid w:val="00F150DB"/>
    <w:rsid w:val="00F151D9"/>
    <w:rsid w:val="00F151E5"/>
    <w:rsid w:val="00F152A4"/>
    <w:rsid w:val="00F1543D"/>
    <w:rsid w:val="00F156BF"/>
    <w:rsid w:val="00F1573C"/>
    <w:rsid w:val="00F1581C"/>
    <w:rsid w:val="00F15A65"/>
    <w:rsid w:val="00F15C26"/>
    <w:rsid w:val="00F15CDE"/>
    <w:rsid w:val="00F15D31"/>
    <w:rsid w:val="00F15F62"/>
    <w:rsid w:val="00F15FAF"/>
    <w:rsid w:val="00F15FB5"/>
    <w:rsid w:val="00F15FC7"/>
    <w:rsid w:val="00F15FC9"/>
    <w:rsid w:val="00F1628C"/>
    <w:rsid w:val="00F1639A"/>
    <w:rsid w:val="00F163D9"/>
    <w:rsid w:val="00F16543"/>
    <w:rsid w:val="00F16599"/>
    <w:rsid w:val="00F1663C"/>
    <w:rsid w:val="00F166C7"/>
    <w:rsid w:val="00F16717"/>
    <w:rsid w:val="00F16853"/>
    <w:rsid w:val="00F168F6"/>
    <w:rsid w:val="00F1695C"/>
    <w:rsid w:val="00F169A3"/>
    <w:rsid w:val="00F169B5"/>
    <w:rsid w:val="00F16A13"/>
    <w:rsid w:val="00F16A27"/>
    <w:rsid w:val="00F16B0B"/>
    <w:rsid w:val="00F16C3F"/>
    <w:rsid w:val="00F16DAA"/>
    <w:rsid w:val="00F16E0E"/>
    <w:rsid w:val="00F16ECA"/>
    <w:rsid w:val="00F16FDE"/>
    <w:rsid w:val="00F1707A"/>
    <w:rsid w:val="00F1718C"/>
    <w:rsid w:val="00F171D1"/>
    <w:rsid w:val="00F171DC"/>
    <w:rsid w:val="00F1725B"/>
    <w:rsid w:val="00F1736E"/>
    <w:rsid w:val="00F17426"/>
    <w:rsid w:val="00F17471"/>
    <w:rsid w:val="00F174B9"/>
    <w:rsid w:val="00F175AD"/>
    <w:rsid w:val="00F176CD"/>
    <w:rsid w:val="00F1787C"/>
    <w:rsid w:val="00F178E7"/>
    <w:rsid w:val="00F1798B"/>
    <w:rsid w:val="00F179AC"/>
    <w:rsid w:val="00F17A76"/>
    <w:rsid w:val="00F17E10"/>
    <w:rsid w:val="00F2007C"/>
    <w:rsid w:val="00F200BA"/>
    <w:rsid w:val="00F200BE"/>
    <w:rsid w:val="00F200FA"/>
    <w:rsid w:val="00F20169"/>
    <w:rsid w:val="00F203E5"/>
    <w:rsid w:val="00F20587"/>
    <w:rsid w:val="00F205A9"/>
    <w:rsid w:val="00F205D2"/>
    <w:rsid w:val="00F20988"/>
    <w:rsid w:val="00F20A6B"/>
    <w:rsid w:val="00F20ADC"/>
    <w:rsid w:val="00F20B5E"/>
    <w:rsid w:val="00F20ED4"/>
    <w:rsid w:val="00F20F7D"/>
    <w:rsid w:val="00F211F3"/>
    <w:rsid w:val="00F212DB"/>
    <w:rsid w:val="00F212DC"/>
    <w:rsid w:val="00F213A1"/>
    <w:rsid w:val="00F213EE"/>
    <w:rsid w:val="00F2153C"/>
    <w:rsid w:val="00F2164F"/>
    <w:rsid w:val="00F21899"/>
    <w:rsid w:val="00F21950"/>
    <w:rsid w:val="00F21A54"/>
    <w:rsid w:val="00F21ACA"/>
    <w:rsid w:val="00F21AF7"/>
    <w:rsid w:val="00F21B2E"/>
    <w:rsid w:val="00F22302"/>
    <w:rsid w:val="00F2294D"/>
    <w:rsid w:val="00F22A2E"/>
    <w:rsid w:val="00F22BF8"/>
    <w:rsid w:val="00F22C19"/>
    <w:rsid w:val="00F22C50"/>
    <w:rsid w:val="00F22C61"/>
    <w:rsid w:val="00F22D0F"/>
    <w:rsid w:val="00F22D2C"/>
    <w:rsid w:val="00F22DA5"/>
    <w:rsid w:val="00F22DD0"/>
    <w:rsid w:val="00F22E3E"/>
    <w:rsid w:val="00F22E55"/>
    <w:rsid w:val="00F22E6F"/>
    <w:rsid w:val="00F230FB"/>
    <w:rsid w:val="00F2314F"/>
    <w:rsid w:val="00F23198"/>
    <w:rsid w:val="00F234C7"/>
    <w:rsid w:val="00F23633"/>
    <w:rsid w:val="00F236F9"/>
    <w:rsid w:val="00F237DF"/>
    <w:rsid w:val="00F2388C"/>
    <w:rsid w:val="00F238B2"/>
    <w:rsid w:val="00F23A6B"/>
    <w:rsid w:val="00F23D5B"/>
    <w:rsid w:val="00F23DE0"/>
    <w:rsid w:val="00F23E82"/>
    <w:rsid w:val="00F23F69"/>
    <w:rsid w:val="00F23FD1"/>
    <w:rsid w:val="00F2406F"/>
    <w:rsid w:val="00F241AA"/>
    <w:rsid w:val="00F24396"/>
    <w:rsid w:val="00F248CA"/>
    <w:rsid w:val="00F24ADF"/>
    <w:rsid w:val="00F24D03"/>
    <w:rsid w:val="00F25115"/>
    <w:rsid w:val="00F25158"/>
    <w:rsid w:val="00F251BC"/>
    <w:rsid w:val="00F253B1"/>
    <w:rsid w:val="00F25487"/>
    <w:rsid w:val="00F25580"/>
    <w:rsid w:val="00F255C6"/>
    <w:rsid w:val="00F25839"/>
    <w:rsid w:val="00F2585C"/>
    <w:rsid w:val="00F25968"/>
    <w:rsid w:val="00F25A5D"/>
    <w:rsid w:val="00F25B65"/>
    <w:rsid w:val="00F25C64"/>
    <w:rsid w:val="00F25EFA"/>
    <w:rsid w:val="00F2602D"/>
    <w:rsid w:val="00F26124"/>
    <w:rsid w:val="00F2616E"/>
    <w:rsid w:val="00F2647F"/>
    <w:rsid w:val="00F2655D"/>
    <w:rsid w:val="00F267A5"/>
    <w:rsid w:val="00F2681E"/>
    <w:rsid w:val="00F26964"/>
    <w:rsid w:val="00F26A74"/>
    <w:rsid w:val="00F26A92"/>
    <w:rsid w:val="00F26BAC"/>
    <w:rsid w:val="00F26CEA"/>
    <w:rsid w:val="00F26D9E"/>
    <w:rsid w:val="00F26E00"/>
    <w:rsid w:val="00F26EF7"/>
    <w:rsid w:val="00F26F1D"/>
    <w:rsid w:val="00F26FA6"/>
    <w:rsid w:val="00F26FCA"/>
    <w:rsid w:val="00F26FE3"/>
    <w:rsid w:val="00F270EF"/>
    <w:rsid w:val="00F2717A"/>
    <w:rsid w:val="00F27734"/>
    <w:rsid w:val="00F27787"/>
    <w:rsid w:val="00F27A02"/>
    <w:rsid w:val="00F27A93"/>
    <w:rsid w:val="00F27AC5"/>
    <w:rsid w:val="00F27B86"/>
    <w:rsid w:val="00F27BA9"/>
    <w:rsid w:val="00F27BFD"/>
    <w:rsid w:val="00F27D31"/>
    <w:rsid w:val="00F27E4D"/>
    <w:rsid w:val="00F27F0D"/>
    <w:rsid w:val="00F30069"/>
    <w:rsid w:val="00F3018F"/>
    <w:rsid w:val="00F30230"/>
    <w:rsid w:val="00F303BC"/>
    <w:rsid w:val="00F3046D"/>
    <w:rsid w:val="00F3069E"/>
    <w:rsid w:val="00F3075A"/>
    <w:rsid w:val="00F30870"/>
    <w:rsid w:val="00F3092D"/>
    <w:rsid w:val="00F30A1F"/>
    <w:rsid w:val="00F30AE3"/>
    <w:rsid w:val="00F30BE7"/>
    <w:rsid w:val="00F30DDA"/>
    <w:rsid w:val="00F30E3A"/>
    <w:rsid w:val="00F30EDB"/>
    <w:rsid w:val="00F31260"/>
    <w:rsid w:val="00F31276"/>
    <w:rsid w:val="00F31324"/>
    <w:rsid w:val="00F314B5"/>
    <w:rsid w:val="00F314BF"/>
    <w:rsid w:val="00F31544"/>
    <w:rsid w:val="00F3158A"/>
    <w:rsid w:val="00F31848"/>
    <w:rsid w:val="00F31853"/>
    <w:rsid w:val="00F3187D"/>
    <w:rsid w:val="00F3189D"/>
    <w:rsid w:val="00F31963"/>
    <w:rsid w:val="00F31A07"/>
    <w:rsid w:val="00F31A7F"/>
    <w:rsid w:val="00F31BBC"/>
    <w:rsid w:val="00F31CDF"/>
    <w:rsid w:val="00F31D05"/>
    <w:rsid w:val="00F31DE7"/>
    <w:rsid w:val="00F31EC5"/>
    <w:rsid w:val="00F31FB5"/>
    <w:rsid w:val="00F31FB6"/>
    <w:rsid w:val="00F32244"/>
    <w:rsid w:val="00F32264"/>
    <w:rsid w:val="00F3229A"/>
    <w:rsid w:val="00F325B7"/>
    <w:rsid w:val="00F325D6"/>
    <w:rsid w:val="00F32746"/>
    <w:rsid w:val="00F327B5"/>
    <w:rsid w:val="00F328C0"/>
    <w:rsid w:val="00F328E7"/>
    <w:rsid w:val="00F32A72"/>
    <w:rsid w:val="00F32D93"/>
    <w:rsid w:val="00F32DC9"/>
    <w:rsid w:val="00F32E97"/>
    <w:rsid w:val="00F32EBE"/>
    <w:rsid w:val="00F331BB"/>
    <w:rsid w:val="00F332E9"/>
    <w:rsid w:val="00F333C8"/>
    <w:rsid w:val="00F33414"/>
    <w:rsid w:val="00F3341C"/>
    <w:rsid w:val="00F33586"/>
    <w:rsid w:val="00F335B8"/>
    <w:rsid w:val="00F33637"/>
    <w:rsid w:val="00F3372F"/>
    <w:rsid w:val="00F337CB"/>
    <w:rsid w:val="00F3382D"/>
    <w:rsid w:val="00F338B0"/>
    <w:rsid w:val="00F3390A"/>
    <w:rsid w:val="00F33930"/>
    <w:rsid w:val="00F33989"/>
    <w:rsid w:val="00F33AA5"/>
    <w:rsid w:val="00F33B74"/>
    <w:rsid w:val="00F33C0E"/>
    <w:rsid w:val="00F33CCB"/>
    <w:rsid w:val="00F33E53"/>
    <w:rsid w:val="00F33FA6"/>
    <w:rsid w:val="00F33FEF"/>
    <w:rsid w:val="00F33FF0"/>
    <w:rsid w:val="00F3409E"/>
    <w:rsid w:val="00F340D9"/>
    <w:rsid w:val="00F340FF"/>
    <w:rsid w:val="00F34114"/>
    <w:rsid w:val="00F3413B"/>
    <w:rsid w:val="00F34398"/>
    <w:rsid w:val="00F343FE"/>
    <w:rsid w:val="00F3452E"/>
    <w:rsid w:val="00F34545"/>
    <w:rsid w:val="00F345D4"/>
    <w:rsid w:val="00F34679"/>
    <w:rsid w:val="00F34762"/>
    <w:rsid w:val="00F34881"/>
    <w:rsid w:val="00F34900"/>
    <w:rsid w:val="00F349AE"/>
    <w:rsid w:val="00F34AF8"/>
    <w:rsid w:val="00F34E08"/>
    <w:rsid w:val="00F34E29"/>
    <w:rsid w:val="00F34ECC"/>
    <w:rsid w:val="00F34EFB"/>
    <w:rsid w:val="00F34FDB"/>
    <w:rsid w:val="00F3512F"/>
    <w:rsid w:val="00F3519C"/>
    <w:rsid w:val="00F351A1"/>
    <w:rsid w:val="00F3522B"/>
    <w:rsid w:val="00F354BF"/>
    <w:rsid w:val="00F3552E"/>
    <w:rsid w:val="00F3576A"/>
    <w:rsid w:val="00F35ADE"/>
    <w:rsid w:val="00F35B66"/>
    <w:rsid w:val="00F35D1A"/>
    <w:rsid w:val="00F35DBE"/>
    <w:rsid w:val="00F35EF1"/>
    <w:rsid w:val="00F361C5"/>
    <w:rsid w:val="00F365D3"/>
    <w:rsid w:val="00F366E1"/>
    <w:rsid w:val="00F367B3"/>
    <w:rsid w:val="00F36800"/>
    <w:rsid w:val="00F3697B"/>
    <w:rsid w:val="00F369CD"/>
    <w:rsid w:val="00F36A3B"/>
    <w:rsid w:val="00F36E10"/>
    <w:rsid w:val="00F36EC2"/>
    <w:rsid w:val="00F370F6"/>
    <w:rsid w:val="00F37158"/>
    <w:rsid w:val="00F3720E"/>
    <w:rsid w:val="00F37299"/>
    <w:rsid w:val="00F37301"/>
    <w:rsid w:val="00F373FC"/>
    <w:rsid w:val="00F3761E"/>
    <w:rsid w:val="00F3767D"/>
    <w:rsid w:val="00F37682"/>
    <w:rsid w:val="00F3774F"/>
    <w:rsid w:val="00F379AD"/>
    <w:rsid w:val="00F379B7"/>
    <w:rsid w:val="00F37A20"/>
    <w:rsid w:val="00F37D5B"/>
    <w:rsid w:val="00F40068"/>
    <w:rsid w:val="00F40214"/>
    <w:rsid w:val="00F4044F"/>
    <w:rsid w:val="00F405B6"/>
    <w:rsid w:val="00F407C4"/>
    <w:rsid w:val="00F40A2B"/>
    <w:rsid w:val="00F40D65"/>
    <w:rsid w:val="00F40E66"/>
    <w:rsid w:val="00F40F04"/>
    <w:rsid w:val="00F40F54"/>
    <w:rsid w:val="00F40F96"/>
    <w:rsid w:val="00F40FBF"/>
    <w:rsid w:val="00F410E1"/>
    <w:rsid w:val="00F41228"/>
    <w:rsid w:val="00F413D8"/>
    <w:rsid w:val="00F413FB"/>
    <w:rsid w:val="00F41412"/>
    <w:rsid w:val="00F41422"/>
    <w:rsid w:val="00F41573"/>
    <w:rsid w:val="00F41629"/>
    <w:rsid w:val="00F41631"/>
    <w:rsid w:val="00F416AE"/>
    <w:rsid w:val="00F418CD"/>
    <w:rsid w:val="00F41938"/>
    <w:rsid w:val="00F41BD9"/>
    <w:rsid w:val="00F41CD2"/>
    <w:rsid w:val="00F41DB2"/>
    <w:rsid w:val="00F41E54"/>
    <w:rsid w:val="00F42104"/>
    <w:rsid w:val="00F42192"/>
    <w:rsid w:val="00F42253"/>
    <w:rsid w:val="00F42279"/>
    <w:rsid w:val="00F4235D"/>
    <w:rsid w:val="00F42382"/>
    <w:rsid w:val="00F426C1"/>
    <w:rsid w:val="00F42723"/>
    <w:rsid w:val="00F427C9"/>
    <w:rsid w:val="00F4288B"/>
    <w:rsid w:val="00F4294A"/>
    <w:rsid w:val="00F42A70"/>
    <w:rsid w:val="00F42B87"/>
    <w:rsid w:val="00F42C51"/>
    <w:rsid w:val="00F42CFC"/>
    <w:rsid w:val="00F43142"/>
    <w:rsid w:val="00F4334B"/>
    <w:rsid w:val="00F43479"/>
    <w:rsid w:val="00F4348A"/>
    <w:rsid w:val="00F43509"/>
    <w:rsid w:val="00F4361E"/>
    <w:rsid w:val="00F437E6"/>
    <w:rsid w:val="00F4391E"/>
    <w:rsid w:val="00F43955"/>
    <w:rsid w:val="00F43D9C"/>
    <w:rsid w:val="00F43DF3"/>
    <w:rsid w:val="00F43F21"/>
    <w:rsid w:val="00F44354"/>
    <w:rsid w:val="00F443FF"/>
    <w:rsid w:val="00F4441F"/>
    <w:rsid w:val="00F44497"/>
    <w:rsid w:val="00F444B0"/>
    <w:rsid w:val="00F44621"/>
    <w:rsid w:val="00F44687"/>
    <w:rsid w:val="00F446E3"/>
    <w:rsid w:val="00F44A10"/>
    <w:rsid w:val="00F44D05"/>
    <w:rsid w:val="00F44DF2"/>
    <w:rsid w:val="00F44EE6"/>
    <w:rsid w:val="00F45046"/>
    <w:rsid w:val="00F45200"/>
    <w:rsid w:val="00F45223"/>
    <w:rsid w:val="00F45261"/>
    <w:rsid w:val="00F452AA"/>
    <w:rsid w:val="00F45461"/>
    <w:rsid w:val="00F4555C"/>
    <w:rsid w:val="00F45AA3"/>
    <w:rsid w:val="00F45B3F"/>
    <w:rsid w:val="00F45C50"/>
    <w:rsid w:val="00F45E40"/>
    <w:rsid w:val="00F45F3E"/>
    <w:rsid w:val="00F45FE4"/>
    <w:rsid w:val="00F461B3"/>
    <w:rsid w:val="00F46234"/>
    <w:rsid w:val="00F462C2"/>
    <w:rsid w:val="00F46329"/>
    <w:rsid w:val="00F4634B"/>
    <w:rsid w:val="00F4640E"/>
    <w:rsid w:val="00F46483"/>
    <w:rsid w:val="00F4654E"/>
    <w:rsid w:val="00F4659A"/>
    <w:rsid w:val="00F46632"/>
    <w:rsid w:val="00F467EF"/>
    <w:rsid w:val="00F46AD9"/>
    <w:rsid w:val="00F46BB1"/>
    <w:rsid w:val="00F46D69"/>
    <w:rsid w:val="00F46E65"/>
    <w:rsid w:val="00F46E7B"/>
    <w:rsid w:val="00F46F64"/>
    <w:rsid w:val="00F47098"/>
    <w:rsid w:val="00F4717D"/>
    <w:rsid w:val="00F47291"/>
    <w:rsid w:val="00F472A3"/>
    <w:rsid w:val="00F472A6"/>
    <w:rsid w:val="00F47495"/>
    <w:rsid w:val="00F4753A"/>
    <w:rsid w:val="00F47631"/>
    <w:rsid w:val="00F47B76"/>
    <w:rsid w:val="00F47B77"/>
    <w:rsid w:val="00F47C9F"/>
    <w:rsid w:val="00F47D38"/>
    <w:rsid w:val="00F47E17"/>
    <w:rsid w:val="00F47E78"/>
    <w:rsid w:val="00F47ECA"/>
    <w:rsid w:val="00F47F40"/>
    <w:rsid w:val="00F47F50"/>
    <w:rsid w:val="00F47FB2"/>
    <w:rsid w:val="00F50054"/>
    <w:rsid w:val="00F5038B"/>
    <w:rsid w:val="00F503DA"/>
    <w:rsid w:val="00F504A8"/>
    <w:rsid w:val="00F507B2"/>
    <w:rsid w:val="00F5083D"/>
    <w:rsid w:val="00F50A7E"/>
    <w:rsid w:val="00F50B31"/>
    <w:rsid w:val="00F50B6A"/>
    <w:rsid w:val="00F50BF6"/>
    <w:rsid w:val="00F50E9F"/>
    <w:rsid w:val="00F50F2D"/>
    <w:rsid w:val="00F5120A"/>
    <w:rsid w:val="00F5129A"/>
    <w:rsid w:val="00F51444"/>
    <w:rsid w:val="00F5152B"/>
    <w:rsid w:val="00F51542"/>
    <w:rsid w:val="00F5154E"/>
    <w:rsid w:val="00F51721"/>
    <w:rsid w:val="00F518CC"/>
    <w:rsid w:val="00F51905"/>
    <w:rsid w:val="00F5195B"/>
    <w:rsid w:val="00F51B02"/>
    <w:rsid w:val="00F51B72"/>
    <w:rsid w:val="00F51BA9"/>
    <w:rsid w:val="00F51C25"/>
    <w:rsid w:val="00F51C70"/>
    <w:rsid w:val="00F51DEB"/>
    <w:rsid w:val="00F51EAA"/>
    <w:rsid w:val="00F51F21"/>
    <w:rsid w:val="00F51F4A"/>
    <w:rsid w:val="00F5207D"/>
    <w:rsid w:val="00F520D7"/>
    <w:rsid w:val="00F520E3"/>
    <w:rsid w:val="00F52110"/>
    <w:rsid w:val="00F52202"/>
    <w:rsid w:val="00F5258E"/>
    <w:rsid w:val="00F52640"/>
    <w:rsid w:val="00F52874"/>
    <w:rsid w:val="00F528C0"/>
    <w:rsid w:val="00F529C9"/>
    <w:rsid w:val="00F52ABB"/>
    <w:rsid w:val="00F52ACA"/>
    <w:rsid w:val="00F52B66"/>
    <w:rsid w:val="00F52BAF"/>
    <w:rsid w:val="00F52C81"/>
    <w:rsid w:val="00F52EFA"/>
    <w:rsid w:val="00F52F42"/>
    <w:rsid w:val="00F52FBB"/>
    <w:rsid w:val="00F532DD"/>
    <w:rsid w:val="00F5336E"/>
    <w:rsid w:val="00F53461"/>
    <w:rsid w:val="00F535DA"/>
    <w:rsid w:val="00F536F4"/>
    <w:rsid w:val="00F53859"/>
    <w:rsid w:val="00F53ACB"/>
    <w:rsid w:val="00F53B4C"/>
    <w:rsid w:val="00F53B4D"/>
    <w:rsid w:val="00F53BBB"/>
    <w:rsid w:val="00F53D22"/>
    <w:rsid w:val="00F53FEF"/>
    <w:rsid w:val="00F54020"/>
    <w:rsid w:val="00F541D3"/>
    <w:rsid w:val="00F54523"/>
    <w:rsid w:val="00F54777"/>
    <w:rsid w:val="00F54781"/>
    <w:rsid w:val="00F547AB"/>
    <w:rsid w:val="00F54874"/>
    <w:rsid w:val="00F548E2"/>
    <w:rsid w:val="00F5499A"/>
    <w:rsid w:val="00F54A3B"/>
    <w:rsid w:val="00F54B44"/>
    <w:rsid w:val="00F54C29"/>
    <w:rsid w:val="00F54D46"/>
    <w:rsid w:val="00F54DB4"/>
    <w:rsid w:val="00F54DE8"/>
    <w:rsid w:val="00F54E3F"/>
    <w:rsid w:val="00F551B5"/>
    <w:rsid w:val="00F55352"/>
    <w:rsid w:val="00F5538F"/>
    <w:rsid w:val="00F55479"/>
    <w:rsid w:val="00F555FA"/>
    <w:rsid w:val="00F5577F"/>
    <w:rsid w:val="00F559ED"/>
    <w:rsid w:val="00F559F6"/>
    <w:rsid w:val="00F55E59"/>
    <w:rsid w:val="00F55F09"/>
    <w:rsid w:val="00F56018"/>
    <w:rsid w:val="00F5614B"/>
    <w:rsid w:val="00F5616C"/>
    <w:rsid w:val="00F5621F"/>
    <w:rsid w:val="00F56469"/>
    <w:rsid w:val="00F5651F"/>
    <w:rsid w:val="00F565EA"/>
    <w:rsid w:val="00F56637"/>
    <w:rsid w:val="00F567D4"/>
    <w:rsid w:val="00F56804"/>
    <w:rsid w:val="00F56995"/>
    <w:rsid w:val="00F569B7"/>
    <w:rsid w:val="00F56C8C"/>
    <w:rsid w:val="00F56F7E"/>
    <w:rsid w:val="00F57098"/>
    <w:rsid w:val="00F5734F"/>
    <w:rsid w:val="00F573E0"/>
    <w:rsid w:val="00F57496"/>
    <w:rsid w:val="00F576EB"/>
    <w:rsid w:val="00F57710"/>
    <w:rsid w:val="00F57761"/>
    <w:rsid w:val="00F577C5"/>
    <w:rsid w:val="00F5791D"/>
    <w:rsid w:val="00F5792C"/>
    <w:rsid w:val="00F57A11"/>
    <w:rsid w:val="00F57A3A"/>
    <w:rsid w:val="00F57B88"/>
    <w:rsid w:val="00F57C41"/>
    <w:rsid w:val="00F57D79"/>
    <w:rsid w:val="00F57DF9"/>
    <w:rsid w:val="00F6002B"/>
    <w:rsid w:val="00F60033"/>
    <w:rsid w:val="00F60037"/>
    <w:rsid w:val="00F600B2"/>
    <w:rsid w:val="00F60165"/>
    <w:rsid w:val="00F601EB"/>
    <w:rsid w:val="00F604C7"/>
    <w:rsid w:val="00F6050E"/>
    <w:rsid w:val="00F60618"/>
    <w:rsid w:val="00F60677"/>
    <w:rsid w:val="00F607B2"/>
    <w:rsid w:val="00F607EF"/>
    <w:rsid w:val="00F60822"/>
    <w:rsid w:val="00F6098C"/>
    <w:rsid w:val="00F60ADA"/>
    <w:rsid w:val="00F60BED"/>
    <w:rsid w:val="00F60CC9"/>
    <w:rsid w:val="00F60FEC"/>
    <w:rsid w:val="00F610B5"/>
    <w:rsid w:val="00F610F3"/>
    <w:rsid w:val="00F61155"/>
    <w:rsid w:val="00F61444"/>
    <w:rsid w:val="00F617CC"/>
    <w:rsid w:val="00F6180E"/>
    <w:rsid w:val="00F618E0"/>
    <w:rsid w:val="00F61962"/>
    <w:rsid w:val="00F61AD7"/>
    <w:rsid w:val="00F61AE6"/>
    <w:rsid w:val="00F61B33"/>
    <w:rsid w:val="00F61C5F"/>
    <w:rsid w:val="00F61CF0"/>
    <w:rsid w:val="00F61D96"/>
    <w:rsid w:val="00F61EB4"/>
    <w:rsid w:val="00F61ED1"/>
    <w:rsid w:val="00F61EE9"/>
    <w:rsid w:val="00F61F73"/>
    <w:rsid w:val="00F6208D"/>
    <w:rsid w:val="00F620A2"/>
    <w:rsid w:val="00F6234A"/>
    <w:rsid w:val="00F62386"/>
    <w:rsid w:val="00F62730"/>
    <w:rsid w:val="00F62739"/>
    <w:rsid w:val="00F627C1"/>
    <w:rsid w:val="00F62812"/>
    <w:rsid w:val="00F62836"/>
    <w:rsid w:val="00F6284F"/>
    <w:rsid w:val="00F62A07"/>
    <w:rsid w:val="00F62A34"/>
    <w:rsid w:val="00F62A7B"/>
    <w:rsid w:val="00F62BA3"/>
    <w:rsid w:val="00F62BEC"/>
    <w:rsid w:val="00F62E7D"/>
    <w:rsid w:val="00F62EB5"/>
    <w:rsid w:val="00F62F78"/>
    <w:rsid w:val="00F6313D"/>
    <w:rsid w:val="00F631F3"/>
    <w:rsid w:val="00F632F8"/>
    <w:rsid w:val="00F6339B"/>
    <w:rsid w:val="00F63517"/>
    <w:rsid w:val="00F637B5"/>
    <w:rsid w:val="00F637E7"/>
    <w:rsid w:val="00F638A5"/>
    <w:rsid w:val="00F638CB"/>
    <w:rsid w:val="00F63B6C"/>
    <w:rsid w:val="00F63BFA"/>
    <w:rsid w:val="00F63C77"/>
    <w:rsid w:val="00F63C8D"/>
    <w:rsid w:val="00F63CA0"/>
    <w:rsid w:val="00F63D86"/>
    <w:rsid w:val="00F63DE4"/>
    <w:rsid w:val="00F63DEB"/>
    <w:rsid w:val="00F63EC4"/>
    <w:rsid w:val="00F63FE7"/>
    <w:rsid w:val="00F641DC"/>
    <w:rsid w:val="00F64239"/>
    <w:rsid w:val="00F64466"/>
    <w:rsid w:val="00F6450B"/>
    <w:rsid w:val="00F6456F"/>
    <w:rsid w:val="00F64572"/>
    <w:rsid w:val="00F64699"/>
    <w:rsid w:val="00F64894"/>
    <w:rsid w:val="00F64927"/>
    <w:rsid w:val="00F649A8"/>
    <w:rsid w:val="00F649E5"/>
    <w:rsid w:val="00F64A89"/>
    <w:rsid w:val="00F64B0D"/>
    <w:rsid w:val="00F64B65"/>
    <w:rsid w:val="00F64B72"/>
    <w:rsid w:val="00F64B8C"/>
    <w:rsid w:val="00F64E49"/>
    <w:rsid w:val="00F64F4F"/>
    <w:rsid w:val="00F6500E"/>
    <w:rsid w:val="00F65110"/>
    <w:rsid w:val="00F6514F"/>
    <w:rsid w:val="00F651B9"/>
    <w:rsid w:val="00F65394"/>
    <w:rsid w:val="00F653F1"/>
    <w:rsid w:val="00F6550F"/>
    <w:rsid w:val="00F65662"/>
    <w:rsid w:val="00F65773"/>
    <w:rsid w:val="00F65835"/>
    <w:rsid w:val="00F658CA"/>
    <w:rsid w:val="00F65C0D"/>
    <w:rsid w:val="00F65C14"/>
    <w:rsid w:val="00F65C18"/>
    <w:rsid w:val="00F65D9E"/>
    <w:rsid w:val="00F65DCF"/>
    <w:rsid w:val="00F65DD8"/>
    <w:rsid w:val="00F65DFC"/>
    <w:rsid w:val="00F65EA1"/>
    <w:rsid w:val="00F65ED3"/>
    <w:rsid w:val="00F65FCA"/>
    <w:rsid w:val="00F66199"/>
    <w:rsid w:val="00F661D7"/>
    <w:rsid w:val="00F66342"/>
    <w:rsid w:val="00F66637"/>
    <w:rsid w:val="00F666BE"/>
    <w:rsid w:val="00F66788"/>
    <w:rsid w:val="00F668C9"/>
    <w:rsid w:val="00F668FD"/>
    <w:rsid w:val="00F6691B"/>
    <w:rsid w:val="00F66A55"/>
    <w:rsid w:val="00F66AF0"/>
    <w:rsid w:val="00F66B15"/>
    <w:rsid w:val="00F66C27"/>
    <w:rsid w:val="00F66E36"/>
    <w:rsid w:val="00F66F59"/>
    <w:rsid w:val="00F66FBB"/>
    <w:rsid w:val="00F66FE4"/>
    <w:rsid w:val="00F66FEE"/>
    <w:rsid w:val="00F67076"/>
    <w:rsid w:val="00F6707B"/>
    <w:rsid w:val="00F67508"/>
    <w:rsid w:val="00F67573"/>
    <w:rsid w:val="00F67599"/>
    <w:rsid w:val="00F675FE"/>
    <w:rsid w:val="00F67702"/>
    <w:rsid w:val="00F679AF"/>
    <w:rsid w:val="00F67AC2"/>
    <w:rsid w:val="00F67B8B"/>
    <w:rsid w:val="00F67B94"/>
    <w:rsid w:val="00F67CD4"/>
    <w:rsid w:val="00F67E32"/>
    <w:rsid w:val="00F67F27"/>
    <w:rsid w:val="00F6C1FC"/>
    <w:rsid w:val="00F70094"/>
    <w:rsid w:val="00F7027B"/>
    <w:rsid w:val="00F703AB"/>
    <w:rsid w:val="00F70421"/>
    <w:rsid w:val="00F70472"/>
    <w:rsid w:val="00F706B8"/>
    <w:rsid w:val="00F7070C"/>
    <w:rsid w:val="00F70833"/>
    <w:rsid w:val="00F708E2"/>
    <w:rsid w:val="00F709C0"/>
    <w:rsid w:val="00F70C2C"/>
    <w:rsid w:val="00F70CDC"/>
    <w:rsid w:val="00F70CF9"/>
    <w:rsid w:val="00F70D85"/>
    <w:rsid w:val="00F70FA7"/>
    <w:rsid w:val="00F71295"/>
    <w:rsid w:val="00F71404"/>
    <w:rsid w:val="00F71589"/>
    <w:rsid w:val="00F719E2"/>
    <w:rsid w:val="00F71A3C"/>
    <w:rsid w:val="00F71A69"/>
    <w:rsid w:val="00F71AFF"/>
    <w:rsid w:val="00F71CF5"/>
    <w:rsid w:val="00F71D94"/>
    <w:rsid w:val="00F71EFD"/>
    <w:rsid w:val="00F71F0B"/>
    <w:rsid w:val="00F71F5E"/>
    <w:rsid w:val="00F71FDE"/>
    <w:rsid w:val="00F72354"/>
    <w:rsid w:val="00F72454"/>
    <w:rsid w:val="00F72546"/>
    <w:rsid w:val="00F728B0"/>
    <w:rsid w:val="00F72A41"/>
    <w:rsid w:val="00F72AF5"/>
    <w:rsid w:val="00F72BFB"/>
    <w:rsid w:val="00F72C18"/>
    <w:rsid w:val="00F72CE3"/>
    <w:rsid w:val="00F72F0E"/>
    <w:rsid w:val="00F72FF8"/>
    <w:rsid w:val="00F7308E"/>
    <w:rsid w:val="00F73131"/>
    <w:rsid w:val="00F73155"/>
    <w:rsid w:val="00F7345B"/>
    <w:rsid w:val="00F73488"/>
    <w:rsid w:val="00F735AB"/>
    <w:rsid w:val="00F73605"/>
    <w:rsid w:val="00F73757"/>
    <w:rsid w:val="00F73758"/>
    <w:rsid w:val="00F7380D"/>
    <w:rsid w:val="00F73867"/>
    <w:rsid w:val="00F738BC"/>
    <w:rsid w:val="00F739E0"/>
    <w:rsid w:val="00F73A22"/>
    <w:rsid w:val="00F73B59"/>
    <w:rsid w:val="00F73C02"/>
    <w:rsid w:val="00F73D0D"/>
    <w:rsid w:val="00F73DC8"/>
    <w:rsid w:val="00F73FC4"/>
    <w:rsid w:val="00F74168"/>
    <w:rsid w:val="00F7440A"/>
    <w:rsid w:val="00F744BE"/>
    <w:rsid w:val="00F744E0"/>
    <w:rsid w:val="00F744EB"/>
    <w:rsid w:val="00F745EE"/>
    <w:rsid w:val="00F74613"/>
    <w:rsid w:val="00F746AD"/>
    <w:rsid w:val="00F7484D"/>
    <w:rsid w:val="00F74A23"/>
    <w:rsid w:val="00F74F0D"/>
    <w:rsid w:val="00F74F1D"/>
    <w:rsid w:val="00F74F2A"/>
    <w:rsid w:val="00F74F93"/>
    <w:rsid w:val="00F750C9"/>
    <w:rsid w:val="00F754E3"/>
    <w:rsid w:val="00F755CB"/>
    <w:rsid w:val="00F75634"/>
    <w:rsid w:val="00F7574E"/>
    <w:rsid w:val="00F75AC6"/>
    <w:rsid w:val="00F75C21"/>
    <w:rsid w:val="00F76075"/>
    <w:rsid w:val="00F76498"/>
    <w:rsid w:val="00F765E3"/>
    <w:rsid w:val="00F766AD"/>
    <w:rsid w:val="00F76800"/>
    <w:rsid w:val="00F7685F"/>
    <w:rsid w:val="00F76A4B"/>
    <w:rsid w:val="00F76B56"/>
    <w:rsid w:val="00F76B7F"/>
    <w:rsid w:val="00F76E51"/>
    <w:rsid w:val="00F76E7E"/>
    <w:rsid w:val="00F76FC8"/>
    <w:rsid w:val="00F772F7"/>
    <w:rsid w:val="00F7735C"/>
    <w:rsid w:val="00F773F5"/>
    <w:rsid w:val="00F77422"/>
    <w:rsid w:val="00F774AF"/>
    <w:rsid w:val="00F7755E"/>
    <w:rsid w:val="00F77568"/>
    <w:rsid w:val="00F77620"/>
    <w:rsid w:val="00F7771B"/>
    <w:rsid w:val="00F77765"/>
    <w:rsid w:val="00F777BA"/>
    <w:rsid w:val="00F7780D"/>
    <w:rsid w:val="00F77A6E"/>
    <w:rsid w:val="00F77B9A"/>
    <w:rsid w:val="00F77BB0"/>
    <w:rsid w:val="00F77DD9"/>
    <w:rsid w:val="00F77E51"/>
    <w:rsid w:val="00F77E9E"/>
    <w:rsid w:val="00F80163"/>
    <w:rsid w:val="00F8018A"/>
    <w:rsid w:val="00F801DC"/>
    <w:rsid w:val="00F801EA"/>
    <w:rsid w:val="00F803F2"/>
    <w:rsid w:val="00F80507"/>
    <w:rsid w:val="00F80553"/>
    <w:rsid w:val="00F8056D"/>
    <w:rsid w:val="00F805D3"/>
    <w:rsid w:val="00F805EC"/>
    <w:rsid w:val="00F80648"/>
    <w:rsid w:val="00F80A18"/>
    <w:rsid w:val="00F80A4C"/>
    <w:rsid w:val="00F80C38"/>
    <w:rsid w:val="00F80C64"/>
    <w:rsid w:val="00F80C6F"/>
    <w:rsid w:val="00F80CCE"/>
    <w:rsid w:val="00F80EE0"/>
    <w:rsid w:val="00F80F53"/>
    <w:rsid w:val="00F812D7"/>
    <w:rsid w:val="00F8168D"/>
    <w:rsid w:val="00F81896"/>
    <w:rsid w:val="00F81930"/>
    <w:rsid w:val="00F81A63"/>
    <w:rsid w:val="00F81C25"/>
    <w:rsid w:val="00F81C66"/>
    <w:rsid w:val="00F81DEF"/>
    <w:rsid w:val="00F81F10"/>
    <w:rsid w:val="00F81F7D"/>
    <w:rsid w:val="00F82239"/>
    <w:rsid w:val="00F8228F"/>
    <w:rsid w:val="00F82336"/>
    <w:rsid w:val="00F82592"/>
    <w:rsid w:val="00F825A6"/>
    <w:rsid w:val="00F82607"/>
    <w:rsid w:val="00F82617"/>
    <w:rsid w:val="00F8269E"/>
    <w:rsid w:val="00F827DD"/>
    <w:rsid w:val="00F82C63"/>
    <w:rsid w:val="00F82D3A"/>
    <w:rsid w:val="00F82F79"/>
    <w:rsid w:val="00F83333"/>
    <w:rsid w:val="00F83391"/>
    <w:rsid w:val="00F83441"/>
    <w:rsid w:val="00F834A4"/>
    <w:rsid w:val="00F834D4"/>
    <w:rsid w:val="00F83640"/>
    <w:rsid w:val="00F83699"/>
    <w:rsid w:val="00F836B1"/>
    <w:rsid w:val="00F838F5"/>
    <w:rsid w:val="00F8396F"/>
    <w:rsid w:val="00F839D0"/>
    <w:rsid w:val="00F839F6"/>
    <w:rsid w:val="00F83A88"/>
    <w:rsid w:val="00F83AB7"/>
    <w:rsid w:val="00F83ABC"/>
    <w:rsid w:val="00F83B1B"/>
    <w:rsid w:val="00F83C14"/>
    <w:rsid w:val="00F83C91"/>
    <w:rsid w:val="00F83DB8"/>
    <w:rsid w:val="00F83E1C"/>
    <w:rsid w:val="00F83FBA"/>
    <w:rsid w:val="00F841C7"/>
    <w:rsid w:val="00F844B4"/>
    <w:rsid w:val="00F846C1"/>
    <w:rsid w:val="00F8473D"/>
    <w:rsid w:val="00F8474E"/>
    <w:rsid w:val="00F84842"/>
    <w:rsid w:val="00F84AFA"/>
    <w:rsid w:val="00F84B3E"/>
    <w:rsid w:val="00F84B82"/>
    <w:rsid w:val="00F84CBC"/>
    <w:rsid w:val="00F84D5F"/>
    <w:rsid w:val="00F84EA2"/>
    <w:rsid w:val="00F84EE3"/>
    <w:rsid w:val="00F84FAA"/>
    <w:rsid w:val="00F84FF5"/>
    <w:rsid w:val="00F852C0"/>
    <w:rsid w:val="00F85448"/>
    <w:rsid w:val="00F855F3"/>
    <w:rsid w:val="00F8569E"/>
    <w:rsid w:val="00F856DC"/>
    <w:rsid w:val="00F8573D"/>
    <w:rsid w:val="00F85793"/>
    <w:rsid w:val="00F858FF"/>
    <w:rsid w:val="00F8597D"/>
    <w:rsid w:val="00F85A48"/>
    <w:rsid w:val="00F85AB8"/>
    <w:rsid w:val="00F85ADD"/>
    <w:rsid w:val="00F85B8B"/>
    <w:rsid w:val="00F85CF0"/>
    <w:rsid w:val="00F85E52"/>
    <w:rsid w:val="00F85F77"/>
    <w:rsid w:val="00F85F78"/>
    <w:rsid w:val="00F85F9C"/>
    <w:rsid w:val="00F85FA3"/>
    <w:rsid w:val="00F86089"/>
    <w:rsid w:val="00F860CE"/>
    <w:rsid w:val="00F86186"/>
    <w:rsid w:val="00F863DA"/>
    <w:rsid w:val="00F86430"/>
    <w:rsid w:val="00F864B0"/>
    <w:rsid w:val="00F8652B"/>
    <w:rsid w:val="00F86762"/>
    <w:rsid w:val="00F868B4"/>
    <w:rsid w:val="00F86AC3"/>
    <w:rsid w:val="00F86BD8"/>
    <w:rsid w:val="00F86C2E"/>
    <w:rsid w:val="00F86CE0"/>
    <w:rsid w:val="00F86D27"/>
    <w:rsid w:val="00F86D2B"/>
    <w:rsid w:val="00F86D2F"/>
    <w:rsid w:val="00F86DAF"/>
    <w:rsid w:val="00F86DF3"/>
    <w:rsid w:val="00F86E61"/>
    <w:rsid w:val="00F87062"/>
    <w:rsid w:val="00F8719C"/>
    <w:rsid w:val="00F87245"/>
    <w:rsid w:val="00F874D0"/>
    <w:rsid w:val="00F876D3"/>
    <w:rsid w:val="00F878B3"/>
    <w:rsid w:val="00F87C06"/>
    <w:rsid w:val="00F87C0D"/>
    <w:rsid w:val="00F87C30"/>
    <w:rsid w:val="00F87CED"/>
    <w:rsid w:val="00F87F5C"/>
    <w:rsid w:val="00F9010B"/>
    <w:rsid w:val="00F902C4"/>
    <w:rsid w:val="00F902DC"/>
    <w:rsid w:val="00F90316"/>
    <w:rsid w:val="00F9047C"/>
    <w:rsid w:val="00F904CB"/>
    <w:rsid w:val="00F904FF"/>
    <w:rsid w:val="00F90704"/>
    <w:rsid w:val="00F90748"/>
    <w:rsid w:val="00F907CA"/>
    <w:rsid w:val="00F90ACE"/>
    <w:rsid w:val="00F90B8B"/>
    <w:rsid w:val="00F90B97"/>
    <w:rsid w:val="00F90C0C"/>
    <w:rsid w:val="00F90C26"/>
    <w:rsid w:val="00F90D16"/>
    <w:rsid w:val="00F90E45"/>
    <w:rsid w:val="00F90E4F"/>
    <w:rsid w:val="00F9104E"/>
    <w:rsid w:val="00F91127"/>
    <w:rsid w:val="00F9115B"/>
    <w:rsid w:val="00F91198"/>
    <w:rsid w:val="00F911F5"/>
    <w:rsid w:val="00F913AB"/>
    <w:rsid w:val="00F91406"/>
    <w:rsid w:val="00F9140B"/>
    <w:rsid w:val="00F915AD"/>
    <w:rsid w:val="00F9165C"/>
    <w:rsid w:val="00F91765"/>
    <w:rsid w:val="00F917B7"/>
    <w:rsid w:val="00F91840"/>
    <w:rsid w:val="00F91914"/>
    <w:rsid w:val="00F91991"/>
    <w:rsid w:val="00F91A94"/>
    <w:rsid w:val="00F91B86"/>
    <w:rsid w:val="00F91C44"/>
    <w:rsid w:val="00F91CC2"/>
    <w:rsid w:val="00F91E95"/>
    <w:rsid w:val="00F91EE8"/>
    <w:rsid w:val="00F91F74"/>
    <w:rsid w:val="00F9205C"/>
    <w:rsid w:val="00F920DE"/>
    <w:rsid w:val="00F92163"/>
    <w:rsid w:val="00F921F8"/>
    <w:rsid w:val="00F92258"/>
    <w:rsid w:val="00F92433"/>
    <w:rsid w:val="00F92442"/>
    <w:rsid w:val="00F925DB"/>
    <w:rsid w:val="00F925F2"/>
    <w:rsid w:val="00F92617"/>
    <w:rsid w:val="00F9282C"/>
    <w:rsid w:val="00F92993"/>
    <w:rsid w:val="00F9299A"/>
    <w:rsid w:val="00F929D4"/>
    <w:rsid w:val="00F929DC"/>
    <w:rsid w:val="00F92A5B"/>
    <w:rsid w:val="00F92AC6"/>
    <w:rsid w:val="00F92B29"/>
    <w:rsid w:val="00F92C8B"/>
    <w:rsid w:val="00F92D3C"/>
    <w:rsid w:val="00F92E5F"/>
    <w:rsid w:val="00F92EB5"/>
    <w:rsid w:val="00F9325B"/>
    <w:rsid w:val="00F934D3"/>
    <w:rsid w:val="00F9357B"/>
    <w:rsid w:val="00F9369C"/>
    <w:rsid w:val="00F9390A"/>
    <w:rsid w:val="00F939C3"/>
    <w:rsid w:val="00F93A2C"/>
    <w:rsid w:val="00F93A72"/>
    <w:rsid w:val="00F93C4A"/>
    <w:rsid w:val="00F93FE7"/>
    <w:rsid w:val="00F94000"/>
    <w:rsid w:val="00F94057"/>
    <w:rsid w:val="00F940E4"/>
    <w:rsid w:val="00F941C5"/>
    <w:rsid w:val="00F941FC"/>
    <w:rsid w:val="00F9429F"/>
    <w:rsid w:val="00F9444E"/>
    <w:rsid w:val="00F94695"/>
    <w:rsid w:val="00F946BC"/>
    <w:rsid w:val="00F948BC"/>
    <w:rsid w:val="00F94A30"/>
    <w:rsid w:val="00F94A33"/>
    <w:rsid w:val="00F94A85"/>
    <w:rsid w:val="00F94A8B"/>
    <w:rsid w:val="00F94BCC"/>
    <w:rsid w:val="00F94DE8"/>
    <w:rsid w:val="00F94FE1"/>
    <w:rsid w:val="00F9507D"/>
    <w:rsid w:val="00F950AD"/>
    <w:rsid w:val="00F95104"/>
    <w:rsid w:val="00F9510D"/>
    <w:rsid w:val="00F95189"/>
    <w:rsid w:val="00F952AA"/>
    <w:rsid w:val="00F952E5"/>
    <w:rsid w:val="00F9530A"/>
    <w:rsid w:val="00F956E0"/>
    <w:rsid w:val="00F957CB"/>
    <w:rsid w:val="00F9599C"/>
    <w:rsid w:val="00F95A6F"/>
    <w:rsid w:val="00F95C3D"/>
    <w:rsid w:val="00F95C81"/>
    <w:rsid w:val="00F95D99"/>
    <w:rsid w:val="00F96057"/>
    <w:rsid w:val="00F96234"/>
    <w:rsid w:val="00F96333"/>
    <w:rsid w:val="00F96424"/>
    <w:rsid w:val="00F9644F"/>
    <w:rsid w:val="00F9677A"/>
    <w:rsid w:val="00F967A7"/>
    <w:rsid w:val="00F9694F"/>
    <w:rsid w:val="00F96B1D"/>
    <w:rsid w:val="00F96C65"/>
    <w:rsid w:val="00F96D7E"/>
    <w:rsid w:val="00F96F27"/>
    <w:rsid w:val="00F96FAF"/>
    <w:rsid w:val="00F96FC5"/>
    <w:rsid w:val="00F9711E"/>
    <w:rsid w:val="00F972B3"/>
    <w:rsid w:val="00F9765F"/>
    <w:rsid w:val="00F97899"/>
    <w:rsid w:val="00F978EF"/>
    <w:rsid w:val="00F97A3F"/>
    <w:rsid w:val="00F97AE6"/>
    <w:rsid w:val="00F97CD8"/>
    <w:rsid w:val="00F97CF8"/>
    <w:rsid w:val="00F97DD3"/>
    <w:rsid w:val="00FA01BC"/>
    <w:rsid w:val="00FA027E"/>
    <w:rsid w:val="00FA0443"/>
    <w:rsid w:val="00FA04BB"/>
    <w:rsid w:val="00FA054F"/>
    <w:rsid w:val="00FA066B"/>
    <w:rsid w:val="00FA077B"/>
    <w:rsid w:val="00FA08AF"/>
    <w:rsid w:val="00FA094B"/>
    <w:rsid w:val="00FA099E"/>
    <w:rsid w:val="00FA0AC8"/>
    <w:rsid w:val="00FA0C6A"/>
    <w:rsid w:val="00FA0CDC"/>
    <w:rsid w:val="00FA0DB2"/>
    <w:rsid w:val="00FA10A1"/>
    <w:rsid w:val="00FA1112"/>
    <w:rsid w:val="00FA11A4"/>
    <w:rsid w:val="00FA11E5"/>
    <w:rsid w:val="00FA12D8"/>
    <w:rsid w:val="00FA1438"/>
    <w:rsid w:val="00FA14E9"/>
    <w:rsid w:val="00FA16C0"/>
    <w:rsid w:val="00FA1730"/>
    <w:rsid w:val="00FA17EA"/>
    <w:rsid w:val="00FA194F"/>
    <w:rsid w:val="00FA1BE2"/>
    <w:rsid w:val="00FA1CE7"/>
    <w:rsid w:val="00FA1EC1"/>
    <w:rsid w:val="00FA1F8C"/>
    <w:rsid w:val="00FA1FBF"/>
    <w:rsid w:val="00FA2085"/>
    <w:rsid w:val="00FA2298"/>
    <w:rsid w:val="00FA2432"/>
    <w:rsid w:val="00FA24FE"/>
    <w:rsid w:val="00FA2595"/>
    <w:rsid w:val="00FA268F"/>
    <w:rsid w:val="00FA26B6"/>
    <w:rsid w:val="00FA2813"/>
    <w:rsid w:val="00FA284D"/>
    <w:rsid w:val="00FA2A6A"/>
    <w:rsid w:val="00FA2AE1"/>
    <w:rsid w:val="00FA2C5D"/>
    <w:rsid w:val="00FA2CA3"/>
    <w:rsid w:val="00FA2CDC"/>
    <w:rsid w:val="00FA2D7B"/>
    <w:rsid w:val="00FA2DFB"/>
    <w:rsid w:val="00FA2ECB"/>
    <w:rsid w:val="00FA3020"/>
    <w:rsid w:val="00FA307D"/>
    <w:rsid w:val="00FA3281"/>
    <w:rsid w:val="00FA328E"/>
    <w:rsid w:val="00FA33E7"/>
    <w:rsid w:val="00FA34E2"/>
    <w:rsid w:val="00FA365D"/>
    <w:rsid w:val="00FA3686"/>
    <w:rsid w:val="00FA3859"/>
    <w:rsid w:val="00FA386B"/>
    <w:rsid w:val="00FA3889"/>
    <w:rsid w:val="00FA38F0"/>
    <w:rsid w:val="00FA3943"/>
    <w:rsid w:val="00FA39B1"/>
    <w:rsid w:val="00FA3AD9"/>
    <w:rsid w:val="00FA3BD4"/>
    <w:rsid w:val="00FA3BE8"/>
    <w:rsid w:val="00FA3C13"/>
    <w:rsid w:val="00FA3E52"/>
    <w:rsid w:val="00FA3E96"/>
    <w:rsid w:val="00FA4169"/>
    <w:rsid w:val="00FA42E6"/>
    <w:rsid w:val="00FA4380"/>
    <w:rsid w:val="00FA46B6"/>
    <w:rsid w:val="00FA46EB"/>
    <w:rsid w:val="00FA46FB"/>
    <w:rsid w:val="00FA4757"/>
    <w:rsid w:val="00FA49B8"/>
    <w:rsid w:val="00FA4A8F"/>
    <w:rsid w:val="00FA4AF0"/>
    <w:rsid w:val="00FA4B4D"/>
    <w:rsid w:val="00FA4D47"/>
    <w:rsid w:val="00FA4DDE"/>
    <w:rsid w:val="00FA4E5B"/>
    <w:rsid w:val="00FA4E92"/>
    <w:rsid w:val="00FA51AA"/>
    <w:rsid w:val="00FA51B6"/>
    <w:rsid w:val="00FA524B"/>
    <w:rsid w:val="00FA5259"/>
    <w:rsid w:val="00FA5540"/>
    <w:rsid w:val="00FA563E"/>
    <w:rsid w:val="00FA568A"/>
    <w:rsid w:val="00FA5892"/>
    <w:rsid w:val="00FA58CF"/>
    <w:rsid w:val="00FA5991"/>
    <w:rsid w:val="00FA59CE"/>
    <w:rsid w:val="00FA5A3D"/>
    <w:rsid w:val="00FA5BAD"/>
    <w:rsid w:val="00FA5C0B"/>
    <w:rsid w:val="00FA5DDE"/>
    <w:rsid w:val="00FA5E09"/>
    <w:rsid w:val="00FA5EBE"/>
    <w:rsid w:val="00FA5FC6"/>
    <w:rsid w:val="00FA60F0"/>
    <w:rsid w:val="00FA610C"/>
    <w:rsid w:val="00FA6147"/>
    <w:rsid w:val="00FA627F"/>
    <w:rsid w:val="00FA63C9"/>
    <w:rsid w:val="00FA6432"/>
    <w:rsid w:val="00FA64E9"/>
    <w:rsid w:val="00FA6593"/>
    <w:rsid w:val="00FA659F"/>
    <w:rsid w:val="00FA65C5"/>
    <w:rsid w:val="00FA65F6"/>
    <w:rsid w:val="00FA6803"/>
    <w:rsid w:val="00FA69B1"/>
    <w:rsid w:val="00FA6B38"/>
    <w:rsid w:val="00FA6C53"/>
    <w:rsid w:val="00FA6D05"/>
    <w:rsid w:val="00FA6DF9"/>
    <w:rsid w:val="00FA6F13"/>
    <w:rsid w:val="00FA7064"/>
    <w:rsid w:val="00FA70A9"/>
    <w:rsid w:val="00FA7325"/>
    <w:rsid w:val="00FA74F8"/>
    <w:rsid w:val="00FA7916"/>
    <w:rsid w:val="00FA7A72"/>
    <w:rsid w:val="00FA7A7B"/>
    <w:rsid w:val="00FA7B11"/>
    <w:rsid w:val="00FA7B7F"/>
    <w:rsid w:val="00FA7BC2"/>
    <w:rsid w:val="00FA7C3B"/>
    <w:rsid w:val="00FA7DCC"/>
    <w:rsid w:val="00FA7EE3"/>
    <w:rsid w:val="00FA7EE6"/>
    <w:rsid w:val="00FADA0B"/>
    <w:rsid w:val="00FB00E3"/>
    <w:rsid w:val="00FB01AA"/>
    <w:rsid w:val="00FB020D"/>
    <w:rsid w:val="00FB02F8"/>
    <w:rsid w:val="00FB03CC"/>
    <w:rsid w:val="00FB056C"/>
    <w:rsid w:val="00FB05ED"/>
    <w:rsid w:val="00FB065A"/>
    <w:rsid w:val="00FB0713"/>
    <w:rsid w:val="00FB0833"/>
    <w:rsid w:val="00FB0959"/>
    <w:rsid w:val="00FB0ACE"/>
    <w:rsid w:val="00FB0B7A"/>
    <w:rsid w:val="00FB0B86"/>
    <w:rsid w:val="00FB0C9A"/>
    <w:rsid w:val="00FB0CA7"/>
    <w:rsid w:val="00FB0CAB"/>
    <w:rsid w:val="00FB0D9C"/>
    <w:rsid w:val="00FB0DC6"/>
    <w:rsid w:val="00FB102F"/>
    <w:rsid w:val="00FB115D"/>
    <w:rsid w:val="00FB11C9"/>
    <w:rsid w:val="00FB12C4"/>
    <w:rsid w:val="00FB1336"/>
    <w:rsid w:val="00FB1349"/>
    <w:rsid w:val="00FB142D"/>
    <w:rsid w:val="00FB1780"/>
    <w:rsid w:val="00FB1908"/>
    <w:rsid w:val="00FB1915"/>
    <w:rsid w:val="00FB192A"/>
    <w:rsid w:val="00FB1A32"/>
    <w:rsid w:val="00FB1A97"/>
    <w:rsid w:val="00FB1B16"/>
    <w:rsid w:val="00FB1BE3"/>
    <w:rsid w:val="00FB1EB5"/>
    <w:rsid w:val="00FB1F27"/>
    <w:rsid w:val="00FB1FE3"/>
    <w:rsid w:val="00FB2196"/>
    <w:rsid w:val="00FB21D5"/>
    <w:rsid w:val="00FB21E4"/>
    <w:rsid w:val="00FB21ED"/>
    <w:rsid w:val="00FB22A4"/>
    <w:rsid w:val="00FB24A5"/>
    <w:rsid w:val="00FB24D0"/>
    <w:rsid w:val="00FB2998"/>
    <w:rsid w:val="00FB29DC"/>
    <w:rsid w:val="00FB2BFA"/>
    <w:rsid w:val="00FB2EC2"/>
    <w:rsid w:val="00FB2F88"/>
    <w:rsid w:val="00FB2FEA"/>
    <w:rsid w:val="00FB32A4"/>
    <w:rsid w:val="00FB32F8"/>
    <w:rsid w:val="00FB36A0"/>
    <w:rsid w:val="00FB39EC"/>
    <w:rsid w:val="00FB3A26"/>
    <w:rsid w:val="00FB3B1E"/>
    <w:rsid w:val="00FB3B7E"/>
    <w:rsid w:val="00FB3DAD"/>
    <w:rsid w:val="00FB3E38"/>
    <w:rsid w:val="00FB3E84"/>
    <w:rsid w:val="00FB40BD"/>
    <w:rsid w:val="00FB4229"/>
    <w:rsid w:val="00FB4258"/>
    <w:rsid w:val="00FB42B2"/>
    <w:rsid w:val="00FB42B5"/>
    <w:rsid w:val="00FB42DD"/>
    <w:rsid w:val="00FB439C"/>
    <w:rsid w:val="00FB43DC"/>
    <w:rsid w:val="00FB4415"/>
    <w:rsid w:val="00FB4532"/>
    <w:rsid w:val="00FB48B8"/>
    <w:rsid w:val="00FB4916"/>
    <w:rsid w:val="00FB4A75"/>
    <w:rsid w:val="00FB4A83"/>
    <w:rsid w:val="00FB4CB0"/>
    <w:rsid w:val="00FB4CFD"/>
    <w:rsid w:val="00FB4D27"/>
    <w:rsid w:val="00FB4E51"/>
    <w:rsid w:val="00FB4ED2"/>
    <w:rsid w:val="00FB4F5B"/>
    <w:rsid w:val="00FB50E3"/>
    <w:rsid w:val="00FB50EB"/>
    <w:rsid w:val="00FB517F"/>
    <w:rsid w:val="00FB51DF"/>
    <w:rsid w:val="00FB53C8"/>
    <w:rsid w:val="00FB5453"/>
    <w:rsid w:val="00FB54E2"/>
    <w:rsid w:val="00FB54E4"/>
    <w:rsid w:val="00FB5529"/>
    <w:rsid w:val="00FB55B2"/>
    <w:rsid w:val="00FB55C4"/>
    <w:rsid w:val="00FB565C"/>
    <w:rsid w:val="00FB57A6"/>
    <w:rsid w:val="00FB591F"/>
    <w:rsid w:val="00FB5A8D"/>
    <w:rsid w:val="00FB5BCD"/>
    <w:rsid w:val="00FB5BF4"/>
    <w:rsid w:val="00FB5CEA"/>
    <w:rsid w:val="00FB5D24"/>
    <w:rsid w:val="00FB5DCE"/>
    <w:rsid w:val="00FB5DDE"/>
    <w:rsid w:val="00FB5ED5"/>
    <w:rsid w:val="00FB5F4D"/>
    <w:rsid w:val="00FB61DD"/>
    <w:rsid w:val="00FB62E6"/>
    <w:rsid w:val="00FB6313"/>
    <w:rsid w:val="00FB6532"/>
    <w:rsid w:val="00FB65C6"/>
    <w:rsid w:val="00FB65DF"/>
    <w:rsid w:val="00FB66DB"/>
    <w:rsid w:val="00FB6A46"/>
    <w:rsid w:val="00FB6A4A"/>
    <w:rsid w:val="00FB6AAF"/>
    <w:rsid w:val="00FB6C35"/>
    <w:rsid w:val="00FB6D21"/>
    <w:rsid w:val="00FB6E31"/>
    <w:rsid w:val="00FB70E4"/>
    <w:rsid w:val="00FB7113"/>
    <w:rsid w:val="00FB71A3"/>
    <w:rsid w:val="00FB73C2"/>
    <w:rsid w:val="00FB73E0"/>
    <w:rsid w:val="00FB761B"/>
    <w:rsid w:val="00FB77DA"/>
    <w:rsid w:val="00FB7ADD"/>
    <w:rsid w:val="00FB7BB3"/>
    <w:rsid w:val="00FB7C25"/>
    <w:rsid w:val="00FB7D1B"/>
    <w:rsid w:val="00FB7D76"/>
    <w:rsid w:val="00FC0037"/>
    <w:rsid w:val="00FC0109"/>
    <w:rsid w:val="00FC010B"/>
    <w:rsid w:val="00FC02BC"/>
    <w:rsid w:val="00FC0377"/>
    <w:rsid w:val="00FC05C1"/>
    <w:rsid w:val="00FC06C5"/>
    <w:rsid w:val="00FC06DC"/>
    <w:rsid w:val="00FC08BF"/>
    <w:rsid w:val="00FC093E"/>
    <w:rsid w:val="00FC0A32"/>
    <w:rsid w:val="00FC0BBB"/>
    <w:rsid w:val="00FC0D65"/>
    <w:rsid w:val="00FC0E6C"/>
    <w:rsid w:val="00FC0E90"/>
    <w:rsid w:val="00FC0E95"/>
    <w:rsid w:val="00FC0F42"/>
    <w:rsid w:val="00FC0F69"/>
    <w:rsid w:val="00FC0FD6"/>
    <w:rsid w:val="00FC12FC"/>
    <w:rsid w:val="00FC130A"/>
    <w:rsid w:val="00FC1515"/>
    <w:rsid w:val="00FC15E5"/>
    <w:rsid w:val="00FC1763"/>
    <w:rsid w:val="00FC1796"/>
    <w:rsid w:val="00FC1803"/>
    <w:rsid w:val="00FC1824"/>
    <w:rsid w:val="00FC1A52"/>
    <w:rsid w:val="00FC1E7A"/>
    <w:rsid w:val="00FC1E9A"/>
    <w:rsid w:val="00FC1F37"/>
    <w:rsid w:val="00FC1F66"/>
    <w:rsid w:val="00FC1F69"/>
    <w:rsid w:val="00FC21FC"/>
    <w:rsid w:val="00FC22AE"/>
    <w:rsid w:val="00FC2373"/>
    <w:rsid w:val="00FC2494"/>
    <w:rsid w:val="00FC2498"/>
    <w:rsid w:val="00FC2505"/>
    <w:rsid w:val="00FC2795"/>
    <w:rsid w:val="00FC2827"/>
    <w:rsid w:val="00FC2853"/>
    <w:rsid w:val="00FC291B"/>
    <w:rsid w:val="00FC29B7"/>
    <w:rsid w:val="00FC2E4B"/>
    <w:rsid w:val="00FC2E8A"/>
    <w:rsid w:val="00FC301F"/>
    <w:rsid w:val="00FC3051"/>
    <w:rsid w:val="00FC3098"/>
    <w:rsid w:val="00FC3099"/>
    <w:rsid w:val="00FC30CC"/>
    <w:rsid w:val="00FC3272"/>
    <w:rsid w:val="00FC3349"/>
    <w:rsid w:val="00FC3752"/>
    <w:rsid w:val="00FC37C9"/>
    <w:rsid w:val="00FC391D"/>
    <w:rsid w:val="00FC3C32"/>
    <w:rsid w:val="00FC3C3F"/>
    <w:rsid w:val="00FC3E7A"/>
    <w:rsid w:val="00FC3EF5"/>
    <w:rsid w:val="00FC410E"/>
    <w:rsid w:val="00FC4146"/>
    <w:rsid w:val="00FC462A"/>
    <w:rsid w:val="00FC4693"/>
    <w:rsid w:val="00FC46D4"/>
    <w:rsid w:val="00FC4703"/>
    <w:rsid w:val="00FC4721"/>
    <w:rsid w:val="00FC4807"/>
    <w:rsid w:val="00FC4813"/>
    <w:rsid w:val="00FC48FC"/>
    <w:rsid w:val="00FC497D"/>
    <w:rsid w:val="00FC49D2"/>
    <w:rsid w:val="00FC4BFA"/>
    <w:rsid w:val="00FC4C7D"/>
    <w:rsid w:val="00FC4C92"/>
    <w:rsid w:val="00FC4F34"/>
    <w:rsid w:val="00FC4F6F"/>
    <w:rsid w:val="00FC4F87"/>
    <w:rsid w:val="00FC5025"/>
    <w:rsid w:val="00FC51FA"/>
    <w:rsid w:val="00FC5235"/>
    <w:rsid w:val="00FC52CE"/>
    <w:rsid w:val="00FC5353"/>
    <w:rsid w:val="00FC53A9"/>
    <w:rsid w:val="00FC5506"/>
    <w:rsid w:val="00FC553C"/>
    <w:rsid w:val="00FC5599"/>
    <w:rsid w:val="00FC55E6"/>
    <w:rsid w:val="00FC566A"/>
    <w:rsid w:val="00FC56D6"/>
    <w:rsid w:val="00FC57FB"/>
    <w:rsid w:val="00FC592A"/>
    <w:rsid w:val="00FC597C"/>
    <w:rsid w:val="00FC5DEC"/>
    <w:rsid w:val="00FC5F18"/>
    <w:rsid w:val="00FC5F6A"/>
    <w:rsid w:val="00FC6253"/>
    <w:rsid w:val="00FC6443"/>
    <w:rsid w:val="00FC654A"/>
    <w:rsid w:val="00FC66BF"/>
    <w:rsid w:val="00FC67F1"/>
    <w:rsid w:val="00FC6A2F"/>
    <w:rsid w:val="00FC6A34"/>
    <w:rsid w:val="00FC6A91"/>
    <w:rsid w:val="00FC6AE9"/>
    <w:rsid w:val="00FC6AF6"/>
    <w:rsid w:val="00FC6C89"/>
    <w:rsid w:val="00FC6CEF"/>
    <w:rsid w:val="00FC6D10"/>
    <w:rsid w:val="00FC6DE1"/>
    <w:rsid w:val="00FC7140"/>
    <w:rsid w:val="00FC71E1"/>
    <w:rsid w:val="00FC721C"/>
    <w:rsid w:val="00FC72BA"/>
    <w:rsid w:val="00FC7397"/>
    <w:rsid w:val="00FC75E4"/>
    <w:rsid w:val="00FC75F9"/>
    <w:rsid w:val="00FC7889"/>
    <w:rsid w:val="00FC78E1"/>
    <w:rsid w:val="00FC78FD"/>
    <w:rsid w:val="00FC7955"/>
    <w:rsid w:val="00FC7D40"/>
    <w:rsid w:val="00FC7DB1"/>
    <w:rsid w:val="00FC7FD6"/>
    <w:rsid w:val="00FD0083"/>
    <w:rsid w:val="00FD0146"/>
    <w:rsid w:val="00FD0171"/>
    <w:rsid w:val="00FD0184"/>
    <w:rsid w:val="00FD01C9"/>
    <w:rsid w:val="00FD0210"/>
    <w:rsid w:val="00FD0214"/>
    <w:rsid w:val="00FD0387"/>
    <w:rsid w:val="00FD053A"/>
    <w:rsid w:val="00FD0620"/>
    <w:rsid w:val="00FD080F"/>
    <w:rsid w:val="00FD0810"/>
    <w:rsid w:val="00FD0A65"/>
    <w:rsid w:val="00FD0C4A"/>
    <w:rsid w:val="00FD0D4E"/>
    <w:rsid w:val="00FD0EA7"/>
    <w:rsid w:val="00FD0F17"/>
    <w:rsid w:val="00FD1148"/>
    <w:rsid w:val="00FD1160"/>
    <w:rsid w:val="00FD11B8"/>
    <w:rsid w:val="00FD134C"/>
    <w:rsid w:val="00FD137E"/>
    <w:rsid w:val="00FD154A"/>
    <w:rsid w:val="00FD1564"/>
    <w:rsid w:val="00FD16A2"/>
    <w:rsid w:val="00FD16F4"/>
    <w:rsid w:val="00FD17A1"/>
    <w:rsid w:val="00FD1A7F"/>
    <w:rsid w:val="00FD1B4B"/>
    <w:rsid w:val="00FD1B5E"/>
    <w:rsid w:val="00FD1CFF"/>
    <w:rsid w:val="00FD2241"/>
    <w:rsid w:val="00FD22ED"/>
    <w:rsid w:val="00FD238C"/>
    <w:rsid w:val="00FD24D5"/>
    <w:rsid w:val="00FD26A8"/>
    <w:rsid w:val="00FD26B8"/>
    <w:rsid w:val="00FD26CB"/>
    <w:rsid w:val="00FD291E"/>
    <w:rsid w:val="00FD295E"/>
    <w:rsid w:val="00FD2986"/>
    <w:rsid w:val="00FD2A4D"/>
    <w:rsid w:val="00FD2A58"/>
    <w:rsid w:val="00FD2B41"/>
    <w:rsid w:val="00FD2B89"/>
    <w:rsid w:val="00FD2C75"/>
    <w:rsid w:val="00FD2CBD"/>
    <w:rsid w:val="00FD2E0B"/>
    <w:rsid w:val="00FD2ED2"/>
    <w:rsid w:val="00FD2F21"/>
    <w:rsid w:val="00FD314A"/>
    <w:rsid w:val="00FD32AB"/>
    <w:rsid w:val="00FD355C"/>
    <w:rsid w:val="00FD364D"/>
    <w:rsid w:val="00FD382B"/>
    <w:rsid w:val="00FD3AA7"/>
    <w:rsid w:val="00FD3AF1"/>
    <w:rsid w:val="00FD3BA0"/>
    <w:rsid w:val="00FD3BDC"/>
    <w:rsid w:val="00FD3F8A"/>
    <w:rsid w:val="00FD40BD"/>
    <w:rsid w:val="00FD40D7"/>
    <w:rsid w:val="00FD41DD"/>
    <w:rsid w:val="00FD41F7"/>
    <w:rsid w:val="00FD429F"/>
    <w:rsid w:val="00FD4440"/>
    <w:rsid w:val="00FD4576"/>
    <w:rsid w:val="00FD4619"/>
    <w:rsid w:val="00FD4637"/>
    <w:rsid w:val="00FD4660"/>
    <w:rsid w:val="00FD470D"/>
    <w:rsid w:val="00FD47CC"/>
    <w:rsid w:val="00FD4814"/>
    <w:rsid w:val="00FD48AA"/>
    <w:rsid w:val="00FD4994"/>
    <w:rsid w:val="00FD49CC"/>
    <w:rsid w:val="00FD4C12"/>
    <w:rsid w:val="00FD4D1C"/>
    <w:rsid w:val="00FD4E60"/>
    <w:rsid w:val="00FD4E6C"/>
    <w:rsid w:val="00FD4F64"/>
    <w:rsid w:val="00FD4FD7"/>
    <w:rsid w:val="00FD4FDC"/>
    <w:rsid w:val="00FD51D5"/>
    <w:rsid w:val="00FD5444"/>
    <w:rsid w:val="00FD56D6"/>
    <w:rsid w:val="00FD5750"/>
    <w:rsid w:val="00FD57A5"/>
    <w:rsid w:val="00FD5863"/>
    <w:rsid w:val="00FD58C5"/>
    <w:rsid w:val="00FD5C0F"/>
    <w:rsid w:val="00FD5C82"/>
    <w:rsid w:val="00FD5D3E"/>
    <w:rsid w:val="00FD5D94"/>
    <w:rsid w:val="00FD6189"/>
    <w:rsid w:val="00FD6243"/>
    <w:rsid w:val="00FD63F7"/>
    <w:rsid w:val="00FD65EE"/>
    <w:rsid w:val="00FD67EE"/>
    <w:rsid w:val="00FD67FC"/>
    <w:rsid w:val="00FD68A6"/>
    <w:rsid w:val="00FD6919"/>
    <w:rsid w:val="00FD6AC1"/>
    <w:rsid w:val="00FD6ACC"/>
    <w:rsid w:val="00FD6AF2"/>
    <w:rsid w:val="00FD6B16"/>
    <w:rsid w:val="00FD6D2B"/>
    <w:rsid w:val="00FD6DBA"/>
    <w:rsid w:val="00FD6DC5"/>
    <w:rsid w:val="00FD6DF6"/>
    <w:rsid w:val="00FD6FB4"/>
    <w:rsid w:val="00FD70F1"/>
    <w:rsid w:val="00FD717F"/>
    <w:rsid w:val="00FD720F"/>
    <w:rsid w:val="00FD72DD"/>
    <w:rsid w:val="00FD755A"/>
    <w:rsid w:val="00FD7640"/>
    <w:rsid w:val="00FD77A2"/>
    <w:rsid w:val="00FD77BA"/>
    <w:rsid w:val="00FD7940"/>
    <w:rsid w:val="00FD7B56"/>
    <w:rsid w:val="00FD7BE9"/>
    <w:rsid w:val="00FD7CFF"/>
    <w:rsid w:val="00FD7E07"/>
    <w:rsid w:val="00FD7E7F"/>
    <w:rsid w:val="00FD7EB4"/>
    <w:rsid w:val="00FD7F6A"/>
    <w:rsid w:val="00FDB25D"/>
    <w:rsid w:val="00FDBD9F"/>
    <w:rsid w:val="00FE00D2"/>
    <w:rsid w:val="00FE00FF"/>
    <w:rsid w:val="00FE0376"/>
    <w:rsid w:val="00FE038E"/>
    <w:rsid w:val="00FE06C4"/>
    <w:rsid w:val="00FE07FB"/>
    <w:rsid w:val="00FE084E"/>
    <w:rsid w:val="00FE0A33"/>
    <w:rsid w:val="00FE0A91"/>
    <w:rsid w:val="00FE0AB4"/>
    <w:rsid w:val="00FE0C2E"/>
    <w:rsid w:val="00FE0D36"/>
    <w:rsid w:val="00FE0DAB"/>
    <w:rsid w:val="00FE0F7B"/>
    <w:rsid w:val="00FE0F8C"/>
    <w:rsid w:val="00FE1031"/>
    <w:rsid w:val="00FE1124"/>
    <w:rsid w:val="00FE113C"/>
    <w:rsid w:val="00FE11AA"/>
    <w:rsid w:val="00FE11C3"/>
    <w:rsid w:val="00FE11C8"/>
    <w:rsid w:val="00FE11DA"/>
    <w:rsid w:val="00FE13A3"/>
    <w:rsid w:val="00FE1554"/>
    <w:rsid w:val="00FE1674"/>
    <w:rsid w:val="00FE18C7"/>
    <w:rsid w:val="00FE1925"/>
    <w:rsid w:val="00FE1993"/>
    <w:rsid w:val="00FE1AAB"/>
    <w:rsid w:val="00FE1ACD"/>
    <w:rsid w:val="00FE1B37"/>
    <w:rsid w:val="00FE1CFD"/>
    <w:rsid w:val="00FE1D3B"/>
    <w:rsid w:val="00FE1E1D"/>
    <w:rsid w:val="00FE1E4F"/>
    <w:rsid w:val="00FE1E5C"/>
    <w:rsid w:val="00FE1F30"/>
    <w:rsid w:val="00FE1F57"/>
    <w:rsid w:val="00FE1FDF"/>
    <w:rsid w:val="00FE2415"/>
    <w:rsid w:val="00FE24A4"/>
    <w:rsid w:val="00FE24AB"/>
    <w:rsid w:val="00FE25D6"/>
    <w:rsid w:val="00FE283E"/>
    <w:rsid w:val="00FE296F"/>
    <w:rsid w:val="00FE2AF4"/>
    <w:rsid w:val="00FE2BD2"/>
    <w:rsid w:val="00FE2DB3"/>
    <w:rsid w:val="00FE2E3F"/>
    <w:rsid w:val="00FE2EEC"/>
    <w:rsid w:val="00FE2F7E"/>
    <w:rsid w:val="00FE2FC6"/>
    <w:rsid w:val="00FE3054"/>
    <w:rsid w:val="00FE30D5"/>
    <w:rsid w:val="00FE31B6"/>
    <w:rsid w:val="00FE31CC"/>
    <w:rsid w:val="00FE328F"/>
    <w:rsid w:val="00FE330A"/>
    <w:rsid w:val="00FE337F"/>
    <w:rsid w:val="00FE339F"/>
    <w:rsid w:val="00FE340F"/>
    <w:rsid w:val="00FE347F"/>
    <w:rsid w:val="00FE34E9"/>
    <w:rsid w:val="00FE34EE"/>
    <w:rsid w:val="00FE3579"/>
    <w:rsid w:val="00FE36A8"/>
    <w:rsid w:val="00FE3708"/>
    <w:rsid w:val="00FE39C5"/>
    <w:rsid w:val="00FE3CAD"/>
    <w:rsid w:val="00FE3E4B"/>
    <w:rsid w:val="00FE3FB5"/>
    <w:rsid w:val="00FE40FA"/>
    <w:rsid w:val="00FE41F3"/>
    <w:rsid w:val="00FE44A4"/>
    <w:rsid w:val="00FE44AE"/>
    <w:rsid w:val="00FE46E6"/>
    <w:rsid w:val="00FE46F3"/>
    <w:rsid w:val="00FE47B8"/>
    <w:rsid w:val="00FE491B"/>
    <w:rsid w:val="00FE492C"/>
    <w:rsid w:val="00FE4991"/>
    <w:rsid w:val="00FE49E2"/>
    <w:rsid w:val="00FE4AC6"/>
    <w:rsid w:val="00FE4AFF"/>
    <w:rsid w:val="00FE4B57"/>
    <w:rsid w:val="00FE4BFF"/>
    <w:rsid w:val="00FE4CF6"/>
    <w:rsid w:val="00FE4D06"/>
    <w:rsid w:val="00FE4D58"/>
    <w:rsid w:val="00FE4DDC"/>
    <w:rsid w:val="00FE4E95"/>
    <w:rsid w:val="00FE508B"/>
    <w:rsid w:val="00FE50BC"/>
    <w:rsid w:val="00FE5113"/>
    <w:rsid w:val="00FE531A"/>
    <w:rsid w:val="00FE5495"/>
    <w:rsid w:val="00FE54B7"/>
    <w:rsid w:val="00FE563F"/>
    <w:rsid w:val="00FE568C"/>
    <w:rsid w:val="00FE58ED"/>
    <w:rsid w:val="00FE58F1"/>
    <w:rsid w:val="00FE5A6B"/>
    <w:rsid w:val="00FE5AC2"/>
    <w:rsid w:val="00FE5BE9"/>
    <w:rsid w:val="00FE5BF7"/>
    <w:rsid w:val="00FE5C93"/>
    <w:rsid w:val="00FE5DE1"/>
    <w:rsid w:val="00FE5F55"/>
    <w:rsid w:val="00FE6290"/>
    <w:rsid w:val="00FE62A3"/>
    <w:rsid w:val="00FE639A"/>
    <w:rsid w:val="00FE6671"/>
    <w:rsid w:val="00FE66CE"/>
    <w:rsid w:val="00FE685B"/>
    <w:rsid w:val="00FE6881"/>
    <w:rsid w:val="00FE69DF"/>
    <w:rsid w:val="00FE6A4A"/>
    <w:rsid w:val="00FE6A7D"/>
    <w:rsid w:val="00FE6AEB"/>
    <w:rsid w:val="00FE6B37"/>
    <w:rsid w:val="00FE6CB6"/>
    <w:rsid w:val="00FE6DB1"/>
    <w:rsid w:val="00FE712B"/>
    <w:rsid w:val="00FE71EA"/>
    <w:rsid w:val="00FE7305"/>
    <w:rsid w:val="00FE73EB"/>
    <w:rsid w:val="00FE7589"/>
    <w:rsid w:val="00FE7596"/>
    <w:rsid w:val="00FE7727"/>
    <w:rsid w:val="00FE7A1A"/>
    <w:rsid w:val="00FE7CE8"/>
    <w:rsid w:val="00FE7D4C"/>
    <w:rsid w:val="00FE7E2C"/>
    <w:rsid w:val="00FE7F8D"/>
    <w:rsid w:val="00FE7FE6"/>
    <w:rsid w:val="00FF01A9"/>
    <w:rsid w:val="00FF01C9"/>
    <w:rsid w:val="00FF0218"/>
    <w:rsid w:val="00FF0363"/>
    <w:rsid w:val="00FF03E7"/>
    <w:rsid w:val="00FF0794"/>
    <w:rsid w:val="00FF08DF"/>
    <w:rsid w:val="00FF09C8"/>
    <w:rsid w:val="00FF09DA"/>
    <w:rsid w:val="00FF0AA9"/>
    <w:rsid w:val="00FF0C48"/>
    <w:rsid w:val="00FF0C9E"/>
    <w:rsid w:val="00FF0D06"/>
    <w:rsid w:val="00FF10F5"/>
    <w:rsid w:val="00FF11A9"/>
    <w:rsid w:val="00FF11AB"/>
    <w:rsid w:val="00FF1339"/>
    <w:rsid w:val="00FF140B"/>
    <w:rsid w:val="00FF1445"/>
    <w:rsid w:val="00FF14BA"/>
    <w:rsid w:val="00FF1524"/>
    <w:rsid w:val="00FF163D"/>
    <w:rsid w:val="00FF188D"/>
    <w:rsid w:val="00FF18A1"/>
    <w:rsid w:val="00FF1980"/>
    <w:rsid w:val="00FF19D1"/>
    <w:rsid w:val="00FF1A34"/>
    <w:rsid w:val="00FF1AAC"/>
    <w:rsid w:val="00FF1ADE"/>
    <w:rsid w:val="00FF1BAA"/>
    <w:rsid w:val="00FF2200"/>
    <w:rsid w:val="00FF233F"/>
    <w:rsid w:val="00FF249A"/>
    <w:rsid w:val="00FF264E"/>
    <w:rsid w:val="00FF2721"/>
    <w:rsid w:val="00FF27CA"/>
    <w:rsid w:val="00FF27EB"/>
    <w:rsid w:val="00FF2859"/>
    <w:rsid w:val="00FF29D0"/>
    <w:rsid w:val="00FF2A16"/>
    <w:rsid w:val="00FF2CA2"/>
    <w:rsid w:val="00FF2D01"/>
    <w:rsid w:val="00FF2E24"/>
    <w:rsid w:val="00FF2E70"/>
    <w:rsid w:val="00FF3073"/>
    <w:rsid w:val="00FF30DB"/>
    <w:rsid w:val="00FF31CD"/>
    <w:rsid w:val="00FF3329"/>
    <w:rsid w:val="00FF33AB"/>
    <w:rsid w:val="00FF33E5"/>
    <w:rsid w:val="00FF3427"/>
    <w:rsid w:val="00FF3545"/>
    <w:rsid w:val="00FF35D5"/>
    <w:rsid w:val="00FF3600"/>
    <w:rsid w:val="00FF370F"/>
    <w:rsid w:val="00FF3765"/>
    <w:rsid w:val="00FF3778"/>
    <w:rsid w:val="00FF38DF"/>
    <w:rsid w:val="00FF38FC"/>
    <w:rsid w:val="00FF39AC"/>
    <w:rsid w:val="00FF3A55"/>
    <w:rsid w:val="00FF3E85"/>
    <w:rsid w:val="00FF3E91"/>
    <w:rsid w:val="00FF3F97"/>
    <w:rsid w:val="00FF4109"/>
    <w:rsid w:val="00FF423C"/>
    <w:rsid w:val="00FF426C"/>
    <w:rsid w:val="00FF4420"/>
    <w:rsid w:val="00FF49EF"/>
    <w:rsid w:val="00FF4AA0"/>
    <w:rsid w:val="00FF4C1A"/>
    <w:rsid w:val="00FF4C41"/>
    <w:rsid w:val="00FF4C60"/>
    <w:rsid w:val="00FF4DB1"/>
    <w:rsid w:val="00FF4EA2"/>
    <w:rsid w:val="00FF514F"/>
    <w:rsid w:val="00FF51B3"/>
    <w:rsid w:val="00FF5227"/>
    <w:rsid w:val="00FF535B"/>
    <w:rsid w:val="00FF5379"/>
    <w:rsid w:val="00FF53CD"/>
    <w:rsid w:val="00FF542C"/>
    <w:rsid w:val="00FF5589"/>
    <w:rsid w:val="00FF55B5"/>
    <w:rsid w:val="00FF5A75"/>
    <w:rsid w:val="00FF5BAC"/>
    <w:rsid w:val="00FF5BBF"/>
    <w:rsid w:val="00FF5C30"/>
    <w:rsid w:val="00FF5CCC"/>
    <w:rsid w:val="00FF5CF2"/>
    <w:rsid w:val="00FF5D3C"/>
    <w:rsid w:val="00FF6059"/>
    <w:rsid w:val="00FF6072"/>
    <w:rsid w:val="00FF60F6"/>
    <w:rsid w:val="00FF637A"/>
    <w:rsid w:val="00FF637E"/>
    <w:rsid w:val="00FF6410"/>
    <w:rsid w:val="00FF6521"/>
    <w:rsid w:val="00FF65D1"/>
    <w:rsid w:val="00FF65EF"/>
    <w:rsid w:val="00FF672F"/>
    <w:rsid w:val="00FF6770"/>
    <w:rsid w:val="00FF6898"/>
    <w:rsid w:val="00FF690A"/>
    <w:rsid w:val="00FF6983"/>
    <w:rsid w:val="00FF69B0"/>
    <w:rsid w:val="00FF6A89"/>
    <w:rsid w:val="00FF6A95"/>
    <w:rsid w:val="00FF6AA0"/>
    <w:rsid w:val="00FF6B95"/>
    <w:rsid w:val="00FF6F60"/>
    <w:rsid w:val="00FF6F87"/>
    <w:rsid w:val="00FF7096"/>
    <w:rsid w:val="00FF71B7"/>
    <w:rsid w:val="00FF7339"/>
    <w:rsid w:val="00FF73A4"/>
    <w:rsid w:val="00FF748A"/>
    <w:rsid w:val="00FF7679"/>
    <w:rsid w:val="00FF78F8"/>
    <w:rsid w:val="00FF790C"/>
    <w:rsid w:val="00FF79CE"/>
    <w:rsid w:val="00FF79DF"/>
    <w:rsid w:val="00FF7AF2"/>
    <w:rsid w:val="00FF7B2C"/>
    <w:rsid w:val="00FF7BCF"/>
    <w:rsid w:val="00FF7C95"/>
    <w:rsid w:val="00FF7D86"/>
    <w:rsid w:val="00FF7DFF"/>
    <w:rsid w:val="00FF7E15"/>
    <w:rsid w:val="00FF7E99"/>
    <w:rsid w:val="0103319C"/>
    <w:rsid w:val="010756FD"/>
    <w:rsid w:val="01081FD8"/>
    <w:rsid w:val="0109051F"/>
    <w:rsid w:val="01099A66"/>
    <w:rsid w:val="010B4B55"/>
    <w:rsid w:val="010F51E6"/>
    <w:rsid w:val="01117FBA"/>
    <w:rsid w:val="0111BAE7"/>
    <w:rsid w:val="0116497E"/>
    <w:rsid w:val="011973A0"/>
    <w:rsid w:val="011C4E7C"/>
    <w:rsid w:val="011E283A"/>
    <w:rsid w:val="01207A9B"/>
    <w:rsid w:val="0120B149"/>
    <w:rsid w:val="012116D2"/>
    <w:rsid w:val="01216DCF"/>
    <w:rsid w:val="0124F63B"/>
    <w:rsid w:val="0125B7EF"/>
    <w:rsid w:val="012E53BF"/>
    <w:rsid w:val="0136B246"/>
    <w:rsid w:val="013A89FB"/>
    <w:rsid w:val="013B482B"/>
    <w:rsid w:val="013B7AF8"/>
    <w:rsid w:val="0140ADC3"/>
    <w:rsid w:val="0141BCD2"/>
    <w:rsid w:val="0143207A"/>
    <w:rsid w:val="01436616"/>
    <w:rsid w:val="0143EAE6"/>
    <w:rsid w:val="0147AC7D"/>
    <w:rsid w:val="014B2C7B"/>
    <w:rsid w:val="014C01D9"/>
    <w:rsid w:val="0151C509"/>
    <w:rsid w:val="0154E5EC"/>
    <w:rsid w:val="015B8369"/>
    <w:rsid w:val="015BCC5C"/>
    <w:rsid w:val="015CCF92"/>
    <w:rsid w:val="0160F7E1"/>
    <w:rsid w:val="0162FCAB"/>
    <w:rsid w:val="016530E4"/>
    <w:rsid w:val="0165AB46"/>
    <w:rsid w:val="016FAF46"/>
    <w:rsid w:val="0174CF0F"/>
    <w:rsid w:val="017558A3"/>
    <w:rsid w:val="0176C78D"/>
    <w:rsid w:val="017911CB"/>
    <w:rsid w:val="017B8910"/>
    <w:rsid w:val="017CF8D2"/>
    <w:rsid w:val="0181B869"/>
    <w:rsid w:val="01838E28"/>
    <w:rsid w:val="01890DBF"/>
    <w:rsid w:val="018D9EA2"/>
    <w:rsid w:val="0192421E"/>
    <w:rsid w:val="0192BBD3"/>
    <w:rsid w:val="019F013B"/>
    <w:rsid w:val="01A2DACD"/>
    <w:rsid w:val="01A7F212"/>
    <w:rsid w:val="01AD3A72"/>
    <w:rsid w:val="01AD72B1"/>
    <w:rsid w:val="01B41269"/>
    <w:rsid w:val="01B4255C"/>
    <w:rsid w:val="01B6812A"/>
    <w:rsid w:val="01B935AE"/>
    <w:rsid w:val="01BA2C1F"/>
    <w:rsid w:val="01BA7821"/>
    <w:rsid w:val="01BC565A"/>
    <w:rsid w:val="01BC7ABC"/>
    <w:rsid w:val="01BE505D"/>
    <w:rsid w:val="01C0C51D"/>
    <w:rsid w:val="01C7446F"/>
    <w:rsid w:val="01CB7FE0"/>
    <w:rsid w:val="01CCD488"/>
    <w:rsid w:val="01CDE0E4"/>
    <w:rsid w:val="01D100DB"/>
    <w:rsid w:val="01D310AC"/>
    <w:rsid w:val="01D7571B"/>
    <w:rsid w:val="01D8EB98"/>
    <w:rsid w:val="01DB2D77"/>
    <w:rsid w:val="01DCAE3D"/>
    <w:rsid w:val="01DE85D1"/>
    <w:rsid w:val="01E3A03E"/>
    <w:rsid w:val="01E3FC63"/>
    <w:rsid w:val="01E45F05"/>
    <w:rsid w:val="01E487DD"/>
    <w:rsid w:val="01F03DD6"/>
    <w:rsid w:val="01F22EA9"/>
    <w:rsid w:val="01F255F4"/>
    <w:rsid w:val="01F43DD7"/>
    <w:rsid w:val="01F6B0E7"/>
    <w:rsid w:val="01FB9D45"/>
    <w:rsid w:val="0200C2FC"/>
    <w:rsid w:val="0201791A"/>
    <w:rsid w:val="02025182"/>
    <w:rsid w:val="02070ECD"/>
    <w:rsid w:val="02089908"/>
    <w:rsid w:val="02125719"/>
    <w:rsid w:val="021882D5"/>
    <w:rsid w:val="0219A514"/>
    <w:rsid w:val="022295DC"/>
    <w:rsid w:val="022451CB"/>
    <w:rsid w:val="0224CFC4"/>
    <w:rsid w:val="02258C35"/>
    <w:rsid w:val="022B7329"/>
    <w:rsid w:val="022E140F"/>
    <w:rsid w:val="022FC7B9"/>
    <w:rsid w:val="0233CDE4"/>
    <w:rsid w:val="023619C2"/>
    <w:rsid w:val="0239C060"/>
    <w:rsid w:val="023BD6E1"/>
    <w:rsid w:val="0242BAFE"/>
    <w:rsid w:val="024729F1"/>
    <w:rsid w:val="0247FFBB"/>
    <w:rsid w:val="024848D5"/>
    <w:rsid w:val="02486BCC"/>
    <w:rsid w:val="024B6873"/>
    <w:rsid w:val="025018E7"/>
    <w:rsid w:val="02557270"/>
    <w:rsid w:val="0256B1E6"/>
    <w:rsid w:val="025A7509"/>
    <w:rsid w:val="025CD8C1"/>
    <w:rsid w:val="025D0FDD"/>
    <w:rsid w:val="025F2ED7"/>
    <w:rsid w:val="026D1B15"/>
    <w:rsid w:val="02728A67"/>
    <w:rsid w:val="02740F03"/>
    <w:rsid w:val="02755868"/>
    <w:rsid w:val="027742E4"/>
    <w:rsid w:val="0279E476"/>
    <w:rsid w:val="0287C973"/>
    <w:rsid w:val="028949F3"/>
    <w:rsid w:val="028C95BD"/>
    <w:rsid w:val="028EE3AD"/>
    <w:rsid w:val="0290395F"/>
    <w:rsid w:val="0290CAF1"/>
    <w:rsid w:val="0297B27C"/>
    <w:rsid w:val="0299BB36"/>
    <w:rsid w:val="029A30A3"/>
    <w:rsid w:val="029D317F"/>
    <w:rsid w:val="029D54DB"/>
    <w:rsid w:val="02A182AD"/>
    <w:rsid w:val="02A66917"/>
    <w:rsid w:val="02A79940"/>
    <w:rsid w:val="02A8828F"/>
    <w:rsid w:val="02A9588E"/>
    <w:rsid w:val="02AAC1D6"/>
    <w:rsid w:val="02AB6DD7"/>
    <w:rsid w:val="02AE6765"/>
    <w:rsid w:val="02BCD9C8"/>
    <w:rsid w:val="02BD3CC6"/>
    <w:rsid w:val="02C09D02"/>
    <w:rsid w:val="02C15F0B"/>
    <w:rsid w:val="02C210F1"/>
    <w:rsid w:val="02C37749"/>
    <w:rsid w:val="02C62814"/>
    <w:rsid w:val="02C6FE4B"/>
    <w:rsid w:val="02C9A8FD"/>
    <w:rsid w:val="02CA5AF8"/>
    <w:rsid w:val="02CBA044"/>
    <w:rsid w:val="02CDDCC0"/>
    <w:rsid w:val="02CF9CF5"/>
    <w:rsid w:val="02D3B706"/>
    <w:rsid w:val="02D61D80"/>
    <w:rsid w:val="02D6DB50"/>
    <w:rsid w:val="02D87562"/>
    <w:rsid w:val="02DADC1B"/>
    <w:rsid w:val="02DEC058"/>
    <w:rsid w:val="02E03C65"/>
    <w:rsid w:val="02E074F9"/>
    <w:rsid w:val="02E30168"/>
    <w:rsid w:val="02E4F308"/>
    <w:rsid w:val="02E6159E"/>
    <w:rsid w:val="02E7086B"/>
    <w:rsid w:val="02E7473A"/>
    <w:rsid w:val="02EA1667"/>
    <w:rsid w:val="02EC0FA7"/>
    <w:rsid w:val="02EE66DE"/>
    <w:rsid w:val="02F35F28"/>
    <w:rsid w:val="02F92A2E"/>
    <w:rsid w:val="02FAAAAC"/>
    <w:rsid w:val="02FCBA3A"/>
    <w:rsid w:val="03006C49"/>
    <w:rsid w:val="030635D0"/>
    <w:rsid w:val="03066CF7"/>
    <w:rsid w:val="0308B4B3"/>
    <w:rsid w:val="0308E8C7"/>
    <w:rsid w:val="030B8387"/>
    <w:rsid w:val="030C1780"/>
    <w:rsid w:val="030D903B"/>
    <w:rsid w:val="030DA6AC"/>
    <w:rsid w:val="031242B5"/>
    <w:rsid w:val="0312BC14"/>
    <w:rsid w:val="03183894"/>
    <w:rsid w:val="0324A940"/>
    <w:rsid w:val="032791E8"/>
    <w:rsid w:val="0328B89E"/>
    <w:rsid w:val="032987D5"/>
    <w:rsid w:val="032B80DC"/>
    <w:rsid w:val="032CEA20"/>
    <w:rsid w:val="03326C31"/>
    <w:rsid w:val="0332D718"/>
    <w:rsid w:val="0333BE5A"/>
    <w:rsid w:val="033BB152"/>
    <w:rsid w:val="034546D0"/>
    <w:rsid w:val="03482B96"/>
    <w:rsid w:val="034891F2"/>
    <w:rsid w:val="034909D6"/>
    <w:rsid w:val="034DEF00"/>
    <w:rsid w:val="034F1A16"/>
    <w:rsid w:val="0353CC47"/>
    <w:rsid w:val="03554BCF"/>
    <w:rsid w:val="03666650"/>
    <w:rsid w:val="036896D9"/>
    <w:rsid w:val="0369587E"/>
    <w:rsid w:val="036A1DC8"/>
    <w:rsid w:val="0377FBB9"/>
    <w:rsid w:val="037B0B7C"/>
    <w:rsid w:val="037D4F40"/>
    <w:rsid w:val="037D9318"/>
    <w:rsid w:val="037F27A5"/>
    <w:rsid w:val="037F9E10"/>
    <w:rsid w:val="037FB320"/>
    <w:rsid w:val="037FFF97"/>
    <w:rsid w:val="03814671"/>
    <w:rsid w:val="0387E949"/>
    <w:rsid w:val="038BFDCA"/>
    <w:rsid w:val="038DD10D"/>
    <w:rsid w:val="03900E38"/>
    <w:rsid w:val="039241C4"/>
    <w:rsid w:val="03941B87"/>
    <w:rsid w:val="039E3050"/>
    <w:rsid w:val="039FA063"/>
    <w:rsid w:val="03A06820"/>
    <w:rsid w:val="03A568BE"/>
    <w:rsid w:val="03A587F0"/>
    <w:rsid w:val="03A5BA5C"/>
    <w:rsid w:val="03A6CF3B"/>
    <w:rsid w:val="03A77B17"/>
    <w:rsid w:val="03A79600"/>
    <w:rsid w:val="03A8D4A0"/>
    <w:rsid w:val="03A9257A"/>
    <w:rsid w:val="03AA9137"/>
    <w:rsid w:val="03B17F09"/>
    <w:rsid w:val="03B42DA8"/>
    <w:rsid w:val="03B56218"/>
    <w:rsid w:val="03B5E11B"/>
    <w:rsid w:val="03B9C12A"/>
    <w:rsid w:val="03BAEA94"/>
    <w:rsid w:val="03BD6935"/>
    <w:rsid w:val="03BE3B82"/>
    <w:rsid w:val="03C5A1E4"/>
    <w:rsid w:val="03CA072C"/>
    <w:rsid w:val="03CC65FA"/>
    <w:rsid w:val="03CCE65B"/>
    <w:rsid w:val="03D47734"/>
    <w:rsid w:val="03DBEB1F"/>
    <w:rsid w:val="03DC8552"/>
    <w:rsid w:val="03DF0A73"/>
    <w:rsid w:val="03E78F3C"/>
    <w:rsid w:val="03E82295"/>
    <w:rsid w:val="03E861BF"/>
    <w:rsid w:val="03E9EC96"/>
    <w:rsid w:val="03F0B339"/>
    <w:rsid w:val="03F3EDC2"/>
    <w:rsid w:val="03F4F5FD"/>
    <w:rsid w:val="03FC0A69"/>
    <w:rsid w:val="040331C6"/>
    <w:rsid w:val="04060189"/>
    <w:rsid w:val="0409A98E"/>
    <w:rsid w:val="040CD506"/>
    <w:rsid w:val="040D0228"/>
    <w:rsid w:val="040E2043"/>
    <w:rsid w:val="0411C96B"/>
    <w:rsid w:val="04174A5F"/>
    <w:rsid w:val="041ADB30"/>
    <w:rsid w:val="04239CE2"/>
    <w:rsid w:val="042729B9"/>
    <w:rsid w:val="04276BE1"/>
    <w:rsid w:val="04291676"/>
    <w:rsid w:val="04292A09"/>
    <w:rsid w:val="042DE15B"/>
    <w:rsid w:val="042E5014"/>
    <w:rsid w:val="04327DE8"/>
    <w:rsid w:val="0437227C"/>
    <w:rsid w:val="043E6A48"/>
    <w:rsid w:val="0441C011"/>
    <w:rsid w:val="04431829"/>
    <w:rsid w:val="044624B7"/>
    <w:rsid w:val="044A255C"/>
    <w:rsid w:val="044A510D"/>
    <w:rsid w:val="044B145C"/>
    <w:rsid w:val="044CD156"/>
    <w:rsid w:val="044DD6C2"/>
    <w:rsid w:val="044E6A5A"/>
    <w:rsid w:val="044EBC2B"/>
    <w:rsid w:val="04541B8D"/>
    <w:rsid w:val="04565B3C"/>
    <w:rsid w:val="0456DDF2"/>
    <w:rsid w:val="04596FCE"/>
    <w:rsid w:val="045C0C37"/>
    <w:rsid w:val="045F4FE7"/>
    <w:rsid w:val="0461AE16"/>
    <w:rsid w:val="0461C00E"/>
    <w:rsid w:val="0463F557"/>
    <w:rsid w:val="04671A3F"/>
    <w:rsid w:val="046753A1"/>
    <w:rsid w:val="046872C2"/>
    <w:rsid w:val="04739A8E"/>
    <w:rsid w:val="04788E7B"/>
    <w:rsid w:val="0479A8A9"/>
    <w:rsid w:val="047CADFF"/>
    <w:rsid w:val="047DACEA"/>
    <w:rsid w:val="0483C664"/>
    <w:rsid w:val="04868076"/>
    <w:rsid w:val="048D4EEE"/>
    <w:rsid w:val="048DD2E0"/>
    <w:rsid w:val="0492CE93"/>
    <w:rsid w:val="04989F8D"/>
    <w:rsid w:val="04A18748"/>
    <w:rsid w:val="04A2592C"/>
    <w:rsid w:val="04A43055"/>
    <w:rsid w:val="04A55462"/>
    <w:rsid w:val="04A98386"/>
    <w:rsid w:val="04AC8438"/>
    <w:rsid w:val="04AD19B8"/>
    <w:rsid w:val="04B18557"/>
    <w:rsid w:val="04BFD828"/>
    <w:rsid w:val="04C1B402"/>
    <w:rsid w:val="04C792A8"/>
    <w:rsid w:val="04C82071"/>
    <w:rsid w:val="04C8B13A"/>
    <w:rsid w:val="04CD7792"/>
    <w:rsid w:val="04D1F94B"/>
    <w:rsid w:val="04D7BC0C"/>
    <w:rsid w:val="04DB294C"/>
    <w:rsid w:val="04DC70E9"/>
    <w:rsid w:val="04E66A4E"/>
    <w:rsid w:val="04EC0CFB"/>
    <w:rsid w:val="04ED6C94"/>
    <w:rsid w:val="04EE563C"/>
    <w:rsid w:val="04F3381D"/>
    <w:rsid w:val="04F469E9"/>
    <w:rsid w:val="04F53E16"/>
    <w:rsid w:val="04F6A2FA"/>
    <w:rsid w:val="04FB6BF0"/>
    <w:rsid w:val="05016CE1"/>
    <w:rsid w:val="0502A054"/>
    <w:rsid w:val="0504DC0F"/>
    <w:rsid w:val="050530D3"/>
    <w:rsid w:val="0505A2CC"/>
    <w:rsid w:val="050C4B17"/>
    <w:rsid w:val="050F7E28"/>
    <w:rsid w:val="051122A5"/>
    <w:rsid w:val="0511859A"/>
    <w:rsid w:val="05139B04"/>
    <w:rsid w:val="0518A143"/>
    <w:rsid w:val="0518B606"/>
    <w:rsid w:val="05255778"/>
    <w:rsid w:val="052D5FB3"/>
    <w:rsid w:val="052F229A"/>
    <w:rsid w:val="052FC08A"/>
    <w:rsid w:val="052FF3A2"/>
    <w:rsid w:val="05354F51"/>
    <w:rsid w:val="053970D9"/>
    <w:rsid w:val="053DB639"/>
    <w:rsid w:val="05436D8D"/>
    <w:rsid w:val="05440AAE"/>
    <w:rsid w:val="0548302A"/>
    <w:rsid w:val="054B17E4"/>
    <w:rsid w:val="054D1471"/>
    <w:rsid w:val="054D3923"/>
    <w:rsid w:val="0554DECC"/>
    <w:rsid w:val="05565A4A"/>
    <w:rsid w:val="05598A9A"/>
    <w:rsid w:val="055CA78C"/>
    <w:rsid w:val="055F9BDA"/>
    <w:rsid w:val="055F9CB2"/>
    <w:rsid w:val="055F9CF5"/>
    <w:rsid w:val="056E4532"/>
    <w:rsid w:val="05705732"/>
    <w:rsid w:val="057EA035"/>
    <w:rsid w:val="058062E2"/>
    <w:rsid w:val="0581A22F"/>
    <w:rsid w:val="05836366"/>
    <w:rsid w:val="058411A3"/>
    <w:rsid w:val="0585BCF7"/>
    <w:rsid w:val="058969D5"/>
    <w:rsid w:val="058AF073"/>
    <w:rsid w:val="058AF9E9"/>
    <w:rsid w:val="058B9B49"/>
    <w:rsid w:val="058E8DA3"/>
    <w:rsid w:val="058E916E"/>
    <w:rsid w:val="05905747"/>
    <w:rsid w:val="05905ECA"/>
    <w:rsid w:val="0592195C"/>
    <w:rsid w:val="05A12F62"/>
    <w:rsid w:val="05A9DB39"/>
    <w:rsid w:val="05AB3F36"/>
    <w:rsid w:val="05AB8D9A"/>
    <w:rsid w:val="05ABC34C"/>
    <w:rsid w:val="05ACBADF"/>
    <w:rsid w:val="05ACF92A"/>
    <w:rsid w:val="05AD4E2C"/>
    <w:rsid w:val="05ADC235"/>
    <w:rsid w:val="05AE63EF"/>
    <w:rsid w:val="05AEAEE4"/>
    <w:rsid w:val="05AEE3A6"/>
    <w:rsid w:val="05B3B4A0"/>
    <w:rsid w:val="05B5A626"/>
    <w:rsid w:val="05B65F4D"/>
    <w:rsid w:val="05BDA359"/>
    <w:rsid w:val="05BF1352"/>
    <w:rsid w:val="05BF741D"/>
    <w:rsid w:val="05C0DF7A"/>
    <w:rsid w:val="05C2EF8F"/>
    <w:rsid w:val="05C4DACC"/>
    <w:rsid w:val="05C8B4B2"/>
    <w:rsid w:val="05CFFD01"/>
    <w:rsid w:val="05D077B0"/>
    <w:rsid w:val="05D0A50C"/>
    <w:rsid w:val="05D26828"/>
    <w:rsid w:val="05D3CB44"/>
    <w:rsid w:val="05D50B15"/>
    <w:rsid w:val="05D52987"/>
    <w:rsid w:val="05D5B3F7"/>
    <w:rsid w:val="05D69A65"/>
    <w:rsid w:val="05D78E34"/>
    <w:rsid w:val="05DE4AD3"/>
    <w:rsid w:val="05E2EA07"/>
    <w:rsid w:val="05E51264"/>
    <w:rsid w:val="05E799BE"/>
    <w:rsid w:val="05EC3E91"/>
    <w:rsid w:val="05ED9F96"/>
    <w:rsid w:val="05F47A8A"/>
    <w:rsid w:val="05F7869C"/>
    <w:rsid w:val="05F8BA3A"/>
    <w:rsid w:val="05FC3794"/>
    <w:rsid w:val="05FC3A00"/>
    <w:rsid w:val="06072580"/>
    <w:rsid w:val="0609D80C"/>
    <w:rsid w:val="060C9930"/>
    <w:rsid w:val="060EB94E"/>
    <w:rsid w:val="06204991"/>
    <w:rsid w:val="06220C33"/>
    <w:rsid w:val="06239BD4"/>
    <w:rsid w:val="06257709"/>
    <w:rsid w:val="062B8409"/>
    <w:rsid w:val="062E685C"/>
    <w:rsid w:val="062EDEB8"/>
    <w:rsid w:val="062FF27E"/>
    <w:rsid w:val="0630E441"/>
    <w:rsid w:val="063352DC"/>
    <w:rsid w:val="06370DCA"/>
    <w:rsid w:val="0639D848"/>
    <w:rsid w:val="063B81FD"/>
    <w:rsid w:val="064214B9"/>
    <w:rsid w:val="064256F4"/>
    <w:rsid w:val="06426C77"/>
    <w:rsid w:val="064282A2"/>
    <w:rsid w:val="064955B5"/>
    <w:rsid w:val="0649D246"/>
    <w:rsid w:val="064BBDF8"/>
    <w:rsid w:val="0651C555"/>
    <w:rsid w:val="0657F057"/>
    <w:rsid w:val="065A273C"/>
    <w:rsid w:val="065A74AB"/>
    <w:rsid w:val="065ABF51"/>
    <w:rsid w:val="06614160"/>
    <w:rsid w:val="06670C22"/>
    <w:rsid w:val="066977F3"/>
    <w:rsid w:val="066C3D32"/>
    <w:rsid w:val="0674B316"/>
    <w:rsid w:val="06768EE1"/>
    <w:rsid w:val="06797903"/>
    <w:rsid w:val="067A187C"/>
    <w:rsid w:val="067FD786"/>
    <w:rsid w:val="0686716F"/>
    <w:rsid w:val="06893897"/>
    <w:rsid w:val="068C280D"/>
    <w:rsid w:val="0696DCD4"/>
    <w:rsid w:val="069BA2D7"/>
    <w:rsid w:val="06A0E32E"/>
    <w:rsid w:val="06A1C312"/>
    <w:rsid w:val="06A37771"/>
    <w:rsid w:val="06A588BE"/>
    <w:rsid w:val="06AA9C2F"/>
    <w:rsid w:val="06AE8A4F"/>
    <w:rsid w:val="06AF08EA"/>
    <w:rsid w:val="06AF5FB1"/>
    <w:rsid w:val="06B0F9AD"/>
    <w:rsid w:val="06B54BF8"/>
    <w:rsid w:val="06BE7706"/>
    <w:rsid w:val="06BF1539"/>
    <w:rsid w:val="06C162E3"/>
    <w:rsid w:val="06C2BD04"/>
    <w:rsid w:val="06CA0811"/>
    <w:rsid w:val="06CBAD54"/>
    <w:rsid w:val="06CC41BA"/>
    <w:rsid w:val="06CEFBFD"/>
    <w:rsid w:val="06D11C74"/>
    <w:rsid w:val="06D17FEC"/>
    <w:rsid w:val="06D68B98"/>
    <w:rsid w:val="06D7280C"/>
    <w:rsid w:val="06D9A6F5"/>
    <w:rsid w:val="06DD7B6A"/>
    <w:rsid w:val="06DDED5F"/>
    <w:rsid w:val="06DDF78C"/>
    <w:rsid w:val="06E01498"/>
    <w:rsid w:val="06E0CF9A"/>
    <w:rsid w:val="06E42788"/>
    <w:rsid w:val="06EAA93F"/>
    <w:rsid w:val="06EAD273"/>
    <w:rsid w:val="06EE6F59"/>
    <w:rsid w:val="06EFFA33"/>
    <w:rsid w:val="06F0F90A"/>
    <w:rsid w:val="06F71022"/>
    <w:rsid w:val="06FAECD5"/>
    <w:rsid w:val="0701471C"/>
    <w:rsid w:val="07019910"/>
    <w:rsid w:val="07061D2C"/>
    <w:rsid w:val="07078DF3"/>
    <w:rsid w:val="070B5E89"/>
    <w:rsid w:val="070C1E91"/>
    <w:rsid w:val="070E209E"/>
    <w:rsid w:val="07151DDD"/>
    <w:rsid w:val="07172630"/>
    <w:rsid w:val="07174E0B"/>
    <w:rsid w:val="071A7279"/>
    <w:rsid w:val="071B41E9"/>
    <w:rsid w:val="071D0174"/>
    <w:rsid w:val="071DAC1C"/>
    <w:rsid w:val="07211846"/>
    <w:rsid w:val="0725195B"/>
    <w:rsid w:val="07259668"/>
    <w:rsid w:val="07292304"/>
    <w:rsid w:val="072BB93B"/>
    <w:rsid w:val="072DBDEA"/>
    <w:rsid w:val="072F681A"/>
    <w:rsid w:val="0736A403"/>
    <w:rsid w:val="073C223B"/>
    <w:rsid w:val="073E7946"/>
    <w:rsid w:val="07416022"/>
    <w:rsid w:val="07427762"/>
    <w:rsid w:val="07446581"/>
    <w:rsid w:val="07466749"/>
    <w:rsid w:val="07470B2C"/>
    <w:rsid w:val="074C5E63"/>
    <w:rsid w:val="074E423A"/>
    <w:rsid w:val="074E75FB"/>
    <w:rsid w:val="074EC870"/>
    <w:rsid w:val="07501943"/>
    <w:rsid w:val="0751685B"/>
    <w:rsid w:val="07521C4D"/>
    <w:rsid w:val="0755511C"/>
    <w:rsid w:val="0757BDF1"/>
    <w:rsid w:val="0759A026"/>
    <w:rsid w:val="075B3DA4"/>
    <w:rsid w:val="075F2F61"/>
    <w:rsid w:val="0760F4A1"/>
    <w:rsid w:val="0762DCBF"/>
    <w:rsid w:val="076804D8"/>
    <w:rsid w:val="076E9BDC"/>
    <w:rsid w:val="07722C24"/>
    <w:rsid w:val="07722F62"/>
    <w:rsid w:val="0772BBB9"/>
    <w:rsid w:val="07763495"/>
    <w:rsid w:val="0777C5DF"/>
    <w:rsid w:val="0784A678"/>
    <w:rsid w:val="0785F865"/>
    <w:rsid w:val="07883A98"/>
    <w:rsid w:val="07892BBB"/>
    <w:rsid w:val="0789F7A6"/>
    <w:rsid w:val="078ADE99"/>
    <w:rsid w:val="078D0D2C"/>
    <w:rsid w:val="078D7872"/>
    <w:rsid w:val="079099C2"/>
    <w:rsid w:val="0790E40E"/>
    <w:rsid w:val="0796C1C7"/>
    <w:rsid w:val="0797629C"/>
    <w:rsid w:val="079A8905"/>
    <w:rsid w:val="07A5644E"/>
    <w:rsid w:val="07A6FCE6"/>
    <w:rsid w:val="07AB87ED"/>
    <w:rsid w:val="07AE8C13"/>
    <w:rsid w:val="07B020A8"/>
    <w:rsid w:val="07B268F8"/>
    <w:rsid w:val="07B352E2"/>
    <w:rsid w:val="07B3702D"/>
    <w:rsid w:val="07B81AAA"/>
    <w:rsid w:val="07BABFD1"/>
    <w:rsid w:val="07BE92F7"/>
    <w:rsid w:val="07C2E56E"/>
    <w:rsid w:val="07CADAE8"/>
    <w:rsid w:val="07CAF589"/>
    <w:rsid w:val="07CB0496"/>
    <w:rsid w:val="07CB4AB9"/>
    <w:rsid w:val="07CE035E"/>
    <w:rsid w:val="07D5FBA9"/>
    <w:rsid w:val="07D76FC8"/>
    <w:rsid w:val="07D87352"/>
    <w:rsid w:val="07DB743F"/>
    <w:rsid w:val="07DD16D7"/>
    <w:rsid w:val="07E1D894"/>
    <w:rsid w:val="07E4C2D2"/>
    <w:rsid w:val="07E52DE9"/>
    <w:rsid w:val="07E85944"/>
    <w:rsid w:val="07ECF063"/>
    <w:rsid w:val="07F2BA07"/>
    <w:rsid w:val="07F727F6"/>
    <w:rsid w:val="07F819DA"/>
    <w:rsid w:val="07F88BA9"/>
    <w:rsid w:val="07FE5B86"/>
    <w:rsid w:val="0800797D"/>
    <w:rsid w:val="080227DA"/>
    <w:rsid w:val="08043DFC"/>
    <w:rsid w:val="080BA745"/>
    <w:rsid w:val="080CA89E"/>
    <w:rsid w:val="080DF5FF"/>
    <w:rsid w:val="0815FE20"/>
    <w:rsid w:val="08174E3C"/>
    <w:rsid w:val="08175270"/>
    <w:rsid w:val="0818D01D"/>
    <w:rsid w:val="08195EBF"/>
    <w:rsid w:val="081A3D5E"/>
    <w:rsid w:val="081ADEFB"/>
    <w:rsid w:val="081D651B"/>
    <w:rsid w:val="081E11E4"/>
    <w:rsid w:val="08251596"/>
    <w:rsid w:val="08265136"/>
    <w:rsid w:val="082883EA"/>
    <w:rsid w:val="0832319E"/>
    <w:rsid w:val="0836F3BC"/>
    <w:rsid w:val="083CCF8A"/>
    <w:rsid w:val="084911B9"/>
    <w:rsid w:val="084A3E8E"/>
    <w:rsid w:val="084C08C1"/>
    <w:rsid w:val="085B6B38"/>
    <w:rsid w:val="08649DB7"/>
    <w:rsid w:val="086E5724"/>
    <w:rsid w:val="086F345D"/>
    <w:rsid w:val="0870F8F8"/>
    <w:rsid w:val="08751B56"/>
    <w:rsid w:val="08784363"/>
    <w:rsid w:val="087A4142"/>
    <w:rsid w:val="087A5E89"/>
    <w:rsid w:val="087AF855"/>
    <w:rsid w:val="087B8955"/>
    <w:rsid w:val="087BA157"/>
    <w:rsid w:val="087C8051"/>
    <w:rsid w:val="08807750"/>
    <w:rsid w:val="0880C9FF"/>
    <w:rsid w:val="08829FF3"/>
    <w:rsid w:val="08836E72"/>
    <w:rsid w:val="0883EBF9"/>
    <w:rsid w:val="088D8785"/>
    <w:rsid w:val="088E1F5B"/>
    <w:rsid w:val="089B96C7"/>
    <w:rsid w:val="089EE02A"/>
    <w:rsid w:val="08A72ED1"/>
    <w:rsid w:val="08AB7A49"/>
    <w:rsid w:val="08AFEE65"/>
    <w:rsid w:val="08B42E3D"/>
    <w:rsid w:val="08B72E07"/>
    <w:rsid w:val="08BB960A"/>
    <w:rsid w:val="08BC80C9"/>
    <w:rsid w:val="08BC979A"/>
    <w:rsid w:val="08BE0A19"/>
    <w:rsid w:val="08C08843"/>
    <w:rsid w:val="08C2AD6B"/>
    <w:rsid w:val="08C687B8"/>
    <w:rsid w:val="08C86303"/>
    <w:rsid w:val="08CE6AD2"/>
    <w:rsid w:val="08D1550C"/>
    <w:rsid w:val="08D1BD84"/>
    <w:rsid w:val="08DC97B4"/>
    <w:rsid w:val="08DDB72D"/>
    <w:rsid w:val="08E1664C"/>
    <w:rsid w:val="08E35087"/>
    <w:rsid w:val="08E3DAF3"/>
    <w:rsid w:val="08E8D68B"/>
    <w:rsid w:val="08E9E096"/>
    <w:rsid w:val="08EC07BF"/>
    <w:rsid w:val="08EE0790"/>
    <w:rsid w:val="08FAE37B"/>
    <w:rsid w:val="08FC2785"/>
    <w:rsid w:val="08FF02AA"/>
    <w:rsid w:val="08FFE0F9"/>
    <w:rsid w:val="09095924"/>
    <w:rsid w:val="09119753"/>
    <w:rsid w:val="0914A0B0"/>
    <w:rsid w:val="09179E9F"/>
    <w:rsid w:val="0917A068"/>
    <w:rsid w:val="091D457C"/>
    <w:rsid w:val="091D61FF"/>
    <w:rsid w:val="091EBC71"/>
    <w:rsid w:val="092069CD"/>
    <w:rsid w:val="0921CD0A"/>
    <w:rsid w:val="0923122B"/>
    <w:rsid w:val="0923A16C"/>
    <w:rsid w:val="0923FD42"/>
    <w:rsid w:val="09244F62"/>
    <w:rsid w:val="09283AD7"/>
    <w:rsid w:val="092CD339"/>
    <w:rsid w:val="092CD4E0"/>
    <w:rsid w:val="092E828B"/>
    <w:rsid w:val="093123F6"/>
    <w:rsid w:val="093167AD"/>
    <w:rsid w:val="09320828"/>
    <w:rsid w:val="09329730"/>
    <w:rsid w:val="0932D60B"/>
    <w:rsid w:val="09350BBB"/>
    <w:rsid w:val="093AE359"/>
    <w:rsid w:val="09423AF6"/>
    <w:rsid w:val="09446CF1"/>
    <w:rsid w:val="09477C3F"/>
    <w:rsid w:val="094CBDCE"/>
    <w:rsid w:val="0955CC93"/>
    <w:rsid w:val="095713ED"/>
    <w:rsid w:val="095856FA"/>
    <w:rsid w:val="0959536E"/>
    <w:rsid w:val="095A0C12"/>
    <w:rsid w:val="095B053E"/>
    <w:rsid w:val="09604985"/>
    <w:rsid w:val="09634A13"/>
    <w:rsid w:val="09638C68"/>
    <w:rsid w:val="09684512"/>
    <w:rsid w:val="096C4AC6"/>
    <w:rsid w:val="096FDC60"/>
    <w:rsid w:val="0974889D"/>
    <w:rsid w:val="097E5361"/>
    <w:rsid w:val="097F2583"/>
    <w:rsid w:val="097FDF71"/>
    <w:rsid w:val="0985CE13"/>
    <w:rsid w:val="098655E1"/>
    <w:rsid w:val="098A1AED"/>
    <w:rsid w:val="098A3BD3"/>
    <w:rsid w:val="098D1A47"/>
    <w:rsid w:val="098FD0EA"/>
    <w:rsid w:val="099022CC"/>
    <w:rsid w:val="099172BE"/>
    <w:rsid w:val="0999BC9F"/>
    <w:rsid w:val="099AF012"/>
    <w:rsid w:val="099BFA9C"/>
    <w:rsid w:val="099E1D95"/>
    <w:rsid w:val="09AB65D8"/>
    <w:rsid w:val="09AFC12E"/>
    <w:rsid w:val="09B0350B"/>
    <w:rsid w:val="09B5348C"/>
    <w:rsid w:val="09BABF18"/>
    <w:rsid w:val="09BDBAAD"/>
    <w:rsid w:val="09BF16B8"/>
    <w:rsid w:val="09C217F6"/>
    <w:rsid w:val="09C2D2D2"/>
    <w:rsid w:val="09C55CAA"/>
    <w:rsid w:val="09C58FC0"/>
    <w:rsid w:val="09CA86D7"/>
    <w:rsid w:val="09CB7DA6"/>
    <w:rsid w:val="09D26098"/>
    <w:rsid w:val="09D3C9C4"/>
    <w:rsid w:val="09D83C46"/>
    <w:rsid w:val="09D895A6"/>
    <w:rsid w:val="09D93F8F"/>
    <w:rsid w:val="09DA3890"/>
    <w:rsid w:val="09DACAF0"/>
    <w:rsid w:val="09DCDF38"/>
    <w:rsid w:val="09E5C814"/>
    <w:rsid w:val="09E804D9"/>
    <w:rsid w:val="09E89A6F"/>
    <w:rsid w:val="09ED15E1"/>
    <w:rsid w:val="09EF390E"/>
    <w:rsid w:val="09F1FE83"/>
    <w:rsid w:val="09F26FFD"/>
    <w:rsid w:val="09F591C6"/>
    <w:rsid w:val="09F6ADC6"/>
    <w:rsid w:val="09F795E3"/>
    <w:rsid w:val="09F923F6"/>
    <w:rsid w:val="09FB3B69"/>
    <w:rsid w:val="09FCA72A"/>
    <w:rsid w:val="0A026DCB"/>
    <w:rsid w:val="0A06651B"/>
    <w:rsid w:val="0A08C63C"/>
    <w:rsid w:val="0A09254A"/>
    <w:rsid w:val="0A0A46CF"/>
    <w:rsid w:val="0A0C721C"/>
    <w:rsid w:val="0A116D72"/>
    <w:rsid w:val="0A1C46D7"/>
    <w:rsid w:val="0A1E7EFF"/>
    <w:rsid w:val="0A1F4BC6"/>
    <w:rsid w:val="0A256077"/>
    <w:rsid w:val="0A256479"/>
    <w:rsid w:val="0A26CE0C"/>
    <w:rsid w:val="0A27BD64"/>
    <w:rsid w:val="0A29945C"/>
    <w:rsid w:val="0A2D7F4F"/>
    <w:rsid w:val="0A356F34"/>
    <w:rsid w:val="0A390A60"/>
    <w:rsid w:val="0A391D80"/>
    <w:rsid w:val="0A3B0972"/>
    <w:rsid w:val="0A428351"/>
    <w:rsid w:val="0A4454D9"/>
    <w:rsid w:val="0A44B0D4"/>
    <w:rsid w:val="0A4546DD"/>
    <w:rsid w:val="0A45D745"/>
    <w:rsid w:val="0A48BBF9"/>
    <w:rsid w:val="0A4C0B43"/>
    <w:rsid w:val="0A4C8344"/>
    <w:rsid w:val="0A4F7BB4"/>
    <w:rsid w:val="0A4FE1EC"/>
    <w:rsid w:val="0A553936"/>
    <w:rsid w:val="0A55FC81"/>
    <w:rsid w:val="0A5BBE1A"/>
    <w:rsid w:val="0A5F6DA8"/>
    <w:rsid w:val="0A614B9E"/>
    <w:rsid w:val="0A659A1A"/>
    <w:rsid w:val="0A6D22C9"/>
    <w:rsid w:val="0A6E47A1"/>
    <w:rsid w:val="0A6E4CF6"/>
    <w:rsid w:val="0A77F9B8"/>
    <w:rsid w:val="0A7900E4"/>
    <w:rsid w:val="0A7C4DC7"/>
    <w:rsid w:val="0A7F99F6"/>
    <w:rsid w:val="0A83EF7A"/>
    <w:rsid w:val="0A84C5AF"/>
    <w:rsid w:val="0A88A07B"/>
    <w:rsid w:val="0A88CC8D"/>
    <w:rsid w:val="0A8ADFA3"/>
    <w:rsid w:val="0A8BCE43"/>
    <w:rsid w:val="0A8C2553"/>
    <w:rsid w:val="0A8CB238"/>
    <w:rsid w:val="0A8F466A"/>
    <w:rsid w:val="0A90B764"/>
    <w:rsid w:val="0A916067"/>
    <w:rsid w:val="0A92587F"/>
    <w:rsid w:val="0A99AB66"/>
    <w:rsid w:val="0AA05512"/>
    <w:rsid w:val="0AA39674"/>
    <w:rsid w:val="0AA50F31"/>
    <w:rsid w:val="0AA84863"/>
    <w:rsid w:val="0AA8502A"/>
    <w:rsid w:val="0AAAFE14"/>
    <w:rsid w:val="0AB0062F"/>
    <w:rsid w:val="0AB06345"/>
    <w:rsid w:val="0AB20108"/>
    <w:rsid w:val="0AB2F3B1"/>
    <w:rsid w:val="0AB46981"/>
    <w:rsid w:val="0ABA5B3A"/>
    <w:rsid w:val="0ABF3FBD"/>
    <w:rsid w:val="0AC9959C"/>
    <w:rsid w:val="0AD203B1"/>
    <w:rsid w:val="0AD6C5C8"/>
    <w:rsid w:val="0AD7A83F"/>
    <w:rsid w:val="0AD8BB8F"/>
    <w:rsid w:val="0ADBE94E"/>
    <w:rsid w:val="0ADC54F9"/>
    <w:rsid w:val="0ADD3464"/>
    <w:rsid w:val="0ADF079F"/>
    <w:rsid w:val="0AE476F7"/>
    <w:rsid w:val="0AE7CFFF"/>
    <w:rsid w:val="0AE9569A"/>
    <w:rsid w:val="0AED0564"/>
    <w:rsid w:val="0AFBBE88"/>
    <w:rsid w:val="0AFD8D1C"/>
    <w:rsid w:val="0AFDC1B8"/>
    <w:rsid w:val="0AFF7E33"/>
    <w:rsid w:val="0B0028CE"/>
    <w:rsid w:val="0B02F978"/>
    <w:rsid w:val="0B045E13"/>
    <w:rsid w:val="0B06C11C"/>
    <w:rsid w:val="0B06D1A9"/>
    <w:rsid w:val="0B073E8B"/>
    <w:rsid w:val="0B07E7ED"/>
    <w:rsid w:val="0B13C698"/>
    <w:rsid w:val="0B1514D2"/>
    <w:rsid w:val="0B18B891"/>
    <w:rsid w:val="0B1B7340"/>
    <w:rsid w:val="0B1EFCA3"/>
    <w:rsid w:val="0B22DB22"/>
    <w:rsid w:val="0B2BF32D"/>
    <w:rsid w:val="0B2C13DF"/>
    <w:rsid w:val="0B2DD5D4"/>
    <w:rsid w:val="0B3035A5"/>
    <w:rsid w:val="0B30416E"/>
    <w:rsid w:val="0B324DA2"/>
    <w:rsid w:val="0B324FBD"/>
    <w:rsid w:val="0B366426"/>
    <w:rsid w:val="0B3E2179"/>
    <w:rsid w:val="0B41E2AF"/>
    <w:rsid w:val="0B421A8E"/>
    <w:rsid w:val="0B44C310"/>
    <w:rsid w:val="0B457A82"/>
    <w:rsid w:val="0B47385E"/>
    <w:rsid w:val="0B506532"/>
    <w:rsid w:val="0B50EEBD"/>
    <w:rsid w:val="0B55B2A6"/>
    <w:rsid w:val="0B562D08"/>
    <w:rsid w:val="0B56BC70"/>
    <w:rsid w:val="0B584613"/>
    <w:rsid w:val="0B58A10C"/>
    <w:rsid w:val="0B592FDC"/>
    <w:rsid w:val="0B5D8B7D"/>
    <w:rsid w:val="0B63D523"/>
    <w:rsid w:val="0B66FA6B"/>
    <w:rsid w:val="0B677C45"/>
    <w:rsid w:val="0B694592"/>
    <w:rsid w:val="0B6FEA90"/>
    <w:rsid w:val="0B719B6F"/>
    <w:rsid w:val="0B7A6C0E"/>
    <w:rsid w:val="0B7C9E3F"/>
    <w:rsid w:val="0B8571FE"/>
    <w:rsid w:val="0B8F0D80"/>
    <w:rsid w:val="0B8F1DDC"/>
    <w:rsid w:val="0B8FF0D6"/>
    <w:rsid w:val="0B915774"/>
    <w:rsid w:val="0B9329B0"/>
    <w:rsid w:val="0B935CBD"/>
    <w:rsid w:val="0B93E5C8"/>
    <w:rsid w:val="0B958EAD"/>
    <w:rsid w:val="0B9689F2"/>
    <w:rsid w:val="0B97E15C"/>
    <w:rsid w:val="0B99EB47"/>
    <w:rsid w:val="0B9BD531"/>
    <w:rsid w:val="0B9DF61D"/>
    <w:rsid w:val="0BA61439"/>
    <w:rsid w:val="0BAA992F"/>
    <w:rsid w:val="0BAB90F3"/>
    <w:rsid w:val="0BAEA86F"/>
    <w:rsid w:val="0BB11FEB"/>
    <w:rsid w:val="0BB25BF4"/>
    <w:rsid w:val="0BB2A996"/>
    <w:rsid w:val="0BB3726A"/>
    <w:rsid w:val="0BB6FB7B"/>
    <w:rsid w:val="0BB800FC"/>
    <w:rsid w:val="0BB921A2"/>
    <w:rsid w:val="0BBCB1C7"/>
    <w:rsid w:val="0BBE9E35"/>
    <w:rsid w:val="0BBF66A8"/>
    <w:rsid w:val="0BC126E5"/>
    <w:rsid w:val="0BC6FE06"/>
    <w:rsid w:val="0BC864B3"/>
    <w:rsid w:val="0BC9A158"/>
    <w:rsid w:val="0BCC848D"/>
    <w:rsid w:val="0BCDFFDE"/>
    <w:rsid w:val="0BCEC8B6"/>
    <w:rsid w:val="0BD50010"/>
    <w:rsid w:val="0BD559F7"/>
    <w:rsid w:val="0BD5AFC0"/>
    <w:rsid w:val="0BD9BD5B"/>
    <w:rsid w:val="0BDBD61E"/>
    <w:rsid w:val="0BDC57A3"/>
    <w:rsid w:val="0BE1968E"/>
    <w:rsid w:val="0BE7223F"/>
    <w:rsid w:val="0BE8B4CE"/>
    <w:rsid w:val="0BE90B76"/>
    <w:rsid w:val="0BE91C8E"/>
    <w:rsid w:val="0BEE667F"/>
    <w:rsid w:val="0BF1A9E3"/>
    <w:rsid w:val="0BF59835"/>
    <w:rsid w:val="0BF66B01"/>
    <w:rsid w:val="0BFABBC9"/>
    <w:rsid w:val="0BFADD6A"/>
    <w:rsid w:val="0BFD44D4"/>
    <w:rsid w:val="0BFF7CAA"/>
    <w:rsid w:val="0C00B6E8"/>
    <w:rsid w:val="0C04D06C"/>
    <w:rsid w:val="0C1AF149"/>
    <w:rsid w:val="0C1B04D0"/>
    <w:rsid w:val="0C1D3121"/>
    <w:rsid w:val="0C1E3EA9"/>
    <w:rsid w:val="0C2289AD"/>
    <w:rsid w:val="0C233F2A"/>
    <w:rsid w:val="0C277F1D"/>
    <w:rsid w:val="0C27DBE7"/>
    <w:rsid w:val="0C292A9E"/>
    <w:rsid w:val="0C299107"/>
    <w:rsid w:val="0C34145D"/>
    <w:rsid w:val="0C36F15C"/>
    <w:rsid w:val="0C3AE855"/>
    <w:rsid w:val="0C468F2D"/>
    <w:rsid w:val="0C48C801"/>
    <w:rsid w:val="0C5035C5"/>
    <w:rsid w:val="0C544AF8"/>
    <w:rsid w:val="0C55CE8A"/>
    <w:rsid w:val="0C589944"/>
    <w:rsid w:val="0C5B6A56"/>
    <w:rsid w:val="0C5E745D"/>
    <w:rsid w:val="0C62CD79"/>
    <w:rsid w:val="0C632976"/>
    <w:rsid w:val="0C634112"/>
    <w:rsid w:val="0C640364"/>
    <w:rsid w:val="0C6409A7"/>
    <w:rsid w:val="0C68C4B8"/>
    <w:rsid w:val="0C6B602A"/>
    <w:rsid w:val="0C6F3308"/>
    <w:rsid w:val="0C7194F7"/>
    <w:rsid w:val="0C75233B"/>
    <w:rsid w:val="0C75AD74"/>
    <w:rsid w:val="0C77C96A"/>
    <w:rsid w:val="0C797487"/>
    <w:rsid w:val="0C7D31C9"/>
    <w:rsid w:val="0C7DC497"/>
    <w:rsid w:val="0C7F0A35"/>
    <w:rsid w:val="0C7F3487"/>
    <w:rsid w:val="0C853437"/>
    <w:rsid w:val="0C868285"/>
    <w:rsid w:val="0C871D6A"/>
    <w:rsid w:val="0C8A8DCF"/>
    <w:rsid w:val="0C8CE0AA"/>
    <w:rsid w:val="0C8DE206"/>
    <w:rsid w:val="0C8F1CCB"/>
    <w:rsid w:val="0C90D2B0"/>
    <w:rsid w:val="0C94D93F"/>
    <w:rsid w:val="0C9F19E2"/>
    <w:rsid w:val="0CA02E74"/>
    <w:rsid w:val="0CA03AE4"/>
    <w:rsid w:val="0CA2A3D4"/>
    <w:rsid w:val="0CAA0898"/>
    <w:rsid w:val="0CAA8D24"/>
    <w:rsid w:val="0CAED8A6"/>
    <w:rsid w:val="0CB2B74B"/>
    <w:rsid w:val="0CB2BF34"/>
    <w:rsid w:val="0CB48E5E"/>
    <w:rsid w:val="0CB4C9C2"/>
    <w:rsid w:val="0CBEFFCB"/>
    <w:rsid w:val="0CC0FA25"/>
    <w:rsid w:val="0CC36B58"/>
    <w:rsid w:val="0CC3B31A"/>
    <w:rsid w:val="0CCA0556"/>
    <w:rsid w:val="0CCB04FA"/>
    <w:rsid w:val="0CCF0AE7"/>
    <w:rsid w:val="0CD24B78"/>
    <w:rsid w:val="0CD6C1E9"/>
    <w:rsid w:val="0CD87914"/>
    <w:rsid w:val="0CDEC6A7"/>
    <w:rsid w:val="0CE3B1C3"/>
    <w:rsid w:val="0CE61512"/>
    <w:rsid w:val="0CE636B2"/>
    <w:rsid w:val="0CEFBCFF"/>
    <w:rsid w:val="0CF1E074"/>
    <w:rsid w:val="0CF9E181"/>
    <w:rsid w:val="0CFDB619"/>
    <w:rsid w:val="0CFE1240"/>
    <w:rsid w:val="0CFED1A0"/>
    <w:rsid w:val="0CFFE463"/>
    <w:rsid w:val="0D033C7B"/>
    <w:rsid w:val="0D046B39"/>
    <w:rsid w:val="0D0E2572"/>
    <w:rsid w:val="0D16CDBF"/>
    <w:rsid w:val="0D1C9DD3"/>
    <w:rsid w:val="0D28BB2E"/>
    <w:rsid w:val="0D2EA552"/>
    <w:rsid w:val="0D2EE05D"/>
    <w:rsid w:val="0D335CFF"/>
    <w:rsid w:val="0D3A2E7E"/>
    <w:rsid w:val="0D3E5254"/>
    <w:rsid w:val="0D407D54"/>
    <w:rsid w:val="0D41BD6A"/>
    <w:rsid w:val="0D43FE80"/>
    <w:rsid w:val="0D44A1C1"/>
    <w:rsid w:val="0D473042"/>
    <w:rsid w:val="0D4C5B83"/>
    <w:rsid w:val="0D566D21"/>
    <w:rsid w:val="0D599AFF"/>
    <w:rsid w:val="0D59BB3B"/>
    <w:rsid w:val="0D5A08E1"/>
    <w:rsid w:val="0D5AFDB4"/>
    <w:rsid w:val="0D5C8430"/>
    <w:rsid w:val="0D626AF6"/>
    <w:rsid w:val="0D64BD6B"/>
    <w:rsid w:val="0D660BC0"/>
    <w:rsid w:val="0D6613F7"/>
    <w:rsid w:val="0D684EE3"/>
    <w:rsid w:val="0D68CD2F"/>
    <w:rsid w:val="0D6B238E"/>
    <w:rsid w:val="0D6EB028"/>
    <w:rsid w:val="0D746446"/>
    <w:rsid w:val="0D77A103"/>
    <w:rsid w:val="0D780CED"/>
    <w:rsid w:val="0D79E5E1"/>
    <w:rsid w:val="0D7C4F68"/>
    <w:rsid w:val="0D82AFE6"/>
    <w:rsid w:val="0D8BDBF3"/>
    <w:rsid w:val="0D8E4428"/>
    <w:rsid w:val="0D914C52"/>
    <w:rsid w:val="0D931744"/>
    <w:rsid w:val="0D94C24E"/>
    <w:rsid w:val="0D9623BD"/>
    <w:rsid w:val="0D965349"/>
    <w:rsid w:val="0D99B129"/>
    <w:rsid w:val="0DA07351"/>
    <w:rsid w:val="0DA992C1"/>
    <w:rsid w:val="0DACBFD3"/>
    <w:rsid w:val="0DB00B80"/>
    <w:rsid w:val="0DB6C1AA"/>
    <w:rsid w:val="0DBC0EF6"/>
    <w:rsid w:val="0DBC4E41"/>
    <w:rsid w:val="0DBDC344"/>
    <w:rsid w:val="0DC0223A"/>
    <w:rsid w:val="0DC0946C"/>
    <w:rsid w:val="0DC6419E"/>
    <w:rsid w:val="0DC74286"/>
    <w:rsid w:val="0DCA0982"/>
    <w:rsid w:val="0DCBE83D"/>
    <w:rsid w:val="0DD18B18"/>
    <w:rsid w:val="0DD330BA"/>
    <w:rsid w:val="0DD64D23"/>
    <w:rsid w:val="0DD93B16"/>
    <w:rsid w:val="0DE2DFDD"/>
    <w:rsid w:val="0DE374EA"/>
    <w:rsid w:val="0DE43A2B"/>
    <w:rsid w:val="0DE67448"/>
    <w:rsid w:val="0DE8E577"/>
    <w:rsid w:val="0DEAE9CD"/>
    <w:rsid w:val="0DEBE2AE"/>
    <w:rsid w:val="0DEC0B75"/>
    <w:rsid w:val="0DEE8EBE"/>
    <w:rsid w:val="0DF58E0F"/>
    <w:rsid w:val="0DF73AB7"/>
    <w:rsid w:val="0DF78DAB"/>
    <w:rsid w:val="0DF7AB51"/>
    <w:rsid w:val="0DF9209F"/>
    <w:rsid w:val="0DFC8435"/>
    <w:rsid w:val="0DFD4500"/>
    <w:rsid w:val="0DFFE4A6"/>
    <w:rsid w:val="0E072449"/>
    <w:rsid w:val="0E093DA6"/>
    <w:rsid w:val="0E0DD510"/>
    <w:rsid w:val="0E14D07A"/>
    <w:rsid w:val="0E155DB1"/>
    <w:rsid w:val="0E186FE7"/>
    <w:rsid w:val="0E1B2809"/>
    <w:rsid w:val="0E1D0AEA"/>
    <w:rsid w:val="0E1DB970"/>
    <w:rsid w:val="0E2330E9"/>
    <w:rsid w:val="0E2791B3"/>
    <w:rsid w:val="0E2932E5"/>
    <w:rsid w:val="0E2E65FB"/>
    <w:rsid w:val="0E31CFBE"/>
    <w:rsid w:val="0E31F9AF"/>
    <w:rsid w:val="0E38F3C7"/>
    <w:rsid w:val="0E3A6FFA"/>
    <w:rsid w:val="0E3AD6EF"/>
    <w:rsid w:val="0E3CB402"/>
    <w:rsid w:val="0E3D0575"/>
    <w:rsid w:val="0E3E8689"/>
    <w:rsid w:val="0E3ECA94"/>
    <w:rsid w:val="0E42F930"/>
    <w:rsid w:val="0E444104"/>
    <w:rsid w:val="0E44FA3D"/>
    <w:rsid w:val="0E4762A2"/>
    <w:rsid w:val="0E48CCB3"/>
    <w:rsid w:val="0E4AD8BE"/>
    <w:rsid w:val="0E4AEC48"/>
    <w:rsid w:val="0E4DA854"/>
    <w:rsid w:val="0E4EDE77"/>
    <w:rsid w:val="0E4F1CBA"/>
    <w:rsid w:val="0E54EFCD"/>
    <w:rsid w:val="0E577A40"/>
    <w:rsid w:val="0E5DC18C"/>
    <w:rsid w:val="0E613E4A"/>
    <w:rsid w:val="0E663D80"/>
    <w:rsid w:val="0E68BD46"/>
    <w:rsid w:val="0E6A9623"/>
    <w:rsid w:val="0E6D02B4"/>
    <w:rsid w:val="0E718EB8"/>
    <w:rsid w:val="0E732F94"/>
    <w:rsid w:val="0E75121D"/>
    <w:rsid w:val="0E774BF7"/>
    <w:rsid w:val="0E7786D7"/>
    <w:rsid w:val="0E7AF470"/>
    <w:rsid w:val="0E7B9932"/>
    <w:rsid w:val="0E7C8829"/>
    <w:rsid w:val="0E88453E"/>
    <w:rsid w:val="0E88B78C"/>
    <w:rsid w:val="0E8AC769"/>
    <w:rsid w:val="0E8B1DDA"/>
    <w:rsid w:val="0E8BC1BF"/>
    <w:rsid w:val="0E962ED8"/>
    <w:rsid w:val="0E987B04"/>
    <w:rsid w:val="0EA25FB5"/>
    <w:rsid w:val="0EA3C3D9"/>
    <w:rsid w:val="0EA5E477"/>
    <w:rsid w:val="0EA83739"/>
    <w:rsid w:val="0EAB9EF0"/>
    <w:rsid w:val="0EADC344"/>
    <w:rsid w:val="0EAE55D2"/>
    <w:rsid w:val="0EB0D640"/>
    <w:rsid w:val="0EB8A97A"/>
    <w:rsid w:val="0EB93630"/>
    <w:rsid w:val="0EB9FC36"/>
    <w:rsid w:val="0EBE6FF1"/>
    <w:rsid w:val="0EBF0FD2"/>
    <w:rsid w:val="0EC4B85A"/>
    <w:rsid w:val="0EC7C4B4"/>
    <w:rsid w:val="0EC978F5"/>
    <w:rsid w:val="0ED2905D"/>
    <w:rsid w:val="0ED44CA7"/>
    <w:rsid w:val="0ED5609D"/>
    <w:rsid w:val="0ED5ABF1"/>
    <w:rsid w:val="0ED65157"/>
    <w:rsid w:val="0ED70014"/>
    <w:rsid w:val="0EDA19CC"/>
    <w:rsid w:val="0EDA32AB"/>
    <w:rsid w:val="0EDC352D"/>
    <w:rsid w:val="0EE28D14"/>
    <w:rsid w:val="0EE4820F"/>
    <w:rsid w:val="0EE71F9A"/>
    <w:rsid w:val="0EEE7ED9"/>
    <w:rsid w:val="0EF465C9"/>
    <w:rsid w:val="0EF57A71"/>
    <w:rsid w:val="0EF925E6"/>
    <w:rsid w:val="0F04D2F6"/>
    <w:rsid w:val="0F05E0F6"/>
    <w:rsid w:val="0F0AFF55"/>
    <w:rsid w:val="0F0EB833"/>
    <w:rsid w:val="0F1496B6"/>
    <w:rsid w:val="0F1CEB2B"/>
    <w:rsid w:val="0F1E6B9D"/>
    <w:rsid w:val="0F1EB390"/>
    <w:rsid w:val="0F21DEB9"/>
    <w:rsid w:val="0F21DF8A"/>
    <w:rsid w:val="0F25827B"/>
    <w:rsid w:val="0F266951"/>
    <w:rsid w:val="0F273C4E"/>
    <w:rsid w:val="0F2CC311"/>
    <w:rsid w:val="0F2DD4EE"/>
    <w:rsid w:val="0F2EAB1A"/>
    <w:rsid w:val="0F32AFC0"/>
    <w:rsid w:val="0F34ABC2"/>
    <w:rsid w:val="0F38B880"/>
    <w:rsid w:val="0F38EACC"/>
    <w:rsid w:val="0F3D202E"/>
    <w:rsid w:val="0F3E4536"/>
    <w:rsid w:val="0F3EE6A7"/>
    <w:rsid w:val="0F41ACE2"/>
    <w:rsid w:val="0F428192"/>
    <w:rsid w:val="0F4C25DA"/>
    <w:rsid w:val="0F4F14D2"/>
    <w:rsid w:val="0F520EE6"/>
    <w:rsid w:val="0F532C14"/>
    <w:rsid w:val="0F54F7EA"/>
    <w:rsid w:val="0F57BDD8"/>
    <w:rsid w:val="0F5975E1"/>
    <w:rsid w:val="0F6B4AEA"/>
    <w:rsid w:val="0F6B9148"/>
    <w:rsid w:val="0F6F8E81"/>
    <w:rsid w:val="0F76207D"/>
    <w:rsid w:val="0F7F41C4"/>
    <w:rsid w:val="0F7F4D04"/>
    <w:rsid w:val="0F84DE87"/>
    <w:rsid w:val="0F876045"/>
    <w:rsid w:val="0F8E0905"/>
    <w:rsid w:val="0F97A329"/>
    <w:rsid w:val="0F9B4042"/>
    <w:rsid w:val="0FA15881"/>
    <w:rsid w:val="0FA3A90A"/>
    <w:rsid w:val="0FB1025E"/>
    <w:rsid w:val="0FB3C212"/>
    <w:rsid w:val="0FB60E59"/>
    <w:rsid w:val="0FB79A93"/>
    <w:rsid w:val="0FBBBD99"/>
    <w:rsid w:val="0FBC17BA"/>
    <w:rsid w:val="0FC0B3B0"/>
    <w:rsid w:val="0FC4F66F"/>
    <w:rsid w:val="0FC5B299"/>
    <w:rsid w:val="0FC679B1"/>
    <w:rsid w:val="0FC71D4C"/>
    <w:rsid w:val="0FCFBCE9"/>
    <w:rsid w:val="0FD70F9E"/>
    <w:rsid w:val="0FD7275E"/>
    <w:rsid w:val="0FD9B264"/>
    <w:rsid w:val="0FDD320C"/>
    <w:rsid w:val="0FE1061B"/>
    <w:rsid w:val="0FF27264"/>
    <w:rsid w:val="0FF959E4"/>
    <w:rsid w:val="0FFA802A"/>
    <w:rsid w:val="0FFDAACB"/>
    <w:rsid w:val="0FFF4CD5"/>
    <w:rsid w:val="1004518D"/>
    <w:rsid w:val="1005EF3B"/>
    <w:rsid w:val="10066981"/>
    <w:rsid w:val="1007598A"/>
    <w:rsid w:val="10077F13"/>
    <w:rsid w:val="100BB18E"/>
    <w:rsid w:val="100E6173"/>
    <w:rsid w:val="10103AB3"/>
    <w:rsid w:val="10120127"/>
    <w:rsid w:val="1015D21B"/>
    <w:rsid w:val="1018588A"/>
    <w:rsid w:val="1019B8F1"/>
    <w:rsid w:val="1019DC73"/>
    <w:rsid w:val="101B41B7"/>
    <w:rsid w:val="101E706D"/>
    <w:rsid w:val="10210676"/>
    <w:rsid w:val="102A99E3"/>
    <w:rsid w:val="102B959E"/>
    <w:rsid w:val="102E3FE4"/>
    <w:rsid w:val="102E6B6E"/>
    <w:rsid w:val="10312FE6"/>
    <w:rsid w:val="10314163"/>
    <w:rsid w:val="1032DDBD"/>
    <w:rsid w:val="1034BBA2"/>
    <w:rsid w:val="104093AC"/>
    <w:rsid w:val="1040D40D"/>
    <w:rsid w:val="10420AA0"/>
    <w:rsid w:val="10420B9B"/>
    <w:rsid w:val="1046A11C"/>
    <w:rsid w:val="1046A545"/>
    <w:rsid w:val="104C6E2B"/>
    <w:rsid w:val="104FC8D1"/>
    <w:rsid w:val="10506F2E"/>
    <w:rsid w:val="105351E4"/>
    <w:rsid w:val="10575130"/>
    <w:rsid w:val="1057E46F"/>
    <w:rsid w:val="10590B10"/>
    <w:rsid w:val="105B459F"/>
    <w:rsid w:val="105B8712"/>
    <w:rsid w:val="105CFEA6"/>
    <w:rsid w:val="105ECA59"/>
    <w:rsid w:val="105EFA84"/>
    <w:rsid w:val="1060956B"/>
    <w:rsid w:val="106135A2"/>
    <w:rsid w:val="106A945B"/>
    <w:rsid w:val="10718612"/>
    <w:rsid w:val="107635CA"/>
    <w:rsid w:val="1077DFB9"/>
    <w:rsid w:val="107D7879"/>
    <w:rsid w:val="108C5CF9"/>
    <w:rsid w:val="108DB566"/>
    <w:rsid w:val="108E00C2"/>
    <w:rsid w:val="108E2FCE"/>
    <w:rsid w:val="108F1DEB"/>
    <w:rsid w:val="108F8CDD"/>
    <w:rsid w:val="10913BC1"/>
    <w:rsid w:val="1093428A"/>
    <w:rsid w:val="1099CFE4"/>
    <w:rsid w:val="109E6D96"/>
    <w:rsid w:val="109F6497"/>
    <w:rsid w:val="10A09B86"/>
    <w:rsid w:val="10A29EEA"/>
    <w:rsid w:val="10A4B0B8"/>
    <w:rsid w:val="10A60724"/>
    <w:rsid w:val="10A7DD2B"/>
    <w:rsid w:val="10AF1C2C"/>
    <w:rsid w:val="10AF3013"/>
    <w:rsid w:val="10AF7880"/>
    <w:rsid w:val="10B0BA5B"/>
    <w:rsid w:val="10B12CF3"/>
    <w:rsid w:val="10B2B755"/>
    <w:rsid w:val="10B53059"/>
    <w:rsid w:val="10BAAA01"/>
    <w:rsid w:val="10BDC186"/>
    <w:rsid w:val="10BF7B24"/>
    <w:rsid w:val="10C39618"/>
    <w:rsid w:val="10DD136F"/>
    <w:rsid w:val="10E87877"/>
    <w:rsid w:val="10F119C6"/>
    <w:rsid w:val="10F64C07"/>
    <w:rsid w:val="10FAD1AB"/>
    <w:rsid w:val="10FBAAEF"/>
    <w:rsid w:val="10FCB0C6"/>
    <w:rsid w:val="10FDB7AD"/>
    <w:rsid w:val="10FE64E4"/>
    <w:rsid w:val="10FEAD4E"/>
    <w:rsid w:val="10FFE40C"/>
    <w:rsid w:val="1100764E"/>
    <w:rsid w:val="11026827"/>
    <w:rsid w:val="110376B4"/>
    <w:rsid w:val="110837C4"/>
    <w:rsid w:val="110AEDC8"/>
    <w:rsid w:val="110D15F7"/>
    <w:rsid w:val="110EB81A"/>
    <w:rsid w:val="110EDB6C"/>
    <w:rsid w:val="111159B8"/>
    <w:rsid w:val="1111B535"/>
    <w:rsid w:val="11129701"/>
    <w:rsid w:val="1113FF5F"/>
    <w:rsid w:val="111437CC"/>
    <w:rsid w:val="1117A4F5"/>
    <w:rsid w:val="1118DE8C"/>
    <w:rsid w:val="11230AE6"/>
    <w:rsid w:val="11261690"/>
    <w:rsid w:val="112AF61B"/>
    <w:rsid w:val="112CBE14"/>
    <w:rsid w:val="112D4F50"/>
    <w:rsid w:val="112F0DFD"/>
    <w:rsid w:val="112F10FB"/>
    <w:rsid w:val="112FC79E"/>
    <w:rsid w:val="1131B64D"/>
    <w:rsid w:val="113CD436"/>
    <w:rsid w:val="113E4860"/>
    <w:rsid w:val="1143C054"/>
    <w:rsid w:val="1144C52B"/>
    <w:rsid w:val="1147FD13"/>
    <w:rsid w:val="114CDCAF"/>
    <w:rsid w:val="114F93D6"/>
    <w:rsid w:val="114FD13E"/>
    <w:rsid w:val="11527E3C"/>
    <w:rsid w:val="11540763"/>
    <w:rsid w:val="115767E5"/>
    <w:rsid w:val="1159E239"/>
    <w:rsid w:val="115C8703"/>
    <w:rsid w:val="115FAA5B"/>
    <w:rsid w:val="11622FA1"/>
    <w:rsid w:val="11639525"/>
    <w:rsid w:val="11662985"/>
    <w:rsid w:val="11699910"/>
    <w:rsid w:val="116FD858"/>
    <w:rsid w:val="1170E59C"/>
    <w:rsid w:val="117345CB"/>
    <w:rsid w:val="1173910C"/>
    <w:rsid w:val="11739F97"/>
    <w:rsid w:val="1175D03F"/>
    <w:rsid w:val="117638D9"/>
    <w:rsid w:val="117F14FF"/>
    <w:rsid w:val="11824285"/>
    <w:rsid w:val="1182803E"/>
    <w:rsid w:val="1186C30D"/>
    <w:rsid w:val="118792F0"/>
    <w:rsid w:val="1189E8B5"/>
    <w:rsid w:val="11919D12"/>
    <w:rsid w:val="11942719"/>
    <w:rsid w:val="1194996E"/>
    <w:rsid w:val="11952C1E"/>
    <w:rsid w:val="11993397"/>
    <w:rsid w:val="119EE530"/>
    <w:rsid w:val="119EF2B2"/>
    <w:rsid w:val="11A23B6B"/>
    <w:rsid w:val="11A23FC3"/>
    <w:rsid w:val="11A53E32"/>
    <w:rsid w:val="11A9DAE8"/>
    <w:rsid w:val="11AA3755"/>
    <w:rsid w:val="11ABBBE4"/>
    <w:rsid w:val="11AC0BC0"/>
    <w:rsid w:val="11B21ADE"/>
    <w:rsid w:val="11B264D0"/>
    <w:rsid w:val="11B54B10"/>
    <w:rsid w:val="11B8A00B"/>
    <w:rsid w:val="11BBA4C2"/>
    <w:rsid w:val="11BBF26E"/>
    <w:rsid w:val="11BE2BD8"/>
    <w:rsid w:val="11C083F1"/>
    <w:rsid w:val="11C27BD5"/>
    <w:rsid w:val="11C2BC3B"/>
    <w:rsid w:val="11C30181"/>
    <w:rsid w:val="11CAD087"/>
    <w:rsid w:val="11CB2639"/>
    <w:rsid w:val="11CE5ACC"/>
    <w:rsid w:val="11CFB55C"/>
    <w:rsid w:val="11D06987"/>
    <w:rsid w:val="11D3BD4F"/>
    <w:rsid w:val="11D67DA9"/>
    <w:rsid w:val="11D853AE"/>
    <w:rsid w:val="11D896AD"/>
    <w:rsid w:val="11E1B005"/>
    <w:rsid w:val="11E35DD1"/>
    <w:rsid w:val="11E50390"/>
    <w:rsid w:val="11EC7E69"/>
    <w:rsid w:val="11F14A6F"/>
    <w:rsid w:val="11F31350"/>
    <w:rsid w:val="11F34430"/>
    <w:rsid w:val="11F812D9"/>
    <w:rsid w:val="11F88D8E"/>
    <w:rsid w:val="11FABEFA"/>
    <w:rsid w:val="11FB4DB7"/>
    <w:rsid w:val="1200D838"/>
    <w:rsid w:val="12059D3A"/>
    <w:rsid w:val="120696E2"/>
    <w:rsid w:val="1209D3A7"/>
    <w:rsid w:val="120A3673"/>
    <w:rsid w:val="120E03CE"/>
    <w:rsid w:val="1210F0BA"/>
    <w:rsid w:val="12126008"/>
    <w:rsid w:val="1224760C"/>
    <w:rsid w:val="1225FD0C"/>
    <w:rsid w:val="1228C63D"/>
    <w:rsid w:val="122DBE68"/>
    <w:rsid w:val="122E7A21"/>
    <w:rsid w:val="1233577E"/>
    <w:rsid w:val="123750DB"/>
    <w:rsid w:val="123A92DB"/>
    <w:rsid w:val="124149E1"/>
    <w:rsid w:val="1245AF99"/>
    <w:rsid w:val="1249176A"/>
    <w:rsid w:val="1249EEC0"/>
    <w:rsid w:val="124BD8E5"/>
    <w:rsid w:val="124CD3B8"/>
    <w:rsid w:val="124DA4DC"/>
    <w:rsid w:val="12538916"/>
    <w:rsid w:val="1254077D"/>
    <w:rsid w:val="1259CF3E"/>
    <w:rsid w:val="125ABC17"/>
    <w:rsid w:val="125BBA1B"/>
    <w:rsid w:val="125C7C8A"/>
    <w:rsid w:val="125C979E"/>
    <w:rsid w:val="125E97C7"/>
    <w:rsid w:val="125EB450"/>
    <w:rsid w:val="125EEFEA"/>
    <w:rsid w:val="1260DFD9"/>
    <w:rsid w:val="1261F8D0"/>
    <w:rsid w:val="126306A4"/>
    <w:rsid w:val="12633A3E"/>
    <w:rsid w:val="12639F98"/>
    <w:rsid w:val="12689878"/>
    <w:rsid w:val="126BDA76"/>
    <w:rsid w:val="1270EAFA"/>
    <w:rsid w:val="12744DBB"/>
    <w:rsid w:val="1274B8F0"/>
    <w:rsid w:val="1274C320"/>
    <w:rsid w:val="12799661"/>
    <w:rsid w:val="127A8714"/>
    <w:rsid w:val="127F59DC"/>
    <w:rsid w:val="1281E118"/>
    <w:rsid w:val="12869B3B"/>
    <w:rsid w:val="128DB86D"/>
    <w:rsid w:val="128E105E"/>
    <w:rsid w:val="12977B50"/>
    <w:rsid w:val="12983C4B"/>
    <w:rsid w:val="12990F81"/>
    <w:rsid w:val="129BA1BF"/>
    <w:rsid w:val="129E67CD"/>
    <w:rsid w:val="12A3C5E7"/>
    <w:rsid w:val="12A47BDB"/>
    <w:rsid w:val="12A50597"/>
    <w:rsid w:val="12A7D493"/>
    <w:rsid w:val="12A9D5D7"/>
    <w:rsid w:val="12AA8AD6"/>
    <w:rsid w:val="12AAEC2F"/>
    <w:rsid w:val="12AB696E"/>
    <w:rsid w:val="12B26C90"/>
    <w:rsid w:val="12B4C242"/>
    <w:rsid w:val="12BA5873"/>
    <w:rsid w:val="12BAAD7F"/>
    <w:rsid w:val="12BEBCAC"/>
    <w:rsid w:val="12BFC5D6"/>
    <w:rsid w:val="12C4EF98"/>
    <w:rsid w:val="12C6C67C"/>
    <w:rsid w:val="12D1B0E9"/>
    <w:rsid w:val="12D381D2"/>
    <w:rsid w:val="12D731FA"/>
    <w:rsid w:val="12D753B0"/>
    <w:rsid w:val="12DACE72"/>
    <w:rsid w:val="12DFEB3C"/>
    <w:rsid w:val="12E12FD2"/>
    <w:rsid w:val="12E22E65"/>
    <w:rsid w:val="12E55034"/>
    <w:rsid w:val="12EA7B42"/>
    <w:rsid w:val="12EB28C6"/>
    <w:rsid w:val="12F20FB3"/>
    <w:rsid w:val="12FBAB36"/>
    <w:rsid w:val="12FE6790"/>
    <w:rsid w:val="13010802"/>
    <w:rsid w:val="13070B4F"/>
    <w:rsid w:val="1308E266"/>
    <w:rsid w:val="1310E0DA"/>
    <w:rsid w:val="1313302D"/>
    <w:rsid w:val="1316CDF3"/>
    <w:rsid w:val="132023A6"/>
    <w:rsid w:val="13210862"/>
    <w:rsid w:val="1325AC08"/>
    <w:rsid w:val="1327E12F"/>
    <w:rsid w:val="13286DFE"/>
    <w:rsid w:val="132BE63B"/>
    <w:rsid w:val="133013DF"/>
    <w:rsid w:val="133059C8"/>
    <w:rsid w:val="133094B4"/>
    <w:rsid w:val="1330E91A"/>
    <w:rsid w:val="133109CE"/>
    <w:rsid w:val="1336AC84"/>
    <w:rsid w:val="1340BBB5"/>
    <w:rsid w:val="1343045D"/>
    <w:rsid w:val="1346EE18"/>
    <w:rsid w:val="134A4F50"/>
    <w:rsid w:val="134BEDE3"/>
    <w:rsid w:val="134EE132"/>
    <w:rsid w:val="134F02B2"/>
    <w:rsid w:val="13533936"/>
    <w:rsid w:val="1355628F"/>
    <w:rsid w:val="1357F51A"/>
    <w:rsid w:val="13582478"/>
    <w:rsid w:val="1359CBED"/>
    <w:rsid w:val="135DC7F1"/>
    <w:rsid w:val="135FAEB7"/>
    <w:rsid w:val="13671935"/>
    <w:rsid w:val="136A6E75"/>
    <w:rsid w:val="13702892"/>
    <w:rsid w:val="1370BF6D"/>
    <w:rsid w:val="1371C2C2"/>
    <w:rsid w:val="1374AF6B"/>
    <w:rsid w:val="137650B0"/>
    <w:rsid w:val="137F6636"/>
    <w:rsid w:val="1383D1B1"/>
    <w:rsid w:val="1384638D"/>
    <w:rsid w:val="1386038F"/>
    <w:rsid w:val="1386BD8E"/>
    <w:rsid w:val="1388903A"/>
    <w:rsid w:val="138C4679"/>
    <w:rsid w:val="138C95C6"/>
    <w:rsid w:val="1394728A"/>
    <w:rsid w:val="13972CFF"/>
    <w:rsid w:val="139ACBCD"/>
    <w:rsid w:val="139B042B"/>
    <w:rsid w:val="139C73C2"/>
    <w:rsid w:val="139F7369"/>
    <w:rsid w:val="13A15830"/>
    <w:rsid w:val="13A4B28C"/>
    <w:rsid w:val="13A50E24"/>
    <w:rsid w:val="13A9B191"/>
    <w:rsid w:val="13AC34A4"/>
    <w:rsid w:val="13ADFB26"/>
    <w:rsid w:val="13B2705C"/>
    <w:rsid w:val="13BC4843"/>
    <w:rsid w:val="13BFB1F0"/>
    <w:rsid w:val="13C1AA83"/>
    <w:rsid w:val="13C1DB9D"/>
    <w:rsid w:val="13C2FB4E"/>
    <w:rsid w:val="13C5C464"/>
    <w:rsid w:val="13C718BC"/>
    <w:rsid w:val="13C8B503"/>
    <w:rsid w:val="13CEEA17"/>
    <w:rsid w:val="13D0B1D2"/>
    <w:rsid w:val="13D166B3"/>
    <w:rsid w:val="13DA9102"/>
    <w:rsid w:val="13DC10E3"/>
    <w:rsid w:val="13E94909"/>
    <w:rsid w:val="13F0D3C9"/>
    <w:rsid w:val="13F51981"/>
    <w:rsid w:val="13F9D90D"/>
    <w:rsid w:val="13FAE561"/>
    <w:rsid w:val="13FF06BB"/>
    <w:rsid w:val="13FFBEBD"/>
    <w:rsid w:val="1400916C"/>
    <w:rsid w:val="1400BBE8"/>
    <w:rsid w:val="1406C48B"/>
    <w:rsid w:val="14070421"/>
    <w:rsid w:val="14074F5D"/>
    <w:rsid w:val="14083563"/>
    <w:rsid w:val="140850AC"/>
    <w:rsid w:val="1408CA18"/>
    <w:rsid w:val="1409C4D8"/>
    <w:rsid w:val="140B91A8"/>
    <w:rsid w:val="14155260"/>
    <w:rsid w:val="141D1C28"/>
    <w:rsid w:val="1422D585"/>
    <w:rsid w:val="1429DAE2"/>
    <w:rsid w:val="142DA481"/>
    <w:rsid w:val="142DE6EF"/>
    <w:rsid w:val="14327312"/>
    <w:rsid w:val="143307DE"/>
    <w:rsid w:val="1435176C"/>
    <w:rsid w:val="143932B8"/>
    <w:rsid w:val="143BFE79"/>
    <w:rsid w:val="143E475C"/>
    <w:rsid w:val="143FF891"/>
    <w:rsid w:val="14437960"/>
    <w:rsid w:val="14447B9C"/>
    <w:rsid w:val="14460DBF"/>
    <w:rsid w:val="14461804"/>
    <w:rsid w:val="14465312"/>
    <w:rsid w:val="1446BAE0"/>
    <w:rsid w:val="14471F87"/>
    <w:rsid w:val="1447F5AE"/>
    <w:rsid w:val="144BCA07"/>
    <w:rsid w:val="1450F3C6"/>
    <w:rsid w:val="145AE237"/>
    <w:rsid w:val="145CA195"/>
    <w:rsid w:val="145CAD6E"/>
    <w:rsid w:val="146169E0"/>
    <w:rsid w:val="14624E8F"/>
    <w:rsid w:val="14645348"/>
    <w:rsid w:val="1469E582"/>
    <w:rsid w:val="146ACBDB"/>
    <w:rsid w:val="146CDE67"/>
    <w:rsid w:val="147274BB"/>
    <w:rsid w:val="14766AF1"/>
    <w:rsid w:val="1479A847"/>
    <w:rsid w:val="1479FD68"/>
    <w:rsid w:val="147ADE40"/>
    <w:rsid w:val="14803520"/>
    <w:rsid w:val="1481BF98"/>
    <w:rsid w:val="1485297A"/>
    <w:rsid w:val="14858AB1"/>
    <w:rsid w:val="148A5EB0"/>
    <w:rsid w:val="148B3693"/>
    <w:rsid w:val="148BA2E8"/>
    <w:rsid w:val="148F08A7"/>
    <w:rsid w:val="148FC9F7"/>
    <w:rsid w:val="14907930"/>
    <w:rsid w:val="1492DFB6"/>
    <w:rsid w:val="14936FCA"/>
    <w:rsid w:val="1494D69A"/>
    <w:rsid w:val="1496C69E"/>
    <w:rsid w:val="149A00C6"/>
    <w:rsid w:val="149C8C06"/>
    <w:rsid w:val="14A7595C"/>
    <w:rsid w:val="14A84132"/>
    <w:rsid w:val="14A96CE5"/>
    <w:rsid w:val="14AA9C86"/>
    <w:rsid w:val="14AB9325"/>
    <w:rsid w:val="14AC9B85"/>
    <w:rsid w:val="14ADBBBC"/>
    <w:rsid w:val="14B0AFF2"/>
    <w:rsid w:val="14B6334A"/>
    <w:rsid w:val="14B9CDC8"/>
    <w:rsid w:val="14BAE03B"/>
    <w:rsid w:val="14BB4392"/>
    <w:rsid w:val="14BD2959"/>
    <w:rsid w:val="14C253EA"/>
    <w:rsid w:val="14C2AF71"/>
    <w:rsid w:val="14C3B313"/>
    <w:rsid w:val="14CA6C4C"/>
    <w:rsid w:val="14D09343"/>
    <w:rsid w:val="14D36E52"/>
    <w:rsid w:val="14D6F1EE"/>
    <w:rsid w:val="14DDEB21"/>
    <w:rsid w:val="14DF57D4"/>
    <w:rsid w:val="14E00731"/>
    <w:rsid w:val="14E28F56"/>
    <w:rsid w:val="14E52512"/>
    <w:rsid w:val="14EB57C5"/>
    <w:rsid w:val="14F17BEE"/>
    <w:rsid w:val="14F83479"/>
    <w:rsid w:val="14F906CF"/>
    <w:rsid w:val="14F950EB"/>
    <w:rsid w:val="14FB74FD"/>
    <w:rsid w:val="14FE2F8A"/>
    <w:rsid w:val="14FE2F9D"/>
    <w:rsid w:val="14FE9E7C"/>
    <w:rsid w:val="14FF209E"/>
    <w:rsid w:val="15020E3A"/>
    <w:rsid w:val="150875BE"/>
    <w:rsid w:val="1508936F"/>
    <w:rsid w:val="150937AF"/>
    <w:rsid w:val="150B4DE8"/>
    <w:rsid w:val="150EB9D9"/>
    <w:rsid w:val="1516DECE"/>
    <w:rsid w:val="1517A5AE"/>
    <w:rsid w:val="151AAD89"/>
    <w:rsid w:val="151BEFDC"/>
    <w:rsid w:val="151F0D8D"/>
    <w:rsid w:val="1520DCBF"/>
    <w:rsid w:val="1528296B"/>
    <w:rsid w:val="152B4CCF"/>
    <w:rsid w:val="152F48D3"/>
    <w:rsid w:val="1530975F"/>
    <w:rsid w:val="15380270"/>
    <w:rsid w:val="15397E8D"/>
    <w:rsid w:val="153F9BED"/>
    <w:rsid w:val="15410A5E"/>
    <w:rsid w:val="1543182D"/>
    <w:rsid w:val="15454891"/>
    <w:rsid w:val="1548B2AF"/>
    <w:rsid w:val="154ACB89"/>
    <w:rsid w:val="154B5C18"/>
    <w:rsid w:val="154BEA29"/>
    <w:rsid w:val="154D272F"/>
    <w:rsid w:val="1555985E"/>
    <w:rsid w:val="15599982"/>
    <w:rsid w:val="155BCDE5"/>
    <w:rsid w:val="15626F35"/>
    <w:rsid w:val="1562E702"/>
    <w:rsid w:val="1565FB47"/>
    <w:rsid w:val="156C208A"/>
    <w:rsid w:val="156C8995"/>
    <w:rsid w:val="157863AE"/>
    <w:rsid w:val="1579D31B"/>
    <w:rsid w:val="157C0817"/>
    <w:rsid w:val="157F143B"/>
    <w:rsid w:val="158085E7"/>
    <w:rsid w:val="1581425A"/>
    <w:rsid w:val="15880D45"/>
    <w:rsid w:val="158C7C9D"/>
    <w:rsid w:val="158EB45E"/>
    <w:rsid w:val="158F52F9"/>
    <w:rsid w:val="15936F3E"/>
    <w:rsid w:val="1594952C"/>
    <w:rsid w:val="15984DE8"/>
    <w:rsid w:val="1598D9C0"/>
    <w:rsid w:val="15996D1D"/>
    <w:rsid w:val="159CEF5C"/>
    <w:rsid w:val="15A021D3"/>
    <w:rsid w:val="15A0571E"/>
    <w:rsid w:val="15A0D2BA"/>
    <w:rsid w:val="15A6A251"/>
    <w:rsid w:val="15A6A346"/>
    <w:rsid w:val="15A775AA"/>
    <w:rsid w:val="15B7F144"/>
    <w:rsid w:val="15B8519A"/>
    <w:rsid w:val="15BC46B0"/>
    <w:rsid w:val="15BC6F8A"/>
    <w:rsid w:val="15BC9991"/>
    <w:rsid w:val="15BD0CB6"/>
    <w:rsid w:val="15BF4692"/>
    <w:rsid w:val="15BFD421"/>
    <w:rsid w:val="15C0CBB9"/>
    <w:rsid w:val="15C420F3"/>
    <w:rsid w:val="15C86E4F"/>
    <w:rsid w:val="15C8AC74"/>
    <w:rsid w:val="15CAA998"/>
    <w:rsid w:val="15D08DAB"/>
    <w:rsid w:val="15D683EC"/>
    <w:rsid w:val="15DB3187"/>
    <w:rsid w:val="15E122F1"/>
    <w:rsid w:val="15E147D1"/>
    <w:rsid w:val="15E23442"/>
    <w:rsid w:val="15E4648D"/>
    <w:rsid w:val="15E625F3"/>
    <w:rsid w:val="15E8D25B"/>
    <w:rsid w:val="15EAF636"/>
    <w:rsid w:val="15EC1ECD"/>
    <w:rsid w:val="15ECA186"/>
    <w:rsid w:val="15EDE2B4"/>
    <w:rsid w:val="15F2EE29"/>
    <w:rsid w:val="15F77EA2"/>
    <w:rsid w:val="15FE4EB5"/>
    <w:rsid w:val="16002025"/>
    <w:rsid w:val="1602DD24"/>
    <w:rsid w:val="160B6DFF"/>
    <w:rsid w:val="160ECC3D"/>
    <w:rsid w:val="160EF472"/>
    <w:rsid w:val="161394B7"/>
    <w:rsid w:val="1616AEA1"/>
    <w:rsid w:val="16176F40"/>
    <w:rsid w:val="161806CE"/>
    <w:rsid w:val="161E7105"/>
    <w:rsid w:val="16228B22"/>
    <w:rsid w:val="16273125"/>
    <w:rsid w:val="1629ED8C"/>
    <w:rsid w:val="162B6108"/>
    <w:rsid w:val="1630F82E"/>
    <w:rsid w:val="16311C38"/>
    <w:rsid w:val="163CA708"/>
    <w:rsid w:val="163D5667"/>
    <w:rsid w:val="16423C5D"/>
    <w:rsid w:val="1642A857"/>
    <w:rsid w:val="1642B59D"/>
    <w:rsid w:val="164303B4"/>
    <w:rsid w:val="16481009"/>
    <w:rsid w:val="164A7997"/>
    <w:rsid w:val="164C33A9"/>
    <w:rsid w:val="16514E10"/>
    <w:rsid w:val="165178BE"/>
    <w:rsid w:val="16544BDF"/>
    <w:rsid w:val="16563DD3"/>
    <w:rsid w:val="1657E6EA"/>
    <w:rsid w:val="165D1FEB"/>
    <w:rsid w:val="165E2404"/>
    <w:rsid w:val="165E262F"/>
    <w:rsid w:val="1668BBC8"/>
    <w:rsid w:val="166EA107"/>
    <w:rsid w:val="16755BA0"/>
    <w:rsid w:val="167BD5A1"/>
    <w:rsid w:val="167DCB70"/>
    <w:rsid w:val="167E2C68"/>
    <w:rsid w:val="167E6F9E"/>
    <w:rsid w:val="1687A2D2"/>
    <w:rsid w:val="168BE88F"/>
    <w:rsid w:val="16922F3E"/>
    <w:rsid w:val="16935723"/>
    <w:rsid w:val="16954BDD"/>
    <w:rsid w:val="1696E4D4"/>
    <w:rsid w:val="169DDDA8"/>
    <w:rsid w:val="16A38687"/>
    <w:rsid w:val="16AB28E0"/>
    <w:rsid w:val="16AE49A9"/>
    <w:rsid w:val="16AF4179"/>
    <w:rsid w:val="16B1A9E8"/>
    <w:rsid w:val="16B50B6C"/>
    <w:rsid w:val="16B69CCC"/>
    <w:rsid w:val="16BC8509"/>
    <w:rsid w:val="16BEBBDE"/>
    <w:rsid w:val="16BEEF66"/>
    <w:rsid w:val="16C0A008"/>
    <w:rsid w:val="16C1FD5B"/>
    <w:rsid w:val="16C35FF9"/>
    <w:rsid w:val="16C3B22C"/>
    <w:rsid w:val="16C3B567"/>
    <w:rsid w:val="16C66137"/>
    <w:rsid w:val="16D6EB85"/>
    <w:rsid w:val="16DB1E57"/>
    <w:rsid w:val="16DC24FC"/>
    <w:rsid w:val="16DC3E45"/>
    <w:rsid w:val="16E19EB9"/>
    <w:rsid w:val="16E25B7C"/>
    <w:rsid w:val="16E5E094"/>
    <w:rsid w:val="16E70A30"/>
    <w:rsid w:val="16EC6D2A"/>
    <w:rsid w:val="16F0496A"/>
    <w:rsid w:val="16F12DBA"/>
    <w:rsid w:val="16F30EFA"/>
    <w:rsid w:val="16F6876A"/>
    <w:rsid w:val="16F6C8A7"/>
    <w:rsid w:val="16F742F3"/>
    <w:rsid w:val="16FF4FA7"/>
    <w:rsid w:val="17004349"/>
    <w:rsid w:val="17022E7B"/>
    <w:rsid w:val="17031087"/>
    <w:rsid w:val="1703E3F4"/>
    <w:rsid w:val="170B73A4"/>
    <w:rsid w:val="170C4C98"/>
    <w:rsid w:val="170D818B"/>
    <w:rsid w:val="170D8DA3"/>
    <w:rsid w:val="1711212A"/>
    <w:rsid w:val="1714C760"/>
    <w:rsid w:val="171A6505"/>
    <w:rsid w:val="171AEEED"/>
    <w:rsid w:val="172081C8"/>
    <w:rsid w:val="1726B021"/>
    <w:rsid w:val="17280A28"/>
    <w:rsid w:val="17286A69"/>
    <w:rsid w:val="172F2D06"/>
    <w:rsid w:val="173071C5"/>
    <w:rsid w:val="17309460"/>
    <w:rsid w:val="1730DAB8"/>
    <w:rsid w:val="1733BD93"/>
    <w:rsid w:val="17341BA8"/>
    <w:rsid w:val="1738F583"/>
    <w:rsid w:val="173A59A7"/>
    <w:rsid w:val="173C938D"/>
    <w:rsid w:val="173F4EA4"/>
    <w:rsid w:val="17421E28"/>
    <w:rsid w:val="17475573"/>
    <w:rsid w:val="174A07E8"/>
    <w:rsid w:val="174E0371"/>
    <w:rsid w:val="174EE035"/>
    <w:rsid w:val="174F06A7"/>
    <w:rsid w:val="175B2CDA"/>
    <w:rsid w:val="175D07B1"/>
    <w:rsid w:val="17610CA4"/>
    <w:rsid w:val="1762B8BA"/>
    <w:rsid w:val="17631AA0"/>
    <w:rsid w:val="176632D8"/>
    <w:rsid w:val="17679896"/>
    <w:rsid w:val="176ACC20"/>
    <w:rsid w:val="176AFC1E"/>
    <w:rsid w:val="17702845"/>
    <w:rsid w:val="1771A6A5"/>
    <w:rsid w:val="1771F985"/>
    <w:rsid w:val="17723016"/>
    <w:rsid w:val="1773B79C"/>
    <w:rsid w:val="17779060"/>
    <w:rsid w:val="177A771E"/>
    <w:rsid w:val="177D316B"/>
    <w:rsid w:val="177D4641"/>
    <w:rsid w:val="1780F6B9"/>
    <w:rsid w:val="178156F4"/>
    <w:rsid w:val="17832B40"/>
    <w:rsid w:val="178A8F67"/>
    <w:rsid w:val="178A9E66"/>
    <w:rsid w:val="17944EE0"/>
    <w:rsid w:val="17965FAB"/>
    <w:rsid w:val="1799AB62"/>
    <w:rsid w:val="179A84E1"/>
    <w:rsid w:val="179C4EE1"/>
    <w:rsid w:val="17A14928"/>
    <w:rsid w:val="17A2361F"/>
    <w:rsid w:val="17A43B55"/>
    <w:rsid w:val="17A65751"/>
    <w:rsid w:val="17A747D6"/>
    <w:rsid w:val="17AD810C"/>
    <w:rsid w:val="17B0062A"/>
    <w:rsid w:val="17B785D1"/>
    <w:rsid w:val="17B7A27E"/>
    <w:rsid w:val="17B854EA"/>
    <w:rsid w:val="17BC3C4D"/>
    <w:rsid w:val="17C0D3D6"/>
    <w:rsid w:val="17D46347"/>
    <w:rsid w:val="17D6B9E0"/>
    <w:rsid w:val="17D774A6"/>
    <w:rsid w:val="17D7E95C"/>
    <w:rsid w:val="17D97A08"/>
    <w:rsid w:val="17DB04F8"/>
    <w:rsid w:val="17DDA74C"/>
    <w:rsid w:val="17E06526"/>
    <w:rsid w:val="17E093B7"/>
    <w:rsid w:val="17E14F55"/>
    <w:rsid w:val="17E1928E"/>
    <w:rsid w:val="17E33C80"/>
    <w:rsid w:val="17ECC53A"/>
    <w:rsid w:val="17F293AF"/>
    <w:rsid w:val="17F3E1BD"/>
    <w:rsid w:val="17F41EB2"/>
    <w:rsid w:val="17F935C2"/>
    <w:rsid w:val="17F99E86"/>
    <w:rsid w:val="17FA63FA"/>
    <w:rsid w:val="17FE4F45"/>
    <w:rsid w:val="17FF9A52"/>
    <w:rsid w:val="18026C2D"/>
    <w:rsid w:val="18036E92"/>
    <w:rsid w:val="180634DC"/>
    <w:rsid w:val="1807A6AF"/>
    <w:rsid w:val="18090FBF"/>
    <w:rsid w:val="18093442"/>
    <w:rsid w:val="1809BDBF"/>
    <w:rsid w:val="180B526A"/>
    <w:rsid w:val="180BC9F5"/>
    <w:rsid w:val="180C1A26"/>
    <w:rsid w:val="180CE230"/>
    <w:rsid w:val="180D73AF"/>
    <w:rsid w:val="180D8521"/>
    <w:rsid w:val="1812C08D"/>
    <w:rsid w:val="1816B9FC"/>
    <w:rsid w:val="1816EDDA"/>
    <w:rsid w:val="1817D5A5"/>
    <w:rsid w:val="1817DAE6"/>
    <w:rsid w:val="1824EE88"/>
    <w:rsid w:val="182B0736"/>
    <w:rsid w:val="182D7D8D"/>
    <w:rsid w:val="182DEE6C"/>
    <w:rsid w:val="182EAFCE"/>
    <w:rsid w:val="183101EB"/>
    <w:rsid w:val="18349B90"/>
    <w:rsid w:val="18398221"/>
    <w:rsid w:val="183A4C69"/>
    <w:rsid w:val="184138D1"/>
    <w:rsid w:val="1844C875"/>
    <w:rsid w:val="1844EB1D"/>
    <w:rsid w:val="184A1A0A"/>
    <w:rsid w:val="184A6DAE"/>
    <w:rsid w:val="184B00EF"/>
    <w:rsid w:val="184CBD01"/>
    <w:rsid w:val="184CDCBE"/>
    <w:rsid w:val="184D37A9"/>
    <w:rsid w:val="184F15C5"/>
    <w:rsid w:val="185123F5"/>
    <w:rsid w:val="1852FAA9"/>
    <w:rsid w:val="185498A9"/>
    <w:rsid w:val="1857DD3C"/>
    <w:rsid w:val="185B48C5"/>
    <w:rsid w:val="1861DEA9"/>
    <w:rsid w:val="1863EB1F"/>
    <w:rsid w:val="186630B9"/>
    <w:rsid w:val="18682735"/>
    <w:rsid w:val="1869C697"/>
    <w:rsid w:val="186A0515"/>
    <w:rsid w:val="186E0580"/>
    <w:rsid w:val="187088E8"/>
    <w:rsid w:val="1870D2CA"/>
    <w:rsid w:val="18721D43"/>
    <w:rsid w:val="1872A570"/>
    <w:rsid w:val="1875D890"/>
    <w:rsid w:val="187622DE"/>
    <w:rsid w:val="18774E01"/>
    <w:rsid w:val="187AE929"/>
    <w:rsid w:val="187EAD5C"/>
    <w:rsid w:val="1880BEB1"/>
    <w:rsid w:val="18837F58"/>
    <w:rsid w:val="188449ED"/>
    <w:rsid w:val="188651F7"/>
    <w:rsid w:val="18882DDA"/>
    <w:rsid w:val="188DFCA3"/>
    <w:rsid w:val="1896F83B"/>
    <w:rsid w:val="1897FE4E"/>
    <w:rsid w:val="18992EE0"/>
    <w:rsid w:val="189CD647"/>
    <w:rsid w:val="18A1CFFD"/>
    <w:rsid w:val="18A33595"/>
    <w:rsid w:val="18A39B75"/>
    <w:rsid w:val="18A45CEA"/>
    <w:rsid w:val="18A51305"/>
    <w:rsid w:val="18A7161E"/>
    <w:rsid w:val="18A8F33A"/>
    <w:rsid w:val="18AE6221"/>
    <w:rsid w:val="18B3ACB0"/>
    <w:rsid w:val="18B80061"/>
    <w:rsid w:val="18BA18AF"/>
    <w:rsid w:val="18C172C1"/>
    <w:rsid w:val="18C41FB6"/>
    <w:rsid w:val="18C4AA52"/>
    <w:rsid w:val="18C59B50"/>
    <w:rsid w:val="18CE919F"/>
    <w:rsid w:val="18D31632"/>
    <w:rsid w:val="18D50404"/>
    <w:rsid w:val="18D8A9BF"/>
    <w:rsid w:val="18DE8360"/>
    <w:rsid w:val="18DFC8CF"/>
    <w:rsid w:val="18E05F7B"/>
    <w:rsid w:val="18E34D7B"/>
    <w:rsid w:val="18E3570F"/>
    <w:rsid w:val="18E58811"/>
    <w:rsid w:val="18E9CA6D"/>
    <w:rsid w:val="18EFD81B"/>
    <w:rsid w:val="18F37A61"/>
    <w:rsid w:val="18F576C6"/>
    <w:rsid w:val="18F602F1"/>
    <w:rsid w:val="18F94A15"/>
    <w:rsid w:val="18F97451"/>
    <w:rsid w:val="18FBD761"/>
    <w:rsid w:val="18FF5B7B"/>
    <w:rsid w:val="19032503"/>
    <w:rsid w:val="1906519C"/>
    <w:rsid w:val="1907066A"/>
    <w:rsid w:val="19109FA1"/>
    <w:rsid w:val="19139BEE"/>
    <w:rsid w:val="19191030"/>
    <w:rsid w:val="191A9887"/>
    <w:rsid w:val="191C0354"/>
    <w:rsid w:val="191C4CCE"/>
    <w:rsid w:val="191E7CDF"/>
    <w:rsid w:val="191FBDAB"/>
    <w:rsid w:val="19251A3D"/>
    <w:rsid w:val="1925804C"/>
    <w:rsid w:val="19288757"/>
    <w:rsid w:val="192B7057"/>
    <w:rsid w:val="192F305B"/>
    <w:rsid w:val="19316A54"/>
    <w:rsid w:val="1937C688"/>
    <w:rsid w:val="19396256"/>
    <w:rsid w:val="193A7DE6"/>
    <w:rsid w:val="193B1B1C"/>
    <w:rsid w:val="193D24CE"/>
    <w:rsid w:val="1941422B"/>
    <w:rsid w:val="1945F787"/>
    <w:rsid w:val="19478590"/>
    <w:rsid w:val="1949516D"/>
    <w:rsid w:val="1949B7F1"/>
    <w:rsid w:val="194A205F"/>
    <w:rsid w:val="1952C796"/>
    <w:rsid w:val="19590D8B"/>
    <w:rsid w:val="195B30CB"/>
    <w:rsid w:val="19669875"/>
    <w:rsid w:val="19688EA4"/>
    <w:rsid w:val="196E7E20"/>
    <w:rsid w:val="196F7A47"/>
    <w:rsid w:val="197B5256"/>
    <w:rsid w:val="197BC1A7"/>
    <w:rsid w:val="197C6AD0"/>
    <w:rsid w:val="1981EE3E"/>
    <w:rsid w:val="198BEF7B"/>
    <w:rsid w:val="198DD746"/>
    <w:rsid w:val="198EF142"/>
    <w:rsid w:val="19909D68"/>
    <w:rsid w:val="19930A3D"/>
    <w:rsid w:val="19933D97"/>
    <w:rsid w:val="19950567"/>
    <w:rsid w:val="19969341"/>
    <w:rsid w:val="19973096"/>
    <w:rsid w:val="19975923"/>
    <w:rsid w:val="19992B14"/>
    <w:rsid w:val="1999DE09"/>
    <w:rsid w:val="199DD3BF"/>
    <w:rsid w:val="199DF15B"/>
    <w:rsid w:val="199DF997"/>
    <w:rsid w:val="199ECC74"/>
    <w:rsid w:val="19A6C290"/>
    <w:rsid w:val="19A8EF71"/>
    <w:rsid w:val="19ABF28C"/>
    <w:rsid w:val="19B60EB2"/>
    <w:rsid w:val="19B81EB0"/>
    <w:rsid w:val="19C00872"/>
    <w:rsid w:val="19C04229"/>
    <w:rsid w:val="19C84313"/>
    <w:rsid w:val="19CE9B0F"/>
    <w:rsid w:val="19D106EA"/>
    <w:rsid w:val="19D166EE"/>
    <w:rsid w:val="19D28B77"/>
    <w:rsid w:val="19D2BEDB"/>
    <w:rsid w:val="19D44BCA"/>
    <w:rsid w:val="19D4663F"/>
    <w:rsid w:val="19D75800"/>
    <w:rsid w:val="19D8D65C"/>
    <w:rsid w:val="19DAC19D"/>
    <w:rsid w:val="19DC70CD"/>
    <w:rsid w:val="19E07F5F"/>
    <w:rsid w:val="19E29D9F"/>
    <w:rsid w:val="19E5724E"/>
    <w:rsid w:val="19E74743"/>
    <w:rsid w:val="1A01CA91"/>
    <w:rsid w:val="1A03C8CE"/>
    <w:rsid w:val="1A0A543A"/>
    <w:rsid w:val="1A0B0F6C"/>
    <w:rsid w:val="1A0C441E"/>
    <w:rsid w:val="1A111D0D"/>
    <w:rsid w:val="1A1552B0"/>
    <w:rsid w:val="1A1691B4"/>
    <w:rsid w:val="1A1A6021"/>
    <w:rsid w:val="1A1C14C8"/>
    <w:rsid w:val="1A1CE9E2"/>
    <w:rsid w:val="1A1DE61D"/>
    <w:rsid w:val="1A1FDE9B"/>
    <w:rsid w:val="1A235439"/>
    <w:rsid w:val="1A247E0C"/>
    <w:rsid w:val="1A2D2549"/>
    <w:rsid w:val="1A2E6969"/>
    <w:rsid w:val="1A30293D"/>
    <w:rsid w:val="1A3224E5"/>
    <w:rsid w:val="1A33D323"/>
    <w:rsid w:val="1A37E3F6"/>
    <w:rsid w:val="1A3A80ED"/>
    <w:rsid w:val="1A3C54DE"/>
    <w:rsid w:val="1A3CD615"/>
    <w:rsid w:val="1A3EBD40"/>
    <w:rsid w:val="1A3F5A67"/>
    <w:rsid w:val="1A44C2D6"/>
    <w:rsid w:val="1A461500"/>
    <w:rsid w:val="1A461DD3"/>
    <w:rsid w:val="1A48FF9F"/>
    <w:rsid w:val="1A4909AA"/>
    <w:rsid w:val="1A4A6E39"/>
    <w:rsid w:val="1A4BD1B9"/>
    <w:rsid w:val="1A50645B"/>
    <w:rsid w:val="1A56F69F"/>
    <w:rsid w:val="1A5AEB8D"/>
    <w:rsid w:val="1A5BA22B"/>
    <w:rsid w:val="1A5D1C40"/>
    <w:rsid w:val="1A5DD4D4"/>
    <w:rsid w:val="1A5E5FD2"/>
    <w:rsid w:val="1A60FE2A"/>
    <w:rsid w:val="1A615BB3"/>
    <w:rsid w:val="1A64277E"/>
    <w:rsid w:val="1A6BA6F4"/>
    <w:rsid w:val="1A6ECBD8"/>
    <w:rsid w:val="1A7083EF"/>
    <w:rsid w:val="1A764ABC"/>
    <w:rsid w:val="1A77BE13"/>
    <w:rsid w:val="1A797AA6"/>
    <w:rsid w:val="1A79E8B4"/>
    <w:rsid w:val="1A7D004A"/>
    <w:rsid w:val="1A801C11"/>
    <w:rsid w:val="1A80AB04"/>
    <w:rsid w:val="1A821541"/>
    <w:rsid w:val="1A838835"/>
    <w:rsid w:val="1A83D9C9"/>
    <w:rsid w:val="1A86D0EF"/>
    <w:rsid w:val="1A87E6C3"/>
    <w:rsid w:val="1A8C3E08"/>
    <w:rsid w:val="1A8E2EB1"/>
    <w:rsid w:val="1A9071EA"/>
    <w:rsid w:val="1A943E68"/>
    <w:rsid w:val="1A983DCB"/>
    <w:rsid w:val="1A9C7BA6"/>
    <w:rsid w:val="1AAA9CD1"/>
    <w:rsid w:val="1AACC468"/>
    <w:rsid w:val="1AB278CC"/>
    <w:rsid w:val="1AB6075A"/>
    <w:rsid w:val="1ABFECF3"/>
    <w:rsid w:val="1AC06BF2"/>
    <w:rsid w:val="1AC186CA"/>
    <w:rsid w:val="1AC1B1D6"/>
    <w:rsid w:val="1ACDAD75"/>
    <w:rsid w:val="1ACE7252"/>
    <w:rsid w:val="1AD0D68B"/>
    <w:rsid w:val="1AD188B8"/>
    <w:rsid w:val="1AD5751F"/>
    <w:rsid w:val="1AD9CB45"/>
    <w:rsid w:val="1ADCA2B4"/>
    <w:rsid w:val="1ADCEA96"/>
    <w:rsid w:val="1AE4CB6C"/>
    <w:rsid w:val="1AE668C7"/>
    <w:rsid w:val="1AEBDDA2"/>
    <w:rsid w:val="1AEBE5B7"/>
    <w:rsid w:val="1AED6E8F"/>
    <w:rsid w:val="1AED94CB"/>
    <w:rsid w:val="1AEFE629"/>
    <w:rsid w:val="1AF6CA20"/>
    <w:rsid w:val="1AF95885"/>
    <w:rsid w:val="1AF9B7D9"/>
    <w:rsid w:val="1AFC3DC4"/>
    <w:rsid w:val="1B029EDE"/>
    <w:rsid w:val="1B040E34"/>
    <w:rsid w:val="1B0437FD"/>
    <w:rsid w:val="1B08F40B"/>
    <w:rsid w:val="1B0944B6"/>
    <w:rsid w:val="1B16E2F9"/>
    <w:rsid w:val="1B177E1C"/>
    <w:rsid w:val="1B183479"/>
    <w:rsid w:val="1B1907D8"/>
    <w:rsid w:val="1B1D5A83"/>
    <w:rsid w:val="1B1DBE4F"/>
    <w:rsid w:val="1B1E597D"/>
    <w:rsid w:val="1B212A0B"/>
    <w:rsid w:val="1B22A488"/>
    <w:rsid w:val="1B24CA6D"/>
    <w:rsid w:val="1B28EA4E"/>
    <w:rsid w:val="1B290460"/>
    <w:rsid w:val="1B29A63E"/>
    <w:rsid w:val="1B2AF99B"/>
    <w:rsid w:val="1B2C08A2"/>
    <w:rsid w:val="1B2C6B07"/>
    <w:rsid w:val="1B2DE6DC"/>
    <w:rsid w:val="1B2EAB1C"/>
    <w:rsid w:val="1B328277"/>
    <w:rsid w:val="1B379A45"/>
    <w:rsid w:val="1B389868"/>
    <w:rsid w:val="1B3DEDB5"/>
    <w:rsid w:val="1B3F2ACF"/>
    <w:rsid w:val="1B409920"/>
    <w:rsid w:val="1B44F35F"/>
    <w:rsid w:val="1B46ACBE"/>
    <w:rsid w:val="1B52AB32"/>
    <w:rsid w:val="1B531DF7"/>
    <w:rsid w:val="1B533288"/>
    <w:rsid w:val="1B54ECA5"/>
    <w:rsid w:val="1B5857EE"/>
    <w:rsid w:val="1B5F21CD"/>
    <w:rsid w:val="1B606AA3"/>
    <w:rsid w:val="1B642D9C"/>
    <w:rsid w:val="1B651B5D"/>
    <w:rsid w:val="1B67B324"/>
    <w:rsid w:val="1B72A5AA"/>
    <w:rsid w:val="1B7320EB"/>
    <w:rsid w:val="1B73C633"/>
    <w:rsid w:val="1B767A37"/>
    <w:rsid w:val="1B8067F2"/>
    <w:rsid w:val="1B821BB7"/>
    <w:rsid w:val="1B82AEDE"/>
    <w:rsid w:val="1B840794"/>
    <w:rsid w:val="1B879F69"/>
    <w:rsid w:val="1B89AB0D"/>
    <w:rsid w:val="1B89E661"/>
    <w:rsid w:val="1B8A5EDC"/>
    <w:rsid w:val="1B8E9616"/>
    <w:rsid w:val="1B8EA646"/>
    <w:rsid w:val="1B8F0531"/>
    <w:rsid w:val="1B9277AA"/>
    <w:rsid w:val="1B93B76A"/>
    <w:rsid w:val="1B9660B5"/>
    <w:rsid w:val="1B96B970"/>
    <w:rsid w:val="1B96D1B3"/>
    <w:rsid w:val="1B9981EE"/>
    <w:rsid w:val="1B9CCBBB"/>
    <w:rsid w:val="1B9F70F8"/>
    <w:rsid w:val="1BA21763"/>
    <w:rsid w:val="1BA507A0"/>
    <w:rsid w:val="1BA5DD77"/>
    <w:rsid w:val="1BA6EC8C"/>
    <w:rsid w:val="1BAA37D5"/>
    <w:rsid w:val="1BAD4CDD"/>
    <w:rsid w:val="1BAF2248"/>
    <w:rsid w:val="1BB278CC"/>
    <w:rsid w:val="1BBA567B"/>
    <w:rsid w:val="1BBF61FB"/>
    <w:rsid w:val="1BC0976D"/>
    <w:rsid w:val="1BC1693B"/>
    <w:rsid w:val="1BC462B4"/>
    <w:rsid w:val="1BC49FC2"/>
    <w:rsid w:val="1BC6A8B0"/>
    <w:rsid w:val="1BC8F09E"/>
    <w:rsid w:val="1BCA5094"/>
    <w:rsid w:val="1BCC5DD9"/>
    <w:rsid w:val="1BCDC5E6"/>
    <w:rsid w:val="1BD7F23F"/>
    <w:rsid w:val="1BD83DC0"/>
    <w:rsid w:val="1BDD3865"/>
    <w:rsid w:val="1BE09B27"/>
    <w:rsid w:val="1BE1DBC7"/>
    <w:rsid w:val="1BE1F68C"/>
    <w:rsid w:val="1BE1FD28"/>
    <w:rsid w:val="1BE2A24C"/>
    <w:rsid w:val="1BE4FC03"/>
    <w:rsid w:val="1BE99813"/>
    <w:rsid w:val="1BECC497"/>
    <w:rsid w:val="1BED9207"/>
    <w:rsid w:val="1BEE4172"/>
    <w:rsid w:val="1BF0970F"/>
    <w:rsid w:val="1BF7C1AD"/>
    <w:rsid w:val="1BF8D107"/>
    <w:rsid w:val="1BF973D2"/>
    <w:rsid w:val="1BFA9964"/>
    <w:rsid w:val="1BFD3C98"/>
    <w:rsid w:val="1C00990F"/>
    <w:rsid w:val="1C018982"/>
    <w:rsid w:val="1C03A6C8"/>
    <w:rsid w:val="1C0409E6"/>
    <w:rsid w:val="1C08D616"/>
    <w:rsid w:val="1C1459B3"/>
    <w:rsid w:val="1C15F342"/>
    <w:rsid w:val="1C174458"/>
    <w:rsid w:val="1C17C046"/>
    <w:rsid w:val="1C1A2580"/>
    <w:rsid w:val="1C1FAB97"/>
    <w:rsid w:val="1C2E1986"/>
    <w:rsid w:val="1C2E57D1"/>
    <w:rsid w:val="1C3151DB"/>
    <w:rsid w:val="1C332720"/>
    <w:rsid w:val="1C3746B0"/>
    <w:rsid w:val="1C3C630E"/>
    <w:rsid w:val="1C422D4D"/>
    <w:rsid w:val="1C437591"/>
    <w:rsid w:val="1C46C026"/>
    <w:rsid w:val="1C47CD82"/>
    <w:rsid w:val="1C4FBC32"/>
    <w:rsid w:val="1C515FA1"/>
    <w:rsid w:val="1C51CFA8"/>
    <w:rsid w:val="1C547923"/>
    <w:rsid w:val="1C5532D4"/>
    <w:rsid w:val="1C57738C"/>
    <w:rsid w:val="1C582F77"/>
    <w:rsid w:val="1C5882E8"/>
    <w:rsid w:val="1C5A39BD"/>
    <w:rsid w:val="1C5FA9D9"/>
    <w:rsid w:val="1C6201AE"/>
    <w:rsid w:val="1C67723A"/>
    <w:rsid w:val="1C6845C9"/>
    <w:rsid w:val="1C715EB9"/>
    <w:rsid w:val="1C786225"/>
    <w:rsid w:val="1C798097"/>
    <w:rsid w:val="1C7BEE87"/>
    <w:rsid w:val="1C849880"/>
    <w:rsid w:val="1C8552FE"/>
    <w:rsid w:val="1C899D4E"/>
    <w:rsid w:val="1C8A3F99"/>
    <w:rsid w:val="1C901C98"/>
    <w:rsid w:val="1C943D4F"/>
    <w:rsid w:val="1C9742FF"/>
    <w:rsid w:val="1C9DE9E2"/>
    <w:rsid w:val="1C9F6B7E"/>
    <w:rsid w:val="1C9F6F1B"/>
    <w:rsid w:val="1CA0A4DE"/>
    <w:rsid w:val="1CA10451"/>
    <w:rsid w:val="1CA3D735"/>
    <w:rsid w:val="1CA4E280"/>
    <w:rsid w:val="1CA7DA31"/>
    <w:rsid w:val="1CA7E8E0"/>
    <w:rsid w:val="1CAA1CA4"/>
    <w:rsid w:val="1CB37A58"/>
    <w:rsid w:val="1CB612D4"/>
    <w:rsid w:val="1CB666D7"/>
    <w:rsid w:val="1CB67B3F"/>
    <w:rsid w:val="1CB71DA8"/>
    <w:rsid w:val="1CBAC3B8"/>
    <w:rsid w:val="1CC26B25"/>
    <w:rsid w:val="1CC4F70B"/>
    <w:rsid w:val="1CC558C0"/>
    <w:rsid w:val="1CCA5A77"/>
    <w:rsid w:val="1CCBD064"/>
    <w:rsid w:val="1CD33493"/>
    <w:rsid w:val="1CD6653F"/>
    <w:rsid w:val="1CDB96F2"/>
    <w:rsid w:val="1CDBA840"/>
    <w:rsid w:val="1CDBEE6A"/>
    <w:rsid w:val="1CDBF1D5"/>
    <w:rsid w:val="1CE58094"/>
    <w:rsid w:val="1CE5C416"/>
    <w:rsid w:val="1CEB0EC9"/>
    <w:rsid w:val="1CEBD19E"/>
    <w:rsid w:val="1CF0EF56"/>
    <w:rsid w:val="1CF393DB"/>
    <w:rsid w:val="1CF49C5F"/>
    <w:rsid w:val="1CF7FC54"/>
    <w:rsid w:val="1CF8C996"/>
    <w:rsid w:val="1CF98E13"/>
    <w:rsid w:val="1CFBC551"/>
    <w:rsid w:val="1D012726"/>
    <w:rsid w:val="1D02F6E8"/>
    <w:rsid w:val="1D0E13DC"/>
    <w:rsid w:val="1D0EFD09"/>
    <w:rsid w:val="1D176E64"/>
    <w:rsid w:val="1D1DC93E"/>
    <w:rsid w:val="1D28FB6B"/>
    <w:rsid w:val="1D2C786F"/>
    <w:rsid w:val="1D2DF9C5"/>
    <w:rsid w:val="1D36E0A1"/>
    <w:rsid w:val="1D3CD396"/>
    <w:rsid w:val="1D405B8E"/>
    <w:rsid w:val="1D489C2B"/>
    <w:rsid w:val="1D48BB2D"/>
    <w:rsid w:val="1D4B9F03"/>
    <w:rsid w:val="1D4C71A1"/>
    <w:rsid w:val="1D4DD48F"/>
    <w:rsid w:val="1D51C37A"/>
    <w:rsid w:val="1D542250"/>
    <w:rsid w:val="1D55582E"/>
    <w:rsid w:val="1D5A1146"/>
    <w:rsid w:val="1D5EA255"/>
    <w:rsid w:val="1D5EC062"/>
    <w:rsid w:val="1D605BFB"/>
    <w:rsid w:val="1D60AE22"/>
    <w:rsid w:val="1D61B3B0"/>
    <w:rsid w:val="1D61BE42"/>
    <w:rsid w:val="1D6406DD"/>
    <w:rsid w:val="1D653073"/>
    <w:rsid w:val="1D660CA2"/>
    <w:rsid w:val="1D6E549E"/>
    <w:rsid w:val="1D738133"/>
    <w:rsid w:val="1D74553E"/>
    <w:rsid w:val="1D750F8E"/>
    <w:rsid w:val="1D76655B"/>
    <w:rsid w:val="1D7EAF1D"/>
    <w:rsid w:val="1D8020A5"/>
    <w:rsid w:val="1D8145C1"/>
    <w:rsid w:val="1D861291"/>
    <w:rsid w:val="1D866033"/>
    <w:rsid w:val="1D88B1EC"/>
    <w:rsid w:val="1D8F8D8A"/>
    <w:rsid w:val="1D8F98BE"/>
    <w:rsid w:val="1D90B268"/>
    <w:rsid w:val="1D90FE5C"/>
    <w:rsid w:val="1D910275"/>
    <w:rsid w:val="1D963136"/>
    <w:rsid w:val="1D963922"/>
    <w:rsid w:val="1D96E7B2"/>
    <w:rsid w:val="1D98D3CA"/>
    <w:rsid w:val="1D99F71E"/>
    <w:rsid w:val="1D9D688A"/>
    <w:rsid w:val="1D9EF55F"/>
    <w:rsid w:val="1DA91A75"/>
    <w:rsid w:val="1DABCDE8"/>
    <w:rsid w:val="1DB314B9"/>
    <w:rsid w:val="1DB44417"/>
    <w:rsid w:val="1DB47249"/>
    <w:rsid w:val="1DB50A67"/>
    <w:rsid w:val="1DB75B40"/>
    <w:rsid w:val="1DBCDCED"/>
    <w:rsid w:val="1DC2B247"/>
    <w:rsid w:val="1DC2C6AA"/>
    <w:rsid w:val="1DC9671B"/>
    <w:rsid w:val="1DCC3D16"/>
    <w:rsid w:val="1DCDDF10"/>
    <w:rsid w:val="1DCF2EF8"/>
    <w:rsid w:val="1DD3524F"/>
    <w:rsid w:val="1DD97D8C"/>
    <w:rsid w:val="1DD9E121"/>
    <w:rsid w:val="1DDD9076"/>
    <w:rsid w:val="1DE4F308"/>
    <w:rsid w:val="1DE5BC38"/>
    <w:rsid w:val="1DE69765"/>
    <w:rsid w:val="1DE7890C"/>
    <w:rsid w:val="1DEAC1DD"/>
    <w:rsid w:val="1DEB1FB8"/>
    <w:rsid w:val="1DF524AA"/>
    <w:rsid w:val="1DF5606C"/>
    <w:rsid w:val="1DF88B60"/>
    <w:rsid w:val="1DFA6E6B"/>
    <w:rsid w:val="1DFBDDDA"/>
    <w:rsid w:val="1DFD7B43"/>
    <w:rsid w:val="1E00852C"/>
    <w:rsid w:val="1E0CC76C"/>
    <w:rsid w:val="1E0CCA1D"/>
    <w:rsid w:val="1E0E2B7F"/>
    <w:rsid w:val="1E14B042"/>
    <w:rsid w:val="1E1E0FA9"/>
    <w:rsid w:val="1E1F70C1"/>
    <w:rsid w:val="1E2C70D5"/>
    <w:rsid w:val="1E2CFDF4"/>
    <w:rsid w:val="1E2E6DA1"/>
    <w:rsid w:val="1E347883"/>
    <w:rsid w:val="1E34D96C"/>
    <w:rsid w:val="1E3A24D8"/>
    <w:rsid w:val="1E3C2067"/>
    <w:rsid w:val="1E3C26BA"/>
    <w:rsid w:val="1E3E36E1"/>
    <w:rsid w:val="1E4231DD"/>
    <w:rsid w:val="1E465633"/>
    <w:rsid w:val="1E47982A"/>
    <w:rsid w:val="1E47BE8F"/>
    <w:rsid w:val="1E4852FA"/>
    <w:rsid w:val="1E48F962"/>
    <w:rsid w:val="1E491288"/>
    <w:rsid w:val="1E4A7E96"/>
    <w:rsid w:val="1E4EA605"/>
    <w:rsid w:val="1E4F621B"/>
    <w:rsid w:val="1E56E0FA"/>
    <w:rsid w:val="1E58539C"/>
    <w:rsid w:val="1E5D5F44"/>
    <w:rsid w:val="1E5D63FE"/>
    <w:rsid w:val="1E612A3A"/>
    <w:rsid w:val="1E639FC5"/>
    <w:rsid w:val="1E63F37E"/>
    <w:rsid w:val="1E6683F4"/>
    <w:rsid w:val="1E671392"/>
    <w:rsid w:val="1E68775B"/>
    <w:rsid w:val="1E688A4D"/>
    <w:rsid w:val="1E6A7F61"/>
    <w:rsid w:val="1E6AB1DC"/>
    <w:rsid w:val="1E6F96DC"/>
    <w:rsid w:val="1E7AAE3C"/>
    <w:rsid w:val="1E7E8072"/>
    <w:rsid w:val="1E86948E"/>
    <w:rsid w:val="1E89B7ED"/>
    <w:rsid w:val="1E8CC32E"/>
    <w:rsid w:val="1E919E0B"/>
    <w:rsid w:val="1E928106"/>
    <w:rsid w:val="1E9CACC0"/>
    <w:rsid w:val="1EA5A214"/>
    <w:rsid w:val="1EA5B2C5"/>
    <w:rsid w:val="1EA7B62C"/>
    <w:rsid w:val="1EA7BCED"/>
    <w:rsid w:val="1EAA320A"/>
    <w:rsid w:val="1EABDD8D"/>
    <w:rsid w:val="1EB2FED4"/>
    <w:rsid w:val="1EB62B44"/>
    <w:rsid w:val="1EB994C4"/>
    <w:rsid w:val="1EBD24B5"/>
    <w:rsid w:val="1EC09E3C"/>
    <w:rsid w:val="1EC36B8C"/>
    <w:rsid w:val="1EC3F5C7"/>
    <w:rsid w:val="1ECAE5D1"/>
    <w:rsid w:val="1ED264BD"/>
    <w:rsid w:val="1ED62730"/>
    <w:rsid w:val="1ED76117"/>
    <w:rsid w:val="1EE1DDCF"/>
    <w:rsid w:val="1EE2B27C"/>
    <w:rsid w:val="1EE6CFDF"/>
    <w:rsid w:val="1EE85DDD"/>
    <w:rsid w:val="1EEAC7B2"/>
    <w:rsid w:val="1EECB87F"/>
    <w:rsid w:val="1EED334E"/>
    <w:rsid w:val="1EF15FB2"/>
    <w:rsid w:val="1EF46DAF"/>
    <w:rsid w:val="1EF82B1C"/>
    <w:rsid w:val="1EF94EBC"/>
    <w:rsid w:val="1EFCDC39"/>
    <w:rsid w:val="1F011A14"/>
    <w:rsid w:val="1F047066"/>
    <w:rsid w:val="1F0B6852"/>
    <w:rsid w:val="1F0C57F0"/>
    <w:rsid w:val="1F0E64B2"/>
    <w:rsid w:val="1F16D7EE"/>
    <w:rsid w:val="1F190194"/>
    <w:rsid w:val="1F1A3023"/>
    <w:rsid w:val="1F1A7B0E"/>
    <w:rsid w:val="1F1ADA59"/>
    <w:rsid w:val="1F1D5432"/>
    <w:rsid w:val="1F248303"/>
    <w:rsid w:val="1F2537BD"/>
    <w:rsid w:val="1F267F3C"/>
    <w:rsid w:val="1F27D351"/>
    <w:rsid w:val="1F28DB01"/>
    <w:rsid w:val="1F2F30CB"/>
    <w:rsid w:val="1F2F5829"/>
    <w:rsid w:val="1F30FD10"/>
    <w:rsid w:val="1F3159B1"/>
    <w:rsid w:val="1F368487"/>
    <w:rsid w:val="1F36D740"/>
    <w:rsid w:val="1F390150"/>
    <w:rsid w:val="1F3981B7"/>
    <w:rsid w:val="1F3A4CF0"/>
    <w:rsid w:val="1F3BC3CB"/>
    <w:rsid w:val="1F3D33B3"/>
    <w:rsid w:val="1F459FBD"/>
    <w:rsid w:val="1F45F7B2"/>
    <w:rsid w:val="1F45FE2E"/>
    <w:rsid w:val="1F479D16"/>
    <w:rsid w:val="1F4A7DD7"/>
    <w:rsid w:val="1F4ED4CD"/>
    <w:rsid w:val="1F556108"/>
    <w:rsid w:val="1F5A043A"/>
    <w:rsid w:val="1F63F70A"/>
    <w:rsid w:val="1F66F995"/>
    <w:rsid w:val="1F6ACC4E"/>
    <w:rsid w:val="1F6B91EF"/>
    <w:rsid w:val="1F6DA7A8"/>
    <w:rsid w:val="1F730D00"/>
    <w:rsid w:val="1F77ED4E"/>
    <w:rsid w:val="1F7A1ECA"/>
    <w:rsid w:val="1F7D013F"/>
    <w:rsid w:val="1F7FFA9E"/>
    <w:rsid w:val="1F815CB3"/>
    <w:rsid w:val="1F8443D7"/>
    <w:rsid w:val="1F86D1E7"/>
    <w:rsid w:val="1F87C0B7"/>
    <w:rsid w:val="1F896930"/>
    <w:rsid w:val="1F89CE21"/>
    <w:rsid w:val="1F8C089E"/>
    <w:rsid w:val="1F8EE4A4"/>
    <w:rsid w:val="1F9513D2"/>
    <w:rsid w:val="1F9AA4FA"/>
    <w:rsid w:val="1FA2EE50"/>
    <w:rsid w:val="1FA6B2E9"/>
    <w:rsid w:val="1FA9940F"/>
    <w:rsid w:val="1FA9B4FF"/>
    <w:rsid w:val="1FADA6F5"/>
    <w:rsid w:val="1FB69C49"/>
    <w:rsid w:val="1FB93464"/>
    <w:rsid w:val="1FB977F3"/>
    <w:rsid w:val="1FC19749"/>
    <w:rsid w:val="1FC2011E"/>
    <w:rsid w:val="1FC3066F"/>
    <w:rsid w:val="1FC8CBB4"/>
    <w:rsid w:val="1FCD4A0C"/>
    <w:rsid w:val="1FD423CF"/>
    <w:rsid w:val="1FD50C9A"/>
    <w:rsid w:val="1FD92054"/>
    <w:rsid w:val="1FDA0985"/>
    <w:rsid w:val="1FDAB474"/>
    <w:rsid w:val="1FDB40B2"/>
    <w:rsid w:val="1FDF85A6"/>
    <w:rsid w:val="1FE5E929"/>
    <w:rsid w:val="1FE7D0CA"/>
    <w:rsid w:val="1FEB966F"/>
    <w:rsid w:val="1FEDCC71"/>
    <w:rsid w:val="1FEF8ACE"/>
    <w:rsid w:val="1FF00EC5"/>
    <w:rsid w:val="1FF1FD94"/>
    <w:rsid w:val="1FF2D33A"/>
    <w:rsid w:val="1FF381B6"/>
    <w:rsid w:val="1FF45192"/>
    <w:rsid w:val="1FF9ED62"/>
    <w:rsid w:val="1FF9FA4E"/>
    <w:rsid w:val="1FFC45C5"/>
    <w:rsid w:val="1FFC4B1B"/>
    <w:rsid w:val="1FFE1CA4"/>
    <w:rsid w:val="1FFF0921"/>
    <w:rsid w:val="1FFF93D7"/>
    <w:rsid w:val="20001318"/>
    <w:rsid w:val="2000177C"/>
    <w:rsid w:val="20018F92"/>
    <w:rsid w:val="200318A4"/>
    <w:rsid w:val="200E10B2"/>
    <w:rsid w:val="2014E124"/>
    <w:rsid w:val="20174321"/>
    <w:rsid w:val="20178B22"/>
    <w:rsid w:val="2019F51A"/>
    <w:rsid w:val="201A9322"/>
    <w:rsid w:val="2021DEAB"/>
    <w:rsid w:val="20240B36"/>
    <w:rsid w:val="2024F885"/>
    <w:rsid w:val="2026A153"/>
    <w:rsid w:val="202D9F23"/>
    <w:rsid w:val="202FCA6A"/>
    <w:rsid w:val="2035FFCB"/>
    <w:rsid w:val="203D6515"/>
    <w:rsid w:val="203E9AFE"/>
    <w:rsid w:val="203F7CEC"/>
    <w:rsid w:val="204261C3"/>
    <w:rsid w:val="20460566"/>
    <w:rsid w:val="20485229"/>
    <w:rsid w:val="204D12F8"/>
    <w:rsid w:val="204DE6AF"/>
    <w:rsid w:val="204EC73F"/>
    <w:rsid w:val="204ED702"/>
    <w:rsid w:val="205B2868"/>
    <w:rsid w:val="205EE55D"/>
    <w:rsid w:val="206257B1"/>
    <w:rsid w:val="20641775"/>
    <w:rsid w:val="20683783"/>
    <w:rsid w:val="206C3C23"/>
    <w:rsid w:val="206C5296"/>
    <w:rsid w:val="206EAF40"/>
    <w:rsid w:val="20746909"/>
    <w:rsid w:val="2075BD1B"/>
    <w:rsid w:val="2075E603"/>
    <w:rsid w:val="207ADB1C"/>
    <w:rsid w:val="207B66BE"/>
    <w:rsid w:val="208329C6"/>
    <w:rsid w:val="208B9C8F"/>
    <w:rsid w:val="208C1BE8"/>
    <w:rsid w:val="208DEAE6"/>
    <w:rsid w:val="209050DB"/>
    <w:rsid w:val="2098F3EE"/>
    <w:rsid w:val="209C1756"/>
    <w:rsid w:val="209EAD73"/>
    <w:rsid w:val="20A7AF01"/>
    <w:rsid w:val="20AB35DD"/>
    <w:rsid w:val="20B6136F"/>
    <w:rsid w:val="20B630DE"/>
    <w:rsid w:val="20B6AABA"/>
    <w:rsid w:val="20B71241"/>
    <w:rsid w:val="20C10A9F"/>
    <w:rsid w:val="20C159CC"/>
    <w:rsid w:val="20C59CA0"/>
    <w:rsid w:val="20C7B7D5"/>
    <w:rsid w:val="20CC0F6D"/>
    <w:rsid w:val="20CF619E"/>
    <w:rsid w:val="20CFD147"/>
    <w:rsid w:val="20D05F3F"/>
    <w:rsid w:val="20D0D790"/>
    <w:rsid w:val="20D2E3E8"/>
    <w:rsid w:val="20D2F104"/>
    <w:rsid w:val="20D3C2D9"/>
    <w:rsid w:val="20D77B09"/>
    <w:rsid w:val="20D7F61B"/>
    <w:rsid w:val="20D9B165"/>
    <w:rsid w:val="20DC5743"/>
    <w:rsid w:val="20DCB96E"/>
    <w:rsid w:val="20E0C538"/>
    <w:rsid w:val="20E1C977"/>
    <w:rsid w:val="20E71381"/>
    <w:rsid w:val="20E7C03C"/>
    <w:rsid w:val="20EF3F33"/>
    <w:rsid w:val="20F0B8C0"/>
    <w:rsid w:val="20F0FCFB"/>
    <w:rsid w:val="20F19379"/>
    <w:rsid w:val="20F19CB4"/>
    <w:rsid w:val="20F65314"/>
    <w:rsid w:val="20F6C971"/>
    <w:rsid w:val="20FDF4EC"/>
    <w:rsid w:val="20FE6149"/>
    <w:rsid w:val="20FEC7DE"/>
    <w:rsid w:val="21031E4B"/>
    <w:rsid w:val="21056DAA"/>
    <w:rsid w:val="21060E2B"/>
    <w:rsid w:val="210992B7"/>
    <w:rsid w:val="210A374F"/>
    <w:rsid w:val="210A7806"/>
    <w:rsid w:val="210AB58B"/>
    <w:rsid w:val="210B96A5"/>
    <w:rsid w:val="210BBCFD"/>
    <w:rsid w:val="210C5801"/>
    <w:rsid w:val="210D529F"/>
    <w:rsid w:val="210E4B08"/>
    <w:rsid w:val="211364FE"/>
    <w:rsid w:val="2117F57E"/>
    <w:rsid w:val="211C6653"/>
    <w:rsid w:val="211FA0A5"/>
    <w:rsid w:val="2121566E"/>
    <w:rsid w:val="2125B7CC"/>
    <w:rsid w:val="2129F5C8"/>
    <w:rsid w:val="212AEAEE"/>
    <w:rsid w:val="212D195E"/>
    <w:rsid w:val="212D9DEF"/>
    <w:rsid w:val="212E88B1"/>
    <w:rsid w:val="212F4753"/>
    <w:rsid w:val="21332A07"/>
    <w:rsid w:val="213485A8"/>
    <w:rsid w:val="2134FE71"/>
    <w:rsid w:val="213A3874"/>
    <w:rsid w:val="213B5163"/>
    <w:rsid w:val="213B6A2F"/>
    <w:rsid w:val="213E3222"/>
    <w:rsid w:val="214D2950"/>
    <w:rsid w:val="214FD493"/>
    <w:rsid w:val="21592E0A"/>
    <w:rsid w:val="215B10A3"/>
    <w:rsid w:val="215C5F0D"/>
    <w:rsid w:val="21620E16"/>
    <w:rsid w:val="21627146"/>
    <w:rsid w:val="21632DF8"/>
    <w:rsid w:val="2165ADC0"/>
    <w:rsid w:val="216EF2AB"/>
    <w:rsid w:val="216FE782"/>
    <w:rsid w:val="217054EF"/>
    <w:rsid w:val="2170B4B2"/>
    <w:rsid w:val="217145A0"/>
    <w:rsid w:val="217221DD"/>
    <w:rsid w:val="217681E8"/>
    <w:rsid w:val="217C520B"/>
    <w:rsid w:val="217D1D5C"/>
    <w:rsid w:val="218078F5"/>
    <w:rsid w:val="21808736"/>
    <w:rsid w:val="218C472D"/>
    <w:rsid w:val="218C6666"/>
    <w:rsid w:val="218D1147"/>
    <w:rsid w:val="218F0C82"/>
    <w:rsid w:val="2190B410"/>
    <w:rsid w:val="2195EE94"/>
    <w:rsid w:val="219788B4"/>
    <w:rsid w:val="219F3F63"/>
    <w:rsid w:val="21A318E5"/>
    <w:rsid w:val="21A46F1F"/>
    <w:rsid w:val="21A7CE8D"/>
    <w:rsid w:val="21A9DC6D"/>
    <w:rsid w:val="21AA69D0"/>
    <w:rsid w:val="21AD36DF"/>
    <w:rsid w:val="21B090F7"/>
    <w:rsid w:val="21B0DF54"/>
    <w:rsid w:val="21B0E38D"/>
    <w:rsid w:val="21B153AE"/>
    <w:rsid w:val="21B592DF"/>
    <w:rsid w:val="21B699A2"/>
    <w:rsid w:val="21BBA2E6"/>
    <w:rsid w:val="21C1E17B"/>
    <w:rsid w:val="21C25086"/>
    <w:rsid w:val="21C7ABD5"/>
    <w:rsid w:val="21C84C7E"/>
    <w:rsid w:val="21D8487C"/>
    <w:rsid w:val="21D900C8"/>
    <w:rsid w:val="21D920DB"/>
    <w:rsid w:val="21DDBE02"/>
    <w:rsid w:val="21E0521A"/>
    <w:rsid w:val="21E1FF23"/>
    <w:rsid w:val="21E61FC8"/>
    <w:rsid w:val="21E99440"/>
    <w:rsid w:val="21EBC1E7"/>
    <w:rsid w:val="21ED4B35"/>
    <w:rsid w:val="21EDE5E9"/>
    <w:rsid w:val="21EF9B15"/>
    <w:rsid w:val="21F48353"/>
    <w:rsid w:val="21F4E303"/>
    <w:rsid w:val="21F6B4D6"/>
    <w:rsid w:val="21F6C2E5"/>
    <w:rsid w:val="21F95B87"/>
    <w:rsid w:val="21FB2543"/>
    <w:rsid w:val="2205E6F0"/>
    <w:rsid w:val="220C2B73"/>
    <w:rsid w:val="220DCC73"/>
    <w:rsid w:val="220ED06F"/>
    <w:rsid w:val="220FE86E"/>
    <w:rsid w:val="2213B6D8"/>
    <w:rsid w:val="22185A9F"/>
    <w:rsid w:val="221E02D3"/>
    <w:rsid w:val="221E14F8"/>
    <w:rsid w:val="221EC3A6"/>
    <w:rsid w:val="222095F8"/>
    <w:rsid w:val="22238A55"/>
    <w:rsid w:val="2223AF1B"/>
    <w:rsid w:val="2224D28D"/>
    <w:rsid w:val="2230B445"/>
    <w:rsid w:val="2230EF7E"/>
    <w:rsid w:val="2233B4D0"/>
    <w:rsid w:val="223917DB"/>
    <w:rsid w:val="223A340C"/>
    <w:rsid w:val="223D27AC"/>
    <w:rsid w:val="223E0B0C"/>
    <w:rsid w:val="223FD5ED"/>
    <w:rsid w:val="2240ACB6"/>
    <w:rsid w:val="224A17DB"/>
    <w:rsid w:val="224B0AE6"/>
    <w:rsid w:val="225177DF"/>
    <w:rsid w:val="22546448"/>
    <w:rsid w:val="225B09FC"/>
    <w:rsid w:val="225B550F"/>
    <w:rsid w:val="225B8EA9"/>
    <w:rsid w:val="22643E6D"/>
    <w:rsid w:val="2265ABD6"/>
    <w:rsid w:val="226B101D"/>
    <w:rsid w:val="22736BDA"/>
    <w:rsid w:val="22799CB2"/>
    <w:rsid w:val="227C4A2B"/>
    <w:rsid w:val="227CDF8E"/>
    <w:rsid w:val="228AD3B0"/>
    <w:rsid w:val="2290E18C"/>
    <w:rsid w:val="22959B6C"/>
    <w:rsid w:val="22A21A72"/>
    <w:rsid w:val="22A419D6"/>
    <w:rsid w:val="22A93AC0"/>
    <w:rsid w:val="22ADBADE"/>
    <w:rsid w:val="22B038E9"/>
    <w:rsid w:val="22B0E825"/>
    <w:rsid w:val="22B285D9"/>
    <w:rsid w:val="22B33D5F"/>
    <w:rsid w:val="22B89A54"/>
    <w:rsid w:val="22BDB225"/>
    <w:rsid w:val="22C24F15"/>
    <w:rsid w:val="22C42048"/>
    <w:rsid w:val="22C9255C"/>
    <w:rsid w:val="22C93B29"/>
    <w:rsid w:val="22CB13BE"/>
    <w:rsid w:val="22D168A6"/>
    <w:rsid w:val="22D3D2CF"/>
    <w:rsid w:val="22D4C753"/>
    <w:rsid w:val="22D8B5D8"/>
    <w:rsid w:val="22DB1A94"/>
    <w:rsid w:val="22DC6FF0"/>
    <w:rsid w:val="22E33E89"/>
    <w:rsid w:val="22E491BA"/>
    <w:rsid w:val="22E862FF"/>
    <w:rsid w:val="22EC2492"/>
    <w:rsid w:val="22EC511B"/>
    <w:rsid w:val="22EC8932"/>
    <w:rsid w:val="22EF8648"/>
    <w:rsid w:val="22EFC392"/>
    <w:rsid w:val="22F3AB80"/>
    <w:rsid w:val="22F8D3EC"/>
    <w:rsid w:val="22FAA594"/>
    <w:rsid w:val="22FBA195"/>
    <w:rsid w:val="22FC268E"/>
    <w:rsid w:val="2300C2EA"/>
    <w:rsid w:val="230871CD"/>
    <w:rsid w:val="230D3634"/>
    <w:rsid w:val="230EAD6B"/>
    <w:rsid w:val="231198EC"/>
    <w:rsid w:val="23121FB4"/>
    <w:rsid w:val="2312A2E6"/>
    <w:rsid w:val="2312E759"/>
    <w:rsid w:val="23141C8E"/>
    <w:rsid w:val="2314D497"/>
    <w:rsid w:val="23184473"/>
    <w:rsid w:val="23197F9E"/>
    <w:rsid w:val="231AB8B0"/>
    <w:rsid w:val="231B5007"/>
    <w:rsid w:val="231C788A"/>
    <w:rsid w:val="231D4FB0"/>
    <w:rsid w:val="231E82BC"/>
    <w:rsid w:val="232251D8"/>
    <w:rsid w:val="23232C16"/>
    <w:rsid w:val="232D0DA1"/>
    <w:rsid w:val="232E5CE4"/>
    <w:rsid w:val="23305907"/>
    <w:rsid w:val="2333923C"/>
    <w:rsid w:val="2335ED48"/>
    <w:rsid w:val="233E9769"/>
    <w:rsid w:val="23464162"/>
    <w:rsid w:val="2349A0E8"/>
    <w:rsid w:val="234D2D39"/>
    <w:rsid w:val="234E8CA0"/>
    <w:rsid w:val="2351A95A"/>
    <w:rsid w:val="2355755A"/>
    <w:rsid w:val="2357DFCE"/>
    <w:rsid w:val="2359B7C0"/>
    <w:rsid w:val="235A62BE"/>
    <w:rsid w:val="235CAC48"/>
    <w:rsid w:val="235CDA48"/>
    <w:rsid w:val="235EBACA"/>
    <w:rsid w:val="235FD28F"/>
    <w:rsid w:val="236019D4"/>
    <w:rsid w:val="2364CADF"/>
    <w:rsid w:val="23656024"/>
    <w:rsid w:val="236FE7A8"/>
    <w:rsid w:val="23799414"/>
    <w:rsid w:val="237C3A92"/>
    <w:rsid w:val="23852772"/>
    <w:rsid w:val="2387156E"/>
    <w:rsid w:val="238803F7"/>
    <w:rsid w:val="2388AF1C"/>
    <w:rsid w:val="2389FC53"/>
    <w:rsid w:val="238B309F"/>
    <w:rsid w:val="238BC58B"/>
    <w:rsid w:val="238DE039"/>
    <w:rsid w:val="238DEE56"/>
    <w:rsid w:val="238EA2E6"/>
    <w:rsid w:val="23901EB1"/>
    <w:rsid w:val="239465A8"/>
    <w:rsid w:val="2396D68B"/>
    <w:rsid w:val="23996DE0"/>
    <w:rsid w:val="23AF65BF"/>
    <w:rsid w:val="23B2EF68"/>
    <w:rsid w:val="23B2FB64"/>
    <w:rsid w:val="23B80607"/>
    <w:rsid w:val="23B8714D"/>
    <w:rsid w:val="23BFF7F9"/>
    <w:rsid w:val="23C2AC3E"/>
    <w:rsid w:val="23C3CC28"/>
    <w:rsid w:val="23CAC287"/>
    <w:rsid w:val="23CD8024"/>
    <w:rsid w:val="23D217E2"/>
    <w:rsid w:val="23D41934"/>
    <w:rsid w:val="23D8ACBA"/>
    <w:rsid w:val="23D9E126"/>
    <w:rsid w:val="23DCFA9D"/>
    <w:rsid w:val="23DDFAB6"/>
    <w:rsid w:val="23DE4558"/>
    <w:rsid w:val="23E13C33"/>
    <w:rsid w:val="23E2BB57"/>
    <w:rsid w:val="23E7E4EC"/>
    <w:rsid w:val="23EB93E8"/>
    <w:rsid w:val="23ED28A0"/>
    <w:rsid w:val="23EFA566"/>
    <w:rsid w:val="23F097EA"/>
    <w:rsid w:val="23F140A5"/>
    <w:rsid w:val="23F3217F"/>
    <w:rsid w:val="23F3A640"/>
    <w:rsid w:val="23F68FFE"/>
    <w:rsid w:val="23FD28CF"/>
    <w:rsid w:val="23FD5FCD"/>
    <w:rsid w:val="23FF49E8"/>
    <w:rsid w:val="2400D44F"/>
    <w:rsid w:val="240223CB"/>
    <w:rsid w:val="24026B75"/>
    <w:rsid w:val="240276CA"/>
    <w:rsid w:val="2403241D"/>
    <w:rsid w:val="2403B67B"/>
    <w:rsid w:val="24069737"/>
    <w:rsid w:val="2407C228"/>
    <w:rsid w:val="2413A4A1"/>
    <w:rsid w:val="24172C8F"/>
    <w:rsid w:val="24195D8D"/>
    <w:rsid w:val="241B4AD5"/>
    <w:rsid w:val="241C7ACD"/>
    <w:rsid w:val="241FD0F2"/>
    <w:rsid w:val="24210921"/>
    <w:rsid w:val="242747F0"/>
    <w:rsid w:val="242F4A5A"/>
    <w:rsid w:val="242FCD51"/>
    <w:rsid w:val="24312739"/>
    <w:rsid w:val="24312997"/>
    <w:rsid w:val="24312CD2"/>
    <w:rsid w:val="2432F9B5"/>
    <w:rsid w:val="243313B4"/>
    <w:rsid w:val="243318B9"/>
    <w:rsid w:val="243A6E89"/>
    <w:rsid w:val="24401E9B"/>
    <w:rsid w:val="2443864F"/>
    <w:rsid w:val="2443E072"/>
    <w:rsid w:val="24449290"/>
    <w:rsid w:val="244699E3"/>
    <w:rsid w:val="2446F03C"/>
    <w:rsid w:val="2447DB7B"/>
    <w:rsid w:val="244E6142"/>
    <w:rsid w:val="24503B34"/>
    <w:rsid w:val="2457ED66"/>
    <w:rsid w:val="245B0FAC"/>
    <w:rsid w:val="2461DED5"/>
    <w:rsid w:val="24639D86"/>
    <w:rsid w:val="24642010"/>
    <w:rsid w:val="24643057"/>
    <w:rsid w:val="24680808"/>
    <w:rsid w:val="2469563F"/>
    <w:rsid w:val="246C2877"/>
    <w:rsid w:val="24709861"/>
    <w:rsid w:val="2476E0BE"/>
    <w:rsid w:val="2478C2AC"/>
    <w:rsid w:val="247B4C5F"/>
    <w:rsid w:val="247B4EC0"/>
    <w:rsid w:val="247CE469"/>
    <w:rsid w:val="247E2C05"/>
    <w:rsid w:val="247F2B0E"/>
    <w:rsid w:val="247F7C3F"/>
    <w:rsid w:val="248460B3"/>
    <w:rsid w:val="2485EEED"/>
    <w:rsid w:val="2487BB98"/>
    <w:rsid w:val="2489B3C9"/>
    <w:rsid w:val="248C3603"/>
    <w:rsid w:val="248E014E"/>
    <w:rsid w:val="248EC0D0"/>
    <w:rsid w:val="249264E8"/>
    <w:rsid w:val="24932D51"/>
    <w:rsid w:val="24969498"/>
    <w:rsid w:val="2496DA7D"/>
    <w:rsid w:val="2497AB57"/>
    <w:rsid w:val="249E9505"/>
    <w:rsid w:val="24A1BEB7"/>
    <w:rsid w:val="24A885B8"/>
    <w:rsid w:val="24A8FA7F"/>
    <w:rsid w:val="24B384C7"/>
    <w:rsid w:val="24B736A1"/>
    <w:rsid w:val="24B75161"/>
    <w:rsid w:val="24BED81F"/>
    <w:rsid w:val="24C2BF50"/>
    <w:rsid w:val="24C4CD94"/>
    <w:rsid w:val="24C8CF07"/>
    <w:rsid w:val="24CDE6DA"/>
    <w:rsid w:val="24D1944F"/>
    <w:rsid w:val="24D1F6D7"/>
    <w:rsid w:val="24D8DD35"/>
    <w:rsid w:val="24DB37D6"/>
    <w:rsid w:val="24DC0FE1"/>
    <w:rsid w:val="24DF610B"/>
    <w:rsid w:val="24E5F9D6"/>
    <w:rsid w:val="24E72A6F"/>
    <w:rsid w:val="24E948E4"/>
    <w:rsid w:val="24EBA2A1"/>
    <w:rsid w:val="24EC42DC"/>
    <w:rsid w:val="24EC4B13"/>
    <w:rsid w:val="24EEFE06"/>
    <w:rsid w:val="24F0965C"/>
    <w:rsid w:val="24F1E540"/>
    <w:rsid w:val="24F4CFDF"/>
    <w:rsid w:val="24F530F8"/>
    <w:rsid w:val="24F6DBF4"/>
    <w:rsid w:val="24F9D112"/>
    <w:rsid w:val="24FE5F7C"/>
    <w:rsid w:val="25041429"/>
    <w:rsid w:val="2504F7EF"/>
    <w:rsid w:val="250883E0"/>
    <w:rsid w:val="2510C19D"/>
    <w:rsid w:val="251287A6"/>
    <w:rsid w:val="2512F1FE"/>
    <w:rsid w:val="2514D825"/>
    <w:rsid w:val="251CDD69"/>
    <w:rsid w:val="251E7EA4"/>
    <w:rsid w:val="2523CD57"/>
    <w:rsid w:val="2529A177"/>
    <w:rsid w:val="252B596E"/>
    <w:rsid w:val="252BA462"/>
    <w:rsid w:val="252D9987"/>
    <w:rsid w:val="253610F0"/>
    <w:rsid w:val="2538EF81"/>
    <w:rsid w:val="253CAF84"/>
    <w:rsid w:val="254664AE"/>
    <w:rsid w:val="2547BF59"/>
    <w:rsid w:val="254D84B2"/>
    <w:rsid w:val="254E1B5A"/>
    <w:rsid w:val="25521525"/>
    <w:rsid w:val="2552F3B3"/>
    <w:rsid w:val="2552F78F"/>
    <w:rsid w:val="25566468"/>
    <w:rsid w:val="255847F0"/>
    <w:rsid w:val="2561BC21"/>
    <w:rsid w:val="25630845"/>
    <w:rsid w:val="25658EBE"/>
    <w:rsid w:val="25674308"/>
    <w:rsid w:val="256866AD"/>
    <w:rsid w:val="25691B8B"/>
    <w:rsid w:val="256E30F9"/>
    <w:rsid w:val="2571C5C0"/>
    <w:rsid w:val="2575E560"/>
    <w:rsid w:val="257849BB"/>
    <w:rsid w:val="2579B890"/>
    <w:rsid w:val="257B8556"/>
    <w:rsid w:val="257D3D57"/>
    <w:rsid w:val="2580C177"/>
    <w:rsid w:val="25898BDA"/>
    <w:rsid w:val="258D0B97"/>
    <w:rsid w:val="258D38CA"/>
    <w:rsid w:val="258DC69D"/>
    <w:rsid w:val="258E618A"/>
    <w:rsid w:val="258FE56E"/>
    <w:rsid w:val="259077CF"/>
    <w:rsid w:val="25914375"/>
    <w:rsid w:val="2591479B"/>
    <w:rsid w:val="2591D33B"/>
    <w:rsid w:val="25920AB6"/>
    <w:rsid w:val="25935E18"/>
    <w:rsid w:val="25948994"/>
    <w:rsid w:val="2595791B"/>
    <w:rsid w:val="2598CAD1"/>
    <w:rsid w:val="259A01D3"/>
    <w:rsid w:val="259A30E3"/>
    <w:rsid w:val="259B89BD"/>
    <w:rsid w:val="259D20E0"/>
    <w:rsid w:val="259F595E"/>
    <w:rsid w:val="259FA684"/>
    <w:rsid w:val="25A15444"/>
    <w:rsid w:val="25A2D3D5"/>
    <w:rsid w:val="25AA3AF9"/>
    <w:rsid w:val="25AB3377"/>
    <w:rsid w:val="25ABD31B"/>
    <w:rsid w:val="25B75839"/>
    <w:rsid w:val="25B7FE09"/>
    <w:rsid w:val="25BC357C"/>
    <w:rsid w:val="25BC4EE0"/>
    <w:rsid w:val="25C2A842"/>
    <w:rsid w:val="25C67E6D"/>
    <w:rsid w:val="25CA7EE4"/>
    <w:rsid w:val="25CAD2D9"/>
    <w:rsid w:val="25CD2CE7"/>
    <w:rsid w:val="25CE90BF"/>
    <w:rsid w:val="25D1D9FA"/>
    <w:rsid w:val="25DA7A00"/>
    <w:rsid w:val="25DAD565"/>
    <w:rsid w:val="25DCC43E"/>
    <w:rsid w:val="25DD24C8"/>
    <w:rsid w:val="25DECDD3"/>
    <w:rsid w:val="25DEE2E9"/>
    <w:rsid w:val="25E08014"/>
    <w:rsid w:val="25E236F1"/>
    <w:rsid w:val="25E42DD8"/>
    <w:rsid w:val="25E80C72"/>
    <w:rsid w:val="25E86FE0"/>
    <w:rsid w:val="25F5B350"/>
    <w:rsid w:val="25F77CFD"/>
    <w:rsid w:val="26030D43"/>
    <w:rsid w:val="26059949"/>
    <w:rsid w:val="26059976"/>
    <w:rsid w:val="2607A34F"/>
    <w:rsid w:val="260ACFAE"/>
    <w:rsid w:val="260BCFC9"/>
    <w:rsid w:val="260FBD42"/>
    <w:rsid w:val="2613A237"/>
    <w:rsid w:val="2614C8C8"/>
    <w:rsid w:val="261AADD5"/>
    <w:rsid w:val="261E1138"/>
    <w:rsid w:val="261F73F4"/>
    <w:rsid w:val="26203EB9"/>
    <w:rsid w:val="26253747"/>
    <w:rsid w:val="2635EA79"/>
    <w:rsid w:val="26383D13"/>
    <w:rsid w:val="263A09F2"/>
    <w:rsid w:val="26423A07"/>
    <w:rsid w:val="26430C5E"/>
    <w:rsid w:val="2647256C"/>
    <w:rsid w:val="264A943C"/>
    <w:rsid w:val="264FCFE8"/>
    <w:rsid w:val="26502A55"/>
    <w:rsid w:val="2650973A"/>
    <w:rsid w:val="26535F7C"/>
    <w:rsid w:val="2654FDAB"/>
    <w:rsid w:val="2655650F"/>
    <w:rsid w:val="26569F28"/>
    <w:rsid w:val="265726FB"/>
    <w:rsid w:val="265FCE65"/>
    <w:rsid w:val="26614CC7"/>
    <w:rsid w:val="266475DF"/>
    <w:rsid w:val="26658EEA"/>
    <w:rsid w:val="266613CB"/>
    <w:rsid w:val="266BD564"/>
    <w:rsid w:val="266C59AF"/>
    <w:rsid w:val="267625E9"/>
    <w:rsid w:val="26762BE5"/>
    <w:rsid w:val="26799A68"/>
    <w:rsid w:val="267ABE2A"/>
    <w:rsid w:val="267DF783"/>
    <w:rsid w:val="26867072"/>
    <w:rsid w:val="268F6189"/>
    <w:rsid w:val="2691B71F"/>
    <w:rsid w:val="2691E04B"/>
    <w:rsid w:val="2692084D"/>
    <w:rsid w:val="269369B8"/>
    <w:rsid w:val="269473B5"/>
    <w:rsid w:val="26954399"/>
    <w:rsid w:val="269ABFAF"/>
    <w:rsid w:val="269AD5EB"/>
    <w:rsid w:val="269C2CFE"/>
    <w:rsid w:val="269DA00A"/>
    <w:rsid w:val="26A16D02"/>
    <w:rsid w:val="26A4DDFA"/>
    <w:rsid w:val="26A8B67E"/>
    <w:rsid w:val="26AE1C5D"/>
    <w:rsid w:val="26B231BC"/>
    <w:rsid w:val="26B520D9"/>
    <w:rsid w:val="26BAC2A3"/>
    <w:rsid w:val="26BBB339"/>
    <w:rsid w:val="26BC981D"/>
    <w:rsid w:val="26BD0471"/>
    <w:rsid w:val="26BE3F61"/>
    <w:rsid w:val="26C10F84"/>
    <w:rsid w:val="26C4812A"/>
    <w:rsid w:val="26C52823"/>
    <w:rsid w:val="26CA7E66"/>
    <w:rsid w:val="26CCF4E3"/>
    <w:rsid w:val="26CFFF52"/>
    <w:rsid w:val="26D047AB"/>
    <w:rsid w:val="26D238C8"/>
    <w:rsid w:val="26D315A5"/>
    <w:rsid w:val="26D381C8"/>
    <w:rsid w:val="26DBD478"/>
    <w:rsid w:val="26E1E86F"/>
    <w:rsid w:val="26E4E01A"/>
    <w:rsid w:val="26E5E87A"/>
    <w:rsid w:val="26E963C2"/>
    <w:rsid w:val="26EB6726"/>
    <w:rsid w:val="26F09EFF"/>
    <w:rsid w:val="26F570D2"/>
    <w:rsid w:val="26F93912"/>
    <w:rsid w:val="26FAE1B8"/>
    <w:rsid w:val="27026374"/>
    <w:rsid w:val="270290AE"/>
    <w:rsid w:val="2702D55A"/>
    <w:rsid w:val="270460A1"/>
    <w:rsid w:val="270563DD"/>
    <w:rsid w:val="2709F276"/>
    <w:rsid w:val="270E832F"/>
    <w:rsid w:val="2710CBB0"/>
    <w:rsid w:val="2715BBCE"/>
    <w:rsid w:val="27165B12"/>
    <w:rsid w:val="271C09A4"/>
    <w:rsid w:val="271C0D6B"/>
    <w:rsid w:val="27255153"/>
    <w:rsid w:val="27260253"/>
    <w:rsid w:val="272C3AD7"/>
    <w:rsid w:val="272DFC2F"/>
    <w:rsid w:val="272E2575"/>
    <w:rsid w:val="272E7702"/>
    <w:rsid w:val="27309409"/>
    <w:rsid w:val="273AE34E"/>
    <w:rsid w:val="273CA9C3"/>
    <w:rsid w:val="273F3847"/>
    <w:rsid w:val="27461DE4"/>
    <w:rsid w:val="274A337E"/>
    <w:rsid w:val="27521DD5"/>
    <w:rsid w:val="27547751"/>
    <w:rsid w:val="2756DA93"/>
    <w:rsid w:val="275E246F"/>
    <w:rsid w:val="275F39A5"/>
    <w:rsid w:val="2765C0C4"/>
    <w:rsid w:val="276B7008"/>
    <w:rsid w:val="276EC701"/>
    <w:rsid w:val="276FA1EA"/>
    <w:rsid w:val="2775397B"/>
    <w:rsid w:val="27787BC4"/>
    <w:rsid w:val="277D0F15"/>
    <w:rsid w:val="277D79D0"/>
    <w:rsid w:val="277F542D"/>
    <w:rsid w:val="277FFE39"/>
    <w:rsid w:val="2781FE31"/>
    <w:rsid w:val="27845AFC"/>
    <w:rsid w:val="2784B667"/>
    <w:rsid w:val="2784D07A"/>
    <w:rsid w:val="2786B89E"/>
    <w:rsid w:val="278DFFA4"/>
    <w:rsid w:val="278FFF02"/>
    <w:rsid w:val="27916CE4"/>
    <w:rsid w:val="279285DC"/>
    <w:rsid w:val="2797F771"/>
    <w:rsid w:val="279A4EC8"/>
    <w:rsid w:val="279FDEF8"/>
    <w:rsid w:val="27A2ADF9"/>
    <w:rsid w:val="27B197B9"/>
    <w:rsid w:val="27B20861"/>
    <w:rsid w:val="27B88AD3"/>
    <w:rsid w:val="27BEF856"/>
    <w:rsid w:val="27C2352B"/>
    <w:rsid w:val="27C5185A"/>
    <w:rsid w:val="27C5E111"/>
    <w:rsid w:val="27C65307"/>
    <w:rsid w:val="27CDFF34"/>
    <w:rsid w:val="27D23351"/>
    <w:rsid w:val="27D2BE41"/>
    <w:rsid w:val="27DA20D7"/>
    <w:rsid w:val="27DD3D4D"/>
    <w:rsid w:val="27DE88CA"/>
    <w:rsid w:val="27E1E982"/>
    <w:rsid w:val="27E6AC8C"/>
    <w:rsid w:val="27E6EEF4"/>
    <w:rsid w:val="27EDA3D4"/>
    <w:rsid w:val="27F55D60"/>
    <w:rsid w:val="27F9353B"/>
    <w:rsid w:val="27F9CFC8"/>
    <w:rsid w:val="27FB7C98"/>
    <w:rsid w:val="27FDD23A"/>
    <w:rsid w:val="280127ED"/>
    <w:rsid w:val="2805B3FF"/>
    <w:rsid w:val="2806C26D"/>
    <w:rsid w:val="2807D844"/>
    <w:rsid w:val="280BABE7"/>
    <w:rsid w:val="280F5F28"/>
    <w:rsid w:val="28109A16"/>
    <w:rsid w:val="2812D50D"/>
    <w:rsid w:val="28146968"/>
    <w:rsid w:val="28195B5A"/>
    <w:rsid w:val="2819C229"/>
    <w:rsid w:val="281A49A3"/>
    <w:rsid w:val="281CA5F4"/>
    <w:rsid w:val="281DD794"/>
    <w:rsid w:val="2823B762"/>
    <w:rsid w:val="28262853"/>
    <w:rsid w:val="28298AE6"/>
    <w:rsid w:val="28331ADC"/>
    <w:rsid w:val="2833B1AC"/>
    <w:rsid w:val="28344DCA"/>
    <w:rsid w:val="2836A64C"/>
    <w:rsid w:val="283A397A"/>
    <w:rsid w:val="283B26DE"/>
    <w:rsid w:val="283D2C38"/>
    <w:rsid w:val="2842823B"/>
    <w:rsid w:val="2846787A"/>
    <w:rsid w:val="284DC685"/>
    <w:rsid w:val="284E844A"/>
    <w:rsid w:val="284FD010"/>
    <w:rsid w:val="2853A9DE"/>
    <w:rsid w:val="2857A4F1"/>
    <w:rsid w:val="285B0D34"/>
    <w:rsid w:val="285BA470"/>
    <w:rsid w:val="285E90A5"/>
    <w:rsid w:val="285FC2F1"/>
    <w:rsid w:val="2861745F"/>
    <w:rsid w:val="2863AE22"/>
    <w:rsid w:val="28659F39"/>
    <w:rsid w:val="2865C53B"/>
    <w:rsid w:val="286A13F4"/>
    <w:rsid w:val="28708665"/>
    <w:rsid w:val="2873F64A"/>
    <w:rsid w:val="28756C7B"/>
    <w:rsid w:val="28762847"/>
    <w:rsid w:val="28777A13"/>
    <w:rsid w:val="28784049"/>
    <w:rsid w:val="287926BB"/>
    <w:rsid w:val="2879DD8D"/>
    <w:rsid w:val="287B02DA"/>
    <w:rsid w:val="287FCDF4"/>
    <w:rsid w:val="28822E45"/>
    <w:rsid w:val="2883D013"/>
    <w:rsid w:val="2886C285"/>
    <w:rsid w:val="288713B4"/>
    <w:rsid w:val="288D5B72"/>
    <w:rsid w:val="288E656D"/>
    <w:rsid w:val="28950C98"/>
    <w:rsid w:val="28951EBE"/>
    <w:rsid w:val="289A133C"/>
    <w:rsid w:val="289C3579"/>
    <w:rsid w:val="289CCE86"/>
    <w:rsid w:val="28A03102"/>
    <w:rsid w:val="28AEFA42"/>
    <w:rsid w:val="28AF1E05"/>
    <w:rsid w:val="28B0AA58"/>
    <w:rsid w:val="28B35C23"/>
    <w:rsid w:val="28B38C50"/>
    <w:rsid w:val="28BC82BC"/>
    <w:rsid w:val="28C02380"/>
    <w:rsid w:val="28C9B3C2"/>
    <w:rsid w:val="28CA4D5B"/>
    <w:rsid w:val="28CCC712"/>
    <w:rsid w:val="28CDC409"/>
    <w:rsid w:val="28CE6D8A"/>
    <w:rsid w:val="28D379B9"/>
    <w:rsid w:val="28D56F68"/>
    <w:rsid w:val="28D57F64"/>
    <w:rsid w:val="28D6C6C2"/>
    <w:rsid w:val="28D88E32"/>
    <w:rsid w:val="28DBB769"/>
    <w:rsid w:val="28E684E0"/>
    <w:rsid w:val="28E74C9C"/>
    <w:rsid w:val="28E7B9AA"/>
    <w:rsid w:val="28EA8383"/>
    <w:rsid w:val="28EAA05C"/>
    <w:rsid w:val="28EE1875"/>
    <w:rsid w:val="28EFACC5"/>
    <w:rsid w:val="28F87B16"/>
    <w:rsid w:val="28FE3DFB"/>
    <w:rsid w:val="28FEF012"/>
    <w:rsid w:val="28FF685E"/>
    <w:rsid w:val="29014C65"/>
    <w:rsid w:val="2905249A"/>
    <w:rsid w:val="290779B5"/>
    <w:rsid w:val="291BCE9A"/>
    <w:rsid w:val="291C3275"/>
    <w:rsid w:val="291CBB6F"/>
    <w:rsid w:val="29225C1B"/>
    <w:rsid w:val="29251422"/>
    <w:rsid w:val="292C6DEE"/>
    <w:rsid w:val="292FADED"/>
    <w:rsid w:val="2934269E"/>
    <w:rsid w:val="2936F0B6"/>
    <w:rsid w:val="2938DA35"/>
    <w:rsid w:val="293AEB14"/>
    <w:rsid w:val="293B7DCE"/>
    <w:rsid w:val="293D5B6D"/>
    <w:rsid w:val="293E8F18"/>
    <w:rsid w:val="293F0A3A"/>
    <w:rsid w:val="29427D12"/>
    <w:rsid w:val="29463788"/>
    <w:rsid w:val="294756F0"/>
    <w:rsid w:val="294B7E35"/>
    <w:rsid w:val="2951AF6F"/>
    <w:rsid w:val="2954BE94"/>
    <w:rsid w:val="29599E59"/>
    <w:rsid w:val="295B0456"/>
    <w:rsid w:val="295C6EEE"/>
    <w:rsid w:val="295FA726"/>
    <w:rsid w:val="296028F0"/>
    <w:rsid w:val="29696572"/>
    <w:rsid w:val="296CB068"/>
    <w:rsid w:val="296DFB03"/>
    <w:rsid w:val="297305C6"/>
    <w:rsid w:val="2976F848"/>
    <w:rsid w:val="2988F0A9"/>
    <w:rsid w:val="29893838"/>
    <w:rsid w:val="298938AC"/>
    <w:rsid w:val="298AC910"/>
    <w:rsid w:val="299019BA"/>
    <w:rsid w:val="2991FEE6"/>
    <w:rsid w:val="299E7834"/>
    <w:rsid w:val="29A1D3B4"/>
    <w:rsid w:val="29A5E03B"/>
    <w:rsid w:val="29B881B1"/>
    <w:rsid w:val="29BA0FE9"/>
    <w:rsid w:val="29BA91EA"/>
    <w:rsid w:val="29BA9D10"/>
    <w:rsid w:val="29BC8494"/>
    <w:rsid w:val="29BDDD32"/>
    <w:rsid w:val="29BE09F7"/>
    <w:rsid w:val="29C5BA14"/>
    <w:rsid w:val="29C7166E"/>
    <w:rsid w:val="29C8B985"/>
    <w:rsid w:val="29C90DB9"/>
    <w:rsid w:val="29CA3BB3"/>
    <w:rsid w:val="29CD6594"/>
    <w:rsid w:val="29D82FEA"/>
    <w:rsid w:val="29DDD653"/>
    <w:rsid w:val="29DE169F"/>
    <w:rsid w:val="29E09CFD"/>
    <w:rsid w:val="29E1A3E7"/>
    <w:rsid w:val="29E3E534"/>
    <w:rsid w:val="29EB717E"/>
    <w:rsid w:val="29EC9F46"/>
    <w:rsid w:val="29EE1042"/>
    <w:rsid w:val="29F24D24"/>
    <w:rsid w:val="29F2C6AA"/>
    <w:rsid w:val="29F4A65F"/>
    <w:rsid w:val="29F4ED36"/>
    <w:rsid w:val="29F84267"/>
    <w:rsid w:val="29FDE770"/>
    <w:rsid w:val="29FE05FF"/>
    <w:rsid w:val="2A016753"/>
    <w:rsid w:val="2A0B4497"/>
    <w:rsid w:val="2A0C0C11"/>
    <w:rsid w:val="2A11A19A"/>
    <w:rsid w:val="2A124CF1"/>
    <w:rsid w:val="2A15FF9D"/>
    <w:rsid w:val="2A1B77C6"/>
    <w:rsid w:val="2A1D51A6"/>
    <w:rsid w:val="2A1F68EF"/>
    <w:rsid w:val="2A1FCD21"/>
    <w:rsid w:val="2A226526"/>
    <w:rsid w:val="2A27B61A"/>
    <w:rsid w:val="2A285E5A"/>
    <w:rsid w:val="2A298A79"/>
    <w:rsid w:val="2A2C7659"/>
    <w:rsid w:val="2A2EDA82"/>
    <w:rsid w:val="2A30E064"/>
    <w:rsid w:val="2A3909EC"/>
    <w:rsid w:val="2A39311A"/>
    <w:rsid w:val="2A3CF58E"/>
    <w:rsid w:val="2A3E29D7"/>
    <w:rsid w:val="2A444692"/>
    <w:rsid w:val="2A452060"/>
    <w:rsid w:val="2A45E255"/>
    <w:rsid w:val="2A45E407"/>
    <w:rsid w:val="2A48A304"/>
    <w:rsid w:val="2A48FB88"/>
    <w:rsid w:val="2A4BD22C"/>
    <w:rsid w:val="2A4DAEFF"/>
    <w:rsid w:val="2A5196A5"/>
    <w:rsid w:val="2A5493CB"/>
    <w:rsid w:val="2A54C67C"/>
    <w:rsid w:val="2A56D3A0"/>
    <w:rsid w:val="2A5C3C3F"/>
    <w:rsid w:val="2A5EA106"/>
    <w:rsid w:val="2A5FC62F"/>
    <w:rsid w:val="2A63218B"/>
    <w:rsid w:val="2A644D61"/>
    <w:rsid w:val="2A646AE9"/>
    <w:rsid w:val="2A67B81E"/>
    <w:rsid w:val="2A68129B"/>
    <w:rsid w:val="2A6B1692"/>
    <w:rsid w:val="2A70DAD5"/>
    <w:rsid w:val="2A764B90"/>
    <w:rsid w:val="2A7724E2"/>
    <w:rsid w:val="2A77601B"/>
    <w:rsid w:val="2A78DC2E"/>
    <w:rsid w:val="2A80834D"/>
    <w:rsid w:val="2A83F8E7"/>
    <w:rsid w:val="2A8C9384"/>
    <w:rsid w:val="2A8FBAC4"/>
    <w:rsid w:val="2A917DF9"/>
    <w:rsid w:val="2A9200D4"/>
    <w:rsid w:val="2A9244F4"/>
    <w:rsid w:val="2A928557"/>
    <w:rsid w:val="2A97B5B0"/>
    <w:rsid w:val="2A9A7FE9"/>
    <w:rsid w:val="2AA1FD2D"/>
    <w:rsid w:val="2AA57475"/>
    <w:rsid w:val="2AA9159C"/>
    <w:rsid w:val="2AAB8B81"/>
    <w:rsid w:val="2AAC14E1"/>
    <w:rsid w:val="2AB0D547"/>
    <w:rsid w:val="2AB46860"/>
    <w:rsid w:val="2AB4B2AD"/>
    <w:rsid w:val="2AB4D13D"/>
    <w:rsid w:val="2AB6C716"/>
    <w:rsid w:val="2AB7CDEA"/>
    <w:rsid w:val="2AB9B72D"/>
    <w:rsid w:val="2ABAE64D"/>
    <w:rsid w:val="2AC1DC55"/>
    <w:rsid w:val="2AC232B6"/>
    <w:rsid w:val="2AC2F18D"/>
    <w:rsid w:val="2AC3F3EA"/>
    <w:rsid w:val="2AC45BAA"/>
    <w:rsid w:val="2ACC3B12"/>
    <w:rsid w:val="2AD0BCA5"/>
    <w:rsid w:val="2AD471F8"/>
    <w:rsid w:val="2ADB7694"/>
    <w:rsid w:val="2AF53792"/>
    <w:rsid w:val="2AF84E2A"/>
    <w:rsid w:val="2AF960EE"/>
    <w:rsid w:val="2AFA8AD1"/>
    <w:rsid w:val="2AFC5980"/>
    <w:rsid w:val="2AFD81D3"/>
    <w:rsid w:val="2B03FC22"/>
    <w:rsid w:val="2B05D509"/>
    <w:rsid w:val="2B0732A8"/>
    <w:rsid w:val="2B150430"/>
    <w:rsid w:val="2B164E4E"/>
    <w:rsid w:val="2B16E95F"/>
    <w:rsid w:val="2B18CE39"/>
    <w:rsid w:val="2B1DE647"/>
    <w:rsid w:val="2B1E8262"/>
    <w:rsid w:val="2B1F8A48"/>
    <w:rsid w:val="2B21874B"/>
    <w:rsid w:val="2B23A9B7"/>
    <w:rsid w:val="2B25CA81"/>
    <w:rsid w:val="2B27E96A"/>
    <w:rsid w:val="2B27F63F"/>
    <w:rsid w:val="2B2A98FC"/>
    <w:rsid w:val="2B2C24E0"/>
    <w:rsid w:val="2B2C8F1E"/>
    <w:rsid w:val="2B2DE6D0"/>
    <w:rsid w:val="2B2EA766"/>
    <w:rsid w:val="2B3080F1"/>
    <w:rsid w:val="2B332F12"/>
    <w:rsid w:val="2B416B40"/>
    <w:rsid w:val="2B41881B"/>
    <w:rsid w:val="2B4263B9"/>
    <w:rsid w:val="2B4C002E"/>
    <w:rsid w:val="2B4E8D6C"/>
    <w:rsid w:val="2B4FB33D"/>
    <w:rsid w:val="2B504DE8"/>
    <w:rsid w:val="2B521F4A"/>
    <w:rsid w:val="2B5420C7"/>
    <w:rsid w:val="2B54FAB3"/>
    <w:rsid w:val="2B554717"/>
    <w:rsid w:val="2B57E045"/>
    <w:rsid w:val="2B5CC2E0"/>
    <w:rsid w:val="2B5D6603"/>
    <w:rsid w:val="2B5D6CA8"/>
    <w:rsid w:val="2B62813A"/>
    <w:rsid w:val="2B652842"/>
    <w:rsid w:val="2B6C2FBE"/>
    <w:rsid w:val="2B6CA466"/>
    <w:rsid w:val="2B6D3D84"/>
    <w:rsid w:val="2B72450E"/>
    <w:rsid w:val="2B78A89A"/>
    <w:rsid w:val="2B7E3BD7"/>
    <w:rsid w:val="2B80D4F9"/>
    <w:rsid w:val="2B83B886"/>
    <w:rsid w:val="2B8A5C68"/>
    <w:rsid w:val="2B90B7AC"/>
    <w:rsid w:val="2B92C58F"/>
    <w:rsid w:val="2B9300B8"/>
    <w:rsid w:val="2B9861B4"/>
    <w:rsid w:val="2B9BD831"/>
    <w:rsid w:val="2B9CF53C"/>
    <w:rsid w:val="2BA03D01"/>
    <w:rsid w:val="2BA62688"/>
    <w:rsid w:val="2BA802B0"/>
    <w:rsid w:val="2BAA81E2"/>
    <w:rsid w:val="2BABBB01"/>
    <w:rsid w:val="2BACE318"/>
    <w:rsid w:val="2BB1D402"/>
    <w:rsid w:val="2BBD3598"/>
    <w:rsid w:val="2BC17C91"/>
    <w:rsid w:val="2BC947EC"/>
    <w:rsid w:val="2BCC57F9"/>
    <w:rsid w:val="2BCF57E9"/>
    <w:rsid w:val="2BD0AF17"/>
    <w:rsid w:val="2BD0E734"/>
    <w:rsid w:val="2BD14C9F"/>
    <w:rsid w:val="2BDDB125"/>
    <w:rsid w:val="2BE9E638"/>
    <w:rsid w:val="2BEF71E1"/>
    <w:rsid w:val="2BEFDC0D"/>
    <w:rsid w:val="2BF04C7E"/>
    <w:rsid w:val="2BF1E505"/>
    <w:rsid w:val="2BF5C833"/>
    <w:rsid w:val="2BF71142"/>
    <w:rsid w:val="2BF7477F"/>
    <w:rsid w:val="2BF81B9A"/>
    <w:rsid w:val="2BFDDD02"/>
    <w:rsid w:val="2C007551"/>
    <w:rsid w:val="2C05A13E"/>
    <w:rsid w:val="2C08E9A1"/>
    <w:rsid w:val="2C08EE76"/>
    <w:rsid w:val="2C0A1AA4"/>
    <w:rsid w:val="2C0B516D"/>
    <w:rsid w:val="2C0D37C2"/>
    <w:rsid w:val="2C127668"/>
    <w:rsid w:val="2C1B4D62"/>
    <w:rsid w:val="2C22016D"/>
    <w:rsid w:val="2C2C935A"/>
    <w:rsid w:val="2C3C8E15"/>
    <w:rsid w:val="2C45FDD0"/>
    <w:rsid w:val="2C486A41"/>
    <w:rsid w:val="2C48FA24"/>
    <w:rsid w:val="2C50773A"/>
    <w:rsid w:val="2C508227"/>
    <w:rsid w:val="2C5B8556"/>
    <w:rsid w:val="2C5C57BB"/>
    <w:rsid w:val="2C5FE95B"/>
    <w:rsid w:val="2C61E872"/>
    <w:rsid w:val="2C62AF4D"/>
    <w:rsid w:val="2C67ABC6"/>
    <w:rsid w:val="2C691944"/>
    <w:rsid w:val="2C6AD5C1"/>
    <w:rsid w:val="2C6CF40F"/>
    <w:rsid w:val="2C6E6576"/>
    <w:rsid w:val="2C6F1B3D"/>
    <w:rsid w:val="2C787AB5"/>
    <w:rsid w:val="2C799CE7"/>
    <w:rsid w:val="2C79C605"/>
    <w:rsid w:val="2C7B398A"/>
    <w:rsid w:val="2C7E9223"/>
    <w:rsid w:val="2C7E97EB"/>
    <w:rsid w:val="2C857136"/>
    <w:rsid w:val="2C858E4D"/>
    <w:rsid w:val="2C87E3D1"/>
    <w:rsid w:val="2C8D6E63"/>
    <w:rsid w:val="2C8F053E"/>
    <w:rsid w:val="2C8FCEC3"/>
    <w:rsid w:val="2C8FDBF8"/>
    <w:rsid w:val="2C9856F1"/>
    <w:rsid w:val="2C9F9012"/>
    <w:rsid w:val="2CA09B5D"/>
    <w:rsid w:val="2CA12C21"/>
    <w:rsid w:val="2CA25B57"/>
    <w:rsid w:val="2CA56B3F"/>
    <w:rsid w:val="2CA58529"/>
    <w:rsid w:val="2CA5C768"/>
    <w:rsid w:val="2CA6B179"/>
    <w:rsid w:val="2CA6DFD1"/>
    <w:rsid w:val="2CB34DAB"/>
    <w:rsid w:val="2CB5A708"/>
    <w:rsid w:val="2CB9DE0F"/>
    <w:rsid w:val="2CBCF7B9"/>
    <w:rsid w:val="2CBF0581"/>
    <w:rsid w:val="2CBFF8DA"/>
    <w:rsid w:val="2CC35789"/>
    <w:rsid w:val="2CC82836"/>
    <w:rsid w:val="2CCB9864"/>
    <w:rsid w:val="2CCE8950"/>
    <w:rsid w:val="2CCF6E98"/>
    <w:rsid w:val="2CD0F40C"/>
    <w:rsid w:val="2CD396A7"/>
    <w:rsid w:val="2CDB0FC7"/>
    <w:rsid w:val="2CDE2C64"/>
    <w:rsid w:val="2CE12ED7"/>
    <w:rsid w:val="2CE220BF"/>
    <w:rsid w:val="2CE34978"/>
    <w:rsid w:val="2CE72707"/>
    <w:rsid w:val="2CECE214"/>
    <w:rsid w:val="2CF4E436"/>
    <w:rsid w:val="2CF99976"/>
    <w:rsid w:val="2CFE892A"/>
    <w:rsid w:val="2D052A2D"/>
    <w:rsid w:val="2D0535BA"/>
    <w:rsid w:val="2D06337C"/>
    <w:rsid w:val="2D06A235"/>
    <w:rsid w:val="2D06EA1F"/>
    <w:rsid w:val="2D0722CF"/>
    <w:rsid w:val="2D0AFE1B"/>
    <w:rsid w:val="2D0B8DB4"/>
    <w:rsid w:val="2D135617"/>
    <w:rsid w:val="2D16CD0A"/>
    <w:rsid w:val="2D194EDB"/>
    <w:rsid w:val="2D1D6417"/>
    <w:rsid w:val="2D1F80BE"/>
    <w:rsid w:val="2D227A85"/>
    <w:rsid w:val="2D22C73F"/>
    <w:rsid w:val="2D2531B9"/>
    <w:rsid w:val="2D26B8FC"/>
    <w:rsid w:val="2D285EB1"/>
    <w:rsid w:val="2D288FB9"/>
    <w:rsid w:val="2D31157B"/>
    <w:rsid w:val="2D31E88C"/>
    <w:rsid w:val="2D33C81E"/>
    <w:rsid w:val="2D353D29"/>
    <w:rsid w:val="2D3E19C5"/>
    <w:rsid w:val="2D3FEDD5"/>
    <w:rsid w:val="2D45A322"/>
    <w:rsid w:val="2D47B1B0"/>
    <w:rsid w:val="2D47DA58"/>
    <w:rsid w:val="2D481E18"/>
    <w:rsid w:val="2D4BA49E"/>
    <w:rsid w:val="2D4CFB8F"/>
    <w:rsid w:val="2D4DA05F"/>
    <w:rsid w:val="2D50AC7B"/>
    <w:rsid w:val="2D512DB0"/>
    <w:rsid w:val="2D58A7A8"/>
    <w:rsid w:val="2D58D954"/>
    <w:rsid w:val="2D58EA4E"/>
    <w:rsid w:val="2D59FCCA"/>
    <w:rsid w:val="2D5B521A"/>
    <w:rsid w:val="2D5ECE1B"/>
    <w:rsid w:val="2D5F8676"/>
    <w:rsid w:val="2D616875"/>
    <w:rsid w:val="2D66A1BC"/>
    <w:rsid w:val="2D66CAC6"/>
    <w:rsid w:val="2D66D407"/>
    <w:rsid w:val="2D67E4C9"/>
    <w:rsid w:val="2D6B284A"/>
    <w:rsid w:val="2D6DA252"/>
    <w:rsid w:val="2D6F2E84"/>
    <w:rsid w:val="2D709473"/>
    <w:rsid w:val="2D70EA68"/>
    <w:rsid w:val="2D745E12"/>
    <w:rsid w:val="2D74B296"/>
    <w:rsid w:val="2D75C1BE"/>
    <w:rsid w:val="2D771F72"/>
    <w:rsid w:val="2D77D9DB"/>
    <w:rsid w:val="2D79737C"/>
    <w:rsid w:val="2D7EE8AF"/>
    <w:rsid w:val="2D7FF6C0"/>
    <w:rsid w:val="2D80C270"/>
    <w:rsid w:val="2D85E6F3"/>
    <w:rsid w:val="2D8C61D2"/>
    <w:rsid w:val="2D8D7009"/>
    <w:rsid w:val="2D8DC1CF"/>
    <w:rsid w:val="2D8F6609"/>
    <w:rsid w:val="2D90B911"/>
    <w:rsid w:val="2D945562"/>
    <w:rsid w:val="2D9690FA"/>
    <w:rsid w:val="2D9A1F37"/>
    <w:rsid w:val="2D9C8282"/>
    <w:rsid w:val="2D9DCF61"/>
    <w:rsid w:val="2D9DD888"/>
    <w:rsid w:val="2DA28E7C"/>
    <w:rsid w:val="2DA32D45"/>
    <w:rsid w:val="2DA8C871"/>
    <w:rsid w:val="2DAE2AE5"/>
    <w:rsid w:val="2DB014DC"/>
    <w:rsid w:val="2DB2E3CA"/>
    <w:rsid w:val="2DB48587"/>
    <w:rsid w:val="2DB71300"/>
    <w:rsid w:val="2DB8E2ED"/>
    <w:rsid w:val="2DBD8192"/>
    <w:rsid w:val="2DBEB471"/>
    <w:rsid w:val="2DBFA43E"/>
    <w:rsid w:val="2DBFE617"/>
    <w:rsid w:val="2DC038FB"/>
    <w:rsid w:val="2DC35CF3"/>
    <w:rsid w:val="2DC386E1"/>
    <w:rsid w:val="2DC39C55"/>
    <w:rsid w:val="2DC9512A"/>
    <w:rsid w:val="2DD76846"/>
    <w:rsid w:val="2DD785C0"/>
    <w:rsid w:val="2DD7C873"/>
    <w:rsid w:val="2DDB66B6"/>
    <w:rsid w:val="2DDC9DF9"/>
    <w:rsid w:val="2DDE349E"/>
    <w:rsid w:val="2DDEB32C"/>
    <w:rsid w:val="2DDEF758"/>
    <w:rsid w:val="2DE8E24D"/>
    <w:rsid w:val="2DE98ADB"/>
    <w:rsid w:val="2DECA80B"/>
    <w:rsid w:val="2DEE17F9"/>
    <w:rsid w:val="2DEE67DC"/>
    <w:rsid w:val="2DEE9470"/>
    <w:rsid w:val="2DF04C69"/>
    <w:rsid w:val="2DF9E398"/>
    <w:rsid w:val="2DFFF27F"/>
    <w:rsid w:val="2E01B6C2"/>
    <w:rsid w:val="2E036846"/>
    <w:rsid w:val="2E06057E"/>
    <w:rsid w:val="2E08C4F2"/>
    <w:rsid w:val="2E0D75DE"/>
    <w:rsid w:val="2E11C70F"/>
    <w:rsid w:val="2E121B6D"/>
    <w:rsid w:val="2E123093"/>
    <w:rsid w:val="2E12B561"/>
    <w:rsid w:val="2E1E0F66"/>
    <w:rsid w:val="2E1F739E"/>
    <w:rsid w:val="2E235FDD"/>
    <w:rsid w:val="2E262244"/>
    <w:rsid w:val="2E293DD2"/>
    <w:rsid w:val="2E295194"/>
    <w:rsid w:val="2E2AF670"/>
    <w:rsid w:val="2E2BD677"/>
    <w:rsid w:val="2E2CA198"/>
    <w:rsid w:val="2E2D0D60"/>
    <w:rsid w:val="2E2FA47B"/>
    <w:rsid w:val="2E2FAEDF"/>
    <w:rsid w:val="2E303EBA"/>
    <w:rsid w:val="2E35F2D3"/>
    <w:rsid w:val="2E366712"/>
    <w:rsid w:val="2E37BA52"/>
    <w:rsid w:val="2E392A48"/>
    <w:rsid w:val="2E3A7839"/>
    <w:rsid w:val="2E3C46D8"/>
    <w:rsid w:val="2E3C4B63"/>
    <w:rsid w:val="2E3EF284"/>
    <w:rsid w:val="2E3F80EB"/>
    <w:rsid w:val="2E4046C7"/>
    <w:rsid w:val="2E4049A0"/>
    <w:rsid w:val="2E413B19"/>
    <w:rsid w:val="2E44214A"/>
    <w:rsid w:val="2E44916B"/>
    <w:rsid w:val="2E46C646"/>
    <w:rsid w:val="2E49EEB0"/>
    <w:rsid w:val="2E5523DC"/>
    <w:rsid w:val="2E56CC5A"/>
    <w:rsid w:val="2E593899"/>
    <w:rsid w:val="2E5B1902"/>
    <w:rsid w:val="2E5DCB47"/>
    <w:rsid w:val="2E5EB962"/>
    <w:rsid w:val="2E62FA93"/>
    <w:rsid w:val="2E643AC3"/>
    <w:rsid w:val="2E649C75"/>
    <w:rsid w:val="2E6A2151"/>
    <w:rsid w:val="2E6DCE61"/>
    <w:rsid w:val="2E76521B"/>
    <w:rsid w:val="2E796B15"/>
    <w:rsid w:val="2E7A94C5"/>
    <w:rsid w:val="2E7EFD71"/>
    <w:rsid w:val="2E81C648"/>
    <w:rsid w:val="2E83A0A7"/>
    <w:rsid w:val="2E855FC8"/>
    <w:rsid w:val="2E88E6DB"/>
    <w:rsid w:val="2E898DF3"/>
    <w:rsid w:val="2E8BB879"/>
    <w:rsid w:val="2E8CAD5E"/>
    <w:rsid w:val="2E903392"/>
    <w:rsid w:val="2E97E20C"/>
    <w:rsid w:val="2E99EE63"/>
    <w:rsid w:val="2E9BE2B9"/>
    <w:rsid w:val="2E9D92AC"/>
    <w:rsid w:val="2EA0BF05"/>
    <w:rsid w:val="2EA3CF64"/>
    <w:rsid w:val="2EA4BFEF"/>
    <w:rsid w:val="2EA5E7D0"/>
    <w:rsid w:val="2EA7BC35"/>
    <w:rsid w:val="2EAB06CC"/>
    <w:rsid w:val="2EAFE72B"/>
    <w:rsid w:val="2EB3A553"/>
    <w:rsid w:val="2EB8E2C1"/>
    <w:rsid w:val="2EBAE120"/>
    <w:rsid w:val="2EBDA1CF"/>
    <w:rsid w:val="2EBEE2A1"/>
    <w:rsid w:val="2EBF8C43"/>
    <w:rsid w:val="2EC5F79B"/>
    <w:rsid w:val="2EC7246F"/>
    <w:rsid w:val="2EC86C86"/>
    <w:rsid w:val="2EC97B5B"/>
    <w:rsid w:val="2ECCBF72"/>
    <w:rsid w:val="2ECE1E1D"/>
    <w:rsid w:val="2ECEB138"/>
    <w:rsid w:val="2ED389EF"/>
    <w:rsid w:val="2ED55549"/>
    <w:rsid w:val="2ED8A126"/>
    <w:rsid w:val="2EDD9A59"/>
    <w:rsid w:val="2EE32B24"/>
    <w:rsid w:val="2EE8C3A6"/>
    <w:rsid w:val="2EEFA2C1"/>
    <w:rsid w:val="2EEFE412"/>
    <w:rsid w:val="2EF36807"/>
    <w:rsid w:val="2EF7A152"/>
    <w:rsid w:val="2EFD9278"/>
    <w:rsid w:val="2EFE51D6"/>
    <w:rsid w:val="2F00965C"/>
    <w:rsid w:val="2F00C3C6"/>
    <w:rsid w:val="2F082559"/>
    <w:rsid w:val="2F0BF8DF"/>
    <w:rsid w:val="2F11D0BD"/>
    <w:rsid w:val="2F122F6B"/>
    <w:rsid w:val="2F16E3FC"/>
    <w:rsid w:val="2F1717A1"/>
    <w:rsid w:val="2F19F653"/>
    <w:rsid w:val="2F1F4F74"/>
    <w:rsid w:val="2F2157C6"/>
    <w:rsid w:val="2F215C43"/>
    <w:rsid w:val="2F220A06"/>
    <w:rsid w:val="2F27590B"/>
    <w:rsid w:val="2F28D334"/>
    <w:rsid w:val="2F29BB32"/>
    <w:rsid w:val="2F29F7B9"/>
    <w:rsid w:val="2F3BEDC8"/>
    <w:rsid w:val="2F3C9669"/>
    <w:rsid w:val="2F3FE024"/>
    <w:rsid w:val="2F44FBD1"/>
    <w:rsid w:val="2F4B3958"/>
    <w:rsid w:val="2F4C77D2"/>
    <w:rsid w:val="2F4DE5E8"/>
    <w:rsid w:val="2F5197D0"/>
    <w:rsid w:val="2F5C7005"/>
    <w:rsid w:val="2F5E4F58"/>
    <w:rsid w:val="2F62D714"/>
    <w:rsid w:val="2F63C39E"/>
    <w:rsid w:val="2F648152"/>
    <w:rsid w:val="2F64B2A4"/>
    <w:rsid w:val="2F64EA52"/>
    <w:rsid w:val="2F654617"/>
    <w:rsid w:val="2F6DFD1F"/>
    <w:rsid w:val="2F720319"/>
    <w:rsid w:val="2F75A274"/>
    <w:rsid w:val="2F75ABD3"/>
    <w:rsid w:val="2F76619B"/>
    <w:rsid w:val="2F79BC8A"/>
    <w:rsid w:val="2F7BC7FF"/>
    <w:rsid w:val="2F7C7113"/>
    <w:rsid w:val="2F89E466"/>
    <w:rsid w:val="2F8CF8C2"/>
    <w:rsid w:val="2F8EABB3"/>
    <w:rsid w:val="2F94E296"/>
    <w:rsid w:val="2F9889F8"/>
    <w:rsid w:val="2F9B6380"/>
    <w:rsid w:val="2FA6343B"/>
    <w:rsid w:val="2FA6B34D"/>
    <w:rsid w:val="2FA9C1B7"/>
    <w:rsid w:val="2FACEABA"/>
    <w:rsid w:val="2FAD7925"/>
    <w:rsid w:val="2FADCCB0"/>
    <w:rsid w:val="2FAEA85D"/>
    <w:rsid w:val="2FB066CB"/>
    <w:rsid w:val="2FB0E3A2"/>
    <w:rsid w:val="2FBC6056"/>
    <w:rsid w:val="2FC1491D"/>
    <w:rsid w:val="2FC63C44"/>
    <w:rsid w:val="2FC95A02"/>
    <w:rsid w:val="2FCCFB1A"/>
    <w:rsid w:val="2FCE8C29"/>
    <w:rsid w:val="2FCF9076"/>
    <w:rsid w:val="2FCFE526"/>
    <w:rsid w:val="2FD3794F"/>
    <w:rsid w:val="2FDE523B"/>
    <w:rsid w:val="2FDF2315"/>
    <w:rsid w:val="2FE0B061"/>
    <w:rsid w:val="2FE14AC2"/>
    <w:rsid w:val="2FE248C8"/>
    <w:rsid w:val="2FE380BB"/>
    <w:rsid w:val="2FE3CB95"/>
    <w:rsid w:val="2FE59DA2"/>
    <w:rsid w:val="2FE976FD"/>
    <w:rsid w:val="2FEC2969"/>
    <w:rsid w:val="2FF3E793"/>
    <w:rsid w:val="2FF54994"/>
    <w:rsid w:val="2FF925F4"/>
    <w:rsid w:val="2FF9A69D"/>
    <w:rsid w:val="2FFA875A"/>
    <w:rsid w:val="2FFB556D"/>
    <w:rsid w:val="300952F2"/>
    <w:rsid w:val="301510E0"/>
    <w:rsid w:val="30278575"/>
    <w:rsid w:val="30294A00"/>
    <w:rsid w:val="302D7289"/>
    <w:rsid w:val="302F3815"/>
    <w:rsid w:val="30309BDA"/>
    <w:rsid w:val="30326EAD"/>
    <w:rsid w:val="3033697D"/>
    <w:rsid w:val="303715A8"/>
    <w:rsid w:val="303E3C52"/>
    <w:rsid w:val="3043EA7D"/>
    <w:rsid w:val="3045771D"/>
    <w:rsid w:val="304A7A9D"/>
    <w:rsid w:val="304E51C3"/>
    <w:rsid w:val="3058FD8E"/>
    <w:rsid w:val="305ABD9A"/>
    <w:rsid w:val="305EC116"/>
    <w:rsid w:val="3060EA76"/>
    <w:rsid w:val="306255E5"/>
    <w:rsid w:val="30661AD5"/>
    <w:rsid w:val="3067138F"/>
    <w:rsid w:val="3070FAEC"/>
    <w:rsid w:val="3076ACCF"/>
    <w:rsid w:val="307708EF"/>
    <w:rsid w:val="30789544"/>
    <w:rsid w:val="3079B3CC"/>
    <w:rsid w:val="307B1A60"/>
    <w:rsid w:val="307B1F70"/>
    <w:rsid w:val="307FB9A9"/>
    <w:rsid w:val="3080DBE4"/>
    <w:rsid w:val="308771FC"/>
    <w:rsid w:val="308922AB"/>
    <w:rsid w:val="308CCD3A"/>
    <w:rsid w:val="308E5462"/>
    <w:rsid w:val="308F9A6E"/>
    <w:rsid w:val="30914492"/>
    <w:rsid w:val="3091A5C6"/>
    <w:rsid w:val="3092B13F"/>
    <w:rsid w:val="3093DBC3"/>
    <w:rsid w:val="3094AC8D"/>
    <w:rsid w:val="30964B85"/>
    <w:rsid w:val="309F4AEF"/>
    <w:rsid w:val="30A27BFB"/>
    <w:rsid w:val="30A2B0C6"/>
    <w:rsid w:val="30A5422A"/>
    <w:rsid w:val="30A5E7D3"/>
    <w:rsid w:val="30A69518"/>
    <w:rsid w:val="30A7B2F5"/>
    <w:rsid w:val="30A8C444"/>
    <w:rsid w:val="30ACBA3D"/>
    <w:rsid w:val="30AE4774"/>
    <w:rsid w:val="30AE7BB3"/>
    <w:rsid w:val="30B01FA9"/>
    <w:rsid w:val="30B0B284"/>
    <w:rsid w:val="30B68971"/>
    <w:rsid w:val="30BC30EB"/>
    <w:rsid w:val="30BCDC0E"/>
    <w:rsid w:val="30BCDC86"/>
    <w:rsid w:val="30C212EC"/>
    <w:rsid w:val="30C5A450"/>
    <w:rsid w:val="30C76232"/>
    <w:rsid w:val="30CE9FCA"/>
    <w:rsid w:val="30D26FCD"/>
    <w:rsid w:val="30D3B198"/>
    <w:rsid w:val="30D8EAE0"/>
    <w:rsid w:val="30DB8814"/>
    <w:rsid w:val="30DBC0F8"/>
    <w:rsid w:val="30DBF25C"/>
    <w:rsid w:val="30DE9328"/>
    <w:rsid w:val="30DEB160"/>
    <w:rsid w:val="30E510CD"/>
    <w:rsid w:val="30EDC7EB"/>
    <w:rsid w:val="30F18338"/>
    <w:rsid w:val="30F2C1EA"/>
    <w:rsid w:val="30F5E219"/>
    <w:rsid w:val="30F67C76"/>
    <w:rsid w:val="30F9C5E2"/>
    <w:rsid w:val="30FA5170"/>
    <w:rsid w:val="30FAFBA3"/>
    <w:rsid w:val="3101978B"/>
    <w:rsid w:val="31021D38"/>
    <w:rsid w:val="31022250"/>
    <w:rsid w:val="3104EA6C"/>
    <w:rsid w:val="3107D123"/>
    <w:rsid w:val="310A1E1B"/>
    <w:rsid w:val="310A5A81"/>
    <w:rsid w:val="311050A2"/>
    <w:rsid w:val="3112B427"/>
    <w:rsid w:val="31175128"/>
    <w:rsid w:val="3119E972"/>
    <w:rsid w:val="311D3228"/>
    <w:rsid w:val="3121901A"/>
    <w:rsid w:val="312ABC2A"/>
    <w:rsid w:val="312EF679"/>
    <w:rsid w:val="31306158"/>
    <w:rsid w:val="31350512"/>
    <w:rsid w:val="31357B41"/>
    <w:rsid w:val="31379E69"/>
    <w:rsid w:val="313CA205"/>
    <w:rsid w:val="313E755E"/>
    <w:rsid w:val="314002CB"/>
    <w:rsid w:val="3147A869"/>
    <w:rsid w:val="314A0A4B"/>
    <w:rsid w:val="314EE014"/>
    <w:rsid w:val="31529952"/>
    <w:rsid w:val="3152DC26"/>
    <w:rsid w:val="3153DAC4"/>
    <w:rsid w:val="3153FE7E"/>
    <w:rsid w:val="315F5C75"/>
    <w:rsid w:val="3164735B"/>
    <w:rsid w:val="31661EC3"/>
    <w:rsid w:val="3168A18C"/>
    <w:rsid w:val="31690ED6"/>
    <w:rsid w:val="316A2DEB"/>
    <w:rsid w:val="316AE90C"/>
    <w:rsid w:val="316B754F"/>
    <w:rsid w:val="31732755"/>
    <w:rsid w:val="31761D55"/>
    <w:rsid w:val="3177A46E"/>
    <w:rsid w:val="317AAFA9"/>
    <w:rsid w:val="317D38FD"/>
    <w:rsid w:val="317D3C8E"/>
    <w:rsid w:val="31895A17"/>
    <w:rsid w:val="3189A639"/>
    <w:rsid w:val="318F4A87"/>
    <w:rsid w:val="31926F9D"/>
    <w:rsid w:val="3195EC37"/>
    <w:rsid w:val="31967645"/>
    <w:rsid w:val="319A2927"/>
    <w:rsid w:val="319D525D"/>
    <w:rsid w:val="319DE78D"/>
    <w:rsid w:val="31A11B13"/>
    <w:rsid w:val="31A6FD33"/>
    <w:rsid w:val="31AF3865"/>
    <w:rsid w:val="31B10BD7"/>
    <w:rsid w:val="31B38529"/>
    <w:rsid w:val="31B94481"/>
    <w:rsid w:val="31BCDA15"/>
    <w:rsid w:val="31BD008A"/>
    <w:rsid w:val="31BF114E"/>
    <w:rsid w:val="31C0E100"/>
    <w:rsid w:val="31C191B0"/>
    <w:rsid w:val="31C46B4C"/>
    <w:rsid w:val="31C69E77"/>
    <w:rsid w:val="31C8115E"/>
    <w:rsid w:val="31C8FA1E"/>
    <w:rsid w:val="31D1CA2C"/>
    <w:rsid w:val="31D9B1F5"/>
    <w:rsid w:val="31DFBA62"/>
    <w:rsid w:val="31FFCF0E"/>
    <w:rsid w:val="3203449B"/>
    <w:rsid w:val="32099A2B"/>
    <w:rsid w:val="3210100E"/>
    <w:rsid w:val="3212EF05"/>
    <w:rsid w:val="321BFEEA"/>
    <w:rsid w:val="3220F9BA"/>
    <w:rsid w:val="3225634A"/>
    <w:rsid w:val="3229FAF5"/>
    <w:rsid w:val="322B7D09"/>
    <w:rsid w:val="322F229F"/>
    <w:rsid w:val="322FCC79"/>
    <w:rsid w:val="322FFD13"/>
    <w:rsid w:val="3233864E"/>
    <w:rsid w:val="32358145"/>
    <w:rsid w:val="32377A0D"/>
    <w:rsid w:val="3237E08D"/>
    <w:rsid w:val="3238A305"/>
    <w:rsid w:val="323AAEA9"/>
    <w:rsid w:val="323BC623"/>
    <w:rsid w:val="3240AA61"/>
    <w:rsid w:val="3240DD7F"/>
    <w:rsid w:val="32466EAD"/>
    <w:rsid w:val="3246D60C"/>
    <w:rsid w:val="32470330"/>
    <w:rsid w:val="324E335E"/>
    <w:rsid w:val="325251C6"/>
    <w:rsid w:val="3253B02D"/>
    <w:rsid w:val="3254AFB4"/>
    <w:rsid w:val="32595204"/>
    <w:rsid w:val="325A6E96"/>
    <w:rsid w:val="325C5AFA"/>
    <w:rsid w:val="32623E50"/>
    <w:rsid w:val="32629BF1"/>
    <w:rsid w:val="326375D6"/>
    <w:rsid w:val="3263FFF8"/>
    <w:rsid w:val="3265A169"/>
    <w:rsid w:val="3269058E"/>
    <w:rsid w:val="326F3DAE"/>
    <w:rsid w:val="326FBF37"/>
    <w:rsid w:val="32706DA0"/>
    <w:rsid w:val="32713EE4"/>
    <w:rsid w:val="3274A032"/>
    <w:rsid w:val="3277E377"/>
    <w:rsid w:val="327861EB"/>
    <w:rsid w:val="327F8C74"/>
    <w:rsid w:val="3285C661"/>
    <w:rsid w:val="3289A6F2"/>
    <w:rsid w:val="328A7EFA"/>
    <w:rsid w:val="3290EF68"/>
    <w:rsid w:val="32914272"/>
    <w:rsid w:val="32A0D275"/>
    <w:rsid w:val="32A88CEA"/>
    <w:rsid w:val="32A994E2"/>
    <w:rsid w:val="32AACDC5"/>
    <w:rsid w:val="32AAE235"/>
    <w:rsid w:val="32AE8211"/>
    <w:rsid w:val="32B581EF"/>
    <w:rsid w:val="32B9E461"/>
    <w:rsid w:val="32BD8CF3"/>
    <w:rsid w:val="32BED8A0"/>
    <w:rsid w:val="32BF3394"/>
    <w:rsid w:val="32C222EE"/>
    <w:rsid w:val="32C95324"/>
    <w:rsid w:val="32C9B1BE"/>
    <w:rsid w:val="32CB94CE"/>
    <w:rsid w:val="32CBA239"/>
    <w:rsid w:val="32D12891"/>
    <w:rsid w:val="32D548D6"/>
    <w:rsid w:val="32D595E9"/>
    <w:rsid w:val="32D6B492"/>
    <w:rsid w:val="32D8D292"/>
    <w:rsid w:val="32DBE0A0"/>
    <w:rsid w:val="32E4EA9D"/>
    <w:rsid w:val="32E82A22"/>
    <w:rsid w:val="32EA9EC1"/>
    <w:rsid w:val="32EB274F"/>
    <w:rsid w:val="32EDA0D5"/>
    <w:rsid w:val="32EDB1A8"/>
    <w:rsid w:val="32EE9690"/>
    <w:rsid w:val="32F0C703"/>
    <w:rsid w:val="32F468AB"/>
    <w:rsid w:val="32F51CA6"/>
    <w:rsid w:val="32FD36D8"/>
    <w:rsid w:val="330002C3"/>
    <w:rsid w:val="330010DD"/>
    <w:rsid w:val="3302FFBC"/>
    <w:rsid w:val="33086972"/>
    <w:rsid w:val="330C613C"/>
    <w:rsid w:val="330DAB4A"/>
    <w:rsid w:val="330EB763"/>
    <w:rsid w:val="330EBD1B"/>
    <w:rsid w:val="33102704"/>
    <w:rsid w:val="3310EA02"/>
    <w:rsid w:val="3312FEA0"/>
    <w:rsid w:val="331520A9"/>
    <w:rsid w:val="331AB6A9"/>
    <w:rsid w:val="3329207C"/>
    <w:rsid w:val="332FF03B"/>
    <w:rsid w:val="333012D3"/>
    <w:rsid w:val="33341549"/>
    <w:rsid w:val="3335E331"/>
    <w:rsid w:val="333A71D1"/>
    <w:rsid w:val="333AD63B"/>
    <w:rsid w:val="333B5EA5"/>
    <w:rsid w:val="333BCAFD"/>
    <w:rsid w:val="33427BBF"/>
    <w:rsid w:val="334305E3"/>
    <w:rsid w:val="334777DC"/>
    <w:rsid w:val="33492185"/>
    <w:rsid w:val="3349DACD"/>
    <w:rsid w:val="334B0125"/>
    <w:rsid w:val="334D8D0C"/>
    <w:rsid w:val="33547CBE"/>
    <w:rsid w:val="3354BB33"/>
    <w:rsid w:val="33586C44"/>
    <w:rsid w:val="3358D045"/>
    <w:rsid w:val="336268FB"/>
    <w:rsid w:val="3363E6CF"/>
    <w:rsid w:val="33720323"/>
    <w:rsid w:val="33730D7B"/>
    <w:rsid w:val="3373D04C"/>
    <w:rsid w:val="3374AAB7"/>
    <w:rsid w:val="3375A9C2"/>
    <w:rsid w:val="33765195"/>
    <w:rsid w:val="3376CD8E"/>
    <w:rsid w:val="3378DC8C"/>
    <w:rsid w:val="337A3184"/>
    <w:rsid w:val="337D55CB"/>
    <w:rsid w:val="337D6BF9"/>
    <w:rsid w:val="337D85E5"/>
    <w:rsid w:val="338BA32B"/>
    <w:rsid w:val="338F6DA9"/>
    <w:rsid w:val="3390B847"/>
    <w:rsid w:val="3390D7F1"/>
    <w:rsid w:val="3391D344"/>
    <w:rsid w:val="339225D9"/>
    <w:rsid w:val="3393C5A0"/>
    <w:rsid w:val="339441C8"/>
    <w:rsid w:val="33946042"/>
    <w:rsid w:val="3395E124"/>
    <w:rsid w:val="33A26082"/>
    <w:rsid w:val="33A2E71C"/>
    <w:rsid w:val="33A39253"/>
    <w:rsid w:val="33A67810"/>
    <w:rsid w:val="33AB220B"/>
    <w:rsid w:val="33AB6CD0"/>
    <w:rsid w:val="33AF431F"/>
    <w:rsid w:val="33B0CBB5"/>
    <w:rsid w:val="33B3A0A1"/>
    <w:rsid w:val="33B3CCF9"/>
    <w:rsid w:val="33B632B7"/>
    <w:rsid w:val="33BA7104"/>
    <w:rsid w:val="33BB52D2"/>
    <w:rsid w:val="33BF74F6"/>
    <w:rsid w:val="33C1518E"/>
    <w:rsid w:val="33C3D966"/>
    <w:rsid w:val="33C531AD"/>
    <w:rsid w:val="33D548D6"/>
    <w:rsid w:val="33D82A56"/>
    <w:rsid w:val="33D9E1B9"/>
    <w:rsid w:val="33DEB6B7"/>
    <w:rsid w:val="33DFD9D3"/>
    <w:rsid w:val="33E79292"/>
    <w:rsid w:val="33EA1EB8"/>
    <w:rsid w:val="33EA2C0C"/>
    <w:rsid w:val="33EB449A"/>
    <w:rsid w:val="33EF92C5"/>
    <w:rsid w:val="33EFA761"/>
    <w:rsid w:val="33F40B37"/>
    <w:rsid w:val="33FA6004"/>
    <w:rsid w:val="33FAD6C3"/>
    <w:rsid w:val="33FC7B4E"/>
    <w:rsid w:val="33FCCA8E"/>
    <w:rsid w:val="3407537D"/>
    <w:rsid w:val="3407C523"/>
    <w:rsid w:val="340B0BEF"/>
    <w:rsid w:val="340D72A3"/>
    <w:rsid w:val="3411B98F"/>
    <w:rsid w:val="34153041"/>
    <w:rsid w:val="3416DD83"/>
    <w:rsid w:val="3419E3C2"/>
    <w:rsid w:val="341B00FD"/>
    <w:rsid w:val="341E88EF"/>
    <w:rsid w:val="341F88B1"/>
    <w:rsid w:val="3420A093"/>
    <w:rsid w:val="3420AAA6"/>
    <w:rsid w:val="3423D398"/>
    <w:rsid w:val="34270CC8"/>
    <w:rsid w:val="342F3FB6"/>
    <w:rsid w:val="343CBC99"/>
    <w:rsid w:val="343CC422"/>
    <w:rsid w:val="343D1512"/>
    <w:rsid w:val="343E8F30"/>
    <w:rsid w:val="344001EB"/>
    <w:rsid w:val="344583AA"/>
    <w:rsid w:val="3447BA5C"/>
    <w:rsid w:val="34498197"/>
    <w:rsid w:val="344BF31D"/>
    <w:rsid w:val="345223F6"/>
    <w:rsid w:val="34585D6F"/>
    <w:rsid w:val="345B4104"/>
    <w:rsid w:val="345D5F0B"/>
    <w:rsid w:val="345F316D"/>
    <w:rsid w:val="346116EC"/>
    <w:rsid w:val="346352E9"/>
    <w:rsid w:val="346462B4"/>
    <w:rsid w:val="3464872B"/>
    <w:rsid w:val="346592F4"/>
    <w:rsid w:val="346D1F10"/>
    <w:rsid w:val="346E5DC2"/>
    <w:rsid w:val="34771A44"/>
    <w:rsid w:val="3477F159"/>
    <w:rsid w:val="3477F9D6"/>
    <w:rsid w:val="34782D45"/>
    <w:rsid w:val="34784A2D"/>
    <w:rsid w:val="347A7A89"/>
    <w:rsid w:val="347EABEF"/>
    <w:rsid w:val="34821CED"/>
    <w:rsid w:val="3482976A"/>
    <w:rsid w:val="348735F4"/>
    <w:rsid w:val="34896760"/>
    <w:rsid w:val="348E1652"/>
    <w:rsid w:val="348F8EF3"/>
    <w:rsid w:val="348FC313"/>
    <w:rsid w:val="349C24A6"/>
    <w:rsid w:val="349CBDC5"/>
    <w:rsid w:val="34AB2B54"/>
    <w:rsid w:val="34AE46E0"/>
    <w:rsid w:val="34AE6F59"/>
    <w:rsid w:val="34AFD802"/>
    <w:rsid w:val="34B1D8CF"/>
    <w:rsid w:val="34B4CBBA"/>
    <w:rsid w:val="34BFF8C5"/>
    <w:rsid w:val="34C5EE8E"/>
    <w:rsid w:val="34C64D16"/>
    <w:rsid w:val="34C991A7"/>
    <w:rsid w:val="34CC2788"/>
    <w:rsid w:val="34CCA152"/>
    <w:rsid w:val="34D6AE68"/>
    <w:rsid w:val="34D82A40"/>
    <w:rsid w:val="34DA53AD"/>
    <w:rsid w:val="34DA83C8"/>
    <w:rsid w:val="34DB1105"/>
    <w:rsid w:val="34DCF57E"/>
    <w:rsid w:val="34DE5EAD"/>
    <w:rsid w:val="34DEF953"/>
    <w:rsid w:val="34E340AD"/>
    <w:rsid w:val="34E4AC86"/>
    <w:rsid w:val="34E6401D"/>
    <w:rsid w:val="34E6D58B"/>
    <w:rsid w:val="34F3F9DB"/>
    <w:rsid w:val="34F5B9B5"/>
    <w:rsid w:val="34F7113C"/>
    <w:rsid w:val="34FC8796"/>
    <w:rsid w:val="34FCE7A3"/>
    <w:rsid w:val="34FE36C6"/>
    <w:rsid w:val="350E27D5"/>
    <w:rsid w:val="350ED0A6"/>
    <w:rsid w:val="350FF8D5"/>
    <w:rsid w:val="3513403A"/>
    <w:rsid w:val="351B2456"/>
    <w:rsid w:val="351CAFDE"/>
    <w:rsid w:val="351D1084"/>
    <w:rsid w:val="35201233"/>
    <w:rsid w:val="35243FBD"/>
    <w:rsid w:val="35293D0A"/>
    <w:rsid w:val="352A607D"/>
    <w:rsid w:val="352E9881"/>
    <w:rsid w:val="3530CC38"/>
    <w:rsid w:val="35337639"/>
    <w:rsid w:val="353451B5"/>
    <w:rsid w:val="3534E37B"/>
    <w:rsid w:val="353745AB"/>
    <w:rsid w:val="353D180D"/>
    <w:rsid w:val="354301AC"/>
    <w:rsid w:val="3543D8E7"/>
    <w:rsid w:val="35465FF7"/>
    <w:rsid w:val="35528E8D"/>
    <w:rsid w:val="3552F37D"/>
    <w:rsid w:val="3553C0D4"/>
    <w:rsid w:val="3557E6A0"/>
    <w:rsid w:val="355898C0"/>
    <w:rsid w:val="355B00E1"/>
    <w:rsid w:val="355B39CA"/>
    <w:rsid w:val="355C0F5A"/>
    <w:rsid w:val="355CC826"/>
    <w:rsid w:val="356342F7"/>
    <w:rsid w:val="3565D519"/>
    <w:rsid w:val="35697F40"/>
    <w:rsid w:val="356FF71F"/>
    <w:rsid w:val="3571B2D8"/>
    <w:rsid w:val="35722EAF"/>
    <w:rsid w:val="357AE6AF"/>
    <w:rsid w:val="357CBAB7"/>
    <w:rsid w:val="357F9290"/>
    <w:rsid w:val="3584CF39"/>
    <w:rsid w:val="3587B288"/>
    <w:rsid w:val="35894785"/>
    <w:rsid w:val="358C65B0"/>
    <w:rsid w:val="358F423E"/>
    <w:rsid w:val="358F4674"/>
    <w:rsid w:val="35906668"/>
    <w:rsid w:val="35944585"/>
    <w:rsid w:val="35974AD6"/>
    <w:rsid w:val="359A4F35"/>
    <w:rsid w:val="359D65DD"/>
    <w:rsid w:val="35A2FFF7"/>
    <w:rsid w:val="35A64FD5"/>
    <w:rsid w:val="35A665D1"/>
    <w:rsid w:val="35AB2F4C"/>
    <w:rsid w:val="35AE6962"/>
    <w:rsid w:val="35B7500A"/>
    <w:rsid w:val="35B87F51"/>
    <w:rsid w:val="35BD59D0"/>
    <w:rsid w:val="35BDC3A2"/>
    <w:rsid w:val="35C0BF16"/>
    <w:rsid w:val="35C135B5"/>
    <w:rsid w:val="35C51323"/>
    <w:rsid w:val="35C82EFB"/>
    <w:rsid w:val="35C99802"/>
    <w:rsid w:val="35CAC209"/>
    <w:rsid w:val="35CE9030"/>
    <w:rsid w:val="35D0B4C4"/>
    <w:rsid w:val="35D16F5D"/>
    <w:rsid w:val="35D1BDF9"/>
    <w:rsid w:val="35D47A43"/>
    <w:rsid w:val="35D71FC0"/>
    <w:rsid w:val="35D80474"/>
    <w:rsid w:val="35DDA361"/>
    <w:rsid w:val="35DF0F35"/>
    <w:rsid w:val="35E17E28"/>
    <w:rsid w:val="35E5AE25"/>
    <w:rsid w:val="35EA97F8"/>
    <w:rsid w:val="35EB3B89"/>
    <w:rsid w:val="35EEAE31"/>
    <w:rsid w:val="35F58BF0"/>
    <w:rsid w:val="35F6B594"/>
    <w:rsid w:val="35FCB745"/>
    <w:rsid w:val="35FCF890"/>
    <w:rsid w:val="36021ADD"/>
    <w:rsid w:val="3603F164"/>
    <w:rsid w:val="36080855"/>
    <w:rsid w:val="36095631"/>
    <w:rsid w:val="360BC158"/>
    <w:rsid w:val="360FD0B4"/>
    <w:rsid w:val="3613C1BA"/>
    <w:rsid w:val="36140518"/>
    <w:rsid w:val="36189E79"/>
    <w:rsid w:val="361A67B1"/>
    <w:rsid w:val="361C06EC"/>
    <w:rsid w:val="361ED378"/>
    <w:rsid w:val="362E9477"/>
    <w:rsid w:val="362FF31B"/>
    <w:rsid w:val="3631CE8F"/>
    <w:rsid w:val="363472E2"/>
    <w:rsid w:val="363F1988"/>
    <w:rsid w:val="363F4240"/>
    <w:rsid w:val="3641940B"/>
    <w:rsid w:val="36436F0D"/>
    <w:rsid w:val="365FEFE3"/>
    <w:rsid w:val="36604B25"/>
    <w:rsid w:val="3660732F"/>
    <w:rsid w:val="3665F49F"/>
    <w:rsid w:val="366A4837"/>
    <w:rsid w:val="366B5512"/>
    <w:rsid w:val="366DC4FF"/>
    <w:rsid w:val="3677EE8A"/>
    <w:rsid w:val="367CF459"/>
    <w:rsid w:val="36801D9F"/>
    <w:rsid w:val="3683691E"/>
    <w:rsid w:val="368B3523"/>
    <w:rsid w:val="368B9AC0"/>
    <w:rsid w:val="368BDF0B"/>
    <w:rsid w:val="368C1E8C"/>
    <w:rsid w:val="36919D59"/>
    <w:rsid w:val="369BFD30"/>
    <w:rsid w:val="369C6597"/>
    <w:rsid w:val="369E0D16"/>
    <w:rsid w:val="36A3CA35"/>
    <w:rsid w:val="36A459BC"/>
    <w:rsid w:val="36ABA1AB"/>
    <w:rsid w:val="36ADC203"/>
    <w:rsid w:val="36AF717F"/>
    <w:rsid w:val="36B064E1"/>
    <w:rsid w:val="36B50CBB"/>
    <w:rsid w:val="36B6C681"/>
    <w:rsid w:val="36B8EB58"/>
    <w:rsid w:val="36BC1F0C"/>
    <w:rsid w:val="36BC9DB6"/>
    <w:rsid w:val="36C3FF11"/>
    <w:rsid w:val="36C56C60"/>
    <w:rsid w:val="36C668C6"/>
    <w:rsid w:val="36CC4BD2"/>
    <w:rsid w:val="36D12A3C"/>
    <w:rsid w:val="36D1ECA4"/>
    <w:rsid w:val="36D276F1"/>
    <w:rsid w:val="36D2D521"/>
    <w:rsid w:val="36D3B710"/>
    <w:rsid w:val="36DAC52E"/>
    <w:rsid w:val="36DBF8AB"/>
    <w:rsid w:val="36DD59A0"/>
    <w:rsid w:val="36DFFA82"/>
    <w:rsid w:val="36E0B2BD"/>
    <w:rsid w:val="36EBF863"/>
    <w:rsid w:val="36ECC82E"/>
    <w:rsid w:val="36EFFB53"/>
    <w:rsid w:val="36F57BE0"/>
    <w:rsid w:val="36F6C2BF"/>
    <w:rsid w:val="36FE9154"/>
    <w:rsid w:val="3701F40C"/>
    <w:rsid w:val="3708A9D8"/>
    <w:rsid w:val="371673A4"/>
    <w:rsid w:val="3716B710"/>
    <w:rsid w:val="3717B89E"/>
    <w:rsid w:val="3718B3D3"/>
    <w:rsid w:val="37202821"/>
    <w:rsid w:val="37224274"/>
    <w:rsid w:val="3722F012"/>
    <w:rsid w:val="372A4C28"/>
    <w:rsid w:val="372A779B"/>
    <w:rsid w:val="372D1BEB"/>
    <w:rsid w:val="372E1D11"/>
    <w:rsid w:val="372E7FF1"/>
    <w:rsid w:val="372F96D3"/>
    <w:rsid w:val="3730F463"/>
    <w:rsid w:val="3732900B"/>
    <w:rsid w:val="3733F76D"/>
    <w:rsid w:val="373585BC"/>
    <w:rsid w:val="373763F7"/>
    <w:rsid w:val="374294D5"/>
    <w:rsid w:val="37473E2C"/>
    <w:rsid w:val="374B7417"/>
    <w:rsid w:val="37504C30"/>
    <w:rsid w:val="37536967"/>
    <w:rsid w:val="3755F83F"/>
    <w:rsid w:val="3759794E"/>
    <w:rsid w:val="37599403"/>
    <w:rsid w:val="375A5345"/>
    <w:rsid w:val="375C1514"/>
    <w:rsid w:val="375D37A4"/>
    <w:rsid w:val="375D46B2"/>
    <w:rsid w:val="375D7E63"/>
    <w:rsid w:val="375F7485"/>
    <w:rsid w:val="376373BC"/>
    <w:rsid w:val="37649DA0"/>
    <w:rsid w:val="376548EF"/>
    <w:rsid w:val="376BA92A"/>
    <w:rsid w:val="376D3E13"/>
    <w:rsid w:val="376FF70E"/>
    <w:rsid w:val="37749FB2"/>
    <w:rsid w:val="377D1B39"/>
    <w:rsid w:val="3782BB81"/>
    <w:rsid w:val="3784D0C4"/>
    <w:rsid w:val="3788F6D7"/>
    <w:rsid w:val="37891FBF"/>
    <w:rsid w:val="378CA26F"/>
    <w:rsid w:val="37902E7C"/>
    <w:rsid w:val="379534CF"/>
    <w:rsid w:val="3795E222"/>
    <w:rsid w:val="37988D73"/>
    <w:rsid w:val="379B1C44"/>
    <w:rsid w:val="379C4F31"/>
    <w:rsid w:val="37A1A44B"/>
    <w:rsid w:val="37A35877"/>
    <w:rsid w:val="37A5DF51"/>
    <w:rsid w:val="37A6CAE9"/>
    <w:rsid w:val="37A77CCE"/>
    <w:rsid w:val="37ACFA49"/>
    <w:rsid w:val="37AFD0E4"/>
    <w:rsid w:val="37B0763E"/>
    <w:rsid w:val="37B07ED6"/>
    <w:rsid w:val="37B87DD3"/>
    <w:rsid w:val="37BB7A8E"/>
    <w:rsid w:val="37BE4193"/>
    <w:rsid w:val="37C6F063"/>
    <w:rsid w:val="37C70A53"/>
    <w:rsid w:val="37CC27B2"/>
    <w:rsid w:val="37CFC440"/>
    <w:rsid w:val="37D18731"/>
    <w:rsid w:val="37D5545D"/>
    <w:rsid w:val="37D80CFF"/>
    <w:rsid w:val="37D82354"/>
    <w:rsid w:val="37DA1B52"/>
    <w:rsid w:val="37DC6D9F"/>
    <w:rsid w:val="37E28FFA"/>
    <w:rsid w:val="37E34D38"/>
    <w:rsid w:val="37E4F0CA"/>
    <w:rsid w:val="37E80C49"/>
    <w:rsid w:val="37EDB17B"/>
    <w:rsid w:val="37EE3953"/>
    <w:rsid w:val="37F2AB66"/>
    <w:rsid w:val="37F3C810"/>
    <w:rsid w:val="37FA113D"/>
    <w:rsid w:val="37FC1B86"/>
    <w:rsid w:val="37FC4C82"/>
    <w:rsid w:val="37FFA8AD"/>
    <w:rsid w:val="3805471B"/>
    <w:rsid w:val="3807C6CD"/>
    <w:rsid w:val="3809FA55"/>
    <w:rsid w:val="380AD94A"/>
    <w:rsid w:val="380BE08A"/>
    <w:rsid w:val="380D412C"/>
    <w:rsid w:val="381029E0"/>
    <w:rsid w:val="38165BC9"/>
    <w:rsid w:val="381A641B"/>
    <w:rsid w:val="381F7267"/>
    <w:rsid w:val="3824D566"/>
    <w:rsid w:val="38289C52"/>
    <w:rsid w:val="38295CC3"/>
    <w:rsid w:val="382E8180"/>
    <w:rsid w:val="382EDB69"/>
    <w:rsid w:val="382F3D68"/>
    <w:rsid w:val="383003DE"/>
    <w:rsid w:val="3830369B"/>
    <w:rsid w:val="38366B4B"/>
    <w:rsid w:val="38385DBF"/>
    <w:rsid w:val="383F6410"/>
    <w:rsid w:val="3840E3B9"/>
    <w:rsid w:val="38442378"/>
    <w:rsid w:val="38445F09"/>
    <w:rsid w:val="38479B15"/>
    <w:rsid w:val="3849314B"/>
    <w:rsid w:val="384B5B97"/>
    <w:rsid w:val="384BF01C"/>
    <w:rsid w:val="384CFAB6"/>
    <w:rsid w:val="384D2AAC"/>
    <w:rsid w:val="38507D52"/>
    <w:rsid w:val="38515293"/>
    <w:rsid w:val="3854740F"/>
    <w:rsid w:val="3856A687"/>
    <w:rsid w:val="38577E07"/>
    <w:rsid w:val="38585E3F"/>
    <w:rsid w:val="385BD6F3"/>
    <w:rsid w:val="385F72BB"/>
    <w:rsid w:val="3861A260"/>
    <w:rsid w:val="38658719"/>
    <w:rsid w:val="38671C00"/>
    <w:rsid w:val="3867544D"/>
    <w:rsid w:val="3868791B"/>
    <w:rsid w:val="386A653F"/>
    <w:rsid w:val="386C119B"/>
    <w:rsid w:val="3873211E"/>
    <w:rsid w:val="3874DF6A"/>
    <w:rsid w:val="3876DD88"/>
    <w:rsid w:val="3876F15A"/>
    <w:rsid w:val="387ABFB3"/>
    <w:rsid w:val="387B6B1F"/>
    <w:rsid w:val="387DD483"/>
    <w:rsid w:val="3881D627"/>
    <w:rsid w:val="38854556"/>
    <w:rsid w:val="388F7C4D"/>
    <w:rsid w:val="38902166"/>
    <w:rsid w:val="38987E46"/>
    <w:rsid w:val="38A41243"/>
    <w:rsid w:val="38A80B29"/>
    <w:rsid w:val="38A8EEC6"/>
    <w:rsid w:val="38A95463"/>
    <w:rsid w:val="38AC167A"/>
    <w:rsid w:val="38ACEBF5"/>
    <w:rsid w:val="38B18504"/>
    <w:rsid w:val="38B2D4B4"/>
    <w:rsid w:val="38BA4015"/>
    <w:rsid w:val="38BCD63F"/>
    <w:rsid w:val="38BD2013"/>
    <w:rsid w:val="38C27616"/>
    <w:rsid w:val="38C70F0A"/>
    <w:rsid w:val="38C78B0E"/>
    <w:rsid w:val="38C815B5"/>
    <w:rsid w:val="38CD770F"/>
    <w:rsid w:val="38CEFF17"/>
    <w:rsid w:val="38D987C9"/>
    <w:rsid w:val="38DE379B"/>
    <w:rsid w:val="38E8374E"/>
    <w:rsid w:val="38ECB6C5"/>
    <w:rsid w:val="38F03D56"/>
    <w:rsid w:val="38F12587"/>
    <w:rsid w:val="38F170C1"/>
    <w:rsid w:val="38F56B60"/>
    <w:rsid w:val="38F5D8BB"/>
    <w:rsid w:val="38FB3173"/>
    <w:rsid w:val="38FFAB93"/>
    <w:rsid w:val="3900DBB7"/>
    <w:rsid w:val="3908C415"/>
    <w:rsid w:val="390D0BB9"/>
    <w:rsid w:val="39143C75"/>
    <w:rsid w:val="39184546"/>
    <w:rsid w:val="3919031F"/>
    <w:rsid w:val="39191BE2"/>
    <w:rsid w:val="391A5A07"/>
    <w:rsid w:val="391CDD33"/>
    <w:rsid w:val="391CFE79"/>
    <w:rsid w:val="391DCC26"/>
    <w:rsid w:val="39243FEB"/>
    <w:rsid w:val="3924A27C"/>
    <w:rsid w:val="3926A21F"/>
    <w:rsid w:val="392DCA5B"/>
    <w:rsid w:val="392E7060"/>
    <w:rsid w:val="392F570D"/>
    <w:rsid w:val="393A7750"/>
    <w:rsid w:val="393BFF23"/>
    <w:rsid w:val="393C4654"/>
    <w:rsid w:val="393DE2F2"/>
    <w:rsid w:val="3942031F"/>
    <w:rsid w:val="3946FA10"/>
    <w:rsid w:val="3948735F"/>
    <w:rsid w:val="39499443"/>
    <w:rsid w:val="394A8F30"/>
    <w:rsid w:val="394AF112"/>
    <w:rsid w:val="394B7B75"/>
    <w:rsid w:val="3954A0BF"/>
    <w:rsid w:val="395A8720"/>
    <w:rsid w:val="395C37AD"/>
    <w:rsid w:val="395E1759"/>
    <w:rsid w:val="3963B150"/>
    <w:rsid w:val="39712B55"/>
    <w:rsid w:val="3971327E"/>
    <w:rsid w:val="397A67C8"/>
    <w:rsid w:val="397C1EFB"/>
    <w:rsid w:val="397D184F"/>
    <w:rsid w:val="3980CA29"/>
    <w:rsid w:val="3981409B"/>
    <w:rsid w:val="3981E94A"/>
    <w:rsid w:val="398C40D1"/>
    <w:rsid w:val="398FF044"/>
    <w:rsid w:val="3994B966"/>
    <w:rsid w:val="39982546"/>
    <w:rsid w:val="399B3398"/>
    <w:rsid w:val="39ACD075"/>
    <w:rsid w:val="39ADD2D8"/>
    <w:rsid w:val="39AEC1DA"/>
    <w:rsid w:val="39B58587"/>
    <w:rsid w:val="39B5A2F9"/>
    <w:rsid w:val="39B5E099"/>
    <w:rsid w:val="39B6E3DB"/>
    <w:rsid w:val="39B74422"/>
    <w:rsid w:val="39BBB23A"/>
    <w:rsid w:val="39C10653"/>
    <w:rsid w:val="39C1E6D8"/>
    <w:rsid w:val="39C3849E"/>
    <w:rsid w:val="39C60B6E"/>
    <w:rsid w:val="39C63152"/>
    <w:rsid w:val="39C6A65C"/>
    <w:rsid w:val="39CBFFE2"/>
    <w:rsid w:val="39D32222"/>
    <w:rsid w:val="39D4F330"/>
    <w:rsid w:val="39D8242E"/>
    <w:rsid w:val="39D93DA7"/>
    <w:rsid w:val="39E40075"/>
    <w:rsid w:val="39E49EB5"/>
    <w:rsid w:val="39F93BCC"/>
    <w:rsid w:val="39FEF0F4"/>
    <w:rsid w:val="39FFA55D"/>
    <w:rsid w:val="3A0006C3"/>
    <w:rsid w:val="3A02B8D5"/>
    <w:rsid w:val="3A04F0C3"/>
    <w:rsid w:val="3A06774B"/>
    <w:rsid w:val="3A072ED8"/>
    <w:rsid w:val="3A0852E3"/>
    <w:rsid w:val="3A0CC92F"/>
    <w:rsid w:val="3A0F22A5"/>
    <w:rsid w:val="3A0F821A"/>
    <w:rsid w:val="3A10E8C3"/>
    <w:rsid w:val="3A1383EA"/>
    <w:rsid w:val="3A15D1FB"/>
    <w:rsid w:val="3A179B44"/>
    <w:rsid w:val="3A19F709"/>
    <w:rsid w:val="3A1CB4BD"/>
    <w:rsid w:val="3A1E1D70"/>
    <w:rsid w:val="3A1F8C00"/>
    <w:rsid w:val="3A245D2A"/>
    <w:rsid w:val="3A24B757"/>
    <w:rsid w:val="3A25138E"/>
    <w:rsid w:val="3A253050"/>
    <w:rsid w:val="3A3344E4"/>
    <w:rsid w:val="3A35DECB"/>
    <w:rsid w:val="3A38BC59"/>
    <w:rsid w:val="3A46B95E"/>
    <w:rsid w:val="3A47FDCC"/>
    <w:rsid w:val="3A48FACB"/>
    <w:rsid w:val="3A4C2445"/>
    <w:rsid w:val="3A4C28F8"/>
    <w:rsid w:val="3A4DA1C6"/>
    <w:rsid w:val="3A4F0824"/>
    <w:rsid w:val="3A51AB47"/>
    <w:rsid w:val="3A521BAA"/>
    <w:rsid w:val="3A57CABB"/>
    <w:rsid w:val="3A5AC1D2"/>
    <w:rsid w:val="3A5DCCF6"/>
    <w:rsid w:val="3A653835"/>
    <w:rsid w:val="3A6B0398"/>
    <w:rsid w:val="3A6C624A"/>
    <w:rsid w:val="3A6C6279"/>
    <w:rsid w:val="3A6CFD12"/>
    <w:rsid w:val="3A6D1C0A"/>
    <w:rsid w:val="3A76E295"/>
    <w:rsid w:val="3A776B46"/>
    <w:rsid w:val="3A78AA7F"/>
    <w:rsid w:val="3A78F55C"/>
    <w:rsid w:val="3A79486D"/>
    <w:rsid w:val="3A79849A"/>
    <w:rsid w:val="3A7F4ACF"/>
    <w:rsid w:val="3A80A471"/>
    <w:rsid w:val="3A8735CA"/>
    <w:rsid w:val="3A8A578B"/>
    <w:rsid w:val="3A93810E"/>
    <w:rsid w:val="3A96014D"/>
    <w:rsid w:val="3A97664C"/>
    <w:rsid w:val="3A990E94"/>
    <w:rsid w:val="3A997CCE"/>
    <w:rsid w:val="3A9A8B6C"/>
    <w:rsid w:val="3AA25D32"/>
    <w:rsid w:val="3AA74441"/>
    <w:rsid w:val="3AA8271C"/>
    <w:rsid w:val="3AB08CF4"/>
    <w:rsid w:val="3AB6E3D5"/>
    <w:rsid w:val="3AB8D114"/>
    <w:rsid w:val="3AB9C455"/>
    <w:rsid w:val="3ABB38CE"/>
    <w:rsid w:val="3ABBCB73"/>
    <w:rsid w:val="3ABF6684"/>
    <w:rsid w:val="3ABF873F"/>
    <w:rsid w:val="3AC12531"/>
    <w:rsid w:val="3AC52C56"/>
    <w:rsid w:val="3AC8A380"/>
    <w:rsid w:val="3ACBEE3D"/>
    <w:rsid w:val="3AD0E6E9"/>
    <w:rsid w:val="3AD125C7"/>
    <w:rsid w:val="3AD68162"/>
    <w:rsid w:val="3AD834AB"/>
    <w:rsid w:val="3ADAA18F"/>
    <w:rsid w:val="3ADBC727"/>
    <w:rsid w:val="3AE136ED"/>
    <w:rsid w:val="3AE640CD"/>
    <w:rsid w:val="3AE85FCC"/>
    <w:rsid w:val="3AE8B3AC"/>
    <w:rsid w:val="3AE96154"/>
    <w:rsid w:val="3AEF68C3"/>
    <w:rsid w:val="3AF03AD1"/>
    <w:rsid w:val="3AF6287B"/>
    <w:rsid w:val="3AF68ED3"/>
    <w:rsid w:val="3AF7C7F7"/>
    <w:rsid w:val="3AF9DF4D"/>
    <w:rsid w:val="3AFC05DB"/>
    <w:rsid w:val="3B00BF76"/>
    <w:rsid w:val="3B044EB1"/>
    <w:rsid w:val="3B04AE42"/>
    <w:rsid w:val="3B04FC07"/>
    <w:rsid w:val="3B07CB43"/>
    <w:rsid w:val="3B0A04BF"/>
    <w:rsid w:val="3B0BF581"/>
    <w:rsid w:val="3B0CAA92"/>
    <w:rsid w:val="3B0EEA22"/>
    <w:rsid w:val="3B1212B6"/>
    <w:rsid w:val="3B129DFC"/>
    <w:rsid w:val="3B189002"/>
    <w:rsid w:val="3B1955C0"/>
    <w:rsid w:val="3B1988D7"/>
    <w:rsid w:val="3B257B53"/>
    <w:rsid w:val="3B2A0B8E"/>
    <w:rsid w:val="3B2AEA36"/>
    <w:rsid w:val="3B2B9C23"/>
    <w:rsid w:val="3B30E0BE"/>
    <w:rsid w:val="3B3459B5"/>
    <w:rsid w:val="3B360E94"/>
    <w:rsid w:val="3B374446"/>
    <w:rsid w:val="3B384EDB"/>
    <w:rsid w:val="3B45880E"/>
    <w:rsid w:val="3B492858"/>
    <w:rsid w:val="3B499C15"/>
    <w:rsid w:val="3B4A65C2"/>
    <w:rsid w:val="3B4B95B0"/>
    <w:rsid w:val="3B544999"/>
    <w:rsid w:val="3B575054"/>
    <w:rsid w:val="3B5BDAF1"/>
    <w:rsid w:val="3B5E57F7"/>
    <w:rsid w:val="3B623C3A"/>
    <w:rsid w:val="3B65406C"/>
    <w:rsid w:val="3B684DDB"/>
    <w:rsid w:val="3B690EB2"/>
    <w:rsid w:val="3B6B6439"/>
    <w:rsid w:val="3B710CDC"/>
    <w:rsid w:val="3B719D0C"/>
    <w:rsid w:val="3B71E845"/>
    <w:rsid w:val="3B7D0A32"/>
    <w:rsid w:val="3B832B71"/>
    <w:rsid w:val="3B843679"/>
    <w:rsid w:val="3B880B00"/>
    <w:rsid w:val="3B89F5CA"/>
    <w:rsid w:val="3B8B992B"/>
    <w:rsid w:val="3B901A56"/>
    <w:rsid w:val="3B90ACA4"/>
    <w:rsid w:val="3B92EDF4"/>
    <w:rsid w:val="3B97053F"/>
    <w:rsid w:val="3B980313"/>
    <w:rsid w:val="3B9AB60C"/>
    <w:rsid w:val="3B9CDD74"/>
    <w:rsid w:val="3B9D2A0F"/>
    <w:rsid w:val="3B9D312B"/>
    <w:rsid w:val="3BA366CA"/>
    <w:rsid w:val="3BA96A07"/>
    <w:rsid w:val="3BAFD31D"/>
    <w:rsid w:val="3BB10001"/>
    <w:rsid w:val="3BB88D23"/>
    <w:rsid w:val="3BBC5BB8"/>
    <w:rsid w:val="3BBE185B"/>
    <w:rsid w:val="3BCE6195"/>
    <w:rsid w:val="3BD58721"/>
    <w:rsid w:val="3BD68875"/>
    <w:rsid w:val="3BDA447B"/>
    <w:rsid w:val="3BDCE352"/>
    <w:rsid w:val="3BDD4470"/>
    <w:rsid w:val="3BDF74A8"/>
    <w:rsid w:val="3BE0E08A"/>
    <w:rsid w:val="3BE142EF"/>
    <w:rsid w:val="3BE21E5A"/>
    <w:rsid w:val="3BE4EF35"/>
    <w:rsid w:val="3BEE904C"/>
    <w:rsid w:val="3BF1E570"/>
    <w:rsid w:val="3BF32DD1"/>
    <w:rsid w:val="3BF89AFB"/>
    <w:rsid w:val="3BFC9CD8"/>
    <w:rsid w:val="3BFE1826"/>
    <w:rsid w:val="3BFF7EC7"/>
    <w:rsid w:val="3C00768F"/>
    <w:rsid w:val="3C0495B3"/>
    <w:rsid w:val="3C076890"/>
    <w:rsid w:val="3C0D029C"/>
    <w:rsid w:val="3C12947E"/>
    <w:rsid w:val="3C18DBC5"/>
    <w:rsid w:val="3C1A5ED8"/>
    <w:rsid w:val="3C1EEB6E"/>
    <w:rsid w:val="3C1F1A0E"/>
    <w:rsid w:val="3C1F327D"/>
    <w:rsid w:val="3C20DBB3"/>
    <w:rsid w:val="3C25DD70"/>
    <w:rsid w:val="3C277F3B"/>
    <w:rsid w:val="3C2A1473"/>
    <w:rsid w:val="3C2A18ED"/>
    <w:rsid w:val="3C2BBF2E"/>
    <w:rsid w:val="3C301C37"/>
    <w:rsid w:val="3C33E10C"/>
    <w:rsid w:val="3C36524F"/>
    <w:rsid w:val="3C373136"/>
    <w:rsid w:val="3C3E0F7F"/>
    <w:rsid w:val="3C441F36"/>
    <w:rsid w:val="3C47E77C"/>
    <w:rsid w:val="3C48B881"/>
    <w:rsid w:val="3C4B42F8"/>
    <w:rsid w:val="3C4CFE5F"/>
    <w:rsid w:val="3C5361BF"/>
    <w:rsid w:val="3C545959"/>
    <w:rsid w:val="3C551A70"/>
    <w:rsid w:val="3C59DC8C"/>
    <w:rsid w:val="3C5B36CC"/>
    <w:rsid w:val="3C5EC1FA"/>
    <w:rsid w:val="3C5FAFF2"/>
    <w:rsid w:val="3C622A0D"/>
    <w:rsid w:val="3C638EF4"/>
    <w:rsid w:val="3C69A427"/>
    <w:rsid w:val="3C71A920"/>
    <w:rsid w:val="3C7351E7"/>
    <w:rsid w:val="3C763E4D"/>
    <w:rsid w:val="3C7AA701"/>
    <w:rsid w:val="3C7C4A58"/>
    <w:rsid w:val="3C831B0F"/>
    <w:rsid w:val="3C869910"/>
    <w:rsid w:val="3C877411"/>
    <w:rsid w:val="3C8AD622"/>
    <w:rsid w:val="3C8E1F7A"/>
    <w:rsid w:val="3C964C94"/>
    <w:rsid w:val="3C964DA1"/>
    <w:rsid w:val="3C986EAF"/>
    <w:rsid w:val="3C9C48C2"/>
    <w:rsid w:val="3C9D5BF3"/>
    <w:rsid w:val="3C9DCA41"/>
    <w:rsid w:val="3C9E1681"/>
    <w:rsid w:val="3C9E2FDE"/>
    <w:rsid w:val="3C9E57B1"/>
    <w:rsid w:val="3CA2123A"/>
    <w:rsid w:val="3CB0A494"/>
    <w:rsid w:val="3CB11059"/>
    <w:rsid w:val="3CB84C9B"/>
    <w:rsid w:val="3CBB9A12"/>
    <w:rsid w:val="3CC494E1"/>
    <w:rsid w:val="3CC70757"/>
    <w:rsid w:val="3CCEBDDD"/>
    <w:rsid w:val="3CD66D25"/>
    <w:rsid w:val="3CD6FE9D"/>
    <w:rsid w:val="3CD7D937"/>
    <w:rsid w:val="3CD93C85"/>
    <w:rsid w:val="3CDB1897"/>
    <w:rsid w:val="3CDB9C5E"/>
    <w:rsid w:val="3CDEAB3F"/>
    <w:rsid w:val="3CE69A6E"/>
    <w:rsid w:val="3CEBA02E"/>
    <w:rsid w:val="3CEFC9DA"/>
    <w:rsid w:val="3CF487F0"/>
    <w:rsid w:val="3CFD763A"/>
    <w:rsid w:val="3D03F787"/>
    <w:rsid w:val="3D05F269"/>
    <w:rsid w:val="3D0896C1"/>
    <w:rsid w:val="3D0A21DA"/>
    <w:rsid w:val="3D0BD140"/>
    <w:rsid w:val="3D0C6C33"/>
    <w:rsid w:val="3D10540C"/>
    <w:rsid w:val="3D1500DE"/>
    <w:rsid w:val="3D175CC8"/>
    <w:rsid w:val="3D191488"/>
    <w:rsid w:val="3D26BC66"/>
    <w:rsid w:val="3D27C316"/>
    <w:rsid w:val="3D2939AD"/>
    <w:rsid w:val="3D33A4CF"/>
    <w:rsid w:val="3D34D551"/>
    <w:rsid w:val="3D38D7B0"/>
    <w:rsid w:val="3D38F577"/>
    <w:rsid w:val="3D3A97B4"/>
    <w:rsid w:val="3D3B36DB"/>
    <w:rsid w:val="3D3BE9EA"/>
    <w:rsid w:val="3D3FFD05"/>
    <w:rsid w:val="3D404303"/>
    <w:rsid w:val="3D412E28"/>
    <w:rsid w:val="3D425158"/>
    <w:rsid w:val="3D42FE78"/>
    <w:rsid w:val="3D48C16A"/>
    <w:rsid w:val="3D51F386"/>
    <w:rsid w:val="3D547818"/>
    <w:rsid w:val="3D5D79D1"/>
    <w:rsid w:val="3D5D82C3"/>
    <w:rsid w:val="3D5DD0FF"/>
    <w:rsid w:val="3D6688D9"/>
    <w:rsid w:val="3D6886B1"/>
    <w:rsid w:val="3D69BE00"/>
    <w:rsid w:val="3D6B7375"/>
    <w:rsid w:val="3D6BB5E9"/>
    <w:rsid w:val="3D6EF0AE"/>
    <w:rsid w:val="3D6F5F0C"/>
    <w:rsid w:val="3D703B06"/>
    <w:rsid w:val="3D719863"/>
    <w:rsid w:val="3D71DD31"/>
    <w:rsid w:val="3D72287F"/>
    <w:rsid w:val="3D77BCEA"/>
    <w:rsid w:val="3D7DD61C"/>
    <w:rsid w:val="3D7DDD69"/>
    <w:rsid w:val="3D89B1B2"/>
    <w:rsid w:val="3D8C9DD8"/>
    <w:rsid w:val="3D8FC1DF"/>
    <w:rsid w:val="3D917548"/>
    <w:rsid w:val="3D9219FA"/>
    <w:rsid w:val="3D94E022"/>
    <w:rsid w:val="3D9593FE"/>
    <w:rsid w:val="3D988AA8"/>
    <w:rsid w:val="3D991FC8"/>
    <w:rsid w:val="3D9A2A93"/>
    <w:rsid w:val="3D9C2D35"/>
    <w:rsid w:val="3DA831C5"/>
    <w:rsid w:val="3DAA1D9A"/>
    <w:rsid w:val="3DABB866"/>
    <w:rsid w:val="3DB2A7C7"/>
    <w:rsid w:val="3DB35F60"/>
    <w:rsid w:val="3DB9C3BF"/>
    <w:rsid w:val="3DB9C88D"/>
    <w:rsid w:val="3DB9CD15"/>
    <w:rsid w:val="3DBB6216"/>
    <w:rsid w:val="3DC36FAB"/>
    <w:rsid w:val="3DC598AD"/>
    <w:rsid w:val="3DC6888D"/>
    <w:rsid w:val="3DC69F81"/>
    <w:rsid w:val="3DCB0284"/>
    <w:rsid w:val="3DCCCFBE"/>
    <w:rsid w:val="3DDBD257"/>
    <w:rsid w:val="3DE068A2"/>
    <w:rsid w:val="3DE173FC"/>
    <w:rsid w:val="3DE1A3BC"/>
    <w:rsid w:val="3DE4384C"/>
    <w:rsid w:val="3DE83B73"/>
    <w:rsid w:val="3DE9AAA8"/>
    <w:rsid w:val="3DECFEB2"/>
    <w:rsid w:val="3DEF13F1"/>
    <w:rsid w:val="3DF240BA"/>
    <w:rsid w:val="3DF48964"/>
    <w:rsid w:val="3DF63332"/>
    <w:rsid w:val="3DFEDF1F"/>
    <w:rsid w:val="3E00A92A"/>
    <w:rsid w:val="3E022E0D"/>
    <w:rsid w:val="3E0339A0"/>
    <w:rsid w:val="3E0442B7"/>
    <w:rsid w:val="3E06FD13"/>
    <w:rsid w:val="3E070AE8"/>
    <w:rsid w:val="3E0A4040"/>
    <w:rsid w:val="3E0A7F36"/>
    <w:rsid w:val="3E11F9EB"/>
    <w:rsid w:val="3E198B8B"/>
    <w:rsid w:val="3E1EB8F0"/>
    <w:rsid w:val="3E1F912F"/>
    <w:rsid w:val="3E22C332"/>
    <w:rsid w:val="3E29E99D"/>
    <w:rsid w:val="3E321D4C"/>
    <w:rsid w:val="3E327F36"/>
    <w:rsid w:val="3E393FAF"/>
    <w:rsid w:val="3E3AF696"/>
    <w:rsid w:val="3E3BC083"/>
    <w:rsid w:val="3E4409CA"/>
    <w:rsid w:val="3E44CDBE"/>
    <w:rsid w:val="3E460101"/>
    <w:rsid w:val="3E475AB0"/>
    <w:rsid w:val="3E4C4B2A"/>
    <w:rsid w:val="3E4E8B66"/>
    <w:rsid w:val="3E50AEE3"/>
    <w:rsid w:val="3E571DE6"/>
    <w:rsid w:val="3E58AD87"/>
    <w:rsid w:val="3E60A758"/>
    <w:rsid w:val="3E62C011"/>
    <w:rsid w:val="3E634704"/>
    <w:rsid w:val="3E64CDF4"/>
    <w:rsid w:val="3E6519EF"/>
    <w:rsid w:val="3E683BC0"/>
    <w:rsid w:val="3E73D790"/>
    <w:rsid w:val="3E77E5EC"/>
    <w:rsid w:val="3E7809B7"/>
    <w:rsid w:val="3E7846B9"/>
    <w:rsid w:val="3E79F02B"/>
    <w:rsid w:val="3E7C778E"/>
    <w:rsid w:val="3E7E04A4"/>
    <w:rsid w:val="3E7ED37D"/>
    <w:rsid w:val="3E8409CB"/>
    <w:rsid w:val="3E8B86A6"/>
    <w:rsid w:val="3E8BA104"/>
    <w:rsid w:val="3E8CBD30"/>
    <w:rsid w:val="3E8F225F"/>
    <w:rsid w:val="3E94F28A"/>
    <w:rsid w:val="3E992913"/>
    <w:rsid w:val="3E9AE678"/>
    <w:rsid w:val="3EA37F1B"/>
    <w:rsid w:val="3EA3D7CC"/>
    <w:rsid w:val="3EA7659E"/>
    <w:rsid w:val="3EAF0A81"/>
    <w:rsid w:val="3EAFE29A"/>
    <w:rsid w:val="3EB0FB64"/>
    <w:rsid w:val="3EB1A5B8"/>
    <w:rsid w:val="3EB3D78D"/>
    <w:rsid w:val="3EB4C3BD"/>
    <w:rsid w:val="3EB7C818"/>
    <w:rsid w:val="3EB92243"/>
    <w:rsid w:val="3EBD00F0"/>
    <w:rsid w:val="3EBF395E"/>
    <w:rsid w:val="3EC4BF6E"/>
    <w:rsid w:val="3EC9C20D"/>
    <w:rsid w:val="3ECA3C36"/>
    <w:rsid w:val="3ECD6508"/>
    <w:rsid w:val="3ECE1421"/>
    <w:rsid w:val="3ED1CA37"/>
    <w:rsid w:val="3ED22864"/>
    <w:rsid w:val="3ED2398F"/>
    <w:rsid w:val="3ED24E42"/>
    <w:rsid w:val="3ED695C8"/>
    <w:rsid w:val="3ED79C2C"/>
    <w:rsid w:val="3EE1308B"/>
    <w:rsid w:val="3EE983ED"/>
    <w:rsid w:val="3EEEE883"/>
    <w:rsid w:val="3EEFDA7C"/>
    <w:rsid w:val="3EF180AF"/>
    <w:rsid w:val="3EF5A8FE"/>
    <w:rsid w:val="3EF6917B"/>
    <w:rsid w:val="3EF6A1F6"/>
    <w:rsid w:val="3EF961B4"/>
    <w:rsid w:val="3EFD9273"/>
    <w:rsid w:val="3F02F6E3"/>
    <w:rsid w:val="3F0D2B3F"/>
    <w:rsid w:val="3F0E0C40"/>
    <w:rsid w:val="3F0E0C8F"/>
    <w:rsid w:val="3F12999F"/>
    <w:rsid w:val="3F12CE16"/>
    <w:rsid w:val="3F178C21"/>
    <w:rsid w:val="3F1A53FC"/>
    <w:rsid w:val="3F1A5E51"/>
    <w:rsid w:val="3F1AC354"/>
    <w:rsid w:val="3F1B570E"/>
    <w:rsid w:val="3F1DC5B6"/>
    <w:rsid w:val="3F1EE854"/>
    <w:rsid w:val="3F1F32B9"/>
    <w:rsid w:val="3F1FC709"/>
    <w:rsid w:val="3F21BE8A"/>
    <w:rsid w:val="3F22ADB0"/>
    <w:rsid w:val="3F2629D8"/>
    <w:rsid w:val="3F265C03"/>
    <w:rsid w:val="3F2BA792"/>
    <w:rsid w:val="3F2C976C"/>
    <w:rsid w:val="3F30A305"/>
    <w:rsid w:val="3F3282B7"/>
    <w:rsid w:val="3F33430D"/>
    <w:rsid w:val="3F34970F"/>
    <w:rsid w:val="3F3AC36A"/>
    <w:rsid w:val="3F3DFB25"/>
    <w:rsid w:val="3F4DCAFF"/>
    <w:rsid w:val="3F52B16E"/>
    <w:rsid w:val="3F5EB371"/>
    <w:rsid w:val="3F62FE5B"/>
    <w:rsid w:val="3F68D846"/>
    <w:rsid w:val="3F6BFCD3"/>
    <w:rsid w:val="3F6E02E9"/>
    <w:rsid w:val="3F72E237"/>
    <w:rsid w:val="3F74BE6E"/>
    <w:rsid w:val="3F7F112E"/>
    <w:rsid w:val="3F80976B"/>
    <w:rsid w:val="3F84A8CC"/>
    <w:rsid w:val="3F915FB3"/>
    <w:rsid w:val="3F9731DA"/>
    <w:rsid w:val="3FA4C019"/>
    <w:rsid w:val="3FA71492"/>
    <w:rsid w:val="3FAB3F48"/>
    <w:rsid w:val="3FB000DF"/>
    <w:rsid w:val="3FB1882C"/>
    <w:rsid w:val="3FB6D32E"/>
    <w:rsid w:val="3FB70387"/>
    <w:rsid w:val="3FB789F2"/>
    <w:rsid w:val="3FB974D0"/>
    <w:rsid w:val="3FBA769D"/>
    <w:rsid w:val="3FC292DF"/>
    <w:rsid w:val="3FC2EA5A"/>
    <w:rsid w:val="3FC33A93"/>
    <w:rsid w:val="3FC3E243"/>
    <w:rsid w:val="3FC48768"/>
    <w:rsid w:val="3FC7322B"/>
    <w:rsid w:val="3FC8EF74"/>
    <w:rsid w:val="3FCCF185"/>
    <w:rsid w:val="3FCE39A1"/>
    <w:rsid w:val="3FD25A23"/>
    <w:rsid w:val="3FD3BB00"/>
    <w:rsid w:val="3FDAF349"/>
    <w:rsid w:val="3FDE5B2D"/>
    <w:rsid w:val="3FE01655"/>
    <w:rsid w:val="3FE81A50"/>
    <w:rsid w:val="3FE81B8B"/>
    <w:rsid w:val="3FEC64FD"/>
    <w:rsid w:val="3FEDB91E"/>
    <w:rsid w:val="3FEE79EB"/>
    <w:rsid w:val="3FF53569"/>
    <w:rsid w:val="3FF59D20"/>
    <w:rsid w:val="3FF6DF7E"/>
    <w:rsid w:val="3FFD48F9"/>
    <w:rsid w:val="40029E1A"/>
    <w:rsid w:val="40032033"/>
    <w:rsid w:val="40069A6F"/>
    <w:rsid w:val="40096666"/>
    <w:rsid w:val="400ADD28"/>
    <w:rsid w:val="40119C3A"/>
    <w:rsid w:val="40151416"/>
    <w:rsid w:val="401C3E7B"/>
    <w:rsid w:val="401E3402"/>
    <w:rsid w:val="4020E7E8"/>
    <w:rsid w:val="4021E460"/>
    <w:rsid w:val="4031704C"/>
    <w:rsid w:val="4035B3E4"/>
    <w:rsid w:val="4036F697"/>
    <w:rsid w:val="403BA4DF"/>
    <w:rsid w:val="403BC4B9"/>
    <w:rsid w:val="403C7253"/>
    <w:rsid w:val="40417C4C"/>
    <w:rsid w:val="40463274"/>
    <w:rsid w:val="404A75F5"/>
    <w:rsid w:val="404D67DA"/>
    <w:rsid w:val="404FDC6F"/>
    <w:rsid w:val="405A263B"/>
    <w:rsid w:val="405C5447"/>
    <w:rsid w:val="405D7434"/>
    <w:rsid w:val="405FCD9E"/>
    <w:rsid w:val="4060F0FB"/>
    <w:rsid w:val="406C228C"/>
    <w:rsid w:val="40704C63"/>
    <w:rsid w:val="40711801"/>
    <w:rsid w:val="40716EF5"/>
    <w:rsid w:val="4077148C"/>
    <w:rsid w:val="40787951"/>
    <w:rsid w:val="407B268E"/>
    <w:rsid w:val="407BB912"/>
    <w:rsid w:val="407C0CE0"/>
    <w:rsid w:val="407FC8F2"/>
    <w:rsid w:val="40806FCC"/>
    <w:rsid w:val="40866881"/>
    <w:rsid w:val="4086D568"/>
    <w:rsid w:val="40873BC0"/>
    <w:rsid w:val="408830DB"/>
    <w:rsid w:val="408C173F"/>
    <w:rsid w:val="408C5688"/>
    <w:rsid w:val="408E64A8"/>
    <w:rsid w:val="4090CEA0"/>
    <w:rsid w:val="4094F249"/>
    <w:rsid w:val="40956730"/>
    <w:rsid w:val="4095C772"/>
    <w:rsid w:val="409972B6"/>
    <w:rsid w:val="409F5FD2"/>
    <w:rsid w:val="40A2077B"/>
    <w:rsid w:val="40A2C6B1"/>
    <w:rsid w:val="40A3C5FA"/>
    <w:rsid w:val="40A43486"/>
    <w:rsid w:val="40A60E55"/>
    <w:rsid w:val="40A73A6F"/>
    <w:rsid w:val="40A7DBC8"/>
    <w:rsid w:val="40A8BAA4"/>
    <w:rsid w:val="40AB08FB"/>
    <w:rsid w:val="40AB4B5B"/>
    <w:rsid w:val="40AE4F6C"/>
    <w:rsid w:val="40AEEE35"/>
    <w:rsid w:val="40AF2CAE"/>
    <w:rsid w:val="40B0350B"/>
    <w:rsid w:val="40B1D05B"/>
    <w:rsid w:val="40B25755"/>
    <w:rsid w:val="40B50AE0"/>
    <w:rsid w:val="40B531E0"/>
    <w:rsid w:val="40BA954C"/>
    <w:rsid w:val="40C36BDA"/>
    <w:rsid w:val="40CD9414"/>
    <w:rsid w:val="40CE3C72"/>
    <w:rsid w:val="40D29A79"/>
    <w:rsid w:val="40D5F5D8"/>
    <w:rsid w:val="40D68D7A"/>
    <w:rsid w:val="40D79E18"/>
    <w:rsid w:val="40D7C2E5"/>
    <w:rsid w:val="40DB4DB1"/>
    <w:rsid w:val="40DC5686"/>
    <w:rsid w:val="40E277C2"/>
    <w:rsid w:val="40E4D245"/>
    <w:rsid w:val="40E4ED14"/>
    <w:rsid w:val="40EA47CE"/>
    <w:rsid w:val="40EAB812"/>
    <w:rsid w:val="40EAC821"/>
    <w:rsid w:val="40EF392D"/>
    <w:rsid w:val="40F3CCC3"/>
    <w:rsid w:val="40F90E13"/>
    <w:rsid w:val="40FCD779"/>
    <w:rsid w:val="40FF825D"/>
    <w:rsid w:val="4103AD54"/>
    <w:rsid w:val="4104287F"/>
    <w:rsid w:val="4104314A"/>
    <w:rsid w:val="4105C238"/>
    <w:rsid w:val="41093772"/>
    <w:rsid w:val="410A8255"/>
    <w:rsid w:val="410AD262"/>
    <w:rsid w:val="410F2E7B"/>
    <w:rsid w:val="410FA5AD"/>
    <w:rsid w:val="41111373"/>
    <w:rsid w:val="4112D12C"/>
    <w:rsid w:val="411AFBD0"/>
    <w:rsid w:val="4121FF88"/>
    <w:rsid w:val="4124E758"/>
    <w:rsid w:val="41252D74"/>
    <w:rsid w:val="4125929B"/>
    <w:rsid w:val="4126909B"/>
    <w:rsid w:val="4126C058"/>
    <w:rsid w:val="4129C6EB"/>
    <w:rsid w:val="412A042B"/>
    <w:rsid w:val="412A1B3E"/>
    <w:rsid w:val="412F7620"/>
    <w:rsid w:val="4130C9C6"/>
    <w:rsid w:val="413292B1"/>
    <w:rsid w:val="4135888B"/>
    <w:rsid w:val="4136409C"/>
    <w:rsid w:val="41367E5C"/>
    <w:rsid w:val="4137CE3B"/>
    <w:rsid w:val="413A0082"/>
    <w:rsid w:val="413E7BA7"/>
    <w:rsid w:val="413FF144"/>
    <w:rsid w:val="41400516"/>
    <w:rsid w:val="4140293D"/>
    <w:rsid w:val="41451587"/>
    <w:rsid w:val="4149008D"/>
    <w:rsid w:val="414A461C"/>
    <w:rsid w:val="414CA1D7"/>
    <w:rsid w:val="414E1026"/>
    <w:rsid w:val="41518DEA"/>
    <w:rsid w:val="41525B96"/>
    <w:rsid w:val="415647B2"/>
    <w:rsid w:val="4156D523"/>
    <w:rsid w:val="4158B02A"/>
    <w:rsid w:val="41599E36"/>
    <w:rsid w:val="415AE8FA"/>
    <w:rsid w:val="415E80F9"/>
    <w:rsid w:val="415F5D67"/>
    <w:rsid w:val="4160BA99"/>
    <w:rsid w:val="4160FF12"/>
    <w:rsid w:val="416AEDD5"/>
    <w:rsid w:val="416B67FD"/>
    <w:rsid w:val="416C3894"/>
    <w:rsid w:val="41733154"/>
    <w:rsid w:val="4177E44B"/>
    <w:rsid w:val="417D57CF"/>
    <w:rsid w:val="417FAE97"/>
    <w:rsid w:val="4185220A"/>
    <w:rsid w:val="41912835"/>
    <w:rsid w:val="41935A46"/>
    <w:rsid w:val="4195E5F8"/>
    <w:rsid w:val="41997E5D"/>
    <w:rsid w:val="419A316F"/>
    <w:rsid w:val="419C96D2"/>
    <w:rsid w:val="419EDB8E"/>
    <w:rsid w:val="419FD65E"/>
    <w:rsid w:val="41A455BA"/>
    <w:rsid w:val="41A5447E"/>
    <w:rsid w:val="41A5D8CA"/>
    <w:rsid w:val="41A95247"/>
    <w:rsid w:val="41B81BF0"/>
    <w:rsid w:val="41BAE749"/>
    <w:rsid w:val="41BF87C5"/>
    <w:rsid w:val="41C1BA5C"/>
    <w:rsid w:val="41C715F5"/>
    <w:rsid w:val="41C92DC3"/>
    <w:rsid w:val="41D3F5F3"/>
    <w:rsid w:val="41D73E8D"/>
    <w:rsid w:val="41DC42F9"/>
    <w:rsid w:val="41E00E75"/>
    <w:rsid w:val="41E1F780"/>
    <w:rsid w:val="41E5D460"/>
    <w:rsid w:val="41EF85E0"/>
    <w:rsid w:val="41EF9CD7"/>
    <w:rsid w:val="41F0CB2D"/>
    <w:rsid w:val="41F1071B"/>
    <w:rsid w:val="41F48B79"/>
    <w:rsid w:val="420206E9"/>
    <w:rsid w:val="4204292A"/>
    <w:rsid w:val="420472BF"/>
    <w:rsid w:val="42057B84"/>
    <w:rsid w:val="4207AB45"/>
    <w:rsid w:val="4207D762"/>
    <w:rsid w:val="42095026"/>
    <w:rsid w:val="420B123B"/>
    <w:rsid w:val="420DEB07"/>
    <w:rsid w:val="420E01E9"/>
    <w:rsid w:val="4211E38F"/>
    <w:rsid w:val="42173A20"/>
    <w:rsid w:val="42181ABD"/>
    <w:rsid w:val="42232C9E"/>
    <w:rsid w:val="4223E782"/>
    <w:rsid w:val="4229B655"/>
    <w:rsid w:val="422D660F"/>
    <w:rsid w:val="422E932A"/>
    <w:rsid w:val="42333FC6"/>
    <w:rsid w:val="42350121"/>
    <w:rsid w:val="423699B1"/>
    <w:rsid w:val="4237A03C"/>
    <w:rsid w:val="42392B94"/>
    <w:rsid w:val="42399DD8"/>
    <w:rsid w:val="423C52FE"/>
    <w:rsid w:val="423E2409"/>
    <w:rsid w:val="423F2043"/>
    <w:rsid w:val="424656EB"/>
    <w:rsid w:val="425063B2"/>
    <w:rsid w:val="42514164"/>
    <w:rsid w:val="42537D49"/>
    <w:rsid w:val="425D3712"/>
    <w:rsid w:val="425E8763"/>
    <w:rsid w:val="425E88E0"/>
    <w:rsid w:val="42655C6A"/>
    <w:rsid w:val="4265D304"/>
    <w:rsid w:val="42694332"/>
    <w:rsid w:val="4269FB08"/>
    <w:rsid w:val="42713298"/>
    <w:rsid w:val="4272BE62"/>
    <w:rsid w:val="4275CC59"/>
    <w:rsid w:val="427647B0"/>
    <w:rsid w:val="42765F6F"/>
    <w:rsid w:val="4279609D"/>
    <w:rsid w:val="427A9BF6"/>
    <w:rsid w:val="427F4EF4"/>
    <w:rsid w:val="42803679"/>
    <w:rsid w:val="4284C788"/>
    <w:rsid w:val="428558F6"/>
    <w:rsid w:val="42859F4A"/>
    <w:rsid w:val="4286973F"/>
    <w:rsid w:val="428F80AF"/>
    <w:rsid w:val="42929623"/>
    <w:rsid w:val="42953B3E"/>
    <w:rsid w:val="429665E4"/>
    <w:rsid w:val="429F0D4E"/>
    <w:rsid w:val="42A4F154"/>
    <w:rsid w:val="42A78D0A"/>
    <w:rsid w:val="42AB47D8"/>
    <w:rsid w:val="42ACB872"/>
    <w:rsid w:val="42AE1D2F"/>
    <w:rsid w:val="42B4D01C"/>
    <w:rsid w:val="42B51AB6"/>
    <w:rsid w:val="42B788FE"/>
    <w:rsid w:val="42B79A34"/>
    <w:rsid w:val="42BAE50F"/>
    <w:rsid w:val="42BD1203"/>
    <w:rsid w:val="42BEF951"/>
    <w:rsid w:val="42C0B6FF"/>
    <w:rsid w:val="42C264F3"/>
    <w:rsid w:val="42C2F847"/>
    <w:rsid w:val="42C4574E"/>
    <w:rsid w:val="42C59AAC"/>
    <w:rsid w:val="42C94964"/>
    <w:rsid w:val="42CAF3E3"/>
    <w:rsid w:val="42CF011E"/>
    <w:rsid w:val="42D19BE5"/>
    <w:rsid w:val="42D1BA9D"/>
    <w:rsid w:val="42D52962"/>
    <w:rsid w:val="42E2A1A5"/>
    <w:rsid w:val="42F2A411"/>
    <w:rsid w:val="42F65B03"/>
    <w:rsid w:val="42FD91E9"/>
    <w:rsid w:val="42FE6AA6"/>
    <w:rsid w:val="42FEF31B"/>
    <w:rsid w:val="4306A129"/>
    <w:rsid w:val="430786EB"/>
    <w:rsid w:val="430791D5"/>
    <w:rsid w:val="430D764F"/>
    <w:rsid w:val="431083AD"/>
    <w:rsid w:val="43119BBF"/>
    <w:rsid w:val="43120F94"/>
    <w:rsid w:val="4314A08B"/>
    <w:rsid w:val="4314BB1F"/>
    <w:rsid w:val="4316AD19"/>
    <w:rsid w:val="431720CD"/>
    <w:rsid w:val="43185B96"/>
    <w:rsid w:val="43190472"/>
    <w:rsid w:val="431E5014"/>
    <w:rsid w:val="431EC8D9"/>
    <w:rsid w:val="43209FB9"/>
    <w:rsid w:val="43249ABC"/>
    <w:rsid w:val="43285B2D"/>
    <w:rsid w:val="4329A837"/>
    <w:rsid w:val="432AA040"/>
    <w:rsid w:val="43320373"/>
    <w:rsid w:val="43385A6B"/>
    <w:rsid w:val="43386523"/>
    <w:rsid w:val="43396BF6"/>
    <w:rsid w:val="433DB836"/>
    <w:rsid w:val="433F4B04"/>
    <w:rsid w:val="433F7BD0"/>
    <w:rsid w:val="434826CD"/>
    <w:rsid w:val="435551C1"/>
    <w:rsid w:val="4355FBA8"/>
    <w:rsid w:val="435C408F"/>
    <w:rsid w:val="43652E7F"/>
    <w:rsid w:val="4366A7A0"/>
    <w:rsid w:val="436AEEDA"/>
    <w:rsid w:val="436DB911"/>
    <w:rsid w:val="4370BC13"/>
    <w:rsid w:val="4372A4A9"/>
    <w:rsid w:val="43761EB8"/>
    <w:rsid w:val="4379DB0C"/>
    <w:rsid w:val="437B2E3F"/>
    <w:rsid w:val="437F2A53"/>
    <w:rsid w:val="43814483"/>
    <w:rsid w:val="4385E861"/>
    <w:rsid w:val="43866D02"/>
    <w:rsid w:val="43886BD2"/>
    <w:rsid w:val="438AA0C5"/>
    <w:rsid w:val="438F4B97"/>
    <w:rsid w:val="4391BB92"/>
    <w:rsid w:val="4396E1EB"/>
    <w:rsid w:val="43974709"/>
    <w:rsid w:val="43996FFD"/>
    <w:rsid w:val="439B7422"/>
    <w:rsid w:val="439F4429"/>
    <w:rsid w:val="43A17C3D"/>
    <w:rsid w:val="43A26A4F"/>
    <w:rsid w:val="43A3DD31"/>
    <w:rsid w:val="43A4EEF1"/>
    <w:rsid w:val="43A6248C"/>
    <w:rsid w:val="43AA616E"/>
    <w:rsid w:val="43AEFDF7"/>
    <w:rsid w:val="43B192DC"/>
    <w:rsid w:val="43BE54FD"/>
    <w:rsid w:val="43BFC98E"/>
    <w:rsid w:val="43C4A624"/>
    <w:rsid w:val="43C96E67"/>
    <w:rsid w:val="43CD1D23"/>
    <w:rsid w:val="43D29784"/>
    <w:rsid w:val="43D65E84"/>
    <w:rsid w:val="43D7CBEB"/>
    <w:rsid w:val="43DA5ED7"/>
    <w:rsid w:val="43DD1866"/>
    <w:rsid w:val="43DD6104"/>
    <w:rsid w:val="43DF20E6"/>
    <w:rsid w:val="43F33A64"/>
    <w:rsid w:val="43F7B02C"/>
    <w:rsid w:val="43FA6CED"/>
    <w:rsid w:val="43FBF3DC"/>
    <w:rsid w:val="43FEAFAF"/>
    <w:rsid w:val="44004756"/>
    <w:rsid w:val="440AB50C"/>
    <w:rsid w:val="4410E353"/>
    <w:rsid w:val="4418C412"/>
    <w:rsid w:val="4419ED36"/>
    <w:rsid w:val="44216AC5"/>
    <w:rsid w:val="44230457"/>
    <w:rsid w:val="442E9EA2"/>
    <w:rsid w:val="442FE493"/>
    <w:rsid w:val="4434A822"/>
    <w:rsid w:val="443C1142"/>
    <w:rsid w:val="443CCB52"/>
    <w:rsid w:val="443D8097"/>
    <w:rsid w:val="443F3BCA"/>
    <w:rsid w:val="4441D90F"/>
    <w:rsid w:val="444743FC"/>
    <w:rsid w:val="44498F4B"/>
    <w:rsid w:val="44500382"/>
    <w:rsid w:val="44586180"/>
    <w:rsid w:val="445A713B"/>
    <w:rsid w:val="445D5ABA"/>
    <w:rsid w:val="446422DB"/>
    <w:rsid w:val="44678798"/>
    <w:rsid w:val="4470E37E"/>
    <w:rsid w:val="4471F147"/>
    <w:rsid w:val="447578F1"/>
    <w:rsid w:val="4476F6D2"/>
    <w:rsid w:val="4479B0F7"/>
    <w:rsid w:val="447AF8D3"/>
    <w:rsid w:val="447BBDDA"/>
    <w:rsid w:val="447C45A2"/>
    <w:rsid w:val="447D6763"/>
    <w:rsid w:val="44831224"/>
    <w:rsid w:val="44838372"/>
    <w:rsid w:val="4490512F"/>
    <w:rsid w:val="449334FC"/>
    <w:rsid w:val="44995297"/>
    <w:rsid w:val="449D7E5B"/>
    <w:rsid w:val="44A214E2"/>
    <w:rsid w:val="44A614E6"/>
    <w:rsid w:val="44B114F8"/>
    <w:rsid w:val="44BCF432"/>
    <w:rsid w:val="44BEF4DC"/>
    <w:rsid w:val="44C073B0"/>
    <w:rsid w:val="44C768D8"/>
    <w:rsid w:val="44C9B8B1"/>
    <w:rsid w:val="44CA6829"/>
    <w:rsid w:val="44CCAB42"/>
    <w:rsid w:val="44D7207B"/>
    <w:rsid w:val="44DB5253"/>
    <w:rsid w:val="44DBD9EE"/>
    <w:rsid w:val="44DD2B56"/>
    <w:rsid w:val="44DF57CA"/>
    <w:rsid w:val="44E1C4D6"/>
    <w:rsid w:val="44E38FD1"/>
    <w:rsid w:val="44E3A75B"/>
    <w:rsid w:val="44E64F44"/>
    <w:rsid w:val="44E8ED4E"/>
    <w:rsid w:val="44EA9B3A"/>
    <w:rsid w:val="44EC06DE"/>
    <w:rsid w:val="44EC3ABB"/>
    <w:rsid w:val="44EF399F"/>
    <w:rsid w:val="44F06072"/>
    <w:rsid w:val="44F0C488"/>
    <w:rsid w:val="44F0E266"/>
    <w:rsid w:val="44F1AE5D"/>
    <w:rsid w:val="44F1CDBF"/>
    <w:rsid w:val="44F49307"/>
    <w:rsid w:val="44F84C1A"/>
    <w:rsid w:val="44FAC4BD"/>
    <w:rsid w:val="44FDB86A"/>
    <w:rsid w:val="44FEC65A"/>
    <w:rsid w:val="44FF57B2"/>
    <w:rsid w:val="45001A3B"/>
    <w:rsid w:val="4505A591"/>
    <w:rsid w:val="45064940"/>
    <w:rsid w:val="450F123B"/>
    <w:rsid w:val="4516F84E"/>
    <w:rsid w:val="451C8444"/>
    <w:rsid w:val="4520F5D6"/>
    <w:rsid w:val="45212AC5"/>
    <w:rsid w:val="4527919F"/>
    <w:rsid w:val="452857C3"/>
    <w:rsid w:val="45290C59"/>
    <w:rsid w:val="452D98A9"/>
    <w:rsid w:val="452E1154"/>
    <w:rsid w:val="4532C9AE"/>
    <w:rsid w:val="45331C85"/>
    <w:rsid w:val="45366BAF"/>
    <w:rsid w:val="45367E9D"/>
    <w:rsid w:val="453AECC8"/>
    <w:rsid w:val="453C757A"/>
    <w:rsid w:val="453ED158"/>
    <w:rsid w:val="4544FB59"/>
    <w:rsid w:val="45496C6F"/>
    <w:rsid w:val="4549A38E"/>
    <w:rsid w:val="454C2A40"/>
    <w:rsid w:val="4555E142"/>
    <w:rsid w:val="45564DE9"/>
    <w:rsid w:val="455F46CC"/>
    <w:rsid w:val="455FCDE1"/>
    <w:rsid w:val="4569AE87"/>
    <w:rsid w:val="456CF006"/>
    <w:rsid w:val="456E40F4"/>
    <w:rsid w:val="456FBE2F"/>
    <w:rsid w:val="4570CC74"/>
    <w:rsid w:val="4572413B"/>
    <w:rsid w:val="4572D468"/>
    <w:rsid w:val="45747321"/>
    <w:rsid w:val="4575FF54"/>
    <w:rsid w:val="4579BE0D"/>
    <w:rsid w:val="457E1EB0"/>
    <w:rsid w:val="4583B98D"/>
    <w:rsid w:val="458AECED"/>
    <w:rsid w:val="458F0AC5"/>
    <w:rsid w:val="4592C955"/>
    <w:rsid w:val="459A7E94"/>
    <w:rsid w:val="459DB624"/>
    <w:rsid w:val="459F3A54"/>
    <w:rsid w:val="45A13AFD"/>
    <w:rsid w:val="45A5981F"/>
    <w:rsid w:val="45A8EDEB"/>
    <w:rsid w:val="45AC89E5"/>
    <w:rsid w:val="45AE3D51"/>
    <w:rsid w:val="45B1CBEB"/>
    <w:rsid w:val="45B92CC9"/>
    <w:rsid w:val="45BBAD5B"/>
    <w:rsid w:val="45C18411"/>
    <w:rsid w:val="45C65D16"/>
    <w:rsid w:val="45C7C235"/>
    <w:rsid w:val="45C9F637"/>
    <w:rsid w:val="45CD97A9"/>
    <w:rsid w:val="45D249C1"/>
    <w:rsid w:val="45DD7FB0"/>
    <w:rsid w:val="45E0542B"/>
    <w:rsid w:val="45E221F2"/>
    <w:rsid w:val="45E43C0C"/>
    <w:rsid w:val="45E58E04"/>
    <w:rsid w:val="45E98747"/>
    <w:rsid w:val="45EC5A01"/>
    <w:rsid w:val="45ECDBEC"/>
    <w:rsid w:val="45EE68FC"/>
    <w:rsid w:val="45EEFB3E"/>
    <w:rsid w:val="45EFD8E4"/>
    <w:rsid w:val="45F5663B"/>
    <w:rsid w:val="45F8DCB3"/>
    <w:rsid w:val="45FA0A96"/>
    <w:rsid w:val="45FBC03E"/>
    <w:rsid w:val="45FCA216"/>
    <w:rsid w:val="460104BC"/>
    <w:rsid w:val="460294A5"/>
    <w:rsid w:val="4605C672"/>
    <w:rsid w:val="460791BC"/>
    <w:rsid w:val="460A2737"/>
    <w:rsid w:val="460B60A1"/>
    <w:rsid w:val="460BDD76"/>
    <w:rsid w:val="46112094"/>
    <w:rsid w:val="46114952"/>
    <w:rsid w:val="4613810D"/>
    <w:rsid w:val="46185F17"/>
    <w:rsid w:val="461B528F"/>
    <w:rsid w:val="461B9298"/>
    <w:rsid w:val="461DE3C5"/>
    <w:rsid w:val="461FE927"/>
    <w:rsid w:val="4620104D"/>
    <w:rsid w:val="462112FC"/>
    <w:rsid w:val="46212A7D"/>
    <w:rsid w:val="4621D45C"/>
    <w:rsid w:val="4622B635"/>
    <w:rsid w:val="462457A4"/>
    <w:rsid w:val="46263E3F"/>
    <w:rsid w:val="4627DD10"/>
    <w:rsid w:val="46335AB5"/>
    <w:rsid w:val="463474DF"/>
    <w:rsid w:val="463562E7"/>
    <w:rsid w:val="463C962C"/>
    <w:rsid w:val="463D7303"/>
    <w:rsid w:val="4644CB5B"/>
    <w:rsid w:val="46465387"/>
    <w:rsid w:val="464879B3"/>
    <w:rsid w:val="464A6CE4"/>
    <w:rsid w:val="464BD9CF"/>
    <w:rsid w:val="464CCA9A"/>
    <w:rsid w:val="464EA1AC"/>
    <w:rsid w:val="46572D22"/>
    <w:rsid w:val="4658C493"/>
    <w:rsid w:val="4658F34F"/>
    <w:rsid w:val="46591692"/>
    <w:rsid w:val="46592726"/>
    <w:rsid w:val="465A3EFA"/>
    <w:rsid w:val="465D18F7"/>
    <w:rsid w:val="465D83FB"/>
    <w:rsid w:val="465E3D0F"/>
    <w:rsid w:val="465FA369"/>
    <w:rsid w:val="46625FF7"/>
    <w:rsid w:val="4669A55B"/>
    <w:rsid w:val="466A5169"/>
    <w:rsid w:val="466AAC4F"/>
    <w:rsid w:val="466B3154"/>
    <w:rsid w:val="466CB0C6"/>
    <w:rsid w:val="466EA4FF"/>
    <w:rsid w:val="466EAB7A"/>
    <w:rsid w:val="4675AD6A"/>
    <w:rsid w:val="46850B8C"/>
    <w:rsid w:val="46926D03"/>
    <w:rsid w:val="46979679"/>
    <w:rsid w:val="46986DCA"/>
    <w:rsid w:val="469BBA44"/>
    <w:rsid w:val="469C3033"/>
    <w:rsid w:val="469E53F0"/>
    <w:rsid w:val="469F27C2"/>
    <w:rsid w:val="46A40B06"/>
    <w:rsid w:val="46A4B781"/>
    <w:rsid w:val="46A581B1"/>
    <w:rsid w:val="46A5A2FD"/>
    <w:rsid w:val="46A766F3"/>
    <w:rsid w:val="46AA2391"/>
    <w:rsid w:val="46AA4973"/>
    <w:rsid w:val="46AD0629"/>
    <w:rsid w:val="46AD9689"/>
    <w:rsid w:val="46B34B81"/>
    <w:rsid w:val="46B5B194"/>
    <w:rsid w:val="46B5E6C5"/>
    <w:rsid w:val="46BC6798"/>
    <w:rsid w:val="46C8EF48"/>
    <w:rsid w:val="46C9181E"/>
    <w:rsid w:val="46CB95CB"/>
    <w:rsid w:val="46D331FF"/>
    <w:rsid w:val="46D58E99"/>
    <w:rsid w:val="46D876B0"/>
    <w:rsid w:val="46D8C14B"/>
    <w:rsid w:val="46DC224C"/>
    <w:rsid w:val="46E63D0B"/>
    <w:rsid w:val="46E9D3A1"/>
    <w:rsid w:val="46EB112F"/>
    <w:rsid w:val="46EE85AC"/>
    <w:rsid w:val="46EFC406"/>
    <w:rsid w:val="46F433B7"/>
    <w:rsid w:val="46FC42D4"/>
    <w:rsid w:val="47005B7E"/>
    <w:rsid w:val="47014020"/>
    <w:rsid w:val="4701FAE6"/>
    <w:rsid w:val="4706CE0A"/>
    <w:rsid w:val="4708F8FF"/>
    <w:rsid w:val="4709241C"/>
    <w:rsid w:val="4709C19B"/>
    <w:rsid w:val="470E71FC"/>
    <w:rsid w:val="470FB38F"/>
    <w:rsid w:val="4710E386"/>
    <w:rsid w:val="47179E7A"/>
    <w:rsid w:val="47190E8A"/>
    <w:rsid w:val="471B53EC"/>
    <w:rsid w:val="471BD0E6"/>
    <w:rsid w:val="471C232E"/>
    <w:rsid w:val="471EB675"/>
    <w:rsid w:val="471EBD1A"/>
    <w:rsid w:val="47272003"/>
    <w:rsid w:val="4729DB71"/>
    <w:rsid w:val="472BBEA3"/>
    <w:rsid w:val="472F067D"/>
    <w:rsid w:val="472FF414"/>
    <w:rsid w:val="4733AAAD"/>
    <w:rsid w:val="4734AD04"/>
    <w:rsid w:val="4735DE23"/>
    <w:rsid w:val="4737E818"/>
    <w:rsid w:val="473B2786"/>
    <w:rsid w:val="473C4B5D"/>
    <w:rsid w:val="473C57C9"/>
    <w:rsid w:val="473F5621"/>
    <w:rsid w:val="47410A45"/>
    <w:rsid w:val="47412831"/>
    <w:rsid w:val="4747A1BE"/>
    <w:rsid w:val="4747B9E7"/>
    <w:rsid w:val="474A83FB"/>
    <w:rsid w:val="47501D7B"/>
    <w:rsid w:val="475E63FF"/>
    <w:rsid w:val="4760A62D"/>
    <w:rsid w:val="476368D1"/>
    <w:rsid w:val="47639343"/>
    <w:rsid w:val="4766DB93"/>
    <w:rsid w:val="4767908E"/>
    <w:rsid w:val="476933C4"/>
    <w:rsid w:val="4771D250"/>
    <w:rsid w:val="47723ABA"/>
    <w:rsid w:val="4774DED9"/>
    <w:rsid w:val="47750D34"/>
    <w:rsid w:val="47754F6A"/>
    <w:rsid w:val="4779EB41"/>
    <w:rsid w:val="477BAEDE"/>
    <w:rsid w:val="4781F307"/>
    <w:rsid w:val="4784E2B0"/>
    <w:rsid w:val="478BB689"/>
    <w:rsid w:val="478CF493"/>
    <w:rsid w:val="478EB2C0"/>
    <w:rsid w:val="478F4EE3"/>
    <w:rsid w:val="47966B56"/>
    <w:rsid w:val="479744CD"/>
    <w:rsid w:val="479B6D54"/>
    <w:rsid w:val="479B947D"/>
    <w:rsid w:val="479BCA89"/>
    <w:rsid w:val="47A0225F"/>
    <w:rsid w:val="47A13029"/>
    <w:rsid w:val="47A94AFC"/>
    <w:rsid w:val="47A9976F"/>
    <w:rsid w:val="47AA6279"/>
    <w:rsid w:val="47AB2089"/>
    <w:rsid w:val="47AFE96F"/>
    <w:rsid w:val="47B3FBAD"/>
    <w:rsid w:val="47B58F79"/>
    <w:rsid w:val="47B6D3C0"/>
    <w:rsid w:val="47BB419B"/>
    <w:rsid w:val="47BF366C"/>
    <w:rsid w:val="47C20FBF"/>
    <w:rsid w:val="47C2E0C8"/>
    <w:rsid w:val="47C36F82"/>
    <w:rsid w:val="47C6E3D4"/>
    <w:rsid w:val="47C82A50"/>
    <w:rsid w:val="47CAB58D"/>
    <w:rsid w:val="47D57160"/>
    <w:rsid w:val="47D5E468"/>
    <w:rsid w:val="47D96C76"/>
    <w:rsid w:val="47DA35A7"/>
    <w:rsid w:val="47DA5466"/>
    <w:rsid w:val="47DC8064"/>
    <w:rsid w:val="47DC9992"/>
    <w:rsid w:val="47E19A76"/>
    <w:rsid w:val="47E780B0"/>
    <w:rsid w:val="47F2B4C3"/>
    <w:rsid w:val="47F61C81"/>
    <w:rsid w:val="47F8853B"/>
    <w:rsid w:val="47FC805A"/>
    <w:rsid w:val="47FD45BD"/>
    <w:rsid w:val="47FE7AE5"/>
    <w:rsid w:val="47FECAC6"/>
    <w:rsid w:val="480B40E5"/>
    <w:rsid w:val="480C4305"/>
    <w:rsid w:val="480FC0A7"/>
    <w:rsid w:val="4816B509"/>
    <w:rsid w:val="4819602F"/>
    <w:rsid w:val="481CDAE1"/>
    <w:rsid w:val="481DCF5F"/>
    <w:rsid w:val="481E6DEC"/>
    <w:rsid w:val="4826F185"/>
    <w:rsid w:val="4827D3CC"/>
    <w:rsid w:val="48293642"/>
    <w:rsid w:val="4829DCBD"/>
    <w:rsid w:val="482ACADD"/>
    <w:rsid w:val="482BA86A"/>
    <w:rsid w:val="482C860B"/>
    <w:rsid w:val="482E8D36"/>
    <w:rsid w:val="483015A1"/>
    <w:rsid w:val="48302250"/>
    <w:rsid w:val="4833BE54"/>
    <w:rsid w:val="4835592C"/>
    <w:rsid w:val="4839FCA3"/>
    <w:rsid w:val="483A8AE0"/>
    <w:rsid w:val="483AF823"/>
    <w:rsid w:val="4841CDF3"/>
    <w:rsid w:val="48425D64"/>
    <w:rsid w:val="4845462B"/>
    <w:rsid w:val="4847E786"/>
    <w:rsid w:val="48481C42"/>
    <w:rsid w:val="484A7A59"/>
    <w:rsid w:val="484BD5DA"/>
    <w:rsid w:val="484D7156"/>
    <w:rsid w:val="484FBBF5"/>
    <w:rsid w:val="4854333E"/>
    <w:rsid w:val="48549F7B"/>
    <w:rsid w:val="48604D17"/>
    <w:rsid w:val="4862BF82"/>
    <w:rsid w:val="48637516"/>
    <w:rsid w:val="4869E34E"/>
    <w:rsid w:val="486A80FE"/>
    <w:rsid w:val="486DB806"/>
    <w:rsid w:val="486DC98E"/>
    <w:rsid w:val="48720306"/>
    <w:rsid w:val="4873CFF4"/>
    <w:rsid w:val="487518E0"/>
    <w:rsid w:val="487919B7"/>
    <w:rsid w:val="487D7D63"/>
    <w:rsid w:val="487DF86B"/>
    <w:rsid w:val="4880BEB1"/>
    <w:rsid w:val="488109F2"/>
    <w:rsid w:val="48837EC4"/>
    <w:rsid w:val="488716CB"/>
    <w:rsid w:val="48884CAB"/>
    <w:rsid w:val="4889BEF1"/>
    <w:rsid w:val="488A817E"/>
    <w:rsid w:val="488F1C72"/>
    <w:rsid w:val="48934038"/>
    <w:rsid w:val="48934CC0"/>
    <w:rsid w:val="4893E41C"/>
    <w:rsid w:val="4893EF44"/>
    <w:rsid w:val="4899F9E7"/>
    <w:rsid w:val="489B818D"/>
    <w:rsid w:val="489FC8ED"/>
    <w:rsid w:val="489FCC34"/>
    <w:rsid w:val="489FF4D8"/>
    <w:rsid w:val="48A224A3"/>
    <w:rsid w:val="48AAC93E"/>
    <w:rsid w:val="48AF3A64"/>
    <w:rsid w:val="48B068B2"/>
    <w:rsid w:val="48B2032A"/>
    <w:rsid w:val="48B5513F"/>
    <w:rsid w:val="48BBFFC9"/>
    <w:rsid w:val="48BD6299"/>
    <w:rsid w:val="48C056B0"/>
    <w:rsid w:val="48C2ACAA"/>
    <w:rsid w:val="48C33448"/>
    <w:rsid w:val="48C524C4"/>
    <w:rsid w:val="48C5AB08"/>
    <w:rsid w:val="48C87702"/>
    <w:rsid w:val="48C8783E"/>
    <w:rsid w:val="48CA955B"/>
    <w:rsid w:val="48D33426"/>
    <w:rsid w:val="48D8B88A"/>
    <w:rsid w:val="48DA290E"/>
    <w:rsid w:val="48DBC1F0"/>
    <w:rsid w:val="48E68C24"/>
    <w:rsid w:val="48E8DBC3"/>
    <w:rsid w:val="48ED0D62"/>
    <w:rsid w:val="48ED97A6"/>
    <w:rsid w:val="48EFC719"/>
    <w:rsid w:val="48F14282"/>
    <w:rsid w:val="48F16BC0"/>
    <w:rsid w:val="48F22220"/>
    <w:rsid w:val="48F34FDF"/>
    <w:rsid w:val="48F47559"/>
    <w:rsid w:val="48F5F0A7"/>
    <w:rsid w:val="48FACC8C"/>
    <w:rsid w:val="48FD6F55"/>
    <w:rsid w:val="48FE686E"/>
    <w:rsid w:val="48FF8BC7"/>
    <w:rsid w:val="49009320"/>
    <w:rsid w:val="49011540"/>
    <w:rsid w:val="49040FC1"/>
    <w:rsid w:val="4904DC72"/>
    <w:rsid w:val="490637E2"/>
    <w:rsid w:val="49084BF1"/>
    <w:rsid w:val="49094AAC"/>
    <w:rsid w:val="490968F5"/>
    <w:rsid w:val="490B670F"/>
    <w:rsid w:val="490E022B"/>
    <w:rsid w:val="49110E22"/>
    <w:rsid w:val="49116AF8"/>
    <w:rsid w:val="49123A22"/>
    <w:rsid w:val="49166B90"/>
    <w:rsid w:val="4916FBFF"/>
    <w:rsid w:val="49186307"/>
    <w:rsid w:val="4919C53E"/>
    <w:rsid w:val="491BDCCE"/>
    <w:rsid w:val="491EDF30"/>
    <w:rsid w:val="491FB0A4"/>
    <w:rsid w:val="4921B1DE"/>
    <w:rsid w:val="492BC205"/>
    <w:rsid w:val="492CA668"/>
    <w:rsid w:val="49390CF6"/>
    <w:rsid w:val="493AB24B"/>
    <w:rsid w:val="493AE8D9"/>
    <w:rsid w:val="49418557"/>
    <w:rsid w:val="494C1708"/>
    <w:rsid w:val="494C9004"/>
    <w:rsid w:val="494E102A"/>
    <w:rsid w:val="49524BFB"/>
    <w:rsid w:val="4952A421"/>
    <w:rsid w:val="49561868"/>
    <w:rsid w:val="495A2A0F"/>
    <w:rsid w:val="495E9D5E"/>
    <w:rsid w:val="49659094"/>
    <w:rsid w:val="496D7991"/>
    <w:rsid w:val="49728E43"/>
    <w:rsid w:val="4973AF4E"/>
    <w:rsid w:val="4973B929"/>
    <w:rsid w:val="49767EE2"/>
    <w:rsid w:val="497C8010"/>
    <w:rsid w:val="4981038B"/>
    <w:rsid w:val="498465E3"/>
    <w:rsid w:val="49864437"/>
    <w:rsid w:val="4989FAD9"/>
    <w:rsid w:val="498A2F1D"/>
    <w:rsid w:val="4990441D"/>
    <w:rsid w:val="4990D068"/>
    <w:rsid w:val="49928B70"/>
    <w:rsid w:val="49940601"/>
    <w:rsid w:val="49940B1B"/>
    <w:rsid w:val="4994B54B"/>
    <w:rsid w:val="4994E754"/>
    <w:rsid w:val="499BC037"/>
    <w:rsid w:val="499C565B"/>
    <w:rsid w:val="499D1137"/>
    <w:rsid w:val="49A4C45F"/>
    <w:rsid w:val="49A7AECC"/>
    <w:rsid w:val="49AA6319"/>
    <w:rsid w:val="49AB3BBF"/>
    <w:rsid w:val="49B048AC"/>
    <w:rsid w:val="49B04F8D"/>
    <w:rsid w:val="49B0ADAF"/>
    <w:rsid w:val="49B3C8D5"/>
    <w:rsid w:val="49B6A632"/>
    <w:rsid w:val="49B71821"/>
    <w:rsid w:val="49B8EE31"/>
    <w:rsid w:val="49B9ADC7"/>
    <w:rsid w:val="49BE9DBF"/>
    <w:rsid w:val="49BF4A5B"/>
    <w:rsid w:val="49BF9B0B"/>
    <w:rsid w:val="49C72CAB"/>
    <w:rsid w:val="49C7A90C"/>
    <w:rsid w:val="49CA5350"/>
    <w:rsid w:val="49CEAB87"/>
    <w:rsid w:val="49D06443"/>
    <w:rsid w:val="49D63596"/>
    <w:rsid w:val="49DC8629"/>
    <w:rsid w:val="49E1C753"/>
    <w:rsid w:val="49E263A2"/>
    <w:rsid w:val="49E4DB99"/>
    <w:rsid w:val="49EBDB88"/>
    <w:rsid w:val="49EEC09C"/>
    <w:rsid w:val="49F50E94"/>
    <w:rsid w:val="49F59924"/>
    <w:rsid w:val="49FBA086"/>
    <w:rsid w:val="49FBCB60"/>
    <w:rsid w:val="49FC8C53"/>
    <w:rsid w:val="49FECDDC"/>
    <w:rsid w:val="49FF8C10"/>
    <w:rsid w:val="4A037E08"/>
    <w:rsid w:val="4A0464BF"/>
    <w:rsid w:val="4A0783D4"/>
    <w:rsid w:val="4A085ECA"/>
    <w:rsid w:val="4A08AA59"/>
    <w:rsid w:val="4A0A05DC"/>
    <w:rsid w:val="4A0A829A"/>
    <w:rsid w:val="4A0AAE53"/>
    <w:rsid w:val="4A0FAAF5"/>
    <w:rsid w:val="4A0FB9DC"/>
    <w:rsid w:val="4A1126E0"/>
    <w:rsid w:val="4A115932"/>
    <w:rsid w:val="4A179431"/>
    <w:rsid w:val="4A185BA7"/>
    <w:rsid w:val="4A197933"/>
    <w:rsid w:val="4A219B6E"/>
    <w:rsid w:val="4A278427"/>
    <w:rsid w:val="4A27CD60"/>
    <w:rsid w:val="4A2B153A"/>
    <w:rsid w:val="4A2C8646"/>
    <w:rsid w:val="4A2EDE2D"/>
    <w:rsid w:val="4A2EF788"/>
    <w:rsid w:val="4A379477"/>
    <w:rsid w:val="4A37A2FA"/>
    <w:rsid w:val="4A3FB5C0"/>
    <w:rsid w:val="4A40B668"/>
    <w:rsid w:val="4A487063"/>
    <w:rsid w:val="4A4E0AD5"/>
    <w:rsid w:val="4A527EDF"/>
    <w:rsid w:val="4A58A482"/>
    <w:rsid w:val="4A5A1A80"/>
    <w:rsid w:val="4A5ED3F3"/>
    <w:rsid w:val="4A5F4605"/>
    <w:rsid w:val="4A62B9D7"/>
    <w:rsid w:val="4A630EC3"/>
    <w:rsid w:val="4A637039"/>
    <w:rsid w:val="4A64B215"/>
    <w:rsid w:val="4A6B4EF2"/>
    <w:rsid w:val="4A6C5BD7"/>
    <w:rsid w:val="4A6EEF71"/>
    <w:rsid w:val="4A74B3BE"/>
    <w:rsid w:val="4A777303"/>
    <w:rsid w:val="4A790066"/>
    <w:rsid w:val="4A7A94F1"/>
    <w:rsid w:val="4A8694D2"/>
    <w:rsid w:val="4A8BF254"/>
    <w:rsid w:val="4A8E7C2E"/>
    <w:rsid w:val="4A90AA0E"/>
    <w:rsid w:val="4A95C367"/>
    <w:rsid w:val="4A985603"/>
    <w:rsid w:val="4A997692"/>
    <w:rsid w:val="4A9F87BF"/>
    <w:rsid w:val="4AA025D1"/>
    <w:rsid w:val="4AA11966"/>
    <w:rsid w:val="4AA2E88B"/>
    <w:rsid w:val="4AA6EDC6"/>
    <w:rsid w:val="4AA7C843"/>
    <w:rsid w:val="4AA9C322"/>
    <w:rsid w:val="4AAFAF1F"/>
    <w:rsid w:val="4AB09850"/>
    <w:rsid w:val="4AB0E9CE"/>
    <w:rsid w:val="4AB2E184"/>
    <w:rsid w:val="4AB5D6F6"/>
    <w:rsid w:val="4AB760A2"/>
    <w:rsid w:val="4AB8E578"/>
    <w:rsid w:val="4AC29F9C"/>
    <w:rsid w:val="4AC66936"/>
    <w:rsid w:val="4AC7C4B4"/>
    <w:rsid w:val="4ACC1D4F"/>
    <w:rsid w:val="4ACD9879"/>
    <w:rsid w:val="4ACDEACC"/>
    <w:rsid w:val="4ACE94B1"/>
    <w:rsid w:val="4ADA81F2"/>
    <w:rsid w:val="4ADB96C4"/>
    <w:rsid w:val="4AE1BE1E"/>
    <w:rsid w:val="4AE1D1DB"/>
    <w:rsid w:val="4AE25C6D"/>
    <w:rsid w:val="4AE9BE3D"/>
    <w:rsid w:val="4AEB14EA"/>
    <w:rsid w:val="4AEEE345"/>
    <w:rsid w:val="4AF2DD52"/>
    <w:rsid w:val="4AF94A62"/>
    <w:rsid w:val="4AF9A5ED"/>
    <w:rsid w:val="4AFA6DBF"/>
    <w:rsid w:val="4AFA8D84"/>
    <w:rsid w:val="4B0383CE"/>
    <w:rsid w:val="4B05CC82"/>
    <w:rsid w:val="4B06CBD8"/>
    <w:rsid w:val="4B1B07EB"/>
    <w:rsid w:val="4B1DF66F"/>
    <w:rsid w:val="4B1E13E4"/>
    <w:rsid w:val="4B21E104"/>
    <w:rsid w:val="4B239F18"/>
    <w:rsid w:val="4B24ECDD"/>
    <w:rsid w:val="4B251996"/>
    <w:rsid w:val="4B2678B8"/>
    <w:rsid w:val="4B2F6991"/>
    <w:rsid w:val="4B2FF748"/>
    <w:rsid w:val="4B326445"/>
    <w:rsid w:val="4B33EA90"/>
    <w:rsid w:val="4B348674"/>
    <w:rsid w:val="4B38C40A"/>
    <w:rsid w:val="4B39514D"/>
    <w:rsid w:val="4B448DBF"/>
    <w:rsid w:val="4B48FE90"/>
    <w:rsid w:val="4B4C7D47"/>
    <w:rsid w:val="4B4CE611"/>
    <w:rsid w:val="4B4E2A17"/>
    <w:rsid w:val="4B4ED777"/>
    <w:rsid w:val="4B548D71"/>
    <w:rsid w:val="4B54A69F"/>
    <w:rsid w:val="4B591DEE"/>
    <w:rsid w:val="4B64EE32"/>
    <w:rsid w:val="4B6983BB"/>
    <w:rsid w:val="4B6C1EC5"/>
    <w:rsid w:val="4B6FB680"/>
    <w:rsid w:val="4B76C5D3"/>
    <w:rsid w:val="4B7A13D6"/>
    <w:rsid w:val="4B7F790E"/>
    <w:rsid w:val="4B81DB94"/>
    <w:rsid w:val="4B877A66"/>
    <w:rsid w:val="4B877A78"/>
    <w:rsid w:val="4B87E352"/>
    <w:rsid w:val="4B88BA7B"/>
    <w:rsid w:val="4B937F8B"/>
    <w:rsid w:val="4B952EA6"/>
    <w:rsid w:val="4B9636FC"/>
    <w:rsid w:val="4B99DB7F"/>
    <w:rsid w:val="4B9A8751"/>
    <w:rsid w:val="4B9E95F8"/>
    <w:rsid w:val="4BA30066"/>
    <w:rsid w:val="4BA3B913"/>
    <w:rsid w:val="4BA593A5"/>
    <w:rsid w:val="4BA5C7FE"/>
    <w:rsid w:val="4BA7FB9D"/>
    <w:rsid w:val="4BA85832"/>
    <w:rsid w:val="4BAAEC3E"/>
    <w:rsid w:val="4BABA117"/>
    <w:rsid w:val="4BAFCF62"/>
    <w:rsid w:val="4BB170E4"/>
    <w:rsid w:val="4BB39BB3"/>
    <w:rsid w:val="4BB57DB3"/>
    <w:rsid w:val="4BB8148E"/>
    <w:rsid w:val="4BBE8B19"/>
    <w:rsid w:val="4BC2DE84"/>
    <w:rsid w:val="4BC6971F"/>
    <w:rsid w:val="4BC72CCD"/>
    <w:rsid w:val="4BCBEAAE"/>
    <w:rsid w:val="4BCC6885"/>
    <w:rsid w:val="4BCF4CE7"/>
    <w:rsid w:val="4BCF754B"/>
    <w:rsid w:val="4BD6BF3C"/>
    <w:rsid w:val="4BD89284"/>
    <w:rsid w:val="4BDC176E"/>
    <w:rsid w:val="4BDD3E22"/>
    <w:rsid w:val="4BE2E11A"/>
    <w:rsid w:val="4BE95F98"/>
    <w:rsid w:val="4BF09553"/>
    <w:rsid w:val="4BF40766"/>
    <w:rsid w:val="4BF79AD9"/>
    <w:rsid w:val="4BFC1401"/>
    <w:rsid w:val="4C03C5C4"/>
    <w:rsid w:val="4C0BCD8E"/>
    <w:rsid w:val="4C0D3827"/>
    <w:rsid w:val="4C10CA43"/>
    <w:rsid w:val="4C12079B"/>
    <w:rsid w:val="4C144917"/>
    <w:rsid w:val="4C14C121"/>
    <w:rsid w:val="4C159B10"/>
    <w:rsid w:val="4C15A3EC"/>
    <w:rsid w:val="4C1E8934"/>
    <w:rsid w:val="4C24DFAB"/>
    <w:rsid w:val="4C25FF0B"/>
    <w:rsid w:val="4C278FCC"/>
    <w:rsid w:val="4C2A06B6"/>
    <w:rsid w:val="4C2ECFDF"/>
    <w:rsid w:val="4C2EE7F4"/>
    <w:rsid w:val="4C2F0C29"/>
    <w:rsid w:val="4C2F10C1"/>
    <w:rsid w:val="4C396ADF"/>
    <w:rsid w:val="4C3D213F"/>
    <w:rsid w:val="4C3E1DF6"/>
    <w:rsid w:val="4C457469"/>
    <w:rsid w:val="4C484373"/>
    <w:rsid w:val="4C49F21B"/>
    <w:rsid w:val="4C4A4C73"/>
    <w:rsid w:val="4C4FDB90"/>
    <w:rsid w:val="4C509B21"/>
    <w:rsid w:val="4C55E0C6"/>
    <w:rsid w:val="4C586AC0"/>
    <w:rsid w:val="4C5A9901"/>
    <w:rsid w:val="4C5F6C29"/>
    <w:rsid w:val="4C62E0FC"/>
    <w:rsid w:val="4C684D10"/>
    <w:rsid w:val="4C68A31E"/>
    <w:rsid w:val="4C690C66"/>
    <w:rsid w:val="4C6DE6CC"/>
    <w:rsid w:val="4C6E68CF"/>
    <w:rsid w:val="4C76289C"/>
    <w:rsid w:val="4C776AAE"/>
    <w:rsid w:val="4C8320F3"/>
    <w:rsid w:val="4C84503E"/>
    <w:rsid w:val="4C85664A"/>
    <w:rsid w:val="4C894E8C"/>
    <w:rsid w:val="4C90BF75"/>
    <w:rsid w:val="4C9B0F39"/>
    <w:rsid w:val="4C9F1709"/>
    <w:rsid w:val="4C9F89CB"/>
    <w:rsid w:val="4CA539E2"/>
    <w:rsid w:val="4CB24A3E"/>
    <w:rsid w:val="4CB2C73D"/>
    <w:rsid w:val="4CBBE4EC"/>
    <w:rsid w:val="4CC6933D"/>
    <w:rsid w:val="4CC76647"/>
    <w:rsid w:val="4CCE33F6"/>
    <w:rsid w:val="4CD2A5A8"/>
    <w:rsid w:val="4CD51974"/>
    <w:rsid w:val="4CD5787C"/>
    <w:rsid w:val="4CD6E431"/>
    <w:rsid w:val="4CDA6FDE"/>
    <w:rsid w:val="4CDACFD4"/>
    <w:rsid w:val="4CDB49FB"/>
    <w:rsid w:val="4CDCA773"/>
    <w:rsid w:val="4CE2FC8A"/>
    <w:rsid w:val="4CE782C5"/>
    <w:rsid w:val="4CE8F0F6"/>
    <w:rsid w:val="4CEB1465"/>
    <w:rsid w:val="4CEE781A"/>
    <w:rsid w:val="4CEF6203"/>
    <w:rsid w:val="4CF20F3C"/>
    <w:rsid w:val="4CF22240"/>
    <w:rsid w:val="4CF2A77D"/>
    <w:rsid w:val="4CF6348B"/>
    <w:rsid w:val="4CF68B12"/>
    <w:rsid w:val="4CFC2CBB"/>
    <w:rsid w:val="4CFE8C7C"/>
    <w:rsid w:val="4D0049D2"/>
    <w:rsid w:val="4D049C24"/>
    <w:rsid w:val="4D081312"/>
    <w:rsid w:val="4D0FD0A0"/>
    <w:rsid w:val="4D109BDF"/>
    <w:rsid w:val="4D12617E"/>
    <w:rsid w:val="4D17855D"/>
    <w:rsid w:val="4D187E91"/>
    <w:rsid w:val="4D1B5BF5"/>
    <w:rsid w:val="4D1D27C8"/>
    <w:rsid w:val="4D1F4942"/>
    <w:rsid w:val="4D257371"/>
    <w:rsid w:val="4D2710A5"/>
    <w:rsid w:val="4D289E93"/>
    <w:rsid w:val="4D28A68E"/>
    <w:rsid w:val="4D2F7558"/>
    <w:rsid w:val="4D3237DF"/>
    <w:rsid w:val="4D325684"/>
    <w:rsid w:val="4D3898F6"/>
    <w:rsid w:val="4D3D814D"/>
    <w:rsid w:val="4D4137A0"/>
    <w:rsid w:val="4D419747"/>
    <w:rsid w:val="4D442893"/>
    <w:rsid w:val="4D45AA0F"/>
    <w:rsid w:val="4D48CE15"/>
    <w:rsid w:val="4D4A7E64"/>
    <w:rsid w:val="4D4B484B"/>
    <w:rsid w:val="4D4BB700"/>
    <w:rsid w:val="4D4D2295"/>
    <w:rsid w:val="4D509D3D"/>
    <w:rsid w:val="4D50DF35"/>
    <w:rsid w:val="4D5167E0"/>
    <w:rsid w:val="4D52BE28"/>
    <w:rsid w:val="4D53F01F"/>
    <w:rsid w:val="4D5CA34D"/>
    <w:rsid w:val="4D5F52B0"/>
    <w:rsid w:val="4D5FE63E"/>
    <w:rsid w:val="4D5FF5C2"/>
    <w:rsid w:val="4D60033E"/>
    <w:rsid w:val="4D6336EA"/>
    <w:rsid w:val="4D63CC2F"/>
    <w:rsid w:val="4D644FFD"/>
    <w:rsid w:val="4D686650"/>
    <w:rsid w:val="4D68BE9F"/>
    <w:rsid w:val="4D6D7928"/>
    <w:rsid w:val="4D70087D"/>
    <w:rsid w:val="4D70DECF"/>
    <w:rsid w:val="4D741800"/>
    <w:rsid w:val="4D750F15"/>
    <w:rsid w:val="4D75E438"/>
    <w:rsid w:val="4D76C5B0"/>
    <w:rsid w:val="4D788E18"/>
    <w:rsid w:val="4D7AD438"/>
    <w:rsid w:val="4D7D54F1"/>
    <w:rsid w:val="4D7E72C9"/>
    <w:rsid w:val="4D800BC7"/>
    <w:rsid w:val="4D8020AF"/>
    <w:rsid w:val="4D83FE4F"/>
    <w:rsid w:val="4D84DA7A"/>
    <w:rsid w:val="4D89BFA4"/>
    <w:rsid w:val="4D8A0D63"/>
    <w:rsid w:val="4D8AC9E2"/>
    <w:rsid w:val="4D8B3F9D"/>
    <w:rsid w:val="4D8CF439"/>
    <w:rsid w:val="4D9032DF"/>
    <w:rsid w:val="4D909F2C"/>
    <w:rsid w:val="4D92EEBF"/>
    <w:rsid w:val="4D9C70DE"/>
    <w:rsid w:val="4D9F3558"/>
    <w:rsid w:val="4D9F3E15"/>
    <w:rsid w:val="4D9F5A8B"/>
    <w:rsid w:val="4DA00229"/>
    <w:rsid w:val="4DA1F003"/>
    <w:rsid w:val="4DA713B7"/>
    <w:rsid w:val="4DA7ED7E"/>
    <w:rsid w:val="4DA85752"/>
    <w:rsid w:val="4DA8AA8E"/>
    <w:rsid w:val="4DA8E4B7"/>
    <w:rsid w:val="4DAA5298"/>
    <w:rsid w:val="4DAC0E34"/>
    <w:rsid w:val="4DAF35E5"/>
    <w:rsid w:val="4DB2F375"/>
    <w:rsid w:val="4DB3D8D5"/>
    <w:rsid w:val="4DBB7BC7"/>
    <w:rsid w:val="4DC255C6"/>
    <w:rsid w:val="4DC28BD9"/>
    <w:rsid w:val="4DC5DC71"/>
    <w:rsid w:val="4DC64A1E"/>
    <w:rsid w:val="4DC8699C"/>
    <w:rsid w:val="4DCD92C3"/>
    <w:rsid w:val="4DD27538"/>
    <w:rsid w:val="4DD75632"/>
    <w:rsid w:val="4DDB75B3"/>
    <w:rsid w:val="4DE13F40"/>
    <w:rsid w:val="4DE15585"/>
    <w:rsid w:val="4DE50124"/>
    <w:rsid w:val="4DE5BF1D"/>
    <w:rsid w:val="4DE7F9C9"/>
    <w:rsid w:val="4DE8AB0E"/>
    <w:rsid w:val="4DE8E04B"/>
    <w:rsid w:val="4DE932D6"/>
    <w:rsid w:val="4DED7B3C"/>
    <w:rsid w:val="4DF0774A"/>
    <w:rsid w:val="4DF14768"/>
    <w:rsid w:val="4DF27F17"/>
    <w:rsid w:val="4DF45209"/>
    <w:rsid w:val="4E010135"/>
    <w:rsid w:val="4E022CB4"/>
    <w:rsid w:val="4E034127"/>
    <w:rsid w:val="4E08DD41"/>
    <w:rsid w:val="4E0A3930"/>
    <w:rsid w:val="4E0FF827"/>
    <w:rsid w:val="4E12EE60"/>
    <w:rsid w:val="4E14814E"/>
    <w:rsid w:val="4E151501"/>
    <w:rsid w:val="4E17B6F2"/>
    <w:rsid w:val="4E1AB1D1"/>
    <w:rsid w:val="4E1DA875"/>
    <w:rsid w:val="4E28A9D8"/>
    <w:rsid w:val="4E2932E6"/>
    <w:rsid w:val="4E2954D1"/>
    <w:rsid w:val="4E29EDBF"/>
    <w:rsid w:val="4E2D0300"/>
    <w:rsid w:val="4E2E825C"/>
    <w:rsid w:val="4E360B9F"/>
    <w:rsid w:val="4E3BD990"/>
    <w:rsid w:val="4E419719"/>
    <w:rsid w:val="4E48E62A"/>
    <w:rsid w:val="4E4A8596"/>
    <w:rsid w:val="4E4C5AE9"/>
    <w:rsid w:val="4E4CEA79"/>
    <w:rsid w:val="4E4DC019"/>
    <w:rsid w:val="4E4ED22E"/>
    <w:rsid w:val="4E5401C5"/>
    <w:rsid w:val="4E55CCBE"/>
    <w:rsid w:val="4E56F142"/>
    <w:rsid w:val="4E5B8A1B"/>
    <w:rsid w:val="4E5CDD76"/>
    <w:rsid w:val="4E608FD9"/>
    <w:rsid w:val="4E650056"/>
    <w:rsid w:val="4E653C32"/>
    <w:rsid w:val="4E672CB0"/>
    <w:rsid w:val="4E6A7536"/>
    <w:rsid w:val="4E6CF6B6"/>
    <w:rsid w:val="4E6E6F96"/>
    <w:rsid w:val="4E7158B7"/>
    <w:rsid w:val="4E7318FB"/>
    <w:rsid w:val="4E7500E9"/>
    <w:rsid w:val="4E778D4B"/>
    <w:rsid w:val="4E79D906"/>
    <w:rsid w:val="4E7C0743"/>
    <w:rsid w:val="4E7D1A0C"/>
    <w:rsid w:val="4E7E63CF"/>
    <w:rsid w:val="4E815257"/>
    <w:rsid w:val="4E818D21"/>
    <w:rsid w:val="4E82B85D"/>
    <w:rsid w:val="4E8429D1"/>
    <w:rsid w:val="4E846703"/>
    <w:rsid w:val="4E877693"/>
    <w:rsid w:val="4E8CE08A"/>
    <w:rsid w:val="4E962535"/>
    <w:rsid w:val="4E972996"/>
    <w:rsid w:val="4E9C1267"/>
    <w:rsid w:val="4EA48A11"/>
    <w:rsid w:val="4EA6DD36"/>
    <w:rsid w:val="4EA774AE"/>
    <w:rsid w:val="4EAC83A5"/>
    <w:rsid w:val="4EAD7FE6"/>
    <w:rsid w:val="4EAE0326"/>
    <w:rsid w:val="4EAEB27D"/>
    <w:rsid w:val="4EB07798"/>
    <w:rsid w:val="4EB52C76"/>
    <w:rsid w:val="4EB588C7"/>
    <w:rsid w:val="4EB61A91"/>
    <w:rsid w:val="4EBA3564"/>
    <w:rsid w:val="4EC5165C"/>
    <w:rsid w:val="4EC5E699"/>
    <w:rsid w:val="4EC6F563"/>
    <w:rsid w:val="4EC8C1E1"/>
    <w:rsid w:val="4EC8F066"/>
    <w:rsid w:val="4ECB92FC"/>
    <w:rsid w:val="4ECC62F1"/>
    <w:rsid w:val="4ECC846A"/>
    <w:rsid w:val="4ECDC929"/>
    <w:rsid w:val="4ED95545"/>
    <w:rsid w:val="4EDA132F"/>
    <w:rsid w:val="4EDADB3D"/>
    <w:rsid w:val="4EDC24A9"/>
    <w:rsid w:val="4EDCA6F1"/>
    <w:rsid w:val="4EDF2BDA"/>
    <w:rsid w:val="4EE56745"/>
    <w:rsid w:val="4EE78A8D"/>
    <w:rsid w:val="4EE8F2F6"/>
    <w:rsid w:val="4EE9F3D4"/>
    <w:rsid w:val="4EF79E87"/>
    <w:rsid w:val="4F05662B"/>
    <w:rsid w:val="4F07B691"/>
    <w:rsid w:val="4F081F82"/>
    <w:rsid w:val="4F09D2B2"/>
    <w:rsid w:val="4F10D5BB"/>
    <w:rsid w:val="4F13FA82"/>
    <w:rsid w:val="4F141A06"/>
    <w:rsid w:val="4F1587E1"/>
    <w:rsid w:val="4F178D6C"/>
    <w:rsid w:val="4F1CD84E"/>
    <w:rsid w:val="4F1EF962"/>
    <w:rsid w:val="4F1F1733"/>
    <w:rsid w:val="4F21F138"/>
    <w:rsid w:val="4F2BF25D"/>
    <w:rsid w:val="4F2D143A"/>
    <w:rsid w:val="4F33DD1B"/>
    <w:rsid w:val="4F3455E4"/>
    <w:rsid w:val="4F3EF9D1"/>
    <w:rsid w:val="4F42EFD8"/>
    <w:rsid w:val="4F4C8C73"/>
    <w:rsid w:val="4F517F67"/>
    <w:rsid w:val="4F59C228"/>
    <w:rsid w:val="4F5C9BC5"/>
    <w:rsid w:val="4F5DEDBC"/>
    <w:rsid w:val="4F5F1FBD"/>
    <w:rsid w:val="4F615D53"/>
    <w:rsid w:val="4F7015CD"/>
    <w:rsid w:val="4F7067B6"/>
    <w:rsid w:val="4F7334AA"/>
    <w:rsid w:val="4F7AEFD7"/>
    <w:rsid w:val="4F7BAE39"/>
    <w:rsid w:val="4F839CBF"/>
    <w:rsid w:val="4F83ABA9"/>
    <w:rsid w:val="4F8617DC"/>
    <w:rsid w:val="4F99CC1F"/>
    <w:rsid w:val="4F99E474"/>
    <w:rsid w:val="4F9F8E72"/>
    <w:rsid w:val="4FA06D6B"/>
    <w:rsid w:val="4FA11527"/>
    <w:rsid w:val="4FA61DFD"/>
    <w:rsid w:val="4FAD2B23"/>
    <w:rsid w:val="4FAF1C76"/>
    <w:rsid w:val="4FB1BE09"/>
    <w:rsid w:val="4FB1EE0E"/>
    <w:rsid w:val="4FB3880A"/>
    <w:rsid w:val="4FB48D69"/>
    <w:rsid w:val="4FB5745E"/>
    <w:rsid w:val="4FB8B1A1"/>
    <w:rsid w:val="4FBF163C"/>
    <w:rsid w:val="4FBFD7EC"/>
    <w:rsid w:val="4FC111AF"/>
    <w:rsid w:val="4FC5776E"/>
    <w:rsid w:val="4FC9F474"/>
    <w:rsid w:val="4FCF458B"/>
    <w:rsid w:val="4FD50682"/>
    <w:rsid w:val="4FD98E8C"/>
    <w:rsid w:val="4FD9D93A"/>
    <w:rsid w:val="4FDE9495"/>
    <w:rsid w:val="4FE460D4"/>
    <w:rsid w:val="4FEC172A"/>
    <w:rsid w:val="4FED1295"/>
    <w:rsid w:val="4FF1CE74"/>
    <w:rsid w:val="4FF3DB2B"/>
    <w:rsid w:val="4FF48F03"/>
    <w:rsid w:val="4FF7588C"/>
    <w:rsid w:val="5004C7A9"/>
    <w:rsid w:val="5007673A"/>
    <w:rsid w:val="500AAA05"/>
    <w:rsid w:val="500D5EDB"/>
    <w:rsid w:val="500D73FA"/>
    <w:rsid w:val="50173068"/>
    <w:rsid w:val="50186E45"/>
    <w:rsid w:val="501E89B1"/>
    <w:rsid w:val="501EFED1"/>
    <w:rsid w:val="501F9653"/>
    <w:rsid w:val="50215541"/>
    <w:rsid w:val="5024F58F"/>
    <w:rsid w:val="502766D2"/>
    <w:rsid w:val="502A7EAF"/>
    <w:rsid w:val="502D80A7"/>
    <w:rsid w:val="5035CE42"/>
    <w:rsid w:val="5036FB39"/>
    <w:rsid w:val="50380589"/>
    <w:rsid w:val="503B9C7C"/>
    <w:rsid w:val="503BD019"/>
    <w:rsid w:val="503C8326"/>
    <w:rsid w:val="503EC406"/>
    <w:rsid w:val="5044473C"/>
    <w:rsid w:val="5046E5C3"/>
    <w:rsid w:val="5048A00F"/>
    <w:rsid w:val="504D964E"/>
    <w:rsid w:val="504DC025"/>
    <w:rsid w:val="50526EF5"/>
    <w:rsid w:val="5053FDD0"/>
    <w:rsid w:val="5054913F"/>
    <w:rsid w:val="5055CFB1"/>
    <w:rsid w:val="5056A715"/>
    <w:rsid w:val="505784F6"/>
    <w:rsid w:val="50598127"/>
    <w:rsid w:val="505A9933"/>
    <w:rsid w:val="505CC4EE"/>
    <w:rsid w:val="505CD285"/>
    <w:rsid w:val="505E63D5"/>
    <w:rsid w:val="5062CEC4"/>
    <w:rsid w:val="5068A3EC"/>
    <w:rsid w:val="506C4BB1"/>
    <w:rsid w:val="5073450C"/>
    <w:rsid w:val="507A8347"/>
    <w:rsid w:val="507BFCAD"/>
    <w:rsid w:val="507D77FD"/>
    <w:rsid w:val="507F02DE"/>
    <w:rsid w:val="5085DC8C"/>
    <w:rsid w:val="5087386B"/>
    <w:rsid w:val="5089D207"/>
    <w:rsid w:val="508B18F3"/>
    <w:rsid w:val="508EC98D"/>
    <w:rsid w:val="50900EF4"/>
    <w:rsid w:val="5090A561"/>
    <w:rsid w:val="50935235"/>
    <w:rsid w:val="5097974D"/>
    <w:rsid w:val="509A7C81"/>
    <w:rsid w:val="509AC458"/>
    <w:rsid w:val="509CA21D"/>
    <w:rsid w:val="509CBE49"/>
    <w:rsid w:val="509D42F9"/>
    <w:rsid w:val="50A31B3D"/>
    <w:rsid w:val="50A4A213"/>
    <w:rsid w:val="50A4BB7E"/>
    <w:rsid w:val="50AB5EB3"/>
    <w:rsid w:val="50AEA8EC"/>
    <w:rsid w:val="50B62E88"/>
    <w:rsid w:val="50B848F1"/>
    <w:rsid w:val="50BFA664"/>
    <w:rsid w:val="50C00664"/>
    <w:rsid w:val="50C2547E"/>
    <w:rsid w:val="50C3CB70"/>
    <w:rsid w:val="50C57121"/>
    <w:rsid w:val="50C5A201"/>
    <w:rsid w:val="50C732F7"/>
    <w:rsid w:val="50C92DC7"/>
    <w:rsid w:val="50CA8D22"/>
    <w:rsid w:val="50CA946D"/>
    <w:rsid w:val="50D83B72"/>
    <w:rsid w:val="50DD7AED"/>
    <w:rsid w:val="50DDA61B"/>
    <w:rsid w:val="50DEF366"/>
    <w:rsid w:val="50DF732F"/>
    <w:rsid w:val="50E841EA"/>
    <w:rsid w:val="50E9CB4F"/>
    <w:rsid w:val="50EB4610"/>
    <w:rsid w:val="50EB5914"/>
    <w:rsid w:val="50EC14E6"/>
    <w:rsid w:val="50F4C86F"/>
    <w:rsid w:val="50F689B6"/>
    <w:rsid w:val="50F6A298"/>
    <w:rsid w:val="50F6D386"/>
    <w:rsid w:val="50F75B81"/>
    <w:rsid w:val="50FD29FC"/>
    <w:rsid w:val="50FECBE5"/>
    <w:rsid w:val="5101A0A8"/>
    <w:rsid w:val="51030A84"/>
    <w:rsid w:val="51053696"/>
    <w:rsid w:val="5108A3A7"/>
    <w:rsid w:val="510A7CAD"/>
    <w:rsid w:val="510C9A9E"/>
    <w:rsid w:val="510F289B"/>
    <w:rsid w:val="511B527A"/>
    <w:rsid w:val="512067B7"/>
    <w:rsid w:val="51216982"/>
    <w:rsid w:val="51255072"/>
    <w:rsid w:val="51273304"/>
    <w:rsid w:val="512E7D9B"/>
    <w:rsid w:val="51302C2A"/>
    <w:rsid w:val="51328514"/>
    <w:rsid w:val="5135273C"/>
    <w:rsid w:val="5137704E"/>
    <w:rsid w:val="51380A83"/>
    <w:rsid w:val="5139B3E9"/>
    <w:rsid w:val="513C631D"/>
    <w:rsid w:val="513F345A"/>
    <w:rsid w:val="513F548F"/>
    <w:rsid w:val="514369DC"/>
    <w:rsid w:val="514B32E4"/>
    <w:rsid w:val="514B3B26"/>
    <w:rsid w:val="514C9117"/>
    <w:rsid w:val="5156AE7F"/>
    <w:rsid w:val="51593245"/>
    <w:rsid w:val="515D6E2E"/>
    <w:rsid w:val="515F492D"/>
    <w:rsid w:val="51645D9D"/>
    <w:rsid w:val="5164785A"/>
    <w:rsid w:val="516A220B"/>
    <w:rsid w:val="516C155D"/>
    <w:rsid w:val="516E17F8"/>
    <w:rsid w:val="516EA7B7"/>
    <w:rsid w:val="5174829A"/>
    <w:rsid w:val="5175A445"/>
    <w:rsid w:val="5175D846"/>
    <w:rsid w:val="517C4A88"/>
    <w:rsid w:val="51846890"/>
    <w:rsid w:val="51862FC7"/>
    <w:rsid w:val="51863C2F"/>
    <w:rsid w:val="518BBDB1"/>
    <w:rsid w:val="518E9DFB"/>
    <w:rsid w:val="518F4588"/>
    <w:rsid w:val="51910474"/>
    <w:rsid w:val="5191BD70"/>
    <w:rsid w:val="51935928"/>
    <w:rsid w:val="5194B989"/>
    <w:rsid w:val="51962803"/>
    <w:rsid w:val="519F5E3B"/>
    <w:rsid w:val="51A0BC59"/>
    <w:rsid w:val="51A5E1F6"/>
    <w:rsid w:val="51AAD636"/>
    <w:rsid w:val="51ABE873"/>
    <w:rsid w:val="51B282A3"/>
    <w:rsid w:val="51B78F51"/>
    <w:rsid w:val="51B9D2D1"/>
    <w:rsid w:val="51C6C283"/>
    <w:rsid w:val="51C94785"/>
    <w:rsid w:val="51C99D2E"/>
    <w:rsid w:val="51C9B9A4"/>
    <w:rsid w:val="51C9CC12"/>
    <w:rsid w:val="51CB974D"/>
    <w:rsid w:val="51CD629E"/>
    <w:rsid w:val="51D08510"/>
    <w:rsid w:val="51D43241"/>
    <w:rsid w:val="51D77341"/>
    <w:rsid w:val="51DD58B4"/>
    <w:rsid w:val="51DD90E2"/>
    <w:rsid w:val="51E2BA54"/>
    <w:rsid w:val="51E34626"/>
    <w:rsid w:val="51E4D163"/>
    <w:rsid w:val="51E4DB47"/>
    <w:rsid w:val="51E4F04E"/>
    <w:rsid w:val="51E7C52D"/>
    <w:rsid w:val="51E85D1E"/>
    <w:rsid w:val="51ED8BC0"/>
    <w:rsid w:val="51F4D6A9"/>
    <w:rsid w:val="51F620FA"/>
    <w:rsid w:val="51F8501D"/>
    <w:rsid w:val="51F918EF"/>
    <w:rsid w:val="51FA713F"/>
    <w:rsid w:val="51FC9E27"/>
    <w:rsid w:val="51FDBDF0"/>
    <w:rsid w:val="5200567C"/>
    <w:rsid w:val="52068E83"/>
    <w:rsid w:val="52078781"/>
    <w:rsid w:val="5207D82E"/>
    <w:rsid w:val="520A3F43"/>
    <w:rsid w:val="520A679E"/>
    <w:rsid w:val="52113A47"/>
    <w:rsid w:val="521260B2"/>
    <w:rsid w:val="52137F70"/>
    <w:rsid w:val="5213AA2F"/>
    <w:rsid w:val="5213EB9B"/>
    <w:rsid w:val="5216C714"/>
    <w:rsid w:val="521C943E"/>
    <w:rsid w:val="5220FB35"/>
    <w:rsid w:val="52228320"/>
    <w:rsid w:val="5224B6E9"/>
    <w:rsid w:val="5224B8AE"/>
    <w:rsid w:val="5227082C"/>
    <w:rsid w:val="522845D7"/>
    <w:rsid w:val="52294DC8"/>
    <w:rsid w:val="522D16A9"/>
    <w:rsid w:val="522DA8E5"/>
    <w:rsid w:val="52309F6B"/>
    <w:rsid w:val="5230AFBF"/>
    <w:rsid w:val="523367AE"/>
    <w:rsid w:val="5238B6E8"/>
    <w:rsid w:val="5239394A"/>
    <w:rsid w:val="523A917B"/>
    <w:rsid w:val="523B01DF"/>
    <w:rsid w:val="523D3357"/>
    <w:rsid w:val="523D8C36"/>
    <w:rsid w:val="523E56BE"/>
    <w:rsid w:val="524017D0"/>
    <w:rsid w:val="5241B9C9"/>
    <w:rsid w:val="52437DA0"/>
    <w:rsid w:val="52438C51"/>
    <w:rsid w:val="5246CE7D"/>
    <w:rsid w:val="524892AA"/>
    <w:rsid w:val="524AB936"/>
    <w:rsid w:val="524B850C"/>
    <w:rsid w:val="524BCEE1"/>
    <w:rsid w:val="524C2B1A"/>
    <w:rsid w:val="52519897"/>
    <w:rsid w:val="5256B04F"/>
    <w:rsid w:val="5258882B"/>
    <w:rsid w:val="525DCA73"/>
    <w:rsid w:val="52636C91"/>
    <w:rsid w:val="5266A24C"/>
    <w:rsid w:val="5267CA79"/>
    <w:rsid w:val="526CB380"/>
    <w:rsid w:val="5273B332"/>
    <w:rsid w:val="5274B785"/>
    <w:rsid w:val="5277745D"/>
    <w:rsid w:val="5277AD34"/>
    <w:rsid w:val="527A9E28"/>
    <w:rsid w:val="527B9307"/>
    <w:rsid w:val="527E25B4"/>
    <w:rsid w:val="527F449E"/>
    <w:rsid w:val="528101F4"/>
    <w:rsid w:val="52871D8A"/>
    <w:rsid w:val="528C05F3"/>
    <w:rsid w:val="528C07D9"/>
    <w:rsid w:val="528C349D"/>
    <w:rsid w:val="5290A84E"/>
    <w:rsid w:val="52919578"/>
    <w:rsid w:val="52926416"/>
    <w:rsid w:val="52928D6E"/>
    <w:rsid w:val="5294EBBB"/>
    <w:rsid w:val="529B663B"/>
    <w:rsid w:val="529B688A"/>
    <w:rsid w:val="529EE55F"/>
    <w:rsid w:val="52A0136E"/>
    <w:rsid w:val="52A6FCAC"/>
    <w:rsid w:val="52ADBEF2"/>
    <w:rsid w:val="52AEA07D"/>
    <w:rsid w:val="52B1FF7C"/>
    <w:rsid w:val="52B264FB"/>
    <w:rsid w:val="52B2FE06"/>
    <w:rsid w:val="52B6821D"/>
    <w:rsid w:val="52BA010A"/>
    <w:rsid w:val="52BBBA71"/>
    <w:rsid w:val="52BD1ECB"/>
    <w:rsid w:val="52BD9107"/>
    <w:rsid w:val="52BD9DEA"/>
    <w:rsid w:val="52BDD476"/>
    <w:rsid w:val="52BFC05A"/>
    <w:rsid w:val="52C05FBB"/>
    <w:rsid w:val="52C0ECF8"/>
    <w:rsid w:val="52C0FAF3"/>
    <w:rsid w:val="52C37333"/>
    <w:rsid w:val="52C68CF8"/>
    <w:rsid w:val="52CB3AF0"/>
    <w:rsid w:val="52CDADE2"/>
    <w:rsid w:val="52D2937E"/>
    <w:rsid w:val="52D9567D"/>
    <w:rsid w:val="52DD8A7A"/>
    <w:rsid w:val="52DD9287"/>
    <w:rsid w:val="52DF20EB"/>
    <w:rsid w:val="52DFA2BE"/>
    <w:rsid w:val="52E2CE65"/>
    <w:rsid w:val="52E7E77B"/>
    <w:rsid w:val="52F01E7C"/>
    <w:rsid w:val="52F08A02"/>
    <w:rsid w:val="52F4835E"/>
    <w:rsid w:val="52F49A06"/>
    <w:rsid w:val="52F502A6"/>
    <w:rsid w:val="52FD130E"/>
    <w:rsid w:val="53000A0C"/>
    <w:rsid w:val="53015423"/>
    <w:rsid w:val="530614BE"/>
    <w:rsid w:val="5308D7D5"/>
    <w:rsid w:val="530AE5B8"/>
    <w:rsid w:val="530E72BA"/>
    <w:rsid w:val="5314DC47"/>
    <w:rsid w:val="53168E83"/>
    <w:rsid w:val="531B63EA"/>
    <w:rsid w:val="531E5715"/>
    <w:rsid w:val="531E9CED"/>
    <w:rsid w:val="531EA59E"/>
    <w:rsid w:val="532DAC5C"/>
    <w:rsid w:val="532DF35A"/>
    <w:rsid w:val="532E43AE"/>
    <w:rsid w:val="532E818C"/>
    <w:rsid w:val="533419AC"/>
    <w:rsid w:val="53346675"/>
    <w:rsid w:val="53420901"/>
    <w:rsid w:val="5342B1C8"/>
    <w:rsid w:val="5347F713"/>
    <w:rsid w:val="53481398"/>
    <w:rsid w:val="534F323A"/>
    <w:rsid w:val="5351A60B"/>
    <w:rsid w:val="53539E97"/>
    <w:rsid w:val="53552C0F"/>
    <w:rsid w:val="5358F396"/>
    <w:rsid w:val="535BD9E9"/>
    <w:rsid w:val="535FABF8"/>
    <w:rsid w:val="53612982"/>
    <w:rsid w:val="53613DFE"/>
    <w:rsid w:val="53616325"/>
    <w:rsid w:val="53643D82"/>
    <w:rsid w:val="536559E6"/>
    <w:rsid w:val="5365760F"/>
    <w:rsid w:val="536A1D5B"/>
    <w:rsid w:val="536D0D95"/>
    <w:rsid w:val="536FE1AA"/>
    <w:rsid w:val="5371D036"/>
    <w:rsid w:val="53788ED0"/>
    <w:rsid w:val="537CBA95"/>
    <w:rsid w:val="537EBF72"/>
    <w:rsid w:val="537EFC3F"/>
    <w:rsid w:val="53829F81"/>
    <w:rsid w:val="53877F1F"/>
    <w:rsid w:val="538B1D72"/>
    <w:rsid w:val="538D050A"/>
    <w:rsid w:val="538D0E18"/>
    <w:rsid w:val="538D4DC3"/>
    <w:rsid w:val="538EF34E"/>
    <w:rsid w:val="53953029"/>
    <w:rsid w:val="5396F971"/>
    <w:rsid w:val="53A26EEE"/>
    <w:rsid w:val="53A298A0"/>
    <w:rsid w:val="53A7074C"/>
    <w:rsid w:val="53A76B0C"/>
    <w:rsid w:val="53A79698"/>
    <w:rsid w:val="53A7987A"/>
    <w:rsid w:val="53A808BC"/>
    <w:rsid w:val="53A958DF"/>
    <w:rsid w:val="53A98355"/>
    <w:rsid w:val="53ADA83A"/>
    <w:rsid w:val="53AF68F3"/>
    <w:rsid w:val="53AF95CC"/>
    <w:rsid w:val="53B06B09"/>
    <w:rsid w:val="53B3B8BB"/>
    <w:rsid w:val="53B51199"/>
    <w:rsid w:val="53B6485F"/>
    <w:rsid w:val="53BA591D"/>
    <w:rsid w:val="53BE75BD"/>
    <w:rsid w:val="53C5AD93"/>
    <w:rsid w:val="53C64068"/>
    <w:rsid w:val="53C6E64F"/>
    <w:rsid w:val="53CA50C7"/>
    <w:rsid w:val="53CA6B53"/>
    <w:rsid w:val="53CCBFA4"/>
    <w:rsid w:val="53CE5DD3"/>
    <w:rsid w:val="53CF766E"/>
    <w:rsid w:val="53D1E2F4"/>
    <w:rsid w:val="53D61C9A"/>
    <w:rsid w:val="53DAF1C0"/>
    <w:rsid w:val="53DC58E4"/>
    <w:rsid w:val="53DD5650"/>
    <w:rsid w:val="53DD5C14"/>
    <w:rsid w:val="53E0CA8E"/>
    <w:rsid w:val="53E15715"/>
    <w:rsid w:val="53E2A830"/>
    <w:rsid w:val="53E33E01"/>
    <w:rsid w:val="53ED495A"/>
    <w:rsid w:val="53F120A1"/>
    <w:rsid w:val="53F14937"/>
    <w:rsid w:val="53F33A10"/>
    <w:rsid w:val="53F56E12"/>
    <w:rsid w:val="53F7EFA9"/>
    <w:rsid w:val="53FA9E73"/>
    <w:rsid w:val="53FC15A3"/>
    <w:rsid w:val="53FC79D3"/>
    <w:rsid w:val="540543CC"/>
    <w:rsid w:val="5406644C"/>
    <w:rsid w:val="540AB79B"/>
    <w:rsid w:val="540D7521"/>
    <w:rsid w:val="540DA012"/>
    <w:rsid w:val="5410FA8D"/>
    <w:rsid w:val="54125E49"/>
    <w:rsid w:val="54141378"/>
    <w:rsid w:val="5414821D"/>
    <w:rsid w:val="54153909"/>
    <w:rsid w:val="541572C2"/>
    <w:rsid w:val="541753F0"/>
    <w:rsid w:val="541B8949"/>
    <w:rsid w:val="54266F30"/>
    <w:rsid w:val="54271C16"/>
    <w:rsid w:val="54284EC8"/>
    <w:rsid w:val="542C1C7F"/>
    <w:rsid w:val="542EC3DB"/>
    <w:rsid w:val="542F2ABE"/>
    <w:rsid w:val="54315EDF"/>
    <w:rsid w:val="5434594A"/>
    <w:rsid w:val="54385BAA"/>
    <w:rsid w:val="5438EF06"/>
    <w:rsid w:val="543A8738"/>
    <w:rsid w:val="543C170C"/>
    <w:rsid w:val="543E2873"/>
    <w:rsid w:val="543F8424"/>
    <w:rsid w:val="5443FAB8"/>
    <w:rsid w:val="544547DA"/>
    <w:rsid w:val="54474C5F"/>
    <w:rsid w:val="5450AA0E"/>
    <w:rsid w:val="5454ED68"/>
    <w:rsid w:val="5455FDAD"/>
    <w:rsid w:val="5459E48A"/>
    <w:rsid w:val="545B1554"/>
    <w:rsid w:val="54652C06"/>
    <w:rsid w:val="5468E039"/>
    <w:rsid w:val="546B69CC"/>
    <w:rsid w:val="5472AFDB"/>
    <w:rsid w:val="547A2E2F"/>
    <w:rsid w:val="5480E7E5"/>
    <w:rsid w:val="54991467"/>
    <w:rsid w:val="5499661E"/>
    <w:rsid w:val="549F2B4B"/>
    <w:rsid w:val="549FF35C"/>
    <w:rsid w:val="54AD4864"/>
    <w:rsid w:val="54AF0AA9"/>
    <w:rsid w:val="54B2229E"/>
    <w:rsid w:val="54B2AEDF"/>
    <w:rsid w:val="54B3F100"/>
    <w:rsid w:val="54B4E0E4"/>
    <w:rsid w:val="54BB3BA4"/>
    <w:rsid w:val="54C92CDE"/>
    <w:rsid w:val="54D051FA"/>
    <w:rsid w:val="54D15E6D"/>
    <w:rsid w:val="54D17D09"/>
    <w:rsid w:val="54D321B7"/>
    <w:rsid w:val="54D6B6D5"/>
    <w:rsid w:val="54DEB9E8"/>
    <w:rsid w:val="54DF2281"/>
    <w:rsid w:val="54E5B330"/>
    <w:rsid w:val="54EA0CAE"/>
    <w:rsid w:val="54F0E104"/>
    <w:rsid w:val="54F2A81B"/>
    <w:rsid w:val="54FBAC0A"/>
    <w:rsid w:val="54FE67E5"/>
    <w:rsid w:val="54FEB098"/>
    <w:rsid w:val="55011F32"/>
    <w:rsid w:val="55040A9B"/>
    <w:rsid w:val="55065DFB"/>
    <w:rsid w:val="55070E6F"/>
    <w:rsid w:val="55072852"/>
    <w:rsid w:val="550AD5CD"/>
    <w:rsid w:val="550B4D3A"/>
    <w:rsid w:val="550CFB97"/>
    <w:rsid w:val="5511BC2F"/>
    <w:rsid w:val="5511F1AE"/>
    <w:rsid w:val="55130559"/>
    <w:rsid w:val="55162FBF"/>
    <w:rsid w:val="55166D13"/>
    <w:rsid w:val="55180649"/>
    <w:rsid w:val="5518B709"/>
    <w:rsid w:val="551ADAB8"/>
    <w:rsid w:val="551BCC08"/>
    <w:rsid w:val="551D4936"/>
    <w:rsid w:val="551E3A0B"/>
    <w:rsid w:val="5526D956"/>
    <w:rsid w:val="5527559A"/>
    <w:rsid w:val="55281D12"/>
    <w:rsid w:val="55286454"/>
    <w:rsid w:val="5528A9AC"/>
    <w:rsid w:val="552AB784"/>
    <w:rsid w:val="552AFE61"/>
    <w:rsid w:val="552FE617"/>
    <w:rsid w:val="5534F357"/>
    <w:rsid w:val="553711FE"/>
    <w:rsid w:val="553C53DA"/>
    <w:rsid w:val="5541A93D"/>
    <w:rsid w:val="554324FF"/>
    <w:rsid w:val="55479F89"/>
    <w:rsid w:val="554AF721"/>
    <w:rsid w:val="554D489D"/>
    <w:rsid w:val="55501115"/>
    <w:rsid w:val="5550384A"/>
    <w:rsid w:val="55532CFB"/>
    <w:rsid w:val="555B4D24"/>
    <w:rsid w:val="555D2FBF"/>
    <w:rsid w:val="555DB99F"/>
    <w:rsid w:val="55600026"/>
    <w:rsid w:val="55629A1F"/>
    <w:rsid w:val="5563C9C6"/>
    <w:rsid w:val="5565F228"/>
    <w:rsid w:val="5567309B"/>
    <w:rsid w:val="5567F9F8"/>
    <w:rsid w:val="5569160E"/>
    <w:rsid w:val="55691F6D"/>
    <w:rsid w:val="55708CF4"/>
    <w:rsid w:val="55734D9F"/>
    <w:rsid w:val="55736870"/>
    <w:rsid w:val="557A44FE"/>
    <w:rsid w:val="557AD908"/>
    <w:rsid w:val="557BF861"/>
    <w:rsid w:val="557CA1A9"/>
    <w:rsid w:val="55813068"/>
    <w:rsid w:val="5585B76D"/>
    <w:rsid w:val="55864A25"/>
    <w:rsid w:val="558BFC98"/>
    <w:rsid w:val="558D0379"/>
    <w:rsid w:val="558E2B7B"/>
    <w:rsid w:val="558E3F69"/>
    <w:rsid w:val="558EBC62"/>
    <w:rsid w:val="5593ECD2"/>
    <w:rsid w:val="559AA154"/>
    <w:rsid w:val="559B409C"/>
    <w:rsid w:val="559E2554"/>
    <w:rsid w:val="55A06E38"/>
    <w:rsid w:val="55A17111"/>
    <w:rsid w:val="55A18F33"/>
    <w:rsid w:val="55A2142D"/>
    <w:rsid w:val="55A2817F"/>
    <w:rsid w:val="55A2AA59"/>
    <w:rsid w:val="55A3DA23"/>
    <w:rsid w:val="55A52E8F"/>
    <w:rsid w:val="55A6611D"/>
    <w:rsid w:val="55A7349A"/>
    <w:rsid w:val="55A7DD2B"/>
    <w:rsid w:val="55A8654D"/>
    <w:rsid w:val="55A87335"/>
    <w:rsid w:val="55B0F78E"/>
    <w:rsid w:val="55B164D3"/>
    <w:rsid w:val="55B17329"/>
    <w:rsid w:val="55B6C267"/>
    <w:rsid w:val="55BCFD38"/>
    <w:rsid w:val="55BF986B"/>
    <w:rsid w:val="55CC8BB4"/>
    <w:rsid w:val="55CDA4D7"/>
    <w:rsid w:val="55D21393"/>
    <w:rsid w:val="55D34799"/>
    <w:rsid w:val="55D596E8"/>
    <w:rsid w:val="55DE4561"/>
    <w:rsid w:val="55DF6262"/>
    <w:rsid w:val="55E20DB6"/>
    <w:rsid w:val="55E491FE"/>
    <w:rsid w:val="55E6287C"/>
    <w:rsid w:val="55EAEA66"/>
    <w:rsid w:val="55ED15F0"/>
    <w:rsid w:val="55EFE2E3"/>
    <w:rsid w:val="55FB55BD"/>
    <w:rsid w:val="56020EB3"/>
    <w:rsid w:val="56028428"/>
    <w:rsid w:val="560704C8"/>
    <w:rsid w:val="560A1BEF"/>
    <w:rsid w:val="560D66A2"/>
    <w:rsid w:val="56158F72"/>
    <w:rsid w:val="561C6CA7"/>
    <w:rsid w:val="5621A367"/>
    <w:rsid w:val="5625E4D2"/>
    <w:rsid w:val="562B226E"/>
    <w:rsid w:val="562B714E"/>
    <w:rsid w:val="5633145F"/>
    <w:rsid w:val="5633DD2F"/>
    <w:rsid w:val="5637153B"/>
    <w:rsid w:val="5637693F"/>
    <w:rsid w:val="5637CD4C"/>
    <w:rsid w:val="563808AD"/>
    <w:rsid w:val="563C1F33"/>
    <w:rsid w:val="5642E6E2"/>
    <w:rsid w:val="5649F0E5"/>
    <w:rsid w:val="564A39AE"/>
    <w:rsid w:val="564E7359"/>
    <w:rsid w:val="564F7D90"/>
    <w:rsid w:val="56504A70"/>
    <w:rsid w:val="5652023C"/>
    <w:rsid w:val="5652CF32"/>
    <w:rsid w:val="56562CA6"/>
    <w:rsid w:val="565724B1"/>
    <w:rsid w:val="565AF1C0"/>
    <w:rsid w:val="565C9C08"/>
    <w:rsid w:val="565ED587"/>
    <w:rsid w:val="566193C3"/>
    <w:rsid w:val="566748A5"/>
    <w:rsid w:val="5667A946"/>
    <w:rsid w:val="566DC1E9"/>
    <w:rsid w:val="566EDC24"/>
    <w:rsid w:val="566F7F6F"/>
    <w:rsid w:val="5670E15F"/>
    <w:rsid w:val="567113B2"/>
    <w:rsid w:val="5673F776"/>
    <w:rsid w:val="5674A5BC"/>
    <w:rsid w:val="56761C35"/>
    <w:rsid w:val="5676D5E3"/>
    <w:rsid w:val="56771842"/>
    <w:rsid w:val="56796F22"/>
    <w:rsid w:val="5679C742"/>
    <w:rsid w:val="567BA2D7"/>
    <w:rsid w:val="567C5F7A"/>
    <w:rsid w:val="567E71FA"/>
    <w:rsid w:val="567FBE77"/>
    <w:rsid w:val="56819334"/>
    <w:rsid w:val="5681B644"/>
    <w:rsid w:val="5684B0B0"/>
    <w:rsid w:val="5684C344"/>
    <w:rsid w:val="568CFAF1"/>
    <w:rsid w:val="568D499C"/>
    <w:rsid w:val="569126AC"/>
    <w:rsid w:val="56944E88"/>
    <w:rsid w:val="56954AD7"/>
    <w:rsid w:val="569D0418"/>
    <w:rsid w:val="569FB7A4"/>
    <w:rsid w:val="56A552D3"/>
    <w:rsid w:val="56A5A8C7"/>
    <w:rsid w:val="56B59AAF"/>
    <w:rsid w:val="56B89A57"/>
    <w:rsid w:val="56BA681F"/>
    <w:rsid w:val="56BAA4A6"/>
    <w:rsid w:val="56BEA06C"/>
    <w:rsid w:val="56BEB493"/>
    <w:rsid w:val="56BF0FD3"/>
    <w:rsid w:val="56C2A9B7"/>
    <w:rsid w:val="56C4C030"/>
    <w:rsid w:val="56C6C7A2"/>
    <w:rsid w:val="56CFDD45"/>
    <w:rsid w:val="56CFFC06"/>
    <w:rsid w:val="56D63406"/>
    <w:rsid w:val="56D6AEE3"/>
    <w:rsid w:val="56D9225F"/>
    <w:rsid w:val="56DC0422"/>
    <w:rsid w:val="56E05116"/>
    <w:rsid w:val="56E07468"/>
    <w:rsid w:val="56E6D8E8"/>
    <w:rsid w:val="56EA5D36"/>
    <w:rsid w:val="56EEE3DD"/>
    <w:rsid w:val="56EF4669"/>
    <w:rsid w:val="56F2F90C"/>
    <w:rsid w:val="56F2FC4C"/>
    <w:rsid w:val="56F43215"/>
    <w:rsid w:val="56F74A03"/>
    <w:rsid w:val="56F8713B"/>
    <w:rsid w:val="56FCBDE2"/>
    <w:rsid w:val="56FFB76C"/>
    <w:rsid w:val="57020C01"/>
    <w:rsid w:val="570DC94C"/>
    <w:rsid w:val="570F015B"/>
    <w:rsid w:val="57100C2E"/>
    <w:rsid w:val="571281B2"/>
    <w:rsid w:val="57147F28"/>
    <w:rsid w:val="571A4490"/>
    <w:rsid w:val="571D19AC"/>
    <w:rsid w:val="571D2D96"/>
    <w:rsid w:val="571D43DB"/>
    <w:rsid w:val="572075AD"/>
    <w:rsid w:val="5725BC9C"/>
    <w:rsid w:val="57334930"/>
    <w:rsid w:val="57397DBC"/>
    <w:rsid w:val="573C6375"/>
    <w:rsid w:val="57422BA6"/>
    <w:rsid w:val="574AD4B8"/>
    <w:rsid w:val="574E1223"/>
    <w:rsid w:val="57526639"/>
    <w:rsid w:val="575430AE"/>
    <w:rsid w:val="57543924"/>
    <w:rsid w:val="575736C9"/>
    <w:rsid w:val="575E29DB"/>
    <w:rsid w:val="575EAECA"/>
    <w:rsid w:val="575EF6A8"/>
    <w:rsid w:val="575F74EC"/>
    <w:rsid w:val="576427C9"/>
    <w:rsid w:val="57654A65"/>
    <w:rsid w:val="5777DEB3"/>
    <w:rsid w:val="57791BEB"/>
    <w:rsid w:val="5779B4C8"/>
    <w:rsid w:val="577AD2C1"/>
    <w:rsid w:val="57812793"/>
    <w:rsid w:val="5791BDFC"/>
    <w:rsid w:val="57921E3A"/>
    <w:rsid w:val="579472B6"/>
    <w:rsid w:val="5794C991"/>
    <w:rsid w:val="579C5AD6"/>
    <w:rsid w:val="579D2278"/>
    <w:rsid w:val="57A51EBA"/>
    <w:rsid w:val="57AD3B44"/>
    <w:rsid w:val="57B3096A"/>
    <w:rsid w:val="57B3A1B9"/>
    <w:rsid w:val="57B8BA7A"/>
    <w:rsid w:val="57BD6FA8"/>
    <w:rsid w:val="57C08599"/>
    <w:rsid w:val="57C9EE7B"/>
    <w:rsid w:val="57CB204D"/>
    <w:rsid w:val="57CC4BEB"/>
    <w:rsid w:val="57CE3911"/>
    <w:rsid w:val="57CFE231"/>
    <w:rsid w:val="57D39DAD"/>
    <w:rsid w:val="57D70244"/>
    <w:rsid w:val="57DD2B19"/>
    <w:rsid w:val="57E1A91F"/>
    <w:rsid w:val="57E24C3D"/>
    <w:rsid w:val="57E98895"/>
    <w:rsid w:val="57E9F0A9"/>
    <w:rsid w:val="57ECB871"/>
    <w:rsid w:val="57ECCF04"/>
    <w:rsid w:val="57EE8886"/>
    <w:rsid w:val="57F51F17"/>
    <w:rsid w:val="57F7922D"/>
    <w:rsid w:val="57FAC277"/>
    <w:rsid w:val="57FC1069"/>
    <w:rsid w:val="57FC2F32"/>
    <w:rsid w:val="57FC57FA"/>
    <w:rsid w:val="57FF5B2D"/>
    <w:rsid w:val="57FFAE64"/>
    <w:rsid w:val="58035479"/>
    <w:rsid w:val="580C7DD4"/>
    <w:rsid w:val="580CB0CE"/>
    <w:rsid w:val="5819DD63"/>
    <w:rsid w:val="581C8C35"/>
    <w:rsid w:val="581D6621"/>
    <w:rsid w:val="581E904F"/>
    <w:rsid w:val="581EE04C"/>
    <w:rsid w:val="581F55A6"/>
    <w:rsid w:val="58219824"/>
    <w:rsid w:val="5821CDCE"/>
    <w:rsid w:val="5824DAF5"/>
    <w:rsid w:val="582F887E"/>
    <w:rsid w:val="5830D0B2"/>
    <w:rsid w:val="58323462"/>
    <w:rsid w:val="5834016A"/>
    <w:rsid w:val="58367268"/>
    <w:rsid w:val="5838D5C6"/>
    <w:rsid w:val="583D01ED"/>
    <w:rsid w:val="5840BDDD"/>
    <w:rsid w:val="584361B7"/>
    <w:rsid w:val="5845EA66"/>
    <w:rsid w:val="584840FC"/>
    <w:rsid w:val="584A486D"/>
    <w:rsid w:val="584B85F6"/>
    <w:rsid w:val="58520C82"/>
    <w:rsid w:val="5854A077"/>
    <w:rsid w:val="58573C3A"/>
    <w:rsid w:val="5857E2C1"/>
    <w:rsid w:val="585801BA"/>
    <w:rsid w:val="5859C9EB"/>
    <w:rsid w:val="5860762D"/>
    <w:rsid w:val="58650D77"/>
    <w:rsid w:val="58659CB4"/>
    <w:rsid w:val="5868B930"/>
    <w:rsid w:val="586AA79F"/>
    <w:rsid w:val="586C4A67"/>
    <w:rsid w:val="58749095"/>
    <w:rsid w:val="5876FE9C"/>
    <w:rsid w:val="58797B85"/>
    <w:rsid w:val="587B2C15"/>
    <w:rsid w:val="587C45FD"/>
    <w:rsid w:val="587C722E"/>
    <w:rsid w:val="587D12BB"/>
    <w:rsid w:val="587F4BCE"/>
    <w:rsid w:val="58812BB6"/>
    <w:rsid w:val="58815F8B"/>
    <w:rsid w:val="5885C288"/>
    <w:rsid w:val="5886073B"/>
    <w:rsid w:val="5886B5D1"/>
    <w:rsid w:val="588A1430"/>
    <w:rsid w:val="58926C1E"/>
    <w:rsid w:val="5899E590"/>
    <w:rsid w:val="589A99F6"/>
    <w:rsid w:val="589B914E"/>
    <w:rsid w:val="589D6A46"/>
    <w:rsid w:val="58A024C2"/>
    <w:rsid w:val="58A09990"/>
    <w:rsid w:val="58A54BEC"/>
    <w:rsid w:val="58B46BD1"/>
    <w:rsid w:val="58B4B999"/>
    <w:rsid w:val="58B5570A"/>
    <w:rsid w:val="58C1856F"/>
    <w:rsid w:val="58C713A4"/>
    <w:rsid w:val="58CA361C"/>
    <w:rsid w:val="58CC0A8D"/>
    <w:rsid w:val="58CCDD99"/>
    <w:rsid w:val="58D5C616"/>
    <w:rsid w:val="58DD8BBA"/>
    <w:rsid w:val="58DEC828"/>
    <w:rsid w:val="58DF8F19"/>
    <w:rsid w:val="58E35DBE"/>
    <w:rsid w:val="58E7FCB6"/>
    <w:rsid w:val="58EB46AE"/>
    <w:rsid w:val="58F0233D"/>
    <w:rsid w:val="58F427C4"/>
    <w:rsid w:val="58F46D59"/>
    <w:rsid w:val="58F86228"/>
    <w:rsid w:val="59093265"/>
    <w:rsid w:val="590BFC9F"/>
    <w:rsid w:val="590DA393"/>
    <w:rsid w:val="591120F3"/>
    <w:rsid w:val="5916D573"/>
    <w:rsid w:val="591D0802"/>
    <w:rsid w:val="592300BC"/>
    <w:rsid w:val="59236799"/>
    <w:rsid w:val="5925BC8B"/>
    <w:rsid w:val="5926043C"/>
    <w:rsid w:val="592A71C7"/>
    <w:rsid w:val="592AB893"/>
    <w:rsid w:val="5934EBEE"/>
    <w:rsid w:val="593FF38A"/>
    <w:rsid w:val="5940FFE7"/>
    <w:rsid w:val="5947B705"/>
    <w:rsid w:val="594A3163"/>
    <w:rsid w:val="594CB76A"/>
    <w:rsid w:val="594CEBB4"/>
    <w:rsid w:val="594E32EB"/>
    <w:rsid w:val="594E653D"/>
    <w:rsid w:val="59504C48"/>
    <w:rsid w:val="5952BA78"/>
    <w:rsid w:val="59565D7F"/>
    <w:rsid w:val="59594000"/>
    <w:rsid w:val="5959DADF"/>
    <w:rsid w:val="59685C83"/>
    <w:rsid w:val="59688114"/>
    <w:rsid w:val="596D4233"/>
    <w:rsid w:val="596EC9E3"/>
    <w:rsid w:val="596F5D95"/>
    <w:rsid w:val="597065DC"/>
    <w:rsid w:val="597355CA"/>
    <w:rsid w:val="597810F4"/>
    <w:rsid w:val="59797169"/>
    <w:rsid w:val="597B7D5D"/>
    <w:rsid w:val="59831560"/>
    <w:rsid w:val="598429DC"/>
    <w:rsid w:val="598EBF5C"/>
    <w:rsid w:val="598F0885"/>
    <w:rsid w:val="5994CF94"/>
    <w:rsid w:val="5994D849"/>
    <w:rsid w:val="5996A893"/>
    <w:rsid w:val="5998897D"/>
    <w:rsid w:val="5999F828"/>
    <w:rsid w:val="599B8119"/>
    <w:rsid w:val="599C874C"/>
    <w:rsid w:val="599DCF54"/>
    <w:rsid w:val="59A29D6D"/>
    <w:rsid w:val="59A32270"/>
    <w:rsid w:val="59A8834E"/>
    <w:rsid w:val="59ABD5E0"/>
    <w:rsid w:val="59B04203"/>
    <w:rsid w:val="59B1A1AA"/>
    <w:rsid w:val="59B1C713"/>
    <w:rsid w:val="59B1CDA5"/>
    <w:rsid w:val="59B45F5F"/>
    <w:rsid w:val="59B9F87D"/>
    <w:rsid w:val="59BA6A0D"/>
    <w:rsid w:val="59C1D4D2"/>
    <w:rsid w:val="59C2DC84"/>
    <w:rsid w:val="59C41D68"/>
    <w:rsid w:val="59C79812"/>
    <w:rsid w:val="59C9A21E"/>
    <w:rsid w:val="59CB3805"/>
    <w:rsid w:val="59D12B63"/>
    <w:rsid w:val="59D49FAC"/>
    <w:rsid w:val="59D71682"/>
    <w:rsid w:val="59DB9787"/>
    <w:rsid w:val="59DBE6E9"/>
    <w:rsid w:val="59E080E5"/>
    <w:rsid w:val="59E716C2"/>
    <w:rsid w:val="59E95CCC"/>
    <w:rsid w:val="59EA5AD9"/>
    <w:rsid w:val="59ECBF1E"/>
    <w:rsid w:val="59F3F6AE"/>
    <w:rsid w:val="59F4F820"/>
    <w:rsid w:val="59F683ED"/>
    <w:rsid w:val="59F6B8D9"/>
    <w:rsid w:val="59F91FA6"/>
    <w:rsid w:val="59FC1BBE"/>
    <w:rsid w:val="59FF3A6D"/>
    <w:rsid w:val="5A000ACB"/>
    <w:rsid w:val="5A000B5E"/>
    <w:rsid w:val="5A04D16B"/>
    <w:rsid w:val="5A06B365"/>
    <w:rsid w:val="5A0DAEFF"/>
    <w:rsid w:val="5A0EF47F"/>
    <w:rsid w:val="5A127E66"/>
    <w:rsid w:val="5A13601B"/>
    <w:rsid w:val="5A183B51"/>
    <w:rsid w:val="5A1C8CA3"/>
    <w:rsid w:val="5A21E866"/>
    <w:rsid w:val="5A25A4C4"/>
    <w:rsid w:val="5A27AEA5"/>
    <w:rsid w:val="5A2D704C"/>
    <w:rsid w:val="5A2DA456"/>
    <w:rsid w:val="5A3127A2"/>
    <w:rsid w:val="5A38C310"/>
    <w:rsid w:val="5A3977F4"/>
    <w:rsid w:val="5A3A94B9"/>
    <w:rsid w:val="5A3FEC94"/>
    <w:rsid w:val="5A4002E9"/>
    <w:rsid w:val="5A4177BF"/>
    <w:rsid w:val="5A424C33"/>
    <w:rsid w:val="5A441DC8"/>
    <w:rsid w:val="5A456B8F"/>
    <w:rsid w:val="5A48295F"/>
    <w:rsid w:val="5A48F6FA"/>
    <w:rsid w:val="5A4928D2"/>
    <w:rsid w:val="5A4B2818"/>
    <w:rsid w:val="5A4E5B25"/>
    <w:rsid w:val="5A4FB960"/>
    <w:rsid w:val="5A585B50"/>
    <w:rsid w:val="5A596074"/>
    <w:rsid w:val="5A619E8A"/>
    <w:rsid w:val="5A61EE68"/>
    <w:rsid w:val="5A655972"/>
    <w:rsid w:val="5A6CFB0F"/>
    <w:rsid w:val="5A6ECD99"/>
    <w:rsid w:val="5A717F2E"/>
    <w:rsid w:val="5A7AFEEA"/>
    <w:rsid w:val="5A7CC1F8"/>
    <w:rsid w:val="5A7DF0B6"/>
    <w:rsid w:val="5A83E82D"/>
    <w:rsid w:val="5A86A4EC"/>
    <w:rsid w:val="5A87F489"/>
    <w:rsid w:val="5A891847"/>
    <w:rsid w:val="5A920AAE"/>
    <w:rsid w:val="5A97DA0E"/>
    <w:rsid w:val="5A988686"/>
    <w:rsid w:val="5A9972D1"/>
    <w:rsid w:val="5A9D627E"/>
    <w:rsid w:val="5AA2EE0E"/>
    <w:rsid w:val="5AA448BD"/>
    <w:rsid w:val="5AA8157C"/>
    <w:rsid w:val="5AAE7B46"/>
    <w:rsid w:val="5AB1B8F1"/>
    <w:rsid w:val="5AB4B3D3"/>
    <w:rsid w:val="5ABC60DC"/>
    <w:rsid w:val="5ABE654D"/>
    <w:rsid w:val="5AC111BD"/>
    <w:rsid w:val="5AC1E7ED"/>
    <w:rsid w:val="5AC3E8D7"/>
    <w:rsid w:val="5AC732AE"/>
    <w:rsid w:val="5AC7DF4C"/>
    <w:rsid w:val="5AC85F28"/>
    <w:rsid w:val="5AD02303"/>
    <w:rsid w:val="5AD3C920"/>
    <w:rsid w:val="5ADC5A06"/>
    <w:rsid w:val="5AE0AF41"/>
    <w:rsid w:val="5AE24EDB"/>
    <w:rsid w:val="5AE301ED"/>
    <w:rsid w:val="5AE5935C"/>
    <w:rsid w:val="5AE9450F"/>
    <w:rsid w:val="5AE9FC21"/>
    <w:rsid w:val="5AEBADBF"/>
    <w:rsid w:val="5AF26D88"/>
    <w:rsid w:val="5AF53A68"/>
    <w:rsid w:val="5AF7670E"/>
    <w:rsid w:val="5AF923C6"/>
    <w:rsid w:val="5AFB991B"/>
    <w:rsid w:val="5B053F08"/>
    <w:rsid w:val="5B0AF0DB"/>
    <w:rsid w:val="5B0C23C2"/>
    <w:rsid w:val="5B103E79"/>
    <w:rsid w:val="5B10E563"/>
    <w:rsid w:val="5B11D43A"/>
    <w:rsid w:val="5B131AC4"/>
    <w:rsid w:val="5B136606"/>
    <w:rsid w:val="5B16C48F"/>
    <w:rsid w:val="5B184B59"/>
    <w:rsid w:val="5B1C2D83"/>
    <w:rsid w:val="5B1CF71C"/>
    <w:rsid w:val="5B1E41C6"/>
    <w:rsid w:val="5B20CA62"/>
    <w:rsid w:val="5B21F6D6"/>
    <w:rsid w:val="5B25C239"/>
    <w:rsid w:val="5B27456C"/>
    <w:rsid w:val="5B275AA0"/>
    <w:rsid w:val="5B278F3B"/>
    <w:rsid w:val="5B27B180"/>
    <w:rsid w:val="5B29B0B4"/>
    <w:rsid w:val="5B29C9C3"/>
    <w:rsid w:val="5B2D7257"/>
    <w:rsid w:val="5B33009E"/>
    <w:rsid w:val="5B3368B0"/>
    <w:rsid w:val="5B33E4A9"/>
    <w:rsid w:val="5B378ECE"/>
    <w:rsid w:val="5B3B0305"/>
    <w:rsid w:val="5B3F7C6E"/>
    <w:rsid w:val="5B452A60"/>
    <w:rsid w:val="5B45F689"/>
    <w:rsid w:val="5B4692A4"/>
    <w:rsid w:val="5B47F59E"/>
    <w:rsid w:val="5B4C0FB2"/>
    <w:rsid w:val="5B4E3EFD"/>
    <w:rsid w:val="5B5990CD"/>
    <w:rsid w:val="5B5D9E32"/>
    <w:rsid w:val="5B5E7A54"/>
    <w:rsid w:val="5B6712F0"/>
    <w:rsid w:val="5B6AEEFD"/>
    <w:rsid w:val="5B6B31A3"/>
    <w:rsid w:val="5B6BE02C"/>
    <w:rsid w:val="5B76ED01"/>
    <w:rsid w:val="5B7851B9"/>
    <w:rsid w:val="5B7A9321"/>
    <w:rsid w:val="5B805B3C"/>
    <w:rsid w:val="5B81E92F"/>
    <w:rsid w:val="5B8808D7"/>
    <w:rsid w:val="5B8A3FF2"/>
    <w:rsid w:val="5B8A57D0"/>
    <w:rsid w:val="5B8F1A48"/>
    <w:rsid w:val="5B913A0A"/>
    <w:rsid w:val="5B95FD75"/>
    <w:rsid w:val="5B96D59F"/>
    <w:rsid w:val="5B97AB35"/>
    <w:rsid w:val="5BA02790"/>
    <w:rsid w:val="5BA076B9"/>
    <w:rsid w:val="5BA9F8D8"/>
    <w:rsid w:val="5BB2F4F8"/>
    <w:rsid w:val="5BB7C20C"/>
    <w:rsid w:val="5BB96A43"/>
    <w:rsid w:val="5BC6D47D"/>
    <w:rsid w:val="5BC7574F"/>
    <w:rsid w:val="5BC849D6"/>
    <w:rsid w:val="5BC8F702"/>
    <w:rsid w:val="5BC9971D"/>
    <w:rsid w:val="5BCAD789"/>
    <w:rsid w:val="5BCB7DE0"/>
    <w:rsid w:val="5BCDF33B"/>
    <w:rsid w:val="5BCF35FB"/>
    <w:rsid w:val="5BD49A81"/>
    <w:rsid w:val="5BD4CC63"/>
    <w:rsid w:val="5BD90306"/>
    <w:rsid w:val="5BDBDEEE"/>
    <w:rsid w:val="5BDF35C0"/>
    <w:rsid w:val="5BE03833"/>
    <w:rsid w:val="5BE0AFB4"/>
    <w:rsid w:val="5BE4FD93"/>
    <w:rsid w:val="5BE6DFEB"/>
    <w:rsid w:val="5BE77E4C"/>
    <w:rsid w:val="5BEBB441"/>
    <w:rsid w:val="5BEC0C93"/>
    <w:rsid w:val="5BED1A44"/>
    <w:rsid w:val="5BEE2FB4"/>
    <w:rsid w:val="5BEF44AA"/>
    <w:rsid w:val="5BF01E2E"/>
    <w:rsid w:val="5BF3EACA"/>
    <w:rsid w:val="5BF636D7"/>
    <w:rsid w:val="5BF851FD"/>
    <w:rsid w:val="5BF976ED"/>
    <w:rsid w:val="5BF9EDB1"/>
    <w:rsid w:val="5BFA3D5F"/>
    <w:rsid w:val="5BFA533A"/>
    <w:rsid w:val="5C043283"/>
    <w:rsid w:val="5C04AF37"/>
    <w:rsid w:val="5C06E042"/>
    <w:rsid w:val="5C08A05B"/>
    <w:rsid w:val="5C0A8C6C"/>
    <w:rsid w:val="5C0B81F4"/>
    <w:rsid w:val="5C0D0B0D"/>
    <w:rsid w:val="5C0DBF98"/>
    <w:rsid w:val="5C0FFD47"/>
    <w:rsid w:val="5C130FF3"/>
    <w:rsid w:val="5C14EBBC"/>
    <w:rsid w:val="5C18B803"/>
    <w:rsid w:val="5C1BE7FD"/>
    <w:rsid w:val="5C1DAD7F"/>
    <w:rsid w:val="5C1DB594"/>
    <w:rsid w:val="5C21A3A6"/>
    <w:rsid w:val="5C27C1BF"/>
    <w:rsid w:val="5C28BE1E"/>
    <w:rsid w:val="5C2A168B"/>
    <w:rsid w:val="5C2DFCAC"/>
    <w:rsid w:val="5C30978E"/>
    <w:rsid w:val="5C32BF4D"/>
    <w:rsid w:val="5C332483"/>
    <w:rsid w:val="5C33D1B0"/>
    <w:rsid w:val="5C341E97"/>
    <w:rsid w:val="5C3638D6"/>
    <w:rsid w:val="5C36B0C4"/>
    <w:rsid w:val="5C425CF3"/>
    <w:rsid w:val="5C4287AC"/>
    <w:rsid w:val="5C4639DC"/>
    <w:rsid w:val="5C496936"/>
    <w:rsid w:val="5C4D2924"/>
    <w:rsid w:val="5C4E0521"/>
    <w:rsid w:val="5C50F431"/>
    <w:rsid w:val="5C5177C9"/>
    <w:rsid w:val="5C51EDFF"/>
    <w:rsid w:val="5C55EDE6"/>
    <w:rsid w:val="5C58BACA"/>
    <w:rsid w:val="5C59428D"/>
    <w:rsid w:val="5C5C8E76"/>
    <w:rsid w:val="5C5C8E7E"/>
    <w:rsid w:val="5C5D2097"/>
    <w:rsid w:val="5C6656F1"/>
    <w:rsid w:val="5C671B49"/>
    <w:rsid w:val="5C68ED3C"/>
    <w:rsid w:val="5C6DC94D"/>
    <w:rsid w:val="5C6DE68E"/>
    <w:rsid w:val="5C725BB1"/>
    <w:rsid w:val="5C754370"/>
    <w:rsid w:val="5C76853A"/>
    <w:rsid w:val="5C76BD5E"/>
    <w:rsid w:val="5C7E577C"/>
    <w:rsid w:val="5C7E85CE"/>
    <w:rsid w:val="5C7FD097"/>
    <w:rsid w:val="5C804D4E"/>
    <w:rsid w:val="5C829F62"/>
    <w:rsid w:val="5C841E19"/>
    <w:rsid w:val="5C88DDB8"/>
    <w:rsid w:val="5C8A48F4"/>
    <w:rsid w:val="5C8CEA39"/>
    <w:rsid w:val="5C921EDF"/>
    <w:rsid w:val="5CA0986C"/>
    <w:rsid w:val="5CA5023F"/>
    <w:rsid w:val="5CA6AAC3"/>
    <w:rsid w:val="5CAA8748"/>
    <w:rsid w:val="5CAD08A9"/>
    <w:rsid w:val="5CADD2A6"/>
    <w:rsid w:val="5CB30397"/>
    <w:rsid w:val="5CB88214"/>
    <w:rsid w:val="5CBBA840"/>
    <w:rsid w:val="5CC0C151"/>
    <w:rsid w:val="5CC90318"/>
    <w:rsid w:val="5CCAFB87"/>
    <w:rsid w:val="5CD5D311"/>
    <w:rsid w:val="5CDAE7BB"/>
    <w:rsid w:val="5CE265A1"/>
    <w:rsid w:val="5CE390AD"/>
    <w:rsid w:val="5CE41A21"/>
    <w:rsid w:val="5CE55681"/>
    <w:rsid w:val="5CE79FE1"/>
    <w:rsid w:val="5CE8D466"/>
    <w:rsid w:val="5CF2E651"/>
    <w:rsid w:val="5CF6BAE1"/>
    <w:rsid w:val="5CF7F4DE"/>
    <w:rsid w:val="5CFBACFF"/>
    <w:rsid w:val="5CFC026D"/>
    <w:rsid w:val="5D015F11"/>
    <w:rsid w:val="5D021B8B"/>
    <w:rsid w:val="5D03BE73"/>
    <w:rsid w:val="5D05287E"/>
    <w:rsid w:val="5D0889FD"/>
    <w:rsid w:val="5D0DE7C2"/>
    <w:rsid w:val="5D0DF799"/>
    <w:rsid w:val="5D12B184"/>
    <w:rsid w:val="5D173683"/>
    <w:rsid w:val="5D18DBA8"/>
    <w:rsid w:val="5D1972F4"/>
    <w:rsid w:val="5D1A3FF3"/>
    <w:rsid w:val="5D1DD193"/>
    <w:rsid w:val="5D1EF2EB"/>
    <w:rsid w:val="5D208A55"/>
    <w:rsid w:val="5D212ECA"/>
    <w:rsid w:val="5D221A03"/>
    <w:rsid w:val="5D248574"/>
    <w:rsid w:val="5D2B2F9A"/>
    <w:rsid w:val="5D2C859E"/>
    <w:rsid w:val="5D2EED4A"/>
    <w:rsid w:val="5D30252C"/>
    <w:rsid w:val="5D317E79"/>
    <w:rsid w:val="5D324B04"/>
    <w:rsid w:val="5D32A74D"/>
    <w:rsid w:val="5D32E849"/>
    <w:rsid w:val="5D345E4B"/>
    <w:rsid w:val="5D36D70A"/>
    <w:rsid w:val="5D3B844D"/>
    <w:rsid w:val="5D3D4B4B"/>
    <w:rsid w:val="5D404868"/>
    <w:rsid w:val="5D454E6C"/>
    <w:rsid w:val="5D45DF7A"/>
    <w:rsid w:val="5D47388D"/>
    <w:rsid w:val="5D4A1FB3"/>
    <w:rsid w:val="5D4FCF1C"/>
    <w:rsid w:val="5D535766"/>
    <w:rsid w:val="5D574932"/>
    <w:rsid w:val="5D583640"/>
    <w:rsid w:val="5D591385"/>
    <w:rsid w:val="5D5A5953"/>
    <w:rsid w:val="5D5BA858"/>
    <w:rsid w:val="5D5CA56D"/>
    <w:rsid w:val="5D64DDBA"/>
    <w:rsid w:val="5D66F6EA"/>
    <w:rsid w:val="5D6731AC"/>
    <w:rsid w:val="5D6B20CD"/>
    <w:rsid w:val="5D6CB27D"/>
    <w:rsid w:val="5D6E291D"/>
    <w:rsid w:val="5D72E6B3"/>
    <w:rsid w:val="5D770269"/>
    <w:rsid w:val="5D77A3AB"/>
    <w:rsid w:val="5D77E155"/>
    <w:rsid w:val="5D77EF5C"/>
    <w:rsid w:val="5D7A7AB8"/>
    <w:rsid w:val="5D7B8704"/>
    <w:rsid w:val="5D7D71D6"/>
    <w:rsid w:val="5D81EF20"/>
    <w:rsid w:val="5D87C6A2"/>
    <w:rsid w:val="5D88FD59"/>
    <w:rsid w:val="5D96A985"/>
    <w:rsid w:val="5D998F47"/>
    <w:rsid w:val="5DA3204A"/>
    <w:rsid w:val="5DA4C099"/>
    <w:rsid w:val="5DA8337F"/>
    <w:rsid w:val="5DA848D2"/>
    <w:rsid w:val="5DAC4C47"/>
    <w:rsid w:val="5DAD7B0F"/>
    <w:rsid w:val="5DB026E1"/>
    <w:rsid w:val="5DB2CB8B"/>
    <w:rsid w:val="5DB3C9D8"/>
    <w:rsid w:val="5DBB4819"/>
    <w:rsid w:val="5DBDE518"/>
    <w:rsid w:val="5DC25433"/>
    <w:rsid w:val="5DC33DA3"/>
    <w:rsid w:val="5DC49094"/>
    <w:rsid w:val="5DC5A901"/>
    <w:rsid w:val="5DC6F95B"/>
    <w:rsid w:val="5DCC7E37"/>
    <w:rsid w:val="5DCCBB57"/>
    <w:rsid w:val="5DCE067F"/>
    <w:rsid w:val="5DCE2821"/>
    <w:rsid w:val="5DD62824"/>
    <w:rsid w:val="5DD71C76"/>
    <w:rsid w:val="5DDB0F93"/>
    <w:rsid w:val="5DDB3BEC"/>
    <w:rsid w:val="5DDC7D57"/>
    <w:rsid w:val="5DDD055F"/>
    <w:rsid w:val="5DDDA4FE"/>
    <w:rsid w:val="5DE0F2BD"/>
    <w:rsid w:val="5DEC6489"/>
    <w:rsid w:val="5DED2C1A"/>
    <w:rsid w:val="5DF53A6D"/>
    <w:rsid w:val="5DF81637"/>
    <w:rsid w:val="5DF9E6F7"/>
    <w:rsid w:val="5DFB6A6B"/>
    <w:rsid w:val="5DFEE236"/>
    <w:rsid w:val="5E01CB17"/>
    <w:rsid w:val="5E04DB75"/>
    <w:rsid w:val="5E090017"/>
    <w:rsid w:val="5E0D38DD"/>
    <w:rsid w:val="5E1087A8"/>
    <w:rsid w:val="5E11AAEA"/>
    <w:rsid w:val="5E14F981"/>
    <w:rsid w:val="5E1803B6"/>
    <w:rsid w:val="5E1BDDE8"/>
    <w:rsid w:val="5E1DB63A"/>
    <w:rsid w:val="5E1F2012"/>
    <w:rsid w:val="5E23BE2A"/>
    <w:rsid w:val="5E259129"/>
    <w:rsid w:val="5E2813A7"/>
    <w:rsid w:val="5E298159"/>
    <w:rsid w:val="5E2BF742"/>
    <w:rsid w:val="5E367250"/>
    <w:rsid w:val="5E3A03ED"/>
    <w:rsid w:val="5E3D4560"/>
    <w:rsid w:val="5E4638BE"/>
    <w:rsid w:val="5E465B4A"/>
    <w:rsid w:val="5E4ABFD5"/>
    <w:rsid w:val="5E4B6688"/>
    <w:rsid w:val="5E4CF907"/>
    <w:rsid w:val="5E4ED00A"/>
    <w:rsid w:val="5E4F27E7"/>
    <w:rsid w:val="5E4FFF80"/>
    <w:rsid w:val="5E567A62"/>
    <w:rsid w:val="5E582D51"/>
    <w:rsid w:val="5E582EAC"/>
    <w:rsid w:val="5E5C3EDB"/>
    <w:rsid w:val="5E5EDFBE"/>
    <w:rsid w:val="5E5EE068"/>
    <w:rsid w:val="5E5F65C9"/>
    <w:rsid w:val="5E607AFB"/>
    <w:rsid w:val="5E68BF6B"/>
    <w:rsid w:val="5E69B41C"/>
    <w:rsid w:val="5E6CB4B3"/>
    <w:rsid w:val="5E6E3293"/>
    <w:rsid w:val="5E723998"/>
    <w:rsid w:val="5E758189"/>
    <w:rsid w:val="5E758552"/>
    <w:rsid w:val="5E790900"/>
    <w:rsid w:val="5E7D14E7"/>
    <w:rsid w:val="5E7F52E7"/>
    <w:rsid w:val="5E81F3B2"/>
    <w:rsid w:val="5E84951A"/>
    <w:rsid w:val="5E85E60F"/>
    <w:rsid w:val="5E90A819"/>
    <w:rsid w:val="5E92D6D5"/>
    <w:rsid w:val="5E994356"/>
    <w:rsid w:val="5E9C6923"/>
    <w:rsid w:val="5EA5D007"/>
    <w:rsid w:val="5EA7E045"/>
    <w:rsid w:val="5EA84F1A"/>
    <w:rsid w:val="5EB19C74"/>
    <w:rsid w:val="5EB48DA1"/>
    <w:rsid w:val="5EB80892"/>
    <w:rsid w:val="5EB8D5F3"/>
    <w:rsid w:val="5EBAB55F"/>
    <w:rsid w:val="5EBC55F2"/>
    <w:rsid w:val="5EBEF8C8"/>
    <w:rsid w:val="5EBEFE13"/>
    <w:rsid w:val="5EC1C92E"/>
    <w:rsid w:val="5EC1D5B4"/>
    <w:rsid w:val="5EC2624E"/>
    <w:rsid w:val="5EC66590"/>
    <w:rsid w:val="5EC9B251"/>
    <w:rsid w:val="5ED4731B"/>
    <w:rsid w:val="5ED5F64C"/>
    <w:rsid w:val="5ED82B1C"/>
    <w:rsid w:val="5EDBE970"/>
    <w:rsid w:val="5EDC4004"/>
    <w:rsid w:val="5EE1445C"/>
    <w:rsid w:val="5EE34669"/>
    <w:rsid w:val="5EE3FCA0"/>
    <w:rsid w:val="5EE473E5"/>
    <w:rsid w:val="5EE6B849"/>
    <w:rsid w:val="5EEA41E0"/>
    <w:rsid w:val="5EF547DD"/>
    <w:rsid w:val="5EF8DBF1"/>
    <w:rsid w:val="5EFBB8EC"/>
    <w:rsid w:val="5EFD7FE6"/>
    <w:rsid w:val="5EFECEEC"/>
    <w:rsid w:val="5EFFC22F"/>
    <w:rsid w:val="5F067442"/>
    <w:rsid w:val="5F08DBEE"/>
    <w:rsid w:val="5F09CC4D"/>
    <w:rsid w:val="5F0BD552"/>
    <w:rsid w:val="5F155A47"/>
    <w:rsid w:val="5F15D619"/>
    <w:rsid w:val="5F1811E2"/>
    <w:rsid w:val="5F1D4E53"/>
    <w:rsid w:val="5F219E66"/>
    <w:rsid w:val="5F228B82"/>
    <w:rsid w:val="5F2756A5"/>
    <w:rsid w:val="5F2AFF0A"/>
    <w:rsid w:val="5F3023CC"/>
    <w:rsid w:val="5F318D77"/>
    <w:rsid w:val="5F3DA092"/>
    <w:rsid w:val="5F3F2262"/>
    <w:rsid w:val="5F3F7A46"/>
    <w:rsid w:val="5F3FC37C"/>
    <w:rsid w:val="5F444861"/>
    <w:rsid w:val="5F4E6053"/>
    <w:rsid w:val="5F52CFB1"/>
    <w:rsid w:val="5F53DFF5"/>
    <w:rsid w:val="5F5713EB"/>
    <w:rsid w:val="5F5A3573"/>
    <w:rsid w:val="5F5BCA23"/>
    <w:rsid w:val="5F5F5A26"/>
    <w:rsid w:val="5F5FE495"/>
    <w:rsid w:val="5F60D8FF"/>
    <w:rsid w:val="5F61EE63"/>
    <w:rsid w:val="5F645E11"/>
    <w:rsid w:val="5F6C937A"/>
    <w:rsid w:val="5F6CAA66"/>
    <w:rsid w:val="5F7D5E6A"/>
    <w:rsid w:val="5F7FD45E"/>
    <w:rsid w:val="5F7FD862"/>
    <w:rsid w:val="5F80BE5E"/>
    <w:rsid w:val="5F8682D4"/>
    <w:rsid w:val="5F86EC64"/>
    <w:rsid w:val="5F87ADF4"/>
    <w:rsid w:val="5F887FFF"/>
    <w:rsid w:val="5F8D65C4"/>
    <w:rsid w:val="5F91421C"/>
    <w:rsid w:val="5F986692"/>
    <w:rsid w:val="5F988C81"/>
    <w:rsid w:val="5F9BF70A"/>
    <w:rsid w:val="5FA1B599"/>
    <w:rsid w:val="5FA31571"/>
    <w:rsid w:val="5FA36B2D"/>
    <w:rsid w:val="5FA462C1"/>
    <w:rsid w:val="5FA853ED"/>
    <w:rsid w:val="5FAD8937"/>
    <w:rsid w:val="5FB8DE91"/>
    <w:rsid w:val="5FBE4EC8"/>
    <w:rsid w:val="5FC36F00"/>
    <w:rsid w:val="5FC71BB1"/>
    <w:rsid w:val="5FC88B53"/>
    <w:rsid w:val="5FCDC6BE"/>
    <w:rsid w:val="5FCE25AF"/>
    <w:rsid w:val="5FCE4BCA"/>
    <w:rsid w:val="5FD6E541"/>
    <w:rsid w:val="5FD80D46"/>
    <w:rsid w:val="5FD8328E"/>
    <w:rsid w:val="5FDDC486"/>
    <w:rsid w:val="5FE02D44"/>
    <w:rsid w:val="5FE18FE1"/>
    <w:rsid w:val="5FE2ACFF"/>
    <w:rsid w:val="5FE8D108"/>
    <w:rsid w:val="5FEAEFD2"/>
    <w:rsid w:val="5FEB9CE4"/>
    <w:rsid w:val="5FF0C2CB"/>
    <w:rsid w:val="5FF0D698"/>
    <w:rsid w:val="5FF1516A"/>
    <w:rsid w:val="5FF1B9EA"/>
    <w:rsid w:val="5FF3CA68"/>
    <w:rsid w:val="5FF671BC"/>
    <w:rsid w:val="5FFA3693"/>
    <w:rsid w:val="5FFA7D57"/>
    <w:rsid w:val="5FFDBC22"/>
    <w:rsid w:val="5FFF88CD"/>
    <w:rsid w:val="6002694C"/>
    <w:rsid w:val="6007B1B9"/>
    <w:rsid w:val="600EE9CD"/>
    <w:rsid w:val="60171EC3"/>
    <w:rsid w:val="6018CC40"/>
    <w:rsid w:val="6018CCD4"/>
    <w:rsid w:val="6019C3BA"/>
    <w:rsid w:val="6023CDF5"/>
    <w:rsid w:val="60252007"/>
    <w:rsid w:val="602753F6"/>
    <w:rsid w:val="60282D01"/>
    <w:rsid w:val="6028826E"/>
    <w:rsid w:val="60346600"/>
    <w:rsid w:val="6035A31B"/>
    <w:rsid w:val="60362796"/>
    <w:rsid w:val="60364411"/>
    <w:rsid w:val="6038A9F1"/>
    <w:rsid w:val="603A9DC1"/>
    <w:rsid w:val="603EEEE1"/>
    <w:rsid w:val="603F4909"/>
    <w:rsid w:val="60425809"/>
    <w:rsid w:val="6042EDA4"/>
    <w:rsid w:val="6048F9DB"/>
    <w:rsid w:val="604BD247"/>
    <w:rsid w:val="6055CF08"/>
    <w:rsid w:val="605875BA"/>
    <w:rsid w:val="605E4851"/>
    <w:rsid w:val="605E8BB8"/>
    <w:rsid w:val="606005E4"/>
    <w:rsid w:val="60634B8A"/>
    <w:rsid w:val="6066455F"/>
    <w:rsid w:val="606790D8"/>
    <w:rsid w:val="60683004"/>
    <w:rsid w:val="606CC061"/>
    <w:rsid w:val="6073AAAE"/>
    <w:rsid w:val="6075A9AD"/>
    <w:rsid w:val="607C9BAB"/>
    <w:rsid w:val="607D8540"/>
    <w:rsid w:val="607FF440"/>
    <w:rsid w:val="60827A69"/>
    <w:rsid w:val="6083E004"/>
    <w:rsid w:val="60849B72"/>
    <w:rsid w:val="6085DB88"/>
    <w:rsid w:val="60860B00"/>
    <w:rsid w:val="60865E19"/>
    <w:rsid w:val="6087E77A"/>
    <w:rsid w:val="608A5B2B"/>
    <w:rsid w:val="608D70A5"/>
    <w:rsid w:val="6092D1CF"/>
    <w:rsid w:val="60934145"/>
    <w:rsid w:val="60A3E289"/>
    <w:rsid w:val="60A66724"/>
    <w:rsid w:val="60A70A86"/>
    <w:rsid w:val="60A86203"/>
    <w:rsid w:val="60A8F0E8"/>
    <w:rsid w:val="60AB42AC"/>
    <w:rsid w:val="60AE4B01"/>
    <w:rsid w:val="60B4EC40"/>
    <w:rsid w:val="60B505FB"/>
    <w:rsid w:val="60B58B3A"/>
    <w:rsid w:val="60B9CA7F"/>
    <w:rsid w:val="60BE4D8E"/>
    <w:rsid w:val="60C1B9AE"/>
    <w:rsid w:val="60C91945"/>
    <w:rsid w:val="60CE26A6"/>
    <w:rsid w:val="60CE37C3"/>
    <w:rsid w:val="60D1EE22"/>
    <w:rsid w:val="60D60566"/>
    <w:rsid w:val="60E1E251"/>
    <w:rsid w:val="60E20A85"/>
    <w:rsid w:val="60ED3A30"/>
    <w:rsid w:val="60ED6039"/>
    <w:rsid w:val="60EE3F5E"/>
    <w:rsid w:val="60F0E811"/>
    <w:rsid w:val="60F1DDF6"/>
    <w:rsid w:val="60F9AD0A"/>
    <w:rsid w:val="61020342"/>
    <w:rsid w:val="61070905"/>
    <w:rsid w:val="61075F33"/>
    <w:rsid w:val="61086097"/>
    <w:rsid w:val="6108641E"/>
    <w:rsid w:val="61091FE6"/>
    <w:rsid w:val="610EDF22"/>
    <w:rsid w:val="610F4AF5"/>
    <w:rsid w:val="611B7762"/>
    <w:rsid w:val="611EE76E"/>
    <w:rsid w:val="6125502B"/>
    <w:rsid w:val="61288ED3"/>
    <w:rsid w:val="61293E78"/>
    <w:rsid w:val="61295284"/>
    <w:rsid w:val="6129E85E"/>
    <w:rsid w:val="612B7D97"/>
    <w:rsid w:val="612D3280"/>
    <w:rsid w:val="612F71D4"/>
    <w:rsid w:val="612FED02"/>
    <w:rsid w:val="61310FAD"/>
    <w:rsid w:val="61320C15"/>
    <w:rsid w:val="61330ADE"/>
    <w:rsid w:val="61362E77"/>
    <w:rsid w:val="61370F62"/>
    <w:rsid w:val="613CE212"/>
    <w:rsid w:val="61401BFE"/>
    <w:rsid w:val="61440604"/>
    <w:rsid w:val="6144FD73"/>
    <w:rsid w:val="61457F1F"/>
    <w:rsid w:val="615365CF"/>
    <w:rsid w:val="615977CB"/>
    <w:rsid w:val="615C2D56"/>
    <w:rsid w:val="615E0B02"/>
    <w:rsid w:val="6161FBC4"/>
    <w:rsid w:val="6164C007"/>
    <w:rsid w:val="61653F52"/>
    <w:rsid w:val="61679001"/>
    <w:rsid w:val="616F83DD"/>
    <w:rsid w:val="61747309"/>
    <w:rsid w:val="61764C47"/>
    <w:rsid w:val="6176CA75"/>
    <w:rsid w:val="617C9BAD"/>
    <w:rsid w:val="617CF979"/>
    <w:rsid w:val="617D55F7"/>
    <w:rsid w:val="617DD1D1"/>
    <w:rsid w:val="617FBBA9"/>
    <w:rsid w:val="617FE2EA"/>
    <w:rsid w:val="6180D2EC"/>
    <w:rsid w:val="6181D063"/>
    <w:rsid w:val="61879D5C"/>
    <w:rsid w:val="6188B996"/>
    <w:rsid w:val="618AC6A2"/>
    <w:rsid w:val="618C2A92"/>
    <w:rsid w:val="618ECCDC"/>
    <w:rsid w:val="6190A686"/>
    <w:rsid w:val="61913A67"/>
    <w:rsid w:val="6193CCED"/>
    <w:rsid w:val="6194796B"/>
    <w:rsid w:val="6194E0CE"/>
    <w:rsid w:val="6194FC36"/>
    <w:rsid w:val="61955D4F"/>
    <w:rsid w:val="61995DBE"/>
    <w:rsid w:val="619A9B06"/>
    <w:rsid w:val="619D4615"/>
    <w:rsid w:val="619DB03A"/>
    <w:rsid w:val="61A27875"/>
    <w:rsid w:val="61A62AFA"/>
    <w:rsid w:val="61AA461E"/>
    <w:rsid w:val="61AC7500"/>
    <w:rsid w:val="61BC10FC"/>
    <w:rsid w:val="61C478AF"/>
    <w:rsid w:val="61C811C3"/>
    <w:rsid w:val="61CB7334"/>
    <w:rsid w:val="61CB8892"/>
    <w:rsid w:val="61CF990D"/>
    <w:rsid w:val="61D116DB"/>
    <w:rsid w:val="61D4AD6D"/>
    <w:rsid w:val="61D5B342"/>
    <w:rsid w:val="61D708AE"/>
    <w:rsid w:val="61D918A9"/>
    <w:rsid w:val="61E332CE"/>
    <w:rsid w:val="61E45AB1"/>
    <w:rsid w:val="61E66BF9"/>
    <w:rsid w:val="61E7E414"/>
    <w:rsid w:val="61ED76BE"/>
    <w:rsid w:val="61F53A04"/>
    <w:rsid w:val="61F81791"/>
    <w:rsid w:val="61F8B929"/>
    <w:rsid w:val="61F9985E"/>
    <w:rsid w:val="61FD7757"/>
    <w:rsid w:val="61FE008C"/>
    <w:rsid w:val="61FE5AC3"/>
    <w:rsid w:val="61FF62D9"/>
    <w:rsid w:val="62018392"/>
    <w:rsid w:val="6201D80D"/>
    <w:rsid w:val="6204CCD2"/>
    <w:rsid w:val="6205FC26"/>
    <w:rsid w:val="620682C4"/>
    <w:rsid w:val="620B6D9B"/>
    <w:rsid w:val="620CD28D"/>
    <w:rsid w:val="6212CC11"/>
    <w:rsid w:val="6212E25F"/>
    <w:rsid w:val="6216B35B"/>
    <w:rsid w:val="621925B2"/>
    <w:rsid w:val="621D6A48"/>
    <w:rsid w:val="6220696F"/>
    <w:rsid w:val="622137A3"/>
    <w:rsid w:val="62232ED8"/>
    <w:rsid w:val="622498BA"/>
    <w:rsid w:val="62256B67"/>
    <w:rsid w:val="622BB0D3"/>
    <w:rsid w:val="622C7F9F"/>
    <w:rsid w:val="622F03DD"/>
    <w:rsid w:val="622F8D66"/>
    <w:rsid w:val="62314284"/>
    <w:rsid w:val="62340CEC"/>
    <w:rsid w:val="623D6424"/>
    <w:rsid w:val="6244CB2B"/>
    <w:rsid w:val="62451B12"/>
    <w:rsid w:val="62475E4E"/>
    <w:rsid w:val="62495C1F"/>
    <w:rsid w:val="6255147B"/>
    <w:rsid w:val="625692F6"/>
    <w:rsid w:val="625823C2"/>
    <w:rsid w:val="62593DC0"/>
    <w:rsid w:val="625C872A"/>
    <w:rsid w:val="626CC69D"/>
    <w:rsid w:val="626F6C38"/>
    <w:rsid w:val="626FD667"/>
    <w:rsid w:val="62709504"/>
    <w:rsid w:val="6273AD21"/>
    <w:rsid w:val="62786F3E"/>
    <w:rsid w:val="62791625"/>
    <w:rsid w:val="627A7770"/>
    <w:rsid w:val="62843617"/>
    <w:rsid w:val="6289C8C2"/>
    <w:rsid w:val="628BFAD9"/>
    <w:rsid w:val="629042D7"/>
    <w:rsid w:val="629067EE"/>
    <w:rsid w:val="6290CEE0"/>
    <w:rsid w:val="6293D222"/>
    <w:rsid w:val="6296AA40"/>
    <w:rsid w:val="629725B2"/>
    <w:rsid w:val="629DB6EB"/>
    <w:rsid w:val="629EF37B"/>
    <w:rsid w:val="62A023F8"/>
    <w:rsid w:val="62A0A565"/>
    <w:rsid w:val="62A31BC7"/>
    <w:rsid w:val="62A3F819"/>
    <w:rsid w:val="62A97E91"/>
    <w:rsid w:val="62AAA61D"/>
    <w:rsid w:val="62AB8C86"/>
    <w:rsid w:val="62B02A77"/>
    <w:rsid w:val="62B07071"/>
    <w:rsid w:val="62B21801"/>
    <w:rsid w:val="62B435DE"/>
    <w:rsid w:val="62BCD6F4"/>
    <w:rsid w:val="62C1F1EC"/>
    <w:rsid w:val="62C269BA"/>
    <w:rsid w:val="62C2734A"/>
    <w:rsid w:val="62C3B919"/>
    <w:rsid w:val="62C8FECA"/>
    <w:rsid w:val="62CB75EB"/>
    <w:rsid w:val="62CBB322"/>
    <w:rsid w:val="62CC8FD3"/>
    <w:rsid w:val="62CCA747"/>
    <w:rsid w:val="62CCC88F"/>
    <w:rsid w:val="62D232AE"/>
    <w:rsid w:val="62D69927"/>
    <w:rsid w:val="62DA15F0"/>
    <w:rsid w:val="62DEF1E9"/>
    <w:rsid w:val="62E01617"/>
    <w:rsid w:val="62F2F007"/>
    <w:rsid w:val="62F32842"/>
    <w:rsid w:val="62F7AD7A"/>
    <w:rsid w:val="62FD7283"/>
    <w:rsid w:val="63027C0C"/>
    <w:rsid w:val="63047867"/>
    <w:rsid w:val="6307EB35"/>
    <w:rsid w:val="6308816F"/>
    <w:rsid w:val="630962D3"/>
    <w:rsid w:val="630A22DB"/>
    <w:rsid w:val="630C3EDC"/>
    <w:rsid w:val="630FC4FF"/>
    <w:rsid w:val="6318AA98"/>
    <w:rsid w:val="631A5113"/>
    <w:rsid w:val="63282ACD"/>
    <w:rsid w:val="632A270E"/>
    <w:rsid w:val="632E7CE5"/>
    <w:rsid w:val="63300D2F"/>
    <w:rsid w:val="6333815D"/>
    <w:rsid w:val="633930DA"/>
    <w:rsid w:val="633BB23F"/>
    <w:rsid w:val="633D72E1"/>
    <w:rsid w:val="633E57D3"/>
    <w:rsid w:val="634014E0"/>
    <w:rsid w:val="634090C8"/>
    <w:rsid w:val="6341EC0A"/>
    <w:rsid w:val="6343968A"/>
    <w:rsid w:val="6343C414"/>
    <w:rsid w:val="6344B183"/>
    <w:rsid w:val="634955F8"/>
    <w:rsid w:val="63495F7C"/>
    <w:rsid w:val="634A1046"/>
    <w:rsid w:val="634C0E4B"/>
    <w:rsid w:val="634F426D"/>
    <w:rsid w:val="635551FB"/>
    <w:rsid w:val="63572248"/>
    <w:rsid w:val="635ABD85"/>
    <w:rsid w:val="635F20E4"/>
    <w:rsid w:val="6360D474"/>
    <w:rsid w:val="63623A3F"/>
    <w:rsid w:val="636495A0"/>
    <w:rsid w:val="63679687"/>
    <w:rsid w:val="6368AB00"/>
    <w:rsid w:val="6368D229"/>
    <w:rsid w:val="636B591F"/>
    <w:rsid w:val="636DA77C"/>
    <w:rsid w:val="63729E76"/>
    <w:rsid w:val="637AC34F"/>
    <w:rsid w:val="637E9E42"/>
    <w:rsid w:val="6380C8A0"/>
    <w:rsid w:val="6382386C"/>
    <w:rsid w:val="6383275A"/>
    <w:rsid w:val="6384EB1B"/>
    <w:rsid w:val="638AFCE6"/>
    <w:rsid w:val="639286DA"/>
    <w:rsid w:val="6393ADA1"/>
    <w:rsid w:val="63963752"/>
    <w:rsid w:val="639C03E6"/>
    <w:rsid w:val="639CD576"/>
    <w:rsid w:val="639D6952"/>
    <w:rsid w:val="639DEE14"/>
    <w:rsid w:val="63A58CD3"/>
    <w:rsid w:val="63A68A17"/>
    <w:rsid w:val="63AAB1E0"/>
    <w:rsid w:val="63B2AE5B"/>
    <w:rsid w:val="63B3E86C"/>
    <w:rsid w:val="63B52452"/>
    <w:rsid w:val="63B7FBDF"/>
    <w:rsid w:val="63B90577"/>
    <w:rsid w:val="63BBDCC1"/>
    <w:rsid w:val="63BF0151"/>
    <w:rsid w:val="63C96D05"/>
    <w:rsid w:val="63CDA67D"/>
    <w:rsid w:val="63D45D70"/>
    <w:rsid w:val="63D4B19A"/>
    <w:rsid w:val="63DA6DC9"/>
    <w:rsid w:val="63DB494F"/>
    <w:rsid w:val="63E0558D"/>
    <w:rsid w:val="63E3CE1E"/>
    <w:rsid w:val="63EDABE3"/>
    <w:rsid w:val="63F183B4"/>
    <w:rsid w:val="63F26529"/>
    <w:rsid w:val="63F3A1C6"/>
    <w:rsid w:val="63F8BCA7"/>
    <w:rsid w:val="63FD01AF"/>
    <w:rsid w:val="63FE109B"/>
    <w:rsid w:val="63FE2B8A"/>
    <w:rsid w:val="63FF6ECD"/>
    <w:rsid w:val="63FFDB20"/>
    <w:rsid w:val="64081CDC"/>
    <w:rsid w:val="6409D0BF"/>
    <w:rsid w:val="640B79EC"/>
    <w:rsid w:val="640EAC15"/>
    <w:rsid w:val="64145870"/>
    <w:rsid w:val="6418FDD1"/>
    <w:rsid w:val="64220273"/>
    <w:rsid w:val="64288CFA"/>
    <w:rsid w:val="642C9E6E"/>
    <w:rsid w:val="642F6263"/>
    <w:rsid w:val="6431CC48"/>
    <w:rsid w:val="6438B315"/>
    <w:rsid w:val="64413FA1"/>
    <w:rsid w:val="6449BEBE"/>
    <w:rsid w:val="644A3209"/>
    <w:rsid w:val="644AA9F0"/>
    <w:rsid w:val="6452927A"/>
    <w:rsid w:val="64548498"/>
    <w:rsid w:val="6455CF98"/>
    <w:rsid w:val="64565AD3"/>
    <w:rsid w:val="64567673"/>
    <w:rsid w:val="64589DE2"/>
    <w:rsid w:val="64590398"/>
    <w:rsid w:val="645A272C"/>
    <w:rsid w:val="645AFC42"/>
    <w:rsid w:val="645F26A4"/>
    <w:rsid w:val="646196F9"/>
    <w:rsid w:val="6466325A"/>
    <w:rsid w:val="64669770"/>
    <w:rsid w:val="64689E98"/>
    <w:rsid w:val="646AE3B4"/>
    <w:rsid w:val="646B1132"/>
    <w:rsid w:val="646D0949"/>
    <w:rsid w:val="646FE597"/>
    <w:rsid w:val="64760D75"/>
    <w:rsid w:val="647967F9"/>
    <w:rsid w:val="647F6B65"/>
    <w:rsid w:val="64858009"/>
    <w:rsid w:val="6485AE7B"/>
    <w:rsid w:val="648A2817"/>
    <w:rsid w:val="648B41D6"/>
    <w:rsid w:val="648C3BD5"/>
    <w:rsid w:val="648FE356"/>
    <w:rsid w:val="64994BC2"/>
    <w:rsid w:val="649D70B3"/>
    <w:rsid w:val="649D8DF2"/>
    <w:rsid w:val="64A6EAB8"/>
    <w:rsid w:val="64A88747"/>
    <w:rsid w:val="64B135A9"/>
    <w:rsid w:val="64B73089"/>
    <w:rsid w:val="64B80F8B"/>
    <w:rsid w:val="64BAA4C5"/>
    <w:rsid w:val="64BC3302"/>
    <w:rsid w:val="64BEEAE6"/>
    <w:rsid w:val="64BF8F81"/>
    <w:rsid w:val="64C2F8D5"/>
    <w:rsid w:val="64C542E0"/>
    <w:rsid w:val="64C80882"/>
    <w:rsid w:val="64C8EF39"/>
    <w:rsid w:val="64CF2372"/>
    <w:rsid w:val="64D1CD95"/>
    <w:rsid w:val="64D69385"/>
    <w:rsid w:val="64D6EA29"/>
    <w:rsid w:val="64D86E66"/>
    <w:rsid w:val="64D9970E"/>
    <w:rsid w:val="64DC80D4"/>
    <w:rsid w:val="64DDBD5B"/>
    <w:rsid w:val="64DF1F0F"/>
    <w:rsid w:val="64E1897D"/>
    <w:rsid w:val="64E22249"/>
    <w:rsid w:val="64E3B7F9"/>
    <w:rsid w:val="64EA8133"/>
    <w:rsid w:val="64ECCEB8"/>
    <w:rsid w:val="64ED6811"/>
    <w:rsid w:val="64EDADC8"/>
    <w:rsid w:val="64EE7623"/>
    <w:rsid w:val="64EF3D20"/>
    <w:rsid w:val="64F266FE"/>
    <w:rsid w:val="64F36E1C"/>
    <w:rsid w:val="64F53039"/>
    <w:rsid w:val="64F81D07"/>
    <w:rsid w:val="64F9D070"/>
    <w:rsid w:val="64FBDFE5"/>
    <w:rsid w:val="64FD746C"/>
    <w:rsid w:val="6501DD7B"/>
    <w:rsid w:val="65023F36"/>
    <w:rsid w:val="65057728"/>
    <w:rsid w:val="6506EFA1"/>
    <w:rsid w:val="6507C5D5"/>
    <w:rsid w:val="6508CCD3"/>
    <w:rsid w:val="650977DD"/>
    <w:rsid w:val="650A7972"/>
    <w:rsid w:val="650D7A60"/>
    <w:rsid w:val="650E1BE7"/>
    <w:rsid w:val="650E93AE"/>
    <w:rsid w:val="65163B28"/>
    <w:rsid w:val="6520816E"/>
    <w:rsid w:val="6520F058"/>
    <w:rsid w:val="65224039"/>
    <w:rsid w:val="6522AF08"/>
    <w:rsid w:val="6523D4C3"/>
    <w:rsid w:val="65291C09"/>
    <w:rsid w:val="652F484A"/>
    <w:rsid w:val="65311738"/>
    <w:rsid w:val="65397587"/>
    <w:rsid w:val="653B8E48"/>
    <w:rsid w:val="653C1810"/>
    <w:rsid w:val="653C26EB"/>
    <w:rsid w:val="653E0C10"/>
    <w:rsid w:val="653F1FE5"/>
    <w:rsid w:val="6540DD0B"/>
    <w:rsid w:val="654173A9"/>
    <w:rsid w:val="65452CDC"/>
    <w:rsid w:val="65482561"/>
    <w:rsid w:val="6549DDD9"/>
    <w:rsid w:val="654BB4AB"/>
    <w:rsid w:val="654CD84E"/>
    <w:rsid w:val="6550C49C"/>
    <w:rsid w:val="65536B02"/>
    <w:rsid w:val="6554AAAA"/>
    <w:rsid w:val="6555F15A"/>
    <w:rsid w:val="65571C68"/>
    <w:rsid w:val="6559DC7D"/>
    <w:rsid w:val="655B9F7B"/>
    <w:rsid w:val="656050DF"/>
    <w:rsid w:val="6560EBD4"/>
    <w:rsid w:val="65629E3C"/>
    <w:rsid w:val="65636BDC"/>
    <w:rsid w:val="65637695"/>
    <w:rsid w:val="656520D9"/>
    <w:rsid w:val="6569777D"/>
    <w:rsid w:val="656B9921"/>
    <w:rsid w:val="657499D4"/>
    <w:rsid w:val="6576B8B9"/>
    <w:rsid w:val="6577445B"/>
    <w:rsid w:val="65794A47"/>
    <w:rsid w:val="657E69F1"/>
    <w:rsid w:val="6580AC0D"/>
    <w:rsid w:val="6582E64F"/>
    <w:rsid w:val="6583E4A8"/>
    <w:rsid w:val="6586C047"/>
    <w:rsid w:val="658BF714"/>
    <w:rsid w:val="658C4AE0"/>
    <w:rsid w:val="658CD7C6"/>
    <w:rsid w:val="65902C8B"/>
    <w:rsid w:val="65916754"/>
    <w:rsid w:val="65949D58"/>
    <w:rsid w:val="659844D0"/>
    <w:rsid w:val="6599FBEB"/>
    <w:rsid w:val="659D031B"/>
    <w:rsid w:val="659D70FE"/>
    <w:rsid w:val="659D8E3B"/>
    <w:rsid w:val="659F5771"/>
    <w:rsid w:val="65A153A2"/>
    <w:rsid w:val="65A32743"/>
    <w:rsid w:val="65A49310"/>
    <w:rsid w:val="65A51B64"/>
    <w:rsid w:val="65A51D7C"/>
    <w:rsid w:val="65ABA80B"/>
    <w:rsid w:val="65ACA191"/>
    <w:rsid w:val="65AD11AA"/>
    <w:rsid w:val="65AF2FCE"/>
    <w:rsid w:val="65B18A8D"/>
    <w:rsid w:val="65B486C0"/>
    <w:rsid w:val="65B568E7"/>
    <w:rsid w:val="65B5DA84"/>
    <w:rsid w:val="65B60722"/>
    <w:rsid w:val="65B734B1"/>
    <w:rsid w:val="65BA032F"/>
    <w:rsid w:val="65BA3892"/>
    <w:rsid w:val="65BBFA4D"/>
    <w:rsid w:val="65BFED30"/>
    <w:rsid w:val="65C08FBD"/>
    <w:rsid w:val="65CD1F58"/>
    <w:rsid w:val="65CD2A09"/>
    <w:rsid w:val="65D583CC"/>
    <w:rsid w:val="65D60870"/>
    <w:rsid w:val="65D7553A"/>
    <w:rsid w:val="65D8CA4B"/>
    <w:rsid w:val="65DA21A7"/>
    <w:rsid w:val="65DE1DAC"/>
    <w:rsid w:val="65E2BC18"/>
    <w:rsid w:val="65E455BD"/>
    <w:rsid w:val="65E53618"/>
    <w:rsid w:val="65E6DE41"/>
    <w:rsid w:val="65E95BA7"/>
    <w:rsid w:val="65EE99AD"/>
    <w:rsid w:val="65F10B08"/>
    <w:rsid w:val="65F6C405"/>
    <w:rsid w:val="65F87AAA"/>
    <w:rsid w:val="65F89F85"/>
    <w:rsid w:val="65F8BF74"/>
    <w:rsid w:val="65FC1BA3"/>
    <w:rsid w:val="65FCBE49"/>
    <w:rsid w:val="66073660"/>
    <w:rsid w:val="66080765"/>
    <w:rsid w:val="660AB598"/>
    <w:rsid w:val="6611B290"/>
    <w:rsid w:val="661237EC"/>
    <w:rsid w:val="6613ED85"/>
    <w:rsid w:val="6614320D"/>
    <w:rsid w:val="6617D5A5"/>
    <w:rsid w:val="6618B9AD"/>
    <w:rsid w:val="661D4D68"/>
    <w:rsid w:val="6620D073"/>
    <w:rsid w:val="66271B44"/>
    <w:rsid w:val="6627CD1B"/>
    <w:rsid w:val="6638B075"/>
    <w:rsid w:val="6639DDD0"/>
    <w:rsid w:val="663BF46B"/>
    <w:rsid w:val="6642E242"/>
    <w:rsid w:val="6642F6EC"/>
    <w:rsid w:val="664A5F28"/>
    <w:rsid w:val="66532237"/>
    <w:rsid w:val="665589CD"/>
    <w:rsid w:val="6659AECD"/>
    <w:rsid w:val="665D785F"/>
    <w:rsid w:val="66621A8C"/>
    <w:rsid w:val="666929AF"/>
    <w:rsid w:val="6669E0DE"/>
    <w:rsid w:val="666D4006"/>
    <w:rsid w:val="666D87E7"/>
    <w:rsid w:val="6676C4E3"/>
    <w:rsid w:val="66776022"/>
    <w:rsid w:val="667851F3"/>
    <w:rsid w:val="6678C188"/>
    <w:rsid w:val="667C37C0"/>
    <w:rsid w:val="667C916A"/>
    <w:rsid w:val="667FB9C3"/>
    <w:rsid w:val="66833FCA"/>
    <w:rsid w:val="66874E6B"/>
    <w:rsid w:val="668AA286"/>
    <w:rsid w:val="668AAFC8"/>
    <w:rsid w:val="668E75B1"/>
    <w:rsid w:val="66917BAC"/>
    <w:rsid w:val="66926CAD"/>
    <w:rsid w:val="66929701"/>
    <w:rsid w:val="66931EDD"/>
    <w:rsid w:val="669354D0"/>
    <w:rsid w:val="6694BB0A"/>
    <w:rsid w:val="669690ED"/>
    <w:rsid w:val="66969766"/>
    <w:rsid w:val="6698BF23"/>
    <w:rsid w:val="669DDA75"/>
    <w:rsid w:val="669EBD15"/>
    <w:rsid w:val="669F32CE"/>
    <w:rsid w:val="66A090F9"/>
    <w:rsid w:val="66A14789"/>
    <w:rsid w:val="66A23AC1"/>
    <w:rsid w:val="66A60819"/>
    <w:rsid w:val="66A7240F"/>
    <w:rsid w:val="66A92251"/>
    <w:rsid w:val="66AC89CC"/>
    <w:rsid w:val="66ADDA59"/>
    <w:rsid w:val="66AEE8B3"/>
    <w:rsid w:val="66B3F20D"/>
    <w:rsid w:val="66B56625"/>
    <w:rsid w:val="66B60158"/>
    <w:rsid w:val="66BBC4DB"/>
    <w:rsid w:val="66C034FD"/>
    <w:rsid w:val="66CC3431"/>
    <w:rsid w:val="66CD9295"/>
    <w:rsid w:val="66D5830A"/>
    <w:rsid w:val="66DEC07C"/>
    <w:rsid w:val="66E0DC14"/>
    <w:rsid w:val="66E1DDD2"/>
    <w:rsid w:val="66E251B9"/>
    <w:rsid w:val="66E5D95F"/>
    <w:rsid w:val="66E9D534"/>
    <w:rsid w:val="66EF3F08"/>
    <w:rsid w:val="66F103B5"/>
    <w:rsid w:val="66F14F68"/>
    <w:rsid w:val="66F6E8C2"/>
    <w:rsid w:val="66FB24A7"/>
    <w:rsid w:val="6700229B"/>
    <w:rsid w:val="6704AFE0"/>
    <w:rsid w:val="67057E1F"/>
    <w:rsid w:val="670827D1"/>
    <w:rsid w:val="6708D16E"/>
    <w:rsid w:val="6709200C"/>
    <w:rsid w:val="670DFBCC"/>
    <w:rsid w:val="670FD65A"/>
    <w:rsid w:val="67144303"/>
    <w:rsid w:val="6714A4BF"/>
    <w:rsid w:val="6715AF35"/>
    <w:rsid w:val="67197B77"/>
    <w:rsid w:val="671CEB68"/>
    <w:rsid w:val="6720C38B"/>
    <w:rsid w:val="6721E589"/>
    <w:rsid w:val="6722674C"/>
    <w:rsid w:val="6725A3C0"/>
    <w:rsid w:val="673064C6"/>
    <w:rsid w:val="673089BF"/>
    <w:rsid w:val="673EFE4B"/>
    <w:rsid w:val="6747B0E9"/>
    <w:rsid w:val="674A993B"/>
    <w:rsid w:val="674E28F2"/>
    <w:rsid w:val="674E7061"/>
    <w:rsid w:val="674F3685"/>
    <w:rsid w:val="6752B97D"/>
    <w:rsid w:val="67548EE7"/>
    <w:rsid w:val="6758B422"/>
    <w:rsid w:val="675AC9B9"/>
    <w:rsid w:val="675B1F0F"/>
    <w:rsid w:val="676133D6"/>
    <w:rsid w:val="676238DF"/>
    <w:rsid w:val="67644B4A"/>
    <w:rsid w:val="676A7356"/>
    <w:rsid w:val="676B7191"/>
    <w:rsid w:val="676DC5F1"/>
    <w:rsid w:val="67701753"/>
    <w:rsid w:val="67720D7C"/>
    <w:rsid w:val="6778915B"/>
    <w:rsid w:val="677D9BBF"/>
    <w:rsid w:val="67827500"/>
    <w:rsid w:val="6782CA49"/>
    <w:rsid w:val="678C5DDA"/>
    <w:rsid w:val="678DF9E0"/>
    <w:rsid w:val="678F7CF1"/>
    <w:rsid w:val="6795D52B"/>
    <w:rsid w:val="67963F25"/>
    <w:rsid w:val="6799256E"/>
    <w:rsid w:val="679AEB01"/>
    <w:rsid w:val="679CE7BC"/>
    <w:rsid w:val="679EAB50"/>
    <w:rsid w:val="679FC26A"/>
    <w:rsid w:val="67A44171"/>
    <w:rsid w:val="67A45BE3"/>
    <w:rsid w:val="67A563BF"/>
    <w:rsid w:val="67A572F3"/>
    <w:rsid w:val="67A88CEC"/>
    <w:rsid w:val="67A9F2EB"/>
    <w:rsid w:val="67ACC340"/>
    <w:rsid w:val="67ADBD9A"/>
    <w:rsid w:val="67B3A606"/>
    <w:rsid w:val="67B6CA66"/>
    <w:rsid w:val="67B9D032"/>
    <w:rsid w:val="67BB9AB9"/>
    <w:rsid w:val="67BF0519"/>
    <w:rsid w:val="67C083BE"/>
    <w:rsid w:val="67C29764"/>
    <w:rsid w:val="67C35573"/>
    <w:rsid w:val="67C7719F"/>
    <w:rsid w:val="67C778D3"/>
    <w:rsid w:val="67CA1A07"/>
    <w:rsid w:val="67CA2AE0"/>
    <w:rsid w:val="67D718B3"/>
    <w:rsid w:val="67D9F5C7"/>
    <w:rsid w:val="67DBF3A1"/>
    <w:rsid w:val="67DD896E"/>
    <w:rsid w:val="67DE8C4A"/>
    <w:rsid w:val="67DFA13E"/>
    <w:rsid w:val="67E3EC5B"/>
    <w:rsid w:val="67E9463E"/>
    <w:rsid w:val="67E9FD76"/>
    <w:rsid w:val="67EF246E"/>
    <w:rsid w:val="67F0F622"/>
    <w:rsid w:val="67F11910"/>
    <w:rsid w:val="67F26F86"/>
    <w:rsid w:val="67F2CD02"/>
    <w:rsid w:val="67F38AE4"/>
    <w:rsid w:val="67F3D918"/>
    <w:rsid w:val="67F410D2"/>
    <w:rsid w:val="67F880C3"/>
    <w:rsid w:val="67F95BA1"/>
    <w:rsid w:val="67FAEBFE"/>
    <w:rsid w:val="67FF05DC"/>
    <w:rsid w:val="68014EB1"/>
    <w:rsid w:val="68015816"/>
    <w:rsid w:val="68065008"/>
    <w:rsid w:val="68076179"/>
    <w:rsid w:val="6809A09F"/>
    <w:rsid w:val="680B1313"/>
    <w:rsid w:val="680C5522"/>
    <w:rsid w:val="68104893"/>
    <w:rsid w:val="6812A420"/>
    <w:rsid w:val="6812B10C"/>
    <w:rsid w:val="6812E13B"/>
    <w:rsid w:val="6813A177"/>
    <w:rsid w:val="6813A89E"/>
    <w:rsid w:val="6816875E"/>
    <w:rsid w:val="6816C15A"/>
    <w:rsid w:val="681E88B4"/>
    <w:rsid w:val="681FE5DF"/>
    <w:rsid w:val="6820DC70"/>
    <w:rsid w:val="68247389"/>
    <w:rsid w:val="6828BCBC"/>
    <w:rsid w:val="6829BD0E"/>
    <w:rsid w:val="682AA699"/>
    <w:rsid w:val="68323C2B"/>
    <w:rsid w:val="6833A8DC"/>
    <w:rsid w:val="68353547"/>
    <w:rsid w:val="68387DE3"/>
    <w:rsid w:val="683966AE"/>
    <w:rsid w:val="6839D84C"/>
    <w:rsid w:val="683A30C0"/>
    <w:rsid w:val="683CE9FF"/>
    <w:rsid w:val="683E415F"/>
    <w:rsid w:val="6841CE3C"/>
    <w:rsid w:val="6842807D"/>
    <w:rsid w:val="6844B5E7"/>
    <w:rsid w:val="684878B9"/>
    <w:rsid w:val="6848EA48"/>
    <w:rsid w:val="6849B838"/>
    <w:rsid w:val="684B45F4"/>
    <w:rsid w:val="685440CB"/>
    <w:rsid w:val="6856ACB2"/>
    <w:rsid w:val="68574B07"/>
    <w:rsid w:val="685E3718"/>
    <w:rsid w:val="685F7707"/>
    <w:rsid w:val="68637D0C"/>
    <w:rsid w:val="686535F4"/>
    <w:rsid w:val="6865D494"/>
    <w:rsid w:val="68679A6F"/>
    <w:rsid w:val="686CB0B5"/>
    <w:rsid w:val="686CE2EB"/>
    <w:rsid w:val="686E72F3"/>
    <w:rsid w:val="68760740"/>
    <w:rsid w:val="687BBC40"/>
    <w:rsid w:val="687E1A9B"/>
    <w:rsid w:val="6880AAAE"/>
    <w:rsid w:val="68814707"/>
    <w:rsid w:val="688224AB"/>
    <w:rsid w:val="688A7448"/>
    <w:rsid w:val="688A9BED"/>
    <w:rsid w:val="688C58C4"/>
    <w:rsid w:val="68974F4A"/>
    <w:rsid w:val="6899354D"/>
    <w:rsid w:val="689BC9FC"/>
    <w:rsid w:val="689BE0B6"/>
    <w:rsid w:val="689FA289"/>
    <w:rsid w:val="68AC6DDD"/>
    <w:rsid w:val="68B02D6C"/>
    <w:rsid w:val="68B5B2CC"/>
    <w:rsid w:val="68B69DA3"/>
    <w:rsid w:val="68B726AC"/>
    <w:rsid w:val="68B73222"/>
    <w:rsid w:val="68B88276"/>
    <w:rsid w:val="68B91030"/>
    <w:rsid w:val="68B9F461"/>
    <w:rsid w:val="68BD3DA0"/>
    <w:rsid w:val="68BE93A3"/>
    <w:rsid w:val="68BF1333"/>
    <w:rsid w:val="68BFA1D5"/>
    <w:rsid w:val="68BFA9E3"/>
    <w:rsid w:val="68C4695F"/>
    <w:rsid w:val="68C9B022"/>
    <w:rsid w:val="68CDC4A5"/>
    <w:rsid w:val="68CF4220"/>
    <w:rsid w:val="68D1981B"/>
    <w:rsid w:val="68D8A251"/>
    <w:rsid w:val="68D8CF3A"/>
    <w:rsid w:val="68DE18E8"/>
    <w:rsid w:val="68E806E6"/>
    <w:rsid w:val="68ECD2C0"/>
    <w:rsid w:val="68EF3A8B"/>
    <w:rsid w:val="68F29B76"/>
    <w:rsid w:val="68F38633"/>
    <w:rsid w:val="68F5BBDA"/>
    <w:rsid w:val="68F6D528"/>
    <w:rsid w:val="68FC6B7F"/>
    <w:rsid w:val="68FDDF5C"/>
    <w:rsid w:val="6900A8BC"/>
    <w:rsid w:val="69059FD3"/>
    <w:rsid w:val="69072090"/>
    <w:rsid w:val="690D0500"/>
    <w:rsid w:val="690E7E37"/>
    <w:rsid w:val="690FF559"/>
    <w:rsid w:val="69139777"/>
    <w:rsid w:val="6916B8DB"/>
    <w:rsid w:val="691B073D"/>
    <w:rsid w:val="6925FACC"/>
    <w:rsid w:val="6926BC0F"/>
    <w:rsid w:val="69295BBC"/>
    <w:rsid w:val="692A2878"/>
    <w:rsid w:val="692BBA30"/>
    <w:rsid w:val="692BDF8F"/>
    <w:rsid w:val="692C1878"/>
    <w:rsid w:val="6937B861"/>
    <w:rsid w:val="693B8374"/>
    <w:rsid w:val="693C7058"/>
    <w:rsid w:val="694027C6"/>
    <w:rsid w:val="69412058"/>
    <w:rsid w:val="694A653D"/>
    <w:rsid w:val="694DBCB4"/>
    <w:rsid w:val="694F7667"/>
    <w:rsid w:val="6950750C"/>
    <w:rsid w:val="69511294"/>
    <w:rsid w:val="69541554"/>
    <w:rsid w:val="6955470D"/>
    <w:rsid w:val="69595C5E"/>
    <w:rsid w:val="695C6E67"/>
    <w:rsid w:val="695E7625"/>
    <w:rsid w:val="695FE0E4"/>
    <w:rsid w:val="69654829"/>
    <w:rsid w:val="69685955"/>
    <w:rsid w:val="696DB921"/>
    <w:rsid w:val="69701D56"/>
    <w:rsid w:val="697216E0"/>
    <w:rsid w:val="6975369A"/>
    <w:rsid w:val="697D85E9"/>
    <w:rsid w:val="69813242"/>
    <w:rsid w:val="698D1B51"/>
    <w:rsid w:val="6991098B"/>
    <w:rsid w:val="6994052C"/>
    <w:rsid w:val="69956730"/>
    <w:rsid w:val="699D1F12"/>
    <w:rsid w:val="699FDF51"/>
    <w:rsid w:val="69A00306"/>
    <w:rsid w:val="69A16CB0"/>
    <w:rsid w:val="69A218BE"/>
    <w:rsid w:val="69AE1945"/>
    <w:rsid w:val="69B9B61E"/>
    <w:rsid w:val="69BA3794"/>
    <w:rsid w:val="69C2D2BB"/>
    <w:rsid w:val="69C89EFB"/>
    <w:rsid w:val="69CCB364"/>
    <w:rsid w:val="69D02F08"/>
    <w:rsid w:val="69D257B5"/>
    <w:rsid w:val="69D4FDA9"/>
    <w:rsid w:val="69DACA34"/>
    <w:rsid w:val="69DE6685"/>
    <w:rsid w:val="69E2D027"/>
    <w:rsid w:val="69E345F5"/>
    <w:rsid w:val="69E9803B"/>
    <w:rsid w:val="69EA91A0"/>
    <w:rsid w:val="69EAEF4B"/>
    <w:rsid w:val="69EE1A08"/>
    <w:rsid w:val="69F06BCA"/>
    <w:rsid w:val="69F0964D"/>
    <w:rsid w:val="69F268FC"/>
    <w:rsid w:val="69F36473"/>
    <w:rsid w:val="69F3C2A7"/>
    <w:rsid w:val="69F3DCBE"/>
    <w:rsid w:val="69F3E068"/>
    <w:rsid w:val="69F4A94D"/>
    <w:rsid w:val="69F5156E"/>
    <w:rsid w:val="69F51FC6"/>
    <w:rsid w:val="69F6F304"/>
    <w:rsid w:val="69F7E835"/>
    <w:rsid w:val="69F9959D"/>
    <w:rsid w:val="69FEDD6E"/>
    <w:rsid w:val="69FFDB4B"/>
    <w:rsid w:val="6A07D6F6"/>
    <w:rsid w:val="6A0B3494"/>
    <w:rsid w:val="6A0B54A5"/>
    <w:rsid w:val="6A0F33A9"/>
    <w:rsid w:val="6A188E30"/>
    <w:rsid w:val="6A1B1F89"/>
    <w:rsid w:val="6A1D90EB"/>
    <w:rsid w:val="6A1FCCE0"/>
    <w:rsid w:val="6A292A25"/>
    <w:rsid w:val="6A2AC774"/>
    <w:rsid w:val="6A2EFFA8"/>
    <w:rsid w:val="6A2F055F"/>
    <w:rsid w:val="6A2F56D6"/>
    <w:rsid w:val="6A30BE30"/>
    <w:rsid w:val="6A30C993"/>
    <w:rsid w:val="6A357FA1"/>
    <w:rsid w:val="6A36AAD1"/>
    <w:rsid w:val="6A3AF99C"/>
    <w:rsid w:val="6A3FD8EC"/>
    <w:rsid w:val="6A4C36F6"/>
    <w:rsid w:val="6A4CFC3F"/>
    <w:rsid w:val="6A5075C4"/>
    <w:rsid w:val="6A561056"/>
    <w:rsid w:val="6A5AF2C6"/>
    <w:rsid w:val="6A5C5369"/>
    <w:rsid w:val="6A5E4C90"/>
    <w:rsid w:val="6A5F9445"/>
    <w:rsid w:val="6A600BA8"/>
    <w:rsid w:val="6A6507F6"/>
    <w:rsid w:val="6A681CA6"/>
    <w:rsid w:val="6A6A2F8B"/>
    <w:rsid w:val="6A772C75"/>
    <w:rsid w:val="6A78BDAF"/>
    <w:rsid w:val="6A7CE421"/>
    <w:rsid w:val="6A8164DB"/>
    <w:rsid w:val="6A859639"/>
    <w:rsid w:val="6A869423"/>
    <w:rsid w:val="6A8893C8"/>
    <w:rsid w:val="6A8935C7"/>
    <w:rsid w:val="6A8BB921"/>
    <w:rsid w:val="6A8C8CF6"/>
    <w:rsid w:val="6A8E9821"/>
    <w:rsid w:val="6A9017A8"/>
    <w:rsid w:val="6A913311"/>
    <w:rsid w:val="6A935D5E"/>
    <w:rsid w:val="6A97C2B9"/>
    <w:rsid w:val="6A9B7DFB"/>
    <w:rsid w:val="6A9C14AB"/>
    <w:rsid w:val="6A9D4E4A"/>
    <w:rsid w:val="6AA16FD5"/>
    <w:rsid w:val="6AA237F7"/>
    <w:rsid w:val="6AA4087B"/>
    <w:rsid w:val="6AA4150C"/>
    <w:rsid w:val="6AAB97AC"/>
    <w:rsid w:val="6AB0BE4D"/>
    <w:rsid w:val="6AB42F1F"/>
    <w:rsid w:val="6AB62CBF"/>
    <w:rsid w:val="6AB85A22"/>
    <w:rsid w:val="6ABCDF61"/>
    <w:rsid w:val="6AC02E3A"/>
    <w:rsid w:val="6AC1F852"/>
    <w:rsid w:val="6AC39A4A"/>
    <w:rsid w:val="6AC5CB53"/>
    <w:rsid w:val="6AC6243E"/>
    <w:rsid w:val="6ACA0CDD"/>
    <w:rsid w:val="6ACCA89E"/>
    <w:rsid w:val="6ACE91CE"/>
    <w:rsid w:val="6AD12C2B"/>
    <w:rsid w:val="6AD4F651"/>
    <w:rsid w:val="6AD6D2C1"/>
    <w:rsid w:val="6AD6D72E"/>
    <w:rsid w:val="6AD840B9"/>
    <w:rsid w:val="6ADA8B66"/>
    <w:rsid w:val="6AE46BE5"/>
    <w:rsid w:val="6AE48C18"/>
    <w:rsid w:val="6AE7992D"/>
    <w:rsid w:val="6AE86C93"/>
    <w:rsid w:val="6AEBB896"/>
    <w:rsid w:val="6AEBC599"/>
    <w:rsid w:val="6AF04AF3"/>
    <w:rsid w:val="6AF29B75"/>
    <w:rsid w:val="6AF37644"/>
    <w:rsid w:val="6AF512CA"/>
    <w:rsid w:val="6AF899A4"/>
    <w:rsid w:val="6AFA6F93"/>
    <w:rsid w:val="6AFB1DF5"/>
    <w:rsid w:val="6AFB7DF2"/>
    <w:rsid w:val="6AFDECA3"/>
    <w:rsid w:val="6B00A314"/>
    <w:rsid w:val="6B0C9F38"/>
    <w:rsid w:val="6B0DF369"/>
    <w:rsid w:val="6B1053DC"/>
    <w:rsid w:val="6B109FF7"/>
    <w:rsid w:val="6B112E19"/>
    <w:rsid w:val="6B1A9F2D"/>
    <w:rsid w:val="6B1D14B4"/>
    <w:rsid w:val="6B1DEB68"/>
    <w:rsid w:val="6B227949"/>
    <w:rsid w:val="6B22836F"/>
    <w:rsid w:val="6B24618D"/>
    <w:rsid w:val="6B246AD7"/>
    <w:rsid w:val="6B253EFE"/>
    <w:rsid w:val="6B25C543"/>
    <w:rsid w:val="6B2B4B91"/>
    <w:rsid w:val="6B2E77D2"/>
    <w:rsid w:val="6B39069F"/>
    <w:rsid w:val="6B3B965C"/>
    <w:rsid w:val="6B41E270"/>
    <w:rsid w:val="6B43D8AA"/>
    <w:rsid w:val="6B4A12BC"/>
    <w:rsid w:val="6B5189B7"/>
    <w:rsid w:val="6B5E710E"/>
    <w:rsid w:val="6B5F8A5C"/>
    <w:rsid w:val="6B61EE47"/>
    <w:rsid w:val="6B628347"/>
    <w:rsid w:val="6B6A2FCC"/>
    <w:rsid w:val="6B6F161E"/>
    <w:rsid w:val="6B71460A"/>
    <w:rsid w:val="6B786E8B"/>
    <w:rsid w:val="6B800517"/>
    <w:rsid w:val="6B826533"/>
    <w:rsid w:val="6B8298E1"/>
    <w:rsid w:val="6B83D48D"/>
    <w:rsid w:val="6B83DE55"/>
    <w:rsid w:val="6B854D90"/>
    <w:rsid w:val="6B8F03A6"/>
    <w:rsid w:val="6B97C4C5"/>
    <w:rsid w:val="6B9B8038"/>
    <w:rsid w:val="6B9F28E8"/>
    <w:rsid w:val="6BA0DCAC"/>
    <w:rsid w:val="6BA307B6"/>
    <w:rsid w:val="6BA3A0C9"/>
    <w:rsid w:val="6BA3E298"/>
    <w:rsid w:val="6BA3E6C6"/>
    <w:rsid w:val="6BA88F7C"/>
    <w:rsid w:val="6BA9BC38"/>
    <w:rsid w:val="6BA9EC41"/>
    <w:rsid w:val="6BAE2C8A"/>
    <w:rsid w:val="6BAE5172"/>
    <w:rsid w:val="6BAE85E4"/>
    <w:rsid w:val="6BAF36D8"/>
    <w:rsid w:val="6BB35211"/>
    <w:rsid w:val="6BB3F173"/>
    <w:rsid w:val="6BB3F1B3"/>
    <w:rsid w:val="6BB80394"/>
    <w:rsid w:val="6BB8175E"/>
    <w:rsid w:val="6BB930D9"/>
    <w:rsid w:val="6BB9816F"/>
    <w:rsid w:val="6BBB2211"/>
    <w:rsid w:val="6BBEFC9A"/>
    <w:rsid w:val="6BC54BEC"/>
    <w:rsid w:val="6BC6D3F9"/>
    <w:rsid w:val="6BCFC523"/>
    <w:rsid w:val="6BD16DA1"/>
    <w:rsid w:val="6BDD99FC"/>
    <w:rsid w:val="6BDF20D6"/>
    <w:rsid w:val="6BE19A3E"/>
    <w:rsid w:val="6BE4FB24"/>
    <w:rsid w:val="6BE5C8F5"/>
    <w:rsid w:val="6BE6DEB4"/>
    <w:rsid w:val="6BE82887"/>
    <w:rsid w:val="6BEEFEAF"/>
    <w:rsid w:val="6BF2D24C"/>
    <w:rsid w:val="6BF6DDED"/>
    <w:rsid w:val="6BF73BC6"/>
    <w:rsid w:val="6BF951A9"/>
    <w:rsid w:val="6BFC5CD3"/>
    <w:rsid w:val="6BFDB384"/>
    <w:rsid w:val="6BFE60BB"/>
    <w:rsid w:val="6BFF8B5E"/>
    <w:rsid w:val="6C012DF0"/>
    <w:rsid w:val="6C02987C"/>
    <w:rsid w:val="6C041461"/>
    <w:rsid w:val="6C05ACC8"/>
    <w:rsid w:val="6C0BCB5D"/>
    <w:rsid w:val="6C10F79E"/>
    <w:rsid w:val="6C11D729"/>
    <w:rsid w:val="6C15B9AA"/>
    <w:rsid w:val="6C16B9E3"/>
    <w:rsid w:val="6C1E36A6"/>
    <w:rsid w:val="6C1E71B4"/>
    <w:rsid w:val="6C1F5C6D"/>
    <w:rsid w:val="6C233A67"/>
    <w:rsid w:val="6C281F95"/>
    <w:rsid w:val="6C29D138"/>
    <w:rsid w:val="6C2C0658"/>
    <w:rsid w:val="6C2C8642"/>
    <w:rsid w:val="6C2D23E2"/>
    <w:rsid w:val="6C2EE621"/>
    <w:rsid w:val="6C2F60B0"/>
    <w:rsid w:val="6C32E1AA"/>
    <w:rsid w:val="6C354B5B"/>
    <w:rsid w:val="6C44674D"/>
    <w:rsid w:val="6C48C76C"/>
    <w:rsid w:val="6C4B58CD"/>
    <w:rsid w:val="6C4CEA22"/>
    <w:rsid w:val="6C5005B2"/>
    <w:rsid w:val="6C50DDD6"/>
    <w:rsid w:val="6C5853A9"/>
    <w:rsid w:val="6C59F1C8"/>
    <w:rsid w:val="6C5C05BA"/>
    <w:rsid w:val="6C63B93A"/>
    <w:rsid w:val="6C66F2E3"/>
    <w:rsid w:val="6C6E5D28"/>
    <w:rsid w:val="6C76F75C"/>
    <w:rsid w:val="6C7A69F5"/>
    <w:rsid w:val="6C7E31AA"/>
    <w:rsid w:val="6C804277"/>
    <w:rsid w:val="6C8117EA"/>
    <w:rsid w:val="6C84D4F6"/>
    <w:rsid w:val="6C861FED"/>
    <w:rsid w:val="6C86D93A"/>
    <w:rsid w:val="6C871682"/>
    <w:rsid w:val="6C881BF7"/>
    <w:rsid w:val="6C8C23FD"/>
    <w:rsid w:val="6C90FF47"/>
    <w:rsid w:val="6C915513"/>
    <w:rsid w:val="6C9235EF"/>
    <w:rsid w:val="6C9EDB3D"/>
    <w:rsid w:val="6C9FBBF2"/>
    <w:rsid w:val="6CA477A9"/>
    <w:rsid w:val="6CA6C22B"/>
    <w:rsid w:val="6CAA79D5"/>
    <w:rsid w:val="6CAC8FD5"/>
    <w:rsid w:val="6CACB203"/>
    <w:rsid w:val="6CACFE7A"/>
    <w:rsid w:val="6CAE205E"/>
    <w:rsid w:val="6CB0E7EC"/>
    <w:rsid w:val="6CB2CABD"/>
    <w:rsid w:val="6CB86328"/>
    <w:rsid w:val="6CBCD329"/>
    <w:rsid w:val="6CBDEC09"/>
    <w:rsid w:val="6CC25273"/>
    <w:rsid w:val="6CC28A2A"/>
    <w:rsid w:val="6CC3A5D6"/>
    <w:rsid w:val="6CC8E908"/>
    <w:rsid w:val="6CCB382E"/>
    <w:rsid w:val="6CCB60C7"/>
    <w:rsid w:val="6CD67649"/>
    <w:rsid w:val="6CDC710C"/>
    <w:rsid w:val="6CDE23F6"/>
    <w:rsid w:val="6CDEAEB9"/>
    <w:rsid w:val="6CE1B1B2"/>
    <w:rsid w:val="6CE72C68"/>
    <w:rsid w:val="6CE93804"/>
    <w:rsid w:val="6CEA35FB"/>
    <w:rsid w:val="6CEB9872"/>
    <w:rsid w:val="6CF083FD"/>
    <w:rsid w:val="6CF2FB88"/>
    <w:rsid w:val="6CF3D412"/>
    <w:rsid w:val="6CF69D39"/>
    <w:rsid w:val="6CF9B1AC"/>
    <w:rsid w:val="6CFC3441"/>
    <w:rsid w:val="6CFF7BDE"/>
    <w:rsid w:val="6D007AE7"/>
    <w:rsid w:val="6D021E19"/>
    <w:rsid w:val="6D026ACC"/>
    <w:rsid w:val="6D034C04"/>
    <w:rsid w:val="6D053F48"/>
    <w:rsid w:val="6D093D86"/>
    <w:rsid w:val="6D096A8B"/>
    <w:rsid w:val="6D122AD8"/>
    <w:rsid w:val="6D17ACAA"/>
    <w:rsid w:val="6D214C31"/>
    <w:rsid w:val="6D231F2A"/>
    <w:rsid w:val="6D280FD1"/>
    <w:rsid w:val="6D29B07B"/>
    <w:rsid w:val="6D2A51BE"/>
    <w:rsid w:val="6D34E9F1"/>
    <w:rsid w:val="6D366E9A"/>
    <w:rsid w:val="6D3E9D52"/>
    <w:rsid w:val="6D418CA0"/>
    <w:rsid w:val="6D426881"/>
    <w:rsid w:val="6D47A8B3"/>
    <w:rsid w:val="6D48DB4D"/>
    <w:rsid w:val="6D4D07E3"/>
    <w:rsid w:val="6D53A2BD"/>
    <w:rsid w:val="6D54A4BA"/>
    <w:rsid w:val="6D5CC75F"/>
    <w:rsid w:val="6D605476"/>
    <w:rsid w:val="6D6380E3"/>
    <w:rsid w:val="6D679F0B"/>
    <w:rsid w:val="6D70A2D0"/>
    <w:rsid w:val="6D71D06B"/>
    <w:rsid w:val="6D72720D"/>
    <w:rsid w:val="6D73BBC5"/>
    <w:rsid w:val="6D75CF11"/>
    <w:rsid w:val="6D79E037"/>
    <w:rsid w:val="6D7E5CE2"/>
    <w:rsid w:val="6D800FD5"/>
    <w:rsid w:val="6D845631"/>
    <w:rsid w:val="6D85D34A"/>
    <w:rsid w:val="6D8AFB62"/>
    <w:rsid w:val="6D8BB8E2"/>
    <w:rsid w:val="6D907925"/>
    <w:rsid w:val="6D92785F"/>
    <w:rsid w:val="6D93458E"/>
    <w:rsid w:val="6D937ED0"/>
    <w:rsid w:val="6D93AE13"/>
    <w:rsid w:val="6D995B85"/>
    <w:rsid w:val="6D9D778A"/>
    <w:rsid w:val="6DA9BEF3"/>
    <w:rsid w:val="6DABED31"/>
    <w:rsid w:val="6DAC4A49"/>
    <w:rsid w:val="6DBDDD14"/>
    <w:rsid w:val="6DC08D8E"/>
    <w:rsid w:val="6DC27BBF"/>
    <w:rsid w:val="6DC5113A"/>
    <w:rsid w:val="6DC62232"/>
    <w:rsid w:val="6DCA2E5E"/>
    <w:rsid w:val="6DCA46E7"/>
    <w:rsid w:val="6DCAB69E"/>
    <w:rsid w:val="6DD05B6C"/>
    <w:rsid w:val="6DD18779"/>
    <w:rsid w:val="6DD2305F"/>
    <w:rsid w:val="6DD34BB5"/>
    <w:rsid w:val="6DD5D278"/>
    <w:rsid w:val="6DD739F9"/>
    <w:rsid w:val="6DD83012"/>
    <w:rsid w:val="6DD9F26E"/>
    <w:rsid w:val="6DDAD20A"/>
    <w:rsid w:val="6DDEC49F"/>
    <w:rsid w:val="6DE4F391"/>
    <w:rsid w:val="6DE8D5CF"/>
    <w:rsid w:val="6DE92905"/>
    <w:rsid w:val="6DEC4074"/>
    <w:rsid w:val="6DF37A8F"/>
    <w:rsid w:val="6DF61DB9"/>
    <w:rsid w:val="6DF6738F"/>
    <w:rsid w:val="6DF67807"/>
    <w:rsid w:val="6DFD4C66"/>
    <w:rsid w:val="6DFF35E4"/>
    <w:rsid w:val="6E00DEEC"/>
    <w:rsid w:val="6E096CD4"/>
    <w:rsid w:val="6E0E0C6B"/>
    <w:rsid w:val="6E1056E0"/>
    <w:rsid w:val="6E110386"/>
    <w:rsid w:val="6E1166DE"/>
    <w:rsid w:val="6E12B9FB"/>
    <w:rsid w:val="6E1547EE"/>
    <w:rsid w:val="6E1966A2"/>
    <w:rsid w:val="6E1A8E3E"/>
    <w:rsid w:val="6E1FEFD8"/>
    <w:rsid w:val="6E22CD42"/>
    <w:rsid w:val="6E25BD12"/>
    <w:rsid w:val="6E292F0E"/>
    <w:rsid w:val="6E29A0DB"/>
    <w:rsid w:val="6E2C949A"/>
    <w:rsid w:val="6E32701F"/>
    <w:rsid w:val="6E344D3B"/>
    <w:rsid w:val="6E3A1235"/>
    <w:rsid w:val="6E3CBAB1"/>
    <w:rsid w:val="6E3CDA81"/>
    <w:rsid w:val="6E43EB62"/>
    <w:rsid w:val="6E450BBF"/>
    <w:rsid w:val="6E4540FC"/>
    <w:rsid w:val="6E45656C"/>
    <w:rsid w:val="6E465DED"/>
    <w:rsid w:val="6E49F0BF"/>
    <w:rsid w:val="6E52D10F"/>
    <w:rsid w:val="6E5FB750"/>
    <w:rsid w:val="6E6997B6"/>
    <w:rsid w:val="6E6B72FD"/>
    <w:rsid w:val="6E6C28D7"/>
    <w:rsid w:val="6E6E57D4"/>
    <w:rsid w:val="6E6F4CAC"/>
    <w:rsid w:val="6E756467"/>
    <w:rsid w:val="6E766844"/>
    <w:rsid w:val="6E7997FE"/>
    <w:rsid w:val="6E83F2C7"/>
    <w:rsid w:val="6E84243E"/>
    <w:rsid w:val="6E8A0DFB"/>
    <w:rsid w:val="6E8A55CA"/>
    <w:rsid w:val="6E8C0CE1"/>
    <w:rsid w:val="6E95EE56"/>
    <w:rsid w:val="6EA1D35B"/>
    <w:rsid w:val="6EA29E0B"/>
    <w:rsid w:val="6EA456A9"/>
    <w:rsid w:val="6EA8FEBF"/>
    <w:rsid w:val="6EAA0FB7"/>
    <w:rsid w:val="6EAAA2DD"/>
    <w:rsid w:val="6EAEB8A7"/>
    <w:rsid w:val="6EAFBA1B"/>
    <w:rsid w:val="6EB28D98"/>
    <w:rsid w:val="6EB744DD"/>
    <w:rsid w:val="6EBCF9F7"/>
    <w:rsid w:val="6EBDF335"/>
    <w:rsid w:val="6EC0A94F"/>
    <w:rsid w:val="6EC2EE34"/>
    <w:rsid w:val="6EC4E354"/>
    <w:rsid w:val="6EC5C151"/>
    <w:rsid w:val="6EC8405F"/>
    <w:rsid w:val="6ECBADD2"/>
    <w:rsid w:val="6ECC712B"/>
    <w:rsid w:val="6ECCA602"/>
    <w:rsid w:val="6ED0EE2C"/>
    <w:rsid w:val="6ED917B9"/>
    <w:rsid w:val="6ED9865E"/>
    <w:rsid w:val="6ED9EA8C"/>
    <w:rsid w:val="6EDAA878"/>
    <w:rsid w:val="6EE3C2BB"/>
    <w:rsid w:val="6EE7E83B"/>
    <w:rsid w:val="6EEF04E1"/>
    <w:rsid w:val="6EEF744B"/>
    <w:rsid w:val="6EEFD03A"/>
    <w:rsid w:val="6EF1C814"/>
    <w:rsid w:val="6EF2C04E"/>
    <w:rsid w:val="6EF451DB"/>
    <w:rsid w:val="6EFD058F"/>
    <w:rsid w:val="6EFEB724"/>
    <w:rsid w:val="6F00663D"/>
    <w:rsid w:val="6F016788"/>
    <w:rsid w:val="6F03C542"/>
    <w:rsid w:val="6F03DB19"/>
    <w:rsid w:val="6F08F633"/>
    <w:rsid w:val="6F08F9FA"/>
    <w:rsid w:val="6F0A7B86"/>
    <w:rsid w:val="6F0EFDA6"/>
    <w:rsid w:val="6F0F6852"/>
    <w:rsid w:val="6F0F8FCE"/>
    <w:rsid w:val="6F189788"/>
    <w:rsid w:val="6F21B6E6"/>
    <w:rsid w:val="6F22AD19"/>
    <w:rsid w:val="6F23D58E"/>
    <w:rsid w:val="6F26541B"/>
    <w:rsid w:val="6F2AE17B"/>
    <w:rsid w:val="6F2BACBA"/>
    <w:rsid w:val="6F2C069B"/>
    <w:rsid w:val="6F2E30D4"/>
    <w:rsid w:val="6F31FF06"/>
    <w:rsid w:val="6F3584D1"/>
    <w:rsid w:val="6F378FA8"/>
    <w:rsid w:val="6F3CA594"/>
    <w:rsid w:val="6F43D4AE"/>
    <w:rsid w:val="6F44CDD0"/>
    <w:rsid w:val="6F466497"/>
    <w:rsid w:val="6F47DBC2"/>
    <w:rsid w:val="6F4A40CB"/>
    <w:rsid w:val="6F4D3C4A"/>
    <w:rsid w:val="6F51F70F"/>
    <w:rsid w:val="6F580049"/>
    <w:rsid w:val="6F5CA5DE"/>
    <w:rsid w:val="6F5FA4D4"/>
    <w:rsid w:val="6F6090BE"/>
    <w:rsid w:val="6F61C3A0"/>
    <w:rsid w:val="6F65DFB2"/>
    <w:rsid w:val="6F661748"/>
    <w:rsid w:val="6F6726AC"/>
    <w:rsid w:val="6F6844B3"/>
    <w:rsid w:val="6F688CA0"/>
    <w:rsid w:val="6F689FE7"/>
    <w:rsid w:val="6F6E79EA"/>
    <w:rsid w:val="6F6EBCD2"/>
    <w:rsid w:val="6F707E49"/>
    <w:rsid w:val="6F709E0D"/>
    <w:rsid w:val="6F725587"/>
    <w:rsid w:val="6F74FBB6"/>
    <w:rsid w:val="6F7AF5D6"/>
    <w:rsid w:val="6F7CE777"/>
    <w:rsid w:val="6F7FD516"/>
    <w:rsid w:val="6F8093D7"/>
    <w:rsid w:val="6F841585"/>
    <w:rsid w:val="6F89107B"/>
    <w:rsid w:val="6F8C605F"/>
    <w:rsid w:val="6F8D521B"/>
    <w:rsid w:val="6F8F86C2"/>
    <w:rsid w:val="6F90107A"/>
    <w:rsid w:val="6F961843"/>
    <w:rsid w:val="6F97A37C"/>
    <w:rsid w:val="6F985B51"/>
    <w:rsid w:val="6F997637"/>
    <w:rsid w:val="6F9A63F9"/>
    <w:rsid w:val="6F9A8ED6"/>
    <w:rsid w:val="6F9D33EE"/>
    <w:rsid w:val="6FA287A7"/>
    <w:rsid w:val="6FA61C23"/>
    <w:rsid w:val="6FA705A2"/>
    <w:rsid w:val="6FA7C2AB"/>
    <w:rsid w:val="6FA87146"/>
    <w:rsid w:val="6FA94CE2"/>
    <w:rsid w:val="6FAAAB63"/>
    <w:rsid w:val="6FAC053E"/>
    <w:rsid w:val="6FAE8A5C"/>
    <w:rsid w:val="6FB087E5"/>
    <w:rsid w:val="6FBF66FC"/>
    <w:rsid w:val="6FC1164E"/>
    <w:rsid w:val="6FC2A638"/>
    <w:rsid w:val="6FCBCD73"/>
    <w:rsid w:val="6FCCB096"/>
    <w:rsid w:val="6FCF3E1E"/>
    <w:rsid w:val="6FD2F799"/>
    <w:rsid w:val="6FD65B98"/>
    <w:rsid w:val="6FD87CFF"/>
    <w:rsid w:val="6FD8A9CD"/>
    <w:rsid w:val="6FDA55F2"/>
    <w:rsid w:val="6FDABD41"/>
    <w:rsid w:val="6FDE54FD"/>
    <w:rsid w:val="6FDE69FE"/>
    <w:rsid w:val="6FE09287"/>
    <w:rsid w:val="6FE6B26A"/>
    <w:rsid w:val="6FE793C8"/>
    <w:rsid w:val="6FEF4CEC"/>
    <w:rsid w:val="6FEFD1B9"/>
    <w:rsid w:val="6FF085D7"/>
    <w:rsid w:val="6FF25F03"/>
    <w:rsid w:val="6FF2CC05"/>
    <w:rsid w:val="6FF353BF"/>
    <w:rsid w:val="6FF4C98A"/>
    <w:rsid w:val="6FF950BD"/>
    <w:rsid w:val="6FFD856B"/>
    <w:rsid w:val="7000AA7B"/>
    <w:rsid w:val="70021F84"/>
    <w:rsid w:val="7007A2F1"/>
    <w:rsid w:val="7008EAE8"/>
    <w:rsid w:val="700A2B4B"/>
    <w:rsid w:val="700BE04E"/>
    <w:rsid w:val="700EA3A8"/>
    <w:rsid w:val="7011AE8C"/>
    <w:rsid w:val="701209FE"/>
    <w:rsid w:val="701C65E9"/>
    <w:rsid w:val="701D79A3"/>
    <w:rsid w:val="701DDD68"/>
    <w:rsid w:val="701F5CF2"/>
    <w:rsid w:val="7020BF04"/>
    <w:rsid w:val="70236D33"/>
    <w:rsid w:val="702621BA"/>
    <w:rsid w:val="702B2074"/>
    <w:rsid w:val="70305542"/>
    <w:rsid w:val="7031DB78"/>
    <w:rsid w:val="70351E5E"/>
    <w:rsid w:val="703589BB"/>
    <w:rsid w:val="70367745"/>
    <w:rsid w:val="703888FA"/>
    <w:rsid w:val="7038DC14"/>
    <w:rsid w:val="703AA737"/>
    <w:rsid w:val="703BADB0"/>
    <w:rsid w:val="703BE8FE"/>
    <w:rsid w:val="703BEFBC"/>
    <w:rsid w:val="703DCC7C"/>
    <w:rsid w:val="7043034A"/>
    <w:rsid w:val="7043AE8B"/>
    <w:rsid w:val="7044CA64"/>
    <w:rsid w:val="7044E7A4"/>
    <w:rsid w:val="7049086E"/>
    <w:rsid w:val="704A84F8"/>
    <w:rsid w:val="704CD3C5"/>
    <w:rsid w:val="704E23F6"/>
    <w:rsid w:val="7050BA76"/>
    <w:rsid w:val="70560229"/>
    <w:rsid w:val="7057589D"/>
    <w:rsid w:val="70585754"/>
    <w:rsid w:val="705918B5"/>
    <w:rsid w:val="705ABBE8"/>
    <w:rsid w:val="705AF8C5"/>
    <w:rsid w:val="705DF77D"/>
    <w:rsid w:val="7068586B"/>
    <w:rsid w:val="706C115A"/>
    <w:rsid w:val="7071212B"/>
    <w:rsid w:val="7072D73C"/>
    <w:rsid w:val="707955C1"/>
    <w:rsid w:val="70803495"/>
    <w:rsid w:val="7083B698"/>
    <w:rsid w:val="70866E41"/>
    <w:rsid w:val="708BE561"/>
    <w:rsid w:val="70998F8A"/>
    <w:rsid w:val="709A152B"/>
    <w:rsid w:val="709C5BFA"/>
    <w:rsid w:val="709D2371"/>
    <w:rsid w:val="70A0BE70"/>
    <w:rsid w:val="70A0F96E"/>
    <w:rsid w:val="70A39CB5"/>
    <w:rsid w:val="70A7058E"/>
    <w:rsid w:val="70AAAF72"/>
    <w:rsid w:val="70ACB83A"/>
    <w:rsid w:val="70B1AB84"/>
    <w:rsid w:val="70B9AA2C"/>
    <w:rsid w:val="70C016E1"/>
    <w:rsid w:val="70C0E41B"/>
    <w:rsid w:val="70C359A4"/>
    <w:rsid w:val="70C61FEC"/>
    <w:rsid w:val="70C7E000"/>
    <w:rsid w:val="70C9FAD7"/>
    <w:rsid w:val="70D0D4F3"/>
    <w:rsid w:val="70D177D0"/>
    <w:rsid w:val="70D18CC4"/>
    <w:rsid w:val="70D49F13"/>
    <w:rsid w:val="70D86C8A"/>
    <w:rsid w:val="70DB4B79"/>
    <w:rsid w:val="70DBADFA"/>
    <w:rsid w:val="70DC271A"/>
    <w:rsid w:val="70E42B3D"/>
    <w:rsid w:val="70E4CCE4"/>
    <w:rsid w:val="70E8572A"/>
    <w:rsid w:val="70E8D8F8"/>
    <w:rsid w:val="70E9BFA1"/>
    <w:rsid w:val="70F56189"/>
    <w:rsid w:val="70F8D3CE"/>
    <w:rsid w:val="70FC4D80"/>
    <w:rsid w:val="70FD2045"/>
    <w:rsid w:val="70FF9C58"/>
    <w:rsid w:val="70FFFA55"/>
    <w:rsid w:val="71013EBF"/>
    <w:rsid w:val="7103EF59"/>
    <w:rsid w:val="710B4BDF"/>
    <w:rsid w:val="7110314B"/>
    <w:rsid w:val="7125B497"/>
    <w:rsid w:val="7126BB12"/>
    <w:rsid w:val="71281680"/>
    <w:rsid w:val="712D33C9"/>
    <w:rsid w:val="712DE5E5"/>
    <w:rsid w:val="712E95B3"/>
    <w:rsid w:val="712F91AA"/>
    <w:rsid w:val="7133DF75"/>
    <w:rsid w:val="7134E581"/>
    <w:rsid w:val="7137D19B"/>
    <w:rsid w:val="713808E6"/>
    <w:rsid w:val="713B77D9"/>
    <w:rsid w:val="713F012D"/>
    <w:rsid w:val="713F3010"/>
    <w:rsid w:val="71436CE5"/>
    <w:rsid w:val="71444D7A"/>
    <w:rsid w:val="71459F5A"/>
    <w:rsid w:val="714DC7ED"/>
    <w:rsid w:val="714FE575"/>
    <w:rsid w:val="71511364"/>
    <w:rsid w:val="715532ED"/>
    <w:rsid w:val="71561A7C"/>
    <w:rsid w:val="715909B8"/>
    <w:rsid w:val="715B7206"/>
    <w:rsid w:val="715C3ACE"/>
    <w:rsid w:val="715CCA06"/>
    <w:rsid w:val="715FCD5C"/>
    <w:rsid w:val="7160414B"/>
    <w:rsid w:val="71605603"/>
    <w:rsid w:val="71613F0F"/>
    <w:rsid w:val="7161A7EF"/>
    <w:rsid w:val="7164CE03"/>
    <w:rsid w:val="716A2E1C"/>
    <w:rsid w:val="716C160B"/>
    <w:rsid w:val="716C5D7C"/>
    <w:rsid w:val="716D2ACC"/>
    <w:rsid w:val="716DC66E"/>
    <w:rsid w:val="71728EAF"/>
    <w:rsid w:val="7177D367"/>
    <w:rsid w:val="71803E94"/>
    <w:rsid w:val="71806F9D"/>
    <w:rsid w:val="71868483"/>
    <w:rsid w:val="71869E02"/>
    <w:rsid w:val="7186D552"/>
    <w:rsid w:val="7188EBEF"/>
    <w:rsid w:val="718F7BB8"/>
    <w:rsid w:val="719882FE"/>
    <w:rsid w:val="719C8E3B"/>
    <w:rsid w:val="719F6ADF"/>
    <w:rsid w:val="71A090EC"/>
    <w:rsid w:val="71A11E48"/>
    <w:rsid w:val="71A1F4D2"/>
    <w:rsid w:val="71A52988"/>
    <w:rsid w:val="71A84520"/>
    <w:rsid w:val="71B0CDDF"/>
    <w:rsid w:val="71B3742D"/>
    <w:rsid w:val="71B4A351"/>
    <w:rsid w:val="71B4DA5B"/>
    <w:rsid w:val="71B5B233"/>
    <w:rsid w:val="71B5C62D"/>
    <w:rsid w:val="71B6F216"/>
    <w:rsid w:val="71B8168A"/>
    <w:rsid w:val="71B87C61"/>
    <w:rsid w:val="71BEBBCF"/>
    <w:rsid w:val="71C158F6"/>
    <w:rsid w:val="71CA37EC"/>
    <w:rsid w:val="71CAF007"/>
    <w:rsid w:val="71CC6CC1"/>
    <w:rsid w:val="71CE4660"/>
    <w:rsid w:val="71D03512"/>
    <w:rsid w:val="71D1CFAA"/>
    <w:rsid w:val="71D27DC0"/>
    <w:rsid w:val="71DF32FE"/>
    <w:rsid w:val="71E04FE0"/>
    <w:rsid w:val="71E1F67D"/>
    <w:rsid w:val="71E5DF9F"/>
    <w:rsid w:val="71E767D6"/>
    <w:rsid w:val="71E7CF01"/>
    <w:rsid w:val="71E94CBB"/>
    <w:rsid w:val="71E9AE5D"/>
    <w:rsid w:val="71EB1AA7"/>
    <w:rsid w:val="71F2BD54"/>
    <w:rsid w:val="71F3CA28"/>
    <w:rsid w:val="71F401D3"/>
    <w:rsid w:val="71FBC07A"/>
    <w:rsid w:val="7201C4B7"/>
    <w:rsid w:val="7203CE09"/>
    <w:rsid w:val="72055918"/>
    <w:rsid w:val="720690F2"/>
    <w:rsid w:val="7214412B"/>
    <w:rsid w:val="7216211F"/>
    <w:rsid w:val="72177D59"/>
    <w:rsid w:val="721A080C"/>
    <w:rsid w:val="721A2F4D"/>
    <w:rsid w:val="721CEA4D"/>
    <w:rsid w:val="7220A979"/>
    <w:rsid w:val="7222124F"/>
    <w:rsid w:val="7223EF0B"/>
    <w:rsid w:val="7226A768"/>
    <w:rsid w:val="7227C073"/>
    <w:rsid w:val="722C7745"/>
    <w:rsid w:val="72301FD6"/>
    <w:rsid w:val="72318515"/>
    <w:rsid w:val="723B102E"/>
    <w:rsid w:val="723E44D8"/>
    <w:rsid w:val="72423827"/>
    <w:rsid w:val="7242A824"/>
    <w:rsid w:val="7248A205"/>
    <w:rsid w:val="724943BD"/>
    <w:rsid w:val="7249510F"/>
    <w:rsid w:val="7249A1E9"/>
    <w:rsid w:val="724A37CA"/>
    <w:rsid w:val="724D1D3D"/>
    <w:rsid w:val="7254756B"/>
    <w:rsid w:val="7257947C"/>
    <w:rsid w:val="725823F3"/>
    <w:rsid w:val="725850B7"/>
    <w:rsid w:val="725A2ECB"/>
    <w:rsid w:val="725B7316"/>
    <w:rsid w:val="725F1C1B"/>
    <w:rsid w:val="725F8706"/>
    <w:rsid w:val="7261672D"/>
    <w:rsid w:val="72635430"/>
    <w:rsid w:val="7263B375"/>
    <w:rsid w:val="726B3E53"/>
    <w:rsid w:val="72720629"/>
    <w:rsid w:val="727A732D"/>
    <w:rsid w:val="727B81D6"/>
    <w:rsid w:val="727D1C6F"/>
    <w:rsid w:val="727FD6EB"/>
    <w:rsid w:val="72883887"/>
    <w:rsid w:val="7288915D"/>
    <w:rsid w:val="72889A8A"/>
    <w:rsid w:val="728997D1"/>
    <w:rsid w:val="728EB912"/>
    <w:rsid w:val="728F4050"/>
    <w:rsid w:val="729772DE"/>
    <w:rsid w:val="729794F3"/>
    <w:rsid w:val="729A40AD"/>
    <w:rsid w:val="729B047E"/>
    <w:rsid w:val="729B1769"/>
    <w:rsid w:val="729C1BB5"/>
    <w:rsid w:val="72A1FAE2"/>
    <w:rsid w:val="72AB9B85"/>
    <w:rsid w:val="72AFD15F"/>
    <w:rsid w:val="72B49801"/>
    <w:rsid w:val="72BE3D18"/>
    <w:rsid w:val="72BFE245"/>
    <w:rsid w:val="72C0F4C1"/>
    <w:rsid w:val="72C7F041"/>
    <w:rsid w:val="72C82F61"/>
    <w:rsid w:val="72D034FA"/>
    <w:rsid w:val="72D38FAE"/>
    <w:rsid w:val="72D3D3D5"/>
    <w:rsid w:val="72D4BACF"/>
    <w:rsid w:val="72D63F89"/>
    <w:rsid w:val="72DA556F"/>
    <w:rsid w:val="72DB0071"/>
    <w:rsid w:val="72DF70A0"/>
    <w:rsid w:val="72E07CD3"/>
    <w:rsid w:val="72E16478"/>
    <w:rsid w:val="72E1D3CA"/>
    <w:rsid w:val="72EA9B1C"/>
    <w:rsid w:val="72F01A45"/>
    <w:rsid w:val="72F2D11F"/>
    <w:rsid w:val="7301D4D3"/>
    <w:rsid w:val="7307B2B0"/>
    <w:rsid w:val="7307FAFF"/>
    <w:rsid w:val="7308FCB0"/>
    <w:rsid w:val="7309B1C7"/>
    <w:rsid w:val="7309C488"/>
    <w:rsid w:val="730A67B6"/>
    <w:rsid w:val="730A6AAA"/>
    <w:rsid w:val="730B0BA2"/>
    <w:rsid w:val="730BB444"/>
    <w:rsid w:val="730DF0AB"/>
    <w:rsid w:val="730E6C04"/>
    <w:rsid w:val="731271CD"/>
    <w:rsid w:val="73176AB1"/>
    <w:rsid w:val="7317783A"/>
    <w:rsid w:val="73177D05"/>
    <w:rsid w:val="731CAFF8"/>
    <w:rsid w:val="731DD910"/>
    <w:rsid w:val="7320073D"/>
    <w:rsid w:val="7322B9D4"/>
    <w:rsid w:val="7324263F"/>
    <w:rsid w:val="7324BC50"/>
    <w:rsid w:val="7324BFA4"/>
    <w:rsid w:val="7326597B"/>
    <w:rsid w:val="732A39F8"/>
    <w:rsid w:val="732C04F0"/>
    <w:rsid w:val="732D8487"/>
    <w:rsid w:val="732DAF3B"/>
    <w:rsid w:val="73342A1A"/>
    <w:rsid w:val="7334A44D"/>
    <w:rsid w:val="733541B7"/>
    <w:rsid w:val="733601A4"/>
    <w:rsid w:val="7337D16D"/>
    <w:rsid w:val="7338B702"/>
    <w:rsid w:val="733B6E6B"/>
    <w:rsid w:val="733EE420"/>
    <w:rsid w:val="7346D699"/>
    <w:rsid w:val="734BE9DC"/>
    <w:rsid w:val="734F1819"/>
    <w:rsid w:val="7351FBC0"/>
    <w:rsid w:val="7352C277"/>
    <w:rsid w:val="735529AF"/>
    <w:rsid w:val="73563E21"/>
    <w:rsid w:val="7356FB9B"/>
    <w:rsid w:val="735A8149"/>
    <w:rsid w:val="735AA7FB"/>
    <w:rsid w:val="735C1632"/>
    <w:rsid w:val="735EE126"/>
    <w:rsid w:val="735FBBE1"/>
    <w:rsid w:val="7360F692"/>
    <w:rsid w:val="73614800"/>
    <w:rsid w:val="7361CFBA"/>
    <w:rsid w:val="73663662"/>
    <w:rsid w:val="7367C48A"/>
    <w:rsid w:val="7370B279"/>
    <w:rsid w:val="73757482"/>
    <w:rsid w:val="7377B66F"/>
    <w:rsid w:val="7379216B"/>
    <w:rsid w:val="737DE3B5"/>
    <w:rsid w:val="737EB587"/>
    <w:rsid w:val="73838762"/>
    <w:rsid w:val="73843390"/>
    <w:rsid w:val="7386AE0A"/>
    <w:rsid w:val="738771B4"/>
    <w:rsid w:val="7388A3DC"/>
    <w:rsid w:val="738ABC3C"/>
    <w:rsid w:val="738C283A"/>
    <w:rsid w:val="73917A61"/>
    <w:rsid w:val="739982DF"/>
    <w:rsid w:val="7399C8C4"/>
    <w:rsid w:val="739A9E56"/>
    <w:rsid w:val="739E3380"/>
    <w:rsid w:val="739E388C"/>
    <w:rsid w:val="739F4F9B"/>
    <w:rsid w:val="73A01127"/>
    <w:rsid w:val="73A569CE"/>
    <w:rsid w:val="73A7AE77"/>
    <w:rsid w:val="73AFB245"/>
    <w:rsid w:val="73B1392C"/>
    <w:rsid w:val="73B2FCDC"/>
    <w:rsid w:val="73B8536E"/>
    <w:rsid w:val="73BE0BC6"/>
    <w:rsid w:val="73BF7E11"/>
    <w:rsid w:val="73C6BDB1"/>
    <w:rsid w:val="73C88A9F"/>
    <w:rsid w:val="73D83761"/>
    <w:rsid w:val="73E705F3"/>
    <w:rsid w:val="73E8E57F"/>
    <w:rsid w:val="73E96C9E"/>
    <w:rsid w:val="73EFF16F"/>
    <w:rsid w:val="73F14B0B"/>
    <w:rsid w:val="73F1C351"/>
    <w:rsid w:val="73F2CB70"/>
    <w:rsid w:val="73F72568"/>
    <w:rsid w:val="73F930F3"/>
    <w:rsid w:val="73FB4E26"/>
    <w:rsid w:val="73FBA093"/>
    <w:rsid w:val="73FC72F0"/>
    <w:rsid w:val="73FEED6C"/>
    <w:rsid w:val="73FFEACF"/>
    <w:rsid w:val="7404B5E3"/>
    <w:rsid w:val="7405BF8A"/>
    <w:rsid w:val="740735DD"/>
    <w:rsid w:val="740C03A9"/>
    <w:rsid w:val="740E6DC4"/>
    <w:rsid w:val="740F5E40"/>
    <w:rsid w:val="74115631"/>
    <w:rsid w:val="74121751"/>
    <w:rsid w:val="7417CBD9"/>
    <w:rsid w:val="7418636F"/>
    <w:rsid w:val="741C03D4"/>
    <w:rsid w:val="7423C849"/>
    <w:rsid w:val="7424B765"/>
    <w:rsid w:val="7425A605"/>
    <w:rsid w:val="742AA6D7"/>
    <w:rsid w:val="742E16C7"/>
    <w:rsid w:val="742ED25E"/>
    <w:rsid w:val="74307302"/>
    <w:rsid w:val="74313E8E"/>
    <w:rsid w:val="74353F9F"/>
    <w:rsid w:val="743A68FD"/>
    <w:rsid w:val="743AD020"/>
    <w:rsid w:val="743C19BF"/>
    <w:rsid w:val="743DDD22"/>
    <w:rsid w:val="7445424B"/>
    <w:rsid w:val="7446B737"/>
    <w:rsid w:val="7447B7FF"/>
    <w:rsid w:val="7456E73C"/>
    <w:rsid w:val="74599D84"/>
    <w:rsid w:val="745AD38C"/>
    <w:rsid w:val="74632A9C"/>
    <w:rsid w:val="746A835D"/>
    <w:rsid w:val="746D5864"/>
    <w:rsid w:val="746DB6B0"/>
    <w:rsid w:val="746E1621"/>
    <w:rsid w:val="74711DCC"/>
    <w:rsid w:val="747EA9D3"/>
    <w:rsid w:val="747F5A86"/>
    <w:rsid w:val="74802F7D"/>
    <w:rsid w:val="7483784E"/>
    <w:rsid w:val="74838858"/>
    <w:rsid w:val="74849D43"/>
    <w:rsid w:val="74865B32"/>
    <w:rsid w:val="74883DAA"/>
    <w:rsid w:val="74886466"/>
    <w:rsid w:val="748BE131"/>
    <w:rsid w:val="748C6A5D"/>
    <w:rsid w:val="748D880B"/>
    <w:rsid w:val="749A6C1E"/>
    <w:rsid w:val="749D3EE2"/>
    <w:rsid w:val="749D6683"/>
    <w:rsid w:val="74A6F44C"/>
    <w:rsid w:val="74AB63CE"/>
    <w:rsid w:val="74ACB8A7"/>
    <w:rsid w:val="74B19C38"/>
    <w:rsid w:val="74B26FC9"/>
    <w:rsid w:val="74BE2162"/>
    <w:rsid w:val="74C49590"/>
    <w:rsid w:val="74C4FB53"/>
    <w:rsid w:val="74CD8759"/>
    <w:rsid w:val="74CEB3F3"/>
    <w:rsid w:val="74D0B7D7"/>
    <w:rsid w:val="74D82C8C"/>
    <w:rsid w:val="74D8F1A8"/>
    <w:rsid w:val="74E17884"/>
    <w:rsid w:val="74E60E99"/>
    <w:rsid w:val="74E666FD"/>
    <w:rsid w:val="74EA1EF9"/>
    <w:rsid w:val="74EBCB02"/>
    <w:rsid w:val="74ED64D4"/>
    <w:rsid w:val="74EFF405"/>
    <w:rsid w:val="74F397B9"/>
    <w:rsid w:val="74F6A0B8"/>
    <w:rsid w:val="74F96DE7"/>
    <w:rsid w:val="74FFC3FB"/>
    <w:rsid w:val="7500FE8B"/>
    <w:rsid w:val="750394EB"/>
    <w:rsid w:val="75055692"/>
    <w:rsid w:val="75090847"/>
    <w:rsid w:val="750AF4AE"/>
    <w:rsid w:val="750BC0F0"/>
    <w:rsid w:val="750CD6FB"/>
    <w:rsid w:val="750CDDAD"/>
    <w:rsid w:val="750EC87C"/>
    <w:rsid w:val="75114400"/>
    <w:rsid w:val="75116DB8"/>
    <w:rsid w:val="7511AA00"/>
    <w:rsid w:val="75123DF4"/>
    <w:rsid w:val="7519DACF"/>
    <w:rsid w:val="751CDE25"/>
    <w:rsid w:val="751D889B"/>
    <w:rsid w:val="751FA7FE"/>
    <w:rsid w:val="75201F25"/>
    <w:rsid w:val="7528CBDB"/>
    <w:rsid w:val="752F56CF"/>
    <w:rsid w:val="7531C17A"/>
    <w:rsid w:val="7532DF15"/>
    <w:rsid w:val="753C1A3B"/>
    <w:rsid w:val="753E7AA9"/>
    <w:rsid w:val="753FD4C3"/>
    <w:rsid w:val="75405823"/>
    <w:rsid w:val="754269F9"/>
    <w:rsid w:val="75432740"/>
    <w:rsid w:val="75467B61"/>
    <w:rsid w:val="7549E82A"/>
    <w:rsid w:val="754A420A"/>
    <w:rsid w:val="754F7E48"/>
    <w:rsid w:val="7556D2AB"/>
    <w:rsid w:val="7556EAD8"/>
    <w:rsid w:val="7557507B"/>
    <w:rsid w:val="7558540A"/>
    <w:rsid w:val="75631FC2"/>
    <w:rsid w:val="75699EA9"/>
    <w:rsid w:val="756D3D0F"/>
    <w:rsid w:val="756DCDD6"/>
    <w:rsid w:val="756FE1EF"/>
    <w:rsid w:val="75720A92"/>
    <w:rsid w:val="757406CA"/>
    <w:rsid w:val="757449D4"/>
    <w:rsid w:val="7575D6E2"/>
    <w:rsid w:val="75783599"/>
    <w:rsid w:val="757B89D6"/>
    <w:rsid w:val="757DB1A2"/>
    <w:rsid w:val="7584DDAB"/>
    <w:rsid w:val="7586345B"/>
    <w:rsid w:val="75879E83"/>
    <w:rsid w:val="7588A5C0"/>
    <w:rsid w:val="7589D763"/>
    <w:rsid w:val="758A4421"/>
    <w:rsid w:val="758B1873"/>
    <w:rsid w:val="7590C46C"/>
    <w:rsid w:val="7592A63C"/>
    <w:rsid w:val="759309C0"/>
    <w:rsid w:val="75943722"/>
    <w:rsid w:val="75999B81"/>
    <w:rsid w:val="759B5D6E"/>
    <w:rsid w:val="75A2356B"/>
    <w:rsid w:val="75A7572A"/>
    <w:rsid w:val="75AC3017"/>
    <w:rsid w:val="75B5D272"/>
    <w:rsid w:val="75B82F7B"/>
    <w:rsid w:val="75BC4A1B"/>
    <w:rsid w:val="75BF688E"/>
    <w:rsid w:val="75C78167"/>
    <w:rsid w:val="75C7CB3D"/>
    <w:rsid w:val="75C91F38"/>
    <w:rsid w:val="75CC9C9D"/>
    <w:rsid w:val="75CCB943"/>
    <w:rsid w:val="75D1C2C2"/>
    <w:rsid w:val="75D38D7E"/>
    <w:rsid w:val="75D4633C"/>
    <w:rsid w:val="75E0C7C4"/>
    <w:rsid w:val="75E11853"/>
    <w:rsid w:val="75E2AA41"/>
    <w:rsid w:val="75E3B166"/>
    <w:rsid w:val="75E4E858"/>
    <w:rsid w:val="75EE5ECF"/>
    <w:rsid w:val="75EE62FD"/>
    <w:rsid w:val="75EF169A"/>
    <w:rsid w:val="75F021D2"/>
    <w:rsid w:val="75F6C432"/>
    <w:rsid w:val="75FDE535"/>
    <w:rsid w:val="76061412"/>
    <w:rsid w:val="7609F471"/>
    <w:rsid w:val="76100233"/>
    <w:rsid w:val="7615019A"/>
    <w:rsid w:val="76186E1D"/>
    <w:rsid w:val="761999F0"/>
    <w:rsid w:val="761B8C77"/>
    <w:rsid w:val="76236A82"/>
    <w:rsid w:val="76242DD9"/>
    <w:rsid w:val="7629624E"/>
    <w:rsid w:val="762C004B"/>
    <w:rsid w:val="7631C936"/>
    <w:rsid w:val="763326F1"/>
    <w:rsid w:val="7633640D"/>
    <w:rsid w:val="76394EF8"/>
    <w:rsid w:val="76407056"/>
    <w:rsid w:val="7647B9F4"/>
    <w:rsid w:val="7647E6D3"/>
    <w:rsid w:val="764CE3F8"/>
    <w:rsid w:val="7652A132"/>
    <w:rsid w:val="7652EB4A"/>
    <w:rsid w:val="76540B76"/>
    <w:rsid w:val="765A5842"/>
    <w:rsid w:val="765E878A"/>
    <w:rsid w:val="76637469"/>
    <w:rsid w:val="7663E010"/>
    <w:rsid w:val="76640B69"/>
    <w:rsid w:val="76673C0E"/>
    <w:rsid w:val="766C450F"/>
    <w:rsid w:val="766F08BD"/>
    <w:rsid w:val="76777923"/>
    <w:rsid w:val="767CBE5F"/>
    <w:rsid w:val="768057EE"/>
    <w:rsid w:val="76806E3A"/>
    <w:rsid w:val="76859665"/>
    <w:rsid w:val="76880145"/>
    <w:rsid w:val="768B381A"/>
    <w:rsid w:val="76949FE4"/>
    <w:rsid w:val="76993AD2"/>
    <w:rsid w:val="7699FE66"/>
    <w:rsid w:val="769A611E"/>
    <w:rsid w:val="76A13679"/>
    <w:rsid w:val="76A9A615"/>
    <w:rsid w:val="76ACB4D4"/>
    <w:rsid w:val="76ADA86C"/>
    <w:rsid w:val="76AEDA89"/>
    <w:rsid w:val="76B1AB65"/>
    <w:rsid w:val="76B3FE3F"/>
    <w:rsid w:val="76B5500D"/>
    <w:rsid w:val="76B5D148"/>
    <w:rsid w:val="76B5D268"/>
    <w:rsid w:val="76B66C38"/>
    <w:rsid w:val="76B82098"/>
    <w:rsid w:val="76B8C468"/>
    <w:rsid w:val="76BF0598"/>
    <w:rsid w:val="76C04931"/>
    <w:rsid w:val="76C06433"/>
    <w:rsid w:val="76CBC348"/>
    <w:rsid w:val="76CC7EA8"/>
    <w:rsid w:val="76CFF16F"/>
    <w:rsid w:val="76D0644C"/>
    <w:rsid w:val="76D35B4E"/>
    <w:rsid w:val="76D58104"/>
    <w:rsid w:val="76D5F943"/>
    <w:rsid w:val="76DA7599"/>
    <w:rsid w:val="76DBA3F3"/>
    <w:rsid w:val="76DBA524"/>
    <w:rsid w:val="76DC89FB"/>
    <w:rsid w:val="76DD3F6A"/>
    <w:rsid w:val="76E411EE"/>
    <w:rsid w:val="76E4F5DB"/>
    <w:rsid w:val="76EA325F"/>
    <w:rsid w:val="76EB8398"/>
    <w:rsid w:val="76ECBE56"/>
    <w:rsid w:val="76ED5AB1"/>
    <w:rsid w:val="76EDA0A0"/>
    <w:rsid w:val="76EE09A9"/>
    <w:rsid w:val="76EFF223"/>
    <w:rsid w:val="76F0191B"/>
    <w:rsid w:val="76F2A758"/>
    <w:rsid w:val="76F53754"/>
    <w:rsid w:val="76F7D8A3"/>
    <w:rsid w:val="76F8FDE4"/>
    <w:rsid w:val="76FBA90C"/>
    <w:rsid w:val="76FF7C1E"/>
    <w:rsid w:val="7709EE7F"/>
    <w:rsid w:val="770CAE09"/>
    <w:rsid w:val="7712B727"/>
    <w:rsid w:val="7712EEDF"/>
    <w:rsid w:val="77141804"/>
    <w:rsid w:val="77158C05"/>
    <w:rsid w:val="771B0444"/>
    <w:rsid w:val="771B8833"/>
    <w:rsid w:val="771BFD73"/>
    <w:rsid w:val="771D10EE"/>
    <w:rsid w:val="771DBC36"/>
    <w:rsid w:val="771F6BC3"/>
    <w:rsid w:val="771F6D23"/>
    <w:rsid w:val="771F9EC7"/>
    <w:rsid w:val="7722CF8D"/>
    <w:rsid w:val="772451C7"/>
    <w:rsid w:val="77277CCB"/>
    <w:rsid w:val="772832EF"/>
    <w:rsid w:val="77293E3A"/>
    <w:rsid w:val="772BF050"/>
    <w:rsid w:val="772E1C5B"/>
    <w:rsid w:val="773239AE"/>
    <w:rsid w:val="773CCB9E"/>
    <w:rsid w:val="7742158B"/>
    <w:rsid w:val="77428740"/>
    <w:rsid w:val="7743AC2E"/>
    <w:rsid w:val="774765B9"/>
    <w:rsid w:val="77490501"/>
    <w:rsid w:val="774B7E90"/>
    <w:rsid w:val="77504CF5"/>
    <w:rsid w:val="775477C6"/>
    <w:rsid w:val="7754F990"/>
    <w:rsid w:val="775AC37E"/>
    <w:rsid w:val="775C726A"/>
    <w:rsid w:val="775C8501"/>
    <w:rsid w:val="775DC272"/>
    <w:rsid w:val="775DD5C3"/>
    <w:rsid w:val="776AB0D9"/>
    <w:rsid w:val="776C02B1"/>
    <w:rsid w:val="77705255"/>
    <w:rsid w:val="77768761"/>
    <w:rsid w:val="77770177"/>
    <w:rsid w:val="777A8632"/>
    <w:rsid w:val="777E2E75"/>
    <w:rsid w:val="7783D6BF"/>
    <w:rsid w:val="7788577A"/>
    <w:rsid w:val="778BFAC9"/>
    <w:rsid w:val="7790DA95"/>
    <w:rsid w:val="77912097"/>
    <w:rsid w:val="7793A25C"/>
    <w:rsid w:val="7795979F"/>
    <w:rsid w:val="77992E96"/>
    <w:rsid w:val="77A25780"/>
    <w:rsid w:val="77A32000"/>
    <w:rsid w:val="77A5F234"/>
    <w:rsid w:val="77A7C132"/>
    <w:rsid w:val="77A9D051"/>
    <w:rsid w:val="77ACAD90"/>
    <w:rsid w:val="77ADC692"/>
    <w:rsid w:val="77AE858E"/>
    <w:rsid w:val="77AF5A0B"/>
    <w:rsid w:val="77BAF791"/>
    <w:rsid w:val="77BDF421"/>
    <w:rsid w:val="77BE74C1"/>
    <w:rsid w:val="77BE7C45"/>
    <w:rsid w:val="77BED858"/>
    <w:rsid w:val="77C1D6F4"/>
    <w:rsid w:val="77C897FC"/>
    <w:rsid w:val="77C9EBA9"/>
    <w:rsid w:val="77CC33DC"/>
    <w:rsid w:val="77CCB219"/>
    <w:rsid w:val="77CD1AF1"/>
    <w:rsid w:val="77D0AB7E"/>
    <w:rsid w:val="77D0C28F"/>
    <w:rsid w:val="77D13567"/>
    <w:rsid w:val="77D50A12"/>
    <w:rsid w:val="77D5AFFD"/>
    <w:rsid w:val="77D5F515"/>
    <w:rsid w:val="77D62008"/>
    <w:rsid w:val="77DAA8B4"/>
    <w:rsid w:val="77DEC748"/>
    <w:rsid w:val="77E00A26"/>
    <w:rsid w:val="77E02A00"/>
    <w:rsid w:val="77E267C4"/>
    <w:rsid w:val="77E54D28"/>
    <w:rsid w:val="77E61985"/>
    <w:rsid w:val="77E983D0"/>
    <w:rsid w:val="77EB8AA5"/>
    <w:rsid w:val="77EDD316"/>
    <w:rsid w:val="77F0C9EF"/>
    <w:rsid w:val="77F1BCBF"/>
    <w:rsid w:val="77F385F2"/>
    <w:rsid w:val="77F387DE"/>
    <w:rsid w:val="77F460C5"/>
    <w:rsid w:val="77F56E40"/>
    <w:rsid w:val="77F81227"/>
    <w:rsid w:val="77FCD7D6"/>
    <w:rsid w:val="78016A85"/>
    <w:rsid w:val="78024750"/>
    <w:rsid w:val="78045CFF"/>
    <w:rsid w:val="7806D1BD"/>
    <w:rsid w:val="780F77B7"/>
    <w:rsid w:val="7813CDBF"/>
    <w:rsid w:val="781862E5"/>
    <w:rsid w:val="781F7DE0"/>
    <w:rsid w:val="78206ADD"/>
    <w:rsid w:val="7822040A"/>
    <w:rsid w:val="7823ACC0"/>
    <w:rsid w:val="78280318"/>
    <w:rsid w:val="782872AA"/>
    <w:rsid w:val="782D1AD1"/>
    <w:rsid w:val="7833664D"/>
    <w:rsid w:val="78339BBB"/>
    <w:rsid w:val="783A0C58"/>
    <w:rsid w:val="783D3EED"/>
    <w:rsid w:val="783EB803"/>
    <w:rsid w:val="784E403E"/>
    <w:rsid w:val="784F3436"/>
    <w:rsid w:val="7853771B"/>
    <w:rsid w:val="7853FD67"/>
    <w:rsid w:val="7859B286"/>
    <w:rsid w:val="785BF222"/>
    <w:rsid w:val="785CA86C"/>
    <w:rsid w:val="78606462"/>
    <w:rsid w:val="7864EABA"/>
    <w:rsid w:val="7868D1F3"/>
    <w:rsid w:val="7869654F"/>
    <w:rsid w:val="7869B557"/>
    <w:rsid w:val="786D7A1F"/>
    <w:rsid w:val="786E843A"/>
    <w:rsid w:val="786FC4CE"/>
    <w:rsid w:val="7873F1F8"/>
    <w:rsid w:val="7877BC0E"/>
    <w:rsid w:val="7878FA6B"/>
    <w:rsid w:val="78794C1E"/>
    <w:rsid w:val="787C42CB"/>
    <w:rsid w:val="787C6646"/>
    <w:rsid w:val="78800CCF"/>
    <w:rsid w:val="788013E8"/>
    <w:rsid w:val="78839DCD"/>
    <w:rsid w:val="7885F8F6"/>
    <w:rsid w:val="78864979"/>
    <w:rsid w:val="788959F5"/>
    <w:rsid w:val="788D1003"/>
    <w:rsid w:val="788FE964"/>
    <w:rsid w:val="78913865"/>
    <w:rsid w:val="78960EE4"/>
    <w:rsid w:val="78973663"/>
    <w:rsid w:val="78975EFA"/>
    <w:rsid w:val="789AC084"/>
    <w:rsid w:val="789C70D7"/>
    <w:rsid w:val="789F04AB"/>
    <w:rsid w:val="78AD8166"/>
    <w:rsid w:val="78B291D1"/>
    <w:rsid w:val="78BABB8C"/>
    <w:rsid w:val="78BB9E30"/>
    <w:rsid w:val="78BC9ED3"/>
    <w:rsid w:val="78BF4AE9"/>
    <w:rsid w:val="78C44660"/>
    <w:rsid w:val="78C98483"/>
    <w:rsid w:val="78C9CB4F"/>
    <w:rsid w:val="78CE710E"/>
    <w:rsid w:val="78D34116"/>
    <w:rsid w:val="78D4945B"/>
    <w:rsid w:val="78D6377D"/>
    <w:rsid w:val="78D99BCB"/>
    <w:rsid w:val="78D9E580"/>
    <w:rsid w:val="78DE5AC1"/>
    <w:rsid w:val="78DFCED3"/>
    <w:rsid w:val="78E0201C"/>
    <w:rsid w:val="78E1B5E3"/>
    <w:rsid w:val="78E1DBAB"/>
    <w:rsid w:val="78E231D4"/>
    <w:rsid w:val="78E6749E"/>
    <w:rsid w:val="78EAC34B"/>
    <w:rsid w:val="78EBDE9B"/>
    <w:rsid w:val="78F32F39"/>
    <w:rsid w:val="78F5692F"/>
    <w:rsid w:val="78F7B73C"/>
    <w:rsid w:val="790253BB"/>
    <w:rsid w:val="7904F8DD"/>
    <w:rsid w:val="790A4602"/>
    <w:rsid w:val="790AB350"/>
    <w:rsid w:val="790FE8C9"/>
    <w:rsid w:val="790FEBFD"/>
    <w:rsid w:val="79183E9C"/>
    <w:rsid w:val="791D83B5"/>
    <w:rsid w:val="791E7FC8"/>
    <w:rsid w:val="7921706C"/>
    <w:rsid w:val="7923F627"/>
    <w:rsid w:val="7924699C"/>
    <w:rsid w:val="79274A97"/>
    <w:rsid w:val="79347417"/>
    <w:rsid w:val="7934E227"/>
    <w:rsid w:val="7935F3EA"/>
    <w:rsid w:val="7937C772"/>
    <w:rsid w:val="7938A32C"/>
    <w:rsid w:val="79390841"/>
    <w:rsid w:val="793BE458"/>
    <w:rsid w:val="793CF3ED"/>
    <w:rsid w:val="794C39AD"/>
    <w:rsid w:val="79516029"/>
    <w:rsid w:val="7955B25E"/>
    <w:rsid w:val="79596E01"/>
    <w:rsid w:val="7959813A"/>
    <w:rsid w:val="7959CF93"/>
    <w:rsid w:val="795AAA83"/>
    <w:rsid w:val="795C2D10"/>
    <w:rsid w:val="795DB645"/>
    <w:rsid w:val="79639785"/>
    <w:rsid w:val="796B0E71"/>
    <w:rsid w:val="796F1A4E"/>
    <w:rsid w:val="79753A2A"/>
    <w:rsid w:val="79787BCD"/>
    <w:rsid w:val="797A9DC0"/>
    <w:rsid w:val="798181DB"/>
    <w:rsid w:val="7981DDE1"/>
    <w:rsid w:val="7987BA7A"/>
    <w:rsid w:val="7988FE82"/>
    <w:rsid w:val="798C9C06"/>
    <w:rsid w:val="798D4BCA"/>
    <w:rsid w:val="79966F92"/>
    <w:rsid w:val="799B3D98"/>
    <w:rsid w:val="799DC702"/>
    <w:rsid w:val="79A11899"/>
    <w:rsid w:val="79A6066A"/>
    <w:rsid w:val="79A80D67"/>
    <w:rsid w:val="79A93116"/>
    <w:rsid w:val="79AAE5FE"/>
    <w:rsid w:val="79AEBF81"/>
    <w:rsid w:val="79B0476C"/>
    <w:rsid w:val="79B229DA"/>
    <w:rsid w:val="79B666FC"/>
    <w:rsid w:val="79B86F14"/>
    <w:rsid w:val="79BB31F7"/>
    <w:rsid w:val="79BD4419"/>
    <w:rsid w:val="79BD5687"/>
    <w:rsid w:val="79BF66DA"/>
    <w:rsid w:val="79C4C0E4"/>
    <w:rsid w:val="79CCA43F"/>
    <w:rsid w:val="79CD2655"/>
    <w:rsid w:val="79CE8238"/>
    <w:rsid w:val="79D0EB1A"/>
    <w:rsid w:val="79D2A060"/>
    <w:rsid w:val="79DAB63C"/>
    <w:rsid w:val="79DC244D"/>
    <w:rsid w:val="79DC3FEF"/>
    <w:rsid w:val="79DEFC14"/>
    <w:rsid w:val="79E88A0E"/>
    <w:rsid w:val="79EB0188"/>
    <w:rsid w:val="79EB7358"/>
    <w:rsid w:val="79EC915C"/>
    <w:rsid w:val="79F1235A"/>
    <w:rsid w:val="79F1DED5"/>
    <w:rsid w:val="79F35C27"/>
    <w:rsid w:val="79F3C410"/>
    <w:rsid w:val="79F9CF7D"/>
    <w:rsid w:val="79FDBE23"/>
    <w:rsid w:val="79FE3A9E"/>
    <w:rsid w:val="7A0151C8"/>
    <w:rsid w:val="7A0215EA"/>
    <w:rsid w:val="7A0CB2B7"/>
    <w:rsid w:val="7A0EA175"/>
    <w:rsid w:val="7A0F3D8C"/>
    <w:rsid w:val="7A107666"/>
    <w:rsid w:val="7A123AF9"/>
    <w:rsid w:val="7A132DDF"/>
    <w:rsid w:val="7A163EA3"/>
    <w:rsid w:val="7A19AFD7"/>
    <w:rsid w:val="7A1F0535"/>
    <w:rsid w:val="7A21617F"/>
    <w:rsid w:val="7A24684E"/>
    <w:rsid w:val="7A25D4FF"/>
    <w:rsid w:val="7A2808E2"/>
    <w:rsid w:val="7A2A05F8"/>
    <w:rsid w:val="7A2AE843"/>
    <w:rsid w:val="7A2D8123"/>
    <w:rsid w:val="7A2FE62E"/>
    <w:rsid w:val="7A39347F"/>
    <w:rsid w:val="7A3ADC52"/>
    <w:rsid w:val="7A3C065C"/>
    <w:rsid w:val="7A3CC321"/>
    <w:rsid w:val="7A473A1A"/>
    <w:rsid w:val="7A4AA2D5"/>
    <w:rsid w:val="7A4BC0FC"/>
    <w:rsid w:val="7A502888"/>
    <w:rsid w:val="7A52364D"/>
    <w:rsid w:val="7A60B21F"/>
    <w:rsid w:val="7A65BDCD"/>
    <w:rsid w:val="7A66D6A9"/>
    <w:rsid w:val="7A670185"/>
    <w:rsid w:val="7A693451"/>
    <w:rsid w:val="7A69493B"/>
    <w:rsid w:val="7A6A3BEA"/>
    <w:rsid w:val="7A6CD3D7"/>
    <w:rsid w:val="7A6FABE3"/>
    <w:rsid w:val="7A768FA6"/>
    <w:rsid w:val="7A7ED1EE"/>
    <w:rsid w:val="7A814ED8"/>
    <w:rsid w:val="7A842AF4"/>
    <w:rsid w:val="7A87038B"/>
    <w:rsid w:val="7A882A75"/>
    <w:rsid w:val="7A88D8EA"/>
    <w:rsid w:val="7A89EC17"/>
    <w:rsid w:val="7A8D1FE2"/>
    <w:rsid w:val="7A9A3FD7"/>
    <w:rsid w:val="7A9A7CEB"/>
    <w:rsid w:val="7A9ADE93"/>
    <w:rsid w:val="7A9C7756"/>
    <w:rsid w:val="7A9E49A5"/>
    <w:rsid w:val="7AA62070"/>
    <w:rsid w:val="7AA8A74F"/>
    <w:rsid w:val="7AA9CA71"/>
    <w:rsid w:val="7AACD292"/>
    <w:rsid w:val="7AB16E25"/>
    <w:rsid w:val="7AB4281F"/>
    <w:rsid w:val="7AC1AC1E"/>
    <w:rsid w:val="7AC1E1F3"/>
    <w:rsid w:val="7AC271CE"/>
    <w:rsid w:val="7AC4D28B"/>
    <w:rsid w:val="7AC83D95"/>
    <w:rsid w:val="7ACB5903"/>
    <w:rsid w:val="7ACBC96A"/>
    <w:rsid w:val="7ACD1B4E"/>
    <w:rsid w:val="7ACDD7E9"/>
    <w:rsid w:val="7ACE51DE"/>
    <w:rsid w:val="7AD06213"/>
    <w:rsid w:val="7AD172B3"/>
    <w:rsid w:val="7AD22ADF"/>
    <w:rsid w:val="7AD48E5E"/>
    <w:rsid w:val="7AD6059F"/>
    <w:rsid w:val="7AD709A4"/>
    <w:rsid w:val="7AD75C87"/>
    <w:rsid w:val="7AD92E94"/>
    <w:rsid w:val="7ADAEC65"/>
    <w:rsid w:val="7ADE9E26"/>
    <w:rsid w:val="7AE5FB7B"/>
    <w:rsid w:val="7AE798D7"/>
    <w:rsid w:val="7AE82737"/>
    <w:rsid w:val="7AEE5DD2"/>
    <w:rsid w:val="7AEF92EE"/>
    <w:rsid w:val="7AF17D1B"/>
    <w:rsid w:val="7AF40BFA"/>
    <w:rsid w:val="7AF8133A"/>
    <w:rsid w:val="7AF96AA7"/>
    <w:rsid w:val="7AFD21D0"/>
    <w:rsid w:val="7AFDA2CD"/>
    <w:rsid w:val="7AFFFCF3"/>
    <w:rsid w:val="7B013A35"/>
    <w:rsid w:val="7B01457C"/>
    <w:rsid w:val="7B02A5D9"/>
    <w:rsid w:val="7B048B14"/>
    <w:rsid w:val="7B04A2A6"/>
    <w:rsid w:val="7B053F8C"/>
    <w:rsid w:val="7B096846"/>
    <w:rsid w:val="7B09F407"/>
    <w:rsid w:val="7B0AF5ED"/>
    <w:rsid w:val="7B0C1544"/>
    <w:rsid w:val="7B0C7073"/>
    <w:rsid w:val="7B0D80F7"/>
    <w:rsid w:val="7B0DB74D"/>
    <w:rsid w:val="7B1284AD"/>
    <w:rsid w:val="7B149087"/>
    <w:rsid w:val="7B188F2F"/>
    <w:rsid w:val="7B19F844"/>
    <w:rsid w:val="7B1B9D25"/>
    <w:rsid w:val="7B1D3DB3"/>
    <w:rsid w:val="7B22CD83"/>
    <w:rsid w:val="7B23AE1C"/>
    <w:rsid w:val="7B2518D7"/>
    <w:rsid w:val="7B2C862A"/>
    <w:rsid w:val="7B2D7547"/>
    <w:rsid w:val="7B31FBA4"/>
    <w:rsid w:val="7B35027A"/>
    <w:rsid w:val="7B390F9C"/>
    <w:rsid w:val="7B3C9E28"/>
    <w:rsid w:val="7B4709E2"/>
    <w:rsid w:val="7B47DEED"/>
    <w:rsid w:val="7B528417"/>
    <w:rsid w:val="7B582895"/>
    <w:rsid w:val="7B58E8E1"/>
    <w:rsid w:val="7B59461D"/>
    <w:rsid w:val="7B5E2B6E"/>
    <w:rsid w:val="7B6330CC"/>
    <w:rsid w:val="7B68557A"/>
    <w:rsid w:val="7B70677C"/>
    <w:rsid w:val="7B722478"/>
    <w:rsid w:val="7B7355E4"/>
    <w:rsid w:val="7B7753CB"/>
    <w:rsid w:val="7B77DA64"/>
    <w:rsid w:val="7B7B7186"/>
    <w:rsid w:val="7B7FFD12"/>
    <w:rsid w:val="7B8334DE"/>
    <w:rsid w:val="7B84A9B4"/>
    <w:rsid w:val="7B890B79"/>
    <w:rsid w:val="7B91B6FD"/>
    <w:rsid w:val="7B933B7E"/>
    <w:rsid w:val="7B9647B6"/>
    <w:rsid w:val="7B9C9052"/>
    <w:rsid w:val="7B9EC620"/>
    <w:rsid w:val="7B9ED5AA"/>
    <w:rsid w:val="7BAA747B"/>
    <w:rsid w:val="7BAEB07B"/>
    <w:rsid w:val="7BAF7C83"/>
    <w:rsid w:val="7BAFECF2"/>
    <w:rsid w:val="7BB2EA72"/>
    <w:rsid w:val="7BB4394D"/>
    <w:rsid w:val="7BB51B0D"/>
    <w:rsid w:val="7BB524A7"/>
    <w:rsid w:val="7BB79B9C"/>
    <w:rsid w:val="7BB86F9B"/>
    <w:rsid w:val="7BBBB285"/>
    <w:rsid w:val="7BBCBFB1"/>
    <w:rsid w:val="7BBDD803"/>
    <w:rsid w:val="7BC09064"/>
    <w:rsid w:val="7BC30A89"/>
    <w:rsid w:val="7BC5570A"/>
    <w:rsid w:val="7BC696C6"/>
    <w:rsid w:val="7BC7E651"/>
    <w:rsid w:val="7BCC94D3"/>
    <w:rsid w:val="7BCDDA20"/>
    <w:rsid w:val="7BD1B61A"/>
    <w:rsid w:val="7BD42F58"/>
    <w:rsid w:val="7BD48BAB"/>
    <w:rsid w:val="7BD490CC"/>
    <w:rsid w:val="7BD5C4F5"/>
    <w:rsid w:val="7BDDF706"/>
    <w:rsid w:val="7BE13E56"/>
    <w:rsid w:val="7BE6BAD2"/>
    <w:rsid w:val="7BEA307C"/>
    <w:rsid w:val="7BEB2085"/>
    <w:rsid w:val="7BEC089E"/>
    <w:rsid w:val="7BF49702"/>
    <w:rsid w:val="7BF5F055"/>
    <w:rsid w:val="7BF6B110"/>
    <w:rsid w:val="7BF7222D"/>
    <w:rsid w:val="7BF89E19"/>
    <w:rsid w:val="7BF919E4"/>
    <w:rsid w:val="7BF9ABA8"/>
    <w:rsid w:val="7C00AA6F"/>
    <w:rsid w:val="7C0197EE"/>
    <w:rsid w:val="7C02558E"/>
    <w:rsid w:val="7C0335BE"/>
    <w:rsid w:val="7C033B96"/>
    <w:rsid w:val="7C04A901"/>
    <w:rsid w:val="7C077F89"/>
    <w:rsid w:val="7C09607F"/>
    <w:rsid w:val="7C09A701"/>
    <w:rsid w:val="7C0A2B35"/>
    <w:rsid w:val="7C0D3498"/>
    <w:rsid w:val="7C1121D9"/>
    <w:rsid w:val="7C119C0E"/>
    <w:rsid w:val="7C183CCA"/>
    <w:rsid w:val="7C1E6FF3"/>
    <w:rsid w:val="7C226F9D"/>
    <w:rsid w:val="7C2627F5"/>
    <w:rsid w:val="7C29A61F"/>
    <w:rsid w:val="7C2F5A9E"/>
    <w:rsid w:val="7C32C348"/>
    <w:rsid w:val="7C35A434"/>
    <w:rsid w:val="7C36A645"/>
    <w:rsid w:val="7C37F507"/>
    <w:rsid w:val="7C427732"/>
    <w:rsid w:val="7C4AB367"/>
    <w:rsid w:val="7C4BB99C"/>
    <w:rsid w:val="7C505F4D"/>
    <w:rsid w:val="7C5615CB"/>
    <w:rsid w:val="7C565EF4"/>
    <w:rsid w:val="7C56DAB4"/>
    <w:rsid w:val="7C5E2089"/>
    <w:rsid w:val="7C5FDB4E"/>
    <w:rsid w:val="7C60341E"/>
    <w:rsid w:val="7C615EDA"/>
    <w:rsid w:val="7C62C758"/>
    <w:rsid w:val="7C64DD25"/>
    <w:rsid w:val="7C65567A"/>
    <w:rsid w:val="7C656209"/>
    <w:rsid w:val="7C65C1F2"/>
    <w:rsid w:val="7C6799CB"/>
    <w:rsid w:val="7C67F086"/>
    <w:rsid w:val="7C73590C"/>
    <w:rsid w:val="7C754579"/>
    <w:rsid w:val="7C7F8B6E"/>
    <w:rsid w:val="7C82D656"/>
    <w:rsid w:val="7C8564EA"/>
    <w:rsid w:val="7C8BEB04"/>
    <w:rsid w:val="7C93469F"/>
    <w:rsid w:val="7C9634FC"/>
    <w:rsid w:val="7C969B9B"/>
    <w:rsid w:val="7C9C4440"/>
    <w:rsid w:val="7C9C6EC1"/>
    <w:rsid w:val="7C9CBE9B"/>
    <w:rsid w:val="7CA145D7"/>
    <w:rsid w:val="7CA33FB6"/>
    <w:rsid w:val="7CAFACCA"/>
    <w:rsid w:val="7CB3BA35"/>
    <w:rsid w:val="7CC32139"/>
    <w:rsid w:val="7CC42A90"/>
    <w:rsid w:val="7CC4FE79"/>
    <w:rsid w:val="7CC5E453"/>
    <w:rsid w:val="7CC60349"/>
    <w:rsid w:val="7CC6B6EF"/>
    <w:rsid w:val="7CCD0313"/>
    <w:rsid w:val="7CD0B696"/>
    <w:rsid w:val="7CD15265"/>
    <w:rsid w:val="7CD1E00D"/>
    <w:rsid w:val="7CD34674"/>
    <w:rsid w:val="7CD480DE"/>
    <w:rsid w:val="7CD4C47E"/>
    <w:rsid w:val="7CD500F0"/>
    <w:rsid w:val="7CDEF7EA"/>
    <w:rsid w:val="7CEBBC4F"/>
    <w:rsid w:val="7CEC18C6"/>
    <w:rsid w:val="7CED054E"/>
    <w:rsid w:val="7CF0EB85"/>
    <w:rsid w:val="7CF1EC04"/>
    <w:rsid w:val="7CF65A5F"/>
    <w:rsid w:val="7CF87C4B"/>
    <w:rsid w:val="7CF97C45"/>
    <w:rsid w:val="7CFCCA0B"/>
    <w:rsid w:val="7D018582"/>
    <w:rsid w:val="7D032727"/>
    <w:rsid w:val="7D0673FA"/>
    <w:rsid w:val="7D06E886"/>
    <w:rsid w:val="7D096FC2"/>
    <w:rsid w:val="7D0B3F47"/>
    <w:rsid w:val="7D0C642D"/>
    <w:rsid w:val="7D0E170C"/>
    <w:rsid w:val="7D0F2462"/>
    <w:rsid w:val="7D1220B3"/>
    <w:rsid w:val="7D139434"/>
    <w:rsid w:val="7D2333A4"/>
    <w:rsid w:val="7D255D6F"/>
    <w:rsid w:val="7D2575F0"/>
    <w:rsid w:val="7D2E4BBF"/>
    <w:rsid w:val="7D37DB97"/>
    <w:rsid w:val="7D3D4E14"/>
    <w:rsid w:val="7D401C2B"/>
    <w:rsid w:val="7D40EB42"/>
    <w:rsid w:val="7D4269EB"/>
    <w:rsid w:val="7D47F13E"/>
    <w:rsid w:val="7D4D3B8A"/>
    <w:rsid w:val="7D502B70"/>
    <w:rsid w:val="7D506727"/>
    <w:rsid w:val="7D56997D"/>
    <w:rsid w:val="7D579EB7"/>
    <w:rsid w:val="7D5B790C"/>
    <w:rsid w:val="7D601783"/>
    <w:rsid w:val="7D604135"/>
    <w:rsid w:val="7D635577"/>
    <w:rsid w:val="7D659E27"/>
    <w:rsid w:val="7D663DC5"/>
    <w:rsid w:val="7D66FF59"/>
    <w:rsid w:val="7D6A2C4F"/>
    <w:rsid w:val="7D6DB7AD"/>
    <w:rsid w:val="7D72604C"/>
    <w:rsid w:val="7D81880E"/>
    <w:rsid w:val="7D856427"/>
    <w:rsid w:val="7D874E78"/>
    <w:rsid w:val="7D8B5327"/>
    <w:rsid w:val="7D8B8F73"/>
    <w:rsid w:val="7D8E132F"/>
    <w:rsid w:val="7D92BC0C"/>
    <w:rsid w:val="7D957284"/>
    <w:rsid w:val="7D9683E7"/>
    <w:rsid w:val="7D96F365"/>
    <w:rsid w:val="7DA04C92"/>
    <w:rsid w:val="7DA21543"/>
    <w:rsid w:val="7DA3374D"/>
    <w:rsid w:val="7DA40098"/>
    <w:rsid w:val="7DA61BBD"/>
    <w:rsid w:val="7DAB1E7A"/>
    <w:rsid w:val="7DAC3E89"/>
    <w:rsid w:val="7DAF3C76"/>
    <w:rsid w:val="7DB2B6AF"/>
    <w:rsid w:val="7DB311CB"/>
    <w:rsid w:val="7DB9003D"/>
    <w:rsid w:val="7DB91259"/>
    <w:rsid w:val="7DB9B474"/>
    <w:rsid w:val="7DB9E5C1"/>
    <w:rsid w:val="7DBA303C"/>
    <w:rsid w:val="7DBA54FB"/>
    <w:rsid w:val="7DBAC3EF"/>
    <w:rsid w:val="7DBD139C"/>
    <w:rsid w:val="7DC16690"/>
    <w:rsid w:val="7DC3FD68"/>
    <w:rsid w:val="7DC456BA"/>
    <w:rsid w:val="7DC63296"/>
    <w:rsid w:val="7DCA1852"/>
    <w:rsid w:val="7DCA7C99"/>
    <w:rsid w:val="7DCD8937"/>
    <w:rsid w:val="7DCEB50F"/>
    <w:rsid w:val="7DD60836"/>
    <w:rsid w:val="7DD6B548"/>
    <w:rsid w:val="7DDFC4E8"/>
    <w:rsid w:val="7DE0337E"/>
    <w:rsid w:val="7DE26AA0"/>
    <w:rsid w:val="7DE2B0AC"/>
    <w:rsid w:val="7DE68689"/>
    <w:rsid w:val="7DE82F62"/>
    <w:rsid w:val="7DEDB551"/>
    <w:rsid w:val="7DFDD63C"/>
    <w:rsid w:val="7E06A117"/>
    <w:rsid w:val="7E0BF48A"/>
    <w:rsid w:val="7E0CA220"/>
    <w:rsid w:val="7E0D6FAC"/>
    <w:rsid w:val="7E0D8FC9"/>
    <w:rsid w:val="7E117B8D"/>
    <w:rsid w:val="7E17D18F"/>
    <w:rsid w:val="7E1B9327"/>
    <w:rsid w:val="7E1CC2F7"/>
    <w:rsid w:val="7E22A351"/>
    <w:rsid w:val="7E23C183"/>
    <w:rsid w:val="7E2D0C86"/>
    <w:rsid w:val="7E2DD4BB"/>
    <w:rsid w:val="7E2F1234"/>
    <w:rsid w:val="7E30F557"/>
    <w:rsid w:val="7E3154D2"/>
    <w:rsid w:val="7E3512DF"/>
    <w:rsid w:val="7E38384E"/>
    <w:rsid w:val="7E3AF0E3"/>
    <w:rsid w:val="7E3D340D"/>
    <w:rsid w:val="7E3FB97F"/>
    <w:rsid w:val="7E41A258"/>
    <w:rsid w:val="7E4436F0"/>
    <w:rsid w:val="7E455DAC"/>
    <w:rsid w:val="7E47CBCA"/>
    <w:rsid w:val="7E4D7005"/>
    <w:rsid w:val="7E4EF2EB"/>
    <w:rsid w:val="7E4FBCFB"/>
    <w:rsid w:val="7E5010F5"/>
    <w:rsid w:val="7E503C07"/>
    <w:rsid w:val="7E56CF9C"/>
    <w:rsid w:val="7E5BAB12"/>
    <w:rsid w:val="7E5C7651"/>
    <w:rsid w:val="7E5D7F91"/>
    <w:rsid w:val="7E5F8E3A"/>
    <w:rsid w:val="7E63FE23"/>
    <w:rsid w:val="7E6473A5"/>
    <w:rsid w:val="7E68B01C"/>
    <w:rsid w:val="7E6D874D"/>
    <w:rsid w:val="7E721098"/>
    <w:rsid w:val="7E76CDA9"/>
    <w:rsid w:val="7E778247"/>
    <w:rsid w:val="7E795831"/>
    <w:rsid w:val="7E7A0804"/>
    <w:rsid w:val="7E7C0190"/>
    <w:rsid w:val="7E7C9A9F"/>
    <w:rsid w:val="7E7EFCEA"/>
    <w:rsid w:val="7E8088DA"/>
    <w:rsid w:val="7E83D06F"/>
    <w:rsid w:val="7E8440D4"/>
    <w:rsid w:val="7E87AAD8"/>
    <w:rsid w:val="7E8CAFC1"/>
    <w:rsid w:val="7E8F3A4C"/>
    <w:rsid w:val="7E9370CE"/>
    <w:rsid w:val="7E95D06F"/>
    <w:rsid w:val="7E9908D3"/>
    <w:rsid w:val="7E9AD265"/>
    <w:rsid w:val="7EAAC541"/>
    <w:rsid w:val="7EAC3CA5"/>
    <w:rsid w:val="7EAEA3BC"/>
    <w:rsid w:val="7EAFE08F"/>
    <w:rsid w:val="7EB15A64"/>
    <w:rsid w:val="7EB9C05E"/>
    <w:rsid w:val="7EC4F35B"/>
    <w:rsid w:val="7EC6577C"/>
    <w:rsid w:val="7EC84797"/>
    <w:rsid w:val="7EC9C840"/>
    <w:rsid w:val="7ECAA4FF"/>
    <w:rsid w:val="7ECD40A0"/>
    <w:rsid w:val="7ECF3F72"/>
    <w:rsid w:val="7ECF411D"/>
    <w:rsid w:val="7ED4D81C"/>
    <w:rsid w:val="7ED7ACBE"/>
    <w:rsid w:val="7ED84C1C"/>
    <w:rsid w:val="7ED91E75"/>
    <w:rsid w:val="7EDF4F8C"/>
    <w:rsid w:val="7EDF576F"/>
    <w:rsid w:val="7EE4DC3A"/>
    <w:rsid w:val="7EE7B91A"/>
    <w:rsid w:val="7EEC3788"/>
    <w:rsid w:val="7EEF8CFF"/>
    <w:rsid w:val="7EEFF7A3"/>
    <w:rsid w:val="7EF4C8C4"/>
    <w:rsid w:val="7EFBD807"/>
    <w:rsid w:val="7EFE52B0"/>
    <w:rsid w:val="7F03785B"/>
    <w:rsid w:val="7F097C96"/>
    <w:rsid w:val="7F0A2349"/>
    <w:rsid w:val="7F0D5D11"/>
    <w:rsid w:val="7F0E2CA1"/>
    <w:rsid w:val="7F107BD8"/>
    <w:rsid w:val="7F12CF0F"/>
    <w:rsid w:val="7F1F425F"/>
    <w:rsid w:val="7F2001BE"/>
    <w:rsid w:val="7F216EEB"/>
    <w:rsid w:val="7F21A556"/>
    <w:rsid w:val="7F226835"/>
    <w:rsid w:val="7F255D25"/>
    <w:rsid w:val="7F26DAEA"/>
    <w:rsid w:val="7F2B71C2"/>
    <w:rsid w:val="7F2C3A9D"/>
    <w:rsid w:val="7F301E1C"/>
    <w:rsid w:val="7F38EB15"/>
    <w:rsid w:val="7F395C08"/>
    <w:rsid w:val="7F3A53D4"/>
    <w:rsid w:val="7F3C81C7"/>
    <w:rsid w:val="7F452066"/>
    <w:rsid w:val="7F544FF7"/>
    <w:rsid w:val="7F56E39C"/>
    <w:rsid w:val="7F57B7D0"/>
    <w:rsid w:val="7F616B11"/>
    <w:rsid w:val="7F62D9C8"/>
    <w:rsid w:val="7F62FC04"/>
    <w:rsid w:val="7F6A6771"/>
    <w:rsid w:val="7F6E9322"/>
    <w:rsid w:val="7F6F4ECF"/>
    <w:rsid w:val="7F6FDC7B"/>
    <w:rsid w:val="7F706BD7"/>
    <w:rsid w:val="7F71580A"/>
    <w:rsid w:val="7F74DD83"/>
    <w:rsid w:val="7F75EB4E"/>
    <w:rsid w:val="7F7A6E05"/>
    <w:rsid w:val="7F7B5BED"/>
    <w:rsid w:val="7F859DDC"/>
    <w:rsid w:val="7F8EDBC3"/>
    <w:rsid w:val="7F960916"/>
    <w:rsid w:val="7F973822"/>
    <w:rsid w:val="7F985DF5"/>
    <w:rsid w:val="7F9A1622"/>
    <w:rsid w:val="7F9B77CA"/>
    <w:rsid w:val="7F9D9960"/>
    <w:rsid w:val="7F9F77C9"/>
    <w:rsid w:val="7FA0796D"/>
    <w:rsid w:val="7FA22C2B"/>
    <w:rsid w:val="7FA3D5B4"/>
    <w:rsid w:val="7FA7CEF3"/>
    <w:rsid w:val="7FA7DF23"/>
    <w:rsid w:val="7FA8A024"/>
    <w:rsid w:val="7FA9AEBD"/>
    <w:rsid w:val="7FAB6764"/>
    <w:rsid w:val="7FAD0608"/>
    <w:rsid w:val="7FAE1F13"/>
    <w:rsid w:val="7FB3A52D"/>
    <w:rsid w:val="7FB4FB14"/>
    <w:rsid w:val="7FB535DD"/>
    <w:rsid w:val="7FBA2A02"/>
    <w:rsid w:val="7FBCE52C"/>
    <w:rsid w:val="7FCBB8B0"/>
    <w:rsid w:val="7FCF7FCF"/>
    <w:rsid w:val="7FCFE169"/>
    <w:rsid w:val="7FD40B07"/>
    <w:rsid w:val="7FD43903"/>
    <w:rsid w:val="7FD450DB"/>
    <w:rsid w:val="7FD5F148"/>
    <w:rsid w:val="7FDA6130"/>
    <w:rsid w:val="7FDFE8DA"/>
    <w:rsid w:val="7FE6CBE3"/>
    <w:rsid w:val="7FE75BBA"/>
    <w:rsid w:val="7FE7AD74"/>
    <w:rsid w:val="7FED9200"/>
    <w:rsid w:val="7FEE60A2"/>
    <w:rsid w:val="7FF63C36"/>
    <w:rsid w:val="7FF7B683"/>
    <w:rsid w:val="7FFBCB52"/>
    <w:rsid w:val="7FFC723C"/>
    <w:rsid w:val="7FFC92EC"/>
    <w:rsid w:val="7FFD52BC"/>
    <w:rsid w:val="7FFD9EC9"/>
    <w:rsid w:val="7FFF1F46"/>
    <w:rsid w:val="7FFF6F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D530CD"/>
  <w15:chartTrackingRefBased/>
  <w15:docId w15:val="{E730DE61-96C7-4E18-8521-A43FB11DA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942"/>
    <w:pPr>
      <w:spacing w:after="200" w:line="276" w:lineRule="auto"/>
    </w:pPr>
    <w:rPr>
      <w:sz w:val="22"/>
      <w:szCs w:val="22"/>
      <w:lang w:val="en-GB" w:eastAsia="en-US"/>
    </w:rPr>
  </w:style>
  <w:style w:type="paragraph" w:styleId="Heading1">
    <w:name w:val="heading 1"/>
    <w:basedOn w:val="Normal"/>
    <w:next w:val="Heading2"/>
    <w:link w:val="Heading1Char"/>
    <w:qFormat/>
    <w:rsid w:val="00A268DA"/>
    <w:pPr>
      <w:keepNext/>
      <w:tabs>
        <w:tab w:val="left" w:pos="720"/>
      </w:tabs>
      <w:spacing w:before="240" w:after="120" w:line="240" w:lineRule="auto"/>
      <w:jc w:val="center"/>
      <w:outlineLvl w:val="0"/>
    </w:pPr>
    <w:rPr>
      <w:rFonts w:ascii="Times New Roman" w:eastAsia="Times New Roman" w:hAnsi="Times New Roman"/>
      <w:b/>
      <w:caps/>
      <w:kern w:val="1"/>
      <w:szCs w:val="24"/>
      <w:lang w:val="x-none" w:eastAsia="ar-SA"/>
    </w:rPr>
  </w:style>
  <w:style w:type="paragraph" w:styleId="Heading2">
    <w:name w:val="heading 2"/>
    <w:basedOn w:val="Normal"/>
    <w:next w:val="Normal"/>
    <w:link w:val="Heading2Char"/>
    <w:qFormat/>
    <w:rsid w:val="00A268DA"/>
    <w:pPr>
      <w:keepNext/>
      <w:tabs>
        <w:tab w:val="left" w:pos="720"/>
      </w:tabs>
      <w:spacing w:before="120" w:after="120" w:line="240" w:lineRule="auto"/>
      <w:jc w:val="center"/>
      <w:outlineLvl w:val="1"/>
    </w:pPr>
    <w:rPr>
      <w:rFonts w:ascii="Times New Roman" w:eastAsia="Times New Roman" w:hAnsi="Times New Roman"/>
      <w:b/>
      <w:bCs/>
      <w:i/>
      <w:iCs/>
      <w:kern w:val="1"/>
      <w:szCs w:val="24"/>
      <w:lang w:val="x-none" w:eastAsia="ar-SA"/>
    </w:rPr>
  </w:style>
  <w:style w:type="paragraph" w:styleId="Heading3">
    <w:name w:val="heading 3"/>
    <w:basedOn w:val="Normal"/>
    <w:next w:val="Normal"/>
    <w:link w:val="Heading3Char"/>
    <w:qFormat/>
    <w:rsid w:val="00A268DA"/>
    <w:pPr>
      <w:keepNext/>
      <w:tabs>
        <w:tab w:val="left" w:pos="567"/>
      </w:tabs>
      <w:spacing w:before="120" w:after="120" w:line="240" w:lineRule="auto"/>
      <w:jc w:val="center"/>
      <w:outlineLvl w:val="2"/>
    </w:pPr>
    <w:rPr>
      <w:rFonts w:ascii="Times New Roman" w:eastAsia="Times New Roman" w:hAnsi="Times New Roman"/>
      <w:i/>
      <w:iCs/>
      <w:kern w:val="1"/>
      <w:szCs w:val="24"/>
      <w:lang w:val="x-none" w:eastAsia="ar-SA"/>
    </w:rPr>
  </w:style>
  <w:style w:type="paragraph" w:styleId="Heading4">
    <w:name w:val="heading 4"/>
    <w:basedOn w:val="Normal"/>
    <w:next w:val="BodyText"/>
    <w:link w:val="Heading4Char"/>
    <w:qFormat/>
    <w:rsid w:val="00A268DA"/>
    <w:pPr>
      <w:keepNext/>
      <w:spacing w:before="120" w:after="120" w:line="240" w:lineRule="auto"/>
      <w:jc w:val="both"/>
      <w:outlineLvl w:val="3"/>
    </w:pPr>
    <w:rPr>
      <w:rFonts w:ascii="Times New Roman Bold" w:eastAsia="Arial Unicode MS" w:hAnsi="Times New Roman Bold"/>
      <w:b/>
      <w:bCs/>
      <w:i/>
      <w:kern w:val="1"/>
      <w:szCs w:val="24"/>
      <w:lang w:val="x-none" w:eastAsia="ar-SA"/>
    </w:rPr>
  </w:style>
  <w:style w:type="paragraph" w:styleId="Heading5">
    <w:name w:val="heading 5"/>
    <w:basedOn w:val="Normal"/>
    <w:next w:val="Normal"/>
    <w:link w:val="Heading5Char"/>
    <w:qFormat/>
    <w:rsid w:val="00A268DA"/>
    <w:pPr>
      <w:keepNext/>
      <w:tabs>
        <w:tab w:val="num" w:pos="1800"/>
      </w:tabs>
      <w:spacing w:before="120" w:after="120" w:line="240" w:lineRule="auto"/>
      <w:ind w:left="1800" w:hanging="360"/>
      <w:outlineLvl w:val="4"/>
    </w:pPr>
    <w:rPr>
      <w:rFonts w:ascii="Times New Roman" w:eastAsia="Times New Roman" w:hAnsi="Times New Roman"/>
      <w:bCs/>
      <w:i/>
      <w:kern w:val="1"/>
      <w:szCs w:val="26"/>
      <w:lang w:val="en-CA" w:eastAsia="ar-SA"/>
    </w:rPr>
  </w:style>
  <w:style w:type="paragraph" w:styleId="Heading6">
    <w:name w:val="heading 6"/>
    <w:basedOn w:val="Normal"/>
    <w:next w:val="Normal"/>
    <w:link w:val="Heading6Char"/>
    <w:qFormat/>
    <w:rsid w:val="00A268DA"/>
    <w:pPr>
      <w:keepNext/>
      <w:spacing w:before="120" w:after="240" w:line="240" w:lineRule="exact"/>
      <w:ind w:left="720"/>
      <w:jc w:val="both"/>
      <w:outlineLvl w:val="5"/>
    </w:pPr>
    <w:rPr>
      <w:rFonts w:ascii="Times New Roman" w:eastAsia="Times New Roman" w:hAnsi="Times New Roman"/>
      <w:kern w:val="1"/>
      <w:szCs w:val="24"/>
      <w:u w:val="single"/>
      <w:lang w:val="x-none" w:eastAsia="ar-SA"/>
    </w:rPr>
  </w:style>
  <w:style w:type="paragraph" w:styleId="Heading7">
    <w:name w:val="heading 7"/>
    <w:basedOn w:val="Normal"/>
    <w:next w:val="Normal"/>
    <w:link w:val="Heading7Char"/>
    <w:qFormat/>
    <w:rsid w:val="00A268DA"/>
    <w:pPr>
      <w:keepNext/>
      <w:spacing w:before="120" w:after="120" w:line="240" w:lineRule="auto"/>
      <w:jc w:val="right"/>
      <w:outlineLvl w:val="6"/>
    </w:pPr>
    <w:rPr>
      <w:rFonts w:ascii="Univers" w:eastAsia="Times New Roman" w:hAnsi="Univers"/>
      <w:b/>
      <w:kern w:val="1"/>
      <w:sz w:val="28"/>
      <w:szCs w:val="24"/>
      <w:lang w:val="x-none" w:eastAsia="ar-SA"/>
    </w:rPr>
  </w:style>
  <w:style w:type="paragraph" w:styleId="Heading8">
    <w:name w:val="heading 8"/>
    <w:basedOn w:val="Normal"/>
    <w:next w:val="Normal"/>
    <w:link w:val="Heading8Char"/>
    <w:qFormat/>
    <w:rsid w:val="00A268DA"/>
    <w:pPr>
      <w:keepNext/>
      <w:spacing w:before="120" w:after="120" w:line="240" w:lineRule="auto"/>
      <w:jc w:val="right"/>
      <w:outlineLvl w:val="7"/>
    </w:pPr>
    <w:rPr>
      <w:rFonts w:ascii="Univers" w:eastAsia="Times New Roman" w:hAnsi="Univers"/>
      <w:b/>
      <w:kern w:val="1"/>
      <w:sz w:val="32"/>
      <w:szCs w:val="24"/>
      <w:lang w:val="x-none" w:eastAsia="ar-SA"/>
    </w:rPr>
  </w:style>
  <w:style w:type="paragraph" w:styleId="Heading9">
    <w:name w:val="heading 9"/>
    <w:basedOn w:val="Normal"/>
    <w:next w:val="Normal"/>
    <w:link w:val="Heading9Char"/>
    <w:qFormat/>
    <w:rsid w:val="00A268DA"/>
    <w:pPr>
      <w:keepNext/>
      <w:spacing w:before="100" w:after="120" w:line="240" w:lineRule="auto"/>
      <w:jc w:val="both"/>
      <w:outlineLvl w:val="8"/>
    </w:pPr>
    <w:rPr>
      <w:rFonts w:ascii="Times New Roman" w:eastAsia="Times New Roman" w:hAnsi="Times New Roman"/>
      <w:i/>
      <w:iCs/>
      <w:kern w:val="1"/>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268DA"/>
    <w:rPr>
      <w:rFonts w:ascii="Times New Roman" w:eastAsia="Times New Roman" w:hAnsi="Times New Roman"/>
      <w:b/>
      <w:caps/>
      <w:kern w:val="1"/>
      <w:sz w:val="22"/>
      <w:szCs w:val="24"/>
      <w:lang w:eastAsia="ar-SA"/>
    </w:rPr>
  </w:style>
  <w:style w:type="character" w:customStyle="1" w:styleId="Heading2Char">
    <w:name w:val="Heading 2 Char"/>
    <w:link w:val="Heading2"/>
    <w:rsid w:val="00A268DA"/>
    <w:rPr>
      <w:rFonts w:ascii="Times New Roman" w:eastAsia="Times New Roman" w:hAnsi="Times New Roman"/>
      <w:b/>
      <w:bCs/>
      <w:i/>
      <w:iCs/>
      <w:kern w:val="1"/>
      <w:sz w:val="22"/>
      <w:szCs w:val="24"/>
      <w:lang w:eastAsia="ar-SA"/>
    </w:rPr>
  </w:style>
  <w:style w:type="character" w:customStyle="1" w:styleId="Heading3Char">
    <w:name w:val="Heading 3 Char"/>
    <w:link w:val="Heading3"/>
    <w:rsid w:val="00A268DA"/>
    <w:rPr>
      <w:rFonts w:ascii="Times New Roman" w:eastAsia="Times New Roman" w:hAnsi="Times New Roman"/>
      <w:i/>
      <w:iCs/>
      <w:kern w:val="1"/>
      <w:sz w:val="22"/>
      <w:szCs w:val="24"/>
      <w:lang w:eastAsia="ar-SA"/>
    </w:rPr>
  </w:style>
  <w:style w:type="character" w:customStyle="1" w:styleId="Heading4Char">
    <w:name w:val="Heading 4 Char"/>
    <w:link w:val="Heading4"/>
    <w:rsid w:val="00A268DA"/>
    <w:rPr>
      <w:rFonts w:ascii="Times New Roman Bold" w:eastAsia="Arial Unicode MS" w:hAnsi="Times New Roman Bold" w:cs="Arial"/>
      <w:b/>
      <w:bCs/>
      <w:i/>
      <w:kern w:val="1"/>
      <w:sz w:val="22"/>
      <w:szCs w:val="24"/>
      <w:lang w:eastAsia="ar-SA"/>
    </w:rPr>
  </w:style>
  <w:style w:type="character" w:customStyle="1" w:styleId="Heading5Char">
    <w:name w:val="Heading 5 Char"/>
    <w:link w:val="Heading5"/>
    <w:rsid w:val="00A268DA"/>
    <w:rPr>
      <w:rFonts w:ascii="Times New Roman" w:eastAsia="Times New Roman" w:hAnsi="Times New Roman"/>
      <w:bCs/>
      <w:i/>
      <w:kern w:val="1"/>
      <w:sz w:val="22"/>
      <w:szCs w:val="26"/>
      <w:lang w:val="en-CA" w:eastAsia="ar-SA"/>
    </w:rPr>
  </w:style>
  <w:style w:type="character" w:customStyle="1" w:styleId="Heading6Char">
    <w:name w:val="Heading 6 Char"/>
    <w:link w:val="Heading6"/>
    <w:rsid w:val="00A268DA"/>
    <w:rPr>
      <w:rFonts w:ascii="Times New Roman" w:eastAsia="Times New Roman" w:hAnsi="Times New Roman"/>
      <w:kern w:val="1"/>
      <w:sz w:val="22"/>
      <w:szCs w:val="24"/>
      <w:u w:val="single"/>
      <w:lang w:eastAsia="ar-SA"/>
    </w:rPr>
  </w:style>
  <w:style w:type="character" w:customStyle="1" w:styleId="Heading7Char">
    <w:name w:val="Heading 7 Char"/>
    <w:link w:val="Heading7"/>
    <w:rsid w:val="00A268DA"/>
    <w:rPr>
      <w:rFonts w:ascii="Univers" w:eastAsia="Times New Roman" w:hAnsi="Univers" w:cs="Univers"/>
      <w:b/>
      <w:kern w:val="1"/>
      <w:sz w:val="28"/>
      <w:szCs w:val="24"/>
      <w:lang w:eastAsia="ar-SA"/>
    </w:rPr>
  </w:style>
  <w:style w:type="character" w:customStyle="1" w:styleId="Heading8Char">
    <w:name w:val="Heading 8 Char"/>
    <w:link w:val="Heading8"/>
    <w:rsid w:val="00A268DA"/>
    <w:rPr>
      <w:rFonts w:ascii="Univers" w:eastAsia="Times New Roman" w:hAnsi="Univers" w:cs="Univers"/>
      <w:b/>
      <w:kern w:val="1"/>
      <w:sz w:val="32"/>
      <w:szCs w:val="24"/>
      <w:lang w:eastAsia="ar-SA"/>
    </w:rPr>
  </w:style>
  <w:style w:type="character" w:customStyle="1" w:styleId="Heading9Char">
    <w:name w:val="Heading 9 Char"/>
    <w:link w:val="Heading9"/>
    <w:rsid w:val="00A268DA"/>
    <w:rPr>
      <w:rFonts w:ascii="Times New Roman" w:eastAsia="Times New Roman" w:hAnsi="Times New Roman"/>
      <w:i/>
      <w:iCs/>
      <w:kern w:val="1"/>
      <w:sz w:val="22"/>
      <w:szCs w:val="24"/>
      <w:lang w:eastAsia="ar-SA"/>
    </w:rPr>
  </w:style>
  <w:style w:type="numbering" w:customStyle="1" w:styleId="NoList1">
    <w:name w:val="No List1"/>
    <w:next w:val="NoList"/>
    <w:uiPriority w:val="99"/>
    <w:semiHidden/>
    <w:unhideWhenUsed/>
    <w:rsid w:val="00A268DA"/>
  </w:style>
  <w:style w:type="character" w:customStyle="1" w:styleId="WW8Num1z0">
    <w:name w:val="WW8Num1z0"/>
    <w:rsid w:val="00A268DA"/>
    <w:rPr>
      <w:rFonts w:ascii="Symbol" w:hAnsi="Symbol" w:cs="Symbol"/>
    </w:rPr>
  </w:style>
  <w:style w:type="character" w:customStyle="1" w:styleId="WW8Num2z0">
    <w:name w:val="WW8Num2z0"/>
    <w:rsid w:val="00A268DA"/>
    <w:rPr>
      <w:rFonts w:ascii="Times New Roman" w:eastAsia="SimSun" w:hAnsi="Times New Roman" w:cs="Times New Roman"/>
    </w:rPr>
  </w:style>
  <w:style w:type="character" w:customStyle="1" w:styleId="WW8Num2z1">
    <w:name w:val="WW8Num2z1"/>
    <w:rsid w:val="00A268DA"/>
    <w:rPr>
      <w:rFonts w:ascii="Courier New" w:hAnsi="Courier New" w:cs="Courier New"/>
    </w:rPr>
  </w:style>
  <w:style w:type="character" w:customStyle="1" w:styleId="WW8Num2z2">
    <w:name w:val="WW8Num2z2"/>
    <w:rsid w:val="00A268DA"/>
    <w:rPr>
      <w:rFonts w:ascii="Wingdings" w:hAnsi="Wingdings" w:cs="Wingdings"/>
    </w:rPr>
  </w:style>
  <w:style w:type="character" w:customStyle="1" w:styleId="WW8Num3z0">
    <w:name w:val="WW8Num3z0"/>
    <w:rsid w:val="00A268DA"/>
    <w:rPr>
      <w:b/>
    </w:rPr>
  </w:style>
  <w:style w:type="character" w:customStyle="1" w:styleId="WW8Num4z0">
    <w:name w:val="WW8Num4z0"/>
    <w:rsid w:val="00A268DA"/>
    <w:rPr>
      <w:rFonts w:ascii="Times New Roman" w:eastAsia="SimSun" w:hAnsi="Times New Roman" w:cs="Times New Roman"/>
    </w:rPr>
  </w:style>
  <w:style w:type="character" w:customStyle="1" w:styleId="WW8Num5z0">
    <w:name w:val="WW8Num5z0"/>
    <w:rsid w:val="00A268DA"/>
    <w:rPr>
      <w:rFonts w:ascii="Symbol" w:eastAsia="Calibri" w:hAnsi="Symbol" w:cs="Times New Roman"/>
    </w:rPr>
  </w:style>
  <w:style w:type="character" w:customStyle="1" w:styleId="WW8Num6z0">
    <w:name w:val="WW8Num6z0"/>
    <w:rsid w:val="00A268DA"/>
    <w:rPr>
      <w:rFonts w:ascii="Arial" w:hAnsi="Arial" w:cs="Arial"/>
    </w:rPr>
  </w:style>
  <w:style w:type="character" w:customStyle="1" w:styleId="WW8Num6z1">
    <w:name w:val="WW8Num6z1"/>
    <w:rsid w:val="00A268DA"/>
    <w:rPr>
      <w:rFonts w:ascii="Courier New" w:hAnsi="Courier New" w:cs="Arial"/>
    </w:rPr>
  </w:style>
  <w:style w:type="character" w:customStyle="1" w:styleId="WW8Num6z2">
    <w:name w:val="WW8Num6z2"/>
    <w:rsid w:val="00A268DA"/>
    <w:rPr>
      <w:rFonts w:ascii="Wingdings" w:hAnsi="Wingdings" w:cs="Wingdings"/>
    </w:rPr>
  </w:style>
  <w:style w:type="character" w:customStyle="1" w:styleId="WW8Num6z3">
    <w:name w:val="WW8Num6z3"/>
    <w:rsid w:val="00A268DA"/>
  </w:style>
  <w:style w:type="character" w:customStyle="1" w:styleId="WW8Num6z4">
    <w:name w:val="WW8Num6z4"/>
    <w:rsid w:val="00A268DA"/>
  </w:style>
  <w:style w:type="character" w:customStyle="1" w:styleId="WW8Num6z5">
    <w:name w:val="WW8Num6z5"/>
    <w:rsid w:val="00A268DA"/>
  </w:style>
  <w:style w:type="character" w:customStyle="1" w:styleId="WW8Num6z6">
    <w:name w:val="WW8Num6z6"/>
    <w:rsid w:val="00A268DA"/>
  </w:style>
  <w:style w:type="character" w:customStyle="1" w:styleId="WW8Num6z7">
    <w:name w:val="WW8Num6z7"/>
    <w:rsid w:val="00A268DA"/>
  </w:style>
  <w:style w:type="character" w:customStyle="1" w:styleId="WW8Num6z8">
    <w:name w:val="WW8Num6z8"/>
    <w:rsid w:val="00A268DA"/>
  </w:style>
  <w:style w:type="character" w:customStyle="1" w:styleId="WW8Num7z0">
    <w:name w:val="WW8Num7z0"/>
    <w:rsid w:val="00A268DA"/>
    <w:rPr>
      <w:rFonts w:ascii="Symbol" w:hAnsi="Symbol" w:cs="Symbol"/>
    </w:rPr>
  </w:style>
  <w:style w:type="character" w:customStyle="1" w:styleId="WW8Num7z1">
    <w:name w:val="WW8Num7z1"/>
    <w:rsid w:val="00A268DA"/>
    <w:rPr>
      <w:rFonts w:ascii="Courier New" w:hAnsi="Courier New" w:cs="Courier New"/>
    </w:rPr>
  </w:style>
  <w:style w:type="character" w:customStyle="1" w:styleId="WW8Num7z2">
    <w:name w:val="WW8Num7z2"/>
    <w:rsid w:val="00A268DA"/>
    <w:rPr>
      <w:rFonts w:ascii="Wingdings" w:hAnsi="Wingdings" w:cs="Wingdings"/>
    </w:rPr>
  </w:style>
  <w:style w:type="character" w:customStyle="1" w:styleId="WW8Num7z3">
    <w:name w:val="WW8Num7z3"/>
    <w:rsid w:val="00A268DA"/>
    <w:rPr>
      <w:rFonts w:ascii="Symbol" w:hAnsi="Symbol" w:cs="Symbol" w:hint="default"/>
    </w:rPr>
  </w:style>
  <w:style w:type="character" w:customStyle="1" w:styleId="WW8Num8z0">
    <w:name w:val="WW8Num8z0"/>
    <w:rsid w:val="00A268DA"/>
    <w:rPr>
      <w:rFonts w:ascii="Times New Roman" w:eastAsia="SimSun" w:hAnsi="Times New Roman" w:cs="Times New Roman"/>
    </w:rPr>
  </w:style>
  <w:style w:type="character" w:customStyle="1" w:styleId="WW8Num9z0">
    <w:name w:val="WW8Num9z0"/>
    <w:rsid w:val="00A268DA"/>
    <w:rPr>
      <w:rFonts w:ascii="Times New Roman" w:eastAsia="SimSun" w:hAnsi="Times New Roman" w:cs="Times New Roman"/>
      <w:color w:val="000000"/>
      <w:kern w:val="1"/>
      <w:szCs w:val="22"/>
      <w:lang w:val="en-US" w:eastAsia="hi-IN" w:bidi="hi-IN"/>
    </w:rPr>
  </w:style>
  <w:style w:type="character" w:customStyle="1" w:styleId="WW8Num9z1">
    <w:name w:val="WW8Num9z1"/>
    <w:rsid w:val="00A268DA"/>
    <w:rPr>
      <w:rFonts w:ascii="Courier New" w:hAnsi="Courier New" w:cs="Courier New"/>
    </w:rPr>
  </w:style>
  <w:style w:type="character" w:customStyle="1" w:styleId="WW8Num9z2">
    <w:name w:val="WW8Num9z2"/>
    <w:rsid w:val="00A268DA"/>
    <w:rPr>
      <w:rFonts w:ascii="Wingdings" w:hAnsi="Wingdings" w:cs="Wingdings"/>
      <w:lang w:val="en-US"/>
    </w:rPr>
  </w:style>
  <w:style w:type="character" w:customStyle="1" w:styleId="WW8Num9z3">
    <w:name w:val="WW8Num9z3"/>
    <w:rsid w:val="00A268DA"/>
    <w:rPr>
      <w:rFonts w:ascii="Symbol" w:hAnsi="Symbol" w:cs="Symbol"/>
    </w:rPr>
  </w:style>
  <w:style w:type="character" w:customStyle="1" w:styleId="WW8Num9z4">
    <w:name w:val="WW8Num9z4"/>
    <w:rsid w:val="00A268DA"/>
  </w:style>
  <w:style w:type="character" w:customStyle="1" w:styleId="WW8Num9z5">
    <w:name w:val="WW8Num9z5"/>
    <w:rsid w:val="00A268DA"/>
  </w:style>
  <w:style w:type="character" w:customStyle="1" w:styleId="WW8Num9z6">
    <w:name w:val="WW8Num9z6"/>
    <w:rsid w:val="00A268DA"/>
  </w:style>
  <w:style w:type="character" w:customStyle="1" w:styleId="WW8Num9z7">
    <w:name w:val="WW8Num9z7"/>
    <w:rsid w:val="00A268DA"/>
  </w:style>
  <w:style w:type="character" w:customStyle="1" w:styleId="WW8Num9z8">
    <w:name w:val="WW8Num9z8"/>
    <w:rsid w:val="00A268DA"/>
  </w:style>
  <w:style w:type="character" w:customStyle="1" w:styleId="WW8Num10z0">
    <w:name w:val="WW8Num10z0"/>
    <w:rsid w:val="00A268DA"/>
    <w:rPr>
      <w:rFonts w:ascii="Cambria" w:eastAsia="Cambria" w:hAnsi="Cambria" w:cs="Times New Roman"/>
      <w:b/>
      <w:bCs/>
      <w:i/>
      <w:iCs/>
      <w:color w:val="000000"/>
      <w:kern w:val="1"/>
      <w:szCs w:val="22"/>
      <w:lang w:val="en-US" w:eastAsia="hi-IN" w:bidi="hi-IN"/>
    </w:rPr>
  </w:style>
  <w:style w:type="character" w:customStyle="1" w:styleId="WW8Num10z1">
    <w:name w:val="WW8Num10z1"/>
    <w:rsid w:val="00A268DA"/>
    <w:rPr>
      <w:rFonts w:ascii="Courier New" w:hAnsi="Courier New" w:cs="Arial"/>
    </w:rPr>
  </w:style>
  <w:style w:type="character" w:customStyle="1" w:styleId="WW8Num10z2">
    <w:name w:val="WW8Num10z2"/>
    <w:rsid w:val="00A268DA"/>
    <w:rPr>
      <w:rFonts w:ascii="Wingdings" w:hAnsi="Wingdings" w:cs="Wingdings"/>
      <w:lang w:val="en-US"/>
    </w:rPr>
  </w:style>
  <w:style w:type="character" w:customStyle="1" w:styleId="WW8Num10z3">
    <w:name w:val="WW8Num10z3"/>
    <w:rsid w:val="00A268DA"/>
    <w:rPr>
      <w:rFonts w:ascii="Symbol" w:hAnsi="Symbol" w:cs="Symbol"/>
    </w:rPr>
  </w:style>
  <w:style w:type="character" w:customStyle="1" w:styleId="WW8Num10z4">
    <w:name w:val="WW8Num10z4"/>
    <w:rsid w:val="00A268DA"/>
  </w:style>
  <w:style w:type="character" w:customStyle="1" w:styleId="WW8Num10z5">
    <w:name w:val="WW8Num10z5"/>
    <w:rsid w:val="00A268DA"/>
  </w:style>
  <w:style w:type="character" w:customStyle="1" w:styleId="WW8Num10z6">
    <w:name w:val="WW8Num10z6"/>
    <w:rsid w:val="00A268DA"/>
  </w:style>
  <w:style w:type="character" w:customStyle="1" w:styleId="WW8Num10z7">
    <w:name w:val="WW8Num10z7"/>
    <w:rsid w:val="00A268DA"/>
  </w:style>
  <w:style w:type="character" w:customStyle="1" w:styleId="WW8Num10z8">
    <w:name w:val="WW8Num10z8"/>
    <w:rsid w:val="00A268DA"/>
  </w:style>
  <w:style w:type="character" w:customStyle="1" w:styleId="WW8Num11z0">
    <w:name w:val="WW8Num11z0"/>
    <w:rsid w:val="00A268DA"/>
    <w:rPr>
      <w:rFonts w:ascii="Courier New" w:eastAsia="SimSun" w:hAnsi="Courier New" w:cs="Courier New" w:hint="default"/>
      <w:color w:val="000000"/>
      <w:kern w:val="1"/>
      <w:szCs w:val="22"/>
      <w:shd w:val="clear" w:color="auto" w:fill="auto"/>
      <w:lang w:val="en-US" w:eastAsia="hi-IN" w:bidi="hi-IN"/>
    </w:rPr>
  </w:style>
  <w:style w:type="character" w:customStyle="1" w:styleId="WW8Num11z1">
    <w:name w:val="WW8Num11z1"/>
    <w:rsid w:val="00A268DA"/>
  </w:style>
  <w:style w:type="character" w:customStyle="1" w:styleId="WW8Num11z2">
    <w:name w:val="WW8Num11z2"/>
    <w:rsid w:val="00A268DA"/>
    <w:rPr>
      <w:lang w:val="en-US"/>
    </w:rPr>
  </w:style>
  <w:style w:type="character" w:customStyle="1" w:styleId="WW8Num11z3">
    <w:name w:val="WW8Num11z3"/>
    <w:rsid w:val="00A268DA"/>
  </w:style>
  <w:style w:type="character" w:customStyle="1" w:styleId="WW8Num11z4">
    <w:name w:val="WW8Num11z4"/>
    <w:rsid w:val="00A268DA"/>
  </w:style>
  <w:style w:type="character" w:customStyle="1" w:styleId="WW8Num11z5">
    <w:name w:val="WW8Num11z5"/>
    <w:rsid w:val="00A268DA"/>
  </w:style>
  <w:style w:type="character" w:customStyle="1" w:styleId="WW8Num11z6">
    <w:name w:val="WW8Num11z6"/>
    <w:rsid w:val="00A268DA"/>
  </w:style>
  <w:style w:type="character" w:customStyle="1" w:styleId="WW8Num11z7">
    <w:name w:val="WW8Num11z7"/>
    <w:rsid w:val="00A268DA"/>
  </w:style>
  <w:style w:type="character" w:customStyle="1" w:styleId="WW8Num11z8">
    <w:name w:val="WW8Num11z8"/>
    <w:rsid w:val="00A268DA"/>
  </w:style>
  <w:style w:type="character" w:customStyle="1" w:styleId="WW8Num12z0">
    <w:name w:val="WW8Num12z0"/>
    <w:rsid w:val="00A268DA"/>
    <w:rPr>
      <w:rFonts w:ascii="Symbol" w:hAnsi="Symbol" w:cs="Symbol"/>
      <w:b/>
      <w:bCs/>
      <w:i/>
      <w:iCs/>
      <w:lang w:val="en-US"/>
    </w:rPr>
  </w:style>
  <w:style w:type="character" w:customStyle="1" w:styleId="WW8Num12z1">
    <w:name w:val="WW8Num12z1"/>
    <w:rsid w:val="00A268DA"/>
  </w:style>
  <w:style w:type="character" w:customStyle="1" w:styleId="WW8Num12z2">
    <w:name w:val="WW8Num12z2"/>
    <w:rsid w:val="00A268DA"/>
  </w:style>
  <w:style w:type="character" w:customStyle="1" w:styleId="WW8Num12z3">
    <w:name w:val="WW8Num12z3"/>
    <w:rsid w:val="00A268DA"/>
  </w:style>
  <w:style w:type="character" w:customStyle="1" w:styleId="WW8Num12z4">
    <w:name w:val="WW8Num12z4"/>
    <w:rsid w:val="00A268DA"/>
  </w:style>
  <w:style w:type="character" w:customStyle="1" w:styleId="WW8Num12z5">
    <w:name w:val="WW8Num12z5"/>
    <w:rsid w:val="00A268DA"/>
  </w:style>
  <w:style w:type="character" w:customStyle="1" w:styleId="WW8Num12z6">
    <w:name w:val="WW8Num12z6"/>
    <w:rsid w:val="00A268DA"/>
  </w:style>
  <w:style w:type="character" w:customStyle="1" w:styleId="WW8Num12z7">
    <w:name w:val="WW8Num12z7"/>
    <w:rsid w:val="00A268DA"/>
  </w:style>
  <w:style w:type="character" w:customStyle="1" w:styleId="WW8Num12z8">
    <w:name w:val="WW8Num12z8"/>
    <w:rsid w:val="00A268DA"/>
  </w:style>
  <w:style w:type="character" w:customStyle="1" w:styleId="WW8Num13z0">
    <w:name w:val="WW8Num13z0"/>
    <w:rsid w:val="00A268DA"/>
    <w:rPr>
      <w:rFonts w:ascii="Symbol" w:hAnsi="Symbol" w:cs="Symbol"/>
      <w:b/>
      <w:bCs/>
      <w:i/>
      <w:iCs/>
      <w:lang w:val="en-US"/>
    </w:rPr>
  </w:style>
  <w:style w:type="character" w:customStyle="1" w:styleId="WW8Num13z1">
    <w:name w:val="WW8Num13z1"/>
    <w:rsid w:val="00A268DA"/>
    <w:rPr>
      <w:rFonts w:ascii="Courier New" w:hAnsi="Courier New" w:cs="Arial"/>
    </w:rPr>
  </w:style>
  <w:style w:type="character" w:customStyle="1" w:styleId="WW8Num13z2">
    <w:name w:val="WW8Num13z2"/>
    <w:rsid w:val="00A268DA"/>
    <w:rPr>
      <w:rFonts w:ascii="Wingdings" w:hAnsi="Wingdings" w:cs="Wingdings"/>
    </w:rPr>
  </w:style>
  <w:style w:type="character" w:customStyle="1" w:styleId="WW8Num13z3">
    <w:name w:val="WW8Num13z3"/>
    <w:rsid w:val="00A268DA"/>
  </w:style>
  <w:style w:type="character" w:customStyle="1" w:styleId="WW8Num13z4">
    <w:name w:val="WW8Num13z4"/>
    <w:rsid w:val="00A268DA"/>
  </w:style>
  <w:style w:type="character" w:customStyle="1" w:styleId="WW8Num13z5">
    <w:name w:val="WW8Num13z5"/>
    <w:rsid w:val="00A268DA"/>
  </w:style>
  <w:style w:type="character" w:customStyle="1" w:styleId="WW8Num13z6">
    <w:name w:val="WW8Num13z6"/>
    <w:rsid w:val="00A268DA"/>
  </w:style>
  <w:style w:type="character" w:customStyle="1" w:styleId="WW8Num13z7">
    <w:name w:val="WW8Num13z7"/>
    <w:rsid w:val="00A268DA"/>
  </w:style>
  <w:style w:type="character" w:customStyle="1" w:styleId="WW8Num13z8">
    <w:name w:val="WW8Num13z8"/>
    <w:rsid w:val="00A268DA"/>
  </w:style>
  <w:style w:type="character" w:customStyle="1" w:styleId="WW8Num14z0">
    <w:name w:val="WW8Num14z0"/>
    <w:rsid w:val="00A268DA"/>
    <w:rPr>
      <w:rFonts w:ascii="Symbol" w:hAnsi="Symbol" w:cs="Symbol"/>
      <w:b/>
      <w:bCs/>
      <w:i/>
      <w:iCs/>
      <w:lang w:val="en-US"/>
    </w:rPr>
  </w:style>
  <w:style w:type="character" w:customStyle="1" w:styleId="WW8Num14z1">
    <w:name w:val="WW8Num14z1"/>
    <w:rsid w:val="00A268DA"/>
    <w:rPr>
      <w:rFonts w:ascii="Courier New" w:hAnsi="Courier New" w:cs="Courier New"/>
    </w:rPr>
  </w:style>
  <w:style w:type="character" w:customStyle="1" w:styleId="WW8Num14z2">
    <w:name w:val="WW8Num14z2"/>
    <w:rsid w:val="00A268DA"/>
    <w:rPr>
      <w:rFonts w:ascii="Wingdings" w:hAnsi="Wingdings" w:cs="Wingdings"/>
    </w:rPr>
  </w:style>
  <w:style w:type="character" w:customStyle="1" w:styleId="WW8Num14z3">
    <w:name w:val="WW8Num14z3"/>
    <w:rsid w:val="00A268DA"/>
  </w:style>
  <w:style w:type="character" w:customStyle="1" w:styleId="WW8Num14z4">
    <w:name w:val="WW8Num14z4"/>
    <w:rsid w:val="00A268DA"/>
  </w:style>
  <w:style w:type="character" w:customStyle="1" w:styleId="WW8Num14z5">
    <w:name w:val="WW8Num14z5"/>
    <w:rsid w:val="00A268DA"/>
  </w:style>
  <w:style w:type="character" w:customStyle="1" w:styleId="WW8Num14z6">
    <w:name w:val="WW8Num14z6"/>
    <w:rsid w:val="00A268DA"/>
  </w:style>
  <w:style w:type="character" w:customStyle="1" w:styleId="WW8Num14z7">
    <w:name w:val="WW8Num14z7"/>
    <w:rsid w:val="00A268DA"/>
  </w:style>
  <w:style w:type="character" w:customStyle="1" w:styleId="WW8Num14z8">
    <w:name w:val="WW8Num14z8"/>
    <w:rsid w:val="00A268DA"/>
  </w:style>
  <w:style w:type="character" w:customStyle="1" w:styleId="WW8Num15z0">
    <w:name w:val="WW8Num15z0"/>
    <w:rsid w:val="00A268DA"/>
    <w:rPr>
      <w:lang w:val="en-US"/>
    </w:rPr>
  </w:style>
  <w:style w:type="character" w:customStyle="1" w:styleId="WW8Num15z1">
    <w:name w:val="WW8Num15z1"/>
    <w:rsid w:val="00A268DA"/>
  </w:style>
  <w:style w:type="character" w:customStyle="1" w:styleId="WW8Num15z2">
    <w:name w:val="WW8Num15z2"/>
    <w:rsid w:val="00A268DA"/>
  </w:style>
  <w:style w:type="character" w:customStyle="1" w:styleId="WW8Num15z3">
    <w:name w:val="WW8Num15z3"/>
    <w:rsid w:val="00A268DA"/>
  </w:style>
  <w:style w:type="character" w:customStyle="1" w:styleId="WW8Num15z4">
    <w:name w:val="WW8Num15z4"/>
    <w:rsid w:val="00A268DA"/>
  </w:style>
  <w:style w:type="character" w:customStyle="1" w:styleId="WW8Num15z5">
    <w:name w:val="WW8Num15z5"/>
    <w:rsid w:val="00A268DA"/>
  </w:style>
  <w:style w:type="character" w:customStyle="1" w:styleId="WW8Num15z6">
    <w:name w:val="WW8Num15z6"/>
    <w:rsid w:val="00A268DA"/>
  </w:style>
  <w:style w:type="character" w:customStyle="1" w:styleId="WW8Num15z7">
    <w:name w:val="WW8Num15z7"/>
    <w:rsid w:val="00A268DA"/>
  </w:style>
  <w:style w:type="character" w:customStyle="1" w:styleId="WW8Num15z8">
    <w:name w:val="WW8Num15z8"/>
    <w:rsid w:val="00A268DA"/>
  </w:style>
  <w:style w:type="character" w:customStyle="1" w:styleId="WW8Num1z1">
    <w:name w:val="WW8Num1z1"/>
    <w:rsid w:val="00A268DA"/>
    <w:rPr>
      <w:rFonts w:ascii="Courier New" w:hAnsi="Courier New" w:cs="Courier New"/>
    </w:rPr>
  </w:style>
  <w:style w:type="character" w:customStyle="1" w:styleId="WW8Num1z2">
    <w:name w:val="WW8Num1z2"/>
    <w:rsid w:val="00A268DA"/>
    <w:rPr>
      <w:rFonts w:ascii="Wingdings" w:hAnsi="Wingdings" w:cs="Wingdings"/>
    </w:rPr>
  </w:style>
  <w:style w:type="character" w:customStyle="1" w:styleId="WW8Num2z3">
    <w:name w:val="WW8Num2z3"/>
    <w:rsid w:val="00A268DA"/>
    <w:rPr>
      <w:rFonts w:ascii="Symbol" w:hAnsi="Symbol" w:cs="Symbol"/>
    </w:rPr>
  </w:style>
  <w:style w:type="character" w:customStyle="1" w:styleId="WW8Num4z1">
    <w:name w:val="WW8Num4z1"/>
    <w:rsid w:val="00A268DA"/>
    <w:rPr>
      <w:rFonts w:ascii="Courier New" w:hAnsi="Courier New" w:cs="Courier New"/>
    </w:rPr>
  </w:style>
  <w:style w:type="character" w:customStyle="1" w:styleId="WW8Num4z2">
    <w:name w:val="WW8Num4z2"/>
    <w:rsid w:val="00A268DA"/>
    <w:rPr>
      <w:rFonts w:ascii="Wingdings" w:hAnsi="Wingdings" w:cs="Wingdings"/>
    </w:rPr>
  </w:style>
  <w:style w:type="character" w:customStyle="1" w:styleId="WW8Num4z3">
    <w:name w:val="WW8Num4z3"/>
    <w:rsid w:val="00A268DA"/>
    <w:rPr>
      <w:rFonts w:ascii="Symbol" w:hAnsi="Symbol" w:cs="Symbol"/>
    </w:rPr>
  </w:style>
  <w:style w:type="character" w:customStyle="1" w:styleId="WW8Num4z4">
    <w:name w:val="WW8Num4z4"/>
    <w:rsid w:val="00A268DA"/>
  </w:style>
  <w:style w:type="character" w:customStyle="1" w:styleId="WW8Num4z5">
    <w:name w:val="WW8Num4z5"/>
    <w:rsid w:val="00A268DA"/>
  </w:style>
  <w:style w:type="character" w:customStyle="1" w:styleId="WW8Num4z6">
    <w:name w:val="WW8Num4z6"/>
    <w:rsid w:val="00A268DA"/>
  </w:style>
  <w:style w:type="character" w:customStyle="1" w:styleId="WW8Num4z7">
    <w:name w:val="WW8Num4z7"/>
    <w:rsid w:val="00A268DA"/>
  </w:style>
  <w:style w:type="character" w:customStyle="1" w:styleId="WW8Num4z8">
    <w:name w:val="WW8Num4z8"/>
    <w:rsid w:val="00A268DA"/>
  </w:style>
  <w:style w:type="character" w:customStyle="1" w:styleId="WW8Num5z1">
    <w:name w:val="WW8Num5z1"/>
    <w:rsid w:val="00A268DA"/>
    <w:rPr>
      <w:rFonts w:ascii="Courier New" w:hAnsi="Courier New" w:cs="Courier New"/>
    </w:rPr>
  </w:style>
  <w:style w:type="character" w:customStyle="1" w:styleId="WW8Num5z2">
    <w:name w:val="WW8Num5z2"/>
    <w:rsid w:val="00A268DA"/>
    <w:rPr>
      <w:rFonts w:ascii="Wingdings" w:hAnsi="Wingdings" w:cs="Wingdings"/>
    </w:rPr>
  </w:style>
  <w:style w:type="character" w:customStyle="1" w:styleId="WW8Num5z3">
    <w:name w:val="WW8Num5z3"/>
    <w:rsid w:val="00A268DA"/>
    <w:rPr>
      <w:rFonts w:ascii="Symbol" w:hAnsi="Symbol" w:cs="Symbol"/>
    </w:rPr>
  </w:style>
  <w:style w:type="character" w:customStyle="1" w:styleId="WW8Num5z4">
    <w:name w:val="WW8Num5z4"/>
    <w:rsid w:val="00A268DA"/>
  </w:style>
  <w:style w:type="character" w:customStyle="1" w:styleId="WW8Num5z5">
    <w:name w:val="WW8Num5z5"/>
    <w:rsid w:val="00A268DA"/>
  </w:style>
  <w:style w:type="character" w:customStyle="1" w:styleId="WW8Num5z6">
    <w:name w:val="WW8Num5z6"/>
    <w:rsid w:val="00A268DA"/>
  </w:style>
  <w:style w:type="character" w:customStyle="1" w:styleId="WW8Num5z7">
    <w:name w:val="WW8Num5z7"/>
    <w:rsid w:val="00A268DA"/>
  </w:style>
  <w:style w:type="character" w:customStyle="1" w:styleId="WW8Num5z8">
    <w:name w:val="WW8Num5z8"/>
    <w:rsid w:val="00A268DA"/>
  </w:style>
  <w:style w:type="character" w:customStyle="1" w:styleId="WW8Num8z1">
    <w:name w:val="WW8Num8z1"/>
    <w:rsid w:val="00A268DA"/>
    <w:rPr>
      <w:rFonts w:ascii="Courier New" w:hAnsi="Courier New" w:cs="Courier New"/>
    </w:rPr>
  </w:style>
  <w:style w:type="character" w:customStyle="1" w:styleId="WW8Num8z2">
    <w:name w:val="WW8Num8z2"/>
    <w:rsid w:val="00A268DA"/>
    <w:rPr>
      <w:rFonts w:ascii="Wingdings" w:hAnsi="Wingdings" w:cs="Wingdings"/>
    </w:rPr>
  </w:style>
  <w:style w:type="character" w:customStyle="1" w:styleId="WW8Num8z3">
    <w:name w:val="WW8Num8z3"/>
    <w:rsid w:val="00A268DA"/>
    <w:rPr>
      <w:rFonts w:ascii="Symbol" w:hAnsi="Symbol" w:cs="Symbol"/>
    </w:rPr>
  </w:style>
  <w:style w:type="character" w:customStyle="1" w:styleId="WW8Num8z4">
    <w:name w:val="WW8Num8z4"/>
    <w:rsid w:val="00A268DA"/>
  </w:style>
  <w:style w:type="character" w:customStyle="1" w:styleId="WW8Num8z5">
    <w:name w:val="WW8Num8z5"/>
    <w:rsid w:val="00A268DA"/>
  </w:style>
  <w:style w:type="character" w:customStyle="1" w:styleId="WW8Num8z6">
    <w:name w:val="WW8Num8z6"/>
    <w:rsid w:val="00A268DA"/>
  </w:style>
  <w:style w:type="character" w:customStyle="1" w:styleId="WW8Num8z7">
    <w:name w:val="WW8Num8z7"/>
    <w:rsid w:val="00A268DA"/>
  </w:style>
  <w:style w:type="character" w:customStyle="1" w:styleId="WW8Num8z8">
    <w:name w:val="WW8Num8z8"/>
    <w:rsid w:val="00A268DA"/>
  </w:style>
  <w:style w:type="character" w:customStyle="1" w:styleId="WW8Num16z0">
    <w:name w:val="WW8Num16z0"/>
    <w:rsid w:val="00A268DA"/>
    <w:rPr>
      <w:rFonts w:eastAsia="Cambria"/>
    </w:rPr>
  </w:style>
  <w:style w:type="character" w:customStyle="1" w:styleId="WW8Num16z1">
    <w:name w:val="WW8Num16z1"/>
    <w:rsid w:val="00A268DA"/>
  </w:style>
  <w:style w:type="character" w:customStyle="1" w:styleId="WW8Num16z2">
    <w:name w:val="WW8Num16z2"/>
    <w:rsid w:val="00A268DA"/>
  </w:style>
  <w:style w:type="character" w:customStyle="1" w:styleId="WW8Num16z3">
    <w:name w:val="WW8Num16z3"/>
    <w:rsid w:val="00A268DA"/>
  </w:style>
  <w:style w:type="character" w:customStyle="1" w:styleId="WW8Num16z4">
    <w:name w:val="WW8Num16z4"/>
    <w:rsid w:val="00A268DA"/>
  </w:style>
  <w:style w:type="character" w:customStyle="1" w:styleId="WW8Num16z5">
    <w:name w:val="WW8Num16z5"/>
    <w:rsid w:val="00A268DA"/>
  </w:style>
  <w:style w:type="character" w:customStyle="1" w:styleId="WW8Num16z6">
    <w:name w:val="WW8Num16z6"/>
    <w:rsid w:val="00A268DA"/>
  </w:style>
  <w:style w:type="character" w:customStyle="1" w:styleId="WW8Num16z7">
    <w:name w:val="WW8Num16z7"/>
    <w:rsid w:val="00A268DA"/>
  </w:style>
  <w:style w:type="character" w:customStyle="1" w:styleId="WW8Num16z8">
    <w:name w:val="WW8Num16z8"/>
    <w:rsid w:val="00A268DA"/>
  </w:style>
  <w:style w:type="character" w:customStyle="1" w:styleId="WW8Num17z0">
    <w:name w:val="WW8Num17z0"/>
    <w:rsid w:val="00A268DA"/>
    <w:rPr>
      <w:rFonts w:ascii="Symbol" w:hAnsi="Symbol" w:cs="Symbol"/>
    </w:rPr>
  </w:style>
  <w:style w:type="character" w:customStyle="1" w:styleId="WW8Num17z1">
    <w:name w:val="WW8Num17z1"/>
    <w:rsid w:val="00A268DA"/>
    <w:rPr>
      <w:rFonts w:ascii="Courier New" w:hAnsi="Courier New" w:cs="Courier New"/>
    </w:rPr>
  </w:style>
  <w:style w:type="character" w:customStyle="1" w:styleId="WW8Num17z2">
    <w:name w:val="WW8Num17z2"/>
    <w:rsid w:val="00A268DA"/>
    <w:rPr>
      <w:rFonts w:ascii="Wingdings" w:hAnsi="Wingdings" w:cs="Wingdings"/>
    </w:rPr>
  </w:style>
  <w:style w:type="character" w:customStyle="1" w:styleId="WW8Num17z3">
    <w:name w:val="WW8Num17z3"/>
    <w:rsid w:val="00A268DA"/>
  </w:style>
  <w:style w:type="character" w:customStyle="1" w:styleId="WW8Num17z4">
    <w:name w:val="WW8Num17z4"/>
    <w:rsid w:val="00A268DA"/>
  </w:style>
  <w:style w:type="character" w:customStyle="1" w:styleId="WW8Num17z5">
    <w:name w:val="WW8Num17z5"/>
    <w:rsid w:val="00A268DA"/>
  </w:style>
  <w:style w:type="character" w:customStyle="1" w:styleId="WW8Num17z6">
    <w:name w:val="WW8Num17z6"/>
    <w:rsid w:val="00A268DA"/>
  </w:style>
  <w:style w:type="character" w:customStyle="1" w:styleId="WW8Num17z7">
    <w:name w:val="WW8Num17z7"/>
    <w:rsid w:val="00A268DA"/>
  </w:style>
  <w:style w:type="character" w:customStyle="1" w:styleId="WW8Num17z8">
    <w:name w:val="WW8Num17z8"/>
    <w:rsid w:val="00A268DA"/>
  </w:style>
  <w:style w:type="character" w:customStyle="1" w:styleId="WW8Num18z0">
    <w:name w:val="WW8Num18z0"/>
    <w:rsid w:val="00A268DA"/>
    <w:rPr>
      <w:rFonts w:ascii="Wingdings" w:eastAsia="Cambria" w:hAnsi="Wingdings" w:cs="Times New Roman"/>
    </w:rPr>
  </w:style>
  <w:style w:type="character" w:customStyle="1" w:styleId="WW8Num19z0">
    <w:name w:val="WW8Num19z0"/>
    <w:rsid w:val="00A268DA"/>
    <w:rPr>
      <w:rFonts w:ascii="Times New Roman" w:eastAsia="SimSun" w:hAnsi="Times New Roman" w:cs="Angsana New"/>
    </w:rPr>
  </w:style>
  <w:style w:type="character" w:customStyle="1" w:styleId="WW8Num19z1">
    <w:name w:val="WW8Num19z1"/>
    <w:rsid w:val="00A268DA"/>
    <w:rPr>
      <w:rFonts w:ascii="Courier New" w:hAnsi="Courier New" w:cs="Courier New"/>
    </w:rPr>
  </w:style>
  <w:style w:type="character" w:customStyle="1" w:styleId="WW8Num19z2">
    <w:name w:val="WW8Num19z2"/>
    <w:rsid w:val="00A268DA"/>
    <w:rPr>
      <w:rFonts w:ascii="Wingdings" w:hAnsi="Wingdings" w:cs="Wingdings"/>
    </w:rPr>
  </w:style>
  <w:style w:type="character" w:customStyle="1" w:styleId="WW8Num19z3">
    <w:name w:val="WW8Num19z3"/>
    <w:rsid w:val="00A268DA"/>
    <w:rPr>
      <w:rFonts w:ascii="Symbol" w:hAnsi="Symbol" w:cs="Symbol"/>
    </w:rPr>
  </w:style>
  <w:style w:type="character" w:customStyle="1" w:styleId="WW8Num19z4">
    <w:name w:val="WW8Num19z4"/>
    <w:rsid w:val="00A268DA"/>
  </w:style>
  <w:style w:type="character" w:customStyle="1" w:styleId="WW8Num19z5">
    <w:name w:val="WW8Num19z5"/>
    <w:rsid w:val="00A268DA"/>
  </w:style>
  <w:style w:type="character" w:customStyle="1" w:styleId="WW8Num19z6">
    <w:name w:val="WW8Num19z6"/>
    <w:rsid w:val="00A268DA"/>
  </w:style>
  <w:style w:type="character" w:customStyle="1" w:styleId="WW8Num19z7">
    <w:name w:val="WW8Num19z7"/>
    <w:rsid w:val="00A268DA"/>
  </w:style>
  <w:style w:type="character" w:customStyle="1" w:styleId="WW8Num19z8">
    <w:name w:val="WW8Num19z8"/>
    <w:rsid w:val="00A268DA"/>
  </w:style>
  <w:style w:type="character" w:customStyle="1" w:styleId="WW8Num20z0">
    <w:name w:val="WW8Num20z0"/>
    <w:rsid w:val="00A268DA"/>
    <w:rPr>
      <w:rFonts w:ascii="Symbol" w:hAnsi="Symbol" w:cs="Symbol"/>
    </w:rPr>
  </w:style>
  <w:style w:type="character" w:customStyle="1" w:styleId="WW8Num20z1">
    <w:name w:val="WW8Num20z1"/>
    <w:rsid w:val="00A268DA"/>
    <w:rPr>
      <w:rFonts w:ascii="Courier New" w:hAnsi="Courier New" w:cs="Courier New"/>
    </w:rPr>
  </w:style>
  <w:style w:type="character" w:customStyle="1" w:styleId="WW8Num20z2">
    <w:name w:val="WW8Num20z2"/>
    <w:rsid w:val="00A268DA"/>
    <w:rPr>
      <w:rFonts w:ascii="Wingdings" w:hAnsi="Wingdings" w:cs="Wingdings"/>
    </w:rPr>
  </w:style>
  <w:style w:type="character" w:customStyle="1" w:styleId="WW8Num20z3">
    <w:name w:val="WW8Num20z3"/>
    <w:rsid w:val="00A268DA"/>
    <w:rPr>
      <w:rFonts w:ascii="Symbol" w:hAnsi="Symbol" w:cs="Symbol" w:hint="default"/>
      <w:color w:val="auto"/>
      <w:sz w:val="28"/>
    </w:rPr>
  </w:style>
  <w:style w:type="character" w:customStyle="1" w:styleId="WW8Num21z0">
    <w:name w:val="WW8Num21z0"/>
    <w:rsid w:val="00A268DA"/>
    <w:rPr>
      <w:rFonts w:ascii="Symbol" w:hAnsi="Symbol" w:cs="Symbol"/>
    </w:rPr>
  </w:style>
  <w:style w:type="character" w:customStyle="1" w:styleId="WW8Num21z1">
    <w:name w:val="WW8Num21z1"/>
    <w:rsid w:val="00A268DA"/>
    <w:rPr>
      <w:rFonts w:ascii="Courier New" w:hAnsi="Courier New" w:cs="Courier New"/>
    </w:rPr>
  </w:style>
  <w:style w:type="character" w:customStyle="1" w:styleId="WW8Num21z2">
    <w:name w:val="WW8Num21z2"/>
    <w:rsid w:val="00A268DA"/>
    <w:rPr>
      <w:rFonts w:ascii="Wingdings" w:hAnsi="Wingdings" w:cs="Wingdings"/>
    </w:rPr>
  </w:style>
  <w:style w:type="character" w:customStyle="1" w:styleId="WW8Num21z3">
    <w:name w:val="WW8Num21z3"/>
    <w:rsid w:val="00A268DA"/>
    <w:rPr>
      <w:rFonts w:ascii="Symbol" w:hAnsi="Symbol" w:cs="Symbol" w:hint="default"/>
      <w:color w:val="auto"/>
      <w:sz w:val="28"/>
    </w:rPr>
  </w:style>
  <w:style w:type="character" w:customStyle="1" w:styleId="WW8Num22z0">
    <w:name w:val="WW8Num22z0"/>
    <w:rsid w:val="00A268DA"/>
    <w:rPr>
      <w:rFonts w:hint="default"/>
    </w:rPr>
  </w:style>
  <w:style w:type="character" w:customStyle="1" w:styleId="WW8Num22z1">
    <w:name w:val="WW8Num22z1"/>
    <w:rsid w:val="00A268DA"/>
  </w:style>
  <w:style w:type="character" w:customStyle="1" w:styleId="WW8Num22z2">
    <w:name w:val="WW8Num22z2"/>
    <w:rsid w:val="00A268DA"/>
  </w:style>
  <w:style w:type="character" w:customStyle="1" w:styleId="WW8Num22z3">
    <w:name w:val="WW8Num22z3"/>
    <w:rsid w:val="00A268DA"/>
  </w:style>
  <w:style w:type="character" w:customStyle="1" w:styleId="WW8Num22z4">
    <w:name w:val="WW8Num22z4"/>
    <w:rsid w:val="00A268DA"/>
  </w:style>
  <w:style w:type="character" w:customStyle="1" w:styleId="WW8Num22z5">
    <w:name w:val="WW8Num22z5"/>
    <w:rsid w:val="00A268DA"/>
  </w:style>
  <w:style w:type="character" w:customStyle="1" w:styleId="WW8Num22z6">
    <w:name w:val="WW8Num22z6"/>
    <w:rsid w:val="00A268DA"/>
  </w:style>
  <w:style w:type="character" w:customStyle="1" w:styleId="WW8Num22z7">
    <w:name w:val="WW8Num22z7"/>
    <w:rsid w:val="00A268DA"/>
  </w:style>
  <w:style w:type="character" w:customStyle="1" w:styleId="WW8Num22z8">
    <w:name w:val="WW8Num22z8"/>
    <w:rsid w:val="00A268DA"/>
  </w:style>
  <w:style w:type="character" w:customStyle="1" w:styleId="WW8Num23z0">
    <w:name w:val="WW8Num23z0"/>
    <w:rsid w:val="00A268DA"/>
    <w:rPr>
      <w:rFonts w:hint="default"/>
    </w:rPr>
  </w:style>
  <w:style w:type="character" w:customStyle="1" w:styleId="WW8Num24z0">
    <w:name w:val="WW8Num24z0"/>
    <w:rsid w:val="00A268DA"/>
    <w:rPr>
      <w:rFonts w:ascii="Symbol" w:hAnsi="Symbol" w:cs="Symbol"/>
    </w:rPr>
  </w:style>
  <w:style w:type="character" w:customStyle="1" w:styleId="WW8Num24z1">
    <w:name w:val="WW8Num24z1"/>
    <w:rsid w:val="00A268DA"/>
  </w:style>
  <w:style w:type="character" w:customStyle="1" w:styleId="WW8Num24z2">
    <w:name w:val="WW8Num24z2"/>
    <w:rsid w:val="00A268DA"/>
  </w:style>
  <w:style w:type="character" w:customStyle="1" w:styleId="WW8Num24z3">
    <w:name w:val="WW8Num24z3"/>
    <w:rsid w:val="00A268DA"/>
  </w:style>
  <w:style w:type="character" w:customStyle="1" w:styleId="WW8Num24z4">
    <w:name w:val="WW8Num24z4"/>
    <w:rsid w:val="00A268DA"/>
  </w:style>
  <w:style w:type="character" w:customStyle="1" w:styleId="WW8Num24z5">
    <w:name w:val="WW8Num24z5"/>
    <w:rsid w:val="00A268DA"/>
  </w:style>
  <w:style w:type="character" w:customStyle="1" w:styleId="WW8Num24z6">
    <w:name w:val="WW8Num24z6"/>
    <w:rsid w:val="00A268DA"/>
  </w:style>
  <w:style w:type="character" w:customStyle="1" w:styleId="WW8Num24z7">
    <w:name w:val="WW8Num24z7"/>
    <w:rsid w:val="00A268DA"/>
  </w:style>
  <w:style w:type="character" w:customStyle="1" w:styleId="WW8Num24z8">
    <w:name w:val="WW8Num24z8"/>
    <w:rsid w:val="00A268DA"/>
  </w:style>
  <w:style w:type="character" w:customStyle="1" w:styleId="WW8Num25z0">
    <w:name w:val="WW8Num25z0"/>
    <w:rsid w:val="00A268DA"/>
    <w:rPr>
      <w:rFonts w:ascii="Symbol" w:hAnsi="Symbol" w:cs="Symbol"/>
    </w:rPr>
  </w:style>
  <w:style w:type="character" w:customStyle="1" w:styleId="WW8Num25z1">
    <w:name w:val="WW8Num25z1"/>
    <w:rsid w:val="00A268DA"/>
    <w:rPr>
      <w:rFonts w:ascii="Courier New" w:hAnsi="Courier New" w:cs="Arial"/>
    </w:rPr>
  </w:style>
  <w:style w:type="character" w:customStyle="1" w:styleId="WW8Num25z2">
    <w:name w:val="WW8Num25z2"/>
    <w:rsid w:val="00A268DA"/>
    <w:rPr>
      <w:rFonts w:ascii="Wingdings" w:hAnsi="Wingdings" w:cs="Wingdings"/>
    </w:rPr>
  </w:style>
  <w:style w:type="character" w:customStyle="1" w:styleId="WW8Num25z3">
    <w:name w:val="WW8Num25z3"/>
    <w:rsid w:val="00A268DA"/>
  </w:style>
  <w:style w:type="character" w:customStyle="1" w:styleId="WW8Num25z4">
    <w:name w:val="WW8Num25z4"/>
    <w:rsid w:val="00A268DA"/>
  </w:style>
  <w:style w:type="character" w:customStyle="1" w:styleId="WW8Num25z5">
    <w:name w:val="WW8Num25z5"/>
    <w:rsid w:val="00A268DA"/>
  </w:style>
  <w:style w:type="character" w:customStyle="1" w:styleId="WW8Num25z6">
    <w:name w:val="WW8Num25z6"/>
    <w:rsid w:val="00A268DA"/>
  </w:style>
  <w:style w:type="character" w:customStyle="1" w:styleId="WW8Num25z7">
    <w:name w:val="WW8Num25z7"/>
    <w:rsid w:val="00A268DA"/>
  </w:style>
  <w:style w:type="character" w:customStyle="1" w:styleId="WW8Num25z8">
    <w:name w:val="WW8Num25z8"/>
    <w:rsid w:val="00A268DA"/>
  </w:style>
  <w:style w:type="character" w:customStyle="1" w:styleId="WW8Num26z0">
    <w:name w:val="WW8Num26z0"/>
    <w:rsid w:val="00A268DA"/>
    <w:rPr>
      <w:rFonts w:ascii="Symbol" w:hAnsi="Symbol" w:cs="Symbol"/>
    </w:rPr>
  </w:style>
  <w:style w:type="character" w:customStyle="1" w:styleId="WW8Num26z1">
    <w:name w:val="WW8Num26z1"/>
    <w:rsid w:val="00A268DA"/>
    <w:rPr>
      <w:rFonts w:hint="default"/>
    </w:rPr>
  </w:style>
  <w:style w:type="character" w:customStyle="1" w:styleId="WW8Num26z2">
    <w:name w:val="WW8Num26z2"/>
    <w:rsid w:val="00A268DA"/>
    <w:rPr>
      <w:rFonts w:hint="default"/>
      <w:b w:val="0"/>
      <w:i/>
    </w:rPr>
  </w:style>
  <w:style w:type="character" w:customStyle="1" w:styleId="WW8Num27z0">
    <w:name w:val="WW8Num27z0"/>
    <w:rsid w:val="00A268DA"/>
    <w:rPr>
      <w:rFonts w:ascii="Symbol" w:hAnsi="Symbol" w:cs="Symbol"/>
    </w:rPr>
  </w:style>
  <w:style w:type="character" w:customStyle="1" w:styleId="WW8Num27z2">
    <w:name w:val="WW8Num27z2"/>
    <w:rsid w:val="00A268DA"/>
    <w:rPr>
      <w:rFonts w:ascii="Wingdings" w:hAnsi="Wingdings" w:cs="Wingdings"/>
    </w:rPr>
  </w:style>
  <w:style w:type="character" w:customStyle="1" w:styleId="WW8Num27z3">
    <w:name w:val="WW8Num27z3"/>
    <w:rsid w:val="00A268DA"/>
  </w:style>
  <w:style w:type="character" w:customStyle="1" w:styleId="WW8Num27z4">
    <w:name w:val="WW8Num27z4"/>
    <w:rsid w:val="00A268DA"/>
  </w:style>
  <w:style w:type="character" w:customStyle="1" w:styleId="WW8Num27z5">
    <w:name w:val="WW8Num27z5"/>
    <w:rsid w:val="00A268DA"/>
  </w:style>
  <w:style w:type="character" w:customStyle="1" w:styleId="WW8Num27z6">
    <w:name w:val="WW8Num27z6"/>
    <w:rsid w:val="00A268DA"/>
  </w:style>
  <w:style w:type="character" w:customStyle="1" w:styleId="WW8Num27z7">
    <w:name w:val="WW8Num27z7"/>
    <w:rsid w:val="00A268DA"/>
  </w:style>
  <w:style w:type="character" w:customStyle="1" w:styleId="WW8Num27z8">
    <w:name w:val="WW8Num27z8"/>
    <w:rsid w:val="00A268DA"/>
  </w:style>
  <w:style w:type="character" w:customStyle="1" w:styleId="WW8Num28z0">
    <w:name w:val="WW8Num28z0"/>
    <w:rsid w:val="00A268DA"/>
    <w:rPr>
      <w:rFonts w:hint="default"/>
      <w:szCs w:val="22"/>
    </w:rPr>
  </w:style>
  <w:style w:type="character" w:customStyle="1" w:styleId="WW8Num28z1">
    <w:name w:val="WW8Num28z1"/>
    <w:rsid w:val="00A268DA"/>
  </w:style>
  <w:style w:type="character" w:customStyle="1" w:styleId="WW8Num28z2">
    <w:name w:val="WW8Num28z2"/>
    <w:rsid w:val="00A268DA"/>
  </w:style>
  <w:style w:type="character" w:customStyle="1" w:styleId="WW8Num28z3">
    <w:name w:val="WW8Num28z3"/>
    <w:rsid w:val="00A268DA"/>
  </w:style>
  <w:style w:type="character" w:customStyle="1" w:styleId="WW8Num28z4">
    <w:name w:val="WW8Num28z4"/>
    <w:rsid w:val="00A268DA"/>
  </w:style>
  <w:style w:type="character" w:customStyle="1" w:styleId="WW8Num28z5">
    <w:name w:val="WW8Num28z5"/>
    <w:rsid w:val="00A268DA"/>
  </w:style>
  <w:style w:type="character" w:customStyle="1" w:styleId="WW8Num28z6">
    <w:name w:val="WW8Num28z6"/>
    <w:rsid w:val="00A268DA"/>
  </w:style>
  <w:style w:type="character" w:customStyle="1" w:styleId="WW8Num28z7">
    <w:name w:val="WW8Num28z7"/>
    <w:rsid w:val="00A268DA"/>
  </w:style>
  <w:style w:type="character" w:customStyle="1" w:styleId="WW8Num28z8">
    <w:name w:val="WW8Num28z8"/>
    <w:rsid w:val="00A268DA"/>
  </w:style>
  <w:style w:type="character" w:customStyle="1" w:styleId="WW8Num29z0">
    <w:name w:val="WW8Num29z0"/>
    <w:rsid w:val="00A268DA"/>
    <w:rPr>
      <w:rFonts w:hint="default"/>
    </w:rPr>
  </w:style>
  <w:style w:type="character" w:customStyle="1" w:styleId="WW8Num29z1">
    <w:name w:val="WW8Num29z1"/>
    <w:rsid w:val="00A268DA"/>
  </w:style>
  <w:style w:type="character" w:customStyle="1" w:styleId="WW8Num29z2">
    <w:name w:val="WW8Num29z2"/>
    <w:rsid w:val="00A268DA"/>
  </w:style>
  <w:style w:type="character" w:customStyle="1" w:styleId="WW8Num29z3">
    <w:name w:val="WW8Num29z3"/>
    <w:rsid w:val="00A268DA"/>
  </w:style>
  <w:style w:type="character" w:customStyle="1" w:styleId="WW8Num29z4">
    <w:name w:val="WW8Num29z4"/>
    <w:rsid w:val="00A268DA"/>
  </w:style>
  <w:style w:type="character" w:customStyle="1" w:styleId="WW8Num29z5">
    <w:name w:val="WW8Num29z5"/>
    <w:rsid w:val="00A268DA"/>
  </w:style>
  <w:style w:type="character" w:customStyle="1" w:styleId="WW8Num29z6">
    <w:name w:val="WW8Num29z6"/>
    <w:rsid w:val="00A268DA"/>
  </w:style>
  <w:style w:type="character" w:customStyle="1" w:styleId="WW8Num29z7">
    <w:name w:val="WW8Num29z7"/>
    <w:rsid w:val="00A268DA"/>
  </w:style>
  <w:style w:type="character" w:customStyle="1" w:styleId="WW8Num29z8">
    <w:name w:val="WW8Num29z8"/>
    <w:rsid w:val="00A268DA"/>
  </w:style>
  <w:style w:type="character" w:customStyle="1" w:styleId="DefaultParagraphFont1">
    <w:name w:val="Default Paragraph Font1"/>
    <w:rsid w:val="00A268DA"/>
  </w:style>
  <w:style w:type="character" w:styleId="CommentReference">
    <w:name w:val="annotation reference"/>
    <w:uiPriority w:val="99"/>
    <w:rsid w:val="00A268DA"/>
    <w:rPr>
      <w:sz w:val="16"/>
    </w:rPr>
  </w:style>
  <w:style w:type="character" w:customStyle="1" w:styleId="FootnoteCharacters">
    <w:name w:val="Footnote Characters"/>
    <w:rsid w:val="00A268DA"/>
    <w:rPr>
      <w:position w:val="0"/>
      <w:sz w:val="18"/>
      <w:u w:val="single"/>
      <w:vertAlign w:val="baseline"/>
    </w:rPr>
  </w:style>
  <w:style w:type="character" w:styleId="PageNumber">
    <w:name w:val="page number"/>
    <w:rsid w:val="00A268DA"/>
    <w:rPr>
      <w:rFonts w:ascii="Times New Roman" w:hAnsi="Times New Roman" w:cs="Times New Roman"/>
      <w:sz w:val="22"/>
    </w:rPr>
  </w:style>
  <w:style w:type="character" w:styleId="FollowedHyperlink">
    <w:name w:val="FollowedHyperlink"/>
    <w:rsid w:val="00A268DA"/>
    <w:rPr>
      <w:color w:val="800080"/>
      <w:u w:val="single"/>
    </w:rPr>
  </w:style>
  <w:style w:type="character" w:customStyle="1" w:styleId="underline">
    <w:name w:val="underline"/>
    <w:rsid w:val="00A268DA"/>
    <w:rPr>
      <w:rFonts w:ascii="Courier" w:hAnsi="Courier" w:cs="Courier"/>
      <w:sz w:val="20"/>
      <w:u w:val="single"/>
    </w:rPr>
  </w:style>
  <w:style w:type="character" w:customStyle="1" w:styleId="EndnoteCharacters">
    <w:name w:val="Endnote Characters"/>
    <w:rsid w:val="00A268DA"/>
    <w:rPr>
      <w:vertAlign w:val="superscript"/>
    </w:rPr>
  </w:style>
  <w:style w:type="character" w:customStyle="1" w:styleId="Absatz-Standardschriftart">
    <w:name w:val="Absatz-Standardschriftart"/>
    <w:rsid w:val="00A268DA"/>
  </w:style>
  <w:style w:type="character" w:customStyle="1" w:styleId="WW8Num18z1">
    <w:name w:val="WW8Num18z1"/>
    <w:rsid w:val="00A268DA"/>
    <w:rPr>
      <w:rFonts w:ascii="Courier New" w:hAnsi="Courier New" w:cs="Courier New"/>
    </w:rPr>
  </w:style>
  <w:style w:type="character" w:customStyle="1" w:styleId="WW8Num18z2">
    <w:name w:val="WW8Num18z2"/>
    <w:rsid w:val="00A268DA"/>
    <w:rPr>
      <w:rFonts w:ascii="Wingdings" w:hAnsi="Wingdings" w:cs="Wingdings"/>
    </w:rPr>
  </w:style>
  <w:style w:type="character" w:customStyle="1" w:styleId="WW8Num18z3">
    <w:name w:val="WW8Num18z3"/>
    <w:rsid w:val="00A268DA"/>
    <w:rPr>
      <w:rFonts w:ascii="Symbol" w:hAnsi="Symbol" w:cs="Symbol"/>
    </w:rPr>
  </w:style>
  <w:style w:type="character" w:customStyle="1" w:styleId="WW8Num27z1">
    <w:name w:val="WW8Num27z1"/>
    <w:rsid w:val="00A268DA"/>
    <w:rPr>
      <w:rFonts w:ascii="Courier New" w:hAnsi="Courier New" w:cs="Arial"/>
    </w:rPr>
  </w:style>
  <w:style w:type="character" w:customStyle="1" w:styleId="WW-DefaultParagraphFont">
    <w:name w:val="WW-Default Paragraph Font"/>
    <w:rsid w:val="00A268DA"/>
  </w:style>
  <w:style w:type="character" w:customStyle="1" w:styleId="BodyTextChar">
    <w:name w:val="Body Text Char"/>
    <w:rsid w:val="00A268DA"/>
    <w:rPr>
      <w:rFonts w:ascii="Calibri" w:eastAsia="Calibri" w:hAnsi="Calibri" w:cs="Calibri"/>
      <w:sz w:val="22"/>
      <w:szCs w:val="22"/>
      <w:lang w:val="en-CA"/>
    </w:rPr>
  </w:style>
  <w:style w:type="character" w:customStyle="1" w:styleId="WW-DefaultParagraphFont1">
    <w:name w:val="WW-Default Paragraph Font1"/>
    <w:rsid w:val="00A268DA"/>
  </w:style>
  <w:style w:type="character" w:customStyle="1" w:styleId="FootnoteTextChar">
    <w:name w:val="Footnote Text Char"/>
    <w:aliases w:val="footnote text Char"/>
    <w:rsid w:val="00A268DA"/>
    <w:rPr>
      <w:sz w:val="20"/>
      <w:szCs w:val="20"/>
    </w:rPr>
  </w:style>
  <w:style w:type="character" w:styleId="Hyperlink">
    <w:name w:val="Hyperlink"/>
    <w:uiPriority w:val="99"/>
    <w:rsid w:val="00A268DA"/>
    <w:rPr>
      <w:color w:val="0000FF"/>
      <w:u w:val="single"/>
    </w:rPr>
  </w:style>
  <w:style w:type="character" w:customStyle="1" w:styleId="WW-FootnoteCharacters">
    <w:name w:val="WW-Footnote Characters"/>
    <w:rsid w:val="00A268DA"/>
    <w:rPr>
      <w:vertAlign w:val="superscript"/>
    </w:rPr>
  </w:style>
  <w:style w:type="character" w:customStyle="1" w:styleId="HeaderChar">
    <w:name w:val="Header Char"/>
    <w:rsid w:val="00A268DA"/>
  </w:style>
  <w:style w:type="character" w:customStyle="1" w:styleId="FooterChar">
    <w:name w:val="Footer Char"/>
    <w:uiPriority w:val="99"/>
    <w:rsid w:val="00A268DA"/>
  </w:style>
  <w:style w:type="character" w:customStyle="1" w:styleId="CommentTextChar">
    <w:name w:val="Comment Text Char"/>
    <w:uiPriority w:val="99"/>
    <w:rsid w:val="00A268DA"/>
    <w:rPr>
      <w:rFonts w:ascii="Times New Roman" w:eastAsia="SimSun" w:hAnsi="Times New Roman" w:cs="Mangal"/>
      <w:color w:val="000000"/>
      <w:kern w:val="1"/>
      <w:sz w:val="20"/>
      <w:szCs w:val="18"/>
      <w:lang w:val="en-US" w:eastAsia="hi-IN" w:bidi="hi-IN"/>
    </w:rPr>
  </w:style>
  <w:style w:type="character" w:customStyle="1" w:styleId="BalloonTextChar">
    <w:name w:val="Balloon Text Char"/>
    <w:rsid w:val="00A268DA"/>
    <w:rPr>
      <w:rFonts w:ascii="Tahoma" w:hAnsi="Tahoma" w:cs="Tahoma"/>
      <w:sz w:val="16"/>
      <w:szCs w:val="16"/>
    </w:rPr>
  </w:style>
  <w:style w:type="character" w:customStyle="1" w:styleId="WW-EndnoteCharacters">
    <w:name w:val="WW-Endnote Characters"/>
    <w:rsid w:val="00A268DA"/>
    <w:rPr>
      <w:vertAlign w:val="superscript"/>
    </w:rPr>
  </w:style>
  <w:style w:type="character" w:customStyle="1" w:styleId="WW-EndnoteCharacters1">
    <w:name w:val="WW-Endnote Characters1"/>
    <w:rsid w:val="00A268DA"/>
  </w:style>
  <w:style w:type="character" w:customStyle="1" w:styleId="NumberingSymbols">
    <w:name w:val="Numbering Symbols"/>
    <w:rsid w:val="00A268DA"/>
  </w:style>
  <w:style w:type="character" w:customStyle="1" w:styleId="CommentTextChar1">
    <w:name w:val="Comment Text Char1"/>
    <w:uiPriority w:val="99"/>
    <w:rsid w:val="00A268DA"/>
    <w:rPr>
      <w:rFonts w:eastAsia="SimSun" w:cs="Mangal"/>
      <w:color w:val="000000"/>
      <w:kern w:val="1"/>
      <w:szCs w:val="18"/>
      <w:lang w:val="en-US" w:eastAsia="hi-IN" w:bidi="hi-IN"/>
    </w:rPr>
  </w:style>
  <w:style w:type="character" w:customStyle="1" w:styleId="CommentSubjectChar">
    <w:name w:val="Comment Subject Char"/>
    <w:uiPriority w:val="99"/>
    <w:rsid w:val="00A268DA"/>
    <w:rPr>
      <w:rFonts w:ascii="Calibri" w:eastAsia="Calibri" w:hAnsi="Calibri" w:cs="Calibri"/>
      <w:b/>
      <w:bCs/>
      <w:color w:val="000000"/>
      <w:kern w:val="1"/>
      <w:szCs w:val="18"/>
      <w:lang w:val="en-CA" w:eastAsia="hi-IN" w:bidi="hi-IN"/>
    </w:rPr>
  </w:style>
  <w:style w:type="character" w:customStyle="1" w:styleId="EndnoteTextChar">
    <w:name w:val="Endnote Text Char"/>
    <w:rsid w:val="00A268DA"/>
    <w:rPr>
      <w:rFonts w:ascii="Cambria" w:eastAsia="Cambria" w:hAnsi="Cambria" w:cs="Times New Roman"/>
      <w:lang w:val="en-CA"/>
    </w:rPr>
  </w:style>
  <w:style w:type="character" w:customStyle="1" w:styleId="apple-converted-space">
    <w:name w:val="apple-converted-space"/>
    <w:rsid w:val="00A268DA"/>
  </w:style>
  <w:style w:type="character" w:customStyle="1" w:styleId="verticalbar">
    <w:name w:val="vertical_bar"/>
    <w:rsid w:val="00A268DA"/>
  </w:style>
  <w:style w:type="character" w:customStyle="1" w:styleId="BodyTextIndentChar">
    <w:name w:val="Body Text Indent Char"/>
    <w:rsid w:val="00A268DA"/>
    <w:rPr>
      <w:rFonts w:ascii="Cambria" w:eastAsia="Cambria" w:hAnsi="Cambria" w:cs="Times New Roman"/>
      <w:sz w:val="22"/>
      <w:szCs w:val="22"/>
      <w:lang w:val="en-CA"/>
    </w:rPr>
  </w:style>
  <w:style w:type="character" w:customStyle="1" w:styleId="apple-style-span">
    <w:name w:val="apple-style-span"/>
    <w:rsid w:val="00A268DA"/>
  </w:style>
  <w:style w:type="character" w:customStyle="1" w:styleId="WW-FootnoteReference">
    <w:name w:val="WW-Footnote Reference"/>
    <w:rsid w:val="00A268DA"/>
    <w:rPr>
      <w:vertAlign w:val="superscript"/>
    </w:rPr>
  </w:style>
  <w:style w:type="character" w:styleId="LineNumber">
    <w:name w:val="line number"/>
    <w:rsid w:val="00A268DA"/>
  </w:style>
  <w:style w:type="character" w:customStyle="1" w:styleId="IndexLink">
    <w:name w:val="Index Link"/>
    <w:rsid w:val="00A268D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sid w:val="00A268DA"/>
    <w:rPr>
      <w:vertAlign w:val="superscript"/>
    </w:rPr>
  </w:style>
  <w:style w:type="character" w:styleId="EndnoteReference">
    <w:name w:val="endnote reference"/>
    <w:rsid w:val="00A268DA"/>
    <w:rPr>
      <w:vertAlign w:val="superscript"/>
    </w:rPr>
  </w:style>
  <w:style w:type="character" w:styleId="Emphasis">
    <w:name w:val="Emphasis"/>
    <w:uiPriority w:val="20"/>
    <w:qFormat/>
    <w:rsid w:val="00A268DA"/>
    <w:rPr>
      <w:i/>
      <w:iCs/>
    </w:rPr>
  </w:style>
  <w:style w:type="character" w:customStyle="1" w:styleId="Bullets">
    <w:name w:val="Bullets"/>
    <w:rsid w:val="00A268DA"/>
    <w:rPr>
      <w:rFonts w:ascii="OpenSymbol" w:eastAsia="OpenSymbol" w:hAnsi="OpenSymbol" w:cs="OpenSymbol"/>
    </w:rPr>
  </w:style>
  <w:style w:type="character" w:customStyle="1" w:styleId="WW8Num1z3">
    <w:name w:val="WW8Num1z3"/>
    <w:rsid w:val="00A268DA"/>
    <w:rPr>
      <w:rFonts w:ascii="Symbol" w:hAnsi="Symbol" w:cs="Symbol"/>
    </w:rPr>
  </w:style>
  <w:style w:type="character" w:customStyle="1" w:styleId="WW8Num1z4">
    <w:name w:val="WW8Num1z4"/>
    <w:rsid w:val="00A268DA"/>
  </w:style>
  <w:style w:type="character" w:customStyle="1" w:styleId="WW8Num1z5">
    <w:name w:val="WW8Num1z5"/>
    <w:rsid w:val="00A268DA"/>
  </w:style>
  <w:style w:type="character" w:customStyle="1" w:styleId="WW8Num1z6">
    <w:name w:val="WW8Num1z6"/>
    <w:rsid w:val="00A268DA"/>
  </w:style>
  <w:style w:type="character" w:customStyle="1" w:styleId="WW8Num1z7">
    <w:name w:val="WW8Num1z7"/>
    <w:rsid w:val="00A268DA"/>
  </w:style>
  <w:style w:type="character" w:customStyle="1" w:styleId="WW8Num1z8">
    <w:name w:val="WW8Num1z8"/>
    <w:rsid w:val="00A268DA"/>
  </w:style>
  <w:style w:type="character" w:styleId="Strong">
    <w:name w:val="Strong"/>
    <w:qFormat/>
    <w:rsid w:val="00A268DA"/>
    <w:rPr>
      <w:b/>
      <w:bCs/>
    </w:rPr>
  </w:style>
  <w:style w:type="character" w:customStyle="1" w:styleId="Default">
    <w:name w:val="Default"/>
    <w:rsid w:val="00A268DA"/>
    <w:rPr>
      <w:rFonts w:ascii="Glosa Math Roman" w:eastAsia="Glosa Math Roman" w:hAnsi="Glosa Math Roman" w:cs="Glosa Math Roman"/>
      <w:color w:val="000000"/>
      <w:sz w:val="24"/>
      <w:szCs w:val="24"/>
    </w:rPr>
  </w:style>
  <w:style w:type="character" w:customStyle="1" w:styleId="A9">
    <w:name w:val="A9"/>
    <w:rsid w:val="00A268DA"/>
    <w:rPr>
      <w:rFonts w:ascii="Glosa Math Roman" w:eastAsia="Glosa Math Roman" w:hAnsi="Glosa Math Roman" w:cs="Glosa Math Roman"/>
      <w:color w:val="000000"/>
      <w:sz w:val="10"/>
      <w:szCs w:val="10"/>
    </w:rPr>
  </w:style>
  <w:style w:type="paragraph" w:customStyle="1" w:styleId="Heading">
    <w:name w:val="Heading"/>
    <w:basedOn w:val="Normal"/>
    <w:next w:val="BodyText"/>
    <w:rsid w:val="00A268DA"/>
    <w:pPr>
      <w:keepNext/>
      <w:spacing w:before="240" w:after="120"/>
    </w:pPr>
    <w:rPr>
      <w:rFonts w:ascii="Arial" w:eastAsia="Microsoft YaHei" w:hAnsi="Arial" w:cs="Mangal"/>
      <w:kern w:val="1"/>
      <w:sz w:val="28"/>
      <w:szCs w:val="28"/>
      <w:lang w:val="en-CA" w:eastAsia="ar-SA"/>
    </w:rPr>
  </w:style>
  <w:style w:type="paragraph" w:styleId="BodyText">
    <w:name w:val="Body Text"/>
    <w:basedOn w:val="Normal"/>
    <w:link w:val="BodyTextChar1"/>
    <w:rsid w:val="00A268DA"/>
    <w:pPr>
      <w:spacing w:before="120" w:after="120" w:line="240" w:lineRule="auto"/>
      <w:ind w:firstLine="720"/>
      <w:jc w:val="both"/>
    </w:pPr>
    <w:rPr>
      <w:rFonts w:ascii="Times New Roman" w:eastAsia="Times New Roman" w:hAnsi="Times New Roman"/>
      <w:iCs/>
      <w:kern w:val="1"/>
      <w:szCs w:val="24"/>
      <w:lang w:val="x-none" w:eastAsia="ar-SA"/>
    </w:rPr>
  </w:style>
  <w:style w:type="character" w:customStyle="1" w:styleId="BodyTextChar1">
    <w:name w:val="Body Text Char1"/>
    <w:link w:val="BodyText"/>
    <w:rsid w:val="00A268DA"/>
    <w:rPr>
      <w:rFonts w:ascii="Times New Roman" w:eastAsia="Times New Roman" w:hAnsi="Times New Roman"/>
      <w:iCs/>
      <w:kern w:val="1"/>
      <w:sz w:val="22"/>
      <w:szCs w:val="24"/>
      <w:lang w:eastAsia="ar-SA"/>
    </w:rPr>
  </w:style>
  <w:style w:type="paragraph" w:styleId="List">
    <w:name w:val="List"/>
    <w:basedOn w:val="BodyText"/>
    <w:rsid w:val="00A268DA"/>
    <w:pPr>
      <w:spacing w:before="0" w:line="276" w:lineRule="auto"/>
      <w:ind w:firstLine="0"/>
      <w:jc w:val="left"/>
    </w:pPr>
    <w:rPr>
      <w:rFonts w:ascii="Calibri" w:eastAsia="Calibri" w:hAnsi="Calibri" w:cs="Mangal"/>
      <w:iCs w:val="0"/>
      <w:szCs w:val="22"/>
      <w:lang w:val="en-CA"/>
    </w:rPr>
  </w:style>
  <w:style w:type="paragraph" w:styleId="Caption">
    <w:name w:val="caption"/>
    <w:basedOn w:val="Normal"/>
    <w:next w:val="Normal"/>
    <w:qFormat/>
    <w:rsid w:val="00A268DA"/>
    <w:pPr>
      <w:spacing w:before="120" w:after="120" w:line="240" w:lineRule="auto"/>
      <w:jc w:val="both"/>
    </w:pPr>
    <w:rPr>
      <w:rFonts w:ascii="Times New Roman" w:eastAsia="Times New Roman" w:hAnsi="Times New Roman"/>
      <w:kern w:val="1"/>
      <w:szCs w:val="24"/>
      <w:u w:val="single"/>
      <w:lang w:eastAsia="ar-SA"/>
    </w:rPr>
  </w:style>
  <w:style w:type="paragraph" w:customStyle="1" w:styleId="Index">
    <w:name w:val="Index"/>
    <w:basedOn w:val="Normal"/>
    <w:rsid w:val="00A268DA"/>
    <w:pPr>
      <w:suppressLineNumbers/>
      <w:spacing w:before="120"/>
    </w:pPr>
    <w:rPr>
      <w:rFonts w:cs="Mangal"/>
      <w:kern w:val="1"/>
      <w:lang w:val="en-CA" w:eastAsia="ar-SA"/>
    </w:rPr>
  </w:style>
  <w:style w:type="paragraph" w:styleId="Header">
    <w:name w:val="header"/>
    <w:basedOn w:val="Normal"/>
    <w:link w:val="HeaderChar1"/>
    <w:rsid w:val="00A268DA"/>
    <w:pPr>
      <w:tabs>
        <w:tab w:val="center" w:pos="4320"/>
        <w:tab w:val="right" w:pos="8640"/>
      </w:tabs>
      <w:spacing w:before="120" w:after="120" w:line="240" w:lineRule="auto"/>
      <w:jc w:val="both"/>
    </w:pPr>
    <w:rPr>
      <w:rFonts w:ascii="Times New Roman" w:eastAsia="Times New Roman" w:hAnsi="Times New Roman"/>
      <w:kern w:val="1"/>
      <w:szCs w:val="24"/>
      <w:lang w:val="x-none" w:eastAsia="ar-SA"/>
    </w:rPr>
  </w:style>
  <w:style w:type="character" w:customStyle="1" w:styleId="HeaderChar1">
    <w:name w:val="Header Char1"/>
    <w:link w:val="Header"/>
    <w:rsid w:val="00A268DA"/>
    <w:rPr>
      <w:rFonts w:ascii="Times New Roman" w:eastAsia="Times New Roman" w:hAnsi="Times New Roman"/>
      <w:kern w:val="1"/>
      <w:sz w:val="22"/>
      <w:szCs w:val="24"/>
      <w:lang w:eastAsia="ar-SA"/>
    </w:rPr>
  </w:style>
  <w:style w:type="paragraph" w:styleId="Footer">
    <w:name w:val="footer"/>
    <w:basedOn w:val="Normal"/>
    <w:link w:val="FooterChar1"/>
    <w:uiPriority w:val="99"/>
    <w:rsid w:val="00A268DA"/>
    <w:pPr>
      <w:tabs>
        <w:tab w:val="center" w:pos="4320"/>
        <w:tab w:val="right" w:pos="8640"/>
      </w:tabs>
      <w:spacing w:before="120" w:after="120" w:line="240" w:lineRule="auto"/>
      <w:ind w:firstLine="720"/>
      <w:jc w:val="right"/>
    </w:pPr>
    <w:rPr>
      <w:rFonts w:ascii="Times New Roman" w:eastAsia="Times New Roman" w:hAnsi="Times New Roman"/>
      <w:kern w:val="1"/>
      <w:szCs w:val="24"/>
      <w:lang w:val="x-none" w:eastAsia="ar-SA"/>
    </w:rPr>
  </w:style>
  <w:style w:type="character" w:customStyle="1" w:styleId="FooterChar1">
    <w:name w:val="Footer Char1"/>
    <w:link w:val="Footer"/>
    <w:uiPriority w:val="99"/>
    <w:rsid w:val="00A268DA"/>
    <w:rPr>
      <w:rFonts w:ascii="Times New Roman" w:eastAsia="Times New Roman" w:hAnsi="Times New Roman"/>
      <w:kern w:val="1"/>
      <w:sz w:val="22"/>
      <w:szCs w:val="24"/>
      <w:lang w:eastAsia="ar-SA"/>
    </w:rPr>
  </w:style>
  <w:style w:type="paragraph" w:customStyle="1" w:styleId="Para1">
    <w:name w:val="Para1"/>
    <w:basedOn w:val="Normal"/>
    <w:link w:val="Para1Char"/>
    <w:rsid w:val="00A268DA"/>
    <w:pPr>
      <w:numPr>
        <w:numId w:val="42"/>
      </w:numPr>
      <w:spacing w:before="120" w:after="120" w:line="240" w:lineRule="auto"/>
      <w:jc w:val="both"/>
    </w:pPr>
    <w:rPr>
      <w:rFonts w:ascii="Times New Roman" w:eastAsia="Times New Roman" w:hAnsi="Times New Roman"/>
      <w:kern w:val="1"/>
      <w:szCs w:val="18"/>
      <w:lang w:val="x-none" w:eastAsia="ar-SA"/>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1"/>
    <w:qFormat/>
    <w:rsid w:val="00A268DA"/>
    <w:pPr>
      <w:keepLines/>
      <w:spacing w:before="120" w:after="60" w:line="240" w:lineRule="auto"/>
      <w:ind w:firstLine="720"/>
      <w:jc w:val="both"/>
    </w:pPr>
    <w:rPr>
      <w:rFonts w:ascii="Times New Roman" w:eastAsia="Times New Roman" w:hAnsi="Times New Roman"/>
      <w:kern w:val="1"/>
      <w:sz w:val="18"/>
      <w:szCs w:val="24"/>
      <w:lang w:val="x-none" w:eastAsia="ar-SA"/>
    </w:rPr>
  </w:style>
  <w:style w:type="character" w:customStyle="1" w:styleId="FootnoteTextChar1">
    <w:name w:val="Footnote Text Char1"/>
    <w:aliases w:val="fn Char,Geneva 9 Char,Font: Geneva 9 Char,Boston 10 Char,f Char,ft Char1,Fotnotstext Char Char,ft Char Char,single space Char,FOOTNOTES Char,ADB Char,single space1 Char,footnote text1 Char,FOOTNOTES1 Char,fn1 Char,ADB1 Char,fn2 Char"/>
    <w:link w:val="FootnoteText"/>
    <w:uiPriority w:val="99"/>
    <w:rsid w:val="00A268DA"/>
    <w:rPr>
      <w:rFonts w:ascii="Times New Roman" w:eastAsia="Times New Roman" w:hAnsi="Times New Roman"/>
      <w:kern w:val="1"/>
      <w:sz w:val="18"/>
      <w:szCs w:val="24"/>
      <w:lang w:eastAsia="ar-SA"/>
    </w:rPr>
  </w:style>
  <w:style w:type="paragraph" w:customStyle="1" w:styleId="Document1">
    <w:name w:val="Document 1"/>
    <w:basedOn w:val="Normal"/>
    <w:next w:val="Normal"/>
    <w:rsid w:val="00A268DA"/>
    <w:pPr>
      <w:spacing w:before="120" w:after="120" w:line="240" w:lineRule="exact"/>
      <w:jc w:val="both"/>
    </w:pPr>
    <w:rPr>
      <w:rFonts w:ascii="Times New Roman" w:eastAsia="Times New Roman" w:hAnsi="Times New Roman"/>
      <w:kern w:val="1"/>
      <w:szCs w:val="24"/>
      <w:lang w:eastAsia="ar-SA"/>
    </w:rPr>
  </w:style>
  <w:style w:type="paragraph" w:styleId="BodyText2">
    <w:name w:val="Body Text 2"/>
    <w:basedOn w:val="Normal"/>
    <w:link w:val="BodyText2Char"/>
    <w:rsid w:val="00A268DA"/>
    <w:pPr>
      <w:tabs>
        <w:tab w:val="left" w:pos="-1440"/>
        <w:tab w:val="left" w:pos="-720"/>
        <w:tab w:val="left" w:pos="0"/>
        <w:tab w:val="left" w:pos="720"/>
        <w:tab w:val="right" w:pos="1080"/>
        <w:tab w:val="left" w:pos="1440"/>
      </w:tabs>
      <w:spacing w:before="120" w:after="120" w:line="288" w:lineRule="auto"/>
      <w:ind w:left="2160" w:hanging="2160"/>
      <w:jc w:val="both"/>
    </w:pPr>
    <w:rPr>
      <w:rFonts w:ascii="Times New Roman" w:eastAsia="Times New Roman" w:hAnsi="Times New Roman"/>
      <w:kern w:val="1"/>
      <w:szCs w:val="24"/>
      <w:lang w:val="x-none" w:eastAsia="ar-SA"/>
    </w:rPr>
  </w:style>
  <w:style w:type="character" w:customStyle="1" w:styleId="BodyText2Char">
    <w:name w:val="Body Text 2 Char"/>
    <w:link w:val="BodyText2"/>
    <w:rsid w:val="00A268DA"/>
    <w:rPr>
      <w:rFonts w:ascii="Times New Roman" w:eastAsia="Times New Roman" w:hAnsi="Times New Roman"/>
      <w:kern w:val="1"/>
      <w:sz w:val="22"/>
      <w:szCs w:val="24"/>
      <w:lang w:eastAsia="ar-SA"/>
    </w:rPr>
  </w:style>
  <w:style w:type="paragraph" w:styleId="CommentText">
    <w:name w:val="annotation text"/>
    <w:basedOn w:val="Normal"/>
    <w:link w:val="CommentTextChar2"/>
    <w:uiPriority w:val="99"/>
    <w:rsid w:val="00A268DA"/>
    <w:pPr>
      <w:spacing w:before="120" w:after="120" w:line="240" w:lineRule="exact"/>
      <w:jc w:val="both"/>
    </w:pPr>
    <w:rPr>
      <w:rFonts w:ascii="Times New Roman" w:eastAsia="Times New Roman" w:hAnsi="Times New Roman"/>
      <w:kern w:val="1"/>
      <w:szCs w:val="24"/>
      <w:lang w:val="x-none" w:eastAsia="ar-SA"/>
    </w:rPr>
  </w:style>
  <w:style w:type="character" w:customStyle="1" w:styleId="CommentTextChar2">
    <w:name w:val="Comment Text Char2"/>
    <w:link w:val="CommentText"/>
    <w:uiPriority w:val="99"/>
    <w:rsid w:val="00A268DA"/>
    <w:rPr>
      <w:rFonts w:ascii="Times New Roman" w:eastAsia="Times New Roman" w:hAnsi="Times New Roman"/>
      <w:kern w:val="1"/>
      <w:sz w:val="22"/>
      <w:szCs w:val="24"/>
      <w:lang w:eastAsia="ar-SA"/>
    </w:rPr>
  </w:style>
  <w:style w:type="paragraph" w:styleId="BodyTextIndent">
    <w:name w:val="Body Text Indent"/>
    <w:basedOn w:val="Normal"/>
    <w:link w:val="BodyTextIndentChar1"/>
    <w:rsid w:val="00A268DA"/>
    <w:pPr>
      <w:spacing w:before="120" w:after="120" w:line="240" w:lineRule="auto"/>
      <w:ind w:left="1440" w:hanging="720"/>
    </w:pPr>
    <w:rPr>
      <w:rFonts w:ascii="Times New Roman" w:eastAsia="Times New Roman" w:hAnsi="Times New Roman"/>
      <w:kern w:val="1"/>
      <w:szCs w:val="24"/>
      <w:lang w:val="x-none" w:eastAsia="ar-SA"/>
    </w:rPr>
  </w:style>
  <w:style w:type="character" w:customStyle="1" w:styleId="BodyTextIndentChar1">
    <w:name w:val="Body Text Indent Char1"/>
    <w:link w:val="BodyTextIndent"/>
    <w:rsid w:val="00A268DA"/>
    <w:rPr>
      <w:rFonts w:ascii="Times New Roman" w:eastAsia="Times New Roman" w:hAnsi="Times New Roman"/>
      <w:kern w:val="1"/>
      <w:sz w:val="22"/>
      <w:szCs w:val="24"/>
      <w:lang w:eastAsia="ar-SA"/>
    </w:rPr>
  </w:style>
  <w:style w:type="paragraph" w:customStyle="1" w:styleId="HEADING0">
    <w:name w:val="HEADING"/>
    <w:basedOn w:val="Normal"/>
    <w:rsid w:val="00A268DA"/>
    <w:pPr>
      <w:keepNext/>
      <w:spacing w:before="240" w:after="120" w:line="240" w:lineRule="auto"/>
      <w:jc w:val="center"/>
    </w:pPr>
    <w:rPr>
      <w:rFonts w:ascii="Times New Roman" w:eastAsia="Times New Roman" w:hAnsi="Times New Roman"/>
      <w:b/>
      <w:bCs/>
      <w:caps/>
      <w:kern w:val="1"/>
      <w:szCs w:val="24"/>
      <w:lang w:eastAsia="ar-SA"/>
    </w:rPr>
  </w:style>
  <w:style w:type="paragraph" w:customStyle="1" w:styleId="para4">
    <w:name w:val="para4"/>
    <w:basedOn w:val="Normal"/>
    <w:rsid w:val="00A268DA"/>
    <w:pPr>
      <w:numPr>
        <w:numId w:val="18"/>
      </w:numPr>
      <w:overflowPunct w:val="0"/>
      <w:autoSpaceDE w:val="0"/>
      <w:spacing w:before="120" w:after="120" w:line="240" w:lineRule="atLeast"/>
      <w:jc w:val="both"/>
      <w:textAlignment w:val="baseline"/>
    </w:pPr>
    <w:rPr>
      <w:rFonts w:ascii="Courier" w:eastAsia="Times New Roman" w:hAnsi="Courier" w:cs="Courier"/>
      <w:color w:val="000000"/>
      <w:kern w:val="1"/>
      <w:sz w:val="20"/>
      <w:szCs w:val="20"/>
      <w:lang w:eastAsia="ar-SA"/>
    </w:rPr>
  </w:style>
  <w:style w:type="paragraph" w:customStyle="1" w:styleId="Heading4indent">
    <w:name w:val="Heading 4 indent"/>
    <w:basedOn w:val="Heading4"/>
    <w:rsid w:val="00A268DA"/>
    <w:pPr>
      <w:ind w:left="720"/>
    </w:pPr>
  </w:style>
  <w:style w:type="paragraph" w:customStyle="1" w:styleId="Cornernotation">
    <w:name w:val="Corner notation"/>
    <w:basedOn w:val="Normal"/>
    <w:rsid w:val="00A268DA"/>
    <w:pPr>
      <w:spacing w:before="120" w:after="120" w:line="240" w:lineRule="auto"/>
      <w:ind w:left="170" w:right="3119" w:hanging="170"/>
    </w:pPr>
    <w:rPr>
      <w:rFonts w:ascii="Times New Roman" w:eastAsia="Times New Roman" w:hAnsi="Times New Roman"/>
      <w:kern w:val="1"/>
      <w:szCs w:val="24"/>
      <w:lang w:eastAsia="ar-SA"/>
    </w:rPr>
  </w:style>
  <w:style w:type="paragraph" w:customStyle="1" w:styleId="Para3">
    <w:name w:val="Para3"/>
    <w:basedOn w:val="Normal"/>
    <w:rsid w:val="00A268DA"/>
    <w:pPr>
      <w:tabs>
        <w:tab w:val="num" w:pos="360"/>
        <w:tab w:val="left" w:pos="1980"/>
      </w:tabs>
      <w:spacing w:before="80" w:after="80" w:line="240" w:lineRule="auto"/>
      <w:jc w:val="both"/>
    </w:pPr>
    <w:rPr>
      <w:rFonts w:ascii="Times New Roman" w:eastAsia="Times New Roman" w:hAnsi="Times New Roman"/>
      <w:kern w:val="1"/>
      <w:szCs w:val="20"/>
      <w:lang w:eastAsia="ar-SA"/>
    </w:rPr>
  </w:style>
  <w:style w:type="paragraph" w:customStyle="1" w:styleId="Heading2-center">
    <w:name w:val="Heading 2-center"/>
    <w:basedOn w:val="Heading2"/>
    <w:rsid w:val="00A268DA"/>
    <w:rPr>
      <w:i w:val="0"/>
      <w:iCs w:val="0"/>
      <w:caps/>
    </w:rPr>
  </w:style>
  <w:style w:type="paragraph" w:styleId="BodyTextIndent3">
    <w:name w:val="Body Text Indent 3"/>
    <w:basedOn w:val="Normal"/>
    <w:link w:val="BodyTextIndent3Char"/>
    <w:rsid w:val="00A268DA"/>
    <w:pPr>
      <w:spacing w:before="120" w:after="120" w:line="240" w:lineRule="auto"/>
      <w:ind w:left="720" w:right="720"/>
      <w:jc w:val="both"/>
    </w:pPr>
    <w:rPr>
      <w:rFonts w:ascii="Times New Roman" w:eastAsia="Times New Roman" w:hAnsi="Times New Roman"/>
      <w:bCs/>
      <w:kern w:val="1"/>
      <w:szCs w:val="24"/>
      <w:lang w:val="x-none" w:eastAsia="ar-SA"/>
    </w:rPr>
  </w:style>
  <w:style w:type="character" w:customStyle="1" w:styleId="BodyTextIndent3Char">
    <w:name w:val="Body Text Indent 3 Char"/>
    <w:link w:val="BodyTextIndent3"/>
    <w:rsid w:val="00A268DA"/>
    <w:rPr>
      <w:rFonts w:ascii="Times New Roman" w:eastAsia="Times New Roman" w:hAnsi="Times New Roman"/>
      <w:bCs/>
      <w:kern w:val="1"/>
      <w:sz w:val="22"/>
      <w:szCs w:val="24"/>
      <w:lang w:eastAsia="ar-SA"/>
    </w:rPr>
  </w:style>
  <w:style w:type="paragraph" w:styleId="TOAHeading">
    <w:name w:val="toa heading"/>
    <w:basedOn w:val="Normal"/>
    <w:next w:val="Normal"/>
    <w:rsid w:val="00A268DA"/>
    <w:pPr>
      <w:spacing w:before="120" w:after="120" w:line="240" w:lineRule="auto"/>
      <w:jc w:val="both"/>
    </w:pPr>
    <w:rPr>
      <w:rFonts w:ascii="Times New Roman" w:eastAsia="Times New Roman" w:hAnsi="Times New Roman" w:cs="Arial"/>
      <w:b/>
      <w:bCs/>
      <w:kern w:val="1"/>
      <w:sz w:val="24"/>
      <w:szCs w:val="24"/>
      <w:lang w:eastAsia="ar-SA"/>
    </w:rPr>
  </w:style>
  <w:style w:type="paragraph" w:styleId="TOC9">
    <w:name w:val="toc 9"/>
    <w:basedOn w:val="Normal"/>
    <w:next w:val="Normal"/>
    <w:uiPriority w:val="39"/>
    <w:rsid w:val="00A268DA"/>
    <w:pPr>
      <w:spacing w:before="120" w:after="120" w:line="240" w:lineRule="auto"/>
      <w:ind w:left="1760"/>
    </w:pPr>
    <w:rPr>
      <w:rFonts w:ascii="Times New Roman" w:eastAsia="Times New Roman" w:hAnsi="Times New Roman"/>
      <w:kern w:val="1"/>
      <w:szCs w:val="24"/>
      <w:lang w:eastAsia="ar-SA"/>
    </w:rPr>
  </w:style>
  <w:style w:type="paragraph" w:styleId="TOC1">
    <w:name w:val="toc 1"/>
    <w:basedOn w:val="Normal"/>
    <w:next w:val="Normal"/>
    <w:uiPriority w:val="39"/>
    <w:qFormat/>
    <w:rsid w:val="00A268DA"/>
    <w:pPr>
      <w:spacing w:before="120" w:after="120" w:line="240" w:lineRule="auto"/>
      <w:ind w:left="720" w:hanging="720"/>
      <w:jc w:val="both"/>
    </w:pPr>
    <w:rPr>
      <w:rFonts w:ascii="Times New Roman" w:eastAsia="Times New Roman" w:hAnsi="Times New Roman"/>
      <w:caps/>
      <w:kern w:val="1"/>
      <w:szCs w:val="24"/>
      <w:lang w:eastAsia="ar-SA"/>
    </w:rPr>
  </w:style>
  <w:style w:type="paragraph" w:styleId="TOC2">
    <w:name w:val="toc 2"/>
    <w:basedOn w:val="Normal"/>
    <w:next w:val="Normal"/>
    <w:uiPriority w:val="39"/>
    <w:qFormat/>
    <w:rsid w:val="00A268DA"/>
    <w:pPr>
      <w:tabs>
        <w:tab w:val="right" w:leader="dot" w:pos="9356"/>
      </w:tabs>
      <w:spacing w:before="120" w:after="120" w:line="240" w:lineRule="auto"/>
      <w:ind w:left="1440" w:hanging="720"/>
      <w:jc w:val="both"/>
    </w:pPr>
    <w:rPr>
      <w:rFonts w:ascii="Times New Roman" w:eastAsia="Times New Roman" w:hAnsi="Times New Roman"/>
      <w:kern w:val="1"/>
      <w:lang w:eastAsia="ar-SA"/>
    </w:rPr>
  </w:style>
  <w:style w:type="paragraph" w:styleId="TOC3">
    <w:name w:val="toc 3"/>
    <w:basedOn w:val="Normal"/>
    <w:next w:val="Normal"/>
    <w:uiPriority w:val="39"/>
    <w:qFormat/>
    <w:rsid w:val="00A268DA"/>
    <w:pPr>
      <w:spacing w:before="120" w:after="120" w:line="240" w:lineRule="auto"/>
      <w:ind w:left="2160" w:hanging="720"/>
      <w:jc w:val="both"/>
    </w:pPr>
    <w:rPr>
      <w:rFonts w:ascii="Times New Roman" w:eastAsia="Times New Roman" w:hAnsi="Times New Roman"/>
      <w:kern w:val="1"/>
      <w:szCs w:val="24"/>
      <w:lang w:eastAsia="ar-SA"/>
    </w:rPr>
  </w:style>
  <w:style w:type="paragraph" w:styleId="TOC4">
    <w:name w:val="toc 4"/>
    <w:basedOn w:val="Normal"/>
    <w:next w:val="Normal"/>
    <w:uiPriority w:val="39"/>
    <w:rsid w:val="00A268DA"/>
    <w:pPr>
      <w:spacing w:before="120" w:after="120" w:line="240" w:lineRule="auto"/>
      <w:ind w:left="660"/>
    </w:pPr>
    <w:rPr>
      <w:rFonts w:ascii="Times New Roman" w:eastAsia="Times New Roman" w:hAnsi="Times New Roman"/>
      <w:kern w:val="1"/>
      <w:szCs w:val="24"/>
      <w:lang w:eastAsia="ar-SA"/>
    </w:rPr>
  </w:style>
  <w:style w:type="paragraph" w:styleId="TOC5">
    <w:name w:val="toc 5"/>
    <w:basedOn w:val="Normal"/>
    <w:next w:val="Normal"/>
    <w:uiPriority w:val="39"/>
    <w:rsid w:val="00A268DA"/>
    <w:pPr>
      <w:spacing w:before="120" w:after="120" w:line="240" w:lineRule="auto"/>
      <w:ind w:left="880"/>
    </w:pPr>
    <w:rPr>
      <w:rFonts w:ascii="Times New Roman" w:eastAsia="Times New Roman" w:hAnsi="Times New Roman"/>
      <w:kern w:val="1"/>
      <w:szCs w:val="24"/>
      <w:lang w:eastAsia="ar-SA"/>
    </w:rPr>
  </w:style>
  <w:style w:type="paragraph" w:styleId="TOC6">
    <w:name w:val="toc 6"/>
    <w:basedOn w:val="Normal"/>
    <w:next w:val="Normal"/>
    <w:uiPriority w:val="39"/>
    <w:rsid w:val="00A268DA"/>
    <w:pPr>
      <w:spacing w:before="120" w:after="120" w:line="240" w:lineRule="auto"/>
      <w:ind w:left="1100"/>
    </w:pPr>
    <w:rPr>
      <w:rFonts w:ascii="Times New Roman" w:eastAsia="Times New Roman" w:hAnsi="Times New Roman"/>
      <w:kern w:val="1"/>
      <w:szCs w:val="24"/>
      <w:lang w:eastAsia="ar-SA"/>
    </w:rPr>
  </w:style>
  <w:style w:type="paragraph" w:styleId="TOC7">
    <w:name w:val="toc 7"/>
    <w:basedOn w:val="Normal"/>
    <w:next w:val="Normal"/>
    <w:uiPriority w:val="39"/>
    <w:rsid w:val="00A268DA"/>
    <w:pPr>
      <w:spacing w:before="120" w:after="120" w:line="240" w:lineRule="auto"/>
      <w:ind w:left="1320"/>
    </w:pPr>
    <w:rPr>
      <w:rFonts w:ascii="Times New Roman" w:eastAsia="Times New Roman" w:hAnsi="Times New Roman"/>
      <w:kern w:val="1"/>
      <w:szCs w:val="24"/>
      <w:lang w:eastAsia="ar-SA"/>
    </w:rPr>
  </w:style>
  <w:style w:type="paragraph" w:styleId="TOC8">
    <w:name w:val="toc 8"/>
    <w:basedOn w:val="Normal"/>
    <w:next w:val="Normal"/>
    <w:uiPriority w:val="39"/>
    <w:rsid w:val="00A268DA"/>
    <w:pPr>
      <w:spacing w:before="120" w:after="120" w:line="240" w:lineRule="auto"/>
      <w:ind w:left="1540"/>
    </w:pPr>
    <w:rPr>
      <w:rFonts w:ascii="Times New Roman" w:eastAsia="Times New Roman" w:hAnsi="Times New Roman"/>
      <w:kern w:val="1"/>
      <w:szCs w:val="24"/>
      <w:lang w:eastAsia="ar-SA"/>
    </w:rPr>
  </w:style>
  <w:style w:type="paragraph" w:styleId="BodyText3">
    <w:name w:val="Body Text 3"/>
    <w:basedOn w:val="Normal"/>
    <w:link w:val="BodyText3Char"/>
    <w:rsid w:val="00A268DA"/>
    <w:pPr>
      <w:spacing w:before="120" w:after="120" w:line="240" w:lineRule="auto"/>
      <w:jc w:val="both"/>
    </w:pPr>
    <w:rPr>
      <w:rFonts w:ascii="Times New Roman" w:eastAsia="Times New Roman" w:hAnsi="Times New Roman"/>
      <w:kern w:val="1"/>
      <w:szCs w:val="24"/>
      <w:lang w:val="x-none" w:eastAsia="ar-SA"/>
    </w:rPr>
  </w:style>
  <w:style w:type="character" w:customStyle="1" w:styleId="BodyText3Char">
    <w:name w:val="Body Text 3 Char"/>
    <w:link w:val="BodyText3"/>
    <w:rsid w:val="00A268DA"/>
    <w:rPr>
      <w:rFonts w:ascii="Times New Roman" w:eastAsia="Times New Roman" w:hAnsi="Times New Roman"/>
      <w:kern w:val="1"/>
      <w:sz w:val="22"/>
      <w:szCs w:val="24"/>
      <w:lang w:eastAsia="ar-SA"/>
    </w:rPr>
  </w:style>
  <w:style w:type="paragraph" w:customStyle="1" w:styleId="heading40">
    <w:name w:val="heading 40"/>
    <w:basedOn w:val="Normal"/>
    <w:rsid w:val="00A268DA"/>
    <w:pPr>
      <w:keepNext/>
      <w:numPr>
        <w:numId w:val="16"/>
      </w:numPr>
      <w:spacing w:before="120" w:after="120" w:line="240" w:lineRule="auto"/>
      <w:jc w:val="both"/>
    </w:pPr>
    <w:rPr>
      <w:rFonts w:ascii="Times New Roman" w:eastAsia="Times New Roman" w:hAnsi="Times New Roman"/>
      <w:i/>
      <w:iCs/>
      <w:kern w:val="1"/>
      <w:szCs w:val="24"/>
      <w:lang w:eastAsia="ar-SA"/>
    </w:rPr>
  </w:style>
  <w:style w:type="paragraph" w:customStyle="1" w:styleId="Para2">
    <w:name w:val="Para2"/>
    <w:basedOn w:val="Para1"/>
    <w:rsid w:val="00A268DA"/>
    <w:pPr>
      <w:numPr>
        <w:numId w:val="17"/>
      </w:numPr>
      <w:autoSpaceDE w:val="0"/>
    </w:pPr>
  </w:style>
  <w:style w:type="paragraph" w:customStyle="1" w:styleId="Para-decision">
    <w:name w:val="Para-decision"/>
    <w:basedOn w:val="Normal"/>
    <w:rsid w:val="00A268DA"/>
    <w:pPr>
      <w:tabs>
        <w:tab w:val="left" w:pos="-1440"/>
        <w:tab w:val="left" w:pos="-720"/>
        <w:tab w:val="left" w:pos="0"/>
        <w:tab w:val="left" w:pos="720"/>
        <w:tab w:val="left" w:pos="1440"/>
      </w:tabs>
      <w:overflowPunct w:val="0"/>
      <w:autoSpaceDE w:val="0"/>
      <w:spacing w:before="120" w:after="240" w:line="240" w:lineRule="exact"/>
      <w:ind w:firstLine="720"/>
      <w:textAlignment w:val="baseline"/>
    </w:pPr>
    <w:rPr>
      <w:rFonts w:ascii="Courier" w:eastAsia="Times New Roman" w:hAnsi="Courier" w:cs="Courier"/>
      <w:color w:val="000000"/>
      <w:kern w:val="1"/>
      <w:sz w:val="20"/>
      <w:szCs w:val="24"/>
      <w:lang w:eastAsia="ar-SA"/>
    </w:rPr>
  </w:style>
  <w:style w:type="paragraph" w:styleId="EndnoteText">
    <w:name w:val="endnote text"/>
    <w:basedOn w:val="Normal"/>
    <w:link w:val="EndnoteTextChar1"/>
    <w:rsid w:val="00A268DA"/>
    <w:pPr>
      <w:widowControl w:val="0"/>
      <w:tabs>
        <w:tab w:val="left" w:pos="-720"/>
      </w:tabs>
      <w:spacing w:before="120" w:after="120" w:line="240" w:lineRule="auto"/>
      <w:jc w:val="both"/>
    </w:pPr>
    <w:rPr>
      <w:rFonts w:ascii="Courier New" w:eastAsia="Times New Roman" w:hAnsi="Courier New"/>
      <w:kern w:val="1"/>
      <w:szCs w:val="24"/>
      <w:lang w:val="x-none" w:eastAsia="ar-SA"/>
    </w:rPr>
  </w:style>
  <w:style w:type="character" w:customStyle="1" w:styleId="EndnoteTextChar1">
    <w:name w:val="Endnote Text Char1"/>
    <w:link w:val="EndnoteText"/>
    <w:rsid w:val="00A268DA"/>
    <w:rPr>
      <w:rFonts w:ascii="Courier New" w:eastAsia="Times New Roman" w:hAnsi="Courier New" w:cs="Courier New"/>
      <w:kern w:val="1"/>
      <w:sz w:val="22"/>
      <w:szCs w:val="24"/>
      <w:lang w:eastAsia="ar-SA"/>
    </w:rPr>
  </w:style>
  <w:style w:type="paragraph" w:customStyle="1" w:styleId="Heading1longmultiline">
    <w:name w:val="Heading 1 (long multiline)"/>
    <w:basedOn w:val="Heading1"/>
    <w:rsid w:val="00A268DA"/>
    <w:pPr>
      <w:ind w:left="1843" w:hanging="1134"/>
      <w:jc w:val="left"/>
    </w:pPr>
  </w:style>
  <w:style w:type="paragraph" w:customStyle="1" w:styleId="Heading1multiline">
    <w:name w:val="Heading 1 (multiline)"/>
    <w:basedOn w:val="Heading1"/>
    <w:rsid w:val="00A268DA"/>
    <w:pPr>
      <w:ind w:left="1843" w:right="996" w:hanging="567"/>
      <w:jc w:val="left"/>
    </w:pPr>
  </w:style>
  <w:style w:type="paragraph" w:customStyle="1" w:styleId="Heading2multiline">
    <w:name w:val="Heading 2 (multiline)"/>
    <w:basedOn w:val="Heading1"/>
    <w:next w:val="Para1"/>
    <w:rsid w:val="00A268DA"/>
    <w:pPr>
      <w:spacing w:before="120"/>
      <w:ind w:left="1843" w:right="998" w:hanging="567"/>
      <w:jc w:val="left"/>
    </w:pPr>
    <w:rPr>
      <w:i/>
      <w:iCs/>
      <w:caps w:val="0"/>
    </w:rPr>
  </w:style>
  <w:style w:type="paragraph" w:customStyle="1" w:styleId="Heading2longmultiline">
    <w:name w:val="Heading 2 (long multiline)"/>
    <w:basedOn w:val="Heading2multiline"/>
    <w:rsid w:val="00A268DA"/>
    <w:pPr>
      <w:ind w:left="2127" w:hanging="1276"/>
    </w:pPr>
  </w:style>
  <w:style w:type="paragraph" w:customStyle="1" w:styleId="Heading3multiline">
    <w:name w:val="Heading 3 (multiline)"/>
    <w:basedOn w:val="Heading3"/>
    <w:next w:val="Para1"/>
    <w:rsid w:val="00A268DA"/>
    <w:pPr>
      <w:ind w:left="1418" w:hanging="425"/>
      <w:jc w:val="left"/>
    </w:pPr>
  </w:style>
  <w:style w:type="paragraph" w:customStyle="1" w:styleId="heading2notforTOC">
    <w:name w:val="heading 2 not for TOC"/>
    <w:basedOn w:val="Heading3"/>
    <w:rsid w:val="00A268DA"/>
  </w:style>
  <w:style w:type="paragraph" w:customStyle="1" w:styleId="HEADINGNOTFORTOC">
    <w:name w:val="HEADING (NOT FOR TOC)"/>
    <w:basedOn w:val="Heading1"/>
    <w:next w:val="Heading2"/>
    <w:rsid w:val="00A268DA"/>
  </w:style>
  <w:style w:type="paragraph" w:customStyle="1" w:styleId="WW-Default">
    <w:name w:val="WW-Default"/>
    <w:rsid w:val="00A268DA"/>
    <w:pPr>
      <w:suppressAutoHyphens/>
      <w:autoSpaceDE w:val="0"/>
      <w:spacing w:before="120" w:after="120"/>
      <w:jc w:val="both"/>
    </w:pPr>
    <w:rPr>
      <w:rFonts w:ascii="Times New Roman" w:hAnsi="Times New Roman" w:cs="Calibri"/>
      <w:color w:val="000000"/>
      <w:kern w:val="1"/>
      <w:sz w:val="24"/>
      <w:szCs w:val="24"/>
      <w:lang w:val="en-CA" w:eastAsia="ar-SA"/>
    </w:rPr>
  </w:style>
  <w:style w:type="paragraph" w:styleId="BalloonText">
    <w:name w:val="Balloon Text"/>
    <w:basedOn w:val="Normal"/>
    <w:link w:val="BalloonTextChar1"/>
    <w:rsid w:val="00A268DA"/>
    <w:pPr>
      <w:spacing w:before="120" w:after="120" w:line="240" w:lineRule="auto"/>
    </w:pPr>
    <w:rPr>
      <w:rFonts w:ascii="Tahoma" w:hAnsi="Tahoma"/>
      <w:kern w:val="1"/>
      <w:sz w:val="16"/>
      <w:szCs w:val="16"/>
      <w:lang w:val="en-CA" w:eastAsia="ar-SA"/>
    </w:rPr>
  </w:style>
  <w:style w:type="character" w:customStyle="1" w:styleId="BalloonTextChar1">
    <w:name w:val="Balloon Text Char1"/>
    <w:link w:val="BalloonText"/>
    <w:rsid w:val="00A268DA"/>
    <w:rPr>
      <w:rFonts w:ascii="Tahoma" w:hAnsi="Tahoma" w:cs="Tahoma"/>
      <w:kern w:val="1"/>
      <w:sz w:val="16"/>
      <w:szCs w:val="16"/>
      <w:lang w:val="en-CA" w:eastAsia="ar-SA"/>
    </w:rPr>
  </w:style>
  <w:style w:type="paragraph" w:customStyle="1" w:styleId="Pa5">
    <w:name w:val="Pa5"/>
    <w:basedOn w:val="Normal"/>
    <w:next w:val="Normal"/>
    <w:rsid w:val="00A268DA"/>
    <w:pPr>
      <w:spacing w:before="120" w:line="187" w:lineRule="atLeast"/>
    </w:pPr>
    <w:rPr>
      <w:rFonts w:ascii="Times New Roman" w:eastAsia="SimSun" w:hAnsi="Times New Roman" w:cs="Mangal"/>
      <w:kern w:val="1"/>
      <w:sz w:val="24"/>
      <w:szCs w:val="24"/>
      <w:lang w:val="en-CA" w:eastAsia="ar-SA"/>
    </w:rPr>
  </w:style>
  <w:style w:type="paragraph" w:styleId="CommentSubject">
    <w:name w:val="annotation subject"/>
    <w:basedOn w:val="CommentText"/>
    <w:next w:val="CommentText"/>
    <w:link w:val="CommentSubjectChar1"/>
    <w:uiPriority w:val="99"/>
    <w:rsid w:val="00A268DA"/>
    <w:pPr>
      <w:spacing w:after="200" w:line="276" w:lineRule="auto"/>
      <w:jc w:val="left"/>
    </w:pPr>
    <w:rPr>
      <w:b/>
      <w:bCs/>
      <w:lang w:val="en-CA"/>
    </w:rPr>
  </w:style>
  <w:style w:type="character" w:customStyle="1" w:styleId="CommentSubjectChar1">
    <w:name w:val="Comment Subject Char1"/>
    <w:link w:val="CommentSubject"/>
    <w:uiPriority w:val="99"/>
    <w:rsid w:val="00A268DA"/>
    <w:rPr>
      <w:rFonts w:ascii="Times New Roman" w:eastAsia="Times New Roman" w:hAnsi="Times New Roman" w:cs="Calibri"/>
      <w:b/>
      <w:bCs/>
      <w:kern w:val="1"/>
      <w:sz w:val="22"/>
      <w:szCs w:val="24"/>
      <w:lang w:val="en-CA" w:eastAsia="ar-SA"/>
    </w:rPr>
  </w:style>
  <w:style w:type="paragraph" w:customStyle="1" w:styleId="ColorfulList-Accent11">
    <w:name w:val="Colorful List - Accent 11"/>
    <w:basedOn w:val="Normal"/>
    <w:rsid w:val="00A268DA"/>
    <w:pPr>
      <w:spacing w:before="120"/>
      <w:ind w:left="720"/>
    </w:pPr>
    <w:rPr>
      <w:rFonts w:ascii="Cambria" w:eastAsia="Cambria" w:hAnsi="Cambria" w:cs="Cambria"/>
      <w:kern w:val="1"/>
      <w:lang w:val="en-CA" w:eastAsia="ar-SA"/>
    </w:rPr>
  </w:style>
  <w:style w:type="paragraph" w:customStyle="1" w:styleId="Decheadmuliline">
    <w:name w:val="Dec_head muliline"/>
    <w:basedOn w:val="BodyText"/>
    <w:next w:val="BodyText"/>
    <w:rsid w:val="00A268DA"/>
    <w:pPr>
      <w:spacing w:before="0" w:line="276" w:lineRule="auto"/>
      <w:ind w:firstLine="0"/>
      <w:jc w:val="left"/>
    </w:pPr>
    <w:rPr>
      <w:rFonts w:ascii="Cambria" w:eastAsia="Cambria" w:hAnsi="Cambria" w:cs="Cambria"/>
      <w:iCs w:val="0"/>
      <w:szCs w:val="22"/>
      <w:lang w:val="en-CA"/>
    </w:rPr>
  </w:style>
  <w:style w:type="paragraph" w:customStyle="1" w:styleId="ColorfulShading-Accent11">
    <w:name w:val="Colorful Shading - Accent 11"/>
    <w:rsid w:val="00A268DA"/>
    <w:pPr>
      <w:suppressAutoHyphens/>
      <w:spacing w:before="120" w:after="120"/>
      <w:jc w:val="both"/>
    </w:pPr>
    <w:rPr>
      <w:rFonts w:ascii="Cambria" w:eastAsia="Cambria" w:hAnsi="Cambria" w:cs="Cambria"/>
      <w:kern w:val="1"/>
      <w:sz w:val="22"/>
      <w:szCs w:val="22"/>
      <w:lang w:val="en-CA" w:eastAsia="ar-SA"/>
    </w:rPr>
  </w:style>
  <w:style w:type="paragraph" w:customStyle="1" w:styleId="Style1">
    <w:name w:val="Style1"/>
    <w:basedOn w:val="Heading1"/>
    <w:rsid w:val="00A268DA"/>
    <w:pPr>
      <w:pageBreakBefore/>
      <w:numPr>
        <w:numId w:val="22"/>
      </w:numPr>
      <w:tabs>
        <w:tab w:val="clear" w:pos="720"/>
      </w:tabs>
      <w:spacing w:after="0"/>
      <w:jc w:val="left"/>
    </w:pPr>
    <w:rPr>
      <w:rFonts w:eastAsia="Microsoft YaHei" w:cs="Mangal"/>
      <w:b w:val="0"/>
      <w:bCs/>
      <w:caps w:val="0"/>
      <w:lang w:val="en-US"/>
    </w:rPr>
  </w:style>
  <w:style w:type="paragraph" w:customStyle="1" w:styleId="Style2">
    <w:name w:val="Style2"/>
    <w:basedOn w:val="Heading2"/>
    <w:rsid w:val="00A268DA"/>
    <w:pPr>
      <w:keepLines/>
      <w:tabs>
        <w:tab w:val="clear" w:pos="720"/>
      </w:tabs>
      <w:spacing w:before="200" w:after="0" w:line="276" w:lineRule="auto"/>
      <w:jc w:val="left"/>
    </w:pPr>
    <w:rPr>
      <w:rFonts w:ascii="Calibri" w:hAnsi="Calibri" w:cs="Calibri"/>
      <w:b w:val="0"/>
      <w:color w:val="4F81BD"/>
      <w:sz w:val="26"/>
      <w:szCs w:val="26"/>
      <w:lang w:val="en-US"/>
    </w:rPr>
  </w:style>
  <w:style w:type="paragraph" w:customStyle="1" w:styleId="Style3">
    <w:name w:val="Style3"/>
    <w:basedOn w:val="Heading3"/>
    <w:rsid w:val="00A268DA"/>
    <w:pPr>
      <w:keepLines/>
      <w:tabs>
        <w:tab w:val="clear" w:pos="567"/>
      </w:tabs>
      <w:spacing w:before="200" w:after="0" w:line="276" w:lineRule="auto"/>
      <w:jc w:val="left"/>
    </w:pPr>
    <w:rPr>
      <w:iCs w:val="0"/>
      <w:color w:val="4F81BD"/>
      <w:szCs w:val="22"/>
      <w:lang w:val="en-US"/>
    </w:rPr>
  </w:style>
  <w:style w:type="paragraph" w:customStyle="1" w:styleId="Style4">
    <w:name w:val="Style4"/>
    <w:basedOn w:val="TOC1"/>
    <w:rsid w:val="00A268DA"/>
    <w:pPr>
      <w:keepNext/>
      <w:pageBreakBefore/>
      <w:tabs>
        <w:tab w:val="num" w:pos="720"/>
      </w:tabs>
      <w:spacing w:before="240"/>
      <w:ind w:hanging="360"/>
      <w:jc w:val="left"/>
    </w:pPr>
    <w:rPr>
      <w:rFonts w:eastAsia="Microsoft YaHei" w:cs="Mangal"/>
      <w:bCs/>
      <w:caps w:val="0"/>
      <w:lang w:val="en-US"/>
    </w:rPr>
  </w:style>
  <w:style w:type="paragraph" w:customStyle="1" w:styleId="Style5">
    <w:name w:val="Style5"/>
    <w:basedOn w:val="Heading1"/>
    <w:rsid w:val="00A268DA"/>
    <w:pPr>
      <w:pageBreakBefore/>
      <w:numPr>
        <w:numId w:val="14"/>
      </w:numPr>
      <w:tabs>
        <w:tab w:val="clear" w:pos="720"/>
      </w:tabs>
      <w:spacing w:after="0"/>
      <w:jc w:val="left"/>
    </w:pPr>
    <w:rPr>
      <w:rFonts w:eastAsia="Microsoft YaHei" w:cs="Mangal"/>
      <w:bCs/>
      <w:caps w:val="0"/>
      <w:lang w:val="en-US"/>
    </w:rPr>
  </w:style>
  <w:style w:type="paragraph" w:customStyle="1" w:styleId="Style6">
    <w:name w:val="Style6"/>
    <w:basedOn w:val="Heading2"/>
    <w:next w:val="Heading2"/>
    <w:rsid w:val="00A268DA"/>
    <w:pPr>
      <w:keepLines/>
      <w:tabs>
        <w:tab w:val="clear" w:pos="720"/>
      </w:tabs>
      <w:spacing w:before="200" w:after="0" w:line="276" w:lineRule="auto"/>
      <w:jc w:val="left"/>
    </w:pPr>
    <w:rPr>
      <w:b w:val="0"/>
      <w:color w:val="4F81BD"/>
      <w:szCs w:val="26"/>
      <w:lang w:val="en-US"/>
    </w:rPr>
  </w:style>
  <w:style w:type="paragraph" w:customStyle="1" w:styleId="Contents10">
    <w:name w:val="Contents 10"/>
    <w:basedOn w:val="Index"/>
    <w:rsid w:val="00A268DA"/>
    <w:pPr>
      <w:tabs>
        <w:tab w:val="right" w:leader="dot" w:pos="7425"/>
      </w:tabs>
      <w:ind w:left="2547"/>
    </w:pPr>
  </w:style>
  <w:style w:type="paragraph" w:customStyle="1" w:styleId="Framecontents">
    <w:name w:val="Frame contents"/>
    <w:basedOn w:val="BodyText"/>
    <w:rsid w:val="00A268DA"/>
  </w:style>
  <w:style w:type="paragraph" w:customStyle="1" w:styleId="Headerleft">
    <w:name w:val="Header left"/>
    <w:basedOn w:val="Normal"/>
    <w:rsid w:val="00A268DA"/>
    <w:pPr>
      <w:suppressLineNumbers/>
      <w:tabs>
        <w:tab w:val="center" w:pos="4680"/>
        <w:tab w:val="right" w:pos="9360"/>
      </w:tabs>
      <w:spacing w:before="120" w:after="120" w:line="240" w:lineRule="auto"/>
      <w:jc w:val="both"/>
    </w:pPr>
    <w:rPr>
      <w:rFonts w:ascii="Times New Roman" w:eastAsia="Times New Roman" w:hAnsi="Times New Roman"/>
      <w:kern w:val="1"/>
      <w:szCs w:val="24"/>
      <w:lang w:eastAsia="ar-SA"/>
    </w:rPr>
  </w:style>
  <w:style w:type="paragraph" w:customStyle="1" w:styleId="CM10">
    <w:name w:val="CM10"/>
    <w:basedOn w:val="Normal"/>
    <w:next w:val="Normal"/>
    <w:rsid w:val="00A268DA"/>
    <w:pPr>
      <w:spacing w:before="120" w:after="120" w:line="240" w:lineRule="auto"/>
    </w:pPr>
    <w:rPr>
      <w:rFonts w:ascii="Times New Roman" w:eastAsia="SimSun" w:hAnsi="Times New Roman" w:cs="Mangal"/>
      <w:kern w:val="1"/>
      <w:sz w:val="24"/>
      <w:szCs w:val="24"/>
      <w:lang w:eastAsia="ar-SA"/>
    </w:rPr>
  </w:style>
  <w:style w:type="paragraph" w:customStyle="1" w:styleId="CM1">
    <w:name w:val="CM1"/>
    <w:basedOn w:val="Normal"/>
    <w:next w:val="Normal"/>
    <w:rsid w:val="00A268DA"/>
    <w:pPr>
      <w:spacing w:before="120" w:after="120" w:line="480" w:lineRule="atLeast"/>
    </w:pPr>
    <w:rPr>
      <w:rFonts w:ascii="Times New Roman" w:eastAsia="SimSun" w:hAnsi="Times New Roman" w:cs="Mangal"/>
      <w:kern w:val="1"/>
      <w:sz w:val="24"/>
      <w:szCs w:val="24"/>
      <w:lang w:eastAsia="ar-SA"/>
    </w:rPr>
  </w:style>
  <w:style w:type="paragraph" w:customStyle="1" w:styleId="CM11">
    <w:name w:val="CM11"/>
    <w:basedOn w:val="Normal"/>
    <w:next w:val="Normal"/>
    <w:rsid w:val="00A268DA"/>
    <w:pPr>
      <w:spacing w:before="120" w:after="120" w:line="240" w:lineRule="auto"/>
    </w:pPr>
    <w:rPr>
      <w:rFonts w:ascii="Times New Roman" w:eastAsia="SimSun" w:hAnsi="Times New Roman" w:cs="Mangal"/>
      <w:kern w:val="1"/>
      <w:sz w:val="24"/>
      <w:szCs w:val="24"/>
      <w:lang w:eastAsia="ar-SA"/>
    </w:rPr>
  </w:style>
  <w:style w:type="paragraph" w:customStyle="1" w:styleId="TableContents">
    <w:name w:val="Table Contents"/>
    <w:basedOn w:val="Normal"/>
    <w:rsid w:val="00A268DA"/>
    <w:pPr>
      <w:suppressLineNumbers/>
      <w:spacing w:before="120" w:after="120" w:line="240" w:lineRule="auto"/>
      <w:jc w:val="both"/>
    </w:pPr>
    <w:rPr>
      <w:rFonts w:ascii="Times New Roman" w:eastAsia="Times New Roman" w:hAnsi="Times New Roman"/>
      <w:kern w:val="1"/>
      <w:szCs w:val="24"/>
      <w:lang w:eastAsia="ar-SA"/>
    </w:rPr>
  </w:style>
  <w:style w:type="paragraph" w:customStyle="1" w:styleId="TableHeading">
    <w:name w:val="Table Heading"/>
    <w:basedOn w:val="TableContents"/>
    <w:rsid w:val="00A268DA"/>
    <w:pPr>
      <w:jc w:val="center"/>
    </w:pPr>
    <w:rPr>
      <w:b/>
      <w:bCs/>
    </w:rPr>
  </w:style>
  <w:style w:type="paragraph" w:customStyle="1" w:styleId="PreformattedText">
    <w:name w:val="Preformatted Text"/>
    <w:basedOn w:val="Normal"/>
    <w:rsid w:val="00A268DA"/>
    <w:pPr>
      <w:spacing w:before="120" w:after="120" w:line="240" w:lineRule="auto"/>
      <w:jc w:val="both"/>
    </w:pPr>
    <w:rPr>
      <w:rFonts w:ascii="Courier New" w:eastAsia="NSimSun" w:hAnsi="Courier New" w:cs="Courier New"/>
      <w:kern w:val="1"/>
      <w:sz w:val="20"/>
      <w:szCs w:val="20"/>
      <w:lang w:eastAsia="ar-SA"/>
    </w:rPr>
  </w:style>
  <w:style w:type="paragraph" w:customStyle="1" w:styleId="ListContents">
    <w:name w:val="List Contents"/>
    <w:basedOn w:val="Normal"/>
    <w:rsid w:val="00A268DA"/>
    <w:pPr>
      <w:spacing w:before="120" w:after="120" w:line="240" w:lineRule="auto"/>
      <w:ind w:left="567"/>
      <w:jc w:val="both"/>
    </w:pPr>
    <w:rPr>
      <w:rFonts w:ascii="Times New Roman" w:eastAsia="Times New Roman" w:hAnsi="Times New Roman"/>
      <w:kern w:val="1"/>
      <w:szCs w:val="24"/>
      <w:lang w:eastAsia="ar-SA"/>
    </w:rPr>
  </w:style>
  <w:style w:type="paragraph" w:customStyle="1" w:styleId="ListHeading">
    <w:name w:val="List Heading"/>
    <w:basedOn w:val="Normal"/>
    <w:next w:val="ListContents"/>
    <w:rsid w:val="00A268DA"/>
    <w:pPr>
      <w:spacing w:before="120" w:after="120" w:line="240" w:lineRule="auto"/>
      <w:jc w:val="both"/>
    </w:pPr>
    <w:rPr>
      <w:rFonts w:ascii="Times New Roman" w:eastAsia="Times New Roman" w:hAnsi="Times New Roman"/>
      <w:kern w:val="1"/>
      <w:szCs w:val="24"/>
      <w:lang w:eastAsia="ar-SA"/>
    </w:rPr>
  </w:style>
  <w:style w:type="paragraph" w:customStyle="1" w:styleId="Pa1">
    <w:name w:val="Pa1"/>
    <w:basedOn w:val="Normal"/>
    <w:next w:val="Normal"/>
    <w:rsid w:val="00A268DA"/>
    <w:pPr>
      <w:spacing w:before="120" w:after="120" w:line="185" w:lineRule="atLeast"/>
    </w:pPr>
    <w:rPr>
      <w:rFonts w:ascii="Times New Roman" w:eastAsia="SimSun" w:hAnsi="Times New Roman" w:cs="Mangal"/>
      <w:kern w:val="1"/>
      <w:sz w:val="24"/>
      <w:szCs w:val="24"/>
      <w:lang w:eastAsia="ar-SA"/>
    </w:rPr>
  </w:style>
  <w:style w:type="paragraph" w:customStyle="1" w:styleId="MediumGrid21">
    <w:name w:val="Medium Grid 21"/>
    <w:uiPriority w:val="1"/>
    <w:qFormat/>
    <w:rsid w:val="00A268DA"/>
    <w:pPr>
      <w:suppressAutoHyphens/>
      <w:spacing w:before="120" w:after="120"/>
      <w:jc w:val="both"/>
    </w:pPr>
    <w:rPr>
      <w:rFonts w:ascii="Times New Roman" w:eastAsia="Times New Roman" w:hAnsi="Times New Roman"/>
      <w:kern w:val="1"/>
      <w:sz w:val="22"/>
      <w:szCs w:val="24"/>
      <w:lang w:val="en-GB" w:eastAsia="ar-SA"/>
    </w:rPr>
  </w:style>
  <w:style w:type="paragraph" w:customStyle="1" w:styleId="ColourfulListAccent11">
    <w:name w:val="Colourful List – Accent 11"/>
    <w:basedOn w:val="Normal"/>
    <w:qFormat/>
    <w:rsid w:val="00A268DA"/>
    <w:pPr>
      <w:spacing w:before="120" w:after="120" w:line="240" w:lineRule="auto"/>
      <w:ind w:left="720"/>
      <w:contextualSpacing/>
      <w:jc w:val="both"/>
    </w:pPr>
    <w:rPr>
      <w:rFonts w:ascii="Times New Roman" w:eastAsia="Times New Roman" w:hAnsi="Times New Roman"/>
      <w:kern w:val="1"/>
      <w:szCs w:val="24"/>
      <w:lang w:eastAsia="ar-SA"/>
    </w:rPr>
  </w:style>
  <w:style w:type="character" w:customStyle="1" w:styleId="Quotation">
    <w:name w:val="Quotation"/>
    <w:rsid w:val="00A268DA"/>
    <w:rPr>
      <w:i/>
      <w:iCs/>
    </w:rPr>
  </w:style>
  <w:style w:type="character" w:customStyle="1" w:styleId="Para1Char">
    <w:name w:val="Para1 Char"/>
    <w:link w:val="Para1"/>
    <w:rsid w:val="00A268DA"/>
    <w:rPr>
      <w:rFonts w:ascii="Times New Roman" w:eastAsia="Times New Roman" w:hAnsi="Times New Roman"/>
      <w:kern w:val="1"/>
      <w:sz w:val="22"/>
      <w:szCs w:val="18"/>
      <w:lang w:val="x-none" w:eastAsia="ar-SA"/>
    </w:rPr>
  </w:style>
  <w:style w:type="paragraph" w:customStyle="1" w:styleId="GridTable31">
    <w:name w:val="Grid Table 31"/>
    <w:basedOn w:val="Heading1"/>
    <w:next w:val="Normal"/>
    <w:unhideWhenUsed/>
    <w:qFormat/>
    <w:rsid w:val="00A268DA"/>
    <w:pPr>
      <w:keepLines/>
      <w:tabs>
        <w:tab w:val="clear" w:pos="720"/>
      </w:tabs>
      <w:spacing w:before="480" w:after="0" w:line="276" w:lineRule="auto"/>
      <w:jc w:val="left"/>
      <w:outlineLvl w:val="9"/>
    </w:pPr>
    <w:rPr>
      <w:rFonts w:ascii="Cambria" w:hAnsi="Cambria"/>
      <w:bCs/>
      <w:caps w:val="0"/>
      <w:color w:val="365F91"/>
      <w:kern w:val="0"/>
      <w:sz w:val="28"/>
      <w:szCs w:val="28"/>
      <w:lang w:val="en-US" w:eastAsia="en-US"/>
    </w:rPr>
  </w:style>
  <w:style w:type="character" w:customStyle="1" w:styleId="WW8Num21z4">
    <w:name w:val="WW8Num21z4"/>
    <w:rsid w:val="00D66BAC"/>
  </w:style>
  <w:style w:type="character" w:customStyle="1" w:styleId="WW8Num21z5">
    <w:name w:val="WW8Num21z5"/>
    <w:rsid w:val="00D66BAC"/>
  </w:style>
  <w:style w:type="character" w:customStyle="1" w:styleId="WW8Num21z6">
    <w:name w:val="WW8Num21z6"/>
    <w:rsid w:val="00D66BAC"/>
  </w:style>
  <w:style w:type="character" w:customStyle="1" w:styleId="WW8Num21z7">
    <w:name w:val="WW8Num21z7"/>
    <w:rsid w:val="00D66BAC"/>
  </w:style>
  <w:style w:type="character" w:customStyle="1" w:styleId="WW8Num21z8">
    <w:name w:val="WW8Num21z8"/>
    <w:rsid w:val="00D66BAC"/>
  </w:style>
  <w:style w:type="character" w:customStyle="1" w:styleId="WW8Num23z1">
    <w:name w:val="WW8Num23z1"/>
    <w:rsid w:val="00D66BAC"/>
    <w:rPr>
      <w:rFonts w:ascii="Courier New" w:hAnsi="Courier New" w:cs="Courier New" w:hint="default"/>
    </w:rPr>
  </w:style>
  <w:style w:type="character" w:customStyle="1" w:styleId="WW8Num23z2">
    <w:name w:val="WW8Num23z2"/>
    <w:rsid w:val="00D66BAC"/>
    <w:rPr>
      <w:rFonts w:ascii="Wingdings" w:hAnsi="Wingdings" w:cs="Wingdings" w:hint="default"/>
    </w:rPr>
  </w:style>
  <w:style w:type="character" w:customStyle="1" w:styleId="WW8Num30z0">
    <w:name w:val="WW8Num30z0"/>
    <w:rsid w:val="00D66BAC"/>
    <w:rPr>
      <w:rFonts w:hint="default"/>
    </w:rPr>
  </w:style>
  <w:style w:type="character" w:customStyle="1" w:styleId="WW8Num30z1">
    <w:name w:val="WW8Num30z1"/>
    <w:rsid w:val="00D66BAC"/>
  </w:style>
  <w:style w:type="character" w:customStyle="1" w:styleId="WW8Num30z2">
    <w:name w:val="WW8Num30z2"/>
    <w:rsid w:val="00D66BAC"/>
  </w:style>
  <w:style w:type="character" w:customStyle="1" w:styleId="WW8Num30z3">
    <w:name w:val="WW8Num30z3"/>
    <w:rsid w:val="00D66BAC"/>
  </w:style>
  <w:style w:type="character" w:customStyle="1" w:styleId="WW8Num30z4">
    <w:name w:val="WW8Num30z4"/>
    <w:rsid w:val="00D66BAC"/>
  </w:style>
  <w:style w:type="character" w:customStyle="1" w:styleId="WW8Num30z5">
    <w:name w:val="WW8Num30z5"/>
    <w:rsid w:val="00D66BAC"/>
  </w:style>
  <w:style w:type="character" w:customStyle="1" w:styleId="WW8Num30z6">
    <w:name w:val="WW8Num30z6"/>
    <w:rsid w:val="00D66BAC"/>
  </w:style>
  <w:style w:type="character" w:customStyle="1" w:styleId="WW8Num30z7">
    <w:name w:val="WW8Num30z7"/>
    <w:rsid w:val="00D66BAC"/>
  </w:style>
  <w:style w:type="character" w:customStyle="1" w:styleId="WW8Num30z8">
    <w:name w:val="WW8Num30z8"/>
    <w:rsid w:val="00D66BAC"/>
  </w:style>
  <w:style w:type="character" w:customStyle="1" w:styleId="WW8Num31z0">
    <w:name w:val="WW8Num31z0"/>
    <w:rsid w:val="00D66BAC"/>
    <w:rPr>
      <w:rFonts w:ascii="Symbol" w:eastAsia="SimSun" w:hAnsi="Symbol" w:cs="Symbol" w:hint="default"/>
      <w:kern w:val="1"/>
      <w:szCs w:val="22"/>
      <w:lang w:val="en-US" w:eastAsia="hi-IN" w:bidi="hi-IN"/>
    </w:rPr>
  </w:style>
  <w:style w:type="character" w:customStyle="1" w:styleId="WW8Num31z1">
    <w:name w:val="WW8Num31z1"/>
    <w:rsid w:val="00D66BAC"/>
    <w:rPr>
      <w:rFonts w:ascii="Courier New" w:hAnsi="Courier New" w:cs="Courier New" w:hint="default"/>
    </w:rPr>
  </w:style>
  <w:style w:type="character" w:customStyle="1" w:styleId="WW8Num31z2">
    <w:name w:val="WW8Num31z2"/>
    <w:rsid w:val="00D66BAC"/>
    <w:rPr>
      <w:rFonts w:ascii="Wingdings" w:hAnsi="Wingdings" w:cs="Wingdings" w:hint="default"/>
    </w:rPr>
  </w:style>
  <w:style w:type="character" w:customStyle="1" w:styleId="WW8Num32z0">
    <w:name w:val="WW8Num32z0"/>
    <w:rsid w:val="00D66BAC"/>
    <w:rPr>
      <w:rFonts w:ascii="Symbol" w:hAnsi="Symbol" w:cs="Symbol" w:hint="default"/>
      <w:szCs w:val="22"/>
      <w:lang w:val="en-US"/>
    </w:rPr>
  </w:style>
  <w:style w:type="character" w:customStyle="1" w:styleId="WW8Num32z1">
    <w:name w:val="WW8Num32z1"/>
    <w:rsid w:val="00D66BAC"/>
    <w:rPr>
      <w:rFonts w:ascii="Courier New" w:hAnsi="Courier New" w:cs="Courier New" w:hint="default"/>
    </w:rPr>
  </w:style>
  <w:style w:type="character" w:customStyle="1" w:styleId="WW8Num32z2">
    <w:name w:val="WW8Num32z2"/>
    <w:rsid w:val="00D66BAC"/>
    <w:rPr>
      <w:rFonts w:ascii="Wingdings" w:hAnsi="Wingdings" w:cs="Wingdings" w:hint="default"/>
    </w:rPr>
  </w:style>
  <w:style w:type="character" w:customStyle="1" w:styleId="WW8Num33z0">
    <w:name w:val="WW8Num33z0"/>
    <w:rsid w:val="00D66BAC"/>
    <w:rPr>
      <w:rFonts w:ascii="Symbol" w:hAnsi="Symbol" w:cs="Symbol" w:hint="default"/>
    </w:rPr>
  </w:style>
  <w:style w:type="character" w:customStyle="1" w:styleId="WW8Num33z1">
    <w:name w:val="WW8Num33z1"/>
    <w:rsid w:val="00D66BAC"/>
    <w:rPr>
      <w:rFonts w:ascii="Courier New" w:hAnsi="Courier New" w:cs="Courier New" w:hint="default"/>
    </w:rPr>
  </w:style>
  <w:style w:type="character" w:customStyle="1" w:styleId="WW8Num33z2">
    <w:name w:val="WW8Num33z2"/>
    <w:rsid w:val="00D66BAC"/>
    <w:rPr>
      <w:rFonts w:ascii="Wingdings" w:hAnsi="Wingdings" w:cs="Wingdings" w:hint="default"/>
    </w:rPr>
  </w:style>
  <w:style w:type="character" w:customStyle="1" w:styleId="WW8Num34z0">
    <w:name w:val="WW8Num34z0"/>
    <w:rsid w:val="00D66BAC"/>
    <w:rPr>
      <w:rFonts w:ascii="Symbol" w:hAnsi="Symbol" w:cs="Symbol" w:hint="default"/>
    </w:rPr>
  </w:style>
  <w:style w:type="character" w:customStyle="1" w:styleId="WW8Num34z1">
    <w:name w:val="WW8Num34z1"/>
    <w:rsid w:val="00D66BAC"/>
    <w:rPr>
      <w:rFonts w:ascii="Courier New" w:hAnsi="Courier New" w:cs="Courier New" w:hint="default"/>
    </w:rPr>
  </w:style>
  <w:style w:type="character" w:customStyle="1" w:styleId="WW8Num34z2">
    <w:name w:val="WW8Num34z2"/>
    <w:rsid w:val="00D66BAC"/>
    <w:rPr>
      <w:rFonts w:ascii="Wingdings" w:hAnsi="Wingdings" w:cs="Wingdings" w:hint="default"/>
    </w:rPr>
  </w:style>
  <w:style w:type="character" w:customStyle="1" w:styleId="WW8Num35z0">
    <w:name w:val="WW8Num35z0"/>
    <w:rsid w:val="00D66BAC"/>
    <w:rPr>
      <w:rFonts w:ascii="Symbol" w:hAnsi="Symbol" w:cs="Symbol" w:hint="default"/>
    </w:rPr>
  </w:style>
  <w:style w:type="character" w:customStyle="1" w:styleId="WW8Num35z1">
    <w:name w:val="WW8Num35z1"/>
    <w:rsid w:val="00D66BAC"/>
    <w:rPr>
      <w:rFonts w:ascii="Courier New" w:hAnsi="Courier New" w:cs="Courier New" w:hint="default"/>
    </w:rPr>
  </w:style>
  <w:style w:type="character" w:customStyle="1" w:styleId="WW8Num35z2">
    <w:name w:val="WW8Num35z2"/>
    <w:rsid w:val="00D66BAC"/>
    <w:rPr>
      <w:rFonts w:ascii="Wingdings" w:hAnsi="Wingdings" w:cs="Wingdings" w:hint="default"/>
    </w:rPr>
  </w:style>
  <w:style w:type="character" w:customStyle="1" w:styleId="DefaultParagraphFont3">
    <w:name w:val="Default Paragraph Font3"/>
    <w:rsid w:val="00D66BAC"/>
  </w:style>
  <w:style w:type="character" w:customStyle="1" w:styleId="WW8Num7z4">
    <w:name w:val="WW8Num7z4"/>
    <w:rsid w:val="00D66BAC"/>
  </w:style>
  <w:style w:type="character" w:customStyle="1" w:styleId="WW8Num7z5">
    <w:name w:val="WW8Num7z5"/>
    <w:rsid w:val="00D66BAC"/>
  </w:style>
  <w:style w:type="character" w:customStyle="1" w:styleId="WW8Num7z6">
    <w:name w:val="WW8Num7z6"/>
    <w:rsid w:val="00D66BAC"/>
  </w:style>
  <w:style w:type="character" w:customStyle="1" w:styleId="WW8Num7z7">
    <w:name w:val="WW8Num7z7"/>
    <w:rsid w:val="00D66BAC"/>
  </w:style>
  <w:style w:type="character" w:customStyle="1" w:styleId="WW8Num7z8">
    <w:name w:val="WW8Num7z8"/>
    <w:rsid w:val="00D66BAC"/>
  </w:style>
  <w:style w:type="character" w:customStyle="1" w:styleId="CommentReference1">
    <w:name w:val="Comment Reference1"/>
    <w:rsid w:val="00D66BAC"/>
    <w:rPr>
      <w:sz w:val="16"/>
    </w:rPr>
  </w:style>
  <w:style w:type="character" w:customStyle="1" w:styleId="FootnoteReference1">
    <w:name w:val="Footnote Reference1"/>
    <w:rsid w:val="00D66BAC"/>
    <w:rPr>
      <w:vertAlign w:val="superscript"/>
    </w:rPr>
  </w:style>
  <w:style w:type="character" w:customStyle="1" w:styleId="EndnoteReference1">
    <w:name w:val="Endnote Reference1"/>
    <w:rsid w:val="00D66BAC"/>
    <w:rPr>
      <w:vertAlign w:val="superscript"/>
    </w:rPr>
  </w:style>
  <w:style w:type="character" w:customStyle="1" w:styleId="Variable">
    <w:name w:val="Variable"/>
    <w:rsid w:val="00D66BAC"/>
    <w:rPr>
      <w:i/>
      <w:iCs/>
    </w:rPr>
  </w:style>
  <w:style w:type="character" w:customStyle="1" w:styleId="HTMLPreformattedChar">
    <w:name w:val="HTML Preformatted Char"/>
    <w:rsid w:val="00D66BAC"/>
    <w:rPr>
      <w:rFonts w:ascii="Courier New" w:hAnsi="Courier New" w:cs="Courier New"/>
    </w:rPr>
  </w:style>
  <w:style w:type="character" w:customStyle="1" w:styleId="Caracteresdenotaderodap">
    <w:name w:val="Caracteres de nota de rodapé"/>
    <w:rsid w:val="00D66BAC"/>
    <w:rPr>
      <w:rFonts w:cs="Times New Roman"/>
      <w:vertAlign w:val="superscript"/>
    </w:rPr>
  </w:style>
  <w:style w:type="character" w:customStyle="1" w:styleId="Heading1Char1">
    <w:name w:val="Heading 1 Char1"/>
    <w:rsid w:val="00D66BAC"/>
    <w:rPr>
      <w:b/>
      <w:caps/>
      <w:sz w:val="24"/>
      <w:szCs w:val="24"/>
      <w:lang w:val="en-GB"/>
    </w:rPr>
  </w:style>
  <w:style w:type="character" w:customStyle="1" w:styleId="Heading2Char1">
    <w:name w:val="Heading 2 Char1"/>
    <w:rsid w:val="00D66BAC"/>
    <w:rPr>
      <w:rFonts w:eastAsia="SimSun"/>
      <w:b/>
      <w:bCs/>
      <w:sz w:val="24"/>
      <w:szCs w:val="24"/>
      <w:lang w:eastAsia="hi-IN" w:bidi="hi-IN"/>
    </w:rPr>
  </w:style>
  <w:style w:type="character" w:customStyle="1" w:styleId="Heading3Char1">
    <w:name w:val="Heading 3 Char1"/>
    <w:rsid w:val="00D66BAC"/>
    <w:rPr>
      <w:rFonts w:eastAsia="SimSun"/>
      <w:i/>
      <w:iCs/>
      <w:sz w:val="24"/>
      <w:szCs w:val="24"/>
      <w:lang w:eastAsia="hi-IN" w:bidi="hi-IN"/>
    </w:rPr>
  </w:style>
  <w:style w:type="character" w:customStyle="1" w:styleId="texto">
    <w:name w:val="texto"/>
    <w:rsid w:val="00D66BAC"/>
  </w:style>
  <w:style w:type="character" w:customStyle="1" w:styleId="ga-resolutions">
    <w:name w:val="ga-resolutions"/>
    <w:rsid w:val="00D66BAC"/>
  </w:style>
  <w:style w:type="character" w:customStyle="1" w:styleId="adopted">
    <w:name w:val="adopted"/>
    <w:rsid w:val="00D66BAC"/>
  </w:style>
  <w:style w:type="character" w:customStyle="1" w:styleId="resolution">
    <w:name w:val="resolution"/>
    <w:rsid w:val="00D66BAC"/>
  </w:style>
  <w:style w:type="character" w:customStyle="1" w:styleId="Style7Char">
    <w:name w:val="Style7 Char"/>
    <w:rsid w:val="00D66BAC"/>
    <w:rPr>
      <w:b/>
      <w:caps/>
      <w:sz w:val="24"/>
      <w:szCs w:val="24"/>
      <w:lang w:val="en-GB"/>
    </w:rPr>
  </w:style>
  <w:style w:type="character" w:customStyle="1" w:styleId="Style8Char">
    <w:name w:val="Style8 Char"/>
    <w:rsid w:val="00D66BAC"/>
    <w:rPr>
      <w:b/>
      <w:caps/>
      <w:sz w:val="24"/>
      <w:szCs w:val="24"/>
      <w:lang w:val="en-GB"/>
    </w:rPr>
  </w:style>
  <w:style w:type="character" w:customStyle="1" w:styleId="A10">
    <w:name w:val="A10"/>
    <w:rsid w:val="00D66BAC"/>
    <w:rPr>
      <w:rFonts w:cs="Minion Pro"/>
      <w:color w:val="000000"/>
      <w:sz w:val="20"/>
      <w:szCs w:val="20"/>
    </w:rPr>
  </w:style>
  <w:style w:type="paragraph" w:customStyle="1" w:styleId="Caption1">
    <w:name w:val="Caption1"/>
    <w:basedOn w:val="Normal"/>
    <w:next w:val="Normal"/>
    <w:rsid w:val="00D66BAC"/>
    <w:pPr>
      <w:suppressAutoHyphens/>
      <w:spacing w:after="0" w:line="240" w:lineRule="auto"/>
      <w:jc w:val="both"/>
    </w:pPr>
    <w:rPr>
      <w:rFonts w:ascii="Times New Roman" w:eastAsia="Times New Roman" w:hAnsi="Times New Roman"/>
      <w:szCs w:val="24"/>
      <w:u w:val="single"/>
      <w:lang w:eastAsia="ar-SA"/>
    </w:rPr>
  </w:style>
  <w:style w:type="paragraph" w:customStyle="1" w:styleId="BodyText21">
    <w:name w:val="Body Text 21"/>
    <w:basedOn w:val="Normal"/>
    <w:rsid w:val="00D66BAC"/>
    <w:pPr>
      <w:tabs>
        <w:tab w:val="left" w:pos="-1440"/>
        <w:tab w:val="left" w:pos="-720"/>
        <w:tab w:val="left" w:pos="0"/>
        <w:tab w:val="left" w:pos="720"/>
        <w:tab w:val="right" w:pos="1080"/>
        <w:tab w:val="left" w:pos="1440"/>
      </w:tabs>
      <w:suppressAutoHyphens/>
      <w:spacing w:after="120" w:line="288" w:lineRule="auto"/>
      <w:ind w:left="2160" w:hanging="2160"/>
      <w:jc w:val="both"/>
    </w:pPr>
    <w:rPr>
      <w:rFonts w:ascii="Times New Roman" w:eastAsia="Times New Roman" w:hAnsi="Times New Roman"/>
      <w:szCs w:val="24"/>
      <w:lang w:eastAsia="ar-SA"/>
    </w:rPr>
  </w:style>
  <w:style w:type="paragraph" w:customStyle="1" w:styleId="CommentText1">
    <w:name w:val="Comment Text1"/>
    <w:basedOn w:val="Normal"/>
    <w:rsid w:val="00D66BAC"/>
    <w:pPr>
      <w:suppressAutoHyphens/>
      <w:spacing w:after="120" w:line="240" w:lineRule="exact"/>
      <w:jc w:val="both"/>
    </w:pPr>
    <w:rPr>
      <w:rFonts w:ascii="Times New Roman" w:eastAsia="Times New Roman" w:hAnsi="Times New Roman"/>
      <w:szCs w:val="24"/>
      <w:lang w:eastAsia="ar-SA"/>
    </w:rPr>
  </w:style>
  <w:style w:type="paragraph" w:customStyle="1" w:styleId="BodyTextIndent31">
    <w:name w:val="Body Text Indent 31"/>
    <w:basedOn w:val="Normal"/>
    <w:rsid w:val="00D66BAC"/>
    <w:pPr>
      <w:suppressAutoHyphens/>
      <w:spacing w:before="120" w:after="120" w:line="240" w:lineRule="auto"/>
      <w:ind w:left="720" w:right="720"/>
      <w:jc w:val="both"/>
    </w:pPr>
    <w:rPr>
      <w:rFonts w:ascii="Times New Roman" w:eastAsia="Times New Roman" w:hAnsi="Times New Roman"/>
      <w:bCs/>
      <w:szCs w:val="24"/>
      <w:lang w:eastAsia="ar-SA"/>
    </w:rPr>
  </w:style>
  <w:style w:type="paragraph" w:customStyle="1" w:styleId="TOAHeading1">
    <w:name w:val="TOA Heading1"/>
    <w:basedOn w:val="Normal"/>
    <w:next w:val="Normal"/>
    <w:rsid w:val="00D66BAC"/>
    <w:pPr>
      <w:suppressAutoHyphens/>
      <w:spacing w:before="120" w:after="0" w:line="240" w:lineRule="auto"/>
      <w:jc w:val="both"/>
    </w:pPr>
    <w:rPr>
      <w:rFonts w:ascii="Times New Roman" w:eastAsia="Times New Roman" w:hAnsi="Times New Roman" w:cs="Arial"/>
      <w:b/>
      <w:bCs/>
      <w:sz w:val="24"/>
      <w:szCs w:val="24"/>
      <w:lang w:eastAsia="ar-SA"/>
    </w:rPr>
  </w:style>
  <w:style w:type="paragraph" w:customStyle="1" w:styleId="BodyText31">
    <w:name w:val="Body Text 31"/>
    <w:basedOn w:val="Normal"/>
    <w:rsid w:val="00D66BAC"/>
    <w:pPr>
      <w:suppressAutoHyphens/>
      <w:spacing w:before="120" w:after="120" w:line="240" w:lineRule="auto"/>
      <w:jc w:val="both"/>
    </w:pPr>
    <w:rPr>
      <w:rFonts w:ascii="Times New Roman" w:eastAsia="Times New Roman" w:hAnsi="Times New Roman"/>
      <w:szCs w:val="24"/>
      <w:lang w:eastAsia="ar-SA"/>
    </w:rPr>
  </w:style>
  <w:style w:type="paragraph" w:customStyle="1" w:styleId="BalloonText1">
    <w:name w:val="Balloon Text1"/>
    <w:basedOn w:val="Normal"/>
    <w:rsid w:val="00D66BAC"/>
    <w:pPr>
      <w:suppressAutoHyphens/>
      <w:spacing w:after="0" w:line="240" w:lineRule="auto"/>
    </w:pPr>
    <w:rPr>
      <w:rFonts w:ascii="Tahoma" w:hAnsi="Tahoma" w:cs="Tahoma"/>
      <w:sz w:val="16"/>
      <w:szCs w:val="16"/>
      <w:lang w:val="en-CA" w:eastAsia="ar-SA"/>
    </w:rPr>
  </w:style>
  <w:style w:type="paragraph" w:customStyle="1" w:styleId="CommentSubject1">
    <w:name w:val="Comment Subject1"/>
    <w:basedOn w:val="CommentText1"/>
    <w:next w:val="CommentText1"/>
    <w:rsid w:val="00D66BAC"/>
    <w:pPr>
      <w:spacing w:after="200" w:line="276" w:lineRule="auto"/>
      <w:jc w:val="left"/>
    </w:pPr>
    <w:rPr>
      <w:rFonts w:ascii="Calibri" w:eastAsia="Calibri" w:hAnsi="Calibri" w:cs="Calibri"/>
      <w:b/>
      <w:bCs/>
      <w:sz w:val="20"/>
      <w:szCs w:val="20"/>
      <w:lang w:val="en-CA"/>
    </w:rPr>
  </w:style>
  <w:style w:type="paragraph" w:customStyle="1" w:styleId="Revision1">
    <w:name w:val="Revision1"/>
    <w:rsid w:val="00D66BAC"/>
    <w:pPr>
      <w:suppressAutoHyphens/>
    </w:pPr>
    <w:rPr>
      <w:rFonts w:ascii="Times New Roman" w:eastAsia="Arial" w:hAnsi="Times New Roman"/>
      <w:sz w:val="22"/>
      <w:szCs w:val="24"/>
      <w:lang w:val="en-GB" w:eastAsia="ar-SA"/>
    </w:rPr>
  </w:style>
  <w:style w:type="paragraph" w:styleId="HTMLPreformatted">
    <w:name w:val="HTML Preformatted"/>
    <w:basedOn w:val="Normal"/>
    <w:link w:val="HTMLPreformattedChar1"/>
    <w:rsid w:val="00D66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ar-SA"/>
    </w:rPr>
  </w:style>
  <w:style w:type="character" w:customStyle="1" w:styleId="HTMLPreformattedChar1">
    <w:name w:val="HTML Preformatted Char1"/>
    <w:link w:val="HTMLPreformatted"/>
    <w:rsid w:val="00D66BAC"/>
    <w:rPr>
      <w:rFonts w:ascii="Courier New" w:eastAsia="Times New Roman" w:hAnsi="Courier New"/>
      <w:lang w:val="x-none" w:eastAsia="ar-SA"/>
    </w:rPr>
  </w:style>
  <w:style w:type="paragraph" w:styleId="NormalWeb">
    <w:name w:val="Normal (Web)"/>
    <w:basedOn w:val="Normal"/>
    <w:uiPriority w:val="99"/>
    <w:rsid w:val="00D66BAC"/>
    <w:pPr>
      <w:spacing w:before="100" w:after="100" w:line="240" w:lineRule="auto"/>
    </w:pPr>
    <w:rPr>
      <w:rFonts w:ascii="Times New Roman" w:eastAsia="Times New Roman" w:hAnsi="Times New Roman"/>
      <w:sz w:val="24"/>
      <w:szCs w:val="24"/>
      <w:lang w:val="pt-BR" w:eastAsia="ar-SA"/>
    </w:rPr>
  </w:style>
  <w:style w:type="paragraph" w:customStyle="1" w:styleId="ColourfulShadingAccent11">
    <w:name w:val="Colourful Shading – Accent 11"/>
    <w:rsid w:val="00D66BAC"/>
    <w:pPr>
      <w:suppressAutoHyphens/>
    </w:pPr>
    <w:rPr>
      <w:rFonts w:ascii="Times New Roman" w:eastAsia="Times New Roman" w:hAnsi="Times New Roman"/>
      <w:sz w:val="22"/>
      <w:szCs w:val="24"/>
      <w:lang w:val="en-GB" w:eastAsia="ar-SA"/>
    </w:rPr>
  </w:style>
  <w:style w:type="paragraph" w:customStyle="1" w:styleId="kickertext">
    <w:name w:val="kickertext"/>
    <w:basedOn w:val="Normal"/>
    <w:rsid w:val="00D66BAC"/>
    <w:pPr>
      <w:spacing w:before="100" w:after="100" w:line="240" w:lineRule="auto"/>
    </w:pPr>
    <w:rPr>
      <w:rFonts w:ascii="Times New Roman" w:eastAsia="Times New Roman" w:hAnsi="Times New Roman"/>
      <w:sz w:val="24"/>
      <w:szCs w:val="24"/>
      <w:lang w:val="pt-BR" w:eastAsia="ar-SA"/>
    </w:rPr>
  </w:style>
  <w:style w:type="paragraph" w:customStyle="1" w:styleId="pagetitletext">
    <w:name w:val="pagetitletext"/>
    <w:basedOn w:val="Normal"/>
    <w:rsid w:val="00D66BAC"/>
    <w:pPr>
      <w:spacing w:before="100" w:after="100" w:line="240" w:lineRule="auto"/>
    </w:pPr>
    <w:rPr>
      <w:rFonts w:ascii="Times New Roman" w:eastAsia="Times New Roman" w:hAnsi="Times New Roman"/>
      <w:sz w:val="24"/>
      <w:szCs w:val="24"/>
      <w:lang w:val="pt-BR" w:eastAsia="ar-SA"/>
    </w:rPr>
  </w:style>
  <w:style w:type="paragraph" w:customStyle="1" w:styleId="paralargetext">
    <w:name w:val="paralargetext"/>
    <w:basedOn w:val="Normal"/>
    <w:rsid w:val="00D66BAC"/>
    <w:pPr>
      <w:spacing w:before="100" w:after="100" w:line="240" w:lineRule="auto"/>
    </w:pPr>
    <w:rPr>
      <w:rFonts w:ascii="Times New Roman" w:eastAsia="Times New Roman" w:hAnsi="Times New Roman"/>
      <w:sz w:val="24"/>
      <w:szCs w:val="24"/>
      <w:lang w:val="pt-BR" w:eastAsia="ar-SA"/>
    </w:rPr>
  </w:style>
  <w:style w:type="paragraph" w:customStyle="1" w:styleId="paranormaltext">
    <w:name w:val="paranormaltext"/>
    <w:basedOn w:val="Normal"/>
    <w:rsid w:val="00D66BAC"/>
    <w:pPr>
      <w:spacing w:before="100" w:after="100" w:line="240" w:lineRule="auto"/>
    </w:pPr>
    <w:rPr>
      <w:rFonts w:ascii="Times New Roman" w:eastAsia="Times New Roman" w:hAnsi="Times New Roman"/>
      <w:sz w:val="24"/>
      <w:szCs w:val="24"/>
      <w:lang w:val="pt-BR" w:eastAsia="ar-SA"/>
    </w:rPr>
  </w:style>
  <w:style w:type="paragraph" w:customStyle="1" w:styleId="Style7">
    <w:name w:val="Style7"/>
    <w:basedOn w:val="Heading1"/>
    <w:rsid w:val="00D66BAC"/>
    <w:pPr>
      <w:suppressAutoHyphens/>
      <w:jc w:val="left"/>
    </w:pPr>
    <w:rPr>
      <w:kern w:val="0"/>
      <w:sz w:val="24"/>
    </w:rPr>
  </w:style>
  <w:style w:type="paragraph" w:customStyle="1" w:styleId="Style8">
    <w:name w:val="Style8"/>
    <w:basedOn w:val="Heading1"/>
    <w:next w:val="Heading2"/>
    <w:rsid w:val="00D66BAC"/>
    <w:pPr>
      <w:suppressAutoHyphens/>
      <w:jc w:val="left"/>
    </w:pPr>
    <w:rPr>
      <w:kern w:val="0"/>
      <w:sz w:val="24"/>
    </w:rPr>
  </w:style>
  <w:style w:type="character" w:customStyle="1" w:styleId="StyleFootnoteReferenceNounderline">
    <w:name w:val="Style Footnote Reference + No underline"/>
    <w:rsid w:val="00D66BAC"/>
    <w:rPr>
      <w:sz w:val="18"/>
      <w:u w:val="none"/>
      <w:vertAlign w:val="baseline"/>
    </w:rPr>
  </w:style>
  <w:style w:type="paragraph" w:customStyle="1" w:styleId="Pa0">
    <w:name w:val="Pa0"/>
    <w:uiPriority w:val="99"/>
    <w:rsid w:val="006904D0"/>
    <w:pPr>
      <w:autoSpaceDE w:val="0"/>
      <w:autoSpaceDN w:val="0"/>
      <w:adjustRightInd w:val="0"/>
      <w:spacing w:line="201" w:lineRule="atLeast"/>
    </w:pPr>
    <w:rPr>
      <w:rFonts w:ascii="Minion Pro" w:hAnsi="Minion Pro"/>
      <w:sz w:val="24"/>
      <w:szCs w:val="24"/>
      <w:lang w:val="en-CA" w:eastAsia="en-CA"/>
    </w:rPr>
  </w:style>
  <w:style w:type="paragraph" w:customStyle="1" w:styleId="Pa7">
    <w:name w:val="Pa7"/>
    <w:uiPriority w:val="99"/>
    <w:rsid w:val="006904D0"/>
    <w:pPr>
      <w:autoSpaceDE w:val="0"/>
      <w:autoSpaceDN w:val="0"/>
      <w:adjustRightInd w:val="0"/>
      <w:spacing w:line="201" w:lineRule="atLeast"/>
    </w:pPr>
    <w:rPr>
      <w:rFonts w:ascii="Minion Pro" w:hAnsi="Minion Pro"/>
      <w:sz w:val="24"/>
      <w:szCs w:val="24"/>
      <w:lang w:val="en-CA" w:eastAsia="en-CA"/>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unhideWhenUsed/>
    <w:rsid w:val="000034B1"/>
    <w:rPr>
      <w:color w:val="605E5C"/>
      <w:shd w:val="clear" w:color="auto" w:fill="E1DFDD"/>
    </w:rPr>
  </w:style>
  <w:style w:type="paragraph" w:styleId="ListParagraph">
    <w:name w:val="List Paragraph"/>
    <w:basedOn w:val="Normal"/>
    <w:uiPriority w:val="34"/>
    <w:qFormat/>
    <w:rsid w:val="00D84CF5"/>
    <w:pPr>
      <w:ind w:left="720"/>
      <w:contextualSpacing/>
    </w:pPr>
  </w:style>
  <w:style w:type="paragraph" w:styleId="Revision">
    <w:name w:val="Revision"/>
    <w:hidden/>
    <w:semiHidden/>
    <w:rsid w:val="00EF7419"/>
    <w:rPr>
      <w:sz w:val="22"/>
      <w:szCs w:val="22"/>
      <w:lang w:eastAsia="en-US"/>
    </w:rPr>
  </w:style>
  <w:style w:type="paragraph" w:customStyle="1" w:styleId="volume-issue">
    <w:name w:val="volume-issue"/>
    <w:basedOn w:val="Normal"/>
    <w:uiPriority w:val="99"/>
    <w:semiHidden/>
    <w:rsid w:val="00646179"/>
    <w:pPr>
      <w:spacing w:before="100" w:beforeAutospacing="1" w:after="100" w:afterAutospacing="1" w:line="240" w:lineRule="auto"/>
    </w:pPr>
    <w:rPr>
      <w:rFonts w:eastAsia="Times New Roman" w:cs="Calibri"/>
    </w:rPr>
  </w:style>
  <w:style w:type="numbering" w:customStyle="1" w:styleId="NoList2">
    <w:name w:val="No List2"/>
    <w:next w:val="NoList"/>
    <w:uiPriority w:val="99"/>
    <w:semiHidden/>
    <w:unhideWhenUsed/>
    <w:rsid w:val="00F94A85"/>
  </w:style>
  <w:style w:type="paragraph" w:styleId="TOCHeading">
    <w:name w:val="TOC Heading"/>
    <w:basedOn w:val="Heading1"/>
    <w:next w:val="Normal"/>
    <w:uiPriority w:val="39"/>
    <w:unhideWhenUsed/>
    <w:qFormat/>
    <w:rsid w:val="000A5408"/>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kern w:val="0"/>
      <w:sz w:val="32"/>
      <w:szCs w:val="32"/>
      <w:lang w:val="en-US" w:eastAsia="en-US"/>
    </w:rPr>
  </w:style>
  <w:style w:type="paragraph" w:customStyle="1" w:styleId="Pa3">
    <w:name w:val="Pa3"/>
    <w:uiPriority w:val="99"/>
    <w:rsid w:val="007E4F1F"/>
    <w:pPr>
      <w:autoSpaceDE w:val="0"/>
      <w:autoSpaceDN w:val="0"/>
      <w:adjustRightInd w:val="0"/>
      <w:spacing w:line="201" w:lineRule="atLeast"/>
    </w:pPr>
    <w:rPr>
      <w:rFonts w:ascii="Sofia Pro Light" w:eastAsia="Times New Roman" w:hAnsi="Sofia Pro Light"/>
      <w:sz w:val="24"/>
      <w:szCs w:val="24"/>
    </w:rPr>
  </w:style>
  <w:style w:type="character" w:styleId="Mention">
    <w:name w:val="Mention"/>
    <w:basedOn w:val="DefaultParagraphFont"/>
    <w:uiPriority w:val="99"/>
    <w:unhideWhenUsed/>
    <w:rsid w:val="009C31F8"/>
    <w:rPr>
      <w:color w:val="2B579A"/>
      <w:shd w:val="clear" w:color="auto" w:fill="E1DFDD"/>
    </w:rPr>
  </w:style>
  <w:style w:type="table" w:styleId="PlainTable2">
    <w:name w:val="Plain Table 2"/>
    <w:basedOn w:val="TableNormal"/>
    <w:uiPriority w:val="42"/>
    <w:rsid w:val="00F9507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x-doi">
    <w:name w:val="dx-doi"/>
    <w:basedOn w:val="Normal"/>
    <w:rsid w:val="00F27F0D"/>
    <w:pPr>
      <w:spacing w:before="100" w:beforeAutospacing="1" w:after="100" w:afterAutospacing="1" w:line="240" w:lineRule="auto"/>
    </w:pPr>
    <w:rPr>
      <w:rFonts w:ascii="Times New Roman" w:eastAsia="Times New Roman" w:hAnsi="Times New Roman"/>
      <w:sz w:val="24"/>
      <w:szCs w:val="24"/>
      <w:lang w:val="en-US" w:eastAsia="zh-CN"/>
    </w:rPr>
  </w:style>
  <w:style w:type="paragraph" w:customStyle="1" w:styleId="meetingname">
    <w:name w:val="meeting name"/>
    <w:basedOn w:val="Normal"/>
    <w:qFormat/>
    <w:rsid w:val="009C2DA0"/>
    <w:pPr>
      <w:snapToGrid w:val="0"/>
      <w:spacing w:after="0" w:line="240" w:lineRule="auto"/>
      <w:ind w:left="170" w:right="3119" w:hanging="170"/>
    </w:pPr>
    <w:rPr>
      <w:rFonts w:ascii="Times New Roman" w:eastAsia="Malgun Gothic" w:hAnsi="Times New Roman"/>
      <w:caps/>
      <w:szCs w:val="24"/>
    </w:rPr>
  </w:style>
  <w:style w:type="character" w:styleId="PlaceholderText">
    <w:name w:val="Placeholder Text"/>
    <w:basedOn w:val="DefaultParagraphFont"/>
    <w:uiPriority w:val="99"/>
    <w:rsid w:val="009C2DA0"/>
  </w:style>
  <w:style w:type="table" w:customStyle="1" w:styleId="TableGrid1">
    <w:name w:val="Table Grid1"/>
    <w:basedOn w:val="TableNormal"/>
    <w:next w:val="TableGrid"/>
    <w:uiPriority w:val="59"/>
    <w:rsid w:val="009C2DA0"/>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365274">
      <w:bodyDiv w:val="1"/>
      <w:marLeft w:val="0"/>
      <w:marRight w:val="0"/>
      <w:marTop w:val="0"/>
      <w:marBottom w:val="0"/>
      <w:divBdr>
        <w:top w:val="none" w:sz="0" w:space="0" w:color="auto"/>
        <w:left w:val="none" w:sz="0" w:space="0" w:color="auto"/>
        <w:bottom w:val="none" w:sz="0" w:space="0" w:color="auto"/>
        <w:right w:val="none" w:sz="0" w:space="0" w:color="auto"/>
      </w:divBdr>
    </w:div>
    <w:div w:id="93936788">
      <w:bodyDiv w:val="1"/>
      <w:marLeft w:val="0"/>
      <w:marRight w:val="0"/>
      <w:marTop w:val="0"/>
      <w:marBottom w:val="0"/>
      <w:divBdr>
        <w:top w:val="none" w:sz="0" w:space="0" w:color="auto"/>
        <w:left w:val="none" w:sz="0" w:space="0" w:color="auto"/>
        <w:bottom w:val="none" w:sz="0" w:space="0" w:color="auto"/>
        <w:right w:val="none" w:sz="0" w:space="0" w:color="auto"/>
      </w:divBdr>
    </w:div>
    <w:div w:id="189030173">
      <w:bodyDiv w:val="1"/>
      <w:marLeft w:val="0"/>
      <w:marRight w:val="0"/>
      <w:marTop w:val="0"/>
      <w:marBottom w:val="0"/>
      <w:divBdr>
        <w:top w:val="none" w:sz="0" w:space="0" w:color="auto"/>
        <w:left w:val="none" w:sz="0" w:space="0" w:color="auto"/>
        <w:bottom w:val="none" w:sz="0" w:space="0" w:color="auto"/>
        <w:right w:val="none" w:sz="0" w:space="0" w:color="auto"/>
      </w:divBdr>
    </w:div>
    <w:div w:id="282426024">
      <w:bodyDiv w:val="1"/>
      <w:marLeft w:val="0"/>
      <w:marRight w:val="0"/>
      <w:marTop w:val="0"/>
      <w:marBottom w:val="0"/>
      <w:divBdr>
        <w:top w:val="none" w:sz="0" w:space="0" w:color="auto"/>
        <w:left w:val="none" w:sz="0" w:space="0" w:color="auto"/>
        <w:bottom w:val="none" w:sz="0" w:space="0" w:color="auto"/>
        <w:right w:val="none" w:sz="0" w:space="0" w:color="auto"/>
      </w:divBdr>
    </w:div>
    <w:div w:id="352338880">
      <w:bodyDiv w:val="1"/>
      <w:marLeft w:val="0"/>
      <w:marRight w:val="0"/>
      <w:marTop w:val="0"/>
      <w:marBottom w:val="0"/>
      <w:divBdr>
        <w:top w:val="none" w:sz="0" w:space="0" w:color="auto"/>
        <w:left w:val="none" w:sz="0" w:space="0" w:color="auto"/>
        <w:bottom w:val="none" w:sz="0" w:space="0" w:color="auto"/>
        <w:right w:val="none" w:sz="0" w:space="0" w:color="auto"/>
      </w:divBdr>
    </w:div>
    <w:div w:id="475218559">
      <w:bodyDiv w:val="1"/>
      <w:marLeft w:val="0"/>
      <w:marRight w:val="0"/>
      <w:marTop w:val="0"/>
      <w:marBottom w:val="0"/>
      <w:divBdr>
        <w:top w:val="none" w:sz="0" w:space="0" w:color="auto"/>
        <w:left w:val="none" w:sz="0" w:space="0" w:color="auto"/>
        <w:bottom w:val="none" w:sz="0" w:space="0" w:color="auto"/>
        <w:right w:val="none" w:sz="0" w:space="0" w:color="auto"/>
      </w:divBdr>
    </w:div>
    <w:div w:id="482166382">
      <w:bodyDiv w:val="1"/>
      <w:marLeft w:val="0"/>
      <w:marRight w:val="0"/>
      <w:marTop w:val="0"/>
      <w:marBottom w:val="0"/>
      <w:divBdr>
        <w:top w:val="none" w:sz="0" w:space="0" w:color="auto"/>
        <w:left w:val="none" w:sz="0" w:space="0" w:color="auto"/>
        <w:bottom w:val="none" w:sz="0" w:space="0" w:color="auto"/>
        <w:right w:val="none" w:sz="0" w:space="0" w:color="auto"/>
      </w:divBdr>
    </w:div>
    <w:div w:id="503785638">
      <w:bodyDiv w:val="1"/>
      <w:marLeft w:val="0"/>
      <w:marRight w:val="0"/>
      <w:marTop w:val="0"/>
      <w:marBottom w:val="0"/>
      <w:divBdr>
        <w:top w:val="none" w:sz="0" w:space="0" w:color="auto"/>
        <w:left w:val="none" w:sz="0" w:space="0" w:color="auto"/>
        <w:bottom w:val="none" w:sz="0" w:space="0" w:color="auto"/>
        <w:right w:val="none" w:sz="0" w:space="0" w:color="auto"/>
      </w:divBdr>
    </w:div>
    <w:div w:id="555243638">
      <w:bodyDiv w:val="1"/>
      <w:marLeft w:val="0"/>
      <w:marRight w:val="0"/>
      <w:marTop w:val="0"/>
      <w:marBottom w:val="0"/>
      <w:divBdr>
        <w:top w:val="none" w:sz="0" w:space="0" w:color="auto"/>
        <w:left w:val="none" w:sz="0" w:space="0" w:color="auto"/>
        <w:bottom w:val="none" w:sz="0" w:space="0" w:color="auto"/>
        <w:right w:val="none" w:sz="0" w:space="0" w:color="auto"/>
      </w:divBdr>
    </w:div>
    <w:div w:id="575358127">
      <w:bodyDiv w:val="1"/>
      <w:marLeft w:val="0"/>
      <w:marRight w:val="0"/>
      <w:marTop w:val="0"/>
      <w:marBottom w:val="0"/>
      <w:divBdr>
        <w:top w:val="none" w:sz="0" w:space="0" w:color="auto"/>
        <w:left w:val="none" w:sz="0" w:space="0" w:color="auto"/>
        <w:bottom w:val="none" w:sz="0" w:space="0" w:color="auto"/>
        <w:right w:val="none" w:sz="0" w:space="0" w:color="auto"/>
      </w:divBdr>
    </w:div>
    <w:div w:id="659891681">
      <w:bodyDiv w:val="1"/>
      <w:marLeft w:val="0"/>
      <w:marRight w:val="0"/>
      <w:marTop w:val="0"/>
      <w:marBottom w:val="0"/>
      <w:divBdr>
        <w:top w:val="none" w:sz="0" w:space="0" w:color="auto"/>
        <w:left w:val="none" w:sz="0" w:space="0" w:color="auto"/>
        <w:bottom w:val="none" w:sz="0" w:space="0" w:color="auto"/>
        <w:right w:val="none" w:sz="0" w:space="0" w:color="auto"/>
      </w:divBdr>
    </w:div>
    <w:div w:id="883561138">
      <w:bodyDiv w:val="1"/>
      <w:marLeft w:val="0"/>
      <w:marRight w:val="0"/>
      <w:marTop w:val="0"/>
      <w:marBottom w:val="0"/>
      <w:divBdr>
        <w:top w:val="none" w:sz="0" w:space="0" w:color="auto"/>
        <w:left w:val="none" w:sz="0" w:space="0" w:color="auto"/>
        <w:bottom w:val="none" w:sz="0" w:space="0" w:color="auto"/>
        <w:right w:val="none" w:sz="0" w:space="0" w:color="auto"/>
      </w:divBdr>
      <w:divsChild>
        <w:div w:id="6252509">
          <w:marLeft w:val="0"/>
          <w:marRight w:val="0"/>
          <w:marTop w:val="0"/>
          <w:marBottom w:val="0"/>
          <w:divBdr>
            <w:top w:val="none" w:sz="0" w:space="0" w:color="auto"/>
            <w:left w:val="none" w:sz="0" w:space="0" w:color="auto"/>
            <w:bottom w:val="none" w:sz="0" w:space="0" w:color="auto"/>
            <w:right w:val="none" w:sz="0" w:space="0" w:color="auto"/>
          </w:divBdr>
        </w:div>
        <w:div w:id="507721765">
          <w:marLeft w:val="0"/>
          <w:marRight w:val="0"/>
          <w:marTop w:val="0"/>
          <w:marBottom w:val="0"/>
          <w:divBdr>
            <w:top w:val="none" w:sz="0" w:space="0" w:color="auto"/>
            <w:left w:val="none" w:sz="0" w:space="0" w:color="auto"/>
            <w:bottom w:val="none" w:sz="0" w:space="0" w:color="auto"/>
            <w:right w:val="none" w:sz="0" w:space="0" w:color="auto"/>
          </w:divBdr>
        </w:div>
        <w:div w:id="868222303">
          <w:marLeft w:val="0"/>
          <w:marRight w:val="0"/>
          <w:marTop w:val="0"/>
          <w:marBottom w:val="0"/>
          <w:divBdr>
            <w:top w:val="none" w:sz="0" w:space="0" w:color="auto"/>
            <w:left w:val="none" w:sz="0" w:space="0" w:color="auto"/>
            <w:bottom w:val="none" w:sz="0" w:space="0" w:color="auto"/>
            <w:right w:val="none" w:sz="0" w:space="0" w:color="auto"/>
          </w:divBdr>
        </w:div>
      </w:divsChild>
    </w:div>
    <w:div w:id="963466508">
      <w:bodyDiv w:val="1"/>
      <w:marLeft w:val="0"/>
      <w:marRight w:val="0"/>
      <w:marTop w:val="0"/>
      <w:marBottom w:val="0"/>
      <w:divBdr>
        <w:top w:val="none" w:sz="0" w:space="0" w:color="auto"/>
        <w:left w:val="none" w:sz="0" w:space="0" w:color="auto"/>
        <w:bottom w:val="none" w:sz="0" w:space="0" w:color="auto"/>
        <w:right w:val="none" w:sz="0" w:space="0" w:color="auto"/>
      </w:divBdr>
    </w:div>
    <w:div w:id="1036003558">
      <w:bodyDiv w:val="1"/>
      <w:marLeft w:val="0"/>
      <w:marRight w:val="0"/>
      <w:marTop w:val="0"/>
      <w:marBottom w:val="0"/>
      <w:divBdr>
        <w:top w:val="none" w:sz="0" w:space="0" w:color="auto"/>
        <w:left w:val="none" w:sz="0" w:space="0" w:color="auto"/>
        <w:bottom w:val="none" w:sz="0" w:space="0" w:color="auto"/>
        <w:right w:val="none" w:sz="0" w:space="0" w:color="auto"/>
      </w:divBdr>
      <w:divsChild>
        <w:div w:id="1055081108">
          <w:marLeft w:val="0"/>
          <w:marRight w:val="0"/>
          <w:marTop w:val="0"/>
          <w:marBottom w:val="0"/>
          <w:divBdr>
            <w:top w:val="none" w:sz="0" w:space="0" w:color="auto"/>
            <w:left w:val="none" w:sz="0" w:space="0" w:color="auto"/>
            <w:bottom w:val="none" w:sz="0" w:space="0" w:color="auto"/>
            <w:right w:val="none" w:sz="0" w:space="0" w:color="auto"/>
          </w:divBdr>
        </w:div>
      </w:divsChild>
    </w:div>
    <w:div w:id="1175655028">
      <w:bodyDiv w:val="1"/>
      <w:marLeft w:val="0"/>
      <w:marRight w:val="0"/>
      <w:marTop w:val="0"/>
      <w:marBottom w:val="0"/>
      <w:divBdr>
        <w:top w:val="none" w:sz="0" w:space="0" w:color="auto"/>
        <w:left w:val="none" w:sz="0" w:space="0" w:color="auto"/>
        <w:bottom w:val="none" w:sz="0" w:space="0" w:color="auto"/>
        <w:right w:val="none" w:sz="0" w:space="0" w:color="auto"/>
      </w:divBdr>
    </w:div>
    <w:div w:id="1215846374">
      <w:bodyDiv w:val="1"/>
      <w:marLeft w:val="0"/>
      <w:marRight w:val="0"/>
      <w:marTop w:val="0"/>
      <w:marBottom w:val="0"/>
      <w:divBdr>
        <w:top w:val="none" w:sz="0" w:space="0" w:color="auto"/>
        <w:left w:val="none" w:sz="0" w:space="0" w:color="auto"/>
        <w:bottom w:val="none" w:sz="0" w:space="0" w:color="auto"/>
        <w:right w:val="none" w:sz="0" w:space="0" w:color="auto"/>
      </w:divBdr>
    </w:div>
    <w:div w:id="1436826240">
      <w:bodyDiv w:val="1"/>
      <w:marLeft w:val="0"/>
      <w:marRight w:val="0"/>
      <w:marTop w:val="0"/>
      <w:marBottom w:val="0"/>
      <w:divBdr>
        <w:top w:val="none" w:sz="0" w:space="0" w:color="auto"/>
        <w:left w:val="none" w:sz="0" w:space="0" w:color="auto"/>
        <w:bottom w:val="none" w:sz="0" w:space="0" w:color="auto"/>
        <w:right w:val="none" w:sz="0" w:space="0" w:color="auto"/>
      </w:divBdr>
    </w:div>
    <w:div w:id="1446195929">
      <w:bodyDiv w:val="1"/>
      <w:marLeft w:val="0"/>
      <w:marRight w:val="0"/>
      <w:marTop w:val="0"/>
      <w:marBottom w:val="0"/>
      <w:divBdr>
        <w:top w:val="none" w:sz="0" w:space="0" w:color="auto"/>
        <w:left w:val="none" w:sz="0" w:space="0" w:color="auto"/>
        <w:bottom w:val="none" w:sz="0" w:space="0" w:color="auto"/>
        <w:right w:val="none" w:sz="0" w:space="0" w:color="auto"/>
      </w:divBdr>
    </w:div>
    <w:div w:id="1525972110">
      <w:bodyDiv w:val="1"/>
      <w:marLeft w:val="0"/>
      <w:marRight w:val="0"/>
      <w:marTop w:val="0"/>
      <w:marBottom w:val="0"/>
      <w:divBdr>
        <w:top w:val="none" w:sz="0" w:space="0" w:color="auto"/>
        <w:left w:val="none" w:sz="0" w:space="0" w:color="auto"/>
        <w:bottom w:val="none" w:sz="0" w:space="0" w:color="auto"/>
        <w:right w:val="none" w:sz="0" w:space="0" w:color="auto"/>
      </w:divBdr>
    </w:div>
    <w:div w:id="1655259950">
      <w:bodyDiv w:val="1"/>
      <w:marLeft w:val="0"/>
      <w:marRight w:val="0"/>
      <w:marTop w:val="0"/>
      <w:marBottom w:val="0"/>
      <w:divBdr>
        <w:top w:val="none" w:sz="0" w:space="0" w:color="auto"/>
        <w:left w:val="none" w:sz="0" w:space="0" w:color="auto"/>
        <w:bottom w:val="none" w:sz="0" w:space="0" w:color="auto"/>
        <w:right w:val="none" w:sz="0" w:space="0" w:color="auto"/>
      </w:divBdr>
    </w:div>
    <w:div w:id="1695613687">
      <w:bodyDiv w:val="1"/>
      <w:marLeft w:val="0"/>
      <w:marRight w:val="0"/>
      <w:marTop w:val="0"/>
      <w:marBottom w:val="0"/>
      <w:divBdr>
        <w:top w:val="none" w:sz="0" w:space="0" w:color="auto"/>
        <w:left w:val="none" w:sz="0" w:space="0" w:color="auto"/>
        <w:bottom w:val="none" w:sz="0" w:space="0" w:color="auto"/>
        <w:right w:val="none" w:sz="0" w:space="0" w:color="auto"/>
      </w:divBdr>
    </w:div>
    <w:div w:id="1728841288">
      <w:bodyDiv w:val="1"/>
      <w:marLeft w:val="0"/>
      <w:marRight w:val="0"/>
      <w:marTop w:val="0"/>
      <w:marBottom w:val="0"/>
      <w:divBdr>
        <w:top w:val="none" w:sz="0" w:space="0" w:color="auto"/>
        <w:left w:val="none" w:sz="0" w:space="0" w:color="auto"/>
        <w:bottom w:val="none" w:sz="0" w:space="0" w:color="auto"/>
        <w:right w:val="none" w:sz="0" w:space="0" w:color="auto"/>
      </w:divBdr>
      <w:divsChild>
        <w:div w:id="85345696">
          <w:marLeft w:val="0"/>
          <w:marRight w:val="0"/>
          <w:marTop w:val="0"/>
          <w:marBottom w:val="0"/>
          <w:divBdr>
            <w:top w:val="none" w:sz="0" w:space="0" w:color="auto"/>
            <w:left w:val="none" w:sz="0" w:space="0" w:color="auto"/>
            <w:bottom w:val="none" w:sz="0" w:space="0" w:color="auto"/>
            <w:right w:val="none" w:sz="0" w:space="0" w:color="auto"/>
          </w:divBdr>
        </w:div>
        <w:div w:id="271597699">
          <w:marLeft w:val="0"/>
          <w:marRight w:val="0"/>
          <w:marTop w:val="0"/>
          <w:marBottom w:val="0"/>
          <w:divBdr>
            <w:top w:val="none" w:sz="0" w:space="0" w:color="auto"/>
            <w:left w:val="none" w:sz="0" w:space="0" w:color="auto"/>
            <w:bottom w:val="none" w:sz="0" w:space="0" w:color="auto"/>
            <w:right w:val="none" w:sz="0" w:space="0" w:color="auto"/>
          </w:divBdr>
        </w:div>
        <w:div w:id="817381019">
          <w:marLeft w:val="0"/>
          <w:marRight w:val="0"/>
          <w:marTop w:val="0"/>
          <w:marBottom w:val="0"/>
          <w:divBdr>
            <w:top w:val="none" w:sz="0" w:space="0" w:color="auto"/>
            <w:left w:val="none" w:sz="0" w:space="0" w:color="auto"/>
            <w:bottom w:val="none" w:sz="0" w:space="0" w:color="auto"/>
            <w:right w:val="none" w:sz="0" w:space="0" w:color="auto"/>
          </w:divBdr>
        </w:div>
      </w:divsChild>
    </w:div>
    <w:div w:id="1999845675">
      <w:bodyDiv w:val="1"/>
      <w:marLeft w:val="0"/>
      <w:marRight w:val="0"/>
      <w:marTop w:val="0"/>
      <w:marBottom w:val="0"/>
      <w:divBdr>
        <w:top w:val="none" w:sz="0" w:space="0" w:color="auto"/>
        <w:left w:val="none" w:sz="0" w:space="0" w:color="auto"/>
        <w:bottom w:val="none" w:sz="0" w:space="0" w:color="auto"/>
        <w:right w:val="none" w:sz="0" w:space="0" w:color="auto"/>
      </w:divBdr>
    </w:div>
    <w:div w:id="2010254516">
      <w:bodyDiv w:val="1"/>
      <w:marLeft w:val="0"/>
      <w:marRight w:val="0"/>
      <w:marTop w:val="0"/>
      <w:marBottom w:val="0"/>
      <w:divBdr>
        <w:top w:val="none" w:sz="0" w:space="0" w:color="auto"/>
        <w:left w:val="none" w:sz="0" w:space="0" w:color="auto"/>
        <w:bottom w:val="none" w:sz="0" w:space="0" w:color="auto"/>
        <w:right w:val="none" w:sz="0" w:space="0" w:color="auto"/>
      </w:divBdr>
    </w:div>
    <w:div w:id="214021963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16/j.copbio.2020.06.012" TargetMode="External"/><Relationship Id="rId299" Type="http://schemas.openxmlformats.org/officeDocument/2006/relationships/hyperlink" Target="https://doi.org/10.1525/bio.2013.63.1.7" TargetMode="External"/><Relationship Id="rId671" Type="http://schemas.openxmlformats.org/officeDocument/2006/relationships/hyperlink" Target="https://doi.org/10.3389/fbioe.2020.00303" TargetMode="External"/><Relationship Id="rId21" Type="http://schemas.openxmlformats.org/officeDocument/2006/relationships/hyperlink" Target="https://www.cbd.int/doc/meetings/cop/cop-12/information/cop-12-inf-12-en.pdf" TargetMode="External"/><Relationship Id="rId63" Type="http://schemas.openxmlformats.org/officeDocument/2006/relationships/hyperlink" Target="http://www.science.org.au/gene-drives" TargetMode="External"/><Relationship Id="rId159" Type="http://schemas.openxmlformats.org/officeDocument/2006/relationships/hyperlink" Target="https://doi.org/10.15252/embr.201744822" TargetMode="External"/><Relationship Id="rId324" Type="http://schemas.openxmlformats.org/officeDocument/2006/relationships/hyperlink" Target="https://doi.org/10.1016/j.copbio.2017.12.023" TargetMode="External"/><Relationship Id="rId366" Type="http://schemas.openxmlformats.org/officeDocument/2006/relationships/hyperlink" Target="https://doi.org/10.1038/d41586-018-07874-0" TargetMode="External"/><Relationship Id="rId531" Type="http://schemas.openxmlformats.org/officeDocument/2006/relationships/hyperlink" Target="https://doi.org/10.1126/science.aaf4557" TargetMode="External"/><Relationship Id="rId573" Type="http://schemas.openxmlformats.org/officeDocument/2006/relationships/hyperlink" Target="https://patents.google.com/patent/US20190300588A1/" TargetMode="External"/><Relationship Id="rId629" Type="http://schemas.openxmlformats.org/officeDocument/2006/relationships/hyperlink" Target="https://doi.org/10.1111/pbi.12074" TargetMode="External"/><Relationship Id="rId170" Type="http://schemas.openxmlformats.org/officeDocument/2006/relationships/hyperlink" Target="https://doi.org/10.1016/j.cmpb.2020.105436" TargetMode="External"/><Relationship Id="rId226" Type="http://schemas.openxmlformats.org/officeDocument/2006/relationships/hyperlink" Target="https://www.etcgroup.org/content/new-biomassters" TargetMode="External"/><Relationship Id="rId433" Type="http://schemas.openxmlformats.org/officeDocument/2006/relationships/hyperlink" Target="https://doi.org/10.1111/1751-7915.12369" TargetMode="External"/><Relationship Id="rId268" Type="http://schemas.openxmlformats.org/officeDocument/2006/relationships/hyperlink" Target="https://doi.org/10.1016/j.copbio.2018.10.007" TargetMode="External"/><Relationship Id="rId475" Type="http://schemas.openxmlformats.org/officeDocument/2006/relationships/hyperlink" Target="%20https:/doi.org/10.1002/bies.20664" TargetMode="External"/><Relationship Id="rId640" Type="http://schemas.openxmlformats.org/officeDocument/2006/relationships/hyperlink" Target="https://www.cbd.int/doc/legal/cbd-en.pdf" TargetMode="External"/><Relationship Id="rId682" Type="http://schemas.openxmlformats.org/officeDocument/2006/relationships/hyperlink" Target="https://doi.org/10.1111/pbi.12444" TargetMode="External"/><Relationship Id="rId32" Type="http://schemas.openxmlformats.org/officeDocument/2006/relationships/hyperlink" Target="https://doi.org/10.1016/j.rser.2019.02.018" TargetMode="External"/><Relationship Id="rId74" Type="http://schemas.openxmlformats.org/officeDocument/2006/relationships/hyperlink" Target="https://doi.org/10.1111/pbi.13116" TargetMode="External"/><Relationship Id="rId128" Type="http://schemas.openxmlformats.org/officeDocument/2006/relationships/hyperlink" Target="%20https:/doi.org/10.1093/nar/gkt052" TargetMode="External"/><Relationship Id="rId335" Type="http://schemas.openxmlformats.org/officeDocument/2006/relationships/hyperlink" Target="https://doi.org/10.1021/acssynbio.8b00213" TargetMode="External"/><Relationship Id="rId377" Type="http://schemas.openxmlformats.org/officeDocument/2006/relationships/hyperlink" Target="https://doi.org/10.1038/nbt.4245" TargetMode="External"/><Relationship Id="rId500" Type="http://schemas.openxmlformats.org/officeDocument/2006/relationships/hyperlink" Target="https://doi.org/10.1016/j.cbpa.2017.10.024" TargetMode="External"/><Relationship Id="rId542" Type="http://schemas.openxmlformats.org/officeDocument/2006/relationships/hyperlink" Target="https://doi.org/10.1038/s41587-020-0518-z" TargetMode="External"/><Relationship Id="rId584" Type="http://schemas.openxmlformats.org/officeDocument/2006/relationships/hyperlink" Target="https://doi.org/10.1038/srep27810" TargetMode="External"/><Relationship Id="rId5" Type="http://schemas.openxmlformats.org/officeDocument/2006/relationships/numbering" Target="numbering.xml"/><Relationship Id="rId181" Type="http://schemas.openxmlformats.org/officeDocument/2006/relationships/hyperlink" Target="https://doi.org/10.1016/j.tibtech.2020.11.015" TargetMode="External"/><Relationship Id="rId237" Type="http://schemas.openxmlformats.org/officeDocument/2006/relationships/hyperlink" Target="https://www.fda.gov/Food/IngredientsPackagingLabeling/GRAS/NoticeInventory/default.htm" TargetMode="External"/><Relationship Id="rId402" Type="http://schemas.openxmlformats.org/officeDocument/2006/relationships/hyperlink" Target="https://doi.org/10.1039/D0RA05293K" TargetMode="External"/><Relationship Id="rId279" Type="http://schemas.openxmlformats.org/officeDocument/2006/relationships/hyperlink" Target="%20https:/doi.org/10.1038/nmeth.1318" TargetMode="External"/><Relationship Id="rId444" Type="http://schemas.openxmlformats.org/officeDocument/2006/relationships/hyperlink" Target="https://doi.org/10.1177/1535676019838075" TargetMode="External"/><Relationship Id="rId486" Type="http://schemas.openxmlformats.org/officeDocument/2006/relationships/hyperlink" Target="https://doi.org/10.1007/978-90-481-2678-1_8" TargetMode="External"/><Relationship Id="rId651" Type="http://schemas.openxmlformats.org/officeDocument/2006/relationships/hyperlink" Target="https://doi.org/10.1128/microbiolspec.rwr-0007-2017" TargetMode="External"/><Relationship Id="rId693" Type="http://schemas.openxmlformats.org/officeDocument/2006/relationships/hyperlink" Target="https://doi.org/10.3390/plants9121780" TargetMode="External"/><Relationship Id="rId707" Type="http://schemas.openxmlformats.org/officeDocument/2006/relationships/hyperlink" Target="https://doi.org/10.1111/pbi.13383" TargetMode="External"/><Relationship Id="rId43" Type="http://schemas.openxmlformats.org/officeDocument/2006/relationships/hyperlink" Target="https://doi.org/10.1126/science.aac7932" TargetMode="External"/><Relationship Id="rId139" Type="http://schemas.openxmlformats.org/officeDocument/2006/relationships/hyperlink" Target="%20https:/doi.org/10.3390/foods9091245" TargetMode="External"/><Relationship Id="rId290" Type="http://schemas.openxmlformats.org/officeDocument/2006/relationships/hyperlink" Target="https://doi.org/10.1111/j.1523-1739.2007.00802.x" TargetMode="External"/><Relationship Id="rId304" Type="http://schemas.openxmlformats.org/officeDocument/2006/relationships/hyperlink" Target="https://doi.org/10.1007/s10530-017-1384-6" TargetMode="External"/><Relationship Id="rId346" Type="http://schemas.openxmlformats.org/officeDocument/2006/relationships/hyperlink" Target="https://doi.org/10.1038/nbt.4263" TargetMode="External"/><Relationship Id="rId388" Type="http://schemas.openxmlformats.org/officeDocument/2006/relationships/hyperlink" Target="https://doi.org/10.1038/nchembio.970" TargetMode="External"/><Relationship Id="rId511" Type="http://schemas.openxmlformats.org/officeDocument/2006/relationships/hyperlink" Target="https://doi.org/10.1038/s41467-020-18008-4" TargetMode="External"/><Relationship Id="rId553" Type="http://schemas.openxmlformats.org/officeDocument/2006/relationships/hyperlink" Target="https://doi.org/10.1111/pbi.12496" TargetMode="External"/><Relationship Id="rId609" Type="http://schemas.openxmlformats.org/officeDocument/2006/relationships/hyperlink" Target="https://doi.org/10.1007/s12355-015-0408-8" TargetMode="External"/><Relationship Id="rId85" Type="http://schemas.openxmlformats.org/officeDocument/2006/relationships/hyperlink" Target="http://biosafety.org.za/cms/modules/media/scripts/documents/document.handler.php?media_files_id=1088" TargetMode="External"/><Relationship Id="rId150" Type="http://schemas.openxmlformats.org/officeDocument/2006/relationships/hyperlink" Target="https://doi.org/10.1042/BST20190349" TargetMode="External"/><Relationship Id="rId192" Type="http://schemas.openxmlformats.org/officeDocument/2006/relationships/hyperlink" Target="https://doi.org/10.1136/jme.2010.038232" TargetMode="External"/><Relationship Id="rId206" Type="http://schemas.openxmlformats.org/officeDocument/2006/relationships/hyperlink" Target="%20https:/doi.org/10.1371/journal.pcbi.1006059" TargetMode="External"/><Relationship Id="rId413" Type="http://schemas.openxmlformats.org/officeDocument/2006/relationships/hyperlink" Target="https://doi.org/10.1007/s11427-018-9403-y" TargetMode="External"/><Relationship Id="rId595" Type="http://schemas.openxmlformats.org/officeDocument/2006/relationships/hyperlink" Target="https://www.acbio.org.za/sites/default/files/documents/Gene_drive_organisms_What_Africa_should_know_about_actors_motives_and_threats_to_biodiversity_and_food_systems.pdf" TargetMode="External"/><Relationship Id="rId248" Type="http://schemas.openxmlformats.org/officeDocument/2006/relationships/hyperlink" Target="https://doi.org/10.1038/s41418-020-00720-9" TargetMode="External"/><Relationship Id="rId455" Type="http://schemas.openxmlformats.org/officeDocument/2006/relationships/hyperlink" Target="https://doi.org/10.1016/j.tips.2020.12.004" TargetMode="External"/><Relationship Id="rId497" Type="http://schemas.openxmlformats.org/officeDocument/2006/relationships/hyperlink" Target="https://doi.org/10.1186/1741-7007-5-11" TargetMode="External"/><Relationship Id="rId620" Type="http://schemas.openxmlformats.org/officeDocument/2006/relationships/hyperlink" Target="https://doi.org/10.1007/s10340-020-01273-z" TargetMode="External"/><Relationship Id="rId662" Type="http://schemas.openxmlformats.org/officeDocument/2006/relationships/hyperlink" Target="https://doi.org/10.1002/anie.201708741" TargetMode="External"/><Relationship Id="rId718" Type="http://schemas.openxmlformats.org/officeDocument/2006/relationships/hyperlink" Target="https://doi.org/10.1002/ps.4813" TargetMode="External"/><Relationship Id="rId12" Type="http://schemas.openxmlformats.org/officeDocument/2006/relationships/image" Target="media/image2.png"/><Relationship Id="rId108" Type="http://schemas.openxmlformats.org/officeDocument/2006/relationships/hyperlink" Target="https://doi.org/10.5772/intechopen.80874" TargetMode="External"/><Relationship Id="rId315" Type="http://schemas.openxmlformats.org/officeDocument/2006/relationships/hyperlink" Target="https://patents.google.com/patent/US20200181659A1/en?assignee=%22mango+materials%22&amp;oq=assignee:+%22mango+materials%22" TargetMode="External"/><Relationship Id="rId357" Type="http://schemas.openxmlformats.org/officeDocument/2006/relationships/hyperlink" Target="https://doi.org/10.1186/s43141-020-00078-y" TargetMode="External"/><Relationship Id="rId522" Type="http://schemas.openxmlformats.org/officeDocument/2006/relationships/hyperlink" Target="https://patents.google.com/patent/WO2020163251A1/en?assignee=pivot+bio&amp;oq=pivot+bio" TargetMode="External"/><Relationship Id="rId54" Type="http://schemas.openxmlformats.org/officeDocument/2006/relationships/hyperlink" Target="https://doi.org/10.1371/journal.pone.0236399" TargetMode="External"/><Relationship Id="rId96" Type="http://schemas.openxmlformats.org/officeDocument/2006/relationships/hyperlink" Target="https://patents.google.com/patent/US20180125892A1" TargetMode="External"/><Relationship Id="rId161" Type="http://schemas.openxmlformats.org/officeDocument/2006/relationships/hyperlink" Target="https://doi.org/10.1017/9781316585269.004" TargetMode="External"/><Relationship Id="rId217" Type="http://schemas.openxmlformats.org/officeDocument/2006/relationships/hyperlink" Target="https://doi.org/10.1104/pp.18.01534" TargetMode="External"/><Relationship Id="rId399" Type="http://schemas.openxmlformats.org/officeDocument/2006/relationships/hyperlink" Target="https://doi.org/10.1126/science.aaw0542" TargetMode="External"/><Relationship Id="rId564" Type="http://schemas.openxmlformats.org/officeDocument/2006/relationships/hyperlink" Target="https://www.cbd.int/doc/publications/akwe-brochure-en.pdf" TargetMode="External"/><Relationship Id="rId259" Type="http://schemas.openxmlformats.org/officeDocument/2006/relationships/hyperlink" Target="https://doi.org/10.1101/cshperspect.a023754" TargetMode="External"/><Relationship Id="rId424" Type="http://schemas.openxmlformats.org/officeDocument/2006/relationships/hyperlink" Target="https://doi.org/10.1038/s41586-019-1185-4" TargetMode="External"/><Relationship Id="rId466" Type="http://schemas.openxmlformats.org/officeDocument/2006/relationships/hyperlink" Target="https://doi.org/10.7554/eLife.33423" TargetMode="External"/><Relationship Id="rId631" Type="http://schemas.openxmlformats.org/officeDocument/2006/relationships/hyperlink" Target="https://doi.org/10.1177/1535370218816657" TargetMode="External"/><Relationship Id="rId673" Type="http://schemas.openxmlformats.org/officeDocument/2006/relationships/hyperlink" Target="https://doi.org/10.1080/21645698.2016.1271856" TargetMode="External"/><Relationship Id="rId23" Type="http://schemas.openxmlformats.org/officeDocument/2006/relationships/header" Target="header1.xml"/><Relationship Id="rId119" Type="http://schemas.openxmlformats.org/officeDocument/2006/relationships/hyperlink" Target="https://doi.org/10.1038/nbt.1590" TargetMode="External"/><Relationship Id="rId270" Type="http://schemas.openxmlformats.org/officeDocument/2006/relationships/hyperlink" Target="https://doi.org/10.1038/s41587-019-0363-0" TargetMode="External"/><Relationship Id="rId326" Type="http://schemas.openxmlformats.org/officeDocument/2006/relationships/hyperlink" Target="https://doi.org/10.1126/science.aad6253" TargetMode="External"/><Relationship Id="rId533" Type="http://schemas.openxmlformats.org/officeDocument/2006/relationships/hyperlink" Target="https://patents.google.com/patent/WO2019161141A1/en?q=Chimeric+terpene+synthases&amp;oq=Chimeric+terpene+synthases%20" TargetMode="External"/><Relationship Id="rId65" Type="http://schemas.openxmlformats.org/officeDocument/2006/relationships/hyperlink" Target="https://doi.org/10.3389/fpls.2020.00021" TargetMode="External"/><Relationship Id="rId130" Type="http://schemas.openxmlformats.org/officeDocument/2006/relationships/hyperlink" Target="%20https:/doi.org/10.1038/s41467-020-15508-1" TargetMode="External"/><Relationship Id="rId368" Type="http://schemas.openxmlformats.org/officeDocument/2006/relationships/hyperlink" Target="https://doi.org/10.3389/fpls.2020.00130" TargetMode="External"/><Relationship Id="rId575" Type="http://schemas.openxmlformats.org/officeDocument/2006/relationships/hyperlink" Target="https://doi.org/10.1126/science.312.5777.1116" TargetMode="External"/><Relationship Id="rId172" Type="http://schemas.openxmlformats.org/officeDocument/2006/relationships/hyperlink" Target="https://doi.org/10.1002/bies.201000099" TargetMode="External"/><Relationship Id="rId228" Type="http://schemas.openxmlformats.org/officeDocument/2006/relationships/hyperlink" Target="https://www.etcgroup.org/sites/www.etcgroup.org/files/ETCGroupBriefing_Case4TA%40Rio_170312_0.pdf%20" TargetMode="External"/><Relationship Id="rId435" Type="http://schemas.openxmlformats.org/officeDocument/2006/relationships/hyperlink" Target="https://doi.org/10.1371/journal.pgen.1007220" TargetMode="External"/><Relationship Id="rId477" Type="http://schemas.openxmlformats.org/officeDocument/2006/relationships/hyperlink" Target="https://doi.org/10.9734/ajb2t/2020/v6i330083" TargetMode="External"/><Relationship Id="rId600" Type="http://schemas.openxmlformats.org/officeDocument/2006/relationships/hyperlink" Target="https://doi.org/10.1104/pp.18.01280" TargetMode="External"/><Relationship Id="rId642" Type="http://schemas.openxmlformats.org/officeDocument/2006/relationships/hyperlink" Target="https://apps.fas.usda.gov/newgainapi/api/Report/DownloadReportByFileName?fileName=Japan%20Determines%20Genome%20Edited%20Tomato%20Will%20Not%20be%20Regulated%20as%20GE_Tokyo_Japan_12-10-2020" TargetMode="External"/><Relationship Id="rId684" Type="http://schemas.openxmlformats.org/officeDocument/2006/relationships/hyperlink" Target="https://apps.who.int/iris/bitstream/handle/10665/198357/WHO_HSE_PED_2015.1_eng.pdf;sequence=1" TargetMode="External"/><Relationship Id="rId281" Type="http://schemas.openxmlformats.org/officeDocument/2006/relationships/hyperlink" Target="https://doi.org/10.1101/cshperspect.a023861" TargetMode="External"/><Relationship Id="rId337" Type="http://schemas.openxmlformats.org/officeDocument/2006/relationships/hyperlink" Target="https://doi.org/10.3390/mps2020039" TargetMode="External"/><Relationship Id="rId502" Type="http://schemas.openxmlformats.org/officeDocument/2006/relationships/hyperlink" Target="https://doi.org/10.1016/j.cbpa.2012.05.198" TargetMode="External"/><Relationship Id="rId34" Type="http://schemas.openxmlformats.org/officeDocument/2006/relationships/hyperlink" Target="https://doi.org/10.1111/1751-7915.12398" TargetMode="External"/><Relationship Id="rId76" Type="http://schemas.openxmlformats.org/officeDocument/2006/relationships/hyperlink" Target="http://www.entomoresin.com/1pdf/genetically_modified_insect2.pdf" TargetMode="External"/><Relationship Id="rId141" Type="http://schemas.openxmlformats.org/officeDocument/2006/relationships/hyperlink" Target="%20https:/doi.org/10.1126/science.286.5447.2087" TargetMode="External"/><Relationship Id="rId379" Type="http://schemas.openxmlformats.org/officeDocument/2006/relationships/hyperlink" Target="https://doi.org/10.1016/j.tibtech.2019.05.011" TargetMode="External"/><Relationship Id="rId544" Type="http://schemas.openxmlformats.org/officeDocument/2006/relationships/hyperlink" Target="%20https:/cogem.net/app/uploads/2019/07/CGM-2018-03-Report-Gene-Drives-met-kaft1.pdf" TargetMode="External"/><Relationship Id="rId586" Type="http://schemas.openxmlformats.org/officeDocument/2006/relationships/hyperlink" Target="https://doi.org/10.1016/j.gfs.2019.09.007" TargetMode="External"/><Relationship Id="rId7" Type="http://schemas.openxmlformats.org/officeDocument/2006/relationships/settings" Target="settings.xml"/><Relationship Id="rId183" Type="http://schemas.openxmlformats.org/officeDocument/2006/relationships/hyperlink" Target="https://doi.org/10.1016/j.ymben.2020.07.003" TargetMode="External"/><Relationship Id="rId239" Type="http://schemas.openxmlformats.org/officeDocument/2006/relationships/hyperlink" Target="https://doi.org/10.7554/eLife.26295" TargetMode="External"/><Relationship Id="rId390" Type="http://schemas.openxmlformats.org/officeDocument/2006/relationships/hyperlink" Target="https://doi.org/10.21423/jrs-v09i1lema" TargetMode="External"/><Relationship Id="rId404" Type="http://schemas.openxmlformats.org/officeDocument/2006/relationships/hyperlink" Target="https://doi.org/10.1016/j.jcs.2018.11.001" TargetMode="External"/><Relationship Id="rId446" Type="http://schemas.openxmlformats.org/officeDocument/2006/relationships/hyperlink" Target="https://doi.org/10.1038/s41586-020-2477-4" TargetMode="External"/><Relationship Id="rId611" Type="http://schemas.openxmlformats.org/officeDocument/2006/relationships/hyperlink" Target="https://doi.org/10.17129/botsci.2628" TargetMode="External"/><Relationship Id="rId653" Type="http://schemas.openxmlformats.org/officeDocument/2006/relationships/hyperlink" Target="https://doi.org/10.1038/s41467-020-20122-2" TargetMode="External"/><Relationship Id="rId250" Type="http://schemas.openxmlformats.org/officeDocument/2006/relationships/hyperlink" Target="https://patents.google.com/patent/US9943096B2/en" TargetMode="External"/><Relationship Id="rId292" Type="http://schemas.openxmlformats.org/officeDocument/2006/relationships/hyperlink" Target="https://doi.org/10.1038/nature23271" TargetMode="External"/><Relationship Id="rId306" Type="http://schemas.openxmlformats.org/officeDocument/2006/relationships/hyperlink" Target="http://www.hautconseildesbiotechnologies.fr/en/avis/avis-relatif-a-lutilisation-moustiques-gm-dans-cadre-lutte-antivectorielle" TargetMode="External"/><Relationship Id="rId488" Type="http://schemas.openxmlformats.org/officeDocument/2006/relationships/hyperlink" Target="%20https:/doi.org/10.1021/acscentsci.7b00592" TargetMode="External"/><Relationship Id="rId695" Type="http://schemas.openxmlformats.org/officeDocument/2006/relationships/hyperlink" Target="https://doi.org/10.1042/BST20190576" TargetMode="External"/><Relationship Id="rId709" Type="http://schemas.openxmlformats.org/officeDocument/2006/relationships/hyperlink" Target="https://doi.org/10.1073/pnas.1818290116" TargetMode="External"/><Relationship Id="rId45" Type="http://schemas.openxmlformats.org/officeDocument/2006/relationships/hyperlink" Target="https://doi.org/10.1038/nbt.3300" TargetMode="External"/><Relationship Id="rId87" Type="http://schemas.openxmlformats.org/officeDocument/2006/relationships/hyperlink" Target="https://doi.org/10.1038/s41893-020-0522-9" TargetMode="External"/><Relationship Id="rId110" Type="http://schemas.openxmlformats.org/officeDocument/2006/relationships/hyperlink" Target="https://doi.org/10.1038/d41586-018-07436-4" TargetMode="External"/><Relationship Id="rId348" Type="http://schemas.openxmlformats.org/officeDocument/2006/relationships/hyperlink" Target="https://doi.org/10.1017/jmo.2017.83" TargetMode="External"/><Relationship Id="rId513" Type="http://schemas.openxmlformats.org/officeDocument/2006/relationships/hyperlink" Target="https://doi.org/10.1186/s12934-017-0675-z" TargetMode="External"/><Relationship Id="rId555" Type="http://schemas.openxmlformats.org/officeDocument/2006/relationships/hyperlink" Target="https://doi.org/10.1126/science.1188934" TargetMode="External"/><Relationship Id="rId597" Type="http://schemas.openxmlformats.org/officeDocument/2006/relationships/hyperlink" Target="https://doi.org/10.1073/pnas.1508521112" TargetMode="External"/><Relationship Id="rId720" Type="http://schemas.openxmlformats.org/officeDocument/2006/relationships/header" Target="header3.xml"/><Relationship Id="rId152" Type="http://schemas.openxmlformats.org/officeDocument/2006/relationships/hyperlink" Target="https://doi.org/10.1073/pnas.1920779117" TargetMode="External"/><Relationship Id="rId194" Type="http://schemas.openxmlformats.org/officeDocument/2006/relationships/hyperlink" Target="https://doi.org/10.3390/ijms20071585" TargetMode="External"/><Relationship Id="rId208" Type="http://schemas.openxmlformats.org/officeDocument/2006/relationships/hyperlink" Target="http://www.efsa.europa.eu/sites/default/files/consultation/consultation/gene-drive-document-for-consultation.pdf" TargetMode="External"/><Relationship Id="rId415" Type="http://schemas.openxmlformats.org/officeDocument/2006/relationships/hyperlink" Target="https://doi.org/10.3390/life5010447" TargetMode="External"/><Relationship Id="rId457" Type="http://schemas.openxmlformats.org/officeDocument/2006/relationships/hyperlink" Target="https://doi.org/10.17226/24605" TargetMode="External"/><Relationship Id="rId622" Type="http://schemas.openxmlformats.org/officeDocument/2006/relationships/hyperlink" Target="https://doi.org/10.1038/s41467-017-00177-4" TargetMode="External"/><Relationship Id="rId261" Type="http://schemas.openxmlformats.org/officeDocument/2006/relationships/hyperlink" Target="%20https:/doi.org/10.1098/rstb.2017.0067" TargetMode="External"/><Relationship Id="rId499" Type="http://schemas.openxmlformats.org/officeDocument/2006/relationships/hyperlink" Target="https://doi.org/10.1038/s41580-019-0131-5" TargetMode="External"/><Relationship Id="rId664" Type="http://schemas.openxmlformats.org/officeDocument/2006/relationships/hyperlink" Target="https://doi.org/10.1038/nbt.2969" TargetMode="External"/><Relationship Id="rId14" Type="http://schemas.openxmlformats.org/officeDocument/2006/relationships/hyperlink" Target="https://www.cbd.int/doc/decisions/cop-14/cop-14-dec-19-en.pdf" TargetMode="External"/><Relationship Id="rId56" Type="http://schemas.openxmlformats.org/officeDocument/2006/relationships/hyperlink" Target="https://doi.org/10.1042/BST20190173" TargetMode="External"/><Relationship Id="rId317" Type="http://schemas.openxmlformats.org/officeDocument/2006/relationships/hyperlink" Target="https://doi.org/10.1038/s41467-019-10079-2" TargetMode="External"/><Relationship Id="rId359" Type="http://schemas.openxmlformats.org/officeDocument/2006/relationships/hyperlink" Target="https://doi.org/10.1016/j.biortech.2016.04.038" TargetMode="External"/><Relationship Id="rId524" Type="http://schemas.openxmlformats.org/officeDocument/2006/relationships/hyperlink" Target="https://patents.google.com/patent/WO2018237302A1" TargetMode="External"/><Relationship Id="rId566" Type="http://schemas.openxmlformats.org/officeDocument/2006/relationships/hyperlink" Target="http://bch.cbd.int/database/record.shtml?documentid=103868" TargetMode="External"/><Relationship Id="rId98" Type="http://schemas.openxmlformats.org/officeDocument/2006/relationships/hyperlink" Target="https://www.traffic.org/site/assets/files/3012/traffic_pub_bulletin_28_1-synthetic-biology.pdf" TargetMode="External"/><Relationship Id="rId121" Type="http://schemas.openxmlformats.org/officeDocument/2006/relationships/hyperlink" Target="https://doi.org/10.1371/journal.pntd.0003864" TargetMode="External"/><Relationship Id="rId163" Type="http://schemas.openxmlformats.org/officeDocument/2006/relationships/hyperlink" Target="https://doi.org/10.1038/s41467-020-18130-3" TargetMode="External"/><Relationship Id="rId219" Type="http://schemas.openxmlformats.org/officeDocument/2006/relationships/hyperlink" Target="https://doi.org/10.3168/jds.2017-12962" TargetMode="External"/><Relationship Id="rId370" Type="http://schemas.openxmlformats.org/officeDocument/2006/relationships/hyperlink" Target="https://doi.org/10.1038/s41559-017-0172" TargetMode="External"/><Relationship Id="rId426" Type="http://schemas.openxmlformats.org/officeDocument/2006/relationships/hyperlink" Target="https://doi.org/10.1038/nature13314" TargetMode="External"/><Relationship Id="rId633" Type="http://schemas.openxmlformats.org/officeDocument/2006/relationships/hyperlink" Target="https://doi.org/10.1146/annurev-micro-090816-093352" TargetMode="External"/><Relationship Id="rId230" Type="http://schemas.openxmlformats.org/officeDocument/2006/relationships/hyperlink" Target="https://www.etcgroup.org/content/extreme-biotech-meets-extreme-energy" TargetMode="External"/><Relationship Id="rId468" Type="http://schemas.openxmlformats.org/officeDocument/2006/relationships/hyperlink" Target="http://bioethics.gov/cms/node/175" TargetMode="External"/><Relationship Id="rId675" Type="http://schemas.openxmlformats.org/officeDocument/2006/relationships/hyperlink" Target="https://patents.google.com/patent/WO2019195714A1/" TargetMode="External"/><Relationship Id="rId25" Type="http://schemas.openxmlformats.org/officeDocument/2006/relationships/footer" Target="footer2.xml"/><Relationship Id="rId67" Type="http://schemas.openxmlformats.org/officeDocument/2006/relationships/hyperlink" Target="https://doi.org/10.1038/nature17938" TargetMode="External"/><Relationship Id="rId272" Type="http://schemas.openxmlformats.org/officeDocument/2006/relationships/hyperlink" Target="https://doi.org/10.1038/s41576-021-00354-8" TargetMode="External"/><Relationship Id="rId328" Type="http://schemas.openxmlformats.org/officeDocument/2006/relationships/hyperlink" Target="https://genesynthesisconsortium.org/wp-content/uploads/IGSCHarmonizedProtocol11-21-17.pdf" TargetMode="External"/><Relationship Id="rId535" Type="http://schemas.openxmlformats.org/officeDocument/2006/relationships/hyperlink" Target="https://doi.org/10.1200/JCO.2010.32.2537" TargetMode="External"/><Relationship Id="rId577" Type="http://schemas.openxmlformats.org/officeDocument/2006/relationships/hyperlink" Target="https://doi.org/10.1002/bies.201300149" TargetMode="External"/><Relationship Id="rId700" Type="http://schemas.openxmlformats.org/officeDocument/2006/relationships/hyperlink" Target="https://doi.org/10.1007/s10340-019-01157-x" TargetMode="External"/><Relationship Id="rId132" Type="http://schemas.openxmlformats.org/officeDocument/2006/relationships/hyperlink" Target="https://doi.org/10.1038/505598a" TargetMode="External"/><Relationship Id="rId174" Type="http://schemas.openxmlformats.org/officeDocument/2006/relationships/hyperlink" Target="https://doi.org/10.1007/978-3-030-17119-3" TargetMode="External"/><Relationship Id="rId381" Type="http://schemas.openxmlformats.org/officeDocument/2006/relationships/hyperlink" Target="https://doi.org/10.1007/978-90-481-2678-1_3" TargetMode="External"/><Relationship Id="rId602" Type="http://schemas.openxmlformats.org/officeDocument/2006/relationships/hyperlink" Target="https://doi.org/10.1002/ecs2.2415" TargetMode="External"/><Relationship Id="rId241" Type="http://schemas.openxmlformats.org/officeDocument/2006/relationships/hyperlink" Target="https://doi.org/10.1016/j.envsci.2019.04.016" TargetMode="External"/><Relationship Id="rId437" Type="http://schemas.openxmlformats.org/officeDocument/2006/relationships/hyperlink" Target="https://doi.org/10.1038/s41596-019-0244-5" TargetMode="External"/><Relationship Id="rId479" Type="http://schemas.openxmlformats.org/officeDocument/2006/relationships/hyperlink" Target="https://doi.org/10.1371/journal.pone.0034368" TargetMode="External"/><Relationship Id="rId644" Type="http://schemas.openxmlformats.org/officeDocument/2006/relationships/hyperlink" Target="https://doi.org/10.1172/JCI145214" TargetMode="External"/><Relationship Id="rId686" Type="http://schemas.openxmlformats.org/officeDocument/2006/relationships/hyperlink" Target="https://www.who.int/publications/i/item/9789240011311" TargetMode="External"/><Relationship Id="rId36" Type="http://schemas.openxmlformats.org/officeDocument/2006/relationships/hyperlink" Target="https://doi.org/10.1038/s41467-020-19426-0" TargetMode="External"/><Relationship Id="rId283" Type="http://schemas.openxmlformats.org/officeDocument/2006/relationships/hyperlink" Target="https://portals.iucn.org/library/efiles/documents/EPLP-no.030.pdf" TargetMode="External"/><Relationship Id="rId339" Type="http://schemas.openxmlformats.org/officeDocument/2006/relationships/hyperlink" Target="https://doi.org/10.1016/j.nbt.2017.06.014" TargetMode="External"/><Relationship Id="rId490" Type="http://schemas.openxmlformats.org/officeDocument/2006/relationships/hyperlink" Target="http://www.synbioproject.org/process/assets/files/6334/synbio3.pdf" TargetMode="External"/><Relationship Id="rId504" Type="http://schemas.openxmlformats.org/officeDocument/2006/relationships/hyperlink" Target="https://doi.org/10.1146/annurev-phyto-080417" TargetMode="External"/><Relationship Id="rId546" Type="http://schemas.openxmlformats.org/officeDocument/2006/relationships/hyperlink" Target="https://doi.org/10.1038/embor.2009.131" TargetMode="External"/><Relationship Id="rId711" Type="http://schemas.openxmlformats.org/officeDocument/2006/relationships/hyperlink" Target="https://doi.org/10.1016/j.tibtech.2019.10.006" TargetMode="External"/><Relationship Id="rId78" Type="http://schemas.openxmlformats.org/officeDocument/2006/relationships/hyperlink" Target="https://patents.google.com/patent/US9273310B2/lv" TargetMode="External"/><Relationship Id="rId101" Type="http://schemas.openxmlformats.org/officeDocument/2006/relationships/hyperlink" Target="https://doi.org/10.1073/pnas.1713139115" TargetMode="External"/><Relationship Id="rId143" Type="http://schemas.openxmlformats.org/officeDocument/2006/relationships/hyperlink" Target="%20https:/doi.org/10.1021/acssynbio.7b00083" TargetMode="External"/><Relationship Id="rId185" Type="http://schemas.openxmlformats.org/officeDocument/2006/relationships/hyperlink" Target="https://doi.org/10.1021/acssynbio.7b00253" TargetMode="External"/><Relationship Id="rId350" Type="http://schemas.openxmlformats.org/officeDocument/2006/relationships/hyperlink" Target="https://doi.org/10.1186/s12302-020-00361-2" TargetMode="External"/><Relationship Id="rId406" Type="http://schemas.openxmlformats.org/officeDocument/2006/relationships/hyperlink" Target="https://doi.org/10.1039/C9EE01214A" TargetMode="External"/><Relationship Id="rId588" Type="http://schemas.openxmlformats.org/officeDocument/2006/relationships/hyperlink" Target="https://doi.org/10.1038/s41587-019-0157-4" TargetMode="External"/><Relationship Id="rId9" Type="http://schemas.openxmlformats.org/officeDocument/2006/relationships/footnotes" Target="footnotes.xml"/><Relationship Id="rId210" Type="http://schemas.openxmlformats.org/officeDocument/2006/relationships/hyperlink" Target="https://doi.org/10.1007/s11248-019-00153-2" TargetMode="External"/><Relationship Id="rId392" Type="http://schemas.openxmlformats.org/officeDocument/2006/relationships/hyperlink" Target="https://doi.org/10.1038/s41477-018-0259-x" TargetMode="External"/><Relationship Id="rId448" Type="http://schemas.openxmlformats.org/officeDocument/2006/relationships/hyperlink" Target="https://www.iucn.org/content/explanatory-guide-international-treaty-plant-genetic-resources-food-and-agriculture" TargetMode="External"/><Relationship Id="rId613" Type="http://schemas.openxmlformats.org/officeDocument/2006/relationships/hyperlink" Target="https://doi.org/10.1007/978-90-481-2678-1" TargetMode="External"/><Relationship Id="rId655" Type="http://schemas.openxmlformats.org/officeDocument/2006/relationships/hyperlink" Target="https://doi.org/10.1038/nbt1217-1120" TargetMode="External"/><Relationship Id="rId697" Type="http://schemas.openxmlformats.org/officeDocument/2006/relationships/hyperlink" Target="https://doi.org/10.1016/j.molcel.2020.09.003" TargetMode="External"/><Relationship Id="rId252" Type="http://schemas.openxmlformats.org/officeDocument/2006/relationships/hyperlink" Target="%20https:/doi.org/10.1038/s41893-019-0270-x" TargetMode="External"/><Relationship Id="rId294" Type="http://schemas.openxmlformats.org/officeDocument/2006/relationships/hyperlink" Target="https://doi.org/10.1146/annurev.biochem.73.011303.073908" TargetMode="External"/><Relationship Id="rId308" Type="http://schemas.openxmlformats.org/officeDocument/2006/relationships/hyperlink" Target="https://doi.org/10.1038/s41598-019-54805-8" TargetMode="External"/><Relationship Id="rId515" Type="http://schemas.openxmlformats.org/officeDocument/2006/relationships/hyperlink" Target="https://doi.org/10.1371/journal.pbio.1001530" TargetMode="External"/><Relationship Id="rId722" Type="http://schemas.openxmlformats.org/officeDocument/2006/relationships/fontTable" Target="fontTable.xml"/><Relationship Id="rId47" Type="http://schemas.openxmlformats.org/officeDocument/2006/relationships/hyperlink" Target="https://doi.org/10.1089/vbz.2009.0014" TargetMode="External"/><Relationship Id="rId89" Type="http://schemas.openxmlformats.org/officeDocument/2006/relationships/hyperlink" Target="https://doi.org/10.5731/pdajpst.2020.012187" TargetMode="External"/><Relationship Id="rId112" Type="http://schemas.openxmlformats.org/officeDocument/2006/relationships/hyperlink" Target="https://ir.calyxt.com/sec-filings/all-sec-filings/content/0001193125-17-211349/0001193125-17-211349.pdf" TargetMode="External"/><Relationship Id="rId154" Type="http://schemas.openxmlformats.org/officeDocument/2006/relationships/hyperlink" Target="https://doi.org/10.1111/mve.12327" TargetMode="External"/><Relationship Id="rId361" Type="http://schemas.openxmlformats.org/officeDocument/2006/relationships/hyperlink" Target="https://patents.google.com/patent/DE102018111751A1" TargetMode="External"/><Relationship Id="rId557" Type="http://schemas.openxmlformats.org/officeDocument/2006/relationships/hyperlink" Target="https://patents.google.com/patent/US8034897B1" TargetMode="External"/><Relationship Id="rId599" Type="http://schemas.openxmlformats.org/officeDocument/2006/relationships/hyperlink" Target="https://www.cbd.int/doc/c/f22d/a5d7/850597e99231b7d0dd194c7f/cp-ra-ahteg-2020-01-04-en.pdf" TargetMode="External"/><Relationship Id="rId196" Type="http://schemas.openxmlformats.org/officeDocument/2006/relationships/hyperlink" Target="%20https:/doi.org/10.3389/fbioe.2018.00079" TargetMode="External"/><Relationship Id="rId417" Type="http://schemas.openxmlformats.org/officeDocument/2006/relationships/hyperlink" Target="https://doi.org/10.1002/ps.4748" TargetMode="External"/><Relationship Id="rId459" Type="http://schemas.openxmlformats.org/officeDocument/2006/relationships/hyperlink" Target="%20http:/bch.cbd.int/database/record.shtml?documentid=115102" TargetMode="External"/><Relationship Id="rId624" Type="http://schemas.openxmlformats.org/officeDocument/2006/relationships/hyperlink" Target="https://doi.org/10.1038/s41545-020-0064-8" TargetMode="External"/><Relationship Id="rId666" Type="http://schemas.openxmlformats.org/officeDocument/2006/relationships/hyperlink" Target="https://doi.org/10.1016/0092-8674(94)90119-8" TargetMode="External"/><Relationship Id="rId16" Type="http://schemas.openxmlformats.org/officeDocument/2006/relationships/hyperlink" Target="https://www.cbd.int/doc/decisions/cop-09/cop-09-dec-29-en.pdf" TargetMode="External"/><Relationship Id="rId221" Type="http://schemas.openxmlformats.org/officeDocument/2006/relationships/hyperlink" Target="https://doi.org/10.1111/pbi.13347" TargetMode="External"/><Relationship Id="rId263" Type="http://schemas.openxmlformats.org/officeDocument/2006/relationships/hyperlink" Target="https://doi.org/10.1016/j.foodcont.2017.07.032" TargetMode="External"/><Relationship Id="rId319" Type="http://schemas.openxmlformats.org/officeDocument/2006/relationships/hyperlink" Target="%20https:/doi.org/10.1126/science.aat0971" TargetMode="External"/><Relationship Id="rId470" Type="http://schemas.openxmlformats.org/officeDocument/2006/relationships/hyperlink" Target="https://doi.org/10.3390/genes11020209" TargetMode="External"/><Relationship Id="rId526" Type="http://schemas.openxmlformats.org/officeDocument/2006/relationships/hyperlink" Target="https://doi.org/10.1111/dewb.12147" TargetMode="External"/><Relationship Id="rId58" Type="http://schemas.openxmlformats.org/officeDocument/2006/relationships/hyperlink" Target="https://doi.org/10.1002/9783527659296.ch4" TargetMode="External"/><Relationship Id="rId123" Type="http://schemas.openxmlformats.org/officeDocument/2006/relationships/hyperlink" Target="https://doi.org/10.1038/s41586-019-1411-0" TargetMode="External"/><Relationship Id="rId330" Type="http://schemas.openxmlformats.org/officeDocument/2006/relationships/hyperlink" Target="https://portals.iucn.org/library/node/46503" TargetMode="External"/><Relationship Id="rId568" Type="http://schemas.openxmlformats.org/officeDocument/2006/relationships/hyperlink" Target="https://www.cbd.int/doc/c/aa10/9160/6c3fcedf265dbee686715016/synbio-ahteg-2017-01-03-en.pdf" TargetMode="External"/><Relationship Id="rId165" Type="http://schemas.openxmlformats.org/officeDocument/2006/relationships/hyperlink" Target="https://doi.org/10.3390/plants9060673" TargetMode="External"/><Relationship Id="rId372" Type="http://schemas.openxmlformats.org/officeDocument/2006/relationships/hyperlink" Target="https://doi.org/10.1038/nbt980" TargetMode="External"/><Relationship Id="rId428" Type="http://schemas.openxmlformats.org/officeDocument/2006/relationships/hyperlink" Target="https://doi.org/10.1016/j.pestbp.2016.12.004" TargetMode="External"/><Relationship Id="rId635" Type="http://schemas.openxmlformats.org/officeDocument/2006/relationships/hyperlink" Target="https://doi.org/10.15252/msb.20209723" TargetMode="External"/><Relationship Id="rId677" Type="http://schemas.openxmlformats.org/officeDocument/2006/relationships/hyperlink" Target="https://patents.google.com/patent/US20150293076A1/" TargetMode="External"/><Relationship Id="rId232" Type="http://schemas.openxmlformats.org/officeDocument/2006/relationships/hyperlink" Target="http://fibershed.org/wp-content/uploads/2018/09/ETC_SynbioFabricsReport_8Fsm.pdf" TargetMode="External"/><Relationship Id="rId274" Type="http://schemas.openxmlformats.org/officeDocument/2006/relationships/hyperlink" Target="https://patents.google.com/patent/EP3638777A1" TargetMode="External"/><Relationship Id="rId481" Type="http://schemas.openxmlformats.org/officeDocument/2006/relationships/hyperlink" Target="https://doi.org/10.1038/nbt.4079" TargetMode="External"/><Relationship Id="rId702" Type="http://schemas.openxmlformats.org/officeDocument/2006/relationships/hyperlink" Target="https://doi.org/10.1038/s41598-018-29204-0" TargetMode="External"/><Relationship Id="rId27" Type="http://schemas.openxmlformats.org/officeDocument/2006/relationships/footer" Target="footer3.xml"/><Relationship Id="rId69" Type="http://schemas.openxmlformats.org/officeDocument/2006/relationships/hyperlink" Target="http://www.bbsrc.ac.uk/web/files/%0Areviews/0806_synthetic_biology.pdf" TargetMode="External"/><Relationship Id="rId134" Type="http://schemas.openxmlformats.org/officeDocument/2006/relationships/hyperlink" Target="https://doi.org/10.2139/ssrn.2828168" TargetMode="External"/><Relationship Id="rId537" Type="http://schemas.openxmlformats.org/officeDocument/2006/relationships/hyperlink" Target="https://doi.org/10.1534/g3.120.401484" TargetMode="External"/><Relationship Id="rId579" Type="http://schemas.openxmlformats.org/officeDocument/2006/relationships/hyperlink" Target="https://doi.org/10.1016/j.cels.2016.03.001" TargetMode="External"/><Relationship Id="rId80" Type="http://schemas.openxmlformats.org/officeDocument/2006/relationships/hyperlink" Target="https://doi.org/10.1126/science.1056638" TargetMode="External"/><Relationship Id="rId176" Type="http://schemas.openxmlformats.org/officeDocument/2006/relationships/hyperlink" Target="https://www.darpa.mil/program/insect-allies" TargetMode="External"/><Relationship Id="rId341" Type="http://schemas.openxmlformats.org/officeDocument/2006/relationships/hyperlink" Target="https://doi.org/10.1080/21645698.2015.1134405" TargetMode="External"/><Relationship Id="rId383" Type="http://schemas.openxmlformats.org/officeDocument/2006/relationships/hyperlink" Target="https://doi.org/10.3389/fbioe.2020.00788" TargetMode="External"/><Relationship Id="rId439" Type="http://schemas.openxmlformats.org/officeDocument/2006/relationships/hyperlink" Target="https://doi.org/10.1038/s41467-020-19092-2" TargetMode="External"/><Relationship Id="rId590" Type="http://schemas.openxmlformats.org/officeDocument/2006/relationships/hyperlink" Target="https://doi.org/10.1186/s12910-019-0389-3" TargetMode="External"/><Relationship Id="rId604" Type="http://schemas.openxmlformats.org/officeDocument/2006/relationships/hyperlink" Target="https://doi.org/10.1111/tpj.14865" TargetMode="External"/><Relationship Id="rId646" Type="http://schemas.openxmlformats.org/officeDocument/2006/relationships/hyperlink" Target="https://doi.org/10.21945/RIVM-2018-0090" TargetMode="External"/><Relationship Id="rId201" Type="http://schemas.openxmlformats.org/officeDocument/2006/relationships/hyperlink" Target="https://doi.org/10.1038/nature19802" TargetMode="External"/><Relationship Id="rId243" Type="http://schemas.openxmlformats.org/officeDocument/2006/relationships/hyperlink" Target="https://doi.org/10.1038/s41589-018-0181-6" TargetMode="External"/><Relationship Id="rId285" Type="http://schemas.openxmlformats.org/officeDocument/2006/relationships/hyperlink" Target="https://doi.org/10.3389/fbioe.2019.00050" TargetMode="External"/><Relationship Id="rId450" Type="http://schemas.openxmlformats.org/officeDocument/2006/relationships/hyperlink" Target="https://patents.google.com/patent/WO2017188434A1" TargetMode="External"/><Relationship Id="rId506" Type="http://schemas.openxmlformats.org/officeDocument/2006/relationships/hyperlink" Target="https://crispr-gene-editing-regs-tracker.geneticliteracyproject.org/brazil-animals/" TargetMode="External"/><Relationship Id="rId688" Type="http://schemas.openxmlformats.org/officeDocument/2006/relationships/hyperlink" Target="https://www.wto.org/english/news_e/news06_e/291r_e.htm" TargetMode="External"/><Relationship Id="rId38" Type="http://schemas.openxmlformats.org/officeDocument/2006/relationships/hyperlink" Target="https://patents.google.com/patent/WO2019040910A1/" TargetMode="External"/><Relationship Id="rId103" Type="http://schemas.openxmlformats.org/officeDocument/2006/relationships/hyperlink" Target="https://doi.org/10.1146/annurev.biophys.050708.133753" TargetMode="External"/><Relationship Id="rId310" Type="http://schemas.openxmlformats.org/officeDocument/2006/relationships/hyperlink" Target="%20https:/doi.org/10.1016/j.envint.2013.02.010" TargetMode="External"/><Relationship Id="rId492" Type="http://schemas.openxmlformats.org/officeDocument/2006/relationships/hyperlink" Target="http://www.biosafety.be/PDF/120911_Doc_Synbio_SBB_FINAL.pdf" TargetMode="External"/><Relationship Id="rId548" Type="http://schemas.openxmlformats.org/officeDocument/2006/relationships/hyperlink" Target="%20https:/doi.org/10.1038/s41564-019-0631-2" TargetMode="External"/><Relationship Id="rId713" Type="http://schemas.openxmlformats.org/officeDocument/2006/relationships/hyperlink" Target="https://doi.org/10.1073/pnas.1616443114" TargetMode="External"/><Relationship Id="rId91" Type="http://schemas.openxmlformats.org/officeDocument/2006/relationships/hyperlink" Target="https://patents.google.com/patent/US20170281688A1/en" TargetMode="External"/><Relationship Id="rId145" Type="http://schemas.openxmlformats.org/officeDocument/2006/relationships/hyperlink" Target="https://doi.org/10.1126/science.1226355" TargetMode="External"/><Relationship Id="rId187" Type="http://schemas.openxmlformats.org/officeDocument/2006/relationships/hyperlink" Target="https://documents.worldbank.org/en/publication/documents-reports/documentdetail/908591505911928634/regulatory-constraints-to-agricultural-productivity" TargetMode="External"/><Relationship Id="rId352" Type="http://schemas.openxmlformats.org/officeDocument/2006/relationships/hyperlink" Target="https://doi.org/10.1038/492188a" TargetMode="External"/><Relationship Id="rId394" Type="http://schemas.openxmlformats.org/officeDocument/2006/relationships/hyperlink" Target="https://doi.org/10.1104/pp.18.00200" TargetMode="External"/><Relationship Id="rId408" Type="http://schemas.openxmlformats.org/officeDocument/2006/relationships/hyperlink" Target="https://doi.org/10.1126/science.abd1908" TargetMode="External"/><Relationship Id="rId615" Type="http://schemas.openxmlformats.org/officeDocument/2006/relationships/hyperlink" Target="https://doi.org/10.1016/j.tplants.2019.12.017" TargetMode="External"/><Relationship Id="rId212" Type="http://schemas.openxmlformats.org/officeDocument/2006/relationships/hyperlink" Target="https://doi.org/10.1038/35002125" TargetMode="External"/><Relationship Id="rId254" Type="http://schemas.openxmlformats.org/officeDocument/2006/relationships/hyperlink" Target="https://issues.org/issue/36-2/" TargetMode="External"/><Relationship Id="rId657" Type="http://schemas.openxmlformats.org/officeDocument/2006/relationships/hyperlink" Target="https://doi.org/10.1007/978-3-319-47405-2_131-1" TargetMode="External"/><Relationship Id="rId699" Type="http://schemas.openxmlformats.org/officeDocument/2006/relationships/hyperlink" Target="https://doi.org/10.3390/ijms19123741" TargetMode="External"/><Relationship Id="rId49" Type="http://schemas.openxmlformats.org/officeDocument/2006/relationships/hyperlink" Target="https://doi.org/10.1038/s41467-020-20124-0" TargetMode="External"/><Relationship Id="rId114" Type="http://schemas.openxmlformats.org/officeDocument/2006/relationships/hyperlink" Target="https://doi.org/10.1016/j.biocon.2014.10.016" TargetMode="External"/><Relationship Id="rId296" Type="http://schemas.openxmlformats.org/officeDocument/2006/relationships/hyperlink" Target="https://doi.org/10.1007/s10295-018-2026-4" TargetMode="External"/><Relationship Id="rId461" Type="http://schemas.openxmlformats.org/officeDocument/2006/relationships/hyperlink" Target="https://doi.org/10.1038/s41586-020-2546-8" TargetMode="External"/><Relationship Id="rId517" Type="http://schemas.openxmlformats.org/officeDocument/2006/relationships/hyperlink" Target="https://patents.google.com/patent/US20130149755A1" TargetMode="External"/><Relationship Id="rId559" Type="http://schemas.openxmlformats.org/officeDocument/2006/relationships/hyperlink" Target="https://doi.org/10.1007/978-90-481-2678-1_6" TargetMode="External"/><Relationship Id="rId724" Type="http://schemas.openxmlformats.org/officeDocument/2006/relationships/theme" Target="theme/theme1.xml"/><Relationship Id="rId60" Type="http://schemas.openxmlformats.org/officeDocument/2006/relationships/hyperlink" Target="https://www.iucn.org/content/explanatory-guide-cartagena-protocol-biosafety" TargetMode="External"/><Relationship Id="rId156" Type="http://schemas.openxmlformats.org/officeDocument/2006/relationships/hyperlink" Target="https://doi.org/10.1093/synbio/ysy012" TargetMode="External"/><Relationship Id="rId198" Type="http://schemas.openxmlformats.org/officeDocument/2006/relationships/hyperlink" Target="%20https:/doi.org/10.1111/1751-7915.12431" TargetMode="External"/><Relationship Id="rId321" Type="http://schemas.openxmlformats.org/officeDocument/2006/relationships/hyperlink" Target="https://doi.org/10.1002/cbic.201900283" TargetMode="External"/><Relationship Id="rId363" Type="http://schemas.openxmlformats.org/officeDocument/2006/relationships/hyperlink" Target="%20https:/doi.org/10.1371/journal.ppat.1005901" TargetMode="External"/><Relationship Id="rId419" Type="http://schemas.openxmlformats.org/officeDocument/2006/relationships/hyperlink" Target="https://doi.org/10.1016/j.biortech.2018.02.118" TargetMode="External"/><Relationship Id="rId570" Type="http://schemas.openxmlformats.org/officeDocument/2006/relationships/hyperlink" Target="https://www.cbd.int/doc/c/2074/26e7/a135b1b57dabe8e8ed669324/synbio-ahteg-2019-01-03-en.pdf" TargetMode="External"/><Relationship Id="rId626" Type="http://schemas.openxmlformats.org/officeDocument/2006/relationships/hyperlink" Target="https://doi.org/10.1111/cobi.13578" TargetMode="External"/><Relationship Id="rId223" Type="http://schemas.openxmlformats.org/officeDocument/2006/relationships/hyperlink" Target="https://doi.org/10.7554/eLife.03401" TargetMode="External"/><Relationship Id="rId430" Type="http://schemas.openxmlformats.org/officeDocument/2006/relationships/hyperlink" Target="https://patents.google.com/patent/WO2017003999A1" TargetMode="External"/><Relationship Id="rId668" Type="http://schemas.openxmlformats.org/officeDocument/2006/relationships/hyperlink" Target="https://doi.org/10.1007/s11693-009-9032-9" TargetMode="External"/><Relationship Id="rId18" Type="http://schemas.openxmlformats.org/officeDocument/2006/relationships/hyperlink" Target="https://www.cbd.int/doc/meetings/sbstta/sbstta-18/information/sbstta-18-inf-03-en.pdf" TargetMode="External"/><Relationship Id="rId265" Type="http://schemas.openxmlformats.org/officeDocument/2006/relationships/hyperlink" Target="https://doi.org/10.3389/fbioe.2019.00036" TargetMode="External"/><Relationship Id="rId472" Type="http://schemas.openxmlformats.org/officeDocument/2006/relationships/hyperlink" Target="https://doi.org/10.1371/journal.pone.0188453" TargetMode="External"/><Relationship Id="rId528" Type="http://schemas.openxmlformats.org/officeDocument/2006/relationships/hyperlink" Target="https://doi.org/10.1007/978-3-030-53183-6_24" TargetMode="External"/><Relationship Id="rId125" Type="http://schemas.openxmlformats.org/officeDocument/2006/relationships/hyperlink" Target="https://doi.org/10.1038/nrg.2015.34" TargetMode="External"/><Relationship Id="rId167" Type="http://schemas.openxmlformats.org/officeDocument/2006/relationships/hyperlink" Target="https://doi.org/10.1038/483029a" TargetMode="External"/><Relationship Id="rId332" Type="http://schemas.openxmlformats.org/officeDocument/2006/relationships/hyperlink" Target="https://patents.google.com/patent/WO2020041483A1" TargetMode="External"/><Relationship Id="rId374" Type="http://schemas.openxmlformats.org/officeDocument/2006/relationships/hyperlink" Target="https://doi.org/10.3389/fpls.2020.577313" TargetMode="External"/><Relationship Id="rId581" Type="http://schemas.openxmlformats.org/officeDocument/2006/relationships/hyperlink" Target="https://doi.org/10.1007/s11192-017-2452-5" TargetMode="External"/><Relationship Id="rId71" Type="http://schemas.openxmlformats.org/officeDocument/2006/relationships/hyperlink" Target="https://doi.org/10.1016/j.cell.2017.10.034" TargetMode="External"/><Relationship Id="rId234" Type="http://schemas.openxmlformats.org/officeDocument/2006/relationships/hyperlink" Target="https://doi.org/10.1042/ETLS20190020" TargetMode="External"/><Relationship Id="rId637" Type="http://schemas.openxmlformats.org/officeDocument/2006/relationships/hyperlink" Target="https://www.thenewatlantis.com/publications/the-promise-and-perils-of-synthetic-biology" TargetMode="External"/><Relationship Id="rId679" Type="http://schemas.openxmlformats.org/officeDocument/2006/relationships/hyperlink" Target="https://genok.com/arkiv/6216/" TargetMode="External"/><Relationship Id="rId2" Type="http://schemas.openxmlformats.org/officeDocument/2006/relationships/customXml" Target="../customXml/item2.xml"/><Relationship Id="rId29" Type="http://schemas.openxmlformats.org/officeDocument/2006/relationships/footer" Target="footer4.xml"/><Relationship Id="rId276" Type="http://schemas.openxmlformats.org/officeDocument/2006/relationships/hyperlink" Target="https://doi.org/10.1371/journal.pgen.1008983" TargetMode="External"/><Relationship Id="rId441" Type="http://schemas.openxmlformats.org/officeDocument/2006/relationships/hyperlink" Target="https://doi.org/10.3389/fpls.2020.586027" TargetMode="External"/><Relationship Id="rId483" Type="http://schemas.openxmlformats.org/officeDocument/2006/relationships/hyperlink" Target="https://patents.google.com/patent/US20190106702A1/" TargetMode="External"/><Relationship Id="rId539" Type="http://schemas.openxmlformats.org/officeDocument/2006/relationships/hyperlink" Target="https://doi.org/10.3389/fpls.2020.00407" TargetMode="External"/><Relationship Id="rId690" Type="http://schemas.openxmlformats.org/officeDocument/2006/relationships/hyperlink" Target="https://doi.org/10.1099/mic.0.066308-0" TargetMode="External"/><Relationship Id="rId704" Type="http://schemas.openxmlformats.org/officeDocument/2006/relationships/hyperlink" Target="https://doi.org/10.1038/s41589-020-00711-4" TargetMode="External"/><Relationship Id="rId40" Type="http://schemas.openxmlformats.org/officeDocument/2006/relationships/hyperlink" Target="https://doi.org/10.3389/fpls.2018.01874" TargetMode="External"/><Relationship Id="rId136" Type="http://schemas.openxmlformats.org/officeDocument/2006/relationships/hyperlink" Target="https://doi.org/10.1080/15476286.2020.1868680" TargetMode="External"/><Relationship Id="rId178" Type="http://schemas.openxmlformats.org/officeDocument/2006/relationships/hyperlink" Target="%20https:/doi.org/10.1186/s13062-019-0247-8" TargetMode="External"/><Relationship Id="rId301" Type="http://schemas.openxmlformats.org/officeDocument/2006/relationships/hyperlink" Target="https://doi.org/10.1371/journal.pgen.1007039" TargetMode="External"/><Relationship Id="rId343" Type="http://schemas.openxmlformats.org/officeDocument/2006/relationships/hyperlink" Target="https://doi.org/10.1111/pbi.12823" TargetMode="External"/><Relationship Id="rId550" Type="http://schemas.openxmlformats.org/officeDocument/2006/relationships/hyperlink" Target="%20https:/doi.org/10.1186/s12915-020-0759-9" TargetMode="External"/><Relationship Id="rId82" Type="http://schemas.openxmlformats.org/officeDocument/2006/relationships/hyperlink" Target="https://doi.org/10.1016/j.mib.2017.08.005" TargetMode="External"/><Relationship Id="rId203" Type="http://schemas.openxmlformats.org/officeDocument/2006/relationships/hyperlink" Target="https://doi.org/10.1016/j.cbpa.2019.04.006" TargetMode="External"/><Relationship Id="rId385" Type="http://schemas.openxmlformats.org/officeDocument/2006/relationships/hyperlink" Target="https://doi.org/10.1371/journal.pbio.1001879" TargetMode="External"/><Relationship Id="rId592" Type="http://schemas.openxmlformats.org/officeDocument/2006/relationships/hyperlink" Target="https://doi.org/10.1007/s11693-015-9184-8" TargetMode="External"/><Relationship Id="rId606" Type="http://schemas.openxmlformats.org/officeDocument/2006/relationships/hyperlink" Target="https://doi.org/10.1126/science.aad0349" TargetMode="External"/><Relationship Id="rId648" Type="http://schemas.openxmlformats.org/officeDocument/2006/relationships/hyperlink" Target="https://doi.org/10.3389/fpls.2020.00789" TargetMode="External"/><Relationship Id="rId245" Type="http://schemas.openxmlformats.org/officeDocument/2006/relationships/hyperlink" Target="%20https:/doi.org/10.3389/fpls.2020.00051" TargetMode="External"/><Relationship Id="rId287" Type="http://schemas.openxmlformats.org/officeDocument/2006/relationships/hyperlink" Target="https://doi.org/10.1038/nbt1071" TargetMode="External"/><Relationship Id="rId410" Type="http://schemas.openxmlformats.org/officeDocument/2006/relationships/hyperlink" Target="https://doi.org/10.1016/j.synbio.2017.02.003" TargetMode="External"/><Relationship Id="rId452" Type="http://schemas.openxmlformats.org/officeDocument/2006/relationships/hyperlink" Target="https://doi.org/10.3389/fbioe.2019.00121" TargetMode="External"/><Relationship Id="rId494" Type="http://schemas.openxmlformats.org/officeDocument/2006/relationships/hyperlink" Target="https://patents.google.com/patent/US20200184381A1" TargetMode="External"/><Relationship Id="rId508" Type="http://schemas.openxmlformats.org/officeDocument/2006/relationships/hyperlink" Target="https://doi.org/10.1038/s41587-020-00761-y" TargetMode="External"/><Relationship Id="rId715" Type="http://schemas.openxmlformats.org/officeDocument/2006/relationships/hyperlink" Target="https://patents.google.com/patent/WO2014106189A2" TargetMode="External"/><Relationship Id="rId105" Type="http://schemas.openxmlformats.org/officeDocument/2006/relationships/hyperlink" Target="https://doi.org/10.1038/nature21059" TargetMode="External"/><Relationship Id="rId147" Type="http://schemas.openxmlformats.org/officeDocument/2006/relationships/hyperlink" Target="https://doi.org/10.1038/nbt.3011" TargetMode="External"/><Relationship Id="rId312" Type="http://schemas.openxmlformats.org/officeDocument/2006/relationships/hyperlink" Target="https://doi.org/10.1093/bioinformatics/btl469" TargetMode="External"/><Relationship Id="rId354" Type="http://schemas.openxmlformats.org/officeDocument/2006/relationships/hyperlink" Target="https://doi.org/10.1038/s41587-019-0038-x" TargetMode="External"/><Relationship Id="rId51" Type="http://schemas.openxmlformats.org/officeDocument/2006/relationships/hyperlink" Target="https://www.lens.org/lens/patent/031-234-333-536-644" TargetMode="External"/><Relationship Id="rId93" Type="http://schemas.openxmlformats.org/officeDocument/2006/relationships/hyperlink" Target="https://doi.org/10.1007/s10806-017-9673-8" TargetMode="External"/><Relationship Id="rId189" Type="http://schemas.openxmlformats.org/officeDocument/2006/relationships/hyperlink" Target="https://www.umweltbundesamt.at/fileadmin/site/publikationen/rep0705.pdf" TargetMode="External"/><Relationship Id="rId396" Type="http://schemas.openxmlformats.org/officeDocument/2006/relationships/hyperlink" Target="https://doi.org/10.1038/nbt.2199" TargetMode="External"/><Relationship Id="rId561" Type="http://schemas.openxmlformats.org/officeDocument/2006/relationships/hyperlink" Target="%20https:/doi.org/10.1038/s41586-018-0773-z" TargetMode="External"/><Relationship Id="rId617" Type="http://schemas.openxmlformats.org/officeDocument/2006/relationships/hyperlink" Target="https://doi.org/10.1016/j.ymeth.2015.05.020" TargetMode="External"/><Relationship Id="rId659" Type="http://schemas.openxmlformats.org/officeDocument/2006/relationships/hyperlink" Target="https://doi.org/10.1073/pnas.1820561116" TargetMode="External"/><Relationship Id="rId3" Type="http://schemas.openxmlformats.org/officeDocument/2006/relationships/customXml" Target="../customXml/item3.xml"/><Relationship Id="rId214" Type="http://schemas.openxmlformats.org/officeDocument/2006/relationships/hyperlink" Target="https://www.ekah.admin.ch/inhalte/ekah-dateien/dokumentation/publikationen/e-Synthetische_Bio_Broschuere.pdf" TargetMode="External"/><Relationship Id="rId235" Type="http://schemas.openxmlformats.org/officeDocument/2006/relationships/hyperlink" Target="https://doi.org/10.7717/peerj.9616" TargetMode="External"/><Relationship Id="rId256" Type="http://schemas.openxmlformats.org/officeDocument/2006/relationships/hyperlink" Target="https://foe.org/resources/the-principles-for-the-oversight-of-synthetic-biology/" TargetMode="External"/><Relationship Id="rId277" Type="http://schemas.openxmlformats.org/officeDocument/2006/relationships/hyperlink" Target="%20https:/doi.org/10.1126/science.1151721" TargetMode="External"/><Relationship Id="rId298" Type="http://schemas.openxmlformats.org/officeDocument/2006/relationships/hyperlink" Target="https://www.wilsoncenter.org/publication/seven-myths-and-realities-about-do-it-yourself-biology-0" TargetMode="External"/><Relationship Id="rId400" Type="http://schemas.openxmlformats.org/officeDocument/2006/relationships/hyperlink" Target="https://doi.org/10.1038/nrm3738" TargetMode="External"/><Relationship Id="rId421" Type="http://schemas.openxmlformats.org/officeDocument/2006/relationships/hyperlink" Target="https://doi.org/10.1016/j.tcb.2012.09.002" TargetMode="External"/><Relationship Id="rId442" Type="http://schemas.openxmlformats.org/officeDocument/2006/relationships/hyperlink" Target="https://doi.org/10.1007/s10340-020-01238-2" TargetMode="External"/><Relationship Id="rId463" Type="http://schemas.openxmlformats.org/officeDocument/2006/relationships/hyperlink" Target="https://doi.org/10.1016/j.jbiotec.2014.05.020" TargetMode="External"/><Relationship Id="rId484" Type="http://schemas.openxmlformats.org/officeDocument/2006/relationships/hyperlink" Target="%20https:/patents.google.com/patent/US20200247876A1/" TargetMode="External"/><Relationship Id="rId519" Type="http://schemas.openxmlformats.org/officeDocument/2006/relationships/hyperlink" Target="https://doi.org/10.1038/s41576-018-0059-1" TargetMode="External"/><Relationship Id="rId670" Type="http://schemas.openxmlformats.org/officeDocument/2006/relationships/hyperlink" Target="https://www.infona.pl/resource/bwmeta1.element.agro-article-39e3a929-12e0-4a59-8eb0-5f2fde78167b" TargetMode="External"/><Relationship Id="rId705" Type="http://schemas.openxmlformats.org/officeDocument/2006/relationships/hyperlink" Target="https://doi.org/10.1007/s10529-007-9596-y" TargetMode="External"/><Relationship Id="rId116" Type="http://schemas.openxmlformats.org/officeDocument/2006/relationships/hyperlink" Target="https://cban.ca/wp-content/uploads/Genome-Editing-Report-2020.pdf" TargetMode="External"/><Relationship Id="rId137" Type="http://schemas.openxmlformats.org/officeDocument/2006/relationships/hyperlink" Target="https://doi.org/10.1007/s11274-020-02936-w" TargetMode="External"/><Relationship Id="rId158" Type="http://schemas.openxmlformats.org/officeDocument/2006/relationships/hyperlink" Target="http://curia.europa.eu/juris/documents.jsf?num=C-528/16%23" TargetMode="External"/><Relationship Id="rId302" Type="http://schemas.openxmlformats.org/officeDocument/2006/relationships/hyperlink" Target="https://doi.org/10.1021/acs.iecr.5b03215" TargetMode="External"/><Relationship Id="rId323" Type="http://schemas.openxmlformats.org/officeDocument/2006/relationships/hyperlink" Target="https://doi.org/10.1101/cshperspect.a023812" TargetMode="External"/><Relationship Id="rId344" Type="http://schemas.openxmlformats.org/officeDocument/2006/relationships/hyperlink" Target="https://doi.org/10.1371/journal.ppat.1000950" TargetMode="External"/><Relationship Id="rId530" Type="http://schemas.openxmlformats.org/officeDocument/2006/relationships/hyperlink" Target="https://doi.org/10.3390/agronomy11010061" TargetMode="External"/><Relationship Id="rId691" Type="http://schemas.openxmlformats.org/officeDocument/2006/relationships/hyperlink" Target="https://doi.org/10.1038/nbt.3444" TargetMode="External"/><Relationship Id="rId20" Type="http://schemas.openxmlformats.org/officeDocument/2006/relationships/hyperlink" Target="https://www.cbd.int/doc/meetings/cop/cop-12/information/cop-12-inf-11-en.pdf" TargetMode="External"/><Relationship Id="rId41" Type="http://schemas.openxmlformats.org/officeDocument/2006/relationships/hyperlink" Target="https://doi.org/10.1016/j.jbiotec.2020.12.014" TargetMode="External"/><Relationship Id="rId62" Type="http://schemas.openxmlformats.org/officeDocument/2006/relationships/hyperlink" Target="https://doi.org/10.1002/chem.201901726" TargetMode="External"/><Relationship Id="rId83" Type="http://schemas.openxmlformats.org/officeDocument/2006/relationships/hyperlink" Target="https://doi.org/10.1038/nbt.3043" TargetMode="External"/><Relationship Id="rId179" Type="http://schemas.openxmlformats.org/officeDocument/2006/relationships/hyperlink" Target="%20https:/doi.org/10.34133/2020/1016207" TargetMode="External"/><Relationship Id="rId365" Type="http://schemas.openxmlformats.org/officeDocument/2006/relationships/hyperlink" Target="https://doi.org/10.1182/blood-2010-04-281931" TargetMode="External"/><Relationship Id="rId386" Type="http://schemas.openxmlformats.org/officeDocument/2006/relationships/hyperlink" Target="https://doi.org/10.1002/cssc.202001661&#239;" TargetMode="External"/><Relationship Id="rId551" Type="http://schemas.openxmlformats.org/officeDocument/2006/relationships/hyperlink" Target="https://doi.org/10.1098/rsif.2008.0086.focus" TargetMode="External"/><Relationship Id="rId572" Type="http://schemas.openxmlformats.org/officeDocument/2006/relationships/hyperlink" Target="https://www.cbd.int/doc/c/a763/e248/4fa326e03e3c126b9615e95d/cp-ra-ahteg-2020-01-05-en.pdf" TargetMode="External"/><Relationship Id="rId593" Type="http://schemas.openxmlformats.org/officeDocument/2006/relationships/hyperlink" Target="https://doi.org/10.2174/1389203720666181119120120" TargetMode="External"/><Relationship Id="rId607" Type="http://schemas.openxmlformats.org/officeDocument/2006/relationships/hyperlink" Target="https://doi.org/10.1038/s41586-020-2650-9" TargetMode="External"/><Relationship Id="rId628" Type="http://schemas.openxmlformats.org/officeDocument/2006/relationships/hyperlink" Target="https://doi.org/10.1038/nbt.4154" TargetMode="External"/><Relationship Id="rId649" Type="http://schemas.openxmlformats.org/officeDocument/2006/relationships/hyperlink" Target="https://doi.org/10.1038/s41598-017-10633-2" TargetMode="External"/><Relationship Id="rId190" Type="http://schemas.openxmlformats.org/officeDocument/2006/relationships/hyperlink" Target="https://doi.org/10.1038/d41586-020-00053-0" TargetMode="External"/><Relationship Id="rId204" Type="http://schemas.openxmlformats.org/officeDocument/2006/relationships/hyperlink" Target="https://doi.org/10.3389/fbioe.2019.00031" TargetMode="External"/><Relationship Id="rId225" Type="http://schemas.openxmlformats.org/officeDocument/2006/relationships/hyperlink" Target="file:///C:\Users\scbd\AppData\Local\Microsoft\Windows\INetCache\Content.Outlook\16IJT8B3\www.etcgroup.org\files\publication\602\01\synbioreportweb.pdf" TargetMode="External"/><Relationship Id="rId246" Type="http://schemas.openxmlformats.org/officeDocument/2006/relationships/hyperlink" Target="http://www.fao.org/documents/card/en/c/5202ca4e-e27e-4afa-84e2-b08f8181e8c9/" TargetMode="External"/><Relationship Id="rId267" Type="http://schemas.openxmlformats.org/officeDocument/2006/relationships/hyperlink" Target="https://doi.org/10.1038/35002131" TargetMode="External"/><Relationship Id="rId288" Type="http://schemas.openxmlformats.org/officeDocument/2006/relationships/hyperlink" Target="%20https:/doi.org/10.1098/rstb.2018.0106" TargetMode="External"/><Relationship Id="rId411" Type="http://schemas.openxmlformats.org/officeDocument/2006/relationships/hyperlink" Target="https://doi.org/10.1038/s41586-018-0374-x" TargetMode="External"/><Relationship Id="rId432" Type="http://schemas.openxmlformats.org/officeDocument/2006/relationships/hyperlink" Target="https://doi.org/10.1371/journal.pone.0062711" TargetMode="External"/><Relationship Id="rId453" Type="http://schemas.openxmlformats.org/officeDocument/2006/relationships/hyperlink" Target="https://doi.org/10.2990/28_2_2" TargetMode="External"/><Relationship Id="rId474" Type="http://schemas.openxmlformats.org/officeDocument/2006/relationships/hyperlink" Target="https://www.nuffieldbioethics.org/wp-content/uploads/Genome-editing-an-ethical-review.pdf" TargetMode="External"/><Relationship Id="rId509" Type="http://schemas.openxmlformats.org/officeDocument/2006/relationships/hyperlink" Target="https://doi.org/10.1038/s41540-017-0043-y" TargetMode="External"/><Relationship Id="rId660" Type="http://schemas.openxmlformats.org/officeDocument/2006/relationships/hyperlink" Target="https://doi.org/10.1038/nature08187" TargetMode="External"/><Relationship Id="rId106" Type="http://schemas.openxmlformats.org/officeDocument/2006/relationships/hyperlink" Target="https://doi.org/10.1021/acschembio.7b01031" TargetMode="External"/><Relationship Id="rId127" Type="http://schemas.openxmlformats.org/officeDocument/2006/relationships/hyperlink" Target="https://doi.org/10.1016/j.ymben.2017.06.003" TargetMode="External"/><Relationship Id="rId313" Type="http://schemas.openxmlformats.org/officeDocument/2006/relationships/hyperlink" Target="https://doi.org/10.1038/msb4100161" TargetMode="External"/><Relationship Id="rId495" Type="http://schemas.openxmlformats.org/officeDocument/2006/relationships/hyperlink" Target="https://doi.org/10.3389/fpls.2020.01250" TargetMode="External"/><Relationship Id="rId681" Type="http://schemas.openxmlformats.org/officeDocument/2006/relationships/hyperlink" Target="https://doi.org/10.1093/jhered/esv041" TargetMode="External"/><Relationship Id="rId716" Type="http://schemas.openxmlformats.org/officeDocument/2006/relationships/hyperlink" Target="https://doi.org/10.1016/j.cell.2018.01.015" TargetMode="External"/><Relationship Id="rId10" Type="http://schemas.openxmlformats.org/officeDocument/2006/relationships/endnotes" Target="endnotes.xml"/><Relationship Id="rId31" Type="http://schemas.openxmlformats.org/officeDocument/2006/relationships/hyperlink" Target="https://doi.org/10.1093/nar/gkq589" TargetMode="External"/><Relationship Id="rId52" Type="http://schemas.openxmlformats.org/officeDocument/2006/relationships/hyperlink" Target="https://doi.org/10.1126/science.1249252" TargetMode="External"/><Relationship Id="rId73" Type="http://schemas.openxmlformats.org/officeDocument/2006/relationships/hyperlink" Target="https://doi.org/10.1073/pnas.031575198" TargetMode="External"/><Relationship Id="rId94" Type="http://schemas.openxmlformats.org/officeDocument/2006/relationships/hyperlink" Target="https://adaptresearchwriting.com/2020/07/28/worse-than-covid-19-more-can-and-must-be-done-to-prevent-the-greatest-threats-to-human-survival/" TargetMode="External"/><Relationship Id="rId148" Type="http://schemas.openxmlformats.org/officeDocument/2006/relationships/hyperlink" Target="https://doi.org/10.17226/23405" TargetMode="External"/><Relationship Id="rId169" Type="http://schemas.openxmlformats.org/officeDocument/2006/relationships/hyperlink" Target="https://doi.org/10.1007/s00299-019-02446-6" TargetMode="External"/><Relationship Id="rId334" Type="http://schemas.openxmlformats.org/officeDocument/2006/relationships/hyperlink" Target="https://doi.org/10.1016/j.chembiol.2013.02.010" TargetMode="External"/><Relationship Id="rId355" Type="http://schemas.openxmlformats.org/officeDocument/2006/relationships/hyperlink" Target="https://doi.org/10.4269/ajtmh.19-0941" TargetMode="External"/><Relationship Id="rId376" Type="http://schemas.openxmlformats.org/officeDocument/2006/relationships/hyperlink" Target="https://doi.org/10.1038/s41587-019-0361-2" TargetMode="External"/><Relationship Id="rId397" Type="http://schemas.openxmlformats.org/officeDocument/2006/relationships/hyperlink" Target="https://doi.org/10.1016/j.molcel.2011.08.023" TargetMode="External"/><Relationship Id="rId520" Type="http://schemas.openxmlformats.org/officeDocument/2006/relationships/hyperlink" Target="https://doi.org/10.1126/science.1236756" TargetMode="External"/><Relationship Id="rId541" Type="http://schemas.openxmlformats.org/officeDocument/2006/relationships/hyperlink" Target="https://doi.org/10.3389/fpls.2020.00679" TargetMode="External"/><Relationship Id="rId562" Type="http://schemas.openxmlformats.org/officeDocument/2006/relationships/hyperlink" Target="https://patents.google.com/patent/CA2701624A1/en?q=%2B+canola&amp;assignee=%22cibus%22&amp;oq=%22cibus%22+%2B+canola" TargetMode="External"/><Relationship Id="rId583" Type="http://schemas.openxmlformats.org/officeDocument/2006/relationships/hyperlink" Target="%20https:/doi.org/10.1089/crispr.2017.0013" TargetMode="External"/><Relationship Id="rId618" Type="http://schemas.openxmlformats.org/officeDocument/2006/relationships/hyperlink" Target="https://doi.org/10.3390/plants10010082" TargetMode="External"/><Relationship Id="rId639" Type="http://schemas.openxmlformats.org/officeDocument/2006/relationships/hyperlink" Target="https://doi.org/10.3389/fpls.2020.594019" TargetMode="External"/><Relationship Id="rId4" Type="http://schemas.openxmlformats.org/officeDocument/2006/relationships/customXml" Target="../customXml/item4.xml"/><Relationship Id="rId180" Type="http://schemas.openxmlformats.org/officeDocument/2006/relationships/hyperlink" Target="https://doi.org/10.2139/ssrn.3352632" TargetMode="External"/><Relationship Id="rId215" Type="http://schemas.openxmlformats.org/officeDocument/2006/relationships/hyperlink" Target="https://doi.org/10.1038/nature04342" TargetMode="External"/><Relationship Id="rId236" Type="http://schemas.openxmlformats.org/officeDocument/2006/relationships/hyperlink" Target="https://doi.org/10.1146/annurev-arplant-050213-035825" TargetMode="External"/><Relationship Id="rId257" Type="http://schemas.openxmlformats.org/officeDocument/2006/relationships/hyperlink" Target="https://doi.org/10.1371/journal.pbio.1001825" TargetMode="External"/><Relationship Id="rId278" Type="http://schemas.openxmlformats.org/officeDocument/2006/relationships/hyperlink" Target="https://doi.org/10.1126/science.1190719" TargetMode="External"/><Relationship Id="rId401" Type="http://schemas.openxmlformats.org/officeDocument/2006/relationships/hyperlink" Target="https://doi.org/10.1016/j.tcb.2012.10.004" TargetMode="External"/><Relationship Id="rId422" Type="http://schemas.openxmlformats.org/officeDocument/2006/relationships/hyperlink" Target="https://doi.org/10.1038/s41587-019-0337-2" TargetMode="External"/><Relationship Id="rId443" Type="http://schemas.openxmlformats.org/officeDocument/2006/relationships/hyperlink" Target="https://doi.org/10.1038/s41587-020-0708-8" TargetMode="External"/><Relationship Id="rId464" Type="http://schemas.openxmlformats.org/officeDocument/2006/relationships/hyperlink" Target="https://doi.org/10.7554/eLife.09771" TargetMode="External"/><Relationship Id="rId650" Type="http://schemas.openxmlformats.org/officeDocument/2006/relationships/hyperlink" Target="https://doi.org/10.1073/pnas.1818259116" TargetMode="External"/><Relationship Id="rId303" Type="http://schemas.openxmlformats.org/officeDocument/2006/relationships/hyperlink" Target="https://doi.org/10.1371/journal.pone.0000972" TargetMode="External"/><Relationship Id="rId485" Type="http://schemas.openxmlformats.org/officeDocument/2006/relationships/hyperlink" Target="https://doi.org/10.1126/science.1254287" TargetMode="External"/><Relationship Id="rId692" Type="http://schemas.openxmlformats.org/officeDocument/2006/relationships/hyperlink" Target="https://doi.org/10.1038/s41568-019-0121-0" TargetMode="External"/><Relationship Id="rId706" Type="http://schemas.openxmlformats.org/officeDocument/2006/relationships/hyperlink" Target="https://www.zkbs-online.de/ZKBS/SharedDocs/Downloads/02_Allgemeine_Stellungnahmen_englisch/general_subjects/2nd_report_Synthetic_Biology_2018.html?nn=13046640%23download=1" TargetMode="External"/><Relationship Id="rId42" Type="http://schemas.openxmlformats.org/officeDocument/2006/relationships/hyperlink" Target="https://www.iucn.org/content/explanatory-guide-nagoya-protocol-access-and-benefit-sharing" TargetMode="External"/><Relationship Id="rId84" Type="http://schemas.openxmlformats.org/officeDocument/2006/relationships/hyperlink" Target="https://biobricks.org/terms-of-use/" TargetMode="External"/><Relationship Id="rId138" Type="http://schemas.openxmlformats.org/officeDocument/2006/relationships/hyperlink" Target="https://doi.org/10.1126/science.aav7793" TargetMode="External"/><Relationship Id="rId345" Type="http://schemas.openxmlformats.org/officeDocument/2006/relationships/hyperlink" Target="https://doi.org/10.1038/nbt1209-1106" TargetMode="External"/><Relationship Id="rId387" Type="http://schemas.openxmlformats.org/officeDocument/2006/relationships/hyperlink" Target="https://doi.org/10.1038/s41589-018-0056-x" TargetMode="External"/><Relationship Id="rId510" Type="http://schemas.openxmlformats.org/officeDocument/2006/relationships/hyperlink" Target="https://doi.org/10.1242/jeb.208181" TargetMode="External"/><Relationship Id="rId552" Type="http://schemas.openxmlformats.org/officeDocument/2006/relationships/hyperlink" Target="https://patents.google.com/patent/US10000749B2/" TargetMode="External"/><Relationship Id="rId594" Type="http://schemas.openxmlformats.org/officeDocument/2006/relationships/hyperlink" Target="https://doi.org/10.1038/nrg1870" TargetMode="External"/><Relationship Id="rId608" Type="http://schemas.openxmlformats.org/officeDocument/2006/relationships/hyperlink" Target="https://doi.org/10.1111/pbi.13513" TargetMode="External"/><Relationship Id="rId191" Type="http://schemas.openxmlformats.org/officeDocument/2006/relationships/hyperlink" Target="https://doi.org/10.1007/s00299-005-0098-x" TargetMode="External"/><Relationship Id="rId205" Type="http://schemas.openxmlformats.org/officeDocument/2006/relationships/hyperlink" Target="http://www.cbd.int/doc/emergingissues/econexus-synthetic-biology-2011-013-en.pdf" TargetMode="External"/><Relationship Id="rId247" Type="http://schemas.openxmlformats.org/officeDocument/2006/relationships/hyperlink" Target="https://patents.google.com/patent/WO2013149083A1" TargetMode="External"/><Relationship Id="rId412" Type="http://schemas.openxmlformats.org/officeDocument/2006/relationships/hyperlink" Target="https://doi.org/10.1038/s41586-019-0978-9" TargetMode="External"/><Relationship Id="rId107" Type="http://schemas.openxmlformats.org/officeDocument/2006/relationships/hyperlink" Target="https://undocs.org/bwc/msp/2018/mx.2/2" TargetMode="External"/><Relationship Id="rId289" Type="http://schemas.openxmlformats.org/officeDocument/2006/relationships/hyperlink" Target="https://doi.org/10.1002/anie.201411378" TargetMode="External"/><Relationship Id="rId454" Type="http://schemas.openxmlformats.org/officeDocument/2006/relationships/hyperlink" Target="https://doi.org/10.2903/j.efsa.2020.6297" TargetMode="External"/><Relationship Id="rId496" Type="http://schemas.openxmlformats.org/officeDocument/2006/relationships/hyperlink" Target="https://doi.org/10.1016/j.biotechadv.2015.10.011" TargetMode="External"/><Relationship Id="rId661" Type="http://schemas.openxmlformats.org/officeDocument/2006/relationships/hyperlink" Target="https://doi.org/10.1038/s41576-020-00325-5" TargetMode="External"/><Relationship Id="rId717" Type="http://schemas.openxmlformats.org/officeDocument/2006/relationships/hyperlink" Target="https://doi.org/10.1038/s41580-020-00288-9" TargetMode="External"/><Relationship Id="rId11" Type="http://schemas.openxmlformats.org/officeDocument/2006/relationships/image" Target="media/image1.emf"/><Relationship Id="rId53" Type="http://schemas.openxmlformats.org/officeDocument/2006/relationships/hyperlink" Target="https://doi.org/10.1038/s41559-017-0313-5" TargetMode="External"/><Relationship Id="rId149" Type="http://schemas.openxmlformats.org/officeDocument/2006/relationships/hyperlink" Target="https://doi.org/10.1021/sb500258b" TargetMode="External"/><Relationship Id="rId314" Type="http://schemas.openxmlformats.org/officeDocument/2006/relationships/hyperlink" Target="https://doi.org/10.1126/science.1213362" TargetMode="External"/><Relationship Id="rId356" Type="http://schemas.openxmlformats.org/officeDocument/2006/relationships/hyperlink" Target="https://doi.org/10.1371/journal.pone.0197059" TargetMode="External"/><Relationship Id="rId398" Type="http://schemas.openxmlformats.org/officeDocument/2006/relationships/hyperlink" Target="%20https:/doi.org/10.1002/biot.201600415" TargetMode="External"/><Relationship Id="rId521" Type="http://schemas.openxmlformats.org/officeDocument/2006/relationships/hyperlink" Target="https://doi.org/10.1126/science.aat7664" TargetMode="External"/><Relationship Id="rId563" Type="http://schemas.openxmlformats.org/officeDocument/2006/relationships/hyperlink" Target="https://doi.org/10.1080/23299460.2017.1410343" TargetMode="External"/><Relationship Id="rId619" Type="http://schemas.openxmlformats.org/officeDocument/2006/relationships/hyperlink" Target="https://doi.org/10.1016/j.cell.2021.01.017" TargetMode="External"/><Relationship Id="rId95" Type="http://schemas.openxmlformats.org/officeDocument/2006/relationships/hyperlink" Target="https://doi.org/10.1146/annurev-food-032818-121204" TargetMode="External"/><Relationship Id="rId160" Type="http://schemas.openxmlformats.org/officeDocument/2006/relationships/hyperlink" Target="https://doi.org/10.1017/9781316585269.004" TargetMode="External"/><Relationship Id="rId216" Type="http://schemas.openxmlformats.org/officeDocument/2006/relationships/hyperlink" Target="https://doi.org/10.1016/j.cell.2019.07.036" TargetMode="External"/><Relationship Id="rId423" Type="http://schemas.openxmlformats.org/officeDocument/2006/relationships/hyperlink" Target="https://doi.org/10.1038/s41541-019-0111-y" TargetMode="External"/><Relationship Id="rId258" Type="http://schemas.openxmlformats.org/officeDocument/2006/relationships/hyperlink" Target="https://doi.org/10.3389/fpls.2018.01323" TargetMode="External"/><Relationship Id="rId465" Type="http://schemas.openxmlformats.org/officeDocument/2006/relationships/hyperlink" Target="%20https:/www.nobelprize.org/prizes/medicine/2006/summary/" TargetMode="External"/><Relationship Id="rId630" Type="http://schemas.openxmlformats.org/officeDocument/2006/relationships/hyperlink" Target="https://doi.org/10.1186/s12915-019-0685-x" TargetMode="External"/><Relationship Id="rId672" Type="http://schemas.openxmlformats.org/officeDocument/2006/relationships/hyperlink" Target="https://doi.org/10.1080/21645698.2015.1114698" TargetMode="External"/><Relationship Id="rId22" Type="http://schemas.openxmlformats.org/officeDocument/2006/relationships/hyperlink" Target="https://www.cbd.int/doc/decisions/cop-12/cop-12-dec-24-en.pdf" TargetMode="External"/><Relationship Id="rId64" Type="http://schemas.openxmlformats.org/officeDocument/2006/relationships/hyperlink" Target="https://doi.org/10.3906/biy-1912-52" TargetMode="External"/><Relationship Id="rId118" Type="http://schemas.openxmlformats.org/officeDocument/2006/relationships/hyperlink" Target="https://doi.org/10.1042/BST20190837" TargetMode="External"/><Relationship Id="rId325" Type="http://schemas.openxmlformats.org/officeDocument/2006/relationships/hyperlink" Target="https://doi.org/10.1002/adbi.201800315" TargetMode="External"/><Relationship Id="rId367" Type="http://schemas.openxmlformats.org/officeDocument/2006/relationships/hyperlink" Target="%20https:/doi.org/10.1126/science.aat4612" TargetMode="External"/><Relationship Id="rId532" Type="http://schemas.openxmlformats.org/officeDocument/2006/relationships/hyperlink" Target="https://doi.org/10.3109/07388551.2015.1004521" TargetMode="External"/><Relationship Id="rId574" Type="http://schemas.openxmlformats.org/officeDocument/2006/relationships/hyperlink" Target="https://doi.org/10.1038/s41586-019-1923-7" TargetMode="External"/><Relationship Id="rId171" Type="http://schemas.openxmlformats.org/officeDocument/2006/relationships/hyperlink" Target="https://patents.google.com/patent/US20160024510A1/en" TargetMode="External"/><Relationship Id="rId227" Type="http://schemas.openxmlformats.org/officeDocument/2006/relationships/hyperlink" Target="https://www.etcgroup.org/sites/www.etcgroup.org/files/publication/pdf_file/ETC_wwctge_4web_Dec2011.pdf" TargetMode="External"/><Relationship Id="rId269" Type="http://schemas.openxmlformats.org/officeDocument/2006/relationships/hyperlink" Target="%20https:/doi.org/10.1089/bsp.2007.0923" TargetMode="External"/><Relationship Id="rId434" Type="http://schemas.openxmlformats.org/officeDocument/2006/relationships/hyperlink" Target="https://doi.org/10.3390/ijms21010132" TargetMode="External"/><Relationship Id="rId476" Type="http://schemas.openxmlformats.org/officeDocument/2006/relationships/hyperlink" Target="https://patents.google.com/patent/US8263372B2/" TargetMode="External"/><Relationship Id="rId641" Type="http://schemas.openxmlformats.org/officeDocument/2006/relationships/hyperlink" Target="https://unctad.org/en/pages/PublicationWebflyer.aspx?publicationid=2554" TargetMode="External"/><Relationship Id="rId683" Type="http://schemas.openxmlformats.org/officeDocument/2006/relationships/hyperlink" Target="https://www.cbd.int/doc/emerging-issues/emergingissues-2013-07-WilsonCenter-SynbioApplicationsInventory-en.pdf" TargetMode="External"/><Relationship Id="rId33" Type="http://schemas.openxmlformats.org/officeDocument/2006/relationships/hyperlink" Target="https://doi.org/10.17159/assaf.2016/0011" TargetMode="External"/><Relationship Id="rId129" Type="http://schemas.openxmlformats.org/officeDocument/2006/relationships/hyperlink" Target="https://doi.org/10.1016/j.chembiol.2012.10.011" TargetMode="External"/><Relationship Id="rId280" Type="http://schemas.openxmlformats.org/officeDocument/2006/relationships/hyperlink" Target="https://doi.org/10.1007/s11627-008-9140-3" TargetMode="External"/><Relationship Id="rId336" Type="http://schemas.openxmlformats.org/officeDocument/2006/relationships/hyperlink" Target="https://patents.google.com/patent/US10179920B2/" TargetMode="External"/><Relationship Id="rId501" Type="http://schemas.openxmlformats.org/officeDocument/2006/relationships/hyperlink" Target="https://doi.org/10.1126/science.1217622" TargetMode="External"/><Relationship Id="rId543" Type="http://schemas.openxmlformats.org/officeDocument/2006/relationships/hyperlink" Target="file:///C:\Users\scbd\AppData\Local\Microsoft\Windows\INetCache\Content.Outlook\16IJT8B3\www.raeng.org.uk\biofuels" TargetMode="External"/><Relationship Id="rId75" Type="http://schemas.openxmlformats.org/officeDocument/2006/relationships/hyperlink" Target="https://doi.org/10.1016/j.xplc.2020.100032" TargetMode="External"/><Relationship Id="rId140" Type="http://schemas.openxmlformats.org/officeDocument/2006/relationships/hyperlink" Target="https://www.twn.my/title2/books/Gene-drives.htm" TargetMode="External"/><Relationship Id="rId182" Type="http://schemas.openxmlformats.org/officeDocument/2006/relationships/hyperlink" Target="https://doi.org/10.2903/j.efsa.2019.e170708" TargetMode="External"/><Relationship Id="rId378" Type="http://schemas.openxmlformats.org/officeDocument/2006/relationships/hyperlink" Target="https://doi.org/10.1371/journal.pntd.0001724" TargetMode="External"/><Relationship Id="rId403" Type="http://schemas.openxmlformats.org/officeDocument/2006/relationships/hyperlink" Target="%20https:/doi.org/10.1007/s10669-018-9686-5" TargetMode="External"/><Relationship Id="rId585" Type="http://schemas.openxmlformats.org/officeDocument/2006/relationships/hyperlink" Target="https://doi.org/10.1016/j.rser.2017.08.042" TargetMode="External"/><Relationship Id="rId6" Type="http://schemas.openxmlformats.org/officeDocument/2006/relationships/styles" Target="styles.xml"/><Relationship Id="rId238" Type="http://schemas.openxmlformats.org/officeDocument/2006/relationships/hyperlink" Target="https://www.fda.gov/animal-veterinary/animals-intentional-genomic-alterations/qa-fda-regulation-intentional-genomic-alterations-animals" TargetMode="External"/><Relationship Id="rId445" Type="http://schemas.openxmlformats.org/officeDocument/2006/relationships/hyperlink" Target="https://doi.org/10.3389/fmicb.2013.00005" TargetMode="External"/><Relationship Id="rId487" Type="http://schemas.openxmlformats.org/officeDocument/2006/relationships/hyperlink" Target="https://doi.org/10.1126/science.abc0881" TargetMode="External"/><Relationship Id="rId610" Type="http://schemas.openxmlformats.org/officeDocument/2006/relationships/hyperlink" Target="https://doi.org/10.1038/srep03791" TargetMode="External"/><Relationship Id="rId652" Type="http://schemas.openxmlformats.org/officeDocument/2006/relationships/hyperlink" Target="https://doi.org/10.3389/fphys.2018.01912" TargetMode="External"/><Relationship Id="rId694" Type="http://schemas.openxmlformats.org/officeDocument/2006/relationships/hyperlink" Target="https://doi.org/10.1038/s41598-018-21350-9" TargetMode="External"/><Relationship Id="rId708" Type="http://schemas.openxmlformats.org/officeDocument/2006/relationships/hyperlink" Target="https://doi.org/10.1111/pbi.13383" TargetMode="External"/><Relationship Id="rId291" Type="http://schemas.openxmlformats.org/officeDocument/2006/relationships/hyperlink" Target="file:///C:\Users\scbd\AppData\Local\Microsoft\Windows\INetCache\Content.Outlook\16IJT8B3\www.acola.org.au" TargetMode="External"/><Relationship Id="rId305" Type="http://schemas.openxmlformats.org/officeDocument/2006/relationships/hyperlink" Target="https://doi.org/10.1111/pbi.12201" TargetMode="External"/><Relationship Id="rId347" Type="http://schemas.openxmlformats.org/officeDocument/2006/relationships/hyperlink" Target="https://doi.org/10.1111/mpp.12572" TargetMode="External"/><Relationship Id="rId512" Type="http://schemas.openxmlformats.org/officeDocument/2006/relationships/hyperlink" Target="https://doi.org/10.1371/journal.pbio.0050058" TargetMode="External"/><Relationship Id="rId44" Type="http://schemas.openxmlformats.org/officeDocument/2006/relationships/hyperlink" Target="https://doi.org/10.1021/acs.jafc.8b05157" TargetMode="External"/><Relationship Id="rId86" Type="http://schemas.openxmlformats.org/officeDocument/2006/relationships/hyperlink" Target="https://doi.org/10.1242/jeb.207159" TargetMode="External"/><Relationship Id="rId151" Type="http://schemas.openxmlformats.org/officeDocument/2006/relationships/hyperlink" Target="https://doi.org/10.1073/pnas.1722151115" TargetMode="External"/><Relationship Id="rId389" Type="http://schemas.openxmlformats.org/officeDocument/2006/relationships/hyperlink" Target="https://doi.org/10.1080/23299460.2017.1365232" TargetMode="External"/><Relationship Id="rId554" Type="http://schemas.openxmlformats.org/officeDocument/2006/relationships/hyperlink" Target="https://patents.google.com/patent/WO2014092562A1" TargetMode="External"/><Relationship Id="rId596" Type="http://schemas.openxmlformats.org/officeDocument/2006/relationships/hyperlink" Target="http://www.genewatch.org/uploads/f03c6d66a9b354535738483c1c3d49e4/genome-edited-biobrief-dec2020-sirinathsinghji.pdf" TargetMode="External"/><Relationship Id="rId193" Type="http://schemas.openxmlformats.org/officeDocument/2006/relationships/hyperlink" Target="https://doi.org/10.1016/j.synbio.2020.04.001" TargetMode="External"/><Relationship Id="rId207" Type="http://schemas.openxmlformats.org/officeDocument/2006/relationships/hyperlink" Target="https://doi.org/10.2903/sp.efsa.2014.EN-705" TargetMode="External"/><Relationship Id="rId249" Type="http://schemas.openxmlformats.org/officeDocument/2006/relationships/hyperlink" Target="%20https:/doi.org/10.1155/2015/392872" TargetMode="External"/><Relationship Id="rId414" Type="http://schemas.openxmlformats.org/officeDocument/2006/relationships/hyperlink" Target="https://doi.org/10.1177/0954406220959094" TargetMode="External"/><Relationship Id="rId456" Type="http://schemas.openxmlformats.org/officeDocument/2006/relationships/hyperlink" Target="https://doi.org/10.17226/23405" TargetMode="External"/><Relationship Id="rId498" Type="http://schemas.openxmlformats.org/officeDocument/2006/relationships/hyperlink" Target="https://doi.org/10.1016/j.tree.2016.10.016" TargetMode="External"/><Relationship Id="rId621" Type="http://schemas.openxmlformats.org/officeDocument/2006/relationships/hyperlink" Target="https://doi.org/10.1021/acssynbio.7b00137" TargetMode="External"/><Relationship Id="rId663" Type="http://schemas.openxmlformats.org/officeDocument/2006/relationships/hyperlink" Target="https://doi.org/10.1038/nplants.2016.151" TargetMode="External"/><Relationship Id="rId13" Type="http://schemas.openxmlformats.org/officeDocument/2006/relationships/image" Target="media/image3.emf"/><Relationship Id="rId109" Type="http://schemas.openxmlformats.org/officeDocument/2006/relationships/hyperlink" Target="https://doi.org/10.3389/fpls.2019.01319" TargetMode="External"/><Relationship Id="rId260" Type="http://schemas.openxmlformats.org/officeDocument/2006/relationships/hyperlink" Target="https://doi.org/10.1111/nph.16529" TargetMode="External"/><Relationship Id="rId316" Type="http://schemas.openxmlformats.org/officeDocument/2006/relationships/hyperlink" Target="%20https:/doi.org/10.1002/cphc.201900739" TargetMode="External"/><Relationship Id="rId523" Type="http://schemas.openxmlformats.org/officeDocument/2006/relationships/hyperlink" Target="https://doi.org/10.1007/s12275-020-9334-x" TargetMode="External"/><Relationship Id="rId719" Type="http://schemas.openxmlformats.org/officeDocument/2006/relationships/hyperlink" Target="https://doi.org/10.1038/nbt.4272" TargetMode="External"/><Relationship Id="rId55" Type="http://schemas.openxmlformats.org/officeDocument/2006/relationships/hyperlink" Target="https://doi.org/10.1038/s41587-020-0561-9" TargetMode="External"/><Relationship Id="rId97" Type="http://schemas.openxmlformats.org/officeDocument/2006/relationships/hyperlink" Target="https://patents.google.com/patent/US20180216260A1" TargetMode="External"/><Relationship Id="rId120" Type="http://schemas.openxmlformats.org/officeDocument/2006/relationships/hyperlink" Target="https://doi.org/10.1038/nbt.2684" TargetMode="External"/><Relationship Id="rId358" Type="http://schemas.openxmlformats.org/officeDocument/2006/relationships/hyperlink" Target="https://doi.org/10.1038/nrg2775" TargetMode="External"/><Relationship Id="rId565" Type="http://schemas.openxmlformats.org/officeDocument/2006/relationships/hyperlink" Target="https://www.cbd.int/traditional/code.shtml" TargetMode="External"/><Relationship Id="rId162" Type="http://schemas.openxmlformats.org/officeDocument/2006/relationships/hyperlink" Target="https://genedrives.ch/report" TargetMode="External"/><Relationship Id="rId218" Type="http://schemas.openxmlformats.org/officeDocument/2006/relationships/hyperlink" Target="https://doi.org/10.1126/science.1211066" TargetMode="External"/><Relationship Id="rId425" Type="http://schemas.openxmlformats.org/officeDocument/2006/relationships/hyperlink" Target="https://doi.org/10.1371/journal.pbio.2006607" TargetMode="External"/><Relationship Id="rId467" Type="http://schemas.openxmlformats.org/officeDocument/2006/relationships/hyperlink" Target="https://doi.org/10.1073/pnas.1716358116" TargetMode="External"/><Relationship Id="rId632" Type="http://schemas.openxmlformats.org/officeDocument/2006/relationships/hyperlink" Target="https://papers.ssrn.com/sol3/papers.cfm?abstract_id=1629838" TargetMode="External"/><Relationship Id="rId271" Type="http://schemas.openxmlformats.org/officeDocument/2006/relationships/hyperlink" Target="https://doi.org/10.1038/s41467-019-10882-x" TargetMode="External"/><Relationship Id="rId674" Type="http://schemas.openxmlformats.org/officeDocument/2006/relationships/hyperlink" Target="https://doi.org/10.1126/science.1155165" TargetMode="External"/><Relationship Id="rId24" Type="http://schemas.openxmlformats.org/officeDocument/2006/relationships/footer" Target="footer1.xml"/><Relationship Id="rId66" Type="http://schemas.openxmlformats.org/officeDocument/2006/relationships/hyperlink" Target="https://doi.org/10.1016/j.yrtph.2016.08.001" TargetMode="External"/><Relationship Id="rId131" Type="http://schemas.openxmlformats.org/officeDocument/2006/relationships/hyperlink" Target="https://doi.org/10.1007/s10295-019-02211-4" TargetMode="External"/><Relationship Id="rId327" Type="http://schemas.openxmlformats.org/officeDocument/2006/relationships/hyperlink" Target="https://www.cbd.int/doc/emerging-issues/Int-Civil-Soc-WGSynthetic-Biology-2011-013-en.pdf" TargetMode="External"/><Relationship Id="rId369" Type="http://schemas.openxmlformats.org/officeDocument/2006/relationships/hyperlink" Target="https://doi.org/10.2174/1389202911314010003" TargetMode="External"/><Relationship Id="rId534" Type="http://schemas.openxmlformats.org/officeDocument/2006/relationships/hyperlink" Target="%20https:/doi.org/10.1016/j.copbio.2019.12.003" TargetMode="External"/><Relationship Id="rId576" Type="http://schemas.openxmlformats.org/officeDocument/2006/relationships/hyperlink" Target="https://doi.org/10.1126/science.aba6487" TargetMode="External"/><Relationship Id="rId173" Type="http://schemas.openxmlformats.org/officeDocument/2006/relationships/hyperlink" Target="https://doi.org/10.1080/21683565.2019.1591566" TargetMode="External"/><Relationship Id="rId229" Type="http://schemas.openxmlformats.org/officeDocument/2006/relationships/hyperlink" Target="http://www.cbd.int/doc/emerging-issues/emergingissues-%0A2013-07-ETCGroup%281%29-en.pdf" TargetMode="External"/><Relationship Id="rId380" Type="http://schemas.openxmlformats.org/officeDocument/2006/relationships/hyperlink" Target="https://www.cbd.int/abs/doc/protocol/factsheets/policy/policy-brief-01-en.pdf" TargetMode="External"/><Relationship Id="rId436" Type="http://schemas.openxmlformats.org/officeDocument/2006/relationships/hyperlink" Target="https://doi.org/10.3389/fpls.2020.512526" TargetMode="External"/><Relationship Id="rId601" Type="http://schemas.openxmlformats.org/officeDocument/2006/relationships/hyperlink" Target="https://doi.org/10.1525/bio.2012.62.8.9" TargetMode="External"/><Relationship Id="rId643" Type="http://schemas.openxmlformats.org/officeDocument/2006/relationships/hyperlink" Target="https://doi.org/10.1038/s41598-019-52778-2" TargetMode="External"/><Relationship Id="rId240" Type="http://schemas.openxmlformats.org/officeDocument/2006/relationships/hyperlink" Target="https://doi.org/10.1016/j.molp.2019.03.016" TargetMode="External"/><Relationship Id="rId478" Type="http://schemas.openxmlformats.org/officeDocument/2006/relationships/hyperlink" Target="file:///C:\Users\scbd\AppData\Local\Microsoft\Windows\INetCache\Content.Outlook\16IJT8B3\www.ogtr.gov.au" TargetMode="External"/><Relationship Id="rId685" Type="http://schemas.openxmlformats.org/officeDocument/2006/relationships/hyperlink" Target="https://www.who.int/publications/i/item/9789240013155" TargetMode="External"/><Relationship Id="rId35" Type="http://schemas.openxmlformats.org/officeDocument/2006/relationships/hyperlink" Target="https://doi.org/10.1038/s41467-018-04252-2" TargetMode="External"/><Relationship Id="rId77" Type="http://schemas.openxmlformats.org/officeDocument/2006/relationships/hyperlink" Target="https://doi.org/10.3389/fbioe.2020.00650" TargetMode="External"/><Relationship Id="rId100" Type="http://schemas.openxmlformats.org/officeDocument/2006/relationships/hyperlink" Target="https://doi.org/10.3389/fmicb.2012.00203" TargetMode="External"/><Relationship Id="rId282" Type="http://schemas.openxmlformats.org/officeDocument/2006/relationships/hyperlink" Target="https://doi.org/10.1016/j.cell.2019.11.009" TargetMode="External"/><Relationship Id="rId338" Type="http://schemas.openxmlformats.org/officeDocument/2006/relationships/hyperlink" Target="https://doi.org/10.1098/rspa.2020.0351" TargetMode="External"/><Relationship Id="rId503" Type="http://schemas.openxmlformats.org/officeDocument/2006/relationships/hyperlink" Target="https://info.pivotbio.com/hubfs/Safety%20Data%20Sheets/Pivot-Bio-2020-08-07-PBP-Safety-Data-Sheet.pdf?hsLang=en-us" TargetMode="External"/><Relationship Id="rId545" Type="http://schemas.openxmlformats.org/officeDocument/2006/relationships/hyperlink" Target="https://cogem.net/en/publication/gene-drives-experience-with-gene-drive-systems-that-may-inform-an-environmental-risk-assessment/" TargetMode="External"/><Relationship Id="rId587" Type="http://schemas.openxmlformats.org/officeDocument/2006/relationships/hyperlink" Target="https://doi.org/10.1038/s41576-019-0186-3" TargetMode="External"/><Relationship Id="rId710" Type="http://schemas.openxmlformats.org/officeDocument/2006/relationships/hyperlink" Target="https://doi.org/10.1016/j.micinf.2020.05.001" TargetMode="External"/><Relationship Id="rId8" Type="http://schemas.openxmlformats.org/officeDocument/2006/relationships/webSettings" Target="webSettings.xml"/><Relationship Id="rId142" Type="http://schemas.openxmlformats.org/officeDocument/2006/relationships/hyperlink" Target="https://doi.org/10.1016/j.tibtech.2019.01.003" TargetMode="External"/><Relationship Id="rId184" Type="http://schemas.openxmlformats.org/officeDocument/2006/relationships/hyperlink" Target="https://doi.org/10.1038/nbt.3412" TargetMode="External"/><Relationship Id="rId391" Type="http://schemas.openxmlformats.org/officeDocument/2006/relationships/hyperlink" Target="%20https:/doi.org/10.1007/s11248-019-00145-2" TargetMode="External"/><Relationship Id="rId405" Type="http://schemas.openxmlformats.org/officeDocument/2006/relationships/hyperlink" Target="https://doi.org/10.1016/j.biotechadv.2019.107463" TargetMode="External"/><Relationship Id="rId447" Type="http://schemas.openxmlformats.org/officeDocument/2006/relationships/hyperlink" Target="https://doi.org/10.1039/c9ee02381j" TargetMode="External"/><Relationship Id="rId612" Type="http://schemas.openxmlformats.org/officeDocument/2006/relationships/hyperlink" Target="%20https:/doi.org/10.1111/j.1365-2958.2009.06976.x" TargetMode="External"/><Relationship Id="rId251" Type="http://schemas.openxmlformats.org/officeDocument/2006/relationships/hyperlink" Target="https://doi.org/10.1038/s41586-019-1192-5" TargetMode="External"/><Relationship Id="rId489" Type="http://schemas.openxmlformats.org/officeDocument/2006/relationships/hyperlink" Target="https://doi.org/10.1016/j.cell.2014.10.004" TargetMode="External"/><Relationship Id="rId654" Type="http://schemas.openxmlformats.org/officeDocument/2006/relationships/hyperlink" Target="https://doi.org/10.1016/bs.adgen.2015.05.001" TargetMode="External"/><Relationship Id="rId696" Type="http://schemas.openxmlformats.org/officeDocument/2006/relationships/hyperlink" Target="%20https:/doi.org/10.1038/s41586-020-2646-5" TargetMode="External"/><Relationship Id="rId46" Type="http://schemas.openxmlformats.org/officeDocument/2006/relationships/hyperlink" Target="https://doi.org/10.1038/s41592-019-0598-1" TargetMode="External"/><Relationship Id="rId293" Type="http://schemas.openxmlformats.org/officeDocument/2006/relationships/hyperlink" Target="https://doi.org/10.1042/EBC20160039" TargetMode="External"/><Relationship Id="rId307" Type="http://schemas.openxmlformats.org/officeDocument/2006/relationships/hyperlink" Target="https://doi.org/10.1080/23299460.2017.1415585" TargetMode="External"/><Relationship Id="rId349" Type="http://schemas.openxmlformats.org/officeDocument/2006/relationships/hyperlink" Target="https://doi.org/10.3389/fpls.2019.00525" TargetMode="External"/><Relationship Id="rId514" Type="http://schemas.openxmlformats.org/officeDocument/2006/relationships/hyperlink" Target="https://doi.org/10.1017/S0030605314000040" TargetMode="External"/><Relationship Id="rId556" Type="http://schemas.openxmlformats.org/officeDocument/2006/relationships/hyperlink" Target="http://ma.chm-cbd.net/biodiversity/res_genetic/5ieme-atelier-panafricain-sur-l-acces-aux-ressources-genetiques-et-le-partage/fni-reports/2010-04-genetic-resources.pdf/download/ar/1/2010-04%20Genetic%20Resources.pdf" TargetMode="External"/><Relationship Id="rId721" Type="http://schemas.openxmlformats.org/officeDocument/2006/relationships/footer" Target="footer5.xml"/><Relationship Id="rId88" Type="http://schemas.openxmlformats.org/officeDocument/2006/relationships/hyperlink" Target="https://doi.org/10.1126/science.aaf6850" TargetMode="External"/><Relationship Id="rId111" Type="http://schemas.openxmlformats.org/officeDocument/2006/relationships/hyperlink" Target="https://doi.org/10.1057/biosoc.2012.3" TargetMode="External"/><Relationship Id="rId153" Type="http://schemas.openxmlformats.org/officeDocument/2006/relationships/hyperlink" Target="https://doi.org/10.1111/jpy.12888" TargetMode="External"/><Relationship Id="rId195" Type="http://schemas.openxmlformats.org/officeDocument/2006/relationships/hyperlink" Target="https://doi.org/10.1016/j.tig.2019.12.001" TargetMode="External"/><Relationship Id="rId209" Type="http://schemas.openxmlformats.org/officeDocument/2006/relationships/hyperlink" Target="https://doi.org/10.3389/fbioe.2019.00175" TargetMode="External"/><Relationship Id="rId360" Type="http://schemas.openxmlformats.org/officeDocument/2006/relationships/hyperlink" Target="https://patents.google.com/patent/US10299940B2/" TargetMode="External"/><Relationship Id="rId416" Type="http://schemas.openxmlformats.org/officeDocument/2006/relationships/hyperlink" Target="https://doi.org/10.1038/s41477-020-0704-5" TargetMode="External"/><Relationship Id="rId598" Type="http://schemas.openxmlformats.org/officeDocument/2006/relationships/hyperlink" Target="%20https:/doi.org/10.1038/nrmicro.2015.24" TargetMode="External"/><Relationship Id="rId220" Type="http://schemas.openxmlformats.org/officeDocument/2006/relationships/hyperlink" Target="https://doi.org/10.1126/science.aaj2038" TargetMode="External"/><Relationship Id="rId458" Type="http://schemas.openxmlformats.org/officeDocument/2006/relationships/hyperlink" Target="%20https:/doi.org/10.17226/24890" TargetMode="External"/><Relationship Id="rId623" Type="http://schemas.openxmlformats.org/officeDocument/2006/relationships/hyperlink" Target="https://patents.google.com/patent/US10556839B2/en?assignee=pivot+bio&amp;oq=pivot+bio" TargetMode="External"/><Relationship Id="rId665" Type="http://schemas.openxmlformats.org/officeDocument/2006/relationships/hyperlink" Target="https://doi.org/10.1089/hs.2020.0017" TargetMode="External"/><Relationship Id="rId15" Type="http://schemas.openxmlformats.org/officeDocument/2006/relationships/hyperlink" Target="https://www.cbd.int/doc/decisions/cop-10/cop-10-dec-13-en.pdf" TargetMode="External"/><Relationship Id="rId57" Type="http://schemas.openxmlformats.org/officeDocument/2006/relationships/hyperlink" Target="https://doi.org/10.1093/pcp/pcaa123" TargetMode="External"/><Relationship Id="rId262" Type="http://schemas.openxmlformats.org/officeDocument/2006/relationships/hyperlink" Target="https://doi.org/10.1126/science.aaa5945" TargetMode="External"/><Relationship Id="rId318" Type="http://schemas.openxmlformats.org/officeDocument/2006/relationships/hyperlink" Target="https://scholarship.law.missouri.edu/mlr/vol76/iss3/4" TargetMode="External"/><Relationship Id="rId525" Type="http://schemas.openxmlformats.org/officeDocument/2006/relationships/hyperlink" Target="https://doi.org/10.1603/0022-0493-97.5.1547" TargetMode="External"/><Relationship Id="rId567" Type="http://schemas.openxmlformats.org/officeDocument/2006/relationships/hyperlink" Target="%20https:/www.cbd.int/doc/meetings/synbio/synbioahteg-2015-01/official/synbioahteg-2015-01-03-en.pdf" TargetMode="External"/><Relationship Id="rId99" Type="http://schemas.openxmlformats.org/officeDocument/2006/relationships/hyperlink" Target="https://doi.org/10.1038/s41587-020-0513-4" TargetMode="External"/><Relationship Id="rId122" Type="http://schemas.openxmlformats.org/officeDocument/2006/relationships/hyperlink" Target="https://doi.org/10.1016/j.tibtech.2014.12.003" TargetMode="External"/><Relationship Id="rId164" Type="http://schemas.openxmlformats.org/officeDocument/2006/relationships/hyperlink" Target="https://patents.google.com/patent/US9452210B2/en?q=medicago+%2B+VLP&amp;oq=medicago+%2B+VLP" TargetMode="External"/><Relationship Id="rId371" Type="http://schemas.openxmlformats.org/officeDocument/2006/relationships/hyperlink" Target="https://doi.org/10.1016/j.copbio.2020.02.017" TargetMode="External"/><Relationship Id="rId427" Type="http://schemas.openxmlformats.org/officeDocument/2006/relationships/hyperlink" Target="https://synbiobeta.com/mammoth-biosciences-launches-to-develop-worlds-first-crispr-based-detection-platform/" TargetMode="External"/><Relationship Id="rId469" Type="http://schemas.openxmlformats.org/officeDocument/2006/relationships/hyperlink" Target="https://doi.org/10.3390/genes9110548" TargetMode="External"/><Relationship Id="rId634" Type="http://schemas.openxmlformats.org/officeDocument/2006/relationships/hyperlink" Target="https://doi.org/10.1007/s11248-019-00146-1" TargetMode="External"/><Relationship Id="rId676" Type="http://schemas.openxmlformats.org/officeDocument/2006/relationships/hyperlink" Target="https://doi.org/10.1016/j.tibtech.2020.09.007" TargetMode="External"/><Relationship Id="rId26" Type="http://schemas.openxmlformats.org/officeDocument/2006/relationships/hyperlink" Target="http://www.cbd.int/decisions/?m=cop-09&amp;n=29" TargetMode="External"/><Relationship Id="rId231" Type="http://schemas.openxmlformats.org/officeDocument/2006/relationships/hyperlink" Target="https://www.etcgroup.org/sites/www.etcgroup.org/files/files/etc_synbiocasestudies_2016.pdf" TargetMode="External"/><Relationship Id="rId273" Type="http://schemas.openxmlformats.org/officeDocument/2006/relationships/hyperlink" Target="https://patents.google.com/patent/WO2015066377A1" TargetMode="External"/><Relationship Id="rId329" Type="http://schemas.openxmlformats.org/officeDocument/2006/relationships/hyperlink" Target="https://igem.org/About" TargetMode="External"/><Relationship Id="rId480" Type="http://schemas.openxmlformats.org/officeDocument/2006/relationships/hyperlink" Target="https://doi.org/10.1111/gcb.13647" TargetMode="External"/><Relationship Id="rId536" Type="http://schemas.openxmlformats.org/officeDocument/2006/relationships/hyperlink" Target="https://doi.org/10.4269/ajtmh.16-0726" TargetMode="External"/><Relationship Id="rId701" Type="http://schemas.openxmlformats.org/officeDocument/2006/relationships/hyperlink" Target="https://doi.org/10.1038/s41592-019-0496-6" TargetMode="External"/><Relationship Id="rId68" Type="http://schemas.openxmlformats.org/officeDocument/2006/relationships/hyperlink" Target="https://doi.org/10.3390/v12030270" TargetMode="External"/><Relationship Id="rId133" Type="http://schemas.openxmlformats.org/officeDocument/2006/relationships/hyperlink" Target="https://doi.org/10.1186/s12936-020-03577-y" TargetMode="External"/><Relationship Id="rId175" Type="http://schemas.openxmlformats.org/officeDocument/2006/relationships/hyperlink" Target="https://admin.govexec.com/media/hr001117s0002.pdf" TargetMode="External"/><Relationship Id="rId340" Type="http://schemas.openxmlformats.org/officeDocument/2006/relationships/hyperlink" Target="https://doi.org/10.1016/j.tplants.2006.11.004" TargetMode="External"/><Relationship Id="rId578" Type="http://schemas.openxmlformats.org/officeDocument/2006/relationships/hyperlink" Target="https://agbioforum.org/new-breeding-techniques-and-their-possible-regulation/" TargetMode="External"/><Relationship Id="rId200" Type="http://schemas.openxmlformats.org/officeDocument/2006/relationships/hyperlink" Target="%20https:/patents.google.com/patent/WO2018144965A1/en" TargetMode="External"/><Relationship Id="rId382" Type="http://schemas.openxmlformats.org/officeDocument/2006/relationships/hyperlink" Target="https://doi.org/10.1007/s11693-013-9116-4" TargetMode="External"/><Relationship Id="rId438" Type="http://schemas.openxmlformats.org/officeDocument/2006/relationships/hyperlink" Target="https://doi.org/10.3389/fpls.2020.00740" TargetMode="External"/><Relationship Id="rId603" Type="http://schemas.openxmlformats.org/officeDocument/2006/relationships/hyperlink" Target="%20https:/doi.org/10.1098/rstb.2007.2065" TargetMode="External"/><Relationship Id="rId645" Type="http://schemas.openxmlformats.org/officeDocument/2006/relationships/hyperlink" Target="https://doi.org/10.1007/s11693-012-9098-7" TargetMode="External"/><Relationship Id="rId687" Type="http://schemas.openxmlformats.org/officeDocument/2006/relationships/hyperlink" Target="https://www.wipo.int/edocs/pubdocs/en/wipo_pub_489.pdf" TargetMode="External"/><Relationship Id="rId242" Type="http://schemas.openxmlformats.org/officeDocument/2006/relationships/hyperlink" Target="https://doi.org/10.3389/fmars.2019.00020" TargetMode="External"/><Relationship Id="rId284" Type="http://schemas.openxmlformats.org/officeDocument/2006/relationships/hyperlink" Target="https://doi.org/10.1098/rspb.2019.1606" TargetMode="External"/><Relationship Id="rId491" Type="http://schemas.openxmlformats.org/officeDocument/2006/relationships/hyperlink" Target="https://doi.org/10.9787/kjbs.2019.51.3.175" TargetMode="External"/><Relationship Id="rId505" Type="http://schemas.openxmlformats.org/officeDocument/2006/relationships/hyperlink" Target="file:///C:\Users\scbd\AppData\Local\Microsoft\Windows\INetCache\Content.Outlook\16IJT8B3\www.bioethics.gov" TargetMode="External"/><Relationship Id="rId712" Type="http://schemas.openxmlformats.org/officeDocument/2006/relationships/hyperlink" Target="https://doi.org/10.1104/pp.112.205179" TargetMode="External"/><Relationship Id="rId37" Type="http://schemas.openxmlformats.org/officeDocument/2006/relationships/hyperlink" Target="https://www.acbio.org.za/sites/default/files/documents/202010/genome-editing-next-gm-techno-fix-doomed-fail-regulatory-issues-and-threats-africa_0.pdf" TargetMode="External"/><Relationship Id="rId79" Type="http://schemas.openxmlformats.org/officeDocument/2006/relationships/hyperlink" Target="https://doi.org/10.1038/nbt1209-1109" TargetMode="External"/><Relationship Id="rId102" Type="http://schemas.openxmlformats.org/officeDocument/2006/relationships/hyperlink" Target="https://doi.org/10.1098/rstb.2018.0105" TargetMode="External"/><Relationship Id="rId144" Type="http://schemas.openxmlformats.org/officeDocument/2006/relationships/hyperlink" Target="https://doi.org/10.1016/j.tplants.2018.09.011" TargetMode="External"/><Relationship Id="rId547" Type="http://schemas.openxmlformats.org/officeDocument/2006/relationships/hyperlink" Target="https://doi.org/10.1016/j.cbpa.2020.07.004" TargetMode="External"/><Relationship Id="rId589" Type="http://schemas.openxmlformats.org/officeDocument/2006/relationships/hyperlink" Target="https://doi.org/10.1038/s41587-020-0508-1" TargetMode="External"/><Relationship Id="rId90" Type="http://schemas.openxmlformats.org/officeDocument/2006/relationships/hyperlink" Target="https://doi.org/10.1038/nbt0408-387" TargetMode="External"/><Relationship Id="rId186" Type="http://schemas.openxmlformats.org/officeDocument/2006/relationships/hyperlink" Target="https://doi.org/10.3389/fbioe.2019.00086" TargetMode="External"/><Relationship Id="rId351" Type="http://schemas.openxmlformats.org/officeDocument/2006/relationships/hyperlink" Target="https://doi.org/10.1016/j.tibtech.2020.07.008" TargetMode="External"/><Relationship Id="rId393" Type="http://schemas.openxmlformats.org/officeDocument/2006/relationships/hyperlink" Target="https://doi.org/10.1371/JOURNAL.PPAT.1008649" TargetMode="External"/><Relationship Id="rId407" Type="http://schemas.openxmlformats.org/officeDocument/2006/relationships/hyperlink" Target="https://patents.google.com/patent/EP3473647A1/en" TargetMode="External"/><Relationship Id="rId449" Type="http://schemas.openxmlformats.org/officeDocument/2006/relationships/hyperlink" Target="https://doi.org/10.2903/j.efsa.2020.6263" TargetMode="External"/><Relationship Id="rId614" Type="http://schemas.openxmlformats.org/officeDocument/2006/relationships/hyperlink" Target="https://static1.squarespace.com/static/54a6bdb7e4b08424e69c93a1/t/589619873e00be743c62a76e/1486231951837/BioDesign+for+the+Bioeconomy+2016+-+DIGITAL.pdf" TargetMode="External"/><Relationship Id="rId656" Type="http://schemas.openxmlformats.org/officeDocument/2006/relationships/hyperlink" Target="https://doi.org/10.1007/s00299-020-02558-4" TargetMode="External"/><Relationship Id="rId211" Type="http://schemas.openxmlformats.org/officeDocument/2006/relationships/hyperlink" Target="https://doi.org/10.1038/s41477-020-0670-y" TargetMode="External"/><Relationship Id="rId253" Type="http://schemas.openxmlformats.org/officeDocument/2006/relationships/hyperlink" Target="https://doi.org/10.1038/s41598-020-72138-9" TargetMode="External"/><Relationship Id="rId295" Type="http://schemas.openxmlformats.org/officeDocument/2006/relationships/hyperlink" Target="https://doi.org/10.3389/fpls.2019.00236" TargetMode="External"/><Relationship Id="rId309" Type="http://schemas.openxmlformats.org/officeDocument/2006/relationships/hyperlink" Target="https://doi.org/10.1016/j.envint.2019.05.050" TargetMode="External"/><Relationship Id="rId460" Type="http://schemas.openxmlformats.org/officeDocument/2006/relationships/hyperlink" Target="https://patents.google.com/patent/WO2018081657A2" TargetMode="External"/><Relationship Id="rId516" Type="http://schemas.openxmlformats.org/officeDocument/2006/relationships/hyperlink" Target="https://doi.org/10.2305/IUCN.CH.2019.05.en" TargetMode="External"/><Relationship Id="rId698" Type="http://schemas.openxmlformats.org/officeDocument/2006/relationships/hyperlink" Target="https://doi.org/10.3389/fbioe.2020.00145" TargetMode="External"/><Relationship Id="rId48" Type="http://schemas.openxmlformats.org/officeDocument/2006/relationships/hyperlink" Target="https://doi.org/10.1603/029.102.0233" TargetMode="External"/><Relationship Id="rId113" Type="http://schemas.openxmlformats.org/officeDocument/2006/relationships/hyperlink" Target="https://doi.org/10.1016/j.cell.2018.05.015" TargetMode="External"/><Relationship Id="rId320" Type="http://schemas.openxmlformats.org/officeDocument/2006/relationships/hyperlink" Target="https://www.cbd.int/doc/c/fef9/2f90/70f037ccc5da885dfb293e88/dsi-ahteg-2020-01-03-en.pdf" TargetMode="External"/><Relationship Id="rId558" Type="http://schemas.openxmlformats.org/officeDocument/2006/relationships/hyperlink" Target="https://doi.org/10.3389/fpls.2020.00284" TargetMode="External"/><Relationship Id="rId723" Type="http://schemas.openxmlformats.org/officeDocument/2006/relationships/glossaryDocument" Target="glossary/document.xml"/><Relationship Id="rId155" Type="http://schemas.openxmlformats.org/officeDocument/2006/relationships/hyperlink" Target="https://www.in.gov.br/materia/-/asset_publisher/Kujrw0TZC2Mb/content/id/56127410/do1-2018-12-20-extrato-de-parecer-tecnico-n-6-208-2018-56127401" TargetMode="External"/><Relationship Id="rId197" Type="http://schemas.openxmlformats.org/officeDocument/2006/relationships/hyperlink" Target="https://doi.org/10.1186/1754-1611-8-19" TargetMode="External"/><Relationship Id="rId362" Type="http://schemas.openxmlformats.org/officeDocument/2006/relationships/hyperlink" Target="https://doi.org/10.1080/0163660X.2020.1770969" TargetMode="External"/><Relationship Id="rId418" Type="http://schemas.openxmlformats.org/officeDocument/2006/relationships/hyperlink" Target="https://doi.org/10.1042/EBC20160048" TargetMode="External"/><Relationship Id="rId625" Type="http://schemas.openxmlformats.org/officeDocument/2006/relationships/hyperlink" Target="https://www.raeng.org.uk/publications/reports/synthetic-biology-report" TargetMode="External"/><Relationship Id="rId222" Type="http://schemas.openxmlformats.org/officeDocument/2006/relationships/hyperlink" Target="%20https:/doi.org/10.1371/journal.pbio.2003850" TargetMode="External"/><Relationship Id="rId264" Type="http://schemas.openxmlformats.org/officeDocument/2006/relationships/hyperlink" Target="https://doi.org/10.1126/science.aat5062" TargetMode="External"/><Relationship Id="rId471" Type="http://schemas.openxmlformats.org/officeDocument/2006/relationships/hyperlink" Target="https://doi.org/10.1089/crispr.2017.0019" TargetMode="External"/><Relationship Id="rId667" Type="http://schemas.openxmlformats.org/officeDocument/2006/relationships/hyperlink" Target="https://patents.google.com/patent/US8530207B2" TargetMode="External"/><Relationship Id="rId17" Type="http://schemas.openxmlformats.org/officeDocument/2006/relationships/hyperlink" Target="https://www.cbd.int/doc/decisions/cop-11/cop-11-dec-11-en.pdf" TargetMode="External"/><Relationship Id="rId59" Type="http://schemas.openxmlformats.org/officeDocument/2006/relationships/hyperlink" Target="https://doi.org/10.3389/fpls.2020.00940" TargetMode="External"/><Relationship Id="rId124" Type="http://schemas.openxmlformats.org/officeDocument/2006/relationships/hyperlink" Target="https://doi.org/10.1126/science.1072266" TargetMode="External"/><Relationship Id="rId527" Type="http://schemas.openxmlformats.org/officeDocument/2006/relationships/hyperlink" Target="https://doi.org/10.1016/j.cosust.2020.10.001" TargetMode="External"/><Relationship Id="rId569" Type="http://schemas.openxmlformats.org/officeDocument/2006/relationships/hyperlink" Target="https://www.cbd.int/doc/publications/8j-cbd-mootz-kuxtal-en.pdf" TargetMode="External"/><Relationship Id="rId70" Type="http://schemas.openxmlformats.org/officeDocument/2006/relationships/hyperlink" Target="https://doi.org/10.1016/j.ydbio.2016.05.023" TargetMode="External"/><Relationship Id="rId166" Type="http://schemas.openxmlformats.org/officeDocument/2006/relationships/hyperlink" Target="https://doi.org/10.1016/0378-1119(90)90165-N" TargetMode="External"/><Relationship Id="rId331" Type="http://schemas.openxmlformats.org/officeDocument/2006/relationships/hyperlink" Target="https://portals.iucn.org/library/sites/library/files/documents/Rep-2016-009.pdf" TargetMode="External"/><Relationship Id="rId373" Type="http://schemas.openxmlformats.org/officeDocument/2006/relationships/hyperlink" Target="https://doi.org/10.1073/pnas.1910837117" TargetMode="External"/><Relationship Id="rId429" Type="http://schemas.openxmlformats.org/officeDocument/2006/relationships/hyperlink" Target="https://doi.org/10.1080/136698701750128088" TargetMode="External"/><Relationship Id="rId580" Type="http://schemas.openxmlformats.org/officeDocument/2006/relationships/hyperlink" Target="https://doi.org/10.1038/s41586-018-0382-x" TargetMode="External"/><Relationship Id="rId636" Type="http://schemas.openxmlformats.org/officeDocument/2006/relationships/hyperlink" Target="https://patents.google.com/patent/CA2700211C" TargetMode="External"/><Relationship Id="rId1" Type="http://schemas.openxmlformats.org/officeDocument/2006/relationships/customXml" Target="../customXml/item1.xml"/><Relationship Id="rId233" Type="http://schemas.openxmlformats.org/officeDocument/2006/relationships/hyperlink" Target="https://www.coe.int/t/dg3/healthbioethic/cometh/ege/20091118%20finalSB%20_2_%20MP.pdf" TargetMode="External"/><Relationship Id="rId440" Type="http://schemas.openxmlformats.org/officeDocument/2006/relationships/hyperlink" Target="https://doi.org/10.1186/s12934-020-1295-6" TargetMode="External"/><Relationship Id="rId678" Type="http://schemas.openxmlformats.org/officeDocument/2006/relationships/hyperlink" Target="https://doi.org/10.1146/annurev-chembioeng-061010-114145" TargetMode="External"/><Relationship Id="rId28" Type="http://schemas.openxmlformats.org/officeDocument/2006/relationships/header" Target="header2.xml"/><Relationship Id="rId275" Type="http://schemas.openxmlformats.org/officeDocument/2006/relationships/hyperlink" Target="https://doi.org/10.1098/rspb.2019.1484" TargetMode="External"/><Relationship Id="rId300" Type="http://schemas.openxmlformats.org/officeDocument/2006/relationships/hyperlink" Target="https://doi.org/10.1126/science.345.6200.1010-b" TargetMode="External"/><Relationship Id="rId482" Type="http://schemas.openxmlformats.org/officeDocument/2006/relationships/hyperlink" Target="https://doi.org/10.1038/s41467-020-14319-8" TargetMode="External"/><Relationship Id="rId538" Type="http://schemas.openxmlformats.org/officeDocument/2006/relationships/hyperlink" Target="https://doi.org/10.1007/s10592-019-01165-5" TargetMode="External"/><Relationship Id="rId703" Type="http://schemas.openxmlformats.org/officeDocument/2006/relationships/hyperlink" Target="https://doi.org/10.1186/1472-6750-13-36" TargetMode="External"/><Relationship Id="rId81" Type="http://schemas.openxmlformats.org/officeDocument/2006/relationships/hyperlink" Target="https://doi.org/10.1073/pnas.92.20.9011" TargetMode="External"/><Relationship Id="rId135" Type="http://schemas.openxmlformats.org/officeDocument/2006/relationships/hyperlink" Target="https://doi.org/10.1016/j.ecolecon.2020.106873" TargetMode="External"/><Relationship Id="rId177" Type="http://schemas.openxmlformats.org/officeDocument/2006/relationships/hyperlink" Target="https://doi.org/10.3389/fmicb.2020.618373" TargetMode="External"/><Relationship Id="rId342" Type="http://schemas.openxmlformats.org/officeDocument/2006/relationships/hyperlink" Target="https://doi.org/10.1126/science.1221724" TargetMode="External"/><Relationship Id="rId384" Type="http://schemas.openxmlformats.org/officeDocument/2006/relationships/hyperlink" Target="https://doi.org/10.1016/j.crbiot.2019.08.001" TargetMode="External"/><Relationship Id="rId591" Type="http://schemas.openxmlformats.org/officeDocument/2006/relationships/hyperlink" Target="http://citeseerx.ist.psu.edu/viewdoc/summary?doi=10.1.1.357.7157" TargetMode="External"/><Relationship Id="rId605" Type="http://schemas.openxmlformats.org/officeDocument/2006/relationships/hyperlink" Target="https://doi.org/10.1126/science.aat9077" TargetMode="External"/><Relationship Id="rId202" Type="http://schemas.openxmlformats.org/officeDocument/2006/relationships/hyperlink" Target="%20https:/patentimages.storage.googleapis.com/30/f4/62/e9b75605352fb0/US10679987.pdf" TargetMode="External"/><Relationship Id="rId244" Type="http://schemas.openxmlformats.org/officeDocument/2006/relationships/hyperlink" Target="https://patents.google.com/patent/US8586814B2/" TargetMode="External"/><Relationship Id="rId647" Type="http://schemas.openxmlformats.org/officeDocument/2006/relationships/hyperlink" Target="https://doi.org/10.1007/s11248-019-00141-6" TargetMode="External"/><Relationship Id="rId689" Type="http://schemas.openxmlformats.org/officeDocument/2006/relationships/hyperlink" Target="https://doi.org/10.3389/fpls.2019.00265" TargetMode="External"/><Relationship Id="rId39" Type="http://schemas.openxmlformats.org/officeDocument/2006/relationships/hyperlink" Target="https://www.acbio.org.za/sites/default/files/2016/11/Biosafety_briefing_genome.pdf" TargetMode="External"/><Relationship Id="rId286" Type="http://schemas.openxmlformats.org/officeDocument/2006/relationships/hyperlink" Target="https://doi.org/10.1038/nature11875" TargetMode="External"/><Relationship Id="rId451" Type="http://schemas.openxmlformats.org/officeDocument/2006/relationships/hyperlink" Target="https://doi.org/10.1371/journal.pone.0050922" TargetMode="External"/><Relationship Id="rId493" Type="http://schemas.openxmlformats.org/officeDocument/2006/relationships/hyperlink" Target="https://doi.org/10.3389/fpls.2020.610790" TargetMode="External"/><Relationship Id="rId507" Type="http://schemas.openxmlformats.org/officeDocument/2006/relationships/hyperlink" Target="https://patents.google.com/patent/US20170233834A1" TargetMode="External"/><Relationship Id="rId549" Type="http://schemas.openxmlformats.org/officeDocument/2006/relationships/hyperlink" Target="%20https:/doi.org/10.3390/life5010651" TargetMode="External"/><Relationship Id="rId714" Type="http://schemas.openxmlformats.org/officeDocument/2006/relationships/hyperlink" Target="https://doi.org/10.1042/ETLS20170037" TargetMode="External"/><Relationship Id="rId50" Type="http://schemas.openxmlformats.org/officeDocument/2006/relationships/hyperlink" Target="https://doi.org/10.1038/s41467-019-13977-7" TargetMode="External"/><Relationship Id="rId104" Type="http://schemas.openxmlformats.org/officeDocument/2006/relationships/hyperlink" Target="https://doi.org/10.1002/cbic.202000141" TargetMode="External"/><Relationship Id="rId146" Type="http://schemas.openxmlformats.org/officeDocument/2006/relationships/hyperlink" Target="https://www.cibus.com/press-release.php?date=031814" TargetMode="External"/><Relationship Id="rId188" Type="http://schemas.openxmlformats.org/officeDocument/2006/relationships/hyperlink" Target="https://doi.org/10.15252/embr.202050036%20" TargetMode="External"/><Relationship Id="rId311" Type="http://schemas.openxmlformats.org/officeDocument/2006/relationships/hyperlink" Target="https://doi.org/10.1016/j.bsheal.2019.09.003" TargetMode="External"/><Relationship Id="rId353" Type="http://schemas.openxmlformats.org/officeDocument/2006/relationships/hyperlink" Target="https://doi.org/10.3389/fbioe.2020.00310" TargetMode="External"/><Relationship Id="rId395" Type="http://schemas.openxmlformats.org/officeDocument/2006/relationships/hyperlink" Target="https://doi.org/10.1371/journal.pone.0106232" TargetMode="External"/><Relationship Id="rId409" Type="http://schemas.openxmlformats.org/officeDocument/2006/relationships/hyperlink" Target="https://doi.org/10.1038/s41467-019-13977-7" TargetMode="External"/><Relationship Id="rId560" Type="http://schemas.openxmlformats.org/officeDocument/2006/relationships/hyperlink" Target="https://doi.org/10.1016/j.febslet.2012.02.022" TargetMode="External"/><Relationship Id="rId92" Type="http://schemas.openxmlformats.org/officeDocument/2006/relationships/hyperlink" Target="https://patents.google.com/patent/WO2018148848A1/en" TargetMode="External"/><Relationship Id="rId213" Type="http://schemas.openxmlformats.org/officeDocument/2006/relationships/hyperlink" Target="https://doi.org/10.2760/732526" TargetMode="External"/><Relationship Id="rId420" Type="http://schemas.openxmlformats.org/officeDocument/2006/relationships/hyperlink" Target="https://patents.google.com/patent/US20210007384A1" TargetMode="External"/><Relationship Id="rId616" Type="http://schemas.openxmlformats.org/officeDocument/2006/relationships/hyperlink" Target="https://doi.org/10.1038/srep14138" TargetMode="External"/><Relationship Id="rId658" Type="http://schemas.openxmlformats.org/officeDocument/2006/relationships/hyperlink" Target="https://doi.org/10.3389/fmicb.2021.593979" TargetMode="External"/><Relationship Id="rId255" Type="http://schemas.openxmlformats.org/officeDocument/2006/relationships/hyperlink" Target="https://foe.org/wp-content/uploads/wpallimport/files/archive/SynBio-Biofuels_Report_Web.pdf" TargetMode="External"/><Relationship Id="rId297" Type="http://schemas.openxmlformats.org/officeDocument/2006/relationships/hyperlink" Target="https://doi.org/10.1038/s41586-019-0875-2" TargetMode="External"/><Relationship Id="rId462" Type="http://schemas.openxmlformats.org/officeDocument/2006/relationships/hyperlink" Target="https://doi.org/10.1038/srep13670" TargetMode="External"/><Relationship Id="rId518" Type="http://schemas.openxmlformats.org/officeDocument/2006/relationships/hyperlink" Target="https://doi.org/10.1038/s41467-020-14545-0" TargetMode="External"/><Relationship Id="rId725" Type="http://schemas.microsoft.com/office/2019/05/relationships/documenttasks" Target="documenttasks/documenttasks1.xml"/><Relationship Id="rId115" Type="http://schemas.openxmlformats.org/officeDocument/2006/relationships/hyperlink" Target="https://doi.org/10.1007/978-90-481-2678-1_2" TargetMode="External"/><Relationship Id="rId157" Type="http://schemas.openxmlformats.org/officeDocument/2006/relationships/hyperlink" Target="https://foe.org/resources/genetically-engineered-animals-lab-factory-farm/" TargetMode="External"/><Relationship Id="rId322" Type="http://schemas.openxmlformats.org/officeDocument/2006/relationships/hyperlink" Target="https://doi.org/10.1373/clinchem.2014.221366" TargetMode="External"/><Relationship Id="rId364" Type="http://schemas.openxmlformats.org/officeDocument/2006/relationships/hyperlink" Target="https://doi.org/10.1038/s41587-019-0356-z" TargetMode="External"/><Relationship Id="rId61" Type="http://schemas.openxmlformats.org/officeDocument/2006/relationships/hyperlink" Target="https://doi.org/10.1016/S0092-8674(03)00346-5" TargetMode="External"/><Relationship Id="rId199" Type="http://schemas.openxmlformats.org/officeDocument/2006/relationships/hyperlink" Target="https://doi.org/10.1073/pnas.2013968117" TargetMode="External"/><Relationship Id="rId571" Type="http://schemas.openxmlformats.org/officeDocument/2006/relationships/hyperlink" Target="https://www.cbd.int/doc/c/ba60/7272/3260b5e396821d42bc21035a/dsi-ahteg-2020-01-07-en.pdf" TargetMode="External"/><Relationship Id="rId627" Type="http://schemas.openxmlformats.org/officeDocument/2006/relationships/hyperlink" Target="https://doi.org/10.1126/science.287.5462.2474" TargetMode="External"/><Relationship Id="rId669" Type="http://schemas.openxmlformats.org/officeDocument/2006/relationships/hyperlink" Target="https://doi.org/10.3389/fpls.2020.00476" TargetMode="External"/><Relationship Id="rId19" Type="http://schemas.openxmlformats.org/officeDocument/2006/relationships/hyperlink" Target="https://www.cbd.int/doc/meetings/sbstta/sbstta-18/information/sbstta-18-inf-04-en.pdf" TargetMode="External"/><Relationship Id="rId224" Type="http://schemas.openxmlformats.org/officeDocument/2006/relationships/hyperlink" Target="https://doi.org/10.1038/msb.2012.66" TargetMode="External"/><Relationship Id="rId266" Type="http://schemas.openxmlformats.org/officeDocument/2006/relationships/hyperlink" Target="https://doi.org/10.1016/j.tcb.2010.07.002" TargetMode="External"/><Relationship Id="rId431" Type="http://schemas.openxmlformats.org/officeDocument/2006/relationships/hyperlink" Target="https://doi.org/10.1021/acschembio.7b00923" TargetMode="External"/><Relationship Id="rId473" Type="http://schemas.openxmlformats.org/officeDocument/2006/relationships/hyperlink" Target="https://www.nuffieldbioethics.org/publications/emerging-biotechnologies" TargetMode="External"/><Relationship Id="rId529" Type="http://schemas.openxmlformats.org/officeDocument/2006/relationships/hyperlink" Target="https://doi.org/10.3390/foods10020430" TargetMode="External"/><Relationship Id="rId680" Type="http://schemas.openxmlformats.org/officeDocument/2006/relationships/hyperlink" Target="https://doi.org/10.1007/978-3-319-50413-1_4" TargetMode="External"/><Relationship Id="rId30" Type="http://schemas.openxmlformats.org/officeDocument/2006/relationships/image" Target="media/image4.jpg"/><Relationship Id="rId126" Type="http://schemas.openxmlformats.org/officeDocument/2006/relationships/hyperlink" Target="https://doi.org/10.1038/nchembio.1979" TargetMode="External"/><Relationship Id="rId168" Type="http://schemas.openxmlformats.org/officeDocument/2006/relationships/hyperlink" Target="https://doi.org/10.1080/07388551.2018.1500997" TargetMode="External"/><Relationship Id="rId333" Type="http://schemas.openxmlformats.org/officeDocument/2006/relationships/hyperlink" Target="https://doi.org/10.1186/s13068-018-1181-1" TargetMode="External"/><Relationship Id="rId540" Type="http://schemas.openxmlformats.org/officeDocument/2006/relationships/hyperlink" Target="https://doi.org/10.1016/j.envsci.2020.02.016" TargetMode="External"/><Relationship Id="rId72" Type="http://schemas.openxmlformats.org/officeDocument/2006/relationships/hyperlink" Target="https://doi.org/10.1126/science.aau8287" TargetMode="External"/><Relationship Id="rId375" Type="http://schemas.openxmlformats.org/officeDocument/2006/relationships/hyperlink" Target="https://doi.org/10.3389/fpls.2018.00087" TargetMode="External"/><Relationship Id="rId582" Type="http://schemas.openxmlformats.org/officeDocument/2006/relationships/hyperlink" Target="https://doi.org/10.3389/fbioe.2019.00482" TargetMode="External"/><Relationship Id="rId638" Type="http://schemas.openxmlformats.org/officeDocument/2006/relationships/hyperlink" Target="https://doi.org/10.1126/science.1119392"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www.biomaster-uestc.cn" TargetMode="External"/><Relationship Id="rId18" Type="http://schemas.openxmlformats.org/officeDocument/2006/relationships/hyperlink" Target="https://www.ilo.org/dyn/normlex/en/f?p=NORMLEXPUB:12100:0::NO::P12100_ILO_CODE:C107" TargetMode="External"/><Relationship Id="rId26" Type="http://schemas.openxmlformats.org/officeDocument/2006/relationships/hyperlink" Target="https://2020.igem.org/Safety/Rules" TargetMode="External"/><Relationship Id="rId39" Type="http://schemas.openxmlformats.org/officeDocument/2006/relationships/hyperlink" Target="https://www.who.int/influenza/pip/virus_sharing/en/" TargetMode="External"/><Relationship Id="rId21" Type="http://schemas.openxmlformats.org/officeDocument/2006/relationships/hyperlink" Target="https://genesynthesisconsortium.org" TargetMode="External"/><Relationship Id="rId34" Type="http://schemas.openxmlformats.org/officeDocument/2006/relationships/hyperlink" Target="https://www.un.org/disarmament/unoda-continues-its-mission-on-covid-19/" TargetMode="External"/><Relationship Id="rId42" Type="http://schemas.openxmlformats.org/officeDocument/2006/relationships/hyperlink" Target="https://old.cites.org/eng/res/09/09-06R16.php" TargetMode="External"/><Relationship Id="rId47" Type="http://schemas.openxmlformats.org/officeDocument/2006/relationships/hyperlink" Target="https://undocs.org/bwc/msp/2018/mx.2/2" TargetMode="External"/><Relationship Id="rId50" Type="http://schemas.openxmlformats.org/officeDocument/2006/relationships/hyperlink" Target="https://www.un.org/disarmament/enmod/" TargetMode="External"/><Relationship Id="rId55" Type="http://schemas.openxmlformats.org/officeDocument/2006/relationships/hyperlink" Target="https://www.un.org/bbnj/sites/www.un.org.bbnj/files/bbnj_intersessional_programmeofwork_210114.pdf" TargetMode="External"/><Relationship Id="rId63" Type="http://schemas.openxmlformats.org/officeDocument/2006/relationships/hyperlink" Target="https://sci.hms.harvard.edu/" TargetMode="External"/><Relationship Id="rId7" Type="http://schemas.openxmlformats.org/officeDocument/2006/relationships/hyperlink" Target="https://www.fws.gov/mountain-prairie/pressrel/2021/02182021-USFWS-and-Partners-Innovative-Genetic-Cloning-Research-Black-footed-Ferret-Conservation.php" TargetMode="External"/><Relationship Id="rId2" Type="http://schemas.openxmlformats.org/officeDocument/2006/relationships/hyperlink" Target="https://www.cbd.int/doc/c/b006/4abe/2f4e0cdaca9f3884c9b92607/sbstta-24-inf-06-en.pdf" TargetMode="External"/><Relationship Id="rId16" Type="http://schemas.openxmlformats.org/officeDocument/2006/relationships/hyperlink" Target="https://www.youtube.com/watch?v=qybUFnY7Y8w" TargetMode="External"/><Relationship Id="rId20" Type="http://schemas.openxmlformats.org/officeDocument/2006/relationships/hyperlink" Target="https://www.media.mit.edu/projects/preventing-tick-borne-disease-by-permanently-immunizing-mice/overview/" TargetMode="External"/><Relationship Id="rId29" Type="http://schemas.openxmlformats.org/officeDocument/2006/relationships/hyperlink" Target="https://www.neb.com/products/e0546-biobrick-assembly-kit" TargetMode="External"/><Relationship Id="rId41" Type="http://schemas.openxmlformats.org/officeDocument/2006/relationships/hyperlink" Target="https://cites.org/sites/default/files/eng/com/sc/69/E-SC69-35.pdf" TargetMode="External"/><Relationship Id="rId54" Type="http://schemas.openxmlformats.org/officeDocument/2006/relationships/hyperlink" Target="https://www.un.org/bbnj/" TargetMode="External"/><Relationship Id="rId62" Type="http://schemas.openxmlformats.org/officeDocument/2006/relationships/hyperlink" Target="https://www.cbd.int/decisions/cop/13/18" TargetMode="External"/><Relationship Id="rId1" Type="http://schemas.openxmlformats.org/officeDocument/2006/relationships/hyperlink" Target="https://www.cbd.int/doc/publications/cbd-ts-82-en.pdf" TargetMode="External"/><Relationship Id="rId6" Type="http://schemas.openxmlformats.org/officeDocument/2006/relationships/hyperlink" Target="https://reviverestore.org/projects/black-footed-ferret/" TargetMode="External"/><Relationship Id="rId11" Type="http://schemas.openxmlformats.org/officeDocument/2006/relationships/hyperlink" Target="https://www.latimes.com/california/story/2020-10-13/san-diego-zoo-scientists-use-cells-frozen-away-for-40-years-to-clone-endangered-przewalskis-horse" TargetMode="External"/><Relationship Id="rId24" Type="http://schemas.openxmlformats.org/officeDocument/2006/relationships/hyperlink" Target="https://www.etcgroup.org/sites/www.etcgroup.org/files/files/forcing_the_farm_sign_on_letter_english_web.pdf" TargetMode="External"/><Relationship Id="rId32" Type="http://schemas.openxmlformats.org/officeDocument/2006/relationships/hyperlink" Target="https://apps.who.int/iris/handle/10665/70507" TargetMode="External"/><Relationship Id="rId37" Type="http://schemas.openxmlformats.org/officeDocument/2006/relationships/hyperlink" Target="https://www.who.int/publications/i/item/9789240013155" TargetMode="External"/><Relationship Id="rId40" Type="http://schemas.openxmlformats.org/officeDocument/2006/relationships/hyperlink" Target="https://www.who.int/influenza/pip/en/" TargetMode="External"/><Relationship Id="rId45" Type="http://schemas.openxmlformats.org/officeDocument/2006/relationships/hyperlink" Target="https://cites.org/eng/taxonomy/term/42062" TargetMode="External"/><Relationship Id="rId53" Type="http://schemas.openxmlformats.org/officeDocument/2006/relationships/hyperlink" Target="https://undocs.org/en/a/res/72/249" TargetMode="External"/><Relationship Id="rId58" Type="http://schemas.openxmlformats.org/officeDocument/2006/relationships/hyperlink" Target="https://www.wipo.int/export/sites/www/tk/en/igc/pdf/igc_mandate_2020-2021.pdf" TargetMode="External"/><Relationship Id="rId5" Type="http://schemas.openxmlformats.org/officeDocument/2006/relationships/hyperlink" Target="https://www.buildacell.org" TargetMode="External"/><Relationship Id="rId15" Type="http://schemas.openxmlformats.org/officeDocument/2006/relationships/hyperlink" Target="http://www.ohchr.org/EN/UDHR/Pages/UDHRIndex.aspx" TargetMode="External"/><Relationship Id="rId23" Type="http://schemas.openxmlformats.org/officeDocument/2006/relationships/hyperlink" Target="https://www.iso.org/standard/66912.html" TargetMode="External"/><Relationship Id="rId28" Type="http://schemas.openxmlformats.org/officeDocument/2006/relationships/hyperlink" Target="https://bch.cbd.int/synbio/" TargetMode="External"/><Relationship Id="rId36" Type="http://schemas.openxmlformats.org/officeDocument/2006/relationships/hyperlink" Target="https://www.who.int/publications/i/item/10665-241232" TargetMode="External"/><Relationship Id="rId49" Type="http://schemas.openxmlformats.org/officeDocument/2006/relationships/hyperlink" Target="https://undocs.org/BWC/MSP/2020/MX.2/WP.1" TargetMode="External"/><Relationship Id="rId57" Type="http://schemas.openxmlformats.org/officeDocument/2006/relationships/hyperlink" Target="https://www.wipo.int/publications/en/series/index.jsp?id=144" TargetMode="External"/><Relationship Id="rId61" Type="http://schemas.openxmlformats.org/officeDocument/2006/relationships/hyperlink" Target="http://www.codexalimentarius.org/standards/list-of-standards/" TargetMode="External"/><Relationship Id="rId10" Type="http://schemas.openxmlformats.org/officeDocument/2006/relationships/hyperlink" Target="https://synthsym.org" TargetMode="External"/><Relationship Id="rId19" Type="http://schemas.openxmlformats.org/officeDocument/2006/relationships/hyperlink" Target="https://targetmalaria.org/what-we-do/our-approach/" TargetMode="External"/><Relationship Id="rId31" Type="http://schemas.openxmlformats.org/officeDocument/2006/relationships/hyperlink" Target="http://www.cbd.int/abs/nagoya-protocol/signatories/default.shtml" TargetMode="External"/><Relationship Id="rId44" Type="http://schemas.openxmlformats.org/officeDocument/2006/relationships/hyperlink" Target="https://cites.org/sites/default/files/eng/com/sc/70/exsum/E-SC70-SR.pdf" TargetMode="External"/><Relationship Id="rId52" Type="http://schemas.openxmlformats.org/officeDocument/2006/relationships/hyperlink" Target="https://undocs.org/A/HRC/39/62" TargetMode="External"/><Relationship Id="rId60" Type="http://schemas.openxmlformats.org/officeDocument/2006/relationships/hyperlink" Target="http://www.codexalimentarius.org/about-codex/en/" TargetMode="External"/><Relationship Id="rId65" Type="http://schemas.openxmlformats.org/officeDocument/2006/relationships/hyperlink" Target="https://www.editingnature.org/" TargetMode="External"/><Relationship Id="rId4" Type="http://schemas.openxmlformats.org/officeDocument/2006/relationships/hyperlink" Target="https://igem.org/Registry" TargetMode="External"/><Relationship Id="rId9" Type="http://schemas.openxmlformats.org/officeDocument/2006/relationships/hyperlink" Target="https://ucimi.org" TargetMode="External"/><Relationship Id="rId14" Type="http://schemas.openxmlformats.org/officeDocument/2006/relationships/hyperlink" Target="https://www.buildacell.org/" TargetMode="External"/><Relationship Id="rId22" Type="http://schemas.openxmlformats.org/officeDocument/2006/relationships/hyperlink" Target="https://www.phe.gov/preparedness/legal/guidance/syndna/documents/syndna-guidance.pdf" TargetMode="External"/><Relationship Id="rId27" Type="http://schemas.openxmlformats.org/officeDocument/2006/relationships/hyperlink" Target="https://igem.org/Safety" TargetMode="External"/><Relationship Id="rId30" Type="http://schemas.openxmlformats.org/officeDocument/2006/relationships/hyperlink" Target="https://www.cbd.int/doc/meetings/bs/mop-08/official/bs-mop-08-08-add1-en.pdf" TargetMode="External"/><Relationship Id="rId35" Type="http://schemas.openxmlformats.org/officeDocument/2006/relationships/hyperlink" Target="https://www.who.int/news-room/feature-stories/detail/synthetic-biology-technologies" TargetMode="External"/><Relationship Id="rId43" Type="http://schemas.openxmlformats.org/officeDocument/2006/relationships/hyperlink" Target="https://cites.org/sites/default/files/eng/com/sc/70/E-SC70-33-A6.pdf" TargetMode="External"/><Relationship Id="rId48" Type="http://schemas.openxmlformats.org/officeDocument/2006/relationships/hyperlink" Target="https://meetings.unoda.org/meeting/bwc-msp-2020/" TargetMode="External"/><Relationship Id="rId56" Type="http://schemas.openxmlformats.org/officeDocument/2006/relationships/hyperlink" Target="https://www.wipo.int/edocs/pubdocs/en/tk/913/wipo_pub_913.pdf" TargetMode="External"/><Relationship Id="rId64" Type="http://schemas.openxmlformats.org/officeDocument/2006/relationships/hyperlink" Target="https://ainowinstitute.org/" TargetMode="External"/><Relationship Id="rId8" Type="http://schemas.openxmlformats.org/officeDocument/2006/relationships/hyperlink" Target="http://www.targetmalaria.org" TargetMode="External"/><Relationship Id="rId51" Type="http://schemas.openxmlformats.org/officeDocument/2006/relationships/hyperlink" Target="https://geneva-s3.unoda.org/static-unoda-site/pages/templates/enmod/UNSG%2BNV%2Bre%2BENMOD.pdf" TargetMode="External"/><Relationship Id="rId3" Type="http://schemas.openxmlformats.org/officeDocument/2006/relationships/hyperlink" Target="https://www.isaaa.org/kc/cropbiotechupdate/article/default.asp?ID=18727" TargetMode="External"/><Relationship Id="rId12" Type="http://schemas.openxmlformats.org/officeDocument/2006/relationships/hyperlink" Target="http://parts.igem.org/" TargetMode="External"/><Relationship Id="rId17" Type="http://schemas.openxmlformats.org/officeDocument/2006/relationships/hyperlink" Target="https://www.nordgen.org/sgsv" TargetMode="External"/><Relationship Id="rId25" Type="http://schemas.openxmlformats.org/officeDocument/2006/relationships/hyperlink" Target="https://2020.igem.org/Safety/Committee" TargetMode="External"/><Relationship Id="rId33" Type="http://schemas.openxmlformats.org/officeDocument/2006/relationships/hyperlink" Target="https://www.who.int/teams/ihr/ihr-review-committees/covid-19" TargetMode="External"/><Relationship Id="rId38" Type="http://schemas.openxmlformats.org/officeDocument/2006/relationships/hyperlink" Target="https://www.who.int/publications/i/item/9789240011311" TargetMode="External"/><Relationship Id="rId46" Type="http://schemas.openxmlformats.org/officeDocument/2006/relationships/hyperlink" Target="http://www.australiagroup.net" TargetMode="External"/><Relationship Id="rId59" Type="http://schemas.openxmlformats.org/officeDocument/2006/relationships/hyperlink" Target="http://www.ippc.int/core-activities/standards-setting/ispms" TargetMode="External"/></Relationships>
</file>

<file path=word/documenttasks/documenttasks1.xml><?xml version="1.0" encoding="utf-8"?>
<t:Tasks xmlns:t="http://schemas.microsoft.com/office/tasks/2019/documenttasks" xmlns:oel="http://schemas.microsoft.com/office/2019/extlst">
  <t:Task id="{7EBC41B5-66D7-4264-8D3F-ECC0AA3CED52}">
    <t:Anchor>
      <t:Comment id="2095048652"/>
    </t:Anchor>
    <t:History>
      <t:Event id="{45BEFFB7-E5E7-438F-8A78-913586A48E70}" time="2021-04-28T17:03:21Z">
        <t:Attribution userId="S::kathryn.garforth@un.org::fe36dc54-d9e6-488d-a9f4-1d1548ef4ac7" userProvider="AD" userName="Kathryn Garforth"/>
        <t:Anchor>
          <t:Comment id="2095048652"/>
        </t:Anchor>
        <t:Create/>
      </t:Event>
      <t:Event id="{B4BDBCE5-22AC-4554-A16D-0B2E8BEEA5D9}" time="2021-04-28T17:03:21Z">
        <t:Attribution userId="S::kathryn.garforth@un.org::fe36dc54-d9e6-488d-a9f4-1d1548ef4ac7" userProvider="AD" userName="Kathryn Garforth"/>
        <t:Anchor>
          <t:Comment id="2095048652"/>
        </t:Anchor>
        <t:Assign userId="S::david.cooper@un.org::d6e89c11-0ace-4547-a2ab-5f23788242e2" userProvider="AD" userName="David Cooper"/>
      </t:Event>
      <t:Event id="{01E8B0D1-34D5-426E-BC57-7377AA505925}" time="2021-04-28T17:03:21Z">
        <t:Attribution userId="S::kathryn.garforth@un.org::fe36dc54-d9e6-488d-a9f4-1d1548ef4ac7" userProvider="AD" userName="Kathryn Garforth"/>
        <t:Anchor>
          <t:Comment id="2095048652"/>
        </t:Anchor>
        <t:SetTitle title="@David Cooper - should this be the &quot;collaborative partnership on sustainable wildlife management&quot;? Is it still active?"/>
      </t:Event>
    </t:History>
  </t:Task>
  <t:Task id="{600FF198-B634-475A-94E8-B7E19C9F9051}">
    <t:Anchor>
      <t:Comment id="360604947"/>
    </t:Anchor>
    <t:History>
      <t:Event id="{67A35A75-E384-4072-A87D-321696DA68E6}" time="2021-04-15T20:10:56Z">
        <t:Attribution userId="S::melissa.willey@un.org::fef176b2-600c-404c-b8c2-d64ff2363a93" userProvider="AD" userName="Melissa Willey"/>
        <t:Anchor>
          <t:Comment id="360604947"/>
        </t:Anchor>
        <t:Create/>
      </t:Event>
      <t:Event id="{679E0764-22B1-474B-983D-CE4115E911AF}" time="2021-04-15T20:10:56Z">
        <t:Attribution userId="S::melissa.willey@un.org::fef176b2-600c-404c-b8c2-d64ff2363a93" userProvider="AD" userName="Melissa Willey"/>
        <t:Anchor>
          <t:Comment id="360604947"/>
        </t:Anchor>
        <t:Assign userId="S::austein.mcloughlin@un.org::36d4b30d-8e6e-4371-aa71-f48451de6ae1" userProvider="AD" userName="Austein Garth Mcloughlin"/>
      </t:Event>
      <t:Event id="{655B15A2-E58A-432B-8899-6156FEF77471}" time="2021-04-15T20:10:56Z">
        <t:Attribution userId="S::melissa.willey@un.org::fef176b2-600c-404c-b8c2-d64ff2363a93" userProvider="AD" userName="Melissa Willey"/>
        <t:Anchor>
          <t:Comment id="360604947"/>
        </t:Anchor>
        <t:SetTitle title="@Austein Garth Mcloughlin did you mean to delete the &quot;E&quot; for section E? :)"/>
      </t:Event>
    </t:History>
  </t:Task>
  <t:Task id="{1CE4A0A2-BE9E-4416-B99C-AFEE2D57FA49}">
    <t:Anchor>
      <t:Comment id="607219274"/>
    </t:Anchor>
    <t:History>
      <t:Event id="{CE26C3C3-8B9B-47A0-B4C7-33A1063537F4}" time="2021-04-28T16:12:33Z">
        <t:Attribution userId="S::kathryn.garforth@un.org::fe36dc54-d9e6-488d-a9f4-1d1548ef4ac7" userProvider="AD" userName="Kathryn Garforth"/>
        <t:Anchor>
          <t:Comment id="241658471"/>
        </t:Anchor>
        <t:Create/>
      </t:Event>
      <t:Event id="{333048BC-76B3-4F50-A4F0-8CFD287039D3}" time="2021-04-28T16:12:33Z">
        <t:Attribution userId="S::kathryn.garforth@un.org::fe36dc54-d9e6-488d-a9f4-1d1548ef4ac7" userProvider="AD" userName="Kathryn Garforth"/>
        <t:Anchor>
          <t:Comment id="241658471"/>
        </t:Anchor>
        <t:Assign userId="S::wadzanayi.mandivenyi@un.org::4a775196-243d-4b46-8917-4c0e96b204ee" userProvider="AD" userName="Wadzanayi Mandivenyi"/>
      </t:Event>
      <t:Event id="{AEF14CB1-01F8-42C8-AB26-ACD1A76EB636}" time="2021-04-28T16:12:33Z">
        <t:Attribution userId="S::kathryn.garforth@un.org::fe36dc54-d9e6-488d-a9f4-1d1548ef4ac7" userProvider="AD" userName="Kathryn Garforth"/>
        <t:Anchor>
          <t:Comment id="241658471"/>
        </t:Anchor>
        <t:SetTitle title="@Austein Garth Mcloughlin , @Wadzanayi Mandivenyi - I still have this question."/>
      </t:Event>
    </t:History>
  </t:Task>
  <t:Task id="{7168B63C-DFF3-4D60-AD4D-E2C9EED49462}">
    <t:Anchor>
      <t:Comment id="607284991"/>
    </t:Anchor>
    <t:History>
      <t:Event id="{464EB784-1271-4F48-A024-27F6D0C37A77}" time="2021-04-28T16:31:43Z">
        <t:Attribution userId="S::kathryn.garforth@un.org::fe36dc54-d9e6-488d-a9f4-1d1548ef4ac7" userProvider="AD" userName="Kathryn Garforth"/>
        <t:Anchor>
          <t:Comment id="867714465"/>
        </t:Anchor>
        <t:Create/>
      </t:Event>
      <t:Event id="{79221327-9F09-49CD-99AA-C08606359FA1}" time="2021-04-28T16:31:43Z">
        <t:Attribution userId="S::kathryn.garforth@un.org::fe36dc54-d9e6-488d-a9f4-1d1548ef4ac7" userProvider="AD" userName="Kathryn Garforth"/>
        <t:Anchor>
          <t:Comment id="867714465"/>
        </t:Anchor>
        <t:Assign userId="S::marianela.araya@un.org::5cfbda0c-d569-4a86-8f19-b9fe193b2b40" userProvider="AD" userName="Marianela Araya Quesada"/>
      </t:Event>
      <t:Event id="{EFA20BE4-7BE7-4275-A3B1-1BB4947346C0}" time="2021-04-28T16:31:43Z">
        <t:Attribution userId="S::kathryn.garforth@un.org::fe36dc54-d9e6-488d-a9f4-1d1548ef4ac7" userProvider="AD" userName="Kathryn Garforth"/>
        <t:Anchor>
          <t:Comment id="867714465"/>
        </t:Anchor>
        <t:SetTitle title="@Marianela Araya Quesada - not sure if I understand your question. Are you asking if the CBD's provision on risks and LMOs (Art. 8(g)) is the only provision in the Convention that refers to taking human health considerations into account? If that's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63AB0BFAAE044E3B8CBD574D1E58BA0"/>
        <w:category>
          <w:name w:val="General"/>
          <w:gallery w:val="placeholder"/>
        </w:category>
        <w:types>
          <w:type w:val="bbPlcHdr"/>
        </w:types>
        <w:behaviors>
          <w:behavior w:val="content"/>
        </w:behaviors>
        <w:guid w:val="{491F2029-A9BD-4064-B866-29B8241357A3}"/>
      </w:docPartPr>
      <w:docPartBody>
        <w:p w:rsidR="00F11416" w:rsidRDefault="0023014F" w:rsidP="0023014F">
          <w:pPr>
            <w:pStyle w:val="063AB0BFAAE044E3B8CBD574D1E58BA0"/>
          </w:pPr>
          <w:r w:rsidRPr="00DC7876">
            <w:rPr>
              <w:rStyle w:val="PlaceholderText"/>
            </w:rPr>
            <w:t>[Subject]</w:t>
          </w:r>
        </w:p>
      </w:docPartBody>
    </w:docPart>
    <w:docPart>
      <w:docPartPr>
        <w:name w:val="ACD92C77615A4E07B3508B45DC08D168"/>
        <w:category>
          <w:name w:val="General"/>
          <w:gallery w:val="placeholder"/>
        </w:category>
        <w:types>
          <w:type w:val="bbPlcHdr"/>
        </w:types>
        <w:behaviors>
          <w:behavior w:val="content"/>
        </w:behaviors>
        <w:guid w:val="{880B90A1-D468-4944-8257-701DAF9A6E90}"/>
      </w:docPartPr>
      <w:docPartBody>
        <w:p w:rsidR="00F11416" w:rsidRDefault="0023014F" w:rsidP="0023014F">
          <w:pPr>
            <w:pStyle w:val="ACD92C77615A4E07B3508B45DC08D168"/>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Glosa Math Roman">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NSimSun">
    <w:panose1 w:val="02010609030101010101"/>
    <w:charset w:val="86"/>
    <w:family w:val="modern"/>
    <w:pitch w:val="fixed"/>
    <w:sig w:usb0="00000283" w:usb1="288F0000" w:usb2="00000016" w:usb3="00000000" w:csb0="00040001" w:csb1="00000000"/>
  </w:font>
  <w:font w:name="Minion Pro">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ofia Pro Light">
    <w:altName w:val="Calibri"/>
    <w:charset w:val="00"/>
    <w:family w:val="swiss"/>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14F"/>
    <w:rsid w:val="0023014F"/>
    <w:rsid w:val="00512675"/>
    <w:rsid w:val="00F1141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3014F"/>
  </w:style>
  <w:style w:type="paragraph" w:customStyle="1" w:styleId="063AB0BFAAE044E3B8CBD574D1E58BA0">
    <w:name w:val="063AB0BFAAE044E3B8CBD574D1E58BA0"/>
    <w:rsid w:val="0023014F"/>
  </w:style>
  <w:style w:type="paragraph" w:customStyle="1" w:styleId="ACD92C77615A4E07B3508B45DC08D168">
    <w:name w:val="ACD92C77615A4E07B3508B45DC08D168"/>
    <w:rsid w:val="0023014F"/>
  </w:style>
  <w:style w:type="paragraph" w:customStyle="1" w:styleId="15FC6E183F984214B7A053FA35FB6605">
    <w:name w:val="15FC6E183F984214B7A053FA35FB6605"/>
    <w:rsid w:val="002301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39AD2B7-BA70-40E9-8FE7-122285B7EE11}">
  <we:reference id="wa104382081" version="1.16.0.0" store="en-001" storeType="OMEX"/>
  <we:alternateReferences>
    <we:reference id="wa104382081" version="1.16.0.0" store="" storeType="OMEX"/>
  </we:alternateReferences>
  <we:properties>
    <we:property name="MENDELEY_CITATIONS" value="[]"/>
    <we:property name="MENDELEY_CITATIONS_STYLE" value="&quot;https://www.zotero.org/styles/ap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BFD723-3EB4-4812-94DC-03C6BDE27C6B}">
  <ds:schemaRefs>
    <ds:schemaRef ds:uri="http://schemas.openxmlformats.org/officeDocument/2006/bibliography"/>
  </ds:schemaRefs>
</ds:datastoreItem>
</file>

<file path=customXml/itemProps2.xml><?xml version="1.0" encoding="utf-8"?>
<ds:datastoreItem xmlns:ds="http://schemas.openxmlformats.org/officeDocument/2006/customXml" ds:itemID="{B461C3E1-066A-4DE6-A534-0E77585FF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5B90FF-6F82-4A5F-961A-6716DB4C51E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175085-126F-4E50-B81B-A2C59C5A7E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29</Pages>
  <Words>401439</Words>
  <Characters>2288207</Characters>
  <Application>Microsoft Office Word</Application>
  <DocSecurity>0</DocSecurity>
  <Lines>19068</Lines>
  <Paragraphs>5368</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2684278</CharactersWithSpaces>
  <SharedDoc>false</SharedDoc>
  <HLinks>
    <vt:vector size="840" baseType="variant">
      <vt:variant>
        <vt:i4>3211388</vt:i4>
      </vt:variant>
      <vt:variant>
        <vt:i4>1214</vt:i4>
      </vt:variant>
      <vt:variant>
        <vt:i4>0</vt:i4>
      </vt:variant>
      <vt:variant>
        <vt:i4>5</vt:i4>
      </vt:variant>
      <vt:variant>
        <vt:lpwstr>https://www.buildacell.org/</vt:lpwstr>
      </vt:variant>
      <vt:variant>
        <vt:lpwstr/>
      </vt:variant>
      <vt:variant>
        <vt:i4>6815806</vt:i4>
      </vt:variant>
      <vt:variant>
        <vt:i4>1205</vt:i4>
      </vt:variant>
      <vt:variant>
        <vt:i4>0</vt:i4>
      </vt:variant>
      <vt:variant>
        <vt:i4>5</vt:i4>
      </vt:variant>
      <vt:variant>
        <vt:lpwstr>http://www.biomaster-uestc.cn/</vt:lpwstr>
      </vt:variant>
      <vt:variant>
        <vt:lpwstr/>
      </vt:variant>
      <vt:variant>
        <vt:i4>2424880</vt:i4>
      </vt:variant>
      <vt:variant>
        <vt:i4>1202</vt:i4>
      </vt:variant>
      <vt:variant>
        <vt:i4>0</vt:i4>
      </vt:variant>
      <vt:variant>
        <vt:i4>5</vt:i4>
      </vt:variant>
      <vt:variant>
        <vt:lpwstr>http://parts.igem.org/</vt:lpwstr>
      </vt:variant>
      <vt:variant>
        <vt:lpwstr/>
      </vt:variant>
      <vt:variant>
        <vt:i4>1048630</vt:i4>
      </vt:variant>
      <vt:variant>
        <vt:i4>419</vt:i4>
      </vt:variant>
      <vt:variant>
        <vt:i4>0</vt:i4>
      </vt:variant>
      <vt:variant>
        <vt:i4>5</vt:i4>
      </vt:variant>
      <vt:variant>
        <vt:lpwstr/>
      </vt:variant>
      <vt:variant>
        <vt:lpwstr>_Toc70112721</vt:lpwstr>
      </vt:variant>
      <vt:variant>
        <vt:i4>1114166</vt:i4>
      </vt:variant>
      <vt:variant>
        <vt:i4>413</vt:i4>
      </vt:variant>
      <vt:variant>
        <vt:i4>0</vt:i4>
      </vt:variant>
      <vt:variant>
        <vt:i4>5</vt:i4>
      </vt:variant>
      <vt:variant>
        <vt:lpwstr/>
      </vt:variant>
      <vt:variant>
        <vt:lpwstr>_Toc70112720</vt:lpwstr>
      </vt:variant>
      <vt:variant>
        <vt:i4>1572917</vt:i4>
      </vt:variant>
      <vt:variant>
        <vt:i4>407</vt:i4>
      </vt:variant>
      <vt:variant>
        <vt:i4>0</vt:i4>
      </vt:variant>
      <vt:variant>
        <vt:i4>5</vt:i4>
      </vt:variant>
      <vt:variant>
        <vt:lpwstr/>
      </vt:variant>
      <vt:variant>
        <vt:lpwstr>_Toc70112719</vt:lpwstr>
      </vt:variant>
      <vt:variant>
        <vt:i4>1638453</vt:i4>
      </vt:variant>
      <vt:variant>
        <vt:i4>401</vt:i4>
      </vt:variant>
      <vt:variant>
        <vt:i4>0</vt:i4>
      </vt:variant>
      <vt:variant>
        <vt:i4>5</vt:i4>
      </vt:variant>
      <vt:variant>
        <vt:lpwstr/>
      </vt:variant>
      <vt:variant>
        <vt:lpwstr>_Toc70112718</vt:lpwstr>
      </vt:variant>
      <vt:variant>
        <vt:i4>1441845</vt:i4>
      </vt:variant>
      <vt:variant>
        <vt:i4>395</vt:i4>
      </vt:variant>
      <vt:variant>
        <vt:i4>0</vt:i4>
      </vt:variant>
      <vt:variant>
        <vt:i4>5</vt:i4>
      </vt:variant>
      <vt:variant>
        <vt:lpwstr/>
      </vt:variant>
      <vt:variant>
        <vt:lpwstr>_Toc70112717</vt:lpwstr>
      </vt:variant>
      <vt:variant>
        <vt:i4>1507381</vt:i4>
      </vt:variant>
      <vt:variant>
        <vt:i4>389</vt:i4>
      </vt:variant>
      <vt:variant>
        <vt:i4>0</vt:i4>
      </vt:variant>
      <vt:variant>
        <vt:i4>5</vt:i4>
      </vt:variant>
      <vt:variant>
        <vt:lpwstr/>
      </vt:variant>
      <vt:variant>
        <vt:lpwstr>_Toc70112716</vt:lpwstr>
      </vt:variant>
      <vt:variant>
        <vt:i4>1310773</vt:i4>
      </vt:variant>
      <vt:variant>
        <vt:i4>383</vt:i4>
      </vt:variant>
      <vt:variant>
        <vt:i4>0</vt:i4>
      </vt:variant>
      <vt:variant>
        <vt:i4>5</vt:i4>
      </vt:variant>
      <vt:variant>
        <vt:lpwstr/>
      </vt:variant>
      <vt:variant>
        <vt:lpwstr>_Toc70112715</vt:lpwstr>
      </vt:variant>
      <vt:variant>
        <vt:i4>1376309</vt:i4>
      </vt:variant>
      <vt:variant>
        <vt:i4>377</vt:i4>
      </vt:variant>
      <vt:variant>
        <vt:i4>0</vt:i4>
      </vt:variant>
      <vt:variant>
        <vt:i4>5</vt:i4>
      </vt:variant>
      <vt:variant>
        <vt:lpwstr/>
      </vt:variant>
      <vt:variant>
        <vt:lpwstr>_Toc70112714</vt:lpwstr>
      </vt:variant>
      <vt:variant>
        <vt:i4>1179701</vt:i4>
      </vt:variant>
      <vt:variant>
        <vt:i4>371</vt:i4>
      </vt:variant>
      <vt:variant>
        <vt:i4>0</vt:i4>
      </vt:variant>
      <vt:variant>
        <vt:i4>5</vt:i4>
      </vt:variant>
      <vt:variant>
        <vt:lpwstr/>
      </vt:variant>
      <vt:variant>
        <vt:lpwstr>_Toc70112713</vt:lpwstr>
      </vt:variant>
      <vt:variant>
        <vt:i4>1245237</vt:i4>
      </vt:variant>
      <vt:variant>
        <vt:i4>365</vt:i4>
      </vt:variant>
      <vt:variant>
        <vt:i4>0</vt:i4>
      </vt:variant>
      <vt:variant>
        <vt:i4>5</vt:i4>
      </vt:variant>
      <vt:variant>
        <vt:lpwstr/>
      </vt:variant>
      <vt:variant>
        <vt:lpwstr>_Toc70112712</vt:lpwstr>
      </vt:variant>
      <vt:variant>
        <vt:i4>1048629</vt:i4>
      </vt:variant>
      <vt:variant>
        <vt:i4>359</vt:i4>
      </vt:variant>
      <vt:variant>
        <vt:i4>0</vt:i4>
      </vt:variant>
      <vt:variant>
        <vt:i4>5</vt:i4>
      </vt:variant>
      <vt:variant>
        <vt:lpwstr/>
      </vt:variant>
      <vt:variant>
        <vt:lpwstr>_Toc70112711</vt:lpwstr>
      </vt:variant>
      <vt:variant>
        <vt:i4>1114165</vt:i4>
      </vt:variant>
      <vt:variant>
        <vt:i4>353</vt:i4>
      </vt:variant>
      <vt:variant>
        <vt:i4>0</vt:i4>
      </vt:variant>
      <vt:variant>
        <vt:i4>5</vt:i4>
      </vt:variant>
      <vt:variant>
        <vt:lpwstr/>
      </vt:variant>
      <vt:variant>
        <vt:lpwstr>_Toc70112710</vt:lpwstr>
      </vt:variant>
      <vt:variant>
        <vt:i4>1572916</vt:i4>
      </vt:variant>
      <vt:variant>
        <vt:i4>347</vt:i4>
      </vt:variant>
      <vt:variant>
        <vt:i4>0</vt:i4>
      </vt:variant>
      <vt:variant>
        <vt:i4>5</vt:i4>
      </vt:variant>
      <vt:variant>
        <vt:lpwstr/>
      </vt:variant>
      <vt:variant>
        <vt:lpwstr>_Toc70112709</vt:lpwstr>
      </vt:variant>
      <vt:variant>
        <vt:i4>1638452</vt:i4>
      </vt:variant>
      <vt:variant>
        <vt:i4>341</vt:i4>
      </vt:variant>
      <vt:variant>
        <vt:i4>0</vt:i4>
      </vt:variant>
      <vt:variant>
        <vt:i4>5</vt:i4>
      </vt:variant>
      <vt:variant>
        <vt:lpwstr/>
      </vt:variant>
      <vt:variant>
        <vt:lpwstr>_Toc70112708</vt:lpwstr>
      </vt:variant>
      <vt:variant>
        <vt:i4>1441844</vt:i4>
      </vt:variant>
      <vt:variant>
        <vt:i4>335</vt:i4>
      </vt:variant>
      <vt:variant>
        <vt:i4>0</vt:i4>
      </vt:variant>
      <vt:variant>
        <vt:i4>5</vt:i4>
      </vt:variant>
      <vt:variant>
        <vt:lpwstr/>
      </vt:variant>
      <vt:variant>
        <vt:lpwstr>_Toc70112707</vt:lpwstr>
      </vt:variant>
      <vt:variant>
        <vt:i4>1507380</vt:i4>
      </vt:variant>
      <vt:variant>
        <vt:i4>329</vt:i4>
      </vt:variant>
      <vt:variant>
        <vt:i4>0</vt:i4>
      </vt:variant>
      <vt:variant>
        <vt:i4>5</vt:i4>
      </vt:variant>
      <vt:variant>
        <vt:lpwstr/>
      </vt:variant>
      <vt:variant>
        <vt:lpwstr>_Toc70112706</vt:lpwstr>
      </vt:variant>
      <vt:variant>
        <vt:i4>1310772</vt:i4>
      </vt:variant>
      <vt:variant>
        <vt:i4>323</vt:i4>
      </vt:variant>
      <vt:variant>
        <vt:i4>0</vt:i4>
      </vt:variant>
      <vt:variant>
        <vt:i4>5</vt:i4>
      </vt:variant>
      <vt:variant>
        <vt:lpwstr/>
      </vt:variant>
      <vt:variant>
        <vt:lpwstr>_Toc70112705</vt:lpwstr>
      </vt:variant>
      <vt:variant>
        <vt:i4>1376308</vt:i4>
      </vt:variant>
      <vt:variant>
        <vt:i4>317</vt:i4>
      </vt:variant>
      <vt:variant>
        <vt:i4>0</vt:i4>
      </vt:variant>
      <vt:variant>
        <vt:i4>5</vt:i4>
      </vt:variant>
      <vt:variant>
        <vt:lpwstr/>
      </vt:variant>
      <vt:variant>
        <vt:lpwstr>_Toc70112704</vt:lpwstr>
      </vt:variant>
      <vt:variant>
        <vt:i4>1179700</vt:i4>
      </vt:variant>
      <vt:variant>
        <vt:i4>311</vt:i4>
      </vt:variant>
      <vt:variant>
        <vt:i4>0</vt:i4>
      </vt:variant>
      <vt:variant>
        <vt:i4>5</vt:i4>
      </vt:variant>
      <vt:variant>
        <vt:lpwstr/>
      </vt:variant>
      <vt:variant>
        <vt:lpwstr>_Toc70112703</vt:lpwstr>
      </vt:variant>
      <vt:variant>
        <vt:i4>1245236</vt:i4>
      </vt:variant>
      <vt:variant>
        <vt:i4>305</vt:i4>
      </vt:variant>
      <vt:variant>
        <vt:i4>0</vt:i4>
      </vt:variant>
      <vt:variant>
        <vt:i4>5</vt:i4>
      </vt:variant>
      <vt:variant>
        <vt:lpwstr/>
      </vt:variant>
      <vt:variant>
        <vt:lpwstr>_Toc70112702</vt:lpwstr>
      </vt:variant>
      <vt:variant>
        <vt:i4>1048628</vt:i4>
      </vt:variant>
      <vt:variant>
        <vt:i4>299</vt:i4>
      </vt:variant>
      <vt:variant>
        <vt:i4>0</vt:i4>
      </vt:variant>
      <vt:variant>
        <vt:i4>5</vt:i4>
      </vt:variant>
      <vt:variant>
        <vt:lpwstr/>
      </vt:variant>
      <vt:variant>
        <vt:lpwstr>_Toc70112701</vt:lpwstr>
      </vt:variant>
      <vt:variant>
        <vt:i4>1114164</vt:i4>
      </vt:variant>
      <vt:variant>
        <vt:i4>293</vt:i4>
      </vt:variant>
      <vt:variant>
        <vt:i4>0</vt:i4>
      </vt:variant>
      <vt:variant>
        <vt:i4>5</vt:i4>
      </vt:variant>
      <vt:variant>
        <vt:lpwstr/>
      </vt:variant>
      <vt:variant>
        <vt:lpwstr>_Toc70112700</vt:lpwstr>
      </vt:variant>
      <vt:variant>
        <vt:i4>1638461</vt:i4>
      </vt:variant>
      <vt:variant>
        <vt:i4>287</vt:i4>
      </vt:variant>
      <vt:variant>
        <vt:i4>0</vt:i4>
      </vt:variant>
      <vt:variant>
        <vt:i4>5</vt:i4>
      </vt:variant>
      <vt:variant>
        <vt:lpwstr/>
      </vt:variant>
      <vt:variant>
        <vt:lpwstr>_Toc70112699</vt:lpwstr>
      </vt:variant>
      <vt:variant>
        <vt:i4>1572925</vt:i4>
      </vt:variant>
      <vt:variant>
        <vt:i4>281</vt:i4>
      </vt:variant>
      <vt:variant>
        <vt:i4>0</vt:i4>
      </vt:variant>
      <vt:variant>
        <vt:i4>5</vt:i4>
      </vt:variant>
      <vt:variant>
        <vt:lpwstr/>
      </vt:variant>
      <vt:variant>
        <vt:lpwstr>_Toc70112698</vt:lpwstr>
      </vt:variant>
      <vt:variant>
        <vt:i4>1507389</vt:i4>
      </vt:variant>
      <vt:variant>
        <vt:i4>275</vt:i4>
      </vt:variant>
      <vt:variant>
        <vt:i4>0</vt:i4>
      </vt:variant>
      <vt:variant>
        <vt:i4>5</vt:i4>
      </vt:variant>
      <vt:variant>
        <vt:lpwstr/>
      </vt:variant>
      <vt:variant>
        <vt:lpwstr>_Toc70112697</vt:lpwstr>
      </vt:variant>
      <vt:variant>
        <vt:i4>1441853</vt:i4>
      </vt:variant>
      <vt:variant>
        <vt:i4>269</vt:i4>
      </vt:variant>
      <vt:variant>
        <vt:i4>0</vt:i4>
      </vt:variant>
      <vt:variant>
        <vt:i4>5</vt:i4>
      </vt:variant>
      <vt:variant>
        <vt:lpwstr/>
      </vt:variant>
      <vt:variant>
        <vt:lpwstr>_Toc70112696</vt:lpwstr>
      </vt:variant>
      <vt:variant>
        <vt:i4>1376317</vt:i4>
      </vt:variant>
      <vt:variant>
        <vt:i4>263</vt:i4>
      </vt:variant>
      <vt:variant>
        <vt:i4>0</vt:i4>
      </vt:variant>
      <vt:variant>
        <vt:i4>5</vt:i4>
      </vt:variant>
      <vt:variant>
        <vt:lpwstr/>
      </vt:variant>
      <vt:variant>
        <vt:lpwstr>_Toc70112695</vt:lpwstr>
      </vt:variant>
      <vt:variant>
        <vt:i4>1310781</vt:i4>
      </vt:variant>
      <vt:variant>
        <vt:i4>257</vt:i4>
      </vt:variant>
      <vt:variant>
        <vt:i4>0</vt:i4>
      </vt:variant>
      <vt:variant>
        <vt:i4>5</vt:i4>
      </vt:variant>
      <vt:variant>
        <vt:lpwstr/>
      </vt:variant>
      <vt:variant>
        <vt:lpwstr>_Toc70112694</vt:lpwstr>
      </vt:variant>
      <vt:variant>
        <vt:i4>1245245</vt:i4>
      </vt:variant>
      <vt:variant>
        <vt:i4>251</vt:i4>
      </vt:variant>
      <vt:variant>
        <vt:i4>0</vt:i4>
      </vt:variant>
      <vt:variant>
        <vt:i4>5</vt:i4>
      </vt:variant>
      <vt:variant>
        <vt:lpwstr/>
      </vt:variant>
      <vt:variant>
        <vt:lpwstr>_Toc70112693</vt:lpwstr>
      </vt:variant>
      <vt:variant>
        <vt:i4>1179709</vt:i4>
      </vt:variant>
      <vt:variant>
        <vt:i4>245</vt:i4>
      </vt:variant>
      <vt:variant>
        <vt:i4>0</vt:i4>
      </vt:variant>
      <vt:variant>
        <vt:i4>5</vt:i4>
      </vt:variant>
      <vt:variant>
        <vt:lpwstr/>
      </vt:variant>
      <vt:variant>
        <vt:lpwstr>_Toc70112692</vt:lpwstr>
      </vt:variant>
      <vt:variant>
        <vt:i4>1114173</vt:i4>
      </vt:variant>
      <vt:variant>
        <vt:i4>239</vt:i4>
      </vt:variant>
      <vt:variant>
        <vt:i4>0</vt:i4>
      </vt:variant>
      <vt:variant>
        <vt:i4>5</vt:i4>
      </vt:variant>
      <vt:variant>
        <vt:lpwstr/>
      </vt:variant>
      <vt:variant>
        <vt:lpwstr>_Toc70112691</vt:lpwstr>
      </vt:variant>
      <vt:variant>
        <vt:i4>1048637</vt:i4>
      </vt:variant>
      <vt:variant>
        <vt:i4>233</vt:i4>
      </vt:variant>
      <vt:variant>
        <vt:i4>0</vt:i4>
      </vt:variant>
      <vt:variant>
        <vt:i4>5</vt:i4>
      </vt:variant>
      <vt:variant>
        <vt:lpwstr/>
      </vt:variant>
      <vt:variant>
        <vt:lpwstr>_Toc70112690</vt:lpwstr>
      </vt:variant>
      <vt:variant>
        <vt:i4>1638460</vt:i4>
      </vt:variant>
      <vt:variant>
        <vt:i4>227</vt:i4>
      </vt:variant>
      <vt:variant>
        <vt:i4>0</vt:i4>
      </vt:variant>
      <vt:variant>
        <vt:i4>5</vt:i4>
      </vt:variant>
      <vt:variant>
        <vt:lpwstr/>
      </vt:variant>
      <vt:variant>
        <vt:lpwstr>_Toc70112689</vt:lpwstr>
      </vt:variant>
      <vt:variant>
        <vt:i4>1572924</vt:i4>
      </vt:variant>
      <vt:variant>
        <vt:i4>221</vt:i4>
      </vt:variant>
      <vt:variant>
        <vt:i4>0</vt:i4>
      </vt:variant>
      <vt:variant>
        <vt:i4>5</vt:i4>
      </vt:variant>
      <vt:variant>
        <vt:lpwstr/>
      </vt:variant>
      <vt:variant>
        <vt:lpwstr>_Toc70112688</vt:lpwstr>
      </vt:variant>
      <vt:variant>
        <vt:i4>1507388</vt:i4>
      </vt:variant>
      <vt:variant>
        <vt:i4>215</vt:i4>
      </vt:variant>
      <vt:variant>
        <vt:i4>0</vt:i4>
      </vt:variant>
      <vt:variant>
        <vt:i4>5</vt:i4>
      </vt:variant>
      <vt:variant>
        <vt:lpwstr/>
      </vt:variant>
      <vt:variant>
        <vt:lpwstr>_Toc70112687</vt:lpwstr>
      </vt:variant>
      <vt:variant>
        <vt:i4>1441852</vt:i4>
      </vt:variant>
      <vt:variant>
        <vt:i4>209</vt:i4>
      </vt:variant>
      <vt:variant>
        <vt:i4>0</vt:i4>
      </vt:variant>
      <vt:variant>
        <vt:i4>5</vt:i4>
      </vt:variant>
      <vt:variant>
        <vt:lpwstr/>
      </vt:variant>
      <vt:variant>
        <vt:lpwstr>_Toc70112686</vt:lpwstr>
      </vt:variant>
      <vt:variant>
        <vt:i4>1376316</vt:i4>
      </vt:variant>
      <vt:variant>
        <vt:i4>203</vt:i4>
      </vt:variant>
      <vt:variant>
        <vt:i4>0</vt:i4>
      </vt:variant>
      <vt:variant>
        <vt:i4>5</vt:i4>
      </vt:variant>
      <vt:variant>
        <vt:lpwstr/>
      </vt:variant>
      <vt:variant>
        <vt:lpwstr>_Toc70112685</vt:lpwstr>
      </vt:variant>
      <vt:variant>
        <vt:i4>1310780</vt:i4>
      </vt:variant>
      <vt:variant>
        <vt:i4>197</vt:i4>
      </vt:variant>
      <vt:variant>
        <vt:i4>0</vt:i4>
      </vt:variant>
      <vt:variant>
        <vt:i4>5</vt:i4>
      </vt:variant>
      <vt:variant>
        <vt:lpwstr/>
      </vt:variant>
      <vt:variant>
        <vt:lpwstr>_Toc70112684</vt:lpwstr>
      </vt:variant>
      <vt:variant>
        <vt:i4>1245244</vt:i4>
      </vt:variant>
      <vt:variant>
        <vt:i4>191</vt:i4>
      </vt:variant>
      <vt:variant>
        <vt:i4>0</vt:i4>
      </vt:variant>
      <vt:variant>
        <vt:i4>5</vt:i4>
      </vt:variant>
      <vt:variant>
        <vt:lpwstr/>
      </vt:variant>
      <vt:variant>
        <vt:lpwstr>_Toc70112683</vt:lpwstr>
      </vt:variant>
      <vt:variant>
        <vt:i4>1179708</vt:i4>
      </vt:variant>
      <vt:variant>
        <vt:i4>185</vt:i4>
      </vt:variant>
      <vt:variant>
        <vt:i4>0</vt:i4>
      </vt:variant>
      <vt:variant>
        <vt:i4>5</vt:i4>
      </vt:variant>
      <vt:variant>
        <vt:lpwstr/>
      </vt:variant>
      <vt:variant>
        <vt:lpwstr>_Toc70112682</vt:lpwstr>
      </vt:variant>
      <vt:variant>
        <vt:i4>1114172</vt:i4>
      </vt:variant>
      <vt:variant>
        <vt:i4>179</vt:i4>
      </vt:variant>
      <vt:variant>
        <vt:i4>0</vt:i4>
      </vt:variant>
      <vt:variant>
        <vt:i4>5</vt:i4>
      </vt:variant>
      <vt:variant>
        <vt:lpwstr/>
      </vt:variant>
      <vt:variant>
        <vt:lpwstr>_Toc70112681</vt:lpwstr>
      </vt:variant>
      <vt:variant>
        <vt:i4>1048636</vt:i4>
      </vt:variant>
      <vt:variant>
        <vt:i4>173</vt:i4>
      </vt:variant>
      <vt:variant>
        <vt:i4>0</vt:i4>
      </vt:variant>
      <vt:variant>
        <vt:i4>5</vt:i4>
      </vt:variant>
      <vt:variant>
        <vt:lpwstr/>
      </vt:variant>
      <vt:variant>
        <vt:lpwstr>_Toc70112680</vt:lpwstr>
      </vt:variant>
      <vt:variant>
        <vt:i4>1638451</vt:i4>
      </vt:variant>
      <vt:variant>
        <vt:i4>167</vt:i4>
      </vt:variant>
      <vt:variant>
        <vt:i4>0</vt:i4>
      </vt:variant>
      <vt:variant>
        <vt:i4>5</vt:i4>
      </vt:variant>
      <vt:variant>
        <vt:lpwstr/>
      </vt:variant>
      <vt:variant>
        <vt:lpwstr>_Toc70112679</vt:lpwstr>
      </vt:variant>
      <vt:variant>
        <vt:i4>1572915</vt:i4>
      </vt:variant>
      <vt:variant>
        <vt:i4>161</vt:i4>
      </vt:variant>
      <vt:variant>
        <vt:i4>0</vt:i4>
      </vt:variant>
      <vt:variant>
        <vt:i4>5</vt:i4>
      </vt:variant>
      <vt:variant>
        <vt:lpwstr/>
      </vt:variant>
      <vt:variant>
        <vt:lpwstr>_Toc70112678</vt:lpwstr>
      </vt:variant>
      <vt:variant>
        <vt:i4>1507379</vt:i4>
      </vt:variant>
      <vt:variant>
        <vt:i4>155</vt:i4>
      </vt:variant>
      <vt:variant>
        <vt:i4>0</vt:i4>
      </vt:variant>
      <vt:variant>
        <vt:i4>5</vt:i4>
      </vt:variant>
      <vt:variant>
        <vt:lpwstr/>
      </vt:variant>
      <vt:variant>
        <vt:lpwstr>_Toc70112677</vt:lpwstr>
      </vt:variant>
      <vt:variant>
        <vt:i4>1441843</vt:i4>
      </vt:variant>
      <vt:variant>
        <vt:i4>149</vt:i4>
      </vt:variant>
      <vt:variant>
        <vt:i4>0</vt:i4>
      </vt:variant>
      <vt:variant>
        <vt:i4>5</vt:i4>
      </vt:variant>
      <vt:variant>
        <vt:lpwstr/>
      </vt:variant>
      <vt:variant>
        <vt:lpwstr>_Toc70112676</vt:lpwstr>
      </vt:variant>
      <vt:variant>
        <vt:i4>1376307</vt:i4>
      </vt:variant>
      <vt:variant>
        <vt:i4>143</vt:i4>
      </vt:variant>
      <vt:variant>
        <vt:i4>0</vt:i4>
      </vt:variant>
      <vt:variant>
        <vt:i4>5</vt:i4>
      </vt:variant>
      <vt:variant>
        <vt:lpwstr/>
      </vt:variant>
      <vt:variant>
        <vt:lpwstr>_Toc70112675</vt:lpwstr>
      </vt:variant>
      <vt:variant>
        <vt:i4>1310771</vt:i4>
      </vt:variant>
      <vt:variant>
        <vt:i4>137</vt:i4>
      </vt:variant>
      <vt:variant>
        <vt:i4>0</vt:i4>
      </vt:variant>
      <vt:variant>
        <vt:i4>5</vt:i4>
      </vt:variant>
      <vt:variant>
        <vt:lpwstr/>
      </vt:variant>
      <vt:variant>
        <vt:lpwstr>_Toc70112674</vt:lpwstr>
      </vt:variant>
      <vt:variant>
        <vt:i4>1245235</vt:i4>
      </vt:variant>
      <vt:variant>
        <vt:i4>131</vt:i4>
      </vt:variant>
      <vt:variant>
        <vt:i4>0</vt:i4>
      </vt:variant>
      <vt:variant>
        <vt:i4>5</vt:i4>
      </vt:variant>
      <vt:variant>
        <vt:lpwstr/>
      </vt:variant>
      <vt:variant>
        <vt:lpwstr>_Toc70112673</vt:lpwstr>
      </vt:variant>
      <vt:variant>
        <vt:i4>1179699</vt:i4>
      </vt:variant>
      <vt:variant>
        <vt:i4>125</vt:i4>
      </vt:variant>
      <vt:variant>
        <vt:i4>0</vt:i4>
      </vt:variant>
      <vt:variant>
        <vt:i4>5</vt:i4>
      </vt:variant>
      <vt:variant>
        <vt:lpwstr/>
      </vt:variant>
      <vt:variant>
        <vt:lpwstr>_Toc70112672</vt:lpwstr>
      </vt:variant>
      <vt:variant>
        <vt:i4>1114163</vt:i4>
      </vt:variant>
      <vt:variant>
        <vt:i4>119</vt:i4>
      </vt:variant>
      <vt:variant>
        <vt:i4>0</vt:i4>
      </vt:variant>
      <vt:variant>
        <vt:i4>5</vt:i4>
      </vt:variant>
      <vt:variant>
        <vt:lpwstr/>
      </vt:variant>
      <vt:variant>
        <vt:lpwstr>_Toc70112671</vt:lpwstr>
      </vt:variant>
      <vt:variant>
        <vt:i4>1048627</vt:i4>
      </vt:variant>
      <vt:variant>
        <vt:i4>113</vt:i4>
      </vt:variant>
      <vt:variant>
        <vt:i4>0</vt:i4>
      </vt:variant>
      <vt:variant>
        <vt:i4>5</vt:i4>
      </vt:variant>
      <vt:variant>
        <vt:lpwstr/>
      </vt:variant>
      <vt:variant>
        <vt:lpwstr>_Toc70112670</vt:lpwstr>
      </vt:variant>
      <vt:variant>
        <vt:i4>1638450</vt:i4>
      </vt:variant>
      <vt:variant>
        <vt:i4>107</vt:i4>
      </vt:variant>
      <vt:variant>
        <vt:i4>0</vt:i4>
      </vt:variant>
      <vt:variant>
        <vt:i4>5</vt:i4>
      </vt:variant>
      <vt:variant>
        <vt:lpwstr/>
      </vt:variant>
      <vt:variant>
        <vt:lpwstr>_Toc70112669</vt:lpwstr>
      </vt:variant>
      <vt:variant>
        <vt:i4>1572914</vt:i4>
      </vt:variant>
      <vt:variant>
        <vt:i4>101</vt:i4>
      </vt:variant>
      <vt:variant>
        <vt:i4>0</vt:i4>
      </vt:variant>
      <vt:variant>
        <vt:i4>5</vt:i4>
      </vt:variant>
      <vt:variant>
        <vt:lpwstr/>
      </vt:variant>
      <vt:variant>
        <vt:lpwstr>_Toc70112668</vt:lpwstr>
      </vt:variant>
      <vt:variant>
        <vt:i4>1507378</vt:i4>
      </vt:variant>
      <vt:variant>
        <vt:i4>95</vt:i4>
      </vt:variant>
      <vt:variant>
        <vt:i4>0</vt:i4>
      </vt:variant>
      <vt:variant>
        <vt:i4>5</vt:i4>
      </vt:variant>
      <vt:variant>
        <vt:lpwstr/>
      </vt:variant>
      <vt:variant>
        <vt:lpwstr>_Toc70112667</vt:lpwstr>
      </vt:variant>
      <vt:variant>
        <vt:i4>1441842</vt:i4>
      </vt:variant>
      <vt:variant>
        <vt:i4>89</vt:i4>
      </vt:variant>
      <vt:variant>
        <vt:i4>0</vt:i4>
      </vt:variant>
      <vt:variant>
        <vt:i4>5</vt:i4>
      </vt:variant>
      <vt:variant>
        <vt:lpwstr/>
      </vt:variant>
      <vt:variant>
        <vt:lpwstr>_Toc70112666</vt:lpwstr>
      </vt:variant>
      <vt:variant>
        <vt:i4>1376306</vt:i4>
      </vt:variant>
      <vt:variant>
        <vt:i4>83</vt:i4>
      </vt:variant>
      <vt:variant>
        <vt:i4>0</vt:i4>
      </vt:variant>
      <vt:variant>
        <vt:i4>5</vt:i4>
      </vt:variant>
      <vt:variant>
        <vt:lpwstr/>
      </vt:variant>
      <vt:variant>
        <vt:lpwstr>_Toc70112665</vt:lpwstr>
      </vt:variant>
      <vt:variant>
        <vt:i4>1310770</vt:i4>
      </vt:variant>
      <vt:variant>
        <vt:i4>77</vt:i4>
      </vt:variant>
      <vt:variant>
        <vt:i4>0</vt:i4>
      </vt:variant>
      <vt:variant>
        <vt:i4>5</vt:i4>
      </vt:variant>
      <vt:variant>
        <vt:lpwstr/>
      </vt:variant>
      <vt:variant>
        <vt:lpwstr>_Toc70112664</vt:lpwstr>
      </vt:variant>
      <vt:variant>
        <vt:i4>1245234</vt:i4>
      </vt:variant>
      <vt:variant>
        <vt:i4>71</vt:i4>
      </vt:variant>
      <vt:variant>
        <vt:i4>0</vt:i4>
      </vt:variant>
      <vt:variant>
        <vt:i4>5</vt:i4>
      </vt:variant>
      <vt:variant>
        <vt:lpwstr/>
      </vt:variant>
      <vt:variant>
        <vt:lpwstr>_Toc70112663</vt:lpwstr>
      </vt:variant>
      <vt:variant>
        <vt:i4>1179698</vt:i4>
      </vt:variant>
      <vt:variant>
        <vt:i4>65</vt:i4>
      </vt:variant>
      <vt:variant>
        <vt:i4>0</vt:i4>
      </vt:variant>
      <vt:variant>
        <vt:i4>5</vt:i4>
      </vt:variant>
      <vt:variant>
        <vt:lpwstr/>
      </vt:variant>
      <vt:variant>
        <vt:lpwstr>_Toc70112662</vt:lpwstr>
      </vt:variant>
      <vt:variant>
        <vt:i4>1114162</vt:i4>
      </vt:variant>
      <vt:variant>
        <vt:i4>59</vt:i4>
      </vt:variant>
      <vt:variant>
        <vt:i4>0</vt:i4>
      </vt:variant>
      <vt:variant>
        <vt:i4>5</vt:i4>
      </vt:variant>
      <vt:variant>
        <vt:lpwstr/>
      </vt:variant>
      <vt:variant>
        <vt:lpwstr>_Toc70112661</vt:lpwstr>
      </vt:variant>
      <vt:variant>
        <vt:i4>1048626</vt:i4>
      </vt:variant>
      <vt:variant>
        <vt:i4>53</vt:i4>
      </vt:variant>
      <vt:variant>
        <vt:i4>0</vt:i4>
      </vt:variant>
      <vt:variant>
        <vt:i4>5</vt:i4>
      </vt:variant>
      <vt:variant>
        <vt:lpwstr/>
      </vt:variant>
      <vt:variant>
        <vt:lpwstr>_Toc70112660</vt:lpwstr>
      </vt:variant>
      <vt:variant>
        <vt:i4>1638449</vt:i4>
      </vt:variant>
      <vt:variant>
        <vt:i4>47</vt:i4>
      </vt:variant>
      <vt:variant>
        <vt:i4>0</vt:i4>
      </vt:variant>
      <vt:variant>
        <vt:i4>5</vt:i4>
      </vt:variant>
      <vt:variant>
        <vt:lpwstr/>
      </vt:variant>
      <vt:variant>
        <vt:lpwstr>_Toc70112659</vt:lpwstr>
      </vt:variant>
      <vt:variant>
        <vt:i4>1572913</vt:i4>
      </vt:variant>
      <vt:variant>
        <vt:i4>41</vt:i4>
      </vt:variant>
      <vt:variant>
        <vt:i4>0</vt:i4>
      </vt:variant>
      <vt:variant>
        <vt:i4>5</vt:i4>
      </vt:variant>
      <vt:variant>
        <vt:lpwstr/>
      </vt:variant>
      <vt:variant>
        <vt:lpwstr>_Toc70112658</vt:lpwstr>
      </vt:variant>
      <vt:variant>
        <vt:i4>1507377</vt:i4>
      </vt:variant>
      <vt:variant>
        <vt:i4>35</vt:i4>
      </vt:variant>
      <vt:variant>
        <vt:i4>0</vt:i4>
      </vt:variant>
      <vt:variant>
        <vt:i4>5</vt:i4>
      </vt:variant>
      <vt:variant>
        <vt:lpwstr/>
      </vt:variant>
      <vt:variant>
        <vt:lpwstr>_Toc70112657</vt:lpwstr>
      </vt:variant>
      <vt:variant>
        <vt:i4>1441841</vt:i4>
      </vt:variant>
      <vt:variant>
        <vt:i4>29</vt:i4>
      </vt:variant>
      <vt:variant>
        <vt:i4>0</vt:i4>
      </vt:variant>
      <vt:variant>
        <vt:i4>5</vt:i4>
      </vt:variant>
      <vt:variant>
        <vt:lpwstr/>
      </vt:variant>
      <vt:variant>
        <vt:lpwstr>_Toc70112656</vt:lpwstr>
      </vt:variant>
      <vt:variant>
        <vt:i4>1376305</vt:i4>
      </vt:variant>
      <vt:variant>
        <vt:i4>23</vt:i4>
      </vt:variant>
      <vt:variant>
        <vt:i4>0</vt:i4>
      </vt:variant>
      <vt:variant>
        <vt:i4>5</vt:i4>
      </vt:variant>
      <vt:variant>
        <vt:lpwstr/>
      </vt:variant>
      <vt:variant>
        <vt:lpwstr>_Toc70112655</vt:lpwstr>
      </vt:variant>
      <vt:variant>
        <vt:i4>1310769</vt:i4>
      </vt:variant>
      <vt:variant>
        <vt:i4>17</vt:i4>
      </vt:variant>
      <vt:variant>
        <vt:i4>0</vt:i4>
      </vt:variant>
      <vt:variant>
        <vt:i4>5</vt:i4>
      </vt:variant>
      <vt:variant>
        <vt:lpwstr/>
      </vt:variant>
      <vt:variant>
        <vt:lpwstr>_Toc70112654</vt:lpwstr>
      </vt:variant>
      <vt:variant>
        <vt:i4>1245233</vt:i4>
      </vt:variant>
      <vt:variant>
        <vt:i4>11</vt:i4>
      </vt:variant>
      <vt:variant>
        <vt:i4>0</vt:i4>
      </vt:variant>
      <vt:variant>
        <vt:i4>5</vt:i4>
      </vt:variant>
      <vt:variant>
        <vt:lpwstr/>
      </vt:variant>
      <vt:variant>
        <vt:lpwstr>_Toc70112653</vt:lpwstr>
      </vt:variant>
      <vt:variant>
        <vt:i4>1179697</vt:i4>
      </vt:variant>
      <vt:variant>
        <vt:i4>5</vt:i4>
      </vt:variant>
      <vt:variant>
        <vt:i4>0</vt:i4>
      </vt:variant>
      <vt:variant>
        <vt:i4>5</vt:i4>
      </vt:variant>
      <vt:variant>
        <vt:lpwstr/>
      </vt:variant>
      <vt:variant>
        <vt:lpwstr>_Toc70112652</vt:lpwstr>
      </vt:variant>
      <vt:variant>
        <vt:i4>8126508</vt:i4>
      </vt:variant>
      <vt:variant>
        <vt:i4>0</vt:i4>
      </vt:variant>
      <vt:variant>
        <vt:i4>0</vt:i4>
      </vt:variant>
      <vt:variant>
        <vt:i4>5</vt:i4>
      </vt:variant>
      <vt:variant>
        <vt:lpwstr>http://www.cbd.int/decisions/?m=cop-09&amp;n=29</vt:lpwstr>
      </vt:variant>
      <vt:variant>
        <vt:lpwstr/>
      </vt:variant>
      <vt:variant>
        <vt:i4>2949179</vt:i4>
      </vt:variant>
      <vt:variant>
        <vt:i4>177</vt:i4>
      </vt:variant>
      <vt:variant>
        <vt:i4>0</vt:i4>
      </vt:variant>
      <vt:variant>
        <vt:i4>5</vt:i4>
      </vt:variant>
      <vt:variant>
        <vt:lpwstr>https://www.editingnature.org/</vt:lpwstr>
      </vt:variant>
      <vt:variant>
        <vt:lpwstr/>
      </vt:variant>
      <vt:variant>
        <vt:i4>8126590</vt:i4>
      </vt:variant>
      <vt:variant>
        <vt:i4>174</vt:i4>
      </vt:variant>
      <vt:variant>
        <vt:i4>0</vt:i4>
      </vt:variant>
      <vt:variant>
        <vt:i4>5</vt:i4>
      </vt:variant>
      <vt:variant>
        <vt:lpwstr>https://ainowinstitute.org/</vt:lpwstr>
      </vt:variant>
      <vt:variant>
        <vt:lpwstr/>
      </vt:variant>
      <vt:variant>
        <vt:i4>2031694</vt:i4>
      </vt:variant>
      <vt:variant>
        <vt:i4>171</vt:i4>
      </vt:variant>
      <vt:variant>
        <vt:i4>0</vt:i4>
      </vt:variant>
      <vt:variant>
        <vt:i4>5</vt:i4>
      </vt:variant>
      <vt:variant>
        <vt:lpwstr>https://sci.hms.harvard.edu/</vt:lpwstr>
      </vt:variant>
      <vt:variant>
        <vt:lpwstr/>
      </vt:variant>
      <vt:variant>
        <vt:i4>2293823</vt:i4>
      </vt:variant>
      <vt:variant>
        <vt:i4>168</vt:i4>
      </vt:variant>
      <vt:variant>
        <vt:i4>0</vt:i4>
      </vt:variant>
      <vt:variant>
        <vt:i4>5</vt:i4>
      </vt:variant>
      <vt:variant>
        <vt:lpwstr>https://www.cbd.int/decisions/cop/13/18</vt:lpwstr>
      </vt:variant>
      <vt:variant>
        <vt:lpwstr/>
      </vt:variant>
      <vt:variant>
        <vt:i4>1835079</vt:i4>
      </vt:variant>
      <vt:variant>
        <vt:i4>165</vt:i4>
      </vt:variant>
      <vt:variant>
        <vt:i4>0</vt:i4>
      </vt:variant>
      <vt:variant>
        <vt:i4>5</vt:i4>
      </vt:variant>
      <vt:variant>
        <vt:lpwstr>http://www.codexalimentarius.org/standards/list-of-standards/</vt:lpwstr>
      </vt:variant>
      <vt:variant>
        <vt:lpwstr/>
      </vt:variant>
      <vt:variant>
        <vt:i4>458822</vt:i4>
      </vt:variant>
      <vt:variant>
        <vt:i4>162</vt:i4>
      </vt:variant>
      <vt:variant>
        <vt:i4>0</vt:i4>
      </vt:variant>
      <vt:variant>
        <vt:i4>5</vt:i4>
      </vt:variant>
      <vt:variant>
        <vt:lpwstr>http://www.codexalimentarius.org/about-codex/en/</vt:lpwstr>
      </vt:variant>
      <vt:variant>
        <vt:lpwstr/>
      </vt:variant>
      <vt:variant>
        <vt:i4>6029322</vt:i4>
      </vt:variant>
      <vt:variant>
        <vt:i4>159</vt:i4>
      </vt:variant>
      <vt:variant>
        <vt:i4>0</vt:i4>
      </vt:variant>
      <vt:variant>
        <vt:i4>5</vt:i4>
      </vt:variant>
      <vt:variant>
        <vt:lpwstr>http://www.ippc.int/core-activities/standards-setting/ispms</vt:lpwstr>
      </vt:variant>
      <vt:variant>
        <vt:lpwstr>block-agenda-items-list</vt:lpwstr>
      </vt:variant>
      <vt:variant>
        <vt:i4>393240</vt:i4>
      </vt:variant>
      <vt:variant>
        <vt:i4>156</vt:i4>
      </vt:variant>
      <vt:variant>
        <vt:i4>0</vt:i4>
      </vt:variant>
      <vt:variant>
        <vt:i4>5</vt:i4>
      </vt:variant>
      <vt:variant>
        <vt:lpwstr>https://www.wipo.int/edocs/pubdocs/en/tk/913/wipo_pub_913.pdf</vt:lpwstr>
      </vt:variant>
      <vt:variant>
        <vt:lpwstr/>
      </vt:variant>
      <vt:variant>
        <vt:i4>4128769</vt:i4>
      </vt:variant>
      <vt:variant>
        <vt:i4>153</vt:i4>
      </vt:variant>
      <vt:variant>
        <vt:i4>0</vt:i4>
      </vt:variant>
      <vt:variant>
        <vt:i4>5</vt:i4>
      </vt:variant>
      <vt:variant>
        <vt:lpwstr>https://www.un.org/bbnj/sites/www.un.org.bbnj/files/bbnj_intersessional_programmeofwork_210114.pdf</vt:lpwstr>
      </vt:variant>
      <vt:variant>
        <vt:lpwstr/>
      </vt:variant>
      <vt:variant>
        <vt:i4>852046</vt:i4>
      </vt:variant>
      <vt:variant>
        <vt:i4>150</vt:i4>
      </vt:variant>
      <vt:variant>
        <vt:i4>0</vt:i4>
      </vt:variant>
      <vt:variant>
        <vt:i4>5</vt:i4>
      </vt:variant>
      <vt:variant>
        <vt:lpwstr>https://www.un.org/bbnj/</vt:lpwstr>
      </vt:variant>
      <vt:variant>
        <vt:lpwstr/>
      </vt:variant>
      <vt:variant>
        <vt:i4>8192099</vt:i4>
      </vt:variant>
      <vt:variant>
        <vt:i4>147</vt:i4>
      </vt:variant>
      <vt:variant>
        <vt:i4>0</vt:i4>
      </vt:variant>
      <vt:variant>
        <vt:i4>5</vt:i4>
      </vt:variant>
      <vt:variant>
        <vt:lpwstr>https://undocs.org/en/a/res/72/249</vt:lpwstr>
      </vt:variant>
      <vt:variant>
        <vt:lpwstr/>
      </vt:variant>
      <vt:variant>
        <vt:i4>3080252</vt:i4>
      </vt:variant>
      <vt:variant>
        <vt:i4>144</vt:i4>
      </vt:variant>
      <vt:variant>
        <vt:i4>0</vt:i4>
      </vt:variant>
      <vt:variant>
        <vt:i4>5</vt:i4>
      </vt:variant>
      <vt:variant>
        <vt:lpwstr>https://undocs.org/A/HRC/39/62</vt:lpwstr>
      </vt:variant>
      <vt:variant>
        <vt:lpwstr/>
      </vt:variant>
      <vt:variant>
        <vt:i4>6291502</vt:i4>
      </vt:variant>
      <vt:variant>
        <vt:i4>141</vt:i4>
      </vt:variant>
      <vt:variant>
        <vt:i4>0</vt:i4>
      </vt:variant>
      <vt:variant>
        <vt:i4>5</vt:i4>
      </vt:variant>
      <vt:variant>
        <vt:lpwstr>https://geneva-s3.unoda.org/static-unoda-site/pages/templates/enmod/UNSG%2BNV%2Bre%2BENMOD.pdf</vt:lpwstr>
      </vt:variant>
      <vt:variant>
        <vt:lpwstr/>
      </vt:variant>
      <vt:variant>
        <vt:i4>5701646</vt:i4>
      </vt:variant>
      <vt:variant>
        <vt:i4>138</vt:i4>
      </vt:variant>
      <vt:variant>
        <vt:i4>0</vt:i4>
      </vt:variant>
      <vt:variant>
        <vt:i4>5</vt:i4>
      </vt:variant>
      <vt:variant>
        <vt:lpwstr>https://www.un.org/disarmament/enmod/</vt:lpwstr>
      </vt:variant>
      <vt:variant>
        <vt:lpwstr/>
      </vt:variant>
      <vt:variant>
        <vt:i4>4915289</vt:i4>
      </vt:variant>
      <vt:variant>
        <vt:i4>135</vt:i4>
      </vt:variant>
      <vt:variant>
        <vt:i4>0</vt:i4>
      </vt:variant>
      <vt:variant>
        <vt:i4>5</vt:i4>
      </vt:variant>
      <vt:variant>
        <vt:lpwstr>https://undocs.org/BWC/MSP/2020/MX.2/WP.1</vt:lpwstr>
      </vt:variant>
      <vt:variant>
        <vt:lpwstr/>
      </vt:variant>
      <vt:variant>
        <vt:i4>5963845</vt:i4>
      </vt:variant>
      <vt:variant>
        <vt:i4>132</vt:i4>
      </vt:variant>
      <vt:variant>
        <vt:i4>0</vt:i4>
      </vt:variant>
      <vt:variant>
        <vt:i4>5</vt:i4>
      </vt:variant>
      <vt:variant>
        <vt:lpwstr>https://meetings.unoda.org/meeting/bwc-msp-2020/</vt:lpwstr>
      </vt:variant>
      <vt:variant>
        <vt:lpwstr/>
      </vt:variant>
      <vt:variant>
        <vt:i4>2293793</vt:i4>
      </vt:variant>
      <vt:variant>
        <vt:i4>129</vt:i4>
      </vt:variant>
      <vt:variant>
        <vt:i4>0</vt:i4>
      </vt:variant>
      <vt:variant>
        <vt:i4>5</vt:i4>
      </vt:variant>
      <vt:variant>
        <vt:lpwstr>https://undocs.org/bwc/msp/2018/mx.2/2</vt:lpwstr>
      </vt:variant>
      <vt:variant>
        <vt:lpwstr/>
      </vt:variant>
      <vt:variant>
        <vt:i4>2424891</vt:i4>
      </vt:variant>
      <vt:variant>
        <vt:i4>126</vt:i4>
      </vt:variant>
      <vt:variant>
        <vt:i4>0</vt:i4>
      </vt:variant>
      <vt:variant>
        <vt:i4>5</vt:i4>
      </vt:variant>
      <vt:variant>
        <vt:lpwstr>http://www.australiagroup.net/</vt:lpwstr>
      </vt:variant>
      <vt:variant>
        <vt:lpwstr/>
      </vt:variant>
      <vt:variant>
        <vt:i4>1703938</vt:i4>
      </vt:variant>
      <vt:variant>
        <vt:i4>123</vt:i4>
      </vt:variant>
      <vt:variant>
        <vt:i4>0</vt:i4>
      </vt:variant>
      <vt:variant>
        <vt:i4>5</vt:i4>
      </vt:variant>
      <vt:variant>
        <vt:lpwstr>https://cites.org/eng/taxonomy/term/42062</vt:lpwstr>
      </vt:variant>
      <vt:variant>
        <vt:lpwstr/>
      </vt:variant>
      <vt:variant>
        <vt:i4>3538999</vt:i4>
      </vt:variant>
      <vt:variant>
        <vt:i4>120</vt:i4>
      </vt:variant>
      <vt:variant>
        <vt:i4>0</vt:i4>
      </vt:variant>
      <vt:variant>
        <vt:i4>5</vt:i4>
      </vt:variant>
      <vt:variant>
        <vt:lpwstr>https://cites.org/sites/default/files/eng/com/sc/70/exsum/E-SC70-SR.pdf</vt:lpwstr>
      </vt:variant>
      <vt:variant>
        <vt:lpwstr/>
      </vt:variant>
      <vt:variant>
        <vt:i4>1245270</vt:i4>
      </vt:variant>
      <vt:variant>
        <vt:i4>117</vt:i4>
      </vt:variant>
      <vt:variant>
        <vt:i4>0</vt:i4>
      </vt:variant>
      <vt:variant>
        <vt:i4>5</vt:i4>
      </vt:variant>
      <vt:variant>
        <vt:lpwstr>https://cites.org/sites/default/files/eng/com/sc/70/E-SC70-33-A6.pdf</vt:lpwstr>
      </vt:variant>
      <vt:variant>
        <vt:lpwstr/>
      </vt:variant>
      <vt:variant>
        <vt:i4>4325382</vt:i4>
      </vt:variant>
      <vt:variant>
        <vt:i4>114</vt:i4>
      </vt:variant>
      <vt:variant>
        <vt:i4>0</vt:i4>
      </vt:variant>
      <vt:variant>
        <vt:i4>5</vt:i4>
      </vt:variant>
      <vt:variant>
        <vt:lpwstr>https://old.cites.org/eng/res/09/09-06R16.php</vt:lpwstr>
      </vt:variant>
      <vt:variant>
        <vt:lpwstr/>
      </vt:variant>
      <vt:variant>
        <vt:i4>6029315</vt:i4>
      </vt:variant>
      <vt:variant>
        <vt:i4>111</vt:i4>
      </vt:variant>
      <vt:variant>
        <vt:i4>0</vt:i4>
      </vt:variant>
      <vt:variant>
        <vt:i4>5</vt:i4>
      </vt:variant>
      <vt:variant>
        <vt:lpwstr>https://cites.org/sites/default/files/eng/com/sc/69/E-SC69-35.pdf</vt:lpwstr>
      </vt:variant>
      <vt:variant>
        <vt:lpwstr/>
      </vt:variant>
      <vt:variant>
        <vt:i4>5570645</vt:i4>
      </vt:variant>
      <vt:variant>
        <vt:i4>108</vt:i4>
      </vt:variant>
      <vt:variant>
        <vt:i4>0</vt:i4>
      </vt:variant>
      <vt:variant>
        <vt:i4>5</vt:i4>
      </vt:variant>
      <vt:variant>
        <vt:lpwstr>https://www.who.int/influenza/pip/en/</vt:lpwstr>
      </vt:variant>
      <vt:variant>
        <vt:lpwstr/>
      </vt:variant>
      <vt:variant>
        <vt:i4>5046334</vt:i4>
      </vt:variant>
      <vt:variant>
        <vt:i4>105</vt:i4>
      </vt:variant>
      <vt:variant>
        <vt:i4>0</vt:i4>
      </vt:variant>
      <vt:variant>
        <vt:i4>5</vt:i4>
      </vt:variant>
      <vt:variant>
        <vt:lpwstr>https://www.who.int/influenza/pip/virus_sharing/en/</vt:lpwstr>
      </vt:variant>
      <vt:variant>
        <vt:lpwstr/>
      </vt:variant>
      <vt:variant>
        <vt:i4>1900608</vt:i4>
      </vt:variant>
      <vt:variant>
        <vt:i4>102</vt:i4>
      </vt:variant>
      <vt:variant>
        <vt:i4>0</vt:i4>
      </vt:variant>
      <vt:variant>
        <vt:i4>5</vt:i4>
      </vt:variant>
      <vt:variant>
        <vt:lpwstr>https://www.who.int/publications/i/item/9789240011311</vt:lpwstr>
      </vt:variant>
      <vt:variant>
        <vt:lpwstr/>
      </vt:variant>
      <vt:variant>
        <vt:i4>1769538</vt:i4>
      </vt:variant>
      <vt:variant>
        <vt:i4>99</vt:i4>
      </vt:variant>
      <vt:variant>
        <vt:i4>0</vt:i4>
      </vt:variant>
      <vt:variant>
        <vt:i4>5</vt:i4>
      </vt:variant>
      <vt:variant>
        <vt:lpwstr>https://www.who.int/publications/i/item/9789240013155</vt:lpwstr>
      </vt:variant>
      <vt:variant>
        <vt:lpwstr/>
      </vt:variant>
      <vt:variant>
        <vt:i4>524355</vt:i4>
      </vt:variant>
      <vt:variant>
        <vt:i4>96</vt:i4>
      </vt:variant>
      <vt:variant>
        <vt:i4>0</vt:i4>
      </vt:variant>
      <vt:variant>
        <vt:i4>5</vt:i4>
      </vt:variant>
      <vt:variant>
        <vt:lpwstr>https://www.who.int/publications/i/item/10665-241232</vt:lpwstr>
      </vt:variant>
      <vt:variant>
        <vt:lpwstr/>
      </vt:variant>
      <vt:variant>
        <vt:i4>7274547</vt:i4>
      </vt:variant>
      <vt:variant>
        <vt:i4>93</vt:i4>
      </vt:variant>
      <vt:variant>
        <vt:i4>0</vt:i4>
      </vt:variant>
      <vt:variant>
        <vt:i4>5</vt:i4>
      </vt:variant>
      <vt:variant>
        <vt:lpwstr>https://www.who.int/news-room/feature-stories/detail/synthetic-biology-technologies</vt:lpwstr>
      </vt:variant>
      <vt:variant>
        <vt:lpwstr/>
      </vt:variant>
      <vt:variant>
        <vt:i4>7405626</vt:i4>
      </vt:variant>
      <vt:variant>
        <vt:i4>90</vt:i4>
      </vt:variant>
      <vt:variant>
        <vt:i4>0</vt:i4>
      </vt:variant>
      <vt:variant>
        <vt:i4>5</vt:i4>
      </vt:variant>
      <vt:variant>
        <vt:lpwstr>https://www.un.org/disarmament/unoda-continues-its-mission-on-covid-19/</vt:lpwstr>
      </vt:variant>
      <vt:variant>
        <vt:lpwstr/>
      </vt:variant>
      <vt:variant>
        <vt:i4>5898319</vt:i4>
      </vt:variant>
      <vt:variant>
        <vt:i4>87</vt:i4>
      </vt:variant>
      <vt:variant>
        <vt:i4>0</vt:i4>
      </vt:variant>
      <vt:variant>
        <vt:i4>5</vt:i4>
      </vt:variant>
      <vt:variant>
        <vt:lpwstr>https://www.who.int/teams/ihr/ihr-review-committees/covid-19</vt:lpwstr>
      </vt:variant>
      <vt:variant>
        <vt:lpwstr/>
      </vt:variant>
      <vt:variant>
        <vt:i4>6225941</vt:i4>
      </vt:variant>
      <vt:variant>
        <vt:i4>84</vt:i4>
      </vt:variant>
      <vt:variant>
        <vt:i4>0</vt:i4>
      </vt:variant>
      <vt:variant>
        <vt:i4>5</vt:i4>
      </vt:variant>
      <vt:variant>
        <vt:lpwstr>https://apps.who.int/iris/handle/10665/70507</vt:lpwstr>
      </vt:variant>
      <vt:variant>
        <vt:lpwstr/>
      </vt:variant>
      <vt:variant>
        <vt:i4>2031687</vt:i4>
      </vt:variant>
      <vt:variant>
        <vt:i4>81</vt:i4>
      </vt:variant>
      <vt:variant>
        <vt:i4>0</vt:i4>
      </vt:variant>
      <vt:variant>
        <vt:i4>5</vt:i4>
      </vt:variant>
      <vt:variant>
        <vt:lpwstr>http://www.cbd.int/abs/nagoya-protocol/signatories/default.shtml</vt:lpwstr>
      </vt:variant>
      <vt:variant>
        <vt:lpwstr/>
      </vt:variant>
      <vt:variant>
        <vt:i4>65629</vt:i4>
      </vt:variant>
      <vt:variant>
        <vt:i4>78</vt:i4>
      </vt:variant>
      <vt:variant>
        <vt:i4>0</vt:i4>
      </vt:variant>
      <vt:variant>
        <vt:i4>5</vt:i4>
      </vt:variant>
      <vt:variant>
        <vt:lpwstr>https://www.cbd.int/doc/meetings/bs/mop-08/official/bs-mop-08-08-add1-en.pdf</vt:lpwstr>
      </vt:variant>
      <vt:variant>
        <vt:lpwstr/>
      </vt:variant>
      <vt:variant>
        <vt:i4>1507421</vt:i4>
      </vt:variant>
      <vt:variant>
        <vt:i4>75</vt:i4>
      </vt:variant>
      <vt:variant>
        <vt:i4>0</vt:i4>
      </vt:variant>
      <vt:variant>
        <vt:i4>5</vt:i4>
      </vt:variant>
      <vt:variant>
        <vt:lpwstr>https://www.neb.com/products/e0546-biobrick-assembly-kit</vt:lpwstr>
      </vt:variant>
      <vt:variant>
        <vt:lpwstr>Product%20Information</vt:lpwstr>
      </vt:variant>
      <vt:variant>
        <vt:i4>2424868</vt:i4>
      </vt:variant>
      <vt:variant>
        <vt:i4>72</vt:i4>
      </vt:variant>
      <vt:variant>
        <vt:i4>0</vt:i4>
      </vt:variant>
      <vt:variant>
        <vt:i4>5</vt:i4>
      </vt:variant>
      <vt:variant>
        <vt:lpwstr>https://bch.cbd.int/synbio/</vt:lpwstr>
      </vt:variant>
      <vt:variant>
        <vt:lpwstr/>
      </vt:variant>
      <vt:variant>
        <vt:i4>7471163</vt:i4>
      </vt:variant>
      <vt:variant>
        <vt:i4>69</vt:i4>
      </vt:variant>
      <vt:variant>
        <vt:i4>0</vt:i4>
      </vt:variant>
      <vt:variant>
        <vt:i4>5</vt:i4>
      </vt:variant>
      <vt:variant>
        <vt:lpwstr>https://igem.org/Safety</vt:lpwstr>
      </vt:variant>
      <vt:variant>
        <vt:lpwstr/>
      </vt:variant>
      <vt:variant>
        <vt:i4>8257586</vt:i4>
      </vt:variant>
      <vt:variant>
        <vt:i4>66</vt:i4>
      </vt:variant>
      <vt:variant>
        <vt:i4>0</vt:i4>
      </vt:variant>
      <vt:variant>
        <vt:i4>5</vt:i4>
      </vt:variant>
      <vt:variant>
        <vt:lpwstr>https://2020.igem.org/Safety/Rules</vt:lpwstr>
      </vt:variant>
      <vt:variant>
        <vt:lpwstr/>
      </vt:variant>
      <vt:variant>
        <vt:i4>6619185</vt:i4>
      </vt:variant>
      <vt:variant>
        <vt:i4>63</vt:i4>
      </vt:variant>
      <vt:variant>
        <vt:i4>0</vt:i4>
      </vt:variant>
      <vt:variant>
        <vt:i4>5</vt:i4>
      </vt:variant>
      <vt:variant>
        <vt:lpwstr>https://2020.igem.org/Safety/Committee</vt:lpwstr>
      </vt:variant>
      <vt:variant>
        <vt:lpwstr/>
      </vt:variant>
      <vt:variant>
        <vt:i4>4849726</vt:i4>
      </vt:variant>
      <vt:variant>
        <vt:i4>60</vt:i4>
      </vt:variant>
      <vt:variant>
        <vt:i4>0</vt:i4>
      </vt:variant>
      <vt:variant>
        <vt:i4>5</vt:i4>
      </vt:variant>
      <vt:variant>
        <vt:lpwstr>https://www.etcgroup.org/sites/www.etcgroup.org/files/files/forcing_the_farm_sign_on_letter_english_web.pdf</vt:lpwstr>
      </vt:variant>
      <vt:variant>
        <vt:lpwstr/>
      </vt:variant>
      <vt:variant>
        <vt:i4>7274552</vt:i4>
      </vt:variant>
      <vt:variant>
        <vt:i4>57</vt:i4>
      </vt:variant>
      <vt:variant>
        <vt:i4>0</vt:i4>
      </vt:variant>
      <vt:variant>
        <vt:i4>5</vt:i4>
      </vt:variant>
      <vt:variant>
        <vt:lpwstr>https://www.iso.org/standard/66912.html</vt:lpwstr>
      </vt:variant>
      <vt:variant>
        <vt:lpwstr/>
      </vt:variant>
      <vt:variant>
        <vt:i4>5308436</vt:i4>
      </vt:variant>
      <vt:variant>
        <vt:i4>54</vt:i4>
      </vt:variant>
      <vt:variant>
        <vt:i4>0</vt:i4>
      </vt:variant>
      <vt:variant>
        <vt:i4>5</vt:i4>
      </vt:variant>
      <vt:variant>
        <vt:lpwstr>https://www.phe.gov/preparedness/legal/guidance/syndna/documents/syndna-guidance.pdf</vt:lpwstr>
      </vt:variant>
      <vt:variant>
        <vt:lpwstr/>
      </vt:variant>
      <vt:variant>
        <vt:i4>94</vt:i4>
      </vt:variant>
      <vt:variant>
        <vt:i4>51</vt:i4>
      </vt:variant>
      <vt:variant>
        <vt:i4>0</vt:i4>
      </vt:variant>
      <vt:variant>
        <vt:i4>5</vt:i4>
      </vt:variant>
      <vt:variant>
        <vt:lpwstr>https://genesynthesisconsortium.org/</vt:lpwstr>
      </vt:variant>
      <vt:variant>
        <vt:lpwstr/>
      </vt:variant>
      <vt:variant>
        <vt:i4>983060</vt:i4>
      </vt:variant>
      <vt:variant>
        <vt:i4>48</vt:i4>
      </vt:variant>
      <vt:variant>
        <vt:i4>0</vt:i4>
      </vt:variant>
      <vt:variant>
        <vt:i4>5</vt:i4>
      </vt:variant>
      <vt:variant>
        <vt:lpwstr>https://www.media.mit.edu/projects/preventing-tick-borne-disease-by-permanently-immunizing-mice/overview/</vt:lpwstr>
      </vt:variant>
      <vt:variant>
        <vt:lpwstr/>
      </vt:variant>
      <vt:variant>
        <vt:i4>5701655</vt:i4>
      </vt:variant>
      <vt:variant>
        <vt:i4>45</vt:i4>
      </vt:variant>
      <vt:variant>
        <vt:i4>0</vt:i4>
      </vt:variant>
      <vt:variant>
        <vt:i4>5</vt:i4>
      </vt:variant>
      <vt:variant>
        <vt:lpwstr>https://targetmalaria.org/what-we-do/our-approach/</vt:lpwstr>
      </vt:variant>
      <vt:variant>
        <vt:lpwstr>stakeholder-engagement</vt:lpwstr>
      </vt:variant>
      <vt:variant>
        <vt:i4>6750244</vt:i4>
      </vt:variant>
      <vt:variant>
        <vt:i4>42</vt:i4>
      </vt:variant>
      <vt:variant>
        <vt:i4>0</vt:i4>
      </vt:variant>
      <vt:variant>
        <vt:i4>5</vt:i4>
      </vt:variant>
      <vt:variant>
        <vt:lpwstr>https://www.ilo.org/dyn/normlex/en/f?p=NORMLEXPUB:12100:0::NO::P12100_ILO_CODE:C107</vt:lpwstr>
      </vt:variant>
      <vt:variant>
        <vt:lpwstr/>
      </vt:variant>
      <vt:variant>
        <vt:i4>4456541</vt:i4>
      </vt:variant>
      <vt:variant>
        <vt:i4>39</vt:i4>
      </vt:variant>
      <vt:variant>
        <vt:i4>0</vt:i4>
      </vt:variant>
      <vt:variant>
        <vt:i4>5</vt:i4>
      </vt:variant>
      <vt:variant>
        <vt:lpwstr>https://www.nordgen.org/sgsv</vt:lpwstr>
      </vt:variant>
      <vt:variant>
        <vt:lpwstr/>
      </vt:variant>
      <vt:variant>
        <vt:i4>3276858</vt:i4>
      </vt:variant>
      <vt:variant>
        <vt:i4>36</vt:i4>
      </vt:variant>
      <vt:variant>
        <vt:i4>0</vt:i4>
      </vt:variant>
      <vt:variant>
        <vt:i4>5</vt:i4>
      </vt:variant>
      <vt:variant>
        <vt:lpwstr>https://www.youtube.com/watch?v=qybUFnY7Y8w</vt:lpwstr>
      </vt:variant>
      <vt:variant>
        <vt:lpwstr/>
      </vt:variant>
      <vt:variant>
        <vt:i4>1835028</vt:i4>
      </vt:variant>
      <vt:variant>
        <vt:i4>33</vt:i4>
      </vt:variant>
      <vt:variant>
        <vt:i4>0</vt:i4>
      </vt:variant>
      <vt:variant>
        <vt:i4>5</vt:i4>
      </vt:variant>
      <vt:variant>
        <vt:lpwstr>http://www.ohchr.org/EN/UDHR/Pages/UDHRIndex.aspx</vt:lpwstr>
      </vt:variant>
      <vt:variant>
        <vt:lpwstr/>
      </vt:variant>
      <vt:variant>
        <vt:i4>1507330</vt:i4>
      </vt:variant>
      <vt:variant>
        <vt:i4>30</vt:i4>
      </vt:variant>
      <vt:variant>
        <vt:i4>0</vt:i4>
      </vt:variant>
      <vt:variant>
        <vt:i4>5</vt:i4>
      </vt:variant>
      <vt:variant>
        <vt:lpwstr>https://www.latimes.com/california/story/2020-10-13/san-diego-zoo-scientists-use-cells-frozen-away-for-40-years-to-clone-endangered-przewalskis-horse</vt:lpwstr>
      </vt:variant>
      <vt:variant>
        <vt:lpwstr/>
      </vt:variant>
      <vt:variant>
        <vt:i4>655376</vt:i4>
      </vt:variant>
      <vt:variant>
        <vt:i4>27</vt:i4>
      </vt:variant>
      <vt:variant>
        <vt:i4>0</vt:i4>
      </vt:variant>
      <vt:variant>
        <vt:i4>5</vt:i4>
      </vt:variant>
      <vt:variant>
        <vt:lpwstr>https://synthsym.org/</vt:lpwstr>
      </vt:variant>
      <vt:variant>
        <vt:lpwstr/>
      </vt:variant>
      <vt:variant>
        <vt:i4>7077949</vt:i4>
      </vt:variant>
      <vt:variant>
        <vt:i4>24</vt:i4>
      </vt:variant>
      <vt:variant>
        <vt:i4>0</vt:i4>
      </vt:variant>
      <vt:variant>
        <vt:i4>5</vt:i4>
      </vt:variant>
      <vt:variant>
        <vt:lpwstr>https://ucimi.org/</vt:lpwstr>
      </vt:variant>
      <vt:variant>
        <vt:lpwstr/>
      </vt:variant>
      <vt:variant>
        <vt:i4>5373975</vt:i4>
      </vt:variant>
      <vt:variant>
        <vt:i4>21</vt:i4>
      </vt:variant>
      <vt:variant>
        <vt:i4>0</vt:i4>
      </vt:variant>
      <vt:variant>
        <vt:i4>5</vt:i4>
      </vt:variant>
      <vt:variant>
        <vt:lpwstr>http://www.targetmalaria.org/</vt:lpwstr>
      </vt:variant>
      <vt:variant>
        <vt:lpwstr/>
      </vt:variant>
      <vt:variant>
        <vt:i4>7929979</vt:i4>
      </vt:variant>
      <vt:variant>
        <vt:i4>18</vt:i4>
      </vt:variant>
      <vt:variant>
        <vt:i4>0</vt:i4>
      </vt:variant>
      <vt:variant>
        <vt:i4>5</vt:i4>
      </vt:variant>
      <vt:variant>
        <vt:lpwstr>https://www.fws.gov/mountain-prairie/pressrel/2021/02182021-USFWS-and-Partners-Innovative-Genetic-Cloning-Research-Black-footed-Ferret-Conservation.php</vt:lpwstr>
      </vt:variant>
      <vt:variant>
        <vt:lpwstr/>
      </vt:variant>
      <vt:variant>
        <vt:i4>2752572</vt:i4>
      </vt:variant>
      <vt:variant>
        <vt:i4>15</vt:i4>
      </vt:variant>
      <vt:variant>
        <vt:i4>0</vt:i4>
      </vt:variant>
      <vt:variant>
        <vt:i4>5</vt:i4>
      </vt:variant>
      <vt:variant>
        <vt:lpwstr>https://reviverestore.org/projects/black-footed-ferret/</vt:lpwstr>
      </vt:variant>
      <vt:variant>
        <vt:lpwstr/>
      </vt:variant>
      <vt:variant>
        <vt:i4>3211388</vt:i4>
      </vt:variant>
      <vt:variant>
        <vt:i4>12</vt:i4>
      </vt:variant>
      <vt:variant>
        <vt:i4>0</vt:i4>
      </vt:variant>
      <vt:variant>
        <vt:i4>5</vt:i4>
      </vt:variant>
      <vt:variant>
        <vt:lpwstr>https://www.buildacell.org/</vt:lpwstr>
      </vt:variant>
      <vt:variant>
        <vt:lpwstr/>
      </vt:variant>
      <vt:variant>
        <vt:i4>458823</vt:i4>
      </vt:variant>
      <vt:variant>
        <vt:i4>6</vt:i4>
      </vt:variant>
      <vt:variant>
        <vt:i4>0</vt:i4>
      </vt:variant>
      <vt:variant>
        <vt:i4>5</vt:i4>
      </vt:variant>
      <vt:variant>
        <vt:lpwstr>https://igem.org/Registry</vt:lpwstr>
      </vt:variant>
      <vt:variant>
        <vt:lpwstr/>
      </vt:variant>
      <vt:variant>
        <vt:i4>7143523</vt:i4>
      </vt:variant>
      <vt:variant>
        <vt:i4>3</vt:i4>
      </vt:variant>
      <vt:variant>
        <vt:i4>0</vt:i4>
      </vt:variant>
      <vt:variant>
        <vt:i4>5</vt:i4>
      </vt:variant>
      <vt:variant>
        <vt:lpwstr>https://www.isaaa.org/kc/cropbiotechupdate/article/default.asp?ID=18727</vt:lpwstr>
      </vt:variant>
      <vt:variant>
        <vt:lpwstr/>
      </vt:variant>
      <vt:variant>
        <vt:i4>5832794</vt:i4>
      </vt:variant>
      <vt:variant>
        <vt:i4>0</vt:i4>
      </vt:variant>
      <vt:variant>
        <vt:i4>0</vt:i4>
      </vt:variant>
      <vt:variant>
        <vt:i4>5</vt:i4>
      </vt:variant>
      <vt:variant>
        <vt:lpwstr>https://www.cbd.int/doc/c/b006/4abe/2f4e0cdaca9f3884c9b92607/sbstta-24-inf-06-en.pdf</vt:lpwstr>
      </vt:variant>
      <vt:variant>
        <vt:lpwstr/>
      </vt:variant>
      <vt:variant>
        <vt:i4>4128828</vt:i4>
      </vt:variant>
      <vt:variant>
        <vt:i4>18</vt:i4>
      </vt:variant>
      <vt:variant>
        <vt:i4>0</vt:i4>
      </vt:variant>
      <vt:variant>
        <vt:i4>5</vt:i4>
      </vt:variant>
      <vt:variant>
        <vt:lpwstr>https://www.nature.com/articles/d42859-020-00025-4</vt:lpwstr>
      </vt:variant>
      <vt:variant>
        <vt:lpwstr/>
      </vt:variant>
      <vt:variant>
        <vt:i4>2555955</vt:i4>
      </vt:variant>
      <vt:variant>
        <vt:i4>15</vt:i4>
      </vt:variant>
      <vt:variant>
        <vt:i4>0</vt:i4>
      </vt:variant>
      <vt:variant>
        <vt:i4>5</vt:i4>
      </vt:variant>
      <vt:variant>
        <vt:lpwstr>https://doi.org/10.1007/s11248-019-00146-1</vt:lpwstr>
      </vt:variant>
      <vt:variant>
        <vt:lpwstr/>
      </vt:variant>
      <vt:variant>
        <vt:i4>4653137</vt:i4>
      </vt:variant>
      <vt:variant>
        <vt:i4>12</vt:i4>
      </vt:variant>
      <vt:variant>
        <vt:i4>0</vt:i4>
      </vt:variant>
      <vt:variant>
        <vt:i4>5</vt:i4>
      </vt:variant>
      <vt:variant>
        <vt:lpwstr>https://doi.org/10.1016/j.crbiot.2019.08.001</vt:lpwstr>
      </vt:variant>
      <vt:variant>
        <vt:lpwstr/>
      </vt:variant>
      <vt:variant>
        <vt:i4>2818171</vt:i4>
      </vt:variant>
      <vt:variant>
        <vt:i4>9</vt:i4>
      </vt:variant>
      <vt:variant>
        <vt:i4>0</vt:i4>
      </vt:variant>
      <vt:variant>
        <vt:i4>5</vt:i4>
      </vt:variant>
      <vt:variant>
        <vt:lpwstr>https://www.etcgroup.org/sites/www.etcgroup.org/files/files/etc_synbiocasestudies_2016.pdf</vt:lpwstr>
      </vt:variant>
      <vt:variant>
        <vt:lpwstr/>
      </vt:variant>
      <vt:variant>
        <vt:i4>458753</vt:i4>
      </vt:variant>
      <vt:variant>
        <vt:i4>6</vt:i4>
      </vt:variant>
      <vt:variant>
        <vt:i4>0</vt:i4>
      </vt:variant>
      <vt:variant>
        <vt:i4>5</vt:i4>
      </vt:variant>
      <vt:variant>
        <vt:lpwstr>http://fibershed.org/wp-content/uploads/2018/09/ETC_SynbioFabricsReport_8Fsm.pdf</vt:lpwstr>
      </vt:variant>
      <vt:variant>
        <vt:lpwstr/>
      </vt:variant>
      <vt:variant>
        <vt:i4>131141</vt:i4>
      </vt:variant>
      <vt:variant>
        <vt:i4>3</vt:i4>
      </vt:variant>
      <vt:variant>
        <vt:i4>0</vt:i4>
      </vt:variant>
      <vt:variant>
        <vt:i4>5</vt:i4>
      </vt:variant>
      <vt:variant>
        <vt:lpwstr>https://www.cbd.int/doc/publications/akwe-brochure-en.pdf</vt:lpwstr>
      </vt:variant>
      <vt:variant>
        <vt:lpwstr/>
      </vt:variant>
      <vt:variant>
        <vt:i4>3735611</vt:i4>
      </vt:variant>
      <vt:variant>
        <vt:i4>0</vt:i4>
      </vt:variant>
      <vt:variant>
        <vt:i4>0</vt:i4>
      </vt:variant>
      <vt:variant>
        <vt:i4>5</vt:i4>
      </vt:variant>
      <vt:variant>
        <vt:lpwstr>https://www.cbd.int/doc/publications/8j-cbd-mootz-kuxtal-en.pdf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OF THE TECHNICAL SERIES ON SYNTHETIC BIOLOGY</dc:title>
  <dc:subject>CBD/SBSTTA/24/INF/19</dc:subject>
  <dc:creator>secretariat@cbd.int</dc:creator>
  <cp:keywords>Subsidiary Body on Scientific, Technical and Technological Advice, twenty-fourth meeting</cp:keywords>
  <cp:lastModifiedBy>Veronique Lefebvre</cp:lastModifiedBy>
  <cp:revision>8</cp:revision>
  <cp:lastPrinted>2021-04-30T18:13:00Z</cp:lastPrinted>
  <dcterms:created xsi:type="dcterms:W3CDTF">2021-05-06T20:48:00Z</dcterms:created>
  <dcterms:modified xsi:type="dcterms:W3CDTF">2021-06-01T13:41:00Z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Citation Style_1">
    <vt:lpwstr>http://www.zotero.org/styles/apa</vt:lpwstr>
  </property>
  <property fmtid="{D5CDD505-2E9C-101B-9397-08002B2CF9AE}" pid="25" name="Mendeley Unique User Id_1">
    <vt:lpwstr>e6c8cc0e-003b-30e4-8ac5-4e4f8b2fcf49</vt:lpwstr>
  </property>
</Properties>
</file>